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A5901F" w14:textId="4967B51C" w:rsidR="001314D5" w:rsidRPr="003303DA" w:rsidRDefault="001B2928" w:rsidP="006F0206">
      <w:r w:rsidRPr="001B2928">
        <w:drawing>
          <wp:anchor distT="0" distB="0" distL="114300" distR="114300" simplePos="0" relativeHeight="251710464" behindDoc="0" locked="0" layoutInCell="1" allowOverlap="1" wp14:anchorId="2A9BC239" wp14:editId="283D4949">
            <wp:simplePos x="0" y="0"/>
            <wp:positionH relativeFrom="page">
              <wp:posOffset>16329</wp:posOffset>
            </wp:positionH>
            <wp:positionV relativeFrom="page">
              <wp:align>top</wp:align>
            </wp:positionV>
            <wp:extent cx="7522028" cy="10671939"/>
            <wp:effectExtent l="0" t="0" r="3175" b="0"/>
            <wp:wrapThrough wrapText="bothSides">
              <wp:wrapPolygon edited="0">
                <wp:start x="0" y="0"/>
                <wp:lineTo x="0" y="21554"/>
                <wp:lineTo x="21554" y="21554"/>
                <wp:lineTo x="21554" y="0"/>
                <wp:lineTo x="0" y="0"/>
              </wp:wrapPolygon>
            </wp:wrapThrough>
            <wp:docPr id="22" name="Picture 22" descr="A cover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cover of a book&#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7524101" cy="10674880"/>
                    </a:xfrm>
                    <a:prstGeom prst="rect">
                      <a:avLst/>
                    </a:prstGeom>
                  </pic:spPr>
                </pic:pic>
              </a:graphicData>
            </a:graphic>
            <wp14:sizeRelH relativeFrom="page">
              <wp14:pctWidth>0</wp14:pctWidth>
            </wp14:sizeRelH>
            <wp14:sizeRelV relativeFrom="page">
              <wp14:pctHeight>0</wp14:pctHeight>
            </wp14:sizeRelV>
          </wp:anchor>
        </w:drawing>
      </w:r>
      <w:r w:rsidR="00484E7E">
        <w:tab/>
      </w:r>
      <w:r w:rsidR="001A6019">
        <w:t xml:space="preserve"> </w:t>
      </w:r>
    </w:p>
    <w:p w14:paraId="4CD087F1" w14:textId="09BB2554" w:rsidR="00FB56A6" w:rsidRDefault="00FB56A6">
      <w:pPr>
        <w:keepLines w:val="0"/>
        <w:suppressAutoHyphens w:val="0"/>
        <w:spacing w:before="0" w:after="160"/>
        <w:rPr>
          <w:rFonts w:ascii="Times New Roman" w:hAnsi="Times New Roman" w:cs="Times New Roman"/>
          <w:color w:val="538135" w:themeColor="accent6" w:themeShade="BF"/>
          <w:sz w:val="52"/>
          <w:szCs w:val="52"/>
          <w14:shadow w14:blurRad="63500" w14:dist="50800" w14:dir="13500000" w14:sx="0" w14:sy="0" w14:kx="0" w14:ky="0" w14:algn="none">
            <w14:srgbClr w14:val="000000">
              <w14:alpha w14:val="50000"/>
            </w14:srgbClr>
          </w14:shadow>
        </w:rPr>
      </w:pPr>
    </w:p>
    <w:p w14:paraId="308C8629" w14:textId="77777777" w:rsidR="0008406F" w:rsidRDefault="0008406F" w:rsidP="0008406F"/>
    <w:p w14:paraId="1A03A65E" w14:textId="77777777" w:rsidR="0008406F" w:rsidRDefault="0008406F" w:rsidP="0008406F"/>
    <w:p w14:paraId="191224F7" w14:textId="77777777" w:rsidR="0008406F" w:rsidRDefault="0008406F" w:rsidP="0008406F"/>
    <w:p w14:paraId="6820CFC6" w14:textId="77777777" w:rsidR="0008406F" w:rsidRDefault="0008406F" w:rsidP="0008406F"/>
    <w:p w14:paraId="4DCFDA09" w14:textId="77777777" w:rsidR="0008406F" w:rsidRDefault="0008406F" w:rsidP="0008406F"/>
    <w:p w14:paraId="39EC75D1" w14:textId="77777777" w:rsidR="0008406F" w:rsidRDefault="0008406F" w:rsidP="0008406F"/>
    <w:p w14:paraId="3F70B801" w14:textId="77777777" w:rsidR="0008406F" w:rsidRDefault="0008406F" w:rsidP="0008406F"/>
    <w:p w14:paraId="624FD979" w14:textId="77777777" w:rsidR="0008406F" w:rsidRDefault="0008406F" w:rsidP="0008406F"/>
    <w:p w14:paraId="2C56F25E" w14:textId="77777777" w:rsidR="0008406F" w:rsidRDefault="0008406F" w:rsidP="0008406F"/>
    <w:p w14:paraId="1E9CB9D8" w14:textId="77777777" w:rsidR="0008406F" w:rsidRDefault="0008406F" w:rsidP="0008406F"/>
    <w:p w14:paraId="7D92680F" w14:textId="77777777" w:rsidR="0008406F" w:rsidRDefault="0008406F" w:rsidP="0008406F"/>
    <w:p w14:paraId="74AF0A6C" w14:textId="77777777" w:rsidR="0008406F" w:rsidRDefault="0008406F" w:rsidP="0008406F"/>
    <w:p w14:paraId="7A2FBE8D" w14:textId="77777777" w:rsidR="0008406F" w:rsidRDefault="0008406F" w:rsidP="0008406F"/>
    <w:p w14:paraId="14AE2807" w14:textId="77777777" w:rsidR="0008406F" w:rsidRDefault="0008406F" w:rsidP="0008406F"/>
    <w:p w14:paraId="7842514F" w14:textId="77777777" w:rsidR="0008406F" w:rsidRDefault="0008406F" w:rsidP="0008406F"/>
    <w:p w14:paraId="23362974" w14:textId="77777777" w:rsidR="0008406F" w:rsidRDefault="0008406F" w:rsidP="0008406F"/>
    <w:p w14:paraId="6FE11464" w14:textId="77777777" w:rsidR="0008406F" w:rsidRDefault="0008406F" w:rsidP="0008406F"/>
    <w:p w14:paraId="28D82495" w14:textId="77777777" w:rsidR="0008406F" w:rsidRDefault="0008406F" w:rsidP="0008406F"/>
    <w:p w14:paraId="07004378" w14:textId="77777777" w:rsidR="0008406F" w:rsidRDefault="0008406F" w:rsidP="0008406F"/>
    <w:p w14:paraId="3029162E" w14:textId="77777777" w:rsidR="0008406F" w:rsidRDefault="0008406F" w:rsidP="0008406F"/>
    <w:p w14:paraId="3344B668" w14:textId="77777777" w:rsidR="0008406F" w:rsidRDefault="0008406F" w:rsidP="0008406F"/>
    <w:p w14:paraId="6E16897F" w14:textId="77777777" w:rsidR="0008406F" w:rsidRDefault="0008406F" w:rsidP="0008406F"/>
    <w:p w14:paraId="71A5C58B" w14:textId="77777777" w:rsidR="0008406F" w:rsidRDefault="0008406F" w:rsidP="0008406F"/>
    <w:p w14:paraId="7F9861CC" w14:textId="77777777" w:rsidR="0008406F" w:rsidRDefault="0008406F" w:rsidP="0008406F"/>
    <w:p w14:paraId="13ECDC81" w14:textId="77777777" w:rsidR="0008406F" w:rsidRDefault="0008406F" w:rsidP="0008406F"/>
    <w:p w14:paraId="00D3EB0D" w14:textId="77777777" w:rsidR="0008406F" w:rsidRDefault="0008406F" w:rsidP="0008406F"/>
    <w:p w14:paraId="5CED0F50" w14:textId="77777777" w:rsidR="0008406F" w:rsidRDefault="0008406F" w:rsidP="0008406F"/>
    <w:p w14:paraId="0D7155BF" w14:textId="77777777" w:rsidR="0008406F" w:rsidRDefault="0008406F" w:rsidP="0008406F">
      <w:r>
        <w:rPr>
          <w:noProof/>
        </w:rPr>
        <w:drawing>
          <wp:anchor distT="0" distB="0" distL="114300" distR="114300" simplePos="0" relativeHeight="251709440" behindDoc="0" locked="0" layoutInCell="1" allowOverlap="1" wp14:anchorId="49B3EE6C" wp14:editId="16CE709D">
            <wp:simplePos x="461108" y="2500923"/>
            <wp:positionH relativeFrom="page">
              <wp:align>center</wp:align>
            </wp:positionH>
            <wp:positionV relativeFrom="page">
              <wp:align>center</wp:align>
            </wp:positionV>
            <wp:extent cx="6647688" cy="4663440"/>
            <wp:effectExtent l="0" t="0" r="1270" b="3810"/>
            <wp:wrapNone/>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2" name="Picture 1062"/>
                    <pic:cNvPicPr/>
                  </pic:nvPicPr>
                  <pic:blipFill>
                    <a:blip r:embed="rId10">
                      <a:extLst>
                        <a:ext uri="{28A0092B-C50C-407E-A947-70E740481C1C}">
                          <a14:useLocalDpi xmlns:a14="http://schemas.microsoft.com/office/drawing/2010/main" val="0"/>
                        </a:ext>
                      </a:extLst>
                    </a:blip>
                    <a:stretch>
                      <a:fillRect/>
                    </a:stretch>
                  </pic:blipFill>
                  <pic:spPr>
                    <a:xfrm>
                      <a:off x="0" y="0"/>
                      <a:ext cx="6647688" cy="4663440"/>
                    </a:xfrm>
                    <a:prstGeom prst="rect">
                      <a:avLst/>
                    </a:prstGeom>
                  </pic:spPr>
                </pic:pic>
              </a:graphicData>
            </a:graphic>
            <wp14:sizeRelH relativeFrom="margin">
              <wp14:pctWidth>0</wp14:pctWidth>
            </wp14:sizeRelH>
            <wp14:sizeRelV relativeFrom="margin">
              <wp14:pctHeight>0</wp14:pctHeight>
            </wp14:sizeRelV>
          </wp:anchor>
        </w:drawing>
      </w:r>
    </w:p>
    <w:p w14:paraId="4FF32B9F" w14:textId="77777777" w:rsidR="0008406F" w:rsidRPr="00967472" w:rsidRDefault="0008406F" w:rsidP="0008406F">
      <w:pPr>
        <w:keepLines w:val="0"/>
        <w:suppressAutoHyphens w:val="0"/>
        <w:spacing w:before="0" w:after="160"/>
        <w:jc w:val="center"/>
        <w:rPr>
          <w:rFonts w:ascii="Times New Roman" w:hAnsi="Times New Roman" w:cs="Times New Roman"/>
          <w:i/>
          <w:iCs/>
          <w:sz w:val="32"/>
          <w:szCs w:val="32"/>
        </w:rPr>
      </w:pPr>
      <w:r w:rsidRPr="00967472">
        <w:rPr>
          <w:rFonts w:ascii="Times New Roman" w:hAnsi="Times New Roman" w:cs="Times New Roman"/>
          <w:i/>
          <w:iCs/>
          <w:sz w:val="32"/>
          <w:szCs w:val="32"/>
        </w:rPr>
        <w:t xml:space="preserve">The book is dedicated to the loving memory of Mama and Papa… </w:t>
      </w:r>
      <w:r w:rsidRPr="00967472">
        <w:rPr>
          <w:rFonts w:ascii="Times New Roman" w:hAnsi="Times New Roman" w:cs="Times New Roman"/>
          <w:i/>
          <w:iCs/>
          <w:sz w:val="32"/>
          <w:szCs w:val="32"/>
        </w:rPr>
        <w:br/>
        <w:t xml:space="preserve">for your love and sacrifice in raising me in the old town of </w:t>
      </w:r>
      <w:hyperlink r:id="rId11" w:history="1">
        <w:r w:rsidRPr="00967472">
          <w:rPr>
            <w:rStyle w:val="Hyperlink"/>
            <w:rFonts w:ascii="Times New Roman" w:hAnsi="Times New Roman" w:cs="Times New Roman"/>
            <w:i/>
            <w:iCs/>
            <w:sz w:val="32"/>
            <w:szCs w:val="32"/>
          </w:rPr>
          <w:t>Suroboyo</w:t>
        </w:r>
      </w:hyperlink>
      <w:r w:rsidRPr="00967472">
        <w:rPr>
          <w:rFonts w:ascii="Times New Roman" w:hAnsi="Times New Roman" w:cs="Times New Roman"/>
          <w:i/>
          <w:iCs/>
          <w:sz w:val="32"/>
          <w:szCs w:val="32"/>
        </w:rPr>
        <w:t>.</w:t>
      </w:r>
    </w:p>
    <w:p w14:paraId="3EDD452F" w14:textId="77777777" w:rsidR="0008406F" w:rsidRDefault="0008406F" w:rsidP="0008406F">
      <w:pPr>
        <w:keepLines w:val="0"/>
        <w:suppressAutoHyphens w:val="0"/>
        <w:spacing w:before="0" w:after="160"/>
        <w:rPr>
          <w:rFonts w:ascii="Times New Roman" w:hAnsi="Times New Roman" w:cs="Times New Roman"/>
          <w:sz w:val="52"/>
          <w:szCs w:val="52"/>
        </w:rPr>
      </w:pPr>
      <w:r>
        <w:rPr>
          <w:rFonts w:ascii="Times New Roman" w:hAnsi="Times New Roman" w:cs="Times New Roman"/>
          <w:sz w:val="52"/>
          <w:szCs w:val="52"/>
        </w:rPr>
        <w:br w:type="page"/>
      </w:r>
    </w:p>
    <w:p w14:paraId="48B0F6E1" w14:textId="77777777" w:rsidR="00907139" w:rsidRPr="00773829" w:rsidRDefault="00907139" w:rsidP="001D7FF0"/>
    <w:p w14:paraId="7343C3B6" w14:textId="6D82BC4D" w:rsidR="004209B0" w:rsidRDefault="00615638" w:rsidP="003F097B">
      <w:pPr>
        <w:pStyle w:val="AfterChapterTitle"/>
      </w:pPr>
      <w:r>
        <w:drawing>
          <wp:anchor distT="0" distB="0" distL="114300" distR="114300" simplePos="0" relativeHeight="251659264" behindDoc="0" locked="0" layoutInCell="1" allowOverlap="1" wp14:anchorId="14E59EDF" wp14:editId="632FB454">
            <wp:simplePos x="0" y="0"/>
            <wp:positionH relativeFrom="margin">
              <wp:align>center</wp:align>
            </wp:positionH>
            <wp:positionV relativeFrom="paragraph">
              <wp:posOffset>245052</wp:posOffset>
            </wp:positionV>
            <wp:extent cx="5857200" cy="1562400"/>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2">
                      <a:extLst>
                        <a:ext uri="{28A0092B-C50C-407E-A947-70E740481C1C}">
                          <a14:useLocalDpi xmlns:a14="http://schemas.microsoft.com/office/drawing/2010/main" val="0"/>
                        </a:ext>
                      </a:extLst>
                    </a:blip>
                    <a:stretch>
                      <a:fillRect/>
                    </a:stretch>
                  </pic:blipFill>
                  <pic:spPr>
                    <a:xfrm>
                      <a:off x="0" y="0"/>
                      <a:ext cx="5857200" cy="1562400"/>
                    </a:xfrm>
                    <a:prstGeom prst="rect">
                      <a:avLst/>
                    </a:prstGeom>
                    <a:effectLst>
                      <a:softEdge rad="31750"/>
                    </a:effectLst>
                  </pic:spPr>
                </pic:pic>
              </a:graphicData>
            </a:graphic>
            <wp14:sizeRelH relativeFrom="margin">
              <wp14:pctWidth>0</wp14:pctWidth>
            </wp14:sizeRelH>
            <wp14:sizeRelV relativeFrom="margin">
              <wp14:pctHeight>0</wp14:pctHeight>
            </wp14:sizeRelV>
          </wp:anchor>
        </w:drawing>
      </w:r>
      <w:r w:rsidR="00EB6D41" w:rsidRPr="004758D0">
        <w:t>I’ll</w:t>
      </w:r>
      <w:r w:rsidR="00DF3452" w:rsidRPr="004758D0">
        <w:t xml:space="preserve"> try </w:t>
      </w:r>
      <w:r w:rsidR="00D66C26" w:rsidRPr="004758D0">
        <w:t>to make a dry topic</w:t>
      </w:r>
      <w:r w:rsidR="00B82675">
        <w:t xml:space="preserve"> </w:t>
      </w:r>
      <w:r w:rsidR="00A3692B">
        <w:t>exciting to read so this book does not end up being a sl</w:t>
      </w:r>
      <w:r w:rsidR="00150996">
        <w:t xml:space="preserve">eeping </w:t>
      </w:r>
      <w:r w:rsidR="00A1337A">
        <w:t>solution</w:t>
      </w:r>
      <w:r w:rsidR="009B313C">
        <w:t>.</w:t>
      </w:r>
    </w:p>
    <w:p w14:paraId="5C346C7A" w14:textId="77777777" w:rsidR="00897599" w:rsidRDefault="00897599" w:rsidP="00897599"/>
    <w:tbl>
      <w:tblPr>
        <w:tblW w:w="0" w:type="auto"/>
        <w:tblLook w:val="04A0" w:firstRow="1" w:lastRow="0" w:firstColumn="1" w:lastColumn="0" w:noHBand="0" w:noVBand="1"/>
      </w:tblPr>
      <w:tblGrid>
        <w:gridCol w:w="2430"/>
        <w:gridCol w:w="8026"/>
      </w:tblGrid>
      <w:tr w:rsidR="00897599" w14:paraId="7B665260" w14:textId="77777777" w:rsidTr="0047132D">
        <w:tc>
          <w:tcPr>
            <w:tcW w:w="2430" w:type="dxa"/>
          </w:tcPr>
          <w:p w14:paraId="67138A67" w14:textId="74EE926E" w:rsidR="00897599" w:rsidRPr="00897599" w:rsidRDefault="00F673DC" w:rsidP="00897599">
            <w:pPr>
              <w:pStyle w:val="Tablecontent"/>
              <w:rPr>
                <w:b/>
                <w:bCs/>
              </w:rPr>
            </w:pPr>
            <w:r>
              <w:rPr>
                <w:b/>
                <w:bCs/>
              </w:rPr>
              <w:t>What</w:t>
            </w:r>
            <w:r w:rsidR="00897599" w:rsidRPr="00897599">
              <w:rPr>
                <w:b/>
                <w:bCs/>
              </w:rPr>
              <w:t xml:space="preserve"> this book is </w:t>
            </w:r>
          </w:p>
        </w:tc>
        <w:tc>
          <w:tcPr>
            <w:tcW w:w="8026" w:type="dxa"/>
          </w:tcPr>
          <w:p w14:paraId="46847213" w14:textId="3D2EB256" w:rsidR="00457B15" w:rsidRDefault="00F85C04" w:rsidP="001A53C6">
            <w:pPr>
              <w:pStyle w:val="Tablecontent"/>
            </w:pPr>
            <w:r>
              <w:t xml:space="preserve">It </w:t>
            </w:r>
            <w:r w:rsidR="00457B15" w:rsidRPr="00146507">
              <w:t xml:space="preserve">is the documentation </w:t>
            </w:r>
            <w:r w:rsidR="00457B15">
              <w:t xml:space="preserve">of </w:t>
            </w:r>
            <w:hyperlink r:id="rId13" w:history="1">
              <w:r w:rsidR="00457B15" w:rsidRPr="00373A73">
                <w:rPr>
                  <w:rStyle w:val="Hyperlink"/>
                </w:rPr>
                <w:t>Operationalize Your World</w:t>
              </w:r>
            </w:hyperlink>
            <w:r w:rsidR="005362F4">
              <w:t xml:space="preserve"> (OYW)</w:t>
            </w:r>
            <w:r w:rsidR="00457B15">
              <w:t xml:space="preserve">, a workshop that </w:t>
            </w:r>
            <w:hyperlink r:id="rId14">
              <w:r w:rsidR="00457B15" w:rsidRPr="5D58FCEA">
                <w:rPr>
                  <w:rStyle w:val="Hyperlink"/>
                </w:rPr>
                <w:t>Kenon Owens</w:t>
              </w:r>
            </w:hyperlink>
            <w:r w:rsidR="00457B15">
              <w:t xml:space="preserve"> and I created many </w:t>
            </w:r>
            <w:r w:rsidR="00107EE8">
              <w:t>blue moon</w:t>
            </w:r>
            <w:r w:rsidR="00932E1A">
              <w:t>s</w:t>
            </w:r>
            <w:r w:rsidR="00457B15">
              <w:t xml:space="preserve"> ago. Thank you </w:t>
            </w:r>
            <w:r w:rsidR="00AC4B80">
              <w:t>brother</w:t>
            </w:r>
            <w:r w:rsidR="00457B15">
              <w:t xml:space="preserve"> for the leadership in the early days! </w:t>
            </w:r>
            <w:r w:rsidR="005362F4">
              <w:t>OYW</w:t>
            </w:r>
            <w:r w:rsidR="003858B8">
              <w:t xml:space="preserve"> customizes the product</w:t>
            </w:r>
            <w:r w:rsidR="00613654">
              <w:t xml:space="preserve"> (</w:t>
            </w:r>
            <w:r w:rsidR="0047132D">
              <w:t>VMware Aria</w:t>
            </w:r>
            <w:r w:rsidR="00613654">
              <w:t>)</w:t>
            </w:r>
            <w:r w:rsidR="003F42C6">
              <w:t>. T</w:t>
            </w:r>
            <w:r w:rsidR="003858B8">
              <w:t xml:space="preserve">hink of it as the Pro </w:t>
            </w:r>
            <w:r w:rsidR="00932E1A">
              <w:t xml:space="preserve">Max Ultra </w:t>
            </w:r>
            <w:r w:rsidR="003858B8">
              <w:t>edition</w:t>
            </w:r>
            <w:r w:rsidR="007B26A8">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2B449601" w14:textId="207E131A" w:rsidR="00897599" w:rsidRPr="004758D0" w:rsidRDefault="006B5718" w:rsidP="00897599">
            <w:pPr>
              <w:pStyle w:val="Tablecontent"/>
            </w:pPr>
            <w:r>
              <w:t xml:space="preserve">Operations are like fingerprints. Two companies can have identical architecture, yet their operations will not be the same. Their processes will differ, and </w:t>
            </w:r>
            <w:r w:rsidR="00373A73">
              <w:t>so are the</w:t>
            </w:r>
            <w:r>
              <w:t xml:space="preserve"> people </w:t>
            </w:r>
            <w:r w:rsidR="00373A73">
              <w:t>and policies</w:t>
            </w:r>
            <w:r>
              <w:t xml:space="preserve">, hence this book supports the idea that you tailor the product to your unique operations. Now you know why it comes in an </w:t>
            </w:r>
            <w:r w:rsidRPr="007F24FD">
              <w:rPr>
                <w:i/>
                <w:iCs/>
                <w:color w:val="00B0F0"/>
              </w:rPr>
              <w:t>editable format</w:t>
            </w:r>
            <w:r>
              <w:t>. Keep the good parts, throw away the bad ones, add your unique contents, and voila you have documented your operations! Post a screenshot of a cool customization you’ve done and you’ll make my day</w:t>
            </w:r>
            <w:r w:rsidR="00373A73">
              <w:t>!</w:t>
            </w:r>
          </w:p>
          <w:p w14:paraId="73B17F1C" w14:textId="77777777" w:rsidR="00897599" w:rsidRDefault="00897599" w:rsidP="00897599">
            <w:pPr>
              <w:pStyle w:val="Tablecontent"/>
            </w:pPr>
          </w:p>
        </w:tc>
      </w:tr>
      <w:tr w:rsidR="00897599" w14:paraId="7A5CA81F" w14:textId="77777777" w:rsidTr="0047132D">
        <w:tc>
          <w:tcPr>
            <w:tcW w:w="2430" w:type="dxa"/>
          </w:tcPr>
          <w:p w14:paraId="1F731ACC" w14:textId="2E3B2C5B" w:rsidR="00897599" w:rsidRPr="00897599" w:rsidRDefault="00897599" w:rsidP="00897599">
            <w:pPr>
              <w:pStyle w:val="Tablecontent"/>
              <w:rPr>
                <w:b/>
                <w:bCs/>
              </w:rPr>
            </w:pPr>
            <w:r w:rsidRPr="00897599">
              <w:rPr>
                <w:b/>
                <w:bCs/>
              </w:rPr>
              <w:t>What this book is not</w:t>
            </w:r>
          </w:p>
        </w:tc>
        <w:tc>
          <w:tcPr>
            <w:tcW w:w="8026" w:type="dxa"/>
          </w:tcPr>
          <w:p w14:paraId="07E58397" w14:textId="0F968CC7" w:rsidR="00897599" w:rsidRPr="004758D0" w:rsidRDefault="001E465E" w:rsidP="00897599">
            <w:pPr>
              <w:pStyle w:val="Tablecontent"/>
            </w:pPr>
            <w:r>
              <w:t xml:space="preserve">It </w:t>
            </w:r>
            <w:r w:rsidR="00897599" w:rsidRPr="004758D0">
              <w:t xml:space="preserve">is a solution book, </w:t>
            </w:r>
            <w:r w:rsidR="00897599" w:rsidRPr="00C320E3">
              <w:rPr>
                <w:color w:val="FF0000"/>
              </w:rPr>
              <w:t>not a product book</w:t>
            </w:r>
            <w:r w:rsidR="00897599" w:rsidRPr="004758D0">
              <w:t xml:space="preserve">. </w:t>
            </w:r>
            <w:r w:rsidR="00897599">
              <w:t>I</w:t>
            </w:r>
            <w:r w:rsidR="00897599" w:rsidRPr="004758D0">
              <w:t xml:space="preserve">t does not cover </w:t>
            </w:r>
            <w:r w:rsidR="00373A73">
              <w:t xml:space="preserve">VMware </w:t>
            </w:r>
            <w:r w:rsidR="00AB464D">
              <w:t xml:space="preserve">Aria </w:t>
            </w:r>
            <w:r w:rsidR="00897599" w:rsidRPr="004758D0">
              <w:t>feature by feature</w:t>
            </w:r>
            <w:r w:rsidR="00897599">
              <w:t>. It is not a place where you learn the product.</w:t>
            </w:r>
            <w:r w:rsidR="0044737A" w:rsidRPr="004758D0">
              <w:t xml:space="preserve"> There are many </w:t>
            </w:r>
            <w:r w:rsidR="0044737A">
              <w:t>materials on the Internet</w:t>
            </w:r>
            <w:r w:rsidR="0044737A" w:rsidRPr="004758D0">
              <w:t xml:space="preserve"> on </w:t>
            </w:r>
            <w:r w:rsidR="00E9371E">
              <w:t xml:space="preserve">how to use the product. </w:t>
            </w:r>
            <w:r w:rsidR="0044737A">
              <w:t>There</w:t>
            </w:r>
            <w:r w:rsidR="0044737A" w:rsidRPr="004758D0">
              <w:t xml:space="preserve"> is </w:t>
            </w:r>
            <w:r w:rsidR="0044737A">
              <w:t xml:space="preserve">also </w:t>
            </w:r>
            <w:r w:rsidR="00A70232">
              <w:t xml:space="preserve">the </w:t>
            </w:r>
            <w:hyperlink r:id="rId15">
              <w:r w:rsidR="00A70232" w:rsidRPr="5D58FCEA">
                <w:rPr>
                  <w:rStyle w:val="Hyperlink"/>
                </w:rPr>
                <w:t>official manual</w:t>
              </w:r>
            </w:hyperlink>
            <w:r w:rsidR="0044737A" w:rsidRPr="004758D0">
              <w:t>. You do read them, don’t you?</w:t>
            </w:r>
            <w:r w:rsidR="0044737A">
              <w:t xml:space="preserve"> </w:t>
            </w:r>
            <w:r w:rsidR="0044737A">
              <w:rPr>
                <mc:AlternateContent>
                  <mc:Choice Requires="w16se"/>
                  <mc:Fallback>
                    <w:rFonts w:ascii="Segoe UI Emoji" w:eastAsia="Segoe UI Emoji" w:hAnsi="Segoe UI Emoji" w:cs="Segoe UI Emoji"/>
                  </mc:Fallback>
                </mc:AlternateContent>
              </w:rPr>
              <mc:AlternateContent>
                <mc:Choice Requires="w16se">
                  <w16se:symEx w16se:font="Segoe UI Emoji" w16se:char="1F609"/>
                </mc:Choice>
                <mc:Fallback>
                  <w:t>😉</w:t>
                </mc:Fallback>
              </mc:AlternateContent>
            </w:r>
          </w:p>
          <w:p w14:paraId="0AF5DE26" w14:textId="23761BD5" w:rsidR="00897599" w:rsidRPr="004758D0" w:rsidRDefault="00897599" w:rsidP="00897599">
            <w:pPr>
              <w:pStyle w:val="Tablecontent"/>
            </w:pPr>
            <w:r w:rsidRPr="004758D0">
              <w:t xml:space="preserve">As this is not a product book, </w:t>
            </w:r>
            <w:r w:rsidR="00143DDA">
              <w:t xml:space="preserve">some </w:t>
            </w:r>
            <w:r w:rsidRPr="004758D0">
              <w:t>content</w:t>
            </w:r>
            <w:r w:rsidR="00143DDA">
              <w:t>s</w:t>
            </w:r>
            <w:r w:rsidRPr="004758D0">
              <w:t xml:space="preserve"> of the book can be implemented using earlier releases. To assure you that you can do that,</w:t>
            </w:r>
            <w:r w:rsidR="001E465E">
              <w:t xml:space="preserve"> I</w:t>
            </w:r>
            <w:r>
              <w:t xml:space="preserve"> have</w:t>
            </w:r>
            <w:r w:rsidRPr="004758D0">
              <w:t xml:space="preserve"> kept screenshots from older versions whenever possible. Now, </w:t>
            </w:r>
            <w:r w:rsidR="00255EFA" w:rsidRPr="004758D0">
              <w:t>that</w:t>
            </w:r>
            <w:r w:rsidR="00255EFA">
              <w:t xml:space="preserve"> is</w:t>
            </w:r>
            <w:r w:rsidR="00F673DC">
              <w:t xml:space="preserve"> also my </w:t>
            </w:r>
            <w:r w:rsidRPr="004758D0">
              <w:t xml:space="preserve">excuse for not </w:t>
            </w:r>
            <w:r w:rsidR="003313B7">
              <w:t xml:space="preserve">updating the old </w:t>
            </w:r>
            <w:r w:rsidRPr="004758D0">
              <w:t>screenshot</w:t>
            </w:r>
            <w:r w:rsidR="00255EFA">
              <w:t>s</w:t>
            </w:r>
            <w:r w:rsidR="00F673DC">
              <w:t>!</w:t>
            </w:r>
          </w:p>
          <w:p w14:paraId="3A872A12" w14:textId="4F089D6E" w:rsidR="003B2FE5" w:rsidRDefault="003B2FE5" w:rsidP="00897599">
            <w:pPr>
              <w:pStyle w:val="Tablecontent"/>
            </w:pPr>
            <w:r>
              <w:t xml:space="preserve">It </w:t>
            </w:r>
            <w:r w:rsidR="00897599" w:rsidRPr="004758D0">
              <w:t xml:space="preserve">focuses on the management of the </w:t>
            </w:r>
            <w:hyperlink r:id="rId16" w:history="1">
              <w:r w:rsidR="00897599" w:rsidRPr="00F673DC">
                <w:rPr>
                  <w:rStyle w:val="Hyperlink"/>
                </w:rPr>
                <w:t>SDDC</w:t>
              </w:r>
            </w:hyperlink>
            <w:r w:rsidR="00897599" w:rsidRPr="004758D0">
              <w:t xml:space="preserve"> and </w:t>
            </w:r>
            <w:hyperlink r:id="rId17" w:history="1">
              <w:r w:rsidR="00897599" w:rsidRPr="00BE113B">
                <w:rPr>
                  <w:rStyle w:val="Hyperlink"/>
                </w:rPr>
                <w:t>EUC</w:t>
              </w:r>
            </w:hyperlink>
            <w:r w:rsidR="00897599" w:rsidRPr="004758D0">
              <w:t xml:space="preserve">, not the architecture. </w:t>
            </w:r>
            <w:r w:rsidR="00255EFA" w:rsidRPr="004758D0">
              <w:t>So,</w:t>
            </w:r>
            <w:r w:rsidR="00897599" w:rsidRPr="004758D0">
              <w:t xml:space="preserve"> no</w:t>
            </w:r>
            <w:r w:rsidR="00897599">
              <w:t xml:space="preserve"> coverage </w:t>
            </w:r>
            <w:r w:rsidR="00D47702">
              <w:t xml:space="preserve">on </w:t>
            </w:r>
            <w:r w:rsidR="00897599" w:rsidRPr="004758D0">
              <w:t>design</w:t>
            </w:r>
            <w:r w:rsidR="00D47702">
              <w:t>, deployment and product troubleshooting</w:t>
            </w:r>
            <w:r w:rsidR="00897599" w:rsidRPr="004758D0">
              <w:t xml:space="preserve">. </w:t>
            </w:r>
          </w:p>
          <w:p w14:paraId="15580451" w14:textId="31DE5C49" w:rsidR="00897599" w:rsidRPr="004758D0" w:rsidRDefault="00897599" w:rsidP="00897599">
            <w:pPr>
              <w:pStyle w:val="Tablecontent"/>
            </w:pPr>
            <w:r w:rsidRPr="004758D0">
              <w:t>It also does not cover all aspects of operations, such as process innovation, organizational structure and</w:t>
            </w:r>
            <w:r w:rsidR="004207F7">
              <w:t xml:space="preserve"> </w:t>
            </w:r>
            <w:r w:rsidR="004207F7" w:rsidRPr="004758D0">
              <w:t>financial management</w:t>
            </w:r>
            <w:r w:rsidR="004207F7">
              <w:t>.</w:t>
            </w:r>
          </w:p>
          <w:p w14:paraId="1DD7C992" w14:textId="77777777" w:rsidR="00897599" w:rsidRDefault="00897599" w:rsidP="00897599">
            <w:pPr>
              <w:pStyle w:val="Tablecontent"/>
            </w:pPr>
          </w:p>
        </w:tc>
      </w:tr>
      <w:tr w:rsidR="007377E3" w14:paraId="52C68211" w14:textId="77777777" w:rsidTr="0047132D">
        <w:tc>
          <w:tcPr>
            <w:tcW w:w="2430" w:type="dxa"/>
          </w:tcPr>
          <w:p w14:paraId="49176F2B" w14:textId="3D84DA5D" w:rsidR="007377E3" w:rsidRPr="00897599" w:rsidRDefault="007377E3" w:rsidP="007377E3">
            <w:pPr>
              <w:pStyle w:val="Tablecontent"/>
              <w:rPr>
                <w:b/>
                <w:bCs/>
              </w:rPr>
            </w:pPr>
            <w:r w:rsidRPr="00897599">
              <w:rPr>
                <w:b/>
                <w:bCs/>
              </w:rPr>
              <w:t>Assumptions</w:t>
            </w:r>
          </w:p>
        </w:tc>
        <w:tc>
          <w:tcPr>
            <w:tcW w:w="8026" w:type="dxa"/>
          </w:tcPr>
          <w:p w14:paraId="0F75C6A9" w14:textId="170BF3BF" w:rsidR="00373A73" w:rsidRDefault="00B612E9" w:rsidP="00FB712F">
            <w:pPr>
              <w:pStyle w:val="Tablecontent"/>
            </w:pPr>
            <w:r>
              <w:t xml:space="preserve">You </w:t>
            </w:r>
            <w:r w:rsidR="00373A73">
              <w:t xml:space="preserve">have the latest release of the highest edition of </w:t>
            </w:r>
            <w:r>
              <w:t xml:space="preserve">Aria Operations. </w:t>
            </w:r>
          </w:p>
          <w:p w14:paraId="2310B398" w14:textId="28B81DF8" w:rsidR="007377E3" w:rsidRDefault="00B612E9" w:rsidP="00FB712F">
            <w:pPr>
              <w:pStyle w:val="Tablecontent"/>
            </w:pPr>
            <w:r>
              <w:t xml:space="preserve">The ability to customize </w:t>
            </w:r>
            <w:r w:rsidR="00AB464D">
              <w:t xml:space="preserve">Aria </w:t>
            </w:r>
            <w:r>
              <w:t xml:space="preserve">to your operations has been the hall mark of the product since it was released more than a decade ago. I was a pre-sales engineer when I first saw 1.0 many blue moons ago. The ability to slice and dice an environment was a godsend, as I spent a lot of time working with customers troubleshooting and optimizing their environment. This </w:t>
            </w:r>
            <w:r w:rsidR="006F3B48">
              <w:t>4</w:t>
            </w:r>
            <w:r w:rsidR="006F3B48" w:rsidRPr="006F3B48">
              <w:rPr>
                <w:vertAlign w:val="superscript"/>
              </w:rPr>
              <w:t>th</w:t>
            </w:r>
            <w:r w:rsidR="006F3B48">
              <w:t xml:space="preserve"> </w:t>
            </w:r>
            <w:r>
              <w:t>edition continues the tradition of the book by showcasing</w:t>
            </w:r>
            <w:r w:rsidR="00373A73">
              <w:t xml:space="preserve"> the full potential</w:t>
            </w:r>
            <w:r>
              <w:t xml:space="preserve">. Until today, I see </w:t>
            </w:r>
            <w:r w:rsidR="003313B7">
              <w:t>Aria Operations</w:t>
            </w:r>
            <w:r>
              <w:t xml:space="preserve"> as both a platform and a product</w:t>
            </w:r>
            <w:r w:rsidR="00373A73">
              <w:t>.</w:t>
            </w:r>
          </w:p>
        </w:tc>
      </w:tr>
    </w:tbl>
    <w:p w14:paraId="3F98095F" w14:textId="62874362" w:rsidR="002244A5" w:rsidRDefault="002244A5" w:rsidP="002461B3">
      <w:pPr>
        <w:pStyle w:val="PreContent"/>
      </w:pPr>
      <w:r>
        <w:lastRenderedPageBreak/>
        <w:t xml:space="preserve">How </w:t>
      </w:r>
      <w:r w:rsidR="00967472">
        <w:t>T</w:t>
      </w:r>
      <w:r>
        <w:t xml:space="preserve">o </w:t>
      </w:r>
      <w:r w:rsidR="00967472">
        <w:t>U</w:t>
      </w:r>
      <w:r>
        <w:t xml:space="preserve">se </w:t>
      </w:r>
      <w:r w:rsidR="00967472">
        <w:t>T</w:t>
      </w:r>
      <w:r>
        <w:t xml:space="preserve">his </w:t>
      </w:r>
      <w:r w:rsidR="00967472">
        <w:t>B</w:t>
      </w:r>
      <w:r>
        <w:t xml:space="preserve">ook </w:t>
      </w:r>
    </w:p>
    <w:p w14:paraId="46AC49AB" w14:textId="65F8699C" w:rsidR="002244A5" w:rsidRDefault="0008406F" w:rsidP="002244A5">
      <w:pPr>
        <w:pStyle w:val="AfterChapterTitle"/>
      </w:pPr>
      <w:bookmarkStart w:id="0" w:name="_Hlk136167971"/>
      <w:bookmarkStart w:id="1" w:name="_Hlk134345382"/>
      <w:r>
        <w:t xml:space="preserve">The book is designed to be consumed as </w:t>
      </w:r>
      <w:r w:rsidRPr="00813FC5">
        <w:rPr>
          <w:color w:val="FF0000"/>
        </w:rPr>
        <w:t xml:space="preserve">offline </w:t>
      </w:r>
      <w:r>
        <w:t xml:space="preserve">Microsoft Word document on Windows. It is </w:t>
      </w:r>
      <w:r w:rsidRPr="00813FC5">
        <w:rPr>
          <w:color w:val="FF0000"/>
        </w:rPr>
        <w:t xml:space="preserve">not </w:t>
      </w:r>
      <w:r>
        <w:t>designed to be printed. Its table of content is the side menu of Microsoft Word. Follow the steps shown on following screenshot</w:t>
      </w:r>
      <w:r w:rsidR="000D7171">
        <w:t>:</w:t>
      </w:r>
      <w:bookmarkEnd w:id="0"/>
    </w:p>
    <w:bookmarkEnd w:id="1"/>
    <w:p w14:paraId="3AD107F0" w14:textId="3B526DD7" w:rsidR="002244A5" w:rsidRDefault="00A64446" w:rsidP="002244A5">
      <w:r w:rsidRPr="00A64446">
        <w:rPr>
          <w:noProof/>
        </w:rPr>
        <w:drawing>
          <wp:inline distT="0" distB="0" distL="0" distR="0" wp14:anchorId="39EFA23C" wp14:editId="58D15D92">
            <wp:extent cx="6645910" cy="3738880"/>
            <wp:effectExtent l="0" t="0" r="2540" b="0"/>
            <wp:docPr id="357815370" name="Picture 357815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645910" cy="3738880"/>
                    </a:xfrm>
                    <a:prstGeom prst="rect">
                      <a:avLst/>
                    </a:prstGeom>
                  </pic:spPr>
                </pic:pic>
              </a:graphicData>
            </a:graphic>
          </wp:inline>
        </w:drawing>
      </w:r>
    </w:p>
    <w:p w14:paraId="6DE2C797" w14:textId="198B4550" w:rsidR="00A64446" w:rsidRDefault="00A64446" w:rsidP="00A64446">
      <w:bookmarkStart w:id="2" w:name="_Hlk134345406"/>
      <w:r>
        <w:t xml:space="preserve">Use the navigation as a dynamic table of content, else it’s easy to be lost even when using 43” monitor. If you simply read it top down, without having the navigation on the left, you will feel that the chapter ends abruptly. The reason is each chapter does </w:t>
      </w:r>
      <w:r w:rsidRPr="00967472">
        <w:rPr>
          <w:color w:val="FF0000"/>
        </w:rPr>
        <w:t xml:space="preserve">not </w:t>
      </w:r>
      <w:r>
        <w:t>end with a summary, which is required in printed book</w:t>
      </w:r>
      <w:r w:rsidR="003762D3">
        <w:t>s</w:t>
      </w:r>
      <w:r>
        <w:t xml:space="preserve"> but </w:t>
      </w:r>
      <w:r w:rsidR="003762D3">
        <w:t>redundant</w:t>
      </w:r>
      <w:r>
        <w:t xml:space="preserve"> in online book</w:t>
      </w:r>
      <w:r w:rsidR="003762D3">
        <w:t>s</w:t>
      </w:r>
      <w:r>
        <w:t>.</w:t>
      </w:r>
    </w:p>
    <w:p w14:paraId="2F181C63" w14:textId="77777777" w:rsidR="00923141" w:rsidRDefault="00923141" w:rsidP="00A64446"/>
    <w:bookmarkEnd w:id="2"/>
    <w:p w14:paraId="644CA89F" w14:textId="77777777" w:rsidR="00A64446" w:rsidRDefault="00A64446" w:rsidP="002244A5"/>
    <w:p w14:paraId="14222149" w14:textId="0F6319B9" w:rsidR="00122FB7" w:rsidRDefault="00122FB7" w:rsidP="00C351C6">
      <w:pPr>
        <w:pStyle w:val="BeforeTable"/>
      </w:pPr>
    </w:p>
    <w:p w14:paraId="3FF8A2D4" w14:textId="2B7DB5FB" w:rsidR="00477397" w:rsidRPr="004758D0" w:rsidRDefault="006B0D03" w:rsidP="002461B3">
      <w:pPr>
        <w:pStyle w:val="PreContent"/>
      </w:pPr>
      <w:r w:rsidRPr="004758D0">
        <w:lastRenderedPageBreak/>
        <w:t>Table of Contents</w:t>
      </w:r>
    </w:p>
    <w:p w14:paraId="3594344D" w14:textId="6CD1195B" w:rsidR="008353AF" w:rsidRDefault="00D06787" w:rsidP="008E7A88">
      <w:pPr>
        <w:pStyle w:val="AfterChapterTitle"/>
        <w:spacing w:before="4080"/>
      </w:pPr>
      <w:r w:rsidRPr="00D06787">
        <w:drawing>
          <wp:inline distT="0" distB="0" distL="0" distR="0" wp14:anchorId="2E40F98E" wp14:editId="1349E242">
            <wp:extent cx="6645910" cy="2898140"/>
            <wp:effectExtent l="0" t="0" r="2540" b="0"/>
            <wp:docPr id="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computer&#10;&#10;Description automatically generated"/>
                    <pic:cNvPicPr/>
                  </pic:nvPicPr>
                  <pic:blipFill>
                    <a:blip r:embed="rId19"/>
                    <a:stretch>
                      <a:fillRect/>
                    </a:stretch>
                  </pic:blipFill>
                  <pic:spPr>
                    <a:xfrm>
                      <a:off x="0" y="0"/>
                      <a:ext cx="6645910" cy="2898140"/>
                    </a:xfrm>
                    <a:prstGeom prst="rect">
                      <a:avLst/>
                    </a:prstGeom>
                  </pic:spPr>
                </pic:pic>
              </a:graphicData>
            </a:graphic>
          </wp:inline>
        </w:drawing>
      </w:r>
    </w:p>
    <w:p w14:paraId="468EB925" w14:textId="77777777" w:rsidR="00D06787" w:rsidRDefault="00D06787" w:rsidP="00D06787">
      <w:pPr>
        <w:pStyle w:val="BeforeTable"/>
      </w:pPr>
    </w:p>
    <w:tbl>
      <w:tblPr>
        <w:tblStyle w:val="TableGridLight"/>
        <w:tblW w:w="103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559"/>
        <w:gridCol w:w="8791"/>
      </w:tblGrid>
      <w:tr w:rsidR="008353AF" w:rsidRPr="00BD2044" w14:paraId="4E34BF49" w14:textId="77777777" w:rsidTr="008353AF">
        <w:trPr>
          <w:trHeight w:val="302"/>
        </w:trPr>
        <w:tc>
          <w:tcPr>
            <w:tcW w:w="1559" w:type="dxa"/>
            <w:shd w:val="clear" w:color="auto" w:fill="F2F2F2" w:themeFill="background1" w:themeFillShade="F2"/>
          </w:tcPr>
          <w:p w14:paraId="12521A04" w14:textId="77777777" w:rsidR="008353AF" w:rsidRPr="007B4F4F" w:rsidRDefault="008353AF" w:rsidP="00E440AB">
            <w:pPr>
              <w:pStyle w:val="Tablecontent"/>
            </w:pPr>
            <w:r>
              <w:t>Concept</w:t>
            </w:r>
          </w:p>
        </w:tc>
        <w:tc>
          <w:tcPr>
            <w:tcW w:w="8791" w:type="dxa"/>
            <w:shd w:val="clear" w:color="auto" w:fill="auto"/>
          </w:tcPr>
          <w:p w14:paraId="3A45D7CF" w14:textId="77777777" w:rsidR="008353AF" w:rsidRDefault="008353AF" w:rsidP="00E440AB">
            <w:pPr>
              <w:pStyle w:val="Tablecontent"/>
              <w:rPr>
                <w:rFonts w:ascii="Calibri" w:hAnsi="Calibri" w:cs="Calibri"/>
                <w:color w:val="171717" w:themeColor="background2" w:themeShade="1A"/>
                <w:kern w:val="24"/>
              </w:rPr>
            </w:pPr>
            <w:r w:rsidRPr="00EF0CC4">
              <w:rPr>
                <w:rFonts w:ascii="Calibri" w:hAnsi="Calibri" w:cs="Calibri"/>
                <w:color w:val="171717" w:themeColor="background2" w:themeShade="1A"/>
                <w:kern w:val="24"/>
              </w:rPr>
              <w:t xml:space="preserve">It covers </w:t>
            </w:r>
            <w:r>
              <w:rPr>
                <w:rFonts w:ascii="Calibri" w:hAnsi="Calibri" w:cs="Calibri"/>
                <w:color w:val="171717" w:themeColor="background2" w:themeShade="1A"/>
                <w:kern w:val="24"/>
              </w:rPr>
              <w:t xml:space="preserve">all the pillars of IT Operations, and </w:t>
            </w:r>
            <w:r w:rsidRPr="00EF0CC4">
              <w:rPr>
                <w:rFonts w:ascii="Calibri" w:hAnsi="Calibri" w:cs="Calibri"/>
                <w:color w:val="171717" w:themeColor="background2" w:themeShade="1A"/>
                <w:kern w:val="24"/>
              </w:rPr>
              <w:t xml:space="preserve">the best practices </w:t>
            </w:r>
            <w:r>
              <w:rPr>
                <w:rFonts w:ascii="Calibri" w:hAnsi="Calibri" w:cs="Calibri"/>
                <w:color w:val="171717" w:themeColor="background2" w:themeShade="1A"/>
                <w:kern w:val="24"/>
              </w:rPr>
              <w:t>to manage them. It provides the overview and suitable for management role.</w:t>
            </w:r>
          </w:p>
          <w:p w14:paraId="72BCC093" w14:textId="546B27A6" w:rsidR="008353AF" w:rsidRPr="0077050D" w:rsidRDefault="008353AF" w:rsidP="00E440AB">
            <w:pPr>
              <w:pStyle w:val="Tablecontent"/>
            </w:pPr>
            <w:r>
              <w:t xml:space="preserve">It explains the root cause of why IT struggles with </w:t>
            </w:r>
            <w:r w:rsidR="006D28BA">
              <w:t xml:space="preserve">Multicloud </w:t>
            </w:r>
            <w:r>
              <w:t xml:space="preserve">Operations, and then shares a new paradigm that has resonated well with customers. It aims to correct decade-old misconceptions </w:t>
            </w:r>
            <w:r w:rsidR="00DF49CF">
              <w:t xml:space="preserve">on </w:t>
            </w:r>
            <w:r>
              <w:t>“</w:t>
            </w:r>
            <w:r w:rsidRPr="00BD2360">
              <w:rPr>
                <w:color w:val="00B0F0"/>
              </w:rPr>
              <w:t>best practices</w:t>
            </w:r>
            <w:r>
              <w:t xml:space="preserve">”. </w:t>
            </w:r>
          </w:p>
        </w:tc>
      </w:tr>
      <w:tr w:rsidR="008353AF" w:rsidRPr="00BD2044" w14:paraId="1EDD3F49" w14:textId="77777777" w:rsidTr="008353AF">
        <w:trPr>
          <w:trHeight w:val="302"/>
        </w:trPr>
        <w:tc>
          <w:tcPr>
            <w:tcW w:w="1559" w:type="dxa"/>
            <w:shd w:val="clear" w:color="auto" w:fill="F2F2F2" w:themeFill="background1" w:themeFillShade="F2"/>
          </w:tcPr>
          <w:p w14:paraId="57BFCAB5" w14:textId="77777777" w:rsidR="008353AF" w:rsidRDefault="008353AF" w:rsidP="00E440AB">
            <w:pPr>
              <w:pStyle w:val="Tablecontent"/>
            </w:pPr>
            <w:r>
              <w:t>Counters</w:t>
            </w:r>
          </w:p>
        </w:tc>
        <w:tc>
          <w:tcPr>
            <w:tcW w:w="8791" w:type="dxa"/>
            <w:shd w:val="clear" w:color="auto" w:fill="auto"/>
          </w:tcPr>
          <w:p w14:paraId="73D0731E" w14:textId="01EB6246" w:rsidR="00DF49CF" w:rsidRPr="00585473" w:rsidRDefault="008353AF" w:rsidP="008E7A88">
            <w:pPr>
              <w:pStyle w:val="Tablecontent"/>
            </w:pPr>
            <w:r>
              <w:rPr>
                <w:rFonts w:ascii="Calibri" w:hAnsi="Calibri" w:cs="Calibri"/>
                <w:color w:val="171717" w:themeColor="background2" w:themeShade="1A"/>
                <w:kern w:val="24"/>
              </w:rPr>
              <w:t xml:space="preserve">It goes deep into metrics used to quantify the model explained in Part 1, including how they are related and </w:t>
            </w:r>
            <w:r>
              <w:t xml:space="preserve">what a good value should be in a healthy environment. </w:t>
            </w:r>
          </w:p>
        </w:tc>
      </w:tr>
      <w:tr w:rsidR="008353AF" w:rsidRPr="00BD2044" w14:paraId="3F427159" w14:textId="77777777" w:rsidTr="008353AF">
        <w:trPr>
          <w:trHeight w:val="302"/>
        </w:trPr>
        <w:tc>
          <w:tcPr>
            <w:tcW w:w="1559" w:type="dxa"/>
            <w:shd w:val="clear" w:color="auto" w:fill="F2F2F2" w:themeFill="background1" w:themeFillShade="F2"/>
          </w:tcPr>
          <w:p w14:paraId="0AB0253E" w14:textId="77777777" w:rsidR="008353AF" w:rsidRDefault="008353AF" w:rsidP="00E440AB">
            <w:pPr>
              <w:pStyle w:val="Tablecontent"/>
            </w:pPr>
            <w:r>
              <w:t>Consumption</w:t>
            </w:r>
          </w:p>
        </w:tc>
        <w:tc>
          <w:tcPr>
            <w:tcW w:w="8791" w:type="dxa"/>
            <w:shd w:val="clear" w:color="auto" w:fill="auto"/>
          </w:tcPr>
          <w:p w14:paraId="229167A9" w14:textId="7A8EE118" w:rsidR="008353AF" w:rsidRPr="00EF0CC4" w:rsidRDefault="008353AF" w:rsidP="00D06787">
            <w:pPr>
              <w:pStyle w:val="Tablecontent"/>
              <w:rPr>
                <w:rFonts w:ascii="Calibri" w:hAnsi="Calibri" w:cs="Calibri"/>
                <w:color w:val="171717" w:themeColor="background2" w:themeShade="1A"/>
                <w:kern w:val="24"/>
              </w:rPr>
            </w:pPr>
            <w:r>
              <w:rPr>
                <w:rFonts w:ascii="Calibri" w:hAnsi="Calibri" w:cs="Calibri"/>
                <w:color w:val="171717" w:themeColor="background2" w:themeShade="1A"/>
                <w:kern w:val="24"/>
              </w:rPr>
              <w:t>It covers dashboards, alerts</w:t>
            </w:r>
            <w:r w:rsidR="008E7A88">
              <w:rPr>
                <w:rFonts w:ascii="Calibri" w:hAnsi="Calibri" w:cs="Calibri"/>
                <w:color w:val="171717" w:themeColor="background2" w:themeShade="1A"/>
                <w:kern w:val="24"/>
              </w:rPr>
              <w:t>, reports</w:t>
            </w:r>
            <w:r>
              <w:rPr>
                <w:rFonts w:ascii="Calibri" w:hAnsi="Calibri" w:cs="Calibri"/>
                <w:color w:val="171717" w:themeColor="background2" w:themeShade="1A"/>
                <w:kern w:val="24"/>
              </w:rPr>
              <w:t xml:space="preserve"> that consumes the </w:t>
            </w:r>
            <w:r w:rsidR="008E7A88">
              <w:rPr>
                <w:rFonts w:ascii="Calibri" w:hAnsi="Calibri" w:cs="Calibri"/>
                <w:color w:val="171717" w:themeColor="background2" w:themeShade="1A"/>
                <w:kern w:val="24"/>
              </w:rPr>
              <w:t>counters</w:t>
            </w:r>
            <w:r>
              <w:rPr>
                <w:rFonts w:ascii="Calibri" w:hAnsi="Calibri" w:cs="Calibri"/>
                <w:color w:val="171717" w:themeColor="background2" w:themeShade="1A"/>
                <w:kern w:val="24"/>
              </w:rPr>
              <w:t xml:space="preserve"> and concept</w:t>
            </w:r>
            <w:r>
              <w:t>, so it gets hands-on and assumes knowledge of the products</w:t>
            </w:r>
            <w:r>
              <w:rPr>
                <w:rFonts w:ascii="Calibri" w:hAnsi="Calibri" w:cs="Calibri"/>
                <w:color w:val="171717" w:themeColor="background2" w:themeShade="1A"/>
                <w:kern w:val="24"/>
              </w:rPr>
              <w:t xml:space="preserve">. </w:t>
            </w:r>
          </w:p>
        </w:tc>
      </w:tr>
    </w:tbl>
    <w:p w14:paraId="04DAE9F7" w14:textId="603B5BFD" w:rsidR="001519FB" w:rsidRDefault="00897599" w:rsidP="001519FB">
      <w:r>
        <w:t xml:space="preserve">You do not have to read them from part 1 to part </w:t>
      </w:r>
      <w:r w:rsidR="004F5887">
        <w:t>3</w:t>
      </w:r>
      <w:r w:rsidR="244E331F">
        <w:t xml:space="preserve">, although it will be easier to understand if you read </w:t>
      </w:r>
      <w:r w:rsidR="00786173">
        <w:t>sequentially</w:t>
      </w:r>
      <w:r w:rsidR="00585641">
        <w:t>.</w:t>
      </w:r>
      <w:r>
        <w:t xml:space="preserve"> </w:t>
      </w:r>
      <w:r w:rsidR="63178EB2">
        <w:t xml:space="preserve">Because each part stands alone, </w:t>
      </w:r>
      <w:r>
        <w:t>the chapter number begins with 1 at the start of each part. The other reason is I’m tired of manually renumbering the darn chapters!</w:t>
      </w:r>
    </w:p>
    <w:p w14:paraId="19AAA46E" w14:textId="77777777" w:rsidR="00025FEC" w:rsidRDefault="00025FEC">
      <w:pPr>
        <w:keepLines w:val="0"/>
        <w:suppressAutoHyphens w:val="0"/>
        <w:spacing w:before="0" w:after="160"/>
        <w:rPr>
          <w:b/>
          <w:bCs/>
          <w:sz w:val="28"/>
          <w:szCs w:val="28"/>
        </w:rPr>
      </w:pPr>
      <w:r>
        <w:rPr>
          <w:b/>
          <w:bCs/>
          <w:sz w:val="28"/>
          <w:szCs w:val="28"/>
        </w:rPr>
        <w:br w:type="page"/>
      </w:r>
    </w:p>
    <w:p w14:paraId="6044EA93" w14:textId="321CE5DA" w:rsidR="00967472" w:rsidRPr="00967472" w:rsidRDefault="00967472" w:rsidP="00967472">
      <w:pPr>
        <w:keepNext/>
        <w:spacing w:before="480"/>
        <w:rPr>
          <w:b/>
          <w:bCs/>
          <w:sz w:val="28"/>
          <w:szCs w:val="28"/>
        </w:rPr>
      </w:pPr>
      <w:r w:rsidRPr="00967472">
        <w:rPr>
          <w:b/>
          <w:bCs/>
          <w:sz w:val="28"/>
          <w:szCs w:val="28"/>
        </w:rPr>
        <w:lastRenderedPageBreak/>
        <w:t>Part 4</w:t>
      </w:r>
    </w:p>
    <w:p w14:paraId="26E10488" w14:textId="6346EFE5" w:rsidR="004F5887" w:rsidRPr="004F5887" w:rsidRDefault="004F5887" w:rsidP="004F5887">
      <w:r>
        <w:t>I added Part 4 for miscellaneous stuff</w:t>
      </w:r>
      <w:r w:rsidR="00967472">
        <w:t xml:space="preserve"> that I’m not sure where to put yet</w:t>
      </w:r>
      <w:r>
        <w:t>. It also includes level 100 material. In future, majority of Part 4 will move to VMwareOpsGuide.com site.</w:t>
      </w:r>
    </w:p>
    <w:p w14:paraId="7523C603" w14:textId="7B551751" w:rsidR="00D31DE4" w:rsidRDefault="00D31DE4" w:rsidP="00DC0A6B">
      <w:pPr>
        <w:spacing w:before="60"/>
        <w:ind w:left="720"/>
      </w:pPr>
      <w:r w:rsidRPr="004758D0">
        <w:t xml:space="preserve">Chapter </w:t>
      </w:r>
      <w:r w:rsidR="007C6E75">
        <w:t>1</w:t>
      </w:r>
      <w:r w:rsidRPr="004758D0">
        <w:t>: Operational Maturity</w:t>
      </w:r>
    </w:p>
    <w:p w14:paraId="1638D70E" w14:textId="5238AE82" w:rsidR="00B35AFF" w:rsidRDefault="00B35AFF" w:rsidP="00DC0A6B">
      <w:pPr>
        <w:spacing w:before="60"/>
        <w:ind w:left="720"/>
      </w:pPr>
      <w:r w:rsidRPr="004758D0">
        <w:t xml:space="preserve">Chapter </w:t>
      </w:r>
      <w:r w:rsidR="007C6E75">
        <w:t>2</w:t>
      </w:r>
      <w:r w:rsidRPr="004758D0">
        <w:t xml:space="preserve">: </w:t>
      </w:r>
      <w:r w:rsidR="00062CBF">
        <w:t>SDDC vs IaaS</w:t>
      </w:r>
    </w:p>
    <w:p w14:paraId="3E6FE75D" w14:textId="64854834" w:rsidR="004666CE" w:rsidRDefault="004B7F57" w:rsidP="00E41C7B">
      <w:pPr>
        <w:spacing w:before="60"/>
        <w:ind w:left="720"/>
      </w:pPr>
      <w:r>
        <w:t xml:space="preserve">Chapter </w:t>
      </w:r>
      <w:r w:rsidR="00DF49CF">
        <w:t>3</w:t>
      </w:r>
      <w:r>
        <w:t xml:space="preserve">: </w:t>
      </w:r>
      <w:r w:rsidR="00721B5F">
        <w:t>Infrastructure Architect</w:t>
      </w:r>
    </w:p>
    <w:p w14:paraId="1EB05A7D" w14:textId="2079D269" w:rsidR="00893FC3" w:rsidRDefault="00025FEC" w:rsidP="00893FC3">
      <w:pPr>
        <w:keepNext/>
        <w:spacing w:before="480"/>
        <w:rPr>
          <w:b/>
          <w:bCs/>
          <w:sz w:val="28"/>
          <w:szCs w:val="28"/>
        </w:rPr>
      </w:pPr>
      <w:r>
        <w:rPr>
          <w:b/>
          <w:bCs/>
          <w:sz w:val="28"/>
          <w:szCs w:val="28"/>
        </w:rPr>
        <w:t>Removed Chapters</w:t>
      </w:r>
    </w:p>
    <w:p w14:paraId="30427CFB" w14:textId="198CAC84" w:rsidR="00D06787" w:rsidRDefault="00D06787" w:rsidP="00D06787">
      <w:pPr>
        <w:pStyle w:val="Tablecontent"/>
      </w:pPr>
      <w:r>
        <w:t xml:space="preserve">Over the last decade, the book grew to over 1000 page. It makes it harder to digest, and even harder to edit as Microsoft Word is a single-thread application. </w:t>
      </w:r>
    </w:p>
    <w:p w14:paraId="5D79A9A5" w14:textId="2E625D09" w:rsidR="00025FEC" w:rsidRDefault="00D06787" w:rsidP="00D06787">
      <w:pPr>
        <w:pStyle w:val="Tablecontent"/>
      </w:pPr>
      <w:r>
        <w:t xml:space="preserve">I’ve removed the following chapters. </w:t>
      </w:r>
      <w:r w:rsidR="00025FEC">
        <w:t xml:space="preserve">Some are available at </w:t>
      </w:r>
      <w:hyperlink r:id="rId20" w:history="1">
        <w:r w:rsidR="00025FEC">
          <w:rPr>
            <w:rStyle w:val="Hyperlink"/>
          </w:rPr>
          <w:t>VMware Ops Guide</w:t>
        </w:r>
      </w:hyperlink>
      <w:r w:rsidR="00025FEC">
        <w:t xml:space="preserve"> website by </w:t>
      </w:r>
      <w:hyperlink r:id="rId21" w:history="1">
        <w:r w:rsidR="00025FEC" w:rsidRPr="00D92083">
          <w:rPr>
            <w:rStyle w:val="Hyperlink"/>
          </w:rPr>
          <w:t>Stellios Williams</w:t>
        </w:r>
      </w:hyperlink>
      <w:r w:rsidR="00025FEC">
        <w:t>.</w:t>
      </w:r>
      <w:r w:rsidR="00025FEC">
        <w:t xml:space="preserve"> </w:t>
      </w:r>
    </w:p>
    <w:p w14:paraId="42D13213" w14:textId="41E1CF30" w:rsidR="00025FEC" w:rsidRDefault="00025FEC" w:rsidP="00D06787">
      <w:pPr>
        <w:pStyle w:val="Tablecontent"/>
      </w:pPr>
      <w:r>
        <w:t>I plan to keep each book maximum 500 pages, so there is a lot more to remove.</w:t>
      </w:r>
    </w:p>
    <w:p w14:paraId="224A71B6" w14:textId="438EEF28" w:rsidR="00D06787" w:rsidRDefault="00D06787" w:rsidP="00D06787">
      <w:pPr>
        <w:pStyle w:val="Tablecontent"/>
      </w:pPr>
      <w:r>
        <w:t>If you need them, just reach out to me on LinkedIn.</w:t>
      </w:r>
    </w:p>
    <w:p w14:paraId="702BD858" w14:textId="77777777" w:rsidR="00D06787" w:rsidRDefault="00D06787" w:rsidP="00D06787">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150"/>
        <w:gridCol w:w="7306"/>
      </w:tblGrid>
      <w:tr w:rsidR="00D06787" w:rsidRPr="00D81CD9" w14:paraId="389028A5" w14:textId="77777777" w:rsidTr="00025FEC">
        <w:tc>
          <w:tcPr>
            <w:tcW w:w="3150" w:type="dxa"/>
            <w:shd w:val="clear" w:color="auto" w:fill="F2F2F2" w:themeFill="background1" w:themeFillShade="F2"/>
          </w:tcPr>
          <w:p w14:paraId="014820BE" w14:textId="1A366358" w:rsidR="00D06787" w:rsidRDefault="00D06787" w:rsidP="00D06787">
            <w:pPr>
              <w:pStyle w:val="Tableheading"/>
            </w:pPr>
            <w:r>
              <w:t>Chapter</w:t>
            </w:r>
          </w:p>
        </w:tc>
        <w:tc>
          <w:tcPr>
            <w:tcW w:w="7306" w:type="dxa"/>
            <w:shd w:val="clear" w:color="auto" w:fill="F2F2F2" w:themeFill="background1" w:themeFillShade="F2"/>
          </w:tcPr>
          <w:p w14:paraId="471CD7D0" w14:textId="353A0305" w:rsidR="00D06787" w:rsidRPr="0072799F" w:rsidRDefault="00D06787" w:rsidP="00D06787">
            <w:pPr>
              <w:pStyle w:val="Tableheading"/>
            </w:pPr>
            <w:r>
              <w:t>Reason</w:t>
            </w:r>
          </w:p>
        </w:tc>
      </w:tr>
      <w:tr w:rsidR="00D06787" w:rsidRPr="00D81CD9" w14:paraId="4A377C25" w14:textId="77777777" w:rsidTr="00025FEC">
        <w:tc>
          <w:tcPr>
            <w:tcW w:w="3150" w:type="dxa"/>
            <w:shd w:val="clear" w:color="auto" w:fill="auto"/>
          </w:tcPr>
          <w:p w14:paraId="0148C781" w14:textId="67E36356" w:rsidR="00D06787" w:rsidRPr="00025FEC" w:rsidRDefault="00D06787" w:rsidP="00A06774">
            <w:pPr>
              <w:pStyle w:val="Tablecontent"/>
            </w:pPr>
            <w:r w:rsidRPr="00025FEC">
              <w:t>Availability Management</w:t>
            </w:r>
          </w:p>
        </w:tc>
        <w:tc>
          <w:tcPr>
            <w:tcW w:w="7306" w:type="dxa"/>
            <w:shd w:val="clear" w:color="auto" w:fill="auto"/>
          </w:tcPr>
          <w:p w14:paraId="289DD66A" w14:textId="48D3C6F0" w:rsidR="00D06787" w:rsidRPr="00D06787" w:rsidRDefault="00D06787" w:rsidP="00D06787">
            <w:pPr>
              <w:pStyle w:val="Tablecontent"/>
            </w:pPr>
            <w:r>
              <w:t>The content is not complete and deep enough to exist as a chapter. I plan to address in 2024</w:t>
            </w:r>
          </w:p>
        </w:tc>
      </w:tr>
      <w:tr w:rsidR="00D06787" w:rsidRPr="00D81CD9" w14:paraId="003665A3" w14:textId="77777777" w:rsidTr="00025FEC">
        <w:tc>
          <w:tcPr>
            <w:tcW w:w="3150" w:type="dxa"/>
            <w:shd w:val="clear" w:color="auto" w:fill="auto"/>
          </w:tcPr>
          <w:p w14:paraId="56468948" w14:textId="15BD120E" w:rsidR="00D06787" w:rsidRPr="00025FEC" w:rsidRDefault="00D06787" w:rsidP="00A06774">
            <w:pPr>
              <w:pStyle w:val="Tablecontent"/>
            </w:pPr>
            <w:r w:rsidRPr="00025FEC">
              <w:t>Compliance Management</w:t>
            </w:r>
          </w:p>
        </w:tc>
        <w:tc>
          <w:tcPr>
            <w:tcW w:w="7306" w:type="dxa"/>
            <w:shd w:val="clear" w:color="auto" w:fill="auto"/>
          </w:tcPr>
          <w:p w14:paraId="6B0D81B8" w14:textId="513B20F3" w:rsidR="00D06787" w:rsidRPr="0072799F" w:rsidRDefault="00D06787" w:rsidP="00A06774">
            <w:pPr>
              <w:pStyle w:val="Tablecontent"/>
            </w:pPr>
            <w:r>
              <w:t>As above</w:t>
            </w:r>
          </w:p>
        </w:tc>
      </w:tr>
      <w:tr w:rsidR="00D06787" w:rsidRPr="00D81CD9" w14:paraId="7A5E2E04" w14:textId="77777777" w:rsidTr="00025FEC">
        <w:tc>
          <w:tcPr>
            <w:tcW w:w="3150" w:type="dxa"/>
            <w:shd w:val="clear" w:color="auto" w:fill="auto"/>
          </w:tcPr>
          <w:p w14:paraId="674E2120" w14:textId="6CBCDA96" w:rsidR="00D06787" w:rsidRPr="00025FEC" w:rsidRDefault="00D06787" w:rsidP="00A06774">
            <w:pPr>
              <w:pStyle w:val="Tablecontent"/>
            </w:pPr>
            <w:r w:rsidRPr="00025FEC">
              <w:t>Kubernetes</w:t>
            </w:r>
          </w:p>
        </w:tc>
        <w:tc>
          <w:tcPr>
            <w:tcW w:w="7306" w:type="dxa"/>
            <w:shd w:val="clear" w:color="auto" w:fill="auto"/>
          </w:tcPr>
          <w:p w14:paraId="3B59AD67" w14:textId="3FB8B288" w:rsidR="00D06787" w:rsidRDefault="00D06787" w:rsidP="00A06774">
            <w:pPr>
              <w:pStyle w:val="Tablecontent"/>
            </w:pPr>
            <w:r>
              <w:t xml:space="preserve">I’m spinning off K8 into a separate book as </w:t>
            </w:r>
            <w:r w:rsidR="00025FEC">
              <w:t xml:space="preserve">the content grew over 100 pages. Plus </w:t>
            </w:r>
            <w:r>
              <w:t>the target audience may not use vSphere</w:t>
            </w:r>
            <w:r w:rsidR="00025FEC">
              <w:t>. The book is target for end of 2023.</w:t>
            </w:r>
          </w:p>
        </w:tc>
      </w:tr>
      <w:tr w:rsidR="00025FEC" w:rsidRPr="00D81CD9" w14:paraId="0474F4FE" w14:textId="77777777" w:rsidTr="00025FEC">
        <w:tc>
          <w:tcPr>
            <w:tcW w:w="3150" w:type="dxa"/>
            <w:shd w:val="clear" w:color="auto" w:fill="auto"/>
          </w:tcPr>
          <w:p w14:paraId="5FD9595B" w14:textId="053AE057" w:rsidR="00025FEC" w:rsidRDefault="00025FEC" w:rsidP="00A06774">
            <w:pPr>
              <w:pStyle w:val="Tablecontent"/>
              <w:rPr>
                <w:b/>
                <w:bCs/>
              </w:rPr>
            </w:pPr>
            <w:hyperlink r:id="rId22" w:history="1">
              <w:r w:rsidRPr="00577A42">
                <w:rPr>
                  <w:rStyle w:val="Hyperlink"/>
                </w:rPr>
                <w:t>True Visibility Suite Dashboards</w:t>
              </w:r>
            </w:hyperlink>
          </w:p>
        </w:tc>
        <w:tc>
          <w:tcPr>
            <w:tcW w:w="7306" w:type="dxa"/>
            <w:shd w:val="clear" w:color="auto" w:fill="auto"/>
          </w:tcPr>
          <w:p w14:paraId="3045E528" w14:textId="29D4A7EB" w:rsidR="00025FEC" w:rsidRDefault="00025FEC" w:rsidP="00A06774">
            <w:pPr>
              <w:pStyle w:val="Tablecontent"/>
            </w:pPr>
            <w:r>
              <w:t xml:space="preserve">Authored by </w:t>
            </w:r>
            <w:hyperlink r:id="rId23" w:history="1">
              <w:r w:rsidRPr="00025FEC">
                <w:rPr>
                  <w:rStyle w:val="Hyperlink"/>
                </w:rPr>
                <w:t>Brock Peterson</w:t>
              </w:r>
            </w:hyperlink>
          </w:p>
        </w:tc>
      </w:tr>
      <w:tr w:rsidR="00025FEC" w:rsidRPr="00D81CD9" w14:paraId="2E62EC7D" w14:textId="77777777" w:rsidTr="00025FEC">
        <w:tc>
          <w:tcPr>
            <w:tcW w:w="3150" w:type="dxa"/>
            <w:shd w:val="clear" w:color="auto" w:fill="auto"/>
          </w:tcPr>
          <w:p w14:paraId="4837F6BF" w14:textId="4559C04D" w:rsidR="00025FEC" w:rsidRDefault="00025FEC" w:rsidP="00A06774">
            <w:pPr>
              <w:pStyle w:val="Tablecontent"/>
            </w:pPr>
            <w:hyperlink r:id="rId24" w:history="1">
              <w:r w:rsidRPr="0022569A">
                <w:rPr>
                  <w:rStyle w:val="Hyperlink"/>
                  <w:color w:val="00B050"/>
                </w:rPr>
                <w:t>Green</w:t>
              </w:r>
              <w:r w:rsidRPr="00A042E2">
                <w:rPr>
                  <w:rStyle w:val="Hyperlink"/>
                </w:rPr>
                <w:t xml:space="preserve"> Dashboards</w:t>
              </w:r>
            </w:hyperlink>
          </w:p>
        </w:tc>
        <w:tc>
          <w:tcPr>
            <w:tcW w:w="7306" w:type="dxa"/>
            <w:shd w:val="clear" w:color="auto" w:fill="auto"/>
          </w:tcPr>
          <w:p w14:paraId="2601CEB0" w14:textId="4CE7758A" w:rsidR="00025FEC" w:rsidRDefault="00025FEC" w:rsidP="00A06774">
            <w:pPr>
              <w:pStyle w:val="Tablecontent"/>
            </w:pPr>
            <w:r>
              <w:t xml:space="preserve">Authored by </w:t>
            </w:r>
            <w:hyperlink r:id="rId25" w:history="1">
              <w:r w:rsidRPr="00025FEC">
                <w:rPr>
                  <w:rStyle w:val="Hyperlink"/>
                </w:rPr>
                <w:t>Varghese Philipose</w:t>
              </w:r>
            </w:hyperlink>
          </w:p>
        </w:tc>
      </w:tr>
      <w:tr w:rsidR="00025FEC" w:rsidRPr="00D81CD9" w14:paraId="16AB06A6" w14:textId="77777777" w:rsidTr="00025FEC">
        <w:tc>
          <w:tcPr>
            <w:tcW w:w="3150" w:type="dxa"/>
            <w:shd w:val="clear" w:color="auto" w:fill="auto"/>
          </w:tcPr>
          <w:p w14:paraId="7C5B4E42" w14:textId="690F9882" w:rsidR="00025FEC" w:rsidRDefault="00025FEC" w:rsidP="00A06774">
            <w:pPr>
              <w:pStyle w:val="Tablecontent"/>
            </w:pPr>
            <w:r>
              <w:t>VMware IT Story</w:t>
            </w:r>
          </w:p>
        </w:tc>
        <w:tc>
          <w:tcPr>
            <w:tcW w:w="7306" w:type="dxa"/>
            <w:shd w:val="clear" w:color="auto" w:fill="auto"/>
          </w:tcPr>
          <w:p w14:paraId="55D63B3A" w14:textId="00494865" w:rsidR="00025FEC" w:rsidRDefault="00025FEC" w:rsidP="00A06774">
            <w:pPr>
              <w:pStyle w:val="Tablecontent"/>
            </w:pPr>
            <w:r>
              <w:t xml:space="preserve">Authored </w:t>
            </w:r>
            <w:r w:rsidRPr="00DF49CF">
              <w:t>by George Stephen</w:t>
            </w:r>
            <w:r>
              <w:t xml:space="preserve"> from VMware IT</w:t>
            </w:r>
          </w:p>
        </w:tc>
      </w:tr>
      <w:tr w:rsidR="00025FEC" w:rsidRPr="00D81CD9" w14:paraId="06D1C96E" w14:textId="77777777" w:rsidTr="00025FEC">
        <w:tc>
          <w:tcPr>
            <w:tcW w:w="3150" w:type="dxa"/>
            <w:shd w:val="clear" w:color="auto" w:fill="auto"/>
          </w:tcPr>
          <w:p w14:paraId="1BB86F57" w14:textId="190C59E9" w:rsidR="00025FEC" w:rsidRDefault="00025FEC" w:rsidP="00A06774">
            <w:pPr>
              <w:pStyle w:val="Tablecontent"/>
            </w:pPr>
            <w:r>
              <w:t>Automation</w:t>
            </w:r>
          </w:p>
        </w:tc>
        <w:tc>
          <w:tcPr>
            <w:tcW w:w="7306" w:type="dxa"/>
            <w:shd w:val="clear" w:color="auto" w:fill="auto"/>
          </w:tcPr>
          <w:p w14:paraId="0D942165" w14:textId="4C658106" w:rsidR="00025FEC" w:rsidRDefault="00025FEC" w:rsidP="00A06774">
            <w:pPr>
              <w:pStyle w:val="Tablecontent"/>
            </w:pPr>
            <w:r>
              <w:t xml:space="preserve">Authored by </w:t>
            </w:r>
            <w:hyperlink r:id="rId26" w:history="1">
              <w:hyperlink r:id="rId27" w:history="1">
                <w:r w:rsidRPr="00DF49CF">
                  <w:rPr>
                    <w:rStyle w:val="Hyperlink"/>
                  </w:rPr>
                  <w:t>Thomas Kopton</w:t>
                </w:r>
              </w:hyperlink>
            </w:hyperlink>
          </w:p>
        </w:tc>
      </w:tr>
      <w:tr w:rsidR="00025FEC" w:rsidRPr="00D81CD9" w14:paraId="2CAC2979" w14:textId="77777777" w:rsidTr="00025FEC">
        <w:tc>
          <w:tcPr>
            <w:tcW w:w="3150" w:type="dxa"/>
            <w:shd w:val="clear" w:color="auto" w:fill="auto"/>
          </w:tcPr>
          <w:p w14:paraId="09B31BC2" w14:textId="2DE085FF" w:rsidR="00025FEC" w:rsidRDefault="00025FEC" w:rsidP="00A06774">
            <w:pPr>
              <w:pStyle w:val="Tablecontent"/>
            </w:pPr>
            <w:r>
              <w:t>Super Metric</w:t>
            </w:r>
          </w:p>
        </w:tc>
        <w:tc>
          <w:tcPr>
            <w:tcW w:w="7306" w:type="dxa"/>
            <w:shd w:val="clear" w:color="auto" w:fill="auto"/>
          </w:tcPr>
          <w:p w14:paraId="373CA5AA" w14:textId="5677F574" w:rsidR="00025FEC" w:rsidRDefault="00025FEC" w:rsidP="00A06774">
            <w:pPr>
              <w:pStyle w:val="Tablecontent"/>
            </w:pPr>
            <w:r>
              <w:t xml:space="preserve">Authored by </w:t>
            </w:r>
            <w:hyperlink r:id="rId28" w:history="1">
              <w:r w:rsidRPr="00025FEC">
                <w:rPr>
                  <w:rStyle w:val="Hyperlink"/>
                </w:rPr>
                <w:t xml:space="preserve">Varghese </w:t>
              </w:r>
              <w:r w:rsidRPr="00025FEC">
                <w:rPr>
                  <w:rStyle w:val="Hyperlink"/>
                </w:rPr>
                <w:t>Philipose</w:t>
              </w:r>
            </w:hyperlink>
          </w:p>
        </w:tc>
      </w:tr>
      <w:tr w:rsidR="00025FEC" w:rsidRPr="00D81CD9" w14:paraId="2C86A81B" w14:textId="77777777" w:rsidTr="00025FEC">
        <w:tc>
          <w:tcPr>
            <w:tcW w:w="3150" w:type="dxa"/>
            <w:shd w:val="clear" w:color="auto" w:fill="auto"/>
          </w:tcPr>
          <w:p w14:paraId="0DB9A398" w14:textId="4A8323A1" w:rsidR="00025FEC" w:rsidRDefault="00025FEC" w:rsidP="00A06774">
            <w:pPr>
              <w:pStyle w:val="Tablecontent"/>
            </w:pPr>
            <w:r>
              <w:t>Log Insight</w:t>
            </w:r>
          </w:p>
        </w:tc>
        <w:tc>
          <w:tcPr>
            <w:tcW w:w="7306" w:type="dxa"/>
            <w:shd w:val="clear" w:color="auto" w:fill="auto"/>
          </w:tcPr>
          <w:p w14:paraId="25C5B392" w14:textId="77777777" w:rsidR="00025FEC" w:rsidRDefault="00025FEC" w:rsidP="00A06774">
            <w:pPr>
              <w:pStyle w:val="Tablecontent"/>
            </w:pPr>
          </w:p>
        </w:tc>
      </w:tr>
    </w:tbl>
    <w:p w14:paraId="2378BA3C" w14:textId="2DA8C88B" w:rsidR="00025FEC" w:rsidRDefault="00025FEC" w:rsidP="00025FEC">
      <w:r>
        <w:tab/>
      </w:r>
    </w:p>
    <w:p w14:paraId="370EE90C" w14:textId="77777777" w:rsidR="00025FEC" w:rsidRDefault="00025FEC">
      <w:pPr>
        <w:keepLines w:val="0"/>
        <w:suppressAutoHyphens w:val="0"/>
        <w:spacing w:before="0" w:after="160"/>
      </w:pPr>
      <w:r>
        <w:br w:type="page"/>
      </w:r>
    </w:p>
    <w:p w14:paraId="58942D95" w14:textId="77777777" w:rsidR="00B40514" w:rsidRPr="00DF1D53" w:rsidRDefault="00B40514" w:rsidP="00B40514">
      <w:pPr>
        <w:spacing w:before="720"/>
      </w:pPr>
    </w:p>
    <w:p w14:paraId="7CC41F50" w14:textId="77777777" w:rsidR="00E8764E" w:rsidRDefault="00B40514" w:rsidP="00796465">
      <w:pPr>
        <w:pStyle w:val="BlankPage"/>
      </w:pPr>
      <w:bookmarkStart w:id="3" w:name="_Hlk133862309"/>
      <w:r w:rsidRPr="00DF1D53">
        <w:t>This page is intentionally left blank</w:t>
      </w:r>
      <w:r w:rsidR="00C552F4">
        <w:t>.</w:t>
      </w:r>
      <w:r w:rsidR="009F49DF">
        <w:t xml:space="preserve"> </w:t>
      </w:r>
    </w:p>
    <w:p w14:paraId="30B43FCF" w14:textId="2B850821" w:rsidR="00B40514" w:rsidRDefault="009F49DF" w:rsidP="003875EE">
      <w:pPr>
        <w:jc w:val="center"/>
      </w:pPr>
      <w:r w:rsidRPr="00967472">
        <w:rPr>
          <w:i/>
          <w:iCs/>
        </w:rPr>
        <w:t>Why? I don’t know. Some people do it, so I just follow</w:t>
      </w:r>
      <w:r w:rsidR="000A5362">
        <w:rPr>
          <w:i/>
          <w:iCs/>
        </w:rPr>
        <w:t xml:space="preserve"> as IT behaves more like fashion nowadays…</w:t>
      </w:r>
    </w:p>
    <w:bookmarkEnd w:id="3"/>
    <w:p w14:paraId="7BCF3E3A" w14:textId="72A2642B" w:rsidR="00F21FB0" w:rsidRPr="004758D0" w:rsidRDefault="00F21FB0" w:rsidP="00B40514">
      <w:pPr>
        <w:sectPr w:rsidR="00F21FB0" w:rsidRPr="004758D0" w:rsidSect="004733C9">
          <w:footerReference w:type="first" r:id="rId29"/>
          <w:pgSz w:w="11906" w:h="16838"/>
          <w:pgMar w:top="720" w:right="720" w:bottom="720" w:left="720" w:header="113" w:footer="708" w:gutter="0"/>
          <w:pgNumType w:start="0" w:chapStyle="1" w:chapSep="colon"/>
          <w:cols w:space="708"/>
          <w:titlePg/>
          <w:docGrid w:linePitch="360"/>
        </w:sectPr>
      </w:pPr>
    </w:p>
    <w:p w14:paraId="027A78C6" w14:textId="4B5AF000" w:rsidR="00B11C3E" w:rsidRPr="00327E4B" w:rsidRDefault="00B11C3E" w:rsidP="00327E4B">
      <w:pPr>
        <w:pStyle w:val="Heading1"/>
      </w:pPr>
      <w:r w:rsidRPr="00327E4B">
        <w:lastRenderedPageBreak/>
        <w:t>P</w:t>
      </w:r>
      <w:r w:rsidR="0039770D" w:rsidRPr="00327E4B">
        <w:t>ART</w:t>
      </w:r>
      <w:r w:rsidRPr="00327E4B">
        <w:t xml:space="preserve"> 1</w:t>
      </w:r>
    </w:p>
    <w:p w14:paraId="3692CF8A" w14:textId="7DC4C0EB" w:rsidR="00A57407" w:rsidRPr="004758D0" w:rsidRDefault="008F3F53" w:rsidP="00554F99">
      <w:pPr>
        <w:pStyle w:val="Title"/>
      </w:pPr>
      <w:r>
        <w:t>Concept</w:t>
      </w:r>
    </w:p>
    <w:p w14:paraId="0EC1EB75" w14:textId="0EAA9EB8" w:rsidR="0039770D" w:rsidRPr="004758D0" w:rsidRDefault="003471FF" w:rsidP="003F097B">
      <w:pPr>
        <w:pStyle w:val="AfterChapterTitle"/>
      </w:pPr>
      <w:r w:rsidRPr="004758D0">
        <w:t>Th</w:t>
      </w:r>
      <w:r w:rsidR="009C7283">
        <w:t>e</w:t>
      </w:r>
      <w:r w:rsidRPr="004758D0">
        <w:t xml:space="preserve"> </w:t>
      </w:r>
      <w:r w:rsidR="00EE5D1A" w:rsidRPr="004758D0">
        <w:t>first part of the book</w:t>
      </w:r>
      <w:r w:rsidRPr="004758D0">
        <w:t xml:space="preserve"> explains the art of Operations Management in the context of VMware </w:t>
      </w:r>
      <w:r w:rsidR="00351E2D">
        <w:t xml:space="preserve">cloud </w:t>
      </w:r>
      <w:r w:rsidR="00EC4C25" w:rsidRPr="004758D0">
        <w:t>architecture</w:t>
      </w:r>
      <w:r w:rsidR="00314268" w:rsidRPr="004758D0">
        <w:t>.</w:t>
      </w:r>
    </w:p>
    <w:p w14:paraId="20D5E95B" w14:textId="015313DE" w:rsidR="00DA3231" w:rsidRPr="004758D0" w:rsidRDefault="00081C66" w:rsidP="009B13B9">
      <w:r w:rsidRPr="004758D0">
        <w:t xml:space="preserve">What you architect is </w:t>
      </w:r>
      <w:hyperlink r:id="rId30" w:history="1">
        <w:r w:rsidRPr="00590D1A">
          <w:rPr>
            <w:rStyle w:val="Hyperlink"/>
            <w:b/>
            <w:bCs/>
          </w:rPr>
          <w:t>SDDC</w:t>
        </w:r>
      </w:hyperlink>
      <w:r w:rsidRPr="004758D0">
        <w:t xml:space="preserve">. </w:t>
      </w:r>
      <w:r w:rsidR="00292C41" w:rsidRPr="004758D0">
        <w:t>But w</w:t>
      </w:r>
      <w:r w:rsidRPr="004758D0">
        <w:t xml:space="preserve">hat you handover as </w:t>
      </w:r>
      <w:r w:rsidR="00B52999">
        <w:t xml:space="preserve">a </w:t>
      </w:r>
      <w:r w:rsidRPr="004758D0">
        <w:t xml:space="preserve">business result to </w:t>
      </w:r>
      <w:r w:rsidR="009C7283">
        <w:t xml:space="preserve">your </w:t>
      </w:r>
      <w:r w:rsidRPr="004758D0">
        <w:t xml:space="preserve">CIO is </w:t>
      </w:r>
      <w:hyperlink r:id="rId31" w:history="1">
        <w:r w:rsidRPr="00590D1A">
          <w:rPr>
            <w:rStyle w:val="Hyperlink"/>
            <w:b/>
            <w:bCs/>
          </w:rPr>
          <w:t>IaaS</w:t>
        </w:r>
      </w:hyperlink>
      <w:r w:rsidRPr="004758D0">
        <w:t xml:space="preserve">. </w:t>
      </w:r>
      <w:r w:rsidR="00E4235F" w:rsidRPr="004758D0">
        <w:t>One is a</w:t>
      </w:r>
      <w:r w:rsidR="001A28B1" w:rsidRPr="004758D0">
        <w:t xml:space="preserve"> system, the other is a service. </w:t>
      </w:r>
      <w:r w:rsidR="006A3DFF">
        <w:t>They are 2 side</w:t>
      </w:r>
      <w:r w:rsidR="00CB04C8">
        <w:t>s</w:t>
      </w:r>
      <w:r w:rsidR="006A3DFF">
        <w:t xml:space="preserve"> of the same coin. </w:t>
      </w:r>
      <w:r w:rsidRPr="004758D0">
        <w:t xml:space="preserve">We can assess if the architecture is good or not, based on the actual result in production. Does it result in </w:t>
      </w:r>
      <w:r w:rsidR="000D2538" w:rsidRPr="004758D0">
        <w:t>firefighting</w:t>
      </w:r>
      <w:r w:rsidRPr="004758D0">
        <w:t xml:space="preserve"> and </w:t>
      </w:r>
      <w:r w:rsidR="000D2538" w:rsidRPr="004758D0">
        <w:t>blamestorming</w:t>
      </w:r>
      <w:r w:rsidRPr="004758D0">
        <w:t xml:space="preserve">? Or </w:t>
      </w:r>
      <w:r w:rsidR="009C7283">
        <w:t xml:space="preserve">do </w:t>
      </w:r>
      <w:r w:rsidRPr="004758D0">
        <w:t xml:space="preserve">you have a </w:t>
      </w:r>
      <w:r w:rsidR="000D2538" w:rsidRPr="004758D0">
        <w:t>peaceful operation</w:t>
      </w:r>
      <w:r w:rsidRPr="004758D0">
        <w:t xml:space="preserve"> where alerts are meaningful and actionable?</w:t>
      </w:r>
    </w:p>
    <w:p w14:paraId="29083019" w14:textId="426BBDA8" w:rsidR="007214AF" w:rsidRPr="00130702" w:rsidRDefault="00AC34FC" w:rsidP="00B373E2">
      <w:pPr>
        <w:pStyle w:val="Heading2"/>
      </w:pPr>
      <w:bookmarkStart w:id="4" w:name="_Overview"/>
      <w:bookmarkEnd w:id="4"/>
      <w:r w:rsidRPr="00130702">
        <w:lastRenderedPageBreak/>
        <w:t>Overview</w:t>
      </w:r>
    </w:p>
    <w:p w14:paraId="74C095DD" w14:textId="21612644" w:rsidR="00C84219" w:rsidRDefault="00C84219" w:rsidP="00C84219">
      <w:r>
        <w:rPr>
          <w:noProof/>
        </w:rPr>
        <mc:AlternateContent>
          <mc:Choice Requires="wps">
            <w:drawing>
              <wp:anchor distT="0" distB="0" distL="114300" distR="114300" simplePos="0" relativeHeight="251655168" behindDoc="0" locked="0" layoutInCell="1" allowOverlap="1" wp14:anchorId="2705B7A7" wp14:editId="0A90876E">
                <wp:simplePos x="0" y="0"/>
                <wp:positionH relativeFrom="column">
                  <wp:posOffset>0</wp:posOffset>
                </wp:positionH>
                <wp:positionV relativeFrom="paragraph">
                  <wp:posOffset>0</wp:posOffset>
                </wp:positionV>
                <wp:extent cx="1828800" cy="1828800"/>
                <wp:effectExtent l="0" t="0" r="0" b="0"/>
                <wp:wrapNone/>
                <wp:docPr id="606394136" name="Text Box 60639413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363A943" w14:textId="5333C476" w:rsidR="00E66F24" w:rsidRPr="00C84219" w:rsidRDefault="00E66F24" w:rsidP="00C84219">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1 Chapter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type w14:anchorId="2705B7A7" id="_x0000_t202" coordsize="21600,21600" o:spt="202" path="m,l,21600r21600,l21600,xe">
                <v:stroke joinstyle="miter"/>
                <v:path gradientshapeok="t" o:connecttype="rect"/>
              </v:shapetype>
              <v:shape id="Text Box 606394136" o:spid="_x0000_s1026" type="#_x0000_t202" style="position:absolute;margin-left:0;margin-top:0;width:2in;height:2in;z-index:251655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" filled="f" stroked="f">
                <v:textbox style="mso-fit-shape-to-text:t">
                  <w:txbxContent>
                    <w:p w14:paraId="0363A943" w14:textId="5333C476" w:rsidR="00E66F24" w:rsidRPr="00C84219" w:rsidRDefault="00E66F24" w:rsidP="00C84219">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1 Chapter 1</w:t>
                      </w:r>
                    </w:p>
                  </w:txbxContent>
                </v:textbox>
              </v:shape>
            </w:pict>
          </mc:Fallback>
        </mc:AlternateContent>
      </w:r>
    </w:p>
    <w:p w14:paraId="3274E087" w14:textId="14B166C7" w:rsidR="000A70A2" w:rsidRPr="004758D0" w:rsidRDefault="00677FD9" w:rsidP="003F097B">
      <w:pPr>
        <w:pStyle w:val="AfterChapterTitle"/>
      </w:pPr>
      <w:r w:rsidRPr="004758D0">
        <w:t xml:space="preserve">This first chapter </w:t>
      </w:r>
      <w:r w:rsidR="006859B1" w:rsidRPr="004758D0">
        <w:t xml:space="preserve">gives a tour of operations management, </w:t>
      </w:r>
      <w:r w:rsidR="00431B28" w:rsidRPr="004758D0">
        <w:t xml:space="preserve">starting with why a reactive </w:t>
      </w:r>
      <w:r w:rsidR="007A40F4" w:rsidRPr="004758D0">
        <w:t xml:space="preserve">and hectic operations is </w:t>
      </w:r>
      <w:r w:rsidR="007A40F4" w:rsidRPr="00193EE3">
        <w:rPr>
          <w:i/>
          <w:iCs/>
          <w:color w:val="FF0000"/>
        </w:rPr>
        <w:t>common</w:t>
      </w:r>
      <w:r w:rsidR="007A40F4" w:rsidRPr="004758D0">
        <w:t xml:space="preserve">, and the paradigm shift required to proactive </w:t>
      </w:r>
      <w:r w:rsidR="000C156C" w:rsidRPr="004758D0">
        <w:t xml:space="preserve">&amp; predictive </w:t>
      </w:r>
      <w:r w:rsidR="007A40F4" w:rsidRPr="004758D0">
        <w:t>operations</w:t>
      </w:r>
      <w:r w:rsidR="000C156C" w:rsidRPr="004758D0">
        <w:t>.</w:t>
      </w:r>
    </w:p>
    <w:p w14:paraId="6337D810" w14:textId="2315C56A" w:rsidR="00E25248" w:rsidRPr="004758D0" w:rsidRDefault="000A70A2" w:rsidP="00540F68">
      <w:pPr>
        <w:pStyle w:val="Heading3"/>
      </w:pPr>
      <w:bookmarkStart w:id="5" w:name="_Complaint-based_Operations"/>
      <w:bookmarkEnd w:id="5"/>
      <w:r w:rsidRPr="004758D0">
        <w:t xml:space="preserve">Complaint-based </w:t>
      </w:r>
      <w:r w:rsidRPr="00C463A0">
        <w:t>Operations</w:t>
      </w:r>
    </w:p>
    <w:p w14:paraId="19A1D123" w14:textId="3BAD484B" w:rsidR="00F60DE9" w:rsidRPr="004758D0" w:rsidRDefault="00F60DE9" w:rsidP="00F60DE9">
      <w:pPr>
        <w:rPr>
          <w:lang w:eastAsia="en-SG"/>
        </w:rPr>
      </w:pPr>
      <w:r w:rsidRPr="004758D0">
        <w:rPr>
          <w:lang w:eastAsia="en-SG"/>
        </w:rPr>
        <w:t xml:space="preserve">How do you know that the </w:t>
      </w:r>
      <w:r w:rsidR="000640F0">
        <w:rPr>
          <w:lang w:eastAsia="en-SG"/>
        </w:rPr>
        <w:t>Infrastructure as a Service (</w:t>
      </w:r>
      <w:r w:rsidRPr="00B73E2E">
        <w:rPr>
          <w:lang w:eastAsia="en-SG"/>
        </w:rPr>
        <w:t>IaaS</w:t>
      </w:r>
      <w:r w:rsidR="000640F0">
        <w:rPr>
          <w:lang w:eastAsia="en-SG"/>
        </w:rPr>
        <w:t>)</w:t>
      </w:r>
      <w:r w:rsidRPr="004758D0">
        <w:rPr>
          <w:lang w:eastAsia="en-SG"/>
        </w:rPr>
        <w:t xml:space="preserve"> Platform (be it on-prem </w:t>
      </w:r>
      <w:hyperlink r:id="rId32" w:history="1">
        <w:r w:rsidR="00416DD1" w:rsidRPr="005D4E1B">
          <w:rPr>
            <w:rStyle w:val="Hyperlink"/>
            <w:lang w:eastAsia="en-SG"/>
          </w:rPr>
          <w:t>private cloud</w:t>
        </w:r>
      </w:hyperlink>
      <w:r w:rsidR="00416DD1">
        <w:rPr>
          <w:lang w:eastAsia="en-SG"/>
        </w:rPr>
        <w:t xml:space="preserve"> </w:t>
      </w:r>
      <w:r w:rsidRPr="004758D0">
        <w:rPr>
          <w:lang w:eastAsia="en-SG"/>
        </w:rPr>
        <w:t>or</w:t>
      </w:r>
      <w:r w:rsidR="00416DD1">
        <w:rPr>
          <w:lang w:eastAsia="en-SG"/>
        </w:rPr>
        <w:t xml:space="preserve"> externally </w:t>
      </w:r>
      <w:r w:rsidRPr="004758D0">
        <w:rPr>
          <w:lang w:eastAsia="en-SG"/>
        </w:rPr>
        <w:t xml:space="preserve">in the cloud) is serving its workload </w:t>
      </w:r>
      <w:r w:rsidRPr="00B73E2E">
        <w:rPr>
          <w:i/>
          <w:iCs/>
          <w:color w:val="FF0000"/>
          <w:lang w:eastAsia="en-SG"/>
        </w:rPr>
        <w:t>well</w:t>
      </w:r>
      <w:r w:rsidRPr="004758D0">
        <w:rPr>
          <w:lang w:eastAsia="en-SG"/>
        </w:rPr>
        <w:t>? If you depend on complain</w:t>
      </w:r>
      <w:r w:rsidR="00B52999">
        <w:rPr>
          <w:lang w:eastAsia="en-SG"/>
        </w:rPr>
        <w:t>t</w:t>
      </w:r>
      <w:r w:rsidR="00CC12E0" w:rsidRPr="004758D0">
        <w:rPr>
          <w:lang w:eastAsia="en-SG"/>
        </w:rPr>
        <w:t>s</w:t>
      </w:r>
      <w:r w:rsidRPr="004758D0">
        <w:rPr>
          <w:lang w:eastAsia="en-SG"/>
        </w:rPr>
        <w:t>, then you run a complaint-based operation</w:t>
      </w:r>
      <w:r w:rsidR="00844616">
        <w:rPr>
          <w:lang w:eastAsia="en-SG"/>
        </w:rPr>
        <w:t>s</w:t>
      </w:r>
      <w:r w:rsidRPr="004758D0">
        <w:rPr>
          <w:lang w:eastAsia="en-SG"/>
        </w:rPr>
        <w:t>.</w:t>
      </w:r>
    </w:p>
    <w:p w14:paraId="6FE0D992" w14:textId="145A2D6C" w:rsidR="00F60DE9" w:rsidRDefault="00F60DE9" w:rsidP="00F60DE9">
      <w:pPr>
        <w:rPr>
          <w:lang w:eastAsia="en-SG"/>
        </w:rPr>
      </w:pPr>
      <w:r w:rsidRPr="004758D0">
        <w:rPr>
          <w:lang w:eastAsia="en-SG"/>
        </w:rPr>
        <w:t xml:space="preserve">Changing from reactive to proactive is unfortunately a complex undertaking, especially in large </w:t>
      </w:r>
      <w:r w:rsidR="00535600">
        <w:rPr>
          <w:lang w:eastAsia="en-SG"/>
        </w:rPr>
        <w:t>organization</w:t>
      </w:r>
      <w:r w:rsidR="009C7283">
        <w:rPr>
          <w:lang w:eastAsia="en-SG"/>
        </w:rPr>
        <w:t>s</w:t>
      </w:r>
      <w:r w:rsidRPr="004758D0">
        <w:rPr>
          <w:lang w:eastAsia="en-SG"/>
        </w:rPr>
        <w:t xml:space="preserve"> where there are many roles and </w:t>
      </w:r>
      <w:r w:rsidR="0074630B">
        <w:rPr>
          <w:lang w:eastAsia="en-SG"/>
        </w:rPr>
        <w:t>personas</w:t>
      </w:r>
      <w:r w:rsidRPr="004758D0">
        <w:rPr>
          <w:lang w:eastAsia="en-SG"/>
        </w:rPr>
        <w:t xml:space="preserve">. It requires </w:t>
      </w:r>
      <w:hyperlink r:id="rId33" w:history="1">
        <w:r w:rsidR="00D30924" w:rsidRPr="00D30924">
          <w:rPr>
            <w:rStyle w:val="Hyperlink"/>
            <w:lang w:eastAsia="en-SG"/>
          </w:rPr>
          <w:t xml:space="preserve">operations </w:t>
        </w:r>
        <w:r w:rsidRPr="00D30924">
          <w:rPr>
            <w:rStyle w:val="Hyperlink"/>
            <w:lang w:eastAsia="en-SG"/>
          </w:rPr>
          <w:t>transformation</w:t>
        </w:r>
      </w:hyperlink>
      <w:r w:rsidRPr="004758D0">
        <w:rPr>
          <w:lang w:eastAsia="en-SG"/>
        </w:rPr>
        <w:t xml:space="preserve"> </w:t>
      </w:r>
      <w:r w:rsidR="00272AA2">
        <w:rPr>
          <w:lang w:eastAsia="en-SG"/>
        </w:rPr>
        <w:t>and a paradigm shift</w:t>
      </w:r>
      <w:r w:rsidRPr="004758D0">
        <w:rPr>
          <w:lang w:eastAsia="en-SG"/>
        </w:rPr>
        <w:t xml:space="preserve">. It is not easy to get customers to agree on </w:t>
      </w:r>
      <w:r w:rsidR="00B52999">
        <w:rPr>
          <w:lang w:eastAsia="en-SG"/>
        </w:rPr>
        <w:t xml:space="preserve">a </w:t>
      </w:r>
      <w:hyperlink w:anchor="_Service_Level_Agreement_1" w:history="1">
        <w:r w:rsidRPr="00B52999">
          <w:rPr>
            <w:rStyle w:val="Hyperlink"/>
            <w:lang w:eastAsia="en-SG"/>
          </w:rPr>
          <w:t>S</w:t>
        </w:r>
        <w:r w:rsidR="00B52999" w:rsidRPr="00B52999">
          <w:rPr>
            <w:rStyle w:val="Hyperlink"/>
            <w:lang w:eastAsia="en-SG"/>
          </w:rPr>
          <w:t>ervice Level Agreement</w:t>
        </w:r>
      </w:hyperlink>
      <w:r w:rsidRPr="004758D0">
        <w:rPr>
          <w:lang w:eastAsia="en-SG"/>
        </w:rPr>
        <w:t xml:space="preserve"> </w:t>
      </w:r>
      <w:r w:rsidR="00ED0C7A">
        <w:t xml:space="preserve">(SLA) </w:t>
      </w:r>
      <w:r w:rsidRPr="004758D0">
        <w:rPr>
          <w:lang w:eastAsia="en-SG"/>
        </w:rPr>
        <w:t>when you’ve promised them “</w:t>
      </w:r>
      <w:r w:rsidRPr="00967472">
        <w:rPr>
          <w:color w:val="00B0F0"/>
          <w:lang w:eastAsia="en-SG"/>
        </w:rPr>
        <w:t>good</w:t>
      </w:r>
      <w:r w:rsidRPr="004758D0">
        <w:rPr>
          <w:lang w:eastAsia="en-SG"/>
        </w:rPr>
        <w:t>” for years</w:t>
      </w:r>
      <w:r w:rsidR="00ED0C7A">
        <w:rPr>
          <w:lang w:eastAsia="en-SG"/>
        </w:rPr>
        <w:t xml:space="preserve"> already</w:t>
      </w:r>
      <w:r w:rsidRPr="004758D0">
        <w:rPr>
          <w:lang w:eastAsia="en-SG"/>
        </w:rPr>
        <w:t>.</w:t>
      </w:r>
      <w:r w:rsidR="005050C7" w:rsidRPr="004758D0">
        <w:rPr>
          <w:lang w:eastAsia="en-SG"/>
        </w:rPr>
        <w:t xml:space="preserve"> Th</w:t>
      </w:r>
      <w:r w:rsidR="009C7283">
        <w:rPr>
          <w:lang w:eastAsia="en-SG"/>
        </w:rPr>
        <w:t>is</w:t>
      </w:r>
      <w:r w:rsidR="005050C7" w:rsidRPr="004758D0">
        <w:rPr>
          <w:lang w:eastAsia="en-SG"/>
        </w:rPr>
        <w:t xml:space="preserve"> book aims to provide </w:t>
      </w:r>
      <w:r w:rsidR="000A7A2A" w:rsidRPr="004758D0">
        <w:rPr>
          <w:lang w:eastAsia="en-SG"/>
        </w:rPr>
        <w:t xml:space="preserve">practical guidance, something you can implement </w:t>
      </w:r>
      <w:r w:rsidR="00A04CF1" w:rsidRPr="004758D0">
        <w:rPr>
          <w:lang w:eastAsia="en-SG"/>
        </w:rPr>
        <w:t xml:space="preserve">with the current version of </w:t>
      </w:r>
      <w:r w:rsidR="00416DD1">
        <w:rPr>
          <w:lang w:eastAsia="en-SG"/>
        </w:rPr>
        <w:t>Aria</w:t>
      </w:r>
      <w:r w:rsidR="00A04CF1" w:rsidRPr="004758D0">
        <w:rPr>
          <w:lang w:eastAsia="en-SG"/>
        </w:rPr>
        <w:t xml:space="preserve"> products.</w:t>
      </w:r>
      <w:r w:rsidR="002D2913" w:rsidRPr="004758D0">
        <w:rPr>
          <w:lang w:eastAsia="en-SG"/>
        </w:rPr>
        <w:softHyphen/>
      </w:r>
    </w:p>
    <w:p w14:paraId="7967E12C" w14:textId="5C3990CF" w:rsidR="00A74B00" w:rsidRPr="00B96445" w:rsidRDefault="00A74B00" w:rsidP="00AC6E1E">
      <w:pPr>
        <w:pStyle w:val="Heading4"/>
      </w:pPr>
      <w:r w:rsidRPr="00B96445">
        <w:t>The Litmus Test</w:t>
      </w:r>
    </w:p>
    <w:p w14:paraId="5EA217D2" w14:textId="7739CF6A" w:rsidR="00454649" w:rsidRPr="004758D0" w:rsidRDefault="00454649" w:rsidP="00CD2268">
      <w:pPr>
        <w:rPr>
          <w:lang w:eastAsia="en-SG"/>
        </w:rPr>
      </w:pPr>
      <w:r w:rsidRPr="004758D0">
        <w:t xml:space="preserve">The </w:t>
      </w:r>
      <w:r w:rsidR="00F33665">
        <w:t>following questions</w:t>
      </w:r>
      <w:r w:rsidRPr="004758D0">
        <w:t xml:space="preserve"> below helps you assess the maturity of your IaaS</w:t>
      </w:r>
      <w:r w:rsidR="00F33665">
        <w:t xml:space="preserve"> business</w:t>
      </w:r>
      <w:r w:rsidRPr="004758D0">
        <w:t>.</w:t>
      </w:r>
    </w:p>
    <w:p w14:paraId="0B78BCA4" w14:textId="31627ED0" w:rsidR="00454649" w:rsidRPr="004758D0" w:rsidRDefault="00454649" w:rsidP="00E7573A">
      <w:pPr>
        <w:pStyle w:val="Heading5"/>
      </w:pPr>
      <w:r w:rsidRPr="004758D0">
        <w:lastRenderedPageBreak/>
        <w:t xml:space="preserve">Do your customers blame your </w:t>
      </w:r>
      <w:r w:rsidR="00416DD1">
        <w:t>IaaS</w:t>
      </w:r>
      <w:r w:rsidRPr="004758D0">
        <w:t>?</w:t>
      </w:r>
    </w:p>
    <w:p w14:paraId="31E9A1E4" w14:textId="24BBC3A7" w:rsidR="00454649" w:rsidRPr="004758D0" w:rsidRDefault="00454649" w:rsidP="006E618E">
      <w:r>
        <w:t xml:space="preserve">If the answer is yes, take a </w:t>
      </w:r>
      <w:r w:rsidR="00272AA2">
        <w:t>moment</w:t>
      </w:r>
      <w:r>
        <w:t xml:space="preserve"> to </w:t>
      </w:r>
      <w:r w:rsidR="0097555E">
        <w:t xml:space="preserve">ponder </w:t>
      </w:r>
      <w:r>
        <w:t xml:space="preserve">why. There is a high chance </w:t>
      </w:r>
      <w:r w:rsidR="0A89DC2F">
        <w:t>y</w:t>
      </w:r>
      <w:r w:rsidR="006744C1">
        <w:t>ou are</w:t>
      </w:r>
      <w:r>
        <w:t xml:space="preserve"> relying on complaint</w:t>
      </w:r>
      <w:r w:rsidR="009C7283">
        <w:t>s</w:t>
      </w:r>
      <w:r>
        <w:t xml:space="preserve"> in your operations</w:t>
      </w:r>
      <w:r w:rsidR="28CEFB8D">
        <w:t xml:space="preserve"> </w:t>
      </w:r>
      <w:r w:rsidR="653D96A0" w:rsidRPr="0299F681">
        <w:rPr>
          <w:lang w:val="en-US"/>
        </w:rPr>
        <w:t>s</w:t>
      </w:r>
      <w:r w:rsidR="00FB3DA3" w:rsidRPr="0299F681">
        <w:rPr>
          <w:lang w:val="en-US"/>
        </w:rPr>
        <w:t>o</w:t>
      </w:r>
      <w:r>
        <w:t xml:space="preserve"> you actually encourage </w:t>
      </w:r>
      <w:r w:rsidR="7F1EEB8A">
        <w:t>them</w:t>
      </w:r>
      <w:r>
        <w:t xml:space="preserve">. No complaint, no problem. </w:t>
      </w:r>
      <w:r w:rsidR="00B52999">
        <w:t xml:space="preserve">That’s why it’s aptly named </w:t>
      </w:r>
      <w:r>
        <w:t>Complaint-based Operations.</w:t>
      </w:r>
    </w:p>
    <w:p w14:paraId="6AF47826" w14:textId="4490C10E" w:rsidR="00454649" w:rsidRPr="004758D0" w:rsidRDefault="00454649" w:rsidP="006E618E">
      <w:r>
        <w:t xml:space="preserve">The reason why you rely on complaint is </w:t>
      </w:r>
      <w:r w:rsidR="005A558D">
        <w:t>the</w:t>
      </w:r>
      <w:r w:rsidR="00683BFB">
        <w:t xml:space="preserve"> operations have no </w:t>
      </w:r>
      <w:r>
        <w:t>other means</w:t>
      </w:r>
      <w:r w:rsidR="1329A66C">
        <w:t xml:space="preserve"> by which to measure success</w:t>
      </w:r>
      <w:r>
        <w:t>. You have not defined the performance of your IaaS.</w:t>
      </w:r>
      <w:r w:rsidR="00683BFB">
        <w:t xml:space="preserve"> That’s the goal of this book.</w:t>
      </w:r>
    </w:p>
    <w:p w14:paraId="3FB23F38" w14:textId="58285E02" w:rsidR="00454649" w:rsidRPr="004758D0" w:rsidRDefault="00454649" w:rsidP="006E618E">
      <w:r>
        <w:t xml:space="preserve">A sign of matured operations is </w:t>
      </w:r>
      <w:r w:rsidR="5A9F859A">
        <w:t xml:space="preserve">that </w:t>
      </w:r>
      <w:r>
        <w:t xml:space="preserve">you have </w:t>
      </w:r>
      <w:r w:rsidR="00CC3833">
        <w:t>complete</w:t>
      </w:r>
      <w:r w:rsidR="00272AA2">
        <w:t xml:space="preserve">, </w:t>
      </w:r>
      <w:r w:rsidR="00CC3833">
        <w:t xml:space="preserve">correct </w:t>
      </w:r>
      <w:r w:rsidR="00272AA2">
        <w:t>and accurate</w:t>
      </w:r>
      <w:r w:rsidR="00CF03CD">
        <w:t xml:space="preserve"> SLA</w:t>
      </w:r>
      <w:r w:rsidR="00590D1A">
        <w:t xml:space="preserve">. </w:t>
      </w:r>
      <w:r w:rsidR="00272AA2">
        <w:t>Complete</w:t>
      </w:r>
      <w:r w:rsidR="00590D1A">
        <w:t xml:space="preserve"> means you have </w:t>
      </w:r>
      <w:r>
        <w:t>Performance SLA</w:t>
      </w:r>
      <w:r w:rsidR="1CA95838">
        <w:t>s</w:t>
      </w:r>
      <w:r w:rsidR="005269DE">
        <w:t xml:space="preserve"> and Compliance SLA</w:t>
      </w:r>
      <w:r w:rsidR="7518E63D">
        <w:t>s</w:t>
      </w:r>
      <w:r w:rsidR="005269DE">
        <w:t>, not just Availability SLA</w:t>
      </w:r>
      <w:r w:rsidR="152FA5A3">
        <w:t>s</w:t>
      </w:r>
      <w:r>
        <w:t xml:space="preserve">. </w:t>
      </w:r>
      <w:r w:rsidR="00272AA2">
        <w:t>Correct means</w:t>
      </w:r>
      <w:r w:rsidR="005269DE">
        <w:t xml:space="preserve"> </w:t>
      </w:r>
      <w:r w:rsidR="00CC3833">
        <w:t xml:space="preserve">the </w:t>
      </w:r>
      <w:r w:rsidR="005269DE">
        <w:t>SLA is measure</w:t>
      </w:r>
      <w:r w:rsidR="2F530017">
        <w:t>d</w:t>
      </w:r>
      <w:r w:rsidR="005269DE">
        <w:t xml:space="preserve"> on each </w:t>
      </w:r>
      <w:r w:rsidR="005269DE" w:rsidRPr="00CF03CD">
        <w:rPr>
          <w:i/>
          <w:iCs/>
          <w:color w:val="FF0000"/>
        </w:rPr>
        <w:t>paying</w:t>
      </w:r>
      <w:r w:rsidR="005269DE" w:rsidRPr="00CF03CD">
        <w:rPr>
          <w:color w:val="FF0000"/>
        </w:rPr>
        <w:t xml:space="preserve"> </w:t>
      </w:r>
      <w:r w:rsidR="005269DE">
        <w:t>V</w:t>
      </w:r>
      <w:r>
        <w:t xml:space="preserve">M, </w:t>
      </w:r>
      <w:r w:rsidR="00272AA2">
        <w:t xml:space="preserve">and </w:t>
      </w:r>
      <w:r w:rsidR="005269DE">
        <w:t xml:space="preserve">not at </w:t>
      </w:r>
      <w:r w:rsidR="00272AA2">
        <w:t xml:space="preserve">the </w:t>
      </w:r>
      <w:r w:rsidR="005269DE">
        <w:t>infrastructure</w:t>
      </w:r>
      <w:r w:rsidR="00272AA2">
        <w:t xml:space="preserve"> level</w:t>
      </w:r>
      <w:r w:rsidR="005269DE">
        <w:t xml:space="preserve">. </w:t>
      </w:r>
      <w:r w:rsidR="00272AA2">
        <w:t xml:space="preserve">It also means you use the right metric. Accurate means the measurement </w:t>
      </w:r>
      <w:r w:rsidR="005269DE">
        <w:t xml:space="preserve">has to be </w:t>
      </w:r>
      <w:r>
        <w:t>measured every 5 minutes</w:t>
      </w:r>
      <w:r w:rsidR="005269DE">
        <w:t xml:space="preserve">, as </w:t>
      </w:r>
      <w:r w:rsidR="00CC3833">
        <w:t xml:space="preserve">any </w:t>
      </w:r>
      <w:r w:rsidR="005269DE">
        <w:t>longer</w:t>
      </w:r>
      <w:r w:rsidR="00CC3833">
        <w:t xml:space="preserve"> interval</w:t>
      </w:r>
      <w:r w:rsidR="359365E8">
        <w:t>s</w:t>
      </w:r>
      <w:r w:rsidR="005269DE">
        <w:t xml:space="preserve"> than this can miss the problem.</w:t>
      </w:r>
    </w:p>
    <w:p w14:paraId="2D727E97" w14:textId="77777777" w:rsidR="00E84B46" w:rsidRPr="004758D0" w:rsidRDefault="00E84B46" w:rsidP="00E84B46">
      <w:pPr>
        <w:pStyle w:val="Heading5"/>
      </w:pPr>
      <w:r w:rsidRPr="004758D0">
        <w:t xml:space="preserve">Does </w:t>
      </w:r>
      <w:r>
        <w:t>t</w:t>
      </w:r>
      <w:r w:rsidRPr="004758D0">
        <w:t>roubleshooting mean all</w:t>
      </w:r>
      <w:r>
        <w:t xml:space="preserve"> </w:t>
      </w:r>
      <w:r w:rsidRPr="004758D0">
        <w:t>hands-on deck?</w:t>
      </w:r>
    </w:p>
    <w:p w14:paraId="1C6F2114" w14:textId="77777777" w:rsidR="00E84B46" w:rsidRPr="004758D0" w:rsidRDefault="00E84B46" w:rsidP="00E84B46">
      <w:r w:rsidRPr="004758D0">
        <w:t xml:space="preserve">Do you have a process that is followed by all teams (network, storage, server, OS, application)? Does that process end with </w:t>
      </w:r>
      <w:hyperlink r:id="rId34" w:history="1">
        <w:r w:rsidRPr="00CF03CD">
          <w:rPr>
            <w:rStyle w:val="Hyperlink"/>
          </w:rPr>
          <w:t>Root Cause Analysis</w:t>
        </w:r>
      </w:hyperlink>
      <w:r>
        <w:t xml:space="preserve"> (RCA)</w:t>
      </w:r>
      <w:r w:rsidRPr="004758D0">
        <w:t>?</w:t>
      </w:r>
    </w:p>
    <w:p w14:paraId="6E54B4E9" w14:textId="77777777" w:rsidR="00E84B46" w:rsidRPr="004758D0" w:rsidRDefault="00E84B46" w:rsidP="00E84B46">
      <w:r>
        <w:t xml:space="preserve">As part of RCA, do you set up alerts so the same issue can be detected faster if it happens again? Without an alert configured, the RCA is not closed. The alert is also critical as it will trigger the RCA process. </w:t>
      </w:r>
    </w:p>
    <w:p w14:paraId="09798A56" w14:textId="472EC512" w:rsidR="00454649" w:rsidRPr="004758D0" w:rsidRDefault="00454649" w:rsidP="00E7573A">
      <w:pPr>
        <w:pStyle w:val="Heading5"/>
      </w:pPr>
      <w:r w:rsidRPr="004758D0">
        <w:t xml:space="preserve">Does Help Desk provide a good first level </w:t>
      </w:r>
      <w:r w:rsidR="00B52999" w:rsidRPr="004758D0">
        <w:t>defence</w:t>
      </w:r>
      <w:r w:rsidRPr="004758D0">
        <w:t>?</w:t>
      </w:r>
    </w:p>
    <w:p w14:paraId="16BCB367" w14:textId="6BA3C087" w:rsidR="00454649" w:rsidRPr="004758D0" w:rsidRDefault="00454649" w:rsidP="006E618E">
      <w:r>
        <w:t xml:space="preserve">If Help Desk simply passes </w:t>
      </w:r>
      <w:r w:rsidR="7A2152EE">
        <w:t xml:space="preserve">issues </w:t>
      </w:r>
      <w:r>
        <w:t>through to the next level, you need to look at why.</w:t>
      </w:r>
    </w:p>
    <w:p w14:paraId="603B25B2" w14:textId="6D2DB36F" w:rsidR="00454649" w:rsidRPr="004758D0" w:rsidRDefault="00454649" w:rsidP="006E618E">
      <w:r>
        <w:t xml:space="preserve">Help Desk is your first line of defence. They are not as technical as you are. Equip them with </w:t>
      </w:r>
      <w:r w:rsidR="009C7283">
        <w:t xml:space="preserve">a </w:t>
      </w:r>
      <w:r>
        <w:t xml:space="preserve">simple dashboard so </w:t>
      </w:r>
      <w:r w:rsidR="00B52999">
        <w:t xml:space="preserve">that </w:t>
      </w:r>
      <w:r>
        <w:t>they can handle VM Owner complaint</w:t>
      </w:r>
      <w:r w:rsidR="1C342DB6">
        <w:t>s by discovering</w:t>
      </w:r>
      <w:r>
        <w:t xml:space="preserve">: </w:t>
      </w:r>
    </w:p>
    <w:p w14:paraId="58220F1B" w14:textId="77777777" w:rsidR="00454649" w:rsidRPr="004758D0" w:rsidRDefault="00454649" w:rsidP="000A7DC1">
      <w:pPr>
        <w:pStyle w:val="Bullet"/>
      </w:pPr>
      <w:r w:rsidRPr="004758D0">
        <w:t>Is the problem caused by IaaS not serving the VM well?</w:t>
      </w:r>
    </w:p>
    <w:p w14:paraId="2DAA58CD" w14:textId="77777777" w:rsidR="00454649" w:rsidRPr="004758D0" w:rsidRDefault="00454649" w:rsidP="000A7DC1">
      <w:pPr>
        <w:pStyle w:val="Bullet"/>
      </w:pPr>
      <w:r w:rsidRPr="004758D0">
        <w:t>If yes, which part of the Infra: CPU, RAM, Disk, Network?</w:t>
      </w:r>
    </w:p>
    <w:p w14:paraId="7B1D69B7" w14:textId="77777777" w:rsidR="00454649" w:rsidRPr="004758D0" w:rsidRDefault="00454649" w:rsidP="000A7DC1">
      <w:pPr>
        <w:pStyle w:val="Bullet"/>
      </w:pPr>
      <w:r w:rsidRPr="004758D0">
        <w:t>If not, how to prove it convincingly?</w:t>
      </w:r>
    </w:p>
    <w:p w14:paraId="7219003F" w14:textId="77777777" w:rsidR="00E84B46" w:rsidRPr="004758D0" w:rsidRDefault="00E84B46" w:rsidP="00E84B46">
      <w:pPr>
        <w:pStyle w:val="Heading5"/>
      </w:pPr>
      <w:r w:rsidRPr="004758D0">
        <w:t>Is your IaaS cheaper than public cloud or hybrid cloud?</w:t>
      </w:r>
    </w:p>
    <w:p w14:paraId="442B6D91" w14:textId="77777777" w:rsidR="00E84B46" w:rsidRPr="004758D0" w:rsidRDefault="00E84B46" w:rsidP="00E84B46">
      <w:r>
        <w:t>The commoditization of infrastructure means your IaaS is being compared with similar platforms such as VMware Cloud on AWS and Amazon Web Services.</w:t>
      </w:r>
    </w:p>
    <w:p w14:paraId="5117371B" w14:textId="77777777" w:rsidR="00E84B46" w:rsidRPr="004758D0" w:rsidRDefault="00E84B46" w:rsidP="00E84B46">
      <w:r w:rsidRPr="004758D0">
        <w:t xml:space="preserve">If not, your CIO may question your business value. The </w:t>
      </w:r>
      <w:r>
        <w:t xml:space="preserve">primary </w:t>
      </w:r>
      <w:r w:rsidRPr="004758D0">
        <w:t xml:space="preserve">reason for having an in-house architect is so you can bring </w:t>
      </w:r>
      <w:r>
        <w:t>better price/performance</w:t>
      </w:r>
      <w:r w:rsidRPr="004758D0">
        <w:t>, after taking into account your salary.</w:t>
      </w:r>
    </w:p>
    <w:p w14:paraId="326D88FE" w14:textId="172875C5" w:rsidR="00454649" w:rsidRPr="004758D0" w:rsidRDefault="00454649" w:rsidP="00E7573A">
      <w:pPr>
        <w:pStyle w:val="Heading5"/>
      </w:pPr>
      <w:r w:rsidRPr="004758D0">
        <w:lastRenderedPageBreak/>
        <w:t xml:space="preserve">Can you justify new infrastructure when utilization is </w:t>
      </w:r>
      <w:r w:rsidRPr="00D97840">
        <w:rPr>
          <w:rStyle w:val="Strong"/>
          <w:i/>
          <w:iCs/>
          <w:color w:val="ED7D31" w:themeColor="accent2"/>
        </w:rPr>
        <w:t>not high</w:t>
      </w:r>
      <w:r w:rsidRPr="004758D0">
        <w:t xml:space="preserve">? </w:t>
      </w:r>
    </w:p>
    <w:p w14:paraId="2F2D4753" w14:textId="563DAA1E" w:rsidR="00454649" w:rsidRPr="004758D0" w:rsidRDefault="00454649" w:rsidP="006E618E">
      <w:r w:rsidRPr="004758D0">
        <w:t>This is not referring to additional money that comes with new project</w:t>
      </w:r>
      <w:r w:rsidR="009C7283">
        <w:t>s</w:t>
      </w:r>
      <w:r w:rsidRPr="004758D0">
        <w:t xml:space="preserve">. This is referring to existing </w:t>
      </w:r>
      <w:r w:rsidR="009C7283">
        <w:t xml:space="preserve">workload on existing </w:t>
      </w:r>
      <w:r w:rsidRPr="004758D0">
        <w:t>clusters/storage</w:t>
      </w:r>
      <w:r w:rsidR="008A4D18">
        <w:t>.</w:t>
      </w:r>
    </w:p>
    <w:p w14:paraId="771606D4" w14:textId="78347F79" w:rsidR="00454649" w:rsidRPr="004758D0" w:rsidRDefault="00454649" w:rsidP="006E618E">
      <w:r w:rsidRPr="004758D0">
        <w:t xml:space="preserve">Capacity is measured on utilization and performance. A cluster capacity is full if it can’t serve its VMs well. Since it takes time to buy hardware, you need to have </w:t>
      </w:r>
      <w:r w:rsidR="00590D1A">
        <w:t xml:space="preserve">an </w:t>
      </w:r>
      <w:r w:rsidRPr="00D97840">
        <w:rPr>
          <w:rStyle w:val="Strong"/>
          <w:b w:val="0"/>
          <w:bCs w:val="0"/>
          <w:i/>
          <w:iCs/>
          <w:color w:val="00B050"/>
        </w:rPr>
        <w:t>early warning</w:t>
      </w:r>
      <w:r w:rsidRPr="00D97840">
        <w:rPr>
          <w:color w:val="00B050"/>
        </w:rPr>
        <w:t> </w:t>
      </w:r>
      <w:r w:rsidR="00590D1A">
        <w:t xml:space="preserve">system </w:t>
      </w:r>
      <w:r w:rsidRPr="004758D0">
        <w:t>to detect this performance degradation.</w:t>
      </w:r>
    </w:p>
    <w:p w14:paraId="2310DE64" w14:textId="77777777" w:rsidR="00454649" w:rsidRPr="004758D0" w:rsidRDefault="00454649" w:rsidP="00E7573A">
      <w:pPr>
        <w:pStyle w:val="Heading5"/>
      </w:pPr>
      <w:r w:rsidRPr="004758D0">
        <w:t>Do you struggle with many over-provisioned VMs?</w:t>
      </w:r>
    </w:p>
    <w:p w14:paraId="3007BE1C" w14:textId="6BAA0FC5" w:rsidR="00454649" w:rsidRPr="004758D0" w:rsidRDefault="00454649" w:rsidP="006E618E">
      <w:r>
        <w:t xml:space="preserve">This is an indicator that </w:t>
      </w:r>
      <w:r w:rsidR="066ADA60">
        <w:t>y</w:t>
      </w:r>
      <w:r w:rsidR="006744C1">
        <w:t>ou are</w:t>
      </w:r>
      <w:r>
        <w:t xml:space="preserve"> operating as a System Builder as opposed to a Service Provider.</w:t>
      </w:r>
      <w:r w:rsidR="00D4424B">
        <w:t xml:space="preserve"> </w:t>
      </w:r>
      <w:r>
        <w:t xml:space="preserve">As a System Builder, </w:t>
      </w:r>
      <w:r w:rsidR="26B85976">
        <w:t>y</w:t>
      </w:r>
      <w:r w:rsidR="006744C1">
        <w:t>ou are</w:t>
      </w:r>
      <w:r>
        <w:t xml:space="preserve"> meddling with each System (read: Application). You size </w:t>
      </w:r>
      <w:r w:rsidR="0094173C" w:rsidRPr="198D2F7E">
        <w:rPr>
          <w:lang w:val="en-US"/>
        </w:rPr>
        <w:t>them and</w:t>
      </w:r>
      <w:r>
        <w:t xml:space="preserve"> argue with </w:t>
      </w:r>
      <w:r w:rsidR="00590D1A">
        <w:t xml:space="preserve">the </w:t>
      </w:r>
      <w:r>
        <w:t>application team</w:t>
      </w:r>
      <w:r w:rsidR="00590D1A">
        <w:t>, wh</w:t>
      </w:r>
      <w:r w:rsidR="00272AA2">
        <w:t>o are</w:t>
      </w:r>
      <w:r w:rsidR="00590D1A">
        <w:t xml:space="preserve"> actually your customers</w:t>
      </w:r>
      <w:r>
        <w:t>.</w:t>
      </w:r>
      <w:r w:rsidR="00A76C32">
        <w:t xml:space="preserve"> You are busy as there are many applications and you are outnumbered. </w:t>
      </w:r>
    </w:p>
    <w:p w14:paraId="34150D37" w14:textId="64A477AB" w:rsidR="00454649" w:rsidRPr="004758D0" w:rsidRDefault="00D4424B" w:rsidP="006E618E">
      <w:r>
        <w:t xml:space="preserve">If you are operating as an internal </w:t>
      </w:r>
      <w:hyperlink r:id="rId35">
        <w:r w:rsidR="001B5DB0" w:rsidRPr="198D2F7E">
          <w:rPr>
            <w:rStyle w:val="Hyperlink"/>
          </w:rPr>
          <w:t xml:space="preserve">Cloud </w:t>
        </w:r>
        <w:r w:rsidR="00454649" w:rsidRPr="198D2F7E">
          <w:rPr>
            <w:rStyle w:val="Hyperlink"/>
          </w:rPr>
          <w:t>Service Provider</w:t>
        </w:r>
      </w:hyperlink>
      <w:r w:rsidR="00454649">
        <w:t xml:space="preserve">, </w:t>
      </w:r>
      <w:r w:rsidR="00F40C8C">
        <w:t>y</w:t>
      </w:r>
      <w:r w:rsidR="006744C1">
        <w:t xml:space="preserve">ou </w:t>
      </w:r>
      <w:r w:rsidR="00F40C8C">
        <w:t xml:space="preserve">should </w:t>
      </w:r>
      <w:r w:rsidR="00454649">
        <w:t xml:space="preserve">not </w:t>
      </w:r>
      <w:r w:rsidR="00F40C8C">
        <w:t xml:space="preserve">be </w:t>
      </w:r>
      <w:r w:rsidR="00454649">
        <w:t>“</w:t>
      </w:r>
      <w:r w:rsidR="0043033A" w:rsidRPr="00F40C8C">
        <w:rPr>
          <w:color w:val="FF0000"/>
        </w:rPr>
        <w:t>i</w:t>
      </w:r>
      <w:r w:rsidR="00454649" w:rsidRPr="00F40C8C">
        <w:rPr>
          <w:color w:val="FF0000"/>
        </w:rPr>
        <w:t>n the way</w:t>
      </w:r>
      <w:r w:rsidR="00454649">
        <w:t>”</w:t>
      </w:r>
      <w:r>
        <w:t xml:space="preserve"> of the business</w:t>
      </w:r>
      <w:r w:rsidR="00454649">
        <w:t xml:space="preserve">. </w:t>
      </w:r>
      <w:r w:rsidR="001944BE">
        <w:t>You</w:t>
      </w:r>
      <w:r w:rsidR="00454649">
        <w:t xml:space="preserve"> use an effective pricing model to drive the right behaviour. Does </w:t>
      </w:r>
      <w:r w:rsidR="00590D1A">
        <w:t xml:space="preserve">a </w:t>
      </w:r>
      <w:r w:rsidR="001944BE">
        <w:t>public cloud provider</w:t>
      </w:r>
      <w:r w:rsidR="00454649">
        <w:t xml:space="preserve"> block </w:t>
      </w:r>
      <w:r w:rsidR="001944BE">
        <w:t>application team</w:t>
      </w:r>
      <w:r w:rsidR="2E5C8F7F">
        <w:t>s</w:t>
      </w:r>
      <w:r w:rsidR="001944BE">
        <w:t xml:space="preserve"> </w:t>
      </w:r>
      <w:r w:rsidR="00454649">
        <w:t xml:space="preserve">when </w:t>
      </w:r>
      <w:r w:rsidR="001944BE">
        <w:t xml:space="preserve">they </w:t>
      </w:r>
      <w:r w:rsidR="00454649">
        <w:t xml:space="preserve">buy 40 CPU </w:t>
      </w:r>
      <w:hyperlink r:id="rId36">
        <w:r w:rsidR="00590D1A" w:rsidRPr="198D2F7E">
          <w:rPr>
            <w:rStyle w:val="Hyperlink"/>
          </w:rPr>
          <w:t xml:space="preserve">AWS </w:t>
        </w:r>
        <w:r w:rsidR="00454649" w:rsidRPr="198D2F7E">
          <w:rPr>
            <w:rStyle w:val="Hyperlink"/>
          </w:rPr>
          <w:t>EC2</w:t>
        </w:r>
      </w:hyperlink>
      <w:r w:rsidR="00454649">
        <w:t xml:space="preserve"> VM</w:t>
      </w:r>
      <w:r w:rsidR="28472466">
        <w:t>s</w:t>
      </w:r>
      <w:r w:rsidR="00454649">
        <w:t xml:space="preserve"> when </w:t>
      </w:r>
      <w:r w:rsidR="00B02D8F">
        <w:t xml:space="preserve">they </w:t>
      </w:r>
      <w:r w:rsidR="00454649">
        <w:t>only need 2 CPU?</w:t>
      </w:r>
      <w:r w:rsidR="001944BE">
        <w:t xml:space="preserve"> They don’t, hence </w:t>
      </w:r>
      <w:r w:rsidR="00272AA2">
        <w:t xml:space="preserve">neither should </w:t>
      </w:r>
      <w:r w:rsidR="001944BE">
        <w:t>y</w:t>
      </w:r>
      <w:r w:rsidR="00272AA2">
        <w:t>ou</w:t>
      </w:r>
      <w:r w:rsidR="001944BE">
        <w:t>.</w:t>
      </w:r>
    </w:p>
    <w:p w14:paraId="4F03C7E8" w14:textId="498328BE" w:rsidR="00EA71A3" w:rsidRDefault="00EA71A3" w:rsidP="00AC6E1E">
      <w:pPr>
        <w:pStyle w:val="Heading4"/>
      </w:pPr>
      <w:r>
        <w:t>Common Mistakes</w:t>
      </w:r>
    </w:p>
    <w:p w14:paraId="47BEE235" w14:textId="394855E2" w:rsidR="00EA71A3" w:rsidRDefault="00EA71A3" w:rsidP="00EA71A3">
      <w:pPr>
        <w:rPr>
          <w:lang w:val="en-GB"/>
        </w:rPr>
      </w:pPr>
      <w:r>
        <w:rPr>
          <w:lang w:val="en-GB"/>
        </w:rPr>
        <w:t>“</w:t>
      </w:r>
      <w:r w:rsidRPr="000A6BE5">
        <w:rPr>
          <w:color w:val="00B0F0"/>
          <w:lang w:val="en-GB"/>
        </w:rPr>
        <w:t>If you don’t have a problem, I don’t have a solution</w:t>
      </w:r>
      <w:r>
        <w:rPr>
          <w:lang w:val="en-GB"/>
        </w:rPr>
        <w:t>” summarizes how I engage customers. So after years and hundreds of customers, I see solution</w:t>
      </w:r>
      <w:r w:rsidR="00396B3C">
        <w:rPr>
          <w:lang w:val="en-GB"/>
        </w:rPr>
        <w:t>s</w:t>
      </w:r>
      <w:r>
        <w:rPr>
          <w:lang w:val="en-GB"/>
        </w:rPr>
        <w:t xml:space="preserve"> </w:t>
      </w:r>
      <w:r w:rsidR="0087397D">
        <w:rPr>
          <w:lang w:val="en-GB"/>
        </w:rPr>
        <w:t xml:space="preserve">that customers adopt </w:t>
      </w:r>
      <w:r>
        <w:rPr>
          <w:lang w:val="en-GB"/>
        </w:rPr>
        <w:t xml:space="preserve">and typical mistakes they correct. </w:t>
      </w:r>
    </w:p>
    <w:p w14:paraId="27137F78" w14:textId="61F4FA4E" w:rsidR="000A6BE5" w:rsidRDefault="000A6BE5" w:rsidP="00EA71A3">
      <w:pPr>
        <w:rPr>
          <w:lang w:val="en-GB"/>
        </w:rPr>
      </w:pPr>
      <w:r>
        <w:rPr>
          <w:lang w:val="en-GB"/>
        </w:rPr>
        <w:t>Here are some examples of typical mistakes:</w:t>
      </w:r>
    </w:p>
    <w:p w14:paraId="7D3796DC" w14:textId="47D9466F" w:rsidR="00416DD1" w:rsidRDefault="00416DD1" w:rsidP="000A6BE5">
      <w:pPr>
        <w:pStyle w:val="Bullet"/>
        <w:rPr>
          <w:lang w:val="en-GB"/>
        </w:rPr>
      </w:pPr>
      <w:r>
        <w:rPr>
          <w:lang w:val="en-GB"/>
        </w:rPr>
        <w:t xml:space="preserve">Private Cloud is seen as </w:t>
      </w:r>
      <w:r w:rsidRPr="00E84A33">
        <w:rPr>
          <w:i/>
          <w:iCs/>
          <w:color w:val="00B0F0"/>
          <w:lang w:val="en-GB"/>
        </w:rPr>
        <w:t>automation</w:t>
      </w:r>
      <w:r w:rsidRPr="00E84A33">
        <w:rPr>
          <w:color w:val="00B0F0"/>
          <w:lang w:val="en-GB"/>
        </w:rPr>
        <w:t xml:space="preserve"> </w:t>
      </w:r>
      <w:r>
        <w:rPr>
          <w:lang w:val="en-GB"/>
        </w:rPr>
        <w:t xml:space="preserve">project as opposed to operation. </w:t>
      </w:r>
      <w:r w:rsidR="00E84B46">
        <w:rPr>
          <w:lang w:val="en-GB"/>
        </w:rPr>
        <w:t>Private Cloud is not virtualization with automation and self service. It is the required technical foundation to tranform the business of enterprise IT from system builder to service provider. The automation, workflow and self service portal are merely supporting features. The primary component</w:t>
      </w:r>
      <w:r w:rsidR="00E84A33">
        <w:rPr>
          <w:lang w:val="en-GB"/>
        </w:rPr>
        <w:t xml:space="preserve"> of Private Cloud</w:t>
      </w:r>
      <w:r w:rsidR="00E84B46">
        <w:rPr>
          <w:lang w:val="en-GB"/>
        </w:rPr>
        <w:t xml:space="preserve"> is SLA and Class of Service</w:t>
      </w:r>
      <w:r w:rsidR="00E84A33">
        <w:rPr>
          <w:lang w:val="en-GB"/>
        </w:rPr>
        <w:t>, hence it’s operations-centric, not automation-centric.</w:t>
      </w:r>
      <w:r w:rsidR="00E84B46">
        <w:rPr>
          <w:lang w:val="en-GB"/>
        </w:rPr>
        <w:t xml:space="preserve"> </w:t>
      </w:r>
    </w:p>
    <w:p w14:paraId="4CFED7D6" w14:textId="08494062" w:rsidR="00EA71A3" w:rsidRDefault="00EA71A3" w:rsidP="000A6BE5">
      <w:pPr>
        <w:pStyle w:val="Bullet"/>
        <w:rPr>
          <w:lang w:val="en-GB"/>
        </w:rPr>
      </w:pPr>
      <w:r>
        <w:rPr>
          <w:lang w:val="en-GB"/>
        </w:rPr>
        <w:t>VMware Cloud Foundation</w:t>
      </w:r>
      <w:r w:rsidRPr="00EA71A3">
        <w:rPr>
          <w:lang w:val="en-GB"/>
        </w:rPr>
        <w:t xml:space="preserve"> is architected with server-consolidation mindset</w:t>
      </w:r>
      <w:r>
        <w:rPr>
          <w:lang w:val="en-GB"/>
        </w:rPr>
        <w:t>. That means the system has n</w:t>
      </w:r>
      <w:r w:rsidRPr="00EA71A3">
        <w:rPr>
          <w:lang w:val="en-GB"/>
        </w:rPr>
        <w:t>o awareness of IaaS</w:t>
      </w:r>
      <w:r w:rsidR="0087397D">
        <w:rPr>
          <w:lang w:val="en-GB"/>
        </w:rPr>
        <w:t xml:space="preserve"> </w:t>
      </w:r>
      <w:r>
        <w:rPr>
          <w:lang w:val="en-GB"/>
        </w:rPr>
        <w:t xml:space="preserve">and </w:t>
      </w:r>
      <w:r w:rsidRPr="00EA71A3">
        <w:rPr>
          <w:lang w:val="en-GB"/>
        </w:rPr>
        <w:t>SLA</w:t>
      </w:r>
      <w:r>
        <w:rPr>
          <w:lang w:val="en-GB"/>
        </w:rPr>
        <w:t xml:space="preserve">. </w:t>
      </w:r>
      <w:r w:rsidR="0087397D">
        <w:rPr>
          <w:lang w:val="en-GB"/>
        </w:rPr>
        <w:t>Different class of service can be mixed in the same cluster or datastore.</w:t>
      </w:r>
    </w:p>
    <w:p w14:paraId="5E04A871" w14:textId="125058F8" w:rsidR="0087397D" w:rsidRPr="00EA71A3" w:rsidRDefault="0087397D" w:rsidP="000A6BE5">
      <w:pPr>
        <w:pStyle w:val="Bullet"/>
        <w:rPr>
          <w:lang w:val="en-GB"/>
        </w:rPr>
      </w:pPr>
      <w:r>
        <w:rPr>
          <w:lang w:val="en-GB"/>
        </w:rPr>
        <w:t>There is class of service, but the system does not clearly state it. The naming standard does not include class of service.</w:t>
      </w:r>
    </w:p>
    <w:p w14:paraId="28984340" w14:textId="369F502C" w:rsidR="00EA71A3" w:rsidRPr="00EA71A3" w:rsidRDefault="00EA71A3" w:rsidP="000A6BE5">
      <w:pPr>
        <w:pStyle w:val="Bullet"/>
        <w:rPr>
          <w:lang w:val="en-GB"/>
        </w:rPr>
      </w:pPr>
      <w:r w:rsidRPr="00EA71A3">
        <w:rPr>
          <w:lang w:val="en-GB"/>
        </w:rPr>
        <w:t>Performance</w:t>
      </w:r>
      <w:r>
        <w:rPr>
          <w:lang w:val="en-GB"/>
        </w:rPr>
        <w:t xml:space="preserve"> is never defined properly. It’s designed for performance, but the benchmark does not align with what actually being sold.</w:t>
      </w:r>
      <w:r w:rsidR="0087397D">
        <w:rPr>
          <w:lang w:val="en-GB"/>
        </w:rPr>
        <w:t xml:space="preserve"> There is no Performance SLA, and often there is no </w:t>
      </w:r>
      <w:hyperlink w:anchor="_KPI_vs_SLA_1" w:history="1">
        <w:r w:rsidR="0072510F" w:rsidRPr="002601C9">
          <w:rPr>
            <w:rStyle w:val="Hyperlink"/>
          </w:rPr>
          <w:t>Key Performance Indicators</w:t>
        </w:r>
      </w:hyperlink>
      <w:r w:rsidR="0072510F">
        <w:t xml:space="preserve"> (</w:t>
      </w:r>
      <w:r w:rsidR="0072510F" w:rsidRPr="00902A50">
        <w:t>KPI</w:t>
      </w:r>
      <w:r w:rsidR="0072510F">
        <w:t>)</w:t>
      </w:r>
      <w:r w:rsidR="0072510F">
        <w:rPr>
          <w:rStyle w:val="FootnoteReference"/>
        </w:rPr>
        <w:footnoteReference w:id="2"/>
      </w:r>
      <w:r w:rsidR="0072510F" w:rsidRPr="00902A50">
        <w:t>.</w:t>
      </w:r>
    </w:p>
    <w:p w14:paraId="7D08D171" w14:textId="7B44C16C" w:rsidR="00EA71A3" w:rsidRPr="00EA71A3" w:rsidRDefault="0087397D" w:rsidP="000A6BE5">
      <w:pPr>
        <w:pStyle w:val="Bullet"/>
        <w:rPr>
          <w:lang w:val="en-GB"/>
        </w:rPr>
      </w:pPr>
      <w:r>
        <w:rPr>
          <w:lang w:val="en-GB"/>
        </w:rPr>
        <w:lastRenderedPageBreak/>
        <w:t>The infrastructure has n</w:t>
      </w:r>
      <w:r w:rsidR="00EA71A3" w:rsidRPr="00EA71A3">
        <w:rPr>
          <w:lang w:val="en-GB"/>
        </w:rPr>
        <w:t>o aware</w:t>
      </w:r>
      <w:r>
        <w:rPr>
          <w:lang w:val="en-GB"/>
        </w:rPr>
        <w:t>ness</w:t>
      </w:r>
      <w:r w:rsidR="00EA71A3" w:rsidRPr="00EA71A3">
        <w:rPr>
          <w:lang w:val="en-GB"/>
        </w:rPr>
        <w:t xml:space="preserve"> of business units, applications, application-tier.</w:t>
      </w:r>
      <w:r>
        <w:rPr>
          <w:lang w:val="en-GB"/>
        </w:rPr>
        <w:t xml:space="preserve"> The business is not reflected in the infrastructure. </w:t>
      </w:r>
    </w:p>
    <w:p w14:paraId="6FD12B7C" w14:textId="57C58172" w:rsidR="00A74B00" w:rsidRDefault="00A74B00" w:rsidP="00AC6E1E">
      <w:pPr>
        <w:pStyle w:val="Heading4"/>
      </w:pPr>
      <w:r>
        <w:t>Multi-Cloud Operations</w:t>
      </w:r>
    </w:p>
    <w:p w14:paraId="20C09B77" w14:textId="7E733F99" w:rsidR="00C20AB1" w:rsidRDefault="00EB0D16" w:rsidP="00A74B00">
      <w:r>
        <w:t xml:space="preserve">A single private cloud, something you have complete control, is hard enough to operate, let alone operating multiple incompatible infrastructure. </w:t>
      </w:r>
      <w:r w:rsidR="006B465B">
        <w:t xml:space="preserve">Multi-cloud operations, where you are responsible for something that you do not have complete controls take the operations challenge to the next level. </w:t>
      </w:r>
      <w:r w:rsidR="00A74B00">
        <w:t xml:space="preserve">Don’t be disheartened if your organisation is struggling with running a multi-cloud operations. </w:t>
      </w:r>
    </w:p>
    <w:p w14:paraId="467E2AA9" w14:textId="20DDF7AC" w:rsidR="00A74B00" w:rsidRDefault="00A74B00" w:rsidP="00A74B00">
      <w:r>
        <w:t xml:space="preserve">The complexity is due to the lack of maturity of the architecture. There are simply too many components involved, as shown in the </w:t>
      </w:r>
      <w:hyperlink r:id="rId37" w:history="1">
        <w:r w:rsidRPr="007F2091">
          <w:rPr>
            <w:rStyle w:val="Hyperlink"/>
          </w:rPr>
          <w:t>landscape diagram</w:t>
        </w:r>
      </w:hyperlink>
      <w:r>
        <w:t xml:space="preserve"> by Cloud Native Computing Foundation. </w:t>
      </w:r>
    </w:p>
    <w:p w14:paraId="71375D8C" w14:textId="77777777" w:rsidR="00A74B00" w:rsidRDefault="00A74B00" w:rsidP="00A74B00">
      <w:pPr>
        <w:jc w:val="center"/>
      </w:pPr>
      <w:r w:rsidRPr="00EB38EC">
        <w:rPr>
          <w:noProof/>
        </w:rPr>
        <w:drawing>
          <wp:inline distT="0" distB="0" distL="0" distR="0" wp14:anchorId="4F4917BC" wp14:editId="65A840F4">
            <wp:extent cx="3942000" cy="2674800"/>
            <wp:effectExtent l="0" t="0" r="1905" b="0"/>
            <wp:docPr id="1293284833" name="Picture 1293284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942000" cy="2674800"/>
                    </a:xfrm>
                    <a:prstGeom prst="rect">
                      <a:avLst/>
                    </a:prstGeom>
                  </pic:spPr>
                </pic:pic>
              </a:graphicData>
            </a:graphic>
          </wp:inline>
        </w:drawing>
      </w:r>
    </w:p>
    <w:p w14:paraId="740CC0FD" w14:textId="5DB23B7D" w:rsidR="00A74B00" w:rsidRDefault="00A74B00" w:rsidP="00A74B00">
      <w:r>
        <w:t>Eventually though</w:t>
      </w:r>
      <w:r w:rsidR="0004492F">
        <w:t>…</w:t>
      </w:r>
      <w:r>
        <w:t>, the architecture will slowly mature and turn into a commodity. CIOs will begin focus on the operations as business will demand proper governance with SLA.</w:t>
      </w:r>
    </w:p>
    <w:p w14:paraId="285490F0" w14:textId="77777777" w:rsidR="00A74B00" w:rsidRDefault="00A74B00" w:rsidP="00A74B00">
      <w:r>
        <w:t xml:space="preserve">Regardless of the underlying system architecture, CIOs are still required to manage cost, capacity, compliance, performance and availability. The Pillars of Operations do not change just because you change the plumbing. We will cover more of these pillars </w:t>
      </w:r>
      <w:hyperlink w:anchor="_Pillar_vs_Process" w:history="1">
        <w:r w:rsidRPr="00991B91">
          <w:rPr>
            <w:rStyle w:val="Hyperlink"/>
          </w:rPr>
          <w:t>here</w:t>
        </w:r>
      </w:hyperlink>
      <w:r>
        <w:t xml:space="preserve">. </w:t>
      </w:r>
    </w:p>
    <w:p w14:paraId="6C14F0FD" w14:textId="7C29DBE6" w:rsidR="00FE57B8" w:rsidRPr="004758D0" w:rsidRDefault="00FE57B8" w:rsidP="00540F68">
      <w:pPr>
        <w:pStyle w:val="Heading3"/>
      </w:pPr>
      <w:r w:rsidRPr="004758D0">
        <w:lastRenderedPageBreak/>
        <w:t>Purpose-</w:t>
      </w:r>
      <w:r w:rsidR="00D01184" w:rsidRPr="004758D0">
        <w:t>Driven</w:t>
      </w:r>
      <w:r w:rsidRPr="004758D0">
        <w:t xml:space="preserve"> Architecture</w:t>
      </w:r>
    </w:p>
    <w:p w14:paraId="47359891" w14:textId="754CAA97" w:rsidR="008E7BDA" w:rsidRDefault="008E7BDA" w:rsidP="00C04C48">
      <w:r>
        <w:t xml:space="preserve">When you architect IaaS or </w:t>
      </w:r>
      <w:r w:rsidR="000640F0">
        <w:t>Desktop as a Service (</w:t>
      </w:r>
      <w:hyperlink r:id="rId39">
        <w:r w:rsidRPr="4C8B4F60">
          <w:rPr>
            <w:rStyle w:val="Hyperlink"/>
          </w:rPr>
          <w:t>DaaS</w:t>
        </w:r>
      </w:hyperlink>
      <w:r w:rsidR="000640F0" w:rsidRPr="4C8B4F60">
        <w:rPr>
          <w:rStyle w:val="Hyperlink"/>
        </w:rPr>
        <w:t>)</w:t>
      </w:r>
      <w:r>
        <w:t xml:space="preserve">, what goals do you have in mind? I don’t mean the design considerations, such as </w:t>
      </w:r>
      <w:r w:rsidR="00A248AA">
        <w:t xml:space="preserve">availability and performance </w:t>
      </w:r>
      <w:r>
        <w:t>best practices</w:t>
      </w:r>
      <w:r w:rsidR="003403F0">
        <w:rPr>
          <w:rStyle w:val="FootnoteReference"/>
        </w:rPr>
        <w:footnoteReference w:id="3"/>
      </w:r>
      <w:r>
        <w:t xml:space="preserve">. I mean the </w:t>
      </w:r>
      <w:r w:rsidRPr="00113506">
        <w:rPr>
          <w:rStyle w:val="Strong"/>
          <w:b w:val="0"/>
          <w:bCs w:val="0"/>
          <w:i/>
          <w:iCs/>
          <w:color w:val="00B0F0"/>
        </w:rPr>
        <w:t>business result</w:t>
      </w:r>
      <w:r w:rsidR="00113506">
        <w:rPr>
          <w:rStyle w:val="Strong"/>
          <w:b w:val="0"/>
          <w:bCs w:val="0"/>
          <w:i/>
          <w:iCs/>
          <w:color w:val="00B0F0"/>
        </w:rPr>
        <w:t>s</w:t>
      </w:r>
      <w:r w:rsidRPr="000A6BE5">
        <w:rPr>
          <w:color w:val="00B0F0"/>
        </w:rPr>
        <w:t xml:space="preserve"> </w:t>
      </w:r>
      <w:r>
        <w:t>that your architecture has to deliver</w:t>
      </w:r>
      <w:r w:rsidR="008D4DDA">
        <w:t xml:space="preserve">, viewed from the people who paid for the </w:t>
      </w:r>
      <w:r w:rsidR="00A064E3" w:rsidRPr="006646E8">
        <w:rPr>
          <w:color w:val="00B0F0"/>
        </w:rPr>
        <w:t>system</w:t>
      </w:r>
      <w:r w:rsidR="00A064E3">
        <w:t xml:space="preserve">, and by the people who will pay for the </w:t>
      </w:r>
      <w:r w:rsidR="00A064E3" w:rsidRPr="006646E8">
        <w:rPr>
          <w:color w:val="00B0F0"/>
        </w:rPr>
        <w:t>service</w:t>
      </w:r>
      <w:r w:rsidR="00A064E3">
        <w:t>.</w:t>
      </w:r>
      <w:r w:rsidR="000A6BE5">
        <w:t xml:space="preserve"> Set aside your opinion on the goal, as you neither pay for it or use it.</w:t>
      </w:r>
    </w:p>
    <w:p w14:paraId="094BA606" w14:textId="2453B171" w:rsidR="0047764D" w:rsidRDefault="000640F0" w:rsidP="00C04C48">
      <w:r>
        <w:t xml:space="preserve">Logically, the answer depends on what is being sold. </w:t>
      </w:r>
      <w:r w:rsidR="00624755">
        <w:t>You can either sell application or infrastructure</w:t>
      </w:r>
      <w:r w:rsidR="00BB41C4">
        <w:t>, broadly speaking.</w:t>
      </w:r>
      <w:r w:rsidR="00AC3A49">
        <w:t xml:space="preserve"> Some popular examples are:</w:t>
      </w:r>
    </w:p>
    <w:p w14:paraId="7A3FA849" w14:textId="77777777" w:rsidR="00BD2044" w:rsidRDefault="00BD2044" w:rsidP="00BD2044">
      <w:pPr>
        <w:pStyle w:val="BeforeTable"/>
      </w:pPr>
    </w:p>
    <w:tbl>
      <w:tblPr>
        <w:tblStyle w:val="TableGridLight"/>
        <w:tblW w:w="10306"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276"/>
        <w:gridCol w:w="4541"/>
        <w:gridCol w:w="4489"/>
      </w:tblGrid>
      <w:tr w:rsidR="00BD2044" w:rsidRPr="00BD2044" w14:paraId="346E673C" w14:textId="77777777" w:rsidTr="00BD2044">
        <w:trPr>
          <w:trHeight w:val="302"/>
          <w:jc w:val="center"/>
        </w:trPr>
        <w:tc>
          <w:tcPr>
            <w:tcW w:w="1276" w:type="dxa"/>
            <w:shd w:val="clear" w:color="auto" w:fill="F2F2F2" w:themeFill="background1" w:themeFillShade="F2"/>
            <w:vAlign w:val="center"/>
          </w:tcPr>
          <w:p w14:paraId="7727F5CC" w14:textId="4E1A3E29" w:rsidR="00BD2044" w:rsidRPr="00BD2044" w:rsidRDefault="00BD2044" w:rsidP="00BD2044">
            <w:pPr>
              <w:pStyle w:val="Tableheading"/>
            </w:pPr>
            <w:r w:rsidRPr="00BD2044">
              <w:t>Service</w:t>
            </w:r>
          </w:p>
        </w:tc>
        <w:tc>
          <w:tcPr>
            <w:tcW w:w="4541" w:type="dxa"/>
            <w:shd w:val="clear" w:color="auto" w:fill="F2F2F2" w:themeFill="background1" w:themeFillShade="F2"/>
            <w:vAlign w:val="center"/>
          </w:tcPr>
          <w:p w14:paraId="49244977" w14:textId="5FCF88A1" w:rsidR="00BD2044" w:rsidRPr="00BD2044" w:rsidRDefault="00BD2044" w:rsidP="00BD2044">
            <w:pPr>
              <w:pStyle w:val="Tableheading"/>
            </w:pPr>
            <w:r w:rsidRPr="00BD2044">
              <w:t>What you sell</w:t>
            </w:r>
          </w:p>
        </w:tc>
        <w:tc>
          <w:tcPr>
            <w:tcW w:w="4489" w:type="dxa"/>
            <w:shd w:val="clear" w:color="auto" w:fill="F2F2F2" w:themeFill="background1" w:themeFillShade="F2"/>
            <w:vAlign w:val="center"/>
          </w:tcPr>
          <w:p w14:paraId="1023472E" w14:textId="37B96B3F" w:rsidR="00BD2044" w:rsidRPr="00BD2044" w:rsidRDefault="00BD2044" w:rsidP="00BD2044">
            <w:pPr>
              <w:pStyle w:val="Tableheading"/>
            </w:pPr>
            <w:r w:rsidRPr="00BD2044">
              <w:t>Examples</w:t>
            </w:r>
          </w:p>
        </w:tc>
      </w:tr>
      <w:tr w:rsidR="00BD2044" w:rsidRPr="00BD2044" w14:paraId="73FD2910" w14:textId="77777777" w:rsidTr="00BD2044">
        <w:trPr>
          <w:trHeight w:val="302"/>
          <w:jc w:val="center"/>
        </w:trPr>
        <w:tc>
          <w:tcPr>
            <w:tcW w:w="1276" w:type="dxa"/>
            <w:shd w:val="clear" w:color="auto" w:fill="auto"/>
          </w:tcPr>
          <w:p w14:paraId="657D1971" w14:textId="13D12904" w:rsidR="00BD2044" w:rsidRPr="00BD2044" w:rsidRDefault="00BD2044" w:rsidP="00BD2044">
            <w:pPr>
              <w:pStyle w:val="Tablecontent"/>
              <w:rPr>
                <w:b/>
                <w:bCs/>
                <w:sz w:val="20"/>
                <w:szCs w:val="20"/>
              </w:rPr>
            </w:pPr>
            <w:r w:rsidRPr="00BD2044">
              <w:rPr>
                <w:b/>
                <w:bCs/>
                <w:sz w:val="20"/>
                <w:szCs w:val="20"/>
              </w:rPr>
              <w:t>SaaS</w:t>
            </w:r>
          </w:p>
        </w:tc>
        <w:tc>
          <w:tcPr>
            <w:tcW w:w="4541" w:type="dxa"/>
            <w:shd w:val="clear" w:color="auto" w:fill="auto"/>
          </w:tcPr>
          <w:p w14:paraId="0B460169" w14:textId="5A1F4A0E" w:rsidR="00BD2044" w:rsidRPr="00BD2044" w:rsidRDefault="00BD2044" w:rsidP="00BD2044">
            <w:pPr>
              <w:pStyle w:val="Tablecontent"/>
              <w:rPr>
                <w:sz w:val="20"/>
                <w:szCs w:val="20"/>
              </w:rPr>
            </w:pPr>
            <w:r w:rsidRPr="00BD2044">
              <w:rPr>
                <w:sz w:val="20"/>
                <w:szCs w:val="20"/>
              </w:rPr>
              <w:t>The software is provided as a service. Customers need not install on-site. Common among ISV who wants to avoid on-prem installation, avoid outdated installation, or mine their customer’s data.</w:t>
            </w:r>
          </w:p>
        </w:tc>
        <w:tc>
          <w:tcPr>
            <w:tcW w:w="4489" w:type="dxa"/>
            <w:shd w:val="clear" w:color="auto" w:fill="auto"/>
          </w:tcPr>
          <w:p w14:paraId="17B0C834" w14:textId="0FCB42ED" w:rsidR="00BD2044" w:rsidRPr="00BD2044" w:rsidRDefault="00BD2044" w:rsidP="00BD2044">
            <w:pPr>
              <w:pStyle w:val="Tablecontent"/>
              <w:rPr>
                <w:sz w:val="20"/>
                <w:szCs w:val="20"/>
              </w:rPr>
            </w:pPr>
            <w:r w:rsidRPr="00BD2044">
              <w:rPr>
                <w:sz w:val="20"/>
                <w:szCs w:val="20"/>
              </w:rPr>
              <w:t xml:space="preserve">vRealize Operations as a Service, vRealize Log Insights as a Service, </w:t>
            </w:r>
            <w:r w:rsidR="00AC3A49" w:rsidRPr="00BD2044">
              <w:rPr>
                <w:sz w:val="20"/>
                <w:szCs w:val="20"/>
              </w:rPr>
              <w:t>Salesforce</w:t>
            </w:r>
            <w:r w:rsidRPr="00BD2044">
              <w:rPr>
                <w:sz w:val="20"/>
                <w:szCs w:val="20"/>
              </w:rPr>
              <w:t>, VMware Skyline, Microsoft Office 365</w:t>
            </w:r>
            <w:r w:rsidR="006646E8">
              <w:rPr>
                <w:sz w:val="20"/>
                <w:szCs w:val="20"/>
              </w:rPr>
              <w:t>.</w:t>
            </w:r>
          </w:p>
        </w:tc>
      </w:tr>
      <w:tr w:rsidR="00BD2044" w:rsidRPr="00BD2044" w14:paraId="66A820CB" w14:textId="77777777" w:rsidTr="00BD2044">
        <w:trPr>
          <w:trHeight w:val="302"/>
          <w:jc w:val="center"/>
        </w:trPr>
        <w:tc>
          <w:tcPr>
            <w:tcW w:w="1276" w:type="dxa"/>
            <w:shd w:val="clear" w:color="auto" w:fill="auto"/>
          </w:tcPr>
          <w:p w14:paraId="3933B887" w14:textId="07637248" w:rsidR="00BD2044" w:rsidRPr="00BD2044" w:rsidRDefault="00BD2044" w:rsidP="00BD2044">
            <w:pPr>
              <w:pStyle w:val="Tablecontent"/>
              <w:rPr>
                <w:b/>
                <w:bCs/>
                <w:sz w:val="20"/>
                <w:szCs w:val="20"/>
              </w:rPr>
            </w:pPr>
            <w:r w:rsidRPr="00BD2044">
              <w:rPr>
                <w:rFonts w:ascii="Calibri" w:hAnsi="Calibri" w:cs="Calibri"/>
                <w:b/>
                <w:bCs/>
                <w:color w:val="171717" w:themeColor="background2" w:themeShade="1A"/>
                <w:kern w:val="24"/>
                <w:sz w:val="20"/>
                <w:szCs w:val="20"/>
              </w:rPr>
              <w:t>DBaaS</w:t>
            </w:r>
          </w:p>
        </w:tc>
        <w:tc>
          <w:tcPr>
            <w:tcW w:w="4541" w:type="dxa"/>
            <w:shd w:val="clear" w:color="auto" w:fill="auto"/>
          </w:tcPr>
          <w:p w14:paraId="3803A64C" w14:textId="63B71BE1" w:rsidR="00BD2044" w:rsidRPr="00BD2044" w:rsidRDefault="00BD2044" w:rsidP="00BD2044">
            <w:pPr>
              <w:pStyle w:val="Tablecontent"/>
              <w:rPr>
                <w:rFonts w:ascii="Arial" w:hAnsi="Arial" w:cs="Arial"/>
                <w:sz w:val="20"/>
                <w:szCs w:val="20"/>
              </w:rPr>
            </w:pPr>
            <w:r w:rsidRPr="00BD2044">
              <w:rPr>
                <w:rFonts w:ascii="Calibri" w:hAnsi="Calibri" w:cs="Calibri"/>
                <w:color w:val="171717" w:themeColor="background2" w:themeShade="1A"/>
                <w:kern w:val="24"/>
                <w:sz w:val="20"/>
                <w:szCs w:val="20"/>
              </w:rPr>
              <w:t>Database as a Service.</w:t>
            </w:r>
            <w:r>
              <w:rPr>
                <w:rFonts w:ascii="Calibri" w:hAnsi="Calibri" w:cs="Calibri"/>
                <w:color w:val="171717" w:themeColor="background2" w:themeShade="1A"/>
                <w:kern w:val="24"/>
                <w:sz w:val="20"/>
                <w:szCs w:val="20"/>
              </w:rPr>
              <w:t xml:space="preserve"> There are </w:t>
            </w:r>
            <w:r w:rsidRPr="00BD2044">
              <w:rPr>
                <w:rFonts w:ascii="Calibri" w:hAnsi="Calibri" w:cs="Calibri"/>
                <w:color w:val="171717" w:themeColor="background2" w:themeShade="1A"/>
                <w:kern w:val="24"/>
                <w:sz w:val="20"/>
                <w:szCs w:val="20"/>
              </w:rPr>
              <w:t xml:space="preserve">2 variants: </w:t>
            </w:r>
          </w:p>
          <w:p w14:paraId="7F0F805B" w14:textId="105D489C" w:rsidR="00BD2044" w:rsidRPr="00BD2044" w:rsidRDefault="00BD2044" w:rsidP="00BD2044">
            <w:pPr>
              <w:pStyle w:val="Tablecontent"/>
              <w:rPr>
                <w:rFonts w:ascii="Arial" w:hAnsi="Arial" w:cs="Arial"/>
                <w:sz w:val="20"/>
                <w:szCs w:val="20"/>
              </w:rPr>
            </w:pPr>
            <w:r>
              <w:rPr>
                <w:rFonts w:ascii="Calibri" w:hAnsi="Calibri" w:cs="Calibri"/>
                <w:color w:val="171717" w:themeColor="background2" w:themeShade="1A"/>
                <w:kern w:val="24"/>
                <w:sz w:val="20"/>
                <w:szCs w:val="20"/>
              </w:rPr>
              <w:t>I</w:t>
            </w:r>
            <w:r w:rsidRPr="00BD2044">
              <w:rPr>
                <w:rFonts w:ascii="Calibri" w:hAnsi="Calibri" w:cs="Calibri"/>
                <w:color w:val="171717" w:themeColor="background2" w:themeShade="1A"/>
                <w:kern w:val="24"/>
                <w:sz w:val="20"/>
                <w:szCs w:val="20"/>
              </w:rPr>
              <w:t xml:space="preserve">nstance. Customer shares the binary with others. Patching the software means all instances </w:t>
            </w:r>
            <w:r>
              <w:rPr>
                <w:rFonts w:ascii="Calibri" w:hAnsi="Calibri" w:cs="Calibri"/>
                <w:color w:val="171717" w:themeColor="background2" w:themeShade="1A"/>
                <w:kern w:val="24"/>
                <w:sz w:val="20"/>
                <w:szCs w:val="20"/>
              </w:rPr>
              <w:t xml:space="preserve">using the instance </w:t>
            </w:r>
            <w:r w:rsidRPr="00BD2044">
              <w:rPr>
                <w:rFonts w:ascii="Calibri" w:hAnsi="Calibri" w:cs="Calibri"/>
                <w:color w:val="171717" w:themeColor="background2" w:themeShade="1A"/>
                <w:kern w:val="24"/>
                <w:sz w:val="20"/>
                <w:szCs w:val="20"/>
              </w:rPr>
              <w:t>get patched.</w:t>
            </w:r>
            <w:r>
              <w:rPr>
                <w:rFonts w:ascii="Calibri" w:hAnsi="Calibri" w:cs="Calibri"/>
                <w:color w:val="171717" w:themeColor="background2" w:themeShade="1A"/>
                <w:kern w:val="24"/>
                <w:sz w:val="20"/>
                <w:szCs w:val="20"/>
              </w:rPr>
              <w:t xml:space="preserve"> They all need to have common maintenance window</w:t>
            </w:r>
            <w:r w:rsidR="00104443">
              <w:rPr>
                <w:rFonts w:ascii="Calibri" w:hAnsi="Calibri" w:cs="Calibri"/>
                <w:color w:val="171717" w:themeColor="background2" w:themeShade="1A"/>
                <w:kern w:val="24"/>
                <w:sz w:val="20"/>
                <w:szCs w:val="20"/>
              </w:rPr>
              <w:t>.</w:t>
            </w:r>
          </w:p>
          <w:p w14:paraId="103AF786" w14:textId="638DA0C6" w:rsidR="00BD2044" w:rsidRPr="00BD2044" w:rsidRDefault="00BD2044" w:rsidP="00BD2044">
            <w:pPr>
              <w:pStyle w:val="Tablecontent"/>
              <w:rPr>
                <w:sz w:val="20"/>
                <w:szCs w:val="20"/>
              </w:rPr>
            </w:pPr>
            <w:r w:rsidRPr="00BD2044">
              <w:rPr>
                <w:rFonts w:ascii="Calibri" w:hAnsi="Calibri" w:cs="Calibri"/>
                <w:color w:val="171717" w:themeColor="background2" w:themeShade="1A"/>
                <w:kern w:val="24"/>
                <w:sz w:val="20"/>
                <w:szCs w:val="20"/>
              </w:rPr>
              <w:t xml:space="preserve">Dedicated binary. Customer can have different </w:t>
            </w:r>
            <w:r>
              <w:rPr>
                <w:rFonts w:ascii="Calibri" w:hAnsi="Calibri" w:cs="Calibri"/>
                <w:color w:val="171717" w:themeColor="background2" w:themeShade="1A"/>
                <w:kern w:val="24"/>
                <w:sz w:val="20"/>
                <w:szCs w:val="20"/>
              </w:rPr>
              <w:t xml:space="preserve">version, </w:t>
            </w:r>
            <w:r w:rsidRPr="00BD2044">
              <w:rPr>
                <w:rFonts w:ascii="Calibri" w:hAnsi="Calibri" w:cs="Calibri"/>
                <w:color w:val="171717" w:themeColor="background2" w:themeShade="1A"/>
                <w:kern w:val="24"/>
                <w:sz w:val="20"/>
                <w:szCs w:val="20"/>
              </w:rPr>
              <w:t>patch level</w:t>
            </w:r>
            <w:r>
              <w:rPr>
                <w:rFonts w:ascii="Calibri" w:hAnsi="Calibri" w:cs="Calibri"/>
                <w:color w:val="171717" w:themeColor="background2" w:themeShade="1A"/>
                <w:kern w:val="24"/>
                <w:sz w:val="20"/>
                <w:szCs w:val="20"/>
              </w:rPr>
              <w:t>s</w:t>
            </w:r>
            <w:r w:rsidRPr="00BD2044">
              <w:rPr>
                <w:rFonts w:ascii="Calibri" w:hAnsi="Calibri" w:cs="Calibri"/>
                <w:color w:val="171717" w:themeColor="background2" w:themeShade="1A"/>
                <w:kern w:val="24"/>
                <w:sz w:val="20"/>
                <w:szCs w:val="20"/>
              </w:rPr>
              <w:t>, and downtime schedule.</w:t>
            </w:r>
          </w:p>
        </w:tc>
        <w:tc>
          <w:tcPr>
            <w:tcW w:w="4489" w:type="dxa"/>
            <w:shd w:val="clear" w:color="auto" w:fill="auto"/>
          </w:tcPr>
          <w:p w14:paraId="41369969" w14:textId="1C14B980" w:rsidR="00BD2044" w:rsidRPr="00BD2044" w:rsidRDefault="00BD2044" w:rsidP="00BD2044">
            <w:pPr>
              <w:pStyle w:val="Tablecontent"/>
              <w:rPr>
                <w:sz w:val="20"/>
                <w:szCs w:val="20"/>
              </w:rPr>
            </w:pPr>
            <w:r w:rsidRPr="00BD2044">
              <w:rPr>
                <w:rFonts w:ascii="Calibri" w:hAnsi="Calibri" w:cs="Calibri"/>
                <w:color w:val="171717" w:themeColor="background2" w:themeShade="1A"/>
                <w:kern w:val="24"/>
                <w:sz w:val="20"/>
                <w:szCs w:val="20"/>
              </w:rPr>
              <w:t xml:space="preserve">Oracle DB as a Service, MS SQL as a Service are common among enterprise. The DBA provides this as service to the application team, who are not as deep on databases knowledge. </w:t>
            </w:r>
          </w:p>
        </w:tc>
      </w:tr>
      <w:tr w:rsidR="00BD2044" w:rsidRPr="00BD2044" w14:paraId="5DCAEA87" w14:textId="77777777" w:rsidTr="00BD2044">
        <w:trPr>
          <w:trHeight w:val="302"/>
          <w:jc w:val="center"/>
        </w:trPr>
        <w:tc>
          <w:tcPr>
            <w:tcW w:w="1276" w:type="dxa"/>
            <w:shd w:val="clear" w:color="auto" w:fill="auto"/>
          </w:tcPr>
          <w:p w14:paraId="16AE5344" w14:textId="75EE3338" w:rsidR="00BD2044" w:rsidRPr="00BD2044" w:rsidRDefault="00BD2044" w:rsidP="00BD2044">
            <w:pPr>
              <w:pStyle w:val="Tablecontent"/>
              <w:rPr>
                <w:rFonts w:ascii="Calibri" w:hAnsi="Calibri" w:cs="Calibri"/>
                <w:b/>
                <w:bCs/>
                <w:color w:val="171717" w:themeColor="background2" w:themeShade="1A"/>
                <w:kern w:val="24"/>
                <w:sz w:val="20"/>
                <w:szCs w:val="20"/>
              </w:rPr>
            </w:pPr>
            <w:r w:rsidRPr="00BD2044">
              <w:rPr>
                <w:rFonts w:ascii="Calibri" w:hAnsi="Calibri" w:cs="Calibri"/>
                <w:b/>
                <w:bCs/>
                <w:color w:val="171717" w:themeColor="background2" w:themeShade="1A"/>
                <w:kern w:val="24"/>
                <w:sz w:val="20"/>
                <w:szCs w:val="20"/>
              </w:rPr>
              <w:t>PaaS</w:t>
            </w:r>
          </w:p>
        </w:tc>
        <w:tc>
          <w:tcPr>
            <w:tcW w:w="4541" w:type="dxa"/>
            <w:shd w:val="clear" w:color="auto" w:fill="auto"/>
          </w:tcPr>
          <w:p w14:paraId="4E2FCF26" w14:textId="77777777" w:rsidR="00BD2044" w:rsidRPr="00BD2044" w:rsidRDefault="00BD2044" w:rsidP="00BD2044">
            <w:pPr>
              <w:pStyle w:val="Tablecontent"/>
              <w:rPr>
                <w:rFonts w:ascii="Arial" w:hAnsi="Arial" w:cs="Arial"/>
                <w:sz w:val="20"/>
                <w:szCs w:val="20"/>
              </w:rPr>
            </w:pPr>
            <w:r w:rsidRPr="00BD2044">
              <w:rPr>
                <w:rFonts w:ascii="Calibri" w:hAnsi="Calibri" w:cs="Calibri"/>
                <w:color w:val="171717" w:themeColor="background2" w:themeShade="1A"/>
                <w:kern w:val="24"/>
                <w:sz w:val="20"/>
                <w:szCs w:val="20"/>
              </w:rPr>
              <w:t xml:space="preserve">Platform as a Service. </w:t>
            </w:r>
          </w:p>
          <w:p w14:paraId="38BD1884" w14:textId="1B2ABC8C" w:rsidR="00BD2044" w:rsidRPr="00BD2044" w:rsidRDefault="00BD2044" w:rsidP="00BD2044">
            <w:pPr>
              <w:pStyle w:val="Tablecontent"/>
              <w:rPr>
                <w:rFonts w:ascii="Calibri" w:hAnsi="Calibri" w:cs="Calibri"/>
                <w:color w:val="171717" w:themeColor="background2" w:themeShade="1A"/>
                <w:kern w:val="24"/>
                <w:sz w:val="20"/>
                <w:szCs w:val="20"/>
              </w:rPr>
            </w:pPr>
            <w:r w:rsidRPr="00BD2044">
              <w:rPr>
                <w:rFonts w:ascii="Calibri" w:hAnsi="Calibri" w:cs="Calibri"/>
                <w:color w:val="171717" w:themeColor="background2" w:themeShade="1A"/>
                <w:kern w:val="24"/>
                <w:sz w:val="20"/>
                <w:szCs w:val="20"/>
              </w:rPr>
              <w:t>A set of services used by business applications. AWS provides many such PaaS and the main reason why customers choose them.</w:t>
            </w:r>
          </w:p>
        </w:tc>
        <w:tc>
          <w:tcPr>
            <w:tcW w:w="4489" w:type="dxa"/>
            <w:shd w:val="clear" w:color="auto" w:fill="auto"/>
          </w:tcPr>
          <w:p w14:paraId="49625E5D" w14:textId="5190153C" w:rsidR="00BD2044" w:rsidRPr="00BD2044" w:rsidRDefault="00BD2044" w:rsidP="00BD2044">
            <w:pPr>
              <w:pStyle w:val="Tablecontent"/>
              <w:rPr>
                <w:rFonts w:ascii="Calibri" w:hAnsi="Calibri" w:cs="Calibri"/>
                <w:color w:val="171717" w:themeColor="background2" w:themeShade="1A"/>
                <w:kern w:val="24"/>
                <w:sz w:val="20"/>
                <w:szCs w:val="20"/>
              </w:rPr>
            </w:pPr>
            <w:r w:rsidRPr="00BD2044">
              <w:rPr>
                <w:rFonts w:ascii="Calibri" w:hAnsi="Calibri" w:cs="Calibri"/>
                <w:color w:val="171717" w:themeColor="background2" w:themeShade="1A"/>
                <w:kern w:val="24"/>
                <w:sz w:val="20"/>
                <w:szCs w:val="20"/>
              </w:rPr>
              <w:t xml:space="preserve">Central IT provides a set of common services (e.g. login, payment) to all business units websites. </w:t>
            </w:r>
          </w:p>
        </w:tc>
      </w:tr>
      <w:tr w:rsidR="00BD2044" w:rsidRPr="00BD2044" w14:paraId="63D43298" w14:textId="77777777" w:rsidTr="00BD2044">
        <w:trPr>
          <w:trHeight w:val="302"/>
          <w:jc w:val="center"/>
        </w:trPr>
        <w:tc>
          <w:tcPr>
            <w:tcW w:w="1276" w:type="dxa"/>
            <w:shd w:val="clear" w:color="auto" w:fill="auto"/>
          </w:tcPr>
          <w:p w14:paraId="3D460FC4" w14:textId="1F8B787D" w:rsidR="00BD2044" w:rsidRPr="00BD2044" w:rsidRDefault="00BD2044" w:rsidP="00BD2044">
            <w:pPr>
              <w:pStyle w:val="Tablecontent"/>
              <w:rPr>
                <w:rFonts w:ascii="Calibri" w:hAnsi="Calibri" w:cs="Calibri"/>
                <w:b/>
                <w:bCs/>
                <w:color w:val="171717" w:themeColor="background2" w:themeShade="1A"/>
                <w:kern w:val="24"/>
                <w:sz w:val="20"/>
                <w:szCs w:val="20"/>
              </w:rPr>
            </w:pPr>
            <w:r w:rsidRPr="00BD2044">
              <w:rPr>
                <w:rFonts w:ascii="Calibri" w:hAnsi="Calibri" w:cs="Calibri"/>
                <w:b/>
                <w:bCs/>
                <w:color w:val="171717" w:themeColor="background2" w:themeShade="1A"/>
                <w:kern w:val="24"/>
                <w:sz w:val="20"/>
                <w:szCs w:val="20"/>
              </w:rPr>
              <w:t>DaaS</w:t>
            </w:r>
          </w:p>
        </w:tc>
        <w:tc>
          <w:tcPr>
            <w:tcW w:w="4541" w:type="dxa"/>
            <w:shd w:val="clear" w:color="auto" w:fill="auto"/>
          </w:tcPr>
          <w:p w14:paraId="2AD97C36" w14:textId="77777777" w:rsidR="00AC3A49" w:rsidRDefault="00BD2044" w:rsidP="00BD2044">
            <w:pPr>
              <w:pStyle w:val="Tablecontent"/>
              <w:rPr>
                <w:rFonts w:ascii="Calibri" w:hAnsi="Calibri" w:cs="Calibri"/>
                <w:color w:val="171717" w:themeColor="background2" w:themeShade="1A"/>
                <w:kern w:val="24"/>
                <w:sz w:val="20"/>
                <w:szCs w:val="20"/>
              </w:rPr>
            </w:pPr>
            <w:r w:rsidRPr="00BD2044">
              <w:rPr>
                <w:rFonts w:ascii="Calibri" w:hAnsi="Calibri" w:cs="Calibri"/>
                <w:color w:val="171717" w:themeColor="background2" w:themeShade="1A"/>
                <w:kern w:val="24"/>
                <w:sz w:val="20"/>
                <w:szCs w:val="20"/>
              </w:rPr>
              <w:t>Desktop as a Service. Typically Windows 10 + End-User application. App</w:t>
            </w:r>
            <w:r w:rsidR="00AC3A49">
              <w:rPr>
                <w:rFonts w:ascii="Calibri" w:hAnsi="Calibri" w:cs="Calibri"/>
                <w:color w:val="171717" w:themeColor="background2" w:themeShade="1A"/>
                <w:kern w:val="24"/>
                <w:sz w:val="20"/>
                <w:szCs w:val="20"/>
              </w:rPr>
              <w:t>lication</w:t>
            </w:r>
            <w:r w:rsidRPr="00BD2044">
              <w:rPr>
                <w:rFonts w:ascii="Calibri" w:hAnsi="Calibri" w:cs="Calibri"/>
                <w:color w:val="171717" w:themeColor="background2" w:themeShade="1A"/>
                <w:kern w:val="24"/>
                <w:sz w:val="20"/>
                <w:szCs w:val="20"/>
              </w:rPr>
              <w:t xml:space="preserve"> team </w:t>
            </w:r>
            <w:r w:rsidR="00AC3A49">
              <w:rPr>
                <w:rFonts w:ascii="Calibri" w:hAnsi="Calibri" w:cs="Calibri"/>
                <w:color w:val="171717" w:themeColor="background2" w:themeShade="1A"/>
                <w:kern w:val="24"/>
                <w:sz w:val="20"/>
                <w:szCs w:val="20"/>
              </w:rPr>
              <w:t xml:space="preserve">must be </w:t>
            </w:r>
            <w:r w:rsidRPr="00BD2044">
              <w:rPr>
                <w:rFonts w:ascii="Calibri" w:hAnsi="Calibri" w:cs="Calibri"/>
                <w:color w:val="171717" w:themeColor="background2" w:themeShade="1A"/>
                <w:kern w:val="24"/>
                <w:sz w:val="20"/>
                <w:szCs w:val="20"/>
              </w:rPr>
              <w:t xml:space="preserve">involved, as </w:t>
            </w:r>
            <w:r w:rsidR="00AC3A49">
              <w:rPr>
                <w:rFonts w:ascii="Calibri" w:hAnsi="Calibri" w:cs="Calibri"/>
                <w:color w:val="171717" w:themeColor="background2" w:themeShade="1A"/>
                <w:kern w:val="24"/>
                <w:sz w:val="20"/>
                <w:szCs w:val="20"/>
              </w:rPr>
              <w:t xml:space="preserve">a simple 10% CPU increase of your browser can impact as the ESXi host is heavily overcommitted. </w:t>
            </w:r>
          </w:p>
          <w:p w14:paraId="43D79CE8" w14:textId="3443DF47" w:rsidR="00BD2044" w:rsidRPr="00BD2044" w:rsidRDefault="00AC3A49" w:rsidP="00BD2044">
            <w:pPr>
              <w:pStyle w:val="Tablecontent"/>
              <w:rPr>
                <w:rFonts w:ascii="Calibri" w:hAnsi="Calibri" w:cs="Calibri"/>
                <w:color w:val="171717" w:themeColor="background2" w:themeShade="1A"/>
                <w:kern w:val="24"/>
                <w:sz w:val="20"/>
                <w:szCs w:val="20"/>
              </w:rPr>
            </w:pPr>
            <w:r w:rsidRPr="00AC3A49">
              <w:rPr>
                <w:rFonts w:ascii="Calibri" w:hAnsi="Calibri" w:cs="Calibri"/>
                <w:color w:val="171717" w:themeColor="background2" w:themeShade="1A"/>
                <w:kern w:val="24"/>
                <w:sz w:val="20"/>
                <w:szCs w:val="20"/>
              </w:rPr>
              <w:t>T</w:t>
            </w:r>
            <w:r w:rsidRPr="00AC3A49">
              <w:rPr>
                <w:sz w:val="20"/>
                <w:szCs w:val="20"/>
              </w:rPr>
              <w:t xml:space="preserve">he goal is to ensure End Users are getting a quality desktop experience while keeping the price per user low. We will discuss more on this </w:t>
            </w:r>
            <w:hyperlink w:anchor="_VDI_&amp;_DaaS" w:history="1">
              <w:r w:rsidRPr="00AC3A49">
                <w:rPr>
                  <w:rStyle w:val="Hyperlink"/>
                  <w:sz w:val="20"/>
                  <w:szCs w:val="20"/>
                </w:rPr>
                <w:t>here</w:t>
              </w:r>
            </w:hyperlink>
            <w:r w:rsidRPr="00AC3A49">
              <w:rPr>
                <w:sz w:val="20"/>
                <w:szCs w:val="20"/>
              </w:rPr>
              <w:t>.</w:t>
            </w:r>
          </w:p>
        </w:tc>
        <w:tc>
          <w:tcPr>
            <w:tcW w:w="4489" w:type="dxa"/>
            <w:shd w:val="clear" w:color="auto" w:fill="auto"/>
          </w:tcPr>
          <w:p w14:paraId="6676C812" w14:textId="77777777" w:rsidR="00BD2044" w:rsidRPr="00BD2044" w:rsidRDefault="00BD2044" w:rsidP="00BD2044">
            <w:pPr>
              <w:pStyle w:val="Tablecontent"/>
              <w:rPr>
                <w:rFonts w:ascii="Arial" w:hAnsi="Arial" w:cs="Arial"/>
                <w:sz w:val="20"/>
                <w:szCs w:val="20"/>
              </w:rPr>
            </w:pPr>
            <w:r w:rsidRPr="00BD2044">
              <w:rPr>
                <w:rFonts w:ascii="Calibri" w:hAnsi="Calibri" w:cs="Calibri"/>
                <w:color w:val="171717" w:themeColor="background2" w:themeShade="1A"/>
                <w:kern w:val="24"/>
                <w:sz w:val="20"/>
                <w:szCs w:val="20"/>
              </w:rPr>
              <w:t>Many enterprise IT provides this for better security and PC-manageability. They may deploy this with thin client.</w:t>
            </w:r>
          </w:p>
          <w:p w14:paraId="41AB4DCB" w14:textId="75E64E60" w:rsidR="00BD2044" w:rsidRPr="00BD2044" w:rsidRDefault="00BD2044" w:rsidP="00BD2044">
            <w:pPr>
              <w:pStyle w:val="Tablecontent"/>
              <w:rPr>
                <w:rFonts w:ascii="Calibri" w:hAnsi="Calibri" w:cs="Calibri"/>
                <w:color w:val="171717" w:themeColor="background2" w:themeShade="1A"/>
                <w:kern w:val="24"/>
                <w:sz w:val="20"/>
                <w:szCs w:val="20"/>
              </w:rPr>
            </w:pPr>
            <w:r w:rsidRPr="00BD2044">
              <w:rPr>
                <w:rFonts w:ascii="Calibri" w:hAnsi="Calibri" w:cs="Calibri"/>
                <w:color w:val="171717" w:themeColor="background2" w:themeShade="1A"/>
                <w:kern w:val="24"/>
                <w:sz w:val="20"/>
                <w:szCs w:val="20"/>
              </w:rPr>
              <w:t>VMware Horizon Cloud, Microsoft Windows Cloud are cloud examples.</w:t>
            </w:r>
          </w:p>
        </w:tc>
      </w:tr>
      <w:tr w:rsidR="00AC3A49" w:rsidRPr="00BD2044" w14:paraId="35B66917" w14:textId="77777777" w:rsidTr="00E440AB">
        <w:trPr>
          <w:trHeight w:val="302"/>
          <w:jc w:val="center"/>
        </w:trPr>
        <w:tc>
          <w:tcPr>
            <w:tcW w:w="1276" w:type="dxa"/>
            <w:shd w:val="clear" w:color="auto" w:fill="auto"/>
          </w:tcPr>
          <w:p w14:paraId="4B418A6D" w14:textId="503659CE" w:rsidR="00AC3A49" w:rsidRPr="00BD2044" w:rsidRDefault="00AC3A49" w:rsidP="00BD2044">
            <w:pPr>
              <w:pStyle w:val="Tablecontent"/>
              <w:rPr>
                <w:rFonts w:ascii="Calibri" w:hAnsi="Calibri" w:cs="Calibri"/>
                <w:b/>
                <w:bCs/>
                <w:color w:val="171717" w:themeColor="background2" w:themeShade="1A"/>
                <w:kern w:val="24"/>
                <w:sz w:val="20"/>
                <w:szCs w:val="20"/>
              </w:rPr>
            </w:pPr>
            <w:r>
              <w:rPr>
                <w:rFonts w:ascii="Calibri" w:hAnsi="Calibri" w:cs="Calibri"/>
                <w:b/>
                <w:bCs/>
                <w:color w:val="171717" w:themeColor="background2" w:themeShade="1A"/>
                <w:kern w:val="24"/>
                <w:sz w:val="20"/>
                <w:szCs w:val="20"/>
              </w:rPr>
              <w:t>IaaS</w:t>
            </w:r>
          </w:p>
        </w:tc>
        <w:tc>
          <w:tcPr>
            <w:tcW w:w="9030" w:type="dxa"/>
            <w:gridSpan w:val="2"/>
            <w:shd w:val="clear" w:color="auto" w:fill="auto"/>
          </w:tcPr>
          <w:p w14:paraId="3C30C305" w14:textId="461DEA9C" w:rsidR="00AC3A49" w:rsidRPr="00BD2044" w:rsidRDefault="00AC3A49" w:rsidP="00BD2044">
            <w:pPr>
              <w:pStyle w:val="Tablecontent"/>
              <w:rPr>
                <w:rFonts w:ascii="Calibri" w:hAnsi="Calibri" w:cs="Calibri"/>
                <w:color w:val="171717" w:themeColor="background2" w:themeShade="1A"/>
                <w:kern w:val="24"/>
                <w:sz w:val="20"/>
                <w:szCs w:val="20"/>
              </w:rPr>
            </w:pPr>
            <w:r>
              <w:rPr>
                <w:rFonts w:ascii="Calibri" w:hAnsi="Calibri" w:cs="Calibri"/>
                <w:color w:val="171717" w:themeColor="background2" w:themeShade="1A"/>
                <w:kern w:val="24"/>
                <w:sz w:val="20"/>
                <w:szCs w:val="20"/>
              </w:rPr>
              <w:t xml:space="preserve">There are 3 variants here. As this </w:t>
            </w:r>
            <w:r w:rsidR="00104443">
              <w:rPr>
                <w:rFonts w:ascii="Calibri" w:hAnsi="Calibri" w:cs="Calibri"/>
                <w:color w:val="171717" w:themeColor="background2" w:themeShade="1A"/>
                <w:kern w:val="24"/>
                <w:sz w:val="20"/>
                <w:szCs w:val="20"/>
              </w:rPr>
              <w:t xml:space="preserve">is </w:t>
            </w:r>
            <w:r>
              <w:rPr>
                <w:rFonts w:ascii="Calibri" w:hAnsi="Calibri" w:cs="Calibri"/>
                <w:color w:val="171717" w:themeColor="background2" w:themeShade="1A"/>
                <w:kern w:val="24"/>
                <w:sz w:val="20"/>
                <w:szCs w:val="20"/>
              </w:rPr>
              <w:t>the topic of the book, let’s explore in depth</w:t>
            </w:r>
            <w:r w:rsidR="00104443">
              <w:rPr>
                <w:rFonts w:ascii="Calibri" w:hAnsi="Calibri" w:cs="Calibri"/>
                <w:color w:val="171717" w:themeColor="background2" w:themeShade="1A"/>
                <w:kern w:val="24"/>
                <w:sz w:val="20"/>
                <w:szCs w:val="20"/>
              </w:rPr>
              <w:t>.</w:t>
            </w:r>
          </w:p>
        </w:tc>
      </w:tr>
    </w:tbl>
    <w:p w14:paraId="1974CF5D" w14:textId="57992045" w:rsidR="008B2DD0" w:rsidRDefault="00A563FE" w:rsidP="00AC6E1E">
      <w:pPr>
        <w:pStyle w:val="Heading4"/>
      </w:pPr>
      <w:r>
        <w:t xml:space="preserve">The Business of </w:t>
      </w:r>
      <w:r w:rsidR="008B2DD0">
        <w:t>IaaS</w:t>
      </w:r>
    </w:p>
    <w:p w14:paraId="24791224" w14:textId="30A67527" w:rsidR="005371AF" w:rsidRPr="005371AF" w:rsidRDefault="005371AF" w:rsidP="005371AF">
      <w:pPr>
        <w:rPr>
          <w:lang w:val="en-GB"/>
        </w:rPr>
      </w:pPr>
      <w:r>
        <w:rPr>
          <w:lang w:val="en-GB"/>
        </w:rPr>
        <w:t xml:space="preserve">There are </w:t>
      </w:r>
      <w:r w:rsidR="008B4D45">
        <w:rPr>
          <w:lang w:val="en-GB"/>
        </w:rPr>
        <w:t xml:space="preserve">3 </w:t>
      </w:r>
      <w:r>
        <w:rPr>
          <w:lang w:val="en-GB"/>
        </w:rPr>
        <w:t>variants</w:t>
      </w:r>
      <w:r w:rsidR="008B4D45">
        <w:rPr>
          <w:lang w:val="en-GB"/>
        </w:rPr>
        <w:t xml:space="preserve"> of IaaS business</w:t>
      </w:r>
      <w:r>
        <w:t>. They differ in terms of what you actually sell, how you do costing</w:t>
      </w:r>
      <w:r w:rsidR="00042A32">
        <w:t xml:space="preserve"> and pricing, and what </w:t>
      </w:r>
      <w:r>
        <w:t xml:space="preserve">SLA </w:t>
      </w:r>
      <w:r w:rsidR="00042A32">
        <w:t>you put on the table.</w:t>
      </w:r>
    </w:p>
    <w:p w14:paraId="151E6A80" w14:textId="77777777" w:rsidR="00AC3A49" w:rsidRDefault="00AC3A49" w:rsidP="005371AF">
      <w:pPr>
        <w:pStyle w:val="BeforeTable"/>
      </w:pPr>
    </w:p>
    <w:tbl>
      <w:tblPr>
        <w:tblStyle w:val="TableGridLight"/>
        <w:tblW w:w="10466"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039"/>
        <w:gridCol w:w="4215"/>
        <w:gridCol w:w="2406"/>
        <w:gridCol w:w="2806"/>
      </w:tblGrid>
      <w:tr w:rsidR="00AC3A49" w:rsidRPr="00BD2044" w14:paraId="26CC7282" w14:textId="77777777" w:rsidTr="00AC3A49">
        <w:trPr>
          <w:trHeight w:val="302"/>
          <w:jc w:val="center"/>
        </w:trPr>
        <w:tc>
          <w:tcPr>
            <w:tcW w:w="1020" w:type="dxa"/>
            <w:shd w:val="clear" w:color="auto" w:fill="F2F2F2" w:themeFill="background1" w:themeFillShade="F2"/>
            <w:vAlign w:val="center"/>
          </w:tcPr>
          <w:p w14:paraId="4AE85F2E" w14:textId="150B4DBA" w:rsidR="00AC3A49" w:rsidRPr="00AC3A49" w:rsidRDefault="00AC3A49" w:rsidP="00AC3A49">
            <w:pPr>
              <w:pStyle w:val="Tableheading"/>
              <w:rPr>
                <w:sz w:val="20"/>
                <w:szCs w:val="20"/>
              </w:rPr>
            </w:pPr>
            <w:r w:rsidRPr="00AC3A49">
              <w:rPr>
                <w:sz w:val="20"/>
                <w:szCs w:val="20"/>
              </w:rPr>
              <w:lastRenderedPageBreak/>
              <w:t>Item</w:t>
            </w:r>
          </w:p>
        </w:tc>
        <w:tc>
          <w:tcPr>
            <w:tcW w:w="4225" w:type="dxa"/>
            <w:shd w:val="clear" w:color="auto" w:fill="F2F2F2" w:themeFill="background1" w:themeFillShade="F2"/>
            <w:vAlign w:val="center"/>
          </w:tcPr>
          <w:p w14:paraId="4F9847C5" w14:textId="6DB1A572" w:rsidR="00AC3A49" w:rsidRPr="00AC3A49" w:rsidRDefault="00AC3A49" w:rsidP="00AC3A49">
            <w:pPr>
              <w:pStyle w:val="Tableheading"/>
              <w:rPr>
                <w:sz w:val="20"/>
                <w:szCs w:val="20"/>
              </w:rPr>
            </w:pPr>
            <w:r w:rsidRPr="00AC3A49">
              <w:rPr>
                <w:sz w:val="20"/>
                <w:szCs w:val="20"/>
              </w:rPr>
              <w:t>Pricing</w:t>
            </w:r>
          </w:p>
        </w:tc>
        <w:tc>
          <w:tcPr>
            <w:tcW w:w="2410" w:type="dxa"/>
            <w:shd w:val="clear" w:color="auto" w:fill="F2F2F2" w:themeFill="background1" w:themeFillShade="F2"/>
            <w:vAlign w:val="center"/>
          </w:tcPr>
          <w:p w14:paraId="5ED0759A" w14:textId="5324EE30" w:rsidR="00AC3A49" w:rsidRPr="00AC3A49" w:rsidRDefault="00AC3A49" w:rsidP="00AC3A49">
            <w:pPr>
              <w:pStyle w:val="Tableheading"/>
              <w:rPr>
                <w:sz w:val="20"/>
                <w:szCs w:val="20"/>
              </w:rPr>
            </w:pPr>
            <w:r w:rsidRPr="00AC3A49">
              <w:rPr>
                <w:sz w:val="20"/>
                <w:szCs w:val="20"/>
              </w:rPr>
              <w:t>Availability SLA</w:t>
            </w:r>
          </w:p>
        </w:tc>
        <w:tc>
          <w:tcPr>
            <w:tcW w:w="2811" w:type="dxa"/>
            <w:shd w:val="clear" w:color="auto" w:fill="F2F2F2" w:themeFill="background1" w:themeFillShade="F2"/>
            <w:vAlign w:val="center"/>
          </w:tcPr>
          <w:p w14:paraId="2006252A" w14:textId="4AD2974E" w:rsidR="00AC3A49" w:rsidRPr="00AC3A49" w:rsidRDefault="00AC3A49" w:rsidP="00AC3A49">
            <w:pPr>
              <w:pStyle w:val="Tableheading"/>
              <w:rPr>
                <w:sz w:val="20"/>
                <w:szCs w:val="20"/>
              </w:rPr>
            </w:pPr>
            <w:r w:rsidRPr="00AC3A49">
              <w:rPr>
                <w:sz w:val="20"/>
                <w:szCs w:val="20"/>
              </w:rPr>
              <w:t>Performance SLA</w:t>
            </w:r>
          </w:p>
        </w:tc>
      </w:tr>
      <w:tr w:rsidR="00AC3A49" w:rsidRPr="00BD2044" w14:paraId="78EF4BD5" w14:textId="77777777" w:rsidTr="00AC3A49">
        <w:trPr>
          <w:trHeight w:val="302"/>
          <w:jc w:val="center"/>
        </w:trPr>
        <w:tc>
          <w:tcPr>
            <w:tcW w:w="1020" w:type="dxa"/>
            <w:shd w:val="clear" w:color="auto" w:fill="auto"/>
            <w:vAlign w:val="center"/>
          </w:tcPr>
          <w:p w14:paraId="0C51AC30" w14:textId="0C036C72" w:rsidR="00AC3A49" w:rsidRPr="00AC3A49" w:rsidRDefault="00AC3A49" w:rsidP="00AC3A49">
            <w:pPr>
              <w:pStyle w:val="Tablecontent"/>
              <w:rPr>
                <w:b/>
                <w:bCs/>
                <w:sz w:val="20"/>
                <w:szCs w:val="20"/>
              </w:rPr>
            </w:pPr>
            <w:r w:rsidRPr="00AC3A49">
              <w:rPr>
                <w:b/>
                <w:bCs/>
                <w:color w:val="171717" w:themeColor="background2" w:themeShade="1A"/>
                <w:sz w:val="20"/>
                <w:szCs w:val="20"/>
              </w:rPr>
              <w:t>VM</w:t>
            </w:r>
          </w:p>
        </w:tc>
        <w:tc>
          <w:tcPr>
            <w:tcW w:w="4225" w:type="dxa"/>
            <w:shd w:val="clear" w:color="auto" w:fill="auto"/>
            <w:vAlign w:val="center"/>
          </w:tcPr>
          <w:p w14:paraId="7A641479" w14:textId="77777777" w:rsidR="00AC3A49" w:rsidRPr="00AC3A49" w:rsidRDefault="00AC3A49" w:rsidP="00AC3A49">
            <w:pPr>
              <w:pStyle w:val="Tablecontent"/>
              <w:rPr>
                <w:rFonts w:ascii="Arial" w:hAnsi="Arial"/>
                <w:sz w:val="20"/>
                <w:szCs w:val="20"/>
              </w:rPr>
            </w:pPr>
            <w:r w:rsidRPr="00AC3A49">
              <w:rPr>
                <w:rFonts w:ascii="Calibri" w:hAnsi="Calibri" w:cs="Calibri"/>
                <w:color w:val="171717" w:themeColor="background2" w:themeShade="1A"/>
                <w:sz w:val="20"/>
                <w:szCs w:val="20"/>
              </w:rPr>
              <w:t>Price depends on VM size. A larger VM has higher price.</w:t>
            </w:r>
          </w:p>
          <w:p w14:paraId="6C725599" w14:textId="77777777" w:rsidR="00AC3A49" w:rsidRPr="00AC3A49" w:rsidRDefault="00AC3A49" w:rsidP="00AC3A49">
            <w:pPr>
              <w:pStyle w:val="Tablecontent"/>
              <w:rPr>
                <w:rFonts w:ascii="Arial" w:hAnsi="Arial"/>
                <w:sz w:val="20"/>
                <w:szCs w:val="20"/>
              </w:rPr>
            </w:pPr>
            <w:r w:rsidRPr="00AC3A49">
              <w:rPr>
                <w:rFonts w:ascii="Calibri" w:hAnsi="Calibri" w:cs="Calibri"/>
                <w:color w:val="171717" w:themeColor="background2" w:themeShade="1A"/>
                <w:sz w:val="20"/>
                <w:szCs w:val="20"/>
              </w:rPr>
              <w:t>Price depends on quality. A better tier has higher price.</w:t>
            </w:r>
          </w:p>
          <w:p w14:paraId="34476170" w14:textId="794AC14B" w:rsidR="00AC3A49" w:rsidRPr="00AC3A49" w:rsidRDefault="00AC3A49" w:rsidP="00AC3A49">
            <w:pPr>
              <w:pStyle w:val="Tablecontent"/>
              <w:rPr>
                <w:sz w:val="20"/>
                <w:szCs w:val="20"/>
              </w:rPr>
            </w:pPr>
            <w:r w:rsidRPr="00AC3A49">
              <w:rPr>
                <w:rFonts w:ascii="Calibri" w:hAnsi="Calibri" w:cs="Calibri"/>
                <w:color w:val="171717" w:themeColor="background2" w:themeShade="1A"/>
                <w:sz w:val="20"/>
                <w:szCs w:val="20"/>
              </w:rPr>
              <w:t>Example of item purchased: 1 VM, 4 vCPU, 16 RAM, 200 GB disk, in Gold Tier.</w:t>
            </w:r>
          </w:p>
        </w:tc>
        <w:tc>
          <w:tcPr>
            <w:tcW w:w="2410" w:type="dxa"/>
          </w:tcPr>
          <w:p w14:paraId="43E65E0C" w14:textId="77777777" w:rsidR="00AC3A49" w:rsidRPr="00AC3A49" w:rsidRDefault="00AC3A49" w:rsidP="00AC3A49">
            <w:pPr>
              <w:pStyle w:val="Tablecontent"/>
              <w:rPr>
                <w:rFonts w:ascii="Arial" w:hAnsi="Arial"/>
                <w:sz w:val="20"/>
                <w:szCs w:val="20"/>
              </w:rPr>
            </w:pPr>
            <w:r w:rsidRPr="00AC3A49">
              <w:rPr>
                <w:rFonts w:ascii="Calibri" w:hAnsi="Calibri" w:cs="Calibri"/>
                <w:color w:val="171717" w:themeColor="background2" w:themeShade="1A"/>
                <w:sz w:val="20"/>
                <w:szCs w:val="20"/>
              </w:rPr>
              <w:t>Per VM.</w:t>
            </w:r>
          </w:p>
          <w:p w14:paraId="1A555223" w14:textId="77B2B950" w:rsidR="00AC3A49" w:rsidRPr="00AC3A49" w:rsidRDefault="00AC3A49" w:rsidP="00AC3A49">
            <w:pPr>
              <w:pStyle w:val="Tablecontent"/>
              <w:rPr>
                <w:sz w:val="20"/>
                <w:szCs w:val="20"/>
              </w:rPr>
            </w:pPr>
            <w:r w:rsidRPr="00AC3A49">
              <w:rPr>
                <w:rFonts w:ascii="Calibri" w:hAnsi="Calibri" w:cs="Calibri"/>
                <w:color w:val="171717" w:themeColor="background2" w:themeShade="1A"/>
                <w:sz w:val="20"/>
                <w:szCs w:val="20"/>
              </w:rPr>
              <w:t>Depends on the tier.</w:t>
            </w:r>
          </w:p>
        </w:tc>
        <w:tc>
          <w:tcPr>
            <w:tcW w:w="2811" w:type="dxa"/>
            <w:shd w:val="clear" w:color="auto" w:fill="auto"/>
          </w:tcPr>
          <w:p w14:paraId="1E7C32CB" w14:textId="77777777" w:rsidR="00AC3A49" w:rsidRPr="00AC3A49" w:rsidRDefault="00AC3A49" w:rsidP="00AC3A49">
            <w:pPr>
              <w:pStyle w:val="Tablecontent"/>
              <w:rPr>
                <w:rFonts w:ascii="Arial" w:hAnsi="Arial"/>
                <w:sz w:val="20"/>
                <w:szCs w:val="20"/>
              </w:rPr>
            </w:pPr>
            <w:r w:rsidRPr="00AC3A49">
              <w:rPr>
                <w:rFonts w:ascii="Calibri" w:hAnsi="Calibri" w:cs="Calibri"/>
                <w:color w:val="171717" w:themeColor="background2" w:themeShade="1A"/>
                <w:sz w:val="20"/>
                <w:szCs w:val="20"/>
              </w:rPr>
              <w:t>Per VM.</w:t>
            </w:r>
          </w:p>
          <w:p w14:paraId="3171E1C7" w14:textId="1DB54B9F" w:rsidR="00AC3A49" w:rsidRPr="00AC3A49" w:rsidRDefault="00AC3A49" w:rsidP="00AC3A49">
            <w:pPr>
              <w:pStyle w:val="Tablecontent"/>
              <w:rPr>
                <w:sz w:val="20"/>
                <w:szCs w:val="20"/>
              </w:rPr>
            </w:pPr>
            <w:r w:rsidRPr="00AC3A49">
              <w:rPr>
                <w:rFonts w:ascii="Calibri" w:hAnsi="Calibri" w:cs="Calibri"/>
                <w:color w:val="171717" w:themeColor="background2" w:themeShade="1A"/>
                <w:sz w:val="20"/>
                <w:szCs w:val="20"/>
              </w:rPr>
              <w:t>Depends on the tier.</w:t>
            </w:r>
          </w:p>
        </w:tc>
      </w:tr>
      <w:tr w:rsidR="00AC3A49" w:rsidRPr="00BD2044" w14:paraId="413C276A" w14:textId="77777777" w:rsidTr="00AC3A49">
        <w:trPr>
          <w:trHeight w:val="302"/>
          <w:jc w:val="center"/>
        </w:trPr>
        <w:tc>
          <w:tcPr>
            <w:tcW w:w="1020" w:type="dxa"/>
            <w:shd w:val="clear" w:color="auto" w:fill="auto"/>
            <w:vAlign w:val="center"/>
          </w:tcPr>
          <w:p w14:paraId="0F3D2198" w14:textId="4F22DD3D" w:rsidR="00AC3A49" w:rsidRPr="00AC3A49" w:rsidRDefault="00AC3A49" w:rsidP="00AC3A49">
            <w:pPr>
              <w:pStyle w:val="Tablecontent"/>
              <w:rPr>
                <w:b/>
                <w:bCs/>
                <w:sz w:val="20"/>
                <w:szCs w:val="20"/>
              </w:rPr>
            </w:pPr>
            <w:r w:rsidRPr="00AC3A49">
              <w:rPr>
                <w:b/>
                <w:bCs/>
                <w:color w:val="171717" w:themeColor="background2" w:themeShade="1A"/>
                <w:sz w:val="20"/>
                <w:szCs w:val="20"/>
              </w:rPr>
              <w:t>Resource Pool</w:t>
            </w:r>
          </w:p>
        </w:tc>
        <w:tc>
          <w:tcPr>
            <w:tcW w:w="4225" w:type="dxa"/>
            <w:shd w:val="clear" w:color="auto" w:fill="auto"/>
            <w:vAlign w:val="center"/>
          </w:tcPr>
          <w:p w14:paraId="078E5C22" w14:textId="77777777" w:rsidR="00AC3A49" w:rsidRPr="00AC3A49" w:rsidRDefault="00AC3A49" w:rsidP="00AC3A49">
            <w:pPr>
              <w:pStyle w:val="Tablecontent"/>
              <w:rPr>
                <w:rFonts w:ascii="Arial" w:hAnsi="Arial"/>
                <w:sz w:val="20"/>
                <w:szCs w:val="20"/>
              </w:rPr>
            </w:pPr>
            <w:r w:rsidRPr="00AC3A49">
              <w:rPr>
                <w:rFonts w:ascii="Calibri" w:hAnsi="Calibri" w:cs="Calibri"/>
                <w:color w:val="171717" w:themeColor="background2" w:themeShade="1A"/>
                <w:sz w:val="20"/>
                <w:szCs w:val="20"/>
              </w:rPr>
              <w:t xml:space="preserve">Sold per GHz, GB RAM, TB Disk. </w:t>
            </w:r>
          </w:p>
          <w:p w14:paraId="7B713833" w14:textId="77777777" w:rsidR="00AC3A49" w:rsidRPr="00AC3A49" w:rsidRDefault="00AC3A49" w:rsidP="00AC3A49">
            <w:pPr>
              <w:pStyle w:val="Tablecontent"/>
              <w:rPr>
                <w:rFonts w:ascii="Arial" w:hAnsi="Arial"/>
                <w:sz w:val="20"/>
                <w:szCs w:val="20"/>
              </w:rPr>
            </w:pPr>
            <w:r w:rsidRPr="00AC3A49">
              <w:rPr>
                <w:rFonts w:ascii="Calibri" w:hAnsi="Calibri" w:cs="Calibri"/>
                <w:color w:val="171717" w:themeColor="background2" w:themeShade="1A"/>
                <w:sz w:val="20"/>
                <w:szCs w:val="20"/>
              </w:rPr>
              <w:t xml:space="preserve">Example of item purchased: 100 GHz CPU, 1 TB RAM, 80 TB Disk. </w:t>
            </w:r>
          </w:p>
          <w:p w14:paraId="189576D5" w14:textId="334F744F" w:rsidR="00706A99" w:rsidRDefault="00AC3A49" w:rsidP="00AC3A49">
            <w:pPr>
              <w:pStyle w:val="Tablecontent"/>
              <w:rPr>
                <w:rFonts w:ascii="Calibri" w:hAnsi="Calibri" w:cs="Calibri"/>
                <w:color w:val="171717" w:themeColor="background2" w:themeShade="1A"/>
                <w:sz w:val="20"/>
                <w:szCs w:val="20"/>
              </w:rPr>
            </w:pPr>
            <w:r w:rsidRPr="00AC3A49">
              <w:rPr>
                <w:rFonts w:ascii="Calibri" w:hAnsi="Calibri" w:cs="Calibri"/>
                <w:color w:val="171717" w:themeColor="background2" w:themeShade="1A"/>
                <w:sz w:val="20"/>
                <w:szCs w:val="20"/>
              </w:rPr>
              <w:t xml:space="preserve">It can come with a 100% </w:t>
            </w:r>
            <w:r w:rsidR="00125040" w:rsidRPr="00AC3A49">
              <w:rPr>
                <w:rFonts w:ascii="Calibri" w:hAnsi="Calibri" w:cs="Calibri"/>
                <w:color w:val="171717" w:themeColor="background2" w:themeShade="1A"/>
                <w:sz w:val="20"/>
                <w:szCs w:val="20"/>
              </w:rPr>
              <w:t>reservation;</w:t>
            </w:r>
            <w:r w:rsidRPr="00AC3A49">
              <w:rPr>
                <w:rFonts w:ascii="Calibri" w:hAnsi="Calibri" w:cs="Calibri"/>
                <w:color w:val="171717" w:themeColor="background2" w:themeShade="1A"/>
                <w:sz w:val="20"/>
                <w:szCs w:val="20"/>
              </w:rPr>
              <w:t xml:space="preserve"> hence it’s guaranteed. Alternatively, it may have partial reservation. It typically comes with best effort burst, in the form of expandable resource pool. </w:t>
            </w:r>
          </w:p>
          <w:p w14:paraId="62F34A11" w14:textId="30CD515C" w:rsidR="00AC3A49" w:rsidRPr="00AC3A49" w:rsidRDefault="00AC3A49" w:rsidP="00AC3A49">
            <w:pPr>
              <w:pStyle w:val="Tablecontent"/>
              <w:rPr>
                <w:sz w:val="20"/>
                <w:szCs w:val="20"/>
              </w:rPr>
            </w:pPr>
            <w:r w:rsidRPr="00AC3A49">
              <w:rPr>
                <w:rFonts w:ascii="Calibri" w:hAnsi="Calibri" w:cs="Calibri"/>
                <w:color w:val="171717" w:themeColor="background2" w:themeShade="1A"/>
                <w:sz w:val="20"/>
                <w:szCs w:val="20"/>
              </w:rPr>
              <w:t>On the other hand, it may come with limit</w:t>
            </w:r>
            <w:r w:rsidR="00706A99">
              <w:rPr>
                <w:rFonts w:ascii="Calibri" w:hAnsi="Calibri" w:cs="Calibri"/>
                <w:color w:val="171717" w:themeColor="background2" w:themeShade="1A"/>
                <w:sz w:val="20"/>
                <w:szCs w:val="20"/>
              </w:rPr>
              <w:t xml:space="preserve"> but it’s always higher than what you pa</w:t>
            </w:r>
            <w:r w:rsidR="000A7A76">
              <w:rPr>
                <w:rFonts w:ascii="Calibri" w:hAnsi="Calibri" w:cs="Calibri"/>
                <w:color w:val="171717" w:themeColor="background2" w:themeShade="1A"/>
                <w:sz w:val="20"/>
                <w:szCs w:val="20"/>
              </w:rPr>
              <w:t>id for</w:t>
            </w:r>
            <w:r w:rsidRPr="00AC3A49">
              <w:rPr>
                <w:rFonts w:ascii="Calibri" w:hAnsi="Calibri" w:cs="Calibri"/>
                <w:color w:val="171717" w:themeColor="background2" w:themeShade="1A"/>
                <w:sz w:val="20"/>
                <w:szCs w:val="20"/>
              </w:rPr>
              <w:t>.</w:t>
            </w:r>
            <w:r w:rsidR="000A7A76">
              <w:rPr>
                <w:rFonts w:ascii="Calibri" w:hAnsi="Calibri" w:cs="Calibri"/>
                <w:color w:val="171717" w:themeColor="background2" w:themeShade="1A"/>
                <w:sz w:val="20"/>
                <w:szCs w:val="20"/>
              </w:rPr>
              <w:t xml:space="preserve"> For example, you pay for 1 TB of RAM. You can 0.5 TB guaranteed and 2 TB limit.</w:t>
            </w:r>
          </w:p>
        </w:tc>
        <w:tc>
          <w:tcPr>
            <w:tcW w:w="2410" w:type="dxa"/>
          </w:tcPr>
          <w:p w14:paraId="4A7CF7DB" w14:textId="77777777" w:rsidR="00AC3A49" w:rsidRPr="00AC3A49" w:rsidRDefault="00AC3A49" w:rsidP="00AC3A49">
            <w:pPr>
              <w:pStyle w:val="Tablecontent"/>
              <w:rPr>
                <w:rFonts w:ascii="Arial" w:hAnsi="Arial"/>
                <w:sz w:val="20"/>
                <w:szCs w:val="20"/>
              </w:rPr>
            </w:pPr>
            <w:r w:rsidRPr="00AC3A49">
              <w:rPr>
                <w:rFonts w:ascii="Calibri" w:hAnsi="Calibri" w:cs="Calibri"/>
                <w:color w:val="171717" w:themeColor="background2" w:themeShade="1A"/>
                <w:sz w:val="20"/>
                <w:szCs w:val="20"/>
              </w:rPr>
              <w:t>Per VM.</w:t>
            </w:r>
          </w:p>
          <w:p w14:paraId="11E87246" w14:textId="59374BD5" w:rsidR="00AC3A49" w:rsidRPr="00AC3A49" w:rsidRDefault="00D931C7" w:rsidP="00AC3A49">
            <w:pPr>
              <w:pStyle w:val="Tablecontent"/>
              <w:rPr>
                <w:sz w:val="20"/>
                <w:szCs w:val="20"/>
              </w:rPr>
            </w:pPr>
            <w:r>
              <w:rPr>
                <w:rFonts w:ascii="Calibri" w:hAnsi="Calibri" w:cs="Calibri"/>
                <w:color w:val="171717" w:themeColor="background2" w:themeShade="1A"/>
                <w:sz w:val="20"/>
                <w:szCs w:val="20"/>
              </w:rPr>
              <w:t>Limited t</w:t>
            </w:r>
            <w:r w:rsidR="00AC3A49" w:rsidRPr="00AC3A49">
              <w:rPr>
                <w:rFonts w:ascii="Calibri" w:hAnsi="Calibri" w:cs="Calibri"/>
                <w:color w:val="171717" w:themeColor="background2" w:themeShade="1A"/>
                <w:sz w:val="20"/>
                <w:szCs w:val="20"/>
              </w:rPr>
              <w:t>ier</w:t>
            </w:r>
            <w:r>
              <w:rPr>
                <w:rFonts w:ascii="Calibri" w:hAnsi="Calibri" w:cs="Calibri"/>
                <w:color w:val="171717" w:themeColor="background2" w:themeShade="1A"/>
                <w:sz w:val="20"/>
                <w:szCs w:val="20"/>
              </w:rPr>
              <w:t>ing capabilities</w:t>
            </w:r>
            <w:r w:rsidR="005E1093">
              <w:rPr>
                <w:rFonts w:ascii="Calibri" w:hAnsi="Calibri" w:cs="Calibri"/>
                <w:color w:val="171717" w:themeColor="background2" w:themeShade="1A"/>
                <w:sz w:val="20"/>
                <w:szCs w:val="20"/>
              </w:rPr>
              <w:t>.</w:t>
            </w:r>
          </w:p>
        </w:tc>
        <w:tc>
          <w:tcPr>
            <w:tcW w:w="2811" w:type="dxa"/>
            <w:shd w:val="clear" w:color="auto" w:fill="auto"/>
          </w:tcPr>
          <w:p w14:paraId="4923CD83" w14:textId="77777777" w:rsidR="00AC3A49" w:rsidRPr="00AC3A49" w:rsidRDefault="00AC3A49" w:rsidP="00AC3A49">
            <w:pPr>
              <w:pStyle w:val="Tablecontent"/>
              <w:rPr>
                <w:rFonts w:ascii="Arial" w:hAnsi="Arial"/>
                <w:sz w:val="20"/>
                <w:szCs w:val="20"/>
              </w:rPr>
            </w:pPr>
            <w:r w:rsidRPr="00AC3A49">
              <w:rPr>
                <w:rFonts w:ascii="Calibri" w:hAnsi="Calibri" w:cs="Calibri"/>
                <w:color w:val="FF0000"/>
                <w:sz w:val="20"/>
                <w:szCs w:val="20"/>
              </w:rPr>
              <w:t xml:space="preserve">N/A. </w:t>
            </w:r>
          </w:p>
          <w:p w14:paraId="2A6D6158" w14:textId="7D8FF300" w:rsidR="00AC3A49" w:rsidRPr="00AC3A49" w:rsidRDefault="00AC3A49" w:rsidP="00AC3A49">
            <w:pPr>
              <w:pStyle w:val="Tablecontent"/>
              <w:rPr>
                <w:sz w:val="20"/>
                <w:szCs w:val="20"/>
              </w:rPr>
            </w:pPr>
            <w:r w:rsidRPr="00AC3A49">
              <w:rPr>
                <w:rFonts w:ascii="Calibri" w:hAnsi="Calibri" w:cs="Calibri"/>
                <w:color w:val="171717" w:themeColor="background2" w:themeShade="1A"/>
                <w:sz w:val="20"/>
                <w:szCs w:val="20"/>
              </w:rPr>
              <w:t>While Resource is reserved, customer is allowed to overcommit within their own limit. It’s not something the IaaS imposes.</w:t>
            </w:r>
          </w:p>
        </w:tc>
      </w:tr>
      <w:tr w:rsidR="00AC3A49" w:rsidRPr="00BD2044" w14:paraId="328C57AC" w14:textId="77777777" w:rsidTr="00AC3A49">
        <w:trPr>
          <w:trHeight w:val="302"/>
          <w:jc w:val="center"/>
        </w:trPr>
        <w:tc>
          <w:tcPr>
            <w:tcW w:w="1020" w:type="dxa"/>
            <w:shd w:val="clear" w:color="auto" w:fill="auto"/>
            <w:vAlign w:val="center"/>
          </w:tcPr>
          <w:p w14:paraId="12EA11AF" w14:textId="166A5418" w:rsidR="00AC3A49" w:rsidRPr="00AC3A49" w:rsidRDefault="00AC3A49" w:rsidP="00AC3A49">
            <w:pPr>
              <w:pStyle w:val="Tablecontent"/>
              <w:rPr>
                <w:b/>
                <w:bCs/>
                <w:sz w:val="20"/>
                <w:szCs w:val="20"/>
              </w:rPr>
            </w:pPr>
            <w:r w:rsidRPr="00AC3A49">
              <w:rPr>
                <w:b/>
                <w:bCs/>
                <w:color w:val="171717" w:themeColor="background2" w:themeShade="1A"/>
                <w:sz w:val="20"/>
                <w:szCs w:val="20"/>
              </w:rPr>
              <w:t>Hardware</w:t>
            </w:r>
          </w:p>
        </w:tc>
        <w:tc>
          <w:tcPr>
            <w:tcW w:w="4225" w:type="dxa"/>
            <w:shd w:val="clear" w:color="auto" w:fill="auto"/>
            <w:vAlign w:val="center"/>
          </w:tcPr>
          <w:p w14:paraId="0828D166" w14:textId="04425EA0" w:rsidR="00AC3A49" w:rsidRPr="00AC3A49" w:rsidRDefault="00AC3A49" w:rsidP="00AC3A49">
            <w:pPr>
              <w:pStyle w:val="Tablecontent"/>
              <w:rPr>
                <w:rFonts w:ascii="Arial" w:hAnsi="Arial"/>
                <w:sz w:val="20"/>
                <w:szCs w:val="20"/>
              </w:rPr>
            </w:pPr>
            <w:r w:rsidRPr="00AC3A49">
              <w:rPr>
                <w:rFonts w:ascii="Calibri" w:hAnsi="Calibri" w:cs="Calibri"/>
                <w:color w:val="171717" w:themeColor="background2" w:themeShade="1A"/>
                <w:sz w:val="20"/>
                <w:szCs w:val="20"/>
              </w:rPr>
              <w:t>Price per ESXi host. Customers decide how many VMs they want to place</w:t>
            </w:r>
            <w:r w:rsidR="00EA3459">
              <w:rPr>
                <w:rFonts w:ascii="Calibri" w:hAnsi="Calibri" w:cs="Calibri"/>
                <w:color w:val="171717" w:themeColor="background2" w:themeShade="1A"/>
                <w:sz w:val="20"/>
                <w:szCs w:val="20"/>
              </w:rPr>
              <w:t>. HA is provided by vendor</w:t>
            </w:r>
            <w:r w:rsidRPr="00AC3A49">
              <w:rPr>
                <w:rFonts w:ascii="Calibri" w:hAnsi="Calibri" w:cs="Calibri"/>
                <w:color w:val="171717" w:themeColor="background2" w:themeShade="1A"/>
                <w:sz w:val="20"/>
                <w:szCs w:val="20"/>
              </w:rPr>
              <w:t>.</w:t>
            </w:r>
          </w:p>
          <w:p w14:paraId="20F5DDC5" w14:textId="384D37A1" w:rsidR="00AC3A49" w:rsidRPr="00AC3A49" w:rsidRDefault="00AC3A49" w:rsidP="00AC3A49">
            <w:pPr>
              <w:pStyle w:val="Tablecontent"/>
              <w:rPr>
                <w:rFonts w:ascii="Arial" w:hAnsi="Arial"/>
                <w:sz w:val="20"/>
                <w:szCs w:val="20"/>
              </w:rPr>
            </w:pPr>
            <w:r w:rsidRPr="00AC3A49">
              <w:rPr>
                <w:rFonts w:ascii="Calibri" w:hAnsi="Calibri" w:cs="Calibri"/>
                <w:color w:val="171717" w:themeColor="background2" w:themeShade="1A"/>
                <w:sz w:val="20"/>
                <w:szCs w:val="20"/>
              </w:rPr>
              <w:t xml:space="preserve">Example of item purchased: </w:t>
            </w:r>
            <w:r w:rsidR="00EA3459">
              <w:rPr>
                <w:rFonts w:ascii="Calibri" w:hAnsi="Calibri" w:cs="Calibri"/>
                <w:color w:val="171717" w:themeColor="background2" w:themeShade="1A"/>
                <w:sz w:val="20"/>
                <w:szCs w:val="20"/>
              </w:rPr>
              <w:t>8</w:t>
            </w:r>
            <w:r w:rsidRPr="00AC3A49">
              <w:rPr>
                <w:rFonts w:ascii="Calibri" w:hAnsi="Calibri" w:cs="Calibri"/>
                <w:color w:val="171717" w:themeColor="background2" w:themeShade="1A"/>
                <w:sz w:val="20"/>
                <w:szCs w:val="20"/>
              </w:rPr>
              <w:t xml:space="preserve"> ESXi Host. </w:t>
            </w:r>
          </w:p>
          <w:p w14:paraId="38B53300" w14:textId="726BC60B" w:rsidR="00AC3A49" w:rsidRPr="00AC3A49" w:rsidRDefault="00AC3A49" w:rsidP="00AC3A49">
            <w:pPr>
              <w:pStyle w:val="Tablecontent"/>
              <w:rPr>
                <w:sz w:val="20"/>
                <w:szCs w:val="20"/>
              </w:rPr>
            </w:pPr>
            <w:r w:rsidRPr="00AC3A49">
              <w:rPr>
                <w:rFonts w:ascii="Calibri" w:hAnsi="Calibri" w:cs="Calibri"/>
                <w:color w:val="171717" w:themeColor="background2" w:themeShade="1A"/>
                <w:sz w:val="20"/>
                <w:szCs w:val="20"/>
              </w:rPr>
              <w:t>Example provider is VMware on A</w:t>
            </w:r>
            <w:r w:rsidR="00EA3459">
              <w:rPr>
                <w:rFonts w:ascii="Calibri" w:hAnsi="Calibri" w:cs="Calibri"/>
                <w:color w:val="171717" w:themeColor="background2" w:themeShade="1A"/>
                <w:sz w:val="20"/>
                <w:szCs w:val="20"/>
              </w:rPr>
              <w:t>zure.</w:t>
            </w:r>
          </w:p>
        </w:tc>
        <w:tc>
          <w:tcPr>
            <w:tcW w:w="2410" w:type="dxa"/>
          </w:tcPr>
          <w:p w14:paraId="462BF470" w14:textId="1BE9EEA9" w:rsidR="00AC3A49" w:rsidRPr="00AC3A49" w:rsidRDefault="00AC3A49" w:rsidP="00B00C9E">
            <w:pPr>
              <w:pStyle w:val="Tablecontent"/>
              <w:rPr>
                <w:sz w:val="20"/>
                <w:szCs w:val="20"/>
              </w:rPr>
            </w:pPr>
            <w:r w:rsidRPr="00AC3A49">
              <w:rPr>
                <w:rFonts w:ascii="Calibri" w:hAnsi="Calibri" w:cs="Calibri"/>
                <w:color w:val="171717" w:themeColor="background2" w:themeShade="1A"/>
                <w:sz w:val="20"/>
                <w:szCs w:val="20"/>
              </w:rPr>
              <w:t xml:space="preserve">On the Host or Cluster, not VM. </w:t>
            </w:r>
          </w:p>
        </w:tc>
        <w:tc>
          <w:tcPr>
            <w:tcW w:w="2811" w:type="dxa"/>
            <w:shd w:val="clear" w:color="auto" w:fill="auto"/>
          </w:tcPr>
          <w:p w14:paraId="1E6999CD" w14:textId="77777777" w:rsidR="00AC3A49" w:rsidRPr="00AC3A49" w:rsidRDefault="00AC3A49" w:rsidP="00AC3A49">
            <w:pPr>
              <w:pStyle w:val="Tablecontent"/>
              <w:rPr>
                <w:rFonts w:ascii="Arial" w:hAnsi="Arial"/>
                <w:sz w:val="20"/>
                <w:szCs w:val="20"/>
              </w:rPr>
            </w:pPr>
            <w:r w:rsidRPr="00AC3A49">
              <w:rPr>
                <w:rFonts w:ascii="Calibri" w:hAnsi="Calibri" w:cs="Calibri"/>
                <w:color w:val="FF0000"/>
                <w:sz w:val="20"/>
                <w:szCs w:val="20"/>
              </w:rPr>
              <w:t>N/A</w:t>
            </w:r>
          </w:p>
          <w:p w14:paraId="1A726B55" w14:textId="543DFFC0" w:rsidR="00AC3A49" w:rsidRPr="00AC3A49" w:rsidRDefault="00AC3A49" w:rsidP="00AC3A49">
            <w:pPr>
              <w:pStyle w:val="Tablecontent"/>
              <w:rPr>
                <w:sz w:val="20"/>
                <w:szCs w:val="20"/>
              </w:rPr>
            </w:pPr>
            <w:r w:rsidRPr="00AC3A49">
              <w:rPr>
                <w:rFonts w:ascii="Calibri" w:hAnsi="Calibri" w:cs="Calibri"/>
                <w:color w:val="171717" w:themeColor="background2" w:themeShade="1A"/>
                <w:sz w:val="20"/>
                <w:szCs w:val="20"/>
              </w:rPr>
              <w:t>Customer can squeeze as many VMs.</w:t>
            </w:r>
          </w:p>
        </w:tc>
      </w:tr>
    </w:tbl>
    <w:p w14:paraId="2D5ADE53" w14:textId="235D3092" w:rsidR="00463AF7" w:rsidRPr="00AC3A49" w:rsidRDefault="00463AF7" w:rsidP="00AC3A49">
      <w:pPr>
        <w:pStyle w:val="BeforeTable"/>
      </w:pPr>
    </w:p>
    <w:p w14:paraId="25557AD8" w14:textId="55F1FA3B" w:rsidR="003539D9" w:rsidRDefault="003539D9" w:rsidP="003539D9">
      <w:r>
        <w:t xml:space="preserve">Class of service is harder to implement in resource pool as </w:t>
      </w:r>
      <w:r w:rsidR="00D24002">
        <w:t>there are more moving part</w:t>
      </w:r>
      <w:r w:rsidR="00927041">
        <w:t>s</w:t>
      </w:r>
      <w:r w:rsidR="00D24002">
        <w:t xml:space="preserve">. </w:t>
      </w:r>
      <w:r w:rsidR="00113506">
        <w:t xml:space="preserve">You can have cascading resource pools. </w:t>
      </w:r>
    </w:p>
    <w:p w14:paraId="3B1E5E3E" w14:textId="4EA83065" w:rsidR="00C07E77" w:rsidRDefault="00C07E77" w:rsidP="00E7573A">
      <w:pPr>
        <w:pStyle w:val="Heading5"/>
      </w:pPr>
      <w:r>
        <w:t xml:space="preserve">VM as a Service </w:t>
      </w:r>
    </w:p>
    <w:p w14:paraId="7B4D45C5" w14:textId="11E0CD00" w:rsidR="002845BE" w:rsidRDefault="000640F0" w:rsidP="006E618E">
      <w:r>
        <w:t xml:space="preserve">The most popular variant of IaaS is VM as a Service. </w:t>
      </w:r>
      <w:r w:rsidR="002845BE">
        <w:t>It is typical example of “</w:t>
      </w:r>
      <w:r w:rsidR="002845BE" w:rsidRPr="00AB464D">
        <w:rPr>
          <w:color w:val="00B0F0"/>
        </w:rPr>
        <w:t>buy wholesale sell retail</w:t>
      </w:r>
      <w:r w:rsidR="002845BE">
        <w:t xml:space="preserve">” business. You buy hardware in bulk and commit DC space for years, then sell VM in small chunks. You make profit as your buy price is several </w:t>
      </w:r>
      <w:r w:rsidR="00AB464D">
        <w:t>magnitudes</w:t>
      </w:r>
      <w:r w:rsidR="002845BE">
        <w:t xml:space="preserve"> lower than your sell price, on a per unit basis</w:t>
      </w:r>
      <w:r w:rsidR="00AB464D">
        <w:t>.</w:t>
      </w:r>
    </w:p>
    <w:p w14:paraId="6B9F89A7" w14:textId="354AF7B6" w:rsidR="00C04C48" w:rsidRPr="00D11C47" w:rsidRDefault="46D4704C" w:rsidP="00A80097">
      <w:pPr>
        <w:jc w:val="center"/>
      </w:pPr>
      <w:r>
        <w:rPr>
          <w:noProof/>
        </w:rPr>
        <w:drawing>
          <wp:inline distT="0" distB="0" distL="0" distR="0" wp14:anchorId="27B281DA" wp14:editId="088AC188">
            <wp:extent cx="3906000" cy="22140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906000" cy="2214000"/>
                    </a:xfrm>
                    <a:prstGeom prst="rect">
                      <a:avLst/>
                    </a:prstGeom>
                  </pic:spPr>
                </pic:pic>
              </a:graphicData>
            </a:graphic>
          </wp:inline>
        </w:drawing>
      </w:r>
    </w:p>
    <w:p w14:paraId="4BEB3E53" w14:textId="70780D16" w:rsidR="001F5453" w:rsidRPr="004758D0" w:rsidRDefault="001F5453" w:rsidP="001F5453">
      <w:r>
        <w:lastRenderedPageBreak/>
        <w:t>T</w:t>
      </w:r>
      <w:r w:rsidRPr="004758D0">
        <w:t xml:space="preserve">he </w:t>
      </w:r>
      <w:r>
        <w:t xml:space="preserve">business </w:t>
      </w:r>
      <w:r w:rsidRPr="004758D0">
        <w:t xml:space="preserve">goal is to ensure the application and </w:t>
      </w:r>
      <w:r>
        <w:t>VM</w:t>
      </w:r>
      <w:r w:rsidRPr="004758D0">
        <w:t>s</w:t>
      </w:r>
      <w:r>
        <w:t xml:space="preserve"> </w:t>
      </w:r>
      <w:r w:rsidRPr="004758D0">
        <w:t xml:space="preserve">are running </w:t>
      </w:r>
      <w:r w:rsidRPr="00104443">
        <w:rPr>
          <w:rStyle w:val="Strong"/>
          <w:b w:val="0"/>
          <w:bCs w:val="0"/>
          <w:i/>
          <w:iCs/>
          <w:color w:val="00B0F0"/>
        </w:rPr>
        <w:t>well yet cost effective</w:t>
      </w:r>
      <w:r w:rsidRPr="004758D0">
        <w:t xml:space="preserve">. </w:t>
      </w:r>
      <w:r w:rsidR="00AB464D">
        <w:t>In this way, you keep the customers happy.</w:t>
      </w:r>
    </w:p>
    <w:p w14:paraId="180DCA66" w14:textId="502C9B25" w:rsidR="003268E0" w:rsidRPr="00D11C47" w:rsidRDefault="00452E3A" w:rsidP="006E618E">
      <w:r w:rsidRPr="00D11C47">
        <w:t xml:space="preserve">The cost part is </w:t>
      </w:r>
      <w:r w:rsidR="00B8051C" w:rsidRPr="00D11C47">
        <w:t xml:space="preserve">easy to quantify. You know what you </w:t>
      </w:r>
      <w:r w:rsidR="00AB464D">
        <w:t xml:space="preserve">actually </w:t>
      </w:r>
      <w:r w:rsidR="00B8051C" w:rsidRPr="00D11C47">
        <w:t>spend on hardware, software, services and salary. The “</w:t>
      </w:r>
      <w:r w:rsidR="00CD211D" w:rsidRPr="00AB464D">
        <w:rPr>
          <w:color w:val="00B0F0"/>
        </w:rPr>
        <w:t>well</w:t>
      </w:r>
      <w:r w:rsidR="00B8051C" w:rsidRPr="00D11C47">
        <w:t xml:space="preserve">” </w:t>
      </w:r>
      <w:r w:rsidR="00CD211D">
        <w:t xml:space="preserve">in </w:t>
      </w:r>
      <w:r w:rsidR="00CD211D" w:rsidRPr="00994AEA">
        <w:rPr>
          <w:i/>
          <w:iCs/>
          <w:color w:val="00B0F0"/>
        </w:rPr>
        <w:t>running well</w:t>
      </w:r>
      <w:r w:rsidR="00CD211D" w:rsidRPr="00CD211D">
        <w:rPr>
          <w:color w:val="00B0F0"/>
        </w:rPr>
        <w:t xml:space="preserve"> </w:t>
      </w:r>
      <w:r w:rsidR="00B8051C" w:rsidRPr="00D11C47">
        <w:t xml:space="preserve">is the </w:t>
      </w:r>
      <w:r w:rsidR="00657A9B" w:rsidRPr="00D11C47">
        <w:t>hard part</w:t>
      </w:r>
      <w:r w:rsidR="00CD211D">
        <w:t xml:space="preserve"> as there is a big unknown.</w:t>
      </w:r>
      <w:r w:rsidR="00AB464D">
        <w:t xml:space="preserve"> This is also the source of argument between application team and infrastructure team. </w:t>
      </w:r>
    </w:p>
    <w:p w14:paraId="797690A6" w14:textId="4BE18075" w:rsidR="002408B7" w:rsidRPr="00D11C47" w:rsidRDefault="002408B7" w:rsidP="002408B7">
      <w:r w:rsidRPr="00D11C47">
        <w:t>Say you</w:t>
      </w:r>
      <w:r w:rsidR="00DC3060" w:rsidRPr="00D11C47">
        <w:t xml:space="preserve"> a</w:t>
      </w:r>
      <w:r w:rsidRPr="00D11C47">
        <w:t>re architecting for 10K VM</w:t>
      </w:r>
      <w:r w:rsidR="00CF03CD">
        <w:t>s</w:t>
      </w:r>
      <w:r w:rsidRPr="00D11C47">
        <w:t xml:space="preserve"> in 2 </w:t>
      </w:r>
      <w:r w:rsidR="005269DE" w:rsidRPr="00D11C47">
        <w:t>data center</w:t>
      </w:r>
      <w:r w:rsidRPr="00D11C47">
        <w:t>s. You envisage 2K VM</w:t>
      </w:r>
      <w:r w:rsidR="00CF03CD">
        <w:t>s</w:t>
      </w:r>
      <w:r w:rsidRPr="00D11C47">
        <w:t xml:space="preserve"> in the first month, </w:t>
      </w:r>
      <w:r w:rsidR="0009185E" w:rsidRPr="00D11C47">
        <w:t>5K VM</w:t>
      </w:r>
      <w:r w:rsidR="00CF03CD">
        <w:t>s</w:t>
      </w:r>
      <w:r w:rsidR="0009185E" w:rsidRPr="00D11C47">
        <w:t xml:space="preserve"> in the first half year, and </w:t>
      </w:r>
      <w:r w:rsidR="002051EE" w:rsidRPr="00D11C47">
        <w:t xml:space="preserve">eventually </w:t>
      </w:r>
      <w:r w:rsidRPr="00D11C47">
        <w:t>to 10K within the first year. Do you know the basic info about each of these 10K VMs, so that you can architect an infra</w:t>
      </w:r>
      <w:r w:rsidR="002051EE" w:rsidRPr="00D11C47">
        <w:t>structure</w:t>
      </w:r>
      <w:r w:rsidRPr="00D11C47">
        <w:t xml:space="preserve"> to serve them well?</w:t>
      </w:r>
    </w:p>
    <w:p w14:paraId="54981F46" w14:textId="593C7D7D" w:rsidR="002408B7" w:rsidRPr="00D11C47" w:rsidRDefault="002408B7" w:rsidP="00DC3060">
      <w:pPr>
        <w:pStyle w:val="Bullet"/>
      </w:pPr>
      <w:r w:rsidRPr="00D11C47">
        <w:t xml:space="preserve">How big are they? </w:t>
      </w:r>
      <w:r w:rsidR="00070656">
        <w:t xml:space="preserve">What are their </w:t>
      </w:r>
      <w:r w:rsidRPr="00D11C47">
        <w:t>vCPU, RAM, Disk</w:t>
      </w:r>
      <w:r w:rsidR="00070656">
        <w:t xml:space="preserve"> configuration?</w:t>
      </w:r>
    </w:p>
    <w:p w14:paraId="6AF49AB7" w14:textId="2AE5E879" w:rsidR="002408B7" w:rsidRPr="00D11C47" w:rsidRDefault="002408B7" w:rsidP="00DC3060">
      <w:pPr>
        <w:pStyle w:val="Bullet"/>
      </w:pPr>
      <w:r w:rsidRPr="00D11C47">
        <w:t xml:space="preserve">How intense are they? CPU </w:t>
      </w:r>
      <w:r w:rsidR="002051EE" w:rsidRPr="00D11C47">
        <w:t>u</w:t>
      </w:r>
      <w:r w:rsidRPr="00D11C47">
        <w:t xml:space="preserve">tilization, RAM </w:t>
      </w:r>
      <w:r w:rsidR="000B7848">
        <w:t>utilization</w:t>
      </w:r>
      <w:r w:rsidRPr="00D11C47">
        <w:t xml:space="preserve">, </w:t>
      </w:r>
      <w:r w:rsidR="002051EE" w:rsidRPr="00D11C47">
        <w:t>d</w:t>
      </w:r>
      <w:r w:rsidRPr="00D11C47">
        <w:t xml:space="preserve">isk IOPS, </w:t>
      </w:r>
      <w:r w:rsidR="002051EE" w:rsidRPr="00D11C47">
        <w:t>n</w:t>
      </w:r>
      <w:r w:rsidRPr="00D11C47">
        <w:t>etwork throughput?</w:t>
      </w:r>
    </w:p>
    <w:p w14:paraId="44E059F6" w14:textId="67BECDB8" w:rsidR="002408B7" w:rsidRPr="00D9751E" w:rsidRDefault="0087318B" w:rsidP="00DC3060">
      <w:pPr>
        <w:pStyle w:val="Bullet"/>
      </w:pPr>
      <w:r>
        <w:t>What are t</w:t>
      </w:r>
      <w:r w:rsidR="002408B7" w:rsidRPr="00D11C47">
        <w:t xml:space="preserve">heir workload </w:t>
      </w:r>
      <w:r w:rsidR="000E050B" w:rsidRPr="000E050B">
        <w:rPr>
          <w:lang w:val="en-GB"/>
        </w:rPr>
        <w:t>patterns</w:t>
      </w:r>
      <w:r w:rsidR="002408B7" w:rsidRPr="00D9751E">
        <w:t xml:space="preserve">? Daily, weekly, monthly, </w:t>
      </w:r>
      <w:r w:rsidR="00510C91" w:rsidRPr="00D9751E">
        <w:t xml:space="preserve">no pattern, </w:t>
      </w:r>
      <w:r w:rsidR="002408B7" w:rsidRPr="00D9751E">
        <w:t>etc.</w:t>
      </w:r>
    </w:p>
    <w:p w14:paraId="7C230829" w14:textId="35D764A3" w:rsidR="002408B7" w:rsidRPr="00D9751E" w:rsidRDefault="00510C91" w:rsidP="002408B7">
      <w:r>
        <w:t>The answer is obviously no</w:t>
      </w:r>
      <w:r w:rsidR="002408B7">
        <w:t>. Even application team</w:t>
      </w:r>
      <w:r w:rsidR="5ADD4626">
        <w:t>s</w:t>
      </w:r>
      <w:r w:rsidR="002408B7">
        <w:t xml:space="preserve"> do</w:t>
      </w:r>
      <w:r>
        <w:t xml:space="preserve"> </w:t>
      </w:r>
      <w:r w:rsidR="002408B7">
        <w:t>n</w:t>
      </w:r>
      <w:r>
        <w:t>o</w:t>
      </w:r>
      <w:r w:rsidR="002408B7">
        <w:t>t know</w:t>
      </w:r>
      <w:r>
        <w:t xml:space="preserve"> as</w:t>
      </w:r>
      <w:r w:rsidR="002D01F2">
        <w:t xml:space="preserve"> some of the applications may not be </w:t>
      </w:r>
      <w:r w:rsidR="0043033A">
        <w:t>developed</w:t>
      </w:r>
      <w:r w:rsidR="002D01F2">
        <w:t xml:space="preserve"> yet. </w:t>
      </w:r>
      <w:r w:rsidR="002408B7">
        <w:t xml:space="preserve">Their vendors </w:t>
      </w:r>
      <w:r w:rsidR="00201830">
        <w:t xml:space="preserve">may not </w:t>
      </w:r>
      <w:r w:rsidR="002408B7">
        <w:t>know either</w:t>
      </w:r>
      <w:r w:rsidR="00201830">
        <w:t xml:space="preserve"> as the</w:t>
      </w:r>
      <w:r w:rsidR="00AB464D">
        <w:t xml:space="preserve"> actual</w:t>
      </w:r>
      <w:r w:rsidR="00201830">
        <w:t xml:space="preserve"> usage is not yet known.</w:t>
      </w:r>
    </w:p>
    <w:p w14:paraId="02868BF4" w14:textId="6B7976B7" w:rsidR="006C2A7D" w:rsidRPr="007751C4" w:rsidRDefault="006C2A7D" w:rsidP="002408B7">
      <w:r>
        <w:t>Promising that the SDDC will serve all 10K VM</w:t>
      </w:r>
      <w:r w:rsidR="3C0E7DF9">
        <w:t>s</w:t>
      </w:r>
      <w:r>
        <w:t xml:space="preserve"> well is akin to promising the highway you architect will serve all the cars, buses and motorcycle</w:t>
      </w:r>
      <w:r w:rsidR="097A884B">
        <w:t>s</w:t>
      </w:r>
      <w:r>
        <w:t xml:space="preserve"> well, when </w:t>
      </w:r>
      <w:r w:rsidR="005F34C5">
        <w:t xml:space="preserve">we can’t </w:t>
      </w:r>
      <w:r w:rsidR="007751C4">
        <w:t xml:space="preserve">predict </w:t>
      </w:r>
      <w:r>
        <w:t>how many they are and how often they will use it.</w:t>
      </w:r>
      <w:r w:rsidR="00422F89">
        <w:t xml:space="preserve"> </w:t>
      </w:r>
      <w:r w:rsidR="00237180">
        <w:t>We will cover this more in</w:t>
      </w:r>
      <w:r w:rsidR="00CD211D">
        <w:t xml:space="preserve"> the</w:t>
      </w:r>
      <w:r w:rsidR="00237180">
        <w:t xml:space="preserve"> </w:t>
      </w:r>
      <w:hyperlink w:anchor="_Performance_Management">
        <w:r w:rsidR="00237180" w:rsidRPr="198D2F7E">
          <w:rPr>
            <w:rStyle w:val="Hyperlink"/>
          </w:rPr>
          <w:t>Performance</w:t>
        </w:r>
      </w:hyperlink>
      <w:r w:rsidR="00237180">
        <w:t xml:space="preserve"> section. </w:t>
      </w:r>
    </w:p>
    <w:p w14:paraId="156AC424" w14:textId="4F9A00D2" w:rsidR="002408B7" w:rsidRPr="007751C4" w:rsidRDefault="003548BA" w:rsidP="002408B7">
      <w:r>
        <w:t xml:space="preserve">So how can we </w:t>
      </w:r>
      <w:r w:rsidR="002408B7">
        <w:t xml:space="preserve">promise that your IaaS will serve </w:t>
      </w:r>
      <w:r w:rsidR="00272AA2">
        <w:t>your customers</w:t>
      </w:r>
      <w:r w:rsidR="002408B7">
        <w:t xml:space="preserve"> well?</w:t>
      </w:r>
    </w:p>
    <w:p w14:paraId="0466419D" w14:textId="3FCF426D" w:rsidR="002408B7" w:rsidRPr="007751C4" w:rsidRDefault="00A76C24" w:rsidP="002408B7">
      <w:r>
        <w:t>We can by</w:t>
      </w:r>
      <w:r w:rsidR="00F1568A">
        <w:t xml:space="preserve"> using the price/performance.</w:t>
      </w:r>
      <w:r w:rsidR="002408B7">
        <w:t xml:space="preserve"> The principle you share </w:t>
      </w:r>
      <w:r w:rsidR="00272AA2">
        <w:t>with yo</w:t>
      </w:r>
      <w:r w:rsidR="002408B7">
        <w:t xml:space="preserve">ur customers </w:t>
      </w:r>
      <w:r w:rsidR="0043033A">
        <w:t>is</w:t>
      </w:r>
      <w:r w:rsidR="002408B7">
        <w:t xml:space="preserve"> the common sense used in all service industr</w:t>
      </w:r>
      <w:r w:rsidR="00CD211D">
        <w:t>ies</w:t>
      </w:r>
      <w:r w:rsidR="002408B7">
        <w:t>:</w:t>
      </w:r>
    </w:p>
    <w:p w14:paraId="6A8D588E" w14:textId="77777777" w:rsidR="00CF03CD" w:rsidRDefault="002408B7" w:rsidP="00CF03CD">
      <w:pPr>
        <w:pStyle w:val="Bullet"/>
      </w:pPr>
      <w:r w:rsidRPr="007751C4">
        <w:t xml:space="preserve">You want it </w:t>
      </w:r>
      <w:r w:rsidR="0087318B" w:rsidRPr="007751C4">
        <w:t>cheap;</w:t>
      </w:r>
      <w:r w:rsidRPr="007751C4">
        <w:t xml:space="preserve"> it won't be fast.</w:t>
      </w:r>
      <w:r w:rsidR="00A76C24" w:rsidRPr="007751C4">
        <w:t xml:space="preserve"> </w:t>
      </w:r>
    </w:p>
    <w:p w14:paraId="4745C41E" w14:textId="200E9596" w:rsidR="002408B7" w:rsidRPr="007751C4" w:rsidRDefault="002408B7" w:rsidP="00CF03CD">
      <w:pPr>
        <w:pStyle w:val="Bullet"/>
      </w:pPr>
      <w:r w:rsidRPr="007751C4">
        <w:t xml:space="preserve">You want it </w:t>
      </w:r>
      <w:r w:rsidR="0087318B" w:rsidRPr="007751C4">
        <w:t>fast;</w:t>
      </w:r>
      <w:r w:rsidRPr="007751C4">
        <w:t xml:space="preserve"> it won't be cheap.</w:t>
      </w:r>
    </w:p>
    <w:p w14:paraId="43262C9F" w14:textId="0D147F13" w:rsidR="007F303E" w:rsidRPr="007751C4" w:rsidRDefault="00BD0249" w:rsidP="007F303E">
      <w:r>
        <w:t xml:space="preserve">This is where the Class of Service </w:t>
      </w:r>
      <w:r w:rsidR="00947333">
        <w:t xml:space="preserve">and the associated </w:t>
      </w:r>
      <w:r w:rsidR="0063312A">
        <w:t>SLA</w:t>
      </w:r>
      <w:r w:rsidR="15EE6467">
        <w:t>s</w:t>
      </w:r>
      <w:r w:rsidR="00C84AC5">
        <w:t xml:space="preserve"> </w:t>
      </w:r>
      <w:r>
        <w:t xml:space="preserve">come in. </w:t>
      </w:r>
      <w:r w:rsidR="002408B7">
        <w:t xml:space="preserve">The highest </w:t>
      </w:r>
      <w:r w:rsidR="00C64132">
        <w:t xml:space="preserve">class of service provides the best </w:t>
      </w:r>
      <w:r w:rsidR="00BF011A">
        <w:t>uptime</w:t>
      </w:r>
      <w:r w:rsidR="0043033A">
        <w:t xml:space="preserve"> and </w:t>
      </w:r>
      <w:r w:rsidR="00BF011A">
        <w:t xml:space="preserve">performance but comes at a </w:t>
      </w:r>
      <w:r w:rsidR="00ED0C7A">
        <w:t>price</w:t>
      </w:r>
      <w:r w:rsidR="00BF011A">
        <w:t xml:space="preserve">. </w:t>
      </w:r>
      <w:r w:rsidR="00FD21F2">
        <w:t>All these attributes are well defined</w:t>
      </w:r>
      <w:r w:rsidR="00C06E61">
        <w:t xml:space="preserve"> in the SLA</w:t>
      </w:r>
      <w:r w:rsidR="00D74B00">
        <w:t>, leaving no room for ambiguity</w:t>
      </w:r>
      <w:r w:rsidR="00FD21F2">
        <w:t xml:space="preserve">. </w:t>
      </w:r>
      <w:r w:rsidR="00C06E61">
        <w:t xml:space="preserve">The contract </w:t>
      </w:r>
      <w:r w:rsidR="00FD21F2">
        <w:t xml:space="preserve">is not subject to interpretation. You </w:t>
      </w:r>
      <w:r w:rsidR="00C06E61">
        <w:t xml:space="preserve">define all the </w:t>
      </w:r>
      <w:r w:rsidR="00EF5AAA">
        <w:t xml:space="preserve">key </w:t>
      </w:r>
      <w:r w:rsidR="00C06E61">
        <w:t xml:space="preserve">metrics </w:t>
      </w:r>
      <w:r w:rsidR="00272AA2">
        <w:t>up front</w:t>
      </w:r>
      <w:r w:rsidR="00FD21F2">
        <w:t xml:space="preserve">, assuring your customers that </w:t>
      </w:r>
      <w:r w:rsidR="00EF3FB8">
        <w:t>y</w:t>
      </w:r>
      <w:r w:rsidR="006744C1">
        <w:t>ou are</w:t>
      </w:r>
      <w:r w:rsidR="00FD21F2">
        <w:t xml:space="preserve"> confiden</w:t>
      </w:r>
      <w:r w:rsidR="0043033A">
        <w:t>t</w:t>
      </w:r>
      <w:r w:rsidR="00FD21F2">
        <w:t xml:space="preserve"> of delivering as promised</w:t>
      </w:r>
      <w:r w:rsidR="00CD211D">
        <w:t>.</w:t>
      </w:r>
    </w:p>
    <w:p w14:paraId="1B17178F" w14:textId="6F196FE2" w:rsidR="007F303E" w:rsidRDefault="007F303E" w:rsidP="007F303E">
      <w:r w:rsidRPr="007751C4">
        <w:t>You then architect your IaaS to deliver the above class of service</w:t>
      </w:r>
      <w:r w:rsidR="00D84088">
        <w:t>s</w:t>
      </w:r>
      <w:r w:rsidRPr="007751C4">
        <w:t xml:space="preserve">. The class of service </w:t>
      </w:r>
      <w:r w:rsidR="00A1215B" w:rsidRPr="007751C4">
        <w:t xml:space="preserve">becomes </w:t>
      </w:r>
      <w:r w:rsidRPr="007751C4">
        <w:t xml:space="preserve">your business offering. </w:t>
      </w:r>
      <w:r w:rsidR="0087318B">
        <w:t>With that, you are ready to begin with the end in mind.</w:t>
      </w:r>
    </w:p>
    <w:p w14:paraId="3DE6168E" w14:textId="18543A4B" w:rsidR="0063312A" w:rsidRDefault="0063312A" w:rsidP="0063312A">
      <w:pPr>
        <w:pStyle w:val="Heading6"/>
      </w:pPr>
      <w:r>
        <w:t>Capabilities</w:t>
      </w:r>
    </w:p>
    <w:p w14:paraId="364B5E62" w14:textId="0147E4B5" w:rsidR="00F162FB" w:rsidRDefault="00F162FB" w:rsidP="0063312A">
      <w:r>
        <w:t>The platform should provide a complete s</w:t>
      </w:r>
      <w:r w:rsidR="0063312A" w:rsidRPr="0063312A">
        <w:t>elf-</w:t>
      </w:r>
      <w:r>
        <w:t>s</w:t>
      </w:r>
      <w:r w:rsidR="0063312A" w:rsidRPr="0063312A">
        <w:t xml:space="preserve">ervice </w:t>
      </w:r>
      <w:r>
        <w:t>p</w:t>
      </w:r>
      <w:r w:rsidR="0063312A" w:rsidRPr="0063312A">
        <w:t>ortal</w:t>
      </w:r>
      <w:r>
        <w:t xml:space="preserve"> for all types of users</w:t>
      </w:r>
      <w:r w:rsidR="0063312A" w:rsidRPr="0063312A">
        <w:t xml:space="preserve">. </w:t>
      </w:r>
      <w:r>
        <w:t>The features should c</w:t>
      </w:r>
      <w:r w:rsidR="0063312A" w:rsidRPr="0063312A">
        <w:t xml:space="preserve">over all stages </w:t>
      </w:r>
      <w:r>
        <w:t xml:space="preserve">in the life cycle, starting from </w:t>
      </w:r>
      <w:r w:rsidR="0063312A" w:rsidRPr="0063312A">
        <w:t>provisioning</w:t>
      </w:r>
      <w:r>
        <w:t>. Provisioning should have an SLA and be supported with workflow and electronic approval.</w:t>
      </w:r>
    </w:p>
    <w:p w14:paraId="42CE775E" w14:textId="7A6CC575" w:rsidR="00B34DE9" w:rsidRDefault="00B34DE9" w:rsidP="00B34DE9">
      <w:pPr>
        <w:pStyle w:val="Heading6"/>
      </w:pPr>
      <w:r>
        <w:t>Key Metrics</w:t>
      </w:r>
    </w:p>
    <w:p w14:paraId="39E00F11" w14:textId="0DF702AE" w:rsidR="00B34DE9" w:rsidRDefault="00B34DE9" w:rsidP="00B34DE9">
      <w:pPr>
        <w:rPr>
          <w:lang w:val="en-GB"/>
        </w:rPr>
      </w:pPr>
      <w:r>
        <w:rPr>
          <w:lang w:val="en-GB"/>
        </w:rPr>
        <w:t>You measure across the pillars of operations management. Each pillar is measured, hence managed, by a purpose-built metrics.</w:t>
      </w:r>
      <w:r w:rsidR="00AB58CE">
        <w:rPr>
          <w:lang w:val="en-GB"/>
        </w:rPr>
        <w:t xml:space="preserve"> This enable you to manage at scale.</w:t>
      </w:r>
    </w:p>
    <w:p w14:paraId="219F7FE6" w14:textId="77777777" w:rsidR="00B34DE9" w:rsidRDefault="00B34DE9" w:rsidP="00B34DE9">
      <w:pPr>
        <w:pStyle w:val="BeforeTable"/>
        <w:rPr>
          <w:lang w:val="en-GB"/>
        </w:rPr>
      </w:pPr>
    </w:p>
    <w:tbl>
      <w:tblPr>
        <w:tblStyle w:val="TableGrid"/>
        <w:tblW w:w="0" w:type="auto"/>
        <w:tblBorders>
          <w:top w:val="none" w:sz="0" w:space="0" w:color="auto"/>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00"/>
        <w:gridCol w:w="2970"/>
        <w:gridCol w:w="5400"/>
      </w:tblGrid>
      <w:tr w:rsidR="00B34DE9" w14:paraId="4C69E49D" w14:textId="55BC63F3" w:rsidTr="00B34DE9">
        <w:tc>
          <w:tcPr>
            <w:tcW w:w="1800" w:type="dxa"/>
            <w:shd w:val="clear" w:color="auto" w:fill="F2F2F2" w:themeFill="background1" w:themeFillShade="F2"/>
          </w:tcPr>
          <w:p w14:paraId="4EF60272" w14:textId="78B49B5F" w:rsidR="00B34DE9" w:rsidRDefault="00B34DE9" w:rsidP="00B34DE9">
            <w:pPr>
              <w:pStyle w:val="Tableheading"/>
            </w:pPr>
            <w:r>
              <w:t>Pillars</w:t>
            </w:r>
          </w:p>
        </w:tc>
        <w:tc>
          <w:tcPr>
            <w:tcW w:w="2970" w:type="dxa"/>
            <w:shd w:val="clear" w:color="auto" w:fill="F2F2F2" w:themeFill="background1" w:themeFillShade="F2"/>
          </w:tcPr>
          <w:p w14:paraId="309B2F14" w14:textId="79B71A6B" w:rsidR="00B34DE9" w:rsidRDefault="00B34DE9" w:rsidP="00B34DE9">
            <w:pPr>
              <w:pStyle w:val="Tableheading"/>
            </w:pPr>
            <w:r>
              <w:t>Metrics</w:t>
            </w:r>
          </w:p>
        </w:tc>
        <w:tc>
          <w:tcPr>
            <w:tcW w:w="5400" w:type="dxa"/>
            <w:shd w:val="clear" w:color="auto" w:fill="F2F2F2" w:themeFill="background1" w:themeFillShade="F2"/>
          </w:tcPr>
          <w:p w14:paraId="37534CA7" w14:textId="77777777" w:rsidR="00B34DE9" w:rsidRDefault="00B34DE9" w:rsidP="00B34DE9">
            <w:pPr>
              <w:pStyle w:val="Tableheading"/>
            </w:pPr>
          </w:p>
        </w:tc>
      </w:tr>
      <w:tr w:rsidR="00B34DE9" w14:paraId="23F28002" w14:textId="11B06150" w:rsidTr="00B34DE9">
        <w:tc>
          <w:tcPr>
            <w:tcW w:w="1800" w:type="dxa"/>
            <w:vMerge w:val="restart"/>
          </w:tcPr>
          <w:p w14:paraId="0470A483" w14:textId="2B89AA3E" w:rsidR="00B34DE9" w:rsidRDefault="00B34DE9" w:rsidP="00B34DE9">
            <w:pPr>
              <w:pStyle w:val="Tablecontent"/>
            </w:pPr>
            <w:r>
              <w:t xml:space="preserve">Availability </w:t>
            </w:r>
          </w:p>
        </w:tc>
        <w:tc>
          <w:tcPr>
            <w:tcW w:w="2970" w:type="dxa"/>
          </w:tcPr>
          <w:p w14:paraId="1574266A" w14:textId="7D74FFE1" w:rsidR="00B34DE9" w:rsidRDefault="00B34DE9" w:rsidP="00B34DE9">
            <w:pPr>
              <w:pStyle w:val="Tablecontent"/>
            </w:pPr>
            <w:r>
              <w:t>Operational Availability (%)</w:t>
            </w:r>
          </w:p>
        </w:tc>
        <w:tc>
          <w:tcPr>
            <w:tcW w:w="5400" w:type="dxa"/>
          </w:tcPr>
          <w:p w14:paraId="3691E7D8" w14:textId="1D7D54A8" w:rsidR="00B34DE9" w:rsidRDefault="00B34DE9" w:rsidP="00B34DE9">
            <w:pPr>
              <w:pStyle w:val="Tablecontent"/>
            </w:pPr>
            <w:r>
              <w:t xml:space="preserve">Relative Availability, </w:t>
            </w:r>
            <w:r w:rsidR="00AB58CE">
              <w:t xml:space="preserve">againsts </w:t>
            </w:r>
            <w:r>
              <w:t>your availability architecture</w:t>
            </w:r>
          </w:p>
        </w:tc>
      </w:tr>
      <w:tr w:rsidR="00B34DE9" w14:paraId="3E4812C5" w14:textId="77777777" w:rsidTr="00B34DE9">
        <w:tc>
          <w:tcPr>
            <w:tcW w:w="1800" w:type="dxa"/>
            <w:vMerge/>
          </w:tcPr>
          <w:p w14:paraId="5B523A9F" w14:textId="77777777" w:rsidR="00B34DE9" w:rsidRDefault="00B34DE9" w:rsidP="00B34DE9">
            <w:pPr>
              <w:pStyle w:val="Tablecontent"/>
            </w:pPr>
          </w:p>
        </w:tc>
        <w:tc>
          <w:tcPr>
            <w:tcW w:w="2970" w:type="dxa"/>
          </w:tcPr>
          <w:p w14:paraId="7C9FDB05" w14:textId="7033D173" w:rsidR="00B34DE9" w:rsidRDefault="00B34DE9" w:rsidP="00B34DE9">
            <w:pPr>
              <w:pStyle w:val="Tablecontent"/>
            </w:pPr>
            <w:r>
              <w:t>Actual Availability (%)</w:t>
            </w:r>
          </w:p>
        </w:tc>
        <w:tc>
          <w:tcPr>
            <w:tcW w:w="5400" w:type="dxa"/>
          </w:tcPr>
          <w:p w14:paraId="1BA25949" w14:textId="7855E904" w:rsidR="00B34DE9" w:rsidRDefault="00B34DE9" w:rsidP="00B34DE9">
            <w:pPr>
              <w:pStyle w:val="Tablecontent"/>
            </w:pPr>
            <w:r>
              <w:t>Absolute availability, reporting the fact as it is.</w:t>
            </w:r>
          </w:p>
        </w:tc>
      </w:tr>
      <w:tr w:rsidR="00B34DE9" w14:paraId="22D8CCD8" w14:textId="167822A3" w:rsidTr="00B34DE9">
        <w:tc>
          <w:tcPr>
            <w:tcW w:w="1800" w:type="dxa"/>
            <w:vMerge w:val="restart"/>
          </w:tcPr>
          <w:p w14:paraId="43448A9B" w14:textId="677B775B" w:rsidR="00B34DE9" w:rsidRDefault="00B34DE9" w:rsidP="00B34DE9">
            <w:pPr>
              <w:pStyle w:val="Tablecontent"/>
            </w:pPr>
            <w:r>
              <w:t>Performance</w:t>
            </w:r>
          </w:p>
        </w:tc>
        <w:tc>
          <w:tcPr>
            <w:tcW w:w="2970" w:type="dxa"/>
          </w:tcPr>
          <w:p w14:paraId="29259BDA" w14:textId="3BCAFE96" w:rsidR="00B34DE9" w:rsidRDefault="00B34DE9" w:rsidP="00B34DE9">
            <w:pPr>
              <w:pStyle w:val="Tablecontent"/>
            </w:pPr>
            <w:r>
              <w:t>KPI (%)</w:t>
            </w:r>
          </w:p>
        </w:tc>
        <w:tc>
          <w:tcPr>
            <w:tcW w:w="5400" w:type="dxa"/>
          </w:tcPr>
          <w:p w14:paraId="19D5808A" w14:textId="64A40517" w:rsidR="00B34DE9" w:rsidRDefault="00B34DE9" w:rsidP="00B34DE9">
            <w:pPr>
              <w:pStyle w:val="Tablecontent"/>
            </w:pPr>
            <w:r>
              <w:t>Absolute performance</w:t>
            </w:r>
            <w:r w:rsidR="00AB58CE">
              <w:t>, reporting the fact as it is</w:t>
            </w:r>
          </w:p>
        </w:tc>
      </w:tr>
      <w:tr w:rsidR="00B34DE9" w14:paraId="4BECF770" w14:textId="2EB0DFE3" w:rsidTr="00B34DE9">
        <w:tc>
          <w:tcPr>
            <w:tcW w:w="1800" w:type="dxa"/>
            <w:vMerge/>
          </w:tcPr>
          <w:p w14:paraId="355C0482" w14:textId="77777777" w:rsidR="00B34DE9" w:rsidRDefault="00B34DE9" w:rsidP="00B34DE9">
            <w:pPr>
              <w:pStyle w:val="Tablecontent"/>
            </w:pPr>
          </w:p>
        </w:tc>
        <w:tc>
          <w:tcPr>
            <w:tcW w:w="2970" w:type="dxa"/>
          </w:tcPr>
          <w:p w14:paraId="72373B5B" w14:textId="24E8CFBB" w:rsidR="00B34DE9" w:rsidRDefault="00B34DE9" w:rsidP="00B34DE9">
            <w:pPr>
              <w:pStyle w:val="Tablecontent"/>
            </w:pPr>
            <w:r>
              <w:t>SLI (%) and SLA (%)</w:t>
            </w:r>
          </w:p>
        </w:tc>
        <w:tc>
          <w:tcPr>
            <w:tcW w:w="5400" w:type="dxa"/>
          </w:tcPr>
          <w:p w14:paraId="5289D251" w14:textId="7627BD18" w:rsidR="00B34DE9" w:rsidRDefault="00AB58CE" w:rsidP="00B34DE9">
            <w:pPr>
              <w:pStyle w:val="Tablecontent"/>
            </w:pPr>
            <w:r>
              <w:t>Relative performance, against your promised service level</w:t>
            </w:r>
          </w:p>
        </w:tc>
      </w:tr>
      <w:tr w:rsidR="00B34DE9" w14:paraId="24BE8F0A" w14:textId="77777777" w:rsidTr="00B34DE9">
        <w:tc>
          <w:tcPr>
            <w:tcW w:w="1800" w:type="dxa"/>
            <w:vMerge w:val="restart"/>
          </w:tcPr>
          <w:p w14:paraId="47BF1156" w14:textId="6B029999" w:rsidR="00B34DE9" w:rsidRDefault="00B34DE9" w:rsidP="00B34DE9">
            <w:pPr>
              <w:pStyle w:val="Tablecontent"/>
            </w:pPr>
            <w:r>
              <w:t>Capacity</w:t>
            </w:r>
          </w:p>
        </w:tc>
        <w:tc>
          <w:tcPr>
            <w:tcW w:w="2970" w:type="dxa"/>
          </w:tcPr>
          <w:p w14:paraId="0808EF1B" w14:textId="6A9C46D8" w:rsidR="00B34DE9" w:rsidRDefault="00B34DE9" w:rsidP="00B34DE9">
            <w:pPr>
              <w:pStyle w:val="Tablecontent"/>
            </w:pPr>
            <w:r>
              <w:t>Capacity Remaining (%)</w:t>
            </w:r>
          </w:p>
        </w:tc>
        <w:tc>
          <w:tcPr>
            <w:tcW w:w="5400" w:type="dxa"/>
          </w:tcPr>
          <w:p w14:paraId="59C990A2" w14:textId="77777777" w:rsidR="00B34DE9" w:rsidRDefault="00B34DE9" w:rsidP="00B34DE9">
            <w:pPr>
              <w:pStyle w:val="Tablecontent"/>
            </w:pPr>
          </w:p>
        </w:tc>
      </w:tr>
      <w:tr w:rsidR="00B34DE9" w14:paraId="08BD2320" w14:textId="77777777" w:rsidTr="00B34DE9">
        <w:tc>
          <w:tcPr>
            <w:tcW w:w="1800" w:type="dxa"/>
            <w:vMerge/>
          </w:tcPr>
          <w:p w14:paraId="11BA0CF6" w14:textId="77777777" w:rsidR="00B34DE9" w:rsidRDefault="00B34DE9" w:rsidP="00B34DE9">
            <w:pPr>
              <w:pStyle w:val="Tablecontent"/>
            </w:pPr>
          </w:p>
        </w:tc>
        <w:tc>
          <w:tcPr>
            <w:tcW w:w="2970" w:type="dxa"/>
          </w:tcPr>
          <w:p w14:paraId="299003B3" w14:textId="721AD531" w:rsidR="00B34DE9" w:rsidRDefault="00B34DE9" w:rsidP="00B34DE9">
            <w:pPr>
              <w:pStyle w:val="Tablecontent"/>
            </w:pPr>
            <w:r>
              <w:t>Time Remaining (days)</w:t>
            </w:r>
          </w:p>
        </w:tc>
        <w:tc>
          <w:tcPr>
            <w:tcW w:w="5400" w:type="dxa"/>
          </w:tcPr>
          <w:p w14:paraId="14EAA4B3" w14:textId="266A66E5" w:rsidR="00B34DE9" w:rsidRDefault="00AB58CE" w:rsidP="00B34DE9">
            <w:pPr>
              <w:pStyle w:val="Tablecontent"/>
            </w:pPr>
            <w:r>
              <w:t>The number of days until Capacity Remaining (%) hits 0</w:t>
            </w:r>
          </w:p>
        </w:tc>
      </w:tr>
      <w:tr w:rsidR="00B34DE9" w14:paraId="5F6F4B81" w14:textId="77777777" w:rsidTr="00B34DE9">
        <w:tc>
          <w:tcPr>
            <w:tcW w:w="1800" w:type="dxa"/>
          </w:tcPr>
          <w:p w14:paraId="06D3451B" w14:textId="0CB9C4D6" w:rsidR="00B34DE9" w:rsidRDefault="00B34DE9" w:rsidP="00B34DE9">
            <w:pPr>
              <w:pStyle w:val="Tablecontent"/>
            </w:pPr>
            <w:r>
              <w:t>Compliance</w:t>
            </w:r>
          </w:p>
        </w:tc>
        <w:tc>
          <w:tcPr>
            <w:tcW w:w="2970" w:type="dxa"/>
          </w:tcPr>
          <w:p w14:paraId="720EDF31" w14:textId="40A825B4" w:rsidR="00B34DE9" w:rsidRDefault="00B34DE9" w:rsidP="00B34DE9">
            <w:pPr>
              <w:pStyle w:val="Tablecontent"/>
            </w:pPr>
            <w:r>
              <w:t>Benchmark X (%)</w:t>
            </w:r>
          </w:p>
        </w:tc>
        <w:tc>
          <w:tcPr>
            <w:tcW w:w="5400" w:type="dxa"/>
          </w:tcPr>
          <w:p w14:paraId="3F955875" w14:textId="5BDF0C59" w:rsidR="00B34DE9" w:rsidRDefault="00AB58CE" w:rsidP="00B34DE9">
            <w:pPr>
              <w:pStyle w:val="Tablecontent"/>
            </w:pPr>
            <w:r>
              <w:t>Compliance against specific industry or internal benchmark</w:t>
            </w:r>
          </w:p>
        </w:tc>
      </w:tr>
    </w:tbl>
    <w:p w14:paraId="70DC9A25" w14:textId="4A904E27" w:rsidR="00301C42" w:rsidRDefault="005D4C18" w:rsidP="00AC6E1E">
      <w:pPr>
        <w:pStyle w:val="Heading4"/>
      </w:pPr>
      <w:r w:rsidRPr="007751C4">
        <w:t xml:space="preserve">Begin </w:t>
      </w:r>
      <w:r w:rsidR="0087318B" w:rsidRPr="007751C4">
        <w:t>with</w:t>
      </w:r>
      <w:r w:rsidRPr="007751C4">
        <w:t xml:space="preserve"> </w:t>
      </w:r>
      <w:r w:rsidR="00B07C61" w:rsidRPr="007751C4">
        <w:t xml:space="preserve">The End </w:t>
      </w:r>
      <w:r w:rsidR="0087318B">
        <w:t>i</w:t>
      </w:r>
      <w:r w:rsidR="00B07C61" w:rsidRPr="007751C4">
        <w:t>n Mind</w:t>
      </w:r>
    </w:p>
    <w:p w14:paraId="7F9470A4" w14:textId="77777777" w:rsidR="00555816" w:rsidRDefault="00313BED" w:rsidP="13F9EC69">
      <w:r>
        <w:t xml:space="preserve">Architecture is Day 1, </w:t>
      </w:r>
      <w:r w:rsidR="0016198F">
        <w:t xml:space="preserve">and </w:t>
      </w:r>
      <w:r>
        <w:t xml:space="preserve">Operations is Day 2. </w:t>
      </w:r>
      <w:r w:rsidR="0016198F">
        <w:t>Day 1 happens before Day 2.</w:t>
      </w:r>
      <w:r w:rsidR="00CC3833">
        <w:t xml:space="preserve"> </w:t>
      </w:r>
    </w:p>
    <w:p w14:paraId="5754BD43" w14:textId="2EF20DA7" w:rsidR="0016198F" w:rsidRPr="00EA1B0C" w:rsidRDefault="00CC3833" w:rsidP="13F9EC69">
      <w:pPr>
        <w:rPr>
          <w:lang w:val="en-GB"/>
        </w:rPr>
      </w:pPr>
      <w:r>
        <w:t>By Architecture</w:t>
      </w:r>
      <w:r w:rsidR="276E94F3">
        <w:t>,</w:t>
      </w:r>
      <w:r>
        <w:t xml:space="preserve"> I mean the detail </w:t>
      </w:r>
      <w:r w:rsidR="00E344D4">
        <w:t xml:space="preserve">technical </w:t>
      </w:r>
      <w:r>
        <w:t>work, including building and commissioning the system.</w:t>
      </w:r>
      <w:r w:rsidR="00EC4F54">
        <w:t xml:space="preserve"> While the </w:t>
      </w:r>
      <w:r w:rsidR="00AD60F2">
        <w:t xml:space="preserve">business plan and </w:t>
      </w:r>
      <w:r w:rsidR="005725EE">
        <w:t xml:space="preserve">high level </w:t>
      </w:r>
      <w:r w:rsidR="00380740">
        <w:t>marke</w:t>
      </w:r>
      <w:r w:rsidR="005725EE">
        <w:t>tecture</w:t>
      </w:r>
      <w:r w:rsidR="00380740">
        <w:rPr>
          <w:rStyle w:val="FootnoteReference"/>
        </w:rPr>
        <w:footnoteReference w:id="4"/>
      </w:r>
      <w:r w:rsidR="005725EE">
        <w:t xml:space="preserve"> is </w:t>
      </w:r>
      <w:r w:rsidR="00890EF6">
        <w:t>defined during Day 0</w:t>
      </w:r>
      <w:r w:rsidR="006A137E">
        <w:t xml:space="preserve"> (Planning), the real architecture work is done on Day 1.</w:t>
      </w:r>
    </w:p>
    <w:p w14:paraId="2BC5F6CF" w14:textId="1F71DE9F" w:rsidR="00313BED" w:rsidRDefault="00132C8B" w:rsidP="00313BED">
      <w:r w:rsidRPr="00EA1B0C">
        <w:t xml:space="preserve">However, if we think deeper, </w:t>
      </w:r>
      <w:r w:rsidR="00313BED" w:rsidRPr="00EA1B0C">
        <w:t xml:space="preserve">Day 2 impacts Day 0, which is Planning. </w:t>
      </w:r>
      <w:r w:rsidRPr="00EA1B0C">
        <w:t>The reason is t</w:t>
      </w:r>
      <w:r w:rsidR="00313BED" w:rsidRPr="00EA1B0C">
        <w:t>he End State drives your Plan. Your Plan drives your Architecture. So it’s 2</w:t>
      </w:r>
      <w:r w:rsidR="00383DD8" w:rsidRPr="00EA1B0C">
        <w:t xml:space="preserve"> </w:t>
      </w:r>
      <w:r w:rsidR="00383DD8" w:rsidRPr="00EA1B0C">
        <w:rPr>
          <w:rFonts w:ascii="Wingdings" w:eastAsia="Wingdings" w:hAnsi="Wingdings" w:cs="Wingdings"/>
        </w:rPr>
        <w:t>à</w:t>
      </w:r>
      <w:r w:rsidR="00383DD8" w:rsidRPr="00EA1B0C">
        <w:t xml:space="preserve"> 0 </w:t>
      </w:r>
      <w:r w:rsidR="00383DD8" w:rsidRPr="00EA1B0C">
        <w:rPr>
          <w:rFonts w:ascii="Wingdings" w:eastAsia="Wingdings" w:hAnsi="Wingdings" w:cs="Wingdings"/>
        </w:rPr>
        <w:t>à</w:t>
      </w:r>
      <w:r w:rsidR="00383DD8" w:rsidRPr="00EA1B0C">
        <w:t xml:space="preserve"> </w:t>
      </w:r>
      <w:r w:rsidR="00313BED" w:rsidRPr="00EA1B0C">
        <w:t>1, not 0</w:t>
      </w:r>
      <w:r w:rsidR="00383DD8" w:rsidRPr="00EA1B0C">
        <w:t xml:space="preserve"> </w:t>
      </w:r>
      <w:r w:rsidR="00383DD8" w:rsidRPr="00EA1B0C">
        <w:rPr>
          <w:rFonts w:ascii="Wingdings" w:eastAsia="Wingdings" w:hAnsi="Wingdings" w:cs="Wingdings"/>
        </w:rPr>
        <w:t>à</w:t>
      </w:r>
      <w:r w:rsidR="00313BED" w:rsidRPr="00EA1B0C">
        <w:t xml:space="preserve"> 1</w:t>
      </w:r>
      <w:r w:rsidR="00383DD8" w:rsidRPr="00EA1B0C">
        <w:t xml:space="preserve"> </w:t>
      </w:r>
      <w:r w:rsidR="00383DD8" w:rsidRPr="00EA1B0C">
        <w:rPr>
          <w:rFonts w:ascii="Wingdings" w:eastAsia="Wingdings" w:hAnsi="Wingdings" w:cs="Wingdings"/>
        </w:rPr>
        <w:t>à</w:t>
      </w:r>
      <w:r w:rsidR="00313BED" w:rsidRPr="00EA1B0C">
        <w:t xml:space="preserve"> 2.</w:t>
      </w:r>
    </w:p>
    <w:p w14:paraId="12AA31D9" w14:textId="36BBFAFA" w:rsidR="00301C42" w:rsidRPr="00EA1B0C" w:rsidRDefault="7D8D7C09" w:rsidP="00A35807">
      <w:pPr>
        <w:jc w:val="center"/>
      </w:pPr>
      <w:r>
        <w:rPr>
          <w:noProof/>
        </w:rPr>
        <w:drawing>
          <wp:inline distT="0" distB="0" distL="0" distR="0" wp14:anchorId="23793232" wp14:editId="681E3E42">
            <wp:extent cx="5965200" cy="1850400"/>
            <wp:effectExtent l="0" t="0" r="0" b="0"/>
            <wp:docPr id="606394282" name="Picture 606394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82"/>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65200" cy="1850400"/>
                    </a:xfrm>
                    <a:prstGeom prst="rect">
                      <a:avLst/>
                    </a:prstGeom>
                  </pic:spPr>
                </pic:pic>
              </a:graphicData>
            </a:graphic>
          </wp:inline>
        </w:drawing>
      </w:r>
    </w:p>
    <w:p w14:paraId="2549A47A" w14:textId="739FBDCD" w:rsidR="00AD60F2" w:rsidRDefault="00AD60F2" w:rsidP="00E7022E">
      <w:r>
        <w:t xml:space="preserve">Day 2 is not simply the first few days </w:t>
      </w:r>
      <w:r w:rsidR="00FB61F0">
        <w:t>after you go live. It’s the day you set sail</w:t>
      </w:r>
      <w:r w:rsidR="006C2AA7">
        <w:rPr>
          <w:rStyle w:val="FootnoteReference"/>
        </w:rPr>
        <w:footnoteReference w:id="5"/>
      </w:r>
      <w:r w:rsidR="006C2AA7">
        <w:t xml:space="preserve">. </w:t>
      </w:r>
    </w:p>
    <w:p w14:paraId="4F7D3EFB" w14:textId="654F10F0" w:rsidR="00BF7EF0" w:rsidRPr="00EA1B0C" w:rsidRDefault="00BF7EF0" w:rsidP="00E7022E">
      <w:r w:rsidRPr="00EA1B0C">
        <w:t xml:space="preserve">Let’s </w:t>
      </w:r>
      <w:r w:rsidR="00E7022E" w:rsidRPr="00EA1B0C">
        <w:t>use an example to illustrate how Day 2 impact</w:t>
      </w:r>
      <w:r w:rsidR="0043033A" w:rsidRPr="00EA1B0C">
        <w:t>s</w:t>
      </w:r>
      <w:r w:rsidR="00E7022E" w:rsidRPr="00EA1B0C">
        <w:t xml:space="preserve"> Day </w:t>
      </w:r>
      <w:r w:rsidR="0043033A" w:rsidRPr="00EA1B0C">
        <w:t>0, which in turn impacts Day 1</w:t>
      </w:r>
      <w:r w:rsidR="00E7022E" w:rsidRPr="00EA1B0C">
        <w:t xml:space="preserve">. </w:t>
      </w:r>
    </w:p>
    <w:p w14:paraId="3A63F4A5" w14:textId="1ED9A3B6" w:rsidR="00E7022E" w:rsidRPr="00EA1B0C" w:rsidRDefault="00E7022E" w:rsidP="00E7022E">
      <w:r w:rsidRPr="00EA1B0C">
        <w:t>Say you</w:t>
      </w:r>
      <w:r w:rsidR="0043033A" w:rsidRPr="00EA1B0C">
        <w:t xml:space="preserve"> are</w:t>
      </w:r>
      <w:r w:rsidRPr="00EA1B0C">
        <w:t xml:space="preserve"> an internal cloud provider, and you plan to charge per VM. You plan to have 2 classes of offerings:</w:t>
      </w:r>
    </w:p>
    <w:p w14:paraId="27AD2D11" w14:textId="29E251E7" w:rsidR="00E7022E" w:rsidRPr="00EA1B0C" w:rsidRDefault="00E7022E" w:rsidP="00E7022E">
      <w:pPr>
        <w:pStyle w:val="Bullet"/>
      </w:pPr>
      <w:r w:rsidRPr="00CD211D">
        <w:rPr>
          <w:b/>
          <w:bCs/>
        </w:rPr>
        <w:t>Gold</w:t>
      </w:r>
      <w:r w:rsidRPr="00EA1B0C">
        <w:t>: suitable for production workload</w:t>
      </w:r>
      <w:r w:rsidR="00CD211D">
        <w:t>s</w:t>
      </w:r>
      <w:r w:rsidRPr="00EA1B0C">
        <w:t>. Performance optimized.</w:t>
      </w:r>
    </w:p>
    <w:p w14:paraId="4BE6DA8A" w14:textId="22DF6157" w:rsidR="00E7022E" w:rsidRPr="00EA1B0C" w:rsidRDefault="00E7022E" w:rsidP="00E7022E">
      <w:pPr>
        <w:pStyle w:val="Bullet"/>
      </w:pPr>
      <w:r w:rsidRPr="00CD211D">
        <w:rPr>
          <w:b/>
          <w:bCs/>
        </w:rPr>
        <w:t>Silver</w:t>
      </w:r>
      <w:r w:rsidRPr="00EA1B0C">
        <w:t xml:space="preserve">: suitable for </w:t>
      </w:r>
      <w:r w:rsidR="0087318B" w:rsidRPr="00EA1B0C">
        <w:t>non-production</w:t>
      </w:r>
      <w:r w:rsidR="00CD211D">
        <w:t xml:space="preserve"> workloads</w:t>
      </w:r>
      <w:r w:rsidRPr="00EA1B0C">
        <w:t>. Cost optimized</w:t>
      </w:r>
      <w:r w:rsidR="0087318B">
        <w:t>.</w:t>
      </w:r>
    </w:p>
    <w:p w14:paraId="052D8A1B" w14:textId="77777777" w:rsidR="000F2836" w:rsidRPr="000F2836" w:rsidRDefault="000F2836" w:rsidP="000F2836">
      <w:r w:rsidRPr="000F2836">
        <w:lastRenderedPageBreak/>
        <w:t xml:space="preserve">For Gold, you plan to not overcommit CPU and RAM. If 1 CPU typically uses 4 GB RAM, then a 40-core ESXi host will only need 160 GB. If you buy a host with 1 TB RAM, then you may end up in a position where you are not able to sell the remaining 864 GB as you have no vCPU to sell. This means your hardware specification is impacted. That’s an example of how Day 2 impacts Day 0. </w:t>
      </w:r>
    </w:p>
    <w:p w14:paraId="3F17D4EC" w14:textId="77777777" w:rsidR="000F2836" w:rsidRPr="000F2836" w:rsidRDefault="000F2836" w:rsidP="000F2836">
      <w:r w:rsidRPr="000F2836">
        <w:t xml:space="preserve">For Silver, you plan to overcommit 4 : 1 for CPU and 2 : 1 for memory. </w:t>
      </w:r>
    </w:p>
    <w:p w14:paraId="10503489" w14:textId="77777777" w:rsidR="000F2836" w:rsidRPr="00305E8B" w:rsidRDefault="000F2836" w:rsidP="00305E8B">
      <w:pPr>
        <w:pStyle w:val="Bullet"/>
      </w:pPr>
      <w:r w:rsidRPr="00305E8B">
        <w:t>You assume that 1 vCPU typically uses 4 GB RAM. Your customers are allowed to buy more or less memory, so this 4 : 1 ratio between CPU and RAM are just your planning guide.</w:t>
      </w:r>
    </w:p>
    <w:p w14:paraId="6FFC143A" w14:textId="6A6CDC96" w:rsidR="000F2836" w:rsidRPr="00305E8B" w:rsidRDefault="000F2836" w:rsidP="00305E8B">
      <w:pPr>
        <w:pStyle w:val="Bullet"/>
      </w:pPr>
      <w:r w:rsidRPr="00305E8B">
        <w:t>You plan to run vSAN with dedupe + NSX + vSphere Replication. You also expect heavy IO VMs, which requires kernel processing. For all these supporting, non-business workload</w:t>
      </w:r>
      <w:r w:rsidR="00CD211D" w:rsidRPr="00305E8B">
        <w:t>s</w:t>
      </w:r>
      <w:r w:rsidRPr="00305E8B">
        <w:t>, you allocate 8 cores and 64 GB RAM.</w:t>
      </w:r>
    </w:p>
    <w:p w14:paraId="34A0F892" w14:textId="77777777" w:rsidR="000F2836" w:rsidRPr="00305E8B" w:rsidRDefault="000F2836" w:rsidP="00305E8B">
      <w:pPr>
        <w:pStyle w:val="Bullet"/>
      </w:pPr>
      <w:r w:rsidRPr="00305E8B">
        <w:t xml:space="preserve">If you buy a 64-core ESXi, you have 56 cores left and you will be able to sell 224 vCPU. </w:t>
      </w:r>
    </w:p>
    <w:p w14:paraId="1E6CCA7D" w14:textId="77777777" w:rsidR="000F2836" w:rsidRPr="00305E8B" w:rsidRDefault="000F2836" w:rsidP="00305E8B">
      <w:pPr>
        <w:pStyle w:val="Bullet"/>
      </w:pPr>
      <w:r w:rsidRPr="00305E8B">
        <w:t>These 224 vCPU will need 896 GB RAM. Since you overcommit 2 : 1, you need 448 GB for VM. Total RAM you need is 448 + 64 = 512 GB.</w:t>
      </w:r>
    </w:p>
    <w:p w14:paraId="4EA0E1E5" w14:textId="77777777" w:rsidR="000F2836" w:rsidRPr="000F2836" w:rsidRDefault="000F2836" w:rsidP="00305E8B">
      <w:pPr>
        <w:pStyle w:val="Bullet"/>
      </w:pPr>
      <w:r w:rsidRPr="00305E8B">
        <w:t>That</w:t>
      </w:r>
      <w:r w:rsidRPr="000F2836">
        <w:t xml:space="preserve"> means the hardware spec you need is 64 core and 512 GB RAM. If you buy more RAM than this, you may not be able to sell this extra RAM as you may not have vCPU to accompany them. </w:t>
      </w:r>
    </w:p>
    <w:p w14:paraId="0D06E8C8" w14:textId="07E43678" w:rsidR="000F2836" w:rsidRPr="000F2836" w:rsidRDefault="000F2836" w:rsidP="000F2836">
      <w:r w:rsidRPr="000F2836">
        <w:t xml:space="preserve">The above 2 examples show how your hardware spec can’t be decided without considering the average VM profile and the overcommit ratio you plan. </w:t>
      </w:r>
      <w:r w:rsidR="00FD227E">
        <w:t>Yes, Day 2 does dictates Day 0.</w:t>
      </w:r>
    </w:p>
    <w:p w14:paraId="5D1D0B49" w14:textId="1924F092" w:rsidR="000F2836" w:rsidRDefault="000F2836" w:rsidP="000F2836">
      <w:r>
        <w:t xml:space="preserve">You also promise the concept of Availability Zone for Gold class, as they host mission critical business services. Your company policy for </w:t>
      </w:r>
      <w:hyperlink r:id="rId42">
        <w:r w:rsidRPr="00CF74C1">
          <w:rPr>
            <w:rStyle w:val="Hyperlink"/>
            <w:color w:val="auto"/>
            <w:u w:val="none"/>
          </w:rPr>
          <w:t>Business Continuity</w:t>
        </w:r>
      </w:hyperlink>
      <w:r>
        <w:t xml:space="preserve"> dictates that in the even</w:t>
      </w:r>
      <w:r w:rsidR="00B52999">
        <w:t>t</w:t>
      </w:r>
      <w:r>
        <w:t xml:space="preserve"> of an entire cluster failure, you plan to cap the number of VMs affected. If you </w:t>
      </w:r>
      <w:r w:rsidR="00B52999">
        <w:t xml:space="preserve">limit to </w:t>
      </w:r>
      <w:r>
        <w:t xml:space="preserve">say 300 production VMs, then your cluster size </w:t>
      </w:r>
      <w:r w:rsidR="00B52999">
        <w:t xml:space="preserve">should not </w:t>
      </w:r>
      <w:r>
        <w:t>be too big</w:t>
      </w:r>
      <w:r w:rsidR="00B52999">
        <w:t xml:space="preserve"> as you won’t be able to fully utilize the resource</w:t>
      </w:r>
      <w:r>
        <w:t xml:space="preserve">. I’ve seen </w:t>
      </w:r>
      <w:r w:rsidR="005F6580">
        <w:t xml:space="preserve">multiple customers having </w:t>
      </w:r>
      <w:r>
        <w:t>32-node production clusters running 1K – 2K VM</w:t>
      </w:r>
      <w:r w:rsidR="0BEE52F3">
        <w:t>s</w:t>
      </w:r>
      <w:r>
        <w:t xml:space="preserve">. </w:t>
      </w:r>
    </w:p>
    <w:p w14:paraId="5BD8F6BC" w14:textId="3BDA6528" w:rsidR="005F6580" w:rsidRDefault="00EA73FF" w:rsidP="00E7573A">
      <w:pPr>
        <w:pStyle w:val="Heading5"/>
      </w:pPr>
      <w:r>
        <w:t>Promise vs Reality</w:t>
      </w:r>
    </w:p>
    <w:p w14:paraId="4F0DCE91" w14:textId="325B05C9" w:rsidR="00EF4748" w:rsidRDefault="005F6580" w:rsidP="000F2836">
      <w:r>
        <w:t>In a large environment, you may have the luxury of designing different infrastructure for different workload types. Common examples are</w:t>
      </w:r>
      <w:r w:rsidR="00EF4748">
        <w:t xml:space="preserve"> GPU Intensive workload, Disk Intensive, etc. If the infrastructure is superior to your standard offering, you need to be careful in setting the right expectation.</w:t>
      </w:r>
    </w:p>
    <w:p w14:paraId="68F9CE34" w14:textId="083D67F5" w:rsidR="00EF4748" w:rsidRDefault="00EF4748" w:rsidP="000F2836">
      <w:r>
        <w:t>Let’s take an example: you promise you can handle CPU Intensive workload as you’ve chosen the best CPU.</w:t>
      </w:r>
    </w:p>
    <w:p w14:paraId="36C9DC4D" w14:textId="652AFB6D" w:rsidR="00EF4748" w:rsidRDefault="00EF4748" w:rsidP="000F2836">
      <w:r>
        <w:t>Notice the issue</w:t>
      </w:r>
      <w:r w:rsidR="00AE20FF">
        <w:t>s</w:t>
      </w:r>
      <w:r>
        <w:t xml:space="preserve"> here?</w:t>
      </w:r>
    </w:p>
    <w:p w14:paraId="21493E9A" w14:textId="5FB1BB92" w:rsidR="00AE20FF" w:rsidRDefault="00AE20FF" w:rsidP="000F2836">
      <w:r>
        <w:t>There are at least 2 of them.</w:t>
      </w:r>
    </w:p>
    <w:p w14:paraId="32EC1293" w14:textId="4C5F29C6" w:rsidR="00EF4748" w:rsidRDefault="00EF4748">
      <w:pPr>
        <w:pStyle w:val="ListParagraph"/>
        <w:numPr>
          <w:ilvl w:val="0"/>
          <w:numId w:val="60"/>
        </w:numPr>
      </w:pPr>
      <w:r>
        <w:t xml:space="preserve">You probably heard of </w:t>
      </w:r>
      <w:hyperlink r:id="rId43" w:history="1">
        <w:r w:rsidRPr="00EF4748">
          <w:rPr>
            <w:rStyle w:val="Hyperlink"/>
          </w:rPr>
          <w:t>Winston Churchill</w:t>
        </w:r>
      </w:hyperlink>
      <w:r w:rsidRPr="00EF4748">
        <w:t xml:space="preserve"> </w:t>
      </w:r>
      <w:r>
        <w:t>quotation “</w:t>
      </w:r>
      <w:r w:rsidRPr="00AE20FF">
        <w:rPr>
          <w:color w:val="00B0F0"/>
        </w:rPr>
        <w:t>Sometimes doing your best is not good enough</w:t>
      </w:r>
      <w:r>
        <w:t>.” What you think is the best CPU may not be good enough for the workload, either in terms of GHz</w:t>
      </w:r>
      <w:r w:rsidR="00AE20FF">
        <w:t>, number of threads, or power efficiency. For example, if your ESXi sports a 3.8 GHz speed but the application wants 5 GHz, giving it extra vCPU does not exactly meet the requirement.</w:t>
      </w:r>
    </w:p>
    <w:p w14:paraId="79D26FB6" w14:textId="692B1F7B" w:rsidR="00AE20FF" w:rsidRDefault="00AE20FF">
      <w:pPr>
        <w:pStyle w:val="ListParagraph"/>
        <w:numPr>
          <w:ilvl w:val="0"/>
          <w:numId w:val="60"/>
        </w:numPr>
      </w:pPr>
      <w:r>
        <w:t xml:space="preserve">Assuming you pass the first issue above, how do you prove that this so-called my best CPU is actually able to handle the workload? What metrics do you use? </w:t>
      </w:r>
      <w:r w:rsidR="007C3C30">
        <w:t xml:space="preserve">Remember it’s just a CPU. All you have as metrics are just GHz and vCPU. </w:t>
      </w:r>
      <w:r>
        <w:t>If you rely on the application team metric, you need to be prepared to spend time doing testing with them. You should also apply 100% reservation to eliminate infrastructure-level contention. The problem with reservation is you cannot overcommit. It means you defeat the purpose of virtualization to begin with.</w:t>
      </w:r>
    </w:p>
    <w:p w14:paraId="1D73AAF3" w14:textId="3B1A563C" w:rsidR="007C3C30" w:rsidRDefault="007C3C30" w:rsidP="007C3C30">
      <w:r>
        <w:lastRenderedPageBreak/>
        <w:t>So what can you</w:t>
      </w:r>
      <w:r w:rsidR="00EA73FF">
        <w:t xml:space="preserve"> do</w:t>
      </w:r>
      <w:r>
        <w:t>?</w:t>
      </w:r>
    </w:p>
    <w:p w14:paraId="68B6095B" w14:textId="21E1CC38" w:rsidR="004A35CF" w:rsidRDefault="004A35CF">
      <w:pPr>
        <w:pStyle w:val="ListParagraph"/>
        <w:numPr>
          <w:ilvl w:val="0"/>
          <w:numId w:val="61"/>
        </w:numPr>
      </w:pPr>
      <w:r>
        <w:t xml:space="preserve">Set the right expectation. For example, you state that your infrastructure uses dynamic power management. In most cases, this is good for the application as they get Turbo Boost when they are running hard. In situation of light use, the application may run at lower speed. </w:t>
      </w:r>
    </w:p>
    <w:p w14:paraId="70414BEA" w14:textId="16DB4F1E" w:rsidR="00EA73FF" w:rsidRDefault="007C3C30">
      <w:pPr>
        <w:pStyle w:val="ListParagraph"/>
        <w:numPr>
          <w:ilvl w:val="0"/>
          <w:numId w:val="61"/>
        </w:numPr>
      </w:pPr>
      <w:r>
        <w:t xml:space="preserve">Do not promise something you can’t measure. </w:t>
      </w:r>
      <w:r w:rsidR="00EA73FF">
        <w:t>In this case, the main metric you want to measure is “</w:t>
      </w:r>
      <w:r w:rsidR="00EA73FF" w:rsidRPr="00EA73FF">
        <w:rPr>
          <w:color w:val="00B0F0"/>
        </w:rPr>
        <w:t>Is the CPU available when the VM asks for it</w:t>
      </w:r>
      <w:r w:rsidR="00EA73FF">
        <w:t xml:space="preserve">”. </w:t>
      </w:r>
      <w:r w:rsidR="00E42CBE">
        <w:t>Metric</w:t>
      </w:r>
      <w:r w:rsidR="00EA73FF">
        <w:t xml:space="preserve">s such as Ready, </w:t>
      </w:r>
      <w:r w:rsidR="00C730ED">
        <w:t>Co-stop</w:t>
      </w:r>
      <w:r w:rsidR="00EA73FF">
        <w:t xml:space="preserve">, Overlap, and Other Wait track this contention moments. </w:t>
      </w:r>
      <w:r w:rsidR="004A35CF">
        <w:t xml:space="preserve">You provide great observability by showing these metrics. </w:t>
      </w:r>
    </w:p>
    <w:p w14:paraId="2F8E46E8" w14:textId="112ED0E5" w:rsidR="007C3C30" w:rsidRPr="000F2836" w:rsidRDefault="00EA73FF">
      <w:pPr>
        <w:pStyle w:val="ListParagraph"/>
        <w:numPr>
          <w:ilvl w:val="0"/>
          <w:numId w:val="61"/>
        </w:numPr>
      </w:pPr>
      <w:r>
        <w:t xml:space="preserve">Measure what is relevant to your business. If what you offer (read: the SLA) does not call guarantee that the </w:t>
      </w:r>
      <w:r w:rsidRPr="00EA73FF">
        <w:rPr>
          <w:i/>
          <w:iCs/>
          <w:color w:val="00B0F0"/>
        </w:rPr>
        <w:t>whole core</w:t>
      </w:r>
      <w:r>
        <w:t xml:space="preserve"> is available to the VM, then do not measure the time the VM vCPU runs on a shared core. </w:t>
      </w:r>
    </w:p>
    <w:p w14:paraId="35D4E2CF" w14:textId="7C0F37A9" w:rsidR="003864F7" w:rsidRDefault="003864F7" w:rsidP="003864F7">
      <w:pPr>
        <w:pStyle w:val="Heading5"/>
      </w:pPr>
      <w:bookmarkStart w:id="6" w:name="_Business_Context"/>
      <w:bookmarkEnd w:id="6"/>
      <w:r w:rsidRPr="003415C3">
        <w:t xml:space="preserve">VCDX </w:t>
      </w:r>
      <w:r w:rsidRPr="00AC6E1E">
        <w:t>and</w:t>
      </w:r>
      <w:r w:rsidRPr="003415C3">
        <w:t xml:space="preserve"> VC</w:t>
      </w:r>
      <w:r>
        <w:t>T</w:t>
      </w:r>
      <w:r w:rsidRPr="003415C3">
        <w:t>X</w:t>
      </w:r>
    </w:p>
    <w:p w14:paraId="6ED74BAC" w14:textId="0052B0D1" w:rsidR="003864F7" w:rsidRDefault="003864F7" w:rsidP="003864F7">
      <w:pPr>
        <w:rPr>
          <w:lang w:val="en-GB"/>
        </w:rPr>
      </w:pPr>
      <w:r>
        <w:rPr>
          <w:lang w:val="en-GB"/>
        </w:rPr>
        <w:t xml:space="preserve">Why did we have a difference between promise and reality? </w:t>
      </w:r>
    </w:p>
    <w:p w14:paraId="7F55E9EF" w14:textId="4ACC6B3B" w:rsidR="003864F7" w:rsidRPr="003864F7" w:rsidRDefault="003864F7" w:rsidP="003864F7">
      <w:r>
        <w:rPr>
          <w:lang w:val="en-GB"/>
        </w:rPr>
        <w:t xml:space="preserve">My take is because IT Architect does not include Day 2 in the architecture. Specific to VMware, hence I’m proposing VCDX should be accompanied by VCTX. </w:t>
      </w:r>
      <w:r>
        <w:t>Designing the architecture and transforming the operations are 2 different skills</w:t>
      </w:r>
      <w:r>
        <w:rPr>
          <w:rStyle w:val="FootnoteReference"/>
        </w:rPr>
        <w:footnoteReference w:id="6"/>
      </w:r>
      <w:r>
        <w:t xml:space="preserve">. </w:t>
      </w:r>
    </w:p>
    <w:p w14:paraId="430DF298" w14:textId="77777777" w:rsidR="003864F7" w:rsidRPr="00462D7A" w:rsidRDefault="003864F7" w:rsidP="003864F7">
      <w:r>
        <w:t>As a service provider, while your technical knowledge is important, your customer measures you on your service level. While they care about your systems architecture and its technological marvel, they measure you on service quality.</w:t>
      </w:r>
    </w:p>
    <w:p w14:paraId="0920916E" w14:textId="77777777" w:rsidR="003864F7" w:rsidRPr="003415C3" w:rsidRDefault="003864F7" w:rsidP="003864F7">
      <w:pPr>
        <w:jc w:val="center"/>
      </w:pPr>
      <w:r>
        <w:rPr>
          <w:noProof/>
        </w:rPr>
        <w:drawing>
          <wp:inline distT="0" distB="0" distL="0" distR="0" wp14:anchorId="701EC1A5" wp14:editId="1FF57C17">
            <wp:extent cx="3249520" cy="1316939"/>
            <wp:effectExtent l="0" t="0" r="8255" b="0"/>
            <wp:docPr id="606394074" name="Picture 60639407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74" name="Picture 606394074" descr="Icon&#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3249520" cy="1316939"/>
                    </a:xfrm>
                    <a:prstGeom prst="rect">
                      <a:avLst/>
                    </a:prstGeom>
                  </pic:spPr>
                </pic:pic>
              </a:graphicData>
            </a:graphic>
          </wp:inline>
        </w:drawing>
      </w:r>
    </w:p>
    <w:p w14:paraId="2F9DF75C" w14:textId="77777777" w:rsidR="003864F7" w:rsidRDefault="003864F7" w:rsidP="003864F7">
      <w:r>
        <w:t xml:space="preserve">Architecture and Operations are two equally large realms. While we certainly consider Operations when designing a system, it is not a part of Architecture. This book is an example of Operations. Notice it goes deep into metrics as troubleshooting is at the heart of operations. </w:t>
      </w:r>
    </w:p>
    <w:p w14:paraId="5A274C21" w14:textId="77777777" w:rsidR="003864F7" w:rsidRPr="003415C3" w:rsidRDefault="003864F7" w:rsidP="003864F7">
      <w:r>
        <w:t xml:space="preserve">Architecture and Operations also differ in other industries. The person who designs the space shuttle is not the person operating it. You need to be an astronaut to be qualified to operate a space shuttle. The person who designs an F1 race car is not the person driving it. Different expertise is required. They complete each other and are inter-dependent, like </w:t>
      </w:r>
      <w:hyperlink r:id="rId45">
        <w:r w:rsidRPr="4C8B4F60">
          <w:rPr>
            <w:rStyle w:val="Hyperlink"/>
          </w:rPr>
          <w:t>Yin and Yang</w:t>
        </w:r>
      </w:hyperlink>
      <w:r>
        <w:t xml:space="preserve">. </w:t>
      </w:r>
    </w:p>
    <w:p w14:paraId="30A0614F" w14:textId="77777777" w:rsidR="003864F7" w:rsidRPr="003415C3" w:rsidRDefault="003864F7" w:rsidP="003864F7">
      <w:pPr>
        <w:jc w:val="center"/>
      </w:pPr>
      <w:r>
        <w:rPr>
          <w:noProof/>
        </w:rPr>
        <w:lastRenderedPageBreak/>
        <w:drawing>
          <wp:inline distT="0" distB="0" distL="0" distR="0" wp14:anchorId="48EC4778" wp14:editId="27A64AB6">
            <wp:extent cx="5767756" cy="2667848"/>
            <wp:effectExtent l="0" t="0" r="4445" b="0"/>
            <wp:docPr id="606394086" name="Picture 60639408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86" name="Picture 606394086" descr="Diagram&#10;&#10;Description automatically generated"/>
                    <pic:cNvPicPr/>
                  </pic:nvPicPr>
                  <pic:blipFill>
                    <a:blip r:embed="rId46">
                      <a:extLst>
                        <a:ext uri="{28A0092B-C50C-407E-A947-70E740481C1C}">
                          <a14:useLocalDpi xmlns:a14="http://schemas.microsoft.com/office/drawing/2010/main" val="0"/>
                        </a:ext>
                      </a:extLst>
                    </a:blip>
                    <a:stretch>
                      <a:fillRect/>
                    </a:stretch>
                  </pic:blipFill>
                  <pic:spPr>
                    <a:xfrm>
                      <a:off x="0" y="0"/>
                      <a:ext cx="5767756" cy="2667848"/>
                    </a:xfrm>
                    <a:prstGeom prst="rect">
                      <a:avLst/>
                    </a:prstGeom>
                  </pic:spPr>
                </pic:pic>
              </a:graphicData>
            </a:graphic>
          </wp:inline>
        </w:drawing>
      </w:r>
    </w:p>
    <w:p w14:paraId="13C1ECF1" w14:textId="77777777" w:rsidR="003864F7" w:rsidRPr="00433733" w:rsidRDefault="003864F7" w:rsidP="003864F7">
      <w:pPr>
        <w:rPr>
          <w:lang w:val="en-GB"/>
        </w:rPr>
      </w:pPr>
      <w:r w:rsidRPr="003415C3">
        <w:t>Since Infrastructure is becoming a service, you need to know how to architect a service (</w:t>
      </w:r>
      <w:r w:rsidRPr="00E51A31">
        <w:rPr>
          <w:lang w:val="en-GB"/>
        </w:rPr>
        <w:t>e.g.,</w:t>
      </w:r>
      <w:r w:rsidRPr="00433733">
        <w:rPr>
          <w:lang w:val="en-GB"/>
        </w:rPr>
        <w:t xml:space="preserve"> IaaS, D</w:t>
      </w:r>
      <w:r>
        <w:rPr>
          <w:lang w:val="en-GB"/>
        </w:rPr>
        <w:t xml:space="preserve">atabase </w:t>
      </w:r>
      <w:r w:rsidRPr="00433733">
        <w:rPr>
          <w:lang w:val="en-GB"/>
        </w:rPr>
        <w:t>a</w:t>
      </w:r>
      <w:r>
        <w:rPr>
          <w:lang w:val="en-GB"/>
        </w:rPr>
        <w:t xml:space="preserve">s </w:t>
      </w:r>
      <w:r w:rsidRPr="00433733">
        <w:rPr>
          <w:lang w:val="en-GB"/>
        </w:rPr>
        <w:t>a</w:t>
      </w:r>
      <w:r>
        <w:rPr>
          <w:lang w:val="en-GB"/>
        </w:rPr>
        <w:t xml:space="preserve"> </w:t>
      </w:r>
      <w:r w:rsidRPr="00433733">
        <w:rPr>
          <w:lang w:val="en-GB"/>
        </w:rPr>
        <w:t>S</w:t>
      </w:r>
      <w:r>
        <w:rPr>
          <w:lang w:val="en-GB"/>
        </w:rPr>
        <w:t>ervice</w:t>
      </w:r>
      <w:r w:rsidRPr="00433733">
        <w:rPr>
          <w:lang w:val="en-GB"/>
        </w:rPr>
        <w:t>, Desktop as a Service).</w:t>
      </w:r>
    </w:p>
    <w:p w14:paraId="11AB99D8" w14:textId="77777777" w:rsidR="003864F7" w:rsidRPr="00433733" w:rsidRDefault="003864F7" w:rsidP="003864F7">
      <w:pPr>
        <w:pStyle w:val="Bullet"/>
        <w:rPr>
          <w:lang w:val="en-GB"/>
        </w:rPr>
      </w:pPr>
      <w:r w:rsidRPr="00433733">
        <w:rPr>
          <w:lang w:val="en-GB"/>
        </w:rPr>
        <w:t xml:space="preserve">What are the services the IaaS is providing? How </w:t>
      </w:r>
      <w:r>
        <w:rPr>
          <w:lang w:val="en-GB"/>
        </w:rPr>
        <w:t xml:space="preserve">do </w:t>
      </w:r>
      <w:r w:rsidRPr="00433733">
        <w:rPr>
          <w:lang w:val="en-GB"/>
        </w:rPr>
        <w:t>you define a service?</w:t>
      </w:r>
    </w:p>
    <w:p w14:paraId="7F39A119" w14:textId="77777777" w:rsidR="003864F7" w:rsidRPr="00433733" w:rsidRDefault="003864F7" w:rsidP="003864F7">
      <w:pPr>
        <w:pStyle w:val="Bullet"/>
        <w:rPr>
          <w:lang w:val="en-GB"/>
        </w:rPr>
      </w:pPr>
      <w:r w:rsidRPr="00433733">
        <w:rPr>
          <w:lang w:val="en-GB"/>
        </w:rPr>
        <w:t>What metrics do you use to quantify its quality?</w:t>
      </w:r>
    </w:p>
    <w:p w14:paraId="60E62DAC" w14:textId="77777777" w:rsidR="003864F7" w:rsidRPr="00433733" w:rsidRDefault="003864F7" w:rsidP="003864F7">
      <w:pPr>
        <w:pStyle w:val="Bullet"/>
        <w:rPr>
          <w:lang w:val="en-GB"/>
        </w:rPr>
      </w:pPr>
      <w:r w:rsidRPr="00433733">
        <w:rPr>
          <w:lang w:val="en-GB"/>
        </w:rPr>
        <w:t>How many services? How do you distinguish between higher class service and normal one?</w:t>
      </w:r>
    </w:p>
    <w:p w14:paraId="79730768" w14:textId="77777777" w:rsidR="003864F7" w:rsidRPr="005A0540" w:rsidRDefault="003864F7" w:rsidP="003864F7">
      <w:r w:rsidRPr="00433733">
        <w:rPr>
          <w:lang w:val="en-GB"/>
        </w:rPr>
        <w:t>You also need to know what type of services are on demand. Service Architect</w:t>
      </w:r>
      <w:r>
        <w:rPr>
          <w:lang w:val="en-GB"/>
        </w:rPr>
        <w:t>s</w:t>
      </w:r>
      <w:r w:rsidRPr="00433733">
        <w:rPr>
          <w:lang w:val="en-GB"/>
        </w:rPr>
        <w:t xml:space="preserve"> go out, meet customers and understand their requirements. What </w:t>
      </w:r>
      <w:r>
        <w:rPr>
          <w:lang w:val="en-GB"/>
        </w:rPr>
        <w:t>class of services</w:t>
      </w:r>
      <w:r w:rsidRPr="00433733">
        <w:rPr>
          <w:lang w:val="en-GB"/>
        </w:rPr>
        <w:t xml:space="preserve"> are on demand</w:t>
      </w:r>
      <w:r>
        <w:rPr>
          <w:lang w:val="en-GB"/>
        </w:rPr>
        <w:t xml:space="preserve"> now and in the future</w:t>
      </w:r>
      <w:r w:rsidRPr="00433733">
        <w:rPr>
          <w:lang w:val="en-GB"/>
        </w:rPr>
        <w:t xml:space="preserve">? From there, you can architect </w:t>
      </w:r>
      <w:r w:rsidRPr="00E51A31">
        <w:rPr>
          <w:lang w:val="en-GB"/>
        </w:rPr>
        <w:t>the</w:t>
      </w:r>
      <w:r w:rsidRPr="005A0540">
        <w:t xml:space="preserve"> corresponding services</w:t>
      </w:r>
      <w:r>
        <w:t xml:space="preserve"> to anticipate the demand.</w:t>
      </w:r>
    </w:p>
    <w:p w14:paraId="4CF01E83" w14:textId="77777777" w:rsidR="003864F7" w:rsidRPr="003C18FA" w:rsidRDefault="003864F7" w:rsidP="003864F7">
      <w:r>
        <w:t>As a Business Architect, you not only know the cost of running the service, but you also know how &amp; when to break even. You are not responsible for profit and loss, as you are not the CIO or Cloud Service Provider CEO, but you do play a strategic advisor role to them. You know what to price, how to price and most importantly your price is competitive (at least you can provide the business justification).</w:t>
      </w:r>
    </w:p>
    <w:p w14:paraId="32CF59A3" w14:textId="77777777" w:rsidR="003864F7" w:rsidRDefault="003864F7" w:rsidP="003864F7">
      <w:r>
        <w:t xml:space="preserve">From my interactions with customers, I notice that Infrastructure Architects are </w:t>
      </w:r>
      <w:r w:rsidRPr="00B855F4">
        <w:rPr>
          <w:color w:val="FF0000"/>
        </w:rPr>
        <w:t xml:space="preserve">not </w:t>
      </w:r>
      <w:r>
        <w:t xml:space="preserve">leading Day 0 phase. They provide input to the Planning stage, but </w:t>
      </w:r>
      <w:r w:rsidRPr="4C8B4F60">
        <w:rPr>
          <w:lang w:val="en-GB"/>
        </w:rPr>
        <w:t>are not the lead architects</w:t>
      </w:r>
      <w:r>
        <w:t xml:space="preserve"> driving it. The Infrastructure Architect tends to focus on </w:t>
      </w:r>
      <w:r w:rsidRPr="4C8B4F60">
        <w:rPr>
          <w:color w:val="FF0000"/>
        </w:rPr>
        <w:t xml:space="preserve">technical </w:t>
      </w:r>
      <w:r>
        <w:t xml:space="preserve">bits, something that CFO and CIO value less (hence they spend less time on it). They also do not architect the operations. I see many seasoned VMware Architects not extending their influence beyond architecture. I think that’s a lost opportunity because Day 1 and Day 2 is actually part of the same side. Think of it as a </w:t>
      </w:r>
      <w:hyperlink r:id="rId47">
        <w:r w:rsidRPr="4C8B4F60">
          <w:rPr>
            <w:rStyle w:val="Hyperlink"/>
          </w:rPr>
          <w:t>Mobius strip</w:t>
        </w:r>
      </w:hyperlink>
      <w:r>
        <w:t>.</w:t>
      </w:r>
    </w:p>
    <w:p w14:paraId="57AE9815" w14:textId="77777777" w:rsidR="003864F7" w:rsidRPr="00462D7A" w:rsidRDefault="003864F7" w:rsidP="003864F7">
      <w:r w:rsidRPr="00462D7A">
        <w:t>Service Architect and Business Architect are the next steps for Infrastructure Architect.</w:t>
      </w:r>
      <w:r>
        <w:t xml:space="preserve"> I shared story “</w:t>
      </w:r>
      <w:hyperlink w:anchor="_The_Chef_and" w:history="1">
        <w:r w:rsidRPr="00EA71A3">
          <w:rPr>
            <w:rStyle w:val="Hyperlink"/>
          </w:rPr>
          <w:t>The Chef and his cooking</w:t>
        </w:r>
      </w:hyperlink>
      <w:r>
        <w:t xml:space="preserve">” back in 2014 during one of the </w:t>
      </w:r>
      <w:hyperlink r:id="rId48" w:history="1">
        <w:r w:rsidRPr="00A61474">
          <w:rPr>
            <w:rStyle w:val="Hyperlink"/>
          </w:rPr>
          <w:t>VMUG</w:t>
        </w:r>
      </w:hyperlink>
      <w:r>
        <w:t xml:space="preserve"> session.</w:t>
      </w:r>
    </w:p>
    <w:p w14:paraId="600D3D9C" w14:textId="77777777" w:rsidR="003864F7" w:rsidRDefault="003864F7" w:rsidP="003864F7">
      <w:bookmarkStart w:id="7" w:name="_The_Restaurant_Analogy"/>
      <w:bookmarkStart w:id="8" w:name="_SLA"/>
      <w:bookmarkStart w:id="9" w:name="_Service_Level_Agreement"/>
      <w:bookmarkEnd w:id="7"/>
      <w:bookmarkEnd w:id="8"/>
      <w:bookmarkEnd w:id="9"/>
      <w:r>
        <w:t xml:space="preserve">BTW, how do you know </w:t>
      </w:r>
      <w:r w:rsidRPr="0002253C">
        <w:rPr>
          <w:color w:val="00B0F0"/>
        </w:rPr>
        <w:t>who is the real architect of a system</w:t>
      </w:r>
      <w:r>
        <w:t xml:space="preserve">? Let’s say you have mega VDI system, with integrated components such as NSX, vSAN, vRealize, Horizon, thin clients, office networks and many other things. Who is the true architect of this? </w:t>
      </w:r>
    </w:p>
    <w:p w14:paraId="77017DA8" w14:textId="77777777" w:rsidR="003864F7" w:rsidRDefault="003864F7" w:rsidP="003864F7">
      <w:r>
        <w:t xml:space="preserve">My answer: </w:t>
      </w:r>
    </w:p>
    <w:p w14:paraId="0F3E9D21" w14:textId="77777777" w:rsidR="003864F7" w:rsidRDefault="003864F7" w:rsidP="003864F7">
      <w:pPr>
        <w:pStyle w:val="CodeIndent"/>
      </w:pPr>
      <w:r>
        <w:t xml:space="preserve">The owner of the hands on the keyboard figuring out the root cause when there is a massive problem that noone knows why. That’s your real architect. The team who drew the architecture diagrams are not. </w:t>
      </w:r>
    </w:p>
    <w:p w14:paraId="50002782" w14:textId="73184300" w:rsidR="00A06FDD" w:rsidRDefault="00A06FDD" w:rsidP="00AC6E1E">
      <w:pPr>
        <w:pStyle w:val="Heading4"/>
      </w:pPr>
      <w:r>
        <w:lastRenderedPageBreak/>
        <w:t xml:space="preserve">Business Context </w:t>
      </w:r>
    </w:p>
    <w:p w14:paraId="60F09911" w14:textId="7EE92579" w:rsidR="009F2D21" w:rsidRDefault="005E0E34" w:rsidP="000E5EDD">
      <w:r w:rsidRPr="00902A50">
        <w:t xml:space="preserve">It’s important to reflect the business in your operations. </w:t>
      </w:r>
      <w:r w:rsidR="00551CA1">
        <w:t xml:space="preserve">It makes the infrastructure team aware of </w:t>
      </w:r>
      <w:r w:rsidR="00431C59">
        <w:t xml:space="preserve">the context and impact to the business. </w:t>
      </w:r>
      <w:r w:rsidR="00826192">
        <w:t xml:space="preserve">In their day-to-day operations, they need to be </w:t>
      </w:r>
      <w:r w:rsidR="00F400C2">
        <w:t>Business Application and VM centric. This calls for a paradigm shift.</w:t>
      </w:r>
    </w:p>
    <w:p w14:paraId="08934F97" w14:textId="2BDF8168" w:rsidR="008E3ED6" w:rsidRPr="00902A50" w:rsidRDefault="008E3ED6" w:rsidP="008E3ED6">
      <w:r w:rsidRPr="00FF2155">
        <w:t xml:space="preserve">In your service offering, you include the ability for </w:t>
      </w:r>
      <w:r>
        <w:t xml:space="preserve">the </w:t>
      </w:r>
      <w:r w:rsidRPr="00FF2155">
        <w:t>customers to check their own VM health</w:t>
      </w:r>
      <w:r w:rsidRPr="00902A50">
        <w:t xml:space="preserve">, and how their VMs are served by the underlying platform. This means your architecture needs to know how to associate tenants with their VMs. </w:t>
      </w:r>
      <w:r w:rsidR="00A108DE">
        <w:t xml:space="preserve">At the very least, create a structure so they can browse or find their application and VM. </w:t>
      </w:r>
    </w:p>
    <w:p w14:paraId="16611A97" w14:textId="468967E5" w:rsidR="008E3ED6" w:rsidRDefault="008E3ED6" w:rsidP="008E3ED6">
      <w:r w:rsidRPr="00902A50">
        <w:t xml:space="preserve">Your CIO wants a live information projected for his peers to see on how IT is serving the business. This requires you to </w:t>
      </w:r>
      <w:r w:rsidR="00A108DE">
        <w:t xml:space="preserve">have awareness of the business units and their critical applications. </w:t>
      </w:r>
    </w:p>
    <w:p w14:paraId="514FA18B" w14:textId="3F79355E" w:rsidR="00C418E3" w:rsidRDefault="00C418E3" w:rsidP="00C418E3">
      <w:pPr>
        <w:pStyle w:val="Heading5"/>
      </w:pPr>
      <w:r>
        <w:t>Naming Convention</w:t>
      </w:r>
    </w:p>
    <w:p w14:paraId="402D0A6A" w14:textId="0E525E8A" w:rsidR="00431C59" w:rsidRDefault="008B5722" w:rsidP="000E5EDD">
      <w:r>
        <w:t>Heard of story of change was done to the wrong VM or ESXi or LUN because their names are similar</w:t>
      </w:r>
      <w:r w:rsidR="00291491">
        <w:t xml:space="preserve"> and hard to read</w:t>
      </w:r>
      <w:r>
        <w:t xml:space="preserve">? </w:t>
      </w:r>
    </w:p>
    <w:p w14:paraId="08E2BCB9" w14:textId="386C375F" w:rsidR="00866385" w:rsidRDefault="00866385" w:rsidP="000E5EDD">
      <w:r>
        <w:t xml:space="preserve">Yup. We all have been there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1C131C41" w14:textId="77777777" w:rsidR="00291491" w:rsidRDefault="00291491" w:rsidP="006E4905">
      <w:r>
        <w:t xml:space="preserve">Guidelines for naming convention: </w:t>
      </w:r>
    </w:p>
    <w:p w14:paraId="1B83A538" w14:textId="5032F141" w:rsidR="00291491" w:rsidRDefault="00291491" w:rsidP="00291491">
      <w:pPr>
        <w:pStyle w:val="Bullet"/>
      </w:pPr>
      <w:r>
        <w:t>E</w:t>
      </w:r>
      <w:r w:rsidR="006E4905" w:rsidRPr="006E4905">
        <w:t>as</w:t>
      </w:r>
      <w:r w:rsidR="006E4905">
        <w:t>y</w:t>
      </w:r>
      <w:r w:rsidR="006E4905" w:rsidRPr="006E4905">
        <w:t xml:space="preserve"> to understand</w:t>
      </w:r>
      <w:r>
        <w:t xml:space="preserve"> the business context (especially useful for new person)</w:t>
      </w:r>
    </w:p>
    <w:p w14:paraId="60BD8194" w14:textId="04883425" w:rsidR="00291491" w:rsidRDefault="00291491" w:rsidP="00291491">
      <w:pPr>
        <w:pStyle w:val="Bullet"/>
      </w:pPr>
      <w:r>
        <w:t>R</w:t>
      </w:r>
      <w:r w:rsidR="00716B6F">
        <w:t>educ</w:t>
      </w:r>
      <w:r>
        <w:t>e</w:t>
      </w:r>
      <w:r w:rsidR="00716B6F">
        <w:t xml:space="preserve"> </w:t>
      </w:r>
      <w:r w:rsidR="006E4905" w:rsidRPr="006E4905">
        <w:t>chance of making human error</w:t>
      </w:r>
      <w:r>
        <w:t xml:space="preserve"> (e.g. typo)</w:t>
      </w:r>
    </w:p>
    <w:p w14:paraId="680E0E8B" w14:textId="4725085E" w:rsidR="00291491" w:rsidRDefault="00291491" w:rsidP="00291491">
      <w:pPr>
        <w:pStyle w:val="Bullet"/>
      </w:pPr>
      <w:r>
        <w:t>R</w:t>
      </w:r>
      <w:r w:rsidR="006E4905" w:rsidRPr="006E4905">
        <w:t>eflect the criticality of the VM (class of service)</w:t>
      </w:r>
      <w:r w:rsidR="00176E97">
        <w:t xml:space="preserve"> and </w:t>
      </w:r>
    </w:p>
    <w:p w14:paraId="0F78FF4A" w14:textId="4155E571" w:rsidR="006E4905" w:rsidRPr="006E4905" w:rsidRDefault="00291491" w:rsidP="00291491">
      <w:pPr>
        <w:pStyle w:val="Bullet"/>
      </w:pPr>
      <w:r>
        <w:t>P</w:t>
      </w:r>
      <w:r w:rsidR="00176E97">
        <w:t>rovide some context (e.g. name of department owning it).</w:t>
      </w:r>
    </w:p>
    <w:p w14:paraId="4A3F35F8" w14:textId="591D33DD" w:rsidR="006E4905" w:rsidRDefault="00716B6F" w:rsidP="006E4905">
      <w:r>
        <w:t>There is n</w:t>
      </w:r>
      <w:r w:rsidR="006E4905" w:rsidRPr="006E4905">
        <w:t>o need to provide the owner information in the name as it’s already covered via custom property and vSphere folders.</w:t>
      </w:r>
    </w:p>
    <w:p w14:paraId="505B8B09" w14:textId="72A09F5F" w:rsidR="00A108DE" w:rsidRDefault="00A108DE" w:rsidP="006E4905">
      <w:r>
        <w:t xml:space="preserve">Design a naming convention for the following </w:t>
      </w:r>
    </w:p>
    <w:p w14:paraId="170EF693" w14:textId="5C558EA7" w:rsidR="00A108DE" w:rsidRDefault="00A108DE" w:rsidP="00A108DE">
      <w:pPr>
        <w:pStyle w:val="Bullet"/>
      </w:pPr>
      <w:r>
        <w:t>O</w:t>
      </w:r>
      <w:r w:rsidR="00392048">
        <w:t>S</w:t>
      </w:r>
      <w:r>
        <w:t xml:space="preserve"> hostname. Ideally there is a way to map it to the VM</w:t>
      </w:r>
      <w:r w:rsidR="00392048">
        <w:t xml:space="preserve">, so keep them fairly similar. </w:t>
      </w:r>
      <w:r w:rsidR="00392048">
        <w:br/>
        <w:t>WIN for Windows family.</w:t>
      </w:r>
      <w:r w:rsidR="00392048">
        <w:br/>
        <w:t xml:space="preserve">LNX for Linux family. Avoid LIN as that is too close to WIN, both in spelling and in pronounciation. </w:t>
      </w:r>
    </w:p>
    <w:p w14:paraId="559F726D" w14:textId="4A96A118" w:rsidR="00A108DE" w:rsidRDefault="007F4D5C" w:rsidP="00A108DE">
      <w:pPr>
        <w:pStyle w:val="Bullet"/>
      </w:pPr>
      <w:r>
        <w:t xml:space="preserve">vSphere </w:t>
      </w:r>
      <w:r w:rsidR="00A108DE">
        <w:t xml:space="preserve">VM. </w:t>
      </w:r>
    </w:p>
    <w:p w14:paraId="73D09FBA" w14:textId="1C001CF6" w:rsidR="00A108DE" w:rsidRDefault="00A108DE" w:rsidP="00A108DE">
      <w:pPr>
        <w:pStyle w:val="Bullet"/>
      </w:pPr>
      <w:r>
        <w:t>vSphere Cluster. ESXi is not so important as it’s stateless operationally.</w:t>
      </w:r>
    </w:p>
    <w:p w14:paraId="42CC7DE6" w14:textId="45D8554E" w:rsidR="00A108DE" w:rsidRDefault="00A108DE" w:rsidP="00A108DE">
      <w:pPr>
        <w:pStyle w:val="Bullet"/>
      </w:pPr>
      <w:r>
        <w:t>vSphere Datastore</w:t>
      </w:r>
    </w:p>
    <w:p w14:paraId="174D7CB6" w14:textId="2038B2C1" w:rsidR="00A108DE" w:rsidRDefault="00A108DE" w:rsidP="00A108DE">
      <w:pPr>
        <w:pStyle w:val="Bullet"/>
      </w:pPr>
      <w:r>
        <w:t>vSphere Distributed Port Group</w:t>
      </w:r>
    </w:p>
    <w:p w14:paraId="63C47562" w14:textId="1151A1AC" w:rsidR="00A108DE" w:rsidRDefault="00A108DE" w:rsidP="000E5EDD">
      <w:r>
        <w:t>The name should reflect the object. This is less important in the UI as have you the context. But in code (programming), it helps to know what object you’re dealing with</w:t>
      </w:r>
      <w:r w:rsidR="008F62A1">
        <w:t xml:space="preserve"> to reduce human error. </w:t>
      </w:r>
    </w:p>
    <w:p w14:paraId="2A9506DD" w14:textId="37917F11" w:rsidR="00431BCB" w:rsidRDefault="00431BCB" w:rsidP="000E5EDD">
      <w:r>
        <w:t>Here is naming convention I’d use for cluster and datastore name.</w:t>
      </w:r>
    </w:p>
    <w:p w14:paraId="5303C762" w14:textId="77777777" w:rsidR="00CE7780" w:rsidRDefault="00CE7780" w:rsidP="00CE7780">
      <w:pPr>
        <w:pStyle w:val="BeforeTable"/>
      </w:pPr>
    </w:p>
    <w:tbl>
      <w:tblPr>
        <w:tblStyle w:val="TableGridLight"/>
        <w:tblW w:w="10466"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664"/>
        <w:gridCol w:w="1721"/>
        <w:gridCol w:w="2384"/>
        <w:gridCol w:w="4697"/>
      </w:tblGrid>
      <w:tr w:rsidR="002517D4" w:rsidRPr="000F4D3A" w14:paraId="07DC14BB" w14:textId="77777777" w:rsidTr="002517D4">
        <w:trPr>
          <w:trHeight w:val="302"/>
          <w:jc w:val="center"/>
        </w:trPr>
        <w:tc>
          <w:tcPr>
            <w:tcW w:w="1664" w:type="dxa"/>
            <w:shd w:val="clear" w:color="auto" w:fill="F2F2F2" w:themeFill="background1" w:themeFillShade="F2"/>
          </w:tcPr>
          <w:p w14:paraId="7D5321EA" w14:textId="403A4000" w:rsidR="002517D4" w:rsidRDefault="00F73821" w:rsidP="00385EE9">
            <w:pPr>
              <w:pStyle w:val="Tableheading"/>
            </w:pPr>
            <w:r>
              <w:t>Part</w:t>
            </w:r>
          </w:p>
        </w:tc>
        <w:tc>
          <w:tcPr>
            <w:tcW w:w="1721" w:type="dxa"/>
            <w:shd w:val="clear" w:color="auto" w:fill="F2F2F2" w:themeFill="background1" w:themeFillShade="F2"/>
            <w:hideMark/>
          </w:tcPr>
          <w:p w14:paraId="3A50F616" w14:textId="67D54F61" w:rsidR="002517D4" w:rsidRPr="000F4D3A" w:rsidRDefault="002517D4" w:rsidP="00385EE9">
            <w:pPr>
              <w:pStyle w:val="Tableheading"/>
            </w:pPr>
            <w:r>
              <w:t>Value</w:t>
            </w:r>
          </w:p>
        </w:tc>
        <w:tc>
          <w:tcPr>
            <w:tcW w:w="2384" w:type="dxa"/>
            <w:shd w:val="clear" w:color="auto" w:fill="F2F2F2" w:themeFill="background1" w:themeFillShade="F2"/>
            <w:hideMark/>
          </w:tcPr>
          <w:p w14:paraId="4EFD8FBF" w14:textId="1E41C770" w:rsidR="002517D4" w:rsidRPr="000F4D3A" w:rsidRDefault="002517D4" w:rsidP="00385EE9">
            <w:pPr>
              <w:pStyle w:val="Tableheading"/>
            </w:pPr>
            <w:r>
              <w:t>Meaning</w:t>
            </w:r>
          </w:p>
        </w:tc>
        <w:tc>
          <w:tcPr>
            <w:tcW w:w="4697" w:type="dxa"/>
            <w:shd w:val="clear" w:color="auto" w:fill="F2F2F2" w:themeFill="background1" w:themeFillShade="F2"/>
            <w:hideMark/>
          </w:tcPr>
          <w:p w14:paraId="70805F7C" w14:textId="7244E419" w:rsidR="002517D4" w:rsidRPr="000F4D3A" w:rsidRDefault="002517D4" w:rsidP="00385EE9">
            <w:pPr>
              <w:pStyle w:val="Tableheading"/>
            </w:pPr>
            <w:r>
              <w:t>Reason</w:t>
            </w:r>
          </w:p>
        </w:tc>
      </w:tr>
      <w:tr w:rsidR="002517D4" w:rsidRPr="00031BD6" w14:paraId="093E509C" w14:textId="77777777" w:rsidTr="002517D4">
        <w:trPr>
          <w:trHeight w:val="171"/>
          <w:jc w:val="center"/>
        </w:trPr>
        <w:tc>
          <w:tcPr>
            <w:tcW w:w="1664" w:type="dxa"/>
          </w:tcPr>
          <w:p w14:paraId="22D32D46" w14:textId="36F0CE0E" w:rsidR="002517D4" w:rsidRPr="00031BD6" w:rsidRDefault="00F73821" w:rsidP="00031BD6">
            <w:pPr>
              <w:pStyle w:val="Tablecontent"/>
            </w:pPr>
            <w:r>
              <w:t>Purpose</w:t>
            </w:r>
          </w:p>
        </w:tc>
        <w:tc>
          <w:tcPr>
            <w:tcW w:w="1721" w:type="dxa"/>
          </w:tcPr>
          <w:p w14:paraId="21140701" w14:textId="5DA1CA1A" w:rsidR="002517D4" w:rsidRPr="00031BD6" w:rsidRDefault="002517D4" w:rsidP="00031BD6">
            <w:pPr>
              <w:pStyle w:val="Tablecontent"/>
            </w:pPr>
            <w:r w:rsidRPr="00031BD6">
              <w:t>GLD | SLV | BRZ</w:t>
            </w:r>
          </w:p>
        </w:tc>
        <w:tc>
          <w:tcPr>
            <w:tcW w:w="2384" w:type="dxa"/>
          </w:tcPr>
          <w:p w14:paraId="185D6644" w14:textId="7730A0C6" w:rsidR="002517D4" w:rsidRPr="00031BD6" w:rsidRDefault="002517D4" w:rsidP="00031BD6">
            <w:pPr>
              <w:pStyle w:val="Tablecontent"/>
            </w:pPr>
            <w:r>
              <w:t>Gold, Silver or Bronze</w:t>
            </w:r>
          </w:p>
        </w:tc>
        <w:tc>
          <w:tcPr>
            <w:tcW w:w="4697" w:type="dxa"/>
          </w:tcPr>
          <w:p w14:paraId="355B182D" w14:textId="77777777" w:rsidR="002517D4" w:rsidRDefault="00F15B33" w:rsidP="00031BD6">
            <w:pPr>
              <w:pStyle w:val="Tablecontent"/>
            </w:pPr>
            <w:r>
              <w:t>I use this as the first part of the name as it’s the most important one.</w:t>
            </w:r>
          </w:p>
          <w:p w14:paraId="5228FB52" w14:textId="403E387B" w:rsidR="00392048" w:rsidRPr="00031BD6" w:rsidRDefault="00392048" w:rsidP="00031BD6">
            <w:pPr>
              <w:pStyle w:val="Tablecontent"/>
            </w:pPr>
            <w:r>
              <w:lastRenderedPageBreak/>
              <w:t>I avoid Tier 1, Tier 2, Tier 3 as it could be unclear if Tier 1 is higher than Tier 3. Also, they also differ by 1 character.</w:t>
            </w:r>
          </w:p>
        </w:tc>
      </w:tr>
      <w:tr w:rsidR="002517D4" w:rsidRPr="00031BD6" w14:paraId="776FDF39" w14:textId="77777777" w:rsidTr="002517D4">
        <w:trPr>
          <w:trHeight w:val="50"/>
          <w:jc w:val="center"/>
        </w:trPr>
        <w:tc>
          <w:tcPr>
            <w:tcW w:w="1664" w:type="dxa"/>
          </w:tcPr>
          <w:p w14:paraId="4B3D7556" w14:textId="7BB14A53" w:rsidR="002517D4" w:rsidRPr="00031BD6" w:rsidRDefault="00F73821" w:rsidP="00031BD6">
            <w:pPr>
              <w:pStyle w:val="Tablecontent"/>
            </w:pPr>
            <w:r>
              <w:lastRenderedPageBreak/>
              <w:t>Location</w:t>
            </w:r>
          </w:p>
        </w:tc>
        <w:tc>
          <w:tcPr>
            <w:tcW w:w="1721" w:type="dxa"/>
          </w:tcPr>
          <w:p w14:paraId="3D9CE2B4" w14:textId="3B701DC5" w:rsidR="002517D4" w:rsidRPr="00031BD6" w:rsidRDefault="00F15B33" w:rsidP="00031BD6">
            <w:pPr>
              <w:pStyle w:val="Tablecontent"/>
            </w:pPr>
            <w:r>
              <w:t>SGP | SFO</w:t>
            </w:r>
          </w:p>
        </w:tc>
        <w:tc>
          <w:tcPr>
            <w:tcW w:w="2384" w:type="dxa"/>
          </w:tcPr>
          <w:p w14:paraId="46B1E4FD" w14:textId="2F05F34F" w:rsidR="002517D4" w:rsidRPr="00031BD6" w:rsidRDefault="00F73821" w:rsidP="00031BD6">
            <w:pPr>
              <w:pStyle w:val="Tablecontent"/>
            </w:pPr>
            <w:r>
              <w:t>The physical location</w:t>
            </w:r>
          </w:p>
        </w:tc>
        <w:tc>
          <w:tcPr>
            <w:tcW w:w="4697" w:type="dxa"/>
          </w:tcPr>
          <w:p w14:paraId="31AA9055" w14:textId="262ABB75" w:rsidR="002517D4" w:rsidRPr="00031BD6" w:rsidRDefault="00F73821" w:rsidP="00031BD6">
            <w:pPr>
              <w:pStyle w:val="Tablecontent"/>
            </w:pPr>
            <w:r>
              <w:t xml:space="preserve">This does not change. </w:t>
            </w:r>
            <w:r w:rsidR="008F2E5A">
              <w:t>Typically it’s a city</w:t>
            </w:r>
            <w:r w:rsidR="00C07E77">
              <w:t>.</w:t>
            </w:r>
          </w:p>
        </w:tc>
      </w:tr>
      <w:tr w:rsidR="00D731D4" w:rsidRPr="00031BD6" w14:paraId="56F47F69" w14:textId="77777777" w:rsidTr="002517D4">
        <w:trPr>
          <w:trHeight w:val="50"/>
          <w:jc w:val="center"/>
        </w:trPr>
        <w:tc>
          <w:tcPr>
            <w:tcW w:w="1664" w:type="dxa"/>
          </w:tcPr>
          <w:p w14:paraId="65186731" w14:textId="36B2D948" w:rsidR="00D731D4" w:rsidRDefault="00D731D4" w:rsidP="00031BD6">
            <w:pPr>
              <w:pStyle w:val="Tablecontent"/>
            </w:pPr>
            <w:r>
              <w:t>Environment</w:t>
            </w:r>
          </w:p>
        </w:tc>
        <w:tc>
          <w:tcPr>
            <w:tcW w:w="1721" w:type="dxa"/>
          </w:tcPr>
          <w:p w14:paraId="743BB60A" w14:textId="27CE63CE" w:rsidR="00D731D4" w:rsidRDefault="00D731D4" w:rsidP="00031BD6">
            <w:pPr>
              <w:pStyle w:val="Tablecontent"/>
            </w:pPr>
            <w:r>
              <w:t>PRD | DEV</w:t>
            </w:r>
          </w:p>
        </w:tc>
        <w:tc>
          <w:tcPr>
            <w:tcW w:w="2384" w:type="dxa"/>
          </w:tcPr>
          <w:p w14:paraId="31C38569" w14:textId="4C03854E" w:rsidR="00D731D4" w:rsidRDefault="00D731D4" w:rsidP="00031BD6">
            <w:pPr>
              <w:pStyle w:val="Tablecontent"/>
            </w:pPr>
            <w:r>
              <w:t>Production, Development</w:t>
            </w:r>
          </w:p>
        </w:tc>
        <w:tc>
          <w:tcPr>
            <w:tcW w:w="4697" w:type="dxa"/>
          </w:tcPr>
          <w:p w14:paraId="34E1D6A6" w14:textId="77A60BC3" w:rsidR="00D731D4" w:rsidRDefault="006C6512" w:rsidP="00031BD6">
            <w:pPr>
              <w:pStyle w:val="Tablecontent"/>
            </w:pPr>
            <w:r>
              <w:t>Different treatment or context.</w:t>
            </w:r>
          </w:p>
        </w:tc>
      </w:tr>
      <w:tr w:rsidR="008F2E5A" w:rsidRPr="00031BD6" w14:paraId="7C8D7E42" w14:textId="77777777" w:rsidTr="002517D4">
        <w:trPr>
          <w:trHeight w:val="50"/>
          <w:jc w:val="center"/>
        </w:trPr>
        <w:tc>
          <w:tcPr>
            <w:tcW w:w="1664" w:type="dxa"/>
          </w:tcPr>
          <w:p w14:paraId="38AA314B" w14:textId="20711922" w:rsidR="008F2E5A" w:rsidRDefault="008F2E5A" w:rsidP="00031BD6">
            <w:pPr>
              <w:pStyle w:val="Tablecontent"/>
            </w:pPr>
            <w:r>
              <w:t>Serial No</w:t>
            </w:r>
          </w:p>
        </w:tc>
        <w:tc>
          <w:tcPr>
            <w:tcW w:w="1721" w:type="dxa"/>
          </w:tcPr>
          <w:p w14:paraId="7431DD90" w14:textId="4263B409" w:rsidR="008F2E5A" w:rsidRPr="00031BD6" w:rsidRDefault="008F2E5A" w:rsidP="00031BD6">
            <w:pPr>
              <w:pStyle w:val="Tablecontent"/>
            </w:pPr>
            <w:r>
              <w:t>1</w:t>
            </w:r>
          </w:p>
        </w:tc>
        <w:tc>
          <w:tcPr>
            <w:tcW w:w="2384" w:type="dxa"/>
          </w:tcPr>
          <w:p w14:paraId="380DDCEB" w14:textId="6CF96DEF" w:rsidR="008F2E5A" w:rsidRDefault="00AA3771" w:rsidP="00031BD6">
            <w:pPr>
              <w:pStyle w:val="Tablecontent"/>
            </w:pPr>
            <w:r>
              <w:t>No meaning</w:t>
            </w:r>
          </w:p>
        </w:tc>
        <w:tc>
          <w:tcPr>
            <w:tcW w:w="4697" w:type="dxa"/>
          </w:tcPr>
          <w:p w14:paraId="06E0E3BD" w14:textId="67B6BC4E" w:rsidR="008F2E5A" w:rsidRDefault="00AA3771" w:rsidP="00031BD6">
            <w:pPr>
              <w:pStyle w:val="Tablecontent"/>
            </w:pPr>
            <w:r>
              <w:t xml:space="preserve">Just in case you need to have more than 1. </w:t>
            </w:r>
            <w:r w:rsidR="001358C7">
              <w:t>Not</w:t>
            </w:r>
            <w:r w:rsidR="00F15B33">
              <w:t>e i</w:t>
            </w:r>
            <w:r w:rsidR="001358C7">
              <w:t>f you hav</w:t>
            </w:r>
            <w:r w:rsidR="00F15B33">
              <w:t>e 3 digit it increases the chance of making a mistake. Think of a way to group them.</w:t>
            </w:r>
          </w:p>
        </w:tc>
      </w:tr>
    </w:tbl>
    <w:p w14:paraId="31BC6996" w14:textId="3BABE55E" w:rsidR="00CE7780" w:rsidRDefault="00F15B33" w:rsidP="000E5EDD">
      <w:r>
        <w:t xml:space="preserve">Using the above, you get names like </w:t>
      </w:r>
      <w:r w:rsidR="00A108DE">
        <w:t>VMW-CL</w:t>
      </w:r>
      <w:r w:rsidR="00392048">
        <w:t>S</w:t>
      </w:r>
      <w:r w:rsidR="00A108DE">
        <w:t>-</w:t>
      </w:r>
      <w:r>
        <w:t>GLD-SGP-</w:t>
      </w:r>
      <w:r w:rsidR="00D731D4">
        <w:t>DEV-</w:t>
      </w:r>
      <w:r>
        <w:t xml:space="preserve">1 for the first </w:t>
      </w:r>
      <w:r w:rsidR="00A108DE">
        <w:t xml:space="preserve">vSphere </w:t>
      </w:r>
      <w:r>
        <w:t>gold cluster in Singapore</w:t>
      </w:r>
      <w:r w:rsidR="00D731D4">
        <w:t xml:space="preserve"> serving development workload</w:t>
      </w:r>
      <w:r>
        <w:t xml:space="preserve">, and </w:t>
      </w:r>
      <w:r w:rsidR="00A108DE">
        <w:t>VMW-CL</w:t>
      </w:r>
      <w:r w:rsidR="00392048">
        <w:t>S</w:t>
      </w:r>
      <w:r w:rsidR="00A108DE">
        <w:t>-</w:t>
      </w:r>
      <w:r>
        <w:t>SLV-SFO-</w:t>
      </w:r>
      <w:r w:rsidR="00D731D4">
        <w:t>PRD-</w:t>
      </w:r>
      <w:r>
        <w:t xml:space="preserve">9 for </w:t>
      </w:r>
      <w:r w:rsidR="00D731D4">
        <w:t xml:space="preserve">production </w:t>
      </w:r>
      <w:r>
        <w:t xml:space="preserve">silver cluster no 9 in San Francisco. </w:t>
      </w:r>
      <w:r w:rsidR="00392048">
        <w:t>I added VMW as you may have non VMware (such as AWS or mainframe).</w:t>
      </w:r>
    </w:p>
    <w:p w14:paraId="6EB80DF2" w14:textId="2E35965C" w:rsidR="00EB22DA" w:rsidRDefault="00EB22DA" w:rsidP="000E5EDD">
      <w:r>
        <w:t xml:space="preserve">Don’t be hesitant to use dash or underline </w:t>
      </w:r>
      <w:r w:rsidR="003605FF">
        <w:t>as they make it easier to read.</w:t>
      </w:r>
    </w:p>
    <w:p w14:paraId="0E3976CF" w14:textId="23DE7A7F" w:rsidR="00866385" w:rsidRDefault="00D731D4" w:rsidP="000E5EDD">
      <w:r>
        <w:t xml:space="preserve">For datastore, I’d add </w:t>
      </w:r>
      <w:r w:rsidRPr="00527D6B">
        <w:rPr>
          <w:color w:val="00B0F0"/>
        </w:rPr>
        <w:t xml:space="preserve">LOCL </w:t>
      </w:r>
      <w:r>
        <w:t xml:space="preserve">for local datastore, </w:t>
      </w:r>
      <w:r w:rsidRPr="00527D6B">
        <w:rPr>
          <w:color w:val="00B0F0"/>
        </w:rPr>
        <w:t xml:space="preserve">VSAN </w:t>
      </w:r>
      <w:r>
        <w:t xml:space="preserve">for vSAN, </w:t>
      </w:r>
      <w:hyperlink r:id="rId49" w:history="1">
        <w:r w:rsidRPr="00D10A57">
          <w:rPr>
            <w:rStyle w:val="Hyperlink"/>
          </w:rPr>
          <w:t>VMFS</w:t>
        </w:r>
      </w:hyperlink>
      <w:r w:rsidRPr="00527D6B">
        <w:rPr>
          <w:color w:val="00B0F0"/>
        </w:rPr>
        <w:t xml:space="preserve"> </w:t>
      </w:r>
      <w:r>
        <w:t xml:space="preserve">for networked VMFS and </w:t>
      </w:r>
      <w:r w:rsidRPr="00527D6B">
        <w:rPr>
          <w:color w:val="00B0F0"/>
        </w:rPr>
        <w:t xml:space="preserve">NFS </w:t>
      </w:r>
      <w:r>
        <w:t>for NFS type.</w:t>
      </w:r>
      <w:r w:rsidR="00527D6B">
        <w:t xml:space="preserve"> R</w:t>
      </w:r>
      <w:r w:rsidR="00C23267">
        <w:t xml:space="preserve">aw Device Mapping </w:t>
      </w:r>
      <w:r w:rsidR="00527D6B">
        <w:t xml:space="preserve">LUN should have </w:t>
      </w:r>
      <w:r w:rsidR="007021BE">
        <w:t>RDM or VMW, whichever easier for you.</w:t>
      </w:r>
    </w:p>
    <w:p w14:paraId="0752A9BE" w14:textId="791FA742" w:rsidR="00C418E3" w:rsidRDefault="00A72946" w:rsidP="00C418E3">
      <w:pPr>
        <w:pStyle w:val="Heading5"/>
      </w:pPr>
      <w:r>
        <w:t xml:space="preserve">vSphere </w:t>
      </w:r>
      <w:r w:rsidR="00C418E3">
        <w:t>Folder Structure</w:t>
      </w:r>
    </w:p>
    <w:p w14:paraId="01C22F1B" w14:textId="007FA09A" w:rsidR="000E5EDD" w:rsidRDefault="00B77973" w:rsidP="000E5EDD">
      <w:r>
        <w:t xml:space="preserve">Infrastructure team should </w:t>
      </w:r>
      <w:r w:rsidR="002A5215" w:rsidRPr="00902A50">
        <w:t xml:space="preserve">be driven by business applications, so your IaaS needs to be designed around that. </w:t>
      </w:r>
      <w:r w:rsidR="00C048A9" w:rsidRPr="00C048A9">
        <w:t xml:space="preserve">The following structure shows Business Unit as the top folder. Each business unit can have 1 or more departments (Business Unit C spans 3 departments in the diagram below). Each department owns multiple business applications. A business application typically consists of multiple tiers (e.g. web tier, </w:t>
      </w:r>
      <w:r w:rsidR="00A565B3">
        <w:t>application</w:t>
      </w:r>
      <w:r w:rsidR="00C048A9" w:rsidRPr="00C048A9">
        <w:t xml:space="preserve"> tier, database tier).</w:t>
      </w:r>
      <w:r w:rsidR="00142DA1">
        <w:t xml:space="preserve"> </w:t>
      </w:r>
      <w:r w:rsidR="00142DA1" w:rsidRPr="00142DA1">
        <w:t>A tier is a group of VM performing the same function, running the same set of software</w:t>
      </w:r>
      <w:r w:rsidR="0031282D">
        <w:t xml:space="preserve"> and have </w:t>
      </w:r>
      <w:r w:rsidR="004602B2">
        <w:t>identical</w:t>
      </w:r>
      <w:r w:rsidR="0031282D">
        <w:t xml:space="preserve"> hardware configuration</w:t>
      </w:r>
      <w:r w:rsidR="00142DA1" w:rsidRPr="00142DA1">
        <w:t>.</w:t>
      </w:r>
      <w:r w:rsidR="00142DA1">
        <w:t xml:space="preserve"> </w:t>
      </w:r>
      <w:r w:rsidR="0031282D">
        <w:t>You expect the</w:t>
      </w:r>
      <w:r w:rsidR="00A72C3F">
        <w:t xml:space="preserve"> VMs are either scale-out (farm) or active/passive.</w:t>
      </w:r>
    </w:p>
    <w:p w14:paraId="725B50A6" w14:textId="3635CB5F" w:rsidR="001A791C" w:rsidRPr="00AF733A" w:rsidRDefault="60E8BA84" w:rsidP="000E5EDD">
      <w:r>
        <w:rPr>
          <w:noProof/>
        </w:rPr>
        <w:lastRenderedPageBreak/>
        <w:drawing>
          <wp:inline distT="0" distB="0" distL="0" distR="0" wp14:anchorId="48C7C71D" wp14:editId="14D85C3E">
            <wp:extent cx="6645910" cy="3618865"/>
            <wp:effectExtent l="0" t="0" r="2540" b="635"/>
            <wp:docPr id="606394079" name="Picture 606394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79"/>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645910" cy="3618865"/>
                    </a:xfrm>
                    <a:prstGeom prst="rect">
                      <a:avLst/>
                    </a:prstGeom>
                  </pic:spPr>
                </pic:pic>
              </a:graphicData>
            </a:graphic>
          </wp:inline>
        </w:drawing>
      </w:r>
    </w:p>
    <w:p w14:paraId="204D8F30" w14:textId="77B86723" w:rsidR="00880F12" w:rsidRDefault="00880F12" w:rsidP="00E7022E">
      <w:r>
        <w:t>The limitation of the above is reorganisation. You will need to rename, move folders to the new parent folders, and delete</w:t>
      </w:r>
      <w:r w:rsidR="007F4D5C">
        <w:t xml:space="preserve"> </w:t>
      </w:r>
      <w:r>
        <w:t>folders</w:t>
      </w:r>
      <w:r w:rsidR="007F4D5C">
        <w:t xml:space="preserve"> that are no longer relevant</w:t>
      </w:r>
      <w:r>
        <w:t xml:space="preserve">. For example, if Business Unit B merges with Business Unit C and the combined entity has a new name, then you need to rename </w:t>
      </w:r>
      <w:r w:rsidR="00CF03CD">
        <w:t xml:space="preserve">one </w:t>
      </w:r>
      <w:r>
        <w:t>of them, and delete the other.</w:t>
      </w:r>
      <w:r w:rsidR="00D84DC2">
        <w:t xml:space="preserve"> This is why I only have 2 levels of organisation in the above. Your goal is to have some level of context, not to replicate the entire organisation chart</w:t>
      </w:r>
      <w:r w:rsidR="007F4D5C">
        <w:t xml:space="preserve"> as that’s the job of HR department</w:t>
      </w:r>
      <w:r w:rsidR="007F4D5C">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7F4D5C">
        <w:t xml:space="preserve"> </w:t>
      </w:r>
    </w:p>
    <w:p w14:paraId="39CBD380" w14:textId="56D3FB96" w:rsidR="0021508D" w:rsidRDefault="0021508D" w:rsidP="00E7022E">
      <w:r>
        <w:t xml:space="preserve">The application name should be unique. If not, prefix with the department name. </w:t>
      </w:r>
    </w:p>
    <w:p w14:paraId="7859AE43" w14:textId="7F959295" w:rsidR="0021508D" w:rsidRDefault="0021508D" w:rsidP="00E7022E">
      <w:r>
        <w:t xml:space="preserve">The folder name needs to be unique. So it’s paramount to have the application name as prefix. </w:t>
      </w:r>
    </w:p>
    <w:p w14:paraId="3F59DE71" w14:textId="27E919C5" w:rsidR="0021508D" w:rsidRDefault="0021508D" w:rsidP="00E7022E">
      <w:r>
        <w:t>If you have multiple vCenter servers, the name should be consistent across all of them.</w:t>
      </w:r>
    </w:p>
    <w:p w14:paraId="53E7A8C8" w14:textId="7959BF6F" w:rsidR="004602B2" w:rsidRDefault="004602B2" w:rsidP="004602B2">
      <w:pPr>
        <w:pStyle w:val="Heading5"/>
      </w:pPr>
      <w:r>
        <w:t>Tagging</w:t>
      </w:r>
    </w:p>
    <w:p w14:paraId="0311F63F" w14:textId="49332297" w:rsidR="008E3ED6" w:rsidRPr="008E3ED6" w:rsidRDefault="008E3ED6" w:rsidP="008E3ED6">
      <w:pPr>
        <w:rPr>
          <w:lang w:val="en-GB"/>
        </w:rPr>
      </w:pPr>
      <w:r>
        <w:rPr>
          <w:lang w:val="en-GB"/>
        </w:rPr>
        <w:t>Tagging needs to be designed top down</w:t>
      </w:r>
      <w:r w:rsidR="00DD57A0">
        <w:rPr>
          <w:lang w:val="en-GB"/>
        </w:rPr>
        <w:t>, so they are complete and correct</w:t>
      </w:r>
      <w:r>
        <w:rPr>
          <w:lang w:val="en-GB"/>
        </w:rPr>
        <w:t>.</w:t>
      </w:r>
    </w:p>
    <w:p w14:paraId="3C3C08DE" w14:textId="77777777" w:rsidR="008E3ED6" w:rsidRDefault="008E3ED6" w:rsidP="008E3ED6">
      <w:pPr>
        <w:pStyle w:val="BeforeTable"/>
      </w:pPr>
    </w:p>
    <w:tbl>
      <w:tblPr>
        <w:tblW w:w="0" w:type="auto"/>
        <w:jc w:val="center"/>
        <w:tblLook w:val="04A0" w:firstRow="1" w:lastRow="0" w:firstColumn="1" w:lastColumn="0" w:noHBand="0" w:noVBand="1"/>
      </w:tblPr>
      <w:tblGrid>
        <w:gridCol w:w="1980"/>
        <w:gridCol w:w="8148"/>
      </w:tblGrid>
      <w:tr w:rsidR="008E3ED6" w14:paraId="3405EC81" w14:textId="77777777" w:rsidTr="00E440AB">
        <w:trPr>
          <w:jc w:val="center"/>
        </w:trPr>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662CF7E0" w14:textId="77777777" w:rsidR="008E3ED6" w:rsidRPr="006C194F" w:rsidRDefault="008E3ED6" w:rsidP="00E440AB">
            <w:pPr>
              <w:pStyle w:val="Tablecontent"/>
              <w:rPr>
                <w:b/>
                <w:bCs/>
              </w:rPr>
            </w:pPr>
            <w:r>
              <w:rPr>
                <w:b/>
                <w:bCs/>
              </w:rPr>
              <w:t>Department</w:t>
            </w:r>
          </w:p>
        </w:tc>
        <w:tc>
          <w:tcPr>
            <w:tcW w:w="8148" w:type="dxa"/>
            <w:tcBorders>
              <w:top w:val="single" w:sz="4" w:space="0" w:color="BFBFBF" w:themeColor="background1" w:themeShade="BF"/>
              <w:bottom w:val="single" w:sz="4" w:space="0" w:color="BFBFBF" w:themeColor="background1" w:themeShade="BF"/>
            </w:tcBorders>
          </w:tcPr>
          <w:p w14:paraId="15994558" w14:textId="035BDF4B" w:rsidR="008E3ED6" w:rsidRDefault="008E3ED6" w:rsidP="00E440AB">
            <w:pPr>
              <w:pStyle w:val="Tablecontent"/>
            </w:pPr>
            <w:r>
              <w:t>If you are using vCenter folder, then it’s automatic.</w:t>
            </w:r>
          </w:p>
        </w:tc>
      </w:tr>
      <w:tr w:rsidR="008E3ED6" w14:paraId="373190A8" w14:textId="77777777" w:rsidTr="00E440AB">
        <w:trPr>
          <w:jc w:val="center"/>
        </w:trPr>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624ED8CB" w14:textId="77777777" w:rsidR="008E3ED6" w:rsidRPr="006C194F" w:rsidRDefault="008E3ED6" w:rsidP="00E440AB">
            <w:pPr>
              <w:pStyle w:val="Tablecontent"/>
              <w:rPr>
                <w:b/>
                <w:bCs/>
              </w:rPr>
            </w:pPr>
            <w:r>
              <w:rPr>
                <w:b/>
                <w:bCs/>
              </w:rPr>
              <w:t>Owner</w:t>
            </w:r>
          </w:p>
        </w:tc>
        <w:tc>
          <w:tcPr>
            <w:tcW w:w="8148" w:type="dxa"/>
            <w:tcBorders>
              <w:top w:val="single" w:sz="4" w:space="0" w:color="BFBFBF" w:themeColor="background1" w:themeShade="BF"/>
              <w:bottom w:val="single" w:sz="4" w:space="0" w:color="BFBFBF" w:themeColor="background1" w:themeShade="BF"/>
            </w:tcBorders>
          </w:tcPr>
          <w:p w14:paraId="05DFCBFA" w14:textId="3E2AF17F" w:rsidR="008E3ED6" w:rsidRDefault="00DD57A0" w:rsidP="00E440AB">
            <w:pPr>
              <w:pStyle w:val="Tablecontent"/>
            </w:pPr>
            <w:r>
              <w:t>Name, phone and email</w:t>
            </w:r>
            <w:r w:rsidR="008E3ED6">
              <w:t>. At the very least, you need the email so system can automatically notify them</w:t>
            </w:r>
            <w:r>
              <w:t xml:space="preserve"> and ask for approval.</w:t>
            </w:r>
          </w:p>
          <w:p w14:paraId="75A0DC55" w14:textId="0A60EB46" w:rsidR="008E3ED6" w:rsidRDefault="008E3ED6" w:rsidP="00E440AB">
            <w:pPr>
              <w:pStyle w:val="Tablecontent"/>
            </w:pPr>
            <w:r>
              <w:t>For mission critical, you should have mobile number too</w:t>
            </w:r>
            <w:r w:rsidR="00DD57A0">
              <w:t xml:space="preserve"> for emergency</w:t>
            </w:r>
          </w:p>
        </w:tc>
      </w:tr>
      <w:tr w:rsidR="008E3ED6" w14:paraId="49A538CD" w14:textId="77777777" w:rsidTr="00E440AB">
        <w:trPr>
          <w:jc w:val="center"/>
        </w:trPr>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0387468A" w14:textId="77777777" w:rsidR="008E3ED6" w:rsidRDefault="008E3ED6" w:rsidP="00E440AB">
            <w:pPr>
              <w:pStyle w:val="Tablecontent"/>
              <w:rPr>
                <w:b/>
                <w:bCs/>
              </w:rPr>
            </w:pPr>
            <w:r>
              <w:rPr>
                <w:b/>
                <w:bCs/>
              </w:rPr>
              <w:t>Criticality</w:t>
            </w:r>
          </w:p>
        </w:tc>
        <w:tc>
          <w:tcPr>
            <w:tcW w:w="8148" w:type="dxa"/>
            <w:tcBorders>
              <w:top w:val="single" w:sz="4" w:space="0" w:color="BFBFBF" w:themeColor="background1" w:themeShade="BF"/>
              <w:bottom w:val="single" w:sz="4" w:space="0" w:color="BFBFBF" w:themeColor="background1" w:themeShade="BF"/>
            </w:tcBorders>
          </w:tcPr>
          <w:p w14:paraId="71701D3A" w14:textId="77777777" w:rsidR="008E3ED6" w:rsidRDefault="008E3ED6" w:rsidP="00E440AB">
            <w:pPr>
              <w:pStyle w:val="Tablecontent"/>
            </w:pPr>
            <w:r>
              <w:t>This should be inherited from the infrastructure where the VM is running.</w:t>
            </w:r>
          </w:p>
          <w:p w14:paraId="77A9D6E0" w14:textId="0264E4EB" w:rsidR="00A72946" w:rsidRDefault="00A72946" w:rsidP="00E440AB">
            <w:pPr>
              <w:pStyle w:val="Tablecontent"/>
            </w:pPr>
            <w:r>
              <w:t xml:space="preserve">Give a clear but short name such as high, medium, low. </w:t>
            </w:r>
          </w:p>
        </w:tc>
      </w:tr>
      <w:tr w:rsidR="007F4D5C" w14:paraId="3AF34FF4" w14:textId="77777777" w:rsidTr="00E440AB">
        <w:trPr>
          <w:jc w:val="center"/>
        </w:trPr>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35AF2FAB" w14:textId="732F50E5" w:rsidR="007F4D5C" w:rsidRDefault="007F4D5C" w:rsidP="00E440AB">
            <w:pPr>
              <w:pStyle w:val="Tablecontent"/>
              <w:rPr>
                <w:b/>
                <w:bCs/>
              </w:rPr>
            </w:pPr>
            <w:r>
              <w:rPr>
                <w:b/>
                <w:bCs/>
              </w:rPr>
              <w:t>Environment</w:t>
            </w:r>
          </w:p>
        </w:tc>
        <w:tc>
          <w:tcPr>
            <w:tcW w:w="8148" w:type="dxa"/>
            <w:tcBorders>
              <w:top w:val="single" w:sz="4" w:space="0" w:color="BFBFBF" w:themeColor="background1" w:themeShade="BF"/>
              <w:bottom w:val="single" w:sz="4" w:space="0" w:color="BFBFBF" w:themeColor="background1" w:themeShade="BF"/>
            </w:tcBorders>
          </w:tcPr>
          <w:p w14:paraId="1CC48A1E" w14:textId="574C808B" w:rsidR="007F4D5C" w:rsidRDefault="007F4D5C" w:rsidP="00E440AB">
            <w:pPr>
              <w:pStyle w:val="Tablecontent"/>
            </w:pPr>
            <w:r>
              <w:t>Production, QA, Test, Development</w:t>
            </w:r>
          </w:p>
        </w:tc>
      </w:tr>
    </w:tbl>
    <w:p w14:paraId="6280D9D3" w14:textId="77777777" w:rsidR="008E3ED6" w:rsidRDefault="008E3ED6" w:rsidP="008E3ED6">
      <w:pPr>
        <w:pStyle w:val="BeforeTable"/>
      </w:pPr>
    </w:p>
    <w:p w14:paraId="04316D31" w14:textId="77777777" w:rsidR="008E3ED6" w:rsidRDefault="008E3ED6" w:rsidP="008E3ED6">
      <w:r>
        <w:t>Minimally, set the following properties:</w:t>
      </w:r>
    </w:p>
    <w:p w14:paraId="773695BD" w14:textId="77777777" w:rsidR="008E3ED6" w:rsidRDefault="008E3ED6" w:rsidP="008E3ED6">
      <w:pPr>
        <w:pStyle w:val="BeforeTable"/>
      </w:pPr>
    </w:p>
    <w:tbl>
      <w:tblPr>
        <w:tblStyle w:val="TableGridLight"/>
        <w:tblW w:w="9858"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350"/>
        <w:gridCol w:w="2250"/>
        <w:gridCol w:w="6258"/>
      </w:tblGrid>
      <w:tr w:rsidR="008E3ED6" w:rsidRPr="000F4D3A" w14:paraId="3E85C814" w14:textId="77777777" w:rsidTr="00E440AB">
        <w:trPr>
          <w:trHeight w:val="302"/>
          <w:jc w:val="center"/>
        </w:trPr>
        <w:tc>
          <w:tcPr>
            <w:tcW w:w="1350" w:type="dxa"/>
            <w:shd w:val="clear" w:color="auto" w:fill="F2F2F2" w:themeFill="background1" w:themeFillShade="F2"/>
            <w:hideMark/>
          </w:tcPr>
          <w:p w14:paraId="041B628F" w14:textId="77777777" w:rsidR="008E3ED6" w:rsidRPr="000F4D3A" w:rsidRDefault="008E3ED6" w:rsidP="00E440AB">
            <w:pPr>
              <w:pStyle w:val="Tableheading"/>
            </w:pPr>
            <w:r w:rsidRPr="000F4D3A">
              <w:t>Object</w:t>
            </w:r>
          </w:p>
        </w:tc>
        <w:tc>
          <w:tcPr>
            <w:tcW w:w="2250" w:type="dxa"/>
            <w:shd w:val="clear" w:color="auto" w:fill="F2F2F2" w:themeFill="background1" w:themeFillShade="F2"/>
            <w:hideMark/>
          </w:tcPr>
          <w:p w14:paraId="29A0B4D5" w14:textId="77777777" w:rsidR="008E3ED6" w:rsidRPr="000F4D3A" w:rsidRDefault="008E3ED6" w:rsidP="00E440AB">
            <w:pPr>
              <w:pStyle w:val="Tableheading"/>
            </w:pPr>
            <w:r w:rsidRPr="000F4D3A">
              <w:t>Property</w:t>
            </w:r>
          </w:p>
        </w:tc>
        <w:tc>
          <w:tcPr>
            <w:tcW w:w="6258" w:type="dxa"/>
            <w:shd w:val="clear" w:color="auto" w:fill="F2F2F2" w:themeFill="background1" w:themeFillShade="F2"/>
            <w:hideMark/>
          </w:tcPr>
          <w:p w14:paraId="154621A7" w14:textId="77777777" w:rsidR="008E3ED6" w:rsidRPr="000F4D3A" w:rsidRDefault="008E3ED6" w:rsidP="00E440AB">
            <w:pPr>
              <w:pStyle w:val="Tableheading"/>
            </w:pPr>
            <w:r w:rsidRPr="000F4D3A">
              <w:t>Values</w:t>
            </w:r>
          </w:p>
        </w:tc>
      </w:tr>
      <w:tr w:rsidR="008E3ED6" w:rsidRPr="000F4D3A" w14:paraId="3C12BF1D" w14:textId="77777777" w:rsidTr="00E440AB">
        <w:trPr>
          <w:trHeight w:val="171"/>
          <w:jc w:val="center"/>
        </w:trPr>
        <w:tc>
          <w:tcPr>
            <w:tcW w:w="1350" w:type="dxa"/>
            <w:hideMark/>
          </w:tcPr>
          <w:p w14:paraId="2D597AE3" w14:textId="77777777" w:rsidR="008E3ED6" w:rsidRPr="00A8419C" w:rsidRDefault="008E3ED6" w:rsidP="00E440AB">
            <w:pPr>
              <w:pStyle w:val="Tablecontent"/>
              <w:rPr>
                <w:b/>
                <w:bCs/>
              </w:rPr>
            </w:pPr>
            <w:r w:rsidRPr="00A8419C">
              <w:rPr>
                <w:b/>
                <w:bCs/>
              </w:rPr>
              <w:t>Cluster</w:t>
            </w:r>
          </w:p>
        </w:tc>
        <w:tc>
          <w:tcPr>
            <w:tcW w:w="2250" w:type="dxa"/>
            <w:hideMark/>
          </w:tcPr>
          <w:p w14:paraId="5CCC2537" w14:textId="77777777" w:rsidR="008E3ED6" w:rsidRPr="000F4D3A" w:rsidRDefault="008E3ED6" w:rsidP="00E440AB">
            <w:pPr>
              <w:pStyle w:val="Tablecontent"/>
            </w:pPr>
            <w:r w:rsidRPr="000F4D3A">
              <w:t>Class of Service</w:t>
            </w:r>
          </w:p>
        </w:tc>
        <w:tc>
          <w:tcPr>
            <w:tcW w:w="6258" w:type="dxa"/>
            <w:hideMark/>
          </w:tcPr>
          <w:p w14:paraId="414CD84C" w14:textId="1FFBF4E9" w:rsidR="008E3ED6" w:rsidRPr="000F4D3A" w:rsidRDefault="008E3ED6" w:rsidP="00E440AB">
            <w:pPr>
              <w:pStyle w:val="Tablecontent"/>
            </w:pPr>
            <w:r w:rsidRPr="000F4D3A">
              <w:t>Gold, Silver, Bronze</w:t>
            </w:r>
            <w:r>
              <w:t>.</w:t>
            </w:r>
          </w:p>
        </w:tc>
      </w:tr>
      <w:tr w:rsidR="008E3ED6" w:rsidRPr="000F4D3A" w14:paraId="39883D30" w14:textId="77777777" w:rsidTr="00E440AB">
        <w:trPr>
          <w:trHeight w:val="50"/>
          <w:jc w:val="center"/>
        </w:trPr>
        <w:tc>
          <w:tcPr>
            <w:tcW w:w="1350" w:type="dxa"/>
            <w:vMerge w:val="restart"/>
            <w:hideMark/>
          </w:tcPr>
          <w:p w14:paraId="363A9DC4" w14:textId="77777777" w:rsidR="008E3ED6" w:rsidRPr="00A8419C" w:rsidRDefault="008E3ED6" w:rsidP="00E440AB">
            <w:pPr>
              <w:pStyle w:val="Tablecontent"/>
              <w:rPr>
                <w:b/>
                <w:bCs/>
              </w:rPr>
            </w:pPr>
            <w:r w:rsidRPr="00A8419C">
              <w:rPr>
                <w:b/>
                <w:bCs/>
              </w:rPr>
              <w:t>VM</w:t>
            </w:r>
          </w:p>
        </w:tc>
        <w:tc>
          <w:tcPr>
            <w:tcW w:w="2250" w:type="dxa"/>
            <w:hideMark/>
          </w:tcPr>
          <w:p w14:paraId="01C34711" w14:textId="77777777" w:rsidR="008E3ED6" w:rsidRPr="000F4D3A" w:rsidRDefault="008E3ED6" w:rsidP="00E440AB">
            <w:pPr>
              <w:pStyle w:val="Tablecontent"/>
            </w:pPr>
            <w:r w:rsidRPr="000F4D3A">
              <w:t>Class of Service</w:t>
            </w:r>
          </w:p>
        </w:tc>
        <w:tc>
          <w:tcPr>
            <w:tcW w:w="6258" w:type="dxa"/>
            <w:hideMark/>
          </w:tcPr>
          <w:p w14:paraId="3B8A0901" w14:textId="77777777" w:rsidR="008E3ED6" w:rsidRPr="000F4D3A" w:rsidRDefault="008E3ED6" w:rsidP="00E440AB">
            <w:pPr>
              <w:pStyle w:val="Tablecontent"/>
            </w:pPr>
            <w:r>
              <w:t>I</w:t>
            </w:r>
            <w:r w:rsidRPr="000F4D3A">
              <w:t>nherit</w:t>
            </w:r>
            <w:r>
              <w:t>ed</w:t>
            </w:r>
            <w:r w:rsidRPr="000F4D3A">
              <w:t xml:space="preserve"> from the cluster where the VM is running</w:t>
            </w:r>
            <w:r>
              <w:t>, so it’s automatically updated for new VM or relocated VM.</w:t>
            </w:r>
          </w:p>
        </w:tc>
      </w:tr>
      <w:tr w:rsidR="008E3ED6" w:rsidRPr="000F4D3A" w14:paraId="3C36E3EB" w14:textId="77777777" w:rsidTr="00E440AB">
        <w:trPr>
          <w:trHeight w:val="50"/>
          <w:jc w:val="center"/>
        </w:trPr>
        <w:tc>
          <w:tcPr>
            <w:tcW w:w="1350" w:type="dxa"/>
            <w:vMerge/>
            <w:hideMark/>
          </w:tcPr>
          <w:p w14:paraId="3AA03267" w14:textId="77777777" w:rsidR="008E3ED6" w:rsidRPr="00A8419C" w:rsidRDefault="008E3ED6" w:rsidP="00E440AB">
            <w:pPr>
              <w:pStyle w:val="Tablecontent"/>
              <w:rPr>
                <w:b/>
                <w:bCs/>
              </w:rPr>
            </w:pPr>
          </w:p>
        </w:tc>
        <w:tc>
          <w:tcPr>
            <w:tcW w:w="2250" w:type="dxa"/>
            <w:hideMark/>
          </w:tcPr>
          <w:p w14:paraId="2EBA7CB3" w14:textId="77777777" w:rsidR="008E3ED6" w:rsidRPr="000F4D3A" w:rsidRDefault="008E3ED6" w:rsidP="00E440AB">
            <w:pPr>
              <w:pStyle w:val="Tablecontent"/>
            </w:pPr>
            <w:r w:rsidRPr="000F4D3A">
              <w:t xml:space="preserve">Owner </w:t>
            </w:r>
          </w:p>
        </w:tc>
        <w:tc>
          <w:tcPr>
            <w:tcW w:w="6258" w:type="dxa"/>
            <w:hideMark/>
          </w:tcPr>
          <w:p w14:paraId="434EAC5A" w14:textId="77777777" w:rsidR="008E3ED6" w:rsidRPr="000F4D3A" w:rsidRDefault="008E3ED6" w:rsidP="00E440AB">
            <w:pPr>
              <w:pStyle w:val="Tablecontent"/>
            </w:pPr>
            <w:r w:rsidRPr="000F4D3A">
              <w:t>The email address. Full name may not be unique</w:t>
            </w:r>
            <w:r>
              <w:t>.</w:t>
            </w:r>
          </w:p>
        </w:tc>
      </w:tr>
      <w:tr w:rsidR="008E3ED6" w:rsidRPr="000F4D3A" w14:paraId="472E7D27" w14:textId="77777777" w:rsidTr="00E440AB">
        <w:trPr>
          <w:trHeight w:val="50"/>
          <w:jc w:val="center"/>
        </w:trPr>
        <w:tc>
          <w:tcPr>
            <w:tcW w:w="1350" w:type="dxa"/>
            <w:hideMark/>
          </w:tcPr>
          <w:p w14:paraId="20D28571" w14:textId="77777777" w:rsidR="008E3ED6" w:rsidRPr="00A8419C" w:rsidRDefault="008E3ED6" w:rsidP="00E440AB">
            <w:pPr>
              <w:pStyle w:val="Tablecontent"/>
              <w:rPr>
                <w:b/>
                <w:bCs/>
              </w:rPr>
            </w:pPr>
            <w:r w:rsidRPr="00A8419C">
              <w:rPr>
                <w:b/>
                <w:bCs/>
              </w:rPr>
              <w:t>Datastore</w:t>
            </w:r>
          </w:p>
        </w:tc>
        <w:tc>
          <w:tcPr>
            <w:tcW w:w="2250" w:type="dxa"/>
            <w:hideMark/>
          </w:tcPr>
          <w:p w14:paraId="4755F613" w14:textId="77777777" w:rsidR="008E3ED6" w:rsidRPr="000F4D3A" w:rsidRDefault="008E3ED6" w:rsidP="00E440AB">
            <w:pPr>
              <w:pStyle w:val="Tablecontent"/>
            </w:pPr>
            <w:r w:rsidRPr="000F4D3A">
              <w:t>Class of Service</w:t>
            </w:r>
          </w:p>
        </w:tc>
        <w:tc>
          <w:tcPr>
            <w:tcW w:w="6258" w:type="dxa"/>
            <w:hideMark/>
          </w:tcPr>
          <w:p w14:paraId="47CE0F51" w14:textId="77777777" w:rsidR="008E3ED6" w:rsidRPr="000F4D3A" w:rsidRDefault="008E3ED6" w:rsidP="00E440AB">
            <w:pPr>
              <w:pStyle w:val="Tablecontent"/>
            </w:pPr>
            <w:r w:rsidRPr="000F4D3A">
              <w:t>Gold, Silver, Bronze</w:t>
            </w:r>
            <w:r>
              <w:t>.</w:t>
            </w:r>
          </w:p>
        </w:tc>
      </w:tr>
    </w:tbl>
    <w:p w14:paraId="5D841C21" w14:textId="77777777" w:rsidR="008E3ED6" w:rsidRDefault="008E3ED6" w:rsidP="008E3ED6">
      <w:pPr>
        <w:pStyle w:val="BeforeTable"/>
      </w:pPr>
    </w:p>
    <w:p w14:paraId="7942D82B" w14:textId="413AE118" w:rsidR="004602B2" w:rsidRDefault="004602B2" w:rsidP="004602B2">
      <w:r>
        <w:t xml:space="preserve">Use the vRealize Operations custom property as opposed to vSphere </w:t>
      </w:r>
      <w:r w:rsidRPr="0059121C">
        <w:rPr>
          <w:color w:val="00B0F0"/>
        </w:rPr>
        <w:t xml:space="preserve">tags </w:t>
      </w:r>
      <w:r>
        <w:t xml:space="preserve">and </w:t>
      </w:r>
      <w:r w:rsidRPr="003968C2">
        <w:rPr>
          <w:color w:val="00B0F0"/>
        </w:rPr>
        <w:t>annotation</w:t>
      </w:r>
      <w:r>
        <w:t xml:space="preserve">. These 2 features were designed much earlier and have limitations, all of which were addressed </w:t>
      </w:r>
      <w:r w:rsidR="007F4D5C">
        <w:t xml:space="preserve">by </w:t>
      </w:r>
      <w:r>
        <w:t>vRealize Operations.</w:t>
      </w:r>
      <w:r w:rsidR="007F4D5C">
        <w:t xml:space="preserve"> For examples:</w:t>
      </w:r>
    </w:p>
    <w:p w14:paraId="0BDC0B0E" w14:textId="5841A977" w:rsidR="004602B2" w:rsidRDefault="004602B2" w:rsidP="004602B2">
      <w:pPr>
        <w:pStyle w:val="Bullet"/>
      </w:pPr>
      <w:r w:rsidRPr="00A13ED0">
        <w:t xml:space="preserve">Limited to vSphere only. Can’t cover </w:t>
      </w:r>
      <w:r>
        <w:t xml:space="preserve">Horizon, </w:t>
      </w:r>
      <w:r w:rsidRPr="00A13ED0">
        <w:t xml:space="preserve">AWS, Microsoft, </w:t>
      </w:r>
      <w:r w:rsidR="007F4D5C">
        <w:t xml:space="preserve">business applications, </w:t>
      </w:r>
      <w:r w:rsidRPr="00A13ED0">
        <w:t>etc.</w:t>
      </w:r>
    </w:p>
    <w:p w14:paraId="3E9BCEF7" w14:textId="77777777" w:rsidR="004602B2" w:rsidRDefault="004602B2" w:rsidP="004602B2">
      <w:pPr>
        <w:pStyle w:val="Bullet"/>
      </w:pPr>
      <w:r>
        <w:t>Historical data not kept. You don’t know what the previous values are, and when it changed.</w:t>
      </w:r>
    </w:p>
    <w:p w14:paraId="5DD58A15" w14:textId="1D73F5EE" w:rsidR="004602B2" w:rsidRPr="00A13ED0" w:rsidRDefault="004602B2" w:rsidP="004602B2">
      <w:pPr>
        <w:pStyle w:val="Bullet"/>
      </w:pPr>
      <w:r w:rsidRPr="00A13ED0">
        <w:t>No dynamic membership. Can’t auto</w:t>
      </w:r>
      <w:r w:rsidR="007F4D5C">
        <w:t>matically</w:t>
      </w:r>
      <w:r w:rsidRPr="00A13ED0">
        <w:t xml:space="preserve"> assign to objects that meet selected criteria</w:t>
      </w:r>
      <w:r w:rsidR="007F4D5C">
        <w:t xml:space="preserve">, and membership do not automatically update. </w:t>
      </w:r>
    </w:p>
    <w:p w14:paraId="2E210E89" w14:textId="77777777" w:rsidR="007F4D5C" w:rsidRDefault="004602B2" w:rsidP="00E440AB">
      <w:pPr>
        <w:pStyle w:val="Bullet"/>
      </w:pPr>
      <w:r>
        <w:t xml:space="preserve">Values are all string. </w:t>
      </w:r>
      <w:r w:rsidR="007F4D5C">
        <w:t xml:space="preserve">You </w:t>
      </w:r>
      <w:r>
        <w:t>can’t do numerical computation on them even if the values are actually numbers.</w:t>
      </w:r>
      <w:r w:rsidR="007F4D5C">
        <w:t xml:space="preserve"> </w:t>
      </w:r>
    </w:p>
    <w:p w14:paraId="38F1B6AF" w14:textId="613F3843" w:rsidR="004602B2" w:rsidRDefault="007F4D5C" w:rsidP="00E440AB">
      <w:pPr>
        <w:pStyle w:val="Bullet"/>
      </w:pPr>
      <w:r>
        <w:t>T</w:t>
      </w:r>
      <w:r w:rsidR="004602B2">
        <w:t xml:space="preserve">he value in </w:t>
      </w:r>
      <w:r w:rsidRPr="007F4D5C">
        <w:rPr>
          <w:color w:val="00B0F0"/>
        </w:rPr>
        <w:t xml:space="preserve">vSphere </w:t>
      </w:r>
      <w:r w:rsidR="004602B2" w:rsidRPr="007F4D5C">
        <w:rPr>
          <w:color w:val="00B0F0"/>
        </w:rPr>
        <w:t xml:space="preserve">annotation </w:t>
      </w:r>
      <w:r w:rsidR="004602B2">
        <w:t>is free-style string, meaning y</w:t>
      </w:r>
      <w:r w:rsidR="004602B2" w:rsidRPr="00A13ED0">
        <w:t xml:space="preserve">ou can’t control the </w:t>
      </w:r>
      <w:r w:rsidR="004602B2">
        <w:t xml:space="preserve">consistency of the content. On the other hand, </w:t>
      </w:r>
      <w:r w:rsidR="004602B2" w:rsidRPr="007F4D5C">
        <w:rPr>
          <w:color w:val="00B0F0"/>
        </w:rPr>
        <w:t xml:space="preserve">vSphere tags </w:t>
      </w:r>
      <w:r w:rsidR="004602B2">
        <w:t xml:space="preserve">have rigid value. You can’t type a value; it has to be chosen from predetermined list. </w:t>
      </w:r>
      <w:r>
        <w:t>I</w:t>
      </w:r>
      <w:r w:rsidR="004602B2">
        <w:t xml:space="preserve">t </w:t>
      </w:r>
      <w:r>
        <w:t xml:space="preserve">is not practical </w:t>
      </w:r>
      <w:r w:rsidR="004602B2">
        <w:t xml:space="preserve">with </w:t>
      </w:r>
      <w:r>
        <w:t xml:space="preserve">information such as </w:t>
      </w:r>
      <w:r w:rsidR="004602B2">
        <w:t>phone number</w:t>
      </w:r>
      <w:r>
        <w:t>, as it’s likely unique.</w:t>
      </w:r>
    </w:p>
    <w:p w14:paraId="515E4804" w14:textId="10002941" w:rsidR="0099479E" w:rsidRDefault="0099479E" w:rsidP="00E440AB">
      <w:pPr>
        <w:pStyle w:val="Bullet"/>
      </w:pPr>
      <w:r>
        <w:t xml:space="preserve">Need to maintain copies across all vCenter servers. </w:t>
      </w:r>
    </w:p>
    <w:p w14:paraId="2BFA213B" w14:textId="77777777" w:rsidR="004602B2" w:rsidRDefault="004602B2" w:rsidP="004602B2">
      <w:r>
        <w:t xml:space="preserve">The following screenshot shows how to dynamically tag all VMs that are in Gold Clusters as Gold VM. Gold Clusters are in turn a custom group whose members are clusters that provide gold class of service. </w:t>
      </w:r>
    </w:p>
    <w:p w14:paraId="35D99D1D" w14:textId="77777777" w:rsidR="004602B2" w:rsidRDefault="004602B2" w:rsidP="004602B2">
      <w:pPr>
        <w:jc w:val="center"/>
      </w:pPr>
      <w:r w:rsidRPr="002F451E">
        <w:rPr>
          <w:noProof/>
        </w:rPr>
        <w:drawing>
          <wp:inline distT="0" distB="0" distL="0" distR="0" wp14:anchorId="786D42B7" wp14:editId="12A556E0">
            <wp:extent cx="6138414" cy="2628053"/>
            <wp:effectExtent l="0" t="0" r="0" b="1270"/>
            <wp:docPr id="1859674510" name="Picture 1859674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52452" cy="2634063"/>
                    </a:xfrm>
                    <a:prstGeom prst="rect">
                      <a:avLst/>
                    </a:prstGeom>
                  </pic:spPr>
                </pic:pic>
              </a:graphicData>
            </a:graphic>
          </wp:inline>
        </w:drawing>
      </w:r>
    </w:p>
    <w:p w14:paraId="7EAE4374" w14:textId="77777777" w:rsidR="00B45B83" w:rsidRPr="00462D7A" w:rsidRDefault="00B45B83" w:rsidP="00AC6E1E">
      <w:pPr>
        <w:pStyle w:val="Heading4"/>
      </w:pPr>
      <w:r w:rsidRPr="00462D7A">
        <w:lastRenderedPageBreak/>
        <w:t>The Restaurant Analogy</w:t>
      </w:r>
    </w:p>
    <w:p w14:paraId="132CF464" w14:textId="083067EA" w:rsidR="00B45B83" w:rsidRPr="00091988" w:rsidRDefault="00000000" w:rsidP="00B45B83">
      <w:hyperlink r:id="rId52" w:history="1">
        <w:r w:rsidR="00B45B83" w:rsidRPr="00462D7A">
          <w:rPr>
            <w:rStyle w:val="Hyperlink"/>
          </w:rPr>
          <w:t>Sunny Dua</w:t>
        </w:r>
      </w:hyperlink>
      <w:r w:rsidR="00B45B83" w:rsidRPr="00091988">
        <w:rPr>
          <w:rStyle w:val="FootnoteReference"/>
          <w:lang w:val="en-GB"/>
        </w:rPr>
        <w:footnoteReference w:id="7"/>
      </w:r>
      <w:r w:rsidR="00B45B83" w:rsidRPr="00091988">
        <w:t xml:space="preserve"> and I use the restaurant analogy when explaining the need of SLA. The analogy has resonated well with many customers. Humans can always relate to food!</w:t>
      </w:r>
    </w:p>
    <w:p w14:paraId="3EA85CF2" w14:textId="77777777" w:rsidR="00B45B83" w:rsidRPr="00091988" w:rsidRDefault="00B45B83" w:rsidP="00B45B83">
      <w:r w:rsidRPr="00091988">
        <w:t>Essentially, a restaurant has 2 areas, often with a clear demarcation line:</w:t>
      </w:r>
    </w:p>
    <w:p w14:paraId="5C0287BB" w14:textId="77777777" w:rsidR="00B45B83" w:rsidRPr="00091988" w:rsidRDefault="00B45B83" w:rsidP="00B45B83">
      <w:pPr>
        <w:pStyle w:val="Bullet"/>
      </w:pPr>
      <w:r w:rsidRPr="00091988">
        <w:t xml:space="preserve">The Dining Area. </w:t>
      </w:r>
    </w:p>
    <w:p w14:paraId="681DE646" w14:textId="77777777" w:rsidR="00B45B83" w:rsidRPr="00091988" w:rsidRDefault="00B45B83" w:rsidP="00B45B83">
      <w:pPr>
        <w:pStyle w:val="Bullet"/>
      </w:pPr>
      <w:r w:rsidRPr="00091988">
        <w:t xml:space="preserve">The Kitchen. </w:t>
      </w:r>
    </w:p>
    <w:p w14:paraId="5E18075C" w14:textId="77777777" w:rsidR="00B45B83" w:rsidRPr="00091988" w:rsidRDefault="00B45B83" w:rsidP="00B45B83">
      <w:r w:rsidRPr="00091988">
        <w:t>Think of your IaaS business like a restaurant business. It has a Dining Area, where your customers live, and a Kitchen, where you prepare the food. Guess which one is more important?</w:t>
      </w:r>
    </w:p>
    <w:p w14:paraId="5ADF3EE5" w14:textId="77777777" w:rsidR="00B45B83" w:rsidRPr="00091988" w:rsidRDefault="00B45B83" w:rsidP="00B45B83">
      <w:r>
        <w:t>You are</w:t>
      </w:r>
      <w:r w:rsidRPr="00091988">
        <w:t xml:space="preserve"> right. The dining area. </w:t>
      </w:r>
    </w:p>
    <w:p w14:paraId="417CB54D" w14:textId="77777777" w:rsidR="00B45B83" w:rsidRPr="008B2816" w:rsidRDefault="00B45B83" w:rsidP="00B45B83">
      <w:r w:rsidRPr="00091988">
        <w:t xml:space="preserve">If everything runs smoothly in the dining area, customers are being served on time and on quality, and they are paying you well, it is a good day for the business. Whether </w:t>
      </w:r>
      <w:r>
        <w:t>you are</w:t>
      </w:r>
      <w:r w:rsidRPr="00091988">
        <w:t xml:space="preserve"> running around in the hot kitchen is a separate, internal matter. The customers </w:t>
      </w:r>
      <w:r>
        <w:rPr>
          <w:lang w:val="en-GB"/>
        </w:rPr>
        <w:t xml:space="preserve">do not </w:t>
      </w:r>
      <w:r w:rsidRPr="008B2816">
        <w:rPr>
          <w:lang w:val="en-GB"/>
        </w:rPr>
        <w:t xml:space="preserve">need </w:t>
      </w:r>
      <w:r>
        <w:rPr>
          <w:lang w:val="en-GB"/>
        </w:rPr>
        <w:t>to</w:t>
      </w:r>
      <w:r w:rsidRPr="008B2816">
        <w:t xml:space="preserve"> know about it. </w:t>
      </w:r>
    </w:p>
    <w:p w14:paraId="68442A34" w14:textId="0E48091C" w:rsidR="00B45B83" w:rsidRPr="008B2816" w:rsidRDefault="00B45B83" w:rsidP="00B45B83">
      <w:r w:rsidRPr="008B2816">
        <w:t xml:space="preserve">We use the analogy to drive the message that you need to focus on the customers first, and your </w:t>
      </w:r>
      <w:r w:rsidR="000A3E4E">
        <w:t>SDDC</w:t>
      </w:r>
      <w:r w:rsidRPr="008B2816">
        <w:t xml:space="preserve"> second. If you take care of your customers well, and they are happy with your service, the problem you have in your IaaS is a secondary and internal matter. </w:t>
      </w:r>
    </w:p>
    <w:p w14:paraId="1A1407ED" w14:textId="08079F29" w:rsidR="00B45B83" w:rsidRPr="008B2816" w:rsidRDefault="00B45B83" w:rsidP="00B45B83">
      <w:pPr>
        <w:pStyle w:val="Bullet"/>
      </w:pPr>
      <w:r w:rsidRPr="008B2816">
        <w:t>The “</w:t>
      </w:r>
      <w:r w:rsidRPr="005E3DF5">
        <w:rPr>
          <w:color w:val="00B0F0"/>
        </w:rPr>
        <w:t>dining area</w:t>
      </w:r>
      <w:r w:rsidRPr="008B2816">
        <w:t>” is the Consumer layer.</w:t>
      </w:r>
      <w:r w:rsidRPr="00054D41">
        <w:t xml:space="preserve"> Look at the diagram below. </w:t>
      </w:r>
      <w:r w:rsidRPr="008B2816">
        <w:t>It is where your customers’ VM</w:t>
      </w:r>
      <w:r>
        <w:rPr>
          <w:lang w:val="en-GB"/>
        </w:rPr>
        <w:t>s</w:t>
      </w:r>
      <w:r w:rsidRPr="008B2816">
        <w:t xml:space="preserve"> live.</w:t>
      </w:r>
      <w:r w:rsidR="00280BEE">
        <w:t xml:space="preserve"> In the public cloud such as AWS, that’s all you can see. </w:t>
      </w:r>
    </w:p>
    <w:p w14:paraId="0D80CC51" w14:textId="77777777" w:rsidR="00B45B83" w:rsidRDefault="00B45B83" w:rsidP="00B45B83">
      <w:pPr>
        <w:pStyle w:val="Bullet"/>
      </w:pPr>
      <w:r w:rsidRPr="008B2816">
        <w:t>The “</w:t>
      </w:r>
      <w:r w:rsidRPr="005E3DF5">
        <w:rPr>
          <w:color w:val="00B0F0"/>
        </w:rPr>
        <w:t>kitchen</w:t>
      </w:r>
      <w:r w:rsidRPr="008B2816">
        <w:t>” is the Provider Layer. This is your infrastructure layer, where VMware</w:t>
      </w:r>
      <w:r>
        <w:t xml:space="preserve"> and </w:t>
      </w:r>
      <w:r w:rsidRPr="008B2816">
        <w:t>the hardware reside.</w:t>
      </w:r>
      <w:r>
        <w:t xml:space="preserve"> </w:t>
      </w:r>
    </w:p>
    <w:p w14:paraId="212B0244" w14:textId="7A27F85F" w:rsidR="00B45B83" w:rsidRPr="008B2816" w:rsidRDefault="00B45B83" w:rsidP="00B45B83">
      <w:r>
        <w:t xml:space="preserve">Public cloud is part of the kitchen. Just because you no longer </w:t>
      </w:r>
      <w:r w:rsidR="00E33797">
        <w:t>own</w:t>
      </w:r>
      <w:r>
        <w:t xml:space="preserve"> the infrastructure does not mean you </w:t>
      </w:r>
      <w:r w:rsidR="004602B2">
        <w:t>don’t</w:t>
      </w:r>
      <w:r>
        <w:t xml:space="preserve"> take management responsibility. The structure of enterprise IT means the infrastructure team end up being held accountable.</w:t>
      </w:r>
    </w:p>
    <w:p w14:paraId="0A029F15" w14:textId="77777777" w:rsidR="00B45B83" w:rsidRDefault="00B45B83" w:rsidP="00B45B83">
      <w:pPr>
        <w:jc w:val="center"/>
      </w:pPr>
      <w:r>
        <w:rPr>
          <w:noProof/>
        </w:rPr>
        <w:drawing>
          <wp:inline distT="0" distB="0" distL="0" distR="0" wp14:anchorId="24015078" wp14:editId="4B5783D9">
            <wp:extent cx="5595474" cy="2547257"/>
            <wp:effectExtent l="0" t="0" r="5715" b="5715"/>
            <wp:docPr id="606394201" name="Picture 6063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01"/>
                    <pic:cNvPicPr/>
                  </pic:nvPicPr>
                  <pic:blipFill>
                    <a:blip r:embed="rId53">
                      <a:extLst>
                        <a:ext uri="{28A0092B-C50C-407E-A947-70E740481C1C}">
                          <a14:useLocalDpi xmlns:a14="http://schemas.microsoft.com/office/drawing/2010/main" val="0"/>
                        </a:ext>
                      </a:extLst>
                    </a:blip>
                    <a:stretch>
                      <a:fillRect/>
                    </a:stretch>
                  </pic:blipFill>
                  <pic:spPr>
                    <a:xfrm>
                      <a:off x="0" y="0"/>
                      <a:ext cx="5595474" cy="2547257"/>
                    </a:xfrm>
                    <a:prstGeom prst="rect">
                      <a:avLst/>
                    </a:prstGeom>
                  </pic:spPr>
                </pic:pic>
              </a:graphicData>
            </a:graphic>
          </wp:inline>
        </w:drawing>
      </w:r>
    </w:p>
    <w:p w14:paraId="219D9AD5" w14:textId="2803BFEE" w:rsidR="00B45B83" w:rsidRDefault="00B45B83" w:rsidP="00B45B83">
      <w:r w:rsidRPr="008B2816">
        <w:t xml:space="preserve">There is clearly a line of demarcation between the </w:t>
      </w:r>
      <w:r>
        <w:t>two</w:t>
      </w:r>
      <w:r w:rsidRPr="008B2816">
        <w:t xml:space="preserve"> layers. Your customers should not care about the details of your SDDC or EUC. The VM Owner does not care if you are firefighting in the data center. Because they do not </w:t>
      </w:r>
      <w:r w:rsidRPr="00E51A31">
        <w:rPr>
          <w:lang w:val="en-GB"/>
        </w:rPr>
        <w:t>care</w:t>
      </w:r>
      <w:r>
        <w:rPr>
          <w:lang w:val="en-GB"/>
        </w:rPr>
        <w:t>,</w:t>
      </w:r>
      <w:r w:rsidRPr="008B2816">
        <w:t xml:space="preserve"> whether you are using an older VMware Cloud Foundation or the latest</w:t>
      </w:r>
      <w:r>
        <w:t>,</w:t>
      </w:r>
      <w:r w:rsidRPr="008B2816">
        <w:t xml:space="preserve"> </w:t>
      </w:r>
      <w:r w:rsidR="00E17DBF">
        <w:t xml:space="preserve">this </w:t>
      </w:r>
      <w:r w:rsidRPr="008B2816">
        <w:t xml:space="preserve">is not something you want them to dictate </w:t>
      </w:r>
      <w:r>
        <w:t xml:space="preserve">to </w:t>
      </w:r>
      <w:r w:rsidRPr="008B2816">
        <w:t>you. The same goes with your choice of hardware brand and specification.</w:t>
      </w:r>
    </w:p>
    <w:p w14:paraId="7A9B8C73" w14:textId="3AFE2514" w:rsidR="00F839A9" w:rsidRDefault="00F839A9" w:rsidP="00B45B83">
      <w:r>
        <w:lastRenderedPageBreak/>
        <w:t xml:space="preserve">Conduct a regular session </w:t>
      </w:r>
      <w:r w:rsidR="00E17DBF">
        <w:t>with the</w:t>
      </w:r>
      <w:r>
        <w:t xml:space="preserve"> application team on the following topics:</w:t>
      </w:r>
    </w:p>
    <w:p w14:paraId="04C39C1A" w14:textId="1DEA9FBB" w:rsidR="006104AA" w:rsidRPr="006104AA" w:rsidRDefault="006104AA" w:rsidP="006104AA">
      <w:pPr>
        <w:pStyle w:val="Bullet"/>
      </w:pPr>
      <w:r>
        <w:t>How to ru</w:t>
      </w:r>
      <w:r w:rsidRPr="006104AA">
        <w:t>n best on VMware, with optimal performance</w:t>
      </w:r>
      <w:r>
        <w:t>, highest availability, most secured</w:t>
      </w:r>
      <w:r w:rsidRPr="006104AA">
        <w:t xml:space="preserve"> while keeping cost minimal</w:t>
      </w:r>
      <w:r w:rsidR="00E17DBF">
        <w:t>.</w:t>
      </w:r>
    </w:p>
    <w:p w14:paraId="5F03B670" w14:textId="07023C34" w:rsidR="006104AA" w:rsidRPr="006104AA" w:rsidRDefault="007529C8" w:rsidP="001F2731">
      <w:pPr>
        <w:pStyle w:val="Bullet"/>
      </w:pPr>
      <w:r>
        <w:t>How to monitor</w:t>
      </w:r>
      <w:r w:rsidR="006104AA" w:rsidRPr="006104AA">
        <w:t xml:space="preserve"> the </w:t>
      </w:r>
      <w:r>
        <w:t xml:space="preserve">performance, </w:t>
      </w:r>
      <w:r w:rsidR="001F2731">
        <w:t>availability and security when you’re running on VMware. How to know you’re being served well by the IaaS platform according to the promis</w:t>
      </w:r>
      <w:r w:rsidR="00D028E2">
        <w:t>ed.</w:t>
      </w:r>
    </w:p>
    <w:p w14:paraId="337FAA5E" w14:textId="7E3890BD" w:rsidR="00F839A9" w:rsidRPr="008B2816" w:rsidRDefault="00D028E2" w:rsidP="00385EE9">
      <w:pPr>
        <w:pStyle w:val="Bullet"/>
      </w:pPr>
      <w:r>
        <w:t>W</w:t>
      </w:r>
      <w:r w:rsidR="006104AA" w:rsidRPr="006104AA">
        <w:t>hy rightsized is better than oversized</w:t>
      </w:r>
      <w:r w:rsidR="00E17DBF">
        <w:t>.</w:t>
      </w:r>
    </w:p>
    <w:p w14:paraId="7DC5AE16" w14:textId="5E69D9F6" w:rsidR="007529C8" w:rsidRDefault="006104AA" w:rsidP="00B45B83">
      <w:r w:rsidRPr="006104AA">
        <w:t xml:space="preserve">Understand their expectation from infrastructure. </w:t>
      </w:r>
      <w:r w:rsidR="00D028E2">
        <w:t xml:space="preserve">In large environment, different VM Owners can have different expectation and level of knowledge. </w:t>
      </w:r>
    </w:p>
    <w:p w14:paraId="3649ABAE" w14:textId="4548327D" w:rsidR="00B45B83" w:rsidRDefault="00B45B83" w:rsidP="00B45B83">
      <w:pPr>
        <w:rPr>
          <w:lang w:val="en-GB"/>
        </w:rPr>
      </w:pPr>
      <w:r w:rsidRPr="008B2816">
        <w:t xml:space="preserve">The application team becomes a consumer of a shared service—the </w:t>
      </w:r>
      <w:r>
        <w:t>cloud</w:t>
      </w:r>
      <w:r w:rsidRPr="008B2816">
        <w:t xml:space="preserve"> platform. Depending on the SLA, the application team can be served as if they have dedicated access to the infrastructure, or they can take a performance hit in exchange for a lower price. For SLAs where performance is guaranteed, the VM running in the cluster should not be impacted by any other VMs. The performance must be as good as if it is the only VM running in the ESXi</w:t>
      </w:r>
      <w:r>
        <w:rPr>
          <w:lang w:val="en-GB"/>
        </w:rPr>
        <w:t>.</w:t>
      </w:r>
    </w:p>
    <w:p w14:paraId="434C04EF" w14:textId="77777777" w:rsidR="00B45B83" w:rsidRDefault="00B45B83" w:rsidP="00B45B83">
      <w:pPr>
        <w:jc w:val="center"/>
      </w:pPr>
      <w:r w:rsidRPr="00227C97">
        <w:rPr>
          <w:noProof/>
        </w:rPr>
        <w:drawing>
          <wp:inline distT="0" distB="0" distL="0" distR="0" wp14:anchorId="74B37441" wp14:editId="776A070D">
            <wp:extent cx="5635287" cy="1854378"/>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648663" cy="1858779"/>
                    </a:xfrm>
                    <a:prstGeom prst="rect">
                      <a:avLst/>
                    </a:prstGeom>
                  </pic:spPr>
                </pic:pic>
              </a:graphicData>
            </a:graphic>
          </wp:inline>
        </w:drawing>
      </w:r>
    </w:p>
    <w:p w14:paraId="5441048A" w14:textId="63D05F85" w:rsidR="003844C7" w:rsidRDefault="00B45B83" w:rsidP="00B45B83">
      <w:r>
        <w:t xml:space="preserve">Let’s zoom into the kitchen area, as that’s also undergoing a transformation. The Server team or Windows team or Linux team typically took the ownership of the shared platform and evolved to become the platform team. With the evolution of </w:t>
      </w:r>
      <w:hyperlink r:id="rId55" w:history="1">
        <w:r w:rsidRPr="00227C97">
          <w:rPr>
            <w:rStyle w:val="Hyperlink"/>
          </w:rPr>
          <w:t>Hyper Converged Infrastructure</w:t>
        </w:r>
      </w:hyperlink>
      <w:r>
        <w:t>, the storage is being absorbed into the platform. The boundary with the Network team is also becoming blurry with network virtualization. Many network services such a Firewall and Load Balancers are virtualized.</w:t>
      </w:r>
      <w:r w:rsidR="00514601">
        <w:t xml:space="preserve"> </w:t>
      </w:r>
      <w:r w:rsidR="003844C7">
        <w:t xml:space="preserve">Recently, with the arrival of the Kubernetes, </w:t>
      </w:r>
      <w:r w:rsidR="00BE19C8">
        <w:t>the platform team begin owning container</w:t>
      </w:r>
      <w:r w:rsidR="00E17DBF">
        <w:t>s</w:t>
      </w:r>
      <w:r w:rsidR="00BE19C8">
        <w:t xml:space="preserve"> and K8</w:t>
      </w:r>
      <w:r w:rsidR="00E17DBF">
        <w:t>s</w:t>
      </w:r>
      <w:r w:rsidR="00BE19C8">
        <w:t xml:space="preserve">, plus </w:t>
      </w:r>
      <w:r w:rsidR="003844C7">
        <w:t>there is</w:t>
      </w:r>
      <w:r w:rsidR="00BE19C8">
        <w:t xml:space="preserve"> a new team that sits in between Platform team and Application team.</w:t>
      </w:r>
    </w:p>
    <w:p w14:paraId="6200A04C" w14:textId="2A42BB36" w:rsidR="0004393C" w:rsidRPr="008B2816" w:rsidRDefault="0004393C" w:rsidP="00AC6E1E">
      <w:pPr>
        <w:pStyle w:val="Heading4"/>
      </w:pPr>
      <w:r>
        <w:t xml:space="preserve">Automate | </w:t>
      </w:r>
      <w:r w:rsidRPr="00AC6E1E">
        <w:t>Operate</w:t>
      </w:r>
    </w:p>
    <w:p w14:paraId="72B04873" w14:textId="52E63B29" w:rsidR="00BF3007" w:rsidRDefault="00BF3007" w:rsidP="00BF3007">
      <w:r>
        <w:t xml:space="preserve">Last but not least, you need to account for problem. Real problems happen in Day 2 as that’s when you have business workloads doing revenue generating transactions. Do not architect something you are not willing to troubleshoot. Think of the roles and skills required to operate your architecture. Provide the necessary visibility into each component and define what constitutes </w:t>
      </w:r>
      <w:hyperlink w:anchor="_Health_|_Risk" w:history="1">
        <w:r w:rsidRPr="00EA71A3">
          <w:rPr>
            <w:rStyle w:val="Hyperlink"/>
          </w:rPr>
          <w:t>health, risk and efficiency</w:t>
        </w:r>
      </w:hyperlink>
      <w:r>
        <w:t>.</w:t>
      </w:r>
    </w:p>
    <w:p w14:paraId="6FD84CE6" w14:textId="77777777" w:rsidR="00BF3007" w:rsidRPr="00AF733A" w:rsidRDefault="00BF3007" w:rsidP="00BF3007">
      <w:r w:rsidRPr="00AF733A">
        <w:t>I hope the above examples</w:t>
      </w:r>
      <w:r>
        <w:t xml:space="preserve"> show</w:t>
      </w:r>
      <w:r w:rsidRPr="00AF733A">
        <w:t xml:space="preserve"> that Day 2 is where you want to start. Begin with the end in mind, says a famous </w:t>
      </w:r>
      <w:hyperlink r:id="rId56" w:history="1">
        <w:r w:rsidRPr="00B106F4">
          <w:rPr>
            <w:rStyle w:val="Hyperlink"/>
          </w:rPr>
          <w:t>quote</w:t>
        </w:r>
      </w:hyperlink>
      <w:r w:rsidRPr="00AF733A">
        <w:t xml:space="preserve">. </w:t>
      </w:r>
    </w:p>
    <w:p w14:paraId="71776813" w14:textId="77777777" w:rsidR="00405E87" w:rsidRPr="002332D1" w:rsidRDefault="00405E87" w:rsidP="00405E87">
      <w:r>
        <w:t>Did you n</w:t>
      </w:r>
      <w:r w:rsidRPr="00AF733A">
        <w:t>otice something missing in the discussion above?</w:t>
      </w:r>
      <w:r w:rsidRPr="002332D1">
        <w:t xml:space="preserve"> </w:t>
      </w:r>
    </w:p>
    <w:p w14:paraId="57FF3206" w14:textId="77777777" w:rsidR="00405E87" w:rsidRDefault="00405E87" w:rsidP="00405E87">
      <w:r w:rsidRPr="002332D1">
        <w:lastRenderedPageBreak/>
        <w:t xml:space="preserve">Yes, I did not cover </w:t>
      </w:r>
      <w:r w:rsidRPr="003C358A">
        <w:rPr>
          <w:rStyle w:val="Strong"/>
          <w:color w:val="00B0F0"/>
        </w:rPr>
        <w:t>Automation</w:t>
      </w:r>
      <w:r w:rsidRPr="002332D1">
        <w:t xml:space="preserve">. </w:t>
      </w:r>
    </w:p>
    <w:p w14:paraId="742EF34F" w14:textId="77777777" w:rsidR="00405E87" w:rsidRDefault="00405E87" w:rsidP="00405E87">
      <w:r>
        <w:t xml:space="preserve">Why is that? </w:t>
      </w:r>
    </w:p>
    <w:p w14:paraId="48390374" w14:textId="4D0F3FF9" w:rsidR="00405E87" w:rsidRDefault="00405E87" w:rsidP="00405E87">
      <w:r>
        <w:t xml:space="preserve">For me, that’s part of Architecture. You should not automate what you cannot </w:t>
      </w:r>
      <w:r w:rsidR="00416DD1">
        <w:t xml:space="preserve">even </w:t>
      </w:r>
      <w:r>
        <w:t xml:space="preserve">operate. </w:t>
      </w:r>
      <w:r w:rsidRPr="4C8B4F60">
        <w:rPr>
          <w:lang w:val="en-GB"/>
        </w:rPr>
        <w:t xml:space="preserve">So, automation is not part of operations. Automation is a feature of your Architecture, meaning you design the system with automation in mind. Using an analogy, it’s like a plane with many automation features. Fly-by-wire. That’s a </w:t>
      </w:r>
      <w:r w:rsidRPr="004D4325">
        <w:rPr>
          <w:i/>
          <w:iCs/>
          <w:color w:val="00B0F0"/>
          <w:lang w:val="en-GB"/>
        </w:rPr>
        <w:t>feature</w:t>
      </w:r>
      <w:r w:rsidRPr="004D4325">
        <w:rPr>
          <w:color w:val="00B0F0"/>
          <w:lang w:val="en-GB"/>
        </w:rPr>
        <w:t xml:space="preserve"> </w:t>
      </w:r>
      <w:r w:rsidRPr="4C8B4F60">
        <w:rPr>
          <w:lang w:val="en-GB"/>
        </w:rPr>
        <w:t>of the plane. How you operate the plane,</w:t>
      </w:r>
      <w:r>
        <w:t xml:space="preserve"> so passengers arrive at the destination safely, comfortably</w:t>
      </w:r>
      <w:r w:rsidR="004D4325">
        <w:t xml:space="preserve">, </w:t>
      </w:r>
      <w:r>
        <w:t>timely</w:t>
      </w:r>
      <w:r w:rsidR="004D4325">
        <w:t xml:space="preserve"> and fresh</w:t>
      </w:r>
      <w:r>
        <w:t>, that’s operation.</w:t>
      </w:r>
    </w:p>
    <w:p w14:paraId="642F1FB1" w14:textId="75A69D5C" w:rsidR="004D4325" w:rsidRDefault="004D4325" w:rsidP="00405E87">
      <w:r>
        <w:t xml:space="preserve">In terms of transformation journey, automation should be placed last. </w:t>
      </w:r>
    </w:p>
    <w:p w14:paraId="13EFC810" w14:textId="0DCA772B" w:rsidR="001045EE" w:rsidRPr="003415C3" w:rsidRDefault="001045EE" w:rsidP="00405E87">
      <w:r w:rsidRPr="001045EE">
        <w:rPr>
          <w:noProof/>
        </w:rPr>
        <w:drawing>
          <wp:inline distT="0" distB="0" distL="0" distR="0" wp14:anchorId="2B4A5276" wp14:editId="15FDB4F4">
            <wp:extent cx="6645910" cy="2636520"/>
            <wp:effectExtent l="0" t="0" r="2540" b="0"/>
            <wp:docPr id="1085195923" name="Picture 1085195923" descr="Timeli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23" name="Picture 1085195923" descr="Timeline&#10;&#10;Description automatically generated with medium confidence"/>
                    <pic:cNvPicPr/>
                  </pic:nvPicPr>
                  <pic:blipFill>
                    <a:blip r:embed="rId57"/>
                    <a:stretch>
                      <a:fillRect/>
                    </a:stretch>
                  </pic:blipFill>
                  <pic:spPr>
                    <a:xfrm>
                      <a:off x="0" y="0"/>
                      <a:ext cx="6645910" cy="2636520"/>
                    </a:xfrm>
                    <a:prstGeom prst="rect">
                      <a:avLst/>
                    </a:prstGeom>
                  </pic:spPr>
                </pic:pic>
              </a:graphicData>
            </a:graphic>
          </wp:inline>
        </w:drawing>
      </w:r>
    </w:p>
    <w:p w14:paraId="0B1FE637" w14:textId="6EC2D076" w:rsidR="004911E5" w:rsidRDefault="00A91255" w:rsidP="00A91255">
      <w:pPr>
        <w:pStyle w:val="Heading4"/>
      </w:pPr>
      <w:r>
        <w:t>Observability</w:t>
      </w:r>
    </w:p>
    <w:p w14:paraId="59A2FFBB" w14:textId="1ED0BF0F" w:rsidR="006A7218" w:rsidRDefault="006A7218" w:rsidP="006A7218">
      <w:r>
        <w:t xml:space="preserve">Observability needs to be built-in, not bolted-on, in your architecture. That means ensuring it can be monitored clearly, down to the smallest component. </w:t>
      </w:r>
      <w:hyperlink r:id="rId58" w:history="1">
        <w:r w:rsidRPr="00894171">
          <w:rPr>
            <w:rStyle w:val="Hyperlink"/>
          </w:rPr>
          <w:t>Anthony Hodge</w:t>
        </w:r>
      </w:hyperlink>
      <w:r>
        <w:t xml:space="preserve"> told me years ago, back when I was a presale, that vendors should not put system into production that can’t be monitored. Sadly, this is typically the last thing in our IT industry, especially with tight deadline, limited skills and low budget. Many applications, software and hardware do not systematically leave trail for post-mortem analysis with deep context. As a result, all you can do is function tracing and log reading, which are hard to do, not to mention intrusive.</w:t>
      </w:r>
      <w:r w:rsidR="00470AFF">
        <w:t xml:space="preserve"> BTW, function tracing can be traced back (pun intended) to Solaris 10 </w:t>
      </w:r>
      <w:hyperlink r:id="rId59" w:history="1">
        <w:r w:rsidR="00470AFF" w:rsidRPr="00A20B96">
          <w:rPr>
            <w:rStyle w:val="Hyperlink"/>
          </w:rPr>
          <w:t>Dtrace</w:t>
        </w:r>
      </w:hyperlink>
      <w:r w:rsidR="00470AFF">
        <w:t xml:space="preserve">, back to 2005! </w:t>
      </w:r>
    </w:p>
    <w:p w14:paraId="436532D6" w14:textId="369451AC" w:rsidR="006A7218" w:rsidRDefault="006A7218" w:rsidP="006A7218">
      <w:r>
        <w:t>To “</w:t>
      </w:r>
      <w:r w:rsidRPr="006A7218">
        <w:rPr>
          <w:color w:val="00B0F0"/>
        </w:rPr>
        <w:t>solve</w:t>
      </w:r>
      <w:r>
        <w:t xml:space="preserve">” the above problem, our IT industry came up with new buzzwords and make them larger than life. You hear jargons such as unknown unknown, golden signal, SLO, </w:t>
      </w:r>
      <w:r w:rsidR="00622F47">
        <w:t xml:space="preserve">reliability </w:t>
      </w:r>
      <w:r>
        <w:t>and how observability is more than monitoring + troubleshooting.</w:t>
      </w:r>
    </w:p>
    <w:p w14:paraId="7C25C323" w14:textId="0FE33547" w:rsidR="00DF0AA8" w:rsidRDefault="00922BB2" w:rsidP="00A91255">
      <w:r>
        <w:lastRenderedPageBreak/>
        <w:t>It is certainly</w:t>
      </w:r>
      <w:r w:rsidR="004401DD">
        <w:t xml:space="preserve"> </w:t>
      </w:r>
      <w:r w:rsidR="006A7218">
        <w:t xml:space="preserve">important </w:t>
      </w:r>
      <w:r>
        <w:t xml:space="preserve">to elevate the proactive work to detect unknown problems that you are not even aware of. </w:t>
      </w:r>
      <w:r w:rsidR="008651BF">
        <w:t xml:space="preserve">I love slicing and dicing </w:t>
      </w:r>
      <w:r w:rsidR="001F2BD3">
        <w:t>millions of data points (metrics, logs, events</w:t>
      </w:r>
      <w:r w:rsidR="005D2523">
        <w:t>, trace, netflow</w:t>
      </w:r>
      <w:r w:rsidR="001F2BD3">
        <w:t>) and discover new insight. I</w:t>
      </w:r>
      <w:r w:rsidR="00AA01F2">
        <w:t xml:space="preserve">t also helps me </w:t>
      </w:r>
      <w:r w:rsidR="000731CD">
        <w:t>understanding</w:t>
      </w:r>
      <w:r w:rsidR="00AA01F2">
        <w:t xml:space="preserve"> the behaviour of </w:t>
      </w:r>
      <w:r w:rsidR="00AA0468">
        <w:t>low-level</w:t>
      </w:r>
      <w:r w:rsidR="00AA01F2">
        <w:t xml:space="preserve"> metrics better. </w:t>
      </w:r>
      <w:r w:rsidR="009243D8">
        <w:t>Many times</w:t>
      </w:r>
      <w:r w:rsidR="00AA0468">
        <w:t xml:space="preserve">, they are not what the manual </w:t>
      </w:r>
      <w:r w:rsidR="00E84A33">
        <w:t>says</w:t>
      </w:r>
      <w:r w:rsidR="009243D8">
        <w:t xml:space="preserve"> as documentation on metrics are often not deep.</w:t>
      </w:r>
      <w:r w:rsidR="00AA0468">
        <w:t xml:space="preserve"> </w:t>
      </w:r>
      <w:r w:rsidR="008749AC">
        <w:t xml:space="preserve">I’ve </w:t>
      </w:r>
      <w:r w:rsidR="00E12A08">
        <w:t xml:space="preserve">discovered a few dozen bugs in the metrics in the last </w:t>
      </w:r>
      <w:r w:rsidR="006A7218">
        <w:t xml:space="preserve">1+ </w:t>
      </w:r>
      <w:r w:rsidR="00DF0AA8">
        <w:t xml:space="preserve">decade. </w:t>
      </w:r>
      <w:r w:rsidR="002A41A0">
        <w:t>In the 1</w:t>
      </w:r>
      <w:r w:rsidR="002A41A0" w:rsidRPr="002A41A0">
        <w:rPr>
          <w:vertAlign w:val="superscript"/>
        </w:rPr>
        <w:t>st</w:t>
      </w:r>
      <w:r w:rsidR="002A41A0">
        <w:t xml:space="preserve"> Edition of my book, published back in 2014, I wrote that </w:t>
      </w:r>
      <w:hyperlink r:id="rId60" w:history="1">
        <w:r w:rsidR="00BF4061" w:rsidRPr="004F4463">
          <w:rPr>
            <w:rStyle w:val="Hyperlink"/>
          </w:rPr>
          <w:t>Ronald Buder</w:t>
        </w:r>
      </w:hyperlink>
      <w:r w:rsidR="002A41A0">
        <w:t xml:space="preserve"> </w:t>
      </w:r>
      <w:r w:rsidR="009443DB">
        <w:t xml:space="preserve">saw vCenter Operations (as it was called back then) as a big data tool, as he could slice and dice. </w:t>
      </w:r>
      <w:r w:rsidR="001E7CC3">
        <w:t xml:space="preserve">That’s one way I use Log Insight and vRealize </w:t>
      </w:r>
      <w:r w:rsidR="00E84A33">
        <w:t>Operations.</w:t>
      </w:r>
    </w:p>
    <w:p w14:paraId="0ACC37F3" w14:textId="1AB9D652" w:rsidR="00BB519B" w:rsidRDefault="00850842" w:rsidP="00A91255">
      <w:r>
        <w:t xml:space="preserve">CIO should not </w:t>
      </w:r>
      <w:r w:rsidR="00A564D4">
        <w:t xml:space="preserve">only </w:t>
      </w:r>
      <w:r>
        <w:t>encourage, but</w:t>
      </w:r>
      <w:r w:rsidR="00D166FC">
        <w:t xml:space="preserve"> also</w:t>
      </w:r>
      <w:r>
        <w:t xml:space="preserve"> </w:t>
      </w:r>
      <w:r w:rsidR="00A564D4">
        <w:t>require</w:t>
      </w:r>
      <w:r w:rsidR="00E84A33">
        <w:t>s</w:t>
      </w:r>
      <w:r w:rsidR="00A564D4">
        <w:t xml:space="preserve"> the subject matter experts to allocate time in this proactive research. </w:t>
      </w:r>
      <w:r w:rsidR="00470AFF">
        <w:t xml:space="preserve">It should be part of regular cadence to share the work and finding. </w:t>
      </w:r>
      <w:r w:rsidR="00DF0AA8">
        <w:t xml:space="preserve">It’s both a good exercise to keep the knowledge deep, </w:t>
      </w:r>
      <w:r w:rsidR="006C314E">
        <w:t>plus y</w:t>
      </w:r>
      <w:r w:rsidR="00D166FC">
        <w:t xml:space="preserve">ou never know what you will discover! </w:t>
      </w:r>
    </w:p>
    <w:p w14:paraId="73FD89F4" w14:textId="3152AC66" w:rsidR="006C314E" w:rsidRDefault="006C314E" w:rsidP="00A91255">
      <w:r>
        <w:t xml:space="preserve">Having said that, do we need a new term? I </w:t>
      </w:r>
      <w:r w:rsidR="000731CD">
        <w:t>don’t think so since it has caused confusion.</w:t>
      </w:r>
      <w:r w:rsidR="006A7218" w:rsidRPr="006A7218">
        <w:t xml:space="preserve"> </w:t>
      </w:r>
      <w:r w:rsidR="006A7218">
        <w:t xml:space="preserve">Many software can do these, along with many other things. It’s all part of monitoring and troubleshooting. It is not worth inventing a new </w:t>
      </w:r>
      <w:r w:rsidR="006A7218" w:rsidRPr="000731CD">
        <w:rPr>
          <w:i/>
          <w:iCs/>
          <w:color w:val="FF0000"/>
        </w:rPr>
        <w:t>category</w:t>
      </w:r>
      <w:r w:rsidR="006A7218" w:rsidRPr="000731CD">
        <w:rPr>
          <w:color w:val="FF0000"/>
        </w:rPr>
        <w:t xml:space="preserve"> </w:t>
      </w:r>
      <w:r w:rsidR="006A7218">
        <w:t>of software.</w:t>
      </w:r>
    </w:p>
    <w:p w14:paraId="751B8C9E" w14:textId="1305F004" w:rsidR="005517CD" w:rsidRDefault="000731CD" w:rsidP="00A91255">
      <w:r>
        <w:t xml:space="preserve">If we really want a new term, the word </w:t>
      </w:r>
      <w:r w:rsidRPr="00CF03CD">
        <w:rPr>
          <w:color w:val="00B0F0"/>
        </w:rPr>
        <w:t>debug</w:t>
      </w:r>
      <w:r>
        <w:rPr>
          <w:color w:val="00B0F0"/>
        </w:rPr>
        <w:t>-</w:t>
      </w:r>
      <w:r w:rsidRPr="00CF03CD">
        <w:rPr>
          <w:color w:val="00B0F0"/>
        </w:rPr>
        <w:t xml:space="preserve">ability </w:t>
      </w:r>
      <w:r>
        <w:t xml:space="preserve">carries more value as just because a system is observable does not mean you can do something to fix it, let alone to debug it. Plus, the act of observing a system requires CPU cycle, so you make the situation worse. </w:t>
      </w:r>
    </w:p>
    <w:p w14:paraId="2C3948EA" w14:textId="7AF0F2E0" w:rsidR="009A3822" w:rsidRDefault="006A7218" w:rsidP="00A91255">
      <w:r>
        <w:t>O</w:t>
      </w:r>
      <w:r w:rsidR="005D2523">
        <w:t xml:space="preserve">bservability is </w:t>
      </w:r>
      <w:r>
        <w:t xml:space="preserve">not </w:t>
      </w:r>
      <w:r w:rsidR="005D2523">
        <w:t>more than monitoring. They are 2 different things. The first one is</w:t>
      </w:r>
      <w:r>
        <w:t xml:space="preserve"> a property of system to be managed</w:t>
      </w:r>
      <w:r w:rsidR="005D2523">
        <w:t xml:space="preserve">, </w:t>
      </w:r>
      <w:r>
        <w:t xml:space="preserve">while </w:t>
      </w:r>
      <w:r w:rsidR="005D2523">
        <w:t xml:space="preserve">the second one </w:t>
      </w:r>
      <w:r>
        <w:t>is an action done by an actor</w:t>
      </w:r>
      <w:r w:rsidR="005D2523">
        <w:t xml:space="preserve">. Monitoring &amp; Troubleshooting are peers. Observability and Debugability are peers. </w:t>
      </w:r>
    </w:p>
    <w:p w14:paraId="741A6265" w14:textId="6C473564" w:rsidR="00FA473B" w:rsidRDefault="00FA473B" w:rsidP="00FA473B">
      <w:pPr>
        <w:pStyle w:val="Heading5"/>
      </w:pPr>
      <w:bookmarkStart w:id="10" w:name="_Service_Level_Agreement_1"/>
      <w:bookmarkEnd w:id="10"/>
      <w:r>
        <w:t>See, See and See</w:t>
      </w:r>
    </w:p>
    <w:p w14:paraId="02D8239C" w14:textId="1208CC20" w:rsidR="00F00F65" w:rsidRPr="00F00F65" w:rsidRDefault="00F00F65" w:rsidP="00F00F65">
      <w:pPr>
        <w:rPr>
          <w:lang w:val="en-GB"/>
        </w:rPr>
      </w:pPr>
      <w:r>
        <w:rPr>
          <w:lang w:val="en-GB"/>
        </w:rPr>
        <w:t xml:space="preserve">There are 3 types of metrics you need to see and verify. These </w:t>
      </w:r>
      <w:r w:rsidRPr="00F00F65">
        <w:rPr>
          <w:b/>
          <w:bCs/>
          <w:color w:val="00B0F0"/>
          <w:lang w:val="en-GB"/>
        </w:rPr>
        <w:t>Triple C</w:t>
      </w:r>
      <w:r>
        <w:rPr>
          <w:rStyle w:val="FootnoteReference"/>
        </w:rPr>
        <w:footnoteReference w:id="8"/>
      </w:r>
      <w:r>
        <w:t xml:space="preserve"> </w:t>
      </w:r>
      <w:r>
        <w:rPr>
          <w:lang w:val="en-GB"/>
        </w:rPr>
        <w:t>are in sequence, and they have their own purpose:</w:t>
      </w:r>
    </w:p>
    <w:p w14:paraId="6192F9CD" w14:textId="77777777" w:rsidR="00FA473B" w:rsidRDefault="00FA473B" w:rsidP="00FA473B">
      <w:pPr>
        <w:pStyle w:val="BeforeTable"/>
      </w:pPr>
    </w:p>
    <w:tbl>
      <w:tblPr>
        <w:tblStyle w:val="TableGrid"/>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268"/>
        <w:gridCol w:w="3544"/>
      </w:tblGrid>
      <w:tr w:rsidR="00FA473B" w14:paraId="2A614DDD" w14:textId="77777777" w:rsidTr="00281329">
        <w:trPr>
          <w:jc w:val="center"/>
        </w:trPr>
        <w:tc>
          <w:tcPr>
            <w:tcW w:w="2268" w:type="dxa"/>
            <w:shd w:val="clear" w:color="auto" w:fill="F2F2F2" w:themeFill="background1" w:themeFillShade="F2"/>
          </w:tcPr>
          <w:p w14:paraId="5E860EBA" w14:textId="768D7C15" w:rsidR="00FA473B" w:rsidRPr="00B90595" w:rsidRDefault="00F00F65" w:rsidP="00281329">
            <w:pPr>
              <w:pStyle w:val="Tableheading"/>
            </w:pPr>
            <w:r>
              <w:rPr>
                <w:rStyle w:val="Strong"/>
                <w:b/>
                <w:bCs w:val="0"/>
              </w:rPr>
              <w:t>T</w:t>
            </w:r>
            <w:r>
              <w:rPr>
                <w:rStyle w:val="Strong"/>
                <w:b/>
              </w:rPr>
              <w:t>ype</w:t>
            </w:r>
            <w:r w:rsidR="00FA473B" w:rsidRPr="00B90595">
              <w:rPr>
                <w:rStyle w:val="Strong"/>
                <w:b/>
                <w:bCs w:val="0"/>
              </w:rPr>
              <w:t xml:space="preserve"> of Metrics</w:t>
            </w:r>
          </w:p>
        </w:tc>
        <w:tc>
          <w:tcPr>
            <w:tcW w:w="3544" w:type="dxa"/>
            <w:shd w:val="clear" w:color="auto" w:fill="F2F2F2" w:themeFill="background1" w:themeFillShade="F2"/>
          </w:tcPr>
          <w:p w14:paraId="57EFECEE" w14:textId="0985F83D" w:rsidR="00FA473B" w:rsidRPr="00B90595" w:rsidRDefault="00FA473B" w:rsidP="00281329">
            <w:pPr>
              <w:pStyle w:val="Tableheading"/>
            </w:pPr>
            <w:r>
              <w:t>Primary Application</w:t>
            </w:r>
          </w:p>
        </w:tc>
      </w:tr>
      <w:tr w:rsidR="00FA473B" w14:paraId="14BB59F5" w14:textId="77777777" w:rsidTr="00281329">
        <w:trPr>
          <w:jc w:val="center"/>
        </w:trPr>
        <w:tc>
          <w:tcPr>
            <w:tcW w:w="2268" w:type="dxa"/>
            <w:shd w:val="clear" w:color="auto" w:fill="auto"/>
          </w:tcPr>
          <w:p w14:paraId="71F4E43C" w14:textId="77777777" w:rsidR="00FA473B" w:rsidRPr="00B90595" w:rsidRDefault="00FA473B" w:rsidP="00281329">
            <w:pPr>
              <w:pStyle w:val="Tablecontent"/>
              <w:rPr>
                <w:rStyle w:val="Strong"/>
                <w:b w:val="0"/>
                <w:bCs w:val="0"/>
              </w:rPr>
            </w:pPr>
            <w:r w:rsidRPr="00B90595">
              <w:rPr>
                <w:rStyle w:val="Strong"/>
                <w:b w:val="0"/>
                <w:bCs w:val="0"/>
              </w:rPr>
              <w:t>Contention</w:t>
            </w:r>
          </w:p>
        </w:tc>
        <w:tc>
          <w:tcPr>
            <w:tcW w:w="3544" w:type="dxa"/>
            <w:shd w:val="clear" w:color="auto" w:fill="auto"/>
          </w:tcPr>
          <w:p w14:paraId="5AE4C08A" w14:textId="77777777" w:rsidR="00FA473B" w:rsidRPr="00B90595" w:rsidRDefault="00FA473B" w:rsidP="00281329">
            <w:pPr>
              <w:pStyle w:val="Tablecontent"/>
            </w:pPr>
            <w:r>
              <w:t>Performance Management</w:t>
            </w:r>
          </w:p>
        </w:tc>
      </w:tr>
      <w:tr w:rsidR="00FA473B" w14:paraId="23D65C34" w14:textId="77777777" w:rsidTr="00281329">
        <w:trPr>
          <w:jc w:val="center"/>
        </w:trPr>
        <w:tc>
          <w:tcPr>
            <w:tcW w:w="2268" w:type="dxa"/>
            <w:shd w:val="clear" w:color="auto" w:fill="auto"/>
          </w:tcPr>
          <w:p w14:paraId="7276CE17" w14:textId="77777777" w:rsidR="00FA473B" w:rsidRPr="00B90595" w:rsidRDefault="00FA473B" w:rsidP="00281329">
            <w:pPr>
              <w:pStyle w:val="Tablecontent"/>
              <w:rPr>
                <w:rStyle w:val="Strong"/>
                <w:b w:val="0"/>
                <w:bCs w:val="0"/>
              </w:rPr>
            </w:pPr>
            <w:r w:rsidRPr="00B90595">
              <w:rPr>
                <w:rStyle w:val="Strong"/>
                <w:b w:val="0"/>
                <w:bCs w:val="0"/>
              </w:rPr>
              <w:t>Consumption</w:t>
            </w:r>
          </w:p>
        </w:tc>
        <w:tc>
          <w:tcPr>
            <w:tcW w:w="3544" w:type="dxa"/>
            <w:shd w:val="clear" w:color="auto" w:fill="auto"/>
          </w:tcPr>
          <w:p w14:paraId="52CD2A23" w14:textId="77777777" w:rsidR="00FA473B" w:rsidRPr="00B90595" w:rsidRDefault="00FA473B" w:rsidP="00281329">
            <w:pPr>
              <w:pStyle w:val="Tablecontent"/>
            </w:pPr>
            <w:r w:rsidRPr="00B90595">
              <w:t>Capacity Management</w:t>
            </w:r>
          </w:p>
        </w:tc>
      </w:tr>
      <w:tr w:rsidR="00FA473B" w14:paraId="1B58C09E" w14:textId="77777777" w:rsidTr="00281329">
        <w:trPr>
          <w:jc w:val="center"/>
        </w:trPr>
        <w:tc>
          <w:tcPr>
            <w:tcW w:w="2268" w:type="dxa"/>
            <w:shd w:val="clear" w:color="auto" w:fill="auto"/>
          </w:tcPr>
          <w:p w14:paraId="719C0869" w14:textId="77777777" w:rsidR="00FA473B" w:rsidRPr="00B90595" w:rsidRDefault="00FA473B" w:rsidP="00281329">
            <w:pPr>
              <w:pStyle w:val="Tablecontent"/>
              <w:rPr>
                <w:rStyle w:val="Strong"/>
                <w:b w:val="0"/>
                <w:bCs w:val="0"/>
              </w:rPr>
            </w:pPr>
            <w:r w:rsidRPr="00B90595">
              <w:rPr>
                <w:rStyle w:val="Strong"/>
                <w:b w:val="0"/>
                <w:bCs w:val="0"/>
              </w:rPr>
              <w:t>Context</w:t>
            </w:r>
          </w:p>
        </w:tc>
        <w:tc>
          <w:tcPr>
            <w:tcW w:w="3544" w:type="dxa"/>
            <w:shd w:val="clear" w:color="auto" w:fill="auto"/>
          </w:tcPr>
          <w:p w14:paraId="09FB95F7" w14:textId="77777777" w:rsidR="00FA473B" w:rsidRDefault="00FA473B" w:rsidP="00281329">
            <w:pPr>
              <w:pStyle w:val="Tablecontent"/>
            </w:pPr>
            <w:r w:rsidRPr="00B90595">
              <w:t>Configuration Management</w:t>
            </w:r>
          </w:p>
          <w:p w14:paraId="13B4D4EA" w14:textId="77777777" w:rsidR="00FA473B" w:rsidRPr="00B90595" w:rsidRDefault="00FA473B" w:rsidP="00281329">
            <w:pPr>
              <w:pStyle w:val="Tablecontent"/>
            </w:pPr>
            <w:r>
              <w:t>Inventory Management</w:t>
            </w:r>
          </w:p>
        </w:tc>
      </w:tr>
    </w:tbl>
    <w:p w14:paraId="36E23C4C" w14:textId="77777777" w:rsidR="00FA473B" w:rsidRDefault="00FA473B" w:rsidP="00FA473B">
      <w:pPr>
        <w:pStyle w:val="BeforeTable"/>
      </w:pPr>
    </w:p>
    <w:p w14:paraId="203013B7" w14:textId="77777777" w:rsidR="00FA473B" w:rsidRDefault="00FA473B" w:rsidP="00FA473B">
      <w:r>
        <w:t>Let’s explain further:</w:t>
      </w:r>
    </w:p>
    <w:p w14:paraId="6F7120BB" w14:textId="77777777" w:rsidR="00FA473B" w:rsidRDefault="00FA473B" w:rsidP="00FA473B">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245"/>
        <w:gridCol w:w="8211"/>
      </w:tblGrid>
      <w:tr w:rsidR="00FA473B" w:rsidRPr="00D81CD9" w14:paraId="49A999DC" w14:textId="77777777" w:rsidTr="00D06787">
        <w:tc>
          <w:tcPr>
            <w:tcW w:w="2245" w:type="dxa"/>
            <w:shd w:val="clear" w:color="auto" w:fill="F2F2F2" w:themeFill="background1" w:themeFillShade="F2"/>
          </w:tcPr>
          <w:p w14:paraId="62018A30" w14:textId="77777777" w:rsidR="00FA473B" w:rsidRPr="00864714" w:rsidRDefault="00FA473B" w:rsidP="00281329">
            <w:pPr>
              <w:pStyle w:val="Tablecontent"/>
              <w:rPr>
                <w:b/>
                <w:bCs/>
              </w:rPr>
            </w:pPr>
            <w:r w:rsidRPr="00864714">
              <w:rPr>
                <w:b/>
                <w:bCs/>
              </w:rPr>
              <w:t>Contention</w:t>
            </w:r>
          </w:p>
        </w:tc>
        <w:tc>
          <w:tcPr>
            <w:tcW w:w="8211" w:type="dxa"/>
            <w:shd w:val="clear" w:color="auto" w:fill="auto"/>
          </w:tcPr>
          <w:p w14:paraId="701F2EC6" w14:textId="77777777" w:rsidR="00FA473B" w:rsidRPr="00AE3906" w:rsidRDefault="00FA473B" w:rsidP="00281329">
            <w:pPr>
              <w:pStyle w:val="Tablecontent"/>
            </w:pPr>
            <w:r w:rsidRPr="0072799F">
              <w:t xml:space="preserve">They measure something </w:t>
            </w:r>
            <w:r w:rsidRPr="00C559A6">
              <w:rPr>
                <w:color w:val="FF0000"/>
              </w:rPr>
              <w:t>bad</w:t>
            </w:r>
            <w:r w:rsidRPr="00AE3906">
              <w:t xml:space="preserve">. </w:t>
            </w:r>
            <w:r>
              <w:t>T</w:t>
            </w:r>
            <w:r w:rsidRPr="00AE3906">
              <w:t>hey can be further divide</w:t>
            </w:r>
            <w:r>
              <w:t>d</w:t>
            </w:r>
            <w:r w:rsidRPr="00AE3906">
              <w:t xml:space="preserve"> by their impact</w:t>
            </w:r>
          </w:p>
          <w:p w14:paraId="77524BE0" w14:textId="77777777" w:rsidR="00FA473B" w:rsidRPr="00AE3906" w:rsidRDefault="00FA473B" w:rsidP="00281329">
            <w:pPr>
              <w:pStyle w:val="Tablecontent"/>
              <w:numPr>
                <w:ilvl w:val="0"/>
                <w:numId w:val="66"/>
              </w:numPr>
            </w:pPr>
            <w:r w:rsidRPr="00AE3906">
              <w:t>Performance</w:t>
            </w:r>
            <w:r>
              <w:t xml:space="preserve">. Metrics such as </w:t>
            </w:r>
            <w:r w:rsidRPr="00AE3906">
              <w:t xml:space="preserve">contention, latency, </w:t>
            </w:r>
            <w:r>
              <w:t xml:space="preserve">and </w:t>
            </w:r>
            <w:r w:rsidRPr="00AE3906">
              <w:t xml:space="preserve">queue, </w:t>
            </w:r>
            <w:r>
              <w:t>impact the performance of the system. The system is not down, meaning nothing is dropped, but the overall throughput is reduced.</w:t>
            </w:r>
          </w:p>
          <w:p w14:paraId="2B35CA96" w14:textId="77777777" w:rsidR="00FA473B" w:rsidRPr="00D81CD9" w:rsidRDefault="00FA473B" w:rsidP="00281329">
            <w:pPr>
              <w:pStyle w:val="Tablecontent"/>
              <w:numPr>
                <w:ilvl w:val="0"/>
                <w:numId w:val="66"/>
              </w:numPr>
            </w:pPr>
            <w:r w:rsidRPr="00AE3906">
              <w:t>Availability</w:t>
            </w:r>
            <w:r>
              <w:t xml:space="preserve">. Metrics such as errors and dropped impact the availability. Most system can recover from soft errors by re-attempting the operations (e.g. </w:t>
            </w:r>
            <w:r>
              <w:lastRenderedPageBreak/>
              <w:t xml:space="preserve">retransmit the dropped packet, recalculate the cache, resend the SCSI command). There is lack of observability for such automatic-recovery, and the even the logs may not reveal. For additional reading, I recommend this article by </w:t>
            </w:r>
            <w:hyperlink r:id="rId61" w:history="1">
              <w:r w:rsidRPr="00BC38F7">
                <w:rPr>
                  <w:rStyle w:val="Hyperlink"/>
                </w:rPr>
                <w:t>Brendan Gregg</w:t>
              </w:r>
            </w:hyperlink>
            <w:r>
              <w:t>.</w:t>
            </w:r>
          </w:p>
        </w:tc>
      </w:tr>
      <w:tr w:rsidR="00FA473B" w:rsidRPr="00D81CD9" w14:paraId="205BAE9A" w14:textId="77777777" w:rsidTr="00D06787">
        <w:tc>
          <w:tcPr>
            <w:tcW w:w="2245" w:type="dxa"/>
            <w:shd w:val="clear" w:color="auto" w:fill="F2F2F2" w:themeFill="background1" w:themeFillShade="F2"/>
          </w:tcPr>
          <w:p w14:paraId="0A805DB3" w14:textId="77777777" w:rsidR="00FA473B" w:rsidRPr="00864714" w:rsidRDefault="00FA473B" w:rsidP="00281329">
            <w:pPr>
              <w:pStyle w:val="Tablecontent"/>
              <w:rPr>
                <w:b/>
                <w:bCs/>
              </w:rPr>
            </w:pPr>
            <w:r w:rsidRPr="00864714">
              <w:rPr>
                <w:b/>
                <w:bCs/>
              </w:rPr>
              <w:lastRenderedPageBreak/>
              <w:t>Consumption</w:t>
            </w:r>
          </w:p>
        </w:tc>
        <w:tc>
          <w:tcPr>
            <w:tcW w:w="8211" w:type="dxa"/>
            <w:shd w:val="clear" w:color="auto" w:fill="auto"/>
          </w:tcPr>
          <w:p w14:paraId="79974828" w14:textId="77777777" w:rsidR="00FA473B" w:rsidRDefault="00FA473B" w:rsidP="00281329">
            <w:pPr>
              <w:pStyle w:val="Tablecontent"/>
            </w:pPr>
            <w:r w:rsidRPr="0072799F">
              <w:t xml:space="preserve">They measure something </w:t>
            </w:r>
            <w:r w:rsidRPr="00CC43EA">
              <w:rPr>
                <w:color w:val="00B050"/>
              </w:rPr>
              <w:t>good</w:t>
            </w:r>
            <w:r>
              <w:t>. A high number is good for the business, if the load is useful (e.g. not a DDOS attack).</w:t>
            </w:r>
          </w:p>
          <w:p w14:paraId="3BB82636" w14:textId="77777777" w:rsidR="00FA473B" w:rsidRDefault="00FA473B" w:rsidP="00281329">
            <w:pPr>
              <w:pStyle w:val="Tablecontent"/>
            </w:pPr>
            <w:r>
              <w:t xml:space="preserve">Consumption is a family of metrics, not all of them are real. It comes in many different names (workload, usage, demand, allocation, reservation, IOPS, throughput, active, consumed, etc.). </w:t>
            </w:r>
          </w:p>
          <w:p w14:paraId="229EACE0" w14:textId="77777777" w:rsidR="00FA473B" w:rsidRDefault="00FA473B" w:rsidP="00281329">
            <w:pPr>
              <w:pStyle w:val="Tablecontent"/>
            </w:pPr>
            <w:r w:rsidRPr="008C1CD8">
              <w:rPr>
                <w:color w:val="00B0F0"/>
              </w:rPr>
              <w:t xml:space="preserve">Utilization </w:t>
            </w:r>
            <w:r>
              <w:t>is the main input for the capacity family of metrics (Capacity Remaining, Time Remaining, VM Remaining, Recommended Size).</w:t>
            </w:r>
          </w:p>
          <w:p w14:paraId="3C5ADD40" w14:textId="77777777" w:rsidR="00FA473B" w:rsidRDefault="00FA473B" w:rsidP="00281329">
            <w:pPr>
              <w:pStyle w:val="Tablecontent"/>
            </w:pPr>
            <w:r w:rsidRPr="008C1CD8">
              <w:rPr>
                <w:color w:val="00B0F0"/>
              </w:rPr>
              <w:t xml:space="preserve">Reservation </w:t>
            </w:r>
            <w:r>
              <w:t>is an unreal measurement. It can overlap with utilization because an object can have lower or higher reservation relative to its utilization at different times.</w:t>
            </w:r>
          </w:p>
          <w:p w14:paraId="04E6ABDB" w14:textId="77777777" w:rsidR="00FA473B" w:rsidRPr="00FA473B" w:rsidRDefault="00FA473B" w:rsidP="00281329">
            <w:pPr>
              <w:pStyle w:val="Tablecontent"/>
            </w:pPr>
            <w:r w:rsidRPr="00FA473B">
              <w:rPr>
                <w:rStyle w:val="normaltextrun"/>
              </w:rPr>
              <w:t>Most administrators look at utilization, because they fear something wrong will happen if it’s high. That “something” is contention. Contention manifests in different forms. It can be queue, latency, loss, dropped, aborted, context switch.</w:t>
            </w:r>
          </w:p>
        </w:tc>
      </w:tr>
      <w:tr w:rsidR="00FA473B" w:rsidRPr="00D81CD9" w14:paraId="0091A485" w14:textId="77777777" w:rsidTr="00D06787">
        <w:tc>
          <w:tcPr>
            <w:tcW w:w="2245" w:type="dxa"/>
            <w:shd w:val="clear" w:color="auto" w:fill="F2F2F2" w:themeFill="background1" w:themeFillShade="F2"/>
          </w:tcPr>
          <w:p w14:paraId="78460CB4" w14:textId="77777777" w:rsidR="00FA473B" w:rsidRPr="00864714" w:rsidRDefault="00FA473B" w:rsidP="00281329">
            <w:pPr>
              <w:pStyle w:val="Tablecontent"/>
              <w:rPr>
                <w:b/>
                <w:bCs/>
              </w:rPr>
            </w:pPr>
            <w:r w:rsidRPr="00864714">
              <w:rPr>
                <w:b/>
                <w:bCs/>
              </w:rPr>
              <w:t>Context</w:t>
            </w:r>
          </w:p>
        </w:tc>
        <w:tc>
          <w:tcPr>
            <w:tcW w:w="8211" w:type="dxa"/>
            <w:shd w:val="clear" w:color="auto" w:fill="auto"/>
          </w:tcPr>
          <w:p w14:paraId="32624F86" w14:textId="77777777" w:rsidR="00FA473B" w:rsidRPr="00D81CD9" w:rsidRDefault="00FA473B" w:rsidP="00281329">
            <w:pPr>
              <w:pStyle w:val="Tablecontent"/>
            </w:pPr>
            <w:r w:rsidRPr="0072799F">
              <w:t xml:space="preserve">They </w:t>
            </w:r>
            <w:r>
              <w:t>provide answer to the “</w:t>
            </w:r>
            <w:r w:rsidRPr="00FA473B">
              <w:rPr>
                <w:color w:val="00B0F0"/>
              </w:rPr>
              <w:t>it depends</w:t>
            </w:r>
            <w:r>
              <w:t xml:space="preserve">” type of answer, by </w:t>
            </w:r>
            <w:r w:rsidRPr="0072799F">
              <w:t>account</w:t>
            </w:r>
            <w:r>
              <w:t>ing</w:t>
            </w:r>
            <w:r w:rsidRPr="0072799F">
              <w:t xml:space="preserve"> for something (e.g. inventory</w:t>
            </w:r>
            <w:r>
              <w:t>, configuration</w:t>
            </w:r>
            <w:r w:rsidRPr="0072799F">
              <w:t>)</w:t>
            </w:r>
            <w:r>
              <w:t xml:space="preserve"> and provide context. </w:t>
            </w:r>
            <w:r>
              <w:br/>
              <w:t xml:space="preserve">The context is obviously only useful to someone who can derive insight from that context, else there is no meaning to it. For example, a high number of vMotion depends on your expectation. If you’re doing cluster live migration after office hours, you expect the number to match the theoretical limit. </w:t>
            </w:r>
          </w:p>
        </w:tc>
      </w:tr>
    </w:tbl>
    <w:p w14:paraId="6E6137D0" w14:textId="77777777" w:rsidR="00FA473B" w:rsidRDefault="00FA473B" w:rsidP="00FA473B">
      <w:r>
        <w:t>While contention is what you care, consumption gets the limelight as it’s easier to monitor and simpler to explain. Also, many systems do not scale well. Their “</w:t>
      </w:r>
      <w:r w:rsidRPr="003239CC">
        <w:rPr>
          <w:color w:val="00B0F0"/>
        </w:rPr>
        <w:t>performance</w:t>
      </w:r>
      <w:r>
        <w:t>” actually drops when reaching certain level of utilization. Take a parallel database. As you add more nodes, the overall throughput drops as the nodes spend more time maintaining overall integrity among them. The CPU utilization of each node gets higher, only to be spent on overhead activities. In this case, what you should do is measures the overhead and the metric you refer to as “</w:t>
      </w:r>
      <w:r w:rsidRPr="008F3153">
        <w:rPr>
          <w:color w:val="00B0F0"/>
        </w:rPr>
        <w:t>performance</w:t>
      </w:r>
      <w:r>
        <w:t>”. Do not use the CPU utilization to represent all these metrics.</w:t>
      </w:r>
    </w:p>
    <w:p w14:paraId="22A71AEE" w14:textId="77777777" w:rsidR="00FA473B" w:rsidRDefault="00FA473B" w:rsidP="00FA473B">
      <w:r>
        <w:t xml:space="preserve">There is a tendency to monitor utilization as if it is a pillar of operations. Just like contention, utilization is </w:t>
      </w:r>
      <w:r w:rsidRPr="2D34D73A">
        <w:rPr>
          <w:color w:val="FF0000"/>
        </w:rPr>
        <w:t>not something you manage</w:t>
      </w:r>
      <w:r>
        <w:t xml:space="preserve">. Yes, you monitor utilization, but you monitor it for a reason. By itself, utilization has no meaning. The meaning depends on the purpose. </w:t>
      </w:r>
    </w:p>
    <w:p w14:paraId="7FC0DEEB" w14:textId="2B4738E4" w:rsidR="00FA473B" w:rsidRDefault="00FA473B" w:rsidP="00FA473B">
      <w:r>
        <w:t xml:space="preserve">Contention is the primary counter for performance. Utilization is the primary counter for capacity. </w:t>
      </w:r>
    </w:p>
    <w:p w14:paraId="665E43CA" w14:textId="4E190B54" w:rsidR="00470AFF" w:rsidRDefault="00470AFF" w:rsidP="00FA473B">
      <w:r>
        <w:t>BTW, I did not adopt the Golden Signal. Happy to discuss why The Triple C method and KPI framework provide better solution.</w:t>
      </w:r>
    </w:p>
    <w:p w14:paraId="3DCCE846" w14:textId="00847DED" w:rsidR="00D654DC" w:rsidRDefault="00D654DC" w:rsidP="00D654DC">
      <w:pPr>
        <w:pStyle w:val="Heading5"/>
      </w:pPr>
      <w:r>
        <w:t>Input | Output</w:t>
      </w:r>
      <w:r w:rsidR="000950E7">
        <w:t xml:space="preserve"> </w:t>
      </w:r>
    </w:p>
    <w:p w14:paraId="774ABA75" w14:textId="6D46E120" w:rsidR="00D87D03" w:rsidRPr="00D87D03" w:rsidRDefault="00D87D03" w:rsidP="00D87D03">
      <w:pPr>
        <w:rPr>
          <w:lang w:val="en-GB"/>
        </w:rPr>
      </w:pPr>
      <w:r>
        <w:rPr>
          <w:lang w:val="en-GB"/>
        </w:rPr>
        <w:t xml:space="preserve">There are 6 types of inputs which work together to give you your alerts, dashboards and reports. Output is documented in PART 3 of the book. </w:t>
      </w:r>
    </w:p>
    <w:p w14:paraId="3897A678" w14:textId="546360D1" w:rsidR="000950E7" w:rsidRPr="000950E7" w:rsidRDefault="00C8288C" w:rsidP="00D87D03">
      <w:pPr>
        <w:jc w:val="center"/>
        <w:rPr>
          <w:lang w:val="en-GB"/>
        </w:rPr>
      </w:pPr>
      <w:r w:rsidRPr="00C8288C">
        <w:rPr>
          <w:noProof/>
          <w:lang w:val="en-GB"/>
        </w:rPr>
        <w:lastRenderedPageBreak/>
        <w:drawing>
          <wp:inline distT="0" distB="0" distL="0" distR="0" wp14:anchorId="1CA91E8F" wp14:editId="515DC764">
            <wp:extent cx="4370832" cy="3712464"/>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370832" cy="3712464"/>
                    </a:xfrm>
                    <a:prstGeom prst="rect">
                      <a:avLst/>
                    </a:prstGeom>
                  </pic:spPr>
                </pic:pic>
              </a:graphicData>
            </a:graphic>
          </wp:inline>
        </w:drawing>
      </w:r>
    </w:p>
    <w:tbl>
      <w:tblPr>
        <w:tblW w:w="0" w:type="auto"/>
        <w:tblLook w:val="04A0" w:firstRow="1" w:lastRow="0" w:firstColumn="1" w:lastColumn="0" w:noHBand="0" w:noVBand="1"/>
      </w:tblPr>
      <w:tblGrid>
        <w:gridCol w:w="1980"/>
        <w:gridCol w:w="8476"/>
      </w:tblGrid>
      <w:tr w:rsidR="00D87D03" w14:paraId="713ECAD2" w14:textId="77777777" w:rsidTr="00A06774">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204AD4F0" w14:textId="6177253D" w:rsidR="00D87D03" w:rsidRPr="00E03A3F" w:rsidRDefault="00D87D03" w:rsidP="00A06774">
            <w:pPr>
              <w:pStyle w:val="Tablecontent"/>
              <w:rPr>
                <w:b/>
                <w:bCs/>
              </w:rPr>
            </w:pPr>
            <w:r>
              <w:rPr>
                <w:b/>
                <w:bCs/>
              </w:rPr>
              <w:t>Metric</w:t>
            </w:r>
          </w:p>
        </w:tc>
        <w:tc>
          <w:tcPr>
            <w:tcW w:w="8476" w:type="dxa"/>
            <w:tcBorders>
              <w:top w:val="single" w:sz="4" w:space="0" w:color="BFBFBF" w:themeColor="background1" w:themeShade="BF"/>
              <w:bottom w:val="single" w:sz="4" w:space="0" w:color="BFBFBF" w:themeColor="background1" w:themeShade="BF"/>
            </w:tcBorders>
          </w:tcPr>
          <w:p w14:paraId="3C17249E" w14:textId="034AE211" w:rsidR="00D87D03" w:rsidRDefault="00D87D03" w:rsidP="00A06774">
            <w:pPr>
              <w:pStyle w:val="Tablecontent"/>
              <w:rPr>
                <w:lang w:val="en-GB"/>
              </w:rPr>
            </w:pPr>
            <w:r>
              <w:rPr>
                <w:lang w:val="en-GB"/>
              </w:rPr>
              <w:t>It is a number</w:t>
            </w:r>
            <w:r w:rsidRPr="00C8288C">
              <w:rPr>
                <w:lang w:val="en-GB"/>
              </w:rPr>
              <w:t xml:space="preserve">, not string. </w:t>
            </w:r>
            <w:r>
              <w:rPr>
                <w:lang w:val="en-GB"/>
              </w:rPr>
              <w:t>The numbers could be a code, whose description is a string.</w:t>
            </w:r>
          </w:p>
          <w:p w14:paraId="7C234C9B" w14:textId="50071E02" w:rsidR="00D87D03" w:rsidRDefault="00D87D03" w:rsidP="00A06774">
            <w:pPr>
              <w:pStyle w:val="Tablecontent"/>
            </w:pPr>
            <w:r w:rsidRPr="00C8288C">
              <w:rPr>
                <w:lang w:val="en-GB"/>
              </w:rPr>
              <w:t>It is produced at regular interval, even if the value is constant. If it crosses certain threshold, it can trigger an event</w:t>
            </w:r>
            <w:r>
              <w:rPr>
                <w:lang w:val="en-GB"/>
              </w:rPr>
              <w:t xml:space="preserve"> or an alert.</w:t>
            </w:r>
          </w:p>
        </w:tc>
      </w:tr>
      <w:tr w:rsidR="00D87D03" w14:paraId="7D9B0E8E" w14:textId="77777777" w:rsidTr="00A06774">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7CC3AE54" w14:textId="602EFA98" w:rsidR="00D87D03" w:rsidRDefault="00D87D03" w:rsidP="00A06774">
            <w:pPr>
              <w:pStyle w:val="Tablecontent"/>
              <w:rPr>
                <w:b/>
                <w:bCs/>
              </w:rPr>
            </w:pPr>
            <w:r>
              <w:rPr>
                <w:b/>
                <w:bCs/>
              </w:rPr>
              <w:t>Properties</w:t>
            </w:r>
          </w:p>
        </w:tc>
        <w:tc>
          <w:tcPr>
            <w:tcW w:w="8476" w:type="dxa"/>
            <w:tcBorders>
              <w:top w:val="single" w:sz="4" w:space="0" w:color="BFBFBF" w:themeColor="background1" w:themeShade="BF"/>
              <w:bottom w:val="single" w:sz="4" w:space="0" w:color="BFBFBF" w:themeColor="background1" w:themeShade="BF"/>
            </w:tcBorders>
          </w:tcPr>
          <w:p w14:paraId="7A03C49F" w14:textId="2B9960FA" w:rsidR="00D87D03" w:rsidRDefault="00D87D03" w:rsidP="00A06774">
            <w:pPr>
              <w:pStyle w:val="Tablecontent"/>
            </w:pPr>
            <w:r>
              <w:rPr>
                <w:lang w:val="en-GB"/>
              </w:rPr>
              <w:t xml:space="preserve">It is </w:t>
            </w:r>
            <w:r w:rsidRPr="00C8288C">
              <w:rPr>
                <w:lang w:val="en-GB"/>
              </w:rPr>
              <w:t xml:space="preserve">often </w:t>
            </w:r>
            <w:r>
              <w:rPr>
                <w:lang w:val="en-GB"/>
              </w:rPr>
              <w:t xml:space="preserve">a </w:t>
            </w:r>
            <w:r w:rsidRPr="00C8288C">
              <w:rPr>
                <w:lang w:val="en-GB"/>
              </w:rPr>
              <w:t xml:space="preserve">string, although it can be numbers. It is only produced upon change, which does not happen regularly. Property change is a type of </w:t>
            </w:r>
            <w:r>
              <w:rPr>
                <w:lang w:val="en-GB"/>
              </w:rPr>
              <w:t>e</w:t>
            </w:r>
            <w:r w:rsidRPr="00C8288C">
              <w:rPr>
                <w:lang w:val="en-GB"/>
              </w:rPr>
              <w:t>vent, which can trigger an alert.</w:t>
            </w:r>
            <w:r>
              <w:rPr>
                <w:lang w:val="en-GB"/>
              </w:rPr>
              <w:t xml:space="preserve"> Since not all properties are important, the significant of the event is also impacted.</w:t>
            </w:r>
          </w:p>
        </w:tc>
      </w:tr>
      <w:tr w:rsidR="00D87D03" w14:paraId="4689A72F" w14:textId="77777777" w:rsidTr="00A06774">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4F8AAE22" w14:textId="267DF462" w:rsidR="00D87D03" w:rsidRDefault="00D87D03" w:rsidP="00A06774">
            <w:pPr>
              <w:pStyle w:val="Tablecontent"/>
              <w:rPr>
                <w:b/>
                <w:bCs/>
              </w:rPr>
            </w:pPr>
            <w:r>
              <w:rPr>
                <w:b/>
                <w:bCs/>
              </w:rPr>
              <w:t>Log</w:t>
            </w:r>
          </w:p>
        </w:tc>
        <w:tc>
          <w:tcPr>
            <w:tcW w:w="8476" w:type="dxa"/>
            <w:tcBorders>
              <w:top w:val="single" w:sz="4" w:space="0" w:color="BFBFBF" w:themeColor="background1" w:themeShade="BF"/>
              <w:bottom w:val="single" w:sz="4" w:space="0" w:color="BFBFBF" w:themeColor="background1" w:themeShade="BF"/>
            </w:tcBorders>
          </w:tcPr>
          <w:p w14:paraId="5A831025" w14:textId="77777777" w:rsidR="00D87D03" w:rsidRDefault="00D87D03" w:rsidP="00A06774">
            <w:pPr>
              <w:pStyle w:val="Tablecontent"/>
              <w:rPr>
                <w:lang w:val="en-GB"/>
              </w:rPr>
            </w:pPr>
            <w:r>
              <w:rPr>
                <w:lang w:val="en-GB"/>
              </w:rPr>
              <w:t>It is a raw message, typically produced by developers directly.</w:t>
            </w:r>
          </w:p>
          <w:p w14:paraId="164740B2" w14:textId="5EB9A3B8" w:rsidR="00D87D03" w:rsidRDefault="00D87D03" w:rsidP="00A06774">
            <w:pPr>
              <w:pStyle w:val="Tablecontent"/>
              <w:rPr>
                <w:lang w:val="en-GB"/>
              </w:rPr>
            </w:pPr>
            <w:r w:rsidRPr="00C8288C">
              <w:rPr>
                <w:lang w:val="en-GB"/>
              </w:rPr>
              <w:t>Numbers can be extracted to form metrics, while text can describe an event. Metrics and Events then can trigger alert.</w:t>
            </w:r>
          </w:p>
        </w:tc>
      </w:tr>
      <w:tr w:rsidR="00D87D03" w14:paraId="1C2F8C3B" w14:textId="77777777" w:rsidTr="00A06774">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3EA87AA3" w14:textId="15CF8F8D" w:rsidR="00D87D03" w:rsidRDefault="00D87D03" w:rsidP="00A06774">
            <w:pPr>
              <w:pStyle w:val="Tablecontent"/>
              <w:rPr>
                <w:b/>
                <w:bCs/>
              </w:rPr>
            </w:pPr>
            <w:r>
              <w:rPr>
                <w:b/>
                <w:bCs/>
              </w:rPr>
              <w:t>Event</w:t>
            </w:r>
          </w:p>
        </w:tc>
        <w:tc>
          <w:tcPr>
            <w:tcW w:w="8476" w:type="dxa"/>
            <w:tcBorders>
              <w:top w:val="single" w:sz="4" w:space="0" w:color="BFBFBF" w:themeColor="background1" w:themeShade="BF"/>
              <w:bottom w:val="single" w:sz="4" w:space="0" w:color="BFBFBF" w:themeColor="background1" w:themeShade="BF"/>
            </w:tcBorders>
          </w:tcPr>
          <w:p w14:paraId="5E41F2A4" w14:textId="77777777" w:rsidR="00D87D03" w:rsidRDefault="00D87D03" w:rsidP="00A06774">
            <w:pPr>
              <w:pStyle w:val="Tablecontent"/>
              <w:rPr>
                <w:lang w:val="en-GB"/>
              </w:rPr>
            </w:pPr>
            <w:r>
              <w:rPr>
                <w:lang w:val="en-GB"/>
              </w:rPr>
              <w:t xml:space="preserve">It </w:t>
            </w:r>
            <w:r w:rsidRPr="00C8288C">
              <w:rPr>
                <w:lang w:val="en-GB"/>
              </w:rPr>
              <w:t xml:space="preserve">means something happened, which can be good, bad or neutral. It can be a </w:t>
            </w:r>
            <w:r>
              <w:rPr>
                <w:lang w:val="en-GB"/>
              </w:rPr>
              <w:t>setting</w:t>
            </w:r>
            <w:r w:rsidRPr="00C8288C">
              <w:rPr>
                <w:lang w:val="en-GB"/>
              </w:rPr>
              <w:t xml:space="preserve"> change, a state change, </w:t>
            </w:r>
            <w:r>
              <w:rPr>
                <w:lang w:val="en-GB"/>
              </w:rPr>
              <w:t xml:space="preserve">or </w:t>
            </w:r>
            <w:r w:rsidRPr="00C8288C">
              <w:rPr>
                <w:lang w:val="en-GB"/>
              </w:rPr>
              <w:t xml:space="preserve">a label change. </w:t>
            </w:r>
            <w:r>
              <w:rPr>
                <w:lang w:val="en-GB"/>
              </w:rPr>
              <w:t>A label is “</w:t>
            </w:r>
            <w:r w:rsidRPr="00671436">
              <w:rPr>
                <w:color w:val="00B0F0"/>
                <w:lang w:val="en-GB"/>
              </w:rPr>
              <w:t>external</w:t>
            </w:r>
            <w:r>
              <w:rPr>
                <w:lang w:val="en-GB"/>
              </w:rPr>
              <w:t xml:space="preserve">”, meaning it is not an inherent property of the object. Event </w:t>
            </w:r>
            <w:r w:rsidRPr="00C8288C">
              <w:rPr>
                <w:lang w:val="en-GB"/>
              </w:rPr>
              <w:t>also traps the activities</w:t>
            </w:r>
            <w:r>
              <w:rPr>
                <w:lang w:val="en-GB"/>
              </w:rPr>
              <w:t xml:space="preserve"> performed on those objects</w:t>
            </w:r>
            <w:r w:rsidRPr="00C8288C">
              <w:rPr>
                <w:lang w:val="en-GB"/>
              </w:rPr>
              <w:t>.</w:t>
            </w:r>
          </w:p>
          <w:p w14:paraId="34DACCD7" w14:textId="77777777" w:rsidR="00D87D03" w:rsidRDefault="00D87D03" w:rsidP="00D87D03">
            <w:pPr>
              <w:rPr>
                <w:lang w:val="en-GB"/>
              </w:rPr>
            </w:pPr>
            <w:r>
              <w:rPr>
                <w:lang w:val="en-GB"/>
              </w:rPr>
              <w:t>For examples:</w:t>
            </w:r>
          </w:p>
          <w:p w14:paraId="48F12747" w14:textId="77777777" w:rsidR="00D87D03" w:rsidRDefault="00D87D03" w:rsidP="00D87D03">
            <w:pPr>
              <w:pStyle w:val="ListParagraph"/>
              <w:numPr>
                <w:ilvl w:val="0"/>
                <w:numId w:val="66"/>
              </w:numPr>
              <w:rPr>
                <w:lang w:val="en-GB"/>
              </w:rPr>
            </w:pPr>
            <w:r>
              <w:rPr>
                <w:lang w:val="en-GB"/>
              </w:rPr>
              <w:t>“Iwan the vSphere Admin enabled DRS on Cluster 007” is an example of activity.</w:t>
            </w:r>
          </w:p>
          <w:p w14:paraId="667C9A18" w14:textId="77777777" w:rsidR="00D87D03" w:rsidRDefault="00D87D03" w:rsidP="00D87D03">
            <w:pPr>
              <w:pStyle w:val="ListParagraph"/>
              <w:numPr>
                <w:ilvl w:val="0"/>
                <w:numId w:val="66"/>
              </w:numPr>
              <w:rPr>
                <w:lang w:val="en-GB"/>
              </w:rPr>
            </w:pPr>
            <w:r>
              <w:rPr>
                <w:lang w:val="en-GB"/>
              </w:rPr>
              <w:t>“Cluster 007 DRS was enabled” is an example of the state change (from disabled to enabled)</w:t>
            </w:r>
          </w:p>
          <w:p w14:paraId="26359330" w14:textId="77777777" w:rsidR="00D87D03" w:rsidRDefault="00D87D03" w:rsidP="00D87D03">
            <w:pPr>
              <w:pStyle w:val="ListParagraph"/>
              <w:numPr>
                <w:ilvl w:val="0"/>
                <w:numId w:val="66"/>
              </w:numPr>
              <w:rPr>
                <w:lang w:val="en-GB"/>
              </w:rPr>
            </w:pPr>
            <w:r>
              <w:rPr>
                <w:lang w:val="en-GB"/>
              </w:rPr>
              <w:t>“Cluster 007 DRS automation level was change from 2 to 5” is an example of setting change. The state remains fully automated.</w:t>
            </w:r>
          </w:p>
          <w:p w14:paraId="6075A45E" w14:textId="6DE5DBFE" w:rsidR="00D87D03" w:rsidRDefault="00D87D03" w:rsidP="00D87D03">
            <w:pPr>
              <w:pStyle w:val="ListParagraph"/>
              <w:numPr>
                <w:ilvl w:val="0"/>
                <w:numId w:val="66"/>
              </w:numPr>
              <w:rPr>
                <w:lang w:val="en-GB"/>
              </w:rPr>
            </w:pPr>
            <w:r>
              <w:rPr>
                <w:lang w:val="en-GB"/>
              </w:rPr>
              <w:t>Cluster 007 will be decommissioned and has a tag assigned to mark it. This is an example of a label change. There is no setting or state change</w:t>
            </w:r>
          </w:p>
        </w:tc>
      </w:tr>
      <w:tr w:rsidR="00D87D03" w14:paraId="1D3D6142" w14:textId="77777777" w:rsidTr="00A06774">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0304AA49" w14:textId="62E3217F" w:rsidR="00D87D03" w:rsidRDefault="00D87D03" w:rsidP="00A06774">
            <w:pPr>
              <w:pStyle w:val="Tablecontent"/>
              <w:rPr>
                <w:b/>
                <w:bCs/>
              </w:rPr>
            </w:pPr>
            <w:r>
              <w:rPr>
                <w:b/>
                <w:bCs/>
              </w:rPr>
              <w:t>Trace</w:t>
            </w:r>
          </w:p>
        </w:tc>
        <w:tc>
          <w:tcPr>
            <w:tcW w:w="8476" w:type="dxa"/>
            <w:tcBorders>
              <w:top w:val="single" w:sz="4" w:space="0" w:color="BFBFBF" w:themeColor="background1" w:themeShade="BF"/>
              <w:bottom w:val="single" w:sz="4" w:space="0" w:color="BFBFBF" w:themeColor="background1" w:themeShade="BF"/>
            </w:tcBorders>
          </w:tcPr>
          <w:p w14:paraId="650573EE" w14:textId="31D0ABBB" w:rsidR="00D87D03" w:rsidRDefault="00D87D03" w:rsidP="00A06774">
            <w:pPr>
              <w:pStyle w:val="Tablecontent"/>
              <w:rPr>
                <w:lang w:val="en-GB"/>
              </w:rPr>
            </w:pPr>
            <w:r>
              <w:rPr>
                <w:lang w:val="en-GB"/>
              </w:rPr>
              <w:t xml:space="preserve">It is a </w:t>
            </w:r>
            <w:r w:rsidRPr="00C8288C">
              <w:rPr>
                <w:lang w:val="en-GB"/>
              </w:rPr>
              <w:t>record of codes in-motion. Some can produce numbers, which are metrics.</w:t>
            </w:r>
          </w:p>
        </w:tc>
      </w:tr>
      <w:tr w:rsidR="00D87D03" w14:paraId="3ABEDAD4" w14:textId="77777777" w:rsidTr="00A06774">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5754E766" w14:textId="6551452E" w:rsidR="00D87D03" w:rsidRDefault="00D87D03" w:rsidP="00A06774">
            <w:pPr>
              <w:pStyle w:val="Tablecontent"/>
              <w:rPr>
                <w:b/>
                <w:bCs/>
              </w:rPr>
            </w:pPr>
            <w:r>
              <w:rPr>
                <w:b/>
                <w:bCs/>
              </w:rPr>
              <w:t>Netflow</w:t>
            </w:r>
          </w:p>
        </w:tc>
        <w:tc>
          <w:tcPr>
            <w:tcW w:w="8476" w:type="dxa"/>
            <w:tcBorders>
              <w:top w:val="single" w:sz="4" w:space="0" w:color="BFBFBF" w:themeColor="background1" w:themeShade="BF"/>
              <w:bottom w:val="single" w:sz="4" w:space="0" w:color="BFBFBF" w:themeColor="background1" w:themeShade="BF"/>
            </w:tcBorders>
          </w:tcPr>
          <w:p w14:paraId="6F3E0E7E" w14:textId="16A96A1F" w:rsidR="00D87D03" w:rsidRDefault="00D87D03" w:rsidP="00A06774">
            <w:pPr>
              <w:pStyle w:val="Tablecontent"/>
              <w:rPr>
                <w:lang w:val="en-GB"/>
              </w:rPr>
            </w:pPr>
            <w:r w:rsidRPr="00C8288C">
              <w:rPr>
                <w:lang w:val="en-GB"/>
              </w:rPr>
              <w:t>captures path, typically flows of network packets. It can produce metrics.</w:t>
            </w:r>
          </w:p>
        </w:tc>
      </w:tr>
    </w:tbl>
    <w:p w14:paraId="65630D78" w14:textId="36C0180E" w:rsidR="00E65C8B" w:rsidRDefault="00F00876" w:rsidP="00540F68">
      <w:pPr>
        <w:pStyle w:val="Heading3"/>
      </w:pPr>
      <w:r w:rsidRPr="008B2816">
        <w:lastRenderedPageBreak/>
        <w:t xml:space="preserve">Service Level </w:t>
      </w:r>
      <w:r w:rsidRPr="001601A2">
        <w:t>Agreement</w:t>
      </w:r>
    </w:p>
    <w:p w14:paraId="43D52BC7" w14:textId="6B6B718D" w:rsidR="00BE66D8" w:rsidRDefault="003F3E28" w:rsidP="003F3E28">
      <w:r>
        <w:t xml:space="preserve">The difference between an enterprise grade Cloud and non-enterprise grade Cloud is the SLA. </w:t>
      </w:r>
      <w:r w:rsidR="00625106">
        <w:t xml:space="preserve">A cloud provider can state that </w:t>
      </w:r>
      <w:r w:rsidR="00477278">
        <w:t xml:space="preserve">they </w:t>
      </w:r>
      <w:r w:rsidR="00625106">
        <w:t xml:space="preserve">have the best technology, </w:t>
      </w:r>
      <w:r w:rsidR="005F341F">
        <w:t xml:space="preserve">the most experienced </w:t>
      </w:r>
      <w:r w:rsidR="00625106">
        <w:t>p</w:t>
      </w:r>
      <w:r w:rsidR="005F341F">
        <w:t>rofessionals</w:t>
      </w:r>
      <w:r w:rsidR="00625106">
        <w:t xml:space="preserve">, </w:t>
      </w:r>
      <w:r w:rsidR="005F341F">
        <w:t xml:space="preserve">the most innovative </w:t>
      </w:r>
      <w:r w:rsidR="00625106">
        <w:t xml:space="preserve">process, </w:t>
      </w:r>
      <w:r w:rsidR="005F341F">
        <w:t xml:space="preserve">industry </w:t>
      </w:r>
      <w:r w:rsidR="00477278">
        <w:t>certification</w:t>
      </w:r>
      <w:r w:rsidR="005F341F">
        <w:t>s</w:t>
      </w:r>
      <w:r w:rsidR="00477278">
        <w:t xml:space="preserve">, </w:t>
      </w:r>
      <w:r w:rsidR="00625106">
        <w:t xml:space="preserve">etc. to </w:t>
      </w:r>
      <w:r w:rsidR="00477278">
        <w:t xml:space="preserve">prove </w:t>
      </w:r>
      <w:r w:rsidR="00625106">
        <w:t xml:space="preserve">that </w:t>
      </w:r>
      <w:r w:rsidR="00477278">
        <w:t xml:space="preserve">they are </w:t>
      </w:r>
      <w:r w:rsidR="00625106">
        <w:t xml:space="preserve">the best. </w:t>
      </w:r>
      <w:r w:rsidR="005F341F">
        <w:t>All those</w:t>
      </w:r>
      <w:r w:rsidR="00625106">
        <w:t xml:space="preserve"> </w:t>
      </w:r>
      <w:r w:rsidR="005F341F">
        <w:t xml:space="preserve">will not </w:t>
      </w:r>
      <w:r w:rsidR="009D4FE9">
        <w:t xml:space="preserve">carry weight if they are </w:t>
      </w:r>
      <w:r w:rsidR="00625106">
        <w:t>afraid to back it up with</w:t>
      </w:r>
      <w:r w:rsidR="10C2FA53">
        <w:t xml:space="preserve"> the</w:t>
      </w:r>
      <w:r w:rsidR="00625106">
        <w:t xml:space="preserve"> SLA</w:t>
      </w:r>
      <w:r w:rsidR="005F341F">
        <w:t xml:space="preserve"> in their contract</w:t>
      </w:r>
      <w:r w:rsidR="00625106">
        <w:t xml:space="preserve">. The SLA enables customers to hold </w:t>
      </w:r>
      <w:r w:rsidR="6E37B71E">
        <w:t xml:space="preserve">the cloud provider </w:t>
      </w:r>
      <w:r w:rsidR="00625106">
        <w:t>accountable</w:t>
      </w:r>
      <w:r w:rsidR="005F341F">
        <w:t xml:space="preserve"> as it carries</w:t>
      </w:r>
      <w:r w:rsidR="2CBF27B4">
        <w:t xml:space="preserve"> a</w:t>
      </w:r>
      <w:r w:rsidR="005F341F">
        <w:t xml:space="preserve"> financial penalty.</w:t>
      </w:r>
    </w:p>
    <w:p w14:paraId="0267B292" w14:textId="7232FC62" w:rsidR="003F3E28" w:rsidRDefault="00BE66D8" w:rsidP="003F3E28">
      <w:r>
        <w:t>Once the SLA is defined, then</w:t>
      </w:r>
      <w:r w:rsidR="00625106">
        <w:t xml:space="preserve"> customers</w:t>
      </w:r>
      <w:r>
        <w:t xml:space="preserve"> want to </w:t>
      </w:r>
      <w:r w:rsidR="00EF55F9">
        <w:t xml:space="preserve">know how </w:t>
      </w:r>
      <w:r w:rsidR="004B5EFD">
        <w:t xml:space="preserve">it will be </w:t>
      </w:r>
      <w:r w:rsidR="00EF55F9">
        <w:t>deliver</w:t>
      </w:r>
      <w:r w:rsidR="004B5EFD">
        <w:t>ed</w:t>
      </w:r>
      <w:r w:rsidR="00EF55F9">
        <w:t xml:space="preserve">. </w:t>
      </w:r>
      <w:r w:rsidR="000C1C86">
        <w:t>This is where the process, architecture, certification etc. come in.</w:t>
      </w:r>
      <w:r w:rsidR="005F341F">
        <w:t xml:space="preserve"> The </w:t>
      </w:r>
      <w:r w:rsidR="005F341F" w:rsidRPr="5D58FCEA">
        <w:rPr>
          <w:b/>
          <w:bCs/>
          <w:color w:val="00B0F0"/>
        </w:rPr>
        <w:t>what</w:t>
      </w:r>
      <w:r w:rsidR="005F341F" w:rsidRPr="5D58FCEA">
        <w:rPr>
          <w:color w:val="00B0F0"/>
        </w:rPr>
        <w:t xml:space="preserve"> </w:t>
      </w:r>
      <w:r w:rsidR="005F341F">
        <w:t xml:space="preserve">always come before the </w:t>
      </w:r>
      <w:r w:rsidR="005F341F" w:rsidRPr="5D58FCEA">
        <w:rPr>
          <w:b/>
          <w:bCs/>
          <w:color w:val="00B0F0"/>
        </w:rPr>
        <w:t>how</w:t>
      </w:r>
      <w:r w:rsidR="005F341F">
        <w:t>.</w:t>
      </w:r>
    </w:p>
    <w:p w14:paraId="29092062" w14:textId="761AF639" w:rsidR="002E08B4" w:rsidRDefault="002E08B4" w:rsidP="003F3E28">
      <w:r>
        <w:t>Guess how many SLA</w:t>
      </w:r>
      <w:r w:rsidR="000F32C4">
        <w:t>s</w:t>
      </w:r>
      <w:r>
        <w:t xml:space="preserve"> do you need? </w:t>
      </w:r>
    </w:p>
    <w:p w14:paraId="2AF4FCFD" w14:textId="2593836F" w:rsidR="002E08B4" w:rsidRDefault="002E08B4" w:rsidP="003F3E28">
      <w:r>
        <w:t>It depends on the type of service</w:t>
      </w:r>
      <w:r w:rsidR="002D2329">
        <w:t>s</w:t>
      </w:r>
      <w:r>
        <w:t xml:space="preserve">. Most service providers will only commit to the simplest and most obvious one, which is availability. It’s the simplest as it’s binary. The darn thing is either up or down. Google only covers availability in </w:t>
      </w:r>
      <w:hyperlink r:id="rId63" w:history="1">
        <w:r w:rsidRPr="002E08B4">
          <w:rPr>
            <w:rStyle w:val="Hyperlink"/>
          </w:rPr>
          <w:t>their SLA post</w:t>
        </w:r>
      </w:hyperlink>
      <w:r>
        <w:t xml:space="preserve"> here, which is based on Google Cloud </w:t>
      </w:r>
      <w:hyperlink r:id="rId64" w:history="1">
        <w:r w:rsidRPr="002E08B4">
          <w:rPr>
            <w:rStyle w:val="Hyperlink"/>
          </w:rPr>
          <w:t>SLA</w:t>
        </w:r>
      </w:hyperlink>
      <w:r>
        <w:t xml:space="preserve">. </w:t>
      </w:r>
      <w:r w:rsidR="002D2329">
        <w:t>AWS only cover their infrastructure, and not your EC2 VM.</w:t>
      </w:r>
    </w:p>
    <w:p w14:paraId="4E06388B" w14:textId="79041D0D" w:rsidR="002E08B4" w:rsidRDefault="002E08B4" w:rsidP="003F3E28">
      <w:r w:rsidRPr="00BC6C73">
        <w:t>Just because something is up, does not mean it</w:t>
      </w:r>
      <w:r>
        <w:t xml:space="preserve"> is</w:t>
      </w:r>
      <w:r w:rsidRPr="00BC6C73">
        <w:t xml:space="preserve"> fast.</w:t>
      </w:r>
      <w:r>
        <w:t xml:space="preserve"> In fact, a service that is slow to the point it’s unusable is as good as down.</w:t>
      </w:r>
    </w:p>
    <w:p w14:paraId="2DDB7B2D" w14:textId="45E45F59" w:rsidR="00646132" w:rsidRDefault="00646132" w:rsidP="003F3E28">
      <w:r>
        <w:t>Just because something is fast, does not mean it’s secured.</w:t>
      </w:r>
      <w:r w:rsidR="00C50277">
        <w:t xml:space="preserve"> This is why Security SLA is necessary.</w:t>
      </w:r>
    </w:p>
    <w:p w14:paraId="6778D90C" w14:textId="16988FE4" w:rsidR="00DC6108" w:rsidRDefault="00DC6108" w:rsidP="00AC6E1E">
      <w:pPr>
        <w:pStyle w:val="Heading4"/>
      </w:pPr>
      <w:r>
        <w:t xml:space="preserve">The </w:t>
      </w:r>
      <w:r w:rsidR="00381DB3">
        <w:t>4</w:t>
      </w:r>
      <w:r>
        <w:t xml:space="preserve"> SLA</w:t>
      </w:r>
      <w:r w:rsidR="578834DF">
        <w:t xml:space="preserve">s </w:t>
      </w:r>
      <w:r>
        <w:t>of IaaS</w:t>
      </w:r>
    </w:p>
    <w:p w14:paraId="75D4DC77" w14:textId="63DC5F90" w:rsidR="00FE0A72" w:rsidRPr="00FE0A72" w:rsidRDefault="00FE0A72" w:rsidP="00FE0A72">
      <w:pPr>
        <w:jc w:val="center"/>
        <w:rPr>
          <w:lang w:val="en-GB"/>
        </w:rPr>
      </w:pPr>
      <w:r w:rsidRPr="00FE0A72">
        <w:rPr>
          <w:noProof/>
          <w:lang w:val="en-GB"/>
        </w:rPr>
        <w:drawing>
          <wp:inline distT="0" distB="0" distL="0" distR="0" wp14:anchorId="184B010A" wp14:editId="7D1FD6BD">
            <wp:extent cx="4863600" cy="1868400"/>
            <wp:effectExtent l="0" t="0" r="0" b="0"/>
            <wp:docPr id="1859674524" name="Picture 1859674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863600" cy="1868400"/>
                    </a:xfrm>
                    <a:prstGeom prst="rect">
                      <a:avLst/>
                    </a:prstGeom>
                  </pic:spPr>
                </pic:pic>
              </a:graphicData>
            </a:graphic>
          </wp:inline>
        </w:drawing>
      </w:r>
    </w:p>
    <w:p w14:paraId="29D8E17A" w14:textId="5B25C638" w:rsidR="0063312A" w:rsidRDefault="0063312A" w:rsidP="00DC6108">
      <w:r>
        <w:t>Wait, why am I not showing the 4</w:t>
      </w:r>
      <w:r w:rsidRPr="0063312A">
        <w:rPr>
          <w:vertAlign w:val="superscript"/>
        </w:rPr>
        <w:t>th</w:t>
      </w:r>
      <w:r>
        <w:t xml:space="preserve"> one?</w:t>
      </w:r>
    </w:p>
    <w:p w14:paraId="5332365F" w14:textId="50A713DB" w:rsidR="0063312A" w:rsidRDefault="0063312A" w:rsidP="00DC6108">
      <w:r>
        <w:t>Because it plays a secondary role. The first 3 covers the actual workload, while the 4</w:t>
      </w:r>
      <w:r w:rsidRPr="0063312A">
        <w:rPr>
          <w:vertAlign w:val="superscript"/>
        </w:rPr>
        <w:t>th</w:t>
      </w:r>
      <w:r>
        <w:t xml:space="preserve"> one covers the human (typically developers).</w:t>
      </w:r>
    </w:p>
    <w:p w14:paraId="7FC33A57" w14:textId="57883C19" w:rsidR="00DC6108" w:rsidRDefault="00DC6108" w:rsidP="00DC6108">
      <w:r>
        <w:t xml:space="preserve">The business of IaaS should provide </w:t>
      </w:r>
      <w:r w:rsidR="000F21E9">
        <w:t>4</w:t>
      </w:r>
      <w:r>
        <w:t xml:space="preserve"> SLA</w:t>
      </w:r>
      <w:r w:rsidR="321F69D4">
        <w:t>s</w:t>
      </w:r>
      <w:r>
        <w:t xml:space="preserve">, as customers want complete coverage. </w:t>
      </w:r>
    </w:p>
    <w:p w14:paraId="7FA222C6" w14:textId="77777777" w:rsidR="00DC6108" w:rsidRDefault="00DC6108" w:rsidP="008D2B14">
      <w:pPr>
        <w:pStyle w:val="BeforeTable"/>
      </w:pPr>
    </w:p>
    <w:tbl>
      <w:tblPr>
        <w:tblW w:w="0" w:type="auto"/>
        <w:tblLook w:val="04A0" w:firstRow="1" w:lastRow="0" w:firstColumn="1" w:lastColumn="0" w:noHBand="0" w:noVBand="1"/>
      </w:tblPr>
      <w:tblGrid>
        <w:gridCol w:w="1980"/>
        <w:gridCol w:w="8476"/>
      </w:tblGrid>
      <w:tr w:rsidR="00DC6108" w14:paraId="59005624" w14:textId="77777777" w:rsidTr="006073D8">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0A1CF9D9" w14:textId="77777777" w:rsidR="00DC6108" w:rsidRPr="00E03A3F" w:rsidRDefault="00DC6108" w:rsidP="00CC3833">
            <w:pPr>
              <w:pStyle w:val="Tablecontent"/>
              <w:rPr>
                <w:b/>
                <w:bCs/>
              </w:rPr>
            </w:pPr>
            <w:r w:rsidRPr="00E03A3F">
              <w:rPr>
                <w:b/>
                <w:bCs/>
              </w:rPr>
              <w:t>Availability</w:t>
            </w:r>
          </w:p>
        </w:tc>
        <w:tc>
          <w:tcPr>
            <w:tcW w:w="8476" w:type="dxa"/>
            <w:tcBorders>
              <w:top w:val="single" w:sz="4" w:space="0" w:color="BFBFBF" w:themeColor="background1" w:themeShade="BF"/>
              <w:bottom w:val="single" w:sz="4" w:space="0" w:color="BFBFBF" w:themeColor="background1" w:themeShade="BF"/>
            </w:tcBorders>
          </w:tcPr>
          <w:p w14:paraId="14A9AD50" w14:textId="77777777" w:rsidR="00DC6108" w:rsidRDefault="00DC6108" w:rsidP="00CC3833">
            <w:pPr>
              <w:pStyle w:val="Tablecontent"/>
            </w:pPr>
            <w:r>
              <w:t xml:space="preserve">This is the most basic SLA. It is the eldest and most well-known. </w:t>
            </w:r>
          </w:p>
          <w:p w14:paraId="2CF1F2E7" w14:textId="34F244C8" w:rsidR="00DC6108" w:rsidRDefault="00DC6108" w:rsidP="00B77973">
            <w:pPr>
              <w:pStyle w:val="Tablecontent"/>
            </w:pPr>
            <w:r>
              <w:lastRenderedPageBreak/>
              <w:t xml:space="preserve">In reality, it is largely a given. </w:t>
            </w:r>
            <w:r w:rsidRPr="00BC6C73">
              <w:t xml:space="preserve">It does not matter what the </w:t>
            </w:r>
            <w:r>
              <w:t xml:space="preserve">agreed </w:t>
            </w:r>
            <w:r w:rsidRPr="00BC6C73">
              <w:t xml:space="preserve">number </w:t>
            </w:r>
            <w:r w:rsidR="00E03A3F" w:rsidRPr="00BC6C73">
              <w:t>is</w:t>
            </w:r>
            <w:r w:rsidRPr="00BC6C73">
              <w:t xml:space="preserve">. If </w:t>
            </w:r>
            <w:r>
              <w:t xml:space="preserve">the darn thing is </w:t>
            </w:r>
            <w:r w:rsidRPr="00BC6C73">
              <w:t>down, you better hurry to bring it up</w:t>
            </w:r>
            <w:r>
              <w:t xml:space="preserve"> before there is a complaint or things get worse!</w:t>
            </w:r>
          </w:p>
        </w:tc>
      </w:tr>
      <w:tr w:rsidR="00DC6108" w14:paraId="45021EC3" w14:textId="77777777" w:rsidTr="006073D8">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7CF59531" w14:textId="77777777" w:rsidR="00DC6108" w:rsidRPr="00E03A3F" w:rsidRDefault="00DC6108" w:rsidP="00CC3833">
            <w:pPr>
              <w:pStyle w:val="Tablecontent"/>
              <w:rPr>
                <w:b/>
                <w:bCs/>
              </w:rPr>
            </w:pPr>
            <w:r w:rsidRPr="00E03A3F">
              <w:rPr>
                <w:b/>
                <w:bCs/>
              </w:rPr>
              <w:lastRenderedPageBreak/>
              <w:t>Performance</w:t>
            </w:r>
          </w:p>
        </w:tc>
        <w:tc>
          <w:tcPr>
            <w:tcW w:w="8476" w:type="dxa"/>
            <w:tcBorders>
              <w:top w:val="single" w:sz="4" w:space="0" w:color="BFBFBF" w:themeColor="background1" w:themeShade="BF"/>
              <w:bottom w:val="single" w:sz="4" w:space="0" w:color="BFBFBF" w:themeColor="background1" w:themeShade="BF"/>
            </w:tcBorders>
          </w:tcPr>
          <w:p w14:paraId="64D54696" w14:textId="77777777" w:rsidR="0089175A" w:rsidRDefault="00DC6108" w:rsidP="002E08B4">
            <w:pPr>
              <w:pStyle w:val="Tablecontent"/>
            </w:pPr>
            <w:r>
              <w:t xml:space="preserve">Performance SLA </w:t>
            </w:r>
            <w:r w:rsidR="008B2DD0">
              <w:t xml:space="preserve">is far more valuable than Availability SLA. It is the solution to </w:t>
            </w:r>
            <w:hyperlink w:anchor="_Complaint-based_Operations" w:history="1">
              <w:r w:rsidRPr="00DC6108">
                <w:rPr>
                  <w:rStyle w:val="Hyperlink"/>
                </w:rPr>
                <w:t>complaint-based operations</w:t>
              </w:r>
            </w:hyperlink>
            <w:r>
              <w:t xml:space="preserve"> by defining what exactly is fast.</w:t>
            </w:r>
            <w:r w:rsidR="002E08B4">
              <w:t xml:space="preserve"> </w:t>
            </w:r>
          </w:p>
          <w:p w14:paraId="36DC85B4" w14:textId="1A76F054" w:rsidR="002E08B4" w:rsidRDefault="0089175A" w:rsidP="002E08B4">
            <w:pPr>
              <w:pStyle w:val="Tablecontent"/>
            </w:pPr>
            <w:r>
              <w:t>In IaaS, i</w:t>
            </w:r>
            <w:r w:rsidR="00DC6108" w:rsidRPr="00BC6C73">
              <w:t>t cover</w:t>
            </w:r>
            <w:r w:rsidR="00AE0EE0">
              <w:t>s</w:t>
            </w:r>
            <w:r w:rsidR="00DC6108" w:rsidRPr="00BC6C73">
              <w:t xml:space="preserve"> CPU, Memory, Disk and Network</w:t>
            </w:r>
            <w:r w:rsidR="00DC6108">
              <w:t>, hence there are four metrics used.</w:t>
            </w:r>
            <w:r w:rsidR="00D8186C">
              <w:t xml:space="preserve"> </w:t>
            </w:r>
          </w:p>
        </w:tc>
      </w:tr>
      <w:tr w:rsidR="00DC6108" w14:paraId="0B6429F4" w14:textId="77777777" w:rsidTr="006073D8">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7D62E68B" w14:textId="77777777" w:rsidR="00DC6108" w:rsidRPr="00E03A3F" w:rsidRDefault="00DC6108" w:rsidP="00CC3833">
            <w:pPr>
              <w:pStyle w:val="Tablecontent"/>
              <w:rPr>
                <w:b/>
                <w:bCs/>
              </w:rPr>
            </w:pPr>
            <w:r w:rsidRPr="00E03A3F">
              <w:rPr>
                <w:b/>
                <w:bCs/>
              </w:rPr>
              <w:t>Compliance</w:t>
            </w:r>
          </w:p>
        </w:tc>
        <w:tc>
          <w:tcPr>
            <w:tcW w:w="8476" w:type="dxa"/>
            <w:tcBorders>
              <w:top w:val="single" w:sz="4" w:space="0" w:color="BFBFBF" w:themeColor="background1" w:themeShade="BF"/>
              <w:bottom w:val="single" w:sz="4" w:space="0" w:color="BFBFBF" w:themeColor="background1" w:themeShade="BF"/>
            </w:tcBorders>
          </w:tcPr>
          <w:p w14:paraId="224ADC4D" w14:textId="2B354B0A" w:rsidR="00ED128D" w:rsidRDefault="00241B8B" w:rsidP="0018642E">
            <w:pPr>
              <w:pStyle w:val="Tablecontent"/>
            </w:pPr>
            <w:r>
              <w:t>This is hardly talked about</w:t>
            </w:r>
            <w:r w:rsidR="002B1B3C">
              <w:t>, as customers and provider expect this to be 100%</w:t>
            </w:r>
            <w:r w:rsidR="0018642E">
              <w:t>. This is why y</w:t>
            </w:r>
            <w:r w:rsidR="002B1B3C">
              <w:t>ou need to provide SLA</w:t>
            </w:r>
            <w:r w:rsidR="00ED128D">
              <w:t xml:space="preserve">, as </w:t>
            </w:r>
            <w:r w:rsidR="00A72009">
              <w:t xml:space="preserve">promising 100% will lead into disappointment. </w:t>
            </w:r>
          </w:p>
          <w:p w14:paraId="56335C2E" w14:textId="26774698" w:rsidR="00FE72EE" w:rsidRDefault="008C46E0" w:rsidP="0018642E">
            <w:pPr>
              <w:pStyle w:val="Tablecontent"/>
            </w:pPr>
            <w:r>
              <w:t xml:space="preserve">It measures the </w:t>
            </w:r>
            <w:r w:rsidR="00DC6108">
              <w:t>security compliance to industry regulation or certification.</w:t>
            </w:r>
          </w:p>
        </w:tc>
      </w:tr>
      <w:tr w:rsidR="00FE72EE" w14:paraId="425D7B42" w14:textId="77777777" w:rsidTr="006073D8">
        <w:tc>
          <w:tcPr>
            <w:tcW w:w="1980"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3EA6C9FB" w14:textId="040B1C5C" w:rsidR="00FE72EE" w:rsidRPr="00E03A3F" w:rsidRDefault="00FE72EE" w:rsidP="00CC3833">
            <w:pPr>
              <w:pStyle w:val="Tablecontent"/>
              <w:rPr>
                <w:b/>
                <w:bCs/>
              </w:rPr>
            </w:pPr>
            <w:r w:rsidRPr="00E03A3F">
              <w:rPr>
                <w:b/>
                <w:bCs/>
              </w:rPr>
              <w:t>Service</w:t>
            </w:r>
          </w:p>
        </w:tc>
        <w:tc>
          <w:tcPr>
            <w:tcW w:w="8476" w:type="dxa"/>
            <w:tcBorders>
              <w:top w:val="single" w:sz="4" w:space="0" w:color="BFBFBF" w:themeColor="background1" w:themeShade="BF"/>
              <w:bottom w:val="single" w:sz="4" w:space="0" w:color="BFBFBF" w:themeColor="background1" w:themeShade="BF"/>
            </w:tcBorders>
          </w:tcPr>
          <w:p w14:paraId="1F9F6E77" w14:textId="5DB8A939" w:rsidR="00381DB3" w:rsidRDefault="007E4562" w:rsidP="00CC3833">
            <w:pPr>
              <w:pStyle w:val="Tablecontent"/>
            </w:pPr>
            <w:r>
              <w:t>S</w:t>
            </w:r>
            <w:r w:rsidR="00927922">
              <w:t xml:space="preserve">ervice provided by </w:t>
            </w:r>
            <w:r>
              <w:t xml:space="preserve">both </w:t>
            </w:r>
            <w:r w:rsidR="00927922">
              <w:t>human</w:t>
            </w:r>
            <w:r>
              <w:t xml:space="preserve"> and system (typically in the form of self service portal)</w:t>
            </w:r>
          </w:p>
        </w:tc>
      </w:tr>
    </w:tbl>
    <w:p w14:paraId="3FE75A4F" w14:textId="77777777" w:rsidR="00A11256" w:rsidRDefault="00A11256" w:rsidP="00A11256">
      <w:pPr>
        <w:rPr>
          <w:lang w:val="en-GB"/>
        </w:rPr>
      </w:pPr>
      <w:r>
        <w:rPr>
          <w:lang w:val="en-GB"/>
        </w:rPr>
        <w:t xml:space="preserve">In Availability SLA, you measure downtime. In Performance SLA, you measure </w:t>
      </w:r>
      <w:r>
        <w:rPr>
          <w:color w:val="00B0F0"/>
          <w:lang w:val="en-GB"/>
        </w:rPr>
        <w:t>”s</w:t>
      </w:r>
      <w:r w:rsidRPr="00CB2B21">
        <w:rPr>
          <w:color w:val="00B0F0"/>
          <w:lang w:val="en-GB"/>
        </w:rPr>
        <w:t>low time</w:t>
      </w:r>
      <w:r>
        <w:rPr>
          <w:color w:val="00B0F0"/>
          <w:lang w:val="en-GB"/>
        </w:rPr>
        <w:t>”</w:t>
      </w:r>
      <w:r>
        <w:rPr>
          <w:lang w:val="en-GB"/>
        </w:rPr>
        <w:t xml:space="preserve">. In Compliance SLA, you measure </w:t>
      </w:r>
      <w:r>
        <w:rPr>
          <w:color w:val="00B0F0"/>
          <w:lang w:val="en-GB"/>
        </w:rPr>
        <w:t>unsecure</w:t>
      </w:r>
      <w:r w:rsidRPr="00CB2B21">
        <w:rPr>
          <w:color w:val="00B0F0"/>
          <w:lang w:val="en-GB"/>
        </w:rPr>
        <w:t xml:space="preserve"> time</w:t>
      </w:r>
      <w:r>
        <w:rPr>
          <w:lang w:val="en-GB"/>
        </w:rPr>
        <w:t>. Regardless, you measure something and expressed in 0 – 100%, with 100% being perfect relative to the contract.</w:t>
      </w:r>
    </w:p>
    <w:p w14:paraId="0CD062A2" w14:textId="1F72E4D5" w:rsidR="00B65C60" w:rsidRDefault="00A11256" w:rsidP="00A11256">
      <w:pPr>
        <w:rPr>
          <w:lang w:val="en-GB"/>
        </w:rPr>
      </w:pPr>
      <w:r>
        <w:rPr>
          <w:lang w:val="en-GB"/>
        </w:rPr>
        <w:t xml:space="preserve">The implementation though, is not so simple. Each has their own unique nature. </w:t>
      </w:r>
      <w:r w:rsidR="00B65C60">
        <w:rPr>
          <w:lang w:val="en-GB"/>
        </w:rPr>
        <w:t>Let’s dive into each.</w:t>
      </w:r>
    </w:p>
    <w:p w14:paraId="10502E9E" w14:textId="069BEF43" w:rsidR="00D8466D" w:rsidRDefault="00D55F4B" w:rsidP="00E7573A">
      <w:pPr>
        <w:pStyle w:val="Heading5"/>
      </w:pPr>
      <w:r>
        <w:t>Av</w:t>
      </w:r>
      <w:r w:rsidR="00D8466D">
        <w:t>ai</w:t>
      </w:r>
      <w:r>
        <w:t xml:space="preserve">lability </w:t>
      </w:r>
      <w:r w:rsidR="00F103FA">
        <w:t>SLA</w:t>
      </w:r>
    </w:p>
    <w:p w14:paraId="273683EE" w14:textId="173AD799" w:rsidR="008F1B0A" w:rsidRPr="008F1B0A" w:rsidRDefault="008F1B0A" w:rsidP="008F1B0A">
      <w:pPr>
        <w:jc w:val="center"/>
        <w:rPr>
          <w:lang w:val="en-GB"/>
        </w:rPr>
      </w:pPr>
      <w:r w:rsidRPr="00EA488F">
        <w:rPr>
          <w:noProof/>
          <w:lang w:val="en-GB"/>
        </w:rPr>
        <w:drawing>
          <wp:inline distT="0" distB="0" distL="0" distR="0" wp14:anchorId="476DBA09" wp14:editId="497E1582">
            <wp:extent cx="3214800" cy="1670400"/>
            <wp:effectExtent l="0" t="0" r="5080" b="6350"/>
            <wp:docPr id="1859674532" name="Picture 1859674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214800" cy="1670400"/>
                    </a:xfrm>
                    <a:prstGeom prst="rect">
                      <a:avLst/>
                    </a:prstGeom>
                  </pic:spPr>
                </pic:pic>
              </a:graphicData>
            </a:graphic>
          </wp:inline>
        </w:drawing>
      </w:r>
    </w:p>
    <w:p w14:paraId="5860C6FE" w14:textId="43FF7F0E" w:rsidR="00E978C7" w:rsidRPr="008F1B0A" w:rsidRDefault="008F1B0A" w:rsidP="008F1B0A">
      <w:pPr>
        <w:pStyle w:val="Tablecontent"/>
      </w:pPr>
      <w:r>
        <w:t xml:space="preserve">It’s black and white as it’s either up or down. </w:t>
      </w:r>
      <w:r w:rsidR="00342A25">
        <w:t>This introduces a problem</w:t>
      </w:r>
      <w:r w:rsidR="00C36D86">
        <w:t xml:space="preserve"> as 100% is practically too costly for business. </w:t>
      </w:r>
    </w:p>
    <w:p w14:paraId="7AC891A2" w14:textId="604C62CB" w:rsidR="009F4C51" w:rsidRDefault="00AC0567" w:rsidP="009F4C51">
      <w:r>
        <w:t xml:space="preserve">Luckily, there is scheduled downtime. </w:t>
      </w:r>
      <w:r w:rsidR="00FD5DAA">
        <w:t xml:space="preserve">This </w:t>
      </w:r>
      <w:r w:rsidR="009F4C51">
        <w:t xml:space="preserve">unique saving grace </w:t>
      </w:r>
      <w:r w:rsidR="00FD5DAA">
        <w:t xml:space="preserve">lets you state you’re 99.999% available </w:t>
      </w:r>
      <w:r w:rsidR="00D667C2">
        <w:t>even though</w:t>
      </w:r>
      <w:r w:rsidR="00FD5DAA">
        <w:t xml:space="preserve"> the actual reality</w:t>
      </w:r>
      <w:r w:rsidR="00D667C2">
        <w:t>, experienced by end customer,</w:t>
      </w:r>
      <w:r w:rsidR="00FD5DAA">
        <w:t xml:space="preserve"> is lower</w:t>
      </w:r>
      <w:r w:rsidR="009F4C51">
        <w:t xml:space="preserve">. This is why you need two </w:t>
      </w:r>
      <w:r w:rsidR="00E42CBE">
        <w:t>metric</w:t>
      </w:r>
      <w:r w:rsidR="009F4C51">
        <w:t>s: one for SLA and one for actual. The actual will record every downtime, be it a part of SLA or not.</w:t>
      </w:r>
    </w:p>
    <w:p w14:paraId="7B87E36B" w14:textId="664B0F3E" w:rsidR="009F4C51" w:rsidRDefault="009F4C51" w:rsidP="009F4C51">
      <w:r>
        <w:t>A challenge that impact</w:t>
      </w:r>
      <w:r w:rsidR="00B42534">
        <w:t>s</w:t>
      </w:r>
      <w:r>
        <w:t xml:space="preserve"> Availability but not Performance is recovery time. Your system may detect the VM is down within 1 minute, but the reboot process until the entire OS is properly up and running takes 5 minutes, as it needs to perform filesystem consistency check.</w:t>
      </w:r>
    </w:p>
    <w:p w14:paraId="249C0657" w14:textId="77777777" w:rsidR="009F4C51" w:rsidRPr="009F4C51" w:rsidRDefault="009F4C51" w:rsidP="009F4C51">
      <w:pPr>
        <w:pStyle w:val="BeforeTable"/>
        <w:rPr>
          <w:lang w:val="en-GB"/>
        </w:rPr>
      </w:pPr>
    </w:p>
    <w:tbl>
      <w:tblPr>
        <w:tblW w:w="0" w:type="auto"/>
        <w:tblLook w:val="04A0" w:firstRow="1" w:lastRow="0" w:firstColumn="1" w:lastColumn="0" w:noHBand="0" w:noVBand="1"/>
      </w:tblPr>
      <w:tblGrid>
        <w:gridCol w:w="1843"/>
        <w:gridCol w:w="8613"/>
      </w:tblGrid>
      <w:tr w:rsidR="00D55F4B" w14:paraId="40541B51" w14:textId="77777777" w:rsidTr="00425AB2">
        <w:tc>
          <w:tcPr>
            <w:tcW w:w="184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7300A39E" w14:textId="2C21E8C5" w:rsidR="00425AB2" w:rsidRPr="00AF066D" w:rsidRDefault="00425AB2" w:rsidP="00425AB2">
            <w:pPr>
              <w:pStyle w:val="Tablecontent"/>
              <w:rPr>
                <w:lang w:val="en-SG"/>
              </w:rPr>
            </w:pPr>
            <w:r w:rsidRPr="00AF066D">
              <w:rPr>
                <w:lang w:val="en-SG"/>
              </w:rPr>
              <w:t>Definition</w:t>
            </w:r>
          </w:p>
          <w:p w14:paraId="66DCEBBD" w14:textId="7A91C773" w:rsidR="00D55F4B" w:rsidRPr="00AF066D" w:rsidRDefault="00D55F4B" w:rsidP="00385EE9">
            <w:pPr>
              <w:pStyle w:val="Tablecontent"/>
            </w:pPr>
          </w:p>
        </w:tc>
        <w:tc>
          <w:tcPr>
            <w:tcW w:w="8613" w:type="dxa"/>
            <w:tcBorders>
              <w:top w:val="single" w:sz="4" w:space="0" w:color="BFBFBF" w:themeColor="background1" w:themeShade="BF"/>
              <w:bottom w:val="single" w:sz="4" w:space="0" w:color="BFBFBF" w:themeColor="background1" w:themeShade="BF"/>
            </w:tcBorders>
          </w:tcPr>
          <w:p w14:paraId="7B41DE9E" w14:textId="77777777" w:rsidR="0041310D" w:rsidRPr="00B57B1E" w:rsidRDefault="0041310D" w:rsidP="00B57B1E">
            <w:pPr>
              <w:pStyle w:val="Tablecontent"/>
            </w:pPr>
            <w:r w:rsidRPr="00B57B1E">
              <w:t xml:space="preserve">Defined as Guest OS is pingable, because running but isolated fails the availability test. </w:t>
            </w:r>
          </w:p>
          <w:p w14:paraId="47A5BCED" w14:textId="77777777" w:rsidR="00D55F4B" w:rsidRDefault="0041310D" w:rsidP="00B57B1E">
            <w:pPr>
              <w:pStyle w:val="Tablecontent"/>
            </w:pPr>
            <w:r w:rsidRPr="00B57B1E">
              <w:t>The Ping Source is predefined and set by the IaaS, not customer.</w:t>
            </w:r>
            <w:r w:rsidR="00DA22A7" w:rsidRPr="00B57B1E">
              <w:t xml:space="preserve"> </w:t>
            </w:r>
            <w:r w:rsidRPr="00B57B1E">
              <w:t>It pings the VM, not a specific process (e.g. web server). This is IaaS, not web server as a service.</w:t>
            </w:r>
          </w:p>
          <w:p w14:paraId="4950EAFF" w14:textId="3C10ECFA" w:rsidR="002D6718" w:rsidRPr="002D6718" w:rsidRDefault="002D6718" w:rsidP="00B57B1E">
            <w:pPr>
              <w:pStyle w:val="Tablecontent"/>
              <w:rPr>
                <w:lang w:val="en-GB"/>
              </w:rPr>
            </w:pPr>
            <w:r>
              <w:rPr>
                <w:lang w:val="en-GB"/>
              </w:rPr>
              <w:t xml:space="preserve">The uptime only covers Guest OS. If it takes the application 15 minutes to fully operational as it has to load all files and services, that’s not counted. </w:t>
            </w:r>
          </w:p>
        </w:tc>
      </w:tr>
      <w:tr w:rsidR="00D55F4B" w14:paraId="02CC9FB7" w14:textId="77777777" w:rsidTr="00425AB2">
        <w:tc>
          <w:tcPr>
            <w:tcW w:w="184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75A8D4BB" w14:textId="7E9BD933" w:rsidR="00D55F4B" w:rsidRPr="00AF066D" w:rsidRDefault="00425AB2" w:rsidP="00385EE9">
            <w:pPr>
              <w:pStyle w:val="Tablecontent"/>
              <w:rPr>
                <w:lang w:val="en-SG"/>
              </w:rPr>
            </w:pPr>
            <w:r w:rsidRPr="00AF066D">
              <w:rPr>
                <w:lang w:val="en-SG"/>
              </w:rPr>
              <w:t>Inclusion</w:t>
            </w:r>
          </w:p>
        </w:tc>
        <w:tc>
          <w:tcPr>
            <w:tcW w:w="8613" w:type="dxa"/>
            <w:tcBorders>
              <w:top w:val="single" w:sz="4" w:space="0" w:color="BFBFBF" w:themeColor="background1" w:themeShade="BF"/>
              <w:bottom w:val="single" w:sz="4" w:space="0" w:color="BFBFBF" w:themeColor="background1" w:themeShade="BF"/>
            </w:tcBorders>
          </w:tcPr>
          <w:p w14:paraId="3DFBDFFC" w14:textId="71C13E86" w:rsidR="00D55F4B" w:rsidRPr="00B57B1E" w:rsidRDefault="00425AB2" w:rsidP="00B57B1E">
            <w:pPr>
              <w:pStyle w:val="Tablecontent"/>
            </w:pPr>
            <w:r w:rsidRPr="00B57B1E">
              <w:t>If the crash caused by VMware Tools or IT Infra owned drivers/agents, then it’s counted</w:t>
            </w:r>
            <w:r w:rsidR="00181EB2">
              <w:t>.</w:t>
            </w:r>
          </w:p>
        </w:tc>
      </w:tr>
      <w:tr w:rsidR="00425AB2" w14:paraId="3C8E77F1" w14:textId="77777777" w:rsidTr="00425AB2">
        <w:tc>
          <w:tcPr>
            <w:tcW w:w="184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04FA64BB" w14:textId="77777777" w:rsidR="00425AB2" w:rsidRPr="00AF066D" w:rsidRDefault="00425AB2" w:rsidP="00425AB2">
            <w:pPr>
              <w:pStyle w:val="Tablecontent"/>
              <w:rPr>
                <w:lang w:val="en-SG"/>
              </w:rPr>
            </w:pPr>
            <w:r w:rsidRPr="00AF066D">
              <w:rPr>
                <w:lang w:val="en-SG"/>
              </w:rPr>
              <w:lastRenderedPageBreak/>
              <w:t>Exclusion</w:t>
            </w:r>
          </w:p>
          <w:p w14:paraId="0ACD3754" w14:textId="77777777" w:rsidR="00425AB2" w:rsidRPr="00AF066D" w:rsidRDefault="00425AB2" w:rsidP="00385EE9">
            <w:pPr>
              <w:pStyle w:val="Tablecontent"/>
            </w:pPr>
          </w:p>
        </w:tc>
        <w:tc>
          <w:tcPr>
            <w:tcW w:w="8613" w:type="dxa"/>
            <w:tcBorders>
              <w:top w:val="single" w:sz="4" w:space="0" w:color="BFBFBF" w:themeColor="background1" w:themeShade="BF"/>
              <w:bottom w:val="single" w:sz="4" w:space="0" w:color="BFBFBF" w:themeColor="background1" w:themeShade="BF"/>
            </w:tcBorders>
          </w:tcPr>
          <w:p w14:paraId="4AB17C52" w14:textId="2A653907" w:rsidR="00425AB2" w:rsidRPr="00B57B1E" w:rsidRDefault="00425AB2" w:rsidP="00B57B1E">
            <w:pPr>
              <w:pStyle w:val="Tablecontent"/>
            </w:pPr>
            <w:r w:rsidRPr="00B57B1E">
              <w:t xml:space="preserve">If the crash is caused by bad </w:t>
            </w:r>
            <w:r w:rsidR="0002089A">
              <w:t>applications</w:t>
            </w:r>
            <w:r w:rsidRPr="00B57B1E">
              <w:t xml:space="preserve"> </w:t>
            </w:r>
            <w:r w:rsidR="001F27E9" w:rsidRPr="00B57B1E">
              <w:t>behaviors</w:t>
            </w:r>
            <w:r w:rsidR="00635641">
              <w:t>, as that’s not within the control of IaaS provider.</w:t>
            </w:r>
          </w:p>
          <w:p w14:paraId="15FB2E6F" w14:textId="1732F834" w:rsidR="00425AB2" w:rsidRPr="00B57B1E" w:rsidRDefault="00425AB2" w:rsidP="00B57B1E">
            <w:pPr>
              <w:pStyle w:val="Tablecontent"/>
            </w:pPr>
            <w:r w:rsidRPr="00B57B1E">
              <w:t>Scheduled downtime</w:t>
            </w:r>
            <w:r w:rsidR="00D70E91">
              <w:t xml:space="preserve">. </w:t>
            </w:r>
            <w:r w:rsidR="00D70E91">
              <w:rPr>
                <w:lang w:val="en-GB"/>
              </w:rPr>
              <w:t>So the Guest OS upgrades, patches that requires reboot, Tools upgrade</w:t>
            </w:r>
            <w:r w:rsidR="004F53ED">
              <w:rPr>
                <w:lang w:val="en-GB"/>
              </w:rPr>
              <w:t>, VM Hardware version</w:t>
            </w:r>
            <w:r w:rsidR="00D70E91">
              <w:rPr>
                <w:lang w:val="en-GB"/>
              </w:rPr>
              <w:t xml:space="preserve"> are not counted if you execute within the agreed scheduled downtime.</w:t>
            </w:r>
            <w:r w:rsidRPr="00B57B1E">
              <w:t xml:space="preserve"> </w:t>
            </w:r>
          </w:p>
          <w:p w14:paraId="60657E69" w14:textId="51E15196" w:rsidR="00E204C6" w:rsidRPr="000C6B3D" w:rsidRDefault="00E204C6" w:rsidP="00B57B1E">
            <w:pPr>
              <w:pStyle w:val="Tablecontent"/>
              <w:rPr>
                <w:lang w:val="en-GB"/>
              </w:rPr>
            </w:pPr>
            <w:r w:rsidRPr="00B57B1E">
              <w:t>Unscheduled downtime caused by customer</w:t>
            </w:r>
            <w:r w:rsidR="00375A37" w:rsidRPr="00B57B1E">
              <w:t xml:space="preserve">. </w:t>
            </w:r>
            <w:r w:rsidR="000C6B3D">
              <w:rPr>
                <w:lang w:val="en-GB"/>
              </w:rPr>
              <w:t xml:space="preserve">As it takes time to figure out what caused the downtime, you need to be able to recalculate the </w:t>
            </w:r>
            <w:r w:rsidR="00E42CBE">
              <w:rPr>
                <w:lang w:val="en-GB"/>
              </w:rPr>
              <w:t>metric</w:t>
            </w:r>
            <w:r w:rsidR="000C6B3D">
              <w:rPr>
                <w:lang w:val="en-GB"/>
              </w:rPr>
              <w:t>.</w:t>
            </w:r>
          </w:p>
          <w:p w14:paraId="7DD0565F" w14:textId="12FACC90" w:rsidR="0033136B" w:rsidRPr="00B57B1E" w:rsidRDefault="00425AB2" w:rsidP="00B57B1E">
            <w:pPr>
              <w:pStyle w:val="Tablecontent"/>
            </w:pPr>
            <w:r w:rsidRPr="00B57B1E">
              <w:t>VM owner initiated reboot as they might reboot their OS to solve problem or after installing software. How to tra</w:t>
            </w:r>
            <w:r w:rsidR="000552AD" w:rsidRPr="00B57B1E">
              <w:t>ck</w:t>
            </w:r>
            <w:r w:rsidRPr="00B57B1E">
              <w:t xml:space="preserve"> </w:t>
            </w:r>
            <w:r w:rsidR="00A11F95" w:rsidRPr="00B57B1E">
              <w:t xml:space="preserve">as developer may not inform IaaS team, </w:t>
            </w:r>
            <w:r w:rsidRPr="00B57B1E">
              <w:t>as Windows does not fully trap this event?</w:t>
            </w:r>
          </w:p>
        </w:tc>
      </w:tr>
    </w:tbl>
    <w:p w14:paraId="1ECA2BB4" w14:textId="70F8CB51" w:rsidR="002D2329" w:rsidRDefault="002D2329" w:rsidP="002D2329">
      <w:r>
        <w:t xml:space="preserve">You need to back up your promise with solution that customers are convinced. Here are some </w:t>
      </w:r>
      <w:r w:rsidR="000731CD">
        <w:t>solutions</w:t>
      </w:r>
      <w:r>
        <w:t xml:space="preserve"> that you may offer to justify and support the higher availability SLA</w:t>
      </w:r>
      <w:r w:rsidR="00635641">
        <w:t>.</w:t>
      </w:r>
    </w:p>
    <w:p w14:paraId="3FCD6DE9" w14:textId="712B2227" w:rsidR="002D2329" w:rsidRDefault="002D2329" w:rsidP="002D2329">
      <w:pPr>
        <w:pStyle w:val="BeforeTable"/>
      </w:pPr>
      <w:r>
        <w:t xml:space="preserve"> </w:t>
      </w:r>
    </w:p>
    <w:tbl>
      <w:tblPr>
        <w:tblW w:w="0" w:type="auto"/>
        <w:tblLook w:val="04A0" w:firstRow="1" w:lastRow="0" w:firstColumn="1" w:lastColumn="0" w:noHBand="0" w:noVBand="1"/>
      </w:tblPr>
      <w:tblGrid>
        <w:gridCol w:w="2263"/>
        <w:gridCol w:w="7097"/>
        <w:gridCol w:w="1096"/>
      </w:tblGrid>
      <w:tr w:rsidR="002D2329" w14:paraId="6739BDC2" w14:textId="77777777" w:rsidTr="00E440AB">
        <w:tc>
          <w:tcPr>
            <w:tcW w:w="226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66904D02" w14:textId="77777777" w:rsidR="002D2329" w:rsidRPr="00AF066D" w:rsidRDefault="002D2329" w:rsidP="00E440AB">
            <w:pPr>
              <w:pStyle w:val="Tablecontent"/>
            </w:pPr>
            <w:r w:rsidRPr="00AF066D">
              <w:t>Backup</w:t>
            </w:r>
          </w:p>
        </w:tc>
        <w:tc>
          <w:tcPr>
            <w:tcW w:w="8193" w:type="dxa"/>
            <w:gridSpan w:val="2"/>
            <w:tcBorders>
              <w:top w:val="single" w:sz="4" w:space="0" w:color="BFBFBF" w:themeColor="background1" w:themeShade="BF"/>
              <w:bottom w:val="single" w:sz="4" w:space="0" w:color="BFBFBF" w:themeColor="background1" w:themeShade="BF"/>
            </w:tcBorders>
          </w:tcPr>
          <w:p w14:paraId="48E729C1" w14:textId="6CABCBEB" w:rsidR="002D2329" w:rsidRPr="00B57B1E" w:rsidRDefault="002D2329" w:rsidP="00B57B1E">
            <w:pPr>
              <w:pStyle w:val="Tablecontent"/>
            </w:pPr>
            <w:r w:rsidRPr="00B57B1E">
              <w:t>Gold Tier provides application</w:t>
            </w:r>
            <w:r w:rsidR="008F2813">
              <w:t>-</w:t>
            </w:r>
            <w:r w:rsidRPr="00B57B1E">
              <w:t>level back up. It also provides more frequent full back up, and customers is provided with self-service individual file restore.</w:t>
            </w:r>
          </w:p>
        </w:tc>
      </w:tr>
      <w:tr w:rsidR="002D2329" w14:paraId="7ACAD542" w14:textId="77777777" w:rsidTr="00E440AB">
        <w:tc>
          <w:tcPr>
            <w:tcW w:w="226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2D31A3DA" w14:textId="77777777" w:rsidR="002D2329" w:rsidRPr="00AF066D" w:rsidRDefault="002D2329" w:rsidP="00E440AB">
            <w:pPr>
              <w:pStyle w:val="Tablecontent"/>
            </w:pPr>
            <w:r w:rsidRPr="00AF066D">
              <w:t>High Availability</w:t>
            </w:r>
          </w:p>
        </w:tc>
        <w:tc>
          <w:tcPr>
            <w:tcW w:w="8193" w:type="dxa"/>
            <w:gridSpan w:val="2"/>
            <w:tcBorders>
              <w:top w:val="single" w:sz="4" w:space="0" w:color="BFBFBF" w:themeColor="background1" w:themeShade="BF"/>
              <w:bottom w:val="single" w:sz="4" w:space="0" w:color="BFBFBF" w:themeColor="background1" w:themeShade="BF"/>
            </w:tcBorders>
          </w:tcPr>
          <w:p w14:paraId="6467BD02" w14:textId="6575294B" w:rsidR="002D2329" w:rsidRPr="00B57B1E" w:rsidRDefault="002D2329" w:rsidP="00B57B1E">
            <w:pPr>
              <w:pStyle w:val="Tablecontent"/>
            </w:pPr>
            <w:r w:rsidRPr="00B57B1E">
              <w:t xml:space="preserve">Gold Tier provides </w:t>
            </w:r>
            <w:r w:rsidR="008F2813" w:rsidRPr="00B57B1E">
              <w:t>application-level</w:t>
            </w:r>
            <w:r w:rsidRPr="00B57B1E">
              <w:t xml:space="preserve"> monitoring. Customers can also ask for specific boot up sequence of their VMs, and ask for VM-Host affinity rules to minimize risk.</w:t>
            </w:r>
          </w:p>
        </w:tc>
      </w:tr>
      <w:tr w:rsidR="002D2329" w14:paraId="097D2096" w14:textId="77777777" w:rsidTr="00E440AB">
        <w:tc>
          <w:tcPr>
            <w:tcW w:w="226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52643585" w14:textId="77777777" w:rsidR="002D2329" w:rsidRPr="00AF066D" w:rsidRDefault="002D2329" w:rsidP="00E440AB">
            <w:pPr>
              <w:pStyle w:val="Tablecontent"/>
            </w:pPr>
            <w:r w:rsidRPr="00AF066D">
              <w:t>Disaster Recovery</w:t>
            </w:r>
          </w:p>
        </w:tc>
        <w:tc>
          <w:tcPr>
            <w:tcW w:w="8193" w:type="dxa"/>
            <w:gridSpan w:val="2"/>
            <w:tcBorders>
              <w:top w:val="single" w:sz="4" w:space="0" w:color="BFBFBF" w:themeColor="background1" w:themeShade="BF"/>
              <w:bottom w:val="single" w:sz="4" w:space="0" w:color="BFBFBF" w:themeColor="background1" w:themeShade="BF"/>
            </w:tcBorders>
          </w:tcPr>
          <w:p w14:paraId="6966028F" w14:textId="77777777" w:rsidR="002D2329" w:rsidRPr="00B57B1E" w:rsidRDefault="002D2329" w:rsidP="00B57B1E">
            <w:pPr>
              <w:pStyle w:val="Tablecontent"/>
            </w:pPr>
            <w:r w:rsidRPr="00B57B1E">
              <w:t xml:space="preserve">Gold Tier provides lower </w:t>
            </w:r>
            <w:hyperlink r:id="rId67" w:history="1">
              <w:r w:rsidRPr="00B57B1E">
                <w:rPr>
                  <w:rStyle w:val="Hyperlink"/>
                  <w:color w:val="auto"/>
                  <w:u w:val="none"/>
                </w:rPr>
                <w:t>RPO and RTO</w:t>
              </w:r>
            </w:hyperlink>
            <w:r w:rsidRPr="00B57B1E">
              <w:t>. Customers are also entitled to annual real test, where the production workload are run from the DR site.</w:t>
            </w:r>
          </w:p>
        </w:tc>
      </w:tr>
      <w:tr w:rsidR="002D2329" w14:paraId="6C06D7E1" w14:textId="77777777" w:rsidTr="00E440AB">
        <w:tc>
          <w:tcPr>
            <w:tcW w:w="226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2057DEE7" w14:textId="77777777" w:rsidR="002D2329" w:rsidRPr="00AF066D" w:rsidRDefault="002D2329" w:rsidP="00E440AB">
            <w:pPr>
              <w:pStyle w:val="Tablecontent"/>
            </w:pPr>
            <w:r w:rsidRPr="00AF066D">
              <w:t>Snapshot</w:t>
            </w:r>
          </w:p>
        </w:tc>
        <w:tc>
          <w:tcPr>
            <w:tcW w:w="8193" w:type="dxa"/>
            <w:gridSpan w:val="2"/>
            <w:tcBorders>
              <w:top w:val="single" w:sz="4" w:space="0" w:color="BFBFBF" w:themeColor="background1" w:themeShade="BF"/>
              <w:bottom w:val="single" w:sz="4" w:space="0" w:color="BFBFBF" w:themeColor="background1" w:themeShade="BF"/>
            </w:tcBorders>
          </w:tcPr>
          <w:p w14:paraId="660F1789" w14:textId="77777777" w:rsidR="002D2329" w:rsidRPr="00B57B1E" w:rsidRDefault="002D2329" w:rsidP="00B57B1E">
            <w:pPr>
              <w:pStyle w:val="Tablecontent"/>
            </w:pPr>
            <w:r w:rsidRPr="00B57B1E">
              <w:t>Gold Tier provides longer snapshot and larger snapshot.</w:t>
            </w:r>
          </w:p>
        </w:tc>
      </w:tr>
      <w:tr w:rsidR="001047EB" w14:paraId="60CDB220" w14:textId="77777777" w:rsidTr="001047EB">
        <w:trPr>
          <w:gridAfter w:val="1"/>
          <w:wAfter w:w="1096" w:type="dxa"/>
        </w:trPr>
        <w:tc>
          <w:tcPr>
            <w:tcW w:w="226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03D0AEFD" w14:textId="77777777" w:rsidR="001047EB" w:rsidRPr="00AF066D" w:rsidRDefault="001047EB" w:rsidP="00E440AB">
            <w:pPr>
              <w:pStyle w:val="Tablecontent"/>
            </w:pPr>
            <w:r w:rsidRPr="00AF066D">
              <w:t>OS Management</w:t>
            </w:r>
          </w:p>
        </w:tc>
        <w:tc>
          <w:tcPr>
            <w:tcW w:w="7097" w:type="dxa"/>
            <w:tcBorders>
              <w:top w:val="single" w:sz="4" w:space="0" w:color="BFBFBF" w:themeColor="background1" w:themeShade="BF"/>
              <w:bottom w:val="single" w:sz="4" w:space="0" w:color="BFBFBF" w:themeColor="background1" w:themeShade="BF"/>
            </w:tcBorders>
          </w:tcPr>
          <w:p w14:paraId="77D5D15C" w14:textId="3BAC5BDB" w:rsidR="001047EB" w:rsidRPr="00B57B1E" w:rsidRDefault="001047EB" w:rsidP="00B57B1E">
            <w:pPr>
              <w:pStyle w:val="Tablecontent"/>
            </w:pPr>
            <w:r w:rsidRPr="00B57B1E">
              <w:t xml:space="preserve">Gold Tier provides flexibility in patching. Customers can specify delay in patching and request for custom patch package, where not all patches from Microsoft or </w:t>
            </w:r>
            <w:r w:rsidR="00CF7D2C" w:rsidRPr="00CF7D2C">
              <w:rPr>
                <w:color w:val="FF0000"/>
              </w:rPr>
              <w:t>Red</w:t>
            </w:r>
            <w:r w:rsidRPr="00B57B1E">
              <w:t xml:space="preserve"> Hat is applied. </w:t>
            </w:r>
          </w:p>
        </w:tc>
      </w:tr>
      <w:tr w:rsidR="001047EB" w14:paraId="0A55B642" w14:textId="77777777" w:rsidTr="001047EB">
        <w:trPr>
          <w:gridAfter w:val="1"/>
          <w:wAfter w:w="1096" w:type="dxa"/>
        </w:trPr>
        <w:tc>
          <w:tcPr>
            <w:tcW w:w="226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31278B8F" w14:textId="5774443F" w:rsidR="001047EB" w:rsidRPr="00AF066D" w:rsidRDefault="001047EB" w:rsidP="00E440AB">
            <w:pPr>
              <w:pStyle w:val="Tablecontent"/>
            </w:pPr>
            <w:r w:rsidRPr="00AF066D">
              <w:t>VM Management</w:t>
            </w:r>
          </w:p>
        </w:tc>
        <w:tc>
          <w:tcPr>
            <w:tcW w:w="7097" w:type="dxa"/>
            <w:tcBorders>
              <w:top w:val="single" w:sz="4" w:space="0" w:color="BFBFBF" w:themeColor="background1" w:themeShade="BF"/>
              <w:bottom w:val="single" w:sz="4" w:space="0" w:color="BFBFBF" w:themeColor="background1" w:themeShade="BF"/>
            </w:tcBorders>
          </w:tcPr>
          <w:p w14:paraId="5521BCD2" w14:textId="75A8F80D" w:rsidR="001047EB" w:rsidRPr="00B57B1E" w:rsidRDefault="001047EB" w:rsidP="00B57B1E">
            <w:pPr>
              <w:pStyle w:val="Tablecontent"/>
            </w:pPr>
            <w:r w:rsidRPr="00B57B1E">
              <w:t>Gold Tier provides flexibility in updating Tools and VM Hardware. Customers are allowed to defer the update.</w:t>
            </w:r>
          </w:p>
        </w:tc>
      </w:tr>
    </w:tbl>
    <w:p w14:paraId="5181208B" w14:textId="76E6FDA9" w:rsidR="00D55F4B" w:rsidRDefault="005E4A1B" w:rsidP="00E7573A">
      <w:pPr>
        <w:pStyle w:val="Heading5"/>
      </w:pPr>
      <w:bookmarkStart w:id="11" w:name="_Performance_SLA_1"/>
      <w:bookmarkEnd w:id="11"/>
      <w:r>
        <w:t>Performance</w:t>
      </w:r>
      <w:r w:rsidR="00F103FA">
        <w:t xml:space="preserve"> SLA</w:t>
      </w:r>
    </w:p>
    <w:p w14:paraId="169E2D50" w14:textId="65EE7FE4" w:rsidR="008F1B0A" w:rsidRPr="008F1B0A" w:rsidRDefault="00342A25" w:rsidP="00342A25">
      <w:pPr>
        <w:jc w:val="center"/>
        <w:rPr>
          <w:lang w:val="en-GB"/>
        </w:rPr>
      </w:pPr>
      <w:r w:rsidRPr="00EA488F">
        <w:rPr>
          <w:noProof/>
          <w:lang w:val="en-GB"/>
        </w:rPr>
        <w:drawing>
          <wp:inline distT="0" distB="0" distL="0" distR="0" wp14:anchorId="09AD348F" wp14:editId="050BF805">
            <wp:extent cx="3171600" cy="1609200"/>
            <wp:effectExtent l="0" t="0" r="0" b="0"/>
            <wp:docPr id="1859674533" name="Picture 1859674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3171600" cy="1609200"/>
                    </a:xfrm>
                    <a:prstGeom prst="rect">
                      <a:avLst/>
                    </a:prstGeom>
                  </pic:spPr>
                </pic:pic>
              </a:graphicData>
            </a:graphic>
          </wp:inline>
        </w:drawing>
      </w:r>
    </w:p>
    <w:p w14:paraId="048EC5A0" w14:textId="31B784D8" w:rsidR="009F4C51" w:rsidRDefault="007E333E" w:rsidP="009F4C51">
      <w:r>
        <w:t xml:space="preserve">Unlike availability, which </w:t>
      </w:r>
      <w:r w:rsidR="00DA32F2">
        <w:t>has the luxury of scheduled downtime, t</w:t>
      </w:r>
      <w:r w:rsidR="009F4C51">
        <w:t>here is no such thing as scheduled “slow time” in performance</w:t>
      </w:r>
      <w:r w:rsidR="00DA32F2">
        <w:t xml:space="preserve">. </w:t>
      </w:r>
      <w:r w:rsidR="009F4C51">
        <w:t>You can’t say that you’re doing infrastructure upgrade and use that as excuse that VM performance will be slow.</w:t>
      </w:r>
      <w:r w:rsidR="00DA32F2">
        <w:t xml:space="preserve"> As a result, you need to put your </w:t>
      </w:r>
      <w:r w:rsidR="00B45136">
        <w:t>margin or buffer somewhere else.</w:t>
      </w:r>
    </w:p>
    <w:p w14:paraId="6870269C" w14:textId="382D6ADF" w:rsidR="00B45136" w:rsidRDefault="005E4D97" w:rsidP="00B45136">
      <w:pPr>
        <w:pStyle w:val="Tablecontent"/>
      </w:pPr>
      <w:r>
        <w:t xml:space="preserve">Slow </w:t>
      </w:r>
      <w:r w:rsidR="00B45136">
        <w:t xml:space="preserve">is not binary. It’s a spectrum from 0 contention to absolute worst (as good as dead). Some </w:t>
      </w:r>
      <w:r w:rsidR="00E42CBE">
        <w:t>metric</w:t>
      </w:r>
      <w:r w:rsidR="00B45136">
        <w:t xml:space="preserve">s such as disk latency can never be 0. It will be a small number, but it’s not 0. Same goes with </w:t>
      </w:r>
      <w:r w:rsidR="00485F26">
        <w:t xml:space="preserve">the value of </w:t>
      </w:r>
      <w:r w:rsidR="00B45136">
        <w:t>CPU Ready</w:t>
      </w:r>
      <w:r w:rsidR="00485F26">
        <w:t xml:space="preserve"> metric</w:t>
      </w:r>
      <w:r w:rsidR="00B45136">
        <w:t>. So we need to define a threshold above 0.</w:t>
      </w:r>
    </w:p>
    <w:p w14:paraId="39CAE1E4" w14:textId="77777777" w:rsidR="009F4C51" w:rsidRPr="009F4C51" w:rsidRDefault="009F4C51" w:rsidP="009F4C51">
      <w:pPr>
        <w:pStyle w:val="BeforeTable"/>
        <w:rPr>
          <w:lang w:val="en-GB"/>
        </w:rPr>
      </w:pPr>
    </w:p>
    <w:tbl>
      <w:tblPr>
        <w:tblW w:w="0" w:type="auto"/>
        <w:tblLook w:val="04A0" w:firstRow="1" w:lastRow="0" w:firstColumn="1" w:lastColumn="0" w:noHBand="0" w:noVBand="1"/>
      </w:tblPr>
      <w:tblGrid>
        <w:gridCol w:w="1843"/>
        <w:gridCol w:w="8623"/>
      </w:tblGrid>
      <w:tr w:rsidR="005E4A1B" w14:paraId="11528A62" w14:textId="77777777" w:rsidTr="00385746">
        <w:tc>
          <w:tcPr>
            <w:tcW w:w="184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712163C2" w14:textId="77777777" w:rsidR="00385746" w:rsidRPr="00AF066D" w:rsidRDefault="00385746" w:rsidP="00385746">
            <w:pPr>
              <w:pStyle w:val="Tablecontent"/>
              <w:rPr>
                <w:lang w:val="en-SG"/>
              </w:rPr>
            </w:pPr>
            <w:r w:rsidRPr="00AF066D">
              <w:rPr>
                <w:lang w:val="en-SG"/>
              </w:rPr>
              <w:t>Definition</w:t>
            </w:r>
          </w:p>
          <w:p w14:paraId="4DAA8C6A" w14:textId="418D9F64" w:rsidR="005E4A1B" w:rsidRPr="00AF066D" w:rsidRDefault="005E4A1B" w:rsidP="00385EE9">
            <w:pPr>
              <w:pStyle w:val="Tablecontent"/>
            </w:pPr>
          </w:p>
        </w:tc>
        <w:tc>
          <w:tcPr>
            <w:tcW w:w="8623" w:type="dxa"/>
            <w:tcBorders>
              <w:top w:val="single" w:sz="4" w:space="0" w:color="BFBFBF" w:themeColor="background1" w:themeShade="BF"/>
              <w:bottom w:val="single" w:sz="4" w:space="0" w:color="BFBFBF" w:themeColor="background1" w:themeShade="BF"/>
            </w:tcBorders>
          </w:tcPr>
          <w:p w14:paraId="468A763D" w14:textId="77777777" w:rsidR="00990DB5" w:rsidRPr="00385746" w:rsidRDefault="00990DB5" w:rsidP="00385746">
            <w:pPr>
              <w:pStyle w:val="Tablecontent"/>
            </w:pPr>
            <w:r w:rsidRPr="00385746">
              <w:t>All are measured at VM level, not individual vCPU or vDisk. For disk, it’s also the average of Read &amp; Write.</w:t>
            </w:r>
          </w:p>
          <w:p w14:paraId="4AC8B848" w14:textId="73EBD438" w:rsidR="005E4A1B" w:rsidRPr="00385746" w:rsidRDefault="00990DB5" w:rsidP="00385746">
            <w:pPr>
              <w:pStyle w:val="Tablecontent"/>
            </w:pPr>
            <w:r w:rsidRPr="00385746">
              <w:t xml:space="preserve">All are averaged of 300 seconds. </w:t>
            </w:r>
          </w:p>
        </w:tc>
      </w:tr>
      <w:tr w:rsidR="005E4A1B" w14:paraId="5C39BB8F" w14:textId="77777777" w:rsidTr="00385746">
        <w:tc>
          <w:tcPr>
            <w:tcW w:w="184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07DC86AA" w14:textId="77777777" w:rsidR="00385746" w:rsidRPr="00AF066D" w:rsidRDefault="00385746" w:rsidP="00385746">
            <w:pPr>
              <w:pStyle w:val="Tablecontent"/>
              <w:rPr>
                <w:lang w:val="en-SG"/>
              </w:rPr>
            </w:pPr>
            <w:r w:rsidRPr="00AF066D">
              <w:rPr>
                <w:lang w:val="en-SG"/>
              </w:rPr>
              <w:t>Inclusion</w:t>
            </w:r>
          </w:p>
          <w:p w14:paraId="26939E7B" w14:textId="17674CE0" w:rsidR="005E4A1B" w:rsidRPr="00AF066D" w:rsidRDefault="005E4A1B" w:rsidP="00385EE9">
            <w:pPr>
              <w:pStyle w:val="Tablecontent"/>
            </w:pPr>
          </w:p>
        </w:tc>
        <w:tc>
          <w:tcPr>
            <w:tcW w:w="8623" w:type="dxa"/>
            <w:tcBorders>
              <w:top w:val="single" w:sz="4" w:space="0" w:color="BFBFBF" w:themeColor="background1" w:themeShade="BF"/>
              <w:bottom w:val="single" w:sz="4" w:space="0" w:color="BFBFBF" w:themeColor="background1" w:themeShade="BF"/>
            </w:tcBorders>
          </w:tcPr>
          <w:p w14:paraId="50AB71CE" w14:textId="2757BA20" w:rsidR="003928A2" w:rsidRPr="00385746" w:rsidRDefault="00575B44" w:rsidP="00385746">
            <w:pPr>
              <w:pStyle w:val="Tablecontent"/>
            </w:pPr>
            <w:r w:rsidRPr="00575B44">
              <w:rPr>
                <w:noProof/>
              </w:rPr>
              <w:drawing>
                <wp:inline distT="0" distB="0" distL="0" distR="0" wp14:anchorId="6B8C2A93" wp14:editId="161BA81B">
                  <wp:extent cx="3355848" cy="1581912"/>
                  <wp:effectExtent l="0" t="0" r="0" b="0"/>
                  <wp:docPr id="1971068993" name="Picture 1971068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355848" cy="1581912"/>
                          </a:xfrm>
                          <a:prstGeom prst="rect">
                            <a:avLst/>
                          </a:prstGeom>
                        </pic:spPr>
                      </pic:pic>
                    </a:graphicData>
                  </a:graphic>
                </wp:inline>
              </w:drawing>
            </w:r>
          </w:p>
        </w:tc>
      </w:tr>
      <w:tr w:rsidR="00385746" w14:paraId="46F5F158" w14:textId="77777777" w:rsidTr="00385746">
        <w:tc>
          <w:tcPr>
            <w:tcW w:w="184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260AC1FC" w14:textId="77777777" w:rsidR="00385746" w:rsidRPr="00AF066D" w:rsidRDefault="00385746" w:rsidP="00385746">
            <w:pPr>
              <w:pStyle w:val="Tablecontent"/>
              <w:rPr>
                <w:lang w:val="en-SG"/>
              </w:rPr>
            </w:pPr>
            <w:r w:rsidRPr="00AF066D">
              <w:rPr>
                <w:lang w:val="en-SG"/>
              </w:rPr>
              <w:t>Exclusion</w:t>
            </w:r>
          </w:p>
          <w:p w14:paraId="3379E3BA" w14:textId="77777777" w:rsidR="00385746" w:rsidRPr="00AF066D" w:rsidRDefault="00385746" w:rsidP="00385EE9">
            <w:pPr>
              <w:pStyle w:val="Tablecontent"/>
            </w:pPr>
          </w:p>
        </w:tc>
        <w:tc>
          <w:tcPr>
            <w:tcW w:w="8623" w:type="dxa"/>
            <w:tcBorders>
              <w:top w:val="single" w:sz="4" w:space="0" w:color="BFBFBF" w:themeColor="background1" w:themeShade="BF"/>
              <w:bottom w:val="single" w:sz="4" w:space="0" w:color="BFBFBF" w:themeColor="background1" w:themeShade="BF"/>
            </w:tcBorders>
          </w:tcPr>
          <w:p w14:paraId="1B6DF638" w14:textId="074FBA54" w:rsidR="00385746" w:rsidRPr="00385746" w:rsidRDefault="00385746" w:rsidP="00385746">
            <w:pPr>
              <w:pStyle w:val="Tablecontent"/>
            </w:pPr>
            <w:r w:rsidRPr="00385746">
              <w:t>Received Packet Dropped. It’s not reliable enough to be used in contract due to false positive.</w:t>
            </w:r>
            <w:r w:rsidR="006B52FF">
              <w:t xml:space="preserve"> The packet is dropped as it’s not for the VM. More details at the </w:t>
            </w:r>
            <w:hyperlink w:anchor="_Network_Metrics" w:history="1">
              <w:r w:rsidR="006B52FF" w:rsidRPr="00D74EE1">
                <w:rPr>
                  <w:rStyle w:val="Hyperlink"/>
                </w:rPr>
                <w:t>Network metric</w:t>
              </w:r>
            </w:hyperlink>
            <w:r w:rsidR="006B52FF">
              <w:t xml:space="preserve"> chapter.</w:t>
            </w:r>
          </w:p>
          <w:p w14:paraId="66222518" w14:textId="556550E7" w:rsidR="00385746" w:rsidRPr="00385746" w:rsidRDefault="00385746" w:rsidP="00385746">
            <w:pPr>
              <w:pStyle w:val="Tablecontent"/>
            </w:pPr>
            <w:r w:rsidRPr="00385746">
              <w:t xml:space="preserve">Other forms of </w:t>
            </w:r>
            <w:r w:rsidR="00A31B43">
              <w:t xml:space="preserve">contention, such as </w:t>
            </w:r>
            <w:r w:rsidR="0017556A">
              <w:t xml:space="preserve">CPU Overlap, CPU </w:t>
            </w:r>
            <w:r w:rsidR="00A31B43">
              <w:t>O</w:t>
            </w:r>
            <w:r w:rsidR="0017556A">
              <w:t>ther</w:t>
            </w:r>
            <w:r w:rsidR="00A31B43">
              <w:t xml:space="preserve"> Wait and vMotion</w:t>
            </w:r>
            <w:r w:rsidRPr="00385746">
              <w:t>. They are too granular for contract purpose</w:t>
            </w:r>
            <w:r w:rsidR="00A31B43">
              <w:t>.</w:t>
            </w:r>
            <w:r w:rsidR="006B52FF">
              <w:t xml:space="preserve"> You track them via KPI</w:t>
            </w:r>
            <w:r w:rsidR="00252D74">
              <w:t xml:space="preserve"> instead. </w:t>
            </w:r>
          </w:p>
        </w:tc>
      </w:tr>
    </w:tbl>
    <w:p w14:paraId="48F3AE07" w14:textId="5A053E53" w:rsidR="0089175A" w:rsidRDefault="00F561AC" w:rsidP="0089175A">
      <w:r>
        <w:t>W</w:t>
      </w:r>
      <w:r w:rsidR="0089175A">
        <w:t xml:space="preserve">hy should </w:t>
      </w:r>
      <w:r>
        <w:t xml:space="preserve">you </w:t>
      </w:r>
      <w:r w:rsidR="0089175A">
        <w:t>only use CPU Ready and exclude CPU Co-Stop and CPU Contention from Performance SLA?</w:t>
      </w:r>
    </w:p>
    <w:p w14:paraId="476823F3" w14:textId="77777777" w:rsidR="0089175A" w:rsidRDefault="0089175A" w:rsidP="0089175A">
      <w:r w:rsidRPr="0080755D">
        <w:t>It took me years to vrealize the mistake</w:t>
      </w:r>
      <w:r>
        <w:t>.</w:t>
      </w:r>
    </w:p>
    <w:p w14:paraId="64C720CC" w14:textId="1F568FAC" w:rsidR="00DD1FEA" w:rsidRDefault="00DD1FEA" w:rsidP="00DD1FEA">
      <w:r>
        <w:t xml:space="preserve">You should exclude CPU Co-Stop because the reason for </w:t>
      </w:r>
      <w:r w:rsidR="00443625">
        <w:t>Co-stop</w:t>
      </w:r>
      <w:r>
        <w:t xml:space="preserve"> could be the VM itself. IaaS SLA should not measure problems beyond your control. Read </w:t>
      </w:r>
      <w:hyperlink w:anchor="_CoStop">
        <w:r w:rsidRPr="054A2259">
          <w:rPr>
            <w:rStyle w:val="Hyperlink"/>
          </w:rPr>
          <w:t>this</w:t>
        </w:r>
      </w:hyperlink>
      <w:r>
        <w:t xml:space="preserve"> for details. </w:t>
      </w:r>
    </w:p>
    <w:p w14:paraId="46421C95" w14:textId="48AFF269" w:rsidR="00DD1FEA" w:rsidRDefault="00DD1FEA" w:rsidP="00DD1FEA">
      <w:r>
        <w:t xml:space="preserve">You should exclude </w:t>
      </w:r>
      <w:r w:rsidRPr="0080755D">
        <w:t>CPU Contention</w:t>
      </w:r>
      <w:r>
        <w:t xml:space="preserve"> because its value can go as high as 37.5% without the application noticing any degradation. You can login to Windows or Linux and feel it’s responsive. Read </w:t>
      </w:r>
      <w:hyperlink w:anchor="_Contention_(%)" w:history="1">
        <w:r w:rsidRPr="004C23B4">
          <w:rPr>
            <w:rStyle w:val="Hyperlink"/>
          </w:rPr>
          <w:t>this</w:t>
        </w:r>
      </w:hyperlink>
      <w:r>
        <w:t xml:space="preserve"> for details.</w:t>
      </w:r>
    </w:p>
    <w:p w14:paraId="15004FD4" w14:textId="77777777" w:rsidR="00E826E0" w:rsidRDefault="00E826E0" w:rsidP="00E826E0">
      <w:r>
        <w:t>Use the above threshold as they are. There are 2 main reasons:</w:t>
      </w:r>
    </w:p>
    <w:p w14:paraId="48032E90" w14:textId="34D1F8CE" w:rsidR="00E826E0" w:rsidRDefault="00E826E0" w:rsidP="00E826E0">
      <w:pPr>
        <w:pStyle w:val="Bullet"/>
      </w:pPr>
      <w:r>
        <w:t xml:space="preserve">Major changes in the value, such as changing CPU Ready from 2.5% to </w:t>
      </w:r>
      <w:r w:rsidR="00A92739">
        <w:t>0</w:t>
      </w:r>
      <w:r>
        <w:t xml:space="preserve">% or 5%, will impact your operations. You either gets too much alert or too little alert. On the other hand, minor changes, such as CPU Ready from 2.5% to 2% or 3%, may not make operational difference in terms of remediation action you’re taking. </w:t>
      </w:r>
    </w:p>
    <w:p w14:paraId="3D1E2D25" w14:textId="77777777" w:rsidR="00E826E0" w:rsidRDefault="00E826E0" w:rsidP="00E826E0">
      <w:pPr>
        <w:pStyle w:val="Bullet"/>
      </w:pPr>
      <w:r>
        <w:t xml:space="preserve">A common value in the industry will also enable you to compare with your peers and get an industry acceptable numbers. You can compare how well you serve your mission critical VMs, your Test/Development VMs, etc. </w:t>
      </w:r>
    </w:p>
    <w:p w14:paraId="27FFE719" w14:textId="3A254542" w:rsidR="002D2329" w:rsidRDefault="002D2329" w:rsidP="00C269AA">
      <w:r>
        <w:t>Just like in Availability, there are activity you can do to give confidence to customer. For example:</w:t>
      </w:r>
    </w:p>
    <w:p w14:paraId="517361C2" w14:textId="77777777" w:rsidR="002D2329" w:rsidRDefault="002D2329" w:rsidP="002D2329">
      <w:pPr>
        <w:pStyle w:val="Bullet"/>
      </w:pPr>
      <w:r>
        <w:t>Gold Tier VMs will be proactively monitored, not just relying on alerts.</w:t>
      </w:r>
    </w:p>
    <w:p w14:paraId="527A2B43" w14:textId="5D705D4C" w:rsidR="002D2329" w:rsidRDefault="002D2329" w:rsidP="002D2329">
      <w:pPr>
        <w:pStyle w:val="Bullet"/>
      </w:pPr>
      <w:r>
        <w:t xml:space="preserve">Gold Tier provides deeper visibility into the underlying physical infrastructure where customers VM are running. Customers are entitled for lower level internal metrics such as vMotion stun time and </w:t>
      </w:r>
      <w:r w:rsidR="00FD5A65">
        <w:t>VMkernel</w:t>
      </w:r>
      <w:r>
        <w:t xml:space="preserve"> latency.</w:t>
      </w:r>
    </w:p>
    <w:p w14:paraId="33DA96BC" w14:textId="77777777" w:rsidR="002D2329" w:rsidRDefault="002D2329" w:rsidP="002D2329">
      <w:pPr>
        <w:pStyle w:val="Bullet"/>
      </w:pPr>
      <w:r>
        <w:t xml:space="preserve">Gold tier provides self-service monitoring. Customers are given their own login to a portal where they can monitor their own VMs. They can initiate scheduled downtime. </w:t>
      </w:r>
    </w:p>
    <w:p w14:paraId="42DED4F6" w14:textId="468B54C6" w:rsidR="002D2329" w:rsidRDefault="002D2329" w:rsidP="002D2329">
      <w:pPr>
        <w:pStyle w:val="Bullet"/>
      </w:pPr>
      <w:r>
        <w:t>Customers will be alerted over email and messaging network.</w:t>
      </w:r>
    </w:p>
    <w:p w14:paraId="6A4012E8" w14:textId="0331E787" w:rsidR="001047EB" w:rsidRPr="008B2816" w:rsidRDefault="001047EB" w:rsidP="002D2329">
      <w:pPr>
        <w:pStyle w:val="Bullet"/>
      </w:pPr>
      <w:r>
        <w:t>Gold Tier provides priority network. Customers can opt for periodic ping service to ensure network latency between their applications remain within the agreed threshold</w:t>
      </w:r>
      <w:r w:rsidR="00635641">
        <w:t>.</w:t>
      </w:r>
    </w:p>
    <w:p w14:paraId="23496971" w14:textId="6A8DF6D2" w:rsidR="001234F7" w:rsidRDefault="001234F7" w:rsidP="00E7573A">
      <w:pPr>
        <w:pStyle w:val="Heading5"/>
      </w:pPr>
      <w:r>
        <w:lastRenderedPageBreak/>
        <w:t>Compliance</w:t>
      </w:r>
      <w:r w:rsidR="00F103FA">
        <w:t xml:space="preserve"> SLA</w:t>
      </w:r>
    </w:p>
    <w:p w14:paraId="6342CE3F" w14:textId="771A9C22" w:rsidR="00342A25" w:rsidRDefault="00342A25" w:rsidP="00342A25">
      <w:pPr>
        <w:jc w:val="center"/>
        <w:rPr>
          <w:lang w:val="en-GB"/>
        </w:rPr>
      </w:pPr>
      <w:r w:rsidRPr="00EA488F">
        <w:rPr>
          <w:noProof/>
          <w:lang w:val="en-GB"/>
        </w:rPr>
        <w:drawing>
          <wp:inline distT="0" distB="0" distL="0" distR="0" wp14:anchorId="7E3C5640" wp14:editId="3FB90E61">
            <wp:extent cx="3196800" cy="1663200"/>
            <wp:effectExtent l="0" t="0" r="3810" b="0"/>
            <wp:docPr id="1859674534" name="Picture 185967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196800" cy="1663200"/>
                    </a:xfrm>
                    <a:prstGeom prst="rect">
                      <a:avLst/>
                    </a:prstGeom>
                  </pic:spPr>
                </pic:pic>
              </a:graphicData>
            </a:graphic>
          </wp:inline>
        </w:drawing>
      </w:r>
    </w:p>
    <w:p w14:paraId="467E0EBD" w14:textId="719EC3AD" w:rsidR="00B45136" w:rsidRDefault="00B45136" w:rsidP="00B57B1E">
      <w:pPr>
        <w:pStyle w:val="BeforeTable"/>
      </w:pPr>
    </w:p>
    <w:tbl>
      <w:tblPr>
        <w:tblW w:w="0" w:type="auto"/>
        <w:tblLook w:val="04A0" w:firstRow="1" w:lastRow="0" w:firstColumn="1" w:lastColumn="0" w:noHBand="0" w:noVBand="1"/>
      </w:tblPr>
      <w:tblGrid>
        <w:gridCol w:w="1843"/>
        <w:gridCol w:w="8623"/>
      </w:tblGrid>
      <w:tr w:rsidR="003413BD" w14:paraId="689A5990" w14:textId="77777777" w:rsidTr="00E440AB">
        <w:tc>
          <w:tcPr>
            <w:tcW w:w="184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040D7943" w14:textId="3B31D3E4" w:rsidR="003413BD" w:rsidRPr="00AF066D" w:rsidRDefault="003413BD" w:rsidP="00E440AB">
            <w:pPr>
              <w:pStyle w:val="Tablecontent"/>
              <w:rPr>
                <w:lang w:val="en-SG"/>
              </w:rPr>
            </w:pPr>
            <w:r w:rsidRPr="00AF066D">
              <w:rPr>
                <w:lang w:val="en-SG"/>
              </w:rPr>
              <w:t>Definition</w:t>
            </w:r>
          </w:p>
        </w:tc>
        <w:tc>
          <w:tcPr>
            <w:tcW w:w="8623" w:type="dxa"/>
            <w:tcBorders>
              <w:top w:val="single" w:sz="4" w:space="0" w:color="BFBFBF" w:themeColor="background1" w:themeShade="BF"/>
              <w:bottom w:val="single" w:sz="4" w:space="0" w:color="BFBFBF" w:themeColor="background1" w:themeShade="BF"/>
            </w:tcBorders>
          </w:tcPr>
          <w:p w14:paraId="517C80C5" w14:textId="77777777" w:rsidR="00B57B1E" w:rsidRDefault="00550766" w:rsidP="00B57B1E">
            <w:pPr>
              <w:pStyle w:val="Tablecontent"/>
            </w:pPr>
            <w:r>
              <w:t>Percentage of compliance against agreed security policy.</w:t>
            </w:r>
            <w:r w:rsidR="00D93EF7">
              <w:t xml:space="preserve"> </w:t>
            </w:r>
          </w:p>
          <w:p w14:paraId="65AEBB21" w14:textId="614C91A6" w:rsidR="00D93EF7" w:rsidRDefault="00B57B1E" w:rsidP="00B57B1E">
            <w:pPr>
              <w:pStyle w:val="Tablecontent"/>
            </w:pPr>
            <w:r>
              <w:t>It’s binary, as you must comply with all the security settings. All it takes is 1 loophole.</w:t>
            </w:r>
          </w:p>
          <w:p w14:paraId="3AA50AC1" w14:textId="30C423FE" w:rsidR="003413BD" w:rsidRPr="00385746" w:rsidRDefault="00D93EF7" w:rsidP="00B57B1E">
            <w:pPr>
              <w:pStyle w:val="Tablecontent"/>
            </w:pPr>
            <w:r>
              <w:t>It has a window, typically ad-hoc, to enable investigation or maintenance.</w:t>
            </w:r>
          </w:p>
        </w:tc>
      </w:tr>
      <w:tr w:rsidR="003413BD" w14:paraId="56ED4F2F" w14:textId="77777777" w:rsidTr="00E440AB">
        <w:tc>
          <w:tcPr>
            <w:tcW w:w="184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046AE626" w14:textId="77777777" w:rsidR="003413BD" w:rsidRPr="00AF066D" w:rsidRDefault="003413BD" w:rsidP="00E440AB">
            <w:pPr>
              <w:pStyle w:val="Tablecontent"/>
              <w:rPr>
                <w:lang w:val="en-SG"/>
              </w:rPr>
            </w:pPr>
            <w:r w:rsidRPr="00AF066D">
              <w:rPr>
                <w:lang w:val="en-SG"/>
              </w:rPr>
              <w:t>Inclusion</w:t>
            </w:r>
          </w:p>
          <w:p w14:paraId="140BE473" w14:textId="77777777" w:rsidR="003413BD" w:rsidRPr="00AF066D" w:rsidRDefault="003413BD" w:rsidP="00E440AB">
            <w:pPr>
              <w:pStyle w:val="Tablecontent"/>
            </w:pPr>
          </w:p>
        </w:tc>
        <w:tc>
          <w:tcPr>
            <w:tcW w:w="8623" w:type="dxa"/>
            <w:tcBorders>
              <w:top w:val="single" w:sz="4" w:space="0" w:color="BFBFBF" w:themeColor="background1" w:themeShade="BF"/>
              <w:bottom w:val="single" w:sz="4" w:space="0" w:color="BFBFBF" w:themeColor="background1" w:themeShade="BF"/>
            </w:tcBorders>
          </w:tcPr>
          <w:p w14:paraId="56B0E07B" w14:textId="141FD835" w:rsidR="003413BD" w:rsidRDefault="00166283" w:rsidP="00B57B1E">
            <w:pPr>
              <w:pStyle w:val="Tablecontent"/>
            </w:pPr>
            <w:r>
              <w:t>Internal security standard</w:t>
            </w:r>
            <w:r w:rsidR="00E431BF">
              <w:t>, typically an adaptation of VMware best practices.</w:t>
            </w:r>
          </w:p>
          <w:p w14:paraId="7991516A" w14:textId="7B99A5E5" w:rsidR="00166283" w:rsidRPr="00385746" w:rsidRDefault="00166283" w:rsidP="00B57B1E">
            <w:pPr>
              <w:pStyle w:val="Tablecontent"/>
            </w:pPr>
            <w:r>
              <w:t>Relevant industry regulation (e.g. PCI DSS</w:t>
            </w:r>
            <w:r w:rsidR="00B32B46">
              <w:t>)</w:t>
            </w:r>
            <w:r w:rsidR="00E431BF">
              <w:t>.</w:t>
            </w:r>
          </w:p>
        </w:tc>
      </w:tr>
      <w:tr w:rsidR="003413BD" w14:paraId="06809428" w14:textId="77777777" w:rsidTr="00E440AB">
        <w:tc>
          <w:tcPr>
            <w:tcW w:w="184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4CDE9B8A" w14:textId="4DEB460D" w:rsidR="003413BD" w:rsidRPr="00AF066D" w:rsidRDefault="003413BD" w:rsidP="00E440AB">
            <w:pPr>
              <w:pStyle w:val="Tablecontent"/>
              <w:rPr>
                <w:lang w:val="en-SG"/>
              </w:rPr>
            </w:pPr>
            <w:r w:rsidRPr="00AF066D">
              <w:rPr>
                <w:lang w:val="en-SG"/>
              </w:rPr>
              <w:t>Exclusion</w:t>
            </w:r>
          </w:p>
        </w:tc>
        <w:tc>
          <w:tcPr>
            <w:tcW w:w="8623" w:type="dxa"/>
            <w:tcBorders>
              <w:top w:val="single" w:sz="4" w:space="0" w:color="BFBFBF" w:themeColor="background1" w:themeShade="BF"/>
              <w:bottom w:val="single" w:sz="4" w:space="0" w:color="BFBFBF" w:themeColor="background1" w:themeShade="BF"/>
            </w:tcBorders>
          </w:tcPr>
          <w:p w14:paraId="467EB8B3" w14:textId="32412B7E" w:rsidR="003413BD" w:rsidRPr="00385746" w:rsidRDefault="00B32B46" w:rsidP="00B57B1E">
            <w:pPr>
              <w:pStyle w:val="Tablecontent"/>
            </w:pPr>
            <w:r>
              <w:t>Guest OS</w:t>
            </w:r>
            <w:r w:rsidR="008E7C58">
              <w:t xml:space="preserve"> compliance, as what you do inside the VM is not within the control IaaS provider.</w:t>
            </w:r>
          </w:p>
        </w:tc>
      </w:tr>
    </w:tbl>
    <w:p w14:paraId="20A58C11" w14:textId="32920368" w:rsidR="002D2329" w:rsidRDefault="002D2329" w:rsidP="00E7573A">
      <w:pPr>
        <w:pStyle w:val="Heading5"/>
        <w:numPr>
          <w:ilvl w:val="0"/>
          <w:numId w:val="0"/>
        </w:numPr>
      </w:pPr>
      <w:r>
        <w:t xml:space="preserve">Service </w:t>
      </w:r>
      <w:r w:rsidR="00F103FA">
        <w:t>SLA</w:t>
      </w:r>
    </w:p>
    <w:p w14:paraId="09FB3C53" w14:textId="77777777" w:rsidR="002D2329" w:rsidRDefault="002D2329" w:rsidP="002D2329">
      <w:r>
        <w:t>IaaS is built on commodity hardware and provided as a utility. Having said that, there are many ways to differentiate your service vs your competitors. Use class of service to distinguish premium service. The following table lists some examples.</w:t>
      </w:r>
    </w:p>
    <w:p w14:paraId="0645EEF5" w14:textId="77777777" w:rsidR="002D2329" w:rsidRDefault="002D2329" w:rsidP="002D2329">
      <w:pPr>
        <w:pStyle w:val="BeforeTable"/>
      </w:pPr>
    </w:p>
    <w:tbl>
      <w:tblPr>
        <w:tblW w:w="0" w:type="auto"/>
        <w:tblLook w:val="04A0" w:firstRow="1" w:lastRow="0" w:firstColumn="1" w:lastColumn="0" w:noHBand="0" w:noVBand="1"/>
      </w:tblPr>
      <w:tblGrid>
        <w:gridCol w:w="1843"/>
        <w:gridCol w:w="8613"/>
      </w:tblGrid>
      <w:tr w:rsidR="00D03A23" w14:paraId="3C09B61E" w14:textId="77777777" w:rsidTr="001047EB">
        <w:tc>
          <w:tcPr>
            <w:tcW w:w="184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71FF4599" w14:textId="3861543D" w:rsidR="00D03A23" w:rsidRPr="009A50B4" w:rsidRDefault="00D03A23" w:rsidP="00E440AB">
            <w:pPr>
              <w:pStyle w:val="Tablecontent"/>
              <w:rPr>
                <w:b/>
                <w:bCs/>
              </w:rPr>
            </w:pPr>
            <w:r w:rsidRPr="009A50B4">
              <w:rPr>
                <w:b/>
                <w:bCs/>
              </w:rPr>
              <w:t>Provisioning Time</w:t>
            </w:r>
          </w:p>
        </w:tc>
        <w:tc>
          <w:tcPr>
            <w:tcW w:w="8613" w:type="dxa"/>
            <w:tcBorders>
              <w:top w:val="single" w:sz="4" w:space="0" w:color="BFBFBF" w:themeColor="background1" w:themeShade="BF"/>
              <w:bottom w:val="single" w:sz="4" w:space="0" w:color="BFBFBF" w:themeColor="background1" w:themeShade="BF"/>
            </w:tcBorders>
          </w:tcPr>
          <w:p w14:paraId="691DEC93" w14:textId="78ADF49A" w:rsidR="00D03A23" w:rsidRPr="00B57B1E" w:rsidRDefault="00D03A23" w:rsidP="00B57B1E">
            <w:pPr>
              <w:pStyle w:val="Tablecontent"/>
            </w:pPr>
            <w:r>
              <w:t>In environment where the churn is high, the time taken to provision become important. You need to clearly define what “provisioned” here means, as it can range from bare Windows or Linux to complete set up with applications &amp; database loaded.</w:t>
            </w:r>
          </w:p>
        </w:tc>
      </w:tr>
      <w:tr w:rsidR="00D03A23" w14:paraId="5E6A74C7" w14:textId="77777777" w:rsidTr="001047EB">
        <w:tc>
          <w:tcPr>
            <w:tcW w:w="184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145EFBFC" w14:textId="6685CE87" w:rsidR="00D03A23" w:rsidRPr="009A50B4" w:rsidRDefault="00D03A23" w:rsidP="00E440AB">
            <w:pPr>
              <w:pStyle w:val="Tablecontent"/>
              <w:rPr>
                <w:b/>
                <w:bCs/>
              </w:rPr>
            </w:pPr>
            <w:r w:rsidRPr="009A50B4">
              <w:rPr>
                <w:b/>
                <w:bCs/>
              </w:rPr>
              <w:t>Provisioning Success</w:t>
            </w:r>
          </w:p>
        </w:tc>
        <w:tc>
          <w:tcPr>
            <w:tcW w:w="8613" w:type="dxa"/>
            <w:tcBorders>
              <w:top w:val="single" w:sz="4" w:space="0" w:color="BFBFBF" w:themeColor="background1" w:themeShade="BF"/>
              <w:bottom w:val="single" w:sz="4" w:space="0" w:color="BFBFBF" w:themeColor="background1" w:themeShade="BF"/>
            </w:tcBorders>
          </w:tcPr>
          <w:p w14:paraId="1AF5AFEA" w14:textId="6339C114" w:rsidR="00D03A23" w:rsidRDefault="00D03A23" w:rsidP="00B57B1E">
            <w:pPr>
              <w:pStyle w:val="Tablecontent"/>
            </w:pPr>
            <w:r>
              <w:t xml:space="preserve">Provisioning a complex set of </w:t>
            </w:r>
            <w:r w:rsidR="00A75A9B">
              <w:t xml:space="preserve">multi-tier business applications with many VMs </w:t>
            </w:r>
            <w:r>
              <w:t>may fail from time to time. If this is relevant to your environment, then add it as part of SLA so you can focus on higher class of service.</w:t>
            </w:r>
          </w:p>
        </w:tc>
      </w:tr>
      <w:tr w:rsidR="002D2329" w14:paraId="58224FD3" w14:textId="77777777" w:rsidTr="001047EB">
        <w:tc>
          <w:tcPr>
            <w:tcW w:w="184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34436B04" w14:textId="77777777" w:rsidR="002D2329" w:rsidRPr="009A50B4" w:rsidRDefault="002D2329" w:rsidP="00E440AB">
            <w:pPr>
              <w:pStyle w:val="Tablecontent"/>
              <w:rPr>
                <w:b/>
                <w:bCs/>
              </w:rPr>
            </w:pPr>
            <w:r w:rsidRPr="009A50B4">
              <w:rPr>
                <w:b/>
                <w:bCs/>
              </w:rPr>
              <w:t>Support</w:t>
            </w:r>
          </w:p>
        </w:tc>
        <w:tc>
          <w:tcPr>
            <w:tcW w:w="8613" w:type="dxa"/>
            <w:tcBorders>
              <w:top w:val="single" w:sz="4" w:space="0" w:color="BFBFBF" w:themeColor="background1" w:themeShade="BF"/>
              <w:bottom w:val="single" w:sz="4" w:space="0" w:color="BFBFBF" w:themeColor="background1" w:themeShade="BF"/>
            </w:tcBorders>
          </w:tcPr>
          <w:p w14:paraId="06651346" w14:textId="42C84F29" w:rsidR="00FE0A72" w:rsidRPr="00B57B1E" w:rsidRDefault="00FE0A72" w:rsidP="00B57B1E">
            <w:pPr>
              <w:pStyle w:val="Tablecontent"/>
            </w:pPr>
            <w:r w:rsidRPr="00B57B1E">
              <w:t>The two popular examples are response time and path to escalation. Do not promise resolution time unless it’s completely within your control.</w:t>
            </w:r>
          </w:p>
          <w:p w14:paraId="196D38E5" w14:textId="656FA04A" w:rsidR="002D2329" w:rsidRPr="00B57B1E" w:rsidRDefault="002D2329" w:rsidP="00B57B1E">
            <w:pPr>
              <w:pStyle w:val="Tablecontent"/>
            </w:pPr>
            <w:r w:rsidRPr="00B57B1E">
              <w:t xml:space="preserve">Gold Tier provides faster response time and longer coverage hours (e.g. 24 x 7 x 365). Your ticket is also directly answered by Level 3, bypassing the front liners. </w:t>
            </w:r>
          </w:p>
          <w:p w14:paraId="0E2C64C3" w14:textId="77396224" w:rsidR="00FE0A72" w:rsidRPr="00B57B1E" w:rsidRDefault="002D2329" w:rsidP="00B57B1E">
            <w:pPr>
              <w:pStyle w:val="Tablecontent"/>
            </w:pPr>
            <w:r w:rsidRPr="00B57B1E">
              <w:t>Regular business review</w:t>
            </w:r>
            <w:r w:rsidR="001047EB" w:rsidRPr="00B57B1E">
              <w:t xml:space="preserve">, attended by your management. </w:t>
            </w:r>
          </w:p>
        </w:tc>
      </w:tr>
      <w:tr w:rsidR="002D2329" w14:paraId="17498022" w14:textId="77777777" w:rsidTr="001047EB">
        <w:tc>
          <w:tcPr>
            <w:tcW w:w="184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02D98D36" w14:textId="77777777" w:rsidR="002D2329" w:rsidRPr="009A50B4" w:rsidRDefault="002D2329" w:rsidP="00E440AB">
            <w:pPr>
              <w:pStyle w:val="Tablecontent"/>
              <w:rPr>
                <w:b/>
                <w:bCs/>
              </w:rPr>
            </w:pPr>
            <w:r w:rsidRPr="009A50B4">
              <w:rPr>
                <w:b/>
                <w:bCs/>
              </w:rPr>
              <w:t>TAM</w:t>
            </w:r>
          </w:p>
        </w:tc>
        <w:tc>
          <w:tcPr>
            <w:tcW w:w="8613" w:type="dxa"/>
            <w:tcBorders>
              <w:top w:val="single" w:sz="4" w:space="0" w:color="BFBFBF" w:themeColor="background1" w:themeShade="BF"/>
              <w:bottom w:val="single" w:sz="4" w:space="0" w:color="BFBFBF" w:themeColor="background1" w:themeShade="BF"/>
            </w:tcBorders>
          </w:tcPr>
          <w:p w14:paraId="6F0B15A0" w14:textId="77777777" w:rsidR="002D2329" w:rsidRPr="00B57B1E" w:rsidRDefault="002D2329" w:rsidP="00B57B1E">
            <w:pPr>
              <w:pStyle w:val="Tablecontent"/>
            </w:pPr>
            <w:r w:rsidRPr="00B57B1E">
              <w:t>Gold Tier comes with a Technical Account Manager, acting as single point of contact for customers. TAM is also the internal champion, representing customers interest within the vendor internal world.</w:t>
            </w:r>
          </w:p>
        </w:tc>
      </w:tr>
    </w:tbl>
    <w:p w14:paraId="336B7186" w14:textId="73D93D8C" w:rsidR="00D03A23" w:rsidRDefault="00D03A23" w:rsidP="00D03A23">
      <w:r>
        <w:t xml:space="preserve">There are other metrics you can add to differentiate one class to another. However, be careful of adding metrics that do not </w:t>
      </w:r>
      <w:r w:rsidR="005F3A5E">
        <w:t>actually serve your business. For example, it can be tempting to put accessible time of your self service portal, to protect you from scheduled downtime. You need to work on the basis that your “office” is open 24 x 7 x 365 days.</w:t>
      </w:r>
    </w:p>
    <w:p w14:paraId="75BE3E63" w14:textId="4A18C5DC" w:rsidR="002D2329" w:rsidRDefault="00A74B00" w:rsidP="00AC6E1E">
      <w:pPr>
        <w:pStyle w:val="Heading4"/>
      </w:pPr>
      <w:r>
        <w:lastRenderedPageBreak/>
        <w:t xml:space="preserve">The Metrics of </w:t>
      </w:r>
      <w:r w:rsidR="002D2329">
        <w:t>SLA</w:t>
      </w:r>
    </w:p>
    <w:p w14:paraId="1C05FB39" w14:textId="6E4C3E7E" w:rsidR="0062682B" w:rsidRPr="0062682B" w:rsidRDefault="0062682B" w:rsidP="0062682B">
      <w:pPr>
        <w:rPr>
          <w:lang w:val="en-GB"/>
        </w:rPr>
      </w:pPr>
      <w:r>
        <w:rPr>
          <w:lang w:val="en-GB"/>
        </w:rPr>
        <w:t>Do you set it per week, per month or per year?</w:t>
      </w:r>
      <w:r w:rsidR="00721AF8">
        <w:rPr>
          <w:lang w:val="en-GB"/>
        </w:rPr>
        <w:t xml:space="preserve"> Let’s find out!</w:t>
      </w:r>
    </w:p>
    <w:p w14:paraId="5C32B888" w14:textId="1ABC66E5" w:rsidR="0062682B" w:rsidRPr="0062682B" w:rsidRDefault="0062682B" w:rsidP="00E7573A">
      <w:pPr>
        <w:pStyle w:val="Heading5"/>
      </w:pPr>
      <w:r>
        <w:t>The Time Window</w:t>
      </w:r>
    </w:p>
    <w:p w14:paraId="3D4118FE" w14:textId="3B315794" w:rsidR="002D2329" w:rsidRDefault="002D2329" w:rsidP="002D2329">
      <w:r>
        <w:t xml:space="preserve">SLA is a </w:t>
      </w:r>
      <w:r w:rsidRPr="4CAB3972">
        <w:rPr>
          <w:i/>
          <w:iCs/>
          <w:color w:val="FF0000"/>
        </w:rPr>
        <w:t>monthly</w:t>
      </w:r>
      <w:r w:rsidRPr="4CAB3972">
        <w:rPr>
          <w:color w:val="FF0000"/>
        </w:rPr>
        <w:t xml:space="preserve"> </w:t>
      </w:r>
      <w:r w:rsidR="00E42CBE">
        <w:t>metric</w:t>
      </w:r>
      <w:r>
        <w:t xml:space="preserve">, not daily or yearly. You use </w:t>
      </w:r>
      <w:r w:rsidR="00635641">
        <w:t xml:space="preserve">an </w:t>
      </w:r>
      <w:r>
        <w:t>entire month of data to calculate it</w:t>
      </w:r>
      <w:r w:rsidR="00196B4F">
        <w:t xml:space="preserve">, averaging </w:t>
      </w:r>
      <w:r w:rsidR="00167C45">
        <w:t xml:space="preserve">8640 </w:t>
      </w:r>
      <w:r w:rsidR="00704FE7">
        <w:t xml:space="preserve">datapoints of 5-minute average. </w:t>
      </w:r>
    </w:p>
    <w:p w14:paraId="0568A3D7" w14:textId="0744854C" w:rsidR="002D2329" w:rsidRDefault="002D2329" w:rsidP="002D2329">
      <w:r w:rsidRPr="4CAB3972">
        <w:rPr>
          <w:lang w:val="en-US"/>
        </w:rPr>
        <w:t xml:space="preserve">In the following table, notice 99.999% in a year is actually easier than 99.95% in a week. </w:t>
      </w:r>
      <w:r>
        <w:t xml:space="preserve">Your customers would not accept a yearly </w:t>
      </w:r>
      <w:r w:rsidR="00E42CBE">
        <w:t>metric</w:t>
      </w:r>
      <w:r>
        <w:t xml:space="preserve"> as they can be exposed to a long downtime. You would not accept a daily </w:t>
      </w:r>
      <w:r w:rsidR="00E42CBE">
        <w:t>metric</w:t>
      </w:r>
      <w:r>
        <w:t xml:space="preserve"> as there is no room for error. The monthly </w:t>
      </w:r>
      <w:r w:rsidR="00E42CBE">
        <w:t>metric</w:t>
      </w:r>
      <w:r>
        <w:t xml:space="preserve"> provides a balance between service quality and cost to deliver the service. It also makes reporting easier as you simply follow the calendar month.</w:t>
      </w:r>
    </w:p>
    <w:p w14:paraId="1A62213C" w14:textId="77777777" w:rsidR="002D2329" w:rsidRDefault="002D2329" w:rsidP="002D2329">
      <w:pPr>
        <w:jc w:val="center"/>
      </w:pPr>
      <w:r>
        <w:rPr>
          <w:noProof/>
        </w:rPr>
        <w:drawing>
          <wp:inline distT="0" distB="0" distL="0" distR="0" wp14:anchorId="1AB67060" wp14:editId="39697734">
            <wp:extent cx="4865426" cy="1503330"/>
            <wp:effectExtent l="0" t="0" r="0" b="1905"/>
            <wp:docPr id="606394092" name="Picture 606394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92"/>
                    <pic:cNvPicPr/>
                  </pic:nvPicPr>
                  <pic:blipFill>
                    <a:blip r:embed="rId71">
                      <a:extLst>
                        <a:ext uri="{28A0092B-C50C-407E-A947-70E740481C1C}">
                          <a14:useLocalDpi xmlns:a14="http://schemas.microsoft.com/office/drawing/2010/main" val="0"/>
                        </a:ext>
                      </a:extLst>
                    </a:blip>
                    <a:stretch>
                      <a:fillRect/>
                    </a:stretch>
                  </pic:blipFill>
                  <pic:spPr>
                    <a:xfrm>
                      <a:off x="0" y="0"/>
                      <a:ext cx="4865426" cy="1503330"/>
                    </a:xfrm>
                    <a:prstGeom prst="rect">
                      <a:avLst/>
                    </a:prstGeom>
                  </pic:spPr>
                </pic:pic>
              </a:graphicData>
            </a:graphic>
          </wp:inline>
        </w:drawing>
      </w:r>
    </w:p>
    <w:p w14:paraId="41A1C221" w14:textId="237CC893" w:rsidR="002D2329" w:rsidRPr="00C13AA7" w:rsidRDefault="002D2329" w:rsidP="002D2329">
      <w:r w:rsidRPr="00C13AA7">
        <w:rPr>
          <w:lang w:val="en-US"/>
        </w:rPr>
        <w:t xml:space="preserve">Each additional “9” shrinks your </w:t>
      </w:r>
      <w:r w:rsidR="001047EB">
        <w:rPr>
          <w:lang w:val="en-US"/>
        </w:rPr>
        <w:t>SLA</w:t>
      </w:r>
      <w:r w:rsidRPr="00C13AA7">
        <w:rPr>
          <w:lang w:val="en-US"/>
        </w:rPr>
        <w:t xml:space="preserve"> window by 10x. That’s why each decimal </w:t>
      </w:r>
      <w:r>
        <w:rPr>
          <w:lang w:val="en-US"/>
        </w:rPr>
        <w:t>can cost a lot more money, as a different architecture may be required</w:t>
      </w:r>
      <w:r w:rsidRPr="00C13AA7">
        <w:rPr>
          <w:lang w:val="en-US"/>
        </w:rPr>
        <w:t>.</w:t>
      </w:r>
    </w:p>
    <w:p w14:paraId="75A142D4" w14:textId="77777777" w:rsidR="002D2329" w:rsidRDefault="002D2329" w:rsidP="002D2329">
      <w:r>
        <w:t xml:space="preserve">Even if you measure the SLA once a month, it can still be very difficult to meet. Take a look at the following table. </w:t>
      </w:r>
    </w:p>
    <w:p w14:paraId="468DACDC" w14:textId="33E65BFC" w:rsidR="002D2329" w:rsidRDefault="009A50B4" w:rsidP="002D2329">
      <w:pPr>
        <w:jc w:val="center"/>
      </w:pPr>
      <w:r w:rsidRPr="009A50B4">
        <w:rPr>
          <w:noProof/>
        </w:rPr>
        <w:drawing>
          <wp:inline distT="0" distB="0" distL="0" distR="0" wp14:anchorId="2763A246" wp14:editId="6A1E4DB5">
            <wp:extent cx="6645910" cy="2070735"/>
            <wp:effectExtent l="0" t="0" r="2540" b="5715"/>
            <wp:docPr id="910169567" name="Picture 910169567"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67" name="Picture 910169567" descr="Graphical user interface, text, application&#10;&#10;Description automatically generated"/>
                    <pic:cNvPicPr/>
                  </pic:nvPicPr>
                  <pic:blipFill>
                    <a:blip r:embed="rId72"/>
                    <a:stretch>
                      <a:fillRect/>
                    </a:stretch>
                  </pic:blipFill>
                  <pic:spPr>
                    <a:xfrm>
                      <a:off x="0" y="0"/>
                      <a:ext cx="6645910" cy="2070735"/>
                    </a:xfrm>
                    <a:prstGeom prst="rect">
                      <a:avLst/>
                    </a:prstGeom>
                  </pic:spPr>
                </pic:pic>
              </a:graphicData>
            </a:graphic>
          </wp:inline>
        </w:drawing>
      </w:r>
    </w:p>
    <w:p w14:paraId="442D58DA" w14:textId="1C53B3A7" w:rsidR="002D2329" w:rsidRDefault="002D2329" w:rsidP="002D2329">
      <w:r>
        <w:t xml:space="preserve">If you promise 99.99%, you only have 4.0 minutes – 4.5 minutes of downtime per calendar month. That means your architecture must be able to detect the issue and then complete remediation in just a few minutes. That’s a tight space to manoeuvre. </w:t>
      </w:r>
    </w:p>
    <w:p w14:paraId="2FA76696" w14:textId="0AFD66BC" w:rsidR="00FE0A72" w:rsidRDefault="00FE0A72" w:rsidP="00FE0A72">
      <w:pPr>
        <w:rPr>
          <w:lang w:val="en-GB"/>
        </w:rPr>
      </w:pPr>
      <w:r>
        <w:rPr>
          <w:lang w:val="en-GB"/>
        </w:rPr>
        <w:t>Let’s analyse the size of failure window we have per month. The table below gives you a better gauge into what SLA you want to set for each class of service.</w:t>
      </w:r>
    </w:p>
    <w:p w14:paraId="441765EE" w14:textId="77777777" w:rsidR="00FE0A72" w:rsidRDefault="00FE0A72" w:rsidP="00FE0A72">
      <w:pPr>
        <w:pStyle w:val="BeforeTable"/>
        <w:rPr>
          <w:lang w:val="en-GB"/>
        </w:rPr>
      </w:pPr>
    </w:p>
    <w:tbl>
      <w:tblPr>
        <w:tblW w:w="6750" w:type="dxa"/>
        <w:jc w:val="center"/>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440"/>
        <w:gridCol w:w="2489"/>
        <w:gridCol w:w="2821"/>
      </w:tblGrid>
      <w:tr w:rsidR="00FE0A72" w:rsidRPr="00143DDA" w14:paraId="4B442ACE" w14:textId="77777777" w:rsidTr="00936C02">
        <w:trPr>
          <w:trHeight w:val="300"/>
          <w:jc w:val="center"/>
        </w:trPr>
        <w:tc>
          <w:tcPr>
            <w:tcW w:w="1440" w:type="dxa"/>
            <w:shd w:val="clear" w:color="auto" w:fill="F2F2F2" w:themeFill="background1" w:themeFillShade="F2"/>
            <w:noWrap/>
            <w:vAlign w:val="bottom"/>
          </w:tcPr>
          <w:p w14:paraId="50AE2258" w14:textId="3050D5B5" w:rsidR="00FE0A72" w:rsidRPr="00143DDA" w:rsidRDefault="00FE0A72" w:rsidP="00E440AB">
            <w:pPr>
              <w:pStyle w:val="Tableheading"/>
            </w:pPr>
            <w:r>
              <w:lastRenderedPageBreak/>
              <w:t>30-day SLA</w:t>
            </w:r>
          </w:p>
        </w:tc>
        <w:tc>
          <w:tcPr>
            <w:tcW w:w="2489" w:type="dxa"/>
            <w:shd w:val="clear" w:color="auto" w:fill="F2F2F2" w:themeFill="background1" w:themeFillShade="F2"/>
            <w:noWrap/>
            <w:vAlign w:val="bottom"/>
          </w:tcPr>
          <w:p w14:paraId="43685D5D" w14:textId="5556CCD9" w:rsidR="00FE0A72" w:rsidRPr="00143DDA" w:rsidRDefault="00FD3204" w:rsidP="00E440AB">
            <w:pPr>
              <w:pStyle w:val="Tableheading"/>
            </w:pPr>
            <w:r>
              <w:t xml:space="preserve">Failure </w:t>
            </w:r>
            <w:r w:rsidR="00FE0A72">
              <w:t>Window</w:t>
            </w:r>
          </w:p>
        </w:tc>
        <w:tc>
          <w:tcPr>
            <w:tcW w:w="2821" w:type="dxa"/>
            <w:shd w:val="clear" w:color="auto" w:fill="F2F2F2" w:themeFill="background1" w:themeFillShade="F2"/>
          </w:tcPr>
          <w:p w14:paraId="15D298FF" w14:textId="092D02E6" w:rsidR="00FE0A72" w:rsidRDefault="00FE0A72" w:rsidP="00E440AB">
            <w:pPr>
              <w:pStyle w:val="Tableheading"/>
            </w:pPr>
            <w:r>
              <w:t>Failure Chance</w:t>
            </w:r>
            <w:r w:rsidR="00936C02">
              <w:t xml:space="preserve"> per SLA</w:t>
            </w:r>
          </w:p>
        </w:tc>
      </w:tr>
      <w:tr w:rsidR="00FE0A72" w:rsidRPr="00143DDA" w14:paraId="07AF6A2E" w14:textId="77777777" w:rsidTr="00936C02">
        <w:trPr>
          <w:trHeight w:val="300"/>
          <w:jc w:val="center"/>
        </w:trPr>
        <w:tc>
          <w:tcPr>
            <w:tcW w:w="1440" w:type="dxa"/>
            <w:shd w:val="clear" w:color="auto" w:fill="auto"/>
            <w:noWrap/>
            <w:vAlign w:val="bottom"/>
            <w:hideMark/>
          </w:tcPr>
          <w:p w14:paraId="112AF535" w14:textId="4ACE8A65" w:rsidR="00FE0A72" w:rsidRPr="00143DDA" w:rsidRDefault="00FE0A72" w:rsidP="00E440AB">
            <w:pPr>
              <w:pStyle w:val="Tablecontent"/>
              <w:jc w:val="right"/>
            </w:pPr>
            <w:r w:rsidRPr="00143DDA">
              <w:t>99.99%</w:t>
            </w:r>
          </w:p>
        </w:tc>
        <w:tc>
          <w:tcPr>
            <w:tcW w:w="2489" w:type="dxa"/>
            <w:shd w:val="clear" w:color="auto" w:fill="auto"/>
            <w:noWrap/>
            <w:vAlign w:val="bottom"/>
            <w:hideMark/>
          </w:tcPr>
          <w:p w14:paraId="380DB9F6" w14:textId="77777777" w:rsidR="00FE0A72" w:rsidRPr="00143DDA" w:rsidRDefault="00FE0A72" w:rsidP="00E440AB">
            <w:pPr>
              <w:pStyle w:val="Tablecontent"/>
              <w:jc w:val="right"/>
            </w:pPr>
            <w:r w:rsidRPr="00143DDA">
              <w:t>4.3</w:t>
            </w:r>
            <w:r>
              <w:t xml:space="preserve"> minutes</w:t>
            </w:r>
          </w:p>
        </w:tc>
        <w:tc>
          <w:tcPr>
            <w:tcW w:w="2821" w:type="dxa"/>
          </w:tcPr>
          <w:p w14:paraId="01A3E5B1" w14:textId="77777777" w:rsidR="00FE0A72" w:rsidRPr="00143DDA" w:rsidRDefault="00FE0A72" w:rsidP="00E440AB">
            <w:pPr>
              <w:pStyle w:val="Tablecontent"/>
              <w:jc w:val="right"/>
            </w:pPr>
            <w:r>
              <w:t>&lt; 1 time</w:t>
            </w:r>
          </w:p>
        </w:tc>
      </w:tr>
      <w:tr w:rsidR="00FE0A72" w:rsidRPr="00143DDA" w14:paraId="49169F4F" w14:textId="77777777" w:rsidTr="00936C02">
        <w:trPr>
          <w:trHeight w:val="300"/>
          <w:jc w:val="center"/>
        </w:trPr>
        <w:tc>
          <w:tcPr>
            <w:tcW w:w="1440" w:type="dxa"/>
            <w:shd w:val="clear" w:color="auto" w:fill="auto"/>
            <w:noWrap/>
          </w:tcPr>
          <w:p w14:paraId="6F8926FF" w14:textId="77777777" w:rsidR="00FE0A72" w:rsidRPr="00143DDA" w:rsidRDefault="00FE0A72" w:rsidP="00E440AB">
            <w:pPr>
              <w:pStyle w:val="Tablecontent"/>
              <w:jc w:val="right"/>
            </w:pPr>
            <w:r w:rsidRPr="003135F7">
              <w:rPr>
                <w:lang w:val="en-GB"/>
              </w:rPr>
              <w:t>99.98%</w:t>
            </w:r>
          </w:p>
        </w:tc>
        <w:tc>
          <w:tcPr>
            <w:tcW w:w="2489" w:type="dxa"/>
            <w:shd w:val="clear" w:color="auto" w:fill="auto"/>
            <w:noWrap/>
          </w:tcPr>
          <w:p w14:paraId="7BAA0A7E" w14:textId="77777777" w:rsidR="00FE0A72" w:rsidRPr="00143DDA" w:rsidRDefault="00FE0A72" w:rsidP="00E440AB">
            <w:pPr>
              <w:pStyle w:val="Tablecontent"/>
              <w:jc w:val="right"/>
            </w:pPr>
            <w:r w:rsidRPr="003135F7">
              <w:rPr>
                <w:lang w:val="en-GB"/>
              </w:rPr>
              <w:t>8.6</w:t>
            </w:r>
            <w:r>
              <w:t xml:space="preserve"> minutes</w:t>
            </w:r>
          </w:p>
        </w:tc>
        <w:tc>
          <w:tcPr>
            <w:tcW w:w="2821" w:type="dxa"/>
          </w:tcPr>
          <w:p w14:paraId="45618420" w14:textId="77777777" w:rsidR="00FE0A72" w:rsidRPr="003135F7" w:rsidRDefault="00FE0A72" w:rsidP="00E440AB">
            <w:pPr>
              <w:pStyle w:val="Tablecontent"/>
              <w:jc w:val="right"/>
              <w:rPr>
                <w:lang w:val="en-GB"/>
              </w:rPr>
            </w:pPr>
            <w:r>
              <w:rPr>
                <w:lang w:val="en-GB"/>
              </w:rPr>
              <w:t xml:space="preserve">&lt; 2 times </w:t>
            </w:r>
          </w:p>
        </w:tc>
      </w:tr>
      <w:tr w:rsidR="00FE0A72" w:rsidRPr="00143DDA" w14:paraId="7AE818A1" w14:textId="77777777" w:rsidTr="00936C02">
        <w:trPr>
          <w:trHeight w:val="300"/>
          <w:jc w:val="center"/>
        </w:trPr>
        <w:tc>
          <w:tcPr>
            <w:tcW w:w="1440" w:type="dxa"/>
            <w:shd w:val="clear" w:color="auto" w:fill="auto"/>
            <w:noWrap/>
          </w:tcPr>
          <w:p w14:paraId="03EA71D2" w14:textId="77777777" w:rsidR="00FE0A72" w:rsidRPr="003135F7" w:rsidRDefault="00FE0A72" w:rsidP="00E440AB">
            <w:pPr>
              <w:pStyle w:val="Tablecontent"/>
              <w:jc w:val="right"/>
              <w:rPr>
                <w:lang w:val="en-GB"/>
              </w:rPr>
            </w:pPr>
            <w:r w:rsidRPr="001914B1">
              <w:rPr>
                <w:lang w:val="en-GB"/>
              </w:rPr>
              <w:t>99.97%</w:t>
            </w:r>
          </w:p>
        </w:tc>
        <w:tc>
          <w:tcPr>
            <w:tcW w:w="2489" w:type="dxa"/>
            <w:shd w:val="clear" w:color="auto" w:fill="auto"/>
            <w:noWrap/>
          </w:tcPr>
          <w:p w14:paraId="541D29C7" w14:textId="77777777" w:rsidR="00FE0A72" w:rsidRPr="003135F7" w:rsidRDefault="00FE0A72" w:rsidP="00E440AB">
            <w:pPr>
              <w:pStyle w:val="Tablecontent"/>
              <w:jc w:val="right"/>
              <w:rPr>
                <w:lang w:val="en-GB"/>
              </w:rPr>
            </w:pPr>
            <w:r w:rsidRPr="001914B1">
              <w:rPr>
                <w:lang w:val="en-GB"/>
              </w:rPr>
              <w:t>13.0</w:t>
            </w:r>
            <w:r>
              <w:t xml:space="preserve"> minutes</w:t>
            </w:r>
          </w:p>
        </w:tc>
        <w:tc>
          <w:tcPr>
            <w:tcW w:w="2821" w:type="dxa"/>
          </w:tcPr>
          <w:p w14:paraId="7DD8A2BD" w14:textId="77777777" w:rsidR="00FE0A72" w:rsidRPr="001914B1" w:rsidRDefault="00FE0A72" w:rsidP="00E440AB">
            <w:pPr>
              <w:pStyle w:val="Tablecontent"/>
              <w:jc w:val="right"/>
              <w:rPr>
                <w:lang w:val="en-GB"/>
              </w:rPr>
            </w:pPr>
            <w:r>
              <w:rPr>
                <w:lang w:val="en-GB"/>
              </w:rPr>
              <w:t>&lt; 3 times</w:t>
            </w:r>
          </w:p>
        </w:tc>
      </w:tr>
      <w:tr w:rsidR="00FE0A72" w:rsidRPr="00143DDA" w14:paraId="17FD6E97" w14:textId="77777777" w:rsidTr="00936C02">
        <w:trPr>
          <w:trHeight w:val="300"/>
          <w:jc w:val="center"/>
        </w:trPr>
        <w:tc>
          <w:tcPr>
            <w:tcW w:w="1440" w:type="dxa"/>
            <w:shd w:val="clear" w:color="auto" w:fill="auto"/>
            <w:noWrap/>
          </w:tcPr>
          <w:p w14:paraId="3505CEF3" w14:textId="77777777" w:rsidR="00FE0A72" w:rsidRPr="003135F7" w:rsidRDefault="00FE0A72" w:rsidP="00E440AB">
            <w:pPr>
              <w:pStyle w:val="Tablecontent"/>
              <w:jc w:val="right"/>
              <w:rPr>
                <w:lang w:val="en-GB"/>
              </w:rPr>
            </w:pPr>
            <w:r w:rsidRPr="000C181F">
              <w:rPr>
                <w:lang w:val="en-GB"/>
              </w:rPr>
              <w:t>99.96%</w:t>
            </w:r>
          </w:p>
        </w:tc>
        <w:tc>
          <w:tcPr>
            <w:tcW w:w="2489" w:type="dxa"/>
            <w:shd w:val="clear" w:color="auto" w:fill="auto"/>
            <w:noWrap/>
          </w:tcPr>
          <w:p w14:paraId="3AE120DC" w14:textId="77777777" w:rsidR="00FE0A72" w:rsidRPr="003135F7" w:rsidRDefault="00FE0A72" w:rsidP="00E440AB">
            <w:pPr>
              <w:pStyle w:val="Tablecontent"/>
              <w:jc w:val="right"/>
              <w:rPr>
                <w:lang w:val="en-GB"/>
              </w:rPr>
            </w:pPr>
            <w:r w:rsidRPr="000C181F">
              <w:rPr>
                <w:lang w:val="en-GB"/>
              </w:rPr>
              <w:t>17.3</w:t>
            </w:r>
            <w:r>
              <w:t xml:space="preserve"> minutes</w:t>
            </w:r>
          </w:p>
        </w:tc>
        <w:tc>
          <w:tcPr>
            <w:tcW w:w="2821" w:type="dxa"/>
          </w:tcPr>
          <w:p w14:paraId="69B676EE" w14:textId="77777777" w:rsidR="00FE0A72" w:rsidRPr="000C181F" w:rsidRDefault="00FE0A72" w:rsidP="00E440AB">
            <w:pPr>
              <w:pStyle w:val="Tablecontent"/>
              <w:jc w:val="right"/>
              <w:rPr>
                <w:lang w:val="en-GB"/>
              </w:rPr>
            </w:pPr>
            <w:r>
              <w:rPr>
                <w:lang w:val="en-GB"/>
              </w:rPr>
              <w:t>&lt; 4 times</w:t>
            </w:r>
          </w:p>
        </w:tc>
      </w:tr>
      <w:tr w:rsidR="00FE0A72" w:rsidRPr="00143DDA" w14:paraId="0FEB62F3" w14:textId="77777777" w:rsidTr="00936C02">
        <w:trPr>
          <w:trHeight w:val="300"/>
          <w:jc w:val="center"/>
        </w:trPr>
        <w:tc>
          <w:tcPr>
            <w:tcW w:w="1440" w:type="dxa"/>
            <w:shd w:val="clear" w:color="auto" w:fill="auto"/>
            <w:noWrap/>
            <w:vAlign w:val="bottom"/>
            <w:hideMark/>
          </w:tcPr>
          <w:p w14:paraId="7088606F" w14:textId="77777777" w:rsidR="00FE0A72" w:rsidRPr="00143DDA" w:rsidRDefault="00FE0A72" w:rsidP="00E440AB">
            <w:pPr>
              <w:pStyle w:val="Tablecontent"/>
              <w:jc w:val="right"/>
            </w:pPr>
            <w:r w:rsidRPr="00143DDA">
              <w:t>99.95%</w:t>
            </w:r>
          </w:p>
        </w:tc>
        <w:tc>
          <w:tcPr>
            <w:tcW w:w="2489" w:type="dxa"/>
            <w:shd w:val="clear" w:color="auto" w:fill="auto"/>
            <w:noWrap/>
            <w:vAlign w:val="bottom"/>
            <w:hideMark/>
          </w:tcPr>
          <w:p w14:paraId="3AE86A66" w14:textId="77777777" w:rsidR="00FE0A72" w:rsidRPr="00143DDA" w:rsidRDefault="00FE0A72" w:rsidP="00E440AB">
            <w:pPr>
              <w:pStyle w:val="Tablecontent"/>
              <w:jc w:val="right"/>
            </w:pPr>
            <w:r w:rsidRPr="00143DDA">
              <w:t>21.6</w:t>
            </w:r>
            <w:r>
              <w:t xml:space="preserve"> minutes</w:t>
            </w:r>
          </w:p>
        </w:tc>
        <w:tc>
          <w:tcPr>
            <w:tcW w:w="2821" w:type="dxa"/>
          </w:tcPr>
          <w:p w14:paraId="0146B070" w14:textId="77777777" w:rsidR="00FE0A72" w:rsidRPr="00143DDA" w:rsidRDefault="00FE0A72" w:rsidP="00E440AB">
            <w:pPr>
              <w:pStyle w:val="Tablecontent"/>
              <w:jc w:val="right"/>
            </w:pPr>
            <w:r>
              <w:rPr>
                <w:lang w:val="en-GB"/>
              </w:rPr>
              <w:t xml:space="preserve">&lt; 5 times </w:t>
            </w:r>
          </w:p>
        </w:tc>
      </w:tr>
      <w:tr w:rsidR="00FE0A72" w:rsidRPr="00143DDA" w14:paraId="523C16E2" w14:textId="77777777" w:rsidTr="00936C02">
        <w:trPr>
          <w:trHeight w:val="290"/>
          <w:jc w:val="center"/>
        </w:trPr>
        <w:tc>
          <w:tcPr>
            <w:tcW w:w="1440" w:type="dxa"/>
            <w:shd w:val="clear" w:color="auto" w:fill="auto"/>
            <w:noWrap/>
            <w:vAlign w:val="bottom"/>
            <w:hideMark/>
          </w:tcPr>
          <w:p w14:paraId="543FC8D6" w14:textId="77777777" w:rsidR="00FE0A72" w:rsidRPr="00897B7B" w:rsidRDefault="00FE0A72" w:rsidP="00E440AB">
            <w:pPr>
              <w:pStyle w:val="Tablecontent"/>
              <w:jc w:val="right"/>
            </w:pPr>
            <w:r w:rsidRPr="00897B7B">
              <w:t>99.90%</w:t>
            </w:r>
          </w:p>
        </w:tc>
        <w:tc>
          <w:tcPr>
            <w:tcW w:w="2489" w:type="dxa"/>
            <w:shd w:val="clear" w:color="auto" w:fill="auto"/>
            <w:noWrap/>
            <w:vAlign w:val="bottom"/>
            <w:hideMark/>
          </w:tcPr>
          <w:p w14:paraId="2E08A6CD" w14:textId="77777777" w:rsidR="00FE0A72" w:rsidRPr="00143DDA" w:rsidRDefault="00FE0A72" w:rsidP="00E440AB">
            <w:pPr>
              <w:pStyle w:val="Tablecontent"/>
              <w:jc w:val="right"/>
            </w:pPr>
            <w:r w:rsidRPr="00143DDA">
              <w:t>43.2</w:t>
            </w:r>
            <w:r>
              <w:t xml:space="preserve"> minutes</w:t>
            </w:r>
          </w:p>
        </w:tc>
        <w:tc>
          <w:tcPr>
            <w:tcW w:w="2821" w:type="dxa"/>
          </w:tcPr>
          <w:p w14:paraId="1CF3DB98" w14:textId="77777777" w:rsidR="00FE0A72" w:rsidRPr="00143DDA" w:rsidRDefault="00FE0A72" w:rsidP="00E440AB">
            <w:pPr>
              <w:pStyle w:val="Tablecontent"/>
              <w:jc w:val="right"/>
            </w:pPr>
            <w:r>
              <w:rPr>
                <w:lang w:val="en-GB"/>
              </w:rPr>
              <w:t>&lt; 9 times</w:t>
            </w:r>
          </w:p>
        </w:tc>
      </w:tr>
      <w:tr w:rsidR="00FE0A72" w:rsidRPr="00143DDA" w14:paraId="3912E7F6" w14:textId="77777777" w:rsidTr="00936C02">
        <w:trPr>
          <w:trHeight w:val="290"/>
          <w:jc w:val="center"/>
        </w:trPr>
        <w:tc>
          <w:tcPr>
            <w:tcW w:w="1440" w:type="dxa"/>
            <w:shd w:val="clear" w:color="auto" w:fill="auto"/>
            <w:noWrap/>
          </w:tcPr>
          <w:p w14:paraId="6646AC93" w14:textId="77777777" w:rsidR="00FE0A72" w:rsidRPr="00897B7B" w:rsidRDefault="00FE0A72" w:rsidP="00E440AB">
            <w:pPr>
              <w:pStyle w:val="Tablecontent"/>
              <w:jc w:val="right"/>
            </w:pPr>
            <w:r w:rsidRPr="00897B7B">
              <w:rPr>
                <w:lang w:val="en-GB"/>
              </w:rPr>
              <w:t>99.80%</w:t>
            </w:r>
          </w:p>
        </w:tc>
        <w:tc>
          <w:tcPr>
            <w:tcW w:w="2489" w:type="dxa"/>
            <w:shd w:val="clear" w:color="auto" w:fill="auto"/>
            <w:noWrap/>
          </w:tcPr>
          <w:p w14:paraId="40576063" w14:textId="77777777" w:rsidR="00FE0A72" w:rsidRPr="00143DDA" w:rsidRDefault="00FE0A72" w:rsidP="00E440AB">
            <w:pPr>
              <w:pStyle w:val="Tablecontent"/>
              <w:jc w:val="right"/>
            </w:pPr>
            <w:r w:rsidRPr="000B458D">
              <w:rPr>
                <w:lang w:val="en-GB"/>
              </w:rPr>
              <w:t>86.4</w:t>
            </w:r>
            <w:r>
              <w:t xml:space="preserve"> minutes</w:t>
            </w:r>
          </w:p>
        </w:tc>
        <w:tc>
          <w:tcPr>
            <w:tcW w:w="2821" w:type="dxa"/>
          </w:tcPr>
          <w:p w14:paraId="73199FC3" w14:textId="77777777" w:rsidR="00FE0A72" w:rsidRPr="000B458D" w:rsidRDefault="00FE0A72" w:rsidP="00E440AB">
            <w:pPr>
              <w:pStyle w:val="Tablecontent"/>
              <w:jc w:val="right"/>
              <w:rPr>
                <w:lang w:val="en-GB"/>
              </w:rPr>
            </w:pPr>
            <w:r>
              <w:rPr>
                <w:lang w:val="en-GB"/>
              </w:rPr>
              <w:t>&lt; 18 times</w:t>
            </w:r>
          </w:p>
        </w:tc>
      </w:tr>
    </w:tbl>
    <w:p w14:paraId="1336E562" w14:textId="5638EF64" w:rsidR="0062682B" w:rsidRDefault="0062682B" w:rsidP="00E7573A">
      <w:pPr>
        <w:pStyle w:val="Heading5"/>
      </w:pPr>
      <w:r>
        <w:t>The 2 Sides of SLA</w:t>
      </w:r>
    </w:p>
    <w:p w14:paraId="6144B6F4" w14:textId="6DB19761" w:rsidR="0062682B" w:rsidRDefault="0062682B" w:rsidP="0062682B">
      <w:pPr>
        <w:rPr>
          <w:lang w:val="en-GB"/>
        </w:rPr>
      </w:pPr>
      <w:r>
        <w:rPr>
          <w:lang w:val="en-GB"/>
        </w:rPr>
        <w:t xml:space="preserve">This is one of those things in life where it’s so obvious that we overlook it. </w:t>
      </w:r>
    </w:p>
    <w:p w14:paraId="510956E1" w14:textId="6641FE67" w:rsidR="0062682B" w:rsidRDefault="0062682B" w:rsidP="0062682B">
      <w:pPr>
        <w:rPr>
          <w:lang w:val="en-GB"/>
        </w:rPr>
      </w:pPr>
      <w:r>
        <w:rPr>
          <w:lang w:val="en-GB"/>
        </w:rPr>
        <w:t>There are 2 sides of an SLA.</w:t>
      </w:r>
    </w:p>
    <w:p w14:paraId="3B5AFC10" w14:textId="77777777" w:rsidR="000731CD" w:rsidRDefault="000731CD" w:rsidP="000731CD">
      <w:pPr>
        <w:pStyle w:val="BeforeTable"/>
      </w:pPr>
    </w:p>
    <w:tbl>
      <w:tblPr>
        <w:tblW w:w="0" w:type="auto"/>
        <w:tblLook w:val="04A0" w:firstRow="1" w:lastRow="0" w:firstColumn="1" w:lastColumn="0" w:noHBand="0" w:noVBand="1"/>
      </w:tblPr>
      <w:tblGrid>
        <w:gridCol w:w="1843"/>
        <w:gridCol w:w="8613"/>
      </w:tblGrid>
      <w:tr w:rsidR="000731CD" w14:paraId="0D2500FA" w14:textId="77777777" w:rsidTr="00E440AB">
        <w:tc>
          <w:tcPr>
            <w:tcW w:w="184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2F9762F4" w14:textId="3677125C" w:rsidR="000731CD" w:rsidRPr="009A50B4" w:rsidRDefault="000731CD" w:rsidP="00E440AB">
            <w:pPr>
              <w:pStyle w:val="Tablecontent"/>
              <w:rPr>
                <w:b/>
                <w:bCs/>
              </w:rPr>
            </w:pPr>
            <w:r>
              <w:rPr>
                <w:b/>
                <w:bCs/>
              </w:rPr>
              <w:t>Promise</w:t>
            </w:r>
          </w:p>
        </w:tc>
        <w:tc>
          <w:tcPr>
            <w:tcW w:w="8613" w:type="dxa"/>
            <w:tcBorders>
              <w:top w:val="single" w:sz="4" w:space="0" w:color="BFBFBF" w:themeColor="background1" w:themeShade="BF"/>
              <w:bottom w:val="single" w:sz="4" w:space="0" w:color="BFBFBF" w:themeColor="background1" w:themeShade="BF"/>
            </w:tcBorders>
          </w:tcPr>
          <w:p w14:paraId="3A684CA8" w14:textId="77777777" w:rsidR="000731CD" w:rsidRDefault="000731CD" w:rsidP="00E440AB">
            <w:pPr>
              <w:pStyle w:val="Tablecontent"/>
            </w:pPr>
            <w:r>
              <w:t xml:space="preserve">What you promise to your customers. </w:t>
            </w:r>
          </w:p>
          <w:p w14:paraId="5DBBEAA1" w14:textId="650056AE" w:rsidR="000731CD" w:rsidRPr="00B57B1E" w:rsidRDefault="000731CD" w:rsidP="00E440AB">
            <w:pPr>
              <w:pStyle w:val="Tablecontent"/>
            </w:pPr>
            <w:r>
              <w:rPr>
                <w:lang w:val="en-GB"/>
              </w:rPr>
              <w:t>Obviously, the higher the price, the better the service, the higher the SLA. So there can be multiple numbers, matching the number of class of services.</w:t>
            </w:r>
          </w:p>
        </w:tc>
      </w:tr>
      <w:tr w:rsidR="000731CD" w14:paraId="537E9988" w14:textId="77777777" w:rsidTr="00E440AB">
        <w:tc>
          <w:tcPr>
            <w:tcW w:w="184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0760B4B3" w14:textId="0CF52319" w:rsidR="000731CD" w:rsidRPr="009A50B4" w:rsidRDefault="000731CD" w:rsidP="00E440AB">
            <w:pPr>
              <w:pStyle w:val="Tablecontent"/>
              <w:rPr>
                <w:b/>
                <w:bCs/>
              </w:rPr>
            </w:pPr>
            <w:r>
              <w:rPr>
                <w:b/>
                <w:bCs/>
              </w:rPr>
              <w:t>Reality</w:t>
            </w:r>
          </w:p>
        </w:tc>
        <w:tc>
          <w:tcPr>
            <w:tcW w:w="8613" w:type="dxa"/>
            <w:tcBorders>
              <w:top w:val="single" w:sz="4" w:space="0" w:color="BFBFBF" w:themeColor="background1" w:themeShade="BF"/>
              <w:bottom w:val="single" w:sz="4" w:space="0" w:color="BFBFBF" w:themeColor="background1" w:themeShade="BF"/>
            </w:tcBorders>
          </w:tcPr>
          <w:p w14:paraId="686003E7" w14:textId="77777777" w:rsidR="000731CD" w:rsidRDefault="000731CD" w:rsidP="00E440AB">
            <w:pPr>
              <w:pStyle w:val="Tablecontent"/>
            </w:pPr>
            <w:r>
              <w:t xml:space="preserve">What is actually delivered. </w:t>
            </w:r>
          </w:p>
          <w:p w14:paraId="2400F332" w14:textId="41CA328D" w:rsidR="000731CD" w:rsidRPr="00B57B1E" w:rsidRDefault="000731CD" w:rsidP="00E440AB">
            <w:pPr>
              <w:pStyle w:val="Tablecontent"/>
            </w:pPr>
            <w:r>
              <w:rPr>
                <w:lang w:val="en-GB"/>
              </w:rPr>
              <w:t>There is only one number, regardless of the class of service. A Gold VM can fail SLA even though the reality it’s getting a higher number.</w:t>
            </w:r>
          </w:p>
        </w:tc>
      </w:tr>
    </w:tbl>
    <w:p w14:paraId="27284E66" w14:textId="5F1CC00D" w:rsidR="0062682B" w:rsidRDefault="0062682B" w:rsidP="00E7573A">
      <w:pPr>
        <w:pStyle w:val="Heading5"/>
      </w:pPr>
      <w:r>
        <w:t>SLA Calculation</w:t>
      </w:r>
    </w:p>
    <w:p w14:paraId="0F3C578E" w14:textId="5DD3F344" w:rsidR="0062682B" w:rsidRPr="00C12310" w:rsidRDefault="0062682B" w:rsidP="0062682B">
      <w:r>
        <w:t xml:space="preserve">The above four elements of IaaS (CPU, Memory, Disk, Network) are evaluated on every collection cycle. The default collection cycle is 5 minutes, which is an appropriate balance for SLA monitoring. An SLA that is based on a 1-minute collection cycle will be too tight and result in either a cost increase or a reduction in threshold. </w:t>
      </w:r>
    </w:p>
    <w:p w14:paraId="18F7965D" w14:textId="42AE1F71" w:rsidR="0062682B" w:rsidRPr="00C12310" w:rsidRDefault="0062682B" w:rsidP="0062682B">
      <w:r>
        <w:t>The following example, taken on vRealize Operations 8.2, shows that this VM was served well by the IaaS. It’s getting the four IaaS resources it asked for in the last 24 hours with only one exception. The chart counts each time a VM is not getting a resource. A VM that is not served on all four will register a value of 4 in the chart.</w:t>
      </w:r>
      <w:r w:rsidR="00023648">
        <w:t xml:space="preserve"> You can use 100%</w:t>
      </w:r>
      <w:r w:rsidR="009754DA">
        <w:t xml:space="preserve"> - 0%</w:t>
      </w:r>
      <w:r w:rsidR="00023648">
        <w:t xml:space="preserve"> range instead of 1 – 4</w:t>
      </w:r>
      <w:r w:rsidR="009754DA">
        <w:t>, where 4 = 0%</w:t>
      </w:r>
    </w:p>
    <w:p w14:paraId="6D5034F7" w14:textId="77777777" w:rsidR="0062682B" w:rsidRPr="00C12310" w:rsidRDefault="0062682B" w:rsidP="0062682B">
      <w:pPr>
        <w:jc w:val="center"/>
      </w:pPr>
      <w:r>
        <w:rPr>
          <w:noProof/>
        </w:rPr>
        <w:lastRenderedPageBreak/>
        <w:drawing>
          <wp:inline distT="0" distB="0" distL="0" distR="0" wp14:anchorId="091306A6" wp14:editId="39F2C647">
            <wp:extent cx="6017136" cy="1502272"/>
            <wp:effectExtent l="0" t="0" r="3175" b="3175"/>
            <wp:docPr id="32" name="Picture 32"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hart, histogram&#10;&#10;Description automatically generated"/>
                    <pic:cNvPicPr/>
                  </pic:nvPicPr>
                  <pic:blipFill>
                    <a:blip r:embed="rId73" cstate="print">
                      <a:extLst>
                        <a:ext uri="{28A0092B-C50C-407E-A947-70E740481C1C}">
                          <a14:useLocalDpi xmlns:a14="http://schemas.microsoft.com/office/drawing/2010/main" val="0"/>
                        </a:ext>
                      </a:extLst>
                    </a:blip>
                    <a:stretch>
                      <a:fillRect/>
                    </a:stretch>
                  </pic:blipFill>
                  <pic:spPr>
                    <a:xfrm>
                      <a:off x="0" y="0"/>
                      <a:ext cx="6017136" cy="1502272"/>
                    </a:xfrm>
                    <a:prstGeom prst="rect">
                      <a:avLst/>
                    </a:prstGeom>
                  </pic:spPr>
                </pic:pic>
              </a:graphicData>
            </a:graphic>
          </wp:inline>
        </w:drawing>
      </w:r>
    </w:p>
    <w:p w14:paraId="390CD700" w14:textId="77777777" w:rsidR="0062682B" w:rsidRPr="00C12310" w:rsidRDefault="0062682B" w:rsidP="0062682B">
      <w:r w:rsidRPr="00C12310">
        <w:t>The following example shows the opposite.</w:t>
      </w:r>
      <w:r>
        <w:t xml:space="preserve"> There are many instances where the VM is not getting at least one of the four IaaS resource, and one instance where it did not get two them.</w:t>
      </w:r>
      <w:r w:rsidRPr="00C12310">
        <w:t xml:space="preserve"> The chart also shows 7 days, so pattern or spike can be seen.</w:t>
      </w:r>
    </w:p>
    <w:p w14:paraId="3CA0EACD" w14:textId="77777777" w:rsidR="0062682B" w:rsidRPr="00C12310" w:rsidRDefault="0062682B" w:rsidP="0062682B">
      <w:pPr>
        <w:jc w:val="center"/>
      </w:pPr>
      <w:r>
        <w:rPr>
          <w:noProof/>
        </w:rPr>
        <w:drawing>
          <wp:inline distT="0" distB="0" distL="0" distR="0" wp14:anchorId="31AD7690" wp14:editId="66AA48A1">
            <wp:extent cx="6036320" cy="1512829"/>
            <wp:effectExtent l="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pic:nvPicPr>
                  <pic:blipFill>
                    <a:blip r:embed="rId74" cstate="print">
                      <a:extLst>
                        <a:ext uri="{28A0092B-C50C-407E-A947-70E740481C1C}">
                          <a14:useLocalDpi xmlns:a14="http://schemas.microsoft.com/office/drawing/2010/main" val="0"/>
                        </a:ext>
                      </a:extLst>
                    </a:blip>
                    <a:stretch>
                      <a:fillRect/>
                    </a:stretch>
                  </pic:blipFill>
                  <pic:spPr>
                    <a:xfrm>
                      <a:off x="0" y="0"/>
                      <a:ext cx="6036320" cy="1512829"/>
                    </a:xfrm>
                    <a:prstGeom prst="rect">
                      <a:avLst/>
                    </a:prstGeom>
                  </pic:spPr>
                </pic:pic>
              </a:graphicData>
            </a:graphic>
          </wp:inline>
        </w:drawing>
      </w:r>
    </w:p>
    <w:p w14:paraId="64178CD9" w14:textId="54488CCC" w:rsidR="00CC6C50" w:rsidRDefault="00CC6C50" w:rsidP="00925ABC">
      <w:r>
        <w:t xml:space="preserve">The VM SLA (%) value is simply </w:t>
      </w:r>
      <w:r w:rsidR="002B203F">
        <w:t xml:space="preserve">the average of the 5-minute datapoints over the last 30-days. </w:t>
      </w:r>
    </w:p>
    <w:p w14:paraId="7A2FEC2A" w14:textId="77777777" w:rsidR="002B203F" w:rsidRPr="002B203F" w:rsidRDefault="002B203F" w:rsidP="002B203F">
      <w:r w:rsidRPr="002B203F">
        <w:t xml:space="preserve">There are 4 SLA metrics, so each contributes 25% weightage. </w:t>
      </w:r>
    </w:p>
    <w:p w14:paraId="1BCBBC3E" w14:textId="77777777" w:rsidR="002B203F" w:rsidRDefault="002B203F" w:rsidP="002B203F">
      <w:r>
        <w:t xml:space="preserve">Example: </w:t>
      </w:r>
    </w:p>
    <w:p w14:paraId="1B83F208" w14:textId="78597ADF" w:rsidR="002B203F" w:rsidRPr="002B203F" w:rsidRDefault="002B203F" w:rsidP="002B203F">
      <w:pPr>
        <w:pStyle w:val="Bullet"/>
      </w:pPr>
      <w:r w:rsidRPr="002B203F">
        <w:t xml:space="preserve">Take 99.95%, which is 21 minutes. </w:t>
      </w:r>
    </w:p>
    <w:p w14:paraId="2FE8F09A" w14:textId="77777777" w:rsidR="002B203F" w:rsidRPr="002B203F" w:rsidRDefault="002B203F" w:rsidP="002B203F">
      <w:pPr>
        <w:pStyle w:val="Bullet"/>
      </w:pPr>
      <w:r w:rsidRPr="002B203F">
        <w:t>For simplicity, let’s focus on 20 minutes. That means 4 values from each, total 16 values.</w:t>
      </w:r>
    </w:p>
    <w:p w14:paraId="02F40F96" w14:textId="0816EDD9" w:rsidR="002B203F" w:rsidRDefault="002B203F" w:rsidP="002B203F">
      <w:pPr>
        <w:pStyle w:val="Bullet"/>
      </w:pPr>
      <w:r w:rsidRPr="002B203F">
        <w:t>Failing one resource for 16x is as good as failing all 4 resources, 4 times each. 16 x 1 = 4 x 4.</w:t>
      </w:r>
    </w:p>
    <w:p w14:paraId="54E79C52" w14:textId="191C0C7B" w:rsidR="00DE3984" w:rsidRDefault="00925ABC" w:rsidP="00925ABC">
      <w:r>
        <w:t xml:space="preserve">Now that we have the numbers, we need to apply them into </w:t>
      </w:r>
      <w:r w:rsidR="00AD1447">
        <w:t xml:space="preserve">class of services. Gold should be higher than Silver, but exactly </w:t>
      </w:r>
      <w:r w:rsidR="00DE3984">
        <w:t xml:space="preserve">by how much? </w:t>
      </w:r>
    </w:p>
    <w:p w14:paraId="70BF6DD8" w14:textId="13885552" w:rsidR="00DE3984" w:rsidRDefault="00DE3984" w:rsidP="00925ABC">
      <w:r>
        <w:t>Let’s find out.</w:t>
      </w:r>
    </w:p>
    <w:p w14:paraId="2981D99D" w14:textId="7ACC3851" w:rsidR="00DC6108" w:rsidRDefault="00DC6108" w:rsidP="00AC6E1E">
      <w:pPr>
        <w:pStyle w:val="Heading4"/>
      </w:pPr>
      <w:r>
        <w:t>Class of Service</w:t>
      </w:r>
    </w:p>
    <w:p w14:paraId="7477BC07" w14:textId="1152AE27" w:rsidR="007F24A5" w:rsidRDefault="007F24A5" w:rsidP="00653428">
      <w:pPr>
        <w:rPr>
          <w:lang w:val="en-GB"/>
        </w:rPr>
      </w:pPr>
      <w:r>
        <w:rPr>
          <w:lang w:val="en-GB"/>
        </w:rPr>
        <w:t>Now that you have the 4 SLA</w:t>
      </w:r>
      <w:r w:rsidR="000C7999">
        <w:rPr>
          <w:lang w:val="en-GB"/>
        </w:rPr>
        <w:t>s</w:t>
      </w:r>
      <w:r>
        <w:rPr>
          <w:lang w:val="en-GB"/>
        </w:rPr>
        <w:t>, you complement it with Class of Service. If you only have 1 offering and you promise them good, well they all would expect business class experience.</w:t>
      </w:r>
    </w:p>
    <w:p w14:paraId="7A41F2E7" w14:textId="5C9DBCEA" w:rsidR="003E000F" w:rsidRDefault="00000000" w:rsidP="00261ED9">
      <w:hyperlink r:id="rId75" w:history="1">
        <w:r w:rsidR="00261ED9" w:rsidRPr="00FE7733">
          <w:rPr>
            <w:rStyle w:val="Hyperlink"/>
          </w:rPr>
          <w:t>Kim Ramirez</w:t>
        </w:r>
      </w:hyperlink>
      <w:r w:rsidR="00261ED9">
        <w:t xml:space="preserve"> advises that from a pricing psychology standpoint it might make sense to offer Gold, with the expectation that nobody will buy it, and it only serves to make Silver look like a good deal. </w:t>
      </w:r>
      <w:r w:rsidR="003E000F">
        <w:rPr>
          <w:lang w:val="en-GB"/>
        </w:rPr>
        <w:t>In life, one way we know something is good or bad is via comparison. Relative value can complement absolute value in educating customers.</w:t>
      </w:r>
    </w:p>
    <w:p w14:paraId="6F63E36E" w14:textId="030C45E0" w:rsidR="00261ED9" w:rsidRDefault="00FE0785" w:rsidP="00261ED9">
      <w:r>
        <w:t xml:space="preserve">Having a comparison also </w:t>
      </w:r>
      <w:r w:rsidR="00261ED9">
        <w:t xml:space="preserve">addresses a potential confusion where customers wonder where Gold is, if they only see Silver and Bronze offers. </w:t>
      </w:r>
    </w:p>
    <w:p w14:paraId="6D39AA51" w14:textId="768C9571" w:rsidR="00101800" w:rsidRDefault="00E856CE" w:rsidP="00101800">
      <w:pPr>
        <w:rPr>
          <w:lang w:val="en-GB"/>
        </w:rPr>
      </w:pPr>
      <w:r>
        <w:rPr>
          <w:lang w:val="en-GB"/>
        </w:rPr>
        <w:lastRenderedPageBreak/>
        <w:t>I</w:t>
      </w:r>
      <w:r w:rsidR="00101800">
        <w:rPr>
          <w:lang w:val="en-GB"/>
        </w:rPr>
        <w:t xml:space="preserve">f you do not </w:t>
      </w:r>
      <w:r w:rsidR="00DE3DDC">
        <w:rPr>
          <w:lang w:val="en-GB"/>
        </w:rPr>
        <w:t xml:space="preserve">wish to offer </w:t>
      </w:r>
      <w:r w:rsidR="00D364BA">
        <w:rPr>
          <w:lang w:val="en-GB"/>
        </w:rPr>
        <w:t xml:space="preserve">a certain </w:t>
      </w:r>
      <w:r w:rsidR="00101800">
        <w:rPr>
          <w:lang w:val="en-GB"/>
        </w:rPr>
        <w:t>class available</w:t>
      </w:r>
      <w:r w:rsidR="003E000F">
        <w:rPr>
          <w:lang w:val="en-GB"/>
        </w:rPr>
        <w:t>, provide the reason</w:t>
      </w:r>
      <w:r w:rsidR="004119D0">
        <w:rPr>
          <w:lang w:val="en-GB"/>
        </w:rPr>
        <w:t xml:space="preserve"> to your customers</w:t>
      </w:r>
      <w:r w:rsidR="002F5434">
        <w:rPr>
          <w:lang w:val="en-GB"/>
        </w:rPr>
        <w:t xml:space="preserve"> or management.</w:t>
      </w:r>
    </w:p>
    <w:p w14:paraId="5A7FA355" w14:textId="0421D6A9" w:rsidR="00827489" w:rsidRDefault="00827489" w:rsidP="00E7573A">
      <w:pPr>
        <w:pStyle w:val="Heading5"/>
      </w:pPr>
      <w:r>
        <w:t xml:space="preserve">Price/Performance </w:t>
      </w:r>
    </w:p>
    <w:p w14:paraId="048A0E03" w14:textId="531390B4" w:rsidR="00827489" w:rsidRDefault="00827489" w:rsidP="00653428">
      <w:pPr>
        <w:rPr>
          <w:lang w:val="en-GB"/>
        </w:rPr>
      </w:pPr>
      <w:r>
        <w:rPr>
          <w:lang w:val="en-GB"/>
        </w:rPr>
        <w:t xml:space="preserve">The </w:t>
      </w:r>
      <w:hyperlink r:id="rId76" w:history="1">
        <w:r w:rsidRPr="00827489">
          <w:rPr>
            <w:rStyle w:val="Hyperlink"/>
            <w:lang w:val="en-GB"/>
          </w:rPr>
          <w:t>price-performance ratio</w:t>
        </w:r>
      </w:hyperlink>
      <w:r>
        <w:rPr>
          <w:lang w:val="en-GB"/>
        </w:rPr>
        <w:t xml:space="preserve"> is widely accepted as it is simple to understand and it’s built on fairness. You probably heard of this: </w:t>
      </w:r>
      <w:r w:rsidR="00B9080D">
        <w:rPr>
          <w:lang w:val="en-GB"/>
        </w:rPr>
        <w:t xml:space="preserve">“I offer 3 types of variants. Cheap, good, and fast. Pick any two. You </w:t>
      </w:r>
      <w:r>
        <w:rPr>
          <w:lang w:val="en-GB"/>
        </w:rPr>
        <w:t xml:space="preserve">want it </w:t>
      </w:r>
      <w:r w:rsidR="00B9080D">
        <w:rPr>
          <w:lang w:val="en-GB"/>
        </w:rPr>
        <w:t xml:space="preserve">cheap and </w:t>
      </w:r>
      <w:r>
        <w:rPr>
          <w:lang w:val="en-GB"/>
        </w:rPr>
        <w:t xml:space="preserve">good, it won’t be </w:t>
      </w:r>
      <w:r w:rsidR="00B9080D">
        <w:rPr>
          <w:lang w:val="en-GB"/>
        </w:rPr>
        <w:t>fast</w:t>
      </w:r>
      <w:r>
        <w:rPr>
          <w:lang w:val="en-GB"/>
        </w:rPr>
        <w:t>. You want it cheap</w:t>
      </w:r>
      <w:r w:rsidR="00B9080D">
        <w:rPr>
          <w:lang w:val="en-GB"/>
        </w:rPr>
        <w:t xml:space="preserve"> and fast</w:t>
      </w:r>
      <w:r>
        <w:rPr>
          <w:lang w:val="en-GB"/>
        </w:rPr>
        <w:t xml:space="preserve">, it won’t be good. </w:t>
      </w:r>
      <w:r w:rsidR="00B9080D">
        <w:rPr>
          <w:lang w:val="en-GB"/>
        </w:rPr>
        <w:t>You want it good and fast, it won’t be cheap!”.</w:t>
      </w:r>
    </w:p>
    <w:p w14:paraId="79E29794" w14:textId="77777777" w:rsidR="00C50E7F" w:rsidRDefault="00250750" w:rsidP="00653428">
      <w:pPr>
        <w:rPr>
          <w:lang w:val="en-GB"/>
        </w:rPr>
      </w:pPr>
      <w:r>
        <w:rPr>
          <w:lang w:val="en-GB"/>
        </w:rPr>
        <w:t xml:space="preserve">In IaaS, </w:t>
      </w:r>
      <w:r w:rsidR="00C50E7F">
        <w:rPr>
          <w:lang w:val="en-GB"/>
        </w:rPr>
        <w:t xml:space="preserve">how do </w:t>
      </w:r>
      <w:r>
        <w:rPr>
          <w:lang w:val="en-GB"/>
        </w:rPr>
        <w:t xml:space="preserve">you apply the above </w:t>
      </w:r>
      <w:r w:rsidR="00C50E7F">
        <w:rPr>
          <w:lang w:val="en-GB"/>
        </w:rPr>
        <w:t>principle?</w:t>
      </w:r>
    </w:p>
    <w:p w14:paraId="261E01B5" w14:textId="2332A6C1" w:rsidR="00250750" w:rsidRDefault="007F24A5" w:rsidP="00C50E7F">
      <w:pPr>
        <w:pStyle w:val="Bullet"/>
        <w:rPr>
          <w:lang w:val="en-GB"/>
        </w:rPr>
      </w:pPr>
      <w:r>
        <w:rPr>
          <w:lang w:val="en-GB"/>
        </w:rPr>
        <w:t>For Availability, this is</w:t>
      </w:r>
      <w:r w:rsidR="009D48E8">
        <w:rPr>
          <w:lang w:val="en-GB"/>
        </w:rPr>
        <w:t xml:space="preserve"> measurable. If you reduce the downtime window by 2x, logically you should pay 2x</w:t>
      </w:r>
      <w:r w:rsidR="00E4254C">
        <w:rPr>
          <w:lang w:val="en-GB"/>
        </w:rPr>
        <w:t xml:space="preserve">. </w:t>
      </w:r>
    </w:p>
    <w:p w14:paraId="6FCA1EEF" w14:textId="2A1619DB" w:rsidR="009D48E8" w:rsidRDefault="009D48E8" w:rsidP="00C50E7F">
      <w:pPr>
        <w:pStyle w:val="Bullet"/>
        <w:rPr>
          <w:lang w:val="en-GB"/>
        </w:rPr>
      </w:pPr>
      <w:r>
        <w:rPr>
          <w:lang w:val="en-GB"/>
        </w:rPr>
        <w:t xml:space="preserve">For Performance, how do you quantify since it depends on the utilization? Since that does not exist yet, you use overcommit ratio. If there are 2x vCPU in the cluster, then each of them pay half price. This is fair as the cost must be distributed to all. </w:t>
      </w:r>
    </w:p>
    <w:p w14:paraId="2CEAB77C" w14:textId="2F02DA59" w:rsidR="009D48E8" w:rsidRDefault="009D48E8" w:rsidP="00C50E7F">
      <w:pPr>
        <w:pStyle w:val="Bullet"/>
        <w:rPr>
          <w:lang w:val="en-GB"/>
        </w:rPr>
      </w:pPr>
      <w:r>
        <w:rPr>
          <w:lang w:val="en-GB"/>
        </w:rPr>
        <w:t xml:space="preserve">For </w:t>
      </w:r>
      <w:r w:rsidR="004E4ECA">
        <w:rPr>
          <w:lang w:val="en-GB"/>
        </w:rPr>
        <w:t xml:space="preserve">Compliance, this is clear. Plus it’s in your own interest to secure every environment. </w:t>
      </w:r>
    </w:p>
    <w:p w14:paraId="382E6C31" w14:textId="79BC3B77" w:rsidR="00F92DC8" w:rsidRPr="001122D4" w:rsidRDefault="00B9080D" w:rsidP="001122D4">
      <w:pPr>
        <w:rPr>
          <w:lang w:val="en-GB"/>
        </w:rPr>
      </w:pPr>
      <w:r>
        <w:rPr>
          <w:lang w:val="en-GB"/>
        </w:rPr>
        <w:t>The class of service impacts many parts of operations, so it needs to be central to your pl</w:t>
      </w:r>
      <w:r w:rsidR="004E4ECA">
        <w:rPr>
          <w:lang w:val="en-GB"/>
        </w:rPr>
        <w:t xml:space="preserve">an. </w:t>
      </w:r>
      <w:r w:rsidR="004C00B8">
        <w:rPr>
          <w:lang w:val="en-GB"/>
        </w:rPr>
        <w:t xml:space="preserve">The following diagram shows how the quality of the service and overcommit ratio serve as input to operations management. </w:t>
      </w:r>
    </w:p>
    <w:p w14:paraId="7994CDE3" w14:textId="60AA33A8" w:rsidR="00DB5186" w:rsidRPr="00F92DC8" w:rsidRDefault="00DB5186" w:rsidP="004C00B8">
      <w:pPr>
        <w:jc w:val="center"/>
        <w:rPr>
          <w:color w:val="FF0000"/>
          <w:lang w:val="en-GB"/>
        </w:rPr>
      </w:pPr>
      <w:r w:rsidRPr="00DB5186">
        <w:rPr>
          <w:noProof/>
          <w:color w:val="FF0000"/>
          <w:lang w:val="en-GB"/>
        </w:rPr>
        <w:drawing>
          <wp:inline distT="0" distB="0" distL="0" distR="0" wp14:anchorId="7C8CA7A4" wp14:editId="2451B3F2">
            <wp:extent cx="5623200" cy="2646000"/>
            <wp:effectExtent l="0" t="0" r="0" b="2540"/>
            <wp:docPr id="534447513" name="Picture 53444751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13" name="Picture 534447513" descr="Diagram&#10;&#10;Description automatically generated"/>
                    <pic:cNvPicPr/>
                  </pic:nvPicPr>
                  <pic:blipFill>
                    <a:blip r:embed="rId77"/>
                    <a:stretch>
                      <a:fillRect/>
                    </a:stretch>
                  </pic:blipFill>
                  <pic:spPr>
                    <a:xfrm>
                      <a:off x="0" y="0"/>
                      <a:ext cx="5623200" cy="2646000"/>
                    </a:xfrm>
                    <a:prstGeom prst="rect">
                      <a:avLst/>
                    </a:prstGeom>
                  </pic:spPr>
                </pic:pic>
              </a:graphicData>
            </a:graphic>
          </wp:inline>
        </w:drawing>
      </w:r>
    </w:p>
    <w:p w14:paraId="77CF55E5" w14:textId="7BC31D9F" w:rsidR="00927F1F" w:rsidRPr="00F92DC8" w:rsidRDefault="00927F1F" w:rsidP="004E4ECA">
      <w:r w:rsidRPr="00F92DC8">
        <w:rPr>
          <w:lang w:val="en-US"/>
        </w:rPr>
        <w:t xml:space="preserve">The following </w:t>
      </w:r>
      <w:r w:rsidRPr="00F92DC8">
        <w:t xml:space="preserve">table shows a </w:t>
      </w:r>
      <w:r w:rsidR="00750431" w:rsidRPr="00F92DC8">
        <w:t xml:space="preserve">basic and </w:t>
      </w:r>
      <w:r w:rsidRPr="00F92DC8">
        <w:t xml:space="preserve">generic guideline to a </w:t>
      </w:r>
      <w:r w:rsidR="00750431" w:rsidRPr="00F92DC8">
        <w:t xml:space="preserve">class of service. The actual model that you will </w:t>
      </w:r>
      <w:r w:rsidR="001B5E17" w:rsidRPr="00F92DC8">
        <w:t>implement</w:t>
      </w:r>
      <w:r w:rsidR="00750431" w:rsidRPr="00F92DC8">
        <w:t xml:space="preserve"> will </w:t>
      </w:r>
      <w:r w:rsidR="00474336" w:rsidRPr="00F92DC8">
        <w:t>differ</w:t>
      </w:r>
      <w:r w:rsidR="00750431" w:rsidRPr="00F92DC8">
        <w:t xml:space="preserve">, taking into account </w:t>
      </w:r>
      <w:r w:rsidR="004E4ECA">
        <w:t xml:space="preserve">actual hardware model </w:t>
      </w:r>
      <w:r w:rsidR="00C77FAB" w:rsidRPr="00F92DC8">
        <w:t xml:space="preserve">and business demand. </w:t>
      </w:r>
      <w:r w:rsidR="00B149AA" w:rsidRPr="00F92DC8">
        <w:t xml:space="preserve">In the </w:t>
      </w:r>
      <w:hyperlink w:anchor="_Capacity_Planning" w:history="1">
        <w:r w:rsidR="002A1124" w:rsidRPr="00F92DC8">
          <w:rPr>
            <w:rStyle w:val="Hyperlink"/>
            <w:color w:val="FF0000"/>
          </w:rPr>
          <w:t>capacity management</w:t>
        </w:r>
      </w:hyperlink>
      <w:r w:rsidR="002A1124" w:rsidRPr="00F92DC8">
        <w:t xml:space="preserve"> section, we walk through an actual example.</w:t>
      </w:r>
      <w:r w:rsidR="00827489">
        <w:tab/>
      </w:r>
    </w:p>
    <w:p w14:paraId="68C245F2" w14:textId="77777777" w:rsidR="005371AF" w:rsidRDefault="005371AF" w:rsidP="005371AF">
      <w:pPr>
        <w:pStyle w:val="BeforeTable"/>
      </w:pPr>
    </w:p>
    <w:tbl>
      <w:tblPr>
        <w:tblStyle w:val="TableGridLight"/>
        <w:tblW w:w="10466"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259"/>
        <w:gridCol w:w="1251"/>
        <w:gridCol w:w="1770"/>
        <w:gridCol w:w="1861"/>
        <w:gridCol w:w="4325"/>
      </w:tblGrid>
      <w:tr w:rsidR="005371AF" w:rsidRPr="005371AF" w14:paraId="08BCC283" w14:textId="77777777" w:rsidTr="008A5CC5">
        <w:trPr>
          <w:trHeight w:val="302"/>
          <w:jc w:val="center"/>
        </w:trPr>
        <w:tc>
          <w:tcPr>
            <w:tcW w:w="1259" w:type="dxa"/>
            <w:shd w:val="clear" w:color="auto" w:fill="F2F2F2" w:themeFill="background1" w:themeFillShade="F2"/>
            <w:vAlign w:val="center"/>
          </w:tcPr>
          <w:p w14:paraId="44BDC08D" w14:textId="03252DA1" w:rsidR="005371AF" w:rsidRPr="005371AF" w:rsidRDefault="005371AF" w:rsidP="005371AF">
            <w:pPr>
              <w:pStyle w:val="Tableheading"/>
            </w:pPr>
            <w:r w:rsidRPr="005371AF">
              <w:t>Tier</w:t>
            </w:r>
          </w:p>
        </w:tc>
        <w:tc>
          <w:tcPr>
            <w:tcW w:w="1251" w:type="dxa"/>
            <w:shd w:val="clear" w:color="auto" w:fill="F2F2F2" w:themeFill="background1" w:themeFillShade="F2"/>
            <w:vAlign w:val="center"/>
          </w:tcPr>
          <w:p w14:paraId="3E90BAEA" w14:textId="44541F54" w:rsidR="005371AF" w:rsidRPr="005371AF" w:rsidRDefault="005371AF" w:rsidP="005371AF">
            <w:pPr>
              <w:pStyle w:val="Tableheading"/>
            </w:pPr>
            <w:r w:rsidRPr="005371AF">
              <w:t>Price</w:t>
            </w:r>
          </w:p>
        </w:tc>
        <w:tc>
          <w:tcPr>
            <w:tcW w:w="1770" w:type="dxa"/>
            <w:shd w:val="clear" w:color="auto" w:fill="F2F2F2" w:themeFill="background1" w:themeFillShade="F2"/>
            <w:vAlign w:val="center"/>
          </w:tcPr>
          <w:p w14:paraId="515F66BE" w14:textId="6A42A8F1" w:rsidR="005371AF" w:rsidRPr="005371AF" w:rsidRDefault="005371AF" w:rsidP="005371AF">
            <w:pPr>
              <w:pStyle w:val="Tableheading"/>
            </w:pPr>
            <w:r w:rsidRPr="005371AF">
              <w:t>Overcommit</w:t>
            </w:r>
          </w:p>
        </w:tc>
        <w:tc>
          <w:tcPr>
            <w:tcW w:w="1861" w:type="dxa"/>
            <w:shd w:val="clear" w:color="auto" w:fill="F2F2F2" w:themeFill="background1" w:themeFillShade="F2"/>
            <w:vAlign w:val="center"/>
          </w:tcPr>
          <w:p w14:paraId="7A7AE056" w14:textId="1A5804B6" w:rsidR="005371AF" w:rsidRPr="005371AF" w:rsidRDefault="005371AF" w:rsidP="005371AF">
            <w:pPr>
              <w:pStyle w:val="Tableheading"/>
            </w:pPr>
            <w:r w:rsidRPr="005371AF">
              <w:t>Performance</w:t>
            </w:r>
          </w:p>
        </w:tc>
        <w:tc>
          <w:tcPr>
            <w:tcW w:w="4325" w:type="dxa"/>
            <w:shd w:val="clear" w:color="auto" w:fill="F2F2F2" w:themeFill="background1" w:themeFillShade="F2"/>
            <w:vAlign w:val="center"/>
          </w:tcPr>
          <w:p w14:paraId="53F568A7" w14:textId="3DB987D1" w:rsidR="005371AF" w:rsidRPr="005371AF" w:rsidRDefault="005371AF" w:rsidP="005371AF">
            <w:pPr>
              <w:pStyle w:val="Tableheading"/>
            </w:pPr>
            <w:r w:rsidRPr="005371AF">
              <w:t>Positioning</w:t>
            </w:r>
          </w:p>
        </w:tc>
      </w:tr>
      <w:tr w:rsidR="005371AF" w:rsidRPr="005371AF" w14:paraId="47D3928A" w14:textId="77777777" w:rsidTr="008A5CC5">
        <w:trPr>
          <w:trHeight w:val="171"/>
          <w:jc w:val="center"/>
        </w:trPr>
        <w:tc>
          <w:tcPr>
            <w:tcW w:w="1259" w:type="dxa"/>
          </w:tcPr>
          <w:p w14:paraId="4C7EC806" w14:textId="119C44A1" w:rsidR="005371AF" w:rsidRPr="005371AF" w:rsidRDefault="005371AF" w:rsidP="005371AF">
            <w:pPr>
              <w:pStyle w:val="Tablecontent"/>
              <w:rPr>
                <w:rFonts w:cstheme="minorHAnsi"/>
                <w:b/>
                <w:bCs/>
              </w:rPr>
            </w:pPr>
            <w:r w:rsidRPr="005371AF">
              <w:rPr>
                <w:rFonts w:cstheme="minorHAnsi"/>
                <w:b/>
                <w:bCs/>
                <w:color w:val="171717" w:themeColor="background2" w:themeShade="1A"/>
              </w:rPr>
              <w:t>1 (Gold)</w:t>
            </w:r>
          </w:p>
        </w:tc>
        <w:tc>
          <w:tcPr>
            <w:tcW w:w="1251" w:type="dxa"/>
          </w:tcPr>
          <w:p w14:paraId="36CC5D01" w14:textId="277F9E9D" w:rsidR="005371AF" w:rsidRPr="005371AF" w:rsidRDefault="00C75654" w:rsidP="00827489">
            <w:pPr>
              <w:pStyle w:val="Tablecontent"/>
              <w:tabs>
                <w:tab w:val="decimal" w:pos="756"/>
              </w:tabs>
              <w:rPr>
                <w:rFonts w:cstheme="minorHAnsi"/>
              </w:rPr>
            </w:pPr>
            <w:r>
              <w:rPr>
                <w:rFonts w:cstheme="minorHAnsi"/>
                <w:color w:val="171717" w:themeColor="background2" w:themeShade="1A"/>
              </w:rPr>
              <w:t>1</w:t>
            </w:r>
            <w:r w:rsidR="00827489">
              <w:rPr>
                <w:rFonts w:cstheme="minorHAnsi"/>
                <w:color w:val="171717" w:themeColor="background2" w:themeShade="1A"/>
              </w:rPr>
              <w:t>.0</w:t>
            </w:r>
            <w:r w:rsidR="00856970">
              <w:rPr>
                <w:rFonts w:cstheme="minorHAnsi"/>
                <w:color w:val="171717" w:themeColor="background2" w:themeShade="1A"/>
              </w:rPr>
              <w:t>0</w:t>
            </w:r>
            <w:r>
              <w:rPr>
                <w:rFonts w:cstheme="minorHAnsi"/>
                <w:color w:val="171717" w:themeColor="background2" w:themeShade="1A"/>
              </w:rPr>
              <w:t xml:space="preserve"> X</w:t>
            </w:r>
          </w:p>
        </w:tc>
        <w:tc>
          <w:tcPr>
            <w:tcW w:w="1770" w:type="dxa"/>
          </w:tcPr>
          <w:p w14:paraId="5918CC7F" w14:textId="5F08C689" w:rsidR="005371AF" w:rsidRPr="005371AF" w:rsidRDefault="005371AF" w:rsidP="00827489">
            <w:pPr>
              <w:pStyle w:val="Tablecontent"/>
              <w:jc w:val="center"/>
              <w:rPr>
                <w:rFonts w:cstheme="minorHAnsi"/>
              </w:rPr>
            </w:pPr>
            <w:r w:rsidRPr="005371AF">
              <w:rPr>
                <w:rFonts w:cstheme="minorHAnsi"/>
                <w:color w:val="171717" w:themeColor="background2" w:themeShade="1A"/>
              </w:rPr>
              <w:t>1:1</w:t>
            </w:r>
          </w:p>
        </w:tc>
        <w:tc>
          <w:tcPr>
            <w:tcW w:w="1861" w:type="dxa"/>
          </w:tcPr>
          <w:p w14:paraId="2238B2A3" w14:textId="334880DB" w:rsidR="005371AF" w:rsidRPr="005371AF" w:rsidRDefault="005371AF" w:rsidP="00856970">
            <w:pPr>
              <w:pStyle w:val="Tablecontent"/>
              <w:jc w:val="center"/>
              <w:rPr>
                <w:rFonts w:cstheme="minorHAnsi"/>
              </w:rPr>
            </w:pPr>
            <w:r w:rsidRPr="005371AF">
              <w:rPr>
                <w:rFonts w:cstheme="minorHAnsi"/>
                <w:color w:val="171717" w:themeColor="background2" w:themeShade="1A"/>
              </w:rPr>
              <w:t>Perfect</w:t>
            </w:r>
          </w:p>
        </w:tc>
        <w:tc>
          <w:tcPr>
            <w:tcW w:w="4325" w:type="dxa"/>
          </w:tcPr>
          <w:p w14:paraId="2CBC1DE5" w14:textId="04DD7135" w:rsidR="005371AF" w:rsidRPr="005371AF" w:rsidRDefault="005371AF" w:rsidP="005371AF">
            <w:pPr>
              <w:pStyle w:val="Tablecontent"/>
              <w:rPr>
                <w:rFonts w:cstheme="minorHAnsi"/>
              </w:rPr>
            </w:pPr>
            <w:r w:rsidRPr="005371AF">
              <w:rPr>
                <w:rFonts w:cstheme="minorHAnsi"/>
                <w:color w:val="171717" w:themeColor="background2" w:themeShade="1A"/>
              </w:rPr>
              <w:t xml:space="preserve">Performance </w:t>
            </w:r>
            <w:r w:rsidR="005941E7">
              <w:rPr>
                <w:rFonts w:cstheme="minorHAnsi"/>
                <w:color w:val="171717" w:themeColor="background2" w:themeShade="1A"/>
              </w:rPr>
              <w:t>“</w:t>
            </w:r>
            <w:r w:rsidRPr="005371AF">
              <w:rPr>
                <w:rFonts w:cstheme="minorHAnsi"/>
                <w:color w:val="171717" w:themeColor="background2" w:themeShade="1A"/>
              </w:rPr>
              <w:t>Guarantee</w:t>
            </w:r>
            <w:r w:rsidR="005941E7">
              <w:rPr>
                <w:rFonts w:cstheme="minorHAnsi"/>
                <w:color w:val="171717" w:themeColor="background2" w:themeShade="1A"/>
              </w:rPr>
              <w:t>”</w:t>
            </w:r>
            <w:r w:rsidRPr="005371AF">
              <w:rPr>
                <w:rFonts w:cstheme="minorHAnsi"/>
                <w:color w:val="171717" w:themeColor="background2" w:themeShade="1A"/>
              </w:rPr>
              <w:t>. Suitable for latency-sensitive mission critical applications.</w:t>
            </w:r>
          </w:p>
        </w:tc>
      </w:tr>
      <w:tr w:rsidR="005371AF" w:rsidRPr="005371AF" w14:paraId="4F738D1A" w14:textId="77777777" w:rsidTr="008A5CC5">
        <w:trPr>
          <w:trHeight w:val="50"/>
          <w:jc w:val="center"/>
        </w:trPr>
        <w:tc>
          <w:tcPr>
            <w:tcW w:w="1259" w:type="dxa"/>
          </w:tcPr>
          <w:p w14:paraId="1AA98264" w14:textId="3250F227" w:rsidR="005371AF" w:rsidRPr="005371AF" w:rsidRDefault="005371AF" w:rsidP="005371AF">
            <w:pPr>
              <w:pStyle w:val="Tablecontent"/>
              <w:rPr>
                <w:rFonts w:cstheme="minorHAnsi"/>
                <w:b/>
                <w:bCs/>
              </w:rPr>
            </w:pPr>
            <w:r w:rsidRPr="005371AF">
              <w:rPr>
                <w:rFonts w:cstheme="minorHAnsi"/>
                <w:b/>
                <w:bCs/>
                <w:color w:val="171717" w:themeColor="background2" w:themeShade="1A"/>
              </w:rPr>
              <w:t>2 (Silver)</w:t>
            </w:r>
          </w:p>
        </w:tc>
        <w:tc>
          <w:tcPr>
            <w:tcW w:w="1251" w:type="dxa"/>
          </w:tcPr>
          <w:p w14:paraId="73FBEA07" w14:textId="5A3A2781" w:rsidR="005371AF" w:rsidRPr="005371AF" w:rsidRDefault="00C75654" w:rsidP="00827489">
            <w:pPr>
              <w:pStyle w:val="Tablecontent"/>
              <w:tabs>
                <w:tab w:val="decimal" w:pos="756"/>
              </w:tabs>
              <w:rPr>
                <w:rFonts w:cstheme="minorHAnsi"/>
              </w:rPr>
            </w:pPr>
            <w:r>
              <w:rPr>
                <w:rFonts w:cstheme="minorHAnsi"/>
                <w:color w:val="171717" w:themeColor="background2" w:themeShade="1A"/>
              </w:rPr>
              <w:t>0.5</w:t>
            </w:r>
            <w:r w:rsidR="00856970">
              <w:rPr>
                <w:rFonts w:cstheme="minorHAnsi"/>
                <w:color w:val="171717" w:themeColor="background2" w:themeShade="1A"/>
              </w:rPr>
              <w:t>0</w:t>
            </w:r>
            <w:r>
              <w:rPr>
                <w:rFonts w:cstheme="minorHAnsi"/>
                <w:color w:val="171717" w:themeColor="background2" w:themeShade="1A"/>
              </w:rPr>
              <w:t xml:space="preserve"> X</w:t>
            </w:r>
          </w:p>
        </w:tc>
        <w:tc>
          <w:tcPr>
            <w:tcW w:w="1770" w:type="dxa"/>
          </w:tcPr>
          <w:p w14:paraId="224DF51F" w14:textId="04FB1E43" w:rsidR="005371AF" w:rsidRPr="005371AF" w:rsidRDefault="005371AF" w:rsidP="00827489">
            <w:pPr>
              <w:pStyle w:val="Tablecontent"/>
              <w:jc w:val="center"/>
              <w:rPr>
                <w:rFonts w:cstheme="minorHAnsi"/>
              </w:rPr>
            </w:pPr>
            <w:r w:rsidRPr="005371AF">
              <w:rPr>
                <w:rFonts w:cstheme="minorHAnsi"/>
                <w:color w:val="171717" w:themeColor="background2" w:themeShade="1A"/>
              </w:rPr>
              <w:t>1:2</w:t>
            </w:r>
          </w:p>
        </w:tc>
        <w:tc>
          <w:tcPr>
            <w:tcW w:w="1861" w:type="dxa"/>
          </w:tcPr>
          <w:p w14:paraId="78F6E6B2" w14:textId="73C22724" w:rsidR="005371AF" w:rsidRPr="005371AF" w:rsidRDefault="005371AF" w:rsidP="00856970">
            <w:pPr>
              <w:pStyle w:val="Tablecontent"/>
              <w:jc w:val="center"/>
              <w:rPr>
                <w:rFonts w:cstheme="minorHAnsi"/>
              </w:rPr>
            </w:pPr>
            <w:r w:rsidRPr="005371AF">
              <w:rPr>
                <w:rFonts w:cstheme="minorHAnsi"/>
                <w:color w:val="171717" w:themeColor="background2" w:themeShade="1A"/>
              </w:rPr>
              <w:t>Great</w:t>
            </w:r>
          </w:p>
        </w:tc>
        <w:tc>
          <w:tcPr>
            <w:tcW w:w="4325" w:type="dxa"/>
          </w:tcPr>
          <w:p w14:paraId="397D567D" w14:textId="4A9B5BE5" w:rsidR="005B621E" w:rsidRDefault="005371AF" w:rsidP="005371AF">
            <w:pPr>
              <w:pStyle w:val="Tablecontent"/>
              <w:rPr>
                <w:rFonts w:cstheme="minorHAnsi"/>
                <w:color w:val="171717" w:themeColor="background2" w:themeShade="1A"/>
              </w:rPr>
            </w:pPr>
            <w:r w:rsidRPr="005371AF">
              <w:rPr>
                <w:rFonts w:cstheme="minorHAnsi"/>
                <w:color w:val="171717" w:themeColor="background2" w:themeShade="1A"/>
              </w:rPr>
              <w:t xml:space="preserve">50% discount for </w:t>
            </w:r>
            <w:r w:rsidR="004E4ECA">
              <w:rPr>
                <w:rFonts w:cstheme="minorHAnsi"/>
                <w:color w:val="171717" w:themeColor="background2" w:themeShade="1A"/>
              </w:rPr>
              <w:t xml:space="preserve">much less than 50% </w:t>
            </w:r>
            <w:r w:rsidRPr="005371AF">
              <w:rPr>
                <w:rFonts w:cstheme="minorHAnsi"/>
                <w:color w:val="171717" w:themeColor="background2" w:themeShade="1A"/>
              </w:rPr>
              <w:t xml:space="preserve">penalty. Great value compared with Gold Tier. </w:t>
            </w:r>
          </w:p>
          <w:p w14:paraId="23C1735D" w14:textId="55625C57" w:rsidR="005371AF" w:rsidRPr="005371AF" w:rsidRDefault="005371AF" w:rsidP="005371AF">
            <w:pPr>
              <w:pStyle w:val="Tablecontent"/>
              <w:rPr>
                <w:rFonts w:cstheme="minorHAnsi"/>
              </w:rPr>
            </w:pPr>
            <w:r w:rsidRPr="005371AF">
              <w:rPr>
                <w:rFonts w:cstheme="minorHAnsi"/>
                <w:color w:val="171717" w:themeColor="background2" w:themeShade="1A"/>
              </w:rPr>
              <w:t xml:space="preserve">Suitable for most Production workload. </w:t>
            </w:r>
          </w:p>
        </w:tc>
      </w:tr>
      <w:tr w:rsidR="005371AF" w:rsidRPr="005371AF" w14:paraId="6B881086" w14:textId="77777777" w:rsidTr="008A5CC5">
        <w:trPr>
          <w:trHeight w:val="50"/>
          <w:jc w:val="center"/>
        </w:trPr>
        <w:tc>
          <w:tcPr>
            <w:tcW w:w="1259" w:type="dxa"/>
          </w:tcPr>
          <w:p w14:paraId="1EF901E1" w14:textId="522D1F5D" w:rsidR="005371AF" w:rsidRPr="005371AF" w:rsidRDefault="005371AF" w:rsidP="005371AF">
            <w:pPr>
              <w:pStyle w:val="Tablecontent"/>
              <w:rPr>
                <w:rFonts w:cstheme="minorHAnsi"/>
                <w:b/>
                <w:bCs/>
              </w:rPr>
            </w:pPr>
            <w:r w:rsidRPr="005371AF">
              <w:rPr>
                <w:rFonts w:cstheme="minorHAnsi"/>
                <w:b/>
                <w:bCs/>
                <w:color w:val="171717" w:themeColor="background2" w:themeShade="1A"/>
              </w:rPr>
              <w:t>3 (Bronze)</w:t>
            </w:r>
          </w:p>
        </w:tc>
        <w:tc>
          <w:tcPr>
            <w:tcW w:w="1251" w:type="dxa"/>
          </w:tcPr>
          <w:p w14:paraId="51C9C9A3" w14:textId="3606B08C" w:rsidR="005371AF" w:rsidRPr="005371AF" w:rsidRDefault="00C75654" w:rsidP="00827489">
            <w:pPr>
              <w:pStyle w:val="Tablecontent"/>
              <w:tabs>
                <w:tab w:val="decimal" w:pos="756"/>
              </w:tabs>
              <w:rPr>
                <w:rFonts w:cstheme="minorHAnsi"/>
              </w:rPr>
            </w:pPr>
            <w:r>
              <w:rPr>
                <w:rFonts w:cstheme="minorHAnsi"/>
                <w:color w:val="171717" w:themeColor="background2" w:themeShade="1A"/>
              </w:rPr>
              <w:t>0.</w:t>
            </w:r>
            <w:r w:rsidR="005371AF" w:rsidRPr="005371AF">
              <w:rPr>
                <w:rFonts w:cstheme="minorHAnsi"/>
                <w:color w:val="171717" w:themeColor="background2" w:themeShade="1A"/>
              </w:rPr>
              <w:t>25</w:t>
            </w:r>
            <w:r>
              <w:rPr>
                <w:rFonts w:cstheme="minorHAnsi"/>
                <w:color w:val="171717" w:themeColor="background2" w:themeShade="1A"/>
              </w:rPr>
              <w:t xml:space="preserve"> X</w:t>
            </w:r>
          </w:p>
        </w:tc>
        <w:tc>
          <w:tcPr>
            <w:tcW w:w="1770" w:type="dxa"/>
          </w:tcPr>
          <w:p w14:paraId="45495532" w14:textId="6422FD81" w:rsidR="005371AF" w:rsidRPr="005371AF" w:rsidRDefault="005371AF" w:rsidP="00827489">
            <w:pPr>
              <w:pStyle w:val="Tablecontent"/>
              <w:jc w:val="center"/>
              <w:rPr>
                <w:rFonts w:cstheme="minorHAnsi"/>
              </w:rPr>
            </w:pPr>
            <w:r w:rsidRPr="005371AF">
              <w:rPr>
                <w:rFonts w:cstheme="minorHAnsi"/>
                <w:color w:val="171717" w:themeColor="background2" w:themeShade="1A"/>
              </w:rPr>
              <w:t>1:4</w:t>
            </w:r>
          </w:p>
        </w:tc>
        <w:tc>
          <w:tcPr>
            <w:tcW w:w="1861" w:type="dxa"/>
          </w:tcPr>
          <w:p w14:paraId="7BA86FEC" w14:textId="1AEFFFE0" w:rsidR="005371AF" w:rsidRPr="005371AF" w:rsidRDefault="005371AF" w:rsidP="00856970">
            <w:pPr>
              <w:pStyle w:val="Tablecontent"/>
              <w:jc w:val="center"/>
              <w:rPr>
                <w:rFonts w:cstheme="minorHAnsi"/>
              </w:rPr>
            </w:pPr>
            <w:r w:rsidRPr="005371AF">
              <w:rPr>
                <w:rFonts w:cstheme="minorHAnsi"/>
                <w:color w:val="171717" w:themeColor="background2" w:themeShade="1A"/>
              </w:rPr>
              <w:t>Good</w:t>
            </w:r>
          </w:p>
        </w:tc>
        <w:tc>
          <w:tcPr>
            <w:tcW w:w="4325" w:type="dxa"/>
          </w:tcPr>
          <w:p w14:paraId="75B82270" w14:textId="029B4BB2" w:rsidR="005B621E" w:rsidRDefault="005371AF" w:rsidP="005371AF">
            <w:pPr>
              <w:pStyle w:val="Tablecontent"/>
              <w:rPr>
                <w:rFonts w:cstheme="minorHAnsi"/>
                <w:color w:val="171717" w:themeColor="background2" w:themeShade="1A"/>
              </w:rPr>
            </w:pPr>
            <w:r w:rsidRPr="005371AF">
              <w:rPr>
                <w:rFonts w:cstheme="minorHAnsi"/>
                <w:color w:val="171717" w:themeColor="background2" w:themeShade="1A"/>
              </w:rPr>
              <w:t xml:space="preserve">75% discount for </w:t>
            </w:r>
            <w:r w:rsidR="004E4ECA">
              <w:rPr>
                <w:rFonts w:cstheme="minorHAnsi"/>
                <w:color w:val="171717" w:themeColor="background2" w:themeShade="1A"/>
              </w:rPr>
              <w:t>much less than 75%</w:t>
            </w:r>
            <w:r w:rsidRPr="005371AF">
              <w:rPr>
                <w:rFonts w:cstheme="minorHAnsi"/>
                <w:color w:val="171717" w:themeColor="background2" w:themeShade="1A"/>
              </w:rPr>
              <w:t xml:space="preserve"> penalty. </w:t>
            </w:r>
          </w:p>
          <w:p w14:paraId="295636FB" w14:textId="275EAA4D" w:rsidR="005371AF" w:rsidRPr="005371AF" w:rsidRDefault="005371AF" w:rsidP="005371AF">
            <w:pPr>
              <w:pStyle w:val="Tablecontent"/>
              <w:rPr>
                <w:rFonts w:cstheme="minorHAnsi"/>
              </w:rPr>
            </w:pPr>
            <w:r w:rsidRPr="005371AF">
              <w:rPr>
                <w:rFonts w:cstheme="minorHAnsi"/>
                <w:color w:val="171717" w:themeColor="background2" w:themeShade="1A"/>
              </w:rPr>
              <w:t xml:space="preserve">Suitable for Test &amp; Dev workload. </w:t>
            </w:r>
          </w:p>
        </w:tc>
      </w:tr>
      <w:tr w:rsidR="00856970" w:rsidRPr="005371AF" w14:paraId="14B3DB21" w14:textId="77777777" w:rsidTr="008A5CC5">
        <w:trPr>
          <w:trHeight w:val="50"/>
          <w:jc w:val="center"/>
        </w:trPr>
        <w:tc>
          <w:tcPr>
            <w:tcW w:w="1259" w:type="dxa"/>
          </w:tcPr>
          <w:p w14:paraId="627DDFAA" w14:textId="5D0BCFBB" w:rsidR="00856970" w:rsidRPr="005371AF" w:rsidRDefault="00856970" w:rsidP="00856970">
            <w:pPr>
              <w:pStyle w:val="Tablecontent"/>
              <w:rPr>
                <w:rFonts w:cstheme="minorHAnsi"/>
                <w:b/>
                <w:bCs/>
                <w:color w:val="171717" w:themeColor="background2" w:themeShade="1A"/>
              </w:rPr>
            </w:pPr>
            <w:r w:rsidRPr="005371AF">
              <w:rPr>
                <w:rFonts w:cstheme="minorHAnsi"/>
                <w:b/>
                <w:bCs/>
                <w:color w:val="171717" w:themeColor="background2" w:themeShade="1A"/>
              </w:rPr>
              <w:lastRenderedPageBreak/>
              <w:t>4 (Free)</w:t>
            </w:r>
          </w:p>
        </w:tc>
        <w:tc>
          <w:tcPr>
            <w:tcW w:w="1251" w:type="dxa"/>
          </w:tcPr>
          <w:p w14:paraId="11FA70E6" w14:textId="1AEC6C82" w:rsidR="00856970" w:rsidRDefault="00856970" w:rsidP="00856970">
            <w:pPr>
              <w:pStyle w:val="Tablecontent"/>
              <w:tabs>
                <w:tab w:val="decimal" w:pos="756"/>
              </w:tabs>
              <w:rPr>
                <w:rFonts w:cstheme="minorHAnsi"/>
                <w:color w:val="171717" w:themeColor="background2" w:themeShade="1A"/>
              </w:rPr>
            </w:pPr>
            <w:r>
              <w:rPr>
                <w:rFonts w:cstheme="minorHAnsi"/>
                <w:color w:val="171717" w:themeColor="background2" w:themeShade="1A"/>
              </w:rPr>
              <w:t>0.00 X</w:t>
            </w:r>
          </w:p>
        </w:tc>
        <w:tc>
          <w:tcPr>
            <w:tcW w:w="1770" w:type="dxa"/>
          </w:tcPr>
          <w:p w14:paraId="4FC9EFDC" w14:textId="1636DE6D" w:rsidR="00856970" w:rsidRPr="005371AF" w:rsidRDefault="00856970" w:rsidP="00856970">
            <w:pPr>
              <w:pStyle w:val="Tablecontent"/>
              <w:jc w:val="center"/>
              <w:rPr>
                <w:rFonts w:cstheme="minorHAnsi"/>
                <w:color w:val="171717" w:themeColor="background2" w:themeShade="1A"/>
              </w:rPr>
            </w:pPr>
            <w:r>
              <w:rPr>
                <w:rFonts w:cstheme="minorHAnsi"/>
                <w:color w:val="171717" w:themeColor="background2" w:themeShade="1A"/>
              </w:rPr>
              <w:t>Max</w:t>
            </w:r>
          </w:p>
        </w:tc>
        <w:tc>
          <w:tcPr>
            <w:tcW w:w="1861" w:type="dxa"/>
          </w:tcPr>
          <w:p w14:paraId="1103AFA1" w14:textId="51FFB6A4" w:rsidR="00856970" w:rsidRPr="005371AF" w:rsidRDefault="00856970" w:rsidP="00856970">
            <w:pPr>
              <w:pStyle w:val="Tablecontent"/>
              <w:jc w:val="center"/>
              <w:rPr>
                <w:rFonts w:cstheme="minorHAnsi"/>
                <w:color w:val="171717" w:themeColor="background2" w:themeShade="1A"/>
              </w:rPr>
            </w:pPr>
            <w:r w:rsidRPr="005371AF">
              <w:rPr>
                <w:rFonts w:cstheme="minorHAnsi"/>
                <w:color w:val="171717" w:themeColor="background2" w:themeShade="1A"/>
              </w:rPr>
              <w:t>Average</w:t>
            </w:r>
          </w:p>
        </w:tc>
        <w:tc>
          <w:tcPr>
            <w:tcW w:w="4325" w:type="dxa"/>
          </w:tcPr>
          <w:p w14:paraId="5A0E9083" w14:textId="77777777" w:rsidR="00856970" w:rsidRPr="005371AF" w:rsidRDefault="00856970" w:rsidP="00856970">
            <w:pPr>
              <w:pStyle w:val="Tablecontent"/>
              <w:rPr>
                <w:rFonts w:cstheme="minorHAnsi"/>
              </w:rPr>
            </w:pPr>
            <w:r w:rsidRPr="005371AF">
              <w:rPr>
                <w:rFonts w:cstheme="minorHAnsi"/>
                <w:color w:val="171717" w:themeColor="background2" w:themeShade="1A"/>
              </w:rPr>
              <w:t xml:space="preserve">Suitable for temporary project. </w:t>
            </w:r>
          </w:p>
          <w:p w14:paraId="55756BC2" w14:textId="7BCAD0BF" w:rsidR="00856970" w:rsidRPr="005371AF" w:rsidRDefault="00856970" w:rsidP="00856970">
            <w:pPr>
              <w:pStyle w:val="Tablecontent"/>
              <w:rPr>
                <w:rFonts w:cstheme="minorHAnsi"/>
                <w:color w:val="171717" w:themeColor="background2" w:themeShade="1A"/>
              </w:rPr>
            </w:pPr>
            <w:r w:rsidRPr="005371AF">
              <w:rPr>
                <w:rFonts w:cstheme="minorHAnsi"/>
                <w:color w:val="171717" w:themeColor="background2" w:themeShade="1A"/>
              </w:rPr>
              <w:t>No Availability SLA, no Performance SLA</w:t>
            </w:r>
          </w:p>
        </w:tc>
      </w:tr>
    </w:tbl>
    <w:p w14:paraId="1AC057C5" w14:textId="77777777" w:rsidR="005941E7" w:rsidRDefault="005941E7" w:rsidP="005941E7">
      <w:pPr>
        <w:pStyle w:val="BeforeTable"/>
      </w:pPr>
    </w:p>
    <w:p w14:paraId="298F65FC" w14:textId="41692051" w:rsidR="005941E7" w:rsidRDefault="005941E7" w:rsidP="005941E7">
      <w:pPr>
        <w:pStyle w:val="Tablecontent"/>
      </w:pPr>
      <w:r>
        <w:t>I put “guarantee” in quote because for CPU this is not possible as the VM CPU Ready counter does not register 0.00% when there is no contention.</w:t>
      </w:r>
    </w:p>
    <w:p w14:paraId="495C5D61" w14:textId="2366993F" w:rsidR="008A5CC5" w:rsidRDefault="008A5CC5" w:rsidP="008A5CC5">
      <w:r>
        <w:rPr>
          <w:rFonts w:cstheme="minorHAnsi"/>
          <w:color w:val="171717" w:themeColor="background2" w:themeShade="1A"/>
        </w:rPr>
        <w:t xml:space="preserve">The </w:t>
      </w:r>
      <w:r w:rsidRPr="00960CC9">
        <w:rPr>
          <w:rFonts w:cstheme="minorHAnsi"/>
          <w:b/>
          <w:bCs/>
          <w:color w:val="171717" w:themeColor="background2" w:themeShade="1A"/>
        </w:rPr>
        <w:t>Free Tier</w:t>
      </w:r>
      <w:r>
        <w:rPr>
          <w:rFonts w:cstheme="minorHAnsi"/>
          <w:color w:val="171717" w:themeColor="background2" w:themeShade="1A"/>
        </w:rPr>
        <w:t xml:space="preserve"> must be </w:t>
      </w:r>
      <w:r w:rsidRPr="005371AF">
        <w:rPr>
          <w:rFonts w:cstheme="minorHAnsi"/>
          <w:color w:val="171717" w:themeColor="background2" w:themeShade="1A"/>
        </w:rPr>
        <w:t>funded by higher tiers</w:t>
      </w:r>
      <w:r>
        <w:rPr>
          <w:rFonts w:cstheme="minorHAnsi"/>
          <w:color w:val="171717" w:themeColor="background2" w:themeShade="1A"/>
        </w:rPr>
        <w:t xml:space="preserve">. </w:t>
      </w:r>
      <w:r w:rsidRPr="00C12310">
        <w:t xml:space="preserve">If you have a free </w:t>
      </w:r>
      <w:r>
        <w:t>t</w:t>
      </w:r>
      <w:r w:rsidRPr="00C12310">
        <w:t xml:space="preserve">ier, </w:t>
      </w:r>
      <w:r>
        <w:t xml:space="preserve">meaning </w:t>
      </w:r>
      <w:r w:rsidRPr="00C12310">
        <w:t xml:space="preserve">there is no SLA, then it’s </w:t>
      </w:r>
      <w:r>
        <w:t xml:space="preserve">acceptable </w:t>
      </w:r>
      <w:r w:rsidRPr="00C12310">
        <w:t xml:space="preserve">for them to </w:t>
      </w:r>
      <w:r>
        <w:t>have inferior quality</w:t>
      </w:r>
      <w:r w:rsidRPr="00C12310">
        <w:t>. Commercial cloud providers provide free tier</w:t>
      </w:r>
      <w:r>
        <w:t xml:space="preserve"> that </w:t>
      </w:r>
      <w:r w:rsidRPr="00C12310">
        <w:t>are intentionally designed to be slower and less reliable, because they want you to upgrade and pay.</w:t>
      </w:r>
    </w:p>
    <w:p w14:paraId="40734C19" w14:textId="77777777" w:rsidR="00611FAA" w:rsidRDefault="00611FAA" w:rsidP="00611FAA">
      <w:pPr>
        <w:rPr>
          <w:lang w:val="en-US"/>
        </w:rPr>
      </w:pPr>
      <w:r>
        <w:rPr>
          <w:lang w:val="en-US"/>
        </w:rPr>
        <w:t xml:space="preserve">The performance column in the table above is further defined by their SLA, because you need to quantify what the penalty exactly translates into. </w:t>
      </w:r>
    </w:p>
    <w:p w14:paraId="6E8869A9" w14:textId="641315FE" w:rsidR="008A5CC5" w:rsidRDefault="00653443" w:rsidP="00E7573A">
      <w:pPr>
        <w:pStyle w:val="Heading5"/>
      </w:pPr>
      <w:r>
        <w:t>The</w:t>
      </w:r>
      <w:r w:rsidR="008A5CC5">
        <w:t xml:space="preserve"> </w:t>
      </w:r>
      <w:r w:rsidR="004B6F30">
        <w:t>Benchmark</w:t>
      </w:r>
      <w:r w:rsidR="00060762">
        <w:t xml:space="preserve"> to Rule Them All</w:t>
      </w:r>
    </w:p>
    <w:p w14:paraId="109012C2" w14:textId="280274D3" w:rsidR="00686E3A" w:rsidRDefault="00686E3A" w:rsidP="00686E3A">
      <w:r>
        <w:rPr>
          <w:lang w:val="en-US"/>
        </w:rPr>
        <w:t xml:space="preserve">A Gold class has higher SLA than Silver. For that to happens, that means they are </w:t>
      </w:r>
      <w:r w:rsidRPr="00BC6C73">
        <w:t xml:space="preserve">measured against the same </w:t>
      </w:r>
      <w:r w:rsidR="004B6F30">
        <w:t xml:space="preserve">threshold or </w:t>
      </w:r>
      <w:r w:rsidRPr="00BC6C73">
        <w:t>benchmark</w:t>
      </w:r>
      <w:r>
        <w:t xml:space="preserve">. </w:t>
      </w:r>
    </w:p>
    <w:p w14:paraId="06076452" w14:textId="14C402F4" w:rsidR="00686E3A" w:rsidRDefault="00686E3A" w:rsidP="00686E3A">
      <w:pPr>
        <w:pStyle w:val="Bullet"/>
        <w:rPr>
          <w:lang w:val="en-US"/>
        </w:rPr>
      </w:pPr>
      <w:r>
        <w:rPr>
          <w:lang w:val="en-US"/>
        </w:rPr>
        <w:t>For availability, you measure all classes against the ideal, which is no downtime.</w:t>
      </w:r>
    </w:p>
    <w:p w14:paraId="3EB1F593" w14:textId="00C9080E" w:rsidR="00686E3A" w:rsidRDefault="00686E3A" w:rsidP="00686E3A">
      <w:pPr>
        <w:pStyle w:val="Bullet"/>
        <w:rPr>
          <w:lang w:val="en-US"/>
        </w:rPr>
      </w:pPr>
      <w:r>
        <w:rPr>
          <w:lang w:val="en-US"/>
        </w:rPr>
        <w:t xml:space="preserve">For performance, you measure them against the same threshold, which is </w:t>
      </w:r>
      <w:r w:rsidR="004E4ECA">
        <w:rPr>
          <w:lang w:val="en-US"/>
        </w:rPr>
        <w:t xml:space="preserve">the “slow time”. </w:t>
      </w:r>
    </w:p>
    <w:p w14:paraId="0BD8312F" w14:textId="1F79BEF7" w:rsidR="00686E3A" w:rsidRDefault="00686E3A" w:rsidP="00686E3A">
      <w:pPr>
        <w:pStyle w:val="Bullet"/>
        <w:rPr>
          <w:lang w:val="en-US"/>
        </w:rPr>
      </w:pPr>
      <w:r>
        <w:rPr>
          <w:lang w:val="en-US"/>
        </w:rPr>
        <w:t>For compliance, you measure them against the ideal, which is perfect compliance.</w:t>
      </w:r>
    </w:p>
    <w:p w14:paraId="50E39D5F" w14:textId="2B9EC05E" w:rsidR="00B7248C" w:rsidRPr="003C768C" w:rsidRDefault="00B7248C" w:rsidP="003C768C">
      <w:pPr>
        <w:pStyle w:val="Bullet"/>
        <w:rPr>
          <w:lang w:val="en-US"/>
        </w:rPr>
      </w:pPr>
      <w:r>
        <w:rPr>
          <w:lang w:val="en-US"/>
        </w:rPr>
        <w:t>For service, you measure them against the ideal, which is the best possible service.</w:t>
      </w:r>
    </w:p>
    <w:p w14:paraId="70B26665" w14:textId="24E8BA0F" w:rsidR="00D9762B" w:rsidRPr="00BC6C73" w:rsidRDefault="00611FAA" w:rsidP="00D9762B">
      <w:r>
        <w:t xml:space="preserve">A </w:t>
      </w:r>
      <w:r w:rsidR="00D9762B">
        <w:t xml:space="preserve">VM in Silver environment will expect that it does not get what it demands as often as a VM in Gold. If the VM Owner wants to have more </w:t>
      </w:r>
      <w:r w:rsidR="00D9762B" w:rsidRPr="5D58FCEA">
        <w:rPr>
          <w:i/>
          <w:iCs/>
          <w:color w:val="0070C0"/>
        </w:rPr>
        <w:t>consistent</w:t>
      </w:r>
      <w:r w:rsidR="00D9762B" w:rsidRPr="5D58FCEA">
        <w:rPr>
          <w:color w:val="0070C0"/>
        </w:rPr>
        <w:t xml:space="preserve"> </w:t>
      </w:r>
      <w:r w:rsidR="00D9762B" w:rsidRPr="00B7248C">
        <w:t xml:space="preserve">service in </w:t>
      </w:r>
      <w:r w:rsidR="00D9762B">
        <w:t>performance, then simply pay more and upgrade to the Gold cluster.</w:t>
      </w:r>
    </w:p>
    <w:p w14:paraId="070F3458" w14:textId="77777777" w:rsidR="00D9762B" w:rsidRPr="00BC6C73" w:rsidRDefault="00D9762B" w:rsidP="00D9762B">
      <w:r w:rsidRPr="00BC6C73">
        <w:t xml:space="preserve">This approach is easier than setting up a different performance threshold for each tier. </w:t>
      </w:r>
      <w:r>
        <w:t>Say you set the following:</w:t>
      </w:r>
    </w:p>
    <w:p w14:paraId="6D57CCFD" w14:textId="77777777" w:rsidR="00D9762B" w:rsidRPr="00BC6C73" w:rsidRDefault="00D9762B" w:rsidP="00D9762B">
      <w:pPr>
        <w:pStyle w:val="Bullet"/>
      </w:pPr>
      <w:r w:rsidRPr="0051793B">
        <w:rPr>
          <w:b/>
          <w:bCs/>
        </w:rPr>
        <w:t>Gold</w:t>
      </w:r>
      <w:r w:rsidRPr="00BC6C73">
        <w:t>: VM Memory Contention: 0.5%</w:t>
      </w:r>
    </w:p>
    <w:p w14:paraId="5C5FE884" w14:textId="77777777" w:rsidR="00D9762B" w:rsidRPr="00BC6C73" w:rsidRDefault="00D9762B" w:rsidP="00D9762B">
      <w:pPr>
        <w:pStyle w:val="Bullet"/>
      </w:pPr>
      <w:r w:rsidRPr="0051793B">
        <w:rPr>
          <w:b/>
          <w:bCs/>
        </w:rPr>
        <w:t>Silver</w:t>
      </w:r>
      <w:r w:rsidRPr="00BC6C73">
        <w:t>: VM Memory Contention: 1.5%</w:t>
      </w:r>
    </w:p>
    <w:p w14:paraId="6667EB4A" w14:textId="77777777" w:rsidR="00D9762B" w:rsidRPr="00BC6C73" w:rsidRDefault="00D9762B" w:rsidP="00D9762B">
      <w:r w:rsidRPr="00BC6C73">
        <w:t>You notice the problem already?</w:t>
      </w:r>
    </w:p>
    <w:p w14:paraId="3BBA5FD5" w14:textId="77777777" w:rsidR="00D9762B" w:rsidRPr="00BC6C73" w:rsidRDefault="00D9762B" w:rsidP="00D9762B">
      <w:r w:rsidRPr="00BC6C73">
        <w:t>It</w:t>
      </w:r>
      <w:r>
        <w:t xml:space="preserve"> i</w:t>
      </w:r>
      <w:r w:rsidRPr="00BC6C73">
        <w:t>s hard to explain the delta or gaps between the class of services. Why is Silver 3x the value if it</w:t>
      </w:r>
      <w:r>
        <w:t xml:space="preserve"> i</w:t>
      </w:r>
      <w:r w:rsidRPr="00BC6C73">
        <w:t xml:space="preserve">s </w:t>
      </w:r>
      <w:r>
        <w:t xml:space="preserve">only </w:t>
      </w:r>
      <w:r w:rsidRPr="00BC6C73">
        <w:t xml:space="preserve">half </w:t>
      </w:r>
      <w:r>
        <w:t xml:space="preserve">the </w:t>
      </w:r>
      <w:r w:rsidRPr="00BC6C73">
        <w:t>price?</w:t>
      </w:r>
      <w:r>
        <w:t xml:space="preserve"> Shouldn’t it be proportionate?</w:t>
      </w:r>
    </w:p>
    <w:p w14:paraId="77FB4212" w14:textId="467FD4BE" w:rsidR="00D9762B" w:rsidRDefault="00D9762B" w:rsidP="00D9762B">
      <w:r w:rsidRPr="00BC6C73">
        <w:t xml:space="preserve">There is a </w:t>
      </w:r>
      <w:r>
        <w:t>2</w:t>
      </w:r>
      <w:r w:rsidRPr="00812EC3">
        <w:rPr>
          <w:vertAlign w:val="superscript"/>
        </w:rPr>
        <w:t>nd</w:t>
      </w:r>
      <w:r>
        <w:t xml:space="preserve"> </w:t>
      </w:r>
      <w:r w:rsidRPr="00BC6C73">
        <w:t xml:space="preserve">problem. If you set </w:t>
      </w:r>
      <w:r w:rsidRPr="00BC6C73">
        <w:rPr>
          <w:i/>
          <w:iCs/>
          <w:color w:val="FF0000"/>
        </w:rPr>
        <w:t>different</w:t>
      </w:r>
      <w:r w:rsidRPr="00BC6C73">
        <w:rPr>
          <w:color w:val="FF0000"/>
        </w:rPr>
        <w:t xml:space="preserve"> </w:t>
      </w:r>
      <w:r w:rsidRPr="00BC6C73">
        <w:t>standards, it is possible that Silver will perform better than Gold, because it has lower standard.</w:t>
      </w:r>
      <w:r>
        <w:t xml:space="preserve"> This can create confusion.</w:t>
      </w:r>
    </w:p>
    <w:p w14:paraId="629FF862" w14:textId="77777777" w:rsidR="00111F17" w:rsidRDefault="00D9762B" w:rsidP="00D9762B">
      <w:r w:rsidRPr="00C12310">
        <w:t xml:space="preserve">This means the performance in production is expected to have a higher score than the development environment. Development environments will obviously perform worse than Production environments. </w:t>
      </w:r>
    </w:p>
    <w:p w14:paraId="1637B425" w14:textId="709556E3" w:rsidR="00D9762B" w:rsidRDefault="00111F17" w:rsidP="00D9762B">
      <w:r>
        <w:t xml:space="preserve">How much </w:t>
      </w:r>
      <w:r w:rsidR="00D9762B">
        <w:t>worse</w:t>
      </w:r>
      <w:r>
        <w:t>,</w:t>
      </w:r>
      <w:r w:rsidR="00D9762B">
        <w:t xml:space="preserve"> exactly?</w:t>
      </w:r>
    </w:p>
    <w:p w14:paraId="5571F8B8" w14:textId="78E45207" w:rsidR="00D9762B" w:rsidRPr="009F41A4" w:rsidRDefault="00111F17" w:rsidP="00056721">
      <w:r>
        <w:t>Let’s find out</w:t>
      </w:r>
      <w:r w:rsidR="00F325B2">
        <w:t xml:space="preserve"> by applying all the above into actual numbers. You have 9 numbers, 3 SLA x 3 Class of Service.</w:t>
      </w:r>
    </w:p>
    <w:p w14:paraId="38AB776E" w14:textId="08ED401E" w:rsidR="00143DDA" w:rsidRDefault="00653443" w:rsidP="00E7573A">
      <w:pPr>
        <w:pStyle w:val="Heading5"/>
        <w:numPr>
          <w:ilvl w:val="0"/>
          <w:numId w:val="0"/>
        </w:numPr>
      </w:pPr>
      <w:r>
        <w:lastRenderedPageBreak/>
        <w:t>Recommended SLA</w:t>
      </w:r>
    </w:p>
    <w:p w14:paraId="0686B60E" w14:textId="2F2BB1D4" w:rsidR="00143DDA" w:rsidRDefault="001047EB" w:rsidP="00143DDA">
      <w:pPr>
        <w:rPr>
          <w:lang w:val="en-GB"/>
        </w:rPr>
      </w:pPr>
      <w:r>
        <w:rPr>
          <w:lang w:val="en-GB"/>
        </w:rPr>
        <w:t xml:space="preserve">Let’s put all the above SLA in an example. </w:t>
      </w:r>
      <w:r w:rsidR="00CA5C92">
        <w:rPr>
          <w:lang w:val="en-GB"/>
        </w:rPr>
        <w:t>The following is what I’d recommend</w:t>
      </w:r>
      <w:r w:rsidR="00F31873">
        <w:rPr>
          <w:lang w:val="en-GB"/>
        </w:rPr>
        <w:t>:</w:t>
      </w:r>
    </w:p>
    <w:p w14:paraId="7ACF15AB" w14:textId="77777777" w:rsidR="00143DDA" w:rsidRDefault="00143DDA" w:rsidP="00143DDA">
      <w:pPr>
        <w:pStyle w:val="BeforeTable"/>
        <w:rPr>
          <w:lang w:val="en-GB"/>
        </w:rPr>
      </w:pPr>
    </w:p>
    <w:tbl>
      <w:tblPr>
        <w:tblStyle w:val="TableGridLight"/>
        <w:tblW w:w="7655"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20" w:firstRow="1" w:lastRow="0" w:firstColumn="0" w:lastColumn="0" w:noHBand="0" w:noVBand="1"/>
      </w:tblPr>
      <w:tblGrid>
        <w:gridCol w:w="1418"/>
        <w:gridCol w:w="2121"/>
        <w:gridCol w:w="2126"/>
        <w:gridCol w:w="1990"/>
      </w:tblGrid>
      <w:tr w:rsidR="00143DDA" w:rsidRPr="005371AF" w14:paraId="1F853CC5" w14:textId="77777777" w:rsidTr="00F31873">
        <w:trPr>
          <w:trHeight w:val="302"/>
          <w:jc w:val="center"/>
        </w:trPr>
        <w:tc>
          <w:tcPr>
            <w:tcW w:w="1418" w:type="dxa"/>
            <w:shd w:val="clear" w:color="auto" w:fill="F2F2F2" w:themeFill="background1" w:themeFillShade="F2"/>
            <w:vAlign w:val="center"/>
          </w:tcPr>
          <w:p w14:paraId="3B243DC4" w14:textId="77777777" w:rsidR="00143DDA" w:rsidRPr="005371AF" w:rsidRDefault="00143DDA" w:rsidP="00E440AB">
            <w:pPr>
              <w:pStyle w:val="Tableheading"/>
            </w:pPr>
            <w:r w:rsidRPr="005371AF">
              <w:t>Tier</w:t>
            </w:r>
          </w:p>
        </w:tc>
        <w:tc>
          <w:tcPr>
            <w:tcW w:w="2121" w:type="dxa"/>
            <w:shd w:val="clear" w:color="auto" w:fill="F2F2F2" w:themeFill="background1" w:themeFillShade="F2"/>
            <w:vAlign w:val="center"/>
          </w:tcPr>
          <w:p w14:paraId="7862565A" w14:textId="7BF04036" w:rsidR="00143DDA" w:rsidRPr="005371AF" w:rsidRDefault="00143DDA" w:rsidP="00E440AB">
            <w:pPr>
              <w:pStyle w:val="Tableheading"/>
            </w:pPr>
            <w:r>
              <w:t>Availability SLA</w:t>
            </w:r>
          </w:p>
        </w:tc>
        <w:tc>
          <w:tcPr>
            <w:tcW w:w="2126" w:type="dxa"/>
            <w:shd w:val="clear" w:color="auto" w:fill="F2F2F2" w:themeFill="background1" w:themeFillShade="F2"/>
            <w:vAlign w:val="center"/>
          </w:tcPr>
          <w:p w14:paraId="6F97A5D7" w14:textId="794503D9" w:rsidR="00143DDA" w:rsidRPr="005371AF" w:rsidRDefault="00143DDA" w:rsidP="00E440AB">
            <w:pPr>
              <w:pStyle w:val="Tableheading"/>
            </w:pPr>
            <w:r w:rsidRPr="005371AF">
              <w:t>Performance</w:t>
            </w:r>
            <w:r>
              <w:t xml:space="preserve"> SLA</w:t>
            </w:r>
          </w:p>
        </w:tc>
        <w:tc>
          <w:tcPr>
            <w:tcW w:w="1990" w:type="dxa"/>
            <w:shd w:val="clear" w:color="auto" w:fill="F2F2F2" w:themeFill="background1" w:themeFillShade="F2"/>
            <w:vAlign w:val="center"/>
          </w:tcPr>
          <w:p w14:paraId="27C21FB8" w14:textId="6BCD4052" w:rsidR="00143DDA" w:rsidRPr="005371AF" w:rsidRDefault="00143DDA" w:rsidP="00E440AB">
            <w:pPr>
              <w:pStyle w:val="Tableheading"/>
            </w:pPr>
            <w:r>
              <w:t>Compliance SLA</w:t>
            </w:r>
          </w:p>
        </w:tc>
      </w:tr>
      <w:tr w:rsidR="000F59BB" w:rsidRPr="005371AF" w14:paraId="4C152DFC" w14:textId="77777777" w:rsidTr="000F59BB">
        <w:trPr>
          <w:trHeight w:val="171"/>
          <w:jc w:val="center"/>
        </w:trPr>
        <w:tc>
          <w:tcPr>
            <w:tcW w:w="1418" w:type="dxa"/>
          </w:tcPr>
          <w:p w14:paraId="55791214" w14:textId="77777777" w:rsidR="000F59BB" w:rsidRPr="005371AF" w:rsidRDefault="000F59BB" w:rsidP="00721ED7">
            <w:pPr>
              <w:pStyle w:val="Tablecontent"/>
              <w:rPr>
                <w:rFonts w:cstheme="minorHAnsi"/>
                <w:b/>
                <w:bCs/>
              </w:rPr>
            </w:pPr>
            <w:r w:rsidRPr="005371AF">
              <w:rPr>
                <w:rFonts w:cstheme="minorHAnsi"/>
                <w:b/>
                <w:bCs/>
                <w:color w:val="171717" w:themeColor="background2" w:themeShade="1A"/>
              </w:rPr>
              <w:t>1 (Gold)</w:t>
            </w:r>
          </w:p>
        </w:tc>
        <w:tc>
          <w:tcPr>
            <w:tcW w:w="2121" w:type="dxa"/>
          </w:tcPr>
          <w:p w14:paraId="20B7722B" w14:textId="4A63BE32" w:rsidR="000F59BB" w:rsidRPr="005371AF" w:rsidRDefault="000F59BB" w:rsidP="00A140EF">
            <w:pPr>
              <w:pStyle w:val="Tablecontent"/>
              <w:jc w:val="center"/>
              <w:rPr>
                <w:rFonts w:cstheme="minorHAnsi"/>
              </w:rPr>
            </w:pPr>
            <w:r>
              <w:rPr>
                <w:rFonts w:cstheme="minorHAnsi"/>
              </w:rPr>
              <w:t>99.975%</w:t>
            </w:r>
          </w:p>
        </w:tc>
        <w:tc>
          <w:tcPr>
            <w:tcW w:w="2126" w:type="dxa"/>
          </w:tcPr>
          <w:p w14:paraId="38A39A7D" w14:textId="04F5540C" w:rsidR="000F59BB" w:rsidRPr="005371AF" w:rsidRDefault="000F59BB" w:rsidP="00A140EF">
            <w:pPr>
              <w:pStyle w:val="Tablecontent"/>
              <w:jc w:val="center"/>
              <w:rPr>
                <w:rFonts w:cstheme="minorHAnsi"/>
              </w:rPr>
            </w:pPr>
            <w:r>
              <w:rPr>
                <w:rFonts w:cstheme="minorHAnsi"/>
              </w:rPr>
              <w:t>99.95%</w:t>
            </w:r>
          </w:p>
        </w:tc>
        <w:tc>
          <w:tcPr>
            <w:tcW w:w="1990" w:type="dxa"/>
            <w:vMerge w:val="restart"/>
            <w:vAlign w:val="center"/>
          </w:tcPr>
          <w:p w14:paraId="776A7018" w14:textId="224D6D70" w:rsidR="00405B27" w:rsidRPr="005371AF" w:rsidRDefault="000F59BB" w:rsidP="00405B27">
            <w:pPr>
              <w:pStyle w:val="Tablecontent"/>
              <w:jc w:val="center"/>
              <w:rPr>
                <w:rFonts w:cstheme="minorHAnsi"/>
              </w:rPr>
            </w:pPr>
            <w:r w:rsidRPr="00CA5C92">
              <w:rPr>
                <w:rFonts w:cstheme="minorHAnsi"/>
              </w:rPr>
              <w:t>99.9</w:t>
            </w:r>
            <w:r>
              <w:rPr>
                <w:rFonts w:cstheme="minorHAnsi"/>
              </w:rPr>
              <w:t>5%</w:t>
            </w:r>
          </w:p>
        </w:tc>
      </w:tr>
      <w:tr w:rsidR="000F59BB" w:rsidRPr="005371AF" w14:paraId="34D1473F" w14:textId="77777777" w:rsidTr="00F31873">
        <w:trPr>
          <w:trHeight w:val="50"/>
          <w:jc w:val="center"/>
        </w:trPr>
        <w:tc>
          <w:tcPr>
            <w:tcW w:w="1418" w:type="dxa"/>
          </w:tcPr>
          <w:p w14:paraId="6391F110" w14:textId="77777777" w:rsidR="000F59BB" w:rsidRPr="005371AF" w:rsidRDefault="000F59BB" w:rsidP="00721ED7">
            <w:pPr>
              <w:pStyle w:val="Tablecontent"/>
              <w:rPr>
                <w:rFonts w:cstheme="minorHAnsi"/>
                <w:b/>
                <w:bCs/>
              </w:rPr>
            </w:pPr>
            <w:r w:rsidRPr="005371AF">
              <w:rPr>
                <w:rFonts w:cstheme="minorHAnsi"/>
                <w:b/>
                <w:bCs/>
                <w:color w:val="171717" w:themeColor="background2" w:themeShade="1A"/>
              </w:rPr>
              <w:t>2 (Silver)</w:t>
            </w:r>
          </w:p>
        </w:tc>
        <w:tc>
          <w:tcPr>
            <w:tcW w:w="2121" w:type="dxa"/>
          </w:tcPr>
          <w:p w14:paraId="70D9EED1" w14:textId="7095442D" w:rsidR="000F59BB" w:rsidRPr="005371AF" w:rsidRDefault="000F59BB" w:rsidP="00A140EF">
            <w:pPr>
              <w:pStyle w:val="Tablecontent"/>
              <w:jc w:val="center"/>
              <w:rPr>
                <w:rFonts w:cstheme="minorHAnsi"/>
              </w:rPr>
            </w:pPr>
            <w:r>
              <w:rPr>
                <w:rFonts w:cstheme="minorHAnsi"/>
              </w:rPr>
              <w:t>99.950%</w:t>
            </w:r>
          </w:p>
        </w:tc>
        <w:tc>
          <w:tcPr>
            <w:tcW w:w="2126" w:type="dxa"/>
          </w:tcPr>
          <w:p w14:paraId="73ABB95D" w14:textId="0B985D9A" w:rsidR="000F59BB" w:rsidRPr="005371AF" w:rsidRDefault="000F59BB" w:rsidP="00A140EF">
            <w:pPr>
              <w:pStyle w:val="Tablecontent"/>
              <w:jc w:val="center"/>
              <w:rPr>
                <w:rFonts w:cstheme="minorHAnsi"/>
              </w:rPr>
            </w:pPr>
            <w:r>
              <w:rPr>
                <w:rFonts w:cstheme="minorHAnsi"/>
              </w:rPr>
              <w:t>99.90%</w:t>
            </w:r>
          </w:p>
        </w:tc>
        <w:tc>
          <w:tcPr>
            <w:tcW w:w="1990" w:type="dxa"/>
            <w:vMerge/>
          </w:tcPr>
          <w:p w14:paraId="1DF3254A" w14:textId="7ED9D4B6" w:rsidR="000F59BB" w:rsidRPr="005371AF" w:rsidRDefault="000F59BB" w:rsidP="00A140EF">
            <w:pPr>
              <w:pStyle w:val="Tablecontent"/>
              <w:jc w:val="center"/>
              <w:rPr>
                <w:rFonts w:cstheme="minorHAnsi"/>
              </w:rPr>
            </w:pPr>
          </w:p>
        </w:tc>
      </w:tr>
      <w:tr w:rsidR="000F59BB" w:rsidRPr="005371AF" w14:paraId="035AE51D" w14:textId="77777777" w:rsidTr="00F31873">
        <w:trPr>
          <w:trHeight w:val="50"/>
          <w:jc w:val="center"/>
        </w:trPr>
        <w:tc>
          <w:tcPr>
            <w:tcW w:w="1418" w:type="dxa"/>
          </w:tcPr>
          <w:p w14:paraId="5BA6F9ED" w14:textId="77777777" w:rsidR="000F59BB" w:rsidRPr="005371AF" w:rsidRDefault="000F59BB" w:rsidP="00721ED7">
            <w:pPr>
              <w:pStyle w:val="Tablecontent"/>
              <w:rPr>
                <w:rFonts w:cstheme="minorHAnsi"/>
                <w:b/>
                <w:bCs/>
              </w:rPr>
            </w:pPr>
            <w:r w:rsidRPr="005371AF">
              <w:rPr>
                <w:rFonts w:cstheme="minorHAnsi"/>
                <w:b/>
                <w:bCs/>
                <w:color w:val="171717" w:themeColor="background2" w:themeShade="1A"/>
              </w:rPr>
              <w:t>3 (Bronze)</w:t>
            </w:r>
          </w:p>
        </w:tc>
        <w:tc>
          <w:tcPr>
            <w:tcW w:w="2121" w:type="dxa"/>
          </w:tcPr>
          <w:p w14:paraId="2FCEE239" w14:textId="070678B1" w:rsidR="000F59BB" w:rsidRPr="005371AF" w:rsidRDefault="000F59BB" w:rsidP="00A140EF">
            <w:pPr>
              <w:pStyle w:val="Tablecontent"/>
              <w:jc w:val="center"/>
              <w:rPr>
                <w:rFonts w:cstheme="minorHAnsi"/>
              </w:rPr>
            </w:pPr>
            <w:r>
              <w:rPr>
                <w:rFonts w:cstheme="minorHAnsi"/>
              </w:rPr>
              <w:t>99.900%</w:t>
            </w:r>
          </w:p>
        </w:tc>
        <w:tc>
          <w:tcPr>
            <w:tcW w:w="2126" w:type="dxa"/>
          </w:tcPr>
          <w:p w14:paraId="2EC9787A" w14:textId="0AE2E6F1" w:rsidR="000F59BB" w:rsidRPr="005371AF" w:rsidRDefault="000F59BB" w:rsidP="00A140EF">
            <w:pPr>
              <w:pStyle w:val="Tablecontent"/>
              <w:jc w:val="center"/>
              <w:rPr>
                <w:rFonts w:cstheme="minorHAnsi"/>
              </w:rPr>
            </w:pPr>
            <w:r>
              <w:rPr>
                <w:rFonts w:cstheme="minorHAnsi"/>
              </w:rPr>
              <w:t>99.80%</w:t>
            </w:r>
          </w:p>
        </w:tc>
        <w:tc>
          <w:tcPr>
            <w:tcW w:w="1990" w:type="dxa"/>
            <w:vMerge/>
          </w:tcPr>
          <w:p w14:paraId="021FBD03" w14:textId="2C673BFF" w:rsidR="000F59BB" w:rsidRPr="005371AF" w:rsidRDefault="000F59BB" w:rsidP="00A140EF">
            <w:pPr>
              <w:pStyle w:val="Tablecontent"/>
              <w:jc w:val="center"/>
              <w:rPr>
                <w:rFonts w:cstheme="minorHAnsi"/>
              </w:rPr>
            </w:pPr>
          </w:p>
        </w:tc>
      </w:tr>
    </w:tbl>
    <w:p w14:paraId="00312504" w14:textId="18459972" w:rsidR="00897F98" w:rsidRDefault="00897F98" w:rsidP="00897F98">
      <w:pPr>
        <w:rPr>
          <w:lang w:val="en-GB"/>
        </w:rPr>
      </w:pPr>
      <w:r>
        <w:rPr>
          <w:lang w:val="en-GB"/>
        </w:rPr>
        <w:t>Why they are all different numbers?</w:t>
      </w:r>
      <w:r w:rsidR="001E0579">
        <w:rPr>
          <w:lang w:val="en-GB"/>
        </w:rPr>
        <w:t xml:space="preserve"> </w:t>
      </w:r>
      <w:r w:rsidR="002839F4">
        <w:rPr>
          <w:lang w:val="en-GB"/>
        </w:rPr>
        <w:t xml:space="preserve">Isn’t easier to have 1 number for each class? </w:t>
      </w:r>
    </w:p>
    <w:p w14:paraId="66728536" w14:textId="0C1B59EE" w:rsidR="00897F98" w:rsidRDefault="00897F98" w:rsidP="00897F98">
      <w:pPr>
        <w:rPr>
          <w:lang w:val="en-GB"/>
        </w:rPr>
      </w:pPr>
      <w:r>
        <w:rPr>
          <w:lang w:val="en-GB"/>
        </w:rPr>
        <w:t>Well, they measure different things</w:t>
      </w:r>
      <w:r w:rsidR="005941E7">
        <w:rPr>
          <w:lang w:val="en-GB"/>
        </w:rPr>
        <w:t>:</w:t>
      </w:r>
    </w:p>
    <w:p w14:paraId="57530F43" w14:textId="77777777" w:rsidR="00897F98" w:rsidRDefault="00897F98" w:rsidP="00897F98">
      <w:pPr>
        <w:pStyle w:val="BeforeTable"/>
        <w:rPr>
          <w:lang w:val="en-GB"/>
        </w:rPr>
      </w:pPr>
    </w:p>
    <w:tbl>
      <w:tblPr>
        <w:tblW w:w="0" w:type="auto"/>
        <w:tblLook w:val="04A0" w:firstRow="1" w:lastRow="0" w:firstColumn="1" w:lastColumn="0" w:noHBand="0" w:noVBand="1"/>
      </w:tblPr>
      <w:tblGrid>
        <w:gridCol w:w="1701"/>
        <w:gridCol w:w="8755"/>
      </w:tblGrid>
      <w:tr w:rsidR="00897F98" w14:paraId="5C9139DD" w14:textId="77777777" w:rsidTr="002E74F6">
        <w:tc>
          <w:tcPr>
            <w:tcW w:w="1701"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6B73F9BD" w14:textId="0BF18C6E" w:rsidR="00897F98" w:rsidRPr="00B7248C" w:rsidRDefault="00897F98" w:rsidP="00E440AB">
            <w:pPr>
              <w:pStyle w:val="Tablecontent"/>
              <w:rPr>
                <w:b/>
                <w:bCs/>
              </w:rPr>
            </w:pPr>
            <w:r w:rsidRPr="00D11F61">
              <w:rPr>
                <w:b/>
                <w:bCs/>
                <w:lang w:val="en-GB"/>
              </w:rPr>
              <w:t>Availability</w:t>
            </w:r>
          </w:p>
        </w:tc>
        <w:tc>
          <w:tcPr>
            <w:tcW w:w="8755" w:type="dxa"/>
            <w:tcBorders>
              <w:top w:val="single" w:sz="4" w:space="0" w:color="BFBFBF" w:themeColor="background1" w:themeShade="BF"/>
              <w:bottom w:val="single" w:sz="4" w:space="0" w:color="BFBFBF" w:themeColor="background1" w:themeShade="BF"/>
            </w:tcBorders>
          </w:tcPr>
          <w:p w14:paraId="0F44939C" w14:textId="36A2C9C6" w:rsidR="00897F98" w:rsidRDefault="00897F98" w:rsidP="002D6718">
            <w:pPr>
              <w:pStyle w:val="Tablecontent"/>
            </w:pPr>
            <w:r>
              <w:t xml:space="preserve">It can afford to have the highest SLA because scheduled downtime </w:t>
            </w:r>
            <w:r w:rsidR="000C6B3D">
              <w:t xml:space="preserve">and downtime caused by customer </w:t>
            </w:r>
            <w:r>
              <w:t xml:space="preserve">is </w:t>
            </w:r>
            <w:r w:rsidRPr="00F31873">
              <w:rPr>
                <w:color w:val="FF0000"/>
              </w:rPr>
              <w:t xml:space="preserve">not </w:t>
            </w:r>
            <w:r>
              <w:t xml:space="preserve">included. </w:t>
            </w:r>
          </w:p>
          <w:p w14:paraId="4DF63C29" w14:textId="77777777" w:rsidR="002E74F6" w:rsidRDefault="002E74F6" w:rsidP="002D6718">
            <w:pPr>
              <w:pStyle w:val="Tablecontent"/>
            </w:pPr>
            <w:r>
              <w:t xml:space="preserve">I put 99.975% as Windows or Linux may need to run filesystem integrity check. </w:t>
            </w:r>
          </w:p>
          <w:p w14:paraId="2E11E1CC" w14:textId="160D7C82" w:rsidR="002E74F6" w:rsidRDefault="002E74F6" w:rsidP="002D6718">
            <w:pPr>
              <w:pStyle w:val="Tablecontent"/>
            </w:pPr>
            <w:r>
              <w:t>If you have many IT services or Security services that must be started before application services are started, adjust the SLA accordingly.</w:t>
            </w:r>
          </w:p>
          <w:p w14:paraId="5B40B5F4" w14:textId="6FF5ACBC" w:rsidR="002E74F6" w:rsidRPr="002E74F6" w:rsidRDefault="002E74F6" w:rsidP="002D6718">
            <w:pPr>
              <w:pStyle w:val="Tablecontent"/>
            </w:pPr>
            <w:r>
              <w:t xml:space="preserve">Notice the downtime windows is 1x, 2x, and 4x. It helps in </w:t>
            </w:r>
            <w:r w:rsidR="004C00B8">
              <w:t xml:space="preserve">justifying the </w:t>
            </w:r>
            <w:r>
              <w:t>pric</w:t>
            </w:r>
            <w:r w:rsidR="004C00B8">
              <w:t>e</w:t>
            </w:r>
            <w:r>
              <w:t xml:space="preserve"> when the gaps are clear and consistent. </w:t>
            </w:r>
          </w:p>
        </w:tc>
      </w:tr>
      <w:tr w:rsidR="00897F98" w14:paraId="1C229B7E" w14:textId="77777777" w:rsidTr="002E74F6">
        <w:tc>
          <w:tcPr>
            <w:tcW w:w="1701"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59BDEC9C" w14:textId="35C3D3F4" w:rsidR="00897F98" w:rsidRPr="00D11F61" w:rsidRDefault="00897F98" w:rsidP="00E440AB">
            <w:pPr>
              <w:pStyle w:val="Tablecontent"/>
              <w:rPr>
                <w:b/>
                <w:bCs/>
                <w:lang w:val="en-GB"/>
              </w:rPr>
            </w:pPr>
            <w:r w:rsidRPr="00D11F61">
              <w:rPr>
                <w:b/>
                <w:bCs/>
                <w:lang w:val="en-GB"/>
              </w:rPr>
              <w:t>Performance</w:t>
            </w:r>
          </w:p>
        </w:tc>
        <w:tc>
          <w:tcPr>
            <w:tcW w:w="8755" w:type="dxa"/>
            <w:tcBorders>
              <w:top w:val="single" w:sz="4" w:space="0" w:color="BFBFBF" w:themeColor="background1" w:themeShade="BF"/>
              <w:bottom w:val="single" w:sz="4" w:space="0" w:color="BFBFBF" w:themeColor="background1" w:themeShade="BF"/>
            </w:tcBorders>
          </w:tcPr>
          <w:p w14:paraId="60E22678" w14:textId="01C732C8" w:rsidR="00897F98" w:rsidRDefault="00897F98" w:rsidP="002D6718">
            <w:pPr>
              <w:pStyle w:val="Tablecontent"/>
            </w:pPr>
            <w:r>
              <w:t>Lower SLA due to stringent standard. It’s stringent so it can cover the mission critical environment. As a result, the Bronze environment will have a harder time meeting it. If you think that’s too strict, reduce the SLA not the threshold. To see how bad the reality, use KPI.</w:t>
            </w:r>
          </w:p>
          <w:p w14:paraId="1276B840" w14:textId="77777777" w:rsidR="005941E7" w:rsidRDefault="00897F98" w:rsidP="005941E7">
            <w:pPr>
              <w:pStyle w:val="Tablecontent"/>
            </w:pPr>
            <w:r>
              <w:t>Notice the number for performance is 1x, 2x and 4</w:t>
            </w:r>
            <w:r w:rsidR="002E74F6">
              <w:t>x</w:t>
            </w:r>
            <w:r>
              <w:t>. Silver failure window is 2x bigger because its price is 2x cheaper. Remember the Price/Performance principle? The basic concept is you pay double you get something 2x better</w:t>
            </w:r>
            <w:r w:rsidR="002E74F6">
              <w:t>.</w:t>
            </w:r>
          </w:p>
          <w:p w14:paraId="3B3F4434" w14:textId="77777777" w:rsidR="00582677" w:rsidRDefault="00582677" w:rsidP="005941E7">
            <w:pPr>
              <w:pStyle w:val="Tablecontent"/>
            </w:pPr>
            <w:r>
              <w:t xml:space="preserve">Why not 100% for Gold since there is no overcommit? </w:t>
            </w:r>
          </w:p>
          <w:p w14:paraId="662B09C4" w14:textId="01B7F668" w:rsidR="00582677" w:rsidRDefault="00582677" w:rsidP="005941E7">
            <w:pPr>
              <w:pStyle w:val="Tablecontent"/>
            </w:pPr>
            <w:r>
              <w:t>Because that’s just the compute portion. You do not control the network and storage portion.</w:t>
            </w:r>
          </w:p>
        </w:tc>
      </w:tr>
      <w:tr w:rsidR="00897F98" w14:paraId="758758FB" w14:textId="77777777" w:rsidTr="002E74F6">
        <w:tc>
          <w:tcPr>
            <w:tcW w:w="1701"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0F6E9C15" w14:textId="5B662839" w:rsidR="00897F98" w:rsidRPr="00D11F61" w:rsidRDefault="00897F98" w:rsidP="00E440AB">
            <w:pPr>
              <w:pStyle w:val="Tablecontent"/>
              <w:rPr>
                <w:b/>
                <w:bCs/>
                <w:lang w:val="en-GB"/>
              </w:rPr>
            </w:pPr>
            <w:r w:rsidRPr="00D11F61">
              <w:rPr>
                <w:b/>
                <w:bCs/>
                <w:lang w:val="en-GB"/>
              </w:rPr>
              <w:t>Compliance</w:t>
            </w:r>
          </w:p>
        </w:tc>
        <w:tc>
          <w:tcPr>
            <w:tcW w:w="8755" w:type="dxa"/>
            <w:tcBorders>
              <w:top w:val="single" w:sz="4" w:space="0" w:color="BFBFBF" w:themeColor="background1" w:themeShade="BF"/>
              <w:bottom w:val="single" w:sz="4" w:space="0" w:color="BFBFBF" w:themeColor="background1" w:themeShade="BF"/>
            </w:tcBorders>
          </w:tcPr>
          <w:p w14:paraId="65EA9008" w14:textId="2EB7EC6C" w:rsidR="00897F98" w:rsidRPr="002D6718" w:rsidRDefault="002E74F6" w:rsidP="002D6718">
            <w:pPr>
              <w:pStyle w:val="Tablecontent"/>
            </w:pPr>
            <w:r>
              <w:rPr>
                <w:lang w:val="en-GB"/>
              </w:rPr>
              <w:t xml:space="preserve">It </w:t>
            </w:r>
            <w:r w:rsidR="00897F98">
              <w:rPr>
                <w:lang w:val="en-GB"/>
              </w:rPr>
              <w:t xml:space="preserve">has identical SLA for all classes as it’s in your interest to secure </w:t>
            </w:r>
            <w:r w:rsidR="00897F98" w:rsidRPr="002D6718">
              <w:t xml:space="preserve">everyone. You don’t want to have a security </w:t>
            </w:r>
            <w:r w:rsidR="00405B27" w:rsidRPr="002D6718">
              <w:t>loophole</w:t>
            </w:r>
            <w:r w:rsidR="00897F98" w:rsidRPr="002D6718">
              <w:t>, which can be used as jump box to attack the rest. I did not put 99.99% as that’s not even 1 chance of mistake. As the value for compliance is the last value of collection, that could be as short as 1 second</w:t>
            </w:r>
            <w:r w:rsidR="00FE0A72" w:rsidRPr="002D6718">
              <w:t>.</w:t>
            </w:r>
          </w:p>
          <w:p w14:paraId="2166884B" w14:textId="3BBE15B5" w:rsidR="002E74F6" w:rsidRDefault="002E74F6" w:rsidP="002D6718">
            <w:pPr>
              <w:pStyle w:val="Tablecontent"/>
            </w:pPr>
            <w:r w:rsidRPr="002D6718">
              <w:t>Consider how fast it takes for you to effect a change. If you rely on manual change, then adjust the number accordingly.</w:t>
            </w:r>
            <w:r>
              <w:rPr>
                <w:lang w:val="en-GB"/>
              </w:rPr>
              <w:t xml:space="preserve"> </w:t>
            </w:r>
          </w:p>
        </w:tc>
      </w:tr>
    </w:tbl>
    <w:p w14:paraId="1C1B0D64" w14:textId="30781700" w:rsidR="006C4D6A" w:rsidRDefault="006C4D6A" w:rsidP="00E7573A">
      <w:pPr>
        <w:pStyle w:val="Heading5"/>
      </w:pPr>
      <w:r w:rsidRPr="00E7573A">
        <w:t>Sample</w:t>
      </w:r>
      <w:r>
        <w:t xml:space="preserve"> Offering</w:t>
      </w:r>
    </w:p>
    <w:p w14:paraId="0A173A2A" w14:textId="59D54E53" w:rsidR="009C1D09" w:rsidRDefault="000C6823" w:rsidP="009C1D09">
      <w:pPr>
        <w:rPr>
          <w:lang w:val="en-GB"/>
        </w:rPr>
      </w:pPr>
      <w:r>
        <w:rPr>
          <w:lang w:val="en-GB"/>
        </w:rPr>
        <w:t>Putting the above together, what does a sample class of service actually look like?</w:t>
      </w:r>
    </w:p>
    <w:p w14:paraId="41F6BAB1" w14:textId="6D6F4DA6" w:rsidR="005129EC" w:rsidRDefault="005129EC" w:rsidP="004B77ED">
      <w:pPr>
        <w:pStyle w:val="Heading6"/>
      </w:pPr>
      <w:r>
        <w:t>Price</w:t>
      </w:r>
      <w:r w:rsidR="00151B42">
        <w:t xml:space="preserve"> &amp; </w:t>
      </w:r>
      <w:r w:rsidR="00151B42" w:rsidRPr="00E7573A">
        <w:t>SLA</w:t>
      </w:r>
    </w:p>
    <w:p w14:paraId="6202C340" w14:textId="19ED0AC8" w:rsidR="000B6D75" w:rsidRDefault="000B50D1" w:rsidP="000B6D75">
      <w:pPr>
        <w:rPr>
          <w:lang w:val="en-GB"/>
        </w:rPr>
      </w:pPr>
      <w:r>
        <w:rPr>
          <w:lang w:val="en-GB"/>
        </w:rPr>
        <w:t>SLA is the hard product, the main thing</w:t>
      </w:r>
      <w:r w:rsidR="001F2EE8">
        <w:rPr>
          <w:lang w:val="en-GB"/>
        </w:rPr>
        <w:t xml:space="preserve"> that you when you pay for the price. </w:t>
      </w:r>
      <w:r w:rsidR="008D3A26">
        <w:rPr>
          <w:lang w:val="en-GB"/>
        </w:rPr>
        <w:t>Using the airline business, the hard product is the seat.</w:t>
      </w:r>
      <w:r w:rsidR="00C17046">
        <w:rPr>
          <w:lang w:val="en-GB"/>
        </w:rPr>
        <w:t xml:space="preserve"> Other things such as in-flight entertainment and meals </w:t>
      </w:r>
      <w:r w:rsidR="00A55CAE">
        <w:rPr>
          <w:lang w:val="en-GB"/>
        </w:rPr>
        <w:t xml:space="preserve">are soft products. </w:t>
      </w:r>
    </w:p>
    <w:p w14:paraId="35C34C1C" w14:textId="49597BA3" w:rsidR="00A65FAE" w:rsidRDefault="00A65FAE" w:rsidP="000B6D75">
      <w:pPr>
        <w:rPr>
          <w:lang w:val="en-GB"/>
        </w:rPr>
      </w:pPr>
      <w:r>
        <w:rPr>
          <w:lang w:val="en-GB"/>
        </w:rPr>
        <w:lastRenderedPageBreak/>
        <w:t xml:space="preserve">In IaaS, since </w:t>
      </w:r>
      <w:r w:rsidR="00954801">
        <w:rPr>
          <w:lang w:val="en-GB"/>
        </w:rPr>
        <w:t xml:space="preserve">you do not typically care about the hardware specification (e.g. the type of SSD for storage, the memory brand and technology), you </w:t>
      </w:r>
      <w:r w:rsidR="0098418C">
        <w:rPr>
          <w:lang w:val="en-GB"/>
        </w:rPr>
        <w:t>focus on the SLA.</w:t>
      </w:r>
    </w:p>
    <w:p w14:paraId="38699DF0" w14:textId="77777777" w:rsidR="001F2EE8" w:rsidRPr="000B6D75" w:rsidRDefault="001F2EE8" w:rsidP="001F2EE8">
      <w:pPr>
        <w:pStyle w:val="BeforeTable"/>
        <w:rPr>
          <w:lang w:val="en-GB"/>
        </w:rPr>
      </w:pPr>
    </w:p>
    <w:tbl>
      <w:tblPr>
        <w:tblStyle w:val="TableGrid"/>
        <w:tblW w:w="0" w:type="auto"/>
        <w:tblBorders>
          <w:top w:val="none" w:sz="0" w:space="0" w:color="auto"/>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55"/>
        <w:gridCol w:w="1665"/>
        <w:gridCol w:w="1665"/>
        <w:gridCol w:w="4971"/>
      </w:tblGrid>
      <w:tr w:rsidR="005129EC" w14:paraId="33B33041" w14:textId="77777777" w:rsidTr="00EF6258">
        <w:tc>
          <w:tcPr>
            <w:tcW w:w="2155" w:type="dxa"/>
            <w:shd w:val="clear" w:color="auto" w:fill="F2F2F2" w:themeFill="background1" w:themeFillShade="F2"/>
          </w:tcPr>
          <w:p w14:paraId="7D738C2D" w14:textId="77777777" w:rsidR="005129EC" w:rsidRDefault="005129EC" w:rsidP="008B48E3">
            <w:pPr>
              <w:pStyle w:val="Tableheading"/>
            </w:pPr>
          </w:p>
        </w:tc>
        <w:tc>
          <w:tcPr>
            <w:tcW w:w="1665" w:type="dxa"/>
            <w:shd w:val="clear" w:color="auto" w:fill="F2F2F2" w:themeFill="background1" w:themeFillShade="F2"/>
          </w:tcPr>
          <w:p w14:paraId="54D5A5A3" w14:textId="40A73863" w:rsidR="005129EC" w:rsidRDefault="00E000A0" w:rsidP="008B48E3">
            <w:pPr>
              <w:pStyle w:val="Tableheading"/>
            </w:pPr>
            <w:r>
              <w:t>Gold</w:t>
            </w:r>
          </w:p>
        </w:tc>
        <w:tc>
          <w:tcPr>
            <w:tcW w:w="1665" w:type="dxa"/>
            <w:shd w:val="clear" w:color="auto" w:fill="F2F2F2" w:themeFill="background1" w:themeFillShade="F2"/>
          </w:tcPr>
          <w:p w14:paraId="234051D5" w14:textId="5E17ACB4" w:rsidR="005129EC" w:rsidRDefault="00E000A0" w:rsidP="008B48E3">
            <w:pPr>
              <w:pStyle w:val="Tableheading"/>
            </w:pPr>
            <w:r>
              <w:t>Silver</w:t>
            </w:r>
          </w:p>
        </w:tc>
        <w:tc>
          <w:tcPr>
            <w:tcW w:w="4971" w:type="dxa"/>
            <w:shd w:val="clear" w:color="auto" w:fill="F2F2F2" w:themeFill="background1" w:themeFillShade="F2"/>
          </w:tcPr>
          <w:p w14:paraId="75901644" w14:textId="5AF50CDA" w:rsidR="005129EC" w:rsidRDefault="008B48E3" w:rsidP="008B48E3">
            <w:pPr>
              <w:pStyle w:val="Tableheading"/>
            </w:pPr>
            <w:r>
              <w:t>Description</w:t>
            </w:r>
          </w:p>
        </w:tc>
      </w:tr>
      <w:tr w:rsidR="005129EC" w14:paraId="38352D58" w14:textId="77777777" w:rsidTr="00EF6258">
        <w:tc>
          <w:tcPr>
            <w:tcW w:w="2155" w:type="dxa"/>
          </w:tcPr>
          <w:p w14:paraId="7C4F09B2" w14:textId="51E2AD7E" w:rsidR="005129EC" w:rsidRDefault="008B48E3" w:rsidP="00B46B5B">
            <w:pPr>
              <w:pStyle w:val="Tablecontent"/>
            </w:pPr>
            <w:r>
              <w:t>Price</w:t>
            </w:r>
          </w:p>
        </w:tc>
        <w:tc>
          <w:tcPr>
            <w:tcW w:w="1665" w:type="dxa"/>
          </w:tcPr>
          <w:p w14:paraId="7F33FAEE" w14:textId="637B4865" w:rsidR="005129EC" w:rsidRDefault="00EF6258" w:rsidP="00B46B5B">
            <w:pPr>
              <w:pStyle w:val="Tablecontent"/>
              <w:jc w:val="center"/>
            </w:pPr>
            <w:r>
              <w:t>2</w:t>
            </w:r>
            <w:r w:rsidR="008B48E3">
              <w:t>x</w:t>
            </w:r>
          </w:p>
        </w:tc>
        <w:tc>
          <w:tcPr>
            <w:tcW w:w="1665" w:type="dxa"/>
          </w:tcPr>
          <w:p w14:paraId="082E73AD" w14:textId="18C9DEB2" w:rsidR="005129EC" w:rsidRDefault="008B48E3" w:rsidP="00B46B5B">
            <w:pPr>
              <w:pStyle w:val="Tablecontent"/>
              <w:jc w:val="center"/>
            </w:pPr>
            <w:r>
              <w:t>1x</w:t>
            </w:r>
          </w:p>
        </w:tc>
        <w:tc>
          <w:tcPr>
            <w:tcW w:w="4971" w:type="dxa"/>
          </w:tcPr>
          <w:p w14:paraId="79186705" w14:textId="53E0FD3E" w:rsidR="005129EC" w:rsidRDefault="00EF6258" w:rsidP="00B46B5B">
            <w:pPr>
              <w:pStyle w:val="Tablecontent"/>
            </w:pPr>
            <w:r>
              <w:t xml:space="preserve">Gold is priced 2x Silver. </w:t>
            </w:r>
          </w:p>
        </w:tc>
      </w:tr>
      <w:tr w:rsidR="0098418C" w14:paraId="572E4E7B" w14:textId="77777777" w:rsidTr="00EF6258">
        <w:tc>
          <w:tcPr>
            <w:tcW w:w="2155" w:type="dxa"/>
          </w:tcPr>
          <w:p w14:paraId="7F203E7F" w14:textId="02171D35" w:rsidR="0098418C" w:rsidRDefault="0098418C" w:rsidP="00B46B5B">
            <w:pPr>
              <w:pStyle w:val="Tablecontent"/>
            </w:pPr>
            <w:r>
              <w:t>Over Commit</w:t>
            </w:r>
          </w:p>
        </w:tc>
        <w:tc>
          <w:tcPr>
            <w:tcW w:w="1665" w:type="dxa"/>
          </w:tcPr>
          <w:p w14:paraId="1B40D15B" w14:textId="44EA7D62" w:rsidR="0098418C" w:rsidRDefault="00730BBF" w:rsidP="00B46B5B">
            <w:pPr>
              <w:pStyle w:val="Tablecontent"/>
              <w:jc w:val="center"/>
            </w:pPr>
            <w:r>
              <w:t xml:space="preserve">CPU </w:t>
            </w:r>
            <w:r w:rsidR="00BB178D">
              <w:t>2</w:t>
            </w:r>
            <w:r>
              <w:t>:1</w:t>
            </w:r>
          </w:p>
          <w:p w14:paraId="130A85F3" w14:textId="260927D9" w:rsidR="00730BBF" w:rsidRDefault="00730BBF" w:rsidP="00B46B5B">
            <w:pPr>
              <w:pStyle w:val="Tablecontent"/>
              <w:jc w:val="center"/>
            </w:pPr>
            <w:r>
              <w:t xml:space="preserve">RAM </w:t>
            </w:r>
            <w:r w:rsidR="00BB178D">
              <w:t>1:1</w:t>
            </w:r>
          </w:p>
        </w:tc>
        <w:tc>
          <w:tcPr>
            <w:tcW w:w="1665" w:type="dxa"/>
          </w:tcPr>
          <w:p w14:paraId="14BBD92A" w14:textId="77777777" w:rsidR="0098418C" w:rsidRDefault="00BB178D" w:rsidP="00B46B5B">
            <w:pPr>
              <w:pStyle w:val="Tablecontent"/>
              <w:jc w:val="center"/>
            </w:pPr>
            <w:r>
              <w:t>CPU 4:1</w:t>
            </w:r>
          </w:p>
          <w:p w14:paraId="15C17FD7" w14:textId="58371D6A" w:rsidR="00BB178D" w:rsidRDefault="00BB178D" w:rsidP="00B46B5B">
            <w:pPr>
              <w:pStyle w:val="Tablecontent"/>
              <w:jc w:val="center"/>
            </w:pPr>
            <w:r>
              <w:t>RAM 2:1</w:t>
            </w:r>
          </w:p>
        </w:tc>
        <w:tc>
          <w:tcPr>
            <w:tcW w:w="4971" w:type="dxa"/>
          </w:tcPr>
          <w:p w14:paraId="26DDD401" w14:textId="77777777" w:rsidR="0098418C" w:rsidRDefault="00C345F2" w:rsidP="00B46B5B">
            <w:pPr>
              <w:pStyle w:val="Tablecontent"/>
            </w:pPr>
            <w:r>
              <w:t>The reason why Silver is half price is there are twice as many consumers.</w:t>
            </w:r>
          </w:p>
          <w:p w14:paraId="3B52164D" w14:textId="1808DB9D" w:rsidR="00BB178D" w:rsidRDefault="00BB178D" w:rsidP="00B46B5B">
            <w:pPr>
              <w:pStyle w:val="Tablecontent"/>
            </w:pPr>
          </w:p>
        </w:tc>
      </w:tr>
      <w:tr w:rsidR="00C2527D" w14:paraId="22C31168" w14:textId="77777777" w:rsidTr="00EF6258">
        <w:tc>
          <w:tcPr>
            <w:tcW w:w="2155" w:type="dxa"/>
            <w:vAlign w:val="center"/>
          </w:tcPr>
          <w:p w14:paraId="6B194CA0" w14:textId="5620EBC8" w:rsidR="00C2527D" w:rsidRDefault="00C2527D" w:rsidP="00C2527D">
            <w:pPr>
              <w:pStyle w:val="Tablecontent"/>
            </w:pPr>
            <w:r>
              <w:t>Availability SLA</w:t>
            </w:r>
          </w:p>
        </w:tc>
        <w:tc>
          <w:tcPr>
            <w:tcW w:w="1665" w:type="dxa"/>
            <w:vAlign w:val="center"/>
          </w:tcPr>
          <w:p w14:paraId="449D9727" w14:textId="30CA63FF" w:rsidR="00C2527D" w:rsidRDefault="007A6670" w:rsidP="00C2527D">
            <w:pPr>
              <w:pStyle w:val="Tablecontent"/>
              <w:jc w:val="center"/>
            </w:pPr>
            <w:r>
              <w:rPr>
                <w:rFonts w:cstheme="minorHAnsi"/>
              </w:rPr>
              <w:t>99.975%</w:t>
            </w:r>
          </w:p>
        </w:tc>
        <w:tc>
          <w:tcPr>
            <w:tcW w:w="1665" w:type="dxa"/>
            <w:vAlign w:val="center"/>
          </w:tcPr>
          <w:p w14:paraId="6CBC84EA" w14:textId="72728A64" w:rsidR="00C2527D" w:rsidRDefault="007A6670" w:rsidP="00C2527D">
            <w:pPr>
              <w:pStyle w:val="Tablecontent"/>
              <w:jc w:val="center"/>
            </w:pPr>
            <w:r>
              <w:rPr>
                <w:rFonts w:cstheme="minorHAnsi"/>
              </w:rPr>
              <w:t>99.950%</w:t>
            </w:r>
          </w:p>
        </w:tc>
        <w:tc>
          <w:tcPr>
            <w:tcW w:w="4971" w:type="dxa"/>
          </w:tcPr>
          <w:p w14:paraId="1743E55E" w14:textId="2E19B129" w:rsidR="00C2527D" w:rsidRDefault="00EF6258" w:rsidP="00C2527D">
            <w:pPr>
              <w:pStyle w:val="Tablecontent"/>
            </w:pPr>
            <w:r>
              <w:t>Gold has 2x less downtime</w:t>
            </w:r>
          </w:p>
        </w:tc>
      </w:tr>
      <w:tr w:rsidR="007A6670" w14:paraId="14188899" w14:textId="77777777" w:rsidTr="00EF6258">
        <w:tc>
          <w:tcPr>
            <w:tcW w:w="2155" w:type="dxa"/>
            <w:vAlign w:val="center"/>
          </w:tcPr>
          <w:p w14:paraId="3FADED59" w14:textId="7AF120B7" w:rsidR="007A6670" w:rsidRDefault="007A6670" w:rsidP="007A6670">
            <w:pPr>
              <w:pStyle w:val="Tablecontent"/>
              <w:rPr>
                <w:rFonts w:cstheme="minorHAnsi"/>
              </w:rPr>
            </w:pPr>
            <w:r w:rsidRPr="005371AF">
              <w:t>Performance</w:t>
            </w:r>
            <w:r>
              <w:t xml:space="preserve"> SLA</w:t>
            </w:r>
          </w:p>
        </w:tc>
        <w:tc>
          <w:tcPr>
            <w:tcW w:w="1665" w:type="dxa"/>
          </w:tcPr>
          <w:p w14:paraId="0E77371E" w14:textId="251FD339" w:rsidR="007A6670" w:rsidRDefault="007A6670" w:rsidP="007A6670">
            <w:pPr>
              <w:pStyle w:val="Tablecontent"/>
              <w:jc w:val="center"/>
              <w:rPr>
                <w:rFonts w:cstheme="minorHAnsi"/>
              </w:rPr>
            </w:pPr>
            <w:r>
              <w:rPr>
                <w:rFonts w:cstheme="minorHAnsi"/>
              </w:rPr>
              <w:t>99.95%</w:t>
            </w:r>
          </w:p>
        </w:tc>
        <w:tc>
          <w:tcPr>
            <w:tcW w:w="1665" w:type="dxa"/>
          </w:tcPr>
          <w:p w14:paraId="0E8A2DD4" w14:textId="58B3E817" w:rsidR="007A6670" w:rsidRDefault="007A6670" w:rsidP="007A6670">
            <w:pPr>
              <w:pStyle w:val="Tablecontent"/>
              <w:jc w:val="center"/>
              <w:rPr>
                <w:rFonts w:cstheme="minorHAnsi"/>
              </w:rPr>
            </w:pPr>
            <w:r>
              <w:rPr>
                <w:rFonts w:cstheme="minorHAnsi"/>
              </w:rPr>
              <w:t>99.90%</w:t>
            </w:r>
          </w:p>
        </w:tc>
        <w:tc>
          <w:tcPr>
            <w:tcW w:w="4971" w:type="dxa"/>
          </w:tcPr>
          <w:p w14:paraId="660CCCC5" w14:textId="0CA81CC2" w:rsidR="007A6670" w:rsidRDefault="00EF6258" w:rsidP="007A6670">
            <w:pPr>
              <w:pStyle w:val="Tablecontent"/>
            </w:pPr>
            <w:r>
              <w:t>Gold has 2x less “slow time”</w:t>
            </w:r>
          </w:p>
        </w:tc>
      </w:tr>
      <w:tr w:rsidR="007A6670" w14:paraId="4196B360" w14:textId="77777777" w:rsidTr="00EF6258">
        <w:tc>
          <w:tcPr>
            <w:tcW w:w="2155" w:type="dxa"/>
          </w:tcPr>
          <w:p w14:paraId="3D9194EF" w14:textId="6C6BF0B0" w:rsidR="007A6670" w:rsidRPr="005371AF" w:rsidRDefault="007A6670" w:rsidP="007A6670">
            <w:pPr>
              <w:pStyle w:val="Tablecontent"/>
            </w:pPr>
            <w:r>
              <w:t>Compliance SLA</w:t>
            </w:r>
          </w:p>
        </w:tc>
        <w:tc>
          <w:tcPr>
            <w:tcW w:w="1665" w:type="dxa"/>
          </w:tcPr>
          <w:p w14:paraId="150B6E11" w14:textId="56706805" w:rsidR="007A6670" w:rsidRDefault="007A6670" w:rsidP="007A6670">
            <w:pPr>
              <w:pStyle w:val="Tablecontent"/>
              <w:jc w:val="center"/>
              <w:rPr>
                <w:rFonts w:cstheme="minorHAnsi"/>
              </w:rPr>
            </w:pPr>
            <w:r>
              <w:rPr>
                <w:rFonts w:cstheme="minorHAnsi"/>
              </w:rPr>
              <w:t>99.95%</w:t>
            </w:r>
          </w:p>
        </w:tc>
        <w:tc>
          <w:tcPr>
            <w:tcW w:w="1665" w:type="dxa"/>
          </w:tcPr>
          <w:p w14:paraId="728A4276" w14:textId="63AF1549" w:rsidR="007A6670" w:rsidRDefault="007A6670" w:rsidP="007A6670">
            <w:pPr>
              <w:pStyle w:val="Tablecontent"/>
              <w:jc w:val="center"/>
              <w:rPr>
                <w:rFonts w:cstheme="minorHAnsi"/>
              </w:rPr>
            </w:pPr>
            <w:r>
              <w:rPr>
                <w:rFonts w:cstheme="minorHAnsi"/>
              </w:rPr>
              <w:t>99.95%</w:t>
            </w:r>
          </w:p>
        </w:tc>
        <w:tc>
          <w:tcPr>
            <w:tcW w:w="4971" w:type="dxa"/>
          </w:tcPr>
          <w:p w14:paraId="3D24A33A" w14:textId="0A6E08B3" w:rsidR="007A6670" w:rsidRDefault="00210696" w:rsidP="007A6670">
            <w:pPr>
              <w:pStyle w:val="Tablecontent"/>
            </w:pPr>
            <w:r>
              <w:t>Silved is bumped up to Gold to protect Gold</w:t>
            </w:r>
          </w:p>
        </w:tc>
      </w:tr>
    </w:tbl>
    <w:p w14:paraId="6465EA13" w14:textId="52D3C5EF" w:rsidR="00B00AAB" w:rsidRDefault="00B00AAB" w:rsidP="00B00AAB">
      <w:pPr>
        <w:pStyle w:val="BeforeTable"/>
        <w:rPr>
          <w:lang w:val="en-GB"/>
        </w:rPr>
      </w:pPr>
    </w:p>
    <w:p w14:paraId="215D32D3" w14:textId="1D11B56C" w:rsidR="00B00AAB" w:rsidRDefault="00BC1C62" w:rsidP="00BC1C62">
      <w:pPr>
        <w:rPr>
          <w:lang w:val="en-GB"/>
        </w:rPr>
      </w:pPr>
      <w:r>
        <w:rPr>
          <w:lang w:val="en-GB"/>
        </w:rPr>
        <w:t>If you mix the environment, should you apply reservation and shares</w:t>
      </w:r>
      <w:r w:rsidR="00BD366F">
        <w:rPr>
          <w:lang w:val="en-GB"/>
        </w:rPr>
        <w:t>. Give Gold 2x the value over Silver to justify the 2x price.</w:t>
      </w:r>
      <w:r w:rsidR="006F2A67">
        <w:rPr>
          <w:lang w:val="en-GB"/>
        </w:rPr>
        <w:t xml:space="preserve"> The contraint you face here is the </w:t>
      </w:r>
      <w:r w:rsidR="00C27A6F">
        <w:rPr>
          <w:lang w:val="en-GB"/>
        </w:rPr>
        <w:t>values of reservation can’t be high as it impacts overcommit.</w:t>
      </w:r>
      <w:r w:rsidR="006F2A67">
        <w:rPr>
          <w:lang w:val="en-GB"/>
        </w:rPr>
        <w:t xml:space="preserve"> </w:t>
      </w:r>
    </w:p>
    <w:p w14:paraId="3BFEC1E5" w14:textId="77777777" w:rsidR="00103E1F" w:rsidRDefault="00103E1F" w:rsidP="00103E1F">
      <w:r w:rsidRPr="00FB0CAF">
        <w:t>The preceding table is a generic guideline. As part of your planning with IT Management, you help them define and decide on each Class of Service. This planning session requires vendors input as you want to optimize cost. Use vendors discounting and licensing model to complement the plan, not dictate the plan.</w:t>
      </w:r>
    </w:p>
    <w:p w14:paraId="37613DD7" w14:textId="77777777" w:rsidR="00103E1F" w:rsidRPr="00FB0CAF" w:rsidRDefault="00103E1F" w:rsidP="00103E1F">
      <w:r>
        <w:t>Yes, it’s a balancing between ideal solution and what actually give the best bang for the buck.</w:t>
      </w:r>
    </w:p>
    <w:p w14:paraId="288E3E2B" w14:textId="77777777" w:rsidR="00103E1F" w:rsidRDefault="00103E1F" w:rsidP="00103E1F">
      <w:r w:rsidRPr="00FB0CAF">
        <w:t xml:space="preserve">At the end of the planning session, you may end up with something like this. </w:t>
      </w:r>
    </w:p>
    <w:p w14:paraId="73F3C206" w14:textId="77777777" w:rsidR="00103E1F" w:rsidRDefault="00103E1F" w:rsidP="00103E1F">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129"/>
        <w:gridCol w:w="2357"/>
        <w:gridCol w:w="1742"/>
        <w:gridCol w:w="1742"/>
      </w:tblGrid>
      <w:tr w:rsidR="00582677" w14:paraId="54F69FED" w14:textId="77777777" w:rsidTr="00281329">
        <w:tc>
          <w:tcPr>
            <w:tcW w:w="1129" w:type="dxa"/>
            <w:shd w:val="clear" w:color="auto" w:fill="F2F2F2" w:themeFill="background1" w:themeFillShade="F2"/>
            <w:vAlign w:val="center"/>
          </w:tcPr>
          <w:p w14:paraId="6967482E" w14:textId="77777777" w:rsidR="00582677" w:rsidRDefault="00582677" w:rsidP="00281329">
            <w:pPr>
              <w:pStyle w:val="Tableheading"/>
            </w:pPr>
            <w:r>
              <w:t>Tier</w:t>
            </w:r>
          </w:p>
        </w:tc>
        <w:tc>
          <w:tcPr>
            <w:tcW w:w="2357" w:type="dxa"/>
            <w:shd w:val="clear" w:color="auto" w:fill="F2F2F2" w:themeFill="background1" w:themeFillShade="F2"/>
            <w:vAlign w:val="center"/>
          </w:tcPr>
          <w:p w14:paraId="3A48EB0C" w14:textId="77777777" w:rsidR="00582677" w:rsidRDefault="00582677" w:rsidP="00281329">
            <w:pPr>
              <w:pStyle w:val="Tableheading"/>
            </w:pPr>
            <w:r>
              <w:t>Price</w:t>
            </w:r>
          </w:p>
        </w:tc>
        <w:tc>
          <w:tcPr>
            <w:tcW w:w="1742" w:type="dxa"/>
            <w:shd w:val="clear" w:color="auto" w:fill="F2F2F2" w:themeFill="background1" w:themeFillShade="F2"/>
            <w:vAlign w:val="center"/>
          </w:tcPr>
          <w:p w14:paraId="1A6DF923" w14:textId="77777777" w:rsidR="00582677" w:rsidRDefault="00582677" w:rsidP="00281329">
            <w:pPr>
              <w:pStyle w:val="Tableheading"/>
            </w:pPr>
            <w:r>
              <w:t>Compute</w:t>
            </w:r>
          </w:p>
        </w:tc>
        <w:tc>
          <w:tcPr>
            <w:tcW w:w="1742" w:type="dxa"/>
            <w:shd w:val="clear" w:color="auto" w:fill="F2F2F2" w:themeFill="background1" w:themeFillShade="F2"/>
            <w:vAlign w:val="center"/>
          </w:tcPr>
          <w:p w14:paraId="07FB7C06" w14:textId="77777777" w:rsidR="00582677" w:rsidRDefault="00582677" w:rsidP="00281329">
            <w:pPr>
              <w:pStyle w:val="Tableheading"/>
            </w:pPr>
            <w:r>
              <w:t>Storage</w:t>
            </w:r>
          </w:p>
        </w:tc>
      </w:tr>
      <w:tr w:rsidR="00582677" w14:paraId="238EC8A5" w14:textId="77777777" w:rsidTr="00281329">
        <w:tc>
          <w:tcPr>
            <w:tcW w:w="1129" w:type="dxa"/>
            <w:vAlign w:val="center"/>
          </w:tcPr>
          <w:p w14:paraId="14622549" w14:textId="77777777" w:rsidR="00582677" w:rsidRPr="00697699" w:rsidRDefault="00582677" w:rsidP="00281329">
            <w:pPr>
              <w:pStyle w:val="Tablecontent"/>
            </w:pPr>
            <w:r w:rsidRPr="00697699">
              <w:t>Gold</w:t>
            </w:r>
          </w:p>
        </w:tc>
        <w:tc>
          <w:tcPr>
            <w:tcW w:w="2357" w:type="dxa"/>
            <w:vAlign w:val="center"/>
          </w:tcPr>
          <w:p w14:paraId="143D215D" w14:textId="77777777" w:rsidR="00582677" w:rsidRPr="00697699" w:rsidRDefault="00582677" w:rsidP="00281329">
            <w:pPr>
              <w:pStyle w:val="Tablecontent"/>
            </w:pPr>
            <w:r w:rsidRPr="00697699">
              <w:t>Highest</w:t>
            </w:r>
          </w:p>
        </w:tc>
        <w:tc>
          <w:tcPr>
            <w:tcW w:w="1742" w:type="dxa"/>
            <w:vAlign w:val="center"/>
          </w:tcPr>
          <w:p w14:paraId="083596F9" w14:textId="77777777" w:rsidR="00582677" w:rsidRPr="00697699" w:rsidRDefault="00582677" w:rsidP="00281329">
            <w:pPr>
              <w:pStyle w:val="Tablecontent"/>
            </w:pPr>
            <w:r w:rsidRPr="00697699">
              <w:t>1:1</w:t>
            </w:r>
          </w:p>
        </w:tc>
        <w:tc>
          <w:tcPr>
            <w:tcW w:w="1742" w:type="dxa"/>
            <w:vAlign w:val="center"/>
          </w:tcPr>
          <w:p w14:paraId="0AED8C0D" w14:textId="77777777" w:rsidR="00582677" w:rsidRPr="00697699" w:rsidRDefault="00582677" w:rsidP="00281329">
            <w:pPr>
              <w:pStyle w:val="Tablecontent"/>
            </w:pPr>
            <w:r w:rsidRPr="00697699">
              <w:t>All Flash</w:t>
            </w:r>
          </w:p>
        </w:tc>
      </w:tr>
      <w:tr w:rsidR="00582677" w14:paraId="675A09B9" w14:textId="77777777" w:rsidTr="00281329">
        <w:tc>
          <w:tcPr>
            <w:tcW w:w="1129" w:type="dxa"/>
            <w:vAlign w:val="center"/>
          </w:tcPr>
          <w:p w14:paraId="37B41EA2" w14:textId="77777777" w:rsidR="00582677" w:rsidRPr="00697699" w:rsidRDefault="00582677" w:rsidP="00281329">
            <w:pPr>
              <w:pStyle w:val="Tablecontent"/>
            </w:pPr>
            <w:r w:rsidRPr="00697699">
              <w:t>Silver</w:t>
            </w:r>
          </w:p>
        </w:tc>
        <w:tc>
          <w:tcPr>
            <w:tcW w:w="2357" w:type="dxa"/>
            <w:vAlign w:val="center"/>
          </w:tcPr>
          <w:p w14:paraId="14080BA4" w14:textId="77777777" w:rsidR="00582677" w:rsidRPr="00697699" w:rsidRDefault="00582677" w:rsidP="00281329">
            <w:pPr>
              <w:pStyle w:val="Tablecontent"/>
            </w:pPr>
            <w:r w:rsidRPr="00697699">
              <w:t xml:space="preserve">Good </w:t>
            </w:r>
            <w:r w:rsidRPr="00697699">
              <w:br/>
              <w:t>(67% of Gold)</w:t>
            </w:r>
          </w:p>
        </w:tc>
        <w:tc>
          <w:tcPr>
            <w:tcW w:w="1742" w:type="dxa"/>
            <w:vAlign w:val="center"/>
          </w:tcPr>
          <w:p w14:paraId="13B33D71" w14:textId="77777777" w:rsidR="00582677" w:rsidRPr="00697699" w:rsidRDefault="00582677" w:rsidP="00281329">
            <w:pPr>
              <w:pStyle w:val="Tablecontent"/>
              <w:rPr>
                <w:rFonts w:ascii="Arial" w:hAnsi="Arial" w:cs="Arial"/>
                <w:sz w:val="36"/>
                <w:szCs w:val="36"/>
              </w:rPr>
            </w:pPr>
            <w:r w:rsidRPr="00697699">
              <w:t>CPU 1:3</w:t>
            </w:r>
          </w:p>
          <w:p w14:paraId="5E48C7A1" w14:textId="77777777" w:rsidR="00582677" w:rsidRPr="00697699" w:rsidRDefault="00582677" w:rsidP="00281329">
            <w:pPr>
              <w:pStyle w:val="Tablecontent"/>
            </w:pPr>
            <w:r w:rsidRPr="00697699">
              <w:t>RAM 1:</w:t>
            </w:r>
            <w:r>
              <w:t>1</w:t>
            </w:r>
          </w:p>
        </w:tc>
        <w:tc>
          <w:tcPr>
            <w:tcW w:w="1742" w:type="dxa"/>
            <w:vAlign w:val="center"/>
          </w:tcPr>
          <w:p w14:paraId="291F5271" w14:textId="77777777" w:rsidR="00582677" w:rsidRPr="00697699" w:rsidRDefault="00582677" w:rsidP="00281329">
            <w:pPr>
              <w:pStyle w:val="Tablecontent"/>
            </w:pPr>
            <w:r w:rsidRPr="00697699">
              <w:t>All Flash</w:t>
            </w:r>
          </w:p>
        </w:tc>
      </w:tr>
      <w:tr w:rsidR="00582677" w14:paraId="41BDD7F0" w14:textId="77777777" w:rsidTr="00281329">
        <w:tc>
          <w:tcPr>
            <w:tcW w:w="1129" w:type="dxa"/>
            <w:vAlign w:val="center"/>
          </w:tcPr>
          <w:p w14:paraId="0433EDEE" w14:textId="77777777" w:rsidR="00582677" w:rsidRPr="00697699" w:rsidRDefault="00582677" w:rsidP="00281329">
            <w:pPr>
              <w:pStyle w:val="Tablecontent"/>
            </w:pPr>
            <w:r w:rsidRPr="00697699">
              <w:t>Bronze</w:t>
            </w:r>
          </w:p>
        </w:tc>
        <w:tc>
          <w:tcPr>
            <w:tcW w:w="2357" w:type="dxa"/>
            <w:vAlign w:val="center"/>
          </w:tcPr>
          <w:p w14:paraId="573B7044" w14:textId="77777777" w:rsidR="00582677" w:rsidRPr="00697699" w:rsidRDefault="00582677" w:rsidP="00281329">
            <w:pPr>
              <w:pStyle w:val="Tablecontent"/>
            </w:pPr>
            <w:r w:rsidRPr="00697699">
              <w:t xml:space="preserve">Low </w:t>
            </w:r>
            <w:r w:rsidRPr="00697699">
              <w:br/>
              <w:t>(33% of Gold)</w:t>
            </w:r>
          </w:p>
        </w:tc>
        <w:tc>
          <w:tcPr>
            <w:tcW w:w="1742" w:type="dxa"/>
            <w:vAlign w:val="center"/>
          </w:tcPr>
          <w:p w14:paraId="1E4ED25F" w14:textId="77777777" w:rsidR="00582677" w:rsidRPr="00697699" w:rsidRDefault="00582677" w:rsidP="00281329">
            <w:pPr>
              <w:pStyle w:val="Tablecontent"/>
              <w:rPr>
                <w:rFonts w:ascii="Arial" w:hAnsi="Arial" w:cs="Arial"/>
                <w:sz w:val="36"/>
                <w:szCs w:val="36"/>
              </w:rPr>
            </w:pPr>
            <w:r w:rsidRPr="00697699">
              <w:t>CPU 1:6</w:t>
            </w:r>
          </w:p>
          <w:p w14:paraId="50E94F0B" w14:textId="77777777" w:rsidR="00582677" w:rsidRPr="00697699" w:rsidRDefault="00582677" w:rsidP="00281329">
            <w:pPr>
              <w:pStyle w:val="Tablecontent"/>
            </w:pPr>
            <w:r w:rsidRPr="00697699">
              <w:t>RAM 1:2</w:t>
            </w:r>
          </w:p>
        </w:tc>
        <w:tc>
          <w:tcPr>
            <w:tcW w:w="1742" w:type="dxa"/>
            <w:vAlign w:val="center"/>
          </w:tcPr>
          <w:p w14:paraId="218A2C3E" w14:textId="77777777" w:rsidR="00582677" w:rsidRPr="00697699" w:rsidRDefault="00582677" w:rsidP="00281329">
            <w:pPr>
              <w:pStyle w:val="Tablecontent"/>
            </w:pPr>
            <w:r w:rsidRPr="00697699">
              <w:t>All Flash</w:t>
            </w:r>
          </w:p>
        </w:tc>
      </w:tr>
      <w:tr w:rsidR="00582677" w14:paraId="7BFCAE11" w14:textId="77777777" w:rsidTr="00281329">
        <w:tc>
          <w:tcPr>
            <w:tcW w:w="1129" w:type="dxa"/>
            <w:vAlign w:val="center"/>
          </w:tcPr>
          <w:p w14:paraId="2B11E0F0" w14:textId="77777777" w:rsidR="00582677" w:rsidRPr="00697699" w:rsidRDefault="00582677" w:rsidP="00281329">
            <w:pPr>
              <w:pStyle w:val="Tablecontent"/>
            </w:pPr>
            <w:r w:rsidRPr="00697699">
              <w:t>Free</w:t>
            </w:r>
          </w:p>
        </w:tc>
        <w:tc>
          <w:tcPr>
            <w:tcW w:w="2357" w:type="dxa"/>
            <w:vAlign w:val="center"/>
          </w:tcPr>
          <w:p w14:paraId="67EF2D5A" w14:textId="77777777" w:rsidR="00582677" w:rsidRPr="00697699" w:rsidRDefault="00582677" w:rsidP="00281329">
            <w:pPr>
              <w:pStyle w:val="Tablecontent"/>
            </w:pPr>
            <w:r w:rsidRPr="00697699">
              <w:t>Free</w:t>
            </w:r>
          </w:p>
        </w:tc>
        <w:tc>
          <w:tcPr>
            <w:tcW w:w="1742" w:type="dxa"/>
            <w:vAlign w:val="center"/>
          </w:tcPr>
          <w:p w14:paraId="5DABD18D" w14:textId="77777777" w:rsidR="00582677" w:rsidRPr="00697699" w:rsidRDefault="00582677" w:rsidP="00281329">
            <w:pPr>
              <w:pStyle w:val="Tablecontent"/>
            </w:pPr>
            <w:r w:rsidRPr="00697699">
              <w:t>N/A</w:t>
            </w:r>
          </w:p>
        </w:tc>
        <w:tc>
          <w:tcPr>
            <w:tcW w:w="1742" w:type="dxa"/>
            <w:vAlign w:val="center"/>
          </w:tcPr>
          <w:p w14:paraId="2392F1BB" w14:textId="77777777" w:rsidR="00582677" w:rsidRPr="00697699" w:rsidRDefault="00582677" w:rsidP="00281329">
            <w:pPr>
              <w:pStyle w:val="Tablecontent"/>
            </w:pPr>
            <w:r w:rsidRPr="00697699">
              <w:t>Magnetic</w:t>
            </w:r>
          </w:p>
        </w:tc>
      </w:tr>
    </w:tbl>
    <w:p w14:paraId="27AEBA5D" w14:textId="77777777" w:rsidR="00103E1F" w:rsidRPr="00FB0CAF" w:rsidRDefault="00103E1F" w:rsidP="00103E1F">
      <w:pPr>
        <w:pStyle w:val="BeforeTable"/>
      </w:pPr>
    </w:p>
    <w:p w14:paraId="577D85BB" w14:textId="77777777" w:rsidR="00103E1F" w:rsidRDefault="00103E1F" w:rsidP="00103E1F">
      <w:pPr>
        <w:rPr>
          <w:lang w:val="en-US"/>
        </w:rPr>
      </w:pPr>
      <w:r>
        <w:rPr>
          <w:lang w:val="en-US"/>
        </w:rPr>
        <w:t>For Silver and Bronze, t</w:t>
      </w:r>
      <w:r w:rsidRPr="002040BD">
        <w:rPr>
          <w:lang w:val="en-US"/>
        </w:rPr>
        <w:t xml:space="preserve">o maximize consumption of hardware, </w:t>
      </w:r>
      <w:r>
        <w:rPr>
          <w:lang w:val="en-US"/>
        </w:rPr>
        <w:t xml:space="preserve">you </w:t>
      </w:r>
      <w:r w:rsidRPr="002040BD">
        <w:rPr>
          <w:lang w:val="en-US"/>
        </w:rPr>
        <w:t xml:space="preserve">base on </w:t>
      </w:r>
      <w:r>
        <w:rPr>
          <w:lang w:val="en-US"/>
        </w:rPr>
        <w:t xml:space="preserve">average ratio of </w:t>
      </w:r>
      <w:r w:rsidRPr="002040BD">
        <w:rPr>
          <w:lang w:val="en-US"/>
        </w:rPr>
        <w:t xml:space="preserve">1 vCPU </w:t>
      </w:r>
      <w:r>
        <w:rPr>
          <w:lang w:val="en-US"/>
        </w:rPr>
        <w:t xml:space="preserve">to </w:t>
      </w:r>
      <w:r w:rsidRPr="002040BD">
        <w:rPr>
          <w:lang w:val="en-US"/>
        </w:rPr>
        <w:t>4 GB RAM</w:t>
      </w:r>
      <w:r>
        <w:rPr>
          <w:lang w:val="en-US"/>
        </w:rPr>
        <w:t>. This is a common ratio. If you want to tailor, use vRealize Operations to give you the actual ratio.</w:t>
      </w:r>
    </w:p>
    <w:p w14:paraId="058049F4" w14:textId="77777777" w:rsidR="00103E1F" w:rsidRDefault="00103E1F" w:rsidP="00103E1F">
      <w:pPr>
        <w:rPr>
          <w:lang w:val="en-US"/>
        </w:rPr>
      </w:pPr>
      <w:r>
        <w:rPr>
          <w:lang w:val="en-US"/>
        </w:rPr>
        <w:t>For Silver, you decide on 3:1 CPU overcommit and no RAM overcommit. Based on 1 vCPU 4 GB RAM, you need to buy 12 GB RAM for each physical core. Buying 64 core maximizes your vSphere license. That means you need 64 x 12 = 768 GB of RAM. If you run vSAN and NSX, you need to add accordingly.</w:t>
      </w:r>
    </w:p>
    <w:p w14:paraId="25A1C226" w14:textId="77777777" w:rsidR="00103E1F" w:rsidRDefault="00103E1F" w:rsidP="00103E1F">
      <w:pPr>
        <w:rPr>
          <w:lang w:val="en-US"/>
        </w:rPr>
      </w:pPr>
      <w:r>
        <w:rPr>
          <w:lang w:val="en-US"/>
        </w:rPr>
        <w:t>The 3:1 overcommit enables you to lower the price by 3x for CPU portion. If you do 50/50 split between CPU and RAM, the overall price is 67% of Gold, yielding a 33% discount.</w:t>
      </w:r>
    </w:p>
    <w:p w14:paraId="49A20199" w14:textId="77777777" w:rsidR="00103E1F" w:rsidRDefault="00103E1F" w:rsidP="00103E1F">
      <w:pPr>
        <w:rPr>
          <w:lang w:val="en-US"/>
        </w:rPr>
      </w:pPr>
      <w:r>
        <w:rPr>
          <w:lang w:val="en-US"/>
        </w:rPr>
        <w:t>For 33% discount, what’s a reasonable performance penalty? What’s acceptable to both your CIO and application team?</w:t>
      </w:r>
    </w:p>
    <w:p w14:paraId="67242398" w14:textId="77777777" w:rsidR="00103E1F" w:rsidRDefault="00103E1F" w:rsidP="00103E1F">
      <w:r>
        <w:t xml:space="preserve">CIO also decided that free tier is not offered as that’s not the business you want to be in. </w:t>
      </w:r>
    </w:p>
    <w:p w14:paraId="70767653" w14:textId="77777777" w:rsidR="00103E1F" w:rsidRDefault="00103E1F" w:rsidP="00103E1F">
      <w:r>
        <w:rPr>
          <w:lang w:val="en-US"/>
        </w:rPr>
        <w:t>As you can see, t</w:t>
      </w:r>
      <w:r w:rsidRPr="003B3BC1">
        <w:rPr>
          <w:lang w:val="en-US"/>
        </w:rPr>
        <w:t>he hardware spec is driven by the business model. Decide on the overcommit &amp; price first.</w:t>
      </w:r>
    </w:p>
    <w:p w14:paraId="0712DFA2" w14:textId="77777777" w:rsidR="00103E1F" w:rsidRPr="00FB0CAF" w:rsidRDefault="00103E1F" w:rsidP="00103E1F">
      <w:r w:rsidRPr="00FB0CAF">
        <w:lastRenderedPageBreak/>
        <w:t xml:space="preserve">If you want your customers to right size in advance, then a 64 vCPU VM needs to be </w:t>
      </w:r>
      <w:r w:rsidRPr="00F430BE">
        <w:rPr>
          <w:i/>
          <w:iCs/>
          <w:color w:val="00B0F0"/>
        </w:rPr>
        <w:t>more</w:t>
      </w:r>
      <w:r w:rsidRPr="00F430BE">
        <w:rPr>
          <w:color w:val="00B0F0"/>
        </w:rPr>
        <w:t xml:space="preserve"> </w:t>
      </w:r>
      <w:r w:rsidRPr="00FB0CAF">
        <w:t xml:space="preserve">than 64x the price of 1 vCPU VM. If the pricing model is a simple straight line, there is no incentive to go small and no penalty to over provision. You will end up forcing rightsizing in production, which is a costly and time-consuming process. </w:t>
      </w:r>
    </w:p>
    <w:p w14:paraId="7A19FD8D" w14:textId="77777777" w:rsidR="00103E1F" w:rsidRPr="00FB0CAF" w:rsidRDefault="00103E1F" w:rsidP="00103E1F">
      <w:r w:rsidRPr="00FB0CAF">
        <w:t xml:space="preserve">Refer to </w:t>
      </w:r>
      <w:hyperlink w:anchor="_Cost_Management" w:history="1">
        <w:r w:rsidRPr="00FB0CAF">
          <w:rPr>
            <w:rStyle w:val="Hyperlink"/>
          </w:rPr>
          <w:t>Cost Management</w:t>
        </w:r>
      </w:hyperlink>
      <w:r w:rsidRPr="00FB0CAF">
        <w:t xml:space="preserve"> for pricing example as Cost and Price go hand in hand. </w:t>
      </w:r>
    </w:p>
    <w:p w14:paraId="5220F0CC" w14:textId="77777777" w:rsidR="00103E1F" w:rsidRDefault="00103E1F" w:rsidP="00103E1F">
      <w:r w:rsidRPr="00FB0CAF">
        <w:t xml:space="preserve">Because you overcommit, you run the risk of contention. To minimize it, one way is to control the size of the VM. You want to avoid monster VMs dominating your overcommitted ESXi host. The following table provides an example of the size limit you associate with each class of service. </w:t>
      </w:r>
    </w:p>
    <w:p w14:paraId="54C2B593" w14:textId="77777777" w:rsidR="00103E1F" w:rsidRPr="00C17739" w:rsidRDefault="00103E1F" w:rsidP="00103E1F">
      <w:pPr>
        <w:jc w:val="center"/>
      </w:pPr>
      <w:r w:rsidRPr="00090858">
        <w:rPr>
          <w:noProof/>
        </w:rPr>
        <w:drawing>
          <wp:inline distT="0" distB="0" distL="0" distR="0" wp14:anchorId="2AD9EAB7" wp14:editId="050E3B96">
            <wp:extent cx="3711600" cy="2307600"/>
            <wp:effectExtent l="0" t="0" r="3175" b="0"/>
            <wp:docPr id="534447509" name="Picture 53444750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09" name="Picture 534447509" descr="Table&#10;&#10;Description automatically generated"/>
                    <pic:cNvPicPr/>
                  </pic:nvPicPr>
                  <pic:blipFill>
                    <a:blip r:embed="rId78"/>
                    <a:stretch>
                      <a:fillRect/>
                    </a:stretch>
                  </pic:blipFill>
                  <pic:spPr>
                    <a:xfrm>
                      <a:off x="0" y="0"/>
                      <a:ext cx="3711600" cy="2307600"/>
                    </a:xfrm>
                    <a:prstGeom prst="rect">
                      <a:avLst/>
                    </a:prstGeom>
                  </pic:spPr>
                </pic:pic>
              </a:graphicData>
            </a:graphic>
          </wp:inline>
        </w:drawing>
      </w:r>
    </w:p>
    <w:p w14:paraId="4CBC9EB8" w14:textId="77777777" w:rsidR="00103E1F" w:rsidRPr="00090858" w:rsidRDefault="00103E1F" w:rsidP="00103E1F">
      <w:r w:rsidRPr="00090858">
        <w:t>Capping the size at each tier is a good way to prevent monster VM from causing performance problem in environment with higher overcommit ratio.</w:t>
      </w:r>
    </w:p>
    <w:p w14:paraId="7B21DC45" w14:textId="77777777" w:rsidR="00103E1F" w:rsidRPr="00090858" w:rsidRDefault="00103E1F" w:rsidP="00103E1F">
      <w:r w:rsidRPr="00090858">
        <w:t>If you allow a single VM to be the same size with the ESXi, you practically can’t do overcommit if you want good performance.</w:t>
      </w:r>
    </w:p>
    <w:p w14:paraId="5D0C44B1" w14:textId="77777777" w:rsidR="00103E1F" w:rsidRDefault="00103E1F" w:rsidP="00103E1F">
      <w:r w:rsidRPr="00090858">
        <w:t>Free Tier may also be limited further by capping the number of free VM per customer, else you’d go bankrupt.</w:t>
      </w:r>
    </w:p>
    <w:p w14:paraId="3AB41D6E" w14:textId="77777777" w:rsidR="00103E1F" w:rsidRPr="00C17739" w:rsidRDefault="00103E1F" w:rsidP="00103E1F">
      <w:r w:rsidRPr="00C17739">
        <w:t xml:space="preserve">For comparison, </w:t>
      </w:r>
      <w:hyperlink r:id="rId79" w:history="1">
        <w:r w:rsidRPr="001F323E">
          <w:rPr>
            <w:rStyle w:val="Hyperlink"/>
            <w:lang w:val="en-US"/>
          </w:rPr>
          <w:t>AWS free tier</w:t>
        </w:r>
      </w:hyperlink>
      <w:r w:rsidRPr="00C17739">
        <w:rPr>
          <w:lang w:val="en-US"/>
        </w:rPr>
        <w:t xml:space="preserve"> for EC2 VM is only </w:t>
      </w:r>
      <w:r>
        <w:rPr>
          <w:lang w:val="en-US"/>
        </w:rPr>
        <w:t>1-2</w:t>
      </w:r>
      <w:r w:rsidRPr="00C17739">
        <w:rPr>
          <w:lang w:val="en-US"/>
        </w:rPr>
        <w:t xml:space="preserve"> vCPU, 1 GB RAM</w:t>
      </w:r>
      <w:r>
        <w:rPr>
          <w:lang w:val="en-US"/>
        </w:rPr>
        <w:t xml:space="preserve"> as it’s based on t2.micro and t3.micro.</w:t>
      </w:r>
    </w:p>
    <w:p w14:paraId="53EEDA42" w14:textId="4D487316" w:rsidR="000C6823" w:rsidRDefault="00652427" w:rsidP="004B77ED">
      <w:pPr>
        <w:pStyle w:val="Heading6"/>
      </w:pPr>
      <w:r>
        <w:t>Service</w:t>
      </w:r>
    </w:p>
    <w:p w14:paraId="033B4742" w14:textId="0B11F800" w:rsidR="001F2EE8" w:rsidRDefault="00210696" w:rsidP="009C1D09">
      <w:pPr>
        <w:rPr>
          <w:lang w:val="en-GB"/>
        </w:rPr>
      </w:pPr>
      <w:r>
        <w:rPr>
          <w:lang w:val="en-GB"/>
        </w:rPr>
        <w:t>Beside the hard product, soft</w:t>
      </w:r>
      <w:r w:rsidR="006A63E0">
        <w:rPr>
          <w:lang w:val="en-GB"/>
        </w:rPr>
        <w:t xml:space="preserve"> products play a critical role that further differentiates Gold from Silver</w:t>
      </w:r>
      <w:r w:rsidR="00DE28AD">
        <w:rPr>
          <w:lang w:val="en-GB"/>
        </w:rPr>
        <w:t>. Support</w:t>
      </w:r>
      <w:r w:rsidR="00652427">
        <w:rPr>
          <w:lang w:val="en-GB"/>
        </w:rPr>
        <w:t>, both reactive and proactive,</w:t>
      </w:r>
      <w:r w:rsidR="00591E47">
        <w:rPr>
          <w:lang w:val="en-GB"/>
        </w:rPr>
        <w:t xml:space="preserve"> is one major area where different class of service can show the value of </w:t>
      </w:r>
      <w:r w:rsidR="003C4859">
        <w:rPr>
          <w:lang w:val="en-GB"/>
        </w:rPr>
        <w:t>higher tier</w:t>
      </w:r>
      <w:r w:rsidR="00591E47">
        <w:rPr>
          <w:lang w:val="en-GB"/>
        </w:rPr>
        <w:t>.</w:t>
      </w:r>
    </w:p>
    <w:p w14:paraId="20D33E3E" w14:textId="77777777" w:rsidR="006A63E0" w:rsidRPr="000B6D75" w:rsidRDefault="006A63E0" w:rsidP="006A63E0">
      <w:pPr>
        <w:pStyle w:val="BeforeTable"/>
        <w:rPr>
          <w:lang w:val="en-GB"/>
        </w:rPr>
      </w:pPr>
    </w:p>
    <w:tbl>
      <w:tblPr>
        <w:tblStyle w:val="TableGrid"/>
        <w:tblW w:w="0" w:type="auto"/>
        <w:tblBorders>
          <w:top w:val="none" w:sz="0" w:space="0" w:color="auto"/>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55"/>
        <w:gridCol w:w="1665"/>
        <w:gridCol w:w="1665"/>
        <w:gridCol w:w="4971"/>
      </w:tblGrid>
      <w:tr w:rsidR="006A63E0" w14:paraId="469044CA" w14:textId="77777777" w:rsidTr="00E440AB">
        <w:tc>
          <w:tcPr>
            <w:tcW w:w="2155" w:type="dxa"/>
            <w:shd w:val="clear" w:color="auto" w:fill="F2F2F2" w:themeFill="background1" w:themeFillShade="F2"/>
          </w:tcPr>
          <w:p w14:paraId="63079D66" w14:textId="77777777" w:rsidR="006A63E0" w:rsidRDefault="006A63E0" w:rsidP="00E440AB">
            <w:pPr>
              <w:pStyle w:val="Tableheading"/>
            </w:pPr>
          </w:p>
        </w:tc>
        <w:tc>
          <w:tcPr>
            <w:tcW w:w="1665" w:type="dxa"/>
            <w:shd w:val="clear" w:color="auto" w:fill="F2F2F2" w:themeFill="background1" w:themeFillShade="F2"/>
          </w:tcPr>
          <w:p w14:paraId="362E39D5" w14:textId="77777777" w:rsidR="006A63E0" w:rsidRDefault="006A63E0" w:rsidP="00E440AB">
            <w:pPr>
              <w:pStyle w:val="Tableheading"/>
            </w:pPr>
            <w:r>
              <w:t>Gold</w:t>
            </w:r>
          </w:p>
        </w:tc>
        <w:tc>
          <w:tcPr>
            <w:tcW w:w="1665" w:type="dxa"/>
            <w:shd w:val="clear" w:color="auto" w:fill="F2F2F2" w:themeFill="background1" w:themeFillShade="F2"/>
          </w:tcPr>
          <w:p w14:paraId="266D69CF" w14:textId="77777777" w:rsidR="006A63E0" w:rsidRDefault="006A63E0" w:rsidP="00E440AB">
            <w:pPr>
              <w:pStyle w:val="Tableheading"/>
            </w:pPr>
            <w:r>
              <w:t>Silver</w:t>
            </w:r>
          </w:p>
        </w:tc>
        <w:tc>
          <w:tcPr>
            <w:tcW w:w="4971" w:type="dxa"/>
            <w:shd w:val="clear" w:color="auto" w:fill="F2F2F2" w:themeFill="background1" w:themeFillShade="F2"/>
          </w:tcPr>
          <w:p w14:paraId="4E810456" w14:textId="77777777" w:rsidR="006A63E0" w:rsidRDefault="006A63E0" w:rsidP="00E440AB">
            <w:pPr>
              <w:pStyle w:val="Tableheading"/>
            </w:pPr>
            <w:r>
              <w:t>Description</w:t>
            </w:r>
          </w:p>
        </w:tc>
      </w:tr>
      <w:tr w:rsidR="006A63E0" w14:paraId="2739A4D8" w14:textId="77777777" w:rsidTr="00E440AB">
        <w:tc>
          <w:tcPr>
            <w:tcW w:w="2155" w:type="dxa"/>
          </w:tcPr>
          <w:p w14:paraId="27ABC24A" w14:textId="66B25216" w:rsidR="006A63E0" w:rsidRDefault="00A71A8A" w:rsidP="00E440AB">
            <w:pPr>
              <w:pStyle w:val="Tablecontent"/>
            </w:pPr>
            <w:r>
              <w:t>Response Time</w:t>
            </w:r>
          </w:p>
        </w:tc>
        <w:tc>
          <w:tcPr>
            <w:tcW w:w="1665" w:type="dxa"/>
          </w:tcPr>
          <w:p w14:paraId="0349609C" w14:textId="738EE4FB" w:rsidR="006A63E0" w:rsidRDefault="003E119E" w:rsidP="00E440AB">
            <w:pPr>
              <w:pStyle w:val="Tablecontent"/>
              <w:jc w:val="center"/>
            </w:pPr>
            <w:r>
              <w:t>2 hours</w:t>
            </w:r>
          </w:p>
        </w:tc>
        <w:tc>
          <w:tcPr>
            <w:tcW w:w="1665" w:type="dxa"/>
          </w:tcPr>
          <w:p w14:paraId="310BFE57" w14:textId="1D308AFF" w:rsidR="006A63E0" w:rsidRDefault="003E119E" w:rsidP="00E440AB">
            <w:pPr>
              <w:pStyle w:val="Tablecontent"/>
              <w:jc w:val="center"/>
            </w:pPr>
            <w:r>
              <w:t>4 hours</w:t>
            </w:r>
          </w:p>
        </w:tc>
        <w:tc>
          <w:tcPr>
            <w:tcW w:w="4971" w:type="dxa"/>
          </w:tcPr>
          <w:p w14:paraId="342915E4" w14:textId="2DAA0F71" w:rsidR="006A63E0" w:rsidRDefault="003E119E" w:rsidP="00E440AB">
            <w:pPr>
              <w:pStyle w:val="Tablecontent"/>
            </w:pPr>
            <w:r>
              <w:t>Gold has 2x</w:t>
            </w:r>
            <w:r w:rsidR="001B0426">
              <w:t xml:space="preserve"> faster response time</w:t>
            </w:r>
          </w:p>
        </w:tc>
      </w:tr>
      <w:tr w:rsidR="004D3F51" w14:paraId="26788D4E" w14:textId="77777777" w:rsidTr="00E440AB">
        <w:tc>
          <w:tcPr>
            <w:tcW w:w="2155" w:type="dxa"/>
          </w:tcPr>
          <w:p w14:paraId="44B45A77" w14:textId="7012ED3A" w:rsidR="004D3F51" w:rsidRDefault="004D3F51" w:rsidP="00E440AB">
            <w:pPr>
              <w:pStyle w:val="Tablecontent"/>
            </w:pPr>
            <w:r>
              <w:t>Support Hours</w:t>
            </w:r>
          </w:p>
        </w:tc>
        <w:tc>
          <w:tcPr>
            <w:tcW w:w="1665" w:type="dxa"/>
          </w:tcPr>
          <w:p w14:paraId="55FF5FB8" w14:textId="7EC38CE9" w:rsidR="004D3F51" w:rsidRDefault="004D3F51" w:rsidP="00E440AB">
            <w:pPr>
              <w:pStyle w:val="Tablecontent"/>
              <w:jc w:val="center"/>
            </w:pPr>
            <w:r>
              <w:t>24 x 7</w:t>
            </w:r>
          </w:p>
        </w:tc>
        <w:tc>
          <w:tcPr>
            <w:tcW w:w="1665" w:type="dxa"/>
          </w:tcPr>
          <w:p w14:paraId="4108038A" w14:textId="0170BEFB" w:rsidR="004D3F51" w:rsidRDefault="003E119E" w:rsidP="00E440AB">
            <w:pPr>
              <w:pStyle w:val="Tablecontent"/>
              <w:jc w:val="center"/>
            </w:pPr>
            <w:r>
              <w:t>12 x 7</w:t>
            </w:r>
          </w:p>
        </w:tc>
        <w:tc>
          <w:tcPr>
            <w:tcW w:w="4971" w:type="dxa"/>
          </w:tcPr>
          <w:p w14:paraId="6B7C9BF9" w14:textId="7D0FCEBF" w:rsidR="004D3F51" w:rsidRDefault="003E119E" w:rsidP="00E440AB">
            <w:pPr>
              <w:pStyle w:val="Tablecontent"/>
            </w:pPr>
            <w:r>
              <w:t>Gold has 2x support hours</w:t>
            </w:r>
          </w:p>
        </w:tc>
      </w:tr>
      <w:tr w:rsidR="001B0426" w14:paraId="3F6E1B20" w14:textId="77777777" w:rsidTr="00E440AB">
        <w:tc>
          <w:tcPr>
            <w:tcW w:w="2155" w:type="dxa"/>
          </w:tcPr>
          <w:p w14:paraId="7F190C7D" w14:textId="64BE74D7" w:rsidR="001B0426" w:rsidRDefault="001B0426" w:rsidP="00E440AB">
            <w:pPr>
              <w:pStyle w:val="Tablecontent"/>
            </w:pPr>
            <w:r>
              <w:t>Support Process</w:t>
            </w:r>
          </w:p>
        </w:tc>
        <w:tc>
          <w:tcPr>
            <w:tcW w:w="1665" w:type="dxa"/>
          </w:tcPr>
          <w:p w14:paraId="7F0122A0" w14:textId="3333730E" w:rsidR="001B0426" w:rsidRDefault="001B0426" w:rsidP="00E440AB">
            <w:pPr>
              <w:pStyle w:val="Tablecontent"/>
              <w:jc w:val="center"/>
            </w:pPr>
            <w:r>
              <w:t>Level 2</w:t>
            </w:r>
          </w:p>
        </w:tc>
        <w:tc>
          <w:tcPr>
            <w:tcW w:w="1665" w:type="dxa"/>
          </w:tcPr>
          <w:p w14:paraId="699A40D8" w14:textId="0C3981E1" w:rsidR="001B0426" w:rsidRDefault="001B0426" w:rsidP="00E440AB">
            <w:pPr>
              <w:pStyle w:val="Tablecontent"/>
              <w:jc w:val="center"/>
            </w:pPr>
            <w:r>
              <w:t>Level 1</w:t>
            </w:r>
          </w:p>
        </w:tc>
        <w:tc>
          <w:tcPr>
            <w:tcW w:w="4971" w:type="dxa"/>
          </w:tcPr>
          <w:p w14:paraId="5DB68DE3" w14:textId="3243D14C" w:rsidR="001B0426" w:rsidRDefault="001B0426" w:rsidP="00E440AB">
            <w:pPr>
              <w:pStyle w:val="Tablecontent"/>
            </w:pPr>
            <w:r>
              <w:t>Gold bypass the first level help desk.</w:t>
            </w:r>
          </w:p>
        </w:tc>
      </w:tr>
      <w:tr w:rsidR="006A63E0" w14:paraId="6C390857" w14:textId="77777777" w:rsidTr="00E440AB">
        <w:tc>
          <w:tcPr>
            <w:tcW w:w="2155" w:type="dxa"/>
            <w:vAlign w:val="center"/>
          </w:tcPr>
          <w:p w14:paraId="6975C437" w14:textId="72055161" w:rsidR="006A63E0" w:rsidRDefault="00A71A8A" w:rsidP="00E440AB">
            <w:pPr>
              <w:pStyle w:val="Tablecontent"/>
            </w:pPr>
            <w:r>
              <w:t>Root Cause Analysis</w:t>
            </w:r>
          </w:p>
        </w:tc>
        <w:tc>
          <w:tcPr>
            <w:tcW w:w="1665" w:type="dxa"/>
            <w:vAlign w:val="center"/>
          </w:tcPr>
          <w:p w14:paraId="65F55256" w14:textId="0B4A68F0" w:rsidR="006A63E0" w:rsidRDefault="00A71A8A" w:rsidP="00E440AB">
            <w:pPr>
              <w:pStyle w:val="Tablecontent"/>
              <w:jc w:val="center"/>
            </w:pPr>
            <w:r>
              <w:t>Provided</w:t>
            </w:r>
          </w:p>
        </w:tc>
        <w:tc>
          <w:tcPr>
            <w:tcW w:w="1665" w:type="dxa"/>
            <w:vAlign w:val="center"/>
          </w:tcPr>
          <w:p w14:paraId="0F649DB6" w14:textId="6CEEFBB5" w:rsidR="006A63E0" w:rsidRDefault="00317167" w:rsidP="00E440AB">
            <w:pPr>
              <w:pStyle w:val="Tablecontent"/>
              <w:jc w:val="center"/>
            </w:pPr>
            <w:r>
              <w:t>Additional Charge</w:t>
            </w:r>
          </w:p>
        </w:tc>
        <w:tc>
          <w:tcPr>
            <w:tcW w:w="4971" w:type="dxa"/>
          </w:tcPr>
          <w:p w14:paraId="22031B3F" w14:textId="79369E8E" w:rsidR="006A63E0" w:rsidRDefault="00F0487B" w:rsidP="00E440AB">
            <w:pPr>
              <w:pStyle w:val="Tablecontent"/>
            </w:pPr>
            <w:r>
              <w:t xml:space="preserve">The RCA includes setting alert </w:t>
            </w:r>
            <w:r w:rsidR="00A24D9C">
              <w:t>to ensure the same incident is identified immediately.</w:t>
            </w:r>
          </w:p>
        </w:tc>
      </w:tr>
      <w:tr w:rsidR="003B040D" w14:paraId="50119B13" w14:textId="77777777" w:rsidTr="00E440AB">
        <w:tc>
          <w:tcPr>
            <w:tcW w:w="2155" w:type="dxa"/>
            <w:vAlign w:val="center"/>
          </w:tcPr>
          <w:p w14:paraId="08529C71" w14:textId="2DFEB78E" w:rsidR="003B040D" w:rsidRDefault="003B040D" w:rsidP="00E440AB">
            <w:pPr>
              <w:pStyle w:val="Tablecontent"/>
            </w:pPr>
            <w:r>
              <w:t>Proactive Support</w:t>
            </w:r>
          </w:p>
        </w:tc>
        <w:tc>
          <w:tcPr>
            <w:tcW w:w="1665" w:type="dxa"/>
            <w:vAlign w:val="center"/>
          </w:tcPr>
          <w:p w14:paraId="64485FD5" w14:textId="539C287F" w:rsidR="003B040D" w:rsidRDefault="00561E96" w:rsidP="00E440AB">
            <w:pPr>
              <w:pStyle w:val="Tablecontent"/>
              <w:jc w:val="center"/>
            </w:pPr>
            <w:r>
              <w:t>Daily</w:t>
            </w:r>
          </w:p>
        </w:tc>
        <w:tc>
          <w:tcPr>
            <w:tcW w:w="1665" w:type="dxa"/>
            <w:vAlign w:val="center"/>
          </w:tcPr>
          <w:p w14:paraId="479164D7" w14:textId="45E72799" w:rsidR="003B040D" w:rsidRDefault="00561E96" w:rsidP="00E440AB">
            <w:pPr>
              <w:pStyle w:val="Tablecontent"/>
              <w:jc w:val="center"/>
            </w:pPr>
            <w:r>
              <w:t>None</w:t>
            </w:r>
          </w:p>
        </w:tc>
        <w:tc>
          <w:tcPr>
            <w:tcW w:w="4971" w:type="dxa"/>
          </w:tcPr>
          <w:p w14:paraId="2FD66C9D" w14:textId="6B399F2E" w:rsidR="003B040D" w:rsidRDefault="004D540A" w:rsidP="00E440AB">
            <w:pPr>
              <w:pStyle w:val="Tablecontent"/>
            </w:pPr>
            <w:r>
              <w:t>Gold VM gets daily health check (KPI and alerts)</w:t>
            </w:r>
            <w:r w:rsidR="003C4859">
              <w:t>.</w:t>
            </w:r>
          </w:p>
        </w:tc>
      </w:tr>
      <w:tr w:rsidR="00DE18B0" w14:paraId="65F19F7A" w14:textId="77777777" w:rsidTr="00E440AB">
        <w:tc>
          <w:tcPr>
            <w:tcW w:w="2155" w:type="dxa"/>
            <w:vAlign w:val="center"/>
          </w:tcPr>
          <w:p w14:paraId="6F16FD4E" w14:textId="45FC39AB" w:rsidR="00DE18B0" w:rsidRDefault="00DE18B0" w:rsidP="00E440AB">
            <w:pPr>
              <w:pStyle w:val="Tablecontent"/>
            </w:pPr>
            <w:r>
              <w:t>NOC Dashboard</w:t>
            </w:r>
          </w:p>
        </w:tc>
        <w:tc>
          <w:tcPr>
            <w:tcW w:w="1665" w:type="dxa"/>
            <w:vAlign w:val="center"/>
          </w:tcPr>
          <w:p w14:paraId="6000836F" w14:textId="190C1596" w:rsidR="00DE18B0" w:rsidRDefault="00DE18B0" w:rsidP="00E440AB">
            <w:pPr>
              <w:pStyle w:val="Tablecontent"/>
              <w:jc w:val="center"/>
            </w:pPr>
            <w:r>
              <w:t>Yes</w:t>
            </w:r>
          </w:p>
        </w:tc>
        <w:tc>
          <w:tcPr>
            <w:tcW w:w="1665" w:type="dxa"/>
            <w:vAlign w:val="center"/>
          </w:tcPr>
          <w:p w14:paraId="0EBF1AF6" w14:textId="266CE2B7" w:rsidR="00DE18B0" w:rsidRDefault="00DE18B0" w:rsidP="00E440AB">
            <w:pPr>
              <w:pStyle w:val="Tablecontent"/>
              <w:jc w:val="center"/>
            </w:pPr>
            <w:r>
              <w:t>No</w:t>
            </w:r>
          </w:p>
        </w:tc>
        <w:tc>
          <w:tcPr>
            <w:tcW w:w="4971" w:type="dxa"/>
          </w:tcPr>
          <w:p w14:paraId="5479F67B" w14:textId="3DC516B6" w:rsidR="00DE18B0" w:rsidRDefault="00DE18B0" w:rsidP="00E440AB">
            <w:pPr>
              <w:pStyle w:val="Tablecontent"/>
            </w:pPr>
            <w:r>
              <w:t>Silver VM is not included in our live dashboard</w:t>
            </w:r>
            <w:r w:rsidR="00691188">
              <w:t>. Reason is the need to focus on the Gold VM</w:t>
            </w:r>
          </w:p>
        </w:tc>
      </w:tr>
      <w:tr w:rsidR="00973272" w14:paraId="5E86CB4C" w14:textId="77777777" w:rsidTr="00E440AB">
        <w:tc>
          <w:tcPr>
            <w:tcW w:w="2155" w:type="dxa"/>
            <w:vAlign w:val="center"/>
          </w:tcPr>
          <w:p w14:paraId="6745F8D9" w14:textId="5BB6CD0B" w:rsidR="00973272" w:rsidRDefault="00F51246" w:rsidP="00E440AB">
            <w:pPr>
              <w:pStyle w:val="Tablecontent"/>
            </w:pPr>
            <w:r>
              <w:t>Report</w:t>
            </w:r>
          </w:p>
        </w:tc>
        <w:tc>
          <w:tcPr>
            <w:tcW w:w="1665" w:type="dxa"/>
            <w:vAlign w:val="center"/>
          </w:tcPr>
          <w:p w14:paraId="02688536" w14:textId="3C9A743A" w:rsidR="00973272" w:rsidRDefault="00F51246" w:rsidP="00E440AB">
            <w:pPr>
              <w:pStyle w:val="Tablecontent"/>
              <w:jc w:val="center"/>
            </w:pPr>
            <w:r>
              <w:t>Weekly</w:t>
            </w:r>
          </w:p>
        </w:tc>
        <w:tc>
          <w:tcPr>
            <w:tcW w:w="1665" w:type="dxa"/>
            <w:vAlign w:val="center"/>
          </w:tcPr>
          <w:p w14:paraId="7ECB1D10" w14:textId="3FFBF32F" w:rsidR="00973272" w:rsidRDefault="00F51246" w:rsidP="00E440AB">
            <w:pPr>
              <w:pStyle w:val="Tablecontent"/>
              <w:jc w:val="center"/>
            </w:pPr>
            <w:r>
              <w:t>Monthly</w:t>
            </w:r>
          </w:p>
        </w:tc>
        <w:tc>
          <w:tcPr>
            <w:tcW w:w="4971" w:type="dxa"/>
          </w:tcPr>
          <w:p w14:paraId="5126F4B6" w14:textId="69EF0350" w:rsidR="00973272" w:rsidRDefault="00A24D9C" w:rsidP="00E440AB">
            <w:pPr>
              <w:pStyle w:val="Tablecontent"/>
            </w:pPr>
            <w:r>
              <w:t>Gold has more details report.</w:t>
            </w:r>
          </w:p>
        </w:tc>
      </w:tr>
      <w:tr w:rsidR="00E82F82" w14:paraId="0167DB54" w14:textId="77777777" w:rsidTr="00E440AB">
        <w:tc>
          <w:tcPr>
            <w:tcW w:w="2155" w:type="dxa"/>
            <w:vAlign w:val="center"/>
          </w:tcPr>
          <w:p w14:paraId="72774C3C" w14:textId="47224482" w:rsidR="00E82F82" w:rsidRDefault="00E82F82" w:rsidP="00E440AB">
            <w:pPr>
              <w:pStyle w:val="Tablecontent"/>
            </w:pPr>
            <w:r>
              <w:lastRenderedPageBreak/>
              <w:t>Business Review</w:t>
            </w:r>
          </w:p>
        </w:tc>
        <w:tc>
          <w:tcPr>
            <w:tcW w:w="1665" w:type="dxa"/>
            <w:vAlign w:val="center"/>
          </w:tcPr>
          <w:p w14:paraId="65B49580" w14:textId="45091F04" w:rsidR="00E82F82" w:rsidRDefault="00E82F82" w:rsidP="00E440AB">
            <w:pPr>
              <w:pStyle w:val="Tablecontent"/>
              <w:jc w:val="center"/>
            </w:pPr>
            <w:r>
              <w:t>Monthly</w:t>
            </w:r>
          </w:p>
        </w:tc>
        <w:tc>
          <w:tcPr>
            <w:tcW w:w="1665" w:type="dxa"/>
            <w:vAlign w:val="center"/>
          </w:tcPr>
          <w:p w14:paraId="5BD84B81" w14:textId="166AF570" w:rsidR="00E82F82" w:rsidRDefault="00E82F82" w:rsidP="00E440AB">
            <w:pPr>
              <w:pStyle w:val="Tablecontent"/>
              <w:jc w:val="center"/>
            </w:pPr>
            <w:r>
              <w:t>None</w:t>
            </w:r>
          </w:p>
        </w:tc>
        <w:tc>
          <w:tcPr>
            <w:tcW w:w="4971" w:type="dxa"/>
          </w:tcPr>
          <w:p w14:paraId="13D5854F" w14:textId="5CC34B78" w:rsidR="00E82F82" w:rsidRDefault="00E82F82" w:rsidP="00E440AB">
            <w:pPr>
              <w:pStyle w:val="Tablecontent"/>
            </w:pPr>
            <w:r>
              <w:t xml:space="preserve">Face to Face </w:t>
            </w:r>
            <w:r w:rsidR="00DE28AD">
              <w:t>discussion where we review the SLA and support issue</w:t>
            </w:r>
          </w:p>
        </w:tc>
      </w:tr>
      <w:tr w:rsidR="00D02AD7" w14:paraId="4ACE9D6D" w14:textId="77777777" w:rsidTr="00E440AB">
        <w:tc>
          <w:tcPr>
            <w:tcW w:w="2155" w:type="dxa"/>
            <w:vAlign w:val="center"/>
          </w:tcPr>
          <w:p w14:paraId="2AE41061" w14:textId="1F5FE3D1" w:rsidR="00D02AD7" w:rsidRDefault="00D02AD7" w:rsidP="00E440AB">
            <w:pPr>
              <w:pStyle w:val="Tablecontent"/>
            </w:pPr>
            <w:r>
              <w:t>Critical Patch</w:t>
            </w:r>
          </w:p>
        </w:tc>
        <w:tc>
          <w:tcPr>
            <w:tcW w:w="1665" w:type="dxa"/>
            <w:vAlign w:val="center"/>
          </w:tcPr>
          <w:p w14:paraId="0A5533FB" w14:textId="5E990959" w:rsidR="00D02AD7" w:rsidRDefault="00D02AD7" w:rsidP="00E440AB">
            <w:pPr>
              <w:pStyle w:val="Tablecontent"/>
              <w:jc w:val="center"/>
            </w:pPr>
            <w:r>
              <w:t>Higher priority</w:t>
            </w:r>
          </w:p>
        </w:tc>
        <w:tc>
          <w:tcPr>
            <w:tcW w:w="1665" w:type="dxa"/>
            <w:vAlign w:val="center"/>
          </w:tcPr>
          <w:p w14:paraId="01B7D664" w14:textId="0119DFFE" w:rsidR="00D02AD7" w:rsidRDefault="00D02AD7" w:rsidP="00E440AB">
            <w:pPr>
              <w:pStyle w:val="Tablecontent"/>
              <w:jc w:val="center"/>
            </w:pPr>
            <w:r>
              <w:t>Lower priority</w:t>
            </w:r>
          </w:p>
        </w:tc>
        <w:tc>
          <w:tcPr>
            <w:tcW w:w="4971" w:type="dxa"/>
          </w:tcPr>
          <w:p w14:paraId="04A86245" w14:textId="4A6C17EF" w:rsidR="00D02AD7" w:rsidRDefault="00D02AD7" w:rsidP="00E440AB">
            <w:pPr>
              <w:pStyle w:val="Tablecontent"/>
            </w:pPr>
            <w:r>
              <w:t xml:space="preserve">We patch all Gold VMs first before </w:t>
            </w:r>
            <w:r w:rsidR="00A24293">
              <w:t>protecting the lower tier VM.</w:t>
            </w:r>
          </w:p>
        </w:tc>
      </w:tr>
      <w:tr w:rsidR="00652427" w14:paraId="32282256" w14:textId="77777777" w:rsidTr="00E440AB">
        <w:tc>
          <w:tcPr>
            <w:tcW w:w="2155" w:type="dxa"/>
            <w:vAlign w:val="center"/>
          </w:tcPr>
          <w:p w14:paraId="4E12F49B" w14:textId="59F2B820" w:rsidR="00652427" w:rsidRDefault="00652427" w:rsidP="00E440AB">
            <w:pPr>
              <w:pStyle w:val="Tablecontent"/>
            </w:pPr>
            <w:r>
              <w:t>Optimization</w:t>
            </w:r>
          </w:p>
        </w:tc>
        <w:tc>
          <w:tcPr>
            <w:tcW w:w="1665" w:type="dxa"/>
            <w:vAlign w:val="center"/>
          </w:tcPr>
          <w:p w14:paraId="483EBD51" w14:textId="45297A96" w:rsidR="00652427" w:rsidRDefault="00652427" w:rsidP="00E440AB">
            <w:pPr>
              <w:pStyle w:val="Tablecontent"/>
              <w:jc w:val="center"/>
            </w:pPr>
            <w:r>
              <w:t>Yes</w:t>
            </w:r>
          </w:p>
        </w:tc>
        <w:tc>
          <w:tcPr>
            <w:tcW w:w="1665" w:type="dxa"/>
            <w:vAlign w:val="center"/>
          </w:tcPr>
          <w:p w14:paraId="29F1B28E" w14:textId="3E409797" w:rsidR="00652427" w:rsidRDefault="00652427" w:rsidP="00E440AB">
            <w:pPr>
              <w:pStyle w:val="Tablecontent"/>
              <w:jc w:val="center"/>
            </w:pPr>
            <w:r>
              <w:t>No</w:t>
            </w:r>
          </w:p>
        </w:tc>
        <w:tc>
          <w:tcPr>
            <w:tcW w:w="4971" w:type="dxa"/>
          </w:tcPr>
          <w:p w14:paraId="385BBB2B" w14:textId="571E7A31" w:rsidR="00652427" w:rsidRDefault="00652427" w:rsidP="00E440AB">
            <w:pPr>
              <w:pStyle w:val="Tablecontent"/>
            </w:pPr>
            <w:r>
              <w:t xml:space="preserve">Performance and capacity optimization </w:t>
            </w:r>
          </w:p>
        </w:tc>
      </w:tr>
    </w:tbl>
    <w:p w14:paraId="066FB07E" w14:textId="206156E9" w:rsidR="00DF694E" w:rsidRDefault="00591E47" w:rsidP="004B77ED">
      <w:pPr>
        <w:pStyle w:val="Heading6"/>
      </w:pPr>
      <w:r>
        <w:t>Availability</w:t>
      </w:r>
    </w:p>
    <w:p w14:paraId="514FEA5B" w14:textId="107C4EB9" w:rsidR="00C27A6F" w:rsidRPr="00C27A6F" w:rsidRDefault="00C27A6F" w:rsidP="00C27A6F">
      <w:pPr>
        <w:rPr>
          <w:lang w:val="en-GB"/>
        </w:rPr>
      </w:pPr>
      <w:r>
        <w:rPr>
          <w:lang w:val="en-GB"/>
        </w:rPr>
        <w:t>This is another soft product in IaaS</w:t>
      </w:r>
      <w:r w:rsidR="007215A9">
        <w:rPr>
          <w:lang w:val="en-GB"/>
        </w:rPr>
        <w:t>. Ensure that Gold has much better offering here so the 2x price is clearly shown.</w:t>
      </w:r>
    </w:p>
    <w:p w14:paraId="6C5B9CC9" w14:textId="77777777" w:rsidR="003C4859" w:rsidRPr="000B6D75" w:rsidRDefault="003C4859" w:rsidP="003C4859">
      <w:pPr>
        <w:pStyle w:val="BeforeTable"/>
        <w:rPr>
          <w:lang w:val="en-GB"/>
        </w:rPr>
      </w:pPr>
    </w:p>
    <w:tbl>
      <w:tblPr>
        <w:tblStyle w:val="TableGrid"/>
        <w:tblW w:w="0" w:type="auto"/>
        <w:tblBorders>
          <w:top w:val="none" w:sz="0" w:space="0" w:color="auto"/>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55"/>
        <w:gridCol w:w="1665"/>
        <w:gridCol w:w="1665"/>
        <w:gridCol w:w="4971"/>
      </w:tblGrid>
      <w:tr w:rsidR="003C4859" w14:paraId="368FA1C1" w14:textId="77777777" w:rsidTr="00E440AB">
        <w:tc>
          <w:tcPr>
            <w:tcW w:w="2155" w:type="dxa"/>
            <w:shd w:val="clear" w:color="auto" w:fill="F2F2F2" w:themeFill="background1" w:themeFillShade="F2"/>
          </w:tcPr>
          <w:p w14:paraId="119AC71B" w14:textId="77777777" w:rsidR="003C4859" w:rsidRDefault="003C4859" w:rsidP="00E440AB">
            <w:pPr>
              <w:pStyle w:val="Tableheading"/>
            </w:pPr>
          </w:p>
        </w:tc>
        <w:tc>
          <w:tcPr>
            <w:tcW w:w="1665" w:type="dxa"/>
            <w:shd w:val="clear" w:color="auto" w:fill="F2F2F2" w:themeFill="background1" w:themeFillShade="F2"/>
          </w:tcPr>
          <w:p w14:paraId="79D5027D" w14:textId="77777777" w:rsidR="003C4859" w:rsidRDefault="003C4859" w:rsidP="00E440AB">
            <w:pPr>
              <w:pStyle w:val="Tableheading"/>
            </w:pPr>
            <w:r>
              <w:t>Gold</w:t>
            </w:r>
          </w:p>
        </w:tc>
        <w:tc>
          <w:tcPr>
            <w:tcW w:w="1665" w:type="dxa"/>
            <w:shd w:val="clear" w:color="auto" w:fill="F2F2F2" w:themeFill="background1" w:themeFillShade="F2"/>
          </w:tcPr>
          <w:p w14:paraId="7BCD71A3" w14:textId="77777777" w:rsidR="003C4859" w:rsidRDefault="003C4859" w:rsidP="00E440AB">
            <w:pPr>
              <w:pStyle w:val="Tableheading"/>
            </w:pPr>
            <w:r>
              <w:t>Silver</w:t>
            </w:r>
          </w:p>
        </w:tc>
        <w:tc>
          <w:tcPr>
            <w:tcW w:w="4971" w:type="dxa"/>
            <w:shd w:val="clear" w:color="auto" w:fill="F2F2F2" w:themeFill="background1" w:themeFillShade="F2"/>
          </w:tcPr>
          <w:p w14:paraId="138D80B7" w14:textId="77777777" w:rsidR="003C4859" w:rsidRDefault="003C4859" w:rsidP="00E440AB">
            <w:pPr>
              <w:pStyle w:val="Tableheading"/>
            </w:pPr>
            <w:r>
              <w:t>Description</w:t>
            </w:r>
          </w:p>
        </w:tc>
      </w:tr>
      <w:tr w:rsidR="003C4859" w14:paraId="10E73C94" w14:textId="77777777" w:rsidTr="00E440AB">
        <w:tc>
          <w:tcPr>
            <w:tcW w:w="2155" w:type="dxa"/>
          </w:tcPr>
          <w:p w14:paraId="3F3D4893" w14:textId="1890E407" w:rsidR="003C4859" w:rsidRDefault="00A80DB4" w:rsidP="00E440AB">
            <w:pPr>
              <w:pStyle w:val="Tablecontent"/>
            </w:pPr>
            <w:r>
              <w:t>Snapshot</w:t>
            </w:r>
          </w:p>
        </w:tc>
        <w:tc>
          <w:tcPr>
            <w:tcW w:w="1665" w:type="dxa"/>
          </w:tcPr>
          <w:p w14:paraId="2D15F29D" w14:textId="4C927469" w:rsidR="003C4859" w:rsidRDefault="00A24293" w:rsidP="00E440AB">
            <w:pPr>
              <w:pStyle w:val="Tablecontent"/>
              <w:jc w:val="center"/>
            </w:pPr>
            <w:r>
              <w:t>1 week</w:t>
            </w:r>
          </w:p>
        </w:tc>
        <w:tc>
          <w:tcPr>
            <w:tcW w:w="1665" w:type="dxa"/>
          </w:tcPr>
          <w:p w14:paraId="3E094841" w14:textId="2206C165" w:rsidR="003C4859" w:rsidRDefault="00A24293" w:rsidP="00E440AB">
            <w:pPr>
              <w:pStyle w:val="Tablecontent"/>
              <w:jc w:val="center"/>
            </w:pPr>
            <w:r>
              <w:t>1 day</w:t>
            </w:r>
          </w:p>
        </w:tc>
        <w:tc>
          <w:tcPr>
            <w:tcW w:w="4971" w:type="dxa"/>
          </w:tcPr>
          <w:p w14:paraId="0525A994" w14:textId="284F2B71" w:rsidR="003C4859" w:rsidRDefault="00E5682D" w:rsidP="00E440AB">
            <w:pPr>
              <w:pStyle w:val="Tablecontent"/>
            </w:pPr>
            <w:r>
              <w:t>For Gold, we will also remind you just in case you forget. For Silver, it’s auto-delete.</w:t>
            </w:r>
          </w:p>
        </w:tc>
      </w:tr>
      <w:tr w:rsidR="00EB28FC" w14:paraId="3D59AA9D" w14:textId="77777777" w:rsidTr="00E440AB">
        <w:tc>
          <w:tcPr>
            <w:tcW w:w="2155" w:type="dxa"/>
          </w:tcPr>
          <w:p w14:paraId="6D53CA3B" w14:textId="1C2A5ADA" w:rsidR="00EB28FC" w:rsidRDefault="00EB28FC" w:rsidP="00E440AB">
            <w:pPr>
              <w:pStyle w:val="Tablecontent"/>
            </w:pPr>
            <w:r>
              <w:t>Size of snapshot</w:t>
            </w:r>
          </w:p>
        </w:tc>
        <w:tc>
          <w:tcPr>
            <w:tcW w:w="1665" w:type="dxa"/>
          </w:tcPr>
          <w:p w14:paraId="42823298" w14:textId="6809CEFA" w:rsidR="00EB28FC" w:rsidRDefault="00EB28FC" w:rsidP="00E440AB">
            <w:pPr>
              <w:pStyle w:val="Tablecontent"/>
              <w:jc w:val="center"/>
            </w:pPr>
            <w:r>
              <w:t>No limit</w:t>
            </w:r>
          </w:p>
        </w:tc>
        <w:tc>
          <w:tcPr>
            <w:tcW w:w="1665" w:type="dxa"/>
          </w:tcPr>
          <w:p w14:paraId="17DBC01F" w14:textId="65B3C51E" w:rsidR="00EB28FC" w:rsidRDefault="00EB28FC" w:rsidP="00E440AB">
            <w:pPr>
              <w:pStyle w:val="Tablecontent"/>
              <w:jc w:val="center"/>
            </w:pPr>
            <w:r>
              <w:t>100 GB</w:t>
            </w:r>
          </w:p>
        </w:tc>
        <w:tc>
          <w:tcPr>
            <w:tcW w:w="4971" w:type="dxa"/>
          </w:tcPr>
          <w:p w14:paraId="64662300" w14:textId="77777777" w:rsidR="00EB28FC" w:rsidRDefault="00EB28FC" w:rsidP="00E440AB">
            <w:pPr>
              <w:pStyle w:val="Tablecontent"/>
            </w:pPr>
          </w:p>
        </w:tc>
      </w:tr>
      <w:tr w:rsidR="00B27148" w14:paraId="0BCBDAB9" w14:textId="77777777" w:rsidTr="00E440AB">
        <w:tc>
          <w:tcPr>
            <w:tcW w:w="2155" w:type="dxa"/>
          </w:tcPr>
          <w:p w14:paraId="4CD6EAD8" w14:textId="1F18EACC" w:rsidR="00B27148" w:rsidRDefault="00B27148" w:rsidP="00E440AB">
            <w:pPr>
              <w:pStyle w:val="Tablecontent"/>
            </w:pPr>
            <w:r>
              <w:t>No of snapshots</w:t>
            </w:r>
          </w:p>
        </w:tc>
        <w:tc>
          <w:tcPr>
            <w:tcW w:w="1665" w:type="dxa"/>
          </w:tcPr>
          <w:p w14:paraId="6BFC4D6A" w14:textId="7245B306" w:rsidR="00B27148" w:rsidRDefault="00B27148" w:rsidP="00E440AB">
            <w:pPr>
              <w:pStyle w:val="Tablecontent"/>
              <w:jc w:val="center"/>
            </w:pPr>
            <w:r>
              <w:t>2</w:t>
            </w:r>
          </w:p>
        </w:tc>
        <w:tc>
          <w:tcPr>
            <w:tcW w:w="1665" w:type="dxa"/>
          </w:tcPr>
          <w:p w14:paraId="4932B965" w14:textId="554BF7FD" w:rsidR="00B27148" w:rsidRDefault="00B27148" w:rsidP="00E440AB">
            <w:pPr>
              <w:pStyle w:val="Tablecontent"/>
              <w:jc w:val="center"/>
            </w:pPr>
            <w:r>
              <w:t>1</w:t>
            </w:r>
          </w:p>
        </w:tc>
        <w:tc>
          <w:tcPr>
            <w:tcW w:w="4971" w:type="dxa"/>
          </w:tcPr>
          <w:p w14:paraId="39FF2219" w14:textId="202A0A56" w:rsidR="00B27148" w:rsidRDefault="00B27148" w:rsidP="00E440AB">
            <w:pPr>
              <w:pStyle w:val="Tablecontent"/>
            </w:pPr>
            <w:r>
              <w:t>Gold can have 2x as many snapshots at any give time</w:t>
            </w:r>
          </w:p>
        </w:tc>
      </w:tr>
      <w:tr w:rsidR="006A340B" w14:paraId="5BA9CD9F" w14:textId="77777777" w:rsidTr="00E440AB">
        <w:tc>
          <w:tcPr>
            <w:tcW w:w="2155" w:type="dxa"/>
          </w:tcPr>
          <w:p w14:paraId="120BBAE2" w14:textId="7CACB926" w:rsidR="006A340B" w:rsidRDefault="006A340B" w:rsidP="006A340B">
            <w:pPr>
              <w:pStyle w:val="Tablecontent"/>
            </w:pPr>
            <w:r>
              <w:t>Back up</w:t>
            </w:r>
          </w:p>
        </w:tc>
        <w:tc>
          <w:tcPr>
            <w:tcW w:w="1665" w:type="dxa"/>
            <w:vAlign w:val="center"/>
          </w:tcPr>
          <w:p w14:paraId="670D1DA8" w14:textId="1824FF54" w:rsidR="006A340B" w:rsidRDefault="006A340B" w:rsidP="006A340B">
            <w:pPr>
              <w:pStyle w:val="Tablecontent"/>
              <w:jc w:val="center"/>
            </w:pPr>
            <w:r>
              <w:t>Higher priority</w:t>
            </w:r>
          </w:p>
        </w:tc>
        <w:tc>
          <w:tcPr>
            <w:tcW w:w="1665" w:type="dxa"/>
            <w:vAlign w:val="center"/>
          </w:tcPr>
          <w:p w14:paraId="7D37A0A7" w14:textId="5E63FDB3" w:rsidR="006A340B" w:rsidRDefault="006A340B" w:rsidP="006A340B">
            <w:pPr>
              <w:pStyle w:val="Tablecontent"/>
              <w:jc w:val="center"/>
            </w:pPr>
            <w:r>
              <w:t>Lower priority</w:t>
            </w:r>
          </w:p>
        </w:tc>
        <w:tc>
          <w:tcPr>
            <w:tcW w:w="4971" w:type="dxa"/>
          </w:tcPr>
          <w:p w14:paraId="5A1B12B7" w14:textId="00EF567B" w:rsidR="006A340B" w:rsidRDefault="00E16031" w:rsidP="006A340B">
            <w:pPr>
              <w:pStyle w:val="Tablecontent"/>
            </w:pPr>
            <w:r>
              <w:t>We back up all Gold VM before backing up Silver VM</w:t>
            </w:r>
          </w:p>
        </w:tc>
      </w:tr>
      <w:tr w:rsidR="00E16031" w14:paraId="0053A177" w14:textId="77777777" w:rsidTr="00E440AB">
        <w:tc>
          <w:tcPr>
            <w:tcW w:w="2155" w:type="dxa"/>
          </w:tcPr>
          <w:p w14:paraId="7246EC51" w14:textId="4AC8B8BE" w:rsidR="00E16031" w:rsidRDefault="00E16031" w:rsidP="006A340B">
            <w:pPr>
              <w:pStyle w:val="Tablecontent"/>
            </w:pPr>
            <w:r>
              <w:t>Full back up</w:t>
            </w:r>
          </w:p>
        </w:tc>
        <w:tc>
          <w:tcPr>
            <w:tcW w:w="1665" w:type="dxa"/>
            <w:vAlign w:val="center"/>
          </w:tcPr>
          <w:p w14:paraId="25E4D00C" w14:textId="20250F90" w:rsidR="00E16031" w:rsidRDefault="005138BC" w:rsidP="006A340B">
            <w:pPr>
              <w:pStyle w:val="Tablecontent"/>
              <w:jc w:val="center"/>
            </w:pPr>
            <w:r>
              <w:t>Weekly</w:t>
            </w:r>
          </w:p>
        </w:tc>
        <w:tc>
          <w:tcPr>
            <w:tcW w:w="1665" w:type="dxa"/>
            <w:vAlign w:val="center"/>
          </w:tcPr>
          <w:p w14:paraId="560E1022" w14:textId="6588D8F4" w:rsidR="00E16031" w:rsidRDefault="005138BC" w:rsidP="006A340B">
            <w:pPr>
              <w:pStyle w:val="Tablecontent"/>
              <w:jc w:val="center"/>
            </w:pPr>
            <w:r>
              <w:t>Fortnightly</w:t>
            </w:r>
          </w:p>
        </w:tc>
        <w:tc>
          <w:tcPr>
            <w:tcW w:w="4971" w:type="dxa"/>
          </w:tcPr>
          <w:p w14:paraId="748DD5E5" w14:textId="5040B5CC" w:rsidR="00E16031" w:rsidRDefault="00804E9F" w:rsidP="006A340B">
            <w:pPr>
              <w:pStyle w:val="Tablecontent"/>
            </w:pPr>
            <w:r>
              <w:t>Gold has 2x full back up frequency</w:t>
            </w:r>
          </w:p>
        </w:tc>
      </w:tr>
      <w:tr w:rsidR="005138BC" w14:paraId="38D9581E" w14:textId="77777777" w:rsidTr="00E440AB">
        <w:tc>
          <w:tcPr>
            <w:tcW w:w="2155" w:type="dxa"/>
          </w:tcPr>
          <w:p w14:paraId="6F33E825" w14:textId="7CE337C6" w:rsidR="005138BC" w:rsidRDefault="005138BC" w:rsidP="006A340B">
            <w:pPr>
              <w:pStyle w:val="Tablecontent"/>
            </w:pPr>
            <w:r>
              <w:t>Back up level</w:t>
            </w:r>
          </w:p>
        </w:tc>
        <w:tc>
          <w:tcPr>
            <w:tcW w:w="1665" w:type="dxa"/>
            <w:vAlign w:val="center"/>
          </w:tcPr>
          <w:p w14:paraId="355DB347" w14:textId="73BFD75F" w:rsidR="005138BC" w:rsidRDefault="005138BC" w:rsidP="006A340B">
            <w:pPr>
              <w:pStyle w:val="Tablecontent"/>
              <w:jc w:val="center"/>
            </w:pPr>
            <w:r>
              <w:t>Application</w:t>
            </w:r>
          </w:p>
        </w:tc>
        <w:tc>
          <w:tcPr>
            <w:tcW w:w="1665" w:type="dxa"/>
            <w:vAlign w:val="center"/>
          </w:tcPr>
          <w:p w14:paraId="66B36A8E" w14:textId="11376647" w:rsidR="005138BC" w:rsidRDefault="005138BC" w:rsidP="006A340B">
            <w:pPr>
              <w:pStyle w:val="Tablecontent"/>
              <w:jc w:val="center"/>
            </w:pPr>
            <w:r>
              <w:t>OS</w:t>
            </w:r>
          </w:p>
        </w:tc>
        <w:tc>
          <w:tcPr>
            <w:tcW w:w="4971" w:type="dxa"/>
          </w:tcPr>
          <w:p w14:paraId="0C0BB988" w14:textId="7AA5F952" w:rsidR="005138BC" w:rsidRDefault="00863D27" w:rsidP="006A340B">
            <w:pPr>
              <w:pStyle w:val="Tablecontent"/>
            </w:pPr>
            <w:r>
              <w:t>We will install &amp; manage back up agent</w:t>
            </w:r>
          </w:p>
        </w:tc>
      </w:tr>
      <w:tr w:rsidR="00863D27" w14:paraId="4F3EA9AD" w14:textId="77777777" w:rsidTr="00E440AB">
        <w:tc>
          <w:tcPr>
            <w:tcW w:w="2155" w:type="dxa"/>
          </w:tcPr>
          <w:p w14:paraId="3F8EFF15" w14:textId="1CA77016" w:rsidR="00863D27" w:rsidRDefault="00863D27" w:rsidP="006A340B">
            <w:pPr>
              <w:pStyle w:val="Tablecontent"/>
            </w:pPr>
            <w:r>
              <w:t>Back up report</w:t>
            </w:r>
          </w:p>
        </w:tc>
        <w:tc>
          <w:tcPr>
            <w:tcW w:w="1665" w:type="dxa"/>
            <w:vAlign w:val="center"/>
          </w:tcPr>
          <w:p w14:paraId="6BDCA5B0" w14:textId="190B11F9" w:rsidR="00863D27" w:rsidRDefault="00863D27" w:rsidP="006A340B">
            <w:pPr>
              <w:pStyle w:val="Tablecontent"/>
              <w:jc w:val="center"/>
            </w:pPr>
            <w:r>
              <w:t>Yes</w:t>
            </w:r>
          </w:p>
        </w:tc>
        <w:tc>
          <w:tcPr>
            <w:tcW w:w="1665" w:type="dxa"/>
            <w:vAlign w:val="center"/>
          </w:tcPr>
          <w:p w14:paraId="0ACD4D2C" w14:textId="270CBFC5" w:rsidR="00863D27" w:rsidRDefault="00863D27" w:rsidP="006A340B">
            <w:pPr>
              <w:pStyle w:val="Tablecontent"/>
              <w:jc w:val="center"/>
            </w:pPr>
            <w:r>
              <w:t>No</w:t>
            </w:r>
          </w:p>
        </w:tc>
        <w:tc>
          <w:tcPr>
            <w:tcW w:w="4971" w:type="dxa"/>
          </w:tcPr>
          <w:p w14:paraId="01164AC2" w14:textId="3D6DA6D3" w:rsidR="00863D27" w:rsidRDefault="00B63A6C" w:rsidP="006A340B">
            <w:pPr>
              <w:pStyle w:val="Tablecontent"/>
            </w:pPr>
            <w:r>
              <w:t>We provide report for back up status</w:t>
            </w:r>
          </w:p>
        </w:tc>
      </w:tr>
      <w:tr w:rsidR="003A4C6E" w14:paraId="2D01E4C1" w14:textId="77777777" w:rsidTr="00E440AB">
        <w:tc>
          <w:tcPr>
            <w:tcW w:w="2155" w:type="dxa"/>
          </w:tcPr>
          <w:p w14:paraId="3EC80152" w14:textId="62AAE681" w:rsidR="003A4C6E" w:rsidRDefault="003A4C6E" w:rsidP="006A340B">
            <w:pPr>
              <w:pStyle w:val="Tablecontent"/>
            </w:pPr>
            <w:r>
              <w:t>Disaster Recovery</w:t>
            </w:r>
          </w:p>
        </w:tc>
        <w:tc>
          <w:tcPr>
            <w:tcW w:w="3330" w:type="dxa"/>
            <w:gridSpan w:val="2"/>
          </w:tcPr>
          <w:p w14:paraId="62E7DF05" w14:textId="4299A774" w:rsidR="003A4C6E" w:rsidRDefault="003A4C6E" w:rsidP="006A340B">
            <w:pPr>
              <w:pStyle w:val="Tablecontent"/>
              <w:jc w:val="center"/>
            </w:pPr>
            <w:r>
              <w:t>Separate add-on</w:t>
            </w:r>
            <w:r w:rsidR="00585F73">
              <w:t xml:space="preserve"> service</w:t>
            </w:r>
          </w:p>
        </w:tc>
        <w:tc>
          <w:tcPr>
            <w:tcW w:w="4971" w:type="dxa"/>
          </w:tcPr>
          <w:p w14:paraId="7463A019" w14:textId="0AAB35BB" w:rsidR="003A4C6E" w:rsidRDefault="003A4C6E" w:rsidP="006A340B">
            <w:pPr>
              <w:pStyle w:val="Tablecontent"/>
            </w:pPr>
            <w:r>
              <w:t xml:space="preserve">Both </w:t>
            </w:r>
            <w:r w:rsidR="00585F73">
              <w:t xml:space="preserve">services </w:t>
            </w:r>
            <w:r>
              <w:t>do not have DR</w:t>
            </w:r>
            <w:r w:rsidR="00585F73">
              <w:t xml:space="preserve"> as default</w:t>
            </w:r>
          </w:p>
        </w:tc>
      </w:tr>
    </w:tbl>
    <w:p w14:paraId="15096531" w14:textId="7B342FCF" w:rsidR="00394D99" w:rsidRDefault="00394D99" w:rsidP="00AC6E1E">
      <w:pPr>
        <w:pStyle w:val="Heading4"/>
      </w:pPr>
      <w:r>
        <w:t>Compute &amp; Storage</w:t>
      </w:r>
    </w:p>
    <w:p w14:paraId="247BD71A" w14:textId="2670FF8F" w:rsidR="00394D99" w:rsidRPr="009F2D21" w:rsidRDefault="00394D99" w:rsidP="00394D99">
      <w:pPr>
        <w:rPr>
          <w:lang w:val="en-GB"/>
        </w:rPr>
      </w:pPr>
      <w:r>
        <w:rPr>
          <w:lang w:val="en-GB"/>
        </w:rPr>
        <w:t xml:space="preserve">A VM runs in a cluster but stored in a datastore. </w:t>
      </w:r>
      <w:r w:rsidR="00F013BF">
        <w:rPr>
          <w:lang w:val="en-GB"/>
        </w:rPr>
        <w:t xml:space="preserve">How do you </w:t>
      </w:r>
      <w:r w:rsidR="00CF63D3">
        <w:rPr>
          <w:lang w:val="en-GB"/>
        </w:rPr>
        <w:t>architect both the compute and storage subsystems to support the class of service?</w:t>
      </w:r>
    </w:p>
    <w:p w14:paraId="3DF7D32B" w14:textId="77777777" w:rsidR="00394D99" w:rsidRPr="00902A50" w:rsidRDefault="00394D99" w:rsidP="00394D99">
      <w:r>
        <w:rPr>
          <w:noProof/>
        </w:rPr>
        <w:lastRenderedPageBreak/>
        <w:drawing>
          <wp:inline distT="0" distB="0" distL="0" distR="0" wp14:anchorId="24B9046C" wp14:editId="44DC63EC">
            <wp:extent cx="6645910" cy="3124200"/>
            <wp:effectExtent l="0" t="0" r="2540" b="0"/>
            <wp:docPr id="606394398" name="Picture 60639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98"/>
                    <pic:cNvPicPr/>
                  </pic:nvPicPr>
                  <pic:blipFill>
                    <a:blip r:embed="rId80">
                      <a:extLst>
                        <a:ext uri="{28A0092B-C50C-407E-A947-70E740481C1C}">
                          <a14:useLocalDpi xmlns:a14="http://schemas.microsoft.com/office/drawing/2010/main" val="0"/>
                        </a:ext>
                      </a:extLst>
                    </a:blip>
                    <a:stretch>
                      <a:fillRect/>
                    </a:stretch>
                  </pic:blipFill>
                  <pic:spPr>
                    <a:xfrm>
                      <a:off x="0" y="0"/>
                      <a:ext cx="6645910" cy="3124200"/>
                    </a:xfrm>
                    <a:prstGeom prst="rect">
                      <a:avLst/>
                    </a:prstGeom>
                  </pic:spPr>
                </pic:pic>
              </a:graphicData>
            </a:graphic>
          </wp:inline>
        </w:drawing>
      </w:r>
    </w:p>
    <w:p w14:paraId="676CE07A" w14:textId="0B8F3AD9" w:rsidR="00394D99" w:rsidRDefault="00394D99" w:rsidP="00445E11">
      <w:pPr>
        <w:rPr>
          <w:lang w:val="en-GB" w:eastAsia="en-SG"/>
        </w:rPr>
      </w:pPr>
      <w:r w:rsidRPr="00A452F2">
        <w:rPr>
          <w:lang w:val="en-GB" w:eastAsia="en-SG"/>
        </w:rPr>
        <w:t>From the performance management point of view, vSphere cluster</w:t>
      </w:r>
      <w:r w:rsidR="00E37CDA">
        <w:rPr>
          <w:lang w:val="en-GB" w:eastAsia="en-SG"/>
        </w:rPr>
        <w:t xml:space="preserve"> + vSAN Cluster form</w:t>
      </w:r>
      <w:r w:rsidRPr="00A452F2">
        <w:rPr>
          <w:lang w:val="en-GB" w:eastAsia="en-SG"/>
        </w:rPr>
        <w:t xml:space="preserve"> the smallest logical building block of the resources. While the resource pool and VM Host affinity can provide a smaller slice, they are operationally complex, and they cannot deliver the promised quality of IaaS service. Resource pool cannot provide a differentiated class of service. For example, your SLA states that Gold is two times faster than silver because it is charged at 200% more. The resource pool can give Gold two times more shares. Whether those extra shares translate into half the CPU readiness cannot be determined up front. </w:t>
      </w:r>
    </w:p>
    <w:p w14:paraId="4F3D9C70" w14:textId="3BE89668" w:rsidR="00E37CDA" w:rsidRDefault="00E37CDA" w:rsidP="00445E11">
      <w:pPr>
        <w:rPr>
          <w:lang w:val="en-GB" w:eastAsia="en-SG"/>
        </w:rPr>
      </w:pPr>
      <w:r>
        <w:rPr>
          <w:lang w:val="en-GB" w:eastAsia="en-SG"/>
        </w:rPr>
        <w:t xml:space="preserve">Same with storage. A VMFS datastore is not able to provide differentiated service level. Even if they can, it’s not based on latency, which is what your customers care. The same limitation applies in vSAN. Let’s take an example. </w:t>
      </w:r>
    </w:p>
    <w:p w14:paraId="64DEE141" w14:textId="477092F4" w:rsidR="00E37CDA" w:rsidRDefault="00E37CDA" w:rsidP="00E37CDA">
      <w:pPr>
        <w:pStyle w:val="Bullet"/>
        <w:rPr>
          <w:lang w:val="en-GB" w:eastAsia="en-SG"/>
        </w:rPr>
      </w:pPr>
      <w:r>
        <w:rPr>
          <w:lang w:val="en-GB" w:eastAsia="en-SG"/>
        </w:rPr>
        <w:t xml:space="preserve">You promise </w:t>
      </w:r>
      <w:r w:rsidRPr="00E37CDA">
        <w:rPr>
          <w:lang w:val="en-GB" w:eastAsia="en-SG"/>
        </w:rPr>
        <w:t xml:space="preserve">Gold </w:t>
      </w:r>
      <w:r>
        <w:rPr>
          <w:lang w:val="en-GB" w:eastAsia="en-SG"/>
        </w:rPr>
        <w:t xml:space="preserve">VM that get will get </w:t>
      </w:r>
      <w:r w:rsidRPr="00E37CDA">
        <w:rPr>
          <w:lang w:val="en-GB" w:eastAsia="en-SG"/>
        </w:rPr>
        <w:t>10 ms latency</w:t>
      </w:r>
      <w:r>
        <w:rPr>
          <w:lang w:val="en-GB" w:eastAsia="en-SG"/>
        </w:rPr>
        <w:t xml:space="preserve"> at worst. For Silver VM, you promise up to 2</w:t>
      </w:r>
      <w:r w:rsidRPr="00E37CDA">
        <w:rPr>
          <w:lang w:val="en-GB" w:eastAsia="en-SG"/>
        </w:rPr>
        <w:t>0 ms latency</w:t>
      </w:r>
      <w:r>
        <w:rPr>
          <w:lang w:val="en-GB" w:eastAsia="en-SG"/>
        </w:rPr>
        <w:t xml:space="preserve">. Reason for 2x the latency is they </w:t>
      </w:r>
      <w:r w:rsidRPr="00E37CDA">
        <w:rPr>
          <w:lang w:val="en-GB" w:eastAsia="en-SG"/>
        </w:rPr>
        <w:t xml:space="preserve">pay </w:t>
      </w:r>
      <w:r>
        <w:rPr>
          <w:lang w:val="en-GB" w:eastAsia="en-SG"/>
        </w:rPr>
        <w:t>2</w:t>
      </w:r>
      <w:r w:rsidRPr="00E37CDA">
        <w:rPr>
          <w:lang w:val="en-GB" w:eastAsia="en-SG"/>
        </w:rPr>
        <w:t>x cheaper</w:t>
      </w:r>
      <w:r>
        <w:rPr>
          <w:lang w:val="en-GB" w:eastAsia="en-SG"/>
        </w:rPr>
        <w:t>. So far so good.</w:t>
      </w:r>
    </w:p>
    <w:p w14:paraId="0D9ADE87" w14:textId="5EBA0304" w:rsidR="00E37CDA" w:rsidRDefault="00E37CDA" w:rsidP="00E37CDA">
      <w:pPr>
        <w:pStyle w:val="Bullet"/>
        <w:rPr>
          <w:lang w:val="en-GB" w:eastAsia="en-SG"/>
        </w:rPr>
      </w:pPr>
      <w:r>
        <w:rPr>
          <w:lang w:val="en-GB" w:eastAsia="en-SG"/>
        </w:rPr>
        <w:t>You set your storage policy and IO Control, favouring the Gold while trying to ensure Silver gets something.</w:t>
      </w:r>
    </w:p>
    <w:p w14:paraId="2112A62B" w14:textId="4A74D02E" w:rsidR="00E37CDA" w:rsidRDefault="00E37CDA" w:rsidP="00E37CDA">
      <w:pPr>
        <w:pStyle w:val="Bullet"/>
        <w:rPr>
          <w:lang w:val="en-GB" w:eastAsia="en-SG"/>
        </w:rPr>
      </w:pPr>
      <w:r>
        <w:rPr>
          <w:lang w:val="en-GB" w:eastAsia="en-SG"/>
        </w:rPr>
        <w:t>Since none of the QoS is based on latency, you may end up with 9 ms for Gold and 21 ms of Silver, where you could have gotten 10 ms and 20 ms.</w:t>
      </w:r>
    </w:p>
    <w:p w14:paraId="79236B12" w14:textId="4D3C0738" w:rsidR="00E37CDA" w:rsidRDefault="00E37CDA" w:rsidP="00E7573A">
      <w:pPr>
        <w:pStyle w:val="Heading5"/>
        <w:rPr>
          <w:lang w:eastAsia="en-SG"/>
        </w:rPr>
      </w:pPr>
      <w:r>
        <w:rPr>
          <w:lang w:eastAsia="en-SG"/>
        </w:rPr>
        <w:t>Mix and Match</w:t>
      </w:r>
    </w:p>
    <w:p w14:paraId="4B66C3C3" w14:textId="25946EAF" w:rsidR="00394D99" w:rsidRPr="009535F9" w:rsidRDefault="00394D99" w:rsidP="00445E11">
      <w:pPr>
        <w:rPr>
          <w:lang w:val="en-GB" w:eastAsia="en-SG"/>
        </w:rPr>
      </w:pPr>
      <w:r>
        <w:rPr>
          <w:lang w:val="en-GB" w:eastAsia="en-SG"/>
        </w:rPr>
        <w:t>Should we provide flexibility, where customers can choose Gold Compute but Bronze Storage?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394D99" w14:paraId="37005D8B" w14:textId="77777777" w:rsidTr="00385EE9">
        <w:tc>
          <w:tcPr>
            <w:tcW w:w="5228" w:type="dxa"/>
          </w:tcPr>
          <w:p w14:paraId="4070F73E" w14:textId="77777777" w:rsidR="00394D99" w:rsidRDefault="00394D99" w:rsidP="00385EE9">
            <w:pPr>
              <w:rPr>
                <w:lang w:eastAsia="en-SG"/>
              </w:rPr>
            </w:pPr>
            <w:r w:rsidRPr="002B3717">
              <w:rPr>
                <w:noProof/>
                <w:lang w:eastAsia="en-SG"/>
              </w:rPr>
              <w:drawing>
                <wp:inline distT="0" distB="0" distL="0" distR="0" wp14:anchorId="2B75273C" wp14:editId="55F22BCD">
                  <wp:extent cx="3178020" cy="1225808"/>
                  <wp:effectExtent l="0" t="0" r="3810" b="0"/>
                  <wp:docPr id="1859674508" name="Picture 1859674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184062" cy="1228138"/>
                          </a:xfrm>
                          <a:prstGeom prst="rect">
                            <a:avLst/>
                          </a:prstGeom>
                        </pic:spPr>
                      </pic:pic>
                    </a:graphicData>
                  </a:graphic>
                </wp:inline>
              </w:drawing>
            </w:r>
          </w:p>
        </w:tc>
        <w:tc>
          <w:tcPr>
            <w:tcW w:w="5228" w:type="dxa"/>
            <w:vAlign w:val="center"/>
          </w:tcPr>
          <w:p w14:paraId="48C9D279" w14:textId="77777777" w:rsidR="00394D99" w:rsidRPr="002B3717" w:rsidRDefault="00394D99" w:rsidP="00385EE9">
            <w:pPr>
              <w:pStyle w:val="Tablecontent"/>
            </w:pPr>
            <w:r w:rsidRPr="002B3717">
              <w:t>In this IaaS, mixing is partially allowed. Tier 1 cannot mix with Tier 3.</w:t>
            </w:r>
          </w:p>
          <w:p w14:paraId="665070B3" w14:textId="55CB1975" w:rsidR="00394D99" w:rsidRDefault="00394D99" w:rsidP="00385EE9">
            <w:pPr>
              <w:pStyle w:val="Tablecontent"/>
            </w:pPr>
            <w:r w:rsidRPr="002B3717">
              <w:t>Result is 7 combination</w:t>
            </w:r>
            <w:r w:rsidR="00144789">
              <w:t>s</w:t>
            </w:r>
            <w:r w:rsidRPr="002B3717">
              <w:t xml:space="preserve"> instead of 9.</w:t>
            </w:r>
          </w:p>
        </w:tc>
      </w:tr>
    </w:tbl>
    <w:p w14:paraId="5D899992" w14:textId="61BBAF7C" w:rsidR="00FE322F" w:rsidRDefault="00FE322F" w:rsidP="00394D99">
      <w:pPr>
        <w:rPr>
          <w:lang w:eastAsia="en-SG"/>
        </w:rPr>
      </w:pPr>
      <w:r w:rsidRPr="002B3717">
        <w:t>It looks operationally visible.</w:t>
      </w:r>
    </w:p>
    <w:p w14:paraId="24116C9F" w14:textId="6BDECDC9" w:rsidR="00394D99" w:rsidRDefault="00394D99" w:rsidP="00394D99">
      <w:pPr>
        <w:rPr>
          <w:lang w:eastAsia="en-SG"/>
        </w:rPr>
      </w:pPr>
      <w:r>
        <w:rPr>
          <w:lang w:eastAsia="en-SG"/>
        </w:rPr>
        <w:t>Now let’s see if the above idea scales….</w:t>
      </w:r>
    </w:p>
    <w:p w14:paraId="4B80E268" w14:textId="77777777" w:rsidR="00394D99" w:rsidRDefault="00394D99" w:rsidP="00394D99">
      <w:pPr>
        <w:rPr>
          <w:lang w:eastAsia="en-SG"/>
        </w:rPr>
      </w:pPr>
      <w:r>
        <w:rPr>
          <w:lang w:eastAsia="en-SG"/>
        </w:rPr>
        <w:lastRenderedPageBreak/>
        <w:t xml:space="preserve">We will just add 1 cluster for each tier. Only 6 clusters. </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tblGrid>
      <w:tr w:rsidR="00E51088" w14:paraId="167F3801" w14:textId="77777777" w:rsidTr="00C5517B">
        <w:trPr>
          <w:jc w:val="center"/>
        </w:trPr>
        <w:tc>
          <w:tcPr>
            <w:tcW w:w="5228" w:type="dxa"/>
          </w:tcPr>
          <w:p w14:paraId="2A7A9709" w14:textId="77777777" w:rsidR="00E51088" w:rsidRDefault="00E51088" w:rsidP="00385EE9">
            <w:pPr>
              <w:rPr>
                <w:lang w:eastAsia="en-SG"/>
              </w:rPr>
            </w:pPr>
            <w:r w:rsidRPr="00303345">
              <w:rPr>
                <w:noProof/>
                <w:lang w:eastAsia="en-SG"/>
              </w:rPr>
              <w:drawing>
                <wp:inline distT="0" distB="0" distL="0" distR="0" wp14:anchorId="61D6E626" wp14:editId="663BD447">
                  <wp:extent cx="2646000" cy="1180800"/>
                  <wp:effectExtent l="0" t="0" r="2540" b="635"/>
                  <wp:docPr id="1859674509" name="Picture 1859674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2646000" cy="1180800"/>
                          </a:xfrm>
                          <a:prstGeom prst="rect">
                            <a:avLst/>
                          </a:prstGeom>
                        </pic:spPr>
                      </pic:pic>
                    </a:graphicData>
                  </a:graphic>
                </wp:inline>
              </w:drawing>
            </w:r>
          </w:p>
        </w:tc>
      </w:tr>
    </w:tbl>
    <w:p w14:paraId="06768F4B" w14:textId="77777777" w:rsidR="00C5517B" w:rsidRDefault="00C5517B" w:rsidP="00445E11">
      <w:pPr>
        <w:rPr>
          <w:lang w:eastAsia="en-SG"/>
        </w:rPr>
      </w:pPr>
      <w:r>
        <w:rPr>
          <w:lang w:eastAsia="en-SG"/>
        </w:rPr>
        <w:t>Simply adding 1 cluster for each tier dramatically increases the permutation. What if you have 10 clusters each?</w:t>
      </w:r>
    </w:p>
    <w:p w14:paraId="49F6020A" w14:textId="093C549C" w:rsidR="00C5517B" w:rsidRDefault="00C5517B" w:rsidP="00445E11">
      <w:pPr>
        <w:rPr>
          <w:lang w:eastAsia="en-SG"/>
        </w:rPr>
      </w:pPr>
      <w:r>
        <w:rPr>
          <w:lang w:eastAsia="en-SG"/>
        </w:rPr>
        <w:t>This is a classic case of flexibility turns complexity. Flexibility has its price, so you need to make the business call.</w:t>
      </w:r>
      <w:r w:rsidR="00E37CDA">
        <w:rPr>
          <w:lang w:eastAsia="en-SG"/>
        </w:rPr>
        <w:t xml:space="preserve"> In smaller environment, you can afford to be more flexible.</w:t>
      </w:r>
    </w:p>
    <w:p w14:paraId="4D21ABD3" w14:textId="022FACFC" w:rsidR="00856970" w:rsidRDefault="00394D99" w:rsidP="00445E11">
      <w:pPr>
        <w:rPr>
          <w:lang w:eastAsia="en-SG"/>
        </w:rPr>
      </w:pPr>
      <w:r>
        <w:rPr>
          <w:lang w:eastAsia="en-SG"/>
        </w:rPr>
        <w:t xml:space="preserve">There is further complication. You need to have 2 tags, one for compute and 1 for storage. </w:t>
      </w:r>
      <w:r w:rsidR="00856970">
        <w:rPr>
          <w:lang w:eastAsia="en-SG"/>
        </w:rPr>
        <w:t xml:space="preserve">What do you call a VM whose compute is gold but </w:t>
      </w:r>
      <w:r w:rsidR="00A565B3">
        <w:rPr>
          <w:lang w:eastAsia="en-SG"/>
        </w:rPr>
        <w:t xml:space="preserve">its </w:t>
      </w:r>
      <w:r w:rsidR="00856970">
        <w:rPr>
          <w:lang w:eastAsia="en-SG"/>
        </w:rPr>
        <w:t>storage is silver?</w:t>
      </w:r>
    </w:p>
    <w:p w14:paraId="4A5E02ED" w14:textId="77777777" w:rsidR="002D30D8" w:rsidRDefault="00B373E2" w:rsidP="00445E11">
      <w:pPr>
        <w:rPr>
          <w:lang w:eastAsia="en-SG"/>
        </w:rPr>
      </w:pPr>
      <w:r>
        <w:rPr>
          <w:lang w:eastAsia="en-SG"/>
        </w:rPr>
        <w:t xml:space="preserve">Separating storage from compute also means 2x the tagging. You now need to tag both the clusters and datastores. </w:t>
      </w:r>
    </w:p>
    <w:p w14:paraId="257B3157" w14:textId="00F1C4BC" w:rsidR="00B373E2" w:rsidRDefault="002D30D8" w:rsidP="00445E11">
      <w:pPr>
        <w:rPr>
          <w:lang w:eastAsia="en-SG"/>
        </w:rPr>
      </w:pPr>
      <w:r>
        <w:rPr>
          <w:lang w:eastAsia="en-SG"/>
        </w:rPr>
        <w:t xml:space="preserve">We can create a logic where the virtual disks inherit the class of service from the datastore. </w:t>
      </w:r>
      <w:r w:rsidR="00FB5216">
        <w:rPr>
          <w:lang w:eastAsia="en-SG"/>
        </w:rPr>
        <w:t xml:space="preserve">But what if we have </w:t>
      </w:r>
      <w:r>
        <w:rPr>
          <w:lang w:eastAsia="en-SG"/>
        </w:rPr>
        <w:t>RDM</w:t>
      </w:r>
      <w:r w:rsidR="00FB5216">
        <w:rPr>
          <w:lang w:eastAsia="en-SG"/>
        </w:rPr>
        <w:t>? Yes, that’s still a rather popular choice.</w:t>
      </w:r>
    </w:p>
    <w:p w14:paraId="2994398F" w14:textId="1E33B2EB" w:rsidR="00394D99" w:rsidRDefault="00394D99" w:rsidP="00394D99">
      <w:pPr>
        <w:rPr>
          <w:lang w:eastAsia="en-SG"/>
        </w:rPr>
      </w:pPr>
      <w:r>
        <w:rPr>
          <w:lang w:eastAsia="en-SG"/>
        </w:rPr>
        <w:t xml:space="preserve">If you further </w:t>
      </w:r>
      <w:r w:rsidR="00A565B3">
        <w:rPr>
          <w:lang w:eastAsia="en-SG"/>
        </w:rPr>
        <w:t>allow</w:t>
      </w:r>
      <w:r>
        <w:rPr>
          <w:lang w:eastAsia="en-SG"/>
        </w:rPr>
        <w:t xml:space="preserve"> different storage class for different VMDK, then you need to tag each virtual disk. This makes reporting difficult</w:t>
      </w:r>
      <w:r w:rsidR="00EB5FE8">
        <w:rPr>
          <w:lang w:eastAsia="en-SG"/>
        </w:rPr>
        <w:t xml:space="preserve"> as now you need to list each </w:t>
      </w:r>
      <w:r w:rsidR="00A565B3">
        <w:rPr>
          <w:lang w:eastAsia="en-SG"/>
        </w:rPr>
        <w:t>disk</w:t>
      </w:r>
      <w:r>
        <w:rPr>
          <w:lang w:eastAsia="en-SG"/>
        </w:rPr>
        <w:t>.</w:t>
      </w:r>
    </w:p>
    <w:p w14:paraId="3670E975" w14:textId="790C4CC4" w:rsidR="00394D99" w:rsidRPr="00DA7F21" w:rsidRDefault="00394D99" w:rsidP="00394D99">
      <w:pPr>
        <w:rPr>
          <w:lang w:eastAsia="en-SG"/>
        </w:rPr>
      </w:pPr>
      <w:r>
        <w:rPr>
          <w:lang w:eastAsia="en-SG"/>
        </w:rPr>
        <w:t>Performance troubleshooting also becomes difficult. Say you allow a VM to buy Bronze Compute but Gold Storage, because the load is storage sensitive but the app</w:t>
      </w:r>
      <w:r w:rsidR="00A565B3">
        <w:rPr>
          <w:lang w:eastAsia="en-SG"/>
        </w:rPr>
        <w:t>lication</w:t>
      </w:r>
      <w:r>
        <w:rPr>
          <w:lang w:eastAsia="en-SG"/>
        </w:rPr>
        <w:t xml:space="preserve"> team does not care about CPU. What if the VM disk latency is caused by CPU contention? </w:t>
      </w:r>
    </w:p>
    <w:p w14:paraId="5E062AB1" w14:textId="609E135D" w:rsidR="00E773C6" w:rsidRDefault="00E773C6" w:rsidP="00540F68">
      <w:pPr>
        <w:pStyle w:val="Heading3"/>
      </w:pPr>
      <w:r w:rsidRPr="002639BB">
        <w:t xml:space="preserve">Pillar </w:t>
      </w:r>
      <w:r w:rsidR="00B550FF">
        <w:t xml:space="preserve">| Policy </w:t>
      </w:r>
      <w:r w:rsidR="00EB7406">
        <w:t>|</w:t>
      </w:r>
      <w:r w:rsidRPr="002639BB">
        <w:t xml:space="preserve"> Process</w:t>
      </w:r>
      <w:r w:rsidR="00EB7406">
        <w:t xml:space="preserve"> | People</w:t>
      </w:r>
    </w:p>
    <w:p w14:paraId="3BFFBA37" w14:textId="69E009C8" w:rsidR="00CF69F0" w:rsidRDefault="00EB7406" w:rsidP="00445E11">
      <w:r>
        <w:t xml:space="preserve">Best practices of operations management require you to </w:t>
      </w:r>
      <w:r w:rsidR="006C63C7">
        <w:t>implement the 4P above in Product, which is the hardware or software product</w:t>
      </w:r>
      <w:r>
        <w:t xml:space="preserve">. </w:t>
      </w:r>
      <w:r w:rsidR="00CF69F0">
        <w:t>Together, they will answer the 5W, which is “</w:t>
      </w:r>
      <w:r w:rsidR="00CF69F0" w:rsidRPr="0038024F">
        <w:rPr>
          <w:color w:val="00B0F0"/>
        </w:rPr>
        <w:t xml:space="preserve">who does what when </w:t>
      </w:r>
      <w:r w:rsidR="000746A6" w:rsidRPr="0038024F">
        <w:rPr>
          <w:color w:val="00B0F0"/>
        </w:rPr>
        <w:t xml:space="preserve">where </w:t>
      </w:r>
      <w:r w:rsidR="00CF69F0" w:rsidRPr="0038024F">
        <w:rPr>
          <w:color w:val="00B0F0"/>
        </w:rPr>
        <w:t>and how</w:t>
      </w:r>
      <w:r w:rsidR="00CF69F0">
        <w:t xml:space="preserve">”. </w:t>
      </w:r>
    </w:p>
    <w:p w14:paraId="3962476A" w14:textId="7E391762" w:rsidR="00EB7406" w:rsidRDefault="00CF69F0" w:rsidP="00445E11">
      <w:r>
        <w:t xml:space="preserve">How do you know you’ve mastered </w:t>
      </w:r>
      <w:r w:rsidR="000746A6">
        <w:t>operations management</w:t>
      </w:r>
      <w:r>
        <w:t xml:space="preserve">? </w:t>
      </w:r>
    </w:p>
    <w:p w14:paraId="2FC268C0" w14:textId="1FA83F69" w:rsidR="00CF69F0" w:rsidRDefault="00CF69F0" w:rsidP="00445E11">
      <w:r>
        <w:t xml:space="preserve">When you can go on long vacation in peace, without the worry of urgent escalation calls asking for information or decision that only you can make or provide. </w:t>
      </w:r>
    </w:p>
    <w:p w14:paraId="272D9E0B" w14:textId="77777777" w:rsidR="00C20101" w:rsidRDefault="00C20101" w:rsidP="00C20101">
      <w:pPr>
        <w:pStyle w:val="BeforeTable"/>
      </w:pPr>
    </w:p>
    <w:tbl>
      <w:tblPr>
        <w:tblStyle w:val="TableGrid"/>
        <w:tblW w:w="0" w:type="auto"/>
        <w:tblInd w:w="142"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418"/>
        <w:gridCol w:w="8790"/>
      </w:tblGrid>
      <w:tr w:rsidR="00CF69F0" w14:paraId="3E562E51" w14:textId="018A958E" w:rsidTr="00CF69F0">
        <w:tc>
          <w:tcPr>
            <w:tcW w:w="1418" w:type="dxa"/>
            <w:shd w:val="clear" w:color="auto" w:fill="F2F2F2" w:themeFill="background1" w:themeFillShade="F2"/>
          </w:tcPr>
          <w:p w14:paraId="0A5A87A6" w14:textId="77777777" w:rsidR="00CF69F0" w:rsidRPr="002F33F5" w:rsidRDefault="00CF69F0" w:rsidP="00C20101">
            <w:pPr>
              <w:pStyle w:val="Tablecontent"/>
              <w:rPr>
                <w:b/>
                <w:bCs/>
              </w:rPr>
            </w:pPr>
            <w:r w:rsidRPr="002F33F5">
              <w:rPr>
                <w:b/>
                <w:bCs/>
              </w:rPr>
              <w:t>Pillar</w:t>
            </w:r>
          </w:p>
        </w:tc>
        <w:tc>
          <w:tcPr>
            <w:tcW w:w="8790" w:type="dxa"/>
          </w:tcPr>
          <w:p w14:paraId="3582BC24" w14:textId="60DF21AD" w:rsidR="00CF69F0" w:rsidRDefault="00CF69F0" w:rsidP="00FC6AD9">
            <w:pPr>
              <w:pStyle w:val="Tablecontent"/>
            </w:pPr>
            <w:r>
              <w:t>There are 5 pillars of operations.</w:t>
            </w:r>
          </w:p>
          <w:p w14:paraId="3C98232E" w14:textId="1B08E4B8" w:rsidR="00CF69F0" w:rsidRDefault="005459F4" w:rsidP="00FC6AD9">
            <w:pPr>
              <w:pStyle w:val="Tablecontent"/>
            </w:pPr>
            <w:r>
              <w:t>These are what you care (not just the means to an end).</w:t>
            </w:r>
          </w:p>
        </w:tc>
      </w:tr>
      <w:tr w:rsidR="00CF69F0" w14:paraId="4871B020" w14:textId="77777777" w:rsidTr="00CF69F0">
        <w:tc>
          <w:tcPr>
            <w:tcW w:w="1418" w:type="dxa"/>
            <w:shd w:val="clear" w:color="auto" w:fill="F2F2F2" w:themeFill="background1" w:themeFillShade="F2"/>
          </w:tcPr>
          <w:p w14:paraId="141CEA97" w14:textId="387733DB" w:rsidR="00CF69F0" w:rsidRPr="002F33F5" w:rsidRDefault="00CF69F0" w:rsidP="00C20101">
            <w:pPr>
              <w:pStyle w:val="Tablecontent"/>
              <w:rPr>
                <w:b/>
                <w:bCs/>
              </w:rPr>
            </w:pPr>
            <w:r>
              <w:rPr>
                <w:b/>
                <w:bCs/>
              </w:rPr>
              <w:t>Policy</w:t>
            </w:r>
          </w:p>
        </w:tc>
        <w:tc>
          <w:tcPr>
            <w:tcW w:w="8790" w:type="dxa"/>
          </w:tcPr>
          <w:p w14:paraId="72D09F06" w14:textId="31DD0A33" w:rsidR="00CF69F0" w:rsidRDefault="00CF69F0" w:rsidP="00FC6AD9">
            <w:pPr>
              <w:pStyle w:val="Tablecontent"/>
            </w:pPr>
            <w:r>
              <w:t>This starts with a business policy, which is then translated into IT policy. They typically cover availability, performance and security. For example, a bank policy may state that customers must be able to access critical banking services. This then gets translated into multiple metrics in both application and infrastructure.</w:t>
            </w:r>
          </w:p>
        </w:tc>
      </w:tr>
      <w:tr w:rsidR="00CF69F0" w14:paraId="27A7AA07" w14:textId="774BD763" w:rsidTr="00CF69F0">
        <w:tc>
          <w:tcPr>
            <w:tcW w:w="1418" w:type="dxa"/>
            <w:vMerge w:val="restart"/>
            <w:shd w:val="clear" w:color="auto" w:fill="F2F2F2" w:themeFill="background1" w:themeFillShade="F2"/>
          </w:tcPr>
          <w:p w14:paraId="0B3BA927" w14:textId="77777777" w:rsidR="00CF69F0" w:rsidRPr="002F33F5" w:rsidRDefault="00CF69F0" w:rsidP="00C20101">
            <w:pPr>
              <w:pStyle w:val="Tablecontent"/>
              <w:rPr>
                <w:b/>
                <w:bCs/>
              </w:rPr>
            </w:pPr>
            <w:r w:rsidRPr="002F33F5">
              <w:rPr>
                <w:b/>
                <w:bCs/>
              </w:rPr>
              <w:lastRenderedPageBreak/>
              <w:t>Process</w:t>
            </w:r>
          </w:p>
        </w:tc>
        <w:tc>
          <w:tcPr>
            <w:tcW w:w="8790" w:type="dxa"/>
          </w:tcPr>
          <w:p w14:paraId="20F0F10F" w14:textId="426883DC" w:rsidR="00CF69F0" w:rsidRDefault="00CF69F0" w:rsidP="00FC6AD9">
            <w:pPr>
              <w:pStyle w:val="Tablecontent"/>
            </w:pPr>
            <w:r>
              <w:t>They are the major activities within each pillar.</w:t>
            </w:r>
          </w:p>
          <w:p w14:paraId="3392DD16" w14:textId="1C4BF734" w:rsidR="00CF69F0" w:rsidRDefault="00CF69F0" w:rsidP="00FC6AD9">
            <w:pPr>
              <w:pStyle w:val="Tablecontent"/>
            </w:pPr>
            <w:r>
              <w:t>It begins with a Plan, which is part of Day 0.</w:t>
            </w:r>
          </w:p>
        </w:tc>
      </w:tr>
      <w:tr w:rsidR="00CF69F0" w14:paraId="32894DBC" w14:textId="77777777" w:rsidTr="00CF69F0">
        <w:tc>
          <w:tcPr>
            <w:tcW w:w="1418" w:type="dxa"/>
            <w:vMerge/>
            <w:shd w:val="clear" w:color="auto" w:fill="F2F2F2" w:themeFill="background1" w:themeFillShade="F2"/>
          </w:tcPr>
          <w:p w14:paraId="48A47583" w14:textId="77777777" w:rsidR="00CF69F0" w:rsidRPr="002F33F5" w:rsidRDefault="00CF69F0" w:rsidP="00C20101">
            <w:pPr>
              <w:pStyle w:val="Tablecontent"/>
              <w:rPr>
                <w:b/>
                <w:bCs/>
              </w:rPr>
            </w:pPr>
          </w:p>
        </w:tc>
        <w:tc>
          <w:tcPr>
            <w:tcW w:w="8790" w:type="dxa"/>
          </w:tcPr>
          <w:p w14:paraId="0428F69B" w14:textId="033EBFFA" w:rsidR="00CF69F0" w:rsidRDefault="00CF69F0" w:rsidP="00FC6AD9">
            <w:pPr>
              <w:pStyle w:val="Tablecontent"/>
            </w:pPr>
            <w:r>
              <w:t>The regular cadence of Standard Operating Procedure (SOP)</w:t>
            </w:r>
            <w:r w:rsidR="00581942">
              <w:t>.</w:t>
            </w:r>
          </w:p>
        </w:tc>
      </w:tr>
      <w:tr w:rsidR="00CF69F0" w14:paraId="09919298" w14:textId="6948FCFD" w:rsidTr="00CF69F0">
        <w:tc>
          <w:tcPr>
            <w:tcW w:w="1418" w:type="dxa"/>
            <w:shd w:val="clear" w:color="auto" w:fill="F2F2F2" w:themeFill="background1" w:themeFillShade="F2"/>
          </w:tcPr>
          <w:p w14:paraId="6632908E" w14:textId="77777777" w:rsidR="00CF69F0" w:rsidRPr="002F33F5" w:rsidRDefault="00CF69F0" w:rsidP="00C20101">
            <w:pPr>
              <w:pStyle w:val="Tablecontent"/>
              <w:rPr>
                <w:b/>
                <w:bCs/>
              </w:rPr>
            </w:pPr>
            <w:r w:rsidRPr="002F33F5">
              <w:rPr>
                <w:b/>
                <w:bCs/>
              </w:rPr>
              <w:t>People</w:t>
            </w:r>
          </w:p>
        </w:tc>
        <w:tc>
          <w:tcPr>
            <w:tcW w:w="8790" w:type="dxa"/>
          </w:tcPr>
          <w:p w14:paraId="4F66485F" w14:textId="4CC554BB" w:rsidR="00CF69F0" w:rsidRDefault="00581942" w:rsidP="00FC6AD9">
            <w:pPr>
              <w:pStyle w:val="Tablecontent"/>
            </w:pPr>
            <w:r>
              <w:t xml:space="preserve">Organization chart. </w:t>
            </w:r>
            <w:r w:rsidR="00CF69F0">
              <w:t>Roles and their responsibilities, which is documented in policies.</w:t>
            </w:r>
          </w:p>
          <w:p w14:paraId="301E591E" w14:textId="793A1029" w:rsidR="00581942" w:rsidRDefault="00581942" w:rsidP="00FC6AD9">
            <w:pPr>
              <w:pStyle w:val="Tablecontent"/>
            </w:pPr>
            <w:r>
              <w:t>Be aware that politics may influence the policy and process</w:t>
            </w:r>
          </w:p>
        </w:tc>
      </w:tr>
      <w:tr w:rsidR="00CF69F0" w14:paraId="6CA0D22E" w14:textId="77777777" w:rsidTr="00CF69F0">
        <w:tc>
          <w:tcPr>
            <w:tcW w:w="1418" w:type="dxa"/>
            <w:shd w:val="clear" w:color="auto" w:fill="F2F2F2" w:themeFill="background1" w:themeFillShade="F2"/>
          </w:tcPr>
          <w:p w14:paraId="2A4200B5" w14:textId="6D5D4AC1" w:rsidR="00CF69F0" w:rsidRPr="002F33F5" w:rsidRDefault="00CF69F0" w:rsidP="00C20101">
            <w:pPr>
              <w:pStyle w:val="Tablecontent"/>
              <w:rPr>
                <w:b/>
                <w:bCs/>
              </w:rPr>
            </w:pPr>
            <w:r>
              <w:rPr>
                <w:b/>
                <w:bCs/>
              </w:rPr>
              <w:t>Product</w:t>
            </w:r>
          </w:p>
        </w:tc>
        <w:tc>
          <w:tcPr>
            <w:tcW w:w="8790" w:type="dxa"/>
          </w:tcPr>
          <w:p w14:paraId="4E85587F" w14:textId="5BB13AF6" w:rsidR="00CF69F0" w:rsidRDefault="00CF69F0" w:rsidP="00FC6AD9">
            <w:pPr>
              <w:pStyle w:val="Tablecontent"/>
            </w:pPr>
            <w:r>
              <w:t>The technology that put</w:t>
            </w:r>
            <w:r w:rsidR="003A08B3">
              <w:t>s</w:t>
            </w:r>
            <w:r>
              <w:t xml:space="preserve"> all the above into a system, so it becomes clearer</w:t>
            </w:r>
            <w:r w:rsidR="003A08B3">
              <w:t xml:space="preserve"> to the people. It also enforces or implements the process and policy.</w:t>
            </w:r>
          </w:p>
        </w:tc>
      </w:tr>
    </w:tbl>
    <w:p w14:paraId="35101310" w14:textId="77777777" w:rsidR="00BF78F4" w:rsidRDefault="00BF78F4" w:rsidP="00A74B00">
      <w:pPr>
        <w:pStyle w:val="BeforeTable"/>
      </w:pPr>
    </w:p>
    <w:p w14:paraId="3DBD4946" w14:textId="02B04896" w:rsidR="003C331F" w:rsidRDefault="003C331F" w:rsidP="00445E11">
      <w:r>
        <w:t xml:space="preserve">What do you manage, actually? </w:t>
      </w:r>
      <w:r w:rsidR="00D332BF">
        <w:t xml:space="preserve">What does your customers want you to take care? </w:t>
      </w:r>
      <w:r>
        <w:t>How do you manage what you need to manage?</w:t>
      </w:r>
    </w:p>
    <w:p w14:paraId="3FDD5D16" w14:textId="2B8BBAC0" w:rsidR="001A4FFE" w:rsidRDefault="001A4FFE" w:rsidP="00445E11">
      <w:r w:rsidRPr="001C18F1">
        <w:t>Among the roles</w:t>
      </w:r>
      <w:r w:rsidR="007A789A" w:rsidRPr="001C18F1">
        <w:t xml:space="preserve"> and department, there are handover and boundary. What’s the Exit </w:t>
      </w:r>
      <w:r w:rsidR="000746A6">
        <w:t xml:space="preserve">Criteria </w:t>
      </w:r>
      <w:r w:rsidR="007A789A" w:rsidRPr="001C18F1">
        <w:t>and Entry Criteria? Take for example between</w:t>
      </w:r>
      <w:r w:rsidR="007A789A">
        <w:t xml:space="preserve"> L1 and L2. </w:t>
      </w:r>
    </w:p>
    <w:p w14:paraId="6FD4DEEE" w14:textId="48987549" w:rsidR="007A789A" w:rsidRPr="00445E11" w:rsidRDefault="00011C68" w:rsidP="00445E11">
      <w:pPr>
        <w:pStyle w:val="Bullet"/>
      </w:pPr>
      <w:r w:rsidRPr="001C18F1">
        <w:t xml:space="preserve">L1 Exit </w:t>
      </w:r>
      <w:r w:rsidRPr="00445E11">
        <w:t>Criteria defines the set of analysis they have performed on the issue. If it’s not in their capability, they have the right to escalate to L1</w:t>
      </w:r>
      <w:r w:rsidR="003E6759" w:rsidRPr="00445E11">
        <w:t>. They have performed the check listed in their Exit Criteria.</w:t>
      </w:r>
    </w:p>
    <w:p w14:paraId="1BD84A76" w14:textId="3D1668FC" w:rsidR="003E6759" w:rsidRDefault="003E6759" w:rsidP="00445E11">
      <w:pPr>
        <w:pStyle w:val="Bullet"/>
      </w:pPr>
      <w:r w:rsidRPr="00445E11">
        <w:t>L</w:t>
      </w:r>
      <w:r w:rsidR="00E853C2" w:rsidRPr="00445E11">
        <w:t xml:space="preserve">1 combines their </w:t>
      </w:r>
      <w:r w:rsidRPr="00445E11">
        <w:t xml:space="preserve">Exit Criteria, and </w:t>
      </w:r>
      <w:r w:rsidR="00E853C2" w:rsidRPr="00445E11">
        <w:t xml:space="preserve">add additional information that L2 needs. This becomes the Entry Criteria for L2, </w:t>
      </w:r>
      <w:r w:rsidR="001D7022" w:rsidRPr="00445E11">
        <w:t xml:space="preserve">documenting </w:t>
      </w:r>
      <w:r w:rsidR="00E853C2" w:rsidRPr="00445E11">
        <w:t>they have all the context they need to perform their job.</w:t>
      </w:r>
      <w:r w:rsidR="001D7022" w:rsidRPr="00445E11">
        <w:t xml:space="preserve"> The list of information can be basic information</w:t>
      </w:r>
      <w:r w:rsidR="001D7022">
        <w:t>, such as owner of the VM. It can also be a set of additional low level counter</w:t>
      </w:r>
      <w:r w:rsidR="0001620F">
        <w:t xml:space="preserve"> or test result that L</w:t>
      </w:r>
      <w:r w:rsidR="00E42CBE">
        <w:t xml:space="preserve">evel </w:t>
      </w:r>
      <w:r w:rsidR="0001620F">
        <w:t xml:space="preserve">1 </w:t>
      </w:r>
      <w:r w:rsidR="00E42CBE">
        <w:t xml:space="preserve">Team </w:t>
      </w:r>
      <w:r w:rsidR="0001620F">
        <w:t xml:space="preserve">ran but does not have the skills to analyse. It’s like you seeing a medical specialist who ask you to bring test results. </w:t>
      </w:r>
    </w:p>
    <w:p w14:paraId="7A9626B1" w14:textId="2C48DB7B" w:rsidR="00702E4C" w:rsidRDefault="00702E4C" w:rsidP="003C331F">
      <w:r>
        <w:t xml:space="preserve">The most basic is you need </w:t>
      </w:r>
      <w:r w:rsidR="008F5F2E">
        <w:t xml:space="preserve">to have visibility into the environment. There are thousands of </w:t>
      </w:r>
      <w:r w:rsidR="0033533B">
        <w:t xml:space="preserve">objects (e.g. VM, application, firewall) with complex </w:t>
      </w:r>
      <w:r w:rsidR="008F5F2E">
        <w:t xml:space="preserve">relationships and </w:t>
      </w:r>
      <w:r w:rsidR="00AC569E">
        <w:t>interdependence</w:t>
      </w:r>
      <w:r w:rsidR="0033533B">
        <w:t>. Inventory gives you this</w:t>
      </w:r>
      <w:r w:rsidR="00483CD3">
        <w:t>.</w:t>
      </w:r>
      <w:r w:rsidR="008F5F2E">
        <w:t xml:space="preserve"> </w:t>
      </w:r>
      <w:r w:rsidR="0061077B">
        <w:t>That’s why it’s the first box in the diagram below.</w:t>
      </w:r>
      <w:r w:rsidR="00C252D0">
        <w:t xml:space="preserve"> I had a large telco telling me that their entire DC can go down </w:t>
      </w:r>
      <w:r w:rsidR="00C62194">
        <w:t xml:space="preserve">(say for scheduled DR exercise) </w:t>
      </w:r>
      <w:r w:rsidR="00C252D0">
        <w:t xml:space="preserve">but not vRealize Operations as that’s </w:t>
      </w:r>
      <w:r w:rsidR="00C62194">
        <w:t>how they monitor the downtime.</w:t>
      </w:r>
    </w:p>
    <w:p w14:paraId="555D5C2E" w14:textId="297E7736" w:rsidR="000E4772" w:rsidRPr="000E4772" w:rsidRDefault="000B2200" w:rsidP="0061077B">
      <w:pPr>
        <w:jc w:val="center"/>
      </w:pPr>
      <w:r w:rsidRPr="000B2200">
        <w:rPr>
          <w:noProof/>
        </w:rPr>
        <w:drawing>
          <wp:inline distT="0" distB="0" distL="0" distR="0" wp14:anchorId="73B015C0" wp14:editId="4BDD5756">
            <wp:extent cx="5874052" cy="1549480"/>
            <wp:effectExtent l="0" t="0" r="0" b="0"/>
            <wp:docPr id="1583707939" name="Picture 1583707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874052" cy="1549480"/>
                    </a:xfrm>
                    <a:prstGeom prst="rect">
                      <a:avLst/>
                    </a:prstGeom>
                  </pic:spPr>
                </pic:pic>
              </a:graphicData>
            </a:graphic>
          </wp:inline>
        </w:drawing>
      </w:r>
    </w:p>
    <w:p w14:paraId="313B1141" w14:textId="0416C765" w:rsidR="00627CED" w:rsidRDefault="005F5D78" w:rsidP="00627CED">
      <w:r>
        <w:t>Once you know what you manage, you can then move on towards making sure they are healthy. If there is no problem, then you move to address potential problem.</w:t>
      </w:r>
      <w:r w:rsidR="009C3E01">
        <w:t xml:space="preserve"> If there is no risk, then you look for optimization.</w:t>
      </w:r>
    </w:p>
    <w:p w14:paraId="33847CF0" w14:textId="77777777" w:rsidR="00E84A33" w:rsidRDefault="00E84A33" w:rsidP="00E84A33">
      <w:pPr>
        <w:pStyle w:val="Heading4"/>
      </w:pPr>
      <w:bookmarkStart w:id="12" w:name="_Health_|_Risk"/>
      <w:bookmarkEnd w:id="12"/>
      <w:r>
        <w:t>Other Frameworks</w:t>
      </w:r>
    </w:p>
    <w:p w14:paraId="74B3390A" w14:textId="1DBE1739" w:rsidR="003864F7" w:rsidRDefault="00E84A33" w:rsidP="00E84A33">
      <w:pPr>
        <w:rPr>
          <w:lang w:val="en-GB"/>
        </w:rPr>
      </w:pPr>
      <w:r>
        <w:rPr>
          <w:lang w:val="en-GB"/>
        </w:rPr>
        <w:t xml:space="preserve">Before I came up with the pillars of operations, I studied other IT frameworks. </w:t>
      </w:r>
      <w:r w:rsidR="003864F7">
        <w:rPr>
          <w:lang w:val="en-GB"/>
        </w:rPr>
        <w:t>I’m documenting my analysis here so you have the context on why I came up with my own framework.</w:t>
      </w:r>
    </w:p>
    <w:p w14:paraId="7CB9CBB7" w14:textId="6F6AF12D" w:rsidR="00E84A33" w:rsidRDefault="00E84A33" w:rsidP="00E84A33">
      <w:pPr>
        <w:rPr>
          <w:lang w:val="en-GB"/>
        </w:rPr>
      </w:pPr>
      <w:r>
        <w:rPr>
          <w:lang w:val="en-GB"/>
        </w:rPr>
        <w:lastRenderedPageBreak/>
        <w:t xml:space="preserve">There are many frameworks in running the business of IT. </w:t>
      </w:r>
      <w:hyperlink r:id="rId84" w:history="1">
        <w:r w:rsidRPr="00D80FF3">
          <w:rPr>
            <w:rStyle w:val="Hyperlink"/>
            <w:lang w:val="en-GB"/>
          </w:rPr>
          <w:t>ITSM</w:t>
        </w:r>
      </w:hyperlink>
      <w:r>
        <w:rPr>
          <w:lang w:val="en-GB"/>
        </w:rPr>
        <w:t xml:space="preserve">, </w:t>
      </w:r>
      <w:hyperlink r:id="rId85" w:history="1">
        <w:r w:rsidRPr="00135DD2">
          <w:rPr>
            <w:rStyle w:val="Hyperlink"/>
            <w:lang w:val="en-GB"/>
          </w:rPr>
          <w:t>IT4IT</w:t>
        </w:r>
      </w:hyperlink>
      <w:r>
        <w:rPr>
          <w:lang w:val="en-GB"/>
        </w:rPr>
        <w:t xml:space="preserve">, ITIL, </w:t>
      </w:r>
      <w:hyperlink r:id="rId86" w:history="1">
        <w:r w:rsidRPr="00D80FF3">
          <w:rPr>
            <w:rStyle w:val="Hyperlink"/>
            <w:lang w:val="en-GB"/>
          </w:rPr>
          <w:t>COBIT</w:t>
        </w:r>
      </w:hyperlink>
      <w:r>
        <w:rPr>
          <w:lang w:val="en-GB"/>
        </w:rPr>
        <w:t xml:space="preserve"> and many others where you can learn about overall IT Management. In this book, I’m focusing on area that’s related to VMware, and only on Day 2. Compared with ITIL 4, which has 34 management practice for entire IT Business, I only see 5. ITIL 4 groups these 34 into 3 broad areas (general management, service management and technical management), while I take a more grounded approach. </w:t>
      </w:r>
    </w:p>
    <w:p w14:paraId="7EC92516" w14:textId="77777777" w:rsidR="00E84A33" w:rsidRDefault="00E84A33" w:rsidP="00E84A33">
      <w:pPr>
        <w:rPr>
          <w:lang w:val="en-GB"/>
        </w:rPr>
      </w:pPr>
      <w:r>
        <w:rPr>
          <w:lang w:val="en-GB"/>
        </w:rPr>
        <w:t xml:space="preserve">Interestingly, ITIL 4 merges Capacity and Performance as 1, while I see them as distinct, done by different persona and have different processes. The book covers both disciplines in-depth, while ITIL 4 does not. </w:t>
      </w:r>
    </w:p>
    <w:p w14:paraId="05A0B5B5" w14:textId="470D05F0" w:rsidR="00E84A33" w:rsidRDefault="00E84A33" w:rsidP="00E84A33">
      <w:pPr>
        <w:rPr>
          <w:lang w:val="en-GB"/>
        </w:rPr>
      </w:pPr>
      <w:r>
        <w:rPr>
          <w:lang w:val="en-GB"/>
        </w:rPr>
        <w:t>I find 34 are simply too many to manage. You end up managing the management.</w:t>
      </w:r>
      <w:r w:rsidR="003864F7">
        <w:rPr>
          <w:lang w:val="en-GB"/>
        </w:rPr>
        <w:t xml:space="preserve"> This defeats the purpose to begin with.</w:t>
      </w:r>
    </w:p>
    <w:p w14:paraId="016785D9" w14:textId="77777777" w:rsidR="00E84A33" w:rsidRDefault="00E84A33" w:rsidP="00E84A33">
      <w:pPr>
        <w:rPr>
          <w:lang w:val="en-GB"/>
        </w:rPr>
      </w:pPr>
      <w:r>
        <w:rPr>
          <w:lang w:val="en-GB"/>
        </w:rPr>
        <w:t>The philosophy of ticket and incident based operations are reflected in ITIL 4. There are many items in the 34 management areas that I do not see as pillar. They are either unnecessary or just providing support to Operations Management. I’ve listed some of them for clarity.</w:t>
      </w:r>
    </w:p>
    <w:p w14:paraId="7B8685EF" w14:textId="77777777" w:rsidR="00E84A33" w:rsidRDefault="00E84A33" w:rsidP="00E84A33">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686"/>
        <w:gridCol w:w="6770"/>
      </w:tblGrid>
      <w:tr w:rsidR="00E84A33" w14:paraId="2884150D" w14:textId="77777777" w:rsidTr="00E440AB">
        <w:tc>
          <w:tcPr>
            <w:tcW w:w="3686" w:type="dxa"/>
            <w:shd w:val="clear" w:color="auto" w:fill="F2F2F2" w:themeFill="background1" w:themeFillShade="F2"/>
          </w:tcPr>
          <w:p w14:paraId="72CD1330" w14:textId="77777777" w:rsidR="00E84A33" w:rsidRPr="001370AE" w:rsidRDefault="00E84A33" w:rsidP="00E440AB">
            <w:pPr>
              <w:pStyle w:val="Tablecontent"/>
              <w:rPr>
                <w:b/>
                <w:bCs/>
              </w:rPr>
            </w:pPr>
            <w:r w:rsidRPr="001370AE">
              <w:rPr>
                <w:b/>
                <w:bCs/>
                <w:lang w:val="en-GB"/>
              </w:rPr>
              <w:t>Continual Improvement</w:t>
            </w:r>
          </w:p>
        </w:tc>
        <w:tc>
          <w:tcPr>
            <w:tcW w:w="6770" w:type="dxa"/>
          </w:tcPr>
          <w:p w14:paraId="40661D6F" w14:textId="77777777" w:rsidR="00E84A33" w:rsidRDefault="00E84A33" w:rsidP="00E440AB">
            <w:pPr>
              <w:pStyle w:val="Tablecontent"/>
            </w:pPr>
            <w:r>
              <w:rPr>
                <w:lang w:val="en-GB"/>
              </w:rPr>
              <w:t xml:space="preserve">To me, this is more of culture, realized as a set of process, policies and structure. See </w:t>
            </w:r>
            <w:hyperlink r:id="rId87" w:history="1">
              <w:r w:rsidRPr="00F54194">
                <w:rPr>
                  <w:rStyle w:val="Hyperlink"/>
                  <w:lang w:val="en-GB"/>
                </w:rPr>
                <w:t>Kaizen</w:t>
              </w:r>
            </w:hyperlink>
            <w:r>
              <w:rPr>
                <w:lang w:val="en-GB"/>
              </w:rPr>
              <w:t xml:space="preserve"> as an example. While it’s important, it’s not a pillar of operations</w:t>
            </w:r>
          </w:p>
        </w:tc>
      </w:tr>
      <w:tr w:rsidR="00E84A33" w14:paraId="79A5A615" w14:textId="77777777" w:rsidTr="00E440AB">
        <w:tc>
          <w:tcPr>
            <w:tcW w:w="3686" w:type="dxa"/>
            <w:shd w:val="clear" w:color="auto" w:fill="F2F2F2" w:themeFill="background1" w:themeFillShade="F2"/>
          </w:tcPr>
          <w:p w14:paraId="6E285283" w14:textId="77777777" w:rsidR="00E84A33" w:rsidRPr="001370AE" w:rsidRDefault="00E84A33" w:rsidP="00E440AB">
            <w:pPr>
              <w:pStyle w:val="Tablecontent"/>
              <w:rPr>
                <w:b/>
                <w:bCs/>
                <w:lang w:val="en-GB"/>
              </w:rPr>
            </w:pPr>
            <w:r w:rsidRPr="001370AE">
              <w:rPr>
                <w:b/>
                <w:bCs/>
                <w:lang w:val="en-GB"/>
              </w:rPr>
              <w:t>Measurement and Reporting</w:t>
            </w:r>
          </w:p>
        </w:tc>
        <w:tc>
          <w:tcPr>
            <w:tcW w:w="6770" w:type="dxa"/>
          </w:tcPr>
          <w:p w14:paraId="1BF24DAC" w14:textId="77777777" w:rsidR="00E84A33" w:rsidRDefault="00E84A33" w:rsidP="00E440AB">
            <w:pPr>
              <w:pStyle w:val="Tablecontent"/>
            </w:pPr>
            <w:r>
              <w:t xml:space="preserve">I’d rather call this Monitoring, as Measurement is a noun. </w:t>
            </w:r>
          </w:p>
          <w:p w14:paraId="399A907C" w14:textId="77777777" w:rsidR="00E84A33" w:rsidRDefault="00E84A33" w:rsidP="00E440AB">
            <w:pPr>
              <w:pStyle w:val="Tablecontent"/>
            </w:pPr>
            <w:r>
              <w:t xml:space="preserve">Reporting, as covered in in Part 3 Dashboard, is just a way for computer system to talk to human. The other 2 are alerts and dashboard. </w:t>
            </w:r>
          </w:p>
        </w:tc>
      </w:tr>
      <w:tr w:rsidR="00E84A33" w14:paraId="68FB7AC9" w14:textId="77777777" w:rsidTr="00E440AB">
        <w:tc>
          <w:tcPr>
            <w:tcW w:w="3686" w:type="dxa"/>
            <w:shd w:val="clear" w:color="auto" w:fill="F2F2F2" w:themeFill="background1" w:themeFillShade="F2"/>
          </w:tcPr>
          <w:p w14:paraId="62E166F1" w14:textId="77777777" w:rsidR="00E84A33" w:rsidRPr="001370AE" w:rsidRDefault="00E84A33" w:rsidP="00E440AB">
            <w:pPr>
              <w:pStyle w:val="Tablecontent"/>
              <w:rPr>
                <w:b/>
                <w:bCs/>
                <w:lang w:val="en-GB"/>
              </w:rPr>
            </w:pPr>
            <w:r w:rsidRPr="001370AE">
              <w:rPr>
                <w:b/>
                <w:bCs/>
                <w:lang w:val="en-GB"/>
              </w:rPr>
              <w:t>Service Level Management</w:t>
            </w:r>
          </w:p>
        </w:tc>
        <w:tc>
          <w:tcPr>
            <w:tcW w:w="6770" w:type="dxa"/>
          </w:tcPr>
          <w:p w14:paraId="7C371A5E" w14:textId="77777777" w:rsidR="00E84A33" w:rsidRDefault="00E84A33" w:rsidP="00E440AB">
            <w:pPr>
              <w:pStyle w:val="Tablecontent"/>
            </w:pPr>
            <w:r>
              <w:t>An SLA is not something you manage, as it is a by-product. You manage availability, performance, compliance, and if you do that well you will pass your promised SLA.</w:t>
            </w:r>
          </w:p>
        </w:tc>
      </w:tr>
      <w:tr w:rsidR="00E84A33" w14:paraId="07635471" w14:textId="77777777" w:rsidTr="00E440AB">
        <w:tc>
          <w:tcPr>
            <w:tcW w:w="3686" w:type="dxa"/>
            <w:shd w:val="clear" w:color="auto" w:fill="F2F2F2" w:themeFill="background1" w:themeFillShade="F2"/>
          </w:tcPr>
          <w:p w14:paraId="12A26DEE" w14:textId="77777777" w:rsidR="00E84A33" w:rsidRPr="001370AE" w:rsidRDefault="00E84A33" w:rsidP="00E440AB">
            <w:pPr>
              <w:pStyle w:val="Tablecontent"/>
              <w:rPr>
                <w:b/>
                <w:bCs/>
                <w:lang w:val="en-GB"/>
              </w:rPr>
            </w:pPr>
            <w:r w:rsidRPr="001370AE">
              <w:rPr>
                <w:b/>
                <w:bCs/>
                <w:lang w:val="en-GB"/>
              </w:rPr>
              <w:t>Service Continuity Management</w:t>
            </w:r>
          </w:p>
        </w:tc>
        <w:tc>
          <w:tcPr>
            <w:tcW w:w="6770" w:type="dxa"/>
          </w:tcPr>
          <w:p w14:paraId="7C5FEF11" w14:textId="77777777" w:rsidR="00E84A33" w:rsidRDefault="00E84A33" w:rsidP="00E440AB">
            <w:pPr>
              <w:pStyle w:val="Tablecontent"/>
            </w:pPr>
            <w:r>
              <w:t>This is part of your architecture, not something you manage. A good architecture is a living system, as it’s designed to handle update and upgrade without compromising the SLA.</w:t>
            </w:r>
          </w:p>
        </w:tc>
      </w:tr>
      <w:tr w:rsidR="00E84A33" w14:paraId="5FA32CD5" w14:textId="77777777" w:rsidTr="00E440AB">
        <w:tc>
          <w:tcPr>
            <w:tcW w:w="3686" w:type="dxa"/>
            <w:shd w:val="clear" w:color="auto" w:fill="F2F2F2" w:themeFill="background1" w:themeFillShade="F2"/>
          </w:tcPr>
          <w:p w14:paraId="08AB30DF" w14:textId="77777777" w:rsidR="00E84A33" w:rsidRPr="001370AE" w:rsidRDefault="00E84A33" w:rsidP="00E440AB">
            <w:pPr>
              <w:pStyle w:val="Tablecontent"/>
              <w:rPr>
                <w:b/>
                <w:bCs/>
                <w:lang w:val="en-GB"/>
              </w:rPr>
            </w:pPr>
            <w:r w:rsidRPr="001370AE">
              <w:rPr>
                <w:b/>
                <w:bCs/>
                <w:lang w:val="en-GB"/>
              </w:rPr>
              <w:t>Monitoring and Event Management</w:t>
            </w:r>
          </w:p>
        </w:tc>
        <w:tc>
          <w:tcPr>
            <w:tcW w:w="6770" w:type="dxa"/>
          </w:tcPr>
          <w:p w14:paraId="2A7E88DF" w14:textId="77777777" w:rsidR="00E84A33" w:rsidRDefault="00E84A33" w:rsidP="00E440AB">
            <w:pPr>
              <w:pStyle w:val="Tablecontent"/>
            </w:pPr>
            <w:r>
              <w:t>Monitoring is a process, an activity. It is not something you manage. The following diagram shows how Process and Pillar are related.</w:t>
            </w:r>
          </w:p>
          <w:p w14:paraId="53558CC8" w14:textId="086D6B93" w:rsidR="00E84A33" w:rsidRDefault="00BA49FA" w:rsidP="00E440AB">
            <w:pPr>
              <w:pStyle w:val="Tablecontent"/>
            </w:pPr>
            <w:r>
              <w:t xml:space="preserve">Unlike alert, event could be neutral or even positive. </w:t>
            </w:r>
            <w:r w:rsidR="00E84A33">
              <w:t>Event is an accounting of something happened</w:t>
            </w:r>
            <w:r>
              <w:t xml:space="preserve">, and related to tasks or activities. </w:t>
            </w:r>
            <w:r w:rsidR="00E84A33">
              <w:t>Just like a metric is an accounting of utilization or contention. Log is a record of something happened. You don’t manage metrics, event, logs as you don’t have full control over them.</w:t>
            </w:r>
          </w:p>
          <w:p w14:paraId="1406B039" w14:textId="77777777" w:rsidR="00E84A33" w:rsidRDefault="00E84A33" w:rsidP="00E440AB">
            <w:pPr>
              <w:pStyle w:val="Tablecontent"/>
            </w:pPr>
            <w:r>
              <w:t xml:space="preserve">So Event is just an input to your operations. It’s one of the 5 data types to monitoring. The other 4 are metrics, properties, logs, and netflow. All these 5 measures the observability of an architecture, and they feed into your monitoring tool. Their values or meaning are defined by the context of the pillar. </w:t>
            </w:r>
          </w:p>
        </w:tc>
      </w:tr>
      <w:tr w:rsidR="00E84A33" w14:paraId="39D136DE" w14:textId="77777777" w:rsidTr="00E440AB">
        <w:tc>
          <w:tcPr>
            <w:tcW w:w="3686" w:type="dxa"/>
            <w:shd w:val="clear" w:color="auto" w:fill="F2F2F2" w:themeFill="background1" w:themeFillShade="F2"/>
          </w:tcPr>
          <w:p w14:paraId="11FBD514" w14:textId="77777777" w:rsidR="00E84A33" w:rsidRPr="001370AE" w:rsidRDefault="00E84A33" w:rsidP="00E440AB">
            <w:pPr>
              <w:pStyle w:val="Tablecontent"/>
              <w:rPr>
                <w:b/>
                <w:bCs/>
                <w:lang w:val="en-GB"/>
              </w:rPr>
            </w:pPr>
            <w:r w:rsidRPr="001370AE">
              <w:rPr>
                <w:b/>
                <w:bCs/>
                <w:lang w:val="en-GB"/>
              </w:rPr>
              <w:t>Service Desk</w:t>
            </w:r>
          </w:p>
        </w:tc>
        <w:tc>
          <w:tcPr>
            <w:tcW w:w="6770" w:type="dxa"/>
          </w:tcPr>
          <w:p w14:paraId="052A10C0" w14:textId="77777777" w:rsidR="00E84A33" w:rsidRDefault="00E84A33" w:rsidP="00E440AB">
            <w:pPr>
              <w:pStyle w:val="Tablecontent"/>
            </w:pPr>
            <w:r>
              <w:t xml:space="preserve">This is a technique, a solution you design as part of your monitoring strategy. While the team needs to be managed, it can span thousands of people, it is not a pillar of operations. </w:t>
            </w:r>
          </w:p>
        </w:tc>
      </w:tr>
      <w:tr w:rsidR="00E84A33" w14:paraId="64F94FB8" w14:textId="77777777" w:rsidTr="00E440AB">
        <w:tc>
          <w:tcPr>
            <w:tcW w:w="3686" w:type="dxa"/>
            <w:shd w:val="clear" w:color="auto" w:fill="F2F2F2" w:themeFill="background1" w:themeFillShade="F2"/>
          </w:tcPr>
          <w:p w14:paraId="2A32C76E" w14:textId="77777777" w:rsidR="00E84A33" w:rsidRPr="001370AE" w:rsidRDefault="00E84A33" w:rsidP="00E440AB">
            <w:pPr>
              <w:pStyle w:val="Tablecontent"/>
              <w:rPr>
                <w:b/>
                <w:bCs/>
                <w:lang w:val="en-GB"/>
              </w:rPr>
            </w:pPr>
            <w:r w:rsidRPr="001370AE">
              <w:rPr>
                <w:b/>
                <w:bCs/>
                <w:lang w:val="en-GB"/>
              </w:rPr>
              <w:t>Incident management</w:t>
            </w:r>
          </w:p>
        </w:tc>
        <w:tc>
          <w:tcPr>
            <w:tcW w:w="6770" w:type="dxa"/>
            <w:vMerge w:val="restart"/>
          </w:tcPr>
          <w:p w14:paraId="79198632" w14:textId="77777777" w:rsidR="00E84A33" w:rsidRDefault="00E84A33" w:rsidP="00E440AB">
            <w:pPr>
              <w:pStyle w:val="Tablecontent"/>
            </w:pPr>
            <w:r>
              <w:t xml:space="preserve">To me, incident (e.g. your website goes down) and problem (e.g. your core router hit a rare bug) are not something you manage. You manage the impact, such as availability and performance. As part of availability, performance and compliance management, you are bound to have </w:t>
            </w:r>
            <w:r>
              <w:lastRenderedPageBreak/>
              <w:t xml:space="preserve">incidents, which were caused by problems (e.g. incompatible configuration, bug). </w:t>
            </w:r>
          </w:p>
          <w:p w14:paraId="633E380E" w14:textId="77777777" w:rsidR="00E84A33" w:rsidRDefault="00E84A33" w:rsidP="00E440AB">
            <w:pPr>
              <w:pStyle w:val="Tablecontent"/>
            </w:pPr>
            <w:r>
              <w:t>You should focus on why you have so many availability, performance, compliance, configuration, capacity problem. By reducing them, you will reduce your incidents. Aim towards minimizing incidents and problems, instead of accepting their prevalent existence as acceptable and invest on their management.</w:t>
            </w:r>
          </w:p>
        </w:tc>
      </w:tr>
      <w:tr w:rsidR="00E84A33" w14:paraId="41FFE735" w14:textId="77777777" w:rsidTr="00E440AB">
        <w:tc>
          <w:tcPr>
            <w:tcW w:w="3686" w:type="dxa"/>
            <w:shd w:val="clear" w:color="auto" w:fill="F2F2F2" w:themeFill="background1" w:themeFillShade="F2"/>
          </w:tcPr>
          <w:p w14:paraId="4B742F7E" w14:textId="77777777" w:rsidR="00E84A33" w:rsidRPr="001370AE" w:rsidRDefault="00E84A33" w:rsidP="00E440AB">
            <w:pPr>
              <w:pStyle w:val="Tablecontent"/>
              <w:rPr>
                <w:b/>
                <w:bCs/>
                <w:lang w:val="en-GB"/>
              </w:rPr>
            </w:pPr>
            <w:r w:rsidRPr="001370AE">
              <w:rPr>
                <w:b/>
                <w:bCs/>
                <w:lang w:val="en-GB"/>
              </w:rPr>
              <w:t>Service request management</w:t>
            </w:r>
          </w:p>
        </w:tc>
        <w:tc>
          <w:tcPr>
            <w:tcW w:w="6770" w:type="dxa"/>
            <w:vMerge/>
          </w:tcPr>
          <w:p w14:paraId="434ED2F5" w14:textId="77777777" w:rsidR="00E84A33" w:rsidRDefault="00E84A33" w:rsidP="00E440AB">
            <w:pPr>
              <w:pStyle w:val="Tablecontent"/>
            </w:pPr>
          </w:p>
        </w:tc>
      </w:tr>
      <w:tr w:rsidR="00E84A33" w14:paraId="235CF347" w14:textId="77777777" w:rsidTr="00E440AB">
        <w:tc>
          <w:tcPr>
            <w:tcW w:w="3686" w:type="dxa"/>
            <w:shd w:val="clear" w:color="auto" w:fill="F2F2F2" w:themeFill="background1" w:themeFillShade="F2"/>
          </w:tcPr>
          <w:p w14:paraId="1155ACCE" w14:textId="77777777" w:rsidR="00E84A33" w:rsidRPr="001370AE" w:rsidRDefault="00E84A33" w:rsidP="00E440AB">
            <w:pPr>
              <w:pStyle w:val="Tablecontent"/>
              <w:rPr>
                <w:b/>
                <w:bCs/>
                <w:lang w:val="en-GB"/>
              </w:rPr>
            </w:pPr>
            <w:r w:rsidRPr="001370AE">
              <w:rPr>
                <w:b/>
                <w:bCs/>
                <w:lang w:val="en-GB"/>
              </w:rPr>
              <w:t>Problem management</w:t>
            </w:r>
          </w:p>
        </w:tc>
        <w:tc>
          <w:tcPr>
            <w:tcW w:w="6770" w:type="dxa"/>
            <w:vMerge/>
          </w:tcPr>
          <w:p w14:paraId="1ED3186E" w14:textId="77777777" w:rsidR="00E84A33" w:rsidRDefault="00E84A33" w:rsidP="00E440AB">
            <w:pPr>
              <w:pStyle w:val="Tablecontent"/>
            </w:pPr>
          </w:p>
        </w:tc>
      </w:tr>
    </w:tbl>
    <w:p w14:paraId="3FEDB0ED" w14:textId="77777777" w:rsidR="00E84A33" w:rsidRPr="007B794E" w:rsidRDefault="00E84A33" w:rsidP="00E84A33">
      <w:pPr>
        <w:pStyle w:val="BeforeTable"/>
        <w:rPr>
          <w:lang w:val="en-GB"/>
        </w:rPr>
      </w:pPr>
    </w:p>
    <w:p w14:paraId="1CA94E8A" w14:textId="77777777" w:rsidR="00E84A33" w:rsidRDefault="00E84A33" w:rsidP="00E84A33">
      <w:r>
        <w:t>I hope you get the idea. In general I found many frameworks to be heavy. It has a lot of big words that are subject to interpretation in the real world as you try to implement them. Some of them also overlap, or even mix up concepts altogether. For examples:</w:t>
      </w:r>
    </w:p>
    <w:p w14:paraId="2636C0D4" w14:textId="77777777" w:rsidR="00E84A33" w:rsidRDefault="00E84A33" w:rsidP="00E84A33">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835"/>
        <w:gridCol w:w="7621"/>
      </w:tblGrid>
      <w:tr w:rsidR="00E84A33" w14:paraId="0F3E46AB" w14:textId="77777777" w:rsidTr="00E440AB">
        <w:tc>
          <w:tcPr>
            <w:tcW w:w="2835" w:type="dxa"/>
            <w:shd w:val="clear" w:color="auto" w:fill="F2F2F2" w:themeFill="background1" w:themeFillShade="F2"/>
          </w:tcPr>
          <w:p w14:paraId="1D903D70" w14:textId="77777777" w:rsidR="00E84A33" w:rsidRPr="001370AE" w:rsidRDefault="00E84A33" w:rsidP="00E440AB">
            <w:pPr>
              <w:pStyle w:val="Tablecontent"/>
              <w:rPr>
                <w:b/>
                <w:bCs/>
              </w:rPr>
            </w:pPr>
            <w:r w:rsidRPr="001370AE">
              <w:rPr>
                <w:b/>
                <w:bCs/>
                <w:lang w:val="en-GB"/>
              </w:rPr>
              <w:t>Monitoring and Alerting</w:t>
            </w:r>
          </w:p>
        </w:tc>
        <w:tc>
          <w:tcPr>
            <w:tcW w:w="7621" w:type="dxa"/>
          </w:tcPr>
          <w:p w14:paraId="4191C2E9" w14:textId="77777777" w:rsidR="00E84A33" w:rsidRDefault="00E84A33" w:rsidP="00E440AB">
            <w:pPr>
              <w:pStyle w:val="Tablecontent"/>
            </w:pPr>
            <w:r>
              <w:t xml:space="preserve">They are not peers. </w:t>
            </w:r>
          </w:p>
          <w:p w14:paraId="0FEF3A97" w14:textId="77777777" w:rsidR="00E84A33" w:rsidRDefault="00E84A33" w:rsidP="00E440AB">
            <w:pPr>
              <w:pStyle w:val="Tablecontent"/>
            </w:pPr>
            <w:r>
              <w:t>When you monitor a system, you will arrive at one of these 3 conclusions:</w:t>
            </w:r>
          </w:p>
          <w:p w14:paraId="67A77371" w14:textId="77777777" w:rsidR="00E84A33" w:rsidRDefault="00E84A33">
            <w:pPr>
              <w:pStyle w:val="Tablecontent"/>
              <w:numPr>
                <w:ilvl w:val="0"/>
                <w:numId w:val="54"/>
              </w:numPr>
            </w:pPr>
            <w:r>
              <w:t>You need to troubleshoot (because they broken or wrong)</w:t>
            </w:r>
          </w:p>
          <w:p w14:paraId="1E04A5EC" w14:textId="77777777" w:rsidR="00E84A33" w:rsidRDefault="00E84A33">
            <w:pPr>
              <w:pStyle w:val="Tablecontent"/>
              <w:numPr>
                <w:ilvl w:val="0"/>
                <w:numId w:val="54"/>
              </w:numPr>
            </w:pPr>
            <w:r>
              <w:t>You can optimize. They are not broken or wrong, but you can save money or improve performance.</w:t>
            </w:r>
          </w:p>
          <w:p w14:paraId="335E097B" w14:textId="77777777" w:rsidR="00E84A33" w:rsidRDefault="00E84A33">
            <w:pPr>
              <w:pStyle w:val="Tablecontent"/>
              <w:numPr>
                <w:ilvl w:val="0"/>
                <w:numId w:val="54"/>
              </w:numPr>
            </w:pPr>
            <w:r>
              <w:t>Nothing you can do.</w:t>
            </w:r>
          </w:p>
          <w:p w14:paraId="399E76BF" w14:textId="77777777" w:rsidR="00E84A33" w:rsidRPr="00535158" w:rsidRDefault="00E84A33" w:rsidP="00E440AB">
            <w:pPr>
              <w:pStyle w:val="Tablecontent"/>
            </w:pPr>
            <w:r>
              <w:t xml:space="preserve">Alerting is one of the 3 ways for your monitoring system to communicate to you. You interface to the tools via alerts, dashboards and reports. </w:t>
            </w:r>
          </w:p>
        </w:tc>
      </w:tr>
      <w:tr w:rsidR="00E84A33" w14:paraId="1A7702ED" w14:textId="77777777" w:rsidTr="00E440AB">
        <w:tc>
          <w:tcPr>
            <w:tcW w:w="2835" w:type="dxa"/>
            <w:shd w:val="clear" w:color="auto" w:fill="F2F2F2" w:themeFill="background1" w:themeFillShade="F2"/>
          </w:tcPr>
          <w:p w14:paraId="6329DA52" w14:textId="77777777" w:rsidR="00E84A33" w:rsidRPr="001370AE" w:rsidRDefault="00E84A33" w:rsidP="00E440AB">
            <w:pPr>
              <w:pStyle w:val="Tablecontent"/>
              <w:rPr>
                <w:b/>
                <w:bCs/>
                <w:lang w:val="en-GB"/>
              </w:rPr>
            </w:pPr>
            <w:r w:rsidRPr="001370AE">
              <w:rPr>
                <w:b/>
                <w:bCs/>
                <w:lang w:val="en-GB"/>
              </w:rPr>
              <w:t>Automate and Orchestrate</w:t>
            </w:r>
          </w:p>
        </w:tc>
        <w:tc>
          <w:tcPr>
            <w:tcW w:w="7621" w:type="dxa"/>
          </w:tcPr>
          <w:p w14:paraId="57A97193" w14:textId="77777777" w:rsidR="00E84A33" w:rsidRDefault="00E84A33" w:rsidP="00E440AB">
            <w:pPr>
              <w:pStyle w:val="Tablecontent"/>
            </w:pPr>
            <w:r>
              <w:t xml:space="preserve">Automation is the “big item”. Orchestrate is just one of the techniques in automation. It typically strings a number of different scripts, which could be in different programing languages. </w:t>
            </w:r>
          </w:p>
        </w:tc>
      </w:tr>
      <w:tr w:rsidR="00E84A33" w14:paraId="1800CAC7" w14:textId="77777777" w:rsidTr="00E440AB">
        <w:tc>
          <w:tcPr>
            <w:tcW w:w="2835" w:type="dxa"/>
            <w:shd w:val="clear" w:color="auto" w:fill="F2F2F2" w:themeFill="background1" w:themeFillShade="F2"/>
          </w:tcPr>
          <w:p w14:paraId="62B7EE80" w14:textId="77777777" w:rsidR="00E84A33" w:rsidRPr="001370AE" w:rsidRDefault="00E84A33" w:rsidP="00E440AB">
            <w:pPr>
              <w:pStyle w:val="Tablecontent"/>
              <w:rPr>
                <w:b/>
                <w:bCs/>
                <w:lang w:val="en-GB"/>
              </w:rPr>
            </w:pPr>
            <w:r w:rsidRPr="001370AE">
              <w:rPr>
                <w:b/>
                <w:bCs/>
                <w:lang w:val="en-GB"/>
              </w:rPr>
              <w:t>Operations and Governance</w:t>
            </w:r>
          </w:p>
        </w:tc>
        <w:tc>
          <w:tcPr>
            <w:tcW w:w="7621" w:type="dxa"/>
          </w:tcPr>
          <w:p w14:paraId="45458B60" w14:textId="77777777" w:rsidR="00E84A33" w:rsidRDefault="00E84A33" w:rsidP="00E440AB">
            <w:pPr>
              <w:pStyle w:val="Tablecontent"/>
            </w:pPr>
            <w:r>
              <w:t xml:space="preserve">They are the same. You manage operations by having governance. Operations management covers risk (availability risk, capacity risk, security risk) and applies control (compliance to approved configuration, clear accountability for each role, manage cost so they don’t overrun)  </w:t>
            </w:r>
          </w:p>
        </w:tc>
      </w:tr>
      <w:tr w:rsidR="00E84A33" w14:paraId="4397D715" w14:textId="77777777" w:rsidTr="00E440AB">
        <w:tc>
          <w:tcPr>
            <w:tcW w:w="2835" w:type="dxa"/>
            <w:shd w:val="clear" w:color="auto" w:fill="F2F2F2" w:themeFill="background1" w:themeFillShade="F2"/>
          </w:tcPr>
          <w:p w14:paraId="716FF328" w14:textId="77777777" w:rsidR="00E84A33" w:rsidRPr="001370AE" w:rsidRDefault="00E84A33" w:rsidP="00E440AB">
            <w:pPr>
              <w:pStyle w:val="Tablecontent"/>
              <w:rPr>
                <w:b/>
                <w:bCs/>
                <w:lang w:val="en-GB"/>
              </w:rPr>
            </w:pPr>
            <w:r w:rsidRPr="001370AE">
              <w:rPr>
                <w:b/>
                <w:bCs/>
                <w:lang w:val="en-GB"/>
              </w:rPr>
              <w:t>Demand Management</w:t>
            </w:r>
          </w:p>
        </w:tc>
        <w:tc>
          <w:tcPr>
            <w:tcW w:w="7621" w:type="dxa"/>
          </w:tcPr>
          <w:p w14:paraId="6ED02E94" w14:textId="77777777" w:rsidR="00E84A33" w:rsidRDefault="00E84A33" w:rsidP="00E440AB">
            <w:pPr>
              <w:pStyle w:val="Tablecontent"/>
            </w:pPr>
            <w:r>
              <w:t>This is part of Capacity, as the art of capacity management is about making sure there is just enough supply to meet demand. Both insufficient and too much are problems.</w:t>
            </w:r>
          </w:p>
        </w:tc>
      </w:tr>
      <w:tr w:rsidR="00E84A33" w14:paraId="0EA6F676" w14:textId="77777777" w:rsidTr="00E440AB">
        <w:tc>
          <w:tcPr>
            <w:tcW w:w="2835" w:type="dxa"/>
            <w:shd w:val="clear" w:color="auto" w:fill="F2F2F2" w:themeFill="background1" w:themeFillShade="F2"/>
          </w:tcPr>
          <w:p w14:paraId="33230916" w14:textId="77777777" w:rsidR="00E84A33" w:rsidRPr="001370AE" w:rsidRDefault="00E84A33" w:rsidP="00E440AB">
            <w:pPr>
              <w:pStyle w:val="Tablecontent"/>
              <w:rPr>
                <w:b/>
                <w:bCs/>
                <w:lang w:val="en-GB"/>
              </w:rPr>
            </w:pPr>
            <w:r w:rsidRPr="001370AE">
              <w:rPr>
                <w:b/>
                <w:bCs/>
                <w:lang w:val="en-GB"/>
              </w:rPr>
              <w:t>Continuity Management</w:t>
            </w:r>
          </w:p>
        </w:tc>
        <w:tc>
          <w:tcPr>
            <w:tcW w:w="7621" w:type="dxa"/>
          </w:tcPr>
          <w:p w14:paraId="62205D44" w14:textId="77777777" w:rsidR="00E84A33" w:rsidRDefault="00E84A33" w:rsidP="00E440AB">
            <w:pPr>
              <w:pStyle w:val="Tablecontent"/>
            </w:pPr>
            <w:r>
              <w:t xml:space="preserve">This is part of Availability, which cover snapshot, HA, DR, replication, active/active, back up, etc. </w:t>
            </w:r>
          </w:p>
        </w:tc>
      </w:tr>
    </w:tbl>
    <w:p w14:paraId="3649D0E7" w14:textId="77777777" w:rsidR="00E84A33" w:rsidRDefault="00E84A33" w:rsidP="003864F7">
      <w:pPr>
        <w:pStyle w:val="Heading5"/>
      </w:pPr>
      <w:r>
        <w:t>Maturity Model</w:t>
      </w:r>
    </w:p>
    <w:p w14:paraId="48E0050F" w14:textId="77777777" w:rsidR="00E84A33" w:rsidRDefault="00E84A33" w:rsidP="00E84A33">
      <w:pPr>
        <w:rPr>
          <w:lang w:val="en-GB"/>
        </w:rPr>
      </w:pPr>
      <w:r>
        <w:rPr>
          <w:lang w:val="en-GB"/>
        </w:rPr>
        <w:t xml:space="preserve">It’s a good practice to assess the level of operational maturity, as it allows you to summarize where you are. There are different variants of this models, so don’t be hesitant to tailor to your goals. I’ve included a short assessment at Part 4 Chapter 1 to get you going. </w:t>
      </w:r>
    </w:p>
    <w:p w14:paraId="552EF3CE" w14:textId="77777777" w:rsidR="00E84A33" w:rsidRDefault="00E84A33" w:rsidP="00E84A33">
      <w:pPr>
        <w:rPr>
          <w:lang w:val="en-GB"/>
        </w:rPr>
      </w:pPr>
      <w:r>
        <w:rPr>
          <w:lang w:val="en-GB"/>
        </w:rPr>
        <w:t>When scoring yourself, assign score on the following area:</w:t>
      </w:r>
    </w:p>
    <w:p w14:paraId="4AC2B76C" w14:textId="15008764" w:rsidR="006F3A0B" w:rsidRDefault="006F3A0B" w:rsidP="00E84A33">
      <w:pPr>
        <w:pStyle w:val="Bullet"/>
        <w:rPr>
          <w:lang w:val="en-GB"/>
        </w:rPr>
      </w:pPr>
      <w:r>
        <w:rPr>
          <w:lang w:val="en-GB"/>
        </w:rPr>
        <w:t xml:space="preserve">Policy. Is your policy outdated? Best Practice typically means proven or common practice. </w:t>
      </w:r>
    </w:p>
    <w:p w14:paraId="054BFA22" w14:textId="3C455460" w:rsidR="00E84A33" w:rsidRDefault="00E84A33" w:rsidP="00E84A33">
      <w:pPr>
        <w:pStyle w:val="Bullet"/>
        <w:rPr>
          <w:lang w:val="en-GB"/>
        </w:rPr>
      </w:pPr>
      <w:r>
        <w:rPr>
          <w:lang w:val="en-GB"/>
        </w:rPr>
        <w:t xml:space="preserve">People. How skilful is the team vs the need? This includes the way the team is organised. </w:t>
      </w:r>
    </w:p>
    <w:p w14:paraId="4EC7AB17" w14:textId="77777777" w:rsidR="00E84A33" w:rsidRDefault="00E84A33" w:rsidP="00E84A33">
      <w:pPr>
        <w:pStyle w:val="Bullet"/>
        <w:rPr>
          <w:lang w:val="en-GB"/>
        </w:rPr>
      </w:pPr>
      <w:r>
        <w:rPr>
          <w:lang w:val="en-GB"/>
        </w:rPr>
        <w:t>Process. How effective is the key processes (e.g. planning process, troubleshooting process)?</w:t>
      </w:r>
    </w:p>
    <w:p w14:paraId="5CFB68CC" w14:textId="77777777" w:rsidR="00E84A33" w:rsidRDefault="00E84A33" w:rsidP="00E84A33">
      <w:pPr>
        <w:pStyle w:val="Bullet"/>
        <w:rPr>
          <w:lang w:val="en-GB"/>
        </w:rPr>
      </w:pPr>
      <w:r>
        <w:rPr>
          <w:lang w:val="en-GB"/>
        </w:rPr>
        <w:lastRenderedPageBreak/>
        <w:t xml:space="preserve">Pillar. How mature is each pillar of operations? For example, if your capacity management is mature you are balancing cost and capacity very well. If your performance management is mature you’re not reactive to endless complaints because you have SLA formally agreed. </w:t>
      </w:r>
    </w:p>
    <w:p w14:paraId="33F032FA" w14:textId="77777777" w:rsidR="00E84A33" w:rsidRPr="00104D4C" w:rsidRDefault="00E84A33" w:rsidP="00E84A33">
      <w:pPr>
        <w:pStyle w:val="Bullet"/>
        <w:rPr>
          <w:lang w:val="en-GB"/>
        </w:rPr>
      </w:pPr>
      <w:r>
        <w:rPr>
          <w:lang w:val="en-GB"/>
        </w:rPr>
        <w:t xml:space="preserve">Technology. This covers both the technology supporting the business workload, and the IT tools used by the operations team to support the former. For example, if you do not have clear visibility, you’re flying blind. </w:t>
      </w:r>
    </w:p>
    <w:p w14:paraId="2B877E79" w14:textId="629AE46A" w:rsidR="00627CED" w:rsidRDefault="00393D21" w:rsidP="00AC6E1E">
      <w:pPr>
        <w:pStyle w:val="Heading4"/>
      </w:pPr>
      <w:r>
        <w:t xml:space="preserve">The </w:t>
      </w:r>
      <w:r w:rsidR="00627CED">
        <w:t>Pillars</w:t>
      </w:r>
    </w:p>
    <w:p w14:paraId="2CEA3B3E" w14:textId="76F4C5CD" w:rsidR="007B794E" w:rsidRDefault="007B794E" w:rsidP="00190C36">
      <w:pPr>
        <w:rPr>
          <w:lang w:val="en-GB"/>
        </w:rPr>
      </w:pPr>
      <w:r>
        <w:rPr>
          <w:lang w:val="en-GB"/>
        </w:rPr>
        <w:t>What do you actually care? Because that is what you will manage. How do manage them? What are the key processes</w:t>
      </w:r>
      <w:r w:rsidR="002B536E">
        <w:rPr>
          <w:lang w:val="en-GB"/>
        </w:rPr>
        <w:t xml:space="preserve"> required to run multicloud operations</w:t>
      </w:r>
      <w:r>
        <w:rPr>
          <w:lang w:val="en-GB"/>
        </w:rPr>
        <w:t xml:space="preserve">? </w:t>
      </w:r>
    </w:p>
    <w:p w14:paraId="3D092882" w14:textId="6613CAEE" w:rsidR="00E773C6" w:rsidRPr="0072799F" w:rsidRDefault="002A4AD5" w:rsidP="009B13B9">
      <w:r w:rsidRPr="002A4AD5">
        <w:rPr>
          <w:noProof/>
        </w:rPr>
        <w:drawing>
          <wp:inline distT="0" distB="0" distL="0" distR="0" wp14:anchorId="205CF464" wp14:editId="731377EE">
            <wp:extent cx="6645910" cy="2203450"/>
            <wp:effectExtent l="0" t="0" r="2540" b="6350"/>
            <wp:docPr id="1709717380" name="Picture 170971738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17380" name="Picture 1709717380" descr="A picture containing table&#10;&#10;Description automatically generated"/>
                    <pic:cNvPicPr/>
                  </pic:nvPicPr>
                  <pic:blipFill>
                    <a:blip r:embed="rId88"/>
                    <a:stretch>
                      <a:fillRect/>
                    </a:stretch>
                  </pic:blipFill>
                  <pic:spPr>
                    <a:xfrm>
                      <a:off x="0" y="0"/>
                      <a:ext cx="6645910" cy="2203450"/>
                    </a:xfrm>
                    <a:prstGeom prst="rect">
                      <a:avLst/>
                    </a:prstGeom>
                  </pic:spPr>
                </pic:pic>
              </a:graphicData>
            </a:graphic>
          </wp:inline>
        </w:drawing>
      </w:r>
    </w:p>
    <w:p w14:paraId="2AFF3761" w14:textId="51214784" w:rsidR="00FD7573" w:rsidRDefault="00FD7573" w:rsidP="009B13B9">
      <w:r w:rsidRPr="0072799F">
        <w:t>Each pillar is an individual unit of management</w:t>
      </w:r>
      <w:r w:rsidR="001266D8" w:rsidRPr="0072799F">
        <w:t xml:space="preserve">. </w:t>
      </w:r>
      <w:r w:rsidRPr="0072799F">
        <w:t xml:space="preserve">They represent individual disciplines and are compatible with one another. </w:t>
      </w:r>
      <w:r w:rsidR="2962944C" w:rsidRPr="0072799F">
        <w:t xml:space="preserve">The complexity of </w:t>
      </w:r>
      <w:r w:rsidR="4093F80D" w:rsidRPr="0072799F">
        <w:t>e</w:t>
      </w:r>
      <w:r w:rsidRPr="0072799F">
        <w:t xml:space="preserve">ach pillar depends on the technology, for example, vSAN capacity </w:t>
      </w:r>
      <w:r w:rsidR="37172692" w:rsidRPr="0072799F">
        <w:t xml:space="preserve">is </w:t>
      </w:r>
      <w:r w:rsidRPr="0072799F">
        <w:t xml:space="preserve">more dynamic than </w:t>
      </w:r>
      <w:r w:rsidR="03A017A0" w:rsidRPr="0072799F">
        <w:t>a</w:t>
      </w:r>
      <w:r w:rsidRPr="0072799F">
        <w:t xml:space="preserve"> central array. In vSAN, changing the storage policy can create a sudden spike.</w:t>
      </w:r>
    </w:p>
    <w:p w14:paraId="04C1666D" w14:textId="2E626532" w:rsidR="00431DB2" w:rsidRDefault="00431DB2" w:rsidP="009B13B9">
      <w:r>
        <w:t xml:space="preserve">What’s missing in the 5 pillars? </w:t>
      </w:r>
    </w:p>
    <w:p w14:paraId="73ADC73C" w14:textId="646327F1" w:rsidR="00FD7573" w:rsidRDefault="00431DB2" w:rsidP="00431DB2">
      <w:pPr>
        <w:pStyle w:val="Bullet"/>
      </w:pPr>
      <w:r>
        <w:t>Inventory</w:t>
      </w:r>
      <w:r w:rsidR="001B7C60">
        <w:t>. It</w:t>
      </w:r>
      <w:r>
        <w:t xml:space="preserve"> is </w:t>
      </w:r>
      <w:r w:rsidR="00396E6D">
        <w:t>a by-product</w:t>
      </w:r>
      <w:r w:rsidR="00FD7573" w:rsidRPr="0072799F">
        <w:t>. You plan for capacity, with certain configuration. Inventory merely accounts for what you have</w:t>
      </w:r>
      <w:r w:rsidR="00396E6D">
        <w:t xml:space="preserve"> in which location</w:t>
      </w:r>
      <w:r w:rsidR="005459F4">
        <w:t xml:space="preserve">, and how they </w:t>
      </w:r>
      <w:r w:rsidR="001D546D">
        <w:t>change</w:t>
      </w:r>
      <w:r w:rsidR="005459F4">
        <w:t xml:space="preserve"> over time</w:t>
      </w:r>
      <w:r w:rsidR="00FD7573" w:rsidRPr="0072799F">
        <w:t xml:space="preserve">. </w:t>
      </w:r>
      <w:r w:rsidR="00396E6D">
        <w:t>As you manage your cost</w:t>
      </w:r>
      <w:r w:rsidR="001D546D">
        <w:t xml:space="preserve"> &amp; </w:t>
      </w:r>
      <w:r w:rsidR="00396E6D">
        <w:t>capacity, the inventory will adjust accordingly.</w:t>
      </w:r>
    </w:p>
    <w:p w14:paraId="3BAE151C" w14:textId="3370C122" w:rsidR="00396E6D" w:rsidRDefault="00396E6D" w:rsidP="00431DB2">
      <w:pPr>
        <w:pStyle w:val="Bullet"/>
      </w:pPr>
      <w:r>
        <w:t>Configuration. Configuration is often both the problem and solution to all the above pillars. You do not manage it for the sake of managing it.</w:t>
      </w:r>
      <w:r w:rsidR="003903E3">
        <w:t xml:space="preserve"> The settings are there for a reason.</w:t>
      </w:r>
      <w:r w:rsidR="001D546D">
        <w:t xml:space="preserve"> It is a mean to an end.</w:t>
      </w:r>
    </w:p>
    <w:p w14:paraId="3F970D82" w14:textId="34B42CC5" w:rsidR="00280CFD" w:rsidRPr="0072799F" w:rsidRDefault="00280CFD" w:rsidP="00431DB2">
      <w:pPr>
        <w:pStyle w:val="Bullet"/>
      </w:pPr>
      <w:r>
        <w:t xml:space="preserve">Sustainability. </w:t>
      </w:r>
      <w:r w:rsidR="00636721">
        <w:t>It’s covered by both capacity and cost. The only thing unique is the source of power.</w:t>
      </w:r>
      <w:r w:rsidR="00923E73">
        <w:t xml:space="preserve"> It’s simply looking at the same things, albeit from a different angle</w:t>
      </w:r>
      <w:r w:rsidR="001D546D" w:rsidRPr="001D546D">
        <w:t xml:space="preserve">. </w:t>
      </w:r>
      <w:r w:rsidR="001D546D">
        <w:t xml:space="preserve">It </w:t>
      </w:r>
      <w:r w:rsidR="001D546D" w:rsidRPr="001D546D">
        <w:t>does not replace any of the existing pillars of operations management.</w:t>
      </w:r>
    </w:p>
    <w:p w14:paraId="0A4CEFE9" w14:textId="650A80C6" w:rsidR="006F3A0B" w:rsidRDefault="006F3A0B" w:rsidP="00DF196D">
      <w:bookmarkStart w:id="13" w:name="_Contention_vs_Utilization"/>
      <w:bookmarkStart w:id="14" w:name="_Roles_and_Responsibility"/>
      <w:bookmarkEnd w:id="13"/>
      <w:bookmarkEnd w:id="14"/>
      <w:r>
        <w:t>I put Security outside as it’s typically managed by a different department. Their scope extends beyond Data Center to physical building security and employee work-from-home solution.</w:t>
      </w:r>
    </w:p>
    <w:p w14:paraId="09DF61D3" w14:textId="7C45514D" w:rsidR="008E67B9" w:rsidRDefault="008E67B9" w:rsidP="00DF196D">
      <w:r>
        <w:t xml:space="preserve">What </w:t>
      </w:r>
      <w:r w:rsidR="00431DB2">
        <w:t xml:space="preserve">else </w:t>
      </w:r>
      <w:r w:rsidR="00040FCF">
        <w:t>are</w:t>
      </w:r>
      <w:r>
        <w:t xml:space="preserve"> missing in the above diagram?</w:t>
      </w:r>
    </w:p>
    <w:p w14:paraId="33202854" w14:textId="10C37819" w:rsidR="009B69C0" w:rsidRDefault="008E67B9" w:rsidP="00B607C4">
      <w:pPr>
        <w:pStyle w:val="Bullet"/>
      </w:pPr>
      <w:r>
        <w:t>Ticket</w:t>
      </w:r>
      <w:r w:rsidR="00B607C4">
        <w:t>s</w:t>
      </w:r>
      <w:r>
        <w:t xml:space="preserve">. </w:t>
      </w:r>
    </w:p>
    <w:p w14:paraId="69E43A55" w14:textId="5FAD17E9" w:rsidR="00040FCF" w:rsidRDefault="00040FCF" w:rsidP="00B607C4">
      <w:pPr>
        <w:pStyle w:val="Bullet"/>
      </w:pPr>
      <w:r>
        <w:t>Incident</w:t>
      </w:r>
      <w:r w:rsidR="00B607C4">
        <w:t>s.</w:t>
      </w:r>
    </w:p>
    <w:p w14:paraId="49AFB7C4" w14:textId="1632B8D7" w:rsidR="00B607C4" w:rsidRDefault="00B607C4" w:rsidP="00B607C4">
      <w:pPr>
        <w:pStyle w:val="Bullet"/>
      </w:pPr>
      <w:r>
        <w:lastRenderedPageBreak/>
        <w:t>Service Requests</w:t>
      </w:r>
    </w:p>
    <w:p w14:paraId="32E9BF50" w14:textId="00BF4AD6" w:rsidR="00B607C4" w:rsidRDefault="00B607C4" w:rsidP="00B607C4">
      <w:pPr>
        <w:pStyle w:val="Bullet"/>
      </w:pPr>
      <w:r>
        <w:t>Etc.</w:t>
      </w:r>
      <w:r w:rsidR="00504BDD">
        <w:t>, y</w:t>
      </w:r>
      <w:r>
        <w:t>ou get the point</w:t>
      </w:r>
      <w:r w:rsidR="00E72517">
        <w:t xml:space="preserve"> </w:t>
      </w:r>
      <w:r w:rsidR="00E72517">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E72517">
        <w:t xml:space="preserve"> </w:t>
      </w:r>
    </w:p>
    <w:p w14:paraId="12FF3B14" w14:textId="0B28F55F" w:rsidR="009B69C0" w:rsidRDefault="009B69C0" w:rsidP="00DF196D">
      <w:r>
        <w:t xml:space="preserve">Why </w:t>
      </w:r>
      <w:r w:rsidR="00B607C4">
        <w:t>are they all</w:t>
      </w:r>
      <w:r>
        <w:t xml:space="preserve"> excluded? </w:t>
      </w:r>
    </w:p>
    <w:p w14:paraId="145D0BD4" w14:textId="2CB478C8" w:rsidR="008E67B9" w:rsidRDefault="002A4AD5" w:rsidP="00DF196D">
      <w:r>
        <w:t xml:space="preserve">Because </w:t>
      </w:r>
      <w:r w:rsidR="00504BDD">
        <w:t xml:space="preserve">they are </w:t>
      </w:r>
      <w:r w:rsidR="008E67B9">
        <w:t>not something you manage, and neither your operations should be ticket based</w:t>
      </w:r>
      <w:r w:rsidR="00504BDD">
        <w:t xml:space="preserve"> or revolve around incidents</w:t>
      </w:r>
      <w:r w:rsidR="008E67B9">
        <w:t>. I’m not against the principle of using ticket as a unit of work, but majority of the implementation has been disappointing to the users. That’s odd as the very purpose of the help desk is to help the users. When you call your telco, bank, airline, etc. for support and you get a ticket, how has the experience been to you?</w:t>
      </w:r>
    </w:p>
    <w:p w14:paraId="228A67CD" w14:textId="0B177C9F" w:rsidR="00725F6D" w:rsidRDefault="00725F6D" w:rsidP="00DF196D">
      <w:r>
        <w:t xml:space="preserve">It’s terrible. </w:t>
      </w:r>
    </w:p>
    <w:p w14:paraId="1F1483E1" w14:textId="4D17246A" w:rsidR="00725F6D" w:rsidRDefault="00725F6D" w:rsidP="00DF196D">
      <w:r>
        <w:t xml:space="preserve">So </w:t>
      </w:r>
      <w:r w:rsidR="003903E3">
        <w:t xml:space="preserve">why </w:t>
      </w:r>
      <w:r>
        <w:t>impose that bad experience to your customers?</w:t>
      </w:r>
    </w:p>
    <w:p w14:paraId="2960758B" w14:textId="59CDCC41" w:rsidR="008A415E" w:rsidRDefault="003903E3" w:rsidP="00E7573A">
      <w:pPr>
        <w:pStyle w:val="Heading5"/>
      </w:pPr>
      <w:r>
        <w:t>I</w:t>
      </w:r>
      <w:r w:rsidRPr="00BC6C73">
        <w:t>nterdependen</w:t>
      </w:r>
      <w:r>
        <w:t>ce</w:t>
      </w:r>
    </w:p>
    <w:p w14:paraId="073CD691" w14:textId="62A0DC18" w:rsidR="00DF196D" w:rsidRDefault="00FB3238" w:rsidP="002B6EB1">
      <w:r>
        <w:t xml:space="preserve">The </w:t>
      </w:r>
      <w:r w:rsidR="006F3A0B">
        <w:t xml:space="preserve">5 </w:t>
      </w:r>
      <w:r>
        <w:t xml:space="preserve">pillars of </w:t>
      </w:r>
      <w:r w:rsidRPr="00BC6C73">
        <w:t xml:space="preserve">Operations Management </w:t>
      </w:r>
      <w:r>
        <w:t xml:space="preserve">are </w:t>
      </w:r>
      <w:r w:rsidRPr="00BC6C73">
        <w:t xml:space="preserve">interdependent. Knowing the relationship is as important as knowing </w:t>
      </w:r>
      <w:r w:rsidR="006F3A0B">
        <w:t>the individual</w:t>
      </w:r>
      <w:r w:rsidRPr="00BC6C73">
        <w:t xml:space="preserve">. Relationship matters as the symptom and the root cause are often </w:t>
      </w:r>
      <w:r>
        <w:t>two</w:t>
      </w:r>
      <w:r w:rsidRPr="00BC6C73">
        <w:t xml:space="preserve"> different things. A performance problem could be caused by configuration</w:t>
      </w:r>
      <w:r>
        <w:t xml:space="preserve"> problem, such as outdated configuration or incompatible versions</w:t>
      </w:r>
      <w:r w:rsidRPr="00BC6C73">
        <w:t>.</w:t>
      </w:r>
    </w:p>
    <w:p w14:paraId="4EDC2263" w14:textId="2D6FB7CD" w:rsidR="002B6EB1" w:rsidRDefault="006F3A0B" w:rsidP="000424C7">
      <w:pPr>
        <w:jc w:val="center"/>
      </w:pPr>
      <w:r w:rsidRPr="006F3A0B">
        <w:rPr>
          <w:noProof/>
        </w:rPr>
        <w:drawing>
          <wp:inline distT="0" distB="0" distL="0" distR="0" wp14:anchorId="31EB0884" wp14:editId="20B29003">
            <wp:extent cx="5359675" cy="2444876"/>
            <wp:effectExtent l="0" t="0" r="0"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359675" cy="2444876"/>
                    </a:xfrm>
                    <a:prstGeom prst="rect">
                      <a:avLst/>
                    </a:prstGeom>
                  </pic:spPr>
                </pic:pic>
              </a:graphicData>
            </a:graphic>
          </wp:inline>
        </w:drawing>
      </w:r>
    </w:p>
    <w:p w14:paraId="29F46322" w14:textId="3DCBECEE" w:rsidR="006F3A0B" w:rsidRDefault="006F3A0B" w:rsidP="001370AE">
      <w:r>
        <w:t xml:space="preserve">I chose a </w:t>
      </w:r>
      <w:r w:rsidR="00CF7D2C" w:rsidRPr="00CF7D2C">
        <w:rPr>
          <w:color w:val="FF0000"/>
        </w:rPr>
        <w:t>red</w:t>
      </w:r>
      <w:r>
        <w:t xml:space="preserve"> line as it’s a complex relationship. As Capacity goes down, Performance is steady. As Capacity drops below 0%, performance takes a hit.</w:t>
      </w:r>
    </w:p>
    <w:p w14:paraId="571E2E7A" w14:textId="666E4083" w:rsidR="006F3A0B" w:rsidRDefault="006F3A0B" w:rsidP="001370AE">
      <w:r>
        <w:t xml:space="preserve">Line with arrow head means there is impact. </w:t>
      </w:r>
    </w:p>
    <w:p w14:paraId="2727B545" w14:textId="105DBEC0" w:rsidR="006F3A0B" w:rsidRDefault="006F3A0B" w:rsidP="006F3A0B">
      <w:pPr>
        <w:pStyle w:val="Bullet"/>
      </w:pPr>
      <w:r>
        <w:t xml:space="preserve">Availability increases your cost, as you’re adding extra resources for no capacity benefit. </w:t>
      </w:r>
    </w:p>
    <w:p w14:paraId="2EADC0E6" w14:textId="7AAAB5A9" w:rsidR="006F3A0B" w:rsidRDefault="006F3A0B" w:rsidP="006F3A0B">
      <w:pPr>
        <w:pStyle w:val="Bullet"/>
      </w:pPr>
      <w:r>
        <w:t>Compliance typically increases your cost</w:t>
      </w:r>
    </w:p>
    <w:p w14:paraId="5EF3599A" w14:textId="42758EC2" w:rsidR="006F3A0B" w:rsidRDefault="006F3A0B" w:rsidP="001370AE">
      <w:r>
        <w:t xml:space="preserve">Line without arrow head means there is relationship but not impact. </w:t>
      </w:r>
    </w:p>
    <w:p w14:paraId="32F27F8B" w14:textId="355E8F72" w:rsidR="006F3A0B" w:rsidRDefault="006F3A0B" w:rsidP="006F3A0B">
      <w:pPr>
        <w:pStyle w:val="Bullet"/>
      </w:pPr>
      <w:r>
        <w:t>Availability and Capacity should not overlap. You calculate capacity after taking out availability.</w:t>
      </w:r>
    </w:p>
    <w:p w14:paraId="07B1E88D" w14:textId="3D91D868" w:rsidR="006F3A0B" w:rsidRDefault="006F3A0B" w:rsidP="006F3A0B">
      <w:pPr>
        <w:pStyle w:val="Bullet"/>
      </w:pPr>
      <w:r>
        <w:t>Inventory and Configuration do not impact each other.</w:t>
      </w:r>
    </w:p>
    <w:p w14:paraId="44003CA3" w14:textId="054921C4" w:rsidR="00DF196D" w:rsidRDefault="006F3A0B" w:rsidP="001370AE">
      <w:r>
        <w:t>L</w:t>
      </w:r>
      <w:r w:rsidR="00DF196D">
        <w:t>et’s elaborate each pillar</w:t>
      </w:r>
      <w:r w:rsidR="00C11CF6">
        <w:t>.</w:t>
      </w:r>
      <w:r w:rsidR="004F0281">
        <w:t xml:space="preserve"> </w:t>
      </w:r>
    </w:p>
    <w:p w14:paraId="0F1C6654" w14:textId="34769367" w:rsidR="00FA0FB6" w:rsidRDefault="00FA0FB6" w:rsidP="00FA0FB6">
      <w:pPr>
        <w:pStyle w:val="Heading5"/>
      </w:pPr>
      <w:r>
        <w:lastRenderedPageBreak/>
        <w:t>Availability</w:t>
      </w:r>
    </w:p>
    <w:p w14:paraId="61769B6F" w14:textId="683A266E" w:rsidR="00C50277" w:rsidRDefault="00C50277" w:rsidP="00C50277">
      <w:r>
        <w:t xml:space="preserve">Why do I start with availability as the first pillar? </w:t>
      </w:r>
    </w:p>
    <w:p w14:paraId="366FD782" w14:textId="0F949B43" w:rsidR="004F0281" w:rsidRDefault="00C50277" w:rsidP="001370AE">
      <w:r>
        <w:t>Because it is t</w:t>
      </w:r>
      <w:r w:rsidR="004F0281">
        <w:t>he most fundamental part of operations management</w:t>
      </w:r>
      <w:r>
        <w:t>. T</w:t>
      </w:r>
      <w:r w:rsidR="004F0281">
        <w:t xml:space="preserve">he rest of the </w:t>
      </w:r>
      <w:r w:rsidR="00FB3238">
        <w:t>p</w:t>
      </w:r>
      <w:r w:rsidR="004F0281">
        <w:t>illar are irrelevant if the whole environment is down.</w:t>
      </w:r>
      <w:r w:rsidR="009204A0">
        <w:t xml:space="preserve"> You have no security issue if your entire DC is down </w:t>
      </w:r>
      <w:r w:rsidR="009204A0">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9204A0">
        <w:t xml:space="preserve"> </w:t>
      </w:r>
    </w:p>
    <w:p w14:paraId="09107FDB" w14:textId="4812EBAC" w:rsidR="00FA0FB6" w:rsidRDefault="00FA0FB6" w:rsidP="00FA0FB6">
      <w:r>
        <w:t xml:space="preserve">There is a spectrum of availability solution, from snapshot, back up, HA, Fault Tolerant and SRM. Each can have impact on cost. Most of them requires additional resources so they must be part of capacity planning, so they do not impact performance. For example, </w:t>
      </w:r>
      <w:r w:rsidR="009204A0">
        <w:t xml:space="preserve">load balancers </w:t>
      </w:r>
      <w:r>
        <w:t xml:space="preserve">and </w:t>
      </w:r>
      <w:r w:rsidR="009204A0">
        <w:t>r</w:t>
      </w:r>
      <w:r>
        <w:t>eplication need to be accounted for.</w:t>
      </w:r>
    </w:p>
    <w:p w14:paraId="5905B4EC" w14:textId="77777777" w:rsidR="00FA0FB6" w:rsidRDefault="00FA0FB6" w:rsidP="00FA0FB6">
      <w:r>
        <w:t>You also need to include the potential workload caused by DR events in your capacity planning.</w:t>
      </w:r>
    </w:p>
    <w:p w14:paraId="4AFA9CB2" w14:textId="77777777" w:rsidR="00FA0FB6" w:rsidRDefault="00FA0FB6" w:rsidP="00FA0FB6">
      <w:r>
        <w:t>There are 2 metrics for availability</w:t>
      </w:r>
    </w:p>
    <w:p w14:paraId="0B5A4623" w14:textId="6B770D47" w:rsidR="00FA0FB6" w:rsidRDefault="00FA0FB6" w:rsidP="00FA0FB6">
      <w:pPr>
        <w:pStyle w:val="Bullet"/>
      </w:pPr>
      <w:r>
        <w:t>Actual Availability (%)</w:t>
      </w:r>
    </w:p>
    <w:p w14:paraId="21416EA7" w14:textId="20DB2EBA" w:rsidR="00FA0FB6" w:rsidRDefault="00FA0FB6" w:rsidP="00FA0FB6">
      <w:pPr>
        <w:pStyle w:val="Bullet"/>
      </w:pPr>
      <w:r>
        <w:t>Operational Availability (%)</w:t>
      </w:r>
    </w:p>
    <w:p w14:paraId="66903A0D" w14:textId="36C69B91" w:rsidR="00AF6163" w:rsidRDefault="00FA0FB6" w:rsidP="00FA0FB6">
      <w:r>
        <w:t>The first one simply measures the fact</w:t>
      </w:r>
      <w:r w:rsidR="00AF6163">
        <w:t xml:space="preserve"> as it is</w:t>
      </w:r>
      <w:r>
        <w:t xml:space="preserve">. </w:t>
      </w:r>
      <w:r w:rsidR="00AF6163">
        <w:t>It does not consider HA (high availability) setting and scheduled down time.</w:t>
      </w:r>
    </w:p>
    <w:p w14:paraId="663ED083" w14:textId="25D7C552" w:rsidR="00FA0FB6" w:rsidRDefault="00FA0FB6" w:rsidP="00FA0FB6">
      <w:r>
        <w:t xml:space="preserve">Operational Availability </w:t>
      </w:r>
      <w:r w:rsidR="00AF6163">
        <w:t xml:space="preserve">complements it by </w:t>
      </w:r>
      <w:r>
        <w:t>consider</w:t>
      </w:r>
      <w:r w:rsidR="00AF6163">
        <w:t>ing the above. So its value will be higher, as it reflects the operational impact. This is also the number used in SLA.</w:t>
      </w:r>
    </w:p>
    <w:p w14:paraId="39FFE255" w14:textId="0A0E1C58" w:rsidR="00FA0FB6" w:rsidRDefault="00FA0FB6" w:rsidP="00FA0FB6">
      <w:r>
        <w:t xml:space="preserve">The higher the Availability SLA, the higher the </w:t>
      </w:r>
      <w:r w:rsidR="002B6EB1">
        <w:t xml:space="preserve">cost </w:t>
      </w:r>
      <w:r>
        <w:t>of the service. There is a big increase for each additional 9 of availability. Five 9s of availability costs 10x more than four 9s as the margin of error is reduced by 10x.</w:t>
      </w:r>
    </w:p>
    <w:p w14:paraId="5A6209AC" w14:textId="6FD96FB6" w:rsidR="002B6EB1" w:rsidRDefault="002B6EB1" w:rsidP="00FA0FB6">
      <w:r>
        <w:t xml:space="preserve">Why isn’t there a line to Performance? </w:t>
      </w:r>
    </w:p>
    <w:p w14:paraId="039F7A27" w14:textId="39473578" w:rsidR="002B6EB1" w:rsidRDefault="002B6EB1" w:rsidP="00FA0FB6">
      <w:r>
        <w:t>Availability problem</w:t>
      </w:r>
      <w:r w:rsidR="00C50277">
        <w:t>, when it’s accounted for in the design,</w:t>
      </w:r>
      <w:r>
        <w:t xml:space="preserve"> should not impact performance, as it does not lead to a drop of usable capacity. </w:t>
      </w:r>
    </w:p>
    <w:p w14:paraId="48A13971" w14:textId="7F077E9D" w:rsidR="00FA0FB6" w:rsidRDefault="00FA0FB6" w:rsidP="00FA0FB6">
      <w:pPr>
        <w:pStyle w:val="Heading5"/>
      </w:pPr>
      <w:r>
        <w:t>Performance</w:t>
      </w:r>
    </w:p>
    <w:p w14:paraId="4B76F60E" w14:textId="21AEC7C1" w:rsidR="00785465" w:rsidRDefault="00BD3EB4" w:rsidP="00FA0FB6">
      <w:r>
        <w:t xml:space="preserve">Just because something is up, does not mean it’s fast. </w:t>
      </w:r>
      <w:r w:rsidR="00A97F1E">
        <w:t xml:space="preserve">On the other hand, if you have catered for HA, you can have part of the system down but no impact on performance. </w:t>
      </w:r>
    </w:p>
    <w:p w14:paraId="3C640917" w14:textId="77777777" w:rsidR="00D50E20" w:rsidRDefault="00D50E20" w:rsidP="00D50E20">
      <w:r w:rsidRPr="002639BB">
        <w:t xml:space="preserve">Performance is more time sensitive and important than capacity. Manage performance first, capacity second. Using the </w:t>
      </w:r>
      <w:hyperlink w:anchor="_The_Restaurant_Analogy" w:history="1">
        <w:r w:rsidRPr="002639BB">
          <w:rPr>
            <w:rStyle w:val="Hyperlink"/>
          </w:rPr>
          <w:t>restaurant analogy</w:t>
        </w:r>
      </w:hyperlink>
      <w:r w:rsidRPr="002639BB">
        <w:t>, you focus on the dining area first, then the kitchen</w:t>
      </w:r>
      <w:r>
        <w:t>.</w:t>
      </w:r>
    </w:p>
    <w:p w14:paraId="6BD5F57F" w14:textId="77777777" w:rsidR="00FA0FB6" w:rsidRPr="002639BB" w:rsidRDefault="00FA0FB6" w:rsidP="00FA0FB6">
      <w:r>
        <w:t>This is probably the single largest pillar of operations. This is why the next chapter is Performance Management.</w:t>
      </w:r>
    </w:p>
    <w:p w14:paraId="6168F358" w14:textId="42AFF810" w:rsidR="002B6EB1" w:rsidRDefault="002B6EB1" w:rsidP="00FA0FB6">
      <w:r>
        <w:t xml:space="preserve">The primary </w:t>
      </w:r>
      <w:r w:rsidR="00E42CBE">
        <w:t>metric</w:t>
      </w:r>
      <w:r>
        <w:t xml:space="preserve"> for performance is contention.</w:t>
      </w:r>
      <w:r w:rsidR="009E41A0">
        <w:t xml:space="preserve"> You don’t have performance issue is there is no contention. One common cause for contention is utilization over capacity or limit. This is why I drew a line between Performance and Capacity.</w:t>
      </w:r>
    </w:p>
    <w:p w14:paraId="1303A01C" w14:textId="20B7DAF3" w:rsidR="002B6EB1" w:rsidRDefault="002B6EB1" w:rsidP="00FA0FB6">
      <w:r>
        <w:t xml:space="preserve">Why isn’t there a line from </w:t>
      </w:r>
      <w:r w:rsidR="006F3A0B">
        <w:t>Consumption</w:t>
      </w:r>
      <w:r>
        <w:t xml:space="preserve">? </w:t>
      </w:r>
    </w:p>
    <w:p w14:paraId="70604915" w14:textId="2C775908" w:rsidR="009E41A0" w:rsidRDefault="009E41A0" w:rsidP="00FA0FB6">
      <w:r>
        <w:t xml:space="preserve">Because there is no definite correlation. </w:t>
      </w:r>
    </w:p>
    <w:p w14:paraId="799F65DD" w14:textId="2B49C545" w:rsidR="00622F47" w:rsidRDefault="00622F47" w:rsidP="00FA0FB6">
      <w:r>
        <w:t>BTW, I do not put Reliability as a pillar as that’s already covered by performance and availability. For example, if your website performance is not reliable or its uptime is not stable, you will troubleshoot from performance or availability angle. There is no need to elevate a function or nature of something into an entity, as you end up with overlap.</w:t>
      </w:r>
    </w:p>
    <w:p w14:paraId="2F906E7B" w14:textId="6DE6455C" w:rsidR="00FA0FB6" w:rsidRDefault="00FA0FB6" w:rsidP="00FA0FB6">
      <w:pPr>
        <w:pStyle w:val="Heading5"/>
      </w:pPr>
      <w:r>
        <w:lastRenderedPageBreak/>
        <w:t>Capacity</w:t>
      </w:r>
    </w:p>
    <w:p w14:paraId="3EFE5489" w14:textId="18D0A6DF" w:rsidR="00624A95" w:rsidRDefault="00926589" w:rsidP="009458FA">
      <w:r>
        <w:t xml:space="preserve">There are 2 types of capacity: </w:t>
      </w:r>
    </w:p>
    <w:p w14:paraId="179E799A" w14:textId="77777777" w:rsidR="00944CD3" w:rsidRDefault="00944CD3" w:rsidP="00944CD3">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785"/>
        <w:gridCol w:w="3870"/>
        <w:gridCol w:w="3801"/>
      </w:tblGrid>
      <w:tr w:rsidR="00624A95" w14:paraId="25A38614" w14:textId="77777777" w:rsidTr="00624A95">
        <w:tc>
          <w:tcPr>
            <w:tcW w:w="2785" w:type="dxa"/>
            <w:shd w:val="clear" w:color="auto" w:fill="F2F2F2" w:themeFill="background1" w:themeFillShade="F2"/>
          </w:tcPr>
          <w:p w14:paraId="587CAE06" w14:textId="77777777" w:rsidR="00624A95" w:rsidRDefault="00624A95" w:rsidP="00624A95">
            <w:pPr>
              <w:pStyle w:val="Tableheading"/>
            </w:pPr>
          </w:p>
        </w:tc>
        <w:tc>
          <w:tcPr>
            <w:tcW w:w="3870" w:type="dxa"/>
            <w:shd w:val="clear" w:color="auto" w:fill="F2F2F2" w:themeFill="background1" w:themeFillShade="F2"/>
          </w:tcPr>
          <w:p w14:paraId="422CEEFA" w14:textId="7F34A7D0" w:rsidR="00624A95" w:rsidRDefault="00624A95" w:rsidP="00624A95">
            <w:pPr>
              <w:pStyle w:val="Tableheading"/>
            </w:pPr>
            <w:r>
              <w:t>Short Term</w:t>
            </w:r>
          </w:p>
        </w:tc>
        <w:tc>
          <w:tcPr>
            <w:tcW w:w="3801" w:type="dxa"/>
            <w:shd w:val="clear" w:color="auto" w:fill="F2F2F2" w:themeFill="background1" w:themeFillShade="F2"/>
          </w:tcPr>
          <w:p w14:paraId="50D8BBA5" w14:textId="7E64BCFF" w:rsidR="00624A95" w:rsidRDefault="00624A95" w:rsidP="00624A95">
            <w:pPr>
              <w:pStyle w:val="Tableheading"/>
            </w:pPr>
            <w:r>
              <w:t>Long Term</w:t>
            </w:r>
          </w:p>
        </w:tc>
      </w:tr>
      <w:tr w:rsidR="00624A95" w14:paraId="45159037" w14:textId="77777777" w:rsidTr="00624A95">
        <w:tc>
          <w:tcPr>
            <w:tcW w:w="2785" w:type="dxa"/>
          </w:tcPr>
          <w:p w14:paraId="0D5B7EA4" w14:textId="6F2FD648" w:rsidR="00624A95" w:rsidRDefault="00624A95" w:rsidP="00624A95">
            <w:pPr>
              <w:pStyle w:val="Tablecontent"/>
            </w:pPr>
            <w:r>
              <w:t>Performed by</w:t>
            </w:r>
          </w:p>
        </w:tc>
        <w:tc>
          <w:tcPr>
            <w:tcW w:w="3870" w:type="dxa"/>
          </w:tcPr>
          <w:p w14:paraId="0A161719" w14:textId="07147F05" w:rsidR="00624A95" w:rsidRDefault="00624A95" w:rsidP="00624A95">
            <w:pPr>
              <w:pStyle w:val="Tablecontent"/>
            </w:pPr>
            <w:r>
              <w:t>Day to day Operations</w:t>
            </w:r>
          </w:p>
        </w:tc>
        <w:tc>
          <w:tcPr>
            <w:tcW w:w="3801" w:type="dxa"/>
          </w:tcPr>
          <w:p w14:paraId="0C80D26E" w14:textId="11F8A0EF" w:rsidR="00624A95" w:rsidRDefault="00624A95" w:rsidP="00624A95">
            <w:pPr>
              <w:pStyle w:val="Tablecontent"/>
            </w:pPr>
            <w:r>
              <w:t>Capacity Planning</w:t>
            </w:r>
          </w:p>
        </w:tc>
      </w:tr>
      <w:tr w:rsidR="00624A95" w14:paraId="06118137" w14:textId="77777777" w:rsidTr="00624A95">
        <w:tc>
          <w:tcPr>
            <w:tcW w:w="2785" w:type="dxa"/>
          </w:tcPr>
          <w:p w14:paraId="01BC3DCD" w14:textId="50C22891" w:rsidR="00624A95" w:rsidRDefault="00624A95" w:rsidP="00624A95">
            <w:pPr>
              <w:pStyle w:val="Tablecontent"/>
            </w:pPr>
            <w:r>
              <w:t>Availability Management</w:t>
            </w:r>
          </w:p>
        </w:tc>
        <w:tc>
          <w:tcPr>
            <w:tcW w:w="3870" w:type="dxa"/>
          </w:tcPr>
          <w:p w14:paraId="2D9B8630" w14:textId="4B4CD1B6" w:rsidR="00624A95" w:rsidRDefault="00624A95" w:rsidP="00624A95">
            <w:pPr>
              <w:pStyle w:val="Tablecontent"/>
            </w:pPr>
            <w:r>
              <w:t>Highly relevant</w:t>
            </w:r>
          </w:p>
        </w:tc>
        <w:tc>
          <w:tcPr>
            <w:tcW w:w="3801" w:type="dxa"/>
          </w:tcPr>
          <w:p w14:paraId="4277B96E" w14:textId="2C4CC9BA" w:rsidR="00624A95" w:rsidRDefault="00624A95" w:rsidP="00624A95">
            <w:pPr>
              <w:pStyle w:val="Tablecontent"/>
            </w:pPr>
            <w:r>
              <w:t>Not so much</w:t>
            </w:r>
          </w:p>
        </w:tc>
      </w:tr>
      <w:tr w:rsidR="00944CD3" w14:paraId="75FDCB1D" w14:textId="77777777" w:rsidTr="00624A95">
        <w:tc>
          <w:tcPr>
            <w:tcW w:w="2785" w:type="dxa"/>
          </w:tcPr>
          <w:p w14:paraId="05AE0B41" w14:textId="048D3425" w:rsidR="00944CD3" w:rsidRDefault="00944CD3" w:rsidP="00944CD3">
            <w:pPr>
              <w:pStyle w:val="Tablecontent"/>
            </w:pPr>
            <w:r>
              <w:t>Performance Management</w:t>
            </w:r>
          </w:p>
        </w:tc>
        <w:tc>
          <w:tcPr>
            <w:tcW w:w="3870" w:type="dxa"/>
          </w:tcPr>
          <w:p w14:paraId="00F269CD" w14:textId="4E70462C" w:rsidR="00944CD3" w:rsidRDefault="00944CD3" w:rsidP="00944CD3">
            <w:pPr>
              <w:pStyle w:val="Tablecontent"/>
            </w:pPr>
            <w:r>
              <w:t>Highly relevant</w:t>
            </w:r>
          </w:p>
        </w:tc>
        <w:tc>
          <w:tcPr>
            <w:tcW w:w="3801" w:type="dxa"/>
          </w:tcPr>
          <w:p w14:paraId="6ED17EE3" w14:textId="4440E3DF" w:rsidR="00944CD3" w:rsidRDefault="00944CD3" w:rsidP="00944CD3">
            <w:pPr>
              <w:pStyle w:val="Tablecontent"/>
            </w:pPr>
            <w:r>
              <w:t>Not so much</w:t>
            </w:r>
          </w:p>
        </w:tc>
      </w:tr>
      <w:tr w:rsidR="00944CD3" w14:paraId="4FBCE90B" w14:textId="77777777" w:rsidTr="00624A95">
        <w:tc>
          <w:tcPr>
            <w:tcW w:w="2785" w:type="dxa"/>
          </w:tcPr>
          <w:p w14:paraId="5B599685" w14:textId="2D5125D2" w:rsidR="00944CD3" w:rsidRDefault="00944CD3" w:rsidP="00944CD3">
            <w:pPr>
              <w:pStyle w:val="Tablecontent"/>
            </w:pPr>
            <w:r>
              <w:t>Cost Management</w:t>
            </w:r>
          </w:p>
        </w:tc>
        <w:tc>
          <w:tcPr>
            <w:tcW w:w="3870" w:type="dxa"/>
          </w:tcPr>
          <w:p w14:paraId="16F05CF0" w14:textId="6F80033A" w:rsidR="00944CD3" w:rsidRDefault="00944CD3" w:rsidP="00944CD3">
            <w:pPr>
              <w:pStyle w:val="Tablecontent"/>
            </w:pPr>
            <w:r>
              <w:t>Not so much</w:t>
            </w:r>
          </w:p>
        </w:tc>
        <w:tc>
          <w:tcPr>
            <w:tcW w:w="3801" w:type="dxa"/>
          </w:tcPr>
          <w:p w14:paraId="1E2A16E4" w14:textId="489056DC" w:rsidR="00944CD3" w:rsidRDefault="00944CD3" w:rsidP="00944CD3">
            <w:pPr>
              <w:pStyle w:val="Tablecontent"/>
            </w:pPr>
            <w:r>
              <w:t>Highly relevant</w:t>
            </w:r>
          </w:p>
        </w:tc>
      </w:tr>
      <w:tr w:rsidR="00944CD3" w14:paraId="6147944C" w14:textId="77777777" w:rsidTr="00624A95">
        <w:tc>
          <w:tcPr>
            <w:tcW w:w="2785" w:type="dxa"/>
          </w:tcPr>
          <w:p w14:paraId="2B08E4B4" w14:textId="79B141C5" w:rsidR="00944CD3" w:rsidRDefault="00944CD3" w:rsidP="00944CD3">
            <w:pPr>
              <w:pStyle w:val="Tablecontent"/>
            </w:pPr>
            <w:r>
              <w:t>Timeline</w:t>
            </w:r>
          </w:p>
        </w:tc>
        <w:tc>
          <w:tcPr>
            <w:tcW w:w="3870" w:type="dxa"/>
          </w:tcPr>
          <w:p w14:paraId="0F3A98C6" w14:textId="69FAE231" w:rsidR="00944CD3" w:rsidRDefault="00944CD3" w:rsidP="00944CD3">
            <w:pPr>
              <w:pStyle w:val="Tablecontent"/>
            </w:pPr>
            <w:r>
              <w:t>Minutes to a few days</w:t>
            </w:r>
          </w:p>
        </w:tc>
        <w:tc>
          <w:tcPr>
            <w:tcW w:w="3801" w:type="dxa"/>
          </w:tcPr>
          <w:p w14:paraId="56038D10" w14:textId="30E78E26" w:rsidR="00944CD3" w:rsidRDefault="00944CD3" w:rsidP="00944CD3">
            <w:pPr>
              <w:pStyle w:val="Tablecontent"/>
            </w:pPr>
            <w:r>
              <w:t>1 week to 1 year</w:t>
            </w:r>
          </w:p>
        </w:tc>
      </w:tr>
      <w:tr w:rsidR="00944CD3" w14:paraId="62E38CF7" w14:textId="77777777" w:rsidTr="00624A95">
        <w:tc>
          <w:tcPr>
            <w:tcW w:w="2785" w:type="dxa"/>
          </w:tcPr>
          <w:p w14:paraId="61863D8D" w14:textId="27E3A3ED" w:rsidR="00944CD3" w:rsidRDefault="00944CD3" w:rsidP="00944CD3">
            <w:pPr>
              <w:pStyle w:val="Tablecontent"/>
            </w:pPr>
            <w:r>
              <w:t>Scope</w:t>
            </w:r>
          </w:p>
        </w:tc>
        <w:tc>
          <w:tcPr>
            <w:tcW w:w="3870" w:type="dxa"/>
          </w:tcPr>
          <w:p w14:paraId="75F42F73" w14:textId="4790CC28" w:rsidR="00944CD3" w:rsidRDefault="00944CD3" w:rsidP="00944CD3">
            <w:pPr>
              <w:pStyle w:val="Tablecontent"/>
            </w:pPr>
            <w:r>
              <w:t>Resources that can be provisioned within an hour or so</w:t>
            </w:r>
          </w:p>
        </w:tc>
        <w:tc>
          <w:tcPr>
            <w:tcW w:w="3801" w:type="dxa"/>
          </w:tcPr>
          <w:p w14:paraId="33CD37D4" w14:textId="099A9F4F" w:rsidR="00944CD3" w:rsidRDefault="00944CD3" w:rsidP="00944CD3">
            <w:pPr>
              <w:pStyle w:val="Tablecontent"/>
            </w:pPr>
            <w:r>
              <w:t>Resources that are not yet purchased</w:t>
            </w:r>
          </w:p>
        </w:tc>
      </w:tr>
      <w:tr w:rsidR="00944CD3" w14:paraId="40CC41D7" w14:textId="77777777" w:rsidTr="00624A95">
        <w:tc>
          <w:tcPr>
            <w:tcW w:w="2785" w:type="dxa"/>
          </w:tcPr>
          <w:p w14:paraId="35E881B8" w14:textId="1F0B6FE8" w:rsidR="00944CD3" w:rsidRDefault="00944CD3" w:rsidP="00944CD3">
            <w:pPr>
              <w:pStyle w:val="Tablecontent"/>
            </w:pPr>
            <w:r>
              <w:t>Focus</w:t>
            </w:r>
          </w:p>
        </w:tc>
        <w:tc>
          <w:tcPr>
            <w:tcW w:w="3870" w:type="dxa"/>
          </w:tcPr>
          <w:p w14:paraId="33C549FC" w14:textId="1DC36370" w:rsidR="00944CD3" w:rsidRDefault="00944CD3" w:rsidP="00944CD3">
            <w:pPr>
              <w:pStyle w:val="Tablecontent"/>
            </w:pPr>
            <w:r>
              <w:t>Hardware</w:t>
            </w:r>
          </w:p>
        </w:tc>
        <w:tc>
          <w:tcPr>
            <w:tcW w:w="3801" w:type="dxa"/>
          </w:tcPr>
          <w:p w14:paraId="32B40FBB" w14:textId="6C22862B" w:rsidR="00944CD3" w:rsidRDefault="00944CD3" w:rsidP="00944CD3">
            <w:pPr>
              <w:pStyle w:val="Tablecontent"/>
            </w:pPr>
            <w:r>
              <w:t>Software (as they are more expensive)</w:t>
            </w:r>
          </w:p>
        </w:tc>
      </w:tr>
    </w:tbl>
    <w:p w14:paraId="0254D1E1" w14:textId="77777777" w:rsidR="00944CD3" w:rsidRDefault="00944CD3" w:rsidP="00944CD3">
      <w:pPr>
        <w:pStyle w:val="BeforeTable"/>
      </w:pPr>
    </w:p>
    <w:p w14:paraId="652A0CA4" w14:textId="3F643512" w:rsidR="009458FA" w:rsidRDefault="00926589" w:rsidP="009458FA">
      <w:r>
        <w:t xml:space="preserve">Short term capacity is </w:t>
      </w:r>
      <w:r w:rsidR="005F7E98">
        <w:t xml:space="preserve">related to performance. </w:t>
      </w:r>
      <w:r w:rsidR="005408ED">
        <w:t xml:space="preserve">They </w:t>
      </w:r>
      <w:r w:rsidR="005408ED" w:rsidRPr="002639BB">
        <w:t xml:space="preserve">are </w:t>
      </w:r>
      <w:r w:rsidR="00A97F1E" w:rsidRPr="002639BB">
        <w:t>interdependent;</w:t>
      </w:r>
      <w:r w:rsidR="005408ED" w:rsidRPr="002639BB">
        <w:t xml:space="preserve"> hence one is often mistaken by the other</w:t>
      </w:r>
      <w:r w:rsidR="00FA0FB6">
        <w:t>.</w:t>
      </w:r>
    </w:p>
    <w:p w14:paraId="289E6A33" w14:textId="26510AA4" w:rsidR="000424C7" w:rsidRDefault="0080113B" w:rsidP="0080113B">
      <w:pPr>
        <w:jc w:val="center"/>
      </w:pPr>
      <w:r w:rsidRPr="0080113B">
        <w:rPr>
          <w:noProof/>
        </w:rPr>
        <w:drawing>
          <wp:inline distT="0" distB="0" distL="0" distR="0" wp14:anchorId="0E120BC0" wp14:editId="655973E1">
            <wp:extent cx="5950256" cy="2063856"/>
            <wp:effectExtent l="0" t="0" r="0" b="0"/>
            <wp:docPr id="1525330296" name="Picture 1525330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5950256" cy="2063856"/>
                    </a:xfrm>
                    <a:prstGeom prst="rect">
                      <a:avLst/>
                    </a:prstGeom>
                  </pic:spPr>
                </pic:pic>
              </a:graphicData>
            </a:graphic>
          </wp:inline>
        </w:drawing>
      </w:r>
    </w:p>
    <w:p w14:paraId="5A9CEFA6" w14:textId="7A679DE3" w:rsidR="00FA0FB6" w:rsidRDefault="00FA0FB6" w:rsidP="00FA0FB6">
      <w:r>
        <w:t xml:space="preserve">Capacity is affected by Performance as it needs to consider contention </w:t>
      </w:r>
      <w:r w:rsidR="00E42CBE">
        <w:t>metric</w:t>
      </w:r>
      <w:r>
        <w:t xml:space="preserve">s </w:t>
      </w:r>
      <w:r w:rsidR="009E41A0">
        <w:t xml:space="preserve">not just </w:t>
      </w:r>
      <w:r>
        <w:t xml:space="preserve">utilization. If you can’t satisfy existing demands, then you won’t provision new workload, hence capacity is practically full. The utilization </w:t>
      </w:r>
      <w:r w:rsidR="00E42CBE">
        <w:t>metric</w:t>
      </w:r>
      <w:r>
        <w:t>s may not be high yet, but that’s a secondary consideration as you stop adding new workloads until you figure out why.</w:t>
      </w:r>
    </w:p>
    <w:p w14:paraId="3863C3C6" w14:textId="6C1B8057" w:rsidR="00C50277" w:rsidRDefault="00FA0FB6" w:rsidP="00FA0FB6">
      <w:r>
        <w:t xml:space="preserve">Unlike performance, Capacity is measured against usable capacity, not absolute capacity. </w:t>
      </w:r>
      <w:r w:rsidR="00C50277">
        <w:t>There is no such thing as usable performance.</w:t>
      </w:r>
    </w:p>
    <w:p w14:paraId="51A2AB1D" w14:textId="2A917F68" w:rsidR="00FA0FB6" w:rsidRDefault="00FA0FB6" w:rsidP="00FA0FB6">
      <w:r>
        <w:t>Capacity also considers demands that do not manifest yet.</w:t>
      </w:r>
      <w:r w:rsidR="009E41A0">
        <w:t xml:space="preserve"> This is why you need to consider reservation and allocation.</w:t>
      </w:r>
    </w:p>
    <w:p w14:paraId="766680DD" w14:textId="64B4289A" w:rsidR="00FA0FB6" w:rsidRDefault="00FA0FB6" w:rsidP="00FA0FB6">
      <w:r>
        <w:t xml:space="preserve">Price </w:t>
      </w:r>
      <w:r w:rsidR="009E41A0">
        <w:t xml:space="preserve">can help address capacity. </w:t>
      </w:r>
      <w:r>
        <w:t>The best way to address oversized VM is having a</w:t>
      </w:r>
      <w:r w:rsidR="009E41A0">
        <w:t xml:space="preserve"> </w:t>
      </w:r>
      <w:r>
        <w:t>price plan that encourage smaller size VM.</w:t>
      </w:r>
      <w:r w:rsidR="009E41A0">
        <w:t xml:space="preserve"> If price is free then use business justification.</w:t>
      </w:r>
    </w:p>
    <w:p w14:paraId="1A4F8C3A" w14:textId="42A7C5C3" w:rsidR="00FA0FB6" w:rsidRPr="00386E6F" w:rsidRDefault="00FA0FB6" w:rsidP="00FA0FB6">
      <w:pPr>
        <w:pStyle w:val="Heading5"/>
      </w:pPr>
      <w:r w:rsidRPr="00386E6F">
        <w:t xml:space="preserve">Compliance </w:t>
      </w:r>
      <w:r>
        <w:t xml:space="preserve">and </w:t>
      </w:r>
      <w:r w:rsidRPr="00386E6F">
        <w:t>Security</w:t>
      </w:r>
    </w:p>
    <w:p w14:paraId="79F0B2F8" w14:textId="77777777" w:rsidR="00FA0FB6" w:rsidRDefault="006E2DB5" w:rsidP="00FA0FB6">
      <w:pPr>
        <w:pStyle w:val="Tablecontent"/>
      </w:pPr>
      <w:r>
        <w:t xml:space="preserve">Just because </w:t>
      </w:r>
      <w:r w:rsidR="00C80BBF">
        <w:t>a system</w:t>
      </w:r>
      <w:r w:rsidR="005D61EB">
        <w:t xml:space="preserve"> </w:t>
      </w:r>
      <w:r w:rsidR="00C80BBF">
        <w:t xml:space="preserve">up and </w:t>
      </w:r>
      <w:r w:rsidR="005D61EB">
        <w:t>fast, does not mean it’s secured.</w:t>
      </w:r>
      <w:r w:rsidR="00FA0FB6" w:rsidRPr="00FA0FB6">
        <w:t xml:space="preserve"> </w:t>
      </w:r>
    </w:p>
    <w:p w14:paraId="11E4B7C1" w14:textId="7CAC52C8" w:rsidR="00FA0FB6" w:rsidRPr="002639BB" w:rsidRDefault="00FA0FB6" w:rsidP="00FA0FB6">
      <w:pPr>
        <w:pStyle w:val="Tablecontent"/>
      </w:pPr>
      <w:r w:rsidRPr="002639BB">
        <w:lastRenderedPageBreak/>
        <w:t xml:space="preserve">Security is related, but not the same as Compliance. Security covers issues such as attack (be it by internal employee or by external threat). Compliance deals with configuration settings or values that may expose security loopholes or conform to specific sets of standards. </w:t>
      </w:r>
    </w:p>
    <w:p w14:paraId="6AC414C7" w14:textId="1359986F" w:rsidR="006E2DB5" w:rsidRDefault="00FA0FB6" w:rsidP="00FA0FB6">
      <w:r w:rsidRPr="002639BB">
        <w:t>Compliance is measured against both internal and industry standards</w:t>
      </w:r>
      <w:r>
        <w:t>. It’s also measured continuously</w:t>
      </w:r>
      <w:r w:rsidR="00581942">
        <w:t>.</w:t>
      </w:r>
    </w:p>
    <w:p w14:paraId="6F399F41" w14:textId="59E3EFA7" w:rsidR="00581942" w:rsidRDefault="00581942" w:rsidP="00FA0FB6">
      <w:r>
        <w:t>Compliance is closely related to configuration as you comply by applying settings.</w:t>
      </w:r>
    </w:p>
    <w:p w14:paraId="186DBDDA" w14:textId="09ADB02D" w:rsidR="00581942" w:rsidRDefault="00581942" w:rsidP="00FA0FB6">
      <w:r>
        <w:t>In Security you worry about being attacked. This means you track malicious activities, such as inappropriate usage of administator account, or denial of service attack.</w:t>
      </w:r>
    </w:p>
    <w:p w14:paraId="1CA9C080" w14:textId="56402786" w:rsidR="00FA0FB6" w:rsidRDefault="00FA0FB6" w:rsidP="00FA0FB6">
      <w:pPr>
        <w:pStyle w:val="Heading5"/>
      </w:pPr>
      <w:r>
        <w:t>Cost and Price</w:t>
      </w:r>
    </w:p>
    <w:p w14:paraId="4C71E581" w14:textId="14B91D67" w:rsidR="00F909C6" w:rsidRDefault="00621BA7" w:rsidP="00F909C6">
      <w:r>
        <w:t>Last but not least, money</w:t>
      </w:r>
      <w:r w:rsidR="007C4102">
        <w:t xml:space="preserve">. </w:t>
      </w:r>
      <w:r>
        <w:t xml:space="preserve">Cost and Price </w:t>
      </w:r>
      <w:r w:rsidR="007C4102">
        <w:t>are critical</w:t>
      </w:r>
      <w:r w:rsidR="00E03733">
        <w:t xml:space="preserve"> in the transformation towards a real service provider.</w:t>
      </w:r>
    </w:p>
    <w:p w14:paraId="487E51FE" w14:textId="77777777" w:rsidR="00F909C6" w:rsidRDefault="00F909C6" w:rsidP="00F909C6">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418"/>
        <w:gridCol w:w="9038"/>
      </w:tblGrid>
      <w:tr w:rsidR="00F909C6" w14:paraId="7242C490" w14:textId="77777777" w:rsidTr="00A26877">
        <w:tc>
          <w:tcPr>
            <w:tcW w:w="1418" w:type="dxa"/>
            <w:shd w:val="clear" w:color="auto" w:fill="F2F2F2" w:themeFill="background1" w:themeFillShade="F2"/>
          </w:tcPr>
          <w:p w14:paraId="311C45BB" w14:textId="2690FEAE" w:rsidR="00F909C6" w:rsidRPr="00386E6F" w:rsidRDefault="00F909C6" w:rsidP="00385EE9">
            <w:pPr>
              <w:pStyle w:val="Tablecontent"/>
              <w:rPr>
                <w:b/>
                <w:bCs/>
              </w:rPr>
            </w:pPr>
            <w:r w:rsidRPr="00386E6F">
              <w:rPr>
                <w:b/>
                <w:bCs/>
              </w:rPr>
              <w:t>Price</w:t>
            </w:r>
          </w:p>
          <w:p w14:paraId="24ABE336" w14:textId="77777777" w:rsidR="00F909C6" w:rsidRPr="00386E6F" w:rsidRDefault="00F909C6" w:rsidP="00385EE9">
            <w:pPr>
              <w:pStyle w:val="Tablecontent"/>
              <w:rPr>
                <w:b/>
                <w:bCs/>
              </w:rPr>
            </w:pPr>
          </w:p>
        </w:tc>
        <w:tc>
          <w:tcPr>
            <w:tcW w:w="9038" w:type="dxa"/>
          </w:tcPr>
          <w:p w14:paraId="71386502" w14:textId="77777777" w:rsidR="00F909C6" w:rsidRPr="002639BB" w:rsidRDefault="00F909C6" w:rsidP="00385EE9">
            <w:pPr>
              <w:pStyle w:val="Tablecontent"/>
            </w:pPr>
            <w:r w:rsidRPr="002639BB">
              <w:t xml:space="preserve">With hardware becoming commodity and infrastructure becoming invisible, price has </w:t>
            </w:r>
            <w:r>
              <w:t xml:space="preserve">naturally </w:t>
            </w:r>
            <w:r w:rsidRPr="002639BB">
              <w:t>become a common denominator among all IaaS providers. The general expectation is price per VM is similar across cloud providers.</w:t>
            </w:r>
            <w:r>
              <w:t xml:space="preserve"> One way to provide differentiated pricing is SLA. </w:t>
            </w:r>
          </w:p>
          <w:p w14:paraId="1B87E821" w14:textId="77777777" w:rsidR="00F909C6" w:rsidRPr="002639BB" w:rsidRDefault="00F909C6" w:rsidP="00385EE9">
            <w:pPr>
              <w:pStyle w:val="Tablecontent"/>
            </w:pPr>
            <w:r>
              <w:t>While Price should be higher than Cost, it can be set independently of cost. Use discount and progressive pricing to set the correct price for the right terms and conditions. Progressive pricing will also discourage large unused VMs to be provisioned in the first place. It’s easier to handle than when these VMs are already in production.</w:t>
            </w:r>
          </w:p>
          <w:p w14:paraId="4D708FA0" w14:textId="6E1470FE" w:rsidR="00F909C6" w:rsidRDefault="00F909C6" w:rsidP="007C4102">
            <w:pPr>
              <w:pStyle w:val="Tablecontent"/>
            </w:pPr>
            <w:r w:rsidRPr="002639BB">
              <w:t>The better the Performance SLA, the higher the price customer is willing to pay, hence the term Price/Performance.</w:t>
            </w:r>
          </w:p>
        </w:tc>
      </w:tr>
      <w:tr w:rsidR="00916F8B" w14:paraId="6BA46339" w14:textId="77777777" w:rsidTr="00A26877">
        <w:tc>
          <w:tcPr>
            <w:tcW w:w="1418" w:type="dxa"/>
            <w:shd w:val="clear" w:color="auto" w:fill="F2F2F2" w:themeFill="background1" w:themeFillShade="F2"/>
          </w:tcPr>
          <w:p w14:paraId="37D0099A" w14:textId="2C0E0F85" w:rsidR="00916F8B" w:rsidRPr="00386E6F" w:rsidRDefault="00916F8B" w:rsidP="00385EE9">
            <w:pPr>
              <w:pStyle w:val="Tablecontent"/>
              <w:rPr>
                <w:b/>
                <w:bCs/>
              </w:rPr>
            </w:pPr>
            <w:r>
              <w:rPr>
                <w:b/>
                <w:bCs/>
              </w:rPr>
              <w:t>Cost</w:t>
            </w:r>
          </w:p>
        </w:tc>
        <w:tc>
          <w:tcPr>
            <w:tcW w:w="9038" w:type="dxa"/>
          </w:tcPr>
          <w:p w14:paraId="034C01FF" w14:textId="77777777" w:rsidR="00916F8B" w:rsidRDefault="00916F8B" w:rsidP="00916F8B">
            <w:pPr>
              <w:pStyle w:val="Tablecontent"/>
            </w:pPr>
            <w:r w:rsidRPr="002639BB">
              <w:t>Cost goes hand in hand with capacity. The higher the utilization of the IaaS, the lower the cost per VM. Cost is separate from capacity as it can be optimized without reducing capacity</w:t>
            </w:r>
            <w:r>
              <w:t>.</w:t>
            </w:r>
          </w:p>
          <w:p w14:paraId="430D2DD7" w14:textId="74D09B37" w:rsidR="00916F8B" w:rsidRPr="002639BB" w:rsidRDefault="00916F8B" w:rsidP="00385EE9">
            <w:pPr>
              <w:pStyle w:val="Tablecontent"/>
            </w:pPr>
            <w:r>
              <w:t>Cost and capacity can also go independently of each other. You can increase capacity without increasing cost via technology refresh. You can reduce cost without reducing capacity by lowering non-capacity costs such as the rate you pay for services.</w:t>
            </w:r>
          </w:p>
        </w:tc>
      </w:tr>
    </w:tbl>
    <w:p w14:paraId="33257A4E" w14:textId="08C7D88D" w:rsidR="00396E6D" w:rsidRDefault="00396E6D" w:rsidP="00E7573A">
      <w:pPr>
        <w:pStyle w:val="Heading5"/>
      </w:pPr>
      <w:r>
        <w:t>C</w:t>
      </w:r>
      <w:r w:rsidRPr="00386E6F">
        <w:t>onfiguration and Inventory</w:t>
      </w:r>
    </w:p>
    <w:p w14:paraId="75CB56A9" w14:textId="394AA5B1" w:rsidR="009E41A0" w:rsidRDefault="009E41A0" w:rsidP="009E41A0">
      <w:pPr>
        <w:rPr>
          <w:lang w:val="en-GB"/>
        </w:rPr>
      </w:pPr>
      <w:r>
        <w:rPr>
          <w:lang w:val="en-GB"/>
        </w:rPr>
        <w:t>Why don’t I consider them pillars of operations?</w:t>
      </w:r>
    </w:p>
    <w:p w14:paraId="7FC355DB" w14:textId="36035034" w:rsidR="009E41A0" w:rsidRPr="009E41A0" w:rsidRDefault="009E41A0" w:rsidP="009E41A0">
      <w:pPr>
        <w:rPr>
          <w:lang w:val="en-GB"/>
        </w:rPr>
      </w:pPr>
      <w:r>
        <w:rPr>
          <w:lang w:val="en-GB"/>
        </w:rPr>
        <w:t xml:space="preserve">Because they are not something you directly care. You care about configuration because it impacts security, capacity, performance and availability. </w:t>
      </w:r>
    </w:p>
    <w:p w14:paraId="67039585" w14:textId="662B256C" w:rsidR="00396E6D" w:rsidRDefault="00396E6D" w:rsidP="00396E6D">
      <w:pPr>
        <w:pStyle w:val="Tablecontent"/>
      </w:pPr>
      <w:r w:rsidRPr="002639BB">
        <w:t xml:space="preserve">Inventory is related, but not identical to configuration. </w:t>
      </w:r>
    </w:p>
    <w:p w14:paraId="0F8C0615" w14:textId="29CC2060" w:rsidR="00396E6D" w:rsidRPr="002639BB" w:rsidRDefault="00396E6D" w:rsidP="00396E6D">
      <w:pPr>
        <w:pStyle w:val="Tablecontent"/>
      </w:pPr>
      <w:r>
        <w:t xml:space="preserve">Configuration is a setting, that you either intentionally set or have to accept. </w:t>
      </w:r>
      <w:r w:rsidR="00581942">
        <w:t>Inventory uses a small subset of settings as the focus is on counting the number of objects. The majority of properties/settings managed by configuration are not relevant to inventory.</w:t>
      </w:r>
    </w:p>
    <w:p w14:paraId="392F7ADB" w14:textId="58AB414F" w:rsidR="00581942" w:rsidRDefault="00396E6D" w:rsidP="00396E6D">
      <w:pPr>
        <w:pStyle w:val="Tablecontent"/>
      </w:pPr>
      <w:r>
        <w:t xml:space="preserve">Inventory is an account of </w:t>
      </w:r>
      <w:r w:rsidRPr="001370AE">
        <w:rPr>
          <w:color w:val="00B0F0"/>
        </w:rPr>
        <w:t xml:space="preserve">what </w:t>
      </w:r>
      <w:r>
        <w:t xml:space="preserve">you have </w:t>
      </w:r>
      <w:r w:rsidRPr="001370AE">
        <w:rPr>
          <w:color w:val="00B0F0"/>
        </w:rPr>
        <w:t>where</w:t>
      </w:r>
      <w:r>
        <w:t xml:space="preserve">. So the </w:t>
      </w:r>
      <w:r w:rsidR="00920370">
        <w:t xml:space="preserve">count </w:t>
      </w:r>
      <w:r>
        <w:t xml:space="preserve">matters. Configuration is the properties of what you have. The </w:t>
      </w:r>
      <w:r w:rsidR="00920370">
        <w:t xml:space="preserve">count </w:t>
      </w:r>
      <w:r>
        <w:t xml:space="preserve">is just another property of the object. </w:t>
      </w:r>
    </w:p>
    <w:p w14:paraId="58D4CF13" w14:textId="77777777" w:rsidR="00396E6D" w:rsidRPr="002639BB" w:rsidRDefault="00396E6D" w:rsidP="00396E6D">
      <w:pPr>
        <w:pStyle w:val="Tablecontent"/>
      </w:pPr>
      <w:r>
        <w:t xml:space="preserve">Inventory generally asks what do we have where? By that, it's focusing on the quantity, not specifications. Examples: </w:t>
      </w:r>
    </w:p>
    <w:p w14:paraId="7718F7A5" w14:textId="79BD8BBA" w:rsidR="00396E6D" w:rsidRPr="002639BB" w:rsidRDefault="00396E6D" w:rsidP="00396E6D">
      <w:pPr>
        <w:pStyle w:val="Bullet"/>
      </w:pPr>
      <w:r w:rsidRPr="002639BB">
        <w:t>Number of VMs in a cluster is a part of inventory. It’s not a part of configuration.</w:t>
      </w:r>
      <w:r w:rsidR="00920370">
        <w:t xml:space="preserve"> </w:t>
      </w:r>
    </w:p>
    <w:p w14:paraId="13E17CCA" w14:textId="2BB04D0A" w:rsidR="00396E6D" w:rsidRDefault="00396E6D" w:rsidP="00396E6D">
      <w:pPr>
        <w:pStyle w:val="Bullet"/>
      </w:pPr>
      <w:r w:rsidRPr="002639BB">
        <w:lastRenderedPageBreak/>
        <w:t>Number of ESXi hosts in a cluster is a part of inventory. But it’s also part of configuration as that’s the design of that cluster. The cluster is configured with 8 ESXi hosts for a reason</w:t>
      </w:r>
      <w:r>
        <w:t>, and deviation may need to be explained in documentation.</w:t>
      </w:r>
    </w:p>
    <w:p w14:paraId="08676841" w14:textId="1D0BDC28" w:rsidR="00581942" w:rsidRDefault="00581942" w:rsidP="00396E6D">
      <w:r>
        <w:t xml:space="preserve">Deviation is central to configuration management, but not relevant to inventory. </w:t>
      </w:r>
    </w:p>
    <w:p w14:paraId="0E7AE039" w14:textId="77777777" w:rsidR="00920370" w:rsidRDefault="00920370" w:rsidP="00920370">
      <w:pPr>
        <w:pStyle w:val="Tablecontent"/>
      </w:pPr>
      <w:r w:rsidRPr="002639BB">
        <w:t>Inventory has concepts such as stock take, which typically involve physical items. Configuration does not.</w:t>
      </w:r>
    </w:p>
    <w:p w14:paraId="1AF8B09E" w14:textId="77777777" w:rsidR="00920370" w:rsidRDefault="00920370" w:rsidP="00920370">
      <w:pPr>
        <w:pStyle w:val="Tablecontent"/>
      </w:pPr>
      <w:r>
        <w:t xml:space="preserve">Inventory also deals with the </w:t>
      </w:r>
      <w:r w:rsidRPr="00AA352D">
        <w:rPr>
          <w:i/>
          <w:iCs/>
          <w:color w:val="00B0F0"/>
        </w:rPr>
        <w:t>change</w:t>
      </w:r>
      <w:r w:rsidRPr="00AA352D">
        <w:rPr>
          <w:color w:val="00B0F0"/>
        </w:rPr>
        <w:t xml:space="preserve"> </w:t>
      </w:r>
      <w:r>
        <w:t xml:space="preserve">of inventory. A high number of churns is an inventory problem, not configuration problem. For example, as part of inventory management, you may want to check how many VMs were added, were deleted, were changed in your environment in the last 1 month. </w:t>
      </w:r>
    </w:p>
    <w:p w14:paraId="519C62EE" w14:textId="77777777" w:rsidR="00920370" w:rsidRPr="002639BB" w:rsidRDefault="00920370" w:rsidP="00920370">
      <w:r>
        <w:t>There is a subtle difference between volume of change and the rate of change. Volume typically covers a longer period (e.g. 5 minutes, 1 hour, 1 day), while rate covers shorter period (e.g. per second, per minute).</w:t>
      </w:r>
    </w:p>
    <w:p w14:paraId="25884CB4" w14:textId="33D4DE78" w:rsidR="00396E6D" w:rsidRDefault="00396E6D" w:rsidP="00396E6D">
      <w:r w:rsidRPr="00396E6D">
        <w:t>To make inventory management easier, you typically group them by</w:t>
      </w:r>
      <w:r>
        <w:t xml:space="preserve"> </w:t>
      </w:r>
      <w:r w:rsidRPr="00396E6D">
        <w:t>function. For example, in IaaS, you may have</w:t>
      </w:r>
      <w:r>
        <w:t>:</w:t>
      </w:r>
    </w:p>
    <w:p w14:paraId="3CC30A9F" w14:textId="77777777" w:rsidR="00396E6D" w:rsidRDefault="00396E6D" w:rsidP="00396E6D">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19"/>
        <w:gridCol w:w="6231"/>
      </w:tblGrid>
      <w:tr w:rsidR="00396E6D" w14:paraId="6BE1849E" w14:textId="77777777" w:rsidTr="00FB3238">
        <w:tc>
          <w:tcPr>
            <w:tcW w:w="2019" w:type="dxa"/>
            <w:shd w:val="clear" w:color="auto" w:fill="F2F2F2" w:themeFill="background1" w:themeFillShade="F2"/>
          </w:tcPr>
          <w:p w14:paraId="1E835ABF" w14:textId="77777777" w:rsidR="00396E6D" w:rsidRPr="001370AE" w:rsidRDefault="00396E6D" w:rsidP="00E440AB">
            <w:pPr>
              <w:pStyle w:val="Tablecontent"/>
              <w:rPr>
                <w:b/>
                <w:bCs/>
              </w:rPr>
            </w:pPr>
            <w:r w:rsidRPr="001370AE">
              <w:rPr>
                <w:b/>
                <w:bCs/>
              </w:rPr>
              <w:t>Consumer Layers</w:t>
            </w:r>
          </w:p>
        </w:tc>
        <w:tc>
          <w:tcPr>
            <w:tcW w:w="6231" w:type="dxa"/>
            <w:shd w:val="clear" w:color="auto" w:fill="auto"/>
          </w:tcPr>
          <w:p w14:paraId="303D1C51" w14:textId="6DEA38CA" w:rsidR="00396E6D" w:rsidRDefault="00396E6D" w:rsidP="00E440AB">
            <w:pPr>
              <w:pStyle w:val="Tablecontent"/>
            </w:pPr>
            <w:r>
              <w:t>B</w:t>
            </w:r>
            <w:r w:rsidR="00D50E20">
              <w:t>usiness</w:t>
            </w:r>
            <w:r>
              <w:t xml:space="preserve"> Applications (typically this spans multiple </w:t>
            </w:r>
            <w:r w:rsidR="00D50E20">
              <w:t xml:space="preserve">pods </w:t>
            </w:r>
            <w:r>
              <w:t>or VM)</w:t>
            </w:r>
          </w:p>
          <w:p w14:paraId="33741B7B" w14:textId="77777777" w:rsidR="00396E6D" w:rsidRDefault="00396E6D" w:rsidP="00E440AB">
            <w:pPr>
              <w:pStyle w:val="Tablecontent"/>
            </w:pPr>
            <w:r>
              <w:t>Software (e.g. Microsoft SQL Server)</w:t>
            </w:r>
          </w:p>
          <w:p w14:paraId="084EFF2D" w14:textId="15343261" w:rsidR="00396E6D" w:rsidRDefault="00396E6D" w:rsidP="00E440AB">
            <w:pPr>
              <w:pStyle w:val="Tablecontent"/>
            </w:pPr>
            <w:r>
              <w:t xml:space="preserve">Container </w:t>
            </w:r>
            <w:r w:rsidR="00D50E20">
              <w:t>or pod</w:t>
            </w:r>
          </w:p>
          <w:p w14:paraId="59A00B62" w14:textId="77777777" w:rsidR="00396E6D" w:rsidRDefault="00396E6D" w:rsidP="00E440AB">
            <w:pPr>
              <w:pStyle w:val="Tablecontent"/>
            </w:pPr>
            <w:r>
              <w:t>VM (which could be in cloud)</w:t>
            </w:r>
          </w:p>
        </w:tc>
      </w:tr>
      <w:tr w:rsidR="00396E6D" w14:paraId="63E8BAC5" w14:textId="77777777" w:rsidTr="00FB3238">
        <w:tc>
          <w:tcPr>
            <w:tcW w:w="2019" w:type="dxa"/>
            <w:shd w:val="clear" w:color="auto" w:fill="F2F2F2" w:themeFill="background1" w:themeFillShade="F2"/>
          </w:tcPr>
          <w:p w14:paraId="45A98F51" w14:textId="77777777" w:rsidR="00396E6D" w:rsidRPr="001370AE" w:rsidRDefault="00396E6D" w:rsidP="00E440AB">
            <w:pPr>
              <w:pStyle w:val="Tablecontent"/>
              <w:rPr>
                <w:b/>
                <w:bCs/>
                <w:lang w:val="en-SG"/>
              </w:rPr>
            </w:pPr>
            <w:r w:rsidRPr="001370AE">
              <w:rPr>
                <w:b/>
                <w:bCs/>
              </w:rPr>
              <w:t>Provider Layers</w:t>
            </w:r>
          </w:p>
        </w:tc>
        <w:tc>
          <w:tcPr>
            <w:tcW w:w="6231" w:type="dxa"/>
            <w:shd w:val="clear" w:color="auto" w:fill="auto"/>
          </w:tcPr>
          <w:p w14:paraId="14EC0240" w14:textId="77777777" w:rsidR="00396E6D" w:rsidRPr="001370AE" w:rsidRDefault="00396E6D" w:rsidP="00E440AB">
            <w:pPr>
              <w:pStyle w:val="Tablecontent"/>
            </w:pPr>
            <w:r w:rsidRPr="001370AE">
              <w:t>Cloud services (AWS something)</w:t>
            </w:r>
          </w:p>
          <w:p w14:paraId="3D1F1356" w14:textId="77777777" w:rsidR="00396E6D" w:rsidRPr="001370AE" w:rsidRDefault="00396E6D" w:rsidP="00E440AB">
            <w:pPr>
              <w:pStyle w:val="Tablecontent"/>
            </w:pPr>
            <w:r w:rsidRPr="001370AE">
              <w:t xml:space="preserve">Kubernetes </w:t>
            </w:r>
          </w:p>
          <w:p w14:paraId="6C35AC05" w14:textId="77777777" w:rsidR="00396E6D" w:rsidRPr="001370AE" w:rsidRDefault="00396E6D" w:rsidP="00E440AB">
            <w:pPr>
              <w:pStyle w:val="Tablecontent"/>
            </w:pPr>
            <w:r w:rsidRPr="001370AE">
              <w:t>vSphere + vSAN + NSX</w:t>
            </w:r>
          </w:p>
          <w:p w14:paraId="62153D97" w14:textId="77777777" w:rsidR="00396E6D" w:rsidRDefault="00396E6D" w:rsidP="00E440AB">
            <w:pPr>
              <w:pStyle w:val="Tablecontent"/>
            </w:pPr>
            <w:r w:rsidRPr="001370AE">
              <w:t>Physical</w:t>
            </w:r>
            <w:r>
              <w:t xml:space="preserve"> (network, array, server, UPS, racks)</w:t>
            </w:r>
          </w:p>
        </w:tc>
      </w:tr>
    </w:tbl>
    <w:p w14:paraId="27C0500E" w14:textId="77777777" w:rsidR="00396E6D" w:rsidRDefault="00396E6D" w:rsidP="00396E6D">
      <w:pPr>
        <w:pStyle w:val="Tablecontent"/>
      </w:pPr>
      <w:r>
        <w:t>For DaaS, you naturally have different types of items you care, such as Horizon VDI Pool or RDS Farm.</w:t>
      </w:r>
    </w:p>
    <w:p w14:paraId="6AB4ECB8" w14:textId="7041C00B" w:rsidR="004043AF" w:rsidRDefault="00275255" w:rsidP="00AC6E1E">
      <w:pPr>
        <w:pStyle w:val="Heading4"/>
      </w:pPr>
      <w:r>
        <w:t>The Processes</w:t>
      </w:r>
    </w:p>
    <w:p w14:paraId="26EFC27B" w14:textId="2B464209" w:rsidR="00783FDA" w:rsidRPr="00783FDA" w:rsidRDefault="00783FDA" w:rsidP="00783FDA">
      <w:pPr>
        <w:rPr>
          <w:lang w:val="en-GB" w:eastAsia="en-SG"/>
        </w:rPr>
      </w:pPr>
      <w:r>
        <w:rPr>
          <w:lang w:val="en-GB" w:eastAsia="en-SG"/>
        </w:rPr>
        <w:t>Day 0 &amp; Day 1 are typically done by the Architecture team, and Day 2 is typically done by the day-to-day operations team. In large organisation, the Day 1 could be different as there is enough workload for them to continuously upgrade. For example, if you have 3600 ESXi, and you have a 3 year deprecation policy, you’re basically upgrading 100 per month.</w:t>
      </w:r>
      <w:r w:rsidR="00F22538">
        <w:rPr>
          <w:lang w:val="en-GB" w:eastAsia="en-SG"/>
        </w:rPr>
        <w:t xml:space="preserve"> That means 25 hosts per week on average.</w:t>
      </w:r>
    </w:p>
    <w:p w14:paraId="09BF5310" w14:textId="0AB9F2ED" w:rsidR="00B91F62" w:rsidRDefault="00B91F62" w:rsidP="0077290E">
      <w:r>
        <w:t xml:space="preserve">Troubleshooting is often </w:t>
      </w:r>
      <w:r w:rsidRPr="007A5A1D">
        <w:rPr>
          <w:color w:val="FF0000"/>
        </w:rPr>
        <w:t xml:space="preserve">wrongly </w:t>
      </w:r>
      <w:r>
        <w:t>elevated as importance or status, as if it’s a singular or major area of operations. It is not. What you can troubleshoot, and how you troubleshoot it, should be planned during system architecture phase. Another word, think of what can go wrong, how they can be detected, and the remediation action. If you do not plan the troubleshooting element of your architecture, each actual troubleshooting will be more painful that it needs be.</w:t>
      </w:r>
    </w:p>
    <w:p w14:paraId="1AA93535" w14:textId="20C2EA06" w:rsidR="00D574EC" w:rsidRDefault="00D574EC" w:rsidP="00D574EC">
      <w:pPr>
        <w:pStyle w:val="Heading5"/>
      </w:pPr>
      <w:r>
        <w:lastRenderedPageBreak/>
        <w:t>Day 0</w:t>
      </w: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559"/>
        <w:gridCol w:w="8611"/>
      </w:tblGrid>
      <w:tr w:rsidR="00D574EC" w:rsidRPr="003475C2" w14:paraId="42B48823" w14:textId="77777777" w:rsidTr="00713913">
        <w:tc>
          <w:tcPr>
            <w:tcW w:w="1559" w:type="dxa"/>
            <w:shd w:val="clear" w:color="auto" w:fill="F2F2F2" w:themeFill="background1" w:themeFillShade="F2"/>
          </w:tcPr>
          <w:p w14:paraId="67CDA98F" w14:textId="77777777" w:rsidR="00D574EC" w:rsidRPr="007D3248" w:rsidRDefault="00D574EC" w:rsidP="00E440AB">
            <w:pPr>
              <w:pStyle w:val="Tablecontent"/>
            </w:pPr>
            <w:r w:rsidRPr="007D3248">
              <w:rPr>
                <w:rStyle w:val="normaltextrun"/>
              </w:rPr>
              <w:t>Plan</w:t>
            </w:r>
          </w:p>
        </w:tc>
        <w:tc>
          <w:tcPr>
            <w:tcW w:w="8611" w:type="dxa"/>
          </w:tcPr>
          <w:p w14:paraId="4DB8DC15" w14:textId="77777777" w:rsidR="00D574EC" w:rsidRDefault="00D574EC" w:rsidP="00E440AB">
            <w:pPr>
              <w:pStyle w:val="Tablecontent"/>
              <w:rPr>
                <w:rStyle w:val="normaltextrun"/>
                <w:rFonts w:ascii="Calibri" w:hAnsi="Calibri" w:cs="Calibri"/>
              </w:rPr>
            </w:pPr>
            <w:r w:rsidRPr="00C12310">
              <w:rPr>
                <w:rStyle w:val="normaltextrun"/>
                <w:rFonts w:ascii="Calibri" w:hAnsi="Calibri" w:cs="Calibri"/>
              </w:rPr>
              <w:t>This is where you set the goal</w:t>
            </w:r>
            <w:r>
              <w:rPr>
                <w:rStyle w:val="normaltextrun"/>
                <w:rFonts w:ascii="Calibri" w:hAnsi="Calibri" w:cs="Calibri"/>
              </w:rPr>
              <w:t>s</w:t>
            </w:r>
            <w:r w:rsidRPr="00C12310">
              <w:rPr>
                <w:rStyle w:val="normaltextrun"/>
                <w:rFonts w:ascii="Calibri" w:hAnsi="Calibri" w:cs="Calibri"/>
              </w:rPr>
              <w:t xml:space="preserve">. </w:t>
            </w:r>
            <w:r w:rsidR="00D84ED6">
              <w:rPr>
                <w:rStyle w:val="normaltextrun"/>
                <w:rFonts w:ascii="Calibri" w:hAnsi="Calibri" w:cs="Calibri"/>
              </w:rPr>
              <w:t xml:space="preserve">The goal should follow the </w:t>
            </w:r>
            <w:hyperlink r:id="rId91" w:history="1">
              <w:r w:rsidR="00D84ED6" w:rsidRPr="00D84ED6">
                <w:rPr>
                  <w:rStyle w:val="Hyperlink"/>
                  <w:rFonts w:ascii="Calibri" w:hAnsi="Calibri" w:cs="Calibri"/>
                </w:rPr>
                <w:t>SMART</w:t>
              </w:r>
            </w:hyperlink>
            <w:r w:rsidR="00D84ED6">
              <w:rPr>
                <w:rStyle w:val="normaltextrun"/>
                <w:rFonts w:ascii="Calibri" w:hAnsi="Calibri" w:cs="Calibri"/>
              </w:rPr>
              <w:t xml:space="preserve"> criteria. </w:t>
            </w:r>
            <w:r>
              <w:rPr>
                <w:rStyle w:val="normaltextrun"/>
                <w:rFonts w:ascii="Calibri" w:hAnsi="Calibri" w:cs="Calibri"/>
              </w:rPr>
              <w:t xml:space="preserve">Make sure they are aligned with the business deliverable. </w:t>
            </w:r>
          </w:p>
          <w:p w14:paraId="58334A41" w14:textId="07999611" w:rsidR="0039507A" w:rsidRPr="003475C2" w:rsidRDefault="0039507A" w:rsidP="00E440AB">
            <w:pPr>
              <w:pStyle w:val="Tablecontent"/>
              <w:rPr>
                <w:rFonts w:ascii="Calibri" w:hAnsi="Calibri" w:cs="Calibri"/>
              </w:rPr>
            </w:pPr>
            <w:r>
              <w:rPr>
                <w:rStyle w:val="normaltextrun"/>
                <w:rFonts w:ascii="Calibri" w:hAnsi="Calibri" w:cs="Calibri"/>
              </w:rPr>
              <w:t xml:space="preserve">For example, if you plan to build a private cloud, how do you measure success? What are the metrics so you know how successful you are? </w:t>
            </w:r>
          </w:p>
        </w:tc>
      </w:tr>
      <w:tr w:rsidR="00501315" w:rsidRPr="003475C2" w14:paraId="407A7FD8" w14:textId="77777777" w:rsidTr="00713913">
        <w:tc>
          <w:tcPr>
            <w:tcW w:w="1559" w:type="dxa"/>
            <w:shd w:val="clear" w:color="auto" w:fill="F2F2F2" w:themeFill="background1" w:themeFillShade="F2"/>
          </w:tcPr>
          <w:p w14:paraId="341CD02E" w14:textId="1FF7CD50" w:rsidR="00501315" w:rsidRPr="007D3248" w:rsidRDefault="00501315" w:rsidP="00E440AB">
            <w:pPr>
              <w:pStyle w:val="Tablecontent"/>
              <w:rPr>
                <w:rStyle w:val="normaltextrun"/>
              </w:rPr>
            </w:pPr>
            <w:r>
              <w:rPr>
                <w:rStyle w:val="normaltextrun"/>
              </w:rPr>
              <w:t>Size</w:t>
            </w:r>
          </w:p>
        </w:tc>
        <w:tc>
          <w:tcPr>
            <w:tcW w:w="8611" w:type="dxa"/>
          </w:tcPr>
          <w:p w14:paraId="1CC62AB8" w14:textId="77777777" w:rsidR="00501315" w:rsidRDefault="00D84ED6" w:rsidP="00E440AB">
            <w:pPr>
              <w:pStyle w:val="Tablecontent"/>
              <w:rPr>
                <w:rStyle w:val="normaltextrun"/>
                <w:rFonts w:ascii="Calibri" w:hAnsi="Calibri" w:cs="Calibri"/>
              </w:rPr>
            </w:pPr>
            <w:r>
              <w:rPr>
                <w:rStyle w:val="normaltextrun"/>
                <w:rFonts w:ascii="Calibri" w:hAnsi="Calibri" w:cs="Calibri"/>
              </w:rPr>
              <w:t xml:space="preserve">A big chunk of planning is sizing the environment. </w:t>
            </w:r>
          </w:p>
          <w:p w14:paraId="1DEF4D08" w14:textId="77777777" w:rsidR="00D84ED6" w:rsidRDefault="00D84ED6" w:rsidP="00D84ED6">
            <w:r>
              <w:t>Some companies perform stress tests and load tests, so they know what to expect when the real load occurs. Without planning and testing, you don’t know if the reality should be, as you do not have a measured goal.</w:t>
            </w:r>
          </w:p>
          <w:p w14:paraId="506B53CB" w14:textId="4BF7731F" w:rsidR="00D84ED6" w:rsidRPr="00C12310" w:rsidRDefault="00D84ED6" w:rsidP="00E440AB">
            <w:pPr>
              <w:pStyle w:val="Tablecontent"/>
              <w:rPr>
                <w:rStyle w:val="normaltextrun"/>
                <w:rFonts w:ascii="Calibri" w:hAnsi="Calibri" w:cs="Calibri"/>
              </w:rPr>
            </w:pPr>
            <w:r w:rsidRPr="00C12310">
              <w:rPr>
                <w:rStyle w:val="normaltextrun"/>
                <w:rFonts w:ascii="Calibri" w:hAnsi="Calibri" w:cs="Calibri"/>
              </w:rPr>
              <w:t>When you architect that vSAN, how many milliseconds of disk latency did you have in mind?</w:t>
            </w:r>
            <w:r>
              <w:rPr>
                <w:rStyle w:val="normaltextrun"/>
                <w:rFonts w:ascii="Calibri" w:hAnsi="Calibri" w:cs="Calibri"/>
              </w:rPr>
              <w:t xml:space="preserve"> For example, you set the goal of</w:t>
            </w:r>
            <w:r w:rsidRPr="00C12310">
              <w:rPr>
                <w:rStyle w:val="normaltextrun"/>
                <w:rFonts w:ascii="Calibri" w:hAnsi="Calibri" w:cs="Calibri"/>
              </w:rPr>
              <w:t xml:space="preserve"> 10 ms measured at VM level (not vSAN level</w:t>
            </w:r>
            <w:r>
              <w:rPr>
                <w:rStyle w:val="normaltextrun"/>
                <w:rFonts w:ascii="Calibri" w:hAnsi="Calibri" w:cs="Calibri"/>
              </w:rPr>
              <w:t xml:space="preserve"> and not at individual virtual disk level</w:t>
            </w:r>
            <w:r w:rsidRPr="00C12310">
              <w:rPr>
                <w:rStyle w:val="normaltextrun"/>
                <w:rFonts w:ascii="Calibri" w:hAnsi="Calibri" w:cs="Calibri"/>
              </w:rPr>
              <w:t>)</w:t>
            </w:r>
            <w:r>
              <w:rPr>
                <w:rStyle w:val="normaltextrun"/>
                <w:rFonts w:ascii="Calibri" w:hAnsi="Calibri" w:cs="Calibri"/>
              </w:rPr>
              <w:t xml:space="preserve"> based on 5-minute average.</w:t>
            </w:r>
          </w:p>
        </w:tc>
      </w:tr>
    </w:tbl>
    <w:p w14:paraId="7098A026" w14:textId="05C351E3" w:rsidR="00D574EC" w:rsidRDefault="00D574EC" w:rsidP="007818D7">
      <w:pPr>
        <w:pStyle w:val="Heading5"/>
      </w:pPr>
      <w:r>
        <w:t>Day 1</w:t>
      </w: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559"/>
        <w:gridCol w:w="8611"/>
      </w:tblGrid>
      <w:tr w:rsidR="007818D7" w:rsidRPr="000263D9" w14:paraId="24E76699" w14:textId="77777777" w:rsidTr="00AA1ABA">
        <w:tc>
          <w:tcPr>
            <w:tcW w:w="1559" w:type="dxa"/>
            <w:shd w:val="clear" w:color="auto" w:fill="F2F2F2" w:themeFill="background1" w:themeFillShade="F2"/>
          </w:tcPr>
          <w:p w14:paraId="6A1A67A2" w14:textId="77777777" w:rsidR="007818D7" w:rsidRPr="007D3248" w:rsidRDefault="007818D7" w:rsidP="00E440AB">
            <w:pPr>
              <w:pStyle w:val="Tablecontent"/>
              <w:rPr>
                <w:rStyle w:val="normaltextrun"/>
              </w:rPr>
            </w:pPr>
            <w:r>
              <w:rPr>
                <w:rStyle w:val="normaltextrun"/>
              </w:rPr>
              <w:t>Design</w:t>
            </w:r>
          </w:p>
        </w:tc>
        <w:tc>
          <w:tcPr>
            <w:tcW w:w="8611" w:type="dxa"/>
          </w:tcPr>
          <w:p w14:paraId="1206A698" w14:textId="77777777" w:rsidR="007818D7" w:rsidRDefault="007818D7" w:rsidP="00E440AB">
            <w:pPr>
              <w:pStyle w:val="Tablecontent"/>
            </w:pPr>
            <w:r>
              <w:t>This is where you design, build the system and launch the service. This includes configuring the various operations input such as cost drivers (e.g. application license cost, electricity rates). This is not part of the book as there are plenty of materials on it.</w:t>
            </w:r>
          </w:p>
          <w:p w14:paraId="2431C88C" w14:textId="77777777" w:rsidR="007818D7" w:rsidRPr="000263D9" w:rsidRDefault="007818D7" w:rsidP="00E440AB">
            <w:pPr>
              <w:pStyle w:val="Tablecontent"/>
              <w:rPr>
                <w:rStyle w:val="normaltextrun"/>
              </w:rPr>
            </w:pPr>
            <w:r>
              <w:rPr>
                <w:rStyle w:val="normaltextrun"/>
              </w:rPr>
              <w:t>Day 1 is generally closer to Day 0, as it’s a realization of your plan.</w:t>
            </w:r>
          </w:p>
        </w:tc>
      </w:tr>
      <w:tr w:rsidR="00D50E20" w:rsidRPr="000263D9" w14:paraId="5D8F1280" w14:textId="77777777" w:rsidTr="00AA1ABA">
        <w:tc>
          <w:tcPr>
            <w:tcW w:w="1559" w:type="dxa"/>
            <w:shd w:val="clear" w:color="auto" w:fill="F2F2F2" w:themeFill="background1" w:themeFillShade="F2"/>
          </w:tcPr>
          <w:p w14:paraId="4AFBAD38" w14:textId="3193E3CC" w:rsidR="00D50E20" w:rsidRDefault="00D50E20" w:rsidP="00E440AB">
            <w:pPr>
              <w:pStyle w:val="Tablecontent"/>
              <w:rPr>
                <w:rStyle w:val="normaltextrun"/>
              </w:rPr>
            </w:pPr>
            <w:r>
              <w:rPr>
                <w:rStyle w:val="normaltextrun"/>
              </w:rPr>
              <w:t>Build</w:t>
            </w:r>
          </w:p>
        </w:tc>
        <w:tc>
          <w:tcPr>
            <w:tcW w:w="8611" w:type="dxa"/>
          </w:tcPr>
          <w:p w14:paraId="7ED81805" w14:textId="77777777" w:rsidR="00D50E20" w:rsidRDefault="00D50E20" w:rsidP="00E440AB">
            <w:pPr>
              <w:pStyle w:val="Tablecontent"/>
            </w:pPr>
            <w:r>
              <w:t>Ideally this is automated to ensure what is designed is 100% identical to what is built.</w:t>
            </w:r>
          </w:p>
          <w:p w14:paraId="34312CC3" w14:textId="4272360B" w:rsidR="004F3F13" w:rsidRDefault="004F3F13" w:rsidP="00E440AB">
            <w:pPr>
              <w:pStyle w:val="Tablecontent"/>
            </w:pPr>
            <w:r>
              <w:t>This includes deployment of the infrastructure, physical and virtual.</w:t>
            </w:r>
          </w:p>
        </w:tc>
      </w:tr>
      <w:tr w:rsidR="003539E8" w:rsidRPr="000263D9" w14:paraId="5AE2BD01" w14:textId="77777777" w:rsidTr="00AA1ABA">
        <w:tc>
          <w:tcPr>
            <w:tcW w:w="1559" w:type="dxa"/>
            <w:shd w:val="clear" w:color="auto" w:fill="F2F2F2" w:themeFill="background1" w:themeFillShade="F2"/>
          </w:tcPr>
          <w:p w14:paraId="1307F5DB" w14:textId="37DB8916" w:rsidR="003539E8" w:rsidRDefault="003539E8" w:rsidP="003539E8">
            <w:pPr>
              <w:pStyle w:val="Tablecontent"/>
              <w:rPr>
                <w:rStyle w:val="normaltextrun"/>
              </w:rPr>
            </w:pPr>
            <w:r>
              <w:rPr>
                <w:rStyle w:val="normaltextrun"/>
              </w:rPr>
              <w:t>Test</w:t>
            </w:r>
          </w:p>
        </w:tc>
        <w:tc>
          <w:tcPr>
            <w:tcW w:w="8611" w:type="dxa"/>
          </w:tcPr>
          <w:p w14:paraId="336F9638" w14:textId="2A475BCC" w:rsidR="003539E8" w:rsidRDefault="003539E8" w:rsidP="003539E8">
            <w:pPr>
              <w:pStyle w:val="Tablecontent"/>
            </w:pPr>
            <w:r>
              <w:t>Ensure what is built works as intended. For example, if you build a vSphere cluster, test that each ESXi can recover from HA.</w:t>
            </w:r>
          </w:p>
        </w:tc>
      </w:tr>
      <w:tr w:rsidR="003539E8" w:rsidRPr="000263D9" w14:paraId="639F4172" w14:textId="77777777" w:rsidTr="00AA1ABA">
        <w:tc>
          <w:tcPr>
            <w:tcW w:w="1559" w:type="dxa"/>
            <w:shd w:val="clear" w:color="auto" w:fill="F2F2F2" w:themeFill="background1" w:themeFillShade="F2"/>
          </w:tcPr>
          <w:p w14:paraId="41A6DE61" w14:textId="22C95F77" w:rsidR="003539E8" w:rsidRDefault="003539E8" w:rsidP="003539E8">
            <w:pPr>
              <w:pStyle w:val="Tablecontent"/>
              <w:rPr>
                <w:rStyle w:val="normaltextrun"/>
              </w:rPr>
            </w:pPr>
            <w:r>
              <w:rPr>
                <w:rStyle w:val="normaltextrun"/>
              </w:rPr>
              <w:t>Upgrade</w:t>
            </w:r>
          </w:p>
        </w:tc>
        <w:tc>
          <w:tcPr>
            <w:tcW w:w="8611" w:type="dxa"/>
          </w:tcPr>
          <w:p w14:paraId="39AE0269" w14:textId="3132F4B1" w:rsidR="003539E8" w:rsidRDefault="003539E8" w:rsidP="003539E8">
            <w:pPr>
              <w:pStyle w:val="Tablecontent"/>
            </w:pPr>
            <w:r>
              <w:t xml:space="preserve">I do not consider Upgrade as part of Day 2. Day 2 is managing what you have, not changing it. Upgrade also varies from a simple patch to complete rearchitecting, where you are running the old and new system side by side. This type of upgrade is basically a </w:t>
            </w:r>
            <w:r w:rsidRPr="00BF274F">
              <w:rPr>
                <w:color w:val="00B0F0"/>
              </w:rPr>
              <w:t>migrate</w:t>
            </w:r>
            <w:r w:rsidRPr="00BF274F">
              <w:t xml:space="preserve">, as you have the luxury of </w:t>
            </w:r>
            <w:r>
              <w:t>a new build. It also involves substantial planning, so you might have to circle back to Day 0.</w:t>
            </w:r>
          </w:p>
        </w:tc>
      </w:tr>
    </w:tbl>
    <w:p w14:paraId="31293653" w14:textId="50CF3860" w:rsidR="00D574EC" w:rsidRDefault="007818D7" w:rsidP="007818D7">
      <w:pPr>
        <w:pStyle w:val="Heading5"/>
      </w:pPr>
      <w:r>
        <w:t>Day 2</w:t>
      </w:r>
    </w:p>
    <w:p w14:paraId="38B288BA" w14:textId="4D4CD05C" w:rsidR="003539E8" w:rsidRDefault="003539E8" w:rsidP="003539E8">
      <w:pPr>
        <w:rPr>
          <w:lang w:val="en-GB"/>
        </w:rPr>
      </w:pPr>
      <w:r>
        <w:rPr>
          <w:lang w:val="en-GB"/>
        </w:rPr>
        <w:t xml:space="preserve">Day 2 should include proactive </w:t>
      </w:r>
      <w:r w:rsidR="00EA7297">
        <w:rPr>
          <w:lang w:val="en-GB"/>
        </w:rPr>
        <w:t xml:space="preserve">test </w:t>
      </w:r>
      <w:r w:rsidR="00EA7297">
        <w:t>of the system resiliency and security. Monitoring is more than checking dashboard. It’s about ensuring that the system is able to handle emergency and remain secured.</w:t>
      </w:r>
    </w:p>
    <w:p w14:paraId="2730BA8A" w14:textId="77777777" w:rsidR="003539E8" w:rsidRPr="003539E8" w:rsidRDefault="003539E8" w:rsidP="003539E8">
      <w:pPr>
        <w:pStyle w:val="BeforeTable"/>
        <w:rPr>
          <w:lang w:val="en-GB"/>
        </w:rPr>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559"/>
        <w:gridCol w:w="8611"/>
      </w:tblGrid>
      <w:tr w:rsidR="00D84ED6" w:rsidRPr="000263D9" w14:paraId="3371F9AC" w14:textId="77777777" w:rsidTr="00E440AB">
        <w:tc>
          <w:tcPr>
            <w:tcW w:w="1559" w:type="dxa"/>
            <w:shd w:val="clear" w:color="auto" w:fill="F2F2F2" w:themeFill="background1" w:themeFillShade="F2"/>
          </w:tcPr>
          <w:p w14:paraId="1A24DF7A" w14:textId="77777777" w:rsidR="00D84ED6" w:rsidRDefault="00D84ED6" w:rsidP="00E440AB">
            <w:pPr>
              <w:pStyle w:val="Tablecontent"/>
              <w:rPr>
                <w:rStyle w:val="normaltextrun"/>
              </w:rPr>
            </w:pPr>
            <w:r>
              <w:rPr>
                <w:rStyle w:val="normaltextrun"/>
              </w:rPr>
              <w:t>Deploy</w:t>
            </w:r>
          </w:p>
        </w:tc>
        <w:tc>
          <w:tcPr>
            <w:tcW w:w="8611" w:type="dxa"/>
          </w:tcPr>
          <w:p w14:paraId="139E1AAC" w14:textId="35C1B174" w:rsidR="00D84ED6" w:rsidRDefault="00D84ED6" w:rsidP="00E440AB">
            <w:pPr>
              <w:pStyle w:val="Tablecontent"/>
            </w:pPr>
            <w:r>
              <w:t>This refers to the deployment of workload, not infrastructure.</w:t>
            </w:r>
            <w:r w:rsidR="004F3F13">
              <w:t xml:space="preserve"> </w:t>
            </w:r>
          </w:p>
        </w:tc>
      </w:tr>
      <w:tr w:rsidR="00D84ED6" w:rsidRPr="000263D9" w14:paraId="370E5C83" w14:textId="77777777" w:rsidTr="00E440AB">
        <w:tc>
          <w:tcPr>
            <w:tcW w:w="1559" w:type="dxa"/>
            <w:shd w:val="clear" w:color="auto" w:fill="F2F2F2" w:themeFill="background1" w:themeFillShade="F2"/>
          </w:tcPr>
          <w:p w14:paraId="36841660" w14:textId="77777777" w:rsidR="00D84ED6" w:rsidRDefault="00D84ED6" w:rsidP="00E440AB">
            <w:pPr>
              <w:pStyle w:val="Tablecontent"/>
              <w:rPr>
                <w:rStyle w:val="normaltextrun"/>
              </w:rPr>
            </w:pPr>
            <w:r>
              <w:rPr>
                <w:rStyle w:val="normaltextrun"/>
              </w:rPr>
              <w:t>Migrate</w:t>
            </w:r>
          </w:p>
        </w:tc>
        <w:tc>
          <w:tcPr>
            <w:tcW w:w="8611" w:type="dxa"/>
          </w:tcPr>
          <w:p w14:paraId="045B2105" w14:textId="60847C08" w:rsidR="00D84ED6" w:rsidRDefault="00D84ED6" w:rsidP="00E440AB">
            <w:pPr>
              <w:pStyle w:val="Tablecontent"/>
            </w:pPr>
            <w:r>
              <w:t>This refers to existing workload that is already running. They are being migrated to the new environment.</w:t>
            </w:r>
          </w:p>
        </w:tc>
      </w:tr>
      <w:tr w:rsidR="007818D7" w14:paraId="0F312DCC" w14:textId="77777777" w:rsidTr="00AA1ABA">
        <w:tc>
          <w:tcPr>
            <w:tcW w:w="1559" w:type="dxa"/>
            <w:shd w:val="clear" w:color="auto" w:fill="F2F2F2" w:themeFill="background1" w:themeFillShade="F2"/>
          </w:tcPr>
          <w:p w14:paraId="1A2A3F87" w14:textId="77777777" w:rsidR="007818D7" w:rsidRPr="007D3248" w:rsidRDefault="007818D7" w:rsidP="00E440AB">
            <w:pPr>
              <w:pStyle w:val="Tablecontent"/>
            </w:pPr>
            <w:r w:rsidRPr="007D3248">
              <w:rPr>
                <w:rStyle w:val="normaltextrun"/>
              </w:rPr>
              <w:lastRenderedPageBreak/>
              <w:t>Monitor</w:t>
            </w:r>
          </w:p>
        </w:tc>
        <w:tc>
          <w:tcPr>
            <w:tcW w:w="8611" w:type="dxa"/>
          </w:tcPr>
          <w:p w14:paraId="61D3E1A0" w14:textId="77777777" w:rsidR="007818D7" w:rsidRDefault="007818D7" w:rsidP="00E440AB">
            <w:pPr>
              <w:pStyle w:val="Tablecontent"/>
              <w:rPr>
                <w:rStyle w:val="normaltextrun"/>
                <w:rFonts w:ascii="Calibri" w:hAnsi="Calibri" w:cs="Calibri"/>
              </w:rPr>
            </w:pPr>
            <w:r w:rsidRPr="00C12310">
              <w:rPr>
                <w:rStyle w:val="normaltextrun"/>
                <w:rFonts w:ascii="Calibri" w:hAnsi="Calibri" w:cs="Calibri"/>
              </w:rPr>
              <w:t xml:space="preserve">This is where you compare Plan vs Actual. </w:t>
            </w:r>
            <w:r>
              <w:rPr>
                <w:rStyle w:val="normaltextrun"/>
                <w:rFonts w:ascii="Calibri" w:hAnsi="Calibri" w:cs="Calibri"/>
              </w:rPr>
              <w:t xml:space="preserve">That’s why the goal must be clearly defined. </w:t>
            </w:r>
            <w:r w:rsidRPr="00C12310">
              <w:rPr>
                <w:rStyle w:val="normaltextrun"/>
                <w:rFonts w:ascii="Calibri" w:hAnsi="Calibri" w:cs="Calibri"/>
              </w:rPr>
              <w:t xml:space="preserve">Does the reality match what your architecture was supposed to deliver? If not, then you need to </w:t>
            </w:r>
            <w:r>
              <w:rPr>
                <w:rStyle w:val="normaltextrun"/>
                <w:rFonts w:ascii="Calibri" w:hAnsi="Calibri" w:cs="Calibri"/>
              </w:rPr>
              <w:t xml:space="preserve">adjust your plan. That’s why Plan and Monitor form a circle. </w:t>
            </w:r>
          </w:p>
          <w:p w14:paraId="1883B130" w14:textId="77777777" w:rsidR="007818D7" w:rsidRDefault="007818D7" w:rsidP="00E440AB">
            <w:pPr>
              <w:pStyle w:val="Tablecontent"/>
            </w:pPr>
            <w:r>
              <w:rPr>
                <w:rStyle w:val="normaltextrun"/>
                <w:rFonts w:ascii="Calibri" w:hAnsi="Calibri" w:cs="Calibri"/>
              </w:rPr>
              <w:t xml:space="preserve">For example, you plan to deploy VDI for 10K users. At 1K, you find out that the users are consuming more resources than plan. You either need to scale down your deployment, or add more resource. </w:t>
            </w:r>
          </w:p>
        </w:tc>
      </w:tr>
      <w:tr w:rsidR="003539E8" w14:paraId="4AF38D8D" w14:textId="77777777" w:rsidTr="00AA1ABA">
        <w:tc>
          <w:tcPr>
            <w:tcW w:w="1559" w:type="dxa"/>
            <w:shd w:val="clear" w:color="auto" w:fill="F2F2F2" w:themeFill="background1" w:themeFillShade="F2"/>
          </w:tcPr>
          <w:p w14:paraId="1566F5EF" w14:textId="5733A0A6" w:rsidR="003539E8" w:rsidRPr="007D3248" w:rsidRDefault="003539E8" w:rsidP="00E440AB">
            <w:pPr>
              <w:pStyle w:val="Tablecontent"/>
              <w:rPr>
                <w:rStyle w:val="normaltextrun"/>
              </w:rPr>
            </w:pPr>
            <w:r>
              <w:rPr>
                <w:rStyle w:val="normaltextrun"/>
              </w:rPr>
              <w:t>Prove</w:t>
            </w:r>
          </w:p>
        </w:tc>
        <w:tc>
          <w:tcPr>
            <w:tcW w:w="8611" w:type="dxa"/>
          </w:tcPr>
          <w:p w14:paraId="397594FD" w14:textId="77777777" w:rsidR="003539E8" w:rsidRDefault="003539E8" w:rsidP="003539E8">
            <w:pPr>
              <w:pStyle w:val="Tablecontent"/>
            </w:pPr>
            <w:r>
              <w:t xml:space="preserve">You have redundancy (HA) and DR right? How do you know they work if you never test them in years? A pair of core switch that has been left untouched for years may give you a surprise when there is an unplanned HA event. Once a year, test your HA to make sure they work. </w:t>
            </w:r>
          </w:p>
          <w:p w14:paraId="6EE185F3" w14:textId="05466664" w:rsidR="003539E8" w:rsidRDefault="003539E8" w:rsidP="003539E8">
            <w:pPr>
              <w:pStyle w:val="Tablecontent"/>
            </w:pPr>
            <w:r>
              <w:t>Annual reboot could be a good idea to clear cache and logs. As part of firmware, drivers, OS, Tools updates you may need to reboot anyway. Take advantage of this downtime by testing the resiliency of your infrastructure</w:t>
            </w:r>
            <w:r w:rsidR="00E4254C">
              <w:t xml:space="preserve">. </w:t>
            </w:r>
          </w:p>
          <w:p w14:paraId="29F584C7" w14:textId="5CDCA586" w:rsidR="003539E8" w:rsidRPr="00C12310" w:rsidRDefault="003539E8" w:rsidP="003539E8">
            <w:pPr>
              <w:pStyle w:val="Tablecontent"/>
              <w:rPr>
                <w:rStyle w:val="normaltextrun"/>
                <w:rFonts w:ascii="Calibri" w:hAnsi="Calibri" w:cs="Calibri"/>
              </w:rPr>
            </w:pPr>
            <w:r>
              <w:t>Another area you need to test is security. Conduct independent penetration test.</w:t>
            </w:r>
          </w:p>
        </w:tc>
      </w:tr>
      <w:tr w:rsidR="007818D7" w14:paraId="342F76B7" w14:textId="77777777" w:rsidTr="00AA1ABA">
        <w:tc>
          <w:tcPr>
            <w:tcW w:w="1559" w:type="dxa"/>
            <w:shd w:val="clear" w:color="auto" w:fill="F2F2F2" w:themeFill="background1" w:themeFillShade="F2"/>
          </w:tcPr>
          <w:p w14:paraId="6CB696CA" w14:textId="77777777" w:rsidR="007818D7" w:rsidRPr="007D3248" w:rsidRDefault="007818D7" w:rsidP="00E440AB">
            <w:pPr>
              <w:pStyle w:val="Tablecontent"/>
            </w:pPr>
            <w:r w:rsidRPr="007D3248">
              <w:rPr>
                <w:rStyle w:val="normaltextrun"/>
              </w:rPr>
              <w:t>Troubleshoot</w:t>
            </w:r>
          </w:p>
        </w:tc>
        <w:tc>
          <w:tcPr>
            <w:tcW w:w="8611" w:type="dxa"/>
          </w:tcPr>
          <w:p w14:paraId="33C3BF9D" w14:textId="77777777" w:rsidR="007818D7" w:rsidRDefault="007818D7" w:rsidP="00E440AB">
            <w:pPr>
              <w:pStyle w:val="Tablecontent"/>
              <w:rPr>
                <w:rStyle w:val="eop"/>
              </w:rPr>
            </w:pPr>
            <w:r w:rsidRPr="00C12310">
              <w:rPr>
                <w:rStyle w:val="normaltextrun"/>
                <w:rFonts w:ascii="Calibri" w:hAnsi="Calibri" w:cs="Calibri"/>
              </w:rPr>
              <w:t>You do this when reality is worse than plan</w:t>
            </w:r>
            <w:r>
              <w:rPr>
                <w:rStyle w:val="normaltextrun"/>
                <w:rFonts w:ascii="Calibri" w:hAnsi="Calibri" w:cs="Calibri"/>
              </w:rPr>
              <w:t>, or something amiss</w:t>
            </w:r>
            <w:r w:rsidRPr="00C12310">
              <w:rPr>
                <w:rStyle w:val="normaltextrun"/>
                <w:rFonts w:ascii="Calibri" w:hAnsi="Calibri" w:cs="Calibri"/>
              </w:rPr>
              <w:t>, not when there is a complaint. You want to take time in troubleshooting, so it’s best done proactively.</w:t>
            </w:r>
            <w:r w:rsidRPr="00C12310">
              <w:rPr>
                <w:rStyle w:val="eop"/>
                <w:rFonts w:ascii="Calibri" w:hAnsi="Calibri" w:cs="Calibri"/>
              </w:rPr>
              <w:t> </w:t>
            </w:r>
            <w:r>
              <w:rPr>
                <w:rStyle w:val="eop"/>
                <w:rFonts w:ascii="Calibri" w:hAnsi="Calibri" w:cs="Calibri"/>
              </w:rPr>
              <w:t>A</w:t>
            </w:r>
            <w:r>
              <w:rPr>
                <w:rStyle w:val="eop"/>
              </w:rPr>
              <w:t xml:space="preserve">nd quietly with no one rushing you for results </w:t>
            </w:r>
            <w:r w:rsidRPr="00925C1F">
              <w:rPr>
                <w:rStyle w:val="eop"/>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779ACA2A" w14:textId="54248D1A" w:rsidR="007818D7" w:rsidRDefault="007818D7" w:rsidP="00E440AB">
            <w:pPr>
              <w:pStyle w:val="Tablecontent"/>
              <w:rPr>
                <w:rStyle w:val="eop"/>
              </w:rPr>
            </w:pPr>
            <w:r>
              <w:rPr>
                <w:rStyle w:val="eop"/>
              </w:rPr>
              <w:t xml:space="preserve">That means redefining what each color means. </w:t>
            </w:r>
            <w:r w:rsidR="00CF7D2C" w:rsidRPr="00CF7D2C">
              <w:rPr>
                <w:rStyle w:val="eop"/>
                <w:color w:val="FF0000"/>
              </w:rPr>
              <w:t>Red</w:t>
            </w:r>
            <w:r>
              <w:rPr>
                <w:rStyle w:val="eop"/>
              </w:rPr>
              <w:t xml:space="preserve"> should not mean you drop everything you do and start firefighting right away. </w:t>
            </w:r>
          </w:p>
          <w:p w14:paraId="084AAF30" w14:textId="77777777" w:rsidR="007818D7" w:rsidRDefault="007818D7" w:rsidP="00E440AB">
            <w:pPr>
              <w:pStyle w:val="Tablecontent"/>
            </w:pPr>
            <w:r>
              <w:rPr>
                <w:noProof/>
              </w:rPr>
              <w:drawing>
                <wp:inline distT="0" distB="0" distL="0" distR="0" wp14:anchorId="39967438" wp14:editId="5BF557EB">
                  <wp:extent cx="2289600" cy="781200"/>
                  <wp:effectExtent l="0" t="0" r="0" b="0"/>
                  <wp:docPr id="1859674513" name="Picture 185967451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13" name="Picture 1859674513" descr="Text&#10;&#10;Description automatically generated"/>
                          <pic:cNvPicPr/>
                        </pic:nvPicPr>
                        <pic:blipFill>
                          <a:blip r:embed="rId92"/>
                          <a:stretch>
                            <a:fillRect/>
                          </a:stretch>
                        </pic:blipFill>
                        <pic:spPr>
                          <a:xfrm>
                            <a:off x="0" y="0"/>
                            <a:ext cx="2289600" cy="781200"/>
                          </a:xfrm>
                          <a:prstGeom prst="rect">
                            <a:avLst/>
                          </a:prstGeom>
                        </pic:spPr>
                      </pic:pic>
                    </a:graphicData>
                  </a:graphic>
                </wp:inline>
              </w:drawing>
            </w:r>
          </w:p>
        </w:tc>
      </w:tr>
      <w:tr w:rsidR="007818D7" w14:paraId="09E25FEE" w14:textId="77777777" w:rsidTr="00AA1ABA">
        <w:tc>
          <w:tcPr>
            <w:tcW w:w="1559" w:type="dxa"/>
            <w:shd w:val="clear" w:color="auto" w:fill="F2F2F2" w:themeFill="background1" w:themeFillShade="F2"/>
          </w:tcPr>
          <w:p w14:paraId="1BEA1FC0" w14:textId="77777777" w:rsidR="007818D7" w:rsidRPr="007D3248" w:rsidRDefault="007818D7" w:rsidP="00E440AB">
            <w:pPr>
              <w:pStyle w:val="Tablecontent"/>
            </w:pPr>
            <w:r w:rsidRPr="007D3248">
              <w:rPr>
                <w:rStyle w:val="normaltextrun"/>
              </w:rPr>
              <w:t>Optimize</w:t>
            </w:r>
          </w:p>
        </w:tc>
        <w:tc>
          <w:tcPr>
            <w:tcW w:w="8611" w:type="dxa"/>
          </w:tcPr>
          <w:p w14:paraId="7FD0D759" w14:textId="77777777" w:rsidR="007818D7" w:rsidRDefault="007818D7" w:rsidP="00E440AB">
            <w:pPr>
              <w:pStyle w:val="Tablecontent"/>
            </w:pPr>
            <w:r w:rsidRPr="00C12310">
              <w:t xml:space="preserve">As part your monitoring, you may not discover problem, but </w:t>
            </w:r>
            <w:r>
              <w:t xml:space="preserve">you spot </w:t>
            </w:r>
            <w:r w:rsidRPr="00C12310">
              <w:t xml:space="preserve">opportunity </w:t>
            </w:r>
            <w:r>
              <w:t>to make performance even better, reduce cost even further, and free up wastage in capacity</w:t>
            </w:r>
            <w:r w:rsidRPr="00C12310">
              <w:t>.</w:t>
            </w:r>
            <w:r>
              <w:t xml:space="preserve"> It’s common for new version to deliver performance improvement. Again, you do this proactively, not waiting for complaint to happen.</w:t>
            </w:r>
          </w:p>
        </w:tc>
      </w:tr>
    </w:tbl>
    <w:p w14:paraId="4DC57B3F" w14:textId="21DF90F1" w:rsidR="0077290E" w:rsidRDefault="0077290E" w:rsidP="00E7573A">
      <w:pPr>
        <w:pStyle w:val="Heading5"/>
      </w:pPr>
      <w:r>
        <w:t>Monitor vs Troubleshoot</w:t>
      </w:r>
    </w:p>
    <w:p w14:paraId="7079F3C6" w14:textId="190D3275" w:rsidR="00D24589" w:rsidRDefault="002833CE" w:rsidP="001711FD">
      <w:r>
        <w:t xml:space="preserve">Monitor is </w:t>
      </w:r>
      <w:r w:rsidRPr="70F05EAA">
        <w:rPr>
          <w:b/>
          <w:bCs/>
        </w:rPr>
        <w:t>What</w:t>
      </w:r>
      <w:r>
        <w:t xml:space="preserve">, while Troubleshoot is </w:t>
      </w:r>
      <w:r w:rsidRPr="70F05EAA">
        <w:rPr>
          <w:b/>
          <w:bCs/>
        </w:rPr>
        <w:t>Why</w:t>
      </w:r>
      <w:r>
        <w:t xml:space="preserve">. </w:t>
      </w:r>
    </w:p>
    <w:p w14:paraId="36974182" w14:textId="340DB60C" w:rsidR="00C87F3C" w:rsidRPr="00C12310" w:rsidRDefault="00D24589" w:rsidP="00444B4D">
      <w:r>
        <w:t>Troubleshoot requires expert team. The expert team is also the team setting up the thresholds used by the Level 1 team. Troubleshoot involves logs analysis, as many systems do not generate complete metrics, and there can be many different causes behind a common problem.</w:t>
      </w:r>
      <w:r w:rsidRPr="00C51606">
        <w:t xml:space="preserve"> At the end, the actual </w:t>
      </w:r>
      <w:r>
        <w:t xml:space="preserve">root </w:t>
      </w:r>
      <w:r w:rsidRPr="00C51606">
        <w:t xml:space="preserve">cause may not even be </w:t>
      </w:r>
      <w:r>
        <w:t xml:space="preserve">closely </w:t>
      </w:r>
      <w:r w:rsidRPr="00C51606">
        <w:t>related to the problem.</w:t>
      </w:r>
      <w:r w:rsidR="00AB6A41">
        <w:t xml:space="preserve"> </w:t>
      </w:r>
      <w:r w:rsidR="001711FD">
        <w:t>Troubleshooting is much more than simply “</w:t>
      </w:r>
      <w:r w:rsidR="001711FD" w:rsidRPr="004911E5">
        <w:rPr>
          <w:color w:val="00B0F0"/>
        </w:rPr>
        <w:t>finding out</w:t>
      </w:r>
      <w:r w:rsidR="001711FD">
        <w:t>” and goes beyond just gathering facts. It focuses on why, and then formulates a solution to prevent future incidents. Incidents mean something is dead, slow or breached. You troubleshoot availability, performance, and security.</w:t>
      </w:r>
      <w:r w:rsidR="00153BE3">
        <w:t xml:space="preserve"> Capacity and cost are not something you troubleshoot.</w:t>
      </w:r>
    </w:p>
    <w:p w14:paraId="566300D4" w14:textId="235D681A" w:rsidR="00444B4D" w:rsidRDefault="00444B4D" w:rsidP="004043AF">
      <w:r w:rsidRPr="00444B4D">
        <w:rPr>
          <w:noProof/>
        </w:rPr>
        <w:lastRenderedPageBreak/>
        <w:drawing>
          <wp:inline distT="0" distB="0" distL="0" distR="0" wp14:anchorId="516F6531" wp14:editId="1991577B">
            <wp:extent cx="6645910" cy="1762760"/>
            <wp:effectExtent l="0" t="0" r="2540" b="8890"/>
            <wp:docPr id="534447508" name="Picture 53444750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08" name="Picture 534447508" descr="Graphical user interface&#10;&#10;Description automatically generated with medium confidence"/>
                    <pic:cNvPicPr/>
                  </pic:nvPicPr>
                  <pic:blipFill>
                    <a:blip r:embed="rId93"/>
                    <a:stretch>
                      <a:fillRect/>
                    </a:stretch>
                  </pic:blipFill>
                  <pic:spPr>
                    <a:xfrm>
                      <a:off x="0" y="0"/>
                      <a:ext cx="6645910" cy="1762760"/>
                    </a:xfrm>
                    <a:prstGeom prst="rect">
                      <a:avLst/>
                    </a:prstGeom>
                  </pic:spPr>
                </pic:pic>
              </a:graphicData>
            </a:graphic>
          </wp:inline>
        </w:drawing>
      </w:r>
    </w:p>
    <w:p w14:paraId="7ED4F090" w14:textId="01CF035C" w:rsidR="00153BE3" w:rsidRDefault="00153BE3" w:rsidP="004043AF">
      <w:r>
        <w:t xml:space="preserve">Due to its complex nature, the first time an incident happens is forgiveable. </w:t>
      </w:r>
    </w:p>
    <w:p w14:paraId="0EA4A83E" w14:textId="0EFC19C0" w:rsidR="00153BE3" w:rsidRDefault="00153BE3" w:rsidP="004043AF">
      <w:r w:rsidRPr="00153BE3">
        <w:rPr>
          <w:noProof/>
        </w:rPr>
        <w:drawing>
          <wp:inline distT="0" distB="0" distL="0" distR="0" wp14:anchorId="78749E7B" wp14:editId="3D92BB03">
            <wp:extent cx="6645910" cy="2498725"/>
            <wp:effectExtent l="0" t="0" r="2540" b="0"/>
            <wp:docPr id="1525330271" name="Picture 1525330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645910" cy="2498725"/>
                    </a:xfrm>
                    <a:prstGeom prst="rect">
                      <a:avLst/>
                    </a:prstGeom>
                  </pic:spPr>
                </pic:pic>
              </a:graphicData>
            </a:graphic>
          </wp:inline>
        </w:drawing>
      </w:r>
    </w:p>
    <w:p w14:paraId="24D76B4E" w14:textId="6C57C95D" w:rsidR="004043AF" w:rsidRDefault="004043AF" w:rsidP="004043AF">
      <w:r w:rsidRPr="002A2C86">
        <w:t>Day to day operations become more systematic when you distinguish between monitor and troubleshoot. The following table shows the difference</w:t>
      </w:r>
      <w:r>
        <w:t>:</w:t>
      </w:r>
    </w:p>
    <w:p w14:paraId="773C5FA6" w14:textId="77777777" w:rsidR="004043AF" w:rsidRPr="002A2C86" w:rsidRDefault="004043AF" w:rsidP="004043AF">
      <w:pPr>
        <w:pStyle w:val="BeforeTable"/>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72"/>
        <w:gridCol w:w="4098"/>
        <w:gridCol w:w="4496"/>
      </w:tblGrid>
      <w:tr w:rsidR="004043AF" w:rsidRPr="00E51A31" w14:paraId="180513A0" w14:textId="77777777" w:rsidTr="00686EE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F2F2F2" w:themeFill="background1" w:themeFillShade="F2"/>
          </w:tcPr>
          <w:p w14:paraId="622E4978" w14:textId="77777777" w:rsidR="004043AF" w:rsidRPr="002A2C86" w:rsidRDefault="004043AF" w:rsidP="00757101">
            <w:pPr>
              <w:pStyle w:val="Tableheading"/>
            </w:pPr>
          </w:p>
        </w:tc>
        <w:tc>
          <w:tcPr>
            <w:tcW w:w="5670" w:type="dxa"/>
            <w:shd w:val="clear" w:color="auto" w:fill="DEEAF6" w:themeFill="accent5" w:themeFillTint="33"/>
          </w:tcPr>
          <w:p w14:paraId="24C560E1" w14:textId="77777777" w:rsidR="004043AF" w:rsidRPr="0050302A" w:rsidRDefault="004043AF" w:rsidP="00757101">
            <w:pPr>
              <w:pStyle w:val="Tableheading"/>
              <w:cnfStyle w:val="100000000000" w:firstRow="1" w:lastRow="0" w:firstColumn="0" w:lastColumn="0" w:oddVBand="0" w:evenVBand="0" w:oddHBand="0" w:evenHBand="0" w:firstRowFirstColumn="0" w:firstRowLastColumn="0" w:lastRowFirstColumn="0" w:lastRowLastColumn="0"/>
              <w:rPr>
                <w:b/>
              </w:rPr>
            </w:pPr>
            <w:r w:rsidRPr="0050302A">
              <w:rPr>
                <w:b/>
              </w:rPr>
              <w:t>Monitor</w:t>
            </w:r>
          </w:p>
        </w:tc>
        <w:tc>
          <w:tcPr>
            <w:tcW w:w="6015" w:type="dxa"/>
            <w:shd w:val="clear" w:color="auto" w:fill="DEEAF6" w:themeFill="accent5" w:themeFillTint="33"/>
          </w:tcPr>
          <w:p w14:paraId="43225AE0" w14:textId="77777777" w:rsidR="004043AF" w:rsidRPr="0050302A" w:rsidRDefault="004043AF" w:rsidP="00757101">
            <w:pPr>
              <w:pStyle w:val="Tableheading"/>
              <w:cnfStyle w:val="100000000000" w:firstRow="1" w:lastRow="0" w:firstColumn="0" w:lastColumn="0" w:oddVBand="0" w:evenVBand="0" w:oddHBand="0" w:evenHBand="0" w:firstRowFirstColumn="0" w:firstRowLastColumn="0" w:lastRowFirstColumn="0" w:lastRowLastColumn="0"/>
              <w:rPr>
                <w:b/>
              </w:rPr>
            </w:pPr>
            <w:r w:rsidRPr="0050302A">
              <w:rPr>
                <w:b/>
              </w:rPr>
              <w:t>Troubleshoot</w:t>
            </w:r>
          </w:p>
        </w:tc>
      </w:tr>
      <w:tr w:rsidR="004043AF" w:rsidRPr="00E51A31" w14:paraId="65369A5E" w14:textId="77777777" w:rsidTr="00686EE0">
        <w:tc>
          <w:tcPr>
            <w:cnfStyle w:val="001000000000" w:firstRow="0" w:lastRow="0" w:firstColumn="1" w:lastColumn="0" w:oddVBand="0" w:evenVBand="0" w:oddHBand="0" w:evenHBand="0" w:firstRowFirstColumn="0" w:firstRowLastColumn="0" w:lastRowFirstColumn="0" w:lastRowLastColumn="0"/>
            <w:tcW w:w="2263" w:type="dxa"/>
            <w:shd w:val="clear" w:color="auto" w:fill="F2F2F2" w:themeFill="background1" w:themeFillShade="F2"/>
          </w:tcPr>
          <w:p w14:paraId="15CEA935" w14:textId="77777777" w:rsidR="004043AF" w:rsidRPr="00DA6868" w:rsidRDefault="004043AF" w:rsidP="005321A6">
            <w:pPr>
              <w:pStyle w:val="Tablecontent"/>
              <w:rPr>
                <w:b w:val="0"/>
                <w:bCs w:val="0"/>
              </w:rPr>
            </w:pPr>
            <w:r w:rsidRPr="00DA6868">
              <w:rPr>
                <w:b w:val="0"/>
                <w:bCs w:val="0"/>
              </w:rPr>
              <w:t>Question answered</w:t>
            </w:r>
          </w:p>
        </w:tc>
        <w:tc>
          <w:tcPr>
            <w:tcW w:w="5670" w:type="dxa"/>
          </w:tcPr>
          <w:p w14:paraId="343E260E" w14:textId="77777777" w:rsidR="004043AF" w:rsidRPr="00AF4744" w:rsidRDefault="004043AF" w:rsidP="005321A6">
            <w:pPr>
              <w:pStyle w:val="Tablecontent"/>
              <w:cnfStyle w:val="000000000000" w:firstRow="0" w:lastRow="0" w:firstColumn="0" w:lastColumn="0" w:oddVBand="0" w:evenVBand="0" w:oddHBand="0" w:evenHBand="0" w:firstRowFirstColumn="0" w:firstRowLastColumn="0" w:lastRowFirstColumn="0" w:lastRowLastColumn="0"/>
            </w:pPr>
            <w:r w:rsidRPr="00AF4744">
              <w:t>What is the problem?</w:t>
            </w:r>
          </w:p>
        </w:tc>
        <w:tc>
          <w:tcPr>
            <w:tcW w:w="6015" w:type="dxa"/>
          </w:tcPr>
          <w:p w14:paraId="4F46ABB8" w14:textId="77777777" w:rsidR="004043AF" w:rsidRPr="00AF4744" w:rsidRDefault="004043AF" w:rsidP="005321A6">
            <w:pPr>
              <w:pStyle w:val="Tablecontent"/>
              <w:cnfStyle w:val="000000000000" w:firstRow="0" w:lastRow="0" w:firstColumn="0" w:lastColumn="0" w:oddVBand="0" w:evenVBand="0" w:oddHBand="0" w:evenHBand="0" w:firstRowFirstColumn="0" w:firstRowLastColumn="0" w:lastRowFirstColumn="0" w:lastRowLastColumn="0"/>
            </w:pPr>
            <w:r w:rsidRPr="00AF4744">
              <w:t>Why does it happen? What</w:t>
            </w:r>
            <w:r>
              <w:t xml:space="preserve"> i</w:t>
            </w:r>
            <w:r w:rsidRPr="00AF4744">
              <w:t>s the actual cause of the problem?</w:t>
            </w:r>
          </w:p>
        </w:tc>
      </w:tr>
      <w:tr w:rsidR="004043AF" w:rsidRPr="00E51A31" w14:paraId="7C9785C2" w14:textId="77777777" w:rsidTr="00686EE0">
        <w:tc>
          <w:tcPr>
            <w:cnfStyle w:val="001000000000" w:firstRow="0" w:lastRow="0" w:firstColumn="1" w:lastColumn="0" w:oddVBand="0" w:evenVBand="0" w:oddHBand="0" w:evenHBand="0" w:firstRowFirstColumn="0" w:firstRowLastColumn="0" w:lastRowFirstColumn="0" w:lastRowLastColumn="0"/>
            <w:tcW w:w="2263" w:type="dxa"/>
            <w:shd w:val="clear" w:color="auto" w:fill="F2F2F2" w:themeFill="background1" w:themeFillShade="F2"/>
          </w:tcPr>
          <w:p w14:paraId="7ACCF0E5" w14:textId="77777777" w:rsidR="004043AF" w:rsidRPr="00DA6868" w:rsidRDefault="004043AF" w:rsidP="005321A6">
            <w:pPr>
              <w:pStyle w:val="Tablecontent"/>
              <w:rPr>
                <w:b w:val="0"/>
                <w:bCs w:val="0"/>
              </w:rPr>
            </w:pPr>
            <w:r w:rsidRPr="00DA6868">
              <w:rPr>
                <w:b w:val="0"/>
                <w:bCs w:val="0"/>
              </w:rPr>
              <w:t>Nature</w:t>
            </w:r>
          </w:p>
        </w:tc>
        <w:tc>
          <w:tcPr>
            <w:tcW w:w="5670" w:type="dxa"/>
          </w:tcPr>
          <w:p w14:paraId="23427ED9" w14:textId="2E22CB78" w:rsidR="004043AF" w:rsidRPr="00AF4744" w:rsidRDefault="004043AF" w:rsidP="005321A6">
            <w:pPr>
              <w:pStyle w:val="Tablecontent"/>
              <w:cnfStyle w:val="000000000000" w:firstRow="0" w:lastRow="0" w:firstColumn="0" w:lastColumn="0" w:oddVBand="0" w:evenVBand="0" w:oddHBand="0" w:evenHBand="0" w:firstRowFirstColumn="0" w:firstRowLastColumn="0" w:lastRowFirstColumn="0" w:lastRowLastColumn="0"/>
            </w:pPr>
            <w:r w:rsidRPr="00AF4744">
              <w:t>Proactive</w:t>
            </w:r>
            <w:r w:rsidR="0077290E">
              <w:t xml:space="preserve">. </w:t>
            </w:r>
          </w:p>
        </w:tc>
        <w:tc>
          <w:tcPr>
            <w:tcW w:w="6015" w:type="dxa"/>
          </w:tcPr>
          <w:p w14:paraId="490915D6" w14:textId="77777777" w:rsidR="004043AF" w:rsidRPr="00AF4744" w:rsidRDefault="004043AF" w:rsidP="005321A6">
            <w:pPr>
              <w:pStyle w:val="Tablecontent"/>
              <w:cnfStyle w:val="000000000000" w:firstRow="0" w:lastRow="0" w:firstColumn="0" w:lastColumn="0" w:oddVBand="0" w:evenVBand="0" w:oddHBand="0" w:evenHBand="0" w:firstRowFirstColumn="0" w:firstRowLastColumn="0" w:lastRowFirstColumn="0" w:lastRowLastColumn="0"/>
            </w:pPr>
            <w:r w:rsidRPr="00AF4744">
              <w:t>Reactive</w:t>
            </w:r>
          </w:p>
        </w:tc>
      </w:tr>
      <w:tr w:rsidR="00530F0A" w:rsidRPr="00E51A31" w14:paraId="40DF4CD2" w14:textId="77777777" w:rsidTr="00686EE0">
        <w:tc>
          <w:tcPr>
            <w:cnfStyle w:val="001000000000" w:firstRow="0" w:lastRow="0" w:firstColumn="1" w:lastColumn="0" w:oddVBand="0" w:evenVBand="0" w:oddHBand="0" w:evenHBand="0" w:firstRowFirstColumn="0" w:firstRowLastColumn="0" w:lastRowFirstColumn="0" w:lastRowLastColumn="0"/>
            <w:tcW w:w="2263" w:type="dxa"/>
            <w:shd w:val="clear" w:color="auto" w:fill="F2F2F2" w:themeFill="background1" w:themeFillShade="F2"/>
          </w:tcPr>
          <w:p w14:paraId="30B9A3F6" w14:textId="47B70BAC" w:rsidR="00530F0A" w:rsidRPr="00DA6868" w:rsidRDefault="00CB5D46" w:rsidP="005321A6">
            <w:pPr>
              <w:pStyle w:val="Tablecontent"/>
              <w:rPr>
                <w:b w:val="0"/>
                <w:bCs w:val="0"/>
              </w:rPr>
            </w:pPr>
            <w:r w:rsidRPr="00DA6868">
              <w:rPr>
                <w:b w:val="0"/>
                <w:bCs w:val="0"/>
              </w:rPr>
              <w:t>Expertise</w:t>
            </w:r>
          </w:p>
        </w:tc>
        <w:tc>
          <w:tcPr>
            <w:tcW w:w="5670" w:type="dxa"/>
          </w:tcPr>
          <w:p w14:paraId="5CD3DB79" w14:textId="220B79D3" w:rsidR="00530F0A" w:rsidRPr="00AF4744" w:rsidRDefault="00CB5D46" w:rsidP="005321A6">
            <w:pPr>
              <w:pStyle w:val="Tablecontent"/>
              <w:cnfStyle w:val="000000000000" w:firstRow="0" w:lastRow="0" w:firstColumn="0" w:lastColumn="0" w:oddVBand="0" w:evenVBand="0" w:oddHBand="0" w:evenHBand="0" w:firstRowFirstColumn="0" w:firstRowLastColumn="0" w:lastRowFirstColumn="0" w:lastRowLastColumn="0"/>
            </w:pPr>
            <w:r>
              <w:t>Low. A junior IT person is better suited</w:t>
            </w:r>
            <w:r w:rsidR="00DE71CC">
              <w:t>, as it’s repetitive tasks</w:t>
            </w:r>
            <w:r w:rsidR="00B91F62">
              <w:t>, with the aid of predefined dashboard and alerts</w:t>
            </w:r>
          </w:p>
        </w:tc>
        <w:tc>
          <w:tcPr>
            <w:tcW w:w="6015" w:type="dxa"/>
          </w:tcPr>
          <w:p w14:paraId="46979942" w14:textId="3091D926" w:rsidR="00530F0A" w:rsidRPr="00AF4744" w:rsidRDefault="00CB5D46" w:rsidP="005321A6">
            <w:pPr>
              <w:pStyle w:val="Tablecontent"/>
              <w:cnfStyle w:val="000000000000" w:firstRow="0" w:lastRow="0" w:firstColumn="0" w:lastColumn="0" w:oddVBand="0" w:evenVBand="0" w:oddHBand="0" w:evenHBand="0" w:firstRowFirstColumn="0" w:firstRowLastColumn="0" w:lastRowFirstColumn="0" w:lastRowLastColumn="0"/>
            </w:pPr>
            <w:r>
              <w:t>High. Needs experienced IT Pro</w:t>
            </w:r>
            <w:r w:rsidR="0077290E">
              <w:t xml:space="preserve"> as there is wide variances on the steps taken. Also needs someone who </w:t>
            </w:r>
            <w:r>
              <w:t>understands the environment.</w:t>
            </w:r>
          </w:p>
        </w:tc>
      </w:tr>
      <w:tr w:rsidR="004043AF" w:rsidRPr="00E51A31" w14:paraId="39D7E2A8" w14:textId="77777777" w:rsidTr="00686EE0">
        <w:tc>
          <w:tcPr>
            <w:cnfStyle w:val="001000000000" w:firstRow="0" w:lastRow="0" w:firstColumn="1" w:lastColumn="0" w:oddVBand="0" w:evenVBand="0" w:oddHBand="0" w:evenHBand="0" w:firstRowFirstColumn="0" w:firstRowLastColumn="0" w:lastRowFirstColumn="0" w:lastRowLastColumn="0"/>
            <w:tcW w:w="2263" w:type="dxa"/>
            <w:shd w:val="clear" w:color="auto" w:fill="F2F2F2" w:themeFill="background1" w:themeFillShade="F2"/>
          </w:tcPr>
          <w:p w14:paraId="5BF36D91" w14:textId="5457D094" w:rsidR="004043AF" w:rsidRPr="00DA6868" w:rsidRDefault="00E42CBE" w:rsidP="005321A6">
            <w:pPr>
              <w:pStyle w:val="Tablecontent"/>
              <w:rPr>
                <w:b w:val="0"/>
                <w:bCs w:val="0"/>
              </w:rPr>
            </w:pPr>
            <w:r>
              <w:rPr>
                <w:b w:val="0"/>
                <w:bCs w:val="0"/>
              </w:rPr>
              <w:t>Metric</w:t>
            </w:r>
          </w:p>
        </w:tc>
        <w:tc>
          <w:tcPr>
            <w:tcW w:w="5670" w:type="dxa"/>
          </w:tcPr>
          <w:p w14:paraId="09284284" w14:textId="47822A38" w:rsidR="004043AF" w:rsidRDefault="004043AF" w:rsidP="005321A6">
            <w:pPr>
              <w:pStyle w:val="Tablecontent"/>
              <w:cnfStyle w:val="000000000000" w:firstRow="0" w:lastRow="0" w:firstColumn="0" w:lastColumn="0" w:oddVBand="0" w:evenVBand="0" w:oddHBand="0" w:evenHBand="0" w:firstRowFirstColumn="0" w:firstRowLastColumn="0" w:lastRowFirstColumn="0" w:lastRowLastColumn="0"/>
            </w:pPr>
            <w:r w:rsidRPr="00AF4744">
              <w:t>Generally, 1</w:t>
            </w:r>
            <w:r w:rsidR="00E42CBE">
              <w:t xml:space="preserve"> metric</w:t>
            </w:r>
            <w:r w:rsidRPr="00AF4744">
              <w:t xml:space="preserve">. And this </w:t>
            </w:r>
            <w:r w:rsidR="00E42CBE">
              <w:t>metric</w:t>
            </w:r>
            <w:r w:rsidR="00E42CBE" w:rsidRPr="00AF4744">
              <w:t xml:space="preserve"> </w:t>
            </w:r>
            <w:r w:rsidRPr="00AF4744">
              <w:t>is also the SLA. This is the 1</w:t>
            </w:r>
            <w:r w:rsidRPr="00AF4744">
              <w:rPr>
                <w:vertAlign w:val="superscript"/>
              </w:rPr>
              <w:t>st</w:t>
            </w:r>
            <w:r w:rsidRPr="00AF4744">
              <w:t xml:space="preserve"> </w:t>
            </w:r>
            <w:r w:rsidR="00E42CBE">
              <w:t>metric</w:t>
            </w:r>
            <w:r w:rsidR="00E42CBE" w:rsidRPr="00AF4744">
              <w:t xml:space="preserve"> </w:t>
            </w:r>
            <w:r w:rsidRPr="00AF4744">
              <w:t>you or your customer check.</w:t>
            </w:r>
          </w:p>
          <w:p w14:paraId="24BF4AE4" w14:textId="0B0C21E3" w:rsidR="00027492" w:rsidRPr="00AF4744" w:rsidRDefault="00027492" w:rsidP="005321A6">
            <w:pPr>
              <w:pStyle w:val="Tablecontent"/>
              <w:cnfStyle w:val="000000000000" w:firstRow="0" w:lastRow="0" w:firstColumn="0" w:lastColumn="0" w:oddVBand="0" w:evenVBand="0" w:oddHBand="0" w:evenHBand="0" w:firstRowFirstColumn="0" w:firstRowLastColumn="0" w:lastRowFirstColumn="0" w:lastRowLastColumn="0"/>
            </w:pPr>
            <w:r w:rsidRPr="00AF4744">
              <w:t xml:space="preserve">Primary </w:t>
            </w:r>
            <w:r w:rsidR="00E42CBE">
              <w:t>metric</w:t>
            </w:r>
            <w:r w:rsidRPr="00AF4744">
              <w:t xml:space="preserve">. You check it proactively as part of </w:t>
            </w:r>
            <w:r w:rsidR="005C5E6E">
              <w:t>your SOP</w:t>
            </w:r>
          </w:p>
        </w:tc>
        <w:tc>
          <w:tcPr>
            <w:tcW w:w="6015" w:type="dxa"/>
          </w:tcPr>
          <w:p w14:paraId="5DA45CAD" w14:textId="40134B21" w:rsidR="00027492" w:rsidRDefault="004043AF" w:rsidP="005321A6">
            <w:pPr>
              <w:pStyle w:val="Tablecontent"/>
              <w:cnfStyle w:val="000000000000" w:firstRow="0" w:lastRow="0" w:firstColumn="0" w:lastColumn="0" w:oddVBand="0" w:evenVBand="0" w:oddHBand="0" w:evenHBand="0" w:firstRowFirstColumn="0" w:firstRowLastColumn="0" w:lastRowFirstColumn="0" w:lastRowLastColumn="0"/>
            </w:pPr>
            <w:r w:rsidRPr="00AF4744">
              <w:t xml:space="preserve">Always many </w:t>
            </w:r>
            <w:r w:rsidR="00E42CBE">
              <w:t>metrics</w:t>
            </w:r>
            <w:r w:rsidRPr="00AF4744">
              <w:t xml:space="preserve">. There are layers of </w:t>
            </w:r>
            <w:r w:rsidR="00E42CBE">
              <w:t>metric</w:t>
            </w:r>
            <w:r w:rsidRPr="00AF4744">
              <w:t>s, one impacting another.</w:t>
            </w:r>
            <w:r w:rsidR="00027492" w:rsidRPr="00AF4744">
              <w:t xml:space="preserve"> </w:t>
            </w:r>
          </w:p>
          <w:p w14:paraId="59A8BFEE" w14:textId="5D563EF9" w:rsidR="004043AF" w:rsidRPr="00AF4744" w:rsidRDefault="00027492" w:rsidP="005321A6">
            <w:pPr>
              <w:pStyle w:val="Tablecontent"/>
              <w:cnfStyle w:val="000000000000" w:firstRow="0" w:lastRow="0" w:firstColumn="0" w:lastColumn="0" w:oddVBand="0" w:evenVBand="0" w:oddHBand="0" w:evenHBand="0" w:firstRowFirstColumn="0" w:firstRowLastColumn="0" w:lastRowFirstColumn="0" w:lastRowLastColumn="0"/>
            </w:pPr>
            <w:r w:rsidRPr="00AF4744">
              <w:t xml:space="preserve">Secondary </w:t>
            </w:r>
            <w:r w:rsidR="00E42CBE">
              <w:t>metric</w:t>
            </w:r>
            <w:r w:rsidRPr="00AF4744">
              <w:t>. You only check if the primary is reaching threshold</w:t>
            </w:r>
          </w:p>
        </w:tc>
      </w:tr>
      <w:tr w:rsidR="004043AF" w:rsidRPr="00E51A31" w14:paraId="64D3F6AE" w14:textId="77777777" w:rsidTr="00686EE0">
        <w:tc>
          <w:tcPr>
            <w:cnfStyle w:val="001000000000" w:firstRow="0" w:lastRow="0" w:firstColumn="1" w:lastColumn="0" w:oddVBand="0" w:evenVBand="0" w:oddHBand="0" w:evenHBand="0" w:firstRowFirstColumn="0" w:firstRowLastColumn="0" w:lastRowFirstColumn="0" w:lastRowLastColumn="0"/>
            <w:tcW w:w="2263" w:type="dxa"/>
            <w:shd w:val="clear" w:color="auto" w:fill="F2F2F2" w:themeFill="background1" w:themeFillShade="F2"/>
          </w:tcPr>
          <w:p w14:paraId="2A1F0EAA" w14:textId="77777777" w:rsidR="004043AF" w:rsidRPr="00DA6868" w:rsidRDefault="004043AF" w:rsidP="005321A6">
            <w:pPr>
              <w:pStyle w:val="Tablecontent"/>
              <w:rPr>
                <w:b w:val="0"/>
                <w:bCs w:val="0"/>
              </w:rPr>
            </w:pPr>
            <w:r w:rsidRPr="00DA6868">
              <w:rPr>
                <w:b w:val="0"/>
                <w:bCs w:val="0"/>
              </w:rPr>
              <w:t>SLA</w:t>
            </w:r>
          </w:p>
        </w:tc>
        <w:tc>
          <w:tcPr>
            <w:tcW w:w="5670" w:type="dxa"/>
          </w:tcPr>
          <w:p w14:paraId="04825C1D" w14:textId="6CECA34E" w:rsidR="004043AF" w:rsidRPr="00AF4744" w:rsidRDefault="004043AF" w:rsidP="005321A6">
            <w:pPr>
              <w:pStyle w:val="Tablecontent"/>
              <w:cnfStyle w:val="000000000000" w:firstRow="0" w:lastRow="0" w:firstColumn="0" w:lastColumn="0" w:oddVBand="0" w:evenVBand="0" w:oddHBand="0" w:evenHBand="0" w:firstRowFirstColumn="0" w:firstRowLastColumn="0" w:lastRowFirstColumn="0" w:lastRowLastColumn="0"/>
            </w:pPr>
            <w:r>
              <w:t>SLA is applicable</w:t>
            </w:r>
            <w:r w:rsidR="006E4704">
              <w:t xml:space="preserve"> in monitoring</w:t>
            </w:r>
          </w:p>
        </w:tc>
        <w:tc>
          <w:tcPr>
            <w:tcW w:w="6015" w:type="dxa"/>
          </w:tcPr>
          <w:p w14:paraId="18147B89" w14:textId="77777777" w:rsidR="004043AF" w:rsidRPr="00AF4744" w:rsidRDefault="004043AF" w:rsidP="005321A6">
            <w:pPr>
              <w:pStyle w:val="Tablecontent"/>
              <w:cnfStyle w:val="000000000000" w:firstRow="0" w:lastRow="0" w:firstColumn="0" w:lastColumn="0" w:oddVBand="0" w:evenVBand="0" w:oddHBand="0" w:evenHBand="0" w:firstRowFirstColumn="0" w:firstRowLastColumn="0" w:lastRowFirstColumn="0" w:lastRowLastColumn="0"/>
            </w:pPr>
            <w:r>
              <w:t>Yes. It becomes urgent if SLA is breached.</w:t>
            </w:r>
          </w:p>
        </w:tc>
      </w:tr>
      <w:tr w:rsidR="004043AF" w:rsidRPr="00E51A31" w14:paraId="50418C89" w14:textId="77777777" w:rsidTr="00686EE0">
        <w:tc>
          <w:tcPr>
            <w:cnfStyle w:val="001000000000" w:firstRow="0" w:lastRow="0" w:firstColumn="1" w:lastColumn="0" w:oddVBand="0" w:evenVBand="0" w:oddHBand="0" w:evenHBand="0" w:firstRowFirstColumn="0" w:firstRowLastColumn="0" w:lastRowFirstColumn="0" w:lastRowLastColumn="0"/>
            <w:tcW w:w="2263" w:type="dxa"/>
            <w:shd w:val="clear" w:color="auto" w:fill="F2F2F2" w:themeFill="background1" w:themeFillShade="F2"/>
          </w:tcPr>
          <w:p w14:paraId="32AB6F17" w14:textId="77777777" w:rsidR="004043AF" w:rsidRPr="00DA6868" w:rsidRDefault="004043AF" w:rsidP="005321A6">
            <w:pPr>
              <w:pStyle w:val="Tablecontent"/>
              <w:rPr>
                <w:b w:val="0"/>
                <w:bCs w:val="0"/>
              </w:rPr>
            </w:pPr>
            <w:r w:rsidRPr="00DA6868">
              <w:rPr>
                <w:b w:val="0"/>
                <w:bCs w:val="0"/>
              </w:rPr>
              <w:t>KPI</w:t>
            </w:r>
          </w:p>
        </w:tc>
        <w:tc>
          <w:tcPr>
            <w:tcW w:w="5670" w:type="dxa"/>
          </w:tcPr>
          <w:p w14:paraId="75D1A530" w14:textId="3A41729E" w:rsidR="004043AF" w:rsidRPr="00AF4744" w:rsidRDefault="001800CC" w:rsidP="005321A6">
            <w:pPr>
              <w:pStyle w:val="Tablecontent"/>
              <w:cnfStyle w:val="000000000000" w:firstRow="0" w:lastRow="0" w:firstColumn="0" w:lastColumn="0" w:oddVBand="0" w:evenVBand="0" w:oddHBand="0" w:evenHBand="0" w:firstRowFirstColumn="0" w:firstRowLastColumn="0" w:lastRowFirstColumn="0" w:lastRowLastColumn="0"/>
            </w:pPr>
            <w:r>
              <w:t>U</w:t>
            </w:r>
            <w:r w:rsidR="004043AF">
              <w:t xml:space="preserve">se KPI in monitoring instead of individual metrics. </w:t>
            </w:r>
          </w:p>
        </w:tc>
        <w:tc>
          <w:tcPr>
            <w:tcW w:w="6015" w:type="dxa"/>
          </w:tcPr>
          <w:p w14:paraId="06BB087E" w14:textId="77777777" w:rsidR="004043AF" w:rsidRPr="00AF4744" w:rsidRDefault="004043AF" w:rsidP="005321A6">
            <w:pPr>
              <w:pStyle w:val="Tablecontent"/>
              <w:cnfStyle w:val="000000000000" w:firstRow="0" w:lastRow="0" w:firstColumn="0" w:lastColumn="0" w:oddVBand="0" w:evenVBand="0" w:oddHBand="0" w:evenHBand="0" w:firstRowFirstColumn="0" w:firstRowLastColumn="0" w:lastRowFirstColumn="0" w:lastRowLastColumn="0"/>
            </w:pPr>
            <w:r w:rsidRPr="00AF4744">
              <w:t>Yes</w:t>
            </w:r>
            <w:r>
              <w:t>, but as a starting point. You then drill down into supporting metrics, which are often raw metrics.</w:t>
            </w:r>
          </w:p>
        </w:tc>
      </w:tr>
      <w:tr w:rsidR="004043AF" w:rsidRPr="00E51A31" w14:paraId="0F5ECF19" w14:textId="77777777" w:rsidTr="00686EE0">
        <w:tc>
          <w:tcPr>
            <w:cnfStyle w:val="001000000000" w:firstRow="0" w:lastRow="0" w:firstColumn="1" w:lastColumn="0" w:oddVBand="0" w:evenVBand="0" w:oddHBand="0" w:evenHBand="0" w:firstRowFirstColumn="0" w:firstRowLastColumn="0" w:lastRowFirstColumn="0" w:lastRowLastColumn="0"/>
            <w:tcW w:w="2263" w:type="dxa"/>
            <w:shd w:val="clear" w:color="auto" w:fill="F2F2F2" w:themeFill="background1" w:themeFillShade="F2"/>
          </w:tcPr>
          <w:p w14:paraId="7DB93789" w14:textId="4845B3E5" w:rsidR="004043AF" w:rsidRPr="00DA6868" w:rsidRDefault="007C0940" w:rsidP="005321A6">
            <w:pPr>
              <w:pStyle w:val="Tablecontent"/>
              <w:rPr>
                <w:b w:val="0"/>
                <w:bCs w:val="0"/>
              </w:rPr>
            </w:pPr>
            <w:r w:rsidRPr="00DA6868">
              <w:rPr>
                <w:b w:val="0"/>
                <w:bCs w:val="0"/>
              </w:rPr>
              <w:lastRenderedPageBreak/>
              <w:t>Duration</w:t>
            </w:r>
          </w:p>
        </w:tc>
        <w:tc>
          <w:tcPr>
            <w:tcW w:w="5670" w:type="dxa"/>
          </w:tcPr>
          <w:p w14:paraId="459485D2" w14:textId="28C1EC2F" w:rsidR="004043AF" w:rsidRPr="00AF4744" w:rsidRDefault="007C0940" w:rsidP="005321A6">
            <w:pPr>
              <w:pStyle w:val="Tablecontent"/>
              <w:cnfStyle w:val="000000000000" w:firstRow="0" w:lastRow="0" w:firstColumn="0" w:lastColumn="0" w:oddVBand="0" w:evenVBand="0" w:oddHBand="0" w:evenHBand="0" w:firstRowFirstColumn="0" w:firstRowLastColumn="0" w:lastRowFirstColumn="0" w:lastRowLastColumn="0"/>
            </w:pPr>
            <w:r>
              <w:t>Should take just 5 minutes</w:t>
            </w:r>
          </w:p>
        </w:tc>
        <w:tc>
          <w:tcPr>
            <w:tcW w:w="6015" w:type="dxa"/>
          </w:tcPr>
          <w:p w14:paraId="6DDE9749" w14:textId="17055380" w:rsidR="004043AF" w:rsidRPr="00AF4744" w:rsidRDefault="007C0940" w:rsidP="005321A6">
            <w:pPr>
              <w:pStyle w:val="Tablecontent"/>
              <w:cnfStyle w:val="000000000000" w:firstRow="0" w:lastRow="0" w:firstColumn="0" w:lastColumn="0" w:oddVBand="0" w:evenVBand="0" w:oddHBand="0" w:evenHBand="0" w:firstRowFirstColumn="0" w:firstRowLastColumn="0" w:lastRowFirstColumn="0" w:lastRowLastColumn="0"/>
            </w:pPr>
            <w:r>
              <w:t>Can take days, with back and forth discussion among various team.</w:t>
            </w:r>
          </w:p>
        </w:tc>
      </w:tr>
      <w:tr w:rsidR="004043AF" w:rsidRPr="00E51A31" w14:paraId="60722E10" w14:textId="77777777" w:rsidTr="00686EE0">
        <w:tc>
          <w:tcPr>
            <w:cnfStyle w:val="001000000000" w:firstRow="0" w:lastRow="0" w:firstColumn="1" w:lastColumn="0" w:oddVBand="0" w:evenVBand="0" w:oddHBand="0" w:evenHBand="0" w:firstRowFirstColumn="0" w:firstRowLastColumn="0" w:lastRowFirstColumn="0" w:lastRowLastColumn="0"/>
            <w:tcW w:w="2263" w:type="dxa"/>
            <w:shd w:val="clear" w:color="auto" w:fill="F2F2F2" w:themeFill="background1" w:themeFillShade="F2"/>
          </w:tcPr>
          <w:p w14:paraId="433BA40F" w14:textId="77777777" w:rsidR="004043AF" w:rsidRPr="00DA6868" w:rsidRDefault="004043AF" w:rsidP="005321A6">
            <w:pPr>
              <w:pStyle w:val="Tablecontent"/>
              <w:rPr>
                <w:b w:val="0"/>
                <w:bCs w:val="0"/>
              </w:rPr>
            </w:pPr>
            <w:r w:rsidRPr="00DA6868">
              <w:rPr>
                <w:b w:val="0"/>
                <w:bCs w:val="0"/>
              </w:rPr>
              <w:t>Frequency</w:t>
            </w:r>
          </w:p>
        </w:tc>
        <w:tc>
          <w:tcPr>
            <w:tcW w:w="5670" w:type="dxa"/>
          </w:tcPr>
          <w:p w14:paraId="6211B335" w14:textId="77777777" w:rsidR="004043AF" w:rsidRPr="00AF4744" w:rsidRDefault="004043AF" w:rsidP="005321A6">
            <w:pPr>
              <w:pStyle w:val="Tablecontent"/>
              <w:cnfStyle w:val="000000000000" w:firstRow="0" w:lastRow="0" w:firstColumn="0" w:lastColumn="0" w:oddVBand="0" w:evenVBand="0" w:oddHBand="0" w:evenHBand="0" w:firstRowFirstColumn="0" w:firstRowLastColumn="0" w:lastRowFirstColumn="0" w:lastRowLastColumn="0"/>
            </w:pPr>
            <w:r>
              <w:t>Performed d</w:t>
            </w:r>
            <w:r w:rsidRPr="00AF4744">
              <w:t>aily.</w:t>
            </w:r>
          </w:p>
          <w:p w14:paraId="5C14D756" w14:textId="77777777" w:rsidR="004043AF" w:rsidRPr="00AF4744" w:rsidRDefault="004043AF" w:rsidP="005321A6">
            <w:pPr>
              <w:pStyle w:val="Tablecontent"/>
              <w:cnfStyle w:val="000000000000" w:firstRow="0" w:lastRow="0" w:firstColumn="0" w:lastColumn="0" w:oddVBand="0" w:evenVBand="0" w:oddHBand="0" w:evenHBand="0" w:firstRowFirstColumn="0" w:firstRowLastColumn="0" w:lastRowFirstColumn="0" w:lastRowLastColumn="0"/>
            </w:pPr>
            <w:r w:rsidRPr="00AF4744">
              <w:t xml:space="preserve">Gold Class will have higher frequency </w:t>
            </w:r>
            <w:r>
              <w:t xml:space="preserve">of regular monitoring </w:t>
            </w:r>
            <w:r w:rsidRPr="00AF4744">
              <w:t>than Bronze</w:t>
            </w:r>
            <w:r>
              <w:t>, as part of SLA</w:t>
            </w:r>
          </w:p>
        </w:tc>
        <w:tc>
          <w:tcPr>
            <w:tcW w:w="6015" w:type="dxa"/>
          </w:tcPr>
          <w:p w14:paraId="2695EB57" w14:textId="77777777" w:rsidR="004043AF" w:rsidRPr="00AF4744" w:rsidRDefault="004043AF" w:rsidP="005321A6">
            <w:pPr>
              <w:pStyle w:val="Tablecontent"/>
              <w:cnfStyle w:val="000000000000" w:firstRow="0" w:lastRow="0" w:firstColumn="0" w:lastColumn="0" w:oddVBand="0" w:evenVBand="0" w:oddHBand="0" w:evenHBand="0" w:firstRowFirstColumn="0" w:firstRowLastColumn="0" w:lastRowFirstColumn="0" w:lastRowLastColumn="0"/>
            </w:pPr>
            <w:r w:rsidRPr="00AF4744">
              <w:t>On demand.</w:t>
            </w:r>
          </w:p>
        </w:tc>
      </w:tr>
      <w:tr w:rsidR="004043AF" w:rsidRPr="00E51A31" w14:paraId="3EC419FE" w14:textId="77777777" w:rsidTr="00686EE0">
        <w:tc>
          <w:tcPr>
            <w:cnfStyle w:val="001000000000" w:firstRow="0" w:lastRow="0" w:firstColumn="1" w:lastColumn="0" w:oddVBand="0" w:evenVBand="0" w:oddHBand="0" w:evenHBand="0" w:firstRowFirstColumn="0" w:firstRowLastColumn="0" w:lastRowFirstColumn="0" w:lastRowLastColumn="0"/>
            <w:tcW w:w="2263" w:type="dxa"/>
            <w:shd w:val="clear" w:color="auto" w:fill="F2F2F2" w:themeFill="background1" w:themeFillShade="F2"/>
          </w:tcPr>
          <w:p w14:paraId="175E0444" w14:textId="77777777" w:rsidR="004043AF" w:rsidRPr="00DA6868" w:rsidRDefault="004043AF" w:rsidP="005321A6">
            <w:pPr>
              <w:pStyle w:val="Tablecontent"/>
              <w:rPr>
                <w:b w:val="0"/>
                <w:bCs w:val="0"/>
              </w:rPr>
            </w:pPr>
            <w:r w:rsidRPr="00DA6868">
              <w:rPr>
                <w:b w:val="0"/>
                <w:bCs w:val="0"/>
              </w:rPr>
              <w:t>Timeline</w:t>
            </w:r>
          </w:p>
        </w:tc>
        <w:tc>
          <w:tcPr>
            <w:tcW w:w="5670" w:type="dxa"/>
          </w:tcPr>
          <w:p w14:paraId="173260AD" w14:textId="65611BFD" w:rsidR="004043AF" w:rsidRPr="00AF4744" w:rsidRDefault="004043AF" w:rsidP="005321A6">
            <w:pPr>
              <w:pStyle w:val="Tablecontent"/>
              <w:cnfStyle w:val="000000000000" w:firstRow="0" w:lastRow="0" w:firstColumn="0" w:lastColumn="0" w:oddVBand="0" w:evenVBand="0" w:oddHBand="0" w:evenHBand="0" w:firstRowFirstColumn="0" w:firstRowLastColumn="0" w:lastRowFirstColumn="0" w:lastRowLastColumn="0"/>
            </w:pPr>
            <w:r w:rsidRPr="00AF4744">
              <w:t xml:space="preserve">Now and Future. </w:t>
            </w:r>
            <w:r>
              <w:t>You consider future load and anticipate.</w:t>
            </w:r>
          </w:p>
        </w:tc>
        <w:tc>
          <w:tcPr>
            <w:tcW w:w="6015" w:type="dxa"/>
          </w:tcPr>
          <w:p w14:paraId="02B39768" w14:textId="77777777" w:rsidR="004043AF" w:rsidRPr="00AF4744" w:rsidRDefault="004043AF" w:rsidP="005321A6">
            <w:pPr>
              <w:pStyle w:val="Tablecontent"/>
              <w:cnfStyle w:val="000000000000" w:firstRow="0" w:lastRow="0" w:firstColumn="0" w:lastColumn="0" w:oddVBand="0" w:evenVBand="0" w:oddHBand="0" w:evenHBand="0" w:firstRowFirstColumn="0" w:firstRowLastColumn="0" w:lastRowFirstColumn="0" w:lastRowLastColumn="0"/>
            </w:pPr>
            <w:r w:rsidRPr="00AF4744">
              <w:t>Now. Future is irrelevant.</w:t>
            </w:r>
            <w:r>
              <w:t xml:space="preserve"> Your focus is to put out the fire or potential fire.</w:t>
            </w:r>
          </w:p>
        </w:tc>
      </w:tr>
      <w:tr w:rsidR="00E26F14" w:rsidRPr="00E51A31" w14:paraId="2AC0E5B8" w14:textId="77777777" w:rsidTr="00686EE0">
        <w:tc>
          <w:tcPr>
            <w:cnfStyle w:val="001000000000" w:firstRow="0" w:lastRow="0" w:firstColumn="1" w:lastColumn="0" w:oddVBand="0" w:evenVBand="0" w:oddHBand="0" w:evenHBand="0" w:firstRowFirstColumn="0" w:firstRowLastColumn="0" w:lastRowFirstColumn="0" w:lastRowLastColumn="0"/>
            <w:tcW w:w="2263" w:type="dxa"/>
            <w:shd w:val="clear" w:color="auto" w:fill="F2F2F2" w:themeFill="background1" w:themeFillShade="F2"/>
          </w:tcPr>
          <w:p w14:paraId="4DC5B246" w14:textId="5E41760D" w:rsidR="00E26F14" w:rsidRPr="00DA6868" w:rsidRDefault="00E26F14" w:rsidP="005321A6">
            <w:pPr>
              <w:pStyle w:val="Tablecontent"/>
              <w:rPr>
                <w:b w:val="0"/>
                <w:bCs w:val="0"/>
              </w:rPr>
            </w:pPr>
            <w:r w:rsidRPr="00DA6868">
              <w:rPr>
                <w:b w:val="0"/>
                <w:bCs w:val="0"/>
              </w:rPr>
              <w:t>Logs</w:t>
            </w:r>
          </w:p>
        </w:tc>
        <w:tc>
          <w:tcPr>
            <w:tcW w:w="5670" w:type="dxa"/>
          </w:tcPr>
          <w:p w14:paraId="34551400" w14:textId="5202319E" w:rsidR="00E26F14" w:rsidRPr="00AF4744" w:rsidRDefault="00E26F14" w:rsidP="005321A6">
            <w:pPr>
              <w:pStyle w:val="Tablecontent"/>
              <w:cnfStyle w:val="000000000000" w:firstRow="0" w:lastRow="0" w:firstColumn="0" w:lastColumn="0" w:oddVBand="0" w:evenVBand="0" w:oddHBand="0" w:evenHBand="0" w:firstRowFirstColumn="0" w:firstRowLastColumn="0" w:lastRowFirstColumn="0" w:lastRowLastColumn="0"/>
            </w:pPr>
            <w:r>
              <w:t>Not required. Metrics, properties and Event suffice.</w:t>
            </w:r>
          </w:p>
        </w:tc>
        <w:tc>
          <w:tcPr>
            <w:tcW w:w="6015" w:type="dxa"/>
          </w:tcPr>
          <w:p w14:paraId="3EED2568" w14:textId="3D07A43A" w:rsidR="00E26F14" w:rsidRPr="00AF4744" w:rsidRDefault="00E26F14" w:rsidP="005321A6">
            <w:pPr>
              <w:pStyle w:val="Tablecontent"/>
              <w:cnfStyle w:val="000000000000" w:firstRow="0" w:lastRow="0" w:firstColumn="0" w:lastColumn="0" w:oddVBand="0" w:evenVBand="0" w:oddHBand="0" w:evenHBand="0" w:firstRowFirstColumn="0" w:firstRowLastColumn="0" w:lastRowFirstColumn="0" w:lastRowLastColumn="0"/>
            </w:pPr>
            <w:r>
              <w:t xml:space="preserve">Almost always required. For network troubleshooting, also need netflow </w:t>
            </w:r>
            <w:r w:rsidR="00027492">
              <w:t>data.</w:t>
            </w:r>
          </w:p>
        </w:tc>
      </w:tr>
    </w:tbl>
    <w:p w14:paraId="0425FB5F" w14:textId="775F90BA" w:rsidR="004043AF" w:rsidRDefault="004043AF" w:rsidP="004043AF">
      <w:r w:rsidRPr="00AF4744">
        <w:t xml:space="preserve">In most cases, </w:t>
      </w:r>
      <w:r w:rsidR="0045274A">
        <w:t>m</w:t>
      </w:r>
      <w:r w:rsidRPr="00AF4744">
        <w:t>onitor</w:t>
      </w:r>
      <w:r w:rsidR="0045274A">
        <w:t>ing</w:t>
      </w:r>
      <w:r w:rsidRPr="00AF4744">
        <w:t xml:space="preserve"> is best done using a 5-minute interval, as 1 minute of bad metrics may not have business impact. Troubleshoot on the other hand may require per second granularity. However, that does not always mean you need to see each and every counter, if your remediation action is the same.</w:t>
      </w:r>
    </w:p>
    <w:p w14:paraId="28401EB1" w14:textId="3A4B23E1" w:rsidR="00D82F4E" w:rsidRDefault="00805B13" w:rsidP="004043AF">
      <w:r>
        <w:t>If you want to codify t</w:t>
      </w:r>
      <w:r w:rsidR="00D82F4E">
        <w:t>roubleshooting</w:t>
      </w:r>
      <w:r>
        <w:t xml:space="preserve">, then consider </w:t>
      </w:r>
      <w:r w:rsidR="00D82F4E">
        <w:t>a layere</w:t>
      </w:r>
      <w:r>
        <w:t>d approach. This makes it easier</w:t>
      </w:r>
      <w:r w:rsidR="00EB6AF7">
        <w:t xml:space="preserve"> for the less technical team. Classify your troubleshooting metrics, events and properties into </w:t>
      </w:r>
      <w:r w:rsidR="00D91AEE">
        <w:t>2</w:t>
      </w:r>
      <w:r w:rsidR="00EB6AF7">
        <w:t>:</w:t>
      </w:r>
    </w:p>
    <w:p w14:paraId="1B9A456D" w14:textId="77777777" w:rsidR="00DD1C5C" w:rsidRDefault="00DD1C5C" w:rsidP="00DD1C5C">
      <w:pPr>
        <w:pStyle w:val="BeforeTable"/>
      </w:pPr>
    </w:p>
    <w:tbl>
      <w:tblPr>
        <w:tblStyle w:val="GridTable1Light-Accent1"/>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920"/>
        <w:gridCol w:w="8570"/>
      </w:tblGrid>
      <w:tr w:rsidR="009462B5" w:rsidRPr="00E51A31" w14:paraId="777B9C68" w14:textId="77777777" w:rsidTr="009462B5">
        <w:tc>
          <w:tcPr>
            <w:cnfStyle w:val="001000000000" w:firstRow="0" w:lastRow="0" w:firstColumn="1" w:lastColumn="0" w:oddVBand="0" w:evenVBand="0" w:oddHBand="0" w:evenHBand="0" w:firstRowFirstColumn="0" w:firstRowLastColumn="0" w:lastRowFirstColumn="0" w:lastRowLastColumn="0"/>
            <w:tcW w:w="1920" w:type="dxa"/>
            <w:shd w:val="clear" w:color="auto" w:fill="F2F2F2" w:themeFill="background1" w:themeFillShade="F2"/>
          </w:tcPr>
          <w:p w14:paraId="2E16F478" w14:textId="30A41340" w:rsidR="009462B5" w:rsidRPr="00AF4744" w:rsidRDefault="009462B5" w:rsidP="00E440AB">
            <w:pPr>
              <w:pStyle w:val="Tablecontent"/>
            </w:pPr>
            <w:bookmarkStart w:id="15" w:name="_Hlk142916147"/>
            <w:r>
              <w:t>Primary Metric</w:t>
            </w:r>
          </w:p>
        </w:tc>
        <w:tc>
          <w:tcPr>
            <w:tcW w:w="8570" w:type="dxa"/>
          </w:tcPr>
          <w:p w14:paraId="6EDA3106" w14:textId="050427C1" w:rsidR="009462B5" w:rsidRDefault="009462B5" w:rsidP="00E440AB">
            <w:pPr>
              <w:pStyle w:val="Tablecontent"/>
              <w:cnfStyle w:val="000000000000" w:firstRow="0" w:lastRow="0" w:firstColumn="0" w:lastColumn="0" w:oddVBand="0" w:evenVBand="0" w:oddHBand="0" w:evenHBand="0" w:firstRowFirstColumn="0" w:firstRowLastColumn="0" w:lastRowFirstColumn="0" w:lastRowLastColumn="0"/>
            </w:pPr>
            <w:r>
              <w:t xml:space="preserve">This defines performance. It is the </w:t>
            </w:r>
            <w:r w:rsidRPr="00E41D8C">
              <w:rPr>
                <w:color w:val="00B0F0"/>
              </w:rPr>
              <w:t>What</w:t>
            </w:r>
            <w:r>
              <w:t xml:space="preserve">. </w:t>
            </w:r>
            <w:r w:rsidR="00A70C13">
              <w:t>T</w:t>
            </w:r>
            <w:r>
              <w:t xml:space="preserve">his </w:t>
            </w:r>
            <w:r w:rsidR="00A70C13">
              <w:t>is always ex</w:t>
            </w:r>
            <w:r>
              <w:t>pressible as 0 – 100%, so it’s easier for Level 1 team.</w:t>
            </w:r>
            <w:r w:rsidR="00AD6A65">
              <w:t xml:space="preserve"> It’s almost always a hybrid metric.</w:t>
            </w:r>
          </w:p>
          <w:p w14:paraId="3332F5E0" w14:textId="7A09BA83" w:rsidR="006660C4" w:rsidRPr="00AF4744" w:rsidRDefault="006660C4" w:rsidP="00E440AB">
            <w:pPr>
              <w:pStyle w:val="Tablecontent"/>
              <w:cnfStyle w:val="000000000000" w:firstRow="0" w:lastRow="0" w:firstColumn="0" w:lastColumn="0" w:oddVBand="0" w:evenVBand="0" w:oddHBand="0" w:evenHBand="0" w:firstRowFirstColumn="0" w:firstRowLastColumn="0" w:lastRowFirstColumn="0" w:lastRowLastColumn="0"/>
            </w:pPr>
            <w:r>
              <w:t xml:space="preserve">Example: </w:t>
            </w:r>
            <w:r w:rsidR="00AD6A65">
              <w:t>Kubernetes Cluster Performance (%)</w:t>
            </w:r>
          </w:p>
        </w:tc>
      </w:tr>
      <w:tr w:rsidR="009462B5" w:rsidRPr="00E51A31" w14:paraId="2AA80A14" w14:textId="77777777" w:rsidTr="009462B5">
        <w:tc>
          <w:tcPr>
            <w:cnfStyle w:val="001000000000" w:firstRow="0" w:lastRow="0" w:firstColumn="1" w:lastColumn="0" w:oddVBand="0" w:evenVBand="0" w:oddHBand="0" w:evenHBand="0" w:firstRowFirstColumn="0" w:firstRowLastColumn="0" w:lastRowFirstColumn="0" w:lastRowLastColumn="0"/>
            <w:tcW w:w="1920" w:type="dxa"/>
            <w:shd w:val="clear" w:color="auto" w:fill="F2F2F2" w:themeFill="background1" w:themeFillShade="F2"/>
          </w:tcPr>
          <w:p w14:paraId="39D840BE" w14:textId="399F6FE7" w:rsidR="009462B5" w:rsidRDefault="009462B5" w:rsidP="00E440AB">
            <w:pPr>
              <w:pStyle w:val="Tablecontent"/>
            </w:pPr>
            <w:r>
              <w:t>Secondary Metrics</w:t>
            </w:r>
          </w:p>
        </w:tc>
        <w:tc>
          <w:tcPr>
            <w:tcW w:w="8570" w:type="dxa"/>
          </w:tcPr>
          <w:p w14:paraId="46CC0CE0" w14:textId="4A102591" w:rsidR="009462B5" w:rsidRDefault="006660C4" w:rsidP="00E440AB">
            <w:pPr>
              <w:pStyle w:val="Tablecontent"/>
              <w:cnfStyle w:val="000000000000" w:firstRow="0" w:lastRow="0" w:firstColumn="0" w:lastColumn="0" w:oddVBand="0" w:evenVBand="0" w:oddHBand="0" w:evenHBand="0" w:firstRowFirstColumn="0" w:firstRowLastColumn="0" w:lastRowFirstColumn="0" w:lastRowLastColumn="0"/>
            </w:pPr>
            <w:r>
              <w:t xml:space="preserve">This provides some explanation to the primary metric. It is the </w:t>
            </w:r>
            <w:r w:rsidRPr="003D6165">
              <w:rPr>
                <w:color w:val="00B0F0"/>
              </w:rPr>
              <w:t>Why</w:t>
            </w:r>
            <w:r>
              <w:t>. Aim for this to be expressible as 0 – 100%, so it’s easier for Level 1 team</w:t>
            </w:r>
            <w:r w:rsidR="00200BAD">
              <w:t xml:space="preserve">. </w:t>
            </w:r>
          </w:p>
          <w:p w14:paraId="76D6E274" w14:textId="3482D6C8" w:rsidR="006660C4" w:rsidRDefault="006660C4" w:rsidP="00E440AB">
            <w:pPr>
              <w:pStyle w:val="Tablecontent"/>
              <w:cnfStyle w:val="000000000000" w:firstRow="0" w:lastRow="0" w:firstColumn="0" w:lastColumn="0" w:oddVBand="0" w:evenVBand="0" w:oddHBand="0" w:evenHBand="0" w:firstRowFirstColumn="0" w:firstRowLastColumn="0" w:lastRowFirstColumn="0" w:lastRowLastColumn="0"/>
            </w:pPr>
            <w:r>
              <w:t xml:space="preserve">Example: </w:t>
            </w:r>
            <w:r w:rsidR="00EF3087">
              <w:t xml:space="preserve">Highest ESXi </w:t>
            </w:r>
            <w:r w:rsidR="0038214F">
              <w:t xml:space="preserve">Memory Consumed </w:t>
            </w:r>
            <w:r w:rsidR="00200BAD">
              <w:t xml:space="preserve">(%) </w:t>
            </w:r>
            <w:r w:rsidR="0038214F">
              <w:t>in a Cluster</w:t>
            </w:r>
            <w:r w:rsidR="00200BAD">
              <w:t>.</w:t>
            </w:r>
          </w:p>
          <w:p w14:paraId="741E24CF" w14:textId="77777777" w:rsidR="00200BAD" w:rsidRDefault="00200BAD" w:rsidP="00E440AB">
            <w:pPr>
              <w:pStyle w:val="Tablecontent"/>
              <w:cnfStyle w:val="000000000000" w:firstRow="0" w:lastRow="0" w:firstColumn="0" w:lastColumn="0" w:oddVBand="0" w:evenVBand="0" w:oddHBand="0" w:evenHBand="0" w:firstRowFirstColumn="0" w:firstRowLastColumn="0" w:lastRowFirstColumn="0" w:lastRowLastColumn="0"/>
            </w:pPr>
            <w:r>
              <w:t xml:space="preserve">Metrics that can’t be color coded is harder for Level 1 team, as the meaning depends on the context. </w:t>
            </w:r>
          </w:p>
          <w:p w14:paraId="38388A2C" w14:textId="7F28569E" w:rsidR="00200BAD" w:rsidRPr="00AF4744" w:rsidRDefault="00200BAD" w:rsidP="00E440AB">
            <w:pPr>
              <w:pStyle w:val="Tablecontent"/>
              <w:cnfStyle w:val="000000000000" w:firstRow="0" w:lastRow="0" w:firstColumn="0" w:lastColumn="0" w:oddVBand="0" w:evenVBand="0" w:oddHBand="0" w:evenHBand="0" w:firstRowFirstColumn="0" w:firstRowLastColumn="0" w:lastRowFirstColumn="0" w:lastRowLastColumn="0"/>
            </w:pPr>
            <w:r>
              <w:t>Example: VM Disk IOPS</w:t>
            </w:r>
          </w:p>
        </w:tc>
      </w:tr>
    </w:tbl>
    <w:bookmarkEnd w:id="15"/>
    <w:p w14:paraId="1DE8C56A" w14:textId="59D361D1" w:rsidR="0077290E" w:rsidRDefault="0077290E" w:rsidP="00E7573A">
      <w:pPr>
        <w:pStyle w:val="Heading5"/>
      </w:pPr>
      <w:r>
        <w:t>Optimize</w:t>
      </w:r>
    </w:p>
    <w:p w14:paraId="626A714A" w14:textId="4275025F" w:rsidR="00A45647" w:rsidRDefault="00A45647" w:rsidP="00A45647">
      <w:r w:rsidRPr="0072799F">
        <w:t>Optimization delivers many practical benefits and real business results. Here are some of them:</w:t>
      </w:r>
    </w:p>
    <w:p w14:paraId="28887D15" w14:textId="77777777" w:rsidR="005B2C03" w:rsidRDefault="005B2C03" w:rsidP="005B2C03">
      <w:pPr>
        <w:pStyle w:val="BeforeTable"/>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410"/>
        <w:gridCol w:w="7796"/>
      </w:tblGrid>
      <w:tr w:rsidR="005B2C03" w:rsidRPr="00E51A31" w14:paraId="7784A0A2" w14:textId="77777777" w:rsidTr="005B2C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Borders>
              <w:bottom w:val="none" w:sz="0" w:space="0" w:color="auto"/>
            </w:tcBorders>
            <w:shd w:val="clear" w:color="auto" w:fill="F2F2F2" w:themeFill="background1" w:themeFillShade="F2"/>
          </w:tcPr>
          <w:p w14:paraId="049373B3" w14:textId="77777777" w:rsidR="005B2C03" w:rsidRPr="00EA624A" w:rsidRDefault="005B2C03" w:rsidP="005B2C03">
            <w:pPr>
              <w:pStyle w:val="Tablecontent"/>
              <w:rPr>
                <w:b w:val="0"/>
                <w:bCs w:val="0"/>
                <w:lang w:val="en-SG"/>
              </w:rPr>
            </w:pPr>
            <w:r w:rsidRPr="00EA624A">
              <w:rPr>
                <w:b w:val="0"/>
                <w:bCs w:val="0"/>
                <w:lang w:val="en-SG"/>
              </w:rPr>
              <w:t>Lower Cost</w:t>
            </w:r>
          </w:p>
          <w:p w14:paraId="17C0FED9" w14:textId="5E7286E2" w:rsidR="005B2C03" w:rsidRPr="00EA624A" w:rsidRDefault="005B2C03" w:rsidP="00E440AB">
            <w:pPr>
              <w:pStyle w:val="Tablecontent"/>
              <w:rPr>
                <w:b w:val="0"/>
                <w:bCs w:val="0"/>
              </w:rPr>
            </w:pPr>
          </w:p>
        </w:tc>
        <w:tc>
          <w:tcPr>
            <w:tcW w:w="7796" w:type="dxa"/>
            <w:tcBorders>
              <w:bottom w:val="none" w:sz="0" w:space="0" w:color="auto"/>
            </w:tcBorders>
          </w:tcPr>
          <w:p w14:paraId="51AD8C47" w14:textId="61ED3F00" w:rsidR="005B2C03" w:rsidRPr="005B2C03" w:rsidRDefault="005B2C03" w:rsidP="005B2C03">
            <w:pPr>
              <w:pStyle w:val="Tablecontent"/>
              <w:cnfStyle w:val="100000000000" w:firstRow="1" w:lastRow="0" w:firstColumn="0" w:lastColumn="0" w:oddVBand="0" w:evenVBand="0" w:oddHBand="0" w:evenHBand="0" w:firstRowFirstColumn="0" w:firstRowLastColumn="0" w:lastRowFirstColumn="0" w:lastRowLastColumn="0"/>
              <w:rPr>
                <w:b w:val="0"/>
                <w:bCs w:val="0"/>
              </w:rPr>
            </w:pPr>
            <w:r w:rsidRPr="005B2C03">
              <w:rPr>
                <w:b w:val="0"/>
                <w:bCs w:val="0"/>
              </w:rPr>
              <w:t>Reclamation: Orphaned VMs, powered off VM, Idle VM, Oversized VM, snapshot</w:t>
            </w:r>
          </w:p>
          <w:p w14:paraId="09EB4E06" w14:textId="2FF9C4F7" w:rsidR="005B2C03" w:rsidRPr="005B2C03" w:rsidRDefault="005B2C03" w:rsidP="005B2C03">
            <w:pPr>
              <w:pStyle w:val="Tablecontent"/>
              <w:cnfStyle w:val="100000000000" w:firstRow="1" w:lastRow="0" w:firstColumn="0" w:lastColumn="0" w:oddVBand="0" w:evenVBand="0" w:oddHBand="0" w:evenHBand="0" w:firstRowFirstColumn="0" w:firstRowLastColumn="0" w:lastRowFirstColumn="0" w:lastRowLastColumn="0"/>
              <w:rPr>
                <w:b w:val="0"/>
                <w:bCs w:val="0"/>
              </w:rPr>
            </w:pPr>
            <w:r w:rsidRPr="005B2C03">
              <w:rPr>
                <w:b w:val="0"/>
                <w:bCs w:val="0"/>
              </w:rPr>
              <w:t>Reduce DC footprint:</w:t>
            </w:r>
            <w:r>
              <w:rPr>
                <w:b w:val="0"/>
                <w:bCs w:val="0"/>
              </w:rPr>
              <w:t xml:space="preserve"> </w:t>
            </w:r>
            <w:r w:rsidRPr="005B2C03">
              <w:rPr>
                <w:b w:val="0"/>
                <w:bCs w:val="0"/>
              </w:rPr>
              <w:t>Saves Software (MS, RedHat, VMW, etc.) and Hardware (server, storage, network) + Data Center (rack, space, cooling, UPS)</w:t>
            </w:r>
          </w:p>
          <w:p w14:paraId="561420A9" w14:textId="231CE192" w:rsidR="005B2C03" w:rsidRPr="005B2C03" w:rsidRDefault="005B2C03" w:rsidP="005B2C03">
            <w:pPr>
              <w:pStyle w:val="Tablecontent"/>
              <w:cnfStyle w:val="100000000000" w:firstRow="1" w:lastRow="0" w:firstColumn="0" w:lastColumn="0" w:oddVBand="0" w:evenVBand="0" w:oddHBand="0" w:evenHBand="0" w:firstRowFirstColumn="0" w:firstRowLastColumn="0" w:lastRowFirstColumn="0" w:lastRowLastColumn="0"/>
            </w:pPr>
            <w:r w:rsidRPr="005B2C03">
              <w:rPr>
                <w:b w:val="0"/>
                <w:bCs w:val="0"/>
              </w:rPr>
              <w:t>Move burst capacity from Own to On-Demand.</w:t>
            </w:r>
          </w:p>
        </w:tc>
      </w:tr>
      <w:tr w:rsidR="005B2C03" w:rsidRPr="00E51A31" w14:paraId="74D46E81" w14:textId="77777777" w:rsidTr="005B2C03">
        <w:tc>
          <w:tcPr>
            <w:cnfStyle w:val="001000000000" w:firstRow="0" w:lastRow="0" w:firstColumn="1" w:lastColumn="0" w:oddVBand="0" w:evenVBand="0" w:oddHBand="0" w:evenHBand="0" w:firstRowFirstColumn="0" w:firstRowLastColumn="0" w:lastRowFirstColumn="0" w:lastRowLastColumn="0"/>
            <w:tcW w:w="2410" w:type="dxa"/>
            <w:shd w:val="clear" w:color="auto" w:fill="F2F2F2" w:themeFill="background1" w:themeFillShade="F2"/>
          </w:tcPr>
          <w:p w14:paraId="463D8B09" w14:textId="77777777" w:rsidR="005B2C03" w:rsidRPr="00EA624A" w:rsidRDefault="005B2C03" w:rsidP="005B2C03">
            <w:pPr>
              <w:pStyle w:val="Tablecontent"/>
              <w:rPr>
                <w:b w:val="0"/>
                <w:bCs w:val="0"/>
                <w:lang w:val="en-SG"/>
              </w:rPr>
            </w:pPr>
            <w:r w:rsidRPr="00EA624A">
              <w:rPr>
                <w:b w:val="0"/>
                <w:bCs w:val="0"/>
                <w:lang w:val="en-SG"/>
              </w:rPr>
              <w:t>Better Performance</w:t>
            </w:r>
          </w:p>
          <w:p w14:paraId="39574D42" w14:textId="77777777" w:rsidR="005B2C03" w:rsidRPr="00EA624A" w:rsidRDefault="005B2C03" w:rsidP="00E440AB">
            <w:pPr>
              <w:pStyle w:val="Tablecontent"/>
              <w:rPr>
                <w:b w:val="0"/>
                <w:bCs w:val="0"/>
              </w:rPr>
            </w:pPr>
          </w:p>
        </w:tc>
        <w:tc>
          <w:tcPr>
            <w:tcW w:w="7796" w:type="dxa"/>
          </w:tcPr>
          <w:p w14:paraId="5696E08D" w14:textId="77777777" w:rsidR="005B2C03" w:rsidRPr="005B2C03" w:rsidRDefault="005B2C03" w:rsidP="005B2C03">
            <w:pPr>
              <w:pStyle w:val="Tablecontent"/>
              <w:cnfStyle w:val="000000000000" w:firstRow="0" w:lastRow="0" w:firstColumn="0" w:lastColumn="0" w:oddVBand="0" w:evenVBand="0" w:oddHBand="0" w:evenHBand="0" w:firstRowFirstColumn="0" w:firstRowLastColumn="0" w:lastRowFirstColumn="0" w:lastRowLastColumn="0"/>
            </w:pPr>
            <w:r w:rsidRPr="005B2C03">
              <w:t>Performance Profiling. Enable proactive monitoring via actual baseline.</w:t>
            </w:r>
          </w:p>
          <w:p w14:paraId="753170A3" w14:textId="77777777" w:rsidR="005B2C03" w:rsidRPr="005B2C03" w:rsidRDefault="005B2C03" w:rsidP="005B2C03">
            <w:pPr>
              <w:pStyle w:val="Tablecontent"/>
              <w:cnfStyle w:val="000000000000" w:firstRow="0" w:lastRow="0" w:firstColumn="0" w:lastColumn="0" w:oddVBand="0" w:evenVBand="0" w:oddHBand="0" w:evenHBand="0" w:firstRowFirstColumn="0" w:firstRowLastColumn="0" w:lastRowFirstColumn="0" w:lastRowLastColumn="0"/>
            </w:pPr>
            <w:r w:rsidRPr="005B2C03">
              <w:t>Establish Performance SLA, complementing Availability SLA</w:t>
            </w:r>
          </w:p>
          <w:p w14:paraId="04BB213E" w14:textId="77777777" w:rsidR="005B2C03" w:rsidRPr="005B2C03" w:rsidRDefault="005B2C03" w:rsidP="005B2C03">
            <w:pPr>
              <w:pStyle w:val="Tablecontent"/>
              <w:cnfStyle w:val="000000000000" w:firstRow="0" w:lastRow="0" w:firstColumn="0" w:lastColumn="0" w:oddVBand="0" w:evenVBand="0" w:oddHBand="0" w:evenHBand="0" w:firstRowFirstColumn="0" w:firstRowLastColumn="0" w:lastRowFirstColumn="0" w:lastRowLastColumn="0"/>
            </w:pPr>
            <w:r w:rsidRPr="005B2C03">
              <w:t>NOC Dashboards. Insight, then Alerts.</w:t>
            </w:r>
          </w:p>
          <w:p w14:paraId="653BA342" w14:textId="19F6FD1A" w:rsidR="005B2C03" w:rsidRPr="005B2C03" w:rsidRDefault="005B2C03" w:rsidP="005B2C03">
            <w:pPr>
              <w:pStyle w:val="Tablecontent"/>
              <w:cnfStyle w:val="000000000000" w:firstRow="0" w:lastRow="0" w:firstColumn="0" w:lastColumn="0" w:oddVBand="0" w:evenVBand="0" w:oddHBand="0" w:evenHBand="0" w:firstRowFirstColumn="0" w:firstRowLastColumn="0" w:lastRowFirstColumn="0" w:lastRowLastColumn="0"/>
            </w:pPr>
            <w:r w:rsidRPr="005B2C03">
              <w:t>Faster business service via self service + approval workflow</w:t>
            </w:r>
          </w:p>
        </w:tc>
      </w:tr>
      <w:tr w:rsidR="005B2C03" w:rsidRPr="00E51A31" w14:paraId="73573361" w14:textId="77777777" w:rsidTr="005B2C03">
        <w:tc>
          <w:tcPr>
            <w:cnfStyle w:val="001000000000" w:firstRow="0" w:lastRow="0" w:firstColumn="1" w:lastColumn="0" w:oddVBand="0" w:evenVBand="0" w:oddHBand="0" w:evenHBand="0" w:firstRowFirstColumn="0" w:firstRowLastColumn="0" w:lastRowFirstColumn="0" w:lastRowLastColumn="0"/>
            <w:tcW w:w="2410" w:type="dxa"/>
            <w:shd w:val="clear" w:color="auto" w:fill="F2F2F2" w:themeFill="background1" w:themeFillShade="F2"/>
          </w:tcPr>
          <w:p w14:paraId="4B8402A9" w14:textId="77777777" w:rsidR="005B2C03" w:rsidRPr="00EA624A" w:rsidRDefault="005B2C03" w:rsidP="005B2C03">
            <w:pPr>
              <w:pStyle w:val="Tablecontent"/>
              <w:rPr>
                <w:b w:val="0"/>
                <w:bCs w:val="0"/>
                <w:lang w:val="en-SG"/>
              </w:rPr>
            </w:pPr>
            <w:r w:rsidRPr="00EA624A">
              <w:rPr>
                <w:b w:val="0"/>
                <w:bCs w:val="0"/>
                <w:lang w:val="en-SG"/>
              </w:rPr>
              <w:t>Lower Complexity</w:t>
            </w:r>
          </w:p>
          <w:p w14:paraId="62BEB59B" w14:textId="77777777" w:rsidR="005B2C03" w:rsidRPr="00EA624A" w:rsidRDefault="005B2C03" w:rsidP="00E440AB">
            <w:pPr>
              <w:pStyle w:val="Tablecontent"/>
              <w:rPr>
                <w:b w:val="0"/>
                <w:bCs w:val="0"/>
              </w:rPr>
            </w:pPr>
          </w:p>
        </w:tc>
        <w:tc>
          <w:tcPr>
            <w:tcW w:w="7796" w:type="dxa"/>
          </w:tcPr>
          <w:p w14:paraId="1C0EDA17" w14:textId="77777777" w:rsidR="005B2C03" w:rsidRDefault="005B2C03" w:rsidP="005B2C03">
            <w:pPr>
              <w:pStyle w:val="Tablecontent"/>
              <w:cnfStyle w:val="000000000000" w:firstRow="0" w:lastRow="0" w:firstColumn="0" w:lastColumn="0" w:oddVBand="0" w:evenVBand="0" w:oddHBand="0" w:evenHBand="0" w:firstRowFirstColumn="0" w:firstRowLastColumn="0" w:lastRowFirstColumn="0" w:lastRowLastColumn="0"/>
            </w:pPr>
            <w:r w:rsidRPr="005B2C03">
              <w:t>Standardize architecture</w:t>
            </w:r>
          </w:p>
          <w:p w14:paraId="599CE7E9" w14:textId="7B9AEE81" w:rsidR="001D546D" w:rsidRPr="005B2C03" w:rsidRDefault="001D546D" w:rsidP="005B2C03">
            <w:pPr>
              <w:pStyle w:val="Tablecontent"/>
              <w:cnfStyle w:val="000000000000" w:firstRow="0" w:lastRow="0" w:firstColumn="0" w:lastColumn="0" w:oddVBand="0" w:evenVBand="0" w:oddHBand="0" w:evenHBand="0" w:firstRowFirstColumn="0" w:firstRowLastColumn="0" w:lastRowFirstColumn="0" w:lastRowLastColumn="0"/>
            </w:pPr>
            <w:r>
              <w:t>Simplify business policy or security policy</w:t>
            </w:r>
          </w:p>
          <w:p w14:paraId="00D16300" w14:textId="77777777" w:rsidR="005B2C03" w:rsidRPr="005B2C03" w:rsidRDefault="005B2C03" w:rsidP="005B2C03">
            <w:pPr>
              <w:pStyle w:val="Tablecontent"/>
              <w:cnfStyle w:val="000000000000" w:firstRow="0" w:lastRow="0" w:firstColumn="0" w:lastColumn="0" w:oddVBand="0" w:evenVBand="0" w:oddHBand="0" w:evenHBand="0" w:firstRowFirstColumn="0" w:firstRowLastColumn="0" w:lastRowFirstColumn="0" w:lastRowLastColumn="0"/>
            </w:pPr>
            <w:r w:rsidRPr="005B2C03">
              <w:lastRenderedPageBreak/>
              <w:t>Standard Operating Procedure</w:t>
            </w:r>
          </w:p>
          <w:p w14:paraId="7BCFA4C7" w14:textId="77777777" w:rsidR="005B2C03" w:rsidRPr="005B2C03" w:rsidRDefault="005B2C03" w:rsidP="005B2C03">
            <w:pPr>
              <w:pStyle w:val="Tablecontent"/>
              <w:cnfStyle w:val="000000000000" w:firstRow="0" w:lastRow="0" w:firstColumn="0" w:lastColumn="0" w:oddVBand="0" w:evenVBand="0" w:oddHBand="0" w:evenHBand="0" w:firstRowFirstColumn="0" w:firstRowLastColumn="0" w:lastRowFirstColumn="0" w:lastRowLastColumn="0"/>
            </w:pPr>
            <w:r w:rsidRPr="005B2C03">
              <w:t>Reduce human error by automation</w:t>
            </w:r>
          </w:p>
          <w:p w14:paraId="4949D55F" w14:textId="3CC0983B" w:rsidR="005B2C03" w:rsidRPr="005B2C03" w:rsidRDefault="005B2C03" w:rsidP="005B2C03">
            <w:pPr>
              <w:pStyle w:val="Tablecontent"/>
              <w:cnfStyle w:val="000000000000" w:firstRow="0" w:lastRow="0" w:firstColumn="0" w:lastColumn="0" w:oddVBand="0" w:evenVBand="0" w:oddHBand="0" w:evenHBand="0" w:firstRowFirstColumn="0" w:firstRowLastColumn="0" w:lastRowFirstColumn="0" w:lastRowLastColumn="0"/>
            </w:pPr>
            <w:r w:rsidRPr="005B2C03">
              <w:t xml:space="preserve">Replace ageing hardware, and upgrade outdated software. </w:t>
            </w:r>
          </w:p>
        </w:tc>
      </w:tr>
      <w:tr w:rsidR="005B2C03" w:rsidRPr="00E51A31" w14:paraId="29FB03E6" w14:textId="77777777" w:rsidTr="005B2C03">
        <w:tc>
          <w:tcPr>
            <w:cnfStyle w:val="001000000000" w:firstRow="0" w:lastRow="0" w:firstColumn="1" w:lastColumn="0" w:oddVBand="0" w:evenVBand="0" w:oddHBand="0" w:evenHBand="0" w:firstRowFirstColumn="0" w:firstRowLastColumn="0" w:lastRowFirstColumn="0" w:lastRowLastColumn="0"/>
            <w:tcW w:w="2410" w:type="dxa"/>
            <w:shd w:val="clear" w:color="auto" w:fill="F2F2F2" w:themeFill="background1" w:themeFillShade="F2"/>
          </w:tcPr>
          <w:p w14:paraId="6BDF86D7" w14:textId="77777777" w:rsidR="005B2C03" w:rsidRPr="00EA624A" w:rsidRDefault="005B2C03" w:rsidP="005B2C03">
            <w:pPr>
              <w:pStyle w:val="Tablecontent"/>
              <w:rPr>
                <w:b w:val="0"/>
                <w:bCs w:val="0"/>
                <w:lang w:val="en-SG"/>
              </w:rPr>
            </w:pPr>
            <w:r w:rsidRPr="00EA624A">
              <w:rPr>
                <w:b w:val="0"/>
                <w:bCs w:val="0"/>
                <w:lang w:val="en-SG"/>
              </w:rPr>
              <w:lastRenderedPageBreak/>
              <w:t>Higher Customer Satisfaction</w:t>
            </w:r>
          </w:p>
          <w:p w14:paraId="78CB433F" w14:textId="77777777" w:rsidR="005B2C03" w:rsidRPr="00EA624A" w:rsidRDefault="005B2C03" w:rsidP="00E440AB">
            <w:pPr>
              <w:pStyle w:val="Tablecontent"/>
              <w:rPr>
                <w:b w:val="0"/>
                <w:bCs w:val="0"/>
              </w:rPr>
            </w:pPr>
          </w:p>
        </w:tc>
        <w:tc>
          <w:tcPr>
            <w:tcW w:w="7796" w:type="dxa"/>
          </w:tcPr>
          <w:p w14:paraId="52C72EB2" w14:textId="4637AA53" w:rsidR="001D546D" w:rsidRPr="005B2C03" w:rsidRDefault="005B2C03" w:rsidP="005B2C03">
            <w:pPr>
              <w:pStyle w:val="Tablecontent"/>
              <w:cnfStyle w:val="000000000000" w:firstRow="0" w:lastRow="0" w:firstColumn="0" w:lastColumn="0" w:oddVBand="0" w:evenVBand="0" w:oddHBand="0" w:evenHBand="0" w:firstRowFirstColumn="0" w:firstRowLastColumn="0" w:lastRowFirstColumn="0" w:lastRowLastColumn="0"/>
            </w:pPr>
            <w:r w:rsidRPr="005B2C03">
              <w:t xml:space="preserve">Internal IT department. Reputation among </w:t>
            </w:r>
            <w:r w:rsidR="0002089A">
              <w:t>Applications</w:t>
            </w:r>
            <w:r w:rsidRPr="005B2C03">
              <w:t xml:space="preserve"> Team.</w:t>
            </w:r>
          </w:p>
          <w:p w14:paraId="36EF10CB" w14:textId="77777777" w:rsidR="005B2C03" w:rsidRPr="005B2C03" w:rsidRDefault="005B2C03" w:rsidP="005B2C03">
            <w:pPr>
              <w:pStyle w:val="Tablecontent"/>
              <w:cnfStyle w:val="000000000000" w:firstRow="0" w:lastRow="0" w:firstColumn="0" w:lastColumn="0" w:oddVBand="0" w:evenVBand="0" w:oddHBand="0" w:evenHBand="0" w:firstRowFirstColumn="0" w:firstRowLastColumn="0" w:lastRowFirstColumn="0" w:lastRowLastColumn="0"/>
            </w:pPr>
            <w:r w:rsidRPr="005B2C03">
              <w:t xml:space="preserve">External SP. Repeat business </w:t>
            </w:r>
          </w:p>
          <w:p w14:paraId="28DFBA4E" w14:textId="0C640388" w:rsidR="005B2C03" w:rsidRPr="005B2C03" w:rsidRDefault="005B2C03" w:rsidP="005B2C03">
            <w:pPr>
              <w:pStyle w:val="Tablecontent"/>
              <w:cnfStyle w:val="000000000000" w:firstRow="0" w:lastRow="0" w:firstColumn="0" w:lastColumn="0" w:oddVBand="0" w:evenVBand="0" w:oddHBand="0" w:evenHBand="0" w:firstRowFirstColumn="0" w:firstRowLastColumn="0" w:lastRowFirstColumn="0" w:lastRowLastColumn="0"/>
            </w:pPr>
            <w:r w:rsidRPr="005B2C03">
              <w:t>Ability to justify or defend pricing. Price/Performance</w:t>
            </w:r>
          </w:p>
        </w:tc>
      </w:tr>
      <w:tr w:rsidR="005B2C03" w:rsidRPr="00E51A31" w14:paraId="1BB8E235" w14:textId="77777777" w:rsidTr="005B2C03">
        <w:tc>
          <w:tcPr>
            <w:cnfStyle w:val="001000000000" w:firstRow="0" w:lastRow="0" w:firstColumn="1" w:lastColumn="0" w:oddVBand="0" w:evenVBand="0" w:oddHBand="0" w:evenHBand="0" w:firstRowFirstColumn="0" w:firstRowLastColumn="0" w:lastRowFirstColumn="0" w:lastRowLastColumn="0"/>
            <w:tcW w:w="2410" w:type="dxa"/>
            <w:shd w:val="clear" w:color="auto" w:fill="F2F2F2" w:themeFill="background1" w:themeFillShade="F2"/>
          </w:tcPr>
          <w:p w14:paraId="7E41C6E4" w14:textId="77777777" w:rsidR="005B2C03" w:rsidRPr="00EA624A" w:rsidRDefault="005B2C03" w:rsidP="005B2C03">
            <w:pPr>
              <w:pStyle w:val="Tablecontent"/>
              <w:rPr>
                <w:b w:val="0"/>
                <w:bCs w:val="0"/>
                <w:lang w:val="en-SG"/>
              </w:rPr>
            </w:pPr>
            <w:r w:rsidRPr="00EA624A">
              <w:rPr>
                <w:b w:val="0"/>
                <w:bCs w:val="0"/>
                <w:lang w:val="en-SG"/>
              </w:rPr>
              <w:t>Higher Compliance</w:t>
            </w:r>
          </w:p>
          <w:p w14:paraId="05D60C63" w14:textId="77777777" w:rsidR="005B2C03" w:rsidRPr="00EA624A" w:rsidRDefault="005B2C03" w:rsidP="00E440AB">
            <w:pPr>
              <w:pStyle w:val="Tablecontent"/>
              <w:rPr>
                <w:b w:val="0"/>
                <w:bCs w:val="0"/>
              </w:rPr>
            </w:pPr>
          </w:p>
        </w:tc>
        <w:tc>
          <w:tcPr>
            <w:tcW w:w="7796" w:type="dxa"/>
          </w:tcPr>
          <w:p w14:paraId="4DA959D3" w14:textId="77777777" w:rsidR="005B2C03" w:rsidRPr="005B2C03" w:rsidRDefault="005B2C03" w:rsidP="005B2C03">
            <w:pPr>
              <w:pStyle w:val="Tablecontent"/>
              <w:cnfStyle w:val="000000000000" w:firstRow="0" w:lastRow="0" w:firstColumn="0" w:lastColumn="0" w:oddVBand="0" w:evenVBand="0" w:oddHBand="0" w:evenHBand="0" w:firstRowFirstColumn="0" w:firstRowLastColumn="0" w:lastRowFirstColumn="0" w:lastRowLastColumn="0"/>
            </w:pPr>
            <w:r w:rsidRPr="005B2C03">
              <w:t>Internal compliant (e.g. vSphere hardening)</w:t>
            </w:r>
          </w:p>
          <w:p w14:paraId="7FA5EE6E" w14:textId="0AB88891" w:rsidR="005B2C03" w:rsidRPr="005B2C03" w:rsidRDefault="005B2C03" w:rsidP="005B2C03">
            <w:pPr>
              <w:pStyle w:val="Tablecontent"/>
              <w:cnfStyle w:val="000000000000" w:firstRow="0" w:lastRow="0" w:firstColumn="0" w:lastColumn="0" w:oddVBand="0" w:evenVBand="0" w:oddHBand="0" w:evenHBand="0" w:firstRowFirstColumn="0" w:firstRowLastColumn="0" w:lastRowFirstColumn="0" w:lastRowLastColumn="0"/>
            </w:pPr>
            <w:r w:rsidRPr="005B2C03">
              <w:t>Industry regulation (e.g. PCI DSS, HIPAA)</w:t>
            </w:r>
          </w:p>
        </w:tc>
      </w:tr>
    </w:tbl>
    <w:p w14:paraId="2BDC03F9" w14:textId="7025AEDF" w:rsidR="00A45647" w:rsidRPr="0072799F" w:rsidRDefault="00A45647" w:rsidP="00A45647">
      <w:r w:rsidRPr="0072799F">
        <w:t xml:space="preserve">I’m sure there are more of them. Drop me a note with your real-world </w:t>
      </w:r>
      <w:r w:rsidR="005B2C03">
        <w:t>story</w:t>
      </w:r>
      <w:r w:rsidRPr="0072799F">
        <w:t>!</w:t>
      </w:r>
    </w:p>
    <w:p w14:paraId="3D56400D" w14:textId="1C4EF6A9" w:rsidR="000F7E73" w:rsidRDefault="000F7E73" w:rsidP="00E7573A">
      <w:pPr>
        <w:pStyle w:val="Heading5"/>
      </w:pPr>
      <w:r>
        <w:t>Standard Operating Procedure</w:t>
      </w:r>
      <w:r w:rsidR="005D21A2">
        <w:t>s</w:t>
      </w:r>
    </w:p>
    <w:p w14:paraId="1C596F70" w14:textId="1002C9E8" w:rsidR="005C5E6E" w:rsidRDefault="00475A7B" w:rsidP="005C5E6E">
      <w:r>
        <w:t xml:space="preserve">Define your </w:t>
      </w:r>
      <w:hyperlink r:id="rId95" w:history="1">
        <w:r w:rsidR="005C5E6E" w:rsidRPr="00E427E3">
          <w:rPr>
            <w:rStyle w:val="Hyperlink"/>
          </w:rPr>
          <w:t>Standard Operating Procedure</w:t>
        </w:r>
      </w:hyperlink>
      <w:r>
        <w:rPr>
          <w:rStyle w:val="Hyperlink"/>
        </w:rPr>
        <w:t>s</w:t>
      </w:r>
      <w:r w:rsidR="005C5E6E">
        <w:t xml:space="preserve"> (SOP)</w:t>
      </w:r>
      <w:r>
        <w:t xml:space="preserve"> to ensure knowledge is captured and </w:t>
      </w:r>
      <w:r w:rsidR="00651B47">
        <w:t>lessons are learned.</w:t>
      </w:r>
      <w:r w:rsidR="004566F1">
        <w:t xml:space="preserve"> It’s also important to know “</w:t>
      </w:r>
      <w:r w:rsidR="004566F1" w:rsidRPr="00986B0E">
        <w:rPr>
          <w:color w:val="00B0F0"/>
        </w:rPr>
        <w:t>who does what when</w:t>
      </w:r>
      <w:r w:rsidR="004566F1">
        <w:t xml:space="preserve">” </w:t>
      </w:r>
      <w:r w:rsidR="00416C09">
        <w:t xml:space="preserve">to ensure gaps are covered. If your operations are partly or fully outsourced, ensure the vendor provide the documentation. </w:t>
      </w:r>
    </w:p>
    <w:p w14:paraId="4ED8C641" w14:textId="7B6FBD15" w:rsidR="00EC5268" w:rsidRDefault="00EC5268" w:rsidP="00EC5268">
      <w:pPr>
        <w:rPr>
          <w:rFonts w:ascii="Calibri" w:hAnsi="Calibri" w:cs="Calibri"/>
          <w:color w:val="000000" w:themeColor="text1"/>
          <w:kern w:val="24"/>
        </w:rPr>
      </w:pPr>
      <w:r>
        <w:rPr>
          <w:rFonts w:ascii="Calibri" w:hAnsi="Calibri" w:cs="Calibri"/>
          <w:color w:val="000000" w:themeColor="text1"/>
          <w:kern w:val="24"/>
        </w:rPr>
        <w:t xml:space="preserve">Having SOP does not mean that you do not have ad-hoc task at all. You do however, want to keep them minimum and so they are manageable. </w:t>
      </w:r>
    </w:p>
    <w:p w14:paraId="56088992" w14:textId="18892C0E" w:rsidR="00416C09" w:rsidRDefault="00B920AC" w:rsidP="005C5E6E">
      <w:r>
        <w:t xml:space="preserve">Let’s review some </w:t>
      </w:r>
      <w:r w:rsidR="00416C09">
        <w:t>examples of SOPs that you should have</w:t>
      </w:r>
      <w:r>
        <w:t>.</w:t>
      </w:r>
    </w:p>
    <w:p w14:paraId="616BC5A3" w14:textId="7A7C9DA2" w:rsidR="00B920AC" w:rsidRDefault="00B920AC" w:rsidP="004B77ED">
      <w:pPr>
        <w:pStyle w:val="Heading6"/>
      </w:pPr>
      <w:r>
        <w:t>Live!</w:t>
      </w:r>
    </w:p>
    <w:p w14:paraId="3CBFC617" w14:textId="4FA1F77B" w:rsidR="001F65CC" w:rsidRDefault="001F65CC" w:rsidP="00EC5268">
      <w:pPr>
        <w:rPr>
          <w:lang w:val="en-GB"/>
        </w:rPr>
      </w:pPr>
      <w:r>
        <w:rPr>
          <w:lang w:val="en-GB"/>
        </w:rPr>
        <w:t>This is assisted with a set of live dashboards on the big screen in NOC, showing real-time metrics and events. As the time duration is basically minutes, capacity is typically not relevant. You focus on availability, performance and security.</w:t>
      </w:r>
    </w:p>
    <w:p w14:paraId="71446C19" w14:textId="2EF1696A" w:rsidR="00727017" w:rsidRDefault="00EC5268" w:rsidP="00EC5268">
      <w:pPr>
        <w:rPr>
          <w:lang w:val="en-GB"/>
        </w:rPr>
      </w:pPr>
      <w:r>
        <w:rPr>
          <w:lang w:val="en-GB"/>
        </w:rPr>
        <w:t xml:space="preserve">The focus is to gain early warning, hence buying time if operations turn into an emergency. </w:t>
      </w:r>
      <w:r w:rsidR="00727017">
        <w:rPr>
          <w:lang w:val="en-GB"/>
        </w:rPr>
        <w:t xml:space="preserve">That means there is no alert triggered yet. </w:t>
      </w:r>
    </w:p>
    <w:p w14:paraId="75E10CE9" w14:textId="44F4754A" w:rsidR="001F65CC" w:rsidRPr="00EC5268" w:rsidRDefault="00EC5268" w:rsidP="00EC5268">
      <w:pPr>
        <w:rPr>
          <w:lang w:val="en-GB"/>
        </w:rPr>
      </w:pPr>
      <w:r>
        <w:rPr>
          <w:lang w:val="en-GB"/>
        </w:rPr>
        <w:t>You want to put out fire fast</w:t>
      </w:r>
      <w:r w:rsidR="001F65CC">
        <w:rPr>
          <w:lang w:val="en-GB"/>
        </w:rPr>
        <w:t>.</w:t>
      </w:r>
    </w:p>
    <w:p w14:paraId="5FCED90B" w14:textId="77777777" w:rsidR="00EC5268" w:rsidRPr="00B920AC" w:rsidRDefault="00EC5268" w:rsidP="00EC5268">
      <w:pPr>
        <w:pStyle w:val="BeforeTable"/>
        <w:rPr>
          <w:lang w:val="en-GB"/>
        </w:rPr>
      </w:pPr>
    </w:p>
    <w:tbl>
      <w:tblPr>
        <w:tblStyle w:val="TableGrid"/>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530"/>
        <w:gridCol w:w="8960"/>
      </w:tblGrid>
      <w:tr w:rsidR="00EC5268" w:rsidRPr="009701A8" w14:paraId="7FC967F1" w14:textId="77777777" w:rsidTr="00E440AB">
        <w:tc>
          <w:tcPr>
            <w:tcW w:w="1530" w:type="dxa"/>
          </w:tcPr>
          <w:p w14:paraId="7EA01405" w14:textId="03E7E564" w:rsidR="00EC5268" w:rsidRPr="00380AFB" w:rsidRDefault="00EC5268" w:rsidP="00EC5268">
            <w:pPr>
              <w:pStyle w:val="Tablecontent"/>
              <w:rPr>
                <w:b/>
                <w:bCs/>
              </w:rPr>
            </w:pPr>
            <w:r w:rsidRPr="00050080">
              <w:rPr>
                <w:b/>
                <w:bCs/>
              </w:rPr>
              <w:t>Availability</w:t>
            </w:r>
          </w:p>
        </w:tc>
        <w:tc>
          <w:tcPr>
            <w:tcW w:w="8960" w:type="dxa"/>
          </w:tcPr>
          <w:p w14:paraId="5E2D0298" w14:textId="7F0A268A" w:rsidR="00EC5268" w:rsidRPr="009701A8" w:rsidRDefault="00727017" w:rsidP="00EC5268">
            <w:pPr>
              <w:pStyle w:val="Tablecontent"/>
            </w:pPr>
            <w:r>
              <w:t>Focus on undesirable event. Make sure they match your expectation of what is actually happening in your environment at that time. For example, if you’re not deleting VMs and the live screen shows many VMs being deleted, something amiss</w:t>
            </w:r>
            <w:r w:rsidR="00E4254C">
              <w:t xml:space="preserve">. </w:t>
            </w:r>
          </w:p>
        </w:tc>
      </w:tr>
      <w:tr w:rsidR="00EC5268" w:rsidRPr="009701A8" w14:paraId="2EC112A8" w14:textId="77777777" w:rsidTr="00E440AB">
        <w:tc>
          <w:tcPr>
            <w:tcW w:w="1530" w:type="dxa"/>
          </w:tcPr>
          <w:p w14:paraId="5DD35FBD" w14:textId="7257DC9B" w:rsidR="00EC5268" w:rsidRPr="00380AFB" w:rsidRDefault="00EC5268" w:rsidP="00EC5268">
            <w:pPr>
              <w:pStyle w:val="Tablecontent"/>
              <w:rPr>
                <w:b/>
                <w:bCs/>
              </w:rPr>
            </w:pPr>
            <w:r w:rsidRPr="00050080">
              <w:rPr>
                <w:b/>
                <w:bCs/>
              </w:rPr>
              <w:t>Performance</w:t>
            </w:r>
          </w:p>
        </w:tc>
        <w:tc>
          <w:tcPr>
            <w:tcW w:w="8960" w:type="dxa"/>
          </w:tcPr>
          <w:p w14:paraId="110CAFCD" w14:textId="204C6DCE" w:rsidR="00EC5268" w:rsidRPr="009701A8" w:rsidRDefault="00727017" w:rsidP="00EC5268">
            <w:pPr>
              <w:pStyle w:val="Tablecontent"/>
            </w:pPr>
            <w:r>
              <w:t xml:space="preserve">Focus on overall performance and make sure the fluctuation is within your expectation. </w:t>
            </w:r>
          </w:p>
        </w:tc>
      </w:tr>
      <w:tr w:rsidR="00EE7FAC" w:rsidRPr="009701A8" w14:paraId="338BA0AE" w14:textId="77777777" w:rsidTr="00E440AB">
        <w:tc>
          <w:tcPr>
            <w:tcW w:w="1530" w:type="dxa"/>
          </w:tcPr>
          <w:p w14:paraId="3BEF7B90" w14:textId="7FBC66F1" w:rsidR="00EE7FAC" w:rsidRPr="00050080" w:rsidRDefault="00EE7FAC" w:rsidP="00EC5268">
            <w:pPr>
              <w:pStyle w:val="Tablecontent"/>
              <w:rPr>
                <w:b/>
                <w:bCs/>
              </w:rPr>
            </w:pPr>
            <w:r>
              <w:rPr>
                <w:b/>
                <w:bCs/>
              </w:rPr>
              <w:t>Security</w:t>
            </w:r>
          </w:p>
        </w:tc>
        <w:tc>
          <w:tcPr>
            <w:tcW w:w="8960" w:type="dxa"/>
          </w:tcPr>
          <w:p w14:paraId="6D641522" w14:textId="38FE6EB4" w:rsidR="00EE7FAC" w:rsidRPr="009701A8" w:rsidRDefault="00727017" w:rsidP="00EC5268">
            <w:pPr>
              <w:pStyle w:val="Tablecontent"/>
            </w:pPr>
            <w:r>
              <w:rPr>
                <w:rFonts w:ascii="Calibri" w:hAnsi="Calibri" w:cs="Calibri"/>
                <w:color w:val="000000" w:themeColor="text1"/>
                <w:kern w:val="24"/>
              </w:rPr>
              <w:t xml:space="preserve">Focus on </w:t>
            </w:r>
            <w:r w:rsidR="00EE7FAC">
              <w:rPr>
                <w:rFonts w:ascii="Calibri" w:hAnsi="Calibri" w:cs="Calibri"/>
                <w:color w:val="000000" w:themeColor="text1"/>
                <w:kern w:val="24"/>
              </w:rPr>
              <w:t>suspicious activity</w:t>
            </w:r>
            <w:r>
              <w:t xml:space="preserve"> such as loosening of firewall rules and usage of administrator account</w:t>
            </w:r>
          </w:p>
        </w:tc>
      </w:tr>
    </w:tbl>
    <w:p w14:paraId="136E9568" w14:textId="7C4FB8B0" w:rsidR="00B920AC" w:rsidRDefault="00B920AC" w:rsidP="004B77ED">
      <w:pPr>
        <w:pStyle w:val="Heading6"/>
      </w:pPr>
      <w:r>
        <w:t>Daily</w:t>
      </w:r>
    </w:p>
    <w:p w14:paraId="196D2DE1" w14:textId="2D10C6C8" w:rsidR="00EC5268" w:rsidRPr="00EC5268" w:rsidRDefault="00EC5268" w:rsidP="00EC5268">
      <w:pPr>
        <w:rPr>
          <w:lang w:val="en-GB"/>
        </w:rPr>
      </w:pPr>
      <w:r>
        <w:rPr>
          <w:lang w:val="en-GB"/>
        </w:rPr>
        <w:t xml:space="preserve">The daily SOP should look ahead, using the historical data and business context as a guide. </w:t>
      </w:r>
    </w:p>
    <w:p w14:paraId="4E633A07" w14:textId="77777777" w:rsidR="00EC5268" w:rsidRPr="00B920AC" w:rsidRDefault="00EC5268" w:rsidP="00EC5268">
      <w:pPr>
        <w:pStyle w:val="BeforeTable"/>
        <w:rPr>
          <w:lang w:val="en-GB"/>
        </w:rPr>
      </w:pPr>
    </w:p>
    <w:tbl>
      <w:tblPr>
        <w:tblStyle w:val="TableGrid"/>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530"/>
        <w:gridCol w:w="8960"/>
      </w:tblGrid>
      <w:tr w:rsidR="00EE7FAC" w:rsidRPr="009701A8" w14:paraId="485D7FA4" w14:textId="77777777" w:rsidTr="00E440AB">
        <w:tc>
          <w:tcPr>
            <w:tcW w:w="1530" w:type="dxa"/>
            <w:vMerge w:val="restart"/>
          </w:tcPr>
          <w:p w14:paraId="4FB5EC2B" w14:textId="349EA2AD" w:rsidR="00EE7FAC" w:rsidRPr="00380AFB" w:rsidRDefault="00EE7FAC" w:rsidP="00EC5268">
            <w:pPr>
              <w:pStyle w:val="Tablecontent"/>
              <w:rPr>
                <w:b/>
                <w:bCs/>
              </w:rPr>
            </w:pPr>
            <w:r w:rsidRPr="00050080">
              <w:rPr>
                <w:b/>
                <w:bCs/>
              </w:rPr>
              <w:lastRenderedPageBreak/>
              <w:t>Availability</w:t>
            </w:r>
          </w:p>
        </w:tc>
        <w:tc>
          <w:tcPr>
            <w:tcW w:w="8960" w:type="dxa"/>
          </w:tcPr>
          <w:p w14:paraId="11320E5B" w14:textId="35CBAE00" w:rsidR="00EE7FAC" w:rsidRPr="009701A8" w:rsidRDefault="00EE7FAC" w:rsidP="00EC5268">
            <w:pPr>
              <w:pStyle w:val="Tablecontent"/>
            </w:pPr>
            <w:r>
              <w:t>Check for soft errors. This likely require you to look at the logs from each hardware and software vendors. For example, vSphere has proactive HA.</w:t>
            </w:r>
          </w:p>
        </w:tc>
      </w:tr>
      <w:tr w:rsidR="00EE7FAC" w:rsidRPr="009701A8" w14:paraId="2D9C713A" w14:textId="77777777" w:rsidTr="00E440AB">
        <w:tc>
          <w:tcPr>
            <w:tcW w:w="1530" w:type="dxa"/>
            <w:vMerge/>
          </w:tcPr>
          <w:p w14:paraId="2DBE8223" w14:textId="77777777" w:rsidR="00EE7FAC" w:rsidRPr="00050080" w:rsidRDefault="00EE7FAC" w:rsidP="00EC5268">
            <w:pPr>
              <w:pStyle w:val="Tablecontent"/>
              <w:rPr>
                <w:b/>
                <w:bCs/>
              </w:rPr>
            </w:pPr>
          </w:p>
        </w:tc>
        <w:tc>
          <w:tcPr>
            <w:tcW w:w="8960" w:type="dxa"/>
          </w:tcPr>
          <w:p w14:paraId="00934A77" w14:textId="6A1D8680" w:rsidR="00EE7FAC" w:rsidRDefault="00EE7FAC" w:rsidP="00EC5268">
            <w:pPr>
              <w:pStyle w:val="Tablecontent"/>
            </w:pPr>
            <w:r w:rsidRPr="009701A8">
              <w:rPr>
                <w:rFonts w:ascii="Calibri" w:hAnsi="Calibri" w:cs="Calibri"/>
                <w:color w:val="000000" w:themeColor="text1"/>
                <w:kern w:val="24"/>
              </w:rPr>
              <w:t>Ensure back up is performed</w:t>
            </w:r>
            <w:r>
              <w:rPr>
                <w:rFonts w:ascii="Calibri" w:hAnsi="Calibri" w:cs="Calibri"/>
                <w:color w:val="000000" w:themeColor="text1"/>
                <w:kern w:val="24"/>
              </w:rPr>
              <w:t xml:space="preserve">. For example, if you take a snapshot of 1549 VM and only removed 1518, the </w:t>
            </w:r>
            <w:r w:rsidR="00727017">
              <w:rPr>
                <w:rFonts w:ascii="Calibri" w:hAnsi="Calibri" w:cs="Calibri"/>
                <w:color w:val="000000" w:themeColor="text1"/>
                <w:kern w:val="24"/>
              </w:rPr>
              <w:t>backup</w:t>
            </w:r>
            <w:r>
              <w:rPr>
                <w:rFonts w:ascii="Calibri" w:hAnsi="Calibri" w:cs="Calibri"/>
                <w:color w:val="000000" w:themeColor="text1"/>
                <w:kern w:val="24"/>
              </w:rPr>
              <w:t xml:space="preserve"> likely failed to consolidate the snapshot.</w:t>
            </w:r>
          </w:p>
        </w:tc>
      </w:tr>
      <w:tr w:rsidR="00EC5268" w:rsidRPr="009701A8" w14:paraId="66BA45FB" w14:textId="77777777" w:rsidTr="00E440AB">
        <w:tc>
          <w:tcPr>
            <w:tcW w:w="1530" w:type="dxa"/>
          </w:tcPr>
          <w:p w14:paraId="45F69477" w14:textId="0029B7B7" w:rsidR="00EC5268" w:rsidRPr="00380AFB" w:rsidRDefault="00EC5268" w:rsidP="00EC5268">
            <w:pPr>
              <w:pStyle w:val="Tablecontent"/>
              <w:rPr>
                <w:b/>
                <w:bCs/>
              </w:rPr>
            </w:pPr>
            <w:r w:rsidRPr="00050080">
              <w:rPr>
                <w:b/>
                <w:bCs/>
              </w:rPr>
              <w:t>Performance</w:t>
            </w:r>
          </w:p>
        </w:tc>
        <w:tc>
          <w:tcPr>
            <w:tcW w:w="8960" w:type="dxa"/>
          </w:tcPr>
          <w:p w14:paraId="7765AEA4" w14:textId="18EE7221" w:rsidR="00EE7FAC" w:rsidRDefault="00EE7FAC" w:rsidP="00EC5268">
            <w:pPr>
              <w:pStyle w:val="Tablecontent"/>
            </w:pPr>
            <w:r w:rsidRPr="009701A8">
              <w:rPr>
                <w:rFonts w:ascii="Calibri" w:hAnsi="Calibri" w:cs="Calibri"/>
                <w:color w:val="000000" w:themeColor="text1"/>
                <w:kern w:val="24"/>
              </w:rPr>
              <w:t>Insight analysis</w:t>
            </w:r>
            <w:r>
              <w:rPr>
                <w:rFonts w:ascii="Calibri" w:hAnsi="Calibri" w:cs="Calibri"/>
                <w:color w:val="000000" w:themeColor="text1"/>
                <w:kern w:val="24"/>
              </w:rPr>
              <w:t>. Look at the overall environment.</w:t>
            </w:r>
          </w:p>
          <w:p w14:paraId="1FAA6390" w14:textId="40CC4451" w:rsidR="00EC5268" w:rsidRPr="009701A8" w:rsidRDefault="00EC5268" w:rsidP="00EC5268">
            <w:pPr>
              <w:pStyle w:val="Tablecontent"/>
            </w:pPr>
            <w:r>
              <w:t>Mission Critical VM Performance. Focus on looking forward to the next 1 day, by considering the pattern in the last 1 week. Know the expected workload, by working closely with the business owner.</w:t>
            </w:r>
          </w:p>
        </w:tc>
      </w:tr>
      <w:tr w:rsidR="00EC5268" w:rsidRPr="009701A8" w14:paraId="08B92400" w14:textId="77777777" w:rsidTr="00E440AB">
        <w:tc>
          <w:tcPr>
            <w:tcW w:w="1530" w:type="dxa"/>
          </w:tcPr>
          <w:p w14:paraId="5C72DC4A" w14:textId="41A6D32A" w:rsidR="00EC5268" w:rsidRPr="00380AFB" w:rsidRDefault="00EC5268" w:rsidP="00EC5268">
            <w:pPr>
              <w:pStyle w:val="Tablecontent"/>
              <w:rPr>
                <w:b/>
                <w:bCs/>
              </w:rPr>
            </w:pPr>
            <w:r w:rsidRPr="00050080">
              <w:rPr>
                <w:b/>
                <w:bCs/>
              </w:rPr>
              <w:t>Compliance</w:t>
            </w:r>
          </w:p>
        </w:tc>
        <w:tc>
          <w:tcPr>
            <w:tcW w:w="8960" w:type="dxa"/>
          </w:tcPr>
          <w:p w14:paraId="3D79E7A9" w14:textId="739129EC" w:rsidR="00EC5268" w:rsidRDefault="00EC5268" w:rsidP="00EC5268">
            <w:pPr>
              <w:pStyle w:val="Tablecontent"/>
            </w:pPr>
            <w:r w:rsidRPr="009701A8">
              <w:rPr>
                <w:rFonts w:ascii="Calibri" w:hAnsi="Calibri" w:cs="Calibri"/>
                <w:color w:val="000000" w:themeColor="text1"/>
                <w:kern w:val="24"/>
              </w:rPr>
              <w:t xml:space="preserve">Ensure non-compliant is remediated. </w:t>
            </w:r>
          </w:p>
        </w:tc>
      </w:tr>
      <w:tr w:rsidR="00EC5268" w:rsidRPr="009701A8" w14:paraId="7236BB67" w14:textId="77777777" w:rsidTr="00E440AB">
        <w:tc>
          <w:tcPr>
            <w:tcW w:w="1530" w:type="dxa"/>
          </w:tcPr>
          <w:p w14:paraId="7A027CDC" w14:textId="38C05029" w:rsidR="00EC5268" w:rsidRPr="00050080" w:rsidRDefault="00EC5268" w:rsidP="00EC5268">
            <w:pPr>
              <w:pStyle w:val="Tablecontent"/>
              <w:rPr>
                <w:b/>
                <w:bCs/>
              </w:rPr>
            </w:pPr>
            <w:r>
              <w:rPr>
                <w:b/>
                <w:bCs/>
              </w:rPr>
              <w:t>Security</w:t>
            </w:r>
          </w:p>
        </w:tc>
        <w:tc>
          <w:tcPr>
            <w:tcW w:w="8960" w:type="dxa"/>
          </w:tcPr>
          <w:p w14:paraId="4C7CFE5B" w14:textId="44D0048B" w:rsidR="00EC5268" w:rsidRPr="009701A8" w:rsidRDefault="00EC5268" w:rsidP="00EC5268">
            <w:pPr>
              <w:pStyle w:val="Tablecontent"/>
            </w:pPr>
            <w:r>
              <w:t>Check for potential security attack, such as loosening of firewall rules and usage of administrator account</w:t>
            </w:r>
          </w:p>
        </w:tc>
      </w:tr>
      <w:tr w:rsidR="00EC5268" w:rsidRPr="009701A8" w14:paraId="148687AB" w14:textId="77777777" w:rsidTr="00E440AB">
        <w:tc>
          <w:tcPr>
            <w:tcW w:w="1530" w:type="dxa"/>
          </w:tcPr>
          <w:p w14:paraId="6E29C9C5" w14:textId="080F73CE" w:rsidR="00EC5268" w:rsidRDefault="00EC5268" w:rsidP="00EC5268">
            <w:pPr>
              <w:pStyle w:val="Tablecontent"/>
              <w:rPr>
                <w:b/>
                <w:bCs/>
              </w:rPr>
            </w:pPr>
            <w:r w:rsidRPr="00050080">
              <w:rPr>
                <w:b/>
                <w:bCs/>
              </w:rPr>
              <w:t>Configuration</w:t>
            </w:r>
          </w:p>
        </w:tc>
        <w:tc>
          <w:tcPr>
            <w:tcW w:w="8960" w:type="dxa"/>
          </w:tcPr>
          <w:p w14:paraId="542E6FDE" w14:textId="53DA60A7" w:rsidR="00EC5268" w:rsidRDefault="00EC5268" w:rsidP="00EC5268">
            <w:pPr>
              <w:pStyle w:val="Tablecontent"/>
            </w:pPr>
            <w:r w:rsidRPr="0080553F">
              <w:rPr>
                <w:lang w:val="en-SG"/>
              </w:rPr>
              <w:t>Check for misconfiguration that can cause issue.</w:t>
            </w:r>
          </w:p>
        </w:tc>
      </w:tr>
      <w:tr w:rsidR="00EC5268" w:rsidRPr="009701A8" w14:paraId="01E36ACB" w14:textId="77777777" w:rsidTr="00E440AB">
        <w:tc>
          <w:tcPr>
            <w:tcW w:w="1530" w:type="dxa"/>
          </w:tcPr>
          <w:p w14:paraId="2F5E2E1C" w14:textId="77777777" w:rsidR="00EC5268" w:rsidRPr="00050080" w:rsidRDefault="00EC5268" w:rsidP="00EC5268">
            <w:pPr>
              <w:pStyle w:val="Tablecontent"/>
              <w:rPr>
                <w:b/>
                <w:bCs/>
              </w:rPr>
            </w:pPr>
          </w:p>
        </w:tc>
        <w:tc>
          <w:tcPr>
            <w:tcW w:w="8960" w:type="dxa"/>
          </w:tcPr>
          <w:p w14:paraId="4B1BBB0B" w14:textId="0C84A067" w:rsidR="00EC5268" w:rsidRPr="0080553F" w:rsidRDefault="00EC5268" w:rsidP="00EC5268">
            <w:pPr>
              <w:pStyle w:val="Tablecontent"/>
              <w:rPr>
                <w:lang w:val="en-SG"/>
              </w:rPr>
            </w:pPr>
            <w:r w:rsidRPr="009701A8">
              <w:rPr>
                <w:rFonts w:ascii="Calibri" w:hAnsi="Calibri" w:cs="Calibri"/>
                <w:color w:val="000000" w:themeColor="text1"/>
                <w:kern w:val="24"/>
              </w:rPr>
              <w:t>Implement urgent patches</w:t>
            </w:r>
            <w:r>
              <w:rPr>
                <w:rFonts w:ascii="Calibri" w:hAnsi="Calibri" w:cs="Calibri"/>
                <w:color w:val="000000" w:themeColor="text1"/>
                <w:kern w:val="24"/>
              </w:rPr>
              <w:t>, after appropriate validation</w:t>
            </w:r>
          </w:p>
        </w:tc>
      </w:tr>
      <w:tr w:rsidR="00EE7FAC" w:rsidRPr="009701A8" w14:paraId="46AA462B" w14:textId="77777777" w:rsidTr="00E440AB">
        <w:tc>
          <w:tcPr>
            <w:tcW w:w="1530" w:type="dxa"/>
          </w:tcPr>
          <w:p w14:paraId="52B9BACC" w14:textId="38B975F6" w:rsidR="00EE7FAC" w:rsidRPr="00EE7FAC" w:rsidRDefault="00EE7FAC" w:rsidP="00EE7FAC">
            <w:pPr>
              <w:pStyle w:val="Tablecontent"/>
              <w:rPr>
                <w:b/>
                <w:bCs/>
              </w:rPr>
            </w:pPr>
            <w:r w:rsidRPr="00EE7FAC">
              <w:rPr>
                <w:rFonts w:ascii="Calibri" w:hAnsi="Calibri" w:cs="Calibri"/>
                <w:b/>
                <w:bCs/>
                <w:color w:val="000000" w:themeColor="text1"/>
                <w:kern w:val="24"/>
              </w:rPr>
              <w:t>Capacity</w:t>
            </w:r>
          </w:p>
        </w:tc>
        <w:tc>
          <w:tcPr>
            <w:tcW w:w="8960" w:type="dxa"/>
          </w:tcPr>
          <w:p w14:paraId="3A400FC8" w14:textId="7893EADA" w:rsidR="00EE7FAC" w:rsidRPr="009701A8" w:rsidRDefault="00EE7FAC" w:rsidP="00EE7FAC">
            <w:pPr>
              <w:pStyle w:val="Tablecontent"/>
              <w:rPr>
                <w:rFonts w:ascii="Calibri" w:hAnsi="Calibri" w:cs="Calibri"/>
                <w:color w:val="000000" w:themeColor="text1"/>
                <w:kern w:val="24"/>
              </w:rPr>
            </w:pPr>
            <w:r>
              <w:rPr>
                <w:rFonts w:ascii="Calibri" w:hAnsi="Calibri" w:cs="Calibri"/>
                <w:color w:val="000000" w:themeColor="text1"/>
                <w:kern w:val="24"/>
              </w:rPr>
              <w:t xml:space="preserve">VM provisioning. Ideally this is automated, so it happens throughout the day. In this way, your developers need not wait for end of the day. What you need to ensure if the aggregate load do not overwhelm the shared environment. </w:t>
            </w:r>
          </w:p>
        </w:tc>
      </w:tr>
      <w:tr w:rsidR="00EE7FAC" w:rsidRPr="009701A8" w14:paraId="1CEFF2CE" w14:textId="77777777" w:rsidTr="00E440AB">
        <w:tc>
          <w:tcPr>
            <w:tcW w:w="1530" w:type="dxa"/>
          </w:tcPr>
          <w:p w14:paraId="4433CE7C" w14:textId="77777777" w:rsidR="00EE7FAC" w:rsidRDefault="00EE7FAC" w:rsidP="00EE7FAC">
            <w:pPr>
              <w:pStyle w:val="Tablecontent"/>
              <w:rPr>
                <w:rFonts w:ascii="Calibri" w:hAnsi="Calibri" w:cs="Calibri"/>
                <w:color w:val="000000" w:themeColor="text1"/>
                <w:kern w:val="24"/>
              </w:rPr>
            </w:pPr>
          </w:p>
        </w:tc>
        <w:tc>
          <w:tcPr>
            <w:tcW w:w="8960" w:type="dxa"/>
          </w:tcPr>
          <w:p w14:paraId="5DA5A24F" w14:textId="77777777" w:rsidR="00EE7FAC" w:rsidRDefault="00EE7FAC" w:rsidP="00EE7FAC">
            <w:pPr>
              <w:pStyle w:val="Tablecontent"/>
              <w:rPr>
                <w:rFonts w:ascii="Calibri" w:hAnsi="Calibri" w:cs="Calibri"/>
                <w:color w:val="000000" w:themeColor="text1"/>
                <w:kern w:val="24"/>
              </w:rPr>
            </w:pPr>
            <w:r>
              <w:rPr>
                <w:rFonts w:ascii="Calibri" w:hAnsi="Calibri" w:cs="Calibri"/>
                <w:color w:val="000000" w:themeColor="text1"/>
                <w:kern w:val="24"/>
              </w:rPr>
              <w:t xml:space="preserve">Snapshot deletion. Set up a policy to delete snapshot older than say 3 days. You do not want to wait until 1 week. </w:t>
            </w:r>
          </w:p>
          <w:p w14:paraId="12853FDE" w14:textId="3650927B" w:rsidR="00EE7FAC" w:rsidRPr="009701A8" w:rsidRDefault="00EE7FAC" w:rsidP="00EE7FAC">
            <w:pPr>
              <w:pStyle w:val="Tablecontent"/>
              <w:rPr>
                <w:rFonts w:ascii="Calibri" w:hAnsi="Calibri" w:cs="Calibri"/>
                <w:color w:val="000000" w:themeColor="text1"/>
                <w:kern w:val="24"/>
              </w:rPr>
            </w:pPr>
            <w:r>
              <w:rPr>
                <w:rFonts w:ascii="Calibri" w:hAnsi="Calibri" w:cs="Calibri"/>
                <w:color w:val="000000" w:themeColor="text1"/>
                <w:kern w:val="24"/>
              </w:rPr>
              <w:t xml:space="preserve">Ensure the exclusion is properly implemented, so you do not delete from VM whose snapshot you’ve agreed to keep. </w:t>
            </w:r>
          </w:p>
        </w:tc>
      </w:tr>
      <w:tr w:rsidR="00EE7FAC" w:rsidRPr="009701A8" w14:paraId="43075AA0" w14:textId="77777777" w:rsidTr="00E440AB">
        <w:tc>
          <w:tcPr>
            <w:tcW w:w="1530" w:type="dxa"/>
          </w:tcPr>
          <w:p w14:paraId="683E2A52" w14:textId="77777777" w:rsidR="00EE7FAC" w:rsidRDefault="00EE7FAC" w:rsidP="00EE7FAC">
            <w:pPr>
              <w:pStyle w:val="Tablecontent"/>
              <w:rPr>
                <w:rFonts w:ascii="Calibri" w:hAnsi="Calibri" w:cs="Calibri"/>
                <w:color w:val="000000" w:themeColor="text1"/>
                <w:kern w:val="24"/>
              </w:rPr>
            </w:pPr>
          </w:p>
        </w:tc>
        <w:tc>
          <w:tcPr>
            <w:tcW w:w="8960" w:type="dxa"/>
          </w:tcPr>
          <w:p w14:paraId="33EA6A93" w14:textId="041FD4EC" w:rsidR="00EE7FAC" w:rsidRPr="009701A8" w:rsidRDefault="00EE7FAC" w:rsidP="00EE7FAC">
            <w:pPr>
              <w:pStyle w:val="Tablecontent"/>
              <w:rPr>
                <w:rFonts w:ascii="Calibri" w:hAnsi="Calibri" w:cs="Calibri"/>
                <w:color w:val="000000" w:themeColor="text1"/>
                <w:kern w:val="24"/>
              </w:rPr>
            </w:pPr>
            <w:r>
              <w:rPr>
                <w:rFonts w:ascii="Calibri" w:hAnsi="Calibri" w:cs="Calibri"/>
                <w:color w:val="000000" w:themeColor="text1"/>
                <w:kern w:val="24"/>
              </w:rPr>
              <w:t xml:space="preserve">Powered off VM deletion. Once a VM passes the powered-off definition, there is no need to wait for another week before you delete them. You do have back up, don’t you? </w:t>
            </w:r>
          </w:p>
        </w:tc>
      </w:tr>
      <w:tr w:rsidR="00EE7FAC" w:rsidRPr="009701A8" w14:paraId="1E17EDDF" w14:textId="77777777" w:rsidTr="00E440AB">
        <w:tc>
          <w:tcPr>
            <w:tcW w:w="1530" w:type="dxa"/>
          </w:tcPr>
          <w:p w14:paraId="78719CAF" w14:textId="77777777" w:rsidR="00EE7FAC" w:rsidRDefault="00EE7FAC" w:rsidP="00EE7FAC">
            <w:pPr>
              <w:pStyle w:val="Tablecontent"/>
              <w:rPr>
                <w:rFonts w:ascii="Calibri" w:hAnsi="Calibri" w:cs="Calibri"/>
                <w:color w:val="000000" w:themeColor="text1"/>
                <w:kern w:val="24"/>
              </w:rPr>
            </w:pPr>
          </w:p>
        </w:tc>
        <w:tc>
          <w:tcPr>
            <w:tcW w:w="8960" w:type="dxa"/>
          </w:tcPr>
          <w:p w14:paraId="3994D764" w14:textId="54381DAD" w:rsidR="00EE7FAC" w:rsidRPr="009701A8" w:rsidRDefault="00EE7FAC" w:rsidP="00EE7FAC">
            <w:pPr>
              <w:pStyle w:val="Tablecontent"/>
              <w:rPr>
                <w:rFonts w:ascii="Calibri" w:hAnsi="Calibri" w:cs="Calibri"/>
                <w:color w:val="000000" w:themeColor="text1"/>
                <w:kern w:val="24"/>
              </w:rPr>
            </w:pPr>
            <w:r>
              <w:rPr>
                <w:rFonts w:ascii="Calibri" w:hAnsi="Calibri" w:cs="Calibri"/>
                <w:color w:val="000000" w:themeColor="text1"/>
                <w:kern w:val="24"/>
              </w:rPr>
              <w:t xml:space="preserve">Powering off Idle VM. Once a VM passes the idle definition, there is no need to wait for another week before you gracefully shut the OS down. </w:t>
            </w:r>
          </w:p>
        </w:tc>
      </w:tr>
    </w:tbl>
    <w:p w14:paraId="556A839A" w14:textId="3BFBFB59" w:rsidR="00380AFB" w:rsidRDefault="00380AFB" w:rsidP="004B77ED">
      <w:pPr>
        <w:pStyle w:val="Heading6"/>
      </w:pPr>
      <w:r>
        <w:t>Weekly</w:t>
      </w:r>
    </w:p>
    <w:p w14:paraId="4CE65B6D" w14:textId="3B2FD831" w:rsidR="00B920AC" w:rsidRDefault="00B920AC" w:rsidP="00B920AC">
      <w:pPr>
        <w:rPr>
          <w:lang w:val="en-GB"/>
        </w:rPr>
      </w:pPr>
      <w:r>
        <w:rPr>
          <w:lang w:val="en-GB"/>
        </w:rPr>
        <w:t xml:space="preserve">Weekly or longer is suitable for different type of tasks. As you have more time and are working on longer time horizon, you should look at both the big picture and look ahead. </w:t>
      </w:r>
    </w:p>
    <w:p w14:paraId="358594E3" w14:textId="4F7EBD3A" w:rsidR="00EC5268" w:rsidRDefault="00EC5268" w:rsidP="00B920AC">
      <w:pPr>
        <w:rPr>
          <w:lang w:val="en-GB"/>
        </w:rPr>
      </w:pPr>
      <w:r>
        <w:rPr>
          <w:lang w:val="en-GB"/>
        </w:rPr>
        <w:t>The end of the week is a good time to document the changes and lesson learned from the week, and plan ahead for the next week.</w:t>
      </w:r>
    </w:p>
    <w:p w14:paraId="4A464268" w14:textId="77777777" w:rsidR="00EC5268" w:rsidRPr="00B920AC" w:rsidRDefault="00EC5268" w:rsidP="00EC5268">
      <w:pPr>
        <w:pStyle w:val="BeforeTable"/>
        <w:rPr>
          <w:lang w:val="en-GB"/>
        </w:rPr>
      </w:pPr>
    </w:p>
    <w:tbl>
      <w:tblPr>
        <w:tblStyle w:val="TableGrid"/>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530"/>
        <w:gridCol w:w="8960"/>
      </w:tblGrid>
      <w:tr w:rsidR="00380AFB" w:rsidRPr="009701A8" w14:paraId="7C26FD11" w14:textId="77777777" w:rsidTr="00380AFB">
        <w:tc>
          <w:tcPr>
            <w:tcW w:w="1530" w:type="dxa"/>
            <w:vMerge w:val="restart"/>
          </w:tcPr>
          <w:p w14:paraId="351576CC" w14:textId="77777777" w:rsidR="00380AFB" w:rsidRPr="00380AFB" w:rsidRDefault="00380AFB" w:rsidP="00E440AB">
            <w:pPr>
              <w:pStyle w:val="Tablecontent"/>
              <w:rPr>
                <w:b/>
                <w:bCs/>
              </w:rPr>
            </w:pPr>
            <w:r w:rsidRPr="00380AFB">
              <w:rPr>
                <w:b/>
                <w:bCs/>
              </w:rPr>
              <w:t>Capacity</w:t>
            </w:r>
          </w:p>
        </w:tc>
        <w:tc>
          <w:tcPr>
            <w:tcW w:w="8960" w:type="dxa"/>
          </w:tcPr>
          <w:p w14:paraId="137B4C33" w14:textId="77777777" w:rsidR="00380AFB" w:rsidRPr="009701A8" w:rsidRDefault="00380AFB" w:rsidP="00E440AB">
            <w:pPr>
              <w:pStyle w:val="Tablecontent"/>
            </w:pPr>
            <w:r w:rsidRPr="009701A8">
              <w:rPr>
                <w:rFonts w:ascii="Calibri" w:hAnsi="Calibri" w:cs="Calibri"/>
                <w:color w:val="000000" w:themeColor="text1"/>
                <w:kern w:val="24"/>
              </w:rPr>
              <w:t>Capacity monitoring and planning. Check actual growth vs projection (plan)</w:t>
            </w:r>
          </w:p>
        </w:tc>
      </w:tr>
      <w:tr w:rsidR="00380AFB" w:rsidRPr="009701A8" w14:paraId="513CFFEC" w14:textId="77777777" w:rsidTr="00380AFB">
        <w:tc>
          <w:tcPr>
            <w:tcW w:w="1530" w:type="dxa"/>
            <w:vMerge/>
          </w:tcPr>
          <w:p w14:paraId="4395EB81" w14:textId="77777777" w:rsidR="00380AFB" w:rsidRPr="00380AFB" w:rsidRDefault="00380AFB" w:rsidP="00E440AB">
            <w:pPr>
              <w:pStyle w:val="Tablecontent"/>
              <w:rPr>
                <w:b/>
                <w:bCs/>
              </w:rPr>
            </w:pPr>
          </w:p>
        </w:tc>
        <w:tc>
          <w:tcPr>
            <w:tcW w:w="8960" w:type="dxa"/>
          </w:tcPr>
          <w:p w14:paraId="69789019" w14:textId="77777777" w:rsidR="00380AFB" w:rsidRPr="009701A8" w:rsidRDefault="00380AFB" w:rsidP="00E440AB">
            <w:pPr>
              <w:pStyle w:val="Tablecontent"/>
            </w:pPr>
            <w:r w:rsidRPr="009701A8">
              <w:rPr>
                <w:rFonts w:ascii="Calibri" w:hAnsi="Calibri" w:cs="Calibri"/>
                <w:color w:val="000000" w:themeColor="text1"/>
                <w:kern w:val="24"/>
              </w:rPr>
              <w:t>Reclamation Process. VM rightsizing, Idle VM, etc.</w:t>
            </w:r>
            <w:r>
              <w:rPr>
                <w:rFonts w:ascii="Calibri" w:hAnsi="Calibri" w:cs="Calibri"/>
                <w:color w:val="000000" w:themeColor="text1"/>
                <w:kern w:val="24"/>
              </w:rPr>
              <w:t xml:space="preserve"> This can be done weekly as you need to deal with the VM owners.</w:t>
            </w:r>
          </w:p>
        </w:tc>
      </w:tr>
      <w:tr w:rsidR="00EC5268" w:rsidRPr="009701A8" w14:paraId="2DAEBDC0" w14:textId="77777777" w:rsidTr="00380AFB">
        <w:tc>
          <w:tcPr>
            <w:tcW w:w="1530" w:type="dxa"/>
          </w:tcPr>
          <w:p w14:paraId="47A8A12B" w14:textId="656EF5B2" w:rsidR="00EC5268" w:rsidRPr="00380AFB" w:rsidRDefault="00EC5268" w:rsidP="00E440AB">
            <w:pPr>
              <w:pStyle w:val="Tablecontent"/>
              <w:rPr>
                <w:b/>
                <w:bCs/>
              </w:rPr>
            </w:pPr>
            <w:r>
              <w:rPr>
                <w:b/>
                <w:bCs/>
              </w:rPr>
              <w:t>Compliance</w:t>
            </w:r>
          </w:p>
        </w:tc>
        <w:tc>
          <w:tcPr>
            <w:tcW w:w="8960" w:type="dxa"/>
          </w:tcPr>
          <w:p w14:paraId="2B3BBC2C" w14:textId="7EFFC03B" w:rsidR="00EC5268" w:rsidRPr="009701A8" w:rsidRDefault="00EC5268" w:rsidP="00E440AB">
            <w:pPr>
              <w:pStyle w:val="Tablecontent"/>
              <w:rPr>
                <w:rFonts w:ascii="Calibri" w:hAnsi="Calibri" w:cs="Calibri"/>
                <w:color w:val="000000" w:themeColor="text1"/>
                <w:kern w:val="24"/>
              </w:rPr>
            </w:pPr>
            <w:r w:rsidRPr="009701A8">
              <w:t xml:space="preserve">Root cause </w:t>
            </w:r>
            <w:r>
              <w:t xml:space="preserve">for non-compliance is </w:t>
            </w:r>
            <w:r w:rsidRPr="009701A8">
              <w:t xml:space="preserve">documented and preventive measurement </w:t>
            </w:r>
            <w:r>
              <w:t xml:space="preserve">is put in place </w:t>
            </w:r>
            <w:r w:rsidRPr="009701A8">
              <w:t>so it does not happen again.</w:t>
            </w:r>
          </w:p>
        </w:tc>
      </w:tr>
      <w:tr w:rsidR="00380AFB" w14:paraId="5CD723C4" w14:textId="77777777" w:rsidTr="00380AFB">
        <w:tc>
          <w:tcPr>
            <w:tcW w:w="1530" w:type="dxa"/>
            <w:vMerge w:val="restart"/>
          </w:tcPr>
          <w:p w14:paraId="3922A69B" w14:textId="77777777" w:rsidR="00380AFB" w:rsidRPr="00380AFB" w:rsidRDefault="00380AFB" w:rsidP="00E440AB">
            <w:pPr>
              <w:pStyle w:val="Tablecontent"/>
              <w:rPr>
                <w:rFonts w:ascii="Calibri" w:hAnsi="Calibri" w:cs="Calibri"/>
                <w:b/>
                <w:bCs/>
                <w:color w:val="000000" w:themeColor="text1"/>
                <w:kern w:val="24"/>
              </w:rPr>
            </w:pPr>
            <w:r w:rsidRPr="00380AFB">
              <w:rPr>
                <w:rFonts w:ascii="Calibri" w:hAnsi="Calibri" w:cs="Calibri"/>
                <w:b/>
                <w:bCs/>
                <w:color w:val="000000" w:themeColor="text1"/>
                <w:kern w:val="24"/>
              </w:rPr>
              <w:t>Configuration</w:t>
            </w:r>
          </w:p>
        </w:tc>
        <w:tc>
          <w:tcPr>
            <w:tcW w:w="8960" w:type="dxa"/>
          </w:tcPr>
          <w:p w14:paraId="015E5677" w14:textId="77777777" w:rsidR="00380AFB" w:rsidRDefault="00380AFB" w:rsidP="00E440AB">
            <w:pPr>
              <w:pStyle w:val="Tablecontent"/>
              <w:rPr>
                <w:rFonts w:ascii="Calibri" w:hAnsi="Calibri" w:cs="Calibri"/>
                <w:color w:val="000000" w:themeColor="text1"/>
                <w:kern w:val="24"/>
              </w:rPr>
            </w:pPr>
            <w:r>
              <w:rPr>
                <w:rFonts w:ascii="Calibri" w:hAnsi="Calibri" w:cs="Calibri"/>
                <w:color w:val="000000" w:themeColor="text1"/>
                <w:kern w:val="24"/>
              </w:rPr>
              <w:t xml:space="preserve">Minor </w:t>
            </w:r>
            <w:r w:rsidRPr="009701A8">
              <w:rPr>
                <w:rFonts w:ascii="Calibri" w:hAnsi="Calibri" w:cs="Calibri"/>
                <w:color w:val="000000" w:themeColor="text1"/>
                <w:kern w:val="24"/>
              </w:rPr>
              <w:t>update</w:t>
            </w:r>
            <w:r>
              <w:rPr>
                <w:rFonts w:ascii="Calibri" w:hAnsi="Calibri" w:cs="Calibri"/>
                <w:color w:val="000000" w:themeColor="text1"/>
                <w:kern w:val="24"/>
              </w:rPr>
              <w:t xml:space="preserve">. For example, from vSphere 7.0 U1 to U2. This is typically part of standard IT tech stack hygiene, where you keep up with the update from all your vendors while making sure they are compatible. This protects you from security non-compliant and emergency patch during business hours. </w:t>
            </w:r>
          </w:p>
          <w:p w14:paraId="1B27B1A7" w14:textId="77777777" w:rsidR="00380AFB" w:rsidRDefault="00380AFB" w:rsidP="00E440AB">
            <w:pPr>
              <w:pStyle w:val="Tablecontent"/>
              <w:rPr>
                <w:rFonts w:ascii="Calibri" w:hAnsi="Calibri" w:cs="Calibri"/>
                <w:color w:val="000000" w:themeColor="text1"/>
                <w:kern w:val="24"/>
              </w:rPr>
            </w:pPr>
            <w:r>
              <w:rPr>
                <w:rFonts w:ascii="Calibri" w:hAnsi="Calibri" w:cs="Calibri"/>
                <w:color w:val="000000" w:themeColor="text1"/>
                <w:kern w:val="24"/>
              </w:rPr>
              <w:lastRenderedPageBreak/>
              <w:t xml:space="preserve">Review does not mean immediate implementation. For example, there is a newer version of VMware Tools. You may decide to start implementation in 2 months, as you have 15K VM and you need to prioritize and batch them. </w:t>
            </w:r>
          </w:p>
        </w:tc>
      </w:tr>
      <w:tr w:rsidR="00380AFB" w:rsidRPr="009701A8" w14:paraId="4601480A" w14:textId="77777777" w:rsidTr="00380AFB">
        <w:tc>
          <w:tcPr>
            <w:tcW w:w="1530" w:type="dxa"/>
            <w:vMerge/>
          </w:tcPr>
          <w:p w14:paraId="1755B846" w14:textId="77777777" w:rsidR="00380AFB" w:rsidRPr="00380AFB" w:rsidRDefault="00380AFB" w:rsidP="00E440AB">
            <w:pPr>
              <w:pStyle w:val="Tablecontent"/>
              <w:rPr>
                <w:b/>
                <w:bCs/>
              </w:rPr>
            </w:pPr>
          </w:p>
        </w:tc>
        <w:tc>
          <w:tcPr>
            <w:tcW w:w="8960" w:type="dxa"/>
          </w:tcPr>
          <w:p w14:paraId="4E8B030F" w14:textId="198A31CC" w:rsidR="00380AFB" w:rsidRPr="009701A8" w:rsidRDefault="00380AFB" w:rsidP="00E440AB">
            <w:pPr>
              <w:pStyle w:val="Tablecontent"/>
            </w:pPr>
            <w:r>
              <w:rPr>
                <w:rFonts w:ascii="Calibri" w:hAnsi="Calibri" w:cs="Calibri"/>
                <w:color w:val="000000" w:themeColor="text1"/>
                <w:kern w:val="24"/>
              </w:rPr>
              <w:t xml:space="preserve">Major </w:t>
            </w:r>
            <w:r w:rsidRPr="009701A8">
              <w:rPr>
                <w:rFonts w:ascii="Calibri" w:hAnsi="Calibri" w:cs="Calibri"/>
                <w:color w:val="000000" w:themeColor="text1"/>
                <w:kern w:val="24"/>
              </w:rPr>
              <w:t xml:space="preserve">upgrade. For example, from vSphere 6.5 to </w:t>
            </w:r>
            <w:r>
              <w:rPr>
                <w:rFonts w:ascii="Calibri" w:hAnsi="Calibri" w:cs="Calibri"/>
                <w:color w:val="000000" w:themeColor="text1"/>
                <w:kern w:val="24"/>
              </w:rPr>
              <w:t>8</w:t>
            </w:r>
            <w:r w:rsidRPr="009701A8">
              <w:rPr>
                <w:rFonts w:ascii="Calibri" w:hAnsi="Calibri" w:cs="Calibri"/>
                <w:color w:val="000000" w:themeColor="text1"/>
                <w:kern w:val="24"/>
              </w:rPr>
              <w:t>.0</w:t>
            </w:r>
            <w:r>
              <w:rPr>
                <w:rFonts w:ascii="Calibri" w:hAnsi="Calibri" w:cs="Calibri"/>
                <w:color w:val="000000" w:themeColor="text1"/>
                <w:kern w:val="24"/>
              </w:rPr>
              <w:t xml:space="preserve">. This is typically a one-off project, as opposed to regular maintenance. The implementation is typically executed within a </w:t>
            </w:r>
            <w:r w:rsidR="0022569A" w:rsidRPr="0022569A">
              <w:rPr>
                <w:rFonts w:ascii="Calibri" w:hAnsi="Calibri" w:cs="Calibri"/>
                <w:color w:val="00B050"/>
                <w:kern w:val="24"/>
              </w:rPr>
              <w:t>green</w:t>
            </w:r>
            <w:r>
              <w:rPr>
                <w:rFonts w:ascii="Calibri" w:hAnsi="Calibri" w:cs="Calibri"/>
                <w:color w:val="000000" w:themeColor="text1"/>
                <w:kern w:val="24"/>
              </w:rPr>
              <w:t xml:space="preserve"> zone, so other regular maintenance may be deferred to make space. </w:t>
            </w:r>
          </w:p>
        </w:tc>
      </w:tr>
      <w:tr w:rsidR="001F65CC" w:rsidRPr="009701A8" w14:paraId="15253116" w14:textId="77777777" w:rsidTr="00380AFB">
        <w:tc>
          <w:tcPr>
            <w:tcW w:w="1530" w:type="dxa"/>
            <w:vMerge w:val="restart"/>
          </w:tcPr>
          <w:p w14:paraId="33D13851" w14:textId="77777777" w:rsidR="001F65CC" w:rsidRPr="00380AFB" w:rsidRDefault="001F65CC" w:rsidP="00E440AB">
            <w:pPr>
              <w:pStyle w:val="Tablecontent"/>
              <w:rPr>
                <w:b/>
                <w:bCs/>
              </w:rPr>
            </w:pPr>
            <w:r w:rsidRPr="00380AFB">
              <w:rPr>
                <w:rFonts w:ascii="Calibri" w:hAnsi="Calibri" w:cs="Calibri"/>
                <w:b/>
                <w:bCs/>
                <w:color w:val="000000" w:themeColor="text1"/>
                <w:kern w:val="24"/>
              </w:rPr>
              <w:t>Overall</w:t>
            </w:r>
          </w:p>
        </w:tc>
        <w:tc>
          <w:tcPr>
            <w:tcW w:w="8960" w:type="dxa"/>
          </w:tcPr>
          <w:p w14:paraId="7C6A4D52" w14:textId="77777777" w:rsidR="001F65CC" w:rsidRPr="009701A8" w:rsidRDefault="001F65CC" w:rsidP="00E440AB">
            <w:pPr>
              <w:pStyle w:val="Tablecontent"/>
            </w:pPr>
            <w:r w:rsidRPr="009701A8">
              <w:rPr>
                <w:rFonts w:ascii="Calibri" w:hAnsi="Calibri" w:cs="Calibri"/>
                <w:color w:val="000000" w:themeColor="text1"/>
                <w:kern w:val="24"/>
              </w:rPr>
              <w:t xml:space="preserve">Weekly Management Report. Focus on </w:t>
            </w:r>
            <w:r>
              <w:rPr>
                <w:rFonts w:ascii="Calibri" w:hAnsi="Calibri" w:cs="Calibri"/>
                <w:color w:val="000000" w:themeColor="text1"/>
                <w:kern w:val="24"/>
              </w:rPr>
              <w:t xml:space="preserve">reviewing the </w:t>
            </w:r>
            <w:r w:rsidRPr="009701A8">
              <w:rPr>
                <w:rFonts w:ascii="Calibri" w:hAnsi="Calibri" w:cs="Calibri"/>
                <w:color w:val="000000" w:themeColor="text1"/>
                <w:kern w:val="24"/>
              </w:rPr>
              <w:t>operations</w:t>
            </w:r>
            <w:r>
              <w:rPr>
                <w:rFonts w:ascii="Calibri" w:hAnsi="Calibri" w:cs="Calibri"/>
                <w:color w:val="000000" w:themeColor="text1"/>
                <w:kern w:val="24"/>
              </w:rPr>
              <w:t xml:space="preserve"> of the week, and plan for next week.</w:t>
            </w:r>
          </w:p>
        </w:tc>
      </w:tr>
      <w:tr w:rsidR="001F65CC" w:rsidRPr="009701A8" w14:paraId="2FB562F9" w14:textId="77777777" w:rsidTr="00380AFB">
        <w:tc>
          <w:tcPr>
            <w:tcW w:w="1530" w:type="dxa"/>
            <w:vMerge/>
          </w:tcPr>
          <w:p w14:paraId="2C66A7B7" w14:textId="77777777" w:rsidR="001F65CC" w:rsidRPr="00380AFB" w:rsidRDefault="001F65CC" w:rsidP="00E440AB">
            <w:pPr>
              <w:pStyle w:val="Tablecontent"/>
              <w:rPr>
                <w:rFonts w:ascii="Calibri" w:hAnsi="Calibri" w:cs="Calibri"/>
                <w:b/>
                <w:bCs/>
                <w:color w:val="000000" w:themeColor="text1"/>
                <w:kern w:val="24"/>
              </w:rPr>
            </w:pPr>
          </w:p>
        </w:tc>
        <w:tc>
          <w:tcPr>
            <w:tcW w:w="8960" w:type="dxa"/>
          </w:tcPr>
          <w:p w14:paraId="793CE1F5" w14:textId="2769C750" w:rsidR="001F65CC" w:rsidRPr="009701A8" w:rsidRDefault="001F65CC" w:rsidP="00E440AB">
            <w:pPr>
              <w:pStyle w:val="Tablecontent"/>
              <w:rPr>
                <w:rFonts w:ascii="Calibri" w:hAnsi="Calibri" w:cs="Calibri"/>
                <w:color w:val="000000" w:themeColor="text1"/>
                <w:kern w:val="24"/>
              </w:rPr>
            </w:pPr>
            <w:r>
              <w:rPr>
                <w:rFonts w:ascii="Calibri" w:hAnsi="Calibri" w:cs="Calibri"/>
                <w:color w:val="000000" w:themeColor="text1"/>
                <w:kern w:val="24"/>
              </w:rPr>
              <w:t>Review of ad-hoc events. What’s the lesson learned and can they be turned into an SOP and alert set up?</w:t>
            </w:r>
          </w:p>
        </w:tc>
      </w:tr>
    </w:tbl>
    <w:p w14:paraId="7563FFC3" w14:textId="087C7921" w:rsidR="00380AFB" w:rsidRDefault="00380AFB" w:rsidP="004B77ED">
      <w:pPr>
        <w:pStyle w:val="Heading6"/>
      </w:pPr>
      <w:r>
        <w:t>Monthly</w:t>
      </w:r>
    </w:p>
    <w:p w14:paraId="2A3FA70E" w14:textId="17A07060" w:rsidR="00EC5268" w:rsidRDefault="00EC5268" w:rsidP="00EC5268">
      <w:pPr>
        <w:rPr>
          <w:lang w:val="en-GB"/>
        </w:rPr>
      </w:pPr>
      <w:r>
        <w:rPr>
          <w:lang w:val="en-GB"/>
        </w:rPr>
        <w:t xml:space="preserve">The month serve as logical time period as human and business we relate well with the calendar months. There are different activities at the end of the month or the start of the month. </w:t>
      </w:r>
    </w:p>
    <w:p w14:paraId="3C8FA4CD" w14:textId="77777777" w:rsidR="00EC5268" w:rsidRPr="00EC5268" w:rsidRDefault="00EC5268" w:rsidP="00EC5268">
      <w:pPr>
        <w:pStyle w:val="BeforeTable"/>
        <w:rPr>
          <w:lang w:val="en-GB"/>
        </w:rPr>
      </w:pPr>
    </w:p>
    <w:tbl>
      <w:tblPr>
        <w:tblStyle w:val="TableGrid"/>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530"/>
        <w:gridCol w:w="8960"/>
      </w:tblGrid>
      <w:tr w:rsidR="00380AFB" w:rsidRPr="009701A8" w14:paraId="31CC311F" w14:textId="77777777" w:rsidTr="00380AFB">
        <w:tc>
          <w:tcPr>
            <w:tcW w:w="1530" w:type="dxa"/>
          </w:tcPr>
          <w:p w14:paraId="777A3F92" w14:textId="77777777" w:rsidR="00380AFB" w:rsidRPr="00380AFB" w:rsidRDefault="00380AFB" w:rsidP="00E440AB">
            <w:pPr>
              <w:pStyle w:val="Tablecontent"/>
              <w:rPr>
                <w:b/>
                <w:bCs/>
              </w:rPr>
            </w:pPr>
            <w:r w:rsidRPr="00380AFB">
              <w:rPr>
                <w:rFonts w:ascii="Calibri" w:hAnsi="Calibri" w:cs="Calibri"/>
                <w:b/>
                <w:bCs/>
                <w:color w:val="000000" w:themeColor="text1"/>
                <w:kern w:val="24"/>
              </w:rPr>
              <w:t>Availability</w:t>
            </w:r>
          </w:p>
        </w:tc>
        <w:tc>
          <w:tcPr>
            <w:tcW w:w="8960" w:type="dxa"/>
          </w:tcPr>
          <w:p w14:paraId="27E5B136" w14:textId="77777777" w:rsidR="00380AFB" w:rsidRPr="009701A8" w:rsidRDefault="00380AFB" w:rsidP="00E440AB">
            <w:pPr>
              <w:pStyle w:val="Tablecontent"/>
            </w:pPr>
            <w:r w:rsidRPr="009701A8">
              <w:rPr>
                <w:rFonts w:ascii="Calibri" w:hAnsi="Calibri" w:cs="Calibri"/>
                <w:color w:val="000000" w:themeColor="text1"/>
                <w:kern w:val="24"/>
              </w:rPr>
              <w:t>Restore test of backup. Make sure it can be restored and the data is readable.</w:t>
            </w:r>
          </w:p>
        </w:tc>
      </w:tr>
      <w:tr w:rsidR="00380AFB" w:rsidRPr="009701A8" w14:paraId="0B5517CC" w14:textId="77777777" w:rsidTr="00380AFB">
        <w:tc>
          <w:tcPr>
            <w:tcW w:w="1530" w:type="dxa"/>
          </w:tcPr>
          <w:p w14:paraId="01853733" w14:textId="77777777" w:rsidR="00380AFB" w:rsidRPr="00380AFB" w:rsidRDefault="00380AFB" w:rsidP="00E440AB">
            <w:pPr>
              <w:pStyle w:val="Tablecontent"/>
              <w:rPr>
                <w:rFonts w:ascii="Calibri" w:hAnsi="Calibri" w:cs="Calibri"/>
                <w:b/>
                <w:bCs/>
                <w:color w:val="000000" w:themeColor="text1"/>
                <w:kern w:val="24"/>
              </w:rPr>
            </w:pPr>
            <w:r w:rsidRPr="00380AFB">
              <w:rPr>
                <w:rFonts w:ascii="Calibri" w:hAnsi="Calibri" w:cs="Calibri"/>
                <w:b/>
                <w:bCs/>
                <w:color w:val="000000" w:themeColor="text1"/>
                <w:kern w:val="24"/>
              </w:rPr>
              <w:t>Configuration</w:t>
            </w:r>
          </w:p>
        </w:tc>
        <w:tc>
          <w:tcPr>
            <w:tcW w:w="8960" w:type="dxa"/>
          </w:tcPr>
          <w:p w14:paraId="6EA35732" w14:textId="77777777" w:rsidR="00380AFB" w:rsidRPr="009701A8" w:rsidRDefault="00380AFB" w:rsidP="00E440AB">
            <w:pPr>
              <w:pStyle w:val="Tablecontent"/>
              <w:rPr>
                <w:rFonts w:ascii="Calibri" w:hAnsi="Calibri" w:cs="Calibri"/>
                <w:color w:val="000000" w:themeColor="text1"/>
                <w:kern w:val="24"/>
              </w:rPr>
            </w:pPr>
            <w:r>
              <w:rPr>
                <w:rFonts w:ascii="Calibri" w:hAnsi="Calibri" w:cs="Calibri"/>
                <w:color w:val="000000" w:themeColor="text1"/>
                <w:kern w:val="24"/>
              </w:rPr>
              <w:t>Less urgent update. Review new versions and ensure you do not fall too far behind</w:t>
            </w:r>
          </w:p>
        </w:tc>
      </w:tr>
    </w:tbl>
    <w:p w14:paraId="6DA65BE3" w14:textId="77777777" w:rsidR="00380AFB" w:rsidRPr="00380AFB" w:rsidRDefault="00380AFB" w:rsidP="00380AFB">
      <w:pPr>
        <w:rPr>
          <w:lang w:val="en-GB"/>
        </w:rPr>
      </w:pPr>
    </w:p>
    <w:p w14:paraId="1238709F" w14:textId="3EB65EEA" w:rsidR="001E5930" w:rsidRDefault="001E5930" w:rsidP="004B77ED">
      <w:pPr>
        <w:pStyle w:val="Heading6"/>
      </w:pPr>
      <w:r>
        <w:t>Longer Cadence</w:t>
      </w:r>
    </w:p>
    <w:p w14:paraId="7FBB0754" w14:textId="42E7C962" w:rsidR="00F4492C" w:rsidRDefault="00F4492C" w:rsidP="00F4492C">
      <w:pPr>
        <w:rPr>
          <w:lang w:val="en-GB"/>
        </w:rPr>
      </w:pPr>
      <w:r>
        <w:rPr>
          <w:lang w:val="en-GB"/>
        </w:rPr>
        <w:t xml:space="preserve">You complement the above frequent SOP with </w:t>
      </w:r>
      <w:r w:rsidR="00F57EFE">
        <w:rPr>
          <w:lang w:val="en-GB"/>
        </w:rPr>
        <w:t>regular cadence with longer time horizon</w:t>
      </w:r>
      <w:r>
        <w:rPr>
          <w:lang w:val="en-GB"/>
        </w:rPr>
        <w:t xml:space="preserve">. </w:t>
      </w:r>
      <w:r w:rsidR="00F57EFE">
        <w:rPr>
          <w:lang w:val="en-GB"/>
        </w:rPr>
        <w:t>Naturally, the focus on big picture</w:t>
      </w:r>
      <w:r w:rsidR="009B3BF4">
        <w:rPr>
          <w:lang w:val="en-GB"/>
        </w:rPr>
        <w:t xml:space="preserve">, major project, and strategy. </w:t>
      </w:r>
    </w:p>
    <w:p w14:paraId="5125818D" w14:textId="77777777" w:rsidR="009B3BF4" w:rsidRPr="00F4492C" w:rsidRDefault="009B3BF4" w:rsidP="009B3BF4">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435"/>
        <w:gridCol w:w="1530"/>
        <w:gridCol w:w="7491"/>
      </w:tblGrid>
      <w:tr w:rsidR="0005321B" w:rsidRPr="009701A8" w14:paraId="69D44D82" w14:textId="77777777" w:rsidTr="000D2F3B">
        <w:tc>
          <w:tcPr>
            <w:tcW w:w="1435" w:type="dxa"/>
            <w:vMerge w:val="restart"/>
          </w:tcPr>
          <w:p w14:paraId="70F4FBC2" w14:textId="0C9B9F3B" w:rsidR="0005321B" w:rsidRPr="00050080" w:rsidRDefault="0005321B" w:rsidP="009701A8">
            <w:pPr>
              <w:pStyle w:val="Tablecontent"/>
              <w:rPr>
                <w:b/>
                <w:bCs/>
              </w:rPr>
            </w:pPr>
            <w:r w:rsidRPr="00050080">
              <w:rPr>
                <w:b/>
                <w:bCs/>
              </w:rPr>
              <w:t>Quarterly</w:t>
            </w:r>
          </w:p>
        </w:tc>
        <w:tc>
          <w:tcPr>
            <w:tcW w:w="1530" w:type="dxa"/>
          </w:tcPr>
          <w:p w14:paraId="016B425B" w14:textId="3EB032BF" w:rsidR="0005321B" w:rsidRPr="009701A8" w:rsidRDefault="0005321B" w:rsidP="009701A8">
            <w:pPr>
              <w:pStyle w:val="Tablecontent"/>
            </w:pPr>
            <w:r w:rsidRPr="009701A8">
              <w:rPr>
                <w:rFonts w:ascii="Calibri" w:hAnsi="Calibri" w:cs="Calibri"/>
                <w:color w:val="000000" w:themeColor="text1"/>
                <w:kern w:val="24"/>
              </w:rPr>
              <w:t>Overall</w:t>
            </w:r>
          </w:p>
        </w:tc>
        <w:tc>
          <w:tcPr>
            <w:tcW w:w="7491" w:type="dxa"/>
          </w:tcPr>
          <w:p w14:paraId="0ADD60B9" w14:textId="3FDEE097" w:rsidR="0005321B" w:rsidRPr="009701A8" w:rsidRDefault="0005321B" w:rsidP="009701A8">
            <w:pPr>
              <w:pStyle w:val="Tablecontent"/>
            </w:pPr>
            <w:r w:rsidRPr="009701A8">
              <w:rPr>
                <w:rFonts w:ascii="Calibri" w:hAnsi="Calibri" w:cs="Calibri"/>
                <w:color w:val="000000" w:themeColor="text1"/>
                <w:kern w:val="24"/>
              </w:rPr>
              <w:t>Quarterly Management Report. Focus on longer term items such budgeting.</w:t>
            </w:r>
          </w:p>
        </w:tc>
      </w:tr>
      <w:tr w:rsidR="0005321B" w:rsidRPr="009701A8" w14:paraId="4DFC045D" w14:textId="77777777" w:rsidTr="000D2F3B">
        <w:tc>
          <w:tcPr>
            <w:tcW w:w="1435" w:type="dxa"/>
            <w:vMerge/>
          </w:tcPr>
          <w:p w14:paraId="5F61ED92" w14:textId="77777777" w:rsidR="0005321B" w:rsidRPr="00050080" w:rsidRDefault="0005321B" w:rsidP="009701A8">
            <w:pPr>
              <w:pStyle w:val="Tablecontent"/>
              <w:rPr>
                <w:b/>
                <w:bCs/>
              </w:rPr>
            </w:pPr>
          </w:p>
        </w:tc>
        <w:tc>
          <w:tcPr>
            <w:tcW w:w="1530" w:type="dxa"/>
          </w:tcPr>
          <w:p w14:paraId="4AE3D60D" w14:textId="08979358" w:rsidR="0005321B" w:rsidRPr="009701A8" w:rsidRDefault="0005321B" w:rsidP="009701A8">
            <w:pPr>
              <w:pStyle w:val="Tablecontent"/>
            </w:pPr>
            <w:r w:rsidRPr="009701A8">
              <w:rPr>
                <w:rFonts w:ascii="Calibri" w:hAnsi="Calibri" w:cs="Calibri"/>
                <w:color w:val="000000" w:themeColor="text1"/>
                <w:kern w:val="24"/>
              </w:rPr>
              <w:t>Cost</w:t>
            </w:r>
          </w:p>
        </w:tc>
        <w:tc>
          <w:tcPr>
            <w:tcW w:w="7491" w:type="dxa"/>
          </w:tcPr>
          <w:p w14:paraId="21978CA9" w14:textId="645AC989" w:rsidR="0005321B" w:rsidRPr="009701A8" w:rsidRDefault="0005321B" w:rsidP="009701A8">
            <w:pPr>
              <w:pStyle w:val="Tablecontent"/>
            </w:pPr>
            <w:r w:rsidRPr="009701A8">
              <w:rPr>
                <w:rFonts w:ascii="Calibri" w:hAnsi="Calibri" w:cs="Calibri"/>
                <w:color w:val="000000" w:themeColor="text1"/>
                <w:kern w:val="24"/>
              </w:rPr>
              <w:t>Budgeting. Review actual versus plan</w:t>
            </w:r>
          </w:p>
        </w:tc>
      </w:tr>
      <w:tr w:rsidR="0005321B" w:rsidRPr="009701A8" w14:paraId="3BBC9AA7" w14:textId="77777777" w:rsidTr="000D2F3B">
        <w:tc>
          <w:tcPr>
            <w:tcW w:w="1435" w:type="dxa"/>
            <w:vMerge/>
          </w:tcPr>
          <w:p w14:paraId="771D012A" w14:textId="77777777" w:rsidR="0005321B" w:rsidRPr="00050080" w:rsidRDefault="0005321B" w:rsidP="009701A8">
            <w:pPr>
              <w:pStyle w:val="Tablecontent"/>
              <w:rPr>
                <w:b/>
                <w:bCs/>
              </w:rPr>
            </w:pPr>
          </w:p>
        </w:tc>
        <w:tc>
          <w:tcPr>
            <w:tcW w:w="1530" w:type="dxa"/>
          </w:tcPr>
          <w:p w14:paraId="2EC291C2" w14:textId="39FC5529" w:rsidR="0005321B" w:rsidRPr="009701A8" w:rsidRDefault="0005321B" w:rsidP="009701A8">
            <w:pPr>
              <w:pStyle w:val="Tablecontent"/>
            </w:pPr>
            <w:r w:rsidRPr="009701A8">
              <w:rPr>
                <w:rFonts w:ascii="Calibri" w:hAnsi="Calibri" w:cs="Calibri"/>
                <w:color w:val="000000" w:themeColor="text1"/>
                <w:kern w:val="24"/>
              </w:rPr>
              <w:t>Availability</w:t>
            </w:r>
          </w:p>
        </w:tc>
        <w:tc>
          <w:tcPr>
            <w:tcW w:w="7491" w:type="dxa"/>
          </w:tcPr>
          <w:p w14:paraId="795E8FB9" w14:textId="09F26DF5" w:rsidR="0005321B" w:rsidRPr="009701A8" w:rsidRDefault="0005321B" w:rsidP="009701A8">
            <w:pPr>
              <w:pStyle w:val="Tablecontent"/>
            </w:pPr>
            <w:r w:rsidRPr="009701A8">
              <w:rPr>
                <w:rFonts w:ascii="Calibri" w:hAnsi="Calibri" w:cs="Calibri"/>
                <w:color w:val="000000" w:themeColor="text1"/>
                <w:kern w:val="24"/>
              </w:rPr>
              <w:t>DR Test (Production is still running). Isolate the network. To ensure users are comfortable with the procedure when actual DR strikes.</w:t>
            </w:r>
          </w:p>
        </w:tc>
      </w:tr>
      <w:tr w:rsidR="009701A8" w:rsidRPr="009701A8" w14:paraId="542575D9" w14:textId="77777777" w:rsidTr="000D2F3B">
        <w:tc>
          <w:tcPr>
            <w:tcW w:w="1435" w:type="dxa"/>
          </w:tcPr>
          <w:p w14:paraId="0D749801" w14:textId="1CA5317D" w:rsidR="009701A8" w:rsidRPr="00050080" w:rsidRDefault="0005321B" w:rsidP="009701A8">
            <w:pPr>
              <w:pStyle w:val="Tablecontent"/>
              <w:rPr>
                <w:b/>
                <w:bCs/>
              </w:rPr>
            </w:pPr>
            <w:r w:rsidRPr="00050080">
              <w:rPr>
                <w:b/>
                <w:bCs/>
              </w:rPr>
              <w:t>Half-yearly</w:t>
            </w:r>
          </w:p>
        </w:tc>
        <w:tc>
          <w:tcPr>
            <w:tcW w:w="1530" w:type="dxa"/>
          </w:tcPr>
          <w:p w14:paraId="4CF8222C" w14:textId="205BD698" w:rsidR="009701A8" w:rsidRPr="009701A8" w:rsidRDefault="009701A8" w:rsidP="009701A8">
            <w:pPr>
              <w:pStyle w:val="Tablecontent"/>
            </w:pPr>
            <w:r w:rsidRPr="009701A8">
              <w:rPr>
                <w:rFonts w:ascii="Calibri" w:hAnsi="Calibri" w:cs="Calibri"/>
                <w:color w:val="000000" w:themeColor="text1"/>
                <w:kern w:val="24"/>
              </w:rPr>
              <w:t>Availability</w:t>
            </w:r>
          </w:p>
        </w:tc>
        <w:tc>
          <w:tcPr>
            <w:tcW w:w="7491" w:type="dxa"/>
          </w:tcPr>
          <w:p w14:paraId="6643DA95" w14:textId="3470F3AC" w:rsidR="009701A8" w:rsidRPr="009701A8" w:rsidRDefault="009701A8" w:rsidP="009701A8">
            <w:pPr>
              <w:pStyle w:val="Tablecontent"/>
            </w:pPr>
            <w:r w:rsidRPr="009701A8">
              <w:rPr>
                <w:rFonts w:ascii="Calibri" w:hAnsi="Calibri" w:cs="Calibri"/>
                <w:color w:val="000000" w:themeColor="text1"/>
                <w:kern w:val="24"/>
              </w:rPr>
              <w:t xml:space="preserve">HA Test. Actual test that your HA works as intended. Covers vSphere, physical switches, storage array, etc. </w:t>
            </w:r>
          </w:p>
        </w:tc>
      </w:tr>
      <w:tr w:rsidR="003B229B" w:rsidRPr="009701A8" w14:paraId="1A3E9400" w14:textId="77777777" w:rsidTr="000D2F3B">
        <w:tc>
          <w:tcPr>
            <w:tcW w:w="1435" w:type="dxa"/>
            <w:vMerge w:val="restart"/>
          </w:tcPr>
          <w:p w14:paraId="4F1933B1" w14:textId="2AD837EC" w:rsidR="003B229B" w:rsidRPr="00050080" w:rsidRDefault="003B229B" w:rsidP="009701A8">
            <w:pPr>
              <w:pStyle w:val="Tablecontent"/>
              <w:rPr>
                <w:b/>
                <w:bCs/>
              </w:rPr>
            </w:pPr>
            <w:r w:rsidRPr="00050080">
              <w:rPr>
                <w:b/>
                <w:bCs/>
              </w:rPr>
              <w:t>Yearly</w:t>
            </w:r>
          </w:p>
        </w:tc>
        <w:tc>
          <w:tcPr>
            <w:tcW w:w="1530" w:type="dxa"/>
          </w:tcPr>
          <w:p w14:paraId="14E0E5DE" w14:textId="7E4450BE" w:rsidR="003B229B" w:rsidRPr="009701A8" w:rsidRDefault="003B229B" w:rsidP="009701A8">
            <w:pPr>
              <w:pStyle w:val="Tablecontent"/>
            </w:pPr>
            <w:r w:rsidRPr="009701A8">
              <w:rPr>
                <w:rFonts w:ascii="Calibri" w:hAnsi="Calibri" w:cs="Calibri"/>
                <w:color w:val="000000" w:themeColor="text1"/>
                <w:kern w:val="24"/>
              </w:rPr>
              <w:t>Availability</w:t>
            </w:r>
          </w:p>
        </w:tc>
        <w:tc>
          <w:tcPr>
            <w:tcW w:w="7491" w:type="dxa"/>
          </w:tcPr>
          <w:p w14:paraId="12DF43F4" w14:textId="6C40D2A4" w:rsidR="003B229B" w:rsidRPr="009701A8" w:rsidRDefault="003B229B" w:rsidP="009701A8">
            <w:pPr>
              <w:pStyle w:val="Tablecontent"/>
            </w:pPr>
            <w:r w:rsidRPr="009701A8">
              <w:rPr>
                <w:rFonts w:ascii="Calibri" w:hAnsi="Calibri" w:cs="Calibri"/>
                <w:color w:val="000000" w:themeColor="text1"/>
                <w:kern w:val="24"/>
              </w:rPr>
              <w:t>Actual DR Failover (Production not running) and Failback to primary DC</w:t>
            </w:r>
          </w:p>
        </w:tc>
      </w:tr>
      <w:tr w:rsidR="003B229B" w14:paraId="2BBBD7EC" w14:textId="77777777" w:rsidTr="000D2F3B">
        <w:tc>
          <w:tcPr>
            <w:tcW w:w="1435" w:type="dxa"/>
            <w:vMerge/>
          </w:tcPr>
          <w:p w14:paraId="4649681A" w14:textId="77777777" w:rsidR="003B229B" w:rsidRPr="00050080" w:rsidRDefault="003B229B" w:rsidP="009701A8">
            <w:pPr>
              <w:pStyle w:val="Tablecontent"/>
              <w:rPr>
                <w:b/>
                <w:bCs/>
              </w:rPr>
            </w:pPr>
          </w:p>
        </w:tc>
        <w:tc>
          <w:tcPr>
            <w:tcW w:w="1530" w:type="dxa"/>
          </w:tcPr>
          <w:p w14:paraId="092B8993" w14:textId="1DDA8CD3" w:rsidR="003B229B" w:rsidRDefault="003B229B" w:rsidP="009701A8">
            <w:pPr>
              <w:pStyle w:val="Tablecontent"/>
            </w:pPr>
            <w:r>
              <w:rPr>
                <w:rFonts w:ascii="Calibri" w:hAnsi="Calibri" w:cs="Calibri"/>
                <w:color w:val="000000" w:themeColor="text1"/>
                <w:kern w:val="24"/>
              </w:rPr>
              <w:t>Capacity</w:t>
            </w:r>
          </w:p>
        </w:tc>
        <w:tc>
          <w:tcPr>
            <w:tcW w:w="7491" w:type="dxa"/>
          </w:tcPr>
          <w:p w14:paraId="66497935" w14:textId="0DDDD086" w:rsidR="003B229B" w:rsidRDefault="003B229B" w:rsidP="009701A8">
            <w:pPr>
              <w:pStyle w:val="Tablecontent"/>
            </w:pPr>
            <w:r>
              <w:rPr>
                <w:rFonts w:ascii="Calibri" w:hAnsi="Calibri" w:cs="Calibri"/>
                <w:color w:val="000000" w:themeColor="text1"/>
                <w:kern w:val="24"/>
              </w:rPr>
              <w:t xml:space="preserve">Inventory Stock Take. To discover unused VMs and physical items in datacenter </w:t>
            </w:r>
          </w:p>
        </w:tc>
      </w:tr>
      <w:tr w:rsidR="009701A8" w14:paraId="2802D5FE" w14:textId="77777777" w:rsidTr="000D2F3B">
        <w:tc>
          <w:tcPr>
            <w:tcW w:w="1435" w:type="dxa"/>
          </w:tcPr>
          <w:p w14:paraId="54B144D0" w14:textId="6C9F3715" w:rsidR="009701A8" w:rsidRPr="00050080" w:rsidRDefault="003B229B" w:rsidP="009701A8">
            <w:pPr>
              <w:pStyle w:val="Tablecontent"/>
              <w:rPr>
                <w:b/>
                <w:bCs/>
              </w:rPr>
            </w:pPr>
            <w:r w:rsidRPr="00050080">
              <w:rPr>
                <w:b/>
                <w:bCs/>
              </w:rPr>
              <w:t>Ad-hoc</w:t>
            </w:r>
          </w:p>
        </w:tc>
        <w:tc>
          <w:tcPr>
            <w:tcW w:w="1530" w:type="dxa"/>
          </w:tcPr>
          <w:p w14:paraId="2FA9B103" w14:textId="6459419C" w:rsidR="009701A8" w:rsidRDefault="009701A8" w:rsidP="009701A8">
            <w:pPr>
              <w:pStyle w:val="Tablecontent"/>
            </w:pPr>
            <w:r>
              <w:rPr>
                <w:rFonts w:ascii="Calibri" w:hAnsi="Calibri" w:cs="Calibri"/>
                <w:color w:val="000000" w:themeColor="text1"/>
                <w:kern w:val="24"/>
              </w:rPr>
              <w:t xml:space="preserve">Capacity </w:t>
            </w:r>
          </w:p>
        </w:tc>
        <w:tc>
          <w:tcPr>
            <w:tcW w:w="7491" w:type="dxa"/>
          </w:tcPr>
          <w:p w14:paraId="1BF88494" w14:textId="0E0C5FB8" w:rsidR="009701A8" w:rsidRDefault="00380AFB" w:rsidP="009701A8">
            <w:pPr>
              <w:pStyle w:val="Tablecontent"/>
            </w:pPr>
            <w:r>
              <w:t xml:space="preserve">Unexpected demand. This is why it’s important for capacity team to stay close with the business, especially the one working on major initiatives. </w:t>
            </w:r>
          </w:p>
        </w:tc>
      </w:tr>
    </w:tbl>
    <w:p w14:paraId="3882C1DE" w14:textId="3D414D4E" w:rsidR="00540F68" w:rsidRDefault="00540F68" w:rsidP="00540F68">
      <w:pPr>
        <w:pStyle w:val="Heading5"/>
      </w:pPr>
      <w:r>
        <w:lastRenderedPageBreak/>
        <w:t>VM Life Cycle</w:t>
      </w:r>
    </w:p>
    <w:p w14:paraId="23A09C0A" w14:textId="5DEE966F" w:rsidR="00050080" w:rsidRDefault="00050080" w:rsidP="00050080">
      <w:pPr>
        <w:rPr>
          <w:lang w:val="en-GB"/>
        </w:rPr>
      </w:pPr>
      <w:r>
        <w:rPr>
          <w:lang w:val="en-GB"/>
        </w:rPr>
        <w:t xml:space="preserve">This should be supported with an approval system, so all Change Request and associated actions are properly recorded. This </w:t>
      </w:r>
      <w:r w:rsidR="000E7E9E">
        <w:rPr>
          <w:lang w:val="en-GB"/>
        </w:rPr>
        <w:t xml:space="preserve">eliminates finger-pointing in the future. It </w:t>
      </w:r>
      <w:r>
        <w:rPr>
          <w:lang w:val="en-GB"/>
        </w:rPr>
        <w:t xml:space="preserve">will </w:t>
      </w:r>
      <w:r w:rsidR="000E7E9E">
        <w:rPr>
          <w:lang w:val="en-GB"/>
        </w:rPr>
        <w:t xml:space="preserve">also </w:t>
      </w:r>
      <w:r>
        <w:rPr>
          <w:lang w:val="en-GB"/>
        </w:rPr>
        <w:t>support audit</w:t>
      </w:r>
      <w:r w:rsidR="000E7E9E">
        <w:rPr>
          <w:lang w:val="en-GB"/>
        </w:rPr>
        <w:t>, who is keen on “who did what change to which object on when”</w:t>
      </w:r>
    </w:p>
    <w:p w14:paraId="7F901669" w14:textId="77777777" w:rsidR="00050080" w:rsidRPr="00050080" w:rsidRDefault="00050080" w:rsidP="00050080">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440"/>
        <w:gridCol w:w="9016"/>
      </w:tblGrid>
      <w:tr w:rsidR="00540F68" w14:paraId="42B6CB2D" w14:textId="77777777" w:rsidTr="00E440AB">
        <w:tc>
          <w:tcPr>
            <w:tcW w:w="1440" w:type="dxa"/>
            <w:shd w:val="clear" w:color="auto" w:fill="F2F2F2" w:themeFill="background1" w:themeFillShade="F2"/>
          </w:tcPr>
          <w:p w14:paraId="6BA35554" w14:textId="039E0F54" w:rsidR="00540F68" w:rsidRDefault="00540F68" w:rsidP="00E440AB">
            <w:pPr>
              <w:pStyle w:val="Tableheading"/>
            </w:pPr>
            <w:r>
              <w:t>Stage</w:t>
            </w:r>
          </w:p>
        </w:tc>
        <w:tc>
          <w:tcPr>
            <w:tcW w:w="9016" w:type="dxa"/>
            <w:shd w:val="clear" w:color="auto" w:fill="F2F2F2" w:themeFill="background1" w:themeFillShade="F2"/>
          </w:tcPr>
          <w:p w14:paraId="740D710C" w14:textId="4F04F1CF" w:rsidR="00540F68" w:rsidRDefault="00050080" w:rsidP="00E440AB">
            <w:pPr>
              <w:pStyle w:val="Tableheading"/>
            </w:pPr>
            <w:r>
              <w:t>Notes</w:t>
            </w:r>
          </w:p>
        </w:tc>
      </w:tr>
      <w:tr w:rsidR="00540F68" w14:paraId="04723E87" w14:textId="77777777" w:rsidTr="00E440AB">
        <w:tc>
          <w:tcPr>
            <w:tcW w:w="1440" w:type="dxa"/>
          </w:tcPr>
          <w:p w14:paraId="799D53E3" w14:textId="4D1F4A2F" w:rsidR="00540F68" w:rsidRDefault="00540F68" w:rsidP="00E440AB">
            <w:pPr>
              <w:pStyle w:val="Tablecontent"/>
            </w:pPr>
            <w:r>
              <w:t>Request</w:t>
            </w:r>
          </w:p>
        </w:tc>
        <w:tc>
          <w:tcPr>
            <w:tcW w:w="9016" w:type="dxa"/>
          </w:tcPr>
          <w:p w14:paraId="55914759" w14:textId="77777777" w:rsidR="00540F68" w:rsidRDefault="00540F68" w:rsidP="00E440AB">
            <w:pPr>
              <w:pStyle w:val="Tablecontent"/>
            </w:pPr>
            <w:r>
              <w:t xml:space="preserve">If VM is free (price is basically $0), then rely on business justification and IT policy. Policy states </w:t>
            </w:r>
            <w:r w:rsidR="001D6065">
              <w:t xml:space="preserve">the criteria for the different class of services. </w:t>
            </w:r>
          </w:p>
          <w:p w14:paraId="23A823CD" w14:textId="05979AA8" w:rsidR="001D6065" w:rsidRDefault="001D6065" w:rsidP="00E440AB">
            <w:pPr>
              <w:pStyle w:val="Tablecontent"/>
            </w:pPr>
            <w:r>
              <w:t>VM size is requested by the application team, approved by their management. For size or quantity above certain threshold, IT should review.</w:t>
            </w:r>
          </w:p>
        </w:tc>
      </w:tr>
      <w:tr w:rsidR="00540F68" w14:paraId="07B20CF8" w14:textId="77777777" w:rsidTr="00E440AB">
        <w:tc>
          <w:tcPr>
            <w:tcW w:w="1440" w:type="dxa"/>
          </w:tcPr>
          <w:p w14:paraId="2DD5665C" w14:textId="60B9647E" w:rsidR="00540F68" w:rsidRDefault="00540F68" w:rsidP="00E440AB">
            <w:pPr>
              <w:pStyle w:val="Tablecontent"/>
            </w:pPr>
            <w:r>
              <w:t>Creation</w:t>
            </w:r>
          </w:p>
        </w:tc>
        <w:tc>
          <w:tcPr>
            <w:tcW w:w="9016" w:type="dxa"/>
          </w:tcPr>
          <w:p w14:paraId="5ECBC53F" w14:textId="77777777" w:rsidR="00540F68" w:rsidRDefault="001D6065" w:rsidP="00E440AB">
            <w:pPr>
              <w:pStyle w:val="Tablecontent"/>
            </w:pPr>
            <w:r>
              <w:t>The actual deployment of the VM in vCenter. This is ideally automated.</w:t>
            </w:r>
          </w:p>
          <w:p w14:paraId="69DE399D" w14:textId="77777777" w:rsidR="001D6065" w:rsidRDefault="001D6065" w:rsidP="00E440AB">
            <w:pPr>
              <w:pStyle w:val="Tablecontent"/>
            </w:pPr>
            <w:r>
              <w:t xml:space="preserve">This stage generates the actual VM name, create folders if necessary, place the VM into the correct folder, </w:t>
            </w:r>
          </w:p>
          <w:p w14:paraId="6EC49C6E" w14:textId="5C163939" w:rsidR="001D6065" w:rsidRDefault="001D6065" w:rsidP="00E440AB">
            <w:pPr>
              <w:pStyle w:val="Tablecontent"/>
            </w:pPr>
            <w:r>
              <w:t>Once the VM object is registered in vRealize Operations, create the custom group is necessary, and set the custom property</w:t>
            </w:r>
          </w:p>
        </w:tc>
      </w:tr>
      <w:tr w:rsidR="00540F68" w14:paraId="4A26D965" w14:textId="77777777" w:rsidTr="00E440AB">
        <w:tc>
          <w:tcPr>
            <w:tcW w:w="1440" w:type="dxa"/>
          </w:tcPr>
          <w:p w14:paraId="01C82C2B" w14:textId="7FF25979" w:rsidR="00540F68" w:rsidRDefault="00540F68" w:rsidP="00E440AB">
            <w:pPr>
              <w:pStyle w:val="Tablecontent"/>
            </w:pPr>
            <w:r>
              <w:t>Changes</w:t>
            </w:r>
          </w:p>
        </w:tc>
        <w:tc>
          <w:tcPr>
            <w:tcW w:w="9016" w:type="dxa"/>
          </w:tcPr>
          <w:p w14:paraId="77531A5A" w14:textId="10ABAFD4" w:rsidR="00050080" w:rsidRDefault="00050080" w:rsidP="00DD57A0">
            <w:pPr>
              <w:pStyle w:val="Tablecontent"/>
            </w:pPr>
            <w:r>
              <w:t>Changes on VM size needs to be approved as it impact</w:t>
            </w:r>
            <w:r w:rsidR="00DD57A0">
              <w:t>s</w:t>
            </w:r>
            <w:r>
              <w:t xml:space="preserve"> capacity and performance. If you have to use shares and reservation, ensure they are updated </w:t>
            </w:r>
            <w:r w:rsidR="00DD57A0">
              <w:t>accordingly.</w:t>
            </w:r>
          </w:p>
        </w:tc>
      </w:tr>
      <w:tr w:rsidR="00540F68" w14:paraId="023C34E5" w14:textId="77777777" w:rsidTr="00E440AB">
        <w:tc>
          <w:tcPr>
            <w:tcW w:w="1440" w:type="dxa"/>
          </w:tcPr>
          <w:p w14:paraId="44E6635E" w14:textId="28C37F20" w:rsidR="00540F68" w:rsidRDefault="00540F68" w:rsidP="00E440AB">
            <w:pPr>
              <w:pStyle w:val="Tablecontent"/>
            </w:pPr>
            <w:r>
              <w:t>Retire</w:t>
            </w:r>
          </w:p>
        </w:tc>
        <w:tc>
          <w:tcPr>
            <w:tcW w:w="9016" w:type="dxa"/>
          </w:tcPr>
          <w:p w14:paraId="557EF2FA" w14:textId="1E128961" w:rsidR="00540F68" w:rsidRDefault="000E7E9E" w:rsidP="00050080">
            <w:pPr>
              <w:pStyle w:val="Tablecontent"/>
            </w:pPr>
            <w:r>
              <w:t>D</w:t>
            </w:r>
            <w:r w:rsidR="001D6065">
              <w:t xml:space="preserve">elete the VM and remove it from inventory. </w:t>
            </w:r>
          </w:p>
        </w:tc>
      </w:tr>
    </w:tbl>
    <w:p w14:paraId="65C0A72D" w14:textId="3130CF05" w:rsidR="00A8378A" w:rsidRDefault="00393D21" w:rsidP="00AC6E1E">
      <w:pPr>
        <w:pStyle w:val="Heading4"/>
      </w:pPr>
      <w:r>
        <w:t>The People</w:t>
      </w:r>
    </w:p>
    <w:p w14:paraId="2ADA5971" w14:textId="1D8D3985" w:rsidR="00A8378A" w:rsidRDefault="00A8378A" w:rsidP="00A8378A">
      <w:r>
        <w:t xml:space="preserve">There are many </w:t>
      </w:r>
      <w:r w:rsidR="000A026E">
        <w:t>personas</w:t>
      </w:r>
      <w:r>
        <w:t xml:space="preserve"> required to keep the operations running well. Some are directly involved on the </w:t>
      </w:r>
      <w:r w:rsidR="000D2339">
        <w:t>day-to-day</w:t>
      </w:r>
      <w:r>
        <w:t xml:space="preserve"> operations, while others focus on the big picture</w:t>
      </w:r>
      <w:r w:rsidR="007E5EDF">
        <w:t>, hence requiring longer time frame</w:t>
      </w:r>
      <w:r>
        <w:t>. In small organisation, the roles are played by the same few people, backing up each other. You can have 3 people doing everything with no structure, or 300 people with clear demarcation</w:t>
      </w:r>
      <w:r w:rsidR="007E5EDF">
        <w:t xml:space="preserve"> and formal hierarchy</w:t>
      </w:r>
      <w:r>
        <w:t>. Regardless, the job</w:t>
      </w:r>
      <w:r w:rsidR="007E5EDF">
        <w:t>s</w:t>
      </w:r>
      <w:r>
        <w:t xml:space="preserve"> still need to be done, so document all the roles and responsibilities.</w:t>
      </w:r>
    </w:p>
    <w:p w14:paraId="4DE45658" w14:textId="5D7A5086" w:rsidR="00090B60" w:rsidRPr="00E90A32" w:rsidRDefault="00090B60" w:rsidP="00A8378A">
      <w:r>
        <w:t>There is a many to many relationship between “</w:t>
      </w:r>
      <w:r w:rsidRPr="00EA7297">
        <w:rPr>
          <w:color w:val="00B0F0"/>
        </w:rPr>
        <w:t>jobs to be done</w:t>
      </w:r>
      <w:r>
        <w:t xml:space="preserve">” and persona. It reflects the dynamic nature of live operations. </w:t>
      </w:r>
      <w:r w:rsidR="00EC5268">
        <w:t>You have team members taking leave or away, hence need someone else to step in on an ad-hoc basis.</w:t>
      </w:r>
    </w:p>
    <w:p w14:paraId="15A613B4" w14:textId="77777777" w:rsidR="00A8378A" w:rsidRDefault="00A8378A" w:rsidP="00A8378A">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22"/>
        <w:gridCol w:w="8334"/>
      </w:tblGrid>
      <w:tr w:rsidR="00A8378A" w14:paraId="15C31E82" w14:textId="77777777" w:rsidTr="00686EE0">
        <w:tc>
          <w:tcPr>
            <w:tcW w:w="2122" w:type="dxa"/>
            <w:shd w:val="clear" w:color="auto" w:fill="F2F2F2" w:themeFill="background1" w:themeFillShade="F2"/>
          </w:tcPr>
          <w:p w14:paraId="1F4E9717" w14:textId="2A6A04FD" w:rsidR="00A8378A" w:rsidRPr="006F015B" w:rsidRDefault="00A8378A" w:rsidP="005321A6">
            <w:pPr>
              <w:pStyle w:val="Tablecontent"/>
              <w:rPr>
                <w:b/>
                <w:bCs/>
              </w:rPr>
            </w:pPr>
            <w:r>
              <w:rPr>
                <w:b/>
                <w:bCs/>
              </w:rPr>
              <w:t>Level 1 Op</w:t>
            </w:r>
            <w:r w:rsidR="00424304">
              <w:rPr>
                <w:b/>
                <w:bCs/>
              </w:rPr>
              <w:t>erators</w:t>
            </w:r>
          </w:p>
        </w:tc>
        <w:tc>
          <w:tcPr>
            <w:tcW w:w="8334" w:type="dxa"/>
          </w:tcPr>
          <w:p w14:paraId="250717C3" w14:textId="77777777" w:rsidR="00A8378A" w:rsidRDefault="00A8378A" w:rsidP="005321A6">
            <w:pPr>
              <w:pStyle w:val="Tablecontent"/>
            </w:pPr>
            <w:r>
              <w:t xml:space="preserve">Deal with the production environment. Perform a regular check on the overall environment. Use both insight and alert. Typically does </w:t>
            </w:r>
            <w:r w:rsidRPr="00EF4CD3">
              <w:rPr>
                <w:color w:val="FF0000"/>
              </w:rPr>
              <w:t xml:space="preserve">not </w:t>
            </w:r>
            <w:r>
              <w:t>require reading logs.</w:t>
            </w:r>
          </w:p>
          <w:p w14:paraId="1C27557B" w14:textId="4628EB13" w:rsidR="00A8378A" w:rsidRDefault="00A8378A" w:rsidP="005321A6">
            <w:pPr>
              <w:pStyle w:val="Tablecontent"/>
            </w:pPr>
            <w:r>
              <w:t xml:space="preserve">Responsible to close alert. Alert should be closed only when root cause is known, not when symptom disappear. Closing alerts without knowing why they happened prevents lesson learned and can potentially </w:t>
            </w:r>
            <w:r w:rsidR="00EF4CD3">
              <w:t>backfire</w:t>
            </w:r>
            <w:r>
              <w:t>.</w:t>
            </w:r>
          </w:p>
          <w:p w14:paraId="2C0707A8" w14:textId="485A4282" w:rsidR="00A8378A" w:rsidRDefault="00A8378A" w:rsidP="005321A6">
            <w:pPr>
              <w:pStyle w:val="Tablecontent"/>
            </w:pPr>
            <w:r>
              <w:t xml:space="preserve">Perform simple </w:t>
            </w:r>
            <w:r w:rsidR="00E23A7D">
              <w:t>troubleshooting</w:t>
            </w:r>
            <w:r>
              <w:t xml:space="preserve">, following SOP. SOP is ideally </w:t>
            </w:r>
            <w:r w:rsidRPr="00925EEA">
              <w:rPr>
                <w:color w:val="FF0000"/>
              </w:rPr>
              <w:t>automated</w:t>
            </w:r>
            <w:r>
              <w:t>, taking input parameters, so the chance of human error is minimized if the number of manual steps or frequency is high.</w:t>
            </w:r>
          </w:p>
          <w:p w14:paraId="10AC9D81" w14:textId="3F432265" w:rsidR="00A8378A" w:rsidRDefault="00A8378A" w:rsidP="005321A6">
            <w:pPr>
              <w:pStyle w:val="Tablecontent"/>
            </w:pPr>
            <w:r>
              <w:t>Focus on Health, which is Availability and Performance.</w:t>
            </w:r>
          </w:p>
          <w:p w14:paraId="0D8B52A3" w14:textId="4BC7F2F2" w:rsidR="0039083E" w:rsidRDefault="0039083E" w:rsidP="005321A6">
            <w:pPr>
              <w:pStyle w:val="Tablecontent"/>
            </w:pPr>
            <w:r>
              <w:t>Typically stationed at NOC and called the Help Desk.</w:t>
            </w:r>
          </w:p>
          <w:p w14:paraId="24BD85CF" w14:textId="58C069BE" w:rsidR="0039083E" w:rsidRDefault="0039083E" w:rsidP="005321A6">
            <w:pPr>
              <w:pStyle w:val="Tablecontent"/>
            </w:pPr>
            <w:r>
              <w:lastRenderedPageBreak/>
              <w:t>On larger organization, the network team is typically separate.</w:t>
            </w:r>
          </w:p>
        </w:tc>
      </w:tr>
      <w:tr w:rsidR="00A8378A" w14:paraId="3B4AA0EE" w14:textId="77777777" w:rsidTr="00686EE0">
        <w:tc>
          <w:tcPr>
            <w:tcW w:w="2122" w:type="dxa"/>
            <w:shd w:val="clear" w:color="auto" w:fill="F2F2F2" w:themeFill="background1" w:themeFillShade="F2"/>
          </w:tcPr>
          <w:p w14:paraId="79761F90" w14:textId="4E0DE981" w:rsidR="00A8378A" w:rsidRPr="006F015B" w:rsidRDefault="00A8378A" w:rsidP="005321A6">
            <w:pPr>
              <w:pStyle w:val="Tablecontent"/>
              <w:rPr>
                <w:b/>
                <w:bCs/>
              </w:rPr>
            </w:pPr>
            <w:r>
              <w:rPr>
                <w:b/>
                <w:bCs/>
              </w:rPr>
              <w:lastRenderedPageBreak/>
              <w:t>Level 2 Op</w:t>
            </w:r>
            <w:r w:rsidR="00424304">
              <w:rPr>
                <w:b/>
                <w:bCs/>
              </w:rPr>
              <w:t>erators</w:t>
            </w:r>
          </w:p>
        </w:tc>
        <w:tc>
          <w:tcPr>
            <w:tcW w:w="8334" w:type="dxa"/>
          </w:tcPr>
          <w:p w14:paraId="43A5DC4F" w14:textId="77777777" w:rsidR="00A8378A" w:rsidRDefault="00A8378A" w:rsidP="005321A6">
            <w:pPr>
              <w:pStyle w:val="Tablecontent"/>
            </w:pPr>
            <w:r>
              <w:t xml:space="preserve">Activated when Level 1 is unable to solve the problem. For each problem solved, this role should update the troubleshooting guide so Level 1 can be empowered. </w:t>
            </w:r>
          </w:p>
          <w:p w14:paraId="4D01AC6C" w14:textId="4F21E2B2" w:rsidR="00A8378A" w:rsidRDefault="00A8378A" w:rsidP="005321A6">
            <w:pPr>
              <w:pStyle w:val="Tablecontent"/>
            </w:pPr>
            <w:r>
              <w:t>Focus on insight, not alert. Look at the big picture and try to prevent alert from happening.</w:t>
            </w:r>
            <w:r w:rsidR="0039083E">
              <w:t xml:space="preserve"> </w:t>
            </w:r>
            <w:r w:rsidR="00A77DCA">
              <w:t>T</w:t>
            </w:r>
            <w:r w:rsidR="0039083E">
              <w:t>hey focus on risk (e.g. configuration risk, compliance risk).</w:t>
            </w:r>
          </w:p>
          <w:p w14:paraId="54409063" w14:textId="116489D0" w:rsidR="00A8378A" w:rsidRDefault="00A8378A" w:rsidP="005321A6">
            <w:pPr>
              <w:pStyle w:val="Tablecontent"/>
            </w:pPr>
            <w:r>
              <w:t xml:space="preserve">More senior than Level 1. May </w:t>
            </w:r>
            <w:r w:rsidR="00780A7B">
              <w:t>specialize</w:t>
            </w:r>
            <w:r>
              <w:t xml:space="preserve"> is some areas (e.g. vSAN, networking).</w:t>
            </w:r>
            <w:r w:rsidR="00925EEA">
              <w:t xml:space="preserve"> They document the knowledge base and develop SOP. They automate the SOP as much as possible.</w:t>
            </w:r>
          </w:p>
          <w:p w14:paraId="5C7EAAB3" w14:textId="1788DA84" w:rsidR="0039083E" w:rsidRDefault="00A8378A" w:rsidP="005321A6">
            <w:pPr>
              <w:pStyle w:val="Tablecontent"/>
            </w:pPr>
            <w:r>
              <w:t>Perform advance troubleshooting, which often requires logs analysis.</w:t>
            </w:r>
            <w:r w:rsidR="0039083E">
              <w:t xml:space="preserve"> Work with architecture team.</w:t>
            </w:r>
          </w:p>
          <w:p w14:paraId="52718548" w14:textId="77777777" w:rsidR="00A8378A" w:rsidRDefault="00A8378A" w:rsidP="005321A6">
            <w:pPr>
              <w:pStyle w:val="Tablecontent"/>
            </w:pPr>
            <w:r>
              <w:t>Lead or involve in the evaluation of operations management tools. Design and maintain vRealize dashboards and alerts.</w:t>
            </w:r>
          </w:p>
          <w:p w14:paraId="52F94437" w14:textId="77777777" w:rsidR="00A8378A" w:rsidRDefault="00A8378A" w:rsidP="005321A6">
            <w:pPr>
              <w:pStyle w:val="Tablecontent"/>
            </w:pPr>
            <w:r>
              <w:t>Focus on Health, Risk and Efficiency.</w:t>
            </w:r>
          </w:p>
          <w:p w14:paraId="6812FB96" w14:textId="19EDFB80" w:rsidR="0039083E" w:rsidRDefault="0039083E" w:rsidP="005321A6">
            <w:pPr>
              <w:pStyle w:val="Tablecontent"/>
            </w:pPr>
            <w:r>
              <w:t>In larger organization, there can be more levels.</w:t>
            </w:r>
          </w:p>
        </w:tc>
      </w:tr>
      <w:tr w:rsidR="0039083E" w14:paraId="7CEA5BE5" w14:textId="77777777" w:rsidTr="00686EE0">
        <w:tc>
          <w:tcPr>
            <w:tcW w:w="2122" w:type="dxa"/>
            <w:shd w:val="clear" w:color="auto" w:fill="F2F2F2" w:themeFill="background1" w:themeFillShade="F2"/>
          </w:tcPr>
          <w:p w14:paraId="4C27741E" w14:textId="5F4284D1" w:rsidR="0039083E" w:rsidRDefault="0039083E" w:rsidP="005321A6">
            <w:pPr>
              <w:pStyle w:val="Tablecontent"/>
              <w:rPr>
                <w:b/>
                <w:bCs/>
              </w:rPr>
            </w:pPr>
            <w:r>
              <w:rPr>
                <w:b/>
                <w:bCs/>
              </w:rPr>
              <w:t>Operations Manager</w:t>
            </w:r>
          </w:p>
        </w:tc>
        <w:tc>
          <w:tcPr>
            <w:tcW w:w="8334" w:type="dxa"/>
          </w:tcPr>
          <w:p w14:paraId="689F0A0D" w14:textId="77777777" w:rsidR="0039083E" w:rsidRDefault="0039083E" w:rsidP="005321A6">
            <w:pPr>
              <w:pStyle w:val="Tablecontent"/>
            </w:pPr>
            <w:r>
              <w:t xml:space="preserve">Manage the level 1, level 2, level 3 operators. </w:t>
            </w:r>
          </w:p>
          <w:p w14:paraId="209E8894" w14:textId="5764C45D" w:rsidR="0039083E" w:rsidRDefault="0039083E" w:rsidP="005321A6">
            <w:pPr>
              <w:pStyle w:val="Tablecontent"/>
            </w:pPr>
            <w:r>
              <w:t>Deal with business on SLA.</w:t>
            </w:r>
          </w:p>
        </w:tc>
      </w:tr>
    </w:tbl>
    <w:p w14:paraId="04D3C2FA" w14:textId="60C80E21" w:rsidR="00BE2749" w:rsidRDefault="0079127B" w:rsidP="00BE2749">
      <w:pPr>
        <w:rPr>
          <w:lang w:val="en-GB"/>
        </w:rPr>
      </w:pPr>
      <w:r>
        <w:rPr>
          <w:lang w:val="en-GB"/>
        </w:rPr>
        <w:t xml:space="preserve">The above roles focus on the day-to-day operations. </w:t>
      </w:r>
      <w:r w:rsidR="00BE2749">
        <w:rPr>
          <w:lang w:val="en-GB"/>
        </w:rPr>
        <w:t>There are other roles that Ops Team need to deal with</w:t>
      </w:r>
      <w:r w:rsidR="00BB3F14">
        <w:rPr>
          <w:lang w:val="en-GB"/>
        </w:rPr>
        <w:t>. Here are some of them. In larger organisation, each could be a team on their own.</w:t>
      </w:r>
    </w:p>
    <w:p w14:paraId="4AEBA56B" w14:textId="77777777" w:rsidR="00BE2749" w:rsidRDefault="00BE2749" w:rsidP="00BE2749">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22"/>
        <w:gridCol w:w="8334"/>
      </w:tblGrid>
      <w:tr w:rsidR="00BE2749" w14:paraId="113F8421" w14:textId="77777777" w:rsidTr="00E440AB">
        <w:tc>
          <w:tcPr>
            <w:tcW w:w="2122" w:type="dxa"/>
            <w:shd w:val="clear" w:color="auto" w:fill="F2F2F2" w:themeFill="background1" w:themeFillShade="F2"/>
          </w:tcPr>
          <w:p w14:paraId="4D35E757" w14:textId="77777777" w:rsidR="00BE2749" w:rsidRPr="0039083E" w:rsidRDefault="00BE2749" w:rsidP="00E440AB">
            <w:pPr>
              <w:pStyle w:val="Tablecontent"/>
              <w:rPr>
                <w:b/>
                <w:bCs/>
              </w:rPr>
            </w:pPr>
            <w:r w:rsidRPr="0039083E">
              <w:rPr>
                <w:b/>
                <w:bCs/>
                <w:lang w:val="en-GB"/>
              </w:rPr>
              <w:t>Security</w:t>
            </w:r>
          </w:p>
        </w:tc>
        <w:tc>
          <w:tcPr>
            <w:tcW w:w="8334" w:type="dxa"/>
          </w:tcPr>
          <w:p w14:paraId="7D618B84" w14:textId="77777777" w:rsidR="00BE2749" w:rsidRDefault="00BE2749" w:rsidP="00E440AB">
            <w:pPr>
              <w:pStyle w:val="Tablecontent"/>
            </w:pPr>
            <w:r>
              <w:t>In large organization, this could be a department by itself. It could also report outside IT</w:t>
            </w:r>
            <w:r w:rsidR="0079127B">
              <w:t>.</w:t>
            </w:r>
          </w:p>
          <w:p w14:paraId="27F8DCE8" w14:textId="70ADF4E5" w:rsidR="0079127B" w:rsidRDefault="00D72811" w:rsidP="00E440AB">
            <w:pPr>
              <w:pStyle w:val="Tablecontent"/>
            </w:pPr>
            <w:r>
              <w:t>They work closely with the Compliance persona</w:t>
            </w:r>
          </w:p>
        </w:tc>
      </w:tr>
      <w:tr w:rsidR="00D72811" w14:paraId="69CFEE13" w14:textId="77777777" w:rsidTr="00E440AB">
        <w:tc>
          <w:tcPr>
            <w:tcW w:w="2122" w:type="dxa"/>
            <w:shd w:val="clear" w:color="auto" w:fill="F2F2F2" w:themeFill="background1" w:themeFillShade="F2"/>
          </w:tcPr>
          <w:p w14:paraId="25188A6A" w14:textId="32BB413A" w:rsidR="00D72811" w:rsidRPr="0039083E" w:rsidRDefault="00D72811" w:rsidP="00D72811">
            <w:pPr>
              <w:pStyle w:val="Tablecontent"/>
              <w:rPr>
                <w:b/>
                <w:bCs/>
                <w:lang w:val="en-GB"/>
              </w:rPr>
            </w:pPr>
            <w:r>
              <w:rPr>
                <w:b/>
                <w:bCs/>
              </w:rPr>
              <w:t>Compliance</w:t>
            </w:r>
          </w:p>
        </w:tc>
        <w:tc>
          <w:tcPr>
            <w:tcW w:w="8334" w:type="dxa"/>
          </w:tcPr>
          <w:p w14:paraId="54C2291B" w14:textId="77777777" w:rsidR="00D72811" w:rsidRDefault="00D72811" w:rsidP="00D72811">
            <w:pPr>
              <w:pStyle w:val="Tablecontent"/>
            </w:pPr>
            <w:r>
              <w:t xml:space="preserve">Set the compliance settings to agreed internal and industry standard. </w:t>
            </w:r>
          </w:p>
          <w:p w14:paraId="37AFE53F" w14:textId="77777777" w:rsidR="00D72811" w:rsidRDefault="00D72811" w:rsidP="00D72811">
            <w:pPr>
              <w:pStyle w:val="Tablecontent"/>
            </w:pPr>
            <w:r>
              <w:t xml:space="preserve">Verify that non-compliance alert was addressed timely and correctly by the operations team. Report &amp; discuss the compliance status with upper management. </w:t>
            </w:r>
          </w:p>
          <w:p w14:paraId="3982CBC4" w14:textId="71FA8610" w:rsidR="00D72811" w:rsidRDefault="00D72811" w:rsidP="00D72811">
            <w:pPr>
              <w:pStyle w:val="Tablecontent"/>
            </w:pPr>
            <w:r>
              <w:t>Focus on Risk (Configuration, Compliance)</w:t>
            </w:r>
          </w:p>
        </w:tc>
      </w:tr>
      <w:tr w:rsidR="00D72811" w14:paraId="69C346DC" w14:textId="77777777" w:rsidTr="00E440AB">
        <w:tc>
          <w:tcPr>
            <w:tcW w:w="2122" w:type="dxa"/>
            <w:shd w:val="clear" w:color="auto" w:fill="F2F2F2" w:themeFill="background1" w:themeFillShade="F2"/>
          </w:tcPr>
          <w:p w14:paraId="1AC408C3" w14:textId="01E27F04" w:rsidR="00D72811" w:rsidRDefault="00D72811" w:rsidP="00D72811">
            <w:pPr>
              <w:pStyle w:val="Tablecontent"/>
              <w:tabs>
                <w:tab w:val="right" w:pos="1906"/>
              </w:tabs>
              <w:rPr>
                <w:b/>
                <w:bCs/>
              </w:rPr>
            </w:pPr>
            <w:r>
              <w:rPr>
                <w:b/>
                <w:bCs/>
              </w:rPr>
              <w:t>Capacity</w:t>
            </w:r>
          </w:p>
        </w:tc>
        <w:tc>
          <w:tcPr>
            <w:tcW w:w="8334" w:type="dxa"/>
          </w:tcPr>
          <w:p w14:paraId="692F7C5D" w14:textId="77777777" w:rsidR="00D72811" w:rsidRDefault="00D72811" w:rsidP="00D72811">
            <w:pPr>
              <w:pStyle w:val="Tablecontent"/>
            </w:pPr>
            <w:r>
              <w:t>Plan the supply side of capacity, working with architect role.</w:t>
            </w:r>
          </w:p>
          <w:p w14:paraId="5DC2F9AA" w14:textId="77777777" w:rsidR="00D72811" w:rsidRDefault="00D72811" w:rsidP="00D72811">
            <w:pPr>
              <w:pStyle w:val="Tablecontent"/>
            </w:pPr>
            <w:r>
              <w:t xml:space="preserve">Plan the demand side of capacity, working with line of business or sales team. </w:t>
            </w:r>
          </w:p>
          <w:p w14:paraId="6D90DEE1" w14:textId="229B355C" w:rsidR="00D72811" w:rsidRDefault="00D72811" w:rsidP="00D72811">
            <w:pPr>
              <w:pStyle w:val="Tablecontent"/>
            </w:pPr>
            <w:r>
              <w:t xml:space="preserve">Does not get involve in the </w:t>
            </w:r>
            <w:r w:rsidR="00540F68">
              <w:t>day-to-day</w:t>
            </w:r>
            <w:r>
              <w:t xml:space="preserve"> capacity. ESXi Host going into maintenance mode is an operational problem, not capacity management matter. </w:t>
            </w:r>
          </w:p>
        </w:tc>
      </w:tr>
      <w:tr w:rsidR="00D72811" w14:paraId="140715FD" w14:textId="77777777" w:rsidTr="00E440AB">
        <w:tc>
          <w:tcPr>
            <w:tcW w:w="2122" w:type="dxa"/>
            <w:shd w:val="clear" w:color="auto" w:fill="F2F2F2" w:themeFill="background1" w:themeFillShade="F2"/>
          </w:tcPr>
          <w:p w14:paraId="4CBCA347" w14:textId="07C72596" w:rsidR="00D72811" w:rsidRPr="0039083E" w:rsidRDefault="00D72811" w:rsidP="00D72811">
            <w:pPr>
              <w:pStyle w:val="Tablecontent"/>
              <w:tabs>
                <w:tab w:val="right" w:pos="1906"/>
              </w:tabs>
              <w:rPr>
                <w:b/>
                <w:bCs/>
                <w:lang w:val="en-GB"/>
              </w:rPr>
            </w:pPr>
            <w:r>
              <w:rPr>
                <w:b/>
                <w:bCs/>
              </w:rPr>
              <w:t>IT Finance</w:t>
            </w:r>
            <w:r>
              <w:rPr>
                <w:b/>
                <w:bCs/>
              </w:rPr>
              <w:tab/>
            </w:r>
          </w:p>
        </w:tc>
        <w:tc>
          <w:tcPr>
            <w:tcW w:w="8334" w:type="dxa"/>
          </w:tcPr>
          <w:p w14:paraId="7BD0CAF5" w14:textId="77777777" w:rsidR="00D72811" w:rsidRDefault="00D72811" w:rsidP="00D72811">
            <w:pPr>
              <w:pStyle w:val="Tablecontent"/>
            </w:pPr>
            <w:r>
              <w:t>Typically work with Capacity Team</w:t>
            </w:r>
          </w:p>
        </w:tc>
      </w:tr>
      <w:tr w:rsidR="00D72811" w14:paraId="13AAA801" w14:textId="77777777" w:rsidTr="00E440AB">
        <w:tc>
          <w:tcPr>
            <w:tcW w:w="2122" w:type="dxa"/>
            <w:shd w:val="clear" w:color="auto" w:fill="F2F2F2" w:themeFill="background1" w:themeFillShade="F2"/>
          </w:tcPr>
          <w:p w14:paraId="6EE33D7C" w14:textId="77777777" w:rsidR="00D72811" w:rsidRDefault="00D72811" w:rsidP="00D72811">
            <w:pPr>
              <w:pStyle w:val="Tablecontent"/>
              <w:rPr>
                <w:b/>
                <w:bCs/>
              </w:rPr>
            </w:pPr>
            <w:r>
              <w:rPr>
                <w:b/>
                <w:bCs/>
              </w:rPr>
              <w:t>IT Management</w:t>
            </w:r>
          </w:p>
        </w:tc>
        <w:tc>
          <w:tcPr>
            <w:tcW w:w="8334" w:type="dxa"/>
          </w:tcPr>
          <w:p w14:paraId="1EBAAF31" w14:textId="77777777" w:rsidR="00D72811" w:rsidRDefault="00D72811" w:rsidP="00D72811">
            <w:pPr>
              <w:pStyle w:val="Tablecontent"/>
            </w:pPr>
            <w:r>
              <w:t>There can be multiple levels here, all the way to the CIO.</w:t>
            </w:r>
          </w:p>
          <w:p w14:paraId="7ADFA910" w14:textId="77777777" w:rsidR="00D72811" w:rsidRDefault="00D72811" w:rsidP="00D72811">
            <w:pPr>
              <w:pStyle w:val="Tablecontent"/>
            </w:pPr>
            <w:r>
              <w:t>Look at the big picture, trend over time, and future. Not so much what’s going on hour by hour.</w:t>
            </w:r>
          </w:p>
          <w:p w14:paraId="7165C8D7" w14:textId="77777777" w:rsidR="00D72811" w:rsidRDefault="00D72811" w:rsidP="00D72811">
            <w:pPr>
              <w:pStyle w:val="Tablecontent"/>
            </w:pPr>
            <w:r>
              <w:t xml:space="preserve">Generally does not get involved in troubleshooting and architecture. </w:t>
            </w:r>
          </w:p>
          <w:p w14:paraId="68D6CE06" w14:textId="77777777" w:rsidR="00D72811" w:rsidRDefault="00D72811" w:rsidP="00D72811">
            <w:pPr>
              <w:pStyle w:val="Tablecontent"/>
            </w:pPr>
            <w:r>
              <w:t>Primary focus is Compliance and Cost. Performance is not as that was likely promised to be good by the Architect as part of the design.</w:t>
            </w:r>
          </w:p>
        </w:tc>
      </w:tr>
      <w:tr w:rsidR="00D72811" w14:paraId="016FC3AE" w14:textId="77777777" w:rsidTr="00E440AB">
        <w:tc>
          <w:tcPr>
            <w:tcW w:w="2122" w:type="dxa"/>
            <w:shd w:val="clear" w:color="auto" w:fill="F2F2F2" w:themeFill="background1" w:themeFillShade="F2"/>
          </w:tcPr>
          <w:p w14:paraId="14FBF074" w14:textId="77777777" w:rsidR="00D72811" w:rsidRDefault="00D72811" w:rsidP="00D72811">
            <w:pPr>
              <w:pStyle w:val="Tablecontent"/>
              <w:rPr>
                <w:b/>
                <w:bCs/>
              </w:rPr>
            </w:pPr>
            <w:r>
              <w:rPr>
                <w:b/>
                <w:bCs/>
              </w:rPr>
              <w:t>Architecture</w:t>
            </w:r>
          </w:p>
        </w:tc>
        <w:tc>
          <w:tcPr>
            <w:tcW w:w="8334" w:type="dxa"/>
          </w:tcPr>
          <w:p w14:paraId="20444D90" w14:textId="77777777" w:rsidR="00D72811" w:rsidRDefault="00D72811" w:rsidP="00D72811">
            <w:pPr>
              <w:pStyle w:val="Tablecontent"/>
            </w:pPr>
            <w:r>
              <w:t>Design the system architecture. Needs to get input from Day 2 team, and design with the end in mind.</w:t>
            </w:r>
          </w:p>
          <w:p w14:paraId="7760425C" w14:textId="77777777" w:rsidR="00D72811" w:rsidRDefault="00D72811" w:rsidP="00D72811">
            <w:pPr>
              <w:pStyle w:val="Tablecontent"/>
            </w:pPr>
            <w:r>
              <w:t>Look at the future. Evaluate new technology and assess if technology refresh or migration to a new architecture makes business sense.</w:t>
            </w:r>
          </w:p>
          <w:p w14:paraId="42DEB457" w14:textId="77777777" w:rsidR="00D72811" w:rsidRDefault="00D72811" w:rsidP="00D72811">
            <w:pPr>
              <w:pStyle w:val="Tablecontent"/>
            </w:pPr>
            <w:r>
              <w:t>May lend support on complex troubleshooting.</w:t>
            </w:r>
          </w:p>
          <w:p w14:paraId="74B93D40" w14:textId="77777777" w:rsidR="00D72811" w:rsidRDefault="00D72811" w:rsidP="00D72811">
            <w:pPr>
              <w:pStyle w:val="Tablecontent"/>
            </w:pPr>
            <w:r>
              <w:t>On larger organization, the network team is typically separate.</w:t>
            </w:r>
          </w:p>
        </w:tc>
      </w:tr>
    </w:tbl>
    <w:p w14:paraId="44AB4D8E" w14:textId="77777777" w:rsidR="00BE2749" w:rsidRDefault="00BE2749" w:rsidP="00BE2749">
      <w:r>
        <w:lastRenderedPageBreak/>
        <w:t>There is a newer role, called Site Reliability Engineer (</w:t>
      </w:r>
      <w:hyperlink r:id="rId96" w:history="1">
        <w:r w:rsidRPr="00925EEA">
          <w:rPr>
            <w:rStyle w:val="Hyperlink"/>
          </w:rPr>
          <w:t>SRE</w:t>
        </w:r>
      </w:hyperlink>
      <w:r>
        <w:t xml:space="preserve">), which focuses on the automation and are closer to the application stack. They are involved in the life cycle of application, hence it’s related to </w:t>
      </w:r>
      <w:hyperlink r:id="rId97" w:history="1">
        <w:r w:rsidRPr="00925EEA">
          <w:rPr>
            <w:rStyle w:val="Hyperlink"/>
          </w:rPr>
          <w:t>DevOps</w:t>
        </w:r>
      </w:hyperlink>
      <w:r>
        <w:t xml:space="preserve">. I see them as a variant of Level 2 Operators, because the philosophy in this book is SLA-based and proactive operations. To have SLA, the Sys Admin needs to run an application-centric operations. </w:t>
      </w:r>
    </w:p>
    <w:p w14:paraId="5F6F970C" w14:textId="73FBBBC4" w:rsidR="00E55491" w:rsidRDefault="00E55491" w:rsidP="00E55491">
      <w:pPr>
        <w:pStyle w:val="Heading5"/>
      </w:pPr>
      <w:r>
        <w:t>Desktop</w:t>
      </w:r>
      <w:r w:rsidR="005115DA">
        <w:t xml:space="preserve"> Operations</w:t>
      </w:r>
    </w:p>
    <w:p w14:paraId="5702949B" w14:textId="02A2A2B1" w:rsidR="00E55491" w:rsidRDefault="00E55491" w:rsidP="00E55491">
      <w:r>
        <w:t xml:space="preserve">We covered the various </w:t>
      </w:r>
      <w:hyperlink w:anchor="_Roles_and_Responsibility" w:history="1">
        <w:r w:rsidRPr="009E4884">
          <w:rPr>
            <w:rStyle w:val="Hyperlink"/>
          </w:rPr>
          <w:t>roles required</w:t>
        </w:r>
      </w:hyperlink>
      <w:r>
        <w:t xml:space="preserve"> in IaaS operations earlier, so let’s dive into the roles specific for DaaS operations. Depending on the size &amp; complexity of the VDI architecture, there can be many roles involved in operations.</w:t>
      </w:r>
    </w:p>
    <w:p w14:paraId="190BD1B5" w14:textId="77777777" w:rsidR="00E55491" w:rsidRDefault="00E55491" w:rsidP="00E55491">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22"/>
        <w:gridCol w:w="8334"/>
      </w:tblGrid>
      <w:tr w:rsidR="00E55491" w14:paraId="44B195DC" w14:textId="77777777" w:rsidTr="00281329">
        <w:tc>
          <w:tcPr>
            <w:tcW w:w="2122" w:type="dxa"/>
            <w:shd w:val="clear" w:color="auto" w:fill="F2F2F2" w:themeFill="background1" w:themeFillShade="F2"/>
          </w:tcPr>
          <w:p w14:paraId="7578C698" w14:textId="77777777" w:rsidR="00E55491" w:rsidRPr="006F015B" w:rsidRDefault="00E55491" w:rsidP="00281329">
            <w:pPr>
              <w:pStyle w:val="Tablecontent"/>
              <w:rPr>
                <w:b/>
                <w:bCs/>
              </w:rPr>
            </w:pPr>
            <w:r>
              <w:rPr>
                <w:b/>
                <w:bCs/>
              </w:rPr>
              <w:t>Level 1 Ops</w:t>
            </w:r>
          </w:p>
        </w:tc>
        <w:tc>
          <w:tcPr>
            <w:tcW w:w="8334" w:type="dxa"/>
          </w:tcPr>
          <w:p w14:paraId="3567BE1D" w14:textId="77777777" w:rsidR="00E55491" w:rsidRDefault="00E55491" w:rsidP="00281329">
            <w:pPr>
              <w:pStyle w:val="Tablecontent"/>
            </w:pPr>
            <w:r w:rsidRPr="0013367C">
              <w:rPr>
                <w:color w:val="FF0000"/>
              </w:rPr>
              <w:t>Reactive</w:t>
            </w:r>
            <w:r>
              <w:t>: respond to user complaint or alerts and perform simple remediation. Typically does not require reading logs.</w:t>
            </w:r>
          </w:p>
          <w:p w14:paraId="67F532FA" w14:textId="77777777" w:rsidR="00E55491" w:rsidRDefault="00E55491" w:rsidP="00281329">
            <w:pPr>
              <w:pStyle w:val="Tablecontent"/>
            </w:pPr>
            <w:r w:rsidRPr="0013367C">
              <w:rPr>
                <w:color w:val="00B050"/>
              </w:rPr>
              <w:t xml:space="preserve">Proactive </w:t>
            </w:r>
            <w:r>
              <w:t>health check of the environment, as part of the SOP. Look at availability, performance and compliance.</w:t>
            </w:r>
          </w:p>
        </w:tc>
      </w:tr>
      <w:tr w:rsidR="00E55491" w14:paraId="0544D4B2" w14:textId="77777777" w:rsidTr="00281329">
        <w:tc>
          <w:tcPr>
            <w:tcW w:w="2122" w:type="dxa"/>
            <w:shd w:val="clear" w:color="auto" w:fill="F2F2F2" w:themeFill="background1" w:themeFillShade="F2"/>
          </w:tcPr>
          <w:p w14:paraId="6BCEE81E" w14:textId="77777777" w:rsidR="00E55491" w:rsidRPr="006F015B" w:rsidRDefault="00E55491" w:rsidP="00281329">
            <w:pPr>
              <w:pStyle w:val="Tablecontent"/>
              <w:rPr>
                <w:b/>
                <w:bCs/>
              </w:rPr>
            </w:pPr>
            <w:r>
              <w:rPr>
                <w:b/>
                <w:bCs/>
              </w:rPr>
              <w:t>Level 2 Ops</w:t>
            </w:r>
          </w:p>
        </w:tc>
        <w:tc>
          <w:tcPr>
            <w:tcW w:w="8334" w:type="dxa"/>
          </w:tcPr>
          <w:p w14:paraId="7BABC6DF" w14:textId="77777777" w:rsidR="00E55491" w:rsidRDefault="00E55491" w:rsidP="00281329">
            <w:pPr>
              <w:pStyle w:val="Tablecontent"/>
            </w:pPr>
            <w:r w:rsidRPr="0013367C">
              <w:rPr>
                <w:color w:val="FF0000"/>
              </w:rPr>
              <w:t>Reactive</w:t>
            </w:r>
            <w:r>
              <w:t>: Perform advance troubleshooting. Likely require reading logs and Windows Events.</w:t>
            </w:r>
          </w:p>
          <w:p w14:paraId="07F96282" w14:textId="77777777" w:rsidR="00E55491" w:rsidRDefault="00E55491" w:rsidP="00281329">
            <w:pPr>
              <w:pStyle w:val="Tablecontent"/>
            </w:pPr>
            <w:r w:rsidRPr="0013367C">
              <w:rPr>
                <w:color w:val="00B050"/>
              </w:rPr>
              <w:t>Proactive</w:t>
            </w:r>
            <w:r>
              <w:t>: Analyse the overall environment, especially from performance and availability. Should do this at least once a week.</w:t>
            </w:r>
          </w:p>
        </w:tc>
      </w:tr>
      <w:tr w:rsidR="00E55491" w14:paraId="0F4330B2" w14:textId="77777777" w:rsidTr="00281329">
        <w:tc>
          <w:tcPr>
            <w:tcW w:w="2122" w:type="dxa"/>
            <w:shd w:val="clear" w:color="auto" w:fill="F2F2F2" w:themeFill="background1" w:themeFillShade="F2"/>
          </w:tcPr>
          <w:p w14:paraId="3CA05E5F" w14:textId="77777777" w:rsidR="00E55491" w:rsidRPr="006F015B" w:rsidRDefault="00E55491" w:rsidP="00281329">
            <w:pPr>
              <w:pStyle w:val="Tablecontent"/>
              <w:rPr>
                <w:b/>
                <w:bCs/>
              </w:rPr>
            </w:pPr>
            <w:r>
              <w:rPr>
                <w:b/>
                <w:bCs/>
              </w:rPr>
              <w:t>Architecture</w:t>
            </w:r>
          </w:p>
        </w:tc>
        <w:tc>
          <w:tcPr>
            <w:tcW w:w="8334" w:type="dxa"/>
          </w:tcPr>
          <w:p w14:paraId="6F5134B5" w14:textId="77777777" w:rsidR="00E55491" w:rsidRDefault="00E55491" w:rsidP="00281329">
            <w:pPr>
              <w:pStyle w:val="Tablecontent"/>
            </w:pPr>
            <w:r>
              <w:t>Day 1: design and deploy the architecture.</w:t>
            </w:r>
          </w:p>
          <w:p w14:paraId="195FE790" w14:textId="77777777" w:rsidR="00E55491" w:rsidRDefault="00E55491" w:rsidP="00281329">
            <w:pPr>
              <w:pStyle w:val="Tablecontent"/>
            </w:pPr>
            <w:r>
              <w:t>Day 2: Using the actual consumption data in production, think of improvement to improve performance, lower cost and reduce complexity. This gets fed into Day 1, forming an upgrade cycle.</w:t>
            </w:r>
          </w:p>
        </w:tc>
      </w:tr>
      <w:tr w:rsidR="00E55491" w14:paraId="14487D48" w14:textId="77777777" w:rsidTr="00281329">
        <w:tc>
          <w:tcPr>
            <w:tcW w:w="2122" w:type="dxa"/>
            <w:shd w:val="clear" w:color="auto" w:fill="F2F2F2" w:themeFill="background1" w:themeFillShade="F2"/>
          </w:tcPr>
          <w:p w14:paraId="1FAFC4AE" w14:textId="77777777" w:rsidR="00E55491" w:rsidRPr="006F015B" w:rsidRDefault="00E55491" w:rsidP="00281329">
            <w:pPr>
              <w:pStyle w:val="Tablecontent"/>
              <w:rPr>
                <w:b/>
                <w:bCs/>
              </w:rPr>
            </w:pPr>
            <w:r>
              <w:rPr>
                <w:b/>
                <w:bCs/>
              </w:rPr>
              <w:t>Capacity</w:t>
            </w:r>
          </w:p>
        </w:tc>
        <w:tc>
          <w:tcPr>
            <w:tcW w:w="8334" w:type="dxa"/>
          </w:tcPr>
          <w:p w14:paraId="3518FA8A" w14:textId="77777777" w:rsidR="00E55491" w:rsidRDefault="00E55491" w:rsidP="00281329">
            <w:pPr>
              <w:pStyle w:val="Tablecontent"/>
            </w:pPr>
            <w:r>
              <w:t xml:space="preserve">Day 1: plan and size the capacity. Pod, Pools, Farm, etc. </w:t>
            </w:r>
          </w:p>
          <w:p w14:paraId="1A5043DF" w14:textId="77777777" w:rsidR="00E55491" w:rsidRDefault="00E55491" w:rsidP="00281329">
            <w:pPr>
              <w:pStyle w:val="Tablecontent"/>
            </w:pPr>
            <w:r>
              <w:t>Day 2: Review the pool and farm capacity. Depending on the volatility, this could be done monthly.</w:t>
            </w:r>
          </w:p>
        </w:tc>
      </w:tr>
      <w:tr w:rsidR="00E55491" w14:paraId="2E390320" w14:textId="77777777" w:rsidTr="00281329">
        <w:tc>
          <w:tcPr>
            <w:tcW w:w="2122" w:type="dxa"/>
            <w:shd w:val="clear" w:color="auto" w:fill="F2F2F2" w:themeFill="background1" w:themeFillShade="F2"/>
          </w:tcPr>
          <w:p w14:paraId="3BFB00A2" w14:textId="77777777" w:rsidR="00E55491" w:rsidRPr="006F015B" w:rsidRDefault="00E55491" w:rsidP="00281329">
            <w:pPr>
              <w:pStyle w:val="Tablecontent"/>
              <w:rPr>
                <w:b/>
                <w:bCs/>
              </w:rPr>
            </w:pPr>
            <w:r>
              <w:rPr>
                <w:b/>
                <w:bCs/>
              </w:rPr>
              <w:t>Compliance</w:t>
            </w:r>
          </w:p>
        </w:tc>
        <w:tc>
          <w:tcPr>
            <w:tcW w:w="8334" w:type="dxa"/>
          </w:tcPr>
          <w:p w14:paraId="275419A6" w14:textId="77777777" w:rsidR="00E55491" w:rsidRDefault="00E55491" w:rsidP="00281329">
            <w:pPr>
              <w:pStyle w:val="Tablecontent"/>
            </w:pPr>
            <w:r>
              <w:t xml:space="preserve">Set the compliance settings to agreed internal and industry standard. </w:t>
            </w:r>
          </w:p>
          <w:p w14:paraId="6068C421" w14:textId="77777777" w:rsidR="00E55491" w:rsidRDefault="00E55491" w:rsidP="00281329">
            <w:pPr>
              <w:pStyle w:val="Tablecontent"/>
            </w:pPr>
            <w:r>
              <w:t>Verify that non-compliance alert was addressed timely and correctly by the operations team. Report the comp</w:t>
            </w:r>
          </w:p>
        </w:tc>
      </w:tr>
      <w:tr w:rsidR="00E55491" w14:paraId="33F07B03" w14:textId="77777777" w:rsidTr="00281329">
        <w:tc>
          <w:tcPr>
            <w:tcW w:w="2122" w:type="dxa"/>
            <w:shd w:val="clear" w:color="auto" w:fill="F2F2F2" w:themeFill="background1" w:themeFillShade="F2"/>
          </w:tcPr>
          <w:p w14:paraId="5C39B3FF" w14:textId="77777777" w:rsidR="00E55491" w:rsidRDefault="00E55491" w:rsidP="00281329">
            <w:pPr>
              <w:pStyle w:val="Tablecontent"/>
              <w:rPr>
                <w:b/>
                <w:bCs/>
              </w:rPr>
            </w:pPr>
            <w:r>
              <w:rPr>
                <w:b/>
                <w:bCs/>
              </w:rPr>
              <w:t>IT Management</w:t>
            </w:r>
          </w:p>
        </w:tc>
        <w:tc>
          <w:tcPr>
            <w:tcW w:w="8334" w:type="dxa"/>
          </w:tcPr>
          <w:p w14:paraId="2CBB2185" w14:textId="77777777" w:rsidR="00E55491" w:rsidRDefault="00E55491" w:rsidP="00281329">
            <w:pPr>
              <w:pStyle w:val="Tablecontent"/>
            </w:pPr>
            <w:r>
              <w:t>Weekly report, focusing on the overall health and not individual users or pools.</w:t>
            </w:r>
          </w:p>
          <w:p w14:paraId="2201A3AA" w14:textId="1ED55F8F" w:rsidR="00E55491" w:rsidRDefault="00E55491" w:rsidP="00281329">
            <w:pPr>
              <w:pStyle w:val="Tablecontent"/>
            </w:pPr>
            <w:r>
              <w:t>Monthly presentation and review, supported for live dashboard for an interactive discussion</w:t>
            </w:r>
            <w:r w:rsidR="00E4254C">
              <w:t xml:space="preserve">. </w:t>
            </w:r>
          </w:p>
        </w:tc>
      </w:tr>
    </w:tbl>
    <w:p w14:paraId="2BABFC28" w14:textId="641A2D73" w:rsidR="00E55491" w:rsidRDefault="00E55491" w:rsidP="00E55491">
      <w:r>
        <w:t xml:space="preserve">The responsibilities cover </w:t>
      </w:r>
      <w:r w:rsidR="008764A4">
        <w:t xml:space="preserve">all the </w:t>
      </w:r>
      <w:r>
        <w:t>pillar of operations. As Horizon requires vSphere, Microsoft ADAM Database, Microsoft Active Directory (MS AD) and other components, you need to manage all of them as a system.</w:t>
      </w:r>
    </w:p>
    <w:p w14:paraId="7FF54ABE" w14:textId="77777777" w:rsidR="00E55491" w:rsidRDefault="00E55491" w:rsidP="00E55491">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980"/>
        <w:gridCol w:w="8368"/>
      </w:tblGrid>
      <w:tr w:rsidR="00E55491" w:rsidRPr="00386E6F" w14:paraId="1B8DCF73" w14:textId="77777777" w:rsidTr="00281329">
        <w:tc>
          <w:tcPr>
            <w:tcW w:w="1980" w:type="dxa"/>
            <w:shd w:val="clear" w:color="auto" w:fill="F2F2F2" w:themeFill="background1" w:themeFillShade="F2"/>
          </w:tcPr>
          <w:p w14:paraId="00414E6B" w14:textId="77777777" w:rsidR="00E55491" w:rsidRPr="00386E6F" w:rsidRDefault="00E55491" w:rsidP="00281329">
            <w:pPr>
              <w:pStyle w:val="Tablecontent"/>
              <w:rPr>
                <w:b/>
                <w:bCs/>
              </w:rPr>
            </w:pPr>
            <w:r w:rsidRPr="00386E6F">
              <w:rPr>
                <w:b/>
                <w:bCs/>
              </w:rPr>
              <w:t>Availability</w:t>
            </w:r>
          </w:p>
        </w:tc>
        <w:tc>
          <w:tcPr>
            <w:tcW w:w="8368" w:type="dxa"/>
          </w:tcPr>
          <w:p w14:paraId="646A07DB" w14:textId="77777777" w:rsidR="00E55491" w:rsidRDefault="00E55491" w:rsidP="00281329">
            <w:pPr>
              <w:pStyle w:val="Tablecontent"/>
            </w:pPr>
            <w:r w:rsidRPr="00A40764">
              <w:t xml:space="preserve">Any </w:t>
            </w:r>
            <w:r>
              <w:t>desktops that are in bad state?</w:t>
            </w:r>
          </w:p>
          <w:p w14:paraId="52BC441C" w14:textId="77777777" w:rsidR="00E55491" w:rsidRPr="00A40764" w:rsidRDefault="00E55491" w:rsidP="00281329">
            <w:pPr>
              <w:pStyle w:val="Tablecontent"/>
            </w:pPr>
            <w:r>
              <w:t xml:space="preserve">Any availability problems in Horizon servers, vSAN, NSX, vSphere, DC network switches, WAN network? </w:t>
            </w:r>
          </w:p>
        </w:tc>
      </w:tr>
      <w:tr w:rsidR="00E55491" w:rsidRPr="00386E6F" w14:paraId="7FECC281" w14:textId="77777777" w:rsidTr="00281329">
        <w:tc>
          <w:tcPr>
            <w:tcW w:w="1980" w:type="dxa"/>
            <w:shd w:val="clear" w:color="auto" w:fill="F2F2F2" w:themeFill="background1" w:themeFillShade="F2"/>
          </w:tcPr>
          <w:p w14:paraId="2A5C2A1F" w14:textId="77777777" w:rsidR="00E55491" w:rsidRPr="00386E6F" w:rsidRDefault="00E55491" w:rsidP="00281329">
            <w:pPr>
              <w:pStyle w:val="Tablecontent"/>
              <w:rPr>
                <w:b/>
                <w:bCs/>
              </w:rPr>
            </w:pPr>
            <w:r w:rsidRPr="00386E6F">
              <w:rPr>
                <w:b/>
                <w:bCs/>
              </w:rPr>
              <w:t>Performance</w:t>
            </w:r>
          </w:p>
        </w:tc>
        <w:tc>
          <w:tcPr>
            <w:tcW w:w="8368" w:type="dxa"/>
          </w:tcPr>
          <w:p w14:paraId="2CC8BBB5" w14:textId="77777777" w:rsidR="00E55491" w:rsidRDefault="00E55491" w:rsidP="00281329">
            <w:pPr>
              <w:pStyle w:val="Tablecontent"/>
            </w:pPr>
            <w:r>
              <w:t>There are 2 sides of performance: a single user and the whole DaaS.</w:t>
            </w:r>
          </w:p>
          <w:p w14:paraId="2BD5DD6E" w14:textId="77777777" w:rsidR="00E55491" w:rsidRDefault="00E55491" w:rsidP="00281329">
            <w:pPr>
              <w:pStyle w:val="Bullet"/>
            </w:pPr>
            <w:r>
              <w:t xml:space="preserve">A single user troubleshooting may require going deep into the user’s desktop and user’s specific settings (e.g. MS AD group policy, MS Outlook plugins). Tools such as </w:t>
            </w:r>
            <w:hyperlink r:id="rId98" w:history="1">
              <w:r w:rsidRPr="004A638E">
                <w:rPr>
                  <w:rStyle w:val="Hyperlink"/>
                </w:rPr>
                <w:t>SysInternals</w:t>
              </w:r>
            </w:hyperlink>
            <w:r>
              <w:t xml:space="preserve"> and Windows Event analyser can come in handy. </w:t>
            </w:r>
          </w:p>
          <w:p w14:paraId="469C9429" w14:textId="77777777" w:rsidR="00E55491" w:rsidRPr="00A40764" w:rsidRDefault="00E55491" w:rsidP="00281329">
            <w:pPr>
              <w:pStyle w:val="Bullet"/>
            </w:pPr>
            <w:r>
              <w:lastRenderedPageBreak/>
              <w:t>DaaS-wide troubleshooting requires going broad into all the users (affected and not affected with the issue). It requires analyses across the stacks. You likely need various adapters of vRealize Operations and Log Insights, and develop your own custom dashboard that’s specific to your architecture.</w:t>
            </w:r>
          </w:p>
        </w:tc>
      </w:tr>
      <w:tr w:rsidR="00E55491" w:rsidRPr="00386E6F" w14:paraId="49AB7DF8" w14:textId="77777777" w:rsidTr="00281329">
        <w:tc>
          <w:tcPr>
            <w:tcW w:w="1980" w:type="dxa"/>
            <w:shd w:val="clear" w:color="auto" w:fill="F2F2F2" w:themeFill="background1" w:themeFillShade="F2"/>
          </w:tcPr>
          <w:p w14:paraId="38EED85C" w14:textId="77777777" w:rsidR="00E55491" w:rsidRPr="00386E6F" w:rsidRDefault="00E55491" w:rsidP="00281329">
            <w:pPr>
              <w:pStyle w:val="Tablecontent"/>
              <w:rPr>
                <w:b/>
                <w:bCs/>
              </w:rPr>
            </w:pPr>
            <w:r w:rsidRPr="00386E6F">
              <w:rPr>
                <w:b/>
                <w:bCs/>
              </w:rPr>
              <w:lastRenderedPageBreak/>
              <w:t>Capacity</w:t>
            </w:r>
          </w:p>
        </w:tc>
        <w:tc>
          <w:tcPr>
            <w:tcW w:w="8368" w:type="dxa"/>
          </w:tcPr>
          <w:p w14:paraId="3DEF00E3" w14:textId="77777777" w:rsidR="00E55491" w:rsidRDefault="00E55491" w:rsidP="00281329">
            <w:pPr>
              <w:pStyle w:val="Tablecontent"/>
            </w:pPr>
            <w:r>
              <w:t>There are 4 parts of DaaS capacity.</w:t>
            </w:r>
          </w:p>
          <w:p w14:paraId="1501D88A" w14:textId="77777777" w:rsidR="00E55491" w:rsidRDefault="00E55491" w:rsidP="00281329">
            <w:pPr>
              <w:pStyle w:val="Tablecontent"/>
              <w:numPr>
                <w:ilvl w:val="0"/>
                <w:numId w:val="40"/>
              </w:numPr>
            </w:pPr>
            <w:r>
              <w:t>The desktop, pools and farms. Make sure the desktop is rightsized, and the pools &amp; farms can meet the load.</w:t>
            </w:r>
          </w:p>
          <w:p w14:paraId="02DCD1F8" w14:textId="77777777" w:rsidR="00E55491" w:rsidRDefault="00E55491" w:rsidP="00281329">
            <w:pPr>
              <w:pStyle w:val="Tablecontent"/>
              <w:numPr>
                <w:ilvl w:val="0"/>
                <w:numId w:val="40"/>
              </w:numPr>
            </w:pPr>
            <w:r>
              <w:t>Horizon servers and infrastructure. This covers Horizon servers (Connection Servers, Universal Access Gateway and App Volume Managers), non Horizon servers (Microsoft SQL Servers, MS AD, Load Balancers, AV servers, single sign on servers, security servers).</w:t>
            </w:r>
          </w:p>
          <w:p w14:paraId="6C6FD488" w14:textId="77777777" w:rsidR="00E55491" w:rsidRDefault="00E55491" w:rsidP="00281329">
            <w:pPr>
              <w:pStyle w:val="Tablecontent"/>
              <w:numPr>
                <w:ilvl w:val="0"/>
                <w:numId w:val="40"/>
              </w:numPr>
            </w:pPr>
            <w:r>
              <w:t xml:space="preserve">The network. This excludes the data center network, but includes the client network and the Wide Area Network (WAN). The client network can be in the form of shared office, café or mall, airport or home. The WAN can be a mixed of mobile, wireless or leased lines. </w:t>
            </w:r>
          </w:p>
          <w:p w14:paraId="19396384" w14:textId="77777777" w:rsidR="00E55491" w:rsidRPr="00A40764" w:rsidRDefault="00E55491" w:rsidP="00281329">
            <w:pPr>
              <w:pStyle w:val="Tablecontent"/>
              <w:numPr>
                <w:ilvl w:val="0"/>
                <w:numId w:val="40"/>
              </w:numPr>
            </w:pPr>
            <w:r>
              <w:t>Underlying SDDC where the EUC is running.</w:t>
            </w:r>
          </w:p>
        </w:tc>
      </w:tr>
      <w:tr w:rsidR="00E55491" w:rsidRPr="00386E6F" w14:paraId="11D88B55" w14:textId="77777777" w:rsidTr="00281329">
        <w:tc>
          <w:tcPr>
            <w:tcW w:w="1980" w:type="dxa"/>
            <w:shd w:val="clear" w:color="auto" w:fill="F2F2F2" w:themeFill="background1" w:themeFillShade="F2"/>
          </w:tcPr>
          <w:p w14:paraId="530C63B7" w14:textId="77777777" w:rsidR="00E55491" w:rsidRPr="00386E6F" w:rsidRDefault="00E55491" w:rsidP="00281329">
            <w:pPr>
              <w:pStyle w:val="Tablecontent"/>
              <w:rPr>
                <w:b/>
                <w:bCs/>
              </w:rPr>
            </w:pPr>
            <w:r w:rsidRPr="00386E6F">
              <w:rPr>
                <w:b/>
                <w:bCs/>
              </w:rPr>
              <w:t>Cost</w:t>
            </w:r>
          </w:p>
        </w:tc>
        <w:tc>
          <w:tcPr>
            <w:tcW w:w="8368" w:type="dxa"/>
          </w:tcPr>
          <w:p w14:paraId="1D5A4E68" w14:textId="77777777" w:rsidR="00E55491" w:rsidRDefault="00E55491" w:rsidP="00281329">
            <w:pPr>
              <w:pStyle w:val="Tablecontent"/>
            </w:pPr>
            <w:r>
              <w:t xml:space="preserve">VDI has a direct comparison to a physical laptop or desktop. One reason why VDI does not dominate End User Computing market despite being decades in the market is their cost is comparable with laptop or desktop, and laptop provides the offline capability. </w:t>
            </w:r>
          </w:p>
          <w:p w14:paraId="2C7EA6FA" w14:textId="77777777" w:rsidR="00E55491" w:rsidRPr="00A40764" w:rsidRDefault="00E55491" w:rsidP="00281329">
            <w:pPr>
              <w:pStyle w:val="Tablecontent"/>
            </w:pPr>
            <w:r>
              <w:t xml:space="preserve">One way to keep the cost down is the consolidation ratio. How many desktops or users can you pack into a single cluster? </w:t>
            </w:r>
          </w:p>
        </w:tc>
      </w:tr>
      <w:tr w:rsidR="00E55491" w:rsidRPr="00386E6F" w14:paraId="49BE8896" w14:textId="77777777" w:rsidTr="00281329">
        <w:tc>
          <w:tcPr>
            <w:tcW w:w="1980" w:type="dxa"/>
            <w:shd w:val="clear" w:color="auto" w:fill="F2F2F2" w:themeFill="background1" w:themeFillShade="F2"/>
          </w:tcPr>
          <w:p w14:paraId="3B65EC6F" w14:textId="77777777" w:rsidR="00E55491" w:rsidRPr="00386E6F" w:rsidRDefault="00E55491" w:rsidP="00281329">
            <w:pPr>
              <w:pStyle w:val="Tablecontent"/>
              <w:rPr>
                <w:b/>
                <w:bCs/>
              </w:rPr>
            </w:pPr>
            <w:r w:rsidRPr="00386E6F">
              <w:rPr>
                <w:b/>
                <w:bCs/>
              </w:rPr>
              <w:t>Compliance</w:t>
            </w:r>
          </w:p>
        </w:tc>
        <w:tc>
          <w:tcPr>
            <w:tcW w:w="8368" w:type="dxa"/>
          </w:tcPr>
          <w:p w14:paraId="502C2CC6" w14:textId="77777777" w:rsidR="00E55491" w:rsidRPr="00A40764" w:rsidRDefault="00E55491" w:rsidP="00281329">
            <w:pPr>
              <w:pStyle w:val="Tablecontent"/>
            </w:pPr>
            <w:r>
              <w:t>Different users may require different compliance. How do you prove that you’ve delivered continuous compliance?</w:t>
            </w:r>
          </w:p>
        </w:tc>
      </w:tr>
      <w:tr w:rsidR="00E55491" w:rsidRPr="00386E6F" w14:paraId="79C72EE5" w14:textId="77777777" w:rsidTr="00281329">
        <w:tc>
          <w:tcPr>
            <w:tcW w:w="1980" w:type="dxa"/>
            <w:shd w:val="clear" w:color="auto" w:fill="F2F2F2" w:themeFill="background1" w:themeFillShade="F2"/>
          </w:tcPr>
          <w:p w14:paraId="2D8AC879" w14:textId="77777777" w:rsidR="00E55491" w:rsidRPr="00386E6F" w:rsidRDefault="00E55491" w:rsidP="00281329">
            <w:pPr>
              <w:pStyle w:val="Tablecontent"/>
              <w:rPr>
                <w:b/>
                <w:bCs/>
              </w:rPr>
            </w:pPr>
            <w:r w:rsidRPr="00386E6F">
              <w:rPr>
                <w:b/>
                <w:bCs/>
              </w:rPr>
              <w:t>Configuration</w:t>
            </w:r>
          </w:p>
        </w:tc>
        <w:tc>
          <w:tcPr>
            <w:tcW w:w="8368" w:type="dxa"/>
          </w:tcPr>
          <w:p w14:paraId="4039859A" w14:textId="77777777" w:rsidR="00E55491" w:rsidRPr="00A40764" w:rsidRDefault="00E55491" w:rsidP="00281329">
            <w:pPr>
              <w:pStyle w:val="Tablecontent"/>
            </w:pPr>
            <w:r>
              <w:t>Any misconfiguration, outdated configuration, incompatible configuration or suboptimal configuration? This needs to be checked across the entire stack, especially the lower stack as problem in a stack will impact the stack above it.</w:t>
            </w:r>
          </w:p>
        </w:tc>
      </w:tr>
    </w:tbl>
    <w:p w14:paraId="695F121B" w14:textId="39C3FAC2" w:rsidR="00E55491" w:rsidRDefault="00E55491" w:rsidP="00E55491">
      <w:pPr>
        <w:rPr>
          <w:lang w:val="en-GB"/>
        </w:rPr>
      </w:pPr>
      <w:r>
        <w:rPr>
          <w:lang w:val="en-GB"/>
        </w:rPr>
        <w:t xml:space="preserve">From the brief summary above, you can see that VDI operations management is complex. It’s much more than waiting for user to complain and then troubleshoot a single desktop. Minimize the time troubleshooting single users by optimizing the Windows image, so you can focus on wide-spread problems. Using </w:t>
      </w:r>
      <w:hyperlink r:id="rId99" w:history="1">
        <w:r w:rsidRPr="005F32E6">
          <w:rPr>
            <w:rStyle w:val="Hyperlink"/>
            <w:lang w:val="en-GB"/>
          </w:rPr>
          <w:t>VMware OS Optimization Tool</w:t>
        </w:r>
      </w:hyperlink>
      <w:r>
        <w:rPr>
          <w:lang w:val="en-GB"/>
        </w:rPr>
        <w:t xml:space="preserve">, you can get improvements </w:t>
      </w:r>
      <w:r w:rsidR="005115DA">
        <w:rPr>
          <w:lang w:val="en-GB"/>
        </w:rPr>
        <w:t>such as reducing CPU Usage, disk IOPS and login time.</w:t>
      </w:r>
    </w:p>
    <w:p w14:paraId="33E06B92" w14:textId="0A2FE023" w:rsidR="00127BB0" w:rsidRDefault="00127BB0" w:rsidP="00540F68">
      <w:pPr>
        <w:pStyle w:val="Heading3"/>
      </w:pPr>
      <w:r w:rsidRPr="0072799F">
        <w:t xml:space="preserve">Insight </w:t>
      </w:r>
      <w:r w:rsidR="006C756B">
        <w:t>|</w:t>
      </w:r>
      <w:r w:rsidRPr="0072799F">
        <w:t xml:space="preserve"> Alert</w:t>
      </w: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600"/>
        <w:gridCol w:w="4189"/>
        <w:gridCol w:w="4677"/>
      </w:tblGrid>
      <w:tr w:rsidR="008764A4" w:rsidRPr="00386E6F" w14:paraId="2270794D" w14:textId="77777777" w:rsidTr="008764A4">
        <w:tc>
          <w:tcPr>
            <w:tcW w:w="1600" w:type="dxa"/>
            <w:shd w:val="clear" w:color="auto" w:fill="F2F2F2" w:themeFill="background1" w:themeFillShade="F2"/>
          </w:tcPr>
          <w:p w14:paraId="70CB7EAD" w14:textId="3841E526" w:rsidR="008764A4" w:rsidRPr="00386E6F" w:rsidRDefault="008764A4" w:rsidP="008764A4">
            <w:pPr>
              <w:pStyle w:val="Tableheading"/>
            </w:pPr>
          </w:p>
        </w:tc>
        <w:tc>
          <w:tcPr>
            <w:tcW w:w="4189" w:type="dxa"/>
            <w:shd w:val="clear" w:color="auto" w:fill="F2F2F2" w:themeFill="background1" w:themeFillShade="F2"/>
          </w:tcPr>
          <w:p w14:paraId="658B12FA" w14:textId="0EF40188" w:rsidR="008764A4" w:rsidRPr="00A40764" w:rsidRDefault="008764A4" w:rsidP="008764A4">
            <w:pPr>
              <w:pStyle w:val="Tableheading"/>
            </w:pPr>
            <w:r>
              <w:t>Alert</w:t>
            </w:r>
          </w:p>
        </w:tc>
        <w:tc>
          <w:tcPr>
            <w:tcW w:w="4677" w:type="dxa"/>
            <w:shd w:val="clear" w:color="auto" w:fill="F2F2F2" w:themeFill="background1" w:themeFillShade="F2"/>
          </w:tcPr>
          <w:p w14:paraId="087598B8" w14:textId="5279DC24" w:rsidR="008764A4" w:rsidRPr="00A40764" w:rsidRDefault="008764A4" w:rsidP="008764A4">
            <w:pPr>
              <w:pStyle w:val="Tableheading"/>
            </w:pPr>
            <w:r>
              <w:t>Insight</w:t>
            </w:r>
          </w:p>
        </w:tc>
      </w:tr>
      <w:tr w:rsidR="00A42DAE" w:rsidRPr="008764A4" w14:paraId="6EF26033" w14:textId="77777777" w:rsidTr="00671E10">
        <w:tc>
          <w:tcPr>
            <w:tcW w:w="1600" w:type="dxa"/>
            <w:shd w:val="clear" w:color="auto" w:fill="auto"/>
          </w:tcPr>
          <w:p w14:paraId="36A93A35" w14:textId="77777777" w:rsidR="00A42DAE" w:rsidRPr="008764A4" w:rsidRDefault="00A42DAE" w:rsidP="00671E10">
            <w:pPr>
              <w:pStyle w:val="Tablecontent"/>
              <w:rPr>
                <w:b/>
                <w:bCs/>
              </w:rPr>
            </w:pPr>
            <w:r w:rsidRPr="008764A4">
              <w:rPr>
                <w:b/>
                <w:bCs/>
              </w:rPr>
              <w:t>Goal</w:t>
            </w:r>
          </w:p>
        </w:tc>
        <w:tc>
          <w:tcPr>
            <w:tcW w:w="4189" w:type="dxa"/>
          </w:tcPr>
          <w:p w14:paraId="152ADED2" w14:textId="77777777" w:rsidR="00A42DAE" w:rsidRPr="008764A4" w:rsidRDefault="00A42DAE" w:rsidP="00671E10">
            <w:pPr>
              <w:pStyle w:val="Tablecontent"/>
            </w:pPr>
            <w:r w:rsidRPr="008764A4">
              <w:t>To fix</w:t>
            </w:r>
          </w:p>
        </w:tc>
        <w:tc>
          <w:tcPr>
            <w:tcW w:w="4677" w:type="dxa"/>
          </w:tcPr>
          <w:p w14:paraId="28B2D06B" w14:textId="77777777" w:rsidR="00A42DAE" w:rsidRPr="008764A4" w:rsidRDefault="00A42DAE" w:rsidP="00671E10">
            <w:pPr>
              <w:pStyle w:val="Tablecontent"/>
            </w:pPr>
            <w:r w:rsidRPr="008764A4">
              <w:t>To prevent</w:t>
            </w:r>
          </w:p>
        </w:tc>
      </w:tr>
      <w:tr w:rsidR="008764A4" w:rsidRPr="008764A4" w14:paraId="1FBF5129" w14:textId="77777777" w:rsidTr="008764A4">
        <w:tc>
          <w:tcPr>
            <w:tcW w:w="1600" w:type="dxa"/>
            <w:shd w:val="clear" w:color="auto" w:fill="auto"/>
          </w:tcPr>
          <w:p w14:paraId="75C9FEEC" w14:textId="7FB3EC74" w:rsidR="008764A4" w:rsidRPr="008764A4" w:rsidRDefault="008764A4" w:rsidP="008764A4">
            <w:pPr>
              <w:pStyle w:val="Tablecontent"/>
              <w:rPr>
                <w:b/>
                <w:bCs/>
              </w:rPr>
            </w:pPr>
            <w:r w:rsidRPr="008764A4">
              <w:rPr>
                <w:b/>
                <w:bCs/>
              </w:rPr>
              <w:t>What it is</w:t>
            </w:r>
          </w:p>
        </w:tc>
        <w:tc>
          <w:tcPr>
            <w:tcW w:w="4189" w:type="dxa"/>
          </w:tcPr>
          <w:p w14:paraId="61459F11" w14:textId="67333C94" w:rsidR="008764A4" w:rsidRPr="008764A4" w:rsidRDefault="008764A4" w:rsidP="008764A4">
            <w:pPr>
              <w:pStyle w:val="Tablecontent"/>
            </w:pPr>
            <w:r w:rsidRPr="008764A4">
              <w:t>A formal event with ticket recorded in the system</w:t>
            </w:r>
            <w:r w:rsidR="00A42DAE">
              <w:t>. May have an incident</w:t>
            </w:r>
          </w:p>
        </w:tc>
        <w:tc>
          <w:tcPr>
            <w:tcW w:w="4677" w:type="dxa"/>
          </w:tcPr>
          <w:p w14:paraId="46F4286A" w14:textId="5435EB99" w:rsidR="008764A4" w:rsidRPr="008764A4" w:rsidRDefault="008764A4" w:rsidP="008764A4">
            <w:pPr>
              <w:pStyle w:val="Tablecontent"/>
            </w:pPr>
            <w:r w:rsidRPr="008764A4">
              <w:t xml:space="preserve">Not a formal event. </w:t>
            </w:r>
            <w:r w:rsidR="00A42DAE">
              <w:t>No incident.</w:t>
            </w:r>
          </w:p>
        </w:tc>
      </w:tr>
      <w:tr w:rsidR="008764A4" w:rsidRPr="008764A4" w14:paraId="75FB4834" w14:textId="77777777" w:rsidTr="008764A4">
        <w:tc>
          <w:tcPr>
            <w:tcW w:w="1600" w:type="dxa"/>
            <w:shd w:val="clear" w:color="auto" w:fill="auto"/>
          </w:tcPr>
          <w:p w14:paraId="6BD92D73" w14:textId="34831068" w:rsidR="008764A4" w:rsidRPr="008764A4" w:rsidRDefault="008764A4" w:rsidP="008764A4">
            <w:pPr>
              <w:pStyle w:val="Tablecontent"/>
              <w:rPr>
                <w:b/>
                <w:bCs/>
              </w:rPr>
            </w:pPr>
            <w:r w:rsidRPr="008764A4">
              <w:rPr>
                <w:b/>
                <w:bCs/>
              </w:rPr>
              <w:lastRenderedPageBreak/>
              <w:t>Timeline</w:t>
            </w:r>
          </w:p>
        </w:tc>
        <w:tc>
          <w:tcPr>
            <w:tcW w:w="4189" w:type="dxa"/>
          </w:tcPr>
          <w:p w14:paraId="05B183AD" w14:textId="5ED4A56E" w:rsidR="008764A4" w:rsidRPr="008764A4" w:rsidRDefault="008764A4" w:rsidP="008764A4">
            <w:pPr>
              <w:pStyle w:val="Tablecontent"/>
            </w:pPr>
            <w:r w:rsidRPr="008764A4">
              <w:t>Hours (Today)</w:t>
            </w:r>
          </w:p>
        </w:tc>
        <w:tc>
          <w:tcPr>
            <w:tcW w:w="4677" w:type="dxa"/>
          </w:tcPr>
          <w:p w14:paraId="061530BC" w14:textId="18F99310" w:rsidR="008764A4" w:rsidRPr="008764A4" w:rsidRDefault="008764A4" w:rsidP="008764A4">
            <w:pPr>
              <w:pStyle w:val="Tablecontent"/>
            </w:pPr>
            <w:r w:rsidRPr="008764A4">
              <w:t>Tomorrow – Next Week</w:t>
            </w:r>
          </w:p>
        </w:tc>
      </w:tr>
      <w:tr w:rsidR="00DF7815" w:rsidRPr="008764A4" w14:paraId="02F251AA" w14:textId="77777777" w:rsidTr="008764A4">
        <w:tc>
          <w:tcPr>
            <w:tcW w:w="1600" w:type="dxa"/>
            <w:shd w:val="clear" w:color="auto" w:fill="auto"/>
          </w:tcPr>
          <w:p w14:paraId="112780B1" w14:textId="23193FC6" w:rsidR="00DF7815" w:rsidRPr="008764A4" w:rsidRDefault="00DF7815" w:rsidP="00DF7815">
            <w:pPr>
              <w:pStyle w:val="Tablecontent"/>
              <w:rPr>
                <w:b/>
                <w:bCs/>
              </w:rPr>
            </w:pPr>
            <w:r w:rsidRPr="008764A4">
              <w:rPr>
                <w:b/>
                <w:bCs/>
              </w:rPr>
              <w:t>What For</w:t>
            </w:r>
          </w:p>
        </w:tc>
        <w:tc>
          <w:tcPr>
            <w:tcW w:w="4189" w:type="dxa"/>
          </w:tcPr>
          <w:p w14:paraId="3380AFD0" w14:textId="1FF2B924" w:rsidR="00DF7815" w:rsidRPr="00DF7815" w:rsidRDefault="00DF7815" w:rsidP="00DF7815">
            <w:pPr>
              <w:pStyle w:val="Tablecontent"/>
            </w:pPr>
            <w:r w:rsidRPr="00DF7815">
              <w:t>Urgent matters. Hopefully not important</w:t>
            </w:r>
          </w:p>
        </w:tc>
        <w:tc>
          <w:tcPr>
            <w:tcW w:w="4677" w:type="dxa"/>
          </w:tcPr>
          <w:p w14:paraId="6AE58A2A" w14:textId="72A04D66" w:rsidR="00DF7815" w:rsidRPr="00DF7815" w:rsidRDefault="00DF7815" w:rsidP="00DF7815">
            <w:pPr>
              <w:pStyle w:val="Tablecontent"/>
            </w:pPr>
            <w:r w:rsidRPr="00DF7815">
              <w:t>Important matters. Hopefully not urgent.</w:t>
            </w:r>
          </w:p>
        </w:tc>
      </w:tr>
      <w:tr w:rsidR="008764A4" w:rsidRPr="008764A4" w14:paraId="3525C6E8" w14:textId="77777777" w:rsidTr="008764A4">
        <w:tc>
          <w:tcPr>
            <w:tcW w:w="1600" w:type="dxa"/>
            <w:shd w:val="clear" w:color="auto" w:fill="auto"/>
          </w:tcPr>
          <w:p w14:paraId="418B4015" w14:textId="1AB0482D" w:rsidR="008764A4" w:rsidRPr="008764A4" w:rsidRDefault="008764A4" w:rsidP="008764A4">
            <w:pPr>
              <w:pStyle w:val="Tablecontent"/>
              <w:rPr>
                <w:b/>
                <w:bCs/>
              </w:rPr>
            </w:pPr>
            <w:r w:rsidRPr="008764A4">
              <w:rPr>
                <w:b/>
                <w:bCs/>
              </w:rPr>
              <w:t>Nature</w:t>
            </w:r>
          </w:p>
        </w:tc>
        <w:tc>
          <w:tcPr>
            <w:tcW w:w="4189" w:type="dxa"/>
          </w:tcPr>
          <w:p w14:paraId="16263C2D" w14:textId="06A06D42" w:rsidR="008764A4" w:rsidRPr="008764A4" w:rsidRDefault="008764A4" w:rsidP="008764A4">
            <w:pPr>
              <w:pStyle w:val="Tablecontent"/>
            </w:pPr>
            <w:r w:rsidRPr="008764A4">
              <w:t>Reactive</w:t>
            </w:r>
            <w:r>
              <w:t>. System tells you</w:t>
            </w:r>
          </w:p>
        </w:tc>
        <w:tc>
          <w:tcPr>
            <w:tcW w:w="4677" w:type="dxa"/>
          </w:tcPr>
          <w:p w14:paraId="53DF35F4" w14:textId="1CAE43D0" w:rsidR="008764A4" w:rsidRPr="008764A4" w:rsidRDefault="008764A4" w:rsidP="008764A4">
            <w:pPr>
              <w:pStyle w:val="Tablecontent"/>
            </w:pPr>
            <w:r w:rsidRPr="008764A4">
              <w:t>Proactive. Start of Day SOP</w:t>
            </w:r>
            <w:r w:rsidR="00DF7815">
              <w:t xml:space="preserve"> </w:t>
            </w:r>
            <w:r w:rsidR="00DF7815" w:rsidRPr="00DF7815">
              <w:t>and Health Check</w:t>
            </w:r>
          </w:p>
        </w:tc>
      </w:tr>
      <w:tr w:rsidR="008764A4" w:rsidRPr="008764A4" w14:paraId="172814D5" w14:textId="77777777" w:rsidTr="008764A4">
        <w:tc>
          <w:tcPr>
            <w:tcW w:w="1600" w:type="dxa"/>
            <w:shd w:val="clear" w:color="auto" w:fill="auto"/>
          </w:tcPr>
          <w:p w14:paraId="66533447" w14:textId="2A05521D" w:rsidR="008764A4" w:rsidRPr="008764A4" w:rsidRDefault="008764A4" w:rsidP="008764A4">
            <w:pPr>
              <w:pStyle w:val="Tablecontent"/>
              <w:rPr>
                <w:b/>
                <w:bCs/>
              </w:rPr>
            </w:pPr>
            <w:r w:rsidRPr="008764A4">
              <w:rPr>
                <w:b/>
                <w:bCs/>
              </w:rPr>
              <w:t>Starting Point</w:t>
            </w:r>
          </w:p>
        </w:tc>
        <w:tc>
          <w:tcPr>
            <w:tcW w:w="4189" w:type="dxa"/>
          </w:tcPr>
          <w:p w14:paraId="2109739E" w14:textId="2F83ED4B" w:rsidR="008764A4" w:rsidRPr="008764A4" w:rsidRDefault="008764A4" w:rsidP="008764A4">
            <w:pPr>
              <w:pStyle w:val="Tablecontent"/>
            </w:pPr>
            <w:r w:rsidRPr="008764A4">
              <w:t>A specific alert</w:t>
            </w:r>
          </w:p>
        </w:tc>
        <w:tc>
          <w:tcPr>
            <w:tcW w:w="4677" w:type="dxa"/>
          </w:tcPr>
          <w:p w14:paraId="02A5367D" w14:textId="66095ED5" w:rsidR="008764A4" w:rsidRPr="008764A4" w:rsidRDefault="008764A4" w:rsidP="008764A4">
            <w:pPr>
              <w:pStyle w:val="Tablecontent"/>
            </w:pPr>
            <w:r w:rsidRPr="008764A4">
              <w:t>The</w:t>
            </w:r>
            <w:r w:rsidR="00A42DAE">
              <w:t xml:space="preserve"> b</w:t>
            </w:r>
            <w:r w:rsidRPr="008764A4">
              <w:t xml:space="preserve">ig </w:t>
            </w:r>
            <w:r w:rsidR="00A42DAE">
              <w:t>p</w:t>
            </w:r>
            <w:r w:rsidRPr="008764A4">
              <w:t>icture of overall environment</w:t>
            </w:r>
          </w:p>
        </w:tc>
      </w:tr>
      <w:tr w:rsidR="00A42DAE" w:rsidRPr="008764A4" w14:paraId="7AD3B7AC" w14:textId="77777777" w:rsidTr="003743D7">
        <w:tc>
          <w:tcPr>
            <w:tcW w:w="1600" w:type="dxa"/>
            <w:shd w:val="clear" w:color="auto" w:fill="auto"/>
          </w:tcPr>
          <w:p w14:paraId="63C79CB6" w14:textId="77777777" w:rsidR="00A42DAE" w:rsidRPr="008764A4" w:rsidRDefault="00A42DAE" w:rsidP="003743D7">
            <w:pPr>
              <w:pStyle w:val="Tablecontent"/>
              <w:rPr>
                <w:b/>
                <w:bCs/>
              </w:rPr>
            </w:pPr>
            <w:r w:rsidRPr="008764A4">
              <w:rPr>
                <w:b/>
                <w:bCs/>
              </w:rPr>
              <w:t>Situation</w:t>
            </w:r>
          </w:p>
        </w:tc>
        <w:tc>
          <w:tcPr>
            <w:tcW w:w="4189" w:type="dxa"/>
          </w:tcPr>
          <w:p w14:paraId="7BD3D6AB" w14:textId="77777777" w:rsidR="00A42DAE" w:rsidRPr="008764A4" w:rsidRDefault="00A42DAE" w:rsidP="003743D7">
            <w:pPr>
              <w:pStyle w:val="Tablecontent"/>
            </w:pPr>
            <w:r w:rsidRPr="008764A4">
              <w:t xml:space="preserve">Known </w:t>
            </w:r>
            <w:r>
              <w:t>p</w:t>
            </w:r>
            <w:r w:rsidRPr="008764A4">
              <w:t>roblem</w:t>
            </w:r>
          </w:p>
        </w:tc>
        <w:tc>
          <w:tcPr>
            <w:tcW w:w="4677" w:type="dxa"/>
          </w:tcPr>
          <w:p w14:paraId="08DF5530" w14:textId="77777777" w:rsidR="00A42DAE" w:rsidRPr="008764A4" w:rsidRDefault="00A42DAE" w:rsidP="003743D7">
            <w:pPr>
              <w:pStyle w:val="Tablecontent"/>
            </w:pPr>
            <w:r>
              <w:t xml:space="preserve">No </w:t>
            </w:r>
            <w:r w:rsidRPr="008764A4">
              <w:t>known</w:t>
            </w:r>
            <w:r>
              <w:t xml:space="preserve"> problem</w:t>
            </w:r>
            <w:r w:rsidRPr="008764A4">
              <w:t xml:space="preserve"> </w:t>
            </w:r>
          </w:p>
        </w:tc>
      </w:tr>
      <w:tr w:rsidR="00A42DAE" w:rsidRPr="008764A4" w14:paraId="40580E73" w14:textId="77777777" w:rsidTr="00767A10">
        <w:tc>
          <w:tcPr>
            <w:tcW w:w="1600" w:type="dxa"/>
            <w:shd w:val="clear" w:color="auto" w:fill="auto"/>
          </w:tcPr>
          <w:p w14:paraId="2D904BB0" w14:textId="77777777" w:rsidR="00A42DAE" w:rsidRPr="008764A4" w:rsidRDefault="00A42DAE" w:rsidP="00767A10">
            <w:pPr>
              <w:pStyle w:val="Tablecontent"/>
              <w:rPr>
                <w:b/>
                <w:bCs/>
              </w:rPr>
            </w:pPr>
            <w:r w:rsidRPr="008764A4">
              <w:rPr>
                <w:b/>
                <w:bCs/>
              </w:rPr>
              <w:t>User Interface</w:t>
            </w:r>
          </w:p>
        </w:tc>
        <w:tc>
          <w:tcPr>
            <w:tcW w:w="4189" w:type="dxa"/>
          </w:tcPr>
          <w:p w14:paraId="13B4788E" w14:textId="0189BA0A" w:rsidR="00A42DAE" w:rsidRPr="008764A4" w:rsidRDefault="00A42DAE" w:rsidP="00767A10">
            <w:pPr>
              <w:pStyle w:val="Tablecontent"/>
            </w:pPr>
            <w:r>
              <w:t xml:space="preserve">Start with </w:t>
            </w:r>
            <w:r w:rsidRPr="008764A4">
              <w:t>Email</w:t>
            </w:r>
            <w:r>
              <w:t xml:space="preserve"> or notification on your mobile phone</w:t>
            </w:r>
            <w:r w:rsidRPr="008764A4">
              <w:t xml:space="preserve"> </w:t>
            </w:r>
          </w:p>
        </w:tc>
        <w:tc>
          <w:tcPr>
            <w:tcW w:w="4677" w:type="dxa"/>
          </w:tcPr>
          <w:p w14:paraId="0D819C5B" w14:textId="0B94BCD2" w:rsidR="00A42DAE" w:rsidRPr="008764A4" w:rsidRDefault="00A42DAE" w:rsidP="00767A10">
            <w:pPr>
              <w:pStyle w:val="Tablecontent"/>
            </w:pPr>
            <w:r>
              <w:t xml:space="preserve">Start with a big </w:t>
            </w:r>
            <w:r w:rsidRPr="008764A4">
              <w:t>Dashboard</w:t>
            </w:r>
            <w:r>
              <w:t xml:space="preserve"> on desktop/laptop</w:t>
            </w:r>
          </w:p>
        </w:tc>
      </w:tr>
      <w:tr w:rsidR="00A42DAE" w:rsidRPr="008764A4" w14:paraId="64BDF185" w14:textId="77777777" w:rsidTr="00767A10">
        <w:tc>
          <w:tcPr>
            <w:tcW w:w="1600" w:type="dxa"/>
            <w:shd w:val="clear" w:color="auto" w:fill="auto"/>
          </w:tcPr>
          <w:p w14:paraId="16383455" w14:textId="161AC559" w:rsidR="00A42DAE" w:rsidRPr="00A42DAE" w:rsidRDefault="00A42DAE" w:rsidP="00A42DAE">
            <w:pPr>
              <w:pStyle w:val="Tablecontent"/>
              <w:rPr>
                <w:b/>
                <w:bCs/>
              </w:rPr>
            </w:pPr>
            <w:r w:rsidRPr="00A42DAE">
              <w:rPr>
                <w:b/>
                <w:bCs/>
              </w:rPr>
              <w:t>Expertise</w:t>
            </w:r>
          </w:p>
        </w:tc>
        <w:tc>
          <w:tcPr>
            <w:tcW w:w="4189" w:type="dxa"/>
          </w:tcPr>
          <w:p w14:paraId="053C4EBD" w14:textId="0AB2D7D9" w:rsidR="00A42DAE" w:rsidRPr="00A42DAE" w:rsidRDefault="00A42DAE" w:rsidP="00A42DAE">
            <w:pPr>
              <w:pStyle w:val="Tablecontent"/>
            </w:pPr>
            <w:r w:rsidRPr="00A42DAE">
              <w:t>Low. Follow steps</w:t>
            </w:r>
          </w:p>
        </w:tc>
        <w:tc>
          <w:tcPr>
            <w:tcW w:w="4677" w:type="dxa"/>
          </w:tcPr>
          <w:p w14:paraId="75A5626D" w14:textId="0A0F49DF" w:rsidR="00A42DAE" w:rsidRPr="00A42DAE" w:rsidRDefault="00A42DAE" w:rsidP="00A42DAE">
            <w:pPr>
              <w:pStyle w:val="Tablecontent"/>
            </w:pPr>
            <w:r w:rsidRPr="00A42DAE">
              <w:t>High. No steps to follow</w:t>
            </w:r>
          </w:p>
        </w:tc>
      </w:tr>
      <w:tr w:rsidR="00A42DAE" w:rsidRPr="008764A4" w14:paraId="0FA99C0A" w14:textId="77777777" w:rsidTr="00767A10">
        <w:tc>
          <w:tcPr>
            <w:tcW w:w="1600" w:type="dxa"/>
            <w:shd w:val="clear" w:color="auto" w:fill="auto"/>
          </w:tcPr>
          <w:p w14:paraId="06B8C4E1" w14:textId="1C11A839" w:rsidR="00A42DAE" w:rsidRPr="00A42DAE" w:rsidRDefault="00A42DAE" w:rsidP="00A42DAE">
            <w:pPr>
              <w:pStyle w:val="Tablecontent"/>
              <w:rPr>
                <w:b/>
                <w:bCs/>
              </w:rPr>
            </w:pPr>
            <w:r w:rsidRPr="00A42DAE">
              <w:rPr>
                <w:b/>
                <w:bCs/>
              </w:rPr>
              <w:t>Familiarity</w:t>
            </w:r>
          </w:p>
        </w:tc>
        <w:tc>
          <w:tcPr>
            <w:tcW w:w="4189" w:type="dxa"/>
          </w:tcPr>
          <w:p w14:paraId="7965B10B" w14:textId="07919FAB" w:rsidR="00A42DAE" w:rsidRPr="00A42DAE" w:rsidRDefault="00A42DAE" w:rsidP="00A42DAE">
            <w:pPr>
              <w:pStyle w:val="Tablecontent"/>
            </w:pPr>
            <w:r w:rsidRPr="00A42DAE">
              <w:t>Does not need to know the environment and workload well</w:t>
            </w:r>
          </w:p>
        </w:tc>
        <w:tc>
          <w:tcPr>
            <w:tcW w:w="4677" w:type="dxa"/>
          </w:tcPr>
          <w:p w14:paraId="4D45F3DF" w14:textId="78A72AAD" w:rsidR="00A42DAE" w:rsidRPr="00A42DAE" w:rsidRDefault="00A42DAE" w:rsidP="00A42DAE">
            <w:pPr>
              <w:pStyle w:val="Tablecontent"/>
            </w:pPr>
            <w:r w:rsidRPr="00A42DAE">
              <w:t>Must know well.</w:t>
            </w:r>
          </w:p>
        </w:tc>
      </w:tr>
    </w:tbl>
    <w:p w14:paraId="7565A086" w14:textId="77777777" w:rsidR="003A55B9" w:rsidRDefault="0073048F" w:rsidP="00127BB0">
      <w:r>
        <w:t xml:space="preserve">Many operations rely on alerts as the starting point. Actions are taken based on alerts, resulting in reactive day-to-day operations. </w:t>
      </w:r>
    </w:p>
    <w:p w14:paraId="1AF82A21" w14:textId="31246BB8" w:rsidR="003A55B9" w:rsidRDefault="003A55B9" w:rsidP="00127BB0">
      <w:r>
        <w:t xml:space="preserve">IT Operations cover a wide area of systems. It’s common to see &gt; 1K alerts definition across all the systems under monitoring. As the team wants to be alerted early, a conservative threshold is set up. </w:t>
      </w:r>
      <w:r w:rsidR="005E42E1">
        <w:t xml:space="preserve">This results in alert storm. </w:t>
      </w:r>
    </w:p>
    <w:p w14:paraId="7449CE77" w14:textId="59C78F93" w:rsidR="005E42E1" w:rsidRDefault="005E42E1" w:rsidP="00127BB0">
      <w:r>
        <w:t xml:space="preserve">Since automation is </w:t>
      </w:r>
      <w:r w:rsidR="003A55B9">
        <w:t xml:space="preserve">wrongly perceived </w:t>
      </w:r>
      <w:r>
        <w:t>as the holy grail of solution, alerts are typically set to auto close if the symptom disappears. The creates a bigger problem, common in large enterprise with a large IT team. That problem is “</w:t>
      </w:r>
      <w:r w:rsidRPr="00094304">
        <w:rPr>
          <w:color w:val="FF0000"/>
        </w:rPr>
        <w:t>lazy operations</w:t>
      </w:r>
      <w:r>
        <w:t>” when no alert is associated with no problem.</w:t>
      </w:r>
    </w:p>
    <w:p w14:paraId="065F04ED" w14:textId="7DDBD02E" w:rsidR="00127BB0" w:rsidRPr="0072799F" w:rsidRDefault="005E42E1" w:rsidP="00A42DAE">
      <w:r>
        <w:t>Alerts rely on threshold, be it dynamic or static. Threshold has an inherent limitation. It misses the big picture, as it can only see what has crossed the threshold. For one object that reached this threshold, there could be many just beneath it. For one alert, there could many supporting metrics that have shown the potential root cause. Think of an iceberg. The small portion above sea level, the visible part, is an alert.</w:t>
      </w:r>
      <w:r w:rsidR="00A42DAE">
        <w:t xml:space="preserve"> It misses the total picture.</w:t>
      </w:r>
      <w:r>
        <w:t xml:space="preserve"> </w:t>
      </w:r>
    </w:p>
    <w:p w14:paraId="4F7F7650" w14:textId="6EA420BC" w:rsidR="0073048F" w:rsidRDefault="005E42E1" w:rsidP="0073048F">
      <w:r>
        <w:t xml:space="preserve">To turn this situation around, vRealize Operations provides insight. Insights complement alerts, it does </w:t>
      </w:r>
      <w:r w:rsidRPr="005E42E1">
        <w:rPr>
          <w:color w:val="FF0000"/>
        </w:rPr>
        <w:t xml:space="preserve">not </w:t>
      </w:r>
      <w:r>
        <w:t xml:space="preserve">replace it. </w:t>
      </w:r>
      <w:r w:rsidR="00073129">
        <w:t>Insight does not have “</w:t>
      </w:r>
      <w:r w:rsidR="00073129" w:rsidRPr="00642913">
        <w:rPr>
          <w:color w:val="00B0F0"/>
        </w:rPr>
        <w:t>auto close</w:t>
      </w:r>
      <w:r w:rsidR="00073129">
        <w:t xml:space="preserve">” concept as it does not involve help desk ticket. It’s recording a fact that something has gone wrong, and that something could potentially cause an alert. </w:t>
      </w:r>
    </w:p>
    <w:p w14:paraId="2988C53C" w14:textId="2776CFFC" w:rsidR="008A6609" w:rsidRDefault="008A6609" w:rsidP="0073048F">
      <w:r>
        <w:t>Insight requires an expert, someone who knows what he is doing. He knows the environment well and proactively try to prevent problems. Insights answers much harder questions, which are typically fuzzy hence they can’t be defined as alerts. Examples of questions are:</w:t>
      </w:r>
    </w:p>
    <w:p w14:paraId="1415B052" w14:textId="3852571C" w:rsidR="008A6609" w:rsidRDefault="008A6609" w:rsidP="008A6609">
      <w:pPr>
        <w:pStyle w:val="Bullet"/>
      </w:pPr>
      <w:r>
        <w:t xml:space="preserve">Are we being attacked? Are they events and activities that happens in parts of our environment where they are not supposed to happen? </w:t>
      </w:r>
    </w:p>
    <w:p w14:paraId="49E49AA6" w14:textId="6B08DED0" w:rsidR="008A6609" w:rsidRDefault="008A6609" w:rsidP="008A6609">
      <w:pPr>
        <w:pStyle w:val="Bullet"/>
      </w:pPr>
      <w:r>
        <w:t xml:space="preserve">Is performance degrading? Is there any common pattern and cause? </w:t>
      </w:r>
    </w:p>
    <w:p w14:paraId="4E58AF72" w14:textId="42F2A582" w:rsidR="008A6609" w:rsidRPr="0072799F" w:rsidRDefault="008A6609" w:rsidP="008A6609">
      <w:pPr>
        <w:pStyle w:val="Bullet"/>
      </w:pPr>
      <w:r>
        <w:t>Is the environment behaving differently to what we expect?</w:t>
      </w:r>
    </w:p>
    <w:p w14:paraId="049A42AB" w14:textId="3E08FAE1" w:rsidR="00073129" w:rsidRDefault="005E5606" w:rsidP="0073048F">
      <w:r>
        <w:t xml:space="preserve">There is a common misconception that </w:t>
      </w:r>
      <w:r w:rsidR="0011548D">
        <w:t xml:space="preserve">Insight </w:t>
      </w:r>
      <w:r>
        <w:t xml:space="preserve">is simply alerts that use </w:t>
      </w:r>
      <w:r w:rsidR="0011548D">
        <w:t>different threshold</w:t>
      </w:r>
      <w:r>
        <w:t xml:space="preserve"> on the same metric</w:t>
      </w:r>
      <w:r w:rsidR="0011548D">
        <w:t>.</w:t>
      </w:r>
      <w:r>
        <w:t xml:space="preserve"> So insight is basically an alert with lower threshold.</w:t>
      </w:r>
      <w:r w:rsidR="00073129">
        <w:t xml:space="preserve"> This is valid, but incomplete.</w:t>
      </w:r>
      <w:r>
        <w:t xml:space="preserve"> Implementing insight this way </w:t>
      </w:r>
      <w:r w:rsidR="0011548D">
        <w:t xml:space="preserve">can result in </w:t>
      </w:r>
      <w:r w:rsidR="194FE9BF">
        <w:t>a</w:t>
      </w:r>
      <w:r w:rsidR="00073129">
        <w:t>n</w:t>
      </w:r>
      <w:r w:rsidR="194FE9BF">
        <w:t xml:space="preserve"> </w:t>
      </w:r>
      <w:r w:rsidR="0011548D">
        <w:t>alert storm</w:t>
      </w:r>
      <w:r>
        <w:t xml:space="preserve"> and a lot of tickets</w:t>
      </w:r>
      <w:r w:rsidR="0011548D">
        <w:t xml:space="preserve">. </w:t>
      </w:r>
      <w:r w:rsidR="006C756B">
        <w:t>I</w:t>
      </w:r>
      <w:r w:rsidR="0011548D">
        <w:t>nsight use</w:t>
      </w:r>
      <w:r w:rsidR="006C756B">
        <w:t>s</w:t>
      </w:r>
      <w:r w:rsidR="0011548D">
        <w:t xml:space="preserve"> </w:t>
      </w:r>
      <w:r w:rsidR="006C756B">
        <w:t xml:space="preserve">many more </w:t>
      </w:r>
      <w:r w:rsidR="0011548D">
        <w:t>metric</w:t>
      </w:r>
      <w:r w:rsidR="76637D4A">
        <w:t>s than</w:t>
      </w:r>
      <w:r w:rsidR="0011548D">
        <w:t xml:space="preserve"> </w:t>
      </w:r>
      <w:r w:rsidR="006C756B">
        <w:t>a</w:t>
      </w:r>
      <w:r w:rsidR="0011548D">
        <w:t>lerts</w:t>
      </w:r>
      <w:r w:rsidR="006C756B">
        <w:t xml:space="preserve">, especially the supporting metrics. </w:t>
      </w:r>
    </w:p>
    <w:p w14:paraId="393BBA3A" w14:textId="2291656F" w:rsidR="0011548D" w:rsidRPr="0072799F" w:rsidRDefault="00073129" w:rsidP="0073048F">
      <w:r>
        <w:t>Insight focus</w:t>
      </w:r>
      <w:r w:rsidR="006C756B">
        <w:t>es</w:t>
      </w:r>
      <w:r>
        <w:t xml:space="preserve"> on the underlying problem. </w:t>
      </w:r>
      <w:r w:rsidR="005E5606">
        <w:t xml:space="preserve">It </w:t>
      </w:r>
      <w:r w:rsidR="00482056">
        <w:t xml:space="preserve">also helps </w:t>
      </w:r>
      <w:r w:rsidR="0011548D">
        <w:t xml:space="preserve">buy you time so you can address the problem before </w:t>
      </w:r>
      <w:r w:rsidR="2556F0A8">
        <w:t xml:space="preserve">the </w:t>
      </w:r>
      <w:r w:rsidR="0011548D">
        <w:t>user complains.</w:t>
      </w:r>
      <w:r w:rsidR="00482056">
        <w:t xml:space="preserve"> In the following example, the alerts use the SLA metrics and threshold. The insights use more granular metrics and supporting metrics. </w:t>
      </w:r>
    </w:p>
    <w:p w14:paraId="12FEAF4D" w14:textId="734140FF" w:rsidR="00BB1150" w:rsidRDefault="5EBBF1D9" w:rsidP="00127BB0">
      <w:r>
        <w:rPr>
          <w:noProof/>
        </w:rPr>
        <w:lastRenderedPageBreak/>
        <w:drawing>
          <wp:inline distT="0" distB="0" distL="0" distR="0" wp14:anchorId="092D6C99" wp14:editId="4B53E05A">
            <wp:extent cx="6645910" cy="2988945"/>
            <wp:effectExtent l="0" t="0" r="2540" b="1905"/>
            <wp:docPr id="606394247" name="Picture 606394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47"/>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6645910" cy="2988945"/>
                    </a:xfrm>
                    <a:prstGeom prst="rect">
                      <a:avLst/>
                    </a:prstGeom>
                  </pic:spPr>
                </pic:pic>
              </a:graphicData>
            </a:graphic>
          </wp:inline>
        </w:drawing>
      </w:r>
    </w:p>
    <w:p w14:paraId="0730BDAF" w14:textId="12685F08" w:rsidR="00D13166" w:rsidRDefault="00D13166" w:rsidP="00127BB0">
      <w:r>
        <w:t xml:space="preserve">What do you think of the preceding example? Would it result in less alerts but also less reactive troubleshooting? </w:t>
      </w:r>
    </w:p>
    <w:p w14:paraId="4912609D" w14:textId="4B744623" w:rsidR="00D13166" w:rsidRDefault="00D13166" w:rsidP="00127BB0">
      <w:r>
        <w:t>The main limitation is proactive is false positive. It also requires the daily operational discipline.</w:t>
      </w:r>
    </w:p>
    <w:p w14:paraId="46B37D30" w14:textId="54194AF4" w:rsidR="006C756B" w:rsidRDefault="006C756B" w:rsidP="00127BB0">
      <w:r>
        <w:t xml:space="preserve">Insight is useless to those who are not familiar with the environment. The numbers shown by insight should match reality, and only a person intimately involved with the actual operations can sense if the numbers are not correct. Let’s take an example. The insight shows your total IOPS throughput is low. If you don’t know what to expect on that day, that number is meaningless. But if on that day you expect a high throughput because it is the largest sales in your company history, then you know the sales is not happening as per expectation. </w:t>
      </w:r>
      <w:r w:rsidR="00642913">
        <w:t>Proactively</w:t>
      </w:r>
      <w:r>
        <w:t xml:space="preserve"> check before your CEO complains why business is not doing well. </w:t>
      </w:r>
    </w:p>
    <w:p w14:paraId="02DC713D" w14:textId="4C161A50" w:rsidR="00FD7573" w:rsidRPr="00B373E2" w:rsidRDefault="00FD7573" w:rsidP="00B373E2">
      <w:pPr>
        <w:pStyle w:val="Heading2"/>
      </w:pPr>
      <w:bookmarkStart w:id="16" w:name="_Contention_vs_Utilization_1"/>
      <w:bookmarkStart w:id="17" w:name="_Performance_vs_Capacity"/>
      <w:bookmarkStart w:id="18" w:name="_Performance_Management"/>
      <w:bookmarkEnd w:id="16"/>
      <w:bookmarkEnd w:id="17"/>
      <w:bookmarkEnd w:id="18"/>
      <w:r w:rsidRPr="00B373E2">
        <w:lastRenderedPageBreak/>
        <w:t>Performance Management</w:t>
      </w:r>
    </w:p>
    <w:p w14:paraId="06FC41F0" w14:textId="082BF9B1" w:rsidR="00C84219" w:rsidRPr="00C84219" w:rsidRDefault="00C84219" w:rsidP="00C84219">
      <w:r>
        <w:rPr>
          <w:noProof/>
        </w:rPr>
        <mc:AlternateContent>
          <mc:Choice Requires="wps">
            <w:drawing>
              <wp:anchor distT="0" distB="0" distL="114300" distR="114300" simplePos="0" relativeHeight="251662336" behindDoc="0" locked="0" layoutInCell="1" allowOverlap="1" wp14:anchorId="1A16B55F" wp14:editId="6BD2CCDC">
                <wp:simplePos x="0" y="0"/>
                <wp:positionH relativeFrom="column">
                  <wp:posOffset>0</wp:posOffset>
                </wp:positionH>
                <wp:positionV relativeFrom="paragraph">
                  <wp:posOffset>0</wp:posOffset>
                </wp:positionV>
                <wp:extent cx="1828800" cy="1828800"/>
                <wp:effectExtent l="0" t="0" r="0" b="0"/>
                <wp:wrapNone/>
                <wp:docPr id="606394155" name="Text Box 60639415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67A5A9F" w14:textId="7FE4F9B1" w:rsidR="00E66F24" w:rsidRPr="00C84219" w:rsidRDefault="00E66F24" w:rsidP="00C84219">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1 Chapter 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1A16B55F" id="Text Box 606394155" o:spid="_x0000_s1027" type="#_x0000_t202" style="position:absolute;margin-left:0;margin-top:0;width:2in;height:2in;z-index:251662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" filled="f" stroked="f">
                <v:textbox style="mso-fit-shape-to-text:t">
                  <w:txbxContent>
                    <w:p w14:paraId="167A5A9F" w14:textId="7FE4F9B1" w:rsidR="00E66F24" w:rsidRPr="00C84219" w:rsidRDefault="00E66F24" w:rsidP="00C84219">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1 Chapter 2</w:t>
                      </w:r>
                    </w:p>
                  </w:txbxContent>
                </v:textbox>
              </v:shape>
            </w:pict>
          </mc:Fallback>
        </mc:AlternateContent>
      </w:r>
    </w:p>
    <w:p w14:paraId="6EBBF148" w14:textId="65569810" w:rsidR="00FD7573" w:rsidRPr="008B64A4" w:rsidRDefault="00FD7573" w:rsidP="003F097B">
      <w:pPr>
        <w:pStyle w:val="AfterChapterTitle"/>
      </w:pPr>
      <w:r w:rsidRPr="008B64A4">
        <w:t>Performance is about ensuring workloads get the necessary resources. KPI</w:t>
      </w:r>
      <w:r w:rsidR="00A774FC">
        <w:t>s</w:t>
      </w:r>
      <w:r w:rsidRPr="008B64A4">
        <w:t xml:space="preserve"> </w:t>
      </w:r>
      <w:r w:rsidR="00B60E08">
        <w:t>should</w:t>
      </w:r>
      <w:r w:rsidRPr="008B64A4">
        <w:t xml:space="preserve"> be used </w:t>
      </w:r>
      <w:r w:rsidR="003D7738">
        <w:t>as leading indicators</w:t>
      </w:r>
      <w:r w:rsidR="00A774FC">
        <w:t>, giving early warnings before SLA is breached.</w:t>
      </w:r>
    </w:p>
    <w:p w14:paraId="7D333FDF" w14:textId="0A936974" w:rsidR="00B62A45" w:rsidRPr="00B373E2" w:rsidRDefault="00C928E1" w:rsidP="00540F68">
      <w:pPr>
        <w:pStyle w:val="Heading3"/>
      </w:pPr>
      <w:r w:rsidRPr="00B373E2">
        <w:t xml:space="preserve">A </w:t>
      </w:r>
      <w:r w:rsidR="00254FDC">
        <w:t>D</w:t>
      </w:r>
      <w:r w:rsidRPr="00B373E2">
        <w:t xml:space="preserve">ay in the </w:t>
      </w:r>
      <w:r w:rsidR="00254FDC">
        <w:t>L</w:t>
      </w:r>
      <w:r w:rsidRPr="00B373E2">
        <w:t>ife of a Cloud Admin</w:t>
      </w:r>
    </w:p>
    <w:p w14:paraId="2EBF4EDC" w14:textId="1874F4C8" w:rsidR="00F43A0D" w:rsidRPr="008B64A4" w:rsidRDefault="6526888F" w:rsidP="00F43A0D">
      <w:r w:rsidRPr="008B64A4">
        <w:t xml:space="preserve">To understand what Performance actually is, it is always good to begin with the customer. As shared </w:t>
      </w:r>
      <w:r w:rsidR="3DE2FD95" w:rsidRPr="008B64A4">
        <w:t>earlier</w:t>
      </w:r>
      <w:r w:rsidRPr="008B64A4">
        <w:t xml:space="preserve">, </w:t>
      </w:r>
      <w:r w:rsidR="3DE2FD95" w:rsidRPr="008B64A4">
        <w:t xml:space="preserve">what you bought from your vendor is </w:t>
      </w:r>
      <w:r w:rsidR="67161557" w:rsidRPr="008B64A4">
        <w:t>S</w:t>
      </w:r>
      <w:r w:rsidR="3DE2FD95" w:rsidRPr="008B64A4">
        <w:t>DDC, but what you sell to your customers is IaaS.</w:t>
      </w:r>
      <w:r w:rsidRPr="008B64A4">
        <w:t xml:space="preserve"> We have seen this in almost all customers. Whether the Application Team or VM Owner pays for the service </w:t>
      </w:r>
      <w:r w:rsidR="1027210F" w:rsidRPr="008B64A4">
        <w:t xml:space="preserve">with a chargeback model </w:t>
      </w:r>
      <w:r w:rsidRPr="008B64A4">
        <w:t xml:space="preserve">or not, it is a service. VM Owners no longer own, hence care, about the underlying infrastructure. </w:t>
      </w:r>
    </w:p>
    <w:p w14:paraId="7C412A28" w14:textId="77777777" w:rsidR="00F43A0D" w:rsidRPr="008B64A4" w:rsidRDefault="00F43A0D" w:rsidP="00F43A0D">
      <w:r w:rsidRPr="008B64A4">
        <w:t>Here is a common story often told in the virtualization community, which will resonate with you as an IaaS provider.</w:t>
      </w:r>
    </w:p>
    <w:p w14:paraId="6AFB315F" w14:textId="50E6E6BE" w:rsidR="00F43A0D" w:rsidRPr="008B64A4" w:rsidRDefault="00F43A0D" w:rsidP="00F43A0D">
      <w:r>
        <w:t xml:space="preserve">A VM Owner complains to you that </w:t>
      </w:r>
      <w:r w:rsidR="52B1368C">
        <w:t>her</w:t>
      </w:r>
      <w:r>
        <w:t xml:space="preserve"> VM is slow. It was </w:t>
      </w:r>
      <w:r w:rsidRPr="00701516">
        <w:rPr>
          <w:i/>
          <w:iCs/>
          <w:color w:val="FF0000"/>
        </w:rPr>
        <w:t>not</w:t>
      </w:r>
      <w:r w:rsidRPr="00C450E4">
        <w:rPr>
          <w:color w:val="FF0000"/>
        </w:rPr>
        <w:t xml:space="preserve"> </w:t>
      </w:r>
      <w:r>
        <w:t>slow yesterday. Her application architect and lead developer have verified that:</w:t>
      </w:r>
    </w:p>
    <w:p w14:paraId="37718CB7" w14:textId="59DF62DD" w:rsidR="00F43A0D" w:rsidRPr="008B64A4" w:rsidRDefault="6526888F" w:rsidP="00EF27C2">
      <w:pPr>
        <w:pStyle w:val="Bullet"/>
      </w:pPr>
      <w:r w:rsidRPr="008B64A4">
        <w:t>The VM CPU and RAM utilization did not increase</w:t>
      </w:r>
      <w:r w:rsidR="3EFF69A9" w:rsidRPr="008B64A4">
        <w:t xml:space="preserve"> and are</w:t>
      </w:r>
      <w:r w:rsidRPr="008B64A4">
        <w:t xml:space="preserve"> within a healthy range.</w:t>
      </w:r>
    </w:p>
    <w:p w14:paraId="41A1F8A1" w14:textId="69E099B1" w:rsidR="00F43A0D" w:rsidRPr="008B64A4" w:rsidRDefault="6526888F" w:rsidP="00EF27C2">
      <w:pPr>
        <w:pStyle w:val="Bullet"/>
      </w:pPr>
      <w:r w:rsidRPr="008B64A4">
        <w:t>The application team has verified that CPU Run Queue is also in the healthy range.</w:t>
      </w:r>
    </w:p>
    <w:p w14:paraId="7DCC20B6" w14:textId="5DBEFC00" w:rsidR="00F43A0D" w:rsidRPr="008B64A4" w:rsidRDefault="6526888F" w:rsidP="00EF27C2">
      <w:pPr>
        <w:pStyle w:val="Bullet"/>
      </w:pPr>
      <w:r w:rsidRPr="008B64A4">
        <w:t xml:space="preserve">The disk latency is good. </w:t>
      </w:r>
      <w:r w:rsidR="24232AC8" w:rsidRPr="008B64A4">
        <w:t>It is</w:t>
      </w:r>
      <w:r w:rsidRPr="008B64A4">
        <w:t xml:space="preserve"> below </w:t>
      </w:r>
      <w:r w:rsidR="00E31EC9">
        <w:t>5</w:t>
      </w:r>
      <w:r w:rsidRPr="008B64A4">
        <w:t xml:space="preserve"> milliseconds.</w:t>
      </w:r>
    </w:p>
    <w:p w14:paraId="1B0FD95C" w14:textId="10412335" w:rsidR="00F43A0D" w:rsidRPr="008B64A4" w:rsidRDefault="6526888F" w:rsidP="00EF27C2">
      <w:pPr>
        <w:pStyle w:val="Bullet"/>
      </w:pPr>
      <w:r w:rsidRPr="008B64A4">
        <w:t xml:space="preserve">There </w:t>
      </w:r>
      <w:r w:rsidR="2C30AA18" w:rsidRPr="008B64A4">
        <w:t>are</w:t>
      </w:r>
      <w:r w:rsidRPr="008B64A4">
        <w:t xml:space="preserve"> no network packet</w:t>
      </w:r>
      <w:r w:rsidR="704C8BBA" w:rsidRPr="008B64A4">
        <w:t>s</w:t>
      </w:r>
      <w:r w:rsidR="00032B69">
        <w:t xml:space="preserve"> loss</w:t>
      </w:r>
      <w:r w:rsidRPr="008B64A4">
        <w:t>.</w:t>
      </w:r>
    </w:p>
    <w:p w14:paraId="4A125FFC" w14:textId="4017E7C8" w:rsidR="00F43A0D" w:rsidRPr="008B64A4" w:rsidRDefault="00F43A0D" w:rsidP="00EF27C2">
      <w:pPr>
        <w:pStyle w:val="Bullet"/>
      </w:pPr>
      <w:r w:rsidRPr="008B64A4">
        <w:t>No change in the application settings. In fact, the application has not had any changes in the past 1 month.</w:t>
      </w:r>
    </w:p>
    <w:p w14:paraId="3DF91DEA" w14:textId="12CDC426" w:rsidR="00F43A0D" w:rsidRPr="008B64A4" w:rsidRDefault="6526888F" w:rsidP="00EF27C2">
      <w:pPr>
        <w:pStyle w:val="Bullet"/>
      </w:pPr>
      <w:r w:rsidRPr="008B64A4">
        <w:t>No recent patch</w:t>
      </w:r>
      <w:r w:rsidR="00E31EC9">
        <w:t>e</w:t>
      </w:r>
      <w:r w:rsidR="006E3803">
        <w:t>s</w:t>
      </w:r>
      <w:r w:rsidR="00E31EC9">
        <w:t xml:space="preserve"> were </w:t>
      </w:r>
      <w:r w:rsidR="1D72F50E" w:rsidRPr="008B64A4">
        <w:t xml:space="preserve">installed </w:t>
      </w:r>
      <w:r w:rsidR="00E31EC9">
        <w:t>in</w:t>
      </w:r>
      <w:r w:rsidRPr="008B64A4">
        <w:t>to Windows.</w:t>
      </w:r>
    </w:p>
    <w:p w14:paraId="18FD6BE8" w14:textId="60E47585" w:rsidR="00F43A0D" w:rsidRPr="008B64A4" w:rsidRDefault="00F43A0D" w:rsidP="00EF27C2">
      <w:pPr>
        <w:pStyle w:val="Bullet"/>
      </w:pPr>
      <w:r w:rsidRPr="008B64A4">
        <w:lastRenderedPageBreak/>
        <w:t>There was no reboot.</w:t>
      </w:r>
      <w:r w:rsidR="00E31EC9">
        <w:t xml:space="preserve"> It has been running fine for weeks.</w:t>
      </w:r>
    </w:p>
    <w:p w14:paraId="4D216B36" w14:textId="63A390BC" w:rsidR="00F43A0D" w:rsidRPr="008B64A4" w:rsidRDefault="00F43A0D" w:rsidP="00F43A0D">
      <w:r w:rsidRPr="008B64A4">
        <w:t xml:space="preserve">She said your VMware environment is a shared environment, and perhaps </w:t>
      </w:r>
      <w:r w:rsidR="7BAAAAAE" w:rsidRPr="008B64A4">
        <w:t>an</w:t>
      </w:r>
      <w:r w:rsidRPr="008B64A4">
        <w:t xml:space="preserve"> increase in the number of </w:t>
      </w:r>
      <w:r w:rsidR="00605560">
        <w:t>VM</w:t>
      </w:r>
      <w:r w:rsidRPr="008B64A4">
        <w:t xml:space="preserve">s and </w:t>
      </w:r>
      <w:r w:rsidR="0A21B7DD" w:rsidRPr="008B64A4">
        <w:t xml:space="preserve">an </w:t>
      </w:r>
      <w:r w:rsidRPr="008B64A4">
        <w:t xml:space="preserve">increase in the workload of other </w:t>
      </w:r>
      <w:r w:rsidR="00605560">
        <w:t>VM</w:t>
      </w:r>
      <w:r w:rsidRPr="008B64A4">
        <w:t>s are straining your IaaS.</w:t>
      </w:r>
    </w:p>
    <w:p w14:paraId="161ADED8" w14:textId="625A7EA0" w:rsidR="00F43A0D" w:rsidRPr="008B64A4" w:rsidRDefault="00F43A0D" w:rsidP="00F43A0D">
      <w:r w:rsidRPr="008B64A4">
        <w:t xml:space="preserve">She also said that her other VM, which was </w:t>
      </w:r>
      <w:hyperlink r:id="rId101" w:history="1">
        <w:r w:rsidRPr="00073129">
          <w:rPr>
            <w:rStyle w:val="Hyperlink"/>
          </w:rPr>
          <w:t>P2V</w:t>
        </w:r>
      </w:hyperlink>
      <w:r w:rsidRPr="008B64A4">
        <w:t xml:space="preserve"> recently, was performing much faster in physical.</w:t>
      </w:r>
    </w:p>
    <w:p w14:paraId="1FE3D159" w14:textId="6A7AF47F" w:rsidR="00F43A0D" w:rsidRPr="00047608" w:rsidRDefault="00F43A0D" w:rsidP="00F43A0D">
      <w:r w:rsidRPr="008B64A4">
        <w:t>You are right. She is saying it’s your fault</w:t>
      </w:r>
      <w:r w:rsidR="00EF27C2" w:rsidRPr="008B64A4">
        <w:t xml:space="preserve"> </w:t>
      </w:r>
      <w:r w:rsidR="007F7BC4" w:rsidRPr="00047608">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01E304C0" w14:textId="77777777" w:rsidR="00F43A0D" w:rsidRPr="00047608" w:rsidRDefault="00F43A0D" w:rsidP="00F43A0D">
      <w:r w:rsidRPr="00047608">
        <w:t xml:space="preserve">What do you do? </w:t>
      </w:r>
    </w:p>
    <w:p w14:paraId="7D39DCD0" w14:textId="024491EB" w:rsidR="00F43A0D" w:rsidRPr="00047608" w:rsidRDefault="00F43A0D" w:rsidP="00F43A0D">
      <w:pPr>
        <w:rPr>
          <w:rFonts w:ascii="Segoe UI Emoji" w:eastAsia="Segoe UI Emoji" w:hAnsi="Segoe UI Emoji" w:cs="Segoe UI Emoji"/>
        </w:rPr>
      </w:pPr>
      <w:r>
        <w:t xml:space="preserve">It is certainly a difficult situation to be in. You </w:t>
      </w:r>
      <w:r w:rsidR="1B4F69A6">
        <w:t>oversee</w:t>
      </w:r>
      <w:r>
        <w:t xml:space="preserve"> more than 10</w:t>
      </w:r>
      <w:r w:rsidR="2F7691CA">
        <w:t>,</w:t>
      </w:r>
      <w:r w:rsidR="007F7BC4">
        <w:t>000</w:t>
      </w:r>
      <w:r>
        <w:t xml:space="preserve"> </w:t>
      </w:r>
      <w:r w:rsidR="00605560">
        <w:t>VM</w:t>
      </w:r>
      <w:r>
        <w:t>s. You have successfully consolidated them into 50</w:t>
      </w:r>
      <w:r w:rsidR="007F7BC4">
        <w:t>0</w:t>
      </w:r>
      <w:r>
        <w:t xml:space="preserve"> ESXi Hosts, saving the company 950</w:t>
      </w:r>
      <w:r w:rsidR="007F7BC4">
        <w:t>0</w:t>
      </w:r>
      <w:r>
        <w:t xml:space="preserve"> servers, not to mention a lot of money. You built your reputation during the process, so this</w:t>
      </w:r>
      <w:r w:rsidR="00496091">
        <w:t xml:space="preserve"> </w:t>
      </w:r>
      <w:r>
        <w:t xml:space="preserve">is not just </w:t>
      </w:r>
      <w:r w:rsidR="0C8FD08A">
        <w:t xml:space="preserve">a matter of </w:t>
      </w:r>
      <w:r>
        <w:t xml:space="preserve">her VM not performing. </w:t>
      </w:r>
      <w:r w:rsidR="007F7BC4">
        <w:t xml:space="preserve">Your reputation is at stake here </w:t>
      </w:r>
      <w:r w:rsidR="007F7BC4" w:rsidRPr="2D34D73A">
        <w:rPr>
          <w:rFonts w:ascii="Segoe UI Emoji" w:eastAsia="Segoe UI Emoji" w:hAnsi="Segoe UI Emoji" w:cs="Segoe UI Emoji"/>
        </w:rPr>
        <w:t>😊</w:t>
      </w:r>
    </w:p>
    <w:p w14:paraId="690B99E4" w14:textId="6992E515" w:rsidR="00C928E1" w:rsidRDefault="00F43A0D" w:rsidP="00F43A0D">
      <w:r>
        <w:t>You also recall that your team has been adding new VM</w:t>
      </w:r>
      <w:r w:rsidR="6F85DF1E">
        <w:t>s</w:t>
      </w:r>
      <w:r>
        <w:t xml:space="preserve"> regularly in the past several months</w:t>
      </w:r>
      <w:r w:rsidR="08E6A021">
        <w:t xml:space="preserve"> s</w:t>
      </w:r>
      <w:r>
        <w:t xml:space="preserve">o she could be right. </w:t>
      </w:r>
      <w:r w:rsidR="009F3779">
        <w:t xml:space="preserve">In addition, there have been several soft errors in your network and storage, and your team has been investigating for weeks. </w:t>
      </w:r>
      <w:r>
        <w:t xml:space="preserve">But why did </w:t>
      </w:r>
      <w:r w:rsidR="000065AA">
        <w:t>she say it only</w:t>
      </w:r>
      <w:r>
        <w:t xml:space="preserve"> happen</w:t>
      </w:r>
      <w:r w:rsidR="000065AA">
        <w:t>ed</w:t>
      </w:r>
      <w:r>
        <w:t xml:space="preserve"> today, </w:t>
      </w:r>
      <w:r w:rsidR="000065AA">
        <w:t xml:space="preserve">but </w:t>
      </w:r>
      <w:r>
        <w:t>not</w:t>
      </w:r>
      <w:r w:rsidR="00F53B49">
        <w:t xml:space="preserve"> yesterday or a few days ago</w:t>
      </w:r>
      <w:r>
        <w:t>?</w:t>
      </w:r>
    </w:p>
    <w:p w14:paraId="158A3DBE" w14:textId="1AF7673A" w:rsidR="00496054" w:rsidRPr="00047608" w:rsidRDefault="00496054" w:rsidP="00F43A0D">
      <w:r>
        <w:t xml:space="preserve">It’s a hard question. To answer it, we need to </w:t>
      </w:r>
      <w:r w:rsidR="007121B4">
        <w:t>take a step back</w:t>
      </w:r>
      <w:r w:rsidR="001D3691">
        <w:t xml:space="preserve"> and elaborate. Let’s dive in!</w:t>
      </w:r>
    </w:p>
    <w:p w14:paraId="416203F4" w14:textId="2482242B" w:rsidR="00A409AB" w:rsidRPr="00047608" w:rsidRDefault="0043609C" w:rsidP="00540F68">
      <w:pPr>
        <w:pStyle w:val="Heading3"/>
      </w:pPr>
      <w:r w:rsidRPr="00047608">
        <w:t xml:space="preserve">The </w:t>
      </w:r>
      <w:r w:rsidR="00A409AB" w:rsidRPr="00047608">
        <w:t xml:space="preserve">3 </w:t>
      </w:r>
      <w:r w:rsidR="006B175F">
        <w:t>Realms</w:t>
      </w:r>
    </w:p>
    <w:p w14:paraId="4162A188" w14:textId="3BA7234E" w:rsidR="00464DFD" w:rsidRPr="00047608" w:rsidRDefault="562BF390" w:rsidP="21F2E0A8">
      <w:pPr>
        <w:rPr>
          <w:lang w:val="en-US"/>
        </w:rPr>
      </w:pPr>
      <w:r w:rsidRPr="00047608">
        <w:t xml:space="preserve">In the big picture, there are </w:t>
      </w:r>
      <w:r w:rsidR="00E31EC9">
        <w:t>three</w:t>
      </w:r>
      <w:r w:rsidRPr="00047608">
        <w:t xml:space="preserve"> </w:t>
      </w:r>
      <w:r w:rsidR="574787D5" w:rsidRPr="00047608">
        <w:t>main realm</w:t>
      </w:r>
      <w:r w:rsidR="415BDF55" w:rsidRPr="00047608">
        <w:t>s</w:t>
      </w:r>
      <w:r w:rsidR="574787D5" w:rsidRPr="00047608">
        <w:t xml:space="preserve"> of </w:t>
      </w:r>
      <w:r w:rsidR="48688B14" w:rsidRPr="00047608">
        <w:t xml:space="preserve">enterprise </w:t>
      </w:r>
      <w:r w:rsidR="75D1D269" w:rsidRPr="00047608">
        <w:t xml:space="preserve">applications. Each realm has </w:t>
      </w:r>
      <w:r w:rsidR="3E4BD0E5" w:rsidRPr="00047608">
        <w:t xml:space="preserve">its </w:t>
      </w:r>
      <w:r w:rsidR="75D1D269" w:rsidRPr="00047608">
        <w:t xml:space="preserve">own set of </w:t>
      </w:r>
      <w:r w:rsidR="75D1D269" w:rsidRPr="00047608">
        <w:rPr>
          <w:lang w:val="en-US"/>
        </w:rPr>
        <w:t xml:space="preserve">teams. Each team has </w:t>
      </w:r>
      <w:r w:rsidR="48688B14" w:rsidRPr="00047608">
        <w:rPr>
          <w:lang w:val="en-US"/>
        </w:rPr>
        <w:t xml:space="preserve">a set of unique </w:t>
      </w:r>
      <w:r w:rsidR="75D1D269" w:rsidRPr="00047608">
        <w:rPr>
          <w:lang w:val="en-US"/>
        </w:rPr>
        <w:t xml:space="preserve">responsibility </w:t>
      </w:r>
      <w:r w:rsidR="48688B14" w:rsidRPr="00047608">
        <w:rPr>
          <w:lang w:val="en-US"/>
        </w:rPr>
        <w:t xml:space="preserve">and hence skills required. </w:t>
      </w:r>
      <w:r w:rsidR="415BDF55" w:rsidRPr="00047608">
        <w:rPr>
          <w:lang w:val="en-US"/>
        </w:rPr>
        <w:t xml:space="preserve">The following diagram explains the </w:t>
      </w:r>
      <w:r w:rsidR="00614479">
        <w:rPr>
          <w:lang w:val="en-US"/>
        </w:rPr>
        <w:t>3</w:t>
      </w:r>
      <w:r w:rsidR="415BDF55" w:rsidRPr="00047608">
        <w:rPr>
          <w:lang w:val="en-US"/>
        </w:rPr>
        <w:t xml:space="preserve"> </w:t>
      </w:r>
      <w:r w:rsidR="006B175F">
        <w:rPr>
          <w:lang w:val="en-US"/>
        </w:rPr>
        <w:t>realm</w:t>
      </w:r>
      <w:r w:rsidR="00BD5572">
        <w:rPr>
          <w:lang w:val="en-US"/>
        </w:rPr>
        <w:t>s</w:t>
      </w:r>
      <w:r w:rsidR="415BDF55" w:rsidRPr="00047608">
        <w:rPr>
          <w:lang w:val="en-US"/>
        </w:rPr>
        <w:t xml:space="preserve">, alongside with typical </w:t>
      </w:r>
      <w:r w:rsidR="006B175F">
        <w:rPr>
          <w:lang w:val="en-US"/>
        </w:rPr>
        <w:t>layers</w:t>
      </w:r>
      <w:r w:rsidR="00CC5D60">
        <w:rPr>
          <w:lang w:val="en-US"/>
        </w:rPr>
        <w:t xml:space="preserve"> within each realm</w:t>
      </w:r>
      <w:r w:rsidR="006B175F">
        <w:rPr>
          <w:lang w:val="en-US"/>
        </w:rPr>
        <w:t xml:space="preserve"> and </w:t>
      </w:r>
      <w:r w:rsidR="415BDF55" w:rsidRPr="00047608">
        <w:rPr>
          <w:lang w:val="en-US"/>
        </w:rPr>
        <w:t>questions being asked</w:t>
      </w:r>
      <w:r w:rsidR="00CC5D60">
        <w:rPr>
          <w:lang w:val="en-US"/>
        </w:rPr>
        <w:t>.</w:t>
      </w:r>
    </w:p>
    <w:p w14:paraId="526AAD5B" w14:textId="347C9E3A" w:rsidR="00011C2A" w:rsidRPr="00047608" w:rsidRDefault="00983528" w:rsidP="009B13B9">
      <w:r w:rsidRPr="00983528">
        <w:rPr>
          <w:noProof/>
        </w:rPr>
        <w:lastRenderedPageBreak/>
        <w:drawing>
          <wp:inline distT="0" distB="0" distL="0" distR="0" wp14:anchorId="2BCEED64" wp14:editId="594D3194">
            <wp:extent cx="6645910" cy="3415665"/>
            <wp:effectExtent l="0" t="0" r="2540" b="0"/>
            <wp:docPr id="357815423" name="Picture 357815423" descr="A screenshot of a t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423" name="Picture 357815423" descr="A screenshot of a test&#10;&#10;Description automatically generated"/>
                    <pic:cNvPicPr/>
                  </pic:nvPicPr>
                  <pic:blipFill>
                    <a:blip r:embed="rId102"/>
                    <a:stretch>
                      <a:fillRect/>
                    </a:stretch>
                  </pic:blipFill>
                  <pic:spPr>
                    <a:xfrm>
                      <a:off x="0" y="0"/>
                      <a:ext cx="6645910" cy="3415665"/>
                    </a:xfrm>
                    <a:prstGeom prst="rect">
                      <a:avLst/>
                    </a:prstGeom>
                  </pic:spPr>
                </pic:pic>
              </a:graphicData>
            </a:graphic>
          </wp:inline>
        </w:drawing>
      </w:r>
    </w:p>
    <w:p w14:paraId="48709D32" w14:textId="53033F90" w:rsidR="00C1606E" w:rsidRDefault="00110F5D" w:rsidP="009B13B9">
      <w:r>
        <w:t xml:space="preserve">The fight typically happens between Team 1 and Team 2, as both are IT. The business folks are real </w:t>
      </w:r>
      <w:r w:rsidR="004F6D4A">
        <w:t>consumers or end users</w:t>
      </w:r>
      <w:r>
        <w:t xml:space="preserve"> and not technical enough to </w:t>
      </w:r>
      <w:r w:rsidR="004F6D4A">
        <w:t xml:space="preserve">provide solution. Each team need to have their own KPI, and there must be SLA between </w:t>
      </w:r>
      <w:r w:rsidR="004E0804">
        <w:t>them.</w:t>
      </w:r>
    </w:p>
    <w:p w14:paraId="3EAA4C48" w14:textId="6D551FB5" w:rsidR="003D2011" w:rsidRDefault="003D2011" w:rsidP="009B13B9">
      <w:r>
        <w:t xml:space="preserve">While business runs on IT, not all business KPIs are depending on IT. Some depends on marketing, discount, and what your competitors are doing. Take an ecommerce portal. Its top business KPIs are certainly revenue generated and gross profit. As you can imagine, if your competitors are doing a massive discount, you may not be able to achieve your sales and profit target. </w:t>
      </w:r>
    </w:p>
    <w:p w14:paraId="75AE5D1C" w14:textId="5206B603" w:rsidR="003D2011" w:rsidRDefault="003D2011" w:rsidP="009B13B9">
      <w:r>
        <w:t>That means there are 2 types of business KPI</w:t>
      </w:r>
      <w:r w:rsidR="009B3F2A">
        <w:t>s</w:t>
      </w:r>
      <w:r>
        <w:t xml:space="preserve">: one relying on IT, one does not. </w:t>
      </w:r>
    </w:p>
    <w:p w14:paraId="61F014A0" w14:textId="581695E6" w:rsidR="00C1606E" w:rsidRDefault="003D2011" w:rsidP="003D2011">
      <w:r>
        <w:t xml:space="preserve">Examples for the ones relying on IT are </w:t>
      </w:r>
      <w:r w:rsidR="00C1606E">
        <w:t>business transactions (e.g. buy a product, update personal information, transfer fund)</w:t>
      </w:r>
      <w:r>
        <w:t xml:space="preserve"> that are provided by the system</w:t>
      </w:r>
      <w:r w:rsidR="00C1606E">
        <w:t xml:space="preserve">. They can be online (real time, a user is waiting) or batch (runs at the background) in nature. </w:t>
      </w:r>
      <w:r w:rsidR="00533D59">
        <w:t xml:space="preserve">They can be user to system, or system to system. </w:t>
      </w:r>
      <w:r w:rsidR="00C1606E">
        <w:t>The online is sometimes called Online Transaction Processing (</w:t>
      </w:r>
      <w:hyperlink r:id="rId103" w:history="1">
        <w:r w:rsidR="00C1606E" w:rsidRPr="00C1606E">
          <w:rPr>
            <w:rStyle w:val="Hyperlink"/>
          </w:rPr>
          <w:t>OLTP</w:t>
        </w:r>
      </w:hyperlink>
      <w:r w:rsidR="00C1606E">
        <w:t>) and is often measured in time taken to process a single transaction (typically less than a few seconds). The batch is often measured in time taken to process many transactions (which can be hours).</w:t>
      </w:r>
    </w:p>
    <w:p w14:paraId="1B3B6A31" w14:textId="5DDA31F0" w:rsidR="00C1606E" w:rsidRDefault="00C1606E" w:rsidP="009B13B9">
      <w:r>
        <w:t xml:space="preserve">As you can imagine, different transactions require different amount of time. Even the same amount of transaction (e.g. generate a report), can vary as it depends on the amount of data or records. As an application architect, define the </w:t>
      </w:r>
      <w:r w:rsidR="003D2011">
        <w:t>expected time taken to complete commonly used business transactions. Obscured business transactions that are rarely used can be given low priority.</w:t>
      </w:r>
      <w:r w:rsidR="00533D59">
        <w:t xml:space="preserve"> However, this effort is not scalable if you have hundreds of business applications.</w:t>
      </w:r>
    </w:p>
    <w:p w14:paraId="16BAA3B9" w14:textId="72E0D061" w:rsidR="000934D6" w:rsidRDefault="000934D6" w:rsidP="009B13B9">
      <w:r>
        <w:t xml:space="preserve">If you want universal metrics for all business applications, then page response time and error returns are the only metrics. </w:t>
      </w:r>
    </w:p>
    <w:p w14:paraId="0164B7D0" w14:textId="273B2510" w:rsidR="008E03EA" w:rsidRDefault="00C71DF5" w:rsidP="009B13B9">
      <w:r>
        <w:t>B</w:t>
      </w:r>
      <w:r w:rsidR="006926EF">
        <w:t>y the way</w:t>
      </w:r>
      <w:r>
        <w:t xml:space="preserve">, for those who </w:t>
      </w:r>
      <w:r w:rsidR="00A644A7">
        <w:t>use enterprise architecture framework, t</w:t>
      </w:r>
      <w:r w:rsidR="00356EFF">
        <w:t>he 3 re</w:t>
      </w:r>
      <w:r w:rsidR="00ED2D5C">
        <w:t>alms above actually map to TOGAF</w:t>
      </w:r>
      <w:r w:rsidR="00A644A7">
        <w:rPr>
          <w:rStyle w:val="FootnoteReference"/>
        </w:rPr>
        <w:footnoteReference w:id="9"/>
      </w:r>
      <w:r w:rsidR="00C174A0">
        <w:t xml:space="preserve"> by </w:t>
      </w:r>
      <w:hyperlink r:id="rId104" w:history="1">
        <w:r w:rsidRPr="00C71DF5">
          <w:rPr>
            <w:rStyle w:val="Hyperlink"/>
          </w:rPr>
          <w:t>The Open Group</w:t>
        </w:r>
      </w:hyperlink>
      <w:r>
        <w:t xml:space="preserve">. </w:t>
      </w:r>
    </w:p>
    <w:p w14:paraId="16817784" w14:textId="434DC21B" w:rsidR="00356EFF" w:rsidRDefault="00B02ED1" w:rsidP="00B02ED1">
      <w:pPr>
        <w:pStyle w:val="Bullet"/>
      </w:pPr>
      <w:r>
        <w:t xml:space="preserve">Business maps to </w:t>
      </w:r>
      <w:r w:rsidR="008E03EA">
        <w:t>Business Architecture</w:t>
      </w:r>
    </w:p>
    <w:p w14:paraId="191C6E09" w14:textId="30AA5E42" w:rsidR="00B02ED1" w:rsidRDefault="00B02ED1" w:rsidP="00B02ED1">
      <w:pPr>
        <w:pStyle w:val="Bullet"/>
      </w:pPr>
      <w:r>
        <w:lastRenderedPageBreak/>
        <w:t>Application maps to Information Systems Architecture</w:t>
      </w:r>
    </w:p>
    <w:p w14:paraId="12EEE431" w14:textId="20B87D97" w:rsidR="00B02ED1" w:rsidRDefault="00B02ED1" w:rsidP="00B02ED1">
      <w:pPr>
        <w:pStyle w:val="Bullet"/>
      </w:pPr>
      <w:r>
        <w:t xml:space="preserve">IaaS maps to Technology Architecture </w:t>
      </w:r>
    </w:p>
    <w:p w14:paraId="34DE026D" w14:textId="6A2B3447" w:rsidR="00143A6F" w:rsidRDefault="00FB0047" w:rsidP="009B13B9">
      <w:r w:rsidRPr="00047608">
        <w:t xml:space="preserve">Performance </w:t>
      </w:r>
      <w:r w:rsidR="00A94B45" w:rsidRPr="00047608">
        <w:t>troubleshooting</w:t>
      </w:r>
      <w:r w:rsidRPr="00047608">
        <w:t xml:space="preserve"> is largely an exercise in elimination. The methodology </w:t>
      </w:r>
      <w:r w:rsidR="00B02C88" w:rsidRPr="00047608">
        <w:t xml:space="preserve">slices each </w:t>
      </w:r>
      <w:r w:rsidR="00106B60" w:rsidRPr="00047608">
        <w:t>layer</w:t>
      </w:r>
      <w:r w:rsidR="00B02C88" w:rsidRPr="00047608">
        <w:t xml:space="preserve"> and determine</w:t>
      </w:r>
      <w:r w:rsidR="00106B60" w:rsidRPr="00047608">
        <w:t>s</w:t>
      </w:r>
      <w:r w:rsidR="00B02C88" w:rsidRPr="00047608">
        <w:t xml:space="preserve"> if that layer is causing the performance problem. </w:t>
      </w:r>
      <w:r w:rsidR="00C16642" w:rsidRPr="00047608">
        <w:t xml:space="preserve">Hence it is imperative to have a single metric to indicate if a particular layer </w:t>
      </w:r>
      <w:r w:rsidR="00790D8E" w:rsidRPr="00047608">
        <w:t xml:space="preserve">is performing or not. This </w:t>
      </w:r>
      <w:r w:rsidR="00055847" w:rsidRPr="00047608">
        <w:t>primary metric is ap</w:t>
      </w:r>
      <w:r w:rsidR="0011601E" w:rsidRPr="00047608">
        <w:t>tly named K</w:t>
      </w:r>
      <w:r w:rsidR="007E4F56" w:rsidRPr="00047608">
        <w:t>ey Performance Indicator.</w:t>
      </w:r>
      <w:r w:rsidR="00057B6F">
        <w:t xml:space="preserve"> </w:t>
      </w:r>
      <w:r w:rsidR="00CC5D60">
        <w:t xml:space="preserve">We will cover it more </w:t>
      </w:r>
      <w:hyperlink w:anchor="_Key_Performance_Indicators" w:history="1">
        <w:r w:rsidR="00CC5D60" w:rsidRPr="00CC5D60">
          <w:rPr>
            <w:rStyle w:val="Hyperlink"/>
          </w:rPr>
          <w:t>here</w:t>
        </w:r>
      </w:hyperlink>
      <w:r w:rsidR="00CC5D60">
        <w:t xml:space="preserve">. </w:t>
      </w:r>
    </w:p>
    <w:p w14:paraId="341F4DFB" w14:textId="4C03D4E4" w:rsidR="003E7854" w:rsidRPr="00047608" w:rsidRDefault="00B02C88" w:rsidP="009B13B9">
      <w:r w:rsidRPr="00047608">
        <w:t xml:space="preserve">The upper layer </w:t>
      </w:r>
      <w:r w:rsidR="008D2C66" w:rsidRPr="00047608">
        <w:t xml:space="preserve">depends on the layer below it, and hence the infrastructure layer is typically the source of contention. As a result, focus on the </w:t>
      </w:r>
      <w:r w:rsidR="006B2F5B" w:rsidRPr="00047608">
        <w:t xml:space="preserve">bottom </w:t>
      </w:r>
      <w:r w:rsidR="008D2C66" w:rsidRPr="00047608">
        <w:t>layer</w:t>
      </w:r>
      <w:r w:rsidR="006B2F5B" w:rsidRPr="00047608">
        <w:t xml:space="preserve"> first, as it serves as the foundation for the layer above it. The good part is this la</w:t>
      </w:r>
      <w:r w:rsidR="009A47F4" w:rsidRPr="00047608">
        <w:t>yer is typically a horizontal layer, providing a set of generic infrastructure services, regardless of what business applications are running on it.</w:t>
      </w:r>
    </w:p>
    <w:p w14:paraId="4A0B1E2C" w14:textId="0617C665" w:rsidR="00065565" w:rsidRDefault="00B3148A" w:rsidP="009B13B9">
      <w:r w:rsidRPr="00047608">
        <w:t xml:space="preserve">Now, we don’t know the impact to the </w:t>
      </w:r>
      <w:r w:rsidRPr="00047608">
        <w:rPr>
          <w:color w:val="FF0000"/>
        </w:rPr>
        <w:t>application</w:t>
      </w:r>
      <w:r w:rsidRPr="00047608">
        <w:t xml:space="preserve"> when there is latency in </w:t>
      </w:r>
      <w:r w:rsidR="31493CC4" w:rsidRPr="00047608">
        <w:t>the</w:t>
      </w:r>
      <w:r w:rsidRPr="00047608">
        <w:t xml:space="preserve"> infrastructure. That depends on the application. Even on the same identical software, e.g. SQL Server 2019, the impact may differ as it depends on how you use that software. Different nature</w:t>
      </w:r>
      <w:r w:rsidR="495EAB3D" w:rsidRPr="00047608">
        <w:t>s</w:t>
      </w:r>
      <w:r w:rsidRPr="00047608">
        <w:t xml:space="preserve"> of business workload (e.g. batch vs OLTP) get impacted differently even on the identical version of the software</w:t>
      </w:r>
      <w:r w:rsidR="00E31EC9">
        <w:t>.</w:t>
      </w:r>
    </w:p>
    <w:p w14:paraId="5922D014" w14:textId="617CFFAF" w:rsidR="00721AF8" w:rsidRDefault="00721AF8" w:rsidP="00AC6E1E">
      <w:pPr>
        <w:pStyle w:val="Heading4"/>
      </w:pPr>
      <w:r>
        <w:t xml:space="preserve">The Layers </w:t>
      </w:r>
    </w:p>
    <w:p w14:paraId="39452342" w14:textId="609A1839" w:rsidR="006B175F" w:rsidRDefault="006B175F" w:rsidP="009B13B9">
      <w:r>
        <w:t xml:space="preserve">Depending on the application and infrastructure architecture, there can be more stacks or layers. The following example shows 5 layers. The challenge in performance troubleshooting is the layers may not share context. </w:t>
      </w:r>
    </w:p>
    <w:p w14:paraId="5F30FD3F" w14:textId="12066B8D" w:rsidR="00C6240D" w:rsidRDefault="00C6240D" w:rsidP="009B13B9"/>
    <w:p w14:paraId="52021E2D" w14:textId="3B97AE97" w:rsidR="00533D59" w:rsidRDefault="00533D59" w:rsidP="009B13B9">
      <w:r w:rsidRPr="00533D59">
        <w:rPr>
          <w:noProof/>
        </w:rPr>
        <w:drawing>
          <wp:inline distT="0" distB="0" distL="0" distR="0" wp14:anchorId="4511AF59" wp14:editId="49CE0960">
            <wp:extent cx="6645910" cy="3506470"/>
            <wp:effectExtent l="0" t="0" r="2540" b="0"/>
            <wp:docPr id="1525330241" name="Picture 1525330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6645910" cy="3506470"/>
                    </a:xfrm>
                    <a:prstGeom prst="rect">
                      <a:avLst/>
                    </a:prstGeom>
                  </pic:spPr>
                </pic:pic>
              </a:graphicData>
            </a:graphic>
          </wp:inline>
        </w:drawing>
      </w:r>
    </w:p>
    <w:p w14:paraId="735F106B" w14:textId="254A29DB" w:rsidR="006B175F" w:rsidRDefault="006B175F" w:rsidP="009B13B9">
      <w:r>
        <w:lastRenderedPageBreak/>
        <w:t>Using the example above, we can demonstrate how the lack of visibility is making troubleshooting virtually impossible. Let’s run through the above</w:t>
      </w:r>
      <w:r w:rsidR="009B20FC">
        <w:t>. The story starts with a complain</w:t>
      </w:r>
      <w:r w:rsidR="005138EC">
        <w:t>t</w:t>
      </w:r>
      <w:r w:rsidR="009B20FC">
        <w:t xml:space="preserve"> as that resonates better. </w:t>
      </w:r>
    </w:p>
    <w:p w14:paraId="265F650D" w14:textId="140B36B0" w:rsidR="009B20FC" w:rsidRDefault="009B20FC" w:rsidP="009B13B9">
      <w:r>
        <w:t xml:space="preserve">At the Business Layer, you can see the performance of each business transaction. You </w:t>
      </w:r>
      <w:r w:rsidR="00F34154">
        <w:t xml:space="preserve">not only </w:t>
      </w:r>
      <w:r>
        <w:t>know which user was affected</w:t>
      </w:r>
      <w:r w:rsidR="00F34154">
        <w:t>, you know what transaction was affected as the metric has transaction ID. You can trace it in the code as you know how long each function calls take place, assuming you log for every single transaction.</w:t>
      </w:r>
    </w:p>
    <w:p w14:paraId="12F9141E" w14:textId="2F2459BB" w:rsidR="00F34154" w:rsidRDefault="00F34154" w:rsidP="009B13B9">
      <w:r>
        <w:t xml:space="preserve">The problem starts when you move beyond your code and into Commercial of the Shelves (COTS) software. The software may show that its queue is 10000, which is 5000 more than what the manual say it can handle. But you have no idea if user Joko transaction was in that queue or not. The COTS software metrics do not relate to users anymore, let alone individual transactions. </w:t>
      </w:r>
      <w:r w:rsidR="006B175F">
        <w:t xml:space="preserve">The </w:t>
      </w:r>
      <w:r w:rsidR="00CF7D2C" w:rsidRPr="00CF7D2C">
        <w:rPr>
          <w:color w:val="FF0000"/>
        </w:rPr>
        <w:t>red</w:t>
      </w:r>
      <w:r w:rsidR="006B175F">
        <w:t xml:space="preserve"> explosive icon marks where context is lost. </w:t>
      </w:r>
    </w:p>
    <w:p w14:paraId="24D67AE7" w14:textId="2536CBB3" w:rsidR="00F34154" w:rsidRDefault="00F34154" w:rsidP="009B13B9">
      <w:r>
        <w:t xml:space="preserve">Moving from application to infrastructure resulted in another loss of context. Windows or Linux has no idea what applications you’re running. As far as the OS is concern, every application is just a process. It will report basic CPU, Memory, Disk and Network utilization per process. More advanced </w:t>
      </w:r>
      <w:r w:rsidR="008D3A3F">
        <w:t>metrics</w:t>
      </w:r>
      <w:r>
        <w:t xml:space="preserve"> are reported at OS-level, system wide. For example, you do not know if your process was the one experienced network </w:t>
      </w:r>
      <w:hyperlink r:id="rId106" w:history="1">
        <w:r w:rsidRPr="00231CEB">
          <w:rPr>
            <w:rStyle w:val="Hyperlink"/>
          </w:rPr>
          <w:t>packet</w:t>
        </w:r>
        <w:r w:rsidR="00F73B2E" w:rsidRPr="00231CEB">
          <w:rPr>
            <w:rStyle w:val="Hyperlink"/>
          </w:rPr>
          <w:t xml:space="preserve"> loss</w:t>
        </w:r>
      </w:hyperlink>
      <w:r>
        <w:t xml:space="preserve">. The packet </w:t>
      </w:r>
      <w:r w:rsidR="008D3A3F">
        <w:t>loss metric is</w:t>
      </w:r>
      <w:r>
        <w:t xml:space="preserve"> a system-wide metric.</w:t>
      </w:r>
    </w:p>
    <w:p w14:paraId="243399AD" w14:textId="7E3C2D74" w:rsidR="006B175F" w:rsidRPr="00047608" w:rsidRDefault="00F34154" w:rsidP="009B13B9">
      <w:r>
        <w:t xml:space="preserve">Moving from individual EC2 or VM to the shared infrastructure results in another loss of context. </w:t>
      </w:r>
      <w:r w:rsidR="00AF3474">
        <w:t xml:space="preserve">In the case of public cloud, you may not get visibility into the physical layers at all. </w:t>
      </w:r>
    </w:p>
    <w:p w14:paraId="1AA2F1C2" w14:textId="0AEEEAA4" w:rsidR="00FA473B" w:rsidRDefault="00FA473B" w:rsidP="00FA473B">
      <w:pPr>
        <w:pStyle w:val="Heading4"/>
      </w:pPr>
      <w:bookmarkStart w:id="19" w:name="_KPI_vs_SLA"/>
      <w:bookmarkStart w:id="20" w:name="_Depth_vs_Breadth"/>
      <w:bookmarkEnd w:id="19"/>
      <w:bookmarkEnd w:id="20"/>
      <w:r>
        <w:t>IaaS</w:t>
      </w:r>
    </w:p>
    <w:p w14:paraId="3392451A" w14:textId="27AA2401" w:rsidR="00591A6D" w:rsidRDefault="00396A1B" w:rsidP="0042731B">
      <w:r>
        <w:t xml:space="preserve">Let’s apply </w:t>
      </w:r>
      <w:r w:rsidR="00FA473B">
        <w:t>the layers</w:t>
      </w:r>
      <w:r>
        <w:t xml:space="preserve"> to IaaS.</w:t>
      </w:r>
    </w:p>
    <w:p w14:paraId="13613F11" w14:textId="544BE46F" w:rsidR="004B23A2" w:rsidRDefault="004564F2" w:rsidP="008023EB">
      <w:pPr>
        <w:jc w:val="center"/>
        <w:rPr>
          <w:lang w:val="en-GB" w:eastAsia="en-SG"/>
        </w:rPr>
      </w:pPr>
      <w:r>
        <w:rPr>
          <w:noProof/>
        </w:rPr>
        <w:drawing>
          <wp:inline distT="0" distB="0" distL="0" distR="0" wp14:anchorId="7E8748AB" wp14:editId="6B6F029D">
            <wp:extent cx="5601600" cy="1944000"/>
            <wp:effectExtent l="0" t="0" r="0" b="0"/>
            <wp:docPr id="1859674511" name="Picture 1859674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601600" cy="1944000"/>
                    </a:xfrm>
                    <a:prstGeom prst="rect">
                      <a:avLst/>
                    </a:prstGeom>
                  </pic:spPr>
                </pic:pic>
              </a:graphicData>
            </a:graphic>
          </wp:inline>
        </w:drawing>
      </w:r>
    </w:p>
    <w:p w14:paraId="4008D2C1" w14:textId="7272E7CF" w:rsidR="00AB41FE" w:rsidRPr="00AB41FE" w:rsidRDefault="00AB41FE" w:rsidP="00113F0E">
      <w:r w:rsidRPr="00AB41FE">
        <w:t>The 1</w:t>
      </w:r>
      <w:r w:rsidR="00456523" w:rsidRPr="00456523">
        <w:rPr>
          <w:vertAlign w:val="superscript"/>
        </w:rPr>
        <w:t>st</w:t>
      </w:r>
      <w:r w:rsidR="00456523">
        <w:t xml:space="preserve"> </w:t>
      </w:r>
      <w:r w:rsidRPr="00AB41FE">
        <w:t xml:space="preserve">level is the Guest OS contention. This is beyond the control of the IaaS. It’s completely up to Guest OS to manage their given resources. </w:t>
      </w:r>
    </w:p>
    <w:p w14:paraId="2D8A11E7" w14:textId="6F75E4A5" w:rsidR="00AB41FE" w:rsidRPr="00AB41FE" w:rsidRDefault="00AB41FE" w:rsidP="00113F0E">
      <w:r w:rsidRPr="00AB41FE">
        <w:t>The 2</w:t>
      </w:r>
      <w:r w:rsidR="00456523" w:rsidRPr="00456523">
        <w:rPr>
          <w:vertAlign w:val="superscript"/>
        </w:rPr>
        <w:t>nd</w:t>
      </w:r>
      <w:r w:rsidR="00456523">
        <w:t xml:space="preserve"> </w:t>
      </w:r>
      <w:r w:rsidRPr="00AB41FE">
        <w:t>level is useful for tracking the VM capacity. Say a VM is given 8 vCPU. If you want to know if it’s using it, this is the area where you measure it. Whether you measure it In-Guest or VM level, it depends on the specific use case because each layer lacks visibility into the other.</w:t>
      </w:r>
    </w:p>
    <w:p w14:paraId="24DD91F4" w14:textId="1B901514" w:rsidR="00AB41FE" w:rsidRPr="00AB41FE" w:rsidRDefault="00AB41FE" w:rsidP="00113F0E">
      <w:r w:rsidRPr="00AB41FE">
        <w:t>The 3</w:t>
      </w:r>
      <w:r w:rsidR="00456523" w:rsidRPr="00456523">
        <w:rPr>
          <w:vertAlign w:val="superscript"/>
        </w:rPr>
        <w:t>rd</w:t>
      </w:r>
      <w:r w:rsidR="00456523">
        <w:t xml:space="preserve"> </w:t>
      </w:r>
      <w:r w:rsidRPr="00AB41FE">
        <w:t xml:space="preserve">level is where the VM meets the </w:t>
      </w:r>
      <w:r w:rsidR="00FC538D">
        <w:t>provider</w:t>
      </w:r>
      <w:r w:rsidRPr="00AB41FE">
        <w:t xml:space="preserve">. This is where you track if </w:t>
      </w:r>
      <w:r w:rsidR="00FC538D">
        <w:t xml:space="preserve">IaaS </w:t>
      </w:r>
      <w:r w:rsidRPr="00AB41FE">
        <w:t xml:space="preserve">is serving the VM. </w:t>
      </w:r>
    </w:p>
    <w:p w14:paraId="7F4CB2B7" w14:textId="6DEA8530" w:rsidR="00AB41FE" w:rsidRPr="00AB41FE" w:rsidRDefault="00AB41FE" w:rsidP="00113F0E">
      <w:r w:rsidRPr="00AB41FE">
        <w:t>The 4</w:t>
      </w:r>
      <w:r w:rsidR="00456523" w:rsidRPr="00456523">
        <w:rPr>
          <w:vertAlign w:val="superscript"/>
        </w:rPr>
        <w:t>th</w:t>
      </w:r>
      <w:r w:rsidR="00456523">
        <w:t xml:space="preserve"> </w:t>
      </w:r>
      <w:r w:rsidRPr="00AB41FE">
        <w:t>level is the underlying IaaS. This level is irrelevant to the VM Owner. This is normally the domain of Capacity Planner</w:t>
      </w:r>
      <w:r w:rsidR="001732E6">
        <w:t xml:space="preserve"> and troubleshooting specialists.</w:t>
      </w:r>
    </w:p>
    <w:p w14:paraId="2B6A7A8F" w14:textId="77B36968" w:rsidR="00556230" w:rsidRDefault="00396A1B" w:rsidP="00AD17BB">
      <w:pPr>
        <w:rPr>
          <w:lang w:val="en-GB" w:eastAsia="en-SG"/>
        </w:rPr>
      </w:pPr>
      <w:r>
        <w:rPr>
          <w:lang w:val="en-GB" w:eastAsia="en-SG"/>
        </w:rPr>
        <w:lastRenderedPageBreak/>
        <w:t xml:space="preserve">Let’s </w:t>
      </w:r>
      <w:r w:rsidR="00D90047">
        <w:rPr>
          <w:lang w:val="en-GB" w:eastAsia="en-SG"/>
        </w:rPr>
        <w:t xml:space="preserve">drill down further, breaking the layers more. </w:t>
      </w:r>
    </w:p>
    <w:p w14:paraId="38DFA4F5" w14:textId="647F320F" w:rsidR="00023E4C" w:rsidRPr="00AD17BB" w:rsidRDefault="00023E4C" w:rsidP="00AC6E1E">
      <w:pPr>
        <w:pStyle w:val="Heading4"/>
        <w:rPr>
          <w:rStyle w:val="eop"/>
          <w:rFonts w:ascii="Calibri" w:eastAsia="Times New Roman" w:hAnsi="Calibri" w:cs="Calibri"/>
          <w:lang w:val="en-US"/>
        </w:rPr>
      </w:pPr>
      <w:r>
        <w:t>IaaS Layers of Metrics</w:t>
      </w:r>
    </w:p>
    <w:p w14:paraId="17069C66" w14:textId="12A1918C" w:rsidR="005910FF" w:rsidRDefault="00AD17BB" w:rsidP="00B70BA6">
      <w:pPr>
        <w:rPr>
          <w:lang w:val="en-GB"/>
        </w:rPr>
      </w:pPr>
      <w:r w:rsidRPr="00AD17BB">
        <w:rPr>
          <w:noProof/>
          <w:lang w:val="en-GB"/>
        </w:rPr>
        <w:drawing>
          <wp:inline distT="0" distB="0" distL="0" distR="0" wp14:anchorId="5B595E55" wp14:editId="13A72782">
            <wp:extent cx="6645910" cy="3696970"/>
            <wp:effectExtent l="0" t="0" r="2540" b="0"/>
            <wp:docPr id="1583707923" name="Picture 1583707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645910" cy="3696970"/>
                    </a:xfrm>
                    <a:prstGeom prst="rect">
                      <a:avLst/>
                    </a:prstGeom>
                  </pic:spPr>
                </pic:pic>
              </a:graphicData>
            </a:graphic>
          </wp:inline>
        </w:drawing>
      </w:r>
    </w:p>
    <w:p w14:paraId="68F17CE7" w14:textId="4DABDC37" w:rsidR="00396A1B" w:rsidRDefault="00D90047" w:rsidP="00396A1B">
      <w:pPr>
        <w:rPr>
          <w:lang w:val="en-GB" w:eastAsia="en-SG"/>
        </w:rPr>
      </w:pPr>
      <w:r>
        <w:rPr>
          <w:lang w:val="en-GB" w:eastAsia="en-SG"/>
        </w:rPr>
        <w:t xml:space="preserve">Notice </w:t>
      </w:r>
      <w:r w:rsidR="00396A1B">
        <w:rPr>
          <w:lang w:val="en-GB" w:eastAsia="en-SG"/>
        </w:rPr>
        <w:t xml:space="preserve">how consumer and provider </w:t>
      </w:r>
      <w:r>
        <w:rPr>
          <w:lang w:val="en-GB" w:eastAsia="en-SG"/>
        </w:rPr>
        <w:t xml:space="preserve">metrics </w:t>
      </w:r>
      <w:r w:rsidR="00396A1B">
        <w:rPr>
          <w:lang w:val="en-GB" w:eastAsia="en-SG"/>
        </w:rPr>
        <w:t xml:space="preserve">are intertwined. The consumer contention becomes the performance metric for the provider. </w:t>
      </w:r>
    </w:p>
    <w:p w14:paraId="6E56F1EB" w14:textId="4CF7ADA0" w:rsidR="00EB7A51" w:rsidRDefault="00C73CDA" w:rsidP="00B70BA6">
      <w:pPr>
        <w:rPr>
          <w:lang w:val="en-GB"/>
        </w:rPr>
      </w:pPr>
      <w:r>
        <w:rPr>
          <w:lang w:val="en-GB"/>
        </w:rPr>
        <w:t xml:space="preserve">The Consumer </w:t>
      </w:r>
      <w:r w:rsidR="008F2886">
        <w:rPr>
          <w:lang w:val="en-GB"/>
        </w:rPr>
        <w:t xml:space="preserve">group </w:t>
      </w:r>
      <w:r w:rsidR="0057564E">
        <w:rPr>
          <w:lang w:val="en-GB"/>
        </w:rPr>
        <w:t xml:space="preserve">consists of </w:t>
      </w:r>
    </w:p>
    <w:p w14:paraId="3C6411F7" w14:textId="166D464F" w:rsidR="0057564E" w:rsidRDefault="0057564E" w:rsidP="0057564E">
      <w:pPr>
        <w:pStyle w:val="Bullet"/>
        <w:rPr>
          <w:lang w:val="en-GB"/>
        </w:rPr>
      </w:pPr>
      <w:r>
        <w:rPr>
          <w:lang w:val="en-GB"/>
        </w:rPr>
        <w:t xml:space="preserve">Business Application. This can span multiple </w:t>
      </w:r>
      <w:r w:rsidR="0078635C">
        <w:rPr>
          <w:lang w:val="en-GB"/>
        </w:rPr>
        <w:t xml:space="preserve">VM, container and serverless. The metrics here are business metrics, not IT metrics. </w:t>
      </w:r>
      <w:r w:rsidR="008C6A4D">
        <w:rPr>
          <w:lang w:val="en-GB"/>
        </w:rPr>
        <w:t>They are the best at measuring the application performance, but they can’t explain why it’s not performing</w:t>
      </w:r>
      <w:r w:rsidR="000E252F">
        <w:rPr>
          <w:lang w:val="en-GB"/>
        </w:rPr>
        <w:t xml:space="preserve">, </w:t>
      </w:r>
    </w:p>
    <w:p w14:paraId="41276612" w14:textId="3024BF15" w:rsidR="008C6A4D" w:rsidRDefault="008C6A4D" w:rsidP="0057564E">
      <w:pPr>
        <w:pStyle w:val="Bullet"/>
        <w:rPr>
          <w:lang w:val="en-GB"/>
        </w:rPr>
      </w:pPr>
      <w:r>
        <w:rPr>
          <w:lang w:val="en-GB"/>
        </w:rPr>
        <w:t>Service. This is a process running inside Windows or Linux.</w:t>
      </w:r>
      <w:r w:rsidR="00B23A78">
        <w:rPr>
          <w:lang w:val="en-GB"/>
        </w:rPr>
        <w:t xml:space="preserve"> We normally call this application</w:t>
      </w:r>
      <w:r w:rsidR="0099100D">
        <w:rPr>
          <w:lang w:val="en-GB"/>
        </w:rPr>
        <w:t xml:space="preserve">. An example is a database server. </w:t>
      </w:r>
    </w:p>
    <w:p w14:paraId="0CC34E8A" w14:textId="2786821D" w:rsidR="0099100D" w:rsidRDefault="0099100D" w:rsidP="0057564E">
      <w:pPr>
        <w:pStyle w:val="Bullet"/>
        <w:rPr>
          <w:lang w:val="en-GB"/>
        </w:rPr>
      </w:pPr>
      <w:r>
        <w:rPr>
          <w:lang w:val="en-GB"/>
        </w:rPr>
        <w:t>Guest OS</w:t>
      </w:r>
      <w:r w:rsidR="007A4706">
        <w:rPr>
          <w:lang w:val="en-GB"/>
        </w:rPr>
        <w:t xml:space="preserve">. There are 2 kinds of performance </w:t>
      </w:r>
      <w:r w:rsidR="008D3A3F">
        <w:rPr>
          <w:lang w:val="en-GB"/>
        </w:rPr>
        <w:t>metrics</w:t>
      </w:r>
      <w:r w:rsidR="007A4706">
        <w:rPr>
          <w:lang w:val="en-GB"/>
        </w:rPr>
        <w:t xml:space="preserve">. One at </w:t>
      </w:r>
      <w:r w:rsidR="006E384F">
        <w:rPr>
          <w:lang w:val="en-GB"/>
        </w:rPr>
        <w:t>Windows/Linux</w:t>
      </w:r>
      <w:r w:rsidR="007A4706">
        <w:rPr>
          <w:lang w:val="en-GB"/>
        </w:rPr>
        <w:t xml:space="preserve"> layer, one at driver layer</w:t>
      </w:r>
      <w:r w:rsidR="006E384F">
        <w:rPr>
          <w:lang w:val="en-GB"/>
        </w:rPr>
        <w:t xml:space="preserve"> (e.g. PVSCSI, vmxnet)</w:t>
      </w:r>
    </w:p>
    <w:p w14:paraId="312BB6D4" w14:textId="2595421E" w:rsidR="0099100D" w:rsidRDefault="0099100D" w:rsidP="0057564E">
      <w:pPr>
        <w:pStyle w:val="Bullet"/>
        <w:rPr>
          <w:lang w:val="en-GB"/>
        </w:rPr>
      </w:pPr>
      <w:r>
        <w:rPr>
          <w:lang w:val="en-GB"/>
        </w:rPr>
        <w:t xml:space="preserve">Container. </w:t>
      </w:r>
      <w:r w:rsidR="00AD17BB">
        <w:rPr>
          <w:lang w:val="en-GB"/>
        </w:rPr>
        <w:t>This typically runs inside a VM</w:t>
      </w:r>
      <w:r w:rsidR="005D5AB6">
        <w:rPr>
          <w:lang w:val="en-GB"/>
        </w:rPr>
        <w:t xml:space="preserve">. If there are more than 1 container in a VM, it makes </w:t>
      </w:r>
      <w:r w:rsidR="009069B8">
        <w:rPr>
          <w:lang w:val="en-GB"/>
        </w:rPr>
        <w:t xml:space="preserve">operations </w:t>
      </w:r>
      <w:r w:rsidR="005D5AB6">
        <w:rPr>
          <w:lang w:val="en-GB"/>
        </w:rPr>
        <w:t>management harder.</w:t>
      </w:r>
    </w:p>
    <w:p w14:paraId="471CEB7F" w14:textId="7B9BCD31" w:rsidR="0099100D" w:rsidRDefault="0099100D" w:rsidP="0057564E">
      <w:pPr>
        <w:pStyle w:val="Bullet"/>
        <w:rPr>
          <w:lang w:val="en-GB"/>
        </w:rPr>
      </w:pPr>
      <w:r>
        <w:rPr>
          <w:lang w:val="en-GB"/>
        </w:rPr>
        <w:t>VM.</w:t>
      </w:r>
    </w:p>
    <w:p w14:paraId="28C8A0B4" w14:textId="53F3FD18" w:rsidR="006E384F" w:rsidRDefault="006E384F" w:rsidP="00B70BA6">
      <w:pPr>
        <w:rPr>
          <w:lang w:val="en-GB"/>
        </w:rPr>
      </w:pPr>
      <w:r>
        <w:rPr>
          <w:lang w:val="en-GB"/>
        </w:rPr>
        <w:t xml:space="preserve">The Provider </w:t>
      </w:r>
      <w:r w:rsidR="008F2886">
        <w:rPr>
          <w:lang w:val="en-GB"/>
        </w:rPr>
        <w:t xml:space="preserve">group consists of </w:t>
      </w:r>
    </w:p>
    <w:p w14:paraId="524155DD" w14:textId="4E493DA5" w:rsidR="008F2886" w:rsidRDefault="008F2886" w:rsidP="008F2886">
      <w:pPr>
        <w:pStyle w:val="Bullet"/>
        <w:rPr>
          <w:lang w:val="en-GB"/>
        </w:rPr>
      </w:pPr>
      <w:r>
        <w:rPr>
          <w:lang w:val="en-GB"/>
        </w:rPr>
        <w:t>Compute virtualizatio</w:t>
      </w:r>
      <w:r w:rsidR="00710064">
        <w:rPr>
          <w:lang w:val="en-GB"/>
        </w:rPr>
        <w:t>n, also known as hypervisor</w:t>
      </w:r>
      <w:r>
        <w:rPr>
          <w:lang w:val="en-GB"/>
        </w:rPr>
        <w:t xml:space="preserve">. This is where the VM or container is running. </w:t>
      </w:r>
    </w:p>
    <w:p w14:paraId="6ACEB596" w14:textId="465B966F" w:rsidR="00710064" w:rsidRDefault="00710064" w:rsidP="008F2886">
      <w:pPr>
        <w:pStyle w:val="Bullet"/>
        <w:rPr>
          <w:lang w:val="en-GB"/>
        </w:rPr>
      </w:pPr>
      <w:r>
        <w:rPr>
          <w:lang w:val="en-GB"/>
        </w:rPr>
        <w:lastRenderedPageBreak/>
        <w:t xml:space="preserve">Storage and Network virtualization. They act as subsystem, supporting layer. Ideally, they should have VM-level metrics, so you can </w:t>
      </w:r>
      <w:r w:rsidR="00E7767A">
        <w:rPr>
          <w:lang w:val="en-GB"/>
        </w:rPr>
        <w:t>observe how a single VM performance deep into the storage and networking stack.</w:t>
      </w:r>
    </w:p>
    <w:p w14:paraId="42A6FEE2" w14:textId="67E7218C" w:rsidR="00E7767A" w:rsidRDefault="00E7767A" w:rsidP="008F2886">
      <w:pPr>
        <w:pStyle w:val="Bullet"/>
        <w:rPr>
          <w:lang w:val="en-GB"/>
        </w:rPr>
      </w:pPr>
      <w:r>
        <w:rPr>
          <w:lang w:val="en-GB"/>
        </w:rPr>
        <w:t xml:space="preserve">Physical resource. With hyperconverged, the only remaining is basically network </w:t>
      </w:r>
      <w:r w:rsidR="001D05C9">
        <w:rPr>
          <w:lang w:val="en-GB"/>
        </w:rPr>
        <w:t>equipment, due to their function as interconnect.</w:t>
      </w:r>
    </w:p>
    <w:p w14:paraId="4C071326" w14:textId="40BEF351" w:rsidR="008A6F4F" w:rsidRDefault="007F10D2" w:rsidP="00B70BA6">
      <w:pPr>
        <w:rPr>
          <w:rStyle w:val="eop"/>
          <w:rFonts w:ascii="Calibri" w:hAnsi="Calibri" w:cs="Calibri"/>
          <w:lang w:val="en-GB"/>
        </w:rPr>
      </w:pPr>
      <w:r>
        <w:rPr>
          <w:lang w:val="en-GB"/>
        </w:rPr>
        <w:t xml:space="preserve">Contention is placed above utilization as that’s what you should drive your operations. </w:t>
      </w:r>
      <w:r w:rsidR="00E15A35" w:rsidRPr="00A452F2">
        <w:rPr>
          <w:lang w:val="en-GB"/>
        </w:rPr>
        <w:t xml:space="preserve">As </w:t>
      </w:r>
      <w:hyperlink r:id="rId109" w:history="1">
        <w:r w:rsidR="00E15A35" w:rsidRPr="004B1006">
          <w:rPr>
            <w:rStyle w:val="Hyperlink"/>
            <w:lang w:val="en-GB"/>
          </w:rPr>
          <w:t>Mark Achtemichuk</w:t>
        </w:r>
      </w:hyperlink>
      <w:r w:rsidR="00E15A35" w:rsidRPr="00A452F2">
        <w:rPr>
          <w:lang w:val="en-GB"/>
        </w:rPr>
        <w:t xml:space="preserve"> said in </w:t>
      </w:r>
      <w:hyperlink r:id="rId110" w:history="1">
        <w:r w:rsidR="00E15A35" w:rsidRPr="00A452F2">
          <w:rPr>
            <w:rStyle w:val="Hyperlink"/>
            <w:lang w:val="en-GB"/>
          </w:rPr>
          <w:t>this article</w:t>
        </w:r>
      </w:hyperlink>
      <w:r w:rsidR="00E15A35" w:rsidRPr="00A452F2">
        <w:rPr>
          <w:lang w:val="en-GB"/>
        </w:rPr>
        <w:t xml:space="preserve">, </w:t>
      </w:r>
      <w:r w:rsidR="00E15A35">
        <w:rPr>
          <w:lang w:val="en-GB"/>
        </w:rPr>
        <w:t xml:space="preserve">drive by contention. </w:t>
      </w:r>
      <w:r w:rsidR="008A6F4F">
        <w:rPr>
          <w:lang w:val="en-GB"/>
        </w:rPr>
        <w:t xml:space="preserve">For each layer, you have a set of metrics. The black line </w:t>
      </w:r>
      <w:r w:rsidR="005F590D">
        <w:rPr>
          <w:lang w:val="en-GB"/>
        </w:rPr>
        <w:t>indicates</w:t>
      </w:r>
      <w:r w:rsidR="008A6F4F">
        <w:rPr>
          <w:lang w:val="en-GB"/>
        </w:rPr>
        <w:t xml:space="preserve"> that </w:t>
      </w:r>
      <w:r w:rsidR="00B70BA6">
        <w:rPr>
          <w:lang w:val="en-GB"/>
        </w:rPr>
        <w:t xml:space="preserve">contention </w:t>
      </w:r>
      <w:r w:rsidR="008A6F4F">
        <w:rPr>
          <w:lang w:val="en-GB"/>
        </w:rPr>
        <w:t xml:space="preserve">is the primary counter for performance, and </w:t>
      </w:r>
      <w:r w:rsidR="00B70BA6">
        <w:rPr>
          <w:lang w:val="en-GB"/>
        </w:rPr>
        <w:t xml:space="preserve">utilization </w:t>
      </w:r>
      <w:r w:rsidR="00874CAB">
        <w:rPr>
          <w:lang w:val="en-GB"/>
        </w:rPr>
        <w:t xml:space="preserve">is the primary </w:t>
      </w:r>
      <w:r w:rsidR="00B70BA6">
        <w:rPr>
          <w:lang w:val="en-GB"/>
        </w:rPr>
        <w:t>metric for capacity.</w:t>
      </w:r>
    </w:p>
    <w:p w14:paraId="6490A857" w14:textId="3EAAB342" w:rsidR="00A84616" w:rsidRDefault="00A84616" w:rsidP="00A84616">
      <w:pPr>
        <w:rPr>
          <w:lang w:val="en-GB"/>
        </w:rPr>
      </w:pPr>
      <w:r>
        <w:rPr>
          <w:lang w:val="en-GB"/>
        </w:rPr>
        <w:t xml:space="preserve">The </w:t>
      </w:r>
      <w:r w:rsidR="0022569A" w:rsidRPr="0022569A">
        <w:rPr>
          <w:color w:val="00B050"/>
          <w:lang w:val="en-GB"/>
        </w:rPr>
        <w:t>green</w:t>
      </w:r>
      <w:r>
        <w:rPr>
          <w:lang w:val="en-GB"/>
        </w:rPr>
        <w:t xml:space="preserve"> line shows that </w:t>
      </w:r>
      <w:r w:rsidRPr="008B64A4">
        <w:rPr>
          <w:lang w:val="en-GB"/>
        </w:rPr>
        <w:t xml:space="preserve">contention </w:t>
      </w:r>
      <w:r w:rsidR="008D3A3F">
        <w:rPr>
          <w:lang w:val="en-GB"/>
        </w:rPr>
        <w:t>metrics</w:t>
      </w:r>
      <w:r w:rsidRPr="008B64A4">
        <w:rPr>
          <w:lang w:val="en-GB"/>
        </w:rPr>
        <w:t xml:space="preserve"> give valuable input to capacity by showing how much additional capacity is required. For example, the number of queue</w:t>
      </w:r>
      <w:r>
        <w:rPr>
          <w:lang w:val="en-GB"/>
        </w:rPr>
        <w:t>s</w:t>
      </w:r>
      <w:r w:rsidRPr="008B64A4">
        <w:rPr>
          <w:lang w:val="en-GB"/>
        </w:rPr>
        <w:t xml:space="preserve"> in the CPU should be used to determine the amount of CPU to add.</w:t>
      </w:r>
    </w:p>
    <w:p w14:paraId="26650023" w14:textId="77777777" w:rsidR="007C6A65" w:rsidRPr="008B64A4" w:rsidRDefault="007C6A65" w:rsidP="007C6A65">
      <w:pPr>
        <w:rPr>
          <w:rStyle w:val="eop"/>
          <w:rFonts w:ascii="Calibri" w:hAnsi="Calibri" w:cs="Calibri"/>
          <w:lang w:val="en-GB"/>
        </w:rPr>
      </w:pPr>
      <w:r>
        <w:rPr>
          <w:lang w:val="en-US"/>
        </w:rPr>
        <w:t>The blue line shows that c</w:t>
      </w:r>
      <w:r w:rsidRPr="2D34D73A">
        <w:rPr>
          <w:lang w:val="en-US"/>
        </w:rPr>
        <w:t>ontention in the underlying layer directly impacts the performance of the layer above. For example, if a Guest OS experiences disk latency, the application will feel the impact.</w:t>
      </w:r>
      <w:r>
        <w:rPr>
          <w:lang w:val="en-US"/>
        </w:rPr>
        <w:t xml:space="preserve"> That can result in a ripple effect to the top layer.</w:t>
      </w:r>
    </w:p>
    <w:p w14:paraId="039B358B" w14:textId="4A81BFEC" w:rsidR="00556230" w:rsidRDefault="00A84616" w:rsidP="00556230">
      <w:pPr>
        <w:rPr>
          <w:lang w:val="en-GB"/>
        </w:rPr>
      </w:pPr>
      <w:r>
        <w:rPr>
          <w:lang w:val="en-GB"/>
        </w:rPr>
        <w:t xml:space="preserve">The </w:t>
      </w:r>
      <w:r w:rsidR="00CF7D2C" w:rsidRPr="00CF7D2C">
        <w:rPr>
          <w:color w:val="FF0000"/>
          <w:lang w:val="en-GB"/>
        </w:rPr>
        <w:t>red</w:t>
      </w:r>
      <w:r>
        <w:rPr>
          <w:lang w:val="en-GB"/>
        </w:rPr>
        <w:t xml:space="preserve"> line is not solid, as it’s showing </w:t>
      </w:r>
      <w:r w:rsidR="007430E2">
        <w:rPr>
          <w:lang w:val="en-GB"/>
        </w:rPr>
        <w:t>a misconception.</w:t>
      </w:r>
      <w:r w:rsidR="007C6A65">
        <w:rPr>
          <w:lang w:val="en-GB"/>
        </w:rPr>
        <w:t xml:space="preserve"> </w:t>
      </w:r>
      <w:r w:rsidR="00556230" w:rsidRPr="008B64A4">
        <w:rPr>
          <w:lang w:val="en-GB"/>
        </w:rPr>
        <w:t xml:space="preserve">If </w:t>
      </w:r>
      <w:r w:rsidR="00367207">
        <w:rPr>
          <w:lang w:val="en-GB"/>
        </w:rPr>
        <w:t xml:space="preserve">contention = </w:t>
      </w:r>
      <w:r w:rsidR="00556230" w:rsidRPr="008B64A4">
        <w:rPr>
          <w:lang w:val="en-GB"/>
        </w:rPr>
        <w:t xml:space="preserve">0, then utilization at 100% is in fact maximum performance. If we can’t measure </w:t>
      </w:r>
      <w:r w:rsidR="00367207">
        <w:rPr>
          <w:lang w:val="en-GB"/>
        </w:rPr>
        <w:t>the contention</w:t>
      </w:r>
      <w:r w:rsidR="00556230" w:rsidRPr="008B64A4">
        <w:rPr>
          <w:lang w:val="en-GB"/>
        </w:rPr>
        <w:t>, then add the buffer (e.g. 90% utilization) as queue tends to develop at high utilization. On the other hand, you can have poor performance at low utilization. Many things can cause this</w:t>
      </w:r>
      <w:r w:rsidR="009E4A83">
        <w:rPr>
          <w:lang w:val="en-GB"/>
        </w:rPr>
        <w:t xml:space="preserve"> as there are many possible configuration errors</w:t>
      </w:r>
      <w:r w:rsidR="00556230" w:rsidRPr="008B64A4">
        <w:rPr>
          <w:lang w:val="en-GB"/>
        </w:rPr>
        <w:t>. Here are just some.</w:t>
      </w:r>
    </w:p>
    <w:p w14:paraId="62A668F8" w14:textId="583B4EF8" w:rsidR="005A0365" w:rsidRDefault="00DC367C" w:rsidP="00AC6E1E">
      <w:pPr>
        <w:pStyle w:val="Heading4"/>
      </w:pPr>
      <w:r>
        <w:t xml:space="preserve">Impact on </w:t>
      </w:r>
      <w:r w:rsidR="005A0C03">
        <w:t>Capacity</w:t>
      </w:r>
    </w:p>
    <w:p w14:paraId="571EE95E" w14:textId="77777777" w:rsidR="001C51D0" w:rsidRDefault="001C51D0" w:rsidP="001C51D0">
      <w:pPr>
        <w:rPr>
          <w:rStyle w:val="normaltextrun"/>
          <w:rFonts w:ascii="Calibri" w:hAnsi="Calibri" w:cs="Calibri"/>
          <w:lang w:val="en-US"/>
        </w:rPr>
      </w:pPr>
      <w:r>
        <w:rPr>
          <w:rStyle w:val="normaltextrun"/>
          <w:rFonts w:ascii="Calibri" w:hAnsi="Calibri" w:cs="Calibri"/>
          <w:lang w:val="en-US"/>
        </w:rPr>
        <w:t>The following diagram shows 3 different scenarios on how contention and consumption can play out:</w:t>
      </w:r>
    </w:p>
    <w:p w14:paraId="57EBB189" w14:textId="77777777" w:rsidR="001C51D0" w:rsidRPr="008218ED" w:rsidRDefault="001C51D0" w:rsidP="001C51D0">
      <w:pPr>
        <w:pStyle w:val="Bullet"/>
        <w:rPr>
          <w:rStyle w:val="normaltextrun"/>
        </w:rPr>
      </w:pPr>
      <w:r>
        <w:rPr>
          <w:rStyle w:val="normaltextrun"/>
          <w:rFonts w:ascii="Calibri" w:hAnsi="Calibri" w:cs="Calibri"/>
          <w:lang w:val="en-US"/>
        </w:rPr>
        <w:t>W</w:t>
      </w:r>
      <w:r w:rsidRPr="006B0BC0">
        <w:rPr>
          <w:rStyle w:val="normaltextrun"/>
          <w:rFonts w:ascii="Calibri" w:hAnsi="Calibri" w:cs="Calibri"/>
          <w:lang w:val="en-US"/>
        </w:rPr>
        <w:t xml:space="preserve">hat </w:t>
      </w:r>
      <w:r w:rsidRPr="008218ED">
        <w:rPr>
          <w:rStyle w:val="normaltextrun"/>
        </w:rPr>
        <w:t xml:space="preserve">you think will happen. You theorize that contention will only happen when utilization is high, and the unused capacity acts as cushion to prevent unmet demand from happening. </w:t>
      </w:r>
    </w:p>
    <w:p w14:paraId="0806AE50" w14:textId="77777777" w:rsidR="001C51D0" w:rsidRPr="008218ED" w:rsidRDefault="001C51D0" w:rsidP="001C51D0">
      <w:pPr>
        <w:pStyle w:val="Bullet"/>
        <w:rPr>
          <w:rStyle w:val="normaltextrun"/>
        </w:rPr>
      </w:pPr>
      <w:r w:rsidRPr="008218ED">
        <w:rPr>
          <w:rStyle w:val="normaltextrun"/>
        </w:rPr>
        <w:t>What actually happens in most environment. Demand is unmet even though utilization is not high, due to suboptimal configuration or constraint.</w:t>
      </w:r>
      <w:r w:rsidRPr="00D93429">
        <w:rPr>
          <w:lang w:val="en-US"/>
        </w:rPr>
        <w:t xml:space="preserve"> </w:t>
      </w:r>
      <w:r>
        <w:rPr>
          <w:lang w:val="en-US"/>
        </w:rPr>
        <w:t>Imbalance</w:t>
      </w:r>
      <w:r w:rsidRPr="002639BB">
        <w:rPr>
          <w:lang w:val="en-US"/>
        </w:rPr>
        <w:t xml:space="preserve"> and incorrect cluster</w:t>
      </w:r>
      <w:r>
        <w:rPr>
          <w:lang w:val="en-US"/>
        </w:rPr>
        <w:t xml:space="preserve"> </w:t>
      </w:r>
      <w:r w:rsidRPr="002639BB">
        <w:rPr>
          <w:lang w:val="en-US"/>
        </w:rPr>
        <w:t xml:space="preserve">configurations are </w:t>
      </w:r>
      <w:r>
        <w:rPr>
          <w:lang w:val="en-US"/>
        </w:rPr>
        <w:t>two</w:t>
      </w:r>
      <w:r w:rsidRPr="002639BB">
        <w:rPr>
          <w:lang w:val="en-US"/>
        </w:rPr>
        <w:t xml:space="preserve"> typical causes of contention at low utilization.</w:t>
      </w:r>
    </w:p>
    <w:p w14:paraId="2B4729CC" w14:textId="3FEC7889" w:rsidR="001C51D0" w:rsidRPr="00C0723C" w:rsidRDefault="001C51D0" w:rsidP="001C51D0">
      <w:pPr>
        <w:pStyle w:val="Bullet"/>
        <w:rPr>
          <w:rFonts w:eastAsia="Times New Roman"/>
          <w:lang w:val="en-US" w:eastAsia="en-SG"/>
        </w:rPr>
      </w:pPr>
      <w:r w:rsidRPr="008218ED">
        <w:rPr>
          <w:rStyle w:val="normaltextrun"/>
        </w:rPr>
        <w:t xml:space="preserve">What </w:t>
      </w:r>
      <w:r>
        <w:rPr>
          <w:rStyle w:val="normaltextrun"/>
        </w:rPr>
        <w:t>would</w:t>
      </w:r>
      <w:r>
        <w:rPr>
          <w:rStyle w:val="normaltextrun"/>
          <w:rFonts w:ascii="Calibri" w:hAnsi="Calibri" w:cs="Calibri"/>
          <w:lang w:val="en-US"/>
        </w:rPr>
        <w:t xml:space="preserve"> happen </w:t>
      </w:r>
      <w:r w:rsidRPr="006B0BC0">
        <w:rPr>
          <w:rStyle w:val="normaltextrun"/>
          <w:rFonts w:ascii="Calibri" w:hAnsi="Calibri" w:cs="Calibri"/>
          <w:lang w:val="en-US"/>
        </w:rPr>
        <w:t>if your environment is optimized.</w:t>
      </w:r>
      <w:r>
        <w:rPr>
          <w:rStyle w:val="normaltextrun"/>
          <w:rFonts w:ascii="Calibri" w:hAnsi="Calibri" w:cs="Calibri"/>
          <w:lang w:val="en-US"/>
        </w:rPr>
        <w:t xml:space="preserve"> You have very high utilization yet you keep unmet demand within the promised SLA. </w:t>
      </w:r>
    </w:p>
    <w:p w14:paraId="7DE5696A" w14:textId="18627694" w:rsidR="00AE4108" w:rsidRPr="00812115" w:rsidRDefault="00AE4108" w:rsidP="00A35807">
      <w:pPr>
        <w:jc w:val="center"/>
        <w:rPr>
          <w:rFonts w:ascii="Calibri" w:hAnsi="Calibri" w:cs="Calibri"/>
          <w:lang w:val="en-GB"/>
        </w:rPr>
      </w:pPr>
      <w:r w:rsidRPr="00AE4108">
        <w:rPr>
          <w:rFonts w:ascii="Calibri" w:hAnsi="Calibri" w:cs="Calibri"/>
          <w:noProof/>
          <w:lang w:val="en-GB"/>
        </w:rPr>
        <w:lastRenderedPageBreak/>
        <w:drawing>
          <wp:inline distT="0" distB="0" distL="0" distR="0" wp14:anchorId="146BC05E" wp14:editId="6937A35D">
            <wp:extent cx="5972400" cy="2433600"/>
            <wp:effectExtent l="0" t="0" r="0" b="5080"/>
            <wp:docPr id="1293284858" name="Picture 1293284858"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58" name="Picture 1293284858" descr="Chart, waterfall chart&#10;&#10;Description automatically generated"/>
                    <pic:cNvPicPr/>
                  </pic:nvPicPr>
                  <pic:blipFill>
                    <a:blip r:embed="rId111"/>
                    <a:stretch>
                      <a:fillRect/>
                    </a:stretch>
                  </pic:blipFill>
                  <pic:spPr>
                    <a:xfrm>
                      <a:off x="0" y="0"/>
                      <a:ext cx="5972400" cy="2433600"/>
                    </a:xfrm>
                    <a:prstGeom prst="rect">
                      <a:avLst/>
                    </a:prstGeom>
                  </pic:spPr>
                </pic:pic>
              </a:graphicData>
            </a:graphic>
          </wp:inline>
        </w:drawing>
      </w:r>
    </w:p>
    <w:p w14:paraId="641B43D6" w14:textId="6410B16A" w:rsidR="001C51D0" w:rsidRDefault="001C51D0" w:rsidP="001C51D0">
      <w:pPr>
        <w:rPr>
          <w:lang w:val="en-GB" w:eastAsia="en-SG"/>
        </w:rPr>
      </w:pPr>
      <w:r w:rsidRPr="1988D285">
        <w:rPr>
          <w:rStyle w:val="normaltextrun"/>
          <w:rFonts w:ascii="Calibri" w:hAnsi="Calibri" w:cs="Calibri"/>
          <w:lang w:val="en-GB"/>
        </w:rPr>
        <w:t>Do</w:t>
      </w:r>
      <w:r w:rsidR="00C0723C">
        <w:rPr>
          <w:rStyle w:val="normaltextrun"/>
          <w:rFonts w:ascii="Calibri" w:hAnsi="Calibri" w:cs="Calibri"/>
          <w:lang w:val="en-GB"/>
        </w:rPr>
        <w:t xml:space="preserve">n’t </w:t>
      </w:r>
      <w:r w:rsidRPr="1988D285">
        <w:rPr>
          <w:rStyle w:val="normaltextrun"/>
          <w:rFonts w:ascii="Calibri" w:hAnsi="Calibri" w:cs="Calibri"/>
          <w:lang w:val="en-GB"/>
        </w:rPr>
        <w:t>confuse “</w:t>
      </w:r>
      <w:r w:rsidRPr="00F4344F">
        <w:rPr>
          <w:rStyle w:val="normaltextrun"/>
          <w:rFonts w:ascii="Calibri" w:hAnsi="Calibri" w:cs="Calibri"/>
          <w:b/>
          <w:bCs/>
          <w:color w:val="00B0F0"/>
          <w:lang w:val="en-GB"/>
        </w:rPr>
        <w:t>ultra-high</w:t>
      </w:r>
      <w:r w:rsidRPr="1988D285">
        <w:rPr>
          <w:rStyle w:val="normaltextrun"/>
          <w:rFonts w:ascii="Calibri" w:hAnsi="Calibri" w:cs="Calibri"/>
          <w:lang w:val="en-GB"/>
        </w:rPr>
        <w:t xml:space="preserve">” utilization indicators as a performance problem. </w:t>
      </w:r>
      <w:r w:rsidRPr="1988D285">
        <w:rPr>
          <w:rFonts w:ascii="Calibri" w:eastAsia="Times New Roman" w:hAnsi="Calibri" w:cs="Calibri"/>
          <w:lang w:val="en-GB" w:eastAsia="en-SG"/>
        </w:rPr>
        <w:t xml:space="preserve">High utilization does not compromise performance, so long as there is no queue or contention. </w:t>
      </w:r>
      <w:r w:rsidRPr="1988D285">
        <w:rPr>
          <w:rStyle w:val="normaltextrun"/>
          <w:rFonts w:ascii="Calibri" w:hAnsi="Calibri" w:cs="Calibri"/>
          <w:lang w:val="en-GB"/>
        </w:rPr>
        <w:t xml:space="preserve">Just because an ESXi Host is experiencing ballooning, compression, and swapping does not mean your VM has memory performance problem. </w:t>
      </w:r>
    </w:p>
    <w:p w14:paraId="24064486" w14:textId="4436C677" w:rsidR="00846337" w:rsidRDefault="00B05014" w:rsidP="00B05014">
      <w:pPr>
        <w:jc w:val="center"/>
        <w:rPr>
          <w:lang w:val="en-GB" w:eastAsia="en-SG"/>
        </w:rPr>
      </w:pPr>
      <w:r w:rsidRPr="00B05014">
        <w:rPr>
          <w:noProof/>
          <w:lang w:val="en-GB" w:eastAsia="en-SG"/>
        </w:rPr>
        <w:drawing>
          <wp:inline distT="0" distB="0" distL="0" distR="0" wp14:anchorId="0468992D" wp14:editId="3A74FA8F">
            <wp:extent cx="3009600" cy="2563200"/>
            <wp:effectExtent l="0" t="0" r="635" b="8890"/>
            <wp:docPr id="534447507" name="Picture 53444750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07" name="Picture 534447507" descr="Chart, bar chart&#10;&#10;Description automatically generated"/>
                    <pic:cNvPicPr/>
                  </pic:nvPicPr>
                  <pic:blipFill>
                    <a:blip r:embed="rId112"/>
                    <a:stretch>
                      <a:fillRect/>
                    </a:stretch>
                  </pic:blipFill>
                  <pic:spPr>
                    <a:xfrm>
                      <a:off x="0" y="0"/>
                      <a:ext cx="3009600" cy="2563200"/>
                    </a:xfrm>
                    <a:prstGeom prst="rect">
                      <a:avLst/>
                    </a:prstGeom>
                  </pic:spPr>
                </pic:pic>
              </a:graphicData>
            </a:graphic>
          </wp:inline>
        </w:drawing>
      </w:r>
    </w:p>
    <w:tbl>
      <w:tblPr>
        <w:tblW w:w="10490" w:type="dxa"/>
        <w:tblLook w:val="04A0" w:firstRow="1" w:lastRow="0" w:firstColumn="1" w:lastColumn="0" w:noHBand="0" w:noVBand="1"/>
      </w:tblPr>
      <w:tblGrid>
        <w:gridCol w:w="993"/>
        <w:gridCol w:w="9497"/>
      </w:tblGrid>
      <w:tr w:rsidR="00E35FA1" w14:paraId="666301AE" w14:textId="77777777" w:rsidTr="00997FD8">
        <w:tc>
          <w:tcPr>
            <w:tcW w:w="99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47B80CE2" w14:textId="2CDAB5CD" w:rsidR="00E35FA1" w:rsidRDefault="00E12952" w:rsidP="00997FD8">
            <w:pPr>
              <w:pStyle w:val="Tableheading"/>
            </w:pPr>
            <w:r>
              <w:lastRenderedPageBreak/>
              <w:t>A</w:t>
            </w:r>
          </w:p>
        </w:tc>
        <w:tc>
          <w:tcPr>
            <w:tcW w:w="9497" w:type="dxa"/>
            <w:tcBorders>
              <w:top w:val="single" w:sz="4" w:space="0" w:color="BFBFBF" w:themeColor="background1" w:themeShade="BF"/>
              <w:bottom w:val="single" w:sz="4" w:space="0" w:color="BFBFBF" w:themeColor="background1" w:themeShade="BF"/>
            </w:tcBorders>
          </w:tcPr>
          <w:p w14:paraId="0DED5F05" w14:textId="577E8FCB" w:rsidR="00E35FA1" w:rsidRDefault="00997FD8" w:rsidP="00E440AB">
            <w:pPr>
              <w:pStyle w:val="Tablecontent"/>
            </w:pPr>
            <w:r w:rsidRPr="00997FD8">
              <w:t>It’s a common misperception that performance problem happens mostly here. It actually rarely happens here as utilization rarely exceeds 100%</w:t>
            </w:r>
          </w:p>
        </w:tc>
      </w:tr>
      <w:tr w:rsidR="00E12952" w14:paraId="7B9C09EB" w14:textId="77777777" w:rsidTr="00997FD8">
        <w:tc>
          <w:tcPr>
            <w:tcW w:w="99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65418639" w14:textId="3DAE94A1" w:rsidR="00E12952" w:rsidRDefault="00E12952" w:rsidP="00997FD8">
            <w:pPr>
              <w:pStyle w:val="Tableheading"/>
            </w:pPr>
            <w:r>
              <w:t>B</w:t>
            </w:r>
          </w:p>
        </w:tc>
        <w:tc>
          <w:tcPr>
            <w:tcW w:w="9497" w:type="dxa"/>
            <w:tcBorders>
              <w:top w:val="single" w:sz="4" w:space="0" w:color="BFBFBF" w:themeColor="background1" w:themeShade="BF"/>
              <w:bottom w:val="single" w:sz="4" w:space="0" w:color="BFBFBF" w:themeColor="background1" w:themeShade="BF"/>
            </w:tcBorders>
          </w:tcPr>
          <w:p w14:paraId="1DC72325" w14:textId="2DB5A0A4" w:rsidR="00E12952" w:rsidRDefault="00997FD8" w:rsidP="00E440AB">
            <w:pPr>
              <w:pStyle w:val="Tablecontent"/>
            </w:pPr>
            <w:r w:rsidRPr="00997FD8">
              <w:t>Maximum utilization is achieved at 100% utilization. Consequently, the overall Performance is best here as it completes the most amount of work.</w:t>
            </w:r>
          </w:p>
        </w:tc>
      </w:tr>
      <w:tr w:rsidR="00E12952" w14:paraId="2B223DA3" w14:textId="77777777" w:rsidTr="00997FD8">
        <w:tc>
          <w:tcPr>
            <w:tcW w:w="99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7C267BFC" w14:textId="5534CF7D" w:rsidR="00E12952" w:rsidRDefault="00E12952" w:rsidP="00997FD8">
            <w:pPr>
              <w:pStyle w:val="Tableheading"/>
            </w:pPr>
            <w:r>
              <w:t>C</w:t>
            </w:r>
          </w:p>
        </w:tc>
        <w:tc>
          <w:tcPr>
            <w:tcW w:w="9497" w:type="dxa"/>
            <w:tcBorders>
              <w:top w:val="single" w:sz="4" w:space="0" w:color="BFBFBF" w:themeColor="background1" w:themeShade="BF"/>
              <w:bottom w:val="single" w:sz="4" w:space="0" w:color="BFBFBF" w:themeColor="background1" w:themeShade="BF"/>
            </w:tcBorders>
          </w:tcPr>
          <w:p w14:paraId="6B6F627D" w14:textId="7974A5EF" w:rsidR="00E12952" w:rsidRPr="007167F2" w:rsidRDefault="007167F2" w:rsidP="00E440AB">
            <w:pPr>
              <w:pStyle w:val="Tablecontent"/>
              <w:rPr>
                <w:lang w:val="en-SG"/>
              </w:rPr>
            </w:pPr>
            <w:r w:rsidRPr="007167F2">
              <w:rPr>
                <w:lang w:val="en-SG"/>
              </w:rPr>
              <w:t>Worst performance actually happens when utilization = 0% as nothing gets done. The demand is not being met at all (for whatever reason).</w:t>
            </w:r>
          </w:p>
        </w:tc>
      </w:tr>
      <w:tr w:rsidR="00E12952" w14:paraId="44AAB09D" w14:textId="77777777" w:rsidTr="00997FD8">
        <w:tc>
          <w:tcPr>
            <w:tcW w:w="993"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66F6AA32" w14:textId="49AD4C26" w:rsidR="00E12952" w:rsidRDefault="00E12952" w:rsidP="00997FD8">
            <w:pPr>
              <w:pStyle w:val="Tableheading"/>
            </w:pPr>
            <w:r>
              <w:t>D</w:t>
            </w:r>
          </w:p>
        </w:tc>
        <w:tc>
          <w:tcPr>
            <w:tcW w:w="9497" w:type="dxa"/>
            <w:tcBorders>
              <w:top w:val="single" w:sz="4" w:space="0" w:color="BFBFBF" w:themeColor="background1" w:themeShade="BF"/>
              <w:bottom w:val="single" w:sz="4" w:space="0" w:color="BFBFBF" w:themeColor="background1" w:themeShade="BF"/>
            </w:tcBorders>
          </w:tcPr>
          <w:p w14:paraId="1FEC3B46" w14:textId="360572DA" w:rsidR="00E12952" w:rsidRDefault="007167F2" w:rsidP="00E440AB">
            <w:pPr>
              <w:pStyle w:val="Tablecontent"/>
            </w:pPr>
            <w:r w:rsidRPr="007167F2">
              <w:t>This is the threshold of Usable Capacity. It has nothing to do with Performance. Performance is in fact better above this threshold.</w:t>
            </w:r>
          </w:p>
        </w:tc>
      </w:tr>
    </w:tbl>
    <w:p w14:paraId="6FC165B3" w14:textId="77777777" w:rsidR="00556230" w:rsidRPr="008B64A4" w:rsidRDefault="00556230" w:rsidP="00540F68">
      <w:pPr>
        <w:pStyle w:val="Heading3"/>
      </w:pPr>
      <w:r w:rsidRPr="008B64A4">
        <w:t>Performance vs Capacity</w:t>
      </w:r>
    </w:p>
    <w:p w14:paraId="177C2627" w14:textId="32302C4E" w:rsidR="005459F4" w:rsidRDefault="005459F4" w:rsidP="00556230">
      <w:pPr>
        <w:rPr>
          <w:lang w:val="en-GB"/>
        </w:rPr>
      </w:pPr>
      <w:r>
        <w:rPr>
          <w:lang w:val="en-GB"/>
        </w:rPr>
        <w:t>Think of it as Speed vs Space.</w:t>
      </w:r>
    </w:p>
    <w:p w14:paraId="69678547" w14:textId="5860DFF2" w:rsidR="00556230" w:rsidRPr="008B64A4" w:rsidRDefault="00556230" w:rsidP="00556230">
      <w:pPr>
        <w:rPr>
          <w:lang w:val="en-GB"/>
        </w:rPr>
      </w:pPr>
      <w:r w:rsidRPr="008B64A4">
        <w:rPr>
          <w:lang w:val="en-GB"/>
        </w:rPr>
        <w:t>The relationship between capacity and performance varies depending on the object. Consumer objects (e.g. VM, K8S Pod) have different nature</w:t>
      </w:r>
      <w:r>
        <w:rPr>
          <w:lang w:val="en-GB"/>
        </w:rPr>
        <w:t>s</w:t>
      </w:r>
      <w:r w:rsidRPr="008B64A4">
        <w:rPr>
          <w:lang w:val="en-GB"/>
        </w:rPr>
        <w:t xml:space="preserve"> than provider objects (e.g. vSphere Cluster, vSAN Cluster). For provider objects, performance is always bottom up. You start with the VM running inside in the provider object, and then aggregate the metrics. Capacity is always top down. You look at the big picture first, then drill down. For example, you start with the vSphere cluster, then drill down to ESXi.</w:t>
      </w:r>
    </w:p>
    <w:p w14:paraId="4370DB5F" w14:textId="711EE6C2" w:rsidR="00556230" w:rsidRPr="008B64A4" w:rsidRDefault="00556230" w:rsidP="00556230">
      <w:pPr>
        <w:rPr>
          <w:lang w:val="en-GB"/>
        </w:rPr>
      </w:pPr>
      <w:r w:rsidRPr="008B64A4">
        <w:rPr>
          <w:lang w:val="en-GB"/>
        </w:rPr>
        <w:t>For an IaaS provider, the following tables explains how performance and capacity differ.</w:t>
      </w:r>
      <w:r w:rsidR="00871FA7">
        <w:rPr>
          <w:lang w:val="en-GB"/>
        </w:rPr>
        <w:t xml:space="preserve"> </w:t>
      </w:r>
      <w:r w:rsidR="00871FA7" w:rsidRPr="00871FA7">
        <w:rPr>
          <w:lang w:val="en-US"/>
        </w:rPr>
        <w:t xml:space="preserve">From the viewpoint of the customers (VM Owner, </w:t>
      </w:r>
      <w:r w:rsidR="00A565B3">
        <w:rPr>
          <w:lang w:val="en-US"/>
        </w:rPr>
        <w:t>Application</w:t>
      </w:r>
      <w:r w:rsidR="00871FA7" w:rsidRPr="00871FA7">
        <w:rPr>
          <w:lang w:val="en-US"/>
        </w:rPr>
        <w:t xml:space="preserve"> Team), there is no such thing as IaaS Performance. There is only IaaS Capacity. The capacity is capable of handling certain amount of workload demanded by the Consumers.</w:t>
      </w:r>
    </w:p>
    <w:p w14:paraId="5B9C9889" w14:textId="7AE90DFD" w:rsidR="00556230" w:rsidRPr="008B64A4" w:rsidRDefault="3927E685" w:rsidP="00556230">
      <w:pPr>
        <w:rPr>
          <w:lang w:val="en-GB"/>
        </w:rPr>
      </w:pPr>
      <w:r>
        <w:rPr>
          <w:noProof/>
        </w:rPr>
        <w:drawing>
          <wp:inline distT="0" distB="0" distL="0" distR="0" wp14:anchorId="739986A5" wp14:editId="4E4CB8BA">
            <wp:extent cx="6645910" cy="2538095"/>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6645910" cy="2538095"/>
                    </a:xfrm>
                    <a:prstGeom prst="rect">
                      <a:avLst/>
                    </a:prstGeom>
                  </pic:spPr>
                </pic:pic>
              </a:graphicData>
            </a:graphic>
          </wp:inline>
        </w:drawing>
      </w:r>
    </w:p>
    <w:p w14:paraId="2194B57C" w14:textId="6F3B118E" w:rsidR="00556230" w:rsidRDefault="00556230" w:rsidP="00556230">
      <w:pPr>
        <w:rPr>
          <w:lang w:val="en-GB"/>
        </w:rPr>
      </w:pPr>
      <w:r w:rsidRPr="008B64A4">
        <w:rPr>
          <w:lang w:val="en-GB"/>
        </w:rPr>
        <w:t>Capacity has HA, Buffer, Overhead and Reservation. None of these are relevant to performance monitoring. In Performance, you don’t care about them</w:t>
      </w:r>
      <w:r>
        <w:rPr>
          <w:lang w:val="en-GB"/>
        </w:rPr>
        <w:t>,</w:t>
      </w:r>
      <w:r w:rsidRPr="008B64A4">
        <w:rPr>
          <w:lang w:val="en-GB"/>
        </w:rPr>
        <w:t xml:space="preserve"> as performance is about reality (what actually happens). They may cause performance problem, but they are not considered in the performance metric. </w:t>
      </w:r>
    </w:p>
    <w:p w14:paraId="5B0F91A4" w14:textId="77777777" w:rsidR="005408ED" w:rsidRPr="002639BB" w:rsidRDefault="005408ED" w:rsidP="005408ED">
      <w:pPr>
        <w:pStyle w:val="Tablecontent"/>
      </w:pPr>
      <w:r w:rsidRPr="002639BB">
        <w:lastRenderedPageBreak/>
        <w:t xml:space="preserve">In larger organizations, they are typically managed by </w:t>
      </w:r>
      <w:r>
        <w:t>two</w:t>
      </w:r>
      <w:r w:rsidRPr="002639BB">
        <w:t xml:space="preserve"> different teams. The capacity team does not get involved in the day-to-day operations as they focus on longer term resource availability. Capacity </w:t>
      </w:r>
      <w:r w:rsidRPr="002639BB">
        <w:rPr>
          <w:i/>
          <w:iCs/>
          <w:color w:val="00B0F0"/>
        </w:rPr>
        <w:t>planning</w:t>
      </w:r>
      <w:r w:rsidRPr="002639BB">
        <w:rPr>
          <w:color w:val="00B0F0"/>
        </w:rPr>
        <w:t xml:space="preserve"> </w:t>
      </w:r>
      <w:r w:rsidRPr="002639BB">
        <w:t xml:space="preserve">is about maximizing utilization, without compromising performance. It also considers latent workload and future demand, which performance does </w:t>
      </w:r>
      <w:r w:rsidRPr="00C3157E">
        <w:rPr>
          <w:color w:val="FF0000"/>
        </w:rPr>
        <w:t xml:space="preserve">not </w:t>
      </w:r>
      <w:r w:rsidRPr="002639BB">
        <w:t>consider.</w:t>
      </w:r>
    </w:p>
    <w:p w14:paraId="7F5334F0" w14:textId="1FAD2A29" w:rsidR="005408ED" w:rsidRDefault="005408ED" w:rsidP="005408ED">
      <w:pPr>
        <w:pStyle w:val="Tablecontent"/>
      </w:pPr>
      <w:r>
        <w:t>The capacity team may not have the technical skills to troubleshoot performance. On the other hand, the day-to-day operations deals with “</w:t>
      </w:r>
      <w:r w:rsidRPr="004B5EFD">
        <w:rPr>
          <w:color w:val="0070C0"/>
        </w:rPr>
        <w:t>what’s on the floor</w:t>
      </w:r>
      <w:r>
        <w:t xml:space="preserve">” of the data center. Their primary focus is meeting the demand from applications. It is consumer driven, while capacity is provider driven. </w:t>
      </w:r>
    </w:p>
    <w:p w14:paraId="51372875" w14:textId="123D715A" w:rsidR="002178C3" w:rsidRDefault="002178C3" w:rsidP="00AC6E1E">
      <w:pPr>
        <w:pStyle w:val="Heading4"/>
      </w:pPr>
      <w:r>
        <w:t>Utilization</w:t>
      </w:r>
      <w:r w:rsidR="00DC35BE">
        <w:t xml:space="preserve"> vs Demand</w:t>
      </w:r>
    </w:p>
    <w:p w14:paraId="3563BD0C" w14:textId="5E4F708A" w:rsidR="00F8170F" w:rsidRPr="00F8170F" w:rsidRDefault="00DC35BE" w:rsidP="00F8170F">
      <w:pPr>
        <w:rPr>
          <w:lang w:val="en-GB"/>
        </w:rPr>
      </w:pPr>
      <w:r>
        <w:rPr>
          <w:lang w:val="en-GB"/>
        </w:rPr>
        <w:t>Performance uses utilization metrics. Capacity uses demand metric, which takes the highest of utilization &amp; reservation.</w:t>
      </w:r>
    </w:p>
    <w:p w14:paraId="6103173C" w14:textId="2B5FB691" w:rsidR="00556230" w:rsidRPr="008B64A4" w:rsidRDefault="00556230" w:rsidP="00556230">
      <w:pPr>
        <w:rPr>
          <w:lang w:val="en-GB"/>
        </w:rPr>
      </w:pPr>
      <w:r w:rsidRPr="2D34D73A">
        <w:rPr>
          <w:lang w:val="en-GB"/>
        </w:rPr>
        <w:t xml:space="preserve">Performance will be absolute (real value), Capacity will be relative (it depends on settings). </w:t>
      </w:r>
    </w:p>
    <w:p w14:paraId="4E9F33AF" w14:textId="3F696DEA" w:rsidR="00556230" w:rsidRPr="008B64A4" w:rsidRDefault="00192D92" w:rsidP="00556230">
      <w:r w:rsidRPr="00192D92">
        <w:rPr>
          <w:noProof/>
        </w:rPr>
        <w:drawing>
          <wp:inline distT="0" distB="0" distL="0" distR="0" wp14:anchorId="4AAA8FAF" wp14:editId="077B2E2A">
            <wp:extent cx="6645910" cy="2640965"/>
            <wp:effectExtent l="0" t="0" r="2540" b="6985"/>
            <wp:docPr id="14588234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823485" name=""/>
                    <pic:cNvPicPr/>
                  </pic:nvPicPr>
                  <pic:blipFill>
                    <a:blip r:embed="rId114"/>
                    <a:stretch>
                      <a:fillRect/>
                    </a:stretch>
                  </pic:blipFill>
                  <pic:spPr>
                    <a:xfrm>
                      <a:off x="0" y="0"/>
                      <a:ext cx="6645910" cy="2640965"/>
                    </a:xfrm>
                    <a:prstGeom prst="rect">
                      <a:avLst/>
                    </a:prstGeom>
                  </pic:spPr>
                </pic:pic>
              </a:graphicData>
            </a:graphic>
          </wp:inline>
        </w:drawing>
      </w:r>
    </w:p>
    <w:p w14:paraId="34D1B156" w14:textId="39B5769E" w:rsidR="00A745BB" w:rsidRDefault="00134379" w:rsidP="00A745BB">
      <w:r>
        <w:t>Now that we’ve looked at purpose, now let’s look at object.</w:t>
      </w:r>
    </w:p>
    <w:p w14:paraId="01946252" w14:textId="7505E4A9" w:rsidR="00134379" w:rsidRDefault="00134379" w:rsidP="00A745BB">
      <w:r>
        <w:t>Take vSphere Cluster</w:t>
      </w:r>
      <w:r w:rsidR="00FA3322">
        <w:t>. Say you have a 16-node cluster.</w:t>
      </w:r>
    </w:p>
    <w:p w14:paraId="2401F3DF" w14:textId="7A543012" w:rsidR="00E61335" w:rsidRDefault="00FA3322" w:rsidP="00E61335">
      <w:pPr>
        <w:pStyle w:val="Bullet"/>
      </w:pPr>
      <w:r>
        <w:t xml:space="preserve">From performance, taking </w:t>
      </w:r>
      <w:r w:rsidR="00FE2CAF">
        <w:t>the average uti</w:t>
      </w:r>
      <w:r w:rsidR="00E61335">
        <w:t>lization of 16 hosts are too late. It’s also not practical, as you don’t typically wait until all 16 have problem. In this case, you want to take the highest among the host</w:t>
      </w:r>
      <w:r w:rsidR="009F5BB0">
        <w:t xml:space="preserve"> as your primary counter for cluster utilization. If the counter shows no issue, then there is no need to look at the remaining host.</w:t>
      </w:r>
    </w:p>
    <w:p w14:paraId="54B65D95" w14:textId="546B5A5C" w:rsidR="009F5BB0" w:rsidRPr="008B64A4" w:rsidRDefault="009F5BB0" w:rsidP="00E61335">
      <w:pPr>
        <w:pStyle w:val="Bullet"/>
      </w:pPr>
      <w:r>
        <w:t>From capacity</w:t>
      </w:r>
      <w:r w:rsidR="00E63E79">
        <w:t xml:space="preserve">, taking the average makes sense, as you do capacity at cluster level. </w:t>
      </w:r>
      <w:r w:rsidR="00834CC6">
        <w:t xml:space="preserve">You will continue adding </w:t>
      </w:r>
      <w:r w:rsidR="00C93CAE">
        <w:t>until either you run out of capacity or you hit performance problem.</w:t>
      </w:r>
    </w:p>
    <w:p w14:paraId="720B0C7B" w14:textId="4AF06047" w:rsidR="00A37B5C" w:rsidRDefault="008D3A3F" w:rsidP="00AC6E1E">
      <w:pPr>
        <w:pStyle w:val="Heading4"/>
      </w:pPr>
      <w:r>
        <w:lastRenderedPageBreak/>
        <w:t>Metrics</w:t>
      </w:r>
      <w:r w:rsidR="00096827">
        <w:t xml:space="preserve"> Example</w:t>
      </w:r>
    </w:p>
    <w:p w14:paraId="534F3299" w14:textId="39FE07A6" w:rsidR="00556230" w:rsidRDefault="00556230" w:rsidP="00556230">
      <w:r w:rsidRPr="008B64A4">
        <w:t xml:space="preserve">Let’s take an example to see how contention and utilization differ. The following is using a cluster object as the example. There are </w:t>
      </w:r>
      <w:r>
        <w:t>two</w:t>
      </w:r>
      <w:r w:rsidRPr="008B64A4">
        <w:t xml:space="preserve"> </w:t>
      </w:r>
      <w:r w:rsidR="008D3A3F">
        <w:t>metrics</w:t>
      </w:r>
      <w:r w:rsidRPr="008B64A4">
        <w:t>, each expressed in</w:t>
      </w:r>
      <w:r>
        <w:t xml:space="preserve"> percentage</w:t>
      </w:r>
      <w:r w:rsidRPr="008B64A4">
        <w:t xml:space="preserve">. </w:t>
      </w:r>
    </w:p>
    <w:p w14:paraId="2054EC54" w14:textId="30C2CDCA" w:rsidR="00556230" w:rsidRPr="008B64A4" w:rsidRDefault="00DF7EE2" w:rsidP="0097003F">
      <w:pPr>
        <w:jc w:val="center"/>
      </w:pPr>
      <w:r w:rsidRPr="00DF7EE2">
        <w:rPr>
          <w:noProof/>
        </w:rPr>
        <w:drawing>
          <wp:inline distT="0" distB="0" distL="0" distR="0" wp14:anchorId="1FFF987C" wp14:editId="5369CED4">
            <wp:extent cx="5688000" cy="1893600"/>
            <wp:effectExtent l="0" t="0" r="8255" b="0"/>
            <wp:docPr id="27" name="Picture 27"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icture containing chart&#10;&#10;Description automatically generated"/>
                    <pic:cNvPicPr/>
                  </pic:nvPicPr>
                  <pic:blipFill>
                    <a:blip r:embed="rId115"/>
                    <a:stretch>
                      <a:fillRect/>
                    </a:stretch>
                  </pic:blipFill>
                  <pic:spPr>
                    <a:xfrm>
                      <a:off x="0" y="0"/>
                      <a:ext cx="5688000" cy="1893600"/>
                    </a:xfrm>
                    <a:prstGeom prst="rect">
                      <a:avLst/>
                    </a:prstGeom>
                  </pic:spPr>
                </pic:pic>
              </a:graphicData>
            </a:graphic>
          </wp:inline>
        </w:drawing>
      </w:r>
    </w:p>
    <w:p w14:paraId="74FB16B3" w14:textId="42AF8B92" w:rsidR="00556230" w:rsidRDefault="00556230" w:rsidP="00556230">
      <w:r>
        <w:t xml:space="preserve">You want your utilization to be as high as possible, as you’ve paid for the hardware already. </w:t>
      </w:r>
      <w:r w:rsidR="08222AAA">
        <w:t>So,</w:t>
      </w:r>
      <w:r>
        <w:t xml:space="preserve"> you start from 0% but want to move up as far as possible. </w:t>
      </w:r>
    </w:p>
    <w:p w14:paraId="23EE51E6" w14:textId="710BDFBE" w:rsidR="001F1127" w:rsidRDefault="00BF2E18" w:rsidP="00556230">
      <w:r>
        <w:t xml:space="preserve">Performance is different. It depends on the class of service. Your Gold Class should deliver higher performance than your free tier else you </w:t>
      </w:r>
      <w:r w:rsidR="0044584E">
        <w:t>may breach your SLA.</w:t>
      </w:r>
      <w:r w:rsidR="00D70452">
        <w:t xml:space="preserve"> Metrics wise, there are 2 </w:t>
      </w:r>
      <w:r w:rsidR="008D3A3F">
        <w:t>metrics</w:t>
      </w:r>
      <w:r w:rsidR="00D70452">
        <w:t>: SLA and KPI.</w:t>
      </w:r>
      <w:r w:rsidR="00A50688">
        <w:t xml:space="preserve"> </w:t>
      </w:r>
    </w:p>
    <w:p w14:paraId="364D32D6" w14:textId="009FCBE6" w:rsidR="0017027A" w:rsidRDefault="007B5C2D" w:rsidP="00540F68">
      <w:pPr>
        <w:pStyle w:val="Heading3"/>
      </w:pPr>
      <w:bookmarkStart w:id="21" w:name="_KPI_vs_SLA_2"/>
      <w:bookmarkStart w:id="22" w:name="_Performance_SLA"/>
      <w:bookmarkEnd w:id="21"/>
      <w:bookmarkEnd w:id="22"/>
      <w:r>
        <w:t>Key Performance Indicator</w:t>
      </w:r>
    </w:p>
    <w:p w14:paraId="4286D491" w14:textId="10510505" w:rsidR="0017027A" w:rsidRDefault="0017027A" w:rsidP="0017027A">
      <w:r>
        <w:t xml:space="preserve">Google </w:t>
      </w:r>
      <w:r w:rsidR="00E80910" w:rsidRPr="0040485A">
        <w:rPr>
          <w:color w:val="00B0F0"/>
        </w:rPr>
        <w:t>VMware</w:t>
      </w:r>
      <w:r w:rsidR="00E80910">
        <w:t xml:space="preserve"> </w:t>
      </w:r>
      <w:r>
        <w:t>“</w:t>
      </w:r>
      <w:r w:rsidRPr="001C7740">
        <w:rPr>
          <w:color w:val="00B0F0"/>
        </w:rPr>
        <w:t>performance SLA</w:t>
      </w:r>
      <w:r>
        <w:t xml:space="preserve">”, and you will find only </w:t>
      </w:r>
      <w:r w:rsidR="2FF5872A">
        <w:t xml:space="preserve">a </w:t>
      </w:r>
      <w:r>
        <w:t xml:space="preserve">few relevant articles. The string performance SLA </w:t>
      </w:r>
      <w:r w:rsidR="14952A71">
        <w:t>must</w:t>
      </w:r>
      <w:r>
        <w:t xml:space="preserve"> be within a quote, as it is not performance and SLA, but </w:t>
      </w:r>
      <w:r w:rsidRPr="0299F681">
        <w:rPr>
          <w:b/>
          <w:bCs/>
        </w:rPr>
        <w:t>Performance SLA</w:t>
      </w:r>
      <w:r>
        <w:t>. Yes, I’m after web page</w:t>
      </w:r>
      <w:r w:rsidR="6DD3B3A4">
        <w:t>s</w:t>
      </w:r>
      <w:r>
        <w:t xml:space="preserve"> with the words Performance SLA together. You will get many irrelevant results if you simply google VMware Performance SLA without the quote.</w:t>
      </w:r>
    </w:p>
    <w:p w14:paraId="62982759" w14:textId="12C0699A" w:rsidR="0017027A" w:rsidRPr="0017027A" w:rsidRDefault="0017027A" w:rsidP="0017027A">
      <w:r>
        <w:t xml:space="preserve">I just tried it again </w:t>
      </w:r>
      <w:r w:rsidR="00FF3652">
        <w:t xml:space="preserve">on </w:t>
      </w:r>
      <w:r w:rsidR="00B355A0">
        <w:t>1</w:t>
      </w:r>
      <w:r w:rsidR="00E80910">
        <w:t>7</w:t>
      </w:r>
      <w:r w:rsidR="00263801">
        <w:t xml:space="preserve"> </w:t>
      </w:r>
      <w:r w:rsidR="00B355A0">
        <w:t xml:space="preserve">January </w:t>
      </w:r>
      <w:r w:rsidR="00263801">
        <w:t>202</w:t>
      </w:r>
      <w:r w:rsidR="00B355A0">
        <w:t>3</w:t>
      </w:r>
      <w:r w:rsidR="00263801">
        <w:t>.</w:t>
      </w:r>
      <w:r>
        <w:t xml:space="preserve"> </w:t>
      </w:r>
      <w:r w:rsidR="00FF3652">
        <w:t xml:space="preserve">Google returned </w:t>
      </w:r>
      <w:r w:rsidR="00263801">
        <w:t>~</w:t>
      </w:r>
      <w:r w:rsidR="00B355A0">
        <w:t>7</w:t>
      </w:r>
      <w:r w:rsidR="00FF3652">
        <w:t>K</w:t>
      </w:r>
      <w:r>
        <w:t xml:space="preserve"> results, </w:t>
      </w:r>
      <w:r w:rsidR="00FF3652">
        <w:t xml:space="preserve">which is </w:t>
      </w:r>
      <w:r w:rsidR="00263801">
        <w:t xml:space="preserve">surprisingly down from 19K in March 2021, but </w:t>
      </w:r>
      <w:r>
        <w:t>up from 1</w:t>
      </w:r>
      <w:r w:rsidR="00C57D08">
        <w:t>.</w:t>
      </w:r>
      <w:r>
        <w:t>6</w:t>
      </w:r>
      <w:r w:rsidR="00C57D08">
        <w:t>K</w:t>
      </w:r>
      <w:r>
        <w:t xml:space="preserve"> results </w:t>
      </w:r>
      <w:r w:rsidR="257FFA9D">
        <w:t>in</w:t>
      </w:r>
      <w:r>
        <w:t xml:space="preserve"> </w:t>
      </w:r>
      <w:r w:rsidR="00FF3652">
        <w:t>October</w:t>
      </w:r>
      <w:r>
        <w:t xml:space="preserve"> 2015. The first </w:t>
      </w:r>
      <w:r w:rsidR="00E80910">
        <w:t>few</w:t>
      </w:r>
      <w:r>
        <w:t xml:space="preserve"> are shown below. </w:t>
      </w:r>
      <w:r w:rsidR="00263801">
        <w:t xml:space="preserve">Most of </w:t>
      </w:r>
      <w:r>
        <w:t xml:space="preserve">them are </w:t>
      </w:r>
      <w:r w:rsidR="5D86F444">
        <w:t>from</w:t>
      </w:r>
      <w:r>
        <w:t xml:space="preserve"> </w:t>
      </w:r>
      <w:r w:rsidR="00B355A0">
        <w:t xml:space="preserve">. VMwareOpsGuide.com, </w:t>
      </w:r>
      <w:r>
        <w:t>my book</w:t>
      </w:r>
      <w:r w:rsidR="00263801">
        <w:t xml:space="preserve">, or </w:t>
      </w:r>
      <w:r w:rsidR="00C57D08">
        <w:t xml:space="preserve">speaking </w:t>
      </w:r>
      <w:r>
        <w:t xml:space="preserve">event. </w:t>
      </w:r>
      <w:r w:rsidR="00C57D08">
        <w:t xml:space="preserve">One item </w:t>
      </w:r>
      <w:r w:rsidR="00FF3652">
        <w:t xml:space="preserve">from </w:t>
      </w:r>
      <w:hyperlink r:id="rId116">
        <w:r w:rsidR="00FF3652" w:rsidRPr="2D34D73A">
          <w:rPr>
            <w:rStyle w:val="Hyperlink"/>
          </w:rPr>
          <w:t>Sunny Dua</w:t>
        </w:r>
      </w:hyperlink>
      <w:r w:rsidR="00FF3652">
        <w:t>, talking about the same performance SLA concept we came up with</w:t>
      </w:r>
      <w:r w:rsidR="00C57D08">
        <w:t>, appears on the top 10</w:t>
      </w:r>
      <w:r w:rsidR="00FF3652">
        <w:t xml:space="preserve">. </w:t>
      </w:r>
    </w:p>
    <w:p w14:paraId="2ABD5DBE" w14:textId="27B5A55E" w:rsidR="0017027A" w:rsidRDefault="00B355A0" w:rsidP="00FF3652">
      <w:pPr>
        <w:jc w:val="center"/>
      </w:pPr>
      <w:r w:rsidRPr="00B355A0">
        <w:rPr>
          <w:noProof/>
        </w:rPr>
        <w:lastRenderedPageBreak/>
        <w:drawing>
          <wp:inline distT="0" distB="0" distL="0" distR="0" wp14:anchorId="7E95CB8E" wp14:editId="16296E18">
            <wp:extent cx="3854154" cy="5030143"/>
            <wp:effectExtent l="0" t="0" r="0" b="0"/>
            <wp:docPr id="1525330279" name="Picture 1525330279"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79" name="Picture 1525330279" descr="Graphical user interface, text, application&#10;&#10;Description automatically generated"/>
                    <pic:cNvPicPr/>
                  </pic:nvPicPr>
                  <pic:blipFill>
                    <a:blip r:embed="rId117"/>
                    <a:stretch>
                      <a:fillRect/>
                    </a:stretch>
                  </pic:blipFill>
                  <pic:spPr>
                    <a:xfrm>
                      <a:off x="0" y="0"/>
                      <a:ext cx="3855038" cy="5031297"/>
                    </a:xfrm>
                    <a:prstGeom prst="rect">
                      <a:avLst/>
                    </a:prstGeom>
                  </pic:spPr>
                </pic:pic>
              </a:graphicData>
            </a:graphic>
          </wp:inline>
        </w:drawing>
      </w:r>
    </w:p>
    <w:p w14:paraId="1E24008B" w14:textId="0DCCD472" w:rsidR="00FF3652" w:rsidRDefault="00FF3652" w:rsidP="0017027A">
      <w:pPr>
        <w:rPr>
          <w:rFonts w:ascii="Segoe UI Emoji" w:eastAsia="Segoe UI Emoji" w:hAnsi="Segoe UI Emoji" w:cs="Segoe UI Emoji"/>
        </w:rPr>
      </w:pPr>
      <w:r>
        <w:t xml:space="preserve">I checked beyond the first 10 results. Other than my own articles, Google returned only a handful of relevant articles. The rest are not </w:t>
      </w:r>
      <w:r w:rsidR="001632D2">
        <w:t xml:space="preserve">in fact </w:t>
      </w:r>
      <w:r>
        <w:t>relevant</w:t>
      </w:r>
      <w:r w:rsidR="001632D2">
        <w:t xml:space="preserve"> if you read them carefully</w:t>
      </w:r>
      <w:r>
        <w:t xml:space="preserve">. The relevant articles mention Performance SLA, but they do not define and quantify what </w:t>
      </w:r>
      <w:r w:rsidR="009F605A">
        <w:t xml:space="preserve">a </w:t>
      </w:r>
      <w:r>
        <w:t>Performance SLA is. If something is not quantified, it is subjective. It’s hard to reach formal agreement with customers quickly and consistently when the line is not clearly drawn. If you have</w:t>
      </w:r>
      <w:r w:rsidR="33DCEF9B">
        <w:t xml:space="preserve"> a</w:t>
      </w:r>
      <w:r>
        <w:t xml:space="preserve"> disagreement with your customers, especially paying customers, guess who win</w:t>
      </w:r>
      <w:r w:rsidR="0E62C9DA">
        <w:t>s</w:t>
      </w:r>
      <w:r>
        <w:t xml:space="preserve"> </w:t>
      </w:r>
      <w:r w:rsidRPr="0299F681">
        <w:rPr>
          <w:rFonts w:ascii="Segoe UI Emoji" w:eastAsia="Segoe UI Emoji" w:hAnsi="Segoe UI Emoji" w:cs="Segoe UI Emoji"/>
        </w:rPr>
        <w:t>😊</w:t>
      </w:r>
    </w:p>
    <w:p w14:paraId="3BF5C2FE" w14:textId="768DFCA3" w:rsidR="0084349B" w:rsidRDefault="0084349B" w:rsidP="0084349B">
      <w:r>
        <w:t>As SLA is obviously hard to vrealize, what can you do</w:t>
      </w:r>
      <w:r w:rsidR="00EA1A30">
        <w:t xml:space="preserve"> </w:t>
      </w:r>
      <w:r w:rsidR="00194296">
        <w:t>today</w:t>
      </w:r>
      <w:r>
        <w:t>?</w:t>
      </w:r>
    </w:p>
    <w:p w14:paraId="50EBF5B5" w14:textId="27C5410F" w:rsidR="0084349B" w:rsidRDefault="0084349B" w:rsidP="0084349B">
      <w:r>
        <w:t xml:space="preserve">This is where KPI comes </w:t>
      </w:r>
      <w:r w:rsidR="001E2925">
        <w:t>into play.</w:t>
      </w:r>
      <w:r>
        <w:t xml:space="preserve"> </w:t>
      </w:r>
    </w:p>
    <w:p w14:paraId="2B619085" w14:textId="77777777" w:rsidR="00151B4D" w:rsidRDefault="00151B4D" w:rsidP="00151B4D">
      <w:pPr>
        <w:pStyle w:val="Heading4"/>
      </w:pPr>
      <w:r>
        <w:t>KPI as Stepping Stone</w:t>
      </w:r>
    </w:p>
    <w:p w14:paraId="6AD39CF3" w14:textId="77777777" w:rsidR="00151B4D" w:rsidRDefault="00151B4D" w:rsidP="00151B4D">
      <w:r w:rsidRPr="008B2816">
        <w:t>KPI and SLA work hand in hand.</w:t>
      </w:r>
      <w:r>
        <w:t xml:space="preserve"> </w:t>
      </w:r>
    </w:p>
    <w:p w14:paraId="58F1FE3B" w14:textId="03A41527" w:rsidR="00151B4D" w:rsidRPr="008F436F" w:rsidRDefault="00151B4D" w:rsidP="00151B4D">
      <w:pPr>
        <w:keepNext/>
      </w:pPr>
      <w:r w:rsidRPr="008B2816">
        <w:lastRenderedPageBreak/>
        <w:t xml:space="preserve">KPI </w:t>
      </w:r>
      <w:r>
        <w:t xml:space="preserve">complements SLA by providing the stepping stone in your operations transformation. It </w:t>
      </w:r>
      <w:r w:rsidRPr="008B2816">
        <w:t xml:space="preserve">is a necessary step towards operations with </w:t>
      </w:r>
      <w:r>
        <w:t>formal</w:t>
      </w:r>
      <w:r w:rsidRPr="008B2816">
        <w:t xml:space="preserve"> business SLA.</w:t>
      </w:r>
    </w:p>
    <w:p w14:paraId="56B2F4F3" w14:textId="77777777" w:rsidR="00151B4D" w:rsidRDefault="00151B4D" w:rsidP="00151B4D">
      <w:pPr>
        <w:jc w:val="center"/>
        <w:rPr>
          <w:lang w:val="en-US"/>
        </w:rPr>
      </w:pPr>
      <w:r w:rsidRPr="000F1559">
        <w:rPr>
          <w:noProof/>
          <w:lang w:val="en-US"/>
        </w:rPr>
        <w:drawing>
          <wp:inline distT="0" distB="0" distL="0" distR="0" wp14:anchorId="094F09AF" wp14:editId="38334468">
            <wp:extent cx="6645910" cy="3194050"/>
            <wp:effectExtent l="0" t="0" r="2540" b="6350"/>
            <wp:docPr id="1085195912" name="Picture 1085195912" descr="Graphical user interface, Wor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12" name="Picture 1085195912" descr="Graphical user interface, Word&#10;&#10;Description automatically generated with medium confidence"/>
                    <pic:cNvPicPr/>
                  </pic:nvPicPr>
                  <pic:blipFill>
                    <a:blip r:embed="rId118"/>
                    <a:stretch>
                      <a:fillRect/>
                    </a:stretch>
                  </pic:blipFill>
                  <pic:spPr>
                    <a:xfrm>
                      <a:off x="0" y="0"/>
                      <a:ext cx="6645910" cy="3194050"/>
                    </a:xfrm>
                    <a:prstGeom prst="rect">
                      <a:avLst/>
                    </a:prstGeom>
                  </pic:spPr>
                </pic:pic>
              </a:graphicData>
            </a:graphic>
          </wp:inline>
        </w:drawing>
      </w:r>
    </w:p>
    <w:p w14:paraId="2A6BEE1D" w14:textId="77777777" w:rsidR="00151B4D" w:rsidRDefault="00151B4D" w:rsidP="00151B4D">
      <w:pPr>
        <w:rPr>
          <w:lang w:val="en-US"/>
        </w:rPr>
      </w:pPr>
      <w:r w:rsidRPr="5D58FCEA">
        <w:rPr>
          <w:lang w:val="en-US"/>
        </w:rPr>
        <w:t>You walk from where you stand. Adopt KPI first</w:t>
      </w:r>
      <w:r>
        <w:rPr>
          <w:lang w:val="en-US"/>
        </w:rPr>
        <w:t xml:space="preserve"> as you don’t have to worry about class of service</w:t>
      </w:r>
      <w:r w:rsidRPr="5D58FCEA">
        <w:rPr>
          <w:lang w:val="en-US"/>
        </w:rPr>
        <w:t xml:space="preserve">. </w:t>
      </w:r>
      <w:r>
        <w:rPr>
          <w:lang w:val="en-US"/>
        </w:rPr>
        <w:t xml:space="preserve">If you have different expectation set for Production and Non-Production VMs, then create a group for each. Create a super metric that averages the performance of each group. You should expect production VMs to have a better KPI overall. </w:t>
      </w:r>
    </w:p>
    <w:p w14:paraId="099A8E3A" w14:textId="56AFA33E" w:rsidR="00151B4D" w:rsidRDefault="00151B4D" w:rsidP="00151B4D">
      <w:pPr>
        <w:rPr>
          <w:lang w:val="en-US"/>
        </w:rPr>
      </w:pPr>
      <w:r>
        <w:rPr>
          <w:lang w:val="en-US"/>
        </w:rPr>
        <w:t xml:space="preserve">KPI is also better suited when infrastructure team takes ownership (and responsibility) for sizing the VM. Since sizing the VM basically means sizing the Guest OS resource, you’re now responsible for </w:t>
      </w:r>
      <w:r w:rsidR="008D3A3F">
        <w:rPr>
          <w:lang w:val="en-US"/>
        </w:rPr>
        <w:t>metrics</w:t>
      </w:r>
      <w:r>
        <w:rPr>
          <w:lang w:val="en-US"/>
        </w:rPr>
        <w:t xml:space="preserve"> at Windows and Linux level.</w:t>
      </w:r>
    </w:p>
    <w:p w14:paraId="7D8B9755" w14:textId="01A7BBF4" w:rsidR="0082271A" w:rsidRDefault="0082271A" w:rsidP="00AC6E1E">
      <w:pPr>
        <w:pStyle w:val="Heading4"/>
      </w:pPr>
      <w:r w:rsidRPr="00047608">
        <w:t>KPI vs SLA</w:t>
      </w:r>
    </w:p>
    <w:p w14:paraId="0904AB7D" w14:textId="69707772" w:rsidR="00263801" w:rsidRDefault="00263801" w:rsidP="00263801">
      <w:r>
        <w:t xml:space="preserve">The whole point of having performance management is to be able to know the problem </w:t>
      </w:r>
      <w:r w:rsidRPr="2D34D73A">
        <w:rPr>
          <w:i/>
          <w:iCs/>
          <w:color w:val="00B0F0"/>
        </w:rPr>
        <w:t>before</w:t>
      </w:r>
      <w:r w:rsidRPr="2D34D73A">
        <w:rPr>
          <w:color w:val="00B0F0"/>
        </w:rPr>
        <w:t xml:space="preserve"> </w:t>
      </w:r>
      <w:r>
        <w:t xml:space="preserve">the customers complain. If you can’t see the problem before customers do, then you don’t have performance management in place. The word </w:t>
      </w:r>
      <w:r w:rsidRPr="00557FB0">
        <w:rPr>
          <w:color w:val="00B0F0"/>
        </w:rPr>
        <w:t>manage</w:t>
      </w:r>
      <w:r>
        <w:t xml:space="preserve"> implies proactive. Passively waiting for an alert or complaint to trigger the troubleshooting process is not management. Proactive requires an internal threshold that is more stringent than the external, formally agreed SLA. This is </w:t>
      </w:r>
      <w:r w:rsidR="00ED742C">
        <w:t xml:space="preserve">yet another benefit of </w:t>
      </w:r>
      <w:r>
        <w:t xml:space="preserve">KPI. </w:t>
      </w:r>
    </w:p>
    <w:p w14:paraId="2148B2E0" w14:textId="76D40DEC" w:rsidR="00ED742C" w:rsidRDefault="00ED742C" w:rsidP="00ED742C">
      <w:r>
        <w:t xml:space="preserve">The other reason for creating a KPI metric is ease of monitoring. KPI is color coded. </w:t>
      </w:r>
      <w:r w:rsidR="000F35C5" w:rsidRPr="009322C0">
        <w:rPr>
          <w:color w:val="000000" w:themeColor="text1"/>
          <w14:textFill>
            <w14:gradFill>
              <w14:gsLst>
                <w14:gs w14:pos="0">
                  <w14:schemeClr w14:val="tx1"/>
                </w14:gs>
                <w14:gs w14:pos="100000">
                  <w14:srgbClr w14:val="FFFF00"/>
                </w14:gs>
              </w14:gsLst>
              <w14:lin w14:ang="16200000" w14:scaled="0"/>
            </w14:gradFill>
          </w14:textFill>
        </w:rPr>
        <w:t>yellow</w:t>
      </w:r>
      <w:r w:rsidR="000F35C5" w:rsidRPr="009322C0">
        <w:rPr>
          <w14:textFill>
            <w14:gradFill>
              <w14:gsLst>
                <w14:gs w14:pos="0">
                  <w14:schemeClr w14:val="tx1"/>
                </w14:gs>
                <w14:gs w14:pos="100000">
                  <w14:srgbClr w14:val="FFFF00"/>
                </w14:gs>
              </w14:gsLst>
              <w14:lin w14:ang="16200000" w14:scaled="0"/>
            </w14:gradFill>
          </w14:textFill>
        </w:rPr>
        <w:t xml:space="preserve"> </w:t>
      </w:r>
      <w:r>
        <w:t xml:space="preserve">and </w:t>
      </w:r>
      <w:r w:rsidR="00CF7D2C" w:rsidRPr="00CF7D2C">
        <w:rPr>
          <w:color w:val="ED7D31" w:themeColor="accent2"/>
        </w:rPr>
        <w:t>orange</w:t>
      </w:r>
      <w:r>
        <w:t xml:space="preserve"> are added in between </w:t>
      </w:r>
      <w:r w:rsidR="0022569A" w:rsidRPr="0022569A">
        <w:rPr>
          <w:color w:val="00B050"/>
        </w:rPr>
        <w:t>green</w:t>
      </w:r>
      <w:r>
        <w:t xml:space="preserve"> and </w:t>
      </w:r>
      <w:r w:rsidR="00CF7D2C" w:rsidRPr="00CF7D2C">
        <w:rPr>
          <w:color w:val="FF0000"/>
        </w:rPr>
        <w:t>red</w:t>
      </w:r>
      <w:r>
        <w:t>, so you can react faster. The goal is in fact to enable proactive remediation, before the situation degrades too deep.</w:t>
      </w:r>
    </w:p>
    <w:p w14:paraId="75B70B4D" w14:textId="77777777" w:rsidR="00ED742C" w:rsidRDefault="00ED742C" w:rsidP="00ED742C">
      <w:r>
        <w:lastRenderedPageBreak/>
        <w:t xml:space="preserve">In this book, my definition for KPI is strictly on </w:t>
      </w:r>
      <w:r w:rsidRPr="0063112B">
        <w:rPr>
          <w:i/>
          <w:iCs/>
          <w:color w:val="00B0F0"/>
        </w:rPr>
        <w:t>performance</w:t>
      </w:r>
      <w:r w:rsidRPr="00BE6B14">
        <w:t xml:space="preserve">, because the </w:t>
      </w:r>
      <w:r>
        <w:t xml:space="preserve">word </w:t>
      </w:r>
      <w:r w:rsidRPr="0063112B">
        <w:rPr>
          <w:i/>
          <w:iCs/>
          <w:color w:val="00B0F0"/>
        </w:rPr>
        <w:t>performance</w:t>
      </w:r>
      <w:r w:rsidRPr="0063112B">
        <w:rPr>
          <w:color w:val="00B0F0"/>
        </w:rPr>
        <w:t xml:space="preserve"> </w:t>
      </w:r>
      <w:r>
        <w:t xml:space="preserve">has a specific meaning. To me, KPI as a term does not apply to availability management and compliance management. We should call the key indicators that determine availability as </w:t>
      </w:r>
      <w:r w:rsidRPr="00E310D9">
        <w:rPr>
          <w:b/>
          <w:bCs/>
          <w:color w:val="00B0F0"/>
        </w:rPr>
        <w:t>KAI</w:t>
      </w:r>
      <w:r>
        <w:t xml:space="preserve">, and the key indicators that determine compliance as </w:t>
      </w:r>
      <w:r w:rsidRPr="00E310D9">
        <w:rPr>
          <w:b/>
          <w:bCs/>
          <w:color w:val="00B0F0"/>
        </w:rPr>
        <w:t>KCI</w:t>
      </w:r>
      <w:r>
        <w:rPr>
          <w:rStyle w:val="FootnoteReference"/>
        </w:rPr>
        <w:footnoteReference w:id="10"/>
      </w:r>
      <w:r>
        <w:t xml:space="preserve">. This will prevent confusion as implementation-level solution requires us to be non-ambiguous with terminology. </w:t>
      </w:r>
    </w:p>
    <w:p w14:paraId="0A3989EE" w14:textId="77777777" w:rsidR="00ED742C" w:rsidRDefault="00ED742C" w:rsidP="00ED742C">
      <w:r>
        <w:t xml:space="preserve">Broader definition of KPI that includes non-performance is not used in this book so we can be precise in the implementation. For an overall business KPI, </w:t>
      </w:r>
      <w:hyperlink r:id="rId119" w:history="1">
        <w:r w:rsidRPr="00736DFC">
          <w:rPr>
            <w:rStyle w:val="Hyperlink"/>
          </w:rPr>
          <w:t>Norman Dee</w:t>
        </w:r>
      </w:hyperlink>
      <w:r>
        <w:t xml:space="preserve"> has written a series of blog post </w:t>
      </w:r>
      <w:hyperlink r:id="rId120" w:history="1">
        <w:r w:rsidRPr="00736DFC">
          <w:rPr>
            <w:rStyle w:val="Hyperlink"/>
          </w:rPr>
          <w:t>here</w:t>
        </w:r>
      </w:hyperlink>
      <w:r>
        <w:t xml:space="preserve">. </w:t>
      </w:r>
    </w:p>
    <w:p w14:paraId="1559BE17" w14:textId="77777777" w:rsidR="00ED742C" w:rsidRDefault="00ED742C" w:rsidP="00ED742C">
      <w:pPr>
        <w:pStyle w:val="BeforeTable"/>
      </w:pPr>
    </w:p>
    <w:tbl>
      <w:tblPr>
        <w:tblW w:w="10490" w:type="dxa"/>
        <w:tblLook w:val="04A0" w:firstRow="1" w:lastRow="0" w:firstColumn="1" w:lastColumn="0" w:noHBand="0" w:noVBand="1"/>
      </w:tblPr>
      <w:tblGrid>
        <w:gridCol w:w="5245"/>
        <w:gridCol w:w="5245"/>
      </w:tblGrid>
      <w:tr w:rsidR="00ED742C" w14:paraId="1F5DD2E8" w14:textId="77777777" w:rsidTr="00E440AB">
        <w:tc>
          <w:tcPr>
            <w:tcW w:w="5245"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2EDE2311" w14:textId="77777777" w:rsidR="00ED742C" w:rsidRDefault="00ED742C" w:rsidP="00E440AB">
            <w:pPr>
              <w:pStyle w:val="Tableheading"/>
            </w:pPr>
            <w:bookmarkStart w:id="23" w:name="_Hlk96430360"/>
            <w:r>
              <w:lastRenderedPageBreak/>
              <w:t>KPI</w:t>
            </w:r>
          </w:p>
        </w:tc>
        <w:tc>
          <w:tcPr>
            <w:tcW w:w="5245" w:type="dxa"/>
            <w:tcBorders>
              <w:top w:val="single" w:sz="4" w:space="0" w:color="BFBFBF" w:themeColor="background1" w:themeShade="BF"/>
              <w:bottom w:val="single" w:sz="4" w:space="0" w:color="BFBFBF" w:themeColor="background1" w:themeShade="BF"/>
            </w:tcBorders>
            <w:shd w:val="clear" w:color="auto" w:fill="F2F2F2" w:themeFill="background1" w:themeFillShade="F2"/>
          </w:tcPr>
          <w:p w14:paraId="1AF40B2F" w14:textId="77777777" w:rsidR="00ED742C" w:rsidRDefault="00ED742C" w:rsidP="00E440AB">
            <w:pPr>
              <w:pStyle w:val="Tableheading"/>
            </w:pPr>
            <w:r>
              <w:t>SLA</w:t>
            </w:r>
          </w:p>
        </w:tc>
      </w:tr>
      <w:tr w:rsidR="00ED742C" w14:paraId="57934CA8" w14:textId="77777777" w:rsidTr="00E440AB">
        <w:tc>
          <w:tcPr>
            <w:tcW w:w="5245" w:type="dxa"/>
            <w:tcBorders>
              <w:top w:val="single" w:sz="4" w:space="0" w:color="BFBFBF" w:themeColor="background1" w:themeShade="BF"/>
              <w:bottom w:val="single" w:sz="4" w:space="0" w:color="BFBFBF" w:themeColor="background1" w:themeShade="BF"/>
            </w:tcBorders>
          </w:tcPr>
          <w:p w14:paraId="6D70D709" w14:textId="77777777" w:rsidR="00ED742C" w:rsidRDefault="00ED742C" w:rsidP="00E440AB">
            <w:pPr>
              <w:pStyle w:val="Tablecontent"/>
            </w:pPr>
            <w:r>
              <w:t xml:space="preserve">A single metric that quantifies the </w:t>
            </w:r>
            <w:r w:rsidRPr="00984AA2">
              <w:rPr>
                <w:color w:val="00B0F0"/>
              </w:rPr>
              <w:t xml:space="preserve">true </w:t>
            </w:r>
            <w:r>
              <w:t xml:space="preserve">performance of a logical entity. </w:t>
            </w:r>
          </w:p>
          <w:p w14:paraId="1CF65C6C" w14:textId="77777777" w:rsidR="00ED742C" w:rsidRDefault="00ED742C" w:rsidP="00E440AB">
            <w:pPr>
              <w:pStyle w:val="Tablecontent"/>
            </w:pPr>
            <w:r>
              <w:t>VM and Guest OS are 2 separate objects but they are 1 logical entity due to 1:1 permanent relationship, hence they are combined in 1 KPI number.</w:t>
            </w:r>
          </w:p>
        </w:tc>
        <w:tc>
          <w:tcPr>
            <w:tcW w:w="5245" w:type="dxa"/>
            <w:tcBorders>
              <w:top w:val="single" w:sz="4" w:space="0" w:color="BFBFBF" w:themeColor="background1" w:themeShade="BF"/>
              <w:bottom w:val="single" w:sz="4" w:space="0" w:color="BFBFBF" w:themeColor="background1" w:themeShade="BF"/>
            </w:tcBorders>
          </w:tcPr>
          <w:p w14:paraId="3244614B" w14:textId="77777777" w:rsidR="00ED742C" w:rsidRDefault="00ED742C" w:rsidP="00E440AB">
            <w:pPr>
              <w:pStyle w:val="Tablecontent"/>
            </w:pPr>
            <w:r>
              <w:t>A set of metrics written in t</w:t>
            </w:r>
            <w:r w:rsidRPr="008B2816">
              <w:t xml:space="preserve">he business contract </w:t>
            </w:r>
            <w:r>
              <w:t>between service provider and service consumer</w:t>
            </w:r>
            <w:r w:rsidRPr="008B2816">
              <w:t>. Typically, this is between the IaaS provider (the infrastructure team) and the IaaS consumer (the application team or business unit).</w:t>
            </w:r>
          </w:p>
          <w:p w14:paraId="04554DB8" w14:textId="77777777" w:rsidR="00ED742C" w:rsidRDefault="00ED742C" w:rsidP="00E440AB">
            <w:pPr>
              <w:pStyle w:val="Tablecontent"/>
            </w:pPr>
            <w:r w:rsidRPr="008921F3">
              <w:t>What happens inside Guest OS is not even relevant to the VM SLA</w:t>
            </w:r>
            <w:r>
              <w:t>.</w:t>
            </w:r>
          </w:p>
        </w:tc>
      </w:tr>
      <w:tr w:rsidR="00ED742C" w14:paraId="3D1ABE53" w14:textId="77777777" w:rsidTr="00E440AB">
        <w:tc>
          <w:tcPr>
            <w:tcW w:w="5245" w:type="dxa"/>
            <w:tcBorders>
              <w:top w:val="single" w:sz="4" w:space="0" w:color="BFBFBF" w:themeColor="background1" w:themeShade="BF"/>
              <w:bottom w:val="single" w:sz="4" w:space="0" w:color="BFBFBF" w:themeColor="background1" w:themeShade="BF"/>
            </w:tcBorders>
          </w:tcPr>
          <w:p w14:paraId="48F0A771" w14:textId="77777777" w:rsidR="00ED742C" w:rsidRDefault="00ED742C" w:rsidP="00E440AB">
            <w:pPr>
              <w:pStyle w:val="Tablecontent"/>
            </w:pPr>
            <w:r>
              <w:t>Simple to operationalize.</w:t>
            </w:r>
          </w:p>
        </w:tc>
        <w:tc>
          <w:tcPr>
            <w:tcW w:w="5245" w:type="dxa"/>
            <w:tcBorders>
              <w:top w:val="single" w:sz="4" w:space="0" w:color="BFBFBF" w:themeColor="background1" w:themeShade="BF"/>
              <w:bottom w:val="single" w:sz="4" w:space="0" w:color="BFBFBF" w:themeColor="background1" w:themeShade="BF"/>
            </w:tcBorders>
          </w:tcPr>
          <w:p w14:paraId="53546ECB" w14:textId="77777777" w:rsidR="00ED742C" w:rsidRDefault="00ED742C" w:rsidP="00E440AB">
            <w:pPr>
              <w:pStyle w:val="Tablecontent"/>
            </w:pPr>
            <w:r>
              <w:t xml:space="preserve">Complex. </w:t>
            </w:r>
          </w:p>
          <w:p w14:paraId="692B4C4B" w14:textId="77777777" w:rsidR="00ED742C" w:rsidRDefault="00ED742C" w:rsidP="00E440AB">
            <w:pPr>
              <w:pStyle w:val="Tablecontent"/>
            </w:pPr>
            <w:r>
              <w:t>It needs</w:t>
            </w:r>
            <w:r w:rsidRPr="5D58FCEA">
              <w:rPr>
                <w:b/>
                <w:bCs/>
              </w:rPr>
              <w:t xml:space="preserve"> </w:t>
            </w:r>
            <w:hyperlink r:id="rId121">
              <w:r w:rsidRPr="004E1C51">
                <w:rPr>
                  <w:rStyle w:val="Hyperlink"/>
                  <w:b/>
                  <w:bCs/>
                </w:rPr>
                <w:t>Operations Transformation</w:t>
              </w:r>
            </w:hyperlink>
            <w:r>
              <w:t xml:space="preserve">, much more than technical changes. You need to look at contract, price (not just cost) process, people, class of service, etc. </w:t>
            </w:r>
          </w:p>
        </w:tc>
      </w:tr>
      <w:tr w:rsidR="00ED742C" w14:paraId="7574E971" w14:textId="77777777" w:rsidTr="00E440AB">
        <w:tc>
          <w:tcPr>
            <w:tcW w:w="5245" w:type="dxa"/>
            <w:tcBorders>
              <w:top w:val="single" w:sz="4" w:space="0" w:color="BFBFBF" w:themeColor="background1" w:themeShade="BF"/>
              <w:bottom w:val="single" w:sz="4" w:space="0" w:color="BFBFBF" w:themeColor="background1" w:themeShade="BF"/>
            </w:tcBorders>
          </w:tcPr>
          <w:p w14:paraId="46045144" w14:textId="1F702820" w:rsidR="00ED742C" w:rsidRDefault="00ED742C" w:rsidP="00E440AB">
            <w:pPr>
              <w:pStyle w:val="Tablecontent"/>
            </w:pPr>
            <w:r>
              <w:t xml:space="preserve">It tends to be absolute, as it’s reporting raw </w:t>
            </w:r>
            <w:r w:rsidR="008D3A3F">
              <w:t>metrics</w:t>
            </w:r>
          </w:p>
        </w:tc>
        <w:tc>
          <w:tcPr>
            <w:tcW w:w="5245" w:type="dxa"/>
            <w:tcBorders>
              <w:top w:val="single" w:sz="4" w:space="0" w:color="BFBFBF" w:themeColor="background1" w:themeShade="BF"/>
              <w:bottom w:val="single" w:sz="4" w:space="0" w:color="BFBFBF" w:themeColor="background1" w:themeShade="BF"/>
            </w:tcBorders>
          </w:tcPr>
          <w:p w14:paraId="2EAE72C0" w14:textId="77777777" w:rsidR="00ED742C" w:rsidRDefault="00ED742C" w:rsidP="00E440AB">
            <w:pPr>
              <w:pStyle w:val="Tablecontent"/>
            </w:pPr>
            <w:r>
              <w:t>It is always relative. Compared to an agreed threshold.</w:t>
            </w:r>
          </w:p>
        </w:tc>
      </w:tr>
      <w:tr w:rsidR="00ED742C" w14:paraId="50597D19" w14:textId="77777777" w:rsidTr="00E440AB">
        <w:tc>
          <w:tcPr>
            <w:tcW w:w="5245" w:type="dxa"/>
            <w:tcBorders>
              <w:top w:val="single" w:sz="4" w:space="0" w:color="BFBFBF" w:themeColor="background1" w:themeShade="BF"/>
              <w:bottom w:val="single" w:sz="4" w:space="0" w:color="BFBFBF" w:themeColor="background1" w:themeShade="BF"/>
            </w:tcBorders>
          </w:tcPr>
          <w:p w14:paraId="212C8F03" w14:textId="77777777" w:rsidR="00ED742C" w:rsidRDefault="00ED742C" w:rsidP="00E440AB">
            <w:pPr>
              <w:pStyle w:val="Tablecontent"/>
            </w:pPr>
            <w:r>
              <w:t xml:space="preserve">Leading Indicator. </w:t>
            </w:r>
          </w:p>
          <w:p w14:paraId="45771C6A" w14:textId="77777777" w:rsidR="00ED742C" w:rsidRDefault="00ED742C" w:rsidP="00E440AB">
            <w:pPr>
              <w:pStyle w:val="Tablecontent"/>
            </w:pPr>
            <w:r>
              <w:t>5-minute window. They are used as the starting point to troubleshoot, before user complaint</w:t>
            </w:r>
          </w:p>
        </w:tc>
        <w:tc>
          <w:tcPr>
            <w:tcW w:w="5245" w:type="dxa"/>
            <w:tcBorders>
              <w:top w:val="single" w:sz="4" w:space="0" w:color="BFBFBF" w:themeColor="background1" w:themeShade="BF"/>
              <w:bottom w:val="single" w:sz="4" w:space="0" w:color="BFBFBF" w:themeColor="background1" w:themeShade="BF"/>
            </w:tcBorders>
          </w:tcPr>
          <w:p w14:paraId="0589DC70" w14:textId="77777777" w:rsidR="00ED742C" w:rsidRDefault="00ED742C" w:rsidP="00E440AB">
            <w:pPr>
              <w:pStyle w:val="Tablecontent"/>
            </w:pPr>
            <w:r>
              <w:t xml:space="preserve">Lagging Indicator. </w:t>
            </w:r>
          </w:p>
          <w:p w14:paraId="14DA6492" w14:textId="77777777" w:rsidR="00ED742C" w:rsidRDefault="00ED742C" w:rsidP="00E440AB">
            <w:pPr>
              <w:pStyle w:val="Tablecontent"/>
            </w:pPr>
            <w:r>
              <w:t>30 days backward looking, to be precise. You complement it with SLI, a 5-minute tracking.</w:t>
            </w:r>
          </w:p>
          <w:p w14:paraId="1950EB24" w14:textId="77777777" w:rsidR="00ED742C" w:rsidRDefault="00ED742C" w:rsidP="00E440AB">
            <w:pPr>
              <w:pStyle w:val="Tablecontent"/>
            </w:pPr>
            <w:r>
              <w:t>If you breach, you’re talking penalty already. Typically it’s a credit for the next billing cycle as opposed to actual refund.</w:t>
            </w:r>
          </w:p>
        </w:tc>
      </w:tr>
      <w:tr w:rsidR="00ED742C" w14:paraId="2BB74CEF" w14:textId="77777777" w:rsidTr="00E440AB">
        <w:tc>
          <w:tcPr>
            <w:tcW w:w="5245" w:type="dxa"/>
            <w:tcBorders>
              <w:top w:val="single" w:sz="4" w:space="0" w:color="BFBFBF" w:themeColor="background1" w:themeShade="BF"/>
              <w:bottom w:val="single" w:sz="4" w:space="0" w:color="BFBFBF" w:themeColor="background1" w:themeShade="BF"/>
            </w:tcBorders>
          </w:tcPr>
          <w:p w14:paraId="14210AB1" w14:textId="77777777" w:rsidR="00ED742C" w:rsidRDefault="00ED742C" w:rsidP="00E440AB">
            <w:pPr>
              <w:pStyle w:val="Tablecontent"/>
            </w:pPr>
            <w:r>
              <w:t>20-second</w:t>
            </w:r>
          </w:p>
          <w:p w14:paraId="52A3DD46" w14:textId="1596D353" w:rsidR="00ED742C" w:rsidRDefault="00ED742C" w:rsidP="00E440AB">
            <w:pPr>
              <w:pStyle w:val="Tablecontent"/>
            </w:pPr>
            <w:r>
              <w:t xml:space="preserve">It tracks at higher intensity and it covers more </w:t>
            </w:r>
            <w:r w:rsidR="008D3A3F">
              <w:t>metrics</w:t>
            </w:r>
            <w:r>
              <w:t xml:space="preserve"> and events. </w:t>
            </w:r>
          </w:p>
        </w:tc>
        <w:tc>
          <w:tcPr>
            <w:tcW w:w="5245" w:type="dxa"/>
            <w:tcBorders>
              <w:top w:val="single" w:sz="4" w:space="0" w:color="BFBFBF" w:themeColor="background1" w:themeShade="BF"/>
              <w:bottom w:val="single" w:sz="4" w:space="0" w:color="BFBFBF" w:themeColor="background1" w:themeShade="BF"/>
            </w:tcBorders>
          </w:tcPr>
          <w:p w14:paraId="736CB060" w14:textId="77777777" w:rsidR="00ED742C" w:rsidRDefault="00ED742C" w:rsidP="00E440AB">
            <w:pPr>
              <w:pStyle w:val="Tablecontent"/>
            </w:pPr>
            <w:r>
              <w:t>5-minute</w:t>
            </w:r>
          </w:p>
        </w:tc>
      </w:tr>
      <w:tr w:rsidR="00ED742C" w14:paraId="32FA3441" w14:textId="77777777" w:rsidTr="00E440AB">
        <w:tc>
          <w:tcPr>
            <w:tcW w:w="5245" w:type="dxa"/>
            <w:tcBorders>
              <w:top w:val="single" w:sz="4" w:space="0" w:color="BFBFBF" w:themeColor="background1" w:themeShade="BF"/>
              <w:bottom w:val="single" w:sz="4" w:space="0" w:color="BFBFBF" w:themeColor="background1" w:themeShade="BF"/>
            </w:tcBorders>
          </w:tcPr>
          <w:p w14:paraId="320F429E" w14:textId="77777777" w:rsidR="00ED742C" w:rsidRDefault="00ED742C" w:rsidP="00E440AB">
            <w:pPr>
              <w:pStyle w:val="Tablecontent"/>
            </w:pPr>
            <w:r>
              <w:t>Based on day (e.g. last 24 hours), which is moving.</w:t>
            </w:r>
          </w:p>
        </w:tc>
        <w:tc>
          <w:tcPr>
            <w:tcW w:w="5245" w:type="dxa"/>
            <w:tcBorders>
              <w:top w:val="single" w:sz="4" w:space="0" w:color="BFBFBF" w:themeColor="background1" w:themeShade="BF"/>
              <w:bottom w:val="single" w:sz="4" w:space="0" w:color="BFBFBF" w:themeColor="background1" w:themeShade="BF"/>
            </w:tcBorders>
          </w:tcPr>
          <w:p w14:paraId="0E7B806B" w14:textId="77777777" w:rsidR="00ED742C" w:rsidRDefault="00ED742C" w:rsidP="00E440AB">
            <w:pPr>
              <w:pStyle w:val="Tablecontent"/>
            </w:pPr>
            <w:r>
              <w:t>Based on date (e.g. June 1972), which is fixed</w:t>
            </w:r>
          </w:p>
        </w:tc>
      </w:tr>
      <w:tr w:rsidR="00ED742C" w14:paraId="03F9A404" w14:textId="77777777" w:rsidTr="00E440AB">
        <w:tc>
          <w:tcPr>
            <w:tcW w:w="5245" w:type="dxa"/>
            <w:tcBorders>
              <w:top w:val="single" w:sz="4" w:space="0" w:color="BFBFBF" w:themeColor="background1" w:themeShade="BF"/>
              <w:bottom w:val="single" w:sz="4" w:space="0" w:color="BFBFBF" w:themeColor="background1" w:themeShade="BF"/>
            </w:tcBorders>
          </w:tcPr>
          <w:p w14:paraId="43B381F9" w14:textId="77777777" w:rsidR="00ED742C" w:rsidRDefault="00ED742C" w:rsidP="00E440AB">
            <w:pPr>
              <w:pStyle w:val="Tablecontent"/>
            </w:pPr>
            <w:r>
              <w:t>Comprehensive coverage.</w:t>
            </w:r>
          </w:p>
          <w:p w14:paraId="588DF78F" w14:textId="77777777" w:rsidR="00ED742C" w:rsidRDefault="00ED742C" w:rsidP="00E440AB">
            <w:pPr>
              <w:pStyle w:val="Tablecontent"/>
            </w:pPr>
            <w:r>
              <w:t>C</w:t>
            </w:r>
            <w:r w:rsidRPr="008B2816">
              <w:t xml:space="preserve">overs the SLA metrics, </w:t>
            </w:r>
            <w:r>
              <w:t xml:space="preserve">plus relevant </w:t>
            </w:r>
            <w:r w:rsidRPr="008B2816">
              <w:t>additional metrics that provide early warning</w:t>
            </w:r>
            <w:r>
              <w:t xml:space="preserve"> before the SLA metrics are breached</w:t>
            </w:r>
            <w:r w:rsidRPr="008B2816">
              <w:t xml:space="preserve">. </w:t>
            </w:r>
          </w:p>
          <w:p w14:paraId="595F1B70" w14:textId="77777777" w:rsidR="00ED742C" w:rsidRDefault="00ED742C" w:rsidP="00E440AB">
            <w:pPr>
              <w:pStyle w:val="Tablecontent"/>
            </w:pPr>
            <w:r>
              <w:t>There are many KPI for a given SLA because not all metrics should be in the contract, while almost all performance metrics need to be monitored.</w:t>
            </w:r>
          </w:p>
        </w:tc>
        <w:tc>
          <w:tcPr>
            <w:tcW w:w="5245" w:type="dxa"/>
            <w:tcBorders>
              <w:top w:val="single" w:sz="4" w:space="0" w:color="BFBFBF" w:themeColor="background1" w:themeShade="BF"/>
              <w:bottom w:val="single" w:sz="4" w:space="0" w:color="BFBFBF" w:themeColor="background1" w:themeShade="BF"/>
            </w:tcBorders>
          </w:tcPr>
          <w:p w14:paraId="30AC8682" w14:textId="77777777" w:rsidR="00ED742C" w:rsidRDefault="00ED742C" w:rsidP="00E440AB">
            <w:pPr>
              <w:pStyle w:val="Tablecontent"/>
            </w:pPr>
            <w:r>
              <w:t xml:space="preserve">Limited. </w:t>
            </w:r>
          </w:p>
          <w:p w14:paraId="65B0F580" w14:textId="06592B88" w:rsidR="00ED742C" w:rsidRDefault="00ED742C" w:rsidP="00E440AB">
            <w:pPr>
              <w:pStyle w:val="Tablecontent"/>
            </w:pPr>
            <w:r>
              <w:t xml:space="preserve">Only critical </w:t>
            </w:r>
            <w:r w:rsidR="008D3A3F">
              <w:t>metrics</w:t>
            </w:r>
            <w:r>
              <w:t xml:space="preserve"> are included. Having too many metrics in SLA makes it harder to comply.</w:t>
            </w:r>
          </w:p>
          <w:p w14:paraId="50C72C41" w14:textId="4264845C" w:rsidR="00ED742C" w:rsidRPr="00E856CE" w:rsidRDefault="00ED742C" w:rsidP="00E440AB">
            <w:r w:rsidRPr="00465B0A">
              <w:t xml:space="preserve">Guest OS </w:t>
            </w:r>
            <w:r w:rsidR="008D3A3F">
              <w:t>metrics</w:t>
            </w:r>
            <w:r w:rsidRPr="00465B0A">
              <w:t xml:space="preserve"> </w:t>
            </w:r>
            <w:r>
              <w:t xml:space="preserve">should </w:t>
            </w:r>
            <w:r w:rsidRPr="00465B0A">
              <w:t xml:space="preserve">not </w:t>
            </w:r>
            <w:r>
              <w:t xml:space="preserve">be </w:t>
            </w:r>
            <w:r w:rsidRPr="00465B0A">
              <w:t xml:space="preserve">included as that’s part of “application KPI” or VM KPI, not IaaS </w:t>
            </w:r>
            <w:r>
              <w:t>SLA</w:t>
            </w:r>
            <w:r w:rsidRPr="00465B0A">
              <w:t>. They impact the VM performance, but nothing the IaaS can do</w:t>
            </w:r>
            <w:r>
              <w:t>, meaning the remediation is at the Guest OS layer.</w:t>
            </w:r>
          </w:p>
        </w:tc>
      </w:tr>
    </w:tbl>
    <w:bookmarkEnd w:id="23"/>
    <w:p w14:paraId="1AA3380B" w14:textId="4D8F3005" w:rsidR="00ED742C" w:rsidRPr="00047608" w:rsidRDefault="00ED742C" w:rsidP="00ED742C">
      <w:pPr>
        <w:pStyle w:val="Heading4"/>
      </w:pPr>
      <w:r>
        <w:t>KPI Limitation</w:t>
      </w:r>
    </w:p>
    <w:p w14:paraId="319A8AF0" w14:textId="77777777" w:rsidR="00ED742C" w:rsidRDefault="00326806" w:rsidP="00326806">
      <w:pPr>
        <w:rPr>
          <w:lang w:val="en-GB"/>
        </w:rPr>
      </w:pPr>
      <w:r>
        <w:rPr>
          <w:lang w:val="en-GB"/>
        </w:rPr>
        <w:t xml:space="preserve">I agree that a set of metrics that determine the health of complex object such as VM or application will never be accurate in 100% of the case. This is normal, just like in real life. We take annual health check, performing all sort of tests, and the results will be a series of metrics (e.g. your bad cholesterol level). Are they 100% accurate for you from young until you are old? Are the results 100% accurate for everyone in your city? </w:t>
      </w:r>
    </w:p>
    <w:p w14:paraId="560E7789" w14:textId="77777777" w:rsidR="00ED742C" w:rsidRDefault="00326806" w:rsidP="00326806">
      <w:pPr>
        <w:rPr>
          <w:lang w:val="en-GB"/>
        </w:rPr>
      </w:pPr>
      <w:r>
        <w:rPr>
          <w:lang w:val="en-GB"/>
        </w:rPr>
        <w:t xml:space="preserve">No, </w:t>
      </w:r>
      <w:r w:rsidR="00ED742C">
        <w:rPr>
          <w:lang w:val="en-GB"/>
        </w:rPr>
        <w:t xml:space="preserve">and you know that. </w:t>
      </w:r>
    </w:p>
    <w:p w14:paraId="087DD3FA" w14:textId="231775C9" w:rsidR="00326806" w:rsidRDefault="00ED742C" w:rsidP="00326806">
      <w:pPr>
        <w:rPr>
          <w:lang w:val="en-GB"/>
        </w:rPr>
      </w:pPr>
      <w:r>
        <w:rPr>
          <w:lang w:val="en-GB"/>
        </w:rPr>
        <w:lastRenderedPageBreak/>
        <w:t>B</w:t>
      </w:r>
      <w:r w:rsidR="00326806">
        <w:rPr>
          <w:lang w:val="en-GB"/>
        </w:rPr>
        <w:t xml:space="preserve">ut they are good enough, and certainly much better than nothing. Beside the absolute value, the relative movement of the value over time is also able to give you insight. For example, if the KPI drops on a quiet Sunday morning when the environment is not supposed to have known activities, perhaps there is </w:t>
      </w:r>
      <w:r w:rsidR="00C07E77">
        <w:rPr>
          <w:lang w:val="en-GB"/>
        </w:rPr>
        <w:t xml:space="preserve">something </w:t>
      </w:r>
      <w:r w:rsidR="00326806" w:rsidRPr="00C07E77">
        <w:rPr>
          <w:i/>
          <w:iCs/>
          <w:color w:val="FF0000"/>
          <w:lang w:val="en-GB"/>
        </w:rPr>
        <w:t>bad</w:t>
      </w:r>
      <w:r w:rsidR="00326806" w:rsidRPr="00C07E77">
        <w:rPr>
          <w:color w:val="FF0000"/>
          <w:lang w:val="en-GB"/>
        </w:rPr>
        <w:t xml:space="preserve"> </w:t>
      </w:r>
      <w:r w:rsidR="00326806">
        <w:rPr>
          <w:lang w:val="en-GB"/>
        </w:rPr>
        <w:t>going on?</w:t>
      </w:r>
    </w:p>
    <w:p w14:paraId="55B4DC9D" w14:textId="77777777" w:rsidR="003C5906" w:rsidRDefault="003C5906" w:rsidP="003C5906">
      <w:r>
        <w:t xml:space="preserve">The challenge is there are typically many components that makes up this metric. There is a need to consolidate all the performance metrics into a </w:t>
      </w:r>
      <w:r w:rsidRPr="005B2C03">
        <w:rPr>
          <w:i/>
          <w:iCs/>
          <w:color w:val="FF0000"/>
        </w:rPr>
        <w:t>single</w:t>
      </w:r>
      <w:r w:rsidRPr="005B2C03">
        <w:rPr>
          <w:color w:val="FF0000"/>
        </w:rPr>
        <w:t xml:space="preserve"> </w:t>
      </w:r>
      <w:r>
        <w:t>KPI so you can manage at scale.</w:t>
      </w:r>
    </w:p>
    <w:p w14:paraId="16806381" w14:textId="75F6DF50" w:rsidR="003C5906" w:rsidRDefault="003C5906" w:rsidP="003C5906">
      <w:r>
        <w:t xml:space="preserve">Say you have 1000 AWS EC2 to be monitored. You have a bunch of </w:t>
      </w:r>
      <w:r w:rsidR="00F96759">
        <w:t>metrics,</w:t>
      </w:r>
      <w:r>
        <w:t xml:space="preserve"> and you then consolidate them into 2 KPIs instead of 1. How would you know which EC2 has issues? You need to show 2 sets of heat map or table. That means you need to manually corelated the first table with the second. It’s not scalable.</w:t>
      </w:r>
    </w:p>
    <w:p w14:paraId="567617FD" w14:textId="187CC010" w:rsidR="003C5906" w:rsidRDefault="003C5906" w:rsidP="003C5906">
      <w:r>
        <w:t xml:space="preserve">Having &gt;1 metric also presents challenge as you roll up to higher level object. </w:t>
      </w:r>
      <w:r w:rsidR="00B81B66">
        <w:t xml:space="preserve">How do you </w:t>
      </w:r>
      <w:r w:rsidR="006012B7">
        <w:t xml:space="preserve">show a trend chart of </w:t>
      </w:r>
      <w:r w:rsidR="00B81B66">
        <w:t xml:space="preserve">performance </w:t>
      </w:r>
      <w:r w:rsidR="006012B7">
        <w:t xml:space="preserve">over time </w:t>
      </w:r>
      <w:r w:rsidR="00B81B66">
        <w:t>at vSphere data center levels when you have &gt;1 metric?</w:t>
      </w:r>
      <w:r w:rsidR="00ED742C">
        <w:t xml:space="preserve"> We will cover this in Part 2 Chapter 1.</w:t>
      </w:r>
    </w:p>
    <w:p w14:paraId="736C46DB" w14:textId="27A6A134" w:rsidR="00BF2E18" w:rsidRDefault="00721AF8" w:rsidP="00AC6E1E">
      <w:pPr>
        <w:pStyle w:val="Heading4"/>
      </w:pPr>
      <w:r>
        <w:t xml:space="preserve">KPIs in </w:t>
      </w:r>
      <w:r w:rsidR="00BF2E18">
        <w:t>IaaS</w:t>
      </w:r>
    </w:p>
    <w:p w14:paraId="11AF1D48" w14:textId="6D0DC4B0" w:rsidR="00D50B74" w:rsidRDefault="00D50B74" w:rsidP="00701107">
      <w:r>
        <w:t xml:space="preserve">Within the context of VM as a Service, </w:t>
      </w:r>
      <w:r w:rsidR="0011274F">
        <w:t>here are the KPIs and SLA.</w:t>
      </w:r>
    </w:p>
    <w:p w14:paraId="16153B9A" w14:textId="3BA7CB20" w:rsidR="00D50B74" w:rsidRDefault="005A5F53" w:rsidP="00D50B74">
      <w:pPr>
        <w:jc w:val="center"/>
      </w:pPr>
      <w:r w:rsidRPr="005A5F53">
        <w:rPr>
          <w:noProof/>
        </w:rPr>
        <w:drawing>
          <wp:inline distT="0" distB="0" distL="0" distR="0" wp14:anchorId="2F284BBD" wp14:editId="37EE6595">
            <wp:extent cx="4985006" cy="2540131"/>
            <wp:effectExtent l="0" t="0" r="6350" b="0"/>
            <wp:docPr id="1525330282" name="Picture 152533028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82" name="Picture 1525330282" descr="Diagram&#10;&#10;Description automatically generated"/>
                    <pic:cNvPicPr/>
                  </pic:nvPicPr>
                  <pic:blipFill>
                    <a:blip r:embed="rId122"/>
                    <a:stretch>
                      <a:fillRect/>
                    </a:stretch>
                  </pic:blipFill>
                  <pic:spPr>
                    <a:xfrm>
                      <a:off x="0" y="0"/>
                      <a:ext cx="4985006" cy="2540131"/>
                    </a:xfrm>
                    <a:prstGeom prst="rect">
                      <a:avLst/>
                    </a:prstGeom>
                  </pic:spPr>
                </pic:pic>
              </a:graphicData>
            </a:graphic>
          </wp:inline>
        </w:drawing>
      </w:r>
    </w:p>
    <w:p w14:paraId="103FE65F" w14:textId="24EEB6B1" w:rsidR="0011274F" w:rsidRDefault="00BD2027" w:rsidP="0011274F">
      <w:r>
        <w:t xml:space="preserve">Why are there only 1 SLA, yet many KPIs? </w:t>
      </w:r>
    </w:p>
    <w:p w14:paraId="74E36243" w14:textId="35390828" w:rsidR="00ED742C" w:rsidRDefault="00151B4D" w:rsidP="0011274F">
      <w:r>
        <w:t xml:space="preserve">There is only 1 SLA as there is only 1 service in IaaS. </w:t>
      </w:r>
      <w:r w:rsidR="00ED742C">
        <w:t xml:space="preserve">The SLA </w:t>
      </w:r>
      <w:r>
        <w:t xml:space="preserve">metric is derived from </w:t>
      </w:r>
      <w:r w:rsidR="00ED742C">
        <w:t xml:space="preserve">4 metrics, as IaaS provides CPU, memory, disk and network as a service. </w:t>
      </w:r>
    </w:p>
    <w:p w14:paraId="436377B3" w14:textId="77777777" w:rsidR="00151B4D" w:rsidRDefault="00151B4D" w:rsidP="00151B4D">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60"/>
        <w:gridCol w:w="8296"/>
      </w:tblGrid>
      <w:tr w:rsidR="00151B4D" w14:paraId="7BD502E7" w14:textId="77777777" w:rsidTr="00151B4D">
        <w:tc>
          <w:tcPr>
            <w:tcW w:w="2160" w:type="dxa"/>
            <w:shd w:val="clear" w:color="auto" w:fill="F2F2F2" w:themeFill="background1" w:themeFillShade="F2"/>
          </w:tcPr>
          <w:p w14:paraId="59F3F548" w14:textId="2CD70ABC" w:rsidR="00151B4D" w:rsidRPr="00151B4D" w:rsidRDefault="00151B4D" w:rsidP="00E440AB">
            <w:pPr>
              <w:pStyle w:val="Tablecontent"/>
              <w:rPr>
                <w:b/>
                <w:bCs/>
              </w:rPr>
            </w:pPr>
            <w:r w:rsidRPr="00151B4D">
              <w:rPr>
                <w:b/>
                <w:bCs/>
              </w:rPr>
              <w:t>VM KPI</w:t>
            </w:r>
          </w:p>
        </w:tc>
        <w:tc>
          <w:tcPr>
            <w:tcW w:w="8296" w:type="dxa"/>
          </w:tcPr>
          <w:p w14:paraId="7F15A12C" w14:textId="6AAADADE" w:rsidR="00151B4D" w:rsidRDefault="00151B4D" w:rsidP="00E440AB">
            <w:pPr>
              <w:pStyle w:val="Tablecontent"/>
            </w:pPr>
            <w:r>
              <w:t xml:space="preserve">It excludes the application or service </w:t>
            </w:r>
            <w:r w:rsidR="008F30FC">
              <w:t>running inside Guest OS as infrastructure team stops at Windows or Linux.</w:t>
            </w:r>
          </w:p>
        </w:tc>
      </w:tr>
      <w:tr w:rsidR="00151B4D" w14:paraId="3870DB02" w14:textId="77777777" w:rsidTr="00151B4D">
        <w:tc>
          <w:tcPr>
            <w:tcW w:w="2160" w:type="dxa"/>
            <w:shd w:val="clear" w:color="auto" w:fill="F2F2F2" w:themeFill="background1" w:themeFillShade="F2"/>
          </w:tcPr>
          <w:p w14:paraId="07147262" w14:textId="38ED8EC8" w:rsidR="00151B4D" w:rsidRPr="00151B4D" w:rsidRDefault="00151B4D" w:rsidP="00E440AB">
            <w:pPr>
              <w:pStyle w:val="Tablecontent"/>
              <w:rPr>
                <w:b/>
                <w:bCs/>
              </w:rPr>
            </w:pPr>
            <w:r>
              <w:rPr>
                <w:b/>
                <w:bCs/>
              </w:rPr>
              <w:t>Business Application KPI</w:t>
            </w:r>
          </w:p>
        </w:tc>
        <w:tc>
          <w:tcPr>
            <w:tcW w:w="8296" w:type="dxa"/>
          </w:tcPr>
          <w:p w14:paraId="3674C330" w14:textId="0B145013" w:rsidR="008F30FC" w:rsidRDefault="008F30FC" w:rsidP="008F30FC">
            <w:pPr>
              <w:pStyle w:val="Tablecontent"/>
            </w:pPr>
            <w:r>
              <w:t>There are actually 3 levels of KPI. The highest and most important tracks the business transaction (e.g. user login). If the number is below expectation, you check for application software KPI (e.g. Apache web server)</w:t>
            </w:r>
            <w:r w:rsidR="005A5F53">
              <w:t xml:space="preserve"> and infrastructure KPI (which is basically the VM KPI)</w:t>
            </w:r>
          </w:p>
        </w:tc>
      </w:tr>
      <w:tr w:rsidR="008F30FC" w14:paraId="4710BBA8" w14:textId="77777777" w:rsidTr="00151B4D">
        <w:tc>
          <w:tcPr>
            <w:tcW w:w="2160" w:type="dxa"/>
            <w:shd w:val="clear" w:color="auto" w:fill="F2F2F2" w:themeFill="background1" w:themeFillShade="F2"/>
          </w:tcPr>
          <w:p w14:paraId="46FE364D" w14:textId="26DB7374" w:rsidR="008F30FC" w:rsidRDefault="008F30FC" w:rsidP="00E440AB">
            <w:pPr>
              <w:pStyle w:val="Tablecontent"/>
              <w:rPr>
                <w:b/>
                <w:bCs/>
              </w:rPr>
            </w:pPr>
            <w:r>
              <w:rPr>
                <w:b/>
                <w:bCs/>
              </w:rPr>
              <w:lastRenderedPageBreak/>
              <w:t>vSphere Cluster</w:t>
            </w:r>
          </w:p>
        </w:tc>
        <w:tc>
          <w:tcPr>
            <w:tcW w:w="8296" w:type="dxa"/>
          </w:tcPr>
          <w:p w14:paraId="31898264" w14:textId="6E696BFC" w:rsidR="008F30FC" w:rsidRDefault="005A5F53" w:rsidP="008F30FC">
            <w:pPr>
              <w:pStyle w:val="Tablecontent"/>
            </w:pPr>
            <w:r>
              <w:t xml:space="preserve">It includes only the contention </w:t>
            </w:r>
            <w:r w:rsidR="008D3A3F">
              <w:t>metrics</w:t>
            </w:r>
            <w:r>
              <w:t xml:space="preserve"> of the running VMs. The utilization </w:t>
            </w:r>
            <w:r w:rsidR="008D3A3F">
              <w:t>metrics</w:t>
            </w:r>
            <w:r>
              <w:t xml:space="preserve"> are excluded as that has no direct correlation to the cluster performance. </w:t>
            </w:r>
          </w:p>
          <w:p w14:paraId="217600FD" w14:textId="3F9F62C0" w:rsidR="000B4F46" w:rsidRDefault="000B4F46" w:rsidP="008F30FC">
            <w:pPr>
              <w:pStyle w:val="Tablecontent"/>
            </w:pPr>
            <w:r>
              <w:t xml:space="preserve">If the cluster is running vSAN, then the KPI should include metrics measuring vSAN performance. </w:t>
            </w:r>
          </w:p>
        </w:tc>
      </w:tr>
      <w:tr w:rsidR="008F30FC" w14:paraId="3E1B1DDF" w14:textId="77777777" w:rsidTr="00151B4D">
        <w:tc>
          <w:tcPr>
            <w:tcW w:w="2160" w:type="dxa"/>
            <w:shd w:val="clear" w:color="auto" w:fill="F2F2F2" w:themeFill="background1" w:themeFillShade="F2"/>
          </w:tcPr>
          <w:p w14:paraId="05FA2B57" w14:textId="30FEDC93" w:rsidR="008F30FC" w:rsidRDefault="008F30FC" w:rsidP="00E440AB">
            <w:pPr>
              <w:pStyle w:val="Tablecontent"/>
              <w:rPr>
                <w:b/>
                <w:bCs/>
              </w:rPr>
            </w:pPr>
            <w:r>
              <w:rPr>
                <w:b/>
                <w:bCs/>
              </w:rPr>
              <w:t>vSAN KPI</w:t>
            </w:r>
          </w:p>
        </w:tc>
        <w:tc>
          <w:tcPr>
            <w:tcW w:w="8296" w:type="dxa"/>
          </w:tcPr>
          <w:p w14:paraId="695D5F3A" w14:textId="23EA947B" w:rsidR="008F30FC" w:rsidRDefault="008F30FC" w:rsidP="00E440AB">
            <w:pPr>
              <w:pStyle w:val="Tablecontent"/>
            </w:pPr>
            <w:r>
              <w:t>I do not add in the diagram to keep the diagram simple. vSAN KPI includes VM disk latency of all VM accessing the vSAN datastore (from the same vSphere cluster or from other cluster).</w:t>
            </w:r>
          </w:p>
        </w:tc>
      </w:tr>
      <w:tr w:rsidR="008F30FC" w14:paraId="60267559" w14:textId="77777777" w:rsidTr="00151B4D">
        <w:tc>
          <w:tcPr>
            <w:tcW w:w="2160" w:type="dxa"/>
            <w:shd w:val="clear" w:color="auto" w:fill="F2F2F2" w:themeFill="background1" w:themeFillShade="F2"/>
          </w:tcPr>
          <w:p w14:paraId="224FC8F4" w14:textId="4AD77A56" w:rsidR="008F30FC" w:rsidRDefault="008F30FC" w:rsidP="00E440AB">
            <w:pPr>
              <w:pStyle w:val="Tablecontent"/>
              <w:rPr>
                <w:b/>
                <w:bCs/>
              </w:rPr>
            </w:pPr>
            <w:r>
              <w:rPr>
                <w:b/>
                <w:bCs/>
              </w:rPr>
              <w:t>NSX KPI</w:t>
            </w:r>
          </w:p>
        </w:tc>
        <w:tc>
          <w:tcPr>
            <w:tcW w:w="8296" w:type="dxa"/>
          </w:tcPr>
          <w:p w14:paraId="69DD0C1C" w14:textId="4A0EDDD1" w:rsidR="008F30FC" w:rsidRDefault="008F30FC" w:rsidP="00E440AB">
            <w:pPr>
              <w:pStyle w:val="Tablecontent"/>
            </w:pPr>
            <w:r>
              <w:t xml:space="preserve">I do not add in the diagram as it has a many to many relationship to vSphere cluster. </w:t>
            </w:r>
          </w:p>
        </w:tc>
      </w:tr>
    </w:tbl>
    <w:p w14:paraId="255ABF30" w14:textId="46F4DAC6" w:rsidR="000809FE" w:rsidRDefault="7AB49957" w:rsidP="00540F68">
      <w:pPr>
        <w:pStyle w:val="Heading3"/>
      </w:pPr>
      <w:bookmarkStart w:id="24" w:name="_Key_Performance_Indicators"/>
      <w:bookmarkStart w:id="25" w:name="_Internal_SLA"/>
      <w:bookmarkEnd w:id="24"/>
      <w:bookmarkEnd w:id="25"/>
      <w:r>
        <w:t>Baseline Profiling</w:t>
      </w:r>
    </w:p>
    <w:p w14:paraId="719F9803" w14:textId="77777777" w:rsidR="00F36ECF" w:rsidRDefault="00F36ECF" w:rsidP="00F36ECF">
      <w:r>
        <w:t xml:space="preserve">How do you determine what’s an acceptable performance by your customers? Is their expectation unrealistic (read: not impossible but costly to implement)? What’s the value of profiling your environment if the application team is unhappy with your service level? </w:t>
      </w:r>
    </w:p>
    <w:p w14:paraId="1297A05B" w14:textId="77777777" w:rsidR="00F36ECF" w:rsidRPr="000D3D2D" w:rsidRDefault="00F36ECF" w:rsidP="00F36ECF">
      <w:r>
        <w:t>Let’s look at 3 scenarios. The first 2 are corner cases, and the 3</w:t>
      </w:r>
      <w:r w:rsidRPr="001E36C5">
        <w:rPr>
          <w:vertAlign w:val="superscript"/>
        </w:rPr>
        <w:t>rd</w:t>
      </w:r>
      <w:r>
        <w:t xml:space="preserve"> one is the most common, especially in large environment with many application teams. </w:t>
      </w:r>
    </w:p>
    <w:p w14:paraId="5DEF80DF" w14:textId="77777777" w:rsidR="00F36ECF" w:rsidRDefault="00F36ECF" w:rsidP="00F36ECF">
      <w:pPr>
        <w:pStyle w:val="BeforeTable"/>
        <w:rPr>
          <w:lang w:val="en-US"/>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485"/>
        <w:gridCol w:w="3485"/>
        <w:gridCol w:w="3486"/>
      </w:tblGrid>
      <w:tr w:rsidR="00F36ECF" w14:paraId="29D94C9E" w14:textId="77777777" w:rsidTr="00E440AB">
        <w:tc>
          <w:tcPr>
            <w:tcW w:w="3485" w:type="dxa"/>
            <w:shd w:val="clear" w:color="auto" w:fill="F2F2F2" w:themeFill="background1" w:themeFillShade="F2"/>
          </w:tcPr>
          <w:p w14:paraId="482FE598" w14:textId="77777777" w:rsidR="00F36ECF" w:rsidRDefault="00F36ECF" w:rsidP="00E440AB">
            <w:pPr>
              <w:pStyle w:val="Tableheading"/>
            </w:pPr>
            <w:r>
              <w:lastRenderedPageBreak/>
              <w:t>Happy</w:t>
            </w:r>
          </w:p>
        </w:tc>
        <w:tc>
          <w:tcPr>
            <w:tcW w:w="3485" w:type="dxa"/>
            <w:shd w:val="clear" w:color="auto" w:fill="F2F2F2" w:themeFill="background1" w:themeFillShade="F2"/>
          </w:tcPr>
          <w:p w14:paraId="7087D859" w14:textId="77777777" w:rsidR="00F36ECF" w:rsidRDefault="00F36ECF" w:rsidP="00E440AB">
            <w:pPr>
              <w:pStyle w:val="Tableheading"/>
            </w:pPr>
            <w:r>
              <w:t>Unhappy</w:t>
            </w:r>
          </w:p>
        </w:tc>
        <w:tc>
          <w:tcPr>
            <w:tcW w:w="3486" w:type="dxa"/>
            <w:shd w:val="clear" w:color="auto" w:fill="F2F2F2" w:themeFill="background1" w:themeFillShade="F2"/>
          </w:tcPr>
          <w:p w14:paraId="2683D042" w14:textId="77777777" w:rsidR="00F36ECF" w:rsidRDefault="00F36ECF" w:rsidP="00E440AB">
            <w:pPr>
              <w:pStyle w:val="Tableheading"/>
            </w:pPr>
            <w:r>
              <w:t>Mixed</w:t>
            </w:r>
          </w:p>
        </w:tc>
      </w:tr>
      <w:tr w:rsidR="00F36ECF" w14:paraId="099E776D" w14:textId="77777777" w:rsidTr="00E440AB">
        <w:tc>
          <w:tcPr>
            <w:tcW w:w="3485" w:type="dxa"/>
          </w:tcPr>
          <w:p w14:paraId="105D1EAC" w14:textId="77777777" w:rsidR="00F36ECF" w:rsidRDefault="00F36ECF" w:rsidP="00E440AB">
            <w:pPr>
              <w:pStyle w:val="Tablecontent"/>
            </w:pPr>
            <w:r w:rsidRPr="00E5017F">
              <w:t xml:space="preserve">If your application team is happy, then the profiling is a proactive exercise to ensure performance is maintained as your environment grow or change. </w:t>
            </w:r>
          </w:p>
        </w:tc>
        <w:tc>
          <w:tcPr>
            <w:tcW w:w="3485" w:type="dxa"/>
          </w:tcPr>
          <w:p w14:paraId="5F6E54B8" w14:textId="77777777" w:rsidR="00F36ECF" w:rsidRDefault="00F36ECF" w:rsidP="00E440AB">
            <w:pPr>
              <w:pStyle w:val="Tablecontent"/>
            </w:pPr>
            <w:r w:rsidRPr="00AD2476">
              <w:t xml:space="preserve">If your application team is not happy, then the profiling quantifies the complaints so they can be measured. </w:t>
            </w:r>
            <w:r w:rsidRPr="00AD2476">
              <w:rPr>
                <w:rFonts w:eastAsiaTheme="minorHAnsi"/>
                <w:lang w:val="en-SG" w:eastAsia="en-GB"/>
              </w:rPr>
              <w:t>It reveals the full picture as it analyses the entire VMware environment, not just the complaints</w:t>
            </w:r>
            <w:r>
              <w:t>.</w:t>
            </w:r>
          </w:p>
        </w:tc>
        <w:tc>
          <w:tcPr>
            <w:tcW w:w="3486" w:type="dxa"/>
          </w:tcPr>
          <w:p w14:paraId="26B50571" w14:textId="77777777" w:rsidR="00F36ECF" w:rsidRDefault="00F36ECF" w:rsidP="00E440AB">
            <w:pPr>
              <w:pStyle w:val="Tablecontent"/>
            </w:pPr>
            <w:r w:rsidRPr="002D3FC3">
              <w:t>Likely, some are happy and while others are not.</w:t>
            </w:r>
          </w:p>
        </w:tc>
      </w:tr>
      <w:tr w:rsidR="00F36ECF" w14:paraId="236BA41F" w14:textId="77777777" w:rsidTr="00E440AB">
        <w:tc>
          <w:tcPr>
            <w:tcW w:w="3485" w:type="dxa"/>
          </w:tcPr>
          <w:p w14:paraId="1F584CFE" w14:textId="77777777" w:rsidR="00F36ECF" w:rsidRPr="00E5017F" w:rsidRDefault="00F36ECF" w:rsidP="00E440AB">
            <w:pPr>
              <w:pStyle w:val="Tablecontent"/>
            </w:pPr>
            <w:r w:rsidRPr="00E5017F">
              <w:t>This prevents infrastructure from being blamed for application-level changes. For example, if your database size grow, it can slow down the application</w:t>
            </w:r>
            <w:r>
              <w:t>.</w:t>
            </w:r>
          </w:p>
        </w:tc>
        <w:tc>
          <w:tcPr>
            <w:tcW w:w="3485" w:type="dxa"/>
          </w:tcPr>
          <w:p w14:paraId="198E6F30" w14:textId="28C63244" w:rsidR="00F36ECF" w:rsidRPr="00AD2476" w:rsidRDefault="00F36ECF" w:rsidP="00E440AB">
            <w:pPr>
              <w:pStyle w:val="Tablecontent"/>
            </w:pPr>
            <w:r w:rsidRPr="00AD2476">
              <w:t xml:space="preserve">It might prove the blame on infrastructure is not right, if the </w:t>
            </w:r>
            <w:r w:rsidR="008D3A3F">
              <w:t>metrics</w:t>
            </w:r>
            <w:r w:rsidRPr="00AD2476">
              <w:t xml:space="preserve"> are good.</w:t>
            </w:r>
          </w:p>
          <w:p w14:paraId="084C3FC9" w14:textId="77777777" w:rsidR="00F36ECF" w:rsidRDefault="00F36ECF" w:rsidP="00E440AB">
            <w:pPr>
              <w:pStyle w:val="Tablecontent"/>
            </w:pPr>
          </w:p>
        </w:tc>
        <w:tc>
          <w:tcPr>
            <w:tcW w:w="3486" w:type="dxa"/>
          </w:tcPr>
          <w:p w14:paraId="7037B019" w14:textId="77777777" w:rsidR="00F36ECF" w:rsidRDefault="00F36ECF" w:rsidP="00E440AB">
            <w:pPr>
              <w:pStyle w:val="Tablecontent"/>
            </w:pPr>
            <w:r w:rsidRPr="002D3FC3">
              <w:t>In large environment with many VM Owners, it’s common to see different owners have different threshold. A 10% CPU Ready may be fine for Owner A yet a 2.5% CPU Ready causes Owner B to be upset, even though both VMs are in the same class of service</w:t>
            </w:r>
          </w:p>
        </w:tc>
      </w:tr>
      <w:tr w:rsidR="00F36ECF" w14:paraId="6F65CE76" w14:textId="77777777" w:rsidTr="00E440AB">
        <w:tc>
          <w:tcPr>
            <w:tcW w:w="3485" w:type="dxa"/>
          </w:tcPr>
          <w:p w14:paraId="7384089C" w14:textId="77777777" w:rsidR="00F36ECF" w:rsidRPr="00E5017F" w:rsidRDefault="00F36ECF" w:rsidP="00E440AB">
            <w:pPr>
              <w:pStyle w:val="Tablecontent"/>
            </w:pPr>
            <w:r w:rsidRPr="00E5017F">
              <w:rPr>
                <w:rFonts w:eastAsiaTheme="minorHAnsi"/>
                <w:lang w:val="en-SG" w:eastAsia="en-GB"/>
              </w:rPr>
              <w:t>It helps you establish the SLA while everyone is still happy</w:t>
            </w:r>
            <w:r>
              <w:rPr>
                <w:rFonts w:eastAsiaTheme="minorHAnsi"/>
                <w:lang w:val="en-SG" w:eastAsia="en-GB"/>
              </w:rPr>
              <w:t>.</w:t>
            </w:r>
          </w:p>
        </w:tc>
        <w:tc>
          <w:tcPr>
            <w:tcW w:w="3485" w:type="dxa"/>
          </w:tcPr>
          <w:p w14:paraId="2B4B3039" w14:textId="77777777" w:rsidR="00F36ECF" w:rsidRDefault="00F36ECF" w:rsidP="00E440AB">
            <w:pPr>
              <w:pStyle w:val="Tablecontent"/>
            </w:pPr>
            <w:r w:rsidRPr="00AD2476">
              <w:t>It shows how bad the situation is, and how much improvement is needed. This can help in justifying additional capacity</w:t>
            </w:r>
          </w:p>
        </w:tc>
        <w:tc>
          <w:tcPr>
            <w:tcW w:w="3486" w:type="dxa"/>
          </w:tcPr>
          <w:p w14:paraId="7E85D5BE" w14:textId="77777777" w:rsidR="00F36ECF" w:rsidRDefault="00F36ECF" w:rsidP="00E440AB">
            <w:pPr>
              <w:pStyle w:val="Tablecontent"/>
            </w:pPr>
            <w:r w:rsidRPr="002D3FC3">
              <w:rPr>
                <w:rFonts w:eastAsiaTheme="minorHAnsi"/>
                <w:lang w:val="en-SG" w:eastAsia="en-GB"/>
              </w:rPr>
              <w:t>Profiling brings up these facts to facilitate discussion to get everyone agree on the same SLA, because it’s a shared platform</w:t>
            </w:r>
          </w:p>
        </w:tc>
      </w:tr>
    </w:tbl>
    <w:p w14:paraId="2FAE6933" w14:textId="77777777" w:rsidR="00F36ECF" w:rsidRDefault="00F36ECF" w:rsidP="00F36ECF">
      <w:bookmarkStart w:id="26" w:name="_Depth_vs_Breadth_1"/>
      <w:bookmarkStart w:id="27" w:name="_Leading_Indicators"/>
      <w:bookmarkEnd w:id="26"/>
      <w:bookmarkEnd w:id="27"/>
      <w:r w:rsidRPr="003310DB">
        <w:t>This is why education is important.</w:t>
      </w:r>
      <w:r>
        <w:t xml:space="preserve"> As you have promised to serve everyone well, you need to have a threshold that works with 99% of your customers, and not 98%. While 100% is a better target, it’s also far more expensive.</w:t>
      </w:r>
    </w:p>
    <w:p w14:paraId="3A79BA77" w14:textId="350C3D70" w:rsidR="00F36ECF" w:rsidRPr="00F36ECF" w:rsidRDefault="00F36ECF" w:rsidP="00AC6E1E">
      <w:pPr>
        <w:pStyle w:val="Heading4"/>
      </w:pPr>
      <w:r>
        <w:t>Methodology</w:t>
      </w:r>
    </w:p>
    <w:p w14:paraId="28687B8D" w14:textId="2BBFBD00" w:rsidR="00E64A50" w:rsidRDefault="00FB1FCE" w:rsidP="009068EC">
      <w:r>
        <w:t>Now that we know the value and pu</w:t>
      </w:r>
      <w:r w:rsidR="00A37EA5">
        <w:t>r</w:t>
      </w:r>
      <w:r>
        <w:t>pose</w:t>
      </w:r>
      <w:r w:rsidR="00E91881">
        <w:t>, let’s discuss h</w:t>
      </w:r>
      <w:r w:rsidR="009068EC">
        <w:t xml:space="preserve">ow </w:t>
      </w:r>
      <w:r w:rsidR="00E91881">
        <w:t>to implement it.</w:t>
      </w:r>
      <w:r w:rsidR="00E13680">
        <w:t xml:space="preserve"> The following flowchart shows </w:t>
      </w:r>
      <w:r w:rsidR="00F02BEC">
        <w:t>the overall process</w:t>
      </w:r>
    </w:p>
    <w:p w14:paraId="6B11AA87" w14:textId="17B57C26" w:rsidR="00A14EBC" w:rsidRDefault="00A14EBC" w:rsidP="009068EC">
      <w:r w:rsidRPr="00DB15A2">
        <w:rPr>
          <w:noProof/>
        </w:rPr>
        <w:drawing>
          <wp:inline distT="0" distB="0" distL="0" distR="0" wp14:anchorId="28687614" wp14:editId="73F8FA03">
            <wp:extent cx="6645910" cy="2691130"/>
            <wp:effectExtent l="0" t="0" r="2540" b="0"/>
            <wp:docPr id="1293284809" name="Picture 129328480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agram&#10;&#10;Description automatically generated"/>
                    <pic:cNvPicPr/>
                  </pic:nvPicPr>
                  <pic:blipFill>
                    <a:blip r:embed="rId123"/>
                    <a:stretch>
                      <a:fillRect/>
                    </a:stretch>
                  </pic:blipFill>
                  <pic:spPr>
                    <a:xfrm>
                      <a:off x="0" y="0"/>
                      <a:ext cx="6645910" cy="2691130"/>
                    </a:xfrm>
                    <a:prstGeom prst="rect">
                      <a:avLst/>
                    </a:prstGeom>
                  </pic:spPr>
                </pic:pic>
              </a:graphicData>
            </a:graphic>
          </wp:inline>
        </w:drawing>
      </w:r>
    </w:p>
    <w:p w14:paraId="1E349C27" w14:textId="0E3A3BB8" w:rsidR="00F02BEC" w:rsidRDefault="00F02BEC" w:rsidP="009068EC">
      <w:r>
        <w:lastRenderedPageBreak/>
        <w:t xml:space="preserve">Do you have a performance SLA </w:t>
      </w:r>
      <w:r w:rsidR="009920C7">
        <w:t xml:space="preserve">implemented? </w:t>
      </w:r>
    </w:p>
    <w:p w14:paraId="4A2FFDDA" w14:textId="77777777" w:rsidR="005A0F5E" w:rsidRDefault="009920C7" w:rsidP="009068EC">
      <w:r>
        <w:t xml:space="preserve">If yes, that’s great! </w:t>
      </w:r>
    </w:p>
    <w:p w14:paraId="463AB1EF" w14:textId="7F4FC7C1" w:rsidR="004E77E2" w:rsidRDefault="009718B5" w:rsidP="00E440AB">
      <w:pPr>
        <w:pStyle w:val="Bullet"/>
      </w:pPr>
      <w:r>
        <w:t>Do you get complain from your customers? If yes, go back and follow the no performance SLA flow.</w:t>
      </w:r>
    </w:p>
    <w:p w14:paraId="57011CDB" w14:textId="1088CA64" w:rsidR="00752D49" w:rsidRDefault="009718B5" w:rsidP="00E440AB">
      <w:pPr>
        <w:pStyle w:val="Bullet"/>
      </w:pPr>
      <w:r>
        <w:t xml:space="preserve">If there is no complaint, </w:t>
      </w:r>
      <w:r w:rsidR="009776C5">
        <w:t xml:space="preserve">how is your actual SLA compared with your </w:t>
      </w:r>
      <w:r w:rsidR="00604506">
        <w:t xml:space="preserve">contractual </w:t>
      </w:r>
      <w:r w:rsidR="009776C5">
        <w:t>SLA?</w:t>
      </w:r>
      <w:r w:rsidR="00604506">
        <w:t xml:space="preserve"> </w:t>
      </w:r>
      <w:r w:rsidR="00752D49">
        <w:t>The first o</w:t>
      </w:r>
      <w:r w:rsidR="00604506">
        <w:t>ne is what was actually delivered</w:t>
      </w:r>
      <w:r w:rsidR="005E26FB">
        <w:t xml:space="preserve"> in your DC</w:t>
      </w:r>
      <w:r w:rsidR="00604506">
        <w:t>, while the contract is just a promise</w:t>
      </w:r>
      <w:r w:rsidR="00752D49">
        <w:t xml:space="preserve"> written</w:t>
      </w:r>
      <w:r w:rsidR="005E26FB">
        <w:t xml:space="preserve"> </w:t>
      </w:r>
      <w:r w:rsidR="00752D49">
        <w:t>on a piece of paper</w:t>
      </w:r>
      <w:r w:rsidR="00604506">
        <w:t xml:space="preserve">. </w:t>
      </w:r>
    </w:p>
    <w:p w14:paraId="4584B3E3" w14:textId="30699783" w:rsidR="009920C7" w:rsidRDefault="009776C5" w:rsidP="00E440AB">
      <w:pPr>
        <w:pStyle w:val="Bullet"/>
      </w:pPr>
      <w:r>
        <w:t>H</w:t>
      </w:r>
      <w:r w:rsidR="009718B5">
        <w:t>ow is your promised SLA compared with industry best practices?</w:t>
      </w:r>
      <w:r w:rsidR="00752D49">
        <w:t xml:space="preserve"> </w:t>
      </w:r>
      <w:r w:rsidR="008811C3">
        <w:t>If there is a room for improvement that both your customers want and your management supports</w:t>
      </w:r>
      <w:r w:rsidR="004718B6">
        <w:t>, then it’s worth looking at the system and process to improve it. This may result in a technology refresh, reducing your cost while increasing both capability (</w:t>
      </w:r>
      <w:r w:rsidR="00F35B3D">
        <w:t xml:space="preserve">availability, </w:t>
      </w:r>
      <w:r w:rsidR="004718B6">
        <w:t>performance</w:t>
      </w:r>
      <w:r w:rsidR="00F35B3D">
        <w:t xml:space="preserve">, </w:t>
      </w:r>
      <w:r w:rsidR="004718B6">
        <w:t>capacity</w:t>
      </w:r>
      <w:r w:rsidR="00F35B3D">
        <w:t xml:space="preserve">, and compliance). </w:t>
      </w:r>
    </w:p>
    <w:p w14:paraId="30344F99" w14:textId="2C6CD103" w:rsidR="00F35B3D" w:rsidRDefault="00F35B3D" w:rsidP="009068EC">
      <w:r>
        <w:t xml:space="preserve">If no, then </w:t>
      </w:r>
      <w:r w:rsidR="004E41D0">
        <w:t>how do you set</w:t>
      </w:r>
      <w:r w:rsidR="005E26FB">
        <w:t>? There are 3 factors to consider</w:t>
      </w:r>
      <w:r w:rsidR="00276049">
        <w:t>:</w:t>
      </w:r>
    </w:p>
    <w:p w14:paraId="693D6860" w14:textId="77777777" w:rsidR="00276049" w:rsidRDefault="00276049" w:rsidP="00276049">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05"/>
        <w:gridCol w:w="8751"/>
      </w:tblGrid>
      <w:tr w:rsidR="00276049" w14:paraId="32E91D77" w14:textId="77777777" w:rsidTr="00E440AB">
        <w:tc>
          <w:tcPr>
            <w:tcW w:w="1705" w:type="dxa"/>
            <w:shd w:val="clear" w:color="auto" w:fill="F2F2F2" w:themeFill="background1" w:themeFillShade="F2"/>
          </w:tcPr>
          <w:p w14:paraId="73DA209A" w14:textId="7F4D6F4B" w:rsidR="00276049" w:rsidRPr="008D1CFA" w:rsidRDefault="00276049" w:rsidP="00E440AB">
            <w:pPr>
              <w:pStyle w:val="Tablecontent"/>
              <w:rPr>
                <w:b/>
                <w:bCs/>
              </w:rPr>
            </w:pPr>
            <w:r w:rsidRPr="008D1CFA">
              <w:rPr>
                <w:b/>
                <w:bCs/>
              </w:rPr>
              <w:t>Complaint</w:t>
            </w:r>
          </w:p>
        </w:tc>
        <w:tc>
          <w:tcPr>
            <w:tcW w:w="8751" w:type="dxa"/>
          </w:tcPr>
          <w:p w14:paraId="0E3BC7C4" w14:textId="77777777" w:rsidR="00276049" w:rsidRDefault="00276049" w:rsidP="00E440AB">
            <w:pPr>
              <w:pStyle w:val="Tablecontent"/>
            </w:pPr>
            <w:r>
              <w:t>This gives the relative number, as complaint is subject to the person giving the complaint. Different people have different tolerance when it comes to how slow a system is.</w:t>
            </w:r>
          </w:p>
          <w:p w14:paraId="4F574050" w14:textId="77777777" w:rsidR="00276049" w:rsidRDefault="00276049" w:rsidP="00E440AB">
            <w:pPr>
              <w:pStyle w:val="Tablecontent"/>
            </w:pPr>
            <w:r>
              <w:t>This is the most time consuming, as most of the time there is neither data nor analysis. You might have to interview the actual users one by one.</w:t>
            </w:r>
            <w:r w:rsidR="008D1CFA">
              <w:t xml:space="preserve"> In some political cases, you will need to get the business users, the application developers and the infrastructure team in a room or zoom.</w:t>
            </w:r>
            <w:r>
              <w:t xml:space="preserve"> </w:t>
            </w:r>
          </w:p>
          <w:p w14:paraId="1221B9FF" w14:textId="3B6397BD" w:rsidR="009300B0" w:rsidRDefault="009300B0" w:rsidP="00E440AB">
            <w:pPr>
              <w:pStyle w:val="Tablecontent"/>
            </w:pPr>
            <w:r>
              <w:t xml:space="preserve">Compile the list of actual complaints. Analyse each complaint to ensure the problem is indeed with the infrastructure (and not application-level issue). If it is due to infrastructure, write down </w:t>
            </w:r>
            <w:r w:rsidRPr="00543975">
              <w:rPr>
                <w:i/>
                <w:iCs/>
                <w:color w:val="00B0F0"/>
              </w:rPr>
              <w:t>the actual</w:t>
            </w:r>
            <w:r w:rsidRPr="00543975">
              <w:rPr>
                <w:color w:val="00B0F0"/>
              </w:rPr>
              <w:t xml:space="preserve"> </w:t>
            </w:r>
            <w:r>
              <w:t>metric or event that prove the problem.</w:t>
            </w:r>
          </w:p>
        </w:tc>
      </w:tr>
      <w:tr w:rsidR="00276049" w14:paraId="06E1B334" w14:textId="77777777" w:rsidTr="00E440AB">
        <w:tc>
          <w:tcPr>
            <w:tcW w:w="1705" w:type="dxa"/>
            <w:shd w:val="clear" w:color="auto" w:fill="F2F2F2" w:themeFill="background1" w:themeFillShade="F2"/>
          </w:tcPr>
          <w:p w14:paraId="40B1891B" w14:textId="6D757170" w:rsidR="00276049" w:rsidRPr="008D1CFA" w:rsidRDefault="00276049" w:rsidP="00E440AB">
            <w:pPr>
              <w:pStyle w:val="Tablecontent"/>
              <w:rPr>
                <w:b/>
                <w:bCs/>
              </w:rPr>
            </w:pPr>
            <w:r w:rsidRPr="008D1CFA">
              <w:rPr>
                <w:b/>
                <w:bCs/>
              </w:rPr>
              <w:t>Actual</w:t>
            </w:r>
          </w:p>
        </w:tc>
        <w:tc>
          <w:tcPr>
            <w:tcW w:w="8751" w:type="dxa"/>
          </w:tcPr>
          <w:p w14:paraId="5D9C3808" w14:textId="77777777" w:rsidR="00276049" w:rsidRDefault="00276049" w:rsidP="00E440AB">
            <w:pPr>
              <w:pStyle w:val="Tablecontent"/>
            </w:pPr>
            <w:r>
              <w:t xml:space="preserve">This gives the absolute number, as it’s based on actual number. </w:t>
            </w:r>
          </w:p>
          <w:p w14:paraId="75E5AB18" w14:textId="55DBBEBB" w:rsidR="00276049" w:rsidRDefault="00276049" w:rsidP="00E440AB">
            <w:pPr>
              <w:pStyle w:val="Tablecontent"/>
            </w:pPr>
            <w:r>
              <w:t>This number should be based on the 20-second peak</w:t>
            </w:r>
            <w:r w:rsidR="008D1CFA">
              <w:t>, as the 5-minute average is not sufficient.</w:t>
            </w:r>
          </w:p>
        </w:tc>
      </w:tr>
      <w:tr w:rsidR="00276049" w14:paraId="501D99EB" w14:textId="77777777" w:rsidTr="00E440AB">
        <w:tc>
          <w:tcPr>
            <w:tcW w:w="1705" w:type="dxa"/>
            <w:shd w:val="clear" w:color="auto" w:fill="F2F2F2" w:themeFill="background1" w:themeFillShade="F2"/>
          </w:tcPr>
          <w:p w14:paraId="73006839" w14:textId="17875E5A" w:rsidR="00276049" w:rsidRPr="008D1CFA" w:rsidRDefault="00276049" w:rsidP="00E440AB">
            <w:pPr>
              <w:pStyle w:val="Tablecontent"/>
              <w:rPr>
                <w:b/>
                <w:bCs/>
              </w:rPr>
            </w:pPr>
            <w:r w:rsidRPr="008D1CFA">
              <w:rPr>
                <w:b/>
                <w:bCs/>
              </w:rPr>
              <w:t>Best Practice</w:t>
            </w:r>
          </w:p>
        </w:tc>
        <w:tc>
          <w:tcPr>
            <w:tcW w:w="8751" w:type="dxa"/>
          </w:tcPr>
          <w:p w14:paraId="71AB3503" w14:textId="656C348D" w:rsidR="00276049" w:rsidRDefault="00276049" w:rsidP="00E440AB">
            <w:pPr>
              <w:pStyle w:val="Tablecontent"/>
            </w:pPr>
            <w:r>
              <w:t>This comes from the makers of the product. For example, Microsoft has a guideline for disk latency for its SQL Server database</w:t>
            </w:r>
          </w:p>
        </w:tc>
      </w:tr>
    </w:tbl>
    <w:p w14:paraId="72644839" w14:textId="4C67B2C4" w:rsidR="00CA690F" w:rsidRDefault="00CA690F" w:rsidP="00276049">
      <w:pPr>
        <w:pStyle w:val="Heading5"/>
      </w:pPr>
      <w:r>
        <w:t>Outcome</w:t>
      </w:r>
    </w:p>
    <w:p w14:paraId="4141E909" w14:textId="11B64620" w:rsidR="00CA690F" w:rsidRPr="00CA690F" w:rsidRDefault="00CA690F" w:rsidP="00CA690F">
      <w:pPr>
        <w:rPr>
          <w:lang w:val="en-GB"/>
        </w:rPr>
      </w:pPr>
      <w:r>
        <w:rPr>
          <w:lang w:val="en-GB"/>
        </w:rPr>
        <w:t>What are the possible outcomes of the analysis?</w:t>
      </w:r>
      <w:r w:rsidR="00975236">
        <w:rPr>
          <w:lang w:val="en-GB"/>
        </w:rPr>
        <w:t xml:space="preserve"> There are 1 – 4 action items you can do. The action “</w:t>
      </w:r>
      <w:r w:rsidR="00975236" w:rsidRPr="00AF0DB3">
        <w:rPr>
          <w:color w:val="00B0F0"/>
          <w:lang w:val="en-GB"/>
        </w:rPr>
        <w:t>align with best practice</w:t>
      </w:r>
      <w:r w:rsidR="00975236">
        <w:rPr>
          <w:lang w:val="en-GB"/>
        </w:rPr>
        <w:t xml:space="preserve">” include configuration changes, design changes and version upgrade. </w:t>
      </w:r>
    </w:p>
    <w:p w14:paraId="3862B568" w14:textId="4149C39E" w:rsidR="00CA690F" w:rsidRDefault="00345BB4" w:rsidP="00CA690F">
      <w:pPr>
        <w:rPr>
          <w:lang w:val="en-GB"/>
        </w:rPr>
      </w:pPr>
      <w:r w:rsidRPr="00345BB4">
        <w:rPr>
          <w:noProof/>
          <w:lang w:val="en-GB"/>
        </w:rPr>
        <w:lastRenderedPageBreak/>
        <w:drawing>
          <wp:inline distT="0" distB="0" distL="0" distR="0" wp14:anchorId="45E25F96" wp14:editId="577CEE24">
            <wp:extent cx="6645910" cy="3471545"/>
            <wp:effectExtent l="0" t="0" r="2540" b="0"/>
            <wp:docPr id="1525330276" name="Picture 1525330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645910" cy="3471545"/>
                    </a:xfrm>
                    <a:prstGeom prst="rect">
                      <a:avLst/>
                    </a:prstGeom>
                  </pic:spPr>
                </pic:pic>
              </a:graphicData>
            </a:graphic>
          </wp:inline>
        </w:drawing>
      </w:r>
    </w:p>
    <w:p w14:paraId="554B787D" w14:textId="439D6564" w:rsidR="00345BB4" w:rsidRDefault="00345BB4" w:rsidP="00CA690F">
      <w:pPr>
        <w:rPr>
          <w:lang w:val="en-GB"/>
        </w:rPr>
      </w:pPr>
      <w:r>
        <w:rPr>
          <w:lang w:val="en-GB"/>
        </w:rPr>
        <w:t xml:space="preserve">What if you have no complaint and the profiling proves the performance is good? </w:t>
      </w:r>
    </w:p>
    <w:p w14:paraId="5C3EEA1F" w14:textId="2EBFC2D8" w:rsidR="00345BB4" w:rsidRDefault="00345BB4" w:rsidP="00CA690F">
      <w:pPr>
        <w:rPr>
          <w:lang w:val="en-GB"/>
        </w:rPr>
      </w:pPr>
      <w:r>
        <w:rPr>
          <w:lang w:val="en-GB"/>
        </w:rPr>
        <w:t>That’s certainly a good news. It is the i</w:t>
      </w:r>
      <w:r w:rsidRPr="00345BB4">
        <w:rPr>
          <w:lang w:val="en-GB"/>
        </w:rPr>
        <w:t>deal situation</w:t>
      </w:r>
      <w:r>
        <w:rPr>
          <w:lang w:val="en-GB"/>
        </w:rPr>
        <w:t xml:space="preserve"> and y</w:t>
      </w:r>
      <w:r w:rsidRPr="00345BB4">
        <w:rPr>
          <w:lang w:val="en-GB"/>
        </w:rPr>
        <w:t>ou may not have to do anything.</w:t>
      </w:r>
      <w:r w:rsidR="00151B4D">
        <w:rPr>
          <w:lang w:val="en-GB"/>
        </w:rPr>
        <w:t xml:space="preserve"> However, make sure you set expectation at the right level (and not too high).</w:t>
      </w:r>
      <w:r w:rsidRPr="00345BB4">
        <w:rPr>
          <w:lang w:val="en-GB"/>
        </w:rPr>
        <w:t xml:space="preserve"> </w:t>
      </w:r>
    </w:p>
    <w:p w14:paraId="084779FC" w14:textId="429E9F8B" w:rsidR="00345BB4" w:rsidRPr="00CA690F" w:rsidRDefault="00345BB4" w:rsidP="00CA690F">
      <w:pPr>
        <w:rPr>
          <w:lang w:val="en-GB"/>
        </w:rPr>
      </w:pPr>
      <w:r>
        <w:rPr>
          <w:lang w:val="en-GB"/>
        </w:rPr>
        <w:t>Proactively, c</w:t>
      </w:r>
      <w:r w:rsidRPr="00345BB4">
        <w:rPr>
          <w:lang w:val="en-GB"/>
        </w:rPr>
        <w:t xml:space="preserve">heck if present both performance &amp; capacity are enough for future demand. </w:t>
      </w:r>
    </w:p>
    <w:p w14:paraId="2D835B7D" w14:textId="7F908512" w:rsidR="004E41D0" w:rsidRDefault="00276049" w:rsidP="00276049">
      <w:pPr>
        <w:pStyle w:val="Heading5"/>
      </w:pPr>
      <w:r>
        <w:t>Complaint Analysis</w:t>
      </w:r>
    </w:p>
    <w:p w14:paraId="664DFBCC" w14:textId="2F1F6ADC" w:rsidR="008D1CFA" w:rsidRDefault="008D1CFA" w:rsidP="008D1CFA">
      <w:pPr>
        <w:rPr>
          <w:lang w:val="en-GB"/>
        </w:rPr>
      </w:pPr>
      <w:r>
        <w:rPr>
          <w:lang w:val="en-GB"/>
        </w:rPr>
        <w:t xml:space="preserve">Why do we start with complaint? </w:t>
      </w:r>
    </w:p>
    <w:p w14:paraId="6353508A" w14:textId="71435A58" w:rsidR="008D1CFA" w:rsidRPr="008D1CFA" w:rsidRDefault="008D1CFA" w:rsidP="008D1CFA">
      <w:pPr>
        <w:rPr>
          <w:lang w:val="en-GB"/>
        </w:rPr>
      </w:pPr>
      <w:r>
        <w:rPr>
          <w:lang w:val="en-GB"/>
        </w:rPr>
        <w:t xml:space="preserve">Because this is what the business experience. </w:t>
      </w:r>
    </w:p>
    <w:p w14:paraId="2D0BD9EF" w14:textId="20DB8760" w:rsidR="00276049" w:rsidRDefault="00276049" w:rsidP="00276049">
      <w:pPr>
        <w:rPr>
          <w:lang w:val="en-GB"/>
        </w:rPr>
      </w:pPr>
      <w:r>
        <w:rPr>
          <w:lang w:val="en-GB"/>
        </w:rPr>
        <w:t xml:space="preserve">End users normally complaint on 2 types of problems: </w:t>
      </w:r>
    </w:p>
    <w:p w14:paraId="20E52087" w14:textId="3FEC459D" w:rsidR="00276049" w:rsidRDefault="00276049" w:rsidP="00276049">
      <w:pPr>
        <w:pStyle w:val="Bullet"/>
        <w:rPr>
          <w:lang w:val="en-GB"/>
        </w:rPr>
      </w:pPr>
      <w:r>
        <w:rPr>
          <w:lang w:val="en-GB"/>
        </w:rPr>
        <w:t xml:space="preserve">The system is </w:t>
      </w:r>
      <w:r w:rsidR="009300B0">
        <w:rPr>
          <w:lang w:val="en-GB"/>
        </w:rPr>
        <w:t>down</w:t>
      </w:r>
      <w:r>
        <w:rPr>
          <w:lang w:val="en-GB"/>
        </w:rPr>
        <w:t>. This is easier to confirm as the proof is clear. You typically have log files too.</w:t>
      </w:r>
    </w:p>
    <w:p w14:paraId="3C628D9E" w14:textId="002AF662" w:rsidR="00276049" w:rsidRDefault="00276049" w:rsidP="00276049">
      <w:pPr>
        <w:pStyle w:val="Bullet"/>
        <w:rPr>
          <w:lang w:val="en-GB"/>
        </w:rPr>
      </w:pPr>
      <w:r>
        <w:rPr>
          <w:lang w:val="en-GB"/>
        </w:rPr>
        <w:t xml:space="preserve">The system is </w:t>
      </w:r>
      <w:r w:rsidR="009300B0">
        <w:rPr>
          <w:lang w:val="en-GB"/>
        </w:rPr>
        <w:t>slow</w:t>
      </w:r>
      <w:r>
        <w:rPr>
          <w:lang w:val="en-GB"/>
        </w:rPr>
        <w:t xml:space="preserve">. This is much harder as it’s subjective. </w:t>
      </w:r>
    </w:p>
    <w:p w14:paraId="7749A890" w14:textId="01F8DC97" w:rsidR="00276049" w:rsidRDefault="00276049" w:rsidP="00276049">
      <w:pPr>
        <w:rPr>
          <w:lang w:val="en-GB"/>
        </w:rPr>
      </w:pPr>
      <w:r>
        <w:rPr>
          <w:lang w:val="en-GB"/>
        </w:rPr>
        <w:t>They don’t normally complain about the system is not secured.</w:t>
      </w:r>
    </w:p>
    <w:p w14:paraId="43332CB3" w14:textId="1224387E" w:rsidR="00276049" w:rsidRDefault="00276049" w:rsidP="00276049">
      <w:pPr>
        <w:rPr>
          <w:lang w:val="en-GB"/>
        </w:rPr>
      </w:pPr>
      <w:r>
        <w:rPr>
          <w:lang w:val="en-GB"/>
        </w:rPr>
        <w:t>The problems above can be major or minor. Major problems are easier to analyze, and they tend to be reproducible. You have many users, or many applications, or many VMs affected over long period of time. In this case, the problem is likely something common, and you can see the metrics.</w:t>
      </w:r>
    </w:p>
    <w:p w14:paraId="12980109" w14:textId="70FE69AC" w:rsidR="00276049" w:rsidRDefault="00276049" w:rsidP="00276049">
      <w:pPr>
        <w:rPr>
          <w:lang w:val="en-GB"/>
        </w:rPr>
      </w:pPr>
      <w:r>
        <w:rPr>
          <w:lang w:val="en-GB"/>
        </w:rPr>
        <w:t>Minor problem is hard to analyze. You likely need to interview the actual user. When you do, gather the following</w:t>
      </w:r>
    </w:p>
    <w:p w14:paraId="023FA245" w14:textId="77777777" w:rsidR="00276049" w:rsidRPr="00276049" w:rsidRDefault="00276049" w:rsidP="00276049">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05"/>
        <w:gridCol w:w="8751"/>
      </w:tblGrid>
      <w:tr w:rsidR="00490AA0" w14:paraId="500F09C3" w14:textId="77777777" w:rsidTr="00E440AB">
        <w:tc>
          <w:tcPr>
            <w:tcW w:w="1705" w:type="dxa"/>
            <w:shd w:val="clear" w:color="auto" w:fill="F2F2F2" w:themeFill="background1" w:themeFillShade="F2"/>
          </w:tcPr>
          <w:p w14:paraId="6CADE68D" w14:textId="75038058" w:rsidR="00490AA0" w:rsidRPr="005E075B" w:rsidRDefault="00490AA0" w:rsidP="00E440AB">
            <w:pPr>
              <w:pStyle w:val="Tablecontent"/>
              <w:rPr>
                <w:b/>
                <w:bCs/>
              </w:rPr>
            </w:pPr>
            <w:r>
              <w:rPr>
                <w:b/>
                <w:bCs/>
              </w:rPr>
              <w:t>Time</w:t>
            </w:r>
          </w:p>
        </w:tc>
        <w:tc>
          <w:tcPr>
            <w:tcW w:w="8751" w:type="dxa"/>
          </w:tcPr>
          <w:p w14:paraId="202895FF" w14:textId="1884B0A4" w:rsidR="00490AA0" w:rsidRDefault="00490AA0" w:rsidP="00E440AB">
            <w:pPr>
              <w:pStyle w:val="Tablecontent"/>
            </w:pPr>
            <w:r>
              <w:t>This is not the time</w:t>
            </w:r>
            <w:r w:rsidR="00D912D2">
              <w:t xml:space="preserve"> the </w:t>
            </w:r>
            <w:r>
              <w:t>complaint</w:t>
            </w:r>
            <w:r w:rsidR="00D912D2">
              <w:t xml:space="preserve"> was lodged</w:t>
            </w:r>
            <w:r>
              <w:t xml:space="preserve">, but the time the </w:t>
            </w:r>
            <w:r w:rsidR="00D912D2">
              <w:t xml:space="preserve">problem actually happened. For example, the </w:t>
            </w:r>
            <w:r w:rsidR="00B14076">
              <w:t>developer may complain</w:t>
            </w:r>
            <w:r w:rsidR="0010336A">
              <w:t xml:space="preserve"> at 12:34 pm that her application was slowed at 09:</w:t>
            </w:r>
            <w:r w:rsidR="00D923C7">
              <w:t xml:space="preserve">51 am, and it lasted 14 minutes. </w:t>
            </w:r>
          </w:p>
        </w:tc>
      </w:tr>
      <w:tr w:rsidR="00D912D2" w14:paraId="2AD58868" w14:textId="77777777" w:rsidTr="00E440AB">
        <w:tc>
          <w:tcPr>
            <w:tcW w:w="1705" w:type="dxa"/>
            <w:shd w:val="clear" w:color="auto" w:fill="F2F2F2" w:themeFill="background1" w:themeFillShade="F2"/>
          </w:tcPr>
          <w:p w14:paraId="3F9A7AED" w14:textId="0F6C48FE" w:rsidR="00D912D2" w:rsidRDefault="00D912D2" w:rsidP="00E440AB">
            <w:pPr>
              <w:pStyle w:val="Tablecontent"/>
              <w:rPr>
                <w:b/>
                <w:bCs/>
              </w:rPr>
            </w:pPr>
            <w:r>
              <w:rPr>
                <w:b/>
                <w:bCs/>
              </w:rPr>
              <w:lastRenderedPageBreak/>
              <w:t>VM</w:t>
            </w:r>
          </w:p>
        </w:tc>
        <w:tc>
          <w:tcPr>
            <w:tcW w:w="8751" w:type="dxa"/>
          </w:tcPr>
          <w:p w14:paraId="246AA8AC" w14:textId="4906AF30" w:rsidR="00D912D2" w:rsidRDefault="00D923C7" w:rsidP="00E440AB">
            <w:pPr>
              <w:pStyle w:val="Tablecontent"/>
            </w:pPr>
            <w:r>
              <w:t>The VM affected</w:t>
            </w:r>
            <w:r w:rsidR="00D001BC">
              <w:t>. Ideally, this was analyzed by developer as the VM causing the problem, not the VM receiving the problem.</w:t>
            </w:r>
          </w:p>
        </w:tc>
      </w:tr>
      <w:tr w:rsidR="005E26FB" w14:paraId="68DC1B9D" w14:textId="77777777" w:rsidTr="00E440AB">
        <w:tc>
          <w:tcPr>
            <w:tcW w:w="1705" w:type="dxa"/>
            <w:shd w:val="clear" w:color="auto" w:fill="F2F2F2" w:themeFill="background1" w:themeFillShade="F2"/>
          </w:tcPr>
          <w:p w14:paraId="5184133D" w14:textId="28CDDAA0" w:rsidR="005E26FB" w:rsidRDefault="005E26FB" w:rsidP="00E440AB">
            <w:pPr>
              <w:pStyle w:val="Tablecontent"/>
              <w:rPr>
                <w:b/>
                <w:bCs/>
              </w:rPr>
            </w:pPr>
            <w:r>
              <w:rPr>
                <w:b/>
                <w:bCs/>
              </w:rPr>
              <w:t>Analysis</w:t>
            </w:r>
          </w:p>
        </w:tc>
        <w:tc>
          <w:tcPr>
            <w:tcW w:w="8751" w:type="dxa"/>
          </w:tcPr>
          <w:p w14:paraId="52E2FBA0" w14:textId="335C9679" w:rsidR="005E26FB" w:rsidRDefault="00923E2B" w:rsidP="00E440AB">
            <w:pPr>
              <w:pStyle w:val="Tablecontent"/>
            </w:pPr>
            <w:r>
              <w:t xml:space="preserve">What is the root cause? </w:t>
            </w:r>
            <w:r w:rsidR="00F54833">
              <w:t xml:space="preserve">If the actual cause is not </w:t>
            </w:r>
            <w:r w:rsidR="00175D8A">
              <w:t xml:space="preserve">directly related </w:t>
            </w:r>
            <w:r w:rsidR="00F54833">
              <w:t>to the symptom</w:t>
            </w:r>
            <w:r w:rsidR="00175D8A">
              <w:t>, it needs to be explained as it becomes less convincing.</w:t>
            </w:r>
          </w:p>
        </w:tc>
      </w:tr>
      <w:tr w:rsidR="009C372B" w14:paraId="35A18764" w14:textId="77777777" w:rsidTr="00E440AB">
        <w:tc>
          <w:tcPr>
            <w:tcW w:w="1705" w:type="dxa"/>
            <w:shd w:val="clear" w:color="auto" w:fill="F2F2F2" w:themeFill="background1" w:themeFillShade="F2"/>
          </w:tcPr>
          <w:p w14:paraId="64F4DB3F" w14:textId="290733C5" w:rsidR="009C372B" w:rsidRDefault="009C372B" w:rsidP="00E440AB">
            <w:pPr>
              <w:pStyle w:val="Tablecontent"/>
              <w:rPr>
                <w:b/>
                <w:bCs/>
              </w:rPr>
            </w:pPr>
            <w:r>
              <w:rPr>
                <w:b/>
                <w:bCs/>
              </w:rPr>
              <w:t>Proof</w:t>
            </w:r>
          </w:p>
        </w:tc>
        <w:tc>
          <w:tcPr>
            <w:tcW w:w="8751" w:type="dxa"/>
          </w:tcPr>
          <w:p w14:paraId="2F4E285B" w14:textId="77777777" w:rsidR="009C372B" w:rsidRDefault="00923E2B" w:rsidP="00E440AB">
            <w:pPr>
              <w:pStyle w:val="Tablecontent"/>
            </w:pPr>
            <w:r>
              <w:t xml:space="preserve">What’s the </w:t>
            </w:r>
            <w:r w:rsidR="00175D8A">
              <w:t xml:space="preserve">metric or event that prove that the root cause was </w:t>
            </w:r>
            <w:r w:rsidR="00960E09">
              <w:t xml:space="preserve">indeed </w:t>
            </w:r>
            <w:r w:rsidR="00175D8A">
              <w:t>correct</w:t>
            </w:r>
            <w:r w:rsidR="00960E09">
              <w:t xml:space="preserve">? The acid test is alert. </w:t>
            </w:r>
            <w:r w:rsidR="006C154E">
              <w:t xml:space="preserve">The expectation from senior management is </w:t>
            </w:r>
            <w:r w:rsidR="00564A15">
              <w:t xml:space="preserve">if the same problem happens again, you know right away. How can you know it right away? The alert. You set up an alert to trap the root cause. </w:t>
            </w:r>
          </w:p>
          <w:p w14:paraId="208BFE25" w14:textId="6FE85866" w:rsidR="00564A15" w:rsidRDefault="00564A15" w:rsidP="00E440AB">
            <w:pPr>
              <w:pStyle w:val="Tablecontent"/>
            </w:pPr>
            <w:r>
              <w:t>If your root-cause alert does not detect the problem, you have not found the root cause.</w:t>
            </w:r>
          </w:p>
        </w:tc>
      </w:tr>
    </w:tbl>
    <w:p w14:paraId="70A78D66" w14:textId="21D24999" w:rsidR="0061775F" w:rsidRDefault="0061775F" w:rsidP="00F009BF">
      <w:pPr>
        <w:pStyle w:val="Heading4"/>
      </w:pPr>
      <w:r>
        <w:t>Consideration</w:t>
      </w:r>
    </w:p>
    <w:p w14:paraId="1B5E2995" w14:textId="7866F7F7" w:rsidR="008143A4" w:rsidRDefault="008143A4" w:rsidP="00F009BF">
      <w:pPr>
        <w:rPr>
          <w:lang w:val="en-GB"/>
        </w:rPr>
      </w:pPr>
      <w:r>
        <w:rPr>
          <w:lang w:val="en-GB"/>
        </w:rPr>
        <w:t>What things must you consider when doing the profiling?</w:t>
      </w:r>
    </w:p>
    <w:p w14:paraId="05F860DA" w14:textId="77777777" w:rsidR="008143A4" w:rsidRPr="008143A4" w:rsidRDefault="008143A4" w:rsidP="00F009BF">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05"/>
        <w:gridCol w:w="8751"/>
      </w:tblGrid>
      <w:tr w:rsidR="00B914A7" w14:paraId="02FED1AC" w14:textId="77777777" w:rsidTr="003C290B">
        <w:tc>
          <w:tcPr>
            <w:tcW w:w="1705" w:type="dxa"/>
            <w:shd w:val="clear" w:color="auto" w:fill="F2F2F2" w:themeFill="background1" w:themeFillShade="F2"/>
          </w:tcPr>
          <w:p w14:paraId="6A66C7EA" w14:textId="68B638AA" w:rsidR="00B914A7" w:rsidRPr="005E075B" w:rsidRDefault="00BB68B2" w:rsidP="00F009BF">
            <w:pPr>
              <w:pStyle w:val="Tablecontent"/>
              <w:rPr>
                <w:b/>
                <w:bCs/>
              </w:rPr>
            </w:pPr>
            <w:r w:rsidRPr="005E075B">
              <w:rPr>
                <w:b/>
                <w:bCs/>
              </w:rPr>
              <w:t>Time</w:t>
            </w:r>
          </w:p>
        </w:tc>
        <w:tc>
          <w:tcPr>
            <w:tcW w:w="8751" w:type="dxa"/>
          </w:tcPr>
          <w:p w14:paraId="0B5B7AF5" w14:textId="54654DF8" w:rsidR="00BB68B2" w:rsidRDefault="00BB68B2" w:rsidP="00F009BF">
            <w:pPr>
              <w:pStyle w:val="Tablecontent"/>
            </w:pPr>
            <w:r>
              <w:t xml:space="preserve">Take the last 3 months data. If you do not have 3 </w:t>
            </w:r>
            <w:r w:rsidR="004B77ED">
              <w:t>months’ worth</w:t>
            </w:r>
            <w:r>
              <w:t xml:space="preserve"> of data, do at least 1 month. This ensures that any peak within that period is not left out. </w:t>
            </w:r>
          </w:p>
          <w:p w14:paraId="04105E50" w14:textId="0318E98B" w:rsidR="00B914A7" w:rsidRDefault="008143A4" w:rsidP="00F009BF">
            <w:pPr>
              <w:pStyle w:val="Tablecontent"/>
            </w:pPr>
            <w:r>
              <w:t xml:space="preserve">On the other hand, there is a risk of comparing 6 months of data. There could be changes in the application, VM or infrastructure. </w:t>
            </w:r>
          </w:p>
        </w:tc>
      </w:tr>
      <w:tr w:rsidR="0071643F" w14:paraId="62B6906F" w14:textId="77777777" w:rsidTr="003C290B">
        <w:tc>
          <w:tcPr>
            <w:tcW w:w="1705" w:type="dxa"/>
            <w:shd w:val="clear" w:color="auto" w:fill="F2F2F2" w:themeFill="background1" w:themeFillShade="F2"/>
          </w:tcPr>
          <w:p w14:paraId="4A2E7DA5" w14:textId="46E4027F" w:rsidR="0071643F" w:rsidRPr="005E075B" w:rsidRDefault="0071643F" w:rsidP="00F009BF">
            <w:pPr>
              <w:pStyle w:val="Tablecontent"/>
              <w:rPr>
                <w:b/>
                <w:bCs/>
              </w:rPr>
            </w:pPr>
            <w:r>
              <w:rPr>
                <w:b/>
                <w:bCs/>
              </w:rPr>
              <w:t>Represent</w:t>
            </w:r>
            <w:r w:rsidR="000355A2">
              <w:rPr>
                <w:b/>
                <w:bCs/>
              </w:rPr>
              <w:t>ation</w:t>
            </w:r>
          </w:p>
        </w:tc>
        <w:tc>
          <w:tcPr>
            <w:tcW w:w="8751" w:type="dxa"/>
          </w:tcPr>
          <w:p w14:paraId="2FABC9DC" w14:textId="24713FE5" w:rsidR="00A354B7" w:rsidRDefault="00A354B7" w:rsidP="00F009BF">
            <w:pPr>
              <w:pStyle w:val="Tablecontent"/>
            </w:pPr>
            <w:r>
              <w:t>Since vRealize Operations stores this counter every 5 minutes, you will have 288 datapoints in a day and 26,298 datapoints in 3 months. Taking the worst among 25+ K data points will likely return you with an outlier. To address it, you take the percentile value. Since there are 26298 data points, I’d recommend you take the 99.9</w:t>
            </w:r>
            <w:r w:rsidRPr="0002206A">
              <w:rPr>
                <w:vertAlign w:val="superscript"/>
              </w:rPr>
              <w:t>th</w:t>
            </w:r>
            <w:r>
              <w:t xml:space="preserve"> percentile, eliminating the worst 26.3 data points. Since each data point is 5 minutes, you eliminate the worst 131 minutes in 3 months</w:t>
            </w:r>
            <w:r w:rsidR="00E4254C">
              <w:t xml:space="preserve">. </w:t>
            </w:r>
          </w:p>
          <w:p w14:paraId="0EC44CEB" w14:textId="21D852F9" w:rsidR="000355A2" w:rsidRDefault="00A354B7" w:rsidP="00F009BF">
            <w:pPr>
              <w:pStyle w:val="Tablecontent"/>
            </w:pPr>
            <w:r>
              <w:t>If you only have 1 month of data, that means only 8766 data points. In this case, you exclude the worst 8.8 data points or 44 minutes.</w:t>
            </w:r>
            <w:r w:rsidR="00EA04A3">
              <w:t xml:space="preserve"> </w:t>
            </w:r>
          </w:p>
          <w:p w14:paraId="749712BB" w14:textId="358E03D6" w:rsidR="00EA04A3" w:rsidRDefault="00B233F9" w:rsidP="00F009BF">
            <w:pPr>
              <w:pStyle w:val="Tablecontent"/>
            </w:pPr>
            <w:r>
              <w:t>What i</w:t>
            </w:r>
            <w:r w:rsidR="00EA04A3">
              <w:t xml:space="preserve">f you </w:t>
            </w:r>
            <w:r w:rsidR="0071236A">
              <w:t>cannot</w:t>
            </w:r>
            <w:r w:rsidR="00EA04A3">
              <w:t xml:space="preserve"> wait for 1 month</w:t>
            </w:r>
            <w:r w:rsidR="00C67A75">
              <w:t xml:space="preserve"> as your vRealize Operations is newly installed</w:t>
            </w:r>
            <w:r>
              <w:t>? If you want to see the data after just 1 day,</w:t>
            </w:r>
            <w:r w:rsidR="00EA04A3">
              <w:t xml:space="preserve"> as a temporary result, use the worst</w:t>
            </w:r>
            <w:r w:rsidR="00C67A75">
              <w:t xml:space="preserve"> metric</w:t>
            </w:r>
            <w:r>
              <w:t xml:space="preserve"> and 20-second metric.</w:t>
            </w:r>
          </w:p>
        </w:tc>
      </w:tr>
      <w:tr w:rsidR="005477F1" w14:paraId="300E08F4" w14:textId="77777777" w:rsidTr="003C290B">
        <w:tc>
          <w:tcPr>
            <w:tcW w:w="1705" w:type="dxa"/>
            <w:shd w:val="clear" w:color="auto" w:fill="F2F2F2" w:themeFill="background1" w:themeFillShade="F2"/>
          </w:tcPr>
          <w:p w14:paraId="047A695F" w14:textId="0F50F290" w:rsidR="005477F1" w:rsidRPr="005E075B" w:rsidRDefault="005477F1" w:rsidP="00F009BF">
            <w:pPr>
              <w:pStyle w:val="Tablecontent"/>
              <w:rPr>
                <w:b/>
                <w:bCs/>
              </w:rPr>
            </w:pPr>
            <w:r>
              <w:rPr>
                <w:b/>
                <w:bCs/>
              </w:rPr>
              <w:t>Resolution</w:t>
            </w:r>
          </w:p>
        </w:tc>
        <w:tc>
          <w:tcPr>
            <w:tcW w:w="8751" w:type="dxa"/>
          </w:tcPr>
          <w:p w14:paraId="67292219" w14:textId="46687D8B" w:rsidR="005477F1" w:rsidRDefault="005477F1" w:rsidP="00F009BF">
            <w:pPr>
              <w:pStyle w:val="Tablecontent"/>
            </w:pPr>
            <w:r>
              <w:rPr>
                <w:lang w:val="en-GB"/>
              </w:rPr>
              <w:t xml:space="preserve">Profile based on </w:t>
            </w:r>
            <w:r w:rsidR="00AB08C6">
              <w:rPr>
                <w:lang w:val="en-GB"/>
              </w:rPr>
              <w:t xml:space="preserve">5-minute average, not </w:t>
            </w:r>
            <w:r>
              <w:rPr>
                <w:lang w:val="en-GB"/>
              </w:rPr>
              <w:t xml:space="preserve">the 20-second metrics. </w:t>
            </w:r>
            <w:r w:rsidR="00AB08C6">
              <w:rPr>
                <w:lang w:val="en-GB"/>
              </w:rPr>
              <w:t>This matches your SLA</w:t>
            </w:r>
          </w:p>
        </w:tc>
      </w:tr>
      <w:tr w:rsidR="00B914A7" w14:paraId="7220F61B" w14:textId="77777777" w:rsidTr="003C290B">
        <w:tc>
          <w:tcPr>
            <w:tcW w:w="1705" w:type="dxa"/>
            <w:shd w:val="clear" w:color="auto" w:fill="F2F2F2" w:themeFill="background1" w:themeFillShade="F2"/>
          </w:tcPr>
          <w:p w14:paraId="04BE6637" w14:textId="69D17A89" w:rsidR="00B914A7" w:rsidRPr="005E075B" w:rsidRDefault="004A0BEA" w:rsidP="00F009BF">
            <w:pPr>
              <w:pStyle w:val="Tablecontent"/>
              <w:rPr>
                <w:b/>
                <w:bCs/>
              </w:rPr>
            </w:pPr>
            <w:r w:rsidRPr="005E075B">
              <w:rPr>
                <w:b/>
                <w:bCs/>
              </w:rPr>
              <w:t xml:space="preserve">Scope </w:t>
            </w:r>
          </w:p>
        </w:tc>
        <w:tc>
          <w:tcPr>
            <w:tcW w:w="8751" w:type="dxa"/>
          </w:tcPr>
          <w:p w14:paraId="518FFCFF" w14:textId="755FB6CC" w:rsidR="008143A4" w:rsidRDefault="004A0BEA" w:rsidP="00F009BF">
            <w:pPr>
              <w:pStyle w:val="Tablecontent"/>
            </w:pPr>
            <w:r>
              <w:t xml:space="preserve">Profile Compute and Storage. </w:t>
            </w:r>
          </w:p>
          <w:p w14:paraId="73F49E53" w14:textId="69E9AB78" w:rsidR="008143A4" w:rsidRDefault="008143A4" w:rsidP="00F009BF">
            <w:pPr>
              <w:pStyle w:val="Tablecontent"/>
            </w:pPr>
            <w:r>
              <w:t xml:space="preserve">Why is network not included? </w:t>
            </w:r>
          </w:p>
          <w:p w14:paraId="1763FE56" w14:textId="4B9295F7" w:rsidR="004C0D31" w:rsidRDefault="004C0D31" w:rsidP="00F009BF">
            <w:pPr>
              <w:pStyle w:val="Tablecontent"/>
            </w:pPr>
            <w:r>
              <w:t>Network needs to be analysed separately due to its nature as interconnect and not nodes.</w:t>
            </w:r>
          </w:p>
        </w:tc>
      </w:tr>
      <w:tr w:rsidR="00D50D90" w14:paraId="3BD9871D" w14:textId="77777777" w:rsidTr="003C290B">
        <w:tc>
          <w:tcPr>
            <w:tcW w:w="1705" w:type="dxa"/>
            <w:shd w:val="clear" w:color="auto" w:fill="F2F2F2" w:themeFill="background1" w:themeFillShade="F2"/>
          </w:tcPr>
          <w:p w14:paraId="12E6D242" w14:textId="314C4C16" w:rsidR="00D50D90" w:rsidRPr="005E075B" w:rsidRDefault="00D50D90" w:rsidP="00F009BF">
            <w:pPr>
              <w:pStyle w:val="Tablecontent"/>
              <w:rPr>
                <w:b/>
                <w:bCs/>
              </w:rPr>
            </w:pPr>
            <w:r w:rsidRPr="005E075B">
              <w:rPr>
                <w:b/>
                <w:bCs/>
              </w:rPr>
              <w:t xml:space="preserve">Focus </w:t>
            </w:r>
          </w:p>
        </w:tc>
        <w:tc>
          <w:tcPr>
            <w:tcW w:w="8751" w:type="dxa"/>
          </w:tcPr>
          <w:p w14:paraId="5B4ADFC8" w14:textId="4524BD09" w:rsidR="00D50D90" w:rsidRDefault="00D50D90" w:rsidP="00F009BF">
            <w:pPr>
              <w:pStyle w:val="Tablecontent"/>
            </w:pPr>
            <w:r>
              <w:t xml:space="preserve">Profile all the VMs, not just the VMs you care. This gives you the complete picture. The only time you exclude VMs is when you’re 100% sure they cannot impact the performance of the VMs that matter to you. Typically, this means the environment is physically isolated, including separate physical network and storage. For example, if there is a physical data center where you don’t care at all, you can exclude them. </w:t>
            </w:r>
          </w:p>
          <w:p w14:paraId="2D74DC43" w14:textId="6716AD58" w:rsidR="00C601C6" w:rsidRDefault="00C601C6" w:rsidP="00F009BF">
            <w:pPr>
              <w:pStyle w:val="Tablecontent"/>
            </w:pPr>
            <w:r w:rsidRPr="00C601C6">
              <w:rPr>
                <w:lang w:val="en-SG"/>
              </w:rPr>
              <w:t>In large environment, split by Class of Service</w:t>
            </w:r>
            <w:r w:rsidR="00F86269">
              <w:rPr>
                <w:lang w:val="en-SG"/>
              </w:rPr>
              <w:t xml:space="preserve">. The higher one should be performing better than the cheaper tier. </w:t>
            </w:r>
          </w:p>
          <w:p w14:paraId="3C1CE713" w14:textId="1A3168CF" w:rsidR="00D50D90" w:rsidRDefault="00D50D90" w:rsidP="00F009BF">
            <w:pPr>
              <w:pStyle w:val="Tablecontent"/>
            </w:pPr>
            <w:r>
              <w:t>You profile the VM, not the cluster or datastore, as that’s where the SLA is</w:t>
            </w:r>
            <w:r w:rsidR="00DA6EF1">
              <w:t>.</w:t>
            </w:r>
          </w:p>
        </w:tc>
      </w:tr>
    </w:tbl>
    <w:p w14:paraId="424DA1E1" w14:textId="77777777" w:rsidR="00B914A7" w:rsidRDefault="00B914A7" w:rsidP="00F009BF">
      <w:pPr>
        <w:pStyle w:val="BeforeTable"/>
      </w:pPr>
    </w:p>
    <w:p w14:paraId="10CEF1AC" w14:textId="6F58AC60" w:rsidR="004B77ED" w:rsidRDefault="004B77ED" w:rsidP="00F009BF">
      <w:pPr>
        <w:pStyle w:val="Heading5"/>
      </w:pPr>
      <w:r>
        <w:lastRenderedPageBreak/>
        <w:t>Metrics to Use</w:t>
      </w:r>
    </w:p>
    <w:p w14:paraId="7AFAFE38" w14:textId="18DDD206" w:rsidR="00EC437D" w:rsidRDefault="00EC437D" w:rsidP="00F009BF">
      <w:r>
        <w:t>Now that you know how to profile, what metrics do you choose?</w:t>
      </w:r>
    </w:p>
    <w:p w14:paraId="2DB4AFE9" w14:textId="77777777" w:rsidR="000466AC" w:rsidRDefault="000466AC" w:rsidP="00F009BF">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05"/>
        <w:gridCol w:w="8751"/>
      </w:tblGrid>
      <w:tr w:rsidR="00F15902" w14:paraId="243A9545" w14:textId="77777777" w:rsidTr="00B54C0C">
        <w:tc>
          <w:tcPr>
            <w:tcW w:w="1705" w:type="dxa"/>
            <w:shd w:val="clear" w:color="auto" w:fill="F2F2F2" w:themeFill="background1" w:themeFillShade="F2"/>
          </w:tcPr>
          <w:p w14:paraId="320E6B5A" w14:textId="584CDA09" w:rsidR="00F15902" w:rsidRDefault="000466AC" w:rsidP="00F009BF">
            <w:pPr>
              <w:pStyle w:val="Tablecontent"/>
            </w:pPr>
            <w:r w:rsidRPr="00CC25FC">
              <w:t>VM CPU Ready</w:t>
            </w:r>
          </w:p>
        </w:tc>
        <w:tc>
          <w:tcPr>
            <w:tcW w:w="8751" w:type="dxa"/>
          </w:tcPr>
          <w:p w14:paraId="6E393887" w14:textId="70299138" w:rsidR="00171360" w:rsidRDefault="00C95CAE" w:rsidP="00F009BF">
            <w:pPr>
              <w:pStyle w:val="Tablecontent"/>
            </w:pPr>
            <w:r>
              <w:t>It’s g</w:t>
            </w:r>
            <w:r w:rsidRPr="00CC25FC">
              <w:t xml:space="preserve">ood enough to represent </w:t>
            </w:r>
            <w:r w:rsidR="008F0D5C">
              <w:t xml:space="preserve">the 4 types of </w:t>
            </w:r>
            <w:r w:rsidRPr="00CC25FC">
              <w:t xml:space="preserve">CPU contention </w:t>
            </w:r>
            <w:r w:rsidR="008D3A3F">
              <w:t>metrics</w:t>
            </w:r>
            <w:r w:rsidRPr="00CC25FC">
              <w:t xml:space="preserve"> as we’re taking 20-second peak</w:t>
            </w:r>
            <w:r w:rsidR="008F0D5C">
              <w:t>.</w:t>
            </w:r>
            <w:r w:rsidR="0071241C">
              <w:t xml:space="preserve"> </w:t>
            </w:r>
            <w:r w:rsidR="008F0D5C">
              <w:t xml:space="preserve">I don’t think it’s worth the extra effort to include </w:t>
            </w:r>
            <w:r w:rsidR="00443625">
              <w:t>Co-stop</w:t>
            </w:r>
            <w:r w:rsidR="00171360">
              <w:t>, Overlap and Other Wait.</w:t>
            </w:r>
            <w:r w:rsidR="0071241C">
              <w:t xml:space="preserve"> You need to wait for </w:t>
            </w:r>
            <w:r w:rsidR="00F062F3">
              <w:t xml:space="preserve">3 months as you need to create the </w:t>
            </w:r>
            <w:r w:rsidR="004B77ED">
              <w:t>super metric</w:t>
            </w:r>
            <w:r w:rsidR="00F062F3">
              <w:t xml:space="preserve"> first.</w:t>
            </w:r>
          </w:p>
        </w:tc>
      </w:tr>
      <w:tr w:rsidR="00F15902" w14:paraId="54E19D3C" w14:textId="77777777" w:rsidTr="00B54C0C">
        <w:tc>
          <w:tcPr>
            <w:tcW w:w="1705" w:type="dxa"/>
            <w:shd w:val="clear" w:color="auto" w:fill="F2F2F2" w:themeFill="background1" w:themeFillShade="F2"/>
          </w:tcPr>
          <w:p w14:paraId="767D4637" w14:textId="0971B846" w:rsidR="00F15902" w:rsidRDefault="00AE3904" w:rsidP="00F009BF">
            <w:pPr>
              <w:pStyle w:val="Tablecontent"/>
            </w:pPr>
            <w:r w:rsidRPr="00CC25FC">
              <w:t>VM Memory Contention</w:t>
            </w:r>
          </w:p>
        </w:tc>
        <w:tc>
          <w:tcPr>
            <w:tcW w:w="8751" w:type="dxa"/>
          </w:tcPr>
          <w:p w14:paraId="03768CDA" w14:textId="77777777" w:rsidR="00F15902" w:rsidRDefault="00171360" w:rsidP="00F009BF">
            <w:pPr>
              <w:pStyle w:val="Tablecontent"/>
            </w:pPr>
            <w:r>
              <w:t xml:space="preserve">Do you know why we do not </w:t>
            </w:r>
            <w:r w:rsidR="00AF26FB">
              <w:t xml:space="preserve">choose Balloon counter? </w:t>
            </w:r>
          </w:p>
          <w:p w14:paraId="3EFB9721" w14:textId="7AD6A2DD" w:rsidR="00B0428F" w:rsidRDefault="00B0428F" w:rsidP="00F009BF">
            <w:pPr>
              <w:pStyle w:val="Tablecontent"/>
            </w:pPr>
            <w:r>
              <w:t xml:space="preserve">It </w:t>
            </w:r>
            <w:r w:rsidRPr="00CC25FC">
              <w:t>is not a contention metric as it does not measure actual performance issue.</w:t>
            </w:r>
          </w:p>
        </w:tc>
      </w:tr>
      <w:tr w:rsidR="00F15902" w14:paraId="137F03DD" w14:textId="77777777" w:rsidTr="00B54C0C">
        <w:tc>
          <w:tcPr>
            <w:tcW w:w="1705" w:type="dxa"/>
            <w:shd w:val="clear" w:color="auto" w:fill="F2F2F2" w:themeFill="background1" w:themeFillShade="F2"/>
          </w:tcPr>
          <w:p w14:paraId="6E59F53D" w14:textId="0880DDD7" w:rsidR="00F15902" w:rsidRDefault="00EB3E94" w:rsidP="00F009BF">
            <w:pPr>
              <w:pStyle w:val="Tablecontent"/>
            </w:pPr>
            <w:r w:rsidRPr="00CC25FC">
              <w:t>VM Disk Latency</w:t>
            </w:r>
          </w:p>
        </w:tc>
        <w:tc>
          <w:tcPr>
            <w:tcW w:w="8751" w:type="dxa"/>
          </w:tcPr>
          <w:p w14:paraId="0C221B53" w14:textId="36422B90" w:rsidR="00F15902" w:rsidRDefault="00AF26FB" w:rsidP="00F009BF">
            <w:pPr>
              <w:pStyle w:val="Tablecontent"/>
            </w:pPr>
            <w:r>
              <w:t xml:space="preserve">For profiling purpose, there is no </w:t>
            </w:r>
            <w:r w:rsidRPr="00CC25FC">
              <w:t xml:space="preserve">need to split Read and Write. </w:t>
            </w:r>
            <w:r w:rsidR="00B54C0C">
              <w:t>Overall is good enough as</w:t>
            </w:r>
            <w:r w:rsidR="00F062F3">
              <w:t xml:space="preserve"> the improvem</w:t>
            </w:r>
            <w:r w:rsidR="00B0428F">
              <w:t>ent will be across the board.</w:t>
            </w:r>
          </w:p>
        </w:tc>
      </w:tr>
    </w:tbl>
    <w:p w14:paraId="75F2C387" w14:textId="29330B48" w:rsidR="00AE333E" w:rsidRDefault="00AE333E" w:rsidP="00F009BF">
      <w:r>
        <w:t>When you have time, profile the following metrics</w:t>
      </w:r>
    </w:p>
    <w:p w14:paraId="26448613" w14:textId="436666C1" w:rsidR="00AE333E" w:rsidRDefault="00AE333E" w:rsidP="00F009BF">
      <w:pPr>
        <w:pStyle w:val="Bullet"/>
      </w:pPr>
      <w:r>
        <w:t xml:space="preserve">CPU Overlap. I expect the value to be &lt;1%, with &gt;90% of them below 0.25% </w:t>
      </w:r>
    </w:p>
    <w:p w14:paraId="7B1CB9FE" w14:textId="720FB697" w:rsidR="00AE333E" w:rsidRDefault="00AE333E" w:rsidP="00F009BF">
      <w:pPr>
        <w:pStyle w:val="Bullet"/>
      </w:pPr>
      <w:r>
        <w:t xml:space="preserve">CPU Other Wait. I expect the value to be &lt;1%, with &gt;90% of them below 0.25%. Read the documentation of this metric as there is a false positive. </w:t>
      </w:r>
    </w:p>
    <w:p w14:paraId="4F1B4849" w14:textId="246947C3" w:rsidR="004B77ED" w:rsidRDefault="004B77ED" w:rsidP="00F009BF">
      <w:pPr>
        <w:pStyle w:val="Heading5"/>
      </w:pPr>
      <w:r>
        <w:t>Metrics not to Use</w:t>
      </w:r>
    </w:p>
    <w:p w14:paraId="0A4FDB6B" w14:textId="5448831C" w:rsidR="004B77ED" w:rsidRDefault="004B77ED" w:rsidP="004B77ED">
      <w:pPr>
        <w:rPr>
          <w:lang w:val="en-GB"/>
        </w:rPr>
      </w:pPr>
      <w:r>
        <w:rPr>
          <w:lang w:val="en-GB"/>
        </w:rPr>
        <w:t>You do not need to profile utilization metrics. For contention metrics, you do not have to profile less important metrics.</w:t>
      </w:r>
    </w:p>
    <w:p w14:paraId="23ED2C06" w14:textId="77777777" w:rsidR="004B77ED" w:rsidRDefault="004B77ED" w:rsidP="004B77ED">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268"/>
        <w:gridCol w:w="8188"/>
      </w:tblGrid>
      <w:tr w:rsidR="004B77ED" w14:paraId="220D3769" w14:textId="77777777" w:rsidTr="004B77ED">
        <w:tc>
          <w:tcPr>
            <w:tcW w:w="2268" w:type="dxa"/>
            <w:shd w:val="clear" w:color="auto" w:fill="F2F2F2" w:themeFill="background1" w:themeFillShade="F2"/>
          </w:tcPr>
          <w:p w14:paraId="5CBEB98B" w14:textId="699B2B58" w:rsidR="004B77ED" w:rsidRDefault="004B77ED" w:rsidP="00E440AB">
            <w:pPr>
              <w:pStyle w:val="Tablecontent"/>
            </w:pPr>
            <w:r>
              <w:t>CPU Run Queue</w:t>
            </w:r>
          </w:p>
        </w:tc>
        <w:tc>
          <w:tcPr>
            <w:tcW w:w="8188" w:type="dxa"/>
            <w:vMerge w:val="restart"/>
          </w:tcPr>
          <w:p w14:paraId="1BE101C2" w14:textId="04631277" w:rsidR="004B77ED" w:rsidRDefault="004B77ED" w:rsidP="00E440AB">
            <w:pPr>
              <w:pStyle w:val="Tablecontent"/>
            </w:pPr>
            <w:r>
              <w:t xml:space="preserve">These are Windows or Linux level metrics. They are application dependent, meaning not something the IaaS platform controls. </w:t>
            </w:r>
          </w:p>
        </w:tc>
      </w:tr>
      <w:tr w:rsidR="004B77ED" w14:paraId="5761A846" w14:textId="77777777" w:rsidTr="004B77ED">
        <w:tc>
          <w:tcPr>
            <w:tcW w:w="2268" w:type="dxa"/>
            <w:shd w:val="clear" w:color="auto" w:fill="F2F2F2" w:themeFill="background1" w:themeFillShade="F2"/>
          </w:tcPr>
          <w:p w14:paraId="59B29250" w14:textId="28954931" w:rsidR="004B77ED" w:rsidRDefault="004B77ED" w:rsidP="00E440AB">
            <w:pPr>
              <w:pStyle w:val="Tablecontent"/>
            </w:pPr>
            <w:r>
              <w:t>CPU Context Switch</w:t>
            </w:r>
          </w:p>
        </w:tc>
        <w:tc>
          <w:tcPr>
            <w:tcW w:w="8188" w:type="dxa"/>
            <w:vMerge/>
          </w:tcPr>
          <w:p w14:paraId="32A3F7AE" w14:textId="77777777" w:rsidR="004B77ED" w:rsidRDefault="004B77ED" w:rsidP="00E440AB">
            <w:pPr>
              <w:pStyle w:val="Tablecontent"/>
            </w:pPr>
          </w:p>
        </w:tc>
      </w:tr>
      <w:tr w:rsidR="004B77ED" w14:paraId="2C166AFD" w14:textId="77777777" w:rsidTr="004B77ED">
        <w:tc>
          <w:tcPr>
            <w:tcW w:w="2268" w:type="dxa"/>
            <w:shd w:val="clear" w:color="auto" w:fill="F2F2F2" w:themeFill="background1" w:themeFillShade="F2"/>
          </w:tcPr>
          <w:p w14:paraId="28022D64" w14:textId="38510C54" w:rsidR="004B77ED" w:rsidRDefault="004B77ED" w:rsidP="00E440AB">
            <w:pPr>
              <w:pStyle w:val="Tablecontent"/>
            </w:pPr>
            <w:r>
              <w:t>CPU Usage Disparity</w:t>
            </w:r>
          </w:p>
        </w:tc>
        <w:tc>
          <w:tcPr>
            <w:tcW w:w="8188" w:type="dxa"/>
          </w:tcPr>
          <w:p w14:paraId="7694232D" w14:textId="767B5BB5" w:rsidR="004B77ED" w:rsidRDefault="004B77ED" w:rsidP="00E440AB">
            <w:pPr>
              <w:pStyle w:val="Tablecontent"/>
            </w:pPr>
            <w:r>
              <w:t xml:space="preserve">This is also application dependent. </w:t>
            </w:r>
          </w:p>
        </w:tc>
      </w:tr>
      <w:tr w:rsidR="00AE333E" w14:paraId="72A217CC" w14:textId="77777777" w:rsidTr="004B77ED">
        <w:tc>
          <w:tcPr>
            <w:tcW w:w="2268" w:type="dxa"/>
            <w:shd w:val="clear" w:color="auto" w:fill="F2F2F2" w:themeFill="background1" w:themeFillShade="F2"/>
          </w:tcPr>
          <w:p w14:paraId="072F4331" w14:textId="57D99917" w:rsidR="00AE333E" w:rsidRDefault="00AE333E" w:rsidP="00E440AB">
            <w:pPr>
              <w:pStyle w:val="Tablecontent"/>
            </w:pPr>
            <w:r>
              <w:t xml:space="preserve">CPU </w:t>
            </w:r>
            <w:r w:rsidR="00443625">
              <w:t>Co-stop</w:t>
            </w:r>
          </w:p>
        </w:tc>
        <w:tc>
          <w:tcPr>
            <w:tcW w:w="8188" w:type="dxa"/>
          </w:tcPr>
          <w:p w14:paraId="3B316FFD" w14:textId="2A5FF37F" w:rsidR="00AE333E" w:rsidRDefault="00AE333E" w:rsidP="00E440AB">
            <w:pPr>
              <w:pStyle w:val="Tablecontent"/>
            </w:pPr>
            <w:r>
              <w:t>This typically happens when the VM is oversized</w:t>
            </w:r>
            <w:r w:rsidR="00E4254C">
              <w:t xml:space="preserve">. </w:t>
            </w:r>
          </w:p>
        </w:tc>
      </w:tr>
      <w:tr w:rsidR="00AE333E" w14:paraId="2F012395" w14:textId="77777777" w:rsidTr="004B77ED">
        <w:tc>
          <w:tcPr>
            <w:tcW w:w="2268" w:type="dxa"/>
            <w:shd w:val="clear" w:color="auto" w:fill="F2F2F2" w:themeFill="background1" w:themeFillShade="F2"/>
          </w:tcPr>
          <w:p w14:paraId="66644E4B" w14:textId="33A62236" w:rsidR="00AE333E" w:rsidRDefault="00AE333E" w:rsidP="00E440AB">
            <w:pPr>
              <w:pStyle w:val="Tablecontent"/>
            </w:pPr>
            <w:r>
              <w:t>Disk Outstanding IO</w:t>
            </w:r>
          </w:p>
        </w:tc>
        <w:tc>
          <w:tcPr>
            <w:tcW w:w="8188" w:type="dxa"/>
          </w:tcPr>
          <w:p w14:paraId="311C8AAF" w14:textId="3A1BBCF5" w:rsidR="00AE333E" w:rsidRDefault="00AE333E" w:rsidP="00E440AB">
            <w:pPr>
              <w:pStyle w:val="Tablecontent"/>
            </w:pPr>
            <w:r>
              <w:t>This is impacted by IOPS, which is not something the IaaS platform control</w:t>
            </w:r>
          </w:p>
        </w:tc>
      </w:tr>
      <w:tr w:rsidR="00AE333E" w14:paraId="479B3D37" w14:textId="77777777" w:rsidTr="004B77ED">
        <w:tc>
          <w:tcPr>
            <w:tcW w:w="2268" w:type="dxa"/>
            <w:shd w:val="clear" w:color="auto" w:fill="F2F2F2" w:themeFill="background1" w:themeFillShade="F2"/>
          </w:tcPr>
          <w:p w14:paraId="6CA6085C" w14:textId="4D68F827" w:rsidR="00AE333E" w:rsidRDefault="00AE333E" w:rsidP="00E440AB">
            <w:pPr>
              <w:pStyle w:val="Tablecontent"/>
            </w:pPr>
            <w:r>
              <w:t>Disk Queue Length</w:t>
            </w:r>
          </w:p>
        </w:tc>
        <w:tc>
          <w:tcPr>
            <w:tcW w:w="8188" w:type="dxa"/>
          </w:tcPr>
          <w:p w14:paraId="389BAF27" w14:textId="6971A153" w:rsidR="00AE333E" w:rsidRDefault="00AE333E" w:rsidP="00E440AB">
            <w:pPr>
              <w:pStyle w:val="Tablecontent"/>
            </w:pPr>
            <w:r>
              <w:t>This depends on the storage driver. I recommend you use PVSCSI</w:t>
            </w:r>
          </w:p>
        </w:tc>
      </w:tr>
      <w:tr w:rsidR="00AE333E" w14:paraId="2A14BE85" w14:textId="77777777" w:rsidTr="004B77ED">
        <w:tc>
          <w:tcPr>
            <w:tcW w:w="2268" w:type="dxa"/>
            <w:shd w:val="clear" w:color="auto" w:fill="F2F2F2" w:themeFill="background1" w:themeFillShade="F2"/>
          </w:tcPr>
          <w:p w14:paraId="2D6C8873" w14:textId="41DB91A0" w:rsidR="00AE333E" w:rsidRPr="00AE333E" w:rsidRDefault="00AE333E" w:rsidP="00AE333E">
            <w:pPr>
              <w:pStyle w:val="Tablecontent"/>
              <w:rPr>
                <w:lang w:val="en-SG"/>
              </w:rPr>
            </w:pPr>
            <w:r w:rsidRPr="00AE333E">
              <w:t>Free Memory</w:t>
            </w:r>
          </w:p>
        </w:tc>
        <w:tc>
          <w:tcPr>
            <w:tcW w:w="8188" w:type="dxa"/>
            <w:vMerge w:val="restart"/>
          </w:tcPr>
          <w:p w14:paraId="37BB5E13" w14:textId="550339A4" w:rsidR="00AE333E" w:rsidRDefault="00AE333E" w:rsidP="00AE333E">
            <w:pPr>
              <w:pStyle w:val="Tablecontent"/>
            </w:pPr>
            <w:r w:rsidRPr="00AE333E">
              <w:t>It depends on the application</w:t>
            </w:r>
            <w:r>
              <w:t>. Certain applications such as JVM and DB manage their own memory, n</w:t>
            </w:r>
            <w:r w:rsidRPr="00AE333E">
              <w:t xml:space="preserve">ot something Windows or Linux can control. </w:t>
            </w:r>
          </w:p>
        </w:tc>
      </w:tr>
      <w:tr w:rsidR="00AE333E" w14:paraId="4082ECE8" w14:textId="77777777" w:rsidTr="004B77ED">
        <w:tc>
          <w:tcPr>
            <w:tcW w:w="2268" w:type="dxa"/>
            <w:shd w:val="clear" w:color="auto" w:fill="F2F2F2" w:themeFill="background1" w:themeFillShade="F2"/>
          </w:tcPr>
          <w:p w14:paraId="0F891169" w14:textId="4B440224" w:rsidR="00AE333E" w:rsidRPr="00AE333E" w:rsidRDefault="00AE333E" w:rsidP="00AE333E">
            <w:pPr>
              <w:pStyle w:val="Tablecontent"/>
            </w:pPr>
            <w:r w:rsidRPr="00AE333E">
              <w:t>Page-in rate</w:t>
            </w:r>
          </w:p>
        </w:tc>
        <w:tc>
          <w:tcPr>
            <w:tcW w:w="8188" w:type="dxa"/>
            <w:vMerge/>
          </w:tcPr>
          <w:p w14:paraId="186D9F3F" w14:textId="77777777" w:rsidR="00AE333E" w:rsidRDefault="00AE333E" w:rsidP="00E440AB">
            <w:pPr>
              <w:pStyle w:val="Tablecontent"/>
            </w:pPr>
          </w:p>
        </w:tc>
      </w:tr>
      <w:tr w:rsidR="00AE333E" w14:paraId="4B4DB0A5" w14:textId="77777777" w:rsidTr="004B77ED">
        <w:tc>
          <w:tcPr>
            <w:tcW w:w="2268" w:type="dxa"/>
            <w:shd w:val="clear" w:color="auto" w:fill="F2F2F2" w:themeFill="background1" w:themeFillShade="F2"/>
          </w:tcPr>
          <w:p w14:paraId="1F3C9B72" w14:textId="3C1E33E7" w:rsidR="00AE333E" w:rsidRPr="00AE333E" w:rsidRDefault="00AE333E" w:rsidP="00AE333E">
            <w:pPr>
              <w:pStyle w:val="Tablecontent"/>
            </w:pPr>
            <w:r w:rsidRPr="00AE333E">
              <w:t>Page-out rate</w:t>
            </w:r>
          </w:p>
        </w:tc>
        <w:tc>
          <w:tcPr>
            <w:tcW w:w="8188" w:type="dxa"/>
            <w:vMerge/>
          </w:tcPr>
          <w:p w14:paraId="73241BDC" w14:textId="77777777" w:rsidR="00AE333E" w:rsidRDefault="00AE333E" w:rsidP="00E440AB">
            <w:pPr>
              <w:pStyle w:val="Tablecontent"/>
            </w:pPr>
          </w:p>
        </w:tc>
      </w:tr>
      <w:tr w:rsidR="00AE333E" w14:paraId="49A47296" w14:textId="77777777" w:rsidTr="004B77ED">
        <w:tc>
          <w:tcPr>
            <w:tcW w:w="2268" w:type="dxa"/>
            <w:shd w:val="clear" w:color="auto" w:fill="F2F2F2" w:themeFill="background1" w:themeFillShade="F2"/>
          </w:tcPr>
          <w:p w14:paraId="480286E2" w14:textId="1EACE130" w:rsidR="00AE333E" w:rsidRPr="00AE333E" w:rsidRDefault="00AE333E" w:rsidP="00AE333E">
            <w:pPr>
              <w:pStyle w:val="Tablecontent"/>
              <w:rPr>
                <w:lang w:val="en-SG"/>
              </w:rPr>
            </w:pPr>
            <w:r w:rsidRPr="00AE333E">
              <w:t>VM Balloon</w:t>
            </w:r>
          </w:p>
        </w:tc>
        <w:tc>
          <w:tcPr>
            <w:tcW w:w="8188" w:type="dxa"/>
            <w:vMerge w:val="restart"/>
          </w:tcPr>
          <w:p w14:paraId="23FD5B4E" w14:textId="026FF9C7" w:rsidR="00AE333E" w:rsidRDefault="00AE333E" w:rsidP="00E440AB">
            <w:pPr>
              <w:pStyle w:val="Tablecontent"/>
            </w:pPr>
            <w:r w:rsidRPr="00AE333E">
              <w:t>Not a VM performance counter, but an ESXi capacity counter.</w:t>
            </w:r>
          </w:p>
        </w:tc>
      </w:tr>
      <w:tr w:rsidR="00AE333E" w14:paraId="59BA619C" w14:textId="77777777" w:rsidTr="004B77ED">
        <w:tc>
          <w:tcPr>
            <w:tcW w:w="2268" w:type="dxa"/>
            <w:shd w:val="clear" w:color="auto" w:fill="F2F2F2" w:themeFill="background1" w:themeFillShade="F2"/>
          </w:tcPr>
          <w:p w14:paraId="350F46C2" w14:textId="536B70B1" w:rsidR="00AE333E" w:rsidRPr="00AE333E" w:rsidRDefault="00AE333E" w:rsidP="00AE333E">
            <w:pPr>
              <w:pStyle w:val="Tablecontent"/>
            </w:pPr>
            <w:r w:rsidRPr="00AE333E">
              <w:t>VM Compressed</w:t>
            </w:r>
          </w:p>
        </w:tc>
        <w:tc>
          <w:tcPr>
            <w:tcW w:w="8188" w:type="dxa"/>
            <w:vMerge/>
          </w:tcPr>
          <w:p w14:paraId="261A4AF5" w14:textId="77777777" w:rsidR="00AE333E" w:rsidRDefault="00AE333E" w:rsidP="00E440AB">
            <w:pPr>
              <w:pStyle w:val="Tablecontent"/>
            </w:pPr>
          </w:p>
        </w:tc>
      </w:tr>
      <w:tr w:rsidR="00AE333E" w14:paraId="449DDCC9" w14:textId="77777777" w:rsidTr="004B77ED">
        <w:tc>
          <w:tcPr>
            <w:tcW w:w="2268" w:type="dxa"/>
            <w:shd w:val="clear" w:color="auto" w:fill="F2F2F2" w:themeFill="background1" w:themeFillShade="F2"/>
          </w:tcPr>
          <w:p w14:paraId="2942B9BD" w14:textId="245F70D2" w:rsidR="00AE333E" w:rsidRPr="00AE333E" w:rsidRDefault="00AE333E" w:rsidP="00AE333E">
            <w:pPr>
              <w:pStyle w:val="Tablecontent"/>
            </w:pPr>
            <w:r w:rsidRPr="00AE333E">
              <w:t>VM Swapped</w:t>
            </w:r>
          </w:p>
        </w:tc>
        <w:tc>
          <w:tcPr>
            <w:tcW w:w="8188" w:type="dxa"/>
            <w:vMerge/>
          </w:tcPr>
          <w:p w14:paraId="7FDC61B8" w14:textId="77777777" w:rsidR="00AE333E" w:rsidRDefault="00AE333E" w:rsidP="00E440AB">
            <w:pPr>
              <w:pStyle w:val="Tablecontent"/>
            </w:pPr>
          </w:p>
        </w:tc>
      </w:tr>
    </w:tbl>
    <w:p w14:paraId="37DA6F17" w14:textId="731EFE66" w:rsidR="002F3D85" w:rsidRPr="006D3AA1" w:rsidRDefault="4A12853D" w:rsidP="00540F68">
      <w:pPr>
        <w:pStyle w:val="Heading3"/>
      </w:pPr>
      <w:r>
        <w:lastRenderedPageBreak/>
        <w:t>Optimized Performance</w:t>
      </w:r>
    </w:p>
    <w:p w14:paraId="63D01658" w14:textId="6591E731" w:rsidR="00BD023F" w:rsidRDefault="009B313C" w:rsidP="00AE3C6B">
      <w:pPr>
        <w:rPr>
          <w:lang w:val="en-US"/>
        </w:rPr>
      </w:pPr>
      <w:r>
        <w:rPr>
          <w:lang w:val="en-US"/>
        </w:rPr>
        <w:t xml:space="preserve">Optimized </w:t>
      </w:r>
      <w:r w:rsidR="00BD023F" w:rsidRPr="006D3AA1">
        <w:rPr>
          <w:lang w:val="en-US"/>
        </w:rPr>
        <w:t>Performance is difficult because the b</w:t>
      </w:r>
      <w:r w:rsidR="00923877" w:rsidRPr="006D3AA1">
        <w:rPr>
          <w:lang w:val="en-US"/>
        </w:rPr>
        <w:t xml:space="preserve">est performance is achieved when utilization/throughput is at 100%. </w:t>
      </w:r>
      <w:r w:rsidR="00AE3C6B" w:rsidRPr="006D3AA1">
        <w:rPr>
          <w:lang w:val="en-US"/>
        </w:rPr>
        <w:t xml:space="preserve">Running at that level </w:t>
      </w:r>
      <w:r w:rsidR="00BD023F" w:rsidRPr="006D3AA1">
        <w:rPr>
          <w:lang w:val="en-US"/>
        </w:rPr>
        <w:t xml:space="preserve">requires a </w:t>
      </w:r>
      <w:r>
        <w:rPr>
          <w:lang w:val="en-US"/>
        </w:rPr>
        <w:t xml:space="preserve">perfect </w:t>
      </w:r>
      <w:r w:rsidR="00BD023F" w:rsidRPr="006D3AA1">
        <w:rPr>
          <w:lang w:val="en-US"/>
        </w:rPr>
        <w:t>level of mastery</w:t>
      </w:r>
      <w:r w:rsidR="00AE3C6B" w:rsidRPr="006D3AA1">
        <w:rPr>
          <w:lang w:val="en-US"/>
        </w:rPr>
        <w:t xml:space="preserve"> due to </w:t>
      </w:r>
      <w:r w:rsidR="00BD023F" w:rsidRPr="006D3AA1">
        <w:rPr>
          <w:lang w:val="en-US"/>
        </w:rPr>
        <w:t>many dimensions of inter-dependencies</w:t>
      </w:r>
      <w:r w:rsidR="00F444DB">
        <w:rPr>
          <w:lang w:val="en-US"/>
        </w:rPr>
        <w:t>.</w:t>
      </w:r>
      <w:r w:rsidR="00ED7830">
        <w:rPr>
          <w:lang w:val="en-US"/>
        </w:rPr>
        <w:t xml:space="preserve"> In </w:t>
      </w:r>
      <w:r w:rsidR="00D83184">
        <w:rPr>
          <w:lang w:val="en-US"/>
        </w:rPr>
        <w:t>addition, majority of loads have peaks so on average you could be well below 100%.</w:t>
      </w:r>
    </w:p>
    <w:p w14:paraId="52AB4B10" w14:textId="77777777" w:rsidR="00F444DB" w:rsidRDefault="00F444DB" w:rsidP="00F444DB">
      <w:pPr>
        <w:pStyle w:val="BeforeTable"/>
        <w:rPr>
          <w:lang w:val="en-US"/>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2405"/>
        <w:gridCol w:w="8051"/>
      </w:tblGrid>
      <w:tr w:rsidR="00C325D5" w14:paraId="10E8B1EA" w14:textId="77777777" w:rsidTr="00C325D5">
        <w:tc>
          <w:tcPr>
            <w:tcW w:w="2405" w:type="dxa"/>
            <w:shd w:val="clear" w:color="auto" w:fill="F2F2F2" w:themeFill="background1" w:themeFillShade="F2"/>
          </w:tcPr>
          <w:p w14:paraId="5F059767" w14:textId="60C14564" w:rsidR="00C325D5" w:rsidRPr="00F444DB" w:rsidRDefault="00C325D5" w:rsidP="00C325D5">
            <w:pPr>
              <w:pStyle w:val="Tablecontent"/>
              <w:jc w:val="center"/>
              <w:rPr>
                <w:b/>
                <w:bCs/>
              </w:rPr>
            </w:pPr>
            <w:r>
              <w:rPr>
                <w:b/>
                <w:bCs/>
              </w:rPr>
              <w:t>Type of Dependency</w:t>
            </w:r>
          </w:p>
        </w:tc>
        <w:tc>
          <w:tcPr>
            <w:tcW w:w="8051" w:type="dxa"/>
            <w:shd w:val="clear" w:color="auto" w:fill="F2F2F2" w:themeFill="background1" w:themeFillShade="F2"/>
          </w:tcPr>
          <w:p w14:paraId="748E448C" w14:textId="49FF5EF5" w:rsidR="00C325D5" w:rsidRPr="00ED7830" w:rsidRDefault="00ED7830" w:rsidP="00C325D5">
            <w:pPr>
              <w:pStyle w:val="Tablecontent"/>
              <w:jc w:val="center"/>
              <w:rPr>
                <w:b/>
                <w:bCs/>
              </w:rPr>
            </w:pPr>
            <w:r w:rsidRPr="00ED7830">
              <w:rPr>
                <w:b/>
                <w:bCs/>
              </w:rPr>
              <w:t>Description</w:t>
            </w:r>
          </w:p>
        </w:tc>
      </w:tr>
      <w:tr w:rsidR="00F444DB" w14:paraId="5879EC7F" w14:textId="77777777" w:rsidTr="00477EA5">
        <w:tc>
          <w:tcPr>
            <w:tcW w:w="2405" w:type="dxa"/>
          </w:tcPr>
          <w:p w14:paraId="11927FED" w14:textId="4E6F7CE6" w:rsidR="00F444DB" w:rsidRPr="00F444DB" w:rsidRDefault="00F444DB" w:rsidP="00F444DB">
            <w:pPr>
              <w:pStyle w:val="Tablecontent"/>
              <w:rPr>
                <w:b/>
                <w:bCs/>
              </w:rPr>
            </w:pPr>
            <w:r w:rsidRPr="00F444DB">
              <w:rPr>
                <w:b/>
                <w:bCs/>
              </w:rPr>
              <w:t>Vertical</w:t>
            </w:r>
          </w:p>
        </w:tc>
        <w:tc>
          <w:tcPr>
            <w:tcW w:w="8051" w:type="dxa"/>
          </w:tcPr>
          <w:p w14:paraId="3C4259C0" w14:textId="66373724" w:rsidR="00F444DB" w:rsidRDefault="00F444DB" w:rsidP="00F444DB">
            <w:pPr>
              <w:pStyle w:val="Tablecontent"/>
            </w:pPr>
            <w:r w:rsidRPr="006D3AA1">
              <w:t>There are layers in the stack, and a problem in a lower layer can impact an upper layer.</w:t>
            </w:r>
          </w:p>
        </w:tc>
      </w:tr>
      <w:tr w:rsidR="00F444DB" w14:paraId="2FD911FF" w14:textId="77777777" w:rsidTr="00477EA5">
        <w:tc>
          <w:tcPr>
            <w:tcW w:w="2405" w:type="dxa"/>
          </w:tcPr>
          <w:p w14:paraId="498F7111" w14:textId="3CDDDA36" w:rsidR="00F444DB" w:rsidRPr="00F444DB" w:rsidRDefault="00F444DB" w:rsidP="00F444DB">
            <w:pPr>
              <w:pStyle w:val="Tablecontent"/>
              <w:rPr>
                <w:b/>
                <w:bCs/>
              </w:rPr>
            </w:pPr>
            <w:r w:rsidRPr="00F444DB">
              <w:rPr>
                <w:b/>
                <w:bCs/>
              </w:rPr>
              <w:t xml:space="preserve">Horizontal </w:t>
            </w:r>
          </w:p>
        </w:tc>
        <w:tc>
          <w:tcPr>
            <w:tcW w:w="8051" w:type="dxa"/>
          </w:tcPr>
          <w:p w14:paraId="1EF17318" w14:textId="77777777" w:rsidR="00F444DB" w:rsidRDefault="00F444DB" w:rsidP="00F444DB">
            <w:pPr>
              <w:pStyle w:val="Tablecontent"/>
            </w:pPr>
            <w:r w:rsidRPr="006D3AA1">
              <w:t xml:space="preserve">The </w:t>
            </w:r>
            <w:r>
              <w:t>four</w:t>
            </w:r>
            <w:r w:rsidRPr="006D3AA1">
              <w:t xml:space="preserve"> elements of IaaS are not standalone. When CPU is paused, RAM &amp; Disk will experience latency as time shifts</w:t>
            </w:r>
            <w:r>
              <w:t xml:space="preserve"> as far as the Guest OS is concerned</w:t>
            </w:r>
            <w:r w:rsidRPr="006D3AA1">
              <w:t>.</w:t>
            </w:r>
          </w:p>
        </w:tc>
      </w:tr>
      <w:tr w:rsidR="00F444DB" w14:paraId="1FE824A7" w14:textId="77777777" w:rsidTr="00477EA5">
        <w:tc>
          <w:tcPr>
            <w:tcW w:w="2405" w:type="dxa"/>
          </w:tcPr>
          <w:p w14:paraId="5872A47E" w14:textId="112E456F" w:rsidR="00F444DB" w:rsidRPr="00F444DB" w:rsidRDefault="00F444DB" w:rsidP="00F444DB">
            <w:pPr>
              <w:pStyle w:val="Tablecontent"/>
              <w:rPr>
                <w:b/>
                <w:bCs/>
              </w:rPr>
            </w:pPr>
            <w:r w:rsidRPr="00F444DB">
              <w:rPr>
                <w:b/>
                <w:bCs/>
              </w:rPr>
              <w:t xml:space="preserve">Flow </w:t>
            </w:r>
          </w:p>
        </w:tc>
        <w:tc>
          <w:tcPr>
            <w:tcW w:w="8051" w:type="dxa"/>
          </w:tcPr>
          <w:p w14:paraId="411D663E" w14:textId="1CFA0D59" w:rsidR="00F444DB" w:rsidRDefault="00F444DB" w:rsidP="00F444DB">
            <w:pPr>
              <w:pStyle w:val="Tablecontent"/>
            </w:pPr>
            <w:r w:rsidRPr="70F05EAA">
              <w:t>A problem in your NSX Edge VM on the NSX Edge Cluster can impact a business VM sitting on another cluster, because of the traffic flow. If you don’t understand the flow, you can waste time troubleshooting at the wrong cluster.</w:t>
            </w:r>
          </w:p>
        </w:tc>
      </w:tr>
      <w:tr w:rsidR="00F444DB" w14:paraId="60288A4F" w14:textId="77777777" w:rsidTr="00477EA5">
        <w:tc>
          <w:tcPr>
            <w:tcW w:w="2405" w:type="dxa"/>
          </w:tcPr>
          <w:p w14:paraId="27D2E320" w14:textId="64D1C789" w:rsidR="00F444DB" w:rsidRPr="00F444DB" w:rsidRDefault="00F444DB" w:rsidP="00F444DB">
            <w:pPr>
              <w:pStyle w:val="Tablecontent"/>
              <w:rPr>
                <w:b/>
                <w:bCs/>
              </w:rPr>
            </w:pPr>
            <w:r w:rsidRPr="00F444DB">
              <w:rPr>
                <w:b/>
                <w:bCs/>
              </w:rPr>
              <w:t xml:space="preserve">Version </w:t>
            </w:r>
          </w:p>
        </w:tc>
        <w:tc>
          <w:tcPr>
            <w:tcW w:w="8051" w:type="dxa"/>
          </w:tcPr>
          <w:p w14:paraId="60600EE6" w14:textId="65600705" w:rsidR="00F444DB" w:rsidRDefault="00F444DB" w:rsidP="00F444DB">
            <w:pPr>
              <w:pStyle w:val="Tablecontent"/>
            </w:pPr>
            <w:r w:rsidRPr="75ACB272">
              <w:t>There are valid reasons behind What Works With What. It’s a known problem that not all versions of all components work well together. Drivers, Firmware, etc. can cause interoperability problem, which can manifest itself as performance.</w:t>
            </w:r>
          </w:p>
        </w:tc>
      </w:tr>
    </w:tbl>
    <w:p w14:paraId="757C8295" w14:textId="77E46DE8" w:rsidR="009B313C" w:rsidRDefault="009B313C" w:rsidP="00AC6E1E">
      <w:pPr>
        <w:pStyle w:val="Heading4"/>
      </w:pPr>
      <w:r>
        <w:t>Consumer Layer</w:t>
      </w:r>
    </w:p>
    <w:p w14:paraId="26B59D70" w14:textId="62D21360" w:rsidR="009B313C" w:rsidRDefault="009B313C" w:rsidP="009B313C">
      <w:r>
        <w:t xml:space="preserve">The consumer layer consists of </w:t>
      </w:r>
      <w:r w:rsidR="00140D09">
        <w:t>applications, which run on top of Guest OS</w:t>
      </w:r>
      <w:r w:rsidR="00FF4D53">
        <w:t xml:space="preserve">. Guest OS in turn runs inside a </w:t>
      </w:r>
      <w:r>
        <w:t xml:space="preserve">VM and Container (which often runs inside a VM). So if </w:t>
      </w:r>
      <w:r w:rsidR="004405B9">
        <w:t>y</w:t>
      </w:r>
      <w:r w:rsidR="006744C1">
        <w:t>ou are</w:t>
      </w:r>
      <w:r>
        <w:t xml:space="preserve"> running container</w:t>
      </w:r>
      <w:r w:rsidR="16C9F0C7">
        <w:t>s</w:t>
      </w:r>
      <w:r>
        <w:t xml:space="preserve">, you are adding a new layer to monitor. As you can see </w:t>
      </w:r>
      <w:hyperlink w:anchor="_New_Layer_">
        <w:r w:rsidRPr="70F05EAA">
          <w:rPr>
            <w:rStyle w:val="Hyperlink"/>
          </w:rPr>
          <w:t>here</w:t>
        </w:r>
      </w:hyperlink>
      <w:r>
        <w:t>, adding a new layer alter</w:t>
      </w:r>
      <w:r w:rsidR="04735E4E">
        <w:t>s</w:t>
      </w:r>
      <w:r>
        <w:t xml:space="preserve"> the metrics in the adjacent layers.</w:t>
      </w:r>
      <w:r w:rsidR="00006289">
        <w:t xml:space="preserve"> </w:t>
      </w:r>
    </w:p>
    <w:p w14:paraId="303E2DE8" w14:textId="55A39260" w:rsidR="00800964" w:rsidRDefault="002A4417" w:rsidP="00E7573A">
      <w:pPr>
        <w:pStyle w:val="Heading5"/>
      </w:pPr>
      <w:r>
        <w:t>Operating System</w:t>
      </w:r>
    </w:p>
    <w:p w14:paraId="308EE7D4" w14:textId="77777777" w:rsidR="00C67A5F" w:rsidRDefault="00C67A5F" w:rsidP="00C67A5F">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699"/>
        <w:gridCol w:w="1987"/>
        <w:gridCol w:w="6780"/>
      </w:tblGrid>
      <w:tr w:rsidR="00C67A5F" w14:paraId="5C883EB7" w14:textId="77777777" w:rsidTr="00057BA1">
        <w:tc>
          <w:tcPr>
            <w:tcW w:w="1699" w:type="dxa"/>
            <w:shd w:val="clear" w:color="auto" w:fill="F2F2F2" w:themeFill="background1" w:themeFillShade="F2"/>
          </w:tcPr>
          <w:p w14:paraId="756072A0" w14:textId="78333162" w:rsidR="00C67A5F" w:rsidRPr="00F444DB" w:rsidRDefault="00C67A5F" w:rsidP="00385EE9">
            <w:pPr>
              <w:pStyle w:val="Tableheading"/>
            </w:pPr>
            <w:r>
              <w:t>Layer</w:t>
            </w:r>
          </w:p>
        </w:tc>
        <w:tc>
          <w:tcPr>
            <w:tcW w:w="1987" w:type="dxa"/>
            <w:shd w:val="clear" w:color="auto" w:fill="F2F2F2" w:themeFill="background1" w:themeFillShade="F2"/>
          </w:tcPr>
          <w:p w14:paraId="1500502C" w14:textId="5DBC4C86" w:rsidR="00C67A5F" w:rsidRDefault="00BD4877" w:rsidP="00385EE9">
            <w:pPr>
              <w:pStyle w:val="Tableheading"/>
            </w:pPr>
            <w:r>
              <w:t>Metric</w:t>
            </w:r>
          </w:p>
        </w:tc>
        <w:tc>
          <w:tcPr>
            <w:tcW w:w="6780" w:type="dxa"/>
            <w:shd w:val="clear" w:color="auto" w:fill="F2F2F2" w:themeFill="background1" w:themeFillShade="F2"/>
          </w:tcPr>
          <w:p w14:paraId="101A5053" w14:textId="5AFF738A" w:rsidR="00C67A5F" w:rsidRDefault="00C67A5F" w:rsidP="00385EE9">
            <w:pPr>
              <w:pStyle w:val="Tableheading"/>
            </w:pPr>
            <w:r>
              <w:t>Optimize or Remediate</w:t>
            </w:r>
          </w:p>
        </w:tc>
      </w:tr>
      <w:tr w:rsidR="00AE12F5" w14:paraId="1749B3ED" w14:textId="77777777" w:rsidTr="00057BA1">
        <w:tc>
          <w:tcPr>
            <w:tcW w:w="1699" w:type="dxa"/>
            <w:vMerge w:val="restart"/>
          </w:tcPr>
          <w:p w14:paraId="71DAE604" w14:textId="4DDA8FE9" w:rsidR="00AE12F5" w:rsidRPr="00813F1A" w:rsidRDefault="00AE12F5" w:rsidP="00BD4877">
            <w:pPr>
              <w:pStyle w:val="Tablecontent"/>
              <w:rPr>
                <w:b/>
                <w:bCs/>
              </w:rPr>
            </w:pPr>
            <w:r w:rsidRPr="00813F1A">
              <w:rPr>
                <w:b/>
                <w:bCs/>
              </w:rPr>
              <w:t>Process</w:t>
            </w:r>
          </w:p>
        </w:tc>
        <w:tc>
          <w:tcPr>
            <w:tcW w:w="1987" w:type="dxa"/>
          </w:tcPr>
          <w:p w14:paraId="03086CE4" w14:textId="36F7A2CF" w:rsidR="00AE12F5" w:rsidRPr="00057BA1" w:rsidRDefault="00AE12F5" w:rsidP="00057BA1">
            <w:pPr>
              <w:pStyle w:val="Tablecontent"/>
            </w:pPr>
            <w:r w:rsidRPr="00057BA1">
              <w:t>Runaway process</w:t>
            </w:r>
          </w:p>
        </w:tc>
        <w:tc>
          <w:tcPr>
            <w:tcW w:w="6780" w:type="dxa"/>
          </w:tcPr>
          <w:p w14:paraId="6839ED31" w14:textId="77777777" w:rsidR="00AE12F5" w:rsidRDefault="00AE12F5" w:rsidP="007B0968">
            <w:pPr>
              <w:pStyle w:val="Tablecontent"/>
            </w:pPr>
            <w:r w:rsidRPr="00057BA1">
              <w:t xml:space="preserve">It goes into an infinite loop. Remedy is to kill it. </w:t>
            </w:r>
          </w:p>
          <w:p w14:paraId="4F33F4F8" w14:textId="081180F6" w:rsidR="00356F88" w:rsidRPr="00057BA1" w:rsidRDefault="00356F88" w:rsidP="007B0968">
            <w:pPr>
              <w:pStyle w:val="Tablecontent"/>
            </w:pPr>
            <w:r>
              <w:t xml:space="preserve">In a </w:t>
            </w:r>
            <w:r w:rsidR="009005DA">
              <w:t>large VM with many vCPU, this can be impossible to detect if the process is only consuming 1 CPU.</w:t>
            </w:r>
          </w:p>
        </w:tc>
      </w:tr>
      <w:tr w:rsidR="00AE12F5" w14:paraId="037F5BB7" w14:textId="77777777" w:rsidTr="00057BA1">
        <w:tc>
          <w:tcPr>
            <w:tcW w:w="1699" w:type="dxa"/>
            <w:vMerge/>
          </w:tcPr>
          <w:p w14:paraId="018838CF" w14:textId="4C5A6C8A" w:rsidR="00AE12F5" w:rsidRPr="00813F1A" w:rsidRDefault="00AE12F5" w:rsidP="00BD4877">
            <w:pPr>
              <w:pStyle w:val="Tablecontent"/>
              <w:rPr>
                <w:b/>
                <w:bCs/>
              </w:rPr>
            </w:pPr>
          </w:p>
        </w:tc>
        <w:tc>
          <w:tcPr>
            <w:tcW w:w="1987" w:type="dxa"/>
          </w:tcPr>
          <w:p w14:paraId="0DFF8C29" w14:textId="35C60B40" w:rsidR="00AE12F5" w:rsidRPr="00057BA1" w:rsidRDefault="00AE12F5" w:rsidP="00057BA1">
            <w:pPr>
              <w:pStyle w:val="Tablecontent"/>
            </w:pPr>
            <w:r w:rsidRPr="00057BA1">
              <w:t xml:space="preserve">What metric? </w:t>
            </w:r>
          </w:p>
        </w:tc>
        <w:tc>
          <w:tcPr>
            <w:tcW w:w="6780" w:type="dxa"/>
          </w:tcPr>
          <w:p w14:paraId="61F80908" w14:textId="325152C9" w:rsidR="00AE12F5" w:rsidRPr="00057BA1" w:rsidRDefault="00AE12F5" w:rsidP="007B0968">
            <w:pPr>
              <w:pStyle w:val="Tablecontent"/>
            </w:pPr>
            <w:r w:rsidRPr="00057BA1">
              <w:t xml:space="preserve">If you know the answer, email </w:t>
            </w:r>
            <w:r>
              <w:t>me</w:t>
            </w:r>
          </w:p>
        </w:tc>
      </w:tr>
      <w:tr w:rsidR="00057BA1" w14:paraId="52AF0092" w14:textId="77777777" w:rsidTr="00057BA1">
        <w:tc>
          <w:tcPr>
            <w:tcW w:w="1699" w:type="dxa"/>
          </w:tcPr>
          <w:p w14:paraId="47EE3852" w14:textId="267E6A80" w:rsidR="00057BA1" w:rsidRPr="00813F1A" w:rsidRDefault="00057BA1" w:rsidP="00057BA1">
            <w:pPr>
              <w:pStyle w:val="Tablecontent"/>
              <w:rPr>
                <w:b/>
                <w:bCs/>
              </w:rPr>
            </w:pPr>
            <w:r w:rsidRPr="00813F1A">
              <w:rPr>
                <w:b/>
                <w:bCs/>
              </w:rPr>
              <w:t>Container</w:t>
            </w:r>
          </w:p>
        </w:tc>
        <w:tc>
          <w:tcPr>
            <w:tcW w:w="1987" w:type="dxa"/>
          </w:tcPr>
          <w:p w14:paraId="644F1D24" w14:textId="512ABE76" w:rsidR="00057BA1" w:rsidRDefault="00057BA1" w:rsidP="00057BA1">
            <w:pPr>
              <w:pStyle w:val="Tablecontent"/>
            </w:pPr>
            <w:r w:rsidRPr="00057BA1">
              <w:t xml:space="preserve">What metric? </w:t>
            </w:r>
          </w:p>
        </w:tc>
        <w:tc>
          <w:tcPr>
            <w:tcW w:w="6780" w:type="dxa"/>
          </w:tcPr>
          <w:p w14:paraId="18F38E83" w14:textId="2531FCF6" w:rsidR="00057BA1" w:rsidRDefault="00057BA1" w:rsidP="007B0968">
            <w:pPr>
              <w:pStyle w:val="Tablecontent"/>
            </w:pPr>
            <w:r w:rsidRPr="00057BA1">
              <w:t xml:space="preserve">If you know the answer, email </w:t>
            </w:r>
            <w:r w:rsidR="00AE12F5">
              <w:t>me</w:t>
            </w:r>
          </w:p>
        </w:tc>
      </w:tr>
      <w:tr w:rsidR="00813F1A" w14:paraId="72A7817A" w14:textId="77777777" w:rsidTr="00057BA1">
        <w:tc>
          <w:tcPr>
            <w:tcW w:w="1699" w:type="dxa"/>
            <w:vMerge w:val="restart"/>
          </w:tcPr>
          <w:p w14:paraId="1EB5B7BC" w14:textId="2B1DF553" w:rsidR="00813F1A" w:rsidRPr="00813F1A" w:rsidRDefault="00813F1A" w:rsidP="00AE12F5">
            <w:pPr>
              <w:pStyle w:val="Tablecontent"/>
              <w:rPr>
                <w:b/>
                <w:bCs/>
              </w:rPr>
            </w:pPr>
            <w:r w:rsidRPr="00813F1A">
              <w:rPr>
                <w:b/>
                <w:bCs/>
              </w:rPr>
              <w:t>Guest OS</w:t>
            </w:r>
          </w:p>
        </w:tc>
        <w:tc>
          <w:tcPr>
            <w:tcW w:w="1987" w:type="dxa"/>
          </w:tcPr>
          <w:p w14:paraId="7C5F2CBD" w14:textId="5E0603B9" w:rsidR="00813F1A" w:rsidRDefault="00813F1A" w:rsidP="00AE12F5">
            <w:pPr>
              <w:pStyle w:val="Tablecontent"/>
            </w:pPr>
            <w:r>
              <w:t>CPU Run Queue</w:t>
            </w:r>
          </w:p>
        </w:tc>
        <w:tc>
          <w:tcPr>
            <w:tcW w:w="6780" w:type="dxa"/>
          </w:tcPr>
          <w:p w14:paraId="79B882CB" w14:textId="4283CFB6" w:rsidR="00110E1B" w:rsidRDefault="00110E1B" w:rsidP="007B0968">
            <w:pPr>
              <w:pStyle w:val="Tablecontent"/>
            </w:pPr>
            <w:r>
              <w:t xml:space="preserve">Ideally, </w:t>
            </w:r>
            <w:r w:rsidR="001936E5">
              <w:t xml:space="preserve">measure both the queue per CPU and the total queue. </w:t>
            </w:r>
            <w:r w:rsidR="001936E5" w:rsidRPr="001936E5">
              <w:t>A 64 vCPU having 1 queue on each CPU means 64 processes were waiting. Performance could be affected.</w:t>
            </w:r>
          </w:p>
          <w:p w14:paraId="58CE0520" w14:textId="63486E3F" w:rsidR="00110E1B" w:rsidRDefault="00813F1A" w:rsidP="007B0968">
            <w:pPr>
              <w:pStyle w:val="Tablecontent"/>
            </w:pPr>
            <w:r>
              <w:lastRenderedPageBreak/>
              <w:t xml:space="preserve">If utilization is high, then add vCPU. If utilization is not high, check if there is </w:t>
            </w:r>
            <w:r w:rsidR="00654EA3">
              <w:t>imbalance</w:t>
            </w:r>
            <w:r>
              <w:t xml:space="preserve"> among the vCPU. Some </w:t>
            </w:r>
            <w:r w:rsidR="0002089A">
              <w:t>applications</w:t>
            </w:r>
            <w:r>
              <w:t xml:space="preserve"> may need to be configured to use all vCPU</w:t>
            </w:r>
            <w:r w:rsidR="00110E1B">
              <w:t xml:space="preserve">. </w:t>
            </w:r>
          </w:p>
        </w:tc>
      </w:tr>
      <w:tr w:rsidR="00813F1A" w14:paraId="04E9719B" w14:textId="77777777" w:rsidTr="00057BA1">
        <w:tc>
          <w:tcPr>
            <w:tcW w:w="1699" w:type="dxa"/>
            <w:vMerge/>
          </w:tcPr>
          <w:p w14:paraId="1F1F11E5" w14:textId="1CB1A17F" w:rsidR="00813F1A" w:rsidRPr="000E7E6D" w:rsidRDefault="00813F1A" w:rsidP="00AE12F5">
            <w:pPr>
              <w:pStyle w:val="Tablecontent"/>
            </w:pPr>
          </w:p>
        </w:tc>
        <w:tc>
          <w:tcPr>
            <w:tcW w:w="1987" w:type="dxa"/>
          </w:tcPr>
          <w:p w14:paraId="4924C14A" w14:textId="01929D3F" w:rsidR="00813F1A" w:rsidRDefault="00813F1A" w:rsidP="00AE12F5">
            <w:pPr>
              <w:pStyle w:val="Tablecontent"/>
            </w:pPr>
            <w:r>
              <w:t>CPU Context Switch</w:t>
            </w:r>
          </w:p>
        </w:tc>
        <w:tc>
          <w:tcPr>
            <w:tcW w:w="6780" w:type="dxa"/>
          </w:tcPr>
          <w:p w14:paraId="05FE3950" w14:textId="1E7A7A58" w:rsidR="00813F1A" w:rsidRDefault="00813F1A" w:rsidP="007B0968">
            <w:pPr>
              <w:pStyle w:val="Tablecontent"/>
            </w:pPr>
            <w:r>
              <w:t>IO causes context switch</w:t>
            </w:r>
            <w:r>
              <w:rPr>
                <w:color w:val="000000" w:themeColor="dark1"/>
              </w:rPr>
              <w:t xml:space="preserve">. </w:t>
            </w:r>
            <w:r>
              <w:t xml:space="preserve">If utilization is not high, reduce vCPU to minimize ping pong. More on </w:t>
            </w:r>
            <w:hyperlink r:id="rId125">
              <w:r w:rsidRPr="75ACB272">
                <w:rPr>
                  <w:rStyle w:val="Hyperlink"/>
                </w:rPr>
                <w:t>CPU Context Switch</w:t>
              </w:r>
            </w:hyperlink>
            <w:r>
              <w:t xml:space="preserve"> is covered </w:t>
            </w:r>
            <w:hyperlink w:anchor="_Guest_OS_CPU">
              <w:r w:rsidRPr="75ACB272">
                <w:rPr>
                  <w:rStyle w:val="Hyperlink"/>
                </w:rPr>
                <w:t>here</w:t>
              </w:r>
            </w:hyperlink>
            <w:r>
              <w:t xml:space="preserve">. </w:t>
            </w:r>
          </w:p>
        </w:tc>
      </w:tr>
      <w:tr w:rsidR="00813F1A" w14:paraId="01CC77F2" w14:textId="77777777" w:rsidTr="00057BA1">
        <w:tc>
          <w:tcPr>
            <w:tcW w:w="1699" w:type="dxa"/>
            <w:vMerge/>
          </w:tcPr>
          <w:p w14:paraId="0AB7FBFD" w14:textId="778ABC24" w:rsidR="00813F1A" w:rsidRPr="000E7E6D" w:rsidRDefault="00813F1A" w:rsidP="00AE12F5">
            <w:pPr>
              <w:pStyle w:val="Tablecontent"/>
            </w:pPr>
          </w:p>
        </w:tc>
        <w:tc>
          <w:tcPr>
            <w:tcW w:w="1987" w:type="dxa"/>
          </w:tcPr>
          <w:p w14:paraId="4E11E087" w14:textId="590B3461" w:rsidR="00813F1A" w:rsidRDefault="00813F1A" w:rsidP="00AE12F5">
            <w:pPr>
              <w:pStyle w:val="Tablecontent"/>
            </w:pPr>
            <w:r>
              <w:t>Network latency</w:t>
            </w:r>
          </w:p>
        </w:tc>
        <w:tc>
          <w:tcPr>
            <w:tcW w:w="6780" w:type="dxa"/>
          </w:tcPr>
          <w:p w14:paraId="4F4AC09F" w14:textId="1DE5505F" w:rsidR="00813F1A" w:rsidRDefault="00813F1A" w:rsidP="007B0968">
            <w:pPr>
              <w:pStyle w:val="Tablecontent"/>
            </w:pPr>
            <w:r>
              <w:t>Change driver. More CPU to process network packets</w:t>
            </w:r>
          </w:p>
        </w:tc>
      </w:tr>
      <w:tr w:rsidR="00813F1A" w14:paraId="69DD0297" w14:textId="77777777" w:rsidTr="00057BA1">
        <w:tc>
          <w:tcPr>
            <w:tcW w:w="1699" w:type="dxa"/>
            <w:vMerge/>
          </w:tcPr>
          <w:p w14:paraId="1C222CC6" w14:textId="37F6CEE8" w:rsidR="00813F1A" w:rsidRPr="000E7E6D" w:rsidRDefault="00813F1A" w:rsidP="00AE12F5">
            <w:pPr>
              <w:pStyle w:val="Tablecontent"/>
            </w:pPr>
          </w:p>
        </w:tc>
        <w:tc>
          <w:tcPr>
            <w:tcW w:w="1987" w:type="dxa"/>
          </w:tcPr>
          <w:p w14:paraId="15281695" w14:textId="01490BE8" w:rsidR="00813F1A" w:rsidRDefault="00813F1A" w:rsidP="00AE12F5">
            <w:pPr>
              <w:pStyle w:val="Tablecontent"/>
            </w:pPr>
            <w:r>
              <w:t>Disk Queue Length</w:t>
            </w:r>
          </w:p>
        </w:tc>
        <w:tc>
          <w:tcPr>
            <w:tcW w:w="6780" w:type="dxa"/>
          </w:tcPr>
          <w:p w14:paraId="661C61B3" w14:textId="6A5A6A04" w:rsidR="00813F1A" w:rsidRDefault="00813F1A" w:rsidP="007B0968">
            <w:pPr>
              <w:pStyle w:val="Tablecontent"/>
            </w:pPr>
            <w:r>
              <w:t>Problem could be inside the Guest or outside. Check if VM outstanding IO and VM disk latency is high. If not, then the issue is with Guest OS, not underlying infra. Check if Guest OS latency is high. If yes, change SCSI driver to PVSCSI is one good remediation. If not, leave for now.</w:t>
            </w:r>
          </w:p>
        </w:tc>
      </w:tr>
      <w:tr w:rsidR="00534821" w14:paraId="02461C46" w14:textId="77777777" w:rsidTr="00057BA1">
        <w:tc>
          <w:tcPr>
            <w:tcW w:w="1699" w:type="dxa"/>
            <w:vMerge/>
          </w:tcPr>
          <w:p w14:paraId="303690AD" w14:textId="77777777" w:rsidR="00534821" w:rsidRPr="000E7E6D" w:rsidRDefault="00534821" w:rsidP="00AE12F5">
            <w:pPr>
              <w:pStyle w:val="Tablecontent"/>
            </w:pPr>
          </w:p>
        </w:tc>
        <w:tc>
          <w:tcPr>
            <w:tcW w:w="1987" w:type="dxa"/>
          </w:tcPr>
          <w:p w14:paraId="3858FE90" w14:textId="4574A377" w:rsidR="00534821" w:rsidRDefault="00D55463" w:rsidP="00AE12F5">
            <w:pPr>
              <w:pStyle w:val="Tablecontent"/>
            </w:pPr>
            <w:r>
              <w:t>Driver Queue</w:t>
            </w:r>
          </w:p>
        </w:tc>
        <w:tc>
          <w:tcPr>
            <w:tcW w:w="6780" w:type="dxa"/>
          </w:tcPr>
          <w:p w14:paraId="492A9941" w14:textId="207CA6E8" w:rsidR="00534821" w:rsidRDefault="00D55463" w:rsidP="007B0968">
            <w:pPr>
              <w:pStyle w:val="Tablecontent"/>
            </w:pPr>
            <w:r>
              <w:t>Storage driver such as LSI</w:t>
            </w:r>
            <w:r w:rsidR="00FD50B7">
              <w:t xml:space="preserve"> </w:t>
            </w:r>
            <w:r>
              <w:t xml:space="preserve">Logic </w:t>
            </w:r>
            <w:r w:rsidR="007E7A91">
              <w:t xml:space="preserve">and PVSCSI </w:t>
            </w:r>
            <w:r>
              <w:t xml:space="preserve">has their own queue. </w:t>
            </w:r>
            <w:r w:rsidR="007E7A91">
              <w:t>If you know how to get the value, let me know.</w:t>
            </w:r>
          </w:p>
        </w:tc>
      </w:tr>
      <w:tr w:rsidR="007E7A91" w14:paraId="4B3582D2" w14:textId="77777777" w:rsidTr="00057BA1">
        <w:tc>
          <w:tcPr>
            <w:tcW w:w="1699" w:type="dxa"/>
            <w:vMerge/>
          </w:tcPr>
          <w:p w14:paraId="2C60F082" w14:textId="77777777" w:rsidR="007E7A91" w:rsidRPr="000E7E6D" w:rsidRDefault="007E7A91" w:rsidP="00AE12F5">
            <w:pPr>
              <w:pStyle w:val="Tablecontent"/>
            </w:pPr>
          </w:p>
        </w:tc>
        <w:tc>
          <w:tcPr>
            <w:tcW w:w="1987" w:type="dxa"/>
          </w:tcPr>
          <w:p w14:paraId="1DF77436" w14:textId="177B84EE" w:rsidR="007E7A91" w:rsidRDefault="007E7A91" w:rsidP="00AE12F5">
            <w:pPr>
              <w:pStyle w:val="Tablecontent"/>
            </w:pPr>
            <w:r>
              <w:t xml:space="preserve">Network </w:t>
            </w:r>
            <w:r w:rsidR="00182070">
              <w:t>Buffer</w:t>
            </w:r>
          </w:p>
        </w:tc>
        <w:tc>
          <w:tcPr>
            <w:tcW w:w="6780" w:type="dxa"/>
          </w:tcPr>
          <w:p w14:paraId="3931EBF2" w14:textId="003439F9" w:rsidR="007E7A91" w:rsidRDefault="00182070" w:rsidP="007B0968">
            <w:pPr>
              <w:pStyle w:val="Tablecontent"/>
            </w:pPr>
            <w:r>
              <w:t xml:space="preserve">The ring buffer in the virtual NIC card. This can get filled up. </w:t>
            </w:r>
          </w:p>
        </w:tc>
      </w:tr>
      <w:tr w:rsidR="00813F1A" w14:paraId="688C9FD9" w14:textId="77777777" w:rsidTr="00057BA1">
        <w:tc>
          <w:tcPr>
            <w:tcW w:w="1699" w:type="dxa"/>
            <w:vMerge/>
          </w:tcPr>
          <w:p w14:paraId="5EB950A4" w14:textId="65E63879" w:rsidR="00813F1A" w:rsidRPr="000E7E6D" w:rsidRDefault="00813F1A" w:rsidP="00AE12F5">
            <w:pPr>
              <w:pStyle w:val="Tablecontent"/>
            </w:pPr>
          </w:p>
        </w:tc>
        <w:tc>
          <w:tcPr>
            <w:tcW w:w="1987" w:type="dxa"/>
          </w:tcPr>
          <w:p w14:paraId="627DEED5" w14:textId="29A21823" w:rsidR="00813F1A" w:rsidRDefault="00813F1A" w:rsidP="00AE12F5">
            <w:pPr>
              <w:pStyle w:val="Tablecontent"/>
            </w:pPr>
            <w:r>
              <w:t>Memory Page Fault</w:t>
            </w:r>
          </w:p>
        </w:tc>
        <w:tc>
          <w:tcPr>
            <w:tcW w:w="6780" w:type="dxa"/>
          </w:tcPr>
          <w:p w14:paraId="4A84BF3F" w14:textId="2DDD344E" w:rsidR="00813F1A" w:rsidRDefault="00813F1A" w:rsidP="007B0968">
            <w:pPr>
              <w:pStyle w:val="Tablecontent"/>
              <w:rPr>
                <w:rFonts w:ascii="Arial" w:hAnsi="Arial" w:cs="Arial"/>
                <w:sz w:val="36"/>
                <w:szCs w:val="36"/>
              </w:rPr>
            </w:pPr>
            <w:r>
              <w:t>Look inside the Guest OS and Process to see if it’s memory settings aligns with configured RAM. It’s common for JVM or DB to have memory settings that don’t match Guest OS</w:t>
            </w:r>
            <w:r w:rsidR="00A20B81">
              <w:t xml:space="preserve"> configuration</w:t>
            </w:r>
            <w:r>
              <w:t>.</w:t>
            </w:r>
          </w:p>
          <w:p w14:paraId="0657921A" w14:textId="285E5B0F" w:rsidR="00813F1A" w:rsidRDefault="00813F1A" w:rsidP="007B0968">
            <w:pPr>
              <w:pStyle w:val="Tablecontent"/>
            </w:pPr>
            <w:r>
              <w:t xml:space="preserve">Need </w:t>
            </w:r>
            <w:hyperlink r:id="rId126" w:history="1">
              <w:r w:rsidRPr="002A4417">
                <w:rPr>
                  <w:rStyle w:val="Hyperlink"/>
                </w:rPr>
                <w:t>Telegraf</w:t>
              </w:r>
            </w:hyperlink>
            <w:r w:rsidR="008600CF">
              <w:t xml:space="preserve"> agent as it is</w:t>
            </w:r>
            <w:r>
              <w:t xml:space="preserve"> not tracked by Tools. </w:t>
            </w:r>
          </w:p>
        </w:tc>
      </w:tr>
    </w:tbl>
    <w:p w14:paraId="746FC73D" w14:textId="77777777" w:rsidR="00C67A5F" w:rsidRDefault="00C67A5F" w:rsidP="00C67A5F">
      <w:pPr>
        <w:pStyle w:val="BeforeTable"/>
      </w:pPr>
    </w:p>
    <w:p w14:paraId="23219665" w14:textId="52FB501A" w:rsidR="00800964" w:rsidRDefault="00800964" w:rsidP="00E7573A">
      <w:pPr>
        <w:pStyle w:val="Heading5"/>
      </w:pPr>
      <w:r>
        <w:t>VM layer</w:t>
      </w:r>
    </w:p>
    <w:p w14:paraId="43914084" w14:textId="3239799F" w:rsidR="00006289" w:rsidRDefault="00006289" w:rsidP="009B313C">
      <w:r>
        <w:t xml:space="preserve">We have better visibility at vSphere VM level due to the various </w:t>
      </w:r>
      <w:r w:rsidR="008D3A3F">
        <w:t>metrics</w:t>
      </w:r>
      <w:r>
        <w:t xml:space="preserve"> provided. </w:t>
      </w:r>
      <w:r w:rsidR="005D1717">
        <w:t xml:space="preserve">The following table lists the metrics and associated actions you can perform to address the issue. </w:t>
      </w:r>
    </w:p>
    <w:p w14:paraId="7E99D781" w14:textId="77777777" w:rsidR="005202FF" w:rsidRDefault="005202FF" w:rsidP="005202FF">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2405"/>
        <w:gridCol w:w="8051"/>
      </w:tblGrid>
      <w:tr w:rsidR="005202FF" w14:paraId="0007CC1A" w14:textId="77777777" w:rsidTr="003C31DA">
        <w:tc>
          <w:tcPr>
            <w:tcW w:w="2405" w:type="dxa"/>
            <w:shd w:val="clear" w:color="auto" w:fill="F2F2F2" w:themeFill="background1" w:themeFillShade="F2"/>
          </w:tcPr>
          <w:p w14:paraId="58CB8278" w14:textId="1E812A8A" w:rsidR="005202FF" w:rsidRPr="00F444DB" w:rsidRDefault="001B0E6B" w:rsidP="001B0E6B">
            <w:pPr>
              <w:pStyle w:val="Tableheading"/>
            </w:pPr>
            <w:r>
              <w:t>Problem</w:t>
            </w:r>
          </w:p>
        </w:tc>
        <w:tc>
          <w:tcPr>
            <w:tcW w:w="8051" w:type="dxa"/>
            <w:shd w:val="clear" w:color="auto" w:fill="F2F2F2" w:themeFill="background1" w:themeFillShade="F2"/>
          </w:tcPr>
          <w:p w14:paraId="12591F05" w14:textId="613E9119" w:rsidR="005202FF" w:rsidRDefault="001B0E6B" w:rsidP="001B0E6B">
            <w:pPr>
              <w:pStyle w:val="Tableheading"/>
            </w:pPr>
            <w:r>
              <w:t>Optimize or Remediate</w:t>
            </w:r>
          </w:p>
        </w:tc>
      </w:tr>
      <w:tr w:rsidR="000E7E6D" w14:paraId="5B268502" w14:textId="77777777" w:rsidTr="00385EE9">
        <w:tc>
          <w:tcPr>
            <w:tcW w:w="2405" w:type="dxa"/>
          </w:tcPr>
          <w:p w14:paraId="27F0057A" w14:textId="1D1B9E2E" w:rsidR="000E7E6D" w:rsidRPr="000E7E6D" w:rsidRDefault="000E7E6D" w:rsidP="000E7E6D">
            <w:pPr>
              <w:pStyle w:val="Tablecontent"/>
            </w:pPr>
            <w:r w:rsidRPr="000E7E6D">
              <w:t>CPU Ready</w:t>
            </w:r>
          </w:p>
        </w:tc>
        <w:tc>
          <w:tcPr>
            <w:tcW w:w="8051" w:type="dxa"/>
          </w:tcPr>
          <w:p w14:paraId="53CE2AA0" w14:textId="7E53B03E" w:rsidR="000E7E6D" w:rsidRDefault="000E7E6D" w:rsidP="000E7E6D">
            <w:pPr>
              <w:pStyle w:val="Tablecontent"/>
              <w:rPr>
                <w:rFonts w:ascii="Arial" w:hAnsi="Arial" w:cs="Arial"/>
                <w:sz w:val="36"/>
                <w:szCs w:val="36"/>
                <w:lang w:eastAsia="en-SG"/>
              </w:rPr>
            </w:pPr>
            <w:r>
              <w:t>Check config: Limit, Shares (</w:t>
            </w:r>
            <w:r w:rsidR="00C25283">
              <w:t xml:space="preserve">also </w:t>
            </w:r>
            <w:r>
              <w:t xml:space="preserve">relative to other VM, not </w:t>
            </w:r>
            <w:r w:rsidR="00C25283">
              <w:t xml:space="preserve">just </w:t>
            </w:r>
            <w:r>
              <w:t>its absolute amount)</w:t>
            </w:r>
          </w:p>
          <w:p w14:paraId="274619A3" w14:textId="77777777" w:rsidR="000E7E6D" w:rsidRDefault="000E7E6D" w:rsidP="000E7E6D">
            <w:pPr>
              <w:pStyle w:val="Tablecontent"/>
              <w:rPr>
                <w:rFonts w:ascii="Arial" w:hAnsi="Arial" w:cs="Arial"/>
                <w:sz w:val="36"/>
                <w:szCs w:val="36"/>
              </w:rPr>
            </w:pPr>
            <w:r>
              <w:t>Check if it’s caused by resource pool</w:t>
            </w:r>
          </w:p>
          <w:p w14:paraId="47525011" w14:textId="77777777" w:rsidR="000E7E6D" w:rsidRDefault="000E7E6D" w:rsidP="000E7E6D">
            <w:pPr>
              <w:pStyle w:val="Tablecontent"/>
              <w:rPr>
                <w:rFonts w:ascii="Arial" w:hAnsi="Arial" w:cs="Arial"/>
                <w:sz w:val="36"/>
                <w:szCs w:val="36"/>
              </w:rPr>
            </w:pPr>
            <w:r>
              <w:t>Check ESXi utilization. A sign of ESXi struggling is other VMs are affected too.</w:t>
            </w:r>
          </w:p>
          <w:p w14:paraId="3E0EDC4F" w14:textId="3BD66B73" w:rsidR="000E7E6D" w:rsidRDefault="000E7E6D" w:rsidP="000E7E6D">
            <w:pPr>
              <w:pStyle w:val="Tablecontent"/>
            </w:pPr>
            <w:r>
              <w:t>Check vMotion stun time (requires Log Insight)</w:t>
            </w:r>
          </w:p>
        </w:tc>
      </w:tr>
      <w:tr w:rsidR="000E7E6D" w14:paraId="03038292" w14:textId="77777777" w:rsidTr="00385EE9">
        <w:tc>
          <w:tcPr>
            <w:tcW w:w="2405" w:type="dxa"/>
          </w:tcPr>
          <w:p w14:paraId="75C97960" w14:textId="47901B1C" w:rsidR="000E7E6D" w:rsidRPr="000E7E6D" w:rsidRDefault="000E7E6D" w:rsidP="000E7E6D">
            <w:pPr>
              <w:pStyle w:val="Tablecontent"/>
            </w:pPr>
            <w:r w:rsidRPr="000E7E6D">
              <w:t>CPU Co-Stop</w:t>
            </w:r>
          </w:p>
        </w:tc>
        <w:tc>
          <w:tcPr>
            <w:tcW w:w="8051" w:type="dxa"/>
          </w:tcPr>
          <w:p w14:paraId="4D424951" w14:textId="2BE4FB5D" w:rsidR="000E7E6D" w:rsidRDefault="000E7E6D" w:rsidP="000E7E6D">
            <w:pPr>
              <w:pStyle w:val="Tablecontent"/>
            </w:pPr>
            <w:r>
              <w:t>As per CPU Ready, but note that VM with many CPU has higher chance of experiencing co-stop. If VM utilization is not high, reduce vCPU.</w:t>
            </w:r>
          </w:p>
        </w:tc>
      </w:tr>
      <w:tr w:rsidR="000E7E6D" w14:paraId="3FDC70ED" w14:textId="77777777" w:rsidTr="00385EE9">
        <w:tc>
          <w:tcPr>
            <w:tcW w:w="2405" w:type="dxa"/>
          </w:tcPr>
          <w:p w14:paraId="3B4881B6" w14:textId="7E6CD730" w:rsidR="000E7E6D" w:rsidRPr="000E7E6D" w:rsidRDefault="000E7E6D" w:rsidP="000E7E6D">
            <w:pPr>
              <w:pStyle w:val="Tablecontent"/>
            </w:pPr>
            <w:r w:rsidRPr="000E7E6D">
              <w:t>CPU Overlap</w:t>
            </w:r>
          </w:p>
        </w:tc>
        <w:tc>
          <w:tcPr>
            <w:tcW w:w="8051" w:type="dxa"/>
          </w:tcPr>
          <w:p w14:paraId="67A4FF21" w14:textId="421B4D18" w:rsidR="000E7E6D" w:rsidRDefault="000E7E6D" w:rsidP="000E7E6D">
            <w:pPr>
              <w:pStyle w:val="Tablecontent"/>
            </w:pPr>
            <w:r>
              <w:t xml:space="preserve">VM has high IO (disk or network), causing its own CPU to be interrupted for IO by </w:t>
            </w:r>
            <w:r w:rsidR="00FD5A65">
              <w:t>VMkernel</w:t>
            </w:r>
            <w:r>
              <w:t>. Check if ESXi cores utilization is balanced.</w:t>
            </w:r>
          </w:p>
        </w:tc>
      </w:tr>
      <w:tr w:rsidR="000E7E6D" w14:paraId="63915B06" w14:textId="77777777" w:rsidTr="00385EE9">
        <w:tc>
          <w:tcPr>
            <w:tcW w:w="2405" w:type="dxa"/>
          </w:tcPr>
          <w:p w14:paraId="2CCE59E5" w14:textId="580EDFD7" w:rsidR="000E7E6D" w:rsidRPr="000E7E6D" w:rsidRDefault="000E7E6D" w:rsidP="000E7E6D">
            <w:pPr>
              <w:pStyle w:val="Tablecontent"/>
            </w:pPr>
            <w:r w:rsidRPr="000E7E6D">
              <w:t>RAM Contention</w:t>
            </w:r>
          </w:p>
        </w:tc>
        <w:tc>
          <w:tcPr>
            <w:tcW w:w="8051" w:type="dxa"/>
          </w:tcPr>
          <w:p w14:paraId="4ADBECB7" w14:textId="77777777" w:rsidR="00E968DE" w:rsidRDefault="000E7E6D" w:rsidP="000E7E6D">
            <w:pPr>
              <w:pStyle w:val="Tablecontent"/>
            </w:pPr>
            <w:r>
              <w:t xml:space="preserve">High ESXi memory utilization. Check ESXi Balloon, ESXi reservation. </w:t>
            </w:r>
          </w:p>
          <w:p w14:paraId="035B607D" w14:textId="15B6CB18" w:rsidR="000E7E6D" w:rsidRDefault="000E7E6D" w:rsidP="000E7E6D">
            <w:pPr>
              <w:pStyle w:val="Tablecontent"/>
            </w:pPr>
            <w:r>
              <w:t>Check vMotion stun time (</w:t>
            </w:r>
            <w:r w:rsidR="00F34BE0">
              <w:t xml:space="preserve">this </w:t>
            </w:r>
            <w:r>
              <w:t>requires Log Insight)</w:t>
            </w:r>
          </w:p>
        </w:tc>
      </w:tr>
      <w:tr w:rsidR="000E7E6D" w14:paraId="656E383D" w14:textId="77777777" w:rsidTr="00385EE9">
        <w:tc>
          <w:tcPr>
            <w:tcW w:w="2405" w:type="dxa"/>
          </w:tcPr>
          <w:p w14:paraId="57702900" w14:textId="7533A0E1" w:rsidR="000E7E6D" w:rsidRPr="000E7E6D" w:rsidRDefault="000E7E6D" w:rsidP="000E7E6D">
            <w:pPr>
              <w:pStyle w:val="Tablecontent"/>
            </w:pPr>
            <w:r w:rsidRPr="000E7E6D">
              <w:t>CPU IO Wait</w:t>
            </w:r>
          </w:p>
        </w:tc>
        <w:tc>
          <w:tcPr>
            <w:tcW w:w="8051" w:type="dxa"/>
          </w:tcPr>
          <w:p w14:paraId="04E1CC7B" w14:textId="3FCFA4EF" w:rsidR="000E7E6D" w:rsidRDefault="000E7E6D" w:rsidP="000E7E6D">
            <w:pPr>
              <w:pStyle w:val="Tablecontent"/>
            </w:pPr>
            <w:r>
              <w:t>High disk latency causes high CPU. Check for snapshot as snapshot requires double IO processing.</w:t>
            </w:r>
          </w:p>
        </w:tc>
      </w:tr>
      <w:tr w:rsidR="000E7E6D" w14:paraId="0AA73679" w14:textId="77777777" w:rsidTr="00385EE9">
        <w:tc>
          <w:tcPr>
            <w:tcW w:w="2405" w:type="dxa"/>
          </w:tcPr>
          <w:p w14:paraId="2ECAF395" w14:textId="0DA5A398" w:rsidR="000E7E6D" w:rsidRPr="000E7E6D" w:rsidRDefault="000E7E6D" w:rsidP="000E7E6D">
            <w:pPr>
              <w:pStyle w:val="Tablecontent"/>
            </w:pPr>
            <w:r w:rsidRPr="000E7E6D">
              <w:t>Net</w:t>
            </w:r>
            <w:r w:rsidR="0066253F">
              <w:t>work</w:t>
            </w:r>
            <w:r w:rsidRPr="000E7E6D">
              <w:t xml:space="preserve"> Dropped Packet</w:t>
            </w:r>
          </w:p>
        </w:tc>
        <w:tc>
          <w:tcPr>
            <w:tcW w:w="8051" w:type="dxa"/>
          </w:tcPr>
          <w:p w14:paraId="3AEF5546" w14:textId="1BF74CE7" w:rsidR="000E7E6D" w:rsidRDefault="000E7E6D" w:rsidP="000E7E6D">
            <w:pPr>
              <w:pStyle w:val="Tablecontent"/>
            </w:pPr>
            <w:r>
              <w:t>After verifying this is not a false positive, check for packet retransmit and underlying infrastructure. If packets are broadcast packets it might be dropped by the network.</w:t>
            </w:r>
          </w:p>
        </w:tc>
      </w:tr>
      <w:tr w:rsidR="0066253F" w14:paraId="07A93217" w14:textId="77777777" w:rsidTr="00385EE9">
        <w:tc>
          <w:tcPr>
            <w:tcW w:w="2405" w:type="dxa"/>
          </w:tcPr>
          <w:p w14:paraId="1BD47A41" w14:textId="26157F69" w:rsidR="0066253F" w:rsidRPr="000E7E6D" w:rsidRDefault="0066253F" w:rsidP="000E7E6D">
            <w:pPr>
              <w:pStyle w:val="Tablecontent"/>
            </w:pPr>
            <w:r>
              <w:t>Network retransmit</w:t>
            </w:r>
          </w:p>
        </w:tc>
        <w:tc>
          <w:tcPr>
            <w:tcW w:w="8051" w:type="dxa"/>
          </w:tcPr>
          <w:p w14:paraId="4162D599" w14:textId="28F62E6B" w:rsidR="0066253F" w:rsidRDefault="0066253F" w:rsidP="000E7E6D">
            <w:pPr>
              <w:pStyle w:val="Tablecontent"/>
            </w:pPr>
            <w:r>
              <w:t>When a packet is loss, it needs to be retransmit (unless it’s UDP protocol).</w:t>
            </w:r>
          </w:p>
        </w:tc>
      </w:tr>
      <w:tr w:rsidR="000E7E6D" w14:paraId="598B1FC5" w14:textId="77777777" w:rsidTr="00385EE9">
        <w:tc>
          <w:tcPr>
            <w:tcW w:w="2405" w:type="dxa"/>
          </w:tcPr>
          <w:p w14:paraId="39CC62A1" w14:textId="696CD35E" w:rsidR="000E7E6D" w:rsidRPr="000E7E6D" w:rsidRDefault="000E7E6D" w:rsidP="000E7E6D">
            <w:pPr>
              <w:pStyle w:val="Tablecontent"/>
            </w:pPr>
            <w:r w:rsidRPr="000E7E6D">
              <w:lastRenderedPageBreak/>
              <w:t>Network latency</w:t>
            </w:r>
          </w:p>
        </w:tc>
        <w:tc>
          <w:tcPr>
            <w:tcW w:w="8051" w:type="dxa"/>
          </w:tcPr>
          <w:p w14:paraId="70F09B85" w14:textId="509BFFEA" w:rsidR="000E7E6D" w:rsidRDefault="000E7E6D" w:rsidP="000E7E6D">
            <w:pPr>
              <w:pStyle w:val="Tablecontent"/>
            </w:pPr>
            <w:r>
              <w:t>Latency caused by hops. Optimize the traffic. Note this needs vR</w:t>
            </w:r>
            <w:r w:rsidR="000A6F96">
              <w:t>ealize Network Insight</w:t>
            </w:r>
          </w:p>
        </w:tc>
      </w:tr>
      <w:tr w:rsidR="000E7E6D" w14:paraId="74EB7CF6" w14:textId="77777777" w:rsidTr="00385EE9">
        <w:tc>
          <w:tcPr>
            <w:tcW w:w="2405" w:type="dxa"/>
          </w:tcPr>
          <w:p w14:paraId="20E620F6" w14:textId="0EF5A680" w:rsidR="000E7E6D" w:rsidRPr="000E7E6D" w:rsidRDefault="000E7E6D" w:rsidP="000E7E6D">
            <w:pPr>
              <w:pStyle w:val="Tablecontent"/>
            </w:pPr>
            <w:r w:rsidRPr="000E7E6D">
              <w:t>Disk Latency</w:t>
            </w:r>
          </w:p>
        </w:tc>
        <w:tc>
          <w:tcPr>
            <w:tcW w:w="8051" w:type="dxa"/>
          </w:tcPr>
          <w:p w14:paraId="6E55F10D" w14:textId="77777777" w:rsidR="000E7E6D" w:rsidRDefault="000E7E6D" w:rsidP="000E7E6D">
            <w:pPr>
              <w:pStyle w:val="Tablecontent"/>
            </w:pPr>
            <w:r>
              <w:t>Check VM outstanding disk IO</w:t>
            </w:r>
          </w:p>
          <w:p w14:paraId="378B4539" w14:textId="69645394" w:rsidR="006E18FC" w:rsidRDefault="006E18FC" w:rsidP="000E7E6D">
            <w:pPr>
              <w:pStyle w:val="Tablecontent"/>
            </w:pPr>
            <w:r>
              <w:t xml:space="preserve">Check if </w:t>
            </w:r>
            <w:hyperlink w:anchor="_IOPS_Limit" w:history="1">
              <w:r w:rsidRPr="006E18FC">
                <w:rPr>
                  <w:rStyle w:val="Hyperlink"/>
                </w:rPr>
                <w:t>IOPS Limit</w:t>
              </w:r>
            </w:hyperlink>
            <w:r>
              <w:t xml:space="preserve"> has been placed. </w:t>
            </w:r>
          </w:p>
        </w:tc>
      </w:tr>
      <w:tr w:rsidR="000E7E6D" w14:paraId="66C769FF" w14:textId="77777777" w:rsidTr="00385EE9">
        <w:tc>
          <w:tcPr>
            <w:tcW w:w="2405" w:type="dxa"/>
          </w:tcPr>
          <w:p w14:paraId="3F4895A1" w14:textId="01013ED1" w:rsidR="000E7E6D" w:rsidRPr="000E7E6D" w:rsidRDefault="000E7E6D" w:rsidP="000E7E6D">
            <w:pPr>
              <w:pStyle w:val="Tablecontent"/>
            </w:pPr>
            <w:r w:rsidRPr="000E7E6D">
              <w:t>Outstanding Disk IO</w:t>
            </w:r>
          </w:p>
        </w:tc>
        <w:tc>
          <w:tcPr>
            <w:tcW w:w="8051" w:type="dxa"/>
          </w:tcPr>
          <w:p w14:paraId="5EA122F8" w14:textId="1BB7CB86" w:rsidR="000E7E6D" w:rsidRDefault="000E7E6D" w:rsidP="000E7E6D">
            <w:pPr>
              <w:pStyle w:val="Tablecontent"/>
            </w:pPr>
            <w:r>
              <w:t>Check underlying ESXi or datastore</w:t>
            </w:r>
          </w:p>
        </w:tc>
      </w:tr>
      <w:tr w:rsidR="009B2CC0" w14:paraId="52B03E04" w14:textId="77777777" w:rsidTr="00385EE9">
        <w:tc>
          <w:tcPr>
            <w:tcW w:w="2405" w:type="dxa"/>
          </w:tcPr>
          <w:p w14:paraId="61F5EE29" w14:textId="7F9D05A5" w:rsidR="009B2CC0" w:rsidRPr="000E7E6D" w:rsidRDefault="009B2CC0" w:rsidP="000E7E6D">
            <w:pPr>
              <w:pStyle w:val="Tablecontent"/>
            </w:pPr>
            <w:r>
              <w:t>vMotion</w:t>
            </w:r>
          </w:p>
        </w:tc>
        <w:tc>
          <w:tcPr>
            <w:tcW w:w="8051" w:type="dxa"/>
          </w:tcPr>
          <w:p w14:paraId="4FC26E54" w14:textId="348C81A7" w:rsidR="00507767" w:rsidRDefault="00507767" w:rsidP="000E7E6D">
            <w:pPr>
              <w:pStyle w:val="Tablecontent"/>
            </w:pPr>
            <w:r>
              <w:t xml:space="preserve">Check </w:t>
            </w:r>
            <w:r w:rsidR="0090545D">
              <w:t>DRS automation setting</w:t>
            </w:r>
          </w:p>
          <w:p w14:paraId="6A1AADA3" w14:textId="262A9D87" w:rsidR="0090545D" w:rsidRDefault="00507767" w:rsidP="000E7E6D">
            <w:pPr>
              <w:pStyle w:val="Tablecontent"/>
            </w:pPr>
            <w:r>
              <w:t xml:space="preserve">If the actual </w:t>
            </w:r>
            <w:r w:rsidR="009B2CC0" w:rsidRPr="00835835">
              <w:t xml:space="preserve">vMotion </w:t>
            </w:r>
            <w:r>
              <w:t xml:space="preserve">is </w:t>
            </w:r>
            <w:r w:rsidR="009B2CC0" w:rsidRPr="00835835">
              <w:t xml:space="preserve">too </w:t>
            </w:r>
            <w:r w:rsidR="00864F09">
              <w:t xml:space="preserve">long, check if the active memory. </w:t>
            </w:r>
            <w:r w:rsidR="0090545D">
              <w:t xml:space="preserve">You can use Log Insight to see the throughput. </w:t>
            </w:r>
          </w:p>
          <w:p w14:paraId="32BE8991" w14:textId="0244040D" w:rsidR="009B2CC0" w:rsidRDefault="0090545D" w:rsidP="000E7E6D">
            <w:pPr>
              <w:pStyle w:val="Tablecontent"/>
            </w:pPr>
            <w:r>
              <w:t xml:space="preserve">For </w:t>
            </w:r>
            <w:r w:rsidR="009B2CC0" w:rsidRPr="00835835">
              <w:t>stunned time</w:t>
            </w:r>
            <w:r w:rsidR="00864F09">
              <w:t xml:space="preserve">, </w:t>
            </w:r>
            <w:r>
              <w:t>y</w:t>
            </w:r>
            <w:r w:rsidR="00FE2F95">
              <w:t xml:space="preserve">ou need Log Insight </w:t>
            </w:r>
            <w:r>
              <w:t>as it’s not shown in the UI.</w:t>
            </w:r>
          </w:p>
        </w:tc>
      </w:tr>
    </w:tbl>
    <w:p w14:paraId="6EC6AFE1" w14:textId="77777777" w:rsidR="005202FF" w:rsidRDefault="005202FF" w:rsidP="00F34BE0">
      <w:pPr>
        <w:pStyle w:val="BeforeTable"/>
      </w:pPr>
    </w:p>
    <w:p w14:paraId="1AB1224B" w14:textId="66D1B7E2" w:rsidR="005D1717" w:rsidRDefault="005D1717" w:rsidP="005D1717">
      <w:r>
        <w:t>I do not put AWS EC2 or Azure VM here as the visibility is rather limited.</w:t>
      </w:r>
      <w:r w:rsidR="00F34BE0">
        <w:t xml:space="preserve"> If you have the solution, I’m keen to collaborate. </w:t>
      </w:r>
    </w:p>
    <w:p w14:paraId="4728E0BA" w14:textId="77E46DE8" w:rsidR="00B955DA" w:rsidRDefault="00B955DA" w:rsidP="00AC6E1E">
      <w:pPr>
        <w:pStyle w:val="Heading4"/>
      </w:pPr>
      <w:r>
        <w:t>Provider Layer</w:t>
      </w:r>
    </w:p>
    <w:p w14:paraId="4F982672" w14:textId="7AF7E729" w:rsidR="00B955DA" w:rsidRDefault="00533153" w:rsidP="009B313C">
      <w:r>
        <w:t>At any given moment, a running VM always reside</w:t>
      </w:r>
      <w:r w:rsidR="37A9FC6B">
        <w:t>s</w:t>
      </w:r>
      <w:r>
        <w:t xml:space="preserve"> on an ESXi Host. Due to DRS and HA, it’s easier to monitor at cluster level. Since a cluster can have hundreds of VMs, you need consolidated metrics</w:t>
      </w:r>
      <w:r w:rsidR="00827666">
        <w:t xml:space="preserve"> that can represent the experience of all the running VMs in the cluster</w:t>
      </w:r>
      <w:r>
        <w:t>. vRealize Operations 8.2 provides the following metrics</w:t>
      </w:r>
      <w:r w:rsidR="00827666">
        <w:t>:</w:t>
      </w:r>
    </w:p>
    <w:p w14:paraId="67A5E2EB" w14:textId="77777777" w:rsidR="003C31DA" w:rsidRDefault="003C31DA" w:rsidP="003C31DA">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3402"/>
        <w:gridCol w:w="7054"/>
      </w:tblGrid>
      <w:tr w:rsidR="003C31DA" w14:paraId="66D6F8C1" w14:textId="77777777" w:rsidTr="000E4597">
        <w:tc>
          <w:tcPr>
            <w:tcW w:w="3402" w:type="dxa"/>
            <w:shd w:val="clear" w:color="auto" w:fill="F2F2F2" w:themeFill="background1" w:themeFillShade="F2"/>
          </w:tcPr>
          <w:p w14:paraId="61FF4908" w14:textId="77777777" w:rsidR="003C31DA" w:rsidRPr="00F444DB" w:rsidRDefault="003C31DA" w:rsidP="00385EE9">
            <w:pPr>
              <w:pStyle w:val="Tableheading"/>
            </w:pPr>
            <w:r>
              <w:t>Problem</w:t>
            </w:r>
          </w:p>
        </w:tc>
        <w:tc>
          <w:tcPr>
            <w:tcW w:w="7054" w:type="dxa"/>
            <w:shd w:val="clear" w:color="auto" w:fill="F2F2F2" w:themeFill="background1" w:themeFillShade="F2"/>
          </w:tcPr>
          <w:p w14:paraId="19A194D2" w14:textId="77777777" w:rsidR="003C31DA" w:rsidRDefault="003C31DA" w:rsidP="00385EE9">
            <w:pPr>
              <w:pStyle w:val="Tableheading"/>
            </w:pPr>
            <w:r>
              <w:t>Optimize or Remediate</w:t>
            </w:r>
          </w:p>
        </w:tc>
      </w:tr>
      <w:tr w:rsidR="00520D00" w14:paraId="3BBF868D" w14:textId="77777777" w:rsidTr="00520D00">
        <w:tc>
          <w:tcPr>
            <w:tcW w:w="3402" w:type="dxa"/>
            <w:shd w:val="clear" w:color="auto" w:fill="auto"/>
          </w:tcPr>
          <w:p w14:paraId="7F452273" w14:textId="77777777" w:rsidR="00520D00" w:rsidRPr="00985BFE" w:rsidRDefault="00520D00" w:rsidP="00520D00">
            <w:pPr>
              <w:pStyle w:val="Tablecontent"/>
            </w:pPr>
            <w:r w:rsidRPr="00985BFE">
              <w:t>Worst VM CPU Ready</w:t>
            </w:r>
            <w:r>
              <w:t>.</w:t>
            </w:r>
            <w:r w:rsidRPr="00985BFE">
              <w:t xml:space="preserve"> </w:t>
            </w:r>
          </w:p>
          <w:p w14:paraId="327864BF" w14:textId="1A47972E" w:rsidR="00520D00" w:rsidRDefault="00520D00" w:rsidP="00520D00">
            <w:pPr>
              <w:pStyle w:val="Tablecontent"/>
            </w:pPr>
            <w:r w:rsidRPr="00985BFE">
              <w:t xml:space="preserve">Worst VM RAM Contention </w:t>
            </w:r>
          </w:p>
        </w:tc>
        <w:tc>
          <w:tcPr>
            <w:tcW w:w="7054" w:type="dxa"/>
            <w:shd w:val="clear" w:color="auto" w:fill="auto"/>
          </w:tcPr>
          <w:p w14:paraId="477F8DDC" w14:textId="77777777" w:rsidR="00520D00" w:rsidRDefault="00520D00" w:rsidP="00520D00">
            <w:pPr>
              <w:pStyle w:val="Tablecontent"/>
            </w:pPr>
            <w:r>
              <w:t>These are the highest value among all the running VMs. It shows you the depth of the problem.</w:t>
            </w:r>
          </w:p>
          <w:p w14:paraId="4FBDB46D" w14:textId="03721C13" w:rsidR="00520D00" w:rsidRDefault="00520D00" w:rsidP="00520D00">
            <w:pPr>
              <w:pStyle w:val="Tablecontent"/>
            </w:pPr>
            <w:r w:rsidRPr="00985BFE">
              <w:t>Check how many VMs are affected to see pattern.</w:t>
            </w:r>
          </w:p>
        </w:tc>
      </w:tr>
      <w:tr w:rsidR="000E4597" w14:paraId="4C2DC4EC" w14:textId="77777777" w:rsidTr="000E4597">
        <w:tc>
          <w:tcPr>
            <w:tcW w:w="3402" w:type="dxa"/>
          </w:tcPr>
          <w:p w14:paraId="2FC1FFD9" w14:textId="77777777" w:rsidR="000E4597" w:rsidRPr="00985BFE" w:rsidRDefault="000E4597" w:rsidP="00985BFE">
            <w:pPr>
              <w:pStyle w:val="Tablecontent"/>
            </w:pPr>
            <w:r w:rsidRPr="00985BFE">
              <w:t>% VMs experienced CPU Ready</w:t>
            </w:r>
          </w:p>
          <w:p w14:paraId="6011F45B" w14:textId="4080F861" w:rsidR="000E4597" w:rsidRPr="00985BFE" w:rsidRDefault="000E4597" w:rsidP="00985BFE">
            <w:pPr>
              <w:pStyle w:val="Tablecontent"/>
            </w:pPr>
            <w:r w:rsidRPr="00985BFE">
              <w:t>% VMs experienced RAM Contention</w:t>
            </w:r>
          </w:p>
        </w:tc>
        <w:tc>
          <w:tcPr>
            <w:tcW w:w="7054" w:type="dxa"/>
          </w:tcPr>
          <w:p w14:paraId="2EC58532" w14:textId="77777777" w:rsidR="000E4597" w:rsidRDefault="000E4597" w:rsidP="000E4597">
            <w:pPr>
              <w:pStyle w:val="Tablecontent"/>
              <w:rPr>
                <w:rFonts w:ascii="Arial" w:hAnsi="Arial" w:cs="Arial"/>
                <w:sz w:val="36"/>
                <w:szCs w:val="36"/>
              </w:rPr>
            </w:pPr>
            <w:r>
              <w:t>Since it’s impacting many VMs, the problem is likely not at VM setting, but at ESXi or cluster level. Some possibilities:</w:t>
            </w:r>
          </w:p>
          <w:p w14:paraId="6A938E7A" w14:textId="77777777" w:rsidR="000E4597" w:rsidRDefault="000E4597" w:rsidP="00E11A39">
            <w:pPr>
              <w:pStyle w:val="Tablecontent"/>
              <w:numPr>
                <w:ilvl w:val="0"/>
                <w:numId w:val="45"/>
              </w:numPr>
              <w:ind w:left="171"/>
              <w:divId w:val="176120700"/>
              <w:rPr>
                <w:rFonts w:ascii="Arial" w:hAnsi="Arial" w:cs="Arial"/>
                <w:szCs w:val="36"/>
              </w:rPr>
            </w:pPr>
            <w:r>
              <w:t>There is 1 or more sibling VM to Resource Pool, causing VMs in the pool to suffer.</w:t>
            </w:r>
          </w:p>
          <w:p w14:paraId="39CDCAD1" w14:textId="14749410" w:rsidR="000E4597" w:rsidRDefault="00654EA3" w:rsidP="00E11A39">
            <w:pPr>
              <w:pStyle w:val="Tablecontent"/>
              <w:numPr>
                <w:ilvl w:val="0"/>
                <w:numId w:val="45"/>
              </w:numPr>
              <w:ind w:left="171"/>
              <w:divId w:val="570770371"/>
              <w:rPr>
                <w:rFonts w:ascii="Arial" w:hAnsi="Arial" w:cs="Arial"/>
                <w:szCs w:val="36"/>
              </w:rPr>
            </w:pPr>
            <w:r>
              <w:t>Imbalance</w:t>
            </w:r>
            <w:r w:rsidR="000E4597">
              <w:t xml:space="preserve"> shares. 1 or more VM has relatively large shares.</w:t>
            </w:r>
          </w:p>
          <w:p w14:paraId="4096F081" w14:textId="3D748AC2" w:rsidR="0001097E" w:rsidRDefault="000E4597" w:rsidP="00E11A39">
            <w:pPr>
              <w:pStyle w:val="Tablecontent"/>
              <w:numPr>
                <w:ilvl w:val="0"/>
                <w:numId w:val="45"/>
              </w:numPr>
              <w:ind w:left="171"/>
              <w:divId w:val="792558511"/>
            </w:pPr>
            <w:r>
              <w:t xml:space="preserve">High ESXi utilization. However, Cluster utilization is unlikely to be high, due to HA and Buffer. So check for </w:t>
            </w:r>
            <w:r w:rsidR="00654EA3">
              <w:t>imbalance</w:t>
            </w:r>
            <w:r>
              <w:t xml:space="preserve"> among hosts, which is common in large clusters. </w:t>
            </w:r>
          </w:p>
          <w:p w14:paraId="133A57FC" w14:textId="715F5ADF" w:rsidR="009C76F2" w:rsidRDefault="00654EA3" w:rsidP="009C76F2">
            <w:pPr>
              <w:pStyle w:val="Tablecontent"/>
            </w:pPr>
            <w:r>
              <w:t>Imbalance</w:t>
            </w:r>
            <w:r w:rsidR="009C76F2">
              <w:t xml:space="preserve"> could be due to </w:t>
            </w:r>
          </w:p>
          <w:p w14:paraId="404E17CB" w14:textId="77777777" w:rsidR="009C76F2" w:rsidRDefault="009C76F2" w:rsidP="00E11A39">
            <w:pPr>
              <w:pStyle w:val="Tablecontent"/>
              <w:numPr>
                <w:ilvl w:val="0"/>
                <w:numId w:val="46"/>
              </w:numPr>
              <w:ind w:left="454"/>
            </w:pPr>
            <w:r>
              <w:t>DRS settings</w:t>
            </w:r>
          </w:p>
          <w:p w14:paraId="0EF397E6" w14:textId="77777777" w:rsidR="009C76F2" w:rsidRDefault="009C76F2" w:rsidP="00E11A39">
            <w:pPr>
              <w:pStyle w:val="Tablecontent"/>
              <w:numPr>
                <w:ilvl w:val="0"/>
                <w:numId w:val="46"/>
              </w:numPr>
              <w:ind w:left="454"/>
            </w:pPr>
            <w:r>
              <w:t>VM – Host affinity, or VM – VM affinity</w:t>
            </w:r>
          </w:p>
          <w:p w14:paraId="3216FB2B" w14:textId="77777777" w:rsidR="009C76F2" w:rsidRDefault="009C76F2" w:rsidP="00E11A39">
            <w:pPr>
              <w:pStyle w:val="Tablecontent"/>
              <w:numPr>
                <w:ilvl w:val="0"/>
                <w:numId w:val="46"/>
              </w:numPr>
              <w:ind w:left="454"/>
            </w:pPr>
            <w:r>
              <w:t>Resource Pool</w:t>
            </w:r>
          </w:p>
          <w:p w14:paraId="15933A3C" w14:textId="36AE6555" w:rsidR="009C76F2" w:rsidRDefault="009C76F2" w:rsidP="00E11A39">
            <w:pPr>
              <w:pStyle w:val="Tablecontent"/>
              <w:numPr>
                <w:ilvl w:val="0"/>
                <w:numId w:val="46"/>
              </w:numPr>
              <w:ind w:left="454"/>
            </w:pPr>
            <w:r>
              <w:t>Cluster inconsistent configuration (e.g. storage or network not available to all hosts)</w:t>
            </w:r>
          </w:p>
        </w:tc>
      </w:tr>
      <w:tr w:rsidR="000E4597" w14:paraId="76A75142" w14:textId="77777777" w:rsidTr="000E4597">
        <w:tc>
          <w:tcPr>
            <w:tcW w:w="3402" w:type="dxa"/>
          </w:tcPr>
          <w:p w14:paraId="68D4671D" w14:textId="2A0978D5" w:rsidR="000E4597" w:rsidRPr="000E7E6D" w:rsidRDefault="000E4597" w:rsidP="000E4597">
            <w:pPr>
              <w:pStyle w:val="Tablecontent"/>
            </w:pPr>
            <w:r>
              <w:t>vSAN CPU Ready</w:t>
            </w:r>
          </w:p>
        </w:tc>
        <w:tc>
          <w:tcPr>
            <w:tcW w:w="7054" w:type="dxa"/>
          </w:tcPr>
          <w:p w14:paraId="3784A47E" w14:textId="63AEFA5A" w:rsidR="000E4597" w:rsidRDefault="000E4597" w:rsidP="000E4597">
            <w:pPr>
              <w:pStyle w:val="Tablecontent"/>
            </w:pPr>
            <w:r>
              <w:t xml:space="preserve">It’s not something you can change, unless via ESXi advanced settings to modify the </w:t>
            </w:r>
            <w:r w:rsidR="00FD5A65">
              <w:t>VMkernel</w:t>
            </w:r>
            <w:r>
              <w:t xml:space="preserve"> scheduler behaviour?</w:t>
            </w:r>
          </w:p>
        </w:tc>
      </w:tr>
      <w:tr w:rsidR="000E4597" w14:paraId="5BE6FB24" w14:textId="77777777" w:rsidTr="000E4597">
        <w:tc>
          <w:tcPr>
            <w:tcW w:w="3402" w:type="dxa"/>
          </w:tcPr>
          <w:p w14:paraId="0BE548DE" w14:textId="2200942C" w:rsidR="000E4597" w:rsidRPr="000E7E6D" w:rsidRDefault="000E4597" w:rsidP="000E4597">
            <w:pPr>
              <w:pStyle w:val="Tablecontent"/>
            </w:pPr>
            <w:r>
              <w:lastRenderedPageBreak/>
              <w:t>ESXi Error Packets</w:t>
            </w:r>
          </w:p>
        </w:tc>
        <w:tc>
          <w:tcPr>
            <w:tcW w:w="7054" w:type="dxa"/>
          </w:tcPr>
          <w:p w14:paraId="209A5621" w14:textId="0B4114C9" w:rsidR="000E4597" w:rsidRDefault="000E4597" w:rsidP="000E4597">
            <w:pPr>
              <w:pStyle w:val="Tablecontent"/>
            </w:pPr>
            <w:r>
              <w:t>Check the vmnic driver and firmware</w:t>
            </w:r>
          </w:p>
        </w:tc>
      </w:tr>
    </w:tbl>
    <w:p w14:paraId="278DE05A" w14:textId="77777777" w:rsidR="003C31DA" w:rsidRDefault="003C31DA" w:rsidP="003C31DA">
      <w:pPr>
        <w:pStyle w:val="BeforeTable"/>
      </w:pPr>
    </w:p>
    <w:p w14:paraId="70AB6E4F" w14:textId="76A20DF5" w:rsidR="00C23564" w:rsidRDefault="00C23564" w:rsidP="00E7573A">
      <w:pPr>
        <w:pStyle w:val="Heading5"/>
      </w:pPr>
      <w:r>
        <w:t>Datastore</w:t>
      </w:r>
    </w:p>
    <w:p w14:paraId="4BA7E80C" w14:textId="4C944F1A" w:rsidR="00923877" w:rsidRPr="006D3AA1" w:rsidRDefault="00533153" w:rsidP="00923877">
      <w:r>
        <w:t xml:space="preserve">A running VM also consumes datastore service or has </w:t>
      </w:r>
      <w:hyperlink r:id="rId127" w:history="1">
        <w:r w:rsidR="00D903EC" w:rsidRPr="00D903EC">
          <w:rPr>
            <w:rStyle w:val="Hyperlink"/>
          </w:rPr>
          <w:t>Raw Device Mapping</w:t>
        </w:r>
      </w:hyperlink>
      <w:r w:rsidR="00D903EC">
        <w:t xml:space="preserve"> (</w:t>
      </w:r>
      <w:r>
        <w:t>RDM</w:t>
      </w:r>
      <w:r w:rsidR="00D903EC">
        <w:t>)</w:t>
      </w:r>
      <w:r>
        <w:t xml:space="preserve"> disk.</w:t>
      </w:r>
    </w:p>
    <w:p w14:paraId="394377D1" w14:textId="35C0265A" w:rsidR="004F11C4" w:rsidRDefault="004F11C4" w:rsidP="00690AF6">
      <w:r w:rsidRPr="006D3AA1">
        <w:t>Here is the list of potential problems at the provider layer</w:t>
      </w:r>
      <w:r w:rsidR="00DF0CDD">
        <w:t>:</w:t>
      </w:r>
    </w:p>
    <w:p w14:paraId="155BB53F" w14:textId="77777777" w:rsidR="00937953" w:rsidRDefault="00937953" w:rsidP="00937953">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276"/>
        <w:gridCol w:w="2977"/>
        <w:gridCol w:w="6213"/>
      </w:tblGrid>
      <w:tr w:rsidR="00937953" w14:paraId="2EF2715E" w14:textId="77777777" w:rsidTr="000A2585">
        <w:tc>
          <w:tcPr>
            <w:tcW w:w="1276" w:type="dxa"/>
            <w:shd w:val="clear" w:color="auto" w:fill="F2F2F2" w:themeFill="background1" w:themeFillShade="F2"/>
          </w:tcPr>
          <w:p w14:paraId="7A44F252" w14:textId="77777777" w:rsidR="00937953" w:rsidRPr="00F444DB" w:rsidRDefault="00937953" w:rsidP="00385EE9">
            <w:pPr>
              <w:pStyle w:val="Tableheading"/>
            </w:pPr>
            <w:r>
              <w:lastRenderedPageBreak/>
              <w:t>Layer</w:t>
            </w:r>
          </w:p>
        </w:tc>
        <w:tc>
          <w:tcPr>
            <w:tcW w:w="2977" w:type="dxa"/>
            <w:shd w:val="clear" w:color="auto" w:fill="F2F2F2" w:themeFill="background1" w:themeFillShade="F2"/>
          </w:tcPr>
          <w:p w14:paraId="42113C15" w14:textId="77777777" w:rsidR="00937953" w:rsidRDefault="00937953" w:rsidP="00385EE9">
            <w:pPr>
              <w:pStyle w:val="Tableheading"/>
            </w:pPr>
            <w:r>
              <w:t>Metric</w:t>
            </w:r>
          </w:p>
        </w:tc>
        <w:tc>
          <w:tcPr>
            <w:tcW w:w="6213" w:type="dxa"/>
            <w:shd w:val="clear" w:color="auto" w:fill="F2F2F2" w:themeFill="background1" w:themeFillShade="F2"/>
          </w:tcPr>
          <w:p w14:paraId="2A3ADB0E" w14:textId="77777777" w:rsidR="00937953" w:rsidRDefault="00937953" w:rsidP="00385EE9">
            <w:pPr>
              <w:pStyle w:val="Tableheading"/>
            </w:pPr>
            <w:r>
              <w:t>Optimize or Remediate</w:t>
            </w:r>
          </w:p>
        </w:tc>
      </w:tr>
      <w:tr w:rsidR="000A1610" w14:paraId="39DCCFA4" w14:textId="77777777" w:rsidTr="000A2585">
        <w:tc>
          <w:tcPr>
            <w:tcW w:w="1276" w:type="dxa"/>
            <w:vMerge w:val="restart"/>
          </w:tcPr>
          <w:p w14:paraId="25F3EF5A" w14:textId="113BEC7B" w:rsidR="000A1610" w:rsidRPr="00813F1A" w:rsidRDefault="00A87F8A" w:rsidP="000A1610">
            <w:pPr>
              <w:pStyle w:val="Tablecontent"/>
              <w:rPr>
                <w:b/>
                <w:bCs/>
              </w:rPr>
            </w:pPr>
            <w:r w:rsidRPr="00A87F8A">
              <w:rPr>
                <w:b/>
                <w:bCs/>
                <w:lang w:val="en-SG"/>
              </w:rPr>
              <w:t>Datastore</w:t>
            </w:r>
          </w:p>
        </w:tc>
        <w:tc>
          <w:tcPr>
            <w:tcW w:w="2977" w:type="dxa"/>
          </w:tcPr>
          <w:p w14:paraId="43601EF3" w14:textId="77777777" w:rsidR="000A1610" w:rsidRDefault="000A1610" w:rsidP="000A2585">
            <w:pPr>
              <w:pStyle w:val="Tablecontent"/>
              <w:rPr>
                <w:rFonts w:ascii="Arial" w:hAnsi="Arial" w:cs="Arial"/>
                <w:sz w:val="36"/>
                <w:szCs w:val="36"/>
                <w:lang w:eastAsia="en-SG"/>
              </w:rPr>
            </w:pPr>
            <w:r>
              <w:t>Worst VM Disk Latency</w:t>
            </w:r>
          </w:p>
          <w:p w14:paraId="1A321F1F" w14:textId="599038A7" w:rsidR="000A1610" w:rsidRPr="00057BA1" w:rsidRDefault="000A1610" w:rsidP="000A2585">
            <w:pPr>
              <w:pStyle w:val="Tablecontent"/>
            </w:pPr>
            <w:r>
              <w:t>Worst VM Outstanding IO</w:t>
            </w:r>
          </w:p>
        </w:tc>
        <w:tc>
          <w:tcPr>
            <w:tcW w:w="6213" w:type="dxa"/>
          </w:tcPr>
          <w:p w14:paraId="0CDA397C" w14:textId="77777777" w:rsidR="000A1610" w:rsidRDefault="000A1610" w:rsidP="000A2585">
            <w:pPr>
              <w:pStyle w:val="Tablecontent"/>
              <w:rPr>
                <w:rFonts w:ascii="Arial" w:hAnsi="Arial" w:cs="Arial"/>
                <w:sz w:val="36"/>
                <w:szCs w:val="36"/>
              </w:rPr>
            </w:pPr>
            <w:r>
              <w:t xml:space="preserve">Check if it happens on 1-2 virtual disk, or impact all the VM disks. If no other VM has problem, check the VM shares, limit, CPU ready, CPU Co-Stop and IO wait. </w:t>
            </w:r>
          </w:p>
          <w:p w14:paraId="2ADC0338" w14:textId="77777777" w:rsidR="000A1610" w:rsidRDefault="000A1610" w:rsidP="000A2585">
            <w:pPr>
              <w:pStyle w:val="Tablecontent"/>
              <w:rPr>
                <w:rFonts w:ascii="Arial" w:hAnsi="Arial" w:cs="Arial"/>
                <w:sz w:val="36"/>
                <w:szCs w:val="36"/>
              </w:rPr>
            </w:pPr>
            <w:r>
              <w:t>Note this excludes RDM.</w:t>
            </w:r>
          </w:p>
          <w:p w14:paraId="55744586" w14:textId="77777777" w:rsidR="000A1610" w:rsidRDefault="000A1610" w:rsidP="000A2585">
            <w:pPr>
              <w:pStyle w:val="Tablecontent"/>
              <w:rPr>
                <w:rFonts w:ascii="Arial" w:hAnsi="Arial" w:cs="Arial"/>
                <w:sz w:val="36"/>
                <w:szCs w:val="36"/>
              </w:rPr>
            </w:pPr>
            <w:r>
              <w:t>If it’s VMFS, check if queue in the ESXi kernel. Any value &gt;1 ms should be investigated. Check the HBA queue and queue depth.</w:t>
            </w:r>
          </w:p>
          <w:p w14:paraId="0FE0B06C" w14:textId="689BF8C6" w:rsidR="000A1610" w:rsidRPr="00057BA1" w:rsidRDefault="000A1610" w:rsidP="000A2585">
            <w:pPr>
              <w:pStyle w:val="Tablecontent"/>
            </w:pPr>
            <w:r>
              <w:t>If it’s NFS, check the NFS server performance.</w:t>
            </w:r>
          </w:p>
        </w:tc>
      </w:tr>
      <w:tr w:rsidR="000A1610" w14:paraId="68611127" w14:textId="77777777" w:rsidTr="000A2585">
        <w:tc>
          <w:tcPr>
            <w:tcW w:w="1276" w:type="dxa"/>
            <w:vMerge/>
          </w:tcPr>
          <w:p w14:paraId="67168717" w14:textId="77777777" w:rsidR="000A1610" w:rsidRPr="00813F1A" w:rsidRDefault="000A1610" w:rsidP="000A1610">
            <w:pPr>
              <w:pStyle w:val="Tablecontent"/>
              <w:rPr>
                <w:b/>
                <w:bCs/>
              </w:rPr>
            </w:pPr>
          </w:p>
        </w:tc>
        <w:tc>
          <w:tcPr>
            <w:tcW w:w="2977" w:type="dxa"/>
          </w:tcPr>
          <w:p w14:paraId="42A3AEA1" w14:textId="77777777" w:rsidR="000A1610" w:rsidRDefault="000A1610" w:rsidP="000A2585">
            <w:pPr>
              <w:pStyle w:val="Tablecontent"/>
              <w:rPr>
                <w:rFonts w:ascii="Arial" w:hAnsi="Arial" w:cs="Arial"/>
                <w:sz w:val="36"/>
                <w:szCs w:val="36"/>
              </w:rPr>
            </w:pPr>
            <w:r>
              <w:t>% VM experienced Disk Latency</w:t>
            </w:r>
          </w:p>
          <w:p w14:paraId="66496641" w14:textId="1C6F2324" w:rsidR="000A1610" w:rsidRPr="00057BA1" w:rsidRDefault="000A1610" w:rsidP="000A2585">
            <w:pPr>
              <w:pStyle w:val="Tablecontent"/>
            </w:pPr>
            <w:r>
              <w:t>% VM experienced Outstanding IO</w:t>
            </w:r>
          </w:p>
        </w:tc>
        <w:tc>
          <w:tcPr>
            <w:tcW w:w="6213" w:type="dxa"/>
          </w:tcPr>
          <w:p w14:paraId="6EA3EEF2" w14:textId="77777777" w:rsidR="000A1610" w:rsidRDefault="000A1610" w:rsidP="000A2585">
            <w:pPr>
              <w:pStyle w:val="Tablecontent"/>
              <w:rPr>
                <w:rFonts w:ascii="Arial" w:hAnsi="Arial" w:cs="Arial"/>
                <w:sz w:val="36"/>
                <w:szCs w:val="36"/>
              </w:rPr>
            </w:pPr>
            <w:r>
              <w:t>Since it’s widespread, check if it happens across multiple datastores. If it’s, check for VM CPU ready, VM CPU Co-stop, and ESXi kernel queue. Check underlying LUN latency, be mindful it’s an average number of all VMs in the datastores.</w:t>
            </w:r>
          </w:p>
          <w:p w14:paraId="28E4B0D8" w14:textId="2212B613" w:rsidR="000A1610" w:rsidRPr="00057BA1" w:rsidRDefault="000A1610" w:rsidP="000A2585">
            <w:pPr>
              <w:pStyle w:val="Tablecontent"/>
            </w:pPr>
            <w:r>
              <w:t>For VMFS, check HBA queue (KAVG).</w:t>
            </w:r>
          </w:p>
        </w:tc>
      </w:tr>
      <w:tr w:rsidR="00A87F8A" w14:paraId="081A0B2E" w14:textId="77777777" w:rsidTr="000A2585">
        <w:tc>
          <w:tcPr>
            <w:tcW w:w="1276" w:type="dxa"/>
          </w:tcPr>
          <w:p w14:paraId="6EDBF855" w14:textId="339B3FE6" w:rsidR="00A87F8A" w:rsidRPr="00813F1A" w:rsidRDefault="00A87F8A" w:rsidP="00A87F8A">
            <w:pPr>
              <w:pStyle w:val="Tablecontent"/>
              <w:rPr>
                <w:b/>
                <w:bCs/>
              </w:rPr>
            </w:pPr>
            <w:r>
              <w:rPr>
                <w:b/>
                <w:bCs/>
              </w:rPr>
              <w:t>vSAN</w:t>
            </w:r>
          </w:p>
        </w:tc>
        <w:tc>
          <w:tcPr>
            <w:tcW w:w="2977" w:type="dxa"/>
          </w:tcPr>
          <w:p w14:paraId="07D2B5B1" w14:textId="4CBFA272" w:rsidR="00A87F8A" w:rsidRDefault="00A87F8A" w:rsidP="000A2585">
            <w:pPr>
              <w:pStyle w:val="Tablecontent"/>
            </w:pPr>
            <w:r>
              <w:t>vSAN KPI</w:t>
            </w:r>
          </w:p>
        </w:tc>
        <w:tc>
          <w:tcPr>
            <w:tcW w:w="6213" w:type="dxa"/>
          </w:tcPr>
          <w:p w14:paraId="08BB9CF6" w14:textId="0C89A7E2" w:rsidR="00A87F8A" w:rsidRDefault="00A87F8A" w:rsidP="000A2585">
            <w:pPr>
              <w:pStyle w:val="Tablecontent"/>
            </w:pPr>
            <w:r>
              <w:t xml:space="preserve">If it’s vSAN, check for vSAN KPI metrics. </w:t>
            </w:r>
            <w:r w:rsidR="00E1023F">
              <w:t>vRealize Operations</w:t>
            </w:r>
            <w:r>
              <w:t xml:space="preserve"> sports a number of KPI metrics.</w:t>
            </w:r>
          </w:p>
          <w:p w14:paraId="3990EE7D" w14:textId="6F0DDF00" w:rsidR="00F455A3" w:rsidRDefault="00F455A3" w:rsidP="000A2585">
            <w:pPr>
              <w:pStyle w:val="Tablecontent"/>
            </w:pPr>
            <w:r>
              <w:t xml:space="preserve">Check the Read/Write ratio and compare it </w:t>
            </w:r>
            <w:r w:rsidR="00044EA1">
              <w:t xml:space="preserve">against plan. If the time of incident happened to match with the spike in </w:t>
            </w:r>
            <w:r w:rsidR="000A1589">
              <w:t xml:space="preserve">ratio, it could be related. </w:t>
            </w:r>
          </w:p>
        </w:tc>
      </w:tr>
      <w:tr w:rsidR="000A2585" w14:paraId="4D56DF49" w14:textId="77777777" w:rsidTr="000A2585">
        <w:tc>
          <w:tcPr>
            <w:tcW w:w="1276" w:type="dxa"/>
          </w:tcPr>
          <w:p w14:paraId="16637C27" w14:textId="444CCDCC" w:rsidR="000A2585" w:rsidRDefault="000A2585" w:rsidP="000A2585">
            <w:pPr>
              <w:pStyle w:val="Tablecontent"/>
              <w:rPr>
                <w:b/>
                <w:bCs/>
              </w:rPr>
            </w:pPr>
            <w:r>
              <w:rPr>
                <w:b/>
                <w:bCs/>
              </w:rPr>
              <w:t>vSwitch</w:t>
            </w:r>
          </w:p>
        </w:tc>
        <w:tc>
          <w:tcPr>
            <w:tcW w:w="2977" w:type="dxa"/>
          </w:tcPr>
          <w:p w14:paraId="019E9B2B" w14:textId="547CC633" w:rsidR="000A2585" w:rsidRDefault="000A2585" w:rsidP="000A2585">
            <w:pPr>
              <w:pStyle w:val="Tablecontent"/>
            </w:pPr>
            <w:r>
              <w:t>Dropped packets</w:t>
            </w:r>
          </w:p>
        </w:tc>
        <w:tc>
          <w:tcPr>
            <w:tcW w:w="6213" w:type="dxa"/>
          </w:tcPr>
          <w:p w14:paraId="51CC828B" w14:textId="77777777" w:rsidR="000A2585" w:rsidRDefault="000A2585" w:rsidP="000A2585">
            <w:pPr>
              <w:pStyle w:val="Tablecontent"/>
              <w:rPr>
                <w:rFonts w:ascii="Arial" w:hAnsi="Arial" w:cs="Arial"/>
                <w:sz w:val="36"/>
                <w:szCs w:val="36"/>
              </w:rPr>
            </w:pPr>
            <w:r>
              <w:t>Drill down to find out which VMs or ESXi are affected.</w:t>
            </w:r>
          </w:p>
          <w:p w14:paraId="3CB38089" w14:textId="2DB8FD8B" w:rsidR="000A2585" w:rsidRDefault="000A2585" w:rsidP="000A2585">
            <w:pPr>
              <w:pStyle w:val="Tablecontent"/>
            </w:pPr>
            <w:r>
              <w:t>Ensure it’s not false positive by checking broadcast and multicast packets.</w:t>
            </w:r>
          </w:p>
        </w:tc>
      </w:tr>
      <w:tr w:rsidR="000A2585" w14:paraId="7EB324A5" w14:textId="77777777" w:rsidTr="000A2585">
        <w:tc>
          <w:tcPr>
            <w:tcW w:w="1276" w:type="dxa"/>
          </w:tcPr>
          <w:p w14:paraId="424A0DE3" w14:textId="0D79EF66" w:rsidR="000A2585" w:rsidRDefault="000A2585" w:rsidP="000A2585">
            <w:pPr>
              <w:pStyle w:val="Tablecontent"/>
              <w:rPr>
                <w:b/>
                <w:bCs/>
              </w:rPr>
            </w:pPr>
            <w:r>
              <w:rPr>
                <w:b/>
                <w:bCs/>
              </w:rPr>
              <w:t>NSX</w:t>
            </w:r>
          </w:p>
        </w:tc>
        <w:tc>
          <w:tcPr>
            <w:tcW w:w="2977" w:type="dxa"/>
          </w:tcPr>
          <w:p w14:paraId="2E039642" w14:textId="2CE37851" w:rsidR="000A2585" w:rsidRDefault="000A2585" w:rsidP="000A2585">
            <w:pPr>
              <w:pStyle w:val="Tablecontent"/>
            </w:pPr>
            <w:r>
              <w:t>NSX Edge performance</w:t>
            </w:r>
          </w:p>
        </w:tc>
        <w:tc>
          <w:tcPr>
            <w:tcW w:w="6213" w:type="dxa"/>
          </w:tcPr>
          <w:p w14:paraId="5AA81ED1" w14:textId="2D8B8575" w:rsidR="000A2585" w:rsidRDefault="000A2585" w:rsidP="000A2585">
            <w:pPr>
              <w:pStyle w:val="Tablecontent"/>
            </w:pPr>
            <w:r>
              <w:t>Ensure Edge is performing (CPU, RAM, Disk, Network).</w:t>
            </w:r>
          </w:p>
        </w:tc>
      </w:tr>
    </w:tbl>
    <w:p w14:paraId="66860459" w14:textId="4BE862B7" w:rsidR="00693BF9" w:rsidRDefault="00693BF9" w:rsidP="00540F68">
      <w:pPr>
        <w:pStyle w:val="Heading3"/>
      </w:pPr>
      <w:r>
        <w:t>Nois</w:t>
      </w:r>
      <w:r w:rsidR="00B32D33">
        <w:t>y</w:t>
      </w:r>
      <w:r>
        <w:t xml:space="preserve"> Neighbour</w:t>
      </w:r>
    </w:p>
    <w:p w14:paraId="5B2A073D" w14:textId="0BC907DB" w:rsidR="00270A0A" w:rsidRDefault="00693BF9" w:rsidP="00693BF9">
      <w:pPr>
        <w:rPr>
          <w:lang w:val="en-GB"/>
        </w:rPr>
      </w:pPr>
      <w:r>
        <w:rPr>
          <w:lang w:val="en-GB"/>
        </w:rPr>
        <w:t xml:space="preserve">In a shared environment where there is </w:t>
      </w:r>
      <w:r w:rsidR="00B32D33">
        <w:rPr>
          <w:lang w:val="en-GB"/>
        </w:rPr>
        <w:t xml:space="preserve">practically </w:t>
      </w:r>
      <w:r>
        <w:rPr>
          <w:lang w:val="en-GB"/>
        </w:rPr>
        <w:t xml:space="preserve">no limit or control placed on consumer (e.g. VM, Container), you can </w:t>
      </w:r>
      <w:r w:rsidR="00B32D33">
        <w:rPr>
          <w:lang w:val="en-GB"/>
        </w:rPr>
        <w:t xml:space="preserve">get into Victim Villain problem. This is where a small percentage of consumer cause performance problem to others. It could be as simple as 1 constant consumer causing the problem to the same few victims, so you know who the villain and who the victims. It could be as complex as transient problems, where you can not even see a pattern. Both the villains and victims are random, and they may even trade position over time. </w:t>
      </w:r>
      <w:r w:rsidR="004F75BD">
        <w:rPr>
          <w:lang w:val="en-GB"/>
        </w:rPr>
        <w:t xml:space="preserve">Sometimes the victim is the villain, causing self harm. </w:t>
      </w:r>
    </w:p>
    <w:p w14:paraId="3E48E7C4" w14:textId="00918FC8" w:rsidR="004F75BD" w:rsidRDefault="00270A0A" w:rsidP="00693BF9">
      <w:pPr>
        <w:rPr>
          <w:lang w:val="en-GB"/>
        </w:rPr>
      </w:pPr>
      <w:r>
        <w:rPr>
          <w:lang w:val="en-GB"/>
        </w:rPr>
        <w:t>The real villain may not be the VM</w:t>
      </w:r>
      <w:r w:rsidR="004F75BD">
        <w:rPr>
          <w:lang w:val="en-GB"/>
        </w:rPr>
        <w:t>, meaning the real request of the load is coming from outside the VM. Windows or Linux was simply executing what a central command center asked.</w:t>
      </w:r>
    </w:p>
    <w:p w14:paraId="249F806F" w14:textId="3E04193C" w:rsidR="00270A0A" w:rsidRDefault="004F75BD" w:rsidP="00693BF9">
      <w:pPr>
        <w:rPr>
          <w:lang w:val="en-GB"/>
        </w:rPr>
      </w:pPr>
      <w:r>
        <w:rPr>
          <w:lang w:val="en-GB"/>
        </w:rPr>
        <w:t xml:space="preserve">The cause of the problem may not even be related to the symptom. </w:t>
      </w:r>
    </w:p>
    <w:p w14:paraId="78924B77" w14:textId="3AB68CCE" w:rsidR="002E0071" w:rsidRDefault="00270A0A" w:rsidP="00693BF9">
      <w:pPr>
        <w:rPr>
          <w:lang w:val="en-GB"/>
        </w:rPr>
      </w:pPr>
      <w:r>
        <w:rPr>
          <w:lang w:val="en-GB"/>
        </w:rPr>
        <w:lastRenderedPageBreak/>
        <w:t xml:space="preserve">A story I remember well is the Head of IT Operations asked me </w:t>
      </w:r>
      <w:r w:rsidR="004F75BD">
        <w:rPr>
          <w:lang w:val="en-GB"/>
        </w:rPr>
        <w:t>to “</w:t>
      </w:r>
      <w:r w:rsidR="004F75BD" w:rsidRPr="004F75BD">
        <w:rPr>
          <w:color w:val="00B0F0"/>
          <w:lang w:val="en-GB"/>
        </w:rPr>
        <w:t>find the b@$t@rd that did this to me</w:t>
      </w:r>
      <w:r w:rsidR="004F75BD">
        <w:rPr>
          <w:lang w:val="en-GB"/>
        </w:rPr>
        <w:t>”. He believed there is a villain VM in this environment that randomly attacked other VMs. The symptom is the victims became unresponsive, sometimes to a simple ping, but the problem always disappeared within 15 minutes. The victims were spread across multiple clusters, multiple datastores and multiple datacenters. There is no pattern on the victim. They varied in size, and both Windows and Linux were affected. There is no pattern on the time, so he did not know when the next attack would be.</w:t>
      </w:r>
    </w:p>
    <w:p w14:paraId="60A7F6F7" w14:textId="3C8CE781" w:rsidR="004F75BD" w:rsidRDefault="004F75BD" w:rsidP="00693BF9">
      <w:pPr>
        <w:rPr>
          <w:lang w:val="en-GB"/>
        </w:rPr>
      </w:pPr>
      <w:r>
        <w:rPr>
          <w:lang w:val="en-GB"/>
        </w:rPr>
        <w:t>We did a lot of analysis, working with both storage team (they were on EMC high end array) and network team (they have synchronous replication for mission critical datastores over Cisco switches and routers</w:t>
      </w:r>
      <w:r w:rsidR="004C0D28">
        <w:rPr>
          <w:lang w:val="en-GB"/>
        </w:rPr>
        <w:t>)</w:t>
      </w:r>
      <w:r>
        <w:rPr>
          <w:lang w:val="en-GB"/>
        </w:rPr>
        <w:t xml:space="preserve">. </w:t>
      </w:r>
    </w:p>
    <w:p w14:paraId="2B9EA43E" w14:textId="6BC8471E" w:rsidR="004F75BD" w:rsidRDefault="004F75BD" w:rsidP="00693BF9">
      <w:pPr>
        <w:rPr>
          <w:lang w:val="en-GB"/>
        </w:rPr>
      </w:pPr>
      <w:r>
        <w:rPr>
          <w:lang w:val="en-GB"/>
        </w:rPr>
        <w:t>At the end, we found out it was the anti virus signature update. It was not randomized</w:t>
      </w:r>
      <w:r w:rsidR="00C31CB0">
        <w:rPr>
          <w:lang w:val="en-GB"/>
        </w:rPr>
        <w:t xml:space="preserve"> over long period</w:t>
      </w:r>
      <w:r>
        <w:rPr>
          <w:lang w:val="en-GB"/>
        </w:rPr>
        <w:t>. When hundreds of VMs were updated, the combined IOPS saturated the WAN link, reducing the synchronous replication. That basically paused IO commands, so the VMs were frozen.</w:t>
      </w:r>
    </w:p>
    <w:p w14:paraId="28274DED" w14:textId="02717033" w:rsidR="00C34FB1" w:rsidRDefault="00C34FB1" w:rsidP="00693BF9">
      <w:pPr>
        <w:rPr>
          <w:lang w:val="en-GB"/>
        </w:rPr>
      </w:pPr>
      <w:r>
        <w:rPr>
          <w:lang w:val="en-GB"/>
        </w:rPr>
        <w:t>What are the 3 knobs you have to control noisy neighbour?</w:t>
      </w:r>
    </w:p>
    <w:p w14:paraId="3F04172E" w14:textId="77777777" w:rsidR="00B32D33" w:rsidRDefault="00B32D33" w:rsidP="00B32D33">
      <w:pPr>
        <w:pStyle w:val="BeforeTable"/>
        <w:rPr>
          <w:lang w:val="en-GB"/>
        </w:rPr>
      </w:pPr>
    </w:p>
    <w:tbl>
      <w:tblPr>
        <w:tblStyle w:val="TableGrid"/>
        <w:tblW w:w="1048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38"/>
        <w:gridCol w:w="8647"/>
      </w:tblGrid>
      <w:tr w:rsidR="00C34FB1" w14:paraId="24B8D5FB" w14:textId="77777777" w:rsidTr="00D546B3">
        <w:tc>
          <w:tcPr>
            <w:tcW w:w="1838" w:type="dxa"/>
            <w:shd w:val="clear" w:color="auto" w:fill="F2F2F2" w:themeFill="background1" w:themeFillShade="F2"/>
          </w:tcPr>
          <w:p w14:paraId="411392C0" w14:textId="56E12335" w:rsidR="00C34FB1" w:rsidRDefault="00C34FB1" w:rsidP="00B32D33">
            <w:pPr>
              <w:pStyle w:val="Tableheading"/>
            </w:pPr>
            <w:r>
              <w:t>Control</w:t>
            </w:r>
          </w:p>
        </w:tc>
        <w:tc>
          <w:tcPr>
            <w:tcW w:w="8647" w:type="dxa"/>
            <w:shd w:val="clear" w:color="auto" w:fill="F2F2F2" w:themeFill="background1" w:themeFillShade="F2"/>
          </w:tcPr>
          <w:p w14:paraId="29971978" w14:textId="41D49D54" w:rsidR="00C34FB1" w:rsidRDefault="00C34FB1" w:rsidP="00B32D33">
            <w:pPr>
              <w:pStyle w:val="Tableheading"/>
            </w:pPr>
            <w:r>
              <w:t>Analysis</w:t>
            </w:r>
          </w:p>
        </w:tc>
      </w:tr>
      <w:tr w:rsidR="00C34FB1" w14:paraId="7EEBF2A8" w14:textId="77777777" w:rsidTr="00D546B3">
        <w:tc>
          <w:tcPr>
            <w:tcW w:w="1838" w:type="dxa"/>
          </w:tcPr>
          <w:p w14:paraId="61F5B94D" w14:textId="7F6E3466" w:rsidR="00C34FB1" w:rsidRDefault="00C34FB1" w:rsidP="00B32D33">
            <w:pPr>
              <w:pStyle w:val="Tablecontent"/>
            </w:pPr>
            <w:r>
              <w:t>Limit</w:t>
            </w:r>
          </w:p>
        </w:tc>
        <w:tc>
          <w:tcPr>
            <w:tcW w:w="8647" w:type="dxa"/>
          </w:tcPr>
          <w:p w14:paraId="00D56305" w14:textId="77777777" w:rsidR="00D546B3" w:rsidRDefault="00C34FB1" w:rsidP="00B32D33">
            <w:pPr>
              <w:pStyle w:val="Tablecontent"/>
            </w:pPr>
            <w:r>
              <w:t>The most basic form of control. It sets the upper limit</w:t>
            </w:r>
            <w:r w:rsidR="00D546B3">
              <w:t xml:space="preserve"> that the consumer can’t exceed. I</w:t>
            </w:r>
            <w:r>
              <w:t>t is a hard limit.</w:t>
            </w:r>
            <w:r w:rsidR="00D546B3">
              <w:t xml:space="preserve"> </w:t>
            </w:r>
          </w:p>
          <w:p w14:paraId="08439EF0" w14:textId="6DBF0549" w:rsidR="00D546B3" w:rsidRDefault="00D546B3" w:rsidP="00B32D33">
            <w:pPr>
              <w:pStyle w:val="Tablecontent"/>
            </w:pPr>
            <w:r>
              <w:t xml:space="preserve">If the shared resource is actually available, it will go wasted instead of being used. </w:t>
            </w:r>
          </w:p>
          <w:p w14:paraId="0A3F07EE" w14:textId="01E85632" w:rsidR="00C34FB1" w:rsidRDefault="00D546B3" w:rsidP="00B32D33">
            <w:pPr>
              <w:pStyle w:val="Tablecontent"/>
            </w:pPr>
            <w:r>
              <w:t>On the other than, this guarantees that consumer will not exceed what they pay for. You can also contain the damage of denial of service attack.</w:t>
            </w:r>
          </w:p>
          <w:p w14:paraId="7A1B2874" w14:textId="027F989E" w:rsidR="00D546B3" w:rsidRDefault="00D546B3" w:rsidP="00B32D33">
            <w:pPr>
              <w:pStyle w:val="Tablecontent"/>
            </w:pPr>
            <w:r>
              <w:t xml:space="preserve">From the above, you can see it cuts both ways. You need to balance cost and performance. </w:t>
            </w:r>
          </w:p>
        </w:tc>
      </w:tr>
      <w:tr w:rsidR="00C34FB1" w14:paraId="1469192B" w14:textId="77777777" w:rsidTr="00D546B3">
        <w:tc>
          <w:tcPr>
            <w:tcW w:w="1838" w:type="dxa"/>
          </w:tcPr>
          <w:p w14:paraId="3CC91570" w14:textId="62F9F01F" w:rsidR="00C34FB1" w:rsidRDefault="00C34FB1" w:rsidP="00B32D33">
            <w:pPr>
              <w:pStyle w:val="Tablecontent"/>
            </w:pPr>
            <w:r>
              <w:t>Reservation</w:t>
            </w:r>
          </w:p>
        </w:tc>
        <w:tc>
          <w:tcPr>
            <w:tcW w:w="8647" w:type="dxa"/>
          </w:tcPr>
          <w:p w14:paraId="2B42117B" w14:textId="77777777" w:rsidR="00C34FB1" w:rsidRDefault="00C34FB1" w:rsidP="00B32D33">
            <w:pPr>
              <w:pStyle w:val="Tablecontent"/>
            </w:pPr>
            <w:r>
              <w:t>Complement limit by setting the floor</w:t>
            </w:r>
            <w:r w:rsidR="00D546B3">
              <w:t xml:space="preserve">. This is also another form of guarantee, so your total reservation can not exceed your total capacity. </w:t>
            </w:r>
          </w:p>
          <w:p w14:paraId="32918A08" w14:textId="6410751E" w:rsidR="007E083C" w:rsidRDefault="007E083C" w:rsidP="00B32D33">
            <w:pPr>
              <w:pStyle w:val="Tablecontent"/>
            </w:pPr>
            <w:r>
              <w:t xml:space="preserve">Take note Disk has no reservation for IOPS and throughput. </w:t>
            </w:r>
          </w:p>
        </w:tc>
      </w:tr>
      <w:tr w:rsidR="00C34FB1" w14:paraId="25F69C6B" w14:textId="77777777" w:rsidTr="00D546B3">
        <w:tc>
          <w:tcPr>
            <w:tcW w:w="1838" w:type="dxa"/>
          </w:tcPr>
          <w:p w14:paraId="1EF74C4F" w14:textId="06A1E4D0" w:rsidR="00C34FB1" w:rsidRDefault="00C34FB1" w:rsidP="00B32D33">
            <w:pPr>
              <w:pStyle w:val="Tablecontent"/>
            </w:pPr>
            <w:r>
              <w:t>Share</w:t>
            </w:r>
          </w:p>
        </w:tc>
        <w:tc>
          <w:tcPr>
            <w:tcW w:w="8647" w:type="dxa"/>
          </w:tcPr>
          <w:p w14:paraId="533991D2" w14:textId="32A61A78" w:rsidR="00CB150E" w:rsidRDefault="00CB150E" w:rsidP="00B32D33">
            <w:pPr>
              <w:pStyle w:val="Tablecontent"/>
            </w:pPr>
            <w:r>
              <w:t xml:space="preserve">Share is only effective if there is enough resources left to share. If you have 80% reservation, then you only have 20% left to share. </w:t>
            </w:r>
          </w:p>
          <w:p w14:paraId="52D73AC6" w14:textId="6F0FFBBE" w:rsidR="00CB150E" w:rsidRDefault="00D546B3" w:rsidP="00B32D33">
            <w:pPr>
              <w:pStyle w:val="Tablecontent"/>
            </w:pPr>
            <w:r>
              <w:t>This complements reservation by specifying shares. I’m not 100% sure if this is on top of reservation. If it’s not, then it could be ineffective</w:t>
            </w:r>
            <w:r w:rsidR="002E0071">
              <w:t xml:space="preserve"> in protecting the victim from the big villain. The reason is share is relative to the configured size. A VM that is 10x bigger is given 10x share by default</w:t>
            </w:r>
            <w:r w:rsidR="00CB150E">
              <w:t>.</w:t>
            </w:r>
          </w:p>
        </w:tc>
      </w:tr>
    </w:tbl>
    <w:p w14:paraId="4B5BCC36" w14:textId="77777777" w:rsidR="002E0071" w:rsidRDefault="002E0071" w:rsidP="002E0071">
      <w:pPr>
        <w:pStyle w:val="BeforeTable"/>
      </w:pPr>
    </w:p>
    <w:p w14:paraId="34CE8117" w14:textId="77777777" w:rsidR="00643F7B" w:rsidRDefault="00643F7B" w:rsidP="002E0071">
      <w:r>
        <w:t>What knob is missing from the above?</w:t>
      </w:r>
    </w:p>
    <w:p w14:paraId="63B44FBC" w14:textId="10F939E3" w:rsidR="00643F7B" w:rsidRDefault="00643F7B" w:rsidP="002E0071">
      <w:r>
        <w:t>Do you think Priority is missing? I think priority is too strong a knob. It gives 0% to the lower priority ask, which is not what you want. You still want each consumer to get something, which is basically what share does.</w:t>
      </w:r>
    </w:p>
    <w:p w14:paraId="1E86305C" w14:textId="433BAEF9" w:rsidR="00CE6A23" w:rsidRDefault="002E0071" w:rsidP="002E0071">
      <w:r>
        <w:t xml:space="preserve">Let’s now apply the above knobs into the 4 </w:t>
      </w:r>
      <w:r w:rsidR="00647CAB">
        <w:t xml:space="preserve">main </w:t>
      </w:r>
      <w:r>
        <w:t xml:space="preserve">resource types. </w:t>
      </w:r>
      <w:r w:rsidR="00E558B9">
        <w:t xml:space="preserve">In future I will include </w:t>
      </w:r>
      <w:r w:rsidR="00647CAB">
        <w:t>GPU</w:t>
      </w:r>
      <w:r w:rsidR="00E558B9">
        <w:t xml:space="preserve">. </w:t>
      </w:r>
    </w:p>
    <w:p w14:paraId="5DD7DFAC" w14:textId="3F9374CF" w:rsidR="002E0071" w:rsidRDefault="00CE6A23" w:rsidP="002E0071">
      <w:r>
        <w:t xml:space="preserve">Just like there are many </w:t>
      </w:r>
      <w:hyperlink w:anchor="_Nuances_in_Metrics" w:history="1">
        <w:r w:rsidRPr="00CE6A23">
          <w:rPr>
            <w:rStyle w:val="Hyperlink"/>
          </w:rPr>
          <w:t>nuances on metrics</w:t>
        </w:r>
      </w:hyperlink>
      <w:r>
        <w:t>, t</w:t>
      </w:r>
      <w:r w:rsidR="002E0071">
        <w:t xml:space="preserve">here are </w:t>
      </w:r>
      <w:r>
        <w:t xml:space="preserve">also </w:t>
      </w:r>
      <w:r w:rsidR="002E0071">
        <w:t>nuances</w:t>
      </w:r>
      <w:r>
        <w:t xml:space="preserve"> in addressing noisy neighbour</w:t>
      </w:r>
      <w:r w:rsidR="00E4254C">
        <w:t xml:space="preserve">. </w:t>
      </w:r>
    </w:p>
    <w:p w14:paraId="727BC154" w14:textId="0487D556" w:rsidR="00102C0C" w:rsidRDefault="00102C0C" w:rsidP="002E0071">
      <w:r>
        <w:t>You will see that the settings are complex. Adding Resource Pool complicates further as you have another management layer.</w:t>
      </w:r>
    </w:p>
    <w:p w14:paraId="1F981517" w14:textId="7BF5A6B3" w:rsidR="00B32D33" w:rsidRDefault="002E0071" w:rsidP="00AC6E1E">
      <w:pPr>
        <w:pStyle w:val="Heading4"/>
      </w:pPr>
      <w:r>
        <w:lastRenderedPageBreak/>
        <w:t>CPU</w:t>
      </w:r>
    </w:p>
    <w:p w14:paraId="1A091FCF" w14:textId="4223052F" w:rsidR="00CB150E" w:rsidRDefault="00CB150E" w:rsidP="00CB150E">
      <w:pPr>
        <w:rPr>
          <w:lang w:val="en-GB"/>
        </w:rPr>
      </w:pPr>
      <w:r>
        <w:rPr>
          <w:lang w:val="en-GB"/>
        </w:rPr>
        <w:t>Let’s begin with CPU as this is typically where the problem is</w:t>
      </w:r>
      <w:r w:rsidR="00C24ADC">
        <w:rPr>
          <w:lang w:val="en-GB"/>
        </w:rPr>
        <w:t>.</w:t>
      </w:r>
    </w:p>
    <w:p w14:paraId="548AAC65" w14:textId="1E82A705" w:rsidR="00254FDC" w:rsidRPr="00CB150E" w:rsidRDefault="00254FDC" w:rsidP="00CB150E">
      <w:pPr>
        <w:rPr>
          <w:lang w:val="en-GB"/>
        </w:rPr>
      </w:pPr>
      <w:r w:rsidRPr="00254FDC">
        <w:rPr>
          <w:noProof/>
          <w:lang w:val="en-GB"/>
        </w:rPr>
        <w:drawing>
          <wp:inline distT="0" distB="0" distL="0" distR="0" wp14:anchorId="154E2809" wp14:editId="47DB74C5">
            <wp:extent cx="6645910" cy="1161415"/>
            <wp:effectExtent l="0" t="0" r="2540" b="635"/>
            <wp:docPr id="910169595" name="Picture 91016959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95" name="Picture 910169595" descr="Table&#10;&#10;Description automatically generated"/>
                    <pic:cNvPicPr/>
                  </pic:nvPicPr>
                  <pic:blipFill>
                    <a:blip r:embed="rId128"/>
                    <a:stretch>
                      <a:fillRect/>
                    </a:stretch>
                  </pic:blipFill>
                  <pic:spPr>
                    <a:xfrm>
                      <a:off x="0" y="0"/>
                      <a:ext cx="6645910" cy="1161415"/>
                    </a:xfrm>
                    <a:prstGeom prst="rect">
                      <a:avLst/>
                    </a:prstGeom>
                  </pic:spPr>
                </pic:pic>
              </a:graphicData>
            </a:graphic>
          </wp:inline>
        </w:drawing>
      </w:r>
    </w:p>
    <w:p w14:paraId="179CF7DC" w14:textId="77777777" w:rsidR="002E0071" w:rsidRDefault="002E0071" w:rsidP="002E0071">
      <w:pPr>
        <w:pStyle w:val="BeforeTable"/>
        <w:rPr>
          <w:lang w:val="en-GB"/>
        </w:rPr>
      </w:pPr>
    </w:p>
    <w:tbl>
      <w:tblPr>
        <w:tblStyle w:val="TableGrid"/>
        <w:tblW w:w="1048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38"/>
        <w:gridCol w:w="8647"/>
      </w:tblGrid>
      <w:tr w:rsidR="002E0071" w14:paraId="5B5F6F9D" w14:textId="77777777" w:rsidTr="00E440AB">
        <w:tc>
          <w:tcPr>
            <w:tcW w:w="1838" w:type="dxa"/>
            <w:shd w:val="clear" w:color="auto" w:fill="F2F2F2" w:themeFill="background1" w:themeFillShade="F2"/>
          </w:tcPr>
          <w:p w14:paraId="7BDD7262" w14:textId="77777777" w:rsidR="002E0071" w:rsidRDefault="002E0071" w:rsidP="00E440AB">
            <w:pPr>
              <w:pStyle w:val="Tableheading"/>
            </w:pPr>
            <w:r>
              <w:t>Control</w:t>
            </w:r>
          </w:p>
        </w:tc>
        <w:tc>
          <w:tcPr>
            <w:tcW w:w="8647" w:type="dxa"/>
            <w:shd w:val="clear" w:color="auto" w:fill="F2F2F2" w:themeFill="background1" w:themeFillShade="F2"/>
          </w:tcPr>
          <w:p w14:paraId="797A1408" w14:textId="77777777" w:rsidR="002E0071" w:rsidRDefault="002E0071" w:rsidP="00E440AB">
            <w:pPr>
              <w:pStyle w:val="Tableheading"/>
            </w:pPr>
            <w:r>
              <w:t>Analysis</w:t>
            </w:r>
          </w:p>
        </w:tc>
      </w:tr>
      <w:tr w:rsidR="002E0071" w14:paraId="155C3DD9" w14:textId="77777777" w:rsidTr="00E440AB">
        <w:tc>
          <w:tcPr>
            <w:tcW w:w="1838" w:type="dxa"/>
          </w:tcPr>
          <w:p w14:paraId="7749CBD9" w14:textId="77777777" w:rsidR="002E0071" w:rsidRDefault="002E0071" w:rsidP="00E440AB">
            <w:pPr>
              <w:pStyle w:val="Tablecontent"/>
            </w:pPr>
            <w:r>
              <w:t>Limit</w:t>
            </w:r>
          </w:p>
        </w:tc>
        <w:tc>
          <w:tcPr>
            <w:tcW w:w="8647" w:type="dxa"/>
          </w:tcPr>
          <w:p w14:paraId="62ADCF64" w14:textId="1F2D3CF3" w:rsidR="00BA4E51" w:rsidRDefault="002E0071" w:rsidP="00E440AB">
            <w:pPr>
              <w:pStyle w:val="Tablecontent"/>
            </w:pPr>
            <w:r>
              <w:t xml:space="preserve">There is a default limit, which is the configured CPU size of the VM or container. The problem of this limit is most of the time it is too high, driven by cheap pricing. A VM that </w:t>
            </w:r>
            <w:r w:rsidR="00BA4E51">
              <w:t xml:space="preserve">only </w:t>
            </w:r>
            <w:r>
              <w:t xml:space="preserve">needs 8 vCPU bought a 32 vCPU configuration. </w:t>
            </w:r>
            <w:r w:rsidR="00BA4E51">
              <w:t>Why? Because the buyer can afford it.</w:t>
            </w:r>
          </w:p>
          <w:p w14:paraId="215CF9E5" w14:textId="697C5AA1" w:rsidR="002E0071" w:rsidRDefault="002E0071" w:rsidP="00E440AB">
            <w:pPr>
              <w:pStyle w:val="Tablecontent"/>
            </w:pPr>
            <w:r>
              <w:t xml:space="preserve">After years of practice, IaaS operators started overcommitting the shared infrastructure, because they see their vSphere cluster utilization averages around 25%, with occasional peak to 75%. </w:t>
            </w:r>
          </w:p>
          <w:p w14:paraId="20682E69" w14:textId="77777777" w:rsidR="002E0071" w:rsidRDefault="002E0071" w:rsidP="00E440AB">
            <w:pPr>
              <w:pStyle w:val="Tablecontent"/>
            </w:pPr>
            <w:r>
              <w:t>Let’s take an example:</w:t>
            </w:r>
          </w:p>
          <w:p w14:paraId="70B4C535" w14:textId="77777777" w:rsidR="002E0071" w:rsidRDefault="002E0071" w:rsidP="00540AFE">
            <w:pPr>
              <w:pStyle w:val="Bullet"/>
            </w:pPr>
            <w:r>
              <w:t>Cluster size: 10 ESXi hosts</w:t>
            </w:r>
          </w:p>
          <w:p w14:paraId="50CC7E11" w14:textId="5E418E2D" w:rsidR="002E0071" w:rsidRDefault="002E0071" w:rsidP="00540AFE">
            <w:pPr>
              <w:pStyle w:val="Bullet"/>
            </w:pPr>
            <w:r>
              <w:t xml:space="preserve">ESXi specification: 40 cores, </w:t>
            </w:r>
            <w:r w:rsidR="00540AFE">
              <w:t xml:space="preserve">HT enabled, </w:t>
            </w:r>
            <w:r>
              <w:t xml:space="preserve">2.5 GHz each. Total </w:t>
            </w:r>
            <w:r w:rsidR="00540AFE">
              <w:t>1</w:t>
            </w:r>
            <w:r>
              <w:t>00 GHz</w:t>
            </w:r>
            <w:r w:rsidR="00540AFE">
              <w:t>, not counting HT.</w:t>
            </w:r>
          </w:p>
          <w:p w14:paraId="44EE844A" w14:textId="480EE0F5" w:rsidR="002E0071" w:rsidRDefault="002E0071" w:rsidP="00540AFE">
            <w:pPr>
              <w:pStyle w:val="Bullet"/>
            </w:pPr>
            <w:r>
              <w:t xml:space="preserve">Total cluster capacity: </w:t>
            </w:r>
            <w:r w:rsidR="00540AFE">
              <w:t>1</w:t>
            </w:r>
            <w:r>
              <w:t>000 GHz</w:t>
            </w:r>
            <w:r w:rsidR="00540AFE">
              <w:t xml:space="preserve"> (not counting HT benefit)</w:t>
            </w:r>
          </w:p>
          <w:p w14:paraId="53CD14EC" w14:textId="6CAA79F6" w:rsidR="00540AFE" w:rsidRDefault="00540AFE" w:rsidP="00540AFE">
            <w:pPr>
              <w:pStyle w:val="Bullet"/>
            </w:pPr>
            <w:r>
              <w:t>Overcommit ratio is 4:1. So 1 core is assigned to 4 vCPU. The core can run 2 vCPU at the same time, buy at 37.5% performance penalty.</w:t>
            </w:r>
          </w:p>
          <w:p w14:paraId="6315B1D3" w14:textId="62EA696C" w:rsidR="00540AFE" w:rsidRDefault="00540AFE" w:rsidP="00540AFE">
            <w:pPr>
              <w:pStyle w:val="Bullet"/>
            </w:pPr>
            <w:r>
              <w:t>No of running VM: 400</w:t>
            </w:r>
          </w:p>
          <w:p w14:paraId="39DD4953" w14:textId="16CDD655" w:rsidR="00540AFE" w:rsidRDefault="00540AFE" w:rsidP="00540AFE">
            <w:pPr>
              <w:pStyle w:val="Bullet"/>
            </w:pPr>
            <w:r>
              <w:t>Average size: 4 vCPU. Total is 1600 vCPU on 400 physical cores.</w:t>
            </w:r>
          </w:p>
          <w:p w14:paraId="45718E05" w14:textId="77777777" w:rsidR="00540AFE" w:rsidRDefault="00540AFE" w:rsidP="00E440AB">
            <w:pPr>
              <w:pStyle w:val="Tablecontent"/>
            </w:pPr>
            <w:r>
              <w:t xml:space="preserve">In the above example, all you need is a few 32 vCPU VM to create the problem. </w:t>
            </w:r>
            <w:r w:rsidR="00DE08BD">
              <w:t xml:space="preserve">If you have 10 of them, there is a chance each fills up 1 ESXi host. </w:t>
            </w:r>
            <w:r>
              <w:t xml:space="preserve">This is why </w:t>
            </w:r>
            <w:r w:rsidR="00BE434B">
              <w:t xml:space="preserve">both overcommit ratio and maximum VM size are both in your </w:t>
            </w:r>
            <w:hyperlink w:anchor="_Pricing_Policy" w:history="1">
              <w:r w:rsidR="00BE434B" w:rsidRPr="00BA4E51">
                <w:rPr>
                  <w:rStyle w:val="Hyperlink"/>
                </w:rPr>
                <w:t>pricing policy</w:t>
              </w:r>
            </w:hyperlink>
            <w:r w:rsidR="00BE434B">
              <w:t xml:space="preserve">. </w:t>
            </w:r>
          </w:p>
          <w:p w14:paraId="3C79526F" w14:textId="2DA2EAE8" w:rsidR="00290C44" w:rsidRDefault="00290C44" w:rsidP="00E440AB">
            <w:pPr>
              <w:pStyle w:val="Tablecontent"/>
            </w:pPr>
            <w:r>
              <w:t>While you can set a limit on the VM, it</w:t>
            </w:r>
            <w:r w:rsidR="004A507F">
              <w:t xml:space="preserve"> can result in unpredictable performance as Windows or Linux does not know. </w:t>
            </w:r>
            <w:r w:rsidR="005969F0">
              <w:t xml:space="preserve">The limit is also applied in GHz, not vCPU. So the impact can vary each second as the frequency fluctuate. </w:t>
            </w:r>
          </w:p>
        </w:tc>
      </w:tr>
      <w:tr w:rsidR="002E0071" w14:paraId="3652A3EA" w14:textId="77777777" w:rsidTr="00E440AB">
        <w:tc>
          <w:tcPr>
            <w:tcW w:w="1838" w:type="dxa"/>
          </w:tcPr>
          <w:p w14:paraId="0EBD794A" w14:textId="77777777" w:rsidR="002E0071" w:rsidRDefault="002E0071" w:rsidP="00E440AB">
            <w:pPr>
              <w:pStyle w:val="Tablecontent"/>
            </w:pPr>
            <w:r>
              <w:t>Reservation</w:t>
            </w:r>
          </w:p>
        </w:tc>
        <w:tc>
          <w:tcPr>
            <w:tcW w:w="8647" w:type="dxa"/>
          </w:tcPr>
          <w:p w14:paraId="66A8752D" w14:textId="77777777" w:rsidR="002E0071" w:rsidRDefault="00BA4E51" w:rsidP="00E440AB">
            <w:pPr>
              <w:pStyle w:val="Tablecontent"/>
            </w:pPr>
            <w:r>
              <w:t xml:space="preserve">Can you solve the above problem by reserving CPU to all the VMs? </w:t>
            </w:r>
          </w:p>
          <w:p w14:paraId="279FAB5F" w14:textId="77777777" w:rsidR="00BA4E51" w:rsidRDefault="00BA4E51" w:rsidP="00E440AB">
            <w:pPr>
              <w:pStyle w:val="Tablecontent"/>
            </w:pPr>
            <w:r>
              <w:t>The answer is no. You can only reserve 25% of the configured capacity of each VM. That means a 2 vCPU VM is only given 1.25 GHz. This loosely translates into 0.5 vCPU only, not enough to run anything useful.</w:t>
            </w:r>
          </w:p>
          <w:p w14:paraId="5C57740B" w14:textId="77777777" w:rsidR="00BA4E51" w:rsidRDefault="00BA4E51" w:rsidP="00E440AB">
            <w:pPr>
              <w:pStyle w:val="Tablecontent"/>
            </w:pPr>
            <w:r>
              <w:t xml:space="preserve">One adjustment you can do is to guarantee the first vCPU. So each VM gets 2.5 GHz, regardless of size. Since there are 400 VM, you reserve 1000 GHz. </w:t>
            </w:r>
          </w:p>
          <w:p w14:paraId="4059E536" w14:textId="77777777" w:rsidR="00CB150E" w:rsidRDefault="00CB150E" w:rsidP="00E440AB">
            <w:pPr>
              <w:pStyle w:val="Tablecontent"/>
            </w:pPr>
            <w:r>
              <w:t>Your total capacity is only 1000 GHz, so the cluster is filled up. This actually exceed your usable capacity, as you need to account for HA.</w:t>
            </w:r>
          </w:p>
          <w:p w14:paraId="471BC596" w14:textId="77777777" w:rsidR="00CB150E" w:rsidRDefault="00CB150E" w:rsidP="00E440AB">
            <w:pPr>
              <w:pStyle w:val="Tablecontent"/>
            </w:pPr>
            <w:r>
              <w:t>On the other hand, you have 25% boost due to HT.</w:t>
            </w:r>
          </w:p>
          <w:p w14:paraId="15E2BBFD" w14:textId="44E70710" w:rsidR="00DE08BD" w:rsidRDefault="00DE08BD" w:rsidP="00E440AB">
            <w:pPr>
              <w:pStyle w:val="Tablecontent"/>
            </w:pPr>
            <w:r>
              <w:t>Reservation becomes less effective as you increase the overcommit ratio. At 8:1 overcommit, you can not give more than 0.5 CPU worth of resource.</w:t>
            </w:r>
          </w:p>
        </w:tc>
      </w:tr>
      <w:tr w:rsidR="002E0071" w14:paraId="48AAB134" w14:textId="77777777" w:rsidTr="00E440AB">
        <w:tc>
          <w:tcPr>
            <w:tcW w:w="1838" w:type="dxa"/>
          </w:tcPr>
          <w:p w14:paraId="1B671B08" w14:textId="77777777" w:rsidR="002E0071" w:rsidRDefault="002E0071" w:rsidP="00E440AB">
            <w:pPr>
              <w:pStyle w:val="Tablecontent"/>
            </w:pPr>
            <w:r>
              <w:t>Share</w:t>
            </w:r>
          </w:p>
        </w:tc>
        <w:tc>
          <w:tcPr>
            <w:tcW w:w="8647" w:type="dxa"/>
          </w:tcPr>
          <w:p w14:paraId="1C5B297C" w14:textId="77777777" w:rsidR="002E0071" w:rsidRDefault="00CB150E" w:rsidP="00E440AB">
            <w:pPr>
              <w:pStyle w:val="Tablecontent"/>
            </w:pPr>
            <w:r>
              <w:t>If you follow the default share, the monster VM will still get more in absolute amount.</w:t>
            </w:r>
          </w:p>
          <w:p w14:paraId="7DEF0185" w14:textId="77777777" w:rsidR="00CB150E" w:rsidRDefault="00CB150E" w:rsidP="00E440AB">
            <w:pPr>
              <w:pStyle w:val="Tablecontent"/>
            </w:pPr>
            <w:r>
              <w:lastRenderedPageBreak/>
              <w:t xml:space="preserve">If you do not follow, the larger VMs will be affected. And if they run genuine business load, they will be the victim. </w:t>
            </w:r>
          </w:p>
          <w:p w14:paraId="5D84BF45" w14:textId="5E17D1A4" w:rsidR="00CB150E" w:rsidRDefault="00CB150E" w:rsidP="00E440AB">
            <w:pPr>
              <w:pStyle w:val="Tablecontent"/>
            </w:pPr>
            <w:r>
              <w:t>It’s tricky to balance and determine the right share as it depends on the situation.</w:t>
            </w:r>
          </w:p>
        </w:tc>
      </w:tr>
    </w:tbl>
    <w:p w14:paraId="72066BE2" w14:textId="7FFFAFB5" w:rsidR="00ED7B6D" w:rsidRDefault="00ED7B6D" w:rsidP="00AC6E1E">
      <w:pPr>
        <w:pStyle w:val="Heading4"/>
      </w:pPr>
      <w:r>
        <w:lastRenderedPageBreak/>
        <w:t>Memory</w:t>
      </w:r>
    </w:p>
    <w:p w14:paraId="10E51452" w14:textId="1A869AED" w:rsidR="00E558B9" w:rsidRDefault="00E558B9" w:rsidP="00ED7B6D">
      <w:pPr>
        <w:rPr>
          <w:lang w:val="en-GB"/>
        </w:rPr>
      </w:pPr>
      <w:r>
        <w:rPr>
          <w:lang w:val="en-GB"/>
        </w:rPr>
        <w:t xml:space="preserve">Memory virtualization </w:t>
      </w:r>
      <w:r w:rsidR="00250900">
        <w:rPr>
          <w:lang w:val="en-GB"/>
        </w:rPr>
        <w:t xml:space="preserve">differs at fundamental level to CPU virtualization. We cover that in-depth in </w:t>
      </w:r>
      <w:hyperlink w:anchor="_Memory_Metrics" w:history="1">
        <w:r w:rsidR="00250900" w:rsidRPr="00250900">
          <w:rPr>
            <w:rStyle w:val="Hyperlink"/>
            <w:lang w:val="en-GB"/>
          </w:rPr>
          <w:t>Part 2 Chapter 4 Memor</w:t>
        </w:r>
        <w:r w:rsidR="00250900">
          <w:rPr>
            <w:rStyle w:val="Hyperlink"/>
            <w:lang w:val="en-GB"/>
          </w:rPr>
          <w:t>y Metrics</w:t>
        </w:r>
      </w:hyperlink>
      <w:r w:rsidR="00250900">
        <w:rPr>
          <w:lang w:val="en-GB"/>
        </w:rPr>
        <w:t xml:space="preserve">, so I will only touch on the impact on noisy neighbour here. </w:t>
      </w:r>
    </w:p>
    <w:p w14:paraId="0F04B68E" w14:textId="5FDBDE1E" w:rsidR="00ED7B6D" w:rsidRDefault="00ED7B6D" w:rsidP="00ED7B6D">
      <w:pPr>
        <w:rPr>
          <w:lang w:val="en-GB"/>
        </w:rPr>
      </w:pPr>
      <w:r>
        <w:rPr>
          <w:lang w:val="en-GB"/>
        </w:rPr>
        <w:t xml:space="preserve">Memory is </w:t>
      </w:r>
      <w:r w:rsidR="00290C44">
        <w:rPr>
          <w:lang w:val="en-GB"/>
        </w:rPr>
        <w:t xml:space="preserve">relatively </w:t>
      </w:r>
      <w:r>
        <w:rPr>
          <w:lang w:val="en-GB"/>
        </w:rPr>
        <w:t>less problem</w:t>
      </w:r>
      <w:r w:rsidR="00290C44">
        <w:rPr>
          <w:lang w:val="en-GB"/>
        </w:rPr>
        <w:t>atic</w:t>
      </w:r>
      <w:r>
        <w:rPr>
          <w:lang w:val="en-GB"/>
        </w:rPr>
        <w:t xml:space="preserve"> due to </w:t>
      </w:r>
      <w:r w:rsidR="00290C44">
        <w:rPr>
          <w:lang w:val="en-GB"/>
        </w:rPr>
        <w:t xml:space="preserve">its </w:t>
      </w:r>
      <w:r>
        <w:rPr>
          <w:lang w:val="en-GB"/>
        </w:rPr>
        <w:t>nature</w:t>
      </w:r>
      <w:r w:rsidR="00290C44">
        <w:rPr>
          <w:lang w:val="en-GB"/>
        </w:rPr>
        <w:t>. It’s basically a damn fast</w:t>
      </w:r>
      <w:r>
        <w:rPr>
          <w:lang w:val="en-GB"/>
        </w:rPr>
        <w:t xml:space="preserve"> disk</w:t>
      </w:r>
      <w:r w:rsidR="00290C44">
        <w:rPr>
          <w:lang w:val="en-GB"/>
        </w:rPr>
        <w:t>, so fast that you care about space more than speed</w:t>
      </w:r>
      <w:r>
        <w:rPr>
          <w:lang w:val="en-GB"/>
        </w:rPr>
        <w:t xml:space="preserve">. </w:t>
      </w:r>
      <w:r w:rsidR="00290C44">
        <w:rPr>
          <w:lang w:val="en-GB"/>
        </w:rPr>
        <w:t>As a result, t</w:t>
      </w:r>
      <w:r>
        <w:rPr>
          <w:lang w:val="en-GB"/>
        </w:rPr>
        <w:t xml:space="preserve">he memory utilization metric tends to be flat over time, both at the VM level and ESXi level. The exception here is transient VM or container. ESXi clears its consumed metrics when the associated VM is powered off. So in environment like Horizon Instant Clone, you get higher fluctuation. </w:t>
      </w:r>
    </w:p>
    <w:p w14:paraId="243A90E4" w14:textId="2B168E99" w:rsidR="00E558B9" w:rsidRDefault="00E558B9" w:rsidP="00ED7B6D">
      <w:pPr>
        <w:rPr>
          <w:lang w:val="en-GB"/>
        </w:rPr>
      </w:pPr>
      <w:r>
        <w:rPr>
          <w:lang w:val="en-GB"/>
        </w:rPr>
        <w:t>Because of this flat utilization, the overcommit ratio is lower. This results in relatively less problem. The problem of this solution is money. You are basically paying for a lot of cache.</w:t>
      </w:r>
    </w:p>
    <w:p w14:paraId="1B6945BF" w14:textId="4560A0E9" w:rsidR="00254FDC" w:rsidRDefault="00254FDC" w:rsidP="00ED7B6D">
      <w:pPr>
        <w:rPr>
          <w:lang w:val="en-GB"/>
        </w:rPr>
      </w:pPr>
      <w:r w:rsidRPr="00254FDC">
        <w:rPr>
          <w:noProof/>
          <w:lang w:val="en-GB"/>
        </w:rPr>
        <w:drawing>
          <wp:inline distT="0" distB="0" distL="0" distR="0" wp14:anchorId="2709DC9E" wp14:editId="2FDD6644">
            <wp:extent cx="6645910" cy="1086485"/>
            <wp:effectExtent l="0" t="0" r="2540" b="0"/>
            <wp:docPr id="1031" name="Picture 103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Picture 1031" descr="Table&#10;&#10;Description automatically generated"/>
                    <pic:cNvPicPr/>
                  </pic:nvPicPr>
                  <pic:blipFill>
                    <a:blip r:embed="rId129"/>
                    <a:stretch>
                      <a:fillRect/>
                    </a:stretch>
                  </pic:blipFill>
                  <pic:spPr>
                    <a:xfrm>
                      <a:off x="0" y="0"/>
                      <a:ext cx="6645910" cy="1086485"/>
                    </a:xfrm>
                    <a:prstGeom prst="rect">
                      <a:avLst/>
                    </a:prstGeom>
                  </pic:spPr>
                </pic:pic>
              </a:graphicData>
            </a:graphic>
          </wp:inline>
        </w:drawing>
      </w:r>
    </w:p>
    <w:p w14:paraId="30EC100E" w14:textId="77777777" w:rsidR="00ED7B6D" w:rsidRDefault="00ED7B6D" w:rsidP="00ED7B6D">
      <w:pPr>
        <w:pStyle w:val="BeforeTable"/>
        <w:rPr>
          <w:lang w:val="en-GB"/>
        </w:rPr>
      </w:pPr>
    </w:p>
    <w:tbl>
      <w:tblPr>
        <w:tblStyle w:val="TableGrid"/>
        <w:tblW w:w="1048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38"/>
        <w:gridCol w:w="8647"/>
      </w:tblGrid>
      <w:tr w:rsidR="00ED7B6D" w14:paraId="7FA27197" w14:textId="77777777" w:rsidTr="00E440AB">
        <w:tc>
          <w:tcPr>
            <w:tcW w:w="1838" w:type="dxa"/>
            <w:shd w:val="clear" w:color="auto" w:fill="F2F2F2" w:themeFill="background1" w:themeFillShade="F2"/>
          </w:tcPr>
          <w:p w14:paraId="6B30AD58" w14:textId="77777777" w:rsidR="00ED7B6D" w:rsidRDefault="00ED7B6D" w:rsidP="00E440AB">
            <w:pPr>
              <w:pStyle w:val="Tableheading"/>
            </w:pPr>
            <w:r>
              <w:lastRenderedPageBreak/>
              <w:t>Control</w:t>
            </w:r>
          </w:p>
        </w:tc>
        <w:tc>
          <w:tcPr>
            <w:tcW w:w="8647" w:type="dxa"/>
            <w:shd w:val="clear" w:color="auto" w:fill="F2F2F2" w:themeFill="background1" w:themeFillShade="F2"/>
          </w:tcPr>
          <w:p w14:paraId="4576F504" w14:textId="77777777" w:rsidR="00ED7B6D" w:rsidRDefault="00ED7B6D" w:rsidP="00E440AB">
            <w:pPr>
              <w:pStyle w:val="Tableheading"/>
            </w:pPr>
            <w:r>
              <w:t>Analysis</w:t>
            </w:r>
          </w:p>
        </w:tc>
      </w:tr>
      <w:tr w:rsidR="00ED7B6D" w14:paraId="517CD1B2" w14:textId="77777777" w:rsidTr="00E440AB">
        <w:tc>
          <w:tcPr>
            <w:tcW w:w="1838" w:type="dxa"/>
          </w:tcPr>
          <w:p w14:paraId="15ECB794" w14:textId="77777777" w:rsidR="00ED7B6D" w:rsidRDefault="00ED7B6D" w:rsidP="00E440AB">
            <w:pPr>
              <w:pStyle w:val="Tablecontent"/>
            </w:pPr>
            <w:r>
              <w:t>Limit</w:t>
            </w:r>
          </w:p>
        </w:tc>
        <w:tc>
          <w:tcPr>
            <w:tcW w:w="8647" w:type="dxa"/>
          </w:tcPr>
          <w:p w14:paraId="5B2F6358" w14:textId="1EB569BD" w:rsidR="004A507F" w:rsidRDefault="004A507F" w:rsidP="00E440AB">
            <w:pPr>
              <w:pStyle w:val="Tablecontent"/>
            </w:pPr>
            <w:r>
              <w:t>The memory utilization at both Guest OS level and VM level consist of mostly cache, pages that are not used. Since there is no limit within Guest OS, should you apply at VM level then?</w:t>
            </w:r>
          </w:p>
          <w:p w14:paraId="5007ACCB" w14:textId="2E32EC85" w:rsidR="00ED7B6D" w:rsidRDefault="004A507F" w:rsidP="00E440AB">
            <w:pPr>
              <w:pStyle w:val="Tablecontent"/>
            </w:pPr>
            <w:r>
              <w:t xml:space="preserve">This carries the risk of memory contention, as the 2 layers are independent of each other. You need to track the memory contention closely if you are doing this. Considering the lack of real-time remediation solution, I’d recommend you stay away from this, and focus on right-sizing at the Guest OS level instead. </w:t>
            </w:r>
          </w:p>
        </w:tc>
      </w:tr>
      <w:tr w:rsidR="00ED7B6D" w14:paraId="4C487C2F" w14:textId="77777777" w:rsidTr="00E440AB">
        <w:tc>
          <w:tcPr>
            <w:tcW w:w="1838" w:type="dxa"/>
          </w:tcPr>
          <w:p w14:paraId="3C856D5C" w14:textId="77777777" w:rsidR="00ED7B6D" w:rsidRDefault="00ED7B6D" w:rsidP="00E440AB">
            <w:pPr>
              <w:pStyle w:val="Tablecontent"/>
            </w:pPr>
            <w:r>
              <w:t>Reservation</w:t>
            </w:r>
          </w:p>
        </w:tc>
        <w:tc>
          <w:tcPr>
            <w:tcW w:w="8647" w:type="dxa"/>
          </w:tcPr>
          <w:p w14:paraId="559DE2D4" w14:textId="3AC075E4" w:rsidR="00ED7B6D" w:rsidRDefault="004A507F" w:rsidP="00E440AB">
            <w:pPr>
              <w:pStyle w:val="Tablecontent"/>
            </w:pPr>
            <w:r>
              <w:t>Unlike CPU, memory reservation is “</w:t>
            </w:r>
            <w:r w:rsidRPr="004A507F">
              <w:rPr>
                <w:color w:val="FF0000"/>
              </w:rPr>
              <w:t>sticky</w:t>
            </w:r>
            <w:r>
              <w:t>”. Once the VM touches that page, it’s permanently reserved regardless of subsequent usage. The problem is VMkernel does not know if that page is useful or not.</w:t>
            </w:r>
            <w:r w:rsidR="005E59AD">
              <w:t xml:space="preserve"> As a result, I’m not recommending you use this.</w:t>
            </w:r>
          </w:p>
          <w:p w14:paraId="6245CE3D" w14:textId="47EA04EE" w:rsidR="005E59AD" w:rsidRDefault="005E59AD" w:rsidP="00E440AB">
            <w:pPr>
              <w:pStyle w:val="Tablecontent"/>
            </w:pPr>
            <w:r>
              <w:t xml:space="preserve">Unlike CPU, where you frequently go beyond 2 : 1 overcommit, you typically do not overcommit beyond 2 : 1. If you overcommit, tracks for early warning using balloon counter. </w:t>
            </w:r>
          </w:p>
          <w:p w14:paraId="6416730C" w14:textId="4EB67CFF" w:rsidR="005969F0" w:rsidRDefault="005E59AD" w:rsidP="00E440AB">
            <w:pPr>
              <w:pStyle w:val="Tablecontent"/>
            </w:pPr>
            <w:r>
              <w:t>For your highest class of service, where you guarantee memory performance, there is no overcommit. Per-VM reservation becomes irrelevant when the entire cluster does not overcommit</w:t>
            </w:r>
            <w:r w:rsidR="00E4254C">
              <w:t xml:space="preserve">. </w:t>
            </w:r>
          </w:p>
        </w:tc>
      </w:tr>
      <w:tr w:rsidR="00ED7B6D" w14:paraId="6828C681" w14:textId="77777777" w:rsidTr="00E440AB">
        <w:tc>
          <w:tcPr>
            <w:tcW w:w="1838" w:type="dxa"/>
          </w:tcPr>
          <w:p w14:paraId="13D0F556" w14:textId="77777777" w:rsidR="00ED7B6D" w:rsidRDefault="00ED7B6D" w:rsidP="00E440AB">
            <w:pPr>
              <w:pStyle w:val="Tablecontent"/>
            </w:pPr>
            <w:r>
              <w:t>Share</w:t>
            </w:r>
          </w:p>
        </w:tc>
        <w:tc>
          <w:tcPr>
            <w:tcW w:w="8647" w:type="dxa"/>
          </w:tcPr>
          <w:p w14:paraId="40ED3C22" w14:textId="3A08EBBC" w:rsidR="00ED7B6D" w:rsidRDefault="005969F0" w:rsidP="00E440AB">
            <w:pPr>
              <w:pStyle w:val="Tablecontent"/>
            </w:pPr>
            <w:r>
              <w:t>See CPU, as the behaviour is the same.</w:t>
            </w:r>
          </w:p>
        </w:tc>
      </w:tr>
    </w:tbl>
    <w:p w14:paraId="52612C28" w14:textId="53DC1149" w:rsidR="00ED7B6D" w:rsidRDefault="00ED7B6D" w:rsidP="00AC6E1E">
      <w:pPr>
        <w:pStyle w:val="Heading4"/>
        <w:numPr>
          <w:ilvl w:val="0"/>
          <w:numId w:val="0"/>
        </w:numPr>
      </w:pPr>
      <w:r>
        <w:t>Disk</w:t>
      </w:r>
    </w:p>
    <w:p w14:paraId="646A8720" w14:textId="233F1535" w:rsidR="00ED7B6D" w:rsidRDefault="00ED7B6D" w:rsidP="00ED7B6D">
      <w:pPr>
        <w:rPr>
          <w:lang w:val="en-GB"/>
        </w:rPr>
      </w:pPr>
      <w:r>
        <w:rPr>
          <w:lang w:val="en-GB"/>
        </w:rPr>
        <w:t xml:space="preserve">There are actually 2 types of problems, as disk has both space (GB) and speed (IO commands). The speed dimension is more problematic as the limit is much higher and the spike is unpredictable. You can have either IOPS or </w:t>
      </w:r>
      <w:r w:rsidR="004F75A4">
        <w:rPr>
          <w:lang w:val="en-GB"/>
        </w:rPr>
        <w:t>t</w:t>
      </w:r>
      <w:r>
        <w:rPr>
          <w:lang w:val="en-GB"/>
        </w:rPr>
        <w:t>hroughput giving you problem.</w:t>
      </w:r>
    </w:p>
    <w:p w14:paraId="461D498E" w14:textId="39225FCA" w:rsidR="00041D8D" w:rsidRDefault="00041D8D" w:rsidP="00ED7B6D">
      <w:pPr>
        <w:rPr>
          <w:lang w:val="en-GB"/>
        </w:rPr>
      </w:pPr>
      <w:r>
        <w:rPr>
          <w:lang w:val="en-GB"/>
        </w:rPr>
        <w:t>Unlike compute, there is no defined upper limit by default. A VM can generate unlimited IOPS or throughput. This creates risk, as it can take just a single developer doing IO Meter to saturate your shared storage.</w:t>
      </w:r>
      <w:r w:rsidR="00DC1257">
        <w:rPr>
          <w:lang w:val="en-GB"/>
        </w:rPr>
        <w:t xml:space="preserve"> </w:t>
      </w:r>
    </w:p>
    <w:p w14:paraId="4FF94231" w14:textId="2D1F3BC2" w:rsidR="00647CAB" w:rsidRDefault="004F75A4" w:rsidP="00ED7B6D">
      <w:pPr>
        <w:rPr>
          <w:lang w:val="en-GB"/>
        </w:rPr>
      </w:pPr>
      <w:r>
        <w:rPr>
          <w:lang w:val="en-GB"/>
        </w:rPr>
        <w:t xml:space="preserve">Compared with compute, storage </w:t>
      </w:r>
      <w:r w:rsidR="00647CAB">
        <w:rPr>
          <w:lang w:val="en-GB"/>
        </w:rPr>
        <w:t>has more layers, as the actual storage provider is outside the hypervisor. Even in the case of hyperconverged like vSAN, the vSAN kernel module is a separate stack and you need to deal with vSAN network. In the case of central storage array, you likely need to deal with storage fabric.</w:t>
      </w:r>
    </w:p>
    <w:p w14:paraId="3CD44DA8" w14:textId="142A53CD" w:rsidR="00DC1257" w:rsidRDefault="00CE6A23" w:rsidP="00ED7B6D">
      <w:pPr>
        <w:rPr>
          <w:lang w:val="en-GB"/>
        </w:rPr>
      </w:pPr>
      <w:r>
        <w:rPr>
          <w:lang w:val="en-GB"/>
        </w:rPr>
        <w:t xml:space="preserve">Because they are separate, there are </w:t>
      </w:r>
      <w:r w:rsidR="00DC1257">
        <w:rPr>
          <w:lang w:val="en-GB"/>
        </w:rPr>
        <w:t xml:space="preserve">multiple </w:t>
      </w:r>
      <w:r>
        <w:rPr>
          <w:lang w:val="en-GB"/>
        </w:rPr>
        <w:t>places of the control</w:t>
      </w:r>
      <w:r w:rsidR="00DC1257">
        <w:rPr>
          <w:lang w:val="en-GB"/>
        </w:rPr>
        <w:t>:</w:t>
      </w:r>
    </w:p>
    <w:p w14:paraId="601E4742" w14:textId="30F5831E" w:rsidR="00DC1257" w:rsidRDefault="00DC1257">
      <w:pPr>
        <w:pStyle w:val="ListParagraph"/>
        <w:numPr>
          <w:ilvl w:val="0"/>
          <w:numId w:val="62"/>
        </w:numPr>
        <w:rPr>
          <w:lang w:val="en-GB"/>
        </w:rPr>
      </w:pPr>
      <w:r>
        <w:rPr>
          <w:lang w:val="en-GB"/>
        </w:rPr>
        <w:t xml:space="preserve">Non vSAN: </w:t>
      </w:r>
      <w:r w:rsidR="00CE6A23" w:rsidRPr="00DC1257">
        <w:rPr>
          <w:lang w:val="en-GB"/>
        </w:rPr>
        <w:t>VM</w:t>
      </w:r>
      <w:r>
        <w:rPr>
          <w:lang w:val="en-GB"/>
        </w:rPr>
        <w:t xml:space="preserve">, </w:t>
      </w:r>
      <w:r w:rsidR="00CE6A23" w:rsidRPr="00DC1257">
        <w:rPr>
          <w:lang w:val="en-GB"/>
        </w:rPr>
        <w:t>datastore</w:t>
      </w:r>
      <w:r>
        <w:rPr>
          <w:lang w:val="en-GB"/>
        </w:rPr>
        <w:t>, storage array. If the fabric has control, you can set it there too to throttle IO going into the central array.</w:t>
      </w:r>
    </w:p>
    <w:p w14:paraId="028005AD" w14:textId="5E251E8B" w:rsidR="00DC1257" w:rsidRPr="00DC1257" w:rsidRDefault="00DC1257">
      <w:pPr>
        <w:pStyle w:val="ListParagraph"/>
        <w:numPr>
          <w:ilvl w:val="0"/>
          <w:numId w:val="62"/>
        </w:numPr>
        <w:rPr>
          <w:lang w:val="en-GB"/>
        </w:rPr>
      </w:pPr>
      <w:r w:rsidRPr="00DC1257">
        <w:rPr>
          <w:lang w:val="en-GB"/>
        </w:rPr>
        <w:t>vSAN</w:t>
      </w:r>
      <w:r>
        <w:rPr>
          <w:lang w:val="en-GB"/>
        </w:rPr>
        <w:t xml:space="preserve">: VM and vSAN. </w:t>
      </w:r>
    </w:p>
    <w:p w14:paraId="126A25B6" w14:textId="7D640E28" w:rsidR="00CE6A23" w:rsidRDefault="00CE6A23" w:rsidP="00ED7B6D">
      <w:pPr>
        <w:rPr>
          <w:lang w:val="en-GB"/>
        </w:rPr>
      </w:pPr>
      <w:r>
        <w:rPr>
          <w:lang w:val="en-GB"/>
        </w:rPr>
        <w:t xml:space="preserve">The control for VM can be seen at Cluster object. The following shows that I’ve set 4000 IOPS limit and give </w:t>
      </w:r>
      <w:r w:rsidRPr="00CE6A23">
        <w:rPr>
          <w:color w:val="00B0F0"/>
          <w:lang w:val="en-GB"/>
        </w:rPr>
        <w:t>Hard disk 1</w:t>
      </w:r>
      <w:r>
        <w:rPr>
          <w:lang w:val="en-GB"/>
        </w:rPr>
        <w:t xml:space="preserve"> a higher share value. </w:t>
      </w:r>
    </w:p>
    <w:p w14:paraId="187086BA" w14:textId="40F7ACB7" w:rsidR="00254FDC" w:rsidRDefault="00254FDC" w:rsidP="00ED7B6D">
      <w:pPr>
        <w:rPr>
          <w:lang w:val="en-GB"/>
        </w:rPr>
      </w:pPr>
      <w:r w:rsidRPr="00254FDC">
        <w:rPr>
          <w:noProof/>
          <w:lang w:val="en-GB"/>
        </w:rPr>
        <w:drawing>
          <wp:inline distT="0" distB="0" distL="0" distR="0" wp14:anchorId="5D524817" wp14:editId="1D2A71CC">
            <wp:extent cx="6645910" cy="1042670"/>
            <wp:effectExtent l="0" t="0" r="2540" b="5080"/>
            <wp:docPr id="1032" name="Picture 1032"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Picture 1032" descr="Graphical user interface, application, table&#10;&#10;Description automatically generated"/>
                    <pic:cNvPicPr/>
                  </pic:nvPicPr>
                  <pic:blipFill>
                    <a:blip r:embed="rId130"/>
                    <a:stretch>
                      <a:fillRect/>
                    </a:stretch>
                  </pic:blipFill>
                  <pic:spPr>
                    <a:xfrm>
                      <a:off x="0" y="0"/>
                      <a:ext cx="6645910" cy="1042670"/>
                    </a:xfrm>
                    <a:prstGeom prst="rect">
                      <a:avLst/>
                    </a:prstGeom>
                  </pic:spPr>
                </pic:pic>
              </a:graphicData>
            </a:graphic>
          </wp:inline>
        </w:drawing>
      </w:r>
    </w:p>
    <w:p w14:paraId="18355CDD" w14:textId="51B2502C" w:rsidR="00DC1257" w:rsidRDefault="00DC1257" w:rsidP="00ED7B6D">
      <w:pPr>
        <w:rPr>
          <w:lang w:val="en-GB"/>
        </w:rPr>
      </w:pPr>
      <w:r>
        <w:rPr>
          <w:lang w:val="en-GB"/>
        </w:rPr>
        <w:lastRenderedPageBreak/>
        <w:t>The problem is: should you set it? If yes, what numbers?</w:t>
      </w:r>
    </w:p>
    <w:p w14:paraId="30AD3FC7" w14:textId="77777777" w:rsidR="00A6670A" w:rsidRDefault="00A6670A" w:rsidP="00A6670A">
      <w:pPr>
        <w:pStyle w:val="BeforeTable"/>
        <w:rPr>
          <w:lang w:val="en-GB"/>
        </w:rPr>
      </w:pPr>
    </w:p>
    <w:tbl>
      <w:tblPr>
        <w:tblStyle w:val="TableGrid"/>
        <w:tblW w:w="1048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38"/>
        <w:gridCol w:w="8647"/>
      </w:tblGrid>
      <w:tr w:rsidR="00A6670A" w14:paraId="08E466EB" w14:textId="77777777" w:rsidTr="00E440AB">
        <w:tc>
          <w:tcPr>
            <w:tcW w:w="1838" w:type="dxa"/>
            <w:shd w:val="clear" w:color="auto" w:fill="F2F2F2" w:themeFill="background1" w:themeFillShade="F2"/>
          </w:tcPr>
          <w:p w14:paraId="0174737D" w14:textId="77777777" w:rsidR="00A6670A" w:rsidRDefault="00A6670A" w:rsidP="00E440AB">
            <w:pPr>
              <w:pStyle w:val="Tableheading"/>
            </w:pPr>
            <w:r>
              <w:t>Control</w:t>
            </w:r>
          </w:p>
        </w:tc>
        <w:tc>
          <w:tcPr>
            <w:tcW w:w="8647" w:type="dxa"/>
            <w:shd w:val="clear" w:color="auto" w:fill="F2F2F2" w:themeFill="background1" w:themeFillShade="F2"/>
          </w:tcPr>
          <w:p w14:paraId="6B7F2CBE" w14:textId="77777777" w:rsidR="00A6670A" w:rsidRDefault="00A6670A" w:rsidP="00E440AB">
            <w:pPr>
              <w:pStyle w:val="Tableheading"/>
            </w:pPr>
            <w:r>
              <w:t>Analysis</w:t>
            </w:r>
          </w:p>
        </w:tc>
      </w:tr>
      <w:tr w:rsidR="00A6670A" w14:paraId="3572B22B" w14:textId="77777777" w:rsidTr="00E440AB">
        <w:tc>
          <w:tcPr>
            <w:tcW w:w="1838" w:type="dxa"/>
          </w:tcPr>
          <w:p w14:paraId="3D4D07FC" w14:textId="77777777" w:rsidR="00A6670A" w:rsidRDefault="00A6670A" w:rsidP="00E440AB">
            <w:pPr>
              <w:pStyle w:val="Tablecontent"/>
            </w:pPr>
            <w:r>
              <w:t>Limit</w:t>
            </w:r>
          </w:p>
        </w:tc>
        <w:tc>
          <w:tcPr>
            <w:tcW w:w="8647" w:type="dxa"/>
          </w:tcPr>
          <w:p w14:paraId="2E4FAF27" w14:textId="77777777" w:rsidR="00A6670A" w:rsidRDefault="005969F0" w:rsidP="00E440AB">
            <w:pPr>
              <w:pStyle w:val="Tablecontent"/>
            </w:pPr>
            <w:r>
              <w:t xml:space="preserve">There is a limit for IOPS, which is per virtual disk. </w:t>
            </w:r>
            <w:r w:rsidR="00D92550">
              <w:t>Can you see the problem with this?</w:t>
            </w:r>
          </w:p>
          <w:p w14:paraId="3898E6D2" w14:textId="453A314C" w:rsidR="00D92550" w:rsidRDefault="00D92550" w:rsidP="00E440AB">
            <w:pPr>
              <w:pStyle w:val="Tablecontent"/>
            </w:pPr>
            <w:r>
              <w:t xml:space="preserve">There are different variations (block size, read/write ratio, random or sequential). That means 1000 IOPS can vary. The problem is your application team typically do not know this level of details. Guess who lose when you argue with your customer? </w:t>
            </w:r>
          </w:p>
          <w:p w14:paraId="067087B8" w14:textId="0BF9435C" w:rsidR="00D92550" w:rsidRDefault="00D92550" w:rsidP="00E440AB">
            <w:pPr>
              <w:pStyle w:val="Tablecontent"/>
            </w:pPr>
            <w:r>
              <w:t>If you are going to set, ensure the number is on the high side, as what you primarily sell is latency. If you set a low IOPS limit, it impacts latency. However, the number must be a small fraction of your actual storage capabilities. If your storage is supporting 1000 VM, then the limit of each VM has to be below 1% of what your array can deliver. If you set higher, for example 5%, then it only takes 2% of the VM population (20 VM in this case) to saturate your storage. And this is assuming their IOPS are perfectly distributed in all your SSD. In reality, you have hot spots.</w:t>
            </w:r>
          </w:p>
          <w:p w14:paraId="7499EA13" w14:textId="14280CB0" w:rsidR="00CE6A23" w:rsidRDefault="00CE6A23" w:rsidP="00E440AB">
            <w:pPr>
              <w:pStyle w:val="Tablecontent"/>
            </w:pPr>
            <w:r>
              <w:t xml:space="preserve">For VM, you can consider limit for the OS disk, if applications do not use it. This at least prevents rogue agents or system-level service for running amok. </w:t>
            </w:r>
          </w:p>
          <w:p w14:paraId="32A58128" w14:textId="183E5FA1" w:rsidR="00CE6A23" w:rsidRDefault="00CE6A23" w:rsidP="00E440AB">
            <w:pPr>
              <w:pStyle w:val="Tablecontent"/>
            </w:pPr>
            <w:r>
              <w:t xml:space="preserve">What about the control at datastore level (non vSAN)? SIOC provides 2 choices for congestion threshold. As you expect, both have their own pro’s and con’s, else you just need the best and no need a choice. </w:t>
            </w:r>
          </w:p>
          <w:p w14:paraId="67C26FFA" w14:textId="77777777" w:rsidR="00CE6A23" w:rsidRDefault="00CE6A23" w:rsidP="00E440AB">
            <w:pPr>
              <w:pStyle w:val="Tablecontent"/>
            </w:pPr>
            <w:r>
              <w:t>What about the control at vSAN level?</w:t>
            </w:r>
          </w:p>
          <w:p w14:paraId="14F99D5F" w14:textId="77777777" w:rsidR="00CE6A23" w:rsidRDefault="00CE6A23" w:rsidP="00E440AB">
            <w:pPr>
              <w:pStyle w:val="Tablecontent"/>
            </w:pPr>
            <w:r>
              <w:t>We certainly need to dive a lot deeper in this area, before applying limit to each virtual disk.</w:t>
            </w:r>
          </w:p>
          <w:p w14:paraId="4F381461" w14:textId="0F5DF611" w:rsidR="00FC2758" w:rsidRDefault="00FC2758" w:rsidP="00E440AB">
            <w:pPr>
              <w:pStyle w:val="Tablecontent"/>
            </w:pPr>
            <w:r>
              <w:t>What about disk space? How do you prevent your datastore running out of space when you overcommit? For thin provisioned, you can’t control when the disk space will be used. The only thing you can do is snapshot age, to prevent them from growing too large.</w:t>
            </w:r>
          </w:p>
        </w:tc>
      </w:tr>
      <w:tr w:rsidR="00A6670A" w14:paraId="018C7D01" w14:textId="77777777" w:rsidTr="00E440AB">
        <w:tc>
          <w:tcPr>
            <w:tcW w:w="1838" w:type="dxa"/>
          </w:tcPr>
          <w:p w14:paraId="0C29E8CD" w14:textId="77777777" w:rsidR="00A6670A" w:rsidRDefault="00A6670A" w:rsidP="00E440AB">
            <w:pPr>
              <w:pStyle w:val="Tablecontent"/>
            </w:pPr>
            <w:r>
              <w:t>Reservation</w:t>
            </w:r>
          </w:p>
        </w:tc>
        <w:tc>
          <w:tcPr>
            <w:tcW w:w="8647" w:type="dxa"/>
          </w:tcPr>
          <w:p w14:paraId="3ED4B765" w14:textId="35CA9778" w:rsidR="00FC2758" w:rsidRDefault="00DC1257" w:rsidP="00E440AB">
            <w:pPr>
              <w:pStyle w:val="Tablecontent"/>
            </w:pPr>
            <w:r>
              <w:t>T</w:t>
            </w:r>
            <w:r w:rsidR="00FC2758">
              <w:t xml:space="preserve">here is no reservation for VM Disk. </w:t>
            </w:r>
            <w:r>
              <w:t xml:space="preserve">See earlier screenshot listing 5 VMs in a table. None of the column show reservation. </w:t>
            </w:r>
          </w:p>
        </w:tc>
      </w:tr>
      <w:tr w:rsidR="00A6670A" w14:paraId="7128BB8D" w14:textId="77777777" w:rsidTr="00E440AB">
        <w:tc>
          <w:tcPr>
            <w:tcW w:w="1838" w:type="dxa"/>
          </w:tcPr>
          <w:p w14:paraId="05A444A4" w14:textId="77777777" w:rsidR="00A6670A" w:rsidRDefault="00A6670A" w:rsidP="00E440AB">
            <w:pPr>
              <w:pStyle w:val="Tablecontent"/>
            </w:pPr>
            <w:r>
              <w:t>Share</w:t>
            </w:r>
          </w:p>
        </w:tc>
        <w:tc>
          <w:tcPr>
            <w:tcW w:w="8647" w:type="dxa"/>
          </w:tcPr>
          <w:p w14:paraId="09EA00AE" w14:textId="5C81C95D" w:rsidR="00A6670A" w:rsidRDefault="00FC2758" w:rsidP="00E440AB">
            <w:pPr>
              <w:pStyle w:val="Tablecontent"/>
            </w:pPr>
            <w:r>
              <w:t xml:space="preserve">Unlike CPU, the share does not care about the size. Ideally, what you want is IOPS per GB. The reason is when you sell </w:t>
            </w:r>
            <w:r w:rsidRPr="004F75A4">
              <w:rPr>
                <w:color w:val="00B0F0"/>
              </w:rPr>
              <w:t>disk space</w:t>
            </w:r>
            <w:r>
              <w:t xml:space="preserve">, it </w:t>
            </w:r>
            <w:r w:rsidR="004F75A4">
              <w:t xml:space="preserve">actually </w:t>
            </w:r>
            <w:r>
              <w:t xml:space="preserve">comes with a certain amount of IOPS and throughput at certain latency threshold. </w:t>
            </w:r>
            <w:r w:rsidR="004F75A4">
              <w:t>This is how you justify gold storage higher price per GB.</w:t>
            </w:r>
          </w:p>
        </w:tc>
      </w:tr>
    </w:tbl>
    <w:p w14:paraId="7996E582" w14:textId="77777777" w:rsidR="00102C0C" w:rsidRDefault="00102C0C" w:rsidP="00E7573A">
      <w:pPr>
        <w:pStyle w:val="Heading5"/>
      </w:pPr>
      <w:r>
        <w:t xml:space="preserve">Storage I/O Control </w:t>
      </w:r>
    </w:p>
    <w:p w14:paraId="2CEF9760" w14:textId="1CE1FA5B" w:rsidR="00102C0C" w:rsidRDefault="00102C0C" w:rsidP="00102C0C">
      <w:pPr>
        <w:rPr>
          <w:lang w:val="en-GB"/>
        </w:rPr>
      </w:pPr>
      <w:r>
        <w:rPr>
          <w:lang w:val="en-GB"/>
        </w:rPr>
        <w:t>The control at datastore level is for a different purpose. Storage I/O Control (SIOC) is a datastore-wide throttling. There is no share and reservation, only limit. This means every VM on that datastore is “</w:t>
      </w:r>
      <w:r w:rsidRPr="004F75A4">
        <w:rPr>
          <w:color w:val="00B0F0"/>
          <w:lang w:val="en-GB"/>
        </w:rPr>
        <w:t>equally</w:t>
      </w:r>
      <w:r>
        <w:rPr>
          <w:lang w:val="en-GB"/>
        </w:rPr>
        <w:t>” affected. I wrote the word “equally” in quote as I’m unsure that’s per virtual disk, per IOPS, or per throughput</w:t>
      </w:r>
      <w:r w:rsidR="00E4254C">
        <w:rPr>
          <w:lang w:val="en-GB"/>
        </w:rPr>
        <w:t xml:space="preserve">. </w:t>
      </w:r>
    </w:p>
    <w:p w14:paraId="7E8F0E1F" w14:textId="77777777" w:rsidR="00102C0C" w:rsidRDefault="00102C0C" w:rsidP="00102C0C">
      <w:pPr>
        <w:rPr>
          <w:lang w:val="en-GB"/>
        </w:rPr>
      </w:pPr>
      <w:r w:rsidRPr="00CE6A23">
        <w:rPr>
          <w:noProof/>
          <w:lang w:val="en-GB"/>
        </w:rPr>
        <w:lastRenderedPageBreak/>
        <w:drawing>
          <wp:inline distT="0" distB="0" distL="0" distR="0" wp14:anchorId="13324FF7" wp14:editId="0C3270CE">
            <wp:extent cx="6645910" cy="3036570"/>
            <wp:effectExtent l="0" t="0" r="2540" b="0"/>
            <wp:docPr id="1033" name="Picture 103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Picture 1033" descr="Graphical user interface, text, application, email&#10;&#10;Description automatically generated"/>
                    <pic:cNvPicPr/>
                  </pic:nvPicPr>
                  <pic:blipFill>
                    <a:blip r:embed="rId131"/>
                    <a:stretch>
                      <a:fillRect/>
                    </a:stretch>
                  </pic:blipFill>
                  <pic:spPr>
                    <a:xfrm>
                      <a:off x="0" y="0"/>
                      <a:ext cx="6645910" cy="3036570"/>
                    </a:xfrm>
                    <a:prstGeom prst="rect">
                      <a:avLst/>
                    </a:prstGeom>
                  </pic:spPr>
                </pic:pic>
              </a:graphicData>
            </a:graphic>
          </wp:inline>
        </w:drawing>
      </w:r>
    </w:p>
    <w:p w14:paraId="511DA9B5" w14:textId="77777777" w:rsidR="00102C0C" w:rsidRDefault="00102C0C" w:rsidP="00102C0C">
      <w:pPr>
        <w:rPr>
          <w:lang w:val="en-GB"/>
        </w:rPr>
      </w:pPr>
      <w:r>
        <w:rPr>
          <w:lang w:val="en-GB"/>
        </w:rPr>
        <w:t>You can enable SIOC on each datastore, including local datastore.</w:t>
      </w:r>
    </w:p>
    <w:p w14:paraId="7A0454B3" w14:textId="77777777" w:rsidR="00102C0C" w:rsidRDefault="00102C0C" w:rsidP="00102C0C">
      <w:pPr>
        <w:rPr>
          <w:lang w:val="en-GB"/>
        </w:rPr>
      </w:pPr>
      <w:r>
        <w:rPr>
          <w:lang w:val="en-GB"/>
        </w:rPr>
        <w:t>Take note because vSAN has its own mechanism, SIOC does not apply to it.</w:t>
      </w:r>
    </w:p>
    <w:p w14:paraId="4B12B838" w14:textId="1018EEDE" w:rsidR="00ED7B6D" w:rsidRDefault="00ED7B6D" w:rsidP="00AC6E1E">
      <w:pPr>
        <w:pStyle w:val="Heading4"/>
        <w:numPr>
          <w:ilvl w:val="0"/>
          <w:numId w:val="0"/>
        </w:numPr>
      </w:pPr>
      <w:r>
        <w:t>Network</w:t>
      </w:r>
    </w:p>
    <w:p w14:paraId="56786395" w14:textId="012EE2BD" w:rsidR="000A01EA" w:rsidRDefault="00ED7B6D" w:rsidP="00ED7B6D">
      <w:pPr>
        <w:rPr>
          <w:lang w:val="en-GB"/>
        </w:rPr>
      </w:pPr>
      <w:r>
        <w:rPr>
          <w:lang w:val="en-GB"/>
        </w:rPr>
        <w:t xml:space="preserve">Network is the hardest to solve, due to its unique nature as interconnect. I cover </w:t>
      </w:r>
      <w:r w:rsidR="003B09EF">
        <w:rPr>
          <w:lang w:val="en-GB"/>
        </w:rPr>
        <w:t xml:space="preserve">it in-depth </w:t>
      </w:r>
      <w:hyperlink w:anchor="_Why_Network_Monitoring" w:history="1">
        <w:r w:rsidR="003B09EF" w:rsidRPr="003B09EF">
          <w:rPr>
            <w:rStyle w:val="Hyperlink"/>
            <w:lang w:val="en-GB"/>
          </w:rPr>
          <w:t>here</w:t>
        </w:r>
      </w:hyperlink>
      <w:r w:rsidR="003B09EF">
        <w:rPr>
          <w:lang w:val="en-GB"/>
        </w:rPr>
        <w:t xml:space="preserve"> in the Network metric chapter</w:t>
      </w:r>
      <w:r w:rsidR="000A01EA">
        <w:rPr>
          <w:lang w:val="en-GB"/>
        </w:rPr>
        <w:t>. Read at least the first section “</w:t>
      </w:r>
      <w:r w:rsidR="000A01EA" w:rsidRPr="000A01EA">
        <w:rPr>
          <w:color w:val="00B0F0"/>
        </w:rPr>
        <w:t>Why Network Monitoring is Unique</w:t>
      </w:r>
      <w:r w:rsidR="000A01EA">
        <w:rPr>
          <w:color w:val="00B0F0"/>
        </w:rPr>
        <w:t>"</w:t>
      </w:r>
      <w:r w:rsidR="000A01EA">
        <w:rPr>
          <w:lang w:val="en-GB"/>
        </w:rPr>
        <w:t xml:space="preserve">.” </w:t>
      </w:r>
    </w:p>
    <w:p w14:paraId="327E27BA" w14:textId="77777777" w:rsidR="000A01EA" w:rsidRDefault="000A01EA" w:rsidP="00ED7B6D">
      <w:pPr>
        <w:rPr>
          <w:lang w:val="en-GB"/>
        </w:rPr>
      </w:pPr>
      <w:r>
        <w:rPr>
          <w:lang w:val="en-GB"/>
        </w:rPr>
        <w:t xml:space="preserve">Done? </w:t>
      </w:r>
    </w:p>
    <w:p w14:paraId="27906B81" w14:textId="3790823F" w:rsidR="00ED7B6D" w:rsidRDefault="000A01EA" w:rsidP="00ED7B6D">
      <w:pPr>
        <w:rPr>
          <w:lang w:val="en-GB"/>
        </w:rPr>
      </w:pPr>
      <w:r>
        <w:rPr>
          <w:lang w:val="en-GB"/>
        </w:rPr>
        <w:t xml:space="preserve">Great, now let’s discuss how </w:t>
      </w:r>
      <w:r w:rsidR="003B09EF">
        <w:rPr>
          <w:lang w:val="en-GB"/>
        </w:rPr>
        <w:t>noisy neighbour</w:t>
      </w:r>
      <w:r>
        <w:rPr>
          <w:lang w:val="en-GB"/>
        </w:rPr>
        <w:t xml:space="preserve"> is harder in network. </w:t>
      </w:r>
    </w:p>
    <w:p w14:paraId="7727A3A7" w14:textId="4707B65F" w:rsidR="00435643" w:rsidRDefault="00435643" w:rsidP="00ED7B6D">
      <w:pPr>
        <w:rPr>
          <w:lang w:val="en-GB"/>
        </w:rPr>
      </w:pPr>
      <w:r>
        <w:rPr>
          <w:lang w:val="en-GB"/>
        </w:rPr>
        <w:t xml:space="preserve">We start with a single ESXi, </w:t>
      </w:r>
      <w:r w:rsidR="00102C0C">
        <w:rPr>
          <w:lang w:val="en-GB"/>
        </w:rPr>
        <w:t xml:space="preserve">not distributed switch, </w:t>
      </w:r>
      <w:r>
        <w:rPr>
          <w:lang w:val="en-GB"/>
        </w:rPr>
        <w:t>as that’s where the villain VM is running. Let’s say the ESXi has 2x 25 Gb/s physical NIC.</w:t>
      </w:r>
      <w:r w:rsidR="00B94E56">
        <w:rPr>
          <w:lang w:val="en-GB"/>
        </w:rPr>
        <w:t xml:space="preserve"> Total is 50 Gb although you typically count this as 40 Gb, giving you 20% headroom. </w:t>
      </w:r>
      <w:r>
        <w:rPr>
          <w:lang w:val="en-GB"/>
        </w:rPr>
        <w:t xml:space="preserve">In these 2 cards, you run </w:t>
      </w:r>
      <w:r w:rsidR="00B94E56">
        <w:rPr>
          <w:lang w:val="en-GB"/>
        </w:rPr>
        <w:t>both the VMK traffic (v</w:t>
      </w:r>
      <w:r>
        <w:rPr>
          <w:lang w:val="en-GB"/>
        </w:rPr>
        <w:t>SAN</w:t>
      </w:r>
      <w:r w:rsidR="00B94E56">
        <w:rPr>
          <w:lang w:val="en-GB"/>
        </w:rPr>
        <w:t xml:space="preserve">, vMotion, vSphere Replication, etc.) and </w:t>
      </w:r>
      <w:r>
        <w:rPr>
          <w:lang w:val="en-GB"/>
        </w:rPr>
        <w:t>VM.</w:t>
      </w:r>
      <w:r w:rsidR="00B94E56">
        <w:rPr>
          <w:lang w:val="en-GB"/>
        </w:rPr>
        <w:t xml:space="preserve"> Let’s say you have 25 running VM on average. Assuming you allocate around 20 Gb for VMK, that leaves 20 Gb for 25 VM. </w:t>
      </w:r>
    </w:p>
    <w:p w14:paraId="64ADC0D7" w14:textId="38B68661" w:rsidR="00B94E56" w:rsidRDefault="00B94E56" w:rsidP="00ED7B6D">
      <w:pPr>
        <w:rPr>
          <w:lang w:val="en-GB"/>
        </w:rPr>
      </w:pPr>
      <w:r>
        <w:rPr>
          <w:lang w:val="en-GB"/>
        </w:rPr>
        <w:t>Now, a single villain VM can hit 10 Gb</w:t>
      </w:r>
      <w:r w:rsidR="00041D8D">
        <w:rPr>
          <w:lang w:val="en-GB"/>
        </w:rPr>
        <w:t xml:space="preserve">. For example, Hadoop worker node receives large amount of data over the network, sustaining 5 Gb over 300 seconds period. That leaves 10 Gb to be shared among the remaining 24 VM. Each only gets 400 Mb/s on average. If they are not network intensive, they may not feel the impact. </w:t>
      </w:r>
    </w:p>
    <w:p w14:paraId="4D4E1C3E" w14:textId="655F2509" w:rsidR="00102C0C" w:rsidRDefault="00102C0C" w:rsidP="00ED7B6D">
      <w:pPr>
        <w:rPr>
          <w:lang w:val="en-GB"/>
        </w:rPr>
      </w:pPr>
      <w:r>
        <w:rPr>
          <w:lang w:val="en-GB"/>
        </w:rPr>
        <w:t xml:space="preserve">But the above calculation is done on 2 x 25 Gb network. If you only have 2 x 10 Gb, </w:t>
      </w:r>
      <w:r w:rsidR="005E59AD">
        <w:rPr>
          <w:lang w:val="en-GB"/>
        </w:rPr>
        <w:t xml:space="preserve">you increase your risk significantly. In a sense, it goes back to fundamental of capacity management, which is your overcommit ratio. </w:t>
      </w:r>
    </w:p>
    <w:p w14:paraId="624C74A5" w14:textId="4A52F248" w:rsidR="00FC2758" w:rsidRDefault="00863936" w:rsidP="00ED7B6D">
      <w:pPr>
        <w:rPr>
          <w:lang w:val="en-GB"/>
        </w:rPr>
      </w:pPr>
      <w:r>
        <w:rPr>
          <w:lang w:val="en-GB"/>
        </w:rPr>
        <w:t xml:space="preserve">Review the following diagram, which shows a vSphere Cluster. Why is network </w:t>
      </w:r>
      <w:r w:rsidR="00FC2758">
        <w:rPr>
          <w:lang w:val="en-GB"/>
        </w:rPr>
        <w:t xml:space="preserve">missing on </w:t>
      </w:r>
      <w:r w:rsidR="00FC2758" w:rsidRPr="00FC2758">
        <w:rPr>
          <w:color w:val="00B0F0"/>
          <w:lang w:val="en-GB"/>
        </w:rPr>
        <w:t>Resource Allocation</w:t>
      </w:r>
      <w:r w:rsidR="00FC2758">
        <w:rPr>
          <w:lang w:val="en-GB"/>
        </w:rPr>
        <w:t>?</w:t>
      </w:r>
    </w:p>
    <w:p w14:paraId="2500FEBA" w14:textId="0B6F07A2" w:rsidR="00FC2758" w:rsidRDefault="00FC2758" w:rsidP="00643F7B">
      <w:pPr>
        <w:jc w:val="center"/>
        <w:rPr>
          <w:lang w:val="en-GB"/>
        </w:rPr>
      </w:pPr>
      <w:r w:rsidRPr="00FC2758">
        <w:rPr>
          <w:noProof/>
          <w:lang w:val="en-GB"/>
        </w:rPr>
        <w:lastRenderedPageBreak/>
        <w:drawing>
          <wp:inline distT="0" distB="0" distL="0" distR="0" wp14:anchorId="16091108" wp14:editId="6E9E1054">
            <wp:extent cx="5889600" cy="3060000"/>
            <wp:effectExtent l="0" t="0" r="0" b="7620"/>
            <wp:docPr id="1035" name="Picture 103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Picture 1035" descr="Graphical user interface, text, application&#10;&#10;Description automatically generated"/>
                    <pic:cNvPicPr/>
                  </pic:nvPicPr>
                  <pic:blipFill>
                    <a:blip r:embed="rId132"/>
                    <a:stretch>
                      <a:fillRect/>
                    </a:stretch>
                  </pic:blipFill>
                  <pic:spPr>
                    <a:xfrm>
                      <a:off x="0" y="0"/>
                      <a:ext cx="5889600" cy="3060000"/>
                    </a:xfrm>
                    <a:prstGeom prst="rect">
                      <a:avLst/>
                    </a:prstGeom>
                  </pic:spPr>
                </pic:pic>
              </a:graphicData>
            </a:graphic>
          </wp:inline>
        </w:drawing>
      </w:r>
    </w:p>
    <w:p w14:paraId="33DC8814" w14:textId="2AD7DB26" w:rsidR="008F021D" w:rsidRDefault="00863936" w:rsidP="00ED7B6D">
      <w:pPr>
        <w:rPr>
          <w:lang w:val="en-GB"/>
        </w:rPr>
      </w:pPr>
      <w:r>
        <w:rPr>
          <w:lang w:val="en-GB"/>
        </w:rPr>
        <w:t xml:space="preserve">The reason is you configure it at </w:t>
      </w:r>
      <w:r w:rsidR="009D35E8">
        <w:rPr>
          <w:lang w:val="en-GB"/>
        </w:rPr>
        <w:t xml:space="preserve">the distributed switch. </w:t>
      </w:r>
    </w:p>
    <w:p w14:paraId="6325CC9E" w14:textId="621885E8" w:rsidR="00863936" w:rsidRDefault="008F021D" w:rsidP="00ED7B6D">
      <w:pPr>
        <w:rPr>
          <w:lang w:val="en-GB"/>
        </w:rPr>
      </w:pPr>
      <w:r>
        <w:rPr>
          <w:lang w:val="en-GB"/>
        </w:rPr>
        <w:t>Just like compute, you can set on each VM network adapter the shares, reservation and limit.</w:t>
      </w:r>
    </w:p>
    <w:p w14:paraId="53566BE3" w14:textId="320F8124" w:rsidR="00863936" w:rsidRDefault="00863936" w:rsidP="00643F7B">
      <w:pPr>
        <w:jc w:val="center"/>
        <w:rPr>
          <w:lang w:val="en-GB"/>
        </w:rPr>
      </w:pPr>
      <w:r w:rsidRPr="00863936">
        <w:rPr>
          <w:noProof/>
          <w:lang w:val="en-GB"/>
        </w:rPr>
        <w:drawing>
          <wp:inline distT="0" distB="0" distL="0" distR="0" wp14:anchorId="17DA207E" wp14:editId="231554C0">
            <wp:extent cx="4719600" cy="2030400"/>
            <wp:effectExtent l="0" t="0" r="5080" b="8255"/>
            <wp:docPr id="1036" name="Picture 103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Picture 1036" descr="Graphical user interface, application&#10;&#10;Description automatically generated"/>
                    <pic:cNvPicPr/>
                  </pic:nvPicPr>
                  <pic:blipFill>
                    <a:blip r:embed="rId133"/>
                    <a:stretch>
                      <a:fillRect/>
                    </a:stretch>
                  </pic:blipFill>
                  <pic:spPr>
                    <a:xfrm>
                      <a:off x="0" y="0"/>
                      <a:ext cx="4719600" cy="2030400"/>
                    </a:xfrm>
                    <a:prstGeom prst="rect">
                      <a:avLst/>
                    </a:prstGeom>
                  </pic:spPr>
                </pic:pic>
              </a:graphicData>
            </a:graphic>
          </wp:inline>
        </w:drawing>
      </w:r>
    </w:p>
    <w:p w14:paraId="7ADA5C5B" w14:textId="77777777" w:rsidR="00ED7B6D" w:rsidRDefault="00ED7B6D" w:rsidP="00ED7B6D">
      <w:pPr>
        <w:pStyle w:val="BeforeTable"/>
        <w:rPr>
          <w:lang w:val="en-GB"/>
        </w:rPr>
      </w:pPr>
    </w:p>
    <w:tbl>
      <w:tblPr>
        <w:tblStyle w:val="TableGrid"/>
        <w:tblW w:w="1048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38"/>
        <w:gridCol w:w="8647"/>
      </w:tblGrid>
      <w:tr w:rsidR="00ED7B6D" w14:paraId="0F04CCBB" w14:textId="77777777" w:rsidTr="00E440AB">
        <w:tc>
          <w:tcPr>
            <w:tcW w:w="1838" w:type="dxa"/>
            <w:shd w:val="clear" w:color="auto" w:fill="F2F2F2" w:themeFill="background1" w:themeFillShade="F2"/>
          </w:tcPr>
          <w:p w14:paraId="26161110" w14:textId="77777777" w:rsidR="00ED7B6D" w:rsidRDefault="00ED7B6D" w:rsidP="00E440AB">
            <w:pPr>
              <w:pStyle w:val="Tableheading"/>
            </w:pPr>
            <w:r>
              <w:lastRenderedPageBreak/>
              <w:t>Control</w:t>
            </w:r>
          </w:p>
        </w:tc>
        <w:tc>
          <w:tcPr>
            <w:tcW w:w="8647" w:type="dxa"/>
            <w:shd w:val="clear" w:color="auto" w:fill="F2F2F2" w:themeFill="background1" w:themeFillShade="F2"/>
          </w:tcPr>
          <w:p w14:paraId="37994BFC" w14:textId="77777777" w:rsidR="00ED7B6D" w:rsidRDefault="00ED7B6D" w:rsidP="00E440AB">
            <w:pPr>
              <w:pStyle w:val="Tableheading"/>
            </w:pPr>
            <w:r>
              <w:t>Analysis</w:t>
            </w:r>
          </w:p>
        </w:tc>
      </w:tr>
      <w:tr w:rsidR="00ED7B6D" w14:paraId="05BE6729" w14:textId="77777777" w:rsidTr="00E440AB">
        <w:tc>
          <w:tcPr>
            <w:tcW w:w="1838" w:type="dxa"/>
          </w:tcPr>
          <w:p w14:paraId="462ECEAA" w14:textId="77777777" w:rsidR="00ED7B6D" w:rsidRDefault="00ED7B6D" w:rsidP="00E440AB">
            <w:pPr>
              <w:pStyle w:val="Tablecontent"/>
            </w:pPr>
            <w:r>
              <w:t>Limit</w:t>
            </w:r>
          </w:p>
        </w:tc>
        <w:tc>
          <w:tcPr>
            <w:tcW w:w="8647" w:type="dxa"/>
          </w:tcPr>
          <w:p w14:paraId="2E41F019" w14:textId="77777777" w:rsidR="00ED7B6D" w:rsidRDefault="00041D8D" w:rsidP="00E440AB">
            <w:pPr>
              <w:pStyle w:val="Tablecontent"/>
            </w:pPr>
            <w:r>
              <w:t xml:space="preserve">Just like compute and storage, if you set limit you need to ensure it’s high enough for the VM, yet low enough for the ESXi physical NIC card. So what number do you set? </w:t>
            </w:r>
          </w:p>
          <w:p w14:paraId="0CBB3A76" w14:textId="677A86AF" w:rsidR="00041D8D" w:rsidRDefault="00041D8D" w:rsidP="00041D8D">
            <w:pPr>
              <w:pStyle w:val="Tablecontent"/>
            </w:pPr>
            <w:r>
              <w:t xml:space="preserve">I think it should be 8 Gb/s. That’s good for the VM, but it’s too close to your ESXi. There is also management challenge, as the settings are buried deep and set in multiple places. So at the end of the day, it might not be practical. </w:t>
            </w:r>
          </w:p>
        </w:tc>
      </w:tr>
      <w:tr w:rsidR="00ED7B6D" w14:paraId="7DDB1DB4" w14:textId="77777777" w:rsidTr="00E440AB">
        <w:tc>
          <w:tcPr>
            <w:tcW w:w="1838" w:type="dxa"/>
          </w:tcPr>
          <w:p w14:paraId="74883C66" w14:textId="77777777" w:rsidR="00ED7B6D" w:rsidRDefault="00ED7B6D" w:rsidP="00E440AB">
            <w:pPr>
              <w:pStyle w:val="Tablecontent"/>
            </w:pPr>
            <w:r>
              <w:t>Reservation</w:t>
            </w:r>
          </w:p>
        </w:tc>
        <w:tc>
          <w:tcPr>
            <w:tcW w:w="8647" w:type="dxa"/>
          </w:tcPr>
          <w:p w14:paraId="29821136" w14:textId="00DD8BE1" w:rsidR="00863936" w:rsidRDefault="00041D8D" w:rsidP="00E440AB">
            <w:pPr>
              <w:pStyle w:val="Tablecontent"/>
            </w:pPr>
            <w:r>
              <w:t>If you have plenty of bandwidth</w:t>
            </w:r>
            <w:r w:rsidR="00863936">
              <w:t xml:space="preserve">, consider setting 100 Mb/s per VM. Use the </w:t>
            </w:r>
            <w:hyperlink w:anchor="_Depth_vs_Breadth_1" w:history="1">
              <w:r w:rsidR="00863936" w:rsidRPr="00863936">
                <w:rPr>
                  <w:rStyle w:val="Hyperlink"/>
                </w:rPr>
                <w:t>metric profiling technique</w:t>
              </w:r>
            </w:hyperlink>
            <w:r w:rsidR="00863936">
              <w:t xml:space="preserve"> to arrive at number specific to your environment. </w:t>
            </w:r>
          </w:p>
        </w:tc>
      </w:tr>
      <w:tr w:rsidR="00ED7B6D" w14:paraId="70B419DB" w14:textId="77777777" w:rsidTr="00E440AB">
        <w:tc>
          <w:tcPr>
            <w:tcW w:w="1838" w:type="dxa"/>
          </w:tcPr>
          <w:p w14:paraId="5A0F8178" w14:textId="77777777" w:rsidR="00ED7B6D" w:rsidRDefault="00ED7B6D" w:rsidP="00E440AB">
            <w:pPr>
              <w:pStyle w:val="Tablecontent"/>
            </w:pPr>
            <w:r>
              <w:t>Share</w:t>
            </w:r>
          </w:p>
        </w:tc>
        <w:tc>
          <w:tcPr>
            <w:tcW w:w="8647" w:type="dxa"/>
          </w:tcPr>
          <w:p w14:paraId="1FE6B4D5" w14:textId="3CB48D28" w:rsidR="00643F7B" w:rsidRDefault="008F021D" w:rsidP="00E440AB">
            <w:pPr>
              <w:pStyle w:val="Tablecontent"/>
            </w:pPr>
            <w:r>
              <w:t xml:space="preserve">The main thing you need to check is actually between VM and non VM. By default, the share is larger for VMkernel, such as vMotion. I think VM network should be given </w:t>
            </w:r>
            <w:r w:rsidR="00643F7B">
              <w:t>higher shares</w:t>
            </w:r>
            <w:r>
              <w:t xml:space="preserve"> than vMotion</w:t>
            </w:r>
            <w:r w:rsidR="00643F7B">
              <w:t xml:space="preserve"> and vSphere Replication, but lower shares than vSAN and Fault Tolerant. </w:t>
            </w:r>
          </w:p>
        </w:tc>
      </w:tr>
    </w:tbl>
    <w:p w14:paraId="0A6A8565" w14:textId="12A124F0" w:rsidR="002E0071" w:rsidRDefault="00540AFE" w:rsidP="00AC6E1E">
      <w:pPr>
        <w:pStyle w:val="Heading4"/>
        <w:numPr>
          <w:ilvl w:val="0"/>
          <w:numId w:val="0"/>
        </w:numPr>
      </w:pPr>
      <w:r>
        <w:t>Solution</w:t>
      </w:r>
    </w:p>
    <w:p w14:paraId="507436FD" w14:textId="1FB958B6" w:rsidR="00540AFE" w:rsidRDefault="00540AFE" w:rsidP="00540AFE">
      <w:pPr>
        <w:rPr>
          <w:lang w:val="en-GB"/>
        </w:rPr>
      </w:pPr>
      <w:r>
        <w:rPr>
          <w:lang w:val="en-GB"/>
        </w:rPr>
        <w:t>So what can you do to avoid it altogether</w:t>
      </w:r>
      <w:r w:rsidR="00BE434B">
        <w:rPr>
          <w:lang w:val="en-GB"/>
        </w:rPr>
        <w:t>, instead of just minimizing it?</w:t>
      </w:r>
    </w:p>
    <w:p w14:paraId="0C45427F" w14:textId="242C9FF9" w:rsidR="00540AFE" w:rsidRDefault="00540AFE" w:rsidP="00540AFE">
      <w:pPr>
        <w:rPr>
          <w:lang w:val="en-GB"/>
        </w:rPr>
      </w:pPr>
      <w:r>
        <w:rPr>
          <w:lang w:val="en-GB"/>
        </w:rPr>
        <w:t>Well, if you overcommit, the answer is</w:t>
      </w:r>
      <w:r w:rsidR="00A5594E">
        <w:rPr>
          <w:lang w:val="en-GB"/>
        </w:rPr>
        <w:t xml:space="preserve"> it is</w:t>
      </w:r>
      <w:r>
        <w:rPr>
          <w:lang w:val="en-GB"/>
        </w:rPr>
        <w:t xml:space="preserve"> not possible. It’s like the highway. You overcommit the lanes, so during peak hour there will be some congestion. </w:t>
      </w:r>
      <w:r w:rsidR="00643F7B">
        <w:rPr>
          <w:lang w:val="en-GB"/>
        </w:rPr>
        <w:t>You can minimize the impact b</w:t>
      </w:r>
      <w:r w:rsidR="00E82CEC">
        <w:rPr>
          <w:lang w:val="en-GB"/>
        </w:rPr>
        <w:t>y having the right capacity planning.</w:t>
      </w:r>
    </w:p>
    <w:p w14:paraId="4A55C0B0" w14:textId="77777777" w:rsidR="005969F0" w:rsidRDefault="00CB150E" w:rsidP="00540AFE">
      <w:pPr>
        <w:rPr>
          <w:lang w:val="en-GB"/>
        </w:rPr>
      </w:pPr>
      <w:r>
        <w:rPr>
          <w:lang w:val="en-GB"/>
        </w:rPr>
        <w:t xml:space="preserve">Start with the right pricing policy. </w:t>
      </w:r>
    </w:p>
    <w:p w14:paraId="7D37E5CF" w14:textId="1A644DA4" w:rsidR="005969F0" w:rsidRDefault="005969F0" w:rsidP="00643F7B">
      <w:pPr>
        <w:pStyle w:val="Bullet"/>
        <w:rPr>
          <w:lang w:val="en-GB"/>
        </w:rPr>
      </w:pPr>
      <w:r>
        <w:rPr>
          <w:lang w:val="en-GB"/>
        </w:rPr>
        <w:t>It should be a function of your overcommit ratio. In a nutshell, your message to your customer is “</w:t>
      </w:r>
      <w:r w:rsidRPr="005969F0">
        <w:rPr>
          <w:color w:val="00B0F0"/>
          <w:lang w:val="en-GB"/>
        </w:rPr>
        <w:t xml:space="preserve">if you </w:t>
      </w:r>
      <w:r>
        <w:rPr>
          <w:color w:val="00B0F0"/>
          <w:lang w:val="en-GB"/>
        </w:rPr>
        <w:t xml:space="preserve">all want to </w:t>
      </w:r>
      <w:r w:rsidRPr="005969F0">
        <w:rPr>
          <w:color w:val="00B0F0"/>
          <w:lang w:val="en-GB"/>
        </w:rPr>
        <w:t>pay half price, there will be 2x as many of you as I need to break even</w:t>
      </w:r>
      <w:r>
        <w:rPr>
          <w:lang w:val="en-GB"/>
        </w:rPr>
        <w:t>”.</w:t>
      </w:r>
    </w:p>
    <w:p w14:paraId="1AE46DF7" w14:textId="38DC79C2" w:rsidR="005969F0" w:rsidRPr="005969F0" w:rsidRDefault="005969F0" w:rsidP="00643F7B">
      <w:pPr>
        <w:pStyle w:val="Bullet"/>
        <w:rPr>
          <w:lang w:val="en-GB"/>
        </w:rPr>
      </w:pPr>
      <w:r w:rsidRPr="005969F0">
        <w:rPr>
          <w:lang w:val="en-GB"/>
        </w:rPr>
        <w:t xml:space="preserve">Have progressive pricing tier, so a 64 vCPU VM is not simply 64x the price of 1 vCPU VM. More about pricing </w:t>
      </w:r>
      <w:hyperlink w:anchor="_Price_1" w:history="1">
        <w:r w:rsidRPr="005969F0">
          <w:rPr>
            <w:rStyle w:val="Hyperlink"/>
            <w:lang w:val="en-GB"/>
          </w:rPr>
          <w:t>here</w:t>
        </w:r>
      </w:hyperlink>
      <w:r w:rsidRPr="005969F0">
        <w:rPr>
          <w:lang w:val="en-GB"/>
        </w:rPr>
        <w:t xml:space="preserve">. </w:t>
      </w:r>
    </w:p>
    <w:p w14:paraId="444A6BFB" w14:textId="77777777" w:rsidR="005969F0" w:rsidRDefault="00CB150E" w:rsidP="00540AFE">
      <w:pPr>
        <w:rPr>
          <w:lang w:val="en-GB"/>
        </w:rPr>
      </w:pPr>
      <w:r>
        <w:rPr>
          <w:lang w:val="en-GB"/>
        </w:rPr>
        <w:t>If you do not charge, then use Class of Service as the policy. The size of VM or Container is less in the lower class of service, as the class has higher overcommit ratio.</w:t>
      </w:r>
      <w:r w:rsidR="00D00B65">
        <w:rPr>
          <w:lang w:val="en-GB"/>
        </w:rPr>
        <w:t xml:space="preserve"> </w:t>
      </w:r>
    </w:p>
    <w:p w14:paraId="1AB9EBCD" w14:textId="08BFC5E0" w:rsidR="005E59AD" w:rsidRDefault="005E59AD" w:rsidP="00540AFE">
      <w:pPr>
        <w:rPr>
          <w:lang w:val="en-GB"/>
        </w:rPr>
      </w:pPr>
      <w:r>
        <w:rPr>
          <w:lang w:val="en-GB"/>
        </w:rPr>
        <w:t xml:space="preserve">Educate your customers, and communicate clearly the different quality of service. </w:t>
      </w:r>
      <w:r w:rsidR="00094CBD">
        <w:rPr>
          <w:lang w:val="en-GB"/>
        </w:rPr>
        <w:t xml:space="preserve">For example, the following shows the SLA for memory. </w:t>
      </w:r>
    </w:p>
    <w:p w14:paraId="1A344B5A" w14:textId="77777777" w:rsidR="005E59AD" w:rsidRPr="005969F0" w:rsidRDefault="005E59AD" w:rsidP="005E59AD">
      <w:pPr>
        <w:pStyle w:val="BeforeTable"/>
      </w:pPr>
    </w:p>
    <w:tbl>
      <w:tblPr>
        <w:tblStyle w:val="TableGrid"/>
        <w:tblW w:w="10466"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27"/>
        <w:gridCol w:w="2126"/>
        <w:gridCol w:w="6213"/>
      </w:tblGrid>
      <w:tr w:rsidR="00094CBD" w14:paraId="6A5A5014" w14:textId="77777777" w:rsidTr="00094CBD">
        <w:trPr>
          <w:jc w:val="center"/>
        </w:trPr>
        <w:tc>
          <w:tcPr>
            <w:tcW w:w="2127" w:type="dxa"/>
            <w:shd w:val="clear" w:color="auto" w:fill="F2F2F2" w:themeFill="background1" w:themeFillShade="F2"/>
          </w:tcPr>
          <w:p w14:paraId="633B7384" w14:textId="6285B5CC" w:rsidR="00094CBD" w:rsidRDefault="00094CBD" w:rsidP="00E440AB">
            <w:pPr>
              <w:pStyle w:val="Tableheading"/>
            </w:pPr>
            <w:r>
              <w:t>Class of Service</w:t>
            </w:r>
          </w:p>
        </w:tc>
        <w:tc>
          <w:tcPr>
            <w:tcW w:w="2126" w:type="dxa"/>
            <w:shd w:val="clear" w:color="auto" w:fill="F2F2F2" w:themeFill="background1" w:themeFillShade="F2"/>
          </w:tcPr>
          <w:p w14:paraId="60999B70" w14:textId="5629B8C2" w:rsidR="00094CBD" w:rsidRDefault="00094CBD" w:rsidP="00E440AB">
            <w:pPr>
              <w:pStyle w:val="Tableheading"/>
            </w:pPr>
            <w:r>
              <w:t>Overcommit</w:t>
            </w:r>
          </w:p>
        </w:tc>
        <w:tc>
          <w:tcPr>
            <w:tcW w:w="6213" w:type="dxa"/>
            <w:shd w:val="clear" w:color="auto" w:fill="F2F2F2" w:themeFill="background1" w:themeFillShade="F2"/>
          </w:tcPr>
          <w:p w14:paraId="7ACB7527" w14:textId="7D13F02C" w:rsidR="00094CBD" w:rsidRDefault="00094CBD" w:rsidP="00E440AB">
            <w:pPr>
              <w:pStyle w:val="Tableheading"/>
            </w:pPr>
            <w:r>
              <w:t>Performance Threshold</w:t>
            </w:r>
          </w:p>
        </w:tc>
      </w:tr>
      <w:tr w:rsidR="00094CBD" w14:paraId="5ED07CB4" w14:textId="77777777" w:rsidTr="00094CBD">
        <w:trPr>
          <w:jc w:val="center"/>
        </w:trPr>
        <w:tc>
          <w:tcPr>
            <w:tcW w:w="2127" w:type="dxa"/>
          </w:tcPr>
          <w:p w14:paraId="25BEF34C" w14:textId="750EE17B" w:rsidR="00094CBD" w:rsidRDefault="00094CBD" w:rsidP="00E440AB">
            <w:pPr>
              <w:pStyle w:val="Tablecontent"/>
              <w:jc w:val="center"/>
            </w:pPr>
            <w:r>
              <w:t>Gold</w:t>
            </w:r>
          </w:p>
        </w:tc>
        <w:tc>
          <w:tcPr>
            <w:tcW w:w="2126" w:type="dxa"/>
          </w:tcPr>
          <w:p w14:paraId="1F1F1685" w14:textId="6429691C" w:rsidR="00094CBD" w:rsidRDefault="00094CBD" w:rsidP="00094CBD">
            <w:pPr>
              <w:pStyle w:val="Tablecontent"/>
              <w:jc w:val="center"/>
            </w:pPr>
            <w:r>
              <w:t>1 : 1</w:t>
            </w:r>
          </w:p>
        </w:tc>
        <w:tc>
          <w:tcPr>
            <w:tcW w:w="6213" w:type="dxa"/>
          </w:tcPr>
          <w:p w14:paraId="725FC333" w14:textId="17D347EC" w:rsidR="00094CBD" w:rsidRDefault="00094CBD" w:rsidP="00E440AB">
            <w:pPr>
              <w:pStyle w:val="Tablecontent"/>
            </w:pPr>
            <w:r>
              <w:t>VM Contention are all 0% for entire month</w:t>
            </w:r>
          </w:p>
        </w:tc>
      </w:tr>
      <w:tr w:rsidR="00094CBD" w14:paraId="1D623EE8" w14:textId="77777777" w:rsidTr="00094CBD">
        <w:trPr>
          <w:jc w:val="center"/>
        </w:trPr>
        <w:tc>
          <w:tcPr>
            <w:tcW w:w="2127" w:type="dxa"/>
          </w:tcPr>
          <w:p w14:paraId="7F4CE4EC" w14:textId="7209214D" w:rsidR="00094CBD" w:rsidRDefault="00094CBD" w:rsidP="00E440AB">
            <w:pPr>
              <w:pStyle w:val="Tablecontent"/>
              <w:jc w:val="center"/>
            </w:pPr>
            <w:r>
              <w:t>Silver</w:t>
            </w:r>
          </w:p>
        </w:tc>
        <w:tc>
          <w:tcPr>
            <w:tcW w:w="2126" w:type="dxa"/>
          </w:tcPr>
          <w:p w14:paraId="0ABFD3DC" w14:textId="6E9C5C9E" w:rsidR="00094CBD" w:rsidRDefault="00094CBD" w:rsidP="00094CBD">
            <w:pPr>
              <w:pStyle w:val="Tablecontent"/>
              <w:jc w:val="center"/>
            </w:pPr>
            <w:r>
              <w:t>1.5 : 1</w:t>
            </w:r>
          </w:p>
        </w:tc>
        <w:tc>
          <w:tcPr>
            <w:tcW w:w="6213" w:type="dxa"/>
          </w:tcPr>
          <w:p w14:paraId="7AEAD109" w14:textId="62CD9314" w:rsidR="00094CBD" w:rsidRDefault="00094CBD" w:rsidP="00E440AB">
            <w:pPr>
              <w:pStyle w:val="Tablecontent"/>
            </w:pPr>
            <w:r>
              <w:t>VM contention is &lt;1% for 99.99% of the time in the entire month</w:t>
            </w:r>
          </w:p>
        </w:tc>
      </w:tr>
      <w:tr w:rsidR="00094CBD" w14:paraId="130CA8F2" w14:textId="77777777" w:rsidTr="00094CBD">
        <w:trPr>
          <w:jc w:val="center"/>
        </w:trPr>
        <w:tc>
          <w:tcPr>
            <w:tcW w:w="2127" w:type="dxa"/>
          </w:tcPr>
          <w:p w14:paraId="7EE566B7" w14:textId="6AFA4B80" w:rsidR="00094CBD" w:rsidRDefault="00094CBD" w:rsidP="00E440AB">
            <w:pPr>
              <w:pStyle w:val="Tablecontent"/>
              <w:jc w:val="center"/>
            </w:pPr>
            <w:r>
              <w:t>Bronze</w:t>
            </w:r>
          </w:p>
        </w:tc>
        <w:tc>
          <w:tcPr>
            <w:tcW w:w="2126" w:type="dxa"/>
          </w:tcPr>
          <w:p w14:paraId="6ADF6F4C" w14:textId="071ED785" w:rsidR="00094CBD" w:rsidRDefault="00094CBD" w:rsidP="00094CBD">
            <w:pPr>
              <w:pStyle w:val="Tablecontent"/>
              <w:jc w:val="center"/>
            </w:pPr>
            <w:r>
              <w:t>2 : 1</w:t>
            </w:r>
          </w:p>
        </w:tc>
        <w:tc>
          <w:tcPr>
            <w:tcW w:w="6213" w:type="dxa"/>
          </w:tcPr>
          <w:p w14:paraId="41A28672" w14:textId="15EA7A0D" w:rsidR="00094CBD" w:rsidRDefault="00094CBD" w:rsidP="00E440AB">
            <w:pPr>
              <w:pStyle w:val="Tablecontent"/>
            </w:pPr>
          </w:p>
        </w:tc>
      </w:tr>
    </w:tbl>
    <w:p w14:paraId="1F83D037" w14:textId="7A690C88" w:rsidR="00DF771D" w:rsidRDefault="00094CBD" w:rsidP="00540AFE">
      <w:pPr>
        <w:rPr>
          <w:lang w:val="en-GB"/>
        </w:rPr>
      </w:pPr>
      <w:r>
        <w:rPr>
          <w:lang w:val="en-GB"/>
        </w:rPr>
        <w:t xml:space="preserve">As SLA is calculated at the end of the month, it’s a lagging indicator. It’s only useful for business reporting, not proactive operations. To complement it, you need to implement an early warning system that tracks in real time (or maximum every 5 minute). </w:t>
      </w:r>
      <w:r w:rsidR="00DF771D">
        <w:rPr>
          <w:lang w:val="en-GB"/>
        </w:rPr>
        <w:t>You need to know when to stop provisioning, as you don’t want to make the matter worse and eventually breach SLA.</w:t>
      </w:r>
    </w:p>
    <w:p w14:paraId="77B28B0F" w14:textId="115F4301" w:rsidR="00643F7B" w:rsidRDefault="00DF771D" w:rsidP="00540AFE">
      <w:pPr>
        <w:rPr>
          <w:lang w:val="en-GB"/>
        </w:rPr>
      </w:pPr>
      <w:r>
        <w:rPr>
          <w:lang w:val="en-GB"/>
        </w:rPr>
        <w:t xml:space="preserve">In fact, knowing when to </w:t>
      </w:r>
      <w:r w:rsidR="00094CBD">
        <w:rPr>
          <w:lang w:val="en-GB"/>
        </w:rPr>
        <w:t>stop provisioning</w:t>
      </w:r>
      <w:r>
        <w:rPr>
          <w:lang w:val="en-GB"/>
        </w:rPr>
        <w:t xml:space="preserve"> is also too disruptive for your operations, if VMs are provisioned via self service. </w:t>
      </w:r>
      <w:r w:rsidR="00643F7B">
        <w:rPr>
          <w:lang w:val="en-GB"/>
        </w:rPr>
        <w:t xml:space="preserve">What do you do for VMs already in the queue of being provisioned? </w:t>
      </w:r>
    </w:p>
    <w:p w14:paraId="79973EEA" w14:textId="745DC397" w:rsidR="00094CBD" w:rsidRDefault="00DF771D" w:rsidP="00540AFE">
      <w:pPr>
        <w:rPr>
          <w:lang w:val="en-GB"/>
        </w:rPr>
      </w:pPr>
      <w:r>
        <w:rPr>
          <w:lang w:val="en-GB"/>
        </w:rPr>
        <w:lastRenderedPageBreak/>
        <w:t xml:space="preserve">You need a predictive metric, a leading indicator showing that the risk is getting higher. </w:t>
      </w:r>
      <w:r w:rsidR="00643F7B">
        <w:rPr>
          <w:lang w:val="en-GB"/>
        </w:rPr>
        <w:t>This enables you to still provision those VMs in the queue, or better still give 1 week worth of heads up.</w:t>
      </w:r>
    </w:p>
    <w:p w14:paraId="76AE3815" w14:textId="77777777" w:rsidR="00DF771D" w:rsidRPr="005969F0" w:rsidRDefault="00DF771D" w:rsidP="00DF771D">
      <w:pPr>
        <w:pStyle w:val="BeforeTable"/>
      </w:pPr>
    </w:p>
    <w:tbl>
      <w:tblPr>
        <w:tblStyle w:val="TableGrid"/>
        <w:tblW w:w="10466"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27"/>
        <w:gridCol w:w="3402"/>
        <w:gridCol w:w="4937"/>
      </w:tblGrid>
      <w:tr w:rsidR="00DF771D" w14:paraId="556EACF1" w14:textId="77777777" w:rsidTr="00DF771D">
        <w:trPr>
          <w:jc w:val="center"/>
        </w:trPr>
        <w:tc>
          <w:tcPr>
            <w:tcW w:w="2127" w:type="dxa"/>
            <w:shd w:val="clear" w:color="auto" w:fill="F2F2F2" w:themeFill="background1" w:themeFillShade="F2"/>
          </w:tcPr>
          <w:p w14:paraId="14AA67BB" w14:textId="77777777" w:rsidR="00DF771D" w:rsidRDefault="00DF771D" w:rsidP="00E440AB">
            <w:pPr>
              <w:pStyle w:val="Tableheading"/>
            </w:pPr>
            <w:r>
              <w:t>Class of Service</w:t>
            </w:r>
          </w:p>
        </w:tc>
        <w:tc>
          <w:tcPr>
            <w:tcW w:w="3402" w:type="dxa"/>
            <w:shd w:val="clear" w:color="auto" w:fill="F2F2F2" w:themeFill="background1" w:themeFillShade="F2"/>
          </w:tcPr>
          <w:p w14:paraId="685A2C33" w14:textId="7AE69A36" w:rsidR="00DF771D" w:rsidRDefault="00DF771D" w:rsidP="00E440AB">
            <w:pPr>
              <w:pStyle w:val="Tableheading"/>
            </w:pPr>
            <w:r>
              <w:t>Stop Provisioning</w:t>
            </w:r>
          </w:p>
        </w:tc>
        <w:tc>
          <w:tcPr>
            <w:tcW w:w="4937" w:type="dxa"/>
            <w:shd w:val="clear" w:color="auto" w:fill="F2F2F2" w:themeFill="background1" w:themeFillShade="F2"/>
          </w:tcPr>
          <w:p w14:paraId="665E945D" w14:textId="5125C464" w:rsidR="00DF771D" w:rsidRDefault="00DF771D" w:rsidP="00E440AB">
            <w:pPr>
              <w:pStyle w:val="Tableheading"/>
            </w:pPr>
            <w:r>
              <w:t>Early Warning</w:t>
            </w:r>
          </w:p>
        </w:tc>
      </w:tr>
      <w:tr w:rsidR="00DF771D" w14:paraId="3130F690" w14:textId="77777777" w:rsidTr="00DF771D">
        <w:trPr>
          <w:jc w:val="center"/>
        </w:trPr>
        <w:tc>
          <w:tcPr>
            <w:tcW w:w="2127" w:type="dxa"/>
          </w:tcPr>
          <w:p w14:paraId="11ED8EBE" w14:textId="77777777" w:rsidR="00DF771D" w:rsidRDefault="00DF771D" w:rsidP="00DF771D">
            <w:pPr>
              <w:pStyle w:val="Tablecontent"/>
            </w:pPr>
            <w:r>
              <w:t>Gold</w:t>
            </w:r>
          </w:p>
        </w:tc>
        <w:tc>
          <w:tcPr>
            <w:tcW w:w="3402" w:type="dxa"/>
          </w:tcPr>
          <w:p w14:paraId="6189C5CB" w14:textId="56A2496C" w:rsidR="00DF771D" w:rsidRDefault="00DF771D" w:rsidP="00DF771D">
            <w:pPr>
              <w:pStyle w:val="Tablecontent"/>
            </w:pPr>
            <w:r>
              <w:rPr>
                <w:lang w:val="en-GB"/>
              </w:rPr>
              <w:t>When overcommit reaches 1:1</w:t>
            </w:r>
          </w:p>
        </w:tc>
        <w:tc>
          <w:tcPr>
            <w:tcW w:w="4937" w:type="dxa"/>
          </w:tcPr>
          <w:p w14:paraId="7D75F47A" w14:textId="30DE121C" w:rsidR="00DF771D" w:rsidRDefault="00DF771D" w:rsidP="00DF771D">
            <w:pPr>
              <w:pStyle w:val="Tablecontent"/>
            </w:pPr>
            <w:r>
              <w:t>Not applicable, as there is no overcommit.</w:t>
            </w:r>
          </w:p>
        </w:tc>
      </w:tr>
      <w:tr w:rsidR="00DF771D" w14:paraId="451115F7" w14:textId="77777777" w:rsidTr="00DF771D">
        <w:trPr>
          <w:jc w:val="center"/>
        </w:trPr>
        <w:tc>
          <w:tcPr>
            <w:tcW w:w="2127" w:type="dxa"/>
          </w:tcPr>
          <w:p w14:paraId="086D4300" w14:textId="33D6BBFB" w:rsidR="00DF771D" w:rsidRDefault="00DF771D" w:rsidP="00DF771D">
            <w:pPr>
              <w:pStyle w:val="Tablecontent"/>
            </w:pPr>
            <w:r>
              <w:t>Silver</w:t>
            </w:r>
          </w:p>
        </w:tc>
        <w:tc>
          <w:tcPr>
            <w:tcW w:w="3402" w:type="dxa"/>
          </w:tcPr>
          <w:p w14:paraId="62B018C9" w14:textId="238C836E" w:rsidR="00DF771D" w:rsidRDefault="00DF771D" w:rsidP="00DF771D">
            <w:pPr>
              <w:pStyle w:val="Tablecontent"/>
            </w:pPr>
            <w:r>
              <w:rPr>
                <w:lang w:val="en-GB"/>
              </w:rPr>
              <w:t>When any VM in the cluster experiences VM Contention &gt;1% in any given 5 minute</w:t>
            </w:r>
          </w:p>
        </w:tc>
        <w:tc>
          <w:tcPr>
            <w:tcW w:w="4937" w:type="dxa"/>
          </w:tcPr>
          <w:p w14:paraId="0B42042A" w14:textId="4200F7CB" w:rsidR="00DF771D" w:rsidRDefault="00DF771D" w:rsidP="00DF771D">
            <w:pPr>
              <w:pStyle w:val="Tablecontent"/>
            </w:pPr>
            <w:r>
              <w:t xml:space="preserve">Cluster Consumed &gt; 95%, or </w:t>
            </w:r>
          </w:p>
          <w:p w14:paraId="6357E763" w14:textId="22900CA6" w:rsidR="00DF771D" w:rsidRDefault="00DF771D" w:rsidP="00DF771D">
            <w:pPr>
              <w:pStyle w:val="Tablecontent"/>
            </w:pPr>
            <w:r>
              <w:t>Cluster Balloon &gt; 1%, or</w:t>
            </w:r>
          </w:p>
          <w:p w14:paraId="18B3CECC" w14:textId="5200E9AA" w:rsidR="00DF771D" w:rsidRDefault="00DF771D" w:rsidP="00DF771D">
            <w:pPr>
              <w:pStyle w:val="Tablecontent"/>
            </w:pPr>
            <w:r>
              <w:t>Cluster Swap + Compress &gt; 0%</w:t>
            </w:r>
          </w:p>
        </w:tc>
      </w:tr>
      <w:tr w:rsidR="00DF771D" w14:paraId="5C03240B" w14:textId="77777777" w:rsidTr="00DF771D">
        <w:trPr>
          <w:jc w:val="center"/>
        </w:trPr>
        <w:tc>
          <w:tcPr>
            <w:tcW w:w="2127" w:type="dxa"/>
          </w:tcPr>
          <w:p w14:paraId="5028588E" w14:textId="4FF6693E" w:rsidR="00DF771D" w:rsidRDefault="00DF771D" w:rsidP="00DF771D">
            <w:pPr>
              <w:pStyle w:val="Tablecontent"/>
            </w:pPr>
            <w:r>
              <w:t>Bronze</w:t>
            </w:r>
          </w:p>
        </w:tc>
        <w:tc>
          <w:tcPr>
            <w:tcW w:w="3402" w:type="dxa"/>
          </w:tcPr>
          <w:p w14:paraId="36DA117C" w14:textId="315A879A" w:rsidR="00DF771D" w:rsidRDefault="00DF771D" w:rsidP="00DF771D">
            <w:pPr>
              <w:pStyle w:val="Tablecontent"/>
            </w:pPr>
            <w:r>
              <w:t>As above</w:t>
            </w:r>
          </w:p>
        </w:tc>
        <w:tc>
          <w:tcPr>
            <w:tcW w:w="4937" w:type="dxa"/>
          </w:tcPr>
          <w:p w14:paraId="5675DC45" w14:textId="77777777" w:rsidR="00DF771D" w:rsidRDefault="00DF771D" w:rsidP="00DF771D">
            <w:pPr>
              <w:pStyle w:val="Tablecontent"/>
            </w:pPr>
            <w:r>
              <w:t xml:space="preserve">Cluster Consumed &gt; 95%, or </w:t>
            </w:r>
          </w:p>
          <w:p w14:paraId="02902A8C" w14:textId="76B0D960" w:rsidR="00DF771D" w:rsidRDefault="00DF771D" w:rsidP="00DF771D">
            <w:pPr>
              <w:pStyle w:val="Tablecontent"/>
            </w:pPr>
            <w:r>
              <w:t>Cluster Balloon &gt; 2%, or</w:t>
            </w:r>
          </w:p>
          <w:p w14:paraId="66DD89FA" w14:textId="6FE30712" w:rsidR="00DF771D" w:rsidRDefault="00DF771D" w:rsidP="00DF771D">
            <w:pPr>
              <w:pStyle w:val="Tablecontent"/>
            </w:pPr>
            <w:r>
              <w:t>Cluster Swap + Compress &gt; 1%</w:t>
            </w:r>
          </w:p>
        </w:tc>
      </w:tr>
    </w:tbl>
    <w:p w14:paraId="752D442C" w14:textId="4A715A05" w:rsidR="00CB150E" w:rsidRDefault="005969F0" w:rsidP="00540AFE">
      <w:r>
        <w:rPr>
          <w:lang w:val="en-GB"/>
        </w:rPr>
        <w:t xml:space="preserve">Consider your SDDC overhead. Your overcommit ratio </w:t>
      </w:r>
      <w:r w:rsidR="00D00B65">
        <w:rPr>
          <w:lang w:val="en-GB"/>
        </w:rPr>
        <w:t xml:space="preserve">is </w:t>
      </w:r>
      <w:r w:rsidR="00A6670A">
        <w:rPr>
          <w:lang w:val="en-GB"/>
        </w:rPr>
        <w:t xml:space="preserve">smaller </w:t>
      </w:r>
      <w:r w:rsidR="00D00B65">
        <w:t>if you have kernel modules such as vSAN and NSX. For example, if VMkernel takes up 4 cores and 32 GB of RAM, deduct this from your capacity</w:t>
      </w:r>
      <w:r>
        <w:t xml:space="preserve"> first, then you do your overcommit maths. </w:t>
      </w:r>
    </w:p>
    <w:p w14:paraId="2251A50C" w14:textId="1BFADFA3" w:rsidR="005969F0" w:rsidRDefault="005969F0" w:rsidP="00540AFE">
      <w:r>
        <w:t xml:space="preserve">The following table provide guidance on the maximum VM size. </w:t>
      </w:r>
    </w:p>
    <w:p w14:paraId="766435A4" w14:textId="77777777" w:rsidR="00E75172" w:rsidRPr="005969F0" w:rsidRDefault="00E75172" w:rsidP="00E75172">
      <w:pPr>
        <w:pStyle w:val="BeforeTable"/>
      </w:pPr>
    </w:p>
    <w:tbl>
      <w:tblPr>
        <w:tblStyle w:val="TableGrid"/>
        <w:tblW w:w="8506"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701"/>
        <w:gridCol w:w="6805"/>
      </w:tblGrid>
      <w:tr w:rsidR="00D00B65" w14:paraId="10F50778" w14:textId="77777777" w:rsidTr="00DE08BD">
        <w:trPr>
          <w:jc w:val="center"/>
        </w:trPr>
        <w:tc>
          <w:tcPr>
            <w:tcW w:w="1701" w:type="dxa"/>
            <w:shd w:val="clear" w:color="auto" w:fill="F2F2F2" w:themeFill="background1" w:themeFillShade="F2"/>
          </w:tcPr>
          <w:p w14:paraId="5F874232" w14:textId="549D485F" w:rsidR="00D00B65" w:rsidRDefault="00D00B65" w:rsidP="00E440AB">
            <w:pPr>
              <w:pStyle w:val="Tableheading"/>
            </w:pPr>
            <w:r>
              <w:t>Overcommit</w:t>
            </w:r>
          </w:p>
        </w:tc>
        <w:tc>
          <w:tcPr>
            <w:tcW w:w="6805" w:type="dxa"/>
            <w:shd w:val="clear" w:color="auto" w:fill="F2F2F2" w:themeFill="background1" w:themeFillShade="F2"/>
          </w:tcPr>
          <w:p w14:paraId="63034EDB" w14:textId="0DB47E84" w:rsidR="00D00B65" w:rsidRDefault="00D00B65" w:rsidP="00E440AB">
            <w:pPr>
              <w:pStyle w:val="Tableheading"/>
            </w:pPr>
            <w:r>
              <w:t>Max</w:t>
            </w:r>
            <w:r w:rsidR="005969F0">
              <w:t>imum</w:t>
            </w:r>
            <w:r>
              <w:t xml:space="preserve"> VM Size</w:t>
            </w:r>
          </w:p>
        </w:tc>
      </w:tr>
      <w:tr w:rsidR="00D00B65" w14:paraId="46B8419C" w14:textId="77777777" w:rsidTr="00DE08BD">
        <w:trPr>
          <w:jc w:val="center"/>
        </w:trPr>
        <w:tc>
          <w:tcPr>
            <w:tcW w:w="1701" w:type="dxa"/>
          </w:tcPr>
          <w:p w14:paraId="232C4D41" w14:textId="3419F678" w:rsidR="00D00B65" w:rsidRDefault="00D00B65" w:rsidP="00D00B65">
            <w:pPr>
              <w:pStyle w:val="Tablecontent"/>
              <w:jc w:val="center"/>
            </w:pPr>
            <w:r>
              <w:t>1 : 1</w:t>
            </w:r>
          </w:p>
        </w:tc>
        <w:tc>
          <w:tcPr>
            <w:tcW w:w="6805" w:type="dxa"/>
          </w:tcPr>
          <w:p w14:paraId="3A27B2B8" w14:textId="77777777" w:rsidR="00D00B65" w:rsidRDefault="00D00B65" w:rsidP="00D00B65">
            <w:pPr>
              <w:pStyle w:val="Tablecontent"/>
            </w:pPr>
            <w:r>
              <w:t xml:space="preserve">Maximum size = ESXi logical CPU. </w:t>
            </w:r>
          </w:p>
          <w:p w14:paraId="3EE733BA" w14:textId="5DFE2495" w:rsidR="00DE08BD" w:rsidRDefault="00DE08BD" w:rsidP="00D00B65">
            <w:pPr>
              <w:pStyle w:val="Tablecontent"/>
            </w:pPr>
            <w:r>
              <w:t xml:space="preserve">Logical means HT enabled. </w:t>
            </w:r>
            <w:r w:rsidR="005969F0">
              <w:t xml:space="preserve">An ESXi with 48 cores 96 threads means 96 logical CPU. </w:t>
            </w:r>
          </w:p>
        </w:tc>
      </w:tr>
      <w:tr w:rsidR="00D00B65" w14:paraId="042E43D4" w14:textId="77777777" w:rsidTr="00DE08BD">
        <w:trPr>
          <w:jc w:val="center"/>
        </w:trPr>
        <w:tc>
          <w:tcPr>
            <w:tcW w:w="1701" w:type="dxa"/>
          </w:tcPr>
          <w:p w14:paraId="0492C6C9" w14:textId="413E44B8" w:rsidR="00D00B65" w:rsidRDefault="00D00B65" w:rsidP="00D00B65">
            <w:pPr>
              <w:pStyle w:val="Tablecontent"/>
              <w:jc w:val="center"/>
            </w:pPr>
            <w:r>
              <w:t>2 : 1</w:t>
            </w:r>
          </w:p>
        </w:tc>
        <w:tc>
          <w:tcPr>
            <w:tcW w:w="6805" w:type="dxa"/>
          </w:tcPr>
          <w:p w14:paraId="6898B02B" w14:textId="6F0C69B3" w:rsidR="00D00B65" w:rsidRDefault="00D00B65" w:rsidP="00D00B65">
            <w:pPr>
              <w:pStyle w:val="Tablecontent"/>
            </w:pPr>
            <w:r>
              <w:t>Maximum 0.5 of ESXi logical CPU</w:t>
            </w:r>
          </w:p>
          <w:p w14:paraId="0DE0CD3D" w14:textId="68874692" w:rsidR="00D00B65" w:rsidRDefault="00D00B65" w:rsidP="00D00B65">
            <w:pPr>
              <w:pStyle w:val="Tablecontent"/>
            </w:pPr>
            <w:r>
              <w:t>As there can be 2 large VMs running, they will feel the 37.5% penalty as each of them actually want the entire physical cores. To avoid that, reduce from 0.5x to say 0.4x, giving 20% headroom.</w:t>
            </w:r>
          </w:p>
        </w:tc>
      </w:tr>
      <w:tr w:rsidR="00D00B65" w14:paraId="5BA610D0" w14:textId="77777777" w:rsidTr="00DE08BD">
        <w:trPr>
          <w:jc w:val="center"/>
        </w:trPr>
        <w:tc>
          <w:tcPr>
            <w:tcW w:w="1701" w:type="dxa"/>
          </w:tcPr>
          <w:p w14:paraId="743253FD" w14:textId="65874AD2" w:rsidR="00D00B65" w:rsidRDefault="00D00B65" w:rsidP="00D00B65">
            <w:pPr>
              <w:pStyle w:val="Tablecontent"/>
              <w:jc w:val="center"/>
            </w:pPr>
            <w:r>
              <w:t>4 : 1</w:t>
            </w:r>
          </w:p>
        </w:tc>
        <w:tc>
          <w:tcPr>
            <w:tcW w:w="6805" w:type="dxa"/>
          </w:tcPr>
          <w:p w14:paraId="0C189095" w14:textId="77777777" w:rsidR="00D00B65" w:rsidRDefault="00D00B65" w:rsidP="00D00B65">
            <w:pPr>
              <w:pStyle w:val="Tablecontent"/>
            </w:pPr>
            <w:r>
              <w:t xml:space="preserve">0.25x </w:t>
            </w:r>
          </w:p>
          <w:p w14:paraId="49CD14DC" w14:textId="1E21A51C" w:rsidR="00D00B65" w:rsidRDefault="00D00B65" w:rsidP="00D00B65">
            <w:pPr>
              <w:pStyle w:val="Tablecontent"/>
            </w:pPr>
            <w:r>
              <w:t>Same as above. You can have 4 medium size VM, each of them taking up 1 entire socket in a 2 sockets ESXi host.</w:t>
            </w:r>
            <w:r w:rsidR="00DE08BD">
              <w:t xml:space="preserve"> So a pair of VM compete for 1 physical socket. </w:t>
            </w:r>
          </w:p>
        </w:tc>
      </w:tr>
      <w:tr w:rsidR="00D00B65" w14:paraId="5CC118D6" w14:textId="77777777" w:rsidTr="00DE08BD">
        <w:trPr>
          <w:jc w:val="center"/>
        </w:trPr>
        <w:tc>
          <w:tcPr>
            <w:tcW w:w="1701" w:type="dxa"/>
          </w:tcPr>
          <w:p w14:paraId="25BCB8A9" w14:textId="71526DE6" w:rsidR="00D00B65" w:rsidRDefault="00D00B65" w:rsidP="00D00B65">
            <w:pPr>
              <w:pStyle w:val="Tablecontent"/>
              <w:jc w:val="center"/>
            </w:pPr>
            <w:r>
              <w:t>8 : 1</w:t>
            </w:r>
          </w:p>
        </w:tc>
        <w:tc>
          <w:tcPr>
            <w:tcW w:w="6805" w:type="dxa"/>
          </w:tcPr>
          <w:p w14:paraId="74AD7AC3" w14:textId="77777777" w:rsidR="00D00B65" w:rsidRDefault="00D00B65" w:rsidP="00D00B65">
            <w:pPr>
              <w:pStyle w:val="Tablecontent"/>
            </w:pPr>
            <w:r>
              <w:t>0.125x</w:t>
            </w:r>
            <w:r w:rsidR="00DE08BD">
              <w:t xml:space="preserve">. </w:t>
            </w:r>
          </w:p>
          <w:p w14:paraId="5404F1E7" w14:textId="4CA50EED" w:rsidR="00DE08BD" w:rsidRDefault="00DE08BD" w:rsidP="00D00B65">
            <w:pPr>
              <w:pStyle w:val="Tablecontent"/>
            </w:pPr>
            <w:r>
              <w:t>This level of overcommit is generally only suitable for lab, dev or simple VDI (where the desktop is 2 vCPU each). It’s not suitable where a lot of VMs are 25% of entire cores. For example, if your ESXi has 48 cores total, then avoid doing 12 vCPU VM. Keep them at 4 – 6 vCPU instead, so they can be slotted more easily in the cluster</w:t>
            </w:r>
          </w:p>
        </w:tc>
      </w:tr>
    </w:tbl>
    <w:p w14:paraId="38173503" w14:textId="1E76B94A" w:rsidR="00D00B65" w:rsidRDefault="00DE08BD" w:rsidP="00540AFE">
      <w:pPr>
        <w:rPr>
          <w:lang w:val="en-GB"/>
        </w:rPr>
      </w:pPr>
      <w:r>
        <w:rPr>
          <w:lang w:val="en-GB"/>
        </w:rPr>
        <w:t>Set CPU Reservation</w:t>
      </w:r>
      <w:r w:rsidR="00817A0E">
        <w:rPr>
          <w:lang w:val="en-GB"/>
        </w:rPr>
        <w:t xml:space="preserve">, especially if your overcommit ratio is less than 5 : 1. While you should still do it at higher overcommit, don’t count on it too much. </w:t>
      </w:r>
    </w:p>
    <w:p w14:paraId="2D6EF8EB" w14:textId="1A9329A6" w:rsidR="00D00B65" w:rsidRPr="00540AFE" w:rsidRDefault="00C24ADC" w:rsidP="00540AFE">
      <w:pPr>
        <w:rPr>
          <w:lang w:val="en-GB"/>
        </w:rPr>
      </w:pPr>
      <w:r>
        <w:rPr>
          <w:lang w:val="en-GB"/>
        </w:rPr>
        <w:t xml:space="preserve">BTW, </w:t>
      </w:r>
      <w:r w:rsidR="00E75172">
        <w:rPr>
          <w:lang w:val="en-GB"/>
        </w:rPr>
        <w:t>n</w:t>
      </w:r>
      <w:r>
        <w:rPr>
          <w:lang w:val="en-GB"/>
        </w:rPr>
        <w:t>oisy</w:t>
      </w:r>
      <w:r w:rsidR="00E75172">
        <w:rPr>
          <w:lang w:val="en-GB"/>
        </w:rPr>
        <w:t xml:space="preserve"> neighbour</w:t>
      </w:r>
      <w:r>
        <w:rPr>
          <w:lang w:val="en-GB"/>
        </w:rPr>
        <w:t xml:space="preserve"> happens in non VMware environment too</w:t>
      </w:r>
      <w:r w:rsidR="00E75172">
        <w:rPr>
          <w:lang w:val="en-GB"/>
        </w:rPr>
        <w:t>, as it’s a function of overcommit and shared environment</w:t>
      </w:r>
      <w:r>
        <w:rPr>
          <w:lang w:val="en-GB"/>
        </w:rPr>
        <w:t xml:space="preserve">. Here it is for </w:t>
      </w:r>
      <w:hyperlink r:id="rId134" w:history="1">
        <w:r w:rsidRPr="00C24ADC">
          <w:rPr>
            <w:rStyle w:val="Hyperlink"/>
            <w:lang w:val="en-GB"/>
          </w:rPr>
          <w:t>Microsoft Azure</w:t>
        </w:r>
      </w:hyperlink>
      <w:r>
        <w:rPr>
          <w:lang w:val="en-GB"/>
        </w:rPr>
        <w:t xml:space="preserve">. </w:t>
      </w:r>
    </w:p>
    <w:p w14:paraId="50C4CD0B" w14:textId="04D47B2C" w:rsidR="00B955DA" w:rsidRPr="006D3AA1" w:rsidRDefault="00B955DA" w:rsidP="00540F68">
      <w:pPr>
        <w:pStyle w:val="Heading3"/>
      </w:pPr>
      <w:r>
        <w:lastRenderedPageBreak/>
        <w:t>Root Cause Analysis</w:t>
      </w:r>
    </w:p>
    <w:p w14:paraId="48C3F8B9" w14:textId="77777777" w:rsidR="00265B6B" w:rsidRDefault="00851579" w:rsidP="00690AF6">
      <w:r>
        <w:t xml:space="preserve">There are many things that </w:t>
      </w:r>
      <w:r w:rsidR="100053CF">
        <w:t xml:space="preserve">can </w:t>
      </w:r>
      <w:r>
        <w:t xml:space="preserve">go wrong, especially in production and on the eve before you take a vacation. On the other </w:t>
      </w:r>
      <w:r w:rsidR="0ECB6D71">
        <w:t>hand</w:t>
      </w:r>
      <w:r>
        <w:t xml:space="preserve">, what settings you can change is </w:t>
      </w:r>
      <w:r w:rsidR="0C5A0A59">
        <w:t>relatively</w:t>
      </w:r>
      <w:r>
        <w:t xml:space="preserve"> limited. </w:t>
      </w:r>
    </w:p>
    <w:p w14:paraId="1804ECE6" w14:textId="3F31E9AD" w:rsidR="00381D18" w:rsidRDefault="0053790B" w:rsidP="00690AF6">
      <w:r>
        <w:t>I’m a</w:t>
      </w:r>
      <w:r w:rsidR="00265B6B">
        <w:t xml:space="preserve">ssuming you have followed the </w:t>
      </w:r>
      <w:r>
        <w:t>configuration best practice, as th</w:t>
      </w:r>
      <w:r w:rsidR="00353242">
        <w:t xml:space="preserve">at’s </w:t>
      </w:r>
      <w:r w:rsidR="00346083">
        <w:t>a big topic on its own</w:t>
      </w:r>
      <w:r w:rsidR="00914458">
        <w:t xml:space="preserve">. </w:t>
      </w:r>
      <w:r w:rsidR="00381D18">
        <w:t xml:space="preserve">You will need to review and apply </w:t>
      </w:r>
      <w:r w:rsidR="008030D3">
        <w:t xml:space="preserve">Windows, Linux, </w:t>
      </w:r>
      <w:r w:rsidR="00381D18">
        <w:t>vSphere, NSX</w:t>
      </w:r>
      <w:r w:rsidR="0065015A">
        <w:t>,</w:t>
      </w:r>
      <w:r w:rsidR="00381D18">
        <w:t xml:space="preserve"> vSAN</w:t>
      </w:r>
      <w:r w:rsidR="0065015A">
        <w:t xml:space="preserve">, server hardware, </w:t>
      </w:r>
      <w:r w:rsidR="005851E7">
        <w:t xml:space="preserve">and </w:t>
      </w:r>
      <w:r w:rsidR="0065015A">
        <w:t>network hardware</w:t>
      </w:r>
      <w:r w:rsidR="00381D18">
        <w:t xml:space="preserve"> </w:t>
      </w:r>
      <w:r w:rsidR="008030D3">
        <w:t xml:space="preserve">performance </w:t>
      </w:r>
      <w:r w:rsidR="00381D18">
        <w:t xml:space="preserve">best practices. </w:t>
      </w:r>
      <w:r w:rsidR="000818D8">
        <w:t xml:space="preserve">If you use Horizon, then you will need to apply its best practice too, </w:t>
      </w:r>
      <w:r w:rsidR="0051130A">
        <w:t>alongside the 3</w:t>
      </w:r>
      <w:r w:rsidR="0051130A" w:rsidRPr="6AAE44FA">
        <w:rPr>
          <w:vertAlign w:val="superscript"/>
        </w:rPr>
        <w:t>rd</w:t>
      </w:r>
      <w:r w:rsidR="0051130A">
        <w:t xml:space="preserve"> party technology used in your </w:t>
      </w:r>
      <w:r w:rsidR="000C58E4">
        <w:t xml:space="preserve">VDI architecture. </w:t>
      </w:r>
      <w:r w:rsidR="00983DFB">
        <w:t>In a large environment</w:t>
      </w:r>
      <w:r w:rsidR="005851E7">
        <w:t xml:space="preserve"> with multiple versions and vendors</w:t>
      </w:r>
      <w:r w:rsidR="00983DFB">
        <w:t xml:space="preserve">, it can be difficult to ensure </w:t>
      </w:r>
      <w:r w:rsidR="004B427B">
        <w:t xml:space="preserve">the entire stack is compatible. </w:t>
      </w:r>
      <w:r w:rsidR="00335C3C">
        <w:t>It is a never</w:t>
      </w:r>
      <w:r w:rsidR="181A43A4">
        <w:t>-</w:t>
      </w:r>
      <w:r w:rsidR="00335C3C">
        <w:t>ending job as you need to keep up with the versions</w:t>
      </w:r>
      <w:r w:rsidR="00617BE1">
        <w:t xml:space="preserve"> and product end of life.</w:t>
      </w:r>
    </w:p>
    <w:p w14:paraId="5981FB47" w14:textId="050C6B26" w:rsidR="00265B6B" w:rsidRDefault="001F4162" w:rsidP="00690AF6">
      <w:r>
        <w:t>Assuming</w:t>
      </w:r>
      <w:r w:rsidR="00F6151A">
        <w:t xml:space="preserve"> you have done </w:t>
      </w:r>
      <w:r>
        <w:t>all the configuration check</w:t>
      </w:r>
      <w:r w:rsidR="00F6151A">
        <w:t xml:space="preserve">, then </w:t>
      </w:r>
      <w:r w:rsidR="00F8682C">
        <w:t xml:space="preserve">the remaining of </w:t>
      </w:r>
      <w:r w:rsidR="00F6151A">
        <w:t xml:space="preserve">what you can </w:t>
      </w:r>
      <w:r w:rsidR="00F8682C">
        <w:t>do is rather limited.</w:t>
      </w:r>
      <w:r w:rsidR="00BE7539">
        <w:t xml:space="preserve"> </w:t>
      </w:r>
      <w:r w:rsidR="0035779D">
        <w:t>For</w:t>
      </w:r>
      <w:r w:rsidR="18553D8D">
        <w:t xml:space="preserve"> a</w:t>
      </w:r>
      <w:r w:rsidR="0035779D">
        <w:t xml:space="preserve"> performance problem, i</w:t>
      </w:r>
      <w:r w:rsidR="00BE7539">
        <w:t xml:space="preserve">t </w:t>
      </w:r>
      <w:r w:rsidR="0010359D">
        <w:t>basically boils down to capacity, either VM capacity or infrastructure capacity.</w:t>
      </w:r>
    </w:p>
    <w:p w14:paraId="3A92CAE2" w14:textId="0741DAE0" w:rsidR="003A4872" w:rsidRDefault="003A4872" w:rsidP="00690AF6">
      <w:r>
        <w:t>vMotion as a topic keeps coming up</w:t>
      </w:r>
      <w:r w:rsidR="00432059">
        <w:t>. If your application team has concern</w:t>
      </w:r>
      <w:r w:rsidR="4B61F89D">
        <w:t>s</w:t>
      </w:r>
      <w:r w:rsidR="00FE7188">
        <w:t xml:space="preserve">, </w:t>
      </w:r>
      <w:hyperlink r:id="rId135">
        <w:r w:rsidR="00FB78E2" w:rsidRPr="6AAE44FA">
          <w:rPr>
            <w:rStyle w:val="Hyperlink"/>
          </w:rPr>
          <w:t>this</w:t>
        </w:r>
      </w:hyperlink>
      <w:r w:rsidR="00FB78E2">
        <w:t xml:space="preserve"> </w:t>
      </w:r>
      <w:r w:rsidR="00FE7188">
        <w:t xml:space="preserve">article </w:t>
      </w:r>
      <w:r w:rsidR="00FB78E2">
        <w:t xml:space="preserve">goes deep into how it works and </w:t>
      </w:r>
      <w:hyperlink r:id="rId136">
        <w:r w:rsidR="0007526C" w:rsidRPr="6AAE44FA">
          <w:rPr>
            <w:rStyle w:val="Hyperlink"/>
          </w:rPr>
          <w:t>this</w:t>
        </w:r>
      </w:hyperlink>
      <w:r w:rsidR="0007526C">
        <w:t xml:space="preserve"> covers the enhancement in vSphere 7.</w:t>
      </w:r>
    </w:p>
    <w:p w14:paraId="69DAF397" w14:textId="703F432A" w:rsidR="00A92E13" w:rsidRPr="006D3AA1" w:rsidRDefault="00000000" w:rsidP="009B13B9">
      <w:hyperlink r:id="rId137">
        <w:r w:rsidR="00851579" w:rsidRPr="6AAE44FA">
          <w:rPr>
            <w:rStyle w:val="Hyperlink"/>
          </w:rPr>
          <w:t>Root Cause Analysis</w:t>
        </w:r>
      </w:hyperlink>
      <w:r w:rsidR="00851579">
        <w:t xml:space="preserve"> report varies among customers, even if the issue they are troubleshooting is essentially the same. What should be the #1 content in the report?</w:t>
      </w:r>
    </w:p>
    <w:p w14:paraId="6B4BFF91" w14:textId="21231025" w:rsidR="002F3D85" w:rsidRDefault="4E6387BA" w:rsidP="00250DBD">
      <w:pPr>
        <w:jc w:val="center"/>
      </w:pPr>
      <w:r>
        <w:rPr>
          <w:noProof/>
        </w:rPr>
        <w:drawing>
          <wp:inline distT="0" distB="0" distL="0" distR="0" wp14:anchorId="5F9D7C88" wp14:editId="17432F3E">
            <wp:extent cx="5448580" cy="2254366"/>
            <wp:effectExtent l="0" t="0" r="0" b="0"/>
            <wp:docPr id="606394049" name="Picture 606394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49"/>
                    <pic:cNvPicPr/>
                  </pic:nvPicPr>
                  <pic:blipFill>
                    <a:blip r:embed="rId138">
                      <a:extLst>
                        <a:ext uri="{28A0092B-C50C-407E-A947-70E740481C1C}">
                          <a14:useLocalDpi xmlns:a14="http://schemas.microsoft.com/office/drawing/2010/main" val="0"/>
                        </a:ext>
                      </a:extLst>
                    </a:blip>
                    <a:stretch>
                      <a:fillRect/>
                    </a:stretch>
                  </pic:blipFill>
                  <pic:spPr>
                    <a:xfrm>
                      <a:off x="0" y="0"/>
                      <a:ext cx="5448580" cy="2254366"/>
                    </a:xfrm>
                    <a:prstGeom prst="rect">
                      <a:avLst/>
                    </a:prstGeom>
                  </pic:spPr>
                </pic:pic>
              </a:graphicData>
            </a:graphic>
          </wp:inline>
        </w:drawing>
      </w:r>
    </w:p>
    <w:p w14:paraId="592F2CE3" w14:textId="3D92C4A5" w:rsidR="00851579" w:rsidRDefault="00851579" w:rsidP="009B13B9">
      <w:r>
        <w:t>The main content of the report should be the alert that is set up to track just in case the problem happens again. Without this alert set up, you will not be able to detect</w:t>
      </w:r>
      <w:r w:rsidR="38A90761">
        <w:t xml:space="preserve"> the issue</w:t>
      </w:r>
      <w:r>
        <w:t xml:space="preserve"> and can potentially lose valuable time.</w:t>
      </w:r>
    </w:p>
    <w:p w14:paraId="7BAEBF3F" w14:textId="05B52DAE" w:rsidR="00851579" w:rsidRDefault="00851579" w:rsidP="009B13B9">
      <w:r>
        <w:t>There is a good chance that the root cause is different t</w:t>
      </w:r>
      <w:r w:rsidR="003311DA">
        <w:t>han</w:t>
      </w:r>
      <w:r>
        <w:t xml:space="preserve"> the symptom. It may happen on a different object altogether</w:t>
      </w:r>
      <w:r w:rsidR="00345ECC">
        <w:t xml:space="preserve"> and </w:t>
      </w:r>
      <w:r>
        <w:t xml:space="preserve">the error </w:t>
      </w:r>
      <w:r w:rsidR="00345ECC">
        <w:t xml:space="preserve">message </w:t>
      </w:r>
      <w:r>
        <w:t>could be seemingly unrelated</w:t>
      </w:r>
      <w:r w:rsidR="00345ECC">
        <w:t>. A root cause typically starts as a log message, meaning it has not bubbled up into the screen (UI) as formal alarm. When the vendor support team recommends you a specific log message to trap, how do you validate it is correct?</w:t>
      </w:r>
    </w:p>
    <w:p w14:paraId="12A611E7" w14:textId="584F9ACE" w:rsidR="00E57A91" w:rsidRDefault="00E57A91" w:rsidP="009B13B9">
      <w:r>
        <w:t>You need to ensure that the alert is valid. That means it should not result in false positive</w:t>
      </w:r>
      <w:r w:rsidR="00CC27EE">
        <w:t>.</w:t>
      </w:r>
    </w:p>
    <w:p w14:paraId="2CA2DBDF" w14:textId="6FE1D9E2" w:rsidR="00345ECC" w:rsidRDefault="00345ECC" w:rsidP="009B13B9">
      <w:r>
        <w:t xml:space="preserve">Let’s take an example. This was a </w:t>
      </w:r>
      <w:hyperlink r:id="rId139" w:history="1">
        <w:r w:rsidRPr="00EC38C9">
          <w:rPr>
            <w:rStyle w:val="Hyperlink"/>
          </w:rPr>
          <w:t>VDI</w:t>
        </w:r>
      </w:hyperlink>
      <w:r>
        <w:t xml:space="preserve"> mass disconnect issue, where &gt;100 users had their sessions disconnected at the same time. The analysis concludes that the problem started with the “</w:t>
      </w:r>
      <w:r w:rsidRPr="002E0071">
        <w:rPr>
          <w:color w:val="00B0F0"/>
        </w:rPr>
        <w:t>resuming traffic on DV port</w:t>
      </w:r>
      <w:r>
        <w:t>”, so we need to trap this message when it appears again.</w:t>
      </w:r>
    </w:p>
    <w:p w14:paraId="079899A6" w14:textId="49137BA2" w:rsidR="00345ECC" w:rsidRDefault="23F3FF1E" w:rsidP="00E67D85">
      <w:pPr>
        <w:jc w:val="center"/>
      </w:pPr>
      <w:r>
        <w:rPr>
          <w:noProof/>
        </w:rPr>
        <w:lastRenderedPageBreak/>
        <w:drawing>
          <wp:inline distT="0" distB="0" distL="0" distR="0" wp14:anchorId="593DE733" wp14:editId="07782130">
            <wp:extent cx="4969568" cy="1575959"/>
            <wp:effectExtent l="0" t="0" r="2540" b="5715"/>
            <wp:docPr id="606394101" name="Picture 60639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01"/>
                    <pic:cNvPicPr/>
                  </pic:nvPicPr>
                  <pic:blipFill>
                    <a:blip r:embed="rId140">
                      <a:extLst>
                        <a:ext uri="{28A0092B-C50C-407E-A947-70E740481C1C}">
                          <a14:useLocalDpi xmlns:a14="http://schemas.microsoft.com/office/drawing/2010/main" val="0"/>
                        </a:ext>
                      </a:extLst>
                    </a:blip>
                    <a:stretch>
                      <a:fillRect/>
                    </a:stretch>
                  </pic:blipFill>
                  <pic:spPr>
                    <a:xfrm>
                      <a:off x="0" y="0"/>
                      <a:ext cx="4969568" cy="1575959"/>
                    </a:xfrm>
                    <a:prstGeom prst="rect">
                      <a:avLst/>
                    </a:prstGeom>
                  </pic:spPr>
                </pic:pic>
              </a:graphicData>
            </a:graphic>
          </wp:inline>
        </w:drawing>
      </w:r>
    </w:p>
    <w:p w14:paraId="0B7AD5EA" w14:textId="3275946E" w:rsidR="00345ECC" w:rsidRDefault="00345ECC" w:rsidP="009B13B9">
      <w:r>
        <w:t xml:space="preserve">The first thing you need to do is validate the </w:t>
      </w:r>
      <w:r w:rsidR="2FFD2CFA">
        <w:t xml:space="preserve">above </w:t>
      </w:r>
      <w:r>
        <w:t xml:space="preserve">alert. Using tools like Log Insight, you cross check the message against your entire environment, </w:t>
      </w:r>
      <w:r w:rsidR="4A394BA9">
        <w:t>especially</w:t>
      </w:r>
      <w:r>
        <w:t xml:space="preserve"> the healthy (in this case, unaffected users). Ideally, you cross check for entire week, not just during the time the incident happen.</w:t>
      </w:r>
    </w:p>
    <w:p w14:paraId="509208E0" w14:textId="2272709B" w:rsidR="00345ECC" w:rsidRDefault="00345ECC" w:rsidP="009B13B9">
      <w:r>
        <w:t xml:space="preserve">The following was the result when I cross checked </w:t>
      </w:r>
      <w:r w:rsidR="5B42D5C0">
        <w:t>against</w:t>
      </w:r>
      <w:r>
        <w:t xml:space="preserve"> all the users in the last </w:t>
      </w:r>
      <w:r w:rsidR="00827666">
        <w:t>five</w:t>
      </w:r>
      <w:r>
        <w:t xml:space="preserve"> working days. </w:t>
      </w:r>
      <w:r w:rsidRPr="70F05EAA">
        <w:rPr>
          <w:lang w:val="en-US"/>
        </w:rPr>
        <w:t xml:space="preserve">It happens </w:t>
      </w:r>
      <w:r w:rsidR="00827666">
        <w:rPr>
          <w:lang w:val="en-US"/>
        </w:rPr>
        <w:t xml:space="preserve">more than </w:t>
      </w:r>
      <w:r w:rsidRPr="70F05EAA">
        <w:rPr>
          <w:lang w:val="en-US"/>
        </w:rPr>
        <w:t>1000</w:t>
      </w:r>
      <w:r w:rsidR="00827666">
        <w:rPr>
          <w:lang w:val="en-US"/>
        </w:rPr>
        <w:t xml:space="preserve"> times</w:t>
      </w:r>
      <w:r w:rsidRPr="70F05EAA">
        <w:rPr>
          <w:lang w:val="en-US"/>
        </w:rPr>
        <w:t xml:space="preserve">, meaning that </w:t>
      </w:r>
      <w:r>
        <w:t xml:space="preserve">“resuming traffic on DV port” is not the message that I should base my alert on. </w:t>
      </w:r>
      <w:r w:rsidR="29EB04A5">
        <w:t>There are t</w:t>
      </w:r>
      <w:r>
        <w:t>oo many of them and there is a clear pattern following office hours.</w:t>
      </w:r>
    </w:p>
    <w:p w14:paraId="3EBBF523" w14:textId="208C3089" w:rsidR="00345ECC" w:rsidRDefault="23F3FF1E" w:rsidP="009B13B9">
      <w:r>
        <w:rPr>
          <w:noProof/>
        </w:rPr>
        <w:drawing>
          <wp:inline distT="0" distB="0" distL="0" distR="0" wp14:anchorId="2E6C41E7" wp14:editId="269DE2BD">
            <wp:extent cx="6645910" cy="3427730"/>
            <wp:effectExtent l="0" t="0" r="2540" b="1270"/>
            <wp:docPr id="606394102" name="Content Placehold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ntent Placeholder 5"/>
                    <pic:cNvPicPr/>
                  </pic:nvPicPr>
                  <pic:blipFill>
                    <a:blip r:embed="rId141">
                      <a:extLst>
                        <a:ext uri="{28A0092B-C50C-407E-A947-70E740481C1C}">
                          <a14:useLocalDpi xmlns:a14="http://schemas.microsoft.com/office/drawing/2010/main" val="0"/>
                        </a:ext>
                      </a:extLst>
                    </a:blip>
                    <a:stretch>
                      <a:fillRect/>
                    </a:stretch>
                  </pic:blipFill>
                  <pic:spPr>
                    <a:xfrm>
                      <a:off x="0" y="0"/>
                      <a:ext cx="6645910" cy="3427730"/>
                    </a:xfrm>
                    <a:prstGeom prst="rect">
                      <a:avLst/>
                    </a:prstGeom>
                  </pic:spPr>
                </pic:pic>
              </a:graphicData>
            </a:graphic>
          </wp:inline>
        </w:drawing>
      </w:r>
    </w:p>
    <w:p w14:paraId="3D2EB6A3" w14:textId="77777777" w:rsidR="00345ECC" w:rsidRPr="006D3AA1" w:rsidRDefault="00345ECC" w:rsidP="009B13B9"/>
    <w:p w14:paraId="3500F827" w14:textId="4496DABA" w:rsidR="007D5434" w:rsidRDefault="007D5434" w:rsidP="00B373E2">
      <w:pPr>
        <w:pStyle w:val="Heading2"/>
      </w:pPr>
      <w:bookmarkStart w:id="28" w:name="_Design_Consideration_1"/>
      <w:bookmarkStart w:id="29" w:name="_Capacity_Management"/>
      <w:bookmarkEnd w:id="28"/>
      <w:bookmarkEnd w:id="29"/>
      <w:r w:rsidRPr="006D3AA1">
        <w:lastRenderedPageBreak/>
        <w:t>Capacity Management</w:t>
      </w:r>
    </w:p>
    <w:p w14:paraId="6A51ECAE" w14:textId="5BD85FDC" w:rsidR="00C84219" w:rsidRPr="00C84219" w:rsidRDefault="004D4D3A" w:rsidP="00C84219">
      <w:r>
        <w:rPr>
          <w:noProof/>
        </w:rPr>
        <mc:AlternateContent>
          <mc:Choice Requires="wps">
            <w:drawing>
              <wp:anchor distT="0" distB="0" distL="114300" distR="114300" simplePos="0" relativeHeight="251648000" behindDoc="0" locked="0" layoutInCell="1" allowOverlap="1" wp14:anchorId="16E26BC4" wp14:editId="12103E43">
                <wp:simplePos x="0" y="0"/>
                <wp:positionH relativeFrom="column">
                  <wp:posOffset>0</wp:posOffset>
                </wp:positionH>
                <wp:positionV relativeFrom="paragraph">
                  <wp:posOffset>0</wp:posOffset>
                </wp:positionV>
                <wp:extent cx="1828800" cy="1828800"/>
                <wp:effectExtent l="0" t="0" r="0" b="0"/>
                <wp:wrapNone/>
                <wp:docPr id="606394157" name="Text Box 60639415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D3C729E" w14:textId="6BE16580" w:rsidR="00E66F24" w:rsidRPr="00C84219" w:rsidRDefault="00E66F24" w:rsidP="004D4D3A">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1 Chapter 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16E26BC4" id="Text Box 606394157" o:spid="_x0000_s1028" type="#_x0000_t202" style="position:absolute;margin-left:0;margin-top:0;width:2in;height:2in;z-index:2516480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" filled="f" stroked="f">
                <v:textbox style="mso-fit-shape-to-text:t">
                  <w:txbxContent>
                    <w:p w14:paraId="6D3C729E" w14:textId="6BE16580" w:rsidR="00E66F24" w:rsidRPr="00C84219" w:rsidRDefault="00E66F24" w:rsidP="004D4D3A">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1 Chapter 3</w:t>
                      </w:r>
                    </w:p>
                  </w:txbxContent>
                </v:textbox>
              </v:shape>
            </w:pict>
          </mc:Fallback>
        </mc:AlternateContent>
      </w:r>
    </w:p>
    <w:p w14:paraId="66774BB2" w14:textId="1DC71D4F" w:rsidR="00B50659" w:rsidRPr="006D3AA1" w:rsidRDefault="00B50659" w:rsidP="003F097B">
      <w:pPr>
        <w:pStyle w:val="AfterChapterTitle"/>
      </w:pPr>
      <w:r w:rsidRPr="006D3AA1">
        <w:t>At the heart of capacity management is balancing demand and supply. It is about meeting demand with the lowest possible cost</w:t>
      </w:r>
      <w:r w:rsidR="00927148">
        <w:t xml:space="preserve"> while remaining compliant to security and </w:t>
      </w:r>
      <w:r w:rsidR="00694BC1">
        <w:t xml:space="preserve">availability </w:t>
      </w:r>
      <w:r w:rsidR="00927148">
        <w:t>best practice.</w:t>
      </w:r>
    </w:p>
    <w:p w14:paraId="539DD17E" w14:textId="1BFDBF93" w:rsidR="00E0069F" w:rsidRPr="006D3AA1" w:rsidRDefault="00576EDD" w:rsidP="00540F68">
      <w:pPr>
        <w:pStyle w:val="Heading3"/>
      </w:pPr>
      <w:r>
        <w:t>Overview</w:t>
      </w:r>
    </w:p>
    <w:p w14:paraId="2802811A" w14:textId="77777777" w:rsidR="005D7823" w:rsidRPr="006D3AA1" w:rsidRDefault="005D7823" w:rsidP="005D7823">
      <w:pPr>
        <w:pStyle w:val="Heading4"/>
      </w:pPr>
      <w:r w:rsidRPr="006D3AA1">
        <w:t xml:space="preserve">“Good” </w:t>
      </w:r>
      <w:r>
        <w:t>A</w:t>
      </w:r>
      <w:r w:rsidRPr="006D3AA1">
        <w:t>dvice</w:t>
      </w:r>
    </w:p>
    <w:p w14:paraId="031F9851" w14:textId="77777777" w:rsidR="005D7823" w:rsidRDefault="005D7823" w:rsidP="005D7823">
      <w:r>
        <w:t>Let’s begin with this as I keep seeing it in VMware-based environment.</w:t>
      </w:r>
      <w:r w:rsidRPr="00576EDD">
        <w:t xml:space="preserve"> </w:t>
      </w:r>
      <w:r>
        <w:t xml:space="preserve">The scope of the advice is about a VMware vSphere Cluster, but the principle applies to others such as Kubernetes, VDI or physical switches. </w:t>
      </w:r>
    </w:p>
    <w:p w14:paraId="6E23150B" w14:textId="77777777" w:rsidR="005D7823" w:rsidRPr="006D3AA1" w:rsidRDefault="005D7823" w:rsidP="005D7823">
      <w:r w:rsidRPr="006D3AA1">
        <w:t xml:space="preserve">Can you figure out why the following statements are wrong? They are all well-meaning advice on the topic of Capacity Management. We’re sure you have heard them, or even given them. </w:t>
      </w:r>
    </w:p>
    <w:p w14:paraId="52EB3AFD" w14:textId="77777777" w:rsidR="005D7823" w:rsidRPr="006D3AA1" w:rsidRDefault="005D7823" w:rsidP="005D7823">
      <w:r w:rsidRPr="006D3AA1">
        <w:t xml:space="preserve">Regarding </w:t>
      </w:r>
      <w:r>
        <w:t xml:space="preserve">vSphere </w:t>
      </w:r>
      <w:r w:rsidRPr="006D3AA1">
        <w:t>Cluster RAM:</w:t>
      </w:r>
    </w:p>
    <w:p w14:paraId="2542CD5C" w14:textId="77777777" w:rsidR="005D7823" w:rsidRPr="006D3AA1" w:rsidRDefault="005D7823" w:rsidP="005D7823">
      <w:pPr>
        <w:pStyle w:val="Bullet"/>
      </w:pPr>
      <w:r w:rsidRPr="006D3AA1">
        <w:t>We recommend 1:2 overcommit ratio between physical RAM and virtual RAM. Going above this is risky.</w:t>
      </w:r>
    </w:p>
    <w:p w14:paraId="0ECD06E9" w14:textId="77777777" w:rsidR="005D7823" w:rsidRPr="006D3AA1" w:rsidRDefault="005D7823" w:rsidP="005D7823">
      <w:pPr>
        <w:pStyle w:val="Bullet"/>
      </w:pPr>
      <w:r w:rsidRPr="006D3AA1">
        <w:lastRenderedPageBreak/>
        <w:t>Memory Usage on most of your clusters is high, around 90%. You should aim for 60% as you need to consider HA.</w:t>
      </w:r>
    </w:p>
    <w:p w14:paraId="6A8ECCDE" w14:textId="77777777" w:rsidR="005D7823" w:rsidRPr="006D3AA1" w:rsidRDefault="005D7823" w:rsidP="005D7823">
      <w:pPr>
        <w:pStyle w:val="Bullet"/>
      </w:pPr>
      <w:r w:rsidRPr="006D3AA1">
        <w:t>Memory Active should not exceed 50-60%. You need a buffer between Active Memory and Consumed Memory.</w:t>
      </w:r>
    </w:p>
    <w:p w14:paraId="035651A5" w14:textId="77777777" w:rsidR="005D7823" w:rsidRPr="006D3AA1" w:rsidRDefault="005D7823" w:rsidP="005D7823">
      <w:pPr>
        <w:pStyle w:val="Bullet"/>
      </w:pPr>
      <w:r w:rsidRPr="006D3AA1">
        <w:t xml:space="preserve">Memory should be running at high state on each host. </w:t>
      </w:r>
    </w:p>
    <w:p w14:paraId="2186D71F" w14:textId="77777777" w:rsidR="005D7823" w:rsidRPr="006D3AA1" w:rsidRDefault="005D7823" w:rsidP="005D7823">
      <w:r w:rsidRPr="006D3AA1">
        <w:t xml:space="preserve">Regarding </w:t>
      </w:r>
      <w:r>
        <w:t xml:space="preserve">vSphere </w:t>
      </w:r>
      <w:r w:rsidRPr="006D3AA1">
        <w:t>Cluster CPU:</w:t>
      </w:r>
    </w:p>
    <w:p w14:paraId="4CF7923C" w14:textId="77777777" w:rsidR="005D7823" w:rsidRPr="006D3AA1" w:rsidRDefault="005D7823" w:rsidP="005D7823">
      <w:pPr>
        <w:pStyle w:val="Bullet"/>
      </w:pPr>
      <w:r w:rsidRPr="006D3AA1">
        <w:t>CPU Ratio on cluster “XYZ” is high at 1:5, because it is an important cluster.</w:t>
      </w:r>
    </w:p>
    <w:p w14:paraId="50B1D6B2" w14:textId="77777777" w:rsidR="005D7823" w:rsidRPr="006D3AA1" w:rsidRDefault="005D7823" w:rsidP="005D7823">
      <w:pPr>
        <w:pStyle w:val="Bullet"/>
      </w:pPr>
      <w:r w:rsidRPr="006D3AA1">
        <w:t>The rest of all your clusters’ overcommit ratio looks good as they are around 1:3. This gives you some buffer for spikes and HA.</w:t>
      </w:r>
    </w:p>
    <w:p w14:paraId="51864EC4" w14:textId="77777777" w:rsidR="005D7823" w:rsidRPr="006D3AA1" w:rsidRDefault="005D7823" w:rsidP="005D7823">
      <w:pPr>
        <w:pStyle w:val="Bullet"/>
      </w:pPr>
      <w:r w:rsidRPr="006D3AA1">
        <w:t>Keep the over commitment ratio to 1:4 for Tier 3 workload</w:t>
      </w:r>
      <w:r>
        <w:t xml:space="preserve"> as they are not mission critical.</w:t>
      </w:r>
    </w:p>
    <w:p w14:paraId="2888A8D2" w14:textId="77777777" w:rsidR="005D7823" w:rsidRPr="006D3AA1" w:rsidRDefault="005D7823" w:rsidP="005D7823">
      <w:pPr>
        <w:pStyle w:val="Bullet"/>
      </w:pPr>
      <w:r w:rsidRPr="006D3AA1">
        <w:t>CPU usage is around 70% on cluster “ABC”. Since they are UAT servers, don’t worry. You should get worried only when they reach 85%.</w:t>
      </w:r>
    </w:p>
    <w:p w14:paraId="1DC13E2F" w14:textId="77777777" w:rsidR="005D7823" w:rsidRPr="006D3AA1" w:rsidRDefault="005D7823" w:rsidP="005D7823">
      <w:pPr>
        <w:pStyle w:val="Bullet"/>
      </w:pPr>
      <w:r w:rsidRPr="006D3AA1">
        <w:t>The rest of your cluster’s CPU utilization is around 25%. This is good! You have plenty of capacity left.</w:t>
      </w:r>
    </w:p>
    <w:p w14:paraId="197B45E7" w14:textId="77777777" w:rsidR="005D7823" w:rsidRPr="006D3AA1" w:rsidRDefault="005D7823" w:rsidP="005D7823">
      <w:r>
        <w:t xml:space="preserve">From a capacity monitoring point of view, vSphere cluster is the </w:t>
      </w:r>
      <w:r w:rsidRPr="008A0C6D">
        <w:rPr>
          <w:i/>
          <w:iCs/>
          <w:color w:val="00B0F0"/>
        </w:rPr>
        <w:t>smallest logical building block</w:t>
      </w:r>
      <w:r>
        <w:t>, due to HA + DRS + DPM. So it is correct to assume that we do capacity planning at Cluster level, and not at Host level or Data Center level.</w:t>
      </w:r>
    </w:p>
    <w:p w14:paraId="29356491" w14:textId="77777777" w:rsidR="005D7823" w:rsidRPr="006D3AA1" w:rsidRDefault="005D7823" w:rsidP="005D7823">
      <w:r w:rsidRPr="006D3AA1">
        <w:t>Can you figure out where the mistakes are?</w:t>
      </w:r>
    </w:p>
    <w:p w14:paraId="005FEA9E" w14:textId="77777777" w:rsidR="005D7823" w:rsidRDefault="005D7823" w:rsidP="005D7823">
      <w:r w:rsidRPr="006D3AA1">
        <w:t xml:space="preserve">You should notice a trend by now. They have something in common. </w:t>
      </w:r>
      <w:r>
        <w:t>If not, read Chapter 1, especially the part discussing contention versus consumption.</w:t>
      </w:r>
    </w:p>
    <w:p w14:paraId="303F2BA1" w14:textId="5A6F70BD" w:rsidR="005D7823" w:rsidRDefault="005D7823" w:rsidP="005D7823">
      <w:pPr>
        <w:pStyle w:val="Heading4"/>
      </w:pPr>
      <w:r>
        <w:t>Stages</w:t>
      </w:r>
    </w:p>
    <w:p w14:paraId="56C8F926" w14:textId="7490135E" w:rsidR="00391C09" w:rsidRPr="00391C09" w:rsidRDefault="00391C09" w:rsidP="00391C09">
      <w:r w:rsidRPr="006D3AA1">
        <w:t xml:space="preserve">Capacity Management requires an end-to-end plan and adjustment, because at the end of the day it is about comparing the reality you face with the plan you set. </w:t>
      </w:r>
      <w:r>
        <w:t>Good or bad is relative to your plan. If you plan for no overcommit because performance is absolute and budget is not an issue, then you’ll never run out of capacity. In other cases, that could be considered bad as you could end up with a lot of wastage.</w:t>
      </w:r>
    </w:p>
    <w:p w14:paraId="3E5EC29C" w14:textId="7974D69A" w:rsidR="00EE1C06" w:rsidRDefault="00EE1C06" w:rsidP="00283E0E">
      <w:r>
        <w:t xml:space="preserve">There are </w:t>
      </w:r>
      <w:r w:rsidR="00414EEE">
        <w:t>4</w:t>
      </w:r>
      <w:r>
        <w:t xml:space="preserve"> phases of </w:t>
      </w:r>
      <w:r w:rsidR="00391C09">
        <w:t>c</w:t>
      </w:r>
      <w:r>
        <w:t>apacity</w:t>
      </w:r>
      <w:r w:rsidR="00391C09">
        <w:t xml:space="preserve"> management: </w:t>
      </w:r>
    </w:p>
    <w:p w14:paraId="6FEE9BD8" w14:textId="77777777" w:rsidR="00EE1C06" w:rsidRDefault="00EE1C06" w:rsidP="00EE1C06">
      <w:pPr>
        <w:pStyle w:val="BeforeTable"/>
      </w:pPr>
    </w:p>
    <w:tbl>
      <w:tblPr>
        <w:tblStyle w:val="TableGridLight"/>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418"/>
        <w:gridCol w:w="9038"/>
      </w:tblGrid>
      <w:tr w:rsidR="00EE1C06" w14:paraId="136D968C" w14:textId="77777777" w:rsidTr="00E440AB">
        <w:tc>
          <w:tcPr>
            <w:tcW w:w="1418" w:type="dxa"/>
            <w:shd w:val="clear" w:color="auto" w:fill="F2F2F2" w:themeFill="background1" w:themeFillShade="F2"/>
          </w:tcPr>
          <w:p w14:paraId="6474EBFF" w14:textId="69F66C39" w:rsidR="00EE1C06" w:rsidRPr="007444C2" w:rsidRDefault="00C73B6B" w:rsidP="00E440AB">
            <w:pPr>
              <w:pStyle w:val="Tablecontent"/>
              <w:rPr>
                <w:b/>
                <w:bCs/>
              </w:rPr>
            </w:pPr>
            <w:r>
              <w:rPr>
                <w:b/>
                <w:bCs/>
              </w:rPr>
              <w:t>Plan</w:t>
            </w:r>
          </w:p>
        </w:tc>
        <w:tc>
          <w:tcPr>
            <w:tcW w:w="9038" w:type="dxa"/>
          </w:tcPr>
          <w:p w14:paraId="15F98439" w14:textId="78348162" w:rsidR="00E33000" w:rsidRDefault="006900E4" w:rsidP="00E440AB">
            <w:pPr>
              <w:pStyle w:val="Tablecontent"/>
            </w:pPr>
            <w:r>
              <w:t xml:space="preserve">Within this phase, you </w:t>
            </w:r>
            <w:r w:rsidR="00976B05">
              <w:t>perform sizing and estimate how long the infrastructure will last. Depending on the project</w:t>
            </w:r>
            <w:r w:rsidR="00E33000">
              <w:t xml:space="preserve">, you may even size a multi-year capacity up front. </w:t>
            </w:r>
            <w:r w:rsidR="00166BEB">
              <w:t>The longer the plan, the bigger the margin you need to allocate. Higher margin or buffer certainly increases the risk of excess capacity.</w:t>
            </w:r>
          </w:p>
          <w:p w14:paraId="52FCB9AD" w14:textId="77777777" w:rsidR="00EE1C06" w:rsidRDefault="00E33000" w:rsidP="00E440AB">
            <w:pPr>
              <w:pStyle w:val="Tablecontent"/>
            </w:pPr>
            <w:r>
              <w:t xml:space="preserve">As not all plans are confirmed, you may run multiple What If scenarios. </w:t>
            </w:r>
          </w:p>
          <w:p w14:paraId="1A56EA77" w14:textId="12E27DAF" w:rsidR="00D57C32" w:rsidRDefault="00D57C32" w:rsidP="00E440AB">
            <w:pPr>
              <w:pStyle w:val="Tablecontent"/>
            </w:pPr>
            <w:r>
              <w:t>This is the phase where you buy hardware</w:t>
            </w:r>
            <w:r w:rsidR="003313B7">
              <w:t>.</w:t>
            </w:r>
          </w:p>
        </w:tc>
      </w:tr>
      <w:tr w:rsidR="00C73B6B" w14:paraId="59FB214F" w14:textId="77777777" w:rsidTr="00E440AB">
        <w:tc>
          <w:tcPr>
            <w:tcW w:w="1418" w:type="dxa"/>
            <w:shd w:val="clear" w:color="auto" w:fill="F2F2F2" w:themeFill="background1" w:themeFillShade="F2"/>
          </w:tcPr>
          <w:p w14:paraId="1AD83EE1" w14:textId="3C537853" w:rsidR="00C73B6B" w:rsidRDefault="006900E4" w:rsidP="00E440AB">
            <w:pPr>
              <w:pStyle w:val="Tablecontent"/>
              <w:rPr>
                <w:b/>
                <w:bCs/>
              </w:rPr>
            </w:pPr>
            <w:r>
              <w:rPr>
                <w:b/>
                <w:bCs/>
              </w:rPr>
              <w:t>Monitor</w:t>
            </w:r>
          </w:p>
        </w:tc>
        <w:tc>
          <w:tcPr>
            <w:tcW w:w="9038" w:type="dxa"/>
          </w:tcPr>
          <w:p w14:paraId="13BE7469" w14:textId="77777777" w:rsidR="00C73B6B" w:rsidRDefault="00D57C32" w:rsidP="00E440AB">
            <w:pPr>
              <w:pStyle w:val="Tablecontent"/>
            </w:pPr>
            <w:r>
              <w:t>This phase starts after the deployment.</w:t>
            </w:r>
            <w:r w:rsidR="00E019BF">
              <w:t xml:space="preserve"> You begin tracking and compare the reality against plan. </w:t>
            </w:r>
          </w:p>
          <w:p w14:paraId="74F0EE84" w14:textId="6DF468E5" w:rsidR="00E019BF" w:rsidRDefault="00E019BF" w:rsidP="00E440AB">
            <w:pPr>
              <w:pStyle w:val="Tablecontent"/>
            </w:pPr>
            <w:r>
              <w:t xml:space="preserve">For example, you expect the </w:t>
            </w:r>
            <w:r w:rsidR="0069565D">
              <w:t>capacity for your new DaaS project to last for 1 year. 3 months into the deployment, you have 25% of your users consuming the DaaS</w:t>
            </w:r>
            <w:r w:rsidR="005663A5">
              <w:t xml:space="preserve">. However, your overall utilization is already at 70%. This is a </w:t>
            </w:r>
            <w:r w:rsidR="00CF7D2C" w:rsidRPr="00CF7D2C">
              <w:rPr>
                <w:color w:val="FF0000"/>
              </w:rPr>
              <w:t>red</w:t>
            </w:r>
            <w:r w:rsidR="005663A5">
              <w:t xml:space="preserve"> warning, indicating your plan is off by significant margin.</w:t>
            </w:r>
          </w:p>
        </w:tc>
      </w:tr>
      <w:tr w:rsidR="006900E4" w14:paraId="5979593E" w14:textId="77777777" w:rsidTr="00E440AB">
        <w:tc>
          <w:tcPr>
            <w:tcW w:w="1418" w:type="dxa"/>
            <w:shd w:val="clear" w:color="auto" w:fill="F2F2F2" w:themeFill="background1" w:themeFillShade="F2"/>
          </w:tcPr>
          <w:p w14:paraId="210092A7" w14:textId="27FA8B1D" w:rsidR="006900E4" w:rsidRDefault="006900E4" w:rsidP="00E440AB">
            <w:pPr>
              <w:pStyle w:val="Tablecontent"/>
              <w:rPr>
                <w:b/>
                <w:bCs/>
              </w:rPr>
            </w:pPr>
            <w:r>
              <w:rPr>
                <w:b/>
                <w:bCs/>
              </w:rPr>
              <w:lastRenderedPageBreak/>
              <w:t>Optimize</w:t>
            </w:r>
          </w:p>
        </w:tc>
        <w:tc>
          <w:tcPr>
            <w:tcW w:w="9038" w:type="dxa"/>
          </w:tcPr>
          <w:p w14:paraId="051A538A" w14:textId="77777777" w:rsidR="006900E4" w:rsidRDefault="003A172A" w:rsidP="00E440AB">
            <w:pPr>
              <w:pStyle w:val="Tablecontent"/>
            </w:pPr>
            <w:r>
              <w:t xml:space="preserve">You optimize both the supply and the demand. </w:t>
            </w:r>
          </w:p>
          <w:p w14:paraId="0D0954DF" w14:textId="77777777" w:rsidR="003A172A" w:rsidRDefault="003A172A" w:rsidP="00E440AB">
            <w:pPr>
              <w:pStyle w:val="Tablecontent"/>
            </w:pPr>
            <w:r>
              <w:t xml:space="preserve">To optimize supply, you typically perform a tech refresh. Newer hardware can bring 2x the capacity at the same cost. </w:t>
            </w:r>
          </w:p>
          <w:p w14:paraId="2E06E484" w14:textId="6B1BFD49" w:rsidR="003A172A" w:rsidRDefault="003A172A" w:rsidP="00E440AB">
            <w:pPr>
              <w:pStyle w:val="Tablecontent"/>
            </w:pPr>
            <w:r>
              <w:t xml:space="preserve">To optimize demand, you perform reclamation and rightsizing. </w:t>
            </w:r>
          </w:p>
        </w:tc>
      </w:tr>
      <w:tr w:rsidR="00414EEE" w14:paraId="32D1105A" w14:textId="77777777" w:rsidTr="00E440AB">
        <w:tc>
          <w:tcPr>
            <w:tcW w:w="1418" w:type="dxa"/>
            <w:shd w:val="clear" w:color="auto" w:fill="F2F2F2" w:themeFill="background1" w:themeFillShade="F2"/>
          </w:tcPr>
          <w:p w14:paraId="045689EF" w14:textId="628C430A" w:rsidR="00414EEE" w:rsidRDefault="00414EEE" w:rsidP="00E440AB">
            <w:pPr>
              <w:pStyle w:val="Tablecontent"/>
              <w:rPr>
                <w:b/>
                <w:bCs/>
              </w:rPr>
            </w:pPr>
            <w:r>
              <w:rPr>
                <w:b/>
                <w:bCs/>
              </w:rPr>
              <w:t>Upgrade</w:t>
            </w:r>
          </w:p>
        </w:tc>
        <w:tc>
          <w:tcPr>
            <w:tcW w:w="9038" w:type="dxa"/>
          </w:tcPr>
          <w:p w14:paraId="3EB1E04F" w14:textId="7CF1CCD5" w:rsidR="00414EEE" w:rsidRDefault="00414EEE" w:rsidP="00E440AB">
            <w:pPr>
              <w:pStyle w:val="Tablecontent"/>
            </w:pPr>
            <w:r>
              <w:t xml:space="preserve">As the hardware reaches end of life, you either upgrade or migrate. </w:t>
            </w:r>
          </w:p>
          <w:p w14:paraId="06F652BF" w14:textId="5A526171" w:rsidR="00414EEE" w:rsidRDefault="00414EEE" w:rsidP="00E440AB">
            <w:pPr>
              <w:pStyle w:val="Tablecontent"/>
            </w:pPr>
            <w:r>
              <w:t xml:space="preserve">This typically involve technology version refresh and </w:t>
            </w:r>
          </w:p>
        </w:tc>
      </w:tr>
    </w:tbl>
    <w:p w14:paraId="03E0C0F3" w14:textId="4084B69F" w:rsidR="00DB34CE" w:rsidRDefault="00231498" w:rsidP="00283E0E">
      <w:r w:rsidRPr="006D3AA1">
        <w:t xml:space="preserve">Capacity Management </w:t>
      </w:r>
      <w:r w:rsidR="00CC4840">
        <w:t xml:space="preserve">becomes </w:t>
      </w:r>
      <w:r w:rsidR="00DB34CE">
        <w:t xml:space="preserve">easier if you begin </w:t>
      </w:r>
      <w:r w:rsidR="005A4F77">
        <w:t>at</w:t>
      </w:r>
      <w:r w:rsidR="00DB34CE">
        <w:t xml:space="preserve"> the planning stage. This is where you define your offering, setting the price and performance expectation. Without expectation being </w:t>
      </w:r>
      <w:r w:rsidR="003D5236">
        <w:t>quantified as metrics</w:t>
      </w:r>
      <w:r w:rsidR="00DB34CE">
        <w:t xml:space="preserve">, your customers will demand high performance </w:t>
      </w:r>
      <w:r w:rsidR="00DF0EE6">
        <w:t xml:space="preserve">as you’ve promised them </w:t>
      </w:r>
      <w:r w:rsidR="00E53820">
        <w:t>“</w:t>
      </w:r>
      <w:r w:rsidR="00DF0EE6">
        <w:t>good</w:t>
      </w:r>
      <w:r w:rsidR="007D686C">
        <w:t>”</w:t>
      </w:r>
      <w:r w:rsidR="00DF0EE6">
        <w:t xml:space="preserve"> </w:t>
      </w:r>
      <w:r w:rsidR="006F0F54">
        <w:t>performance</w:t>
      </w:r>
      <w:r w:rsidR="00DB34CE">
        <w:t xml:space="preserve">. </w:t>
      </w:r>
    </w:p>
    <w:p w14:paraId="2AB1B379" w14:textId="79235474" w:rsidR="00283E0E" w:rsidRPr="006D3AA1" w:rsidRDefault="00AB0CD9" w:rsidP="00283E0E">
      <w:r w:rsidRPr="006D3AA1">
        <w:t xml:space="preserve">Balancing demand and supply </w:t>
      </w:r>
      <w:r w:rsidR="2AC409D4">
        <w:t>require</w:t>
      </w:r>
      <w:r w:rsidRPr="006D3AA1">
        <w:t xml:space="preserve"> you to look at these 6 </w:t>
      </w:r>
      <w:r w:rsidR="00F07AA5" w:rsidRPr="006D3AA1">
        <w:t>components</w:t>
      </w:r>
      <w:r w:rsidR="00A86837" w:rsidRPr="006D3AA1">
        <w:t xml:space="preserve"> below. Step</w:t>
      </w:r>
      <w:r w:rsidR="1DD31D51" w:rsidRPr="006D3AA1">
        <w:t>s</w:t>
      </w:r>
      <w:r w:rsidR="00A86837" w:rsidRPr="006D3AA1">
        <w:t xml:space="preserve"> 1 and 2 </w:t>
      </w:r>
      <w:r w:rsidR="00AC5350" w:rsidRPr="006D3AA1">
        <w:t>are done together, and the remaining 4 steps can be done in parallel.</w:t>
      </w:r>
    </w:p>
    <w:p w14:paraId="05C096B4" w14:textId="11867940" w:rsidR="00B50659" w:rsidRPr="00005EB9" w:rsidRDefault="21DF2598" w:rsidP="00250DBD">
      <w:pPr>
        <w:jc w:val="center"/>
      </w:pPr>
      <w:r>
        <w:rPr>
          <w:noProof/>
        </w:rPr>
        <w:drawing>
          <wp:inline distT="0" distB="0" distL="0" distR="0" wp14:anchorId="1A6B9D06" wp14:editId="1FB318C7">
            <wp:extent cx="5022000" cy="2458800"/>
            <wp:effectExtent l="0" t="0" r="762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022000" cy="2458800"/>
                    </a:xfrm>
                    <a:prstGeom prst="rect">
                      <a:avLst/>
                    </a:prstGeom>
                  </pic:spPr>
                </pic:pic>
              </a:graphicData>
            </a:graphic>
          </wp:inline>
        </w:drawing>
      </w:r>
    </w:p>
    <w:p w14:paraId="59ADD934" w14:textId="1118DBF7" w:rsidR="009B7238" w:rsidRPr="00005EB9" w:rsidRDefault="00FA7F6E" w:rsidP="009B7238">
      <w:r>
        <w:t xml:space="preserve">Relative to </w:t>
      </w:r>
      <w:r w:rsidR="00E021AF" w:rsidRPr="00005EB9">
        <w:t xml:space="preserve">Performance Management, this </w:t>
      </w:r>
      <w:r w:rsidR="00D478FD" w:rsidRPr="00005EB9">
        <w:t>pillar of operations</w:t>
      </w:r>
      <w:r w:rsidR="00E021AF" w:rsidRPr="00005EB9">
        <w:t xml:space="preserve"> </w:t>
      </w:r>
      <w:r w:rsidR="00D478FD" w:rsidRPr="00005EB9">
        <w:t xml:space="preserve">require </w:t>
      </w:r>
      <w:r>
        <w:t xml:space="preserve">much less </w:t>
      </w:r>
      <w:r w:rsidR="00D478FD" w:rsidRPr="00005EB9">
        <w:t xml:space="preserve">technical knowledge. </w:t>
      </w:r>
      <w:r w:rsidR="009B7238" w:rsidRPr="00005EB9">
        <w:t>Let’s check your technical skills if you don’t trust me</w:t>
      </w:r>
      <w:r w:rsidR="00C856F8">
        <w:t>.</w:t>
      </w:r>
    </w:p>
    <w:p w14:paraId="7D728F75" w14:textId="04E9CF3E" w:rsidR="009B7238" w:rsidRPr="00005EB9" w:rsidRDefault="009B7238" w:rsidP="009B7238">
      <w:pPr>
        <w:pStyle w:val="Bullet"/>
      </w:pPr>
      <w:r>
        <w:t xml:space="preserve">Can you architect a cluster where the performance matches physical? </w:t>
      </w:r>
      <w:r>
        <w:br/>
        <w:t>Easy, just don’t overcommit</w:t>
      </w:r>
      <w:r w:rsidR="00CB34BE">
        <w:t>, or put 100% reservation for that VM</w:t>
      </w:r>
      <w:r w:rsidR="3CB27B59">
        <w:t>.</w:t>
      </w:r>
    </w:p>
    <w:p w14:paraId="2EF6671A" w14:textId="7D90C989" w:rsidR="009B7238" w:rsidRPr="00005EB9" w:rsidRDefault="009B7238" w:rsidP="009B7238">
      <w:pPr>
        <w:pStyle w:val="Bullet"/>
      </w:pPr>
      <w:r w:rsidRPr="00005EB9">
        <w:t>Can you architect a cluster that can handle monster VM</w:t>
      </w:r>
      <w:r w:rsidR="0BA7BE69" w:rsidRPr="00005EB9">
        <w:t>s</w:t>
      </w:r>
      <w:r w:rsidRPr="00005EB9">
        <w:t xml:space="preserve">? </w:t>
      </w:r>
      <w:r w:rsidR="008F623D" w:rsidRPr="00005EB9">
        <w:br/>
      </w:r>
      <w:r w:rsidRPr="00005EB9">
        <w:t>Easy, just get lots of core</w:t>
      </w:r>
      <w:r w:rsidR="4A1E57C2" w:rsidRPr="00005EB9">
        <w:t>s</w:t>
      </w:r>
      <w:r w:rsidRPr="00005EB9">
        <w:t xml:space="preserve"> per socket.</w:t>
      </w:r>
      <w:r w:rsidRPr="00005EB9">
        <w:br/>
        <w:t>Easy, just get lots of core</w:t>
      </w:r>
      <w:r w:rsidR="00180228">
        <w:t xml:space="preserve"> in the box.</w:t>
      </w:r>
    </w:p>
    <w:p w14:paraId="3DDE23FE" w14:textId="2DCF5E76" w:rsidR="009B7238" w:rsidRPr="00005EB9" w:rsidRDefault="009B7238" w:rsidP="009B7238">
      <w:pPr>
        <w:pStyle w:val="Bullet"/>
      </w:pPr>
      <w:r>
        <w:t xml:space="preserve">Can you architect with very high availability? </w:t>
      </w:r>
      <w:r>
        <w:br/>
        <w:t>Easy, just have more HA host</w:t>
      </w:r>
      <w:r w:rsidR="2543A3CE">
        <w:t>s</w:t>
      </w:r>
      <w:r>
        <w:t xml:space="preserve">, more vSAN FTT </w:t>
      </w:r>
      <w:r w:rsidR="008D2196">
        <w:t xml:space="preserve">with </w:t>
      </w:r>
      <w:r>
        <w:t>failure domain</w:t>
      </w:r>
      <w:r w:rsidR="16264DE0">
        <w:t>s</w:t>
      </w:r>
      <w:r w:rsidR="008D2196">
        <w:t xml:space="preserve"> spread across different racks</w:t>
      </w:r>
      <w:r w:rsidR="00F60AE7">
        <w:t>, more NSX Edges</w:t>
      </w:r>
      <w:r w:rsidR="6BE45833">
        <w:t>.</w:t>
      </w:r>
    </w:p>
    <w:p w14:paraId="0E178F0F" w14:textId="1CB58BF3" w:rsidR="009B7238" w:rsidRPr="00005EB9" w:rsidRDefault="009B7238" w:rsidP="009B7238">
      <w:pPr>
        <w:pStyle w:val="Bullet"/>
      </w:pPr>
      <w:r w:rsidRPr="00005EB9">
        <w:t xml:space="preserve">Can you architect a cluster that can run lots of VMs? </w:t>
      </w:r>
      <w:r w:rsidR="008F623D" w:rsidRPr="00005EB9">
        <w:br/>
      </w:r>
      <w:r w:rsidRPr="00005EB9">
        <w:t>Easy, just get lots of big hosts.</w:t>
      </w:r>
    </w:p>
    <w:p w14:paraId="38D7E660" w14:textId="0EAFC696" w:rsidR="009B7238" w:rsidRPr="00005EB9" w:rsidRDefault="009B7238" w:rsidP="009B7238">
      <w:pPr>
        <w:pStyle w:val="Bullet"/>
      </w:pPr>
      <w:r w:rsidRPr="00005EB9">
        <w:t xml:space="preserve">Can you optimize the performance? </w:t>
      </w:r>
      <w:r w:rsidR="008F623D" w:rsidRPr="00005EB9">
        <w:br/>
      </w:r>
      <w:r w:rsidRPr="00005EB9">
        <w:t>Sure, follow performance best practices and configure for performance.</w:t>
      </w:r>
      <w:r w:rsidR="00F60AE7">
        <w:t xml:space="preserve"> Just be prepared to pay.</w:t>
      </w:r>
    </w:p>
    <w:p w14:paraId="1E91884D" w14:textId="73F8D75D" w:rsidR="009B7238" w:rsidRDefault="009B7238" w:rsidP="009B7238">
      <w:pPr>
        <w:pStyle w:val="Bullet"/>
      </w:pPr>
      <w:r w:rsidRPr="00005EB9">
        <w:t xml:space="preserve">Can you squeeze the cost? </w:t>
      </w:r>
      <w:r w:rsidR="008F623D" w:rsidRPr="00005EB9">
        <w:br/>
      </w:r>
      <w:r w:rsidRPr="00005EB9">
        <w:t>Sure, minimize the hardware</w:t>
      </w:r>
      <w:r w:rsidR="00902D81" w:rsidRPr="00005EB9">
        <w:t xml:space="preserve"> and software cost, </w:t>
      </w:r>
      <w:r w:rsidRPr="00005EB9">
        <w:t>and choose the best bang for the buck. You know all the vendors and their technology. You know the pro and cons of each.</w:t>
      </w:r>
    </w:p>
    <w:p w14:paraId="0A944A8D" w14:textId="400D7B14" w:rsidR="00370003" w:rsidRDefault="00E37EB2" w:rsidP="008232E0">
      <w:r>
        <w:lastRenderedPageBreak/>
        <w:t xml:space="preserve">The above </w:t>
      </w:r>
      <w:r w:rsidR="00A70319">
        <w:t>is not hard to do if you do it right from the start, which is why we need to begin at the planning phase.</w:t>
      </w:r>
      <w:r w:rsidR="009A0433">
        <w:t xml:space="preserve"> If you start from Step 6</w:t>
      </w:r>
      <w:r w:rsidR="004C5F93">
        <w:t xml:space="preserve"> and ignore Step 1 and 2, you will play the </w:t>
      </w:r>
      <w:r w:rsidR="00C37C0C">
        <w:t>lead role in</w:t>
      </w:r>
      <w:r w:rsidR="004C5F93">
        <w:t xml:space="preserve"> a </w:t>
      </w:r>
      <w:hyperlink r:id="rId143" w:history="1">
        <w:r w:rsidR="004405B9" w:rsidRPr="004405B9">
          <w:rPr>
            <w:rStyle w:val="Hyperlink"/>
          </w:rPr>
          <w:t>M</w:t>
        </w:r>
        <w:r w:rsidR="004C5F93" w:rsidRPr="004405B9">
          <w:rPr>
            <w:rStyle w:val="Hyperlink"/>
          </w:rPr>
          <w:t xml:space="preserve">ission </w:t>
        </w:r>
        <w:r w:rsidR="004405B9" w:rsidRPr="004405B9">
          <w:rPr>
            <w:rStyle w:val="Hyperlink"/>
          </w:rPr>
          <w:t>I</w:t>
        </w:r>
        <w:r w:rsidR="004C5F93" w:rsidRPr="004405B9">
          <w:rPr>
            <w:rStyle w:val="Hyperlink"/>
          </w:rPr>
          <w:t>mpossible</w:t>
        </w:r>
      </w:hyperlink>
      <w:r w:rsidR="00C37C0C">
        <w:t xml:space="preserve"> movie</w:t>
      </w:r>
      <w:r w:rsidR="00C13BFF">
        <w:t xml:space="preserve">, because you can end up with many </w:t>
      </w:r>
      <w:r w:rsidR="00370003">
        <w:t>over-provisioned VM issue</w:t>
      </w:r>
      <w:r w:rsidR="00C13BFF">
        <w:t xml:space="preserve">. These VMs are typically the larger ones, and more critical to the business. </w:t>
      </w:r>
      <w:r w:rsidR="00370003">
        <w:t xml:space="preserve">It is hard to solve this in production environment as it will involve downtime and the burden is on you to prove it will not have performance impact. Politically, it may make the team who sized the VM and justified the cost look bad. Your best bet is to prevent the problem from happening in the first place, by using progressive pricing. This is covered in the </w:t>
      </w:r>
      <w:hyperlink w:anchor="_Price_1" w:history="1">
        <w:r w:rsidR="00370003" w:rsidRPr="00CD5325">
          <w:rPr>
            <w:rStyle w:val="Hyperlink"/>
          </w:rPr>
          <w:t>Pricing</w:t>
        </w:r>
      </w:hyperlink>
      <w:r w:rsidR="00370003">
        <w:t xml:space="preserve"> section of the book.</w:t>
      </w:r>
    </w:p>
    <w:p w14:paraId="60378DF3" w14:textId="2A832A0A" w:rsidR="00CA4607" w:rsidRDefault="00CA4607" w:rsidP="008232E0">
      <w:r w:rsidRPr="00CA4607">
        <w:rPr>
          <w:noProof/>
        </w:rPr>
        <w:drawing>
          <wp:inline distT="0" distB="0" distL="0" distR="0" wp14:anchorId="2DC275CA" wp14:editId="31E4FD02">
            <wp:extent cx="6645910" cy="2510155"/>
            <wp:effectExtent l="0" t="0" r="2540" b="4445"/>
            <wp:docPr id="1525330269" name="Picture 1525330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6645910" cy="2510155"/>
                    </a:xfrm>
                    <a:prstGeom prst="rect">
                      <a:avLst/>
                    </a:prstGeom>
                  </pic:spPr>
                </pic:pic>
              </a:graphicData>
            </a:graphic>
          </wp:inline>
        </w:drawing>
      </w:r>
    </w:p>
    <w:p w14:paraId="3E83D64D" w14:textId="77777777" w:rsidR="00E16E0C" w:rsidRPr="00E16E0C" w:rsidRDefault="00E16E0C" w:rsidP="00E16E0C">
      <w:r w:rsidRPr="00E16E0C">
        <w:t>Discipline in capacity optimization is critical due to excess wastage. Establish a weekly cadence that is executed regularly (depending on the size of the environment)</w:t>
      </w:r>
    </w:p>
    <w:p w14:paraId="04F09A47" w14:textId="62C126E8" w:rsidR="00E16E0C" w:rsidRDefault="00E16E0C" w:rsidP="00E16E0C">
      <w:r w:rsidRPr="00E16E0C">
        <w:t>Technology Refresh is an integral part, as new technology delivers both lower cost and higher capacity, not to mention faster performance and tighter security.</w:t>
      </w:r>
    </w:p>
    <w:p w14:paraId="29675C51" w14:textId="0317DB9D" w:rsidR="006D533D" w:rsidRDefault="00576EDD" w:rsidP="00AC6E1E">
      <w:pPr>
        <w:pStyle w:val="Heading4"/>
        <w:numPr>
          <w:ilvl w:val="0"/>
          <w:numId w:val="0"/>
        </w:numPr>
      </w:pPr>
      <w:r>
        <w:t xml:space="preserve">IaaS </w:t>
      </w:r>
      <w:r w:rsidR="006D533D">
        <w:t>Capacity</w:t>
      </w:r>
    </w:p>
    <w:p w14:paraId="1547D3F9" w14:textId="64DED077" w:rsidR="006D533D" w:rsidRDefault="006D533D" w:rsidP="006D533D">
      <w:pPr>
        <w:rPr>
          <w:lang w:val="en-GB"/>
        </w:rPr>
      </w:pPr>
      <w:r>
        <w:rPr>
          <w:lang w:val="en-GB"/>
        </w:rPr>
        <w:t xml:space="preserve">Your IaaS consists of </w:t>
      </w:r>
      <w:r w:rsidR="00114B00">
        <w:rPr>
          <w:lang w:val="en-GB"/>
        </w:rPr>
        <w:t>4</w:t>
      </w:r>
      <w:r>
        <w:rPr>
          <w:lang w:val="en-GB"/>
        </w:rPr>
        <w:t xml:space="preserve"> large components</w:t>
      </w:r>
    </w:p>
    <w:p w14:paraId="09097874" w14:textId="66C0A6DA" w:rsidR="006D533D" w:rsidRDefault="006D533D" w:rsidP="006D533D">
      <w:pPr>
        <w:pStyle w:val="Bullet"/>
        <w:rPr>
          <w:lang w:val="en-GB"/>
        </w:rPr>
      </w:pPr>
      <w:r>
        <w:rPr>
          <w:lang w:val="en-GB"/>
        </w:rPr>
        <w:t>Compute</w:t>
      </w:r>
    </w:p>
    <w:p w14:paraId="07CDDD74" w14:textId="51A9D3F0" w:rsidR="006D533D" w:rsidRDefault="006D533D" w:rsidP="006D533D">
      <w:pPr>
        <w:pStyle w:val="Bullet"/>
        <w:rPr>
          <w:lang w:val="en-GB"/>
        </w:rPr>
      </w:pPr>
      <w:r>
        <w:rPr>
          <w:lang w:val="en-GB"/>
        </w:rPr>
        <w:t xml:space="preserve">Storage </w:t>
      </w:r>
    </w:p>
    <w:p w14:paraId="7B346ECF" w14:textId="562282B5" w:rsidR="006D533D" w:rsidRDefault="006D533D" w:rsidP="006D533D">
      <w:pPr>
        <w:pStyle w:val="Bullet"/>
        <w:rPr>
          <w:lang w:val="en-GB"/>
        </w:rPr>
      </w:pPr>
      <w:r>
        <w:rPr>
          <w:lang w:val="en-GB"/>
        </w:rPr>
        <w:t xml:space="preserve">Network </w:t>
      </w:r>
    </w:p>
    <w:p w14:paraId="04FD2B94" w14:textId="480166EB" w:rsidR="00114B00" w:rsidRDefault="00114B00" w:rsidP="006D533D">
      <w:pPr>
        <w:pStyle w:val="Bullet"/>
        <w:rPr>
          <w:lang w:val="en-GB"/>
        </w:rPr>
      </w:pPr>
      <w:r>
        <w:rPr>
          <w:lang w:val="en-GB"/>
        </w:rPr>
        <w:t>VM</w:t>
      </w:r>
    </w:p>
    <w:p w14:paraId="510796A6" w14:textId="3EC578E7" w:rsidR="006D533D" w:rsidRDefault="006D533D" w:rsidP="006D533D">
      <w:pPr>
        <w:rPr>
          <w:lang w:val="en-GB"/>
        </w:rPr>
      </w:pPr>
      <w:r>
        <w:rPr>
          <w:lang w:val="en-GB"/>
        </w:rPr>
        <w:t>Compute gets the most attention as the consumer (VM or Pod) runs in a cluster</w:t>
      </w:r>
      <w:r w:rsidR="00FA7F6E">
        <w:rPr>
          <w:lang w:val="en-GB"/>
        </w:rPr>
        <w:t xml:space="preserve"> of ESXi host</w:t>
      </w:r>
      <w:r>
        <w:rPr>
          <w:lang w:val="en-GB"/>
        </w:rPr>
        <w:t xml:space="preserve">. It’s a good starting point, especially if you have 1:1 relationship between compute and storage. </w:t>
      </w:r>
    </w:p>
    <w:p w14:paraId="6750DA9D" w14:textId="5446F4FF" w:rsidR="006D533D" w:rsidRDefault="006D533D" w:rsidP="006D533D">
      <w:pPr>
        <w:rPr>
          <w:lang w:val="en-GB"/>
        </w:rPr>
      </w:pPr>
      <w:r>
        <w:rPr>
          <w:lang w:val="en-GB"/>
        </w:rPr>
        <w:t xml:space="preserve">Storage needs to be managed equally well, if you have many to many relationship between cluster and datastore. If you use vSAN HCI Mesh, then you also need to manage the storage portion carefully. </w:t>
      </w:r>
    </w:p>
    <w:p w14:paraId="4BB6189E" w14:textId="35CF7892" w:rsidR="006D533D" w:rsidRDefault="006D533D" w:rsidP="006D533D">
      <w:pPr>
        <w:rPr>
          <w:lang w:val="en-GB"/>
        </w:rPr>
      </w:pPr>
      <w:r>
        <w:rPr>
          <w:lang w:val="en-GB"/>
        </w:rPr>
        <w:t>Network is typically less of an issue</w:t>
      </w:r>
      <w:r w:rsidR="00625F70">
        <w:rPr>
          <w:lang w:val="en-GB"/>
        </w:rPr>
        <w:t xml:space="preserve"> for VMware Architect, as it’s typically done by the Network Architect. In addition</w:t>
      </w:r>
      <w:r w:rsidR="00AE01A8">
        <w:rPr>
          <w:lang w:val="en-GB"/>
        </w:rPr>
        <w:t>, it’s common for ESXi to sport 20 – 50 Gb of bandwidth. So u</w:t>
      </w:r>
      <w:r>
        <w:rPr>
          <w:lang w:val="en-GB"/>
        </w:rPr>
        <w:t xml:space="preserve">nless you </w:t>
      </w:r>
      <w:r w:rsidR="00AE01A8">
        <w:rPr>
          <w:lang w:val="en-GB"/>
        </w:rPr>
        <w:t xml:space="preserve">run </w:t>
      </w:r>
      <w:r>
        <w:rPr>
          <w:lang w:val="en-GB"/>
        </w:rPr>
        <w:t>high</w:t>
      </w:r>
      <w:r w:rsidR="00322E1A">
        <w:rPr>
          <w:lang w:val="en-GB"/>
        </w:rPr>
        <w:t xml:space="preserve"> bandwidth applications</w:t>
      </w:r>
      <w:r>
        <w:rPr>
          <w:lang w:val="en-GB"/>
        </w:rPr>
        <w:t xml:space="preserve">, such as networking VMs </w:t>
      </w:r>
      <w:r w:rsidR="00322E1A">
        <w:rPr>
          <w:lang w:val="en-GB"/>
        </w:rPr>
        <w:t xml:space="preserve">and web servers, </w:t>
      </w:r>
      <w:r>
        <w:rPr>
          <w:lang w:val="en-GB"/>
        </w:rPr>
        <w:t>running on the same ESXi hosts</w:t>
      </w:r>
      <w:r w:rsidR="009901D8">
        <w:rPr>
          <w:lang w:val="en-GB"/>
        </w:rPr>
        <w:t xml:space="preserve">, you may not hit the limit. </w:t>
      </w:r>
    </w:p>
    <w:p w14:paraId="347DF712" w14:textId="77777777" w:rsidR="00114B00" w:rsidRDefault="00114B00" w:rsidP="006D533D">
      <w:pPr>
        <w:rPr>
          <w:lang w:val="en-GB"/>
        </w:rPr>
      </w:pPr>
      <w:r>
        <w:rPr>
          <w:lang w:val="en-GB"/>
        </w:rPr>
        <w:lastRenderedPageBreak/>
        <w:t>VM impacts capacity in 2 ways:</w:t>
      </w:r>
    </w:p>
    <w:p w14:paraId="66853F0E" w14:textId="10EFE900" w:rsidR="00114B00" w:rsidRDefault="00114B00" w:rsidP="00114B00">
      <w:pPr>
        <w:pStyle w:val="Bullet"/>
        <w:rPr>
          <w:lang w:val="en-GB"/>
        </w:rPr>
      </w:pPr>
      <w:r>
        <w:rPr>
          <w:lang w:val="en-GB"/>
        </w:rPr>
        <w:t>Rightsizing</w:t>
      </w:r>
    </w:p>
    <w:p w14:paraId="73515606" w14:textId="1B725B83" w:rsidR="00114B00" w:rsidRPr="006D533D" w:rsidRDefault="00114B00" w:rsidP="00114B00">
      <w:pPr>
        <w:pStyle w:val="Bullet"/>
        <w:rPr>
          <w:lang w:val="en-GB"/>
        </w:rPr>
      </w:pPr>
      <w:r>
        <w:rPr>
          <w:lang w:val="en-GB"/>
        </w:rPr>
        <w:t>Reclamation</w:t>
      </w:r>
      <w:r w:rsidR="00E4254C">
        <w:rPr>
          <w:lang w:val="en-GB"/>
        </w:rPr>
        <w:t xml:space="preserve">. </w:t>
      </w:r>
    </w:p>
    <w:p w14:paraId="161BD46A" w14:textId="70FDDC25" w:rsidR="00586ACE" w:rsidRPr="00005EB9" w:rsidRDefault="00586ACE" w:rsidP="00AC6E1E">
      <w:pPr>
        <w:pStyle w:val="Heading4"/>
      </w:pPr>
      <w:bookmarkStart w:id="30" w:name="_Capacity_Planning"/>
      <w:bookmarkEnd w:id="30"/>
      <w:r w:rsidRPr="00005EB9">
        <w:t>Capacity Planning</w:t>
      </w:r>
    </w:p>
    <w:p w14:paraId="46C10271" w14:textId="1C77F1CC" w:rsidR="00283E0E" w:rsidRDefault="00283E0E" w:rsidP="00283E0E">
      <w:r w:rsidRPr="00005EB9">
        <w:t>For IaaS or DaaS, capacity management begins long before hardware is deployed. It begins with a business plan, which decides on what class of service will be provided</w:t>
      </w:r>
      <w:r w:rsidR="00FA7F6E">
        <w:t xml:space="preserve"> to serve which locations</w:t>
      </w:r>
      <w:r w:rsidRPr="00005EB9">
        <w:t xml:space="preserve">. </w:t>
      </w:r>
      <w:r w:rsidR="003C0652">
        <w:t xml:space="preserve">Class of Service </w:t>
      </w:r>
      <w:r w:rsidR="00497B77" w:rsidRPr="00005EB9">
        <w:t>was covered earlier in</w:t>
      </w:r>
      <w:r w:rsidR="006705B0">
        <w:t xml:space="preserve"> </w:t>
      </w:r>
      <w:hyperlink w:anchor="_Service_Level_Agreement" w:history="1">
        <w:r w:rsidR="006705B0" w:rsidRPr="00DF3119">
          <w:rPr>
            <w:rStyle w:val="Hyperlink"/>
          </w:rPr>
          <w:t>SLA</w:t>
        </w:r>
      </w:hyperlink>
      <w:r w:rsidR="00DF3119">
        <w:t>.</w:t>
      </w:r>
      <w:r w:rsidR="00497B77" w:rsidRPr="00005EB9">
        <w:t xml:space="preserve"> </w:t>
      </w:r>
      <w:r w:rsidR="00BA757D">
        <w:t xml:space="preserve">You should also read the Performance </w:t>
      </w:r>
      <w:r w:rsidR="001021CE">
        <w:t xml:space="preserve">SLA portion </w:t>
      </w:r>
      <w:hyperlink w:anchor="_KPI_vs_SLA_2" w:history="1">
        <w:r w:rsidR="001021CE" w:rsidRPr="00553C7C">
          <w:rPr>
            <w:rStyle w:val="Hyperlink"/>
          </w:rPr>
          <w:t>here</w:t>
        </w:r>
      </w:hyperlink>
      <w:r w:rsidR="001021CE">
        <w:t>, as it’s required when you overcommit the capacity.</w:t>
      </w:r>
    </w:p>
    <w:p w14:paraId="7E2C2C69" w14:textId="1A29E984" w:rsidR="00FA7F6E" w:rsidRDefault="00FA7F6E" w:rsidP="00FA68F7">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975"/>
        <w:gridCol w:w="8481"/>
      </w:tblGrid>
      <w:tr w:rsidR="00FA7F6E" w14:paraId="28FB05FD" w14:textId="77777777" w:rsidTr="00FA68F7">
        <w:tc>
          <w:tcPr>
            <w:tcW w:w="1975" w:type="dxa"/>
            <w:shd w:val="clear" w:color="auto" w:fill="F2F2F2" w:themeFill="background1" w:themeFillShade="F2"/>
          </w:tcPr>
          <w:p w14:paraId="582C1EB8" w14:textId="526C49B0" w:rsidR="00FA7F6E" w:rsidRDefault="00FA7F6E" w:rsidP="00FA7F6E">
            <w:pPr>
              <w:pStyle w:val="Tableheading"/>
            </w:pPr>
            <w:r>
              <w:t>Input</w:t>
            </w:r>
          </w:p>
        </w:tc>
        <w:tc>
          <w:tcPr>
            <w:tcW w:w="8481" w:type="dxa"/>
            <w:shd w:val="clear" w:color="auto" w:fill="F2F2F2" w:themeFill="background1" w:themeFillShade="F2"/>
          </w:tcPr>
          <w:p w14:paraId="2FA35B87" w14:textId="77777777" w:rsidR="00FA7F6E" w:rsidRDefault="00FA7F6E" w:rsidP="00FA7F6E">
            <w:pPr>
              <w:pStyle w:val="Tableheading"/>
            </w:pPr>
          </w:p>
        </w:tc>
      </w:tr>
      <w:tr w:rsidR="00FA7F6E" w14:paraId="3E711609" w14:textId="77777777" w:rsidTr="00FA68F7">
        <w:tc>
          <w:tcPr>
            <w:tcW w:w="1975" w:type="dxa"/>
          </w:tcPr>
          <w:p w14:paraId="3D358069" w14:textId="77777777" w:rsidR="00FA7F6E" w:rsidRDefault="00FA7F6E" w:rsidP="00FA7F6E">
            <w:pPr>
              <w:pStyle w:val="Tablecontent"/>
            </w:pPr>
            <w:r>
              <w:t>Cost</w:t>
            </w:r>
          </w:p>
        </w:tc>
        <w:tc>
          <w:tcPr>
            <w:tcW w:w="8481" w:type="dxa"/>
          </w:tcPr>
          <w:p w14:paraId="488C038D" w14:textId="00DD0BC3" w:rsidR="00FA7F6E" w:rsidRDefault="008809A1" w:rsidP="00FA7F6E">
            <w:pPr>
              <w:pStyle w:val="Tablecontent"/>
            </w:pPr>
            <w:r>
              <w:t>It impacts the architecture and location.</w:t>
            </w:r>
          </w:p>
        </w:tc>
      </w:tr>
      <w:tr w:rsidR="00FA7F6E" w14:paraId="1BB4D32B" w14:textId="77777777" w:rsidTr="00FA68F7">
        <w:tc>
          <w:tcPr>
            <w:tcW w:w="1975" w:type="dxa"/>
          </w:tcPr>
          <w:p w14:paraId="4E263FB9" w14:textId="46175E01" w:rsidR="00FA7F6E" w:rsidRDefault="00FA7F6E" w:rsidP="00FA7F6E">
            <w:pPr>
              <w:pStyle w:val="Tablecontent"/>
            </w:pPr>
            <w:r>
              <w:t>Class of Service</w:t>
            </w:r>
          </w:p>
        </w:tc>
        <w:tc>
          <w:tcPr>
            <w:tcW w:w="8481" w:type="dxa"/>
          </w:tcPr>
          <w:p w14:paraId="2C678DBA" w14:textId="52617DD8" w:rsidR="00FA7F6E" w:rsidRDefault="008809A1" w:rsidP="00FA7F6E">
            <w:pPr>
              <w:pStyle w:val="Tablecontent"/>
            </w:pPr>
            <w:r>
              <w:t>It’s related to the type of service. In addition to IaaS, you may have VDI, Database as a Service, K8 as a service, etc.</w:t>
            </w:r>
          </w:p>
        </w:tc>
      </w:tr>
      <w:tr w:rsidR="00FA7F6E" w14:paraId="17545B1A" w14:textId="77777777" w:rsidTr="00FA68F7">
        <w:tc>
          <w:tcPr>
            <w:tcW w:w="1975" w:type="dxa"/>
          </w:tcPr>
          <w:p w14:paraId="0315CDC0" w14:textId="43BF2DF1" w:rsidR="00FA7F6E" w:rsidRDefault="00FA7F6E" w:rsidP="00FA7F6E">
            <w:pPr>
              <w:pStyle w:val="Tablecontent"/>
            </w:pPr>
            <w:r>
              <w:t>Location</w:t>
            </w:r>
          </w:p>
        </w:tc>
        <w:tc>
          <w:tcPr>
            <w:tcW w:w="8481" w:type="dxa"/>
          </w:tcPr>
          <w:p w14:paraId="7682E9E8" w14:textId="14CC24AF" w:rsidR="00FA7F6E" w:rsidRDefault="008809A1" w:rsidP="00FA7F6E">
            <w:pPr>
              <w:pStyle w:val="Tablecontent"/>
            </w:pPr>
            <w:r>
              <w:t>The physical location, which could be data sovere</w:t>
            </w:r>
            <w:r w:rsidR="00FA68F7">
              <w:t xml:space="preserve">ignty or network </w:t>
            </w:r>
            <w:r>
              <w:t>latency requirements.</w:t>
            </w:r>
          </w:p>
        </w:tc>
      </w:tr>
      <w:tr w:rsidR="00FA7F6E" w14:paraId="294433FA" w14:textId="77777777" w:rsidTr="00FA68F7">
        <w:tc>
          <w:tcPr>
            <w:tcW w:w="1975" w:type="dxa"/>
          </w:tcPr>
          <w:p w14:paraId="2C11F856" w14:textId="66F19103" w:rsidR="00FA7F6E" w:rsidRDefault="00FA7F6E" w:rsidP="00FA7F6E">
            <w:pPr>
              <w:pStyle w:val="Tablecontent"/>
            </w:pPr>
            <w:r>
              <w:t>Security</w:t>
            </w:r>
          </w:p>
        </w:tc>
        <w:tc>
          <w:tcPr>
            <w:tcW w:w="8481" w:type="dxa"/>
          </w:tcPr>
          <w:p w14:paraId="4870C50C" w14:textId="3A94671C" w:rsidR="00FA7F6E" w:rsidRDefault="00FA68F7" w:rsidP="00FA7F6E">
            <w:pPr>
              <w:pStyle w:val="Tablecontent"/>
            </w:pPr>
            <w:r>
              <w:t>It might require traditional physical or air gap separation.</w:t>
            </w:r>
          </w:p>
        </w:tc>
      </w:tr>
      <w:tr w:rsidR="00FA7F6E" w14:paraId="0FC9448C" w14:textId="77777777" w:rsidTr="00FA68F7">
        <w:tc>
          <w:tcPr>
            <w:tcW w:w="1975" w:type="dxa"/>
          </w:tcPr>
          <w:p w14:paraId="262F34E3" w14:textId="665F5944" w:rsidR="00FA7F6E" w:rsidRDefault="00FA7F6E" w:rsidP="00FA7F6E">
            <w:pPr>
              <w:pStyle w:val="Tablecontent"/>
            </w:pPr>
            <w:r>
              <w:t>Availability</w:t>
            </w:r>
          </w:p>
        </w:tc>
        <w:tc>
          <w:tcPr>
            <w:tcW w:w="8481" w:type="dxa"/>
          </w:tcPr>
          <w:p w14:paraId="7C0CBD5B" w14:textId="34327F75" w:rsidR="00FA7F6E" w:rsidRDefault="00FA68F7" w:rsidP="00FA7F6E">
            <w:pPr>
              <w:pStyle w:val="Tablecontent"/>
            </w:pPr>
            <w:r>
              <w:t>This includes HA and DR</w:t>
            </w:r>
          </w:p>
        </w:tc>
      </w:tr>
      <w:tr w:rsidR="00FA68F7" w14:paraId="757BD3D2" w14:textId="77777777" w:rsidTr="00FA68F7">
        <w:tc>
          <w:tcPr>
            <w:tcW w:w="1975" w:type="dxa"/>
          </w:tcPr>
          <w:p w14:paraId="5043660A" w14:textId="45BF5899" w:rsidR="00FA68F7" w:rsidRDefault="00FA68F7" w:rsidP="00FA7F6E">
            <w:pPr>
              <w:pStyle w:val="Tablecontent"/>
            </w:pPr>
            <w:r>
              <w:t>Environment</w:t>
            </w:r>
          </w:p>
        </w:tc>
        <w:tc>
          <w:tcPr>
            <w:tcW w:w="8481" w:type="dxa"/>
          </w:tcPr>
          <w:p w14:paraId="44AE8046" w14:textId="141AB05F" w:rsidR="00FA68F7" w:rsidRDefault="00FA68F7" w:rsidP="00FA7F6E">
            <w:pPr>
              <w:pStyle w:val="Tablecontent"/>
            </w:pPr>
            <w:r>
              <w:t>Other than production, you may need to provide test, development and a few others.</w:t>
            </w:r>
          </w:p>
        </w:tc>
      </w:tr>
    </w:tbl>
    <w:p w14:paraId="51952598" w14:textId="77777777" w:rsidR="00FA68F7" w:rsidRDefault="00FA68F7" w:rsidP="00FA68F7">
      <w:pPr>
        <w:pStyle w:val="BeforeTable"/>
      </w:pPr>
    </w:p>
    <w:p w14:paraId="22F68EDF" w14:textId="0CBAE65C" w:rsidR="00FA68F7" w:rsidRDefault="00FA68F7" w:rsidP="00283E0E">
      <w:r>
        <w:t xml:space="preserve">As you can see, it’s complex to balance all the above. To make it worse, what worked last year for you may not work next year as many factors change. Regardless, make an overall plan that lists all the input you need. In a large environment, </w:t>
      </w:r>
      <w:r w:rsidR="00103E1F">
        <w:t xml:space="preserve">list </w:t>
      </w:r>
      <w:r w:rsidR="00A6761D">
        <w:t xml:space="preserve">all </w:t>
      </w:r>
      <w:r>
        <w:t xml:space="preserve">the input </w:t>
      </w:r>
      <w:r w:rsidR="00A6761D">
        <w:t xml:space="preserve">consideration </w:t>
      </w:r>
      <w:r>
        <w:t>for vSphere Clusters</w:t>
      </w:r>
      <w:r w:rsidR="00103E1F">
        <w:t>.</w:t>
      </w:r>
    </w:p>
    <w:p w14:paraId="7A66BE8B" w14:textId="3AA6ECD2" w:rsidR="00FA7F6E" w:rsidRDefault="00FA68F7" w:rsidP="00103E1F">
      <w:pPr>
        <w:jc w:val="center"/>
      </w:pPr>
      <w:r w:rsidRPr="00B91487">
        <w:rPr>
          <w:noProof/>
        </w:rPr>
        <w:drawing>
          <wp:inline distT="0" distB="0" distL="0" distR="0" wp14:anchorId="38119909" wp14:editId="1628CCD5">
            <wp:extent cx="3192240" cy="2782111"/>
            <wp:effectExtent l="0" t="0" r="8255" b="0"/>
            <wp:docPr id="534447517" name="Picture 53444751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17" name="Picture 534447517" descr="Table&#10;&#10;Description automatically generated"/>
                    <pic:cNvPicPr/>
                  </pic:nvPicPr>
                  <pic:blipFill>
                    <a:blip r:embed="rId145"/>
                    <a:stretch>
                      <a:fillRect/>
                    </a:stretch>
                  </pic:blipFill>
                  <pic:spPr>
                    <a:xfrm>
                      <a:off x="0" y="0"/>
                      <a:ext cx="3196322" cy="2785668"/>
                    </a:xfrm>
                    <a:prstGeom prst="rect">
                      <a:avLst/>
                    </a:prstGeom>
                  </pic:spPr>
                </pic:pic>
              </a:graphicData>
            </a:graphic>
          </wp:inline>
        </w:drawing>
      </w:r>
    </w:p>
    <w:p w14:paraId="3FB493B0" w14:textId="0C3FEED1" w:rsidR="00FA7F6E" w:rsidRDefault="00582677" w:rsidP="00103E1F">
      <w:r>
        <w:t>Group your operations by clusters or group of clusters. The following shows an environment with just 2 physical locations but 18 unique clusters. It has 7 clusters for business workloads and 2 clusters for non business loads.</w:t>
      </w:r>
    </w:p>
    <w:p w14:paraId="1EB6E53F" w14:textId="10ED8E6B" w:rsidR="00FA7F6E" w:rsidRPr="00A6761D" w:rsidRDefault="00A6761D" w:rsidP="00A6761D">
      <w:pPr>
        <w:jc w:val="center"/>
      </w:pPr>
      <w:r w:rsidRPr="00041BA9">
        <w:rPr>
          <w:noProof/>
        </w:rPr>
        <w:lastRenderedPageBreak/>
        <w:drawing>
          <wp:inline distT="0" distB="0" distL="0" distR="0" wp14:anchorId="6B0721BE" wp14:editId="0BA6696B">
            <wp:extent cx="4166879" cy="4409872"/>
            <wp:effectExtent l="0" t="0" r="5080" b="0"/>
            <wp:docPr id="534447518" name="Picture 53444751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18" name="Picture 534447518" descr="Graphical user interface, application&#10;&#10;Description automatically generated"/>
                    <pic:cNvPicPr/>
                  </pic:nvPicPr>
                  <pic:blipFill>
                    <a:blip r:embed="rId146"/>
                    <a:stretch>
                      <a:fillRect/>
                    </a:stretch>
                  </pic:blipFill>
                  <pic:spPr>
                    <a:xfrm>
                      <a:off x="0" y="0"/>
                      <a:ext cx="4177787" cy="4421416"/>
                    </a:xfrm>
                    <a:prstGeom prst="rect">
                      <a:avLst/>
                    </a:prstGeom>
                  </pic:spPr>
                </pic:pic>
              </a:graphicData>
            </a:graphic>
          </wp:inline>
        </w:drawing>
      </w:r>
    </w:p>
    <w:p w14:paraId="318AE8BD" w14:textId="3FAB5335" w:rsidR="007662F1" w:rsidRDefault="007662F1" w:rsidP="00540F68">
      <w:pPr>
        <w:pStyle w:val="Heading3"/>
      </w:pPr>
      <w:r>
        <w:t>Capacity Model</w:t>
      </w:r>
    </w:p>
    <w:p w14:paraId="2AA3E4C2" w14:textId="46D4A5A8" w:rsidR="001507D1" w:rsidRDefault="001507D1" w:rsidP="001507D1">
      <w:pPr>
        <w:rPr>
          <w:lang w:val="en-GB"/>
        </w:rPr>
      </w:pPr>
      <w:r>
        <w:rPr>
          <w:lang w:val="en-GB"/>
        </w:rPr>
        <w:t xml:space="preserve">Capacity is only possible if we can model. That means defining the </w:t>
      </w:r>
      <w:r w:rsidR="005D7823">
        <w:rPr>
          <w:lang w:val="en-GB"/>
        </w:rPr>
        <w:t xml:space="preserve">difference type of capacity dimension. For each dimension, we need to define the </w:t>
      </w:r>
      <w:r>
        <w:rPr>
          <w:lang w:val="en-GB"/>
        </w:rPr>
        <w:t>formula for total capacity, usable capacity and consumption metrics.</w:t>
      </w:r>
      <w:r w:rsidR="005D7823">
        <w:rPr>
          <w:lang w:val="en-GB"/>
        </w:rPr>
        <w:t xml:space="preserve"> </w:t>
      </w:r>
    </w:p>
    <w:p w14:paraId="5098B2D1" w14:textId="77777777" w:rsidR="005D7823" w:rsidRDefault="005D7823" w:rsidP="001507D1">
      <w:pPr>
        <w:rPr>
          <w:lang w:val="en-GB"/>
        </w:rPr>
      </w:pPr>
    </w:p>
    <w:p w14:paraId="23893B6B" w14:textId="52AEBA23" w:rsidR="001507D1" w:rsidRDefault="00391C09" w:rsidP="001507D1">
      <w:pPr>
        <w:pStyle w:val="Heading4"/>
      </w:pPr>
      <w:r>
        <w:t>4 Dimensions of Capacity</w:t>
      </w:r>
    </w:p>
    <w:p w14:paraId="62B937DC" w14:textId="0D501FDF" w:rsidR="001507D1" w:rsidRPr="005F1428" w:rsidRDefault="00EC7EC7" w:rsidP="001507D1">
      <w:r>
        <w:t>Manage capacity by considering the 4 types of input below.</w:t>
      </w:r>
    </w:p>
    <w:p w14:paraId="76A0D167" w14:textId="73874321" w:rsidR="001507D1" w:rsidRDefault="00970868" w:rsidP="001507D1">
      <w:r w:rsidRPr="00970868">
        <w:rPr>
          <w:noProof/>
        </w:rPr>
        <w:lastRenderedPageBreak/>
        <w:drawing>
          <wp:inline distT="0" distB="0" distL="0" distR="0" wp14:anchorId="27272BBF" wp14:editId="1627C718">
            <wp:extent cx="6645910" cy="3202940"/>
            <wp:effectExtent l="0" t="0" r="254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645910" cy="3202940"/>
                    </a:xfrm>
                    <a:prstGeom prst="rect">
                      <a:avLst/>
                    </a:prstGeom>
                  </pic:spPr>
                </pic:pic>
              </a:graphicData>
            </a:graphic>
          </wp:inline>
        </w:drawing>
      </w:r>
    </w:p>
    <w:p w14:paraId="2628979F" w14:textId="7B5228E1" w:rsidR="00EC7EC7" w:rsidRDefault="00EC7EC7" w:rsidP="001507D1">
      <w:r>
        <w:t xml:space="preserve">Use </w:t>
      </w:r>
      <w:r w:rsidR="001507D1">
        <w:t xml:space="preserve">Utilization </w:t>
      </w:r>
      <w:r>
        <w:t>when you overcommit the environment</w:t>
      </w:r>
      <w:r w:rsidR="00E66BAC">
        <w:t>. In mission critical where the business value of the workload far exceeds the cost of infrastructure, you do not need to monitor utilization. Reservation also becomes irrelevant, and you simply manage by allocation (which is 1:1).</w:t>
      </w:r>
    </w:p>
    <w:p w14:paraId="4934E5AD" w14:textId="77777777" w:rsidR="005C0FA9" w:rsidRDefault="00E66BAC" w:rsidP="001507D1">
      <w:r>
        <w:t xml:space="preserve">For the rest of environment, where you overcommit, it’s mandatory to monitor utilization. Use Reservation to prevent overcommit from going too high, especially in a mixed-class environment. Utilization and Reservation form a single input for each consumer. </w:t>
      </w:r>
      <w:r w:rsidR="005C0FA9">
        <w:t xml:space="preserve">We call this Demand. </w:t>
      </w:r>
    </w:p>
    <w:p w14:paraId="4D30020A" w14:textId="468A7846" w:rsidR="005C0FA9" w:rsidRPr="005C0FA9" w:rsidRDefault="005C0FA9" w:rsidP="001507D1">
      <w:pPr>
        <w:rPr>
          <w:lang w:val="en-GB"/>
        </w:rPr>
      </w:pPr>
      <w:r>
        <w:rPr>
          <w:lang w:val="en-GB"/>
        </w:rPr>
        <w:t>Demand = Max (Utilization, Reservation)</w:t>
      </w:r>
    </w:p>
    <w:p w14:paraId="38EBE1A3" w14:textId="6B664348" w:rsidR="00E66BAC" w:rsidRDefault="00E66BAC" w:rsidP="001507D1">
      <w:r>
        <w:t>For example, a VM that uses 4 GHz but reserve 5 GHz should be considered as having 5 GHz, as that extra 1 GHz is guaranteed for that VM.</w:t>
      </w:r>
    </w:p>
    <w:p w14:paraId="128E5E7F" w14:textId="53629506" w:rsidR="001507D1" w:rsidRDefault="00E66BAC" w:rsidP="001507D1">
      <w:r>
        <w:t xml:space="preserve">Allocation is the metric you use when selling the capacity to your consumers. If you charge half price relative to full price, then your overcommit should not exceed 2:1. </w:t>
      </w:r>
    </w:p>
    <w:p w14:paraId="7EF8408F" w14:textId="40C2AAB2" w:rsidR="00AB372D" w:rsidRDefault="00AB372D" w:rsidP="001507D1">
      <w:r>
        <w:t>Use Allocation when you want to protect the shared infrastructure from sudden spike.</w:t>
      </w:r>
    </w:p>
    <w:p w14:paraId="08D217EE" w14:textId="2D1C9AB6" w:rsidR="001507D1" w:rsidRDefault="001507D1" w:rsidP="001507D1">
      <w:r w:rsidRPr="00A452F2">
        <w:t>The ideal scenario is the cluster is running at 100% utilization but 0% contention, because it’s working as productively as possible. You get your investment well used</w:t>
      </w:r>
      <w:r>
        <w:t>.</w:t>
      </w:r>
      <w:r w:rsidR="00AB372D">
        <w:t xml:space="preserve"> This is why performance is an override, but only used when it’s bad.</w:t>
      </w:r>
    </w:p>
    <w:p w14:paraId="7EECAD8B" w14:textId="77777777" w:rsidR="001507D1" w:rsidRDefault="001507D1" w:rsidP="001507D1">
      <w:r>
        <w:t xml:space="preserve">Why is reclamation not included? </w:t>
      </w:r>
    </w:p>
    <w:p w14:paraId="58CAB484" w14:textId="77777777" w:rsidR="001507D1" w:rsidRDefault="001507D1" w:rsidP="001507D1">
      <w:r>
        <w:t xml:space="preserve">Because it only changes the capacity remaining (%) value when you reclaim the actual wastage. </w:t>
      </w:r>
    </w:p>
    <w:p w14:paraId="737C1214" w14:textId="77777777" w:rsidR="001507D1" w:rsidRDefault="001507D1" w:rsidP="001507D1">
      <w:r>
        <w:t xml:space="preserve">However, wastage should be part of your SOP. It </w:t>
      </w:r>
      <w:r w:rsidRPr="00A452F2">
        <w:t>can impact your decision a</w:t>
      </w:r>
      <w:r>
        <w:t>s</w:t>
      </w:r>
      <w:r w:rsidRPr="00A452F2">
        <w:t xml:space="preserve"> wastage is </w:t>
      </w:r>
      <w:r>
        <w:t>prevalent</w:t>
      </w:r>
      <w:r w:rsidRPr="00A452F2">
        <w:t>. Capacity can be low, but if you can reclaim a sizeable chunk of wastage, you can defer hardware purchas</w:t>
      </w:r>
      <w:r>
        <w:t>e.</w:t>
      </w:r>
    </w:p>
    <w:p w14:paraId="79CE7935" w14:textId="77777777" w:rsidR="001507D1" w:rsidRDefault="001507D1" w:rsidP="001507D1">
      <w:r>
        <w:t xml:space="preserve">Depending on the business policy, you may have to comply with </w:t>
      </w:r>
      <w:hyperlink r:id="rId148" w:history="1">
        <w:r w:rsidRPr="002B192B">
          <w:rPr>
            <w:rStyle w:val="Hyperlink"/>
          </w:rPr>
          <w:t>Business Continuity Policy</w:t>
        </w:r>
      </w:hyperlink>
      <w:r>
        <w:t xml:space="preserve"> or security policy. Examples:</w:t>
      </w:r>
    </w:p>
    <w:p w14:paraId="010CCE7C" w14:textId="77777777" w:rsidR="001507D1" w:rsidRDefault="001507D1" w:rsidP="001507D1">
      <w:pPr>
        <w:pStyle w:val="Bullet"/>
      </w:pPr>
      <w:r>
        <w:t xml:space="preserve">Define the blast radius to contain major outage. This may translate that you do not design a large cluster containing ___ VM, as a cluster may go down. </w:t>
      </w:r>
    </w:p>
    <w:p w14:paraId="635A11A2" w14:textId="77777777" w:rsidR="001507D1" w:rsidRDefault="001507D1" w:rsidP="001507D1">
      <w:pPr>
        <w:pStyle w:val="Bullet"/>
      </w:pPr>
      <w:r>
        <w:t>Define the concentration risk. The number of mission critical VMs in the same datastore is capped below ___ VM.</w:t>
      </w:r>
    </w:p>
    <w:p w14:paraId="1163629A" w14:textId="77777777" w:rsidR="001507D1" w:rsidRDefault="001507D1" w:rsidP="001507D1">
      <w:pPr>
        <w:pStyle w:val="Bullet"/>
      </w:pPr>
      <w:r>
        <w:lastRenderedPageBreak/>
        <w:t xml:space="preserve">Contain the security risk. Internet facing VM and internal facing VM do not share the same ____. </w:t>
      </w:r>
    </w:p>
    <w:p w14:paraId="5AEB053C" w14:textId="4B490574" w:rsidR="00027215" w:rsidRDefault="00263B89" w:rsidP="00AC6E1E">
      <w:pPr>
        <w:pStyle w:val="Heading4"/>
      </w:pPr>
      <w:r>
        <w:t>Utilization</w:t>
      </w:r>
    </w:p>
    <w:p w14:paraId="403AEC89" w14:textId="231C7E10" w:rsidR="004E291F" w:rsidRDefault="004E291F" w:rsidP="001D6C72">
      <w:r>
        <w:t>Utilization against usable capacity is t</w:t>
      </w:r>
      <w:r w:rsidR="006A634B" w:rsidRPr="00A452F2">
        <w:t>he primary counter for capacity, as it reflects the actual, live usage of the resources. If utilization is high, it does not matter if the overcommit ratio is far below your target, the cluster is full.</w:t>
      </w:r>
      <w:r>
        <w:t xml:space="preserve"> vRealize Operations </w:t>
      </w:r>
      <w:r w:rsidR="001D44E6">
        <w:t xml:space="preserve">has this </w:t>
      </w:r>
      <w:r>
        <w:t>enabled by default without any configuration and cannot be disabled</w:t>
      </w:r>
      <w:r w:rsidR="00E4254C">
        <w:t xml:space="preserve">. </w:t>
      </w:r>
    </w:p>
    <w:p w14:paraId="137A46E7" w14:textId="0E511E2B" w:rsidR="001D6C72" w:rsidRDefault="001D6C72" w:rsidP="001D6C72">
      <w:r>
        <w:t xml:space="preserve">A concept that is unique in utilization is </w:t>
      </w:r>
      <w:r w:rsidRPr="00330381">
        <w:rPr>
          <w:color w:val="FF0000"/>
        </w:rPr>
        <w:t>wastage</w:t>
      </w:r>
      <w:r>
        <w:t xml:space="preserve">. It is not applicable in allocation, reservation and contention. </w:t>
      </w:r>
    </w:p>
    <w:p w14:paraId="3A730993" w14:textId="27A7A51C" w:rsidR="006A634B" w:rsidRDefault="001D6C72" w:rsidP="001D6C72">
      <w:r>
        <w:t xml:space="preserve">In utilization, </w:t>
      </w:r>
      <w:r w:rsidR="006A634B" w:rsidRPr="00A452F2">
        <w:t>if utilization is very low, that is not a good thing.</w:t>
      </w:r>
      <w:r w:rsidR="006A634B">
        <w:t xml:space="preserve"> Unless it’s a newly provisioned </w:t>
      </w:r>
      <w:r>
        <w:t>object that is yet to grow to its full usage</w:t>
      </w:r>
      <w:r w:rsidR="006A634B">
        <w:t>, that could indicate wastage.</w:t>
      </w:r>
    </w:p>
    <w:p w14:paraId="6575ED33" w14:textId="3DDB267C" w:rsidR="001D6C72" w:rsidRDefault="001D6C72" w:rsidP="001D6C72">
      <w:r>
        <w:t xml:space="preserve">How should we fit wastage in the model? </w:t>
      </w:r>
    </w:p>
    <w:p w14:paraId="1B602E81" w14:textId="40DEC773" w:rsidR="001D6C72" w:rsidRDefault="001D6C72" w:rsidP="001D6C72">
      <w:r>
        <w:t xml:space="preserve">The following is my recommendation. I divide the capacity into 10 equal chunks. The </w:t>
      </w:r>
      <w:r w:rsidR="0022569A" w:rsidRPr="0022569A">
        <w:rPr>
          <w:color w:val="00B050"/>
        </w:rPr>
        <w:t>green</w:t>
      </w:r>
      <w:r>
        <w:t xml:space="preserve"> zone is in the middle. That means the capacity is </w:t>
      </w:r>
      <w:r w:rsidR="0022569A" w:rsidRPr="0022569A">
        <w:rPr>
          <w:color w:val="00B050"/>
        </w:rPr>
        <w:t>green</w:t>
      </w:r>
      <w:r>
        <w:t xml:space="preserve"> when it’s around 30 – 70% used. </w:t>
      </w:r>
    </w:p>
    <w:p w14:paraId="32C078FA" w14:textId="3A97E52F" w:rsidR="00E02385" w:rsidRDefault="00E02385" w:rsidP="006A634B">
      <w:pPr>
        <w:pStyle w:val="Tablecontent"/>
      </w:pPr>
      <w:r w:rsidRPr="00E02385">
        <w:rPr>
          <w:noProof/>
        </w:rPr>
        <w:drawing>
          <wp:inline distT="0" distB="0" distL="0" distR="0" wp14:anchorId="245B4FB6" wp14:editId="09558DBA">
            <wp:extent cx="6645910" cy="1506855"/>
            <wp:effectExtent l="0" t="0" r="2540" b="0"/>
            <wp:docPr id="910169563" name="Picture 910169563"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63" name="Picture 910169563" descr="Timeline&#10;&#10;Description automatically generated"/>
                    <pic:cNvPicPr/>
                  </pic:nvPicPr>
                  <pic:blipFill>
                    <a:blip r:embed="rId149"/>
                    <a:stretch>
                      <a:fillRect/>
                    </a:stretch>
                  </pic:blipFill>
                  <pic:spPr>
                    <a:xfrm>
                      <a:off x="0" y="0"/>
                      <a:ext cx="6645910" cy="1506855"/>
                    </a:xfrm>
                    <a:prstGeom prst="rect">
                      <a:avLst/>
                    </a:prstGeom>
                  </pic:spPr>
                </pic:pic>
              </a:graphicData>
            </a:graphic>
          </wp:inline>
        </w:drawing>
      </w:r>
    </w:p>
    <w:p w14:paraId="50E1EAF7" w14:textId="36F771A1" w:rsidR="00462148" w:rsidRDefault="00462148" w:rsidP="00462148">
      <w:pPr>
        <w:pStyle w:val="Heading5"/>
      </w:pPr>
      <w:r>
        <w:t>Used &gt; Allocated</w:t>
      </w:r>
    </w:p>
    <w:p w14:paraId="70401D41" w14:textId="05F987F8" w:rsidR="00771C95" w:rsidRDefault="00771C95" w:rsidP="006A634B">
      <w:pPr>
        <w:pStyle w:val="Tablecontent"/>
      </w:pPr>
      <w:r>
        <w:t xml:space="preserve">Can you use more than what you’re allocated? </w:t>
      </w:r>
    </w:p>
    <w:p w14:paraId="34645165" w14:textId="77777777" w:rsidR="00771C95" w:rsidRDefault="00771C95" w:rsidP="006A634B">
      <w:pPr>
        <w:pStyle w:val="Tablecontent"/>
      </w:pPr>
      <w:r>
        <w:t xml:space="preserve">Certainly. This especially happens in software-defined storage such as vSAN. </w:t>
      </w:r>
    </w:p>
    <w:p w14:paraId="32B1F009" w14:textId="45E7AB85" w:rsidR="00771C95" w:rsidRDefault="00771C95" w:rsidP="006A634B">
      <w:pPr>
        <w:pStyle w:val="Tablecontent"/>
      </w:pPr>
      <w:r>
        <w:t>The following screenshot shows a VM configured with 10 GB hard disk. That means the guest OS is allocated with 10 GB.</w:t>
      </w:r>
    </w:p>
    <w:p w14:paraId="260DBBAA" w14:textId="424D6E5D" w:rsidR="00771C95" w:rsidRDefault="00771C95" w:rsidP="006A634B">
      <w:pPr>
        <w:pStyle w:val="Tablecontent"/>
      </w:pPr>
      <w:r w:rsidRPr="00771C95">
        <w:rPr>
          <w:noProof/>
        </w:rPr>
        <w:lastRenderedPageBreak/>
        <w:drawing>
          <wp:inline distT="0" distB="0" distL="0" distR="0" wp14:anchorId="055142B4" wp14:editId="6538B39D">
            <wp:extent cx="6645910" cy="3182620"/>
            <wp:effectExtent l="0" t="0" r="2540" b="0"/>
            <wp:docPr id="1525330302" name="Picture 152533030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302" name="Picture 1525330302" descr="Graphical user interface, text, application, email&#10;&#10;Description automatically generated"/>
                    <pic:cNvPicPr/>
                  </pic:nvPicPr>
                  <pic:blipFill>
                    <a:blip r:embed="rId150"/>
                    <a:stretch>
                      <a:fillRect/>
                    </a:stretch>
                  </pic:blipFill>
                  <pic:spPr>
                    <a:xfrm>
                      <a:off x="0" y="0"/>
                      <a:ext cx="6645910" cy="3182620"/>
                    </a:xfrm>
                    <a:prstGeom prst="rect">
                      <a:avLst/>
                    </a:prstGeom>
                  </pic:spPr>
                </pic:pic>
              </a:graphicData>
            </a:graphic>
          </wp:inline>
        </w:drawing>
      </w:r>
    </w:p>
    <w:p w14:paraId="78717BF7" w14:textId="60EF22E1" w:rsidR="00771C95" w:rsidRDefault="00771C95" w:rsidP="006A634B">
      <w:pPr>
        <w:pStyle w:val="Tablecontent"/>
      </w:pPr>
      <w:r>
        <w:t>It’s thick provisioned as specified by vSAN policy.</w:t>
      </w:r>
    </w:p>
    <w:p w14:paraId="2F8FC83E" w14:textId="4F7CA6F1" w:rsidR="00771C95" w:rsidRDefault="00771C95" w:rsidP="006A634B">
      <w:pPr>
        <w:pStyle w:val="Tablecontent"/>
      </w:pPr>
      <w:r>
        <w:t>Guess how much disk space it actually consumes at the VMFS layer?</w:t>
      </w:r>
    </w:p>
    <w:p w14:paraId="7C1D4649" w14:textId="3734C551" w:rsidR="00771C95" w:rsidRDefault="00771C95" w:rsidP="006A634B">
      <w:pPr>
        <w:pStyle w:val="Tablecontent"/>
      </w:pPr>
      <w:r w:rsidRPr="00771C95">
        <w:rPr>
          <w:noProof/>
        </w:rPr>
        <w:drawing>
          <wp:inline distT="0" distB="0" distL="0" distR="0" wp14:anchorId="4EDC5F5E" wp14:editId="61FD811A">
            <wp:extent cx="6645910" cy="2801620"/>
            <wp:effectExtent l="0" t="0" r="2540" b="0"/>
            <wp:docPr id="1971068998" name="Picture 19710689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8998" name="Picture 1971068998" descr="Graphical user interface, application&#10;&#10;Description automatically generated"/>
                    <pic:cNvPicPr/>
                  </pic:nvPicPr>
                  <pic:blipFill>
                    <a:blip r:embed="rId151"/>
                    <a:stretch>
                      <a:fillRect/>
                    </a:stretch>
                  </pic:blipFill>
                  <pic:spPr>
                    <a:xfrm>
                      <a:off x="0" y="0"/>
                      <a:ext cx="6645910" cy="2801620"/>
                    </a:xfrm>
                    <a:prstGeom prst="rect">
                      <a:avLst/>
                    </a:prstGeom>
                  </pic:spPr>
                </pic:pic>
              </a:graphicData>
            </a:graphic>
          </wp:inline>
        </w:drawing>
      </w:r>
    </w:p>
    <w:p w14:paraId="5D00E27F" w14:textId="3A1C17A7" w:rsidR="00771C95" w:rsidRDefault="00771C95" w:rsidP="006A634B">
      <w:pPr>
        <w:pStyle w:val="Tablecontent"/>
      </w:pPr>
      <w:r>
        <w:t xml:space="preserve">You’re right. </w:t>
      </w:r>
      <w:r w:rsidR="001C4CAA">
        <w:t xml:space="preserve">It is </w:t>
      </w:r>
      <w:r>
        <w:t>20 G</w:t>
      </w:r>
      <w:r w:rsidR="001C4CAA">
        <w:t>B</w:t>
      </w:r>
      <w:r>
        <w:t>.</w:t>
      </w:r>
    </w:p>
    <w:p w14:paraId="1F05B2CE" w14:textId="77777777" w:rsidR="005D7823" w:rsidRDefault="005D7823" w:rsidP="005D7823">
      <w:pPr>
        <w:pStyle w:val="Heading4"/>
      </w:pPr>
      <w:bookmarkStart w:id="31" w:name="_Allocation_Model_1"/>
      <w:bookmarkEnd w:id="31"/>
      <w:r>
        <w:t>Reservation</w:t>
      </w:r>
    </w:p>
    <w:p w14:paraId="38A93E43" w14:textId="77777777" w:rsidR="005D7823" w:rsidRDefault="005D7823" w:rsidP="005D7823">
      <w:pPr>
        <w:pStyle w:val="Tablecontent"/>
      </w:pPr>
      <w:r>
        <w:t>Reservation that is not yet consumed impacts capacity but not performance. Using a restaurant analogy, if all your tables are reserved but only 20% turns up, you have 0 capacity left but can easily serve all customers as the real demand is only 20%.</w:t>
      </w:r>
    </w:p>
    <w:p w14:paraId="4FC6575F" w14:textId="77777777" w:rsidR="005D7823" w:rsidRDefault="005D7823" w:rsidP="005D7823">
      <w:pPr>
        <w:pStyle w:val="Tablecontent"/>
      </w:pPr>
      <w:r>
        <w:lastRenderedPageBreak/>
        <w:t xml:space="preserve">From the above you can tell that the demand metrics should </w:t>
      </w:r>
      <w:r w:rsidRPr="00A54651">
        <w:rPr>
          <w:color w:val="FF0000"/>
        </w:rPr>
        <w:t xml:space="preserve">not </w:t>
      </w:r>
      <w:r>
        <w:t>include reservation. On the other hand, you do need to calculate your restaurant capacity. That means you need 3 metrics</w:t>
      </w:r>
    </w:p>
    <w:p w14:paraId="0712B8D9" w14:textId="77777777" w:rsidR="005D7823" w:rsidRDefault="005D7823" w:rsidP="005D7823">
      <w:pPr>
        <w:pStyle w:val="Tablecontent"/>
        <w:numPr>
          <w:ilvl w:val="0"/>
          <w:numId w:val="73"/>
        </w:numPr>
      </w:pPr>
      <w:r>
        <w:t>Utilization</w:t>
      </w:r>
    </w:p>
    <w:p w14:paraId="744A0E6F" w14:textId="77777777" w:rsidR="005D7823" w:rsidRDefault="005D7823" w:rsidP="005D7823">
      <w:pPr>
        <w:pStyle w:val="Tablecontent"/>
        <w:numPr>
          <w:ilvl w:val="0"/>
          <w:numId w:val="73"/>
        </w:numPr>
      </w:pPr>
      <w:r>
        <w:t>Reservation</w:t>
      </w:r>
    </w:p>
    <w:p w14:paraId="58189B9A" w14:textId="77777777" w:rsidR="005D7823" w:rsidRDefault="005D7823" w:rsidP="005D7823">
      <w:pPr>
        <w:pStyle w:val="Tablecontent"/>
        <w:numPr>
          <w:ilvl w:val="0"/>
          <w:numId w:val="73"/>
        </w:numPr>
      </w:pPr>
      <w:r>
        <w:t>Sum of individual consumer Max (utilization, reservation). This is the metric you should use as the demand.</w:t>
      </w:r>
    </w:p>
    <w:p w14:paraId="431656B6" w14:textId="77777777" w:rsidR="005D7823" w:rsidRDefault="005D7823" w:rsidP="005D7823">
      <w:pPr>
        <w:pStyle w:val="Tablecontent"/>
      </w:pPr>
      <w:r>
        <w:t>Let’s take an example of a restaurant with 2 floors. The 1</w:t>
      </w:r>
      <w:r w:rsidRPr="000A34E2">
        <w:rPr>
          <w:vertAlign w:val="superscript"/>
        </w:rPr>
        <w:t>st</w:t>
      </w:r>
      <w:r>
        <w:t xml:space="preserve"> floor is 100% filled up with diners. The 2</w:t>
      </w:r>
      <w:r w:rsidRPr="000A34E2">
        <w:rPr>
          <w:vertAlign w:val="superscript"/>
        </w:rPr>
        <w:t>nd</w:t>
      </w:r>
      <w:r>
        <w:t xml:space="preserve"> floor is 100% reserved. What’s your capacity left? </w:t>
      </w:r>
    </w:p>
    <w:p w14:paraId="4B094FF2" w14:textId="77777777" w:rsidR="005D7823" w:rsidRDefault="005D7823" w:rsidP="005D7823">
      <w:pPr>
        <w:pStyle w:val="Tablecontent"/>
      </w:pPr>
      <w:r>
        <w:t xml:space="preserve">Answer is 0%. You can’t take any more diners unless they are reservation holders. </w:t>
      </w:r>
    </w:p>
    <w:p w14:paraId="3F4CC9DC" w14:textId="77777777" w:rsidR="005D7823" w:rsidRDefault="005D7823" w:rsidP="005D7823">
      <w:pPr>
        <w:pStyle w:val="Tablecontent"/>
      </w:pPr>
      <w:r>
        <w:t xml:space="preserve">Applying the above to vSphere, how do you know who are the reservation holders that are yet to consume what they are entitled? </w:t>
      </w:r>
    </w:p>
    <w:p w14:paraId="7FE8D9AE" w14:textId="77777777" w:rsidR="005D7823" w:rsidRDefault="005D7823" w:rsidP="005D7823">
      <w:pPr>
        <w:pStyle w:val="Tablecontent"/>
      </w:pPr>
      <w:r>
        <w:t>For compute, those are VMs already powered on but have not consumed CPU and memory at their reserved threshold. When you get to the actual metric, you will notice there is some complication we need to take care.</w:t>
      </w:r>
    </w:p>
    <w:p w14:paraId="22F3E378" w14:textId="77777777" w:rsidR="005D7823" w:rsidRDefault="005D7823" w:rsidP="005D7823">
      <w:pPr>
        <w:pStyle w:val="Tablecontent"/>
      </w:pPr>
      <w:r>
        <w:t>For storage, those are thin provisioned VMDK files that are yet to grow to their full size.</w:t>
      </w:r>
    </w:p>
    <w:p w14:paraId="1F2E046D" w14:textId="231F745F" w:rsidR="001304CF" w:rsidRPr="00C17739" w:rsidRDefault="001304CF" w:rsidP="00AC6E1E">
      <w:pPr>
        <w:pStyle w:val="Heading4"/>
      </w:pPr>
      <w:r w:rsidRPr="00C17739">
        <w:t>Allocation</w:t>
      </w:r>
    </w:p>
    <w:p w14:paraId="40D7AF36" w14:textId="2172C2F5" w:rsidR="007740F8" w:rsidRDefault="00C1502B" w:rsidP="007740F8">
      <w:pPr>
        <w:pStyle w:val="Tablecontent"/>
      </w:pPr>
      <w:r>
        <w:t>The total d</w:t>
      </w:r>
      <w:r w:rsidR="00027215" w:rsidRPr="00C17739">
        <w:t xml:space="preserve">emand is more than the </w:t>
      </w:r>
      <w:r>
        <w:t>visible demand, the active l</w:t>
      </w:r>
      <w:r w:rsidR="00027215" w:rsidRPr="00C17739">
        <w:t xml:space="preserve">oad that is consuming your capacity. </w:t>
      </w:r>
      <w:r w:rsidR="007740F8">
        <w:t xml:space="preserve">Active load is the visible demand, which you can monitor with the utilization metrics. There are demand that are not visible, because it has no utilization at present. </w:t>
      </w:r>
    </w:p>
    <w:p w14:paraId="52E997DA" w14:textId="62DA311F" w:rsidR="00027215" w:rsidRDefault="007740F8" w:rsidP="007740F8">
      <w:pPr>
        <w:pStyle w:val="Tablecontent"/>
      </w:pPr>
      <w:r>
        <w:t>Use the Allocation Model and buffer settings in vRealize Operations to cater for this invisible demand.</w:t>
      </w:r>
      <w:r w:rsidRPr="007740F8">
        <w:t xml:space="preserve"> </w:t>
      </w:r>
      <w:r>
        <w:t xml:space="preserve">Note that buffer is applied </w:t>
      </w:r>
      <w:r w:rsidRPr="00756D1C">
        <w:rPr>
          <w:i/>
          <w:iCs/>
          <w:color w:val="00B0F0"/>
        </w:rPr>
        <w:t>after</w:t>
      </w:r>
      <w:r w:rsidRPr="00756D1C">
        <w:rPr>
          <w:color w:val="00B0F0"/>
        </w:rPr>
        <w:t xml:space="preserve"> </w:t>
      </w:r>
      <w:r>
        <w:t>Availability.</w:t>
      </w:r>
    </w:p>
    <w:p w14:paraId="61B9039A" w14:textId="77777777" w:rsidR="000C4444" w:rsidRDefault="000C4444" w:rsidP="000C4444">
      <w:pPr>
        <w:pStyle w:val="BeforeTable"/>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2263"/>
        <w:gridCol w:w="8193"/>
      </w:tblGrid>
      <w:tr w:rsidR="006A0CD2" w14:paraId="58B5A702" w14:textId="77777777" w:rsidTr="00477EA5">
        <w:tc>
          <w:tcPr>
            <w:tcW w:w="2263" w:type="dxa"/>
            <w:shd w:val="clear" w:color="auto" w:fill="F2F2F2" w:themeFill="background1" w:themeFillShade="F2"/>
          </w:tcPr>
          <w:p w14:paraId="5F8C64FF" w14:textId="77777777" w:rsidR="006A0CD2" w:rsidRPr="000C4444" w:rsidRDefault="006A0CD2" w:rsidP="00147350">
            <w:pPr>
              <w:pStyle w:val="Tablecontent"/>
              <w:rPr>
                <w:b/>
                <w:bCs/>
              </w:rPr>
            </w:pPr>
            <w:r>
              <w:rPr>
                <w:b/>
                <w:bCs/>
              </w:rPr>
              <w:t>Sudden</w:t>
            </w:r>
            <w:r w:rsidRPr="000C4444">
              <w:rPr>
                <w:b/>
                <w:bCs/>
              </w:rPr>
              <w:t xml:space="preserve"> </w:t>
            </w:r>
            <w:r>
              <w:rPr>
                <w:b/>
                <w:bCs/>
              </w:rPr>
              <w:t>D</w:t>
            </w:r>
            <w:r w:rsidRPr="000C4444">
              <w:rPr>
                <w:b/>
                <w:bCs/>
              </w:rPr>
              <w:t>emand</w:t>
            </w:r>
          </w:p>
        </w:tc>
        <w:tc>
          <w:tcPr>
            <w:tcW w:w="8193" w:type="dxa"/>
          </w:tcPr>
          <w:p w14:paraId="52B6BBEB" w14:textId="77777777" w:rsidR="006A0CD2" w:rsidRDefault="006A0CD2" w:rsidP="00147350">
            <w:pPr>
              <w:pStyle w:val="Tablecontent"/>
            </w:pPr>
            <w:r>
              <w:t xml:space="preserve">This can wreak havoc in a shared environment. A group of highly demanding VMs can collectively impact overall performance of the cluster or datastore. An example of this is annual sales. In this case, the capacity team </w:t>
            </w:r>
            <w:r w:rsidR="00510122">
              <w:t xml:space="preserve">should </w:t>
            </w:r>
            <w:r>
              <w:t>set a</w:t>
            </w:r>
            <w:r w:rsidR="00510122">
              <w:t xml:space="preserve">n appropriate overcommit ratio </w:t>
            </w:r>
            <w:r>
              <w:t>and drive by allocation as the demand is low most of the time.</w:t>
            </w:r>
          </w:p>
          <w:p w14:paraId="280B6886" w14:textId="5B027BE5" w:rsidR="00D514E8" w:rsidRDefault="00D514E8" w:rsidP="00147350">
            <w:pPr>
              <w:pStyle w:val="Tablecontent"/>
            </w:pPr>
            <w:r>
              <w:t>A rare part of sudden demand i</w:t>
            </w:r>
            <w:r w:rsidR="00762FD7">
              <w:t>s disaster, like stock market crash. It can’t be predicted.</w:t>
            </w:r>
            <w:r w:rsidR="00605165">
              <w:t xml:space="preserve"> Whether your CIO wants to pay in advance for such rare thing is a business decision, not within the call of Capacity Planner.</w:t>
            </w:r>
          </w:p>
        </w:tc>
      </w:tr>
      <w:tr w:rsidR="000C4444" w14:paraId="69037116" w14:textId="77777777" w:rsidTr="00477EA5">
        <w:tc>
          <w:tcPr>
            <w:tcW w:w="2263" w:type="dxa"/>
            <w:shd w:val="clear" w:color="auto" w:fill="F2F2F2" w:themeFill="background1" w:themeFillShade="F2"/>
          </w:tcPr>
          <w:p w14:paraId="2DB0E338" w14:textId="6BCB1B55" w:rsidR="000C4444" w:rsidRPr="000C4444" w:rsidRDefault="000C4444" w:rsidP="000C4444">
            <w:pPr>
              <w:pStyle w:val="Tablecontent"/>
              <w:rPr>
                <w:b/>
                <w:bCs/>
              </w:rPr>
            </w:pPr>
            <w:r w:rsidRPr="000C4444">
              <w:rPr>
                <w:b/>
                <w:bCs/>
              </w:rPr>
              <w:t xml:space="preserve">Latent </w:t>
            </w:r>
            <w:r w:rsidR="00AD5D69">
              <w:rPr>
                <w:b/>
                <w:bCs/>
              </w:rPr>
              <w:t>D</w:t>
            </w:r>
            <w:r w:rsidRPr="000C4444">
              <w:rPr>
                <w:b/>
                <w:bCs/>
              </w:rPr>
              <w:t>emand</w:t>
            </w:r>
          </w:p>
        </w:tc>
        <w:tc>
          <w:tcPr>
            <w:tcW w:w="8193" w:type="dxa"/>
          </w:tcPr>
          <w:p w14:paraId="4E3ED92F" w14:textId="77777777" w:rsidR="00771C95" w:rsidRDefault="000C4444" w:rsidP="000C4444">
            <w:pPr>
              <w:pStyle w:val="Tablecontent"/>
            </w:pPr>
            <w:r>
              <w:t>Many critical VMs are protected with Disaster Recovery. During a DR drill or actual disaster, this load will ‘wake up’ and consume.</w:t>
            </w:r>
            <w:r w:rsidR="00DB34CE">
              <w:t xml:space="preserve"> You should consider the Site Recovery Manager </w:t>
            </w:r>
            <w:hyperlink r:id="rId152" w:history="1">
              <w:r w:rsidR="009A6CE6" w:rsidRPr="00340E12">
                <w:rPr>
                  <w:rStyle w:val="Hyperlink"/>
                </w:rPr>
                <w:t>Recovery P</w:t>
              </w:r>
              <w:r w:rsidR="00DB34CE" w:rsidRPr="00340E12">
                <w:rPr>
                  <w:rStyle w:val="Hyperlink"/>
                </w:rPr>
                <w:t>lans</w:t>
              </w:r>
            </w:hyperlink>
            <w:r w:rsidR="00DB34CE">
              <w:t xml:space="preserve"> into your capacity.</w:t>
            </w:r>
            <w:r w:rsidR="00073C30">
              <w:t xml:space="preserve"> </w:t>
            </w:r>
          </w:p>
          <w:p w14:paraId="7609976F" w14:textId="35EFDEB0" w:rsidR="000C4444" w:rsidRDefault="00073C30" w:rsidP="000C4444">
            <w:pPr>
              <w:pStyle w:val="Tablecontent"/>
            </w:pPr>
            <w:r>
              <w:t xml:space="preserve">Be careful with the complexity as 1 Recovery Plan can have </w:t>
            </w:r>
            <w:r w:rsidR="00A9582F">
              <w:t>many Protection Group</w:t>
            </w:r>
            <w:r w:rsidR="00771C95">
              <w:t>s</w:t>
            </w:r>
            <w:r w:rsidR="00A9582F">
              <w:t xml:space="preserve">, yet 1 Protection Group can be included in many Recovery Plan. </w:t>
            </w:r>
          </w:p>
        </w:tc>
      </w:tr>
      <w:tr w:rsidR="000C4444" w14:paraId="325F8F78" w14:textId="77777777" w:rsidTr="00477EA5">
        <w:tc>
          <w:tcPr>
            <w:tcW w:w="2263" w:type="dxa"/>
            <w:shd w:val="clear" w:color="auto" w:fill="F2F2F2" w:themeFill="background1" w:themeFillShade="F2"/>
          </w:tcPr>
          <w:p w14:paraId="44164B42" w14:textId="07F31D1F" w:rsidR="000C4444" w:rsidRPr="000C4444" w:rsidRDefault="000C4444" w:rsidP="000C4444">
            <w:pPr>
              <w:pStyle w:val="Tablecontent"/>
              <w:rPr>
                <w:b/>
                <w:bCs/>
              </w:rPr>
            </w:pPr>
            <w:r w:rsidRPr="000C4444">
              <w:rPr>
                <w:b/>
                <w:bCs/>
              </w:rPr>
              <w:t xml:space="preserve">Potential </w:t>
            </w:r>
            <w:r w:rsidR="00AD5D69">
              <w:rPr>
                <w:b/>
                <w:bCs/>
              </w:rPr>
              <w:t>D</w:t>
            </w:r>
            <w:r w:rsidRPr="000C4444">
              <w:rPr>
                <w:b/>
                <w:bCs/>
              </w:rPr>
              <w:t>emand</w:t>
            </w:r>
          </w:p>
        </w:tc>
        <w:tc>
          <w:tcPr>
            <w:tcW w:w="8193" w:type="dxa"/>
          </w:tcPr>
          <w:p w14:paraId="2651FCE4" w14:textId="0A568DD3" w:rsidR="000C4444" w:rsidRDefault="000C4444" w:rsidP="000C4444">
            <w:pPr>
              <w:pStyle w:val="Tablecontent"/>
            </w:pPr>
            <w:r>
              <w:t xml:space="preserve">Many newly provisioned VMs take time to reach their full expected demand. It takes time for the database to reach the full size, the user base to reach the target, and the functionalities to be complete. </w:t>
            </w:r>
            <w:r w:rsidRPr="70F05EAA">
              <w:t xml:space="preserve">Newly provisioned VM tend to be idle (which can be months) and may suddenly grow. </w:t>
            </w:r>
            <w:r>
              <w:t>When this happens, it will result in an increase in demand.</w:t>
            </w:r>
          </w:p>
        </w:tc>
      </w:tr>
      <w:tr w:rsidR="000C4444" w14:paraId="073CA3B3" w14:textId="77777777" w:rsidTr="00477EA5">
        <w:tc>
          <w:tcPr>
            <w:tcW w:w="2263" w:type="dxa"/>
            <w:shd w:val="clear" w:color="auto" w:fill="F2F2F2" w:themeFill="background1" w:themeFillShade="F2"/>
          </w:tcPr>
          <w:p w14:paraId="170FC3DD" w14:textId="6E889B69" w:rsidR="000C4444" w:rsidRPr="000C4444" w:rsidRDefault="000C4444" w:rsidP="000C4444">
            <w:pPr>
              <w:pStyle w:val="Tablecontent"/>
              <w:rPr>
                <w:b/>
                <w:bCs/>
              </w:rPr>
            </w:pPr>
            <w:r w:rsidRPr="000C4444">
              <w:rPr>
                <w:b/>
                <w:bCs/>
              </w:rPr>
              <w:t xml:space="preserve">Unmet </w:t>
            </w:r>
            <w:r w:rsidR="00AD5D69">
              <w:rPr>
                <w:b/>
                <w:bCs/>
              </w:rPr>
              <w:t>D</w:t>
            </w:r>
            <w:r w:rsidRPr="000C4444">
              <w:rPr>
                <w:b/>
                <w:bCs/>
              </w:rPr>
              <w:t>emand</w:t>
            </w:r>
          </w:p>
        </w:tc>
        <w:tc>
          <w:tcPr>
            <w:tcW w:w="8193" w:type="dxa"/>
          </w:tcPr>
          <w:p w14:paraId="5500AFD4" w14:textId="0EA1ED06" w:rsidR="00510122" w:rsidRDefault="00510122" w:rsidP="000C4444">
            <w:pPr>
              <w:pStyle w:val="Tablecontent"/>
            </w:pPr>
            <w:r>
              <w:t xml:space="preserve">There are 2 parts to it: inside the VM and outside the VM. </w:t>
            </w:r>
          </w:p>
          <w:p w14:paraId="1D0F7C4E" w14:textId="77777777" w:rsidR="000C4444" w:rsidRDefault="00510122" w:rsidP="000C4444">
            <w:pPr>
              <w:pStyle w:val="Tablecontent"/>
            </w:pPr>
            <w:r>
              <w:lastRenderedPageBreak/>
              <w:t xml:space="preserve">If the VM is undersized, the unmet demand will </w:t>
            </w:r>
            <w:r w:rsidRPr="004B465F">
              <w:rPr>
                <w:i/>
                <w:iCs/>
                <w:color w:val="FF0000"/>
              </w:rPr>
              <w:t>not</w:t>
            </w:r>
            <w:r w:rsidRPr="004B465F">
              <w:rPr>
                <w:color w:val="FF0000"/>
              </w:rPr>
              <w:t xml:space="preserve"> </w:t>
            </w:r>
            <w:r>
              <w:t>be visible to the underlying infrastructure. Unless that is intentional, it is wise to include undersized VM in the cluster capacity monitoring.</w:t>
            </w:r>
          </w:p>
          <w:p w14:paraId="52D9C3E2" w14:textId="2AD4C1B6" w:rsidR="000C4444" w:rsidRDefault="007740F8" w:rsidP="000C4444">
            <w:pPr>
              <w:pStyle w:val="Tablecontent"/>
            </w:pPr>
            <w:r>
              <w:t>The visible part of unmet demand becomes part of IaaS KPI and SLA, covered in Performance Management chapter.</w:t>
            </w:r>
          </w:p>
        </w:tc>
      </w:tr>
    </w:tbl>
    <w:p w14:paraId="02318062" w14:textId="35465FAE" w:rsidR="0047764D" w:rsidRDefault="0047764D" w:rsidP="0047764D">
      <w:r>
        <w:lastRenderedPageBreak/>
        <w:t xml:space="preserve">The next use case for allocation is showback and reporting. There are typically restrictions such as contractual obligations or SLAs that mandate capacity </w:t>
      </w:r>
      <w:r w:rsidR="00A54651">
        <w:t xml:space="preserve">shall not </w:t>
      </w:r>
      <w:r>
        <w:t>be overcommitted beyond an agreed upon ratio. Note these restrictions are usually non-technical.</w:t>
      </w:r>
    </w:p>
    <w:p w14:paraId="67D1634F" w14:textId="49043DD5" w:rsidR="00A54651" w:rsidRDefault="00A54651" w:rsidP="0047764D">
      <w:r>
        <w:t xml:space="preserve">Buffer does not </w:t>
      </w:r>
      <w:r w:rsidR="00CA6307">
        <w:t>mathematically</w:t>
      </w:r>
      <w:r>
        <w:t xml:space="preserve"> apply to allocation. The reason is you can simply use a lower allocation. For example, if you do 10 : 1 ratio and set 10% buffer, that’s basically 9 : 1 ratio with 0% buffer. The buffer is provided for the very reason, give you a buffer, secretly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9"/>
          </mc:Choice>
          <mc:Fallback>
            <w:t>😉</w:t>
          </mc:Fallback>
        </mc:AlternateContent>
      </w:r>
      <w:r>
        <w:t xml:space="preserve"> </w:t>
      </w:r>
    </w:p>
    <w:p w14:paraId="48D6A97E" w14:textId="2D27887D" w:rsidR="00A54651" w:rsidRDefault="00A54651" w:rsidP="00A54651">
      <w:pPr>
        <w:pStyle w:val="Heading5"/>
      </w:pPr>
      <w:r>
        <w:t>Limitation</w:t>
      </w:r>
    </w:p>
    <w:p w14:paraId="26E49F35" w14:textId="73CAF348" w:rsidR="00510122" w:rsidRDefault="00510122" w:rsidP="0047764D">
      <w:r>
        <w:t xml:space="preserve">The allocation model has </w:t>
      </w:r>
      <w:r w:rsidR="000C78F5">
        <w:t xml:space="preserve">the following </w:t>
      </w:r>
      <w:r>
        <w:t>limitations</w:t>
      </w:r>
      <w:r w:rsidR="007740F8">
        <w:t>:</w:t>
      </w:r>
    </w:p>
    <w:p w14:paraId="2A8CD170" w14:textId="77777777" w:rsidR="00510122" w:rsidRDefault="00510122" w:rsidP="00510122">
      <w:pPr>
        <w:pStyle w:val="BeforeTable"/>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2263"/>
        <w:gridCol w:w="8193"/>
      </w:tblGrid>
      <w:tr w:rsidR="00510122" w14:paraId="3FF488F2" w14:textId="77777777" w:rsidTr="00477EA5">
        <w:tc>
          <w:tcPr>
            <w:tcW w:w="2263" w:type="dxa"/>
            <w:shd w:val="clear" w:color="auto" w:fill="F2F2F2" w:themeFill="background1" w:themeFillShade="F2"/>
          </w:tcPr>
          <w:p w14:paraId="187D8045" w14:textId="2A475B64" w:rsidR="00510122" w:rsidRDefault="00510122" w:rsidP="00147350">
            <w:pPr>
              <w:pStyle w:val="Tablecontent"/>
              <w:rPr>
                <w:b/>
                <w:bCs/>
              </w:rPr>
            </w:pPr>
            <w:r>
              <w:rPr>
                <w:b/>
                <w:bCs/>
              </w:rPr>
              <w:t>VM Size</w:t>
            </w:r>
          </w:p>
        </w:tc>
        <w:tc>
          <w:tcPr>
            <w:tcW w:w="8193" w:type="dxa"/>
          </w:tcPr>
          <w:p w14:paraId="559932AC" w14:textId="77777777" w:rsidR="00510122" w:rsidRDefault="00510122" w:rsidP="0031756B">
            <w:pPr>
              <w:pStyle w:val="Tablecontent"/>
            </w:pPr>
            <w:r>
              <w:t xml:space="preserve">VM size is not considered in the overcommit ratio. It assumes that scheduling two monster VMs is as easy as scheduling many small VMs. The ESXi scheduler can juggle </w:t>
            </w:r>
            <w:r w:rsidR="004B0D1A">
              <w:t xml:space="preserve">higher number of </w:t>
            </w:r>
            <w:r>
              <w:t>small VMs than a few large ones, especially if they peak at different times.</w:t>
            </w:r>
          </w:p>
          <w:p w14:paraId="21AE8A18" w14:textId="7828274A" w:rsidR="009A5177" w:rsidRDefault="009A5177" w:rsidP="0031756B">
            <w:pPr>
              <w:pStyle w:val="Tablecontent"/>
            </w:pPr>
            <w:r>
              <w:t>Utilization is completely ignored. The consumer part is simply based on the configured amount. In cases where there is additional workload, the allocation model can report lower capacity consumed than actual.</w:t>
            </w:r>
          </w:p>
        </w:tc>
      </w:tr>
      <w:tr w:rsidR="000C78F5" w14:paraId="39F69897" w14:textId="77777777" w:rsidTr="00477EA5">
        <w:tc>
          <w:tcPr>
            <w:tcW w:w="2263" w:type="dxa"/>
            <w:shd w:val="clear" w:color="auto" w:fill="F2F2F2" w:themeFill="background1" w:themeFillShade="F2"/>
          </w:tcPr>
          <w:p w14:paraId="157A81EE" w14:textId="311A8288" w:rsidR="000C78F5" w:rsidRDefault="000C78F5" w:rsidP="00147350">
            <w:pPr>
              <w:pStyle w:val="Tablecontent"/>
              <w:rPr>
                <w:b/>
                <w:bCs/>
              </w:rPr>
            </w:pPr>
            <w:r>
              <w:rPr>
                <w:b/>
                <w:bCs/>
              </w:rPr>
              <w:t>Overhead</w:t>
            </w:r>
          </w:p>
        </w:tc>
        <w:tc>
          <w:tcPr>
            <w:tcW w:w="8193" w:type="dxa"/>
          </w:tcPr>
          <w:p w14:paraId="17D74ECC" w14:textId="4F960EE8" w:rsidR="000C78F5" w:rsidRDefault="000C78F5" w:rsidP="0031756B">
            <w:pPr>
              <w:pStyle w:val="Tablecontent"/>
            </w:pPr>
            <w:r>
              <w:t>Any form of utilization is not considered, including consumption because of virtualization. For example, software-defined storage such as vSAN actually puts the availability protection data in the same datastore with the actual data. So you end up with double the consumption.</w:t>
            </w:r>
          </w:p>
        </w:tc>
      </w:tr>
      <w:tr w:rsidR="002244A5" w14:paraId="27BB6547" w14:textId="77777777" w:rsidTr="00477EA5">
        <w:tc>
          <w:tcPr>
            <w:tcW w:w="2263" w:type="dxa"/>
            <w:shd w:val="clear" w:color="auto" w:fill="F2F2F2" w:themeFill="background1" w:themeFillShade="F2"/>
          </w:tcPr>
          <w:p w14:paraId="333CCDBD" w14:textId="5D67D233" w:rsidR="002244A5" w:rsidRDefault="002244A5" w:rsidP="00147350">
            <w:pPr>
              <w:pStyle w:val="Tablecontent"/>
              <w:rPr>
                <w:b/>
                <w:bCs/>
              </w:rPr>
            </w:pPr>
            <w:r>
              <w:rPr>
                <w:b/>
                <w:bCs/>
              </w:rPr>
              <w:t>IaaS Workload</w:t>
            </w:r>
          </w:p>
        </w:tc>
        <w:tc>
          <w:tcPr>
            <w:tcW w:w="8193" w:type="dxa"/>
          </w:tcPr>
          <w:p w14:paraId="29B86CD3" w14:textId="10844724" w:rsidR="005D7D81" w:rsidRDefault="002244A5" w:rsidP="0031756B">
            <w:pPr>
              <w:pStyle w:val="Tablecontent"/>
            </w:pPr>
            <w:r w:rsidRPr="00C17739">
              <w:t xml:space="preserve">IaaS workload </w:t>
            </w:r>
            <w:r>
              <w:t>that do</w:t>
            </w:r>
            <w:r w:rsidR="004B0D1A">
              <w:t>es</w:t>
            </w:r>
            <w:r>
              <w:t xml:space="preserve"> not take the shape of VM </w:t>
            </w:r>
            <w:r w:rsidRPr="00C17739">
              <w:t xml:space="preserve">is not considered. </w:t>
            </w:r>
            <w:r w:rsidR="00FD5A65">
              <w:t>VMkernel</w:t>
            </w:r>
            <w:r w:rsidRPr="00C17739">
              <w:t xml:space="preserve">, vSAN, </w:t>
            </w:r>
            <w:r w:rsidR="00F01CD8">
              <w:t xml:space="preserve">vSAN HCI Mesh, </w:t>
            </w:r>
            <w:r w:rsidRPr="00C17739">
              <w:t xml:space="preserve">NSX, vSphere Replication, </w:t>
            </w:r>
            <w:r>
              <w:t xml:space="preserve">and vMotion </w:t>
            </w:r>
            <w:r w:rsidRPr="00C17739">
              <w:t xml:space="preserve">all need to be considered. </w:t>
            </w:r>
          </w:p>
          <w:p w14:paraId="3EADAC65" w14:textId="5781CD93" w:rsidR="002244A5" w:rsidRDefault="002244A5" w:rsidP="0031756B">
            <w:pPr>
              <w:pStyle w:val="Tablecontent"/>
            </w:pPr>
            <w:r>
              <w:t>On the other hand, Agent VM is included as it takes the shape of a VM, although it tends to use local datastore.</w:t>
            </w:r>
          </w:p>
        </w:tc>
      </w:tr>
    </w:tbl>
    <w:p w14:paraId="56FDBE9E" w14:textId="36EC9C48" w:rsidR="00756D1C" w:rsidRDefault="00756D1C" w:rsidP="00E7573A">
      <w:pPr>
        <w:pStyle w:val="Heading5"/>
      </w:pPr>
      <w:bookmarkStart w:id="32" w:name="_Allocation_Model"/>
      <w:bookmarkEnd w:id="32"/>
      <w:r>
        <w:t xml:space="preserve">Overcommit </w:t>
      </w:r>
    </w:p>
    <w:p w14:paraId="2E344A27" w14:textId="134FA806" w:rsidR="00756D1C" w:rsidRDefault="00756D1C" w:rsidP="00756D1C">
      <w:pPr>
        <w:rPr>
          <w:lang w:val="en-GB"/>
        </w:rPr>
      </w:pPr>
      <w:r>
        <w:rPr>
          <w:lang w:val="en-GB"/>
        </w:rPr>
        <w:t>Overcommit is the main technique to reduce cost of shared infrastructure or shared service. So long the contention or queue is acceptable, it reduces the cost to everyone. In daily life, queueing or waiting for service is common.</w:t>
      </w:r>
    </w:p>
    <w:p w14:paraId="71EDB549" w14:textId="5E9B1648" w:rsidR="00756D1C" w:rsidRPr="00756D1C" w:rsidRDefault="00756D1C" w:rsidP="00756D1C">
      <w:pPr>
        <w:rPr>
          <w:lang w:val="en-GB"/>
        </w:rPr>
      </w:pPr>
      <w:r>
        <w:rPr>
          <w:lang w:val="en-GB"/>
        </w:rPr>
        <w:t xml:space="preserve">If you do not overcommit, you may not be able to compete on cost. </w:t>
      </w:r>
    </w:p>
    <w:p w14:paraId="7AC560F9" w14:textId="77777777" w:rsidR="00756D1C" w:rsidRDefault="00756D1C" w:rsidP="00756D1C">
      <w:r>
        <w:t xml:space="preserve">The allocation model is </w:t>
      </w:r>
      <w:r w:rsidRPr="007740F8">
        <w:rPr>
          <w:i/>
          <w:color w:val="FF0000"/>
        </w:rPr>
        <w:t>not</w:t>
      </w:r>
      <w:r w:rsidRPr="007740F8">
        <w:rPr>
          <w:color w:val="FF0000"/>
        </w:rPr>
        <w:t xml:space="preserve"> </w:t>
      </w:r>
      <w:r>
        <w:t>enabled by default as the overcommit ratio varies among customers. You should configure it appropriately to account for all the types of demand that is relevant for that cluster. By using both, you can account for both inputs (real demand and unreal demand).</w:t>
      </w:r>
    </w:p>
    <w:p w14:paraId="16B4F4F4" w14:textId="0B422CAB" w:rsidR="00756D1C" w:rsidRDefault="00756D1C" w:rsidP="00756D1C">
      <w:r>
        <w:lastRenderedPageBreak/>
        <w:t>Some customers do procurement planning based on overcommit ratios. A comfortable overcommit ratio is determined, and that’s what is used to project utilization into the future. The overcommit ratio is intended to be a rough estimate of utilization, e.g. 5:1 CPU overcommit ratio means that on average each vCPU should only run 20% utilization else you will have contention.</w:t>
      </w:r>
    </w:p>
    <w:p w14:paraId="04B85C30" w14:textId="306F80F0" w:rsidR="00756D1C" w:rsidRDefault="00756D1C" w:rsidP="00756D1C">
      <w:pPr>
        <w:jc w:val="center"/>
      </w:pPr>
      <w:r w:rsidRPr="00756D1C">
        <w:rPr>
          <w:noProof/>
        </w:rPr>
        <w:drawing>
          <wp:inline distT="0" distB="0" distL="0" distR="0" wp14:anchorId="401983CF" wp14:editId="77D46BFA">
            <wp:extent cx="5173200" cy="2800800"/>
            <wp:effectExtent l="0" t="0" r="8890" b="0"/>
            <wp:docPr id="534447519" name="Picture 53444751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19" name="Picture 534447519" descr="Chart&#10;&#10;Description automatically generated"/>
                    <pic:cNvPicPr/>
                  </pic:nvPicPr>
                  <pic:blipFill>
                    <a:blip r:embed="rId153"/>
                    <a:stretch>
                      <a:fillRect/>
                    </a:stretch>
                  </pic:blipFill>
                  <pic:spPr>
                    <a:xfrm>
                      <a:off x="0" y="0"/>
                      <a:ext cx="5173200" cy="2800800"/>
                    </a:xfrm>
                    <a:prstGeom prst="rect">
                      <a:avLst/>
                    </a:prstGeom>
                  </pic:spPr>
                </pic:pic>
              </a:graphicData>
            </a:graphic>
          </wp:inline>
        </w:drawing>
      </w:r>
    </w:p>
    <w:p w14:paraId="40B23800" w14:textId="22EB57C0" w:rsidR="004743C7" w:rsidRDefault="004743C7" w:rsidP="004743C7">
      <w:pPr>
        <w:pStyle w:val="Heading6"/>
      </w:pPr>
      <w:r>
        <w:t>Overcommit Ratio</w:t>
      </w:r>
    </w:p>
    <w:p w14:paraId="56676987" w14:textId="7F85362F" w:rsidR="00596E65" w:rsidRDefault="004743C7" w:rsidP="004743C7">
      <w:r>
        <w:t>Overcommit ratio looks simple on the surface. As we dive deeper, it’s not as straight forward. For example</w:t>
      </w:r>
      <w:r w:rsidR="00596E65">
        <w:t>s:</w:t>
      </w:r>
    </w:p>
    <w:p w14:paraId="5C130CB9" w14:textId="77777777" w:rsidR="00596E65" w:rsidRDefault="004743C7" w:rsidP="00596E65">
      <w:pPr>
        <w:pStyle w:val="Bullet"/>
      </w:pPr>
      <w:r>
        <w:t>CPU hyperthreading</w:t>
      </w:r>
      <w:r w:rsidR="00596E65">
        <w:t>.</w:t>
      </w:r>
      <w:r>
        <w:t xml:space="preserve"> </w:t>
      </w:r>
      <w:r w:rsidR="00596E65">
        <w:t xml:space="preserve">This can be turned on and off. Should the ratio change accordingly? </w:t>
      </w:r>
      <w:r>
        <w:t xml:space="preserve">Do we consider it since there are only 2 threads per core? What if future CPU has 4 threads? </w:t>
      </w:r>
    </w:p>
    <w:p w14:paraId="5691EB1F" w14:textId="3998D2C2" w:rsidR="004743C7" w:rsidRDefault="00596E65" w:rsidP="00596E65">
      <w:pPr>
        <w:pStyle w:val="Bullet"/>
      </w:pPr>
      <w:r>
        <w:t>D</w:t>
      </w:r>
      <w:r w:rsidR="004743C7">
        <w:t>atastore</w:t>
      </w:r>
      <w:r>
        <w:t>.</w:t>
      </w:r>
      <w:r w:rsidR="004743C7">
        <w:t xml:space="preserve"> </w:t>
      </w:r>
      <w:r>
        <w:t>D</w:t>
      </w:r>
      <w:r w:rsidR="004743C7">
        <w:t xml:space="preserve">o you consider the snapshot space? How about the </w:t>
      </w:r>
      <w:r>
        <w:t xml:space="preserve">availability </w:t>
      </w:r>
      <w:r w:rsidR="004743C7">
        <w:t>protection created by vSAN?</w:t>
      </w:r>
    </w:p>
    <w:p w14:paraId="343E2DDA" w14:textId="37B4ACBA" w:rsidR="00057FF0" w:rsidRDefault="00057FF0" w:rsidP="004743C7">
      <w:r>
        <w:t>To answer the question, I think it’s best to remember that allocation model does not consider utilization. Since allocation is about allocating to consumer, the provider part should be excluded too.</w:t>
      </w:r>
    </w:p>
    <w:p w14:paraId="6CBC1BFC" w14:textId="77777777" w:rsidR="00057FF0" w:rsidRDefault="00057FF0" w:rsidP="00057FF0">
      <w:pPr>
        <w:pStyle w:val="BeforeTable"/>
      </w:pPr>
    </w:p>
    <w:tbl>
      <w:tblPr>
        <w:tblStyle w:val="TableGrid"/>
        <w:tblW w:w="0" w:type="auto"/>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none" w:sz="0" w:space="0" w:color="auto"/>
        </w:tblBorders>
        <w:tblLook w:val="04A0" w:firstRow="1" w:lastRow="0" w:firstColumn="1" w:lastColumn="0" w:noHBand="0" w:noVBand="1"/>
      </w:tblPr>
      <w:tblGrid>
        <w:gridCol w:w="2547"/>
        <w:gridCol w:w="7909"/>
      </w:tblGrid>
      <w:tr w:rsidR="00057FF0" w14:paraId="3F592241" w14:textId="77777777" w:rsidTr="00E440AB">
        <w:tc>
          <w:tcPr>
            <w:tcW w:w="2547" w:type="dxa"/>
            <w:shd w:val="clear" w:color="auto" w:fill="F2F2F2" w:themeFill="background1" w:themeFillShade="F2"/>
          </w:tcPr>
          <w:p w14:paraId="078A9021" w14:textId="0395C148" w:rsidR="00057FF0" w:rsidRPr="00346D82" w:rsidRDefault="00057FF0" w:rsidP="00E440AB">
            <w:pPr>
              <w:pStyle w:val="Tablecontent"/>
              <w:rPr>
                <w:b/>
                <w:bCs/>
              </w:rPr>
            </w:pPr>
            <w:r>
              <w:rPr>
                <w:b/>
                <w:bCs/>
              </w:rPr>
              <w:t>CPU</w:t>
            </w:r>
          </w:p>
        </w:tc>
        <w:tc>
          <w:tcPr>
            <w:tcW w:w="7909" w:type="dxa"/>
          </w:tcPr>
          <w:p w14:paraId="51774912" w14:textId="77777777" w:rsidR="00057FF0" w:rsidRDefault="00681F15" w:rsidP="00E440AB">
            <w:pPr>
              <w:pStyle w:val="Tablecontent"/>
            </w:pPr>
            <w:r>
              <w:t xml:space="preserve">Exclude hyperthreading. That means you only count the physical core. I see this as better approach than including the thread, as threads do share the core, which means overcommit. I am aware that </w:t>
            </w:r>
            <w:r w:rsidR="00AE02D9">
              <w:t>AWS includes the threads and then implies there is no overcommit. Accounting wise this is true.</w:t>
            </w:r>
          </w:p>
          <w:p w14:paraId="39990B74" w14:textId="1F903C72" w:rsidR="00AE02D9" w:rsidRDefault="00AE02D9" w:rsidP="00E440AB">
            <w:pPr>
              <w:pStyle w:val="Tablecontent"/>
            </w:pPr>
            <w:r>
              <w:t xml:space="preserve">Exclude the VMkernel overhead. Kernel modules do get reservation, and if you have many software-defined infrastructure such as vSAN and NSX, they do consume resources. The reason I exclude them is ease of comparison, such as migration use case. Also, utilization is already included in utilization model, which is always enabled. </w:t>
            </w:r>
          </w:p>
        </w:tc>
      </w:tr>
      <w:tr w:rsidR="00057FF0" w14:paraId="22D2247F" w14:textId="77777777" w:rsidTr="00E440AB">
        <w:tc>
          <w:tcPr>
            <w:tcW w:w="2547" w:type="dxa"/>
            <w:shd w:val="clear" w:color="auto" w:fill="F2F2F2" w:themeFill="background1" w:themeFillShade="F2"/>
          </w:tcPr>
          <w:p w14:paraId="1190AB33" w14:textId="65B5045D" w:rsidR="00057FF0" w:rsidRDefault="00057FF0" w:rsidP="00E440AB">
            <w:pPr>
              <w:pStyle w:val="Tablecontent"/>
              <w:rPr>
                <w:b/>
                <w:bCs/>
              </w:rPr>
            </w:pPr>
            <w:r>
              <w:rPr>
                <w:b/>
                <w:bCs/>
              </w:rPr>
              <w:t>Memory</w:t>
            </w:r>
          </w:p>
        </w:tc>
        <w:tc>
          <w:tcPr>
            <w:tcW w:w="7909" w:type="dxa"/>
          </w:tcPr>
          <w:p w14:paraId="76046CE3" w14:textId="0B3DE9EE" w:rsidR="00057FF0" w:rsidRDefault="00AE02D9" w:rsidP="00E440AB">
            <w:pPr>
              <w:pStyle w:val="Tablecontent"/>
            </w:pPr>
            <w:r>
              <w:t xml:space="preserve">Exclude the VMkernel overhead. </w:t>
            </w:r>
          </w:p>
        </w:tc>
      </w:tr>
      <w:tr w:rsidR="00057FF0" w14:paraId="1796D34A" w14:textId="77777777" w:rsidTr="00E440AB">
        <w:tc>
          <w:tcPr>
            <w:tcW w:w="2547" w:type="dxa"/>
            <w:shd w:val="clear" w:color="auto" w:fill="F2F2F2" w:themeFill="background1" w:themeFillShade="F2"/>
          </w:tcPr>
          <w:p w14:paraId="699E1008" w14:textId="2F27F3DA" w:rsidR="00057FF0" w:rsidRDefault="00057FF0" w:rsidP="00E440AB">
            <w:pPr>
              <w:pStyle w:val="Tablecontent"/>
              <w:rPr>
                <w:b/>
                <w:bCs/>
              </w:rPr>
            </w:pPr>
            <w:r>
              <w:rPr>
                <w:b/>
                <w:bCs/>
              </w:rPr>
              <w:t>Disk</w:t>
            </w:r>
          </w:p>
        </w:tc>
        <w:tc>
          <w:tcPr>
            <w:tcW w:w="7909" w:type="dxa"/>
          </w:tcPr>
          <w:p w14:paraId="2F699229" w14:textId="3908759A" w:rsidR="00876DF0" w:rsidRDefault="00057FF0" w:rsidP="00E440AB">
            <w:pPr>
              <w:pStyle w:val="Tablecontent"/>
            </w:pPr>
            <w:r>
              <w:t xml:space="preserve">For datastore, only consider the VM virtual disks. Exclude other VM disk space such as snapshot and memory swap. </w:t>
            </w:r>
            <w:r w:rsidR="009A5177">
              <w:t>If you have a lot of snapshots and high memory overcommit, this can result in higher actual disk space consumption.</w:t>
            </w:r>
          </w:p>
          <w:p w14:paraId="6FD9F4F2" w14:textId="0B9333A4" w:rsidR="00057FF0" w:rsidRDefault="00057FF0" w:rsidP="00E440AB">
            <w:pPr>
              <w:pStyle w:val="Tablecontent"/>
            </w:pPr>
            <w:r>
              <w:t xml:space="preserve">If </w:t>
            </w:r>
            <w:r w:rsidR="00876DF0">
              <w:t xml:space="preserve">the datastore is vSAN, exclude the vSAN availability protection (Failure </w:t>
            </w:r>
            <w:r w:rsidR="00681F15">
              <w:t>T</w:t>
            </w:r>
            <w:r w:rsidR="00876DF0">
              <w:t xml:space="preserve">o Tolerate). The downside of this </w:t>
            </w:r>
            <w:r w:rsidR="00FF2761">
              <w:t>the overcommit ratio may fail to serve its purpose, which is to give early warning before actual utilization happens. So set a lower number</w:t>
            </w:r>
            <w:r w:rsidR="00681F15">
              <w:t xml:space="preserve">, matching </w:t>
            </w:r>
            <w:r w:rsidR="00681F15">
              <w:lastRenderedPageBreak/>
              <w:t>to the FTT setting. For example, if your FTT doubles the disk space consumption, then your overcommit ratio has to be halved.</w:t>
            </w:r>
          </w:p>
        </w:tc>
      </w:tr>
      <w:tr w:rsidR="00057FF0" w14:paraId="767ADF5E" w14:textId="77777777" w:rsidTr="00E440AB">
        <w:tc>
          <w:tcPr>
            <w:tcW w:w="2547" w:type="dxa"/>
            <w:shd w:val="clear" w:color="auto" w:fill="F2F2F2" w:themeFill="background1" w:themeFillShade="F2"/>
          </w:tcPr>
          <w:p w14:paraId="3D9E77C7" w14:textId="64323A44" w:rsidR="00057FF0" w:rsidRDefault="00057FF0" w:rsidP="00E440AB">
            <w:pPr>
              <w:pStyle w:val="Tablecontent"/>
              <w:rPr>
                <w:b/>
                <w:bCs/>
              </w:rPr>
            </w:pPr>
            <w:r>
              <w:rPr>
                <w:b/>
                <w:bCs/>
              </w:rPr>
              <w:lastRenderedPageBreak/>
              <w:t>Network</w:t>
            </w:r>
          </w:p>
        </w:tc>
        <w:tc>
          <w:tcPr>
            <w:tcW w:w="7909" w:type="dxa"/>
          </w:tcPr>
          <w:p w14:paraId="5A30D95B" w14:textId="77777777" w:rsidR="00057FF0" w:rsidRDefault="00AE02D9" w:rsidP="00E440AB">
            <w:pPr>
              <w:pStyle w:val="Tablecontent"/>
            </w:pPr>
            <w:r>
              <w:t xml:space="preserve">For physical switch, exclude the inter-switch link. </w:t>
            </w:r>
          </w:p>
          <w:p w14:paraId="0365E124" w14:textId="6FFE0C62" w:rsidR="00AE02D9" w:rsidRDefault="00AE02D9" w:rsidP="00E440AB">
            <w:pPr>
              <w:pStyle w:val="Tablecontent"/>
            </w:pPr>
            <w:r>
              <w:t xml:space="preserve">For </w:t>
            </w:r>
            <w:r w:rsidR="004E35B6">
              <w:t>ESXi, only include the physical ports used by the VM.</w:t>
            </w:r>
          </w:p>
        </w:tc>
      </w:tr>
    </w:tbl>
    <w:p w14:paraId="10CCDB2E" w14:textId="77777777" w:rsidR="005D7823" w:rsidRDefault="005D7823" w:rsidP="005D7823">
      <w:pPr>
        <w:pStyle w:val="Heading4"/>
      </w:pPr>
      <w:r>
        <w:t>Total Capacity</w:t>
      </w:r>
    </w:p>
    <w:p w14:paraId="1E012D68" w14:textId="77777777" w:rsidR="005D7823" w:rsidRDefault="005D7823" w:rsidP="005D7823">
      <w:pPr>
        <w:rPr>
          <w:lang w:val="en-GB"/>
        </w:rPr>
      </w:pPr>
      <w:r>
        <w:rPr>
          <w:lang w:val="en-GB"/>
        </w:rPr>
        <w:t xml:space="preserve">To define total capacity, first determine whether its value is fixed or not. If it’s not fixed, the next question is whether the change is Scale Up or Scale Out. </w:t>
      </w:r>
    </w:p>
    <w:p w14:paraId="2E37C360" w14:textId="77777777" w:rsidR="005D7823" w:rsidRDefault="005D7823" w:rsidP="005D7823">
      <w:pPr>
        <w:pStyle w:val="Bullet"/>
        <w:rPr>
          <w:lang w:val="en-GB"/>
        </w:rPr>
      </w:pPr>
      <w:r>
        <w:rPr>
          <w:lang w:val="en-GB"/>
        </w:rPr>
        <w:t xml:space="preserve">Scale Up happens on a single object. Example is the just in time capacity such as storage LUN, where the size can be increased on the fly or upon request. </w:t>
      </w:r>
    </w:p>
    <w:p w14:paraId="2C4F167D" w14:textId="77777777" w:rsidR="005D7823" w:rsidRPr="001507D1" w:rsidRDefault="005D7823" w:rsidP="005D7823">
      <w:pPr>
        <w:pStyle w:val="Bullet"/>
        <w:rPr>
          <w:lang w:val="en-GB"/>
        </w:rPr>
      </w:pPr>
      <w:r>
        <w:rPr>
          <w:lang w:val="en-GB"/>
        </w:rPr>
        <w:t xml:space="preserve">Scale Out happens on a cluster of objects. The cluster members or nodes are typically identical in size. Examples are K8 cluster, K8 Workload, Horizon VDI Pool, and VMC vSphere Cluster. Scale Out is more popular than scale out as it’s cheaper. It does not work when the data can’t be partitioned. </w:t>
      </w:r>
    </w:p>
    <w:p w14:paraId="711E805D" w14:textId="77777777" w:rsidR="005D7823" w:rsidRDefault="005D7823" w:rsidP="005D7823">
      <w:r>
        <w:t xml:space="preserve">Total capacity becomes dynamic only if you </w:t>
      </w:r>
      <w:r w:rsidRPr="00577A42">
        <w:rPr>
          <w:i/>
          <w:iCs/>
          <w:color w:val="00B0F0"/>
        </w:rPr>
        <w:t>intentionally</w:t>
      </w:r>
      <w:r w:rsidRPr="00577A42">
        <w:rPr>
          <w:color w:val="00B0F0"/>
        </w:rPr>
        <w:t xml:space="preserve"> </w:t>
      </w:r>
      <w:r>
        <w:t>change the numbers, as you still want your availability buffer. Some examples</w:t>
      </w:r>
    </w:p>
    <w:p w14:paraId="3A2F7083" w14:textId="77777777" w:rsidR="005D7823" w:rsidRDefault="005D7823" w:rsidP="005D7823">
      <w:pPr>
        <w:pStyle w:val="Bullet"/>
      </w:pPr>
      <w:r>
        <w:t>Horizontal auto-scaling solution such as VMware on AWS</w:t>
      </w:r>
    </w:p>
    <w:p w14:paraId="48FC2DD4" w14:textId="77777777" w:rsidR="005D7823" w:rsidRDefault="005D7823" w:rsidP="005D7823">
      <w:pPr>
        <w:pStyle w:val="Bullet"/>
      </w:pPr>
      <w:r>
        <w:t xml:space="preserve">vSphere Distributed Power Management. </w:t>
      </w:r>
    </w:p>
    <w:p w14:paraId="0D76E87F" w14:textId="77777777" w:rsidR="005D7823" w:rsidRDefault="005D7823" w:rsidP="005D7823">
      <w:pPr>
        <w:pStyle w:val="Heading5"/>
      </w:pPr>
      <w:r>
        <w:t>Usable Capacity</w:t>
      </w:r>
    </w:p>
    <w:p w14:paraId="25C218BF" w14:textId="77777777" w:rsidR="005D7823" w:rsidRDefault="005D7823" w:rsidP="005D7823">
      <w:r>
        <w:t>This is an imaginary number that you get after deducting total capacity with the portion that capacity team decide to exclude. The number is non-real as actual utilization can exceed it.</w:t>
      </w:r>
    </w:p>
    <w:p w14:paraId="223C0B3D" w14:textId="77777777" w:rsidR="005D7823" w:rsidRDefault="005D7823" w:rsidP="005D7823">
      <w:r>
        <w:t xml:space="preserve">This portion typically accounts for availability. In addition, you may need to add buffer. </w:t>
      </w:r>
    </w:p>
    <w:p w14:paraId="7487F14F" w14:textId="6357C9F8" w:rsidR="005D7823" w:rsidRDefault="005D7823" w:rsidP="005D7823">
      <w:pPr>
        <w:pStyle w:val="Code"/>
      </w:pPr>
      <w:r>
        <w:t>Usable Capacity = Total capacity – Availability</w:t>
      </w:r>
      <w:r w:rsidR="000075D2">
        <w:t xml:space="preserve"> protection - Overhead</w:t>
      </w:r>
      <w:r>
        <w:t xml:space="preserve"> - Buffer</w:t>
      </w:r>
    </w:p>
    <w:p w14:paraId="1E414ED9" w14:textId="77777777" w:rsidR="005D7823" w:rsidRDefault="005D7823" w:rsidP="005D7823">
      <w:pPr>
        <w:pStyle w:val="BeforeTable"/>
      </w:pPr>
    </w:p>
    <w:tbl>
      <w:tblPr>
        <w:tblStyle w:val="TableGrid"/>
        <w:tblW w:w="0" w:type="auto"/>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none" w:sz="0" w:space="0" w:color="auto"/>
        </w:tblBorders>
        <w:tblLook w:val="04A0" w:firstRow="1" w:lastRow="0" w:firstColumn="1" w:lastColumn="0" w:noHBand="0" w:noVBand="1"/>
      </w:tblPr>
      <w:tblGrid>
        <w:gridCol w:w="2547"/>
        <w:gridCol w:w="7909"/>
      </w:tblGrid>
      <w:tr w:rsidR="005D7823" w14:paraId="7B550901" w14:textId="77777777" w:rsidTr="00157DF0">
        <w:tc>
          <w:tcPr>
            <w:tcW w:w="2547" w:type="dxa"/>
            <w:shd w:val="clear" w:color="auto" w:fill="F2F2F2" w:themeFill="background1" w:themeFillShade="F2"/>
          </w:tcPr>
          <w:p w14:paraId="4A7AAB14" w14:textId="442890C1" w:rsidR="005D7823" w:rsidRPr="00346D82" w:rsidRDefault="005D7823" w:rsidP="00157DF0">
            <w:pPr>
              <w:pStyle w:val="Tablecontent"/>
              <w:rPr>
                <w:b/>
                <w:bCs/>
              </w:rPr>
            </w:pPr>
            <w:r w:rsidRPr="00346D82">
              <w:rPr>
                <w:b/>
                <w:bCs/>
              </w:rPr>
              <w:t>Availability</w:t>
            </w:r>
            <w:r w:rsidR="000075D2">
              <w:rPr>
                <w:b/>
                <w:bCs/>
              </w:rPr>
              <w:t xml:space="preserve"> protection</w:t>
            </w:r>
          </w:p>
        </w:tc>
        <w:tc>
          <w:tcPr>
            <w:tcW w:w="7909" w:type="dxa"/>
          </w:tcPr>
          <w:p w14:paraId="5F020CB5" w14:textId="77777777" w:rsidR="005D7823" w:rsidRDefault="005D7823" w:rsidP="00157DF0">
            <w:pPr>
              <w:pStyle w:val="Tablecontent"/>
            </w:pPr>
            <w:r>
              <w:t>For hardware, this means the part that is added to cater for unavailability period. Common examples are RAID in disk, hot spare in storage array, vSphere HA in vSphere Cluster. Many hardware deployments come in a pair (e.g. network switches) because one of the nodes is for availability, not capacity.</w:t>
            </w:r>
          </w:p>
          <w:p w14:paraId="236B48B3" w14:textId="77777777" w:rsidR="005D7823" w:rsidRDefault="005D7823" w:rsidP="00157DF0">
            <w:pPr>
              <w:pStyle w:val="Tablecontent"/>
            </w:pPr>
            <w:r>
              <w:t>In vSphere Cluster, you typically design with at least 1 host as spare, so you can perform maintenance, upgrade without service degradation. While this host is actively participating in reality, you exclude this in your usable capacity.</w:t>
            </w:r>
          </w:p>
          <w:p w14:paraId="6CAE71EA" w14:textId="4D375C77" w:rsidR="005C0FA9" w:rsidRDefault="005C0FA9" w:rsidP="00157DF0">
            <w:pPr>
              <w:pStyle w:val="Tablecontent"/>
            </w:pPr>
            <w:r>
              <w:t xml:space="preserve">In Kubernetes, there is no such thing as HA as the node itself is transient. </w:t>
            </w:r>
          </w:p>
        </w:tc>
      </w:tr>
      <w:tr w:rsidR="000075D2" w14:paraId="3AEF9DA7" w14:textId="77777777" w:rsidTr="00157DF0">
        <w:tc>
          <w:tcPr>
            <w:tcW w:w="2547" w:type="dxa"/>
            <w:shd w:val="clear" w:color="auto" w:fill="F2F2F2" w:themeFill="background1" w:themeFillShade="F2"/>
          </w:tcPr>
          <w:p w14:paraId="1B6A852D" w14:textId="21060952" w:rsidR="000075D2" w:rsidRPr="00346D82" w:rsidRDefault="000075D2" w:rsidP="00157DF0">
            <w:pPr>
              <w:pStyle w:val="Tablecontent"/>
              <w:rPr>
                <w:b/>
                <w:bCs/>
              </w:rPr>
            </w:pPr>
            <w:r>
              <w:rPr>
                <w:b/>
                <w:bCs/>
              </w:rPr>
              <w:t>Overhead</w:t>
            </w:r>
          </w:p>
        </w:tc>
        <w:tc>
          <w:tcPr>
            <w:tcW w:w="7909" w:type="dxa"/>
          </w:tcPr>
          <w:p w14:paraId="5E96AB14" w14:textId="77777777" w:rsidR="000075D2" w:rsidRDefault="00563D8B" w:rsidP="00157DF0">
            <w:pPr>
              <w:pStyle w:val="Tablecontent"/>
            </w:pPr>
            <w:r>
              <w:t xml:space="preserve">This </w:t>
            </w:r>
            <w:r w:rsidR="005C0FA9">
              <w:t>is the portion that is not available for “consumer” or business workload. Examples:</w:t>
            </w:r>
          </w:p>
          <w:p w14:paraId="389C51FE" w14:textId="77777777" w:rsidR="005C0FA9" w:rsidRDefault="005C0FA9" w:rsidP="005C0FA9">
            <w:pPr>
              <w:pStyle w:val="Bullet"/>
            </w:pPr>
            <w:r>
              <w:t>VMkernel in ESXi</w:t>
            </w:r>
          </w:p>
          <w:p w14:paraId="396BF912" w14:textId="77777777" w:rsidR="005C0FA9" w:rsidRDefault="005C0FA9" w:rsidP="005C0FA9">
            <w:pPr>
              <w:pStyle w:val="Bullet"/>
            </w:pPr>
            <w:r>
              <w:lastRenderedPageBreak/>
              <w:t>Kubernetes supervisor cluster.</w:t>
            </w:r>
          </w:p>
          <w:p w14:paraId="6083CA2A" w14:textId="07F52C7D" w:rsidR="008918AC" w:rsidRDefault="008918AC" w:rsidP="005C0FA9">
            <w:pPr>
              <w:pStyle w:val="Bullet"/>
            </w:pPr>
            <w:r>
              <w:t>Load of the OS in K8 Node.</w:t>
            </w:r>
          </w:p>
        </w:tc>
      </w:tr>
      <w:tr w:rsidR="005D7823" w14:paraId="1C320740" w14:textId="77777777" w:rsidTr="00157DF0">
        <w:tc>
          <w:tcPr>
            <w:tcW w:w="2547" w:type="dxa"/>
            <w:shd w:val="clear" w:color="auto" w:fill="F2F2F2" w:themeFill="background1" w:themeFillShade="F2"/>
          </w:tcPr>
          <w:p w14:paraId="084753E4" w14:textId="77777777" w:rsidR="005D7823" w:rsidRPr="00346D82" w:rsidRDefault="005D7823" w:rsidP="00157DF0">
            <w:pPr>
              <w:pStyle w:val="Tablecontent"/>
              <w:rPr>
                <w:b/>
                <w:bCs/>
              </w:rPr>
            </w:pPr>
            <w:r>
              <w:rPr>
                <w:b/>
                <w:bCs/>
              </w:rPr>
              <w:lastRenderedPageBreak/>
              <w:t>Buffer</w:t>
            </w:r>
          </w:p>
        </w:tc>
        <w:tc>
          <w:tcPr>
            <w:tcW w:w="7909" w:type="dxa"/>
          </w:tcPr>
          <w:p w14:paraId="336A144A" w14:textId="77777777" w:rsidR="005D7823" w:rsidRDefault="005D7823" w:rsidP="00157DF0">
            <w:pPr>
              <w:pStyle w:val="Tablecontent"/>
            </w:pPr>
            <w:r>
              <w:t xml:space="preserve">Buffer is required when you want to exclude certain portion from usable capacity. </w:t>
            </w:r>
          </w:p>
          <w:p w14:paraId="07993925" w14:textId="77777777" w:rsidR="005D7823" w:rsidRDefault="005D7823" w:rsidP="00157DF0">
            <w:pPr>
              <w:pStyle w:val="Tablecontent"/>
            </w:pPr>
            <w:r>
              <w:t xml:space="preserve">It’s </w:t>
            </w:r>
            <w:r w:rsidRPr="004A3FB3">
              <w:t xml:space="preserve">calculated based on capacity </w:t>
            </w:r>
            <w:r>
              <w:t>after HA, and not on the</w:t>
            </w:r>
            <w:r w:rsidRPr="004A3FB3">
              <w:t xml:space="preserve"> total capacity</w:t>
            </w:r>
            <w:r>
              <w:t>.</w:t>
            </w:r>
          </w:p>
        </w:tc>
      </w:tr>
    </w:tbl>
    <w:p w14:paraId="464CEEAD" w14:textId="77777777" w:rsidR="005D7823" w:rsidRDefault="005D7823" w:rsidP="005D7823">
      <w:pPr>
        <w:pStyle w:val="Heading5"/>
      </w:pPr>
      <w:r>
        <w:t>Buffer</w:t>
      </w:r>
    </w:p>
    <w:p w14:paraId="106D472E" w14:textId="77777777" w:rsidR="005D7823" w:rsidRDefault="005D7823" w:rsidP="005D7823">
      <w:r>
        <w:t xml:space="preserve">Peak is often used as the reason to have buffer. The actual reason behind is performance </w:t>
      </w:r>
      <w:r w:rsidRPr="00D21CDD">
        <w:rPr>
          <w:color w:val="00B0F0"/>
        </w:rPr>
        <w:t>avoidance</w:t>
      </w:r>
      <w:r>
        <w:t xml:space="preserve">. Since it’s about avoiding the contention from happening, the contention counters cannot be used. Take for example, a large cluster (could be vSphere, Kubernetes, or Horizon) where imbalance can happen among the cluster nodes. You have witnessed that it happens at say 95% utilization. In order to avoid that, you set buffer at 10%, effectively setting the usable capacity at 90%. This in theory gives you 5% buffer, as the last 5% can be measured using contention counter. </w:t>
      </w:r>
    </w:p>
    <w:p w14:paraId="4B506B81" w14:textId="77777777" w:rsidR="005D7823" w:rsidRDefault="005D7823" w:rsidP="005D7823">
      <w:r>
        <w:t>Overhead is another valid reason. In VMware SDDC, the “overhead” such as VMkernel, vSAN dedupe, and NSX kernel modules take up resource. In your planning stage, you need to reduce the usable capacity as they are already reserved.</w:t>
      </w:r>
    </w:p>
    <w:p w14:paraId="67390BC1" w14:textId="77777777" w:rsidR="005D7823" w:rsidRDefault="005D7823" w:rsidP="005D7823">
      <w:r>
        <w:t>Disaster Recovery is a valid use case for buffer. Some examples are:</w:t>
      </w:r>
    </w:p>
    <w:p w14:paraId="1284C76E" w14:textId="77777777" w:rsidR="005D7823" w:rsidRDefault="005D7823" w:rsidP="005D7823">
      <w:pPr>
        <w:pStyle w:val="Bullet"/>
      </w:pPr>
      <w:r>
        <w:t xml:space="preserve">A pair of vSphere Clusters protecting each other in a DR pair. </w:t>
      </w:r>
    </w:p>
    <w:p w14:paraId="0AE3720C" w14:textId="77777777" w:rsidR="005D7823" w:rsidRDefault="005D7823" w:rsidP="005D7823">
      <w:pPr>
        <w:pStyle w:val="Bullet"/>
      </w:pPr>
      <w:r>
        <w:t xml:space="preserve">A production cluster and DR cluster. The DR cluster typically run test and development workload, which will be powered off in the event of DR drill or actual DR. </w:t>
      </w:r>
    </w:p>
    <w:p w14:paraId="529AFAD8" w14:textId="77777777" w:rsidR="005D7823" w:rsidRDefault="005D7823" w:rsidP="005D7823">
      <w:pPr>
        <w:pStyle w:val="Bullet"/>
      </w:pPr>
      <w:r>
        <w:t xml:space="preserve">A stretched cluster. </w:t>
      </w:r>
    </w:p>
    <w:p w14:paraId="1E960B0F" w14:textId="77777777" w:rsidR="005D7823" w:rsidRDefault="005D7823" w:rsidP="005D7823">
      <w:r>
        <w:t>Let’s elaborate the first example</w:t>
      </w:r>
    </w:p>
    <w:p w14:paraId="7D330913" w14:textId="30956150" w:rsidR="005D7823" w:rsidRDefault="000075D2" w:rsidP="005D7823">
      <w:pPr>
        <w:pStyle w:val="Bullet"/>
      </w:pPr>
      <w:r>
        <w:t>Say you design a</w:t>
      </w:r>
      <w:r w:rsidR="005D7823">
        <w:t xml:space="preserve"> pair of 10 node cluster</w:t>
      </w:r>
      <w:r>
        <w:t xml:space="preserve"> to protect each other</w:t>
      </w:r>
      <w:r w:rsidR="005D7823">
        <w:t>. Each has 9+1 set up for HA to give you room to do the usual cluster maintenance and upgrade.</w:t>
      </w:r>
    </w:p>
    <w:p w14:paraId="680712D9" w14:textId="368A0CDF" w:rsidR="000075D2" w:rsidRDefault="000075D2" w:rsidP="005D7823">
      <w:pPr>
        <w:pStyle w:val="Bullet"/>
      </w:pPr>
      <w:r>
        <w:t xml:space="preserve">You want to limit the utilization of each site at 50% of the 9 hosts. This translates into 45% utilization on each of the 10 hosts, if there is no imbalance.  </w:t>
      </w:r>
    </w:p>
    <w:p w14:paraId="29F01ACF" w14:textId="4D89BD9B" w:rsidR="005D7823" w:rsidRDefault="000075D2" w:rsidP="000075D2">
      <w:pPr>
        <w:pStyle w:val="Bullet"/>
      </w:pPr>
      <w:r>
        <w:t xml:space="preserve">To monitor the above, </w:t>
      </w:r>
      <w:r w:rsidR="005D7823">
        <w:t>you set 50% buffer on the capacity after HA</w:t>
      </w:r>
      <w:r>
        <w:t xml:space="preserve">. </w:t>
      </w:r>
    </w:p>
    <w:p w14:paraId="32C286F8" w14:textId="7D6E2531" w:rsidR="000075D2" w:rsidRDefault="000075D2" w:rsidP="000075D2">
      <w:pPr>
        <w:pStyle w:val="Bullet"/>
      </w:pPr>
      <w:r>
        <w:t>Now, since the VMs typically run well below their configured size, you use allocation model and cap it at say 3:1.</w:t>
      </w:r>
    </w:p>
    <w:p w14:paraId="7B41493E" w14:textId="2F70650A" w:rsidR="005D7823" w:rsidRDefault="000075D2" w:rsidP="000075D2">
      <w:pPr>
        <w:pStyle w:val="Bullet"/>
      </w:pPr>
      <w:r>
        <w:t>To complicate matters, say 60% of the workload can be turned off during DR. In this case, y</w:t>
      </w:r>
      <w:r w:rsidR="005D7823">
        <w:t xml:space="preserve">ou allow utilization to reach 160%. </w:t>
      </w:r>
    </w:p>
    <w:p w14:paraId="21711574" w14:textId="50C1A0A0" w:rsidR="00F504B6" w:rsidRDefault="00F504B6" w:rsidP="00AC6E1E">
      <w:pPr>
        <w:pStyle w:val="Heading4"/>
      </w:pPr>
      <w:r>
        <w:lastRenderedPageBreak/>
        <w:t>Projection</w:t>
      </w:r>
    </w:p>
    <w:p w14:paraId="0A50B858" w14:textId="77777777" w:rsidR="00F504B6" w:rsidRDefault="00F504B6" w:rsidP="00F504B6">
      <w:pPr>
        <w:rPr>
          <w:lang w:val="en-GB"/>
        </w:rPr>
      </w:pPr>
      <w:r w:rsidRPr="00A452F2">
        <w:rPr>
          <w:lang w:val="en-GB"/>
        </w:rPr>
        <w:t xml:space="preserve">The accuracy of the prediction depends on the amount of data and the length of the cycle. A workload with quarter end peak will naturally need </w:t>
      </w:r>
      <w:r>
        <w:rPr>
          <w:lang w:val="en-GB"/>
        </w:rPr>
        <w:t xml:space="preserve">at least 6 </w:t>
      </w:r>
      <w:r w:rsidRPr="00A452F2">
        <w:rPr>
          <w:lang w:val="en-GB"/>
        </w:rPr>
        <w:t xml:space="preserve">months for it to be accurate. </w:t>
      </w:r>
      <w:r>
        <w:rPr>
          <w:lang w:val="en-GB"/>
        </w:rPr>
        <w:t>If there is enough data, vRealize Operations will consider 6+ months worth of data. While it gives extra weight to recent data, if there is a sudden but short-lasting change, it may not be enough to impact the projection.</w:t>
      </w:r>
    </w:p>
    <w:p w14:paraId="55BCBA18" w14:textId="77777777" w:rsidR="00F504B6" w:rsidRDefault="00F504B6" w:rsidP="00F504B6">
      <w:pPr>
        <w:jc w:val="center"/>
        <w:rPr>
          <w:lang w:val="en-GB"/>
        </w:rPr>
      </w:pPr>
      <w:r w:rsidRPr="00BF7EA9">
        <w:rPr>
          <w:noProof/>
          <w:lang w:val="en-GB"/>
        </w:rPr>
        <w:drawing>
          <wp:inline distT="0" distB="0" distL="0" distR="0" wp14:anchorId="1A88EA87" wp14:editId="185BEAB4">
            <wp:extent cx="4425696" cy="2898648"/>
            <wp:effectExtent l="0" t="0" r="0" b="0"/>
            <wp:docPr id="1293284815" name="Picture 1293284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4425696" cy="2898648"/>
                    </a:xfrm>
                    <a:prstGeom prst="rect">
                      <a:avLst/>
                    </a:prstGeom>
                  </pic:spPr>
                </pic:pic>
              </a:graphicData>
            </a:graphic>
          </wp:inline>
        </w:drawing>
      </w:r>
    </w:p>
    <w:p w14:paraId="443C186A" w14:textId="77777777" w:rsidR="00F504B6" w:rsidRPr="00BF7EA9" w:rsidRDefault="00F504B6" w:rsidP="00F504B6">
      <w:pPr>
        <w:rPr>
          <w:lang w:val="en-GB"/>
        </w:rPr>
      </w:pPr>
      <w:r w:rsidRPr="00BF7EA9">
        <w:rPr>
          <w:lang w:val="en-GB"/>
        </w:rPr>
        <w:t>Momentary peaks that are short lived and one-off should not impact capacity planning so the impact may not be noticeable in the projection.</w:t>
      </w:r>
    </w:p>
    <w:p w14:paraId="50817159" w14:textId="4CDC66F4" w:rsidR="00F504B6" w:rsidRPr="00BF7EA9" w:rsidRDefault="00F504B6" w:rsidP="00F504B6">
      <w:pPr>
        <w:rPr>
          <w:lang w:val="en-GB"/>
        </w:rPr>
      </w:pPr>
      <w:r w:rsidRPr="00BF7EA9">
        <w:rPr>
          <w:lang w:val="en-GB"/>
        </w:rPr>
        <w:t>Sustained peaks last for a longer time and do impact projections</w:t>
      </w:r>
      <w:r w:rsidR="00E4254C">
        <w:rPr>
          <w:lang w:val="en-GB"/>
        </w:rPr>
        <w:t xml:space="preserve">. </w:t>
      </w:r>
      <w:r w:rsidRPr="00BF7EA9">
        <w:rPr>
          <w:lang w:val="en-GB"/>
        </w:rPr>
        <w:t>If the peak is not periodic, the impact on the projection lessens over time due to exponential decay</w:t>
      </w:r>
      <w:r>
        <w:rPr>
          <w:lang w:val="en-GB"/>
        </w:rPr>
        <w:t xml:space="preserve">. Data is </w:t>
      </w:r>
      <w:r w:rsidRPr="00B65B08">
        <w:rPr>
          <w:lang w:val="en-GB"/>
        </w:rPr>
        <w:t>exponentially weighted based on how far back in time they are</w:t>
      </w:r>
      <w:r>
        <w:rPr>
          <w:lang w:val="en-GB"/>
        </w:rPr>
        <w:t>, giving r</w:t>
      </w:r>
      <w:r w:rsidRPr="00B65B08">
        <w:rPr>
          <w:lang w:val="en-GB"/>
        </w:rPr>
        <w:t>ecent data points more important than older ones.</w:t>
      </w:r>
    </w:p>
    <w:p w14:paraId="10E6512E" w14:textId="7020C737" w:rsidR="00F504B6" w:rsidRDefault="00F504B6" w:rsidP="00F504B6">
      <w:pPr>
        <w:rPr>
          <w:lang w:val="en-GB"/>
        </w:rPr>
      </w:pPr>
      <w:r w:rsidRPr="00BF7EA9">
        <w:rPr>
          <w:lang w:val="en-GB"/>
        </w:rPr>
        <w:t>Periodic peaks exhibit cyclical patterns or waves</w:t>
      </w:r>
      <w:r w:rsidR="00D22B8A">
        <w:rPr>
          <w:lang w:val="en-GB"/>
        </w:rPr>
        <w:t xml:space="preserve">, such as </w:t>
      </w:r>
      <w:r w:rsidRPr="00BF7EA9">
        <w:rPr>
          <w:lang w:val="en-GB"/>
        </w:rPr>
        <w:t xml:space="preserve">hourly, daily, weekly, </w:t>
      </w:r>
      <w:r w:rsidR="00D22B8A">
        <w:rPr>
          <w:lang w:val="en-GB"/>
        </w:rPr>
        <w:t xml:space="preserve">and </w:t>
      </w:r>
      <w:r w:rsidRPr="00BF7EA9">
        <w:rPr>
          <w:lang w:val="en-GB"/>
        </w:rPr>
        <w:t>last day of the month. There can be multiple overlapping cyclical patterns, which will also be detected.</w:t>
      </w:r>
      <w:r>
        <w:rPr>
          <w:lang w:val="en-GB"/>
        </w:rPr>
        <w:t xml:space="preserve"> While you should not make capacity decision based on just a few days of data, you do need the 5-minute granularity as input. A 5-minute peak that gets repeated every </w:t>
      </w:r>
      <w:r w:rsidR="00B543A5">
        <w:rPr>
          <w:lang w:val="en-GB"/>
        </w:rPr>
        <w:t>hour</w:t>
      </w:r>
      <w:r>
        <w:rPr>
          <w:lang w:val="en-GB"/>
        </w:rPr>
        <w:t xml:space="preserve"> should be considered.</w:t>
      </w:r>
    </w:p>
    <w:p w14:paraId="6EC51020" w14:textId="77777777" w:rsidR="00F504B6" w:rsidRDefault="00F504B6" w:rsidP="00F504B6">
      <w:pPr>
        <w:rPr>
          <w:lang w:val="en-GB"/>
        </w:rPr>
      </w:pPr>
      <w:r>
        <w:rPr>
          <w:lang w:val="en-GB"/>
        </w:rPr>
        <w:t>Exponential decay is important as newer data is more relevant, but it might make the projection visually odd. The following projection looks “</w:t>
      </w:r>
      <w:r w:rsidRPr="00C74066">
        <w:rPr>
          <w:color w:val="00B0F0"/>
          <w:lang w:val="en-GB"/>
        </w:rPr>
        <w:t>make sense</w:t>
      </w:r>
      <w:r>
        <w:rPr>
          <w:lang w:val="en-GB"/>
        </w:rPr>
        <w:t>”, because your eyes see the whole period and give equal weightage to all data points.</w:t>
      </w:r>
    </w:p>
    <w:p w14:paraId="1908813B" w14:textId="77777777" w:rsidR="00F504B6" w:rsidRDefault="00F504B6" w:rsidP="00F504B6">
      <w:pPr>
        <w:rPr>
          <w:lang w:val="en-GB"/>
        </w:rPr>
      </w:pPr>
      <w:r w:rsidRPr="0014598D">
        <w:rPr>
          <w:noProof/>
        </w:rPr>
        <w:drawing>
          <wp:inline distT="0" distB="0" distL="0" distR="0" wp14:anchorId="5A3CA985" wp14:editId="644044D5">
            <wp:extent cx="6645910" cy="1305560"/>
            <wp:effectExtent l="0" t="0" r="2540" b="8890"/>
            <wp:docPr id="158370792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6645910" cy="1305560"/>
                    </a:xfrm>
                    <a:prstGeom prst="rect">
                      <a:avLst/>
                    </a:prstGeom>
                  </pic:spPr>
                </pic:pic>
              </a:graphicData>
            </a:graphic>
          </wp:inline>
        </w:drawing>
      </w:r>
    </w:p>
    <w:p w14:paraId="76527398" w14:textId="77777777" w:rsidR="00F504B6" w:rsidRDefault="00F504B6" w:rsidP="00F504B6">
      <w:pPr>
        <w:rPr>
          <w:lang w:val="en-GB"/>
        </w:rPr>
      </w:pPr>
      <w:r>
        <w:rPr>
          <w:lang w:val="en-GB"/>
        </w:rPr>
        <w:t>If you give higher weightage to newer data, it can potentially look like this.</w:t>
      </w:r>
    </w:p>
    <w:p w14:paraId="54299324" w14:textId="77777777" w:rsidR="00F504B6" w:rsidRDefault="00F504B6" w:rsidP="00F504B6">
      <w:pPr>
        <w:rPr>
          <w:lang w:val="en-GB"/>
        </w:rPr>
      </w:pPr>
      <w:r w:rsidRPr="00996BC9">
        <w:rPr>
          <w:noProof/>
        </w:rPr>
        <w:lastRenderedPageBreak/>
        <w:drawing>
          <wp:inline distT="0" distB="0" distL="0" distR="0" wp14:anchorId="109D8057" wp14:editId="05513EBC">
            <wp:extent cx="6645910" cy="1174750"/>
            <wp:effectExtent l="0" t="0" r="2540" b="6350"/>
            <wp:docPr id="1583707921"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6"/>
                    <pic:cNvPicPr>
                      <a:picLocks/>
                    </pic:cNvPicPr>
                  </pic:nvPicPr>
                  <pic:blipFill>
                    <a:blip r:embed="rId156" cstate="print">
                      <a:extLst>
                        <a:ext uri="{28A0092B-C50C-407E-A947-70E740481C1C}">
                          <a14:useLocalDpi xmlns:a14="http://schemas.microsoft.com/office/drawing/2010/main" val="0"/>
                        </a:ext>
                      </a:extLst>
                    </a:blip>
                    <a:stretch>
                      <a:fillRect/>
                    </a:stretch>
                  </pic:blipFill>
                  <pic:spPr>
                    <a:xfrm>
                      <a:off x="0" y="0"/>
                      <a:ext cx="6645910" cy="1174750"/>
                    </a:xfrm>
                    <a:prstGeom prst="rect">
                      <a:avLst/>
                    </a:prstGeom>
                  </pic:spPr>
                </pic:pic>
              </a:graphicData>
            </a:graphic>
          </wp:inline>
        </w:drawing>
      </w:r>
    </w:p>
    <w:p w14:paraId="59FEAEE8" w14:textId="77777777" w:rsidR="00F504B6" w:rsidRDefault="00F504B6" w:rsidP="00F504B6">
      <w:pPr>
        <w:rPr>
          <w:lang w:val="en-GB"/>
        </w:rPr>
      </w:pPr>
      <w:r w:rsidRPr="00A452F2">
        <w:rPr>
          <w:lang w:val="en-GB"/>
        </w:rPr>
        <w:t>If you do not have 3 months and just need an overall sizing, consider using the 97</w:t>
      </w:r>
      <w:r w:rsidRPr="00A27CA5">
        <w:rPr>
          <w:vertAlign w:val="superscript"/>
          <w:lang w:val="en-GB"/>
        </w:rPr>
        <w:t>th</w:t>
      </w:r>
      <w:r>
        <w:rPr>
          <w:lang w:val="en-GB"/>
        </w:rPr>
        <w:t xml:space="preserve"> percentile</w:t>
      </w:r>
      <w:r w:rsidRPr="00A452F2">
        <w:rPr>
          <w:lang w:val="en-GB"/>
        </w:rPr>
        <w:t xml:space="preserve"> value. Why 97</w:t>
      </w:r>
      <w:r w:rsidRPr="004B52DB">
        <w:rPr>
          <w:vertAlign w:val="superscript"/>
          <w:lang w:val="en-GB"/>
        </w:rPr>
        <w:t>th</w:t>
      </w:r>
      <w:r>
        <w:rPr>
          <w:lang w:val="en-GB"/>
        </w:rPr>
        <w:t xml:space="preserve"> percentile</w:t>
      </w:r>
      <w:r w:rsidRPr="00A452F2">
        <w:rPr>
          <w:lang w:val="en-GB"/>
        </w:rPr>
        <w:t xml:space="preserve">? It's based on standard deviation principle. </w:t>
      </w:r>
      <w:r>
        <w:rPr>
          <w:lang w:val="en-GB"/>
        </w:rPr>
        <w:t>Two</w:t>
      </w:r>
      <w:r w:rsidRPr="00A452F2">
        <w:rPr>
          <w:lang w:val="en-GB"/>
        </w:rPr>
        <w:t xml:space="preserve"> </w:t>
      </w:r>
      <w:hyperlink r:id="rId157" w:history="1">
        <w:r w:rsidRPr="00882BDF">
          <w:rPr>
            <w:rStyle w:val="Hyperlink"/>
            <w:lang w:val="en-GB"/>
          </w:rPr>
          <w:t>Standard Deviation</w:t>
        </w:r>
      </w:hyperlink>
      <w:r w:rsidRPr="00A452F2">
        <w:rPr>
          <w:lang w:val="en-GB"/>
        </w:rPr>
        <w:t xml:space="preserve"> away from the midpoint equals to 95%, and 3 Standard Deviation = 99.7%. 97</w:t>
      </w:r>
      <w:r w:rsidRPr="00A27CA5">
        <w:rPr>
          <w:vertAlign w:val="superscript"/>
          <w:lang w:val="en-GB"/>
        </w:rPr>
        <w:t>th</w:t>
      </w:r>
      <w:r>
        <w:rPr>
          <w:lang w:val="en-GB"/>
        </w:rPr>
        <w:t xml:space="preserve"> percentile</w:t>
      </w:r>
      <w:r w:rsidRPr="00A452F2">
        <w:rPr>
          <w:lang w:val="en-GB"/>
        </w:rPr>
        <w:t xml:space="preserve"> hence provides a good balance between 2 SD and 3 SD. </w:t>
      </w:r>
      <w:r>
        <w:rPr>
          <w:lang w:val="en-GB"/>
        </w:rPr>
        <w:t>By and large, it</w:t>
      </w:r>
      <w:r w:rsidRPr="00A452F2">
        <w:rPr>
          <w:lang w:val="en-GB"/>
        </w:rPr>
        <w:t xml:space="preserve"> </w:t>
      </w:r>
      <w:r>
        <w:rPr>
          <w:lang w:val="en-GB"/>
        </w:rPr>
        <w:t xml:space="preserve">captures </w:t>
      </w:r>
      <w:r w:rsidRPr="00A452F2">
        <w:rPr>
          <w:lang w:val="en-GB"/>
        </w:rPr>
        <w:t>just the right amount of peak and outlier.</w:t>
      </w:r>
    </w:p>
    <w:p w14:paraId="4C5A53A9" w14:textId="77777777" w:rsidR="00E0092D" w:rsidRPr="00C17739" w:rsidRDefault="00E0092D" w:rsidP="00AC6E1E">
      <w:pPr>
        <w:pStyle w:val="Heading4"/>
      </w:pPr>
      <w:r w:rsidRPr="00C17739">
        <w:t>Optimized Capacity</w:t>
      </w:r>
    </w:p>
    <w:p w14:paraId="40484EC4" w14:textId="77777777" w:rsidR="00E0092D" w:rsidRDefault="00E0092D" w:rsidP="00E0092D">
      <w:r w:rsidRPr="00C17739">
        <w:t>Optimized Capacity means you run utilization at 100%, without wastage or compromising performance</w:t>
      </w:r>
      <w:r>
        <w:t>. There are two areas where you can optimize: consumer and provider.</w:t>
      </w:r>
    </w:p>
    <w:p w14:paraId="31027CE9" w14:textId="66E49702" w:rsidR="00E0092D" w:rsidRDefault="00E0092D" w:rsidP="00E0092D">
      <w:r>
        <w:t>In the c</w:t>
      </w:r>
      <w:r w:rsidRPr="00620251">
        <w:t>onsumer</w:t>
      </w:r>
      <w:r>
        <w:t xml:space="preserve"> layer (p</w:t>
      </w:r>
      <w:r w:rsidRPr="00620251">
        <w:t>rocess</w:t>
      </w:r>
      <w:r>
        <w:t>, g</w:t>
      </w:r>
      <w:r w:rsidRPr="00620251">
        <w:t>uest OS</w:t>
      </w:r>
      <w:r>
        <w:t>, c</w:t>
      </w:r>
      <w:r w:rsidRPr="00620251">
        <w:t>ontainer</w:t>
      </w:r>
      <w:r>
        <w:t xml:space="preserve">, </w:t>
      </w:r>
      <w:r w:rsidRPr="00620251">
        <w:t>VM</w:t>
      </w:r>
      <w:r>
        <w:t>), optimize the following:</w:t>
      </w:r>
    </w:p>
    <w:p w14:paraId="2BB1D9C1" w14:textId="77777777" w:rsidR="0027187C" w:rsidRDefault="0027187C" w:rsidP="0027187C">
      <w:pPr>
        <w:pStyle w:val="BeforeTable"/>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418"/>
        <w:gridCol w:w="9038"/>
      </w:tblGrid>
      <w:tr w:rsidR="002C00B8" w14:paraId="79FACD5D" w14:textId="77777777" w:rsidTr="007A3DFD">
        <w:tc>
          <w:tcPr>
            <w:tcW w:w="1418" w:type="dxa"/>
            <w:shd w:val="clear" w:color="auto" w:fill="F2F2F2" w:themeFill="background1" w:themeFillShade="F2"/>
          </w:tcPr>
          <w:p w14:paraId="207FABBF" w14:textId="4933E39E" w:rsidR="002C00B8" w:rsidRPr="000C4444" w:rsidRDefault="007A3DFD" w:rsidP="00385EE9">
            <w:pPr>
              <w:pStyle w:val="Tablecontent"/>
              <w:rPr>
                <w:b/>
                <w:bCs/>
              </w:rPr>
            </w:pPr>
            <w:r>
              <w:rPr>
                <w:b/>
                <w:bCs/>
              </w:rPr>
              <w:t>CPU</w:t>
            </w:r>
          </w:p>
        </w:tc>
        <w:tc>
          <w:tcPr>
            <w:tcW w:w="9038" w:type="dxa"/>
          </w:tcPr>
          <w:p w14:paraId="0ED83C0D" w14:textId="08043D02" w:rsidR="007032CE" w:rsidRPr="007032CE" w:rsidRDefault="007032CE" w:rsidP="007032CE">
            <w:pPr>
              <w:pStyle w:val="Tablecontent"/>
            </w:pPr>
            <w:r w:rsidRPr="007032CE">
              <w:t>Use CPU Run Queue as primary counter, as utilization should be 100% to minimize ping pong and NUMA.</w:t>
            </w:r>
          </w:p>
          <w:p w14:paraId="5CEC8D6F" w14:textId="7AA6C134" w:rsidR="002C00B8" w:rsidRDefault="007032CE" w:rsidP="00385EE9">
            <w:pPr>
              <w:pStyle w:val="Tablecontent"/>
            </w:pPr>
            <w:r w:rsidRPr="007032CE">
              <w:t>Make sure all the CPU is used well</w:t>
            </w:r>
            <w:r w:rsidR="00B52C1E">
              <w:t xml:space="preserve"> by c</w:t>
            </w:r>
            <w:r w:rsidRPr="007032CE">
              <w:t xml:space="preserve">heck the CPU Usage Disparity metric, as some </w:t>
            </w:r>
            <w:r w:rsidR="0002089A">
              <w:t>applications</w:t>
            </w:r>
            <w:r w:rsidRPr="007032CE">
              <w:t xml:space="preserve"> tend to gravitate towards the first 8 vCPU. </w:t>
            </w:r>
          </w:p>
        </w:tc>
      </w:tr>
      <w:tr w:rsidR="007A3DFD" w14:paraId="40F0B4DE" w14:textId="77777777" w:rsidTr="007A3DFD">
        <w:tc>
          <w:tcPr>
            <w:tcW w:w="1418" w:type="dxa"/>
            <w:shd w:val="clear" w:color="auto" w:fill="F2F2F2" w:themeFill="background1" w:themeFillShade="F2"/>
          </w:tcPr>
          <w:p w14:paraId="31B1124E" w14:textId="49C7D10D" w:rsidR="007A3DFD" w:rsidRDefault="007A3DFD" w:rsidP="00385EE9">
            <w:pPr>
              <w:pStyle w:val="Tablecontent"/>
              <w:rPr>
                <w:b/>
                <w:bCs/>
              </w:rPr>
            </w:pPr>
            <w:r>
              <w:rPr>
                <w:b/>
                <w:bCs/>
              </w:rPr>
              <w:t>Memory</w:t>
            </w:r>
          </w:p>
        </w:tc>
        <w:tc>
          <w:tcPr>
            <w:tcW w:w="9038" w:type="dxa"/>
          </w:tcPr>
          <w:p w14:paraId="71180124" w14:textId="1A189EDE" w:rsidR="007A3DFD" w:rsidRDefault="007032CE" w:rsidP="007032CE">
            <w:pPr>
              <w:pStyle w:val="Tablecontent"/>
            </w:pPr>
            <w:r w:rsidRPr="007032CE">
              <w:t>Utilization should be near 100% as it contains cache (majority of pages not active). Check page fault to see if there are excessive page fault.</w:t>
            </w:r>
          </w:p>
        </w:tc>
      </w:tr>
      <w:tr w:rsidR="007A3DFD" w14:paraId="4232FE1B" w14:textId="77777777" w:rsidTr="007A3DFD">
        <w:tc>
          <w:tcPr>
            <w:tcW w:w="1418" w:type="dxa"/>
            <w:shd w:val="clear" w:color="auto" w:fill="F2F2F2" w:themeFill="background1" w:themeFillShade="F2"/>
          </w:tcPr>
          <w:p w14:paraId="1383FD6B" w14:textId="5E148B2B" w:rsidR="007A3DFD" w:rsidRDefault="007A3DFD" w:rsidP="00385EE9">
            <w:pPr>
              <w:pStyle w:val="Tablecontent"/>
              <w:rPr>
                <w:b/>
                <w:bCs/>
              </w:rPr>
            </w:pPr>
            <w:r>
              <w:rPr>
                <w:b/>
                <w:bCs/>
              </w:rPr>
              <w:t>Disk</w:t>
            </w:r>
          </w:p>
        </w:tc>
        <w:tc>
          <w:tcPr>
            <w:tcW w:w="9038" w:type="dxa"/>
          </w:tcPr>
          <w:p w14:paraId="306A0897" w14:textId="77777777" w:rsidR="007A3DFD" w:rsidRDefault="00B52C1E" w:rsidP="00385EE9">
            <w:pPr>
              <w:pStyle w:val="Tablecontent"/>
              <w:rPr>
                <w:rFonts w:eastAsiaTheme="minorHAnsi"/>
                <w:lang w:val="en-SG" w:eastAsia="en-GB"/>
              </w:rPr>
            </w:pPr>
            <w:r>
              <w:rPr>
                <w:rFonts w:eastAsiaTheme="minorHAnsi"/>
                <w:lang w:val="en-SG" w:eastAsia="en-GB"/>
              </w:rPr>
              <w:t xml:space="preserve">Rightsize the filesystem. </w:t>
            </w:r>
            <w:r w:rsidRPr="007032CE">
              <w:rPr>
                <w:rFonts w:eastAsiaTheme="minorHAnsi"/>
                <w:lang w:val="en-SG" w:eastAsia="en-GB"/>
              </w:rPr>
              <w:t>Note this requires Windows or Linux partition modification.</w:t>
            </w:r>
          </w:p>
          <w:p w14:paraId="499DB4EF" w14:textId="276CE7ED" w:rsidR="00C24495" w:rsidRPr="00C24495" w:rsidRDefault="00C24495" w:rsidP="00385EE9">
            <w:pPr>
              <w:pStyle w:val="Tablecontent"/>
            </w:pPr>
            <w:r>
              <w:rPr>
                <w:lang w:eastAsia="en-GB"/>
              </w:rPr>
              <w:t>Reduce the usage of RDM. If you do, and you use thin provisioning at array level, check for wastage using unmap</w:t>
            </w:r>
          </w:p>
        </w:tc>
      </w:tr>
      <w:tr w:rsidR="003C1E20" w14:paraId="512EB146" w14:textId="77777777" w:rsidTr="007A3DFD">
        <w:tc>
          <w:tcPr>
            <w:tcW w:w="1418" w:type="dxa"/>
            <w:shd w:val="clear" w:color="auto" w:fill="F2F2F2" w:themeFill="background1" w:themeFillShade="F2"/>
          </w:tcPr>
          <w:p w14:paraId="08DA488D" w14:textId="4ECD0431" w:rsidR="003C1E20" w:rsidRDefault="003C1E20" w:rsidP="00385EE9">
            <w:pPr>
              <w:pStyle w:val="Tablecontent"/>
              <w:rPr>
                <w:b/>
                <w:bCs/>
              </w:rPr>
            </w:pPr>
            <w:r>
              <w:rPr>
                <w:b/>
                <w:bCs/>
              </w:rPr>
              <w:t>VM</w:t>
            </w:r>
          </w:p>
        </w:tc>
        <w:tc>
          <w:tcPr>
            <w:tcW w:w="9038" w:type="dxa"/>
          </w:tcPr>
          <w:p w14:paraId="391E0EE8" w14:textId="57A34843" w:rsidR="003C1E20" w:rsidRPr="003C1E20" w:rsidRDefault="00654EA3" w:rsidP="00385EE9">
            <w:pPr>
              <w:pStyle w:val="Tablecontent"/>
            </w:pPr>
            <w:r>
              <w:t>Imbalance</w:t>
            </w:r>
            <w:r w:rsidR="003C1E20" w:rsidRPr="007E4FB5">
              <w:t xml:space="preserve"> cluster </w:t>
            </w:r>
            <w:r w:rsidR="0020197A">
              <w:t xml:space="preserve">with low ESXi utilization </w:t>
            </w:r>
            <w:r w:rsidR="003C1E20" w:rsidRPr="007E4FB5">
              <w:t>can be caused by monster VM</w:t>
            </w:r>
            <w:r w:rsidR="003C1E20">
              <w:t xml:space="preserve">. Can the </w:t>
            </w:r>
            <w:r w:rsidR="0002089A">
              <w:t>applications</w:t>
            </w:r>
            <w:r w:rsidR="003C1E20">
              <w:t xml:space="preserve"> scale horizontally instead?</w:t>
            </w:r>
          </w:p>
        </w:tc>
      </w:tr>
      <w:tr w:rsidR="00E0550E" w14:paraId="212DE04F" w14:textId="77777777" w:rsidTr="007A3DFD">
        <w:tc>
          <w:tcPr>
            <w:tcW w:w="1418" w:type="dxa"/>
            <w:shd w:val="clear" w:color="auto" w:fill="F2F2F2" w:themeFill="background1" w:themeFillShade="F2"/>
          </w:tcPr>
          <w:p w14:paraId="04CD62A9" w14:textId="6046B80B" w:rsidR="00E0550E" w:rsidRDefault="00E0550E" w:rsidP="00385EE9">
            <w:pPr>
              <w:pStyle w:val="Tablecontent"/>
              <w:rPr>
                <w:b/>
                <w:bCs/>
              </w:rPr>
            </w:pPr>
            <w:r>
              <w:rPr>
                <w:b/>
                <w:bCs/>
              </w:rPr>
              <w:t>Container</w:t>
            </w:r>
          </w:p>
        </w:tc>
        <w:tc>
          <w:tcPr>
            <w:tcW w:w="9038" w:type="dxa"/>
          </w:tcPr>
          <w:p w14:paraId="564E9EC5" w14:textId="4CBBF45B" w:rsidR="00E0550E" w:rsidRPr="007E4FB5" w:rsidRDefault="00E0550E" w:rsidP="00E0550E">
            <w:pPr>
              <w:pStyle w:val="Tablecontent"/>
            </w:pPr>
            <w:r>
              <w:t>Do you use 1 container per VM or &gt;1 containers per VM? If it’s &gt;1, how do you ensure one does not dominate the others, since their size is not capped. If you use 1:1, how do you prevent container sprawl?</w:t>
            </w:r>
          </w:p>
        </w:tc>
      </w:tr>
    </w:tbl>
    <w:p w14:paraId="2C9E5DB0" w14:textId="77777777" w:rsidR="002C00B8" w:rsidRPr="00C17739" w:rsidRDefault="002C00B8" w:rsidP="0027187C">
      <w:pPr>
        <w:pStyle w:val="BeforeTable"/>
      </w:pPr>
    </w:p>
    <w:p w14:paraId="6616E1F8" w14:textId="41165384" w:rsidR="00E0092D" w:rsidRDefault="00E0092D" w:rsidP="00E0092D">
      <w:r>
        <w:t>In the p</w:t>
      </w:r>
      <w:r w:rsidRPr="00F658BF">
        <w:t>rovider</w:t>
      </w:r>
      <w:r>
        <w:t xml:space="preserve"> layer (</w:t>
      </w:r>
      <w:r w:rsidRPr="00F658BF">
        <w:t>ESXi</w:t>
      </w:r>
      <w:r>
        <w:t>, c</w:t>
      </w:r>
      <w:r w:rsidRPr="00F658BF">
        <w:t>luster</w:t>
      </w:r>
      <w:r>
        <w:t>, d</w:t>
      </w:r>
      <w:r w:rsidRPr="00F658BF">
        <w:t xml:space="preserve">atastore &amp; </w:t>
      </w:r>
      <w:r>
        <w:t>datastore c</w:t>
      </w:r>
      <w:r w:rsidRPr="00F658BF">
        <w:t>luster</w:t>
      </w:r>
      <w:r>
        <w:t>, distributed s</w:t>
      </w:r>
      <w:r w:rsidRPr="00F658BF">
        <w:t xml:space="preserve">witch and </w:t>
      </w:r>
      <w:r>
        <w:t>p</w:t>
      </w:r>
      <w:r w:rsidRPr="00F658BF">
        <w:t xml:space="preserve">ort </w:t>
      </w:r>
      <w:r>
        <w:t>g</w:t>
      </w:r>
      <w:r w:rsidRPr="00F658BF">
        <w:t>roup</w:t>
      </w:r>
      <w:r>
        <w:t>, h</w:t>
      </w:r>
      <w:r w:rsidRPr="00F658BF">
        <w:t>ardware</w:t>
      </w:r>
      <w:r>
        <w:t>), you can optimize the following:</w:t>
      </w:r>
    </w:p>
    <w:p w14:paraId="4ED826A0" w14:textId="77777777" w:rsidR="00477B3F" w:rsidRDefault="00477B3F" w:rsidP="00477B3F">
      <w:pPr>
        <w:pStyle w:val="BeforeTable"/>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418"/>
        <w:gridCol w:w="9038"/>
      </w:tblGrid>
      <w:tr w:rsidR="00477B3F" w14:paraId="4A6341E3" w14:textId="77777777" w:rsidTr="00385EE9">
        <w:tc>
          <w:tcPr>
            <w:tcW w:w="1418" w:type="dxa"/>
            <w:shd w:val="clear" w:color="auto" w:fill="F2F2F2" w:themeFill="background1" w:themeFillShade="F2"/>
          </w:tcPr>
          <w:p w14:paraId="554EA39D" w14:textId="56B041F7" w:rsidR="00477B3F" w:rsidRPr="000C4444" w:rsidRDefault="00D23931" w:rsidP="00385EE9">
            <w:pPr>
              <w:pStyle w:val="Tablecontent"/>
              <w:rPr>
                <w:b/>
                <w:bCs/>
              </w:rPr>
            </w:pPr>
            <w:r>
              <w:rPr>
                <w:b/>
                <w:bCs/>
              </w:rPr>
              <w:t>Compute</w:t>
            </w:r>
          </w:p>
        </w:tc>
        <w:tc>
          <w:tcPr>
            <w:tcW w:w="9038" w:type="dxa"/>
          </w:tcPr>
          <w:p w14:paraId="561C2F81" w14:textId="510D8499" w:rsidR="00DC3CAF" w:rsidRDefault="00DC3CAF" w:rsidP="007E4FB5">
            <w:pPr>
              <w:pStyle w:val="Tablecontent"/>
            </w:pPr>
            <w:r>
              <w:t xml:space="preserve">Compute covers ESXi, cluster, resource pool, </w:t>
            </w:r>
            <w:r w:rsidR="00A324F3">
              <w:t>and physical server.</w:t>
            </w:r>
          </w:p>
          <w:p w14:paraId="372B23C2" w14:textId="0AC5345C" w:rsidR="0060588A" w:rsidRDefault="0060588A" w:rsidP="007E4FB5">
            <w:pPr>
              <w:pStyle w:val="Tablecontent"/>
            </w:pPr>
            <w:r w:rsidRPr="007E4FB5">
              <w:t>Reduce pockets of resource</w:t>
            </w:r>
            <w:r>
              <w:t xml:space="preserve"> by using larger cluster, remov</w:t>
            </w:r>
            <w:r w:rsidR="00172061">
              <w:t>ing</w:t>
            </w:r>
            <w:r>
              <w:t xml:space="preserve"> Host/VM Affinity </w:t>
            </w:r>
            <w:r w:rsidR="00172061">
              <w:t xml:space="preserve">and </w:t>
            </w:r>
            <w:r w:rsidR="0075471B">
              <w:t xml:space="preserve">setting </w:t>
            </w:r>
            <w:r w:rsidR="00172061">
              <w:t>DR</w:t>
            </w:r>
            <w:r w:rsidR="0075471B">
              <w:t xml:space="preserve">S to be fully automated. </w:t>
            </w:r>
          </w:p>
          <w:p w14:paraId="7317D8D4" w14:textId="2B0FEB3D" w:rsidR="002D28E8" w:rsidRDefault="002D28E8" w:rsidP="007E4FB5">
            <w:pPr>
              <w:pStyle w:val="Tablecontent"/>
            </w:pPr>
            <w:r>
              <w:t xml:space="preserve">Increase supply </w:t>
            </w:r>
            <w:r w:rsidR="00495BE8">
              <w:t xml:space="preserve">while keeping cost the same by doing a technology refresh. </w:t>
            </w:r>
          </w:p>
          <w:p w14:paraId="11F2E503" w14:textId="28369F47" w:rsidR="007E4FB5" w:rsidRPr="007E4FB5" w:rsidRDefault="00002840" w:rsidP="007E4FB5">
            <w:pPr>
              <w:pStyle w:val="Tablecontent"/>
            </w:pPr>
            <w:r>
              <w:lastRenderedPageBreak/>
              <w:t xml:space="preserve">Avoid usage of </w:t>
            </w:r>
            <w:r w:rsidR="007E4FB5" w:rsidRPr="007E4FB5">
              <w:t>CPU pinning</w:t>
            </w:r>
            <w:r w:rsidR="0060588A">
              <w:t>.</w:t>
            </w:r>
          </w:p>
          <w:p w14:paraId="027B2C68" w14:textId="0D1DAFA3" w:rsidR="00477B3F" w:rsidRDefault="007E4FB5" w:rsidP="00F057BA">
            <w:pPr>
              <w:pStyle w:val="Tablecontent"/>
            </w:pPr>
            <w:r w:rsidRPr="007E4FB5">
              <w:t>Reduce reservation</w:t>
            </w:r>
            <w:r w:rsidR="00A324F3">
              <w:t>.</w:t>
            </w:r>
            <w:r w:rsidR="0060588A">
              <w:t xml:space="preserve"> VMs in the same cluster should have same priority</w:t>
            </w:r>
          </w:p>
        </w:tc>
      </w:tr>
      <w:tr w:rsidR="00477B3F" w14:paraId="74A7850F" w14:textId="77777777" w:rsidTr="00385EE9">
        <w:tc>
          <w:tcPr>
            <w:tcW w:w="1418" w:type="dxa"/>
            <w:shd w:val="clear" w:color="auto" w:fill="F2F2F2" w:themeFill="background1" w:themeFillShade="F2"/>
          </w:tcPr>
          <w:p w14:paraId="5CE36C78" w14:textId="550D36EB" w:rsidR="00477B3F" w:rsidRDefault="00D23931" w:rsidP="00385EE9">
            <w:pPr>
              <w:pStyle w:val="Tablecontent"/>
              <w:rPr>
                <w:b/>
                <w:bCs/>
              </w:rPr>
            </w:pPr>
            <w:r>
              <w:rPr>
                <w:b/>
                <w:bCs/>
              </w:rPr>
              <w:lastRenderedPageBreak/>
              <w:t>Storage</w:t>
            </w:r>
          </w:p>
        </w:tc>
        <w:tc>
          <w:tcPr>
            <w:tcW w:w="9038" w:type="dxa"/>
          </w:tcPr>
          <w:p w14:paraId="12CE41C2" w14:textId="77777777" w:rsidR="00477B3F" w:rsidRDefault="003C60A5" w:rsidP="00385EE9">
            <w:pPr>
              <w:pStyle w:val="Tablecontent"/>
            </w:pPr>
            <w:r>
              <w:t>Storage covers datastore, datastore cluster vSAN, RDM, VVOL, physical array, back up</w:t>
            </w:r>
            <w:r w:rsidR="00DC3CAF">
              <w:t xml:space="preserve"> infrastructure</w:t>
            </w:r>
            <w:r>
              <w:t>, etc.</w:t>
            </w:r>
          </w:p>
          <w:p w14:paraId="10B180C2" w14:textId="77777777" w:rsidR="00C24495" w:rsidRDefault="00DC3CAF" w:rsidP="00385EE9">
            <w:pPr>
              <w:pStyle w:val="Tablecontent"/>
            </w:pPr>
            <w:r>
              <w:t>Use larger datastore to minimize island of buffers.</w:t>
            </w:r>
          </w:p>
          <w:p w14:paraId="7C7EC9B0" w14:textId="209BC7C9" w:rsidR="003308EF" w:rsidRDefault="003308EF" w:rsidP="00385EE9">
            <w:pPr>
              <w:pStyle w:val="Tablecontent"/>
            </w:pPr>
            <w:r>
              <w:t>Use local datastores for agent VM</w:t>
            </w:r>
            <w:r w:rsidR="00CD1174">
              <w:t xml:space="preserve"> or applications that do not need HA.</w:t>
            </w:r>
          </w:p>
          <w:p w14:paraId="1BC5219F" w14:textId="3A4E82EE" w:rsidR="003308EF" w:rsidRDefault="00C84156" w:rsidP="00385EE9">
            <w:pPr>
              <w:pStyle w:val="Tablecontent"/>
            </w:pPr>
            <w:r>
              <w:t xml:space="preserve">Reduce islands of datastores by consolidating </w:t>
            </w:r>
            <w:r w:rsidR="003308EF">
              <w:t xml:space="preserve">datastores that are </w:t>
            </w:r>
            <w:r w:rsidR="00CD1174">
              <w:t>lowly utilized</w:t>
            </w:r>
            <w:r>
              <w:t>.</w:t>
            </w:r>
          </w:p>
        </w:tc>
      </w:tr>
      <w:tr w:rsidR="00477B3F" w14:paraId="7B53CAE4" w14:textId="77777777" w:rsidTr="00385EE9">
        <w:tc>
          <w:tcPr>
            <w:tcW w:w="1418" w:type="dxa"/>
            <w:shd w:val="clear" w:color="auto" w:fill="F2F2F2" w:themeFill="background1" w:themeFillShade="F2"/>
          </w:tcPr>
          <w:p w14:paraId="59A88868" w14:textId="7A0E440D" w:rsidR="00477B3F" w:rsidRDefault="00D23931" w:rsidP="00385EE9">
            <w:pPr>
              <w:pStyle w:val="Tablecontent"/>
              <w:rPr>
                <w:b/>
                <w:bCs/>
              </w:rPr>
            </w:pPr>
            <w:r>
              <w:rPr>
                <w:b/>
                <w:bCs/>
              </w:rPr>
              <w:t>Network</w:t>
            </w:r>
          </w:p>
        </w:tc>
        <w:tc>
          <w:tcPr>
            <w:tcW w:w="9038" w:type="dxa"/>
          </w:tcPr>
          <w:p w14:paraId="2C1E0B16" w14:textId="52AD41B9" w:rsidR="002838D7" w:rsidRDefault="002838D7" w:rsidP="00385EE9">
            <w:pPr>
              <w:pStyle w:val="Tablecontent"/>
              <w:rPr>
                <w:rFonts w:eastAsiaTheme="minorHAnsi"/>
                <w:lang w:val="en-SG" w:eastAsia="en-GB"/>
              </w:rPr>
            </w:pPr>
            <w:r>
              <w:rPr>
                <w:rFonts w:eastAsiaTheme="minorHAnsi"/>
                <w:lang w:val="en-SG" w:eastAsia="en-GB"/>
              </w:rPr>
              <w:t>Network covers virtual and physical. It also includes switch, router, firewall, load balancer, etc.</w:t>
            </w:r>
          </w:p>
          <w:p w14:paraId="3FC36093" w14:textId="5157B094" w:rsidR="00F057BA" w:rsidRDefault="00F057BA" w:rsidP="00385EE9">
            <w:pPr>
              <w:pStyle w:val="Tablecontent"/>
              <w:rPr>
                <w:rFonts w:eastAsiaTheme="minorHAnsi"/>
                <w:lang w:val="en-SG" w:eastAsia="en-GB"/>
              </w:rPr>
            </w:pPr>
            <w:r>
              <w:rPr>
                <w:rFonts w:eastAsiaTheme="minorHAnsi"/>
                <w:lang w:val="en-SG" w:eastAsia="en-GB"/>
              </w:rPr>
              <w:t xml:space="preserve">Use larger physical pipe. For example 2x 25 Gb instead of 4x 10 Gb. </w:t>
            </w:r>
          </w:p>
          <w:p w14:paraId="16CBD261" w14:textId="77777777" w:rsidR="00477B3F" w:rsidRDefault="007E4FB5" w:rsidP="00385EE9">
            <w:pPr>
              <w:pStyle w:val="Tablecontent"/>
              <w:rPr>
                <w:rFonts w:eastAsiaTheme="minorHAnsi"/>
                <w:lang w:val="en-SG" w:eastAsia="en-GB"/>
              </w:rPr>
            </w:pPr>
            <w:r>
              <w:rPr>
                <w:rFonts w:eastAsiaTheme="minorHAnsi"/>
                <w:lang w:val="en-SG" w:eastAsia="en-GB"/>
              </w:rPr>
              <w:t xml:space="preserve">Use load-based teaming. </w:t>
            </w:r>
          </w:p>
          <w:p w14:paraId="3185F6A4" w14:textId="2248BFDE" w:rsidR="00002840" w:rsidRDefault="00002840" w:rsidP="00385EE9">
            <w:pPr>
              <w:pStyle w:val="Tablecontent"/>
            </w:pPr>
            <w:r>
              <w:rPr>
                <w:lang w:eastAsia="en-GB"/>
              </w:rPr>
              <w:t xml:space="preserve">Remove unused </w:t>
            </w:r>
            <w:r w:rsidR="00BE1BFA">
              <w:rPr>
                <w:lang w:eastAsia="en-GB"/>
              </w:rPr>
              <w:t xml:space="preserve">network. While network is good for segregation, VXLAN or VLAN sprawl </w:t>
            </w:r>
            <w:r w:rsidR="00C24495">
              <w:rPr>
                <w:lang w:eastAsia="en-GB"/>
              </w:rPr>
              <w:t>make both management and security harder.</w:t>
            </w:r>
          </w:p>
        </w:tc>
      </w:tr>
    </w:tbl>
    <w:p w14:paraId="0D4495F7" w14:textId="385664AD" w:rsidR="00E07E04" w:rsidRDefault="00E07E04" w:rsidP="00540F68">
      <w:pPr>
        <w:pStyle w:val="Heading3"/>
      </w:pPr>
      <w:r w:rsidRPr="00DE5343">
        <w:t xml:space="preserve">Storage </w:t>
      </w:r>
      <w:r w:rsidR="0EE74FBF">
        <w:t>Capac</w:t>
      </w:r>
      <w:r w:rsidR="7615D84E">
        <w:t>i</w:t>
      </w:r>
      <w:r w:rsidR="0EE74FBF">
        <w:t>ty</w:t>
      </w:r>
    </w:p>
    <w:p w14:paraId="5EB53764" w14:textId="5DBAF2A2" w:rsidR="000C78F5" w:rsidRDefault="00DD1821" w:rsidP="00DD1821">
      <w:r>
        <w:t xml:space="preserve">Storage Capacity differs to Compute Capacity and presents a challenge on its own. Unlike compute capacity, which is basically vSphere cluster, storage varies in shape. The two major ones are datastore and vSAN, as local datastore and RDM </w:t>
      </w:r>
      <w:r w:rsidR="00A56D30">
        <w:t>are</w:t>
      </w:r>
      <w:r>
        <w:t xml:space="preserve"> rarely used.</w:t>
      </w:r>
      <w:r w:rsidR="00880DF4">
        <w:t xml:space="preserve"> </w:t>
      </w:r>
      <w:r w:rsidR="000C78F5">
        <w:t xml:space="preserve">In addition, storage has thin provisioning at both virtualization layer and physical layer. </w:t>
      </w:r>
    </w:p>
    <w:p w14:paraId="1808874D" w14:textId="45335E4B" w:rsidR="00DD1821" w:rsidRDefault="00880DF4" w:rsidP="00DD1821">
      <w:r>
        <w:t>We will discuss vSAN capacity separately as it has its own unique factors such as FTT, plus it needs to consider compute too.</w:t>
      </w:r>
    </w:p>
    <w:p w14:paraId="44960990" w14:textId="0529C3A3" w:rsidR="000C78F5" w:rsidRDefault="000C78F5" w:rsidP="00AC6E1E">
      <w:pPr>
        <w:pStyle w:val="Heading4"/>
      </w:pPr>
      <w:r>
        <w:t>Utilization | Allocation</w:t>
      </w:r>
    </w:p>
    <w:p w14:paraId="25CE8FBC" w14:textId="77777777" w:rsidR="000C78F5" w:rsidRDefault="000C78F5" w:rsidP="000C78F5">
      <w:pPr>
        <w:pStyle w:val="Tablecontent"/>
      </w:pPr>
      <w:r>
        <w:t>Similar to compute capacity, storage capacity is driven by performance first. If the datastore is unable to serve its existing VMs, meaning they are getting bad latency, are you going to add more VM? You are right, the datastore is full, regardless of how space it has left.</w:t>
      </w:r>
    </w:p>
    <w:p w14:paraId="2E4303AE" w14:textId="15DC5F83" w:rsidR="000C78F5" w:rsidRPr="000C78F5" w:rsidRDefault="000C78F5" w:rsidP="000C78F5">
      <w:r>
        <w:t>Once you cover that, you need to deal with utilization and allocation. Review the following table. What differences do you notice?</w:t>
      </w:r>
    </w:p>
    <w:p w14:paraId="24341B42" w14:textId="7B848DFC" w:rsidR="000C78F5" w:rsidRPr="000C78F5" w:rsidRDefault="000C78F5" w:rsidP="000C78F5">
      <w:pPr>
        <w:rPr>
          <w:lang w:val="en-GB" w:eastAsia="en-SG"/>
        </w:rPr>
      </w:pPr>
      <w:r w:rsidRPr="000C78F5">
        <w:rPr>
          <w:noProof/>
          <w:lang w:val="en-GB" w:eastAsia="en-SG"/>
        </w:rPr>
        <w:lastRenderedPageBreak/>
        <w:drawing>
          <wp:inline distT="0" distB="0" distL="0" distR="0" wp14:anchorId="2747F51C" wp14:editId="00016804">
            <wp:extent cx="6645910" cy="2916555"/>
            <wp:effectExtent l="0" t="0" r="2540" b="0"/>
            <wp:docPr id="1525330288" name="Picture 1525330288"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88" name="Picture 1525330288" descr="Table&#10;&#10;Description automatically generated with low confidence"/>
                    <pic:cNvPicPr/>
                  </pic:nvPicPr>
                  <pic:blipFill>
                    <a:blip r:embed="rId158"/>
                    <a:stretch>
                      <a:fillRect/>
                    </a:stretch>
                  </pic:blipFill>
                  <pic:spPr>
                    <a:xfrm>
                      <a:off x="0" y="0"/>
                      <a:ext cx="6645910" cy="2916555"/>
                    </a:xfrm>
                    <a:prstGeom prst="rect">
                      <a:avLst/>
                    </a:prstGeom>
                  </pic:spPr>
                </pic:pic>
              </a:graphicData>
            </a:graphic>
          </wp:inline>
        </w:drawing>
      </w:r>
    </w:p>
    <w:p w14:paraId="2CB39D0E" w14:textId="138873D9" w:rsidR="000C78F5" w:rsidRDefault="000C78F5" w:rsidP="00F1721C">
      <w:r>
        <w:t xml:space="preserve">They both share the same total capacity and buffer. However, they arrive at a different usable capacity number. </w:t>
      </w:r>
    </w:p>
    <w:p w14:paraId="29D96B5D" w14:textId="7136146B" w:rsidR="000C78F5" w:rsidRDefault="000C78F5" w:rsidP="000C78F5">
      <w:pPr>
        <w:pStyle w:val="Bullet"/>
      </w:pPr>
      <w:r>
        <w:t>Utilisation: the usable capacity cannot exceed the physical capacity.</w:t>
      </w:r>
    </w:p>
    <w:p w14:paraId="42BA4F2C" w14:textId="1CA120DB" w:rsidR="000C78F5" w:rsidRDefault="000C78F5" w:rsidP="000C78F5">
      <w:pPr>
        <w:pStyle w:val="Bullet"/>
      </w:pPr>
      <w:r>
        <w:t>Allocation: the usable capacity can and typically exceed the physical capacity. If your overcommit ratio is less than 1, the allocation model becomes mute.</w:t>
      </w:r>
    </w:p>
    <w:p w14:paraId="4C046B8A" w14:textId="658AEDCB" w:rsidR="000C78F5" w:rsidRDefault="000C78F5" w:rsidP="00F1721C">
      <w:r>
        <w:t xml:space="preserve">Utilization model counts all types of utilization, not just the virtual disk. </w:t>
      </w:r>
      <w:r w:rsidR="009D2BDF">
        <w:t>Allocation only considers the VMDK and nothing else.</w:t>
      </w:r>
    </w:p>
    <w:p w14:paraId="5B7D1808" w14:textId="2345E8E5" w:rsidR="00C71C60" w:rsidRDefault="000C78F5" w:rsidP="00F1721C">
      <w:r>
        <w:t xml:space="preserve">Due to thin provisioning, both models need to be used. </w:t>
      </w:r>
      <w:r w:rsidR="00261500">
        <w:t xml:space="preserve">Take a look at the following two datastores. </w:t>
      </w:r>
    </w:p>
    <w:p w14:paraId="442DE427" w14:textId="5531D1D0" w:rsidR="00F1721C" w:rsidRPr="00F1721C" w:rsidRDefault="00261500" w:rsidP="00F1721C">
      <w:r>
        <w:t>Which one has lower capacity remaining? Which one would you choose to deploy additional VM?</w:t>
      </w:r>
    </w:p>
    <w:p w14:paraId="4ED6EEED" w14:textId="05B89F1A" w:rsidR="00E07E04" w:rsidRPr="00DE5343" w:rsidRDefault="46D46911" w:rsidP="00B45100">
      <w:pPr>
        <w:jc w:val="center"/>
      </w:pPr>
      <w:r>
        <w:rPr>
          <w:noProof/>
        </w:rPr>
        <w:drawing>
          <wp:inline distT="0" distB="0" distL="0" distR="0" wp14:anchorId="370BC1B1" wp14:editId="22DED29C">
            <wp:extent cx="4731325" cy="2692508"/>
            <wp:effectExtent l="0" t="0" r="0" b="0"/>
            <wp:docPr id="606394239" name="Picture 606394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39"/>
                    <pic:cNvPicPr/>
                  </pic:nvPicPr>
                  <pic:blipFill>
                    <a:blip r:embed="rId159" cstate="print">
                      <a:extLst>
                        <a:ext uri="{28A0092B-C50C-407E-A947-70E740481C1C}">
                          <a14:useLocalDpi xmlns:a14="http://schemas.microsoft.com/office/drawing/2010/main" val="0"/>
                        </a:ext>
                      </a:extLst>
                    </a:blip>
                    <a:stretch>
                      <a:fillRect/>
                    </a:stretch>
                  </pic:blipFill>
                  <pic:spPr>
                    <a:xfrm>
                      <a:off x="0" y="0"/>
                      <a:ext cx="4731325" cy="2692508"/>
                    </a:xfrm>
                    <a:prstGeom prst="rect">
                      <a:avLst/>
                    </a:prstGeom>
                  </pic:spPr>
                </pic:pic>
              </a:graphicData>
            </a:graphic>
          </wp:inline>
        </w:drawing>
      </w:r>
    </w:p>
    <w:p w14:paraId="36C5DFD2" w14:textId="5ED4EB4D" w:rsidR="000F0A90" w:rsidRDefault="000F0A90" w:rsidP="000F0A90">
      <w:r>
        <w:t xml:space="preserve">Both have identical </w:t>
      </w:r>
      <w:r w:rsidR="00A13518">
        <w:t xml:space="preserve">usable </w:t>
      </w:r>
      <w:r>
        <w:t>physical capacity at 10 TB, as shown by the black line. Both have identical allocation model, based on 2:1 overcommit. But they have different utilization and actual overcommit ratio. Datastore 1 has 5 TB used but 25 TB thin provisioned. Datastore 2 has 8 TB actual used but 12 TB thin provisioned.</w:t>
      </w:r>
      <w:r w:rsidR="0033324C">
        <w:t xml:space="preserve"> The </w:t>
      </w:r>
      <w:r w:rsidR="00CF7D2C" w:rsidRPr="00CF7D2C">
        <w:rPr>
          <w:color w:val="FF0000"/>
        </w:rPr>
        <w:t>red</w:t>
      </w:r>
      <w:r w:rsidR="0033324C">
        <w:t xml:space="preserve"> arrow shows the risk.</w:t>
      </w:r>
    </w:p>
    <w:p w14:paraId="0CE2C7FF" w14:textId="77777777" w:rsidR="00E56CFD" w:rsidRDefault="00E56CFD" w:rsidP="00E56CFD">
      <w:pPr>
        <w:pStyle w:val="BeforeTable"/>
        <w:rPr>
          <w:lang w:val="en-US"/>
        </w:rPr>
      </w:pPr>
    </w:p>
    <w:tbl>
      <w:tblPr>
        <w:tblStyle w:val="TableGridLight"/>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985"/>
        <w:gridCol w:w="1696"/>
        <w:gridCol w:w="2268"/>
        <w:gridCol w:w="2126"/>
      </w:tblGrid>
      <w:tr w:rsidR="007C6B34" w:rsidRPr="00E56CFD" w14:paraId="7E8FD0DC" w14:textId="2F1B0F1A" w:rsidTr="00AA1454">
        <w:trPr>
          <w:jc w:val="center"/>
        </w:trPr>
        <w:tc>
          <w:tcPr>
            <w:tcW w:w="1985" w:type="dxa"/>
          </w:tcPr>
          <w:p w14:paraId="76B9001C" w14:textId="2A42669A" w:rsidR="007C6B34" w:rsidRPr="00E56CFD" w:rsidRDefault="007C6B34" w:rsidP="00757101">
            <w:pPr>
              <w:pStyle w:val="Tableheading"/>
            </w:pPr>
          </w:p>
        </w:tc>
        <w:tc>
          <w:tcPr>
            <w:tcW w:w="1696" w:type="dxa"/>
            <w:shd w:val="clear" w:color="auto" w:fill="F2F2F2" w:themeFill="background1" w:themeFillShade="F2"/>
          </w:tcPr>
          <w:p w14:paraId="324622CA" w14:textId="4EEA814D" w:rsidR="007C6B34" w:rsidRPr="00E56CFD" w:rsidRDefault="007C6B34" w:rsidP="00757101">
            <w:pPr>
              <w:pStyle w:val="Tableheading"/>
            </w:pPr>
            <w:r w:rsidRPr="00E56CFD">
              <w:t>Total Capacity</w:t>
            </w:r>
          </w:p>
        </w:tc>
        <w:tc>
          <w:tcPr>
            <w:tcW w:w="4394" w:type="dxa"/>
            <w:gridSpan w:val="2"/>
            <w:shd w:val="clear" w:color="auto" w:fill="F2F2F2" w:themeFill="background1" w:themeFillShade="F2"/>
          </w:tcPr>
          <w:p w14:paraId="3C1F25EC" w14:textId="6529FEB1" w:rsidR="007C6B34" w:rsidRPr="00E56CFD" w:rsidRDefault="007C6B34" w:rsidP="00757101">
            <w:pPr>
              <w:pStyle w:val="Tableheading"/>
            </w:pPr>
            <w:r w:rsidRPr="00E56CFD">
              <w:t>Used Capacity</w:t>
            </w:r>
          </w:p>
        </w:tc>
      </w:tr>
      <w:tr w:rsidR="007C6B34" w14:paraId="7F4F6028" w14:textId="200D8D92" w:rsidTr="00AA1454">
        <w:trPr>
          <w:jc w:val="center"/>
        </w:trPr>
        <w:tc>
          <w:tcPr>
            <w:tcW w:w="1985" w:type="dxa"/>
            <w:shd w:val="clear" w:color="auto" w:fill="F2F2F2" w:themeFill="background1" w:themeFillShade="F2"/>
          </w:tcPr>
          <w:p w14:paraId="6E4C7730" w14:textId="31C26E0B" w:rsidR="007C6B34" w:rsidRDefault="00760398" w:rsidP="0067007B">
            <w:pPr>
              <w:pStyle w:val="Tableheading"/>
              <w:jc w:val="left"/>
            </w:pPr>
            <w:r>
              <w:t>Utilization model</w:t>
            </w:r>
          </w:p>
        </w:tc>
        <w:tc>
          <w:tcPr>
            <w:tcW w:w="1696" w:type="dxa"/>
          </w:tcPr>
          <w:p w14:paraId="0685629A" w14:textId="49FDC764" w:rsidR="007C6B34" w:rsidRDefault="007C6B34" w:rsidP="00114B00">
            <w:pPr>
              <w:pStyle w:val="Tablecontent"/>
              <w:jc w:val="center"/>
            </w:pPr>
            <w:r>
              <w:t>10 TB</w:t>
            </w:r>
          </w:p>
        </w:tc>
        <w:tc>
          <w:tcPr>
            <w:tcW w:w="2268" w:type="dxa"/>
          </w:tcPr>
          <w:p w14:paraId="6DBB697E" w14:textId="0874AC4D" w:rsidR="007C6B34" w:rsidRDefault="007C6B34" w:rsidP="007C6B34">
            <w:pPr>
              <w:pStyle w:val="Tablecontent"/>
            </w:pPr>
            <w:r>
              <w:t>Datastore 1 = 5 TB</w:t>
            </w:r>
          </w:p>
          <w:p w14:paraId="462472A8" w14:textId="1182AFF9" w:rsidR="007C6B34" w:rsidRDefault="007C6B34" w:rsidP="007C6B34">
            <w:pPr>
              <w:pStyle w:val="Tablecontent"/>
            </w:pPr>
            <w:r>
              <w:t>Datastore 2 = 8 TB</w:t>
            </w:r>
          </w:p>
        </w:tc>
        <w:tc>
          <w:tcPr>
            <w:tcW w:w="2126" w:type="dxa"/>
          </w:tcPr>
          <w:p w14:paraId="7EA396C0" w14:textId="0508194C" w:rsidR="007C6B34" w:rsidRDefault="007C6B34" w:rsidP="007C6B34">
            <w:pPr>
              <w:pStyle w:val="Tablecontent"/>
            </w:pPr>
            <w:r>
              <w:t>Datastore 1 = 50%</w:t>
            </w:r>
          </w:p>
          <w:p w14:paraId="42FCEB7C" w14:textId="5FA237AC" w:rsidR="007C6B34" w:rsidRDefault="007C6B34" w:rsidP="007C6B34">
            <w:pPr>
              <w:pStyle w:val="Tablecontent"/>
            </w:pPr>
            <w:r>
              <w:t xml:space="preserve">Datastore 2 = </w:t>
            </w:r>
            <w:r w:rsidRPr="007C6B34">
              <w:rPr>
                <w:b/>
                <w:bCs/>
                <w:color w:val="FF0000"/>
              </w:rPr>
              <w:t>80%</w:t>
            </w:r>
          </w:p>
        </w:tc>
      </w:tr>
      <w:tr w:rsidR="007C6B34" w14:paraId="2223FC83" w14:textId="60B5B05C" w:rsidTr="00AA1454">
        <w:trPr>
          <w:jc w:val="center"/>
        </w:trPr>
        <w:tc>
          <w:tcPr>
            <w:tcW w:w="1985" w:type="dxa"/>
            <w:shd w:val="clear" w:color="auto" w:fill="F2F2F2" w:themeFill="background1" w:themeFillShade="F2"/>
          </w:tcPr>
          <w:p w14:paraId="2328E986" w14:textId="43EB53D7" w:rsidR="007C6B34" w:rsidRDefault="007C6B34" w:rsidP="0067007B">
            <w:pPr>
              <w:pStyle w:val="Tableheading"/>
              <w:jc w:val="left"/>
            </w:pPr>
            <w:r>
              <w:t xml:space="preserve">Allocation Model </w:t>
            </w:r>
          </w:p>
        </w:tc>
        <w:tc>
          <w:tcPr>
            <w:tcW w:w="1696" w:type="dxa"/>
          </w:tcPr>
          <w:p w14:paraId="7393916B" w14:textId="6A4D5961" w:rsidR="007C6B34" w:rsidRDefault="007C6B34" w:rsidP="00114B00">
            <w:pPr>
              <w:pStyle w:val="Tablecontent"/>
              <w:jc w:val="center"/>
            </w:pPr>
            <w:r>
              <w:t>20 TB</w:t>
            </w:r>
          </w:p>
        </w:tc>
        <w:tc>
          <w:tcPr>
            <w:tcW w:w="2268" w:type="dxa"/>
          </w:tcPr>
          <w:p w14:paraId="7E43BAB9" w14:textId="33273A2D" w:rsidR="007C6B34" w:rsidRDefault="007C6B34" w:rsidP="007C6B34">
            <w:pPr>
              <w:pStyle w:val="Tablecontent"/>
            </w:pPr>
            <w:r>
              <w:t>Datastore 1 = 25 TB</w:t>
            </w:r>
          </w:p>
          <w:p w14:paraId="7F3EAA9B" w14:textId="36EC45DB" w:rsidR="007C6B34" w:rsidRDefault="007C6B34" w:rsidP="007C6B34">
            <w:pPr>
              <w:pStyle w:val="Tablecontent"/>
            </w:pPr>
            <w:r>
              <w:t>Datastore 2 = 12 TB</w:t>
            </w:r>
          </w:p>
        </w:tc>
        <w:tc>
          <w:tcPr>
            <w:tcW w:w="2126" w:type="dxa"/>
          </w:tcPr>
          <w:p w14:paraId="6EE1E56E" w14:textId="18DA16E2" w:rsidR="007C6B34" w:rsidRDefault="007C6B34" w:rsidP="007C6B34">
            <w:pPr>
              <w:pStyle w:val="Tablecontent"/>
            </w:pPr>
            <w:r>
              <w:t xml:space="preserve">Datastore 1 = </w:t>
            </w:r>
            <w:r w:rsidRPr="007C6B34">
              <w:rPr>
                <w:b/>
                <w:bCs/>
                <w:color w:val="FF0000"/>
              </w:rPr>
              <w:t>125%</w:t>
            </w:r>
          </w:p>
          <w:p w14:paraId="353B96EF" w14:textId="27DD2D3E" w:rsidR="007C6B34" w:rsidRDefault="007C6B34" w:rsidP="007C6B34">
            <w:pPr>
              <w:pStyle w:val="Tablecontent"/>
            </w:pPr>
            <w:r>
              <w:t>Datastore 2 = 60%</w:t>
            </w:r>
          </w:p>
        </w:tc>
      </w:tr>
    </w:tbl>
    <w:p w14:paraId="2F76E24F" w14:textId="471884FC" w:rsidR="000F0A90" w:rsidRDefault="000F0A90" w:rsidP="000F0A90">
      <w:pPr>
        <w:rPr>
          <w:lang w:val="en-US"/>
        </w:rPr>
      </w:pPr>
      <w:r w:rsidRPr="00DE5343">
        <w:rPr>
          <w:lang w:val="en-US"/>
        </w:rPr>
        <w:t xml:space="preserve">Datastore 1 has lower actual usage, but higher risk </w:t>
      </w:r>
      <w:r w:rsidRPr="42B45F1B">
        <w:rPr>
          <w:lang w:val="en-US"/>
        </w:rPr>
        <w:t>because it</w:t>
      </w:r>
      <w:r w:rsidRPr="00DE5343">
        <w:rPr>
          <w:lang w:val="en-US"/>
        </w:rPr>
        <w:t xml:space="preserve"> has </w:t>
      </w:r>
      <w:r w:rsidRPr="42B45F1B">
        <w:rPr>
          <w:lang w:val="en-US"/>
        </w:rPr>
        <w:t>more space</w:t>
      </w:r>
      <w:r w:rsidRPr="00DE5343">
        <w:rPr>
          <w:lang w:val="en-US"/>
        </w:rPr>
        <w:t xml:space="preserve"> over-</w:t>
      </w:r>
      <w:r w:rsidRPr="42B45F1B">
        <w:rPr>
          <w:lang w:val="en-US"/>
        </w:rPr>
        <w:t>committed than</w:t>
      </w:r>
      <w:r w:rsidRPr="00DE5343">
        <w:rPr>
          <w:lang w:val="en-US"/>
        </w:rPr>
        <w:t xml:space="preserve"> reclaimable.</w:t>
      </w:r>
      <w:r>
        <w:rPr>
          <w:lang w:val="en-US"/>
        </w:rPr>
        <w:t xml:space="preserve"> </w:t>
      </w:r>
      <w:r w:rsidR="0033324C">
        <w:rPr>
          <w:lang w:val="en-US"/>
        </w:rPr>
        <w:t>You</w:t>
      </w:r>
      <w:r>
        <w:rPr>
          <w:lang w:val="en-US"/>
        </w:rPr>
        <w:t xml:space="preserve"> should take the lower of the two capacity models</w:t>
      </w:r>
      <w:r w:rsidR="0033324C">
        <w:rPr>
          <w:lang w:val="en-US"/>
        </w:rPr>
        <w:t>.</w:t>
      </w:r>
      <w:r w:rsidR="003C7FDE">
        <w:rPr>
          <w:lang w:val="en-US"/>
        </w:rPr>
        <w:t xml:space="preserve"> In this case, Datastore 2 </w:t>
      </w:r>
      <w:r w:rsidR="00957657">
        <w:rPr>
          <w:lang w:val="en-US"/>
        </w:rPr>
        <w:t>is what you should choose.</w:t>
      </w:r>
    </w:p>
    <w:p w14:paraId="0F1A004A" w14:textId="4D9F1022" w:rsidR="007B4CC9" w:rsidRPr="007B4CC9" w:rsidRDefault="007B4CC9" w:rsidP="00BA5726">
      <w:pPr>
        <w:rPr>
          <w:lang w:val="en-US"/>
        </w:rPr>
      </w:pPr>
      <w:r>
        <w:rPr>
          <w:lang w:val="en-US"/>
        </w:rPr>
        <w:t>Thin provisioning brings another complexity in the form of n</w:t>
      </w:r>
      <w:r w:rsidR="00BA5726" w:rsidRPr="00DE5343">
        <w:rPr>
          <w:lang w:val="en-US"/>
        </w:rPr>
        <w:t>ew</w:t>
      </w:r>
      <w:r>
        <w:rPr>
          <w:lang w:val="en-US"/>
        </w:rPr>
        <w:t>ly provisioned</w:t>
      </w:r>
      <w:r w:rsidR="00BA5726" w:rsidRPr="00DE5343">
        <w:rPr>
          <w:lang w:val="en-US"/>
        </w:rPr>
        <w:t xml:space="preserve"> VMs</w:t>
      </w:r>
      <w:r>
        <w:rPr>
          <w:lang w:val="en-US"/>
        </w:rPr>
        <w:t>, as their growth</w:t>
      </w:r>
      <w:r w:rsidR="00BA5726" w:rsidRPr="00DE5343">
        <w:rPr>
          <w:lang w:val="en-US"/>
        </w:rPr>
        <w:t xml:space="preserve"> are not predictable. </w:t>
      </w:r>
      <w:r>
        <w:rPr>
          <w:lang w:val="en-US"/>
        </w:rPr>
        <w:t>They can remain idle for months and suddenly grow their storage consumption. T</w:t>
      </w:r>
      <w:r w:rsidR="00BA5726" w:rsidRPr="00DE5343">
        <w:rPr>
          <w:lang w:val="en-US"/>
        </w:rPr>
        <w:t xml:space="preserve">heir growth </w:t>
      </w:r>
      <w:r>
        <w:rPr>
          <w:lang w:val="en-US"/>
        </w:rPr>
        <w:t xml:space="preserve">becomes relatively more </w:t>
      </w:r>
      <w:r w:rsidR="00BA5726" w:rsidRPr="00DE5343">
        <w:rPr>
          <w:lang w:val="en-US"/>
        </w:rPr>
        <w:t>predictable</w:t>
      </w:r>
      <w:r>
        <w:rPr>
          <w:lang w:val="en-US"/>
        </w:rPr>
        <w:t xml:space="preserve"> after they mature, which vary per business application.</w:t>
      </w:r>
    </w:p>
    <w:p w14:paraId="139AC5C1" w14:textId="4B2DF448" w:rsidR="00BA5726" w:rsidRPr="00DE5343" w:rsidRDefault="00223237" w:rsidP="00BA5726">
      <w:r>
        <w:t xml:space="preserve">Lastly, there is reclamation. </w:t>
      </w:r>
      <w:r w:rsidR="0033324C">
        <w:t xml:space="preserve">I added the </w:t>
      </w:r>
      <w:r w:rsidR="0022569A" w:rsidRPr="0022569A">
        <w:rPr>
          <w:color w:val="00B050"/>
        </w:rPr>
        <w:t>green</w:t>
      </w:r>
      <w:r w:rsidR="0033324C">
        <w:t xml:space="preserve"> arrow to indicate that you can have different reclaimable values. </w:t>
      </w:r>
      <w:r>
        <w:t xml:space="preserve">In the example above, Datastore 1 </w:t>
      </w:r>
      <w:r w:rsidR="0033324C">
        <w:t xml:space="preserve">happens to have </w:t>
      </w:r>
      <w:r>
        <w:t>has more reclaimable space</w:t>
      </w:r>
      <w:r w:rsidR="0033324C">
        <w:t>.</w:t>
      </w:r>
    </w:p>
    <w:p w14:paraId="4847F0BE" w14:textId="0B1CE771" w:rsidR="002621D6" w:rsidRPr="00DE5343" w:rsidRDefault="00A6761D" w:rsidP="00AC6E1E">
      <w:pPr>
        <w:pStyle w:val="Heading4"/>
      </w:pPr>
      <w:r>
        <w:t>Aggregation</w:t>
      </w:r>
    </w:p>
    <w:p w14:paraId="6B77A96B" w14:textId="7805752F" w:rsidR="00880DF4" w:rsidRDefault="003B2EA0" w:rsidP="002621D6">
      <w:r>
        <w:t xml:space="preserve">Now that we know how to calculate the capacity of a single datastore, we </w:t>
      </w:r>
      <w:r w:rsidR="00880DF4">
        <w:t>are in the position to solve the roll up</w:t>
      </w:r>
      <w:r w:rsidR="00A6761D">
        <w:t xml:space="preserve"> for ease of management</w:t>
      </w:r>
      <w:r w:rsidR="00880DF4">
        <w:t>.</w:t>
      </w:r>
    </w:p>
    <w:p w14:paraId="1D080651" w14:textId="2CE45C48" w:rsidR="00AA055E" w:rsidRDefault="00880DF4" w:rsidP="002621D6">
      <w:r>
        <w:t>Datastore may belong to datastore cluster. As datastore cluster groups datastores into a larger pool, we can treat them as one logical pool. This simplifies the capacity calculation</w:t>
      </w:r>
      <w:r w:rsidR="00AA055E">
        <w:t>.</w:t>
      </w:r>
      <w:r w:rsidR="00C015EC">
        <w:t xml:space="preserve"> As a bonus, </w:t>
      </w:r>
      <w:r w:rsidR="00C015EC">
        <w:rPr>
          <w:lang w:val="en-GB"/>
        </w:rPr>
        <w:t>y</w:t>
      </w:r>
      <w:r w:rsidR="00C015EC" w:rsidRPr="00A452F2">
        <w:rPr>
          <w:lang w:val="en-GB"/>
        </w:rPr>
        <w:t>ou need not manually exclude local datastore</w:t>
      </w:r>
      <w:r w:rsidR="00C015EC">
        <w:rPr>
          <w:lang w:val="en-GB"/>
        </w:rPr>
        <w:t>, and y</w:t>
      </w:r>
      <w:r w:rsidR="00C015EC" w:rsidRPr="00A452F2">
        <w:rPr>
          <w:lang w:val="en-GB"/>
        </w:rPr>
        <w:t>ou need not manually group the shared datastores, which can be complex if you have multiple clusters.</w:t>
      </w:r>
    </w:p>
    <w:p w14:paraId="58123CCA" w14:textId="6DEE7FFE" w:rsidR="00AA055E" w:rsidRDefault="00AA055E" w:rsidP="002621D6">
      <w:r>
        <w:t>It also makes capacity management easier in large environment with many datastores, as you treat the cluster as one. It makes the information &amp; visualization more compact and manage</w:t>
      </w:r>
      <w:r w:rsidR="00157887">
        <w:t>a</w:t>
      </w:r>
      <w:r>
        <w:t xml:space="preserve">ble. From the datastore cluster, build a drill down. </w:t>
      </w:r>
    </w:p>
    <w:p w14:paraId="5BBE6E11" w14:textId="1C107FF1" w:rsidR="00F1721C" w:rsidRPr="00DE5343" w:rsidRDefault="00880DF4" w:rsidP="002621D6">
      <w:r>
        <w:t xml:space="preserve">For the overcommit ratio, we should allow a lower overcommit ratio at the datastore cluster level to account for the fact that the distribution among the datastore is not granular. </w:t>
      </w:r>
      <w:r w:rsidR="00007456">
        <w:t>The following diagram illustrates why.</w:t>
      </w:r>
    </w:p>
    <w:p w14:paraId="607CDA29" w14:textId="20BF3314" w:rsidR="00BA5726" w:rsidRDefault="00E72F7F" w:rsidP="00E72F7F">
      <w:pPr>
        <w:jc w:val="center"/>
      </w:pPr>
      <w:r w:rsidRPr="00E72F7F">
        <w:rPr>
          <w:noProof/>
        </w:rPr>
        <w:lastRenderedPageBreak/>
        <w:drawing>
          <wp:inline distT="0" distB="0" distL="0" distR="0" wp14:anchorId="621743B4" wp14:editId="0E27A182">
            <wp:extent cx="3812400" cy="2440800"/>
            <wp:effectExtent l="0" t="0" r="0" b="0"/>
            <wp:docPr id="534447514" name="Picture 53444751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14" name="Picture 534447514" descr="Chart, bar chart&#10;&#10;Description automatically generated"/>
                    <pic:cNvPicPr/>
                  </pic:nvPicPr>
                  <pic:blipFill>
                    <a:blip r:embed="rId160"/>
                    <a:stretch>
                      <a:fillRect/>
                    </a:stretch>
                  </pic:blipFill>
                  <pic:spPr>
                    <a:xfrm>
                      <a:off x="0" y="0"/>
                      <a:ext cx="3812400" cy="2440800"/>
                    </a:xfrm>
                    <a:prstGeom prst="rect">
                      <a:avLst/>
                    </a:prstGeom>
                  </pic:spPr>
                </pic:pic>
              </a:graphicData>
            </a:graphic>
          </wp:inline>
        </w:drawing>
      </w:r>
    </w:p>
    <w:p w14:paraId="0981AEDB" w14:textId="3708416C" w:rsidR="00804FA8" w:rsidRDefault="00804FA8" w:rsidP="00804FA8">
      <w:r w:rsidRPr="00804FA8">
        <w:t>Unlike ESXi Host in a compute cluster, the unbalance among the member datastores will be greater. It takes much longer to storage vmotion, and there is no HA in Datastore Cluster.</w:t>
      </w:r>
      <w:r>
        <w:t xml:space="preserve"> </w:t>
      </w:r>
      <w:r w:rsidRPr="00804FA8">
        <w:t>You can account for this by having a lower overcommit ratio at the datastore cluster level.</w:t>
      </w:r>
      <w:r>
        <w:t xml:space="preserve"> </w:t>
      </w:r>
      <w:r w:rsidRPr="00804FA8">
        <w:t>For example, you have 2:1 overcommit at each datastore, but 1.7:1 at datastore cluster level.</w:t>
      </w:r>
    </w:p>
    <w:p w14:paraId="3F8B976A" w14:textId="28EF905B" w:rsidR="00007456" w:rsidRDefault="00007456" w:rsidP="009B13B9">
      <w:r>
        <w:t>How about rolling up to Data Center or vSphere?</w:t>
      </w:r>
    </w:p>
    <w:p w14:paraId="1F4A8A02" w14:textId="59EA7934" w:rsidR="00007456" w:rsidRDefault="00007456" w:rsidP="009B13B9">
      <w:r>
        <w:t>This is not advisable. Different datastores in a vCenter can have d</w:t>
      </w:r>
      <w:r w:rsidRPr="00007456">
        <w:t>ifferent purpose</w:t>
      </w:r>
      <w:r w:rsidR="00157887">
        <w:t>s, such as NSX Edge and business workload</w:t>
      </w:r>
      <w:r w:rsidRPr="00007456">
        <w:t xml:space="preserve">. </w:t>
      </w:r>
      <w:r>
        <w:t>The capacity they have are n</w:t>
      </w:r>
      <w:r w:rsidRPr="00007456">
        <w:t xml:space="preserve">ot interchangeable. </w:t>
      </w:r>
      <w:r>
        <w:t xml:space="preserve">Yes, that means </w:t>
      </w:r>
      <w:r w:rsidRPr="00007456">
        <w:t>we should not even calculate Total Capacity</w:t>
      </w:r>
      <w:r>
        <w:t>. If you have 1000 datastores globally with each having 1 TB of remaining space, you do not have 1 PB of space</w:t>
      </w:r>
      <w:r w:rsidR="000A3FD8">
        <w:t>.</w:t>
      </w:r>
    </w:p>
    <w:p w14:paraId="2235C847" w14:textId="60880AC8" w:rsidR="000A3FD8" w:rsidRDefault="000A3FD8" w:rsidP="009B13B9">
      <w:r>
        <w:t xml:space="preserve">So what can you roll up? </w:t>
      </w:r>
    </w:p>
    <w:p w14:paraId="04CA592D" w14:textId="3A94836B" w:rsidR="000A3FD8" w:rsidRDefault="000A3FD8" w:rsidP="009B13B9">
      <w:r>
        <w:t xml:space="preserve">You can roll up VM Remaining. This is simply the sum of VM Remaining on each datastore. </w:t>
      </w:r>
      <w:r w:rsidR="00BC67C2">
        <w:t xml:space="preserve">Take note the corner case where a VM has virtual disks in multiple datastores. In this </w:t>
      </w:r>
      <w:r w:rsidR="002461F3">
        <w:t>situation, you will over-report.</w:t>
      </w:r>
    </w:p>
    <w:p w14:paraId="2CD09EB2" w14:textId="343ECFB2" w:rsidR="00832666" w:rsidRPr="00DE5343" w:rsidRDefault="002461F3" w:rsidP="009B13B9">
      <w:r>
        <w:t xml:space="preserve">You can also </w:t>
      </w:r>
      <w:r w:rsidR="00F2612E">
        <w:t xml:space="preserve">takes the </w:t>
      </w:r>
      <w:r w:rsidR="00A07839">
        <w:t>free space</w:t>
      </w:r>
      <w:r w:rsidR="00F2612E">
        <w:t xml:space="preserve">, in percentage and not in </w:t>
      </w:r>
      <w:r w:rsidR="00A07839">
        <w:t xml:space="preserve">GB. If this free space is going down, and you have many datastores, that’s not a good sign. </w:t>
      </w:r>
      <w:r w:rsidR="00832666">
        <w:t xml:space="preserve">If you’re concern that average is too late, you </w:t>
      </w:r>
      <w:r w:rsidR="00025F55">
        <w:t xml:space="preserve">add a buffer for each datastore (e.g. 20%), then you do the average. </w:t>
      </w:r>
    </w:p>
    <w:p w14:paraId="381B93A4" w14:textId="77777777" w:rsidR="00B06936" w:rsidRPr="00D11CF5" w:rsidRDefault="00B06936" w:rsidP="00540F68">
      <w:pPr>
        <w:pStyle w:val="Heading3"/>
      </w:pPr>
      <w:bookmarkStart w:id="33" w:name="_Design_Consideration"/>
      <w:bookmarkStart w:id="34" w:name="_Configuration_Management"/>
      <w:bookmarkStart w:id="35" w:name="_VM_Rightsizing"/>
      <w:bookmarkStart w:id="36" w:name="_Reclamation"/>
      <w:bookmarkEnd w:id="33"/>
      <w:bookmarkEnd w:id="34"/>
      <w:bookmarkEnd w:id="35"/>
      <w:bookmarkEnd w:id="36"/>
      <w:r w:rsidRPr="00D11CF5">
        <w:t>Reclamation</w:t>
      </w:r>
    </w:p>
    <w:p w14:paraId="14FBB9E5" w14:textId="0C05E8C8" w:rsidR="00B06936" w:rsidRDefault="00B06936" w:rsidP="00B06936">
      <w:r w:rsidRPr="00D11CF5">
        <w:t>Reclamation delivers many benefits, and some of them are listed below</w:t>
      </w:r>
    </w:p>
    <w:p w14:paraId="59C0013E" w14:textId="77777777" w:rsidR="00CE4D8D" w:rsidRDefault="00CE4D8D" w:rsidP="00921DA2">
      <w:pPr>
        <w:pStyle w:val="BeforeTable"/>
      </w:pPr>
    </w:p>
    <w:tbl>
      <w:tblPr>
        <w:tblStyle w:val="TableGridLight"/>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985"/>
        <w:gridCol w:w="1417"/>
        <w:gridCol w:w="7064"/>
      </w:tblGrid>
      <w:tr w:rsidR="00A44350" w:rsidRPr="00B73A0D" w14:paraId="19401D86" w14:textId="77777777" w:rsidTr="00A44350">
        <w:trPr>
          <w:jc w:val="center"/>
        </w:trPr>
        <w:tc>
          <w:tcPr>
            <w:tcW w:w="1985" w:type="dxa"/>
          </w:tcPr>
          <w:p w14:paraId="04CB0C17" w14:textId="2B7FE34B" w:rsidR="00A44350" w:rsidRPr="00B73A0D" w:rsidRDefault="00A44350" w:rsidP="009F3420">
            <w:pPr>
              <w:pStyle w:val="Tableheading"/>
            </w:pPr>
          </w:p>
        </w:tc>
        <w:tc>
          <w:tcPr>
            <w:tcW w:w="1417" w:type="dxa"/>
            <w:shd w:val="clear" w:color="auto" w:fill="F2F2F2" w:themeFill="background1" w:themeFillShade="F2"/>
          </w:tcPr>
          <w:p w14:paraId="28B5DEDB" w14:textId="4C626C94" w:rsidR="00A44350" w:rsidRDefault="00DB20E3" w:rsidP="009F3420">
            <w:pPr>
              <w:pStyle w:val="Tableheading"/>
            </w:pPr>
            <w:r>
              <w:t>Area</w:t>
            </w:r>
          </w:p>
        </w:tc>
        <w:tc>
          <w:tcPr>
            <w:tcW w:w="7064" w:type="dxa"/>
            <w:shd w:val="clear" w:color="auto" w:fill="F2F2F2" w:themeFill="background1" w:themeFillShade="F2"/>
          </w:tcPr>
          <w:p w14:paraId="7C9B84FA" w14:textId="60549A72" w:rsidR="00A44350" w:rsidRPr="00B73A0D" w:rsidRDefault="00A44350" w:rsidP="009F3420">
            <w:pPr>
              <w:pStyle w:val="Tableheading"/>
            </w:pPr>
            <w:r>
              <w:t>Benefit</w:t>
            </w:r>
          </w:p>
        </w:tc>
      </w:tr>
      <w:tr w:rsidR="00D37456" w:rsidRPr="00B1036B" w14:paraId="1146D42F" w14:textId="77777777" w:rsidTr="00B1036B">
        <w:trPr>
          <w:jc w:val="center"/>
        </w:trPr>
        <w:tc>
          <w:tcPr>
            <w:tcW w:w="1985" w:type="dxa"/>
            <w:shd w:val="clear" w:color="auto" w:fill="FFFFFF" w:themeFill="background1"/>
          </w:tcPr>
          <w:p w14:paraId="1542B289" w14:textId="069EFBF7" w:rsidR="00D37456" w:rsidRPr="00B1036B" w:rsidRDefault="00D37456" w:rsidP="00B1036B">
            <w:pPr>
              <w:pStyle w:val="Tablecontent"/>
              <w:rPr>
                <w:b/>
                <w:bCs/>
              </w:rPr>
            </w:pPr>
            <w:r w:rsidRPr="00B1036B">
              <w:rPr>
                <w:b/>
                <w:bCs/>
              </w:rPr>
              <w:t>Unused VM</w:t>
            </w:r>
          </w:p>
        </w:tc>
        <w:tc>
          <w:tcPr>
            <w:tcW w:w="1417" w:type="dxa"/>
          </w:tcPr>
          <w:p w14:paraId="214FE1E5" w14:textId="77777777" w:rsidR="00D37456" w:rsidRPr="00B1036B" w:rsidRDefault="00D37456" w:rsidP="00B1036B">
            <w:pPr>
              <w:pStyle w:val="Tablecontent"/>
            </w:pPr>
            <w:r w:rsidRPr="00B1036B">
              <w:t>CPU</w:t>
            </w:r>
          </w:p>
          <w:p w14:paraId="1099DA9F" w14:textId="77777777" w:rsidR="00D37456" w:rsidRPr="00B1036B" w:rsidRDefault="00D37456" w:rsidP="00B1036B">
            <w:pPr>
              <w:pStyle w:val="Tablecontent"/>
            </w:pPr>
            <w:r w:rsidRPr="00B1036B">
              <w:t>Memory</w:t>
            </w:r>
          </w:p>
          <w:p w14:paraId="3AC7DE81" w14:textId="7964C3B9" w:rsidR="00D37456" w:rsidRPr="00B1036B" w:rsidRDefault="00D37456" w:rsidP="00B1036B">
            <w:pPr>
              <w:pStyle w:val="Tablecontent"/>
            </w:pPr>
            <w:r w:rsidRPr="00B1036B">
              <w:lastRenderedPageBreak/>
              <w:t>Storage</w:t>
            </w:r>
          </w:p>
        </w:tc>
        <w:tc>
          <w:tcPr>
            <w:tcW w:w="7064" w:type="dxa"/>
          </w:tcPr>
          <w:p w14:paraId="2A1D17E9" w14:textId="72884C93" w:rsidR="00E728EA" w:rsidRPr="00B1036B" w:rsidRDefault="00E728EA" w:rsidP="00B1036B">
            <w:pPr>
              <w:pStyle w:val="Tablecontent"/>
            </w:pPr>
            <w:r w:rsidRPr="00B1036B">
              <w:lastRenderedPageBreak/>
              <w:t>This delivers the highest benefit, but it’s also hardest to find as the VMs may not be idle nor undersized. They appear like an active VM</w:t>
            </w:r>
            <w:r w:rsidR="00AF72B6" w:rsidRPr="00B1036B">
              <w:t>.</w:t>
            </w:r>
          </w:p>
          <w:p w14:paraId="0238A072" w14:textId="544E039B" w:rsidR="00D37456" w:rsidRPr="00B1036B" w:rsidRDefault="00061E67" w:rsidP="00B1036B">
            <w:pPr>
              <w:pStyle w:val="Tablecontent"/>
            </w:pPr>
            <w:r>
              <w:t xml:space="preserve">Improve on the underlying IaaS </w:t>
            </w:r>
            <w:r w:rsidR="00E61FFB" w:rsidRPr="00B1036B">
              <w:t xml:space="preserve">capacity and performance. </w:t>
            </w:r>
          </w:p>
          <w:p w14:paraId="20AFBF33" w14:textId="467E250F" w:rsidR="006D22DD" w:rsidRPr="00B1036B" w:rsidRDefault="00C0443D" w:rsidP="00B1036B">
            <w:pPr>
              <w:pStyle w:val="Tablecontent"/>
            </w:pPr>
            <w:r w:rsidRPr="00B1036B">
              <w:lastRenderedPageBreak/>
              <w:t>S</w:t>
            </w:r>
            <w:r w:rsidR="006D22DD" w:rsidRPr="00B1036B">
              <w:t xml:space="preserve">avings on storage </w:t>
            </w:r>
            <w:r w:rsidRPr="00B1036B">
              <w:t xml:space="preserve">only happen when </w:t>
            </w:r>
            <w:r w:rsidR="006D22DD" w:rsidRPr="00B1036B">
              <w:t>you delete the VM.</w:t>
            </w:r>
          </w:p>
        </w:tc>
      </w:tr>
      <w:tr w:rsidR="00A44350" w:rsidRPr="00B1036B" w14:paraId="23B8A743" w14:textId="77777777" w:rsidTr="00B1036B">
        <w:trPr>
          <w:jc w:val="center"/>
        </w:trPr>
        <w:tc>
          <w:tcPr>
            <w:tcW w:w="1985" w:type="dxa"/>
            <w:shd w:val="clear" w:color="auto" w:fill="FFFFFF" w:themeFill="background1"/>
          </w:tcPr>
          <w:p w14:paraId="7896C150" w14:textId="5A2C7CF4" w:rsidR="00A44350" w:rsidRPr="00B1036B" w:rsidRDefault="00A44350" w:rsidP="00B1036B">
            <w:pPr>
              <w:pStyle w:val="Tablecontent"/>
              <w:rPr>
                <w:b/>
                <w:bCs/>
              </w:rPr>
            </w:pPr>
            <w:r w:rsidRPr="00B1036B">
              <w:rPr>
                <w:b/>
                <w:bCs/>
              </w:rPr>
              <w:lastRenderedPageBreak/>
              <w:t>Oversized VM</w:t>
            </w:r>
          </w:p>
        </w:tc>
        <w:tc>
          <w:tcPr>
            <w:tcW w:w="1417" w:type="dxa"/>
          </w:tcPr>
          <w:p w14:paraId="111A34F2" w14:textId="77777777" w:rsidR="00DB20E3" w:rsidRPr="00B1036B" w:rsidRDefault="00DB20E3" w:rsidP="00B1036B">
            <w:pPr>
              <w:pStyle w:val="Tablecontent"/>
            </w:pPr>
            <w:r w:rsidRPr="00B1036B">
              <w:t>CPU</w:t>
            </w:r>
          </w:p>
          <w:p w14:paraId="21385C7B" w14:textId="77777777" w:rsidR="00A44350" w:rsidRPr="00B1036B" w:rsidRDefault="00DB20E3" w:rsidP="00B1036B">
            <w:pPr>
              <w:pStyle w:val="Tablecontent"/>
            </w:pPr>
            <w:r w:rsidRPr="00B1036B">
              <w:t>Memory</w:t>
            </w:r>
          </w:p>
          <w:p w14:paraId="21788CC6" w14:textId="20A55000" w:rsidR="00DB20E3" w:rsidRPr="00B1036B" w:rsidRDefault="00DB20E3" w:rsidP="00B1036B">
            <w:pPr>
              <w:pStyle w:val="Tablecontent"/>
            </w:pPr>
            <w:r w:rsidRPr="00B1036B">
              <w:t>Storage</w:t>
            </w:r>
          </w:p>
        </w:tc>
        <w:tc>
          <w:tcPr>
            <w:tcW w:w="7064" w:type="dxa"/>
          </w:tcPr>
          <w:p w14:paraId="4C2FB728" w14:textId="07C0A022" w:rsidR="00A44350" w:rsidRPr="00B1036B" w:rsidRDefault="00A44350" w:rsidP="00B1036B">
            <w:pPr>
              <w:pStyle w:val="Tablecontent"/>
            </w:pPr>
            <w:r w:rsidRPr="00B1036B">
              <w:t>VM Performance. Especially if</w:t>
            </w:r>
            <w:r w:rsidR="00005D19" w:rsidRPr="00B1036B">
              <w:t xml:space="preserve"> </w:t>
            </w:r>
            <w:r w:rsidRPr="00B1036B">
              <w:t xml:space="preserve">Guest OS does </w:t>
            </w:r>
            <w:r w:rsidR="00005D19" w:rsidRPr="00B1036B">
              <w:t xml:space="preserve">a lot of </w:t>
            </w:r>
            <w:r w:rsidRPr="00B1036B">
              <w:t>CPU context switch</w:t>
            </w:r>
            <w:r w:rsidR="00005D19" w:rsidRPr="00B1036B">
              <w:t xml:space="preserve"> and </w:t>
            </w:r>
            <w:r w:rsidRPr="00B1036B">
              <w:t>VM size exceeds whole box total core counts.</w:t>
            </w:r>
          </w:p>
          <w:p w14:paraId="4A8321E8" w14:textId="59272D92" w:rsidR="00A44350" w:rsidRPr="00B1036B" w:rsidRDefault="00234965" w:rsidP="00B1036B">
            <w:pPr>
              <w:pStyle w:val="Tablecontent"/>
            </w:pPr>
            <w:r>
              <w:t>T</w:t>
            </w:r>
            <w:r w:rsidR="00B20268" w:rsidRPr="00B1036B">
              <w:t>he rest</w:t>
            </w:r>
            <w:r>
              <w:t xml:space="preserve"> of benefit is the</w:t>
            </w:r>
            <w:r w:rsidR="00B20268" w:rsidRPr="00B1036B">
              <w:t xml:space="preserve"> same with Idle VM as the portion </w:t>
            </w:r>
            <w:r w:rsidR="00A94361">
              <w:t>you</w:t>
            </w:r>
            <w:r w:rsidR="00B20268" w:rsidRPr="00B1036B">
              <w:t>’re reducing is idle.</w:t>
            </w:r>
          </w:p>
        </w:tc>
      </w:tr>
      <w:tr w:rsidR="00D37456" w:rsidRPr="00B1036B" w14:paraId="0F81F8C8" w14:textId="77777777" w:rsidTr="00B1036B">
        <w:trPr>
          <w:jc w:val="center"/>
        </w:trPr>
        <w:tc>
          <w:tcPr>
            <w:tcW w:w="1985" w:type="dxa"/>
            <w:shd w:val="clear" w:color="auto" w:fill="FFFFFF" w:themeFill="background1"/>
          </w:tcPr>
          <w:p w14:paraId="149DAFE0" w14:textId="77777777" w:rsidR="00D37456" w:rsidRPr="00B1036B" w:rsidRDefault="00D37456" w:rsidP="00B1036B">
            <w:pPr>
              <w:pStyle w:val="Tablecontent"/>
              <w:rPr>
                <w:b/>
                <w:bCs/>
              </w:rPr>
            </w:pPr>
            <w:r w:rsidRPr="00B1036B">
              <w:rPr>
                <w:b/>
                <w:bCs/>
              </w:rPr>
              <w:t>Idle VM</w:t>
            </w:r>
          </w:p>
        </w:tc>
        <w:tc>
          <w:tcPr>
            <w:tcW w:w="1417" w:type="dxa"/>
          </w:tcPr>
          <w:p w14:paraId="0070D5FB" w14:textId="77777777" w:rsidR="00D37456" w:rsidRPr="00B1036B" w:rsidRDefault="00D37456" w:rsidP="00B1036B">
            <w:pPr>
              <w:pStyle w:val="Tablecontent"/>
            </w:pPr>
            <w:r w:rsidRPr="00B1036B">
              <w:t>CPU</w:t>
            </w:r>
          </w:p>
          <w:p w14:paraId="72C0E2F3" w14:textId="77777777" w:rsidR="00D37456" w:rsidRPr="00B1036B" w:rsidRDefault="00D37456" w:rsidP="00B1036B">
            <w:pPr>
              <w:pStyle w:val="Tablecontent"/>
            </w:pPr>
            <w:r w:rsidRPr="00B1036B">
              <w:t>Memory</w:t>
            </w:r>
          </w:p>
          <w:p w14:paraId="03CDBB1B" w14:textId="5F76E2B0" w:rsidR="006D22DD" w:rsidRPr="00B1036B" w:rsidRDefault="006D22DD" w:rsidP="00B1036B">
            <w:pPr>
              <w:pStyle w:val="Tablecontent"/>
            </w:pPr>
            <w:r w:rsidRPr="00B1036B">
              <w:t>Storage</w:t>
            </w:r>
          </w:p>
        </w:tc>
        <w:tc>
          <w:tcPr>
            <w:tcW w:w="7064" w:type="dxa"/>
          </w:tcPr>
          <w:p w14:paraId="068FA1C7" w14:textId="77777777" w:rsidR="00D37456" w:rsidRPr="00B1036B" w:rsidRDefault="00D37456" w:rsidP="00B1036B">
            <w:pPr>
              <w:pStyle w:val="Tablecontent"/>
            </w:pPr>
            <w:r w:rsidRPr="00B1036B">
              <w:t>Cluster Capacity, especially if you use allocation model.</w:t>
            </w:r>
          </w:p>
          <w:p w14:paraId="4F3DF949" w14:textId="6EFBC200" w:rsidR="00D37456" w:rsidRPr="00B1036B" w:rsidRDefault="00D37456" w:rsidP="00B1036B">
            <w:pPr>
              <w:pStyle w:val="Tablecontent"/>
            </w:pPr>
            <w:r w:rsidRPr="00B1036B">
              <w:t xml:space="preserve">Cluster RAM as idle RAM pages </w:t>
            </w:r>
            <w:r w:rsidR="004622EB">
              <w:t xml:space="preserve">tend to </w:t>
            </w:r>
            <w:r w:rsidR="00A94361">
              <w:t>occup</w:t>
            </w:r>
            <w:r w:rsidR="004622EB">
              <w:t>y</w:t>
            </w:r>
            <w:r w:rsidRPr="00B1036B">
              <w:t xml:space="preserve"> ESXi memory.</w:t>
            </w:r>
            <w:r w:rsidR="004622EB">
              <w:t xml:space="preserve"> One quick way to free up is the reboot the VM.</w:t>
            </w:r>
          </w:p>
          <w:p w14:paraId="1791439C" w14:textId="7F2FEDD1" w:rsidR="00D37456" w:rsidRPr="00B1036B" w:rsidRDefault="00D37456" w:rsidP="00B1036B">
            <w:pPr>
              <w:pStyle w:val="Tablecontent"/>
            </w:pPr>
            <w:r w:rsidRPr="00B1036B">
              <w:t xml:space="preserve">Negligible savings on CPU demand as idle loop hardly occupies </w:t>
            </w:r>
            <w:r w:rsidR="00EF535F" w:rsidRPr="00B1036B">
              <w:t xml:space="preserve">real CPU </w:t>
            </w:r>
            <w:r w:rsidRPr="00B1036B">
              <w:t>cycles.</w:t>
            </w:r>
          </w:p>
          <w:p w14:paraId="3ADB70C5" w14:textId="663EC99E" w:rsidR="00D37456" w:rsidRPr="00B1036B" w:rsidRDefault="00EF535F" w:rsidP="00B1036B">
            <w:pPr>
              <w:pStyle w:val="Tablecontent"/>
            </w:pPr>
            <w:r w:rsidRPr="00B1036B">
              <w:t>Savings on storage only happen when you delete the VM.</w:t>
            </w:r>
          </w:p>
        </w:tc>
      </w:tr>
      <w:tr w:rsidR="00A44350" w:rsidRPr="00B1036B" w14:paraId="19A53CAA" w14:textId="77777777" w:rsidTr="00B1036B">
        <w:trPr>
          <w:jc w:val="center"/>
        </w:trPr>
        <w:tc>
          <w:tcPr>
            <w:tcW w:w="1985" w:type="dxa"/>
            <w:shd w:val="clear" w:color="auto" w:fill="FFFFFF" w:themeFill="background1"/>
          </w:tcPr>
          <w:p w14:paraId="743DDD75" w14:textId="14CCE838" w:rsidR="00A44350" w:rsidRPr="00B1036B" w:rsidRDefault="00A44350" w:rsidP="00B1036B">
            <w:pPr>
              <w:pStyle w:val="Tablecontent"/>
              <w:rPr>
                <w:b/>
                <w:bCs/>
              </w:rPr>
            </w:pPr>
            <w:r w:rsidRPr="00B1036B">
              <w:rPr>
                <w:b/>
                <w:bCs/>
              </w:rPr>
              <w:t>Powered off VM</w:t>
            </w:r>
          </w:p>
        </w:tc>
        <w:tc>
          <w:tcPr>
            <w:tcW w:w="1417" w:type="dxa"/>
          </w:tcPr>
          <w:p w14:paraId="1DD1B82D" w14:textId="67371AC5" w:rsidR="00A44350" w:rsidRPr="00B1036B" w:rsidRDefault="00DB20E3" w:rsidP="00B1036B">
            <w:pPr>
              <w:pStyle w:val="Tablecontent"/>
            </w:pPr>
            <w:r w:rsidRPr="00B1036B">
              <w:t>Storage</w:t>
            </w:r>
          </w:p>
        </w:tc>
        <w:tc>
          <w:tcPr>
            <w:tcW w:w="7064" w:type="dxa"/>
          </w:tcPr>
          <w:p w14:paraId="0465C26D" w14:textId="5B2E647B" w:rsidR="00A44350" w:rsidRPr="00B1036B" w:rsidRDefault="00A44350" w:rsidP="00B1036B">
            <w:pPr>
              <w:pStyle w:val="Tablecontent"/>
            </w:pPr>
            <w:r w:rsidRPr="00B1036B">
              <w:t>Datastore Capacity</w:t>
            </w:r>
          </w:p>
        </w:tc>
      </w:tr>
      <w:tr w:rsidR="00A44350" w:rsidRPr="00B1036B" w14:paraId="1ED20326" w14:textId="77777777" w:rsidTr="00B1036B">
        <w:trPr>
          <w:jc w:val="center"/>
        </w:trPr>
        <w:tc>
          <w:tcPr>
            <w:tcW w:w="1985" w:type="dxa"/>
            <w:shd w:val="clear" w:color="auto" w:fill="FFFFFF" w:themeFill="background1"/>
          </w:tcPr>
          <w:p w14:paraId="1B26C5C9" w14:textId="4BA29C56" w:rsidR="00A44350" w:rsidRPr="00B1036B" w:rsidRDefault="00A44350" w:rsidP="00B1036B">
            <w:pPr>
              <w:pStyle w:val="Tablecontent"/>
              <w:rPr>
                <w:b/>
                <w:bCs/>
              </w:rPr>
            </w:pPr>
            <w:r w:rsidRPr="00B1036B">
              <w:rPr>
                <w:b/>
                <w:bCs/>
              </w:rPr>
              <w:t>Orphaned VMDK</w:t>
            </w:r>
          </w:p>
        </w:tc>
        <w:tc>
          <w:tcPr>
            <w:tcW w:w="1417" w:type="dxa"/>
          </w:tcPr>
          <w:p w14:paraId="54852FB1" w14:textId="68A2350D" w:rsidR="00A44350" w:rsidRPr="00B1036B" w:rsidRDefault="003E640E" w:rsidP="00B1036B">
            <w:pPr>
              <w:pStyle w:val="Tablecontent"/>
            </w:pPr>
            <w:r w:rsidRPr="00B1036B">
              <w:t>Storage</w:t>
            </w:r>
          </w:p>
        </w:tc>
        <w:tc>
          <w:tcPr>
            <w:tcW w:w="7064" w:type="dxa"/>
          </w:tcPr>
          <w:p w14:paraId="397E8058" w14:textId="6E307854" w:rsidR="00A44350" w:rsidRPr="00B1036B" w:rsidRDefault="00A44350" w:rsidP="00B1036B">
            <w:pPr>
              <w:pStyle w:val="Tablecontent"/>
            </w:pPr>
            <w:r w:rsidRPr="00B1036B">
              <w:t>Datastore Capacity. Does not impact cluster capacity</w:t>
            </w:r>
          </w:p>
        </w:tc>
      </w:tr>
      <w:tr w:rsidR="00A44350" w:rsidRPr="00B1036B" w14:paraId="2835C108" w14:textId="77777777" w:rsidTr="00B1036B">
        <w:trPr>
          <w:jc w:val="center"/>
        </w:trPr>
        <w:tc>
          <w:tcPr>
            <w:tcW w:w="1985" w:type="dxa"/>
            <w:shd w:val="clear" w:color="auto" w:fill="FFFFFF" w:themeFill="background1"/>
          </w:tcPr>
          <w:p w14:paraId="1925559F" w14:textId="385459A6" w:rsidR="00A44350" w:rsidRPr="00B1036B" w:rsidRDefault="00A44350" w:rsidP="00B1036B">
            <w:pPr>
              <w:pStyle w:val="Tablecontent"/>
              <w:rPr>
                <w:b/>
                <w:bCs/>
              </w:rPr>
            </w:pPr>
            <w:r w:rsidRPr="00B1036B">
              <w:rPr>
                <w:b/>
                <w:bCs/>
              </w:rPr>
              <w:t>Snapshot</w:t>
            </w:r>
          </w:p>
        </w:tc>
        <w:tc>
          <w:tcPr>
            <w:tcW w:w="1417" w:type="dxa"/>
          </w:tcPr>
          <w:p w14:paraId="00066AB8" w14:textId="632CD134" w:rsidR="00A44350" w:rsidRPr="00B1036B" w:rsidRDefault="003E640E" w:rsidP="00B1036B">
            <w:pPr>
              <w:pStyle w:val="Tablecontent"/>
            </w:pPr>
            <w:r w:rsidRPr="00B1036B">
              <w:t>Storage</w:t>
            </w:r>
          </w:p>
        </w:tc>
        <w:tc>
          <w:tcPr>
            <w:tcW w:w="7064" w:type="dxa"/>
          </w:tcPr>
          <w:p w14:paraId="485263E4" w14:textId="55CEF7D4" w:rsidR="00A44350" w:rsidRPr="00B1036B" w:rsidRDefault="00A44350" w:rsidP="00B1036B">
            <w:pPr>
              <w:pStyle w:val="Tablecontent"/>
            </w:pPr>
            <w:r w:rsidRPr="00B1036B">
              <w:t xml:space="preserve">Datastore Capacity. </w:t>
            </w:r>
          </w:p>
        </w:tc>
      </w:tr>
      <w:tr w:rsidR="003E640E" w:rsidRPr="00B1036B" w14:paraId="38371BCD" w14:textId="77777777" w:rsidTr="00B1036B">
        <w:trPr>
          <w:jc w:val="center"/>
        </w:trPr>
        <w:tc>
          <w:tcPr>
            <w:tcW w:w="1985" w:type="dxa"/>
            <w:shd w:val="clear" w:color="auto" w:fill="FFFFFF" w:themeFill="background1"/>
          </w:tcPr>
          <w:p w14:paraId="48D14B99" w14:textId="5E97AF62" w:rsidR="003E640E" w:rsidRPr="00B1036B" w:rsidRDefault="003E640E" w:rsidP="00B1036B">
            <w:pPr>
              <w:pStyle w:val="Tablecontent"/>
              <w:rPr>
                <w:b/>
                <w:bCs/>
              </w:rPr>
            </w:pPr>
            <w:r w:rsidRPr="00B1036B">
              <w:rPr>
                <w:b/>
                <w:bCs/>
              </w:rPr>
              <w:t>Unmapped</w:t>
            </w:r>
          </w:p>
        </w:tc>
        <w:tc>
          <w:tcPr>
            <w:tcW w:w="1417" w:type="dxa"/>
          </w:tcPr>
          <w:p w14:paraId="204E0BD1" w14:textId="4762CC9F" w:rsidR="003E640E" w:rsidRPr="00B1036B" w:rsidRDefault="003E640E" w:rsidP="00B1036B">
            <w:pPr>
              <w:pStyle w:val="Tablecontent"/>
            </w:pPr>
            <w:r w:rsidRPr="00B1036B">
              <w:t>Storage</w:t>
            </w:r>
          </w:p>
        </w:tc>
        <w:tc>
          <w:tcPr>
            <w:tcW w:w="7064" w:type="dxa"/>
          </w:tcPr>
          <w:p w14:paraId="6D282598" w14:textId="50D77041" w:rsidR="003E640E" w:rsidRPr="00B1036B" w:rsidRDefault="003E640E" w:rsidP="00B1036B">
            <w:pPr>
              <w:pStyle w:val="Tablecontent"/>
            </w:pPr>
            <w:r w:rsidRPr="00B1036B">
              <w:t>Datastore Capacity</w:t>
            </w:r>
          </w:p>
        </w:tc>
      </w:tr>
    </w:tbl>
    <w:p w14:paraId="412158D4" w14:textId="77777777" w:rsidR="00B430E4" w:rsidRDefault="00B430E4" w:rsidP="00B430E4">
      <w:pPr>
        <w:pStyle w:val="BeforeTable"/>
      </w:pPr>
    </w:p>
    <w:p w14:paraId="50D7E697" w14:textId="25F84950" w:rsidR="00B06936" w:rsidRPr="00604AF5" w:rsidRDefault="00B06936" w:rsidP="00B06936">
      <w:r w:rsidRPr="00604AF5">
        <w:t xml:space="preserve">There are </w:t>
      </w:r>
      <w:r w:rsidR="006A36D9">
        <w:t>6</w:t>
      </w:r>
      <w:r w:rsidRPr="00604AF5">
        <w:t xml:space="preserve"> areas of reclamation</w:t>
      </w:r>
      <w:r w:rsidR="000C345C">
        <w:t>, from the easiest to the hardest</w:t>
      </w:r>
      <w:r w:rsidRPr="00604AF5">
        <w:t>. Naturally, the logic differs for each.</w:t>
      </w:r>
    </w:p>
    <w:p w14:paraId="05B611EA" w14:textId="2FFFED98" w:rsidR="00B06936" w:rsidRPr="00604AF5" w:rsidRDefault="00041397" w:rsidP="00B45100">
      <w:pPr>
        <w:jc w:val="center"/>
      </w:pPr>
      <w:r w:rsidRPr="00041397">
        <w:rPr>
          <w:noProof/>
        </w:rPr>
        <w:drawing>
          <wp:inline distT="0" distB="0" distL="0" distR="0" wp14:anchorId="084AB365" wp14:editId="0207E127">
            <wp:extent cx="6645910" cy="2222500"/>
            <wp:effectExtent l="0" t="0" r="2540" b="6350"/>
            <wp:docPr id="1293284854" name="Picture 1293284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645910" cy="2222500"/>
                    </a:xfrm>
                    <a:prstGeom prst="rect">
                      <a:avLst/>
                    </a:prstGeom>
                  </pic:spPr>
                </pic:pic>
              </a:graphicData>
            </a:graphic>
          </wp:inline>
        </w:drawing>
      </w:r>
    </w:p>
    <w:p w14:paraId="28CFAB2F" w14:textId="77777777" w:rsidR="00B06936" w:rsidRPr="00604AF5" w:rsidRDefault="00B06936" w:rsidP="00B06936">
      <w:pPr>
        <w:rPr>
          <w:lang w:eastAsia="en-SG"/>
        </w:rPr>
      </w:pPr>
      <w:r w:rsidRPr="70F05EAA">
        <w:rPr>
          <w:lang w:eastAsia="en-SG"/>
        </w:rPr>
        <w:t>Non VM files are the easiest, because they are not owned by someone else. They are yours! Non VM objects, such as templates and ISOs should be kept in 1 Datastore per physical location. Naturally, you can only reclaim Disk, and not CPU &amp; RAM.</w:t>
      </w:r>
    </w:p>
    <w:p w14:paraId="41E70004" w14:textId="22E51211" w:rsidR="00B06936" w:rsidRPr="00604AF5" w:rsidRDefault="00B06936" w:rsidP="00B06936">
      <w:pPr>
        <w:rPr>
          <w:lang w:val="en-US" w:eastAsia="en-SG"/>
        </w:rPr>
      </w:pPr>
      <w:r w:rsidRPr="70F05EAA">
        <w:rPr>
          <w:lang w:val="en-US" w:eastAsia="en-SG"/>
        </w:rPr>
        <w:t xml:space="preserve">An </w:t>
      </w:r>
      <w:r w:rsidR="000C345C">
        <w:rPr>
          <w:lang w:val="en-US" w:eastAsia="en-SG"/>
        </w:rPr>
        <w:t>o</w:t>
      </w:r>
      <w:r w:rsidRPr="70F05EAA">
        <w:rPr>
          <w:lang w:val="en-US" w:eastAsia="en-SG"/>
        </w:rPr>
        <w:t xml:space="preserve">rphaned file is a file in the datastore that is no longer associated with any VM. </w:t>
      </w:r>
      <w:r w:rsidRPr="70F05EAA">
        <w:rPr>
          <w:lang w:eastAsia="en-SG"/>
        </w:rPr>
        <w:t xml:space="preserve">Orphaned VMs and orphaned </w:t>
      </w:r>
      <w:hyperlink r:id="rId162" w:history="1">
        <w:r w:rsidRPr="00856618">
          <w:rPr>
            <w:rStyle w:val="Hyperlink"/>
            <w:lang w:eastAsia="en-SG"/>
          </w:rPr>
          <w:t>VMDK</w:t>
        </w:r>
      </w:hyperlink>
      <w:r w:rsidRPr="70F05EAA">
        <w:rPr>
          <w:lang w:eastAsia="en-SG"/>
        </w:rPr>
        <w:t xml:space="preserve">’s are not even registered in vCenter. If they are, they may appear italicized, indicating something wrong. They may not have owners too. </w:t>
      </w:r>
    </w:p>
    <w:p w14:paraId="55F88067" w14:textId="623DA355" w:rsidR="00B06936" w:rsidRDefault="00B06936" w:rsidP="00B06936">
      <w:pPr>
        <w:rPr>
          <w:lang w:val="en-US" w:eastAsia="en-SG"/>
        </w:rPr>
      </w:pPr>
      <w:r w:rsidRPr="00604AF5">
        <w:rPr>
          <w:lang w:val="en-US" w:eastAsia="en-SG"/>
        </w:rPr>
        <w:t>For orphaned RDM, look from the storage array if there is any ESXi mounting it.</w:t>
      </w:r>
      <w:r w:rsidR="00701ED4">
        <w:rPr>
          <w:lang w:val="en-US" w:eastAsia="en-SG"/>
        </w:rPr>
        <w:t xml:space="preserve"> </w:t>
      </w:r>
      <w:r w:rsidR="00DA3F1D">
        <w:rPr>
          <w:lang w:val="en-US" w:eastAsia="en-SG"/>
        </w:rPr>
        <w:t>You need an adapter for the specific storage</w:t>
      </w:r>
      <w:r w:rsidR="00A171F2">
        <w:rPr>
          <w:lang w:val="en-US" w:eastAsia="en-SG"/>
        </w:rPr>
        <w:t xml:space="preserve"> you want to monitor.</w:t>
      </w:r>
    </w:p>
    <w:p w14:paraId="7C901808" w14:textId="77777777" w:rsidR="007C0BBE" w:rsidRPr="00604AF5" w:rsidRDefault="007C0BBE" w:rsidP="007C0BBE">
      <w:pPr>
        <w:rPr>
          <w:lang w:eastAsia="en-SG"/>
        </w:rPr>
      </w:pPr>
      <w:r w:rsidRPr="70F05EAA">
        <w:rPr>
          <w:lang w:val="en-US" w:eastAsia="en-SG"/>
        </w:rPr>
        <w:t xml:space="preserve">Snapshots are not backups, and they do cause performance problems to the VM if kept for extended periods of time. Keep them only for the purpose of protection during change. Once the change is validated as successful, keeping the snapshot does a disservice to the VM. A </w:t>
      </w:r>
      <w:r w:rsidRPr="70F05EAA">
        <w:rPr>
          <w:lang w:eastAsia="en-SG"/>
        </w:rPr>
        <w:t>Snapshot is easier to reclaim, hence vRealize Operations lists them separately.</w:t>
      </w:r>
    </w:p>
    <w:p w14:paraId="5C6FC74C" w14:textId="77777777" w:rsidR="002D7396" w:rsidRDefault="002D7396" w:rsidP="00AC6E1E">
      <w:pPr>
        <w:pStyle w:val="Heading4"/>
      </w:pPr>
      <w:r>
        <w:lastRenderedPageBreak/>
        <w:t>Reclamation Approach</w:t>
      </w:r>
    </w:p>
    <w:p w14:paraId="473DA48C" w14:textId="79DA52AA" w:rsidR="002D7396" w:rsidRDefault="002D7396" w:rsidP="002D7396">
      <w:pPr>
        <w:rPr>
          <w:lang w:eastAsia="en-SG"/>
        </w:rPr>
      </w:pPr>
      <w:r w:rsidRPr="70F05EAA">
        <w:rPr>
          <w:lang w:eastAsia="en-SG"/>
        </w:rPr>
        <w:t xml:space="preserve">Active VM </w:t>
      </w:r>
      <w:r>
        <w:rPr>
          <w:lang w:eastAsia="en-SG"/>
        </w:rPr>
        <w:t>is politically the hardest, as they serve business workload</w:t>
      </w:r>
      <w:r w:rsidRPr="70F05EAA">
        <w:rPr>
          <w:lang w:eastAsia="en-SG"/>
        </w:rPr>
        <w:t>. Focus on large VMs first. Take on CPU and RAM separately as they are easier to tackle when you split them. Divide and conquer.</w:t>
      </w:r>
      <w:r>
        <w:rPr>
          <w:lang w:eastAsia="en-SG"/>
        </w:rPr>
        <w:t xml:space="preserve"> If you reduce both, and application team claim performance impact, you need to restore both. </w:t>
      </w:r>
      <w:r w:rsidRPr="70F05EAA">
        <w:rPr>
          <w:lang w:eastAsia="en-SG"/>
        </w:rPr>
        <w:t xml:space="preserve">Claiming CPU and RAM from </w:t>
      </w:r>
      <w:r>
        <w:rPr>
          <w:lang w:eastAsia="en-SG"/>
        </w:rPr>
        <w:t>s</w:t>
      </w:r>
      <w:r w:rsidRPr="70F05EAA">
        <w:rPr>
          <w:lang w:eastAsia="en-SG"/>
        </w:rPr>
        <w:t>mall VMs can be futile, regardless of idle</w:t>
      </w:r>
      <w:r>
        <w:rPr>
          <w:lang w:eastAsia="en-SG"/>
        </w:rPr>
        <w:t>ness</w:t>
      </w:r>
      <w:r w:rsidRPr="70F05EAA">
        <w:rPr>
          <w:lang w:eastAsia="en-SG"/>
        </w:rPr>
        <w:t xml:space="preserve">. An idle VM with </w:t>
      </w:r>
      <w:r>
        <w:rPr>
          <w:lang w:eastAsia="en-SG"/>
        </w:rPr>
        <w:t>one</w:t>
      </w:r>
      <w:r w:rsidRPr="70F05EAA">
        <w:rPr>
          <w:lang w:eastAsia="en-SG"/>
        </w:rPr>
        <w:t xml:space="preserve"> vCPU cannot be further reduced. </w:t>
      </w:r>
      <w:r>
        <w:rPr>
          <w:lang w:eastAsia="en-SG"/>
        </w:rPr>
        <w:t xml:space="preserve">Focus on the large VMs, for the reason covered </w:t>
      </w:r>
      <w:hyperlink w:anchor="_Focus_on_Large" w:history="1">
        <w:r w:rsidRPr="00B408F1">
          <w:rPr>
            <w:rStyle w:val="Hyperlink"/>
            <w:lang w:eastAsia="en-SG"/>
          </w:rPr>
          <w:t>here</w:t>
        </w:r>
      </w:hyperlink>
      <w:r>
        <w:rPr>
          <w:lang w:eastAsia="en-SG"/>
        </w:rPr>
        <w:t xml:space="preserve">. </w:t>
      </w:r>
    </w:p>
    <w:p w14:paraId="47A24F6D" w14:textId="630869D4" w:rsidR="001D2AAD" w:rsidRDefault="001D2AAD" w:rsidP="00E7573A">
      <w:pPr>
        <w:pStyle w:val="Heading5"/>
        <w:rPr>
          <w:lang w:eastAsia="en-SG"/>
        </w:rPr>
      </w:pPr>
      <w:r>
        <w:rPr>
          <w:lang w:eastAsia="en-SG"/>
        </w:rPr>
        <w:t xml:space="preserve">Focus on Monster </w:t>
      </w:r>
      <w:r w:rsidR="0017739A">
        <w:rPr>
          <w:lang w:eastAsia="en-SG"/>
        </w:rPr>
        <w:t>VMs</w:t>
      </w:r>
    </w:p>
    <w:p w14:paraId="22DE64F4" w14:textId="77777777" w:rsidR="002D7396" w:rsidRPr="00C17739" w:rsidRDefault="002D7396" w:rsidP="002D7396">
      <w:r w:rsidRPr="00C17739">
        <w:t xml:space="preserve">When reducing </w:t>
      </w:r>
      <w:r>
        <w:t xml:space="preserve">oversized </w:t>
      </w:r>
      <w:r w:rsidRPr="00C17739">
        <w:t xml:space="preserve">VM </w:t>
      </w:r>
      <w:r>
        <w:t>or powering off idle VMs</w:t>
      </w:r>
      <w:r w:rsidRPr="00C17739">
        <w:t>, focus on large VMs. Let’s take an example for comparison</w:t>
      </w:r>
      <w:r>
        <w:t>:</w:t>
      </w:r>
    </w:p>
    <w:p w14:paraId="48D3B32A" w14:textId="77777777" w:rsidR="002D7396" w:rsidRPr="00C17739" w:rsidRDefault="002D7396" w:rsidP="002D7396">
      <w:pPr>
        <w:pStyle w:val="Bullet"/>
      </w:pPr>
      <w:r w:rsidRPr="00C17739">
        <w:t xml:space="preserve">Reduce 20 large VM. Average reduction is 10 vCPU. </w:t>
      </w:r>
    </w:p>
    <w:p w14:paraId="7C8D39E1" w14:textId="77777777" w:rsidR="002D7396" w:rsidRPr="00C17739" w:rsidRDefault="002D7396" w:rsidP="002D7396">
      <w:pPr>
        <w:pStyle w:val="Bullet"/>
      </w:pPr>
      <w:r w:rsidRPr="00C17739">
        <w:t>Reduce 100 small VM. Average reduction is 2 vCPU.</w:t>
      </w:r>
    </w:p>
    <w:p w14:paraId="50F274F5" w14:textId="77777777" w:rsidR="002D7396" w:rsidRPr="00C17739" w:rsidRDefault="002D7396" w:rsidP="002D7396">
      <w:r w:rsidRPr="00C17739">
        <w:t>In both scenarios, you reclaim 200 vCPU. But the large VM option delivers more benefits and is easier to realize. Here is why:</w:t>
      </w:r>
    </w:p>
    <w:p w14:paraId="007DBD8A" w14:textId="77777777" w:rsidR="002D7396" w:rsidRPr="00C17739" w:rsidRDefault="002D7396" w:rsidP="002D7396">
      <w:pPr>
        <w:pStyle w:val="Bullet"/>
      </w:pPr>
      <w:r w:rsidRPr="00C17739">
        <w:t>Every downsize is a battle because you are changing paradigm with “Less is More”. Plus, it requires downtime, which requires approval and change request process.</w:t>
      </w:r>
    </w:p>
    <w:p w14:paraId="72DD0523" w14:textId="77777777" w:rsidR="002D7396" w:rsidRPr="00C17739" w:rsidRDefault="002D7396" w:rsidP="002D7396">
      <w:pPr>
        <w:pStyle w:val="Bullet"/>
      </w:pPr>
      <w:r w:rsidRPr="00C17739">
        <w:t>Downsizing from 4 vCPU to 2 does not buy much nowadays with &gt;20 core Xeon.</w:t>
      </w:r>
    </w:p>
    <w:p w14:paraId="241AFDCA" w14:textId="77777777" w:rsidR="002D7396" w:rsidRPr="00C17739" w:rsidRDefault="002D7396" w:rsidP="002D7396">
      <w:pPr>
        <w:pStyle w:val="Bullet"/>
      </w:pPr>
      <w:r w:rsidRPr="00C17739">
        <w:t>No one likes to give up what they are given, especially if they are given little. By focusing on the large ones, you spend 20% effort to get 80% result.</w:t>
      </w:r>
    </w:p>
    <w:p w14:paraId="3A86E6F4" w14:textId="624C6B99" w:rsidR="002D7396" w:rsidRPr="00C17739" w:rsidRDefault="002D7396" w:rsidP="002D7396">
      <w:pPr>
        <w:pStyle w:val="Bullet"/>
      </w:pPr>
      <w:r>
        <w:t xml:space="preserve">Large VMs are also bad for other VMs, not just for themselves. They can impact other VMs, large or small. ESXi </w:t>
      </w:r>
      <w:r w:rsidR="00FD5A65">
        <w:t>VMkernel</w:t>
      </w:r>
      <w:r>
        <w:t xml:space="preserve"> scheduler has to find available cores for all the vCPUs, even though they are idle. Other VMs may be migrated from core to core, or socket to socket, as a result. There is a counter in </w:t>
      </w:r>
      <w:hyperlink w:anchor="_esxtop" w:history="1">
        <w:r w:rsidRPr="002A6EB0">
          <w:rPr>
            <w:rStyle w:val="Hyperlink"/>
          </w:rPr>
          <w:t>esxtop</w:t>
        </w:r>
      </w:hyperlink>
      <w:r>
        <w:t xml:space="preserve"> that tracks this migration.</w:t>
      </w:r>
    </w:p>
    <w:p w14:paraId="6456FDCC" w14:textId="6BA8BCCE" w:rsidR="002D7396" w:rsidRPr="00C17739" w:rsidRDefault="002D7396" w:rsidP="002D7396">
      <w:pPr>
        <w:pStyle w:val="Bullet"/>
      </w:pPr>
      <w:r w:rsidRPr="00C17739">
        <w:t xml:space="preserve">Large VMs tend to have slower performance. ESXi may not have all the available vCPU for them. Large VMs are slower as all their vCPU have to be scheduled. The counter CPU </w:t>
      </w:r>
      <w:r w:rsidR="00443625">
        <w:t>Co-stop</w:t>
      </w:r>
      <w:r w:rsidRPr="00C17739">
        <w:t xml:space="preserve"> tracks this.</w:t>
      </w:r>
    </w:p>
    <w:p w14:paraId="78536F2C" w14:textId="77777777" w:rsidR="002D7396" w:rsidRDefault="002D7396" w:rsidP="002D7396">
      <w:pPr>
        <w:pStyle w:val="Bullet"/>
      </w:pPr>
      <w:r>
        <w:t>Large VMs reduce consolidation ratio. You can pack more vCPU with smaller VMs than with big VMs.</w:t>
      </w:r>
    </w:p>
    <w:p w14:paraId="7E1FDBA4" w14:textId="0E36C82A" w:rsidR="00C3247B" w:rsidRPr="00604AF5" w:rsidRDefault="00C3247B" w:rsidP="00AC6E1E">
      <w:pPr>
        <w:pStyle w:val="Heading4"/>
      </w:pPr>
      <w:r>
        <w:t>Powered Off VM</w:t>
      </w:r>
    </w:p>
    <w:p w14:paraId="3BE9959A" w14:textId="04325D40" w:rsidR="00B06936" w:rsidRDefault="00061E67" w:rsidP="001447E6">
      <w:pPr>
        <w:rPr>
          <w:lang w:eastAsia="en-SG"/>
        </w:rPr>
      </w:pPr>
      <w:r>
        <w:rPr>
          <w:lang w:eastAsia="en-SG"/>
        </w:rPr>
        <w:t xml:space="preserve">Compared with orphaned VMDK, </w:t>
      </w:r>
      <w:r w:rsidR="00B06936" w:rsidRPr="70F05EAA">
        <w:rPr>
          <w:lang w:eastAsia="en-SG"/>
        </w:rPr>
        <w:t>Powered Off VMs are harder</w:t>
      </w:r>
      <w:r>
        <w:rPr>
          <w:lang w:eastAsia="en-SG"/>
        </w:rPr>
        <w:t xml:space="preserve"> to remove</w:t>
      </w:r>
      <w:r w:rsidR="00B06936" w:rsidRPr="70F05EAA">
        <w:rPr>
          <w:lang w:eastAsia="en-SG"/>
        </w:rPr>
        <w:t>, as there is now an owner of the VM. You need to deal with the VM Owner before you delete them. This is where tagging them with the owner email or Business unit would have been useful.</w:t>
      </w:r>
      <w:r>
        <w:rPr>
          <w:lang w:eastAsia="en-SG"/>
        </w:rPr>
        <w:t xml:space="preserve"> We discussed proposed tagging in Chapter 1, specifically </w:t>
      </w:r>
      <w:hyperlink w:anchor="_Business_Context" w:history="1">
        <w:r w:rsidRPr="00061E67">
          <w:rPr>
            <w:rStyle w:val="Hyperlink"/>
            <w:lang w:eastAsia="en-SG"/>
          </w:rPr>
          <w:t>here</w:t>
        </w:r>
      </w:hyperlink>
      <w:r>
        <w:rPr>
          <w:lang w:eastAsia="en-SG"/>
        </w:rPr>
        <w:t xml:space="preserve">. </w:t>
      </w:r>
    </w:p>
    <w:p w14:paraId="477E3E25" w14:textId="0B828B36" w:rsidR="001447E6" w:rsidRDefault="001447E6" w:rsidP="00BD3A41">
      <w:r>
        <w:t xml:space="preserve">There are different technique to define power off: </w:t>
      </w:r>
    </w:p>
    <w:p w14:paraId="31FCEEFA" w14:textId="10B847DD" w:rsidR="001447E6" w:rsidRDefault="001447E6" w:rsidP="001447E6">
      <w:pPr>
        <w:pStyle w:val="Bullet"/>
      </w:pPr>
      <w:r>
        <w:t xml:space="preserve">Non Stop. In this technique, you want the VM to be continuously powered off. A quick power on to check something in the VM will remove the VM from powered off list. </w:t>
      </w:r>
    </w:p>
    <w:p w14:paraId="08A99FFD" w14:textId="29B62029" w:rsidR="001447E6" w:rsidRDefault="001447E6" w:rsidP="001447E6">
      <w:pPr>
        <w:pStyle w:val="Bullet"/>
      </w:pPr>
      <w:r>
        <w:lastRenderedPageBreak/>
        <w:t xml:space="preserve">Percentile. In this technique, you can turn on the VM for a short period of time. </w:t>
      </w:r>
    </w:p>
    <w:p w14:paraId="64BC74A4" w14:textId="26795DAF" w:rsidR="001447E6" w:rsidRDefault="001447E6" w:rsidP="00BD3A41">
      <w:r>
        <w:t>Each technique has their own pro and cons. vRealize Operations use the non-stop as it is safer.</w:t>
      </w:r>
    </w:p>
    <w:p w14:paraId="1F989A12" w14:textId="36C7B122" w:rsidR="001447E6" w:rsidRDefault="001447E6" w:rsidP="00E7573A">
      <w:pPr>
        <w:pStyle w:val="Heading5"/>
      </w:pPr>
      <w:r>
        <w:t>Powered Off as Brake</w:t>
      </w:r>
    </w:p>
    <w:p w14:paraId="755159AF" w14:textId="77777777" w:rsidR="001447E6" w:rsidRDefault="001447E6" w:rsidP="001447E6">
      <w:pPr>
        <w:jc w:val="center"/>
      </w:pPr>
      <w:r w:rsidRPr="00BD3A41">
        <w:rPr>
          <w:noProof/>
          <w:lang w:eastAsia="en-SG"/>
        </w:rPr>
        <w:drawing>
          <wp:inline distT="0" distB="0" distL="0" distR="0" wp14:anchorId="6083B5A5" wp14:editId="15699C9B">
            <wp:extent cx="4417200" cy="1357200"/>
            <wp:effectExtent l="0" t="0" r="2540" b="0"/>
            <wp:docPr id="1293284852" name="Picture 129328485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52" name="Picture 1293284852" descr="Diagram&#10;&#10;Description automatically generated"/>
                    <pic:cNvPicPr/>
                  </pic:nvPicPr>
                  <pic:blipFill>
                    <a:blip r:embed="rId163"/>
                    <a:stretch>
                      <a:fillRect/>
                    </a:stretch>
                  </pic:blipFill>
                  <pic:spPr>
                    <a:xfrm>
                      <a:off x="0" y="0"/>
                      <a:ext cx="4417200" cy="1357200"/>
                    </a:xfrm>
                    <a:prstGeom prst="rect">
                      <a:avLst/>
                    </a:prstGeom>
                  </pic:spPr>
                </pic:pic>
              </a:graphicData>
            </a:graphic>
          </wp:inline>
        </w:drawing>
      </w:r>
    </w:p>
    <w:p w14:paraId="4C1E9662" w14:textId="3A94B0D9" w:rsidR="00BD3A41" w:rsidRPr="00604AF5" w:rsidRDefault="00BD3A41" w:rsidP="00BD3A41">
      <w:r w:rsidRPr="00604AF5">
        <w:t xml:space="preserve">Why do cars have </w:t>
      </w:r>
      <w:r>
        <w:t>brakes</w:t>
      </w:r>
      <w:r w:rsidRPr="00604AF5">
        <w:t>?</w:t>
      </w:r>
    </w:p>
    <w:p w14:paraId="4C7C196C" w14:textId="77777777" w:rsidR="00BD3A41" w:rsidRPr="00604AF5" w:rsidRDefault="00BD3A41" w:rsidP="00BD3A41">
      <w:r w:rsidRPr="00604AF5">
        <w:t xml:space="preserve">So </w:t>
      </w:r>
      <w:r>
        <w:t>they</w:t>
      </w:r>
      <w:r w:rsidRPr="00604AF5">
        <w:t xml:space="preserve"> can go faster!</w:t>
      </w:r>
    </w:p>
    <w:p w14:paraId="4FE82CAF" w14:textId="6E6051B7" w:rsidR="00BD3A41" w:rsidRPr="00604AF5" w:rsidRDefault="00BD3A41" w:rsidP="00BD3A41">
      <w:r w:rsidRPr="00604AF5">
        <w:t xml:space="preserve">Take advantage of Powered Off as the </w:t>
      </w:r>
      <w:r>
        <w:t>brakes</w:t>
      </w:r>
      <w:r w:rsidRPr="00604AF5">
        <w:t xml:space="preserve"> for your Idle VMs. If you treat Idle and Powered off as 1 continuum, you can power off the Idle VMs earlier. You get the benefit of CPU and RAM reclamation.</w:t>
      </w:r>
      <w:r>
        <w:t xml:space="preserve"> </w:t>
      </w:r>
      <w:r>
        <w:rPr>
          <w:lang w:eastAsia="en-SG"/>
        </w:rPr>
        <w:t>I</w:t>
      </w:r>
      <w:r w:rsidRPr="70F05EAA">
        <w:rPr>
          <w:lang w:eastAsia="en-SG"/>
        </w:rPr>
        <w:t>t’s a safer procedure</w:t>
      </w:r>
      <w:r>
        <w:rPr>
          <w:lang w:eastAsia="en-SG"/>
        </w:rPr>
        <w:t xml:space="preserve"> too, as y</w:t>
      </w:r>
      <w:r w:rsidRPr="70F05EAA">
        <w:rPr>
          <w:lang w:eastAsia="en-SG"/>
        </w:rPr>
        <w:t>ou can simply power it back on if you find that the VM is actually being used.</w:t>
      </w:r>
    </w:p>
    <w:p w14:paraId="4960B467" w14:textId="79D72A46" w:rsidR="00BD3A41" w:rsidRPr="00604AF5" w:rsidRDefault="00BD3A41" w:rsidP="00BD3A41">
      <w:r>
        <w:t xml:space="preserve">One major </w:t>
      </w:r>
      <w:r w:rsidRPr="00BD3A41">
        <w:rPr>
          <w:color w:val="FF0000"/>
        </w:rPr>
        <w:t xml:space="preserve">caveat </w:t>
      </w:r>
      <w:r>
        <w:t>if you do this, is the average utilization of the remaining VMs in the cluster becomes higher. As a result, you may not be able to achieve the overcommit ratio needed to break even.</w:t>
      </w:r>
    </w:p>
    <w:p w14:paraId="43BCFD0F" w14:textId="13EB70E2" w:rsidR="00B06936" w:rsidRPr="00604AF5" w:rsidRDefault="00B06936" w:rsidP="00AC6E1E">
      <w:pPr>
        <w:pStyle w:val="Heading4"/>
      </w:pPr>
      <w:r w:rsidRPr="00604AF5">
        <w:t xml:space="preserve">2 </w:t>
      </w:r>
      <w:r>
        <w:t>S</w:t>
      </w:r>
      <w:r w:rsidRPr="00604AF5">
        <w:t xml:space="preserve">ides of </w:t>
      </w:r>
      <w:r w:rsidR="00A65266">
        <w:t xml:space="preserve">a </w:t>
      </w:r>
      <w:r w:rsidR="007C0BBE">
        <w:t>Running VM</w:t>
      </w:r>
    </w:p>
    <w:p w14:paraId="4444F5A0" w14:textId="5FABFCE5" w:rsidR="00B06936" w:rsidRDefault="00A8353F" w:rsidP="00B06936">
      <w:r>
        <w:t>T</w:t>
      </w:r>
      <w:r w:rsidR="00B06936">
        <w:t>here are two reclamation</w:t>
      </w:r>
      <w:r w:rsidR="00B06936" w:rsidRPr="00604AF5">
        <w:t xml:space="preserve"> formula</w:t>
      </w:r>
      <w:r w:rsidR="00B975F8">
        <w:t xml:space="preserve"> for </w:t>
      </w:r>
      <w:r w:rsidR="00176196">
        <w:t>running VM (idle or not)</w:t>
      </w:r>
      <w:r w:rsidR="00B06936">
        <w:t>. The formula</w:t>
      </w:r>
      <w:r w:rsidR="00B06936" w:rsidRPr="00604AF5">
        <w:t xml:space="preserve"> is complex as it has 2 different </w:t>
      </w:r>
      <w:r w:rsidR="00B06936">
        <w:t>stages</w:t>
      </w:r>
      <w:r w:rsidR="00B06936" w:rsidRPr="00604AF5">
        <w:t>:</w:t>
      </w:r>
    </w:p>
    <w:p w14:paraId="52BE78B2" w14:textId="77777777" w:rsidR="00041B03" w:rsidRDefault="00041B03" w:rsidP="00041B03">
      <w:pPr>
        <w:pStyle w:val="BeforeTable"/>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701"/>
        <w:gridCol w:w="8755"/>
      </w:tblGrid>
      <w:tr w:rsidR="00B06936" w14:paraId="42ED24C7" w14:textId="77777777" w:rsidTr="00477EA5">
        <w:tc>
          <w:tcPr>
            <w:tcW w:w="1701" w:type="dxa"/>
            <w:shd w:val="clear" w:color="auto" w:fill="F2F2F2" w:themeFill="background1" w:themeFillShade="F2"/>
          </w:tcPr>
          <w:p w14:paraId="248FD86A" w14:textId="77777777" w:rsidR="00B06936" w:rsidRPr="00E72F7F" w:rsidRDefault="00B06936" w:rsidP="004974AB">
            <w:pPr>
              <w:pStyle w:val="Tablecontent"/>
              <w:rPr>
                <w:b/>
                <w:bCs/>
                <w:color w:val="000000" w:themeColor="text1"/>
              </w:rPr>
            </w:pPr>
            <w:r w:rsidRPr="00E72F7F">
              <w:rPr>
                <w:b/>
                <w:bCs/>
                <w:color w:val="000000" w:themeColor="text1"/>
              </w:rPr>
              <w:t>Before</w:t>
            </w:r>
          </w:p>
        </w:tc>
        <w:tc>
          <w:tcPr>
            <w:tcW w:w="8755" w:type="dxa"/>
          </w:tcPr>
          <w:p w14:paraId="083E9349" w14:textId="64DDC275" w:rsidR="00A8353F" w:rsidRDefault="00B06936" w:rsidP="004974AB">
            <w:pPr>
              <w:pStyle w:val="Tablecontent"/>
            </w:pPr>
            <w:r w:rsidRPr="00604AF5">
              <w:t xml:space="preserve">Determine </w:t>
            </w:r>
            <w:r w:rsidRPr="006B43C8">
              <w:rPr>
                <w:i/>
                <w:iCs/>
                <w:color w:val="FF0000"/>
              </w:rPr>
              <w:t>if</w:t>
            </w:r>
            <w:r w:rsidRPr="006B43C8">
              <w:rPr>
                <w:color w:val="FF0000"/>
              </w:rPr>
              <w:t xml:space="preserve"> </w:t>
            </w:r>
            <w:r w:rsidRPr="00604AF5">
              <w:t xml:space="preserve">the VM falls under the category. For example, does the VM qualify as </w:t>
            </w:r>
            <w:r>
              <w:t xml:space="preserve">an </w:t>
            </w:r>
            <w:r w:rsidRPr="00604AF5">
              <w:t xml:space="preserve">Idle VM? This </w:t>
            </w:r>
            <w:r w:rsidR="00C32DA4">
              <w:t xml:space="preserve">should </w:t>
            </w:r>
            <w:r w:rsidRPr="00604AF5">
              <w:t xml:space="preserve">look inside the VM, as that’s where the workload runs. Measuring at </w:t>
            </w:r>
            <w:r>
              <w:t xml:space="preserve">the </w:t>
            </w:r>
            <w:r w:rsidRPr="00604AF5">
              <w:t xml:space="preserve">ESXi level </w:t>
            </w:r>
            <w:r w:rsidR="00A8353F">
              <w:t xml:space="preserve">could </w:t>
            </w:r>
            <w:r w:rsidRPr="00604AF5">
              <w:t xml:space="preserve">yield incorrect </w:t>
            </w:r>
            <w:r>
              <w:t>results</w:t>
            </w:r>
            <w:r w:rsidR="00C32DA4">
              <w:t xml:space="preserve"> </w:t>
            </w:r>
            <w:r w:rsidR="00A8353F">
              <w:t>because:</w:t>
            </w:r>
          </w:p>
          <w:p w14:paraId="2A720EAA" w14:textId="77777777" w:rsidR="00B06936" w:rsidRDefault="00A8353F">
            <w:pPr>
              <w:pStyle w:val="Tablecontent"/>
              <w:numPr>
                <w:ilvl w:val="0"/>
                <w:numId w:val="70"/>
              </w:numPr>
            </w:pPr>
            <w:r>
              <w:t xml:space="preserve">Some metrics </w:t>
            </w:r>
            <w:r w:rsidR="00C32DA4">
              <w:t>include loads not generated by the VM</w:t>
            </w:r>
            <w:r>
              <w:t xml:space="preserve"> that are charged to the VM, such as vSphere replication and vMotion</w:t>
            </w:r>
            <w:r w:rsidR="00C32DA4">
              <w:t>.</w:t>
            </w:r>
          </w:p>
          <w:p w14:paraId="3D6E1374" w14:textId="01209D19" w:rsidR="00A8353F" w:rsidRDefault="00A8353F">
            <w:pPr>
              <w:pStyle w:val="Tablecontent"/>
              <w:numPr>
                <w:ilvl w:val="0"/>
                <w:numId w:val="70"/>
              </w:numPr>
            </w:pPr>
            <w:r>
              <w:t>Some CPU metrics affected by power management.</w:t>
            </w:r>
          </w:p>
        </w:tc>
      </w:tr>
      <w:tr w:rsidR="00B06936" w14:paraId="30F50B79" w14:textId="77777777" w:rsidTr="00477EA5">
        <w:tc>
          <w:tcPr>
            <w:tcW w:w="1701" w:type="dxa"/>
            <w:shd w:val="clear" w:color="auto" w:fill="F2F2F2" w:themeFill="background1" w:themeFillShade="F2"/>
          </w:tcPr>
          <w:p w14:paraId="1EA8C5C1" w14:textId="77777777" w:rsidR="00B06936" w:rsidRPr="00E72F7F" w:rsidRDefault="00B06936" w:rsidP="004974AB">
            <w:pPr>
              <w:pStyle w:val="Tablecontent"/>
              <w:rPr>
                <w:b/>
                <w:bCs/>
                <w:color w:val="000000" w:themeColor="text1"/>
              </w:rPr>
            </w:pPr>
            <w:r w:rsidRPr="00E72F7F">
              <w:rPr>
                <w:b/>
                <w:bCs/>
                <w:color w:val="000000" w:themeColor="text1"/>
              </w:rPr>
              <w:t>After</w:t>
            </w:r>
          </w:p>
        </w:tc>
        <w:tc>
          <w:tcPr>
            <w:tcW w:w="8755" w:type="dxa"/>
          </w:tcPr>
          <w:p w14:paraId="502B875E" w14:textId="3CC7149B" w:rsidR="00B06936" w:rsidRDefault="00B06936" w:rsidP="004974AB">
            <w:pPr>
              <w:pStyle w:val="Tablecontent"/>
            </w:pPr>
            <w:r w:rsidRPr="00604AF5">
              <w:t xml:space="preserve">Determine </w:t>
            </w:r>
            <w:r w:rsidRPr="006B43C8">
              <w:rPr>
                <w:i/>
                <w:iCs/>
                <w:color w:val="FF0000"/>
              </w:rPr>
              <w:t>what</w:t>
            </w:r>
            <w:r w:rsidRPr="006B43C8">
              <w:rPr>
                <w:color w:val="FF0000"/>
              </w:rPr>
              <w:t xml:space="preserve"> </w:t>
            </w:r>
            <w:r w:rsidRPr="00604AF5">
              <w:t xml:space="preserve">can be reclaimed. Since what is being reclaimed is ESXi resources, the usage inside the Guest OS is irrelevant. The queue inside the Guest does not impact the hypervisor, so there is nothing to reclaim at </w:t>
            </w:r>
            <w:r>
              <w:t xml:space="preserve">the </w:t>
            </w:r>
            <w:r w:rsidRPr="00604AF5">
              <w:t xml:space="preserve">ESXi layer. All </w:t>
            </w:r>
            <w:r w:rsidR="008D3A3F">
              <w:t>metrics</w:t>
            </w:r>
            <w:r w:rsidRPr="00604AF5">
              <w:t xml:space="preserve"> are from ESXi. Guest OS </w:t>
            </w:r>
            <w:r w:rsidR="008D3A3F">
              <w:t>metrics</w:t>
            </w:r>
            <w:r w:rsidRPr="00604AF5">
              <w:t xml:space="preserve"> </w:t>
            </w:r>
            <w:r>
              <w:t xml:space="preserve">are </w:t>
            </w:r>
            <w:r w:rsidRPr="00604AF5">
              <w:t>not applicable as we’re not reclaiming from inside the Guest.</w:t>
            </w:r>
          </w:p>
        </w:tc>
      </w:tr>
    </w:tbl>
    <w:p w14:paraId="1BC06677" w14:textId="3D74E267" w:rsidR="00B06936" w:rsidRDefault="00B06936" w:rsidP="00B06936">
      <w:r w:rsidRPr="00604AF5">
        <w:t xml:space="preserve">So you need to apply 2 different </w:t>
      </w:r>
      <w:r>
        <w:t xml:space="preserve">types of </w:t>
      </w:r>
      <w:r w:rsidRPr="00604AF5">
        <w:t>logic.</w:t>
      </w:r>
    </w:p>
    <w:p w14:paraId="07903ECA" w14:textId="025BA635" w:rsidR="00BD3A41" w:rsidRDefault="00BD3A41" w:rsidP="00AC6E1E">
      <w:pPr>
        <w:pStyle w:val="Heading4"/>
      </w:pPr>
      <w:r w:rsidRPr="00DE5343">
        <w:lastRenderedPageBreak/>
        <w:t>Idle VM</w:t>
      </w:r>
    </w:p>
    <w:p w14:paraId="734F5361" w14:textId="6FC4BB60" w:rsidR="006E7626" w:rsidRDefault="006E7626" w:rsidP="006E7626">
      <w:r w:rsidRPr="00DE5343">
        <w:t xml:space="preserve">By definition, idle means it’s not doing useful business workload. A VM that is doing only </w:t>
      </w:r>
      <w:r>
        <w:t>non-business</w:t>
      </w:r>
      <w:r w:rsidRPr="00DE5343">
        <w:t xml:space="preserve"> workload (e.g. AV scan, Windows regular update) should be considered as idle. </w:t>
      </w:r>
      <w:r>
        <w:t xml:space="preserve">This non-business workload is hard to detect via </w:t>
      </w:r>
      <w:r w:rsidR="00377DB3">
        <w:t>unless you have process-specific whitelisting.</w:t>
      </w:r>
      <w:r w:rsidR="00AB4628">
        <w:t xml:space="preserve"> This is also not fool proof as some</w:t>
      </w:r>
      <w:r w:rsidR="007551A1">
        <w:t xml:space="preserve"> non-business software uses Windows or Linux system services as proxy. </w:t>
      </w:r>
    </w:p>
    <w:p w14:paraId="4FD8AB99" w14:textId="77777777" w:rsidR="00F77076" w:rsidRPr="00604AF5" w:rsidRDefault="00F77076" w:rsidP="00F77076">
      <w:pPr>
        <w:rPr>
          <w:lang w:eastAsia="en-SG"/>
        </w:rPr>
      </w:pPr>
      <w:r w:rsidRPr="70F05EAA">
        <w:rPr>
          <w:lang w:eastAsia="en-SG"/>
        </w:rPr>
        <w:t xml:space="preserve">Idle VM is a great target, as you can now claim CPU and RAM when you power them off. You cannot claim disk yet as you are not deleting them yet. Take note that you are not reclaiming real CPU cycle as it’s idle to begin with. </w:t>
      </w:r>
      <w:r>
        <w:t xml:space="preserve">Idle VM does not actually consume any ESXi CPU cycles. So reclaiming a 10 vCPU VM running only 1 vCPU does not give you 9 vCPU. You are reclaiming blank air. </w:t>
      </w:r>
      <w:r w:rsidRPr="70F05EAA">
        <w:rPr>
          <w:lang w:eastAsia="en-SG"/>
        </w:rPr>
        <w:t>For memory, you will reclaim real ESXi memory as idle VMs tend to have its consumed memory remained</w:t>
      </w:r>
      <w:r>
        <w:rPr>
          <w:lang w:eastAsia="en-SG"/>
        </w:rPr>
        <w:t xml:space="preserve"> on ESXi.</w:t>
      </w:r>
    </w:p>
    <w:p w14:paraId="2726E882" w14:textId="77777777" w:rsidR="00056ABB" w:rsidRPr="00DE5343" w:rsidRDefault="00056ABB" w:rsidP="00056ABB">
      <w:r>
        <w:t>Idle</w:t>
      </w:r>
      <w:r w:rsidRPr="00DE5343">
        <w:t xml:space="preserve"> VM has a </w:t>
      </w:r>
      <w:r>
        <w:t xml:space="preserve">default </w:t>
      </w:r>
      <w:r w:rsidRPr="00DE5343">
        <w:t xml:space="preserve">threshold of 100 Mhz. This means 5% utilization in a single vCPU VM running on a 2 GHz ESXi. This also means 0.25% on a 20 vCPU on the same ESXi. </w:t>
      </w:r>
      <w:r>
        <w:t>The reason for static is idle by definition is absolute, not relative to the VM size. Oversized VM is relative.</w:t>
      </w:r>
    </w:p>
    <w:p w14:paraId="1AB281DF" w14:textId="7BCB825B" w:rsidR="00056ABB" w:rsidRDefault="00056ABB" w:rsidP="00056ABB">
      <w:pPr>
        <w:rPr>
          <w:lang w:eastAsia="en-SG"/>
        </w:rPr>
      </w:pPr>
      <w:r w:rsidRPr="00DE5343">
        <w:rPr>
          <w:lang w:eastAsia="en-SG"/>
        </w:rPr>
        <w:t xml:space="preserve">While a VM uses CPU, RAM, Disk and Network, we only use CPU as a definition for Idle. There is no need to consider all 4, and require all 4 </w:t>
      </w:r>
      <w:r w:rsidRPr="42B45F1B">
        <w:rPr>
          <w:lang w:eastAsia="en-SG"/>
        </w:rPr>
        <w:t xml:space="preserve">to </w:t>
      </w:r>
      <w:r w:rsidRPr="00DE5343">
        <w:rPr>
          <w:lang w:eastAsia="en-SG"/>
        </w:rPr>
        <w:t xml:space="preserve">be idle, because they are inter-related. It takes CPU </w:t>
      </w:r>
      <w:r w:rsidRPr="42B45F1B">
        <w:rPr>
          <w:lang w:eastAsia="en-SG"/>
        </w:rPr>
        <w:t>cycles</w:t>
      </w:r>
      <w:r w:rsidRPr="00DE5343">
        <w:rPr>
          <w:lang w:eastAsia="en-SG"/>
        </w:rPr>
        <w:t xml:space="preserve"> to process </w:t>
      </w:r>
      <w:r w:rsidR="0066654B">
        <w:rPr>
          <w:lang w:eastAsia="en-SG"/>
        </w:rPr>
        <w:t>n</w:t>
      </w:r>
      <w:r w:rsidRPr="00DE5343">
        <w:rPr>
          <w:lang w:eastAsia="en-SG"/>
        </w:rPr>
        <w:t xml:space="preserve">etwork </w:t>
      </w:r>
      <w:r w:rsidR="0066654B">
        <w:rPr>
          <w:lang w:eastAsia="en-SG"/>
        </w:rPr>
        <w:t>p</w:t>
      </w:r>
      <w:r w:rsidRPr="00DE5343">
        <w:rPr>
          <w:lang w:eastAsia="en-SG"/>
        </w:rPr>
        <w:t xml:space="preserve">ackets and perform </w:t>
      </w:r>
      <w:r w:rsidR="0066654B">
        <w:rPr>
          <w:lang w:eastAsia="en-SG"/>
        </w:rPr>
        <w:t>d</w:t>
      </w:r>
      <w:r w:rsidRPr="00DE5343">
        <w:rPr>
          <w:lang w:eastAsia="en-SG"/>
        </w:rPr>
        <w:t xml:space="preserve">isk activity. Data from </w:t>
      </w:r>
      <w:r w:rsidRPr="42B45F1B">
        <w:rPr>
          <w:lang w:eastAsia="en-SG"/>
        </w:rPr>
        <w:t xml:space="preserve">the </w:t>
      </w:r>
      <w:r w:rsidR="00ED50AD">
        <w:rPr>
          <w:lang w:eastAsia="en-SG"/>
        </w:rPr>
        <w:t>network card</w:t>
      </w:r>
      <w:r w:rsidRPr="00DE5343">
        <w:rPr>
          <w:lang w:eastAsia="en-SG"/>
        </w:rPr>
        <w:t xml:space="preserve"> and </w:t>
      </w:r>
      <w:r w:rsidR="00ED50AD">
        <w:rPr>
          <w:lang w:eastAsia="en-SG"/>
        </w:rPr>
        <w:t>d</w:t>
      </w:r>
      <w:r w:rsidRPr="00DE5343">
        <w:rPr>
          <w:lang w:eastAsia="en-SG"/>
        </w:rPr>
        <w:t>isk must be copied to RAM</w:t>
      </w:r>
      <w:r w:rsidR="00ED50AD">
        <w:rPr>
          <w:lang w:eastAsia="en-SG"/>
        </w:rPr>
        <w:t xml:space="preserve"> before processing</w:t>
      </w:r>
      <w:r w:rsidRPr="00DE5343">
        <w:rPr>
          <w:lang w:eastAsia="en-SG"/>
        </w:rPr>
        <w:t xml:space="preserve">, and the copying effort requires CPU </w:t>
      </w:r>
      <w:r w:rsidRPr="42B45F1B">
        <w:rPr>
          <w:lang w:eastAsia="en-SG"/>
        </w:rPr>
        <w:t>cycles</w:t>
      </w:r>
      <w:r w:rsidRPr="00DE5343">
        <w:rPr>
          <w:lang w:eastAsia="en-SG"/>
        </w:rPr>
        <w:t>.</w:t>
      </w:r>
    </w:p>
    <w:p w14:paraId="4D2CF5CB" w14:textId="77777777" w:rsidR="00056ABB" w:rsidRPr="00DE5343" w:rsidRDefault="00056ABB" w:rsidP="00056ABB">
      <w:pPr>
        <w:rPr>
          <w:lang w:eastAsia="en-SG"/>
        </w:rPr>
      </w:pPr>
      <w:r>
        <w:rPr>
          <w:lang w:eastAsia="en-SG"/>
        </w:rPr>
        <w:t xml:space="preserve">Take note of a corner case limitation of VM with runaway CPU, where CPU is high but no meaningful memory access, network transmission (TX) and disk processing. Idle VM will fail to detect it. It’s a corner case, hence I think it’s not worth the complexity. Also, the CPU runaway typically happens on a process, which likely a single threaded. Use the CPU Usage Disparity (%) metrics to detect that. </w:t>
      </w:r>
    </w:p>
    <w:p w14:paraId="50DE45E9" w14:textId="77777777" w:rsidR="00056ABB" w:rsidRPr="00DE5343" w:rsidRDefault="00056ABB" w:rsidP="00056ABB">
      <w:pPr>
        <w:rPr>
          <w:lang w:eastAsia="en-SG"/>
        </w:rPr>
      </w:pPr>
      <w:r w:rsidRPr="00DE5343">
        <w:rPr>
          <w:lang w:eastAsia="en-SG"/>
        </w:rPr>
        <w:t>Idle has to be defined so it’s measurable and not subjective. Declare it as a formal policy so you don’t end up arguing with your customers.</w:t>
      </w:r>
    </w:p>
    <w:p w14:paraId="481E57F1" w14:textId="53A741BB" w:rsidR="00C32DA4" w:rsidRDefault="00010EB5" w:rsidP="00B06936">
      <w:r>
        <w:t>VM that is rarely used can appear idle, if you measure idleness over a long period of time. For example, if a VM is only productive (from business viewpoint) for 2 hours a week, that means the remaining 166 hours should be classified as idle. That’s 98.8% idle.</w:t>
      </w:r>
    </w:p>
    <w:p w14:paraId="6058E6E2" w14:textId="794CB5E5" w:rsidR="00AC53C5" w:rsidRDefault="00F14467" w:rsidP="0041144B">
      <w:pPr>
        <w:rPr>
          <w:color w:val="00B0F0"/>
        </w:rPr>
      </w:pPr>
      <w:r>
        <w:t xml:space="preserve">To counter the above, you want to evaluate idleness on a daily basis. A VM has to be idle every single day for </w:t>
      </w:r>
      <w:r w:rsidR="00194CEE" w:rsidRPr="00194CEE">
        <w:rPr>
          <w:color w:val="00B0F0"/>
        </w:rPr>
        <w:t>‘N’</w:t>
      </w:r>
      <w:r>
        <w:t xml:space="preserve"> number of days.</w:t>
      </w:r>
      <w:r w:rsidR="00912DA4">
        <w:t xml:space="preserve"> </w:t>
      </w:r>
      <w:r w:rsidR="002274B7">
        <w:t xml:space="preserve">This daily calculation is stored in the counter </w:t>
      </w:r>
      <w:r w:rsidR="0041144B" w:rsidRPr="00450AD7">
        <w:rPr>
          <w:b/>
          <w:bCs/>
          <w:color w:val="00B0F0"/>
        </w:rPr>
        <w:t>Idleness Indicator</w:t>
      </w:r>
      <w:r w:rsidR="00AC53C5">
        <w:rPr>
          <w:color w:val="00B0F0"/>
        </w:rPr>
        <w:t>.</w:t>
      </w:r>
    </w:p>
    <w:p w14:paraId="0820D61B" w14:textId="1F91DBCA" w:rsidR="002274B7" w:rsidRDefault="00AC53C5" w:rsidP="0041144B">
      <w:r>
        <w:t xml:space="preserve">It is a rolling counter. That means it </w:t>
      </w:r>
      <w:r w:rsidR="00450AD7">
        <w:t>is</w:t>
      </w:r>
      <w:r w:rsidR="0041144B">
        <w:t xml:space="preserve"> calculated every 5 </w:t>
      </w:r>
      <w:r w:rsidR="005F095F">
        <w:t>minutes,</w:t>
      </w:r>
      <w:r w:rsidR="0041144B">
        <w:t xml:space="preserve"> but each value takes the last 24 hours of data. </w:t>
      </w:r>
      <w:r>
        <w:t>This is better than calculating only once a day</w:t>
      </w:r>
      <w:r w:rsidR="006968C9">
        <w:t xml:space="preserve"> so that VM does not have to wait before it gets declared as idle or </w:t>
      </w:r>
      <w:r w:rsidR="0012204B">
        <w:t>n</w:t>
      </w:r>
      <w:r w:rsidR="006968C9">
        <w:t>ot.</w:t>
      </w:r>
    </w:p>
    <w:p w14:paraId="34304E78" w14:textId="2C799708" w:rsidR="0041144B" w:rsidRDefault="0041144B" w:rsidP="0041144B">
      <w:r>
        <w:t>As you can see in the following example, its value is only stored if there is a change.</w:t>
      </w:r>
      <w:r w:rsidR="00660E72">
        <w:t xml:space="preserve"> This makes it easier to see when and if it changes. </w:t>
      </w:r>
    </w:p>
    <w:p w14:paraId="3C3F1E8C" w14:textId="77777777" w:rsidR="0041144B" w:rsidRDefault="0041144B" w:rsidP="0041144B">
      <w:r w:rsidRPr="0039697D">
        <w:rPr>
          <w:noProof/>
        </w:rPr>
        <w:drawing>
          <wp:inline distT="0" distB="0" distL="0" distR="0" wp14:anchorId="420074D5" wp14:editId="268EE9E5">
            <wp:extent cx="6645910" cy="896620"/>
            <wp:effectExtent l="0" t="0" r="2540" b="0"/>
            <wp:docPr id="1293284823" name="Picture 1293284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645910" cy="896620"/>
                    </a:xfrm>
                    <a:prstGeom prst="rect">
                      <a:avLst/>
                    </a:prstGeom>
                  </pic:spPr>
                </pic:pic>
              </a:graphicData>
            </a:graphic>
          </wp:inline>
        </w:drawing>
      </w:r>
    </w:p>
    <w:p w14:paraId="11E43C0C" w14:textId="774291E7" w:rsidR="007A739C" w:rsidRDefault="0039355F" w:rsidP="00066D2F">
      <w:r>
        <w:t xml:space="preserve">Now that you have it daily, it’s a matter of </w:t>
      </w:r>
      <w:r w:rsidR="008A0656">
        <w:t xml:space="preserve">rolling up to the whole period (default value </w:t>
      </w:r>
      <w:r w:rsidR="00CC7813">
        <w:t>is 7 days</w:t>
      </w:r>
      <w:r w:rsidR="00752413">
        <w:t>)</w:t>
      </w:r>
      <w:r w:rsidR="00CC7813">
        <w:t>.</w:t>
      </w:r>
      <w:r w:rsidR="00BB27B6">
        <w:t xml:space="preserve"> We</w:t>
      </w:r>
      <w:r w:rsidR="00066D2F">
        <w:t xml:space="preserve"> </w:t>
      </w:r>
      <w:r w:rsidR="007A739C">
        <w:t>set the value to just 7 days</w:t>
      </w:r>
      <w:r w:rsidR="00066D2F">
        <w:t xml:space="preserve"> so you can see the calculation result within a week. </w:t>
      </w:r>
      <w:r w:rsidR="00420F96">
        <w:t xml:space="preserve">Note that we set to 100% and we ignore newly provisioned VM. </w:t>
      </w:r>
    </w:p>
    <w:p w14:paraId="3F27B727" w14:textId="1B1D83DD" w:rsidR="00B06936" w:rsidRPr="00DE5343" w:rsidRDefault="00066D2F" w:rsidP="00420F96">
      <w:pPr>
        <w:jc w:val="center"/>
      </w:pPr>
      <w:r w:rsidRPr="00066D2F">
        <w:rPr>
          <w:noProof/>
        </w:rPr>
        <w:lastRenderedPageBreak/>
        <w:drawing>
          <wp:inline distT="0" distB="0" distL="0" distR="0" wp14:anchorId="373392D6" wp14:editId="55795DF1">
            <wp:extent cx="5407200" cy="1062000"/>
            <wp:effectExtent l="0" t="0" r="3175" b="5080"/>
            <wp:docPr id="918289662" name="Picture 918289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5407200" cy="1062000"/>
                    </a:xfrm>
                    <a:prstGeom prst="rect">
                      <a:avLst/>
                    </a:prstGeom>
                  </pic:spPr>
                </pic:pic>
              </a:graphicData>
            </a:graphic>
          </wp:inline>
        </w:drawing>
      </w:r>
    </w:p>
    <w:p w14:paraId="519DD90D" w14:textId="1C4E86C6" w:rsidR="00AD2361" w:rsidRDefault="0053793D" w:rsidP="002546BE">
      <w:pPr>
        <w:rPr>
          <w:lang w:eastAsia="en-SG"/>
        </w:rPr>
      </w:pPr>
      <w:r>
        <w:rPr>
          <w:lang w:eastAsia="en-SG"/>
        </w:rPr>
        <w:t xml:space="preserve">Think of the </w:t>
      </w:r>
      <w:r w:rsidR="00F26C45">
        <w:rPr>
          <w:lang w:eastAsia="en-SG"/>
        </w:rPr>
        <w:t xml:space="preserve">various </w:t>
      </w:r>
      <w:r>
        <w:rPr>
          <w:lang w:eastAsia="en-SG"/>
        </w:rPr>
        <w:t xml:space="preserve">situation </w:t>
      </w:r>
      <w:r w:rsidR="00F26C45">
        <w:rPr>
          <w:lang w:eastAsia="en-SG"/>
        </w:rPr>
        <w:t xml:space="preserve">before extending from 1 week. For example, a </w:t>
      </w:r>
      <w:r w:rsidR="00894976">
        <w:rPr>
          <w:lang w:eastAsia="en-SG"/>
        </w:rPr>
        <w:t xml:space="preserve">VM has been in production for a few years. A new version of the application has been developed, and this VM is </w:t>
      </w:r>
      <w:r w:rsidR="00894976" w:rsidRPr="00DE5343">
        <w:rPr>
          <w:lang w:eastAsia="en-SG"/>
        </w:rPr>
        <w:t>being decommissioned</w:t>
      </w:r>
      <w:r w:rsidR="00894976">
        <w:rPr>
          <w:lang w:eastAsia="en-SG"/>
        </w:rPr>
        <w:t>.</w:t>
      </w:r>
      <w:r w:rsidR="005B75A6">
        <w:rPr>
          <w:lang w:eastAsia="en-SG"/>
        </w:rPr>
        <w:t xml:space="preserve"> The VM goes idle. As the application team does not inform infrastructure team, the VM </w:t>
      </w:r>
      <w:r w:rsidR="00981111">
        <w:rPr>
          <w:lang w:eastAsia="en-SG"/>
        </w:rPr>
        <w:t xml:space="preserve">will take at least 7 days before it’s marked as idle. If you change that to 1 month, it will take longer. </w:t>
      </w:r>
    </w:p>
    <w:p w14:paraId="25B6E4BE" w14:textId="5F03704D" w:rsidR="00DA7516" w:rsidRPr="00DE5343" w:rsidRDefault="00DA7516" w:rsidP="00DA7516">
      <w:pPr>
        <w:rPr>
          <w:lang w:eastAsia="en-SG"/>
        </w:rPr>
      </w:pPr>
      <w:r>
        <w:rPr>
          <w:lang w:eastAsia="en-SG"/>
        </w:rPr>
        <w:t xml:space="preserve">On the other hand, </w:t>
      </w:r>
      <w:r w:rsidR="00FE5716">
        <w:rPr>
          <w:lang w:eastAsia="en-SG"/>
        </w:rPr>
        <w:t>a</w:t>
      </w:r>
      <w:r w:rsidRPr="00DE5343">
        <w:rPr>
          <w:lang w:eastAsia="en-SG"/>
        </w:rPr>
        <w:t xml:space="preserve"> month-end VM that processes payroll can be idle for 29 days.</w:t>
      </w:r>
    </w:p>
    <w:p w14:paraId="7045C89E" w14:textId="79ACA3FC" w:rsidR="00FD691A" w:rsidRDefault="002546BE" w:rsidP="002546BE">
      <w:pPr>
        <w:rPr>
          <w:lang w:eastAsia="en-SG"/>
        </w:rPr>
      </w:pPr>
      <w:r>
        <w:rPr>
          <w:lang w:eastAsia="en-SG"/>
        </w:rPr>
        <w:t xml:space="preserve">The counter that covers the whole period is called </w:t>
      </w:r>
      <w:r w:rsidR="00320847" w:rsidRPr="003A3071">
        <w:rPr>
          <w:b/>
          <w:bCs/>
          <w:color w:val="00B0F0"/>
          <w:lang w:eastAsia="en-SG"/>
        </w:rPr>
        <w:t>Reclaimable Idle</w:t>
      </w:r>
      <w:r w:rsidR="00FD691A" w:rsidRPr="00FD691A">
        <w:rPr>
          <w:lang w:eastAsia="en-SG"/>
        </w:rPr>
        <w:t>.</w:t>
      </w:r>
      <w:r w:rsidR="00E83DF9">
        <w:rPr>
          <w:lang w:eastAsia="en-SG"/>
        </w:rPr>
        <w:t xml:space="preserve"> </w:t>
      </w:r>
    </w:p>
    <w:p w14:paraId="6F1C066F" w14:textId="650905DA" w:rsidR="00CA512B" w:rsidRDefault="00CA512B" w:rsidP="002546BE">
      <w:pPr>
        <w:rPr>
          <w:lang w:eastAsia="en-SG"/>
        </w:rPr>
      </w:pPr>
      <w:r>
        <w:rPr>
          <w:lang w:eastAsia="en-SG"/>
        </w:rPr>
        <w:t xml:space="preserve">It </w:t>
      </w:r>
      <w:r w:rsidRPr="00FD691A">
        <w:rPr>
          <w:lang w:eastAsia="en-SG"/>
        </w:rPr>
        <w:t>is a daily counter</w:t>
      </w:r>
      <w:r>
        <w:rPr>
          <w:lang w:eastAsia="en-SG"/>
        </w:rPr>
        <w:t xml:space="preserve">, that’s set to </w:t>
      </w:r>
      <w:r w:rsidRPr="00FD691A">
        <w:rPr>
          <w:lang w:eastAsia="en-SG"/>
        </w:rPr>
        <w:t xml:space="preserve">1 </w:t>
      </w:r>
      <w:r w:rsidR="00653B6A">
        <w:rPr>
          <w:lang w:eastAsia="en-SG"/>
        </w:rPr>
        <w:t>(true) if the VM meet the idle criteria.</w:t>
      </w:r>
    </w:p>
    <w:p w14:paraId="715AA656" w14:textId="29987B55" w:rsidR="00320847" w:rsidRDefault="00320847" w:rsidP="002546BE">
      <w:pPr>
        <w:rPr>
          <w:lang w:eastAsia="en-SG"/>
        </w:rPr>
      </w:pPr>
      <w:r w:rsidRPr="0039697D">
        <w:rPr>
          <w:noProof/>
        </w:rPr>
        <w:drawing>
          <wp:inline distT="0" distB="0" distL="0" distR="0" wp14:anchorId="59C046B1" wp14:editId="60095FF6">
            <wp:extent cx="6645910" cy="1026160"/>
            <wp:effectExtent l="0" t="0" r="2540" b="2540"/>
            <wp:docPr id="1293284822" name="Picture 1293284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645910" cy="1026160"/>
                    </a:xfrm>
                    <a:prstGeom prst="rect">
                      <a:avLst/>
                    </a:prstGeom>
                  </pic:spPr>
                </pic:pic>
              </a:graphicData>
            </a:graphic>
          </wp:inline>
        </w:drawing>
      </w:r>
    </w:p>
    <w:p w14:paraId="204986B2" w14:textId="71C529A0" w:rsidR="00194FBE" w:rsidRDefault="00194FBE" w:rsidP="00B01F20">
      <w:r>
        <w:t xml:space="preserve">To list the idle VM, you need both </w:t>
      </w:r>
      <w:r w:rsidR="008D3A3F">
        <w:t>metrics</w:t>
      </w:r>
      <w:r>
        <w:t xml:space="preserve"> to be true. </w:t>
      </w:r>
    </w:p>
    <w:p w14:paraId="493D47A3" w14:textId="4463B0F0" w:rsidR="00194FBE" w:rsidRDefault="00194FBE" w:rsidP="00B01F20">
      <w:r>
        <w:t xml:space="preserve">Why can’t you just use </w:t>
      </w:r>
      <w:r w:rsidR="008E2337" w:rsidRPr="008E2337">
        <w:rPr>
          <w:color w:val="00B0F0"/>
          <w:lang w:eastAsia="en-SG"/>
        </w:rPr>
        <w:t>Reclaimable Idle</w:t>
      </w:r>
      <w:r w:rsidR="008E2337">
        <w:rPr>
          <w:lang w:eastAsia="en-SG"/>
        </w:rPr>
        <w:t>?</w:t>
      </w:r>
    </w:p>
    <w:p w14:paraId="26C99273" w14:textId="432106AF" w:rsidR="008E2337" w:rsidRDefault="008E2337" w:rsidP="00B01F20">
      <w:r>
        <w:t xml:space="preserve">Because it’s a daily counter. You can mistakenly assume a VM is idle </w:t>
      </w:r>
      <w:r w:rsidR="00895D7C">
        <w:t>even though it’s recent activity shows it’s not idle anymore.</w:t>
      </w:r>
    </w:p>
    <w:p w14:paraId="3C7047D7" w14:textId="4381069A" w:rsidR="00417CDB" w:rsidRDefault="00417CDB" w:rsidP="00B01F20">
      <w:r>
        <w:t>In some environment, it can take time before a newly provisioned VM is used. Check the creation date of the VM before powering it off.</w:t>
      </w:r>
    </w:p>
    <w:p w14:paraId="47E70F0C" w14:textId="008EF4B6" w:rsidR="00CD4845" w:rsidRDefault="00CD4845" w:rsidP="00B01F20">
      <w:r>
        <w:t>Have we got all cases covered?</w:t>
      </w:r>
    </w:p>
    <w:p w14:paraId="33E7EE8B" w14:textId="385D9B02" w:rsidR="006134EC" w:rsidRDefault="00CD4845" w:rsidP="00666E38">
      <w:r>
        <w:t xml:space="preserve">Nope. There is </w:t>
      </w:r>
      <w:r w:rsidR="00214553" w:rsidRPr="00214553">
        <w:t xml:space="preserve">a corner case, where </w:t>
      </w:r>
      <w:r>
        <w:t xml:space="preserve">you </w:t>
      </w:r>
      <w:r w:rsidR="00214553" w:rsidRPr="00214553">
        <w:t>tighten the definition (say from 100 MHz to 50 MHz). What was Idle may no longer qualified for idle. We can recalculate the daily metric, but this consumes performance. So to be safe, we will restart again from Day 1. So if the Idle Window is 2 weeks, customers have to wait 2 weeks.</w:t>
      </w:r>
    </w:p>
    <w:p w14:paraId="3DD898AE" w14:textId="61A890DD" w:rsidR="00666E38" w:rsidRPr="00DE5343" w:rsidRDefault="00666E38" w:rsidP="006134EC">
      <w:pPr>
        <w:jc w:val="center"/>
      </w:pPr>
      <w:r w:rsidRPr="00666E38">
        <w:rPr>
          <w:noProof/>
        </w:rPr>
        <w:drawing>
          <wp:inline distT="0" distB="0" distL="0" distR="0" wp14:anchorId="1ACA4A00" wp14:editId="56F487CA">
            <wp:extent cx="3513600" cy="1555200"/>
            <wp:effectExtent l="0" t="0" r="0" b="6985"/>
            <wp:docPr id="918289652" name="Picture 918289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513600" cy="1555200"/>
                    </a:xfrm>
                    <a:prstGeom prst="rect">
                      <a:avLst/>
                    </a:prstGeom>
                  </pic:spPr>
                </pic:pic>
              </a:graphicData>
            </a:graphic>
          </wp:inline>
        </w:drawing>
      </w:r>
    </w:p>
    <w:p w14:paraId="1E98CFD6" w14:textId="41235285" w:rsidR="00B06936" w:rsidRPr="00DE5343" w:rsidRDefault="00B06936" w:rsidP="00AC6E1E">
      <w:pPr>
        <w:pStyle w:val="Heading4"/>
      </w:pPr>
      <w:r w:rsidRPr="00DE5343">
        <w:lastRenderedPageBreak/>
        <w:t>Oversized VM</w:t>
      </w:r>
    </w:p>
    <w:p w14:paraId="6769F718" w14:textId="0C06EF0B" w:rsidR="00B06936" w:rsidRPr="00DE5343" w:rsidRDefault="00B06936" w:rsidP="00B06936">
      <w:r w:rsidRPr="00DE5343">
        <w:t xml:space="preserve">Oversized VM has different logic </w:t>
      </w:r>
      <w:r>
        <w:t xml:space="preserve">than </w:t>
      </w:r>
      <w:r w:rsidRPr="00DE5343">
        <w:t>idle</w:t>
      </w:r>
      <w:r>
        <w:t xml:space="preserve"> VM since the</w:t>
      </w:r>
      <w:r w:rsidRPr="00DE5343">
        <w:t xml:space="preserve"> Idle VM definition does not depend on the size of the VM. The </w:t>
      </w:r>
      <w:r>
        <w:t xml:space="preserve">Idle VM </w:t>
      </w:r>
      <w:r w:rsidRPr="00DE5343">
        <w:t xml:space="preserve">definition simply </w:t>
      </w:r>
      <w:r>
        <w:t>measures</w:t>
      </w:r>
      <w:r w:rsidRPr="00DE5343">
        <w:t xml:space="preserve"> if the VM is generating enough workload or not. </w:t>
      </w:r>
      <w:r w:rsidR="00BD3835" w:rsidRPr="00DE5343">
        <w:t xml:space="preserve">Idle is </w:t>
      </w:r>
      <w:r w:rsidR="0097108C">
        <w:t xml:space="preserve">about </w:t>
      </w:r>
      <w:r w:rsidR="00BD3835" w:rsidRPr="00DE5343">
        <w:t xml:space="preserve">GHz, while Oversized </w:t>
      </w:r>
      <w:r w:rsidR="0097108C">
        <w:t>is about</w:t>
      </w:r>
      <w:r w:rsidR="00BD3835" w:rsidRPr="00DE5343">
        <w:t xml:space="preserve"> %.</w:t>
      </w:r>
    </w:p>
    <w:p w14:paraId="17F1947C" w14:textId="5A5493E6" w:rsidR="00B06936" w:rsidRPr="00DE5343" w:rsidRDefault="00B06936" w:rsidP="00B06936">
      <w:r w:rsidRPr="00DE5343">
        <w:t xml:space="preserve">Oversized VM depends on the size of the VM. A 64 vCPU VM running 7 vCPU is oversized, while an 8 vCPU running 7 vCPU is not. </w:t>
      </w:r>
    </w:p>
    <w:p w14:paraId="29DA21A7" w14:textId="77777777" w:rsidR="00B06936" w:rsidRPr="00DE5343" w:rsidRDefault="00B06936" w:rsidP="00B06936">
      <w:pPr>
        <w:pStyle w:val="BeforeTable"/>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2694"/>
        <w:gridCol w:w="7762"/>
      </w:tblGrid>
      <w:tr w:rsidR="00B06936" w:rsidRPr="00E51A31" w14:paraId="0725A8AE" w14:textId="77777777" w:rsidTr="00477EA5">
        <w:tc>
          <w:tcPr>
            <w:tcW w:w="2694" w:type="dxa"/>
            <w:shd w:val="clear" w:color="auto" w:fill="F2F2F2" w:themeFill="background1" w:themeFillShade="F2"/>
          </w:tcPr>
          <w:p w14:paraId="3049DDE2" w14:textId="77777777" w:rsidR="00B06936" w:rsidRPr="00B45100" w:rsidRDefault="00B06936" w:rsidP="004974AB">
            <w:pPr>
              <w:pStyle w:val="Tablecontent"/>
              <w:rPr>
                <w:b/>
                <w:bCs/>
              </w:rPr>
            </w:pPr>
            <w:r w:rsidRPr="00B45100">
              <w:rPr>
                <w:b/>
                <w:bCs/>
              </w:rPr>
              <w:t>VM Is undersized</w:t>
            </w:r>
          </w:p>
        </w:tc>
        <w:tc>
          <w:tcPr>
            <w:tcW w:w="7762" w:type="dxa"/>
          </w:tcPr>
          <w:p w14:paraId="1CD1F541" w14:textId="77777777" w:rsidR="00B06936" w:rsidRPr="00DE5343" w:rsidRDefault="00B06936" w:rsidP="004974AB">
            <w:pPr>
              <w:pStyle w:val="Tablecontent"/>
            </w:pPr>
            <w:r w:rsidRPr="00DE5343">
              <w:t>Calculated based on CPU &amp; RAM total capacity and recommended size values.</w:t>
            </w:r>
          </w:p>
          <w:p w14:paraId="3DBA8366" w14:textId="77777777" w:rsidR="00B06936" w:rsidRPr="00DE5343" w:rsidRDefault="00B06936" w:rsidP="004974AB">
            <w:pPr>
              <w:pStyle w:val="Tablecontent"/>
            </w:pPr>
            <w:r w:rsidRPr="00DE5343">
              <w:t xml:space="preserve">If for at least one of </w:t>
            </w:r>
            <w:r>
              <w:t xml:space="preserve">the </w:t>
            </w:r>
            <w:r w:rsidRPr="00DE5343">
              <w:t>containers (CPU or RAM) the recommended size &gt; total</w:t>
            </w:r>
          </w:p>
          <w:p w14:paraId="374FB027" w14:textId="77777777" w:rsidR="00B06936" w:rsidRPr="00DE5343" w:rsidRDefault="00B06936" w:rsidP="004974AB">
            <w:pPr>
              <w:pStyle w:val="Tablecontent"/>
            </w:pPr>
            <w:r w:rsidRPr="00DE5343">
              <w:t>The lowest value for increasing the CPU is 1 vCPU and for memory is 1 GB</w:t>
            </w:r>
          </w:p>
        </w:tc>
      </w:tr>
      <w:tr w:rsidR="00B06936" w:rsidRPr="00E51A31" w14:paraId="5967403F" w14:textId="77777777" w:rsidTr="00477EA5">
        <w:tc>
          <w:tcPr>
            <w:tcW w:w="2694" w:type="dxa"/>
            <w:shd w:val="clear" w:color="auto" w:fill="F2F2F2" w:themeFill="background1" w:themeFillShade="F2"/>
          </w:tcPr>
          <w:p w14:paraId="4AC4CCE3" w14:textId="77777777" w:rsidR="00B06936" w:rsidRPr="00B45100" w:rsidRDefault="00B06936" w:rsidP="004974AB">
            <w:pPr>
              <w:pStyle w:val="Tablecontent"/>
              <w:rPr>
                <w:b/>
                <w:bCs/>
              </w:rPr>
            </w:pPr>
            <w:r w:rsidRPr="00B45100">
              <w:rPr>
                <w:b/>
                <w:bCs/>
              </w:rPr>
              <w:t>VM is oversized</w:t>
            </w:r>
          </w:p>
        </w:tc>
        <w:tc>
          <w:tcPr>
            <w:tcW w:w="7762" w:type="dxa"/>
          </w:tcPr>
          <w:p w14:paraId="7AF50AB6" w14:textId="77777777" w:rsidR="00B06936" w:rsidRPr="00DE5343" w:rsidRDefault="00B06936" w:rsidP="004974AB">
            <w:pPr>
              <w:pStyle w:val="Tablecontent"/>
            </w:pPr>
            <w:r w:rsidRPr="00DE5343">
              <w:t>The VM is oversized if it is possible to reclaim a CPU or Memory.</w:t>
            </w:r>
          </w:p>
          <w:p w14:paraId="25A8D7B0" w14:textId="77777777" w:rsidR="00B06936" w:rsidRPr="00DE5343" w:rsidRDefault="00B06936" w:rsidP="004974AB">
            <w:pPr>
              <w:pStyle w:val="Tablecontent"/>
            </w:pPr>
            <w:r w:rsidRPr="00DE5343">
              <w:t>Calculated based on CPU &amp; RAM total capacity and recommended size values.</w:t>
            </w:r>
          </w:p>
        </w:tc>
      </w:tr>
      <w:tr w:rsidR="00B06936" w:rsidRPr="00E51A31" w14:paraId="2D1BB8B0" w14:textId="77777777" w:rsidTr="00477EA5">
        <w:tc>
          <w:tcPr>
            <w:tcW w:w="2694" w:type="dxa"/>
            <w:shd w:val="clear" w:color="auto" w:fill="F2F2F2" w:themeFill="background1" w:themeFillShade="F2"/>
          </w:tcPr>
          <w:p w14:paraId="69188B66" w14:textId="77777777" w:rsidR="00B06936" w:rsidRPr="00B45100" w:rsidRDefault="00B06936" w:rsidP="004974AB">
            <w:pPr>
              <w:pStyle w:val="Tablecontent"/>
              <w:rPr>
                <w:b/>
                <w:bCs/>
              </w:rPr>
            </w:pPr>
            <w:r w:rsidRPr="00B45100">
              <w:rPr>
                <w:b/>
                <w:bCs/>
              </w:rPr>
              <w:t xml:space="preserve">VM </w:t>
            </w:r>
            <w:r w:rsidRPr="00B45100">
              <w:rPr>
                <w:rFonts w:ascii="Calibri" w:eastAsia="Times New Roman" w:hAnsi="Calibri" w:cs="Calibri"/>
                <w:b/>
                <w:bCs/>
                <w:lang w:eastAsia="en-SG"/>
              </w:rPr>
              <w:t>Reclaimable CPU</w:t>
            </w:r>
          </w:p>
        </w:tc>
        <w:tc>
          <w:tcPr>
            <w:tcW w:w="7762" w:type="dxa"/>
          </w:tcPr>
          <w:p w14:paraId="6DA8B213" w14:textId="77777777" w:rsidR="00B06936" w:rsidRPr="00DE5343" w:rsidRDefault="00B06936" w:rsidP="004974AB">
            <w:pPr>
              <w:pStyle w:val="Tablecontent"/>
              <w:rPr>
                <w:rFonts w:ascii="Calibri" w:eastAsia="Times New Roman" w:hAnsi="Calibri" w:cs="Calibri"/>
                <w:lang w:eastAsia="en-SG"/>
              </w:rPr>
            </w:pPr>
            <w:r w:rsidRPr="00DE5343">
              <w:rPr>
                <w:rFonts w:ascii="Calibri" w:eastAsia="Times New Roman" w:hAnsi="Calibri" w:cs="Calibri"/>
                <w:lang w:eastAsia="en-SG"/>
              </w:rPr>
              <w:t>Calculated based on socket counts and core counts of VM</w:t>
            </w:r>
          </w:p>
          <w:p w14:paraId="7BC483ED" w14:textId="2B11FFCB" w:rsidR="00B06936" w:rsidRPr="00DE5343" w:rsidRDefault="00B06936" w:rsidP="00594785">
            <w:pPr>
              <w:pStyle w:val="Code"/>
            </w:pPr>
            <w:r w:rsidRPr="00DE5343">
              <w:t>= Minimum (( reclaimable Sockets * cores Per Socket + reclaimable Cores In Remaining Sockets), CPU Core Count</w:t>
            </w:r>
            <w:r w:rsidR="00701ED4">
              <w:t xml:space="preserve"> </w:t>
            </w:r>
            <w:r w:rsidRPr="00DE5343">
              <w:t>- 2)</w:t>
            </w:r>
          </w:p>
          <w:p w14:paraId="3D061335" w14:textId="77777777" w:rsidR="00B06936" w:rsidRPr="00DE5343" w:rsidRDefault="00B06936" w:rsidP="004974AB">
            <w:pPr>
              <w:pStyle w:val="Tablecontent"/>
            </w:pPr>
            <w:r w:rsidRPr="00DE5343">
              <w:rPr>
                <w:rFonts w:ascii="Calibri" w:eastAsia="Times New Roman" w:hAnsi="Calibri" w:cs="Calibri"/>
                <w:lang w:eastAsia="en-SG"/>
              </w:rPr>
              <w:t>Will not suggest the reclamation if the CPU Reclaimable value &lt; MHz Per Core value</w:t>
            </w:r>
          </w:p>
        </w:tc>
      </w:tr>
      <w:tr w:rsidR="00B06936" w:rsidRPr="00E51A31" w14:paraId="6EE264C3" w14:textId="77777777" w:rsidTr="00477EA5">
        <w:tc>
          <w:tcPr>
            <w:tcW w:w="2694" w:type="dxa"/>
            <w:shd w:val="clear" w:color="auto" w:fill="F2F2F2" w:themeFill="background1" w:themeFillShade="F2"/>
          </w:tcPr>
          <w:p w14:paraId="1B890903" w14:textId="77777777" w:rsidR="00B06936" w:rsidRPr="00B45100" w:rsidRDefault="00B06936" w:rsidP="004974AB">
            <w:pPr>
              <w:pStyle w:val="Tablecontent"/>
              <w:rPr>
                <w:b/>
                <w:bCs/>
              </w:rPr>
            </w:pPr>
            <w:r w:rsidRPr="00B45100">
              <w:rPr>
                <w:rFonts w:ascii="Calibri" w:eastAsia="Times New Roman" w:hAnsi="Calibri" w:cs="Calibri"/>
                <w:b/>
                <w:bCs/>
                <w:lang w:eastAsia="en-SG"/>
              </w:rPr>
              <w:t>VM Reclaimable Memory</w:t>
            </w:r>
          </w:p>
        </w:tc>
        <w:tc>
          <w:tcPr>
            <w:tcW w:w="7762" w:type="dxa"/>
          </w:tcPr>
          <w:p w14:paraId="732B8018" w14:textId="77777777" w:rsidR="00B06936" w:rsidRPr="00DE5343" w:rsidRDefault="00B06936" w:rsidP="00594785">
            <w:pPr>
              <w:pStyle w:val="Code"/>
            </w:pPr>
            <w:r w:rsidRPr="00DE5343">
              <w:t>= total Capacity – recommended Size</w:t>
            </w:r>
          </w:p>
          <w:p w14:paraId="66DE07E9" w14:textId="77777777" w:rsidR="00B06936" w:rsidRPr="00DE5343" w:rsidRDefault="00B06936" w:rsidP="004974AB">
            <w:pPr>
              <w:pStyle w:val="Tablecontent"/>
              <w:rPr>
                <w:rFonts w:ascii="Calibri" w:eastAsia="Times New Roman" w:hAnsi="Calibri" w:cs="Calibri"/>
                <w:lang w:eastAsia="en-SG"/>
              </w:rPr>
            </w:pPr>
            <w:r w:rsidRPr="00DE5343">
              <w:rPr>
                <w:rFonts w:ascii="Calibri" w:eastAsia="Times New Roman" w:hAnsi="Calibri" w:cs="Calibri"/>
                <w:lang w:eastAsia="en-SG"/>
              </w:rPr>
              <w:t>Must be ≥ 1 GB and the remaining capacity after reclamation should be ≥ 2 GB</w:t>
            </w:r>
          </w:p>
        </w:tc>
      </w:tr>
    </w:tbl>
    <w:p w14:paraId="065D2903" w14:textId="7FABB089" w:rsidR="00AF4AC9" w:rsidRDefault="005F095F" w:rsidP="00AF4AC9">
      <w:bookmarkStart w:id="37" w:name="_Large_VMs"/>
      <w:bookmarkEnd w:id="37"/>
      <w:r w:rsidRPr="00D9086A">
        <w:rPr>
          <w:color w:val="FF0000"/>
        </w:rPr>
        <w:t>Limitation</w:t>
      </w:r>
      <w:r>
        <w:t xml:space="preserve">: </w:t>
      </w:r>
      <w:r w:rsidR="00AF4AC9">
        <w:t xml:space="preserve">the implementation in vRealize Operations is based on </w:t>
      </w:r>
      <w:r>
        <w:t xml:space="preserve">projection, not a mere 5-minute or 1 day data. </w:t>
      </w:r>
      <w:r w:rsidR="00AF4AC9">
        <w:t xml:space="preserve">So if you power off an oversized VM, it remains considered as oversized until it passed the definition. </w:t>
      </w:r>
    </w:p>
    <w:p w14:paraId="214F861C" w14:textId="77777777" w:rsidR="0005573C" w:rsidRDefault="0005573C" w:rsidP="0005573C">
      <w:pPr>
        <w:pStyle w:val="Heading4"/>
      </w:pPr>
      <w:r>
        <w:t>TRIM and Unmap</w:t>
      </w:r>
    </w:p>
    <w:p w14:paraId="02D8B598" w14:textId="77777777" w:rsidR="0005573C" w:rsidRPr="0001254A" w:rsidRDefault="0005573C" w:rsidP="0005573C">
      <w:pPr>
        <w:rPr>
          <w:lang w:eastAsia="en-SG"/>
        </w:rPr>
      </w:pPr>
      <w:r>
        <w:rPr>
          <w:lang w:eastAsia="en-SG"/>
        </w:rPr>
        <w:t xml:space="preserve">When Guest OS delete files or parts of it, it does not replace the value with 0 and just leave the block. This is more efficient and also enable recovery. But this cause the underlying VMDK to grow. The same thing happen at the array level. This is where </w:t>
      </w:r>
      <w:hyperlink r:id="rId168" w:history="1">
        <w:r w:rsidRPr="002B6B75">
          <w:rPr>
            <w:rStyle w:val="Hyperlink"/>
            <w:lang w:eastAsia="en-SG"/>
          </w:rPr>
          <w:t>Trim and Unmap</w:t>
        </w:r>
      </w:hyperlink>
      <w:r>
        <w:rPr>
          <w:lang w:eastAsia="en-SG"/>
        </w:rPr>
        <w:t xml:space="preserve"> come in.</w:t>
      </w:r>
    </w:p>
    <w:p w14:paraId="4EBB3E64" w14:textId="77777777" w:rsidR="0005573C" w:rsidRDefault="0005573C" w:rsidP="0005573C">
      <w:pPr>
        <w:rPr>
          <w:lang w:eastAsia="en-SG"/>
        </w:rPr>
      </w:pPr>
      <w:r>
        <w:rPr>
          <w:lang w:eastAsia="en-SG"/>
        </w:rPr>
        <w:t>vRealize Operations tracks the unmap operations via 2 metrics at ESXi Host. The first one is Unmap IO, which tracks the number of unmap SCSI instructions. For example, if the value is 100, that means ESXi has sent 100 requests of unmap to its datastore. So think of it like IOPS, except the IO is not writing/reading actual block, but more of a request to delete (unmap) the block in the back end array. The value is the sum of 20 seconds since vSphere reports per 20 seconds, then averaged over 5 minutes. In the example below, you can see the host sends unmap commands frequently in the last 30 days.</w:t>
      </w:r>
    </w:p>
    <w:p w14:paraId="005568B0" w14:textId="77777777" w:rsidR="0005573C" w:rsidRDefault="0005573C" w:rsidP="0005573C">
      <w:pPr>
        <w:rPr>
          <w:lang w:eastAsia="en-SG"/>
        </w:rPr>
      </w:pPr>
      <w:r w:rsidRPr="00F13891">
        <w:rPr>
          <w:noProof/>
          <w:lang w:eastAsia="en-SG"/>
        </w:rPr>
        <w:lastRenderedPageBreak/>
        <w:drawing>
          <wp:inline distT="0" distB="0" distL="0" distR="0" wp14:anchorId="4BCAB572" wp14:editId="3A9FC65C">
            <wp:extent cx="6645910" cy="2254250"/>
            <wp:effectExtent l="0" t="0" r="2540" b="0"/>
            <wp:docPr id="1293284856" name="Picture 1293284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645910" cy="2254250"/>
                    </a:xfrm>
                    <a:prstGeom prst="rect">
                      <a:avLst/>
                    </a:prstGeom>
                  </pic:spPr>
                </pic:pic>
              </a:graphicData>
            </a:graphic>
          </wp:inline>
        </w:drawing>
      </w:r>
    </w:p>
    <w:p w14:paraId="679DD0B2" w14:textId="77777777" w:rsidR="0005573C" w:rsidRDefault="0005573C" w:rsidP="0005573C">
      <w:pPr>
        <w:rPr>
          <w:lang w:eastAsia="en-SG"/>
        </w:rPr>
      </w:pPr>
      <w:r>
        <w:rPr>
          <w:lang w:eastAsia="en-SG"/>
        </w:rPr>
        <w:t>The second metric is Unmap Size, which tracks the total unmapped space from the operations above. The value is shown in MB.</w:t>
      </w:r>
    </w:p>
    <w:p w14:paraId="2C5C35AD" w14:textId="77777777" w:rsidR="0005573C" w:rsidRDefault="0005573C" w:rsidP="0005573C">
      <w:pPr>
        <w:rPr>
          <w:lang w:eastAsia="en-SG"/>
        </w:rPr>
      </w:pPr>
      <w:r w:rsidRPr="007425AC">
        <w:rPr>
          <w:noProof/>
          <w:lang w:eastAsia="en-SG"/>
        </w:rPr>
        <w:drawing>
          <wp:inline distT="0" distB="0" distL="0" distR="0" wp14:anchorId="1E897923" wp14:editId="1AF8F2A8">
            <wp:extent cx="6645910" cy="1892300"/>
            <wp:effectExtent l="0" t="0" r="2540" b="0"/>
            <wp:docPr id="1293284857" name="Picture 1293284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6645910" cy="1892300"/>
                    </a:xfrm>
                    <a:prstGeom prst="rect">
                      <a:avLst/>
                    </a:prstGeom>
                  </pic:spPr>
                </pic:pic>
              </a:graphicData>
            </a:graphic>
          </wp:inline>
        </w:drawing>
      </w:r>
    </w:p>
    <w:p w14:paraId="6883FD1F" w14:textId="77777777" w:rsidR="0005573C" w:rsidRDefault="0005573C" w:rsidP="0005573C">
      <w:pPr>
        <w:rPr>
          <w:lang w:eastAsia="en-SG"/>
        </w:rPr>
      </w:pPr>
      <w:r>
        <w:rPr>
          <w:lang w:eastAsia="en-SG"/>
        </w:rPr>
        <w:t xml:space="preserve">You can track both operations on each datastore, but you can’t aggregate them per datastore. </w:t>
      </w:r>
    </w:p>
    <w:p w14:paraId="2A926ED9" w14:textId="77777777" w:rsidR="0005573C" w:rsidRDefault="0005573C" w:rsidP="0005573C">
      <w:pPr>
        <w:rPr>
          <w:lang w:eastAsia="en-SG"/>
        </w:rPr>
      </w:pPr>
      <w:r>
        <w:rPr>
          <w:lang w:eastAsia="en-SG"/>
        </w:rPr>
        <w:t xml:space="preserve">For further reading on TRIM and Unmap in vSAN, read </w:t>
      </w:r>
      <w:hyperlink r:id="rId171" w:history="1">
        <w:r w:rsidRPr="00C75769">
          <w:rPr>
            <w:rStyle w:val="Hyperlink"/>
            <w:lang w:eastAsia="en-SG"/>
          </w:rPr>
          <w:t>this</w:t>
        </w:r>
        <w:r>
          <w:rPr>
            <w:rStyle w:val="Hyperlink"/>
            <w:lang w:eastAsia="en-SG"/>
          </w:rPr>
          <w:t xml:space="preserve"> detail </w:t>
        </w:r>
        <w:r w:rsidRPr="00C75769">
          <w:rPr>
            <w:rStyle w:val="Hyperlink"/>
            <w:lang w:eastAsia="en-SG"/>
          </w:rPr>
          <w:t>article</w:t>
        </w:r>
      </w:hyperlink>
      <w:r>
        <w:rPr>
          <w:lang w:eastAsia="en-SG"/>
        </w:rPr>
        <w:t xml:space="preserve"> by </w:t>
      </w:r>
      <w:hyperlink r:id="rId172" w:history="1">
        <w:r w:rsidRPr="00DB446B">
          <w:rPr>
            <w:rStyle w:val="Hyperlink"/>
            <w:lang w:eastAsia="en-SG"/>
          </w:rPr>
          <w:t>Patrick Kremer</w:t>
        </w:r>
      </w:hyperlink>
      <w:r>
        <w:rPr>
          <w:lang w:eastAsia="en-SG"/>
        </w:rPr>
        <w:t xml:space="preserve">. </w:t>
      </w:r>
    </w:p>
    <w:p w14:paraId="4EB3337A" w14:textId="77777777" w:rsidR="0005573C" w:rsidRPr="00E203CB" w:rsidRDefault="0005573C" w:rsidP="0005573C">
      <w:pPr>
        <w:rPr>
          <w:lang w:eastAsia="en-SG"/>
        </w:rPr>
      </w:pPr>
      <w:r>
        <w:rPr>
          <w:lang w:eastAsia="en-SG"/>
        </w:rPr>
        <w:t>The problem only happens on thin provisioned disk. So if you want to check how much space you can reclaim, create a view that compare the value inside the Guest vs the value shown at VMDK level.</w:t>
      </w:r>
    </w:p>
    <w:p w14:paraId="5B9F7A70" w14:textId="177BE06B" w:rsidR="000C345C" w:rsidRDefault="000C345C" w:rsidP="00AC6E1E">
      <w:pPr>
        <w:pStyle w:val="Heading4"/>
      </w:pPr>
      <w:r>
        <w:t>Unused VM</w:t>
      </w:r>
    </w:p>
    <w:p w14:paraId="10290277" w14:textId="33E2663A" w:rsidR="000C345C" w:rsidRDefault="000C345C" w:rsidP="000C345C">
      <w:r>
        <w:t xml:space="preserve">Unused VM is not idle, but they do not provide </w:t>
      </w:r>
      <w:r w:rsidRPr="00687A2E">
        <w:rPr>
          <w:i/>
          <w:iCs/>
          <w:color w:val="FF0000"/>
        </w:rPr>
        <w:t>business value</w:t>
      </w:r>
      <w:r w:rsidRPr="00687A2E">
        <w:rPr>
          <w:color w:val="FF0000"/>
        </w:rPr>
        <w:t xml:space="preserve"> </w:t>
      </w:r>
      <w:r>
        <w:t xml:space="preserve">anymore. The application team may have stopped using it, but left the application running just in case they need in the future. The VM is </w:t>
      </w:r>
      <w:r w:rsidRPr="001B22B4">
        <w:rPr>
          <w:color w:val="FF0000"/>
        </w:rPr>
        <w:t xml:space="preserve">not </w:t>
      </w:r>
      <w:r>
        <w:t xml:space="preserve">idle as it still generates CPU activity. The activity can be business workload, IT workload, or both. </w:t>
      </w:r>
    </w:p>
    <w:p w14:paraId="0F7889C7" w14:textId="46223415" w:rsidR="001B22B4" w:rsidRDefault="001B22B4" w:rsidP="000C345C">
      <w:r>
        <w:t xml:space="preserve">This makes unused VM much harder to find, as </w:t>
      </w:r>
      <w:r w:rsidR="0028431A">
        <w:t xml:space="preserve">what works for VM 00001 may not apply to VM 10000. </w:t>
      </w:r>
    </w:p>
    <w:p w14:paraId="105058AA" w14:textId="29D2C326" w:rsidR="000C345C" w:rsidRDefault="000C345C" w:rsidP="000C345C">
      <w:r>
        <w:t>The IT workloads take many forms. Guest OS upgrade</w:t>
      </w:r>
      <w:r w:rsidR="00E25B4F">
        <w:t>,</w:t>
      </w:r>
      <w:r w:rsidR="00C73C54">
        <w:t xml:space="preserve"> Guest OS </w:t>
      </w:r>
      <w:r>
        <w:t>patches</w:t>
      </w:r>
      <w:r w:rsidR="00C73C54">
        <w:t xml:space="preserve">, </w:t>
      </w:r>
      <w:r w:rsidR="00E25B4F">
        <w:t xml:space="preserve">and </w:t>
      </w:r>
      <w:r w:rsidR="00C73C54">
        <w:t>application patches</w:t>
      </w:r>
      <w:r>
        <w:t xml:space="preserve"> can be </w:t>
      </w:r>
      <w:r w:rsidR="00E25B4F">
        <w:t>3</w:t>
      </w:r>
      <w:r>
        <w:t xml:space="preserve"> different workloads with different patterns. VMware Tools patches, </w:t>
      </w:r>
      <w:r w:rsidR="000C098B">
        <w:t>anti-virus</w:t>
      </w:r>
      <w:r>
        <w:t xml:space="preserve"> scan, intrusion detection scan </w:t>
      </w:r>
      <w:r w:rsidR="00E25B4F">
        <w:t>and</w:t>
      </w:r>
      <w:r>
        <w:t xml:space="preserve"> agent based back up are other common examples. In an environment with high security, there can be many security related agents running.</w:t>
      </w:r>
      <w:r w:rsidR="00BF5041">
        <w:t xml:space="preserve"> Or worse, they can be agentless, executed via network.</w:t>
      </w:r>
    </w:p>
    <w:p w14:paraId="6BFAACF0" w14:textId="2D76D264" w:rsidR="00BD3A41" w:rsidRDefault="00BD3A41" w:rsidP="000C345C">
      <w:r>
        <w:lastRenderedPageBreak/>
        <w:t xml:space="preserve">Business workloads can be batch jobs, reports or monitoring. No one is using the application anymore but the application continues running. </w:t>
      </w:r>
      <w:r w:rsidR="003D264B">
        <w:t xml:space="preserve">It could be generating report and send email to someone who </w:t>
      </w:r>
      <w:r w:rsidR="000C098B">
        <w:t xml:space="preserve">just ignore that emails. </w:t>
      </w:r>
      <w:r>
        <w:t>This is harder to identify</w:t>
      </w:r>
      <w:r w:rsidR="006F4B24">
        <w:t xml:space="preserve"> than the one running pure IT workload</w:t>
      </w:r>
      <w:r w:rsidR="003D264B">
        <w:t xml:space="preserve"> as it’s more unique.</w:t>
      </w:r>
    </w:p>
    <w:p w14:paraId="3F9E8D32" w14:textId="2CD3F33B" w:rsidR="00AA3206" w:rsidRDefault="000C345C" w:rsidP="000C345C">
      <w:r>
        <w:t>Unused VM is hard to detect</w:t>
      </w:r>
      <w:r w:rsidR="006F4B24">
        <w:t xml:space="preserve"> as the infra team lack the business context, and the patterns vary widely</w:t>
      </w:r>
      <w:r>
        <w:t>. The owner verification is required before you power off the VM. This is why it’s important to have ability to relate a VM to a department or owner. We discussed the criticality of business-centric infrastructure in Part 1</w:t>
      </w:r>
      <w:r w:rsidR="00AA3206">
        <w:t xml:space="preserve"> Chapter 1.</w:t>
      </w:r>
    </w:p>
    <w:p w14:paraId="5A26ECF5" w14:textId="28CE295A" w:rsidR="002217A3" w:rsidRDefault="002217A3" w:rsidP="000C345C">
      <w:r>
        <w:t>There are some checks you can do to find the unused VMs</w:t>
      </w:r>
      <w:r w:rsidR="00A55FA1">
        <w:t xml:space="preserve"> when their CPU usage </w:t>
      </w:r>
      <w:r w:rsidR="00405A4E">
        <w:t xml:space="preserve">is </w:t>
      </w:r>
      <w:r w:rsidR="00405A4E" w:rsidRPr="00F73546">
        <w:rPr>
          <w:color w:val="FF0000"/>
        </w:rPr>
        <w:t xml:space="preserve">not </w:t>
      </w:r>
      <w:r w:rsidR="00405A4E">
        <w:t>low</w:t>
      </w:r>
      <w:r w:rsidR="00A55FA1">
        <w:t>. Find VMs that exhibit multiple of these behaviour</w:t>
      </w:r>
      <w:r w:rsidR="00405A4E">
        <w:t>s</w:t>
      </w:r>
      <w:r w:rsidR="00FF4D86">
        <w:t>. Take note that each of these can be false positive, so you need multiple of them</w:t>
      </w:r>
      <w:r w:rsidR="003C5F0C">
        <w:t xml:space="preserve"> for better conclusion</w:t>
      </w:r>
      <w:r w:rsidR="00FF4D86">
        <w:t>.</w:t>
      </w:r>
    </w:p>
    <w:p w14:paraId="7403B705" w14:textId="7951F37F" w:rsidR="00061E67" w:rsidRDefault="00061E67" w:rsidP="00E7573A">
      <w:pPr>
        <w:pStyle w:val="Heading5"/>
      </w:pPr>
      <w:r>
        <w:t>Configuration</w:t>
      </w:r>
    </w:p>
    <w:p w14:paraId="57F74047" w14:textId="2708A06A" w:rsidR="00061E67" w:rsidRPr="00061E67" w:rsidRDefault="00061E67" w:rsidP="00061E67">
      <w:pPr>
        <w:rPr>
          <w:lang w:val="en-GB"/>
        </w:rPr>
      </w:pPr>
      <w:r>
        <w:rPr>
          <w:lang w:val="en-GB"/>
        </w:rPr>
        <w:t xml:space="preserve">Configuration is easier to interpret than utilization, as they tend to have clear cut rules. The following list some configuration items </w:t>
      </w:r>
      <w:r w:rsidR="007E0A08">
        <w:rPr>
          <w:lang w:val="en-GB"/>
        </w:rPr>
        <w:t>you can consider.</w:t>
      </w:r>
    </w:p>
    <w:p w14:paraId="4D912849" w14:textId="77777777" w:rsidR="00061E67" w:rsidRDefault="00061E67" w:rsidP="00061E67">
      <w:pPr>
        <w:pStyle w:val="BeforeTable"/>
      </w:pPr>
    </w:p>
    <w:tbl>
      <w:tblPr>
        <w:tblW w:w="0" w:type="auto"/>
        <w:tblBorders>
          <w:top w:val="single" w:sz="4" w:space="0" w:color="D9D9D9" w:themeColor="background1" w:themeShade="D9"/>
          <w:bottom w:val="single" w:sz="4" w:space="0" w:color="BFBFBF" w:themeColor="background1" w:themeShade="BF"/>
          <w:insideH w:val="single" w:sz="4" w:space="0" w:color="D9D9D9" w:themeColor="background1" w:themeShade="D9"/>
        </w:tblBorders>
        <w:tblLook w:val="04A0" w:firstRow="1" w:lastRow="0" w:firstColumn="1" w:lastColumn="0" w:noHBand="0" w:noVBand="1"/>
      </w:tblPr>
      <w:tblGrid>
        <w:gridCol w:w="2127"/>
        <w:gridCol w:w="8329"/>
      </w:tblGrid>
      <w:tr w:rsidR="00061E67" w14:paraId="66FE61E5" w14:textId="77777777" w:rsidTr="00E440AB">
        <w:tc>
          <w:tcPr>
            <w:tcW w:w="2127" w:type="dxa"/>
            <w:shd w:val="clear" w:color="auto" w:fill="F2F2F2" w:themeFill="background1" w:themeFillShade="F2"/>
          </w:tcPr>
          <w:p w14:paraId="54C360E5" w14:textId="77777777" w:rsidR="00061E67" w:rsidRDefault="00061E67" w:rsidP="00E440AB">
            <w:pPr>
              <w:pStyle w:val="Tablecontent"/>
            </w:pPr>
            <w:r>
              <w:t>Isolated</w:t>
            </w:r>
          </w:p>
        </w:tc>
        <w:tc>
          <w:tcPr>
            <w:tcW w:w="8329" w:type="dxa"/>
          </w:tcPr>
          <w:p w14:paraId="66690C01" w14:textId="77777777" w:rsidR="00061E67" w:rsidRDefault="00061E67" w:rsidP="00E440AB">
            <w:pPr>
              <w:pStyle w:val="Tablecontent"/>
            </w:pPr>
            <w:r>
              <w:t>It’s no longer connected to a virtual NIC</w:t>
            </w:r>
          </w:p>
        </w:tc>
      </w:tr>
      <w:tr w:rsidR="00061E67" w14:paraId="7AB17806" w14:textId="77777777" w:rsidTr="00E440AB">
        <w:tc>
          <w:tcPr>
            <w:tcW w:w="2127" w:type="dxa"/>
            <w:shd w:val="clear" w:color="auto" w:fill="F2F2F2" w:themeFill="background1" w:themeFillShade="F2"/>
          </w:tcPr>
          <w:p w14:paraId="47FE7EBC" w14:textId="77777777" w:rsidR="00061E67" w:rsidRDefault="00061E67" w:rsidP="00E440AB">
            <w:pPr>
              <w:pStyle w:val="Tablecontent"/>
            </w:pPr>
            <w:r>
              <w:t>Guest OS</w:t>
            </w:r>
          </w:p>
        </w:tc>
        <w:tc>
          <w:tcPr>
            <w:tcW w:w="8329" w:type="dxa"/>
          </w:tcPr>
          <w:p w14:paraId="55DFD4CB" w14:textId="6F0117B3" w:rsidR="00061E67" w:rsidRDefault="00061E67" w:rsidP="00E440AB">
            <w:pPr>
              <w:pStyle w:val="Tablecontent"/>
            </w:pPr>
            <w:r>
              <w:t xml:space="preserve">It’s running older version, especially those nearing End of Life. It indicates the </w:t>
            </w:r>
            <w:r w:rsidR="00A565B3">
              <w:t>application</w:t>
            </w:r>
            <w:r>
              <w:t xml:space="preserve"> team may have written a replacement </w:t>
            </w:r>
            <w:r w:rsidR="0002089A">
              <w:t>applications</w:t>
            </w:r>
            <w:r>
              <w:t xml:space="preserve"> running somewhere else.</w:t>
            </w:r>
          </w:p>
          <w:p w14:paraId="42CA2E82" w14:textId="11A7B2B7" w:rsidR="007E0A08" w:rsidRDefault="007E0A08" w:rsidP="00E440AB">
            <w:pPr>
              <w:pStyle w:val="Tablecontent"/>
            </w:pPr>
            <w:r>
              <w:t>Running old version of Windows, Linux and/or Kubernetes.</w:t>
            </w:r>
          </w:p>
          <w:p w14:paraId="0950C565" w14:textId="147C5CEC" w:rsidR="007E0A08" w:rsidRDefault="007E0A08" w:rsidP="00E440AB">
            <w:pPr>
              <w:pStyle w:val="Tablecontent"/>
            </w:pPr>
            <w:r>
              <w:t xml:space="preserve">Expired license. </w:t>
            </w:r>
          </w:p>
        </w:tc>
      </w:tr>
      <w:tr w:rsidR="00061E67" w14:paraId="5C2DC591" w14:textId="77777777" w:rsidTr="00E440AB">
        <w:tc>
          <w:tcPr>
            <w:tcW w:w="2127" w:type="dxa"/>
            <w:shd w:val="clear" w:color="auto" w:fill="F2F2F2" w:themeFill="background1" w:themeFillShade="F2"/>
          </w:tcPr>
          <w:p w14:paraId="05567133" w14:textId="77777777" w:rsidR="00061E67" w:rsidRDefault="00061E67" w:rsidP="00E440AB">
            <w:pPr>
              <w:pStyle w:val="Tablecontent"/>
            </w:pPr>
            <w:r>
              <w:t>Application</w:t>
            </w:r>
          </w:p>
        </w:tc>
        <w:tc>
          <w:tcPr>
            <w:tcW w:w="8329" w:type="dxa"/>
          </w:tcPr>
          <w:p w14:paraId="60415E1C" w14:textId="77777777" w:rsidR="00061E67" w:rsidRDefault="00061E67" w:rsidP="00E440AB">
            <w:pPr>
              <w:pStyle w:val="Tablecontent"/>
            </w:pPr>
            <w:r>
              <w:t>It’s running older version, especially those nearing End of Life.</w:t>
            </w:r>
          </w:p>
          <w:p w14:paraId="46C434EF" w14:textId="77777777" w:rsidR="00061E67" w:rsidRDefault="00061E67" w:rsidP="00E440AB">
            <w:pPr>
              <w:pStyle w:val="Tablecontent"/>
            </w:pPr>
            <w:r>
              <w:t>It’s running application that you no longer license. In this case, there is urgency to power it off.</w:t>
            </w:r>
          </w:p>
          <w:p w14:paraId="702F89B7" w14:textId="77777777" w:rsidR="00061E67" w:rsidRDefault="00061E67" w:rsidP="00E440AB">
            <w:pPr>
              <w:pStyle w:val="Tablecontent"/>
            </w:pPr>
            <w:r>
              <w:t>It’s running without license, or with evaluation license, or expired license.</w:t>
            </w:r>
          </w:p>
          <w:p w14:paraId="6AC329F6" w14:textId="5B04D420" w:rsidR="00061E67" w:rsidRDefault="00061E67" w:rsidP="00E440AB">
            <w:pPr>
              <w:pStyle w:val="Tablecontent"/>
            </w:pPr>
            <w:r>
              <w:t xml:space="preserve">It has no business application installed. Just base OS + IT security </w:t>
            </w:r>
            <w:r w:rsidR="0002089A">
              <w:t>applications</w:t>
            </w:r>
            <w:r>
              <w:t>.</w:t>
            </w:r>
          </w:p>
        </w:tc>
      </w:tr>
      <w:tr w:rsidR="00061E67" w14:paraId="6FD2C26C" w14:textId="77777777" w:rsidTr="00E440AB">
        <w:tc>
          <w:tcPr>
            <w:tcW w:w="2127" w:type="dxa"/>
            <w:shd w:val="clear" w:color="auto" w:fill="F2F2F2" w:themeFill="background1" w:themeFillShade="F2"/>
          </w:tcPr>
          <w:p w14:paraId="63012789" w14:textId="77777777" w:rsidR="00061E67" w:rsidRDefault="00061E67" w:rsidP="00E440AB">
            <w:pPr>
              <w:pStyle w:val="Tablecontent"/>
            </w:pPr>
            <w:r>
              <w:t>Owner</w:t>
            </w:r>
          </w:p>
        </w:tc>
        <w:tc>
          <w:tcPr>
            <w:tcW w:w="8329" w:type="dxa"/>
          </w:tcPr>
          <w:p w14:paraId="3E56A722" w14:textId="77777777" w:rsidR="00061E67" w:rsidRDefault="00061E67" w:rsidP="00E440AB">
            <w:pPr>
              <w:pStyle w:val="Tablecontent"/>
            </w:pPr>
            <w:r>
              <w:t xml:space="preserve">It belongs to a folder in vCenter that is no longer owned. </w:t>
            </w:r>
          </w:p>
          <w:p w14:paraId="1D56A091" w14:textId="77777777" w:rsidR="00061E67" w:rsidRDefault="00061E67" w:rsidP="00E440AB">
            <w:pPr>
              <w:pStyle w:val="Tablecontent"/>
            </w:pPr>
            <w:r>
              <w:t>Unable to figure out the tagging for the VM.</w:t>
            </w:r>
          </w:p>
          <w:p w14:paraId="0A14A570" w14:textId="77777777" w:rsidR="00061E67" w:rsidRDefault="00061E67" w:rsidP="00E440AB">
            <w:pPr>
              <w:pStyle w:val="Tablecontent"/>
            </w:pPr>
            <w:r>
              <w:t xml:space="preserve">Request to contact the owner has gone unanswered. </w:t>
            </w:r>
          </w:p>
          <w:p w14:paraId="1F5A8CA8" w14:textId="4342BB28" w:rsidR="007E0A08" w:rsidRDefault="007E0A08" w:rsidP="00E440AB">
            <w:pPr>
              <w:pStyle w:val="Tablecontent"/>
            </w:pPr>
            <w:r>
              <w:t xml:space="preserve">Owner has changed organization. </w:t>
            </w:r>
          </w:p>
        </w:tc>
      </w:tr>
      <w:tr w:rsidR="00061E67" w14:paraId="24461A08" w14:textId="77777777" w:rsidTr="00E440AB">
        <w:tc>
          <w:tcPr>
            <w:tcW w:w="2127" w:type="dxa"/>
            <w:shd w:val="clear" w:color="auto" w:fill="F2F2F2" w:themeFill="background1" w:themeFillShade="F2"/>
          </w:tcPr>
          <w:p w14:paraId="0379AEB0" w14:textId="77777777" w:rsidR="00061E67" w:rsidRDefault="00061E67" w:rsidP="00E440AB">
            <w:pPr>
              <w:pStyle w:val="Tablecontent"/>
            </w:pPr>
            <w:r>
              <w:t>Report</w:t>
            </w:r>
          </w:p>
        </w:tc>
        <w:tc>
          <w:tcPr>
            <w:tcW w:w="8329" w:type="dxa"/>
          </w:tcPr>
          <w:p w14:paraId="6E2F3661" w14:textId="0CEA25C8" w:rsidR="00061E67" w:rsidRDefault="00061E67" w:rsidP="00E440AB">
            <w:pPr>
              <w:pStyle w:val="Tablecontent"/>
            </w:pPr>
            <w:r>
              <w:t xml:space="preserve">The </w:t>
            </w:r>
            <w:r w:rsidR="00A565B3">
              <w:t>application</w:t>
            </w:r>
            <w:r>
              <w:t xml:space="preserve"> is no longer listed in any of the reports to the department owning it. This could be performance report, capacity report, compliance report, chargeback report, etc.</w:t>
            </w:r>
          </w:p>
        </w:tc>
      </w:tr>
      <w:tr w:rsidR="00061E67" w14:paraId="5A233483" w14:textId="77777777" w:rsidTr="00E440AB">
        <w:tc>
          <w:tcPr>
            <w:tcW w:w="2127" w:type="dxa"/>
            <w:shd w:val="clear" w:color="auto" w:fill="F2F2F2" w:themeFill="background1" w:themeFillShade="F2"/>
          </w:tcPr>
          <w:p w14:paraId="306162E0" w14:textId="77777777" w:rsidR="00061E67" w:rsidRDefault="00061E67" w:rsidP="00E440AB">
            <w:pPr>
              <w:pStyle w:val="Tablecontent"/>
            </w:pPr>
            <w:r>
              <w:t>Location</w:t>
            </w:r>
          </w:p>
        </w:tc>
        <w:tc>
          <w:tcPr>
            <w:tcW w:w="8329" w:type="dxa"/>
          </w:tcPr>
          <w:p w14:paraId="5B4B4F6C" w14:textId="77777777" w:rsidR="00061E67" w:rsidRDefault="00061E67" w:rsidP="00E440AB">
            <w:pPr>
              <w:pStyle w:val="Tablecontent"/>
            </w:pPr>
            <w:r>
              <w:t xml:space="preserve">It runs on a cluster that is due for decommissioned. It is stored on a datastore, that sits on an array that is due for decommissioned. </w:t>
            </w:r>
          </w:p>
          <w:p w14:paraId="231AE72B" w14:textId="068C8E69" w:rsidR="007E0A08" w:rsidRDefault="007E0A08" w:rsidP="00E440AB">
            <w:pPr>
              <w:pStyle w:val="Tablecontent"/>
            </w:pPr>
            <w:r>
              <w:t xml:space="preserve">It’s folder has names like “old”, “decommissioned”, and “archived”. </w:t>
            </w:r>
          </w:p>
        </w:tc>
      </w:tr>
      <w:tr w:rsidR="00061E67" w14:paraId="4F675F70" w14:textId="77777777" w:rsidTr="00061E67">
        <w:tc>
          <w:tcPr>
            <w:tcW w:w="2127" w:type="dxa"/>
            <w:tcBorders>
              <w:top w:val="single" w:sz="4" w:space="0" w:color="D9D9D9" w:themeColor="background1" w:themeShade="D9"/>
              <w:bottom w:val="single" w:sz="4" w:space="0" w:color="D9D9D9" w:themeColor="background1" w:themeShade="D9"/>
              <w:right w:val="single" w:sz="4" w:space="0" w:color="D9D9D9" w:themeColor="background1" w:themeShade="D9"/>
            </w:tcBorders>
            <w:shd w:val="clear" w:color="auto" w:fill="F2F2F2" w:themeFill="background1" w:themeFillShade="F2"/>
          </w:tcPr>
          <w:p w14:paraId="13A261E8" w14:textId="77777777" w:rsidR="00061E67" w:rsidRDefault="00061E67" w:rsidP="00E440AB">
            <w:pPr>
              <w:pStyle w:val="Tablecontent"/>
            </w:pPr>
            <w:r>
              <w:t>Relationship</w:t>
            </w:r>
          </w:p>
        </w:tc>
        <w:tc>
          <w:tcPr>
            <w:tcW w:w="8329" w:type="dxa"/>
            <w:tcBorders>
              <w:top w:val="single" w:sz="4" w:space="0" w:color="D9D9D9" w:themeColor="background1" w:themeShade="D9"/>
              <w:bottom w:val="single" w:sz="4" w:space="0" w:color="D9D9D9" w:themeColor="background1" w:themeShade="D9"/>
            </w:tcBorders>
          </w:tcPr>
          <w:p w14:paraId="5792AC5D" w14:textId="77777777" w:rsidR="00061E67" w:rsidRDefault="00061E67" w:rsidP="00E440AB">
            <w:pPr>
              <w:pStyle w:val="Tablecontent"/>
            </w:pPr>
            <w:r>
              <w:t>The VM is talking to other VMs. You can check which services is talking at which port. Check what services it’s using over the network. This is useful for VMs in the cloud, which uses cloud services from AWS, Azure, etc.</w:t>
            </w:r>
          </w:p>
          <w:p w14:paraId="30EB56A2" w14:textId="77777777" w:rsidR="00061E67" w:rsidRDefault="00061E67" w:rsidP="00E440AB">
            <w:pPr>
              <w:pStyle w:val="Tablecontent"/>
            </w:pPr>
            <w:r>
              <w:t xml:space="preserve">As these neighbors could also be unused, using this alone is not reliable. </w:t>
            </w:r>
          </w:p>
        </w:tc>
      </w:tr>
      <w:tr w:rsidR="00061E67" w14:paraId="12D23F1B" w14:textId="77777777" w:rsidTr="00E440AB">
        <w:tc>
          <w:tcPr>
            <w:tcW w:w="2127" w:type="dxa"/>
            <w:tcBorders>
              <w:top w:val="single" w:sz="4" w:space="0" w:color="D9D9D9" w:themeColor="background1" w:themeShade="D9"/>
              <w:bottom w:val="single" w:sz="4" w:space="0" w:color="BFBFBF" w:themeColor="background1" w:themeShade="BF"/>
              <w:right w:val="single" w:sz="4" w:space="0" w:color="D9D9D9" w:themeColor="background1" w:themeShade="D9"/>
            </w:tcBorders>
            <w:shd w:val="clear" w:color="auto" w:fill="F2F2F2" w:themeFill="background1" w:themeFillShade="F2"/>
          </w:tcPr>
          <w:p w14:paraId="04B65AA8" w14:textId="43746E45" w:rsidR="00061E67" w:rsidRDefault="00061E67" w:rsidP="00E440AB">
            <w:pPr>
              <w:pStyle w:val="Tablecontent"/>
            </w:pPr>
            <w:r>
              <w:t>Alert</w:t>
            </w:r>
          </w:p>
        </w:tc>
        <w:tc>
          <w:tcPr>
            <w:tcW w:w="8329" w:type="dxa"/>
            <w:tcBorders>
              <w:top w:val="single" w:sz="4" w:space="0" w:color="D9D9D9" w:themeColor="background1" w:themeShade="D9"/>
              <w:bottom w:val="single" w:sz="4" w:space="0" w:color="BFBFBF" w:themeColor="background1" w:themeShade="BF"/>
            </w:tcBorders>
          </w:tcPr>
          <w:p w14:paraId="62C0A04B" w14:textId="2DC5B27D" w:rsidR="00061E67" w:rsidRDefault="00061E67" w:rsidP="00E440AB">
            <w:pPr>
              <w:pStyle w:val="Tablecontent"/>
            </w:pPr>
            <w:r>
              <w:t>Alerts associated with VM have disabled.</w:t>
            </w:r>
          </w:p>
        </w:tc>
      </w:tr>
    </w:tbl>
    <w:p w14:paraId="08152848" w14:textId="2F19E034" w:rsidR="003C5F0C" w:rsidRDefault="003C5F0C" w:rsidP="00E7573A">
      <w:pPr>
        <w:pStyle w:val="Heading5"/>
      </w:pPr>
      <w:r>
        <w:lastRenderedPageBreak/>
        <w:t>Utilization</w:t>
      </w:r>
    </w:p>
    <w:tbl>
      <w:tblPr>
        <w:tblW w:w="0" w:type="auto"/>
        <w:tblBorders>
          <w:top w:val="single" w:sz="4" w:space="0" w:color="D9D9D9" w:themeColor="background1" w:themeShade="D9"/>
          <w:bottom w:val="single" w:sz="4" w:space="0" w:color="BFBFBF" w:themeColor="background1" w:themeShade="BF"/>
          <w:insideH w:val="single" w:sz="4" w:space="0" w:color="D9D9D9" w:themeColor="background1" w:themeShade="D9"/>
        </w:tblBorders>
        <w:tblLook w:val="04A0" w:firstRow="1" w:lastRow="0" w:firstColumn="1" w:lastColumn="0" w:noHBand="0" w:noVBand="1"/>
      </w:tblPr>
      <w:tblGrid>
        <w:gridCol w:w="2127"/>
        <w:gridCol w:w="8329"/>
      </w:tblGrid>
      <w:tr w:rsidR="003C5F0C" w14:paraId="400518CF" w14:textId="77777777" w:rsidTr="00E440AB">
        <w:tc>
          <w:tcPr>
            <w:tcW w:w="2127" w:type="dxa"/>
            <w:shd w:val="clear" w:color="auto" w:fill="F2F2F2" w:themeFill="background1" w:themeFillShade="F2"/>
          </w:tcPr>
          <w:p w14:paraId="659BCEAE" w14:textId="77777777" w:rsidR="003C5F0C" w:rsidRDefault="003C5F0C" w:rsidP="00E440AB">
            <w:pPr>
              <w:pStyle w:val="Tablecontent"/>
            </w:pPr>
            <w:r>
              <w:t>CPU</w:t>
            </w:r>
          </w:p>
        </w:tc>
        <w:tc>
          <w:tcPr>
            <w:tcW w:w="8329" w:type="dxa"/>
          </w:tcPr>
          <w:p w14:paraId="2554C48D" w14:textId="77777777" w:rsidR="003C5F0C" w:rsidRDefault="003C5F0C" w:rsidP="00E440AB">
            <w:pPr>
              <w:pStyle w:val="Tablecontent"/>
            </w:pPr>
            <w:r>
              <w:t xml:space="preserve">While usage is not idle, or even high, it’s the same CPU. There is very little context switch, indicating the same processes are running. If the </w:t>
            </w:r>
            <w:r w:rsidRPr="00D452A6">
              <w:rPr>
                <w:color w:val="00B0F0"/>
              </w:rPr>
              <w:t xml:space="preserve">CPU Usage Disparity (%) </w:t>
            </w:r>
            <w:r>
              <w:t xml:space="preserve">metric is stable, that indicates constant run. </w:t>
            </w:r>
          </w:p>
        </w:tc>
      </w:tr>
      <w:tr w:rsidR="003C5F0C" w14:paraId="59B29AB1" w14:textId="77777777" w:rsidTr="00E440AB">
        <w:tc>
          <w:tcPr>
            <w:tcW w:w="2127" w:type="dxa"/>
            <w:shd w:val="clear" w:color="auto" w:fill="F2F2F2" w:themeFill="background1" w:themeFillShade="F2"/>
          </w:tcPr>
          <w:p w14:paraId="1E9590E6" w14:textId="77777777" w:rsidR="003C5F0C" w:rsidRDefault="003C5F0C" w:rsidP="00E440AB">
            <w:pPr>
              <w:pStyle w:val="Tablecontent"/>
            </w:pPr>
            <w:r>
              <w:t>Memory</w:t>
            </w:r>
          </w:p>
        </w:tc>
        <w:tc>
          <w:tcPr>
            <w:tcW w:w="8329" w:type="dxa"/>
          </w:tcPr>
          <w:p w14:paraId="6AE476E8" w14:textId="77777777" w:rsidR="003C5F0C" w:rsidRDefault="003C5F0C" w:rsidP="00E440AB">
            <w:pPr>
              <w:pStyle w:val="Tablecontent"/>
            </w:pPr>
            <w:r>
              <w:t xml:space="preserve">While the In Use metric is high, it’s passive. There is lack of paging, both in and out. </w:t>
            </w:r>
          </w:p>
        </w:tc>
      </w:tr>
      <w:tr w:rsidR="003C5F0C" w14:paraId="39FFABD6" w14:textId="77777777" w:rsidTr="00E440AB">
        <w:tc>
          <w:tcPr>
            <w:tcW w:w="2127" w:type="dxa"/>
            <w:shd w:val="clear" w:color="auto" w:fill="F2F2F2" w:themeFill="background1" w:themeFillShade="F2"/>
          </w:tcPr>
          <w:p w14:paraId="33E54E3F" w14:textId="77777777" w:rsidR="003C5F0C" w:rsidRDefault="003C5F0C" w:rsidP="00E440AB">
            <w:pPr>
              <w:pStyle w:val="Tablecontent"/>
            </w:pPr>
            <w:r>
              <w:t>Disk</w:t>
            </w:r>
          </w:p>
        </w:tc>
        <w:tc>
          <w:tcPr>
            <w:tcW w:w="8329" w:type="dxa"/>
          </w:tcPr>
          <w:p w14:paraId="7EF78779" w14:textId="77777777" w:rsidR="003C5F0C" w:rsidRDefault="003C5F0C" w:rsidP="00E440AB">
            <w:pPr>
              <w:pStyle w:val="Tablecontent"/>
            </w:pPr>
            <w:r>
              <w:t xml:space="preserve">While IOPS and throughput is not low, its filesystem is stable, rarely change in both size and activities. </w:t>
            </w:r>
          </w:p>
          <w:p w14:paraId="79151CD2" w14:textId="77777777" w:rsidR="003C5F0C" w:rsidRDefault="003C5F0C" w:rsidP="00E440AB">
            <w:pPr>
              <w:pStyle w:val="Tablecontent"/>
            </w:pPr>
            <w:r>
              <w:t>The IOPS and throughput also eventually form a pattern over the long run.</w:t>
            </w:r>
          </w:p>
        </w:tc>
      </w:tr>
      <w:tr w:rsidR="003C5F0C" w14:paraId="553E50DB" w14:textId="77777777" w:rsidTr="00E440AB">
        <w:tc>
          <w:tcPr>
            <w:tcW w:w="2127" w:type="dxa"/>
            <w:shd w:val="clear" w:color="auto" w:fill="F2F2F2" w:themeFill="background1" w:themeFillShade="F2"/>
          </w:tcPr>
          <w:p w14:paraId="206FFAD9" w14:textId="77777777" w:rsidR="003C5F0C" w:rsidRPr="007649D3" w:rsidRDefault="003C5F0C" w:rsidP="00E440AB">
            <w:pPr>
              <w:pStyle w:val="Tablecontent"/>
            </w:pPr>
            <w:r>
              <w:t xml:space="preserve">Network </w:t>
            </w:r>
          </w:p>
        </w:tc>
        <w:tc>
          <w:tcPr>
            <w:tcW w:w="8329" w:type="dxa"/>
          </w:tcPr>
          <w:p w14:paraId="327A6F75" w14:textId="77777777" w:rsidR="00061E67" w:rsidRDefault="00061E67" w:rsidP="00E440AB">
            <w:pPr>
              <w:pStyle w:val="Tablecontent"/>
            </w:pPr>
            <w:r>
              <w:t xml:space="preserve">The network it belongs to is no longer reachable, or has been isolated. That means access to it is non-existent or highly restricted. </w:t>
            </w:r>
          </w:p>
          <w:p w14:paraId="02F722F7" w14:textId="605B87ED" w:rsidR="003C5F0C" w:rsidRDefault="003C5F0C" w:rsidP="00E440AB">
            <w:pPr>
              <w:pStyle w:val="Tablecontent"/>
            </w:pPr>
            <w:r>
              <w:t>The VM sends very little packets out, indicating it is not talking much on the network. At the same time, it’s only talking to a fixed and small group of other servers. Take note that secure application that store data typically is restricted.</w:t>
            </w:r>
          </w:p>
          <w:p w14:paraId="00D70DF0" w14:textId="7F8A116D" w:rsidR="003C5F0C" w:rsidRDefault="003C5F0C" w:rsidP="00E440AB">
            <w:pPr>
              <w:pStyle w:val="Tablecontent"/>
            </w:pPr>
            <w:r>
              <w:t>It belongs to a VLAN that is due for decommissioning</w:t>
            </w:r>
            <w:r w:rsidR="00E4254C">
              <w:t xml:space="preserve">. </w:t>
            </w:r>
          </w:p>
        </w:tc>
      </w:tr>
      <w:tr w:rsidR="003C5F0C" w14:paraId="0B4086E3" w14:textId="77777777" w:rsidTr="00E440AB">
        <w:tc>
          <w:tcPr>
            <w:tcW w:w="2127" w:type="dxa"/>
            <w:shd w:val="clear" w:color="auto" w:fill="F2F2F2" w:themeFill="background1" w:themeFillShade="F2"/>
          </w:tcPr>
          <w:p w14:paraId="387D6BF2" w14:textId="0727337A" w:rsidR="003C5F0C" w:rsidRDefault="003C5F0C" w:rsidP="003C5F0C">
            <w:pPr>
              <w:pStyle w:val="Tablecontent"/>
            </w:pPr>
            <w:r>
              <w:t>Log</w:t>
            </w:r>
          </w:p>
        </w:tc>
        <w:tc>
          <w:tcPr>
            <w:tcW w:w="8329" w:type="dxa"/>
          </w:tcPr>
          <w:p w14:paraId="3EA2EBE5" w14:textId="05EE7730" w:rsidR="003C5F0C" w:rsidRDefault="003C5F0C" w:rsidP="003C5F0C">
            <w:pPr>
              <w:pStyle w:val="Tablecontent"/>
            </w:pPr>
            <w:r>
              <w:t>The amount of logs or Windows Event is much lower relative to its peers. The pattern is also predictable over time.</w:t>
            </w:r>
          </w:p>
        </w:tc>
      </w:tr>
    </w:tbl>
    <w:p w14:paraId="03AAAEF7" w14:textId="43A8EFD4" w:rsidR="003C5F0C" w:rsidRDefault="003C5F0C" w:rsidP="00E7573A">
      <w:pPr>
        <w:pStyle w:val="Heading5"/>
      </w:pPr>
      <w:r>
        <w:t>Other Signs</w:t>
      </w:r>
    </w:p>
    <w:tbl>
      <w:tblPr>
        <w:tblW w:w="0" w:type="auto"/>
        <w:tblBorders>
          <w:top w:val="single" w:sz="4" w:space="0" w:color="D9D9D9" w:themeColor="background1" w:themeShade="D9"/>
          <w:bottom w:val="single" w:sz="4" w:space="0" w:color="BFBFBF" w:themeColor="background1" w:themeShade="BF"/>
          <w:insideH w:val="single" w:sz="4" w:space="0" w:color="D9D9D9" w:themeColor="background1" w:themeShade="D9"/>
        </w:tblBorders>
        <w:tblLook w:val="04A0" w:firstRow="1" w:lastRow="0" w:firstColumn="1" w:lastColumn="0" w:noHBand="0" w:noVBand="1"/>
      </w:tblPr>
      <w:tblGrid>
        <w:gridCol w:w="2127"/>
        <w:gridCol w:w="8329"/>
      </w:tblGrid>
      <w:tr w:rsidR="003C5F0C" w14:paraId="0AF0E290" w14:textId="77777777" w:rsidTr="00E440AB">
        <w:tc>
          <w:tcPr>
            <w:tcW w:w="2127" w:type="dxa"/>
            <w:shd w:val="clear" w:color="auto" w:fill="F2F2F2" w:themeFill="background1" w:themeFillShade="F2"/>
          </w:tcPr>
          <w:p w14:paraId="3FB2E455" w14:textId="77777777" w:rsidR="003C5F0C" w:rsidRDefault="003C5F0C" w:rsidP="00E440AB">
            <w:pPr>
              <w:pStyle w:val="Tablecontent"/>
            </w:pPr>
            <w:r>
              <w:t>No login</w:t>
            </w:r>
          </w:p>
        </w:tc>
        <w:tc>
          <w:tcPr>
            <w:tcW w:w="8329" w:type="dxa"/>
          </w:tcPr>
          <w:p w14:paraId="4CEE65C6" w14:textId="77777777" w:rsidR="003C5F0C" w:rsidRDefault="003C5F0C" w:rsidP="00E440AB">
            <w:pPr>
              <w:pStyle w:val="Tablecontent"/>
            </w:pPr>
            <w:r>
              <w:t>No one has ever logged into the Guest OS, be it from UI or the console (e.g. SSH into Linux).</w:t>
            </w:r>
          </w:p>
          <w:p w14:paraId="70C32F0C" w14:textId="77777777" w:rsidR="003C5F0C" w:rsidRDefault="003C5F0C" w:rsidP="00E440AB">
            <w:pPr>
              <w:pStyle w:val="Tablecontent"/>
            </w:pPr>
            <w:r>
              <w:t>If user log in, it’s for a very brief period of time.</w:t>
            </w:r>
          </w:p>
        </w:tc>
      </w:tr>
      <w:tr w:rsidR="003C5F0C" w14:paraId="58B8F125" w14:textId="77777777" w:rsidTr="00E440AB">
        <w:tc>
          <w:tcPr>
            <w:tcW w:w="2127" w:type="dxa"/>
            <w:shd w:val="clear" w:color="auto" w:fill="F2F2F2" w:themeFill="background1" w:themeFillShade="F2"/>
          </w:tcPr>
          <w:p w14:paraId="47DFEDFC" w14:textId="77777777" w:rsidR="003C5F0C" w:rsidRDefault="003C5F0C" w:rsidP="00E440AB">
            <w:pPr>
              <w:pStyle w:val="Tablecontent"/>
            </w:pPr>
            <w:r>
              <w:t>Process</w:t>
            </w:r>
          </w:p>
        </w:tc>
        <w:tc>
          <w:tcPr>
            <w:tcW w:w="8329" w:type="dxa"/>
          </w:tcPr>
          <w:p w14:paraId="74B9C884" w14:textId="77777777" w:rsidR="003C5F0C" w:rsidRDefault="003C5F0C" w:rsidP="00E440AB">
            <w:pPr>
              <w:pStyle w:val="Tablecontent"/>
            </w:pPr>
            <w:r>
              <w:t xml:space="preserve">It’s the same set of processes that are running. The number of process also remains steady and predictable. </w:t>
            </w:r>
          </w:p>
          <w:p w14:paraId="164E6658" w14:textId="77777777" w:rsidR="003C5F0C" w:rsidRDefault="003C5F0C" w:rsidP="00E440AB">
            <w:pPr>
              <w:pStyle w:val="Tablecontent"/>
            </w:pPr>
            <w:r>
              <w:t>The process that takes up the most CPU is not business software. It’s system process or IT application.</w:t>
            </w:r>
          </w:p>
        </w:tc>
      </w:tr>
      <w:tr w:rsidR="003C5F0C" w14:paraId="7532ED4A" w14:textId="77777777" w:rsidTr="00E440AB">
        <w:tc>
          <w:tcPr>
            <w:tcW w:w="2127" w:type="dxa"/>
            <w:shd w:val="clear" w:color="auto" w:fill="F2F2F2" w:themeFill="background1" w:themeFillShade="F2"/>
          </w:tcPr>
          <w:p w14:paraId="4A07F49A" w14:textId="77777777" w:rsidR="003C5F0C" w:rsidRDefault="003C5F0C" w:rsidP="00E440AB">
            <w:pPr>
              <w:pStyle w:val="Tablecontent"/>
            </w:pPr>
            <w:r>
              <w:t>Availability</w:t>
            </w:r>
          </w:p>
        </w:tc>
        <w:tc>
          <w:tcPr>
            <w:tcW w:w="8329" w:type="dxa"/>
          </w:tcPr>
          <w:p w14:paraId="2E3FA1D2" w14:textId="77777777" w:rsidR="003C5F0C" w:rsidRDefault="003C5F0C" w:rsidP="00E440AB">
            <w:pPr>
              <w:pStyle w:val="Tablecontent"/>
            </w:pPr>
            <w:r>
              <w:t>It never gets rebooted, or it gets rebooted often. Essentially, it seems like no one cares about its state.</w:t>
            </w:r>
          </w:p>
          <w:p w14:paraId="5A2FC204" w14:textId="77777777" w:rsidR="003C5F0C" w:rsidRDefault="003C5F0C" w:rsidP="00E440AB">
            <w:pPr>
              <w:pStyle w:val="Tablecontent"/>
            </w:pPr>
            <w:r>
              <w:t>Reboot happened during business hours and no one complained.</w:t>
            </w:r>
          </w:p>
        </w:tc>
      </w:tr>
      <w:tr w:rsidR="003C5F0C" w14:paraId="026535CF" w14:textId="77777777" w:rsidTr="00E440AB">
        <w:tc>
          <w:tcPr>
            <w:tcW w:w="2127" w:type="dxa"/>
            <w:shd w:val="clear" w:color="auto" w:fill="F2F2F2" w:themeFill="background1" w:themeFillShade="F2"/>
          </w:tcPr>
          <w:p w14:paraId="3DC627EB" w14:textId="77777777" w:rsidR="003C5F0C" w:rsidRDefault="003C5F0C" w:rsidP="00E440AB">
            <w:pPr>
              <w:pStyle w:val="Tablecontent"/>
            </w:pPr>
            <w:r>
              <w:t>Performance</w:t>
            </w:r>
          </w:p>
        </w:tc>
        <w:tc>
          <w:tcPr>
            <w:tcW w:w="8329" w:type="dxa"/>
          </w:tcPr>
          <w:p w14:paraId="75F63BE8" w14:textId="76F7EC93" w:rsidR="00061E67" w:rsidRDefault="003C5F0C" w:rsidP="00E440AB">
            <w:pPr>
              <w:pStyle w:val="Tablecontent"/>
            </w:pPr>
            <w:r>
              <w:t>Severe performance issue and you don’t get a complaint. If someone owns it, you will get a formal ticket if the performance is terrible for a long time during business hours. At night, a VM can experience slowness for 1 hour and no one may notice.</w:t>
            </w:r>
          </w:p>
        </w:tc>
      </w:tr>
    </w:tbl>
    <w:p w14:paraId="4305675D" w14:textId="77777777" w:rsidR="003C5F0C" w:rsidRDefault="003C5F0C" w:rsidP="003C5F0C">
      <w:pPr>
        <w:pStyle w:val="BeforeTable"/>
      </w:pPr>
    </w:p>
    <w:p w14:paraId="3456A440" w14:textId="401513F0" w:rsidR="000B018B" w:rsidRDefault="002676D8" w:rsidP="002676D8">
      <w:r>
        <w:t>Botto</w:t>
      </w:r>
      <w:r w:rsidR="00754790">
        <w:t xml:space="preserve">m </w:t>
      </w:r>
      <w:r w:rsidR="00FF403F">
        <w:t xml:space="preserve">line, what can you do if you are </w:t>
      </w:r>
      <w:r w:rsidR="00FF403F" w:rsidRPr="000B018B">
        <w:rPr>
          <w:i/>
          <w:iCs/>
          <w:color w:val="FF0000"/>
        </w:rPr>
        <w:t>unsure</w:t>
      </w:r>
      <w:r w:rsidR="008C7EED">
        <w:t xml:space="preserve">? </w:t>
      </w:r>
    </w:p>
    <w:p w14:paraId="491011A8" w14:textId="3117B494" w:rsidR="002676D8" w:rsidRDefault="008C7EED" w:rsidP="002676D8">
      <w:r>
        <w:t>You’ve announced to everyone</w:t>
      </w:r>
      <w:r w:rsidR="00030987">
        <w:t xml:space="preserve"> that the VM would be deleted if no one claims it repeatedly, yet no one replied. Anything safer you can do </w:t>
      </w:r>
      <w:r w:rsidR="00AB2CCE">
        <w:t>than powering off the VM</w:t>
      </w:r>
      <w:r w:rsidR="00C3604D">
        <w:t>, as powering off disrupts the running process and close opened files</w:t>
      </w:r>
      <w:r w:rsidR="003C13EF">
        <w:t xml:space="preserve">? Powering off does not guarantee that it can be brought online successfully. </w:t>
      </w:r>
    </w:p>
    <w:p w14:paraId="1124A6FA" w14:textId="2A460A35" w:rsidR="00C135B1" w:rsidRDefault="00C135B1" w:rsidP="002676D8">
      <w:r>
        <w:t>You have 2 choices:</w:t>
      </w:r>
    </w:p>
    <w:p w14:paraId="4C26DBE5" w14:textId="44FF57E1" w:rsidR="00C135B1" w:rsidRDefault="00C135B1" w:rsidP="00C135B1">
      <w:pPr>
        <w:pStyle w:val="Bullet"/>
      </w:pPr>
      <w:r>
        <w:lastRenderedPageBreak/>
        <w:t>D</w:t>
      </w:r>
      <w:r w:rsidR="00AB2CCE">
        <w:t>isconnect it from the network</w:t>
      </w:r>
      <w:r w:rsidR="001861D7">
        <w:t xml:space="preserve">. This makes the VM isolated, without shutting down the application. If it’s used, the VM Owner will </w:t>
      </w:r>
      <w:r w:rsidR="00554C2C">
        <w:t>know it.</w:t>
      </w:r>
    </w:p>
    <w:p w14:paraId="48364EA2" w14:textId="7863BC1E" w:rsidR="00C135B1" w:rsidRDefault="00C135B1" w:rsidP="00C135B1">
      <w:pPr>
        <w:pStyle w:val="Bullet"/>
      </w:pPr>
      <w:r>
        <w:t>Ap</w:t>
      </w:r>
      <w:r w:rsidR="0044650F">
        <w:t>ply</w:t>
      </w:r>
      <w:r w:rsidR="002A6337">
        <w:t xml:space="preserve"> </w:t>
      </w:r>
      <w:r>
        <w:t xml:space="preserve">CPU </w:t>
      </w:r>
      <w:r w:rsidR="0044650F">
        <w:t>limit</w:t>
      </w:r>
      <w:r w:rsidR="002A6337">
        <w:t xml:space="preserve"> to it</w:t>
      </w:r>
      <w:r w:rsidR="0044650F">
        <w:t>.</w:t>
      </w:r>
      <w:r w:rsidR="007C4466">
        <w:t xml:space="preserve"> </w:t>
      </w:r>
      <w:r w:rsidR="00554C2C">
        <w:t xml:space="preserve">This slows down the VM. The VM Owner will feel the impact and complain it’s slow. </w:t>
      </w:r>
    </w:p>
    <w:p w14:paraId="32C208BA" w14:textId="080523AD" w:rsidR="00AB2CCE" w:rsidRDefault="007C4466" w:rsidP="00C135B1">
      <w:r>
        <w:t>When you do that, ensure you tag the VM</w:t>
      </w:r>
      <w:r w:rsidR="000E5F4D">
        <w:t xml:space="preserve"> or move them into a “</w:t>
      </w:r>
      <w:r w:rsidR="000E5F4D" w:rsidRPr="00BF5041">
        <w:rPr>
          <w:color w:val="00B0F0"/>
        </w:rPr>
        <w:t>Unused VM</w:t>
      </w:r>
      <w:r w:rsidR="000E5F4D">
        <w:t>” folder. If these unused VMs spans multiple vCenter servers, use vRealize Operations custom property. If there are many of them, create a dedicated dashboard so you can see them at a glance.</w:t>
      </w:r>
    </w:p>
    <w:p w14:paraId="743A6C7C" w14:textId="77777777" w:rsidR="00800964" w:rsidRDefault="00800964" w:rsidP="00E7573A">
      <w:pPr>
        <w:pStyle w:val="Heading5"/>
      </w:pPr>
      <w:r>
        <w:t>Annual Stocktake</w:t>
      </w:r>
    </w:p>
    <w:p w14:paraId="0060C2CB" w14:textId="77777777" w:rsidR="00800964" w:rsidRPr="00C17739" w:rsidRDefault="00800964" w:rsidP="00800964">
      <w:r>
        <w:t xml:space="preserve">Unused VM is hard to detect. If you don’t have the VM owner, perform a stocktake on those unidentified VMs. </w:t>
      </w:r>
    </w:p>
    <w:p w14:paraId="1B1D8F09" w14:textId="77777777" w:rsidR="00800964" w:rsidRDefault="00800964" w:rsidP="00800964">
      <w:r>
        <w:t xml:space="preserve">Stocktake is applicable if your IT business is not profit oriented. This means it applies to internal IT department even though you have chargeback as you aim to be a good corporate citizen. </w:t>
      </w:r>
    </w:p>
    <w:p w14:paraId="580502F8" w14:textId="44FE2DE3" w:rsidR="00800964" w:rsidRDefault="00800964" w:rsidP="00800964">
      <w:r>
        <w:t xml:space="preserve">The </w:t>
      </w:r>
      <w:hyperlink r:id="rId173" w:history="1">
        <w:r w:rsidRPr="004C00E1">
          <w:rPr>
            <w:rStyle w:val="Hyperlink"/>
          </w:rPr>
          <w:t>stocktake</w:t>
        </w:r>
      </w:hyperlink>
      <w:r>
        <w:t xml:space="preserve"> actually starts from Day 0, where VM is being requested. Make expiry date mandatory, to catch those temporary VMs. For permanent VM, set it to 1 year. If you set beyond 1 year, you increase the risk of change of owners and you lose the contacts. Reorganisation can result in the department or team owning the VM no longer exist. </w:t>
      </w:r>
      <w:r w:rsidR="00E5103A">
        <w:t>What was meant to be permanent VM suddenly becomes unused VM.</w:t>
      </w:r>
    </w:p>
    <w:p w14:paraId="534FBCE2" w14:textId="77777777" w:rsidR="00800964" w:rsidRDefault="00800964" w:rsidP="00800964">
      <w:r>
        <w:t>You need to have a process to keep unused VM in check. Have a simple process so that you can get an agreement from all your customers. As business owners may not know the VM name, include the following information</w:t>
      </w:r>
    </w:p>
    <w:p w14:paraId="350E0D4F" w14:textId="77777777" w:rsidR="00800964" w:rsidRDefault="00800964" w:rsidP="00800964">
      <w:pPr>
        <w:pStyle w:val="Bullet"/>
      </w:pPr>
      <w:r>
        <w:t>Hostname. Take the one from inside the Guest OS, not from vCenter.</w:t>
      </w:r>
    </w:p>
    <w:p w14:paraId="7721560E" w14:textId="77777777" w:rsidR="00800964" w:rsidRDefault="00800964" w:rsidP="00800964">
      <w:pPr>
        <w:pStyle w:val="Bullet"/>
      </w:pPr>
      <w:r>
        <w:t>Application name</w:t>
      </w:r>
    </w:p>
    <w:p w14:paraId="54EF466E" w14:textId="77777777" w:rsidR="00800964" w:rsidRDefault="00800964" w:rsidP="00800964">
      <w:pPr>
        <w:pStyle w:val="Bullet"/>
      </w:pPr>
      <w:r>
        <w:t>IP Address. They may login with IP address and it rings a bell to them.</w:t>
      </w:r>
    </w:p>
    <w:p w14:paraId="7A6DC0CD" w14:textId="77777777" w:rsidR="00800964" w:rsidRDefault="00800964" w:rsidP="00800964">
      <w:pPr>
        <w:pStyle w:val="Bullet"/>
      </w:pPr>
      <w:r>
        <w:t>Guest OS name and version.</w:t>
      </w:r>
    </w:p>
    <w:p w14:paraId="5F8A6651" w14:textId="77777777" w:rsidR="00800964" w:rsidRDefault="00800964" w:rsidP="00800964">
      <w:pPr>
        <w:pStyle w:val="Bullet"/>
      </w:pPr>
      <w:r>
        <w:t>vCenter Folder name. This should be the business unit it belongs to. See Part 1 Chapter 1.</w:t>
      </w:r>
    </w:p>
    <w:p w14:paraId="5B84165A" w14:textId="77777777" w:rsidR="00800964" w:rsidRDefault="00800964" w:rsidP="00800964">
      <w:pPr>
        <w:pStyle w:val="Bullet"/>
      </w:pPr>
      <w:r>
        <w:t>95</w:t>
      </w:r>
      <w:r w:rsidRPr="003E326D">
        <w:rPr>
          <w:vertAlign w:val="superscript"/>
        </w:rPr>
        <w:t>th</w:t>
      </w:r>
      <w:r>
        <w:t xml:space="preserve"> percentile utilization in the last 3 months.</w:t>
      </w:r>
    </w:p>
    <w:p w14:paraId="755A6E3B" w14:textId="77777777" w:rsidR="00800964" w:rsidRDefault="00800964" w:rsidP="00800964">
      <w:pPr>
        <w:pStyle w:val="Bullet"/>
      </w:pPr>
      <w:r>
        <w:t>Any other information and context you think will help them remember it’s their VM.</w:t>
      </w:r>
    </w:p>
    <w:p w14:paraId="1E03E6D6" w14:textId="2646BB60" w:rsidR="00516059" w:rsidRDefault="00B06936" w:rsidP="00516059">
      <w:pPr>
        <w:pStyle w:val="Heading3"/>
      </w:pPr>
      <w:bookmarkStart w:id="38" w:name="_Rightsizing"/>
      <w:bookmarkEnd w:id="38"/>
      <w:r w:rsidRPr="00C17739">
        <w:t>Rightsizing</w:t>
      </w:r>
    </w:p>
    <w:p w14:paraId="4A25A229" w14:textId="10611C33" w:rsidR="00516059" w:rsidRDefault="00E9127D" w:rsidP="00516059">
      <w:pPr>
        <w:rPr>
          <w:lang w:val="en-GB"/>
        </w:rPr>
      </w:pPr>
      <w:r>
        <w:rPr>
          <w:lang w:val="en-GB"/>
        </w:rPr>
        <w:t>W</w:t>
      </w:r>
      <w:r w:rsidR="00516059">
        <w:rPr>
          <w:lang w:val="en-GB"/>
        </w:rPr>
        <w:t>hat do you rightsize? Not all objects are relevant for rightsizing</w:t>
      </w:r>
      <w:r>
        <w:rPr>
          <w:lang w:val="en-GB"/>
        </w:rPr>
        <w:t xml:space="preserve">. Take for example, an ESXi host. Once you buy it, you rarely change the size over the lifetime of the server. You may increase the size, but that was already part of your plan when you bought the hardware initially. </w:t>
      </w:r>
    </w:p>
    <w:p w14:paraId="0F948F7F" w14:textId="77777777" w:rsidR="00516059" w:rsidRDefault="00516059" w:rsidP="00516059">
      <w:pPr>
        <w:pStyle w:val="BeforeTable"/>
      </w:pPr>
    </w:p>
    <w:tbl>
      <w:tblPr>
        <w:tblW w:w="0" w:type="auto"/>
        <w:tblBorders>
          <w:top w:val="single" w:sz="4" w:space="0" w:color="D9D9D9" w:themeColor="background1" w:themeShade="D9"/>
          <w:bottom w:val="single" w:sz="4" w:space="0" w:color="BFBFBF" w:themeColor="background1" w:themeShade="BF"/>
          <w:insideH w:val="single" w:sz="4" w:space="0" w:color="D9D9D9" w:themeColor="background1" w:themeShade="D9"/>
        </w:tblBorders>
        <w:tblLook w:val="04A0" w:firstRow="1" w:lastRow="0" w:firstColumn="1" w:lastColumn="0" w:noHBand="0" w:noVBand="1"/>
      </w:tblPr>
      <w:tblGrid>
        <w:gridCol w:w="1985"/>
        <w:gridCol w:w="8471"/>
      </w:tblGrid>
      <w:tr w:rsidR="00516059" w14:paraId="27A722CC" w14:textId="77777777" w:rsidTr="00E440AB">
        <w:tc>
          <w:tcPr>
            <w:tcW w:w="1985" w:type="dxa"/>
            <w:shd w:val="clear" w:color="auto" w:fill="F2F2F2" w:themeFill="background1" w:themeFillShade="F2"/>
          </w:tcPr>
          <w:p w14:paraId="5151BCD9" w14:textId="1A447BCF" w:rsidR="00516059" w:rsidRPr="00E9127D" w:rsidRDefault="00516059" w:rsidP="00516059">
            <w:pPr>
              <w:pStyle w:val="Tablecontent"/>
              <w:rPr>
                <w:b/>
                <w:bCs/>
              </w:rPr>
            </w:pPr>
            <w:r w:rsidRPr="00E9127D">
              <w:rPr>
                <w:b/>
                <w:bCs/>
              </w:rPr>
              <w:t xml:space="preserve">vSphere </w:t>
            </w:r>
            <w:r w:rsidR="00E9127D" w:rsidRPr="00E9127D">
              <w:rPr>
                <w:b/>
                <w:bCs/>
              </w:rPr>
              <w:t>Cluster</w:t>
            </w:r>
          </w:p>
        </w:tc>
        <w:tc>
          <w:tcPr>
            <w:tcW w:w="8471" w:type="dxa"/>
          </w:tcPr>
          <w:p w14:paraId="2830D31F" w14:textId="77777777" w:rsidR="00516059" w:rsidRDefault="00E9127D" w:rsidP="00E9127D">
            <w:pPr>
              <w:pStyle w:val="Tablecontent"/>
            </w:pPr>
            <w:r>
              <w:t>You do not typically remove hosts from the cluster, especially if the cluster has &lt; 6 ESXi hosts.</w:t>
            </w:r>
          </w:p>
          <w:p w14:paraId="69D190A6" w14:textId="46F51DF6" w:rsidR="00E9127D" w:rsidRDefault="00E9127D" w:rsidP="00E9127D">
            <w:pPr>
              <w:pStyle w:val="Tablecontent"/>
            </w:pPr>
            <w:r>
              <w:lastRenderedPageBreak/>
              <w:t xml:space="preserve">If you plan to add hosts, you need to plan the supporting infrastructure. That means network switch ports (including for ILO management, which is typically a separate physical switch), rack space, power cable, and power. </w:t>
            </w:r>
          </w:p>
        </w:tc>
      </w:tr>
      <w:tr w:rsidR="00516059" w14:paraId="1405817B" w14:textId="77777777" w:rsidTr="00E440AB">
        <w:tc>
          <w:tcPr>
            <w:tcW w:w="1985" w:type="dxa"/>
            <w:shd w:val="clear" w:color="auto" w:fill="F2F2F2" w:themeFill="background1" w:themeFillShade="F2"/>
          </w:tcPr>
          <w:p w14:paraId="51EEB490" w14:textId="7DDB86AF" w:rsidR="00516059" w:rsidRPr="00E9127D" w:rsidRDefault="00E9127D" w:rsidP="00516059">
            <w:pPr>
              <w:pStyle w:val="Tablecontent"/>
              <w:rPr>
                <w:b/>
                <w:bCs/>
              </w:rPr>
            </w:pPr>
            <w:r>
              <w:rPr>
                <w:b/>
                <w:bCs/>
              </w:rPr>
              <w:lastRenderedPageBreak/>
              <w:t>vSphere Datastore</w:t>
            </w:r>
          </w:p>
        </w:tc>
        <w:tc>
          <w:tcPr>
            <w:tcW w:w="8471" w:type="dxa"/>
          </w:tcPr>
          <w:p w14:paraId="089D424F" w14:textId="4833ABE8" w:rsidR="00516059" w:rsidRDefault="00E9127D" w:rsidP="00516059">
            <w:pPr>
              <w:pStyle w:val="Tablecontent"/>
            </w:pPr>
            <w:r>
              <w:t>You do not typically decrease the size of the datastore.</w:t>
            </w:r>
          </w:p>
        </w:tc>
      </w:tr>
    </w:tbl>
    <w:p w14:paraId="324508AD" w14:textId="77777777" w:rsidR="00516059" w:rsidRPr="00C17739" w:rsidRDefault="00516059" w:rsidP="00516059">
      <w:pPr>
        <w:pStyle w:val="BeforeTable"/>
      </w:pPr>
    </w:p>
    <w:p w14:paraId="2F6F5879" w14:textId="77777777" w:rsidR="00B06936" w:rsidRPr="00C17739" w:rsidRDefault="00B06936" w:rsidP="00B06936">
      <w:r w:rsidRPr="00C17739">
        <w:t>Over Provisioning is a common malpractice in real life SDDC for a variety of reasons. P2V is a common reason, as the VM was simply matched to the physical server size. Another reason is conservative sizing by the vendor, which was then further added by Application Team.</w:t>
      </w:r>
    </w:p>
    <w:p w14:paraId="5DA1DEBD" w14:textId="77777777" w:rsidR="00B06936" w:rsidRPr="00C17739" w:rsidRDefault="00B06936" w:rsidP="00B06936">
      <w:r w:rsidRPr="00C17739">
        <w:t>I’ve seen large enterprise customers try to do a mass adjustment, downsizing many VMs, only to have the effort backfire when</w:t>
      </w:r>
      <w:r>
        <w:t xml:space="preserve"> the VM performance</w:t>
      </w:r>
      <w:r w:rsidRPr="00C17739">
        <w:rPr>
          <w:color w:val="FF0000"/>
        </w:rPr>
        <w:t xml:space="preserve"> </w:t>
      </w:r>
      <w:r w:rsidRPr="00C17739">
        <w:t>suffers.</w:t>
      </w:r>
    </w:p>
    <w:p w14:paraId="25EAEF20" w14:textId="300977B1" w:rsidR="00B06936" w:rsidRDefault="00B06936" w:rsidP="00B06936">
      <w:r>
        <w:t>Since performance is critical, you should address it from this angle. Take serious time and effort to educate the VM Owner that right sizing actually improves performance, despite the seemingly odd logic. A carrot is a lot more effective than a stick, especially for those with money. Saving money is a weak argument in most cases, as VM Owners have paid for the VMs.</w:t>
      </w:r>
    </w:p>
    <w:p w14:paraId="76417D8A" w14:textId="61540CAA" w:rsidR="00F32C3D" w:rsidRDefault="00F32C3D" w:rsidP="00AC6E1E">
      <w:pPr>
        <w:pStyle w:val="Heading4"/>
      </w:pPr>
      <w:r>
        <w:t>Benefits</w:t>
      </w:r>
    </w:p>
    <w:p w14:paraId="4CA63BCC" w14:textId="77777777" w:rsidR="00152E90" w:rsidRPr="00C17739" w:rsidRDefault="00152E90" w:rsidP="00152E90">
      <w:pPr>
        <w:rPr>
          <w:lang w:eastAsia="en-SG"/>
        </w:rPr>
      </w:pPr>
      <w:r w:rsidRPr="70F05EAA">
        <w:rPr>
          <w:lang w:eastAsia="en-SG"/>
        </w:rPr>
        <w:t>Rightsizing is important for a VM, more so than for a physical server. Here are some benefits</w:t>
      </w:r>
      <w:r>
        <w:rPr>
          <w:lang w:eastAsia="en-SG"/>
        </w:rPr>
        <w:t>:</w:t>
      </w:r>
    </w:p>
    <w:p w14:paraId="40E458C5" w14:textId="77777777" w:rsidR="00B06936" w:rsidRPr="00C17739" w:rsidRDefault="00B06936" w:rsidP="00B06936">
      <w:pPr>
        <w:jc w:val="center"/>
      </w:pPr>
      <w:r>
        <w:rPr>
          <w:noProof/>
        </w:rPr>
        <w:drawing>
          <wp:inline distT="0" distB="0" distL="0" distR="0" wp14:anchorId="31F0293C" wp14:editId="50E32452">
            <wp:extent cx="4077730" cy="1841444"/>
            <wp:effectExtent l="0" t="0" r="0" b="6985"/>
            <wp:docPr id="606394052" name="Picture 606394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52"/>
                    <pic:cNvPicPr/>
                  </pic:nvPicPr>
                  <pic:blipFill>
                    <a:blip r:embed="rId174">
                      <a:extLst>
                        <a:ext uri="{28A0092B-C50C-407E-A947-70E740481C1C}">
                          <a14:useLocalDpi xmlns:a14="http://schemas.microsoft.com/office/drawing/2010/main" val="0"/>
                        </a:ext>
                      </a:extLst>
                    </a:blip>
                    <a:stretch>
                      <a:fillRect/>
                    </a:stretch>
                  </pic:blipFill>
                  <pic:spPr>
                    <a:xfrm>
                      <a:off x="0" y="0"/>
                      <a:ext cx="4077730" cy="1841444"/>
                    </a:xfrm>
                    <a:prstGeom prst="rect">
                      <a:avLst/>
                    </a:prstGeom>
                  </pic:spPr>
                </pic:pic>
              </a:graphicData>
            </a:graphic>
          </wp:inline>
        </w:drawing>
      </w:r>
    </w:p>
    <w:p w14:paraId="7397058E" w14:textId="4BF5BFA0" w:rsidR="00B06936" w:rsidRDefault="00B06936" w:rsidP="00152E90">
      <w:r w:rsidRPr="00C17739">
        <w:t xml:space="preserve">The processes inside the Guest OS may experience less ping-pong. The Guest OS may not be aware of the </w:t>
      </w:r>
      <w:hyperlink r:id="rId175" w:history="1">
        <w:r w:rsidRPr="00D34589">
          <w:rPr>
            <w:rStyle w:val="Hyperlink"/>
          </w:rPr>
          <w:t>NUMA</w:t>
        </w:r>
      </w:hyperlink>
      <w:r w:rsidRPr="00C17739">
        <w:t xml:space="preserve"> nature of the physical motherboard, and think it has a uniform structure. It may move processes within its own CPUs, as it assumes it has no performance impact. If the vCPUs are spread into different NUMA node, example a 20 vCPU on a box with 2-socket and 20 cores, it can experience the ping-pong effect.</w:t>
      </w:r>
    </w:p>
    <w:p w14:paraId="03BD0828" w14:textId="77777777" w:rsidR="00B06936" w:rsidRPr="00C17739" w:rsidRDefault="00B06936" w:rsidP="00152E90">
      <w:r w:rsidRPr="00C17739">
        <w:t>Lower risk of NUMA effect. Lower risk that the RAM or CPU is spread over a single socket. Due to NUMA architecture, the performance will not be as good.</w:t>
      </w:r>
    </w:p>
    <w:p w14:paraId="05EEABD8" w14:textId="77777777" w:rsidR="00B06936" w:rsidRPr="00C17739" w:rsidRDefault="00B06936" w:rsidP="00152E90">
      <w:r w:rsidRPr="00C17739">
        <w:t xml:space="preserve">Lower co-stop and ready time. Even if not all vCPU is used by the application, the Guest OS will still demand all the vCPU be provided by the hypervisor. </w:t>
      </w:r>
    </w:p>
    <w:p w14:paraId="3043319F" w14:textId="77777777" w:rsidR="00B06936" w:rsidRPr="00C17739" w:rsidRDefault="00B06936" w:rsidP="00152E90">
      <w:r w:rsidRPr="00C17739">
        <w:t>Faster snapshot time, especially if memory snapshot is included.</w:t>
      </w:r>
    </w:p>
    <w:p w14:paraId="1CD3646D" w14:textId="77777777" w:rsidR="00B06936" w:rsidRPr="00C17739" w:rsidRDefault="00B06936" w:rsidP="00152E90">
      <w:r w:rsidRPr="00C17739">
        <w:t>Faster boot time. If a VM does not have a reservation, vSphere will create a swap file the size of the configured RAM. This can impact the boot time if the storage subsystem is slow.</w:t>
      </w:r>
    </w:p>
    <w:p w14:paraId="74C05DE5" w14:textId="4FB726F9" w:rsidR="00B06936" w:rsidRDefault="00B06936" w:rsidP="00152E90">
      <w:r w:rsidRPr="00C17739">
        <w:lastRenderedPageBreak/>
        <w:t xml:space="preserve">Faster vMotion. Windows and Linux use memory as cache. The more it has, the more it uses, all else being equal. </w:t>
      </w:r>
    </w:p>
    <w:p w14:paraId="12DF1228" w14:textId="77777777" w:rsidR="00B06936" w:rsidRDefault="00B06936" w:rsidP="00AC6E1E">
      <w:pPr>
        <w:pStyle w:val="Heading4"/>
      </w:pPr>
      <w:bookmarkStart w:id="39" w:name="_Focus_on_Large"/>
      <w:bookmarkEnd w:id="39"/>
      <w:r>
        <w:t>Severity of Over Provisioning</w:t>
      </w:r>
    </w:p>
    <w:p w14:paraId="12C834AB" w14:textId="77777777" w:rsidR="00B06936" w:rsidRPr="00C17739" w:rsidRDefault="00B06936" w:rsidP="00B06936">
      <w:r>
        <w:t xml:space="preserve">If you have thousands of large VMs, how do you communicate easily to your senior management that many of the large VMs do not use the CPU given to them in the last few months? </w:t>
      </w:r>
    </w:p>
    <w:p w14:paraId="25993713" w14:textId="77777777" w:rsidR="00B06936" w:rsidRPr="00C17739" w:rsidRDefault="00B06936" w:rsidP="00B06936">
      <w:r>
        <w:t xml:space="preserve">You need to present a convincing chart, that shows the utilization of hundreds of large VMs (which you defined as having &gt; 16 vCPU) every 5 minutes, so a short peak is not excluded in your presentation. </w:t>
      </w:r>
    </w:p>
    <w:p w14:paraId="01E29B2A" w14:textId="77777777" w:rsidR="00B06936" w:rsidRPr="00C17739" w:rsidRDefault="00B06936" w:rsidP="00B06936">
      <w:r>
        <w:t xml:space="preserve">The first thing you need is to create a dynamic group that captures all the large VMs. Create 1 group for CPU, and one for RAM. You then plot their utilization, every 5 minutes, in the last 3 months. </w:t>
      </w:r>
    </w:p>
    <w:p w14:paraId="6D6743C4" w14:textId="77777777" w:rsidR="00B06936" w:rsidRPr="00C17739" w:rsidRDefault="00B06936" w:rsidP="00B06936">
      <w:r w:rsidRPr="00C17739">
        <w:t>In a perfect world, if all the large VMs are right sized, which scenario will you see?</w:t>
      </w:r>
    </w:p>
    <w:p w14:paraId="2D9FA82C" w14:textId="77777777" w:rsidR="00B06936" w:rsidRPr="00C17739" w:rsidRDefault="00B06936" w:rsidP="00B45100">
      <w:pPr>
        <w:jc w:val="center"/>
      </w:pPr>
      <w:r>
        <w:rPr>
          <w:noProof/>
        </w:rPr>
        <w:drawing>
          <wp:inline distT="0" distB="0" distL="0" distR="0" wp14:anchorId="4738D466" wp14:editId="34F53D06">
            <wp:extent cx="5578996" cy="2409960"/>
            <wp:effectExtent l="0" t="0" r="3175" b="0"/>
            <wp:docPr id="606394097" name="Picture 60639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97"/>
                    <pic:cNvPicPr/>
                  </pic:nvPicPr>
                  <pic:blipFill>
                    <a:blip r:embed="rId176">
                      <a:extLst>
                        <a:ext uri="{28A0092B-C50C-407E-A947-70E740481C1C}">
                          <a14:useLocalDpi xmlns:a14="http://schemas.microsoft.com/office/drawing/2010/main" val="0"/>
                        </a:ext>
                      </a:extLst>
                    </a:blip>
                    <a:stretch>
                      <a:fillRect/>
                    </a:stretch>
                  </pic:blipFill>
                  <pic:spPr>
                    <a:xfrm>
                      <a:off x="0" y="0"/>
                      <a:ext cx="5578996" cy="2409960"/>
                    </a:xfrm>
                    <a:prstGeom prst="rect">
                      <a:avLst/>
                    </a:prstGeom>
                  </pic:spPr>
                </pic:pic>
              </a:graphicData>
            </a:graphic>
          </wp:inline>
        </w:drawing>
      </w:r>
    </w:p>
    <w:p w14:paraId="61037507" w14:textId="7CB32C29" w:rsidR="00B06936" w:rsidRPr="00C17739" w:rsidRDefault="00B06936" w:rsidP="00B06936">
      <w:r>
        <w:t>That’s right. Scenario 2. Because the group has hundreds of members, there is a good chance that one of the large VMs is using the CPU given to it. On average, they should be hovering around 40 – 50%, as at any given 5-minute interval, some may be idle while others may be busy.</w:t>
      </w:r>
    </w:p>
    <w:p w14:paraId="5CAD6D9A" w14:textId="77777777" w:rsidR="00B06936" w:rsidRPr="00C17739" w:rsidRDefault="00B06936" w:rsidP="00B06936">
      <w:r w:rsidRPr="00C17739">
        <w:t>The technique we use for both CPU and RAM are the same. I’d use CPU as an example.</w:t>
      </w:r>
    </w:p>
    <w:p w14:paraId="0452818B" w14:textId="7CC9C99C" w:rsidR="00B06936" w:rsidRDefault="00B06936" w:rsidP="00B06936">
      <w:r w:rsidRPr="00C17739">
        <w:t xml:space="preserve">Once you create a group, the next step is to create </w:t>
      </w:r>
      <w:r>
        <w:t>two</w:t>
      </w:r>
      <w:r w:rsidRPr="00C17739">
        <w:t xml:space="preserve"> </w:t>
      </w:r>
      <w:hyperlink r:id="rId177">
        <w:r w:rsidRPr="00C17739">
          <w:rPr>
            <w:rStyle w:val="Hyperlink"/>
          </w:rPr>
          <w:t>super metrics</w:t>
        </w:r>
      </w:hyperlink>
      <w:r w:rsidRPr="00C17739">
        <w:t>:</w:t>
      </w:r>
    </w:p>
    <w:p w14:paraId="644869C5" w14:textId="77777777" w:rsidR="00516059" w:rsidRDefault="00516059" w:rsidP="00516059">
      <w:pPr>
        <w:pStyle w:val="BeforeTable"/>
      </w:pPr>
    </w:p>
    <w:tbl>
      <w:tblPr>
        <w:tblW w:w="0" w:type="auto"/>
        <w:tblBorders>
          <w:top w:val="single" w:sz="4" w:space="0" w:color="D9D9D9" w:themeColor="background1" w:themeShade="D9"/>
          <w:bottom w:val="single" w:sz="4" w:space="0" w:color="BFBFBF" w:themeColor="background1" w:themeShade="BF"/>
          <w:insideH w:val="single" w:sz="4" w:space="0" w:color="D9D9D9" w:themeColor="background1" w:themeShade="D9"/>
        </w:tblBorders>
        <w:tblLook w:val="04A0" w:firstRow="1" w:lastRow="0" w:firstColumn="1" w:lastColumn="0" w:noHBand="0" w:noVBand="1"/>
      </w:tblPr>
      <w:tblGrid>
        <w:gridCol w:w="1985"/>
        <w:gridCol w:w="8471"/>
      </w:tblGrid>
      <w:tr w:rsidR="00B06936" w14:paraId="48E39A25" w14:textId="77777777" w:rsidTr="00477EA5">
        <w:tc>
          <w:tcPr>
            <w:tcW w:w="1985" w:type="dxa"/>
            <w:shd w:val="clear" w:color="auto" w:fill="F2F2F2" w:themeFill="background1" w:themeFillShade="F2"/>
          </w:tcPr>
          <w:p w14:paraId="6C4067BE" w14:textId="77777777" w:rsidR="00B06936" w:rsidRPr="007649D3" w:rsidRDefault="00B06936" w:rsidP="004974AB">
            <w:pPr>
              <w:rPr>
                <w:b/>
                <w:bCs/>
              </w:rPr>
            </w:pPr>
            <w:r w:rsidRPr="007649D3">
              <w:rPr>
                <w:b/>
                <w:bCs/>
              </w:rPr>
              <w:t>Maximum()</w:t>
            </w:r>
          </w:p>
        </w:tc>
        <w:tc>
          <w:tcPr>
            <w:tcW w:w="8471" w:type="dxa"/>
          </w:tcPr>
          <w:p w14:paraId="7DD8D157" w14:textId="77777777" w:rsidR="00B06936" w:rsidRDefault="00B06936" w:rsidP="004974AB">
            <w:r>
              <w:t xml:space="preserve">Maximum CPU Workload among these large VMs. </w:t>
            </w:r>
          </w:p>
          <w:p w14:paraId="01E3F769" w14:textId="77777777" w:rsidR="00B06936" w:rsidRDefault="00B06936" w:rsidP="004974AB">
            <w:r>
              <w:t>You expect this number to be hovering around 80%, as it only takes 1 VM among all the large VMs for the line chart to spike.</w:t>
            </w:r>
          </w:p>
          <w:p w14:paraId="219733EA" w14:textId="77777777" w:rsidR="00B06936" w:rsidRDefault="00B06936" w:rsidP="004974AB">
            <w:r>
              <w:t xml:space="preserve">If your Maximum line is constantly ~100% flat, you may have a runaway process. </w:t>
            </w:r>
          </w:p>
          <w:p w14:paraId="40AF5766" w14:textId="4834B88E" w:rsidR="00B06936" w:rsidRDefault="00B06936" w:rsidP="004974AB">
            <w:r>
              <w:t xml:space="preserve">If you have many large VMs, one of them tends to have high </w:t>
            </w:r>
            <w:r w:rsidR="000B7848">
              <w:t>utilization</w:t>
            </w:r>
            <w:r>
              <w:t xml:space="preserve"> at any given time.</w:t>
            </w:r>
          </w:p>
          <w:p w14:paraId="21B8C829" w14:textId="77777777" w:rsidR="00B06936" w:rsidRDefault="00B06936" w:rsidP="004974AB">
            <w:r>
              <w:t>If this number is low, that means a severe wastage!</w:t>
            </w:r>
          </w:p>
        </w:tc>
      </w:tr>
      <w:tr w:rsidR="00B06936" w14:paraId="133B78C6" w14:textId="77777777" w:rsidTr="00477EA5">
        <w:tc>
          <w:tcPr>
            <w:tcW w:w="1985" w:type="dxa"/>
            <w:shd w:val="clear" w:color="auto" w:fill="F2F2F2" w:themeFill="background1" w:themeFillShade="F2"/>
          </w:tcPr>
          <w:p w14:paraId="5E9D61B2" w14:textId="77777777" w:rsidR="00B06936" w:rsidRPr="007649D3" w:rsidRDefault="00B06936" w:rsidP="004974AB">
            <w:pPr>
              <w:rPr>
                <w:b/>
                <w:bCs/>
              </w:rPr>
            </w:pPr>
            <w:r w:rsidRPr="007649D3">
              <w:rPr>
                <w:b/>
                <w:bCs/>
              </w:rPr>
              <w:t>Minimum()</w:t>
            </w:r>
          </w:p>
        </w:tc>
        <w:tc>
          <w:tcPr>
            <w:tcW w:w="8471" w:type="dxa"/>
          </w:tcPr>
          <w:p w14:paraId="56B9C4DA" w14:textId="77777777" w:rsidR="00B06936" w:rsidRDefault="00B06936" w:rsidP="004974AB">
            <w:r>
              <w:t>Average CPU Workload among these large VMs.</w:t>
            </w:r>
          </w:p>
          <w:p w14:paraId="2FC1BB35" w14:textId="77777777" w:rsidR="00B06936" w:rsidRDefault="00B06936" w:rsidP="004974AB">
            <w:r>
              <w:lastRenderedPageBreak/>
              <w:t>You expect this number to hovering around 40%, indicating sizing was done correctly.</w:t>
            </w:r>
          </w:p>
          <w:p w14:paraId="3637BC31" w14:textId="77777777" w:rsidR="00B06936" w:rsidRDefault="00B06936" w:rsidP="004974AB">
            <w:r>
              <w:t>If this chart is below &lt;20% all the time for the entire month, then all the large VMs are oversized.</w:t>
            </w:r>
          </w:p>
        </w:tc>
      </w:tr>
    </w:tbl>
    <w:p w14:paraId="6B94F6A7" w14:textId="77777777" w:rsidR="00B06936" w:rsidRPr="00C17739" w:rsidRDefault="00B06936" w:rsidP="00B06936">
      <w:pPr>
        <w:pStyle w:val="BeforeTable"/>
      </w:pPr>
    </w:p>
    <w:p w14:paraId="4CC763BF" w14:textId="77777777" w:rsidR="00B06936" w:rsidRDefault="00B06936" w:rsidP="00B06936">
      <w:r>
        <w:t xml:space="preserve">Why is it not </w:t>
      </w:r>
      <w:r w:rsidRPr="00C17739">
        <w:t>need</w:t>
      </w:r>
      <w:r>
        <w:t>ed</w:t>
      </w:r>
      <w:r w:rsidRPr="00C17739">
        <w:t xml:space="preserve"> to create the Minimum</w:t>
      </w:r>
      <w:r>
        <w:t xml:space="preserve">? </w:t>
      </w:r>
    </w:p>
    <w:p w14:paraId="184A72A0" w14:textId="77777777" w:rsidR="00B06936" w:rsidRPr="00C17739" w:rsidRDefault="00B06936" w:rsidP="00B06936">
      <w:r w:rsidRPr="00C17739">
        <w:t>There is bound to be a VM who is idle at any given time.</w:t>
      </w:r>
    </w:p>
    <w:p w14:paraId="7B1C2E9A" w14:textId="77777777" w:rsidR="00B06936" w:rsidRPr="00C17739" w:rsidRDefault="00B06936" w:rsidP="00B06936">
      <w:r w:rsidRPr="00C17739">
        <w:t xml:space="preserve">The </w:t>
      </w:r>
      <w:r>
        <w:t>two</w:t>
      </w:r>
      <w:r w:rsidRPr="00C17739">
        <w:t xml:space="preserve"> line chart shows us the degree of over provisioning. Can you tell a limitation?</w:t>
      </w:r>
    </w:p>
    <w:p w14:paraId="0334B8EB" w14:textId="08BA30F0" w:rsidR="00B06936" w:rsidRPr="00C17739" w:rsidRDefault="00B06936" w:rsidP="00B06936">
      <w:r w:rsidRPr="00C17739">
        <w:t xml:space="preserve">It lies in the counter itself. We cannot distinguish if the CPU usage is due to real demand or not. Real demand comes from the </w:t>
      </w:r>
      <w:r w:rsidR="00A565B3">
        <w:t>application</w:t>
      </w:r>
      <w:r w:rsidRPr="00C17739">
        <w:t>. Non-real demands comes from the infra, such as:</w:t>
      </w:r>
    </w:p>
    <w:p w14:paraId="18A6C34D" w14:textId="77777777" w:rsidR="00B06936" w:rsidRPr="00C17739" w:rsidRDefault="00B06936" w:rsidP="00B06936">
      <w:pPr>
        <w:pStyle w:val="Bullet"/>
      </w:pPr>
      <w:r>
        <w:t>Guest OS reboot.</w:t>
      </w:r>
    </w:p>
    <w:p w14:paraId="509F0FBB" w14:textId="77777777" w:rsidR="00B06936" w:rsidRPr="00C17739" w:rsidRDefault="00B06936" w:rsidP="00B06936">
      <w:pPr>
        <w:pStyle w:val="Bullet"/>
      </w:pPr>
      <w:r w:rsidRPr="00C17739">
        <w:t>AV full scan.</w:t>
      </w:r>
    </w:p>
    <w:p w14:paraId="012B509B" w14:textId="6196C4EC" w:rsidR="00B06936" w:rsidRPr="00C17739" w:rsidRDefault="00B06936" w:rsidP="00B06936">
      <w:pPr>
        <w:pStyle w:val="Bullet"/>
      </w:pPr>
      <w:r w:rsidRPr="00C17739">
        <w:t xml:space="preserve">Process </w:t>
      </w:r>
      <w:r>
        <w:t>runaway</w:t>
      </w:r>
      <w:r w:rsidRPr="00C17739">
        <w:t xml:space="preserve">. This can </w:t>
      </w:r>
      <w:r w:rsidR="00A87BF5">
        <w:t xml:space="preserve">potentially </w:t>
      </w:r>
      <w:r w:rsidRPr="00C17739">
        <w:t>result in 100% CPU Demand</w:t>
      </w:r>
      <w:r w:rsidR="00A87BF5">
        <w:t xml:space="preserve"> if the application is multi-threaded</w:t>
      </w:r>
      <w:r w:rsidRPr="00C17739">
        <w:t>. How to distinguish a runaway process</w:t>
      </w:r>
      <w:r w:rsidR="00A87BF5">
        <w:t xml:space="preserve"> from </w:t>
      </w:r>
      <w:r w:rsidR="004943EA">
        <w:t>legitimate high workload is the challenge.</w:t>
      </w:r>
    </w:p>
    <w:p w14:paraId="3AE19B13" w14:textId="026042F4" w:rsidR="00AA0487" w:rsidRDefault="00AA0487" w:rsidP="00AC6E1E">
      <w:pPr>
        <w:pStyle w:val="Heading4"/>
      </w:pPr>
      <w:r>
        <w:t>Solution</w:t>
      </w:r>
    </w:p>
    <w:p w14:paraId="41F5490E" w14:textId="6FA35F24" w:rsidR="00AA571C" w:rsidRDefault="00A755D2" w:rsidP="00AA571C">
      <w:pPr>
        <w:rPr>
          <w:lang w:val="en-GB"/>
        </w:rPr>
      </w:pPr>
      <w:r>
        <w:rPr>
          <w:lang w:val="en-GB"/>
        </w:rPr>
        <w:t>How do you prevent oversized VM to begin with?</w:t>
      </w:r>
    </w:p>
    <w:p w14:paraId="6985D1A6" w14:textId="2526626F" w:rsidR="00602FFB" w:rsidRDefault="00675885" w:rsidP="00AA571C">
      <w:pPr>
        <w:rPr>
          <w:lang w:val="en-GB"/>
        </w:rPr>
      </w:pPr>
      <w:r>
        <w:rPr>
          <w:lang w:val="en-GB"/>
        </w:rPr>
        <w:t>Hint: why doesn’t cloud providers like AWS have oversized VM issue? In fact, their profit margin is higher on oversized VM.</w:t>
      </w:r>
    </w:p>
    <w:p w14:paraId="1EF475A7" w14:textId="77777777" w:rsidR="005A6DB9" w:rsidRDefault="0073215E" w:rsidP="00AA571C">
      <w:pPr>
        <w:rPr>
          <w:lang w:val="en-GB"/>
        </w:rPr>
      </w:pPr>
      <w:r>
        <w:rPr>
          <w:lang w:val="en-GB"/>
        </w:rPr>
        <w:t xml:space="preserve">One effective solution is progressive pricing. We cover this in Part 1 Chapter </w:t>
      </w:r>
      <w:r w:rsidR="004A3021">
        <w:rPr>
          <w:lang w:val="en-GB"/>
        </w:rPr>
        <w:t xml:space="preserve">5 </w:t>
      </w:r>
      <w:hyperlink w:anchor="_Design_Consideration_2" w:history="1">
        <w:r w:rsidR="004A3021" w:rsidRPr="004A3021">
          <w:rPr>
            <w:rStyle w:val="Hyperlink"/>
            <w:lang w:val="en-GB"/>
          </w:rPr>
          <w:t>Cost Management</w:t>
        </w:r>
      </w:hyperlink>
      <w:r w:rsidR="004A3021">
        <w:rPr>
          <w:lang w:val="en-GB"/>
        </w:rPr>
        <w:t>.</w:t>
      </w:r>
    </w:p>
    <w:p w14:paraId="4C9B0574" w14:textId="24FD38BC" w:rsidR="00675885" w:rsidRDefault="005A6DB9" w:rsidP="00AA571C">
      <w:pPr>
        <w:rPr>
          <w:lang w:val="en-GB"/>
        </w:rPr>
      </w:pPr>
      <w:r>
        <w:rPr>
          <w:lang w:val="en-GB"/>
        </w:rPr>
        <w:t xml:space="preserve">If you do not charge for VM, then you’re left with </w:t>
      </w:r>
      <w:r w:rsidR="0074560F">
        <w:rPr>
          <w:lang w:val="en-GB"/>
        </w:rPr>
        <w:t xml:space="preserve">official </w:t>
      </w:r>
      <w:r>
        <w:rPr>
          <w:lang w:val="en-GB"/>
        </w:rPr>
        <w:t>approval and corporate policy</w:t>
      </w:r>
      <w:r w:rsidR="00F41BF9">
        <w:rPr>
          <w:lang w:val="en-GB"/>
        </w:rPr>
        <w:t xml:space="preserve">. For example, the bigger the VM, the higher the approval </w:t>
      </w:r>
      <w:r w:rsidR="0074560F">
        <w:rPr>
          <w:lang w:val="en-GB"/>
        </w:rPr>
        <w:t>chain. You can also make the form more complex</w:t>
      </w:r>
      <w:r w:rsidR="00702DB7">
        <w:rPr>
          <w:lang w:val="en-GB"/>
        </w:rPr>
        <w:t>, needing more justification for monster VM.</w:t>
      </w:r>
    </w:p>
    <w:p w14:paraId="24DC254B" w14:textId="0E68FB30" w:rsidR="005129D0" w:rsidRPr="00AA571C" w:rsidRDefault="005129D0" w:rsidP="00AA571C">
      <w:pPr>
        <w:rPr>
          <w:lang w:val="en-GB"/>
        </w:rPr>
      </w:pPr>
      <w:r>
        <w:rPr>
          <w:lang w:val="en-GB"/>
        </w:rPr>
        <w:t>Regardless of the pricing, make sure each VM has life span. While they can live forever, they are subjected to annual confirmation that they are still required</w:t>
      </w:r>
      <w:r w:rsidR="00F41BF9">
        <w:rPr>
          <w:lang w:val="en-GB"/>
        </w:rPr>
        <w:t xml:space="preserve"> by the business</w:t>
      </w:r>
      <w:r w:rsidR="00E4254C">
        <w:rPr>
          <w:lang w:val="en-GB"/>
        </w:rPr>
        <w:t xml:space="preserve">. </w:t>
      </w:r>
    </w:p>
    <w:p w14:paraId="5CA72BFE" w14:textId="209623A1" w:rsidR="003647B6" w:rsidRDefault="003647B6" w:rsidP="00E7573A">
      <w:pPr>
        <w:pStyle w:val="Heading5"/>
      </w:pPr>
      <w:r>
        <w:t>Start Small?</w:t>
      </w:r>
    </w:p>
    <w:p w14:paraId="16B30630" w14:textId="77777777" w:rsidR="003647B6" w:rsidRDefault="003647B6" w:rsidP="003647B6">
      <w:r>
        <w:t xml:space="preserve">Considering the above problem, how do you prevent the problem to begin with? </w:t>
      </w:r>
    </w:p>
    <w:p w14:paraId="45A4FD51" w14:textId="337D274A" w:rsidR="00B90DEA" w:rsidRDefault="003647B6" w:rsidP="003647B6">
      <w:r>
        <w:t>One idea is to give every VM a minimal size regardless of their requirements</w:t>
      </w:r>
      <w:r w:rsidR="007659DA">
        <w:t>. As this standard is small, majority of VMs will end up need</w:t>
      </w:r>
      <w:r w:rsidR="003500A9">
        <w:t>i</w:t>
      </w:r>
      <w:r w:rsidR="007659DA">
        <w:t xml:space="preserve">ng an </w:t>
      </w:r>
      <w:r>
        <w:t xml:space="preserve">upsize </w:t>
      </w:r>
      <w:r w:rsidR="007659DA">
        <w:t>over time</w:t>
      </w:r>
      <w:r>
        <w:t xml:space="preserve">. </w:t>
      </w:r>
      <w:r w:rsidR="00B90DEA">
        <w:t xml:space="preserve">So you need to be prepared for </w:t>
      </w:r>
      <w:r w:rsidR="00481741">
        <w:t xml:space="preserve">CPU Hot Add and memory Hot Add. </w:t>
      </w:r>
    </w:p>
    <w:p w14:paraId="144FA331" w14:textId="3A4008F9" w:rsidR="003647B6" w:rsidRDefault="003500A9" w:rsidP="003647B6">
      <w:r>
        <w:t>Th</w:t>
      </w:r>
      <w:r w:rsidR="00660D35">
        <w:t>ere are a few things to consider before taking this approach:</w:t>
      </w:r>
    </w:p>
    <w:p w14:paraId="05B89D62" w14:textId="73B3627A" w:rsidR="00660D35" w:rsidRDefault="00660D35">
      <w:pPr>
        <w:pStyle w:val="ListParagraph"/>
        <w:numPr>
          <w:ilvl w:val="0"/>
          <w:numId w:val="67"/>
        </w:numPr>
      </w:pPr>
      <w:r>
        <w:lastRenderedPageBreak/>
        <w:t xml:space="preserve">It goes against the service provider business model. </w:t>
      </w:r>
      <w:r w:rsidR="001A4978">
        <w:t xml:space="preserve">This is </w:t>
      </w:r>
      <w:r w:rsidR="009713B7">
        <w:t>classic System Builder, where IT acts as the infrastructure architect, getting involved on VM sizing discussion.</w:t>
      </w:r>
      <w:r w:rsidR="00637DF0">
        <w:t xml:space="preserve"> Ideally, you use price as your primary lever for </w:t>
      </w:r>
      <w:r w:rsidR="00334A3B">
        <w:t>sizing, as you may not be familiar with the load of their applications.</w:t>
      </w:r>
    </w:p>
    <w:p w14:paraId="43D5DFC0" w14:textId="4C21321F" w:rsidR="00334A3B" w:rsidRDefault="004F1CA9">
      <w:pPr>
        <w:pStyle w:val="ListParagraph"/>
        <w:numPr>
          <w:ilvl w:val="0"/>
          <w:numId w:val="67"/>
        </w:numPr>
      </w:pPr>
      <w:r>
        <w:t>Upsizing logic is more complex than downsizing</w:t>
      </w:r>
      <w:r w:rsidR="008C2463">
        <w:t>. You need to consider NUMA</w:t>
      </w:r>
      <w:r w:rsidR="00481741">
        <w:t xml:space="preserve"> impact on performance</w:t>
      </w:r>
      <w:r w:rsidR="008C2463">
        <w:t>. The maximum size also depends on the ESXi hosting the VM.</w:t>
      </w:r>
    </w:p>
    <w:p w14:paraId="308C9CE4" w14:textId="19B0A559" w:rsidR="005A3977" w:rsidRPr="00C17739" w:rsidRDefault="005A3977">
      <w:pPr>
        <w:pStyle w:val="ListParagraph"/>
        <w:numPr>
          <w:ilvl w:val="0"/>
          <w:numId w:val="67"/>
        </w:numPr>
      </w:pPr>
      <w:r>
        <w:t xml:space="preserve">Upsizing needs to be more responsive. While application team </w:t>
      </w:r>
      <w:r w:rsidR="00660A90">
        <w:t>can tolerate weeks before you downsize their VMs, they probably want their VM to be upsized within the same day.</w:t>
      </w:r>
      <w:r w:rsidR="00757B19">
        <w:t xml:space="preserve"> And if performance is affected, they may even ask for it to be done within an hour or so.</w:t>
      </w:r>
    </w:p>
    <w:p w14:paraId="2746E141" w14:textId="77DD7787" w:rsidR="00C17252" w:rsidRPr="00540F68" w:rsidRDefault="00C17252" w:rsidP="00540F68">
      <w:pPr>
        <w:pStyle w:val="Heading3"/>
      </w:pPr>
      <w:bookmarkStart w:id="40" w:name="_Guest_OS_Sizing:"/>
      <w:bookmarkEnd w:id="40"/>
      <w:r w:rsidRPr="00540F68">
        <w:t>Migration</w:t>
      </w:r>
    </w:p>
    <w:p w14:paraId="144B8158" w14:textId="77E5ECDC" w:rsidR="00730973" w:rsidRPr="00A452F2" w:rsidRDefault="00DE2ED3" w:rsidP="00730973">
      <w:pPr>
        <w:rPr>
          <w:lang w:val="en-GB"/>
        </w:rPr>
      </w:pPr>
      <w:r>
        <w:rPr>
          <w:lang w:val="en-GB"/>
        </w:rPr>
        <w:t>The arrival of the cloud makes migration more common than before. While the destination differs, the sizing methodology does not.</w:t>
      </w:r>
      <w:r w:rsidR="00730973">
        <w:rPr>
          <w:lang w:val="en-GB"/>
        </w:rPr>
        <w:t xml:space="preserve"> </w:t>
      </w:r>
      <w:r w:rsidR="00730973" w:rsidRPr="00A452F2">
        <w:rPr>
          <w:lang w:val="en-GB"/>
        </w:rPr>
        <w:t>There are many examples of migration. Popular ones are:</w:t>
      </w:r>
    </w:p>
    <w:p w14:paraId="2FADBE46" w14:textId="77777777" w:rsidR="00730973" w:rsidRPr="00A452F2" w:rsidRDefault="00730973" w:rsidP="00730973">
      <w:pPr>
        <w:pStyle w:val="Bullet"/>
        <w:rPr>
          <w:lang w:val="en-GB"/>
        </w:rPr>
      </w:pPr>
      <w:r w:rsidRPr="00A452F2">
        <w:rPr>
          <w:lang w:val="en-GB"/>
        </w:rPr>
        <w:t>From old DC to new DC.</w:t>
      </w:r>
    </w:p>
    <w:p w14:paraId="37694AD6" w14:textId="3E25E506" w:rsidR="00730973" w:rsidRPr="00730973" w:rsidRDefault="00730973" w:rsidP="00730973">
      <w:pPr>
        <w:pStyle w:val="Bullet"/>
        <w:rPr>
          <w:lang w:val="en-GB"/>
        </w:rPr>
      </w:pPr>
      <w:r w:rsidRPr="00A452F2">
        <w:rPr>
          <w:lang w:val="en-GB"/>
        </w:rPr>
        <w:t>From on-prem</w:t>
      </w:r>
      <w:r>
        <w:rPr>
          <w:lang w:val="en-GB"/>
        </w:rPr>
        <w:t>ises</w:t>
      </w:r>
      <w:r w:rsidRPr="00A452F2">
        <w:rPr>
          <w:lang w:val="en-GB"/>
        </w:rPr>
        <w:t xml:space="preserve"> to </w:t>
      </w:r>
      <w:r>
        <w:rPr>
          <w:lang w:val="en-GB"/>
        </w:rPr>
        <w:t xml:space="preserve">cloud. </w:t>
      </w:r>
      <w:r w:rsidRPr="00A452F2">
        <w:rPr>
          <w:lang w:val="en-GB"/>
        </w:rPr>
        <w:t xml:space="preserve">This is typically </w:t>
      </w:r>
      <w:r>
        <w:rPr>
          <w:lang w:val="en-GB"/>
        </w:rPr>
        <w:t>VMware-based cloud</w:t>
      </w:r>
      <w:r w:rsidRPr="00A452F2">
        <w:rPr>
          <w:lang w:val="en-GB"/>
        </w:rPr>
        <w:t xml:space="preserve"> as you can simply move without changing VM.</w:t>
      </w:r>
      <w:r>
        <w:rPr>
          <w:lang w:val="en-GB"/>
        </w:rPr>
        <w:t xml:space="preserve"> Examples are </w:t>
      </w:r>
      <w:r w:rsidRPr="00730973">
        <w:rPr>
          <w:lang w:val="en-GB"/>
        </w:rPr>
        <w:t>Amazon VMC and Microsoft AVS</w:t>
      </w:r>
    </w:p>
    <w:p w14:paraId="2CFCE105" w14:textId="51F15231" w:rsidR="00730973" w:rsidRDefault="00730973" w:rsidP="00E440AB">
      <w:pPr>
        <w:pStyle w:val="Bullet"/>
        <w:rPr>
          <w:lang w:val="en-GB"/>
        </w:rPr>
      </w:pPr>
      <w:r w:rsidRPr="00730973">
        <w:rPr>
          <w:lang w:val="en-GB"/>
        </w:rPr>
        <w:t>From Cloud</w:t>
      </w:r>
      <w:r>
        <w:rPr>
          <w:lang w:val="en-GB"/>
        </w:rPr>
        <w:t xml:space="preserve"> to on-premises</w:t>
      </w:r>
      <w:r w:rsidRPr="00730973">
        <w:rPr>
          <w:lang w:val="en-GB"/>
        </w:rPr>
        <w:t>.</w:t>
      </w:r>
      <w:r>
        <w:rPr>
          <w:lang w:val="en-GB"/>
        </w:rPr>
        <w:t xml:space="preserve"> This is typically due to high cost. It’s hard to beat owning with renting if you apply a 5 year TCO. Cloud used to give newer hardware, which is no longer the case.</w:t>
      </w:r>
      <w:r w:rsidRPr="00730973">
        <w:rPr>
          <w:lang w:val="en-GB"/>
        </w:rPr>
        <w:t xml:space="preserve"> </w:t>
      </w:r>
    </w:p>
    <w:p w14:paraId="713C4DEC" w14:textId="27E1330A" w:rsidR="00730973" w:rsidRPr="00730973" w:rsidRDefault="00730973" w:rsidP="00730973">
      <w:pPr>
        <w:rPr>
          <w:lang w:val="en-GB"/>
        </w:rPr>
      </w:pPr>
      <w:r w:rsidRPr="00730973">
        <w:rPr>
          <w:lang w:val="en-GB"/>
        </w:rPr>
        <w:t xml:space="preserve">In the above, you typically change all infrastructure. New server, new network, new storage, new </w:t>
      </w:r>
      <w:r>
        <w:rPr>
          <w:lang w:val="en-GB"/>
        </w:rPr>
        <w:t>SDDC</w:t>
      </w:r>
      <w:r w:rsidRPr="00730973">
        <w:rPr>
          <w:lang w:val="en-GB"/>
        </w:rPr>
        <w:t xml:space="preserve">. You may virtualize network </w:t>
      </w:r>
      <w:r>
        <w:rPr>
          <w:lang w:val="en-GB"/>
        </w:rPr>
        <w:t xml:space="preserve">&amp; security </w:t>
      </w:r>
      <w:r w:rsidRPr="00730973">
        <w:rPr>
          <w:lang w:val="en-GB"/>
        </w:rPr>
        <w:t>by adding NSX. You may also virtualize storage by going vSAN.</w:t>
      </w:r>
    </w:p>
    <w:p w14:paraId="5EFA58FF" w14:textId="77777777" w:rsidR="00730973" w:rsidRPr="00730973" w:rsidRDefault="00730973" w:rsidP="00730973">
      <w:r w:rsidRPr="00730973">
        <w:t xml:space="preserve">Migration ranges from a simple 1:1 to complex M:N migration. It also ranges from a single cut over done over the weekend to multiple migrations lasting years. Destination can be on-prem (e.g. cluster ugprade) or cloud. I’ve seen both directions. </w:t>
      </w:r>
    </w:p>
    <w:p w14:paraId="631B0797" w14:textId="18B75082" w:rsidR="009267DC" w:rsidRDefault="009267DC" w:rsidP="00883C23">
      <w:pPr>
        <w:pStyle w:val="Heading4"/>
      </w:pPr>
      <w:r>
        <w:t>Challenge</w:t>
      </w:r>
      <w:r w:rsidR="00D123D5">
        <w:t>s</w:t>
      </w:r>
    </w:p>
    <w:p w14:paraId="6FEF918B" w14:textId="35904342" w:rsidR="009267DC" w:rsidRDefault="009267DC" w:rsidP="009267DC">
      <w:pPr>
        <w:rPr>
          <w:lang w:val="en-GB"/>
        </w:rPr>
      </w:pPr>
      <w:r>
        <w:rPr>
          <w:lang w:val="en-GB"/>
        </w:rPr>
        <w:t>Regardless of the migration</w:t>
      </w:r>
      <w:r w:rsidR="00D123D5">
        <w:rPr>
          <w:lang w:val="en-GB"/>
        </w:rPr>
        <w:t xml:space="preserve"> type and scope</w:t>
      </w:r>
      <w:r>
        <w:rPr>
          <w:lang w:val="en-GB"/>
        </w:rPr>
        <w:t xml:space="preserve">, there are </w:t>
      </w:r>
      <w:r w:rsidR="00F31451">
        <w:rPr>
          <w:lang w:val="en-GB"/>
        </w:rPr>
        <w:t xml:space="preserve">some common changes and </w:t>
      </w:r>
      <w:r w:rsidR="00D123D5">
        <w:rPr>
          <w:lang w:val="en-GB"/>
        </w:rPr>
        <w:t xml:space="preserve">basic </w:t>
      </w:r>
      <w:r>
        <w:rPr>
          <w:lang w:val="en-GB"/>
        </w:rPr>
        <w:t>requirements. The</w:t>
      </w:r>
      <w:r w:rsidR="00F31451">
        <w:rPr>
          <w:lang w:val="en-GB"/>
        </w:rPr>
        <w:t xml:space="preserve">se </w:t>
      </w:r>
      <w:r w:rsidR="00E36554">
        <w:rPr>
          <w:lang w:val="en-GB"/>
        </w:rPr>
        <w:t xml:space="preserve">could </w:t>
      </w:r>
      <w:r>
        <w:rPr>
          <w:lang w:val="en-GB"/>
        </w:rPr>
        <w:t>create challenge in the migration project.</w:t>
      </w:r>
    </w:p>
    <w:p w14:paraId="6BB5D593" w14:textId="28D85F8C" w:rsidR="009267DC" w:rsidRPr="00D123D5" w:rsidRDefault="009267DC" w:rsidP="009267DC">
      <w:pPr>
        <w:pStyle w:val="Heading5"/>
        <w:rPr>
          <w:lang w:eastAsia="en-SG"/>
        </w:rPr>
      </w:pPr>
      <w:r>
        <w:rPr>
          <w:lang w:eastAsia="en-SG"/>
        </w:rPr>
        <w:lastRenderedPageBreak/>
        <w:t>Faster Destination</w:t>
      </w:r>
    </w:p>
    <w:p w14:paraId="54112017" w14:textId="7E1A315D" w:rsidR="00293C76" w:rsidRPr="00A452F2" w:rsidRDefault="00293C76" w:rsidP="00293C76">
      <w:pPr>
        <w:rPr>
          <w:lang w:val="en-GB"/>
        </w:rPr>
      </w:pPr>
      <w:r>
        <w:rPr>
          <w:lang w:val="en-GB"/>
        </w:rPr>
        <w:t>You are</w:t>
      </w:r>
      <w:r w:rsidRPr="00A452F2">
        <w:rPr>
          <w:lang w:val="en-GB"/>
        </w:rPr>
        <w:t xml:space="preserve"> using </w:t>
      </w:r>
      <w:r w:rsidRPr="00293C76">
        <w:rPr>
          <w:rStyle w:val="Strong"/>
          <w:b w:val="0"/>
          <w:bCs w:val="0"/>
          <w:color w:val="00B0F0"/>
          <w:lang w:val="en-GB"/>
        </w:rPr>
        <w:t>faster &amp; bigger hardware</w:t>
      </w:r>
      <w:r w:rsidRPr="00A452F2">
        <w:rPr>
          <w:lang w:val="en-GB"/>
        </w:rPr>
        <w:t xml:space="preserve">. You have </w:t>
      </w:r>
      <w:r>
        <w:rPr>
          <w:lang w:val="en-GB"/>
        </w:rPr>
        <w:t xml:space="preserve">higher CPU speed, </w:t>
      </w:r>
      <w:r w:rsidRPr="00A452F2">
        <w:rPr>
          <w:lang w:val="en-GB"/>
        </w:rPr>
        <w:t>more CPU cores, faster RAM, faster storage, bigger network, less network hops, etc.</w:t>
      </w:r>
      <w:r>
        <w:rPr>
          <w:lang w:val="en-GB"/>
        </w:rPr>
        <w:t xml:space="preserve"> It’s faster by at least 4x compared to the ageing environment it replaces</w:t>
      </w:r>
      <w:r w:rsidR="00E4254C">
        <w:rPr>
          <w:lang w:val="en-GB"/>
        </w:rPr>
        <w:t xml:space="preserve">. </w:t>
      </w:r>
    </w:p>
    <w:p w14:paraId="3008FD0E" w14:textId="77777777" w:rsidR="00293C76" w:rsidRPr="00A452F2" w:rsidRDefault="00293C76" w:rsidP="00293C76">
      <w:pPr>
        <w:rPr>
          <w:lang w:val="en-GB"/>
        </w:rPr>
      </w:pPr>
      <w:r w:rsidRPr="00A452F2">
        <w:rPr>
          <w:lang w:val="en-GB"/>
        </w:rPr>
        <w:t xml:space="preserve">And that’s exactly where the problem might </w:t>
      </w:r>
      <w:r w:rsidRPr="00AE0806">
        <w:rPr>
          <w:i/>
          <w:iCs/>
          <w:color w:val="FF0000"/>
          <w:lang w:val="en-GB"/>
        </w:rPr>
        <w:t>start</w:t>
      </w:r>
      <w:r w:rsidRPr="00A452F2">
        <w:rPr>
          <w:lang w:val="en-GB"/>
        </w:rPr>
        <w:t>.</w:t>
      </w:r>
    </w:p>
    <w:p w14:paraId="63E0CEBC" w14:textId="77777777" w:rsidR="00293C76" w:rsidRPr="00A452F2" w:rsidRDefault="00293C76" w:rsidP="00293C76">
      <w:pPr>
        <w:rPr>
          <w:lang w:val="en-GB"/>
        </w:rPr>
      </w:pPr>
      <w:r w:rsidRPr="00A452F2">
        <w:rPr>
          <w:lang w:val="en-GB"/>
        </w:rPr>
        <w:t>A VM that takes 8 hours to complete its batch job may now take 2 hours, all else being equal. So it completes the same amount of work, doing as many disk, network, CPU, memory operations in 4x shorter duration.</w:t>
      </w:r>
    </w:p>
    <w:p w14:paraId="4267FB88" w14:textId="77777777" w:rsidR="00293C76" w:rsidRPr="00A452F2" w:rsidRDefault="00293C76" w:rsidP="00293C76">
      <w:pPr>
        <w:rPr>
          <w:lang w:val="en-GB"/>
        </w:rPr>
      </w:pPr>
      <w:r w:rsidRPr="00A452F2">
        <w:rPr>
          <w:lang w:val="en-GB"/>
        </w:rPr>
        <w:t>So what happens to the VM IOPS? Yes, it went up by 400%, all else being equal.</w:t>
      </w:r>
    </w:p>
    <w:p w14:paraId="27DCEF77" w14:textId="3E3A0287" w:rsidR="00293C76" w:rsidRDefault="00293C76" w:rsidP="00D123D5">
      <w:pPr>
        <w:rPr>
          <w:lang w:eastAsia="en-SG"/>
        </w:rPr>
      </w:pPr>
      <w:r w:rsidRPr="00A452F2">
        <w:rPr>
          <w:lang w:val="en-GB"/>
        </w:rPr>
        <w:t>What happens to VM CPU Usage? It also went up by 400%</w:t>
      </w:r>
      <w:r>
        <w:rPr>
          <w:lang w:val="en-GB"/>
        </w:rPr>
        <w:t>, as i</w:t>
      </w:r>
      <w:r w:rsidRPr="00A452F2">
        <w:rPr>
          <w:lang w:val="en-GB"/>
        </w:rPr>
        <w:t>t has to complete the same amount of logic. Suddenly, a VM that runs relatively idle at 20% becomes highly utilized 80%.</w:t>
      </w:r>
      <w:r w:rsidRPr="00293C76">
        <w:rPr>
          <w:lang w:eastAsia="en-SG"/>
        </w:rPr>
        <w:t xml:space="preserve"> </w:t>
      </w:r>
      <w:r>
        <w:rPr>
          <w:lang w:eastAsia="en-SG"/>
        </w:rPr>
        <w:t>What was an oversized VM has become an undersized VM.</w:t>
      </w:r>
    </w:p>
    <w:p w14:paraId="1813B44F" w14:textId="77777777" w:rsidR="00D123D5" w:rsidRDefault="00D123D5" w:rsidP="00D123D5">
      <w:pPr>
        <w:rPr>
          <w:lang w:eastAsia="en-SG"/>
        </w:rPr>
      </w:pPr>
      <w:r>
        <w:rPr>
          <w:lang w:eastAsia="en-SG"/>
        </w:rPr>
        <w:t xml:space="preserve">I call the above as </w:t>
      </w:r>
      <w:r w:rsidRPr="00200438">
        <w:rPr>
          <w:color w:val="00B0F0"/>
          <w:lang w:eastAsia="en-SG"/>
        </w:rPr>
        <w:t>Performance Multiplier</w:t>
      </w:r>
      <w:r>
        <w:rPr>
          <w:lang w:eastAsia="en-SG"/>
        </w:rPr>
        <w:t>. Unfortunately, it’s hard to guess the impact. This is why you are better off testing with a few well known VM first, such as infrastructure VMs or applications that are owned by IT. Examples are email servers, file servers and your Active Directory services.</w:t>
      </w:r>
    </w:p>
    <w:p w14:paraId="46F8F704" w14:textId="77777777" w:rsidR="00D123D5" w:rsidRPr="004F3A80" w:rsidRDefault="00D123D5" w:rsidP="00D123D5">
      <w:pPr>
        <w:rPr>
          <w:lang w:val="en-GB"/>
        </w:rPr>
      </w:pPr>
      <w:r>
        <w:rPr>
          <w:lang w:eastAsia="en-SG"/>
        </w:rPr>
        <w:t>Because of the above, my recommendation is to keep the VM size. Do not rightsize and migrate at the same time. If you change the size, you will be in the defensive position if there is performance issue.</w:t>
      </w:r>
    </w:p>
    <w:p w14:paraId="2959FFC5" w14:textId="0A391867" w:rsidR="00981279" w:rsidRDefault="00981279" w:rsidP="009267DC">
      <w:pPr>
        <w:pStyle w:val="Heading5"/>
      </w:pPr>
      <w:r>
        <w:t>Different Architecture</w:t>
      </w:r>
    </w:p>
    <w:p w14:paraId="4B367290" w14:textId="177EB3EE" w:rsidR="00EB5E0F" w:rsidRDefault="00EB5E0F" w:rsidP="00981279">
      <w:pPr>
        <w:rPr>
          <w:lang w:val="en-GB"/>
        </w:rPr>
      </w:pPr>
      <w:r>
        <w:rPr>
          <w:lang w:val="en-GB"/>
        </w:rPr>
        <w:t xml:space="preserve">The destination could be using </w:t>
      </w:r>
      <w:r w:rsidRPr="00585706">
        <w:t xml:space="preserve">software-defined </w:t>
      </w:r>
      <w:r>
        <w:t>s</w:t>
      </w:r>
      <w:r w:rsidRPr="00585706">
        <w:t xml:space="preserve">torage and </w:t>
      </w:r>
      <w:r>
        <w:t>n</w:t>
      </w:r>
      <w:r w:rsidRPr="00585706">
        <w:t>etwork</w:t>
      </w:r>
      <w:r>
        <w:rPr>
          <w:lang w:val="en-GB"/>
        </w:rPr>
        <w:t xml:space="preserve">. </w:t>
      </w:r>
      <w:r>
        <w:t xml:space="preserve">Both </w:t>
      </w:r>
      <w:r w:rsidRPr="00585706">
        <w:t>vSAN &amp; NSX consume ESXi CP</w:t>
      </w:r>
      <w:r>
        <w:t>U and memory, not to mention storage and network. You must also be aware that certain vSphere disk space counters got affected by vSAN FTT policy.</w:t>
      </w:r>
    </w:p>
    <w:p w14:paraId="32E6C10E" w14:textId="5586632A" w:rsidR="00EB5E0F" w:rsidRDefault="00EB5E0F" w:rsidP="00EB5E0F">
      <w:pPr>
        <w:rPr>
          <w:lang w:val="en-GB"/>
        </w:rPr>
      </w:pPr>
      <w:r>
        <w:rPr>
          <w:lang w:val="en-GB"/>
        </w:rPr>
        <w:t xml:space="preserve">If you’re migrating to the cloud, take note that the </w:t>
      </w:r>
      <w:r>
        <w:t>management load</w:t>
      </w:r>
      <w:r w:rsidR="008E7A88">
        <w:t xml:space="preserve"> and SDDC load</w:t>
      </w:r>
      <w:r>
        <w:t xml:space="preserve">, such as vCenter and </w:t>
      </w:r>
      <w:r w:rsidR="008E7A88">
        <w:t xml:space="preserve">NSX Edge appliances </w:t>
      </w:r>
      <w:r>
        <w:t xml:space="preserve">are also residing on the same cluster. </w:t>
      </w:r>
      <w:r>
        <w:rPr>
          <w:lang w:val="en-GB"/>
        </w:rPr>
        <w:t>The unique nature of VM</w:t>
      </w:r>
      <w:r w:rsidR="008E7A88">
        <w:rPr>
          <w:lang w:val="en-GB"/>
        </w:rPr>
        <w:t>ware-based cloud</w:t>
      </w:r>
      <w:r>
        <w:rPr>
          <w:lang w:val="en-GB"/>
        </w:rPr>
        <w:t xml:space="preserve"> migration creates situations that you need to address. For example, y</w:t>
      </w:r>
      <w:r>
        <w:t>ou need to watch Elastic DRS if you do not want it to get triggered.</w:t>
      </w:r>
    </w:p>
    <w:p w14:paraId="6AA1EC97" w14:textId="77777777" w:rsidR="00C0070B" w:rsidRDefault="00C0070B" w:rsidP="00C0070B">
      <w:pPr>
        <w:pStyle w:val="Heading5"/>
      </w:pPr>
      <w:r>
        <w:t>Cost Pressure</w:t>
      </w:r>
    </w:p>
    <w:p w14:paraId="60FE424F" w14:textId="77777777" w:rsidR="00C0070B" w:rsidRDefault="00C0070B" w:rsidP="00C0070B">
      <w:pPr>
        <w:rPr>
          <w:lang w:val="en-GB"/>
        </w:rPr>
      </w:pPr>
      <w:r>
        <w:rPr>
          <w:lang w:val="en-GB"/>
        </w:rPr>
        <w:t>How do you typically justify the budget for the new infrastructure, since it’s both faster and bigger?</w:t>
      </w:r>
    </w:p>
    <w:p w14:paraId="1542A84B" w14:textId="77777777" w:rsidR="00C0070B" w:rsidRPr="00A452F2" w:rsidRDefault="00C0070B" w:rsidP="00C0070B">
      <w:pPr>
        <w:rPr>
          <w:lang w:val="en-GB"/>
        </w:rPr>
      </w:pPr>
      <w:r w:rsidRPr="00A452F2">
        <w:rPr>
          <w:lang w:val="en-GB"/>
        </w:rPr>
        <w:t xml:space="preserve">Yes, you promise higher consolidation. You have more CPU cores, more RAM, so logically you use higher </w:t>
      </w:r>
      <w:hyperlink r:id="rId178" w:history="1">
        <w:r w:rsidRPr="00A452F2">
          <w:rPr>
            <w:rStyle w:val="Hyperlink"/>
            <w:lang w:val="en-GB"/>
          </w:rPr>
          <w:t>over-commit ratio</w:t>
        </w:r>
      </w:hyperlink>
      <w:r w:rsidRPr="00A452F2">
        <w:rPr>
          <w:lang w:val="en-GB"/>
        </w:rPr>
        <w:t xml:space="preserve">. As </w:t>
      </w:r>
      <w:hyperlink r:id="rId179" w:history="1">
        <w:r w:rsidRPr="004B1006">
          <w:rPr>
            <w:rStyle w:val="Hyperlink"/>
            <w:lang w:val="en-GB"/>
          </w:rPr>
          <w:t>Mark Achtemichuk</w:t>
        </w:r>
      </w:hyperlink>
      <w:r w:rsidRPr="00A452F2">
        <w:rPr>
          <w:lang w:val="en-GB"/>
        </w:rPr>
        <w:t xml:space="preserve"> said in </w:t>
      </w:r>
      <w:hyperlink r:id="rId180" w:history="1">
        <w:r w:rsidRPr="00A452F2">
          <w:rPr>
            <w:rStyle w:val="Hyperlink"/>
            <w:lang w:val="en-GB"/>
          </w:rPr>
          <w:t>this article</w:t>
        </w:r>
      </w:hyperlink>
      <w:r w:rsidRPr="00A452F2">
        <w:rPr>
          <w:lang w:val="en-GB"/>
        </w:rPr>
        <w:t>, use it carefully.</w:t>
      </w:r>
    </w:p>
    <w:p w14:paraId="393F05AF" w14:textId="77777777" w:rsidR="00C0070B" w:rsidRPr="00A452F2" w:rsidRDefault="00C0070B" w:rsidP="00C0070B">
      <w:pPr>
        <w:rPr>
          <w:lang w:val="en-GB"/>
        </w:rPr>
      </w:pPr>
      <w:r w:rsidRPr="00A452F2">
        <w:rPr>
          <w:lang w:val="en-GB"/>
        </w:rPr>
        <w:t>Since you have to increase overcommit ratio, how do you then prove that performance will not be affected as you drive utilization higher?</w:t>
      </w:r>
      <w:r>
        <w:rPr>
          <w:lang w:val="en-GB"/>
        </w:rPr>
        <w:t xml:space="preserve"> </w:t>
      </w:r>
      <w:r>
        <w:t>That calls for a Before vs After performance comparison.</w:t>
      </w:r>
    </w:p>
    <w:p w14:paraId="41C9EC81" w14:textId="77777777" w:rsidR="00C0070B" w:rsidRPr="00C7730D" w:rsidRDefault="00C0070B" w:rsidP="00C0070B">
      <w:r w:rsidRPr="00585706">
        <w:t>Enterprise IT (read: Infra</w:t>
      </w:r>
      <w:r>
        <w:t>stucture</w:t>
      </w:r>
      <w:r w:rsidRPr="00585706">
        <w:t xml:space="preserve"> Team) is also using the opportunity to right-size VM, but VM Owners are against downsizing</w:t>
      </w:r>
      <w:r>
        <w:t>.</w:t>
      </w:r>
      <w:r w:rsidRPr="00C7730D">
        <w:t xml:space="preserve"> </w:t>
      </w:r>
      <w:r w:rsidRPr="00585706">
        <w:t>How to down-size VM without impacting performance?</w:t>
      </w:r>
    </w:p>
    <w:p w14:paraId="3A4FD950" w14:textId="77777777" w:rsidR="00EC60FD" w:rsidRDefault="00EC60FD" w:rsidP="00EC60FD">
      <w:pPr>
        <w:pStyle w:val="Heading5"/>
      </w:pPr>
      <w:r>
        <w:lastRenderedPageBreak/>
        <w:t>Long Migration Project</w:t>
      </w:r>
    </w:p>
    <w:p w14:paraId="2450B438" w14:textId="77777777" w:rsidR="00EC60FD" w:rsidRDefault="00EC60FD" w:rsidP="00EC60FD">
      <w:pPr>
        <w:rPr>
          <w:lang w:val="en-GB"/>
        </w:rPr>
      </w:pPr>
      <w:r>
        <w:rPr>
          <w:lang w:val="en-GB"/>
        </w:rPr>
        <w:t>The problem with project that lasts months is things change. The application may change due to business or technology requirements. The people (application team, infrastructure team, management team) may change and politically this can complicate matter. In large scale project, the inter-DC pipe can be a choked point if large number of VMs on both sides are communicating at the same time. For example, if you only have 10 Gb/s bandwidth for inter-DC, it may not be enough when you have 500 VM on Site A + 500 VM on Site B using the pipe. You essentially only have 10 Megabit/sec per VM. You can try to group the applications but you can’t control if they change.</w:t>
      </w:r>
    </w:p>
    <w:p w14:paraId="471EA03C" w14:textId="77777777" w:rsidR="00EC60FD" w:rsidRDefault="00EC60FD" w:rsidP="00EC60FD">
      <w:pPr>
        <w:rPr>
          <w:lang w:val="en-GB"/>
        </w:rPr>
      </w:pPr>
      <w:r>
        <w:rPr>
          <w:lang w:val="en-GB"/>
        </w:rPr>
        <w:t xml:space="preserve">This is why I’d rather choose intensity over time. Migration is not one of those projects that are best done slowly. </w:t>
      </w:r>
    </w:p>
    <w:p w14:paraId="7CF5FA1B" w14:textId="77777777" w:rsidR="00EC60FD" w:rsidRDefault="00EC60FD" w:rsidP="00EC60FD">
      <w:pPr>
        <w:rPr>
          <w:lang w:val="en-GB"/>
        </w:rPr>
      </w:pPr>
      <w:r>
        <w:rPr>
          <w:lang w:val="en-GB"/>
        </w:rPr>
        <w:t xml:space="preserve">The following shows an example where the migration takes 6 months. </w:t>
      </w:r>
    </w:p>
    <w:p w14:paraId="0388D59F" w14:textId="77777777" w:rsidR="00EC60FD" w:rsidRDefault="00EC60FD" w:rsidP="00EC60FD">
      <w:pPr>
        <w:rPr>
          <w:lang w:val="en-GB"/>
        </w:rPr>
      </w:pPr>
      <w:r>
        <w:rPr>
          <w:lang w:val="en-GB"/>
        </w:rPr>
        <w:t xml:space="preserve">I drew 1 source cluster and 1 destination cluster. In reality, there can be many to many relationships. </w:t>
      </w:r>
    </w:p>
    <w:p w14:paraId="3377F952" w14:textId="77777777" w:rsidR="00EC60FD" w:rsidRDefault="00EC60FD" w:rsidP="00EC60FD">
      <w:pPr>
        <w:rPr>
          <w:lang w:val="en-GB"/>
        </w:rPr>
      </w:pPr>
      <w:r>
        <w:rPr>
          <w:lang w:val="en-GB"/>
        </w:rPr>
        <w:t>The source cluster has both less capacity (hence smaller area) and slower performance (hence darker color). This is a typicaly scenario as the new hardware typically delivers faster speed and more space for the same cost.</w:t>
      </w:r>
    </w:p>
    <w:p w14:paraId="1CA4A059" w14:textId="77777777" w:rsidR="00EC60FD" w:rsidRDefault="00EC60FD" w:rsidP="00EC60FD">
      <w:pPr>
        <w:jc w:val="center"/>
        <w:rPr>
          <w:lang w:val="en-GB"/>
        </w:rPr>
      </w:pPr>
      <w:r w:rsidRPr="00883C23">
        <w:rPr>
          <w:noProof/>
          <w:lang w:val="en-GB"/>
        </w:rPr>
        <w:drawing>
          <wp:inline distT="0" distB="0" distL="0" distR="0" wp14:anchorId="2EB01A52" wp14:editId="34EE8478">
            <wp:extent cx="6645910" cy="3239770"/>
            <wp:effectExtent l="0" t="0" r="2540" b="0"/>
            <wp:docPr id="910169544" name="Picture 910169544"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44" name="Picture 910169544" descr="A picture containing chart&#10;&#10;Description automatically generated"/>
                    <pic:cNvPicPr/>
                  </pic:nvPicPr>
                  <pic:blipFill>
                    <a:blip r:embed="rId181"/>
                    <a:stretch>
                      <a:fillRect/>
                    </a:stretch>
                  </pic:blipFill>
                  <pic:spPr>
                    <a:xfrm>
                      <a:off x="0" y="0"/>
                      <a:ext cx="6645910" cy="3239770"/>
                    </a:xfrm>
                    <a:prstGeom prst="rect">
                      <a:avLst/>
                    </a:prstGeom>
                  </pic:spPr>
                </pic:pic>
              </a:graphicData>
            </a:graphic>
          </wp:inline>
        </w:drawing>
      </w:r>
    </w:p>
    <w:p w14:paraId="72A83CD6" w14:textId="77777777" w:rsidR="00EC60FD" w:rsidRDefault="00EC60FD" w:rsidP="00EC60FD">
      <w:pPr>
        <w:rPr>
          <w:lang w:val="en-GB"/>
        </w:rPr>
      </w:pPr>
      <w:r>
        <w:rPr>
          <w:lang w:val="en-GB"/>
        </w:rPr>
        <w:t>What potential problem did you spot?</w:t>
      </w:r>
    </w:p>
    <w:p w14:paraId="3B32DB06" w14:textId="77777777" w:rsidR="00EC60FD" w:rsidRDefault="00EC60FD" w:rsidP="00EC60FD">
      <w:pPr>
        <w:rPr>
          <w:lang w:val="en-GB"/>
        </w:rPr>
      </w:pPr>
      <w:r>
        <w:rPr>
          <w:lang w:val="en-GB"/>
        </w:rPr>
        <w:t xml:space="preserve">This long migration period created an undesirable situation where the first few VMs enjoyed the whole cluster. They could run with 0 contention as there was enough resource for everyone. </w:t>
      </w:r>
    </w:p>
    <w:p w14:paraId="290943A2" w14:textId="77777777" w:rsidR="00EC60FD" w:rsidRDefault="00EC60FD" w:rsidP="00EC60FD">
      <w:pPr>
        <w:rPr>
          <w:lang w:val="en-GB"/>
        </w:rPr>
      </w:pPr>
      <w:r>
        <w:rPr>
          <w:lang w:val="en-GB"/>
        </w:rPr>
        <w:t>Application team felt the responsiveness. Everyone was happy. They might start new features or load the systems even more. Overall utilization went up. So far so good as there was enough capacity.</w:t>
      </w:r>
    </w:p>
    <w:p w14:paraId="63745825" w14:textId="77777777" w:rsidR="00EC60FD" w:rsidRDefault="00EC60FD" w:rsidP="00EC60FD">
      <w:pPr>
        <w:rPr>
          <w:lang w:val="en-GB"/>
        </w:rPr>
      </w:pPr>
      <w:r>
        <w:rPr>
          <w:lang w:val="en-GB"/>
        </w:rPr>
        <w:t xml:space="preserve">As more and more VMs get added, the new infrastructure hit the point of </w:t>
      </w:r>
      <w:r w:rsidRPr="00883C23">
        <w:rPr>
          <w:i/>
          <w:iCs/>
          <w:color w:val="FF0000"/>
          <w:lang w:val="en-GB"/>
        </w:rPr>
        <w:t>overcommit</w:t>
      </w:r>
      <w:r>
        <w:rPr>
          <w:lang w:val="en-GB"/>
        </w:rPr>
        <w:t xml:space="preserve">. At this point, the VMs would begin experience contention. </w:t>
      </w:r>
    </w:p>
    <w:p w14:paraId="0166696C" w14:textId="77777777" w:rsidR="00EC60FD" w:rsidRDefault="00EC60FD" w:rsidP="00EC60FD">
      <w:pPr>
        <w:rPr>
          <w:lang w:val="en-GB"/>
        </w:rPr>
      </w:pPr>
      <w:r>
        <w:rPr>
          <w:lang w:val="en-GB"/>
        </w:rPr>
        <w:t xml:space="preserve">On the other hand, the remaining VMs in the old clusters began to experience less contention. So their performance actually improved. The application team felt good, and started taking advantage of the newly found performance. They begin changing the application or increasing the datasize. The users’ expectation also went up as they can do more work. Everyone is feeling more productive. </w:t>
      </w:r>
    </w:p>
    <w:p w14:paraId="50E70FE0" w14:textId="77777777" w:rsidR="00EC60FD" w:rsidRDefault="00EC60FD" w:rsidP="00EC60FD">
      <w:pPr>
        <w:rPr>
          <w:lang w:val="en-GB"/>
        </w:rPr>
      </w:pPr>
      <w:r>
        <w:rPr>
          <w:lang w:val="en-GB"/>
        </w:rPr>
        <w:t xml:space="preserve">The last VM to be migrated might get a shock. The performance might actually drop from the end user’s viewpoint. </w:t>
      </w:r>
    </w:p>
    <w:p w14:paraId="1DCF52FE" w14:textId="729FDFC7" w:rsidR="00EC60FD" w:rsidRDefault="00EC60FD" w:rsidP="00EC60FD">
      <w:pPr>
        <w:rPr>
          <w:lang w:val="en-GB"/>
        </w:rPr>
      </w:pPr>
      <w:r>
        <w:rPr>
          <w:lang w:val="en-GB"/>
        </w:rPr>
        <w:lastRenderedPageBreak/>
        <w:t xml:space="preserve">The above could result in mismatch expectation. This is why SLA matters. You also need to have the SLA agreed </w:t>
      </w:r>
      <w:r w:rsidRPr="00883C23">
        <w:rPr>
          <w:i/>
          <w:iCs/>
          <w:color w:val="00B0F0"/>
          <w:lang w:val="en-GB"/>
        </w:rPr>
        <w:t>prior</w:t>
      </w:r>
      <w:r>
        <w:rPr>
          <w:lang w:val="en-GB"/>
        </w:rPr>
        <w:t xml:space="preserve"> to the migration. Do not rely on users’ complaint or user-level metrics as that’s beyond your control.</w:t>
      </w:r>
    </w:p>
    <w:p w14:paraId="16C30555" w14:textId="36B15E7C" w:rsidR="001E03F2" w:rsidRDefault="001E03F2" w:rsidP="001E03F2">
      <w:pPr>
        <w:pStyle w:val="Heading5"/>
      </w:pPr>
      <w:r>
        <w:t>Best Practices</w:t>
      </w:r>
    </w:p>
    <w:p w14:paraId="4D828513" w14:textId="75D81664" w:rsidR="004D0645" w:rsidRPr="004D0645" w:rsidRDefault="004D0645" w:rsidP="004D0645">
      <w:pPr>
        <w:rPr>
          <w:lang w:val="en-GB"/>
        </w:rPr>
      </w:pPr>
      <w:r w:rsidRPr="004D0645">
        <w:rPr>
          <w:noProof/>
          <w:lang w:val="en-GB"/>
        </w:rPr>
        <w:drawing>
          <wp:inline distT="0" distB="0" distL="0" distR="0" wp14:anchorId="7DDFFF3F" wp14:editId="6D709A45">
            <wp:extent cx="6645910" cy="2442845"/>
            <wp:effectExtent l="0" t="0" r="254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6645910" cy="2442845"/>
                    </a:xfrm>
                    <a:prstGeom prst="rect">
                      <a:avLst/>
                    </a:prstGeom>
                  </pic:spPr>
                </pic:pic>
              </a:graphicData>
            </a:graphic>
          </wp:inline>
        </w:drawing>
      </w:r>
    </w:p>
    <w:p w14:paraId="448266B2" w14:textId="7F6F29BD" w:rsidR="001E03F2" w:rsidRDefault="001E03F2" w:rsidP="001E03F2">
      <w:pPr>
        <w:rPr>
          <w:lang w:val="en-GB"/>
        </w:rPr>
      </w:pPr>
      <w:r>
        <w:rPr>
          <w:lang w:val="en-GB"/>
        </w:rPr>
        <w:t xml:space="preserve">Migration is best done as soon as possible, ideally in one migration window. This minimize inter-DC traffic. </w:t>
      </w:r>
      <w:r w:rsidR="004D0645">
        <w:rPr>
          <w:lang w:val="en-GB"/>
        </w:rPr>
        <w:t xml:space="preserve">For example, if VM 1 talks to VM 2 and VM 2 talks to VM 3, if you somehow forgot to migrate VM 2, you have a ping pong traffic. </w:t>
      </w:r>
      <w:r>
        <w:rPr>
          <w:lang w:val="en-GB"/>
        </w:rPr>
        <w:t>The latency and bandwidth could cause application performance. So pick the longest window you can get, such as major public holiday or company shutdown.</w:t>
      </w:r>
    </w:p>
    <w:p w14:paraId="5CAB9313" w14:textId="717F662E" w:rsidR="001E03F2" w:rsidRDefault="004D0645" w:rsidP="001E03F2">
      <w:pPr>
        <w:rPr>
          <w:lang w:val="en-GB"/>
        </w:rPr>
      </w:pPr>
      <w:r>
        <w:rPr>
          <w:lang w:val="en-GB"/>
        </w:rPr>
        <w:t xml:space="preserve">Migrate 1:1. This means 1 source cluster and 1 destination cluster. Obviously, you exclude the powered off VMs </w:t>
      </w:r>
      <w:r w:rsidRPr="004D0645">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r>
        <w:rPr>
          <w:lang w:val="en-GB"/>
        </w:rPr>
        <w:t xml:space="preserve"> This makes migration management, and VM troubleshooting easier.</w:t>
      </w:r>
    </w:p>
    <w:p w14:paraId="3F7FF922" w14:textId="2BB32A96" w:rsidR="00F0193F" w:rsidRDefault="00F0193F" w:rsidP="001E03F2">
      <w:pPr>
        <w:rPr>
          <w:lang w:val="en-GB"/>
        </w:rPr>
      </w:pPr>
      <w:r>
        <w:rPr>
          <w:lang w:val="en-GB"/>
        </w:rPr>
        <w:t>Within a week, get a sign off. Before sign-off, do not allow changes as that can make comparison invalid.</w:t>
      </w:r>
      <w:r w:rsidR="00D06C37">
        <w:rPr>
          <w:lang w:val="en-GB"/>
        </w:rPr>
        <w:t xml:space="preserve"> Changes include application, business functions and infrastructure. </w:t>
      </w:r>
    </w:p>
    <w:p w14:paraId="0CC859E2" w14:textId="5B3D7A43" w:rsidR="004D0645" w:rsidRPr="001E03F2" w:rsidRDefault="004D0645" w:rsidP="001E03F2">
      <w:pPr>
        <w:rPr>
          <w:lang w:val="en-GB"/>
        </w:rPr>
      </w:pPr>
      <w:r>
        <w:rPr>
          <w:lang w:val="en-GB"/>
        </w:rPr>
        <w:t xml:space="preserve">Do not right-size using the utilization data of the old Data Center. Wait until the new pattern establish itself. </w:t>
      </w:r>
      <w:r w:rsidR="00D06C37">
        <w:rPr>
          <w:lang w:val="en-GB"/>
        </w:rPr>
        <w:t>I recommend resetting the capacity engine starting date.</w:t>
      </w:r>
    </w:p>
    <w:p w14:paraId="55877F04" w14:textId="1281C082" w:rsidR="004F3A80" w:rsidRDefault="009624DE" w:rsidP="009D0269">
      <w:pPr>
        <w:pStyle w:val="Heading4"/>
      </w:pPr>
      <w:r>
        <w:t xml:space="preserve">Infrastructure </w:t>
      </w:r>
      <w:r w:rsidR="00D123D5">
        <w:t>Sizing</w:t>
      </w:r>
    </w:p>
    <w:p w14:paraId="0DB613F1" w14:textId="761EE183" w:rsidR="00051C3A" w:rsidRDefault="00CB3FE5" w:rsidP="009D0269">
      <w:pPr>
        <w:rPr>
          <w:lang w:eastAsia="en-SG"/>
        </w:rPr>
      </w:pPr>
      <w:r>
        <w:rPr>
          <w:lang w:eastAsia="en-SG"/>
        </w:rPr>
        <w:t>You are</w:t>
      </w:r>
      <w:r w:rsidRPr="00C17739">
        <w:rPr>
          <w:lang w:eastAsia="en-SG"/>
        </w:rPr>
        <w:t xml:space="preserve"> planning a tech refresh for Cluster X. It has 24 ESXi and 1000 VM. You are hoping to reduce infrastructure to 12 ESXi, hence you </w:t>
      </w:r>
      <w:r w:rsidR="00F0193F">
        <w:rPr>
          <w:lang w:eastAsia="en-SG"/>
        </w:rPr>
        <w:t xml:space="preserve">buy newer CPU, </w:t>
      </w:r>
      <w:r w:rsidRPr="00C17739">
        <w:rPr>
          <w:lang w:eastAsia="en-SG"/>
        </w:rPr>
        <w:t xml:space="preserve">increase the </w:t>
      </w:r>
      <w:r w:rsidR="00F0193F">
        <w:rPr>
          <w:lang w:eastAsia="en-SG"/>
        </w:rPr>
        <w:t>clock s</w:t>
      </w:r>
      <w:r w:rsidRPr="00C17739">
        <w:rPr>
          <w:lang w:eastAsia="en-SG"/>
        </w:rPr>
        <w:t xml:space="preserve">peed and add cores per socket. </w:t>
      </w:r>
      <w:r w:rsidR="00F0193F">
        <w:rPr>
          <w:lang w:eastAsia="en-SG"/>
        </w:rPr>
        <w:t>With such major changes, d</w:t>
      </w:r>
      <w:r w:rsidRPr="00C17739">
        <w:rPr>
          <w:lang w:eastAsia="en-SG"/>
        </w:rPr>
        <w:t>o you consider individual VM</w:t>
      </w:r>
      <w:r w:rsidR="00F0193F">
        <w:rPr>
          <w:lang w:eastAsia="en-SG"/>
        </w:rPr>
        <w:t xml:space="preserve"> one by one</w:t>
      </w:r>
      <w:r w:rsidRPr="00C17739">
        <w:rPr>
          <w:lang w:eastAsia="en-SG"/>
        </w:rPr>
        <w:t xml:space="preserve">, or you do see how they behave as a group? </w:t>
      </w:r>
    </w:p>
    <w:p w14:paraId="0254162A" w14:textId="77777777" w:rsidR="00051C3A" w:rsidRDefault="00CB3FE5" w:rsidP="009D0269">
      <w:pPr>
        <w:rPr>
          <w:lang w:eastAsia="en-SG"/>
        </w:rPr>
      </w:pPr>
      <w:r w:rsidRPr="00C17739">
        <w:rPr>
          <w:lang w:eastAsia="en-SG"/>
        </w:rPr>
        <w:t xml:space="preserve">The answer is the latter, as 1000 VM will not peak at the same time. </w:t>
      </w:r>
    </w:p>
    <w:p w14:paraId="47AE489C" w14:textId="57B0E556" w:rsidR="00CB3FE5" w:rsidRDefault="00CB3FE5" w:rsidP="009D0269">
      <w:pPr>
        <w:rPr>
          <w:lang w:eastAsia="en-SG"/>
        </w:rPr>
      </w:pPr>
      <w:r w:rsidRPr="00C17739">
        <w:rPr>
          <w:lang w:eastAsia="en-SG"/>
        </w:rPr>
        <w:t>Do you consider what happens inside Windows or Linux, or do you see their footprint on your ESXi? The correct answer is the latter, as what happens inside is irrelevant.</w:t>
      </w:r>
    </w:p>
    <w:p w14:paraId="385AF2A7" w14:textId="76BEAF5F" w:rsidR="00477693" w:rsidRDefault="00477693" w:rsidP="00477693">
      <w:pPr>
        <w:pStyle w:val="Heading5"/>
        <w:rPr>
          <w:lang w:eastAsia="en-SG"/>
        </w:rPr>
      </w:pPr>
      <w:r>
        <w:rPr>
          <w:lang w:eastAsia="en-SG"/>
        </w:rPr>
        <w:lastRenderedPageBreak/>
        <w:t>Simple Migration</w:t>
      </w:r>
    </w:p>
    <w:p w14:paraId="171F1261" w14:textId="28890EFC" w:rsidR="00C532A2" w:rsidRDefault="00BB1BC8" w:rsidP="009D0269">
      <w:r>
        <w:t>Aim to do a 1:1 migration. 1 cluster to 1 cluster. After you migrate successful and got the sign off, you then move the VMs into their final destination cluster.</w:t>
      </w:r>
    </w:p>
    <w:p w14:paraId="16438B50" w14:textId="289AF13A" w:rsidR="001C60A1" w:rsidRDefault="00BB1BC8" w:rsidP="009D0269">
      <w:r>
        <w:t xml:space="preserve">If you do this 1:1, your sizing becomes much simpler. You simply add </w:t>
      </w:r>
      <w:r w:rsidR="001C60A1">
        <w:t>headroom for the next 3 years or so</w:t>
      </w:r>
      <w:r>
        <w:t xml:space="preserve"> at the cluster level</w:t>
      </w:r>
      <w:r w:rsidR="001C60A1">
        <w:t>. If your new cluster sports vSAN and NSX, you need to consider their overhead. Speaking of overhead, you also need the VMkernel overhead, which varies.</w:t>
      </w:r>
    </w:p>
    <w:p w14:paraId="38443861" w14:textId="3F5BD858" w:rsidR="001C60A1" w:rsidRDefault="001C60A1" w:rsidP="009D0269">
      <w:r>
        <w:t xml:space="preserve">The issue of you have with the single VM gets amplified here. Instead of dealing with just 1 faster VM, you now deal with many. Even if the workload is identical, since they complete the job in much less time, your workload pattern turns to spiky. What took 1 minute now take 20 seconds. </w:t>
      </w:r>
      <w:r w:rsidR="00BB1BC8">
        <w:t xml:space="preserve">If </w:t>
      </w:r>
      <w:r>
        <w:t xml:space="preserve">your monitoring is 5 minutes, your observability is 300 second average. You </w:t>
      </w:r>
      <w:r w:rsidR="00BB1BC8">
        <w:t xml:space="preserve">can </w:t>
      </w:r>
      <w:r>
        <w:t xml:space="preserve">have microbursts that you cannot see. </w:t>
      </w:r>
      <w:r w:rsidR="00BB1BC8">
        <w:t>This is why using the 20-second peak metrics is critical.</w:t>
      </w:r>
    </w:p>
    <w:p w14:paraId="2D2F74BA" w14:textId="54F0119D" w:rsidR="00EB17A5" w:rsidRDefault="00EB17A5" w:rsidP="009D0269">
      <w:pPr>
        <w:rPr>
          <w:lang w:eastAsia="en-SG"/>
        </w:rPr>
      </w:pPr>
      <w:r>
        <w:rPr>
          <w:lang w:eastAsia="en-SG"/>
        </w:rPr>
        <w:t xml:space="preserve">Be aware of heavy hitters VM. </w:t>
      </w:r>
      <w:r w:rsidRPr="00C17739">
        <w:rPr>
          <w:lang w:eastAsia="en-SG"/>
        </w:rPr>
        <w:t xml:space="preserve">Consider 2 VMs. Both </w:t>
      </w:r>
      <w:r>
        <w:rPr>
          <w:lang w:eastAsia="en-SG"/>
        </w:rPr>
        <w:t>have 16</w:t>
      </w:r>
      <w:r w:rsidRPr="00C17739">
        <w:rPr>
          <w:lang w:eastAsia="en-SG"/>
        </w:rPr>
        <w:t xml:space="preserve"> vCPU. Both are running hot, but one of them is heavy on IO. It sends a lot of network packets and doing lots of disk IOPS. Th</w:t>
      </w:r>
      <w:r>
        <w:rPr>
          <w:lang w:eastAsia="en-SG"/>
        </w:rPr>
        <w:t>is</w:t>
      </w:r>
      <w:r w:rsidRPr="00C17739">
        <w:rPr>
          <w:lang w:eastAsia="en-SG"/>
        </w:rPr>
        <w:t xml:space="preserve"> </w:t>
      </w:r>
      <w:r>
        <w:rPr>
          <w:lang w:eastAsia="en-SG"/>
        </w:rPr>
        <w:t>2</w:t>
      </w:r>
      <w:r w:rsidRPr="0037623C">
        <w:rPr>
          <w:vertAlign w:val="superscript"/>
          <w:lang w:eastAsia="en-SG"/>
        </w:rPr>
        <w:t>nd</w:t>
      </w:r>
      <w:r>
        <w:rPr>
          <w:lang w:eastAsia="en-SG"/>
        </w:rPr>
        <w:t xml:space="preserve"> </w:t>
      </w:r>
      <w:r w:rsidRPr="00C17739">
        <w:rPr>
          <w:lang w:eastAsia="en-SG"/>
        </w:rPr>
        <w:t xml:space="preserve">VM has a different footprint on the ESXi. It’s much more demanding. All those IO processing need to be processed by other physical cores. </w:t>
      </w:r>
      <w:r>
        <w:rPr>
          <w:lang w:eastAsia="en-SG"/>
        </w:rPr>
        <w:t xml:space="preserve">That’s why your sizing should include disk IOPS, disk throughput and network throughput. </w:t>
      </w:r>
    </w:p>
    <w:p w14:paraId="5B565169" w14:textId="7CC834B7" w:rsidR="008D0143" w:rsidRDefault="000964CF" w:rsidP="00477693">
      <w:pPr>
        <w:pStyle w:val="Heading6"/>
      </w:pPr>
      <w:r>
        <w:t>Generic</w:t>
      </w:r>
      <w:r w:rsidR="0058480B">
        <w:t xml:space="preserve"> </w:t>
      </w:r>
      <w:r w:rsidR="008D0143">
        <w:t>Formula</w:t>
      </w:r>
    </w:p>
    <w:p w14:paraId="58E19153" w14:textId="1E299632" w:rsidR="001C60A1" w:rsidRDefault="00E02C9C" w:rsidP="009D0269">
      <w:r>
        <w:t xml:space="preserve">New </w:t>
      </w:r>
      <w:r w:rsidR="001C60A1">
        <w:t xml:space="preserve">Sizing </w:t>
      </w:r>
      <w:r w:rsidR="002F151A">
        <w:t>=</w:t>
      </w:r>
      <w:r w:rsidR="001C60A1">
        <w:t xml:space="preserve"> (Sum of VMs Usage x Future Growth x Performance Multiplier) + Overhead </w:t>
      </w:r>
    </w:p>
    <w:p w14:paraId="6090F138" w14:textId="7252080F" w:rsidR="001C60A1" w:rsidRDefault="001C60A1" w:rsidP="009D0269">
      <w:r>
        <w:t xml:space="preserve">Where: </w:t>
      </w:r>
    </w:p>
    <w:p w14:paraId="0082E604" w14:textId="77777777" w:rsidR="004A5C0A" w:rsidRPr="0032710F" w:rsidRDefault="004A5C0A" w:rsidP="009D0269">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38"/>
        <w:gridCol w:w="8618"/>
      </w:tblGrid>
      <w:tr w:rsidR="004A5C0A" w14:paraId="061DAF4C" w14:textId="77777777" w:rsidTr="00E440AB">
        <w:tc>
          <w:tcPr>
            <w:tcW w:w="1838" w:type="dxa"/>
            <w:shd w:val="clear" w:color="auto" w:fill="F2F2F2" w:themeFill="background1" w:themeFillShade="F2"/>
          </w:tcPr>
          <w:p w14:paraId="38BECAF8" w14:textId="25CF16D7" w:rsidR="004A5C0A" w:rsidRDefault="004A5C0A" w:rsidP="009D0269">
            <w:pPr>
              <w:pStyle w:val="Tableheading"/>
              <w:jc w:val="left"/>
            </w:pPr>
            <w:r>
              <w:t>Sum of VM Usage</w:t>
            </w:r>
          </w:p>
        </w:tc>
        <w:tc>
          <w:tcPr>
            <w:tcW w:w="8618" w:type="dxa"/>
          </w:tcPr>
          <w:p w14:paraId="7E19A61B" w14:textId="77777777" w:rsidR="00327A9D" w:rsidRDefault="004A5C0A" w:rsidP="009D0269">
            <w:pPr>
              <w:pStyle w:val="Tablecontent"/>
            </w:pPr>
            <w:r>
              <w:t xml:space="preserve">It is the chosen number to represent all the data in the assessment period. Ideally, you capture 1+ year so you do not miss annual data. Now that’s ~105K datapoints as there are that many 5-minutes in a year. </w:t>
            </w:r>
          </w:p>
          <w:p w14:paraId="431C3C1C" w14:textId="1E85C239" w:rsidR="00327A9D" w:rsidRDefault="00E06AA5" w:rsidP="009D0269">
            <w:pPr>
              <w:pStyle w:val="Tablecontent"/>
            </w:pPr>
            <w:r>
              <w:t xml:space="preserve">So what numbers do you pick? </w:t>
            </w:r>
          </w:p>
          <w:p w14:paraId="0C78C05A" w14:textId="483441C4" w:rsidR="00E06AA5" w:rsidRDefault="00E06AA5" w:rsidP="009D0269">
            <w:pPr>
              <w:pStyle w:val="Tablecontent"/>
            </w:pPr>
            <w:r>
              <w:t>If the chart is trending</w:t>
            </w:r>
            <w:r w:rsidR="00845838">
              <w:t>, especially</w:t>
            </w:r>
            <w:r>
              <w:t xml:space="preserve"> upwards, </w:t>
            </w:r>
            <w:r w:rsidR="00845838">
              <w:t xml:space="preserve">you need to account that the workload is increasing. So I’d use a projection, instead of simply </w:t>
            </w:r>
            <w:r w:rsidR="00B930DF">
              <w:t>take say the 95</w:t>
            </w:r>
            <w:r w:rsidR="00B930DF" w:rsidRPr="00B930DF">
              <w:rPr>
                <w:vertAlign w:val="superscript"/>
              </w:rPr>
              <w:t>th</w:t>
            </w:r>
            <w:r w:rsidR="00B930DF">
              <w:t xml:space="preserve"> percentile.</w:t>
            </w:r>
            <w:r w:rsidR="00C522AC">
              <w:t xml:space="preserve"> The percentile also treats recent data as more relevant.</w:t>
            </w:r>
          </w:p>
          <w:p w14:paraId="473CE4AE" w14:textId="47AD6B88" w:rsidR="004A5C0A" w:rsidRDefault="004A5C0A" w:rsidP="009D0269">
            <w:pPr>
              <w:pStyle w:val="Tablecontent"/>
            </w:pPr>
            <w:r>
              <w:t>For such large data sets</w:t>
            </w:r>
            <w:r w:rsidR="00327A9D">
              <w:t xml:space="preserve">, there can </w:t>
            </w:r>
            <w:r w:rsidR="00B930DF">
              <w:t>be outlier. Both projection and percentile handle this.</w:t>
            </w:r>
          </w:p>
        </w:tc>
      </w:tr>
      <w:tr w:rsidR="004A5C0A" w14:paraId="63EFF573" w14:textId="77777777" w:rsidTr="00E440AB">
        <w:tc>
          <w:tcPr>
            <w:tcW w:w="1838" w:type="dxa"/>
            <w:shd w:val="clear" w:color="auto" w:fill="F2F2F2" w:themeFill="background1" w:themeFillShade="F2"/>
          </w:tcPr>
          <w:p w14:paraId="60E5DB27" w14:textId="5E296D05" w:rsidR="004A5C0A" w:rsidRDefault="004A5C0A" w:rsidP="009D0269">
            <w:pPr>
              <w:pStyle w:val="Tableheading"/>
              <w:jc w:val="left"/>
            </w:pPr>
            <w:r>
              <w:t>Future Growth</w:t>
            </w:r>
          </w:p>
        </w:tc>
        <w:tc>
          <w:tcPr>
            <w:tcW w:w="8618" w:type="dxa"/>
          </w:tcPr>
          <w:p w14:paraId="6D154474" w14:textId="51970514" w:rsidR="004A5C0A" w:rsidRDefault="004A5C0A" w:rsidP="009D0269">
            <w:pPr>
              <w:pStyle w:val="Tablecontent"/>
            </w:pPr>
            <w:r>
              <w:t>The headroom you need before you top up hardware. So if you buy every year, then you need at least 1 year of buffer</w:t>
            </w:r>
          </w:p>
        </w:tc>
      </w:tr>
      <w:tr w:rsidR="004A5C0A" w14:paraId="3D8B3EF1" w14:textId="77777777" w:rsidTr="00E440AB">
        <w:tc>
          <w:tcPr>
            <w:tcW w:w="1838" w:type="dxa"/>
            <w:shd w:val="clear" w:color="auto" w:fill="F2F2F2" w:themeFill="background1" w:themeFillShade="F2"/>
          </w:tcPr>
          <w:p w14:paraId="569F637F" w14:textId="02B9C2BE" w:rsidR="004A5C0A" w:rsidRDefault="004A5C0A" w:rsidP="009D0269">
            <w:pPr>
              <w:pStyle w:val="Tableheading"/>
              <w:jc w:val="left"/>
            </w:pPr>
            <w:r>
              <w:t>Performance Multiplier</w:t>
            </w:r>
          </w:p>
        </w:tc>
        <w:tc>
          <w:tcPr>
            <w:tcW w:w="8618" w:type="dxa"/>
          </w:tcPr>
          <w:p w14:paraId="3BB8D9E0" w14:textId="4D72D15A" w:rsidR="004A5C0A" w:rsidRDefault="004A5C0A" w:rsidP="009D0269">
            <w:pPr>
              <w:pStyle w:val="Tablecontent"/>
            </w:pPr>
            <w:r>
              <w:t>An additional buffer you put to account that faster performance.</w:t>
            </w:r>
          </w:p>
        </w:tc>
      </w:tr>
      <w:tr w:rsidR="004A5C0A" w14:paraId="697359AC" w14:textId="77777777" w:rsidTr="00E440AB">
        <w:tc>
          <w:tcPr>
            <w:tcW w:w="1838" w:type="dxa"/>
            <w:shd w:val="clear" w:color="auto" w:fill="F2F2F2" w:themeFill="background1" w:themeFillShade="F2"/>
          </w:tcPr>
          <w:p w14:paraId="049F1EB7" w14:textId="20B035F5" w:rsidR="004A5C0A" w:rsidRDefault="004A5C0A" w:rsidP="009D0269">
            <w:pPr>
              <w:pStyle w:val="Tableheading"/>
              <w:jc w:val="left"/>
            </w:pPr>
            <w:r>
              <w:t>Overhead</w:t>
            </w:r>
          </w:p>
        </w:tc>
        <w:tc>
          <w:tcPr>
            <w:tcW w:w="8618" w:type="dxa"/>
          </w:tcPr>
          <w:p w14:paraId="6119B783" w14:textId="4DC9F7CC" w:rsidR="004A5C0A" w:rsidRDefault="009D419D" w:rsidP="009D0269">
            <w:pPr>
              <w:pStyle w:val="Tablecontent"/>
            </w:pPr>
            <w:r>
              <w:t>V</w:t>
            </w:r>
            <w:r w:rsidR="004A5C0A">
              <w:t>irtualization layer, which is vSAN + NSX + VMkernel load</w:t>
            </w:r>
            <w:r w:rsidR="00E8744D">
              <w:t>.</w:t>
            </w:r>
          </w:p>
          <w:p w14:paraId="676A05F4" w14:textId="44F00558" w:rsidR="00E8744D" w:rsidRDefault="00E8744D" w:rsidP="009D0269">
            <w:pPr>
              <w:pStyle w:val="Tablecontent"/>
            </w:pPr>
            <w:r>
              <w:t>This is the reason why you can’t take your existing cluster load. Your new cluster overhead is different. It’s likely higher as yo</w:t>
            </w:r>
            <w:r w:rsidR="00697F3A">
              <w:t>ur hardware is bigger, and you may</w:t>
            </w:r>
            <w:r>
              <w:t xml:space="preserve"> have vSAN and NSX.</w:t>
            </w:r>
          </w:p>
        </w:tc>
      </w:tr>
    </w:tbl>
    <w:p w14:paraId="05556FD5" w14:textId="77777777" w:rsidR="00E8744D" w:rsidRDefault="00E8744D" w:rsidP="009D0269">
      <w:pPr>
        <w:pStyle w:val="BeforeTable"/>
      </w:pPr>
    </w:p>
    <w:p w14:paraId="2476B1FA" w14:textId="08DF9B4C" w:rsidR="006567C6" w:rsidRDefault="006567C6" w:rsidP="009D0269">
      <w:r>
        <w:t xml:space="preserve">Notice something missing? </w:t>
      </w:r>
    </w:p>
    <w:p w14:paraId="5671E3D3" w14:textId="3922380F" w:rsidR="006567C6" w:rsidRDefault="006567C6" w:rsidP="009D0269">
      <w:r>
        <w:t>Yes, it’s reservation. I exclude it as you need to avoid using it. If you want to use it, take the max</w:t>
      </w:r>
      <w:r w:rsidR="008801CB">
        <w:t>imum</w:t>
      </w:r>
      <w:r>
        <w:t xml:space="preserve"> of Usage or Reservation.</w:t>
      </w:r>
    </w:p>
    <w:p w14:paraId="70CD5B68" w14:textId="6E73ABD1" w:rsidR="0058480B" w:rsidRDefault="0058480B" w:rsidP="00477693">
      <w:pPr>
        <w:pStyle w:val="Heading6"/>
      </w:pPr>
      <w:r>
        <w:lastRenderedPageBreak/>
        <w:t>Specific Formula</w:t>
      </w:r>
    </w:p>
    <w:p w14:paraId="7FFA09B1" w14:textId="5DD3CE1B" w:rsidR="000964CF" w:rsidRDefault="000964CF" w:rsidP="009D0269">
      <w:r>
        <w:t>The generic formula we have needs to be applied to each of the 4 elements of infrastructure. CPU, memory, disk and network need to be treated differently.</w:t>
      </w:r>
    </w:p>
    <w:p w14:paraId="22D24DD0" w14:textId="170C7604" w:rsidR="0032710F" w:rsidRDefault="000964CF" w:rsidP="009D0269">
      <w:r>
        <w:t>We also need to apply to specific object. Let’s start with vSphere Cluster</w:t>
      </w:r>
      <w:r w:rsidR="009F46ED">
        <w:t xml:space="preserve"> as that’s the most common.</w:t>
      </w:r>
    </w:p>
    <w:p w14:paraId="5206CA67" w14:textId="77777777" w:rsidR="006656EF" w:rsidRPr="0032710F" w:rsidRDefault="006656EF" w:rsidP="009D0269">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38"/>
        <w:gridCol w:w="8618"/>
      </w:tblGrid>
      <w:tr w:rsidR="0032710F" w14:paraId="4B2FBD54" w14:textId="77777777" w:rsidTr="00E440AB">
        <w:tc>
          <w:tcPr>
            <w:tcW w:w="1838" w:type="dxa"/>
            <w:shd w:val="clear" w:color="auto" w:fill="F2F2F2" w:themeFill="background1" w:themeFillShade="F2"/>
          </w:tcPr>
          <w:p w14:paraId="78FFF482" w14:textId="107C9F52" w:rsidR="0032710F" w:rsidRDefault="00546894" w:rsidP="009D0269">
            <w:pPr>
              <w:pStyle w:val="Tableheading"/>
              <w:jc w:val="left"/>
            </w:pPr>
            <w:r>
              <w:t>CPU</w:t>
            </w:r>
          </w:p>
        </w:tc>
        <w:tc>
          <w:tcPr>
            <w:tcW w:w="8618" w:type="dxa"/>
          </w:tcPr>
          <w:p w14:paraId="09F83C92" w14:textId="63F2E827" w:rsidR="0032710F" w:rsidRDefault="00557467" w:rsidP="009D0269">
            <w:pPr>
              <w:pStyle w:val="Tablecontent"/>
            </w:pPr>
            <w:r>
              <w:t>Yo</w:t>
            </w:r>
            <w:r w:rsidR="00290033">
              <w:t>ur main number is in GHz.</w:t>
            </w:r>
          </w:p>
          <w:p w14:paraId="7E2CAF93" w14:textId="0E4C813C" w:rsidR="00290033" w:rsidRDefault="00290033" w:rsidP="009D0269">
            <w:pPr>
              <w:pStyle w:val="Tablecontent"/>
            </w:pPr>
            <w:r>
              <w:t>You support that with another number, in vCPU. For vCPU, the performance multiplier does not apply</w:t>
            </w:r>
            <w:r w:rsidR="009A452C">
              <w:t xml:space="preserve"> as you maintain constant. Usage is </w:t>
            </w:r>
            <w:r w:rsidR="0030605A">
              <w:t xml:space="preserve">based on allocation. </w:t>
            </w:r>
            <w:r w:rsidR="006567C6">
              <w:t xml:space="preserve">Overhead is expressed in </w:t>
            </w:r>
            <w:r w:rsidR="008F698D">
              <w:t>physical core, so you apply it on the Usable Capacity instead.</w:t>
            </w:r>
          </w:p>
          <w:p w14:paraId="4B9415D3" w14:textId="77777777" w:rsidR="0030605A" w:rsidRDefault="00231CE9" w:rsidP="009D0269">
            <w:pPr>
              <w:pStyle w:val="Tablecontent"/>
            </w:pPr>
            <w:r>
              <w:t xml:space="preserve">Allocation Sizing = </w:t>
            </w:r>
            <w:r w:rsidR="0030605A">
              <w:t xml:space="preserve">(Sum of VMs </w:t>
            </w:r>
            <w:r w:rsidR="009541C7">
              <w:t>vCPU</w:t>
            </w:r>
            <w:r w:rsidR="006567C6">
              <w:t xml:space="preserve"> configured </w:t>
            </w:r>
            <w:r w:rsidR="0030605A">
              <w:t>x Future Growth)</w:t>
            </w:r>
          </w:p>
          <w:p w14:paraId="0E54182A" w14:textId="35AE3AF6" w:rsidR="00231CE9" w:rsidRDefault="00C36E9B" w:rsidP="009D0269">
            <w:pPr>
              <w:pStyle w:val="Tablecontent"/>
            </w:pPr>
            <w:r>
              <w:t>Make sure this number is within your comfort level.</w:t>
            </w:r>
          </w:p>
        </w:tc>
      </w:tr>
      <w:tr w:rsidR="0032710F" w14:paraId="240E3F1E" w14:textId="77777777" w:rsidTr="00E440AB">
        <w:tc>
          <w:tcPr>
            <w:tcW w:w="1838" w:type="dxa"/>
            <w:shd w:val="clear" w:color="auto" w:fill="F2F2F2" w:themeFill="background1" w:themeFillShade="F2"/>
          </w:tcPr>
          <w:p w14:paraId="017F1098" w14:textId="392504C2" w:rsidR="0032710F" w:rsidRDefault="00557467" w:rsidP="009D0269">
            <w:pPr>
              <w:pStyle w:val="Tableheading"/>
              <w:jc w:val="left"/>
              <w:rPr>
                <w:lang w:eastAsia="en-SG"/>
              </w:rPr>
            </w:pPr>
            <w:r>
              <w:rPr>
                <w:lang w:eastAsia="en-SG"/>
              </w:rPr>
              <w:t>Memory</w:t>
            </w:r>
          </w:p>
        </w:tc>
        <w:tc>
          <w:tcPr>
            <w:tcW w:w="8618" w:type="dxa"/>
          </w:tcPr>
          <w:p w14:paraId="2E2EE518" w14:textId="77777777" w:rsidR="0032710F" w:rsidRDefault="007A4222" w:rsidP="009D0269">
            <w:pPr>
              <w:pStyle w:val="Tablecontent"/>
            </w:pPr>
            <w:r>
              <w:t>You only have 1 number. It’s in GB.</w:t>
            </w:r>
          </w:p>
          <w:p w14:paraId="65CD4132" w14:textId="77777777" w:rsidR="00C37828" w:rsidRDefault="00C37828" w:rsidP="009D0269">
            <w:pPr>
              <w:pStyle w:val="Tablecontent"/>
            </w:pPr>
            <w:r>
              <w:t>Performance Multiplier does not apply to memory as it’s just a storage space.</w:t>
            </w:r>
          </w:p>
          <w:p w14:paraId="02AC38DE" w14:textId="722F2531" w:rsidR="00574D66" w:rsidRDefault="00574D66" w:rsidP="009D0269">
            <w:pPr>
              <w:pStyle w:val="Tablecontent"/>
            </w:pPr>
            <w:r>
              <w:t>New Sizing = (Sum of VMs Usage x Future Growth) + Overhead</w:t>
            </w:r>
          </w:p>
        </w:tc>
      </w:tr>
      <w:tr w:rsidR="00557467" w14:paraId="21D468B8" w14:textId="77777777" w:rsidTr="00E440AB">
        <w:tc>
          <w:tcPr>
            <w:tcW w:w="1838" w:type="dxa"/>
            <w:shd w:val="clear" w:color="auto" w:fill="F2F2F2" w:themeFill="background1" w:themeFillShade="F2"/>
          </w:tcPr>
          <w:p w14:paraId="3C3525D0" w14:textId="4E5DAF5B" w:rsidR="00557467" w:rsidRDefault="00557467" w:rsidP="009D0269">
            <w:pPr>
              <w:pStyle w:val="Tableheading"/>
              <w:jc w:val="left"/>
              <w:rPr>
                <w:lang w:eastAsia="en-SG"/>
              </w:rPr>
            </w:pPr>
            <w:r>
              <w:rPr>
                <w:lang w:eastAsia="en-SG"/>
              </w:rPr>
              <w:t>Disk</w:t>
            </w:r>
          </w:p>
        </w:tc>
        <w:tc>
          <w:tcPr>
            <w:tcW w:w="8618" w:type="dxa"/>
          </w:tcPr>
          <w:p w14:paraId="19AB5146" w14:textId="16755024" w:rsidR="00E5189C" w:rsidRDefault="00E5189C" w:rsidP="009D0269">
            <w:pPr>
              <w:pStyle w:val="Tablecontent"/>
            </w:pPr>
            <w:r>
              <w:t>Your main number is in GB. It only covers disk space</w:t>
            </w:r>
            <w:r w:rsidR="00EB7BED">
              <w:t xml:space="preserve">, hence </w:t>
            </w:r>
            <w:r w:rsidR="00CA40E6">
              <w:t>Performance Multiplier does not apply here.</w:t>
            </w:r>
          </w:p>
          <w:p w14:paraId="2D904361" w14:textId="2A778830" w:rsidR="00EB7BED" w:rsidRDefault="00EB7BED" w:rsidP="009D0269">
            <w:pPr>
              <w:pStyle w:val="Tablecontent"/>
            </w:pPr>
            <w:r>
              <w:t>You typically do not migrate snapshot</w:t>
            </w:r>
            <w:r w:rsidR="00871B00">
              <w:t>. You will also exclude non VM such as orphaned vmdk and template.</w:t>
            </w:r>
          </w:p>
          <w:p w14:paraId="29BC019D" w14:textId="19F6D1A0" w:rsidR="001778D1" w:rsidRDefault="003854C7" w:rsidP="009D0269">
            <w:pPr>
              <w:pStyle w:val="Tablecontent"/>
            </w:pPr>
            <w:r>
              <w:t>New Sizing = (Sum of VMs Usage x Future Growth) + Overhead</w:t>
            </w:r>
          </w:p>
          <w:p w14:paraId="60D843E5" w14:textId="77777777" w:rsidR="00557467" w:rsidRDefault="007A4222" w:rsidP="009D0269">
            <w:pPr>
              <w:pStyle w:val="Tablecontent"/>
            </w:pPr>
            <w:r>
              <w:t xml:space="preserve">You </w:t>
            </w:r>
            <w:r w:rsidR="00E5189C">
              <w:t xml:space="preserve">support that with 2 numbers, one for IOPS and one for Throughput. </w:t>
            </w:r>
            <w:r w:rsidR="00CA40E6">
              <w:t>Performance Multiplier applies here.</w:t>
            </w:r>
          </w:p>
          <w:p w14:paraId="5DF8835D" w14:textId="1BBC4BA2" w:rsidR="007C7E35" w:rsidRDefault="007C7E35" w:rsidP="009D0269">
            <w:pPr>
              <w:pStyle w:val="Tablecontent"/>
            </w:pPr>
            <w:r>
              <w:t>vSAN migration needs to consider vSAN overhead. You’re moving the redundancy from hardware level to VMDK level.</w:t>
            </w:r>
          </w:p>
        </w:tc>
      </w:tr>
      <w:tr w:rsidR="00557467" w14:paraId="0E7D8195" w14:textId="77777777" w:rsidTr="00E440AB">
        <w:tc>
          <w:tcPr>
            <w:tcW w:w="1838" w:type="dxa"/>
            <w:shd w:val="clear" w:color="auto" w:fill="F2F2F2" w:themeFill="background1" w:themeFillShade="F2"/>
          </w:tcPr>
          <w:p w14:paraId="1C0DBCBF" w14:textId="6A93ECE0" w:rsidR="00557467" w:rsidRDefault="00557467" w:rsidP="009D0269">
            <w:pPr>
              <w:pStyle w:val="Tableheading"/>
              <w:jc w:val="left"/>
              <w:rPr>
                <w:lang w:eastAsia="en-SG"/>
              </w:rPr>
            </w:pPr>
            <w:r>
              <w:rPr>
                <w:lang w:eastAsia="en-SG"/>
              </w:rPr>
              <w:t xml:space="preserve">Network </w:t>
            </w:r>
          </w:p>
        </w:tc>
        <w:tc>
          <w:tcPr>
            <w:tcW w:w="8618" w:type="dxa"/>
          </w:tcPr>
          <w:p w14:paraId="1BB1D88D" w14:textId="77777777" w:rsidR="00557467" w:rsidRDefault="00CA40E6" w:rsidP="009D0269">
            <w:pPr>
              <w:pStyle w:val="Tablecontent"/>
            </w:pPr>
            <w:r>
              <w:t xml:space="preserve">Your main number is in </w:t>
            </w:r>
            <w:r w:rsidR="00337C42">
              <w:t>Gigabit/second.</w:t>
            </w:r>
          </w:p>
          <w:p w14:paraId="63C132E6" w14:textId="77777777" w:rsidR="00337C42" w:rsidRDefault="00337C42" w:rsidP="009D0269">
            <w:pPr>
              <w:pStyle w:val="Tablecontent"/>
            </w:pPr>
            <w:r>
              <w:t xml:space="preserve">You support that with number of packets/second. </w:t>
            </w:r>
          </w:p>
          <w:p w14:paraId="560EBD35" w14:textId="57CA14E2" w:rsidR="00337C42" w:rsidRDefault="00337C42" w:rsidP="009D0269">
            <w:pPr>
              <w:pStyle w:val="Tablecontent"/>
            </w:pPr>
            <w:r>
              <w:t>Make sure both numbers are within what the new hardware can deliver.</w:t>
            </w:r>
          </w:p>
        </w:tc>
      </w:tr>
    </w:tbl>
    <w:p w14:paraId="19726CAE" w14:textId="6857511B" w:rsidR="00CF327F" w:rsidRDefault="00CF327F" w:rsidP="00477693">
      <w:pPr>
        <w:pStyle w:val="Heading6"/>
        <w:rPr>
          <w:lang w:eastAsia="en-SG"/>
        </w:rPr>
      </w:pPr>
      <w:r>
        <w:rPr>
          <w:lang w:eastAsia="en-SG"/>
        </w:rPr>
        <w:t>Sample Output</w:t>
      </w:r>
    </w:p>
    <w:p w14:paraId="78CF6E85" w14:textId="4C89B061" w:rsidR="00DE0E9F" w:rsidRDefault="00DE0E9F" w:rsidP="00DE0E9F">
      <w:pPr>
        <w:rPr>
          <w:lang w:eastAsia="en-SG"/>
        </w:rPr>
      </w:pPr>
      <w:r>
        <w:rPr>
          <w:lang w:eastAsia="en-SG"/>
        </w:rPr>
        <w:t>You do the above exercise per cluster. You get something like this</w:t>
      </w:r>
      <w:r w:rsidR="006A082F">
        <w:rPr>
          <w:lang w:eastAsia="en-SG"/>
        </w:rPr>
        <w:t>:</w:t>
      </w:r>
    </w:p>
    <w:p w14:paraId="594044C4" w14:textId="77777777" w:rsidR="006A082F" w:rsidRPr="00DE0E9F" w:rsidRDefault="006A082F" w:rsidP="006A082F">
      <w:pPr>
        <w:pStyle w:val="BeforeTable"/>
        <w:rPr>
          <w:lang w:eastAsia="en-SG"/>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91"/>
        <w:gridCol w:w="2091"/>
        <w:gridCol w:w="2091"/>
        <w:gridCol w:w="2091"/>
        <w:gridCol w:w="2092"/>
      </w:tblGrid>
      <w:tr w:rsidR="007D5238" w14:paraId="3C0588C5" w14:textId="77777777" w:rsidTr="006A082F">
        <w:tc>
          <w:tcPr>
            <w:tcW w:w="2091" w:type="dxa"/>
            <w:shd w:val="clear" w:color="auto" w:fill="F2F2F2" w:themeFill="background1" w:themeFillShade="F2"/>
          </w:tcPr>
          <w:p w14:paraId="53BA1B9F" w14:textId="77777777" w:rsidR="007D5238" w:rsidRDefault="007D5238" w:rsidP="007D5238">
            <w:pPr>
              <w:pStyle w:val="Tableheading"/>
            </w:pPr>
          </w:p>
        </w:tc>
        <w:tc>
          <w:tcPr>
            <w:tcW w:w="2091" w:type="dxa"/>
            <w:shd w:val="clear" w:color="auto" w:fill="F2F2F2" w:themeFill="background1" w:themeFillShade="F2"/>
          </w:tcPr>
          <w:p w14:paraId="25C28020" w14:textId="45067A40" w:rsidR="007D5238" w:rsidRDefault="007D5238" w:rsidP="007D5238">
            <w:pPr>
              <w:pStyle w:val="Tableheading"/>
            </w:pPr>
            <w:r>
              <w:t>CPU</w:t>
            </w:r>
          </w:p>
        </w:tc>
        <w:tc>
          <w:tcPr>
            <w:tcW w:w="2091" w:type="dxa"/>
            <w:shd w:val="clear" w:color="auto" w:fill="F2F2F2" w:themeFill="background1" w:themeFillShade="F2"/>
          </w:tcPr>
          <w:p w14:paraId="31BA0B8A" w14:textId="42B91147" w:rsidR="007D5238" w:rsidRDefault="005520B9" w:rsidP="007D5238">
            <w:pPr>
              <w:pStyle w:val="Tableheading"/>
            </w:pPr>
            <w:r>
              <w:t>Memory</w:t>
            </w:r>
          </w:p>
        </w:tc>
        <w:tc>
          <w:tcPr>
            <w:tcW w:w="2091" w:type="dxa"/>
            <w:shd w:val="clear" w:color="auto" w:fill="F2F2F2" w:themeFill="background1" w:themeFillShade="F2"/>
          </w:tcPr>
          <w:p w14:paraId="495984A6" w14:textId="7BCAB603" w:rsidR="007D5238" w:rsidRDefault="005520B9" w:rsidP="007D5238">
            <w:pPr>
              <w:pStyle w:val="Tableheading"/>
            </w:pPr>
            <w:r>
              <w:t>Disk</w:t>
            </w:r>
          </w:p>
        </w:tc>
        <w:tc>
          <w:tcPr>
            <w:tcW w:w="2092" w:type="dxa"/>
            <w:shd w:val="clear" w:color="auto" w:fill="F2F2F2" w:themeFill="background1" w:themeFillShade="F2"/>
          </w:tcPr>
          <w:p w14:paraId="0A42B424" w14:textId="12C9BAF4" w:rsidR="007D5238" w:rsidRDefault="005520B9" w:rsidP="007D5238">
            <w:pPr>
              <w:pStyle w:val="Tableheading"/>
            </w:pPr>
            <w:r>
              <w:t>Network</w:t>
            </w:r>
          </w:p>
        </w:tc>
      </w:tr>
      <w:tr w:rsidR="007D5238" w14:paraId="27D2552F" w14:textId="77777777" w:rsidTr="006A082F">
        <w:tc>
          <w:tcPr>
            <w:tcW w:w="2091" w:type="dxa"/>
          </w:tcPr>
          <w:p w14:paraId="3B5CB02E" w14:textId="06145296" w:rsidR="007D5238" w:rsidRDefault="00713491" w:rsidP="005520B9">
            <w:pPr>
              <w:pStyle w:val="Tablecontent"/>
            </w:pPr>
            <w:r>
              <w:t xml:space="preserve">Old </w:t>
            </w:r>
            <w:r w:rsidR="005520B9">
              <w:t xml:space="preserve">Cluster </w:t>
            </w:r>
            <w:r>
              <w:t>01</w:t>
            </w:r>
          </w:p>
        </w:tc>
        <w:tc>
          <w:tcPr>
            <w:tcW w:w="2091" w:type="dxa"/>
          </w:tcPr>
          <w:p w14:paraId="2C4E7CB0" w14:textId="77777777" w:rsidR="007D5238" w:rsidRDefault="00713491" w:rsidP="00371495">
            <w:pPr>
              <w:pStyle w:val="Tablecontent"/>
              <w:jc w:val="right"/>
            </w:pPr>
            <w:r>
              <w:t>145 GHz</w:t>
            </w:r>
          </w:p>
          <w:p w14:paraId="6DDF9A8B" w14:textId="78DFC934" w:rsidR="00A26201" w:rsidRDefault="00521F69" w:rsidP="00371495">
            <w:pPr>
              <w:pStyle w:val="Tablecontent"/>
              <w:jc w:val="right"/>
            </w:pPr>
            <w:r>
              <w:t>3504 vCPU</w:t>
            </w:r>
          </w:p>
        </w:tc>
        <w:tc>
          <w:tcPr>
            <w:tcW w:w="2091" w:type="dxa"/>
          </w:tcPr>
          <w:p w14:paraId="3638AB6D" w14:textId="0326F515" w:rsidR="007D5238" w:rsidRDefault="00713491" w:rsidP="00371495">
            <w:pPr>
              <w:pStyle w:val="Tablecontent"/>
              <w:jc w:val="right"/>
            </w:pPr>
            <w:r>
              <w:t>3.9 TB</w:t>
            </w:r>
          </w:p>
        </w:tc>
        <w:tc>
          <w:tcPr>
            <w:tcW w:w="2091" w:type="dxa"/>
          </w:tcPr>
          <w:p w14:paraId="2C86D3C9" w14:textId="77777777" w:rsidR="007D5238" w:rsidRDefault="00713491" w:rsidP="00371495">
            <w:pPr>
              <w:pStyle w:val="Tablecontent"/>
              <w:jc w:val="right"/>
            </w:pPr>
            <w:r>
              <w:t>8.2 TB</w:t>
            </w:r>
            <w:r w:rsidR="00371495">
              <w:t xml:space="preserve"> space</w:t>
            </w:r>
          </w:p>
          <w:p w14:paraId="4C435451" w14:textId="77777777" w:rsidR="00371495" w:rsidRDefault="00371495" w:rsidP="00371495">
            <w:pPr>
              <w:pStyle w:val="Tablecontent"/>
              <w:jc w:val="right"/>
            </w:pPr>
            <w:r>
              <w:t>8374 IOPS</w:t>
            </w:r>
          </w:p>
          <w:p w14:paraId="371541D9" w14:textId="0F1DC74D" w:rsidR="00371495" w:rsidRDefault="00371495" w:rsidP="00371495">
            <w:pPr>
              <w:pStyle w:val="Tablecontent"/>
              <w:jc w:val="right"/>
            </w:pPr>
            <w:r>
              <w:t>49 G</w:t>
            </w:r>
            <w:r w:rsidR="00A26201">
              <w:t>B/s throughput</w:t>
            </w:r>
          </w:p>
        </w:tc>
        <w:tc>
          <w:tcPr>
            <w:tcW w:w="2092" w:type="dxa"/>
          </w:tcPr>
          <w:p w14:paraId="53BBD30E" w14:textId="77777777" w:rsidR="007D5238" w:rsidRDefault="00713491" w:rsidP="00371495">
            <w:pPr>
              <w:pStyle w:val="Tablecontent"/>
              <w:jc w:val="right"/>
            </w:pPr>
            <w:r>
              <w:t>38 Gbps</w:t>
            </w:r>
          </w:p>
          <w:p w14:paraId="458C0616" w14:textId="274AC12B" w:rsidR="00A26201" w:rsidRDefault="00A26201" w:rsidP="00371495">
            <w:pPr>
              <w:pStyle w:val="Tablecontent"/>
              <w:jc w:val="right"/>
            </w:pPr>
            <w:r>
              <w:t>83K packets/s</w:t>
            </w:r>
          </w:p>
        </w:tc>
      </w:tr>
    </w:tbl>
    <w:p w14:paraId="63A27599" w14:textId="726BF964" w:rsidR="00216B22" w:rsidRPr="007E0E14" w:rsidRDefault="00216B22" w:rsidP="00216B22">
      <w:r>
        <w:rPr>
          <w:lang w:val="en-GB" w:eastAsia="en-SG"/>
        </w:rPr>
        <w:t xml:space="preserve">The above is only valid for a 1:1 migration. </w:t>
      </w:r>
      <w:r w:rsidR="007E0E14">
        <w:rPr>
          <w:lang w:val="en-GB" w:eastAsia="en-SG"/>
        </w:rPr>
        <w:t xml:space="preserve">Anything more complex </w:t>
      </w:r>
      <w:r w:rsidR="007E0E14">
        <w:t>takes us to the realm of complex migration.</w:t>
      </w:r>
    </w:p>
    <w:p w14:paraId="68959B3F" w14:textId="2EEB719D" w:rsidR="005236E2" w:rsidRDefault="00053192" w:rsidP="00C0070B">
      <w:pPr>
        <w:pStyle w:val="Heading5"/>
      </w:pPr>
      <w:r>
        <w:lastRenderedPageBreak/>
        <w:t>Complex Migration</w:t>
      </w:r>
    </w:p>
    <w:p w14:paraId="5EB234D6" w14:textId="77F2557F" w:rsidR="00097E6A" w:rsidRDefault="0047267D" w:rsidP="0047267D">
      <w:pPr>
        <w:rPr>
          <w:lang w:eastAsia="en-SG"/>
        </w:rPr>
      </w:pPr>
      <w:r>
        <w:rPr>
          <w:lang w:eastAsia="en-SG"/>
        </w:rPr>
        <w:t xml:space="preserve">From that simple migration above, you can see that </w:t>
      </w:r>
      <w:r w:rsidR="00D40802">
        <w:rPr>
          <w:lang w:eastAsia="en-SG"/>
        </w:rPr>
        <w:t xml:space="preserve">a simple </w:t>
      </w:r>
      <w:r>
        <w:rPr>
          <w:lang w:eastAsia="en-SG"/>
        </w:rPr>
        <w:t xml:space="preserve">sizing </w:t>
      </w:r>
      <w:r w:rsidR="00D40802">
        <w:rPr>
          <w:lang w:eastAsia="en-SG"/>
        </w:rPr>
        <w:t xml:space="preserve">exercise </w:t>
      </w:r>
      <w:r w:rsidR="00097E6A">
        <w:rPr>
          <w:lang w:eastAsia="en-SG"/>
        </w:rPr>
        <w:t xml:space="preserve">becomes complex when the </w:t>
      </w:r>
      <w:r w:rsidR="008425C4">
        <w:rPr>
          <w:lang w:eastAsia="en-SG"/>
        </w:rPr>
        <w:t xml:space="preserve">destination is much faster. This turbocharges the VMs, changing the workload pattern. </w:t>
      </w:r>
    </w:p>
    <w:p w14:paraId="32B1352F" w14:textId="4FCA23D6" w:rsidR="00BB1BC8" w:rsidRDefault="00B258A4" w:rsidP="0047267D">
      <w:pPr>
        <w:rPr>
          <w:lang w:eastAsia="en-SG"/>
        </w:rPr>
      </w:pPr>
      <w:r>
        <w:rPr>
          <w:lang w:eastAsia="en-SG"/>
        </w:rPr>
        <w:t>This becomes a</w:t>
      </w:r>
      <w:r w:rsidR="0031751C">
        <w:rPr>
          <w:lang w:eastAsia="en-SG"/>
        </w:rPr>
        <w:t xml:space="preserve"> real </w:t>
      </w:r>
      <w:r>
        <w:rPr>
          <w:lang w:eastAsia="en-SG"/>
        </w:rPr>
        <w:t>issue in complex migration, defined as migration that you cannot complete in a single shot</w:t>
      </w:r>
      <w:r w:rsidR="00BB1BC8">
        <w:rPr>
          <w:lang w:eastAsia="en-SG"/>
        </w:rPr>
        <w:t xml:space="preserve"> or migration where you mix the VMs across clusters</w:t>
      </w:r>
      <w:r>
        <w:rPr>
          <w:lang w:eastAsia="en-SG"/>
        </w:rPr>
        <w:t xml:space="preserve">. </w:t>
      </w:r>
    </w:p>
    <w:p w14:paraId="4B02F0D9" w14:textId="757D2345" w:rsidR="00BB1BC8" w:rsidRDefault="00BB1BC8" w:rsidP="00BB1BC8">
      <w:pPr>
        <w:pStyle w:val="Heading6"/>
        <w:rPr>
          <w:lang w:eastAsia="en-SG"/>
        </w:rPr>
      </w:pPr>
      <w:r>
        <w:rPr>
          <w:lang w:eastAsia="en-SG"/>
        </w:rPr>
        <w:t>Long Migration Project</w:t>
      </w:r>
    </w:p>
    <w:p w14:paraId="72449047" w14:textId="2D30FA66" w:rsidR="00B258A4" w:rsidRDefault="00090B08" w:rsidP="0047267D">
      <w:pPr>
        <w:rPr>
          <w:lang w:eastAsia="en-SG"/>
        </w:rPr>
      </w:pPr>
      <w:r>
        <w:rPr>
          <w:lang w:eastAsia="en-SG"/>
        </w:rPr>
        <w:t xml:space="preserve">If you need to migrate over multiple greenzones, stretching the period into </w:t>
      </w:r>
      <w:r w:rsidR="00C17FAA">
        <w:rPr>
          <w:lang w:eastAsia="en-SG"/>
        </w:rPr>
        <w:t xml:space="preserve">months, </w:t>
      </w:r>
      <w:r w:rsidR="0031751C">
        <w:rPr>
          <w:lang w:eastAsia="en-SG"/>
        </w:rPr>
        <w:t xml:space="preserve">you need to treat sizing as </w:t>
      </w:r>
      <w:r w:rsidR="00C17FAA">
        <w:rPr>
          <w:lang w:eastAsia="en-SG"/>
        </w:rPr>
        <w:t xml:space="preserve">an iterative process. </w:t>
      </w:r>
    </w:p>
    <w:p w14:paraId="5CDAB056" w14:textId="5FCFAE77" w:rsidR="00C96A57" w:rsidRDefault="00C96A57" w:rsidP="00C96A57">
      <w:pPr>
        <w:jc w:val="center"/>
        <w:rPr>
          <w:lang w:eastAsia="en-SG"/>
        </w:rPr>
      </w:pPr>
      <w:r w:rsidRPr="00BA1853">
        <w:rPr>
          <w:noProof/>
          <w:lang w:val="en-GB"/>
        </w:rPr>
        <w:drawing>
          <wp:inline distT="0" distB="0" distL="0" distR="0" wp14:anchorId="3D64E36C" wp14:editId="6275780E">
            <wp:extent cx="5897880" cy="1225296"/>
            <wp:effectExtent l="0" t="0" r="7620" b="0"/>
            <wp:docPr id="1048" name="Picture 1048"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 name="Picture 1048" descr="Text&#10;&#10;Description automatically generated with low confidence"/>
                    <pic:cNvPicPr/>
                  </pic:nvPicPr>
                  <pic:blipFill>
                    <a:blip r:embed="rId183"/>
                    <a:stretch>
                      <a:fillRect/>
                    </a:stretch>
                  </pic:blipFill>
                  <pic:spPr>
                    <a:xfrm>
                      <a:off x="0" y="0"/>
                      <a:ext cx="5897880" cy="1225296"/>
                    </a:xfrm>
                    <a:prstGeom prst="rect">
                      <a:avLst/>
                    </a:prstGeom>
                  </pic:spPr>
                </pic:pic>
              </a:graphicData>
            </a:graphic>
          </wp:inline>
        </w:drawing>
      </w:r>
    </w:p>
    <w:p w14:paraId="1C4B2D18" w14:textId="02C0D272" w:rsidR="0047267D" w:rsidRDefault="009305B5" w:rsidP="0047267D">
      <w:pPr>
        <w:rPr>
          <w:lang w:eastAsia="en-SG"/>
        </w:rPr>
      </w:pPr>
      <w:r>
        <w:rPr>
          <w:lang w:eastAsia="en-SG"/>
        </w:rPr>
        <w:t xml:space="preserve">In complex migration, it </w:t>
      </w:r>
      <w:r w:rsidR="0047267D">
        <w:rPr>
          <w:lang w:eastAsia="en-SG"/>
        </w:rPr>
        <w:t xml:space="preserve">does not begin with what you to migrate. It begins with the destination. You plan your end state first, add what you want to migrate, and then work back and forth between the 2 sides. </w:t>
      </w:r>
    </w:p>
    <w:p w14:paraId="5E7E2FD6" w14:textId="3E3185C8" w:rsidR="005C247A" w:rsidRDefault="005C247A" w:rsidP="005C247A">
      <w:pPr>
        <w:rPr>
          <w:lang w:eastAsia="en-SG"/>
        </w:rPr>
      </w:pPr>
      <w:r>
        <w:rPr>
          <w:lang w:eastAsia="en-SG"/>
        </w:rPr>
        <w:t>The reasons why you go back and forth are:</w:t>
      </w:r>
    </w:p>
    <w:p w14:paraId="0CE60C0C" w14:textId="77777777" w:rsidR="002F167E" w:rsidRDefault="002F167E" w:rsidP="002F167E">
      <w:pPr>
        <w:pStyle w:val="BeforeTable"/>
        <w:rPr>
          <w:lang w:eastAsia="en-SG"/>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38"/>
        <w:gridCol w:w="8618"/>
      </w:tblGrid>
      <w:tr w:rsidR="002F167E" w14:paraId="0E9AE570" w14:textId="77777777" w:rsidTr="00E440AB">
        <w:tc>
          <w:tcPr>
            <w:tcW w:w="1838" w:type="dxa"/>
            <w:shd w:val="clear" w:color="auto" w:fill="F2F2F2" w:themeFill="background1" w:themeFillShade="F2"/>
          </w:tcPr>
          <w:p w14:paraId="5990217B" w14:textId="54C85F0D" w:rsidR="002F167E" w:rsidRDefault="008D70ED" w:rsidP="00E440AB">
            <w:pPr>
              <w:pStyle w:val="Tableheading"/>
              <w:jc w:val="left"/>
            </w:pPr>
            <w:r>
              <w:rPr>
                <w:lang w:eastAsia="en-SG"/>
              </w:rPr>
              <w:t>Speed</w:t>
            </w:r>
          </w:p>
        </w:tc>
        <w:tc>
          <w:tcPr>
            <w:tcW w:w="8618" w:type="dxa"/>
          </w:tcPr>
          <w:p w14:paraId="586750FD" w14:textId="7FE279A0" w:rsidR="002F167E" w:rsidRDefault="008D70ED" w:rsidP="00E440AB">
            <w:pPr>
              <w:pStyle w:val="Tablecontent"/>
            </w:pPr>
            <w:r>
              <w:rPr>
                <w:lang w:eastAsia="en-SG"/>
              </w:rPr>
              <w:t xml:space="preserve">See </w:t>
            </w:r>
            <w:r w:rsidRPr="00200438">
              <w:rPr>
                <w:color w:val="00B0F0"/>
                <w:lang w:eastAsia="en-SG"/>
              </w:rPr>
              <w:t>Performance Multiplier</w:t>
            </w:r>
          </w:p>
        </w:tc>
      </w:tr>
      <w:tr w:rsidR="008D70ED" w14:paraId="2516D16B" w14:textId="77777777" w:rsidTr="00E440AB">
        <w:tc>
          <w:tcPr>
            <w:tcW w:w="1838" w:type="dxa"/>
            <w:shd w:val="clear" w:color="auto" w:fill="F2F2F2" w:themeFill="background1" w:themeFillShade="F2"/>
          </w:tcPr>
          <w:p w14:paraId="79673720" w14:textId="2EDB4B82" w:rsidR="008D70ED" w:rsidRDefault="008D70ED" w:rsidP="00E440AB">
            <w:pPr>
              <w:pStyle w:val="Tableheading"/>
              <w:jc w:val="left"/>
              <w:rPr>
                <w:lang w:eastAsia="en-SG"/>
              </w:rPr>
            </w:pPr>
            <w:r>
              <w:rPr>
                <w:lang w:eastAsia="en-SG"/>
              </w:rPr>
              <w:t>Time</w:t>
            </w:r>
          </w:p>
        </w:tc>
        <w:tc>
          <w:tcPr>
            <w:tcW w:w="8618" w:type="dxa"/>
          </w:tcPr>
          <w:p w14:paraId="07BAD1FF" w14:textId="5EEF5132" w:rsidR="008D70ED" w:rsidRDefault="008D70ED" w:rsidP="00E440AB">
            <w:pPr>
              <w:pStyle w:val="Tablecontent"/>
            </w:pPr>
            <w:r>
              <w:rPr>
                <w:lang w:eastAsia="en-SG"/>
              </w:rPr>
              <w:t>In a large-scale migration, it can take months. During that time, the workload may change. The new features added by the application team may alter your sizing</w:t>
            </w:r>
          </w:p>
        </w:tc>
      </w:tr>
      <w:tr w:rsidR="008D70ED" w14:paraId="31FA2C00" w14:textId="77777777" w:rsidTr="00E440AB">
        <w:tc>
          <w:tcPr>
            <w:tcW w:w="1838" w:type="dxa"/>
            <w:shd w:val="clear" w:color="auto" w:fill="F2F2F2" w:themeFill="background1" w:themeFillShade="F2"/>
          </w:tcPr>
          <w:p w14:paraId="0D3A5386" w14:textId="611D626F" w:rsidR="008D70ED" w:rsidRDefault="008D70ED" w:rsidP="00E440AB">
            <w:pPr>
              <w:pStyle w:val="Tableheading"/>
              <w:jc w:val="left"/>
              <w:rPr>
                <w:lang w:eastAsia="en-SG"/>
              </w:rPr>
            </w:pPr>
            <w:r>
              <w:rPr>
                <w:lang w:eastAsia="en-SG"/>
              </w:rPr>
              <w:t>New workload</w:t>
            </w:r>
          </w:p>
        </w:tc>
        <w:tc>
          <w:tcPr>
            <w:tcW w:w="8618" w:type="dxa"/>
          </w:tcPr>
          <w:p w14:paraId="11A2EA10" w14:textId="0D74ED88" w:rsidR="008D70ED" w:rsidRDefault="006D76BE" w:rsidP="00E440AB">
            <w:pPr>
              <w:pStyle w:val="Tablecontent"/>
              <w:rPr>
                <w:lang w:eastAsia="en-SG"/>
              </w:rPr>
            </w:pPr>
            <w:r>
              <w:rPr>
                <w:lang w:eastAsia="en-SG"/>
              </w:rPr>
              <w:t xml:space="preserve">Because the migration period stretches over time, you get new VMs that </w:t>
            </w:r>
            <w:r w:rsidR="00717B31">
              <w:rPr>
                <w:lang w:eastAsia="en-SG"/>
              </w:rPr>
              <w:t xml:space="preserve">do not exist in the old clusters. </w:t>
            </w:r>
          </w:p>
        </w:tc>
      </w:tr>
      <w:tr w:rsidR="008D70ED" w14:paraId="7B15B742" w14:textId="77777777" w:rsidTr="00E440AB">
        <w:tc>
          <w:tcPr>
            <w:tcW w:w="1838" w:type="dxa"/>
            <w:shd w:val="clear" w:color="auto" w:fill="F2F2F2" w:themeFill="background1" w:themeFillShade="F2"/>
          </w:tcPr>
          <w:p w14:paraId="726F5D34" w14:textId="52491267" w:rsidR="008D70ED" w:rsidRDefault="008D70ED" w:rsidP="00E440AB">
            <w:pPr>
              <w:pStyle w:val="Tableheading"/>
              <w:jc w:val="left"/>
              <w:rPr>
                <w:lang w:eastAsia="en-SG"/>
              </w:rPr>
            </w:pPr>
            <w:r>
              <w:rPr>
                <w:lang w:eastAsia="en-SG"/>
              </w:rPr>
              <w:t>Selection</w:t>
            </w:r>
          </w:p>
        </w:tc>
        <w:tc>
          <w:tcPr>
            <w:tcW w:w="8618" w:type="dxa"/>
          </w:tcPr>
          <w:p w14:paraId="35578F00" w14:textId="5CF78EBE" w:rsidR="008D70ED" w:rsidRDefault="008D70ED" w:rsidP="00E440AB">
            <w:pPr>
              <w:pStyle w:val="Tablecontent"/>
              <w:rPr>
                <w:lang w:eastAsia="en-SG"/>
              </w:rPr>
            </w:pPr>
            <w:r>
              <w:rPr>
                <w:lang w:eastAsia="en-SG"/>
              </w:rPr>
              <w:t xml:space="preserve">You typically do not migrate everything and you may use the migration as opportunity to regroup. For example, you may move from </w:t>
            </w:r>
            <w:r w:rsidRPr="00A85ABA">
              <w:rPr>
                <w:color w:val="00B0F0"/>
                <w:lang w:eastAsia="en-SG"/>
              </w:rPr>
              <w:t xml:space="preserve">per department </w:t>
            </w:r>
            <w:r>
              <w:rPr>
                <w:lang w:eastAsia="en-SG"/>
              </w:rPr>
              <w:t xml:space="preserve">to </w:t>
            </w:r>
            <w:r w:rsidRPr="00A85ABA">
              <w:rPr>
                <w:color w:val="00B0F0"/>
                <w:lang w:eastAsia="en-SG"/>
              </w:rPr>
              <w:t>per class of service</w:t>
            </w:r>
            <w:r>
              <w:rPr>
                <w:lang w:eastAsia="en-SG"/>
              </w:rPr>
              <w:t xml:space="preserve">, as your IT business changes from </w:t>
            </w:r>
            <w:r w:rsidRPr="00A85ABA">
              <w:rPr>
                <w:color w:val="00B0F0"/>
                <w:lang w:eastAsia="en-SG"/>
              </w:rPr>
              <w:t xml:space="preserve">System Builder </w:t>
            </w:r>
            <w:r>
              <w:rPr>
                <w:lang w:eastAsia="en-SG"/>
              </w:rPr>
              <w:t xml:space="preserve">to </w:t>
            </w:r>
            <w:r w:rsidRPr="00A85ABA">
              <w:rPr>
                <w:color w:val="00B0F0"/>
                <w:lang w:eastAsia="en-SG"/>
              </w:rPr>
              <w:t>Service Provider</w:t>
            </w:r>
            <w:r>
              <w:rPr>
                <w:lang w:eastAsia="en-SG"/>
              </w:rPr>
              <w:t>.</w:t>
            </w:r>
          </w:p>
        </w:tc>
      </w:tr>
    </w:tbl>
    <w:p w14:paraId="67758B35" w14:textId="49337C34" w:rsidR="00F81E59" w:rsidRDefault="002D1463" w:rsidP="004B77ED">
      <w:pPr>
        <w:pStyle w:val="Heading6"/>
        <w:rPr>
          <w:lang w:eastAsia="en-SG"/>
        </w:rPr>
      </w:pPr>
      <w:r>
        <w:rPr>
          <w:lang w:eastAsia="en-SG"/>
        </w:rPr>
        <w:t>Migration Group</w:t>
      </w:r>
    </w:p>
    <w:p w14:paraId="1FF420DB" w14:textId="0213CC99" w:rsidR="003660D8" w:rsidRDefault="002D1463" w:rsidP="002D1463">
      <w:r>
        <w:t xml:space="preserve">What happens when your consolidation is not </w:t>
      </w:r>
      <w:r w:rsidR="00BB1BC8">
        <w:rPr>
          <w:color w:val="00B0F0"/>
        </w:rPr>
        <w:t>One</w:t>
      </w:r>
      <w:r w:rsidRPr="00B56894">
        <w:rPr>
          <w:color w:val="00B0F0"/>
        </w:rPr>
        <w:t xml:space="preserve"> </w:t>
      </w:r>
      <w:r w:rsidR="007E09D5">
        <w:rPr>
          <w:color w:val="00B0F0"/>
        </w:rPr>
        <w:t>to</w:t>
      </w:r>
      <w:r w:rsidRPr="00B56894">
        <w:rPr>
          <w:color w:val="00B0F0"/>
        </w:rPr>
        <w:t xml:space="preserve"> One</w:t>
      </w:r>
      <w:r>
        <w:t xml:space="preserve">, but </w:t>
      </w:r>
      <w:r w:rsidRPr="00B56894">
        <w:rPr>
          <w:color w:val="00B0F0"/>
        </w:rPr>
        <w:t>Many to Many</w:t>
      </w:r>
      <w:r>
        <w:t xml:space="preserve">? </w:t>
      </w:r>
    </w:p>
    <w:p w14:paraId="38B70328" w14:textId="0E0780BA" w:rsidR="002D1463" w:rsidRDefault="002D1463" w:rsidP="002D1463">
      <w:r>
        <w:t xml:space="preserve">For example, you </w:t>
      </w:r>
      <w:r w:rsidR="003660D8">
        <w:t xml:space="preserve">are </w:t>
      </w:r>
      <w:r>
        <w:t>consolidating from 4</w:t>
      </w:r>
      <w:r w:rsidR="008D1E80">
        <w:t>7</w:t>
      </w:r>
      <w:r>
        <w:t xml:space="preserve"> clusters to </w:t>
      </w:r>
      <w:r w:rsidR="008D1E80">
        <w:t>19</w:t>
      </w:r>
      <w:r>
        <w:t xml:space="preserve">, but the VMs in </w:t>
      </w:r>
      <w:r w:rsidR="008D1E80">
        <w:t xml:space="preserve">a single </w:t>
      </w:r>
      <w:r>
        <w:t xml:space="preserve">source cluster </w:t>
      </w:r>
      <w:r w:rsidR="008D1E80">
        <w:t xml:space="preserve">will </w:t>
      </w:r>
      <w:r>
        <w:t>end up in multiple destination cluster</w:t>
      </w:r>
      <w:r w:rsidR="003660D8">
        <w:t>s.</w:t>
      </w:r>
      <w:r>
        <w:t xml:space="preserve"> </w:t>
      </w:r>
      <w:r w:rsidR="000D6714">
        <w:t xml:space="preserve">The following examples shows </w:t>
      </w:r>
      <w:r w:rsidR="003B25BF">
        <w:t>5 old clusters being</w:t>
      </w:r>
      <w:r w:rsidR="0000470D">
        <w:t xml:space="preserve"> consolidated into 3 new clusters. However, the VMs are being reclassified.</w:t>
      </w:r>
    </w:p>
    <w:p w14:paraId="436F74CB" w14:textId="20D7C018" w:rsidR="00E310F8" w:rsidRDefault="003B25BF" w:rsidP="00BC4DCC">
      <w:pPr>
        <w:jc w:val="center"/>
      </w:pPr>
      <w:r w:rsidRPr="003B25BF">
        <w:rPr>
          <w:noProof/>
        </w:rPr>
        <w:lastRenderedPageBreak/>
        <w:drawing>
          <wp:inline distT="0" distB="0" distL="0" distR="0" wp14:anchorId="0FF10D52" wp14:editId="2D98C9E6">
            <wp:extent cx="3549832" cy="1492327"/>
            <wp:effectExtent l="0" t="0" r="0" b="0"/>
            <wp:docPr id="1039" name="Picture 1039"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9" name="Picture 1039" descr="A screenshot of a computer&#10;&#10;Description automatically generated with low confidence"/>
                    <pic:cNvPicPr/>
                  </pic:nvPicPr>
                  <pic:blipFill>
                    <a:blip r:embed="rId184"/>
                    <a:stretch>
                      <a:fillRect/>
                    </a:stretch>
                  </pic:blipFill>
                  <pic:spPr>
                    <a:xfrm>
                      <a:off x="0" y="0"/>
                      <a:ext cx="3549832" cy="1492327"/>
                    </a:xfrm>
                    <a:prstGeom prst="rect">
                      <a:avLst/>
                    </a:prstGeom>
                  </pic:spPr>
                </pic:pic>
              </a:graphicData>
            </a:graphic>
          </wp:inline>
        </w:drawing>
      </w:r>
    </w:p>
    <w:p w14:paraId="6221C2C5" w14:textId="512A475A" w:rsidR="00BD2050" w:rsidRDefault="00BD2050" w:rsidP="00BD2050">
      <w:r>
        <w:t xml:space="preserve">This is more challenging as each VM can potentially have </w:t>
      </w:r>
      <w:r w:rsidR="009A1A63">
        <w:t xml:space="preserve">itw </w:t>
      </w:r>
      <w:r>
        <w:t xml:space="preserve">own usage pattern. </w:t>
      </w:r>
    </w:p>
    <w:p w14:paraId="4439DD4D" w14:textId="77777777" w:rsidR="00BD2050" w:rsidRDefault="00BD2050" w:rsidP="00BD2050">
      <w:r>
        <w:t xml:space="preserve">Take for example, you have 500 VM in a cluster, but you only need to migrate 100 of them. </w:t>
      </w:r>
    </w:p>
    <w:p w14:paraId="7AEBB5BA" w14:textId="77777777" w:rsidR="00BD2050" w:rsidRDefault="00BD2050" w:rsidP="00BD2050">
      <w:r>
        <w:t>Do you take the individual utilization one by one, estimate the size for that VM, repeat for each VM, and finally simply sum all the VMs up?</w:t>
      </w:r>
    </w:p>
    <w:p w14:paraId="3FA789D8" w14:textId="77777777" w:rsidR="00BD2050" w:rsidRDefault="00BD2050" w:rsidP="00BD2050">
      <w:r>
        <w:t xml:space="preserve">You can’t do that as they may peak at different time. </w:t>
      </w:r>
    </w:p>
    <w:p w14:paraId="44AC52E0" w14:textId="75EF0FBD" w:rsidR="00EF5C35" w:rsidRDefault="00BD2050" w:rsidP="00EF5C35">
      <w:pPr>
        <w:rPr>
          <w:lang w:eastAsia="en-SG"/>
        </w:rPr>
      </w:pPr>
      <w:r>
        <w:t xml:space="preserve">This makes the sizing process cumbersome as you must create group. 1 group for each destination cluster. </w:t>
      </w:r>
      <w:r w:rsidR="00EF5C35">
        <w:rPr>
          <w:lang w:eastAsia="en-SG"/>
        </w:rPr>
        <w:t xml:space="preserve">If you have 30 destination clusters, you need 30 groups. </w:t>
      </w:r>
      <w:r w:rsidR="00BB1BC8">
        <w:t xml:space="preserve">This </w:t>
      </w:r>
      <w:r w:rsidR="00BB1BC8" w:rsidRPr="0000470D">
        <w:rPr>
          <w:color w:val="00B0F0"/>
        </w:rPr>
        <w:t>migration group</w:t>
      </w:r>
      <w:r w:rsidR="00BB1BC8">
        <w:rPr>
          <w:color w:val="00B0F0"/>
        </w:rPr>
        <w:t>s</w:t>
      </w:r>
      <w:r w:rsidR="00BB1BC8" w:rsidRPr="0000470D">
        <w:rPr>
          <w:color w:val="00B0F0"/>
        </w:rPr>
        <w:t xml:space="preserve"> </w:t>
      </w:r>
      <w:r w:rsidR="00BB1BC8">
        <w:t xml:space="preserve">become a central piece of your migration monitoring and sizing. </w:t>
      </w:r>
      <w:r w:rsidR="00EF5C35">
        <w:rPr>
          <w:lang w:eastAsia="en-SG"/>
        </w:rPr>
        <w:t>They form a pair of “</w:t>
      </w:r>
      <w:r w:rsidR="00EF5C35" w:rsidRPr="00487192">
        <w:rPr>
          <w:color w:val="00B0F0"/>
          <w:lang w:eastAsia="en-SG"/>
        </w:rPr>
        <w:t>Before</w:t>
      </w:r>
      <w:r w:rsidR="00EF5C35">
        <w:rPr>
          <w:lang w:eastAsia="en-SG"/>
        </w:rPr>
        <w:t>” and “</w:t>
      </w:r>
      <w:r w:rsidR="00EF5C35" w:rsidRPr="00487192">
        <w:rPr>
          <w:color w:val="00B0F0"/>
          <w:lang w:eastAsia="en-SG"/>
        </w:rPr>
        <w:t>After</w:t>
      </w:r>
      <w:r w:rsidR="00EF5C35">
        <w:rPr>
          <w:lang w:eastAsia="en-SG"/>
        </w:rPr>
        <w:t>”. The group should consist of just VMs because that’s what you’re migrating. As a bonus, these groups help you in tracking and adjusting later on</w:t>
      </w:r>
      <w:r w:rsidR="006E5E06">
        <w:rPr>
          <w:lang w:eastAsia="en-SG"/>
        </w:rPr>
        <w:t xml:space="preserve"> in the project</w:t>
      </w:r>
      <w:r w:rsidR="00EF5C35">
        <w:rPr>
          <w:lang w:eastAsia="en-SG"/>
        </w:rPr>
        <w:t xml:space="preserve">. As you migrate a VM, remove it from this group. </w:t>
      </w:r>
    </w:p>
    <w:p w14:paraId="4B4D4632" w14:textId="3AD16D25" w:rsidR="00935B39" w:rsidRDefault="00935B39" w:rsidP="00EF5C35">
      <w:pPr>
        <w:rPr>
          <w:lang w:eastAsia="en-SG"/>
        </w:rPr>
      </w:pPr>
      <w:r>
        <w:rPr>
          <w:lang w:eastAsia="en-SG"/>
        </w:rPr>
        <w:t xml:space="preserve">The main limitation of the migration group is it has no historical data. The data starts from the time the group is created. </w:t>
      </w:r>
      <w:r w:rsidR="008C73D8">
        <w:rPr>
          <w:lang w:eastAsia="en-SG"/>
        </w:rPr>
        <w:t xml:space="preserve">To see the past, use super metric preview as a workaround. </w:t>
      </w:r>
    </w:p>
    <w:p w14:paraId="19600541" w14:textId="411791A5" w:rsidR="00BD2050" w:rsidRDefault="00231070" w:rsidP="00C0070B">
      <w:pPr>
        <w:pStyle w:val="Heading6"/>
      </w:pPr>
      <w:r>
        <w:t>Rolling Up</w:t>
      </w:r>
    </w:p>
    <w:p w14:paraId="2538FFB4" w14:textId="15CE4D79" w:rsidR="00EF1629" w:rsidRDefault="00AB3A69" w:rsidP="0046023E">
      <w:pPr>
        <w:rPr>
          <w:lang w:val="en-GB"/>
        </w:rPr>
      </w:pPr>
      <w:r>
        <w:rPr>
          <w:lang w:val="en-GB"/>
        </w:rPr>
        <w:t xml:space="preserve">As part </w:t>
      </w:r>
      <w:r w:rsidR="00831ED7">
        <w:rPr>
          <w:lang w:val="en-GB"/>
        </w:rPr>
        <w:t xml:space="preserve">your overall planning, you need a total number. How do you prevent this number from being </w:t>
      </w:r>
      <w:r w:rsidR="00C96A57">
        <w:rPr>
          <w:lang w:val="en-GB"/>
        </w:rPr>
        <w:t>inaccurate?</w:t>
      </w:r>
    </w:p>
    <w:p w14:paraId="267ECC09" w14:textId="1C6BA948" w:rsidR="0034583D" w:rsidRDefault="0034583D" w:rsidP="0046023E">
      <w:pPr>
        <w:rPr>
          <w:lang w:val="en-GB"/>
        </w:rPr>
      </w:pPr>
      <w:r>
        <w:rPr>
          <w:lang w:val="en-GB"/>
        </w:rPr>
        <w:t>The answer is you cannot.</w:t>
      </w:r>
    </w:p>
    <w:p w14:paraId="6949F330" w14:textId="448650C8" w:rsidR="002E607E" w:rsidRDefault="005945DB" w:rsidP="0046023E">
      <w:pPr>
        <w:rPr>
          <w:lang w:val="en-GB"/>
        </w:rPr>
      </w:pPr>
      <w:r>
        <w:rPr>
          <w:lang w:val="en-GB"/>
        </w:rPr>
        <w:t xml:space="preserve">Take for example, 2 clusters. </w:t>
      </w:r>
      <w:r w:rsidR="00AA25DF">
        <w:rPr>
          <w:lang w:val="en-GB"/>
        </w:rPr>
        <w:t>They have highly cyclical workload</w:t>
      </w:r>
      <w:r w:rsidR="00227F37">
        <w:rPr>
          <w:lang w:val="en-GB"/>
        </w:rPr>
        <w:t xml:space="preserve">, which goes up to 90% and down to 10%. </w:t>
      </w:r>
      <w:r>
        <w:rPr>
          <w:lang w:val="en-GB"/>
        </w:rPr>
        <w:t xml:space="preserve">Their workload </w:t>
      </w:r>
      <w:r w:rsidR="006E641F">
        <w:rPr>
          <w:lang w:val="en-GB"/>
        </w:rPr>
        <w:t xml:space="preserve">pattern </w:t>
      </w:r>
      <w:r>
        <w:rPr>
          <w:lang w:val="en-GB"/>
        </w:rPr>
        <w:t xml:space="preserve">happens to be </w:t>
      </w:r>
      <w:r w:rsidR="006E641F">
        <w:rPr>
          <w:lang w:val="en-GB"/>
        </w:rPr>
        <w:t xml:space="preserve">complimentary. When Cluster 1 is highly utilized, Cluster 2 is lowly utilization. </w:t>
      </w:r>
      <w:r w:rsidR="00575E8D">
        <w:rPr>
          <w:lang w:val="en-GB"/>
        </w:rPr>
        <w:t xml:space="preserve">If you combine them, you get a flat line utilization. </w:t>
      </w:r>
    </w:p>
    <w:p w14:paraId="7886845E" w14:textId="71977D87" w:rsidR="009606A9" w:rsidRDefault="009606A9" w:rsidP="0046023E">
      <w:pPr>
        <w:rPr>
          <w:lang w:val="en-GB"/>
        </w:rPr>
      </w:pPr>
      <w:r>
        <w:rPr>
          <w:lang w:val="en-GB"/>
        </w:rPr>
        <w:t>Each cluster has 10 hosts. But because their workload do not overlap, when you combine, the total utilization is only 11 hosts</w:t>
      </w:r>
      <w:r w:rsidR="00AA25DF">
        <w:rPr>
          <w:lang w:val="en-GB"/>
        </w:rPr>
        <w:t xml:space="preserve">, not 20 hosts. </w:t>
      </w:r>
    </w:p>
    <w:p w14:paraId="08906F0B" w14:textId="65E482D6" w:rsidR="00586BD8" w:rsidRDefault="00586BD8" w:rsidP="0046023E">
      <w:pPr>
        <w:rPr>
          <w:lang w:val="en-GB"/>
        </w:rPr>
      </w:pPr>
      <w:r>
        <w:rPr>
          <w:lang w:val="en-GB"/>
        </w:rPr>
        <w:t xml:space="preserve">So what is your sizing requirement at vCenter level? </w:t>
      </w:r>
    </w:p>
    <w:p w14:paraId="0A7C2CC7" w14:textId="29A41582" w:rsidR="00586BD8" w:rsidRDefault="00586BD8" w:rsidP="0046023E">
      <w:pPr>
        <w:rPr>
          <w:lang w:val="en-GB"/>
        </w:rPr>
      </w:pPr>
      <w:r>
        <w:rPr>
          <w:lang w:val="en-GB"/>
        </w:rPr>
        <w:t>11 hosts or 20 hosts?</w:t>
      </w:r>
    </w:p>
    <w:p w14:paraId="0C38345B" w14:textId="123EF033" w:rsidR="009606A9" w:rsidRDefault="00C96CBB" w:rsidP="0046023E">
      <w:pPr>
        <w:rPr>
          <w:lang w:val="en-GB"/>
        </w:rPr>
      </w:pPr>
      <w:r>
        <w:rPr>
          <w:lang w:val="en-GB"/>
        </w:rPr>
        <w:t xml:space="preserve">The answer </w:t>
      </w:r>
      <w:r w:rsidR="00E90555">
        <w:rPr>
          <w:lang w:val="en-GB"/>
        </w:rPr>
        <w:t>depends on</w:t>
      </w:r>
      <w:r>
        <w:rPr>
          <w:lang w:val="en-GB"/>
        </w:rPr>
        <w:t xml:space="preserve"> whether you </w:t>
      </w:r>
      <w:r w:rsidR="00153928">
        <w:rPr>
          <w:lang w:val="en-GB"/>
        </w:rPr>
        <w:t>plan to combine</w:t>
      </w:r>
      <w:r>
        <w:rPr>
          <w:lang w:val="en-GB"/>
        </w:rPr>
        <w:t xml:space="preserve"> them </w:t>
      </w:r>
      <w:r w:rsidR="00153928">
        <w:rPr>
          <w:lang w:val="en-GB"/>
        </w:rPr>
        <w:t xml:space="preserve">or not in the destination cluster. That’s why </w:t>
      </w:r>
      <w:r w:rsidR="00E90555">
        <w:rPr>
          <w:lang w:val="en-GB"/>
        </w:rPr>
        <w:t xml:space="preserve">you need to begin with the end in mind. </w:t>
      </w:r>
      <w:r w:rsidR="00A95A99">
        <w:rPr>
          <w:lang w:val="en-GB"/>
        </w:rPr>
        <w:t xml:space="preserve">If you plan to combine, the answer is 11. If not, the answer is 20. Big difference. </w:t>
      </w:r>
    </w:p>
    <w:p w14:paraId="403BC0F7" w14:textId="6E13BC39" w:rsidR="008F4C52" w:rsidRDefault="008F4C52" w:rsidP="00BD2050">
      <w:r>
        <w:t>What if you do not know yet?</w:t>
      </w:r>
    </w:p>
    <w:p w14:paraId="71BAFDF8" w14:textId="41D5C036" w:rsidR="006404DF" w:rsidRDefault="006404DF" w:rsidP="00BD2050">
      <w:r>
        <w:t xml:space="preserve">That means you have 2 numbers, serving as </w:t>
      </w:r>
      <w:r w:rsidR="003C4527">
        <w:t>rough estimate of the minimum and maximum.</w:t>
      </w:r>
    </w:p>
    <w:p w14:paraId="5220561F" w14:textId="37CE522A" w:rsidR="0023510F" w:rsidRDefault="0023510F" w:rsidP="00BD2050">
      <w:r>
        <w:t xml:space="preserve">Use these numbers as the guide. As you migrate, you adjust </w:t>
      </w:r>
      <w:r w:rsidR="00496370">
        <w:t xml:space="preserve">your sizing. </w:t>
      </w:r>
    </w:p>
    <w:p w14:paraId="21F04303" w14:textId="77777777" w:rsidR="00C0070B" w:rsidRDefault="00C0070B" w:rsidP="00C0070B">
      <w:pPr>
        <w:pStyle w:val="Heading4"/>
      </w:pPr>
      <w:bookmarkStart w:id="41" w:name="_Configuration_Management_1"/>
      <w:bookmarkEnd w:id="41"/>
      <w:r>
        <w:lastRenderedPageBreak/>
        <w:t>Reporting</w:t>
      </w:r>
    </w:p>
    <w:p w14:paraId="19478C7B" w14:textId="77777777" w:rsidR="00C0070B" w:rsidRPr="00A452F2" w:rsidRDefault="00C0070B" w:rsidP="00C0070B">
      <w:pPr>
        <w:rPr>
          <w:lang w:val="en-GB" w:eastAsia="en-SG"/>
        </w:rPr>
      </w:pPr>
      <w:r w:rsidRPr="00A452F2">
        <w:rPr>
          <w:lang w:val="en-GB"/>
        </w:rPr>
        <w:t xml:space="preserve">When you are migrating your customers workload to another infrastructure, the onus is on you to prove that </w:t>
      </w:r>
      <w:r>
        <w:rPr>
          <w:lang w:val="en-GB"/>
        </w:rPr>
        <w:t>you are</w:t>
      </w:r>
      <w:r w:rsidRPr="00A452F2">
        <w:rPr>
          <w:lang w:val="en-GB"/>
        </w:rPr>
        <w:t xml:space="preserve"> not causing problems to the VMs or Applications. This is especially true if it’s your idea to migrate, and </w:t>
      </w:r>
      <w:r>
        <w:rPr>
          <w:lang w:val="en-GB"/>
        </w:rPr>
        <w:t>you are</w:t>
      </w:r>
      <w:r w:rsidRPr="00A452F2">
        <w:rPr>
          <w:lang w:val="en-GB"/>
        </w:rPr>
        <w:t xml:space="preserve"> not giving them a choice.</w:t>
      </w:r>
    </w:p>
    <w:p w14:paraId="68E4FB9C" w14:textId="3509CEC6" w:rsidR="00C0070B" w:rsidRDefault="00C0070B" w:rsidP="00C0070B">
      <w:pPr>
        <w:rPr>
          <w:lang w:eastAsia="en-SG"/>
        </w:rPr>
      </w:pPr>
      <w:r>
        <w:rPr>
          <w:lang w:val="en-GB"/>
        </w:rPr>
        <w:t xml:space="preserve">To you as infrastructure team, the migration is a capacity exercise. To your customer the application team, they care more about their VM availability, performance and security. This means you need to quantify the </w:t>
      </w:r>
      <w:r>
        <w:rPr>
          <w:lang w:eastAsia="en-SG"/>
        </w:rPr>
        <w:t>“</w:t>
      </w:r>
      <w:r w:rsidRPr="00487192">
        <w:rPr>
          <w:color w:val="00B0F0"/>
          <w:lang w:eastAsia="en-SG"/>
        </w:rPr>
        <w:t>Before</w:t>
      </w:r>
      <w:r>
        <w:rPr>
          <w:lang w:eastAsia="en-SG"/>
        </w:rPr>
        <w:t>” and “</w:t>
      </w:r>
      <w:r w:rsidRPr="00487192">
        <w:rPr>
          <w:color w:val="00B0F0"/>
          <w:lang w:eastAsia="en-SG"/>
        </w:rPr>
        <w:t>After</w:t>
      </w:r>
      <w:r>
        <w:rPr>
          <w:lang w:eastAsia="en-SG"/>
        </w:rPr>
        <w:t>” to avoid misunderstanding</w:t>
      </w:r>
      <w:r w:rsidR="00BB1BC8">
        <w:rPr>
          <w:lang w:eastAsia="en-SG"/>
        </w:rPr>
        <w:t xml:space="preserve"> at the VM level. If you have 1000 VM, you need to do 1000 comparison</w:t>
      </w:r>
      <w:r w:rsidR="008D1E80">
        <w:rPr>
          <w:lang w:eastAsia="en-SG"/>
        </w:rPr>
        <w:t xml:space="preserve">s. </w:t>
      </w:r>
    </w:p>
    <w:p w14:paraId="339580F7" w14:textId="77777777" w:rsidR="00C0070B" w:rsidRDefault="00C0070B" w:rsidP="00C0070B">
      <w:pPr>
        <w:rPr>
          <w:lang w:val="en-GB"/>
        </w:rPr>
      </w:pPr>
      <w:r>
        <w:rPr>
          <w:lang w:val="en-GB"/>
        </w:rPr>
        <w:t xml:space="preserve">This </w:t>
      </w:r>
      <w:r w:rsidRPr="00D50D6E">
        <w:rPr>
          <w:lang w:val="en-GB"/>
        </w:rPr>
        <w:t>comparison cannot be done immediately after a VM is migrated.</w:t>
      </w:r>
      <w:r>
        <w:rPr>
          <w:lang w:val="en-GB"/>
        </w:rPr>
        <w:t xml:space="preserve"> It needs to consider a longer timeline, such as 1 week, for a more complete comparison. </w:t>
      </w:r>
    </w:p>
    <w:p w14:paraId="09814FC9" w14:textId="77777777" w:rsidR="00C0070B" w:rsidRDefault="00C0070B" w:rsidP="00C0070B">
      <w:pPr>
        <w:rPr>
          <w:lang w:val="en-GB"/>
        </w:rPr>
      </w:pPr>
      <w:r>
        <w:rPr>
          <w:lang w:val="en-GB"/>
        </w:rPr>
        <w:t>On the other hand, you do not and cannot make the post-migration comparison too long. Compare 3 months of before against 1 week of after.</w:t>
      </w:r>
    </w:p>
    <w:p w14:paraId="01F7E95E" w14:textId="0003E87C" w:rsidR="00AF220E" w:rsidRDefault="00AF220E" w:rsidP="00C0070B">
      <w:pPr>
        <w:rPr>
          <w:lang w:val="en-GB"/>
        </w:rPr>
      </w:pPr>
      <w:r w:rsidRPr="00AF220E">
        <w:rPr>
          <w:noProof/>
          <w:lang w:val="en-GB"/>
        </w:rPr>
        <w:drawing>
          <wp:inline distT="0" distB="0" distL="0" distR="0" wp14:anchorId="30FA7CD1" wp14:editId="7B4C44E9">
            <wp:extent cx="6645910" cy="1620520"/>
            <wp:effectExtent l="0" t="0" r="2540" b="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645910" cy="1620520"/>
                    </a:xfrm>
                    <a:prstGeom prst="rect">
                      <a:avLst/>
                    </a:prstGeom>
                  </pic:spPr>
                </pic:pic>
              </a:graphicData>
            </a:graphic>
          </wp:inline>
        </w:drawing>
      </w:r>
    </w:p>
    <w:p w14:paraId="40DE9382" w14:textId="5EC9E235" w:rsidR="00C0070B" w:rsidRDefault="00C0070B" w:rsidP="00C0070B">
      <w:pPr>
        <w:rPr>
          <w:lang w:val="en-GB"/>
        </w:rPr>
      </w:pPr>
      <w:r>
        <w:rPr>
          <w:lang w:val="en-GB"/>
        </w:rPr>
        <w:t>How do you report that the migration does not result in availability, performance and security degradation? If you promise improvement, how do you quantify that?</w:t>
      </w:r>
    </w:p>
    <w:p w14:paraId="35CDB2A0" w14:textId="77777777" w:rsidR="00C0070B" w:rsidRDefault="00C0070B" w:rsidP="00C0070B">
      <w:pPr>
        <w:pStyle w:val="BeforeTable"/>
        <w:rPr>
          <w:lang w:val="en-GB"/>
        </w:rPr>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122"/>
        <w:gridCol w:w="8334"/>
      </w:tblGrid>
      <w:tr w:rsidR="00C0070B" w:rsidRPr="00E51A31" w14:paraId="45289E88" w14:textId="77777777" w:rsidTr="00E440AB">
        <w:tc>
          <w:tcPr>
            <w:cnfStyle w:val="001000000000" w:firstRow="0" w:lastRow="0" w:firstColumn="1" w:lastColumn="0" w:oddVBand="0" w:evenVBand="0" w:oddHBand="0" w:evenHBand="0" w:firstRowFirstColumn="0" w:firstRowLastColumn="0" w:lastRowFirstColumn="0" w:lastRowLastColumn="0"/>
            <w:tcW w:w="2122" w:type="dxa"/>
            <w:shd w:val="clear" w:color="auto" w:fill="F2F2F2" w:themeFill="background1" w:themeFillShade="F2"/>
          </w:tcPr>
          <w:p w14:paraId="2F4A7A25" w14:textId="65DFF156" w:rsidR="00C0070B" w:rsidRPr="00571E6C" w:rsidRDefault="006E1EE4" w:rsidP="00E440AB">
            <w:pPr>
              <w:pStyle w:val="Tablecontent"/>
            </w:pPr>
            <w:r>
              <w:t>Consumption</w:t>
            </w:r>
          </w:p>
        </w:tc>
        <w:tc>
          <w:tcPr>
            <w:tcW w:w="8334" w:type="dxa"/>
          </w:tcPr>
          <w:p w14:paraId="573CA4FF" w14:textId="77777777" w:rsidR="00C0070B" w:rsidRDefault="00C0070B" w:rsidP="00E440AB">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First, you prove that the VM is not doing less work. That means CPU utilization, Disk IOPS and Network Throughput. </w:t>
            </w:r>
          </w:p>
          <w:p w14:paraId="4C92B662" w14:textId="72D822B1" w:rsidR="00C0070B" w:rsidRDefault="00C0070B" w:rsidP="00E440AB">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Expect the numbers </w:t>
            </w:r>
            <w:r w:rsidRPr="008D1E80">
              <w:rPr>
                <w:color w:val="00B0F0"/>
                <w:lang w:val="en-GB"/>
              </w:rPr>
              <w:t xml:space="preserve">not </w:t>
            </w:r>
            <w:r>
              <w:rPr>
                <w:lang w:val="en-GB"/>
              </w:rPr>
              <w:t>to drop.</w:t>
            </w:r>
            <w:r w:rsidR="00AF220E">
              <w:rPr>
                <w:lang w:val="en-GB"/>
              </w:rPr>
              <w:t xml:space="preserve"> </w:t>
            </w:r>
          </w:p>
          <w:p w14:paraId="68B7CCDF" w14:textId="64F4F7E8" w:rsidR="00AF220E" w:rsidRDefault="00AF220E" w:rsidP="00E440AB">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We cannot combine these counters as they can’t be standardized into 0 – 100%. </w:t>
            </w:r>
          </w:p>
          <w:p w14:paraId="336BAF16" w14:textId="77777777" w:rsidR="00C0070B" w:rsidRPr="009D0269" w:rsidRDefault="00C0070B" w:rsidP="00E440AB">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Why is memory not included? Memory is basically disk space and it’s a form of cache. The memory counter at VM level is irrelevant, and the memory counter at Guest OS level is not within your control. </w:t>
            </w:r>
          </w:p>
        </w:tc>
      </w:tr>
      <w:tr w:rsidR="00C0070B" w:rsidRPr="00E51A31" w14:paraId="042FAED6" w14:textId="77777777" w:rsidTr="00E440AB">
        <w:tc>
          <w:tcPr>
            <w:cnfStyle w:val="001000000000" w:firstRow="0" w:lastRow="0" w:firstColumn="1" w:lastColumn="0" w:oddVBand="0" w:evenVBand="0" w:oddHBand="0" w:evenHBand="0" w:firstRowFirstColumn="0" w:firstRowLastColumn="0" w:lastRowFirstColumn="0" w:lastRowLastColumn="0"/>
            <w:tcW w:w="2122" w:type="dxa"/>
            <w:shd w:val="clear" w:color="auto" w:fill="F2F2F2" w:themeFill="background1" w:themeFillShade="F2"/>
          </w:tcPr>
          <w:p w14:paraId="4256A272" w14:textId="77777777" w:rsidR="00C0070B" w:rsidRPr="00571E6C" w:rsidRDefault="00C0070B" w:rsidP="00E440AB">
            <w:pPr>
              <w:pStyle w:val="Tablecontent"/>
            </w:pPr>
            <w:r>
              <w:t>Contention</w:t>
            </w:r>
          </w:p>
        </w:tc>
        <w:tc>
          <w:tcPr>
            <w:tcW w:w="8334" w:type="dxa"/>
          </w:tcPr>
          <w:p w14:paraId="10A2BD7E" w14:textId="77777777" w:rsidR="00C0070B" w:rsidRDefault="00C0070B" w:rsidP="00E440AB">
            <w:pPr>
              <w:pStyle w:val="Tablecontent"/>
              <w:cnfStyle w:val="000000000000" w:firstRow="0" w:lastRow="0" w:firstColumn="0" w:lastColumn="0" w:oddVBand="0" w:evenVBand="0" w:oddHBand="0" w:evenHBand="0" w:firstRowFirstColumn="0" w:firstRowLastColumn="0" w:lastRowFirstColumn="0" w:lastRowLastColumn="0"/>
            </w:pPr>
            <w:r>
              <w:t>Second, you prove that your IaaS is serving the VM well. That means CPU Ready, Memory Contention, Disk Latency and Network Dropped Transmitted Packet.</w:t>
            </w:r>
          </w:p>
          <w:p w14:paraId="4E4C4897" w14:textId="77777777" w:rsidR="00C0070B" w:rsidRDefault="00C0070B" w:rsidP="00E440AB">
            <w:pPr>
              <w:pStyle w:val="Tablecontent"/>
              <w:cnfStyle w:val="000000000000" w:firstRow="0" w:lastRow="0" w:firstColumn="0" w:lastColumn="0" w:oddVBand="0" w:evenVBand="0" w:oddHBand="0" w:evenHBand="0" w:firstRowFirstColumn="0" w:firstRowLastColumn="0" w:lastRowFirstColumn="0" w:lastRowLastColumn="0"/>
            </w:pPr>
            <w:r>
              <w:t>Plot the contention number using the 20-second peak counter.</w:t>
            </w:r>
          </w:p>
          <w:p w14:paraId="5F899D13" w14:textId="77777777" w:rsidR="00C0070B" w:rsidRDefault="00C0070B" w:rsidP="00E440AB">
            <w:pPr>
              <w:pStyle w:val="Tablecontent"/>
              <w:cnfStyle w:val="000000000000" w:firstRow="0" w:lastRow="0" w:firstColumn="0" w:lastColumn="0" w:oddVBand="0" w:evenVBand="0" w:oddHBand="0" w:evenHBand="0" w:firstRowFirstColumn="0" w:firstRowLastColumn="0" w:lastRowFirstColumn="0" w:lastRowLastColumn="0"/>
            </w:pPr>
            <w:r>
              <w:t>Expect the numbers to drop. If it increases, it remains below the promised SLA.</w:t>
            </w:r>
          </w:p>
          <w:p w14:paraId="3D5BC209" w14:textId="480B312A" w:rsidR="00C0070B" w:rsidRPr="00D11CF5" w:rsidRDefault="00C0070B" w:rsidP="00E440AB">
            <w:pPr>
              <w:pStyle w:val="Tablecontent"/>
              <w:cnfStyle w:val="000000000000" w:firstRow="0" w:lastRow="0" w:firstColumn="0" w:lastColumn="0" w:oddVBand="0" w:evenVBand="0" w:oddHBand="0" w:evenHBand="0" w:firstRowFirstColumn="0" w:firstRowLastColumn="0" w:lastRowFirstColumn="0" w:lastRowLastColumn="0"/>
            </w:pPr>
            <w:r>
              <w:t>If you are responsible for the Guest OS, then you need to show that queues are not higher post migration.</w:t>
            </w:r>
            <w:r w:rsidR="00C849F6">
              <w:t xml:space="preserve"> This is why I recommend to keep the VM size. Let the oversized VM be migrated as it is, and right-size it after migration is signed off.</w:t>
            </w:r>
          </w:p>
        </w:tc>
      </w:tr>
    </w:tbl>
    <w:p w14:paraId="3452F9DF" w14:textId="5A08151B" w:rsidR="00C0070B" w:rsidRDefault="00C0070B" w:rsidP="00C0070B">
      <w:pPr>
        <w:rPr>
          <w:lang w:val="en-GB"/>
        </w:rPr>
      </w:pPr>
      <w:r>
        <w:rPr>
          <w:lang w:val="en-GB"/>
        </w:rPr>
        <w:t>Once you have the above numbers, it’s a matter of plotting them over time</w:t>
      </w:r>
      <w:r w:rsidR="00E4254C">
        <w:rPr>
          <w:lang w:val="en-GB"/>
        </w:rPr>
        <w:t xml:space="preserve">. </w:t>
      </w:r>
    </w:p>
    <w:p w14:paraId="6E48A757" w14:textId="553E39B6" w:rsidR="00C0070B" w:rsidRDefault="00C0070B" w:rsidP="00C0070B">
      <w:pPr>
        <w:rPr>
          <w:lang w:val="en-GB"/>
        </w:rPr>
      </w:pPr>
      <w:r>
        <w:rPr>
          <w:lang w:val="en-GB"/>
        </w:rPr>
        <w:t xml:space="preserve">The above solves it for 1 VM. How to measure for </w:t>
      </w:r>
      <w:r w:rsidR="006E1EE4">
        <w:rPr>
          <w:lang w:val="en-GB"/>
        </w:rPr>
        <w:t>many</w:t>
      </w:r>
      <w:r>
        <w:rPr>
          <w:lang w:val="en-GB"/>
        </w:rPr>
        <w:t xml:space="preserve"> VM</w:t>
      </w:r>
      <w:r w:rsidR="006E1EE4">
        <w:rPr>
          <w:lang w:val="en-GB"/>
        </w:rPr>
        <w:t>s</w:t>
      </w:r>
      <w:r>
        <w:rPr>
          <w:lang w:val="en-GB"/>
        </w:rPr>
        <w:t>?</w:t>
      </w:r>
    </w:p>
    <w:p w14:paraId="2379E6E7" w14:textId="77777777" w:rsidR="00E87108" w:rsidRDefault="006E1EE4" w:rsidP="006E1EE4">
      <w:pPr>
        <w:rPr>
          <w:lang w:val="en-GB"/>
        </w:rPr>
      </w:pPr>
      <w:r>
        <w:rPr>
          <w:lang w:val="en-GB"/>
        </w:rPr>
        <w:t>As usual, y</w:t>
      </w:r>
      <w:r w:rsidR="00C849F6">
        <w:rPr>
          <w:lang w:val="en-GB"/>
        </w:rPr>
        <w:t xml:space="preserve">ou create </w:t>
      </w:r>
      <w:r>
        <w:rPr>
          <w:lang w:val="en-GB"/>
        </w:rPr>
        <w:t>a</w:t>
      </w:r>
      <w:r w:rsidR="00C849F6">
        <w:rPr>
          <w:lang w:val="en-GB"/>
        </w:rPr>
        <w:t xml:space="preserve"> group</w:t>
      </w:r>
      <w:r>
        <w:rPr>
          <w:lang w:val="en-GB"/>
        </w:rPr>
        <w:t xml:space="preserve"> to help manage at scale.</w:t>
      </w:r>
      <w:r w:rsidR="00E87108">
        <w:rPr>
          <w:lang w:val="en-GB"/>
        </w:rPr>
        <w:t xml:space="preserve"> For each migration batch, you create 1 group. So if you plan to migrate over 35 windows, you have to create 35 groups. </w:t>
      </w:r>
    </w:p>
    <w:p w14:paraId="5900D18A" w14:textId="21E62A23" w:rsidR="00E87108" w:rsidRDefault="00E87108" w:rsidP="006E1EE4">
      <w:pPr>
        <w:rPr>
          <w:lang w:val="en-GB"/>
        </w:rPr>
      </w:pPr>
      <w:r>
        <w:rPr>
          <w:lang w:val="en-GB"/>
        </w:rPr>
        <w:lastRenderedPageBreak/>
        <w:t xml:space="preserve">1 migration window should be kept within the day. This makes your </w:t>
      </w:r>
      <w:r w:rsidRPr="00E87108">
        <w:rPr>
          <w:color w:val="00B0F0"/>
          <w:lang w:val="en-GB"/>
        </w:rPr>
        <w:t xml:space="preserve">before </w:t>
      </w:r>
      <w:r>
        <w:rPr>
          <w:lang w:val="en-GB"/>
        </w:rPr>
        <w:t xml:space="preserve">vs </w:t>
      </w:r>
      <w:r w:rsidRPr="00E87108">
        <w:rPr>
          <w:color w:val="00B0F0"/>
          <w:lang w:val="en-GB"/>
        </w:rPr>
        <w:t xml:space="preserve">after </w:t>
      </w:r>
      <w:r>
        <w:rPr>
          <w:lang w:val="en-GB"/>
        </w:rPr>
        <w:t xml:space="preserve">comparison easier. If you’re migrating 3x on Friday night, Saturday night and Sunday night, then it’s 3 migration windows. </w:t>
      </w:r>
    </w:p>
    <w:p w14:paraId="1E9890BD" w14:textId="39160707" w:rsidR="0020060C" w:rsidRDefault="00AF220E" w:rsidP="0020060C">
      <w:pPr>
        <w:pStyle w:val="Heading5"/>
      </w:pPr>
      <w:r>
        <w:t>Migration Groups</w:t>
      </w:r>
    </w:p>
    <w:p w14:paraId="7A45A5F1" w14:textId="1E6FBB39" w:rsidR="00527EAE" w:rsidRDefault="00527EAE" w:rsidP="00527EAE">
      <w:pPr>
        <w:rPr>
          <w:lang w:val="en-GB"/>
        </w:rPr>
      </w:pPr>
      <w:r>
        <w:rPr>
          <w:lang w:val="en-GB"/>
        </w:rPr>
        <w:t>The purpose of the groups is to get a sign off from VM Owner, preferably a bulk sign off if you’re migrating a large number of VMs in one migration window.</w:t>
      </w:r>
    </w:p>
    <w:p w14:paraId="5CFBF5F3" w14:textId="77777777" w:rsidR="00527EAE" w:rsidRDefault="00527EAE" w:rsidP="00527EAE">
      <w:pPr>
        <w:rPr>
          <w:lang w:val="en-GB"/>
        </w:rPr>
      </w:pPr>
      <w:r>
        <w:rPr>
          <w:lang w:val="en-GB"/>
        </w:rPr>
        <w:t>Create 1 group for each batch. Batch means VMs that will be migrated together. Ideally they are from the same owner or they have high dependency.</w:t>
      </w:r>
    </w:p>
    <w:p w14:paraId="49175E97" w14:textId="77777777" w:rsidR="00527EAE" w:rsidRDefault="00527EAE" w:rsidP="00527EAE">
      <w:pPr>
        <w:rPr>
          <w:lang w:val="en-GB"/>
        </w:rPr>
      </w:pPr>
      <w:r>
        <w:rPr>
          <w:lang w:val="en-GB"/>
        </w:rPr>
        <w:t xml:space="preserve">Create the group as early as possible. In this way, you get the longest historical data. This can be useful if there are many VMs with monthly or quarterly workload. </w:t>
      </w:r>
    </w:p>
    <w:p w14:paraId="2094B59A" w14:textId="77777777" w:rsidR="00527EAE" w:rsidRDefault="00527EAE" w:rsidP="00527EAE">
      <w:pPr>
        <w:rPr>
          <w:lang w:val="en-GB"/>
        </w:rPr>
      </w:pPr>
      <w:r>
        <w:rPr>
          <w:lang w:val="en-GB"/>
        </w:rPr>
        <w:t xml:space="preserve">Make sure the group members do not change when comparing </w:t>
      </w:r>
      <w:r w:rsidRPr="00BD2B10">
        <w:rPr>
          <w:color w:val="00B0F0"/>
          <w:lang w:val="en-GB"/>
        </w:rPr>
        <w:t xml:space="preserve">Before </w:t>
      </w:r>
      <w:r>
        <w:rPr>
          <w:lang w:val="en-GB"/>
        </w:rPr>
        <w:t xml:space="preserve">and </w:t>
      </w:r>
      <w:r w:rsidRPr="00BD2B10">
        <w:rPr>
          <w:color w:val="00B0F0"/>
          <w:lang w:val="en-GB"/>
        </w:rPr>
        <w:t>After</w:t>
      </w:r>
      <w:r>
        <w:rPr>
          <w:lang w:val="en-GB"/>
        </w:rPr>
        <w:t>, as it makes comparison invalid. This includes any configuration change at both application and infrastructure level. For example, if after migration the workload increases due to whatever reason, it’s unfair to compare with before migration as it’s no longer apple to apple.</w:t>
      </w:r>
    </w:p>
    <w:p w14:paraId="04079A42" w14:textId="77777777" w:rsidR="00527EAE" w:rsidRDefault="00527EAE" w:rsidP="00527EAE">
      <w:pPr>
        <w:rPr>
          <w:lang w:val="en-GB"/>
        </w:rPr>
      </w:pPr>
      <w:r>
        <w:rPr>
          <w:lang w:val="en-GB"/>
        </w:rPr>
        <w:t>It’s critical that you have deadline to minimize risk of changes. I recommend 1 week as your migration schedule is probably over the weekend. This enables you to move on and focus on the next batch.</w:t>
      </w:r>
    </w:p>
    <w:p w14:paraId="32B58A21" w14:textId="77777777" w:rsidR="00527EAE" w:rsidRDefault="00527EAE" w:rsidP="00527EAE">
      <w:pPr>
        <w:rPr>
          <w:lang w:val="en-GB"/>
        </w:rPr>
      </w:pPr>
      <w:r>
        <w:rPr>
          <w:lang w:val="en-GB"/>
        </w:rPr>
        <w:t xml:space="preserve">Avoid very large group. Keep it below 100 VM. A large group can mask details. For example, a group of 1000 VM can have 50 VM performing worse. If the remaining VMs are performing better, the average number may not reveal that. </w:t>
      </w:r>
    </w:p>
    <w:p w14:paraId="7980D7A5" w14:textId="07BF2E22" w:rsidR="00527EAE" w:rsidRDefault="00527EAE" w:rsidP="00527EAE">
      <w:pPr>
        <w:pStyle w:val="Tablecontent"/>
        <w:rPr>
          <w:lang w:val="en-GB"/>
        </w:rPr>
      </w:pPr>
      <w:r>
        <w:rPr>
          <w:lang w:val="en-GB"/>
        </w:rPr>
        <w:t xml:space="preserve">The group KPI is simply the average of its VM KPIs. Expect this to remain good or improve post migration. </w:t>
      </w:r>
    </w:p>
    <w:p w14:paraId="167582C4" w14:textId="77777777" w:rsidR="00527EAE" w:rsidRDefault="00527EAE" w:rsidP="00527EAE">
      <w:pPr>
        <w:rPr>
          <w:lang w:val="en-GB"/>
        </w:rPr>
      </w:pPr>
      <w:r>
        <w:rPr>
          <w:lang w:val="en-GB"/>
        </w:rPr>
        <w:t>The following screenshot shows the group. Notice the Group Type is Location. That’s the object type used in the super metric.</w:t>
      </w:r>
    </w:p>
    <w:p w14:paraId="35265BD1" w14:textId="77777777" w:rsidR="00527EAE" w:rsidRDefault="00527EAE" w:rsidP="00527EAE">
      <w:pPr>
        <w:rPr>
          <w:lang w:val="en-GB"/>
        </w:rPr>
      </w:pPr>
      <w:r w:rsidRPr="00043D18">
        <w:rPr>
          <w:noProof/>
          <w:lang w:val="en-GB"/>
        </w:rPr>
        <w:drawing>
          <wp:inline distT="0" distB="0" distL="0" distR="0" wp14:anchorId="74305837" wp14:editId="7DB53C8C">
            <wp:extent cx="6645910" cy="2980690"/>
            <wp:effectExtent l="0" t="0" r="254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6645910" cy="2980690"/>
                    </a:xfrm>
                    <a:prstGeom prst="rect">
                      <a:avLst/>
                    </a:prstGeom>
                  </pic:spPr>
                </pic:pic>
              </a:graphicData>
            </a:graphic>
          </wp:inline>
        </w:drawing>
      </w:r>
    </w:p>
    <w:p w14:paraId="1B9D26C3" w14:textId="77777777" w:rsidR="00527EAE" w:rsidRDefault="00527EAE" w:rsidP="00527EAE">
      <w:pPr>
        <w:rPr>
          <w:lang w:val="en-GB"/>
        </w:rPr>
      </w:pPr>
      <w:r>
        <w:rPr>
          <w:lang w:val="en-GB"/>
        </w:rPr>
        <w:t xml:space="preserve">The group needs to have super metrics to summarize the overall performance. </w:t>
      </w:r>
    </w:p>
    <w:p w14:paraId="76E4C567" w14:textId="77777777" w:rsidR="00527EAE" w:rsidRDefault="00527EAE" w:rsidP="00527EAE">
      <w:pPr>
        <w:rPr>
          <w:lang w:val="en-GB"/>
        </w:rPr>
      </w:pPr>
      <w:r>
        <w:rPr>
          <w:lang w:val="en-GB"/>
        </w:rPr>
        <w:t>The following screenshot shows the 2 super metrics used.</w:t>
      </w:r>
    </w:p>
    <w:p w14:paraId="4175F3F5" w14:textId="77777777" w:rsidR="00527EAE" w:rsidRDefault="00527EAE" w:rsidP="00527EAE">
      <w:pPr>
        <w:pStyle w:val="Bullet"/>
        <w:rPr>
          <w:lang w:val="en-GB"/>
        </w:rPr>
      </w:pPr>
      <w:r>
        <w:rPr>
          <w:lang w:val="en-GB"/>
        </w:rPr>
        <w:lastRenderedPageBreak/>
        <w:t>The super metric “</w:t>
      </w:r>
      <w:r w:rsidRPr="002A4417">
        <w:rPr>
          <w:color w:val="00B0F0"/>
          <w:lang w:val="en-GB"/>
        </w:rPr>
        <w:t>Migration Group Performance</w:t>
      </w:r>
      <w:r>
        <w:rPr>
          <w:lang w:val="en-GB"/>
        </w:rPr>
        <w:t>” is simply the average of the “</w:t>
      </w:r>
      <w:r w:rsidRPr="002A4417">
        <w:rPr>
          <w:color w:val="00B0F0"/>
          <w:lang w:val="en-GB"/>
        </w:rPr>
        <w:t>VM Migration KPI</w:t>
      </w:r>
      <w:r>
        <w:rPr>
          <w:lang w:val="en-GB"/>
        </w:rPr>
        <w:t>”. Average is a suitable function as it represents all the members VM in the group.</w:t>
      </w:r>
    </w:p>
    <w:p w14:paraId="651CDB70" w14:textId="77777777" w:rsidR="00527EAE" w:rsidRDefault="00527EAE" w:rsidP="00527EAE">
      <w:pPr>
        <w:pStyle w:val="Bullet"/>
        <w:rPr>
          <w:lang w:val="en-GB"/>
        </w:rPr>
      </w:pPr>
      <w:r>
        <w:rPr>
          <w:lang w:val="en-GB"/>
        </w:rPr>
        <w:t>The super metric “</w:t>
      </w:r>
      <w:r w:rsidRPr="002A4417">
        <w:rPr>
          <w:color w:val="00B0F0"/>
          <w:lang w:val="en-GB"/>
        </w:rPr>
        <w:t>VM Migration KPI</w:t>
      </w:r>
      <w:r>
        <w:rPr>
          <w:lang w:val="en-GB"/>
        </w:rPr>
        <w:t>” takes a subset of the VM KPI metrics. It excludes the utilization metrics as they can create confusion when comparing before and after.</w:t>
      </w:r>
    </w:p>
    <w:p w14:paraId="1F1B44EF" w14:textId="77777777" w:rsidR="00527EAE" w:rsidRDefault="00527EAE" w:rsidP="00527EAE">
      <w:pPr>
        <w:rPr>
          <w:lang w:val="en-GB"/>
        </w:rPr>
      </w:pPr>
      <w:r w:rsidRPr="00C6188E">
        <w:rPr>
          <w:noProof/>
          <w:lang w:val="en-GB"/>
        </w:rPr>
        <w:drawing>
          <wp:inline distT="0" distB="0" distL="0" distR="0" wp14:anchorId="2CE0CFC1" wp14:editId="478EF38F">
            <wp:extent cx="6645910" cy="1802765"/>
            <wp:effectExtent l="0" t="0" r="2540" b="6985"/>
            <wp:docPr id="1971069017" name="Picture 1971069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645910" cy="1802765"/>
                    </a:xfrm>
                    <a:prstGeom prst="rect">
                      <a:avLst/>
                    </a:prstGeom>
                  </pic:spPr>
                </pic:pic>
              </a:graphicData>
            </a:graphic>
          </wp:inline>
        </w:drawing>
      </w:r>
    </w:p>
    <w:p w14:paraId="096CCFB2" w14:textId="4B5055F6" w:rsidR="00527EAE" w:rsidRPr="006E1EE4" w:rsidRDefault="00527EAE" w:rsidP="00527EAE">
      <w:pPr>
        <w:pStyle w:val="Heading5"/>
      </w:pPr>
      <w:r>
        <w:t>Migration KPI</w:t>
      </w:r>
    </w:p>
    <w:p w14:paraId="4F56C524" w14:textId="77777777" w:rsidR="00527EAE" w:rsidRDefault="00527EAE" w:rsidP="00527EAE">
      <w:pPr>
        <w:rPr>
          <w:lang w:val="en-GB"/>
        </w:rPr>
      </w:pPr>
      <w:r>
        <w:rPr>
          <w:lang w:val="en-GB"/>
        </w:rPr>
        <w:t xml:space="preserve">How do you compare the performance of a VM since there are many metrics? One way is to plot multiple line charts per VM. </w:t>
      </w:r>
    </w:p>
    <w:p w14:paraId="4ED5C7D3" w14:textId="77777777" w:rsidR="00527EAE" w:rsidRPr="0027106A" w:rsidRDefault="00527EAE" w:rsidP="00527EAE">
      <w:pPr>
        <w:rPr>
          <w:lang w:val="en-GB"/>
        </w:rPr>
      </w:pPr>
      <w:r>
        <w:rPr>
          <w:lang w:val="en-GB"/>
        </w:rPr>
        <w:t>This is time consuming since there are at least 9 metrics to check:</w:t>
      </w:r>
    </w:p>
    <w:p w14:paraId="3759F25D" w14:textId="77777777" w:rsidR="006E1EE4" w:rsidRPr="0020060C" w:rsidRDefault="006E1EE4" w:rsidP="006E1EE4">
      <w:pPr>
        <w:pStyle w:val="Bullet"/>
        <w:rPr>
          <w:lang w:val="en-GB"/>
        </w:rPr>
      </w:pPr>
      <w:r w:rsidRPr="0020060C">
        <w:rPr>
          <w:lang w:val="en-GB"/>
        </w:rPr>
        <w:t>Guest OS CPU Queue Length</w:t>
      </w:r>
    </w:p>
    <w:p w14:paraId="10B3B6B3" w14:textId="77777777" w:rsidR="006E1EE4" w:rsidRPr="0020060C" w:rsidRDefault="006E1EE4" w:rsidP="006E1EE4">
      <w:pPr>
        <w:pStyle w:val="Bullet"/>
        <w:rPr>
          <w:lang w:val="en-GB"/>
        </w:rPr>
      </w:pPr>
      <w:r w:rsidRPr="0020060C">
        <w:rPr>
          <w:lang w:val="en-GB"/>
        </w:rPr>
        <w:t>Guest OS Disk Queue Length</w:t>
      </w:r>
    </w:p>
    <w:p w14:paraId="5974AD7E" w14:textId="77777777" w:rsidR="006E1EE4" w:rsidRPr="0020060C" w:rsidRDefault="006E1EE4" w:rsidP="006E1EE4">
      <w:pPr>
        <w:pStyle w:val="Bullet"/>
        <w:rPr>
          <w:lang w:val="en-GB"/>
        </w:rPr>
      </w:pPr>
      <w:r w:rsidRPr="0020060C">
        <w:rPr>
          <w:lang w:val="en-GB"/>
        </w:rPr>
        <w:t>Guest OS RAM page-out rate</w:t>
      </w:r>
    </w:p>
    <w:p w14:paraId="6C30AB03" w14:textId="77777777" w:rsidR="006E1EE4" w:rsidRPr="0020060C" w:rsidRDefault="006E1EE4" w:rsidP="006E1EE4">
      <w:pPr>
        <w:pStyle w:val="Bullet"/>
        <w:rPr>
          <w:lang w:val="en-GB"/>
        </w:rPr>
      </w:pPr>
      <w:r w:rsidRPr="0020060C">
        <w:rPr>
          <w:lang w:val="en-GB"/>
        </w:rPr>
        <w:t>VM CPU Co-Stop</w:t>
      </w:r>
    </w:p>
    <w:p w14:paraId="221D960A" w14:textId="77777777" w:rsidR="006E1EE4" w:rsidRPr="0020060C" w:rsidRDefault="006E1EE4" w:rsidP="006E1EE4">
      <w:pPr>
        <w:pStyle w:val="Bullet"/>
        <w:rPr>
          <w:lang w:val="en-GB"/>
        </w:rPr>
      </w:pPr>
      <w:r w:rsidRPr="0020060C">
        <w:rPr>
          <w:lang w:val="en-GB"/>
        </w:rPr>
        <w:t>VM CPU Ready</w:t>
      </w:r>
    </w:p>
    <w:p w14:paraId="6411D286" w14:textId="77777777" w:rsidR="006E1EE4" w:rsidRPr="0020060C" w:rsidRDefault="006E1EE4" w:rsidP="006E1EE4">
      <w:pPr>
        <w:pStyle w:val="Bullet"/>
        <w:rPr>
          <w:lang w:val="en-GB"/>
        </w:rPr>
      </w:pPr>
      <w:r w:rsidRPr="0020060C">
        <w:rPr>
          <w:lang w:val="en-GB"/>
        </w:rPr>
        <w:t>VM CPU Overlap</w:t>
      </w:r>
    </w:p>
    <w:p w14:paraId="1AC6572B" w14:textId="77777777" w:rsidR="006E1EE4" w:rsidRPr="0020060C" w:rsidRDefault="006E1EE4" w:rsidP="006E1EE4">
      <w:pPr>
        <w:pStyle w:val="Bullet"/>
        <w:rPr>
          <w:lang w:val="en-GB"/>
        </w:rPr>
      </w:pPr>
      <w:r w:rsidRPr="0020060C">
        <w:rPr>
          <w:lang w:val="en-GB"/>
        </w:rPr>
        <w:t>VM Memory Contention</w:t>
      </w:r>
    </w:p>
    <w:p w14:paraId="460AC318" w14:textId="77777777" w:rsidR="006E1EE4" w:rsidRDefault="006E1EE4" w:rsidP="006E1EE4">
      <w:pPr>
        <w:pStyle w:val="Bullet"/>
        <w:rPr>
          <w:lang w:val="en-GB"/>
        </w:rPr>
      </w:pPr>
      <w:r w:rsidRPr="0020060C">
        <w:rPr>
          <w:lang w:val="en-GB"/>
        </w:rPr>
        <w:t>VM Disk Latency</w:t>
      </w:r>
    </w:p>
    <w:p w14:paraId="2513D410" w14:textId="55316214" w:rsidR="006E1EE4" w:rsidRPr="006E1EE4" w:rsidRDefault="006E1EE4" w:rsidP="006E1EE4">
      <w:pPr>
        <w:pStyle w:val="Bullet"/>
        <w:rPr>
          <w:lang w:val="en-GB"/>
        </w:rPr>
      </w:pPr>
      <w:r>
        <w:rPr>
          <w:lang w:val="en-GB"/>
        </w:rPr>
        <w:t xml:space="preserve">VM Network Dropped Transmitted Packet </w:t>
      </w:r>
    </w:p>
    <w:p w14:paraId="39E14D13" w14:textId="2AE850D1" w:rsidR="006E1EE4" w:rsidRDefault="006E1EE4" w:rsidP="0020060C">
      <w:pPr>
        <w:pStyle w:val="Tablecontent"/>
        <w:rPr>
          <w:lang w:val="en-GB"/>
        </w:rPr>
      </w:pPr>
      <w:r>
        <w:rPr>
          <w:lang w:val="en-GB"/>
        </w:rPr>
        <w:t>Notice the above focuses on contention. No consumption metrics are used as their values are expected to go up.</w:t>
      </w:r>
    </w:p>
    <w:p w14:paraId="587085C8" w14:textId="2AFA5595" w:rsidR="0020060C" w:rsidRDefault="0020060C" w:rsidP="0020060C">
      <w:pPr>
        <w:pStyle w:val="Tablecontent"/>
        <w:rPr>
          <w:lang w:val="en-GB"/>
        </w:rPr>
      </w:pPr>
      <w:r>
        <w:rPr>
          <w:lang w:val="en-GB"/>
        </w:rPr>
        <w:t>The group KPI is simply the average of its VM KPIs.</w:t>
      </w:r>
      <w:r w:rsidR="006E1EE4">
        <w:rPr>
          <w:lang w:val="en-GB"/>
        </w:rPr>
        <w:t xml:space="preserve"> Expect this to </w:t>
      </w:r>
      <w:r w:rsidR="00664C9F">
        <w:rPr>
          <w:lang w:val="en-GB"/>
        </w:rPr>
        <w:t xml:space="preserve">remain good or </w:t>
      </w:r>
      <w:r w:rsidR="006E1EE4">
        <w:rPr>
          <w:lang w:val="en-GB"/>
        </w:rPr>
        <w:t>improve post migration.</w:t>
      </w:r>
      <w:r w:rsidR="00664C9F">
        <w:rPr>
          <w:lang w:val="en-GB"/>
        </w:rPr>
        <w:t xml:space="preserve"> </w:t>
      </w:r>
    </w:p>
    <w:p w14:paraId="611CA1F1" w14:textId="77777777" w:rsidR="00527EAE" w:rsidRDefault="00527EAE" w:rsidP="00527EAE">
      <w:pPr>
        <w:pStyle w:val="Tablecontent"/>
        <w:rPr>
          <w:lang w:val="en-GB"/>
        </w:rPr>
      </w:pPr>
      <w:r>
        <w:rPr>
          <w:lang w:val="en-GB"/>
        </w:rPr>
        <w:t xml:space="preserve">The solution is to create a metric. It’s basically the same KPI used to calculate VM Performance (%) minus the consumption metrics. </w:t>
      </w:r>
    </w:p>
    <w:p w14:paraId="227D919D" w14:textId="77777777" w:rsidR="00527EAE" w:rsidRDefault="00527EAE" w:rsidP="00527EAE">
      <w:pPr>
        <w:pStyle w:val="Tablecontent"/>
        <w:rPr>
          <w:lang w:val="en-GB"/>
        </w:rPr>
      </w:pPr>
      <w:r>
        <w:rPr>
          <w:lang w:val="en-GB"/>
        </w:rPr>
        <w:t xml:space="preserve">I call this Migration KPI (%). </w:t>
      </w:r>
    </w:p>
    <w:p w14:paraId="36B0F634" w14:textId="7FA3265B" w:rsidR="0020060C" w:rsidRDefault="0020060C" w:rsidP="0020060C">
      <w:pPr>
        <w:pStyle w:val="Heading5"/>
      </w:pPr>
      <w:r w:rsidRPr="00DD151C">
        <w:t xml:space="preserve">To be </w:t>
      </w:r>
      <w:r>
        <w:t>M</w:t>
      </w:r>
      <w:r w:rsidRPr="00DD151C">
        <w:t>igrated VMs</w:t>
      </w:r>
    </w:p>
    <w:p w14:paraId="1E94895E" w14:textId="7C43816C" w:rsidR="006E1EE4" w:rsidRDefault="006E1EE4" w:rsidP="0020060C">
      <w:pPr>
        <w:pStyle w:val="Tablecontent"/>
        <w:rPr>
          <w:lang w:val="en-GB"/>
        </w:rPr>
      </w:pPr>
      <w:r>
        <w:rPr>
          <w:lang w:val="en-GB"/>
        </w:rPr>
        <w:t xml:space="preserve">This is an optional group as it does not involve VM Owner. </w:t>
      </w:r>
    </w:p>
    <w:p w14:paraId="1462B503" w14:textId="64E2EFA1" w:rsidR="0020060C" w:rsidRDefault="0020060C" w:rsidP="0020060C">
      <w:pPr>
        <w:pStyle w:val="Tablecontent"/>
        <w:rPr>
          <w:lang w:val="en-GB"/>
        </w:rPr>
      </w:pPr>
      <w:r>
        <w:rPr>
          <w:lang w:val="en-GB"/>
        </w:rPr>
        <w:lastRenderedPageBreak/>
        <w:t>This</w:t>
      </w:r>
      <w:r w:rsidR="006E1EE4">
        <w:rPr>
          <w:lang w:val="en-GB"/>
        </w:rPr>
        <w:t xml:space="preserve"> group</w:t>
      </w:r>
      <w:r>
        <w:rPr>
          <w:lang w:val="en-GB"/>
        </w:rPr>
        <w:t xml:space="preserve"> only contains VMs that are scheduled for the next migration window. Do not put VMs that are not going in the next schedule, as their load changes the group value.</w:t>
      </w:r>
    </w:p>
    <w:p w14:paraId="710FF2F0" w14:textId="424E615F" w:rsidR="006E1EE4" w:rsidRDefault="006E1EE4" w:rsidP="0020060C">
      <w:pPr>
        <w:pStyle w:val="Tablecontent"/>
        <w:rPr>
          <w:lang w:val="en-GB"/>
        </w:rPr>
      </w:pPr>
      <w:r>
        <w:rPr>
          <w:lang w:val="en-GB"/>
        </w:rPr>
        <w:t>If the VMs in the group are going to multiple destination, then you need to create 1 group per destination.</w:t>
      </w:r>
    </w:p>
    <w:p w14:paraId="6D89E6D6" w14:textId="7EF479DB" w:rsidR="00C849F6" w:rsidRPr="009267DC" w:rsidRDefault="0020060C" w:rsidP="006E1EE4">
      <w:pPr>
        <w:rPr>
          <w:lang w:val="en-GB"/>
        </w:rPr>
      </w:pPr>
      <w:r>
        <w:rPr>
          <w:lang w:val="en-GB"/>
        </w:rPr>
        <w:t>Once a VM is migrated, remove it from this group</w:t>
      </w:r>
      <w:r w:rsidR="006E1EE4">
        <w:rPr>
          <w:lang w:val="en-GB"/>
        </w:rPr>
        <w:t>.</w:t>
      </w:r>
    </w:p>
    <w:p w14:paraId="79284309" w14:textId="53FD2EB5" w:rsidR="00321308" w:rsidRDefault="00321308" w:rsidP="00B373E2">
      <w:pPr>
        <w:pStyle w:val="Heading2"/>
      </w:pPr>
      <w:r w:rsidRPr="00DE5343">
        <w:lastRenderedPageBreak/>
        <w:t xml:space="preserve">Configuration </w:t>
      </w:r>
      <w:r w:rsidR="00F70F43" w:rsidRPr="00DE5343">
        <w:t>Management</w:t>
      </w:r>
    </w:p>
    <w:p w14:paraId="32F5ADCC" w14:textId="5148E4B4" w:rsidR="004D4D3A" w:rsidRPr="004D4D3A" w:rsidRDefault="004D4D3A" w:rsidP="004D4D3A">
      <w:r>
        <w:rPr>
          <w:noProof/>
        </w:rPr>
        <mc:AlternateContent>
          <mc:Choice Requires="wps">
            <w:drawing>
              <wp:anchor distT="0" distB="0" distL="114300" distR="114300" simplePos="0" relativeHeight="251644928" behindDoc="0" locked="0" layoutInCell="1" allowOverlap="1" wp14:anchorId="747AA0EF" wp14:editId="65735216">
                <wp:simplePos x="0" y="0"/>
                <wp:positionH relativeFrom="column">
                  <wp:posOffset>0</wp:posOffset>
                </wp:positionH>
                <wp:positionV relativeFrom="paragraph">
                  <wp:posOffset>0</wp:posOffset>
                </wp:positionV>
                <wp:extent cx="1828800" cy="1828800"/>
                <wp:effectExtent l="0" t="0" r="0" b="0"/>
                <wp:wrapNone/>
                <wp:docPr id="606394161" name="Text Box 60639416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6192EFF" w14:textId="2EE0A160" w:rsidR="00E66F24" w:rsidRPr="00C84219" w:rsidRDefault="00E66F24" w:rsidP="004D4D3A">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1 Chapter 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747AA0EF" id="Text Box 606394161" o:spid="_x0000_s1029" type="#_x0000_t202" style="position:absolute;margin-left:0;margin-top:0;width:2in;height:2in;z-index:25164492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" filled="f" stroked="f">
                <v:textbox style="mso-fit-shape-to-text:t">
                  <w:txbxContent>
                    <w:p w14:paraId="16192EFF" w14:textId="2EE0A160" w:rsidR="00E66F24" w:rsidRPr="00C84219" w:rsidRDefault="00E66F24" w:rsidP="004D4D3A">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1 Chapter 4</w:t>
                      </w:r>
                    </w:p>
                  </w:txbxContent>
                </v:textbox>
              </v:shape>
            </w:pict>
          </mc:Fallback>
        </mc:AlternateContent>
      </w:r>
    </w:p>
    <w:p w14:paraId="08E474B7" w14:textId="33039DBC" w:rsidR="009E41A0" w:rsidRPr="00DE5343" w:rsidRDefault="00264DB3" w:rsidP="003F097B">
      <w:pPr>
        <w:pStyle w:val="AfterChapterTitle"/>
      </w:pPr>
      <w:r w:rsidRPr="00DE5343">
        <w:t>Configuration</w:t>
      </w:r>
      <w:r w:rsidR="006B1CD4" w:rsidRPr="00DE5343">
        <w:t xml:space="preserve"> Management </w:t>
      </w:r>
      <w:r w:rsidR="00157887">
        <w:t xml:space="preserve">is about ensuring </w:t>
      </w:r>
      <w:r w:rsidR="000551C7">
        <w:t xml:space="preserve">the actual </w:t>
      </w:r>
      <w:r w:rsidR="00157887">
        <w:t xml:space="preserve">configuration </w:t>
      </w:r>
      <w:r w:rsidR="000551C7">
        <w:t xml:space="preserve">settings matches the intended or desired value. The configuration of hardware and software products must be identical with the documented systems architecture. Deviation can result in security or compliance issue, performance degradation or availability risk. </w:t>
      </w:r>
    </w:p>
    <w:p w14:paraId="271F3CBE" w14:textId="09FC87ED" w:rsidR="00264DB3" w:rsidRDefault="006B1CD4" w:rsidP="00540F68">
      <w:pPr>
        <w:pStyle w:val="Heading3"/>
      </w:pPr>
      <w:r w:rsidRPr="00DE5343">
        <w:t>Overview</w:t>
      </w:r>
    </w:p>
    <w:p w14:paraId="5772676D" w14:textId="77777777" w:rsidR="009E41A0" w:rsidRDefault="009E41A0" w:rsidP="009E41A0">
      <w:pPr>
        <w:pStyle w:val="Tablecontent"/>
      </w:pPr>
      <w:r w:rsidRPr="002639BB">
        <w:t>Configuration impacts performance, cost, capacity and compliance. Therefore, it</w:t>
      </w:r>
      <w:r>
        <w:t xml:space="preserve"> is one of </w:t>
      </w:r>
      <w:r w:rsidRPr="002639BB">
        <w:t xml:space="preserve">the primary focus of </w:t>
      </w:r>
      <w:hyperlink r:id="rId188" w:history="1">
        <w:r w:rsidRPr="000262B6">
          <w:rPr>
            <w:rStyle w:val="Hyperlink"/>
          </w:rPr>
          <w:t>optimization assessment</w:t>
        </w:r>
      </w:hyperlink>
      <w:r>
        <w:t>.</w:t>
      </w:r>
      <w:r w:rsidRPr="002639BB">
        <w:t xml:space="preserve"> </w:t>
      </w:r>
      <w:r>
        <w:t>Settings need to be checked across the entire stack, especially the lower stack as problem in a stack will impact the stack above it.</w:t>
      </w:r>
    </w:p>
    <w:p w14:paraId="123E3FA5" w14:textId="6CEF0C44" w:rsidR="002655D5" w:rsidRDefault="009C3445" w:rsidP="00890619">
      <w:r>
        <w:t>C</w:t>
      </w:r>
      <w:r w:rsidR="00A81917">
        <w:t xml:space="preserve">onfiguration </w:t>
      </w:r>
      <w:r w:rsidR="00D438DA">
        <w:t xml:space="preserve">management </w:t>
      </w:r>
      <w:r w:rsidR="002655D5">
        <w:t xml:space="preserve">starts with a </w:t>
      </w:r>
      <w:r w:rsidR="00D438DA">
        <w:t>plan</w:t>
      </w:r>
      <w:r w:rsidR="002655D5">
        <w:t xml:space="preserve">, where you decide what settings are suitable for what objects. It also includes tagging as it gives context to </w:t>
      </w:r>
      <w:r w:rsidR="001B6F59">
        <w:t>various persona running your operations.</w:t>
      </w:r>
      <w:r w:rsidR="00F9603C">
        <w:t xml:space="preserve"> The context is critical</w:t>
      </w:r>
      <w:r w:rsidR="00B95705">
        <w:t xml:space="preserve">. Many customers struggle with tag management </w:t>
      </w:r>
      <w:r w:rsidR="00CD7AA4">
        <w:t>as it spans many parts</w:t>
      </w:r>
      <w:r w:rsidR="00964692">
        <w:t>, across software and hardware from all the vendors that you have in your environment.</w:t>
      </w:r>
    </w:p>
    <w:p w14:paraId="29B66DF6" w14:textId="48278969" w:rsidR="00B602E6" w:rsidRDefault="00B602E6" w:rsidP="00890619">
      <w:r>
        <w:t xml:space="preserve">Categorize your tag, so it’s easier to manage them. </w:t>
      </w:r>
      <w:r w:rsidR="00323477">
        <w:t>There are customer-facing tags, and internal-tags.</w:t>
      </w:r>
    </w:p>
    <w:p w14:paraId="684522E9" w14:textId="77777777" w:rsidR="00784A8E" w:rsidRPr="00327AC5" w:rsidRDefault="00784A8E" w:rsidP="00784A8E">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560"/>
        <w:gridCol w:w="8896"/>
      </w:tblGrid>
      <w:tr w:rsidR="00323477" w14:paraId="025D8826" w14:textId="77777777" w:rsidTr="00484C7F">
        <w:tc>
          <w:tcPr>
            <w:tcW w:w="1560" w:type="dxa"/>
            <w:shd w:val="clear" w:color="auto" w:fill="F2F2F2" w:themeFill="background1" w:themeFillShade="F2"/>
          </w:tcPr>
          <w:p w14:paraId="37853909" w14:textId="446C4954" w:rsidR="00323477" w:rsidRDefault="00323477" w:rsidP="002D2483">
            <w:pPr>
              <w:pStyle w:val="Tableheading"/>
              <w:jc w:val="left"/>
            </w:pPr>
            <w:r>
              <w:lastRenderedPageBreak/>
              <w:t>Business</w:t>
            </w:r>
          </w:p>
        </w:tc>
        <w:tc>
          <w:tcPr>
            <w:tcW w:w="8896" w:type="dxa"/>
          </w:tcPr>
          <w:p w14:paraId="087BA94A" w14:textId="77777777" w:rsidR="00323477" w:rsidRDefault="00784A8E" w:rsidP="005321A6">
            <w:pPr>
              <w:pStyle w:val="Tablecontent"/>
            </w:pPr>
            <w:r>
              <w:t>These are the tags that application team or your customers care. Have an agreement with them. Note that different department will have different requirements, but you only have 1 set of tags, so plan before meeting them.</w:t>
            </w:r>
          </w:p>
          <w:p w14:paraId="262E6224" w14:textId="5AB39134" w:rsidR="00784A8E" w:rsidRDefault="00784A8E" w:rsidP="005321A6">
            <w:pPr>
              <w:pStyle w:val="Tablecontent"/>
            </w:pPr>
            <w:r>
              <w:t>Example tag</w:t>
            </w:r>
            <w:r w:rsidR="00C8485C">
              <w:t>s</w:t>
            </w:r>
            <w:r>
              <w:t xml:space="preserve">: </w:t>
            </w:r>
          </w:p>
          <w:p w14:paraId="24071F81" w14:textId="77777777" w:rsidR="00C8485C" w:rsidRDefault="00C8485C" w:rsidP="00E11A39">
            <w:pPr>
              <w:pStyle w:val="Tablecontent"/>
              <w:numPr>
                <w:ilvl w:val="0"/>
                <w:numId w:val="41"/>
              </w:numPr>
            </w:pPr>
            <w:r>
              <w:t>Cost Center. This enables chargeback and reporting</w:t>
            </w:r>
          </w:p>
          <w:p w14:paraId="0CE9DA04" w14:textId="2C8E5470" w:rsidR="001C4BA1" w:rsidRDefault="00022F1E" w:rsidP="00E11A39">
            <w:pPr>
              <w:pStyle w:val="Tablecontent"/>
              <w:numPr>
                <w:ilvl w:val="0"/>
                <w:numId w:val="41"/>
              </w:numPr>
            </w:pPr>
            <w:r>
              <w:t>Class of Service</w:t>
            </w:r>
          </w:p>
        </w:tc>
      </w:tr>
      <w:tr w:rsidR="00323477" w14:paraId="0434A3B1" w14:textId="77777777" w:rsidTr="00484C7F">
        <w:tc>
          <w:tcPr>
            <w:tcW w:w="1560" w:type="dxa"/>
            <w:shd w:val="clear" w:color="auto" w:fill="F2F2F2" w:themeFill="background1" w:themeFillShade="F2"/>
          </w:tcPr>
          <w:p w14:paraId="593CD239" w14:textId="69D71FF1" w:rsidR="00323477" w:rsidRDefault="00323477" w:rsidP="002D2483">
            <w:pPr>
              <w:pStyle w:val="Tableheading"/>
              <w:jc w:val="left"/>
            </w:pPr>
            <w:r>
              <w:t>IT</w:t>
            </w:r>
          </w:p>
        </w:tc>
        <w:tc>
          <w:tcPr>
            <w:tcW w:w="8896" w:type="dxa"/>
          </w:tcPr>
          <w:p w14:paraId="5CC0E348" w14:textId="77777777" w:rsidR="00323477" w:rsidRDefault="00022F1E" w:rsidP="005321A6">
            <w:pPr>
              <w:pStyle w:val="Tablecontent"/>
            </w:pPr>
            <w:r>
              <w:t>These are the internal tags for your infrastructure team</w:t>
            </w:r>
            <w:r w:rsidR="001C4BA1">
              <w:t>.</w:t>
            </w:r>
          </w:p>
          <w:p w14:paraId="2AFCD4F7" w14:textId="77777777" w:rsidR="001C4BA1" w:rsidRDefault="001C4BA1" w:rsidP="005321A6">
            <w:pPr>
              <w:pStyle w:val="Tablecontent"/>
            </w:pPr>
            <w:r>
              <w:t>Example tags:</w:t>
            </w:r>
          </w:p>
          <w:p w14:paraId="06132CB2" w14:textId="68B50CE2" w:rsidR="001C4BA1" w:rsidRDefault="00FB403F" w:rsidP="00E11A39">
            <w:pPr>
              <w:pStyle w:val="Tablecontent"/>
              <w:numPr>
                <w:ilvl w:val="0"/>
                <w:numId w:val="42"/>
              </w:numPr>
            </w:pPr>
            <w:r>
              <w:t xml:space="preserve">Refresh Date. The date or month or quarter where the hardware is due for a tech refresh. </w:t>
            </w:r>
            <w:r w:rsidR="004F5E9C">
              <w:t>Use the end of warranty as a</w:t>
            </w:r>
            <w:r w:rsidR="00DF7DC6">
              <w:t xml:space="preserve"> consideration, and establish a policy on when to </w:t>
            </w:r>
            <w:r w:rsidR="00907B07">
              <w:t>upgrade</w:t>
            </w:r>
            <w:r w:rsidR="00DF7DC6">
              <w:t>.</w:t>
            </w:r>
          </w:p>
          <w:p w14:paraId="48FF4631" w14:textId="1BF2602F" w:rsidR="00DF7DC6" w:rsidRDefault="00DF7DC6" w:rsidP="00E11A39">
            <w:pPr>
              <w:pStyle w:val="Tablecontent"/>
              <w:numPr>
                <w:ilvl w:val="0"/>
                <w:numId w:val="42"/>
              </w:numPr>
            </w:pPr>
            <w:r>
              <w:t>Location. For hardware, it helps to know the physical location within a DC floor</w:t>
            </w:r>
            <w:r w:rsidR="00D96586">
              <w:t xml:space="preserve">. </w:t>
            </w:r>
          </w:p>
        </w:tc>
      </w:tr>
    </w:tbl>
    <w:p w14:paraId="6F6FDC69" w14:textId="05CBC77C" w:rsidR="00B602E6" w:rsidRDefault="00B602E6" w:rsidP="00890619">
      <w:r>
        <w:t xml:space="preserve">Balance your tag. Too many tags and </w:t>
      </w:r>
      <w:r w:rsidR="00C664F7">
        <w:t>it becomes a challenge to update them. For example, if you have 10K VM and each VM is tagged with the direct, actual owner, you can end up with hundreds of names. These people may change department</w:t>
      </w:r>
      <w:r w:rsidR="00971C24">
        <w:t xml:space="preserve">, role, or leave. It’s easier to establish a business agreement where you have 1 contact person per </w:t>
      </w:r>
      <w:r w:rsidR="00907B07">
        <w:t>department</w:t>
      </w:r>
      <w:r w:rsidR="00971C24">
        <w:t>.</w:t>
      </w:r>
    </w:p>
    <w:p w14:paraId="26583F3D" w14:textId="7A04BD82" w:rsidR="001013DC" w:rsidRDefault="00D7482E" w:rsidP="00890619">
      <w:r>
        <w:t>Wrong configuration can be costly.</w:t>
      </w:r>
      <w:r w:rsidR="00327AC5">
        <w:t xml:space="preserve"> </w:t>
      </w:r>
      <w:r w:rsidR="004546D3">
        <w:t>In fact, t</w:t>
      </w:r>
      <w:r w:rsidR="00327AC5">
        <w:t>he</w:t>
      </w:r>
      <w:r w:rsidR="00120481">
        <w:t xml:space="preserve">re are 5 areas of </w:t>
      </w:r>
      <w:r w:rsidR="00327AC5">
        <w:t>impact.</w:t>
      </w:r>
      <w:r w:rsidR="009A7FA2">
        <w:t xml:space="preserve"> The following table shows some example</w:t>
      </w:r>
      <w:r w:rsidR="000914DB">
        <w:t>s</w:t>
      </w:r>
      <w:r w:rsidR="009A7FA2">
        <w:t>.</w:t>
      </w:r>
    </w:p>
    <w:p w14:paraId="4F824C26" w14:textId="77777777" w:rsidR="00327AC5" w:rsidRPr="00327AC5" w:rsidRDefault="00327AC5" w:rsidP="00327AC5">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38"/>
        <w:gridCol w:w="8618"/>
      </w:tblGrid>
      <w:tr w:rsidR="001013DC" w14:paraId="29FCC3B0" w14:textId="77777777" w:rsidTr="00344C09">
        <w:tc>
          <w:tcPr>
            <w:tcW w:w="1838" w:type="dxa"/>
            <w:shd w:val="clear" w:color="auto" w:fill="F2F2F2" w:themeFill="background1" w:themeFillShade="F2"/>
          </w:tcPr>
          <w:p w14:paraId="06551728" w14:textId="78BE441E" w:rsidR="001013DC" w:rsidRDefault="001013DC" w:rsidP="002D2483">
            <w:pPr>
              <w:pStyle w:val="Tableheading"/>
              <w:jc w:val="left"/>
            </w:pPr>
            <w:r>
              <w:lastRenderedPageBreak/>
              <w:t>Compliance</w:t>
            </w:r>
          </w:p>
        </w:tc>
        <w:tc>
          <w:tcPr>
            <w:tcW w:w="8618" w:type="dxa"/>
          </w:tcPr>
          <w:p w14:paraId="096605E4" w14:textId="2375A636" w:rsidR="001013DC" w:rsidRDefault="009A7FA2" w:rsidP="001013DC">
            <w:pPr>
              <w:pStyle w:val="Tablecontent"/>
            </w:pPr>
            <w:r>
              <w:t>I</w:t>
            </w:r>
            <w:r w:rsidR="00445FE2">
              <w:t>nsecure settings</w:t>
            </w:r>
            <w:r w:rsidR="009E6E10">
              <w:t xml:space="preserve"> in ESXi</w:t>
            </w:r>
            <w:r>
              <w:t xml:space="preserve"> </w:t>
            </w:r>
            <w:r w:rsidR="005A1A37">
              <w:t xml:space="preserve">and distributed port. Review the hardening guide, especially industry specific </w:t>
            </w:r>
            <w:r w:rsidR="006E5FA7">
              <w:t>security compliance requirements.</w:t>
            </w:r>
          </w:p>
        </w:tc>
      </w:tr>
      <w:tr w:rsidR="001013DC" w14:paraId="3770CF47" w14:textId="77777777" w:rsidTr="00344C09">
        <w:tc>
          <w:tcPr>
            <w:tcW w:w="1838" w:type="dxa"/>
            <w:shd w:val="clear" w:color="auto" w:fill="F2F2F2" w:themeFill="background1" w:themeFillShade="F2"/>
          </w:tcPr>
          <w:p w14:paraId="60EBF1D4" w14:textId="321804A8" w:rsidR="001013DC" w:rsidRDefault="00476CF2" w:rsidP="002D2483">
            <w:pPr>
              <w:pStyle w:val="Tableheading"/>
              <w:jc w:val="left"/>
            </w:pPr>
            <w:r>
              <w:t>Performance</w:t>
            </w:r>
          </w:p>
        </w:tc>
        <w:tc>
          <w:tcPr>
            <w:tcW w:w="8618" w:type="dxa"/>
          </w:tcPr>
          <w:p w14:paraId="136869F9" w14:textId="3E159D90" w:rsidR="001013DC" w:rsidRDefault="00313C69" w:rsidP="001013DC">
            <w:pPr>
              <w:pStyle w:val="Tablecontent"/>
            </w:pPr>
            <w:r>
              <w:t>Many settings can impact performance.</w:t>
            </w:r>
            <w:r w:rsidR="00B945DA">
              <w:t xml:space="preserve"> The challenge here is “what works with what when”. You’re running hardware and software from multiple vendors</w:t>
            </w:r>
            <w:r w:rsidR="005D0C17">
              <w:t>, and they don’t always work best in every possible permutation. Upgrading one component often requires upgrading adja</w:t>
            </w:r>
            <w:r w:rsidR="004546D3">
              <w:t>cent stack.</w:t>
            </w:r>
          </w:p>
          <w:p w14:paraId="56A94960" w14:textId="0FF0AEC4" w:rsidR="00E868C7" w:rsidRDefault="00E868C7" w:rsidP="001013DC">
            <w:pPr>
              <w:pStyle w:val="Tablecontent"/>
            </w:pPr>
            <w:r>
              <w:t xml:space="preserve">Drivers and VMware Tools often include performance </w:t>
            </w:r>
            <w:r w:rsidR="00B945DA">
              <w:t xml:space="preserve">bug </w:t>
            </w:r>
            <w:r>
              <w:t>fix</w:t>
            </w:r>
            <w:r w:rsidR="00B945DA">
              <w:t xml:space="preserve"> as part of a release.</w:t>
            </w:r>
          </w:p>
        </w:tc>
      </w:tr>
      <w:tr w:rsidR="001013DC" w14:paraId="1581B107" w14:textId="77777777" w:rsidTr="00344C09">
        <w:tc>
          <w:tcPr>
            <w:tcW w:w="1838" w:type="dxa"/>
            <w:shd w:val="clear" w:color="auto" w:fill="F2F2F2" w:themeFill="background1" w:themeFillShade="F2"/>
          </w:tcPr>
          <w:p w14:paraId="7DCCA3BE" w14:textId="0D6D9E57" w:rsidR="001013DC" w:rsidRDefault="00476CF2" w:rsidP="002D2483">
            <w:pPr>
              <w:pStyle w:val="Tableheading"/>
              <w:jc w:val="left"/>
            </w:pPr>
            <w:r>
              <w:t>Capacity</w:t>
            </w:r>
          </w:p>
        </w:tc>
        <w:tc>
          <w:tcPr>
            <w:tcW w:w="8618" w:type="dxa"/>
          </w:tcPr>
          <w:p w14:paraId="2EB29EC5" w14:textId="0E2DF293" w:rsidR="00B83A4B" w:rsidRDefault="006E5FA7" w:rsidP="001013DC">
            <w:pPr>
              <w:pStyle w:val="Tablecontent"/>
            </w:pPr>
            <w:r>
              <w:t xml:space="preserve">Disabling HT. While HT is good for VM performance, it’s not good for ESXi capacity. </w:t>
            </w:r>
          </w:p>
        </w:tc>
      </w:tr>
      <w:tr w:rsidR="00476CF2" w14:paraId="7CA616DA" w14:textId="77777777" w:rsidTr="00344C09">
        <w:tc>
          <w:tcPr>
            <w:tcW w:w="1838" w:type="dxa"/>
            <w:shd w:val="clear" w:color="auto" w:fill="F2F2F2" w:themeFill="background1" w:themeFillShade="F2"/>
          </w:tcPr>
          <w:p w14:paraId="570226DA" w14:textId="3A05997A" w:rsidR="00476CF2" w:rsidRDefault="00476CF2" w:rsidP="002D2483">
            <w:pPr>
              <w:pStyle w:val="Tableheading"/>
              <w:jc w:val="left"/>
            </w:pPr>
            <w:r>
              <w:t>Cost</w:t>
            </w:r>
          </w:p>
        </w:tc>
        <w:tc>
          <w:tcPr>
            <w:tcW w:w="8618" w:type="dxa"/>
          </w:tcPr>
          <w:p w14:paraId="707AC88C" w14:textId="77777777" w:rsidR="00476CF2" w:rsidRDefault="003A6396" w:rsidP="001013DC">
            <w:pPr>
              <w:pStyle w:val="Tablecontent"/>
            </w:pPr>
            <w:r>
              <w:t>O</w:t>
            </w:r>
            <w:r w:rsidR="0070540D">
              <w:t xml:space="preserve">utdated hardware, underused infrastructure, </w:t>
            </w:r>
            <w:r>
              <w:t>oversized VM have financial implication to your IT business.</w:t>
            </w:r>
          </w:p>
          <w:p w14:paraId="08995031" w14:textId="5C66E19A" w:rsidR="001B2E54" w:rsidRDefault="001B2E54" w:rsidP="001013DC">
            <w:pPr>
              <w:pStyle w:val="Tablecontent"/>
            </w:pPr>
            <w:r>
              <w:t>Power management. While setting to highest performance is best for performance, it comes as a co</w:t>
            </w:r>
            <w:r w:rsidR="00AC361B">
              <w:t>st of power.</w:t>
            </w:r>
          </w:p>
        </w:tc>
      </w:tr>
      <w:tr w:rsidR="00476CF2" w14:paraId="467831FB" w14:textId="77777777" w:rsidTr="00344C09">
        <w:tc>
          <w:tcPr>
            <w:tcW w:w="1838" w:type="dxa"/>
            <w:shd w:val="clear" w:color="auto" w:fill="F2F2F2" w:themeFill="background1" w:themeFillShade="F2"/>
          </w:tcPr>
          <w:p w14:paraId="13CB505E" w14:textId="3B42D6F7" w:rsidR="00476CF2" w:rsidRDefault="00476CF2" w:rsidP="002D2483">
            <w:pPr>
              <w:pStyle w:val="Tableheading"/>
              <w:jc w:val="left"/>
            </w:pPr>
            <w:r>
              <w:t>Availability</w:t>
            </w:r>
          </w:p>
        </w:tc>
        <w:tc>
          <w:tcPr>
            <w:tcW w:w="8618" w:type="dxa"/>
          </w:tcPr>
          <w:p w14:paraId="79D6F4BF" w14:textId="016E6655" w:rsidR="00476CF2" w:rsidRDefault="00313C69" w:rsidP="001013DC">
            <w:pPr>
              <w:pStyle w:val="Tablecontent"/>
            </w:pPr>
            <w:r>
              <w:t xml:space="preserve">Insufficient HA, backup, </w:t>
            </w:r>
            <w:r w:rsidR="00AC361B">
              <w:t xml:space="preserve">and DR can impact availability. And if you have SLA, this can impact </w:t>
            </w:r>
            <w:r w:rsidR="00E868C7">
              <w:t>your reputation.</w:t>
            </w:r>
          </w:p>
        </w:tc>
      </w:tr>
    </w:tbl>
    <w:p w14:paraId="50289949" w14:textId="7AD028D1" w:rsidR="00647CAB" w:rsidRDefault="00647CAB" w:rsidP="00AC6E1E">
      <w:pPr>
        <w:pStyle w:val="Heading4"/>
      </w:pPr>
      <w:r>
        <w:t>Vantage Point</w:t>
      </w:r>
    </w:p>
    <w:p w14:paraId="3358A570" w14:textId="5921F0FC" w:rsidR="00FC525D" w:rsidRDefault="00FC525D" w:rsidP="009B13B9">
      <w:r w:rsidRPr="00DE5343">
        <w:t xml:space="preserve">As an operation management software, </w:t>
      </w:r>
      <w:r w:rsidR="00F72B2F" w:rsidRPr="00DE5343">
        <w:t xml:space="preserve">vRealize Operations </w:t>
      </w:r>
      <w:r w:rsidRPr="00DE5343">
        <w:t xml:space="preserve">focuses on the impact </w:t>
      </w:r>
      <w:r w:rsidR="005F7999" w:rsidRPr="00DE5343">
        <w:t xml:space="preserve">to </w:t>
      </w:r>
      <w:r w:rsidR="00F1721C" w:rsidRPr="00DE5343">
        <w:t>day-to-day</w:t>
      </w:r>
      <w:r w:rsidRPr="00DE5343">
        <w:t xml:space="preserve"> operations</w:t>
      </w:r>
      <w:r w:rsidR="005F7999" w:rsidRPr="00DE5343">
        <w:t xml:space="preserve"> a product has</w:t>
      </w:r>
      <w:r w:rsidRPr="00DE5343">
        <w:t xml:space="preserve">, rather than the </w:t>
      </w:r>
      <w:r w:rsidRPr="00DE5343">
        <w:rPr>
          <w:rStyle w:val="AfterChapterTitleChar"/>
        </w:rPr>
        <w:t>feature</w:t>
      </w:r>
      <w:r w:rsidRPr="00DE5343">
        <w:t xml:space="preserve"> </w:t>
      </w:r>
      <w:r w:rsidR="005F7999" w:rsidRPr="00DE5343">
        <w:t xml:space="preserve">of the product </w:t>
      </w:r>
      <w:r w:rsidRPr="00DE5343">
        <w:t xml:space="preserve">itself. </w:t>
      </w:r>
      <w:r w:rsidR="00647CAB">
        <w:t xml:space="preserve">It takes the view from Day 2, not Day 1. </w:t>
      </w:r>
      <w:r w:rsidR="008D08A1" w:rsidRPr="00DE5343">
        <w:t>P</w:t>
      </w:r>
      <w:r w:rsidRPr="00DE5343">
        <w:t>roduct</w:t>
      </w:r>
      <w:r w:rsidR="008D08A1" w:rsidRPr="00DE5343">
        <w:t>s</w:t>
      </w:r>
      <w:r w:rsidR="004659FE" w:rsidRPr="00DE5343">
        <w:t xml:space="preserve"> </w:t>
      </w:r>
      <w:r w:rsidRPr="00DE5343">
        <w:t>under monitoring</w:t>
      </w:r>
      <w:r w:rsidR="008D08A1" w:rsidRPr="00DE5343">
        <w:t>, such as vSphere and vSAN,</w:t>
      </w:r>
      <w:r w:rsidRPr="00DE5343">
        <w:t xml:space="preserve"> can have features that are related, but have different impact to operations. Take for example, vSphere provides Limit, Reservation and Share for VM. As feature, they are closely related, appear in the same dialog box</w:t>
      </w:r>
      <w:r w:rsidR="00792DCF">
        <w:t xml:space="preserve"> in vCenter client UI</w:t>
      </w:r>
      <w:r w:rsidRPr="00DE5343">
        <w:t xml:space="preserve"> and should be mastered as one. However, they impact operations differently. The following table describes that</w:t>
      </w:r>
      <w:r w:rsidR="00B24FE5" w:rsidRPr="00DE5343">
        <w:t xml:space="preserve"> in more details.</w:t>
      </w:r>
    </w:p>
    <w:p w14:paraId="364D39E4" w14:textId="72D3012F" w:rsidR="00A954D4" w:rsidRPr="00DE5343" w:rsidRDefault="084F36B8" w:rsidP="009B13B9">
      <w:r>
        <w:rPr>
          <w:noProof/>
        </w:rPr>
        <w:lastRenderedPageBreak/>
        <w:drawing>
          <wp:inline distT="0" distB="0" distL="0" distR="0" wp14:anchorId="23E15A91" wp14:editId="14210F14">
            <wp:extent cx="6645910" cy="3459480"/>
            <wp:effectExtent l="0" t="0" r="2540" b="7620"/>
            <wp:docPr id="606394219" name="Picture 606394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19"/>
                    <pic:cNvPicPr/>
                  </pic:nvPicPr>
                  <pic:blipFill>
                    <a:blip r:embed="rId189">
                      <a:extLst>
                        <a:ext uri="{28A0092B-C50C-407E-A947-70E740481C1C}">
                          <a14:useLocalDpi xmlns:a14="http://schemas.microsoft.com/office/drawing/2010/main" val="0"/>
                        </a:ext>
                      </a:extLst>
                    </a:blip>
                    <a:stretch>
                      <a:fillRect/>
                    </a:stretch>
                  </pic:blipFill>
                  <pic:spPr>
                    <a:xfrm>
                      <a:off x="0" y="0"/>
                      <a:ext cx="6645910" cy="3459480"/>
                    </a:xfrm>
                    <a:prstGeom prst="rect">
                      <a:avLst/>
                    </a:prstGeom>
                  </pic:spPr>
                </pic:pic>
              </a:graphicData>
            </a:graphic>
          </wp:inline>
        </w:drawing>
      </w:r>
    </w:p>
    <w:p w14:paraId="5394D3F8" w14:textId="4874AD74" w:rsidR="00FC525D" w:rsidRPr="00DE5343" w:rsidRDefault="00F72B2F" w:rsidP="009B13B9">
      <w:r w:rsidRPr="00DE5343">
        <w:t xml:space="preserve">vRealize Operations </w:t>
      </w:r>
      <w:r w:rsidR="00FC525D" w:rsidRPr="00DE5343">
        <w:t xml:space="preserve">takes the principle </w:t>
      </w:r>
      <w:r w:rsidR="00B24FE5" w:rsidRPr="00DE5343">
        <w:t>that there are different impacts to operations,</w:t>
      </w:r>
      <w:r w:rsidR="00FC525D" w:rsidRPr="00DE5343">
        <w:t xml:space="preserve"> and applies a methodology for looking at configuration. It does not group the settings by features or objects. Rather, it begins with the impact in mind, and prioritize what can be done. </w:t>
      </w:r>
    </w:p>
    <w:p w14:paraId="32493A26" w14:textId="77777777" w:rsidR="00800964" w:rsidRPr="00E60B7B" w:rsidRDefault="00800964" w:rsidP="00AC6E1E">
      <w:pPr>
        <w:pStyle w:val="Heading4"/>
        <w:rPr>
          <w:rStyle w:val="eop"/>
          <w:rFonts w:asciiTheme="minorHAnsi" w:eastAsiaTheme="minorHAnsi" w:hAnsiTheme="minorHAnsi" w:cstheme="minorBidi"/>
          <w:b w:val="0"/>
          <w:bCs w:val="0"/>
          <w:color w:val="auto"/>
          <w:sz w:val="22"/>
          <w:szCs w:val="22"/>
        </w:rPr>
      </w:pPr>
      <w:r w:rsidRPr="00E60B7B">
        <w:rPr>
          <w:rStyle w:val="eop"/>
        </w:rPr>
        <w:t>Plan vs Reality</w:t>
      </w:r>
    </w:p>
    <w:p w14:paraId="3E4899E6" w14:textId="77777777" w:rsidR="00800964" w:rsidRPr="00E60B7B" w:rsidRDefault="00800964" w:rsidP="00800964">
      <w:r>
        <w:t xml:space="preserve">The actual configurations you have in production should reflect your current architecture standard. Your architecture or standard may change over the years, but it should be documented. You then use the configuration dashboards to compare the reality versus intended standard. If they differ, one of them is wrong and needs to be addressed. </w:t>
      </w:r>
    </w:p>
    <w:p w14:paraId="0244DB15" w14:textId="093317C9" w:rsidR="00800964" w:rsidRDefault="00800964" w:rsidP="00800964">
      <w:r>
        <w:t xml:space="preserve">Standards make operations simpler and are often required for compliance. For example, you have a standard for VMware Tools versions, and you choose one version as your standard, but allow 2 other versions across your environment as it takes time to upgrade. You can create a pie chart showing the distribution of VMware Tools version. Each slice in the pie chart counts the occurrence of a particular value. You should expect to see only three slices. If You are seeing more than three, then the reality differs to your standard. </w:t>
      </w:r>
    </w:p>
    <w:p w14:paraId="45EBF83B" w14:textId="0BF6737B" w:rsidR="00F06055" w:rsidRDefault="005E277A" w:rsidP="00540F68">
      <w:pPr>
        <w:pStyle w:val="Heading3"/>
      </w:pPr>
      <w:r w:rsidRPr="00DE5343">
        <w:lastRenderedPageBreak/>
        <w:t>Review Flow</w:t>
      </w:r>
    </w:p>
    <w:p w14:paraId="008BED02" w14:textId="343C8A83" w:rsidR="00FF25D8" w:rsidRDefault="000551C7" w:rsidP="000551C7">
      <w:r>
        <w:t xml:space="preserve">There are literally thousands of settings that you need to manage to ensure security, performance and availability. </w:t>
      </w:r>
      <w:r w:rsidR="0079491A">
        <w:t xml:space="preserve">To ensure the critical ones are tracked and resolved first, consider prioritizing them. </w:t>
      </w:r>
      <w:r w:rsidR="00A37F51">
        <w:t>U</w:t>
      </w:r>
      <w:r w:rsidR="0079491A">
        <w:t>se a 4-step check, starting from the most urgent.</w:t>
      </w:r>
      <w:r w:rsidR="008B4554">
        <w:t xml:space="preserve"> </w:t>
      </w:r>
    </w:p>
    <w:p w14:paraId="237F5B02" w14:textId="4449EADA" w:rsidR="004C27ED" w:rsidRDefault="004C27ED" w:rsidP="00B0596B">
      <w:pPr>
        <w:jc w:val="center"/>
      </w:pPr>
      <w:r w:rsidRPr="004C27ED">
        <w:rPr>
          <w:noProof/>
        </w:rPr>
        <w:drawing>
          <wp:inline distT="0" distB="0" distL="0" distR="0" wp14:anchorId="62C3749A" wp14:editId="534C3A1F">
            <wp:extent cx="5713339" cy="856509"/>
            <wp:effectExtent l="0" t="0" r="1905" b="1270"/>
            <wp:docPr id="1583707964" name="Picture 1583707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734097" cy="859621"/>
                    </a:xfrm>
                    <a:prstGeom prst="rect">
                      <a:avLst/>
                    </a:prstGeom>
                  </pic:spPr>
                </pic:pic>
              </a:graphicData>
            </a:graphic>
          </wp:inline>
        </w:drawing>
      </w:r>
    </w:p>
    <w:p w14:paraId="7AF1A457" w14:textId="77777777" w:rsidR="00D21680" w:rsidRDefault="00D21680" w:rsidP="00D21680">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413"/>
        <w:gridCol w:w="9043"/>
      </w:tblGrid>
      <w:tr w:rsidR="00D21680" w14:paraId="0902266E" w14:textId="77777777" w:rsidTr="00344C09">
        <w:tc>
          <w:tcPr>
            <w:tcW w:w="1413" w:type="dxa"/>
            <w:shd w:val="clear" w:color="auto" w:fill="F2F2F2" w:themeFill="background1" w:themeFillShade="F2"/>
          </w:tcPr>
          <w:p w14:paraId="1A7AE3AB" w14:textId="505F941B" w:rsidR="00D21680" w:rsidRPr="00D21680" w:rsidRDefault="00D21680" w:rsidP="00D21680">
            <w:pPr>
              <w:pStyle w:val="Tablecontent"/>
              <w:rPr>
                <w:b/>
                <w:bCs/>
              </w:rPr>
            </w:pPr>
            <w:r w:rsidRPr="00D21680">
              <w:rPr>
                <w:b/>
                <w:bCs/>
              </w:rPr>
              <w:t>Step 1</w:t>
            </w:r>
          </w:p>
        </w:tc>
        <w:tc>
          <w:tcPr>
            <w:tcW w:w="9043" w:type="dxa"/>
          </w:tcPr>
          <w:p w14:paraId="40B8A8A0" w14:textId="77777777" w:rsidR="00D21680" w:rsidRDefault="00D21680" w:rsidP="00D21680">
            <w:pPr>
              <w:pStyle w:val="Tablecontent"/>
            </w:pPr>
            <w:r>
              <w:t>Address settings that are incorrect, insecure, not following your corporate standards or against best practice. You should correct them as appropriate.</w:t>
            </w:r>
          </w:p>
          <w:p w14:paraId="777CC799" w14:textId="7938A955" w:rsidR="00D53C59" w:rsidRDefault="00D53C59" w:rsidP="00D21680">
            <w:pPr>
              <w:pStyle w:val="Tablecontent"/>
            </w:pPr>
            <w:r>
              <w:t>This is typically the most urgent step.</w:t>
            </w:r>
          </w:p>
        </w:tc>
      </w:tr>
      <w:tr w:rsidR="00D21680" w14:paraId="2DC471A2" w14:textId="77777777" w:rsidTr="00344C09">
        <w:tc>
          <w:tcPr>
            <w:tcW w:w="1413" w:type="dxa"/>
            <w:shd w:val="clear" w:color="auto" w:fill="F2F2F2" w:themeFill="background1" w:themeFillShade="F2"/>
          </w:tcPr>
          <w:p w14:paraId="32890887" w14:textId="5ADEC8BA" w:rsidR="00D21680" w:rsidRPr="00D21680" w:rsidRDefault="00D21680" w:rsidP="00D21680">
            <w:pPr>
              <w:pStyle w:val="Tablecontent"/>
              <w:rPr>
                <w:b/>
                <w:bCs/>
              </w:rPr>
            </w:pPr>
            <w:r>
              <w:rPr>
                <w:b/>
                <w:bCs/>
              </w:rPr>
              <w:t>Step 2</w:t>
            </w:r>
          </w:p>
        </w:tc>
        <w:tc>
          <w:tcPr>
            <w:tcW w:w="9043" w:type="dxa"/>
          </w:tcPr>
          <w:p w14:paraId="63BD9250" w14:textId="77777777" w:rsidR="00D21680" w:rsidRDefault="00D53C59" w:rsidP="00B4114B">
            <w:pPr>
              <w:pStyle w:val="Tablecontent"/>
            </w:pPr>
            <w:r>
              <w:t>The settings are</w:t>
            </w:r>
            <w:r w:rsidRPr="00E57E3F">
              <w:t xml:space="preserve"> correct, but on older version. </w:t>
            </w:r>
            <w:r>
              <w:t>It’s hard to keep up with all the vendors releases, so you should prioritize those oldest versions, especially those no longer supported.</w:t>
            </w:r>
          </w:p>
          <w:p w14:paraId="0CF871BF" w14:textId="77777777" w:rsidR="0094076E" w:rsidRDefault="0094076E" w:rsidP="00B4114B">
            <w:pPr>
              <w:pStyle w:val="Tablecontent"/>
              <w:rPr>
                <w:lang w:val="en-GB"/>
              </w:rPr>
            </w:pPr>
            <w:r w:rsidRPr="00A452F2">
              <w:rPr>
                <w:lang w:val="en-GB"/>
              </w:rPr>
              <w:t>As part of operations best practices, keep the infrastructure up to date. Running outdated components that are too far behind the latest version, can cause support problems or upgrade problems. It is common that the fix for the problem is only available in the later versions. Outdated hardware can also result in higher operating costs. Outdated hardware might cost more data center footprint, such as rack space, cooling, and UPS. Refreshing your technology and consolidation are two common techniques to optimize cost.</w:t>
            </w:r>
          </w:p>
          <w:p w14:paraId="4E18F038" w14:textId="3B8F930C" w:rsidR="00C445F0" w:rsidRPr="00C445F0" w:rsidRDefault="00C445F0" w:rsidP="00B4114B">
            <w:pPr>
              <w:pStyle w:val="Tablecontent"/>
            </w:pPr>
            <w:r>
              <w:t xml:space="preserve">A typical SDDC or EUC architecture spans many components. While each can run the latest version, they may not be compatible or supported. </w:t>
            </w:r>
          </w:p>
        </w:tc>
      </w:tr>
      <w:tr w:rsidR="00D21680" w14:paraId="4D8B83D8" w14:textId="77777777" w:rsidTr="00344C09">
        <w:tc>
          <w:tcPr>
            <w:tcW w:w="1413" w:type="dxa"/>
            <w:shd w:val="clear" w:color="auto" w:fill="F2F2F2" w:themeFill="background1" w:themeFillShade="F2"/>
          </w:tcPr>
          <w:p w14:paraId="64480CCC" w14:textId="0CC9C1AD" w:rsidR="00D21680" w:rsidRPr="00D21680" w:rsidRDefault="00D21680" w:rsidP="00D21680">
            <w:pPr>
              <w:pStyle w:val="Tablecontent"/>
              <w:rPr>
                <w:b/>
                <w:bCs/>
              </w:rPr>
            </w:pPr>
            <w:r>
              <w:rPr>
                <w:b/>
                <w:bCs/>
              </w:rPr>
              <w:t>Step 3</w:t>
            </w:r>
          </w:p>
        </w:tc>
        <w:tc>
          <w:tcPr>
            <w:tcW w:w="9043" w:type="dxa"/>
          </w:tcPr>
          <w:p w14:paraId="1E950448" w14:textId="20E7E7EE" w:rsidR="00D21680" w:rsidRDefault="00AB1EE0" w:rsidP="00B4114B">
            <w:pPr>
              <w:pStyle w:val="Tablecontent"/>
            </w:pPr>
            <w:r>
              <w:t xml:space="preserve">The settings are </w:t>
            </w:r>
            <w:r w:rsidRPr="00DD3D01">
              <w:t>correct</w:t>
            </w:r>
            <w:r>
              <w:t xml:space="preserve"> and </w:t>
            </w:r>
            <w:r w:rsidRPr="00DD3D01">
              <w:t>up to date</w:t>
            </w:r>
            <w:r>
              <w:t>, but they</w:t>
            </w:r>
            <w:r w:rsidRPr="00DD3D01">
              <w:t xml:space="preserve"> complicate your IaaS operations.</w:t>
            </w:r>
            <w:r>
              <w:t xml:space="preserve"> Since you are unlikely to eliminate them all, establish policy that m</w:t>
            </w:r>
            <w:r w:rsidRPr="00DD3D01">
              <w:t xml:space="preserve">inimize </w:t>
            </w:r>
            <w:r>
              <w:t>them as part of simplifying your operations.</w:t>
            </w:r>
          </w:p>
          <w:p w14:paraId="7DF98C79" w14:textId="77777777" w:rsidR="00C663D6" w:rsidRDefault="00C663D6" w:rsidP="00B4114B">
            <w:pPr>
              <w:pStyle w:val="Tablecontent"/>
              <w:rPr>
                <w:lang w:val="en-GB"/>
              </w:rPr>
            </w:pPr>
            <w:r w:rsidRPr="00A452F2">
              <w:rPr>
                <w:lang w:val="en-GB"/>
              </w:rPr>
              <w:t xml:space="preserve">Complexity can come from many things, lack of standard being one of them. Think of the standards in your SDDC architecture or EUC architecture, </w:t>
            </w:r>
            <w:r w:rsidR="00C96C7C">
              <w:rPr>
                <w:lang w:val="en-GB"/>
              </w:rPr>
              <w:t xml:space="preserve">and customize the configuration </w:t>
            </w:r>
            <w:r w:rsidRPr="00A452F2">
              <w:rPr>
                <w:lang w:val="en-GB"/>
              </w:rPr>
              <w:t>dashboard to shine light on the issue.</w:t>
            </w:r>
          </w:p>
          <w:p w14:paraId="3B1FC9BF" w14:textId="4E22603C" w:rsidR="00E06A50" w:rsidRPr="00C663D6" w:rsidRDefault="00E06A50" w:rsidP="00B4114B">
            <w:pPr>
              <w:pStyle w:val="Tablecontent"/>
              <w:rPr>
                <w:lang w:val="en-GB"/>
              </w:rPr>
            </w:pPr>
            <w:r>
              <w:rPr>
                <w:lang w:val="en-GB"/>
              </w:rPr>
              <w:t>I think having flexible VM vCPU and memory size do not create complexity</w:t>
            </w:r>
            <w:r w:rsidR="0026061C">
              <w:rPr>
                <w:lang w:val="en-GB"/>
              </w:rPr>
              <w:t>, as the permutation is not something you manage</w:t>
            </w:r>
            <w:r w:rsidR="00B4114B">
              <w:rPr>
                <w:lang w:val="en-GB"/>
              </w:rPr>
              <w:t>.</w:t>
            </w:r>
          </w:p>
        </w:tc>
      </w:tr>
      <w:tr w:rsidR="00D21680" w14:paraId="0DAD81F2" w14:textId="77777777" w:rsidTr="00344C09">
        <w:tc>
          <w:tcPr>
            <w:tcW w:w="1413" w:type="dxa"/>
            <w:shd w:val="clear" w:color="auto" w:fill="F2F2F2" w:themeFill="background1" w:themeFillShade="F2"/>
          </w:tcPr>
          <w:p w14:paraId="7C4DDF0A" w14:textId="0D9336E7" w:rsidR="00D21680" w:rsidRPr="00D21680" w:rsidRDefault="00D21680" w:rsidP="00D21680">
            <w:pPr>
              <w:pStyle w:val="Tablecontent"/>
              <w:rPr>
                <w:b/>
                <w:bCs/>
              </w:rPr>
            </w:pPr>
            <w:r>
              <w:rPr>
                <w:b/>
                <w:bCs/>
              </w:rPr>
              <w:t>Step 4</w:t>
            </w:r>
          </w:p>
        </w:tc>
        <w:tc>
          <w:tcPr>
            <w:tcW w:w="9043" w:type="dxa"/>
          </w:tcPr>
          <w:p w14:paraId="52728036" w14:textId="317D358C" w:rsidR="00D21680" w:rsidRPr="00B4114B" w:rsidRDefault="00AB1EE0" w:rsidP="00B4114B">
            <w:pPr>
              <w:pStyle w:val="Tablecontent"/>
            </w:pPr>
            <w:r w:rsidRPr="00B4114B">
              <w:t>The last step is about cost and capacity, as there is nothing wrong already. You want to maximize the usage of your resources while minimizing your cost. It’s a balancing act!</w:t>
            </w:r>
          </w:p>
        </w:tc>
      </w:tr>
    </w:tbl>
    <w:p w14:paraId="754A20BD" w14:textId="15C43FBF" w:rsidR="00FC525D" w:rsidRPr="00E60B7B" w:rsidRDefault="00FC525D" w:rsidP="00CF2F94">
      <w:pPr>
        <w:pStyle w:val="BeforeTable"/>
      </w:pPr>
    </w:p>
    <w:p w14:paraId="5A17B79C" w14:textId="104EC76E" w:rsidR="00F64063" w:rsidRDefault="2B512EF3" w:rsidP="009B13B9">
      <w:r>
        <w:t xml:space="preserve">Note that each </w:t>
      </w:r>
      <w:r w:rsidR="2A35BAFA">
        <w:t xml:space="preserve">customer runs their </w:t>
      </w:r>
      <w:r>
        <w:t xml:space="preserve">operations </w:t>
      </w:r>
      <w:r w:rsidR="09E52B49">
        <w:t xml:space="preserve">in </w:t>
      </w:r>
      <w:r>
        <w:t>unique</w:t>
      </w:r>
      <w:r w:rsidR="7096EE63">
        <w:t xml:space="preserve"> way</w:t>
      </w:r>
      <w:r w:rsidR="000551C7">
        <w:t>. Each operation is</w:t>
      </w:r>
      <w:r w:rsidR="7096EE63">
        <w:t xml:space="preserve"> </w:t>
      </w:r>
      <w:r>
        <w:t xml:space="preserve">like a </w:t>
      </w:r>
      <w:r w:rsidR="000551C7">
        <w:t xml:space="preserve">human </w:t>
      </w:r>
      <w:r>
        <w:t>fingerprint. So what is right for other customers, may not be right for you. Even in the same environment, what is right for development environment may not be appropriate for production.</w:t>
      </w:r>
    </w:p>
    <w:p w14:paraId="394578A4" w14:textId="077A1D3D" w:rsidR="00C5175D" w:rsidRDefault="00C5175D" w:rsidP="009B13B9">
      <w:r>
        <w:t>Tools wise, use Log Insight, Skyline</w:t>
      </w:r>
      <w:r w:rsidR="00BD2360">
        <w:t>, and other health check that comes with vSphere, vSAN or NSX.</w:t>
      </w:r>
    </w:p>
    <w:p w14:paraId="1996C375" w14:textId="77777777" w:rsidR="00A37F51" w:rsidRDefault="00A37F51" w:rsidP="00A37F51">
      <w:r>
        <w:t xml:space="preserve">Review from the Consumer Layer, and then the Provider Layer. </w:t>
      </w:r>
    </w:p>
    <w:p w14:paraId="672D2D54" w14:textId="6A71AF7F" w:rsidR="00A37F51" w:rsidRDefault="00A37F51" w:rsidP="00A37F51">
      <w:pPr>
        <w:pStyle w:val="Bullet"/>
      </w:pPr>
      <w:r>
        <w:t>Consumer layer consists of VM and everything that runs inside the VM, such as process, a</w:t>
      </w:r>
      <w:r w:rsidRPr="00DA03C8">
        <w:t>pplications</w:t>
      </w:r>
      <w:r>
        <w:t xml:space="preserve">, </w:t>
      </w:r>
      <w:r w:rsidRPr="00DA03C8">
        <w:t>Guest OS</w:t>
      </w:r>
      <w:r>
        <w:t xml:space="preserve"> and </w:t>
      </w:r>
      <w:r w:rsidRPr="00DA03C8">
        <w:t>Container</w:t>
      </w:r>
      <w:r>
        <w:t>.</w:t>
      </w:r>
    </w:p>
    <w:p w14:paraId="72C0656E" w14:textId="5EB0EDA3" w:rsidR="00A37F51" w:rsidRDefault="00A37F51" w:rsidP="00A37F51">
      <w:pPr>
        <w:pStyle w:val="Bullet"/>
      </w:pPr>
      <w:r>
        <w:lastRenderedPageBreak/>
        <w:t xml:space="preserve">Provider layer consists of the software and hardware infrastructure, such as </w:t>
      </w:r>
      <w:r w:rsidRPr="00C75640">
        <w:t>Telegraf</w:t>
      </w:r>
      <w:r>
        <w:t xml:space="preserve">, </w:t>
      </w:r>
      <w:r w:rsidRPr="00C75640">
        <w:t>ESXi</w:t>
      </w:r>
      <w:r>
        <w:t>, vSphere c</w:t>
      </w:r>
      <w:r w:rsidRPr="00C75640">
        <w:t>luster</w:t>
      </w:r>
      <w:r>
        <w:t>, d</w:t>
      </w:r>
      <w:r w:rsidRPr="00C75640">
        <w:t xml:space="preserve">atastore &amp; </w:t>
      </w:r>
      <w:r>
        <w:t>datastore c</w:t>
      </w:r>
      <w:r w:rsidRPr="00C75640">
        <w:t>luster</w:t>
      </w:r>
      <w:r>
        <w:t>, resource pool, distributed virtual s</w:t>
      </w:r>
      <w:r w:rsidRPr="00C75640">
        <w:t xml:space="preserve">witch and </w:t>
      </w:r>
      <w:r>
        <w:t>p</w:t>
      </w:r>
      <w:r w:rsidRPr="00C75640">
        <w:t xml:space="preserve">ort </w:t>
      </w:r>
      <w:r>
        <w:t>g</w:t>
      </w:r>
      <w:r w:rsidRPr="00C75640">
        <w:t>roup</w:t>
      </w:r>
      <w:r>
        <w:t>, vSAN, NSX and certainly h</w:t>
      </w:r>
      <w:r w:rsidRPr="00C75640">
        <w:t>ardware</w:t>
      </w:r>
      <w:r>
        <w:t>.</w:t>
      </w:r>
    </w:p>
    <w:p w14:paraId="13F80938" w14:textId="7C4882A8" w:rsidR="00FB3946" w:rsidRDefault="00152638" w:rsidP="00A37F51">
      <w:pPr>
        <w:pStyle w:val="Heading4"/>
      </w:pPr>
      <w:r>
        <w:t>Correct It</w:t>
      </w:r>
    </w:p>
    <w:p w14:paraId="04C97057" w14:textId="3C116B71" w:rsidR="003D5791" w:rsidRDefault="003D5791" w:rsidP="003D5791">
      <w:pPr>
        <w:rPr>
          <w:lang w:val="en-GB"/>
        </w:rPr>
      </w:pPr>
      <w:r>
        <w:rPr>
          <w:lang w:val="en-GB"/>
        </w:rPr>
        <w:t>The following table provides example of configuration that you</w:t>
      </w:r>
      <w:r w:rsidR="00161121">
        <w:rPr>
          <w:lang w:val="en-GB"/>
        </w:rPr>
        <w:t xml:space="preserve"> want to correct, assuming they do not meet your standard.</w:t>
      </w:r>
    </w:p>
    <w:p w14:paraId="38042771" w14:textId="374F5FBF" w:rsidR="00161121" w:rsidRPr="00A37F51" w:rsidRDefault="00A37F51" w:rsidP="00161121">
      <w:pPr>
        <w:pStyle w:val="Heading5"/>
      </w:pPr>
      <w:r>
        <w:t>Consumer Layer</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552"/>
        <w:gridCol w:w="7904"/>
      </w:tblGrid>
      <w:tr w:rsidR="003926DC" w14:paraId="60C34AD7" w14:textId="77777777" w:rsidTr="00A63336">
        <w:tc>
          <w:tcPr>
            <w:tcW w:w="2552" w:type="dxa"/>
            <w:shd w:val="clear" w:color="auto" w:fill="F2F2F2" w:themeFill="background1" w:themeFillShade="F2"/>
          </w:tcPr>
          <w:p w14:paraId="41365342" w14:textId="6827442E" w:rsidR="003926DC" w:rsidRPr="004D5A18" w:rsidRDefault="00301FCD" w:rsidP="005321A6">
            <w:pPr>
              <w:pStyle w:val="Tablecontent"/>
            </w:pPr>
            <w:r w:rsidRPr="004D5A18">
              <w:t>JVM or DB</w:t>
            </w:r>
          </w:p>
        </w:tc>
        <w:tc>
          <w:tcPr>
            <w:tcW w:w="7904" w:type="dxa"/>
          </w:tcPr>
          <w:p w14:paraId="445A8C40" w14:textId="66F6895A" w:rsidR="003926DC" w:rsidRDefault="003926DC" w:rsidP="00F706A2">
            <w:pPr>
              <w:pStyle w:val="Tablecontent"/>
            </w:pPr>
            <w:r w:rsidRPr="00EA5F90">
              <w:t>Java V</w:t>
            </w:r>
            <w:r w:rsidR="00B55058">
              <w:t xml:space="preserve">irtual </w:t>
            </w:r>
            <w:r w:rsidRPr="00EA5F90">
              <w:t>M</w:t>
            </w:r>
            <w:r w:rsidR="00B55058">
              <w:t>a</w:t>
            </w:r>
            <w:r w:rsidR="001A6C1E">
              <w:t>chine</w:t>
            </w:r>
            <w:r w:rsidRPr="00EA5F90">
              <w:t xml:space="preserve"> or Database </w:t>
            </w:r>
            <w:r w:rsidR="00301FCD">
              <w:t xml:space="preserve">with </w:t>
            </w:r>
            <w:r w:rsidRPr="00EA5F90">
              <w:t>memory config too large relative to Guest OS</w:t>
            </w:r>
            <w:r w:rsidR="001A6C1E">
              <w:t>. This can cause performance issue.</w:t>
            </w:r>
          </w:p>
        </w:tc>
      </w:tr>
      <w:tr w:rsidR="00F706A2" w14:paraId="3DA43383" w14:textId="77777777" w:rsidTr="00A63336">
        <w:tc>
          <w:tcPr>
            <w:tcW w:w="2552" w:type="dxa"/>
            <w:shd w:val="clear" w:color="auto" w:fill="F2F2F2" w:themeFill="background1" w:themeFillShade="F2"/>
          </w:tcPr>
          <w:p w14:paraId="2C194B07" w14:textId="78125D69" w:rsidR="00F706A2" w:rsidRPr="00F706A2" w:rsidRDefault="00EC2565" w:rsidP="005321A6">
            <w:pPr>
              <w:pStyle w:val="Tablecontent"/>
            </w:pPr>
            <w:r>
              <w:t xml:space="preserve">VM </w:t>
            </w:r>
            <w:r w:rsidR="00F706A2" w:rsidRPr="00F706A2">
              <w:t>Limit</w:t>
            </w:r>
          </w:p>
        </w:tc>
        <w:tc>
          <w:tcPr>
            <w:tcW w:w="7904" w:type="dxa"/>
          </w:tcPr>
          <w:p w14:paraId="61601220" w14:textId="63B84989" w:rsidR="00F706A2" w:rsidRPr="00EA5F90" w:rsidRDefault="00F706A2" w:rsidP="001A6C1E">
            <w:pPr>
              <w:pStyle w:val="Tablecontent"/>
            </w:pPr>
            <w:r>
              <w:t xml:space="preserve">CPU, Memory and Disk IOPS Limit. Avoid </w:t>
            </w:r>
            <w:r w:rsidR="001A6C1E">
              <w:t xml:space="preserve">using </w:t>
            </w:r>
            <w:r w:rsidRPr="00F706A2">
              <w:t>limit as it can result in unpredictable performance. The Guest OS is not aware of this restriction as it is at the hypervisor level. It is recommended that you shrink the VM instead.</w:t>
            </w:r>
          </w:p>
        </w:tc>
      </w:tr>
      <w:tr w:rsidR="003B5BCB" w14:paraId="2A6F8364" w14:textId="77777777" w:rsidTr="00A63336">
        <w:tc>
          <w:tcPr>
            <w:tcW w:w="2552" w:type="dxa"/>
            <w:shd w:val="clear" w:color="auto" w:fill="F2F2F2" w:themeFill="background1" w:themeFillShade="F2"/>
          </w:tcPr>
          <w:p w14:paraId="40AF6AB0" w14:textId="5E34CA8F" w:rsidR="003B5BCB" w:rsidRDefault="003B5BCB" w:rsidP="005321A6">
            <w:pPr>
              <w:pStyle w:val="Tablecontent"/>
            </w:pPr>
            <w:r>
              <w:t>VM Shares</w:t>
            </w:r>
          </w:p>
        </w:tc>
        <w:tc>
          <w:tcPr>
            <w:tcW w:w="7904" w:type="dxa"/>
          </w:tcPr>
          <w:p w14:paraId="703F7C8E" w14:textId="314E5E0C" w:rsidR="003B5BCB" w:rsidRDefault="008A3530" w:rsidP="001A6C1E">
            <w:pPr>
              <w:pStyle w:val="Tablecontent"/>
            </w:pPr>
            <w:r>
              <w:t xml:space="preserve">A VM 2x larger should have 2x share, all else being equal. </w:t>
            </w:r>
            <w:r w:rsidR="006D08CF">
              <w:t>If you right size VM manually via vSphere Client UI, it auto adjust the share. If you do via API, it does not. Check for VMs whose size are not aligned with their share.</w:t>
            </w:r>
            <w:r w:rsidR="002119A8">
              <w:t xml:space="preserve"> On the other hand, to prevent villain VM, apply less share. So this depends on the situation.</w:t>
            </w:r>
          </w:p>
          <w:p w14:paraId="249CB243" w14:textId="0933BBA8" w:rsidR="006D08CF" w:rsidRDefault="006D08CF" w:rsidP="001A6C1E">
            <w:pPr>
              <w:pStyle w:val="Tablecontent"/>
            </w:pPr>
            <w:r>
              <w:t xml:space="preserve">Also, check those VMs whose share you manually change, to ensure the number is still valid. </w:t>
            </w:r>
          </w:p>
        </w:tc>
      </w:tr>
      <w:tr w:rsidR="002119A8" w14:paraId="1A9B380E" w14:textId="77777777" w:rsidTr="00A63336">
        <w:tc>
          <w:tcPr>
            <w:tcW w:w="2552" w:type="dxa"/>
            <w:shd w:val="clear" w:color="auto" w:fill="F2F2F2" w:themeFill="background1" w:themeFillShade="F2"/>
          </w:tcPr>
          <w:p w14:paraId="6A534ACB" w14:textId="45ADF5C1" w:rsidR="002119A8" w:rsidRDefault="002119A8" w:rsidP="005321A6">
            <w:pPr>
              <w:pStyle w:val="Tablecontent"/>
            </w:pPr>
            <w:r>
              <w:t>VM Reservation</w:t>
            </w:r>
          </w:p>
        </w:tc>
        <w:tc>
          <w:tcPr>
            <w:tcW w:w="7904" w:type="dxa"/>
          </w:tcPr>
          <w:p w14:paraId="18694C27" w14:textId="7FECA82D" w:rsidR="002119A8" w:rsidRDefault="002119A8" w:rsidP="001A6C1E">
            <w:pPr>
              <w:pStyle w:val="Tablecontent"/>
            </w:pPr>
            <w:r>
              <w:t>If you have situation of noisy neighbors, you may have to use Reservation to guarantee minimum resources for everyone. If not, this is best left to 0.</w:t>
            </w:r>
          </w:p>
        </w:tc>
      </w:tr>
      <w:tr w:rsidR="00FA0B2E" w14:paraId="40954E76" w14:textId="77777777" w:rsidTr="00A63336">
        <w:tc>
          <w:tcPr>
            <w:tcW w:w="2552" w:type="dxa"/>
            <w:shd w:val="clear" w:color="auto" w:fill="F2F2F2" w:themeFill="background1" w:themeFillShade="F2"/>
          </w:tcPr>
          <w:p w14:paraId="124CAF54" w14:textId="28014FB7" w:rsidR="00FA0B2E" w:rsidRPr="00FA0B2E" w:rsidRDefault="00FA0B2E" w:rsidP="005321A6">
            <w:pPr>
              <w:pStyle w:val="Tablecontent"/>
            </w:pPr>
            <w:r w:rsidRPr="00EA5F90">
              <w:t xml:space="preserve">Guest </w:t>
            </w:r>
            <w:r w:rsidR="00470D07">
              <w:t>m</w:t>
            </w:r>
            <w:r w:rsidRPr="00EA5F90">
              <w:t>etric</w:t>
            </w:r>
            <w:r w:rsidR="00030E48">
              <w:t>s</w:t>
            </w:r>
          </w:p>
        </w:tc>
        <w:tc>
          <w:tcPr>
            <w:tcW w:w="7904" w:type="dxa"/>
          </w:tcPr>
          <w:p w14:paraId="22EEDCB2" w14:textId="16033D07" w:rsidR="00E35809" w:rsidRPr="00EA71AC" w:rsidRDefault="00FA0B2E" w:rsidP="00525FF5">
            <w:pPr>
              <w:pStyle w:val="Tablecontent"/>
              <w:rPr>
                <w:lang w:val="en-GB"/>
              </w:rPr>
            </w:pPr>
            <w:r w:rsidRPr="00A452F2">
              <w:rPr>
                <w:rStyle w:val="ph"/>
                <w:lang w:val="en-GB"/>
              </w:rPr>
              <w:t xml:space="preserve">vRealize Operations </w:t>
            </w:r>
            <w:r w:rsidRPr="00A452F2">
              <w:rPr>
                <w:lang w:val="en-GB"/>
              </w:rPr>
              <w:t>uses VMware Tools to retrieve Guest OS metrics. Without this, right-sizing VM memory can be inaccurate</w:t>
            </w:r>
            <w:r w:rsidR="00C57453">
              <w:rPr>
                <w:lang w:val="en-GB"/>
              </w:rPr>
              <w:t>.</w:t>
            </w:r>
            <w:r w:rsidRPr="00A452F2">
              <w:rPr>
                <w:lang w:val="en-GB"/>
              </w:rPr>
              <w:t xml:space="preserve"> </w:t>
            </w:r>
          </w:p>
        </w:tc>
      </w:tr>
      <w:tr w:rsidR="00BD53D6" w14:paraId="45013692" w14:textId="77777777" w:rsidTr="00A63336">
        <w:tc>
          <w:tcPr>
            <w:tcW w:w="2552" w:type="dxa"/>
            <w:shd w:val="clear" w:color="auto" w:fill="F2F2F2" w:themeFill="background1" w:themeFillShade="F2"/>
          </w:tcPr>
          <w:p w14:paraId="1C202AEB" w14:textId="339D9A50" w:rsidR="00BD53D6" w:rsidRDefault="00FA0B2E" w:rsidP="005321A6">
            <w:pPr>
              <w:pStyle w:val="Tablecontent"/>
              <w:rPr>
                <w:b/>
                <w:bCs/>
              </w:rPr>
            </w:pPr>
            <w:r w:rsidRPr="00EA5F90">
              <w:t>Broadcast packet</w:t>
            </w:r>
          </w:p>
        </w:tc>
        <w:tc>
          <w:tcPr>
            <w:tcW w:w="7904" w:type="dxa"/>
          </w:tcPr>
          <w:p w14:paraId="455E03B3" w14:textId="66AFEA4F" w:rsidR="00301FCD" w:rsidRDefault="00126A56" w:rsidP="005321A6">
            <w:pPr>
              <w:pStyle w:val="Tablecontent"/>
            </w:pPr>
            <w:r>
              <w:t xml:space="preserve">Most VMs should not be </w:t>
            </w:r>
            <w:r w:rsidR="00301FCD">
              <w:t>sending excessive broadcast or multicast packets</w:t>
            </w:r>
            <w:r w:rsidR="00165648">
              <w:t xml:space="preserve">, as traffic should be unicast. </w:t>
            </w:r>
          </w:p>
          <w:p w14:paraId="191B3D09" w14:textId="50685D9A" w:rsidR="00BD53D6" w:rsidRPr="00EA5F90" w:rsidRDefault="0056152C" w:rsidP="005321A6">
            <w:pPr>
              <w:pStyle w:val="Tablecontent"/>
            </w:pPr>
            <w:r>
              <w:t>This can be checked either at Guest OS or VM level</w:t>
            </w:r>
            <w:r w:rsidR="00126A56">
              <w:t xml:space="preserve">. </w:t>
            </w:r>
          </w:p>
        </w:tc>
      </w:tr>
      <w:tr w:rsidR="00F706A2" w14:paraId="2092EFED" w14:textId="77777777" w:rsidTr="00A63336">
        <w:tc>
          <w:tcPr>
            <w:tcW w:w="2552" w:type="dxa"/>
            <w:shd w:val="clear" w:color="auto" w:fill="F2F2F2" w:themeFill="background1" w:themeFillShade="F2"/>
          </w:tcPr>
          <w:p w14:paraId="1D3C516A" w14:textId="510EB71C" w:rsidR="00F706A2" w:rsidRPr="00EA5F90" w:rsidRDefault="00033B22" w:rsidP="005321A6">
            <w:pPr>
              <w:pStyle w:val="Tablecontent"/>
            </w:pPr>
            <w:r>
              <w:t xml:space="preserve">VMware </w:t>
            </w:r>
            <w:r w:rsidR="00F706A2">
              <w:t>T</w:t>
            </w:r>
            <w:r w:rsidR="00F706A2" w:rsidRPr="00EA5F90">
              <w:t xml:space="preserve">ools </w:t>
            </w:r>
          </w:p>
        </w:tc>
        <w:tc>
          <w:tcPr>
            <w:tcW w:w="7904" w:type="dxa"/>
          </w:tcPr>
          <w:p w14:paraId="0C44A27A" w14:textId="2C92F868" w:rsidR="00033B22" w:rsidRDefault="00165648" w:rsidP="005321A6">
            <w:pPr>
              <w:pStyle w:val="Tablecontent"/>
              <w:rPr>
                <w:lang w:val="en-GB"/>
              </w:rPr>
            </w:pPr>
            <w:r>
              <w:rPr>
                <w:lang w:val="en-GB"/>
              </w:rPr>
              <w:t xml:space="preserve">The lack of support from </w:t>
            </w:r>
            <w:hyperlink r:id="rId191" w:history="1">
              <w:r w:rsidR="00F706A2" w:rsidRPr="00C448CA">
                <w:rPr>
                  <w:rStyle w:val="Hyperlink"/>
                  <w:lang w:val="en-GB"/>
                </w:rPr>
                <w:t xml:space="preserve">Independent </w:t>
              </w:r>
              <w:r w:rsidR="00C607FA" w:rsidRPr="00C448CA">
                <w:rPr>
                  <w:rStyle w:val="Hyperlink"/>
                  <w:lang w:val="en-GB"/>
                </w:rPr>
                <w:t>S</w:t>
              </w:r>
              <w:r w:rsidR="00F706A2" w:rsidRPr="00C448CA">
                <w:rPr>
                  <w:rStyle w:val="Hyperlink"/>
                  <w:lang w:val="en-GB"/>
                </w:rPr>
                <w:t xml:space="preserve">oftware </w:t>
              </w:r>
              <w:r w:rsidR="00C607FA" w:rsidRPr="00C448CA">
                <w:rPr>
                  <w:rStyle w:val="Hyperlink"/>
                  <w:lang w:val="en-GB"/>
                </w:rPr>
                <w:t>V</w:t>
              </w:r>
              <w:r w:rsidR="00F706A2" w:rsidRPr="00C448CA">
                <w:rPr>
                  <w:rStyle w:val="Hyperlink"/>
                  <w:lang w:val="en-GB"/>
                </w:rPr>
                <w:t>endor</w:t>
              </w:r>
            </w:hyperlink>
            <w:r w:rsidR="00F706A2" w:rsidRPr="00A452F2">
              <w:rPr>
                <w:lang w:val="en-GB"/>
              </w:rPr>
              <w:t xml:space="preserve"> (ISV) </w:t>
            </w:r>
            <w:r>
              <w:rPr>
                <w:lang w:val="en-GB"/>
              </w:rPr>
              <w:t xml:space="preserve">owning the application </w:t>
            </w:r>
            <w:r w:rsidR="00F706A2" w:rsidRPr="00A452F2">
              <w:rPr>
                <w:lang w:val="en-GB"/>
              </w:rPr>
              <w:t>is the most common reason that VMware Tools is not installed</w:t>
            </w:r>
            <w:r>
              <w:rPr>
                <w:lang w:val="en-GB"/>
              </w:rPr>
              <w:t xml:space="preserve"> in the Guest OS</w:t>
            </w:r>
            <w:r w:rsidR="00F706A2" w:rsidRPr="00A452F2">
              <w:rPr>
                <w:lang w:val="en-GB"/>
              </w:rPr>
              <w:t xml:space="preserve">. The ISV vendor may claim that no additional software is installed in their appliance unless they have certified it. </w:t>
            </w:r>
          </w:p>
          <w:p w14:paraId="708CAB9A" w14:textId="26E549EE" w:rsidR="00033B22" w:rsidRDefault="00033B22" w:rsidP="005321A6">
            <w:pPr>
              <w:pStyle w:val="Tablecontent"/>
              <w:rPr>
                <w:lang w:val="en-GB"/>
              </w:rPr>
            </w:pPr>
            <w:r w:rsidRPr="00A452F2">
              <w:rPr>
                <w:lang w:val="en-GB"/>
              </w:rPr>
              <w:t>If VMware Tools is installed, there might be reasons why the application team disables it. The Infrastructure team should inform and educate their application team, and document the technical recommendations on why VMware Tools is strongly recommended to run all the time.</w:t>
            </w:r>
          </w:p>
          <w:p w14:paraId="58B65C97" w14:textId="21846E6A" w:rsidR="00F706A2" w:rsidRDefault="00F706A2" w:rsidP="005321A6">
            <w:pPr>
              <w:pStyle w:val="Tablecontent"/>
              <w:rPr>
                <w:lang w:val="en-GB"/>
              </w:rPr>
            </w:pPr>
            <w:r w:rsidRPr="00A452F2">
              <w:rPr>
                <w:lang w:val="en-GB"/>
              </w:rPr>
              <w:t xml:space="preserve">For more information about VMware Tools, see the </w:t>
            </w:r>
            <w:hyperlink r:id="rId192" w:tgtFrame="_blank" w:history="1">
              <w:r w:rsidRPr="00A452F2">
                <w:rPr>
                  <w:rStyle w:val="Hyperlink"/>
                  <w:lang w:val="en-GB"/>
                </w:rPr>
                <w:t>VMware Tools documentation</w:t>
              </w:r>
            </w:hyperlink>
            <w:r w:rsidRPr="00A452F2">
              <w:rPr>
                <w:lang w:val="en-GB"/>
              </w:rPr>
              <w:t>.</w:t>
            </w:r>
          </w:p>
          <w:p w14:paraId="2E0C151E" w14:textId="3EA2C1AA" w:rsidR="00F706A2" w:rsidRDefault="00F706A2" w:rsidP="005321A6">
            <w:pPr>
              <w:pStyle w:val="Tablecontent"/>
            </w:pPr>
            <w:r w:rsidRPr="00A452F2">
              <w:rPr>
                <w:lang w:val="en-GB"/>
              </w:rPr>
              <w:lastRenderedPageBreak/>
              <w:t xml:space="preserve">Using VMware Tools has multiple benefits. For the list of benefits, refer to </w:t>
            </w:r>
            <w:hyperlink r:id="rId193" w:tgtFrame="_blank" w:history="1">
              <w:r w:rsidRPr="00A452F2">
                <w:rPr>
                  <w:rStyle w:val="Hyperlink"/>
                  <w:lang w:val="en-GB"/>
                </w:rPr>
                <w:t>KB 340</w:t>
              </w:r>
            </w:hyperlink>
            <w:r w:rsidRPr="00A452F2">
              <w:rPr>
                <w:lang w:val="en-GB"/>
              </w:rPr>
              <w:t>.</w:t>
            </w:r>
          </w:p>
        </w:tc>
      </w:tr>
      <w:tr w:rsidR="00312870" w14:paraId="5C27B7A7" w14:textId="77777777" w:rsidTr="00A63336">
        <w:tc>
          <w:tcPr>
            <w:tcW w:w="2552" w:type="dxa"/>
            <w:shd w:val="clear" w:color="auto" w:fill="F2F2F2" w:themeFill="background1" w:themeFillShade="F2"/>
          </w:tcPr>
          <w:p w14:paraId="73029C27" w14:textId="341055E4" w:rsidR="00312870" w:rsidRDefault="0056152C" w:rsidP="005321A6">
            <w:pPr>
              <w:pStyle w:val="Tablecontent"/>
              <w:rPr>
                <w:b/>
                <w:bCs/>
              </w:rPr>
            </w:pPr>
            <w:r>
              <w:rPr>
                <w:rFonts w:eastAsiaTheme="minorHAnsi"/>
                <w:lang w:val="en-SG" w:eastAsia="en-GB"/>
              </w:rPr>
              <w:lastRenderedPageBreak/>
              <w:t>VM o</w:t>
            </w:r>
            <w:r w:rsidR="00A63336" w:rsidRPr="00EA5F90">
              <w:rPr>
                <w:rFonts w:eastAsiaTheme="minorHAnsi"/>
                <w:lang w:val="en-SG" w:eastAsia="en-GB"/>
              </w:rPr>
              <w:t xml:space="preserve">n local </w:t>
            </w:r>
            <w:r w:rsidR="00470D07">
              <w:rPr>
                <w:rFonts w:eastAsiaTheme="minorHAnsi"/>
                <w:lang w:val="en-SG" w:eastAsia="en-GB"/>
              </w:rPr>
              <w:t>d</w:t>
            </w:r>
            <w:r w:rsidR="00A63336" w:rsidRPr="00EA5F90">
              <w:rPr>
                <w:rFonts w:eastAsiaTheme="minorHAnsi"/>
                <w:lang w:val="en-SG" w:eastAsia="en-GB"/>
              </w:rPr>
              <w:t>atastore</w:t>
            </w:r>
          </w:p>
        </w:tc>
        <w:tc>
          <w:tcPr>
            <w:tcW w:w="7904" w:type="dxa"/>
          </w:tcPr>
          <w:p w14:paraId="431F5944" w14:textId="02B22950" w:rsidR="00CE625C" w:rsidRDefault="004D5A18" w:rsidP="005321A6">
            <w:pPr>
              <w:pStyle w:val="Tablecontent"/>
            </w:pPr>
            <w:r>
              <w:t xml:space="preserve">Are they any VM running on local datastores? </w:t>
            </w:r>
            <w:r w:rsidR="002F1C3C">
              <w:t>These should be limited to agent VM or VM that do not need vMotion</w:t>
            </w:r>
            <w:r w:rsidR="000043C0">
              <w:t xml:space="preserve"> and backup. Backing up from a slow storage can cause performance problem</w:t>
            </w:r>
            <w:r w:rsidR="005D2AE9">
              <w:t xml:space="preserve"> to the VM as the local disk may not be able to serve both.</w:t>
            </w:r>
          </w:p>
          <w:p w14:paraId="462D8A84" w14:textId="5B7C1ADC" w:rsidR="00312870" w:rsidRPr="00EA5F90" w:rsidRDefault="00E37D53" w:rsidP="005321A6">
            <w:pPr>
              <w:pStyle w:val="Tablecontent"/>
            </w:pPr>
            <w:r>
              <w:t>It’s not a place you put back up as you can forget.</w:t>
            </w:r>
          </w:p>
        </w:tc>
      </w:tr>
      <w:tr w:rsidR="00E74BC4" w14:paraId="40135065" w14:textId="77777777" w:rsidTr="00A63336">
        <w:tc>
          <w:tcPr>
            <w:tcW w:w="2552" w:type="dxa"/>
            <w:shd w:val="clear" w:color="auto" w:fill="F2F2F2" w:themeFill="background1" w:themeFillShade="F2"/>
          </w:tcPr>
          <w:p w14:paraId="4D0C9A76" w14:textId="6784CE0F" w:rsidR="00A63336" w:rsidRPr="00EA5F90" w:rsidRDefault="00A63336" w:rsidP="00A63336">
            <w:pPr>
              <w:pStyle w:val="Tablecontent"/>
            </w:pPr>
            <w:r w:rsidRPr="00EA5F90">
              <w:t xml:space="preserve">Snapshot </w:t>
            </w:r>
          </w:p>
          <w:p w14:paraId="41BFC015" w14:textId="77777777" w:rsidR="00E74BC4" w:rsidRDefault="00E74BC4" w:rsidP="005321A6">
            <w:pPr>
              <w:pStyle w:val="Tablecontent"/>
              <w:rPr>
                <w:b/>
                <w:bCs/>
              </w:rPr>
            </w:pPr>
          </w:p>
        </w:tc>
        <w:tc>
          <w:tcPr>
            <w:tcW w:w="7904" w:type="dxa"/>
          </w:tcPr>
          <w:p w14:paraId="7438BF64" w14:textId="27222DCD" w:rsidR="001A140D" w:rsidRPr="00BD53D6" w:rsidRDefault="00E74BC4" w:rsidP="00A63336">
            <w:pPr>
              <w:pStyle w:val="Tablecontent"/>
            </w:pPr>
            <w:r w:rsidRPr="00A452F2">
              <w:t xml:space="preserve">Ensure that </w:t>
            </w:r>
            <w:r w:rsidRPr="00A63336">
              <w:t>the</w:t>
            </w:r>
            <w:r w:rsidRPr="00A452F2">
              <w:t xml:space="preserve"> snapshot is removed within one day after the change request. If not, it might </w:t>
            </w:r>
            <w:r w:rsidR="00110F6F">
              <w:t xml:space="preserve">be forgotten, </w:t>
            </w:r>
            <w:r w:rsidRPr="00A452F2">
              <w:t>result</w:t>
            </w:r>
            <w:r w:rsidR="00110F6F">
              <w:t>ing</w:t>
            </w:r>
            <w:r w:rsidRPr="00A452F2">
              <w:t xml:space="preserve"> in a large snapshot and impact</w:t>
            </w:r>
            <w:r w:rsidR="00110F6F">
              <w:t>ing</w:t>
            </w:r>
            <w:r w:rsidRPr="00A452F2">
              <w:t xml:space="preserve"> the performance of the VM. </w:t>
            </w:r>
          </w:p>
        </w:tc>
      </w:tr>
      <w:tr w:rsidR="00B8100B" w14:paraId="2217B4A3" w14:textId="77777777" w:rsidTr="00A63336">
        <w:tc>
          <w:tcPr>
            <w:tcW w:w="2552" w:type="dxa"/>
            <w:shd w:val="clear" w:color="auto" w:fill="F2F2F2" w:themeFill="background1" w:themeFillShade="F2"/>
          </w:tcPr>
          <w:p w14:paraId="36B3F5D1" w14:textId="25A3752A" w:rsidR="00B8100B" w:rsidRPr="00EA5F90" w:rsidRDefault="00B8100B" w:rsidP="00A63336">
            <w:pPr>
              <w:pStyle w:val="Tablecontent"/>
            </w:pPr>
            <w:r>
              <w:t>Guest OS Type</w:t>
            </w:r>
          </w:p>
        </w:tc>
        <w:tc>
          <w:tcPr>
            <w:tcW w:w="7904" w:type="dxa"/>
          </w:tcPr>
          <w:p w14:paraId="2331015C" w14:textId="77777777" w:rsidR="00CC6F37" w:rsidRDefault="00B8100B" w:rsidP="00A63336">
            <w:pPr>
              <w:pStyle w:val="Tablecontent"/>
            </w:pPr>
            <w:r>
              <w:t xml:space="preserve">The actual Guest OS may not match the type specified during VM creation. This could be due to Guest OS upgrade, or </w:t>
            </w:r>
            <w:r w:rsidR="00CC6F37">
              <w:t>reformat. Update the value in vCenter to avoid confusion. Do this by comparing these 2 properties:</w:t>
            </w:r>
          </w:p>
          <w:p w14:paraId="0D1B0672" w14:textId="77777777" w:rsidR="00CC6F37" w:rsidRDefault="00A37BA4" w:rsidP="00E11A39">
            <w:pPr>
              <w:pStyle w:val="Tablecontent"/>
              <w:numPr>
                <w:ilvl w:val="0"/>
                <w:numId w:val="47"/>
              </w:numPr>
            </w:pPr>
            <w:r>
              <w:t>Guest OS from vCenter</w:t>
            </w:r>
          </w:p>
          <w:p w14:paraId="30EA2845" w14:textId="0958C098" w:rsidR="00A37BA4" w:rsidRPr="00A452F2" w:rsidRDefault="00A37BA4" w:rsidP="00E11A39">
            <w:pPr>
              <w:pStyle w:val="Tablecontent"/>
              <w:numPr>
                <w:ilvl w:val="0"/>
                <w:numId w:val="47"/>
              </w:numPr>
            </w:pPr>
            <w:r>
              <w:t>Guest OS from Tools</w:t>
            </w:r>
          </w:p>
        </w:tc>
      </w:tr>
      <w:tr w:rsidR="00EE1EA2" w14:paraId="2CB1D61D" w14:textId="77777777" w:rsidTr="00A63336">
        <w:tc>
          <w:tcPr>
            <w:tcW w:w="2552" w:type="dxa"/>
            <w:shd w:val="clear" w:color="auto" w:fill="F2F2F2" w:themeFill="background1" w:themeFillShade="F2"/>
          </w:tcPr>
          <w:p w14:paraId="32CDB79E" w14:textId="299340E9" w:rsidR="00EE1EA2" w:rsidRDefault="00EE1EA2" w:rsidP="00A63336">
            <w:pPr>
              <w:pStyle w:val="Tablecontent"/>
            </w:pPr>
            <w:r>
              <w:t>vSphere Replication</w:t>
            </w:r>
          </w:p>
        </w:tc>
        <w:tc>
          <w:tcPr>
            <w:tcW w:w="7904" w:type="dxa"/>
          </w:tcPr>
          <w:p w14:paraId="1909EC10" w14:textId="04E77EEE" w:rsidR="00EE1EA2" w:rsidRDefault="00EE1EA2" w:rsidP="00A63336">
            <w:pPr>
              <w:pStyle w:val="Tablecontent"/>
            </w:pPr>
            <w:r>
              <w:t>Incorrect replication setting. A VM that is no longer could still be replicated</w:t>
            </w:r>
            <w:r w:rsidR="008202C1">
              <w:t xml:space="preserve"> if the VM Owner never inform infrastructure team.</w:t>
            </w:r>
          </w:p>
        </w:tc>
      </w:tr>
      <w:tr w:rsidR="00190C36" w14:paraId="5948E8DA" w14:textId="77777777" w:rsidTr="00A63336">
        <w:tc>
          <w:tcPr>
            <w:tcW w:w="2552" w:type="dxa"/>
            <w:shd w:val="clear" w:color="auto" w:fill="F2F2F2" w:themeFill="background1" w:themeFillShade="F2"/>
          </w:tcPr>
          <w:p w14:paraId="587497C0" w14:textId="5C411F7E" w:rsidR="00190C36" w:rsidRDefault="00190C36" w:rsidP="00A63336">
            <w:pPr>
              <w:pStyle w:val="Tablecontent"/>
            </w:pPr>
            <w:r>
              <w:t>Hostname</w:t>
            </w:r>
          </w:p>
        </w:tc>
        <w:tc>
          <w:tcPr>
            <w:tcW w:w="7904" w:type="dxa"/>
          </w:tcPr>
          <w:p w14:paraId="0BEE8AA1" w14:textId="12411ED9" w:rsidR="00190C36" w:rsidRDefault="00190C36" w:rsidP="00A63336">
            <w:pPr>
              <w:pStyle w:val="Tablecontent"/>
            </w:pPr>
            <w:r>
              <w:t>Hostname not following your naming convention. This is typically common when self-service provisioning is used.</w:t>
            </w:r>
          </w:p>
        </w:tc>
      </w:tr>
      <w:tr w:rsidR="00970122" w14:paraId="0143E8CF" w14:textId="77777777" w:rsidTr="00A63336">
        <w:tc>
          <w:tcPr>
            <w:tcW w:w="2552" w:type="dxa"/>
            <w:shd w:val="clear" w:color="auto" w:fill="F2F2F2" w:themeFill="background1" w:themeFillShade="F2"/>
          </w:tcPr>
          <w:p w14:paraId="015563E9" w14:textId="35138E60" w:rsidR="00970122" w:rsidRDefault="00970122" w:rsidP="00A63336">
            <w:pPr>
              <w:pStyle w:val="Tablecontent"/>
            </w:pPr>
            <w:r>
              <w:t>NUMA</w:t>
            </w:r>
          </w:p>
        </w:tc>
        <w:tc>
          <w:tcPr>
            <w:tcW w:w="7904" w:type="dxa"/>
          </w:tcPr>
          <w:p w14:paraId="43E69DE3" w14:textId="7277AB5B" w:rsidR="00970122" w:rsidRDefault="00970122" w:rsidP="00A63336">
            <w:pPr>
              <w:pStyle w:val="Tablecontent"/>
            </w:pPr>
            <w:r w:rsidRPr="00D106F3">
              <w:t>NUMA effect. VM spanning NUMA nodes</w:t>
            </w:r>
          </w:p>
        </w:tc>
      </w:tr>
      <w:tr w:rsidR="00B45C34" w14:paraId="5604AAF7" w14:textId="77777777" w:rsidTr="00A63336">
        <w:tc>
          <w:tcPr>
            <w:tcW w:w="2552" w:type="dxa"/>
            <w:shd w:val="clear" w:color="auto" w:fill="F2F2F2" w:themeFill="background1" w:themeFillShade="F2"/>
          </w:tcPr>
          <w:p w14:paraId="62A6725D" w14:textId="2B942E2E" w:rsidR="00B45C34" w:rsidRPr="00B45C34" w:rsidRDefault="00B45C34" w:rsidP="00B45C34">
            <w:pPr>
              <w:pStyle w:val="Tablecontent"/>
            </w:pPr>
            <w:r w:rsidRPr="00B45C34">
              <w:t>VM Hardware</w:t>
            </w:r>
          </w:p>
        </w:tc>
        <w:tc>
          <w:tcPr>
            <w:tcW w:w="7904" w:type="dxa"/>
          </w:tcPr>
          <w:p w14:paraId="267E4AB4" w14:textId="6AF8CA93" w:rsidR="00B45C34" w:rsidRPr="00D106F3" w:rsidRDefault="00B45C34" w:rsidP="00B45C34">
            <w:pPr>
              <w:pStyle w:val="Tablecontent"/>
            </w:pPr>
            <w:r w:rsidRPr="00D106F3">
              <w:rPr>
                <w:rFonts w:eastAsiaTheme="minorHAnsi"/>
                <w:lang w:val="en-SG" w:eastAsia="en-GB"/>
              </w:rPr>
              <w:t>VM drivers</w:t>
            </w:r>
            <w:r>
              <w:rPr>
                <w:rFonts w:eastAsiaTheme="minorHAnsi"/>
                <w:lang w:val="en-SG" w:eastAsia="en-GB"/>
              </w:rPr>
              <w:t xml:space="preserve">, such as LSI Logic queue </w:t>
            </w:r>
            <w:r w:rsidR="006D08CF">
              <w:rPr>
                <w:rFonts w:eastAsiaTheme="minorHAnsi"/>
                <w:lang w:val="en-SG" w:eastAsia="en-GB"/>
              </w:rPr>
              <w:t xml:space="preserve">can get </w:t>
            </w:r>
            <w:r>
              <w:rPr>
                <w:rFonts w:eastAsiaTheme="minorHAnsi"/>
                <w:lang w:val="en-SG" w:eastAsia="en-GB"/>
              </w:rPr>
              <w:t>filled up</w:t>
            </w:r>
            <w:r w:rsidR="006D08CF">
              <w:rPr>
                <w:rFonts w:eastAsiaTheme="minorHAnsi"/>
                <w:lang w:val="en-SG" w:eastAsia="en-GB"/>
              </w:rPr>
              <w:t>. Establish a design standard and ensure it’s followed.</w:t>
            </w:r>
          </w:p>
        </w:tc>
      </w:tr>
    </w:tbl>
    <w:p w14:paraId="32975AFB" w14:textId="4B89144E" w:rsidR="00A37F51" w:rsidRPr="00A37F51" w:rsidRDefault="00A37F51" w:rsidP="00A37F51">
      <w:pPr>
        <w:pStyle w:val="Heading5"/>
      </w:pPr>
      <w:r>
        <w:t>Provider Layer</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552"/>
        <w:gridCol w:w="7904"/>
      </w:tblGrid>
      <w:tr w:rsidR="00A37F51" w14:paraId="69A51C47" w14:textId="77777777" w:rsidTr="00281329">
        <w:tc>
          <w:tcPr>
            <w:tcW w:w="2552" w:type="dxa"/>
            <w:shd w:val="clear" w:color="auto" w:fill="F2F2F2" w:themeFill="background1" w:themeFillShade="F2"/>
          </w:tcPr>
          <w:p w14:paraId="738A23C6" w14:textId="77777777" w:rsidR="00A37F51" w:rsidRDefault="00A37F51" w:rsidP="00281329">
            <w:pPr>
              <w:pStyle w:val="Tablecontent"/>
              <w:rPr>
                <w:b/>
                <w:bCs/>
              </w:rPr>
            </w:pPr>
            <w:r w:rsidRPr="00B110CB">
              <w:t>ESXi</w:t>
            </w:r>
          </w:p>
        </w:tc>
        <w:tc>
          <w:tcPr>
            <w:tcW w:w="7904" w:type="dxa"/>
          </w:tcPr>
          <w:p w14:paraId="158B65E8" w14:textId="77777777" w:rsidR="00A37F51" w:rsidRPr="00B110CB" w:rsidRDefault="00A37F51" w:rsidP="00281329">
            <w:pPr>
              <w:pStyle w:val="Tablecontent"/>
            </w:pPr>
            <w:r>
              <w:t xml:space="preserve">ESXi with </w:t>
            </w:r>
            <w:r w:rsidRPr="00B110CB">
              <w:t>vMotion disabled</w:t>
            </w:r>
            <w:r>
              <w:t>.</w:t>
            </w:r>
          </w:p>
          <w:p w14:paraId="1FD13C3E" w14:textId="77777777" w:rsidR="00A37F51" w:rsidRDefault="00A37F51" w:rsidP="00281329">
            <w:pPr>
              <w:pStyle w:val="Tablecontent"/>
            </w:pPr>
            <w:r w:rsidRPr="00B110CB">
              <w:t>Standalone ESXi</w:t>
            </w:r>
            <w:r>
              <w:t xml:space="preserve">, not part of a cluster. </w:t>
            </w:r>
          </w:p>
          <w:p w14:paraId="3900CA86" w14:textId="77777777" w:rsidR="00A37F51" w:rsidRPr="00A452F2" w:rsidRDefault="00A37F51" w:rsidP="00281329">
            <w:pPr>
              <w:pStyle w:val="Tablecontent"/>
            </w:pPr>
            <w:r w:rsidRPr="00A452F2">
              <w:t xml:space="preserve">ESXi with Network Time Protocol disabled. Incorrect time can turn logs from useful to potentially misleading. Logs are a critical component of operations, and are the main source of information in troubleshooting. While troubleshooting performance across objects, the sequence of logs determines which event is the likely root cause as the oldest event started the chain of events. </w:t>
            </w:r>
          </w:p>
          <w:p w14:paraId="6E6652C4" w14:textId="77777777" w:rsidR="00A37F51" w:rsidRDefault="00A37F51" w:rsidP="00281329">
            <w:pPr>
              <w:pStyle w:val="Tablecontent"/>
            </w:pPr>
            <w:r w:rsidRPr="00A452F2">
              <w:t>A disconnected ESXi host indicates that the ESXi host is not participating in HA and you cannot migrate any VM on it.</w:t>
            </w:r>
          </w:p>
          <w:p w14:paraId="66820C1B" w14:textId="77777777" w:rsidR="00A37F51" w:rsidRDefault="00A37F51" w:rsidP="00281329">
            <w:pPr>
              <w:pStyle w:val="Tablecontent"/>
            </w:pPr>
            <w:r>
              <w:t>Log is not sent externally, and not analyzed.</w:t>
            </w:r>
          </w:p>
          <w:p w14:paraId="26175F05" w14:textId="77777777" w:rsidR="00A37F51" w:rsidRPr="00B110CB" w:rsidRDefault="00A37F51" w:rsidP="00281329">
            <w:pPr>
              <w:pStyle w:val="Tablecontent"/>
            </w:pPr>
            <w:r>
              <w:t>Incorrect multi-pathing setting.</w:t>
            </w:r>
          </w:p>
        </w:tc>
      </w:tr>
      <w:tr w:rsidR="00A37F51" w14:paraId="3D04FE92" w14:textId="77777777" w:rsidTr="00281329">
        <w:tc>
          <w:tcPr>
            <w:tcW w:w="2552" w:type="dxa"/>
            <w:shd w:val="clear" w:color="auto" w:fill="F2F2F2" w:themeFill="background1" w:themeFillShade="F2"/>
          </w:tcPr>
          <w:p w14:paraId="7E3ACB59" w14:textId="77777777" w:rsidR="00A37F51" w:rsidRPr="00B110CB" w:rsidRDefault="00A37F51" w:rsidP="00281329">
            <w:pPr>
              <w:pStyle w:val="Tablecontent"/>
            </w:pPr>
            <w:r w:rsidRPr="00B110CB">
              <w:t>Cluster</w:t>
            </w:r>
          </w:p>
        </w:tc>
        <w:tc>
          <w:tcPr>
            <w:tcW w:w="7904" w:type="dxa"/>
          </w:tcPr>
          <w:p w14:paraId="30980354" w14:textId="77777777" w:rsidR="00A37F51" w:rsidRPr="00A452F2" w:rsidRDefault="00A37F51" w:rsidP="00281329">
            <w:pPr>
              <w:pStyle w:val="Tablecontent"/>
            </w:pPr>
            <w:r w:rsidRPr="00A452F2">
              <w:t>Clusters with DRS set to manual. This means that DRS initiated vMotion does not take place unless it is manually approved by administrator. Since DRS calculates every five minutes, your quick approval is required to prevent a change of condition.</w:t>
            </w:r>
          </w:p>
          <w:p w14:paraId="52C479DE" w14:textId="77777777" w:rsidR="00A37F51" w:rsidRPr="00A452F2" w:rsidRDefault="00A37F51" w:rsidP="00281329">
            <w:pPr>
              <w:pStyle w:val="Tablecontent"/>
            </w:pPr>
            <w:r w:rsidRPr="00A452F2">
              <w:t>Clusters with HA disabled. Without high availability provided by the infrastructure, each application must protect itself from infrastructure failure.</w:t>
            </w:r>
          </w:p>
          <w:p w14:paraId="56841702" w14:textId="77777777" w:rsidR="00A37F51" w:rsidRPr="00A452F2" w:rsidRDefault="00A37F51" w:rsidP="00281329">
            <w:pPr>
              <w:pStyle w:val="Tablecontent"/>
            </w:pPr>
            <w:r w:rsidRPr="00A452F2">
              <w:lastRenderedPageBreak/>
              <w:t>Clusters with DRS disabled. DRS focuses on performance and capacity, while HA focuses on availability. Without DRS, you must build a buffer on every ESXi host to cope with peak demand.</w:t>
            </w:r>
          </w:p>
          <w:p w14:paraId="24738E01" w14:textId="77777777" w:rsidR="00A37F51" w:rsidRDefault="00A37F51" w:rsidP="00281329">
            <w:pPr>
              <w:pStyle w:val="Tablecontent"/>
            </w:pPr>
            <w:r w:rsidRPr="00A452F2">
              <w:t>Clusters with Admission Control disabled. Reservation is respected only when Admission Control is enabled</w:t>
            </w:r>
          </w:p>
          <w:p w14:paraId="001B93E2" w14:textId="77777777" w:rsidR="00A37F51" w:rsidRPr="00B110CB" w:rsidRDefault="00A37F51" w:rsidP="00281329">
            <w:pPr>
              <w:pStyle w:val="Tablecontent"/>
            </w:pPr>
            <w:r w:rsidRPr="00B110CB">
              <w:t>Cluster HA Failover %</w:t>
            </w:r>
            <w:r>
              <w:t>. Make sure this number matches your design.</w:t>
            </w:r>
          </w:p>
        </w:tc>
      </w:tr>
      <w:tr w:rsidR="00A37F51" w14:paraId="74F9840D" w14:textId="77777777" w:rsidTr="00281329">
        <w:tc>
          <w:tcPr>
            <w:tcW w:w="2552" w:type="dxa"/>
            <w:shd w:val="clear" w:color="auto" w:fill="F2F2F2" w:themeFill="background1" w:themeFillShade="F2"/>
          </w:tcPr>
          <w:p w14:paraId="03A70D19" w14:textId="77777777" w:rsidR="00A37F51" w:rsidRPr="00B110CB" w:rsidRDefault="00A37F51" w:rsidP="00281329">
            <w:pPr>
              <w:pStyle w:val="Tablecontent"/>
            </w:pPr>
            <w:r>
              <w:lastRenderedPageBreak/>
              <w:t>Resource Pool</w:t>
            </w:r>
          </w:p>
        </w:tc>
        <w:tc>
          <w:tcPr>
            <w:tcW w:w="7904" w:type="dxa"/>
          </w:tcPr>
          <w:p w14:paraId="3AAE22B8" w14:textId="77777777" w:rsidR="00A37F51" w:rsidRDefault="00A37F51" w:rsidP="00281329">
            <w:pPr>
              <w:pStyle w:val="Tablecontent"/>
            </w:pPr>
            <w:r w:rsidRPr="00B220FF">
              <w:t>Resource Pool</w:t>
            </w:r>
            <w:r>
              <w:t xml:space="preserve">s </w:t>
            </w:r>
            <w:r w:rsidRPr="00B220FF">
              <w:t xml:space="preserve">shares </w:t>
            </w:r>
            <w:r>
              <w:t xml:space="preserve">do not </w:t>
            </w:r>
            <w:r w:rsidRPr="00B220FF">
              <w:t>match the number of VM</w:t>
            </w:r>
            <w:r>
              <w:t xml:space="preserve">s. </w:t>
            </w:r>
          </w:p>
          <w:p w14:paraId="4576ADE2" w14:textId="77777777" w:rsidR="00A37F51" w:rsidRPr="00A452F2" w:rsidRDefault="00A37F51" w:rsidP="00281329">
            <w:pPr>
              <w:pStyle w:val="Tablecontent"/>
            </w:pPr>
            <w:r>
              <w:t>Resource Pool with VM as sibling.</w:t>
            </w:r>
          </w:p>
        </w:tc>
      </w:tr>
      <w:tr w:rsidR="00A37F51" w14:paraId="3BD25F13" w14:textId="77777777" w:rsidTr="00281329">
        <w:tc>
          <w:tcPr>
            <w:tcW w:w="2552" w:type="dxa"/>
            <w:shd w:val="clear" w:color="auto" w:fill="F2F2F2" w:themeFill="background1" w:themeFillShade="F2"/>
          </w:tcPr>
          <w:p w14:paraId="234BD578" w14:textId="77777777" w:rsidR="00A37F51" w:rsidRPr="00B110CB" w:rsidRDefault="00A37F51" w:rsidP="00281329">
            <w:pPr>
              <w:pStyle w:val="Tablecontent"/>
            </w:pPr>
            <w:r w:rsidRPr="00B110CB">
              <w:t>Cluster Inconsistency</w:t>
            </w:r>
          </w:p>
          <w:p w14:paraId="2F49220E" w14:textId="77777777" w:rsidR="00A37F51" w:rsidRDefault="00A37F51" w:rsidP="00281329">
            <w:pPr>
              <w:pStyle w:val="Tablecontent"/>
              <w:rPr>
                <w:b/>
                <w:bCs/>
              </w:rPr>
            </w:pPr>
          </w:p>
        </w:tc>
        <w:tc>
          <w:tcPr>
            <w:tcW w:w="7904" w:type="dxa"/>
          </w:tcPr>
          <w:p w14:paraId="23AC352D" w14:textId="77777777" w:rsidR="00A37F51" w:rsidRPr="00A452F2" w:rsidRDefault="00A37F51" w:rsidP="00281329">
            <w:pPr>
              <w:pStyle w:val="Tablecontent"/>
            </w:pPr>
            <w:r w:rsidRPr="00A452F2">
              <w:t>A cluster is the smallest logical building block for compute. Consider it as a single computer with physically independent components</w:t>
            </w:r>
            <w:r>
              <w:t xml:space="preserve"> for high availability</w:t>
            </w:r>
            <w:r w:rsidRPr="00A452F2">
              <w:t xml:space="preserve">. As a result, consistency matters. </w:t>
            </w:r>
            <w:r>
              <w:t>Check at least the following settings are identical:</w:t>
            </w:r>
          </w:p>
          <w:p w14:paraId="2080BAC5" w14:textId="77777777" w:rsidR="00A37F51" w:rsidRPr="00A452F2" w:rsidRDefault="00000000" w:rsidP="00281329">
            <w:pPr>
              <w:pStyle w:val="Tablecontent"/>
              <w:numPr>
                <w:ilvl w:val="0"/>
                <w:numId w:val="44"/>
              </w:numPr>
            </w:pPr>
            <w:hyperlink r:id="rId194" w:history="1">
              <w:r w:rsidR="00A37F51" w:rsidRPr="00B90594">
                <w:rPr>
                  <w:rStyle w:val="Hyperlink"/>
                </w:rPr>
                <w:t>BIOS</w:t>
              </w:r>
            </w:hyperlink>
            <w:r w:rsidR="00A37F51" w:rsidRPr="00A452F2">
              <w:t xml:space="preserve"> version and ESXi versions.</w:t>
            </w:r>
          </w:p>
          <w:p w14:paraId="0589CC9F" w14:textId="77777777" w:rsidR="00A37F51" w:rsidRPr="00A452F2" w:rsidRDefault="00A37F51" w:rsidP="00281329">
            <w:pPr>
              <w:pStyle w:val="Tablecontent"/>
              <w:numPr>
                <w:ilvl w:val="0"/>
                <w:numId w:val="44"/>
              </w:numPr>
            </w:pPr>
            <w:r w:rsidRPr="00A452F2">
              <w:t>BIOS Power Management</w:t>
            </w:r>
            <w:r>
              <w:t xml:space="preserve"> and </w:t>
            </w:r>
            <w:r w:rsidRPr="00A452F2">
              <w:t xml:space="preserve">ESXi Power Management. Ideally, should be set to OS controlled. The ESXi level should be set to balance level. </w:t>
            </w:r>
          </w:p>
          <w:p w14:paraId="127B93F5" w14:textId="77777777" w:rsidR="00A37F51" w:rsidRPr="00A452F2" w:rsidRDefault="00A37F51" w:rsidP="00281329">
            <w:pPr>
              <w:pStyle w:val="Tablecontent"/>
              <w:numPr>
                <w:ilvl w:val="0"/>
                <w:numId w:val="44"/>
              </w:numPr>
            </w:pPr>
            <w:r w:rsidRPr="00A452F2">
              <w:t>ESXi Storage Path. Ensure that the number of paths and the path policies are identical.</w:t>
            </w:r>
          </w:p>
          <w:p w14:paraId="29E7C737" w14:textId="77777777" w:rsidR="00A37F51" w:rsidRPr="00FA0F3F" w:rsidRDefault="00A37F51" w:rsidP="00281329">
            <w:pPr>
              <w:pStyle w:val="Tablecontent"/>
              <w:numPr>
                <w:ilvl w:val="0"/>
                <w:numId w:val="44"/>
              </w:numPr>
            </w:pPr>
            <w:r w:rsidRPr="00A452F2">
              <w:t xml:space="preserve">ESXi hardware specifications. Different specifications can result in inconsistent performances experienced by the VM. </w:t>
            </w:r>
          </w:p>
        </w:tc>
      </w:tr>
      <w:tr w:rsidR="00A37F51" w14:paraId="04AB8F91" w14:textId="77777777" w:rsidTr="00281329">
        <w:tc>
          <w:tcPr>
            <w:tcW w:w="2552" w:type="dxa"/>
            <w:shd w:val="clear" w:color="auto" w:fill="F2F2F2" w:themeFill="background1" w:themeFillShade="F2"/>
          </w:tcPr>
          <w:p w14:paraId="10962A6E" w14:textId="77777777" w:rsidR="00A37F51" w:rsidRPr="00BE7833" w:rsidRDefault="00A37F51" w:rsidP="00281329">
            <w:pPr>
              <w:pStyle w:val="Tablecontent"/>
              <w:rPr>
                <w:b/>
                <w:bCs/>
                <w:lang w:val="en-SG"/>
              </w:rPr>
            </w:pPr>
            <w:r w:rsidRPr="00B110CB">
              <w:t>Datastore Cluster</w:t>
            </w:r>
          </w:p>
        </w:tc>
        <w:tc>
          <w:tcPr>
            <w:tcW w:w="7904" w:type="dxa"/>
          </w:tcPr>
          <w:p w14:paraId="6BE67F39" w14:textId="77777777" w:rsidR="00A37F51" w:rsidRPr="00B110CB" w:rsidRDefault="00A37F51" w:rsidP="00281329">
            <w:pPr>
              <w:pStyle w:val="Tablecontent"/>
            </w:pPr>
            <w:r w:rsidRPr="00B110CB">
              <w:t>Inconsistency</w:t>
            </w:r>
            <w:r>
              <w:t xml:space="preserve"> among the member datastores can result in c</w:t>
            </w:r>
            <w:r w:rsidRPr="00B110CB">
              <w:t>apacity</w:t>
            </w:r>
            <w:r>
              <w:t xml:space="preserve"> or p</w:t>
            </w:r>
            <w:r w:rsidRPr="00B110CB">
              <w:t xml:space="preserve">erformance </w:t>
            </w:r>
            <w:r>
              <w:t>issue.</w:t>
            </w:r>
          </w:p>
        </w:tc>
      </w:tr>
      <w:tr w:rsidR="00A37F51" w14:paraId="7CE9DB41" w14:textId="77777777" w:rsidTr="00281329">
        <w:tc>
          <w:tcPr>
            <w:tcW w:w="2552" w:type="dxa"/>
            <w:shd w:val="clear" w:color="auto" w:fill="F2F2F2" w:themeFill="background1" w:themeFillShade="F2"/>
          </w:tcPr>
          <w:p w14:paraId="44AF69D8" w14:textId="77777777" w:rsidR="00A37F51" w:rsidRDefault="00A37F51" w:rsidP="00281329">
            <w:pPr>
              <w:pStyle w:val="Tablecontent"/>
              <w:rPr>
                <w:b/>
                <w:bCs/>
              </w:rPr>
            </w:pPr>
            <w:r w:rsidRPr="00B110CB">
              <w:t>Datastore</w:t>
            </w:r>
          </w:p>
        </w:tc>
        <w:tc>
          <w:tcPr>
            <w:tcW w:w="7904" w:type="dxa"/>
          </w:tcPr>
          <w:p w14:paraId="187C57D7" w14:textId="77777777" w:rsidR="00A37F51" w:rsidRPr="00B110CB" w:rsidRDefault="00A37F51" w:rsidP="00281329">
            <w:pPr>
              <w:pStyle w:val="Tablecontent"/>
            </w:pPr>
            <w:r>
              <w:t xml:space="preserve">Datastore with </w:t>
            </w:r>
            <w:r w:rsidRPr="00B110CB">
              <w:t>single path</w:t>
            </w:r>
            <w:r>
              <w:t xml:space="preserve"> carries risk as there is no redundancy.</w:t>
            </w:r>
          </w:p>
          <w:p w14:paraId="75429ACF" w14:textId="77777777" w:rsidR="00A37F51" w:rsidRDefault="00A37F51" w:rsidP="00281329">
            <w:pPr>
              <w:pStyle w:val="Tablecontent"/>
            </w:pPr>
            <w:r w:rsidRPr="00B110CB">
              <w:t xml:space="preserve">Datastore </w:t>
            </w:r>
            <w:r>
              <w:t>with</w:t>
            </w:r>
            <w:r w:rsidRPr="00B110CB">
              <w:t xml:space="preserve"> no path</w:t>
            </w:r>
            <w:r>
              <w:t xml:space="preserve"> means there is no ESXi accessing it.</w:t>
            </w:r>
          </w:p>
          <w:p w14:paraId="1739F0E3" w14:textId="77777777" w:rsidR="00A37F51" w:rsidRDefault="00A37F51" w:rsidP="00281329">
            <w:pPr>
              <w:pStyle w:val="Tablecontent"/>
            </w:pPr>
            <w:r w:rsidRPr="001D2C0A">
              <w:t xml:space="preserve">Datastore </w:t>
            </w:r>
            <w:r>
              <w:t xml:space="preserve">with </w:t>
            </w:r>
            <w:r w:rsidRPr="001D2C0A">
              <w:t>no ESXi</w:t>
            </w:r>
            <w:r>
              <w:t xml:space="preserve"> or no VM.</w:t>
            </w:r>
          </w:p>
          <w:p w14:paraId="24DAE758" w14:textId="77777777" w:rsidR="00A37F51" w:rsidRPr="00B110CB" w:rsidRDefault="00A37F51" w:rsidP="00281329">
            <w:pPr>
              <w:pStyle w:val="Tablecontent"/>
            </w:pPr>
            <w:r>
              <w:t xml:space="preserve">Datastore with low activities. That means the VMs are idle or unused. </w:t>
            </w:r>
          </w:p>
        </w:tc>
      </w:tr>
      <w:tr w:rsidR="00A37F51" w14:paraId="5882CDBF" w14:textId="77777777" w:rsidTr="00281329">
        <w:tc>
          <w:tcPr>
            <w:tcW w:w="2552" w:type="dxa"/>
            <w:shd w:val="clear" w:color="auto" w:fill="F2F2F2" w:themeFill="background1" w:themeFillShade="F2"/>
          </w:tcPr>
          <w:p w14:paraId="328D46F9" w14:textId="77777777" w:rsidR="00A37F51" w:rsidRPr="00312399" w:rsidRDefault="00A37F51" w:rsidP="00281329">
            <w:pPr>
              <w:pStyle w:val="Tablecontent"/>
            </w:pPr>
            <w:r w:rsidRPr="00312399">
              <w:t>Network</w:t>
            </w:r>
          </w:p>
        </w:tc>
        <w:tc>
          <w:tcPr>
            <w:tcW w:w="7904" w:type="dxa"/>
          </w:tcPr>
          <w:p w14:paraId="70E889C2" w14:textId="77777777" w:rsidR="00A37F51" w:rsidRPr="002B10AC" w:rsidRDefault="00A37F51" w:rsidP="00281329">
            <w:pPr>
              <w:pStyle w:val="Tablecontent"/>
            </w:pPr>
            <w:r>
              <w:t>Unnecessary or too many h</w:t>
            </w:r>
            <w:r w:rsidRPr="0067453F">
              <w:t>ops. Especially horse-shoe</w:t>
            </w:r>
            <w:r>
              <w:t xml:space="preserve"> design.</w:t>
            </w:r>
          </w:p>
          <w:p w14:paraId="23F9C65F" w14:textId="77777777" w:rsidR="00A37F51" w:rsidRDefault="00A37F51" w:rsidP="00281329">
            <w:pPr>
              <w:pStyle w:val="Tablecontent"/>
              <w:rPr>
                <w:rFonts w:eastAsiaTheme="minorHAnsi"/>
                <w:lang w:val="en-SG" w:eastAsia="en-GB"/>
              </w:rPr>
            </w:pPr>
            <w:r>
              <w:rPr>
                <w:rFonts w:eastAsiaTheme="minorHAnsi"/>
                <w:lang w:val="en-SG" w:eastAsia="en-GB"/>
              </w:rPr>
              <w:t>Ensure the</w:t>
            </w:r>
            <w:r w:rsidRPr="00B110CB">
              <w:rPr>
                <w:rFonts w:eastAsiaTheme="minorHAnsi"/>
                <w:lang w:val="en-SG" w:eastAsia="en-GB"/>
              </w:rPr>
              <w:t xml:space="preserve"> redundancy </w:t>
            </w:r>
            <w:r>
              <w:rPr>
                <w:rFonts w:eastAsiaTheme="minorHAnsi"/>
                <w:lang w:val="en-SG" w:eastAsia="en-GB"/>
              </w:rPr>
              <w:t xml:space="preserve">for both NSX </w:t>
            </w:r>
            <w:r w:rsidRPr="00B110CB">
              <w:rPr>
                <w:rFonts w:eastAsiaTheme="minorHAnsi"/>
                <w:lang w:val="en-SG" w:eastAsia="en-GB"/>
              </w:rPr>
              <w:t>Controller</w:t>
            </w:r>
            <w:r>
              <w:rPr>
                <w:rFonts w:eastAsiaTheme="minorHAnsi"/>
                <w:lang w:val="en-SG" w:eastAsia="en-GB"/>
              </w:rPr>
              <w:t xml:space="preserve"> and</w:t>
            </w:r>
            <w:r w:rsidRPr="00B110CB">
              <w:rPr>
                <w:rFonts w:eastAsiaTheme="minorHAnsi"/>
                <w:lang w:val="en-SG" w:eastAsia="en-GB"/>
              </w:rPr>
              <w:t xml:space="preserve"> Manager</w:t>
            </w:r>
            <w:r>
              <w:rPr>
                <w:rFonts w:eastAsiaTheme="minorHAnsi"/>
                <w:lang w:val="en-SG" w:eastAsia="en-GB"/>
              </w:rPr>
              <w:t xml:space="preserve"> match your plan.</w:t>
            </w:r>
          </w:p>
          <w:p w14:paraId="403BFDC2" w14:textId="77777777" w:rsidR="00A37F51" w:rsidRPr="00B110CB" w:rsidRDefault="00A37F51" w:rsidP="00281329">
            <w:pPr>
              <w:pStyle w:val="Tablecontent"/>
            </w:pPr>
            <w:r w:rsidRPr="0067453F">
              <w:rPr>
                <w:rFonts w:eastAsiaTheme="minorHAnsi"/>
                <w:lang w:val="en-SG" w:eastAsia="en-GB"/>
              </w:rPr>
              <w:t>NSX Edge</w:t>
            </w:r>
            <w:r>
              <w:rPr>
                <w:rFonts w:eastAsiaTheme="minorHAnsi"/>
                <w:lang w:val="en-SG" w:eastAsia="en-GB"/>
              </w:rPr>
              <w:t xml:space="preserve"> configuration not following best practice.</w:t>
            </w:r>
          </w:p>
        </w:tc>
      </w:tr>
      <w:tr w:rsidR="00A37F51" w14:paraId="5423148F" w14:textId="77777777" w:rsidTr="00281329">
        <w:tc>
          <w:tcPr>
            <w:tcW w:w="2552" w:type="dxa"/>
            <w:shd w:val="clear" w:color="auto" w:fill="F2F2F2" w:themeFill="background1" w:themeFillShade="F2"/>
          </w:tcPr>
          <w:p w14:paraId="2D1C0329" w14:textId="77777777" w:rsidR="00A37F51" w:rsidRPr="00B110CB" w:rsidRDefault="00A37F51" w:rsidP="00281329">
            <w:pPr>
              <w:pStyle w:val="Tablecontent"/>
              <w:rPr>
                <w:rFonts w:eastAsiaTheme="minorHAnsi"/>
                <w:lang w:val="en-SG" w:eastAsia="en-GB"/>
              </w:rPr>
            </w:pPr>
            <w:r w:rsidRPr="00FF4C1C">
              <w:rPr>
                <w:lang w:val="en-SG" w:eastAsia="en-GB"/>
              </w:rPr>
              <w:t>Distributed Switch</w:t>
            </w:r>
          </w:p>
        </w:tc>
        <w:tc>
          <w:tcPr>
            <w:tcW w:w="7904" w:type="dxa"/>
          </w:tcPr>
          <w:p w14:paraId="26B20F84" w14:textId="77777777" w:rsidR="00A37F51" w:rsidRDefault="00A37F51" w:rsidP="00281329">
            <w:pPr>
              <w:pStyle w:val="Tablecontent"/>
              <w:rPr>
                <w:lang w:val="en-SG" w:eastAsia="en-GB"/>
              </w:rPr>
            </w:pPr>
            <w:r w:rsidRPr="00FF4C1C">
              <w:rPr>
                <w:lang w:val="en-SG" w:eastAsia="en-GB"/>
              </w:rPr>
              <w:t>Based on your security settings, add a table to check Distributed Switch and Port Group to ensure that security settings such as promiscuous mode are used correctly.</w:t>
            </w:r>
          </w:p>
          <w:p w14:paraId="180A09B5" w14:textId="77777777" w:rsidR="00A37F51" w:rsidRPr="00FF4C1C" w:rsidRDefault="00A37F51" w:rsidP="00281329">
            <w:pPr>
              <w:pStyle w:val="Tablecontent"/>
            </w:pPr>
            <w:r>
              <w:rPr>
                <w:lang w:eastAsia="en-GB"/>
              </w:rPr>
              <w:t>MTU mismatch.</w:t>
            </w:r>
          </w:p>
        </w:tc>
      </w:tr>
      <w:tr w:rsidR="00A37F51" w14:paraId="57D19ADC" w14:textId="77777777" w:rsidTr="00281329">
        <w:tc>
          <w:tcPr>
            <w:tcW w:w="2552" w:type="dxa"/>
            <w:shd w:val="clear" w:color="auto" w:fill="F2F2F2" w:themeFill="background1" w:themeFillShade="F2"/>
          </w:tcPr>
          <w:p w14:paraId="60D88771" w14:textId="77777777" w:rsidR="00A37F51" w:rsidRPr="00FF4C1C" w:rsidRDefault="00A37F51" w:rsidP="00281329">
            <w:pPr>
              <w:pStyle w:val="Tablecontent"/>
              <w:rPr>
                <w:lang w:val="en-SG" w:eastAsia="en-GB"/>
              </w:rPr>
            </w:pPr>
            <w:r>
              <w:rPr>
                <w:lang w:val="en-SG" w:eastAsia="en-GB"/>
              </w:rPr>
              <w:t>LUN</w:t>
            </w:r>
          </w:p>
        </w:tc>
        <w:tc>
          <w:tcPr>
            <w:tcW w:w="7904" w:type="dxa"/>
          </w:tcPr>
          <w:p w14:paraId="6DD0DD8E" w14:textId="77777777" w:rsidR="00A37F51" w:rsidRDefault="00A37F51" w:rsidP="00281329">
            <w:pPr>
              <w:pStyle w:val="Tablecontent"/>
              <w:rPr>
                <w:lang w:val="en-SG" w:eastAsia="en-GB"/>
              </w:rPr>
            </w:pPr>
            <w:r>
              <w:rPr>
                <w:lang w:val="en-SG" w:eastAsia="en-GB"/>
              </w:rPr>
              <w:t>Unused LUN. That means there is no VMFS or vVOL on top of it.</w:t>
            </w:r>
          </w:p>
          <w:p w14:paraId="00D072D2" w14:textId="77777777" w:rsidR="00A37F51" w:rsidRPr="00FF4C1C" w:rsidRDefault="00A37F51" w:rsidP="00281329">
            <w:pPr>
              <w:pStyle w:val="Tablecontent"/>
              <w:rPr>
                <w:lang w:val="en-SG" w:eastAsia="en-GB"/>
              </w:rPr>
            </w:pPr>
            <w:r>
              <w:rPr>
                <w:lang w:val="en-SG" w:eastAsia="en-GB"/>
              </w:rPr>
              <w:t>Inconsistent priority. For example, it gets gold priority at the physical array level but silver at vSphere level.</w:t>
            </w:r>
          </w:p>
        </w:tc>
      </w:tr>
      <w:tr w:rsidR="00A37F51" w14:paraId="4CCF626E" w14:textId="77777777" w:rsidTr="00281329">
        <w:tc>
          <w:tcPr>
            <w:tcW w:w="2552" w:type="dxa"/>
            <w:shd w:val="clear" w:color="auto" w:fill="F2F2F2" w:themeFill="background1" w:themeFillShade="F2"/>
          </w:tcPr>
          <w:p w14:paraId="1F2EC916" w14:textId="77777777" w:rsidR="00A37F51" w:rsidRDefault="00A37F51" w:rsidP="00281329">
            <w:pPr>
              <w:pStyle w:val="Tablecontent"/>
              <w:rPr>
                <w:lang w:val="en-SG" w:eastAsia="en-GB"/>
              </w:rPr>
            </w:pPr>
            <w:r>
              <w:rPr>
                <w:lang w:val="en-SG" w:eastAsia="en-GB"/>
              </w:rPr>
              <w:t>Storage</w:t>
            </w:r>
          </w:p>
        </w:tc>
        <w:tc>
          <w:tcPr>
            <w:tcW w:w="7904" w:type="dxa"/>
          </w:tcPr>
          <w:p w14:paraId="60E503CB" w14:textId="77777777" w:rsidR="00A37F51" w:rsidRDefault="00A37F51" w:rsidP="00281329">
            <w:pPr>
              <w:pStyle w:val="Tablecontent"/>
              <w:rPr>
                <w:lang w:val="en-SG" w:eastAsia="en-GB"/>
              </w:rPr>
            </w:pPr>
            <w:r w:rsidRPr="00835835">
              <w:rPr>
                <w:rFonts w:eastAsiaTheme="minorHAnsi"/>
                <w:lang w:val="en-SG" w:eastAsia="en-GB"/>
              </w:rPr>
              <w:t>Mismatch of queue depths along the various storage stack. Need to calibrate all the way to physical array</w:t>
            </w:r>
          </w:p>
        </w:tc>
      </w:tr>
    </w:tbl>
    <w:p w14:paraId="0CF3CAE9" w14:textId="1B195AE1" w:rsidR="00FD00B8" w:rsidRDefault="00FD00B8" w:rsidP="00A37F51">
      <w:pPr>
        <w:pStyle w:val="Heading4"/>
      </w:pPr>
      <w:r>
        <w:lastRenderedPageBreak/>
        <w:t>Update It</w:t>
      </w:r>
    </w:p>
    <w:p w14:paraId="7FBBFF38" w14:textId="55AA4E8C" w:rsidR="00FD00B8" w:rsidRDefault="00FD00B8" w:rsidP="00FD00B8">
      <w:pPr>
        <w:rPr>
          <w:lang w:val="en-GB"/>
        </w:rPr>
      </w:pPr>
      <w:r>
        <w:rPr>
          <w:lang w:val="en-GB"/>
        </w:rPr>
        <w:t xml:space="preserve">The following table provides example of configuration that you want to </w:t>
      </w:r>
      <w:r w:rsidR="004325A8">
        <w:rPr>
          <w:lang w:val="en-GB"/>
        </w:rPr>
        <w:t>update</w:t>
      </w:r>
      <w:r>
        <w:rPr>
          <w:lang w:val="en-GB"/>
        </w:rPr>
        <w:t xml:space="preserve">, assuming they do not meet your </w:t>
      </w:r>
      <w:r w:rsidR="004325A8">
        <w:rPr>
          <w:lang w:val="en-GB"/>
        </w:rPr>
        <w:t xml:space="preserve">version </w:t>
      </w:r>
      <w:r>
        <w:rPr>
          <w:lang w:val="en-GB"/>
        </w:rPr>
        <w:t>standard.</w:t>
      </w:r>
    </w:p>
    <w:p w14:paraId="616B102C" w14:textId="5F6FC54E" w:rsidR="00E90604" w:rsidRDefault="00E90604" w:rsidP="00E90604">
      <w:pPr>
        <w:pStyle w:val="Heading5"/>
      </w:pPr>
      <w:r>
        <w:t>Consumer Layer</w:t>
      </w:r>
    </w:p>
    <w:p w14:paraId="278D4A85" w14:textId="5ED2050F" w:rsidR="00FB1825" w:rsidRPr="00FB1825" w:rsidRDefault="00FB1825" w:rsidP="00E11A39">
      <w:pPr>
        <w:pStyle w:val="ListParagraph"/>
        <w:numPr>
          <w:ilvl w:val="0"/>
          <w:numId w:val="43"/>
        </w:numPr>
        <w:rPr>
          <w:lang w:val="en-GB"/>
        </w:rPr>
      </w:pPr>
      <w:r w:rsidRPr="00FB1825">
        <w:rPr>
          <w:lang w:val="en-GB"/>
        </w:rPr>
        <w:t>Tools version</w:t>
      </w:r>
      <w:r w:rsidR="00A87E86">
        <w:rPr>
          <w:lang w:val="en-GB"/>
        </w:rPr>
        <w:t xml:space="preserve">. If you are running older version of Tools, you may not have the following </w:t>
      </w:r>
      <w:r w:rsidR="00BE7833">
        <w:rPr>
          <w:lang w:val="en-GB"/>
        </w:rPr>
        <w:t xml:space="preserve">Guest OS performance </w:t>
      </w:r>
      <w:r w:rsidR="008D3A3F">
        <w:rPr>
          <w:lang w:val="en-GB"/>
        </w:rPr>
        <w:t>metrics</w:t>
      </w:r>
      <w:r w:rsidR="00BE7833">
        <w:rPr>
          <w:lang w:val="en-GB"/>
        </w:rPr>
        <w:t xml:space="preserve">: </w:t>
      </w:r>
      <w:r w:rsidR="00A87E86" w:rsidRPr="00A452F2">
        <w:rPr>
          <w:lang w:val="en-GB"/>
        </w:rPr>
        <w:t>CPU Run Queue, CPU Context Switch, and Disk Queue Length.</w:t>
      </w:r>
    </w:p>
    <w:p w14:paraId="72709E50" w14:textId="47FE8DD4" w:rsidR="00FB1825" w:rsidRPr="00FB1825" w:rsidRDefault="00FB1825" w:rsidP="00E11A39">
      <w:pPr>
        <w:pStyle w:val="ListParagraph"/>
        <w:numPr>
          <w:ilvl w:val="0"/>
          <w:numId w:val="43"/>
        </w:numPr>
        <w:rPr>
          <w:lang w:val="en-GB"/>
        </w:rPr>
      </w:pPr>
      <w:r>
        <w:rPr>
          <w:lang w:val="en-GB"/>
        </w:rPr>
        <w:t>M</w:t>
      </w:r>
      <w:r w:rsidR="00C607FA">
        <w:rPr>
          <w:lang w:val="en-GB"/>
        </w:rPr>
        <w:t>icrosoft</w:t>
      </w:r>
      <w:r>
        <w:rPr>
          <w:lang w:val="en-GB"/>
        </w:rPr>
        <w:t xml:space="preserve"> </w:t>
      </w:r>
      <w:r w:rsidRPr="00FB1825">
        <w:rPr>
          <w:lang w:val="en-GB"/>
        </w:rPr>
        <w:t>Windows version</w:t>
      </w:r>
    </w:p>
    <w:p w14:paraId="657666A2" w14:textId="77777777" w:rsidR="00FB1825" w:rsidRPr="00FB1825" w:rsidRDefault="00FB1825" w:rsidP="00E11A39">
      <w:pPr>
        <w:pStyle w:val="ListParagraph"/>
        <w:numPr>
          <w:ilvl w:val="0"/>
          <w:numId w:val="43"/>
        </w:numPr>
        <w:rPr>
          <w:lang w:val="en-GB"/>
        </w:rPr>
      </w:pPr>
      <w:r w:rsidRPr="00FB1825">
        <w:rPr>
          <w:lang w:val="en-GB"/>
        </w:rPr>
        <w:t>Linux version</w:t>
      </w:r>
    </w:p>
    <w:p w14:paraId="0A4C538F" w14:textId="5636EEEC" w:rsidR="00FB1825" w:rsidRPr="00FB1825" w:rsidRDefault="00FB1825" w:rsidP="00E11A39">
      <w:pPr>
        <w:pStyle w:val="ListParagraph"/>
        <w:numPr>
          <w:ilvl w:val="0"/>
          <w:numId w:val="43"/>
        </w:numPr>
        <w:rPr>
          <w:lang w:val="en-GB"/>
        </w:rPr>
      </w:pPr>
      <w:r>
        <w:rPr>
          <w:lang w:val="en-GB"/>
        </w:rPr>
        <w:t xml:space="preserve">vRealize Operations </w:t>
      </w:r>
      <w:r w:rsidRPr="00FB1825">
        <w:rPr>
          <w:lang w:val="en-GB"/>
        </w:rPr>
        <w:t>Telegraf</w:t>
      </w:r>
      <w:r>
        <w:rPr>
          <w:lang w:val="en-GB"/>
        </w:rPr>
        <w:t xml:space="preserve"> agent</w:t>
      </w:r>
    </w:p>
    <w:p w14:paraId="019446BA" w14:textId="34FBD64B" w:rsidR="00FB1825" w:rsidRDefault="00FB1825" w:rsidP="00E11A39">
      <w:pPr>
        <w:pStyle w:val="ListParagraph"/>
        <w:numPr>
          <w:ilvl w:val="0"/>
          <w:numId w:val="43"/>
        </w:numPr>
        <w:rPr>
          <w:lang w:val="en-GB"/>
        </w:rPr>
      </w:pPr>
      <w:r w:rsidRPr="00FB1825">
        <w:rPr>
          <w:lang w:val="en-GB"/>
        </w:rPr>
        <w:t>VM Hardware</w:t>
      </w:r>
      <w:r>
        <w:rPr>
          <w:lang w:val="en-GB"/>
        </w:rPr>
        <w:t xml:space="preserve"> (vmx)</w:t>
      </w:r>
    </w:p>
    <w:p w14:paraId="5010DBDB" w14:textId="77777777" w:rsidR="00E90604" w:rsidRDefault="00E90604" w:rsidP="00E90604">
      <w:pPr>
        <w:pStyle w:val="Heading5"/>
      </w:pPr>
      <w:r>
        <w:t>Provider Layer</w:t>
      </w:r>
    </w:p>
    <w:p w14:paraId="31CF2DA9" w14:textId="77777777" w:rsidR="00E90604" w:rsidRDefault="00E90604" w:rsidP="00E90604">
      <w:pPr>
        <w:rPr>
          <w:lang w:val="en-GB"/>
        </w:rPr>
      </w:pPr>
      <w:r>
        <w:rPr>
          <w:lang w:val="en-GB"/>
        </w:rPr>
        <w:t>The following table provides example of configuration that you want to update, assuming they do not meet your version standard.</w:t>
      </w:r>
    </w:p>
    <w:p w14:paraId="741782B6" w14:textId="77777777" w:rsidR="00E90604" w:rsidRPr="00BF16B9" w:rsidRDefault="00E90604" w:rsidP="00E90604">
      <w:pPr>
        <w:pStyle w:val="Bullet"/>
      </w:pPr>
      <w:r>
        <w:t>Cloud Proxy</w:t>
      </w:r>
      <w:r w:rsidRPr="00BF16B9">
        <w:t xml:space="preserve"> server</w:t>
      </w:r>
      <w:r>
        <w:t xml:space="preserve"> and Cloud Proxy </w:t>
      </w:r>
      <w:r w:rsidRPr="00BF16B9">
        <w:t>agent</w:t>
      </w:r>
    </w:p>
    <w:p w14:paraId="44FE638C" w14:textId="77777777" w:rsidR="00E90604" w:rsidRPr="00BF16B9" w:rsidRDefault="00E90604" w:rsidP="00E90604">
      <w:pPr>
        <w:pStyle w:val="Bullet"/>
      </w:pPr>
      <w:r w:rsidRPr="00BF16B9">
        <w:t>ESXi BIOS</w:t>
      </w:r>
      <w:r>
        <w:t xml:space="preserve"> </w:t>
      </w:r>
    </w:p>
    <w:p w14:paraId="6E3DCD32" w14:textId="77777777" w:rsidR="00E90604" w:rsidRPr="00BF16B9" w:rsidRDefault="00E90604" w:rsidP="00E90604">
      <w:pPr>
        <w:pStyle w:val="Bullet"/>
      </w:pPr>
      <w:r w:rsidRPr="00BF16B9">
        <w:t>ESXi HBA firmware</w:t>
      </w:r>
    </w:p>
    <w:p w14:paraId="53F5E11D" w14:textId="77777777" w:rsidR="00E90604" w:rsidRPr="00BF16B9" w:rsidRDefault="00E90604" w:rsidP="00E90604">
      <w:pPr>
        <w:pStyle w:val="Bullet"/>
      </w:pPr>
      <w:r w:rsidRPr="00BF16B9">
        <w:t>ESXi driver</w:t>
      </w:r>
    </w:p>
    <w:p w14:paraId="1AC9E962" w14:textId="77777777" w:rsidR="00E90604" w:rsidRPr="00BF16B9" w:rsidRDefault="00E90604" w:rsidP="00E90604">
      <w:pPr>
        <w:pStyle w:val="Bullet"/>
      </w:pPr>
      <w:r w:rsidRPr="00BF16B9">
        <w:t>ESXi hardware</w:t>
      </w:r>
      <w:r>
        <w:t>, such as CPU and server model. Ensure they are still under support.</w:t>
      </w:r>
    </w:p>
    <w:p w14:paraId="4F0B11E4" w14:textId="77777777" w:rsidR="00E90604" w:rsidRPr="00BF16B9" w:rsidRDefault="00E90604" w:rsidP="00E90604">
      <w:pPr>
        <w:pStyle w:val="Bullet"/>
      </w:pPr>
      <w:r>
        <w:t xml:space="preserve">vCenter and </w:t>
      </w:r>
      <w:r w:rsidRPr="00BF16B9">
        <w:t>ESXi version</w:t>
      </w:r>
    </w:p>
    <w:p w14:paraId="76BA47FE" w14:textId="77777777" w:rsidR="00E90604" w:rsidRPr="00BF16B9" w:rsidRDefault="00E90604" w:rsidP="00E90604">
      <w:pPr>
        <w:pStyle w:val="Bullet"/>
      </w:pPr>
      <w:r w:rsidRPr="00BF16B9">
        <w:t xml:space="preserve">ESXi using 1 Gb NIC. </w:t>
      </w:r>
    </w:p>
    <w:p w14:paraId="6368D841" w14:textId="77777777" w:rsidR="00E90604" w:rsidRPr="00BF16B9" w:rsidRDefault="00E90604" w:rsidP="00E90604">
      <w:pPr>
        <w:pStyle w:val="Bullet"/>
      </w:pPr>
      <w:r w:rsidRPr="00BF16B9">
        <w:t>NFS version</w:t>
      </w:r>
    </w:p>
    <w:p w14:paraId="483D0E8E" w14:textId="77777777" w:rsidR="00E90604" w:rsidRPr="00BF16B9" w:rsidRDefault="00E90604" w:rsidP="00E90604">
      <w:pPr>
        <w:pStyle w:val="Bullet"/>
      </w:pPr>
      <w:r w:rsidRPr="00BF16B9">
        <w:t>Datastore VMFS version</w:t>
      </w:r>
    </w:p>
    <w:p w14:paraId="6964285D" w14:textId="77777777" w:rsidR="00E90604" w:rsidRPr="00BF16B9" w:rsidRDefault="00E90604" w:rsidP="00E90604">
      <w:pPr>
        <w:pStyle w:val="Bullet"/>
      </w:pPr>
      <w:r w:rsidRPr="00BF16B9">
        <w:t>vSAN version</w:t>
      </w:r>
    </w:p>
    <w:p w14:paraId="426D5C44" w14:textId="77777777" w:rsidR="00E90604" w:rsidRPr="00BF16B9" w:rsidRDefault="00E90604" w:rsidP="00E90604">
      <w:pPr>
        <w:pStyle w:val="Bullet"/>
      </w:pPr>
      <w:r>
        <w:t>Distributed v</w:t>
      </w:r>
      <w:r w:rsidRPr="00BF16B9">
        <w:t>Switch version</w:t>
      </w:r>
    </w:p>
    <w:p w14:paraId="7879666E" w14:textId="77777777" w:rsidR="00E90604" w:rsidRPr="008F48C1" w:rsidRDefault="00E90604" w:rsidP="00E90604">
      <w:pPr>
        <w:pStyle w:val="Bullet"/>
        <w:rPr>
          <w:lang w:val="en-GB"/>
        </w:rPr>
      </w:pPr>
      <w:r w:rsidRPr="00BF16B9">
        <w:t>NSX version</w:t>
      </w:r>
    </w:p>
    <w:p w14:paraId="645B7FF9" w14:textId="77777777" w:rsidR="00E90604" w:rsidRPr="00907882" w:rsidRDefault="00E90604" w:rsidP="00E90604">
      <w:pPr>
        <w:pStyle w:val="Bullet"/>
        <w:rPr>
          <w:lang w:val="en-GB"/>
        </w:rPr>
      </w:pPr>
      <w:r>
        <w:t>Array firmware version</w:t>
      </w:r>
    </w:p>
    <w:p w14:paraId="25495098" w14:textId="77777777" w:rsidR="00E90604" w:rsidRDefault="00E90604" w:rsidP="00E90604">
      <w:pPr>
        <w:pStyle w:val="Bullet"/>
        <w:rPr>
          <w:lang w:val="en-GB"/>
        </w:rPr>
      </w:pPr>
      <w:r>
        <w:t>Switch firmware version. Especially the switch directly connected to ESXi</w:t>
      </w:r>
    </w:p>
    <w:p w14:paraId="1184AC75" w14:textId="37C7BA47" w:rsidR="00FD00B8" w:rsidRDefault="00FD00B8" w:rsidP="00A37F51">
      <w:pPr>
        <w:pStyle w:val="Heading4"/>
      </w:pPr>
      <w:r>
        <w:lastRenderedPageBreak/>
        <w:t>Simplify It</w:t>
      </w:r>
    </w:p>
    <w:p w14:paraId="17FE3340" w14:textId="77777777" w:rsidR="00E90604" w:rsidRDefault="00E90604" w:rsidP="00E90604">
      <w:pPr>
        <w:rPr>
          <w:lang w:val="en-GB"/>
        </w:rPr>
      </w:pPr>
      <w:r>
        <w:rPr>
          <w:lang w:val="en-GB"/>
        </w:rPr>
        <w:t>The following table provides example of configuration that you want to simplify</w:t>
      </w:r>
    </w:p>
    <w:p w14:paraId="76C69D43" w14:textId="77777777" w:rsidR="00E90604" w:rsidRDefault="00E90604" w:rsidP="00E90604">
      <w:pPr>
        <w:pStyle w:val="Heading5"/>
      </w:pPr>
      <w:r>
        <w:t>Consumer Layer</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552"/>
        <w:gridCol w:w="7904"/>
      </w:tblGrid>
      <w:tr w:rsidR="000155C8" w14:paraId="024988F6" w14:textId="77777777" w:rsidTr="000155C8">
        <w:tc>
          <w:tcPr>
            <w:tcW w:w="2552" w:type="dxa"/>
            <w:shd w:val="clear" w:color="auto" w:fill="F2F2F2" w:themeFill="background1" w:themeFillShade="F2"/>
          </w:tcPr>
          <w:p w14:paraId="785AB0D1" w14:textId="2CFFAFD1" w:rsidR="000155C8" w:rsidRPr="00646D6C" w:rsidRDefault="001E272B" w:rsidP="005321A6">
            <w:pPr>
              <w:pStyle w:val="Tablecontent"/>
            </w:pPr>
            <w:r>
              <w:t>VM Identity</w:t>
            </w:r>
            <w:r w:rsidR="00646D6C" w:rsidRPr="00284DE7">
              <w:t xml:space="preserve"> </w:t>
            </w:r>
          </w:p>
        </w:tc>
        <w:tc>
          <w:tcPr>
            <w:tcW w:w="7904" w:type="dxa"/>
          </w:tcPr>
          <w:p w14:paraId="1FB8DE9F" w14:textId="282CCDAA" w:rsidR="000155C8" w:rsidRPr="00D45743" w:rsidRDefault="001E588A" w:rsidP="00DC0F79">
            <w:pPr>
              <w:pStyle w:val="Tablecontent"/>
            </w:pPr>
            <w:r w:rsidRPr="00D45743">
              <w:t xml:space="preserve">You want to avoid flying blind. </w:t>
            </w:r>
            <w:r w:rsidR="006A10EF">
              <w:t xml:space="preserve">After all you </w:t>
            </w:r>
            <w:r w:rsidR="0016652A">
              <w:t xml:space="preserve">have some </w:t>
            </w:r>
            <w:r w:rsidR="006A10EF">
              <w:t>responsib</w:t>
            </w:r>
            <w:r w:rsidR="0016652A">
              <w:t>ility</w:t>
            </w:r>
            <w:r w:rsidR="006A10EF">
              <w:t xml:space="preserve"> for everything that runs on your platform. </w:t>
            </w:r>
            <w:r w:rsidR="00EF20E4" w:rsidRPr="00D45743">
              <w:t xml:space="preserve">Just because the VM name or hostname say webserver does not mean it’s running web server. </w:t>
            </w:r>
            <w:r w:rsidR="00685AE2" w:rsidRPr="00D45743">
              <w:t xml:space="preserve">Using </w:t>
            </w:r>
            <w:r w:rsidR="00440A3E">
              <w:t xml:space="preserve">tools such as </w:t>
            </w:r>
            <w:r w:rsidR="00685AE2" w:rsidRPr="00D45743">
              <w:t>Telegraf or Service Discovery, find out what application (key proces</w:t>
            </w:r>
            <w:r w:rsidR="009E745A" w:rsidRPr="00D45743">
              <w:t>s)</w:t>
            </w:r>
            <w:r w:rsidR="00685AE2" w:rsidRPr="00D45743">
              <w:t xml:space="preserve"> are running</w:t>
            </w:r>
            <w:r w:rsidR="009E745A" w:rsidRPr="00D45743">
              <w:t xml:space="preserve"> and who is it talking to.</w:t>
            </w:r>
          </w:p>
          <w:p w14:paraId="401860E2" w14:textId="2CA5579D" w:rsidR="00F2779B" w:rsidRPr="00D45743" w:rsidRDefault="00F2779B" w:rsidP="00F2779B">
            <w:pPr>
              <w:pStyle w:val="Tablecontent"/>
            </w:pPr>
            <w:r w:rsidRPr="00D45743">
              <w:t>Since your workloads are sharing resources and are over-committed, your operations are easier if you know what is running inside. This helps with monitoring and troubleshooting</w:t>
            </w:r>
            <w:r w:rsidR="00E33B54" w:rsidRPr="00D45743">
              <w:t>.</w:t>
            </w:r>
            <w:r w:rsidR="00440A3E">
              <w:t xml:space="preserve"> It is also required by some ISV for software licensing.</w:t>
            </w:r>
          </w:p>
        </w:tc>
      </w:tr>
      <w:tr w:rsidR="001E272B" w14:paraId="0323ADCD" w14:textId="77777777" w:rsidTr="000155C8">
        <w:tc>
          <w:tcPr>
            <w:tcW w:w="2552" w:type="dxa"/>
            <w:shd w:val="clear" w:color="auto" w:fill="F2F2F2" w:themeFill="background1" w:themeFillShade="F2"/>
          </w:tcPr>
          <w:p w14:paraId="1E1B1675" w14:textId="1F459E45" w:rsidR="001E272B" w:rsidRDefault="001E272B" w:rsidP="005321A6">
            <w:pPr>
              <w:pStyle w:val="Tablecontent"/>
            </w:pPr>
            <w:r>
              <w:t>Logs</w:t>
            </w:r>
          </w:p>
        </w:tc>
        <w:tc>
          <w:tcPr>
            <w:tcW w:w="7904" w:type="dxa"/>
          </w:tcPr>
          <w:p w14:paraId="7A2F66CC" w14:textId="77777777" w:rsidR="008D1E2C" w:rsidRDefault="001E272B" w:rsidP="00DC0F79">
            <w:pPr>
              <w:pStyle w:val="Tablecontent"/>
              <w:rPr>
                <w:lang w:val="en-GB" w:eastAsia="en-SG"/>
              </w:rPr>
            </w:pPr>
            <w:r w:rsidRPr="00D45743">
              <w:rPr>
                <w:lang w:val="en-GB" w:eastAsia="en-SG"/>
              </w:rPr>
              <w:t xml:space="preserve">For critical VMs, consider logging the Guest OS (e.g. Windows, Linux) to capture errors that do not surface as metrics. These errors typically appears as events in the log files, or Event database it the case of Microsoft Windows. </w:t>
            </w:r>
          </w:p>
          <w:p w14:paraId="1039594E" w14:textId="29D8040A" w:rsidR="001E272B" w:rsidRPr="00D45743" w:rsidRDefault="001E272B" w:rsidP="00DC0F79">
            <w:pPr>
              <w:pStyle w:val="Tablecontent"/>
            </w:pPr>
            <w:r w:rsidRPr="00D45743">
              <w:rPr>
                <w:lang w:val="en-GB" w:eastAsia="en-SG"/>
              </w:rPr>
              <w:t xml:space="preserve">Use Log Insight to parse Windows events into log entries that can be </w:t>
            </w:r>
            <w:r w:rsidR="00B140D6" w:rsidRPr="00D45743">
              <w:rPr>
                <w:lang w:val="en-GB" w:eastAsia="en-SG"/>
              </w:rPr>
              <w:t>analy</w:t>
            </w:r>
            <w:r w:rsidR="00DE73FA">
              <w:rPr>
                <w:lang w:val="en-GB" w:eastAsia="en-SG"/>
              </w:rPr>
              <w:t>z</w:t>
            </w:r>
            <w:r w:rsidR="00B140D6" w:rsidRPr="00D45743">
              <w:rPr>
                <w:lang w:val="en-GB" w:eastAsia="en-SG"/>
              </w:rPr>
              <w:t>ed</w:t>
            </w:r>
            <w:r w:rsidRPr="00D45743">
              <w:rPr>
                <w:lang w:val="en-GB" w:eastAsia="en-SG"/>
              </w:rPr>
              <w:t>.</w:t>
            </w:r>
          </w:p>
        </w:tc>
      </w:tr>
      <w:tr w:rsidR="00985C9F" w14:paraId="2556F5D1" w14:textId="77777777" w:rsidTr="000155C8">
        <w:tc>
          <w:tcPr>
            <w:tcW w:w="2552" w:type="dxa"/>
            <w:shd w:val="clear" w:color="auto" w:fill="F2F2F2" w:themeFill="background1" w:themeFillShade="F2"/>
          </w:tcPr>
          <w:p w14:paraId="2631E3FB" w14:textId="1EBCEF53" w:rsidR="00985C9F" w:rsidRPr="00284DE7" w:rsidRDefault="00985C9F" w:rsidP="005321A6">
            <w:pPr>
              <w:pStyle w:val="Tablecontent"/>
            </w:pPr>
            <w:r>
              <w:t>Large VM</w:t>
            </w:r>
          </w:p>
        </w:tc>
        <w:tc>
          <w:tcPr>
            <w:tcW w:w="7904" w:type="dxa"/>
          </w:tcPr>
          <w:p w14:paraId="6121EEBD" w14:textId="5F2DA50B" w:rsidR="00985C9F" w:rsidRDefault="00985C9F" w:rsidP="00985C9F">
            <w:pPr>
              <w:pStyle w:val="Tablecontent"/>
            </w:pPr>
            <w:r w:rsidRPr="00D45743">
              <w:t xml:space="preserve">A large VM, relative to the underlying ESXi host and datastore, requires more careful planning (Day 0) and monitoring (Day 2). </w:t>
            </w:r>
          </w:p>
          <w:p w14:paraId="4C8676E3" w14:textId="77777777" w:rsidR="00911F46" w:rsidRDefault="00985C9F" w:rsidP="00985C9F">
            <w:pPr>
              <w:pStyle w:val="Tablecontent"/>
            </w:pPr>
            <w:r w:rsidRPr="00D45743">
              <w:t>Ensure that the VM size does not exceed the size of the underlying ESXi host. If your ESXi host has CPU hyper-threading, do not count the logical processor</w:t>
            </w:r>
            <w:r w:rsidR="00410702">
              <w:t>s</w:t>
            </w:r>
            <w:r w:rsidRPr="00D45743">
              <w:t>. Instead, count the physical core</w:t>
            </w:r>
            <w:r w:rsidR="00410702">
              <w:t>s</w:t>
            </w:r>
            <w:r w:rsidR="00911F46">
              <w:t xml:space="preserve"> only</w:t>
            </w:r>
            <w:r w:rsidRPr="00D45743">
              <w:t xml:space="preserve">. </w:t>
            </w:r>
          </w:p>
          <w:p w14:paraId="5409E3C9" w14:textId="0E84AEA9" w:rsidR="001F129C" w:rsidRDefault="00C8536D" w:rsidP="00985C9F">
            <w:pPr>
              <w:pStyle w:val="Tablecontent"/>
            </w:pPr>
            <w:r>
              <w:t>Large</w:t>
            </w:r>
            <w:r w:rsidR="00985C9F" w:rsidRPr="00D45743">
              <w:t xml:space="preserve"> VM </w:t>
            </w:r>
            <w:r>
              <w:t xml:space="preserve">that matches </w:t>
            </w:r>
            <w:r w:rsidR="00985C9F" w:rsidRPr="00D45743">
              <w:t xml:space="preserve">the </w:t>
            </w:r>
            <w:r>
              <w:t xml:space="preserve">size of the </w:t>
            </w:r>
            <w:r w:rsidR="00985C9F" w:rsidRPr="00D45743">
              <w:t>ESXi</w:t>
            </w:r>
            <w:r>
              <w:t xml:space="preserve"> can occupy the entire host when it runs at high </w:t>
            </w:r>
            <w:r w:rsidR="00667677">
              <w:t>utilization</w:t>
            </w:r>
            <w:r>
              <w:t xml:space="preserve">. That means </w:t>
            </w:r>
            <w:r w:rsidR="00985C9F" w:rsidRPr="00D45743">
              <w:t>you might not be able to run other VMs</w:t>
            </w:r>
            <w:r w:rsidR="001F129C">
              <w:t xml:space="preserve"> without some performance compromise</w:t>
            </w:r>
            <w:r w:rsidR="00985C9F" w:rsidRPr="00D45743">
              <w:t xml:space="preserve">. </w:t>
            </w:r>
          </w:p>
          <w:p w14:paraId="77EE3A8F" w14:textId="10136B59" w:rsidR="00985C9F" w:rsidRPr="00D45743" w:rsidRDefault="00985C9F" w:rsidP="00985C9F">
            <w:pPr>
              <w:pStyle w:val="Tablecontent"/>
            </w:pPr>
            <w:r w:rsidRPr="00D45743">
              <w:t>Large VMs can impact the performance of other VMs, especially if it’s given higher shares. Only when the large VM is under-utilized, can the ESXi run other VMs.</w:t>
            </w:r>
          </w:p>
          <w:p w14:paraId="3BC93968" w14:textId="4001AB40" w:rsidR="004433C2" w:rsidRPr="00D45743" w:rsidRDefault="00933CA3" w:rsidP="004433C2">
            <w:pPr>
              <w:pStyle w:val="Tablecontent"/>
            </w:pPr>
            <w:r>
              <w:t>I</w:t>
            </w:r>
            <w:r w:rsidR="00985C9F" w:rsidRPr="00D45743">
              <w:t>f the number of configured vCPUs on a VM is higher than number of cores per socket on the ESXi, the VM can experience NUMA effect. If the ESXi has more than one physical CPU (socket), cross-NUMA access negatively impacts performance</w:t>
            </w:r>
            <w:r w:rsidR="004433C2">
              <w:t>.</w:t>
            </w:r>
            <w:r w:rsidR="004433C2" w:rsidRPr="00D45743">
              <w:t xml:space="preserve"> For best performance, keep it within </w:t>
            </w:r>
            <w:r w:rsidR="004433C2">
              <w:t>the CPU socket.</w:t>
            </w:r>
          </w:p>
          <w:p w14:paraId="6303D6DE" w14:textId="23E6275B" w:rsidR="00985C9F" w:rsidRPr="00D45743" w:rsidRDefault="00985C9F" w:rsidP="005321A6">
            <w:pPr>
              <w:pStyle w:val="Tablecontent"/>
            </w:pPr>
            <w:r w:rsidRPr="00D45743">
              <w:t>The larger the VM, the longer time is required to vMotion, Storage vMotion, and backup.</w:t>
            </w:r>
          </w:p>
        </w:tc>
      </w:tr>
      <w:tr w:rsidR="00B11391" w14:paraId="077A5A5F" w14:textId="77777777" w:rsidTr="000155C8">
        <w:tc>
          <w:tcPr>
            <w:tcW w:w="2552" w:type="dxa"/>
            <w:shd w:val="clear" w:color="auto" w:fill="F2F2F2" w:themeFill="background1" w:themeFillShade="F2"/>
          </w:tcPr>
          <w:p w14:paraId="28A82571" w14:textId="4F5CD5C7" w:rsidR="00B11391" w:rsidRDefault="00B11391" w:rsidP="005321A6">
            <w:pPr>
              <w:pStyle w:val="Tablecontent"/>
            </w:pPr>
            <w:r w:rsidRPr="00284DE7">
              <w:t xml:space="preserve">VM disks </w:t>
            </w:r>
          </w:p>
        </w:tc>
        <w:tc>
          <w:tcPr>
            <w:tcW w:w="7904" w:type="dxa"/>
          </w:tcPr>
          <w:p w14:paraId="265C5D3D" w14:textId="66A05C4C" w:rsidR="00C8038C" w:rsidRPr="00A452F2" w:rsidRDefault="00C8038C" w:rsidP="00C8038C">
            <w:pPr>
              <w:pStyle w:val="Tablecontent"/>
            </w:pPr>
            <w:r w:rsidRPr="00A452F2">
              <w:t>It is simpler to have a 1:1 mapping between Guest OS partitions and the underlying virtual disk (VMDK or RDM).</w:t>
            </w:r>
            <w:r w:rsidR="00C53DA6">
              <w:t xml:space="preserve"> While you can run logical volume at Windows or Linux level, it creates complexity.</w:t>
            </w:r>
          </w:p>
          <w:p w14:paraId="4071BFBB" w14:textId="77777777" w:rsidR="00C8038C" w:rsidRPr="00A452F2" w:rsidRDefault="00C8038C" w:rsidP="00C8038C">
            <w:pPr>
              <w:pStyle w:val="Tablecontent"/>
            </w:pPr>
            <w:r w:rsidRPr="00A452F2">
              <w:t>For performance and capacity, evaluate the disks and partitions. Each virtual disk must be monitored in terms of IOPS, throughput, and latency. Having multiple virtual disks increases the monitoring and troubleshooting need.</w:t>
            </w:r>
          </w:p>
          <w:p w14:paraId="7187EE2F" w14:textId="77777777" w:rsidR="00B11391" w:rsidRDefault="00C8038C" w:rsidP="00C8038C">
            <w:pPr>
              <w:pStyle w:val="Tablecontent"/>
            </w:pPr>
            <w:r w:rsidRPr="00A452F2">
              <w:t xml:space="preserve">If the reason for having many virtual disks is performance, identify which counter serves as </w:t>
            </w:r>
            <w:r w:rsidRPr="004410B4">
              <w:rPr>
                <w:color w:val="FF0000"/>
              </w:rPr>
              <w:t xml:space="preserve">proof </w:t>
            </w:r>
            <w:r w:rsidRPr="00A452F2">
              <w:t>that multiple virtual disks are required. It is possible that the performance required is met by a single virtual disk</w:t>
            </w:r>
            <w:r w:rsidR="004410B4">
              <w:t>.</w:t>
            </w:r>
          </w:p>
          <w:p w14:paraId="09E0A437" w14:textId="77777777" w:rsidR="004410B4" w:rsidRDefault="004410B4" w:rsidP="00C8038C">
            <w:pPr>
              <w:pStyle w:val="Tablecontent"/>
            </w:pPr>
            <w:r w:rsidRPr="00D45743">
              <w:lastRenderedPageBreak/>
              <w:t>For disk space, if the disk is thin-provisioned and under-utilized, you can deploy other VMs in the same datastore. Ensure that the snapshot is tracked closely, as the risk of capacity running out is higher for a large virtual disk.</w:t>
            </w:r>
          </w:p>
          <w:p w14:paraId="55B12236" w14:textId="48B201DD" w:rsidR="00144FCE" w:rsidRPr="00A452F2" w:rsidRDefault="00144FCE" w:rsidP="00C8038C">
            <w:pPr>
              <w:pStyle w:val="Tablecontent"/>
            </w:pPr>
            <w:r>
              <w:t>Minimize VM that spans multiple datastores. This can make performance troubleshooting and capacity planning difficult as you create a M:N relationship between VM and datastore.</w:t>
            </w:r>
          </w:p>
        </w:tc>
      </w:tr>
      <w:tr w:rsidR="00C8038C" w14:paraId="214B94DB" w14:textId="77777777" w:rsidTr="000155C8">
        <w:tc>
          <w:tcPr>
            <w:tcW w:w="2552" w:type="dxa"/>
            <w:shd w:val="clear" w:color="auto" w:fill="F2F2F2" w:themeFill="background1" w:themeFillShade="F2"/>
          </w:tcPr>
          <w:p w14:paraId="6A557C34" w14:textId="287F3004" w:rsidR="00C8038C" w:rsidRPr="00284DE7" w:rsidRDefault="00C8038C" w:rsidP="005321A6">
            <w:pPr>
              <w:pStyle w:val="Tablecontent"/>
            </w:pPr>
            <w:r>
              <w:lastRenderedPageBreak/>
              <w:t>VM networks</w:t>
            </w:r>
          </w:p>
        </w:tc>
        <w:tc>
          <w:tcPr>
            <w:tcW w:w="7904" w:type="dxa"/>
          </w:tcPr>
          <w:p w14:paraId="213D34F0" w14:textId="77777777" w:rsidR="00117AC7" w:rsidRDefault="00C8038C" w:rsidP="00C8038C">
            <w:pPr>
              <w:pStyle w:val="Tablecontent"/>
            </w:pPr>
            <w:r w:rsidRPr="00A452F2">
              <w:t xml:space="preserve">A VM might need multiple networks, such as production, back up, and management. </w:t>
            </w:r>
            <w:r w:rsidR="00912E88">
              <w:t>R</w:t>
            </w:r>
            <w:r w:rsidRPr="00A452F2">
              <w:t xml:space="preserve">oute the network interfaces through </w:t>
            </w:r>
            <w:r w:rsidR="00912E88">
              <w:t xml:space="preserve">security VM such as </w:t>
            </w:r>
            <w:r w:rsidRPr="00A452F2">
              <w:t xml:space="preserve">NSX-Edge VM. </w:t>
            </w:r>
          </w:p>
          <w:p w14:paraId="139E8951" w14:textId="165A4CB3" w:rsidR="00C8038C" w:rsidRPr="00A452F2" w:rsidRDefault="00C8038C" w:rsidP="00C8038C">
            <w:pPr>
              <w:pStyle w:val="Tablecontent"/>
            </w:pPr>
            <w:r w:rsidRPr="00A452F2">
              <w:t xml:space="preserve">A VM that has multiple network interfaces can bridge the network, causing security risks or network issues. </w:t>
            </w:r>
          </w:p>
          <w:p w14:paraId="6C8ABB98" w14:textId="4FCBF020" w:rsidR="00C8038C" w:rsidRPr="00A452F2" w:rsidRDefault="00117AC7" w:rsidP="00985C9F">
            <w:pPr>
              <w:pStyle w:val="Tablecontent"/>
            </w:pPr>
            <w:r>
              <w:t>Take note that a</w:t>
            </w:r>
            <w:r w:rsidR="00C8038C" w:rsidRPr="00A452F2">
              <w:t xml:space="preserve"> VM that is part of multiple networks can do so with just a single NIC card. A single NIC can be configured to access multiple networks, with each interface having their own IP configuration </w:t>
            </w:r>
            <w:r>
              <w:t>.</w:t>
            </w:r>
          </w:p>
        </w:tc>
      </w:tr>
      <w:tr w:rsidR="00646D6C" w14:paraId="4BFD8952" w14:textId="77777777" w:rsidTr="000155C8">
        <w:tc>
          <w:tcPr>
            <w:tcW w:w="2552" w:type="dxa"/>
            <w:shd w:val="clear" w:color="auto" w:fill="F2F2F2" w:themeFill="background1" w:themeFillShade="F2"/>
          </w:tcPr>
          <w:p w14:paraId="09814652" w14:textId="14F31162" w:rsidR="00646D6C" w:rsidRPr="00646D6C" w:rsidRDefault="00953058" w:rsidP="005321A6">
            <w:pPr>
              <w:pStyle w:val="Tablecontent"/>
            </w:pPr>
            <w:r w:rsidRPr="00284DE7">
              <w:t>Fault Tolerant</w:t>
            </w:r>
          </w:p>
        </w:tc>
        <w:tc>
          <w:tcPr>
            <w:tcW w:w="7904" w:type="dxa"/>
          </w:tcPr>
          <w:p w14:paraId="3F737934" w14:textId="2065C004" w:rsidR="00646D6C" w:rsidRPr="00284DE7" w:rsidRDefault="007D0E11" w:rsidP="005321A6">
            <w:pPr>
              <w:pStyle w:val="Tablecontent"/>
            </w:pPr>
            <w:r>
              <w:t xml:space="preserve">Any feature, especially something as powerful as this one, comes with its own set of complexity. So make sure </w:t>
            </w:r>
            <w:r w:rsidR="00DC0F79">
              <w:t>the VMs with FT are the correct VMs.</w:t>
            </w:r>
          </w:p>
        </w:tc>
      </w:tr>
      <w:tr w:rsidR="00646D6C" w14:paraId="638CA252" w14:textId="77777777" w:rsidTr="000155C8">
        <w:tc>
          <w:tcPr>
            <w:tcW w:w="2552" w:type="dxa"/>
            <w:shd w:val="clear" w:color="auto" w:fill="F2F2F2" w:themeFill="background1" w:themeFillShade="F2"/>
          </w:tcPr>
          <w:p w14:paraId="713E01E3" w14:textId="662C5C63" w:rsidR="00646D6C" w:rsidRPr="00646D6C" w:rsidRDefault="00DC0F79" w:rsidP="005321A6">
            <w:pPr>
              <w:pStyle w:val="Tablecontent"/>
            </w:pPr>
            <w:r>
              <w:t>RDM</w:t>
            </w:r>
          </w:p>
        </w:tc>
        <w:tc>
          <w:tcPr>
            <w:tcW w:w="7904" w:type="dxa"/>
          </w:tcPr>
          <w:p w14:paraId="72DB565A" w14:textId="4D688059" w:rsidR="00646D6C" w:rsidRPr="00284DE7" w:rsidRDefault="00DC2CEE" w:rsidP="005321A6">
            <w:pPr>
              <w:pStyle w:val="Tablecontent"/>
            </w:pPr>
            <w:r>
              <w:t>Keep the usage minimal</w:t>
            </w:r>
            <w:r w:rsidR="005C21FA">
              <w:t xml:space="preserve"> as they result in LUN sprawl. </w:t>
            </w:r>
          </w:p>
        </w:tc>
      </w:tr>
      <w:tr w:rsidR="00646D6C" w14:paraId="631B9425" w14:textId="77777777" w:rsidTr="000155C8">
        <w:tc>
          <w:tcPr>
            <w:tcW w:w="2552" w:type="dxa"/>
            <w:shd w:val="clear" w:color="auto" w:fill="F2F2F2" w:themeFill="background1" w:themeFillShade="F2"/>
          </w:tcPr>
          <w:p w14:paraId="2B7F63C8" w14:textId="4BDCDD55" w:rsidR="00646D6C" w:rsidRPr="00646D6C" w:rsidRDefault="00646D6C" w:rsidP="005321A6">
            <w:pPr>
              <w:pStyle w:val="Tablecontent"/>
            </w:pPr>
            <w:r w:rsidRPr="00284DE7">
              <w:t xml:space="preserve">SRM </w:t>
            </w:r>
          </w:p>
        </w:tc>
        <w:tc>
          <w:tcPr>
            <w:tcW w:w="7904" w:type="dxa"/>
          </w:tcPr>
          <w:p w14:paraId="5123BD22" w14:textId="6BE276C3" w:rsidR="00646D6C" w:rsidRPr="00284DE7" w:rsidRDefault="00076860" w:rsidP="005321A6">
            <w:pPr>
              <w:pStyle w:val="Tablecontent"/>
            </w:pPr>
            <w:r>
              <w:t>Are all the VMs protected by SRM meant to be protected? Some VMs could be no longer use</w:t>
            </w:r>
            <w:r w:rsidR="00854B02">
              <w:t xml:space="preserve"> but are still protected. Review the Recovery Plan. How frequent was it run and </w:t>
            </w:r>
            <w:r w:rsidR="00096202">
              <w:t>when was the last run?</w:t>
            </w:r>
          </w:p>
        </w:tc>
      </w:tr>
      <w:tr w:rsidR="00646D6C" w14:paraId="5BD74F4B" w14:textId="77777777" w:rsidTr="000155C8">
        <w:tc>
          <w:tcPr>
            <w:tcW w:w="2552" w:type="dxa"/>
            <w:shd w:val="clear" w:color="auto" w:fill="F2F2F2" w:themeFill="background1" w:themeFillShade="F2"/>
          </w:tcPr>
          <w:p w14:paraId="6A1E2C04" w14:textId="3F85DA60" w:rsidR="00646D6C" w:rsidRPr="00646D6C" w:rsidRDefault="00646D6C" w:rsidP="005321A6">
            <w:pPr>
              <w:pStyle w:val="Tablecontent"/>
            </w:pPr>
            <w:r>
              <w:t>Hot Add</w:t>
            </w:r>
          </w:p>
        </w:tc>
        <w:tc>
          <w:tcPr>
            <w:tcW w:w="7904" w:type="dxa"/>
          </w:tcPr>
          <w:p w14:paraId="550CECC8" w14:textId="77777777" w:rsidR="00E67F6A" w:rsidRDefault="00E67F6A" w:rsidP="00096202">
            <w:pPr>
              <w:pStyle w:val="Tablecontent"/>
            </w:pPr>
            <w:r>
              <w:t>CPU Hot Add and Memory Hot Add</w:t>
            </w:r>
            <w:r w:rsidR="00096202">
              <w:t xml:space="preserve">. </w:t>
            </w:r>
            <w:r>
              <w:t xml:space="preserve">Are </w:t>
            </w:r>
            <w:r w:rsidR="00953058">
              <w:t xml:space="preserve">those applied at the </w:t>
            </w:r>
            <w:r>
              <w:t>correct VMs</w:t>
            </w:r>
            <w:r w:rsidR="00953058">
              <w:t>?</w:t>
            </w:r>
          </w:p>
          <w:p w14:paraId="228B7A15" w14:textId="12FA3860" w:rsidR="00D14595" w:rsidRPr="00284DE7" w:rsidRDefault="00D14595" w:rsidP="00096202">
            <w:pPr>
              <w:pStyle w:val="Tablecontent"/>
            </w:pPr>
            <w:r>
              <w:t xml:space="preserve">CPU Hot Add results in NUMA optimization disabled. So memory is being interleaved between the nodes. </w:t>
            </w:r>
            <w:r w:rsidR="006D08CF">
              <w:t>Hence, only use Hot Add if the benefit outweigh the cost.</w:t>
            </w:r>
          </w:p>
        </w:tc>
      </w:tr>
    </w:tbl>
    <w:p w14:paraId="46EAC54A" w14:textId="77777777" w:rsidR="00E90604" w:rsidRPr="00E90604" w:rsidRDefault="00E90604" w:rsidP="00E90604">
      <w:pPr>
        <w:pStyle w:val="Heading5"/>
      </w:pPr>
      <w:r>
        <w:t>Provider Layer</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552"/>
        <w:gridCol w:w="7904"/>
      </w:tblGrid>
      <w:tr w:rsidR="00E90604" w14:paraId="30D06CBB" w14:textId="77777777" w:rsidTr="00281329">
        <w:tc>
          <w:tcPr>
            <w:tcW w:w="2552" w:type="dxa"/>
            <w:shd w:val="clear" w:color="auto" w:fill="F2F2F2" w:themeFill="background1" w:themeFillShade="F2"/>
          </w:tcPr>
          <w:p w14:paraId="379F8DB6" w14:textId="77777777" w:rsidR="00E90604" w:rsidRPr="009F779C" w:rsidRDefault="00E90604" w:rsidP="00281329">
            <w:pPr>
              <w:pStyle w:val="Tablecontent"/>
            </w:pPr>
            <w:r w:rsidRPr="001D2C0A">
              <w:t>ESXi</w:t>
            </w:r>
          </w:p>
        </w:tc>
        <w:tc>
          <w:tcPr>
            <w:tcW w:w="7904" w:type="dxa"/>
          </w:tcPr>
          <w:p w14:paraId="7F0C532F" w14:textId="77777777" w:rsidR="00E90604" w:rsidRDefault="00E90604" w:rsidP="00281329">
            <w:pPr>
              <w:pStyle w:val="Tablecontent"/>
            </w:pPr>
            <w:r w:rsidRPr="001D2C0A">
              <w:t>Too many variations</w:t>
            </w:r>
            <w:r>
              <w:t xml:space="preserve"> of vendors, models, generations and specification</w:t>
            </w:r>
            <w:r w:rsidRPr="001D2C0A">
              <w:t xml:space="preserve">. No standard </w:t>
            </w:r>
            <w:r>
              <w:t>creates complexity.</w:t>
            </w:r>
          </w:p>
          <w:p w14:paraId="16E02AA3" w14:textId="77777777" w:rsidR="00E90604" w:rsidRPr="00EA5F90" w:rsidRDefault="00E90604" w:rsidP="00281329">
            <w:pPr>
              <w:pStyle w:val="Tablecontent"/>
            </w:pPr>
            <w:r w:rsidRPr="001D2C0A">
              <w:t>Too many storage paths</w:t>
            </w:r>
            <w:r>
              <w:t>. While redundancy is good, having too many may not bring the result you expect. Compare this with airplane with 2 engines versus 4 engines.</w:t>
            </w:r>
          </w:p>
        </w:tc>
      </w:tr>
      <w:tr w:rsidR="00E90604" w14:paraId="76D3D277" w14:textId="77777777" w:rsidTr="00281329">
        <w:tc>
          <w:tcPr>
            <w:tcW w:w="2552" w:type="dxa"/>
            <w:shd w:val="clear" w:color="auto" w:fill="F2F2F2" w:themeFill="background1" w:themeFillShade="F2"/>
          </w:tcPr>
          <w:p w14:paraId="46E820A5" w14:textId="77777777" w:rsidR="00E90604" w:rsidRPr="009F779C" w:rsidRDefault="00E90604" w:rsidP="00281329">
            <w:pPr>
              <w:pStyle w:val="Tablecontent"/>
            </w:pPr>
            <w:r w:rsidRPr="001D2C0A">
              <w:t>Cluster</w:t>
            </w:r>
          </w:p>
        </w:tc>
        <w:tc>
          <w:tcPr>
            <w:tcW w:w="7904" w:type="dxa"/>
          </w:tcPr>
          <w:p w14:paraId="52392432" w14:textId="77777777" w:rsidR="00E90604" w:rsidRPr="001D2C0A" w:rsidRDefault="00E90604" w:rsidP="00281329">
            <w:pPr>
              <w:pStyle w:val="Tablecontent"/>
            </w:pPr>
            <w:r>
              <w:t xml:space="preserve">Cluster with </w:t>
            </w:r>
            <w:r w:rsidRPr="001D2C0A">
              <w:t>32 nodes or more</w:t>
            </w:r>
            <w:r>
              <w:t>. Large clusters are harder to operate.</w:t>
            </w:r>
          </w:p>
          <w:p w14:paraId="752E6C3A" w14:textId="77777777" w:rsidR="00E90604" w:rsidRPr="001D2C0A" w:rsidRDefault="00E90604" w:rsidP="00281329">
            <w:pPr>
              <w:pStyle w:val="Tablecontent"/>
            </w:pPr>
            <w:r>
              <w:t>Sub-cluster technique, such as V</w:t>
            </w:r>
            <w:r w:rsidRPr="001D2C0A">
              <w:t>M to Host affinity</w:t>
            </w:r>
            <w:r>
              <w:t xml:space="preserve"> creates operational complexity.</w:t>
            </w:r>
          </w:p>
          <w:p w14:paraId="10FAD3A6" w14:textId="77777777" w:rsidR="00E90604" w:rsidRDefault="00E90604" w:rsidP="00281329">
            <w:pPr>
              <w:pStyle w:val="Tablecontent"/>
            </w:pPr>
            <w:r w:rsidRPr="001D2C0A">
              <w:t xml:space="preserve">Cluster </w:t>
            </w:r>
            <w:r>
              <w:t>with many</w:t>
            </w:r>
            <w:r w:rsidRPr="001D2C0A">
              <w:t xml:space="preserve"> Resource Pools</w:t>
            </w:r>
            <w:r>
              <w:t>, especially cascading ones, are more complex to operate.</w:t>
            </w:r>
          </w:p>
          <w:p w14:paraId="01965469" w14:textId="77777777" w:rsidR="00E90604" w:rsidRDefault="00E90604" w:rsidP="00281329">
            <w:pPr>
              <w:pStyle w:val="Tablecontent"/>
            </w:pPr>
            <w:r w:rsidRPr="001D2C0A">
              <w:t xml:space="preserve">Cluster </w:t>
            </w:r>
            <w:r>
              <w:t>with m</w:t>
            </w:r>
            <w:r w:rsidRPr="001D2C0A">
              <w:t>any VM Shares (CPU</w:t>
            </w:r>
            <w:r>
              <w:t xml:space="preserve"> and memory</w:t>
            </w:r>
            <w:r w:rsidRPr="001D2C0A">
              <w:t>)</w:t>
            </w:r>
            <w:r>
              <w:t xml:space="preserve"> make performance troubleshooting difficult. </w:t>
            </w:r>
            <w:r w:rsidRPr="00A452F2">
              <w:rPr>
                <w:lang w:val="en-GB" w:eastAsia="en-SG"/>
              </w:rPr>
              <w:t xml:space="preserve">Each share should map to exactly one class of service, such as one for Gold and one for silver, </w:t>
            </w:r>
            <w:r w:rsidRPr="00A452F2">
              <w:rPr>
                <w:rFonts w:cstheme="minorHAnsi"/>
                <w:color w:val="000000" w:themeColor="text1"/>
                <w:lang w:val="en-GB"/>
              </w:rPr>
              <w:t>as the shares defines the class of service</w:t>
            </w:r>
            <w:r w:rsidRPr="00A452F2">
              <w:rPr>
                <w:lang w:val="en-GB" w:eastAsia="en-SG"/>
              </w:rPr>
              <w:t>. Shares are also relative, meaning the value depends on the value of sibling objects such as, resource pool or VM.</w:t>
            </w:r>
          </w:p>
          <w:p w14:paraId="7F30F018" w14:textId="77777777" w:rsidR="00E90604" w:rsidRPr="001D2C0A" w:rsidRDefault="00E90604" w:rsidP="00281329">
            <w:pPr>
              <w:pStyle w:val="Tablecontent"/>
            </w:pPr>
            <w:r>
              <w:t>If you move VM across clusters, e</w:t>
            </w:r>
            <w:r w:rsidRPr="00A452F2">
              <w:rPr>
                <w:lang w:val="en-GB" w:eastAsia="en-SG"/>
              </w:rPr>
              <w:t xml:space="preserve">nsure that the values </w:t>
            </w:r>
            <w:r>
              <w:rPr>
                <w:lang w:val="en-GB" w:eastAsia="en-SG"/>
              </w:rPr>
              <w:t xml:space="preserve">of shares </w:t>
            </w:r>
            <w:r w:rsidRPr="00A452F2">
              <w:rPr>
                <w:lang w:val="en-GB" w:eastAsia="en-SG"/>
              </w:rPr>
              <w:t>are consistent across clusters to avoid unintended consequences while moving the VM to another cluster</w:t>
            </w:r>
            <w:r>
              <w:rPr>
                <w:lang w:val="en-GB" w:eastAsia="en-SG"/>
              </w:rPr>
              <w:t>.</w:t>
            </w:r>
          </w:p>
          <w:p w14:paraId="1377D284" w14:textId="77777777" w:rsidR="00E90604" w:rsidRPr="001D2C0A" w:rsidRDefault="00E90604" w:rsidP="00281329">
            <w:pPr>
              <w:pStyle w:val="Tablecontent"/>
            </w:pPr>
            <w:r w:rsidRPr="001D2C0A">
              <w:t>Stretched</w:t>
            </w:r>
            <w:r>
              <w:t xml:space="preserve"> Cluster is more complex than traditional cluster. They provide Disaster Avoidance (DA), not Disaster Recovery (DR). Having a DA does not remove the requirements for DR.</w:t>
            </w:r>
          </w:p>
        </w:tc>
      </w:tr>
      <w:tr w:rsidR="00E90604" w14:paraId="38ABFD90" w14:textId="77777777" w:rsidTr="00281329">
        <w:tc>
          <w:tcPr>
            <w:tcW w:w="2552" w:type="dxa"/>
            <w:shd w:val="clear" w:color="auto" w:fill="F2F2F2" w:themeFill="background1" w:themeFillShade="F2"/>
          </w:tcPr>
          <w:p w14:paraId="373E0822" w14:textId="77777777" w:rsidR="00E90604" w:rsidRPr="001D2C0A" w:rsidRDefault="00E90604" w:rsidP="00281329">
            <w:pPr>
              <w:pStyle w:val="Tablecontent"/>
            </w:pPr>
            <w:r w:rsidRPr="001D2C0A">
              <w:lastRenderedPageBreak/>
              <w:t>Datastore</w:t>
            </w:r>
          </w:p>
        </w:tc>
        <w:tc>
          <w:tcPr>
            <w:tcW w:w="7904" w:type="dxa"/>
          </w:tcPr>
          <w:p w14:paraId="61CABF37" w14:textId="77777777" w:rsidR="00E90604" w:rsidRPr="001D2C0A" w:rsidRDefault="00E90604" w:rsidP="00281329">
            <w:pPr>
              <w:pStyle w:val="Tablecontent"/>
            </w:pPr>
            <w:r>
              <w:t>Datastores that are s</w:t>
            </w:r>
            <w:r w:rsidRPr="001D2C0A">
              <w:t>hared by &gt;1 cluster</w:t>
            </w:r>
            <w:r>
              <w:t xml:space="preserve"> are more complex from both capacity monitoring and performance troubleshooting.</w:t>
            </w:r>
          </w:p>
          <w:p w14:paraId="3A168A08" w14:textId="77777777" w:rsidR="00E90604" w:rsidRDefault="00E90604" w:rsidP="00281329">
            <w:pPr>
              <w:pStyle w:val="Tablecontent"/>
            </w:pPr>
            <w:r>
              <w:t>Datastores with too m</w:t>
            </w:r>
            <w:r w:rsidRPr="001D2C0A">
              <w:t>any paths</w:t>
            </w:r>
          </w:p>
          <w:p w14:paraId="0DBA21B6" w14:textId="77777777" w:rsidR="00E90604" w:rsidRPr="001D2C0A" w:rsidRDefault="00E90604" w:rsidP="00281329">
            <w:pPr>
              <w:pStyle w:val="Tablecontent"/>
            </w:pPr>
            <w:r>
              <w:t>Too many variants in the datastore size</w:t>
            </w:r>
          </w:p>
        </w:tc>
      </w:tr>
      <w:tr w:rsidR="00E90604" w14:paraId="5C5E061B" w14:textId="77777777" w:rsidTr="00281329">
        <w:tc>
          <w:tcPr>
            <w:tcW w:w="2552" w:type="dxa"/>
            <w:shd w:val="clear" w:color="auto" w:fill="F2F2F2" w:themeFill="background1" w:themeFillShade="F2"/>
          </w:tcPr>
          <w:p w14:paraId="392B4ADD" w14:textId="77777777" w:rsidR="00E90604" w:rsidRPr="001D2C0A" w:rsidRDefault="00E90604" w:rsidP="00281329">
            <w:pPr>
              <w:pStyle w:val="Tablecontent"/>
            </w:pPr>
            <w:r w:rsidRPr="001D2C0A">
              <w:t>Network</w:t>
            </w:r>
          </w:p>
        </w:tc>
        <w:tc>
          <w:tcPr>
            <w:tcW w:w="7904" w:type="dxa"/>
          </w:tcPr>
          <w:p w14:paraId="4CE3DA0C" w14:textId="77777777" w:rsidR="00E90604" w:rsidRPr="001D2C0A" w:rsidRDefault="00E90604" w:rsidP="00281329">
            <w:pPr>
              <w:pStyle w:val="Tablecontent"/>
            </w:pPr>
            <w:r>
              <w:t>Load Based Teaming</w:t>
            </w:r>
          </w:p>
          <w:p w14:paraId="5C30EF6D" w14:textId="77777777" w:rsidR="00E90604" w:rsidRPr="001D2C0A" w:rsidRDefault="00E90604" w:rsidP="00281329">
            <w:pPr>
              <w:pStyle w:val="Tablecontent"/>
            </w:pPr>
            <w:r w:rsidRPr="001D2C0A">
              <w:rPr>
                <w:rFonts w:eastAsiaTheme="minorHAnsi"/>
                <w:lang w:val="en-SG" w:eastAsia="en-GB"/>
              </w:rPr>
              <w:t>Network MAC Address change</w:t>
            </w:r>
          </w:p>
        </w:tc>
      </w:tr>
    </w:tbl>
    <w:p w14:paraId="0FA69389" w14:textId="672AEE32" w:rsidR="00FD00B8" w:rsidRDefault="00FD00B8" w:rsidP="00A37F51">
      <w:pPr>
        <w:pStyle w:val="Heading4"/>
      </w:pPr>
      <w:r>
        <w:t>Optimize It</w:t>
      </w:r>
    </w:p>
    <w:p w14:paraId="6AA5CBC4" w14:textId="2BBE2EAA" w:rsidR="00BE2280" w:rsidRDefault="00FD00B8" w:rsidP="00E90604">
      <w:pPr>
        <w:rPr>
          <w:lang w:val="en-GB"/>
        </w:rPr>
      </w:pPr>
      <w:r>
        <w:rPr>
          <w:lang w:val="en-GB"/>
        </w:rPr>
        <w:t xml:space="preserve">The following table provides example of configuration that you want to </w:t>
      </w:r>
      <w:r w:rsidR="004325A8">
        <w:rPr>
          <w:lang w:val="en-GB"/>
        </w:rPr>
        <w:t>optimize for improve performance or efficiency.</w:t>
      </w:r>
    </w:p>
    <w:p w14:paraId="3A10EEEC" w14:textId="78A42BF9" w:rsidR="00E90604" w:rsidRPr="00E90604" w:rsidRDefault="00E90604" w:rsidP="00E90604">
      <w:pPr>
        <w:pStyle w:val="Heading5"/>
      </w:pPr>
      <w:r>
        <w:t>Consumer Layer</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552"/>
        <w:gridCol w:w="7904"/>
      </w:tblGrid>
      <w:tr w:rsidR="00DA5779" w14:paraId="29BACC72" w14:textId="77777777" w:rsidTr="000155C8">
        <w:tc>
          <w:tcPr>
            <w:tcW w:w="2552" w:type="dxa"/>
            <w:shd w:val="clear" w:color="auto" w:fill="F2F2F2" w:themeFill="background1" w:themeFillShade="F2"/>
          </w:tcPr>
          <w:p w14:paraId="670AA799" w14:textId="5206E06A" w:rsidR="00DA5779" w:rsidRPr="00C62D11" w:rsidRDefault="00C01CA6" w:rsidP="005321A6">
            <w:pPr>
              <w:pStyle w:val="Tablecontent"/>
            </w:pPr>
            <w:r w:rsidRPr="00284DE7">
              <w:t>JVM or Database</w:t>
            </w:r>
          </w:p>
        </w:tc>
        <w:tc>
          <w:tcPr>
            <w:tcW w:w="7904" w:type="dxa"/>
          </w:tcPr>
          <w:p w14:paraId="1ECC969D" w14:textId="79B4CA3E" w:rsidR="00DA5779" w:rsidRPr="00EA5F90" w:rsidRDefault="00C01CA6" w:rsidP="00284DE7">
            <w:pPr>
              <w:pStyle w:val="Tablecontent"/>
            </w:pPr>
            <w:r>
              <w:t>M</w:t>
            </w:r>
            <w:r w:rsidR="00284DE7" w:rsidRPr="00284DE7">
              <w:t xml:space="preserve">emory config </w:t>
            </w:r>
            <w:r>
              <w:t xml:space="preserve">way </w:t>
            </w:r>
            <w:r w:rsidR="00284DE7" w:rsidRPr="00284DE7">
              <w:t>too small relative to Guest OS</w:t>
            </w:r>
            <w:r w:rsidR="00144FCE">
              <w:t xml:space="preserve">. Unless you’re running other application, the extra memory is not accessible by the </w:t>
            </w:r>
            <w:r w:rsidR="00D91AA5">
              <w:t>application.</w:t>
            </w:r>
          </w:p>
        </w:tc>
      </w:tr>
      <w:tr w:rsidR="0042133C" w14:paraId="6D538BC6" w14:textId="77777777" w:rsidTr="000155C8">
        <w:tc>
          <w:tcPr>
            <w:tcW w:w="2552" w:type="dxa"/>
            <w:shd w:val="clear" w:color="auto" w:fill="F2F2F2" w:themeFill="background1" w:themeFillShade="F2"/>
          </w:tcPr>
          <w:p w14:paraId="4D07B2B7" w14:textId="054774C3" w:rsidR="0042133C" w:rsidRPr="00C62D11" w:rsidRDefault="00726921" w:rsidP="005321A6">
            <w:pPr>
              <w:pStyle w:val="Tablecontent"/>
            </w:pPr>
            <w:r w:rsidRPr="00284DE7">
              <w:t>Container</w:t>
            </w:r>
          </w:p>
        </w:tc>
        <w:tc>
          <w:tcPr>
            <w:tcW w:w="7904" w:type="dxa"/>
          </w:tcPr>
          <w:p w14:paraId="3B6002AD" w14:textId="5A88B4A2" w:rsidR="0042133C" w:rsidRPr="00284DE7" w:rsidRDefault="00D91AA5" w:rsidP="0042133C">
            <w:pPr>
              <w:pStyle w:val="Tablecontent"/>
            </w:pPr>
            <w:r>
              <w:t>Ideally, you do 1:1 between container and VM</w:t>
            </w:r>
            <w:r w:rsidR="00A337ED">
              <w:t xml:space="preserve"> so you avoid resource contention among the containers</w:t>
            </w:r>
            <w:r>
              <w:t>. A container that’s s</w:t>
            </w:r>
            <w:r w:rsidR="00C01CA6" w:rsidRPr="00284DE7">
              <w:t>maller than the parent VM</w:t>
            </w:r>
            <w:r>
              <w:t xml:space="preserve"> will result in wastage.</w:t>
            </w:r>
          </w:p>
        </w:tc>
      </w:tr>
      <w:tr w:rsidR="00C62D11" w14:paraId="4B0B6C10" w14:textId="77777777" w:rsidTr="000155C8">
        <w:tc>
          <w:tcPr>
            <w:tcW w:w="2552" w:type="dxa"/>
            <w:shd w:val="clear" w:color="auto" w:fill="F2F2F2" w:themeFill="background1" w:themeFillShade="F2"/>
          </w:tcPr>
          <w:p w14:paraId="29ABAE34" w14:textId="17B828E3" w:rsidR="00C62D11" w:rsidRDefault="00C62D11" w:rsidP="005321A6">
            <w:pPr>
              <w:pStyle w:val="Tablecontent"/>
              <w:rPr>
                <w:b/>
                <w:bCs/>
              </w:rPr>
            </w:pPr>
            <w:r w:rsidRPr="00A452F2">
              <w:rPr>
                <w:lang w:val="en-GB" w:eastAsia="en-SG"/>
              </w:rPr>
              <w:t>VM Reservation</w:t>
            </w:r>
          </w:p>
        </w:tc>
        <w:tc>
          <w:tcPr>
            <w:tcW w:w="7904" w:type="dxa"/>
          </w:tcPr>
          <w:p w14:paraId="06E459F4" w14:textId="1B33C5B0" w:rsidR="00C62D11" w:rsidRPr="00A452F2" w:rsidRDefault="00C62D11" w:rsidP="00693470">
            <w:pPr>
              <w:pStyle w:val="Tablecontent"/>
            </w:pPr>
            <w:r w:rsidRPr="00A452F2">
              <w:t>VM reservation causes a positive impact on the VM, but a negative impact on the cluster. Total reservation cannot exceed cluster capacity. This creates a suboptimal cluster as VMs do not use the entire assigned memory at the same time.</w:t>
            </w:r>
            <w:r w:rsidR="00892426">
              <w:t xml:space="preserve"> The working set is typically much as smaller as </w:t>
            </w:r>
            <w:r w:rsidR="00C847B4">
              <w:t>the purpose of memory is cache.</w:t>
            </w:r>
          </w:p>
          <w:p w14:paraId="3A46D94F" w14:textId="783F2459" w:rsidR="00C62D11" w:rsidRPr="00C62D11" w:rsidRDefault="00C62D11" w:rsidP="00693470">
            <w:pPr>
              <w:pStyle w:val="Tablecontent"/>
            </w:pPr>
            <w:r w:rsidRPr="00A452F2">
              <w:t>VM reservation places a constraint on the DRS placement and HA calculation. Avoid using reservation as a means to differentiate performance SLA among all the VMs in the same cluster. It is difficult to correlate CPU Ready with CPU Reservation. A VM CPU Ready does not improve two times because you increase its CPU reservation by two times. There is no direct correlation.</w:t>
            </w:r>
          </w:p>
        </w:tc>
      </w:tr>
      <w:tr w:rsidR="00F2779B" w14:paraId="5340514C" w14:textId="77777777" w:rsidTr="000155C8">
        <w:tc>
          <w:tcPr>
            <w:tcW w:w="2552" w:type="dxa"/>
            <w:shd w:val="clear" w:color="auto" w:fill="F2F2F2" w:themeFill="background1" w:themeFillShade="F2"/>
          </w:tcPr>
          <w:p w14:paraId="11331F06" w14:textId="06B6587E" w:rsidR="00F2779B" w:rsidRPr="00A452F2" w:rsidRDefault="000D358F" w:rsidP="005321A6">
            <w:pPr>
              <w:pStyle w:val="Tablecontent"/>
              <w:rPr>
                <w:lang w:val="en-GB" w:eastAsia="en-SG"/>
              </w:rPr>
            </w:pPr>
            <w:r>
              <w:rPr>
                <w:lang w:val="en-GB" w:eastAsia="en-SG"/>
              </w:rPr>
              <w:t>Snapshot</w:t>
            </w:r>
          </w:p>
        </w:tc>
        <w:tc>
          <w:tcPr>
            <w:tcW w:w="7904" w:type="dxa"/>
          </w:tcPr>
          <w:p w14:paraId="7139D8D5" w14:textId="0DE3D9BC" w:rsidR="00F2779B" w:rsidRPr="00A452F2" w:rsidRDefault="000D358F" w:rsidP="000D358F">
            <w:pPr>
              <w:pStyle w:val="Tablecontent"/>
            </w:pPr>
            <w:r w:rsidRPr="00A452F2">
              <w:t>Old snapshots tend to be larger. They consume more space and have a higher chance of impacting performance</w:t>
            </w:r>
          </w:p>
        </w:tc>
      </w:tr>
      <w:tr w:rsidR="00EA2822" w14:paraId="7ED7A6C5" w14:textId="77777777" w:rsidTr="000155C8">
        <w:tc>
          <w:tcPr>
            <w:tcW w:w="2552" w:type="dxa"/>
            <w:shd w:val="clear" w:color="auto" w:fill="F2F2F2" w:themeFill="background1" w:themeFillShade="F2"/>
          </w:tcPr>
          <w:p w14:paraId="1688EF72" w14:textId="3C8D6385" w:rsidR="00EA2822" w:rsidRDefault="00EA2822" w:rsidP="005321A6">
            <w:pPr>
              <w:pStyle w:val="Tablecontent"/>
              <w:rPr>
                <w:lang w:val="en-GB" w:eastAsia="en-SG"/>
              </w:rPr>
            </w:pPr>
            <w:r w:rsidRPr="00284DE7">
              <w:t xml:space="preserve">Tools </w:t>
            </w:r>
          </w:p>
        </w:tc>
        <w:tc>
          <w:tcPr>
            <w:tcW w:w="7904" w:type="dxa"/>
          </w:tcPr>
          <w:p w14:paraId="1E56B12C" w14:textId="389E5104" w:rsidR="007C2374" w:rsidRPr="00A452F2" w:rsidRDefault="007C2374" w:rsidP="000D358F">
            <w:pPr>
              <w:pStyle w:val="Tablecontent"/>
            </w:pPr>
            <w:r>
              <w:t>If it does not meet your standard,</w:t>
            </w:r>
            <w:r w:rsidR="000073B1">
              <w:t xml:space="preserve"> then</w:t>
            </w:r>
            <w:r>
              <w:t xml:space="preserve"> </w:t>
            </w:r>
            <w:r w:rsidR="00B14CB4">
              <w:t xml:space="preserve">avoid </w:t>
            </w:r>
            <w:r w:rsidR="00453B21">
              <w:t xml:space="preserve">VMware Tools version </w:t>
            </w:r>
            <w:r>
              <w:t>= “</w:t>
            </w:r>
            <w:r w:rsidRPr="000E3768">
              <w:rPr>
                <w:color w:val="00B0F0"/>
              </w:rPr>
              <w:t>unmanaged</w:t>
            </w:r>
            <w:r>
              <w:t>”</w:t>
            </w:r>
            <w:r w:rsidR="000073B1">
              <w:t xml:space="preserve"> by updating Tools</w:t>
            </w:r>
          </w:p>
        </w:tc>
      </w:tr>
    </w:tbl>
    <w:p w14:paraId="58BF0902" w14:textId="7244D9A9" w:rsidR="00211B61" w:rsidRPr="00E60B7B" w:rsidRDefault="00211B61" w:rsidP="00284DE7">
      <w:pPr>
        <w:pStyle w:val="BeforeTable"/>
      </w:pPr>
    </w:p>
    <w:p w14:paraId="07A237D0" w14:textId="7B67CF46" w:rsidR="007B3FB3" w:rsidRDefault="00E90604" w:rsidP="007B3FB3">
      <w:pPr>
        <w:pStyle w:val="Heading5"/>
      </w:pPr>
      <w:r>
        <w:lastRenderedPageBreak/>
        <w:t>Provider Layer</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552"/>
        <w:gridCol w:w="7904"/>
      </w:tblGrid>
      <w:tr w:rsidR="00284DE7" w14:paraId="0C7AA153" w14:textId="77777777" w:rsidTr="009F779C">
        <w:tc>
          <w:tcPr>
            <w:tcW w:w="2552" w:type="dxa"/>
            <w:shd w:val="clear" w:color="auto" w:fill="F2F2F2" w:themeFill="background1" w:themeFillShade="F2"/>
          </w:tcPr>
          <w:p w14:paraId="2DBD9F5D" w14:textId="4F3A3DAF" w:rsidR="00284DE7" w:rsidRDefault="00F53EEF" w:rsidP="005321A6">
            <w:pPr>
              <w:pStyle w:val="Tablecontent"/>
              <w:rPr>
                <w:b/>
                <w:bCs/>
              </w:rPr>
            </w:pPr>
            <w:r w:rsidRPr="001D2C0A">
              <w:t>ESXi</w:t>
            </w:r>
          </w:p>
        </w:tc>
        <w:tc>
          <w:tcPr>
            <w:tcW w:w="7904" w:type="dxa"/>
          </w:tcPr>
          <w:p w14:paraId="1E02DE43" w14:textId="18FD177E" w:rsidR="001D2C0A" w:rsidRPr="00693470" w:rsidRDefault="00754961" w:rsidP="00693470">
            <w:pPr>
              <w:pStyle w:val="Tablecontent"/>
            </w:pPr>
            <w:r w:rsidRPr="00A452F2">
              <w:t xml:space="preserve">An </w:t>
            </w:r>
            <w:r w:rsidRPr="00693470">
              <w:t xml:space="preserve">ESXi host that is in maintenance mode or powered off does not contribute resource to the cluster (or data center in the case of standalone ESXi). </w:t>
            </w:r>
          </w:p>
          <w:p w14:paraId="6F15842F" w14:textId="0B56A66C" w:rsidR="001D2C0A" w:rsidRPr="00693470" w:rsidRDefault="001D2C0A" w:rsidP="00693470">
            <w:pPr>
              <w:pStyle w:val="Tablecontent"/>
            </w:pPr>
            <w:r w:rsidRPr="00693470">
              <w:t xml:space="preserve">ESXi </w:t>
            </w:r>
            <w:r w:rsidR="000D2214" w:rsidRPr="00693470">
              <w:t>with</w:t>
            </w:r>
            <w:r w:rsidRPr="00693470">
              <w:t xml:space="preserve"> HT Disabled</w:t>
            </w:r>
            <w:r w:rsidR="000D2214" w:rsidRPr="00693470">
              <w:t xml:space="preserve">. While it provides a more predictable performance to the VM, it comes at a high price. </w:t>
            </w:r>
          </w:p>
          <w:p w14:paraId="277CE2BB" w14:textId="6D4A97BA" w:rsidR="001D2C0A" w:rsidRPr="00693470" w:rsidRDefault="001D2C0A" w:rsidP="00693470">
            <w:pPr>
              <w:pStyle w:val="Tablecontent"/>
            </w:pPr>
            <w:r w:rsidRPr="00693470">
              <w:t xml:space="preserve">ESXi </w:t>
            </w:r>
            <w:r w:rsidR="000D2214" w:rsidRPr="00693470">
              <w:t xml:space="preserve">with </w:t>
            </w:r>
            <w:r w:rsidRPr="00693470">
              <w:t>4 socket or higher.</w:t>
            </w:r>
            <w:r w:rsidR="000D2214" w:rsidRPr="00693470">
              <w:t xml:space="preserve"> Considering the high core </w:t>
            </w:r>
            <w:r w:rsidR="008D3A3F">
              <w:t>metrics</w:t>
            </w:r>
            <w:r w:rsidR="000D2214" w:rsidRPr="00693470">
              <w:t xml:space="preserve"> and </w:t>
            </w:r>
            <w:r w:rsidR="00445D61" w:rsidRPr="00693470">
              <w:t>risk of NUMA, newer ESXi hosts are sporting 1-2 sockets only.</w:t>
            </w:r>
          </w:p>
          <w:p w14:paraId="0ACF1DE7" w14:textId="77777777" w:rsidR="00284DE7" w:rsidRPr="00693470" w:rsidRDefault="001E4BF0" w:rsidP="00693470">
            <w:pPr>
              <w:pStyle w:val="Tablecontent"/>
            </w:pPr>
            <w:r w:rsidRPr="00693470">
              <w:t xml:space="preserve">A small host faces scalability limits in running a larger VM. While a 2-socket, 32-cores, 128 GB memory ESXi can run 30 vCPU, 100 GB memory VMs, the VM experiences a non-uniform memory access (NUMA) effect. </w:t>
            </w:r>
          </w:p>
          <w:p w14:paraId="4C37D1EB" w14:textId="77777777" w:rsidR="00096D8A" w:rsidRDefault="00096D8A" w:rsidP="00693470">
            <w:pPr>
              <w:pStyle w:val="Tablecontent"/>
            </w:pPr>
            <w:r w:rsidRPr="00693470">
              <w:t>For CPU cores, a change in vSphere licensing means that the ideal core is 32 cores per CPU socket</w:t>
            </w:r>
            <w:r w:rsidRPr="00A452F2">
              <w:t xml:space="preserve">. This maximizes the software license. For more information, see vSphere </w:t>
            </w:r>
            <w:hyperlink r:id="rId195" w:tgtFrame="_blank" w:history="1">
              <w:r w:rsidRPr="00A452F2">
                <w:rPr>
                  <w:rStyle w:val="Hyperlink"/>
                  <w:lang w:val="en-GB"/>
                </w:rPr>
                <w:t>Pricing Model</w:t>
              </w:r>
            </w:hyperlink>
            <w:r w:rsidRPr="00A452F2">
              <w:t>.</w:t>
            </w:r>
          </w:p>
          <w:p w14:paraId="7BCD426F" w14:textId="228293FF" w:rsidR="00045920" w:rsidRPr="00096D8A" w:rsidRDefault="00045920" w:rsidP="00693470">
            <w:pPr>
              <w:pStyle w:val="Tablecontent"/>
            </w:pPr>
            <w:r>
              <w:t>For memory, if performance is more important tha</w:t>
            </w:r>
            <w:r w:rsidR="00312283">
              <w:t>n cost, then do not disable large page.</w:t>
            </w:r>
          </w:p>
        </w:tc>
      </w:tr>
      <w:tr w:rsidR="00F53EEF" w14:paraId="736355E1" w14:textId="77777777" w:rsidTr="009F779C">
        <w:tc>
          <w:tcPr>
            <w:tcW w:w="2552" w:type="dxa"/>
            <w:shd w:val="clear" w:color="auto" w:fill="F2F2F2" w:themeFill="background1" w:themeFillShade="F2"/>
          </w:tcPr>
          <w:p w14:paraId="007E8EAC" w14:textId="57A801D3" w:rsidR="00F53EEF" w:rsidRDefault="00F53EEF" w:rsidP="005321A6">
            <w:pPr>
              <w:pStyle w:val="Tablecontent"/>
              <w:rPr>
                <w:b/>
                <w:bCs/>
              </w:rPr>
            </w:pPr>
            <w:r w:rsidRPr="001D2C0A">
              <w:t>Cluster</w:t>
            </w:r>
          </w:p>
        </w:tc>
        <w:tc>
          <w:tcPr>
            <w:tcW w:w="7904" w:type="dxa"/>
          </w:tcPr>
          <w:p w14:paraId="4799D493" w14:textId="1B007469" w:rsidR="00F53EEF" w:rsidRPr="001D2C0A" w:rsidRDefault="00F53EEF" w:rsidP="00693470">
            <w:pPr>
              <w:pStyle w:val="Tablecontent"/>
            </w:pPr>
            <w:r w:rsidRPr="001D2C0A">
              <w:t xml:space="preserve">Cluster </w:t>
            </w:r>
            <w:r w:rsidR="00447852">
              <w:t xml:space="preserve">with </w:t>
            </w:r>
            <w:r w:rsidRPr="001D2C0A">
              <w:t>EVC Mode</w:t>
            </w:r>
            <w:r w:rsidR="00447852">
              <w:t xml:space="preserve"> means it’s not able to take advantage of the newer capabilities. </w:t>
            </w:r>
          </w:p>
          <w:p w14:paraId="16F529E9" w14:textId="2FF3A8A8" w:rsidR="00F53EEF" w:rsidRPr="001D2C0A" w:rsidRDefault="00F53EEF" w:rsidP="00693470">
            <w:pPr>
              <w:pStyle w:val="Tablecontent"/>
            </w:pPr>
            <w:r w:rsidRPr="001D2C0A">
              <w:t>Cluster DRS Automation Level</w:t>
            </w:r>
            <w:r w:rsidR="00B23B0D">
              <w:t>. Ensure this meets the requirements of that cluster.</w:t>
            </w:r>
          </w:p>
          <w:p w14:paraId="56557CD3" w14:textId="0DF61A2A" w:rsidR="00F53EEF" w:rsidRPr="001D2C0A" w:rsidRDefault="00F53EEF" w:rsidP="00693470">
            <w:pPr>
              <w:pStyle w:val="Tablecontent"/>
            </w:pPr>
            <w:r w:rsidRPr="001D2C0A">
              <w:t xml:space="preserve">Cluster </w:t>
            </w:r>
            <w:r w:rsidR="00BE0850">
              <w:t>with</w:t>
            </w:r>
            <w:r w:rsidRPr="001D2C0A">
              <w:t xml:space="preserve"> DPM disabled</w:t>
            </w:r>
            <w:r w:rsidR="00BE0850">
              <w:t>. Discuss with VMware if you</w:t>
            </w:r>
            <w:r w:rsidR="00B05998">
              <w:t xml:space="preserve"> should have this enabled.</w:t>
            </w:r>
          </w:p>
          <w:p w14:paraId="2A90B8A2" w14:textId="77777777" w:rsidR="005306A8" w:rsidRPr="00A452F2" w:rsidRDefault="005306A8" w:rsidP="00693470">
            <w:pPr>
              <w:pStyle w:val="Tablecontent"/>
              <w:rPr>
                <w:lang w:val="en-GB" w:eastAsia="en-SG"/>
              </w:rPr>
            </w:pPr>
            <w:r w:rsidRPr="00A452F2">
              <w:rPr>
                <w:lang w:val="en-GB" w:eastAsia="en-SG"/>
              </w:rPr>
              <w:t xml:space="preserve">A small cluster has a higher HA overhead when compared to a large one. For example, a three-node cluster has 33% overhead while a 10-node cluster has 10%. For vSAN, a low number of hosts limits the availability option. Your choice of FTT is relatively more limited. </w:t>
            </w:r>
          </w:p>
          <w:p w14:paraId="0D07F21A" w14:textId="2948DD78" w:rsidR="005306A8" w:rsidRPr="00A452F2" w:rsidRDefault="005306A8" w:rsidP="00693470">
            <w:pPr>
              <w:pStyle w:val="Tablecontent"/>
              <w:rPr>
                <w:lang w:val="en-GB" w:eastAsia="en-SG"/>
              </w:rPr>
            </w:pPr>
            <w:r w:rsidRPr="00A452F2">
              <w:rPr>
                <w:lang w:val="en-GB" w:eastAsia="en-SG"/>
              </w:rPr>
              <w:t>Many small clusters result in silos of resources. As a cluster behaves like a single computer, ensure that it has enough CPU cores, CPU GHz, and Memory. For ESXi in 202</w:t>
            </w:r>
            <w:r w:rsidR="00185CF5">
              <w:rPr>
                <w:lang w:val="en-GB" w:eastAsia="en-SG"/>
              </w:rPr>
              <w:t>1</w:t>
            </w:r>
            <w:r w:rsidRPr="00A452F2">
              <w:rPr>
                <w:lang w:val="en-GB" w:eastAsia="en-SG"/>
              </w:rPr>
              <w:t xml:space="preserve">, it is typical to have </w:t>
            </w:r>
            <w:r w:rsidR="00185CF5">
              <w:rPr>
                <w:lang w:val="en-GB" w:eastAsia="en-SG"/>
              </w:rPr>
              <w:t xml:space="preserve">at least </w:t>
            </w:r>
            <w:r w:rsidRPr="00A452F2">
              <w:rPr>
                <w:lang w:val="en-GB" w:eastAsia="en-SG"/>
              </w:rPr>
              <w:t xml:space="preserve">512 GB of memory. This results in 12 TB of memory for a 12-node cluster, which is enough for DRS to place many VMs as it balances them. </w:t>
            </w:r>
          </w:p>
          <w:p w14:paraId="12341702" w14:textId="15C53EA6" w:rsidR="00F53EEF" w:rsidRPr="001D2C0A" w:rsidRDefault="00061210" w:rsidP="00693470">
            <w:pPr>
              <w:pStyle w:val="Tablecontent"/>
            </w:pPr>
            <w:r>
              <w:rPr>
                <w:lang w:val="en-GB" w:eastAsia="en-SG"/>
              </w:rPr>
              <w:t>R</w:t>
            </w:r>
            <w:r w:rsidR="005306A8" w:rsidRPr="00A452F2">
              <w:rPr>
                <w:lang w:val="en-GB" w:eastAsia="en-SG"/>
              </w:rPr>
              <w:t>eservation</w:t>
            </w:r>
            <w:r>
              <w:rPr>
                <w:lang w:val="en-GB" w:eastAsia="en-SG"/>
              </w:rPr>
              <w:t xml:space="preserve"> limits your ability to overcommit</w:t>
            </w:r>
            <w:r w:rsidR="005306A8" w:rsidRPr="00A452F2">
              <w:rPr>
                <w:lang w:val="en-GB" w:eastAsia="en-SG"/>
              </w:rPr>
              <w:t xml:space="preserve">, </w:t>
            </w:r>
            <w:r>
              <w:rPr>
                <w:lang w:val="en-GB" w:eastAsia="en-SG"/>
              </w:rPr>
              <w:t xml:space="preserve">resulting in less optimal usage. </w:t>
            </w:r>
            <w:r w:rsidR="000C4F93" w:rsidRPr="00A452F2">
              <w:rPr>
                <w:lang w:val="en-GB" w:eastAsia="en-SG"/>
              </w:rPr>
              <w:t xml:space="preserve">High total reservation, especially both CPU and memory, </w:t>
            </w:r>
            <w:r w:rsidR="000C4F93">
              <w:rPr>
                <w:lang w:val="en-GB" w:eastAsia="en-SG"/>
              </w:rPr>
              <w:t xml:space="preserve">also </w:t>
            </w:r>
            <w:r w:rsidR="000C4F93" w:rsidRPr="00A452F2">
              <w:rPr>
                <w:lang w:val="en-GB" w:eastAsia="en-SG"/>
              </w:rPr>
              <w:t>complicates the cluster operations as it impacts the HA slot calculation and limits the DRS choice of placement</w:t>
            </w:r>
            <w:r w:rsidR="000C4F93">
              <w:rPr>
                <w:lang w:val="en-GB" w:eastAsia="en-SG"/>
              </w:rPr>
              <w:t>.</w:t>
            </w:r>
          </w:p>
        </w:tc>
      </w:tr>
      <w:tr w:rsidR="00F53EEF" w14:paraId="3F2204FB" w14:textId="77777777" w:rsidTr="009F779C">
        <w:tc>
          <w:tcPr>
            <w:tcW w:w="2552" w:type="dxa"/>
            <w:shd w:val="clear" w:color="auto" w:fill="F2F2F2" w:themeFill="background1" w:themeFillShade="F2"/>
          </w:tcPr>
          <w:p w14:paraId="253054D9" w14:textId="7533F14E" w:rsidR="00F53EEF" w:rsidRDefault="00F53EEF" w:rsidP="005321A6">
            <w:pPr>
              <w:pStyle w:val="Tablecontent"/>
              <w:rPr>
                <w:b/>
                <w:bCs/>
              </w:rPr>
            </w:pPr>
            <w:r w:rsidRPr="001D2C0A">
              <w:t>vSAN</w:t>
            </w:r>
          </w:p>
        </w:tc>
        <w:tc>
          <w:tcPr>
            <w:tcW w:w="7904" w:type="dxa"/>
          </w:tcPr>
          <w:p w14:paraId="4A33C539" w14:textId="400B5918" w:rsidR="00F53EEF" w:rsidRPr="001D2C0A" w:rsidRDefault="00F53EEF" w:rsidP="00096D8A">
            <w:pPr>
              <w:pStyle w:val="Tablecontent"/>
            </w:pPr>
            <w:r w:rsidRPr="001D2C0A">
              <w:t>All Flash</w:t>
            </w:r>
            <w:r w:rsidR="00096D8A">
              <w:t xml:space="preserve"> but with </w:t>
            </w:r>
            <w:r w:rsidRPr="001D2C0A">
              <w:t>Dedupe disabled</w:t>
            </w:r>
            <w:r w:rsidR="00096D8A">
              <w:t xml:space="preserve"> or </w:t>
            </w:r>
            <w:r w:rsidRPr="001D2C0A">
              <w:t>Compressed disabled</w:t>
            </w:r>
          </w:p>
        </w:tc>
      </w:tr>
      <w:tr w:rsidR="00F53EEF" w14:paraId="25630D90" w14:textId="77777777" w:rsidTr="009F779C">
        <w:tc>
          <w:tcPr>
            <w:tcW w:w="2552" w:type="dxa"/>
            <w:shd w:val="clear" w:color="auto" w:fill="F2F2F2" w:themeFill="background1" w:themeFillShade="F2"/>
          </w:tcPr>
          <w:p w14:paraId="33B36129" w14:textId="5BB73AC6" w:rsidR="00F53EEF" w:rsidRDefault="00F53EEF" w:rsidP="005321A6">
            <w:pPr>
              <w:pStyle w:val="Tablecontent"/>
              <w:rPr>
                <w:b/>
                <w:bCs/>
              </w:rPr>
            </w:pPr>
            <w:r w:rsidRPr="001D2C0A">
              <w:t>Datastore</w:t>
            </w:r>
          </w:p>
        </w:tc>
        <w:tc>
          <w:tcPr>
            <w:tcW w:w="7904" w:type="dxa"/>
          </w:tcPr>
          <w:p w14:paraId="12E3DD33" w14:textId="6091E547" w:rsidR="00F53EEF" w:rsidRPr="001D2C0A" w:rsidRDefault="00DA39A4" w:rsidP="00F53EEF">
            <w:pPr>
              <w:pStyle w:val="Tablecontent"/>
            </w:pPr>
            <w:r>
              <w:t>S</w:t>
            </w:r>
            <w:r w:rsidR="00F53EEF" w:rsidRPr="001D2C0A">
              <w:t xml:space="preserve">mall </w:t>
            </w:r>
            <w:r w:rsidR="00096D8A">
              <w:t>datastores</w:t>
            </w:r>
            <w:r>
              <w:t xml:space="preserve"> run a relatively higher risk of being full from snapshot or over-provisioning.</w:t>
            </w:r>
          </w:p>
          <w:p w14:paraId="03A328DB" w14:textId="6C1D3130" w:rsidR="00F53EEF" w:rsidRPr="001D2C0A" w:rsidRDefault="00F53EEF" w:rsidP="001D2C0A">
            <w:pPr>
              <w:pStyle w:val="Tablecontent"/>
            </w:pPr>
            <w:r w:rsidRPr="001D2C0A">
              <w:t xml:space="preserve">Datastore </w:t>
            </w:r>
            <w:r w:rsidR="00096D8A">
              <w:t xml:space="preserve">with </w:t>
            </w:r>
            <w:r w:rsidRPr="001D2C0A">
              <w:t>low VM count</w:t>
            </w:r>
            <w:r w:rsidR="00F56803">
              <w:t>. If you have many of them, it results in datastore sprawls and pockets of unused space.</w:t>
            </w:r>
          </w:p>
        </w:tc>
      </w:tr>
      <w:tr w:rsidR="00F53EEF" w14:paraId="22B6B22B" w14:textId="77777777" w:rsidTr="009F779C">
        <w:tc>
          <w:tcPr>
            <w:tcW w:w="2552" w:type="dxa"/>
            <w:shd w:val="clear" w:color="auto" w:fill="F2F2F2" w:themeFill="background1" w:themeFillShade="F2"/>
          </w:tcPr>
          <w:p w14:paraId="3D7F1B9D" w14:textId="78A34D15" w:rsidR="00F53EEF" w:rsidRDefault="00F53EEF" w:rsidP="005321A6">
            <w:pPr>
              <w:pStyle w:val="Tablecontent"/>
              <w:rPr>
                <w:b/>
                <w:bCs/>
              </w:rPr>
            </w:pPr>
            <w:r w:rsidRPr="001D2C0A">
              <w:rPr>
                <w:rFonts w:eastAsiaTheme="minorHAnsi"/>
                <w:lang w:val="en-SG" w:eastAsia="en-GB"/>
              </w:rPr>
              <w:t>Distributed Switch</w:t>
            </w:r>
          </w:p>
        </w:tc>
        <w:tc>
          <w:tcPr>
            <w:tcW w:w="7904" w:type="dxa"/>
          </w:tcPr>
          <w:p w14:paraId="5053321F" w14:textId="5B64565D" w:rsidR="008D45A9" w:rsidRPr="001D2C0A" w:rsidRDefault="008D45A9" w:rsidP="001D2C0A">
            <w:pPr>
              <w:pStyle w:val="Tablecontent"/>
            </w:pPr>
            <w:r w:rsidRPr="00A452F2">
              <w:t>Unused network (distributed port group) is a potential security risk as you may have the tendency of not monitoring it</w:t>
            </w:r>
            <w:r w:rsidR="00CE375A">
              <w:t>. Network is basically a path or road, so it can be used by unauthorized user.</w:t>
            </w:r>
          </w:p>
        </w:tc>
      </w:tr>
    </w:tbl>
    <w:p w14:paraId="5A55E3DC" w14:textId="3184C476" w:rsidR="001665C4" w:rsidRDefault="001665C4" w:rsidP="00B373E2">
      <w:pPr>
        <w:pStyle w:val="Heading2"/>
      </w:pPr>
      <w:bookmarkStart w:id="42" w:name="_Design_Consideration_2"/>
      <w:bookmarkStart w:id="43" w:name="_Cost_Management"/>
      <w:bookmarkEnd w:id="42"/>
      <w:bookmarkEnd w:id="43"/>
      <w:r w:rsidRPr="00E60B7B">
        <w:lastRenderedPageBreak/>
        <w:t xml:space="preserve">Cost </w:t>
      </w:r>
      <w:r w:rsidR="002C0AD8">
        <w:t xml:space="preserve">&amp; Price </w:t>
      </w:r>
      <w:r w:rsidRPr="00E60B7B">
        <w:t>Management</w:t>
      </w:r>
    </w:p>
    <w:p w14:paraId="30094C69" w14:textId="23FDBD19" w:rsidR="004D4D3A" w:rsidRPr="004D4D3A" w:rsidRDefault="004D4D3A" w:rsidP="004D4D3A">
      <w:r>
        <w:rPr>
          <w:noProof/>
        </w:rPr>
        <mc:AlternateContent>
          <mc:Choice Requires="wps">
            <w:drawing>
              <wp:anchor distT="0" distB="0" distL="114300" distR="114300" simplePos="0" relativeHeight="251652096" behindDoc="0" locked="0" layoutInCell="1" allowOverlap="1" wp14:anchorId="584C3A47" wp14:editId="2E5E9885">
                <wp:simplePos x="0" y="0"/>
                <wp:positionH relativeFrom="column">
                  <wp:posOffset>0</wp:posOffset>
                </wp:positionH>
                <wp:positionV relativeFrom="paragraph">
                  <wp:posOffset>0</wp:posOffset>
                </wp:positionV>
                <wp:extent cx="1828800" cy="1828800"/>
                <wp:effectExtent l="0" t="0" r="0" b="0"/>
                <wp:wrapNone/>
                <wp:docPr id="606394162" name="Text Box 6063941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FC52205" w14:textId="332C5A6C" w:rsidR="00E66F24" w:rsidRPr="00C84219" w:rsidRDefault="00E66F24" w:rsidP="004D4D3A">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1 Chapter 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584C3A47" id="Text Box 606394162" o:spid="_x0000_s1030" type="#_x0000_t202" style="position:absolute;margin-left:0;margin-top:0;width:2in;height:2in;z-index:25165209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" filled="f" stroked="f">
                <v:textbox style="mso-fit-shape-to-text:t">
                  <w:txbxContent>
                    <w:p w14:paraId="6FC52205" w14:textId="332C5A6C" w:rsidR="00E66F24" w:rsidRPr="00C84219" w:rsidRDefault="00E66F24" w:rsidP="004D4D3A">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1 Chapter 5</w:t>
                      </w:r>
                    </w:p>
                  </w:txbxContent>
                </v:textbox>
              </v:shape>
            </w:pict>
          </mc:Fallback>
        </mc:AlternateContent>
      </w:r>
    </w:p>
    <w:p w14:paraId="503442C9" w14:textId="74D4F98E" w:rsidR="001665C4" w:rsidRPr="00E60B7B" w:rsidRDefault="004F6D3C" w:rsidP="003F097B">
      <w:pPr>
        <w:pStyle w:val="AfterChapterTitle"/>
      </w:pPr>
      <w:r w:rsidRPr="00E60B7B">
        <w:t xml:space="preserve">With hardware becoming commodity and infrastructure becoming </w:t>
      </w:r>
      <w:r w:rsidR="00E27EAA" w:rsidRPr="00E60B7B">
        <w:t xml:space="preserve">invisible, price </w:t>
      </w:r>
      <w:r w:rsidR="00DE77A9" w:rsidRPr="00E60B7B">
        <w:t>ha</w:t>
      </w:r>
      <w:r w:rsidR="00D04A45" w:rsidRPr="00E60B7B">
        <w:t>s</w:t>
      </w:r>
      <w:r w:rsidR="00DE77A9" w:rsidRPr="00E60B7B">
        <w:t xml:space="preserve"> become a common </w:t>
      </w:r>
      <w:r w:rsidR="001F4440" w:rsidRPr="00E60B7B">
        <w:t xml:space="preserve">denominator </w:t>
      </w:r>
      <w:r w:rsidR="00DE77A9" w:rsidRPr="00E60B7B">
        <w:t xml:space="preserve">among all IaaS providers. Applications </w:t>
      </w:r>
      <w:r w:rsidR="00A0608C" w:rsidRPr="00E60B7B">
        <w:t xml:space="preserve">can run spanning multiple cloud, so whichever cheaper gets the </w:t>
      </w:r>
      <w:r w:rsidR="007E0A47" w:rsidRPr="00E60B7B">
        <w:t xml:space="preserve">deal to run the applications. </w:t>
      </w:r>
    </w:p>
    <w:p w14:paraId="71ACA02B" w14:textId="0CFF8D78" w:rsidR="00E1197D" w:rsidRDefault="00810751" w:rsidP="00540F68">
      <w:pPr>
        <w:pStyle w:val="Heading3"/>
      </w:pPr>
      <w:r>
        <w:t>Dare to Compare</w:t>
      </w:r>
    </w:p>
    <w:p w14:paraId="30C20C8C" w14:textId="5AF6B7E9" w:rsidR="00377C09" w:rsidRDefault="00377C09" w:rsidP="00955846">
      <w:r>
        <w:t>In the cloud era, application team</w:t>
      </w:r>
      <w:r w:rsidR="00565E82">
        <w:t>s</w:t>
      </w:r>
      <w:r>
        <w:t xml:space="preserve"> today </w:t>
      </w:r>
      <w:r w:rsidR="00565E82">
        <w:t>are</w:t>
      </w:r>
      <w:r>
        <w:t xml:space="preserve"> provided with more choice of infrastructure. All they need is a credit card and application development can start. No need to deal with internal </w:t>
      </w:r>
      <w:r w:rsidR="00CF7D2C" w:rsidRPr="00CF7D2C">
        <w:rPr>
          <w:color w:val="FF0000"/>
        </w:rPr>
        <w:t>red</w:t>
      </w:r>
      <w:r>
        <w:t xml:space="preserve"> tape</w:t>
      </w:r>
      <w:r w:rsidR="00810751">
        <w:t xml:space="preserve"> just to get a bunch of hardwar</w:t>
      </w:r>
      <w:r w:rsidR="00565E82">
        <w:t>e, since they are all available as an on-demand service</w:t>
      </w:r>
      <w:r w:rsidR="00810751">
        <w:t>.</w:t>
      </w:r>
    </w:p>
    <w:p w14:paraId="06A751C0" w14:textId="6754DC70" w:rsidR="00377C09" w:rsidRDefault="00565E82" w:rsidP="00955846">
      <w:r>
        <w:t xml:space="preserve">By, the public cloud providers are competitors to internal on-prem cloud. </w:t>
      </w:r>
      <w:r w:rsidR="00377C09">
        <w:t>As an internal cloud provider, you need to turn the public cloud provider</w:t>
      </w:r>
      <w:r>
        <w:t>s</w:t>
      </w:r>
      <w:r w:rsidR="00377C09">
        <w:t xml:space="preserve"> </w:t>
      </w:r>
      <w:r>
        <w:t>into a</w:t>
      </w:r>
      <w:r w:rsidR="00377C09">
        <w:t>ll</w:t>
      </w:r>
      <w:r>
        <w:t>ies</w:t>
      </w:r>
      <w:r w:rsidR="00377C09">
        <w:t xml:space="preserve">. </w:t>
      </w:r>
      <w:r>
        <w:t xml:space="preserve">That requires a shift in your business model, from infrastructure provider to a multi-cloud service broker. You broker the request for infrastructure </w:t>
      </w:r>
      <w:r w:rsidR="00167602">
        <w:t>with</w:t>
      </w:r>
      <w:r>
        <w:t xml:space="preserve"> the most appropriate provider. You </w:t>
      </w:r>
      <w:r w:rsidR="00167602">
        <w:t xml:space="preserve">evaluate, </w:t>
      </w:r>
      <w:r>
        <w:t xml:space="preserve">choose and </w:t>
      </w:r>
      <w:r w:rsidR="00167602">
        <w:t xml:space="preserve">deliver </w:t>
      </w:r>
      <w:r>
        <w:t>multiple clouds if the on-prem cloud does not meet the business needs.</w:t>
      </w:r>
      <w:r w:rsidR="00167602">
        <w:t xml:space="preserve"> Even the on-prem cloud can be a service that you procure (meaning you do not own the hardware and software), if that fits your business requirements better</w:t>
      </w:r>
      <w:r w:rsidR="00377C09">
        <w:t>.</w:t>
      </w:r>
      <w:r w:rsidR="00810751">
        <w:t xml:space="preserve"> </w:t>
      </w:r>
    </w:p>
    <w:p w14:paraId="360711E4" w14:textId="217439D9" w:rsidR="00E73BB9" w:rsidRDefault="003533D4" w:rsidP="00955846">
      <w:r w:rsidRPr="00E60B7B">
        <w:t xml:space="preserve">It is indeed possible for a small and no-frill </w:t>
      </w:r>
      <w:r w:rsidR="00810751">
        <w:t xml:space="preserve">internal IT infrastructure team to </w:t>
      </w:r>
      <w:r w:rsidRPr="00E60B7B">
        <w:t xml:space="preserve">complement </w:t>
      </w:r>
      <w:r w:rsidR="00565E82">
        <w:t xml:space="preserve">a </w:t>
      </w:r>
      <w:r w:rsidRPr="00E60B7B">
        <w:t xml:space="preserve">much larger cloud provider. </w:t>
      </w:r>
      <w:r w:rsidR="00E73BB9" w:rsidRPr="00E60B7B">
        <w:t xml:space="preserve">Being small, especially </w:t>
      </w:r>
      <w:r w:rsidR="00810751">
        <w:t xml:space="preserve">since </w:t>
      </w:r>
      <w:r w:rsidR="00E73BB9" w:rsidRPr="00E60B7B">
        <w:t>you are on-site</w:t>
      </w:r>
      <w:r w:rsidR="00E73BB9">
        <w:t xml:space="preserve"> </w:t>
      </w:r>
      <w:r w:rsidR="00810751">
        <w:t xml:space="preserve">and </w:t>
      </w:r>
      <w:r w:rsidR="00E73BB9">
        <w:t>work in the same company</w:t>
      </w:r>
      <w:r w:rsidR="00E73BB9" w:rsidRPr="00E60B7B">
        <w:t>, enable</w:t>
      </w:r>
      <w:r w:rsidR="00565E82">
        <w:t>s</w:t>
      </w:r>
      <w:r w:rsidR="00E73BB9" w:rsidRPr="00E60B7B">
        <w:t xml:space="preserve"> you to offer a better service. Nobody likes dealing with the </w:t>
      </w:r>
      <w:r w:rsidR="00533DFE" w:rsidRPr="00AD64D4">
        <w:rPr>
          <w:i/>
          <w:iCs/>
          <w:color w:val="FF0000"/>
        </w:rPr>
        <w:t>bureaucrazy</w:t>
      </w:r>
      <w:r w:rsidR="00565E82">
        <w:t>, pun intended,</w:t>
      </w:r>
      <w:r w:rsidR="00E73BB9" w:rsidRPr="00E60B7B">
        <w:t xml:space="preserve"> of </w:t>
      </w:r>
      <w:r w:rsidR="00565E82">
        <w:t xml:space="preserve">a </w:t>
      </w:r>
      <w:r w:rsidR="00E73BB9" w:rsidRPr="00E60B7B">
        <w:t>large corporation</w:t>
      </w:r>
      <w:r w:rsidR="00E73BB9">
        <w:t>’s</w:t>
      </w:r>
      <w:r w:rsidR="00E73BB9" w:rsidRPr="00E60B7B">
        <w:t xml:space="preserve"> support organization. You can get los</w:t>
      </w:r>
      <w:r w:rsidR="00565E82">
        <w:t>t</w:t>
      </w:r>
      <w:r w:rsidR="00E73BB9" w:rsidRPr="00E60B7B">
        <w:t xml:space="preserve"> in the </w:t>
      </w:r>
      <w:r w:rsidR="00CE375A">
        <w:t xml:space="preserve">mountain of </w:t>
      </w:r>
      <w:r w:rsidR="00E73BB9" w:rsidRPr="00E60B7B">
        <w:t>polic</w:t>
      </w:r>
      <w:r w:rsidR="00CE375A">
        <w:t>ies</w:t>
      </w:r>
      <w:r w:rsidR="00E73BB9" w:rsidRPr="00E60B7B">
        <w:t>.</w:t>
      </w:r>
      <w:r w:rsidR="00533DFE">
        <w:t xml:space="preserve"> </w:t>
      </w:r>
    </w:p>
    <w:p w14:paraId="1DB14564" w14:textId="64B94383" w:rsidR="00E73BB9" w:rsidRDefault="00810751" w:rsidP="00167602">
      <w:r>
        <w:lastRenderedPageBreak/>
        <w:t xml:space="preserve">You also need to do an apple-to-apple comparison. List </w:t>
      </w:r>
      <w:r w:rsidR="003533D4" w:rsidRPr="00E60B7B">
        <w:t>the entire components</w:t>
      </w:r>
      <w:r w:rsidR="00E73BB9">
        <w:t xml:space="preserve"> of the service.</w:t>
      </w:r>
      <w:r w:rsidR="003533D4" w:rsidRPr="00E60B7B">
        <w:t xml:space="preserve"> </w:t>
      </w:r>
      <w:r w:rsidR="00533DFE">
        <w:t xml:space="preserve">The following table provides an example, where you add your private cloud alongside externally hosted cloud. You should complement this table with another table comparing the SLA and price. I’ve provided a sample of SLA table in the </w:t>
      </w:r>
      <w:hyperlink w:anchor="_Capacity_Planning" w:history="1">
        <w:r w:rsidR="00533DFE" w:rsidRPr="00533DFE">
          <w:rPr>
            <w:rStyle w:val="Hyperlink"/>
          </w:rPr>
          <w:t>Capacity Management</w:t>
        </w:r>
      </w:hyperlink>
      <w:r w:rsidR="00533DFE">
        <w:t xml:space="preserve"> section. </w:t>
      </w:r>
    </w:p>
    <w:p w14:paraId="557349F7" w14:textId="77777777" w:rsidR="005B2C03" w:rsidRDefault="005B2C03" w:rsidP="005B2C03">
      <w:pPr>
        <w:pStyle w:val="BeforeTable"/>
        <w:rPr>
          <w:lang w:val="en-US"/>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2127"/>
        <w:gridCol w:w="1546"/>
        <w:gridCol w:w="1997"/>
        <w:gridCol w:w="1985"/>
        <w:gridCol w:w="2811"/>
      </w:tblGrid>
      <w:tr w:rsidR="00CF613E" w14:paraId="2CE3A8D4" w14:textId="77777777" w:rsidTr="00CF613E">
        <w:tc>
          <w:tcPr>
            <w:tcW w:w="2127" w:type="dxa"/>
            <w:shd w:val="clear" w:color="auto" w:fill="F2F2F2" w:themeFill="background1" w:themeFillShade="F2"/>
            <w:vAlign w:val="center"/>
          </w:tcPr>
          <w:p w14:paraId="42E974DA" w14:textId="54B62591" w:rsidR="00CF613E" w:rsidRPr="00CF613E" w:rsidRDefault="00CF613E" w:rsidP="00CF613E">
            <w:pPr>
              <w:pStyle w:val="Tableheading"/>
            </w:pPr>
            <w:r w:rsidRPr="00CF613E">
              <w:t>Component</w:t>
            </w:r>
          </w:p>
        </w:tc>
        <w:tc>
          <w:tcPr>
            <w:tcW w:w="1546" w:type="dxa"/>
            <w:shd w:val="clear" w:color="auto" w:fill="F2F2F2" w:themeFill="background1" w:themeFillShade="F2"/>
            <w:vAlign w:val="center"/>
          </w:tcPr>
          <w:p w14:paraId="691C7190" w14:textId="6ACC0596" w:rsidR="00CF613E" w:rsidRPr="00CF613E" w:rsidRDefault="00CF613E" w:rsidP="00CF613E">
            <w:pPr>
              <w:pStyle w:val="Tableheading"/>
            </w:pPr>
            <w:r w:rsidRPr="00CF613E">
              <w:t>EC2</w:t>
            </w:r>
          </w:p>
        </w:tc>
        <w:tc>
          <w:tcPr>
            <w:tcW w:w="1997" w:type="dxa"/>
            <w:shd w:val="clear" w:color="auto" w:fill="F2F2F2" w:themeFill="background1" w:themeFillShade="F2"/>
            <w:vAlign w:val="center"/>
          </w:tcPr>
          <w:p w14:paraId="35851ABB" w14:textId="2FFF4A7F" w:rsidR="00CF613E" w:rsidRPr="00CF613E" w:rsidRDefault="00CF613E" w:rsidP="00CF613E">
            <w:pPr>
              <w:pStyle w:val="Tableheading"/>
            </w:pPr>
            <w:r w:rsidRPr="00CF613E">
              <w:t>VMware on AWS</w:t>
            </w:r>
          </w:p>
        </w:tc>
        <w:tc>
          <w:tcPr>
            <w:tcW w:w="1985" w:type="dxa"/>
            <w:shd w:val="clear" w:color="auto" w:fill="F2F2F2" w:themeFill="background1" w:themeFillShade="F2"/>
            <w:vAlign w:val="center"/>
          </w:tcPr>
          <w:p w14:paraId="6DD550AA" w14:textId="6FD9BF7A" w:rsidR="00CF613E" w:rsidRPr="00CF613E" w:rsidRDefault="00CF613E" w:rsidP="00CF613E">
            <w:pPr>
              <w:pStyle w:val="Tableheading"/>
            </w:pPr>
            <w:r w:rsidRPr="00CF613E">
              <w:t>On-Prem Cloud</w:t>
            </w:r>
          </w:p>
        </w:tc>
        <w:tc>
          <w:tcPr>
            <w:tcW w:w="2811" w:type="dxa"/>
            <w:shd w:val="clear" w:color="auto" w:fill="F2F2F2" w:themeFill="background1" w:themeFillShade="F2"/>
            <w:vAlign w:val="center"/>
          </w:tcPr>
          <w:p w14:paraId="1134AD29" w14:textId="0F93A741" w:rsidR="00CF613E" w:rsidRPr="00CF613E" w:rsidRDefault="00CF613E" w:rsidP="00CF613E">
            <w:pPr>
              <w:pStyle w:val="Tableheading"/>
            </w:pPr>
            <w:r w:rsidRPr="00CF613E">
              <w:t>Remarks</w:t>
            </w:r>
          </w:p>
        </w:tc>
      </w:tr>
      <w:tr w:rsidR="00CF613E" w14:paraId="46833357" w14:textId="77777777" w:rsidTr="00CF613E">
        <w:tc>
          <w:tcPr>
            <w:tcW w:w="2127" w:type="dxa"/>
          </w:tcPr>
          <w:p w14:paraId="34D0A9ED" w14:textId="2E842CE0" w:rsidR="00CF613E" w:rsidRPr="00CF613E" w:rsidRDefault="00CF613E" w:rsidP="00CF613E">
            <w:pPr>
              <w:pStyle w:val="Tablecontent"/>
            </w:pPr>
            <w:r w:rsidRPr="00CF613E">
              <w:t>Server Hardware</w:t>
            </w:r>
          </w:p>
        </w:tc>
        <w:tc>
          <w:tcPr>
            <w:tcW w:w="1546" w:type="dxa"/>
          </w:tcPr>
          <w:p w14:paraId="67AD3357" w14:textId="1FBA5310" w:rsidR="00CF613E" w:rsidRPr="00CF613E" w:rsidRDefault="00CF613E" w:rsidP="00CF613E">
            <w:pPr>
              <w:pStyle w:val="Tablecontent"/>
            </w:pPr>
            <w:r w:rsidRPr="00CF613E">
              <w:t>Identical</w:t>
            </w:r>
          </w:p>
        </w:tc>
        <w:tc>
          <w:tcPr>
            <w:tcW w:w="1997" w:type="dxa"/>
          </w:tcPr>
          <w:p w14:paraId="652F42D3" w14:textId="4A113D71" w:rsidR="00CF613E" w:rsidRPr="00CF613E" w:rsidRDefault="00CF613E" w:rsidP="00CF613E">
            <w:pPr>
              <w:pStyle w:val="Tablecontent"/>
            </w:pPr>
            <w:r w:rsidRPr="00CF613E">
              <w:t>Identical</w:t>
            </w:r>
          </w:p>
        </w:tc>
        <w:tc>
          <w:tcPr>
            <w:tcW w:w="1985" w:type="dxa"/>
          </w:tcPr>
          <w:p w14:paraId="5D362CB9" w14:textId="126EED79" w:rsidR="00CF613E" w:rsidRPr="00CF613E" w:rsidRDefault="00CF613E" w:rsidP="00CF613E">
            <w:pPr>
              <w:pStyle w:val="Tablecontent"/>
            </w:pPr>
            <w:r w:rsidRPr="00CF613E">
              <w:t xml:space="preserve">Identical </w:t>
            </w:r>
          </w:p>
        </w:tc>
        <w:tc>
          <w:tcPr>
            <w:tcW w:w="2811" w:type="dxa"/>
          </w:tcPr>
          <w:p w14:paraId="4413CBEE" w14:textId="4498F121" w:rsidR="00CF613E" w:rsidRPr="00CF613E" w:rsidRDefault="00CF613E" w:rsidP="00CF613E">
            <w:pPr>
              <w:pStyle w:val="Tablecontent"/>
            </w:pPr>
            <w:r w:rsidRPr="00CF613E">
              <w:t>Comparable hardware spec</w:t>
            </w:r>
          </w:p>
        </w:tc>
      </w:tr>
      <w:tr w:rsidR="00CF613E" w14:paraId="1949F8EB" w14:textId="77777777" w:rsidTr="00CF613E">
        <w:tc>
          <w:tcPr>
            <w:tcW w:w="2127" w:type="dxa"/>
          </w:tcPr>
          <w:p w14:paraId="32556E31" w14:textId="3A676557" w:rsidR="00CF613E" w:rsidRPr="00CF613E" w:rsidRDefault="00CF613E" w:rsidP="00CF613E">
            <w:pPr>
              <w:pStyle w:val="Tablecontent"/>
            </w:pPr>
            <w:r w:rsidRPr="00CF613E">
              <w:t>Storage</w:t>
            </w:r>
          </w:p>
        </w:tc>
        <w:tc>
          <w:tcPr>
            <w:tcW w:w="1546" w:type="dxa"/>
          </w:tcPr>
          <w:p w14:paraId="6070D271" w14:textId="2BA79917" w:rsidR="00CF613E" w:rsidRPr="00CF613E" w:rsidRDefault="00CF613E" w:rsidP="00CF613E">
            <w:pPr>
              <w:pStyle w:val="Tablecontent"/>
            </w:pPr>
            <w:r w:rsidRPr="00CF613E">
              <w:t>Excluded</w:t>
            </w:r>
          </w:p>
        </w:tc>
        <w:tc>
          <w:tcPr>
            <w:tcW w:w="1997" w:type="dxa"/>
          </w:tcPr>
          <w:p w14:paraId="48AA3856" w14:textId="57A8E311" w:rsidR="00CF613E" w:rsidRPr="00CF613E" w:rsidRDefault="00CF613E" w:rsidP="00CF613E">
            <w:pPr>
              <w:pStyle w:val="Tablecontent"/>
            </w:pPr>
            <w:r w:rsidRPr="00CF613E">
              <w:t>Included (vSAN)</w:t>
            </w:r>
          </w:p>
        </w:tc>
        <w:tc>
          <w:tcPr>
            <w:tcW w:w="1985" w:type="dxa"/>
          </w:tcPr>
          <w:p w14:paraId="2ADA051D" w14:textId="051BE99B" w:rsidR="00CF613E" w:rsidRPr="00CF613E" w:rsidRDefault="00CF613E" w:rsidP="00CF613E">
            <w:pPr>
              <w:pStyle w:val="Tablecontent"/>
            </w:pPr>
            <w:r w:rsidRPr="00CF613E">
              <w:t>Included (vSAN)</w:t>
            </w:r>
          </w:p>
        </w:tc>
        <w:tc>
          <w:tcPr>
            <w:tcW w:w="2811" w:type="dxa"/>
          </w:tcPr>
          <w:p w14:paraId="1271229F" w14:textId="1ADD9E67" w:rsidR="00CF613E" w:rsidRPr="00CF613E" w:rsidRDefault="00CF613E" w:rsidP="00CF613E">
            <w:pPr>
              <w:pStyle w:val="Tablecontent"/>
            </w:pPr>
            <w:r w:rsidRPr="00CF613E">
              <w:t>Cost under Storage</w:t>
            </w:r>
          </w:p>
        </w:tc>
      </w:tr>
      <w:tr w:rsidR="00CF613E" w14:paraId="0CA946C2" w14:textId="77777777" w:rsidTr="00CF613E">
        <w:tc>
          <w:tcPr>
            <w:tcW w:w="2127" w:type="dxa"/>
          </w:tcPr>
          <w:p w14:paraId="7BBBB6DC" w14:textId="431286A5" w:rsidR="00CF613E" w:rsidRPr="00CF613E" w:rsidRDefault="00CF613E" w:rsidP="00CF613E">
            <w:pPr>
              <w:pStyle w:val="Tablecontent"/>
            </w:pPr>
            <w:r w:rsidRPr="00CF613E">
              <w:t>Backup &amp; DR</w:t>
            </w:r>
          </w:p>
        </w:tc>
        <w:tc>
          <w:tcPr>
            <w:tcW w:w="1546" w:type="dxa"/>
          </w:tcPr>
          <w:p w14:paraId="6B630DCE" w14:textId="38C44EBE" w:rsidR="00CF613E" w:rsidRPr="00CF613E" w:rsidRDefault="00CF613E" w:rsidP="00CF613E">
            <w:pPr>
              <w:pStyle w:val="Tablecontent"/>
            </w:pPr>
            <w:r w:rsidRPr="00CF613E">
              <w:t>Excluded</w:t>
            </w:r>
          </w:p>
        </w:tc>
        <w:tc>
          <w:tcPr>
            <w:tcW w:w="1997" w:type="dxa"/>
          </w:tcPr>
          <w:p w14:paraId="521589A7" w14:textId="5E0DB0F4" w:rsidR="00CF613E" w:rsidRPr="00CF613E" w:rsidRDefault="00CF613E" w:rsidP="00CF613E">
            <w:pPr>
              <w:pStyle w:val="Tablecontent"/>
            </w:pPr>
            <w:r w:rsidRPr="00CF613E">
              <w:t>Excluded</w:t>
            </w:r>
          </w:p>
        </w:tc>
        <w:tc>
          <w:tcPr>
            <w:tcW w:w="1985" w:type="dxa"/>
          </w:tcPr>
          <w:p w14:paraId="1F4EA236" w14:textId="4E4A69FD" w:rsidR="00CF613E" w:rsidRPr="00CF613E" w:rsidRDefault="00CF613E" w:rsidP="00CF613E">
            <w:pPr>
              <w:pStyle w:val="Tablecontent"/>
            </w:pPr>
            <w:r w:rsidRPr="00CF613E">
              <w:t>Excluded</w:t>
            </w:r>
          </w:p>
        </w:tc>
        <w:tc>
          <w:tcPr>
            <w:tcW w:w="2811" w:type="dxa"/>
          </w:tcPr>
          <w:p w14:paraId="26B1C397" w14:textId="17D0F796" w:rsidR="00CF613E" w:rsidRPr="00CF613E" w:rsidRDefault="00CF613E" w:rsidP="00CF613E">
            <w:pPr>
              <w:pStyle w:val="Tablecontent"/>
            </w:pPr>
            <w:r w:rsidRPr="00CF613E">
              <w:t>Cost under Storage</w:t>
            </w:r>
          </w:p>
        </w:tc>
      </w:tr>
      <w:tr w:rsidR="00CF613E" w14:paraId="1F79C50B" w14:textId="77777777" w:rsidTr="00CF613E">
        <w:tc>
          <w:tcPr>
            <w:tcW w:w="2127" w:type="dxa"/>
          </w:tcPr>
          <w:p w14:paraId="57A72CD4" w14:textId="46B705D1" w:rsidR="00CF613E" w:rsidRPr="00CF613E" w:rsidRDefault="00CF613E" w:rsidP="00CF613E">
            <w:pPr>
              <w:pStyle w:val="Tablecontent"/>
            </w:pPr>
            <w:r w:rsidRPr="00CF613E">
              <w:t>MS Windows</w:t>
            </w:r>
          </w:p>
        </w:tc>
        <w:tc>
          <w:tcPr>
            <w:tcW w:w="1546" w:type="dxa"/>
          </w:tcPr>
          <w:p w14:paraId="436FAB6A" w14:textId="7666F1F9" w:rsidR="00CF613E" w:rsidRPr="00CF613E" w:rsidRDefault="00CF613E" w:rsidP="00CF613E">
            <w:pPr>
              <w:pStyle w:val="Tablecontent"/>
            </w:pPr>
            <w:r w:rsidRPr="00CF613E">
              <w:t>Included</w:t>
            </w:r>
          </w:p>
        </w:tc>
        <w:tc>
          <w:tcPr>
            <w:tcW w:w="1997" w:type="dxa"/>
          </w:tcPr>
          <w:p w14:paraId="2E0FD8A7" w14:textId="665DCF7F" w:rsidR="00CF613E" w:rsidRPr="00CF613E" w:rsidRDefault="00CF613E" w:rsidP="00CF613E">
            <w:pPr>
              <w:pStyle w:val="Tablecontent"/>
            </w:pPr>
            <w:r w:rsidRPr="00CF613E">
              <w:t>Included</w:t>
            </w:r>
          </w:p>
        </w:tc>
        <w:tc>
          <w:tcPr>
            <w:tcW w:w="1985" w:type="dxa"/>
          </w:tcPr>
          <w:p w14:paraId="30F73BA9" w14:textId="37EE26A9" w:rsidR="00CF613E" w:rsidRPr="00CF613E" w:rsidRDefault="00CF613E" w:rsidP="00CF613E">
            <w:pPr>
              <w:pStyle w:val="Tablecontent"/>
            </w:pPr>
            <w:r w:rsidRPr="00CF613E">
              <w:t xml:space="preserve">Included </w:t>
            </w:r>
          </w:p>
        </w:tc>
        <w:tc>
          <w:tcPr>
            <w:tcW w:w="2811" w:type="dxa"/>
          </w:tcPr>
          <w:p w14:paraId="17B896B1" w14:textId="77777777" w:rsidR="00CF613E" w:rsidRPr="00CF613E" w:rsidRDefault="00CF613E" w:rsidP="00CF613E">
            <w:pPr>
              <w:pStyle w:val="Tablecontent"/>
            </w:pPr>
          </w:p>
        </w:tc>
      </w:tr>
      <w:tr w:rsidR="00CF613E" w14:paraId="00C30039" w14:textId="77777777" w:rsidTr="00CF613E">
        <w:tc>
          <w:tcPr>
            <w:tcW w:w="2127" w:type="dxa"/>
          </w:tcPr>
          <w:p w14:paraId="38E8A564" w14:textId="464DEDF9" w:rsidR="00CF613E" w:rsidRPr="00CF613E" w:rsidRDefault="00CF613E" w:rsidP="00CF613E">
            <w:pPr>
              <w:pStyle w:val="Tablecontent"/>
            </w:pPr>
            <w:r w:rsidRPr="00CF613E">
              <w:t>Hypervisor</w:t>
            </w:r>
          </w:p>
        </w:tc>
        <w:tc>
          <w:tcPr>
            <w:tcW w:w="1546" w:type="dxa"/>
          </w:tcPr>
          <w:p w14:paraId="501DB8A1" w14:textId="36AF355C" w:rsidR="00CF613E" w:rsidRPr="00CF613E" w:rsidRDefault="00CF613E" w:rsidP="00CF613E">
            <w:pPr>
              <w:pStyle w:val="Tablecontent"/>
            </w:pPr>
            <w:r w:rsidRPr="00CF613E">
              <w:t>AWS</w:t>
            </w:r>
          </w:p>
        </w:tc>
        <w:tc>
          <w:tcPr>
            <w:tcW w:w="1997" w:type="dxa"/>
          </w:tcPr>
          <w:p w14:paraId="1F40E762" w14:textId="7A9EE455" w:rsidR="00CF613E" w:rsidRPr="00CF613E" w:rsidRDefault="00CF613E" w:rsidP="00CF613E">
            <w:pPr>
              <w:pStyle w:val="Tablecontent"/>
            </w:pPr>
            <w:r w:rsidRPr="00CF613E">
              <w:t>vSphere</w:t>
            </w:r>
          </w:p>
        </w:tc>
        <w:tc>
          <w:tcPr>
            <w:tcW w:w="1985" w:type="dxa"/>
          </w:tcPr>
          <w:p w14:paraId="17F96DDA" w14:textId="3CAA8FE2" w:rsidR="00CF613E" w:rsidRPr="00CF613E" w:rsidRDefault="00CF613E" w:rsidP="00CF613E">
            <w:pPr>
              <w:pStyle w:val="Tablecontent"/>
            </w:pPr>
            <w:r w:rsidRPr="00CF613E">
              <w:t>vSphere</w:t>
            </w:r>
          </w:p>
        </w:tc>
        <w:tc>
          <w:tcPr>
            <w:tcW w:w="2811" w:type="dxa"/>
          </w:tcPr>
          <w:p w14:paraId="56F7F01A" w14:textId="77777777" w:rsidR="00CF613E" w:rsidRPr="00CF613E" w:rsidRDefault="00CF613E" w:rsidP="00CF613E">
            <w:pPr>
              <w:pStyle w:val="Tablecontent"/>
            </w:pPr>
          </w:p>
        </w:tc>
      </w:tr>
      <w:tr w:rsidR="00CF613E" w14:paraId="133990D8" w14:textId="77777777" w:rsidTr="00CF613E">
        <w:tc>
          <w:tcPr>
            <w:tcW w:w="2127" w:type="dxa"/>
          </w:tcPr>
          <w:p w14:paraId="7436116C" w14:textId="09ADE448" w:rsidR="00CF613E" w:rsidRPr="00CF613E" w:rsidRDefault="00CF613E" w:rsidP="00CF613E">
            <w:pPr>
              <w:pStyle w:val="Tablecontent"/>
            </w:pPr>
            <w:r>
              <w:t>Management Tool</w:t>
            </w:r>
          </w:p>
        </w:tc>
        <w:tc>
          <w:tcPr>
            <w:tcW w:w="1546" w:type="dxa"/>
          </w:tcPr>
          <w:p w14:paraId="59475850" w14:textId="6F1B64E3" w:rsidR="00CF613E" w:rsidRPr="00CF613E" w:rsidRDefault="00CF613E" w:rsidP="00CF613E">
            <w:pPr>
              <w:pStyle w:val="Tablecontent"/>
            </w:pPr>
            <w:r>
              <w:rPr>
                <w:color w:val="FF0000"/>
              </w:rPr>
              <w:t>Excluded</w:t>
            </w:r>
          </w:p>
        </w:tc>
        <w:tc>
          <w:tcPr>
            <w:tcW w:w="1997" w:type="dxa"/>
          </w:tcPr>
          <w:p w14:paraId="2113ED79" w14:textId="08FA444A" w:rsidR="00CF613E" w:rsidRPr="00CF613E" w:rsidRDefault="00CF613E" w:rsidP="00CF613E">
            <w:pPr>
              <w:pStyle w:val="Tablecontent"/>
            </w:pPr>
            <w:r>
              <w:rPr>
                <w:color w:val="00B050"/>
              </w:rPr>
              <w:t>vRealize Suite</w:t>
            </w:r>
          </w:p>
        </w:tc>
        <w:tc>
          <w:tcPr>
            <w:tcW w:w="1985" w:type="dxa"/>
          </w:tcPr>
          <w:p w14:paraId="148A10D4" w14:textId="041A8D0C" w:rsidR="00CF613E" w:rsidRPr="00CF613E" w:rsidRDefault="00CF613E" w:rsidP="00CF613E">
            <w:pPr>
              <w:pStyle w:val="Tablecontent"/>
            </w:pPr>
            <w:r>
              <w:rPr>
                <w:color w:val="00B050"/>
              </w:rPr>
              <w:t>vRealize Suite</w:t>
            </w:r>
          </w:p>
        </w:tc>
        <w:tc>
          <w:tcPr>
            <w:tcW w:w="2811" w:type="dxa"/>
          </w:tcPr>
          <w:p w14:paraId="0FB44EA4" w14:textId="77777777" w:rsidR="00CF613E" w:rsidRPr="00CF613E" w:rsidRDefault="00CF613E" w:rsidP="00CF613E">
            <w:pPr>
              <w:pStyle w:val="Tablecontent"/>
            </w:pPr>
          </w:p>
        </w:tc>
      </w:tr>
      <w:tr w:rsidR="00CF613E" w14:paraId="76C3BA2C" w14:textId="77777777" w:rsidTr="00CF613E">
        <w:tc>
          <w:tcPr>
            <w:tcW w:w="2127" w:type="dxa"/>
          </w:tcPr>
          <w:p w14:paraId="2CA398B7" w14:textId="09A1C7C0" w:rsidR="00CF613E" w:rsidRPr="00CF613E" w:rsidRDefault="00CF613E" w:rsidP="00CF613E">
            <w:pPr>
              <w:pStyle w:val="Tablecontent"/>
            </w:pPr>
            <w:r>
              <w:t>Support</w:t>
            </w:r>
          </w:p>
        </w:tc>
        <w:tc>
          <w:tcPr>
            <w:tcW w:w="1546" w:type="dxa"/>
          </w:tcPr>
          <w:p w14:paraId="1B26716F" w14:textId="1E78C1AE" w:rsidR="00CF613E" w:rsidRPr="00CF613E" w:rsidRDefault="00CF613E" w:rsidP="00CF613E">
            <w:pPr>
              <w:pStyle w:val="Tablecontent"/>
            </w:pPr>
            <w:r>
              <w:rPr>
                <w:color w:val="FF0000"/>
              </w:rPr>
              <w:t>Excluded</w:t>
            </w:r>
          </w:p>
        </w:tc>
        <w:tc>
          <w:tcPr>
            <w:tcW w:w="1997" w:type="dxa"/>
          </w:tcPr>
          <w:p w14:paraId="2CDA77B5" w14:textId="19AAFB24" w:rsidR="00CF613E" w:rsidRPr="00CF613E" w:rsidRDefault="00CF613E" w:rsidP="00CF613E">
            <w:pPr>
              <w:pStyle w:val="Tablecontent"/>
            </w:pPr>
            <w:r>
              <w:t>Included (remote)</w:t>
            </w:r>
          </w:p>
        </w:tc>
        <w:tc>
          <w:tcPr>
            <w:tcW w:w="1985" w:type="dxa"/>
          </w:tcPr>
          <w:p w14:paraId="542F2010" w14:textId="4F716021" w:rsidR="00CF613E" w:rsidRPr="00CF613E" w:rsidRDefault="00CF613E" w:rsidP="00CF613E">
            <w:pPr>
              <w:pStyle w:val="Tablecontent"/>
            </w:pPr>
            <w:r>
              <w:t xml:space="preserve">Included </w:t>
            </w:r>
            <w:r>
              <w:rPr>
                <w:color w:val="00B050"/>
              </w:rPr>
              <w:t>(on-site)</w:t>
            </w:r>
          </w:p>
        </w:tc>
        <w:tc>
          <w:tcPr>
            <w:tcW w:w="2811" w:type="dxa"/>
          </w:tcPr>
          <w:p w14:paraId="2EEDE054" w14:textId="4B81B9D7" w:rsidR="00CF613E" w:rsidRPr="00CF613E" w:rsidRDefault="00CF613E" w:rsidP="00CF613E">
            <w:pPr>
              <w:pStyle w:val="Tablecontent"/>
            </w:pPr>
            <w:r>
              <w:t>IT provide full time on-site support</w:t>
            </w:r>
          </w:p>
        </w:tc>
      </w:tr>
      <w:tr w:rsidR="00CF613E" w14:paraId="6ED97BC8" w14:textId="77777777" w:rsidTr="00CF613E">
        <w:tc>
          <w:tcPr>
            <w:tcW w:w="2127" w:type="dxa"/>
          </w:tcPr>
          <w:p w14:paraId="3CE15318" w14:textId="4AC33D81" w:rsidR="00CF613E" w:rsidRPr="00CF613E" w:rsidRDefault="00CF613E" w:rsidP="00CF613E">
            <w:pPr>
              <w:pStyle w:val="Tablecontent"/>
            </w:pPr>
            <w:r>
              <w:t>Sys Admin</w:t>
            </w:r>
          </w:p>
        </w:tc>
        <w:tc>
          <w:tcPr>
            <w:tcW w:w="1546" w:type="dxa"/>
          </w:tcPr>
          <w:p w14:paraId="2B3DA33A" w14:textId="3F1B53E2" w:rsidR="00CF613E" w:rsidRPr="00CF613E" w:rsidRDefault="00CF613E" w:rsidP="00CF613E">
            <w:pPr>
              <w:pStyle w:val="Tablecontent"/>
            </w:pPr>
            <w:r>
              <w:t>Included</w:t>
            </w:r>
          </w:p>
        </w:tc>
        <w:tc>
          <w:tcPr>
            <w:tcW w:w="1997" w:type="dxa"/>
          </w:tcPr>
          <w:p w14:paraId="76ABA3EF" w14:textId="166DCCA9" w:rsidR="00CF613E" w:rsidRPr="00CF613E" w:rsidRDefault="00CF613E" w:rsidP="00CF613E">
            <w:pPr>
              <w:pStyle w:val="Tablecontent"/>
            </w:pPr>
            <w:r>
              <w:t>Included</w:t>
            </w:r>
          </w:p>
        </w:tc>
        <w:tc>
          <w:tcPr>
            <w:tcW w:w="1985" w:type="dxa"/>
          </w:tcPr>
          <w:p w14:paraId="31BD0D0C" w14:textId="0D5134C8" w:rsidR="00CF613E" w:rsidRPr="00CF613E" w:rsidRDefault="00CF613E" w:rsidP="00CF613E">
            <w:pPr>
              <w:pStyle w:val="Tablecontent"/>
            </w:pPr>
            <w:r>
              <w:t xml:space="preserve">Included </w:t>
            </w:r>
          </w:p>
        </w:tc>
        <w:tc>
          <w:tcPr>
            <w:tcW w:w="2811" w:type="dxa"/>
          </w:tcPr>
          <w:p w14:paraId="3CAA5DB3" w14:textId="77777777" w:rsidR="00CF613E" w:rsidRPr="00CF613E" w:rsidRDefault="00CF613E" w:rsidP="00CF613E">
            <w:pPr>
              <w:pStyle w:val="Tablecontent"/>
            </w:pPr>
          </w:p>
        </w:tc>
      </w:tr>
      <w:tr w:rsidR="00CF613E" w14:paraId="1BD36875" w14:textId="77777777" w:rsidTr="00CF613E">
        <w:tc>
          <w:tcPr>
            <w:tcW w:w="2127" w:type="dxa"/>
          </w:tcPr>
          <w:p w14:paraId="73A0A081" w14:textId="7F6297C5" w:rsidR="00CF613E" w:rsidRPr="00CF613E" w:rsidRDefault="00CF613E" w:rsidP="00CF613E">
            <w:pPr>
              <w:pStyle w:val="Tablecontent"/>
            </w:pPr>
            <w:r>
              <w:t>Security</w:t>
            </w:r>
          </w:p>
        </w:tc>
        <w:tc>
          <w:tcPr>
            <w:tcW w:w="1546" w:type="dxa"/>
          </w:tcPr>
          <w:p w14:paraId="743A7BE2" w14:textId="04656CD6" w:rsidR="00CF613E" w:rsidRPr="00CF613E" w:rsidRDefault="00CF613E" w:rsidP="00CF613E">
            <w:pPr>
              <w:pStyle w:val="Tablecontent"/>
            </w:pPr>
            <w:r>
              <w:rPr>
                <w:color w:val="FF0000"/>
              </w:rPr>
              <w:t>Excluded</w:t>
            </w:r>
          </w:p>
        </w:tc>
        <w:tc>
          <w:tcPr>
            <w:tcW w:w="1997" w:type="dxa"/>
          </w:tcPr>
          <w:p w14:paraId="02AF733C" w14:textId="420D026B" w:rsidR="00CF613E" w:rsidRPr="00CF613E" w:rsidRDefault="00CF613E" w:rsidP="00CF613E">
            <w:pPr>
              <w:pStyle w:val="Tablecontent"/>
            </w:pPr>
            <w:r>
              <w:t>Included</w:t>
            </w:r>
          </w:p>
        </w:tc>
        <w:tc>
          <w:tcPr>
            <w:tcW w:w="1985" w:type="dxa"/>
          </w:tcPr>
          <w:p w14:paraId="1FE46817" w14:textId="082290F3" w:rsidR="00CF613E" w:rsidRPr="00CF613E" w:rsidRDefault="00CF613E" w:rsidP="00CF613E">
            <w:pPr>
              <w:pStyle w:val="Tablecontent"/>
            </w:pPr>
            <w:r>
              <w:t>Included</w:t>
            </w:r>
          </w:p>
        </w:tc>
        <w:tc>
          <w:tcPr>
            <w:tcW w:w="2811" w:type="dxa"/>
          </w:tcPr>
          <w:p w14:paraId="187A030A" w14:textId="311F7818" w:rsidR="00CF613E" w:rsidRPr="00CF613E" w:rsidRDefault="00CF613E" w:rsidP="00CF613E">
            <w:pPr>
              <w:pStyle w:val="Tablecontent"/>
            </w:pPr>
            <w:r>
              <w:t>AV, Firewall, IDP, IDS, etc</w:t>
            </w:r>
          </w:p>
        </w:tc>
      </w:tr>
      <w:tr w:rsidR="00CF613E" w14:paraId="7310D219" w14:textId="77777777" w:rsidTr="00CF613E">
        <w:tc>
          <w:tcPr>
            <w:tcW w:w="2127" w:type="dxa"/>
          </w:tcPr>
          <w:p w14:paraId="63A258BA" w14:textId="1F4F04F1" w:rsidR="00CF613E" w:rsidRPr="00CF613E" w:rsidRDefault="00CF613E" w:rsidP="00CF613E">
            <w:pPr>
              <w:pStyle w:val="Tablecontent"/>
            </w:pPr>
            <w:r>
              <w:t>Network: Bandwidth</w:t>
            </w:r>
          </w:p>
        </w:tc>
        <w:tc>
          <w:tcPr>
            <w:tcW w:w="1546" w:type="dxa"/>
          </w:tcPr>
          <w:p w14:paraId="6632B0BC" w14:textId="357D4B52" w:rsidR="00CF613E" w:rsidRPr="00CF613E" w:rsidRDefault="00CF613E" w:rsidP="00CF613E">
            <w:pPr>
              <w:pStyle w:val="Tablecontent"/>
            </w:pPr>
            <w:r>
              <w:rPr>
                <w:color w:val="FF0000"/>
              </w:rPr>
              <w:t>Excluded</w:t>
            </w:r>
          </w:p>
        </w:tc>
        <w:tc>
          <w:tcPr>
            <w:tcW w:w="1997" w:type="dxa"/>
          </w:tcPr>
          <w:p w14:paraId="41B2FBFB" w14:textId="22BF645B" w:rsidR="00CF613E" w:rsidRPr="00CF613E" w:rsidRDefault="00CF613E" w:rsidP="00CF613E">
            <w:pPr>
              <w:pStyle w:val="Tablecontent"/>
            </w:pPr>
            <w:r>
              <w:rPr>
                <w:color w:val="FF0000"/>
              </w:rPr>
              <w:t>Excluded</w:t>
            </w:r>
          </w:p>
        </w:tc>
        <w:tc>
          <w:tcPr>
            <w:tcW w:w="1985" w:type="dxa"/>
          </w:tcPr>
          <w:p w14:paraId="0A79A44E" w14:textId="2379A930" w:rsidR="00CF613E" w:rsidRPr="00CF613E" w:rsidRDefault="00CF613E" w:rsidP="00CF613E">
            <w:pPr>
              <w:pStyle w:val="Tablecontent"/>
            </w:pPr>
            <w:r>
              <w:rPr>
                <w:color w:val="00B050"/>
              </w:rPr>
              <w:t>Included</w:t>
            </w:r>
          </w:p>
        </w:tc>
        <w:tc>
          <w:tcPr>
            <w:tcW w:w="2811" w:type="dxa"/>
          </w:tcPr>
          <w:p w14:paraId="77A0E8D3" w14:textId="77777777" w:rsidR="00CF613E" w:rsidRPr="00CF613E" w:rsidRDefault="00CF613E" w:rsidP="00CF613E">
            <w:pPr>
              <w:pStyle w:val="Tablecontent"/>
            </w:pPr>
          </w:p>
        </w:tc>
      </w:tr>
      <w:tr w:rsidR="00CF613E" w14:paraId="7F140DC1" w14:textId="77777777" w:rsidTr="00CF613E">
        <w:tc>
          <w:tcPr>
            <w:tcW w:w="2127" w:type="dxa"/>
          </w:tcPr>
          <w:p w14:paraId="0FD1B9C5" w14:textId="0D5C5DC6" w:rsidR="00CF613E" w:rsidRPr="00CF613E" w:rsidRDefault="00CF613E" w:rsidP="00CF613E">
            <w:pPr>
              <w:pStyle w:val="Tablecontent"/>
            </w:pPr>
            <w:r>
              <w:t>Network: Core</w:t>
            </w:r>
          </w:p>
        </w:tc>
        <w:tc>
          <w:tcPr>
            <w:tcW w:w="1546" w:type="dxa"/>
          </w:tcPr>
          <w:p w14:paraId="7BD07FF2" w14:textId="2B862569" w:rsidR="00CF613E" w:rsidRPr="00CF613E" w:rsidRDefault="00CF613E" w:rsidP="00CF613E">
            <w:pPr>
              <w:pStyle w:val="Tablecontent"/>
            </w:pPr>
            <w:r>
              <w:t>Add it</w:t>
            </w:r>
          </w:p>
        </w:tc>
        <w:tc>
          <w:tcPr>
            <w:tcW w:w="1997" w:type="dxa"/>
          </w:tcPr>
          <w:p w14:paraId="08C96EC3" w14:textId="5455F4A0" w:rsidR="00CF613E" w:rsidRPr="00CF613E" w:rsidRDefault="00CF613E" w:rsidP="00CF613E">
            <w:pPr>
              <w:pStyle w:val="Tablecontent"/>
            </w:pPr>
            <w:r>
              <w:t>Included</w:t>
            </w:r>
          </w:p>
        </w:tc>
        <w:tc>
          <w:tcPr>
            <w:tcW w:w="1985" w:type="dxa"/>
          </w:tcPr>
          <w:p w14:paraId="32AAEE75" w14:textId="009682E8" w:rsidR="00CF613E" w:rsidRPr="00CF613E" w:rsidRDefault="00CF613E" w:rsidP="00CF613E">
            <w:pPr>
              <w:pStyle w:val="Tablecontent"/>
            </w:pPr>
            <w:r>
              <w:t>Included</w:t>
            </w:r>
          </w:p>
        </w:tc>
        <w:tc>
          <w:tcPr>
            <w:tcW w:w="2811" w:type="dxa"/>
          </w:tcPr>
          <w:p w14:paraId="2928BD86" w14:textId="77777777" w:rsidR="00CF613E" w:rsidRDefault="00CF613E" w:rsidP="00CF613E">
            <w:pPr>
              <w:pStyle w:val="Tablecontent"/>
              <w:rPr>
                <w:rFonts w:ascii="Arial" w:hAnsi="Arial" w:cs="Arial"/>
                <w:sz w:val="36"/>
                <w:szCs w:val="36"/>
              </w:rPr>
            </w:pPr>
            <w:r>
              <w:t>NSX + physical + People</w:t>
            </w:r>
          </w:p>
          <w:p w14:paraId="628ABA25" w14:textId="1AFB7CD9" w:rsidR="00CF613E" w:rsidRPr="00CF613E" w:rsidRDefault="00CF613E" w:rsidP="00CF613E">
            <w:pPr>
              <w:pStyle w:val="Tablecontent"/>
            </w:pPr>
            <w:r>
              <w:t>LBaaS, FWaaS</w:t>
            </w:r>
          </w:p>
        </w:tc>
      </w:tr>
      <w:tr w:rsidR="00CF613E" w14:paraId="414CC0BB" w14:textId="77777777" w:rsidTr="00CF613E">
        <w:tc>
          <w:tcPr>
            <w:tcW w:w="2127" w:type="dxa"/>
          </w:tcPr>
          <w:p w14:paraId="7C905262" w14:textId="3CF15488" w:rsidR="00CF613E" w:rsidRPr="00CF613E" w:rsidRDefault="00CF613E" w:rsidP="00CF613E">
            <w:pPr>
              <w:pStyle w:val="Tablecontent"/>
            </w:pPr>
            <w:r>
              <w:t>DC Facility</w:t>
            </w:r>
          </w:p>
        </w:tc>
        <w:tc>
          <w:tcPr>
            <w:tcW w:w="1546" w:type="dxa"/>
          </w:tcPr>
          <w:p w14:paraId="47B56E91" w14:textId="1144B060" w:rsidR="00CF613E" w:rsidRPr="00CF613E" w:rsidRDefault="00CF613E" w:rsidP="00CF613E">
            <w:pPr>
              <w:pStyle w:val="Tablecontent"/>
            </w:pPr>
            <w:r>
              <w:t>Included</w:t>
            </w:r>
          </w:p>
        </w:tc>
        <w:tc>
          <w:tcPr>
            <w:tcW w:w="1997" w:type="dxa"/>
          </w:tcPr>
          <w:p w14:paraId="165F78FC" w14:textId="132F0F45" w:rsidR="00CF613E" w:rsidRPr="00CF613E" w:rsidRDefault="00CF613E" w:rsidP="00CF613E">
            <w:pPr>
              <w:pStyle w:val="Tablecontent"/>
            </w:pPr>
            <w:r>
              <w:t>Included</w:t>
            </w:r>
          </w:p>
        </w:tc>
        <w:tc>
          <w:tcPr>
            <w:tcW w:w="1985" w:type="dxa"/>
          </w:tcPr>
          <w:p w14:paraId="67B119E3" w14:textId="0F698CFB" w:rsidR="00CF613E" w:rsidRPr="00CF613E" w:rsidRDefault="00CF613E" w:rsidP="00CF613E">
            <w:pPr>
              <w:pStyle w:val="Tablecontent"/>
            </w:pPr>
            <w:r>
              <w:t xml:space="preserve">Included </w:t>
            </w:r>
          </w:p>
        </w:tc>
        <w:tc>
          <w:tcPr>
            <w:tcW w:w="2811" w:type="dxa"/>
          </w:tcPr>
          <w:p w14:paraId="103AF81A" w14:textId="77777777" w:rsidR="00CF613E" w:rsidRPr="00CF613E" w:rsidRDefault="00CF613E" w:rsidP="00CF613E">
            <w:pPr>
              <w:pStyle w:val="Tablecontent"/>
            </w:pPr>
          </w:p>
        </w:tc>
      </w:tr>
    </w:tbl>
    <w:p w14:paraId="325FF725" w14:textId="77777777" w:rsidR="005B2C03" w:rsidRPr="00E60B7B" w:rsidRDefault="005B2C03" w:rsidP="00CF613E">
      <w:pPr>
        <w:pStyle w:val="BeforeTable"/>
      </w:pPr>
    </w:p>
    <w:p w14:paraId="051EDE43" w14:textId="32BD53FD" w:rsidR="0019682D" w:rsidRDefault="0019682D" w:rsidP="00AC6E1E">
      <w:pPr>
        <w:pStyle w:val="Heading4"/>
      </w:pPr>
      <w:r>
        <w:t>Cost versus Price</w:t>
      </w:r>
    </w:p>
    <w:p w14:paraId="1D4E585B" w14:textId="60AA6CDA" w:rsidR="00BA4E51" w:rsidRDefault="00533DFE" w:rsidP="009428E4">
      <w:r>
        <w:t>Cost and Price are related</w:t>
      </w:r>
      <w:r w:rsidR="00933CE2">
        <w:t>, which means they are</w:t>
      </w:r>
      <w:r>
        <w:t xml:space="preserve"> different. </w:t>
      </w:r>
      <w:r w:rsidR="00BA4E51">
        <w:t xml:space="preserve">Cost is determined (by your expenses), while Price is set (you decide on the price you compete on). Many start ups have cost that exceed their price, as their goal is top line and market share. </w:t>
      </w:r>
    </w:p>
    <w:p w14:paraId="70C04DC6" w14:textId="55B50A05" w:rsidR="00955846" w:rsidRDefault="00533DFE" w:rsidP="009428E4">
      <w:r>
        <w:t>Price is what your customers care</w:t>
      </w:r>
      <w:r w:rsidR="00167602">
        <w:t xml:space="preserve"> as that’s what they pay.</w:t>
      </w:r>
      <w:r>
        <w:t xml:space="preserve"> </w:t>
      </w:r>
      <w:r w:rsidR="00167602">
        <w:t>If you increase your prices too high because your costs are high, your customers will just move to public cloud</w:t>
      </w:r>
      <w:r>
        <w:t>.</w:t>
      </w:r>
    </w:p>
    <w:p w14:paraId="5C774FC6" w14:textId="651A659C" w:rsidR="003F0892" w:rsidRDefault="003F0892" w:rsidP="009428E4">
      <w:r>
        <w:t>Be consistent with the terminology. What is Price to you is Cost to your customer. It’s easier to use the term price when describing cost to your customers. Otherwise, you can get mixed up, such as demonstrated in the following sentence: “</w:t>
      </w:r>
      <w:r w:rsidRPr="003F0892">
        <w:t>Cluster with plenty of capacity is more expensive as the cost is only shared by few VM</w:t>
      </w:r>
      <w:r w:rsidR="00167602">
        <w:t>s</w:t>
      </w:r>
      <w:r>
        <w:t>”</w:t>
      </w:r>
      <w:r w:rsidR="0048318C">
        <w:t>.</w:t>
      </w:r>
    </w:p>
    <w:p w14:paraId="05FA0F2A" w14:textId="154CEA3A" w:rsidR="003F0892" w:rsidRDefault="0048318C" w:rsidP="009428E4">
      <w:r>
        <w:t>What that sentence meant is Cost per VM, which is a hypothetical cost as you do not incur that cost.</w:t>
      </w:r>
    </w:p>
    <w:p w14:paraId="74754FF1" w14:textId="1F5F5DF5" w:rsidR="00C16199" w:rsidRDefault="00533DFE" w:rsidP="009C739B">
      <w:r>
        <w:t>You need to develop both the Pricing Model and the Cost Model</w:t>
      </w:r>
      <w:r w:rsidR="00FB0900">
        <w:t xml:space="preserve"> together. They are essentially 2 sides of the same coin</w:t>
      </w:r>
      <w:r>
        <w:t>.</w:t>
      </w:r>
    </w:p>
    <w:p w14:paraId="02F8B2A9" w14:textId="29F2162D" w:rsidR="00661639" w:rsidRDefault="00661639" w:rsidP="00482056">
      <w:pPr>
        <w:jc w:val="center"/>
      </w:pPr>
      <w:r w:rsidRPr="00661639">
        <w:rPr>
          <w:noProof/>
        </w:rPr>
        <w:lastRenderedPageBreak/>
        <w:drawing>
          <wp:inline distT="0" distB="0" distL="0" distR="0" wp14:anchorId="47498C25" wp14:editId="047CE681">
            <wp:extent cx="5888736" cy="2276856"/>
            <wp:effectExtent l="0" t="0" r="0" b="9525"/>
            <wp:docPr id="1085195927" name="Picture 108519592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27" name="Picture 1085195927" descr="Text, letter&#10;&#10;Description automatically generated"/>
                    <pic:cNvPicPr/>
                  </pic:nvPicPr>
                  <pic:blipFill>
                    <a:blip r:embed="rId196"/>
                    <a:stretch>
                      <a:fillRect/>
                    </a:stretch>
                  </pic:blipFill>
                  <pic:spPr>
                    <a:xfrm>
                      <a:off x="0" y="0"/>
                      <a:ext cx="5888736" cy="2276856"/>
                    </a:xfrm>
                    <a:prstGeom prst="rect">
                      <a:avLst/>
                    </a:prstGeom>
                  </pic:spPr>
                </pic:pic>
              </a:graphicData>
            </a:graphic>
          </wp:inline>
        </w:drawing>
      </w:r>
    </w:p>
    <w:p w14:paraId="728E0BFC" w14:textId="23602FCC" w:rsidR="00533DFE" w:rsidRDefault="00533DFE" w:rsidP="00533DFE">
      <w:r>
        <w:t xml:space="preserve">Let’s look at </w:t>
      </w:r>
      <w:r w:rsidR="005406B7">
        <w:t>price first, as we need to start with the customer.</w:t>
      </w:r>
    </w:p>
    <w:p w14:paraId="07E18A5B" w14:textId="77777777" w:rsidR="00916097" w:rsidRDefault="00916097">
      <w:pPr>
        <w:keepLines w:val="0"/>
        <w:suppressAutoHyphens w:val="0"/>
        <w:spacing w:before="0" w:after="160"/>
        <w:rPr>
          <w:rFonts w:ascii="Calibri" w:eastAsia="Calibri" w:hAnsi="Calibri" w:cs="Calibri"/>
          <w:b/>
          <w:bCs/>
          <w:color w:val="833C0B" w:themeColor="accent2" w:themeShade="80"/>
          <w:sz w:val="44"/>
          <w:szCs w:val="44"/>
        </w:rPr>
      </w:pPr>
      <w:bookmarkStart w:id="44" w:name="_Price"/>
      <w:bookmarkEnd w:id="44"/>
      <w:r>
        <w:br w:type="page"/>
      </w:r>
    </w:p>
    <w:p w14:paraId="770C0E37" w14:textId="75ACD8C7" w:rsidR="00F7693D" w:rsidRDefault="00F7693D" w:rsidP="00540F68">
      <w:pPr>
        <w:pStyle w:val="Heading3"/>
      </w:pPr>
      <w:bookmarkStart w:id="45" w:name="_Price_1"/>
      <w:bookmarkStart w:id="46" w:name="_Pricing_Policy"/>
      <w:bookmarkEnd w:id="45"/>
      <w:bookmarkEnd w:id="46"/>
      <w:r w:rsidRPr="00C16199">
        <w:lastRenderedPageBreak/>
        <w:t>Pric</w:t>
      </w:r>
      <w:r w:rsidR="00BA4E51">
        <w:t>ing Policy</w:t>
      </w:r>
    </w:p>
    <w:p w14:paraId="2EDB674B" w14:textId="64B2371A" w:rsidR="00630193" w:rsidRDefault="00CB4F63" w:rsidP="00CB4F63">
      <w:r w:rsidRPr="00123933">
        <w:t>Price is</w:t>
      </w:r>
      <w:r w:rsidR="007C7D70">
        <w:t xml:space="preserve"> not</w:t>
      </w:r>
      <w:r w:rsidRPr="00123933">
        <w:t xml:space="preserve"> simply </w:t>
      </w:r>
      <w:r w:rsidR="00630193">
        <w:t>c</w:t>
      </w:r>
      <w:r w:rsidRPr="00123933">
        <w:t>ost adjusted with margin, discount and penalty.</w:t>
      </w:r>
      <w:r w:rsidRPr="00CB4F63">
        <w:t xml:space="preserve"> </w:t>
      </w:r>
      <w:r w:rsidR="00630193">
        <w:t>Price is determined by the value perceived by the paying customer. The cost is actually irrelevant</w:t>
      </w:r>
      <w:r w:rsidR="00F47D4B">
        <w:t xml:space="preserve"> as customers do not and do not have to care about </w:t>
      </w:r>
      <w:r w:rsidR="0040645A">
        <w:t>how you manage your profit and loss.</w:t>
      </w:r>
    </w:p>
    <w:p w14:paraId="77CDD029" w14:textId="0F96FFAE" w:rsidR="00CB4F63" w:rsidRPr="00123933" w:rsidRDefault="00CB4F63" w:rsidP="00CB4F63">
      <w:r w:rsidRPr="00123933">
        <w:t>Use price to drive the right behavio</w:t>
      </w:r>
      <w:r w:rsidR="00167602">
        <w:t>u</w:t>
      </w:r>
      <w:r w:rsidRPr="00123933">
        <w:t>r and encourage adoption</w:t>
      </w:r>
      <w:r>
        <w:t>.</w:t>
      </w:r>
    </w:p>
    <w:p w14:paraId="19B713FD" w14:textId="5FEC0E5D" w:rsidR="00214446" w:rsidRPr="00DE5343" w:rsidRDefault="005406B7" w:rsidP="00214446">
      <w:r>
        <w:t xml:space="preserve">As an internal cloud provider, what business problems do you want to solve with pricing? </w:t>
      </w:r>
    </w:p>
    <w:p w14:paraId="1C8A6359" w14:textId="75BE957E" w:rsidR="00950C83" w:rsidRPr="00C16199" w:rsidRDefault="00167602" w:rsidP="00E1197D">
      <w:r>
        <w:t>O</w:t>
      </w:r>
      <w:r w:rsidR="004776F5">
        <w:t xml:space="preserve">versized VM </w:t>
      </w:r>
      <w:r>
        <w:t xml:space="preserve">is </w:t>
      </w:r>
      <w:r w:rsidR="004776F5">
        <w:t>a problem that is best solved before the VM hits production. So design your pricing model to e</w:t>
      </w:r>
      <w:r w:rsidR="00950C83" w:rsidRPr="00C16199">
        <w:t xml:space="preserve">ncourage the </w:t>
      </w:r>
      <w:r w:rsidR="007D461B" w:rsidRPr="00C16199">
        <w:t xml:space="preserve">right size </w:t>
      </w:r>
      <w:r w:rsidR="004776F5">
        <w:t xml:space="preserve">from the beginning. Right size, right from the start. Create a </w:t>
      </w:r>
      <w:r w:rsidR="007D461B" w:rsidRPr="00C16199">
        <w:t xml:space="preserve">progressive pricing and </w:t>
      </w:r>
      <w:r w:rsidR="004776F5">
        <w:t xml:space="preserve">apply </w:t>
      </w:r>
      <w:r w:rsidR="007D461B" w:rsidRPr="00C16199">
        <w:t>discount</w:t>
      </w:r>
      <w:r>
        <w:t>s</w:t>
      </w:r>
      <w:r w:rsidR="004776F5">
        <w:t xml:space="preserve"> for smaller VM size</w:t>
      </w:r>
      <w:r>
        <w:t>s</w:t>
      </w:r>
      <w:r w:rsidR="004776F5">
        <w:t xml:space="preserve">. The following diagram </w:t>
      </w:r>
      <w:r>
        <w:t xml:space="preserve">shows </w:t>
      </w:r>
      <w:r w:rsidR="004776F5">
        <w:t>an example</w:t>
      </w:r>
      <w:r>
        <w:t xml:space="preserve"> of </w:t>
      </w:r>
      <w:r w:rsidR="004776F5">
        <w:t>tiered pricing. Premium pricing is applied on VMs larger than 16 vCPU, while discount</w:t>
      </w:r>
      <w:r>
        <w:t>ed pricing</w:t>
      </w:r>
      <w:r w:rsidR="004776F5">
        <w:t xml:space="preserve"> is applied on VM</w:t>
      </w:r>
      <w:r>
        <w:t>s</w:t>
      </w:r>
      <w:r w:rsidR="004776F5">
        <w:t xml:space="preserve"> smaller than 8 vCPU.</w:t>
      </w:r>
    </w:p>
    <w:p w14:paraId="2484B1D0" w14:textId="7BE55744" w:rsidR="00950C83" w:rsidRPr="00C16199" w:rsidRDefault="58CB5D3C" w:rsidP="00482056">
      <w:pPr>
        <w:jc w:val="center"/>
      </w:pPr>
      <w:r>
        <w:rPr>
          <w:noProof/>
        </w:rPr>
        <w:drawing>
          <wp:inline distT="0" distB="0" distL="0" distR="0" wp14:anchorId="2851CAB5" wp14:editId="78D59F76">
            <wp:extent cx="5653516" cy="2725745"/>
            <wp:effectExtent l="0" t="0" r="4445" b="0"/>
            <wp:docPr id="606394109" name="Picture 60639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09"/>
                    <pic:cNvPicPr/>
                  </pic:nvPicPr>
                  <pic:blipFill>
                    <a:blip r:embed="rId197" cstate="print">
                      <a:extLst>
                        <a:ext uri="{28A0092B-C50C-407E-A947-70E740481C1C}">
                          <a14:useLocalDpi xmlns:a14="http://schemas.microsoft.com/office/drawing/2010/main" val="0"/>
                        </a:ext>
                      </a:extLst>
                    </a:blip>
                    <a:stretch>
                      <a:fillRect/>
                    </a:stretch>
                  </pic:blipFill>
                  <pic:spPr>
                    <a:xfrm>
                      <a:off x="0" y="0"/>
                      <a:ext cx="5653516" cy="2725745"/>
                    </a:xfrm>
                    <a:prstGeom prst="rect">
                      <a:avLst/>
                    </a:prstGeom>
                  </pic:spPr>
                </pic:pic>
              </a:graphicData>
            </a:graphic>
          </wp:inline>
        </w:drawing>
      </w:r>
    </w:p>
    <w:p w14:paraId="2029F894" w14:textId="3957F460" w:rsidR="00170F02" w:rsidRDefault="00170F02" w:rsidP="00AC6E1E">
      <w:pPr>
        <w:pStyle w:val="Heading4"/>
      </w:pPr>
      <w:r>
        <w:t>Class of Service</w:t>
      </w:r>
    </w:p>
    <w:p w14:paraId="38FC1BB5" w14:textId="26979488" w:rsidR="004776F5" w:rsidRDefault="00535600" w:rsidP="00E1197D">
      <w:r>
        <w:t>H</w:t>
      </w:r>
      <w:r w:rsidR="004776F5">
        <w:t xml:space="preserve">ow do you apply the </w:t>
      </w:r>
      <w:r>
        <w:t xml:space="preserve">progressive pricing </w:t>
      </w:r>
      <w:r w:rsidR="004776F5">
        <w:t>above into different Class</w:t>
      </w:r>
      <w:r>
        <w:t>es</w:t>
      </w:r>
      <w:r w:rsidR="004776F5">
        <w:t xml:space="preserve"> of Service? How much </w:t>
      </w:r>
      <w:r>
        <w:t xml:space="preserve">of a premium should you put on the </w:t>
      </w:r>
      <w:r w:rsidR="004776F5">
        <w:t>big VM? How deep should you discount the small VM</w:t>
      </w:r>
      <w:r>
        <w:t>?</w:t>
      </w:r>
      <w:r w:rsidR="004776F5">
        <w:t xml:space="preserve"> </w:t>
      </w:r>
      <w:r w:rsidR="004776F5" w:rsidRPr="00C16199">
        <w:t xml:space="preserve">The multiplier effect (the progressive tax) cannot be too high because public cloud does not have such tax. They follow a linear pricing. If you use a high multiplier, your price will be too high, or you </w:t>
      </w:r>
      <w:r>
        <w:t xml:space="preserve">will absorb </w:t>
      </w:r>
      <w:r w:rsidR="004776F5" w:rsidRPr="00C16199">
        <w:t xml:space="preserve">a deep loss. </w:t>
      </w:r>
    </w:p>
    <w:p w14:paraId="58B1503D" w14:textId="7AA5F16B" w:rsidR="00E1197D" w:rsidRPr="00C16199" w:rsidRDefault="00E1197D" w:rsidP="00E1197D">
      <w:r w:rsidRPr="00C16199">
        <w:t>The following table provides an example</w:t>
      </w:r>
      <w:r w:rsidR="00535600">
        <w:t xml:space="preserve"> of multiplier.</w:t>
      </w:r>
    </w:p>
    <w:p w14:paraId="4087813A" w14:textId="77777777" w:rsidR="007A21B5" w:rsidRPr="00C16199" w:rsidRDefault="48B7E7A8" w:rsidP="00482056">
      <w:pPr>
        <w:jc w:val="center"/>
      </w:pPr>
      <w:r>
        <w:rPr>
          <w:noProof/>
        </w:rPr>
        <w:lastRenderedPageBreak/>
        <w:drawing>
          <wp:inline distT="0" distB="0" distL="0" distR="0" wp14:anchorId="70273B2C" wp14:editId="574E8DB0">
            <wp:extent cx="4690872" cy="1728216"/>
            <wp:effectExtent l="0" t="0" r="0" b="5715"/>
            <wp:docPr id="606394096" name="Picture 606394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96"/>
                    <pic:cNvPicPr/>
                  </pic:nvPicPr>
                  <pic:blipFill>
                    <a:blip r:embed="rId198">
                      <a:extLst>
                        <a:ext uri="{28A0092B-C50C-407E-A947-70E740481C1C}">
                          <a14:useLocalDpi xmlns:a14="http://schemas.microsoft.com/office/drawing/2010/main" val="0"/>
                        </a:ext>
                      </a:extLst>
                    </a:blip>
                    <a:stretch>
                      <a:fillRect/>
                    </a:stretch>
                  </pic:blipFill>
                  <pic:spPr>
                    <a:xfrm>
                      <a:off x="0" y="0"/>
                      <a:ext cx="4690872" cy="1728216"/>
                    </a:xfrm>
                    <a:prstGeom prst="rect">
                      <a:avLst/>
                    </a:prstGeom>
                  </pic:spPr>
                </pic:pic>
              </a:graphicData>
            </a:graphic>
          </wp:inline>
        </w:drawing>
      </w:r>
    </w:p>
    <w:p w14:paraId="5C405FBD" w14:textId="16A55EDB" w:rsidR="007A21B5" w:rsidRPr="00C16199" w:rsidRDefault="004776F5" w:rsidP="007A21B5">
      <w:r>
        <w:t xml:space="preserve">We apply the same principle for RAM. </w:t>
      </w:r>
    </w:p>
    <w:p w14:paraId="2CA5CFF2" w14:textId="14EB1B92" w:rsidR="007A21B5" w:rsidRDefault="48B7E7A8" w:rsidP="00482056">
      <w:pPr>
        <w:jc w:val="center"/>
      </w:pPr>
      <w:r>
        <w:rPr>
          <w:noProof/>
        </w:rPr>
        <w:drawing>
          <wp:inline distT="0" distB="0" distL="0" distR="0" wp14:anchorId="6119510C" wp14:editId="7E62CFA6">
            <wp:extent cx="4773168" cy="1755648"/>
            <wp:effectExtent l="0" t="0" r="0" b="0"/>
            <wp:docPr id="606394099" name="Picture 60639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99"/>
                    <pic:cNvPicPr/>
                  </pic:nvPicPr>
                  <pic:blipFill>
                    <a:blip r:embed="rId199">
                      <a:extLst>
                        <a:ext uri="{28A0092B-C50C-407E-A947-70E740481C1C}">
                          <a14:useLocalDpi xmlns:a14="http://schemas.microsoft.com/office/drawing/2010/main" val="0"/>
                        </a:ext>
                      </a:extLst>
                    </a:blip>
                    <a:stretch>
                      <a:fillRect/>
                    </a:stretch>
                  </pic:blipFill>
                  <pic:spPr>
                    <a:xfrm>
                      <a:off x="0" y="0"/>
                      <a:ext cx="4773168" cy="1755648"/>
                    </a:xfrm>
                    <a:prstGeom prst="rect">
                      <a:avLst/>
                    </a:prstGeom>
                  </pic:spPr>
                </pic:pic>
              </a:graphicData>
            </a:graphic>
          </wp:inline>
        </w:drawing>
      </w:r>
    </w:p>
    <w:p w14:paraId="1A8D7FB1" w14:textId="5078DABE" w:rsidR="005406B7" w:rsidRPr="00C16199" w:rsidRDefault="005406B7" w:rsidP="005406B7">
      <w:r>
        <w:t>Keep your pricing model simple. The more complex your bill, the more you have to explain. The following table provides a suggestion of what to charge and what to bundle. Bundling means you include it in your overall cost but not charge explicitly for it. You are certainly trading off accuracy with simplicity.</w:t>
      </w:r>
    </w:p>
    <w:p w14:paraId="05EC74FB" w14:textId="3400A5D0" w:rsidR="000D2EB2" w:rsidRPr="00C16199" w:rsidRDefault="005406B7" w:rsidP="00B45100">
      <w:pPr>
        <w:jc w:val="center"/>
      </w:pPr>
      <w:r>
        <w:rPr>
          <w:noProof/>
        </w:rPr>
        <w:drawing>
          <wp:inline distT="0" distB="0" distL="0" distR="0" wp14:anchorId="17E5EEFD" wp14:editId="76B221AE">
            <wp:extent cx="5146156" cy="2301168"/>
            <wp:effectExtent l="0" t="0" r="0" b="4445"/>
            <wp:docPr id="606394106" name="Picture 60639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06"/>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5146156" cy="2301168"/>
                    </a:xfrm>
                    <a:prstGeom prst="rect">
                      <a:avLst/>
                    </a:prstGeom>
                  </pic:spPr>
                </pic:pic>
              </a:graphicData>
            </a:graphic>
          </wp:inline>
        </w:drawing>
      </w:r>
    </w:p>
    <w:p w14:paraId="636E9655" w14:textId="485D63DC" w:rsidR="00CB4F63" w:rsidRDefault="00381DB3" w:rsidP="00CB4F63">
      <w:pPr>
        <w:tabs>
          <w:tab w:val="left" w:pos="7255"/>
        </w:tabs>
      </w:pPr>
      <w:r>
        <w:t>Overly s</w:t>
      </w:r>
      <w:r w:rsidR="00CB4F63">
        <w:t>impl</w:t>
      </w:r>
      <w:r>
        <w:t>ified</w:t>
      </w:r>
      <w:r w:rsidR="00CB4F63">
        <w:t xml:space="preserve"> pricing </w:t>
      </w:r>
      <w:r>
        <w:t xml:space="preserve">could be </w:t>
      </w:r>
      <w:r w:rsidR="00CB4F63">
        <w:t>unfair to customers, but that’s common in other industries. Take the airline industry</w:t>
      </w:r>
      <w:r>
        <w:t>, where m</w:t>
      </w:r>
      <w:r w:rsidR="00CB4F63">
        <w:t xml:space="preserve">y favourite </w:t>
      </w:r>
      <w:r>
        <w:t xml:space="preserve">airline </w:t>
      </w:r>
      <w:r w:rsidR="00CB4F63">
        <w:t xml:space="preserve">is Singapore Airlines. I </w:t>
      </w:r>
      <w:r w:rsidR="00CB4F63" w:rsidRPr="00123933">
        <w:t>notice they have at least 4 generations of plane</w:t>
      </w:r>
      <w:r w:rsidR="00535600">
        <w:t>s</w:t>
      </w:r>
      <w:r w:rsidR="00CB4F63" w:rsidRPr="00123933">
        <w:t>. The new plane is more efficient</w:t>
      </w:r>
      <w:r w:rsidR="00CB4F63">
        <w:t xml:space="preserve">, </w:t>
      </w:r>
      <w:r w:rsidR="00CB4F63" w:rsidRPr="00123933">
        <w:t>cost</w:t>
      </w:r>
      <w:r w:rsidR="00535600">
        <w:t>s</w:t>
      </w:r>
      <w:r w:rsidR="00CB4F63" w:rsidRPr="00123933">
        <w:t xml:space="preserve"> less to operate</w:t>
      </w:r>
      <w:r w:rsidR="00CB4F63">
        <w:t xml:space="preserve"> and </w:t>
      </w:r>
      <w:r w:rsidR="00535600">
        <w:t xml:space="preserve">is </w:t>
      </w:r>
      <w:r w:rsidR="00CB4F63">
        <w:t>more enjoyable to customers</w:t>
      </w:r>
      <w:r w:rsidR="00CB4F63" w:rsidRPr="00123933">
        <w:t>.</w:t>
      </w:r>
      <w:r w:rsidR="00CB4F63">
        <w:t xml:space="preserve"> </w:t>
      </w:r>
      <w:r w:rsidR="00CB4F63" w:rsidRPr="00123933">
        <w:t>On the other hand, if you take into account depreciation, the old plane is already fully depreciated.</w:t>
      </w:r>
      <w:r w:rsidR="00CB4F63">
        <w:t xml:space="preserve"> </w:t>
      </w:r>
      <w:r w:rsidR="00CB4F63" w:rsidRPr="00123933">
        <w:t>And yet, the price is the same</w:t>
      </w:r>
      <w:r w:rsidR="00CB4F63">
        <w:t xml:space="preserve"> across all generations. </w:t>
      </w:r>
    </w:p>
    <w:p w14:paraId="0C232A76" w14:textId="64996A6D" w:rsidR="00D039C8" w:rsidRDefault="00D039C8" w:rsidP="00AC6E1E">
      <w:pPr>
        <w:pStyle w:val="Heading4"/>
      </w:pPr>
      <w:r>
        <w:lastRenderedPageBreak/>
        <w:t>Break Even</w:t>
      </w:r>
    </w:p>
    <w:p w14:paraId="1CC3EC88" w14:textId="05CB9DA8" w:rsidR="00D039C8" w:rsidRDefault="00D039C8" w:rsidP="00CB4F63">
      <w:pPr>
        <w:tabs>
          <w:tab w:val="left" w:pos="7255"/>
        </w:tabs>
      </w:pPr>
      <w:r>
        <w:t xml:space="preserve">When planning your pricing, think of the time required to reach the breakeven point. That period should leave enough time for you recoup your expenses. It should be </w:t>
      </w:r>
      <w:r w:rsidR="00B06936">
        <w:t xml:space="preserve">way before the depreciation ends. </w:t>
      </w:r>
    </w:p>
    <w:p w14:paraId="6F6BE6E2" w14:textId="4854354B" w:rsidR="00B06936" w:rsidRDefault="00B06936" w:rsidP="00CB4F63">
      <w:pPr>
        <w:tabs>
          <w:tab w:val="left" w:pos="7255"/>
        </w:tabs>
      </w:pPr>
      <w:r>
        <w:t xml:space="preserve">The </w:t>
      </w:r>
      <w:hyperlink r:id="rId201" w:history="1">
        <w:r w:rsidRPr="00323FCF">
          <w:rPr>
            <w:rStyle w:val="Hyperlink"/>
          </w:rPr>
          <w:t>break even point</w:t>
        </w:r>
      </w:hyperlink>
      <w:r>
        <w:t xml:space="preserve"> depends on the break even level. You may not be able to fully </w:t>
      </w:r>
      <w:r w:rsidR="00535600">
        <w:t xml:space="preserve">sell </w:t>
      </w:r>
      <w:r>
        <w:t xml:space="preserve">all the resources at the end. So if your plan is based on 80% sold, then the price of this 80% has to be able to cover the cost of everything. </w:t>
      </w:r>
    </w:p>
    <w:p w14:paraId="5155A9DF" w14:textId="1A3CC6F1" w:rsidR="00D039C8" w:rsidRDefault="00D039C8" w:rsidP="00B06936">
      <w:pPr>
        <w:tabs>
          <w:tab w:val="left" w:pos="7255"/>
        </w:tabs>
        <w:jc w:val="center"/>
      </w:pPr>
      <w:r>
        <w:rPr>
          <w:noProof/>
        </w:rPr>
        <w:drawing>
          <wp:inline distT="0" distB="0" distL="0" distR="0" wp14:anchorId="5C647522" wp14:editId="2AC30CF8">
            <wp:extent cx="5774788" cy="2504468"/>
            <wp:effectExtent l="0" t="0" r="0" b="0"/>
            <wp:docPr id="606394321" name="Picture 606394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21"/>
                    <pic:cNvPicPr/>
                  </pic:nvPicPr>
                  <pic:blipFill>
                    <a:blip r:embed="rId202">
                      <a:extLst>
                        <a:ext uri="{28A0092B-C50C-407E-A947-70E740481C1C}">
                          <a14:useLocalDpi xmlns:a14="http://schemas.microsoft.com/office/drawing/2010/main" val="0"/>
                        </a:ext>
                      </a:extLst>
                    </a:blip>
                    <a:stretch>
                      <a:fillRect/>
                    </a:stretch>
                  </pic:blipFill>
                  <pic:spPr>
                    <a:xfrm>
                      <a:off x="0" y="0"/>
                      <a:ext cx="5774788" cy="2504468"/>
                    </a:xfrm>
                    <a:prstGeom prst="rect">
                      <a:avLst/>
                    </a:prstGeom>
                  </pic:spPr>
                </pic:pic>
              </a:graphicData>
            </a:graphic>
          </wp:inline>
        </w:drawing>
      </w:r>
    </w:p>
    <w:p w14:paraId="28A8C2B3" w14:textId="1400807E" w:rsidR="006A1D28" w:rsidRDefault="006A1D28" w:rsidP="00AC6E1E">
      <w:pPr>
        <w:pStyle w:val="Heading4"/>
      </w:pPr>
      <w:r>
        <w:t>Usage-based Pricing</w:t>
      </w:r>
    </w:p>
    <w:p w14:paraId="724E1073" w14:textId="3C31FFE8" w:rsidR="006A1D28" w:rsidRDefault="006A1D28" w:rsidP="006A1D28">
      <w:r>
        <w:t>What exactly is “</w:t>
      </w:r>
      <w:r w:rsidRPr="006A1D28">
        <w:rPr>
          <w:color w:val="00B0F0"/>
        </w:rPr>
        <w:t>usage</w:t>
      </w:r>
      <w:r>
        <w:t>”?</w:t>
      </w:r>
    </w:p>
    <w:p w14:paraId="2E71E912" w14:textId="77777777" w:rsidR="006A1D28" w:rsidRDefault="006A1D28" w:rsidP="006A1D28">
      <w:r>
        <w:t xml:space="preserve">The answer actually varies, depending on the service. </w:t>
      </w:r>
    </w:p>
    <w:p w14:paraId="38A08590" w14:textId="776328DB" w:rsidR="006A1D28" w:rsidRDefault="006A1D28" w:rsidP="006A1D28">
      <w:r>
        <w:t xml:space="preserve">Let’s say you provide desktop as a service. If you truly charge based on usage, then if a user does not log in, then there is no usage. The problem here is you need to provide the desktop available 24 x 7, as you do not when the user will login. If you have 1000 users, you need to make sure you can cater for the peak demand, else there will be complaint from users who do not get a desktop when they ask for it. </w:t>
      </w:r>
    </w:p>
    <w:p w14:paraId="322360CE" w14:textId="7AF62EA4" w:rsidR="006A1D28" w:rsidRDefault="006A1D28" w:rsidP="006A1D28">
      <w:r>
        <w:t>A good comparison is NetFlix or Internet Broadband. You pay a fix fee, regardless of your usage. Whether you are watching 24 x 7 or just occasionally, you are paying the same rate. The same with your home broadband.</w:t>
      </w:r>
    </w:p>
    <w:p w14:paraId="3C6A2E8A" w14:textId="02845C25" w:rsidR="00533DFE" w:rsidRDefault="00533DFE" w:rsidP="00540F68">
      <w:pPr>
        <w:pStyle w:val="Heading3"/>
      </w:pPr>
      <w:r w:rsidRPr="00E60B7B">
        <w:lastRenderedPageBreak/>
        <w:t>Cost</w:t>
      </w:r>
      <w:r w:rsidR="00BA4E51">
        <w:t xml:space="preserve"> Determination</w:t>
      </w:r>
    </w:p>
    <w:p w14:paraId="53A5D782" w14:textId="26061C97" w:rsidR="00123933" w:rsidRDefault="00123933" w:rsidP="00123933">
      <w:r>
        <w:t xml:space="preserve">It’s important to calculate unit cost, despite the fact it does not actually exist. When you bought that cluster, you did not pay $1 per GHz of CPU. You paid $100,000 for the entire thing, </w:t>
      </w:r>
      <w:r w:rsidR="004F3453">
        <w:t>hardware, software and services</w:t>
      </w:r>
      <w:r w:rsidR="00CB4F63">
        <w:t xml:space="preserve">. The $1 is just for ease of calculation so you do not </w:t>
      </w:r>
      <w:r w:rsidR="00535600">
        <w:t xml:space="preserve">end up with </w:t>
      </w:r>
      <w:r w:rsidR="00CB4F63">
        <w:t>a loss.</w:t>
      </w:r>
    </w:p>
    <w:p w14:paraId="21545D6C" w14:textId="4A4AD479" w:rsidR="00123933" w:rsidRDefault="00CB4F63" w:rsidP="00123933">
      <w:r>
        <w:rPr>
          <w:noProof/>
        </w:rPr>
        <w:drawing>
          <wp:inline distT="0" distB="0" distL="0" distR="0" wp14:anchorId="33C5FB14" wp14:editId="17D54A35">
            <wp:extent cx="6645910" cy="2079625"/>
            <wp:effectExtent l="0" t="0" r="2540" b="0"/>
            <wp:docPr id="606394319" name="Picture 606394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19"/>
                    <pic:cNvPicPr/>
                  </pic:nvPicPr>
                  <pic:blipFill>
                    <a:blip r:embed="rId203" cstate="print">
                      <a:extLst>
                        <a:ext uri="{28A0092B-C50C-407E-A947-70E740481C1C}">
                          <a14:useLocalDpi xmlns:a14="http://schemas.microsoft.com/office/drawing/2010/main" val="0"/>
                        </a:ext>
                      </a:extLst>
                    </a:blip>
                    <a:stretch>
                      <a:fillRect/>
                    </a:stretch>
                  </pic:blipFill>
                  <pic:spPr>
                    <a:xfrm>
                      <a:off x="0" y="0"/>
                      <a:ext cx="6645910" cy="2079625"/>
                    </a:xfrm>
                    <a:prstGeom prst="rect">
                      <a:avLst/>
                    </a:prstGeom>
                  </pic:spPr>
                </pic:pic>
              </a:graphicData>
            </a:graphic>
          </wp:inline>
        </w:drawing>
      </w:r>
    </w:p>
    <w:p w14:paraId="2B20C417" w14:textId="0B001D36" w:rsidR="00CB4F63" w:rsidRDefault="00123933" w:rsidP="00123933">
      <w:r w:rsidRPr="00123933">
        <w:t>The Unit cost per VM depends on Overcommit Ratio, since the hardware cost is identical.</w:t>
      </w:r>
      <w:r w:rsidR="00CB4F63">
        <w:t xml:space="preserve"> </w:t>
      </w:r>
      <w:r w:rsidR="00CB4F63" w:rsidRPr="00123933">
        <w:t>If cluster A has 2x overcommit ratio, then the cost per VM is 2x cheaper</w:t>
      </w:r>
      <w:r w:rsidR="00CB4F63">
        <w:t>, all else being equal.</w:t>
      </w:r>
    </w:p>
    <w:p w14:paraId="73985FC6" w14:textId="57450B0F" w:rsidR="00123933" w:rsidRPr="00123933" w:rsidRDefault="00CB4F63" w:rsidP="00123933">
      <w:r>
        <w:t xml:space="preserve">Overcommit Ratio is the way you justify a higher price, hence it’s imperative to disclose upfront to your customers. </w:t>
      </w:r>
    </w:p>
    <w:p w14:paraId="71083B49" w14:textId="0EC62421" w:rsidR="00123933" w:rsidRPr="00123933" w:rsidRDefault="00123933" w:rsidP="00123933">
      <w:r w:rsidRPr="00123933">
        <w:t xml:space="preserve">Unit Cost has to be associated with VM, not ESXi. </w:t>
      </w:r>
      <w:r w:rsidR="00CB4F63">
        <w:t xml:space="preserve">It is expressed in </w:t>
      </w:r>
      <w:r w:rsidRPr="00123933">
        <w:t xml:space="preserve">vCPU, not per physical core or GHz. How many vCPU you plan to pack determines the cost per vCPU. </w:t>
      </w:r>
    </w:p>
    <w:p w14:paraId="1A988ED4" w14:textId="73BFE568" w:rsidR="00123933" w:rsidRPr="00123933" w:rsidRDefault="00123933" w:rsidP="00123933">
      <w:r w:rsidRPr="00123933">
        <w:t>Unit Cost depends on hardware and software.</w:t>
      </w:r>
      <w:r w:rsidR="00D039C8">
        <w:t xml:space="preserve"> </w:t>
      </w:r>
      <w:r w:rsidRPr="00123933">
        <w:t>New cluster should cost less due to bigger hardware</w:t>
      </w:r>
      <w:r w:rsidR="001B1180">
        <w:t>.</w:t>
      </w:r>
    </w:p>
    <w:p w14:paraId="19B65012" w14:textId="7F9D6C00" w:rsidR="00123933" w:rsidRDefault="00123933" w:rsidP="00CB4F63">
      <w:r w:rsidRPr="00123933">
        <w:t>Unit Price should remain the same within the same class of service</w:t>
      </w:r>
      <w:r w:rsidR="00CB4F63">
        <w:t>. Back to the airline industry example, the price does not depend on the plane generation.</w:t>
      </w:r>
    </w:p>
    <w:p w14:paraId="3C1D3FAF" w14:textId="77777777" w:rsidR="001B1180" w:rsidRDefault="001B1180" w:rsidP="001B1180">
      <w:r>
        <w:t xml:space="preserve">Notice the limitation? </w:t>
      </w:r>
    </w:p>
    <w:p w14:paraId="4920F464" w14:textId="77777777" w:rsidR="001B1180" w:rsidRDefault="001B1180" w:rsidP="001B1180">
      <w:r>
        <w:t>What if you do not have overcommit ratio configured? Some customers base their cost simply on expected utilization of the hardware. Since you do not intend to run at 100% capacity, you need to spread the cost based on a lower number (e.g. 90% expected utilization).</w:t>
      </w:r>
    </w:p>
    <w:p w14:paraId="5545439F" w14:textId="1D5CB136" w:rsidR="001B1180" w:rsidRDefault="001B1180" w:rsidP="001B1180">
      <w:pPr>
        <w:pStyle w:val="Heading4"/>
      </w:pPr>
      <w:r>
        <w:t>Cost Allocation</w:t>
      </w:r>
    </w:p>
    <w:p w14:paraId="08072B34" w14:textId="4698DDFB" w:rsidR="001B1180" w:rsidRDefault="001B1180" w:rsidP="001B1180">
      <w:pPr>
        <w:rPr>
          <w:lang w:val="en-GB" w:eastAsia="en-SG"/>
        </w:rPr>
      </w:pPr>
      <w:r>
        <w:rPr>
          <w:lang w:val="en-GB" w:eastAsia="en-SG"/>
        </w:rPr>
        <w:t xml:space="preserve">Allocating the cost back to consumer (VM) rarely result in a complete distribution. There are times you have unallocated cost, as there is not enough consumer. </w:t>
      </w:r>
    </w:p>
    <w:p w14:paraId="14FB74E3" w14:textId="77777777" w:rsidR="001B1180" w:rsidRDefault="001B1180" w:rsidP="001B1180">
      <w:pPr>
        <w:rPr>
          <w:lang w:val="en-GB" w:eastAsia="en-SG"/>
        </w:rPr>
      </w:pPr>
      <w:r>
        <w:rPr>
          <w:lang w:val="en-GB" w:eastAsia="en-SG"/>
        </w:rPr>
        <w:t>What if there is the demand exceed the Unit Cost?</w:t>
      </w:r>
    </w:p>
    <w:p w14:paraId="7188CA96" w14:textId="63BA65B2" w:rsidR="001B1180" w:rsidRPr="001B1180" w:rsidRDefault="001B1180" w:rsidP="001B1180">
      <w:pPr>
        <w:rPr>
          <w:lang w:val="en-GB" w:eastAsia="en-SG"/>
        </w:rPr>
      </w:pPr>
      <w:r>
        <w:rPr>
          <w:lang w:val="en-GB" w:eastAsia="en-SG"/>
        </w:rPr>
        <w:t>For example, you plan no overcommit but end up with a 2:1 overcommit. The sum of VM allocated cost will exceed the cost of the entire ESXi.</w:t>
      </w:r>
    </w:p>
    <w:p w14:paraId="31290C2A" w14:textId="4646ED7C" w:rsidR="001B1180" w:rsidRDefault="001B1180" w:rsidP="001B1180">
      <w:pPr>
        <w:pStyle w:val="Heading5"/>
      </w:pPr>
      <w:r>
        <w:lastRenderedPageBreak/>
        <w:t>Complication with CPU</w:t>
      </w:r>
    </w:p>
    <w:p w14:paraId="797A404D" w14:textId="271E3940" w:rsidR="00EB57BC" w:rsidRDefault="00EB57BC" w:rsidP="00CB4F63">
      <w:r>
        <w:t>The above works well with memory and disk space. CPU needs a translation between vCPU and GHz. Use the static, rated speed and not the actual as it varies depending on power management.</w:t>
      </w:r>
    </w:p>
    <w:p w14:paraId="7E2DDE14" w14:textId="2BCB7DFB" w:rsidR="004F4B90" w:rsidRDefault="00EB57BC" w:rsidP="00CB4F63">
      <w:r>
        <w:t>CPU also poses a challenge due to Hyper Threading</w:t>
      </w:r>
      <w:r w:rsidR="004F4B90">
        <w:t xml:space="preserve"> and Turbo Boost</w:t>
      </w:r>
      <w:r>
        <w:t>.</w:t>
      </w:r>
      <w:r w:rsidR="00C34F3D">
        <w:t xml:space="preserve"> The sum of VM utilisation can exceed the capacity of the ESXi</w:t>
      </w:r>
      <w:r w:rsidR="009D4222">
        <w:t xml:space="preserve"> when both kick in</w:t>
      </w:r>
      <w:r w:rsidR="00C34F3D">
        <w:t xml:space="preserve">. </w:t>
      </w:r>
      <w:r w:rsidR="004F4B90">
        <w:t>This means the actual sum of VM cost will exceed the cost of the whole box (ESXi). This is not right as there is VMkernel overhead.</w:t>
      </w:r>
    </w:p>
    <w:p w14:paraId="38ACC161" w14:textId="63710567" w:rsidR="009D4222" w:rsidRDefault="009D4222" w:rsidP="00CB4F63">
      <w:r>
        <w:t>Let’s take an example</w:t>
      </w:r>
    </w:p>
    <w:p w14:paraId="07921C25" w14:textId="1C87E62B" w:rsidR="009D4222" w:rsidRDefault="009D4222" w:rsidP="00E440AB">
      <w:pPr>
        <w:pStyle w:val="Bullet"/>
      </w:pPr>
      <w:r>
        <w:t>Your ESXi has 10 cores 20 threads, running at 2 GHz.</w:t>
      </w:r>
      <w:r w:rsidR="005C1E46">
        <w:t xml:space="preserve"> </w:t>
      </w:r>
      <w:r w:rsidR="005C1E46">
        <w:br/>
      </w:r>
      <w:r>
        <w:t>I’d ignore memory and disk as they are not required to highlight the issue</w:t>
      </w:r>
    </w:p>
    <w:p w14:paraId="545F6BEA" w14:textId="75789FE0" w:rsidR="005C1E46" w:rsidRDefault="005C1E46" w:rsidP="009D4222">
      <w:pPr>
        <w:pStyle w:val="Bullet"/>
      </w:pPr>
      <w:r>
        <w:t xml:space="preserve">What’s the total capacity? </w:t>
      </w:r>
      <w:r w:rsidR="00191404">
        <w:br/>
      </w:r>
      <w:r>
        <w:t>Is it 20 GHz or 25 GHz or 40 GHz?</w:t>
      </w:r>
      <w:r w:rsidR="00191404">
        <w:br/>
        <w:t>This will impact your cost per GHz.</w:t>
      </w:r>
      <w:r w:rsidR="00191404">
        <w:br/>
        <w:t>Choose the lower amount if you want higher chance to “recover your cost”</w:t>
      </w:r>
      <w:r w:rsidR="005B20E7">
        <w:t xml:space="preserve">. There is no right or wrong answer. I’d take 25 GHz as that’s the correct answer from capacity management. </w:t>
      </w:r>
    </w:p>
    <w:p w14:paraId="3D1DC4E0" w14:textId="2CF16B8E" w:rsidR="005C1E46" w:rsidRDefault="005C1E46" w:rsidP="009D4222">
      <w:pPr>
        <w:pStyle w:val="Bullet"/>
      </w:pPr>
      <w:r>
        <w:t>The cost of the ESXi is $</w:t>
      </w:r>
      <w:r w:rsidR="005B20E7">
        <w:t>50K over 3 years</w:t>
      </w:r>
      <w:r>
        <w:t xml:space="preserve">. </w:t>
      </w:r>
      <w:r w:rsidR="005B20E7">
        <w:t>You somehow translates into a $500 daily cost.</w:t>
      </w:r>
      <w:r>
        <w:br/>
        <w:t>For simplicity, let’s assume this amou</w:t>
      </w:r>
      <w:r w:rsidR="006C5AAF">
        <w:t>nt is correct</w:t>
      </w:r>
      <w:r w:rsidR="005B20E7">
        <w:t>, as the accuracy is not important in this case.</w:t>
      </w:r>
    </w:p>
    <w:p w14:paraId="0AE2EB00" w14:textId="3FF96F45" w:rsidR="006C5AAF" w:rsidRDefault="006C5AAF" w:rsidP="009D4222">
      <w:pPr>
        <w:pStyle w:val="Bullet"/>
      </w:pPr>
      <w:r>
        <w:t xml:space="preserve">You </w:t>
      </w:r>
      <w:r w:rsidR="00191404">
        <w:t>calculate your cost based on 80% utilization, giving you 20% buffer so you’re not making “</w:t>
      </w:r>
      <w:r w:rsidR="00191404" w:rsidRPr="00191404">
        <w:rPr>
          <w:color w:val="00B0F0"/>
        </w:rPr>
        <w:t>loss</w:t>
      </w:r>
      <w:r w:rsidR="00191404">
        <w:t>” when you’re not getting the utilization you want.</w:t>
      </w:r>
    </w:p>
    <w:p w14:paraId="763B4A0C" w14:textId="79D1C491" w:rsidR="00191404" w:rsidRDefault="00191404" w:rsidP="00191404">
      <w:pPr>
        <w:pStyle w:val="Bullet"/>
      </w:pPr>
      <w:r>
        <w:t>So what’s the cost per GHz?</w:t>
      </w:r>
      <w:r>
        <w:br/>
        <w:t>If you take 20 GHz, then it is $1000 / (20 GHz x 80%) = 62.5 GHz.</w:t>
      </w:r>
      <w:r>
        <w:br/>
        <w:t>If you take 40 GHz, then it is half. Your cost is lower, so you better have higher utilization to cover the cost.</w:t>
      </w:r>
    </w:p>
    <w:p w14:paraId="00F24438" w14:textId="59D67C05" w:rsidR="00191404" w:rsidRDefault="00191404" w:rsidP="009D4222">
      <w:pPr>
        <w:pStyle w:val="Bullet"/>
      </w:pPr>
      <w:r>
        <w:t>Months pass by….</w:t>
      </w:r>
    </w:p>
    <w:p w14:paraId="53D30A67" w14:textId="53D46929" w:rsidR="005C1E46" w:rsidRDefault="005C1E46" w:rsidP="009D4222">
      <w:pPr>
        <w:pStyle w:val="Bullet"/>
      </w:pPr>
      <w:r>
        <w:t xml:space="preserve">You run </w:t>
      </w:r>
      <w:r w:rsidR="00191404">
        <w:t xml:space="preserve">10 large </w:t>
      </w:r>
      <w:r>
        <w:t>VM</w:t>
      </w:r>
      <w:r w:rsidR="00191404">
        <w:t>s</w:t>
      </w:r>
      <w:r>
        <w:t>. Turbo Boost kicks in and the sum</w:t>
      </w:r>
      <w:r w:rsidR="006C5AAF">
        <w:t xml:space="preserve"> of VM Utilization is 44 GHz.</w:t>
      </w:r>
      <w:r w:rsidR="00191404">
        <w:br/>
        <w:t>Yes, it’s possible to exceed even 40 GHz</w:t>
      </w:r>
      <w:r w:rsidR="005B20E7">
        <w:t>.</w:t>
      </w:r>
      <w:r w:rsidR="005B20E7">
        <w:br/>
        <w:t>This means the cost you allocate to VM exceeds $500.</w:t>
      </w:r>
    </w:p>
    <w:p w14:paraId="4D871F0C" w14:textId="40685912" w:rsidR="00EB57BC" w:rsidRDefault="00C34F3D" w:rsidP="00CB4F63">
      <w:r>
        <w:t>One workaround is to use 2x</w:t>
      </w:r>
      <w:r w:rsidR="004F4B90">
        <w:t xml:space="preserve"> instead of 1.25 when determining the ESXi capacity.</w:t>
      </w:r>
    </w:p>
    <w:p w14:paraId="18B68C97" w14:textId="379A1051" w:rsidR="00123933" w:rsidRDefault="00123933" w:rsidP="00AC6E1E">
      <w:pPr>
        <w:pStyle w:val="Heading4"/>
      </w:pPr>
      <w:r>
        <w:t>Cost Savings</w:t>
      </w:r>
      <w:r w:rsidR="002C0AD8">
        <w:t xml:space="preserve"> | Cost Avoidance</w:t>
      </w:r>
    </w:p>
    <w:p w14:paraId="2C70C699" w14:textId="2EF771DE" w:rsidR="002C0AD8" w:rsidRPr="002C0AD8" w:rsidRDefault="002C0AD8" w:rsidP="002C0AD8">
      <w:pPr>
        <w:rPr>
          <w:lang w:val="en-GB" w:eastAsia="en-SG"/>
        </w:rPr>
      </w:pPr>
      <w:r w:rsidRPr="002C0AD8">
        <w:rPr>
          <w:b/>
          <w:bCs/>
          <w:lang w:val="en-GB" w:eastAsia="en-SG"/>
        </w:rPr>
        <w:t>Cost Savings</w:t>
      </w:r>
      <w:r>
        <w:rPr>
          <w:lang w:val="en-GB" w:eastAsia="en-SG"/>
        </w:rPr>
        <w:t xml:space="preserve"> is when you actually save money. The amount appears in your accounting book. You can’t save on what you’ve already spent.</w:t>
      </w:r>
    </w:p>
    <w:p w14:paraId="4F23F405" w14:textId="6A9E30A5" w:rsidR="00EB57BC" w:rsidRPr="00E60B7B" w:rsidRDefault="002C0AD8" w:rsidP="00533DFE">
      <w:r w:rsidRPr="002C0AD8">
        <w:rPr>
          <w:b/>
          <w:bCs/>
        </w:rPr>
        <w:t>Cost Avoidance</w:t>
      </w:r>
      <w:r>
        <w:t xml:space="preserve"> is when you avoid or defer a purchase or spending. Since this is about the future</w:t>
      </w:r>
      <w:r w:rsidR="00EB57BC">
        <w:t xml:space="preserve">, </w:t>
      </w:r>
      <w:r>
        <w:t xml:space="preserve">you should not use historical or past value as </w:t>
      </w:r>
      <w:r w:rsidR="00EB57BC">
        <w:t>the value of money changes</w:t>
      </w:r>
      <w:r>
        <w:t xml:space="preserve"> over time. </w:t>
      </w:r>
    </w:p>
    <w:p w14:paraId="143A3C97" w14:textId="77777777" w:rsidR="00533DFE" w:rsidRPr="00E60B7B" w:rsidRDefault="00533DFE" w:rsidP="00533DFE">
      <w:r w:rsidRPr="00E60B7B">
        <w:t>Let’s take a simple example</w:t>
      </w:r>
      <w:r>
        <w:t>:</w:t>
      </w:r>
    </w:p>
    <w:p w14:paraId="19333324" w14:textId="2FA7BDAB" w:rsidR="00533DFE" w:rsidRPr="00E60B7B" w:rsidRDefault="00533DFE" w:rsidP="00533DFE">
      <w:pPr>
        <w:pStyle w:val="Bullet"/>
      </w:pPr>
      <w:r w:rsidRPr="00E60B7B">
        <w:t>You spen</w:t>
      </w:r>
      <w:r w:rsidR="005106B9">
        <w:t>t</w:t>
      </w:r>
      <w:r w:rsidRPr="00E60B7B">
        <w:t xml:space="preserve"> $</w:t>
      </w:r>
      <w:r w:rsidR="002C0AD8">
        <w:t>3</w:t>
      </w:r>
      <w:r w:rsidRPr="00E60B7B">
        <w:t xml:space="preserve"> million on </w:t>
      </w:r>
      <w:r w:rsidR="00EA44D4">
        <w:t>a hyper-converged infrastructure (HCI) solution</w:t>
      </w:r>
      <w:r w:rsidRPr="00E60B7B">
        <w:t xml:space="preserve"> </w:t>
      </w:r>
      <w:r w:rsidR="005106B9">
        <w:t>5</w:t>
      </w:r>
      <w:r w:rsidRPr="00E60B7B">
        <w:t xml:space="preserve"> years ago.</w:t>
      </w:r>
    </w:p>
    <w:p w14:paraId="5C3DAE17" w14:textId="422C3F11" w:rsidR="00533DFE" w:rsidRPr="00E60B7B" w:rsidRDefault="00533DFE" w:rsidP="00533DFE">
      <w:pPr>
        <w:pStyle w:val="Bullet"/>
      </w:pPr>
      <w:r w:rsidRPr="00E60B7B">
        <w:t xml:space="preserve">It has been used well, and capacity remaining is now 0%, so you need to buy a new </w:t>
      </w:r>
      <w:r w:rsidR="00EA44D4">
        <w:t>HCI</w:t>
      </w:r>
      <w:r w:rsidRPr="00E60B7B">
        <w:t>. This will cost you only $</w:t>
      </w:r>
      <w:r w:rsidR="00EA44D4">
        <w:t>1</w:t>
      </w:r>
      <w:r w:rsidRPr="00E60B7B">
        <w:t xml:space="preserve"> million as the cost of </w:t>
      </w:r>
      <w:r w:rsidR="00EA44D4">
        <w:t xml:space="preserve">HCI solution </w:t>
      </w:r>
      <w:r w:rsidRPr="00E60B7B">
        <w:t xml:space="preserve">has gone down by </w:t>
      </w:r>
      <w:r w:rsidR="002C0AD8">
        <w:t xml:space="preserve">2/3 </w:t>
      </w:r>
      <w:r w:rsidRPr="00E60B7B">
        <w:t xml:space="preserve">in the last </w:t>
      </w:r>
      <w:r w:rsidR="005106B9">
        <w:t>5</w:t>
      </w:r>
      <w:r w:rsidRPr="00E60B7B">
        <w:t xml:space="preserve"> years.</w:t>
      </w:r>
    </w:p>
    <w:p w14:paraId="454C832B" w14:textId="367D9123" w:rsidR="00533DFE" w:rsidRPr="00E60B7B" w:rsidRDefault="00533DFE" w:rsidP="00533DFE">
      <w:pPr>
        <w:pStyle w:val="Bullet"/>
      </w:pPr>
      <w:r w:rsidRPr="00E60B7B">
        <w:lastRenderedPageBreak/>
        <w:t xml:space="preserve">Via </w:t>
      </w:r>
      <w:r w:rsidR="00EA44D4">
        <w:t>a diligent and arduous</w:t>
      </w:r>
      <w:r w:rsidR="00EA44D4" w:rsidRPr="00E60B7B">
        <w:t xml:space="preserve"> </w:t>
      </w:r>
      <w:r w:rsidRPr="00E60B7B">
        <w:t>reclamation</w:t>
      </w:r>
      <w:r w:rsidR="00EA44D4">
        <w:t xml:space="preserve"> process</w:t>
      </w:r>
      <w:r w:rsidRPr="00E60B7B">
        <w:t xml:space="preserve">, you manage to free up </w:t>
      </w:r>
      <w:r w:rsidR="00EA44D4">
        <w:t>capacity</w:t>
      </w:r>
      <w:r w:rsidRPr="00E60B7B">
        <w:t>. As a result, you do not need to spend the $</w:t>
      </w:r>
      <w:r w:rsidR="00EA44D4">
        <w:t>1</w:t>
      </w:r>
      <w:r w:rsidRPr="00E60B7B">
        <w:t xml:space="preserve"> million. </w:t>
      </w:r>
      <w:r w:rsidR="004776F5">
        <w:t>You can defer this purchase to the next fiscal year.</w:t>
      </w:r>
    </w:p>
    <w:p w14:paraId="2350E828" w14:textId="49F7D52F" w:rsidR="00533DFE" w:rsidRPr="00E60B7B" w:rsidRDefault="00533DFE" w:rsidP="00533DFE">
      <w:pPr>
        <w:pStyle w:val="Bullet"/>
      </w:pPr>
      <w:r w:rsidRPr="00E60B7B">
        <w:t>What’s your cost savings</w:t>
      </w:r>
      <w:r w:rsidR="004776F5">
        <w:t xml:space="preserve"> from this recla</w:t>
      </w:r>
      <w:r w:rsidR="00EA44D4">
        <w:t>mation</w:t>
      </w:r>
      <w:r w:rsidRPr="00E60B7B">
        <w:t>: $</w:t>
      </w:r>
      <w:r w:rsidR="002C0AD8">
        <w:t>3</w:t>
      </w:r>
      <w:r w:rsidR="00EA44D4">
        <w:t xml:space="preserve"> million</w:t>
      </w:r>
      <w:r w:rsidR="002C0AD8">
        <w:t>s</w:t>
      </w:r>
      <w:r w:rsidRPr="00E60B7B">
        <w:t xml:space="preserve"> or </w:t>
      </w:r>
      <w:r w:rsidR="00EA44D4">
        <w:t>$1 million</w:t>
      </w:r>
      <w:r w:rsidRPr="00E60B7B">
        <w:t>?</w:t>
      </w:r>
    </w:p>
    <w:p w14:paraId="5A02D797" w14:textId="77777777" w:rsidR="002C0AD8" w:rsidRDefault="00533DFE" w:rsidP="00533DFE">
      <w:r w:rsidRPr="00E60B7B">
        <w:t>Accounting wise, it’s $</w:t>
      </w:r>
      <w:r w:rsidR="00EA44D4">
        <w:t>1 million</w:t>
      </w:r>
      <w:r w:rsidRPr="00E60B7B">
        <w:t xml:space="preserve"> only</w:t>
      </w:r>
      <w:r w:rsidR="002C0AD8">
        <w:t xml:space="preserve"> as that’s the amount you defer to spend</w:t>
      </w:r>
      <w:r w:rsidRPr="00E60B7B">
        <w:t xml:space="preserve">. </w:t>
      </w:r>
      <w:r w:rsidR="004776F5">
        <w:t xml:space="preserve">While that </w:t>
      </w:r>
      <w:r w:rsidR="00EA44D4">
        <w:t xml:space="preserve">HCI </w:t>
      </w:r>
      <w:r w:rsidR="004776F5">
        <w:t>cost you $</w:t>
      </w:r>
      <w:r w:rsidR="002C0AD8">
        <w:t>3</w:t>
      </w:r>
      <w:r w:rsidR="00EA44D4">
        <w:t xml:space="preserve"> million</w:t>
      </w:r>
      <w:r w:rsidR="002C0AD8">
        <w:t>s</w:t>
      </w:r>
      <w:r w:rsidR="004776F5">
        <w:t xml:space="preserve"> </w:t>
      </w:r>
      <w:r w:rsidR="002C0AD8">
        <w:t xml:space="preserve">5 </w:t>
      </w:r>
      <w:r w:rsidR="004776F5">
        <w:t xml:space="preserve">years ago, </w:t>
      </w:r>
      <w:r w:rsidR="00244878">
        <w:t>a brand new set with equivalent capacity</w:t>
      </w:r>
      <w:r w:rsidR="004776F5">
        <w:t xml:space="preserve"> </w:t>
      </w:r>
      <w:r w:rsidR="002C0AD8">
        <w:t>costs a lot less</w:t>
      </w:r>
      <w:r w:rsidR="004776F5">
        <w:t>. In accounting</w:t>
      </w:r>
      <w:r w:rsidR="002C0AD8">
        <w:t xml:space="preserve"> fundamental</w:t>
      </w:r>
      <w:r w:rsidR="004776F5">
        <w:t>, you should not mix numbers from different date, let alone from different fiscal year</w:t>
      </w:r>
      <w:r w:rsidR="001A1AC0">
        <w:t>s</w:t>
      </w:r>
      <w:r w:rsidR="004776F5">
        <w:t>.</w:t>
      </w:r>
      <w:r w:rsidR="001A1AC0">
        <w:t xml:space="preserve"> </w:t>
      </w:r>
    </w:p>
    <w:p w14:paraId="71E710B5" w14:textId="77F6999F" w:rsidR="00533DFE" w:rsidRPr="00E60B7B" w:rsidRDefault="002C0AD8" w:rsidP="00533DFE">
      <w:r>
        <w:t>BTW, d</w:t>
      </w:r>
      <w:r w:rsidR="001A1AC0">
        <w:t xml:space="preserve">epreciation is not relevant here as </w:t>
      </w:r>
      <w:r>
        <w:t>you’re talking about new system, and not the old one. Depreciation applies to the old storage.</w:t>
      </w:r>
    </w:p>
    <w:p w14:paraId="4878E936" w14:textId="0F2AC886" w:rsidR="00533DFE" w:rsidRDefault="004776F5" w:rsidP="00533DFE">
      <w:r>
        <w:t>The $</w:t>
      </w:r>
      <w:r w:rsidR="00EA44D4">
        <w:t>1 million</w:t>
      </w:r>
      <w:r>
        <w:t xml:space="preserve"> </w:t>
      </w:r>
      <w:r w:rsidR="002C0AD8">
        <w:t xml:space="preserve">cost avoidance </w:t>
      </w:r>
      <w:r>
        <w:t xml:space="preserve">is certainly an </w:t>
      </w:r>
      <w:r w:rsidRPr="00A07A4F">
        <w:rPr>
          <w:i/>
          <w:iCs/>
          <w:color w:val="FF0000"/>
        </w:rPr>
        <w:t>estimation</w:t>
      </w:r>
      <w:r>
        <w:t>.</w:t>
      </w:r>
      <w:r w:rsidR="00533DFE" w:rsidRPr="00E60B7B">
        <w:t xml:space="preserve"> The actual cost </w:t>
      </w:r>
      <w:r w:rsidR="002C0AD8">
        <w:t xml:space="preserve">to be </w:t>
      </w:r>
      <w:r w:rsidR="00533DFE" w:rsidRPr="00E60B7B">
        <w:t>avoided or to be spent depends on vendor quotation</w:t>
      </w:r>
      <w:r w:rsidR="001A1AC0">
        <w:t xml:space="preserve">, and your negotiation skills. Take note that the actual </w:t>
      </w:r>
      <w:r w:rsidR="00084D4F">
        <w:t xml:space="preserve">cost typically </w:t>
      </w:r>
      <w:r w:rsidR="001A1AC0" w:rsidRPr="001A1AC0">
        <w:t xml:space="preserve">is more than the </w:t>
      </w:r>
      <w:r w:rsidR="00EA44D4">
        <w:t xml:space="preserve">HCI </w:t>
      </w:r>
      <w:r w:rsidR="001A1AC0" w:rsidRPr="001A1AC0">
        <w:t xml:space="preserve">cost. Additional costs can exceed the hardware cost. </w:t>
      </w:r>
      <w:r w:rsidR="001A1AC0">
        <w:t>You need to include the full loaded cost</w:t>
      </w:r>
      <w:r w:rsidR="00EA44D4">
        <w:t>, such as</w:t>
      </w:r>
      <w:r w:rsidR="001A1AC0" w:rsidRPr="001A1AC0">
        <w:t xml:space="preserve"> </w:t>
      </w:r>
      <w:r w:rsidR="00EA44D4">
        <w:t xml:space="preserve">data center </w:t>
      </w:r>
      <w:r w:rsidR="001A1AC0" w:rsidRPr="001A1AC0">
        <w:t>facility, implementation</w:t>
      </w:r>
      <w:r w:rsidR="00EA44D4">
        <w:t xml:space="preserve"> service</w:t>
      </w:r>
      <w:r w:rsidR="001A1AC0" w:rsidRPr="001A1AC0">
        <w:t>, back up</w:t>
      </w:r>
      <w:r w:rsidR="00EA44D4">
        <w:t xml:space="preserve"> storage</w:t>
      </w:r>
      <w:r w:rsidR="001A1AC0" w:rsidRPr="001A1AC0">
        <w:t>, administration</w:t>
      </w:r>
      <w:r w:rsidR="00EA44D4">
        <w:t xml:space="preserve"> service</w:t>
      </w:r>
      <w:r w:rsidR="001A1AC0" w:rsidRPr="001A1AC0">
        <w:t xml:space="preserve">, </w:t>
      </w:r>
      <w:r w:rsidR="00EA44D4">
        <w:t xml:space="preserve">software licence, management, </w:t>
      </w:r>
      <w:r w:rsidR="001A1AC0" w:rsidRPr="001A1AC0">
        <w:t>etc.</w:t>
      </w:r>
    </w:p>
    <w:p w14:paraId="5F6E00C1" w14:textId="184A7C78" w:rsidR="001A1AC0" w:rsidRDefault="001A1AC0" w:rsidP="00533DFE">
      <w:r>
        <w:t xml:space="preserve">Reclamation alone does </w:t>
      </w:r>
      <w:r w:rsidRPr="00A07A4F">
        <w:rPr>
          <w:i/>
          <w:iCs/>
          <w:color w:val="FF0000"/>
        </w:rPr>
        <w:t>not</w:t>
      </w:r>
      <w:r w:rsidRPr="00A07A4F">
        <w:rPr>
          <w:color w:val="FF0000"/>
        </w:rPr>
        <w:t xml:space="preserve"> </w:t>
      </w:r>
      <w:r>
        <w:t xml:space="preserve">save cost. How much do you save when you delete files in your notebook? </w:t>
      </w:r>
    </w:p>
    <w:p w14:paraId="7C95BA77" w14:textId="4C532C26" w:rsidR="001A1AC0" w:rsidRDefault="001A1AC0" w:rsidP="00533DFE">
      <w:r>
        <w:t>Right. Zero</w:t>
      </w:r>
      <w:r w:rsidR="00084D4F">
        <w:t xml:space="preserve">. </w:t>
      </w:r>
    </w:p>
    <w:p w14:paraId="6B64F8E1" w14:textId="2F6E3DBC" w:rsidR="001A1AC0" w:rsidRDefault="001A1AC0" w:rsidP="00533DFE">
      <w:r>
        <w:t>Only when it helps you defer buying a new drive that the reclamation becomes real</w:t>
      </w:r>
      <w:r w:rsidR="00084D4F">
        <w:t>. But it’s a</w:t>
      </w:r>
      <w:r>
        <w:t xml:space="preserve"> cost </w:t>
      </w:r>
      <w:r w:rsidR="00084D4F">
        <w:t>avoidance, not cost saving.</w:t>
      </w:r>
    </w:p>
    <w:p w14:paraId="2B87BD12" w14:textId="51530742" w:rsidR="00EA44D4" w:rsidRDefault="00EA44D4" w:rsidP="00533DFE">
      <w:r>
        <w:t xml:space="preserve">How about service? We like to cite productivity improvement as a cost saving. While this delivers business value, it </w:t>
      </w:r>
      <w:r w:rsidRPr="00EA44D4">
        <w:t xml:space="preserve">is not a </w:t>
      </w:r>
      <w:r>
        <w:t xml:space="preserve">hard </w:t>
      </w:r>
      <w:r w:rsidRPr="00EA44D4">
        <w:t>cost savings</w:t>
      </w:r>
      <w:r>
        <w:t>. I</w:t>
      </w:r>
      <w:r w:rsidRPr="00EA44D4">
        <w:t>t</w:t>
      </w:r>
      <w:r>
        <w:t xml:space="preserve"> i</w:t>
      </w:r>
      <w:r w:rsidRPr="00EA44D4">
        <w:t xml:space="preserve">s a soft benefit </w:t>
      </w:r>
      <w:r>
        <w:t xml:space="preserve">with </w:t>
      </w:r>
      <w:r w:rsidRPr="00EA44D4">
        <w:t xml:space="preserve">no accounting value. </w:t>
      </w:r>
      <w:r>
        <w:t>The hard s</w:t>
      </w:r>
      <w:r w:rsidRPr="00EA44D4">
        <w:t>avings only happen when the need to buy additional resource/headcount is deferred, or reduction in Managed Services contract value.</w:t>
      </w:r>
    </w:p>
    <w:p w14:paraId="46ACEFF4" w14:textId="71459BAB" w:rsidR="00084D4F" w:rsidRDefault="00084D4F" w:rsidP="00084D4F">
      <w:pPr>
        <w:pStyle w:val="Heading5"/>
      </w:pPr>
      <w:r>
        <w:t>Cost Savings</w:t>
      </w:r>
    </w:p>
    <w:p w14:paraId="04F734B0" w14:textId="054CC53E" w:rsidR="00084D4F" w:rsidRDefault="00084D4F" w:rsidP="00084D4F">
      <w:r>
        <w:t xml:space="preserve">So how do you save costs? </w:t>
      </w:r>
    </w:p>
    <w:p w14:paraId="78407351" w14:textId="6224B54C" w:rsidR="00084D4F" w:rsidRDefault="00084D4F" w:rsidP="00084D4F">
      <w:r>
        <w:t>For organizations with a large infrastructure footprint, tech refresh is a great way to reduce cost. Going down from 100 racks to 50 racks will reduce both capital and operating cost</w:t>
      </w:r>
      <w:r w:rsidR="002B335E">
        <w:t xml:space="preserve"> if you can reduce software licensing cost. Nowadays the software, especially business application software and not infrastructure software, costs than the hardware. </w:t>
      </w:r>
    </w:p>
    <w:p w14:paraId="0CB7FC5B" w14:textId="77777777" w:rsidR="00084D4F" w:rsidRDefault="00084D4F" w:rsidP="00084D4F">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890"/>
        <w:gridCol w:w="8460"/>
      </w:tblGrid>
      <w:tr w:rsidR="00084D4F" w14:paraId="2BF26A58" w14:textId="77777777" w:rsidTr="002B335E">
        <w:tc>
          <w:tcPr>
            <w:tcW w:w="1890" w:type="dxa"/>
            <w:shd w:val="clear" w:color="auto" w:fill="F2F2F2" w:themeFill="background1" w:themeFillShade="F2"/>
            <w:vAlign w:val="center"/>
          </w:tcPr>
          <w:p w14:paraId="35826E3A" w14:textId="23082F33" w:rsidR="00084D4F" w:rsidRPr="00CF613E" w:rsidRDefault="00084D4F" w:rsidP="00281329">
            <w:pPr>
              <w:pStyle w:val="Tableheading"/>
            </w:pPr>
            <w:r>
              <w:lastRenderedPageBreak/>
              <w:t>Area</w:t>
            </w:r>
          </w:p>
        </w:tc>
        <w:tc>
          <w:tcPr>
            <w:tcW w:w="8460" w:type="dxa"/>
            <w:shd w:val="clear" w:color="auto" w:fill="F2F2F2" w:themeFill="background1" w:themeFillShade="F2"/>
            <w:vAlign w:val="center"/>
          </w:tcPr>
          <w:p w14:paraId="67CB66E8" w14:textId="565972B5" w:rsidR="00084D4F" w:rsidRPr="00CF613E" w:rsidRDefault="00084D4F" w:rsidP="00281329">
            <w:pPr>
              <w:pStyle w:val="Tableheading"/>
            </w:pPr>
            <w:r>
              <w:t>Action</w:t>
            </w:r>
          </w:p>
        </w:tc>
      </w:tr>
      <w:tr w:rsidR="00084D4F" w14:paraId="209D87E8" w14:textId="77777777" w:rsidTr="002B335E">
        <w:tc>
          <w:tcPr>
            <w:tcW w:w="1890" w:type="dxa"/>
          </w:tcPr>
          <w:p w14:paraId="0DE68465" w14:textId="7A3E94BF" w:rsidR="00084D4F" w:rsidRPr="00084D4F" w:rsidRDefault="00084D4F" w:rsidP="00084D4F">
            <w:pPr>
              <w:pStyle w:val="Tablecontent"/>
            </w:pPr>
            <w:r w:rsidRPr="00084D4F">
              <w:t>Hardware</w:t>
            </w:r>
          </w:p>
        </w:tc>
        <w:tc>
          <w:tcPr>
            <w:tcW w:w="8460" w:type="dxa"/>
          </w:tcPr>
          <w:p w14:paraId="3706A057" w14:textId="77777777" w:rsidR="00084D4F" w:rsidRDefault="00084D4F" w:rsidP="00084D4F">
            <w:pPr>
              <w:pStyle w:val="Tablecontent"/>
            </w:pPr>
            <w:r w:rsidRPr="00084D4F">
              <w:t>Tech</w:t>
            </w:r>
            <w:r w:rsidR="002B335E">
              <w:t>nology</w:t>
            </w:r>
            <w:r w:rsidRPr="00084D4F">
              <w:t xml:space="preserve"> refresh</w:t>
            </w:r>
            <w:r w:rsidR="002B335E">
              <w:t>. Moving from FC SAN + Array to ethernet based HCI should deliver lower cost.</w:t>
            </w:r>
          </w:p>
          <w:p w14:paraId="5F71C2AC" w14:textId="3CD399E4" w:rsidR="002B335E" w:rsidRPr="00084D4F" w:rsidRDefault="002B335E" w:rsidP="00084D4F">
            <w:pPr>
              <w:pStyle w:val="Tablecontent"/>
            </w:pPr>
            <w:r>
              <w:t>Virtualize. While server virtualization is widely practiced, there is much more work to be done for storage and network virtualization.</w:t>
            </w:r>
          </w:p>
        </w:tc>
      </w:tr>
      <w:tr w:rsidR="00084D4F" w14:paraId="441585D7" w14:textId="77777777" w:rsidTr="002B335E">
        <w:tc>
          <w:tcPr>
            <w:tcW w:w="1890" w:type="dxa"/>
          </w:tcPr>
          <w:p w14:paraId="5673903E" w14:textId="77666EA7" w:rsidR="00084D4F" w:rsidRPr="00084D4F" w:rsidRDefault="00084D4F" w:rsidP="00084D4F">
            <w:pPr>
              <w:pStyle w:val="Tablecontent"/>
            </w:pPr>
            <w:r w:rsidRPr="00084D4F">
              <w:t>Software</w:t>
            </w:r>
          </w:p>
        </w:tc>
        <w:tc>
          <w:tcPr>
            <w:tcW w:w="8460" w:type="dxa"/>
          </w:tcPr>
          <w:p w14:paraId="2A7186DF" w14:textId="64137B34" w:rsidR="00084D4F" w:rsidRPr="00084D4F" w:rsidRDefault="002B335E" w:rsidP="00084D4F">
            <w:pPr>
              <w:pStyle w:val="Tablecontent"/>
            </w:pPr>
            <w:r>
              <w:t>Technology refresh that standardize or reduce license count.</w:t>
            </w:r>
          </w:p>
        </w:tc>
      </w:tr>
      <w:tr w:rsidR="00084D4F" w14:paraId="5677ECA7" w14:textId="77777777" w:rsidTr="002B335E">
        <w:tc>
          <w:tcPr>
            <w:tcW w:w="1890" w:type="dxa"/>
          </w:tcPr>
          <w:p w14:paraId="08BC68DE" w14:textId="590BF318" w:rsidR="00084D4F" w:rsidRPr="00084D4F" w:rsidRDefault="00084D4F" w:rsidP="00084D4F">
            <w:pPr>
              <w:pStyle w:val="Tablecontent"/>
            </w:pPr>
            <w:r w:rsidRPr="00084D4F">
              <w:t>People</w:t>
            </w:r>
          </w:p>
        </w:tc>
        <w:tc>
          <w:tcPr>
            <w:tcW w:w="8460" w:type="dxa"/>
          </w:tcPr>
          <w:p w14:paraId="3F0FC55F" w14:textId="4D0410C5" w:rsidR="00084D4F" w:rsidRPr="00084D4F" w:rsidRDefault="002B335E" w:rsidP="00084D4F">
            <w:pPr>
              <w:pStyle w:val="Tablecontent"/>
            </w:pPr>
            <w:r>
              <w:t>Do away with less staff. Be careful with accounting engineering where headcount is saved but the work is outsourced</w:t>
            </w:r>
          </w:p>
        </w:tc>
      </w:tr>
      <w:tr w:rsidR="00084D4F" w14:paraId="5881CE64" w14:textId="77777777" w:rsidTr="002B335E">
        <w:tc>
          <w:tcPr>
            <w:tcW w:w="1890" w:type="dxa"/>
          </w:tcPr>
          <w:p w14:paraId="51BE9E14" w14:textId="43FF01D8" w:rsidR="00084D4F" w:rsidRPr="00084D4F" w:rsidRDefault="00084D4F" w:rsidP="00084D4F">
            <w:pPr>
              <w:pStyle w:val="Tablecontent"/>
            </w:pPr>
            <w:r w:rsidRPr="00084D4F">
              <w:t>Facility</w:t>
            </w:r>
          </w:p>
        </w:tc>
        <w:tc>
          <w:tcPr>
            <w:tcW w:w="8460" w:type="dxa"/>
          </w:tcPr>
          <w:p w14:paraId="6E9A89B5" w14:textId="7884A7FA" w:rsidR="00084D4F" w:rsidRPr="00084D4F" w:rsidRDefault="00084D4F" w:rsidP="00084D4F">
            <w:pPr>
              <w:pStyle w:val="Tablecontent"/>
            </w:pPr>
            <w:r w:rsidRPr="00084D4F">
              <w:t>Power off equipment</w:t>
            </w:r>
            <w:r w:rsidR="004807CF">
              <w:t xml:space="preserve"> and reduce rack footprint </w:t>
            </w:r>
          </w:p>
          <w:p w14:paraId="18C3562F" w14:textId="220BC512" w:rsidR="00084D4F" w:rsidRPr="00084D4F" w:rsidRDefault="00084D4F" w:rsidP="00084D4F">
            <w:pPr>
              <w:pStyle w:val="Tablecontent"/>
            </w:pPr>
            <w:r>
              <w:t>Change DC Provider to cheaper one</w:t>
            </w:r>
            <w:r w:rsidR="004807CF">
              <w:t xml:space="preserve">. </w:t>
            </w:r>
          </w:p>
        </w:tc>
      </w:tr>
    </w:tbl>
    <w:p w14:paraId="01786820" w14:textId="7052A778" w:rsidR="00084D4F" w:rsidRDefault="00084D4F" w:rsidP="00084D4F">
      <w:pPr>
        <w:pStyle w:val="Heading5"/>
      </w:pPr>
      <w:r>
        <w:t>Cost Avoidance</w:t>
      </w: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717"/>
        <w:gridCol w:w="4559"/>
        <w:gridCol w:w="4190"/>
      </w:tblGrid>
      <w:tr w:rsidR="004807CF" w14:paraId="7153F764" w14:textId="3A50F37B" w:rsidTr="004807CF">
        <w:tc>
          <w:tcPr>
            <w:tcW w:w="1717" w:type="dxa"/>
            <w:shd w:val="clear" w:color="auto" w:fill="F2F2F2" w:themeFill="background1" w:themeFillShade="F2"/>
            <w:vAlign w:val="center"/>
          </w:tcPr>
          <w:p w14:paraId="033F44A2" w14:textId="77777777" w:rsidR="004807CF" w:rsidRPr="00CF613E" w:rsidRDefault="004807CF" w:rsidP="00281329">
            <w:pPr>
              <w:pStyle w:val="Tableheading"/>
            </w:pPr>
            <w:r>
              <w:t>Area</w:t>
            </w:r>
          </w:p>
        </w:tc>
        <w:tc>
          <w:tcPr>
            <w:tcW w:w="4559" w:type="dxa"/>
            <w:shd w:val="clear" w:color="auto" w:fill="F2F2F2" w:themeFill="background1" w:themeFillShade="F2"/>
            <w:vAlign w:val="center"/>
          </w:tcPr>
          <w:p w14:paraId="2D38A663" w14:textId="77777777" w:rsidR="004807CF" w:rsidRPr="00CF613E" w:rsidRDefault="004807CF" w:rsidP="00281329">
            <w:pPr>
              <w:pStyle w:val="Tableheading"/>
            </w:pPr>
            <w:r>
              <w:t>Action</w:t>
            </w:r>
          </w:p>
        </w:tc>
        <w:tc>
          <w:tcPr>
            <w:tcW w:w="4190" w:type="dxa"/>
            <w:shd w:val="clear" w:color="auto" w:fill="F2F2F2" w:themeFill="background1" w:themeFillShade="F2"/>
          </w:tcPr>
          <w:p w14:paraId="4E997EB3" w14:textId="10A55659" w:rsidR="004807CF" w:rsidRDefault="004807CF" w:rsidP="00281329">
            <w:pPr>
              <w:pStyle w:val="Tableheading"/>
            </w:pPr>
            <w:r>
              <w:t>Calculation</w:t>
            </w:r>
          </w:p>
        </w:tc>
      </w:tr>
      <w:tr w:rsidR="004807CF" w14:paraId="6B77CAC9" w14:textId="719E866C" w:rsidTr="004807CF">
        <w:tc>
          <w:tcPr>
            <w:tcW w:w="1717" w:type="dxa"/>
          </w:tcPr>
          <w:p w14:paraId="3D46BD90" w14:textId="7A18098B" w:rsidR="004807CF" w:rsidRPr="00084D4F" w:rsidRDefault="004807CF" w:rsidP="00281329">
            <w:pPr>
              <w:pStyle w:val="Tablecontent"/>
            </w:pPr>
            <w:r>
              <w:t>Storage</w:t>
            </w:r>
          </w:p>
        </w:tc>
        <w:tc>
          <w:tcPr>
            <w:tcW w:w="4559" w:type="dxa"/>
          </w:tcPr>
          <w:p w14:paraId="75870EBB" w14:textId="77777777" w:rsidR="004807CF" w:rsidRDefault="004807CF" w:rsidP="00281329">
            <w:pPr>
              <w:pStyle w:val="Tablecontent"/>
            </w:pPr>
            <w:r>
              <w:t>Delete orphaned files and powered off VMs.</w:t>
            </w:r>
          </w:p>
          <w:p w14:paraId="5DE313B4" w14:textId="0906ABE6" w:rsidR="004807CF" w:rsidRPr="00084D4F" w:rsidRDefault="004807CF" w:rsidP="00281329">
            <w:pPr>
              <w:pStyle w:val="Tablecontent"/>
            </w:pPr>
            <w:r>
              <w:t>Delete unused files from Guest OS</w:t>
            </w:r>
          </w:p>
        </w:tc>
        <w:tc>
          <w:tcPr>
            <w:tcW w:w="4190" w:type="dxa"/>
          </w:tcPr>
          <w:p w14:paraId="1DB1AB71" w14:textId="77777777" w:rsidR="004807CF" w:rsidRPr="004807CF" w:rsidRDefault="004807CF" w:rsidP="004807CF">
            <w:pPr>
              <w:pStyle w:val="Tablecontent"/>
            </w:pPr>
            <w:r w:rsidRPr="004807CF">
              <w:t xml:space="preserve">GB of disk deleted  x </w:t>
            </w:r>
          </w:p>
          <w:p w14:paraId="6997BE90" w14:textId="440ADC0D" w:rsidR="004807CF" w:rsidRDefault="004807CF" w:rsidP="004807CF">
            <w:pPr>
              <w:pStyle w:val="Tablecontent"/>
            </w:pPr>
            <w:r w:rsidRPr="004807CF">
              <w:rPr>
                <w:rFonts w:eastAsiaTheme="minorHAnsi"/>
                <w:lang w:val="en-SG" w:eastAsia="en-GB"/>
              </w:rPr>
              <w:t>Cost per GB of new capacity</w:t>
            </w:r>
          </w:p>
        </w:tc>
      </w:tr>
      <w:tr w:rsidR="004807CF" w14:paraId="14871383" w14:textId="7D7698B7" w:rsidTr="004807CF">
        <w:tc>
          <w:tcPr>
            <w:tcW w:w="1717" w:type="dxa"/>
          </w:tcPr>
          <w:p w14:paraId="6DAB7E86" w14:textId="1C47FC84" w:rsidR="004807CF" w:rsidRPr="00084D4F" w:rsidRDefault="004807CF" w:rsidP="00281329">
            <w:pPr>
              <w:pStyle w:val="Tablecontent"/>
            </w:pPr>
            <w:r>
              <w:t>Compute</w:t>
            </w:r>
          </w:p>
        </w:tc>
        <w:tc>
          <w:tcPr>
            <w:tcW w:w="4559" w:type="dxa"/>
          </w:tcPr>
          <w:p w14:paraId="20A4ECA5" w14:textId="77777777" w:rsidR="004807CF" w:rsidRDefault="004807CF" w:rsidP="00281329">
            <w:pPr>
              <w:pStyle w:val="Tablecontent"/>
            </w:pPr>
            <w:r>
              <w:t>Power off idle VMs</w:t>
            </w:r>
          </w:p>
          <w:p w14:paraId="6721BE1C" w14:textId="1C611EA6" w:rsidR="004807CF" w:rsidRPr="00084D4F" w:rsidRDefault="004807CF" w:rsidP="00281329">
            <w:pPr>
              <w:pStyle w:val="Tablecontent"/>
            </w:pPr>
            <w:r>
              <w:t>Reduce oversized VM</w:t>
            </w:r>
          </w:p>
        </w:tc>
        <w:tc>
          <w:tcPr>
            <w:tcW w:w="4190" w:type="dxa"/>
          </w:tcPr>
          <w:p w14:paraId="4F5B80A9" w14:textId="77777777" w:rsidR="004807CF" w:rsidRPr="004807CF" w:rsidRDefault="004807CF" w:rsidP="004807CF">
            <w:pPr>
              <w:pStyle w:val="Tablecontent"/>
            </w:pPr>
            <w:r w:rsidRPr="004807CF">
              <w:t>Total GB of Consumed RAM saved.</w:t>
            </w:r>
          </w:p>
          <w:p w14:paraId="0463A06D" w14:textId="77777777" w:rsidR="004807CF" w:rsidRPr="004807CF" w:rsidRDefault="004807CF" w:rsidP="004807CF">
            <w:pPr>
              <w:pStyle w:val="Tablecontent"/>
            </w:pPr>
            <w:r w:rsidRPr="004807CF">
              <w:t>Total vCPU saved.</w:t>
            </w:r>
          </w:p>
          <w:p w14:paraId="49CD8EBB" w14:textId="7D0E1E94" w:rsidR="004807CF" w:rsidRDefault="004807CF" w:rsidP="004807CF">
            <w:pPr>
              <w:pStyle w:val="Tablecontent"/>
            </w:pPr>
            <w:r w:rsidRPr="004807CF">
              <w:rPr>
                <w:rFonts w:eastAsiaTheme="minorHAnsi"/>
                <w:lang w:val="en-SG" w:eastAsia="en-GB"/>
              </w:rPr>
              <w:t>Express the above in No of ESXi and Cluster.</w:t>
            </w:r>
          </w:p>
        </w:tc>
      </w:tr>
      <w:tr w:rsidR="004807CF" w14:paraId="015231B8" w14:textId="6DE96549" w:rsidTr="004807CF">
        <w:tc>
          <w:tcPr>
            <w:tcW w:w="1717" w:type="dxa"/>
          </w:tcPr>
          <w:p w14:paraId="1D044C2D" w14:textId="3FF19F6B" w:rsidR="004807CF" w:rsidRPr="00084D4F" w:rsidRDefault="004807CF" w:rsidP="00281329">
            <w:pPr>
              <w:pStyle w:val="Tablecontent"/>
            </w:pPr>
            <w:r>
              <w:t>Network</w:t>
            </w:r>
          </w:p>
        </w:tc>
        <w:tc>
          <w:tcPr>
            <w:tcW w:w="4559" w:type="dxa"/>
          </w:tcPr>
          <w:p w14:paraId="48EB2E0B" w14:textId="5F19A5BA" w:rsidR="004807CF" w:rsidRPr="00084D4F" w:rsidRDefault="004807CF" w:rsidP="00281329">
            <w:pPr>
              <w:pStyle w:val="Tablecontent"/>
            </w:pPr>
            <w:r>
              <w:t>Consolidate and power off hardware</w:t>
            </w:r>
          </w:p>
        </w:tc>
        <w:tc>
          <w:tcPr>
            <w:tcW w:w="4190" w:type="dxa"/>
          </w:tcPr>
          <w:p w14:paraId="2DDF9B0E" w14:textId="77777777" w:rsidR="004807CF" w:rsidRPr="00084D4F" w:rsidRDefault="004807CF" w:rsidP="00281329">
            <w:pPr>
              <w:pStyle w:val="Tablecontent"/>
            </w:pPr>
          </w:p>
        </w:tc>
      </w:tr>
      <w:tr w:rsidR="004807CF" w14:paraId="1304E355" w14:textId="764C3389" w:rsidTr="004807CF">
        <w:tc>
          <w:tcPr>
            <w:tcW w:w="1717" w:type="dxa"/>
          </w:tcPr>
          <w:p w14:paraId="494A0B87" w14:textId="77777777" w:rsidR="004807CF" w:rsidRPr="00084D4F" w:rsidRDefault="004807CF" w:rsidP="00281329">
            <w:pPr>
              <w:pStyle w:val="Tablecontent"/>
            </w:pPr>
            <w:r w:rsidRPr="00084D4F">
              <w:t>Facility</w:t>
            </w:r>
          </w:p>
        </w:tc>
        <w:tc>
          <w:tcPr>
            <w:tcW w:w="4559" w:type="dxa"/>
          </w:tcPr>
          <w:p w14:paraId="38A90FEA" w14:textId="77777777" w:rsidR="004807CF" w:rsidRPr="00084D4F" w:rsidRDefault="004807CF" w:rsidP="00281329">
            <w:pPr>
              <w:pStyle w:val="Tablecontent"/>
            </w:pPr>
            <w:r w:rsidRPr="00084D4F">
              <w:t>Power off equipment</w:t>
            </w:r>
          </w:p>
          <w:p w14:paraId="48D44917" w14:textId="77777777" w:rsidR="004807CF" w:rsidRPr="00084D4F" w:rsidRDefault="004807CF" w:rsidP="00281329">
            <w:pPr>
              <w:pStyle w:val="Tablecontent"/>
            </w:pPr>
            <w:r>
              <w:t>Change DC Provider to cheaper one</w:t>
            </w:r>
          </w:p>
        </w:tc>
        <w:tc>
          <w:tcPr>
            <w:tcW w:w="4190" w:type="dxa"/>
          </w:tcPr>
          <w:p w14:paraId="64620B99" w14:textId="77777777" w:rsidR="004807CF" w:rsidRPr="00084D4F" w:rsidRDefault="004807CF" w:rsidP="00281329">
            <w:pPr>
              <w:pStyle w:val="Tablecontent"/>
            </w:pPr>
          </w:p>
        </w:tc>
      </w:tr>
      <w:tr w:rsidR="004807CF" w14:paraId="18FC2040" w14:textId="77777777" w:rsidTr="004807CF">
        <w:tc>
          <w:tcPr>
            <w:tcW w:w="1717" w:type="dxa"/>
          </w:tcPr>
          <w:p w14:paraId="58946E1D" w14:textId="020C69B2" w:rsidR="004807CF" w:rsidRPr="00084D4F" w:rsidRDefault="004807CF" w:rsidP="00281329">
            <w:pPr>
              <w:pStyle w:val="Tablecontent"/>
            </w:pPr>
            <w:r>
              <w:t>Service</w:t>
            </w:r>
          </w:p>
        </w:tc>
        <w:tc>
          <w:tcPr>
            <w:tcW w:w="4559" w:type="dxa"/>
          </w:tcPr>
          <w:p w14:paraId="72E39161" w14:textId="6EBCE0A9" w:rsidR="004807CF" w:rsidRDefault="004807CF" w:rsidP="00281329">
            <w:pPr>
              <w:pStyle w:val="Tablecontent"/>
            </w:pPr>
            <w:r>
              <w:t>Move from cloud to on premises for long term workload. Cloud gets expensive with long term contract.</w:t>
            </w:r>
          </w:p>
          <w:p w14:paraId="51512860" w14:textId="263FA682" w:rsidR="004807CF" w:rsidRPr="00084D4F" w:rsidRDefault="004807CF" w:rsidP="00281329">
            <w:pPr>
              <w:pStyle w:val="Tablecontent"/>
            </w:pPr>
            <w:r>
              <w:t>Optimize cost so it does not grow as fast as business demand</w:t>
            </w:r>
          </w:p>
        </w:tc>
        <w:tc>
          <w:tcPr>
            <w:tcW w:w="4190" w:type="dxa"/>
          </w:tcPr>
          <w:p w14:paraId="3186BC8C" w14:textId="77777777" w:rsidR="004807CF" w:rsidRPr="00084D4F" w:rsidRDefault="004807CF" w:rsidP="00281329">
            <w:pPr>
              <w:pStyle w:val="Tablecontent"/>
            </w:pPr>
          </w:p>
        </w:tc>
      </w:tr>
    </w:tbl>
    <w:p w14:paraId="32A47688" w14:textId="3CDB0750" w:rsidR="00583D5A" w:rsidRDefault="00583D5A" w:rsidP="00533DFE">
      <w:r>
        <w:t>IT needs to be ahead of business. When calculating the c</w:t>
      </w:r>
      <w:r w:rsidR="00533DFE" w:rsidRPr="00C16199">
        <w:t>ost savings</w:t>
      </w:r>
      <w:r>
        <w:t>, includes committed projects and future growth. You should also take into account undersized VM</w:t>
      </w:r>
      <w:r w:rsidR="00B06936">
        <w:t>s</w:t>
      </w:r>
      <w:r>
        <w:t xml:space="preserve">, as the application team may demand that they are upsized. </w:t>
      </w:r>
    </w:p>
    <w:p w14:paraId="18C29235" w14:textId="39B454B7" w:rsidR="00583D5A" w:rsidRDefault="00583D5A" w:rsidP="00533DFE">
      <w:r>
        <w:t>Calculate CPU, RAM and Disk. If possible, include network too. It is harder to calculate, as by nature it’s just interconnect. For each of these three IaaS resource</w:t>
      </w:r>
      <w:r w:rsidR="00B06936">
        <w:t>s</w:t>
      </w:r>
      <w:r>
        <w:t xml:space="preserve">, calculate both the demand and the reclamation. For the demand, don’t forget to include the full cost. When a VM needs 100 GB, it translates into a lot more as you factor is DR, back up, snapshot, etc. </w:t>
      </w:r>
    </w:p>
    <w:p w14:paraId="0CA561C5" w14:textId="1EC5F2BF" w:rsidR="00583D5A" w:rsidRDefault="00583D5A" w:rsidP="00533DFE">
      <w:r>
        <w:t xml:space="preserve">The following table provides an example. </w:t>
      </w:r>
    </w:p>
    <w:p w14:paraId="137C61B7" w14:textId="2AFE5BA9" w:rsidR="00533DFE" w:rsidRDefault="00533DFE" w:rsidP="00533DFE">
      <w:r>
        <w:rPr>
          <w:noProof/>
        </w:rPr>
        <w:lastRenderedPageBreak/>
        <w:drawing>
          <wp:inline distT="0" distB="0" distL="0" distR="0" wp14:anchorId="6CFA6C94" wp14:editId="66BD5E3B">
            <wp:extent cx="6645910" cy="3614420"/>
            <wp:effectExtent l="0" t="0" r="2540" b="5080"/>
            <wp:docPr id="606394108" name="Picture 60639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08"/>
                    <pic:cNvPicPr/>
                  </pic:nvPicPr>
                  <pic:blipFill>
                    <a:blip r:embed="rId204">
                      <a:extLst>
                        <a:ext uri="{28A0092B-C50C-407E-A947-70E740481C1C}">
                          <a14:useLocalDpi xmlns:a14="http://schemas.microsoft.com/office/drawing/2010/main" val="0"/>
                        </a:ext>
                      </a:extLst>
                    </a:blip>
                    <a:stretch>
                      <a:fillRect/>
                    </a:stretch>
                  </pic:blipFill>
                  <pic:spPr>
                    <a:xfrm>
                      <a:off x="0" y="0"/>
                      <a:ext cx="6645910" cy="3614420"/>
                    </a:xfrm>
                    <a:prstGeom prst="rect">
                      <a:avLst/>
                    </a:prstGeom>
                  </pic:spPr>
                </pic:pic>
              </a:graphicData>
            </a:graphic>
          </wp:inline>
        </w:drawing>
      </w:r>
    </w:p>
    <w:p w14:paraId="7B0F26CD" w14:textId="0A339995" w:rsidR="00583D5A" w:rsidRPr="00C16199" w:rsidRDefault="00583D5A" w:rsidP="00533DFE">
      <w:r>
        <w:t>You need to prepare the above table per physical location. Just because you have 10 TB RAM in Singapore does not mean the VMs in Armenia can use it.</w:t>
      </w:r>
    </w:p>
    <w:p w14:paraId="0C4470DA" w14:textId="1F8690FA" w:rsidR="009E7BF7" w:rsidRDefault="000F787A" w:rsidP="00AC6E1E">
      <w:pPr>
        <w:pStyle w:val="Heading4"/>
      </w:pPr>
      <w:r w:rsidRPr="00C16199">
        <w:t>Optimized Cost</w:t>
      </w:r>
    </w:p>
    <w:p w14:paraId="4B26C4A1" w14:textId="7360287C" w:rsidR="00583D5A" w:rsidRDefault="00583D5A" w:rsidP="00214446">
      <w:r>
        <w:t xml:space="preserve">The above exercise will help in optimizing cost. </w:t>
      </w:r>
      <w:r w:rsidR="003F0892">
        <w:t xml:space="preserve">There are certainly other avenues to optimize cost, as cost </w:t>
      </w:r>
      <w:r w:rsidR="003F0892" w:rsidRPr="00DF1D53">
        <w:t xml:space="preserve">covers more than </w:t>
      </w:r>
      <w:r w:rsidR="003F0892">
        <w:t>just c</w:t>
      </w:r>
      <w:r w:rsidR="003F0892" w:rsidRPr="00DF1D53">
        <w:t>apacity</w:t>
      </w:r>
      <w:r w:rsidR="003F0892">
        <w:t xml:space="preserve">. </w:t>
      </w:r>
      <w:r w:rsidR="003F0892" w:rsidRPr="00DF1D53">
        <w:t xml:space="preserve">It covers People, Process, Architecture. </w:t>
      </w:r>
    </w:p>
    <w:p w14:paraId="2CDCFF42" w14:textId="0FE40FC5" w:rsidR="003F0892" w:rsidRDefault="003F0892" w:rsidP="00214446">
      <w:r>
        <w:t xml:space="preserve">The following table summarizes the activities you can do to optimize cost. </w:t>
      </w:r>
    </w:p>
    <w:p w14:paraId="3B3DAC7E" w14:textId="77777777" w:rsidR="0083685A" w:rsidRDefault="0083685A" w:rsidP="0083685A">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560"/>
        <w:gridCol w:w="2835"/>
        <w:gridCol w:w="5953"/>
      </w:tblGrid>
      <w:tr w:rsidR="00741057" w14:paraId="23619C3E" w14:textId="77777777" w:rsidTr="0083685A">
        <w:tc>
          <w:tcPr>
            <w:tcW w:w="1560" w:type="dxa"/>
            <w:shd w:val="clear" w:color="auto" w:fill="F2F2F2" w:themeFill="background1" w:themeFillShade="F2"/>
          </w:tcPr>
          <w:p w14:paraId="2E641A54" w14:textId="77777777" w:rsidR="00741057" w:rsidRDefault="00741057" w:rsidP="0083685A">
            <w:pPr>
              <w:pStyle w:val="Tableheading"/>
            </w:pPr>
          </w:p>
        </w:tc>
        <w:tc>
          <w:tcPr>
            <w:tcW w:w="2835" w:type="dxa"/>
            <w:shd w:val="clear" w:color="auto" w:fill="F2F2F2" w:themeFill="background1" w:themeFillShade="F2"/>
            <w:vAlign w:val="center"/>
          </w:tcPr>
          <w:p w14:paraId="4C4F0026" w14:textId="1B087458" w:rsidR="00741057" w:rsidRPr="00CF613E" w:rsidRDefault="00741057" w:rsidP="0083685A">
            <w:pPr>
              <w:pStyle w:val="Tableheading"/>
            </w:pPr>
            <w:r>
              <w:t>Level</w:t>
            </w:r>
          </w:p>
        </w:tc>
        <w:tc>
          <w:tcPr>
            <w:tcW w:w="5953" w:type="dxa"/>
            <w:shd w:val="clear" w:color="auto" w:fill="F2F2F2" w:themeFill="background1" w:themeFillShade="F2"/>
            <w:vAlign w:val="center"/>
          </w:tcPr>
          <w:p w14:paraId="0DC59BAF" w14:textId="0295384D" w:rsidR="00741057" w:rsidRPr="00CF613E" w:rsidRDefault="00741057" w:rsidP="0083685A">
            <w:pPr>
              <w:pStyle w:val="Tableheading"/>
            </w:pPr>
            <w:r>
              <w:rPr>
                <w:rFonts w:cs="Calibri"/>
              </w:rPr>
              <w:t>What</w:t>
            </w:r>
          </w:p>
        </w:tc>
      </w:tr>
      <w:tr w:rsidR="00741057" w14:paraId="61748E96" w14:textId="77777777" w:rsidTr="0083685A">
        <w:tc>
          <w:tcPr>
            <w:tcW w:w="1560" w:type="dxa"/>
          </w:tcPr>
          <w:p w14:paraId="1C9141C2" w14:textId="5094CE51" w:rsidR="00741057" w:rsidRPr="00741057" w:rsidRDefault="00741057" w:rsidP="00741057">
            <w:pPr>
              <w:pStyle w:val="Tablecontent"/>
            </w:pPr>
            <w:r w:rsidRPr="00741057">
              <w:t>Consumer</w:t>
            </w:r>
          </w:p>
        </w:tc>
        <w:tc>
          <w:tcPr>
            <w:tcW w:w="2835" w:type="dxa"/>
          </w:tcPr>
          <w:p w14:paraId="1E360FDA" w14:textId="77777777" w:rsidR="00681838" w:rsidRDefault="00681838" w:rsidP="00681838">
            <w:pPr>
              <w:pStyle w:val="Tablecontent"/>
            </w:pPr>
            <w:r>
              <w:t>Process</w:t>
            </w:r>
          </w:p>
          <w:p w14:paraId="1B0AD006" w14:textId="77777777" w:rsidR="00681838" w:rsidRDefault="00681838" w:rsidP="00681838">
            <w:pPr>
              <w:pStyle w:val="Tablecontent"/>
            </w:pPr>
            <w:r>
              <w:t>Guest OS</w:t>
            </w:r>
          </w:p>
          <w:p w14:paraId="45D9D801" w14:textId="08DB4801" w:rsidR="00681838" w:rsidRDefault="00681838" w:rsidP="00681838">
            <w:pPr>
              <w:pStyle w:val="Tablecontent"/>
            </w:pPr>
            <w:r>
              <w:t>Container</w:t>
            </w:r>
          </w:p>
          <w:p w14:paraId="72B3C0A0" w14:textId="4C85D8C5" w:rsidR="00741057" w:rsidRPr="00741057" w:rsidRDefault="00741057" w:rsidP="00741057">
            <w:pPr>
              <w:pStyle w:val="Tablecontent"/>
            </w:pPr>
            <w:r w:rsidRPr="00741057">
              <w:t>VM</w:t>
            </w:r>
          </w:p>
        </w:tc>
        <w:tc>
          <w:tcPr>
            <w:tcW w:w="5953" w:type="dxa"/>
          </w:tcPr>
          <w:p w14:paraId="6F148A60" w14:textId="77777777" w:rsidR="00681838" w:rsidRDefault="00741057" w:rsidP="0083685A">
            <w:pPr>
              <w:pStyle w:val="Tablecontent"/>
              <w:ind w:left="-274"/>
              <w:divId w:val="299117463"/>
            </w:pPr>
            <w:r w:rsidRPr="00741057">
              <w:t>Remove wastage</w:t>
            </w:r>
            <w:r w:rsidR="00681838">
              <w:t xml:space="preserve">, such as </w:t>
            </w:r>
            <w:r w:rsidRPr="00741057">
              <w:t>Orphaned VMDK</w:t>
            </w:r>
            <w:r w:rsidR="00681838">
              <w:t xml:space="preserve">, </w:t>
            </w:r>
            <w:r w:rsidRPr="00741057">
              <w:t>Snapshots</w:t>
            </w:r>
            <w:r w:rsidR="00681838">
              <w:t xml:space="preserve">, </w:t>
            </w:r>
            <w:r w:rsidRPr="00741057">
              <w:t>Powered off VM</w:t>
            </w:r>
            <w:r w:rsidR="00681838">
              <w:t xml:space="preserve"> and </w:t>
            </w:r>
            <w:r w:rsidRPr="00741057">
              <w:t>Idle VM</w:t>
            </w:r>
          </w:p>
          <w:p w14:paraId="2AC500BA" w14:textId="3C8FAE0A" w:rsidR="00741057" w:rsidRPr="00741057" w:rsidRDefault="00741057" w:rsidP="0083685A">
            <w:pPr>
              <w:pStyle w:val="Tablecontent"/>
              <w:ind w:left="-274"/>
              <w:divId w:val="299117463"/>
            </w:pPr>
            <w:r w:rsidRPr="00741057">
              <w:t>Reclaim by shrinking oversized VM. Only useful for allocation based from cost viewpoint</w:t>
            </w:r>
          </w:p>
          <w:p w14:paraId="74F1AC9D" w14:textId="62B9B61C" w:rsidR="00741057" w:rsidRPr="00741057" w:rsidRDefault="00741057" w:rsidP="00681838">
            <w:pPr>
              <w:pStyle w:val="Tablecontent"/>
            </w:pPr>
            <w:r w:rsidRPr="00741057">
              <w:t>Automate, with approval workflow &amp; audit trail</w:t>
            </w:r>
          </w:p>
        </w:tc>
      </w:tr>
      <w:tr w:rsidR="00741057" w14:paraId="3F3393D4" w14:textId="77777777" w:rsidTr="0083685A">
        <w:tc>
          <w:tcPr>
            <w:tcW w:w="1560" w:type="dxa"/>
          </w:tcPr>
          <w:p w14:paraId="614FD82C" w14:textId="3B892D3F" w:rsidR="00741057" w:rsidRPr="00741057" w:rsidRDefault="00741057" w:rsidP="00741057">
            <w:pPr>
              <w:pStyle w:val="Tablecontent"/>
            </w:pPr>
            <w:r w:rsidRPr="00741057">
              <w:t>Provider</w:t>
            </w:r>
          </w:p>
        </w:tc>
        <w:tc>
          <w:tcPr>
            <w:tcW w:w="2835" w:type="dxa"/>
          </w:tcPr>
          <w:p w14:paraId="2ADA79D0" w14:textId="77777777" w:rsidR="00741057" w:rsidRPr="00741057" w:rsidRDefault="00741057" w:rsidP="00741057">
            <w:pPr>
              <w:pStyle w:val="Tablecontent"/>
            </w:pPr>
            <w:r w:rsidRPr="00741057">
              <w:t>ESXi</w:t>
            </w:r>
          </w:p>
          <w:p w14:paraId="1A7FD7DD" w14:textId="77777777" w:rsidR="00741057" w:rsidRPr="00741057" w:rsidRDefault="00741057" w:rsidP="00741057">
            <w:pPr>
              <w:pStyle w:val="Tablecontent"/>
            </w:pPr>
            <w:r w:rsidRPr="00741057">
              <w:t>Cluster</w:t>
            </w:r>
          </w:p>
          <w:p w14:paraId="3588EEB6" w14:textId="77777777" w:rsidR="00741057" w:rsidRPr="00741057" w:rsidRDefault="00741057" w:rsidP="00741057">
            <w:pPr>
              <w:pStyle w:val="Tablecontent"/>
            </w:pPr>
            <w:r w:rsidRPr="00741057">
              <w:t>Datastore &amp; DS Cluster</w:t>
            </w:r>
          </w:p>
          <w:p w14:paraId="613A8326" w14:textId="77777777" w:rsidR="00741057" w:rsidRPr="00741057" w:rsidRDefault="00741057" w:rsidP="00741057">
            <w:pPr>
              <w:pStyle w:val="Tablecontent"/>
            </w:pPr>
            <w:r w:rsidRPr="00741057">
              <w:t>Switch and Port Group</w:t>
            </w:r>
          </w:p>
          <w:p w14:paraId="60A9C14B" w14:textId="1CC62A24" w:rsidR="00741057" w:rsidRPr="00741057" w:rsidRDefault="00741057" w:rsidP="00741057">
            <w:pPr>
              <w:pStyle w:val="Tablecontent"/>
            </w:pPr>
            <w:r w:rsidRPr="00741057">
              <w:t>Hardware</w:t>
            </w:r>
          </w:p>
        </w:tc>
        <w:tc>
          <w:tcPr>
            <w:tcW w:w="5953" w:type="dxa"/>
          </w:tcPr>
          <w:p w14:paraId="6667E653" w14:textId="6713BD00" w:rsidR="0083685A" w:rsidRDefault="0083685A" w:rsidP="0083685A">
            <w:pPr>
              <w:pStyle w:val="Tablecontent"/>
            </w:pPr>
            <w:r>
              <w:t>Hardware tech refresh.</w:t>
            </w:r>
            <w:r w:rsidR="00857E9E">
              <w:t xml:space="preserve"> Newer hardware have more capacity and faster performance, at the same price. You can also save expensive software license (e.g. database, middleware).</w:t>
            </w:r>
          </w:p>
          <w:p w14:paraId="7B46902C" w14:textId="25775CC7" w:rsidR="00857E9E" w:rsidRDefault="00857E9E" w:rsidP="0083685A">
            <w:pPr>
              <w:pStyle w:val="Tablecontent"/>
            </w:pPr>
            <w:r>
              <w:t>Virtualize storage and network, not just compute.</w:t>
            </w:r>
          </w:p>
          <w:p w14:paraId="6F2EFD01" w14:textId="34380B7B" w:rsidR="00857E9E" w:rsidRDefault="00857E9E" w:rsidP="0083685A">
            <w:pPr>
              <w:pStyle w:val="Tablecontent"/>
            </w:pPr>
            <w:r>
              <w:lastRenderedPageBreak/>
              <w:t xml:space="preserve">Consolidate. </w:t>
            </w:r>
            <w:r w:rsidRPr="00DF1D53">
              <w:t xml:space="preserve">Small clusters have higher </w:t>
            </w:r>
            <w:r>
              <w:t xml:space="preserve">HA </w:t>
            </w:r>
            <w:r w:rsidRPr="00DF1D53">
              <w:t xml:space="preserve">overhead, </w:t>
            </w:r>
            <w:r>
              <w:t xml:space="preserve">smaller datastore have higher overhead. Optimize cost by consolidating them. </w:t>
            </w:r>
          </w:p>
          <w:p w14:paraId="3AFBF849" w14:textId="007FB070" w:rsidR="0083685A" w:rsidRDefault="0083685A" w:rsidP="0083685A">
            <w:pPr>
              <w:pStyle w:val="Tablecontent"/>
            </w:pPr>
            <w:r>
              <w:t>Increase utilization of clusters and datastores</w:t>
            </w:r>
            <w:r w:rsidR="00857E9E">
              <w:t>, without compromising performance.</w:t>
            </w:r>
          </w:p>
          <w:p w14:paraId="2548F5C2" w14:textId="7D3CACBD" w:rsidR="0083685A" w:rsidRDefault="0083685A" w:rsidP="0083685A">
            <w:pPr>
              <w:pStyle w:val="Tablecontent"/>
            </w:pPr>
            <w:r>
              <w:t>Reduce overhead</w:t>
            </w:r>
            <w:r w:rsidR="00857E9E">
              <w:t>. Review if the applications truly justify active/passive, resulting in 50% overhead.</w:t>
            </w:r>
          </w:p>
          <w:p w14:paraId="6B693C1A" w14:textId="4151C73F" w:rsidR="00741057" w:rsidRPr="00741057" w:rsidRDefault="00A831D1" w:rsidP="00681838">
            <w:pPr>
              <w:pStyle w:val="Tablecontent"/>
            </w:pPr>
            <w:r w:rsidRPr="00741057">
              <w:t>Standardize</w:t>
            </w:r>
            <w:r>
              <w:t xml:space="preserve"> the architecture</w:t>
            </w:r>
            <w:r w:rsidR="00857E9E">
              <w:t>. This reduces complexity, not cost.</w:t>
            </w:r>
          </w:p>
        </w:tc>
      </w:tr>
    </w:tbl>
    <w:p w14:paraId="57908549" w14:textId="0692EA2A" w:rsidR="000F787A" w:rsidRPr="00DF1D53" w:rsidRDefault="000F787A" w:rsidP="0048318C">
      <w:pPr>
        <w:pStyle w:val="BeforeTable"/>
      </w:pPr>
    </w:p>
    <w:p w14:paraId="031E67E8" w14:textId="2BDDDC86" w:rsidR="006558F9" w:rsidRDefault="006558F9" w:rsidP="00AC6E1E">
      <w:pPr>
        <w:pStyle w:val="Heading4"/>
      </w:pPr>
      <w:r>
        <w:t>Cost and Capacity</w:t>
      </w:r>
    </w:p>
    <w:p w14:paraId="0697411B" w14:textId="77777777" w:rsidR="00154642" w:rsidRDefault="00760778" w:rsidP="00036D9D">
      <w:r>
        <w:t>Cost provides c</w:t>
      </w:r>
      <w:r w:rsidR="00036D9D" w:rsidRPr="00036D9D">
        <w:t>omplimenting perspective</w:t>
      </w:r>
      <w:r>
        <w:t xml:space="preserve"> to capacity. It </w:t>
      </w:r>
      <w:r w:rsidRPr="00036D9D">
        <w:t>provides visibility into capacity to be optimized.</w:t>
      </w:r>
      <w:r>
        <w:t xml:space="preserve"> A c</w:t>
      </w:r>
      <w:r w:rsidR="00036D9D" w:rsidRPr="00036D9D">
        <w:t>luster with plenty of capacity is more expensive as the cost is only shared by few VM</w:t>
      </w:r>
      <w:r w:rsidR="003243C5">
        <w:t xml:space="preserve">. </w:t>
      </w:r>
    </w:p>
    <w:p w14:paraId="6DB6B87C" w14:textId="5D9ED6BE" w:rsidR="00036D9D" w:rsidRPr="00036D9D" w:rsidRDefault="00154642" w:rsidP="00036D9D">
      <w:r>
        <w:t>Is o</w:t>
      </w:r>
      <w:r w:rsidR="003243C5" w:rsidRPr="00036D9D">
        <w:t>ld hardware more expensive</w:t>
      </w:r>
      <w:r>
        <w:t>? It depends on the maintenance cost and cost avoidance.</w:t>
      </w:r>
    </w:p>
    <w:p w14:paraId="5C6AB172" w14:textId="75855583" w:rsidR="00036D9D" w:rsidRPr="00036D9D" w:rsidRDefault="00036D9D" w:rsidP="00036D9D">
      <w:r w:rsidRPr="00036D9D">
        <w:t>Cost is not perfectly corelated to Capacity</w:t>
      </w:r>
      <w:r w:rsidR="00760778">
        <w:t xml:space="preserve">. </w:t>
      </w:r>
      <w:r w:rsidRPr="00036D9D">
        <w:t>2 clusters with identical capacity can have different cost</w:t>
      </w:r>
    </w:p>
    <w:p w14:paraId="4C663E51" w14:textId="48BAF088" w:rsidR="00036D9D" w:rsidRPr="00036D9D" w:rsidRDefault="00036D9D" w:rsidP="00036D9D">
      <w:r w:rsidRPr="00036D9D">
        <w:t xml:space="preserve">Cost covers more than Capacity. It covers </w:t>
      </w:r>
      <w:r w:rsidR="009A7D2E">
        <w:t>p</w:t>
      </w:r>
      <w:r w:rsidRPr="00036D9D">
        <w:t xml:space="preserve">eople, </w:t>
      </w:r>
      <w:r w:rsidR="009A7D2E">
        <w:t>p</w:t>
      </w:r>
      <w:r w:rsidRPr="00036D9D">
        <w:t xml:space="preserve">rocess, </w:t>
      </w:r>
      <w:r w:rsidR="009A7D2E">
        <w:t>and a</w:t>
      </w:r>
      <w:r w:rsidRPr="00036D9D">
        <w:t>rchitecture</w:t>
      </w:r>
      <w:r w:rsidR="009A7D2E">
        <w:t>.</w:t>
      </w:r>
      <w:r w:rsidR="009A7D2E" w:rsidRPr="009A7D2E">
        <w:t xml:space="preserve"> </w:t>
      </w:r>
      <w:r w:rsidR="009A7D2E" w:rsidRPr="00DF1D53">
        <w:t>You can reduce cost by improving process effectiveness, typically achieved by business process reengineering exercise. You can reduce cost by improving process efficiency by automation. E.g. deletion of powered off VM with approval workflow</w:t>
      </w:r>
      <w:r w:rsidR="009A7D2E">
        <w:t>.</w:t>
      </w:r>
    </w:p>
    <w:p w14:paraId="34E83C41" w14:textId="5D68FBDC" w:rsidR="00036D9D" w:rsidRPr="00036D9D" w:rsidRDefault="00036D9D" w:rsidP="00036D9D">
      <w:r w:rsidRPr="00036D9D">
        <w:t>Complexity has cost, but hard to quantity</w:t>
      </w:r>
      <w:r w:rsidR="00154642">
        <w:t xml:space="preserve">. </w:t>
      </w:r>
      <w:r w:rsidRPr="00036D9D">
        <w:t>Human error can be costly</w:t>
      </w:r>
      <w:r w:rsidR="00154642">
        <w:t xml:space="preserve"> but you </w:t>
      </w:r>
      <w:r w:rsidR="005C4133">
        <w:t xml:space="preserve">need to resort into probability theory to quantify that. </w:t>
      </w:r>
    </w:p>
    <w:p w14:paraId="2E5A0205" w14:textId="77777777" w:rsidR="00660E1F" w:rsidRDefault="00660E1F" w:rsidP="00660E1F">
      <w:r w:rsidRPr="00DF1D53">
        <w:t>Simplify</w:t>
      </w:r>
      <w:r>
        <w:t>ing</w:t>
      </w:r>
      <w:r w:rsidRPr="00DF1D53">
        <w:t xml:space="preserve"> operations</w:t>
      </w:r>
      <w:r>
        <w:t>, such as</w:t>
      </w:r>
      <w:r w:rsidRPr="00DF1D53">
        <w:t xml:space="preserve"> not mix</w:t>
      </w:r>
      <w:r>
        <w:t>ing</w:t>
      </w:r>
      <w:r w:rsidRPr="00DF1D53">
        <w:t xml:space="preserve"> VMs with different class of services</w:t>
      </w:r>
      <w:r>
        <w:t xml:space="preserve"> in the same cluster, will reduce complexity</w:t>
      </w:r>
      <w:r w:rsidRPr="00DF1D53">
        <w:t xml:space="preserve">. </w:t>
      </w:r>
      <w:r>
        <w:t xml:space="preserve">But it also comes at a cost of larger infrastructure. The same thing goes with </w:t>
      </w:r>
      <w:r w:rsidRPr="00DF1D53">
        <w:t>t-shirt sizing</w:t>
      </w:r>
      <w:r>
        <w:t>.</w:t>
      </w:r>
    </w:p>
    <w:p w14:paraId="5C9D36C9" w14:textId="77777777" w:rsidR="001503D8" w:rsidRDefault="001503D8" w:rsidP="001503D8">
      <w:r>
        <w:t xml:space="preserve">Take note that standardization will reduce complexity. But this also means less flexible configuration, which can increase cost. </w:t>
      </w:r>
    </w:p>
    <w:p w14:paraId="49093E2F" w14:textId="77777777" w:rsidR="00036D9D" w:rsidRPr="00DF1D53" w:rsidRDefault="00036D9D" w:rsidP="000F787A"/>
    <w:p w14:paraId="3857F987" w14:textId="097357B0" w:rsidR="006C7984" w:rsidRPr="00DF1D53" w:rsidRDefault="006C7984" w:rsidP="00327E4B">
      <w:pPr>
        <w:pStyle w:val="Heading1"/>
      </w:pPr>
      <w:bookmarkStart w:id="47" w:name="_Compliance_Management"/>
      <w:bookmarkEnd w:id="47"/>
      <w:r w:rsidRPr="00DF1D53">
        <w:lastRenderedPageBreak/>
        <w:t>P</w:t>
      </w:r>
      <w:r w:rsidR="00FC4B2D" w:rsidRPr="00DF1D53">
        <w:t>ART</w:t>
      </w:r>
      <w:r w:rsidRPr="00DF1D53">
        <w:t xml:space="preserve"> 2</w:t>
      </w:r>
    </w:p>
    <w:p w14:paraId="5A692952" w14:textId="345D7982" w:rsidR="00AF3D1F" w:rsidRPr="00DF1D53" w:rsidRDefault="006D28BA" w:rsidP="00AF3D1F">
      <w:pPr>
        <w:pStyle w:val="Title"/>
      </w:pPr>
      <w:r>
        <w:t>Counters</w:t>
      </w:r>
    </w:p>
    <w:p w14:paraId="28F7BF0D" w14:textId="2D2287A3" w:rsidR="0030700F" w:rsidRPr="00DF1D53" w:rsidRDefault="006D28BA" w:rsidP="003F097B">
      <w:pPr>
        <w:pStyle w:val="AfterChapterTitle"/>
      </w:pPr>
      <w:r>
        <w:t>Aria</w:t>
      </w:r>
      <w:r w:rsidR="004F5887">
        <w:t xml:space="preserve"> Operations ships with thousands of metrics and properties. If we take object by object, and document metrics by metrics, it would be both dry and </w:t>
      </w:r>
      <w:r w:rsidR="00604F99">
        <w:t>theoretical</w:t>
      </w:r>
      <w:r w:rsidR="004F5887">
        <w:t xml:space="preserve">. </w:t>
      </w:r>
      <w:r w:rsidR="00604F99">
        <w:t>Y</w:t>
      </w:r>
      <w:r w:rsidR="004F5887">
        <w:t xml:space="preserve">ou will be disappointed as it does not explain how your </w:t>
      </w:r>
      <w:r w:rsidR="00604F99">
        <w:t xml:space="preserve">real world </w:t>
      </w:r>
      <w:r w:rsidR="004F5887">
        <w:t>problems are solved.</w:t>
      </w:r>
      <w:r w:rsidR="00031084">
        <w:t xml:space="preserve"> </w:t>
      </w:r>
    </w:p>
    <w:p w14:paraId="6C7FC6F0" w14:textId="51E51BCB" w:rsidR="004A3571" w:rsidRPr="00DF1D53" w:rsidRDefault="76FF4F6B" w:rsidP="00384D69">
      <w:r>
        <w:t xml:space="preserve">This document begins with </w:t>
      </w:r>
      <w:r w:rsidRPr="00A4149C">
        <w:rPr>
          <w:i/>
          <w:iCs/>
          <w:color w:val="00B050"/>
        </w:rPr>
        <w:t>you</w:t>
      </w:r>
      <w:r>
        <w:t xml:space="preserve">. It focuses on the problems </w:t>
      </w:r>
      <w:r w:rsidR="0022571E">
        <w:t>y</w:t>
      </w:r>
      <w:r w:rsidR="006744C1">
        <w:t>ou are</w:t>
      </w:r>
      <w:r>
        <w:t xml:space="preserve"> trying to solve when running your multi-cloud operations. It looks at all the use cases and break</w:t>
      </w:r>
      <w:r w:rsidR="11F21C7D">
        <w:t>s</w:t>
      </w:r>
      <w:r>
        <w:t xml:space="preserve"> down the metrics from there</w:t>
      </w:r>
      <w:r w:rsidR="18C129B6">
        <w:t xml:space="preserve">, </w:t>
      </w:r>
      <w:r w:rsidR="397508F2">
        <w:t>which</w:t>
      </w:r>
      <w:r>
        <w:t xml:space="preserve"> helps you appreciate </w:t>
      </w:r>
      <w:r w:rsidRPr="00604F99">
        <w:rPr>
          <w:color w:val="00B0F0"/>
        </w:rPr>
        <w:t xml:space="preserve">why </w:t>
      </w:r>
      <w:r>
        <w:t xml:space="preserve">the metrics are layered in such manner. </w:t>
      </w:r>
    </w:p>
    <w:p w14:paraId="41BBDB9D" w14:textId="09CBBEF2" w:rsidR="00B35B1A" w:rsidRDefault="001A6591" w:rsidP="00B373E2">
      <w:pPr>
        <w:pStyle w:val="Heading2"/>
      </w:pPr>
      <w:bookmarkStart w:id="48" w:name="_New_Layer_"/>
      <w:bookmarkEnd w:id="48"/>
      <w:r>
        <w:lastRenderedPageBreak/>
        <w:t>Introduction</w:t>
      </w:r>
    </w:p>
    <w:p w14:paraId="52BE6189" w14:textId="0392B945" w:rsidR="004D4D3A" w:rsidRPr="004D4D3A" w:rsidRDefault="004D4D3A" w:rsidP="004D4D3A">
      <w:r>
        <w:rPr>
          <w:noProof/>
        </w:rPr>
        <mc:AlternateContent>
          <mc:Choice Requires="wps">
            <w:drawing>
              <wp:anchor distT="0" distB="0" distL="114300" distR="114300" simplePos="0" relativeHeight="251658240" behindDoc="0" locked="0" layoutInCell="1" allowOverlap="1" wp14:anchorId="2EDA3760" wp14:editId="5F34DD0B">
                <wp:simplePos x="0" y="0"/>
                <wp:positionH relativeFrom="column">
                  <wp:posOffset>0</wp:posOffset>
                </wp:positionH>
                <wp:positionV relativeFrom="paragraph">
                  <wp:posOffset>0</wp:posOffset>
                </wp:positionV>
                <wp:extent cx="1828800" cy="1828800"/>
                <wp:effectExtent l="0" t="0" r="0" b="0"/>
                <wp:wrapNone/>
                <wp:docPr id="606394163" name="Text Box 60639416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CB0A593" w14:textId="2192F865" w:rsidR="00E66F24" w:rsidRPr="00C84219" w:rsidRDefault="00E66F24" w:rsidP="004D4D3A">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2 Chapter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2EDA3760" id="Text Box 606394163" o:spid="_x0000_s1031" type="#_x0000_t202" style="position:absolute;margin-left:0;margin-top:0;width:2in;height:2in;z-index:251658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" filled="f" stroked="f">
                <v:textbox style="mso-fit-shape-to-text:t">
                  <w:txbxContent>
                    <w:p w14:paraId="6CB0A593" w14:textId="2192F865" w:rsidR="00E66F24" w:rsidRPr="00C84219" w:rsidRDefault="00E66F24" w:rsidP="004D4D3A">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2 Chapter 1</w:t>
                      </w:r>
                    </w:p>
                  </w:txbxContent>
                </v:textbox>
              </v:shape>
            </w:pict>
          </mc:Fallback>
        </mc:AlternateContent>
      </w:r>
    </w:p>
    <w:p w14:paraId="645845CB" w14:textId="77777777" w:rsidR="00ED52C5" w:rsidRDefault="00ED52C5" w:rsidP="00ED52C5">
      <w:pPr>
        <w:pStyle w:val="AfterChapterTitle"/>
        <w:rPr>
          <w:lang w:val="en-US"/>
        </w:rPr>
      </w:pPr>
      <w:r>
        <w:rPr>
          <w:lang w:val="en-US"/>
        </w:rPr>
        <w:t>There are 5 data types for each object, and relationship among objects.</w:t>
      </w:r>
    </w:p>
    <w:p w14:paraId="297A70BD" w14:textId="77777777" w:rsidR="00ED52C5" w:rsidRDefault="00ED52C5" w:rsidP="00ED52C5">
      <w:pPr>
        <w:pStyle w:val="Bullet"/>
        <w:rPr>
          <w:lang w:val="en-US"/>
        </w:rPr>
      </w:pPr>
      <w:r>
        <w:rPr>
          <w:lang w:val="en-US"/>
        </w:rPr>
        <w:t>Metric</w:t>
      </w:r>
    </w:p>
    <w:p w14:paraId="5943BD07" w14:textId="77777777" w:rsidR="00ED52C5" w:rsidRDefault="00ED52C5" w:rsidP="00ED52C5">
      <w:pPr>
        <w:pStyle w:val="Bullet"/>
        <w:rPr>
          <w:lang w:val="en-US"/>
        </w:rPr>
      </w:pPr>
      <w:r>
        <w:rPr>
          <w:lang w:val="en-US"/>
        </w:rPr>
        <w:t>Property</w:t>
      </w:r>
    </w:p>
    <w:p w14:paraId="16B7A27E" w14:textId="77777777" w:rsidR="00ED52C5" w:rsidRDefault="00ED52C5" w:rsidP="00ED52C5">
      <w:pPr>
        <w:pStyle w:val="Bullet"/>
        <w:rPr>
          <w:lang w:val="en-US"/>
        </w:rPr>
      </w:pPr>
      <w:r>
        <w:rPr>
          <w:lang w:val="en-US"/>
        </w:rPr>
        <w:t>Event</w:t>
      </w:r>
    </w:p>
    <w:p w14:paraId="1DE1734C" w14:textId="77777777" w:rsidR="00ED52C5" w:rsidRDefault="00ED52C5" w:rsidP="00ED52C5">
      <w:pPr>
        <w:pStyle w:val="Bullet"/>
        <w:rPr>
          <w:lang w:val="en-US"/>
        </w:rPr>
      </w:pPr>
      <w:r>
        <w:rPr>
          <w:lang w:val="en-US"/>
        </w:rPr>
        <w:t>Log</w:t>
      </w:r>
    </w:p>
    <w:p w14:paraId="6D10F4F0" w14:textId="77777777" w:rsidR="00ED52C5" w:rsidRDefault="00000000" w:rsidP="00ED52C5">
      <w:pPr>
        <w:pStyle w:val="Bullet"/>
        <w:rPr>
          <w:lang w:val="en-US"/>
        </w:rPr>
      </w:pPr>
      <w:hyperlink r:id="rId205" w:history="1">
        <w:r w:rsidR="00ED52C5" w:rsidRPr="00502C3E">
          <w:rPr>
            <w:rStyle w:val="Hyperlink"/>
            <w:lang w:val="en-US"/>
          </w:rPr>
          <w:t>Netflow</w:t>
        </w:r>
      </w:hyperlink>
    </w:p>
    <w:p w14:paraId="3E917C38" w14:textId="5D8E0AEB" w:rsidR="00ED52C5" w:rsidRDefault="00ED52C5" w:rsidP="00ED52C5">
      <w:pPr>
        <w:rPr>
          <w:lang w:val="en-US"/>
        </w:rPr>
      </w:pPr>
      <w:r>
        <w:rPr>
          <w:lang w:val="en-US"/>
        </w:rPr>
        <w:t>Each of those type</w:t>
      </w:r>
      <w:r w:rsidR="00FF4C68">
        <w:rPr>
          <w:lang w:val="en-US"/>
        </w:rPr>
        <w:t>s</w:t>
      </w:r>
      <w:r>
        <w:rPr>
          <w:lang w:val="en-US"/>
        </w:rPr>
        <w:t xml:space="preserve"> has their own purpose and format. So typically different tools excel on each. </w:t>
      </w:r>
    </w:p>
    <w:p w14:paraId="763F398F" w14:textId="0818A958" w:rsidR="00281329" w:rsidRDefault="00281329" w:rsidP="00ED52C5">
      <w:pPr>
        <w:rPr>
          <w:lang w:val="en-US"/>
        </w:rPr>
      </w:pPr>
      <w:r>
        <w:rPr>
          <w:lang w:val="en-US"/>
        </w:rPr>
        <w:t>Property is a setting. It’s mostly used in configuration management.</w:t>
      </w:r>
    </w:p>
    <w:p w14:paraId="46C8B137" w14:textId="6B9A76C8" w:rsidR="001D546D" w:rsidRDefault="001D546D" w:rsidP="00ED52C5">
      <w:pPr>
        <w:rPr>
          <w:lang w:val="en-US"/>
        </w:rPr>
      </w:pPr>
      <w:r>
        <w:rPr>
          <w:lang w:val="en-US"/>
        </w:rPr>
        <w:t>Event is a record of something happened. It could be bad or good</w:t>
      </w:r>
      <w:r w:rsidR="00281329">
        <w:rPr>
          <w:lang w:val="en-US"/>
        </w:rPr>
        <w:t>, planned or unplanned</w:t>
      </w:r>
      <w:r>
        <w:rPr>
          <w:lang w:val="en-US"/>
        </w:rPr>
        <w:t>. The bad ones may warrant an alert.</w:t>
      </w:r>
      <w:r w:rsidR="00281329">
        <w:rPr>
          <w:lang w:val="en-US"/>
        </w:rPr>
        <w:t xml:space="preserve"> Unlike metric, it does not happen on regular interval.</w:t>
      </w:r>
    </w:p>
    <w:p w14:paraId="335A3D98" w14:textId="51DCA73B" w:rsidR="008F5879" w:rsidRDefault="008F5879" w:rsidP="00ED52C5">
      <w:pPr>
        <w:rPr>
          <w:lang w:val="en-US"/>
        </w:rPr>
      </w:pPr>
      <w:r>
        <w:rPr>
          <w:lang w:val="en-US"/>
        </w:rPr>
        <w:t xml:space="preserve">Alert </w:t>
      </w:r>
      <w:r w:rsidR="00CA76AD">
        <w:rPr>
          <w:lang w:val="en-US"/>
        </w:rPr>
        <w:t xml:space="preserve">is not a data type as it’s a trigger you create based on the values of the data types. For example, you create an alert when certain log events occur, certain property changes and certain metrics threshold being crossed. </w:t>
      </w:r>
    </w:p>
    <w:p w14:paraId="459A6423" w14:textId="0EB70CA8" w:rsidR="00443C0B" w:rsidRDefault="7D7A6DFE" w:rsidP="00540F68">
      <w:pPr>
        <w:pStyle w:val="Heading3"/>
      </w:pPr>
      <w:bookmarkStart w:id="49" w:name="_Nuances_in_Metrics"/>
      <w:bookmarkEnd w:id="49"/>
      <w:r>
        <w:t>Nuances in Metrics</w:t>
      </w:r>
    </w:p>
    <w:p w14:paraId="18B2BA61" w14:textId="77777777" w:rsidR="007A5609" w:rsidRPr="007A5609" w:rsidRDefault="007A5609" w:rsidP="007A5609">
      <w:pPr>
        <w:rPr>
          <w:lang w:val="en-GB"/>
        </w:rPr>
      </w:pPr>
      <w:r>
        <w:rPr>
          <w:lang w:val="en-GB"/>
        </w:rPr>
        <w:t>I find it useful to know the subtle differences in the behaviour of the metrics and properties. By knowing their difference, you can apply the appropriate solution.</w:t>
      </w:r>
    </w:p>
    <w:p w14:paraId="0A3E56AB" w14:textId="62AB4950" w:rsidR="007A5609" w:rsidRDefault="007A5609" w:rsidP="00482056">
      <w:pPr>
        <w:jc w:val="center"/>
      </w:pPr>
      <w:r w:rsidRPr="007A5609">
        <w:rPr>
          <w:noProof/>
        </w:rPr>
        <w:lastRenderedPageBreak/>
        <w:drawing>
          <wp:inline distT="0" distB="0" distL="0" distR="0" wp14:anchorId="60287800" wp14:editId="24D8B1B0">
            <wp:extent cx="6645910" cy="1674495"/>
            <wp:effectExtent l="0" t="0" r="254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645910" cy="1674495"/>
                    </a:xfrm>
                    <a:prstGeom prst="rect">
                      <a:avLst/>
                    </a:prstGeom>
                  </pic:spPr>
                </pic:pic>
              </a:graphicData>
            </a:graphic>
          </wp:inline>
        </w:drawing>
      </w:r>
    </w:p>
    <w:p w14:paraId="5DA7ABC7" w14:textId="7AAD91D5" w:rsidR="007A5609" w:rsidRDefault="007A5609" w:rsidP="004B33DE">
      <w:pPr>
        <w:rPr>
          <w:lang w:val="en-GB"/>
        </w:rPr>
      </w:pPr>
      <w:r>
        <w:t>My goal is to take raw metrics from the systems under monitoring, and formulate higher-level metrics that mask out the underlying complexity.</w:t>
      </w:r>
    </w:p>
    <w:p w14:paraId="4A92EDDD" w14:textId="4E6D4799" w:rsidR="00EE21B5" w:rsidRDefault="00EE21B5" w:rsidP="00EE21B5">
      <w:pPr>
        <w:pStyle w:val="Heading4"/>
      </w:pPr>
      <w:r>
        <w:t>Nam</w:t>
      </w:r>
      <w:r w:rsidR="007A5609">
        <w:t>ing Complexity</w:t>
      </w:r>
    </w:p>
    <w:tbl>
      <w:tblPr>
        <w:tblStyle w:val="TableGridLight"/>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547"/>
        <w:gridCol w:w="7909"/>
      </w:tblGrid>
      <w:tr w:rsidR="005A2328" w:rsidRPr="00E51A31" w14:paraId="6C636130" w14:textId="77777777" w:rsidTr="00484C7F">
        <w:tc>
          <w:tcPr>
            <w:tcW w:w="2547" w:type="dxa"/>
            <w:shd w:val="clear" w:color="auto" w:fill="F2F2F2" w:themeFill="background1" w:themeFillShade="F2"/>
          </w:tcPr>
          <w:p w14:paraId="35ECF181" w14:textId="77777777" w:rsidR="005A2328" w:rsidRPr="001639D6" w:rsidRDefault="005A2328" w:rsidP="001639D6">
            <w:pPr>
              <w:pStyle w:val="Tablecontent"/>
              <w:rPr>
                <w:b/>
                <w:bCs/>
              </w:rPr>
            </w:pPr>
            <w:r w:rsidRPr="001639D6">
              <w:rPr>
                <w:b/>
                <w:bCs/>
              </w:rPr>
              <w:t>Same name, same object, different formula</w:t>
            </w:r>
          </w:p>
          <w:p w14:paraId="2B5AB5F7" w14:textId="77777777" w:rsidR="005A2328" w:rsidRPr="001639D6" w:rsidRDefault="005A2328" w:rsidP="001639D6">
            <w:pPr>
              <w:pStyle w:val="Tablecontent"/>
              <w:rPr>
                <w:b/>
                <w:bCs/>
              </w:rPr>
            </w:pPr>
          </w:p>
        </w:tc>
        <w:tc>
          <w:tcPr>
            <w:tcW w:w="7909" w:type="dxa"/>
          </w:tcPr>
          <w:p w14:paraId="7D3E7265" w14:textId="3B60D42D" w:rsidR="005A2328" w:rsidRPr="00DF1D53" w:rsidRDefault="02C043FD" w:rsidP="005A2328">
            <w:pPr>
              <w:pStyle w:val="Tablecontent"/>
            </w:pPr>
            <w:r>
              <w:t xml:space="preserve">The </w:t>
            </w:r>
            <w:r w:rsidR="008D3A3F">
              <w:t>metrics</w:t>
            </w:r>
            <w:r>
              <w:t xml:space="preserve"> have the same name, belong to the same object, yet </w:t>
            </w:r>
            <w:r w:rsidR="39936246">
              <w:t>they have</w:t>
            </w:r>
            <w:r>
              <w:t xml:space="preserve"> a different formula depending on where in the object you measure it. </w:t>
            </w:r>
          </w:p>
          <w:p w14:paraId="5203871E" w14:textId="06F49A96" w:rsidR="005A2328" w:rsidRPr="00DF1D53" w:rsidRDefault="02C043FD" w:rsidP="005A2328">
            <w:pPr>
              <w:pStyle w:val="Tablecontent"/>
            </w:pPr>
            <w:r>
              <w:t>Example: VM CPU Used in vCPU level does not include System time</w:t>
            </w:r>
            <w:r w:rsidR="63F17BCF">
              <w:t xml:space="preserve"> but a</w:t>
            </w:r>
            <w:r>
              <w:t>t</w:t>
            </w:r>
            <w:r w:rsidR="23CA7BAC">
              <w:t xml:space="preserve"> the</w:t>
            </w:r>
            <w:r>
              <w:t xml:space="preserve"> VM level it does. </w:t>
            </w:r>
            <w:r w:rsidR="1E51B329">
              <w:t xml:space="preserve">The </w:t>
            </w:r>
            <w:r w:rsidR="6800E34B">
              <w:t>r</w:t>
            </w:r>
            <w:r>
              <w:t>eason is</w:t>
            </w:r>
            <w:r w:rsidR="1933138C">
              <w:t xml:space="preserve"> that</w:t>
            </w:r>
            <w:r>
              <w:t xml:space="preserve"> System time does not exist at vCPU level since the accounting is charged at the VM level.</w:t>
            </w:r>
          </w:p>
        </w:tc>
      </w:tr>
      <w:tr w:rsidR="005A2328" w:rsidRPr="00E51A31" w14:paraId="3AAE2F66" w14:textId="77777777" w:rsidTr="00484C7F">
        <w:tc>
          <w:tcPr>
            <w:tcW w:w="2547" w:type="dxa"/>
            <w:shd w:val="clear" w:color="auto" w:fill="F2F2F2" w:themeFill="background1" w:themeFillShade="F2"/>
          </w:tcPr>
          <w:p w14:paraId="3B945FBB" w14:textId="23EE157C" w:rsidR="005A2328" w:rsidRPr="001639D6" w:rsidRDefault="005A2328" w:rsidP="001639D6">
            <w:pPr>
              <w:pStyle w:val="Tablecontent"/>
              <w:rPr>
                <w:b/>
                <w:bCs/>
              </w:rPr>
            </w:pPr>
            <w:r w:rsidRPr="001639D6">
              <w:rPr>
                <w:b/>
                <w:bCs/>
              </w:rPr>
              <w:t>Same name, different formula</w:t>
            </w:r>
          </w:p>
        </w:tc>
        <w:tc>
          <w:tcPr>
            <w:tcW w:w="7909" w:type="dxa"/>
          </w:tcPr>
          <w:p w14:paraId="3FF8B9AC" w14:textId="1FBA4138" w:rsidR="005A2328" w:rsidRPr="00DF1D53" w:rsidRDefault="008D3A3F" w:rsidP="005A2328">
            <w:pPr>
              <w:pStyle w:val="Tablecontent"/>
            </w:pPr>
            <w:r>
              <w:t>Metrics</w:t>
            </w:r>
            <w:r w:rsidR="005A2328" w:rsidRPr="00DF1D53">
              <w:t xml:space="preserve"> with the same name do not always have the same formula in different vSphere objects. </w:t>
            </w:r>
          </w:p>
          <w:p w14:paraId="43F7E07D" w14:textId="56E33EB8" w:rsidR="005A2328" w:rsidRPr="00DF1D53" w:rsidRDefault="02C043FD" w:rsidP="00BD345C">
            <w:pPr>
              <w:pStyle w:val="Tablecontent"/>
            </w:pPr>
            <w:r w:rsidRPr="00DF1D53">
              <w:t>Memory Usage:</w:t>
            </w:r>
            <w:r w:rsidR="00701ED4">
              <w:t xml:space="preserve"> </w:t>
            </w:r>
            <w:r w:rsidRPr="00DF1D53">
              <w:t>in VM this is mapped to Active, while in ESXi</w:t>
            </w:r>
            <w:r w:rsidR="00AC46FF">
              <w:t xml:space="preserve"> Host</w:t>
            </w:r>
            <w:r w:rsidRPr="00DF1D53">
              <w:t xml:space="preserve"> this </w:t>
            </w:r>
            <w:r w:rsidR="770FD583">
              <w:t xml:space="preserve">is </w:t>
            </w:r>
            <w:r w:rsidRPr="00DF1D53">
              <w:t>mapped to Consumed</w:t>
            </w:r>
            <w:r w:rsidR="00AC46FF">
              <w:t xml:space="preserve">. </w:t>
            </w:r>
            <w:r w:rsidR="00AC46FF" w:rsidRPr="00DF1D53">
              <w:t>In Cluster, this is Consumed + Overhead</w:t>
            </w:r>
            <w:r w:rsidR="70E6D7D4">
              <w:t xml:space="preserve">. </w:t>
            </w:r>
            <w:r w:rsidR="004A3F59">
              <w:t xml:space="preserve">Technically speaking, mapping usage to active for VM and consumed for ESXi makes sense, due to the 2-level memory hierarchy in virtualization. At the VM level, we use active as it shows what the VM is actually consuming (related to performance). At the host and cluster levels, we use consumed because it is related to what the VM claimed (related to capacity management). This confusion has resulted in customers buying more RAM than what they need. </w:t>
            </w:r>
            <w:r w:rsidR="009E786A">
              <w:t>Aria</w:t>
            </w:r>
            <w:r w:rsidR="00682AA2">
              <w:t xml:space="preserve"> Operations uses Guest OS data for Usage, and falls back to Active if it’s not available.</w:t>
            </w:r>
          </w:p>
          <w:p w14:paraId="144C89CC" w14:textId="0272E8A6" w:rsidR="005A2328" w:rsidRPr="00DF1D53" w:rsidRDefault="005A2328" w:rsidP="005A2328">
            <w:pPr>
              <w:pStyle w:val="Tablecontent"/>
            </w:pPr>
            <w:r w:rsidRPr="00DF1D53">
              <w:t xml:space="preserve">Memory Consumed: in ESXi this includes memory consumed by ESXi, while in Cluster it only includes memory consumed by VM. </w:t>
            </w:r>
            <w:r w:rsidR="009E786A">
              <w:t>I</w:t>
            </w:r>
            <w:r w:rsidRPr="00DF1D53">
              <w:t>n VM this does not include overhead, while in Cluster it does.</w:t>
            </w:r>
          </w:p>
          <w:p w14:paraId="41899F69" w14:textId="321B012D" w:rsidR="000C7A58" w:rsidRDefault="000C7A58" w:rsidP="005A2328">
            <w:pPr>
              <w:pStyle w:val="Tablecontent"/>
            </w:pPr>
            <w:r w:rsidRPr="000C7A58">
              <w:t xml:space="preserve">VM Used includes </w:t>
            </w:r>
            <w:r>
              <w:t>Hyper Threading</w:t>
            </w:r>
            <w:r w:rsidRPr="000C7A58">
              <w:t xml:space="preserve"> but penalty is 37.5%. ESXi Used</w:t>
            </w:r>
            <w:r>
              <w:t xml:space="preserve"> is also aware of HT</w:t>
            </w:r>
            <w:r w:rsidRPr="000C7A58">
              <w:t xml:space="preserve"> but</w:t>
            </w:r>
            <w:r>
              <w:t xml:space="preserve"> the</w:t>
            </w:r>
            <w:r w:rsidRPr="000C7A58">
              <w:t xml:space="preserve"> penalty is 50%</w:t>
            </w:r>
            <w:r>
              <w:t>.</w:t>
            </w:r>
          </w:p>
          <w:p w14:paraId="5108DC4F" w14:textId="1647B04A" w:rsidR="009C77A8" w:rsidRDefault="009C77A8" w:rsidP="005A2328">
            <w:pPr>
              <w:pStyle w:val="Tablecontent"/>
            </w:pPr>
            <w:r>
              <w:t>Virtual Disk: in VM includes RDM, but in Datastore it does not</w:t>
            </w:r>
            <w:r w:rsidR="00604F99">
              <w:t>. Technically, this makes sense as they have different vantage points</w:t>
            </w:r>
          </w:p>
          <w:p w14:paraId="462954FC" w14:textId="525E4861" w:rsidR="006D094A" w:rsidRPr="00DF1D53" w:rsidRDefault="000D1CC7" w:rsidP="005A2328">
            <w:pPr>
              <w:pStyle w:val="Tablecontent"/>
            </w:pPr>
            <w:r w:rsidRPr="00DF1D53">
              <w:t xml:space="preserve">Steal Time in Linux only includes CPU Ready, while </w:t>
            </w:r>
            <w:r w:rsidR="009E786A">
              <w:t>s</w:t>
            </w:r>
            <w:r w:rsidR="009E786A" w:rsidRPr="00DF1D53">
              <w:t xml:space="preserve">tolen time in VM </w:t>
            </w:r>
            <w:r w:rsidR="009E786A">
              <w:t xml:space="preserve">(CPU Latency) </w:t>
            </w:r>
            <w:r w:rsidR="006D094A" w:rsidRPr="00DF1D53">
              <w:t>include</w:t>
            </w:r>
            <w:r w:rsidRPr="00DF1D53">
              <w:t xml:space="preserve"> many other factors including </w:t>
            </w:r>
            <w:r w:rsidR="00B74248" w:rsidRPr="00DF1D53">
              <w:t>CPU frequency.</w:t>
            </w:r>
          </w:p>
        </w:tc>
      </w:tr>
      <w:tr w:rsidR="005A2328" w:rsidRPr="00E51A31" w14:paraId="1700D074" w14:textId="77777777" w:rsidTr="00484C7F">
        <w:tc>
          <w:tcPr>
            <w:tcW w:w="2547" w:type="dxa"/>
            <w:shd w:val="clear" w:color="auto" w:fill="F2F2F2" w:themeFill="background1" w:themeFillShade="F2"/>
          </w:tcPr>
          <w:p w14:paraId="5CE55D1E" w14:textId="77777777" w:rsidR="005A2328" w:rsidRPr="001639D6" w:rsidRDefault="005A2328" w:rsidP="001639D6">
            <w:pPr>
              <w:pStyle w:val="Tablecontent"/>
              <w:rPr>
                <w:b/>
                <w:bCs/>
              </w:rPr>
            </w:pPr>
            <w:r w:rsidRPr="001639D6">
              <w:rPr>
                <w:b/>
                <w:bCs/>
              </w:rPr>
              <w:t>Same name, different meaning</w:t>
            </w:r>
          </w:p>
          <w:p w14:paraId="475D2C74" w14:textId="77777777" w:rsidR="005A2328" w:rsidRPr="001639D6" w:rsidRDefault="005A2328" w:rsidP="001639D6">
            <w:pPr>
              <w:pStyle w:val="Tablecontent"/>
              <w:rPr>
                <w:b/>
                <w:bCs/>
              </w:rPr>
            </w:pPr>
          </w:p>
        </w:tc>
        <w:tc>
          <w:tcPr>
            <w:tcW w:w="7909" w:type="dxa"/>
          </w:tcPr>
          <w:p w14:paraId="7EDFF3FC" w14:textId="7DA1EC26" w:rsidR="005A2328" w:rsidRPr="00DF1D53" w:rsidRDefault="008D3A3F" w:rsidP="005A2328">
            <w:pPr>
              <w:pStyle w:val="Tablecontent"/>
            </w:pPr>
            <w:r>
              <w:lastRenderedPageBreak/>
              <w:t>Metrics</w:t>
            </w:r>
            <w:r w:rsidR="005A2328" w:rsidRPr="00DF1D53">
              <w:t xml:space="preserve"> with the same name, yet different meaning. Be careful as you may misinterpret them. </w:t>
            </w:r>
          </w:p>
          <w:p w14:paraId="70A011F1" w14:textId="333AC263" w:rsidR="005A2328" w:rsidRPr="00DF1D53" w:rsidRDefault="02C043FD" w:rsidP="005A2328">
            <w:pPr>
              <w:pStyle w:val="Tablecontent"/>
            </w:pPr>
            <w:r>
              <w:lastRenderedPageBreak/>
              <w:t xml:space="preserve">VM CPU Usage (%) shows 62.5% when ESXi CPU Usage (%) shows 100%. This happens since VM CPU Usage considers Hyper Threading, while ESXi CPU Usage does not. It happens when the ESXi core </w:t>
            </w:r>
            <w:r w:rsidR="2AA69832">
              <w:t xml:space="preserve">that </w:t>
            </w:r>
            <w:r>
              <w:t xml:space="preserve">the VM vCPU runs is also running another thread. </w:t>
            </w:r>
          </w:p>
          <w:p w14:paraId="5C7F3428" w14:textId="601F1300" w:rsidR="005A2328" w:rsidRPr="00DF1D53" w:rsidRDefault="4968E4F6" w:rsidP="005A2328">
            <w:pPr>
              <w:pStyle w:val="Tablecontent"/>
            </w:pPr>
            <w:r>
              <w:t>Disk Latency and Memory Latency indicate</w:t>
            </w:r>
            <w:r w:rsidR="143BDF1A">
              <w:t xml:space="preserve"> a</w:t>
            </w:r>
            <w:r>
              <w:t xml:space="preserve"> performance problem. They are in fact the primary counter for how well the VM is being served by the underlying IaaS.</w:t>
            </w:r>
            <w:r w:rsidR="00AC46FF">
              <w:t xml:space="preserve"> </w:t>
            </w:r>
            <w:r w:rsidR="3A1BC17D">
              <w:t xml:space="preserve">But </w:t>
            </w:r>
            <w:r w:rsidR="02C043FD">
              <w:t xml:space="preserve">CPU Latency does not </w:t>
            </w:r>
            <w:r w:rsidR="02C043FD" w:rsidRPr="00AC46FF">
              <w:rPr>
                <w:i/>
                <w:iCs/>
                <w:color w:val="FF0000"/>
              </w:rPr>
              <w:t>always</w:t>
            </w:r>
            <w:r w:rsidR="02C043FD" w:rsidRPr="00AC46FF">
              <w:rPr>
                <w:color w:val="FF0000"/>
              </w:rPr>
              <w:t xml:space="preserve"> </w:t>
            </w:r>
            <w:r w:rsidR="02C043FD">
              <w:t xml:space="preserve">indicate </w:t>
            </w:r>
            <w:r w:rsidR="47C7C00C">
              <w:t xml:space="preserve">a </w:t>
            </w:r>
            <w:r w:rsidR="02C043FD">
              <w:t xml:space="preserve">performance problem. Its value is affected by CPU Frequency, which can go up or down. </w:t>
            </w:r>
            <w:r w:rsidR="00556CDE">
              <w:t>Sure, t</w:t>
            </w:r>
            <w:r w:rsidR="02C043FD">
              <w:t xml:space="preserve">he VM is running at </w:t>
            </w:r>
            <w:r w:rsidR="7EA30AF0">
              <w:t xml:space="preserve">a </w:t>
            </w:r>
            <w:r w:rsidR="02C043FD">
              <w:t>higher or lower CPU speed</w:t>
            </w:r>
            <w:r w:rsidR="00556CDE">
              <w:t xml:space="preserve">, </w:t>
            </w:r>
            <w:r w:rsidR="02C043FD">
              <w:t>but it is not waiting to be served.</w:t>
            </w:r>
            <w:r w:rsidR="00556CDE">
              <w:t xml:space="preserve"> It’s the equivalent on running on older CPU.</w:t>
            </w:r>
          </w:p>
        </w:tc>
      </w:tr>
      <w:tr w:rsidR="005A2328" w:rsidRPr="00E51A31" w14:paraId="068C17CD" w14:textId="77777777" w:rsidTr="00484C7F">
        <w:tc>
          <w:tcPr>
            <w:tcW w:w="2547" w:type="dxa"/>
            <w:shd w:val="clear" w:color="auto" w:fill="F2F2F2" w:themeFill="background1" w:themeFillShade="F2"/>
          </w:tcPr>
          <w:p w14:paraId="1549B787" w14:textId="1DFDD146" w:rsidR="005A2328" w:rsidRPr="001639D6" w:rsidRDefault="005A2328" w:rsidP="001639D6">
            <w:pPr>
              <w:pStyle w:val="Tablecontent"/>
              <w:rPr>
                <w:b/>
                <w:bCs/>
              </w:rPr>
            </w:pPr>
            <w:r w:rsidRPr="001639D6">
              <w:rPr>
                <w:b/>
                <w:bCs/>
              </w:rPr>
              <w:lastRenderedPageBreak/>
              <w:t xml:space="preserve">Same name, different </w:t>
            </w:r>
            <w:r w:rsidR="00083CCB" w:rsidRPr="001639D6">
              <w:rPr>
                <w:b/>
                <w:bCs/>
              </w:rPr>
              <w:t>behaviour</w:t>
            </w:r>
          </w:p>
        </w:tc>
        <w:tc>
          <w:tcPr>
            <w:tcW w:w="7909" w:type="dxa"/>
          </w:tcPr>
          <w:p w14:paraId="3D8EFDF4" w14:textId="49736011" w:rsidR="05DE9CC7" w:rsidRDefault="3C6B984C" w:rsidP="74AE2B67">
            <w:pPr>
              <w:pStyle w:val="Tablecontent"/>
            </w:pPr>
            <w:r>
              <w:t xml:space="preserve">Memory </w:t>
            </w:r>
            <w:r w:rsidR="008905C3">
              <w:t xml:space="preserve">Reservation </w:t>
            </w:r>
            <w:r>
              <w:t xml:space="preserve">and CPU Reservation </w:t>
            </w:r>
            <w:r w:rsidR="00AC46FF">
              <w:t xml:space="preserve">have </w:t>
            </w:r>
            <w:r>
              <w:t xml:space="preserve">different </w:t>
            </w:r>
            <w:r w:rsidR="00E43773">
              <w:t>behaviors</w:t>
            </w:r>
            <w:r w:rsidR="00AC46FF">
              <w:t xml:space="preserve"> from monitoring viewpoint.</w:t>
            </w:r>
          </w:p>
          <w:p w14:paraId="48127129" w14:textId="76695139" w:rsidR="0080260A" w:rsidRPr="00DF1D53" w:rsidRDefault="0080260A" w:rsidP="005A2328">
            <w:pPr>
              <w:pStyle w:val="Tablecontent"/>
            </w:pPr>
            <w:r>
              <w:t xml:space="preserve">In Microsoft Windows, the </w:t>
            </w:r>
            <w:r w:rsidRPr="00E90C8D">
              <w:rPr>
                <w:color w:val="00B0F0"/>
              </w:rPr>
              <w:t xml:space="preserve">CPU queue </w:t>
            </w:r>
            <w:r>
              <w:t xml:space="preserve">includes only counts the queue size, while the </w:t>
            </w:r>
            <w:r w:rsidRPr="00E90C8D">
              <w:rPr>
                <w:color w:val="00B0F0"/>
              </w:rPr>
              <w:t xml:space="preserve">disk queue </w:t>
            </w:r>
            <w:r>
              <w:t>excludes the IO commands being processed.</w:t>
            </w:r>
          </w:p>
        </w:tc>
      </w:tr>
      <w:tr w:rsidR="005A2328" w:rsidRPr="00E51A31" w14:paraId="58382217" w14:textId="77777777" w:rsidTr="00484C7F">
        <w:tc>
          <w:tcPr>
            <w:tcW w:w="2547" w:type="dxa"/>
            <w:shd w:val="clear" w:color="auto" w:fill="F2F2F2" w:themeFill="background1" w:themeFillShade="F2"/>
          </w:tcPr>
          <w:p w14:paraId="68880F69" w14:textId="77777777" w:rsidR="005A2328" w:rsidRPr="001639D6" w:rsidRDefault="005A2328" w:rsidP="001639D6">
            <w:pPr>
              <w:pStyle w:val="Tablecontent"/>
              <w:rPr>
                <w:b/>
                <w:bCs/>
              </w:rPr>
            </w:pPr>
            <w:r w:rsidRPr="001639D6">
              <w:rPr>
                <w:b/>
                <w:bCs/>
              </w:rPr>
              <w:t>Same purpose, different name</w:t>
            </w:r>
          </w:p>
          <w:p w14:paraId="48350035" w14:textId="77777777" w:rsidR="005A2328" w:rsidRPr="001639D6" w:rsidRDefault="005A2328" w:rsidP="001639D6">
            <w:pPr>
              <w:pStyle w:val="Tablecontent"/>
              <w:rPr>
                <w:b/>
                <w:bCs/>
              </w:rPr>
            </w:pPr>
          </w:p>
        </w:tc>
        <w:tc>
          <w:tcPr>
            <w:tcW w:w="7909" w:type="dxa"/>
          </w:tcPr>
          <w:p w14:paraId="5415D296" w14:textId="50969100" w:rsidR="005A2328" w:rsidRPr="00DF1D53" w:rsidRDefault="005A2328" w:rsidP="005A2328">
            <w:pPr>
              <w:pStyle w:val="Tablecontent"/>
            </w:pPr>
            <w:r w:rsidRPr="00DF1D53">
              <w:t xml:space="preserve">You would expect if the purpose is identical then the label or name </w:t>
            </w:r>
            <w:r w:rsidR="006B332A">
              <w:t>will</w:t>
            </w:r>
            <w:r w:rsidRPr="00DF1D53">
              <w:t xml:space="preserve"> be identical. </w:t>
            </w:r>
          </w:p>
          <w:p w14:paraId="643CA6A5" w14:textId="77777777" w:rsidR="005A2328" w:rsidRPr="00DF1D53" w:rsidRDefault="005A2328" w:rsidP="005A2328">
            <w:pPr>
              <w:pStyle w:val="Tablecontent"/>
            </w:pPr>
            <w:r w:rsidRPr="00DF1D53">
              <w:t>Swapped Memory in VM is called Swapped, while in ESXi is called Swap Used.</w:t>
            </w:r>
          </w:p>
          <w:p w14:paraId="555D76DF" w14:textId="77777777" w:rsidR="005A2328" w:rsidRDefault="005A2328" w:rsidP="005A2328">
            <w:pPr>
              <w:pStyle w:val="Tablecontent"/>
            </w:pPr>
            <w:r w:rsidRPr="00DF1D53">
              <w:t>Static frequency CPU utilization in VM is called Run, while ESXi calls it Utilization.</w:t>
            </w:r>
          </w:p>
          <w:p w14:paraId="7F6234D0" w14:textId="77777777" w:rsidR="00293452" w:rsidRDefault="00293452" w:rsidP="005A2328">
            <w:pPr>
              <w:pStyle w:val="Tablecontent"/>
              <w:rPr>
                <w:lang w:val="en-SG"/>
              </w:rPr>
            </w:pPr>
            <w:r w:rsidRPr="00293452">
              <w:rPr>
                <w:lang w:val="en-SG"/>
              </w:rPr>
              <w:t>What vCenter calls Logical Processor</w:t>
            </w:r>
            <w:r w:rsidR="00187609">
              <w:rPr>
                <w:lang w:val="en-SG"/>
              </w:rPr>
              <w:t xml:space="preserve"> (in the client UI) </w:t>
            </w:r>
            <w:r w:rsidRPr="00293452">
              <w:rPr>
                <w:lang w:val="en-SG"/>
              </w:rPr>
              <w:t>is what ESXi calls Physical CPU</w:t>
            </w:r>
            <w:r w:rsidR="00187609">
              <w:rPr>
                <w:lang w:val="en-SG"/>
              </w:rPr>
              <w:t xml:space="preserve"> (in esxtop</w:t>
            </w:r>
            <w:r w:rsidR="00587CB5">
              <w:rPr>
                <w:lang w:val="en-SG"/>
              </w:rPr>
              <w:t xml:space="preserve"> panel</w:t>
            </w:r>
            <w:r w:rsidR="00187609">
              <w:rPr>
                <w:lang w:val="en-SG"/>
              </w:rPr>
              <w:t>)</w:t>
            </w:r>
          </w:p>
          <w:p w14:paraId="3455BCC8" w14:textId="21D044B8" w:rsidR="002E67EF" w:rsidRPr="00293452" w:rsidRDefault="001C1B1E" w:rsidP="005A2328">
            <w:pPr>
              <w:pStyle w:val="Tablecontent"/>
              <w:rPr>
                <w:lang w:val="en-SG"/>
              </w:rPr>
            </w:pPr>
            <w:r>
              <w:rPr>
                <w:lang w:val="en-SG"/>
              </w:rPr>
              <w:t xml:space="preserve">vCenter uses Consumed (%) and Usage (%) for the same ESXi CPU utilization. </w:t>
            </w:r>
          </w:p>
        </w:tc>
      </w:tr>
      <w:tr w:rsidR="005A2328" w:rsidRPr="00E51A31" w14:paraId="128BDFB2" w14:textId="77777777" w:rsidTr="00484C7F">
        <w:tc>
          <w:tcPr>
            <w:tcW w:w="2547" w:type="dxa"/>
            <w:shd w:val="clear" w:color="auto" w:fill="F2F2F2" w:themeFill="background1" w:themeFillShade="F2"/>
          </w:tcPr>
          <w:p w14:paraId="10EE6781" w14:textId="77777777" w:rsidR="005A2328" w:rsidRPr="001639D6" w:rsidRDefault="005A2328" w:rsidP="001639D6">
            <w:pPr>
              <w:pStyle w:val="Tablecontent"/>
              <w:rPr>
                <w:b/>
                <w:bCs/>
              </w:rPr>
            </w:pPr>
            <w:r w:rsidRPr="001639D6">
              <w:rPr>
                <w:b/>
                <w:bCs/>
              </w:rPr>
              <w:t xml:space="preserve">Confusing name </w:t>
            </w:r>
          </w:p>
          <w:p w14:paraId="2663270E" w14:textId="77777777" w:rsidR="005A2328" w:rsidRPr="001639D6" w:rsidRDefault="005A2328" w:rsidP="001639D6">
            <w:pPr>
              <w:pStyle w:val="Tablecontent"/>
              <w:rPr>
                <w:b/>
                <w:bCs/>
              </w:rPr>
            </w:pPr>
          </w:p>
        </w:tc>
        <w:tc>
          <w:tcPr>
            <w:tcW w:w="7909" w:type="dxa"/>
          </w:tcPr>
          <w:p w14:paraId="0DE7AC25" w14:textId="77777777" w:rsidR="005A2328" w:rsidRPr="00DF1D53" w:rsidRDefault="005A2328" w:rsidP="005A2328">
            <w:pPr>
              <w:pStyle w:val="Tablecontent"/>
            </w:pPr>
            <w:r w:rsidRPr="00DF1D53">
              <w:t>The name of the counter may not be clear.</w:t>
            </w:r>
          </w:p>
          <w:p w14:paraId="4A8F8469" w14:textId="5E8970EF" w:rsidR="0053447C" w:rsidRDefault="005A2328" w:rsidP="005A2328">
            <w:pPr>
              <w:pStyle w:val="Tablecontent"/>
            </w:pPr>
            <w:r w:rsidRPr="00DF1D53">
              <w:t xml:space="preserve">VM CPU Wait counter includes </w:t>
            </w:r>
            <w:r w:rsidR="008905C3">
              <w:t>i</w:t>
            </w:r>
            <w:r w:rsidRPr="00DF1D53">
              <w:t>dle time. Since many VMs do not run at 100%, you will see CPU Wait counter to be high. You may think it’s waiting for something (e.g. Disk or Memory) but it’s just idle.</w:t>
            </w:r>
            <w:r w:rsidR="00FD7329">
              <w:t xml:space="preserve"> If we se</w:t>
            </w:r>
            <w:r w:rsidR="00C97ABB">
              <w:t>e</w:t>
            </w:r>
            <w:r w:rsidR="00FD7329">
              <w:t xml:space="preserve"> from the viewpoint of </w:t>
            </w:r>
            <w:r w:rsidR="00C97ABB">
              <w:t xml:space="preserve">VMkernel schedule, that vCPU is waiting to be used. </w:t>
            </w:r>
            <w:r w:rsidR="000B687C">
              <w:t>So the name is technically correct</w:t>
            </w:r>
            <w:r w:rsidR="0080260A">
              <w:t xml:space="preserve">. </w:t>
            </w:r>
          </w:p>
          <w:p w14:paraId="44DDF850" w14:textId="5E9179A0" w:rsidR="00266CC2" w:rsidRPr="00DF1D53" w:rsidRDefault="00266CC2" w:rsidP="005A2328">
            <w:pPr>
              <w:pStyle w:val="Tablecontent"/>
            </w:pPr>
            <w:r>
              <w:t xml:space="preserve">The term virtual disk actually includes RDM. It’s not just VMDK. The reason is RDM appears </w:t>
            </w:r>
            <w:r w:rsidR="0038274A">
              <w:t>as virtual disk when you browse the directory in the datastore, even though the RDM file is just a pointer to an external LUN.</w:t>
            </w:r>
          </w:p>
        </w:tc>
      </w:tr>
    </w:tbl>
    <w:p w14:paraId="56C2DEDF" w14:textId="77777777" w:rsidR="00C1061F" w:rsidRDefault="00C1061F" w:rsidP="00C1061F">
      <w:pPr>
        <w:pStyle w:val="Heading4"/>
      </w:pPr>
      <w:r>
        <w:t>Architecture Complexity</w:t>
      </w:r>
    </w:p>
    <w:p w14:paraId="0CECF0D9" w14:textId="21ECB0E9" w:rsidR="00C1061F" w:rsidRDefault="00C1061F" w:rsidP="00C1061F">
      <w:pPr>
        <w:rPr>
          <w:lang w:val="en-GB" w:eastAsia="en-SG"/>
        </w:rPr>
      </w:pPr>
      <w:r>
        <w:rPr>
          <w:lang w:val="en-GB" w:eastAsia="en-SG"/>
        </w:rPr>
        <w:t>The 4 basic elements of infrastructure ha</w:t>
      </w:r>
      <w:r w:rsidR="006B332A">
        <w:rPr>
          <w:lang w:val="en-GB" w:eastAsia="en-SG"/>
        </w:rPr>
        <w:t>ve</w:t>
      </w:r>
      <w:r>
        <w:rPr>
          <w:lang w:val="en-GB" w:eastAsia="en-SG"/>
        </w:rPr>
        <w:t xml:space="preserve"> their own unique nature. This in turn creates complexity in observability. </w:t>
      </w:r>
      <w:r w:rsidR="000536C9">
        <w:rPr>
          <w:lang w:val="en-GB" w:eastAsia="en-SG"/>
        </w:rPr>
        <w:t>The following table list some example of nuances. We will explain in-depth in the next chapter.</w:t>
      </w:r>
    </w:p>
    <w:p w14:paraId="78E07485" w14:textId="77777777" w:rsidR="00C1061F" w:rsidRPr="00CB1AD8" w:rsidRDefault="00C1061F" w:rsidP="00C1061F">
      <w:pPr>
        <w:pStyle w:val="TableContentTiny"/>
      </w:pPr>
    </w:p>
    <w:tbl>
      <w:tblPr>
        <w:tblStyle w:val="TableGridLight"/>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547"/>
        <w:gridCol w:w="7909"/>
      </w:tblGrid>
      <w:tr w:rsidR="00C1061F" w:rsidRPr="00E51A31" w14:paraId="4AC3EE10" w14:textId="77777777" w:rsidTr="00281329">
        <w:tc>
          <w:tcPr>
            <w:tcW w:w="2547" w:type="dxa"/>
            <w:shd w:val="clear" w:color="auto" w:fill="F2F2F2" w:themeFill="background1" w:themeFillShade="F2"/>
          </w:tcPr>
          <w:p w14:paraId="55E2FB4A" w14:textId="77777777" w:rsidR="00C1061F" w:rsidRPr="00DF1D53" w:rsidRDefault="00C1061F" w:rsidP="00281329">
            <w:pPr>
              <w:pStyle w:val="Tablecontent"/>
              <w:rPr>
                <w:b/>
                <w:bCs/>
              </w:rPr>
            </w:pPr>
            <w:r>
              <w:rPr>
                <w:b/>
                <w:bCs/>
              </w:rPr>
              <w:t>CPU</w:t>
            </w:r>
          </w:p>
        </w:tc>
        <w:tc>
          <w:tcPr>
            <w:tcW w:w="7909" w:type="dxa"/>
          </w:tcPr>
          <w:p w14:paraId="7FCF3227" w14:textId="77777777" w:rsidR="00C1061F" w:rsidRPr="00DF1D53" w:rsidRDefault="00C1061F" w:rsidP="00281329">
            <w:pPr>
              <w:pStyle w:val="Tablecontent"/>
            </w:pPr>
            <w:r>
              <w:t>The primary speed metric (GHz) is not comparable across different hardware generation or architecture. 1 GHz in today’s CPU is faster than 1 GHz in older CPU.</w:t>
            </w:r>
          </w:p>
        </w:tc>
      </w:tr>
      <w:tr w:rsidR="00C1061F" w:rsidRPr="00E51A31" w14:paraId="666A7A42" w14:textId="77777777" w:rsidTr="00281329">
        <w:tc>
          <w:tcPr>
            <w:tcW w:w="2547" w:type="dxa"/>
            <w:shd w:val="clear" w:color="auto" w:fill="F2F2F2" w:themeFill="background1" w:themeFillShade="F2"/>
          </w:tcPr>
          <w:p w14:paraId="5990CB3B" w14:textId="77777777" w:rsidR="00C1061F" w:rsidRPr="00DF1D53" w:rsidRDefault="00C1061F" w:rsidP="00281329">
            <w:pPr>
              <w:pStyle w:val="Tablecontent"/>
              <w:rPr>
                <w:b/>
                <w:bCs/>
              </w:rPr>
            </w:pPr>
            <w:r>
              <w:rPr>
                <w:b/>
                <w:bCs/>
              </w:rPr>
              <w:t>Memory</w:t>
            </w:r>
          </w:p>
        </w:tc>
        <w:tc>
          <w:tcPr>
            <w:tcW w:w="7909" w:type="dxa"/>
          </w:tcPr>
          <w:p w14:paraId="22D17419" w14:textId="0375363A" w:rsidR="00C1061F" w:rsidRDefault="00C1061F" w:rsidP="00281329">
            <w:pPr>
              <w:pStyle w:val="Tablecontent"/>
            </w:pPr>
            <w:r>
              <w:t>Its function is caching, so its counters tend to be near 100%</w:t>
            </w:r>
            <w:r w:rsidR="008905C3">
              <w:t>, and that is what you want.</w:t>
            </w:r>
          </w:p>
          <w:p w14:paraId="67EB3C9D" w14:textId="12CB8689" w:rsidR="00A97E0E" w:rsidRDefault="00A97E0E" w:rsidP="00281329">
            <w:pPr>
              <w:pStyle w:val="Tablecontent"/>
            </w:pPr>
            <w:r w:rsidRPr="00A97E0E">
              <w:t>CPU and memory metrics have different nature. 95% utilization for memory could be low, while 85% for CPU could be high already</w:t>
            </w:r>
            <w:r>
              <w:t>.</w:t>
            </w:r>
          </w:p>
          <w:p w14:paraId="585F9881" w14:textId="77777777" w:rsidR="00C1061F" w:rsidRPr="00DF1D53" w:rsidRDefault="00C1061F" w:rsidP="00281329">
            <w:pPr>
              <w:pStyle w:val="Tablecontent"/>
            </w:pPr>
            <w:r>
              <w:t xml:space="preserve">It’s a form storage, so its metrics are mostly disk space. </w:t>
            </w:r>
          </w:p>
        </w:tc>
      </w:tr>
      <w:tr w:rsidR="00C1061F" w:rsidRPr="00E51A31" w14:paraId="5F0026F5" w14:textId="77777777" w:rsidTr="00281329">
        <w:tc>
          <w:tcPr>
            <w:tcW w:w="2547" w:type="dxa"/>
            <w:shd w:val="clear" w:color="auto" w:fill="F2F2F2" w:themeFill="background1" w:themeFillShade="F2"/>
          </w:tcPr>
          <w:p w14:paraId="1DE11750" w14:textId="77777777" w:rsidR="00C1061F" w:rsidRDefault="00C1061F" w:rsidP="00281329">
            <w:pPr>
              <w:pStyle w:val="Tablecontent"/>
              <w:rPr>
                <w:b/>
                <w:bCs/>
              </w:rPr>
            </w:pPr>
            <w:r>
              <w:rPr>
                <w:b/>
                <w:bCs/>
              </w:rPr>
              <w:lastRenderedPageBreak/>
              <w:t>Storage</w:t>
            </w:r>
          </w:p>
        </w:tc>
        <w:tc>
          <w:tcPr>
            <w:tcW w:w="7909" w:type="dxa"/>
          </w:tcPr>
          <w:p w14:paraId="6E938288" w14:textId="77777777" w:rsidR="006B332A" w:rsidRDefault="006B332A" w:rsidP="006B332A">
            <w:pPr>
              <w:pStyle w:val="Tablecontent"/>
            </w:pPr>
            <w:r>
              <w:t>It has 2 sides (speed and space) but both have utilization metrics.</w:t>
            </w:r>
          </w:p>
          <w:p w14:paraId="69A7A209" w14:textId="2C039B63" w:rsidR="00C1061F" w:rsidRPr="00DF1D53" w:rsidRDefault="006B332A" w:rsidP="006B332A">
            <w:pPr>
              <w:pStyle w:val="Tablecontent"/>
            </w:pPr>
            <w:r>
              <w:t>The speed has 2 components for utilization: IOPS and Throughput</w:t>
            </w:r>
          </w:p>
        </w:tc>
      </w:tr>
      <w:tr w:rsidR="00C1061F" w:rsidRPr="00E51A31" w14:paraId="4B57731A" w14:textId="77777777" w:rsidTr="00281329">
        <w:tc>
          <w:tcPr>
            <w:tcW w:w="2547" w:type="dxa"/>
            <w:shd w:val="clear" w:color="auto" w:fill="F2F2F2" w:themeFill="background1" w:themeFillShade="F2"/>
          </w:tcPr>
          <w:p w14:paraId="23E3703A" w14:textId="77777777" w:rsidR="00C1061F" w:rsidRDefault="00C1061F" w:rsidP="00281329">
            <w:pPr>
              <w:pStyle w:val="Tablecontent"/>
              <w:rPr>
                <w:b/>
                <w:bCs/>
              </w:rPr>
            </w:pPr>
            <w:r>
              <w:rPr>
                <w:b/>
                <w:bCs/>
              </w:rPr>
              <w:t>Network</w:t>
            </w:r>
          </w:p>
        </w:tc>
        <w:tc>
          <w:tcPr>
            <w:tcW w:w="7909" w:type="dxa"/>
          </w:tcPr>
          <w:p w14:paraId="67553823" w14:textId="41AC6674" w:rsidR="00C1061F" w:rsidRPr="00DF1D53" w:rsidRDefault="000536C9" w:rsidP="00281329">
            <w:pPr>
              <w:pStyle w:val="Tablecontent"/>
            </w:pPr>
            <w:r>
              <w:t>While server and storage are nodes, network is interconnect. This makes it more challenging.</w:t>
            </w:r>
          </w:p>
        </w:tc>
      </w:tr>
    </w:tbl>
    <w:p w14:paraId="74E784DC" w14:textId="77777777" w:rsidR="00C1061F" w:rsidRDefault="00C1061F" w:rsidP="00C1061F">
      <w:pPr>
        <w:pStyle w:val="BeforeTable"/>
      </w:pPr>
    </w:p>
    <w:p w14:paraId="70E0D2A5" w14:textId="1000FE70" w:rsidR="00C1061F" w:rsidRDefault="00C1061F" w:rsidP="00C1061F">
      <w:r>
        <w:t xml:space="preserve">Their complexity results in </w:t>
      </w:r>
      <w:bookmarkStart w:id="50" w:name="_Hlk134949622"/>
      <w:r>
        <w:t>difference in</w:t>
      </w:r>
      <w:r w:rsidR="008905C3">
        <w:t xml:space="preserve"> type of</w:t>
      </w:r>
      <w:r>
        <w:t xml:space="preserve"> metrics</w:t>
      </w:r>
      <w:r w:rsidR="004A3F59">
        <w:t xml:space="preserve"> applicable:</w:t>
      </w:r>
      <w:bookmarkEnd w:id="50"/>
    </w:p>
    <w:tbl>
      <w:tblPr>
        <w:tblStyle w:val="TableGrid"/>
        <w:tblW w:w="7537" w:type="dxa"/>
        <w:tblInd w:w="153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84"/>
        <w:gridCol w:w="1884"/>
        <w:gridCol w:w="1884"/>
        <w:gridCol w:w="1885"/>
      </w:tblGrid>
      <w:tr w:rsidR="00C1061F" w14:paraId="7920C40D" w14:textId="77777777" w:rsidTr="00281329">
        <w:tc>
          <w:tcPr>
            <w:tcW w:w="1884" w:type="dxa"/>
            <w:shd w:val="clear" w:color="auto" w:fill="F2F2F2" w:themeFill="background1" w:themeFillShade="F2"/>
          </w:tcPr>
          <w:p w14:paraId="7BFE0557" w14:textId="77777777" w:rsidR="00C1061F" w:rsidRDefault="00C1061F" w:rsidP="00281329">
            <w:pPr>
              <w:pStyle w:val="Tableheading"/>
            </w:pPr>
          </w:p>
        </w:tc>
        <w:tc>
          <w:tcPr>
            <w:tcW w:w="1884" w:type="dxa"/>
            <w:shd w:val="clear" w:color="auto" w:fill="F2F2F2" w:themeFill="background1" w:themeFillShade="F2"/>
          </w:tcPr>
          <w:p w14:paraId="5B1FCF1E" w14:textId="77777777" w:rsidR="00C1061F" w:rsidRDefault="00C1061F" w:rsidP="00281329">
            <w:pPr>
              <w:pStyle w:val="Tableheading"/>
            </w:pPr>
            <w:r>
              <w:t>Utilization</w:t>
            </w:r>
          </w:p>
        </w:tc>
        <w:tc>
          <w:tcPr>
            <w:tcW w:w="1884" w:type="dxa"/>
            <w:shd w:val="clear" w:color="auto" w:fill="F2F2F2" w:themeFill="background1" w:themeFillShade="F2"/>
          </w:tcPr>
          <w:p w14:paraId="6E599D1E" w14:textId="77777777" w:rsidR="00C1061F" w:rsidRDefault="00C1061F" w:rsidP="00281329">
            <w:pPr>
              <w:pStyle w:val="Tableheading"/>
            </w:pPr>
            <w:r>
              <w:t>Reservation</w:t>
            </w:r>
          </w:p>
        </w:tc>
        <w:tc>
          <w:tcPr>
            <w:tcW w:w="1885" w:type="dxa"/>
            <w:shd w:val="clear" w:color="auto" w:fill="F2F2F2" w:themeFill="background1" w:themeFillShade="F2"/>
          </w:tcPr>
          <w:p w14:paraId="7EED8553" w14:textId="77777777" w:rsidR="00C1061F" w:rsidRDefault="00C1061F" w:rsidP="00281329">
            <w:pPr>
              <w:pStyle w:val="Tableheading"/>
            </w:pPr>
            <w:r>
              <w:t>Allocation</w:t>
            </w:r>
          </w:p>
        </w:tc>
      </w:tr>
      <w:tr w:rsidR="00C1061F" w14:paraId="3C1CC458" w14:textId="77777777" w:rsidTr="00281329">
        <w:tc>
          <w:tcPr>
            <w:tcW w:w="1884" w:type="dxa"/>
          </w:tcPr>
          <w:p w14:paraId="790E0D25" w14:textId="77777777" w:rsidR="00C1061F" w:rsidRDefault="00C1061F" w:rsidP="00281329">
            <w:pPr>
              <w:pStyle w:val="Tablecontent"/>
            </w:pPr>
            <w:r>
              <w:t>CPU</w:t>
            </w:r>
          </w:p>
        </w:tc>
        <w:tc>
          <w:tcPr>
            <w:tcW w:w="1884" w:type="dxa"/>
          </w:tcPr>
          <w:p w14:paraId="2B1B5056" w14:textId="77777777" w:rsidR="00C1061F" w:rsidRDefault="00C1061F" w:rsidP="00281329">
            <w:pPr>
              <w:pStyle w:val="Tablecontent"/>
              <w:jc w:val="center"/>
            </w:pPr>
            <w:r>
              <w:t>Yes</w:t>
            </w:r>
          </w:p>
        </w:tc>
        <w:tc>
          <w:tcPr>
            <w:tcW w:w="1884" w:type="dxa"/>
          </w:tcPr>
          <w:p w14:paraId="51E5AB83" w14:textId="77777777" w:rsidR="00C1061F" w:rsidRDefault="00C1061F" w:rsidP="00281329">
            <w:pPr>
              <w:pStyle w:val="Tablecontent"/>
              <w:jc w:val="center"/>
            </w:pPr>
            <w:r>
              <w:t>Yes</w:t>
            </w:r>
          </w:p>
        </w:tc>
        <w:tc>
          <w:tcPr>
            <w:tcW w:w="1885" w:type="dxa"/>
          </w:tcPr>
          <w:p w14:paraId="72F1AA3C" w14:textId="77777777" w:rsidR="00C1061F" w:rsidRDefault="00C1061F" w:rsidP="00281329">
            <w:pPr>
              <w:pStyle w:val="Tablecontent"/>
              <w:jc w:val="center"/>
            </w:pPr>
            <w:r>
              <w:t>Yes</w:t>
            </w:r>
          </w:p>
        </w:tc>
      </w:tr>
      <w:tr w:rsidR="00C1061F" w14:paraId="0EC894D2" w14:textId="77777777" w:rsidTr="00281329">
        <w:tc>
          <w:tcPr>
            <w:tcW w:w="1884" w:type="dxa"/>
          </w:tcPr>
          <w:p w14:paraId="36A54A3F" w14:textId="77777777" w:rsidR="00C1061F" w:rsidRDefault="00C1061F" w:rsidP="00281329">
            <w:pPr>
              <w:pStyle w:val="Tablecontent"/>
            </w:pPr>
            <w:r>
              <w:t>Memory</w:t>
            </w:r>
          </w:p>
        </w:tc>
        <w:tc>
          <w:tcPr>
            <w:tcW w:w="1884" w:type="dxa"/>
          </w:tcPr>
          <w:p w14:paraId="7E1E2A66" w14:textId="77777777" w:rsidR="00C1061F" w:rsidRDefault="00C1061F" w:rsidP="00281329">
            <w:pPr>
              <w:pStyle w:val="Tablecontent"/>
              <w:jc w:val="center"/>
            </w:pPr>
            <w:r>
              <w:t>Yes</w:t>
            </w:r>
          </w:p>
        </w:tc>
        <w:tc>
          <w:tcPr>
            <w:tcW w:w="1884" w:type="dxa"/>
          </w:tcPr>
          <w:p w14:paraId="664D9140" w14:textId="77777777" w:rsidR="00C1061F" w:rsidRDefault="00C1061F" w:rsidP="00281329">
            <w:pPr>
              <w:pStyle w:val="Tablecontent"/>
              <w:jc w:val="center"/>
            </w:pPr>
            <w:r>
              <w:t>Yes</w:t>
            </w:r>
          </w:p>
        </w:tc>
        <w:tc>
          <w:tcPr>
            <w:tcW w:w="1885" w:type="dxa"/>
          </w:tcPr>
          <w:p w14:paraId="48CA2A61" w14:textId="77777777" w:rsidR="00C1061F" w:rsidRDefault="00C1061F" w:rsidP="00281329">
            <w:pPr>
              <w:pStyle w:val="Tablecontent"/>
              <w:jc w:val="center"/>
            </w:pPr>
            <w:r>
              <w:t>Yes</w:t>
            </w:r>
          </w:p>
        </w:tc>
      </w:tr>
      <w:tr w:rsidR="00C1061F" w14:paraId="4F40C1D2" w14:textId="77777777" w:rsidTr="00281329">
        <w:tc>
          <w:tcPr>
            <w:tcW w:w="1884" w:type="dxa"/>
          </w:tcPr>
          <w:p w14:paraId="4001FE00" w14:textId="77777777" w:rsidR="00C1061F" w:rsidRDefault="00C1061F" w:rsidP="00281329">
            <w:pPr>
              <w:pStyle w:val="Tablecontent"/>
            </w:pPr>
            <w:r>
              <w:t>Disk</w:t>
            </w:r>
          </w:p>
        </w:tc>
        <w:tc>
          <w:tcPr>
            <w:tcW w:w="1884" w:type="dxa"/>
          </w:tcPr>
          <w:p w14:paraId="277A2B4E" w14:textId="77777777" w:rsidR="00C1061F" w:rsidRDefault="00C1061F" w:rsidP="00281329">
            <w:pPr>
              <w:pStyle w:val="Tablecontent"/>
              <w:jc w:val="center"/>
            </w:pPr>
            <w:r>
              <w:t>Yes</w:t>
            </w:r>
          </w:p>
        </w:tc>
        <w:tc>
          <w:tcPr>
            <w:tcW w:w="1884" w:type="dxa"/>
          </w:tcPr>
          <w:p w14:paraId="14DC18FE" w14:textId="5EF7C309" w:rsidR="00C1061F" w:rsidRDefault="004A3F59" w:rsidP="00281329">
            <w:pPr>
              <w:pStyle w:val="Tablecontent"/>
              <w:jc w:val="center"/>
            </w:pPr>
            <w:r w:rsidRPr="00A15C40">
              <w:rPr>
                <w:color w:val="FF0000"/>
              </w:rPr>
              <w:t>N</w:t>
            </w:r>
            <w:r>
              <w:rPr>
                <w:color w:val="FF0000"/>
              </w:rPr>
              <w:t>ot Applicable</w:t>
            </w:r>
          </w:p>
        </w:tc>
        <w:tc>
          <w:tcPr>
            <w:tcW w:w="1885" w:type="dxa"/>
          </w:tcPr>
          <w:p w14:paraId="5AB790F4" w14:textId="77777777" w:rsidR="00C1061F" w:rsidRDefault="00C1061F" w:rsidP="00281329">
            <w:pPr>
              <w:pStyle w:val="Tablecontent"/>
              <w:jc w:val="center"/>
            </w:pPr>
            <w:r>
              <w:t>Yes</w:t>
            </w:r>
          </w:p>
        </w:tc>
      </w:tr>
      <w:tr w:rsidR="00C1061F" w14:paraId="7A6D0200" w14:textId="77777777" w:rsidTr="00281329">
        <w:tc>
          <w:tcPr>
            <w:tcW w:w="1884" w:type="dxa"/>
          </w:tcPr>
          <w:p w14:paraId="025885B0" w14:textId="77777777" w:rsidR="00C1061F" w:rsidRDefault="00C1061F" w:rsidP="00281329">
            <w:pPr>
              <w:pStyle w:val="Tablecontent"/>
            </w:pPr>
            <w:r>
              <w:t>Network</w:t>
            </w:r>
          </w:p>
        </w:tc>
        <w:tc>
          <w:tcPr>
            <w:tcW w:w="1884" w:type="dxa"/>
          </w:tcPr>
          <w:p w14:paraId="190D4FBC" w14:textId="77777777" w:rsidR="00C1061F" w:rsidRDefault="00C1061F" w:rsidP="00281329">
            <w:pPr>
              <w:pStyle w:val="Tablecontent"/>
              <w:jc w:val="center"/>
            </w:pPr>
            <w:r>
              <w:t>Yes</w:t>
            </w:r>
          </w:p>
        </w:tc>
        <w:tc>
          <w:tcPr>
            <w:tcW w:w="1884" w:type="dxa"/>
          </w:tcPr>
          <w:p w14:paraId="2EB8ABE1" w14:textId="77777777" w:rsidR="00C1061F" w:rsidRDefault="00C1061F" w:rsidP="00281329">
            <w:pPr>
              <w:pStyle w:val="Tablecontent"/>
              <w:jc w:val="center"/>
            </w:pPr>
            <w:r>
              <w:t>Yes</w:t>
            </w:r>
          </w:p>
        </w:tc>
        <w:tc>
          <w:tcPr>
            <w:tcW w:w="1885" w:type="dxa"/>
          </w:tcPr>
          <w:p w14:paraId="7DA69347" w14:textId="77777777" w:rsidR="00C1061F" w:rsidRDefault="00C1061F" w:rsidP="00281329">
            <w:pPr>
              <w:pStyle w:val="Tablecontent"/>
              <w:jc w:val="center"/>
            </w:pPr>
            <w:r>
              <w:t>Yes</w:t>
            </w:r>
          </w:p>
        </w:tc>
      </w:tr>
    </w:tbl>
    <w:p w14:paraId="42F2B9E7" w14:textId="77777777" w:rsidR="00C1061F" w:rsidRDefault="00C1061F" w:rsidP="00C1061F">
      <w:r>
        <w:t>And lastly, beyond metrics there are also further complications such as:</w:t>
      </w:r>
    </w:p>
    <w:p w14:paraId="74D2AF27" w14:textId="77777777" w:rsidR="00C1061F" w:rsidRDefault="00C1061F" w:rsidP="00C1061F">
      <w:pPr>
        <w:pStyle w:val="BeforeTable"/>
      </w:pPr>
    </w:p>
    <w:tbl>
      <w:tblPr>
        <w:tblStyle w:val="TableGridLight"/>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547"/>
        <w:gridCol w:w="7909"/>
      </w:tblGrid>
      <w:tr w:rsidR="00C1061F" w:rsidRPr="00E51A31" w14:paraId="1AB7F19F" w14:textId="77777777" w:rsidTr="00281329">
        <w:tc>
          <w:tcPr>
            <w:tcW w:w="2547" w:type="dxa"/>
            <w:shd w:val="clear" w:color="auto" w:fill="F2F2F2" w:themeFill="background1" w:themeFillShade="F2"/>
          </w:tcPr>
          <w:p w14:paraId="51965C02" w14:textId="77777777" w:rsidR="00C1061F" w:rsidRPr="00500971" w:rsidRDefault="00C1061F" w:rsidP="00281329">
            <w:pPr>
              <w:pStyle w:val="Tablecontent"/>
              <w:rPr>
                <w:b/>
                <w:bCs/>
              </w:rPr>
            </w:pPr>
            <w:r w:rsidRPr="00500971">
              <w:rPr>
                <w:b/>
                <w:bCs/>
              </w:rPr>
              <w:t>VM vs ESXi</w:t>
            </w:r>
          </w:p>
        </w:tc>
        <w:tc>
          <w:tcPr>
            <w:tcW w:w="7909" w:type="dxa"/>
          </w:tcPr>
          <w:p w14:paraId="1054A7D9" w14:textId="77777777" w:rsidR="00C1061F" w:rsidRDefault="00C1061F" w:rsidP="00281329">
            <w:pPr>
              <w:pStyle w:val="Tablecontent"/>
            </w:pPr>
            <w:r>
              <w:t xml:space="preserve">The CPU metrics from a VM viewpoint differs to the CPU metrics from ESXi viewpoint. A VM is a consumer. Multiple VMs can share the same physical core, albeit at the price of performance. So metrics such as Ready does not apply to ESXi. The core and the thread are always ready. </w:t>
            </w:r>
          </w:p>
        </w:tc>
      </w:tr>
      <w:tr w:rsidR="00C1061F" w:rsidRPr="00E51A31" w14:paraId="37883425" w14:textId="77777777" w:rsidTr="00281329">
        <w:tc>
          <w:tcPr>
            <w:tcW w:w="2547" w:type="dxa"/>
            <w:shd w:val="clear" w:color="auto" w:fill="F2F2F2" w:themeFill="background1" w:themeFillShade="F2"/>
          </w:tcPr>
          <w:p w14:paraId="1DBD26AC" w14:textId="77777777" w:rsidR="00C1061F" w:rsidRPr="00DF1D53" w:rsidRDefault="00C1061F" w:rsidP="00281329">
            <w:pPr>
              <w:rPr>
                <w:b/>
                <w:bCs/>
              </w:rPr>
            </w:pPr>
            <w:r w:rsidRPr="00DF1D53">
              <w:rPr>
                <w:b/>
                <w:bCs/>
              </w:rPr>
              <w:t>ESXi vs vCenter</w:t>
            </w:r>
          </w:p>
        </w:tc>
        <w:tc>
          <w:tcPr>
            <w:tcW w:w="7909" w:type="dxa"/>
          </w:tcPr>
          <w:p w14:paraId="7C815A04" w14:textId="77777777" w:rsidR="00C1061F" w:rsidRPr="00DF1D53" w:rsidRDefault="00C1061F" w:rsidP="00281329">
            <w:pPr>
              <w:pStyle w:val="Tablecontent"/>
            </w:pPr>
            <w:r>
              <w:t>While ESXi is the source of metrics, vCenter may add its own metrics and the formula don’t always match 100% in all scenarios, such as Used vs Usage.</w:t>
            </w:r>
          </w:p>
          <w:p w14:paraId="09673AE0" w14:textId="77777777" w:rsidR="00C1061F" w:rsidRDefault="00C1061F" w:rsidP="00281329">
            <w:pPr>
              <w:pStyle w:val="Tablecontent"/>
            </w:pPr>
            <w:r w:rsidRPr="00DF1D53">
              <w:t>ESXi provides Run (ms), Used (ms), Demand (MHz) for VM CPU. vCenter adds Usage (MHz) and Usage (%), which create confusion as there are now 5 choices.</w:t>
            </w:r>
          </w:p>
          <w:p w14:paraId="584A5ABF" w14:textId="77777777" w:rsidR="00C1061F" w:rsidRPr="00DF1D53" w:rsidRDefault="00C1061F" w:rsidP="00281329">
            <w:pPr>
              <w:pStyle w:val="Tablecontent"/>
            </w:pPr>
            <w:r>
              <w:t>ESXi shows Used (%), while vCenter shows Used (ms). The first one affected by CPU frequency and can go beyond 100%.</w:t>
            </w:r>
          </w:p>
        </w:tc>
      </w:tr>
      <w:tr w:rsidR="00C1061F" w:rsidRPr="00E51A31" w14:paraId="2EE2ABDD" w14:textId="77777777" w:rsidTr="00281329">
        <w:tc>
          <w:tcPr>
            <w:tcW w:w="2547" w:type="dxa"/>
            <w:shd w:val="clear" w:color="auto" w:fill="F2F2F2" w:themeFill="background1" w:themeFillShade="F2"/>
          </w:tcPr>
          <w:p w14:paraId="7F453259" w14:textId="77777777" w:rsidR="00C1061F" w:rsidRPr="00DF1D53" w:rsidRDefault="00C1061F" w:rsidP="00281329">
            <w:pPr>
              <w:rPr>
                <w:b/>
                <w:bCs/>
              </w:rPr>
            </w:pPr>
            <w:r w:rsidRPr="00DF1D53">
              <w:rPr>
                <w:b/>
                <w:bCs/>
              </w:rPr>
              <w:t xml:space="preserve">ESXi </w:t>
            </w:r>
            <w:r w:rsidRPr="00DF1D53">
              <w:rPr>
                <w:rFonts w:ascii="Times New Roman" w:hAnsi="Times New Roman" w:cs="Times New Roman"/>
                <w:b/>
                <w:bCs/>
              </w:rPr>
              <w:t>≠</w:t>
            </w:r>
            <w:r w:rsidRPr="00DF1D53">
              <w:rPr>
                <w:b/>
                <w:bCs/>
              </w:rPr>
              <w:t xml:space="preserve"> VMs + </w:t>
            </w:r>
            <w:r>
              <w:rPr>
                <w:b/>
                <w:bCs/>
              </w:rPr>
              <w:t>VMkernel</w:t>
            </w:r>
          </w:p>
        </w:tc>
        <w:tc>
          <w:tcPr>
            <w:tcW w:w="7909" w:type="dxa"/>
          </w:tcPr>
          <w:p w14:paraId="1CA98867" w14:textId="1F9C1F13" w:rsidR="00C1061F" w:rsidRPr="00DF1D53" w:rsidRDefault="00C1061F" w:rsidP="00281329">
            <w:pPr>
              <w:pStyle w:val="Tablecontent"/>
            </w:pPr>
            <w:r>
              <w:t xml:space="preserve">The metrics at ESXi is more complex than the sum of its VM + VMkernel. </w:t>
            </w:r>
            <w:r w:rsidR="004A3F59">
              <w:t>We dedicate a subchapter for this within ESXi chapter.</w:t>
            </w:r>
          </w:p>
        </w:tc>
      </w:tr>
      <w:tr w:rsidR="00C1061F" w:rsidRPr="00E51A31" w14:paraId="1F05B34B" w14:textId="77777777" w:rsidTr="00281329">
        <w:tc>
          <w:tcPr>
            <w:tcW w:w="2547" w:type="dxa"/>
            <w:shd w:val="clear" w:color="auto" w:fill="F2F2F2" w:themeFill="background1" w:themeFillShade="F2"/>
          </w:tcPr>
          <w:p w14:paraId="48E80BF6" w14:textId="77777777" w:rsidR="00C1061F" w:rsidRPr="00DF1D53" w:rsidRDefault="00C1061F" w:rsidP="00281329">
            <w:pPr>
              <w:pStyle w:val="Tableheading"/>
              <w:jc w:val="left"/>
            </w:pPr>
            <w:r w:rsidRPr="00DF1D53">
              <w:t>M:N relationship</w:t>
            </w:r>
          </w:p>
        </w:tc>
        <w:tc>
          <w:tcPr>
            <w:tcW w:w="7909" w:type="dxa"/>
          </w:tcPr>
          <w:p w14:paraId="091FAB92" w14:textId="2013EC26" w:rsidR="00C1061F" w:rsidRPr="00DF1D53" w:rsidRDefault="00C1061F" w:rsidP="00281329">
            <w:pPr>
              <w:pStyle w:val="Tablecontent"/>
            </w:pPr>
            <w:r>
              <w:t>A VM with multiple virtual disks can span across multiple datastores, and even RDMs. On the other hand, a datastore typically hosts many VMs. An ESXi may mount multiple LUNs and a LUN is typically presented into multiple ESXi or even multiple clusters. These many to many relationships make the metrics across VM, datastore, ESXi</w:t>
            </w:r>
            <w:r w:rsidR="004A3F59">
              <w:t xml:space="preserve">, Cluster, Data Center </w:t>
            </w:r>
            <w:r>
              <w:t xml:space="preserve">inconsistent when viewed overall. Each of them is correct as each has to look from their own vantage point. </w:t>
            </w:r>
          </w:p>
        </w:tc>
      </w:tr>
      <w:tr w:rsidR="00C1061F" w:rsidRPr="00E51A31" w14:paraId="3DD3735B" w14:textId="77777777" w:rsidTr="00281329">
        <w:tc>
          <w:tcPr>
            <w:tcW w:w="2547" w:type="dxa"/>
            <w:shd w:val="clear" w:color="auto" w:fill="F2F2F2" w:themeFill="background1" w:themeFillShade="F2"/>
          </w:tcPr>
          <w:p w14:paraId="38BC0104" w14:textId="77777777" w:rsidR="00C1061F" w:rsidRPr="00DF1D53" w:rsidRDefault="00C1061F" w:rsidP="00281329">
            <w:pPr>
              <w:pStyle w:val="Tableheading"/>
              <w:jc w:val="left"/>
            </w:pPr>
            <w:r>
              <w:t>Windows vs Linux</w:t>
            </w:r>
          </w:p>
        </w:tc>
        <w:tc>
          <w:tcPr>
            <w:tcW w:w="7909" w:type="dxa"/>
          </w:tcPr>
          <w:p w14:paraId="1F7FB5D8" w14:textId="77777777" w:rsidR="00C1061F" w:rsidRDefault="00C1061F" w:rsidP="00281329">
            <w:pPr>
              <w:pStyle w:val="Tablecontent"/>
            </w:pPr>
            <w:r>
              <w:t>Windows CPU queue excludes the running thread, Linux includes the threads being executed.</w:t>
            </w:r>
          </w:p>
          <w:p w14:paraId="016FEC93" w14:textId="77777777" w:rsidR="00C1061F" w:rsidRDefault="00C1061F" w:rsidP="00281329">
            <w:pPr>
              <w:pStyle w:val="Tablecontent"/>
            </w:pPr>
            <w:r>
              <w:t>Windows memory metrics are different to Linux memory metrics.</w:t>
            </w:r>
          </w:p>
        </w:tc>
      </w:tr>
      <w:tr w:rsidR="00C1061F" w:rsidRPr="00E51A31" w14:paraId="2E5668C1" w14:textId="77777777" w:rsidTr="00281329">
        <w:tc>
          <w:tcPr>
            <w:tcW w:w="2547" w:type="dxa"/>
            <w:shd w:val="clear" w:color="auto" w:fill="F2F2F2" w:themeFill="background1" w:themeFillShade="F2"/>
          </w:tcPr>
          <w:p w14:paraId="73FD4D7D" w14:textId="3DC148B9" w:rsidR="00C1061F" w:rsidRDefault="004A3F59" w:rsidP="00281329">
            <w:pPr>
              <w:pStyle w:val="Tableheading"/>
              <w:jc w:val="left"/>
            </w:pPr>
            <w:r>
              <w:t xml:space="preserve">Aria </w:t>
            </w:r>
            <w:r w:rsidR="00C1061F">
              <w:t>vs “Source”</w:t>
            </w:r>
          </w:p>
        </w:tc>
        <w:tc>
          <w:tcPr>
            <w:tcW w:w="7909" w:type="dxa"/>
          </w:tcPr>
          <w:p w14:paraId="57929B23" w14:textId="7C6D0E83" w:rsidR="00C1061F" w:rsidRDefault="00C1061F" w:rsidP="00281329">
            <w:pPr>
              <w:pStyle w:val="Tablecontent"/>
            </w:pPr>
            <w:r>
              <w:t xml:space="preserve">As far as possible, </w:t>
            </w:r>
            <w:r w:rsidR="004A3F59">
              <w:t xml:space="preserve">Aria </w:t>
            </w:r>
            <w:r>
              <w:t xml:space="preserve">Operations shows the raw metrics as what you see them in the source (e.g. vCenter, vSAN, NSX, Windows). This prevents confusion. This is not 100% possible. For example, we do not reproduce the %VMWait counter of esxtop. We have another counter called Other Wait instead. </w:t>
            </w:r>
          </w:p>
        </w:tc>
      </w:tr>
    </w:tbl>
    <w:p w14:paraId="43FD8230" w14:textId="77777777" w:rsidR="00C1061F" w:rsidRDefault="00C1061F" w:rsidP="00C1061F">
      <w:pPr>
        <w:pStyle w:val="BeforeTable"/>
        <w:rPr>
          <w:lang w:val="en-GB"/>
        </w:rPr>
      </w:pPr>
    </w:p>
    <w:p w14:paraId="2B567188" w14:textId="77777777" w:rsidR="00C1061F" w:rsidRDefault="00C1061F" w:rsidP="00C1061F">
      <w:r>
        <w:lastRenderedPageBreak/>
        <w:t>There is also a scalability concern. Take for example, vCenter has 17 CPU metrics available at the VM level, and 12 of them are available at a vCPU level too. In addition, each VM comes with 28 memory metrics. That means a VM with 4 vCPUs will have 93 metrics (17 + 4 x 12 + 28). A vSphere environment with 1,000 VMs with 4 vCPUs as the average VM size will have process 93K metrics each time it collects. If you do that every minute, you will collect almost 134 million metrics per day. Since many customers like to keep for at least 6 months, that’s 24+ billion metrics!</w:t>
      </w:r>
    </w:p>
    <w:p w14:paraId="2E4E4A0C" w14:textId="77777777" w:rsidR="00C1061F" w:rsidRDefault="00C1061F" w:rsidP="00C1061F">
      <w:r>
        <w:t xml:space="preserve">With so many metrics, the amount of business value received becomes a valid concern. At the end of the day, you are not in the business of collecting metrics. </w:t>
      </w:r>
    </w:p>
    <w:p w14:paraId="0C7B6775" w14:textId="27D22773" w:rsidR="00C1061F" w:rsidRDefault="00C1061F" w:rsidP="00C1061F">
      <w:bookmarkStart w:id="51" w:name="_Hlk134950079"/>
      <w:r>
        <w:t xml:space="preserve">I’m not a fan of </w:t>
      </w:r>
      <w:bookmarkStart w:id="52" w:name="_Hlk134949944"/>
      <w:r>
        <w:t xml:space="preserve">simply </w:t>
      </w:r>
      <w:r w:rsidRPr="00C50F4F">
        <w:rPr>
          <w:i/>
          <w:iCs/>
          <w:color w:val="FF0000"/>
        </w:rPr>
        <w:t>regurgitat</w:t>
      </w:r>
      <w:r w:rsidR="004A3F59">
        <w:rPr>
          <w:i/>
          <w:iCs/>
          <w:color w:val="FF0000"/>
        </w:rPr>
        <w:t>ing</w:t>
      </w:r>
      <w:bookmarkEnd w:id="52"/>
      <w:r w:rsidRPr="00C50F4F">
        <w:rPr>
          <w:color w:val="FF0000"/>
        </w:rPr>
        <w:t xml:space="preserve"> </w:t>
      </w:r>
      <w:r w:rsidRPr="00544658">
        <w:t xml:space="preserve">the </w:t>
      </w:r>
      <w:r>
        <w:t>metrics</w:t>
      </w:r>
      <w:r w:rsidRPr="00544658">
        <w:t xml:space="preserve"> that </w:t>
      </w:r>
      <w:r>
        <w:t xml:space="preserve">the source system </w:t>
      </w:r>
      <w:r w:rsidRPr="00544658">
        <w:t xml:space="preserve">has. </w:t>
      </w:r>
      <w:r w:rsidR="004A3F59">
        <w:t>We should</w:t>
      </w:r>
      <w:r w:rsidRPr="00544658">
        <w:t xml:space="preserve"> start by understanding the unique behaviour of </w:t>
      </w:r>
      <w:r w:rsidR="004A3F59">
        <w:t xml:space="preserve">the system we want to manage (e.g. </w:t>
      </w:r>
      <w:r w:rsidRPr="00544658">
        <w:t>vSphere</w:t>
      </w:r>
      <w:r w:rsidR="004A3F59">
        <w:t>, Windows)</w:t>
      </w:r>
      <w:r w:rsidRPr="00544658">
        <w:t xml:space="preserve">, then simplifying it by consolidating and standardizing the </w:t>
      </w:r>
      <w:r>
        <w:t>metrics</w:t>
      </w:r>
      <w:r w:rsidRPr="00544658">
        <w:t xml:space="preserve">. For example, </w:t>
      </w:r>
      <w:r w:rsidR="004A3F59">
        <w:t xml:space="preserve">Aria </w:t>
      </w:r>
      <w:r w:rsidRPr="00544658">
        <w:t xml:space="preserve">Operations creates derived </w:t>
      </w:r>
      <w:r>
        <w:t>metrics</w:t>
      </w:r>
      <w:r w:rsidRPr="00544658">
        <w:t xml:space="preserve"> such as KPI and capacity metrics, then applies them to CPU, RAM, disk, and network as appropriate.</w:t>
      </w:r>
    </w:p>
    <w:bookmarkEnd w:id="51"/>
    <w:p w14:paraId="4C31E723" w14:textId="4E406CB3" w:rsidR="00800964" w:rsidRDefault="00800964" w:rsidP="00AC6E1E">
      <w:pPr>
        <w:pStyle w:val="Heading4"/>
      </w:pPr>
      <w:r>
        <w:t>Other Nuances</w:t>
      </w:r>
    </w:p>
    <w:tbl>
      <w:tblPr>
        <w:tblStyle w:val="TableGridLight"/>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547"/>
        <w:gridCol w:w="7909"/>
      </w:tblGrid>
      <w:tr w:rsidR="00C47ED1" w:rsidRPr="00E51A31" w14:paraId="7811B81A" w14:textId="77777777" w:rsidTr="00281329">
        <w:tc>
          <w:tcPr>
            <w:tcW w:w="2547" w:type="dxa"/>
            <w:shd w:val="clear" w:color="auto" w:fill="F2F2F2" w:themeFill="background1" w:themeFillShade="F2"/>
          </w:tcPr>
          <w:p w14:paraId="0C979E31" w14:textId="77777777" w:rsidR="00C47ED1" w:rsidRPr="00FE30E8" w:rsidRDefault="00C47ED1" w:rsidP="00281329">
            <w:pPr>
              <w:pStyle w:val="Tablecontent"/>
              <w:rPr>
                <w:b/>
                <w:bCs/>
              </w:rPr>
            </w:pPr>
            <w:r>
              <w:rPr>
                <w:b/>
                <w:bCs/>
              </w:rPr>
              <w:t>Mixing terminology</w:t>
            </w:r>
          </w:p>
        </w:tc>
        <w:tc>
          <w:tcPr>
            <w:tcW w:w="7909" w:type="dxa"/>
          </w:tcPr>
          <w:p w14:paraId="2F9C7CD2" w14:textId="77777777" w:rsidR="00C47ED1" w:rsidRDefault="00C47ED1" w:rsidP="00281329">
            <w:pPr>
              <w:pStyle w:val="Tablecontent"/>
            </w:pPr>
            <w:r>
              <w:t>Allocation and reservation are different concepts.</w:t>
            </w:r>
          </w:p>
          <w:p w14:paraId="684503D3" w14:textId="5D104708" w:rsidR="00C47ED1" w:rsidRDefault="00C47ED1" w:rsidP="00281329">
            <w:pPr>
              <w:pStyle w:val="Tablecontent"/>
            </w:pPr>
            <w:r>
              <w:t xml:space="preserve">When you allocate something to someone, it does not mean it’s guaranteed. If you want a guarantee, then </w:t>
            </w:r>
            <w:r w:rsidR="004A3F59">
              <w:t>do r</w:t>
            </w:r>
            <w:r>
              <w:t>eservation. Allocation is a maximum (you can’t go beyond it), while Reservation is a minimum. The actual utilization can be below reservation but can’t exceed allocation.</w:t>
            </w:r>
          </w:p>
          <w:p w14:paraId="0272E94F" w14:textId="77777777" w:rsidR="00840E19" w:rsidRDefault="00840E19" w:rsidP="00281329">
            <w:pPr>
              <w:pStyle w:val="Tablecontent"/>
            </w:pPr>
            <w:r>
              <w:t>You cannot overcommit reservation as it’s a guarantee. You can overcommit allocation as it is not a guarantee.</w:t>
            </w:r>
          </w:p>
          <w:p w14:paraId="7F0555A9" w14:textId="6C6F5801" w:rsidR="00840E19" w:rsidRDefault="00840E19" w:rsidP="00840E19">
            <w:pPr>
              <w:pStyle w:val="Tablecontent"/>
            </w:pPr>
            <w:r>
              <w:t>Avoid using metric names like these:</w:t>
            </w:r>
          </w:p>
          <w:p w14:paraId="0AB431AE" w14:textId="43EB95AD" w:rsidR="00840E19" w:rsidRPr="00F13989" w:rsidRDefault="00840E19" w:rsidP="00840E19">
            <w:pPr>
              <w:pStyle w:val="Tablecontent"/>
              <w:numPr>
                <w:ilvl w:val="0"/>
                <w:numId w:val="78"/>
              </w:numPr>
            </w:pPr>
            <w:r w:rsidRPr="00F13989">
              <w:t xml:space="preserve">Allocation </w:t>
            </w:r>
            <w:r>
              <w:t>R</w:t>
            </w:r>
            <w:r w:rsidRPr="00F13989">
              <w:t>eservation</w:t>
            </w:r>
            <w:r>
              <w:t>. This makes no sense.</w:t>
            </w:r>
          </w:p>
          <w:p w14:paraId="3DE2884C" w14:textId="3CEAF0EF" w:rsidR="00840E19" w:rsidRPr="00F13989" w:rsidRDefault="00840E19" w:rsidP="00840E19">
            <w:pPr>
              <w:pStyle w:val="Tablecontent"/>
              <w:numPr>
                <w:ilvl w:val="0"/>
                <w:numId w:val="78"/>
              </w:numPr>
            </w:pPr>
            <w:r w:rsidRPr="00082FE2">
              <w:t xml:space="preserve">Maximum </w:t>
            </w:r>
            <w:r>
              <w:t>R</w:t>
            </w:r>
            <w:r w:rsidRPr="00082FE2">
              <w:t>eservatio</w:t>
            </w:r>
            <w:r>
              <w:t>n. Simply use Allocation instead.</w:t>
            </w:r>
          </w:p>
          <w:p w14:paraId="216D458B" w14:textId="48419791" w:rsidR="00840E19" w:rsidRPr="00840E19" w:rsidRDefault="00840E19" w:rsidP="00840E19">
            <w:pPr>
              <w:pStyle w:val="Tablecontent"/>
              <w:numPr>
                <w:ilvl w:val="0"/>
                <w:numId w:val="78"/>
              </w:numPr>
            </w:pPr>
            <w:r w:rsidRPr="00F13989">
              <w:t xml:space="preserve">Minimum </w:t>
            </w:r>
            <w:r>
              <w:t>A</w:t>
            </w:r>
            <w:r w:rsidRPr="00F13989">
              <w:t>llocation</w:t>
            </w:r>
            <w:r>
              <w:t>. Simply use Reservation instead.</w:t>
            </w:r>
          </w:p>
        </w:tc>
      </w:tr>
      <w:tr w:rsidR="009F6868" w:rsidRPr="00E51A31" w14:paraId="04249FF2" w14:textId="77777777" w:rsidTr="00484C7F">
        <w:tc>
          <w:tcPr>
            <w:tcW w:w="2547" w:type="dxa"/>
            <w:shd w:val="clear" w:color="auto" w:fill="F2F2F2" w:themeFill="background1" w:themeFillShade="F2"/>
          </w:tcPr>
          <w:p w14:paraId="3A25B8AE" w14:textId="0EDB4926" w:rsidR="009F6868" w:rsidRPr="00FE30E8" w:rsidRDefault="009F6868" w:rsidP="00FE30E8">
            <w:pPr>
              <w:pStyle w:val="Tablecontent"/>
              <w:rPr>
                <w:b/>
                <w:bCs/>
              </w:rPr>
            </w:pPr>
            <w:r w:rsidRPr="00FE30E8">
              <w:rPr>
                <w:b/>
                <w:bCs/>
              </w:rPr>
              <w:t>Confusing roll up</w:t>
            </w:r>
          </w:p>
        </w:tc>
        <w:tc>
          <w:tcPr>
            <w:tcW w:w="7909" w:type="dxa"/>
          </w:tcPr>
          <w:p w14:paraId="39343A35" w14:textId="77AB369D" w:rsidR="009F6868" w:rsidRDefault="009F6868" w:rsidP="005A2328">
            <w:pPr>
              <w:pStyle w:val="Tablecontent"/>
            </w:pPr>
            <w:r w:rsidRPr="00DF1D53">
              <w:t xml:space="preserve">Why is VM CPU Ready </w:t>
            </w:r>
            <w:r w:rsidR="001E5395" w:rsidRPr="00DF1D53">
              <w:t xml:space="preserve">above 100%? If you look at esxtop, many VM level </w:t>
            </w:r>
            <w:r w:rsidR="008D3A3F">
              <w:t>metrics</w:t>
            </w:r>
            <w:r w:rsidR="001E5395" w:rsidRPr="00DF1D53">
              <w:t xml:space="preserve"> are </w:t>
            </w:r>
            <w:r w:rsidR="00427F6E" w:rsidRPr="00DF1D53">
              <w:t>&gt;100%</w:t>
            </w:r>
            <w:r w:rsidR="00032B30" w:rsidRPr="00DF1D53">
              <w:t>.</w:t>
            </w:r>
          </w:p>
          <w:p w14:paraId="542AAC66" w14:textId="716A9B14" w:rsidR="004A531B" w:rsidRPr="00DF1D53" w:rsidRDefault="004A531B" w:rsidP="005A2328">
            <w:pPr>
              <w:pStyle w:val="Tablecontent"/>
            </w:pPr>
            <w:r>
              <w:t>vCenter measures every 20000 ms, but the maximum value for a completely idle thread is 10000. The reason is 20000 is the value set at the core level. Since a core has 2 threads when HT enabled, each was allocated 10000.</w:t>
            </w:r>
          </w:p>
        </w:tc>
      </w:tr>
      <w:tr w:rsidR="00427F6E" w:rsidRPr="00E51A31" w14:paraId="0416B735" w14:textId="77777777" w:rsidTr="00484C7F">
        <w:tc>
          <w:tcPr>
            <w:tcW w:w="2547" w:type="dxa"/>
            <w:shd w:val="clear" w:color="auto" w:fill="F2F2F2" w:themeFill="background1" w:themeFillShade="F2"/>
          </w:tcPr>
          <w:p w14:paraId="4BC49E76" w14:textId="55E4B908" w:rsidR="00427F6E" w:rsidRPr="00FE30E8" w:rsidRDefault="00427F6E" w:rsidP="00FE30E8">
            <w:pPr>
              <w:pStyle w:val="Tablecontent"/>
              <w:rPr>
                <w:b/>
                <w:bCs/>
              </w:rPr>
            </w:pPr>
            <w:r w:rsidRPr="00FE30E8">
              <w:rPr>
                <w:b/>
                <w:bCs/>
              </w:rPr>
              <w:t>Confusing unit</w:t>
            </w:r>
          </w:p>
        </w:tc>
        <w:tc>
          <w:tcPr>
            <w:tcW w:w="7909" w:type="dxa"/>
          </w:tcPr>
          <w:p w14:paraId="6C5DF841" w14:textId="06FBA627" w:rsidR="00427F6E" w:rsidRDefault="00427F6E" w:rsidP="005A2328">
            <w:pPr>
              <w:pStyle w:val="Tablecontent"/>
            </w:pPr>
            <w:r>
              <w:t xml:space="preserve">Why </w:t>
            </w:r>
            <w:r w:rsidR="4983C11B">
              <w:t xml:space="preserve">are </w:t>
            </w:r>
            <w:r>
              <w:t xml:space="preserve">CPU </w:t>
            </w:r>
            <w:r w:rsidR="008D3A3F">
              <w:t>metrics</w:t>
            </w:r>
            <w:r>
              <w:t xml:space="preserve"> expressed in milliseconds instead of </w:t>
            </w:r>
            <w:r w:rsidR="004F52C8">
              <w:t xml:space="preserve">percentage or </w:t>
            </w:r>
            <w:r>
              <w:t xml:space="preserve">GHz? </w:t>
            </w:r>
            <w:r w:rsidR="004F52C8">
              <w:t xml:space="preserve">How can a time counter (milliseconds in this case) account for </w:t>
            </w:r>
            <w:r w:rsidR="00E862FB">
              <w:t>CPU Frequency?</w:t>
            </w:r>
            <w:r w:rsidR="000473A1">
              <w:t xml:space="preserve"> There is a good reason for that!</w:t>
            </w:r>
          </w:p>
          <w:p w14:paraId="1A233D7E" w14:textId="77777777" w:rsidR="0099211F" w:rsidRDefault="0099211F" w:rsidP="005A2328">
            <w:pPr>
              <w:pStyle w:val="Tablecontent"/>
            </w:pPr>
            <w:r>
              <w:t>Is 1 Giga = 1000 Mega or 1024 Mega?</w:t>
            </w:r>
          </w:p>
          <w:p w14:paraId="50FFE590" w14:textId="533060B5" w:rsidR="00AE2BCB" w:rsidRPr="00DF1D53" w:rsidRDefault="00A85013" w:rsidP="005A2328">
            <w:pPr>
              <w:pStyle w:val="Tablecontent"/>
            </w:pPr>
            <w:r>
              <w:t>Esxtop and vSphere Client use different units</w:t>
            </w:r>
            <w:r w:rsidR="00A06EF7">
              <w:t xml:space="preserve"> for the same metric</w:t>
            </w:r>
            <w:r>
              <w:t xml:space="preserve">. </w:t>
            </w:r>
            <w:r w:rsidR="00A06EF7">
              <w:t xml:space="preserve">For example, esxtop use megabit while </w:t>
            </w:r>
            <w:r>
              <w:t xml:space="preserve">vCenter UI </w:t>
            </w:r>
            <w:r w:rsidR="00A06EF7">
              <w:t>use kilobyte for networking counter.</w:t>
            </w:r>
          </w:p>
        </w:tc>
      </w:tr>
      <w:tr w:rsidR="005A2328" w:rsidRPr="00E51A31" w14:paraId="5C9EBE65" w14:textId="77777777" w:rsidTr="00484C7F">
        <w:tc>
          <w:tcPr>
            <w:tcW w:w="2547" w:type="dxa"/>
            <w:shd w:val="clear" w:color="auto" w:fill="F2F2F2" w:themeFill="background1" w:themeFillShade="F2"/>
          </w:tcPr>
          <w:p w14:paraId="12FC352C" w14:textId="520BD093" w:rsidR="005A2328" w:rsidRPr="00FE30E8" w:rsidRDefault="005A2328" w:rsidP="00FE30E8">
            <w:pPr>
              <w:pStyle w:val="Tablecontent"/>
              <w:rPr>
                <w:b/>
                <w:bCs/>
              </w:rPr>
            </w:pPr>
            <w:r w:rsidRPr="00FE30E8">
              <w:rPr>
                <w:b/>
                <w:bCs/>
              </w:rPr>
              <w:t xml:space="preserve">“Missing” </w:t>
            </w:r>
            <w:r w:rsidR="008D3A3F" w:rsidRPr="00FE30E8">
              <w:rPr>
                <w:b/>
                <w:bCs/>
              </w:rPr>
              <w:t>Metrics</w:t>
            </w:r>
          </w:p>
          <w:p w14:paraId="57475EBA" w14:textId="77777777" w:rsidR="005A2328" w:rsidRPr="00FE30E8" w:rsidRDefault="005A2328" w:rsidP="00FE30E8">
            <w:pPr>
              <w:pStyle w:val="Tablecontent"/>
              <w:rPr>
                <w:b/>
                <w:bCs/>
              </w:rPr>
            </w:pPr>
          </w:p>
        </w:tc>
        <w:tc>
          <w:tcPr>
            <w:tcW w:w="7909" w:type="dxa"/>
          </w:tcPr>
          <w:p w14:paraId="6809D78A" w14:textId="347390E9" w:rsidR="005A2328" w:rsidRPr="00DF1D53" w:rsidRDefault="005A2328" w:rsidP="005A2328">
            <w:pPr>
              <w:pStyle w:val="Tablecontent"/>
            </w:pPr>
            <w:r>
              <w:t xml:space="preserve">You will find VM CPU Demand, but not VM Memory Demand. </w:t>
            </w:r>
            <w:r w:rsidR="3716A5CD">
              <w:t>D</w:t>
            </w:r>
            <w:r>
              <w:t>emand does not apply to memory as it’s a form of storage</w:t>
            </w:r>
            <w:r w:rsidR="31FEE127">
              <w:t>,</w:t>
            </w:r>
            <w:r>
              <w:t xml:space="preserve"> </w:t>
            </w:r>
            <w:r w:rsidR="1AB1DAD1">
              <w:t>j</w:t>
            </w:r>
            <w:r>
              <w:t xml:space="preserve">ust </w:t>
            </w:r>
            <w:r w:rsidR="7611A16F">
              <w:t xml:space="preserve">as </w:t>
            </w:r>
            <w:r>
              <w:t xml:space="preserve">there is no such thing as </w:t>
            </w:r>
            <w:r w:rsidR="48FEE0DA">
              <w:t xml:space="preserve">a </w:t>
            </w:r>
            <w:r w:rsidR="22679B66">
              <w:t>D</w:t>
            </w:r>
            <w:r>
              <w:t>emand metric for your laptop disk</w:t>
            </w:r>
            <w:r w:rsidR="00AC46FF">
              <w:t xml:space="preserve"> space</w:t>
            </w:r>
            <w:r>
              <w:t>.</w:t>
            </w:r>
          </w:p>
        </w:tc>
      </w:tr>
      <w:tr w:rsidR="005A2328" w:rsidRPr="00E51A31" w14:paraId="1451A17F" w14:textId="77777777" w:rsidTr="00484C7F">
        <w:tc>
          <w:tcPr>
            <w:tcW w:w="2547" w:type="dxa"/>
            <w:shd w:val="clear" w:color="auto" w:fill="F2F2F2" w:themeFill="background1" w:themeFillShade="F2"/>
          </w:tcPr>
          <w:p w14:paraId="1B00CFD1" w14:textId="77777777" w:rsidR="005A2328" w:rsidRPr="00FE30E8" w:rsidRDefault="005A2328" w:rsidP="00FE30E8">
            <w:pPr>
              <w:pStyle w:val="Tablecontent"/>
              <w:rPr>
                <w:b/>
                <w:bCs/>
              </w:rPr>
            </w:pPr>
            <w:r w:rsidRPr="00FE30E8">
              <w:rPr>
                <w:b/>
                <w:bCs/>
              </w:rPr>
              <w:lastRenderedPageBreak/>
              <w:t>Too many choices</w:t>
            </w:r>
          </w:p>
          <w:p w14:paraId="69D5E8CD" w14:textId="77777777" w:rsidR="005A2328" w:rsidRPr="00FE30E8" w:rsidRDefault="005A2328" w:rsidP="00FE30E8">
            <w:pPr>
              <w:pStyle w:val="Tablecontent"/>
              <w:rPr>
                <w:b/>
                <w:bCs/>
              </w:rPr>
            </w:pPr>
          </w:p>
        </w:tc>
        <w:tc>
          <w:tcPr>
            <w:tcW w:w="7909" w:type="dxa"/>
          </w:tcPr>
          <w:p w14:paraId="07281FE6" w14:textId="77777777" w:rsidR="00EE6B3F" w:rsidRPr="00DF1D53" w:rsidRDefault="00EE6B3F" w:rsidP="00EE6B3F">
            <w:pPr>
              <w:pStyle w:val="Tablecontent"/>
            </w:pPr>
            <w:r>
              <w:t xml:space="preserve">When you have 2 watches showing different times, you become unsure which watch is the correct one. </w:t>
            </w:r>
          </w:p>
          <w:p w14:paraId="295C77EC" w14:textId="77777777" w:rsidR="00EE6B3F" w:rsidRPr="00DF1D53" w:rsidRDefault="00EE6B3F" w:rsidP="00EE6B3F">
            <w:pPr>
              <w:pStyle w:val="Tablecontent"/>
            </w:pPr>
            <w:r w:rsidRPr="00DF1D53">
              <w:t xml:space="preserve">There are </w:t>
            </w:r>
            <w:r>
              <w:t>5</w:t>
            </w:r>
            <w:r w:rsidRPr="00DF1D53">
              <w:t xml:space="preserve"> </w:t>
            </w:r>
            <w:r>
              <w:t>metrics</w:t>
            </w:r>
            <w:r w:rsidRPr="00DF1D53">
              <w:t xml:space="preserve"> for VM CPU “</w:t>
            </w:r>
            <w:r w:rsidRPr="009C77A8">
              <w:rPr>
                <w:color w:val="00B0F0"/>
              </w:rPr>
              <w:t>utilization</w:t>
            </w:r>
            <w:r w:rsidRPr="00DF1D53">
              <w:t xml:space="preserve">”: Run, Used, Usage, Usage in MHz, and Demand. Why so many </w:t>
            </w:r>
            <w:r>
              <w:t>metrics</w:t>
            </w:r>
            <w:r w:rsidRPr="00DF1D53">
              <w:t xml:space="preserve"> just to track utilization, different to what Windows or Linux tracks?</w:t>
            </w:r>
          </w:p>
          <w:p w14:paraId="5B716981" w14:textId="77777777" w:rsidR="00EE6B3F" w:rsidRDefault="00EE6B3F" w:rsidP="00EE6B3F">
            <w:pPr>
              <w:pStyle w:val="Tablecontent"/>
            </w:pPr>
            <w:r w:rsidRPr="00DF1D53">
              <w:t xml:space="preserve">There are 6 </w:t>
            </w:r>
            <w:r>
              <w:t>metrics</w:t>
            </w:r>
            <w:r w:rsidRPr="00DF1D53">
              <w:t xml:space="preserve"> for ESXi CPU “</w:t>
            </w:r>
            <w:r w:rsidRPr="009C77A8">
              <w:rPr>
                <w:color w:val="00B0F0"/>
              </w:rPr>
              <w:t>utilization</w:t>
            </w:r>
            <w:r w:rsidRPr="00DF1D53">
              <w:t>”: Core Utilization, Utilization, Used, Usage, Usage in MHz, and Demand.</w:t>
            </w:r>
          </w:p>
          <w:p w14:paraId="4E50FEF3" w14:textId="739A1586" w:rsidR="005A2328" w:rsidRPr="00DF1D53" w:rsidRDefault="00EE6B3F" w:rsidP="00EE6B3F">
            <w:pPr>
              <w:pStyle w:val="Tablecontent"/>
            </w:pPr>
            <w:r>
              <w:t xml:space="preserve">Why so many? </w:t>
            </w:r>
            <w:r w:rsidR="004A3F59">
              <w:t>You’ll find out in this book</w:t>
            </w:r>
            <w:r>
              <w:t>.</w:t>
            </w:r>
          </w:p>
        </w:tc>
      </w:tr>
      <w:tr w:rsidR="009C77A8" w:rsidRPr="00E51A31" w14:paraId="078E8B74" w14:textId="77777777" w:rsidTr="00484C7F">
        <w:tc>
          <w:tcPr>
            <w:tcW w:w="2547" w:type="dxa"/>
            <w:shd w:val="clear" w:color="auto" w:fill="F2F2F2" w:themeFill="background1" w:themeFillShade="F2"/>
          </w:tcPr>
          <w:p w14:paraId="6305F5A7" w14:textId="50AC4DE8" w:rsidR="009C77A8" w:rsidRPr="00FE30E8" w:rsidRDefault="009C77A8" w:rsidP="00FE30E8">
            <w:pPr>
              <w:pStyle w:val="Tablecontent"/>
              <w:rPr>
                <w:b/>
                <w:bCs/>
              </w:rPr>
            </w:pPr>
            <w:r w:rsidRPr="00FE30E8">
              <w:rPr>
                <w:b/>
                <w:bCs/>
              </w:rPr>
              <w:t>Confusing formula</w:t>
            </w:r>
          </w:p>
        </w:tc>
        <w:tc>
          <w:tcPr>
            <w:tcW w:w="7909" w:type="dxa"/>
          </w:tcPr>
          <w:p w14:paraId="76ADE09B" w14:textId="7D359FA9" w:rsidR="009C77A8" w:rsidRDefault="009C77A8" w:rsidP="009C77A8">
            <w:pPr>
              <w:pStyle w:val="Tablecontent"/>
            </w:pPr>
            <w:r>
              <w:t xml:space="preserve">ESXi CPU Idle (ms) includes CPU Frequency. </w:t>
            </w:r>
          </w:p>
        </w:tc>
      </w:tr>
      <w:tr w:rsidR="009C77A8" w:rsidRPr="00E51A31" w14:paraId="768F6C09" w14:textId="77777777" w:rsidTr="00484C7F">
        <w:tc>
          <w:tcPr>
            <w:tcW w:w="2547" w:type="dxa"/>
            <w:shd w:val="clear" w:color="auto" w:fill="F2F2F2" w:themeFill="background1" w:themeFillShade="F2"/>
          </w:tcPr>
          <w:p w14:paraId="20D21E53" w14:textId="77308BE1" w:rsidR="009C77A8" w:rsidRPr="00FE30E8" w:rsidRDefault="009C77A8" w:rsidP="00FE30E8">
            <w:pPr>
              <w:pStyle w:val="Tablecontent"/>
              <w:rPr>
                <w:b/>
                <w:bCs/>
              </w:rPr>
            </w:pPr>
            <w:r w:rsidRPr="00FE30E8">
              <w:rPr>
                <w:b/>
                <w:bCs/>
              </w:rPr>
              <w:t>Inconsistent implementation</w:t>
            </w:r>
          </w:p>
        </w:tc>
        <w:tc>
          <w:tcPr>
            <w:tcW w:w="7909" w:type="dxa"/>
          </w:tcPr>
          <w:p w14:paraId="1C732543" w14:textId="77777777" w:rsidR="009C77A8" w:rsidRDefault="009C77A8" w:rsidP="009C77A8">
            <w:pPr>
              <w:pStyle w:val="Tablecontent"/>
            </w:pPr>
            <w:r>
              <w:t>There is reservation for CPU, memory and network, but not for Disk.</w:t>
            </w:r>
          </w:p>
          <w:p w14:paraId="37E21013" w14:textId="08692BD2" w:rsidR="009C77A8" w:rsidRDefault="009C77A8" w:rsidP="009C77A8">
            <w:pPr>
              <w:pStyle w:val="Tablecontent"/>
            </w:pPr>
            <w:r>
              <w:t>There is limit for disk IOPS, but not for disk throughput.</w:t>
            </w:r>
          </w:p>
        </w:tc>
      </w:tr>
      <w:tr w:rsidR="00FE30E8" w:rsidRPr="00E51A31" w14:paraId="260AB660" w14:textId="77777777" w:rsidTr="00484C7F">
        <w:tc>
          <w:tcPr>
            <w:tcW w:w="2547" w:type="dxa"/>
            <w:shd w:val="clear" w:color="auto" w:fill="F2F2F2" w:themeFill="background1" w:themeFillShade="F2"/>
          </w:tcPr>
          <w:p w14:paraId="315C63F4" w14:textId="354D8AFA" w:rsidR="00FE30E8" w:rsidRPr="00FE30E8" w:rsidRDefault="00FE30E8" w:rsidP="00FE30E8">
            <w:pPr>
              <w:pStyle w:val="Tablecontent"/>
              <w:rPr>
                <w:b/>
                <w:bCs/>
              </w:rPr>
            </w:pPr>
            <w:r w:rsidRPr="00FE30E8">
              <w:rPr>
                <w:b/>
                <w:bCs/>
              </w:rPr>
              <w:t>Incorrect name</w:t>
            </w:r>
          </w:p>
        </w:tc>
        <w:tc>
          <w:tcPr>
            <w:tcW w:w="7909" w:type="dxa"/>
          </w:tcPr>
          <w:p w14:paraId="244E6DA0" w14:textId="77777777" w:rsidR="00532876" w:rsidRDefault="00FE30E8" w:rsidP="009C77A8">
            <w:pPr>
              <w:pStyle w:val="Tablecontent"/>
            </w:pPr>
            <w:r>
              <w:t xml:space="preserve">Task Manager in Windows is not correct as the kernel does not have such concept. </w:t>
            </w:r>
            <w:r w:rsidR="00532876">
              <w:t xml:space="preserve">The terminology that Windows has is actually called </w:t>
            </w:r>
            <w:r w:rsidR="00532876" w:rsidRPr="006D5A62">
              <w:rPr>
                <w:color w:val="00B0F0"/>
              </w:rPr>
              <w:t>Job</w:t>
            </w:r>
            <w:r w:rsidR="00532876">
              <w:t xml:space="preserve">. A job is a group of processes that can be managed as one. Do you want it to be called Job Manager? </w:t>
            </w:r>
            <w:r w:rsidR="00532876">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532876">
              <w:t xml:space="preserve"> </w:t>
            </w:r>
          </w:p>
          <w:p w14:paraId="40736587" w14:textId="19887DCA" w:rsidR="00FE30E8" w:rsidRDefault="00532876" w:rsidP="009C77A8">
            <w:pPr>
              <w:pStyle w:val="Tablecontent"/>
            </w:pPr>
            <w:r>
              <w:t xml:space="preserve">I think </w:t>
            </w:r>
            <w:r w:rsidR="00FE30E8">
              <w:t xml:space="preserve">Process Manager </w:t>
            </w:r>
            <w:r>
              <w:t xml:space="preserve">is better </w:t>
            </w:r>
            <w:r w:rsidR="00FE30E8">
              <w:t>as that’s what running on top of the kernel</w:t>
            </w:r>
            <w:r>
              <w:t>.</w:t>
            </w:r>
          </w:p>
        </w:tc>
      </w:tr>
    </w:tbl>
    <w:p w14:paraId="63BA05B9" w14:textId="77777777" w:rsidR="00BA283C" w:rsidRDefault="00BA283C" w:rsidP="00BA283C">
      <w:pPr>
        <w:pStyle w:val="Heading4"/>
      </w:pPr>
      <w:r>
        <w:t xml:space="preserve">Limited Observability </w:t>
      </w:r>
    </w:p>
    <w:p w14:paraId="78E91315" w14:textId="751DF0F7" w:rsidR="00F3521F" w:rsidRDefault="00BA283C" w:rsidP="00BA283C">
      <w:r>
        <w:t xml:space="preserve">One major difference between Guest OS and VM is that Windows or Linux has a lot of processes. The problem is there is minimal observability. There seems to be limited useful information for troubleshooting. </w:t>
      </w:r>
      <w:r w:rsidR="00F3521F">
        <w:t>For example, there is no CPU queue metric, memory page fault, network dropped packet, and disk latency at process level.</w:t>
      </w:r>
    </w:p>
    <w:p w14:paraId="727A7E31" w14:textId="7D7EFC8F" w:rsidR="00BA283C" w:rsidRDefault="00BA283C" w:rsidP="00BA283C">
      <w:r>
        <w:t xml:space="preserve">The following shows </w:t>
      </w:r>
      <w:hyperlink r:id="rId207">
        <w:r w:rsidRPr="75ACB272">
          <w:rPr>
            <w:rStyle w:val="Hyperlink"/>
          </w:rPr>
          <w:t>Windows Sysinternal</w:t>
        </w:r>
      </w:hyperlink>
      <w:r>
        <w:rPr>
          <w:rStyle w:val="FootnoteReference"/>
          <w:color w:val="0000FF"/>
          <w:u w:val="single"/>
        </w:rPr>
        <w:footnoteReference w:id="11"/>
      </w:r>
      <w:r>
        <w:t xml:space="preserve">, a great tool for Windows troubleshooting. As you can see, they are just utilization metrics. </w:t>
      </w:r>
      <w:r w:rsidR="002225C6">
        <w:t>There is no contention metric.</w:t>
      </w:r>
    </w:p>
    <w:p w14:paraId="604824E5" w14:textId="77777777" w:rsidR="00BA283C" w:rsidRDefault="00BA283C" w:rsidP="00BA283C">
      <w:r>
        <w:rPr>
          <w:noProof/>
        </w:rPr>
        <w:lastRenderedPageBreak/>
        <w:drawing>
          <wp:inline distT="0" distB="0" distL="0" distR="0" wp14:anchorId="4ABC5236" wp14:editId="35AAC679">
            <wp:extent cx="6645910" cy="3229610"/>
            <wp:effectExtent l="0" t="0" r="2540" b="8890"/>
            <wp:docPr id="606394187" name="Picture 606394187"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87" name="Picture 606394187" descr="Graphical user interface&#10;&#10;Description automatically generated with low confidence"/>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6645910" cy="3229610"/>
                    </a:xfrm>
                    <a:prstGeom prst="rect">
                      <a:avLst/>
                    </a:prstGeom>
                  </pic:spPr>
                </pic:pic>
              </a:graphicData>
            </a:graphic>
          </wp:inline>
        </w:drawing>
      </w:r>
    </w:p>
    <w:p w14:paraId="11881BDD" w14:textId="77777777" w:rsidR="00BA283C" w:rsidRDefault="00BA283C" w:rsidP="00BA283C">
      <w:pPr>
        <w:pStyle w:val="Heading4"/>
      </w:pPr>
      <w:r>
        <w:t>Documentation Challenges</w:t>
      </w:r>
    </w:p>
    <w:p w14:paraId="2DA1B06C" w14:textId="77777777" w:rsidR="00BA283C" w:rsidRDefault="00BA283C" w:rsidP="00BA283C">
      <w:pPr>
        <w:rPr>
          <w:lang w:val="en-GB"/>
        </w:rPr>
      </w:pPr>
      <w:r>
        <w:rPr>
          <w:lang w:val="en-GB"/>
        </w:rPr>
        <w:t>To master metrics, you need to be able to see them from 3 different perspectives:</w:t>
      </w:r>
    </w:p>
    <w:p w14:paraId="2EF9EF7C" w14:textId="77777777" w:rsidR="00BA283C" w:rsidRDefault="00BA283C" w:rsidP="00BA283C">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2340"/>
        <w:gridCol w:w="8116"/>
      </w:tblGrid>
      <w:tr w:rsidR="00BA283C" w14:paraId="31139CFB" w14:textId="77777777" w:rsidTr="00281329">
        <w:tc>
          <w:tcPr>
            <w:tcW w:w="2340" w:type="dxa"/>
            <w:shd w:val="clear" w:color="auto" w:fill="F2F2F2" w:themeFill="background1" w:themeFillShade="F2"/>
          </w:tcPr>
          <w:p w14:paraId="45653021" w14:textId="77777777" w:rsidR="00BA283C" w:rsidRPr="00F92296" w:rsidRDefault="00BA283C" w:rsidP="00281329">
            <w:pPr>
              <w:pStyle w:val="Tablecontent"/>
              <w:rPr>
                <w:b/>
                <w:bCs/>
              </w:rPr>
            </w:pPr>
            <w:r>
              <w:rPr>
                <w:b/>
                <w:bCs/>
              </w:rPr>
              <w:t>Product</w:t>
            </w:r>
          </w:p>
        </w:tc>
        <w:tc>
          <w:tcPr>
            <w:tcW w:w="8116" w:type="dxa"/>
          </w:tcPr>
          <w:p w14:paraId="55F431C9" w14:textId="77777777" w:rsidR="00BA283C" w:rsidRDefault="00BA283C" w:rsidP="00281329">
            <w:pPr>
              <w:pStyle w:val="Tablecontent"/>
            </w:pPr>
            <w:r>
              <w:t xml:space="preserve">Product such as vSphere, Horizon, and Kubernetes bring their own set of objects. </w:t>
            </w:r>
          </w:p>
          <w:p w14:paraId="1426D705" w14:textId="77777777" w:rsidR="00BA283C" w:rsidRDefault="00BA283C" w:rsidP="00281329">
            <w:pPr>
              <w:pStyle w:val="Tablecontent"/>
            </w:pPr>
            <w:r>
              <w:t xml:space="preserve">Each type of object (e.g. VM, K8 Pod, AWS S3, Oracle DB) has their own set of metrics. Since objects typically have relationship with other objects and are grouped under a parent (e.g. a K8 Cluster has multiple nodes, which in turn can have multiple pods), you end up with multiple parallel hierarchies or overlapping hierarchies. </w:t>
            </w:r>
          </w:p>
        </w:tc>
      </w:tr>
      <w:tr w:rsidR="00BA283C" w14:paraId="19908B41" w14:textId="77777777" w:rsidTr="00281329">
        <w:tc>
          <w:tcPr>
            <w:tcW w:w="2340" w:type="dxa"/>
            <w:shd w:val="clear" w:color="auto" w:fill="F2F2F2" w:themeFill="background1" w:themeFillShade="F2"/>
          </w:tcPr>
          <w:p w14:paraId="587A0B92" w14:textId="77777777" w:rsidR="00BA283C" w:rsidRDefault="00BA283C" w:rsidP="00281329">
            <w:pPr>
              <w:pStyle w:val="Tablecontent"/>
              <w:rPr>
                <w:b/>
                <w:bCs/>
              </w:rPr>
            </w:pPr>
            <w:r>
              <w:rPr>
                <w:b/>
                <w:bCs/>
              </w:rPr>
              <w:t>Technology</w:t>
            </w:r>
          </w:p>
        </w:tc>
        <w:tc>
          <w:tcPr>
            <w:tcW w:w="8116" w:type="dxa"/>
          </w:tcPr>
          <w:p w14:paraId="5D1AB754" w14:textId="6DBC59BB" w:rsidR="00BA283C" w:rsidRDefault="00BA283C" w:rsidP="00281329">
            <w:pPr>
              <w:pStyle w:val="Tablecontent"/>
            </w:pPr>
            <w:r>
              <w:t xml:space="preserve">Computer architecture has not fundamentally changed since the first day of the mainframe. You have CPU, memory, disk and network. Documenting via this route is useful for infrastructure. </w:t>
            </w:r>
          </w:p>
          <w:p w14:paraId="64F802CE" w14:textId="77777777" w:rsidR="00BA283C" w:rsidRDefault="00BA283C" w:rsidP="00281329">
            <w:pPr>
              <w:pStyle w:val="Tablecontent"/>
            </w:pPr>
            <w:r>
              <w:t>There are variants such as GPU and APU, and components become distributed and virtual. You need to be able to see how the metrics behaviour change.</w:t>
            </w:r>
          </w:p>
        </w:tc>
      </w:tr>
      <w:tr w:rsidR="00BA283C" w14:paraId="3DC8471E" w14:textId="77777777" w:rsidTr="00281329">
        <w:tc>
          <w:tcPr>
            <w:tcW w:w="2340" w:type="dxa"/>
            <w:shd w:val="clear" w:color="auto" w:fill="F2F2F2" w:themeFill="background1" w:themeFillShade="F2"/>
          </w:tcPr>
          <w:p w14:paraId="593AFE19" w14:textId="77777777" w:rsidR="00BA283C" w:rsidRDefault="00BA283C" w:rsidP="00281329">
            <w:pPr>
              <w:pStyle w:val="Tablecontent"/>
              <w:rPr>
                <w:b/>
                <w:bCs/>
              </w:rPr>
            </w:pPr>
            <w:r>
              <w:rPr>
                <w:b/>
                <w:bCs/>
              </w:rPr>
              <w:t xml:space="preserve">Pillars of Operations </w:t>
            </w:r>
          </w:p>
        </w:tc>
        <w:tc>
          <w:tcPr>
            <w:tcW w:w="8116" w:type="dxa"/>
          </w:tcPr>
          <w:p w14:paraId="4732FBD8" w14:textId="77777777" w:rsidR="00BA283C" w:rsidRDefault="00BA283C" w:rsidP="00281329">
            <w:pPr>
              <w:pStyle w:val="Tablecontent"/>
            </w:pPr>
            <w:r>
              <w:t xml:space="preserve">Each pillar brings their own set of metrics. </w:t>
            </w:r>
          </w:p>
          <w:p w14:paraId="09F4637D" w14:textId="77777777" w:rsidR="00BA283C" w:rsidRDefault="00BA283C" w:rsidP="00281329">
            <w:pPr>
              <w:pStyle w:val="Tablecontent"/>
            </w:pPr>
            <w:r>
              <w:t xml:space="preserve">For examples: </w:t>
            </w:r>
          </w:p>
          <w:p w14:paraId="7F9979F7" w14:textId="77777777" w:rsidR="00BA283C" w:rsidRDefault="00BA283C">
            <w:pPr>
              <w:pStyle w:val="Tablecontent"/>
              <w:numPr>
                <w:ilvl w:val="0"/>
                <w:numId w:val="64"/>
              </w:numPr>
            </w:pPr>
            <w:r>
              <w:t>Capacity creates new metrics such as Time Remaining and Recommended Size</w:t>
            </w:r>
          </w:p>
          <w:p w14:paraId="3DE8E47A" w14:textId="77777777" w:rsidR="00BA283C" w:rsidRDefault="00BA283C">
            <w:pPr>
              <w:pStyle w:val="Tablecontent"/>
              <w:numPr>
                <w:ilvl w:val="0"/>
                <w:numId w:val="64"/>
              </w:numPr>
            </w:pPr>
            <w:r>
              <w:t>Cost creates new metrics such as Month-to-Date Cost</w:t>
            </w:r>
          </w:p>
          <w:p w14:paraId="2A91FDF4" w14:textId="77777777" w:rsidR="00BA283C" w:rsidRDefault="00BA283C">
            <w:pPr>
              <w:pStyle w:val="Tablecontent"/>
              <w:numPr>
                <w:ilvl w:val="0"/>
                <w:numId w:val="64"/>
              </w:numPr>
            </w:pPr>
            <w:r>
              <w:t>Performance creates new metric such as KPI (%)</w:t>
            </w:r>
          </w:p>
        </w:tc>
      </w:tr>
    </w:tbl>
    <w:p w14:paraId="475D1CB2" w14:textId="5E27D4A0" w:rsidR="00BA283C" w:rsidRDefault="00BA283C" w:rsidP="00BA283C">
      <w:pPr>
        <w:rPr>
          <w:lang w:val="en-GB"/>
        </w:rPr>
      </w:pPr>
      <w:r>
        <w:rPr>
          <w:lang w:val="en-GB"/>
        </w:rPr>
        <w:t>As a book has a simple and fixed structure, I’m struggling to document in 3 different ways. Ideally we use an interactive website where you can browse from different perspectives</w:t>
      </w:r>
      <w:r w:rsidR="00F01EB7">
        <w:rPr>
          <w:lang w:val="en-GB"/>
        </w:rPr>
        <w:t>.</w:t>
      </w:r>
    </w:p>
    <w:p w14:paraId="112CF277" w14:textId="0446B006" w:rsidR="003F12D5" w:rsidRDefault="003F12D5" w:rsidP="00EE21B5">
      <w:pPr>
        <w:pStyle w:val="Heading3"/>
      </w:pPr>
      <w:r>
        <w:lastRenderedPageBreak/>
        <w:t>Virtualization</w:t>
      </w:r>
      <w:r w:rsidR="000E72B0">
        <w:t xml:space="preserve"> Impact</w:t>
      </w:r>
    </w:p>
    <w:p w14:paraId="358D1D0E" w14:textId="0FF7CC76" w:rsidR="00EE21B5" w:rsidRDefault="00EE21B5" w:rsidP="00EE21B5">
      <w:r>
        <w:t>From observability viewpoint, a VM is not what most of us think it is. It changes the fundamental of operations management. It introduces a whole set of metrics and properties, and relegate</w:t>
      </w:r>
      <w:r w:rsidR="00AF07E7">
        <w:t>s</w:t>
      </w:r>
      <w:r>
        <w:t xml:space="preserve"> many known concepts as irrelevant. </w:t>
      </w:r>
    </w:p>
    <w:p w14:paraId="0636080B" w14:textId="09E3A94A" w:rsidR="000E72B0" w:rsidRDefault="00AF07E7" w:rsidP="00EE21B5">
      <w:r>
        <w:t>For example, y</w:t>
      </w:r>
      <w:r w:rsidR="000E72B0">
        <w:t xml:space="preserve">ou generally talk about these types of system-level metrics in </w:t>
      </w:r>
      <w:r>
        <w:t>Windows or Linux</w:t>
      </w:r>
      <w:r w:rsidR="000E72B0">
        <w:t xml:space="preserve"> </w:t>
      </w:r>
    </w:p>
    <w:p w14:paraId="61DF40DF" w14:textId="77777777" w:rsidR="000E72B0" w:rsidRPr="00455AF3" w:rsidRDefault="000E72B0" w:rsidP="00EE21B5">
      <w:pPr>
        <w:pStyle w:val="Bullet"/>
        <w:rPr>
          <w:lang w:val="en-GB"/>
        </w:rPr>
      </w:pPr>
      <w:r>
        <w:t>Processes</w:t>
      </w:r>
    </w:p>
    <w:p w14:paraId="4CC891AA" w14:textId="77777777" w:rsidR="000E72B0" w:rsidRPr="008C1629" w:rsidRDefault="000E72B0" w:rsidP="00EE21B5">
      <w:pPr>
        <w:pStyle w:val="Bullet"/>
        <w:rPr>
          <w:lang w:val="en-GB"/>
        </w:rPr>
      </w:pPr>
      <w:r>
        <w:t>Threads</w:t>
      </w:r>
    </w:p>
    <w:p w14:paraId="4588FAC1" w14:textId="77777777" w:rsidR="000E72B0" w:rsidRPr="00812CE5" w:rsidRDefault="000E72B0" w:rsidP="00EE21B5">
      <w:pPr>
        <w:pStyle w:val="Bullet"/>
        <w:rPr>
          <w:lang w:val="en-GB"/>
        </w:rPr>
      </w:pPr>
      <w:r>
        <w:t>System Calls/sec</w:t>
      </w:r>
    </w:p>
    <w:p w14:paraId="3603AB12" w14:textId="2306EA69" w:rsidR="00181F77" w:rsidRDefault="00AF07E7" w:rsidP="00EE21B5">
      <w:r>
        <w:t xml:space="preserve">But when it comes to VM, you don’t. </w:t>
      </w:r>
      <w:r w:rsidR="000E72B0">
        <w:t>The reason these OS-level metrics are not relevant is because a VM is not an OS.</w:t>
      </w:r>
    </w:p>
    <w:p w14:paraId="4B098E02" w14:textId="305489DA" w:rsidR="000A4AD6" w:rsidRDefault="000A4AD6" w:rsidP="000A4AD6">
      <w:pPr>
        <w:rPr>
          <w:lang w:val="en-GB"/>
        </w:rPr>
      </w:pPr>
      <w:r>
        <w:rPr>
          <w:lang w:val="en-GB"/>
        </w:rPr>
        <w:t>To master vSphere metrics, you need to know VMkernel. The kernel is a different type of OS as its purpose is to run multiple virtualized motherboard (I personally prefer to call VM as virtual motherboard). As a result its metrics are different to typical OS such as Windows and Linux.</w:t>
      </w:r>
    </w:p>
    <w:p w14:paraId="4B7DEF27" w14:textId="347961D7" w:rsidR="00181F77" w:rsidRDefault="00181F77" w:rsidP="00EE21B5">
      <w:r>
        <w:t xml:space="preserve">From VMkernel’s vantage point, a VM is just a collection of process that needs to be run together. Each process is called World. So there is a world for each vCPU of a VM, as each can be scheduled independently. The following screenshot shows both VM and non VM worlds running side by side. I’ve marked the kernel modules with </w:t>
      </w:r>
      <w:r w:rsidR="00CF7D2C" w:rsidRPr="00CF7D2C">
        <w:rPr>
          <w:color w:val="FF0000"/>
        </w:rPr>
        <w:t>red</w:t>
      </w:r>
      <w:r w:rsidRPr="00E13E58">
        <w:rPr>
          <w:color w:val="FF0000"/>
        </w:rPr>
        <w:t xml:space="preserve"> </w:t>
      </w:r>
      <w:r>
        <w:t xml:space="preserve">dot. You can spot familiar process like vpxa and hostd running alongside VM (marked with the </w:t>
      </w:r>
      <w:r w:rsidR="000F35C5" w:rsidRPr="009322C0">
        <w:rPr>
          <w:color w:val="000000" w:themeColor="text1"/>
          <w14:textFill>
            <w14:gradFill>
              <w14:gsLst>
                <w14:gs w14:pos="0">
                  <w14:schemeClr w14:val="tx1"/>
                </w14:gs>
                <w14:gs w14:pos="100000">
                  <w14:srgbClr w14:val="FFFF00"/>
                </w14:gs>
              </w14:gsLst>
              <w14:lin w14:ang="16200000" w14:scaled="0"/>
            </w14:gradFill>
          </w14:textFill>
        </w:rPr>
        <w:t>yellow</w:t>
      </w:r>
      <w:r w:rsidR="000F35C5" w:rsidRPr="009322C0">
        <w:rPr>
          <w14:textFill>
            <w14:gradFill>
              <w14:gsLst>
                <w14:gs w14:pos="0">
                  <w14:schemeClr w14:val="tx1"/>
                </w14:gs>
                <w14:gs w14:pos="100000">
                  <w14:srgbClr w14:val="FFFF00"/>
                </w14:gs>
              </w14:gsLst>
              <w14:lin w14:ang="16200000" w14:scaled="0"/>
            </w14:gradFill>
          </w14:textFill>
        </w:rPr>
        <w:t xml:space="preserve"> </w:t>
      </w:r>
      <w:r>
        <w:t>line).</w:t>
      </w:r>
    </w:p>
    <w:p w14:paraId="394C889B" w14:textId="20818C94" w:rsidR="00181F77" w:rsidRDefault="00181F77" w:rsidP="00EE21B5">
      <w:pPr>
        <w:jc w:val="center"/>
      </w:pPr>
      <w:r>
        <w:rPr>
          <w:noProof/>
        </w:rPr>
        <w:drawing>
          <wp:inline distT="0" distB="0" distL="0" distR="0" wp14:anchorId="48216931" wp14:editId="44CD5032">
            <wp:extent cx="5806800" cy="1123200"/>
            <wp:effectExtent l="0" t="0" r="3810" b="1270"/>
            <wp:docPr id="1859674539" name="Picture 185967453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39" name="Picture 1859674539" descr="A screenshot of a computer&#10;&#10;Description automatically generated"/>
                    <pic:cNvPicPr/>
                  </pic:nvPicPr>
                  <pic:blipFill>
                    <a:blip r:embed="rId209"/>
                    <a:stretch>
                      <a:fillRect/>
                    </a:stretch>
                  </pic:blipFill>
                  <pic:spPr>
                    <a:xfrm>
                      <a:off x="0" y="0"/>
                      <a:ext cx="5806800" cy="1123200"/>
                    </a:xfrm>
                    <a:prstGeom prst="rect">
                      <a:avLst/>
                    </a:prstGeom>
                  </pic:spPr>
                </pic:pic>
              </a:graphicData>
            </a:graphic>
          </wp:inline>
        </w:drawing>
      </w:r>
    </w:p>
    <w:p w14:paraId="544FE0E6" w14:textId="2E041A04" w:rsidR="007A5609" w:rsidRDefault="007A5609" w:rsidP="007A5609">
      <w:r>
        <w:t xml:space="preserve">vSphere and vSAN metrics are more complex than physical machine metrics because there are many components as well as inconsistencies that are caused by virtualization. When virtualized, the 4 elements of infrastructure (CPU, RAM, Disk, Network) behave </w:t>
      </w:r>
      <w:r w:rsidRPr="710ED607">
        <w:rPr>
          <w:i/>
          <w:iCs/>
          <w:color w:val="FF0000"/>
        </w:rPr>
        <w:t>differently</w:t>
      </w:r>
      <w:r>
        <w:t>.</w:t>
      </w:r>
    </w:p>
    <w:p w14:paraId="24FADFA3" w14:textId="325E6628" w:rsidR="007A5609" w:rsidRDefault="007A5609" w:rsidP="007A5609">
      <w:r>
        <w:t xml:space="preserve">The complexity created by a new layer because it impacts the adjacent layers below and above it. So the net effect you need to learn 3 layers. That’s why from a monitoring and troubleshooting viewpoint, Kubernetes and </w:t>
      </w:r>
      <w:hyperlink r:id="rId210">
        <w:r w:rsidRPr="36121475">
          <w:rPr>
            <w:rStyle w:val="Hyperlink"/>
          </w:rPr>
          <w:t>container</w:t>
        </w:r>
      </w:hyperlink>
      <w:r>
        <w:t xml:space="preserve"> technology require an even deeper knowledge as the boundary is even less strict. Think of all the </w:t>
      </w:r>
      <w:hyperlink r:id="rId211">
        <w:r w:rsidRPr="36121475">
          <w:rPr>
            <w:rStyle w:val="Hyperlink"/>
          </w:rPr>
          <w:t>problems</w:t>
        </w:r>
      </w:hyperlink>
      <w:r>
        <w:t xml:space="preserve"> you have with vSphere Resource Pool performance troubleshooting, and now make it granular at process level. </w:t>
      </w:r>
    </w:p>
    <w:p w14:paraId="4EF728DB" w14:textId="77777777" w:rsidR="007A5609" w:rsidRPr="004B33DE" w:rsidRDefault="007A5609" w:rsidP="007A5609">
      <w:pPr>
        <w:rPr>
          <w:lang w:val="en-GB"/>
        </w:rPr>
      </w:pPr>
      <w:r w:rsidRPr="00B56E6E">
        <w:rPr>
          <w:lang w:val="en-GB"/>
        </w:rPr>
        <w:t xml:space="preserve">Not all </w:t>
      </w:r>
      <w:r>
        <w:rPr>
          <w:lang w:val="en-GB"/>
        </w:rPr>
        <w:t>VMware</w:t>
      </w:r>
      <w:r w:rsidRPr="00B56E6E">
        <w:rPr>
          <w:lang w:val="en-GB"/>
        </w:rPr>
        <w:t xml:space="preserve">-specific characteristics are well understood by management tools that are not purpose-built for it. Partial understanding can lead to misunderstanding as wrong interpretation of </w:t>
      </w:r>
      <w:r>
        <w:rPr>
          <w:lang w:val="en-GB"/>
        </w:rPr>
        <w:t>metrics</w:t>
      </w:r>
      <w:r w:rsidRPr="00B56E6E">
        <w:rPr>
          <w:lang w:val="en-GB"/>
        </w:rPr>
        <w:t xml:space="preserve"> can result in wrong action taken.</w:t>
      </w:r>
    </w:p>
    <w:p w14:paraId="5CC9B4D7" w14:textId="1C27BC7B" w:rsidR="00181F77" w:rsidRDefault="00181F77" w:rsidP="00EE21B5">
      <w:pPr>
        <w:pStyle w:val="Heading4"/>
      </w:pPr>
      <w:r>
        <w:lastRenderedPageBreak/>
        <w:t>Visibility</w:t>
      </w:r>
    </w:p>
    <w:p w14:paraId="1A785A33" w14:textId="11248095" w:rsidR="00EE21B5" w:rsidRDefault="00EE21B5" w:rsidP="00EE21B5">
      <w:r>
        <w:t>Guest OS and VM are 2 closely related</w:t>
      </w:r>
      <w:r w:rsidR="00D672CE">
        <w:t xml:space="preserve"> due to their 1:1 relationship. They are </w:t>
      </w:r>
      <w:r>
        <w:t xml:space="preserve">adjacent layers in SDDC stacks. </w:t>
      </w:r>
      <w:r w:rsidR="00D672CE">
        <w:t>However, t</w:t>
      </w:r>
      <w:r>
        <w:t>he two layers are distinct, each provide unique visibility that the other layer may not be able to give. Resource consumed by Guest OS is not the same as resource consumed by the underlying VM. Other factors such as power management and CPU SMT also contribute to the differences.</w:t>
      </w:r>
    </w:p>
    <w:p w14:paraId="40657BEB" w14:textId="6BDA887A" w:rsidR="003B3D04" w:rsidRDefault="003B3D04" w:rsidP="00EE21B5">
      <w:r>
        <w:t>The different vantage points result in different metrics. This creates complexity as you size based on what happens inside the VM, but reclaim based on what happens outside the VM (specifically, the footprint on the ESXi). In other words, you size the Guest OS and you reclaim the VM.</w:t>
      </w:r>
    </w:p>
    <w:p w14:paraId="6989B687" w14:textId="6AE54031" w:rsidR="000E72B0" w:rsidRPr="00C018D4" w:rsidRDefault="000E72B0" w:rsidP="00EE21B5">
      <w:r>
        <w:t xml:space="preserve">The following diagram uses </w:t>
      </w:r>
      <w:r w:rsidRPr="006D5A62">
        <w:t>the</w:t>
      </w:r>
      <w:r w:rsidRPr="00463233">
        <w:rPr>
          <w:i/>
          <w:iCs/>
          <w:color w:val="FF0000"/>
        </w:rPr>
        <w:t xml:space="preserve"> English </w:t>
      </w:r>
      <w:r w:rsidRPr="006D5A62">
        <w:t>words</w:t>
      </w:r>
      <w:r w:rsidRPr="710ED607">
        <w:rPr>
          <w:color w:val="FF0000"/>
        </w:rPr>
        <w:t xml:space="preserve"> </w:t>
      </w:r>
      <w:r>
        <w:t xml:space="preserve">demand and usage to explain the concept, where demand consists of usage and unmet demand. It does not mean the demand and usage </w:t>
      </w:r>
      <w:r w:rsidR="008D3A3F">
        <w:t>metrics</w:t>
      </w:r>
      <w:r>
        <w:t xml:space="preserve"> in vSphere and </w:t>
      </w:r>
      <w:r w:rsidR="00923141">
        <w:t xml:space="preserve">Aria </w:t>
      </w:r>
      <w:r>
        <w:t xml:space="preserve">Operations, meaning don’t assume these </w:t>
      </w:r>
      <w:r w:rsidR="008D3A3F">
        <w:t>metrics</w:t>
      </w:r>
      <w:r>
        <w:t xml:space="preserve"> actually mean this. They were created for a different purpose.</w:t>
      </w:r>
    </w:p>
    <w:p w14:paraId="632C56C5" w14:textId="77777777" w:rsidR="000E72B0" w:rsidRDefault="000E72B0" w:rsidP="00EE21B5">
      <w:pPr>
        <w:jc w:val="center"/>
      </w:pPr>
      <w:r>
        <w:rPr>
          <w:noProof/>
        </w:rPr>
        <w:drawing>
          <wp:inline distT="0" distB="0" distL="0" distR="0" wp14:anchorId="7F2DFD0D" wp14:editId="2251D496">
            <wp:extent cx="5978238" cy="2664673"/>
            <wp:effectExtent l="0" t="0" r="3810" b="2540"/>
            <wp:docPr id="606394241" name="Picture 60639424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41" name="Picture 606394241" descr="Diagram&#10;&#10;Description automatically generated"/>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5978238" cy="2664673"/>
                    </a:xfrm>
                    <a:prstGeom prst="rect">
                      <a:avLst/>
                    </a:prstGeom>
                  </pic:spPr>
                </pic:pic>
              </a:graphicData>
            </a:graphic>
          </wp:inline>
        </w:drawing>
      </w:r>
    </w:p>
    <w:p w14:paraId="3709BBD4" w14:textId="77777777" w:rsidR="000E72B0" w:rsidRDefault="000E72B0" w:rsidP="00EE21B5">
      <w:r>
        <w:t>I tried adding application into the above diagram, but that complicated the whole picture that I removed it. So just take note that some applications such as Java VM and database manage their own resources. Another virtualization layer such as Container certainly takes the complexity to another level.</w:t>
      </w:r>
    </w:p>
    <w:p w14:paraId="0B777BF3" w14:textId="77777777" w:rsidR="000E72B0" w:rsidRDefault="000E72B0" w:rsidP="00EE21B5">
      <w:r>
        <w:t xml:space="preserve">We can see from the above that area A is not visible to the hypervisor. </w:t>
      </w:r>
    </w:p>
    <w:p w14:paraId="01DADB25" w14:textId="77777777" w:rsidR="000E72B0" w:rsidRDefault="000E72B0" w:rsidP="00EE21B5">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560"/>
        <w:gridCol w:w="8896"/>
      </w:tblGrid>
      <w:tr w:rsidR="000E72B0" w14:paraId="17B9414E" w14:textId="77777777" w:rsidTr="00E440AB">
        <w:tc>
          <w:tcPr>
            <w:tcW w:w="1560" w:type="dxa"/>
            <w:shd w:val="clear" w:color="auto" w:fill="F2F2F2" w:themeFill="background1" w:themeFillShade="F2"/>
          </w:tcPr>
          <w:p w14:paraId="4415C0F4" w14:textId="77777777" w:rsidR="000E72B0" w:rsidRPr="00F92296" w:rsidRDefault="000E72B0" w:rsidP="00EE21B5">
            <w:pPr>
              <w:pStyle w:val="Tablecontent"/>
              <w:rPr>
                <w:b/>
                <w:bCs/>
              </w:rPr>
            </w:pPr>
            <w:r w:rsidRPr="00F92296">
              <w:rPr>
                <w:b/>
                <w:bCs/>
              </w:rPr>
              <w:t>Layer A</w:t>
            </w:r>
          </w:p>
        </w:tc>
        <w:tc>
          <w:tcPr>
            <w:tcW w:w="8896" w:type="dxa"/>
          </w:tcPr>
          <w:p w14:paraId="1198386C" w14:textId="77777777" w:rsidR="000E72B0" w:rsidRDefault="000E72B0" w:rsidP="00EE21B5">
            <w:pPr>
              <w:pStyle w:val="Tablecontent"/>
            </w:pPr>
            <w:r w:rsidRPr="00F92296">
              <w:t xml:space="preserve">Queue inside the Guest </w:t>
            </w:r>
            <w:r>
              <w:t xml:space="preserve">OS </w:t>
            </w:r>
            <w:r w:rsidRPr="00F92296">
              <w:t>(CPU Run Queue, RAM Page File, Disk Queue Length, Driver Queue</w:t>
            </w:r>
            <w:r>
              <w:t>, network card ring buffer</w:t>
            </w:r>
            <w:r w:rsidRPr="00F92296">
              <w:t xml:space="preserve">). </w:t>
            </w:r>
            <w:r>
              <w:t>These queues are not visible to the underlying hypervisor as they have not been sent down to the kernel. For example, if Oracle sends IO requests to Windows, and Windows storage subsystem is full, it won’t send this IO to the hypervisor. As a result, the disk IOPS counter at VM level will under report as it has not received this IO request yet.</w:t>
            </w:r>
          </w:p>
        </w:tc>
      </w:tr>
      <w:tr w:rsidR="000E72B0" w14:paraId="10E72300" w14:textId="77777777" w:rsidTr="00E440AB">
        <w:tc>
          <w:tcPr>
            <w:tcW w:w="1560" w:type="dxa"/>
            <w:shd w:val="clear" w:color="auto" w:fill="F2F2F2" w:themeFill="background1" w:themeFillShade="F2"/>
          </w:tcPr>
          <w:p w14:paraId="390B1E69" w14:textId="77777777" w:rsidR="000E72B0" w:rsidRPr="00F92296" w:rsidRDefault="000E72B0" w:rsidP="00EE21B5">
            <w:pPr>
              <w:pStyle w:val="Tablecontent"/>
              <w:rPr>
                <w:b/>
                <w:bCs/>
              </w:rPr>
            </w:pPr>
            <w:r w:rsidRPr="00F92296">
              <w:rPr>
                <w:b/>
                <w:bCs/>
              </w:rPr>
              <w:t>Layer B</w:t>
            </w:r>
          </w:p>
        </w:tc>
        <w:tc>
          <w:tcPr>
            <w:tcW w:w="8896" w:type="dxa"/>
          </w:tcPr>
          <w:p w14:paraId="7A9A6A26" w14:textId="736FB527" w:rsidR="000E72B0" w:rsidRDefault="000E72B0" w:rsidP="00EE21B5">
            <w:pPr>
              <w:pStyle w:val="Tablecontent"/>
            </w:pPr>
            <w:r w:rsidRPr="00F92296">
              <w:t>What the Guest actually uses</w:t>
            </w:r>
            <w:r>
              <w:t xml:space="preserve">. This is visible to the hypervisor as a VM is basically a multi-process application. The Guest OS CPU utilization somehow translates into VM CPU Run. I added the word </w:t>
            </w:r>
            <w:r w:rsidR="006D5A62">
              <w:t>“</w:t>
            </w:r>
            <w:r w:rsidRPr="006D5A62">
              <w:rPr>
                <w:color w:val="00B0F0"/>
              </w:rPr>
              <w:t>somehow</w:t>
            </w:r>
            <w:r w:rsidR="006D5A62">
              <w:t>” a</w:t>
            </w:r>
            <w:r>
              <w:t xml:space="preserve">s the two </w:t>
            </w:r>
            <w:r w:rsidR="008D3A3F">
              <w:t>metrics</w:t>
            </w:r>
            <w:r>
              <w:t xml:space="preserve"> are calculated independently of each other, and likely taken at different sampling time and </w:t>
            </w:r>
            <w:r w:rsidR="00923141">
              <w:t xml:space="preserve">use different </w:t>
            </w:r>
            <w:r>
              <w:t xml:space="preserve">roll up technique. </w:t>
            </w:r>
          </w:p>
        </w:tc>
      </w:tr>
      <w:tr w:rsidR="000E72B0" w14:paraId="5BAC2551" w14:textId="77777777" w:rsidTr="00E440AB">
        <w:tc>
          <w:tcPr>
            <w:tcW w:w="1560" w:type="dxa"/>
            <w:shd w:val="clear" w:color="auto" w:fill="F2F2F2" w:themeFill="background1" w:themeFillShade="F2"/>
          </w:tcPr>
          <w:p w14:paraId="0E367FC2" w14:textId="77777777" w:rsidR="000E72B0" w:rsidRPr="00F92296" w:rsidRDefault="000E72B0" w:rsidP="00EE21B5">
            <w:pPr>
              <w:pStyle w:val="Tablecontent"/>
              <w:rPr>
                <w:b/>
                <w:bCs/>
              </w:rPr>
            </w:pPr>
            <w:r w:rsidRPr="00F92296">
              <w:rPr>
                <w:b/>
                <w:bCs/>
              </w:rPr>
              <w:t>Layer C</w:t>
            </w:r>
          </w:p>
        </w:tc>
        <w:tc>
          <w:tcPr>
            <w:tcW w:w="8896" w:type="dxa"/>
          </w:tcPr>
          <w:p w14:paraId="5BCFF743" w14:textId="3028A087" w:rsidR="000E72B0" w:rsidRDefault="000E72B0" w:rsidP="00EE21B5">
            <w:pPr>
              <w:pStyle w:val="Tablecontent"/>
            </w:pPr>
            <w:r w:rsidRPr="00F92296">
              <w:t xml:space="preserve">Hypervisor overhead (CPU System, CPU MKS, CPU VMX, RAM Overhead, Disk Snapshot). </w:t>
            </w:r>
            <w:r>
              <w:t>This overhead is obviously n</w:t>
            </w:r>
            <w:r w:rsidRPr="00F92296">
              <w:t xml:space="preserve">ot visible to </w:t>
            </w:r>
            <w:r>
              <w:t xml:space="preserve">the </w:t>
            </w:r>
            <w:r w:rsidRPr="00F92296">
              <w:t>Guest OS</w:t>
            </w:r>
            <w:r>
              <w:t xml:space="preserve">. You can get some visibility by installing Tools, as it will add new </w:t>
            </w:r>
            <w:r w:rsidR="008D3A3F">
              <w:t>metrics</w:t>
            </w:r>
            <w:r>
              <w:t xml:space="preserve"> into Windows/Linux. Tools do not modify existing Windows/Linux </w:t>
            </w:r>
            <w:r w:rsidR="008D3A3F">
              <w:t>metrics</w:t>
            </w:r>
            <w:r>
              <w:t>, meaning they are still unaware of virtualization.</w:t>
            </w:r>
          </w:p>
          <w:p w14:paraId="544DB19C" w14:textId="77777777" w:rsidR="000E72B0" w:rsidRDefault="000E72B0" w:rsidP="00EE21B5">
            <w:pPr>
              <w:pStyle w:val="Tablecontent"/>
            </w:pPr>
            <w:r>
              <w:lastRenderedPageBreak/>
              <w:t>From VMkernel viewpoint, a VM is group of processes or user worlds that run in the VMkernel. There are 3 main types of groups:</w:t>
            </w:r>
          </w:p>
          <w:p w14:paraId="43A39992" w14:textId="77777777" w:rsidR="000E72B0" w:rsidRPr="00293C57" w:rsidRDefault="000E72B0">
            <w:pPr>
              <w:pStyle w:val="Tablecontent"/>
              <w:numPr>
                <w:ilvl w:val="0"/>
                <w:numId w:val="68"/>
              </w:numPr>
            </w:pPr>
            <w:r>
              <w:t>VM</w:t>
            </w:r>
            <w:r w:rsidRPr="00293C57">
              <w:t xml:space="preserve"> Executable (VMX) process </w:t>
            </w:r>
            <w:r>
              <w:t xml:space="preserve">is </w:t>
            </w:r>
            <w:r w:rsidRPr="00293C57">
              <w:t>responsible for handling I/O to devices that are not critical to performance. The VMX is also responsible for communicating with user interfaces, snapshot managers, and remote console.</w:t>
            </w:r>
          </w:p>
          <w:p w14:paraId="76473F17" w14:textId="376BD527" w:rsidR="000E72B0" w:rsidRPr="00293C57" w:rsidRDefault="000E72B0">
            <w:pPr>
              <w:pStyle w:val="Tablecontent"/>
              <w:numPr>
                <w:ilvl w:val="0"/>
                <w:numId w:val="68"/>
              </w:numPr>
            </w:pPr>
            <w:r>
              <w:t>VM</w:t>
            </w:r>
            <w:r w:rsidRPr="00293C57">
              <w:t xml:space="preserve"> Monitor (VMM) process </w:t>
            </w:r>
            <w:r>
              <w:t xml:space="preserve">is </w:t>
            </w:r>
            <w:r w:rsidRPr="00293C57">
              <w:t>responsible for virtualizing the guest OS instructions, and manag</w:t>
            </w:r>
            <w:r w:rsidR="00F922F7">
              <w:t>ing</w:t>
            </w:r>
            <w:r w:rsidRPr="00293C57">
              <w:t xml:space="preserve"> memory</w:t>
            </w:r>
            <w:r>
              <w:t xml:space="preserve"> mapping</w:t>
            </w:r>
            <w:r w:rsidRPr="00293C57">
              <w:t xml:space="preserve">. The VMM passes storage and network I/O requests to the </w:t>
            </w:r>
            <w:r>
              <w:t>VMkernel</w:t>
            </w:r>
            <w:r w:rsidRPr="00293C57">
              <w:t xml:space="preserve">, and passes all other requests to the VMX process. There is a VMM for each virtual CPU assigned to a </w:t>
            </w:r>
            <w:r>
              <w:t>VM</w:t>
            </w:r>
            <w:r w:rsidRPr="00293C57">
              <w:t>.</w:t>
            </w:r>
          </w:p>
          <w:p w14:paraId="264C5962" w14:textId="77777777" w:rsidR="000E72B0" w:rsidRDefault="000E72B0">
            <w:pPr>
              <w:pStyle w:val="Tablecontent"/>
              <w:numPr>
                <w:ilvl w:val="0"/>
                <w:numId w:val="68"/>
              </w:numPr>
            </w:pPr>
            <w:r w:rsidRPr="00293C57">
              <w:t xml:space="preserve">Mouse Keyboard Screen (MKS) process is responsible for rendering the guest video and handling guest </w:t>
            </w:r>
            <w:r>
              <w:t>OS</w:t>
            </w:r>
            <w:r w:rsidRPr="00293C57">
              <w:t xml:space="preserve"> user input.</w:t>
            </w:r>
            <w:r>
              <w:t xml:space="preserve"> When you console into the VM via vCenter client, the work done is charged to this process. This in turn is charged to the VM, and not specific vCPU.</w:t>
            </w:r>
          </w:p>
          <w:p w14:paraId="5A0DBA2D" w14:textId="77777777" w:rsidR="000E72B0" w:rsidRPr="00293C57" w:rsidRDefault="000E72B0" w:rsidP="00EE21B5">
            <w:pPr>
              <w:pStyle w:val="Tablecontent"/>
            </w:pPr>
            <w:r>
              <w:t xml:space="preserve">If you want to see example of errors in the above process, review </w:t>
            </w:r>
            <w:hyperlink r:id="rId213" w:history="1">
              <w:r w:rsidRPr="000F176F">
                <w:rPr>
                  <w:rStyle w:val="Hyperlink"/>
                </w:rPr>
                <w:t>this KB article</w:t>
              </w:r>
            </w:hyperlink>
            <w:r>
              <w:t xml:space="preserve">. </w:t>
            </w:r>
          </w:p>
        </w:tc>
      </w:tr>
      <w:tr w:rsidR="000E72B0" w14:paraId="6C0560E6" w14:textId="77777777" w:rsidTr="00E440AB">
        <w:tc>
          <w:tcPr>
            <w:tcW w:w="1560" w:type="dxa"/>
            <w:shd w:val="clear" w:color="auto" w:fill="F2F2F2" w:themeFill="background1" w:themeFillShade="F2"/>
          </w:tcPr>
          <w:p w14:paraId="76206D83" w14:textId="77777777" w:rsidR="000E72B0" w:rsidRPr="00F92296" w:rsidRDefault="000E72B0" w:rsidP="00EE21B5">
            <w:pPr>
              <w:pStyle w:val="Tablecontent"/>
              <w:rPr>
                <w:b/>
                <w:bCs/>
              </w:rPr>
            </w:pPr>
            <w:r w:rsidRPr="00F92296">
              <w:rPr>
                <w:b/>
                <w:bCs/>
              </w:rPr>
              <w:lastRenderedPageBreak/>
              <w:t>Layer D</w:t>
            </w:r>
          </w:p>
        </w:tc>
        <w:tc>
          <w:tcPr>
            <w:tcW w:w="8896" w:type="dxa"/>
          </w:tcPr>
          <w:p w14:paraId="551639AB" w14:textId="77777777" w:rsidR="000E72B0" w:rsidRDefault="000E72B0" w:rsidP="00EE21B5">
            <w:pPr>
              <w:pStyle w:val="Tablecontent"/>
            </w:pPr>
            <w:r w:rsidRPr="00F92296">
              <w:t xml:space="preserve">Unmet Demand (CPU Ready, CPU Co-Stop, </w:t>
            </w:r>
            <w:r>
              <w:t xml:space="preserve">CPU Overlap, CPU VM Wait, </w:t>
            </w:r>
            <w:r w:rsidRPr="00F92296">
              <w:t xml:space="preserve">RAM Contention, </w:t>
            </w:r>
            <w:r>
              <w:t xml:space="preserve">VM </w:t>
            </w:r>
            <w:r w:rsidRPr="00F92296">
              <w:t>Outstanding IO)</w:t>
            </w:r>
            <w:r>
              <w:t xml:space="preserve">. </w:t>
            </w:r>
          </w:p>
          <w:p w14:paraId="50AF315B" w14:textId="77777777" w:rsidR="000E72B0" w:rsidRDefault="000E72B0" w:rsidP="00EE21B5">
            <w:pPr>
              <w:pStyle w:val="Tablecontent"/>
            </w:pPr>
            <w:r>
              <w:t>The Guest OS experiences a frozen time or slowness. It’s unaware what it is, meaning it can’t account for it.</w:t>
            </w:r>
          </w:p>
        </w:tc>
      </w:tr>
    </w:tbl>
    <w:p w14:paraId="25634687" w14:textId="1D3654EC" w:rsidR="000E72B0" w:rsidRDefault="000E72B0" w:rsidP="00EE21B5">
      <w:r>
        <w:t xml:space="preserve">I’ve covered the difference in simple terms, and do not do justice to the full difference. If you want to read a scientific paper, I recommend </w:t>
      </w:r>
      <w:hyperlink r:id="rId214" w:history="1">
        <w:r w:rsidRPr="00F50158">
          <w:rPr>
            <w:rStyle w:val="Hyperlink"/>
          </w:rPr>
          <w:t>this paper</w:t>
        </w:r>
      </w:hyperlink>
      <w:r>
        <w:t xml:space="preserve"> by</w:t>
      </w:r>
      <w:r w:rsidRPr="00F50158">
        <w:t xml:space="preserve"> Benjamin Serebrin</w:t>
      </w:r>
      <w:r>
        <w:t xml:space="preserve"> and </w:t>
      </w:r>
      <w:hyperlink r:id="rId215" w:history="1">
        <w:r w:rsidRPr="00F50158">
          <w:rPr>
            <w:rStyle w:val="Hyperlink"/>
          </w:rPr>
          <w:t>Daniel Hecht</w:t>
        </w:r>
      </w:hyperlink>
      <w:r>
        <w:t>.</w:t>
      </w:r>
    </w:p>
    <w:p w14:paraId="59BD759B" w14:textId="1F25867A" w:rsidR="00CA3C6C" w:rsidRDefault="00CA3C6C" w:rsidP="00EE21B5">
      <w:pPr>
        <w:pStyle w:val="Heading4"/>
      </w:pPr>
      <w:r>
        <w:t>Overhead</w:t>
      </w:r>
      <w:r w:rsidR="00E13E58">
        <w:t xml:space="preserve"> vs Not Overhead</w:t>
      </w:r>
    </w:p>
    <w:p w14:paraId="687AA08A" w14:textId="3AD4CEAF" w:rsidR="00452E01" w:rsidRDefault="005C0FA9" w:rsidP="00EE21B5">
      <w:pPr>
        <w:rPr>
          <w:lang w:val="en-GB"/>
        </w:rPr>
      </w:pPr>
      <w:r>
        <w:rPr>
          <w:lang w:val="en-GB"/>
        </w:rPr>
        <w:t>B</w:t>
      </w:r>
      <w:r w:rsidR="00CA3C6C">
        <w:rPr>
          <w:lang w:val="en-GB"/>
        </w:rPr>
        <w:t xml:space="preserve">e careful not to lump </w:t>
      </w:r>
      <w:r w:rsidR="009D74C5">
        <w:rPr>
          <w:lang w:val="en-GB"/>
        </w:rPr>
        <w:t xml:space="preserve">every additional load as </w:t>
      </w:r>
      <w:r w:rsidR="00CA3C6C">
        <w:rPr>
          <w:lang w:val="en-GB"/>
        </w:rPr>
        <w:t>overhead.</w:t>
      </w:r>
      <w:r w:rsidR="009D74C5">
        <w:rPr>
          <w:lang w:val="en-GB"/>
        </w:rPr>
        <w:t xml:space="preserve"> </w:t>
      </w:r>
    </w:p>
    <w:p w14:paraId="65339950" w14:textId="1E1360F0" w:rsidR="00CA3C6C" w:rsidRDefault="009D74C5" w:rsidP="00452E01">
      <w:pPr>
        <w:pStyle w:val="ListParagraph"/>
        <w:numPr>
          <w:ilvl w:val="0"/>
          <w:numId w:val="80"/>
        </w:numPr>
        <w:rPr>
          <w:lang w:val="en-GB"/>
        </w:rPr>
      </w:pPr>
      <w:r w:rsidRPr="00452E01">
        <w:rPr>
          <w:lang w:val="en-GB"/>
        </w:rPr>
        <w:t>Overhead means it’s mandatory (cannot be avoided) and has negative impact (such as slower performance or more resource required). They typically do not bring additional, new capabilities.</w:t>
      </w:r>
    </w:p>
    <w:p w14:paraId="7349A2EF" w14:textId="1CE9FB50" w:rsidR="00452E01" w:rsidRPr="00452E01" w:rsidRDefault="00452E01" w:rsidP="00452E01">
      <w:pPr>
        <w:pStyle w:val="ListParagraph"/>
        <w:numPr>
          <w:ilvl w:val="0"/>
          <w:numId w:val="80"/>
        </w:numPr>
        <w:rPr>
          <w:lang w:val="en-GB"/>
        </w:rPr>
      </w:pPr>
      <w:r>
        <w:rPr>
          <w:lang w:val="en-GB"/>
        </w:rPr>
        <w:t>Not Overhead means it’s optional. You do not have to use the feature. Also, it brings new capabilities so it bring value that is often not possible to achieve without virtualization.</w:t>
      </w:r>
    </w:p>
    <w:p w14:paraId="2ED2CE38" w14:textId="6BCB8450" w:rsidR="009D74C5" w:rsidRPr="00CA3C6C" w:rsidRDefault="009D74C5" w:rsidP="00EE21B5">
      <w:pPr>
        <w:rPr>
          <w:lang w:val="en-GB"/>
        </w:rPr>
      </w:pPr>
      <w:r>
        <w:rPr>
          <w:lang w:val="en-GB"/>
        </w:rPr>
        <w:t>Let’s list some examples:</w:t>
      </w:r>
    </w:p>
    <w:p w14:paraId="13E4C222" w14:textId="77777777" w:rsidR="009D74C5" w:rsidRDefault="009D74C5" w:rsidP="00EE21B5">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560"/>
        <w:gridCol w:w="8896"/>
      </w:tblGrid>
      <w:tr w:rsidR="009D74C5" w14:paraId="1D6C83B2" w14:textId="77777777" w:rsidTr="00E440AB">
        <w:tc>
          <w:tcPr>
            <w:tcW w:w="1560" w:type="dxa"/>
            <w:shd w:val="clear" w:color="auto" w:fill="F2F2F2" w:themeFill="background1" w:themeFillShade="F2"/>
          </w:tcPr>
          <w:p w14:paraId="49F85556" w14:textId="58EE9DA3" w:rsidR="009D74C5" w:rsidRPr="00F92296" w:rsidRDefault="009D74C5" w:rsidP="00EE21B5">
            <w:pPr>
              <w:pStyle w:val="Tablecontent"/>
              <w:rPr>
                <w:b/>
                <w:bCs/>
              </w:rPr>
            </w:pPr>
            <w:r>
              <w:rPr>
                <w:b/>
                <w:bCs/>
              </w:rPr>
              <w:t>Overhead</w:t>
            </w:r>
          </w:p>
        </w:tc>
        <w:tc>
          <w:tcPr>
            <w:tcW w:w="8896" w:type="dxa"/>
          </w:tcPr>
          <w:p w14:paraId="39D4F7A6" w14:textId="77777777" w:rsidR="00AB656A" w:rsidRDefault="00AB656A" w:rsidP="00AB656A">
            <w:pPr>
              <w:pStyle w:val="Tablecontent"/>
            </w:pPr>
            <w:r>
              <w:t>Cache. The only purpose of cache is performance. It does not increase capacity.</w:t>
            </w:r>
          </w:p>
          <w:p w14:paraId="3ADAEF5E" w14:textId="77777777" w:rsidR="009D74C5" w:rsidRDefault="009D74C5" w:rsidP="00EE21B5">
            <w:pPr>
              <w:pStyle w:val="Tablecontent"/>
            </w:pPr>
            <w:r>
              <w:t>IO processing by hypervisor. There is an additional processing done by VMkernel, which could result in IO blender effect.</w:t>
            </w:r>
          </w:p>
          <w:p w14:paraId="244743C8" w14:textId="795A3768" w:rsidR="009D74C5" w:rsidRDefault="009D74C5" w:rsidP="00EE21B5">
            <w:pPr>
              <w:pStyle w:val="Tablecontent"/>
            </w:pPr>
            <w:r>
              <w:t>VM CPU and Memory overhea</w:t>
            </w:r>
            <w:r w:rsidR="00AF13F5">
              <w:t>d for the VM Monitor layer. This is a small amount and operationally negligible</w:t>
            </w:r>
            <w:r w:rsidR="00E4254C">
              <w:t xml:space="preserve">. </w:t>
            </w:r>
          </w:p>
          <w:p w14:paraId="0249EDF9" w14:textId="77777777" w:rsidR="00B01C38" w:rsidRDefault="00B01C38" w:rsidP="00EE21B5">
            <w:pPr>
              <w:pStyle w:val="Tablecontent"/>
            </w:pPr>
            <w:r>
              <w:t xml:space="preserve">vSAN. The actual ESXi memory consumed and CPU used by vSAN processes. </w:t>
            </w:r>
          </w:p>
          <w:p w14:paraId="56EEACEA" w14:textId="1A2D5A8A" w:rsidR="00BC6945" w:rsidRDefault="00BC6945" w:rsidP="00EE21B5">
            <w:pPr>
              <w:pStyle w:val="Tablecontent"/>
            </w:pPr>
            <w:r>
              <w:t xml:space="preserve">VM log files. VM is a layer on its own and the log provides necessary observability. </w:t>
            </w:r>
          </w:p>
        </w:tc>
      </w:tr>
      <w:tr w:rsidR="009D74C5" w14:paraId="004463E8" w14:textId="77777777" w:rsidTr="00E440AB">
        <w:tc>
          <w:tcPr>
            <w:tcW w:w="1560" w:type="dxa"/>
            <w:shd w:val="clear" w:color="auto" w:fill="F2F2F2" w:themeFill="background1" w:themeFillShade="F2"/>
          </w:tcPr>
          <w:p w14:paraId="670512B6" w14:textId="71D37A6A" w:rsidR="009D74C5" w:rsidRPr="00F92296" w:rsidRDefault="009D74C5" w:rsidP="00EE21B5">
            <w:pPr>
              <w:pStyle w:val="Tablecontent"/>
              <w:rPr>
                <w:b/>
                <w:bCs/>
              </w:rPr>
            </w:pPr>
            <w:r>
              <w:rPr>
                <w:b/>
                <w:bCs/>
              </w:rPr>
              <w:t>Not Over</w:t>
            </w:r>
            <w:r w:rsidR="00AF13F5">
              <w:rPr>
                <w:b/>
                <w:bCs/>
              </w:rPr>
              <w:t>h</w:t>
            </w:r>
            <w:r>
              <w:rPr>
                <w:b/>
                <w:bCs/>
              </w:rPr>
              <w:t>ead</w:t>
            </w:r>
          </w:p>
        </w:tc>
        <w:tc>
          <w:tcPr>
            <w:tcW w:w="8896" w:type="dxa"/>
          </w:tcPr>
          <w:p w14:paraId="1AB348AF" w14:textId="4E9B54E6" w:rsidR="009D74C5" w:rsidRDefault="009D74C5" w:rsidP="00EE21B5">
            <w:pPr>
              <w:pStyle w:val="Tablecontent"/>
            </w:pPr>
            <w:r>
              <w:t>VM snapshot. Snapshot is optional and it delivers new functionalities not available in Guest OS.</w:t>
            </w:r>
          </w:p>
          <w:p w14:paraId="3814DA91" w14:textId="06ABDC1A" w:rsidR="00BC6945" w:rsidRDefault="00BC6945" w:rsidP="00EE21B5">
            <w:pPr>
              <w:pStyle w:val="Tablecontent"/>
            </w:pPr>
            <w:r>
              <w:t xml:space="preserve">VM memory snapshot. This </w:t>
            </w:r>
            <w:r w:rsidR="0012065E">
              <w:t xml:space="preserve">does </w:t>
            </w:r>
            <w:r>
              <w:t xml:space="preserve">not </w:t>
            </w:r>
            <w:r w:rsidR="0012065E">
              <w:t xml:space="preserve">have </w:t>
            </w:r>
            <w:r>
              <w:t xml:space="preserve">the same </w:t>
            </w:r>
            <w:r w:rsidR="0012065E">
              <w:t xml:space="preserve">purpose </w:t>
            </w:r>
            <w:r>
              <w:t>with hibernation file inside Windows or Linux</w:t>
            </w:r>
            <w:r w:rsidR="0012065E">
              <w:t xml:space="preserve">. This feature enables memory overcommit at ESXi level. </w:t>
            </w:r>
          </w:p>
          <w:p w14:paraId="48ABC228" w14:textId="5879D003" w:rsidR="00BC6945" w:rsidRDefault="009D74C5" w:rsidP="00EE21B5">
            <w:pPr>
              <w:pStyle w:val="Tablecontent"/>
            </w:pPr>
            <w:r>
              <w:lastRenderedPageBreak/>
              <w:t xml:space="preserve">vSAN Failures-to-Tolerate policy. </w:t>
            </w:r>
            <w:r w:rsidR="00AF13F5">
              <w:t xml:space="preserve">They provide availability protection since vSAN does not use hardware-level redundancy. </w:t>
            </w:r>
            <w:r>
              <w:t xml:space="preserve">For workloads where the VM is transient and you have the master template, you can set this to 0 (no protection). </w:t>
            </w:r>
          </w:p>
        </w:tc>
      </w:tr>
    </w:tbl>
    <w:p w14:paraId="5151A677" w14:textId="2E5A073D" w:rsidR="00452E01" w:rsidRDefault="00452E01" w:rsidP="00452E01">
      <w:pPr>
        <w:rPr>
          <w:lang w:val="en-GB"/>
        </w:rPr>
      </w:pPr>
      <w:bookmarkStart w:id="53" w:name="_Guest_OS_vs"/>
      <w:bookmarkStart w:id="54" w:name="_Unit_&amp;_Roll"/>
      <w:bookmarkStart w:id="55" w:name="_Hlk134261789"/>
      <w:bookmarkEnd w:id="53"/>
      <w:bookmarkEnd w:id="54"/>
      <w:r>
        <w:rPr>
          <w:lang w:val="en-GB"/>
        </w:rPr>
        <w:lastRenderedPageBreak/>
        <w:t>What about VMkernel consumption and reservation? Do you consider that as overhead?</w:t>
      </w:r>
    </w:p>
    <w:p w14:paraId="139CD10E" w14:textId="58DD701D" w:rsidR="000A4AD6" w:rsidRDefault="000A4AD6" w:rsidP="00452E01">
      <w:pPr>
        <w:rPr>
          <w:lang w:val="en-GB"/>
        </w:rPr>
      </w:pPr>
      <w:r>
        <w:rPr>
          <w:lang w:val="en-GB"/>
        </w:rPr>
        <w:t>My take is yes. While it delivers value, it’s not optional and it’s not negligible. It impacts your usable capacity too. We will cover this in-depth in vSphere ESXi chapter.</w:t>
      </w:r>
    </w:p>
    <w:bookmarkEnd w:id="55"/>
    <w:p w14:paraId="0655EF23" w14:textId="77777777" w:rsidR="007E7078" w:rsidRDefault="007E7078" w:rsidP="007E7078">
      <w:pPr>
        <w:pStyle w:val="Heading4"/>
      </w:pPr>
      <w:r>
        <w:t>Resource Management</w:t>
      </w:r>
    </w:p>
    <w:p w14:paraId="29C3CEEF" w14:textId="77777777" w:rsidR="007E7078" w:rsidRDefault="007E7078" w:rsidP="007E7078">
      <w:r>
        <w:t>vSphere uses the following to manage the shared resources:</w:t>
      </w:r>
    </w:p>
    <w:p w14:paraId="57E669A9" w14:textId="77777777" w:rsidR="007E7078" w:rsidRPr="00A15C6E" w:rsidRDefault="007E7078" w:rsidP="007E7078">
      <w:pPr>
        <w:pStyle w:val="Bullet"/>
      </w:pPr>
      <w:r w:rsidRPr="00A15C6E">
        <w:t>Reservation</w:t>
      </w:r>
    </w:p>
    <w:p w14:paraId="3D705322" w14:textId="77777777" w:rsidR="007E7078" w:rsidRPr="00A15C6E" w:rsidRDefault="007E7078" w:rsidP="007E7078">
      <w:pPr>
        <w:pStyle w:val="Bullet"/>
      </w:pPr>
      <w:r w:rsidRPr="00A15C6E">
        <w:t>Limit</w:t>
      </w:r>
    </w:p>
    <w:p w14:paraId="193217EB" w14:textId="77777777" w:rsidR="007E7078" w:rsidRPr="00A15C6E" w:rsidRDefault="007E7078" w:rsidP="007E7078">
      <w:pPr>
        <w:pStyle w:val="Bullet"/>
      </w:pPr>
      <w:r w:rsidRPr="00A15C6E">
        <w:t>Share</w:t>
      </w:r>
    </w:p>
    <w:p w14:paraId="31CC60AC" w14:textId="77777777" w:rsidR="007E7078" w:rsidRDefault="007E7078" w:rsidP="007E7078">
      <w:pPr>
        <w:pStyle w:val="Bullet"/>
      </w:pPr>
      <w:r w:rsidRPr="00A15C6E">
        <w:t>Entitlement</w:t>
      </w:r>
    </w:p>
    <w:p w14:paraId="08A57935" w14:textId="1AE9EA56" w:rsidR="007E7078" w:rsidRDefault="007E7078" w:rsidP="007E7078">
      <w:pPr>
        <w:rPr>
          <w:lang w:val="en-GB"/>
        </w:rPr>
      </w:pPr>
      <w:r>
        <w:rPr>
          <w:lang w:val="en-GB"/>
        </w:rPr>
        <w:t>Reservation and Limit are absolute. Share is relative to the value of other VMs on the same cluster</w:t>
      </w:r>
      <w:r w:rsidR="00E4254C">
        <w:rPr>
          <w:lang w:val="en-GB"/>
        </w:rPr>
        <w:t xml:space="preserve">. </w:t>
      </w:r>
    </w:p>
    <w:p w14:paraId="4F27AE1C" w14:textId="77777777" w:rsidR="007E7078" w:rsidRPr="000E0E60" w:rsidRDefault="007E7078" w:rsidP="007E7078">
      <w:pPr>
        <w:rPr>
          <w:lang w:val="en-GB"/>
        </w:rPr>
      </w:pPr>
      <w:r w:rsidRPr="00C84219">
        <w:rPr>
          <w:lang w:val="en-GB"/>
        </w:rPr>
        <w:t xml:space="preserve">Unlike a physical server, you can configure a Limit and a Reservation on a VM. This is done outside the Guest OS, so Windows or Linux does not know. You should minimize the use of Limit and Reservation as it makes SDDC operations more complex. </w:t>
      </w:r>
    </w:p>
    <w:p w14:paraId="404F496E" w14:textId="77777777" w:rsidR="007E7078" w:rsidRPr="00A80097" w:rsidRDefault="007E7078" w:rsidP="007E7078">
      <w:pPr>
        <w:jc w:val="center"/>
      </w:pPr>
      <w:r>
        <w:rPr>
          <w:noProof/>
        </w:rPr>
        <w:drawing>
          <wp:inline distT="0" distB="0" distL="0" distR="0" wp14:anchorId="3A7D7911" wp14:editId="7A9A486E">
            <wp:extent cx="5737014" cy="3089962"/>
            <wp:effectExtent l="0" t="0" r="0" b="0"/>
            <wp:docPr id="606394238" name="Picture 60639423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38" name="Picture 606394238" descr="Graphical user interface, application&#10;&#10;Description automatically generated"/>
                    <pic:cNvPicPr/>
                  </pic:nvPicPr>
                  <pic:blipFill>
                    <a:blip r:embed="rId216">
                      <a:extLst>
                        <a:ext uri="{28A0092B-C50C-407E-A947-70E740481C1C}">
                          <a14:useLocalDpi xmlns:a14="http://schemas.microsoft.com/office/drawing/2010/main" val="0"/>
                        </a:ext>
                      </a:extLst>
                    </a:blip>
                    <a:stretch>
                      <a:fillRect/>
                    </a:stretch>
                  </pic:blipFill>
                  <pic:spPr>
                    <a:xfrm>
                      <a:off x="0" y="0"/>
                      <a:ext cx="5737014" cy="3089962"/>
                    </a:xfrm>
                    <a:prstGeom prst="rect">
                      <a:avLst/>
                    </a:prstGeom>
                  </pic:spPr>
                </pic:pic>
              </a:graphicData>
            </a:graphic>
          </wp:inline>
        </w:drawing>
      </w:r>
    </w:p>
    <w:p w14:paraId="3CC0D1F5" w14:textId="77777777" w:rsidR="007E7078" w:rsidRDefault="007E7078" w:rsidP="007E7078">
      <w:r>
        <w:t xml:space="preserve">Reservation represents a guarantee. It impacts the Provider (e.g. ESXi) as that’s where the reservation takes place. However, it works differently on CPU vs RAM. </w:t>
      </w:r>
    </w:p>
    <w:p w14:paraId="4C438B68" w14:textId="77777777" w:rsidR="007E7078" w:rsidRDefault="007E7078" w:rsidP="007E7078">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271"/>
        <w:gridCol w:w="9185"/>
      </w:tblGrid>
      <w:tr w:rsidR="007E7078" w14:paraId="3BCC2585" w14:textId="77777777" w:rsidTr="00281329">
        <w:tc>
          <w:tcPr>
            <w:tcW w:w="1271" w:type="dxa"/>
            <w:shd w:val="clear" w:color="auto" w:fill="F2F2F2" w:themeFill="background1" w:themeFillShade="F2"/>
          </w:tcPr>
          <w:p w14:paraId="5647E1BB" w14:textId="77777777" w:rsidR="007E7078" w:rsidRPr="00A72989" w:rsidRDefault="007E7078" w:rsidP="00281329">
            <w:pPr>
              <w:pStyle w:val="Tablecontent"/>
              <w:rPr>
                <w:b/>
                <w:bCs/>
              </w:rPr>
            </w:pPr>
            <w:r w:rsidRPr="00A72989">
              <w:rPr>
                <w:b/>
                <w:bCs/>
              </w:rPr>
              <w:lastRenderedPageBreak/>
              <w:t>CPU</w:t>
            </w:r>
          </w:p>
        </w:tc>
        <w:tc>
          <w:tcPr>
            <w:tcW w:w="9185" w:type="dxa"/>
          </w:tcPr>
          <w:p w14:paraId="62B0600A" w14:textId="77777777" w:rsidR="00C959A7" w:rsidRDefault="00C959A7" w:rsidP="00C959A7">
            <w:pPr>
              <w:pStyle w:val="Tablecontent"/>
            </w:pPr>
            <w:r w:rsidRPr="00153491">
              <w:t>CPU Reservation is on demand</w:t>
            </w:r>
            <w:r>
              <w:t xml:space="preserve">. If the VM does not use the resource, then it does not come into play as far as the VM is concerned. </w:t>
            </w:r>
          </w:p>
          <w:p w14:paraId="1EABB1AE" w14:textId="23615379" w:rsidR="007E7078" w:rsidRDefault="00C959A7" w:rsidP="00C959A7">
            <w:pPr>
              <w:pStyle w:val="Tablecontent"/>
            </w:pPr>
            <w:r>
              <w:t xml:space="preserve">Accounting wise, </w:t>
            </w:r>
            <w:r w:rsidRPr="00153491">
              <w:t>it does not impact CPU utilization</w:t>
            </w:r>
            <w:r>
              <w:t xml:space="preserve"> metrics</w:t>
            </w:r>
            <w:r w:rsidRPr="00153491">
              <w:t>. Run, Used, Demand, Usage do not include it. Their value will be 0 or near 0 if the Guest OS is not running.</w:t>
            </w:r>
          </w:p>
        </w:tc>
      </w:tr>
      <w:tr w:rsidR="007E7078" w14:paraId="7B8DAE4B" w14:textId="77777777" w:rsidTr="00281329">
        <w:tc>
          <w:tcPr>
            <w:tcW w:w="1271" w:type="dxa"/>
            <w:shd w:val="clear" w:color="auto" w:fill="F2F2F2" w:themeFill="background1" w:themeFillShade="F2"/>
          </w:tcPr>
          <w:p w14:paraId="21C839D5" w14:textId="77777777" w:rsidR="007E7078" w:rsidRPr="00A72989" w:rsidRDefault="007E7078" w:rsidP="00281329">
            <w:pPr>
              <w:pStyle w:val="Tablecontent"/>
              <w:rPr>
                <w:b/>
                <w:bCs/>
              </w:rPr>
            </w:pPr>
            <w:r w:rsidRPr="00A72989">
              <w:rPr>
                <w:b/>
                <w:bCs/>
              </w:rPr>
              <w:t>RAM</w:t>
            </w:r>
          </w:p>
        </w:tc>
        <w:tc>
          <w:tcPr>
            <w:tcW w:w="9185" w:type="dxa"/>
          </w:tcPr>
          <w:p w14:paraId="1C5CF9EA" w14:textId="77777777" w:rsidR="00C959A7" w:rsidRPr="00DF1D53" w:rsidRDefault="00C959A7" w:rsidP="00C959A7">
            <w:pPr>
              <w:pStyle w:val="Tablecontent"/>
            </w:pPr>
            <w:r>
              <w:t>Memory Reservation is permanent, hence impacts memory utilization metric. The Memory Consumed counter includes it even though the page is not actually consumed yet. If you power on a 16 GB RAM VM into a BIOS state, and it has 10 GB Memory Reservation, the VM Consumed memory counter will jump to 10 GB. It has not actually consumed the 10 GB, but since ESXi has reserved the space, it is not available to other VMs.</w:t>
            </w:r>
          </w:p>
          <w:p w14:paraId="195F640B" w14:textId="35EC4147" w:rsidR="007E7078" w:rsidRDefault="00C959A7" w:rsidP="00C959A7">
            <w:pPr>
              <w:pStyle w:val="Tablecontent"/>
            </w:pPr>
            <w:r>
              <w:t>If it’s not yet used, then it does not take effect. Meaning ESXi Host does not allocate any physical RAM to the VM. However, once a VM asks for memory and it is served, the physical RAM is reserved. From then on, ESXi continues reserving the physical RAM even though the VM is no longer using it. In a sense, the page is locked despite the VM become idle for days.</w:t>
            </w:r>
          </w:p>
        </w:tc>
      </w:tr>
    </w:tbl>
    <w:p w14:paraId="05646B36" w14:textId="77777777" w:rsidR="007E7078" w:rsidRDefault="007E7078" w:rsidP="007E7078">
      <w:r>
        <w:t xml:space="preserve">Limit should not be used as it’s not visible to the Guest OS. The result is unpredictable and could create a worse performance problem than reducing the VM configuration. For CPU, it impacts the CPU Ready counter. For RAM, in the VMX file, this is </w:t>
      </w:r>
      <w:r w:rsidRPr="00AB656A">
        <w:rPr>
          <w:color w:val="00B0F0"/>
        </w:rPr>
        <w:t>sched.mem.max</w:t>
      </w:r>
      <w:r>
        <w:t>.</w:t>
      </w:r>
    </w:p>
    <w:p w14:paraId="7871A2BF" w14:textId="77777777" w:rsidR="007E7078" w:rsidRDefault="007E7078" w:rsidP="007E7078">
      <w:r>
        <w:t>Reservation, Share and Limit are relatively static. They do not fluctuate unless they are manually changed. Hence, they behave more like a property than a metric.</w:t>
      </w:r>
    </w:p>
    <w:p w14:paraId="39AB073B" w14:textId="77777777" w:rsidR="007E7078" w:rsidRPr="00A452F2" w:rsidRDefault="007E7078" w:rsidP="007E7078">
      <w:pPr>
        <w:pStyle w:val="Heading5"/>
      </w:pPr>
      <w:r w:rsidRPr="00A452F2">
        <w:t>Entitlement</w:t>
      </w:r>
    </w:p>
    <w:p w14:paraId="71413D65" w14:textId="77777777" w:rsidR="007E7078" w:rsidRDefault="007E7078" w:rsidP="007E7078">
      <w:r w:rsidRPr="00C84219">
        <w:rPr>
          <w:lang w:val="en-GB"/>
        </w:rPr>
        <w:t>Entitlement means what the VM is entitled to. It's a dynamic value determined by the hypervisor. It varies every second</w:t>
      </w:r>
      <w:r>
        <w:rPr>
          <w:lang w:val="en-GB"/>
        </w:rPr>
        <w:t xml:space="preserve">, </w:t>
      </w:r>
      <w:r w:rsidRPr="00C84219">
        <w:rPr>
          <w:lang w:val="en-GB"/>
        </w:rPr>
        <w:t xml:space="preserve">determined by Limit, </w:t>
      </w:r>
      <w:r>
        <w:t>Shares</w:t>
      </w:r>
      <w:r w:rsidRPr="00C84219">
        <w:rPr>
          <w:lang w:val="en-GB"/>
        </w:rPr>
        <w:t xml:space="preserve"> and Reservation of the VM itself and any shared allocation with other VMs running on the same host. </w:t>
      </w:r>
      <w:r>
        <w:t>For Shares, it certainly must consider shares of other VMs running on the same host. A VM can’t use more than what ESXi entitles it.</w:t>
      </w:r>
    </w:p>
    <w:p w14:paraId="6EDD3929" w14:textId="77777777" w:rsidR="007E7078" w:rsidRPr="00C84219" w:rsidRDefault="007E7078" w:rsidP="007E7078">
      <w:pPr>
        <w:rPr>
          <w:lang w:val="en-GB"/>
        </w:rPr>
      </w:pPr>
      <w:r w:rsidRPr="00C84219">
        <w:rPr>
          <w:lang w:val="en-GB"/>
        </w:rPr>
        <w:t xml:space="preserve">Obviously, a VM can only use what it is entitled to at any given point of time, so the Usage counter cannot go higher than the Entitlement counter. </w:t>
      </w:r>
    </w:p>
    <w:p w14:paraId="37E6C245" w14:textId="77777777" w:rsidR="007E7078" w:rsidRPr="00C84219" w:rsidRDefault="007E7078" w:rsidP="007E7078">
      <w:pPr>
        <w:rPr>
          <w:lang w:val="en-GB"/>
        </w:rPr>
      </w:pPr>
      <w:r w:rsidRPr="00C84219">
        <w:rPr>
          <w:lang w:val="en-GB"/>
        </w:rPr>
        <w:t xml:space="preserve">In a healthy environment, the ESXi host has enough resources to meet the demands of all the VMs on it with sufficient overhead. In this case, you will see that the Entitlement and Usage </w:t>
      </w:r>
      <w:r>
        <w:rPr>
          <w:lang w:val="en-GB"/>
        </w:rPr>
        <w:t>metrics</w:t>
      </w:r>
      <w:r w:rsidRPr="00C84219">
        <w:rPr>
          <w:lang w:val="en-GB"/>
        </w:rPr>
        <w:t xml:space="preserve"> will be similar to one another when the VM is highly utilized. </w:t>
      </w:r>
    </w:p>
    <w:p w14:paraId="2AB7ABF5" w14:textId="77777777" w:rsidR="007E7078" w:rsidRDefault="007E7078" w:rsidP="007E7078">
      <w:pPr>
        <w:rPr>
          <w:lang w:val="en-GB"/>
        </w:rPr>
      </w:pPr>
      <w:r w:rsidRPr="00C84219">
        <w:rPr>
          <w:lang w:val="en-GB"/>
        </w:rPr>
        <w:t xml:space="preserve">The numerical value may not be identical because of reporting technique. vCenter reports Usage in percentage, and it is an </w:t>
      </w:r>
      <w:r w:rsidRPr="00315D2B">
        <w:rPr>
          <w:i/>
          <w:iCs/>
          <w:color w:val="FF0000"/>
          <w:lang w:val="en-GB"/>
        </w:rPr>
        <w:t>average</w:t>
      </w:r>
      <w:r w:rsidRPr="00315D2B">
        <w:rPr>
          <w:color w:val="FF0000"/>
          <w:lang w:val="en-GB"/>
        </w:rPr>
        <w:t xml:space="preserve"> </w:t>
      </w:r>
      <w:r w:rsidRPr="00C84219">
        <w:rPr>
          <w:lang w:val="en-GB"/>
        </w:rPr>
        <w:t xml:space="preserve">value of the sample period. vCenter reports Entitlement in MHz and it takes the </w:t>
      </w:r>
      <w:r w:rsidRPr="00315D2B">
        <w:rPr>
          <w:i/>
          <w:iCs/>
          <w:color w:val="FF0000"/>
          <w:lang w:val="en-GB"/>
        </w:rPr>
        <w:t>latest</w:t>
      </w:r>
      <w:r w:rsidRPr="00315D2B">
        <w:rPr>
          <w:color w:val="FF0000"/>
          <w:lang w:val="en-GB"/>
        </w:rPr>
        <w:t xml:space="preserve"> </w:t>
      </w:r>
      <w:r w:rsidRPr="00C84219">
        <w:rPr>
          <w:lang w:val="en-GB"/>
        </w:rPr>
        <w:t>value in the sample period. This also explains why you may see Usage a bit higher than Entitlement in highly-utilized vCPU. If the VM has low utilization, you will see the Entitlement counter is much higher than Usage.</w:t>
      </w:r>
    </w:p>
    <w:p w14:paraId="52EDED0B" w14:textId="3924A7D1" w:rsidR="002E5D2D" w:rsidRPr="00AD756B" w:rsidRDefault="007B030B" w:rsidP="00540F68">
      <w:pPr>
        <w:pStyle w:val="Heading3"/>
      </w:pPr>
      <w:r>
        <w:lastRenderedPageBreak/>
        <w:t>Collectio</w:t>
      </w:r>
      <w:r w:rsidR="00C57453">
        <w:t>n</w:t>
      </w:r>
    </w:p>
    <w:p w14:paraId="4454C278" w14:textId="5F6C870E" w:rsidR="000B6E21" w:rsidRDefault="002E5D2D" w:rsidP="002E5D2D">
      <w:r>
        <w:t xml:space="preserve">Before we cover the </w:t>
      </w:r>
      <w:r w:rsidR="008D3A3F">
        <w:t>metrics</w:t>
      </w:r>
      <w:r>
        <w:t xml:space="preserve">, </w:t>
      </w:r>
      <w:r w:rsidR="002B0A71">
        <w:t>you need to know the various unit</w:t>
      </w:r>
      <w:r w:rsidR="266F1236">
        <w:t>s</w:t>
      </w:r>
      <w:r w:rsidR="002B0A71">
        <w:t xml:space="preserve"> and how they get </w:t>
      </w:r>
    </w:p>
    <w:p w14:paraId="72388D82" w14:textId="4D195109" w:rsidR="0092183B" w:rsidRDefault="0092183B" w:rsidP="000B6E21">
      <w:pPr>
        <w:pStyle w:val="Bullet"/>
      </w:pPr>
      <w:r>
        <w:t xml:space="preserve">collected within a collection period </w:t>
      </w:r>
      <w:r w:rsidR="00E2006A">
        <w:t>(e.g. 20 second)</w:t>
      </w:r>
    </w:p>
    <w:p w14:paraId="29386BC6" w14:textId="29886FDF" w:rsidR="000B6E21" w:rsidRDefault="002B0A71" w:rsidP="000B6E21">
      <w:pPr>
        <w:pStyle w:val="Bullet"/>
      </w:pPr>
      <w:r>
        <w:t>roll</w:t>
      </w:r>
      <w:r w:rsidR="1AAE83F8">
        <w:t>ed</w:t>
      </w:r>
      <w:r>
        <w:t xml:space="preserve"> up across time </w:t>
      </w:r>
      <w:r w:rsidR="000B6E21">
        <w:t>(e.g. from 20 second to 5 minutes)</w:t>
      </w:r>
    </w:p>
    <w:p w14:paraId="27D38D4F" w14:textId="5B3F71DF" w:rsidR="002E5D2D" w:rsidRPr="00AD756B" w:rsidRDefault="00567E52" w:rsidP="000B6E21">
      <w:pPr>
        <w:pStyle w:val="Bullet"/>
      </w:pPr>
      <w:r>
        <w:t xml:space="preserve">aggregated </w:t>
      </w:r>
      <w:r w:rsidR="00E2006A">
        <w:t xml:space="preserve">to </w:t>
      </w:r>
      <w:r w:rsidR="00965571">
        <w:t>higher level object</w:t>
      </w:r>
      <w:r w:rsidR="00E2006A">
        <w:t xml:space="preserve"> (e.g. from </w:t>
      </w:r>
      <w:r w:rsidR="00D56AB7">
        <w:t>ESXi to Cluster)</w:t>
      </w:r>
    </w:p>
    <w:p w14:paraId="0F149C70" w14:textId="05ABFC86" w:rsidR="008F5375" w:rsidRDefault="008F5375" w:rsidP="00AC6E1E">
      <w:pPr>
        <w:pStyle w:val="Heading4"/>
      </w:pPr>
      <w:r>
        <w:t>Collection</w:t>
      </w:r>
    </w:p>
    <w:p w14:paraId="32034C97" w14:textId="3BE1B5E3" w:rsidR="009258E5" w:rsidRDefault="009258E5" w:rsidP="009258E5">
      <w:pPr>
        <w:rPr>
          <w:lang w:val="en-GB"/>
        </w:rPr>
      </w:pPr>
      <w:r>
        <w:rPr>
          <w:lang w:val="en-GB"/>
        </w:rPr>
        <w:t xml:space="preserve">When you collect a metric you have </w:t>
      </w:r>
      <w:r w:rsidR="003E16AB">
        <w:rPr>
          <w:lang w:val="en-GB"/>
        </w:rPr>
        <w:t>a choice on what to collect:</w:t>
      </w:r>
    </w:p>
    <w:p w14:paraId="5D0B9317" w14:textId="40C11BAD" w:rsidR="003E16AB" w:rsidRDefault="00414144">
      <w:pPr>
        <w:pStyle w:val="Bullet"/>
        <w:numPr>
          <w:ilvl w:val="0"/>
          <w:numId w:val="55"/>
        </w:numPr>
      </w:pPr>
      <w:r>
        <w:t xml:space="preserve">Collect the data at that point in time. </w:t>
      </w:r>
    </w:p>
    <w:p w14:paraId="4105004D" w14:textId="565DEE4B" w:rsidR="00414144" w:rsidRDefault="00414144">
      <w:pPr>
        <w:pStyle w:val="Bullet"/>
        <w:numPr>
          <w:ilvl w:val="0"/>
          <w:numId w:val="55"/>
        </w:numPr>
      </w:pPr>
      <w:r>
        <w:t xml:space="preserve">Collect the average </w:t>
      </w:r>
      <w:r w:rsidR="00466BA8">
        <w:t>of all the data within the collection cycle.</w:t>
      </w:r>
    </w:p>
    <w:p w14:paraId="6C8BA5E2" w14:textId="3AB26E2E" w:rsidR="00466BA8" w:rsidRPr="009258E5" w:rsidRDefault="00466BA8">
      <w:pPr>
        <w:pStyle w:val="Bullet"/>
        <w:numPr>
          <w:ilvl w:val="0"/>
          <w:numId w:val="55"/>
        </w:numPr>
      </w:pPr>
      <w:r>
        <w:t>Collect the maximum (or minimum) of all the data within the collection cycle.</w:t>
      </w:r>
    </w:p>
    <w:p w14:paraId="6193284C" w14:textId="6718D87D" w:rsidR="00711AF5" w:rsidRDefault="00B71AC1" w:rsidP="002E5D2D">
      <w:pPr>
        <w:rPr>
          <w:lang w:val="en-US"/>
        </w:rPr>
      </w:pPr>
      <w:r>
        <w:rPr>
          <w:lang w:val="en-US"/>
        </w:rPr>
        <w:t xml:space="preserve">The </w:t>
      </w:r>
      <w:r w:rsidR="0050509F">
        <w:rPr>
          <w:lang w:val="en-US"/>
        </w:rPr>
        <w:t>1</w:t>
      </w:r>
      <w:r w:rsidR="0050509F" w:rsidRPr="0050509F">
        <w:rPr>
          <w:vertAlign w:val="superscript"/>
          <w:lang w:val="en-US"/>
        </w:rPr>
        <w:t>st</w:t>
      </w:r>
      <w:r w:rsidR="0050509F">
        <w:rPr>
          <w:lang w:val="en-US"/>
        </w:rPr>
        <w:t xml:space="preserve"> </w:t>
      </w:r>
      <w:r>
        <w:rPr>
          <w:lang w:val="en-US"/>
        </w:rPr>
        <w:t>choice is the least ideal</w:t>
      </w:r>
      <w:r w:rsidR="0050509F">
        <w:rPr>
          <w:lang w:val="en-US"/>
        </w:rPr>
        <w:t xml:space="preserve">, as you will miss </w:t>
      </w:r>
      <w:r w:rsidR="00711AF5">
        <w:rPr>
          <w:lang w:val="en-US"/>
        </w:rPr>
        <w:t>majority of the metric</w:t>
      </w:r>
      <w:r w:rsidR="0050509F">
        <w:rPr>
          <w:lang w:val="en-US"/>
        </w:rPr>
        <w:t xml:space="preserve">. </w:t>
      </w:r>
      <w:r w:rsidR="00711AF5">
        <w:rPr>
          <w:lang w:val="en-US"/>
        </w:rPr>
        <w:t xml:space="preserve">For example, if you collect every 5 minutes, that means you </w:t>
      </w:r>
      <w:r w:rsidR="00980224">
        <w:rPr>
          <w:lang w:val="en-US"/>
        </w:rPr>
        <w:t>collect the data of the 300</w:t>
      </w:r>
      <w:r w:rsidR="00980224" w:rsidRPr="00980224">
        <w:rPr>
          <w:vertAlign w:val="superscript"/>
          <w:lang w:val="en-US"/>
        </w:rPr>
        <w:t>th</w:t>
      </w:r>
      <w:r w:rsidR="00980224">
        <w:rPr>
          <w:lang w:val="en-US"/>
        </w:rPr>
        <w:t xml:space="preserve"> second, and </w:t>
      </w:r>
      <w:r w:rsidR="00711AF5">
        <w:rPr>
          <w:lang w:val="en-US"/>
        </w:rPr>
        <w:t>miss 299 seconds worth of data points.</w:t>
      </w:r>
      <w:r w:rsidR="00075054">
        <w:rPr>
          <w:lang w:val="en-US"/>
        </w:rPr>
        <w:t xml:space="preserve"> Unfortunately, many </w:t>
      </w:r>
      <w:r w:rsidR="002D62CB">
        <w:rPr>
          <w:lang w:val="en-US"/>
        </w:rPr>
        <w:t xml:space="preserve">products </w:t>
      </w:r>
      <w:r w:rsidR="00CD58A4">
        <w:rPr>
          <w:lang w:val="en-US"/>
        </w:rPr>
        <w:t>have chosen this choice.</w:t>
      </w:r>
    </w:p>
    <w:p w14:paraId="646771CB" w14:textId="61082D01" w:rsidR="00B71AC1" w:rsidRDefault="0050509F" w:rsidP="002E5D2D">
      <w:pPr>
        <w:rPr>
          <w:lang w:val="en-US"/>
        </w:rPr>
      </w:pPr>
      <w:r>
        <w:rPr>
          <w:lang w:val="en-US"/>
        </w:rPr>
        <w:t>The 2</w:t>
      </w:r>
      <w:r w:rsidRPr="0050509F">
        <w:rPr>
          <w:vertAlign w:val="superscript"/>
          <w:lang w:val="en-US"/>
        </w:rPr>
        <w:t>nd</w:t>
      </w:r>
      <w:r>
        <w:rPr>
          <w:lang w:val="en-US"/>
        </w:rPr>
        <w:t xml:space="preserve"> </w:t>
      </w:r>
      <w:r w:rsidR="00711AF5">
        <w:rPr>
          <w:lang w:val="en-US"/>
        </w:rPr>
        <w:t>choice gives you the complete picture, as no data is missing. The limitation is your collection interval can’t be too long for the use case you’re interested in.</w:t>
      </w:r>
    </w:p>
    <w:p w14:paraId="608F2CE1" w14:textId="10238D60" w:rsidR="002D62CB" w:rsidRDefault="002D62CB" w:rsidP="002E5D2D">
      <w:pPr>
        <w:rPr>
          <w:lang w:val="en-US"/>
        </w:rPr>
      </w:pPr>
      <w:r>
        <w:rPr>
          <w:lang w:val="en-US"/>
        </w:rPr>
        <w:t>Comparing the 2 choices, the 1</w:t>
      </w:r>
      <w:r w:rsidRPr="002D62CB">
        <w:rPr>
          <w:vertAlign w:val="superscript"/>
          <w:lang w:val="en-US"/>
        </w:rPr>
        <w:t>st</w:t>
      </w:r>
      <w:r>
        <w:rPr>
          <w:lang w:val="en-US"/>
        </w:rPr>
        <w:t xml:space="preserve"> choice will result in wider fluctuations. You will have higher maximum and lower minimum over time. Telegraf chooses the 2</w:t>
      </w:r>
      <w:r w:rsidRPr="002D62CB">
        <w:rPr>
          <w:vertAlign w:val="superscript"/>
          <w:lang w:val="en-US"/>
        </w:rPr>
        <w:t>nd</w:t>
      </w:r>
      <w:r>
        <w:rPr>
          <w:lang w:val="en-US"/>
        </w:rPr>
        <w:t xml:space="preserve"> choice, while Tools choose the 1</w:t>
      </w:r>
      <w:r w:rsidRPr="002D62CB">
        <w:rPr>
          <w:vertAlign w:val="superscript"/>
          <w:lang w:val="en-US"/>
        </w:rPr>
        <w:t>st</w:t>
      </w:r>
      <w:r>
        <w:rPr>
          <w:lang w:val="en-US"/>
        </w:rPr>
        <w:t xml:space="preserve"> choice. You can see below the result. Overall their pattern will be similar, especially for something relatively stable such as memory consumption and disk space consumption.</w:t>
      </w:r>
    </w:p>
    <w:p w14:paraId="14EBA465" w14:textId="1CDC6F5C" w:rsidR="002D62CB" w:rsidRDefault="002D62CB" w:rsidP="002E5D2D">
      <w:pPr>
        <w:rPr>
          <w:lang w:val="en-US"/>
        </w:rPr>
      </w:pPr>
      <w:r w:rsidRPr="002D62CB">
        <w:rPr>
          <w:noProof/>
          <w:lang w:val="en-US"/>
        </w:rPr>
        <w:lastRenderedPageBreak/>
        <w:drawing>
          <wp:inline distT="0" distB="0" distL="0" distR="0" wp14:anchorId="4FA8EB65" wp14:editId="152053E5">
            <wp:extent cx="6645910" cy="3343910"/>
            <wp:effectExtent l="0" t="0" r="2540" b="8890"/>
            <wp:docPr id="357815361" name="Picture 35781536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61" name="Picture 357815361" descr="A screenshot of a graph&#10;&#10;Description automatically generated"/>
                    <pic:cNvPicPr/>
                  </pic:nvPicPr>
                  <pic:blipFill>
                    <a:blip r:embed="rId217"/>
                    <a:stretch>
                      <a:fillRect/>
                    </a:stretch>
                  </pic:blipFill>
                  <pic:spPr>
                    <a:xfrm>
                      <a:off x="0" y="0"/>
                      <a:ext cx="6645910" cy="3343910"/>
                    </a:xfrm>
                    <a:prstGeom prst="rect">
                      <a:avLst/>
                    </a:prstGeom>
                  </pic:spPr>
                </pic:pic>
              </a:graphicData>
            </a:graphic>
          </wp:inline>
        </w:drawing>
      </w:r>
    </w:p>
    <w:p w14:paraId="3A1A6743" w14:textId="77777777" w:rsidR="002D62CB" w:rsidRDefault="002D62CB" w:rsidP="002E5D2D">
      <w:pPr>
        <w:rPr>
          <w:lang w:val="en-US"/>
        </w:rPr>
      </w:pPr>
    </w:p>
    <w:p w14:paraId="7D02D07F" w14:textId="77777777" w:rsidR="002D62CB" w:rsidRDefault="002D62CB" w:rsidP="002E5D2D">
      <w:pPr>
        <w:rPr>
          <w:lang w:val="en-US"/>
        </w:rPr>
      </w:pPr>
    </w:p>
    <w:p w14:paraId="144DD0F0" w14:textId="77777777" w:rsidR="002D62CB" w:rsidRDefault="002D62CB" w:rsidP="002E5D2D">
      <w:pPr>
        <w:rPr>
          <w:lang w:val="en-US"/>
        </w:rPr>
      </w:pPr>
    </w:p>
    <w:p w14:paraId="67C0F6A3" w14:textId="77777777" w:rsidR="002D62CB" w:rsidRDefault="002D62CB" w:rsidP="002E5D2D">
      <w:pPr>
        <w:rPr>
          <w:lang w:val="en-US"/>
        </w:rPr>
      </w:pPr>
    </w:p>
    <w:p w14:paraId="11B36C2A" w14:textId="761E94F9" w:rsidR="00711AF5" w:rsidRDefault="00711AF5" w:rsidP="002E5D2D">
      <w:pPr>
        <w:rPr>
          <w:lang w:val="en-US"/>
        </w:rPr>
      </w:pPr>
      <w:r>
        <w:rPr>
          <w:lang w:val="en-US"/>
        </w:rPr>
        <w:t>The 3</w:t>
      </w:r>
      <w:r w:rsidRPr="00711AF5">
        <w:rPr>
          <w:vertAlign w:val="superscript"/>
          <w:lang w:val="en-US"/>
        </w:rPr>
        <w:t>rd</w:t>
      </w:r>
      <w:r>
        <w:rPr>
          <w:lang w:val="en-US"/>
        </w:rPr>
        <w:t xml:space="preserve"> choice complements the 2</w:t>
      </w:r>
      <w:r w:rsidRPr="00711AF5">
        <w:rPr>
          <w:vertAlign w:val="superscript"/>
          <w:lang w:val="en-US"/>
        </w:rPr>
        <w:t>nd</w:t>
      </w:r>
      <w:r>
        <w:rPr>
          <w:lang w:val="en-US"/>
        </w:rPr>
        <w:t xml:space="preserve"> choice by picking the worst. That means you need 2 number per metrics for certain use case.</w:t>
      </w:r>
    </w:p>
    <w:p w14:paraId="2C308DFE" w14:textId="6DE3CDD3" w:rsidR="00F233AB" w:rsidRDefault="004E09A8" w:rsidP="002E5D2D">
      <w:pPr>
        <w:rPr>
          <w:lang w:val="en-US"/>
        </w:rPr>
      </w:pPr>
      <w:r>
        <w:rPr>
          <w:lang w:val="en-US"/>
        </w:rPr>
        <w:t xml:space="preserve">As you collect regularly, you also need to decide if you reset to 0, or you continue from previous cycle. Most </w:t>
      </w:r>
      <w:r w:rsidR="008D3A3F">
        <w:rPr>
          <w:lang w:val="en-US"/>
        </w:rPr>
        <w:t>metrics</w:t>
      </w:r>
      <w:r>
        <w:rPr>
          <w:lang w:val="en-US"/>
        </w:rPr>
        <w:t xml:space="preserve"> reset to 0</w:t>
      </w:r>
      <w:r w:rsidR="00C2723C">
        <w:rPr>
          <w:lang w:val="en-US"/>
        </w:rPr>
        <w:t xml:space="preserve"> as accumulation is less useful in operations. </w:t>
      </w:r>
    </w:p>
    <w:p w14:paraId="169626C6" w14:textId="418CDDAF" w:rsidR="000A5351" w:rsidRDefault="000A5351" w:rsidP="002E5D2D">
      <w:pPr>
        <w:rPr>
          <w:lang w:val="en-US"/>
        </w:rPr>
      </w:pPr>
      <w:r>
        <w:rPr>
          <w:lang w:val="en-US"/>
        </w:rPr>
        <w:t xml:space="preserve">Let’s take a look at </w:t>
      </w:r>
      <w:r w:rsidR="00234B17">
        <w:rPr>
          <w:lang w:val="en-US"/>
        </w:rPr>
        <w:t xml:space="preserve">what you see at </w:t>
      </w:r>
      <w:r>
        <w:rPr>
          <w:lang w:val="en-US"/>
        </w:rPr>
        <w:t>vCenter</w:t>
      </w:r>
      <w:r w:rsidR="00234B17">
        <w:rPr>
          <w:lang w:val="en-US"/>
        </w:rPr>
        <w:t xml:space="preserve"> UI, when you open the performance dialog box. </w:t>
      </w:r>
      <w:r w:rsidR="00E47C56">
        <w:rPr>
          <w:lang w:val="en-US"/>
        </w:rPr>
        <w:t xml:space="preserve">What do the columns </w:t>
      </w:r>
      <w:r w:rsidR="00E47C56" w:rsidRPr="00711AF5">
        <w:rPr>
          <w:color w:val="00B0F0"/>
          <w:lang w:val="en-US"/>
        </w:rPr>
        <w:t xml:space="preserve">Rollups </w:t>
      </w:r>
      <w:r w:rsidR="00E47C56">
        <w:rPr>
          <w:lang w:val="en-US"/>
        </w:rPr>
        <w:t xml:space="preserve">and </w:t>
      </w:r>
      <w:r w:rsidR="00E47C56" w:rsidRPr="00711AF5">
        <w:rPr>
          <w:color w:val="00B0F0"/>
          <w:lang w:val="en-US"/>
        </w:rPr>
        <w:t xml:space="preserve">Stat Type </w:t>
      </w:r>
      <w:r w:rsidR="00E47C56">
        <w:rPr>
          <w:lang w:val="en-US"/>
        </w:rPr>
        <w:t xml:space="preserve">mean? </w:t>
      </w:r>
    </w:p>
    <w:p w14:paraId="23DFFCBC" w14:textId="6762E1FA" w:rsidR="00234B17" w:rsidRDefault="00234B17" w:rsidP="002E5D2D">
      <w:pPr>
        <w:rPr>
          <w:lang w:val="en-US"/>
        </w:rPr>
      </w:pPr>
      <w:r>
        <w:rPr>
          <w:noProof/>
        </w:rPr>
        <w:drawing>
          <wp:inline distT="0" distB="0" distL="0" distR="0" wp14:anchorId="5784190C" wp14:editId="57988DF2">
            <wp:extent cx="6645910" cy="1045845"/>
            <wp:effectExtent l="0" t="0" r="2540" b="1905"/>
            <wp:docPr id="606394322" name="Picture 606394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22"/>
                    <pic:cNvPicPr/>
                  </pic:nvPicPr>
                  <pic:blipFill>
                    <a:blip r:embed="rId218">
                      <a:extLst>
                        <a:ext uri="{28A0092B-C50C-407E-A947-70E740481C1C}">
                          <a14:useLocalDpi xmlns:a14="http://schemas.microsoft.com/office/drawing/2010/main" val="0"/>
                        </a:ext>
                      </a:extLst>
                    </a:blip>
                    <a:stretch>
                      <a:fillRect/>
                    </a:stretch>
                  </pic:blipFill>
                  <pic:spPr>
                    <a:xfrm>
                      <a:off x="0" y="0"/>
                      <a:ext cx="6645910" cy="1045845"/>
                    </a:xfrm>
                    <a:prstGeom prst="rect">
                      <a:avLst/>
                    </a:prstGeom>
                  </pic:spPr>
                </pic:pic>
              </a:graphicData>
            </a:graphic>
          </wp:inline>
        </w:drawing>
      </w:r>
    </w:p>
    <w:p w14:paraId="5518D6CE" w14:textId="77777777" w:rsidR="00EE60F6" w:rsidRDefault="00EE60F6" w:rsidP="00EE60F6">
      <w:pPr>
        <w:pStyle w:val="BeforeTable"/>
        <w:rPr>
          <w:lang w:val="en-US"/>
        </w:rPr>
      </w:pPr>
    </w:p>
    <w:p w14:paraId="1B43EBFC" w14:textId="20C23285" w:rsidR="002A43B1" w:rsidRDefault="002A43B1" w:rsidP="002A43B1">
      <w:pPr>
        <w:rPr>
          <w:lang w:val="en-US"/>
        </w:rPr>
      </w:pPr>
      <w:r w:rsidRPr="006D5A62">
        <w:rPr>
          <w:color w:val="00B0F0"/>
          <w:lang w:val="en-US"/>
        </w:rPr>
        <w:t xml:space="preserve">Stat Type </w:t>
      </w:r>
      <w:r w:rsidR="008C0B85">
        <w:rPr>
          <w:lang w:val="en-US"/>
        </w:rPr>
        <w:t>explains the nature of the metrics</w:t>
      </w:r>
      <w:r>
        <w:rPr>
          <w:lang w:val="en-US"/>
        </w:rPr>
        <w:t>. There are 3 types</w:t>
      </w:r>
      <w:r w:rsidR="005C21E0">
        <w:rPr>
          <w:lang w:val="en-US"/>
        </w:rPr>
        <w:t>:</w:t>
      </w:r>
    </w:p>
    <w:p w14:paraId="17C0E8C2" w14:textId="77777777" w:rsidR="002A43B1" w:rsidRDefault="002A43B1" w:rsidP="002A43B1">
      <w:pPr>
        <w:pStyle w:val="BeforeTable"/>
        <w:rPr>
          <w:lang w:val="en-US"/>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413"/>
        <w:gridCol w:w="9043"/>
      </w:tblGrid>
      <w:tr w:rsidR="002A43B1" w:rsidRPr="00DC3A68" w14:paraId="5B9E6C68" w14:textId="77777777" w:rsidTr="00484C7F">
        <w:trPr>
          <w:trHeight w:val="61"/>
        </w:trPr>
        <w:tc>
          <w:tcPr>
            <w:tcW w:w="1413" w:type="dxa"/>
            <w:shd w:val="clear" w:color="auto" w:fill="F2F2F2" w:themeFill="background1" w:themeFillShade="F2"/>
          </w:tcPr>
          <w:p w14:paraId="5EAE1585" w14:textId="77777777" w:rsidR="002A43B1" w:rsidRPr="00DC3A68" w:rsidRDefault="002A43B1" w:rsidP="005321A6">
            <w:pPr>
              <w:pStyle w:val="Tablecontent"/>
              <w:rPr>
                <w:b/>
                <w:bCs/>
              </w:rPr>
            </w:pPr>
            <w:r w:rsidRPr="00DC3A68">
              <w:rPr>
                <w:b/>
                <w:bCs/>
              </w:rPr>
              <w:t>Delta</w:t>
            </w:r>
          </w:p>
        </w:tc>
        <w:tc>
          <w:tcPr>
            <w:tcW w:w="9043" w:type="dxa"/>
          </w:tcPr>
          <w:p w14:paraId="577C6E40" w14:textId="70FE12F8" w:rsidR="002A43B1" w:rsidRPr="009542BF" w:rsidRDefault="002A43B1" w:rsidP="005321A6">
            <w:pPr>
              <w:pStyle w:val="Tablecontent"/>
            </w:pPr>
            <w:r w:rsidRPr="009542BF">
              <w:t>Th</w:t>
            </w:r>
            <w:r>
              <w:t>e value is derived from a running counter</w:t>
            </w:r>
            <w:r w:rsidR="008C0B85">
              <w:t xml:space="preserve"> that perpetually </w:t>
            </w:r>
            <w:r w:rsidR="00C72280">
              <w:t>accumulates over time</w:t>
            </w:r>
            <w:r>
              <w:t xml:space="preserve">. What you see is difference between 2 points in time. </w:t>
            </w:r>
            <w:r w:rsidR="003806D7">
              <w:t>As a result, a</w:t>
            </w:r>
            <w:r>
              <w:t xml:space="preserve">ll the units in </w:t>
            </w:r>
            <w:r w:rsidR="00F34B8D">
              <w:t>milliseconds</w:t>
            </w:r>
            <w:r>
              <w:t xml:space="preserve"> are of delta type. </w:t>
            </w:r>
          </w:p>
        </w:tc>
      </w:tr>
      <w:tr w:rsidR="002A43B1" w:rsidRPr="00DC3A68" w14:paraId="151C74AD" w14:textId="77777777" w:rsidTr="00484C7F">
        <w:tc>
          <w:tcPr>
            <w:tcW w:w="1413" w:type="dxa"/>
            <w:shd w:val="clear" w:color="auto" w:fill="F2F2F2" w:themeFill="background1" w:themeFillShade="F2"/>
          </w:tcPr>
          <w:p w14:paraId="67B1C5D8" w14:textId="77777777" w:rsidR="002A43B1" w:rsidRPr="00DC3A68" w:rsidRDefault="002A43B1" w:rsidP="005321A6">
            <w:pPr>
              <w:pStyle w:val="Tablecontent"/>
              <w:rPr>
                <w:b/>
                <w:bCs/>
              </w:rPr>
            </w:pPr>
            <w:r w:rsidRPr="00DC3A68">
              <w:rPr>
                <w:b/>
                <w:bCs/>
              </w:rPr>
              <w:t>Rate</w:t>
            </w:r>
          </w:p>
        </w:tc>
        <w:tc>
          <w:tcPr>
            <w:tcW w:w="9043" w:type="dxa"/>
          </w:tcPr>
          <w:p w14:paraId="29FFD72C" w14:textId="77777777" w:rsidR="002A43B1" w:rsidRDefault="002A43B1" w:rsidP="005321A6">
            <w:pPr>
              <w:pStyle w:val="Tablecontent"/>
            </w:pPr>
            <w:r>
              <w:t>The value measures the rate of change, such as throughput per second. Rate is always the average across the 20 second period.</w:t>
            </w:r>
          </w:p>
          <w:p w14:paraId="56EE7572" w14:textId="77777777" w:rsidR="002A43B1" w:rsidRPr="009542BF" w:rsidRDefault="002A43B1" w:rsidP="005321A6">
            <w:pPr>
              <w:pStyle w:val="Tablecontent"/>
            </w:pPr>
            <w:r>
              <w:t>Note: there are metrics with percentage as unit and rate as stat type. I’m puzzled why.</w:t>
            </w:r>
          </w:p>
        </w:tc>
      </w:tr>
      <w:tr w:rsidR="002A43B1" w:rsidRPr="00DC3A68" w14:paraId="1567BD8A" w14:textId="77777777" w:rsidTr="00484C7F">
        <w:tc>
          <w:tcPr>
            <w:tcW w:w="1413" w:type="dxa"/>
            <w:shd w:val="clear" w:color="auto" w:fill="F2F2F2" w:themeFill="background1" w:themeFillShade="F2"/>
          </w:tcPr>
          <w:p w14:paraId="7FB4D7A7" w14:textId="77777777" w:rsidR="002A43B1" w:rsidRPr="00DC3A68" w:rsidRDefault="002A43B1" w:rsidP="005321A6">
            <w:pPr>
              <w:pStyle w:val="Tablecontent"/>
              <w:rPr>
                <w:b/>
                <w:bCs/>
              </w:rPr>
            </w:pPr>
            <w:r w:rsidRPr="00DC3A68">
              <w:rPr>
                <w:b/>
                <w:bCs/>
              </w:rPr>
              <w:t>Absolute</w:t>
            </w:r>
          </w:p>
        </w:tc>
        <w:tc>
          <w:tcPr>
            <w:tcW w:w="9043" w:type="dxa"/>
          </w:tcPr>
          <w:p w14:paraId="57C21475" w14:textId="77777777" w:rsidR="002A43B1" w:rsidRDefault="002A43B1" w:rsidP="005321A6">
            <w:pPr>
              <w:pStyle w:val="Tablecontent"/>
            </w:pPr>
            <w:r>
              <w:t xml:space="preserve">The value is a standalone number, not relative to other numbers. </w:t>
            </w:r>
          </w:p>
          <w:p w14:paraId="4B97B0D5" w14:textId="70724DE0" w:rsidR="002A43B1" w:rsidRPr="009542BF" w:rsidRDefault="002A43B1" w:rsidP="005321A6">
            <w:pPr>
              <w:pStyle w:val="Tablecontent"/>
            </w:pPr>
            <w:r>
              <w:lastRenderedPageBreak/>
              <w:t>Absolute can be latest value at 20</w:t>
            </w:r>
            <w:r w:rsidRPr="00BC220A">
              <w:rPr>
                <w:vertAlign w:val="superscript"/>
              </w:rPr>
              <w:t>th</w:t>
            </w:r>
            <w:r>
              <w:t xml:space="preserve"> second or the average value across the 20 second period.</w:t>
            </w:r>
            <w:r w:rsidR="00625BBA">
              <w:t xml:space="preserve"> </w:t>
            </w:r>
          </w:p>
        </w:tc>
      </w:tr>
    </w:tbl>
    <w:p w14:paraId="17EA7652" w14:textId="1C2091D4" w:rsidR="003806D7" w:rsidRDefault="00C73383" w:rsidP="00C73383">
      <w:pPr>
        <w:pStyle w:val="BeforeTable"/>
        <w:tabs>
          <w:tab w:val="left" w:pos="7293"/>
        </w:tabs>
        <w:rPr>
          <w:lang w:val="en-US"/>
        </w:rPr>
      </w:pPr>
      <w:r>
        <w:rPr>
          <w:lang w:val="en-US"/>
        </w:rPr>
        <w:lastRenderedPageBreak/>
        <w:tab/>
      </w:r>
    </w:p>
    <w:p w14:paraId="69EEEBB4" w14:textId="77777777" w:rsidR="00C73383" w:rsidRDefault="003806D7" w:rsidP="00C73383">
      <w:pPr>
        <w:rPr>
          <w:lang w:val="en-US"/>
        </w:rPr>
      </w:pPr>
      <w:r w:rsidRPr="00AD756B">
        <w:rPr>
          <w:lang w:val="en-US"/>
        </w:rPr>
        <w:t>S</w:t>
      </w:r>
      <w:r w:rsidR="00E86202" w:rsidRPr="00AD756B">
        <w:rPr>
          <w:lang w:val="en-US"/>
        </w:rPr>
        <w:t xml:space="preserve">ome common units are milliseconds, MHz, percent, KBps, and KB. </w:t>
      </w:r>
    </w:p>
    <w:p w14:paraId="2FCB148B" w14:textId="00A6BCAA" w:rsidR="00E86202" w:rsidRDefault="00C73383" w:rsidP="003806D7">
      <w:pPr>
        <w:rPr>
          <w:lang w:val="en-US"/>
        </w:rPr>
      </w:pPr>
      <w:r>
        <w:rPr>
          <w:lang w:val="en-US"/>
        </w:rPr>
        <w:t>Metrics</w:t>
      </w:r>
      <w:r w:rsidRPr="00AD756B">
        <w:rPr>
          <w:lang w:val="en-US"/>
        </w:rPr>
        <w:t xml:space="preserve"> in MHz</w:t>
      </w:r>
      <w:r>
        <w:rPr>
          <w:lang w:val="en-US"/>
        </w:rPr>
        <w:t xml:space="preserve"> is more complex as </w:t>
      </w:r>
      <w:r w:rsidRPr="00AD756B">
        <w:rPr>
          <w:lang w:val="en-US"/>
        </w:rPr>
        <w:t xml:space="preserve">you need to </w:t>
      </w:r>
      <w:r>
        <w:rPr>
          <w:lang w:val="en-US"/>
        </w:rPr>
        <w:t xml:space="preserve">compare with the </w:t>
      </w:r>
      <w:r w:rsidRPr="00AD756B">
        <w:rPr>
          <w:lang w:val="en-US"/>
        </w:rPr>
        <w:t xml:space="preserve">ESXi physical CPU </w:t>
      </w:r>
      <w:r w:rsidRPr="000F549B">
        <w:rPr>
          <w:i/>
          <w:iCs/>
          <w:color w:val="FF0000"/>
          <w:lang w:val="en-US"/>
        </w:rPr>
        <w:t>static</w:t>
      </w:r>
      <w:r w:rsidRPr="000F549B">
        <w:rPr>
          <w:color w:val="FF0000"/>
          <w:lang w:val="en-US"/>
        </w:rPr>
        <w:t xml:space="preserve"> </w:t>
      </w:r>
      <w:r w:rsidRPr="00AD756B">
        <w:rPr>
          <w:lang w:val="en-US"/>
        </w:rPr>
        <w:t xml:space="preserve">frequency. In large environments, this can be operationally difficult as you have different ESXi hosts from different generations </w:t>
      </w:r>
      <w:r>
        <w:rPr>
          <w:lang w:val="en-US"/>
        </w:rPr>
        <w:t xml:space="preserve">or </w:t>
      </w:r>
      <w:r w:rsidRPr="00AD756B">
        <w:rPr>
          <w:lang w:val="en-US"/>
        </w:rPr>
        <w:t xml:space="preserve">sport a different GHz. This is </w:t>
      </w:r>
      <w:r>
        <w:rPr>
          <w:lang w:val="en-US"/>
        </w:rPr>
        <w:t xml:space="preserve">one of </w:t>
      </w:r>
      <w:r w:rsidRPr="00AD756B">
        <w:rPr>
          <w:lang w:val="en-US"/>
        </w:rPr>
        <w:t>the reason</w:t>
      </w:r>
      <w:r>
        <w:rPr>
          <w:lang w:val="en-US"/>
        </w:rPr>
        <w:t>s</w:t>
      </w:r>
      <w:r w:rsidRPr="00AD756B">
        <w:rPr>
          <w:lang w:val="en-US"/>
        </w:rPr>
        <w:t xml:space="preserve"> why </w:t>
      </w:r>
      <w:r>
        <w:rPr>
          <w:lang w:val="en-US"/>
        </w:rPr>
        <w:t xml:space="preserve">I see vSphere </w:t>
      </w:r>
      <w:r w:rsidRPr="00AD756B">
        <w:rPr>
          <w:lang w:val="en-US"/>
        </w:rPr>
        <w:t xml:space="preserve">cluster </w:t>
      </w:r>
      <w:r>
        <w:rPr>
          <w:lang w:val="en-US"/>
        </w:rPr>
        <w:t>a</w:t>
      </w:r>
      <w:r w:rsidRPr="00AD756B">
        <w:rPr>
          <w:lang w:val="en-US"/>
        </w:rPr>
        <w:t xml:space="preserve">s the smallest logical building block. If your cluster has ESXi hosts with different frequencies, these MHz-based </w:t>
      </w:r>
      <w:r>
        <w:rPr>
          <w:lang w:val="en-US"/>
        </w:rPr>
        <w:t>metrics</w:t>
      </w:r>
      <w:r w:rsidRPr="00AD756B">
        <w:rPr>
          <w:lang w:val="en-US"/>
        </w:rPr>
        <w:t xml:space="preserve"> can be difficult to use, as the VMs get vMotion-ed by DRS.</w:t>
      </w:r>
    </w:p>
    <w:p w14:paraId="3DA1128D" w14:textId="47E66725" w:rsidR="00F47105" w:rsidRDefault="00F47105" w:rsidP="00E7573A">
      <w:pPr>
        <w:pStyle w:val="Heading5"/>
      </w:pPr>
      <w:r>
        <w:t xml:space="preserve">Why </w:t>
      </w:r>
      <w:r w:rsidR="00EE60F6">
        <w:t>M</w:t>
      </w:r>
      <w:r>
        <w:t xml:space="preserve">illiseconds as </w:t>
      </w:r>
      <w:r w:rsidR="009F3ED9">
        <w:t>U</w:t>
      </w:r>
      <w:r>
        <w:t>nit?</w:t>
      </w:r>
    </w:p>
    <w:p w14:paraId="7CB844AA" w14:textId="1035A254" w:rsidR="007D05B4" w:rsidRDefault="007D05B4" w:rsidP="007D05B4">
      <w:pPr>
        <w:rPr>
          <w:lang w:val="en-GB"/>
        </w:rPr>
      </w:pPr>
      <w:r>
        <w:rPr>
          <w:lang w:val="en-GB"/>
        </w:rPr>
        <w:t>vSphere uses 3 types of units</w:t>
      </w:r>
      <w:r w:rsidR="00C73383">
        <w:rPr>
          <w:lang w:val="en-GB"/>
        </w:rPr>
        <w:t xml:space="preserve"> for CPU</w:t>
      </w:r>
      <w:r>
        <w:rPr>
          <w:lang w:val="en-GB"/>
        </w:rPr>
        <w:t xml:space="preserve">: millisecond, MHz and %. </w:t>
      </w:r>
    </w:p>
    <w:p w14:paraId="442F3A40" w14:textId="4C8563AF" w:rsidR="007D05B4" w:rsidRDefault="007D05B4" w:rsidP="007D05B4">
      <w:pPr>
        <w:rPr>
          <w:lang w:val="en-GB"/>
        </w:rPr>
      </w:pPr>
      <w:r>
        <w:rPr>
          <w:lang w:val="en-GB"/>
        </w:rPr>
        <w:t xml:space="preserve">Of the 3, the millisecond is the source. Time is the raw unit, meaning </w:t>
      </w:r>
      <w:r w:rsidR="00D97ADB">
        <w:rPr>
          <w:lang w:val="en-GB"/>
        </w:rPr>
        <w:t xml:space="preserve">both </w:t>
      </w:r>
      <w:r>
        <w:rPr>
          <w:lang w:val="en-GB"/>
        </w:rPr>
        <w:t xml:space="preserve">the percentage unit </w:t>
      </w:r>
      <w:r w:rsidR="00D97ADB">
        <w:rPr>
          <w:lang w:val="en-GB"/>
        </w:rPr>
        <w:t>and the MHz unit are</w:t>
      </w:r>
      <w:r>
        <w:rPr>
          <w:lang w:val="en-GB"/>
        </w:rPr>
        <w:t xml:space="preserve"> derived from it</w:t>
      </w:r>
      <w:r w:rsidR="00D97ADB">
        <w:rPr>
          <w:lang w:val="en-GB"/>
        </w:rPr>
        <w:t xml:space="preserve">, because they are </w:t>
      </w:r>
      <w:r>
        <w:rPr>
          <w:lang w:val="en-GB"/>
        </w:rPr>
        <w:t>expressed as the average</w:t>
      </w:r>
      <w:r w:rsidR="00D97ADB">
        <w:rPr>
          <w:lang w:val="en-GB"/>
        </w:rPr>
        <w:t>/minimum/maximum</w:t>
      </w:r>
      <w:r>
        <w:rPr>
          <w:lang w:val="en-GB"/>
        </w:rPr>
        <w:t xml:space="preserve"> over time. When we see the CPU demand is 2 GHz at 9:00:00 am what vSphere </w:t>
      </w:r>
      <w:r w:rsidR="00D97ADB">
        <w:rPr>
          <w:lang w:val="en-GB"/>
        </w:rPr>
        <w:t xml:space="preserve">likely </w:t>
      </w:r>
      <w:r>
        <w:rPr>
          <w:lang w:val="en-GB"/>
        </w:rPr>
        <w:t>means is it the average from previous collection</w:t>
      </w:r>
      <w:r w:rsidR="00D97ADB">
        <w:rPr>
          <w:lang w:val="en-GB"/>
        </w:rPr>
        <w:t xml:space="preserve">. It is not a point in time. </w:t>
      </w:r>
    </w:p>
    <w:p w14:paraId="7E010AAE" w14:textId="4173AA81" w:rsidR="00704432" w:rsidRPr="00AD756B" w:rsidRDefault="00C814D2" w:rsidP="002E5D2D">
      <w:pPr>
        <w:rPr>
          <w:lang w:val="en-US"/>
        </w:rPr>
      </w:pPr>
      <w:r>
        <w:rPr>
          <w:lang w:val="en-GB"/>
        </w:rPr>
        <w:t xml:space="preserve">Time as a unit to measure CPU utilization does not seem logical. </w:t>
      </w:r>
      <w:r w:rsidR="00704432" w:rsidRPr="00AD756B">
        <w:rPr>
          <w:lang w:val="en-US"/>
        </w:rPr>
        <w:t>Where does it come from and why?</w:t>
      </w:r>
    </w:p>
    <w:p w14:paraId="2ABF887E" w14:textId="6740FA20" w:rsidR="005E197B" w:rsidRDefault="005E197B" w:rsidP="002E5D2D">
      <w:pPr>
        <w:rPr>
          <w:lang w:val="en-US"/>
        </w:rPr>
      </w:pPr>
      <w:r>
        <w:rPr>
          <w:lang w:val="en-US"/>
        </w:rPr>
        <w:t xml:space="preserve">Hint: the stat type is </w:t>
      </w:r>
      <w:r w:rsidR="00B40016" w:rsidRPr="00711AF5">
        <w:rPr>
          <w:color w:val="00B0F0"/>
          <w:lang w:val="en-US"/>
        </w:rPr>
        <w:t>Delta</w:t>
      </w:r>
      <w:r w:rsidR="00B40016">
        <w:rPr>
          <w:lang w:val="en-US"/>
        </w:rPr>
        <w:t xml:space="preserve">. </w:t>
      </w:r>
    </w:p>
    <w:p w14:paraId="61F02A5E" w14:textId="55263825" w:rsidR="00A20583" w:rsidRDefault="00C73383" w:rsidP="002E5D2D">
      <w:r w:rsidRPr="66A64DBC">
        <w:rPr>
          <w:lang w:val="en-US"/>
        </w:rPr>
        <w:t xml:space="preserve">To answer that, we need to </w:t>
      </w:r>
      <w:r>
        <w:rPr>
          <w:lang w:val="en-US"/>
        </w:rPr>
        <w:t xml:space="preserve">see from the </w:t>
      </w:r>
      <w:r w:rsidRPr="66A64DBC">
        <w:rPr>
          <w:lang w:val="en-US"/>
        </w:rPr>
        <w:t xml:space="preserve">ESXi </w:t>
      </w:r>
      <w:r>
        <w:rPr>
          <w:lang w:val="en-US"/>
        </w:rPr>
        <w:t>VMkernel</w:t>
      </w:r>
      <w:r w:rsidRPr="66A64DBC">
        <w:rPr>
          <w:lang w:val="en-US"/>
        </w:rPr>
        <w:t xml:space="preserve"> scheduler</w:t>
      </w:r>
      <w:r>
        <w:rPr>
          <w:lang w:val="en-US"/>
        </w:rPr>
        <w:t xml:space="preserve"> point of view</w:t>
      </w:r>
      <w:r w:rsidRPr="66A64DBC">
        <w:rPr>
          <w:lang w:val="en-US"/>
        </w:rPr>
        <w:t xml:space="preserve">. </w:t>
      </w:r>
      <w:r w:rsidR="3600AE35" w:rsidRPr="66A64DBC">
        <w:rPr>
          <w:lang w:val="en-US"/>
        </w:rPr>
        <w:t>Think in terms of the passage of time and the amount of CPU cycle</w:t>
      </w:r>
      <w:r w:rsidR="367851FD" w:rsidRPr="66A64DBC">
        <w:rPr>
          <w:lang w:val="en-US"/>
        </w:rPr>
        <w:t>s</w:t>
      </w:r>
      <w:r w:rsidR="3600AE35" w:rsidRPr="66A64DBC">
        <w:rPr>
          <w:lang w:val="en-US"/>
        </w:rPr>
        <w:t xml:space="preserve"> that get completed</w:t>
      </w:r>
      <w:r w:rsidR="3AFCDDF8" w:rsidRPr="66A64DBC">
        <w:rPr>
          <w:lang w:val="en-US"/>
        </w:rPr>
        <w:t xml:space="preserve"> during that time. A CPU </w:t>
      </w:r>
      <w:r w:rsidR="7A04A859" w:rsidRPr="66A64DBC">
        <w:rPr>
          <w:lang w:val="en-US"/>
        </w:rPr>
        <w:t xml:space="preserve">core </w:t>
      </w:r>
      <w:r w:rsidR="3AFCDDF8" w:rsidRPr="66A64DBC">
        <w:rPr>
          <w:lang w:val="en-US"/>
        </w:rPr>
        <w:t xml:space="preserve">running </w:t>
      </w:r>
      <w:r w:rsidR="7A04A859" w:rsidRPr="66A64DBC">
        <w:rPr>
          <w:lang w:val="en-US"/>
        </w:rPr>
        <w:t xml:space="preserve">at </w:t>
      </w:r>
      <w:r w:rsidR="3AFCDDF8" w:rsidRPr="66A64DBC">
        <w:rPr>
          <w:lang w:val="en-US"/>
        </w:rPr>
        <w:t xml:space="preserve">2 GHz will get 2x CPU cycles completed </w:t>
      </w:r>
      <w:r w:rsidR="7A04A859" w:rsidRPr="66A64DBC">
        <w:rPr>
          <w:lang w:val="en-US"/>
        </w:rPr>
        <w:t>compared with a core running at 1 GHz.</w:t>
      </w:r>
      <w:r w:rsidR="28C55323" w:rsidRPr="66A64DBC">
        <w:rPr>
          <w:lang w:val="en-US"/>
        </w:rPr>
        <w:t xml:space="preserve"> </w:t>
      </w:r>
      <w:r w:rsidR="28C55323" w:rsidRPr="00370CAB">
        <w:t>The same goes with Hyper Threading. You get less cycles completed when there is a peer thread competing at the same time.</w:t>
      </w:r>
    </w:p>
    <w:p w14:paraId="4F3C68BA" w14:textId="5B09A3AE" w:rsidR="00F36F29" w:rsidRPr="00AD756B" w:rsidRDefault="009B3772" w:rsidP="002E5D2D">
      <w:pPr>
        <w:rPr>
          <w:b/>
          <w:bCs/>
          <w:color w:val="FF0000"/>
          <w:lang w:val="en-US"/>
        </w:rPr>
      </w:pPr>
      <w:r>
        <w:t xml:space="preserve">What you think as utilization or usage or demand or used, </w:t>
      </w:r>
      <w:r w:rsidR="00DE75CB">
        <w:t xml:space="preserve">it will be easier if you see them </w:t>
      </w:r>
      <w:r w:rsidR="00DB61A0">
        <w:t>as cycles, once you make that small paradigm shift.</w:t>
      </w:r>
    </w:p>
    <w:p w14:paraId="2A537B18" w14:textId="3867468C" w:rsidR="002B253C" w:rsidRDefault="00EB4C1B" w:rsidP="002E5D2D">
      <w:pPr>
        <w:rPr>
          <w:lang w:val="en-US"/>
        </w:rPr>
      </w:pPr>
      <w:r w:rsidRPr="00AD756B">
        <w:rPr>
          <w:lang w:val="en-US"/>
        </w:rPr>
        <w:t xml:space="preserve">Let’s take VM CPU Ready. </w:t>
      </w:r>
      <w:r w:rsidR="000F549B">
        <w:rPr>
          <w:lang w:val="en-US"/>
        </w:rPr>
        <w:t xml:space="preserve">The following is taken from ESXi </w:t>
      </w:r>
      <w:hyperlink r:id="rId219" w:history="1">
        <w:r w:rsidR="000F549B" w:rsidRPr="00A54089">
          <w:rPr>
            <w:rStyle w:val="Hyperlink"/>
            <w:lang w:val="en-US"/>
          </w:rPr>
          <w:t>vsish</w:t>
        </w:r>
      </w:hyperlink>
      <w:r w:rsidR="00EC058E">
        <w:rPr>
          <w:rStyle w:val="FootnoteReference"/>
          <w:color w:val="0000FF"/>
          <w:u w:val="single"/>
          <w:lang w:val="en-US"/>
        </w:rPr>
        <w:footnoteReference w:id="12"/>
      </w:r>
      <w:r w:rsidR="000F549B">
        <w:rPr>
          <w:lang w:val="en-US"/>
        </w:rPr>
        <w:t xml:space="preserve"> command. It shows that the original, raw counter is actually a running number. To calculate the CPU ready of a given time period, we need to subtract the last number from the first number. To convert to percentage, we divide over the collection, which is 20000 ms in the screenshot.</w:t>
      </w:r>
    </w:p>
    <w:p w14:paraId="104C3ED0" w14:textId="6AB43A96" w:rsidR="00704432" w:rsidRDefault="007B05FA" w:rsidP="00540FA4">
      <w:pPr>
        <w:rPr>
          <w:lang w:val="en-US"/>
        </w:rPr>
      </w:pPr>
      <w:r>
        <w:rPr>
          <w:noProof/>
        </w:rPr>
        <w:lastRenderedPageBreak/>
        <w:drawing>
          <wp:inline distT="0" distB="0" distL="0" distR="0" wp14:anchorId="3548584F" wp14:editId="143A289B">
            <wp:extent cx="6645910" cy="3533140"/>
            <wp:effectExtent l="0" t="0" r="2540" b="0"/>
            <wp:docPr id="44" name="Picture 4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 application&#10;&#10;Description automatically generated"/>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6645910" cy="3533140"/>
                    </a:xfrm>
                    <a:prstGeom prst="rect">
                      <a:avLst/>
                    </a:prstGeom>
                    <a:noFill/>
                    <a:ln>
                      <a:noFill/>
                    </a:ln>
                  </pic:spPr>
                </pic:pic>
              </a:graphicData>
            </a:graphic>
          </wp:inline>
        </w:drawing>
      </w:r>
    </w:p>
    <w:p w14:paraId="54A6F4AB" w14:textId="07EFDB2D" w:rsidR="00702CE4" w:rsidRDefault="00702CE4" w:rsidP="008F3390">
      <w:pPr>
        <w:rPr>
          <w:lang w:val="en-US"/>
        </w:rPr>
      </w:pPr>
      <w:r>
        <w:rPr>
          <w:lang w:val="en-US"/>
        </w:rPr>
        <w:t>In the above, the s</w:t>
      </w:r>
      <w:r w:rsidRPr="00702CE4">
        <w:rPr>
          <w:lang w:val="en-US"/>
        </w:rPr>
        <w:t xml:space="preserve">lightly different values </w:t>
      </w:r>
      <w:r>
        <w:rPr>
          <w:lang w:val="en-US"/>
        </w:rPr>
        <w:t xml:space="preserve">are due to </w:t>
      </w:r>
      <w:r w:rsidR="00540FA4">
        <w:rPr>
          <w:lang w:val="en-US"/>
        </w:rPr>
        <w:t xml:space="preserve">different time in </w:t>
      </w:r>
      <w:r w:rsidRPr="00702CE4">
        <w:rPr>
          <w:lang w:val="en-US"/>
        </w:rPr>
        <w:t xml:space="preserve">sample interval start </w:t>
      </w:r>
      <w:r>
        <w:rPr>
          <w:lang w:val="en-US"/>
        </w:rPr>
        <w:t xml:space="preserve">and end. </w:t>
      </w:r>
    </w:p>
    <w:p w14:paraId="17B7F7AF" w14:textId="3F128CDF" w:rsidR="00BB5884" w:rsidRDefault="00BB5884" w:rsidP="008F3390">
      <w:pPr>
        <w:rPr>
          <w:lang w:val="en-US"/>
        </w:rPr>
      </w:pPr>
      <w:r>
        <w:rPr>
          <w:lang w:val="en-US"/>
        </w:rPr>
        <w:t xml:space="preserve">I’ll take another example, to show that the original unit is time (microsecond, not millisecond). </w:t>
      </w:r>
    </w:p>
    <w:p w14:paraId="45B31FF4" w14:textId="130D336E" w:rsidR="00BB5884" w:rsidRPr="00BB5884" w:rsidRDefault="00BB5884" w:rsidP="00BB5884">
      <w:pPr>
        <w:ind w:left="720"/>
        <w:rPr>
          <w:rFonts w:ascii="Lucida Console" w:hAnsi="Lucida Console"/>
          <w:sz w:val="20"/>
          <w:szCs w:val="20"/>
        </w:rPr>
      </w:pPr>
      <w:r w:rsidRPr="00BB5884">
        <w:rPr>
          <w:rFonts w:ascii="Lucida Console" w:hAnsi="Lucida Console"/>
          <w:sz w:val="20"/>
          <w:szCs w:val="20"/>
        </w:rPr>
        <w:t>/sched/groups/169890525/stats/cpuStatsDir/&gt; cat /sched/groups/169890525/stats/cpuStatsDir/cpuStats</w:t>
      </w:r>
      <w:r w:rsidRPr="00BB5884">
        <w:rPr>
          <w:rFonts w:ascii="Lucida Console" w:hAnsi="Lucida Console"/>
          <w:sz w:val="20"/>
          <w:szCs w:val="20"/>
        </w:rPr>
        <w:br/>
        <w:t>group CpuStats {</w:t>
      </w:r>
      <w:r w:rsidRPr="00BB5884">
        <w:rPr>
          <w:rFonts w:ascii="Lucida Console" w:hAnsi="Lucida Console"/>
          <w:sz w:val="20"/>
          <w:szCs w:val="20"/>
        </w:rPr>
        <w:br/>
        <w:t>   number of vsmps:7</w:t>
      </w:r>
      <w:r w:rsidRPr="00BB5884">
        <w:rPr>
          <w:rFonts w:ascii="Lucida Console" w:hAnsi="Lucida Console"/>
          <w:sz w:val="20"/>
          <w:szCs w:val="20"/>
        </w:rPr>
        <w:br/>
        <w:t>   size:19</w:t>
      </w:r>
      <w:r w:rsidRPr="00BB5884">
        <w:rPr>
          <w:rFonts w:ascii="Lucida Console" w:hAnsi="Lucida Console"/>
          <w:sz w:val="20"/>
          <w:szCs w:val="20"/>
        </w:rPr>
        <w:br/>
        <w:t>   used-time:905379300543 usec</w:t>
      </w:r>
      <w:r w:rsidRPr="00BB5884">
        <w:rPr>
          <w:rFonts w:ascii="Lucida Console" w:hAnsi="Lucida Console"/>
          <w:sz w:val="20"/>
          <w:szCs w:val="20"/>
        </w:rPr>
        <w:br/>
        <w:t>   latency-stats:latency-stats {</w:t>
      </w:r>
      <w:r w:rsidRPr="00BB5884">
        <w:rPr>
          <w:rFonts w:ascii="Lucida Console" w:hAnsi="Lucida Console"/>
          <w:sz w:val="20"/>
          <w:szCs w:val="20"/>
        </w:rPr>
        <w:br/>
        <w:t>      </w:t>
      </w:r>
      <w:r w:rsidRPr="00BB5884">
        <w:rPr>
          <w:rFonts w:ascii="Lucida Console" w:hAnsi="Lucida Console"/>
          <w:sz w:val="20"/>
          <w:szCs w:val="20"/>
          <w:highlight w:val="yellow"/>
        </w:rPr>
        <w:t>cpu-latency:798578245914 usec</w:t>
      </w:r>
      <w:r w:rsidRPr="00BB5884">
        <w:rPr>
          <w:rFonts w:ascii="Lucida Console" w:hAnsi="Lucida Console"/>
          <w:sz w:val="20"/>
          <w:szCs w:val="20"/>
        </w:rPr>
        <w:t xml:space="preserve"> </w:t>
      </w:r>
      <w:r w:rsidRPr="00BB5884">
        <w:rPr>
          <w:rFonts w:ascii="Lucida Console" w:hAnsi="Lucida Console"/>
          <w:sz w:val="20"/>
          <w:szCs w:val="20"/>
        </w:rPr>
        <w:br/>
        <w:t>      memory-latency:memory-latency {</w:t>
      </w:r>
      <w:r w:rsidRPr="00BB5884">
        <w:rPr>
          <w:rFonts w:ascii="Lucida Console" w:hAnsi="Lucida Console"/>
          <w:sz w:val="20"/>
          <w:szCs w:val="20"/>
        </w:rPr>
        <w:br/>
        <w:t>         swap-fault-time:0 usec</w:t>
      </w:r>
      <w:r w:rsidRPr="00BB5884">
        <w:rPr>
          <w:rFonts w:ascii="Lucida Console" w:hAnsi="Lucida Console"/>
          <w:sz w:val="20"/>
          <w:szCs w:val="20"/>
        </w:rPr>
        <w:br/>
        <w:t>         swap-fault-count:0</w:t>
      </w:r>
      <w:r w:rsidRPr="00BB5884">
        <w:rPr>
          <w:rFonts w:ascii="Lucida Console" w:hAnsi="Lucida Console"/>
          <w:sz w:val="20"/>
          <w:szCs w:val="20"/>
        </w:rPr>
        <w:br/>
        <w:t>         compress-fault-time:0 usec</w:t>
      </w:r>
      <w:r w:rsidRPr="00BB5884">
        <w:rPr>
          <w:rFonts w:ascii="Lucida Console" w:hAnsi="Lucida Console"/>
          <w:sz w:val="20"/>
          <w:szCs w:val="20"/>
        </w:rPr>
        <w:br/>
        <w:t>         compress-fault-count:0</w:t>
      </w:r>
      <w:r w:rsidRPr="00BB5884">
        <w:rPr>
          <w:rFonts w:ascii="Lucida Console" w:hAnsi="Lucida Console"/>
          <w:sz w:val="20"/>
          <w:szCs w:val="20"/>
        </w:rPr>
        <w:br/>
        <w:t>         mem-fault-time:17939139 usec</w:t>
      </w:r>
      <w:r w:rsidRPr="00BB5884">
        <w:rPr>
          <w:rFonts w:ascii="Lucida Console" w:hAnsi="Lucida Console"/>
          <w:sz w:val="20"/>
          <w:szCs w:val="20"/>
        </w:rPr>
        <w:br/>
        <w:t>         mem-fault-count:3834600</w:t>
      </w:r>
      <w:r w:rsidRPr="00BB5884">
        <w:rPr>
          <w:rFonts w:ascii="Lucida Console" w:hAnsi="Lucida Console"/>
          <w:sz w:val="20"/>
          <w:szCs w:val="20"/>
        </w:rPr>
        <w:br/>
        <w:t>      }</w:t>
      </w:r>
      <w:r w:rsidRPr="00BB5884">
        <w:rPr>
          <w:rFonts w:ascii="Lucida Console" w:hAnsi="Lucida Console"/>
          <w:sz w:val="20"/>
          <w:szCs w:val="20"/>
        </w:rPr>
        <w:br/>
        <w:t>      network-latency:0 usec</w:t>
      </w:r>
      <w:r w:rsidRPr="00BB5884">
        <w:rPr>
          <w:rFonts w:ascii="Lucida Console" w:hAnsi="Lucida Console"/>
          <w:sz w:val="20"/>
          <w:szCs w:val="20"/>
        </w:rPr>
        <w:br/>
        <w:t>      storage-latency:0 usec</w:t>
      </w:r>
    </w:p>
    <w:p w14:paraId="3AF1B63A" w14:textId="695099F5" w:rsidR="00BB5884" w:rsidRDefault="00BB5884" w:rsidP="008F3390">
      <w:pPr>
        <w:rPr>
          <w:lang w:val="en-US"/>
        </w:rPr>
      </w:pPr>
      <w:r>
        <w:rPr>
          <w:lang w:val="en-US"/>
        </w:rPr>
        <w:t xml:space="preserve">In vSphere UI and API, the counter for CPU Latency is percentage. But in the above, you can see that it’s true unit is microseconds. </w:t>
      </w:r>
    </w:p>
    <w:p w14:paraId="30F43063" w14:textId="30BAF723" w:rsidR="009865C9" w:rsidRPr="00702CE4" w:rsidRDefault="007922EF" w:rsidP="00E7573A">
      <w:pPr>
        <w:pStyle w:val="Heading5"/>
        <w:rPr>
          <w:lang w:val="en-SG"/>
        </w:rPr>
      </w:pPr>
      <w:r>
        <w:t>Summation</w:t>
      </w:r>
    </w:p>
    <w:p w14:paraId="1C94A3B1" w14:textId="76CDEA6B" w:rsidR="008F3390" w:rsidRDefault="00601F1B" w:rsidP="008F3390">
      <w:pPr>
        <w:rPr>
          <w:lang w:val="en-US"/>
        </w:rPr>
      </w:pPr>
      <w:r>
        <w:rPr>
          <w:lang w:val="en-US"/>
        </w:rPr>
        <w:t>T</w:t>
      </w:r>
      <w:r w:rsidR="008F3390" w:rsidRPr="00AD756B">
        <w:rPr>
          <w:lang w:val="en-US"/>
        </w:rPr>
        <w:t xml:space="preserve">he </w:t>
      </w:r>
      <w:r w:rsidR="008F3390" w:rsidRPr="00AF40ED">
        <w:rPr>
          <w:b/>
          <w:bCs/>
          <w:color w:val="00B0F0"/>
          <w:lang w:val="en-US"/>
        </w:rPr>
        <w:t>Rollups</w:t>
      </w:r>
      <w:r w:rsidR="008F3390" w:rsidRPr="00AF40ED">
        <w:rPr>
          <w:color w:val="00B0F0"/>
          <w:lang w:val="en-US"/>
        </w:rPr>
        <w:t xml:space="preserve"> </w:t>
      </w:r>
      <w:r w:rsidR="008F3390" w:rsidRPr="00AD756B">
        <w:rPr>
          <w:lang w:val="en-US"/>
        </w:rPr>
        <w:t xml:space="preserve">column </w:t>
      </w:r>
      <w:r w:rsidR="00CF4A5B">
        <w:rPr>
          <w:lang w:val="en-US"/>
        </w:rPr>
        <w:t xml:space="preserve">tells you how </w:t>
      </w:r>
      <w:r w:rsidR="0004242A">
        <w:rPr>
          <w:lang w:val="en-US"/>
        </w:rPr>
        <w:t xml:space="preserve">the data is rolled up </w:t>
      </w:r>
      <w:r w:rsidR="00E77BFD">
        <w:rPr>
          <w:lang w:val="en-US"/>
        </w:rPr>
        <w:t>to longer time period</w:t>
      </w:r>
      <w:r w:rsidR="008F3390" w:rsidRPr="00AD756B">
        <w:rPr>
          <w:lang w:val="en-US"/>
        </w:rPr>
        <w:t xml:space="preserve">. Average means the average of 5 minutes in the case of vRealize Operations. What about </w:t>
      </w:r>
      <w:r w:rsidR="008F3390" w:rsidRPr="00AF40ED">
        <w:rPr>
          <w:b/>
          <w:color w:val="00B0F0"/>
          <w:lang w:val="en-US"/>
        </w:rPr>
        <w:t>Summation</w:t>
      </w:r>
      <w:r w:rsidR="008F3390" w:rsidRPr="00AD756B">
        <w:rPr>
          <w:lang w:val="en-US"/>
        </w:rPr>
        <w:t>? Why does the number keep going up as you roll up?</w:t>
      </w:r>
    </w:p>
    <w:p w14:paraId="67AA7404" w14:textId="493CD9ED" w:rsidR="00F4549A" w:rsidRPr="00AD756B" w:rsidRDefault="00F4549A" w:rsidP="00F4549A">
      <w:pPr>
        <w:rPr>
          <w:lang w:val="en-US"/>
        </w:rPr>
      </w:pPr>
      <w:r w:rsidRPr="00AD756B">
        <w:rPr>
          <w:lang w:val="en-US"/>
        </w:rPr>
        <w:lastRenderedPageBreak/>
        <w:t xml:space="preserve">It is actually average for those </w:t>
      </w:r>
      <w:r w:rsidR="008D3A3F">
        <w:rPr>
          <w:lang w:val="en-US"/>
        </w:rPr>
        <w:t>metrics</w:t>
      </w:r>
      <w:r w:rsidRPr="00AD756B">
        <w:rPr>
          <w:lang w:val="en-US"/>
        </w:rPr>
        <w:t xml:space="preserve"> where accumulation makes more sense. Let’s take an example. CPU Ready Time gets accumulated over the sampling period. vCenter reports </w:t>
      </w:r>
      <w:r w:rsidR="008D3A3F">
        <w:rPr>
          <w:lang w:val="en-US"/>
        </w:rPr>
        <w:t>metrics</w:t>
      </w:r>
      <w:r w:rsidRPr="00AD756B">
        <w:rPr>
          <w:lang w:val="en-US"/>
        </w:rPr>
        <w:t xml:space="preserve"> every 20 seconds, which is 20000 milliseconds. The following table shows a VM has different CPU Ready Time on each second. It ha</w:t>
      </w:r>
      <w:r w:rsidR="006D0DC7">
        <w:rPr>
          <w:lang w:val="en-US"/>
        </w:rPr>
        <w:t>s</w:t>
      </w:r>
      <w:r w:rsidRPr="00AD756B">
        <w:rPr>
          <w:lang w:val="en-US"/>
        </w:rPr>
        <w:t xml:space="preserve"> 900 ms CPU Ready on the 5</w:t>
      </w:r>
      <w:r w:rsidR="00334102" w:rsidRPr="00334102">
        <w:rPr>
          <w:vertAlign w:val="superscript"/>
          <w:lang w:val="en-US"/>
        </w:rPr>
        <w:t>th</w:t>
      </w:r>
      <w:r w:rsidR="00334102">
        <w:rPr>
          <w:lang w:val="en-US"/>
        </w:rPr>
        <w:t xml:space="preserve"> </w:t>
      </w:r>
      <w:r w:rsidRPr="00AD756B">
        <w:rPr>
          <w:lang w:val="en-US"/>
        </w:rPr>
        <w:t>and 6</w:t>
      </w:r>
      <w:r w:rsidR="00334102" w:rsidRPr="00334102">
        <w:rPr>
          <w:vertAlign w:val="superscript"/>
          <w:lang w:val="en-US"/>
        </w:rPr>
        <w:t>th</w:t>
      </w:r>
      <w:r w:rsidR="00334102">
        <w:rPr>
          <w:lang w:val="en-US"/>
        </w:rPr>
        <w:t xml:space="preserve"> </w:t>
      </w:r>
      <w:r w:rsidRPr="00AD756B">
        <w:rPr>
          <w:lang w:val="en-US"/>
        </w:rPr>
        <w:t>second, but ha</w:t>
      </w:r>
      <w:r w:rsidR="00BA7AE7">
        <w:rPr>
          <w:lang w:val="en-US"/>
        </w:rPr>
        <w:t>s</w:t>
      </w:r>
      <w:r w:rsidRPr="00AD756B">
        <w:rPr>
          <w:lang w:val="en-US"/>
        </w:rPr>
        <w:t xml:space="preserve"> lower number on the remaining 18 seconds.</w:t>
      </w:r>
    </w:p>
    <w:p w14:paraId="1131A203" w14:textId="77777777" w:rsidR="00F4549A" w:rsidRPr="00AD756B" w:rsidRDefault="41EB1CAB" w:rsidP="00482056">
      <w:pPr>
        <w:jc w:val="center"/>
        <w:rPr>
          <w:lang w:val="en-US"/>
        </w:rPr>
      </w:pPr>
      <w:r>
        <w:rPr>
          <w:noProof/>
        </w:rPr>
        <w:drawing>
          <wp:inline distT="0" distB="0" distL="0" distR="0" wp14:anchorId="04797937" wp14:editId="6142EF5E">
            <wp:extent cx="3876851" cy="2362200"/>
            <wp:effectExtent l="0" t="0" r="9525" b="0"/>
            <wp:docPr id="606394128" name="Picture 606394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28"/>
                    <pic:cNvPicPr/>
                  </pic:nvPicPr>
                  <pic:blipFill>
                    <a:blip r:embed="rId221">
                      <a:extLst>
                        <a:ext uri="{28A0092B-C50C-407E-A947-70E740481C1C}">
                          <a14:useLocalDpi xmlns:a14="http://schemas.microsoft.com/office/drawing/2010/main" val="0"/>
                        </a:ext>
                      </a:extLst>
                    </a:blip>
                    <a:stretch>
                      <a:fillRect/>
                    </a:stretch>
                  </pic:blipFill>
                  <pic:spPr>
                    <a:xfrm>
                      <a:off x="0" y="0"/>
                      <a:ext cx="3876851" cy="2362200"/>
                    </a:xfrm>
                    <a:prstGeom prst="rect">
                      <a:avLst/>
                    </a:prstGeom>
                  </pic:spPr>
                </pic:pic>
              </a:graphicData>
            </a:graphic>
          </wp:inline>
        </w:drawing>
      </w:r>
    </w:p>
    <w:p w14:paraId="63C0DC20" w14:textId="1DF6D321" w:rsidR="00F4549A" w:rsidRPr="00AD756B" w:rsidRDefault="00F4549A" w:rsidP="00F4549A">
      <w:pPr>
        <w:rPr>
          <w:lang w:val="en-US"/>
        </w:rPr>
      </w:pPr>
      <w:r w:rsidRPr="00AD756B">
        <w:rPr>
          <w:lang w:val="en-US"/>
        </w:rPr>
        <w:t>Over a period of 20 seconds, a VM may accumulate different CPU Ready Time for each second. vCenter sums all these numbers, then divides it by 20,000. This is actually an average, as you lose the peak</w:t>
      </w:r>
      <w:r w:rsidR="00BA7AE7">
        <w:rPr>
          <w:lang w:val="en-US"/>
        </w:rPr>
        <w:t xml:space="preserve"> within the period.</w:t>
      </w:r>
    </w:p>
    <w:p w14:paraId="78C9950F" w14:textId="45CB93FA" w:rsidR="00F4549A" w:rsidRDefault="00F4549A" w:rsidP="00F4549A">
      <w:pPr>
        <w:rPr>
          <w:lang w:val="en-US"/>
        </w:rPr>
      </w:pPr>
      <w:r w:rsidRPr="00A267CE">
        <w:rPr>
          <w:b/>
          <w:bCs/>
          <w:color w:val="00B0F0"/>
          <w:lang w:val="en-US"/>
        </w:rPr>
        <w:t>Latest</w:t>
      </w:r>
      <w:r w:rsidRPr="00AD756B">
        <w:rPr>
          <w:lang w:val="en-US"/>
        </w:rPr>
        <w:t>, on the other hand, is different. It takes the last value of the sampling period. For example, in the 20-second sampling, it takes the value between 19</w:t>
      </w:r>
      <w:r w:rsidR="00BA7AE7" w:rsidRPr="00BA7AE7">
        <w:rPr>
          <w:vertAlign w:val="superscript"/>
          <w:lang w:val="en-US"/>
        </w:rPr>
        <w:t>th</w:t>
      </w:r>
      <w:r w:rsidR="00BA7AE7">
        <w:rPr>
          <w:lang w:val="en-US"/>
        </w:rPr>
        <w:t xml:space="preserve"> </w:t>
      </w:r>
      <w:r w:rsidRPr="00AD756B">
        <w:rPr>
          <w:lang w:val="en-US"/>
        </w:rPr>
        <w:t>and 20</w:t>
      </w:r>
      <w:r w:rsidR="00BA7AE7" w:rsidRPr="00BA7AE7">
        <w:rPr>
          <w:vertAlign w:val="superscript"/>
          <w:lang w:val="en-US"/>
        </w:rPr>
        <w:t>th</w:t>
      </w:r>
      <w:r w:rsidR="00BA7AE7">
        <w:rPr>
          <w:lang w:val="en-US"/>
        </w:rPr>
        <w:t xml:space="preserve"> </w:t>
      </w:r>
      <w:r w:rsidRPr="00AD756B">
        <w:rPr>
          <w:lang w:val="en-US"/>
        </w:rPr>
        <w:t>seconds. This value can be lower or higher than the average of the entire 20 seconds period.</w:t>
      </w:r>
      <w:r w:rsidR="00965571">
        <w:rPr>
          <w:lang w:val="en-US"/>
        </w:rPr>
        <w:t xml:space="preserve"> Latest is less popular compared with average</w:t>
      </w:r>
      <w:r w:rsidR="00A32EF2">
        <w:rPr>
          <w:lang w:val="en-US"/>
        </w:rPr>
        <w:t xml:space="preserve"> as you miss 95% of the data.</w:t>
      </w:r>
    </w:p>
    <w:p w14:paraId="6F3DC505" w14:textId="46ABE77F" w:rsidR="00965571" w:rsidRDefault="00965571" w:rsidP="00F4549A">
      <w:pPr>
        <w:rPr>
          <w:lang w:val="en-US"/>
        </w:rPr>
      </w:pPr>
      <w:r>
        <w:rPr>
          <w:lang w:val="en-US"/>
        </w:rPr>
        <w:t>Rolling up from 20 seconds to 5 minutes or higher results in further averaging</w:t>
      </w:r>
      <w:r w:rsidR="0079402E">
        <w:rPr>
          <w:lang w:val="en-US"/>
        </w:rPr>
        <w:t>, regardless whether</w:t>
      </w:r>
      <w:r w:rsidR="00FD66D7">
        <w:rPr>
          <w:lang w:val="en-US"/>
        </w:rPr>
        <w:t xml:space="preserve"> the rollup</w:t>
      </w:r>
      <w:r w:rsidR="00FB7B25">
        <w:rPr>
          <w:lang w:val="en-US"/>
        </w:rPr>
        <w:t xml:space="preserve"> technique</w:t>
      </w:r>
      <w:r w:rsidR="0079402E">
        <w:rPr>
          <w:lang w:val="en-US"/>
        </w:rPr>
        <w:t xml:space="preserve"> </w:t>
      </w:r>
      <w:r w:rsidR="00FB7B25">
        <w:rPr>
          <w:lang w:val="en-US"/>
        </w:rPr>
        <w:t>i</w:t>
      </w:r>
      <w:r w:rsidR="00F04C57">
        <w:rPr>
          <w:lang w:val="en-US"/>
        </w:rPr>
        <w:t>s</w:t>
      </w:r>
      <w:r w:rsidR="00FD66D7">
        <w:rPr>
          <w:lang w:val="en-US"/>
        </w:rPr>
        <w:t xml:space="preserve"> summation or average</w:t>
      </w:r>
      <w:r>
        <w:rPr>
          <w:lang w:val="en-US"/>
        </w:rPr>
        <w:t xml:space="preserve">. </w:t>
      </w:r>
      <w:r w:rsidR="000B54B5">
        <w:rPr>
          <w:lang w:val="en-US"/>
        </w:rPr>
        <w:t xml:space="preserve">This is the reason why it is better to use </w:t>
      </w:r>
      <w:bookmarkStart w:id="56" w:name="_Hlk134955111"/>
      <w:r w:rsidR="00C73383">
        <w:rPr>
          <w:lang w:val="en-US"/>
        </w:rPr>
        <w:t>Aria</w:t>
      </w:r>
      <w:bookmarkEnd w:id="56"/>
      <w:r w:rsidR="000B54B5">
        <w:rPr>
          <w:lang w:val="en-US"/>
        </w:rPr>
        <w:t xml:space="preserve"> Operations than</w:t>
      </w:r>
      <w:r w:rsidR="003A6A33">
        <w:rPr>
          <w:lang w:val="en-US"/>
        </w:rPr>
        <w:t xml:space="preserve"> vCenter for data older than 1 day, as vCenter averages the data </w:t>
      </w:r>
      <w:r w:rsidR="00EC2E5B">
        <w:rPr>
          <w:lang w:val="en-US"/>
        </w:rPr>
        <w:t>further, into a 0.5 hour average.</w:t>
      </w:r>
    </w:p>
    <w:p w14:paraId="448B2692" w14:textId="44582B18" w:rsidR="00FB7B25" w:rsidRPr="00AD756B" w:rsidRDefault="00326AD3" w:rsidP="00F4549A">
      <w:pPr>
        <w:rPr>
          <w:lang w:val="en-US"/>
        </w:rPr>
      </w:pPr>
      <w:r>
        <w:rPr>
          <w:lang w:val="en-US"/>
        </w:rPr>
        <w:t xml:space="preserve">Because the source data is based on 20-second, and </w:t>
      </w:r>
      <w:r w:rsidR="00C73383">
        <w:rPr>
          <w:lang w:val="en-US"/>
        </w:rPr>
        <w:t xml:space="preserve">Aria </w:t>
      </w:r>
      <w:r>
        <w:rPr>
          <w:lang w:val="en-US"/>
        </w:rPr>
        <w:t>Operations by default averages th</w:t>
      </w:r>
      <w:r w:rsidR="0085008C">
        <w:rPr>
          <w:lang w:val="en-US"/>
        </w:rPr>
        <w:t xml:space="preserve">ese data, the “100%” of any </w:t>
      </w:r>
      <w:r w:rsidR="00F22268">
        <w:rPr>
          <w:lang w:val="en-US"/>
        </w:rPr>
        <w:t>millisecond</w:t>
      </w:r>
      <w:r w:rsidR="0085008C">
        <w:rPr>
          <w:lang w:val="en-US"/>
        </w:rPr>
        <w:t xml:space="preserve"> data is 20,000 ms, not 300,000 ms. When you see CPU Ready of </w:t>
      </w:r>
      <w:r w:rsidR="0051038F">
        <w:rPr>
          <w:lang w:val="en-US"/>
        </w:rPr>
        <w:t>3</w:t>
      </w:r>
      <w:r w:rsidR="0085008C">
        <w:rPr>
          <w:lang w:val="en-US"/>
        </w:rPr>
        <w:t>000 m</w:t>
      </w:r>
      <w:r w:rsidR="0051038F">
        <w:rPr>
          <w:lang w:val="en-US"/>
        </w:rPr>
        <w:t>s, that’s actually 15% and not 1%</w:t>
      </w:r>
      <w:r w:rsidR="007F04CF">
        <w:rPr>
          <w:lang w:val="en-US"/>
        </w:rPr>
        <w:t>.</w:t>
      </w:r>
    </w:p>
    <w:p w14:paraId="087A8F50" w14:textId="77777777" w:rsidR="00C73383" w:rsidRDefault="00C73383" w:rsidP="00C73383">
      <w:bookmarkStart w:id="57" w:name="_Units"/>
      <w:bookmarkEnd w:id="57"/>
      <w:r>
        <w:t xml:space="preserve">By default, </w:t>
      </w:r>
      <w:r>
        <w:rPr>
          <w:lang w:val="en-US"/>
        </w:rPr>
        <w:t>Aria</w:t>
      </w:r>
      <w:r>
        <w:t xml:space="preserve"> Operations takes data every 5 minutes. This means it is </w:t>
      </w:r>
      <w:r w:rsidRPr="00803D9E">
        <w:rPr>
          <w:i/>
          <w:iCs/>
          <w:color w:val="FF0000"/>
        </w:rPr>
        <w:t>not</w:t>
      </w:r>
      <w:r w:rsidRPr="00803D9E">
        <w:rPr>
          <w:color w:val="FF0000"/>
        </w:rPr>
        <w:t xml:space="preserve"> </w:t>
      </w:r>
      <w:r>
        <w:t xml:space="preserve">suitable to troubleshoot performance that does not last for 5 minutes. In fact, if the performance issue only lasts for 5 minutes, you may not get any alert, because the collection could happen exactly in the middle of those 5 minutes. For example, let's assume the CPU is idle from 08:00:00 to 08:02:30, spikes from 08:02:30 to 08:07:30, and then again is idle from 08:07:30 to 08:10:00. If </w:t>
      </w:r>
      <w:r>
        <w:rPr>
          <w:lang w:val="en-US"/>
        </w:rPr>
        <w:t>Aria</w:t>
      </w:r>
      <w:r>
        <w:t xml:space="preserve"> Operations is collecting at exactly 08:00, 08:05, and 08:10, you will not see the spike as it is spread over two data points. This means, for </w:t>
      </w:r>
      <w:r>
        <w:rPr>
          <w:lang w:val="en-US"/>
        </w:rPr>
        <w:t>Aria</w:t>
      </w:r>
      <w:r>
        <w:t xml:space="preserve"> Operations to pick up the spike in its </w:t>
      </w:r>
      <w:r w:rsidRPr="3687B177">
        <w:rPr>
          <w:i/>
          <w:iCs/>
          <w:color w:val="00B0F0"/>
        </w:rPr>
        <w:t>entirety</w:t>
      </w:r>
      <w:r w:rsidRPr="3687B177">
        <w:rPr>
          <w:color w:val="00B0F0"/>
        </w:rPr>
        <w:t xml:space="preserve"> </w:t>
      </w:r>
      <w:r>
        <w:t xml:space="preserve">without any idle data, the spike </w:t>
      </w:r>
      <w:r w:rsidRPr="3687B177">
        <w:rPr>
          <w:i/>
          <w:iCs/>
          <w:color w:val="00B0F0"/>
        </w:rPr>
        <w:t>may</w:t>
      </w:r>
      <w:r w:rsidRPr="3687B177">
        <w:rPr>
          <w:color w:val="FF0000"/>
        </w:rPr>
        <w:t xml:space="preserve"> </w:t>
      </w:r>
      <w:r>
        <w:t>have to last for 10 minutes.</w:t>
      </w:r>
    </w:p>
    <w:p w14:paraId="60D8B764" w14:textId="77777777" w:rsidR="00C73383" w:rsidRDefault="00C73383" w:rsidP="00C73383">
      <w:r>
        <w:rPr>
          <w:lang w:val="en-US"/>
        </w:rPr>
        <w:t>Aria</w:t>
      </w:r>
      <w:r>
        <w:t xml:space="preserve"> Operations is capable of storing the individual 20-seconds data. But that would result in 15x more data. In most cases, what you want is the peak among the 15 data points. This is where a new set of </w:t>
      </w:r>
      <w:hyperlink w:anchor="_Troubleshooting_Metrics" w:history="1">
        <w:r w:rsidRPr="00A60426">
          <w:rPr>
            <w:rStyle w:val="Hyperlink"/>
          </w:rPr>
          <w:t>troubleshooting metrics</w:t>
        </w:r>
      </w:hyperlink>
      <w:r>
        <w:t xml:space="preserve"> come in. </w:t>
      </w:r>
    </w:p>
    <w:p w14:paraId="4B26876B" w14:textId="77777777" w:rsidR="00C73383" w:rsidRDefault="00C73383" w:rsidP="00C73383">
      <w:pPr>
        <w:rPr>
          <w:lang w:val="en-US"/>
        </w:rPr>
      </w:pPr>
      <w:r w:rsidRPr="0074413E">
        <w:rPr>
          <w:lang w:val="en-US"/>
        </w:rPr>
        <w:t xml:space="preserve">The </w:t>
      </w:r>
      <w:hyperlink r:id="rId222" w:history="1">
        <w:r w:rsidRPr="00F93EA2">
          <w:rPr>
            <w:rStyle w:val="Hyperlink"/>
            <w:lang w:val="en-US"/>
          </w:rPr>
          <w:t>Collection Level</w:t>
        </w:r>
      </w:hyperlink>
      <w:r w:rsidRPr="0074413E">
        <w:rPr>
          <w:lang w:val="en-US"/>
        </w:rPr>
        <w:t xml:space="preserve"> </w:t>
      </w:r>
      <w:r>
        <w:rPr>
          <w:lang w:val="en-US"/>
        </w:rPr>
        <w:t>in vCenter, shown in the following table,</w:t>
      </w:r>
      <w:r w:rsidRPr="0074413E">
        <w:rPr>
          <w:lang w:val="en-US"/>
        </w:rPr>
        <w:t xml:space="preserve"> does </w:t>
      </w:r>
      <w:r w:rsidRPr="009162F5">
        <w:rPr>
          <w:i/>
          <w:iCs/>
          <w:color w:val="00B050"/>
          <w:lang w:val="en-US"/>
        </w:rPr>
        <w:t>not</w:t>
      </w:r>
      <w:r w:rsidRPr="009162F5">
        <w:rPr>
          <w:color w:val="00B050"/>
          <w:lang w:val="en-US"/>
        </w:rPr>
        <w:t xml:space="preserve"> </w:t>
      </w:r>
      <w:r w:rsidRPr="0074413E">
        <w:rPr>
          <w:lang w:val="en-US"/>
        </w:rPr>
        <w:t xml:space="preserve">apply to </w:t>
      </w:r>
      <w:r>
        <w:rPr>
          <w:lang w:val="en-US"/>
        </w:rPr>
        <w:t>Aria</w:t>
      </w:r>
      <w:r w:rsidRPr="0074413E">
        <w:rPr>
          <w:lang w:val="en-US"/>
        </w:rPr>
        <w:t xml:space="preserve"> Operations. Changing the collection level does not impact what </w:t>
      </w:r>
      <w:r>
        <w:rPr>
          <w:lang w:val="en-US"/>
        </w:rPr>
        <w:t>metrics</w:t>
      </w:r>
      <w:r w:rsidRPr="0074413E">
        <w:rPr>
          <w:lang w:val="en-US"/>
        </w:rPr>
        <w:t xml:space="preserve"> get collected by </w:t>
      </w:r>
      <w:r>
        <w:rPr>
          <w:lang w:val="en-US"/>
        </w:rPr>
        <w:t xml:space="preserve">Aria </w:t>
      </w:r>
      <w:r w:rsidRPr="0074413E">
        <w:rPr>
          <w:lang w:val="en-US"/>
        </w:rPr>
        <w:t xml:space="preserve">Operations. It collects </w:t>
      </w:r>
      <w:r>
        <w:rPr>
          <w:lang w:val="en-US"/>
        </w:rPr>
        <w:t>majority of metrics</w:t>
      </w:r>
      <w:r w:rsidRPr="0074413E">
        <w:rPr>
          <w:lang w:val="en-US"/>
        </w:rPr>
        <w:t xml:space="preserve"> from vCenter using its own filter, which you can customize</w:t>
      </w:r>
      <w:r>
        <w:rPr>
          <w:lang w:val="en-US"/>
        </w:rPr>
        <w:t xml:space="preserve"> via policy.</w:t>
      </w:r>
    </w:p>
    <w:p w14:paraId="09623B73" w14:textId="77777777" w:rsidR="00F93EA2" w:rsidRDefault="00F93EA2" w:rsidP="00F93EA2">
      <w:pPr>
        <w:pStyle w:val="BeforeTable"/>
        <w:rPr>
          <w:lang w:val="en-US"/>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696"/>
        <w:gridCol w:w="8760"/>
      </w:tblGrid>
      <w:tr w:rsidR="00F93EA2" w:rsidRPr="00F93EA2" w14:paraId="538710E0" w14:textId="77777777" w:rsidTr="00F93EA2">
        <w:tc>
          <w:tcPr>
            <w:tcW w:w="1696" w:type="dxa"/>
            <w:shd w:val="clear" w:color="auto" w:fill="F2F2F2" w:themeFill="background1" w:themeFillShade="F2"/>
          </w:tcPr>
          <w:p w14:paraId="41E47323" w14:textId="346BD8C8" w:rsidR="00F93EA2" w:rsidRPr="00F93EA2" w:rsidRDefault="00F93EA2" w:rsidP="00F93EA2">
            <w:pPr>
              <w:pStyle w:val="Tableheading"/>
            </w:pPr>
            <w:r w:rsidRPr="00F93EA2">
              <w:t>Statistics Levels</w:t>
            </w:r>
          </w:p>
        </w:tc>
        <w:tc>
          <w:tcPr>
            <w:tcW w:w="8760" w:type="dxa"/>
            <w:shd w:val="clear" w:color="auto" w:fill="F2F2F2" w:themeFill="background1" w:themeFillShade="F2"/>
          </w:tcPr>
          <w:p w14:paraId="7421E625" w14:textId="122111CB" w:rsidR="00F93EA2" w:rsidRPr="00F93EA2" w:rsidRDefault="00F93EA2" w:rsidP="00F93EA2">
            <w:pPr>
              <w:pStyle w:val="Tableheading"/>
            </w:pPr>
            <w:r w:rsidRPr="00F93EA2">
              <w:t>Metrics</w:t>
            </w:r>
          </w:p>
        </w:tc>
      </w:tr>
      <w:tr w:rsidR="00F93EA2" w:rsidRPr="00F93EA2" w14:paraId="3D84D008" w14:textId="77777777" w:rsidTr="00F93EA2">
        <w:tc>
          <w:tcPr>
            <w:tcW w:w="1696" w:type="dxa"/>
            <w:vAlign w:val="center"/>
          </w:tcPr>
          <w:p w14:paraId="7F9F4FE4" w14:textId="253A7747" w:rsidR="00F93EA2" w:rsidRPr="00F93EA2" w:rsidRDefault="00F93EA2" w:rsidP="00F93EA2">
            <w:pPr>
              <w:pStyle w:val="Tablecontent"/>
            </w:pPr>
            <w:r w:rsidRPr="00F93EA2">
              <w:t xml:space="preserve">Level 1 </w:t>
            </w:r>
          </w:p>
        </w:tc>
        <w:tc>
          <w:tcPr>
            <w:tcW w:w="8760" w:type="dxa"/>
            <w:vAlign w:val="center"/>
          </w:tcPr>
          <w:p w14:paraId="4EFEB290" w14:textId="77777777" w:rsidR="00F93EA2" w:rsidRPr="00F93EA2" w:rsidRDefault="00F93EA2" w:rsidP="00F93EA2">
            <w:pPr>
              <w:pStyle w:val="Tablecontent"/>
            </w:pPr>
            <w:r w:rsidRPr="00F93EA2">
              <w:t xml:space="preserve">Cluster Services (VMware Distributed Resource Scheduler) – all metrics </w:t>
            </w:r>
          </w:p>
          <w:p w14:paraId="1C151B00" w14:textId="0474550C" w:rsidR="00F93EA2" w:rsidRPr="00F93EA2" w:rsidRDefault="00F93EA2" w:rsidP="00F93EA2">
            <w:pPr>
              <w:pStyle w:val="Tablecontent"/>
            </w:pPr>
            <w:r w:rsidRPr="00F93EA2">
              <w:lastRenderedPageBreak/>
              <w:t>CPU –entitlement, total</w:t>
            </w:r>
            <w:r>
              <w:t xml:space="preserve"> MH</w:t>
            </w:r>
            <w:r w:rsidRPr="00F93EA2">
              <w:t>z, usage (average), usage</w:t>
            </w:r>
            <w:r>
              <w:t xml:space="preserve"> MH</w:t>
            </w:r>
            <w:r w:rsidRPr="00F93EA2">
              <w:t xml:space="preserve">z </w:t>
            </w:r>
          </w:p>
          <w:p w14:paraId="70B99CEC" w14:textId="62D28C77" w:rsidR="00F93EA2" w:rsidRPr="00F93EA2" w:rsidRDefault="00F93EA2" w:rsidP="00F93EA2">
            <w:pPr>
              <w:pStyle w:val="Tablecontent"/>
            </w:pPr>
            <w:r w:rsidRPr="00F93EA2">
              <w:t>Disk – capacity, max</w:t>
            </w:r>
            <w:r>
              <w:t xml:space="preserve"> </w:t>
            </w:r>
            <w:r w:rsidRPr="00F93EA2">
              <w:t>Total</w:t>
            </w:r>
            <w:r>
              <w:t xml:space="preserve"> </w:t>
            </w:r>
            <w:r w:rsidRPr="00F93EA2">
              <w:t xml:space="preserve">Latency, provisioned, unshared, usage (average), used </w:t>
            </w:r>
          </w:p>
          <w:p w14:paraId="1BC60658" w14:textId="1E6476DC" w:rsidR="00F93EA2" w:rsidRPr="00F93EA2" w:rsidRDefault="00F93EA2" w:rsidP="00F93EA2">
            <w:pPr>
              <w:pStyle w:val="Tablecontent"/>
            </w:pPr>
            <w:r w:rsidRPr="00F93EA2">
              <w:t>Memory – consumed, mem</w:t>
            </w:r>
            <w:r>
              <w:t xml:space="preserve"> </w:t>
            </w:r>
            <w:r w:rsidRPr="00F93EA2">
              <w:t>entitlement, overhead, swap</w:t>
            </w:r>
            <w:r>
              <w:t xml:space="preserve"> </w:t>
            </w:r>
            <w:r w:rsidRPr="00F93EA2">
              <w:t>in</w:t>
            </w:r>
            <w:r>
              <w:t xml:space="preserve"> </w:t>
            </w:r>
            <w:r w:rsidRPr="00F93EA2">
              <w:t>Rate, swap</w:t>
            </w:r>
            <w:r>
              <w:t xml:space="preserve"> </w:t>
            </w:r>
            <w:r w:rsidRPr="00F93EA2">
              <w:t>out</w:t>
            </w:r>
            <w:r>
              <w:t xml:space="preserve"> </w:t>
            </w:r>
            <w:r w:rsidRPr="00F93EA2">
              <w:t>Rate, swap</w:t>
            </w:r>
            <w:r>
              <w:t xml:space="preserve"> </w:t>
            </w:r>
            <w:r w:rsidRPr="00F93EA2">
              <w:t>used, total</w:t>
            </w:r>
            <w:r>
              <w:t xml:space="preserve"> MB</w:t>
            </w:r>
            <w:r w:rsidRPr="00F93EA2">
              <w:t>, usage (average), balloon, total</w:t>
            </w:r>
            <w:r>
              <w:t xml:space="preserve"> </w:t>
            </w:r>
            <w:r w:rsidRPr="00F93EA2">
              <w:t>bandwidth (DRAM or PMem)</w:t>
            </w:r>
          </w:p>
          <w:p w14:paraId="16EE1425" w14:textId="77777777" w:rsidR="00F93EA2" w:rsidRPr="00F93EA2" w:rsidRDefault="00F93EA2" w:rsidP="00F93EA2">
            <w:pPr>
              <w:pStyle w:val="Tablecontent"/>
            </w:pPr>
            <w:r w:rsidRPr="00F93EA2">
              <w:t xml:space="preserve">Network – usage (average), IPv6 </w:t>
            </w:r>
          </w:p>
          <w:p w14:paraId="46878F6E" w14:textId="77777777" w:rsidR="00F93EA2" w:rsidRPr="00F93EA2" w:rsidRDefault="00F93EA2" w:rsidP="00F93EA2">
            <w:pPr>
              <w:pStyle w:val="Tablecontent"/>
            </w:pPr>
            <w:r w:rsidRPr="00F93EA2">
              <w:t xml:space="preserve">System – heartbeat, uptime </w:t>
            </w:r>
          </w:p>
          <w:p w14:paraId="1DC8DAF6" w14:textId="40B5238B" w:rsidR="00F93EA2" w:rsidRPr="00F93EA2" w:rsidRDefault="00F93EA2" w:rsidP="00F93EA2">
            <w:pPr>
              <w:pStyle w:val="Tablecontent"/>
            </w:pPr>
            <w:r>
              <w:t xml:space="preserve">VM </w:t>
            </w:r>
            <w:r w:rsidRPr="00F93EA2">
              <w:t>Operations – num</w:t>
            </w:r>
            <w:r>
              <w:t xml:space="preserve"> </w:t>
            </w:r>
            <w:r w:rsidRPr="00F93EA2">
              <w:t>Change</w:t>
            </w:r>
            <w:r>
              <w:t xml:space="preserve"> datastore</w:t>
            </w:r>
            <w:r w:rsidRPr="00F93EA2">
              <w:t>, num</w:t>
            </w:r>
            <w:r>
              <w:t xml:space="preserve"> </w:t>
            </w:r>
            <w:r w:rsidRPr="00F93EA2">
              <w:t>Change</w:t>
            </w:r>
            <w:r>
              <w:t xml:space="preserve"> </w:t>
            </w:r>
            <w:r w:rsidRPr="00F93EA2">
              <w:t>Host, num</w:t>
            </w:r>
            <w:r>
              <w:t xml:space="preserve"> </w:t>
            </w:r>
            <w:r w:rsidRPr="00F93EA2">
              <w:t>Change</w:t>
            </w:r>
            <w:r>
              <w:t xml:space="preserve"> </w:t>
            </w:r>
            <w:r w:rsidRPr="00F93EA2">
              <w:t>Host</w:t>
            </w:r>
            <w:r>
              <w:t xml:space="preserve"> datastore</w:t>
            </w:r>
          </w:p>
        </w:tc>
      </w:tr>
      <w:tr w:rsidR="00F93EA2" w:rsidRPr="00F93EA2" w14:paraId="3E7CED82" w14:textId="77777777" w:rsidTr="00F93EA2">
        <w:tc>
          <w:tcPr>
            <w:tcW w:w="1696" w:type="dxa"/>
            <w:vAlign w:val="center"/>
          </w:tcPr>
          <w:p w14:paraId="2B2D9361" w14:textId="7625EA20" w:rsidR="00F93EA2" w:rsidRPr="00F93EA2" w:rsidRDefault="00F93EA2" w:rsidP="00F93EA2">
            <w:pPr>
              <w:pStyle w:val="Tablecontent"/>
            </w:pPr>
            <w:r w:rsidRPr="00F93EA2">
              <w:lastRenderedPageBreak/>
              <w:t xml:space="preserve">Level 2 </w:t>
            </w:r>
          </w:p>
        </w:tc>
        <w:tc>
          <w:tcPr>
            <w:tcW w:w="8760" w:type="dxa"/>
            <w:vAlign w:val="center"/>
          </w:tcPr>
          <w:p w14:paraId="2793B40E" w14:textId="7C17671E" w:rsidR="00F93EA2" w:rsidRPr="00F93EA2" w:rsidRDefault="00F93EA2" w:rsidP="00F93EA2">
            <w:pPr>
              <w:pStyle w:val="Tablecontent"/>
            </w:pPr>
            <w:r w:rsidRPr="00F93EA2">
              <w:t>Level 1 metrics</w:t>
            </w:r>
            <w:r>
              <w:t>, plus the following:</w:t>
            </w:r>
          </w:p>
          <w:p w14:paraId="686F3C40" w14:textId="1BCB88F1" w:rsidR="00F93EA2" w:rsidRPr="00F93EA2" w:rsidRDefault="00F93EA2" w:rsidP="00F93EA2">
            <w:pPr>
              <w:pStyle w:val="Tablecontent"/>
            </w:pPr>
            <w:r w:rsidRPr="00F93EA2">
              <w:t>CPU – idle, reserved</w:t>
            </w:r>
            <w:r>
              <w:t xml:space="preserve"> </w:t>
            </w:r>
            <w:r w:rsidRPr="00F93EA2">
              <w:t xml:space="preserve">Capacity </w:t>
            </w:r>
          </w:p>
          <w:p w14:paraId="0E6741D0" w14:textId="3E5D9458" w:rsidR="00F93EA2" w:rsidRPr="00F93EA2" w:rsidRDefault="00F93EA2" w:rsidP="00F93EA2">
            <w:pPr>
              <w:pStyle w:val="Tablecontent"/>
            </w:pPr>
            <w:r w:rsidRPr="00F93EA2">
              <w:t>Disk – All metrics, excluding number</w:t>
            </w:r>
            <w:r>
              <w:t xml:space="preserve"> </w:t>
            </w:r>
            <w:r w:rsidRPr="00F93EA2">
              <w:t>Read and number</w:t>
            </w:r>
            <w:r>
              <w:t xml:space="preserve"> </w:t>
            </w:r>
            <w:r w:rsidRPr="00F93EA2">
              <w:t xml:space="preserve">Write. </w:t>
            </w:r>
          </w:p>
          <w:p w14:paraId="2A5484E2" w14:textId="28C6B1FE" w:rsidR="00F93EA2" w:rsidRPr="00F93EA2" w:rsidRDefault="00F93EA2" w:rsidP="00F93EA2">
            <w:pPr>
              <w:pStyle w:val="Tablecontent"/>
            </w:pPr>
            <w:r w:rsidRPr="00F93EA2">
              <w:t xml:space="preserve">Memory – All metrics, excluding Used, maximum and minimum rollup values, read or write latency (DRAM or PMem). </w:t>
            </w:r>
          </w:p>
          <w:p w14:paraId="0E7BCD3A" w14:textId="624FF737" w:rsidR="00F93EA2" w:rsidRPr="00F93EA2" w:rsidRDefault="00F93EA2" w:rsidP="00F93EA2">
            <w:pPr>
              <w:pStyle w:val="Tablecontent"/>
            </w:pPr>
            <w:r>
              <w:t xml:space="preserve">VM </w:t>
            </w:r>
            <w:r w:rsidRPr="00F93EA2">
              <w:t xml:space="preserve">Operations – All metrics </w:t>
            </w:r>
          </w:p>
        </w:tc>
      </w:tr>
      <w:tr w:rsidR="00F93EA2" w:rsidRPr="00F93EA2" w14:paraId="0495AA87" w14:textId="77777777" w:rsidTr="00F93EA2">
        <w:tc>
          <w:tcPr>
            <w:tcW w:w="1696" w:type="dxa"/>
            <w:vAlign w:val="center"/>
          </w:tcPr>
          <w:p w14:paraId="59B059FC" w14:textId="03A821D4" w:rsidR="00F93EA2" w:rsidRPr="00F93EA2" w:rsidRDefault="00F93EA2" w:rsidP="00F93EA2">
            <w:pPr>
              <w:pStyle w:val="Tablecontent"/>
            </w:pPr>
            <w:r w:rsidRPr="00F93EA2">
              <w:t xml:space="preserve">Level 3 </w:t>
            </w:r>
          </w:p>
        </w:tc>
        <w:tc>
          <w:tcPr>
            <w:tcW w:w="8760" w:type="dxa"/>
            <w:vAlign w:val="center"/>
          </w:tcPr>
          <w:p w14:paraId="68E0BB90" w14:textId="67D1B2EE" w:rsidR="00F93EA2" w:rsidRDefault="00F93EA2" w:rsidP="00F93EA2">
            <w:pPr>
              <w:pStyle w:val="Tablecontent"/>
            </w:pPr>
            <w:r w:rsidRPr="00F93EA2">
              <w:t xml:space="preserve">Level </w:t>
            </w:r>
            <w:r>
              <w:t>2</w:t>
            </w:r>
            <w:r w:rsidRPr="00F93EA2">
              <w:t xml:space="preserve"> metrics</w:t>
            </w:r>
            <w:r>
              <w:t>, plus the following:</w:t>
            </w:r>
          </w:p>
          <w:p w14:paraId="3198DE68" w14:textId="44BBBA7E" w:rsidR="00F93EA2" w:rsidRPr="00F93EA2" w:rsidRDefault="00F93EA2" w:rsidP="00F93EA2">
            <w:pPr>
              <w:pStyle w:val="Tablecontent"/>
            </w:pPr>
            <w:r w:rsidRPr="00F93EA2">
              <w:t xml:space="preserve">Metrics for all </w:t>
            </w:r>
            <w:r w:rsidR="008D3A3F">
              <w:t>metrics</w:t>
            </w:r>
            <w:r w:rsidRPr="00F93EA2">
              <w:t xml:space="preserve">, excluding minimum and maximum rollup values. </w:t>
            </w:r>
          </w:p>
          <w:p w14:paraId="5D78F681" w14:textId="5098F939" w:rsidR="00F93EA2" w:rsidRPr="00F93EA2" w:rsidRDefault="00F93EA2" w:rsidP="00F93EA2">
            <w:pPr>
              <w:pStyle w:val="Tablecontent"/>
            </w:pPr>
            <w:r w:rsidRPr="00F93EA2">
              <w:t xml:space="preserve">Device metrics </w:t>
            </w:r>
          </w:p>
        </w:tc>
      </w:tr>
      <w:tr w:rsidR="00F93EA2" w:rsidRPr="00F93EA2" w14:paraId="4C064BE4" w14:textId="77777777" w:rsidTr="00F93EA2">
        <w:tc>
          <w:tcPr>
            <w:tcW w:w="1696" w:type="dxa"/>
            <w:vAlign w:val="center"/>
          </w:tcPr>
          <w:p w14:paraId="7CBBB396" w14:textId="179DD773" w:rsidR="00F93EA2" w:rsidRPr="00F93EA2" w:rsidRDefault="00F93EA2" w:rsidP="00F93EA2">
            <w:pPr>
              <w:pStyle w:val="Tablecontent"/>
            </w:pPr>
            <w:r w:rsidRPr="00F93EA2">
              <w:t xml:space="preserve">Level 4 </w:t>
            </w:r>
          </w:p>
        </w:tc>
        <w:tc>
          <w:tcPr>
            <w:tcW w:w="8760" w:type="dxa"/>
            <w:vAlign w:val="center"/>
          </w:tcPr>
          <w:p w14:paraId="47E58AB0" w14:textId="2698417A" w:rsidR="00F93EA2" w:rsidRPr="00F93EA2" w:rsidRDefault="00F93EA2" w:rsidP="00F93EA2">
            <w:pPr>
              <w:pStyle w:val="Tablecontent"/>
            </w:pPr>
            <w:r w:rsidRPr="00F93EA2">
              <w:t xml:space="preserve">All metrics, including minimum and maximum rollup values. </w:t>
            </w:r>
          </w:p>
        </w:tc>
      </w:tr>
    </w:tbl>
    <w:p w14:paraId="77024704" w14:textId="30F5A2C9" w:rsidR="007F0F45" w:rsidRDefault="007F0F45" w:rsidP="007F0F45">
      <w:pPr>
        <w:rPr>
          <w:lang w:val="en-US"/>
        </w:rPr>
      </w:pPr>
      <w:r w:rsidRPr="00F93EA2">
        <w:rPr>
          <w:color w:val="FF0000"/>
          <w:lang w:val="en-US"/>
        </w:rPr>
        <w:t xml:space="preserve">Take note: </w:t>
      </w:r>
      <w:r>
        <w:rPr>
          <w:lang w:val="en-US"/>
        </w:rPr>
        <w:t xml:space="preserve">vSAN API, Telegraf API, and Horizon API give you the </w:t>
      </w:r>
      <w:r w:rsidRPr="00631D6F">
        <w:rPr>
          <w:color w:val="FF0000"/>
          <w:lang w:val="en-US"/>
        </w:rPr>
        <w:t xml:space="preserve">last </w:t>
      </w:r>
      <w:r>
        <w:rPr>
          <w:lang w:val="en-US"/>
        </w:rPr>
        <w:t xml:space="preserve">data, not the average or peak of the entire period. Since </w:t>
      </w:r>
      <w:r w:rsidR="00B4461F">
        <w:rPr>
          <w:lang w:val="en-US"/>
        </w:rPr>
        <w:t>Aria</w:t>
      </w:r>
      <w:r>
        <w:rPr>
          <w:lang w:val="en-US"/>
        </w:rPr>
        <w:t xml:space="preserve"> Operations collect every 5 minute</w:t>
      </w:r>
      <w:r w:rsidR="00364677">
        <w:rPr>
          <w:lang w:val="en-US"/>
        </w:rPr>
        <w:t>s</w:t>
      </w:r>
      <w:r>
        <w:rPr>
          <w:lang w:val="en-US"/>
        </w:rPr>
        <w:t>, you get the data of the 300</w:t>
      </w:r>
      <w:r w:rsidRPr="00585D57">
        <w:rPr>
          <w:vertAlign w:val="superscript"/>
          <w:lang w:val="en-US"/>
        </w:rPr>
        <w:t>th</w:t>
      </w:r>
      <w:r>
        <w:rPr>
          <w:lang w:val="en-US"/>
        </w:rPr>
        <w:t xml:space="preserve"> second. </w:t>
      </w:r>
    </w:p>
    <w:p w14:paraId="5FB4D717" w14:textId="063C484D" w:rsidR="00711AF5" w:rsidRDefault="00711AF5" w:rsidP="00AC6E1E">
      <w:pPr>
        <w:pStyle w:val="Heading4"/>
      </w:pPr>
      <w:r>
        <w:t>Real Time</w:t>
      </w:r>
      <w:r w:rsidR="00980224">
        <w:t xml:space="preserve"> Collection</w:t>
      </w:r>
    </w:p>
    <w:p w14:paraId="12A80B5D" w14:textId="214C9D10" w:rsidR="00CF7DC1" w:rsidRDefault="00CF7DC1" w:rsidP="00711AF5">
      <w:pPr>
        <w:rPr>
          <w:lang w:val="en-GB"/>
        </w:rPr>
      </w:pPr>
      <w:r>
        <w:rPr>
          <w:lang w:val="en-GB"/>
        </w:rPr>
        <w:t xml:space="preserve">Do we really need real-time collection and analysis for every single metrics, on every single objects, 24 x 7? </w:t>
      </w:r>
    </w:p>
    <w:p w14:paraId="45F0613C" w14:textId="1072C261" w:rsidR="00711AF5" w:rsidRDefault="00980224" w:rsidP="00711AF5">
      <w:pPr>
        <w:rPr>
          <w:lang w:val="en-GB"/>
        </w:rPr>
      </w:pPr>
      <w:r>
        <w:rPr>
          <w:lang w:val="en-GB"/>
        </w:rPr>
        <w:t>We collect the metrics for a reason, such as performance and capacity. The reasons dictate the frequency for each type of metrics.</w:t>
      </w:r>
      <w:r w:rsidR="00CF7DC1">
        <w:rPr>
          <w:lang w:val="en-GB"/>
        </w:rPr>
        <w:t xml:space="preserve"> </w:t>
      </w:r>
    </w:p>
    <w:p w14:paraId="1D97C0D5" w14:textId="275CCA8A" w:rsidR="00DC3047" w:rsidRDefault="00DC3047" w:rsidP="00711AF5">
      <w:pPr>
        <w:rPr>
          <w:lang w:val="en-GB"/>
        </w:rPr>
      </w:pPr>
      <w:r>
        <w:rPr>
          <w:lang w:val="en-GB"/>
        </w:rPr>
        <w:t xml:space="preserve">Take note that how frequent you collect is not the same with how granular the data points. For example, </w:t>
      </w:r>
      <w:r w:rsidR="004772D6">
        <w:rPr>
          <w:lang w:val="en-GB"/>
        </w:rPr>
        <w:t xml:space="preserve">Aria </w:t>
      </w:r>
      <w:r>
        <w:rPr>
          <w:lang w:val="en-GB"/>
        </w:rPr>
        <w:t xml:space="preserve">Operations collect every 5 </w:t>
      </w:r>
      <w:r w:rsidR="00364677">
        <w:rPr>
          <w:lang w:val="en-GB"/>
        </w:rPr>
        <w:t>minutes</w:t>
      </w:r>
      <w:r>
        <w:rPr>
          <w:lang w:val="en-GB"/>
        </w:rPr>
        <w:t xml:space="preserve"> by default from vCenter, but it grabs 15 data points in 1 collection cycle. For majority of the data, it averages these 15 data points and store as 1 number. </w:t>
      </w:r>
    </w:p>
    <w:p w14:paraId="5A7B8572" w14:textId="77777777" w:rsidR="00980224" w:rsidRDefault="00980224" w:rsidP="00980224">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985"/>
        <w:gridCol w:w="5812"/>
        <w:gridCol w:w="2669"/>
      </w:tblGrid>
      <w:tr w:rsidR="007B7C7E" w14:paraId="7EDBC8C2" w14:textId="77777777" w:rsidTr="000957E6">
        <w:tc>
          <w:tcPr>
            <w:tcW w:w="1985" w:type="dxa"/>
            <w:shd w:val="clear" w:color="auto" w:fill="F2F2F2" w:themeFill="background1" w:themeFillShade="F2"/>
          </w:tcPr>
          <w:p w14:paraId="223BDF79" w14:textId="47B8B883" w:rsidR="007B7C7E" w:rsidRDefault="007B7C7E" w:rsidP="00980224">
            <w:pPr>
              <w:pStyle w:val="Tableheading"/>
            </w:pPr>
            <w:r>
              <w:t>Use Case</w:t>
            </w:r>
          </w:p>
        </w:tc>
        <w:tc>
          <w:tcPr>
            <w:tcW w:w="5812" w:type="dxa"/>
            <w:shd w:val="clear" w:color="auto" w:fill="F2F2F2" w:themeFill="background1" w:themeFillShade="F2"/>
          </w:tcPr>
          <w:p w14:paraId="00FC385E" w14:textId="6B07B907" w:rsidR="007B7C7E" w:rsidRDefault="007B7C7E" w:rsidP="00980224">
            <w:pPr>
              <w:pStyle w:val="Tableheading"/>
            </w:pPr>
            <w:r>
              <w:t>Collection Point</w:t>
            </w:r>
          </w:p>
        </w:tc>
        <w:tc>
          <w:tcPr>
            <w:tcW w:w="2669" w:type="dxa"/>
            <w:shd w:val="clear" w:color="auto" w:fill="F2F2F2" w:themeFill="background1" w:themeFillShade="F2"/>
          </w:tcPr>
          <w:p w14:paraId="6DF8DA4E" w14:textId="64EEEE8F" w:rsidR="007B7C7E" w:rsidRDefault="007B7C7E" w:rsidP="00980224">
            <w:pPr>
              <w:pStyle w:val="Tableheading"/>
            </w:pPr>
            <w:r>
              <w:t xml:space="preserve">Collection </w:t>
            </w:r>
            <w:r w:rsidR="00DC3047">
              <w:t>Frequency</w:t>
            </w:r>
          </w:p>
        </w:tc>
      </w:tr>
      <w:tr w:rsidR="00364677" w14:paraId="2742178E" w14:textId="77777777" w:rsidTr="000957E6">
        <w:tc>
          <w:tcPr>
            <w:tcW w:w="1985" w:type="dxa"/>
          </w:tcPr>
          <w:p w14:paraId="0469BBE3" w14:textId="547A0608" w:rsidR="00364677" w:rsidRDefault="00364677" w:rsidP="00364677">
            <w:pPr>
              <w:pStyle w:val="Tablecontent"/>
            </w:pPr>
            <w:bookmarkStart w:id="58" w:name="_Hlk134957387"/>
            <w:r>
              <w:t>Performance: Profiling</w:t>
            </w:r>
          </w:p>
        </w:tc>
        <w:tc>
          <w:tcPr>
            <w:tcW w:w="5812" w:type="dxa"/>
          </w:tcPr>
          <w:p w14:paraId="6759AC1C" w14:textId="1600ED16" w:rsidR="00364677" w:rsidRDefault="00364677" w:rsidP="00364677">
            <w:pPr>
              <w:pStyle w:val="Tablecontent"/>
            </w:pPr>
            <w:r>
              <w:t>1 – 20 seconds for all counters</w:t>
            </w:r>
          </w:p>
        </w:tc>
        <w:tc>
          <w:tcPr>
            <w:tcW w:w="2669" w:type="dxa"/>
          </w:tcPr>
          <w:p w14:paraId="762C944C" w14:textId="3C94201C" w:rsidR="00364677" w:rsidRDefault="00364677" w:rsidP="00364677">
            <w:pPr>
              <w:pStyle w:val="Tablecontent"/>
            </w:pPr>
            <w:r>
              <w:t>1 – 20 seconds</w:t>
            </w:r>
          </w:p>
        </w:tc>
      </w:tr>
      <w:tr w:rsidR="00364677" w14:paraId="48EFFC4E" w14:textId="77777777" w:rsidTr="000957E6">
        <w:tc>
          <w:tcPr>
            <w:tcW w:w="1985" w:type="dxa"/>
          </w:tcPr>
          <w:p w14:paraId="50B1C65E" w14:textId="0AE372CE" w:rsidR="00364677" w:rsidRDefault="00364677" w:rsidP="00364677">
            <w:pPr>
              <w:pStyle w:val="Tablecontent"/>
            </w:pPr>
            <w:r>
              <w:t>Performance: Troubleshooting</w:t>
            </w:r>
          </w:p>
        </w:tc>
        <w:tc>
          <w:tcPr>
            <w:tcW w:w="5812" w:type="dxa"/>
          </w:tcPr>
          <w:p w14:paraId="6B607320" w14:textId="19A0B814" w:rsidR="00364677" w:rsidRDefault="00364677" w:rsidP="00364677">
            <w:pPr>
              <w:pStyle w:val="Tablecontent"/>
            </w:pPr>
            <w:r>
              <w:t>1 - 20 seconds for raw contention, 5 minutes for everything else. More explanation after this table.</w:t>
            </w:r>
          </w:p>
        </w:tc>
        <w:tc>
          <w:tcPr>
            <w:tcW w:w="2669" w:type="dxa"/>
          </w:tcPr>
          <w:p w14:paraId="4F13E2C8" w14:textId="45C28BF1" w:rsidR="00364677" w:rsidRDefault="00364677" w:rsidP="00364677">
            <w:pPr>
              <w:pStyle w:val="Tablecontent"/>
            </w:pPr>
            <w:r>
              <w:t>5 minutes for both</w:t>
            </w:r>
          </w:p>
        </w:tc>
      </w:tr>
      <w:tr w:rsidR="00364677" w14:paraId="05D1A097" w14:textId="77777777" w:rsidTr="000957E6">
        <w:tc>
          <w:tcPr>
            <w:tcW w:w="1985" w:type="dxa"/>
          </w:tcPr>
          <w:p w14:paraId="6007176F" w14:textId="324F3743" w:rsidR="00364677" w:rsidRDefault="00364677" w:rsidP="00364677">
            <w:pPr>
              <w:pStyle w:val="Tablecontent"/>
            </w:pPr>
            <w:r>
              <w:t>Performance: SLA</w:t>
            </w:r>
          </w:p>
        </w:tc>
        <w:tc>
          <w:tcPr>
            <w:tcW w:w="5812" w:type="dxa"/>
          </w:tcPr>
          <w:p w14:paraId="0B1ADA17" w14:textId="537F6AA0" w:rsidR="00364677" w:rsidRDefault="00364677" w:rsidP="00364677">
            <w:pPr>
              <w:pStyle w:val="Tablecontent"/>
            </w:pPr>
            <w:r>
              <w:t>5 minutes.</w:t>
            </w:r>
            <w:r>
              <w:rPr>
                <w:lang w:val="en-GB"/>
              </w:rPr>
              <w:t xml:space="preserve"> Why SLA differs to troubleshooting and why 5-minute is the sweet spot is covered </w:t>
            </w:r>
            <w:hyperlink w:anchor="_Performance_SLA_1" w:history="1">
              <w:r w:rsidRPr="00CF7DC1">
                <w:rPr>
                  <w:rStyle w:val="Hyperlink"/>
                  <w:lang w:val="en-GB"/>
                </w:rPr>
                <w:t>here</w:t>
              </w:r>
            </w:hyperlink>
            <w:r>
              <w:rPr>
                <w:lang w:val="en-GB"/>
              </w:rPr>
              <w:t>.</w:t>
            </w:r>
          </w:p>
        </w:tc>
        <w:tc>
          <w:tcPr>
            <w:tcW w:w="2669" w:type="dxa"/>
          </w:tcPr>
          <w:p w14:paraId="202D52E3" w14:textId="5A2A604E" w:rsidR="00364677" w:rsidRDefault="00364677" w:rsidP="00364677">
            <w:pPr>
              <w:pStyle w:val="Tablecontent"/>
            </w:pPr>
            <w:r>
              <w:t xml:space="preserve">5 minutes </w:t>
            </w:r>
          </w:p>
        </w:tc>
      </w:tr>
      <w:bookmarkEnd w:id="58"/>
      <w:tr w:rsidR="00364677" w14:paraId="4C332CDD" w14:textId="77777777" w:rsidTr="000957E6">
        <w:tc>
          <w:tcPr>
            <w:tcW w:w="1985" w:type="dxa"/>
          </w:tcPr>
          <w:p w14:paraId="39AF1A86" w14:textId="4DEF0C60" w:rsidR="00364677" w:rsidRDefault="00364677" w:rsidP="00364677">
            <w:pPr>
              <w:pStyle w:val="Tablecontent"/>
            </w:pPr>
            <w:r>
              <w:t>Capacity</w:t>
            </w:r>
          </w:p>
        </w:tc>
        <w:tc>
          <w:tcPr>
            <w:tcW w:w="8481" w:type="dxa"/>
            <w:gridSpan w:val="2"/>
            <w:vMerge w:val="restart"/>
            <w:vAlign w:val="center"/>
          </w:tcPr>
          <w:p w14:paraId="26BD648F" w14:textId="77777777" w:rsidR="00364677" w:rsidRDefault="00364677" w:rsidP="00364677">
            <w:pPr>
              <w:pStyle w:val="Tablecontent"/>
            </w:pPr>
            <w:r>
              <w:t>15 minutes for all. Value is the average over 15 minutes, not the peak.</w:t>
            </w:r>
          </w:p>
          <w:p w14:paraId="0D994686" w14:textId="4AC77BB8" w:rsidR="00364677" w:rsidRDefault="00364677" w:rsidP="00364677">
            <w:pPr>
              <w:pStyle w:val="Tablecontent"/>
            </w:pPr>
            <w:r>
              <w:lastRenderedPageBreak/>
              <w:t>Functionally, you do not need 15-minute granularity. Operationally, it’s safer to do 15 minutes. If there is collection failure, either due to collector or target system, you only lose 15 minutes worth of data.</w:t>
            </w:r>
          </w:p>
        </w:tc>
      </w:tr>
      <w:tr w:rsidR="00364677" w14:paraId="3F7DB13D" w14:textId="77777777" w:rsidTr="00E440AB">
        <w:tc>
          <w:tcPr>
            <w:tcW w:w="1985" w:type="dxa"/>
          </w:tcPr>
          <w:p w14:paraId="624CFE3D" w14:textId="455AE376" w:rsidR="00364677" w:rsidRDefault="00364677" w:rsidP="00364677">
            <w:pPr>
              <w:pStyle w:val="Tablecontent"/>
            </w:pPr>
            <w:r>
              <w:lastRenderedPageBreak/>
              <w:t>Cost</w:t>
            </w:r>
          </w:p>
        </w:tc>
        <w:tc>
          <w:tcPr>
            <w:tcW w:w="8481" w:type="dxa"/>
            <w:gridSpan w:val="2"/>
            <w:vMerge/>
          </w:tcPr>
          <w:p w14:paraId="3EC24FD7" w14:textId="3E6AEC4B" w:rsidR="00364677" w:rsidRDefault="00364677" w:rsidP="00364677">
            <w:pPr>
              <w:pStyle w:val="Tablecontent"/>
            </w:pPr>
          </w:p>
        </w:tc>
      </w:tr>
      <w:tr w:rsidR="00364677" w14:paraId="6BCC17EB" w14:textId="77777777" w:rsidTr="00E440AB">
        <w:tc>
          <w:tcPr>
            <w:tcW w:w="1985" w:type="dxa"/>
          </w:tcPr>
          <w:p w14:paraId="7359F150" w14:textId="06FFF5D2" w:rsidR="00364677" w:rsidRDefault="00364677" w:rsidP="00364677">
            <w:pPr>
              <w:pStyle w:val="Tablecontent"/>
            </w:pPr>
            <w:r>
              <w:t>Compliance</w:t>
            </w:r>
          </w:p>
        </w:tc>
        <w:tc>
          <w:tcPr>
            <w:tcW w:w="8481" w:type="dxa"/>
            <w:gridSpan w:val="2"/>
            <w:vMerge/>
          </w:tcPr>
          <w:p w14:paraId="5C8B6C71" w14:textId="0D7518A4" w:rsidR="00364677" w:rsidRDefault="00364677" w:rsidP="00364677">
            <w:pPr>
              <w:pStyle w:val="Tablecontent"/>
            </w:pPr>
          </w:p>
        </w:tc>
      </w:tr>
      <w:tr w:rsidR="00364677" w14:paraId="15DD8C0E" w14:textId="77777777" w:rsidTr="00E440AB">
        <w:tc>
          <w:tcPr>
            <w:tcW w:w="1985" w:type="dxa"/>
          </w:tcPr>
          <w:p w14:paraId="0AB97F06" w14:textId="39489079" w:rsidR="00364677" w:rsidRDefault="00364677" w:rsidP="00364677">
            <w:pPr>
              <w:pStyle w:val="Tablecontent"/>
            </w:pPr>
            <w:r>
              <w:t>Sustainability</w:t>
            </w:r>
          </w:p>
        </w:tc>
        <w:tc>
          <w:tcPr>
            <w:tcW w:w="8481" w:type="dxa"/>
            <w:gridSpan w:val="2"/>
            <w:vMerge/>
          </w:tcPr>
          <w:p w14:paraId="094ACE6B" w14:textId="0DC7944D" w:rsidR="00364677" w:rsidRDefault="00364677" w:rsidP="00364677">
            <w:pPr>
              <w:pStyle w:val="Tablecontent"/>
            </w:pPr>
          </w:p>
        </w:tc>
      </w:tr>
      <w:tr w:rsidR="00364677" w14:paraId="466F2435" w14:textId="77777777" w:rsidTr="00E440AB">
        <w:tc>
          <w:tcPr>
            <w:tcW w:w="1985" w:type="dxa"/>
          </w:tcPr>
          <w:p w14:paraId="4A960D66" w14:textId="6C3007EA" w:rsidR="00364677" w:rsidRDefault="00364677" w:rsidP="00364677">
            <w:pPr>
              <w:pStyle w:val="Tablecontent"/>
            </w:pPr>
            <w:r>
              <w:t>Inventory</w:t>
            </w:r>
          </w:p>
        </w:tc>
        <w:tc>
          <w:tcPr>
            <w:tcW w:w="8481" w:type="dxa"/>
            <w:gridSpan w:val="2"/>
            <w:vMerge/>
          </w:tcPr>
          <w:p w14:paraId="2D919E35" w14:textId="77777777" w:rsidR="00364677" w:rsidRDefault="00364677" w:rsidP="00364677">
            <w:pPr>
              <w:pStyle w:val="Tablecontent"/>
            </w:pPr>
          </w:p>
        </w:tc>
      </w:tr>
    </w:tbl>
    <w:p w14:paraId="1D123849" w14:textId="52A0F330" w:rsidR="00980224" w:rsidRDefault="007B7C7E" w:rsidP="00E7573A">
      <w:pPr>
        <w:pStyle w:val="Heading5"/>
      </w:pPr>
      <w:r>
        <w:t>Performance Troubleshooting</w:t>
      </w:r>
    </w:p>
    <w:p w14:paraId="36D7090F" w14:textId="1CB5F96F" w:rsidR="000957E6" w:rsidRDefault="007B7C7E" w:rsidP="007B7C7E">
      <w:pPr>
        <w:pStyle w:val="Tablecontent"/>
      </w:pPr>
      <w:r>
        <w:t xml:space="preserve">For troubleshooting, you want per-second data. </w:t>
      </w:r>
      <w:r w:rsidR="000957E6">
        <w:t xml:space="preserve">Who does not want sharper visibility? </w:t>
      </w:r>
      <w:r>
        <w:t xml:space="preserve">However, </w:t>
      </w:r>
      <w:r w:rsidR="000957E6">
        <w:t xml:space="preserve">there are </w:t>
      </w:r>
      <w:r w:rsidR="008B6BE8" w:rsidRPr="008B6BE8">
        <w:t>potential</w:t>
      </w:r>
      <w:r w:rsidR="008B6BE8" w:rsidRPr="008B6BE8">
        <w:rPr>
          <w:i/>
          <w:iCs/>
        </w:rPr>
        <w:t xml:space="preserve"> </w:t>
      </w:r>
      <w:r w:rsidR="000957E6">
        <w:t>problems:</w:t>
      </w:r>
    </w:p>
    <w:p w14:paraId="7437C231" w14:textId="6E9A8B1C" w:rsidR="00E13E58" w:rsidRDefault="00E13E58">
      <w:pPr>
        <w:pStyle w:val="Tablecontent"/>
        <w:numPr>
          <w:ilvl w:val="0"/>
          <w:numId w:val="63"/>
        </w:numPr>
      </w:pPr>
      <w:r>
        <w:t>It may not be possible. The system you’re monitoring may not be able to produce the data, or it comes with capacity or performance penalty.</w:t>
      </w:r>
    </w:p>
    <w:p w14:paraId="1E800036" w14:textId="410B93F4" w:rsidR="000957E6" w:rsidRDefault="008B6BE8">
      <w:pPr>
        <w:pStyle w:val="Tablecontent"/>
        <w:numPr>
          <w:ilvl w:val="0"/>
          <w:numId w:val="63"/>
        </w:numPr>
      </w:pPr>
      <w:r>
        <w:t xml:space="preserve">It’s </w:t>
      </w:r>
      <w:r w:rsidR="007B7C7E">
        <w:t xml:space="preserve">expensive. </w:t>
      </w:r>
      <w:r>
        <w:t>Your monitoring system might grow to be as large as the systems being monitored. You could be better off spending the money on buying more hardware, preventing the problem to begin with.</w:t>
      </w:r>
    </w:p>
    <w:p w14:paraId="455A61F6" w14:textId="23265382" w:rsidR="000957E6" w:rsidRDefault="007B7C7E">
      <w:pPr>
        <w:pStyle w:val="Tablecontent"/>
        <w:numPr>
          <w:ilvl w:val="0"/>
          <w:numId w:val="63"/>
        </w:numPr>
      </w:pPr>
      <w:r>
        <w:t xml:space="preserve">You get diminishing return. </w:t>
      </w:r>
      <w:r w:rsidR="008B6BE8">
        <w:t xml:space="preserve">The first data point is the most valuable. Subsequent data points are less valuable if they are not providing new information. </w:t>
      </w:r>
    </w:p>
    <w:p w14:paraId="780BB2E7" w14:textId="4A63E425" w:rsidR="007B7C7E" w:rsidRDefault="008B6BE8">
      <w:pPr>
        <w:pStyle w:val="Tablecontent"/>
        <w:numPr>
          <w:ilvl w:val="0"/>
          <w:numId w:val="63"/>
        </w:numPr>
      </w:pPr>
      <w:r>
        <w:t xml:space="preserve">The </w:t>
      </w:r>
      <w:r w:rsidR="007B7C7E">
        <w:t>remediation action is likely the same as there are only a handful of things you can do to fix the problem. The number of problems outweigh the actual solution.</w:t>
      </w:r>
    </w:p>
    <w:p w14:paraId="1A61FF52" w14:textId="7CCFA837" w:rsidR="008B6BE8" w:rsidRDefault="008B6BE8" w:rsidP="007B7C7E">
      <w:pPr>
        <w:pStyle w:val="Tablecontent"/>
      </w:pPr>
      <w:r>
        <w:t>So what can you do instead?</w:t>
      </w:r>
    </w:p>
    <w:p w14:paraId="45754D9A" w14:textId="2763BCAF" w:rsidR="008B6BE8" w:rsidRDefault="008B6BE8" w:rsidP="007B7C7E">
      <w:pPr>
        <w:pStyle w:val="Tablecontent"/>
      </w:pPr>
      <w:r>
        <w:t xml:space="preserve">Begin with the end in mind. Look at the solution (e.g. add hardware, change some settings) and ask what metrics are required. For each required metrics, ask what granularity is required. </w:t>
      </w:r>
    </w:p>
    <w:p w14:paraId="384A5AC5" w14:textId="3C1978B1" w:rsidR="008B6BE8" w:rsidRDefault="008B6BE8" w:rsidP="007B7C7E">
      <w:pPr>
        <w:pStyle w:val="Tablecontent"/>
      </w:pPr>
      <w:r>
        <w:t>I find that 1 – 20 second is only required for the contention-type of metrics. For utilization-type and context</w:t>
      </w:r>
      <w:r w:rsidR="00CF7DC1">
        <w:t xml:space="preserve">ual-type, I think 5 minute is enough. You need higher resolution when the contention-type metrics do not exist. For example, there is no metric for network latency and packet retransmit at VM level. All you have is packet dropped. To address the missing metrics, use utilization metric such as packet per second and network throughput. </w:t>
      </w:r>
    </w:p>
    <w:p w14:paraId="3837FE6F" w14:textId="28FD396B" w:rsidR="00DC3047" w:rsidRDefault="00DC3047" w:rsidP="007B7C7E">
      <w:pPr>
        <w:pStyle w:val="Tablecontent"/>
      </w:pPr>
      <w:r>
        <w:t xml:space="preserve">We’ve done the analysis of what metrics are required and document them </w:t>
      </w:r>
      <w:hyperlink w:anchor="_Troubleshooting_metrics" w:history="1">
        <w:r w:rsidRPr="00DC3047">
          <w:rPr>
            <w:rStyle w:val="Hyperlink"/>
          </w:rPr>
          <w:t>here</w:t>
        </w:r>
      </w:hyperlink>
      <w:r>
        <w:t xml:space="preserve">. </w:t>
      </w:r>
    </w:p>
    <w:p w14:paraId="59CBED8D" w14:textId="5CA9231C" w:rsidR="00347C25" w:rsidRDefault="00347C25" w:rsidP="00AC6E1E">
      <w:pPr>
        <w:pStyle w:val="Heading4"/>
      </w:pPr>
      <w:r>
        <w:t>Units</w:t>
      </w:r>
    </w:p>
    <w:p w14:paraId="5D3F8205" w14:textId="77777777" w:rsidR="005233EA" w:rsidRDefault="00347C25" w:rsidP="00910FF7">
      <w:r>
        <w:t xml:space="preserve">Before we cover aggregation, we need to </w:t>
      </w:r>
      <w:r w:rsidR="00910FF7">
        <w:t xml:space="preserve">clarify unit as </w:t>
      </w:r>
      <w:r w:rsidR="005233EA">
        <w:t xml:space="preserve">aggregation often using a different unit. </w:t>
      </w:r>
    </w:p>
    <w:p w14:paraId="38C75A34" w14:textId="2758A56B" w:rsidR="00E335E6" w:rsidRDefault="00E335E6" w:rsidP="00E7573A">
      <w:pPr>
        <w:pStyle w:val="Heading5"/>
      </w:pPr>
      <w:r>
        <w:t>1000 vs 1024</w:t>
      </w:r>
    </w:p>
    <w:p w14:paraId="0E60308F" w14:textId="0078E3CA" w:rsidR="00910FF7" w:rsidRDefault="005233EA" w:rsidP="00910FF7">
      <w:r>
        <w:t>T</w:t>
      </w:r>
      <w:r w:rsidR="00910FF7">
        <w:t xml:space="preserve">here is confusion between 1024 and 1000. Is 1 gigabyte = 1024 megabyte or 1000 megabyte? </w:t>
      </w:r>
    </w:p>
    <w:p w14:paraId="6CF3A32F" w14:textId="0CB9AC8D" w:rsidR="009B0DEF" w:rsidRDefault="009B0DEF" w:rsidP="00910FF7">
      <w:r>
        <w:t>Is 1 Gigabit = 1000 Mb or 1024 Mbit?</w:t>
      </w:r>
    </w:p>
    <w:p w14:paraId="1B3390FB" w14:textId="77777777" w:rsidR="00910FF7" w:rsidRDefault="00910FF7" w:rsidP="00910FF7">
      <w:r>
        <w:lastRenderedPageBreak/>
        <w:t xml:space="preserve">The answer is 1000. Because both are byte, so the only change is from giga to mega. The following screenshot is taken from Google. </w:t>
      </w:r>
    </w:p>
    <w:p w14:paraId="244DAC0D" w14:textId="77777777" w:rsidR="00910FF7" w:rsidRDefault="00910FF7" w:rsidP="00910FF7">
      <w:pPr>
        <w:jc w:val="center"/>
      </w:pPr>
      <w:r w:rsidRPr="0098519C">
        <w:rPr>
          <w:noProof/>
        </w:rPr>
        <w:drawing>
          <wp:inline distT="0" distB="0" distL="0" distR="0" wp14:anchorId="0213001A" wp14:editId="5FE5DCE9">
            <wp:extent cx="3240000" cy="1321200"/>
            <wp:effectExtent l="0" t="0" r="0" b="0"/>
            <wp:docPr id="1583707922" name="Picture 1583707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3240000" cy="1321200"/>
                    </a:xfrm>
                    <a:prstGeom prst="rect">
                      <a:avLst/>
                    </a:prstGeom>
                  </pic:spPr>
                </pic:pic>
              </a:graphicData>
            </a:graphic>
          </wp:inline>
        </w:drawing>
      </w:r>
    </w:p>
    <w:p w14:paraId="03E9A74A" w14:textId="77777777" w:rsidR="003A378C" w:rsidRDefault="00910FF7" w:rsidP="00910FF7">
      <w:r>
        <w:t xml:space="preserve">However, many products </w:t>
      </w:r>
      <w:r w:rsidR="009B0DEF">
        <w:t xml:space="preserve">from many vendors </w:t>
      </w:r>
      <w:r>
        <w:t>use the binary conversion instead of decimal</w:t>
      </w:r>
      <w:r w:rsidR="007F0F45">
        <w:t>. This is one of those issue between what’s popular in practice vs what it should be in theory</w:t>
      </w:r>
      <w:r>
        <w:t xml:space="preserve">. </w:t>
      </w:r>
    </w:p>
    <w:p w14:paraId="10341991" w14:textId="79374326" w:rsidR="006E39AC" w:rsidRDefault="003A378C" w:rsidP="00910FF7">
      <w:r>
        <w:t>To add further confusion, there is consistency among storage and network vendors.</w:t>
      </w:r>
    </w:p>
    <w:p w14:paraId="44EB4551" w14:textId="7FAACF5E" w:rsidR="006E39AC" w:rsidRDefault="006E39AC" w:rsidP="00910FF7">
      <w:r>
        <w:t>Microsoft Windows use 1024</w:t>
      </w:r>
      <w:r w:rsidR="00C53A19">
        <w:t xml:space="preserve"> for storage</w:t>
      </w:r>
      <w:r>
        <w:t>. My 1,000,</w:t>
      </w:r>
      <w:r w:rsidR="00E51909">
        <w:t>202</w:t>
      </w:r>
      <w:r>
        <w:t>,0</w:t>
      </w:r>
      <w:r w:rsidR="00E51909">
        <w:t>39</w:t>
      </w:r>
      <w:r>
        <w:t>,</w:t>
      </w:r>
      <w:r w:rsidR="00E51909">
        <w:t>296</w:t>
      </w:r>
      <w:r>
        <w:t xml:space="preserve"> bytes </w:t>
      </w:r>
      <w:r w:rsidR="00E51909">
        <w:t xml:space="preserve">physical </w:t>
      </w:r>
      <w:r>
        <w:t>SSD is shown at 931 GB, not 1024 GB.</w:t>
      </w:r>
    </w:p>
    <w:p w14:paraId="1B3FFF71" w14:textId="7FB052DB" w:rsidR="006E39AC" w:rsidRDefault="006E39AC" w:rsidP="006E39AC">
      <w:pPr>
        <w:jc w:val="center"/>
      </w:pPr>
      <w:r w:rsidRPr="006E39AC">
        <w:rPr>
          <w:noProof/>
        </w:rPr>
        <w:drawing>
          <wp:inline distT="0" distB="0" distL="0" distR="0" wp14:anchorId="2A678895" wp14:editId="1058C8D7">
            <wp:extent cx="2880000" cy="2062800"/>
            <wp:effectExtent l="0" t="0" r="0" b="0"/>
            <wp:docPr id="1859674543" name="Picture 1859674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2880000" cy="2062800"/>
                    </a:xfrm>
                    <a:prstGeom prst="rect">
                      <a:avLst/>
                    </a:prstGeom>
                  </pic:spPr>
                </pic:pic>
              </a:graphicData>
            </a:graphic>
          </wp:inline>
        </w:drawing>
      </w:r>
    </w:p>
    <w:p w14:paraId="5A96FCB9" w14:textId="7EBE92B2" w:rsidR="00E51909" w:rsidRDefault="00BC169B" w:rsidP="00E51909">
      <w:r>
        <w:t>The disk vendor states that’s a 1 TB disk.</w:t>
      </w:r>
      <w:r w:rsidR="00A45C1E">
        <w:t xml:space="preserve"> </w:t>
      </w:r>
    </w:p>
    <w:p w14:paraId="700EAFBF" w14:textId="2DD70654" w:rsidR="00564767" w:rsidRDefault="00564767" w:rsidP="00E51909">
      <w:r>
        <w:t>Another vendor, Samsung also uses 1000. It states the SSD as 250 GB</w:t>
      </w:r>
      <w:r w:rsidR="000D1FD8">
        <w:t>. Microsoft</w:t>
      </w:r>
      <w:r w:rsidR="0075649F">
        <w:t xml:space="preserve"> shows 232.87 GB, including hidden partitions</w:t>
      </w:r>
      <w:r w:rsidR="00E4254C">
        <w:t xml:space="preserve">. </w:t>
      </w:r>
    </w:p>
    <w:p w14:paraId="18A629F9" w14:textId="64FAF965" w:rsidR="00BC169B" w:rsidRDefault="00BC169B" w:rsidP="0075649F">
      <w:pPr>
        <w:jc w:val="center"/>
      </w:pPr>
      <w:r w:rsidRPr="00BC169B">
        <w:rPr>
          <w:noProof/>
        </w:rPr>
        <w:drawing>
          <wp:inline distT="0" distB="0" distL="0" distR="0" wp14:anchorId="44FBE64D" wp14:editId="391D8CB0">
            <wp:extent cx="5475600" cy="1342800"/>
            <wp:effectExtent l="0" t="0" r="0" b="0"/>
            <wp:docPr id="918289601" name="Picture 918289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475600" cy="1342800"/>
                    </a:xfrm>
                    <a:prstGeom prst="rect">
                      <a:avLst/>
                    </a:prstGeom>
                  </pic:spPr>
                </pic:pic>
              </a:graphicData>
            </a:graphic>
          </wp:inline>
        </w:drawing>
      </w:r>
    </w:p>
    <w:p w14:paraId="0B3E798D" w14:textId="77777777" w:rsidR="00E335E6" w:rsidRDefault="00E335E6" w:rsidP="00E335E6">
      <w:pPr>
        <w:pStyle w:val="BeforeTable"/>
      </w:pPr>
    </w:p>
    <w:p w14:paraId="52ACE920" w14:textId="61704BA3" w:rsidR="00C24D53" w:rsidRDefault="004772D6" w:rsidP="00910FF7">
      <w:r w:rsidRPr="004772D6">
        <w:t>Aria</w:t>
      </w:r>
      <w:r w:rsidR="00761452" w:rsidRPr="004772D6">
        <w:t xml:space="preserve"> Operations use</w:t>
      </w:r>
      <w:r w:rsidR="00761452" w:rsidRPr="007F0F45">
        <w:rPr>
          <w:color w:val="FF0000"/>
        </w:rPr>
        <w:t xml:space="preserve"> 1024</w:t>
      </w:r>
      <w:r w:rsidR="00C24D53">
        <w:t xml:space="preserve">. As it’s a universal conversion, it applies </w:t>
      </w:r>
      <w:r w:rsidR="00ED183F">
        <w:t>1024 to both disk space and speed.</w:t>
      </w:r>
    </w:p>
    <w:p w14:paraId="0FAA9EB2" w14:textId="77777777" w:rsidR="005F6580" w:rsidRDefault="005F6580" w:rsidP="00E7573A">
      <w:pPr>
        <w:pStyle w:val="Heading5"/>
      </w:pPr>
      <w:r>
        <w:t>Kilo vs Kibi</w:t>
      </w:r>
    </w:p>
    <w:p w14:paraId="75BA6F59" w14:textId="77777777" w:rsidR="00BC5693" w:rsidRDefault="005F6580" w:rsidP="005F6580">
      <w:r>
        <w:t xml:space="preserve">To address the confusion, </w:t>
      </w:r>
      <w:r w:rsidRPr="00527695">
        <w:t xml:space="preserve">the </w:t>
      </w:r>
      <w:r w:rsidR="00BC5693">
        <w:t xml:space="preserve">committee at </w:t>
      </w:r>
      <w:hyperlink r:id="rId226" w:history="1">
        <w:r w:rsidRPr="00D9191A">
          <w:rPr>
            <w:rStyle w:val="Hyperlink"/>
          </w:rPr>
          <w:t>International System of Quantities</w:t>
        </w:r>
      </w:hyperlink>
      <w:r>
        <w:t xml:space="preserve"> came up with a new set of name for the binary units. Instead of kilo, mega, giga, they use kibi, mebi and gibi. </w:t>
      </w:r>
    </w:p>
    <w:p w14:paraId="1F96DA39" w14:textId="00CDC079" w:rsidR="005F6580" w:rsidRDefault="00BC5693" w:rsidP="005F6580">
      <w:r>
        <w:lastRenderedPageBreak/>
        <w:t xml:space="preserve">I find it confusing to drop familiar terms like kilo, mega and giga. </w:t>
      </w:r>
      <w:r w:rsidR="005F6580">
        <w:t>Personally I’d have preferred kilobi, megabi and gigabi as it shows the relationship to the commonly known units. Or if you want to emphasize the binary nature, perhaps kilo2byte, mega2byte, giga2byte as the name.</w:t>
      </w:r>
    </w:p>
    <w:p w14:paraId="793E8216" w14:textId="77777777" w:rsidR="005F6580" w:rsidRDefault="005F6580" w:rsidP="005F6580">
      <w:r>
        <w:t>Let’s take an example</w:t>
      </w:r>
    </w:p>
    <w:p w14:paraId="6E118DD6" w14:textId="7469264A" w:rsidR="005F6580" w:rsidRDefault="005F6580" w:rsidP="005F6580">
      <w:pPr>
        <w:pStyle w:val="Bullet"/>
      </w:pPr>
      <w:r>
        <w:t>1 Kibibyte = 1024 bytes. That means 1 Kibibyte = 1.024 KB.</w:t>
      </w:r>
    </w:p>
    <w:p w14:paraId="327B30B9" w14:textId="75C0D072" w:rsidR="005F6580" w:rsidRDefault="005F6580" w:rsidP="005F6580">
      <w:pPr>
        <w:pStyle w:val="Bullet"/>
      </w:pPr>
      <w:r>
        <w:t xml:space="preserve">1 Gibibyte = 1024 Mebibytes = </w:t>
      </w:r>
      <w:r w:rsidRPr="00DB2838">
        <w:t>1</w:t>
      </w:r>
      <w:r>
        <w:t>,</w:t>
      </w:r>
      <w:r w:rsidRPr="00DB2838">
        <w:t>073</w:t>
      </w:r>
      <w:r>
        <w:t>,</w:t>
      </w:r>
      <w:r w:rsidRPr="00DB2838">
        <w:t>741</w:t>
      </w:r>
      <w:r>
        <w:t>,</w:t>
      </w:r>
      <w:r w:rsidRPr="00DB2838">
        <w:t>824</w:t>
      </w:r>
      <w:r>
        <w:t xml:space="preserve"> bytes</w:t>
      </w:r>
    </w:p>
    <w:p w14:paraId="3B08E4ED" w14:textId="77777777" w:rsidR="005F6580" w:rsidRDefault="005F6580" w:rsidP="005F6580">
      <w:r>
        <w:t xml:space="preserve">The abbreviation is also changed from K, M, G to Ki, Mi, Gi, where the letter </w:t>
      </w:r>
      <w:r w:rsidRPr="00224773">
        <w:rPr>
          <w:b/>
          <w:bCs/>
          <w:i/>
          <w:iCs/>
          <w:color w:val="00B0F0"/>
        </w:rPr>
        <w:t>i</w:t>
      </w:r>
      <w:r>
        <w:t xml:space="preserve"> is small case.</w:t>
      </w:r>
    </w:p>
    <w:p w14:paraId="5F432905" w14:textId="711A3C26" w:rsidR="005F6580" w:rsidRPr="00AD756B" w:rsidRDefault="005F6580" w:rsidP="005F6580">
      <w:r>
        <w:t>Note the conversion from byte to bit remains. 1 byte = 8 bit</w:t>
      </w:r>
      <w:r w:rsidR="00E4254C">
        <w:t xml:space="preserve">. </w:t>
      </w:r>
    </w:p>
    <w:p w14:paraId="51778470" w14:textId="19FEE89B" w:rsidR="00E335E6" w:rsidRDefault="00E335E6" w:rsidP="00E7573A">
      <w:pPr>
        <w:pStyle w:val="Heading5"/>
      </w:pPr>
      <w:r>
        <w:t>Bit vs Byte</w:t>
      </w:r>
    </w:p>
    <w:p w14:paraId="632E345C" w14:textId="1D26CB99" w:rsidR="00E335E6" w:rsidRDefault="00E335E6" w:rsidP="00E335E6">
      <w:pPr>
        <w:rPr>
          <w:lang w:val="en-GB"/>
        </w:rPr>
      </w:pPr>
      <w:r>
        <w:rPr>
          <w:lang w:val="en-GB"/>
        </w:rPr>
        <w:t>Do you</w:t>
      </w:r>
      <w:r w:rsidR="004C3A01">
        <w:rPr>
          <w:lang w:val="en-GB"/>
        </w:rPr>
        <w:t xml:space="preserve"> use</w:t>
      </w:r>
      <w:r>
        <w:rPr>
          <w:lang w:val="en-GB"/>
        </w:rPr>
        <w:t xml:space="preserve"> Byte/second or bit/second?</w:t>
      </w:r>
    </w:p>
    <w:p w14:paraId="2F5871D3" w14:textId="5A6DEA86" w:rsidR="00C04B68" w:rsidRDefault="00E335E6" w:rsidP="00C04B68">
      <w:r>
        <w:rPr>
          <w:lang w:val="en-GB"/>
        </w:rPr>
        <w:t xml:space="preserve">To me, it depends on the context. If you talk about disk space, you should use byte. You measure the amount of disk space read or written per second. If you talk about network line, you should use bit. You measure the amount of </w:t>
      </w:r>
      <w:r>
        <w:rPr>
          <w:lang w:val="en-US"/>
        </w:rPr>
        <w:t xml:space="preserve">SCSI blocks </w:t>
      </w:r>
      <w:r>
        <w:rPr>
          <w:lang w:val="en-GB"/>
        </w:rPr>
        <w:t xml:space="preserve">travelling inside </w:t>
      </w:r>
      <w:r>
        <w:rPr>
          <w:lang w:val="en-US"/>
        </w:rPr>
        <w:t>ethernet or FC cable</w:t>
      </w:r>
      <w:r>
        <w:rPr>
          <w:lang w:val="en-GB"/>
        </w:rPr>
        <w:t xml:space="preserve">. </w:t>
      </w:r>
      <w:hyperlink r:id="rId227" w:history="1">
        <w:r w:rsidRPr="007F0F45">
          <w:rPr>
            <w:rStyle w:val="Hyperlink"/>
          </w:rPr>
          <w:t>Pearson</w:t>
        </w:r>
      </w:hyperlink>
      <w:r>
        <w:t xml:space="preserve"> uses 1024 for disk space, and 1000 for transmission speed, in their certification.</w:t>
      </w:r>
      <w:r w:rsidR="00C04B68" w:rsidRPr="00C04B68">
        <w:t xml:space="preserve"> </w:t>
      </w:r>
      <w:r w:rsidR="00C04B68">
        <w:t xml:space="preserve">There are other references, such as </w:t>
      </w:r>
      <w:hyperlink r:id="rId228" w:history="1">
        <w:r w:rsidR="00C04B68" w:rsidRPr="002A4C36">
          <w:rPr>
            <w:rStyle w:val="Hyperlink"/>
          </w:rPr>
          <w:t>gbmb.org</w:t>
        </w:r>
      </w:hyperlink>
      <w:r w:rsidR="00C04B68">
        <w:t xml:space="preserve">, </w:t>
      </w:r>
      <w:hyperlink r:id="rId229" w:history="1">
        <w:r w:rsidR="00C04B68" w:rsidRPr="00601F46">
          <w:rPr>
            <w:rStyle w:val="Hyperlink"/>
          </w:rPr>
          <w:t>NIST</w:t>
        </w:r>
      </w:hyperlink>
      <w:r w:rsidR="00C04B68">
        <w:t xml:space="preserve">, and </w:t>
      </w:r>
      <w:hyperlink r:id="rId230" w:history="1">
        <w:r w:rsidR="00C04B68" w:rsidRPr="006B6449">
          <w:rPr>
            <w:rStyle w:val="Hyperlink"/>
          </w:rPr>
          <w:t>Lyberty</w:t>
        </w:r>
      </w:hyperlink>
      <w:r w:rsidR="00C04B68">
        <w:t>. In short, there is really no standard.</w:t>
      </w:r>
    </w:p>
    <w:p w14:paraId="00F09683" w14:textId="32A02D91" w:rsidR="00761452" w:rsidRDefault="00E51909" w:rsidP="00910FF7">
      <w:r>
        <w:t xml:space="preserve">The following is network transmit. It’s showing 30.81 MBps. </w:t>
      </w:r>
      <w:r w:rsidR="00ED183F">
        <w:t xml:space="preserve">So this is a rate, showing </w:t>
      </w:r>
      <w:r w:rsidR="00000B9A">
        <w:t xml:space="preserve">bandwidth consumption or network </w:t>
      </w:r>
      <w:r w:rsidR="00ED183F">
        <w:t>speed.</w:t>
      </w:r>
    </w:p>
    <w:p w14:paraId="747DBA8B" w14:textId="278E06DB" w:rsidR="006E39AC" w:rsidRDefault="006E39AC" w:rsidP="00910FF7">
      <w:r w:rsidRPr="006E39AC">
        <w:rPr>
          <w:noProof/>
        </w:rPr>
        <w:drawing>
          <wp:inline distT="0" distB="0" distL="0" distR="0" wp14:anchorId="4C6AB900" wp14:editId="3DAB18B3">
            <wp:extent cx="6645910" cy="1296670"/>
            <wp:effectExtent l="0" t="0" r="2540" b="0"/>
            <wp:docPr id="1859674542" name="Picture 1859674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6645910" cy="1296670"/>
                    </a:xfrm>
                    <a:prstGeom prst="rect">
                      <a:avLst/>
                    </a:prstGeom>
                  </pic:spPr>
                </pic:pic>
              </a:graphicData>
            </a:graphic>
          </wp:inline>
        </w:drawing>
      </w:r>
    </w:p>
    <w:p w14:paraId="0EA9C3BF" w14:textId="3F45060D" w:rsidR="00E51909" w:rsidRDefault="00E51909" w:rsidP="00910FF7">
      <w:r>
        <w:t xml:space="preserve">What would it show if </w:t>
      </w:r>
      <w:r w:rsidR="00000B9A">
        <w:t>you</w:t>
      </w:r>
      <w:r>
        <w:t xml:space="preserve"> convert into KBps?</w:t>
      </w:r>
    </w:p>
    <w:p w14:paraId="46B3E711" w14:textId="27FBC7EE" w:rsidR="00E51909" w:rsidRDefault="00E51909" w:rsidP="00910FF7">
      <w:r>
        <w:t>30810, if it uses 1000.</w:t>
      </w:r>
    </w:p>
    <w:p w14:paraId="0131B108" w14:textId="6E8454FD" w:rsidR="00E51909" w:rsidRDefault="00E51909" w:rsidP="00910FF7">
      <w:r w:rsidRPr="00E51909">
        <w:rPr>
          <w:noProof/>
        </w:rPr>
        <w:drawing>
          <wp:inline distT="0" distB="0" distL="0" distR="0" wp14:anchorId="265833DE" wp14:editId="67DF5FEB">
            <wp:extent cx="6645910" cy="1302385"/>
            <wp:effectExtent l="0" t="0" r="2540" b="0"/>
            <wp:docPr id="1859674544" name="Picture 1859674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6645910" cy="1302385"/>
                    </a:xfrm>
                    <a:prstGeom prst="rect">
                      <a:avLst/>
                    </a:prstGeom>
                  </pic:spPr>
                </pic:pic>
              </a:graphicData>
            </a:graphic>
          </wp:inline>
        </w:drawing>
      </w:r>
    </w:p>
    <w:p w14:paraId="3E04382C" w14:textId="320C80CD" w:rsidR="000C4786" w:rsidRDefault="000C4786" w:rsidP="00910FF7">
      <w:r>
        <w:t>Since vRealize treats 1 Mega = 1024 Kilo, the above is what you get.</w:t>
      </w:r>
    </w:p>
    <w:p w14:paraId="65BD4DD1" w14:textId="237797B8" w:rsidR="00E51909" w:rsidRDefault="00E51909" w:rsidP="00910FF7">
      <w:r>
        <w:t xml:space="preserve">Since it’s network, let’s convert into bit. </w:t>
      </w:r>
    </w:p>
    <w:p w14:paraId="1149C11D" w14:textId="493B6DEC" w:rsidR="00E51909" w:rsidRDefault="00E51909" w:rsidP="00910FF7">
      <w:r>
        <w:t>What do you expect you get</w:t>
      </w:r>
      <w:r w:rsidR="005F2130">
        <w:t xml:space="preserve"> in Mbps?</w:t>
      </w:r>
    </w:p>
    <w:p w14:paraId="15B90816" w14:textId="32A70C5A" w:rsidR="00E51909" w:rsidRDefault="00E51909" w:rsidP="00910FF7">
      <w:r w:rsidRPr="00E51909">
        <w:rPr>
          <w:noProof/>
        </w:rPr>
        <w:lastRenderedPageBreak/>
        <w:drawing>
          <wp:inline distT="0" distB="0" distL="0" distR="0" wp14:anchorId="55A29268" wp14:editId="7F6FB2DA">
            <wp:extent cx="6645910" cy="1073785"/>
            <wp:effectExtent l="0" t="0" r="2540" b="0"/>
            <wp:docPr id="1859674545" name="Picture 1859674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6645910" cy="1073785"/>
                    </a:xfrm>
                    <a:prstGeom prst="rect">
                      <a:avLst/>
                    </a:prstGeom>
                  </pic:spPr>
                </pic:pic>
              </a:graphicData>
            </a:graphic>
          </wp:inline>
        </w:drawing>
      </w:r>
    </w:p>
    <w:p w14:paraId="4D91A951" w14:textId="1AE843A9" w:rsidR="005F2130" w:rsidRDefault="005F2130" w:rsidP="00910FF7">
      <w:r>
        <w:t>You get 31</w:t>
      </w:r>
      <w:r w:rsidR="00C8511D">
        <w:t xml:space="preserve"> </w:t>
      </w:r>
      <w:r>
        <w:t>x</w:t>
      </w:r>
      <w:r w:rsidR="00C8511D">
        <w:t xml:space="preserve"> </w:t>
      </w:r>
      <w:r>
        <w:t>553.13 x 8 bits / 1024 = 246</w:t>
      </w:r>
      <w:r w:rsidR="00C8511D">
        <w:t xml:space="preserve"> </w:t>
      </w:r>
      <w:r>
        <w:t>/</w:t>
      </w:r>
      <w:r w:rsidR="00C8511D">
        <w:t xml:space="preserve"> </w:t>
      </w:r>
      <w:r>
        <w:t>51</w:t>
      </w:r>
    </w:p>
    <w:p w14:paraId="5480E8AC" w14:textId="587330C2" w:rsidR="00C57453" w:rsidRDefault="00C57453" w:rsidP="00C57453">
      <w:pPr>
        <w:pStyle w:val="Heading3"/>
      </w:pPr>
      <w:bookmarkStart w:id="59" w:name="_CPU_Metrics"/>
      <w:bookmarkStart w:id="60" w:name="_Performance_Metrics"/>
      <w:bookmarkEnd w:id="59"/>
      <w:bookmarkEnd w:id="60"/>
      <w:r>
        <w:t>Aggregation</w:t>
      </w:r>
    </w:p>
    <w:p w14:paraId="332E24E9" w14:textId="68F1035C" w:rsidR="00C57453" w:rsidRDefault="00C57453" w:rsidP="00C57453">
      <w:pPr>
        <w:rPr>
          <w:lang w:val="en-GB"/>
        </w:rPr>
      </w:pPr>
      <w:r>
        <w:rPr>
          <w:lang w:val="en-GB"/>
        </w:rPr>
        <w:t xml:space="preserve">We discussed in previous heading </w:t>
      </w:r>
      <w:r w:rsidR="00FB46E6">
        <w:rPr>
          <w:lang w:val="en-GB"/>
        </w:rPr>
        <w:t>about collecting the data. After collecting lots of data, how do you summarize?</w:t>
      </w:r>
    </w:p>
    <w:p w14:paraId="0ACEAFAC" w14:textId="77777777" w:rsidR="00EC333F" w:rsidRDefault="00EC333F" w:rsidP="00EC333F">
      <w:r>
        <w:rPr>
          <w:lang w:val="en-US"/>
        </w:rPr>
        <w:t xml:space="preserve">Aggregating to a higher-level object is complex as there is no lossless solution. You are trying to represent a range of values by picking up 1 value among them, so you tend to lose the details. </w:t>
      </w:r>
      <w:bookmarkStart w:id="61" w:name="_Resource_Management"/>
      <w:bookmarkEnd w:id="61"/>
      <w:r>
        <w:rPr>
          <w:lang w:val="en-US"/>
        </w:rPr>
        <w:t xml:space="preserve">The choices of techniques are mean, median, maximum, minimum, percentile, sum and count of. </w:t>
      </w:r>
      <w:r>
        <w:t>The default technique used is the average() function. The problem with average is it will mask out the problems unless they are widespread. By the time the average performance of 1000 VMs is bad, you likely have a hundred VMs in bad shape.</w:t>
      </w:r>
    </w:p>
    <w:p w14:paraId="36361222" w14:textId="77777777" w:rsidR="00EC333F" w:rsidRPr="00AD3D0E" w:rsidRDefault="00EC333F" w:rsidP="00EC333F">
      <w:r>
        <w:t>Let’s take an example. The following table shows ESXi hosts. The first host has CPU Ready of 149,116.33 ms. Is that a bad number?</w:t>
      </w:r>
    </w:p>
    <w:p w14:paraId="5362621D" w14:textId="77777777" w:rsidR="00EC333F" w:rsidRDefault="00EC333F" w:rsidP="00EC333F">
      <w:pPr>
        <w:jc w:val="center"/>
        <w:rPr>
          <w:lang w:val="en-US"/>
        </w:rPr>
      </w:pPr>
      <w:r w:rsidRPr="00AD3D0E">
        <w:rPr>
          <w:noProof/>
          <w:lang w:val="en-US"/>
        </w:rPr>
        <w:drawing>
          <wp:inline distT="0" distB="0" distL="0" distR="0" wp14:anchorId="72354A00" wp14:editId="0164DF6F">
            <wp:extent cx="3498850" cy="1355956"/>
            <wp:effectExtent l="0" t="0" r="6350" b="0"/>
            <wp:docPr id="1293284817" name="Picture 1293284817"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17" name="Picture 1293284817" descr="A screenshot of a computer&#10;&#10;Description automatically generated"/>
                    <pic:cNvPicPr/>
                  </pic:nvPicPr>
                  <pic:blipFill>
                    <a:blip r:embed="rId234"/>
                    <a:stretch>
                      <a:fillRect/>
                    </a:stretch>
                  </pic:blipFill>
                  <pic:spPr>
                    <a:xfrm>
                      <a:off x="0" y="0"/>
                      <a:ext cx="3506701" cy="1358999"/>
                    </a:xfrm>
                    <a:prstGeom prst="rect">
                      <a:avLst/>
                    </a:prstGeom>
                  </pic:spPr>
                </pic:pic>
              </a:graphicData>
            </a:graphic>
          </wp:inline>
        </w:drawing>
      </w:r>
    </w:p>
    <w:p w14:paraId="005AE27B" w14:textId="77777777" w:rsidR="00EC333F" w:rsidRDefault="00EC333F" w:rsidP="00EC333F">
      <w:pPr>
        <w:rPr>
          <w:lang w:val="en-US"/>
        </w:rPr>
      </w:pPr>
      <w:r>
        <w:rPr>
          <w:lang w:val="en-US"/>
        </w:rPr>
        <w:t>It is hard to conclude. It depends on the number of running vCPU, not the number of physical cores.</w:t>
      </w:r>
    </w:p>
    <w:p w14:paraId="39AF4A65" w14:textId="77777777" w:rsidR="00EC333F" w:rsidRDefault="00EC333F" w:rsidP="00EC333F">
      <w:pPr>
        <w:rPr>
          <w:lang w:val="en-US"/>
        </w:rPr>
      </w:pPr>
      <w:r>
        <w:rPr>
          <w:lang w:val="en-US"/>
        </w:rPr>
        <w:t>That host has 67 running VMs, and each of those VMs can have multiple vCPU. In total there are 195 vCPU. Each vCPU could potentially experience CPU Ready of 20,000 ms (which is the worst possible scenario).</w:t>
      </w:r>
    </w:p>
    <w:p w14:paraId="14C5EA00" w14:textId="77777777" w:rsidR="00EC333F" w:rsidRDefault="00EC333F" w:rsidP="00EC333F">
      <w:pPr>
        <w:rPr>
          <w:lang w:val="en-US"/>
        </w:rPr>
      </w:pPr>
      <w:r>
        <w:rPr>
          <w:lang w:val="en-US"/>
        </w:rPr>
        <w:t xml:space="preserve">If you sum the CPU Ready of the 67 VM, what number would you get? </w:t>
      </w:r>
    </w:p>
    <w:p w14:paraId="07AEB3AE" w14:textId="77777777" w:rsidR="00EC333F" w:rsidRDefault="00EC333F" w:rsidP="00EC333F">
      <w:pPr>
        <w:jc w:val="center"/>
        <w:rPr>
          <w:lang w:val="en-US"/>
        </w:rPr>
      </w:pPr>
      <w:r w:rsidRPr="004B517B">
        <w:rPr>
          <w:noProof/>
          <w:lang w:val="en-US"/>
        </w:rPr>
        <w:lastRenderedPageBreak/>
        <w:drawing>
          <wp:inline distT="0" distB="0" distL="0" distR="0" wp14:anchorId="15DC5B80" wp14:editId="41AEFD7D">
            <wp:extent cx="4031830" cy="3098800"/>
            <wp:effectExtent l="0" t="0" r="6985" b="6350"/>
            <wp:docPr id="1293284818" name="Picture 129328481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18" name="Picture 1293284818" descr="A screenshot of a computer&#10;&#10;Description automatically generated"/>
                    <pic:cNvPicPr/>
                  </pic:nvPicPr>
                  <pic:blipFill>
                    <a:blip r:embed="rId235"/>
                    <a:stretch>
                      <a:fillRect/>
                    </a:stretch>
                  </pic:blipFill>
                  <pic:spPr>
                    <a:xfrm>
                      <a:off x="0" y="0"/>
                      <a:ext cx="4034510" cy="3100860"/>
                    </a:xfrm>
                    <a:prstGeom prst="rect">
                      <a:avLst/>
                    </a:prstGeom>
                  </pic:spPr>
                </pic:pic>
              </a:graphicData>
            </a:graphic>
          </wp:inline>
        </w:drawing>
      </w:r>
    </w:p>
    <w:p w14:paraId="542FDE18" w14:textId="77777777" w:rsidR="00EC333F" w:rsidRDefault="00EC333F" w:rsidP="00EC333F">
      <w:pPr>
        <w:rPr>
          <w:lang w:val="en-US"/>
        </w:rPr>
      </w:pPr>
      <w:r>
        <w:rPr>
          <w:lang w:val="en-US"/>
        </w:rPr>
        <w:t xml:space="preserve">You’re right, you get the same number reported by the ESXi host. </w:t>
      </w:r>
    </w:p>
    <w:p w14:paraId="4B682E49" w14:textId="77777777" w:rsidR="00EC333F" w:rsidRDefault="00EC333F" w:rsidP="00EC333F">
      <w:pPr>
        <w:rPr>
          <w:lang w:val="en-US"/>
        </w:rPr>
      </w:pPr>
      <w:r>
        <w:rPr>
          <w:lang w:val="en-US"/>
        </w:rPr>
        <w:t>This means the ESXi CPU Ready = Sum (VM CPU Ready), and the VM CPU Ready = Sum (VM vCPU Ready).</w:t>
      </w:r>
    </w:p>
    <w:p w14:paraId="76C4921D" w14:textId="77777777" w:rsidR="00EC333F" w:rsidRDefault="00EC333F" w:rsidP="00EC333F">
      <w:pPr>
        <w:rPr>
          <w:lang w:val="en-US"/>
        </w:rPr>
      </w:pPr>
      <w:r>
        <w:rPr>
          <w:lang w:val="en-US"/>
        </w:rPr>
        <w:t xml:space="preserve">Because it’s a summation of the VMs, to convert into % requires you to divide with the number of running VM vCPU. </w:t>
      </w:r>
    </w:p>
    <w:p w14:paraId="6E265C71" w14:textId="77777777" w:rsidR="00EC333F" w:rsidRDefault="00EC333F" w:rsidP="00EC333F">
      <w:pPr>
        <w:rPr>
          <w:lang w:val="en-US"/>
        </w:rPr>
      </w:pPr>
      <w:r>
        <w:rPr>
          <w:lang w:val="en-US"/>
        </w:rPr>
        <w:t>ESXi CPU Ready (%) = ESXi CPU Ready (ms) / Sum (vCPU of running VMs)</w:t>
      </w:r>
    </w:p>
    <w:p w14:paraId="50B54945" w14:textId="77777777" w:rsidR="00EC333F" w:rsidRDefault="00EC333F" w:rsidP="00EC333F">
      <w:pPr>
        <w:rPr>
          <w:lang w:val="en-US"/>
        </w:rPr>
      </w:pPr>
      <w:r>
        <w:rPr>
          <w:lang w:val="en-US"/>
        </w:rPr>
        <w:t>Are the CPU Ready equally distributed among the VMs? What do you think?</w:t>
      </w:r>
    </w:p>
    <w:p w14:paraId="55C8BD66" w14:textId="77777777" w:rsidR="00EC333F" w:rsidRDefault="00EC333F" w:rsidP="00EC333F">
      <w:pPr>
        <w:rPr>
          <w:lang w:val="en-US"/>
        </w:rPr>
      </w:pPr>
      <w:r>
        <w:rPr>
          <w:lang w:val="en-US"/>
        </w:rPr>
        <w:t>It depends on many settings, so there is a good chance you get something like the following. This heat map shows the 67 VMs on the above host, colored by CPU Ready and sized by VM CPU configuration. You can see that the larger VMs tend to have higher CPU ready, as they have more vCPU.</w:t>
      </w:r>
    </w:p>
    <w:p w14:paraId="1116CA06" w14:textId="77777777" w:rsidR="00EC333F" w:rsidRPr="00307962" w:rsidRDefault="00EC333F" w:rsidP="00EC333F">
      <w:pPr>
        <w:jc w:val="center"/>
        <w:rPr>
          <w:lang w:val="en-US"/>
        </w:rPr>
      </w:pPr>
      <w:r w:rsidRPr="008E0D0E">
        <w:rPr>
          <w:noProof/>
          <w:lang w:val="en-US"/>
        </w:rPr>
        <w:drawing>
          <wp:inline distT="0" distB="0" distL="0" distR="0" wp14:anchorId="713F8E65" wp14:editId="2E46A317">
            <wp:extent cx="5029200" cy="1216800"/>
            <wp:effectExtent l="0" t="0" r="0" b="2540"/>
            <wp:docPr id="1293284819" name="Picture 1293284819" descr="A red green and brown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19" name="Picture 1293284819" descr="A red green and brown squares&#10;&#10;Description automatically generated"/>
                    <pic:cNvPicPr/>
                  </pic:nvPicPr>
                  <pic:blipFill>
                    <a:blip r:embed="rId236"/>
                    <a:stretch>
                      <a:fillRect/>
                    </a:stretch>
                  </pic:blipFill>
                  <pic:spPr>
                    <a:xfrm>
                      <a:off x="0" y="0"/>
                      <a:ext cx="5029200" cy="1216800"/>
                    </a:xfrm>
                    <a:prstGeom prst="rect">
                      <a:avLst/>
                    </a:prstGeom>
                  </pic:spPr>
                </pic:pic>
              </a:graphicData>
            </a:graphic>
          </wp:inline>
        </w:drawing>
      </w:r>
    </w:p>
    <w:p w14:paraId="32510519" w14:textId="77777777" w:rsidR="00EC333F" w:rsidRDefault="00EC333F" w:rsidP="00EC333F">
      <w:r>
        <w:t>You also need to consider performance requirements in analysing millions of data points. Averaging from 100K object every 5 minutes will require a lot of resource. For VMware Horizon, we apply a 2-step roll up technique to minimize the calculation cost. Mathematically, it is less accurate as a small VDI Pool or RDS Farm is treated equally with the large ones. Operationally, just because they are smaller do not mean they are less important.</w:t>
      </w:r>
    </w:p>
    <w:p w14:paraId="693D5D68" w14:textId="77777777" w:rsidR="00EC333F" w:rsidRPr="00645F89" w:rsidRDefault="00EC333F" w:rsidP="00EC333F">
      <w:pPr>
        <w:jc w:val="center"/>
      </w:pPr>
      <w:r>
        <w:rPr>
          <w:noProof/>
        </w:rPr>
        <w:lastRenderedPageBreak/>
        <w:drawing>
          <wp:inline distT="0" distB="0" distL="0" distR="0" wp14:anchorId="66EB807F" wp14:editId="73AD6B7D">
            <wp:extent cx="5739318" cy="2487989"/>
            <wp:effectExtent l="0" t="0" r="0" b="7620"/>
            <wp:docPr id="606394233" name="Picture 606394233" descr="A diagram of a networ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33" name="Picture 606394233" descr="A diagram of a network&#10;&#10;Description automatically generated"/>
                    <pic:cNvPicPr/>
                  </pic:nvPicPr>
                  <pic:blipFill>
                    <a:blip r:embed="rId237">
                      <a:extLst>
                        <a:ext uri="{28A0092B-C50C-407E-A947-70E740481C1C}">
                          <a14:useLocalDpi xmlns:a14="http://schemas.microsoft.com/office/drawing/2010/main" val="0"/>
                        </a:ext>
                      </a:extLst>
                    </a:blip>
                    <a:stretch>
                      <a:fillRect/>
                    </a:stretch>
                  </pic:blipFill>
                  <pic:spPr>
                    <a:xfrm>
                      <a:off x="0" y="0"/>
                      <a:ext cx="5739318" cy="2487989"/>
                    </a:xfrm>
                    <a:prstGeom prst="rect">
                      <a:avLst/>
                    </a:prstGeom>
                  </pic:spPr>
                </pic:pic>
              </a:graphicData>
            </a:graphic>
          </wp:inline>
        </w:drawing>
      </w:r>
    </w:p>
    <w:p w14:paraId="1B8F50C8" w14:textId="3E409899" w:rsidR="00EC333F" w:rsidRPr="00C57453" w:rsidRDefault="00EC333F" w:rsidP="00EC333F">
      <w:pPr>
        <w:pStyle w:val="Heading4"/>
      </w:pPr>
      <w:r>
        <w:t>Leading Indicator</w:t>
      </w:r>
    </w:p>
    <w:p w14:paraId="706B046B" w14:textId="77777777" w:rsidR="00C57453" w:rsidRDefault="00C57453" w:rsidP="00C57453">
      <w:r>
        <w:t xml:space="preserve">You want to be able to see performance problem while it’s still early, when only a small percentage of users or applications are affected. For that, you need a leading indicator, not a lagging indicator (after the fact). </w:t>
      </w:r>
      <w:r w:rsidRPr="006D3AA1">
        <w:t>Leading indicators complement the lagging indicator by giving the early warning</w:t>
      </w:r>
      <w:r>
        <w:t>, so you have more time to react.</w:t>
      </w:r>
    </w:p>
    <w:p w14:paraId="54957953" w14:textId="77777777" w:rsidR="00C57453" w:rsidRDefault="00C57453" w:rsidP="00C57453">
      <w:r>
        <w:t xml:space="preserve">Performance use the contention metric as its primary input. </w:t>
      </w:r>
      <w:r w:rsidRPr="00F51857">
        <w:t>The problem with contention metrics is it drops (or spike, depending on how you see it) suddenly</w:t>
      </w:r>
      <w:r>
        <w:t>, typically at the point of overcommit</w:t>
      </w:r>
      <w:r w:rsidRPr="00F51857">
        <w:t xml:space="preserve">. It differs to </w:t>
      </w:r>
      <w:r>
        <w:t>consumption</w:t>
      </w:r>
      <w:r w:rsidRPr="00F51857">
        <w:t xml:space="preserve"> metrics which goes up</w:t>
      </w:r>
      <w:r>
        <w:t xml:space="preserve"> towards 100%</w:t>
      </w:r>
      <w:r w:rsidRPr="00F51857">
        <w:t>.</w:t>
      </w:r>
    </w:p>
    <w:p w14:paraId="055C5A1F" w14:textId="77777777" w:rsidR="00C57453" w:rsidRDefault="00C57453" w:rsidP="00C57453">
      <w:pPr>
        <w:jc w:val="center"/>
      </w:pPr>
      <w:r w:rsidRPr="00BE1BF5">
        <w:rPr>
          <w:noProof/>
        </w:rPr>
        <w:drawing>
          <wp:inline distT="0" distB="0" distL="0" distR="0" wp14:anchorId="727069F0" wp14:editId="5D9D08AF">
            <wp:extent cx="3035456" cy="1657435"/>
            <wp:effectExtent l="0" t="0" r="0" b="0"/>
            <wp:docPr id="13" name="Picture 13" descr="A picture containing rectang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rectangle&#10;&#10;Description automatically generated"/>
                    <pic:cNvPicPr/>
                  </pic:nvPicPr>
                  <pic:blipFill>
                    <a:blip r:embed="rId238"/>
                    <a:stretch>
                      <a:fillRect/>
                    </a:stretch>
                  </pic:blipFill>
                  <pic:spPr>
                    <a:xfrm>
                      <a:off x="0" y="0"/>
                      <a:ext cx="3035456" cy="1657435"/>
                    </a:xfrm>
                    <a:prstGeom prst="rect">
                      <a:avLst/>
                    </a:prstGeom>
                  </pic:spPr>
                </pic:pic>
              </a:graphicData>
            </a:graphic>
          </wp:inline>
        </w:drawing>
      </w:r>
    </w:p>
    <w:p w14:paraId="42F9F921" w14:textId="77777777" w:rsidR="00C57453" w:rsidRPr="00F51857" w:rsidRDefault="00C57453" w:rsidP="00C57453">
      <w:r w:rsidRPr="00F51857">
        <w:t xml:space="preserve">As a result, average is not suitable for rolling up performance metrics to higher level parents. For example, a VDI system that was designed for 1000 users </w:t>
      </w:r>
      <w:r>
        <w:t>should serve the first 100</w:t>
      </w:r>
      <w:r w:rsidRPr="00F51857">
        <w:t xml:space="preserve">0 well, and </w:t>
      </w:r>
      <w:r>
        <w:t xml:space="preserve">it should struggle after the capacity is exceeded. </w:t>
      </w:r>
    </w:p>
    <w:p w14:paraId="0AD744BA" w14:textId="77777777" w:rsidR="00C57453" w:rsidRDefault="00C57453" w:rsidP="00C57453">
      <w:r>
        <w:t xml:space="preserve">Average is a lagging indicator. The average of a large group tends to be low, so you need to complement it with the peak. On the other hand, the absolute peak can be too extreme, containing outliers. </w:t>
      </w:r>
    </w:p>
    <w:p w14:paraId="7F744FF5" w14:textId="77777777" w:rsidR="00C57453" w:rsidRDefault="00C57453" w:rsidP="00C57453">
      <w:r>
        <w:t>The following chart shows where Maximum() picks up the extreme (outlier) while average fails to detect the problem. This is where the worst 5</w:t>
      </w:r>
      <w:r w:rsidRPr="006D3B03">
        <w:rPr>
          <w:vertAlign w:val="superscript"/>
        </w:rPr>
        <w:t>th</w:t>
      </w:r>
      <w:r>
        <w:t xml:space="preserve"> percentile or the worst 1</w:t>
      </w:r>
      <w:r w:rsidRPr="00BE53A7">
        <w:rPr>
          <w:vertAlign w:val="superscript"/>
        </w:rPr>
        <w:t>st</w:t>
      </w:r>
      <w:r>
        <w:t xml:space="preserve"> percentile makes more sense.</w:t>
      </w:r>
    </w:p>
    <w:p w14:paraId="2C2C79A5" w14:textId="77777777" w:rsidR="00C57453" w:rsidRDefault="00C57453" w:rsidP="00C57453">
      <w:r>
        <w:rPr>
          <w:noProof/>
        </w:rPr>
        <w:lastRenderedPageBreak/>
        <w:drawing>
          <wp:inline distT="0" distB="0" distL="0" distR="0" wp14:anchorId="6C631317" wp14:editId="2FE03A50">
            <wp:extent cx="6645910" cy="3491865"/>
            <wp:effectExtent l="0" t="0" r="2540" b="0"/>
            <wp:docPr id="357815387" name="Picture 35781538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87" name="Picture 357815387" descr="Chart&#10;&#10;Description automatically generated"/>
                    <pic:cNvPicPr/>
                  </pic:nvPicPr>
                  <pic:blipFill>
                    <a:blip r:embed="rId239"/>
                    <a:stretch>
                      <a:fillRect/>
                    </a:stretch>
                  </pic:blipFill>
                  <pic:spPr>
                    <a:xfrm>
                      <a:off x="0" y="0"/>
                      <a:ext cx="6645910" cy="3491865"/>
                    </a:xfrm>
                    <a:prstGeom prst="rect">
                      <a:avLst/>
                    </a:prstGeom>
                  </pic:spPr>
                </pic:pic>
              </a:graphicData>
            </a:graphic>
          </wp:inline>
        </w:drawing>
      </w:r>
    </w:p>
    <w:p w14:paraId="41436A5C" w14:textId="77777777" w:rsidR="00C57453" w:rsidRDefault="00C57453" w:rsidP="00C57453">
      <w:r>
        <w:t>These are the technique to complement average() and maximum(). Depending on the situation, you apply the appropriate technique.</w:t>
      </w:r>
    </w:p>
    <w:p w14:paraId="525426D5" w14:textId="77777777" w:rsidR="00C57453" w:rsidRDefault="00C57453" w:rsidP="00C57453">
      <w:pPr>
        <w:pStyle w:val="BeforeTable"/>
      </w:pPr>
    </w:p>
    <w:tbl>
      <w:tblPr>
        <w:tblStyle w:val="TableGridLight"/>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418"/>
        <w:gridCol w:w="9038"/>
      </w:tblGrid>
      <w:tr w:rsidR="00C57453" w14:paraId="4F16659C" w14:textId="77777777" w:rsidTr="00557339">
        <w:tc>
          <w:tcPr>
            <w:tcW w:w="1418" w:type="dxa"/>
            <w:shd w:val="clear" w:color="auto" w:fill="F2F2F2" w:themeFill="background1" w:themeFillShade="F2"/>
          </w:tcPr>
          <w:p w14:paraId="0162AA4D" w14:textId="77777777" w:rsidR="00C57453" w:rsidRPr="007444C2" w:rsidRDefault="00C57453" w:rsidP="00557339">
            <w:pPr>
              <w:pStyle w:val="Tablecontent"/>
              <w:rPr>
                <w:b/>
                <w:bCs/>
              </w:rPr>
            </w:pPr>
            <w:r w:rsidRPr="007444C2">
              <w:rPr>
                <w:b/>
                <w:bCs/>
              </w:rPr>
              <w:t>Worst()</w:t>
            </w:r>
          </w:p>
        </w:tc>
        <w:tc>
          <w:tcPr>
            <w:tcW w:w="9038" w:type="dxa"/>
          </w:tcPr>
          <w:p w14:paraId="412BF52F" w14:textId="77777777" w:rsidR="00C57453" w:rsidRDefault="00C57453" w:rsidP="00557339">
            <w:pPr>
              <w:pStyle w:val="Tablecontent"/>
            </w:pPr>
            <w:r>
              <w:t xml:space="preserve">This returns the worst value of a group. It’s suitable when the number of members are low, such as ESXi hosts in a cluster or containers in a Kubernetes pod. </w:t>
            </w:r>
          </w:p>
          <w:p w14:paraId="4E69E22B" w14:textId="77777777" w:rsidR="00C57453" w:rsidRDefault="00C57453" w:rsidP="00557339">
            <w:pPr>
              <w:pStyle w:val="Tablecontent"/>
            </w:pPr>
            <w:r>
              <w:t>If you want to ignore outlier, then use Percentile function.</w:t>
            </w:r>
          </w:p>
        </w:tc>
      </w:tr>
      <w:tr w:rsidR="00C57453" w14:paraId="3F922BAE" w14:textId="77777777" w:rsidTr="00557339">
        <w:tc>
          <w:tcPr>
            <w:tcW w:w="1418" w:type="dxa"/>
            <w:shd w:val="clear" w:color="auto" w:fill="F2F2F2" w:themeFill="background1" w:themeFillShade="F2"/>
          </w:tcPr>
          <w:p w14:paraId="2944F148" w14:textId="77777777" w:rsidR="00C57453" w:rsidRPr="007444C2" w:rsidRDefault="00C57453" w:rsidP="00557339">
            <w:pPr>
              <w:pStyle w:val="Tablecontent"/>
              <w:rPr>
                <w:b/>
                <w:bCs/>
              </w:rPr>
            </w:pPr>
            <w:r w:rsidRPr="007444C2">
              <w:rPr>
                <w:b/>
                <w:bCs/>
              </w:rPr>
              <w:t>Percentile()</w:t>
            </w:r>
          </w:p>
        </w:tc>
        <w:tc>
          <w:tcPr>
            <w:tcW w:w="9038" w:type="dxa"/>
          </w:tcPr>
          <w:p w14:paraId="54E9284D" w14:textId="0DBF0DF2" w:rsidR="00C57453" w:rsidRDefault="00C57453" w:rsidP="00557339">
            <w:pPr>
              <w:pStyle w:val="Tablecontent"/>
            </w:pPr>
            <w:r>
              <w:t xml:space="preserve">It is similar to the Worst() function, but it returns the number after eliminating a percentage of the worst. See this </w:t>
            </w:r>
            <w:hyperlink r:id="rId240" w:history="1">
              <w:r w:rsidRPr="00C0127A">
                <w:rPr>
                  <w:rStyle w:val="Hyperlink"/>
                </w:rPr>
                <w:t>handy calculator</w:t>
              </w:r>
            </w:hyperlink>
            <w:r>
              <w:t xml:space="preserve"> to learn the percentile function. I’ve summarized the most common scenarios, showing the worst 5</w:t>
            </w:r>
            <w:r w:rsidRPr="00152B91">
              <w:rPr>
                <w:vertAlign w:val="superscript"/>
              </w:rPr>
              <w:t>th</w:t>
            </w:r>
            <w:r>
              <w:t xml:space="preserve"> percentile works well the number of members are less than 100. If the number of members are &gt;250, I’d take 97</w:t>
            </w:r>
            <w:r w:rsidRPr="00131E64">
              <w:rPr>
                <w:vertAlign w:val="superscript"/>
              </w:rPr>
              <w:t>th</w:t>
            </w:r>
            <w:r>
              <w:t xml:space="preserve"> percentile (3 standard deviation</w:t>
            </w:r>
            <w:r w:rsidR="00973848">
              <w:t>s</w:t>
            </w:r>
            <w:r>
              <w:t>).</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168"/>
              <w:gridCol w:w="2254"/>
              <w:gridCol w:w="1714"/>
            </w:tblGrid>
            <w:tr w:rsidR="00C57453" w14:paraId="4BEA5114" w14:textId="77777777" w:rsidTr="00557339">
              <w:tc>
                <w:tcPr>
                  <w:tcW w:w="1168" w:type="dxa"/>
                  <w:vAlign w:val="bottom"/>
                </w:tcPr>
                <w:p w14:paraId="0FBC0750" w14:textId="77777777" w:rsidR="00C57453" w:rsidRPr="00152B91" w:rsidRDefault="00C57453" w:rsidP="00557339">
                  <w:pPr>
                    <w:pStyle w:val="Tablecontent"/>
                    <w:tabs>
                      <w:tab w:val="decimal" w:pos="471"/>
                    </w:tabs>
                    <w:jc w:val="center"/>
                    <w:rPr>
                      <w:rFonts w:ascii="Calibri" w:hAnsi="Calibri" w:cs="Calibri"/>
                      <w:b/>
                      <w:bCs/>
                      <w:color w:val="000000"/>
                    </w:rPr>
                  </w:pPr>
                  <w:r w:rsidRPr="00152B91">
                    <w:rPr>
                      <w:rFonts w:ascii="Calibri" w:hAnsi="Calibri" w:cs="Calibri"/>
                      <w:b/>
                      <w:bCs/>
                      <w:color w:val="000000"/>
                    </w:rPr>
                    <w:t>Count</w:t>
                  </w:r>
                </w:p>
              </w:tc>
              <w:tc>
                <w:tcPr>
                  <w:tcW w:w="2254" w:type="dxa"/>
                  <w:vAlign w:val="bottom"/>
                </w:tcPr>
                <w:p w14:paraId="3B714CC6" w14:textId="77777777" w:rsidR="00C57453" w:rsidRPr="00152B91" w:rsidRDefault="00C57453" w:rsidP="00557339">
                  <w:pPr>
                    <w:pStyle w:val="Tablecontent"/>
                    <w:jc w:val="center"/>
                    <w:rPr>
                      <w:rFonts w:ascii="Calibri" w:hAnsi="Calibri" w:cs="Calibri"/>
                      <w:b/>
                      <w:bCs/>
                      <w:color w:val="000000"/>
                    </w:rPr>
                  </w:pPr>
                  <w:r>
                    <w:rPr>
                      <w:rFonts w:ascii="Calibri" w:hAnsi="Calibri" w:cs="Calibri"/>
                      <w:b/>
                      <w:bCs/>
                      <w:color w:val="000000"/>
                    </w:rPr>
                    <w:t xml:space="preserve">Worst </w:t>
                  </w:r>
                  <w:r w:rsidRPr="00152B91">
                    <w:rPr>
                      <w:rFonts w:ascii="Calibri" w:hAnsi="Calibri" w:cs="Calibri"/>
                      <w:b/>
                      <w:bCs/>
                      <w:color w:val="000000"/>
                    </w:rPr>
                    <w:t>5</w:t>
                  </w:r>
                  <w:r w:rsidRPr="00152B91">
                    <w:rPr>
                      <w:rFonts w:ascii="Calibri" w:hAnsi="Calibri" w:cs="Calibri"/>
                      <w:b/>
                      <w:bCs/>
                      <w:color w:val="000000"/>
                      <w:vertAlign w:val="superscript"/>
                    </w:rPr>
                    <w:t>th</w:t>
                  </w:r>
                  <w:r w:rsidRPr="00152B91">
                    <w:rPr>
                      <w:rFonts w:ascii="Calibri" w:hAnsi="Calibri" w:cs="Calibri"/>
                      <w:b/>
                      <w:bCs/>
                      <w:color w:val="000000"/>
                    </w:rPr>
                    <w:t xml:space="preserve"> Percentile</w:t>
                  </w:r>
                </w:p>
              </w:tc>
              <w:tc>
                <w:tcPr>
                  <w:tcW w:w="1714" w:type="dxa"/>
                  <w:vAlign w:val="bottom"/>
                </w:tcPr>
                <w:p w14:paraId="049B1110" w14:textId="77777777" w:rsidR="00C57453" w:rsidRPr="00152B91" w:rsidRDefault="00C57453" w:rsidP="00557339">
                  <w:pPr>
                    <w:pStyle w:val="Tablecontent"/>
                    <w:tabs>
                      <w:tab w:val="decimal" w:pos="729"/>
                    </w:tabs>
                    <w:jc w:val="center"/>
                    <w:rPr>
                      <w:rFonts w:ascii="Calibri" w:hAnsi="Calibri" w:cs="Calibri"/>
                      <w:b/>
                      <w:bCs/>
                      <w:color w:val="000000"/>
                    </w:rPr>
                  </w:pPr>
                  <w:r w:rsidRPr="00152B91">
                    <w:rPr>
                      <w:rFonts w:ascii="Calibri" w:hAnsi="Calibri" w:cs="Calibri"/>
                      <w:b/>
                      <w:bCs/>
                      <w:color w:val="000000"/>
                    </w:rPr>
                    <w:t>Exclusion</w:t>
                  </w:r>
                </w:p>
              </w:tc>
            </w:tr>
            <w:tr w:rsidR="00C57453" w14:paraId="759B7C1D" w14:textId="77777777" w:rsidTr="00557339">
              <w:tc>
                <w:tcPr>
                  <w:tcW w:w="1168" w:type="dxa"/>
                  <w:vAlign w:val="bottom"/>
                </w:tcPr>
                <w:p w14:paraId="773543EE" w14:textId="77777777" w:rsidR="00C57453" w:rsidRDefault="00C57453" w:rsidP="00557339">
                  <w:pPr>
                    <w:pStyle w:val="Tablecontent"/>
                    <w:tabs>
                      <w:tab w:val="decimal" w:pos="433"/>
                    </w:tabs>
                    <w:jc w:val="center"/>
                  </w:pPr>
                  <w:r>
                    <w:rPr>
                      <w:rFonts w:ascii="Calibri" w:hAnsi="Calibri" w:cs="Calibri"/>
                      <w:color w:val="000000"/>
                    </w:rPr>
                    <w:t>10</w:t>
                  </w:r>
                </w:p>
              </w:tc>
              <w:tc>
                <w:tcPr>
                  <w:tcW w:w="2254" w:type="dxa"/>
                  <w:vAlign w:val="bottom"/>
                </w:tcPr>
                <w:p w14:paraId="517BEF3B" w14:textId="77777777" w:rsidR="00C57453" w:rsidRDefault="00C57453" w:rsidP="00557339">
                  <w:pPr>
                    <w:pStyle w:val="Tablecontent"/>
                    <w:tabs>
                      <w:tab w:val="decimal" w:pos="974"/>
                    </w:tabs>
                  </w:pPr>
                  <w:r>
                    <w:rPr>
                      <w:rFonts w:ascii="Calibri" w:hAnsi="Calibri" w:cs="Calibri"/>
                      <w:color w:val="000000"/>
                    </w:rPr>
                    <w:t>9.50</w:t>
                  </w:r>
                </w:p>
              </w:tc>
              <w:tc>
                <w:tcPr>
                  <w:tcW w:w="1714" w:type="dxa"/>
                  <w:vAlign w:val="bottom"/>
                </w:tcPr>
                <w:p w14:paraId="1A958852" w14:textId="77777777" w:rsidR="00C57453" w:rsidRDefault="00C57453" w:rsidP="00557339">
                  <w:pPr>
                    <w:pStyle w:val="Tablecontent"/>
                    <w:tabs>
                      <w:tab w:val="decimal" w:pos="729"/>
                    </w:tabs>
                  </w:pPr>
                  <w:r>
                    <w:rPr>
                      <w:rFonts w:ascii="Calibri" w:hAnsi="Calibri" w:cs="Calibri"/>
                      <w:color w:val="000000"/>
                    </w:rPr>
                    <w:t>0.50</w:t>
                  </w:r>
                </w:p>
              </w:tc>
            </w:tr>
            <w:tr w:rsidR="00C57453" w14:paraId="285758A6" w14:textId="77777777" w:rsidTr="00557339">
              <w:tc>
                <w:tcPr>
                  <w:tcW w:w="1168" w:type="dxa"/>
                  <w:vAlign w:val="bottom"/>
                </w:tcPr>
                <w:p w14:paraId="68F56BEE" w14:textId="77777777" w:rsidR="00C57453" w:rsidRDefault="00C57453" w:rsidP="00557339">
                  <w:pPr>
                    <w:pStyle w:val="Tablecontent"/>
                    <w:tabs>
                      <w:tab w:val="decimal" w:pos="433"/>
                    </w:tabs>
                    <w:jc w:val="center"/>
                  </w:pPr>
                  <w:r>
                    <w:rPr>
                      <w:rFonts w:ascii="Calibri" w:hAnsi="Calibri" w:cs="Calibri"/>
                      <w:color w:val="000000"/>
                    </w:rPr>
                    <w:t>20</w:t>
                  </w:r>
                </w:p>
              </w:tc>
              <w:tc>
                <w:tcPr>
                  <w:tcW w:w="2254" w:type="dxa"/>
                  <w:vAlign w:val="bottom"/>
                </w:tcPr>
                <w:p w14:paraId="2A3A6BFE" w14:textId="77777777" w:rsidR="00C57453" w:rsidRDefault="00C57453" w:rsidP="00557339">
                  <w:pPr>
                    <w:pStyle w:val="Tablecontent"/>
                    <w:tabs>
                      <w:tab w:val="decimal" w:pos="974"/>
                    </w:tabs>
                  </w:pPr>
                  <w:r>
                    <w:rPr>
                      <w:rFonts w:ascii="Calibri" w:hAnsi="Calibri" w:cs="Calibri"/>
                      <w:color w:val="000000"/>
                    </w:rPr>
                    <w:t>19.00</w:t>
                  </w:r>
                </w:p>
              </w:tc>
              <w:tc>
                <w:tcPr>
                  <w:tcW w:w="1714" w:type="dxa"/>
                  <w:vAlign w:val="bottom"/>
                </w:tcPr>
                <w:p w14:paraId="1E4DC3A5" w14:textId="77777777" w:rsidR="00C57453" w:rsidRDefault="00C57453" w:rsidP="00557339">
                  <w:pPr>
                    <w:pStyle w:val="Tablecontent"/>
                    <w:tabs>
                      <w:tab w:val="decimal" w:pos="729"/>
                    </w:tabs>
                  </w:pPr>
                  <w:r>
                    <w:rPr>
                      <w:rFonts w:ascii="Calibri" w:hAnsi="Calibri" w:cs="Calibri"/>
                      <w:color w:val="000000"/>
                    </w:rPr>
                    <w:t>1.00</w:t>
                  </w:r>
                </w:p>
              </w:tc>
            </w:tr>
            <w:tr w:rsidR="00C57453" w14:paraId="749D5CAE" w14:textId="77777777" w:rsidTr="00557339">
              <w:tc>
                <w:tcPr>
                  <w:tcW w:w="1168" w:type="dxa"/>
                  <w:vAlign w:val="bottom"/>
                </w:tcPr>
                <w:p w14:paraId="39F0ABA0" w14:textId="77777777" w:rsidR="00C57453" w:rsidRDefault="00C57453" w:rsidP="00557339">
                  <w:pPr>
                    <w:pStyle w:val="Tablecontent"/>
                    <w:tabs>
                      <w:tab w:val="decimal" w:pos="433"/>
                    </w:tabs>
                    <w:jc w:val="center"/>
                  </w:pPr>
                  <w:r>
                    <w:rPr>
                      <w:rFonts w:ascii="Calibri" w:hAnsi="Calibri" w:cs="Calibri"/>
                      <w:color w:val="000000"/>
                    </w:rPr>
                    <w:t>30</w:t>
                  </w:r>
                </w:p>
              </w:tc>
              <w:tc>
                <w:tcPr>
                  <w:tcW w:w="2254" w:type="dxa"/>
                  <w:vAlign w:val="bottom"/>
                </w:tcPr>
                <w:p w14:paraId="60F4F25D" w14:textId="77777777" w:rsidR="00C57453" w:rsidRDefault="00C57453" w:rsidP="00557339">
                  <w:pPr>
                    <w:pStyle w:val="Tablecontent"/>
                    <w:tabs>
                      <w:tab w:val="decimal" w:pos="974"/>
                    </w:tabs>
                  </w:pPr>
                  <w:r>
                    <w:rPr>
                      <w:rFonts w:ascii="Calibri" w:hAnsi="Calibri" w:cs="Calibri"/>
                      <w:color w:val="000000"/>
                    </w:rPr>
                    <w:t>28.50</w:t>
                  </w:r>
                </w:p>
              </w:tc>
              <w:tc>
                <w:tcPr>
                  <w:tcW w:w="1714" w:type="dxa"/>
                  <w:vAlign w:val="bottom"/>
                </w:tcPr>
                <w:p w14:paraId="3002C070" w14:textId="77777777" w:rsidR="00C57453" w:rsidRDefault="00C57453" w:rsidP="00557339">
                  <w:pPr>
                    <w:pStyle w:val="Tablecontent"/>
                    <w:tabs>
                      <w:tab w:val="decimal" w:pos="729"/>
                    </w:tabs>
                  </w:pPr>
                  <w:r>
                    <w:rPr>
                      <w:rFonts w:ascii="Calibri" w:hAnsi="Calibri" w:cs="Calibri"/>
                      <w:color w:val="000000"/>
                    </w:rPr>
                    <w:t>1.50</w:t>
                  </w:r>
                </w:p>
              </w:tc>
            </w:tr>
            <w:tr w:rsidR="00C57453" w14:paraId="5ED47121" w14:textId="77777777" w:rsidTr="00557339">
              <w:tc>
                <w:tcPr>
                  <w:tcW w:w="1168" w:type="dxa"/>
                  <w:vAlign w:val="bottom"/>
                </w:tcPr>
                <w:p w14:paraId="53F970CD" w14:textId="77777777" w:rsidR="00C57453" w:rsidRDefault="00C57453" w:rsidP="00557339">
                  <w:pPr>
                    <w:pStyle w:val="Tablecontent"/>
                    <w:tabs>
                      <w:tab w:val="decimal" w:pos="433"/>
                    </w:tabs>
                    <w:jc w:val="center"/>
                  </w:pPr>
                  <w:r>
                    <w:rPr>
                      <w:rFonts w:ascii="Calibri" w:hAnsi="Calibri" w:cs="Calibri"/>
                      <w:color w:val="000000"/>
                    </w:rPr>
                    <w:t>40</w:t>
                  </w:r>
                </w:p>
              </w:tc>
              <w:tc>
                <w:tcPr>
                  <w:tcW w:w="2254" w:type="dxa"/>
                  <w:vAlign w:val="bottom"/>
                </w:tcPr>
                <w:p w14:paraId="23695066" w14:textId="77777777" w:rsidR="00C57453" w:rsidRDefault="00C57453" w:rsidP="00557339">
                  <w:pPr>
                    <w:pStyle w:val="Tablecontent"/>
                    <w:tabs>
                      <w:tab w:val="decimal" w:pos="974"/>
                    </w:tabs>
                  </w:pPr>
                  <w:r>
                    <w:rPr>
                      <w:rFonts w:ascii="Calibri" w:hAnsi="Calibri" w:cs="Calibri"/>
                      <w:color w:val="000000"/>
                    </w:rPr>
                    <w:t>38.00</w:t>
                  </w:r>
                </w:p>
              </w:tc>
              <w:tc>
                <w:tcPr>
                  <w:tcW w:w="1714" w:type="dxa"/>
                  <w:vAlign w:val="bottom"/>
                </w:tcPr>
                <w:p w14:paraId="1A3E306C" w14:textId="77777777" w:rsidR="00C57453" w:rsidRDefault="00C57453" w:rsidP="00557339">
                  <w:pPr>
                    <w:pStyle w:val="Tablecontent"/>
                    <w:tabs>
                      <w:tab w:val="decimal" w:pos="729"/>
                    </w:tabs>
                  </w:pPr>
                  <w:r>
                    <w:rPr>
                      <w:rFonts w:ascii="Calibri" w:hAnsi="Calibri" w:cs="Calibri"/>
                      <w:color w:val="000000"/>
                    </w:rPr>
                    <w:t>2.00</w:t>
                  </w:r>
                </w:p>
              </w:tc>
            </w:tr>
            <w:tr w:rsidR="00C57453" w14:paraId="3DC89F19" w14:textId="77777777" w:rsidTr="00557339">
              <w:tc>
                <w:tcPr>
                  <w:tcW w:w="1168" w:type="dxa"/>
                  <w:vAlign w:val="bottom"/>
                </w:tcPr>
                <w:p w14:paraId="1704ED49" w14:textId="77777777" w:rsidR="00C57453" w:rsidRDefault="00C57453" w:rsidP="00557339">
                  <w:pPr>
                    <w:pStyle w:val="Tablecontent"/>
                    <w:tabs>
                      <w:tab w:val="decimal" w:pos="433"/>
                    </w:tabs>
                    <w:jc w:val="center"/>
                  </w:pPr>
                  <w:r>
                    <w:rPr>
                      <w:rFonts w:ascii="Calibri" w:hAnsi="Calibri" w:cs="Calibri"/>
                      <w:color w:val="000000"/>
                    </w:rPr>
                    <w:t>50</w:t>
                  </w:r>
                </w:p>
              </w:tc>
              <w:tc>
                <w:tcPr>
                  <w:tcW w:w="2254" w:type="dxa"/>
                  <w:vAlign w:val="bottom"/>
                </w:tcPr>
                <w:p w14:paraId="330FCB62" w14:textId="77777777" w:rsidR="00C57453" w:rsidRDefault="00C57453" w:rsidP="00557339">
                  <w:pPr>
                    <w:pStyle w:val="Tablecontent"/>
                    <w:tabs>
                      <w:tab w:val="decimal" w:pos="974"/>
                    </w:tabs>
                  </w:pPr>
                  <w:r>
                    <w:rPr>
                      <w:rFonts w:ascii="Calibri" w:hAnsi="Calibri" w:cs="Calibri"/>
                      <w:color w:val="000000"/>
                    </w:rPr>
                    <w:t>47.50</w:t>
                  </w:r>
                </w:p>
              </w:tc>
              <w:tc>
                <w:tcPr>
                  <w:tcW w:w="1714" w:type="dxa"/>
                  <w:vAlign w:val="bottom"/>
                </w:tcPr>
                <w:p w14:paraId="7FFA3B79" w14:textId="77777777" w:rsidR="00C57453" w:rsidRDefault="00C57453" w:rsidP="00557339">
                  <w:pPr>
                    <w:pStyle w:val="Tablecontent"/>
                    <w:tabs>
                      <w:tab w:val="decimal" w:pos="729"/>
                    </w:tabs>
                  </w:pPr>
                  <w:r>
                    <w:rPr>
                      <w:rFonts w:ascii="Calibri" w:hAnsi="Calibri" w:cs="Calibri"/>
                      <w:color w:val="000000"/>
                    </w:rPr>
                    <w:t>2.50</w:t>
                  </w:r>
                </w:p>
              </w:tc>
            </w:tr>
            <w:tr w:rsidR="00C57453" w14:paraId="29431B02" w14:textId="77777777" w:rsidTr="00557339">
              <w:tc>
                <w:tcPr>
                  <w:tcW w:w="1168" w:type="dxa"/>
                  <w:vAlign w:val="bottom"/>
                </w:tcPr>
                <w:p w14:paraId="548C4B96" w14:textId="77777777" w:rsidR="00C57453" w:rsidRDefault="00C57453" w:rsidP="00557339">
                  <w:pPr>
                    <w:pStyle w:val="Tablecontent"/>
                    <w:tabs>
                      <w:tab w:val="decimal" w:pos="433"/>
                    </w:tabs>
                    <w:jc w:val="center"/>
                  </w:pPr>
                  <w:r>
                    <w:rPr>
                      <w:rFonts w:ascii="Calibri" w:hAnsi="Calibri" w:cs="Calibri"/>
                      <w:color w:val="000000"/>
                    </w:rPr>
                    <w:t>75</w:t>
                  </w:r>
                </w:p>
              </w:tc>
              <w:tc>
                <w:tcPr>
                  <w:tcW w:w="2254" w:type="dxa"/>
                  <w:vAlign w:val="bottom"/>
                </w:tcPr>
                <w:p w14:paraId="253C9A9A" w14:textId="77777777" w:rsidR="00C57453" w:rsidRDefault="00C57453" w:rsidP="00557339">
                  <w:pPr>
                    <w:pStyle w:val="Tablecontent"/>
                    <w:tabs>
                      <w:tab w:val="decimal" w:pos="974"/>
                    </w:tabs>
                  </w:pPr>
                  <w:r>
                    <w:rPr>
                      <w:rFonts w:ascii="Calibri" w:hAnsi="Calibri" w:cs="Calibri"/>
                      <w:color w:val="000000"/>
                    </w:rPr>
                    <w:t>71.25</w:t>
                  </w:r>
                </w:p>
              </w:tc>
              <w:tc>
                <w:tcPr>
                  <w:tcW w:w="1714" w:type="dxa"/>
                  <w:vAlign w:val="bottom"/>
                </w:tcPr>
                <w:p w14:paraId="2103C902" w14:textId="77777777" w:rsidR="00C57453" w:rsidRDefault="00C57453" w:rsidP="00557339">
                  <w:pPr>
                    <w:pStyle w:val="Tablecontent"/>
                    <w:tabs>
                      <w:tab w:val="decimal" w:pos="729"/>
                    </w:tabs>
                  </w:pPr>
                  <w:r>
                    <w:rPr>
                      <w:rFonts w:ascii="Calibri" w:hAnsi="Calibri" w:cs="Calibri"/>
                      <w:color w:val="000000"/>
                    </w:rPr>
                    <w:t>3.75</w:t>
                  </w:r>
                </w:p>
              </w:tc>
            </w:tr>
            <w:tr w:rsidR="00C57453" w14:paraId="70784A9A" w14:textId="77777777" w:rsidTr="00557339">
              <w:tc>
                <w:tcPr>
                  <w:tcW w:w="1168" w:type="dxa"/>
                  <w:vAlign w:val="bottom"/>
                </w:tcPr>
                <w:p w14:paraId="0E6FE7EF" w14:textId="77777777" w:rsidR="00C57453" w:rsidRDefault="00C57453" w:rsidP="00557339">
                  <w:pPr>
                    <w:pStyle w:val="Tablecontent"/>
                    <w:tabs>
                      <w:tab w:val="decimal" w:pos="433"/>
                    </w:tabs>
                    <w:jc w:val="center"/>
                  </w:pPr>
                  <w:r>
                    <w:rPr>
                      <w:rFonts w:ascii="Calibri" w:hAnsi="Calibri" w:cs="Calibri"/>
                      <w:color w:val="000000"/>
                    </w:rPr>
                    <w:t>100</w:t>
                  </w:r>
                </w:p>
              </w:tc>
              <w:tc>
                <w:tcPr>
                  <w:tcW w:w="2254" w:type="dxa"/>
                  <w:vAlign w:val="bottom"/>
                </w:tcPr>
                <w:p w14:paraId="762164E2" w14:textId="77777777" w:rsidR="00C57453" w:rsidRDefault="00C57453" w:rsidP="00557339">
                  <w:pPr>
                    <w:pStyle w:val="Tablecontent"/>
                    <w:tabs>
                      <w:tab w:val="decimal" w:pos="974"/>
                    </w:tabs>
                  </w:pPr>
                  <w:r>
                    <w:rPr>
                      <w:rFonts w:ascii="Calibri" w:hAnsi="Calibri" w:cs="Calibri"/>
                      <w:color w:val="000000"/>
                    </w:rPr>
                    <w:t>95.00</w:t>
                  </w:r>
                </w:p>
              </w:tc>
              <w:tc>
                <w:tcPr>
                  <w:tcW w:w="1714" w:type="dxa"/>
                  <w:vAlign w:val="bottom"/>
                </w:tcPr>
                <w:p w14:paraId="7A28209E" w14:textId="77777777" w:rsidR="00C57453" w:rsidRDefault="00C57453" w:rsidP="00557339">
                  <w:pPr>
                    <w:pStyle w:val="Tablecontent"/>
                    <w:tabs>
                      <w:tab w:val="decimal" w:pos="729"/>
                    </w:tabs>
                  </w:pPr>
                  <w:r>
                    <w:rPr>
                      <w:rFonts w:ascii="Calibri" w:hAnsi="Calibri" w:cs="Calibri"/>
                      <w:color w:val="000000"/>
                    </w:rPr>
                    <w:t>5.00</w:t>
                  </w:r>
                </w:p>
              </w:tc>
            </w:tr>
            <w:tr w:rsidR="00C57453" w14:paraId="3275B2C2" w14:textId="77777777" w:rsidTr="00557339">
              <w:tc>
                <w:tcPr>
                  <w:tcW w:w="1168" w:type="dxa"/>
                  <w:vAlign w:val="bottom"/>
                </w:tcPr>
                <w:p w14:paraId="51D2E3DD" w14:textId="77777777" w:rsidR="00C57453" w:rsidRDefault="00C57453" w:rsidP="00557339">
                  <w:pPr>
                    <w:pStyle w:val="Tablecontent"/>
                    <w:tabs>
                      <w:tab w:val="decimal" w:pos="433"/>
                    </w:tabs>
                    <w:jc w:val="center"/>
                  </w:pPr>
                  <w:r>
                    <w:rPr>
                      <w:rFonts w:ascii="Calibri" w:hAnsi="Calibri" w:cs="Calibri"/>
                      <w:color w:val="000000"/>
                    </w:rPr>
                    <w:t>150</w:t>
                  </w:r>
                </w:p>
              </w:tc>
              <w:tc>
                <w:tcPr>
                  <w:tcW w:w="2254" w:type="dxa"/>
                  <w:vAlign w:val="bottom"/>
                </w:tcPr>
                <w:p w14:paraId="227C811C" w14:textId="77777777" w:rsidR="00C57453" w:rsidRDefault="00C57453" w:rsidP="00557339">
                  <w:pPr>
                    <w:pStyle w:val="Tablecontent"/>
                    <w:tabs>
                      <w:tab w:val="decimal" w:pos="974"/>
                    </w:tabs>
                  </w:pPr>
                  <w:r>
                    <w:rPr>
                      <w:rFonts w:ascii="Calibri" w:hAnsi="Calibri" w:cs="Calibri"/>
                      <w:color w:val="000000"/>
                    </w:rPr>
                    <w:t>142.50</w:t>
                  </w:r>
                </w:p>
              </w:tc>
              <w:tc>
                <w:tcPr>
                  <w:tcW w:w="1714" w:type="dxa"/>
                  <w:vAlign w:val="bottom"/>
                </w:tcPr>
                <w:p w14:paraId="1D71D143" w14:textId="77777777" w:rsidR="00C57453" w:rsidRDefault="00C57453" w:rsidP="00557339">
                  <w:pPr>
                    <w:pStyle w:val="Tablecontent"/>
                    <w:tabs>
                      <w:tab w:val="decimal" w:pos="729"/>
                    </w:tabs>
                  </w:pPr>
                  <w:r>
                    <w:rPr>
                      <w:rFonts w:ascii="Calibri" w:hAnsi="Calibri" w:cs="Calibri"/>
                      <w:color w:val="000000"/>
                    </w:rPr>
                    <w:t>7.50</w:t>
                  </w:r>
                </w:p>
              </w:tc>
            </w:tr>
            <w:tr w:rsidR="00C57453" w14:paraId="43580771" w14:textId="77777777" w:rsidTr="00557339">
              <w:tc>
                <w:tcPr>
                  <w:tcW w:w="1168" w:type="dxa"/>
                  <w:vAlign w:val="bottom"/>
                </w:tcPr>
                <w:p w14:paraId="685797E3" w14:textId="77777777" w:rsidR="00C57453" w:rsidRDefault="00C57453" w:rsidP="00557339">
                  <w:pPr>
                    <w:pStyle w:val="Tablecontent"/>
                    <w:tabs>
                      <w:tab w:val="decimal" w:pos="433"/>
                    </w:tabs>
                    <w:jc w:val="center"/>
                    <w:rPr>
                      <w:rFonts w:ascii="Calibri" w:hAnsi="Calibri" w:cs="Calibri"/>
                      <w:color w:val="000000"/>
                    </w:rPr>
                  </w:pPr>
                  <w:r>
                    <w:rPr>
                      <w:rFonts w:ascii="Calibri" w:hAnsi="Calibri" w:cs="Calibri"/>
                      <w:color w:val="000000"/>
                    </w:rPr>
                    <w:t>200</w:t>
                  </w:r>
                </w:p>
              </w:tc>
              <w:tc>
                <w:tcPr>
                  <w:tcW w:w="2254" w:type="dxa"/>
                  <w:vAlign w:val="bottom"/>
                </w:tcPr>
                <w:p w14:paraId="036AD063" w14:textId="77777777" w:rsidR="00C57453" w:rsidRDefault="00C57453" w:rsidP="00557339">
                  <w:pPr>
                    <w:pStyle w:val="Tablecontent"/>
                    <w:tabs>
                      <w:tab w:val="decimal" w:pos="974"/>
                    </w:tabs>
                    <w:rPr>
                      <w:rFonts w:ascii="Calibri" w:hAnsi="Calibri" w:cs="Calibri"/>
                      <w:color w:val="000000"/>
                    </w:rPr>
                  </w:pPr>
                  <w:r>
                    <w:rPr>
                      <w:rFonts w:ascii="Calibri" w:hAnsi="Calibri" w:cs="Calibri"/>
                      <w:color w:val="000000"/>
                    </w:rPr>
                    <w:t>190.00</w:t>
                  </w:r>
                </w:p>
              </w:tc>
              <w:tc>
                <w:tcPr>
                  <w:tcW w:w="1714" w:type="dxa"/>
                  <w:vAlign w:val="bottom"/>
                </w:tcPr>
                <w:p w14:paraId="33C90F2D" w14:textId="77777777" w:rsidR="00C57453" w:rsidRDefault="00C57453" w:rsidP="00557339">
                  <w:pPr>
                    <w:pStyle w:val="Tablecontent"/>
                    <w:tabs>
                      <w:tab w:val="decimal" w:pos="729"/>
                    </w:tabs>
                    <w:rPr>
                      <w:rFonts w:ascii="Calibri" w:hAnsi="Calibri" w:cs="Calibri"/>
                      <w:color w:val="000000"/>
                    </w:rPr>
                  </w:pPr>
                  <w:r>
                    <w:rPr>
                      <w:rFonts w:ascii="Calibri" w:hAnsi="Calibri" w:cs="Calibri"/>
                      <w:color w:val="000000"/>
                    </w:rPr>
                    <w:t>10.00</w:t>
                  </w:r>
                </w:p>
              </w:tc>
            </w:tr>
            <w:tr w:rsidR="00C57453" w14:paraId="3A4BB096" w14:textId="77777777" w:rsidTr="00557339">
              <w:tc>
                <w:tcPr>
                  <w:tcW w:w="1168" w:type="dxa"/>
                  <w:vAlign w:val="bottom"/>
                </w:tcPr>
                <w:p w14:paraId="23224894" w14:textId="77777777" w:rsidR="00C57453" w:rsidRDefault="00C57453" w:rsidP="00557339">
                  <w:pPr>
                    <w:pStyle w:val="Tablecontent"/>
                    <w:tabs>
                      <w:tab w:val="decimal" w:pos="433"/>
                    </w:tabs>
                    <w:jc w:val="center"/>
                    <w:rPr>
                      <w:rFonts w:ascii="Calibri" w:hAnsi="Calibri" w:cs="Calibri"/>
                      <w:color w:val="000000"/>
                    </w:rPr>
                  </w:pPr>
                  <w:r>
                    <w:rPr>
                      <w:rFonts w:ascii="Calibri" w:hAnsi="Calibri" w:cs="Calibri"/>
                      <w:color w:val="000000"/>
                    </w:rPr>
                    <w:t>300</w:t>
                  </w:r>
                </w:p>
              </w:tc>
              <w:tc>
                <w:tcPr>
                  <w:tcW w:w="2254" w:type="dxa"/>
                  <w:vAlign w:val="bottom"/>
                </w:tcPr>
                <w:p w14:paraId="75471706" w14:textId="77777777" w:rsidR="00C57453" w:rsidRDefault="00C57453" w:rsidP="00557339">
                  <w:pPr>
                    <w:pStyle w:val="Tablecontent"/>
                    <w:tabs>
                      <w:tab w:val="decimal" w:pos="974"/>
                    </w:tabs>
                    <w:rPr>
                      <w:rFonts w:ascii="Calibri" w:hAnsi="Calibri" w:cs="Calibri"/>
                      <w:color w:val="000000"/>
                    </w:rPr>
                  </w:pPr>
                  <w:r>
                    <w:rPr>
                      <w:rFonts w:ascii="Calibri" w:hAnsi="Calibri" w:cs="Calibri"/>
                      <w:color w:val="000000"/>
                    </w:rPr>
                    <w:t>285.00</w:t>
                  </w:r>
                </w:p>
              </w:tc>
              <w:tc>
                <w:tcPr>
                  <w:tcW w:w="1714" w:type="dxa"/>
                  <w:vAlign w:val="bottom"/>
                </w:tcPr>
                <w:p w14:paraId="434B4966" w14:textId="77777777" w:rsidR="00C57453" w:rsidRDefault="00C57453" w:rsidP="00557339">
                  <w:pPr>
                    <w:pStyle w:val="Tablecontent"/>
                    <w:tabs>
                      <w:tab w:val="decimal" w:pos="729"/>
                    </w:tabs>
                    <w:rPr>
                      <w:rFonts w:ascii="Calibri" w:hAnsi="Calibri" w:cs="Calibri"/>
                      <w:color w:val="000000"/>
                    </w:rPr>
                  </w:pPr>
                  <w:r>
                    <w:rPr>
                      <w:rFonts w:ascii="Calibri" w:hAnsi="Calibri" w:cs="Calibri"/>
                      <w:color w:val="000000"/>
                    </w:rPr>
                    <w:t>15.00</w:t>
                  </w:r>
                </w:p>
              </w:tc>
            </w:tr>
            <w:tr w:rsidR="00C57453" w14:paraId="10A71A76" w14:textId="77777777" w:rsidTr="00557339">
              <w:tc>
                <w:tcPr>
                  <w:tcW w:w="1168" w:type="dxa"/>
                  <w:vAlign w:val="bottom"/>
                </w:tcPr>
                <w:p w14:paraId="04C23EDE" w14:textId="77777777" w:rsidR="00C57453" w:rsidRDefault="00C57453" w:rsidP="00557339">
                  <w:pPr>
                    <w:pStyle w:val="Tablecontent"/>
                    <w:tabs>
                      <w:tab w:val="decimal" w:pos="433"/>
                    </w:tabs>
                    <w:jc w:val="center"/>
                    <w:rPr>
                      <w:rFonts w:ascii="Calibri" w:hAnsi="Calibri" w:cs="Calibri"/>
                      <w:color w:val="000000"/>
                    </w:rPr>
                  </w:pPr>
                  <w:r>
                    <w:rPr>
                      <w:rFonts w:ascii="Calibri" w:hAnsi="Calibri" w:cs="Calibri"/>
                      <w:color w:val="000000"/>
                    </w:rPr>
                    <w:t>400</w:t>
                  </w:r>
                </w:p>
              </w:tc>
              <w:tc>
                <w:tcPr>
                  <w:tcW w:w="2254" w:type="dxa"/>
                  <w:vAlign w:val="bottom"/>
                </w:tcPr>
                <w:p w14:paraId="2AF26BFE" w14:textId="77777777" w:rsidR="00C57453" w:rsidRDefault="00C57453" w:rsidP="00557339">
                  <w:pPr>
                    <w:pStyle w:val="Tablecontent"/>
                    <w:tabs>
                      <w:tab w:val="decimal" w:pos="974"/>
                    </w:tabs>
                    <w:rPr>
                      <w:rFonts w:ascii="Calibri" w:hAnsi="Calibri" w:cs="Calibri"/>
                      <w:color w:val="000000"/>
                    </w:rPr>
                  </w:pPr>
                  <w:r>
                    <w:rPr>
                      <w:rFonts w:ascii="Calibri" w:hAnsi="Calibri" w:cs="Calibri"/>
                      <w:color w:val="000000"/>
                    </w:rPr>
                    <w:t>380.00</w:t>
                  </w:r>
                </w:p>
              </w:tc>
              <w:tc>
                <w:tcPr>
                  <w:tcW w:w="1714" w:type="dxa"/>
                  <w:vAlign w:val="bottom"/>
                </w:tcPr>
                <w:p w14:paraId="3125C298" w14:textId="77777777" w:rsidR="00C57453" w:rsidRDefault="00C57453" w:rsidP="00557339">
                  <w:pPr>
                    <w:pStyle w:val="Tablecontent"/>
                    <w:tabs>
                      <w:tab w:val="decimal" w:pos="729"/>
                    </w:tabs>
                    <w:rPr>
                      <w:rFonts w:ascii="Calibri" w:hAnsi="Calibri" w:cs="Calibri"/>
                      <w:color w:val="000000"/>
                    </w:rPr>
                  </w:pPr>
                  <w:r>
                    <w:rPr>
                      <w:rFonts w:ascii="Calibri" w:hAnsi="Calibri" w:cs="Calibri"/>
                      <w:color w:val="000000"/>
                    </w:rPr>
                    <w:t>20.00</w:t>
                  </w:r>
                </w:p>
              </w:tc>
            </w:tr>
            <w:tr w:rsidR="00C57453" w14:paraId="110093DE" w14:textId="77777777" w:rsidTr="00557339">
              <w:tc>
                <w:tcPr>
                  <w:tcW w:w="1168" w:type="dxa"/>
                  <w:vAlign w:val="bottom"/>
                </w:tcPr>
                <w:p w14:paraId="75AEE127" w14:textId="77777777" w:rsidR="00C57453" w:rsidRDefault="00C57453" w:rsidP="00557339">
                  <w:pPr>
                    <w:pStyle w:val="Tablecontent"/>
                    <w:tabs>
                      <w:tab w:val="decimal" w:pos="433"/>
                    </w:tabs>
                    <w:jc w:val="center"/>
                    <w:rPr>
                      <w:rFonts w:ascii="Calibri" w:hAnsi="Calibri" w:cs="Calibri"/>
                      <w:color w:val="000000"/>
                    </w:rPr>
                  </w:pPr>
                  <w:r>
                    <w:rPr>
                      <w:rFonts w:ascii="Calibri" w:hAnsi="Calibri" w:cs="Calibri"/>
                      <w:color w:val="000000"/>
                    </w:rPr>
                    <w:t>500</w:t>
                  </w:r>
                </w:p>
              </w:tc>
              <w:tc>
                <w:tcPr>
                  <w:tcW w:w="2254" w:type="dxa"/>
                  <w:vAlign w:val="bottom"/>
                </w:tcPr>
                <w:p w14:paraId="51008F86" w14:textId="77777777" w:rsidR="00C57453" w:rsidRDefault="00C57453" w:rsidP="00557339">
                  <w:pPr>
                    <w:pStyle w:val="Tablecontent"/>
                    <w:tabs>
                      <w:tab w:val="decimal" w:pos="974"/>
                    </w:tabs>
                    <w:rPr>
                      <w:rFonts w:ascii="Calibri" w:hAnsi="Calibri" w:cs="Calibri"/>
                      <w:color w:val="000000"/>
                    </w:rPr>
                  </w:pPr>
                  <w:r>
                    <w:rPr>
                      <w:rFonts w:ascii="Calibri" w:hAnsi="Calibri" w:cs="Calibri"/>
                      <w:color w:val="000000"/>
                    </w:rPr>
                    <w:t>475.00</w:t>
                  </w:r>
                </w:p>
              </w:tc>
              <w:tc>
                <w:tcPr>
                  <w:tcW w:w="1714" w:type="dxa"/>
                  <w:vAlign w:val="bottom"/>
                </w:tcPr>
                <w:p w14:paraId="1D8EF959" w14:textId="77777777" w:rsidR="00C57453" w:rsidRDefault="00C57453" w:rsidP="00557339">
                  <w:pPr>
                    <w:pStyle w:val="Tablecontent"/>
                    <w:tabs>
                      <w:tab w:val="decimal" w:pos="729"/>
                    </w:tabs>
                    <w:rPr>
                      <w:rFonts w:ascii="Calibri" w:hAnsi="Calibri" w:cs="Calibri"/>
                      <w:color w:val="000000"/>
                    </w:rPr>
                  </w:pPr>
                  <w:r>
                    <w:rPr>
                      <w:rFonts w:ascii="Calibri" w:hAnsi="Calibri" w:cs="Calibri"/>
                      <w:color w:val="000000"/>
                    </w:rPr>
                    <w:t>25.00</w:t>
                  </w:r>
                </w:p>
              </w:tc>
            </w:tr>
          </w:tbl>
          <w:p w14:paraId="5E355887" w14:textId="77777777" w:rsidR="00C57453" w:rsidRDefault="00C57453" w:rsidP="00557339">
            <w:pPr>
              <w:pStyle w:val="Tablecontent"/>
            </w:pPr>
            <w:r>
              <w:lastRenderedPageBreak/>
              <w:t xml:space="preserve">The problem with percentile is it picks a single member. It cannot tell if there is a population problem. </w:t>
            </w:r>
          </w:p>
        </w:tc>
      </w:tr>
      <w:tr w:rsidR="00C57453" w14:paraId="2B3985DD" w14:textId="77777777" w:rsidTr="00557339">
        <w:tc>
          <w:tcPr>
            <w:tcW w:w="1418" w:type="dxa"/>
            <w:shd w:val="clear" w:color="auto" w:fill="F2F2F2" w:themeFill="background1" w:themeFillShade="F2"/>
          </w:tcPr>
          <w:p w14:paraId="65A2769E" w14:textId="7B7E5C6E" w:rsidR="00C57453" w:rsidRPr="007444C2" w:rsidRDefault="00C57453" w:rsidP="00557339">
            <w:pPr>
              <w:pStyle w:val="Tablecontent"/>
              <w:rPr>
                <w:b/>
                <w:bCs/>
              </w:rPr>
            </w:pPr>
            <w:r>
              <w:rPr>
                <w:b/>
                <w:bCs/>
              </w:rPr>
              <w:lastRenderedPageBreak/>
              <w:t xml:space="preserve">Average </w:t>
            </w:r>
            <w:r w:rsidR="00973848">
              <w:rPr>
                <w:b/>
                <w:bCs/>
              </w:rPr>
              <w:t xml:space="preserve">of </w:t>
            </w:r>
            <w:r>
              <w:rPr>
                <w:b/>
                <w:bCs/>
              </w:rPr>
              <w:t>Worsts</w:t>
            </w:r>
          </w:p>
        </w:tc>
        <w:tc>
          <w:tcPr>
            <w:tcW w:w="9038" w:type="dxa"/>
          </w:tcPr>
          <w:p w14:paraId="24AD8562" w14:textId="77777777" w:rsidR="00C57453" w:rsidRDefault="00C57453" w:rsidP="00557339">
            <w:pPr>
              <w:pStyle w:val="Tablecontent"/>
            </w:pPr>
            <w:r>
              <w:t>This solves the percentile by averaging all the numbers above the percentile. If you take the average from 95</w:t>
            </w:r>
            <w:r w:rsidRPr="000A3342">
              <w:rPr>
                <w:vertAlign w:val="superscript"/>
              </w:rPr>
              <w:t>th</w:t>
            </w:r>
            <w:r>
              <w:t xml:space="preserve"> percentile to 100</w:t>
            </w:r>
            <w:r w:rsidRPr="000A3342">
              <w:rPr>
                <w:vertAlign w:val="superscript"/>
              </w:rPr>
              <w:t>th</w:t>
            </w:r>
            <w:r>
              <w:t xml:space="preserve"> percentile, you represent all these numbers. This results in a number that is more conservative than 95</w:t>
            </w:r>
            <w:r w:rsidRPr="00EB688C">
              <w:rPr>
                <w:vertAlign w:val="superscript"/>
              </w:rPr>
              <w:t>th</w:t>
            </w:r>
            <w:r>
              <w:t xml:space="preserve"> percentile. </w:t>
            </w:r>
          </w:p>
          <w:p w14:paraId="3FFAE0C4" w14:textId="6CA67FBA" w:rsidR="00973848" w:rsidRDefault="00973848" w:rsidP="00557339">
            <w:pPr>
              <w:pStyle w:val="Tablecontent"/>
            </w:pPr>
            <w:r>
              <w:t>This is superior to percentile as the band between 95 – 100 may vary. By not hardcoding at a single point, you pick a better representation.</w:t>
            </w:r>
          </w:p>
          <w:p w14:paraId="2FE2CF5A" w14:textId="77777777" w:rsidR="00C57453" w:rsidRDefault="00C57453" w:rsidP="00557339">
            <w:pPr>
              <w:pStyle w:val="Tablecontent"/>
            </w:pPr>
            <w:r>
              <w:t>The limitation of this technique is when you have outlier. It can skew the number. If you suspect that, choose a lower percentile, such as 90</w:t>
            </w:r>
            <w:r w:rsidRPr="00603D9E">
              <w:rPr>
                <w:vertAlign w:val="superscript"/>
              </w:rPr>
              <w:t>th</w:t>
            </w:r>
            <w:r>
              <w:t xml:space="preserve"> or 92.5</w:t>
            </w:r>
            <w:r w:rsidRPr="00704652">
              <w:rPr>
                <w:vertAlign w:val="superscript"/>
              </w:rPr>
              <w:t>th</w:t>
            </w:r>
            <w:r>
              <w:t xml:space="preserve"> percentile.</w:t>
            </w:r>
          </w:p>
        </w:tc>
      </w:tr>
      <w:tr w:rsidR="00C57453" w14:paraId="197A7D8B" w14:textId="77777777" w:rsidTr="00557339">
        <w:tc>
          <w:tcPr>
            <w:tcW w:w="1418" w:type="dxa"/>
            <w:shd w:val="clear" w:color="auto" w:fill="F2F2F2" w:themeFill="background1" w:themeFillShade="F2"/>
          </w:tcPr>
          <w:p w14:paraId="58D144C7" w14:textId="77777777" w:rsidR="00C57453" w:rsidRPr="007444C2" w:rsidRDefault="00C57453" w:rsidP="00557339">
            <w:pPr>
              <w:pStyle w:val="Tablecontent"/>
              <w:rPr>
                <w:b/>
                <w:bCs/>
              </w:rPr>
            </w:pPr>
            <w:r w:rsidRPr="007444C2">
              <w:rPr>
                <w:b/>
                <w:bCs/>
              </w:rPr>
              <w:t>Count()</w:t>
            </w:r>
          </w:p>
        </w:tc>
        <w:tc>
          <w:tcPr>
            <w:tcW w:w="9038" w:type="dxa"/>
          </w:tcPr>
          <w:p w14:paraId="6F4869CC" w14:textId="77777777" w:rsidR="00C57453" w:rsidRDefault="00C57453" w:rsidP="00557339">
            <w:pPr>
              <w:pStyle w:val="Tablecontent"/>
            </w:pPr>
            <w:r>
              <w:t xml:space="preserve">This is different to the Worst() or Percentile(), as you need to define the threshold first. For example, if you do Count of VM that suffers from bad performance, you need to define what bad is. That’s why Count() requires you to define the band for </w:t>
            </w:r>
            <w:r w:rsidRPr="00CF7D2C">
              <w:rPr>
                <w:color w:val="FF0000"/>
              </w:rPr>
              <w:t>Red</w:t>
            </w:r>
            <w:r>
              <w:t xml:space="preserve">, </w:t>
            </w:r>
            <w:r w:rsidRPr="00CF7D2C">
              <w:rPr>
                <w:color w:val="ED7D31" w:themeColor="accent2"/>
              </w:rPr>
              <w:t>Orange</w:t>
            </w:r>
            <w:r>
              <w:t xml:space="preserve">, </w:t>
            </w:r>
            <w:r w:rsidRPr="009322C0">
              <w:rPr>
                <w:color w:val="000000" w:themeColor="text1"/>
                <w14:textFill>
                  <w14:gradFill>
                    <w14:gsLst>
                      <w14:gs w14:pos="0">
                        <w14:schemeClr w14:val="tx1"/>
                      </w14:gs>
                      <w14:gs w14:pos="100000">
                        <w14:srgbClr w14:val="FFFF00"/>
                      </w14:gs>
                    </w14:gsLst>
                    <w14:lin w14:ang="16200000" w14:scaled="0"/>
                  </w14:gradFill>
                </w14:textFill>
              </w:rPr>
              <w:t>yellow</w:t>
            </w:r>
            <w:r w:rsidRPr="009322C0">
              <w:rPr>
                <w14:textFill>
                  <w14:gradFill>
                    <w14:gsLst>
                      <w14:gs w14:pos="0">
                        <w14:schemeClr w14:val="tx1"/>
                      </w14:gs>
                      <w14:gs w14:pos="100000">
                        <w14:srgbClr w14:val="FFFF00"/>
                      </w14:gs>
                    </w14:gsLst>
                    <w14:lin w14:ang="16200000" w14:scaled="0"/>
                  </w14:gradFill>
                </w14:textFill>
              </w:rPr>
              <w:t xml:space="preserve"> </w:t>
            </w:r>
            <w:r>
              <w:t xml:space="preserve">and </w:t>
            </w:r>
            <w:r w:rsidRPr="0022569A">
              <w:rPr>
                <w:color w:val="00B050"/>
              </w:rPr>
              <w:t>Green</w:t>
            </w:r>
            <w:r>
              <w:t xml:space="preserve">. You can then track the number of objects in the </w:t>
            </w:r>
            <w:r w:rsidRPr="00CF7D2C">
              <w:rPr>
                <w:color w:val="FF0000"/>
              </w:rPr>
              <w:t>Red</w:t>
            </w:r>
            <w:r>
              <w:t xml:space="preserve"> band, as you expect this number to be 0 at all times. Waiting until an object reaches the </w:t>
            </w:r>
            <w:r w:rsidRPr="00CF7D2C">
              <w:rPr>
                <w:color w:val="FF0000"/>
              </w:rPr>
              <w:t>red</w:t>
            </w:r>
            <w:r>
              <w:t xml:space="preserve"> band can be too late in some cases, so consider complimenting it with a count of the members in </w:t>
            </w:r>
            <w:r w:rsidRPr="00CF7D2C">
              <w:rPr>
                <w:color w:val="ED7D31" w:themeColor="accent2"/>
              </w:rPr>
              <w:t>orange</w:t>
            </w:r>
            <w:r>
              <w:t xml:space="preserve"> band. </w:t>
            </w:r>
          </w:p>
          <w:p w14:paraId="480F9957" w14:textId="77777777" w:rsidR="00C57453" w:rsidRDefault="00C57453" w:rsidP="00557339">
            <w:pPr>
              <w:pStyle w:val="Tablecontent"/>
            </w:pPr>
            <w:r w:rsidRPr="00CA0B34">
              <w:t>Count() works better than average()</w:t>
            </w:r>
            <w:r w:rsidRPr="006D3AA1">
              <w:t xml:space="preserve"> when </w:t>
            </w:r>
            <w:r>
              <w:t xml:space="preserve">the number of </w:t>
            </w:r>
            <w:r w:rsidRPr="006D3AA1">
              <w:t>members is very large. For example, in a VDI environment with 100K users, 5 users affected is 0.005%. It’s easier to monitor using count as you can see how it translates into real life.</w:t>
            </w:r>
          </w:p>
        </w:tc>
      </w:tr>
      <w:tr w:rsidR="00C57453" w14:paraId="6DBFB6DB" w14:textId="77777777" w:rsidTr="00557339">
        <w:tc>
          <w:tcPr>
            <w:tcW w:w="1418" w:type="dxa"/>
            <w:shd w:val="clear" w:color="auto" w:fill="F2F2F2" w:themeFill="background1" w:themeFillShade="F2"/>
          </w:tcPr>
          <w:p w14:paraId="0B2EF64C" w14:textId="77777777" w:rsidR="00C57453" w:rsidRPr="007444C2" w:rsidRDefault="00C57453" w:rsidP="00557339">
            <w:pPr>
              <w:pStyle w:val="Tablecontent"/>
              <w:rPr>
                <w:b/>
                <w:bCs/>
              </w:rPr>
            </w:pPr>
            <w:r>
              <w:rPr>
                <w:b/>
                <w:bCs/>
              </w:rPr>
              <w:t>Sum()</w:t>
            </w:r>
          </w:p>
        </w:tc>
        <w:tc>
          <w:tcPr>
            <w:tcW w:w="9038" w:type="dxa"/>
          </w:tcPr>
          <w:p w14:paraId="23AB68F3" w14:textId="77777777" w:rsidR="00C57453" w:rsidRDefault="00C57453" w:rsidP="00557339">
            <w:pPr>
              <w:pStyle w:val="Tablecontent"/>
            </w:pPr>
            <w:r>
              <w:t xml:space="preserve">Sum works well when the threshold for </w:t>
            </w:r>
            <w:r w:rsidRPr="0022569A">
              <w:rPr>
                <w:color w:val="00B050"/>
              </w:rPr>
              <w:t>green</w:t>
            </w:r>
            <w:r>
              <w:t xml:space="preserve"> is 0. Even better, the threshold for </w:t>
            </w:r>
            <w:bookmarkStart w:id="62" w:name="_Hlk135317085"/>
            <w:r w:rsidRPr="009322C0">
              <w:rPr>
                <w:color w:val="000000" w:themeColor="text1"/>
                <w14:textFill>
                  <w14:gradFill>
                    <w14:gsLst>
                      <w14:gs w14:pos="0">
                        <w14:schemeClr w14:val="tx1"/>
                      </w14:gs>
                      <w14:gs w14:pos="100000">
                        <w14:srgbClr w14:val="FFFF00"/>
                      </w14:gs>
                    </w14:gsLst>
                    <w14:lin w14:ang="16200000" w14:scaled="0"/>
                  </w14:gradFill>
                </w14:textFill>
              </w:rPr>
              <w:t>yellow</w:t>
            </w:r>
            <w:r w:rsidRPr="009322C0">
              <w:rPr>
                <w14:textFill>
                  <w14:gradFill>
                    <w14:gsLst>
                      <w14:gs w14:pos="0">
                        <w14:schemeClr w14:val="tx1"/>
                      </w14:gs>
                      <w14:gs w14:pos="100000">
                        <w14:srgbClr w14:val="FFFF00"/>
                      </w14:gs>
                    </w14:gsLst>
                    <w14:lin w14:ang="16200000" w14:scaled="0"/>
                  </w14:gradFill>
                </w14:textFill>
              </w:rPr>
              <w:t xml:space="preserve"> </w:t>
            </w:r>
            <w:bookmarkEnd w:id="62"/>
            <w:r>
              <w:t xml:space="preserve">is 0. </w:t>
            </w:r>
          </w:p>
          <w:p w14:paraId="01E5F39E" w14:textId="77777777" w:rsidR="00C57453" w:rsidRDefault="00C57453" w:rsidP="00557339">
            <w:pPr>
              <w:pStyle w:val="Tablecontent"/>
            </w:pPr>
            <w:r>
              <w:t xml:space="preserve">The main limitation of Sum() is setting the threshold. You need to adjust the threshold based on the number of members. If there are many members, it’s possible that they are all in the </w:t>
            </w:r>
            <w:r w:rsidRPr="0022569A">
              <w:rPr>
                <w:color w:val="00B050"/>
              </w:rPr>
              <w:t>green</w:t>
            </w:r>
            <w:r>
              <w:t xml:space="preserve">, but the parent is in the </w:t>
            </w:r>
            <w:r w:rsidRPr="00CF7D2C">
              <w:rPr>
                <w:color w:val="FF0000"/>
              </w:rPr>
              <w:t>red</w:t>
            </w:r>
            <w:r>
              <w:t>.</w:t>
            </w:r>
          </w:p>
        </w:tc>
      </w:tr>
      <w:tr w:rsidR="00C57453" w14:paraId="2AC683C6" w14:textId="77777777" w:rsidTr="00557339">
        <w:tc>
          <w:tcPr>
            <w:tcW w:w="1418" w:type="dxa"/>
            <w:shd w:val="clear" w:color="auto" w:fill="F2F2F2" w:themeFill="background1" w:themeFillShade="F2"/>
          </w:tcPr>
          <w:p w14:paraId="6ED6F42E" w14:textId="77777777" w:rsidR="00C57453" w:rsidRPr="007444C2" w:rsidRDefault="00C57453" w:rsidP="00557339">
            <w:pPr>
              <w:pStyle w:val="Tablecontent"/>
              <w:rPr>
                <w:b/>
                <w:bCs/>
              </w:rPr>
            </w:pPr>
            <w:r w:rsidRPr="007444C2">
              <w:rPr>
                <w:b/>
                <w:bCs/>
              </w:rPr>
              <w:t>Disparity()</w:t>
            </w:r>
          </w:p>
        </w:tc>
        <w:tc>
          <w:tcPr>
            <w:tcW w:w="9038" w:type="dxa"/>
          </w:tcPr>
          <w:p w14:paraId="47628CF6" w14:textId="77777777" w:rsidR="00C57453" w:rsidRDefault="00C57453" w:rsidP="00557339">
            <w:pPr>
              <w:pStyle w:val="Tablecontent"/>
            </w:pPr>
            <w:r>
              <w:t>When members are uniformed and meant to share the load equally, you can also track the disparity among them. This reveals when part of the group is suffering when the average is still good.</w:t>
            </w:r>
          </w:p>
        </w:tc>
      </w:tr>
    </w:tbl>
    <w:p w14:paraId="1CBA0492" w14:textId="77777777" w:rsidR="00C57453" w:rsidRPr="008C1071" w:rsidRDefault="00C57453" w:rsidP="00C57453">
      <w:bookmarkStart w:id="63" w:name="_Baseline_Profiling"/>
      <w:bookmarkEnd w:id="63"/>
      <w:r>
        <w:t>In some situations, you may need multiple metrics for better visibility. For example, you may need Worst for the depth and Percentile for the breadth. In this case, pick one of them as the primary and the rest as secondary metrics.</w:t>
      </w:r>
    </w:p>
    <w:p w14:paraId="1281A783" w14:textId="77777777" w:rsidR="00EC333F" w:rsidRPr="00C17739" w:rsidRDefault="00EC333F" w:rsidP="00EC333F">
      <w:pPr>
        <w:pStyle w:val="Heading4"/>
      </w:pPr>
      <w:bookmarkStart w:id="64" w:name="_Depth_vs_Breadth_2"/>
      <w:bookmarkEnd w:id="64"/>
      <w:r w:rsidRPr="00C17739">
        <w:t>“Peak” Utilization</w:t>
      </w:r>
    </w:p>
    <w:p w14:paraId="130413DA" w14:textId="77777777" w:rsidR="00EC333F" w:rsidRPr="00C17739" w:rsidRDefault="00EC333F" w:rsidP="00EC333F">
      <w:r>
        <w:t xml:space="preserve">One common requirement is the need to monitor for peak. Be careful in defining what peak actually is, as by default, </w:t>
      </w:r>
      <w:r w:rsidRPr="70F05EAA">
        <w:rPr>
          <w:i/>
          <w:iCs/>
          <w:color w:val="FF0000"/>
        </w:rPr>
        <w:t>averages</w:t>
      </w:r>
      <w:r>
        <w:t xml:space="preserve"> get in the way.</w:t>
      </w:r>
    </w:p>
    <w:p w14:paraId="1E7A3BB5" w14:textId="77777777" w:rsidR="00EC333F" w:rsidRPr="00C17739" w:rsidRDefault="00EC333F" w:rsidP="00EC333F">
      <w:r w:rsidRPr="00C17739">
        <w:t xml:space="preserve">How do you define peak utilization or contention without being overly conservative or aggressive? </w:t>
      </w:r>
    </w:p>
    <w:p w14:paraId="52515A5B" w14:textId="77777777" w:rsidR="00EC333F" w:rsidRPr="00C17739" w:rsidRDefault="00EC333F" w:rsidP="00EC333F">
      <w:r w:rsidRPr="00C17739">
        <w:t xml:space="preserve">There are two dimensions of peaks. You can measure them across time or members of the group. </w:t>
      </w:r>
    </w:p>
    <w:p w14:paraId="16043977" w14:textId="77777777" w:rsidR="00EC333F" w:rsidRPr="00C17739" w:rsidRDefault="00EC333F" w:rsidP="00EC333F">
      <w:r w:rsidRPr="00C17739">
        <w:t>Let's take a cluster with 8 ESXi hosts as an example. The following chart shows the 8 ESXi utilizations.</w:t>
      </w:r>
    </w:p>
    <w:p w14:paraId="3B1D4CFE" w14:textId="77777777" w:rsidR="00EC333F" w:rsidRPr="00C17739" w:rsidRDefault="00EC333F" w:rsidP="00EC333F">
      <w:r w:rsidRPr="00C17739">
        <w:t xml:space="preserve">What’s the cluster peak utilization on that day? </w:t>
      </w:r>
    </w:p>
    <w:p w14:paraId="6E1F800A" w14:textId="77777777" w:rsidR="00EC333F" w:rsidRPr="00C17739" w:rsidRDefault="00EC333F" w:rsidP="00EC333F">
      <w:r>
        <w:t xml:space="preserve">The problem with this question is there are 1440 minutes in a day, so each ESXi Host has at least 288 metrics (based on the 5-minute reporting period). So this cluster has 288 x 8 = 2304 metrics on that day. A true peak has to be the highest metric among these 2304 metrics. </w:t>
      </w:r>
    </w:p>
    <w:p w14:paraId="498002AF" w14:textId="77777777" w:rsidR="00EC333F" w:rsidRDefault="00EC333F" w:rsidP="00EC333F">
      <w:pPr>
        <w:rPr>
          <w:noProof/>
        </w:rPr>
      </w:pPr>
    </w:p>
    <w:p w14:paraId="4EF3C193" w14:textId="77777777" w:rsidR="00EC333F" w:rsidRPr="00C17739" w:rsidRDefault="00EC333F" w:rsidP="00EC333F">
      <w:pPr>
        <w:jc w:val="center"/>
      </w:pPr>
      <w:r>
        <w:rPr>
          <w:noProof/>
        </w:rPr>
        <w:drawing>
          <wp:inline distT="0" distB="0" distL="0" distR="0" wp14:anchorId="499AD2F0" wp14:editId="5EEFAEF3">
            <wp:extent cx="6529447" cy="2237173"/>
            <wp:effectExtent l="0" t="0" r="5080" b="0"/>
            <wp:docPr id="606394131" name="Picture 606394131" descr="A blue arrow pointing to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31" name="Picture 606394131" descr="A blue arrow pointing to a white background&#10;&#10;Description automatically generated"/>
                    <pic:cNvPicPr/>
                  </pic:nvPicPr>
                  <pic:blipFill>
                    <a:blip r:embed="rId241">
                      <a:extLst>
                        <a:ext uri="{28A0092B-C50C-407E-A947-70E740481C1C}">
                          <a14:useLocalDpi xmlns:a14="http://schemas.microsoft.com/office/drawing/2010/main" val="0"/>
                        </a:ext>
                      </a:extLst>
                    </a:blip>
                    <a:stretch>
                      <a:fillRect/>
                    </a:stretch>
                  </pic:blipFill>
                  <pic:spPr>
                    <a:xfrm>
                      <a:off x="0" y="0"/>
                      <a:ext cx="6529447" cy="2237173"/>
                    </a:xfrm>
                    <a:prstGeom prst="rect">
                      <a:avLst/>
                    </a:prstGeom>
                  </pic:spPr>
                </pic:pic>
              </a:graphicData>
            </a:graphic>
          </wp:inline>
        </w:drawing>
      </w:r>
    </w:p>
    <w:p w14:paraId="7856019C" w14:textId="77777777" w:rsidR="00EC333F" w:rsidRPr="00C17739" w:rsidRDefault="00EC333F" w:rsidP="00EC333F">
      <w:r w:rsidRPr="00C17739">
        <w:t xml:space="preserve">To get this true peak, you need to measure across members of the group. For each sample data, take the utilization from the host with the highest utilization. In our cluster example, at 9:05 am, host number 1 has the highest utilization among all hosts. Let’s say it hit </w:t>
      </w:r>
      <w:r>
        <w:t>99</w:t>
      </w:r>
      <w:r w:rsidRPr="00C17739">
        <w:t xml:space="preserve">%. We then take it that the cluster </w:t>
      </w:r>
      <w:r w:rsidRPr="00C17739">
        <w:rPr>
          <w:i/>
          <w:iCs/>
          <w:color w:val="FF0000"/>
        </w:rPr>
        <w:t>peak</w:t>
      </w:r>
      <w:r w:rsidRPr="00C17739">
        <w:rPr>
          <w:color w:val="FF0000"/>
        </w:rPr>
        <w:t xml:space="preserve"> </w:t>
      </w:r>
      <w:r w:rsidRPr="00C17739">
        <w:t xml:space="preserve">utilization at 9:05 am is also </w:t>
      </w:r>
      <w:r>
        <w:t>99</w:t>
      </w:r>
      <w:r w:rsidRPr="00C17739">
        <w:t xml:space="preserve">%. </w:t>
      </w:r>
    </w:p>
    <w:p w14:paraId="1688BC61" w14:textId="77777777" w:rsidR="00EC333F" w:rsidRDefault="00EC333F" w:rsidP="00EC333F">
      <w:r w:rsidRPr="00C17739">
        <w:t xml:space="preserve">You repeat this process for each sample period (e.g. 9:10 am, 9:15 am). You may get different hosts at different times. You will not know which host provides the peak value as that varies from time to time. </w:t>
      </w:r>
    </w:p>
    <w:p w14:paraId="16AF8EB6" w14:textId="77777777" w:rsidR="00EC333F" w:rsidRDefault="00EC333F" w:rsidP="00EC333F">
      <w:r>
        <w:t>What’s the problem of this true peak?</w:t>
      </w:r>
    </w:p>
    <w:p w14:paraId="68029BCE" w14:textId="77777777" w:rsidR="00EC333F" w:rsidRPr="00C17739" w:rsidRDefault="00EC333F" w:rsidP="00EC333F">
      <w:r>
        <w:t>Yup, it might be too sensitive. All it takes is 1 number out of 2304 metrics. If you want to ignore the outlier, you need to use percentile. For example, if you do 99</w:t>
      </w:r>
      <w:r w:rsidRPr="00743C27">
        <w:rPr>
          <w:vertAlign w:val="superscript"/>
        </w:rPr>
        <w:t>th</w:t>
      </w:r>
      <w:r>
        <w:t xml:space="preserve"> percentile, it will remove the highest ~23 datapoints.</w:t>
      </w:r>
    </w:p>
    <w:p w14:paraId="472016CF" w14:textId="77777777" w:rsidR="00EC333F" w:rsidRPr="00C17739" w:rsidRDefault="00EC333F" w:rsidP="00EC333F">
      <w:r w:rsidRPr="00C17739">
        <w:t xml:space="preserve">Take note that the most common approach is to take the </w:t>
      </w:r>
      <w:r w:rsidRPr="00C17739">
        <w:rPr>
          <w:i/>
          <w:iCs/>
          <w:color w:val="FF0000"/>
        </w:rPr>
        <w:t>average</w:t>
      </w:r>
      <w:r w:rsidRPr="00C17739">
        <w:rPr>
          <w:color w:val="FF0000"/>
        </w:rPr>
        <w:t xml:space="preserve"> </w:t>
      </w:r>
      <w:r w:rsidRPr="00C17739">
        <w:t xml:space="preserve">utilization among all the 8 ESXi hosts in the cluster. So you lose the true peak, as each data point becomes an average. For the cluster to hit 80% average utilization, at least 1 ESXi host must have hit over 80%. That means you can't rule out the possibility that one host might hit near 100%. </w:t>
      </w:r>
    </w:p>
    <w:p w14:paraId="3517EF66" w14:textId="77777777" w:rsidR="00EC333F" w:rsidRDefault="00EC333F" w:rsidP="00EC333F">
      <w:r w:rsidRPr="00C17739">
        <w:t>The same logic applies to a VM. If a VM with 64 vCPUs hits 90% utilization, some cores probably hit 100%. This method results in under-reporting as it takes an average of the “members” at any given moment, then take the peak across time (e.g. last 24 hours).</w:t>
      </w:r>
    </w:p>
    <w:p w14:paraId="7247DA9E" w14:textId="77777777" w:rsidR="00EC333F" w:rsidRPr="00C17739" w:rsidRDefault="00EC333F" w:rsidP="00EC333F">
      <w:r>
        <w:t xml:space="preserve">This “averaging issue” exists basically everywhere in monitoring, as it’s the default technique when rolling up. For a more in-depth reading, look at </w:t>
      </w:r>
      <w:hyperlink r:id="rId242" w:history="1">
        <w:r w:rsidRPr="00CE570F">
          <w:rPr>
            <w:rStyle w:val="Hyperlink"/>
          </w:rPr>
          <w:t>this</w:t>
        </w:r>
      </w:hyperlink>
      <w:r>
        <w:t xml:space="preserve"> analysis by </w:t>
      </w:r>
      <w:hyperlink r:id="rId243" w:history="1">
        <w:r w:rsidRPr="00CE570F">
          <w:rPr>
            <w:rStyle w:val="Hyperlink"/>
          </w:rPr>
          <w:t>Tyler Treat</w:t>
        </w:r>
      </w:hyperlink>
      <w:r>
        <w:t xml:space="preserve">. </w:t>
      </w:r>
    </w:p>
    <w:p w14:paraId="274E0D03" w14:textId="77777777" w:rsidR="00C57453" w:rsidRPr="00AF4744" w:rsidRDefault="00C57453" w:rsidP="00C57453">
      <w:pPr>
        <w:pStyle w:val="Heading4"/>
        <w:rPr>
          <w:rStyle w:val="eop"/>
          <w:rFonts w:eastAsiaTheme="minorHAnsi" w:cstheme="minorBidi"/>
          <w:b w:val="0"/>
          <w:bCs w:val="0"/>
          <w:color w:val="auto"/>
          <w:sz w:val="22"/>
          <w:szCs w:val="22"/>
        </w:rPr>
      </w:pPr>
      <w:r w:rsidRPr="00AF4744">
        <w:rPr>
          <w:rStyle w:val="eop"/>
        </w:rPr>
        <w:t>Depth vs Breadth</w:t>
      </w:r>
    </w:p>
    <w:p w14:paraId="7855F9DD" w14:textId="77777777" w:rsidR="00C57453" w:rsidRPr="00AF4744" w:rsidRDefault="00C57453" w:rsidP="00C57453">
      <w:r w:rsidRPr="00AF4744">
        <w:t>What do you notice from the following screenshot?</w:t>
      </w:r>
      <w:r>
        <w:t xml:space="preserve"> There are 2 metrics, the maroon line shows the worst among all the VMs in the cluster, the pale blue shows the cluster wise average. </w:t>
      </w:r>
    </w:p>
    <w:p w14:paraId="155F81F5" w14:textId="77777777" w:rsidR="00C57453" w:rsidRPr="00AF4744" w:rsidRDefault="00C57453" w:rsidP="00C57453">
      <w:r>
        <w:rPr>
          <w:noProof/>
        </w:rPr>
        <w:lastRenderedPageBreak/>
        <w:drawing>
          <wp:inline distT="0" distB="0" distL="0" distR="0" wp14:anchorId="4829EAB3" wp14:editId="0B1DB47D">
            <wp:extent cx="6645910" cy="2332355"/>
            <wp:effectExtent l="0" t="0" r="2540" b="0"/>
            <wp:docPr id="606394053" name="Picture 60639405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53" name="Picture 606394053" descr="Chart&#10;&#10;Description automatically generated"/>
                    <pic:cNvPicPr/>
                  </pic:nvPicPr>
                  <pic:blipFill>
                    <a:blip r:embed="rId244" cstate="print">
                      <a:extLst>
                        <a:ext uri="{28A0092B-C50C-407E-A947-70E740481C1C}">
                          <a14:useLocalDpi xmlns:a14="http://schemas.microsoft.com/office/drawing/2010/main" val="0"/>
                        </a:ext>
                      </a:extLst>
                    </a:blip>
                    <a:stretch>
                      <a:fillRect/>
                    </a:stretch>
                  </pic:blipFill>
                  <pic:spPr>
                    <a:xfrm>
                      <a:off x="0" y="0"/>
                      <a:ext cx="6645910" cy="2332355"/>
                    </a:xfrm>
                    <a:prstGeom prst="rect">
                      <a:avLst/>
                    </a:prstGeom>
                  </pic:spPr>
                </pic:pic>
              </a:graphicData>
            </a:graphic>
          </wp:inline>
        </w:drawing>
      </w:r>
    </w:p>
    <w:p w14:paraId="0C09526C" w14:textId="77777777" w:rsidR="00C57453" w:rsidRDefault="00C57453" w:rsidP="00C57453">
      <w:r>
        <w:t xml:space="preserve">Notice the Maximum is &gt;10x higher than the average. The average is also very stable relative to the maximum. It did not move even though the maximum became worse. Once the Cluster is unable to cope, you’d see a pattern like this. Almost all VMs can be served, but 1-2 were not served well. The maximum is high because there is always one VM that wasn’t served. </w:t>
      </w:r>
    </w:p>
    <w:p w14:paraId="5CABB879" w14:textId="77777777" w:rsidR="00C57453" w:rsidRDefault="00C57453" w:rsidP="00C57453">
      <w:r w:rsidRPr="00546A34">
        <w:rPr>
          <w:i/>
          <w:iCs/>
          <w:color w:val="FF0000"/>
        </w:rPr>
        <w:t>Be careful</w:t>
      </w:r>
      <w:r w:rsidRPr="00522E56">
        <w:rPr>
          <w:color w:val="FF0000"/>
        </w:rPr>
        <w:t xml:space="preserve"> </w:t>
      </w:r>
      <w:r>
        <w:t>when you look at metrics at parent object such as cluster and datastore, as average is the default counter used in aggregation. Here is another example. This shows a cluster wise average. What do you think of the value?</w:t>
      </w:r>
    </w:p>
    <w:p w14:paraId="42D0DF7C" w14:textId="77777777" w:rsidR="00C57453" w:rsidRDefault="00C57453" w:rsidP="00C57453">
      <w:r>
        <w:rPr>
          <w:noProof/>
        </w:rPr>
        <w:drawing>
          <wp:inline distT="0" distB="0" distL="0" distR="0" wp14:anchorId="0DA1E2A0" wp14:editId="167FC4FB">
            <wp:extent cx="6645910" cy="1024255"/>
            <wp:effectExtent l="0" t="0" r="2540" b="4445"/>
            <wp:docPr id="15" name="Picture 1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Graphical user interface&#10;&#10;Description automatically generated"/>
                    <pic:cNvPicPr/>
                  </pic:nvPicPr>
                  <pic:blipFill>
                    <a:blip r:embed="rId245" cstate="print">
                      <a:extLst>
                        <a:ext uri="{28A0092B-C50C-407E-A947-70E740481C1C}">
                          <a14:useLocalDpi xmlns:a14="http://schemas.microsoft.com/office/drawing/2010/main" val="0"/>
                        </a:ext>
                      </a:extLst>
                    </a:blip>
                    <a:stretch>
                      <a:fillRect/>
                    </a:stretch>
                  </pic:blipFill>
                  <pic:spPr>
                    <a:xfrm>
                      <a:off x="0" y="0"/>
                      <a:ext cx="6645910" cy="1024255"/>
                    </a:xfrm>
                    <a:prstGeom prst="rect">
                      <a:avLst/>
                    </a:prstGeom>
                  </pic:spPr>
                </pic:pic>
              </a:graphicData>
            </a:graphic>
          </wp:inline>
        </w:drawing>
      </w:r>
    </w:p>
    <w:p w14:paraId="621A769B" w14:textId="77777777" w:rsidR="00C57453" w:rsidRDefault="00C57453" w:rsidP="00C57453">
      <w:r>
        <w:t>That’s right. No performance issue at all in the last 7 days. The cluster is doing well. This cluster run hundreds of VMs. What you see above is the average experience of all these VMs, aggregated at cluster level. If there is only a few VMs having a problem, but the majority are not, the above fails to show it.</w:t>
      </w:r>
    </w:p>
    <w:p w14:paraId="2C44FAFE" w14:textId="77777777" w:rsidR="00C57453" w:rsidRDefault="00C57453" w:rsidP="00C57453">
      <w:r>
        <w:t>Now look at the pattern. You can see there are changes in that 1 week period.</w:t>
      </w:r>
    </w:p>
    <w:p w14:paraId="6D5D9E37" w14:textId="77777777" w:rsidR="00C57453" w:rsidRDefault="00C57453" w:rsidP="00C57453">
      <w:r>
        <w:t>What do you expect when you take the worst of any VM? Would you get the same pattern?</w:t>
      </w:r>
    </w:p>
    <w:p w14:paraId="3B8B89CF" w14:textId="77777777" w:rsidR="00C57453" w:rsidRDefault="00C57453" w:rsidP="00C57453">
      <w:r>
        <w:rPr>
          <w:noProof/>
        </w:rPr>
        <w:drawing>
          <wp:inline distT="0" distB="0" distL="0" distR="0" wp14:anchorId="3EB49525" wp14:editId="30CA7C9E">
            <wp:extent cx="6645910" cy="1010285"/>
            <wp:effectExtent l="0" t="0" r="2540" b="0"/>
            <wp:docPr id="606394253" name="Picture 606394253"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53" name="Picture 606394253" descr="Graphical user interface&#10;&#10;Description automatically generated"/>
                    <pic:cNvPicPr/>
                  </pic:nvPicPr>
                  <pic:blipFill>
                    <a:blip r:embed="rId246">
                      <a:extLst>
                        <a:ext uri="{28A0092B-C50C-407E-A947-70E740481C1C}">
                          <a14:useLocalDpi xmlns:a14="http://schemas.microsoft.com/office/drawing/2010/main" val="0"/>
                        </a:ext>
                      </a:extLst>
                    </a:blip>
                    <a:stretch>
                      <a:fillRect/>
                    </a:stretch>
                  </pic:blipFill>
                  <pic:spPr>
                    <a:xfrm>
                      <a:off x="0" y="0"/>
                      <a:ext cx="6645910" cy="1010285"/>
                    </a:xfrm>
                    <a:prstGeom prst="rect">
                      <a:avLst/>
                    </a:prstGeom>
                  </pic:spPr>
                </pic:pic>
              </a:graphicData>
            </a:graphic>
          </wp:inline>
        </w:drawing>
      </w:r>
    </w:p>
    <w:p w14:paraId="73329E57" w14:textId="77777777" w:rsidR="00C57453" w:rsidRDefault="00C57453" w:rsidP="00C57453">
      <w:r>
        <w:t>Answer is possible (not always!), if every VM is given the same treatment. They will take turn to be hit.</w:t>
      </w:r>
    </w:p>
    <w:p w14:paraId="77F16F21" w14:textId="77777777" w:rsidR="00C57453" w:rsidRDefault="00C57453" w:rsidP="00C57453">
      <w:r>
        <w:t>Notice the scale. It’s 60x worse.</w:t>
      </w:r>
    </w:p>
    <w:p w14:paraId="04414B30" w14:textId="77777777" w:rsidR="00C57453" w:rsidRPr="00AF4744" w:rsidRDefault="00C57453" w:rsidP="00C57453">
      <w:r w:rsidRPr="00AF4744">
        <w:t xml:space="preserve">The following diagram </w:t>
      </w:r>
      <w:r>
        <w:t>explains</w:t>
      </w:r>
      <w:r w:rsidRPr="00AF4744">
        <w:t xml:space="preserve"> how</w:t>
      </w:r>
      <w:r>
        <w:t xml:space="preserve"> such thing can</w:t>
      </w:r>
      <w:r w:rsidRPr="00AF4744">
        <w:t xml:space="preserve"> happen.</w:t>
      </w:r>
    </w:p>
    <w:p w14:paraId="57EE3033" w14:textId="77777777" w:rsidR="00C57453" w:rsidRPr="006D3AA1" w:rsidRDefault="00C57453" w:rsidP="00C57453">
      <w:pPr>
        <w:jc w:val="center"/>
      </w:pPr>
      <w:r>
        <w:rPr>
          <w:noProof/>
        </w:rPr>
        <w:lastRenderedPageBreak/>
        <w:drawing>
          <wp:inline distT="0" distB="0" distL="0" distR="0" wp14:anchorId="631B7A82" wp14:editId="3037C783">
            <wp:extent cx="4180114" cy="1811276"/>
            <wp:effectExtent l="0" t="0" r="0" b="0"/>
            <wp:docPr id="606394051" name="Picture 60639405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51" name="Picture 606394051" descr="Chart, line chart&#10;&#10;Description automatically generated"/>
                    <pic:cNvPicPr/>
                  </pic:nvPicPr>
                  <pic:blipFill>
                    <a:blip r:embed="rId247">
                      <a:extLst>
                        <a:ext uri="{28A0092B-C50C-407E-A947-70E740481C1C}">
                          <a14:useLocalDpi xmlns:a14="http://schemas.microsoft.com/office/drawing/2010/main" val="0"/>
                        </a:ext>
                      </a:extLst>
                    </a:blip>
                    <a:stretch>
                      <a:fillRect/>
                    </a:stretch>
                  </pic:blipFill>
                  <pic:spPr>
                    <a:xfrm>
                      <a:off x="0" y="0"/>
                      <a:ext cx="4180114" cy="1811276"/>
                    </a:xfrm>
                    <a:prstGeom prst="rect">
                      <a:avLst/>
                    </a:prstGeom>
                  </pic:spPr>
                </pic:pic>
              </a:graphicData>
            </a:graphic>
          </wp:inline>
        </w:drawing>
      </w:r>
    </w:p>
    <w:p w14:paraId="67BC0478" w14:textId="77777777" w:rsidR="00C57453" w:rsidRPr="006D3AA1" w:rsidRDefault="00C57453" w:rsidP="00C57453">
      <w:r w:rsidRPr="006D3AA1">
        <w:t xml:space="preserve">The above charts show 6 objects that have varying disk latency. The thick </w:t>
      </w:r>
      <w:r w:rsidRPr="00CF7D2C">
        <w:rPr>
          <w:color w:val="FF0000"/>
        </w:rPr>
        <w:t>red</w:t>
      </w:r>
      <w:r w:rsidRPr="006D3AA1">
        <w:t xml:space="preserve"> line shows that the worst latency among the 6 objects varies over time. </w:t>
      </w:r>
    </w:p>
    <w:p w14:paraId="330457AC" w14:textId="77777777" w:rsidR="00C57453" w:rsidRDefault="00C57453" w:rsidP="00C57453">
      <w:r w:rsidRPr="006D3AA1">
        <w:t xml:space="preserve">Plotting the maximum among all the 6 objects, and taking the average, give us </w:t>
      </w:r>
      <w:r>
        <w:t>two</w:t>
      </w:r>
      <w:r w:rsidRPr="006D3AA1">
        <w:t xml:space="preserve"> different results as shown below:</w:t>
      </w:r>
    </w:p>
    <w:p w14:paraId="48A4206D" w14:textId="77777777" w:rsidR="00C57453" w:rsidRPr="006D3AA1" w:rsidRDefault="00C57453" w:rsidP="00C57453">
      <w:r>
        <w:rPr>
          <w:noProof/>
        </w:rPr>
        <w:drawing>
          <wp:inline distT="0" distB="0" distL="0" distR="0" wp14:anchorId="66EDB0D9" wp14:editId="47A660E1">
            <wp:extent cx="6645910" cy="2769235"/>
            <wp:effectExtent l="0" t="0" r="2540" b="0"/>
            <wp:docPr id="606394243" name="Picture 60639424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43" name="Picture 606394243" descr="Chart, line chart&#10;&#10;Description automatically generated"/>
                    <pic:cNvPicPr/>
                  </pic:nvPicPr>
                  <pic:blipFill>
                    <a:blip r:embed="rId248">
                      <a:extLst>
                        <a:ext uri="{28A0092B-C50C-407E-A947-70E740481C1C}">
                          <a14:useLocalDpi xmlns:a14="http://schemas.microsoft.com/office/drawing/2010/main" val="0"/>
                        </a:ext>
                      </a:extLst>
                    </a:blip>
                    <a:stretch>
                      <a:fillRect/>
                    </a:stretch>
                  </pic:blipFill>
                  <pic:spPr>
                    <a:xfrm>
                      <a:off x="0" y="0"/>
                      <a:ext cx="6645910" cy="2769235"/>
                    </a:xfrm>
                    <a:prstGeom prst="rect">
                      <a:avLst/>
                    </a:prstGeom>
                  </pic:spPr>
                </pic:pic>
              </a:graphicData>
            </a:graphic>
          </wp:inline>
        </w:drawing>
      </w:r>
    </w:p>
    <w:p w14:paraId="5B7CBF40" w14:textId="77777777" w:rsidR="00C57453" w:rsidRDefault="00C57453" w:rsidP="00C57453">
      <w:r>
        <w:t>Only when the cluster is unable to serve ~50% of its VMs, will the average number become high. Therefore, the average is a poor roll up technique. It’s a lagging indicator.</w:t>
      </w:r>
    </w:p>
    <w:p w14:paraId="5BC1E94B" w14:textId="77777777" w:rsidR="00C57453" w:rsidRPr="006D3AA1" w:rsidRDefault="00C57453" w:rsidP="00C57453">
      <w:r>
        <w:t>Tip: instead of using average, use 95</w:t>
      </w:r>
      <w:r w:rsidRPr="00D10D42">
        <w:rPr>
          <w:vertAlign w:val="superscript"/>
        </w:rPr>
        <w:t>th</w:t>
      </w:r>
      <w:r>
        <w:t xml:space="preserve"> percentile to complement the 100</w:t>
      </w:r>
      <w:r w:rsidRPr="00D10D42">
        <w:rPr>
          <w:vertAlign w:val="superscript"/>
        </w:rPr>
        <w:t>th</w:t>
      </w:r>
      <w:r>
        <w:t xml:space="preserve"> percentile. </w:t>
      </w:r>
    </w:p>
    <w:p w14:paraId="391FC36E" w14:textId="77777777" w:rsidR="00C57453" w:rsidRPr="006D3AA1" w:rsidRDefault="00C57453" w:rsidP="00C57453">
      <w:r w:rsidRPr="006D3AA1">
        <w:t xml:space="preserve">Proactive </w:t>
      </w:r>
      <w:r>
        <w:t>m</w:t>
      </w:r>
      <w:r w:rsidRPr="006D3AA1">
        <w:t xml:space="preserve">onitoring requires insights from </w:t>
      </w:r>
      <w:r>
        <w:t>more than one</w:t>
      </w:r>
      <w:r w:rsidRPr="006D3AA1">
        <w:t xml:space="preserve"> angle. When you hear that a VM is hit by a performance problem, your next questions are</w:t>
      </w:r>
      <w:r>
        <w:t xml:space="preserve"> naturally</w:t>
      </w:r>
      <w:r w:rsidRPr="006D3AA1">
        <w:t>:</w:t>
      </w:r>
    </w:p>
    <w:p w14:paraId="12991CFE" w14:textId="77777777" w:rsidR="00C57453" w:rsidRPr="0031053E" w:rsidRDefault="00C57453" w:rsidP="00C57453">
      <w:pPr>
        <w:pStyle w:val="Bullet"/>
      </w:pPr>
      <w:r w:rsidRPr="006D3AA1">
        <w:t xml:space="preserve">How </w:t>
      </w:r>
      <w:r w:rsidRPr="0031053E">
        <w:t>bad is it? You want to gauge the depth of the problem. The severity also may provide a clue to the root cause.</w:t>
      </w:r>
    </w:p>
    <w:p w14:paraId="16FA016F" w14:textId="77777777" w:rsidR="00C57453" w:rsidRPr="0031053E" w:rsidRDefault="00C57453" w:rsidP="00C57453">
      <w:pPr>
        <w:pStyle w:val="Bullet"/>
      </w:pPr>
      <w:r w:rsidRPr="0031053E">
        <w:t>How long did the problem last? Is there any pattern?</w:t>
      </w:r>
    </w:p>
    <w:p w14:paraId="1015CBE7" w14:textId="77777777" w:rsidR="00C57453" w:rsidRPr="006D3AA1" w:rsidRDefault="00C57453" w:rsidP="00C57453">
      <w:pPr>
        <w:pStyle w:val="Bullet"/>
      </w:pPr>
      <w:r w:rsidRPr="0031053E">
        <w:t>How</w:t>
      </w:r>
      <w:r w:rsidRPr="006D3AA1">
        <w:t xml:space="preserve"> many VMs are affected? </w:t>
      </w:r>
      <w:r>
        <w:t xml:space="preserve">Who else are affected? </w:t>
      </w:r>
      <w:r w:rsidRPr="006D3AA1">
        <w:t>You want to gauge the breadth of the problem.</w:t>
      </w:r>
    </w:p>
    <w:p w14:paraId="2F3C28D2" w14:textId="77777777" w:rsidR="00C57453" w:rsidRPr="006D3AA1" w:rsidRDefault="00C57453" w:rsidP="00C57453">
      <w:r w:rsidRPr="006D3AA1">
        <w:t>Notice you did not ask “</w:t>
      </w:r>
      <w:r w:rsidRPr="00EC1E6F">
        <w:rPr>
          <w:color w:val="00B0F0"/>
        </w:rPr>
        <w:t xml:space="preserve">What’s the </w:t>
      </w:r>
      <w:r w:rsidRPr="00EC1E6F">
        <w:rPr>
          <w:i/>
          <w:iCs/>
          <w:color w:val="FF0000"/>
        </w:rPr>
        <w:t>average</w:t>
      </w:r>
      <w:r w:rsidRPr="00EC1E6F">
        <w:rPr>
          <w:color w:val="FF0000"/>
        </w:rPr>
        <w:t xml:space="preserve"> </w:t>
      </w:r>
      <w:r w:rsidRPr="00EC1E6F">
        <w:rPr>
          <w:color w:val="00B0F0"/>
        </w:rPr>
        <w:t>performance?</w:t>
      </w:r>
      <w:r w:rsidRPr="006D3AA1">
        <w:t xml:space="preserve">”. Obviously, average is too late in this case. </w:t>
      </w:r>
    </w:p>
    <w:p w14:paraId="31F6DA34" w14:textId="77777777" w:rsidR="00C57453" w:rsidRDefault="00C57453" w:rsidP="00C57453">
      <w:bookmarkStart w:id="65" w:name="_The_Art_of"/>
      <w:bookmarkEnd w:id="65"/>
      <w:r w:rsidRPr="006D3AA1">
        <w:t xml:space="preserve">The answer to the </w:t>
      </w:r>
      <w:r>
        <w:t>3</w:t>
      </w:r>
      <w:r w:rsidRPr="00FD34CA">
        <w:rPr>
          <w:vertAlign w:val="superscript"/>
        </w:rPr>
        <w:t>rd</w:t>
      </w:r>
      <w:r>
        <w:t xml:space="preserve"> </w:t>
      </w:r>
      <w:r w:rsidRPr="006D3AA1">
        <w:t xml:space="preserve">question impacts the course of troubleshooting. Is the incident isolated or widespread? If it’s isolated, then you will look at the affected object more closely. If it’s a widespread problem then you’ll look at common areas (e.g. cluster, datastore, resource pool, host) that are shared among the affected VMs. </w:t>
      </w:r>
    </w:p>
    <w:p w14:paraId="661DD587" w14:textId="77777777" w:rsidR="00C57453" w:rsidRDefault="00C57453" w:rsidP="00C57453">
      <w:r>
        <w:lastRenderedPageBreak/>
        <w:t>When calculating the breadth of the problem, you need to use a stringent threshold. Without this, you will not be able to catch values that are just below the threshold. On the other hand, if you set it too low, you will get a lot of early warning.</w:t>
      </w:r>
    </w:p>
    <w:p w14:paraId="219597AD" w14:textId="77777777" w:rsidR="00C57453" w:rsidRDefault="00C57453" w:rsidP="00C57453">
      <w:r w:rsidRPr="00C41921">
        <w:rPr>
          <w:noProof/>
        </w:rPr>
        <w:drawing>
          <wp:inline distT="0" distB="0" distL="0" distR="0" wp14:anchorId="54DF6EBB" wp14:editId="1AA7D15B">
            <wp:extent cx="6597989" cy="2254366"/>
            <wp:effectExtent l="0" t="0" r="0" b="0"/>
            <wp:docPr id="534447521" name="Picture 53444752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1" name="Picture 534447521" descr="Table&#10;&#10;Description automatically generated"/>
                    <pic:cNvPicPr/>
                  </pic:nvPicPr>
                  <pic:blipFill>
                    <a:blip r:embed="rId249"/>
                    <a:stretch>
                      <a:fillRect/>
                    </a:stretch>
                  </pic:blipFill>
                  <pic:spPr>
                    <a:xfrm>
                      <a:off x="0" y="0"/>
                      <a:ext cx="6597989" cy="2254366"/>
                    </a:xfrm>
                    <a:prstGeom prst="rect">
                      <a:avLst/>
                    </a:prstGeom>
                  </pic:spPr>
                </pic:pic>
              </a:graphicData>
            </a:graphic>
          </wp:inline>
        </w:drawing>
      </w:r>
    </w:p>
    <w:p w14:paraId="02E89674" w14:textId="77777777" w:rsidR="00C57453" w:rsidRDefault="00C57453" w:rsidP="00C57453">
      <w:r>
        <w:t>We’ve chosen the thresholds so that they work in tandem. The following shows an example where both types confirm you the problem.</w:t>
      </w:r>
    </w:p>
    <w:p w14:paraId="2FE08202" w14:textId="77777777" w:rsidR="00C57453" w:rsidRDefault="00C57453" w:rsidP="00C57453">
      <w:r w:rsidRPr="003511B0">
        <w:rPr>
          <w:noProof/>
          <w:lang w:val="en-GB"/>
        </w:rPr>
        <w:drawing>
          <wp:inline distT="0" distB="0" distL="0" distR="0" wp14:anchorId="3317463C" wp14:editId="1EEE2BCA">
            <wp:extent cx="6645910" cy="1841500"/>
            <wp:effectExtent l="0" t="0" r="2540" b="6350"/>
            <wp:docPr id="1293284862" name="Picture 1293284862"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62" name="Picture 1293284862" descr="Graphical user interface, application, Word&#10;&#10;Description automatically generated"/>
                    <pic:cNvPicPr/>
                  </pic:nvPicPr>
                  <pic:blipFill>
                    <a:blip r:embed="rId250"/>
                    <a:stretch>
                      <a:fillRect/>
                    </a:stretch>
                  </pic:blipFill>
                  <pic:spPr>
                    <a:xfrm>
                      <a:off x="0" y="0"/>
                      <a:ext cx="6645910" cy="1841500"/>
                    </a:xfrm>
                    <a:prstGeom prst="rect">
                      <a:avLst/>
                    </a:prstGeom>
                  </pic:spPr>
                </pic:pic>
              </a:graphicData>
            </a:graphic>
          </wp:inline>
        </w:drawing>
      </w:r>
    </w:p>
    <w:p w14:paraId="52E86477" w14:textId="77777777" w:rsidR="00C57453" w:rsidRDefault="00C57453" w:rsidP="00C57453">
      <w:pPr>
        <w:pStyle w:val="Heading4"/>
      </w:pPr>
      <w:r>
        <w:t>Usage Disparity</w:t>
      </w:r>
    </w:p>
    <w:p w14:paraId="3862FCA0" w14:textId="77777777" w:rsidR="00C57453" w:rsidRDefault="00C57453" w:rsidP="00C57453">
      <w:r>
        <w:t>Imbalance among utilization can reveal a problem, as there are many examples where you expect balance utilization:</w:t>
      </w:r>
    </w:p>
    <w:p w14:paraId="48826655" w14:textId="77777777" w:rsidR="00C57453" w:rsidRDefault="00C57453" w:rsidP="00C57453">
      <w:pPr>
        <w:pStyle w:val="Bullet"/>
      </w:pPr>
      <w:r>
        <w:t>Usage among VM vCPU. If a VM has 32 vCPU, you don’t want the first 8 are heavily used while the last 16 are not used.</w:t>
      </w:r>
    </w:p>
    <w:p w14:paraId="4D9CAD69" w14:textId="77777777" w:rsidR="00C57453" w:rsidRDefault="00C57453" w:rsidP="00C57453">
      <w:pPr>
        <w:pStyle w:val="Bullet"/>
      </w:pPr>
      <w:r>
        <w:t>Usage among ESXi in a cluster</w:t>
      </w:r>
    </w:p>
    <w:p w14:paraId="0EB56984" w14:textId="77777777" w:rsidR="00C57453" w:rsidRDefault="00C57453" w:rsidP="00C57453">
      <w:pPr>
        <w:pStyle w:val="Bullet"/>
      </w:pPr>
      <w:r>
        <w:t>Usage among RDS Hosts in a farm</w:t>
      </w:r>
    </w:p>
    <w:p w14:paraId="609DB4A8" w14:textId="77777777" w:rsidR="00C57453" w:rsidRDefault="00C57453" w:rsidP="00C57453">
      <w:pPr>
        <w:pStyle w:val="Bullet"/>
      </w:pPr>
      <w:r>
        <w:t>Usage among Horizon Connection Server in a pod</w:t>
      </w:r>
    </w:p>
    <w:p w14:paraId="1D288AB8" w14:textId="77777777" w:rsidR="00C57453" w:rsidRDefault="00C57453" w:rsidP="00C57453">
      <w:pPr>
        <w:pStyle w:val="Bullet"/>
      </w:pPr>
      <w:r>
        <w:t>Usage among disk in a vSAN disk group</w:t>
      </w:r>
    </w:p>
    <w:p w14:paraId="375E67B9" w14:textId="77777777" w:rsidR="00C57453" w:rsidRDefault="00C57453" w:rsidP="00C57453">
      <w:pPr>
        <w:pStyle w:val="Bullet"/>
      </w:pPr>
      <w:r>
        <w:t>Usage among web server in a farm</w:t>
      </w:r>
    </w:p>
    <w:p w14:paraId="3BBDE47F" w14:textId="77777777" w:rsidR="00C57453" w:rsidRPr="00A452F2" w:rsidRDefault="00C57453" w:rsidP="00C57453">
      <w:pPr>
        <w:rPr>
          <w:lang w:val="en-GB"/>
        </w:rPr>
      </w:pPr>
      <w:r w:rsidRPr="00A452F2">
        <w:rPr>
          <w:lang w:val="en-GB"/>
        </w:rPr>
        <w:t xml:space="preserve">There are 2 options to calculate </w:t>
      </w:r>
      <w:r>
        <w:rPr>
          <w:lang w:val="en-GB"/>
        </w:rPr>
        <w:t>imbalance</w:t>
      </w:r>
      <w:r w:rsidRPr="00A452F2">
        <w:rPr>
          <w:lang w:val="en-GB"/>
        </w:rPr>
        <w:t>:</w:t>
      </w:r>
    </w:p>
    <w:p w14:paraId="7EF3B021" w14:textId="77777777" w:rsidR="00C57453" w:rsidRPr="00A452F2" w:rsidRDefault="00C57453" w:rsidP="00C57453">
      <w:pPr>
        <w:pStyle w:val="ListParagraph"/>
        <w:keepLines w:val="0"/>
        <w:numPr>
          <w:ilvl w:val="0"/>
          <w:numId w:val="29"/>
        </w:numPr>
        <w:suppressAutoHyphens w:val="0"/>
        <w:spacing w:before="0" w:after="160"/>
        <w:rPr>
          <w:lang w:val="en-GB"/>
        </w:rPr>
      </w:pPr>
      <w:r w:rsidRPr="00A452F2">
        <w:rPr>
          <w:lang w:val="en-GB"/>
        </w:rPr>
        <w:lastRenderedPageBreak/>
        <w:t xml:space="preserve">Divide over total. This is a fixed number, as the total is a constant number. </w:t>
      </w:r>
    </w:p>
    <w:p w14:paraId="65B8D394" w14:textId="77777777" w:rsidR="00C57453" w:rsidRPr="00A452F2" w:rsidRDefault="00C57453" w:rsidP="00C57453">
      <w:pPr>
        <w:pStyle w:val="ListParagraph"/>
        <w:keepLines w:val="0"/>
        <w:numPr>
          <w:ilvl w:val="0"/>
          <w:numId w:val="29"/>
        </w:numPr>
        <w:suppressAutoHyphens w:val="0"/>
        <w:spacing w:before="0" w:after="160"/>
        <w:rPr>
          <w:lang w:val="en-GB"/>
        </w:rPr>
      </w:pPr>
      <w:r w:rsidRPr="00A452F2">
        <w:rPr>
          <w:lang w:val="en-GB"/>
        </w:rPr>
        <w:t>Divide over max</w:t>
      </w:r>
      <w:r>
        <w:rPr>
          <w:lang w:val="en-GB"/>
        </w:rPr>
        <w:t xml:space="preserve"> (highest)</w:t>
      </w:r>
      <w:r w:rsidRPr="00A452F2">
        <w:rPr>
          <w:lang w:val="en-GB"/>
        </w:rPr>
        <w:t xml:space="preserve">. This is a dynamic number, as the max is fluctuating. The </w:t>
      </w:r>
      <w:r>
        <w:rPr>
          <w:lang w:val="en-GB"/>
        </w:rPr>
        <w:t>imbalance</w:t>
      </w:r>
      <w:r w:rsidRPr="00A452F2">
        <w:rPr>
          <w:lang w:val="en-GB"/>
        </w:rPr>
        <w:t xml:space="preserve"> is relative, as it depends on the value of the Max metric.</w:t>
      </w:r>
    </w:p>
    <w:p w14:paraId="7E99BCB0" w14:textId="77777777" w:rsidR="00C57453" w:rsidRPr="00A452F2" w:rsidRDefault="00C57453" w:rsidP="00C57453">
      <w:pPr>
        <w:rPr>
          <w:lang w:val="en-GB"/>
        </w:rPr>
      </w:pPr>
      <w:r w:rsidRPr="00A452F2">
        <w:rPr>
          <w:lang w:val="en-GB"/>
        </w:rPr>
        <w:t>Both use cases have their purpose. We are taking the first use for these reasons:</w:t>
      </w:r>
    </w:p>
    <w:p w14:paraId="6AE8A9AA" w14:textId="77777777" w:rsidR="00C57453" w:rsidRPr="00A452F2" w:rsidRDefault="00C57453" w:rsidP="00C57453">
      <w:pPr>
        <w:pStyle w:val="ListParagraph"/>
        <w:keepLines w:val="0"/>
        <w:numPr>
          <w:ilvl w:val="0"/>
          <w:numId w:val="30"/>
        </w:numPr>
        <w:suppressAutoHyphens w:val="0"/>
        <w:spacing w:before="0" w:after="160"/>
        <w:rPr>
          <w:lang w:val="en-GB"/>
        </w:rPr>
      </w:pPr>
      <w:r w:rsidRPr="00A452F2">
        <w:rPr>
          <w:lang w:val="en-GB"/>
        </w:rPr>
        <w:t>That’s the most common one. The second use case is used in low level application profiling or tuning, not general IaaS operations.</w:t>
      </w:r>
    </w:p>
    <w:p w14:paraId="7AC1D72A" w14:textId="77777777" w:rsidR="00C57453" w:rsidRPr="00A452F2" w:rsidRDefault="00C57453" w:rsidP="00C57453">
      <w:pPr>
        <w:pStyle w:val="ListParagraph"/>
        <w:keepLines w:val="0"/>
        <w:numPr>
          <w:ilvl w:val="0"/>
          <w:numId w:val="30"/>
        </w:numPr>
        <w:suppressAutoHyphens w:val="0"/>
        <w:spacing w:before="0" w:after="160"/>
        <w:rPr>
          <w:lang w:val="en-GB"/>
        </w:rPr>
      </w:pPr>
      <w:r w:rsidRPr="00A452F2">
        <w:rPr>
          <w:lang w:val="en-GB"/>
        </w:rPr>
        <w:t xml:space="preserve">It’s also easier to understand. </w:t>
      </w:r>
    </w:p>
    <w:p w14:paraId="79686290" w14:textId="77777777" w:rsidR="00C57453" w:rsidRPr="00A452F2" w:rsidRDefault="00C57453" w:rsidP="00C57453">
      <w:pPr>
        <w:pStyle w:val="ListParagraph"/>
        <w:keepLines w:val="0"/>
        <w:numPr>
          <w:ilvl w:val="0"/>
          <w:numId w:val="30"/>
        </w:numPr>
        <w:suppressAutoHyphens w:val="0"/>
        <w:spacing w:before="0" w:after="160"/>
        <w:rPr>
          <w:lang w:val="en-GB"/>
        </w:rPr>
      </w:pPr>
      <w:r w:rsidRPr="00A452F2">
        <w:rPr>
          <w:lang w:val="en-GB"/>
        </w:rPr>
        <w:t xml:space="preserve">It does not result in high number when </w:t>
      </w:r>
      <w:r>
        <w:rPr>
          <w:lang w:val="en-GB"/>
        </w:rPr>
        <w:t>imbalance</w:t>
      </w:r>
      <w:r w:rsidRPr="00A452F2">
        <w:rPr>
          <w:lang w:val="en-GB"/>
        </w:rPr>
        <w:t xml:space="preserve"> is low in absolute terms. See the charts below</w:t>
      </w:r>
    </w:p>
    <w:p w14:paraId="349A1557" w14:textId="77777777" w:rsidR="00C57453" w:rsidRPr="00A452F2" w:rsidRDefault="00C57453" w:rsidP="00C57453">
      <w:pPr>
        <w:jc w:val="center"/>
        <w:rPr>
          <w:lang w:val="en-GB"/>
        </w:rPr>
      </w:pPr>
      <w:r>
        <w:rPr>
          <w:noProof/>
        </w:rPr>
        <w:drawing>
          <wp:inline distT="0" distB="0" distL="0" distR="0" wp14:anchorId="32129C81" wp14:editId="0F0ADC94">
            <wp:extent cx="5108400" cy="2246400"/>
            <wp:effectExtent l="0" t="0" r="0" b="1905"/>
            <wp:docPr id="606394138" name="Picture 606394138"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38" name="Picture 606394138" descr="Chart, waterfall chart&#10;&#10;Description automatically generated"/>
                    <pic:cNvPicPr/>
                  </pic:nvPicPr>
                  <pic:blipFill>
                    <a:blip r:embed="rId251">
                      <a:extLst>
                        <a:ext uri="{28A0092B-C50C-407E-A947-70E740481C1C}">
                          <a14:useLocalDpi xmlns:a14="http://schemas.microsoft.com/office/drawing/2010/main" val="0"/>
                        </a:ext>
                      </a:extLst>
                    </a:blip>
                    <a:stretch>
                      <a:fillRect/>
                    </a:stretch>
                  </pic:blipFill>
                  <pic:spPr>
                    <a:xfrm>
                      <a:off x="0" y="0"/>
                      <a:ext cx="5108400" cy="2246400"/>
                    </a:xfrm>
                    <a:prstGeom prst="rect">
                      <a:avLst/>
                    </a:prstGeom>
                  </pic:spPr>
                </pic:pic>
              </a:graphicData>
            </a:graphic>
          </wp:inline>
        </w:drawing>
      </w:r>
    </w:p>
    <w:p w14:paraId="16317B28" w14:textId="77777777" w:rsidR="00C57453" w:rsidRPr="00A452F2" w:rsidRDefault="00C57453" w:rsidP="00C57453">
      <w:pPr>
        <w:rPr>
          <w:lang w:val="en-GB"/>
        </w:rPr>
      </w:pPr>
      <w:r w:rsidRPr="00A452F2">
        <w:rPr>
          <w:lang w:val="en-GB"/>
        </w:rPr>
        <w:t xml:space="preserve">The following calculation shows that using the relatively </w:t>
      </w:r>
      <w:r>
        <w:rPr>
          <w:lang w:val="en-GB"/>
        </w:rPr>
        <w:t>imbalance</w:t>
      </w:r>
      <w:r w:rsidRPr="00A452F2">
        <w:rPr>
          <w:lang w:val="en-GB"/>
        </w:rPr>
        <w:t xml:space="preserve"> results in a high number, which can be misleading as the actual </w:t>
      </w:r>
      <w:r>
        <w:rPr>
          <w:lang w:val="en-GB"/>
        </w:rPr>
        <w:t>imbalance</w:t>
      </w:r>
      <w:r w:rsidRPr="00A452F2">
        <w:rPr>
          <w:lang w:val="en-GB"/>
        </w:rPr>
        <w:t xml:space="preserve"> is only 10%</w:t>
      </w:r>
    </w:p>
    <w:p w14:paraId="034E6B20" w14:textId="77777777" w:rsidR="00C57453" w:rsidRPr="00A452F2" w:rsidRDefault="00C57453" w:rsidP="00C57453">
      <w:pPr>
        <w:jc w:val="center"/>
        <w:rPr>
          <w:lang w:val="en-GB"/>
        </w:rPr>
      </w:pPr>
      <w:r w:rsidRPr="00D9760C">
        <w:rPr>
          <w:noProof/>
          <w:lang w:val="en-GB"/>
        </w:rPr>
        <w:drawing>
          <wp:inline distT="0" distB="0" distL="0" distR="0" wp14:anchorId="2EBCD9D5" wp14:editId="1DFD7F79">
            <wp:extent cx="4000706" cy="2044805"/>
            <wp:effectExtent l="0" t="0" r="0" b="0"/>
            <wp:docPr id="35" name="Picture 3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Table&#10;&#10;Description automatically generated"/>
                    <pic:cNvPicPr/>
                  </pic:nvPicPr>
                  <pic:blipFill>
                    <a:blip r:embed="rId252"/>
                    <a:stretch>
                      <a:fillRect/>
                    </a:stretch>
                  </pic:blipFill>
                  <pic:spPr>
                    <a:xfrm>
                      <a:off x="0" y="0"/>
                      <a:ext cx="4000706" cy="2044805"/>
                    </a:xfrm>
                    <a:prstGeom prst="rect">
                      <a:avLst/>
                    </a:prstGeom>
                  </pic:spPr>
                </pic:pic>
              </a:graphicData>
            </a:graphic>
          </wp:inline>
        </w:drawing>
      </w:r>
    </w:p>
    <w:p w14:paraId="58196902" w14:textId="77777777" w:rsidR="00ED53E0" w:rsidRDefault="00ED53E0" w:rsidP="00ED53E0">
      <w:pPr>
        <w:pStyle w:val="Heading3"/>
      </w:pPr>
      <w:r>
        <w:lastRenderedPageBreak/>
        <w:t>Health | Risk | Efficiency</w:t>
      </w:r>
    </w:p>
    <w:p w14:paraId="61DE67F6" w14:textId="77777777" w:rsidR="00ED53E0" w:rsidRDefault="00ED53E0" w:rsidP="00ED53E0">
      <w:r>
        <w:t xml:space="preserve">You certainly want your environment to be healthy. The desire to achieve that nirvana state results in a definition that is too broad as you try to cover everything. When the health metric covers too many things, you can end up with low score and yet everything is running well! </w:t>
      </w:r>
    </w:p>
    <w:p w14:paraId="2C473A56" w14:textId="77777777" w:rsidR="00ED53E0" w:rsidRDefault="00ED53E0" w:rsidP="00ED53E0">
      <w:r>
        <w:t xml:space="preserve">Health is actually hard to define, as it depends on the context and object. The English word health itself is subject to interpretation. How healthy are you? For example, I exercise regularly and can perform many rounds of pull ups, push up, deadlift and squats. I’m physically healthy. Biologically though, I’ve been suffering from irritable bowel syndrome. As for mental, I’m not sure about the state of my mental health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9"/>
          </mc:Choice>
          <mc:Fallback>
            <w:t>😉</w:t>
          </mc:Fallback>
        </mc:AlternateContent>
      </w:r>
    </w:p>
    <w:p w14:paraId="4395B348" w14:textId="6608537B" w:rsidR="00ED53E0" w:rsidRDefault="00ED53E0" w:rsidP="00ED53E0">
      <w:r>
        <w:t xml:space="preserve">Let’s try another real life context. How healthy is your country? Let’s take the world </w:t>
      </w:r>
      <w:r w:rsidR="009E69E8">
        <w:t>super powers (</w:t>
      </w:r>
      <w:r>
        <w:t>USA</w:t>
      </w:r>
      <w:r w:rsidR="009E69E8">
        <w:t xml:space="preserve"> </w:t>
      </w:r>
      <w:r>
        <w:t xml:space="preserve">and China). Both are well accepted as super powers, in both economy and military. But how healthy are they? </w:t>
      </w:r>
    </w:p>
    <w:p w14:paraId="610BBA47" w14:textId="77777777" w:rsidR="00ED53E0" w:rsidRDefault="00ED53E0" w:rsidP="00ED53E0">
      <w:r>
        <w:t>The answer depends on which aspect and which provinces you’re talking about. It needs to have more context.</w:t>
      </w:r>
    </w:p>
    <w:p w14:paraId="19F62FEE" w14:textId="77777777" w:rsidR="00ED53E0" w:rsidRDefault="00ED53E0" w:rsidP="00ED53E0">
      <w:r>
        <w:t xml:space="preserve">That’s why you do not have a single score for health. </w:t>
      </w:r>
    </w:p>
    <w:p w14:paraId="149973C9" w14:textId="77777777" w:rsidR="00ED53E0" w:rsidRDefault="00ED53E0" w:rsidP="00ED53E0">
      <w:r>
        <w:t>If you insist on defining “</w:t>
      </w:r>
      <w:r w:rsidRPr="00932C41">
        <w:rPr>
          <w:color w:val="00B0F0"/>
        </w:rPr>
        <w:t>health</w:t>
      </w:r>
      <w:r>
        <w:t xml:space="preserve">”, then my recommendation is map it to the pillars of operations. When you do that, you vrealize that there are actually 3 sides of health, not 1. Since there are 3, you need to have 3 different metrics. </w:t>
      </w:r>
    </w:p>
    <w:p w14:paraId="5DFBB3F2" w14:textId="77777777" w:rsidR="00ED53E0" w:rsidRDefault="00ED53E0" w:rsidP="00ED53E0">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43"/>
        <w:gridCol w:w="8613"/>
      </w:tblGrid>
      <w:tr w:rsidR="00ED53E0" w14:paraId="2FAA2B4D" w14:textId="77777777" w:rsidTr="00E7737D">
        <w:tc>
          <w:tcPr>
            <w:tcW w:w="1843" w:type="dxa"/>
            <w:shd w:val="clear" w:color="auto" w:fill="F2F2F2" w:themeFill="background1" w:themeFillShade="F2"/>
          </w:tcPr>
          <w:p w14:paraId="1C332129" w14:textId="71861374" w:rsidR="00ED53E0" w:rsidRPr="006C54B4" w:rsidRDefault="00F4106F" w:rsidP="00E7737D">
            <w:pPr>
              <w:pStyle w:val="Tablecontent"/>
              <w:rPr>
                <w:b/>
                <w:bCs/>
              </w:rPr>
            </w:pPr>
            <w:r>
              <w:rPr>
                <w:b/>
                <w:bCs/>
              </w:rPr>
              <w:t xml:space="preserve">Present </w:t>
            </w:r>
            <w:r w:rsidR="00ED53E0">
              <w:rPr>
                <w:b/>
                <w:bCs/>
              </w:rPr>
              <w:t>Health</w:t>
            </w:r>
          </w:p>
        </w:tc>
        <w:tc>
          <w:tcPr>
            <w:tcW w:w="8613" w:type="dxa"/>
          </w:tcPr>
          <w:p w14:paraId="708BD7FD" w14:textId="77777777" w:rsidR="00ED53E0" w:rsidRDefault="00ED53E0" w:rsidP="00E7737D">
            <w:pPr>
              <w:pStyle w:val="Tablecontent"/>
            </w:pPr>
            <w:r>
              <w:t xml:space="preserve">Health is the </w:t>
            </w:r>
            <w:r w:rsidRPr="007D3248">
              <w:rPr>
                <w:i/>
                <w:iCs/>
                <w:color w:val="00B050"/>
              </w:rPr>
              <w:t>present</w:t>
            </w:r>
            <w:r w:rsidRPr="007D3248">
              <w:rPr>
                <w:color w:val="00B050"/>
              </w:rPr>
              <w:t xml:space="preserve"> </w:t>
            </w:r>
            <w:r>
              <w:t>time. It covers real problem that has happened and/or is still ongoing.</w:t>
            </w:r>
          </w:p>
          <w:p w14:paraId="3FEA0AA8" w14:textId="77777777" w:rsidR="00ED53E0" w:rsidRDefault="00ED53E0" w:rsidP="00E7737D">
            <w:pPr>
              <w:pStyle w:val="Tablecontent"/>
            </w:pPr>
            <w:r>
              <w:t>There are 2 problems that can impact health:</w:t>
            </w:r>
          </w:p>
          <w:p w14:paraId="10A7B1B7" w14:textId="77777777" w:rsidR="00ED53E0" w:rsidRPr="00FC5E60" w:rsidRDefault="00ED53E0" w:rsidP="00E7737D">
            <w:pPr>
              <w:pStyle w:val="Bullet"/>
            </w:pPr>
            <w:r w:rsidRPr="00FC5E60">
              <w:t>Availability</w:t>
            </w:r>
          </w:p>
          <w:p w14:paraId="0C59756D" w14:textId="77777777" w:rsidR="00ED53E0" w:rsidRPr="00FC5E60" w:rsidRDefault="00ED53E0" w:rsidP="00E7737D">
            <w:pPr>
              <w:pStyle w:val="Bullet"/>
            </w:pPr>
            <w:r w:rsidRPr="00FC5E60">
              <w:t>Performance</w:t>
            </w:r>
          </w:p>
          <w:p w14:paraId="5EFA960F" w14:textId="77777777" w:rsidR="00ED53E0" w:rsidRDefault="00ED53E0" w:rsidP="00E7737D">
            <w:pPr>
              <w:pStyle w:val="Tablecontent"/>
            </w:pPr>
            <w:r>
              <w:t xml:space="preserve">Availability and Performance are related, which means they are not the same thing. You can have one without the other. </w:t>
            </w:r>
          </w:p>
          <w:p w14:paraId="4E5BB7E2" w14:textId="77777777" w:rsidR="00ED53E0" w:rsidRDefault="00ED53E0" w:rsidP="00E7737D">
            <w:pPr>
              <w:pStyle w:val="Tablecontent"/>
            </w:pPr>
            <w:r>
              <w:t>Health only includes reality. It does not include possibility. That’s covered under Risk.</w:t>
            </w:r>
          </w:p>
        </w:tc>
      </w:tr>
      <w:tr w:rsidR="00ED53E0" w14:paraId="62C18C00" w14:textId="77777777" w:rsidTr="00E7737D">
        <w:tc>
          <w:tcPr>
            <w:tcW w:w="1843" w:type="dxa"/>
            <w:shd w:val="clear" w:color="auto" w:fill="F2F2F2" w:themeFill="background1" w:themeFillShade="F2"/>
          </w:tcPr>
          <w:p w14:paraId="2E4BE66A" w14:textId="6A8CC9DE" w:rsidR="00ED53E0" w:rsidRPr="006C54B4" w:rsidRDefault="00F4106F" w:rsidP="00E7737D">
            <w:pPr>
              <w:pStyle w:val="Tablecontent"/>
              <w:rPr>
                <w:b/>
                <w:bCs/>
              </w:rPr>
            </w:pPr>
            <w:r>
              <w:rPr>
                <w:b/>
                <w:bCs/>
              </w:rPr>
              <w:t>Future Health</w:t>
            </w:r>
          </w:p>
        </w:tc>
        <w:tc>
          <w:tcPr>
            <w:tcW w:w="8613" w:type="dxa"/>
          </w:tcPr>
          <w:p w14:paraId="30D34840" w14:textId="77777777" w:rsidR="00ED53E0" w:rsidRDefault="00ED53E0" w:rsidP="00E7737D">
            <w:pPr>
              <w:pStyle w:val="Tablecontent"/>
            </w:pPr>
            <w:r>
              <w:t xml:space="preserve">Risk is the </w:t>
            </w:r>
            <w:r w:rsidRPr="007D3248">
              <w:rPr>
                <w:i/>
                <w:iCs/>
                <w:color w:val="00B050"/>
              </w:rPr>
              <w:t>future</w:t>
            </w:r>
            <w:r>
              <w:t>. It covers potential problem. There is no problem at this moment, but if you do not act on it, you increase the risk of it becoming a problem.</w:t>
            </w:r>
          </w:p>
          <w:p w14:paraId="34878DA0" w14:textId="77777777" w:rsidR="00ED53E0" w:rsidRDefault="00ED53E0" w:rsidP="00E7737D">
            <w:pPr>
              <w:pStyle w:val="Tablecontent"/>
            </w:pPr>
            <w:r>
              <w:t xml:space="preserve">Using a day-to-day life analogy, you are healthy now, but have a risk of heart problems if you do not stop smoking, lack of sleep, unhealthy diet, and overweight. </w:t>
            </w:r>
          </w:p>
          <w:p w14:paraId="4F510CD0" w14:textId="77777777" w:rsidR="00ED53E0" w:rsidRDefault="00ED53E0" w:rsidP="00E7737D">
            <w:pPr>
              <w:pStyle w:val="Tablecontent"/>
            </w:pPr>
            <w:r>
              <w:t>There are 3 problems that create risk in operations:</w:t>
            </w:r>
          </w:p>
          <w:p w14:paraId="736571A8" w14:textId="77777777" w:rsidR="00ED53E0" w:rsidRPr="00FC5E60" w:rsidRDefault="00ED53E0" w:rsidP="00E7737D">
            <w:pPr>
              <w:pStyle w:val="Bullet"/>
            </w:pPr>
            <w:r w:rsidRPr="00FC5E60">
              <w:t>Compliance</w:t>
            </w:r>
          </w:p>
          <w:p w14:paraId="15C64207" w14:textId="77777777" w:rsidR="00ED53E0" w:rsidRPr="00FC5E60" w:rsidRDefault="00ED53E0" w:rsidP="00E7737D">
            <w:pPr>
              <w:pStyle w:val="Bullet"/>
            </w:pPr>
            <w:r w:rsidRPr="00FC5E60">
              <w:t>Configuration</w:t>
            </w:r>
          </w:p>
          <w:p w14:paraId="71DFD417" w14:textId="77777777" w:rsidR="00ED53E0" w:rsidRPr="00FC5E60" w:rsidRDefault="00ED53E0" w:rsidP="00E7737D">
            <w:pPr>
              <w:pStyle w:val="Bullet"/>
            </w:pPr>
            <w:r w:rsidRPr="00FC5E60">
              <w:t>Capacity</w:t>
            </w:r>
          </w:p>
          <w:p w14:paraId="32D8767C" w14:textId="5769D9C7" w:rsidR="00ED53E0" w:rsidRDefault="00ED53E0" w:rsidP="00E7737D">
            <w:pPr>
              <w:pStyle w:val="Tablecontent"/>
            </w:pPr>
            <w:r>
              <w:t xml:space="preserve">In all the above problems, Health is not impacted as </w:t>
            </w:r>
            <w:r w:rsidR="00F4106F">
              <w:t>there is neither slowness or downtime</w:t>
            </w:r>
            <w:r>
              <w:t>. What you have is a risk, as your applications and operations continue as if nothing happens. Your customers may not notice, and your business is not affected.</w:t>
            </w:r>
          </w:p>
          <w:p w14:paraId="35463DE7" w14:textId="77777777" w:rsidR="00ED53E0" w:rsidRDefault="00ED53E0" w:rsidP="00E7737D">
            <w:pPr>
              <w:pStyle w:val="Tablecontent"/>
            </w:pPr>
            <w:r>
              <w:t>Let’s take an example. You do not configure HA in a vSphere cluster. If all ESXi hosts are running, your availability is 100%. Your performance is also not impacted. However, you have a risk.</w:t>
            </w:r>
          </w:p>
        </w:tc>
      </w:tr>
      <w:tr w:rsidR="00ED53E0" w14:paraId="6E61E86E" w14:textId="77777777" w:rsidTr="00E7737D">
        <w:tc>
          <w:tcPr>
            <w:tcW w:w="1843" w:type="dxa"/>
            <w:shd w:val="clear" w:color="auto" w:fill="F2F2F2" w:themeFill="background1" w:themeFillShade="F2"/>
          </w:tcPr>
          <w:p w14:paraId="3624C7F9" w14:textId="77777777" w:rsidR="00ED53E0" w:rsidRDefault="00ED53E0" w:rsidP="00E7737D">
            <w:pPr>
              <w:pStyle w:val="Tablecontent"/>
              <w:rPr>
                <w:b/>
                <w:bCs/>
              </w:rPr>
            </w:pPr>
            <w:r>
              <w:rPr>
                <w:b/>
                <w:bCs/>
              </w:rPr>
              <w:t>Optimization</w:t>
            </w:r>
          </w:p>
        </w:tc>
        <w:tc>
          <w:tcPr>
            <w:tcW w:w="8613" w:type="dxa"/>
          </w:tcPr>
          <w:p w14:paraId="3C186B7B" w14:textId="77777777" w:rsidR="00ED53E0" w:rsidRDefault="00ED53E0" w:rsidP="00E7737D">
            <w:pPr>
              <w:pStyle w:val="Tablecontent"/>
            </w:pPr>
            <w:r>
              <w:t xml:space="preserve">Efficiency is optimization. There is no health problem at present, nor there is a health risk for future problem. </w:t>
            </w:r>
          </w:p>
          <w:p w14:paraId="0FE0273A" w14:textId="77777777" w:rsidR="00ED53E0" w:rsidRDefault="00ED53E0" w:rsidP="00E7737D">
            <w:pPr>
              <w:pStyle w:val="Tablecontent"/>
            </w:pPr>
            <w:r>
              <w:t xml:space="preserve">You want to optimize your health as it lowers cost and improve performance. </w:t>
            </w:r>
          </w:p>
          <w:p w14:paraId="254D91DF" w14:textId="77777777" w:rsidR="00ED53E0" w:rsidRDefault="00ED53E0" w:rsidP="00E7737D">
            <w:pPr>
              <w:pStyle w:val="Tablecontent"/>
            </w:pPr>
            <w:r>
              <w:t>Hardware refresh is one common way to increase efficiency as you often get faster performance and more capacity at the same price point.</w:t>
            </w:r>
          </w:p>
          <w:p w14:paraId="2BE1DB86" w14:textId="77777777" w:rsidR="00ED53E0" w:rsidRDefault="00ED53E0" w:rsidP="00E7737D">
            <w:pPr>
              <w:pStyle w:val="Tablecontent"/>
            </w:pPr>
            <w:r>
              <w:lastRenderedPageBreak/>
              <w:t>Wastage (oversized, unused EC2, idle, unmapped disk space, orphaned file, etc.)</w:t>
            </w:r>
          </w:p>
          <w:p w14:paraId="12AF7069" w14:textId="77777777" w:rsidR="00ED53E0" w:rsidRDefault="00ED53E0" w:rsidP="00E7737D">
            <w:pPr>
              <w:pStyle w:val="Tablecontent"/>
            </w:pPr>
            <w:r>
              <w:t>Cost. Compare your cost with other cloud providers as IaaS is essentially a commodity.</w:t>
            </w:r>
          </w:p>
          <w:p w14:paraId="6F781F9E" w14:textId="77777777" w:rsidR="00ED53E0" w:rsidRDefault="00ED53E0" w:rsidP="00E7737D">
            <w:pPr>
              <w:pStyle w:val="Tablecontent"/>
            </w:pPr>
            <w:r w:rsidRPr="0022569A">
              <w:rPr>
                <w:color w:val="00B050"/>
              </w:rPr>
              <w:t>Green</w:t>
            </w:r>
            <w:r>
              <w:t xml:space="preserve"> Operations fits efficiency as sustainable operations calls for lean operations.</w:t>
            </w:r>
          </w:p>
        </w:tc>
      </w:tr>
    </w:tbl>
    <w:p w14:paraId="3D1EC3DD" w14:textId="77777777" w:rsidR="00ED53E0" w:rsidRDefault="00ED53E0" w:rsidP="00ED53E0">
      <w:r>
        <w:lastRenderedPageBreak/>
        <w:t>As you can see from above, different roles are interested in different badge.</w:t>
      </w:r>
    </w:p>
    <w:p w14:paraId="604CD185" w14:textId="77777777" w:rsidR="00ED53E0" w:rsidRDefault="00ED53E0" w:rsidP="00ED53E0">
      <w:pPr>
        <w:pStyle w:val="Bullet"/>
      </w:pPr>
      <w:r>
        <w:t>Day to Day Operations persona cares about Health.</w:t>
      </w:r>
    </w:p>
    <w:p w14:paraId="7E0ECC28" w14:textId="77777777" w:rsidR="00ED53E0" w:rsidRDefault="00ED53E0" w:rsidP="00ED53E0">
      <w:pPr>
        <w:pStyle w:val="Bullet"/>
      </w:pPr>
      <w:r>
        <w:t>Capacity persona cares about Risk and Efficiency</w:t>
      </w:r>
    </w:p>
    <w:p w14:paraId="18BB0981" w14:textId="77777777" w:rsidR="00ED53E0" w:rsidRDefault="00ED53E0" w:rsidP="00ED53E0">
      <w:pPr>
        <w:pStyle w:val="Bullet"/>
      </w:pPr>
      <w:r>
        <w:t>Cost persona cares about Efficiency</w:t>
      </w:r>
    </w:p>
    <w:p w14:paraId="5A684DCA" w14:textId="77777777" w:rsidR="00ED53E0" w:rsidRDefault="00ED53E0" w:rsidP="00ED53E0">
      <w:pPr>
        <w:pStyle w:val="Bullet"/>
      </w:pPr>
      <w:r>
        <w:t>Compliance persona cares about Risk</w:t>
      </w:r>
    </w:p>
    <w:p w14:paraId="6E7D1380" w14:textId="77777777" w:rsidR="00ED53E0" w:rsidRDefault="00ED53E0" w:rsidP="00ED53E0">
      <w:pPr>
        <w:pStyle w:val="Heading4"/>
      </w:pPr>
      <w:r>
        <w:t>Present Implementation</w:t>
      </w:r>
    </w:p>
    <w:p w14:paraId="4F61FC87" w14:textId="77777777" w:rsidR="00ED53E0" w:rsidRDefault="00ED53E0" w:rsidP="00ED53E0">
      <w:pPr>
        <w:rPr>
          <w:lang w:val="en-GB"/>
        </w:rPr>
      </w:pPr>
      <w:r>
        <w:rPr>
          <w:lang w:val="en-GB"/>
        </w:rPr>
        <w:t xml:space="preserve">In the present implementation of vRealize Operations, these 3 badges are defined by their respective alerts. It’s based on Health, Risk, </w:t>
      </w:r>
      <w:r w:rsidRPr="00316CA3">
        <w:rPr>
          <w:lang w:val="en-GB"/>
        </w:rPr>
        <w:t>Efficiency category</w:t>
      </w:r>
      <w:r>
        <w:rPr>
          <w:lang w:val="en-GB"/>
        </w:rPr>
        <w:t>.</w:t>
      </w:r>
    </w:p>
    <w:p w14:paraId="7D219796" w14:textId="77777777" w:rsidR="00ED53E0" w:rsidRDefault="00ED53E0" w:rsidP="00ED53E0">
      <w:pPr>
        <w:rPr>
          <w:lang w:val="en-GB"/>
        </w:rPr>
      </w:pPr>
      <w:r w:rsidRPr="00316CA3">
        <w:rPr>
          <w:lang w:val="en-GB"/>
        </w:rPr>
        <w:t xml:space="preserve">The score </w:t>
      </w:r>
      <w:r>
        <w:rPr>
          <w:lang w:val="en-GB"/>
        </w:rPr>
        <w:t xml:space="preserve">is hardcoded. </w:t>
      </w:r>
      <w:r w:rsidRPr="0022569A">
        <w:rPr>
          <w:color w:val="00B050"/>
          <w:lang w:val="en-GB"/>
        </w:rPr>
        <w:t>Green</w:t>
      </w:r>
      <w:r w:rsidRPr="00316CA3">
        <w:rPr>
          <w:lang w:val="en-GB"/>
        </w:rPr>
        <w:t xml:space="preserve"> </w:t>
      </w:r>
      <w:r>
        <w:rPr>
          <w:lang w:val="en-GB"/>
        </w:rPr>
        <w:t>=</w:t>
      </w:r>
      <w:r w:rsidRPr="00316CA3">
        <w:rPr>
          <w:lang w:val="en-GB"/>
        </w:rPr>
        <w:t xml:space="preserve"> 100, </w:t>
      </w:r>
      <w:r w:rsidRPr="00CF7D2C">
        <w:rPr>
          <w:color w:val="FFFF00"/>
          <w:lang w:val="en-GB"/>
        </w:rPr>
        <w:t>Yellow</w:t>
      </w:r>
      <w:r w:rsidRPr="00316CA3">
        <w:rPr>
          <w:lang w:val="en-GB"/>
        </w:rPr>
        <w:t xml:space="preserve"> </w:t>
      </w:r>
      <w:r>
        <w:rPr>
          <w:lang w:val="en-GB"/>
        </w:rPr>
        <w:t>=</w:t>
      </w:r>
      <w:r w:rsidRPr="00316CA3">
        <w:rPr>
          <w:lang w:val="en-GB"/>
        </w:rPr>
        <w:t xml:space="preserve"> 75, </w:t>
      </w:r>
      <w:r w:rsidRPr="00CF7D2C">
        <w:rPr>
          <w:color w:val="ED7D31" w:themeColor="accent2"/>
          <w:lang w:val="en-GB"/>
        </w:rPr>
        <w:t>Orange</w:t>
      </w:r>
      <w:r w:rsidRPr="00316CA3">
        <w:rPr>
          <w:lang w:val="en-GB"/>
        </w:rPr>
        <w:t xml:space="preserve"> </w:t>
      </w:r>
      <w:r>
        <w:rPr>
          <w:lang w:val="en-GB"/>
        </w:rPr>
        <w:t>=</w:t>
      </w:r>
      <w:r w:rsidRPr="00316CA3">
        <w:rPr>
          <w:lang w:val="en-GB"/>
        </w:rPr>
        <w:t xml:space="preserve"> 50, </w:t>
      </w:r>
      <w:r w:rsidRPr="00CF7D2C">
        <w:rPr>
          <w:color w:val="FF0000"/>
          <w:lang w:val="en-GB"/>
        </w:rPr>
        <w:t>Red</w:t>
      </w:r>
      <w:r w:rsidRPr="00316CA3">
        <w:rPr>
          <w:lang w:val="en-GB"/>
        </w:rPr>
        <w:t xml:space="preserve"> </w:t>
      </w:r>
      <w:r>
        <w:rPr>
          <w:lang w:val="en-GB"/>
        </w:rPr>
        <w:t>=</w:t>
      </w:r>
      <w:r w:rsidRPr="00316CA3">
        <w:rPr>
          <w:lang w:val="en-GB"/>
        </w:rPr>
        <w:t xml:space="preserve"> 25, Unknown: -1. </w:t>
      </w:r>
    </w:p>
    <w:p w14:paraId="0CC15FD0" w14:textId="77777777" w:rsidR="00ED53E0" w:rsidRDefault="00ED53E0" w:rsidP="00ED53E0">
      <w:pPr>
        <w:rPr>
          <w:lang w:val="en-GB"/>
        </w:rPr>
      </w:pPr>
      <w:r>
        <w:rPr>
          <w:lang w:val="en-GB"/>
        </w:rPr>
        <w:t>That means there is no value below 25, and the range is not 0 – 100%</w:t>
      </w:r>
    </w:p>
    <w:p w14:paraId="71856E06" w14:textId="77777777" w:rsidR="00ED53E0" w:rsidRDefault="00ED53E0" w:rsidP="00ED53E0">
      <w:pPr>
        <w:pStyle w:val="Tablecontent"/>
        <w:tabs>
          <w:tab w:val="center" w:pos="2939"/>
        </w:tabs>
        <w:rPr>
          <w:rStyle w:val="Hyperlink"/>
        </w:rPr>
      </w:pPr>
    </w:p>
    <w:p w14:paraId="26DAD69D" w14:textId="77777777" w:rsidR="00ED53E0" w:rsidRDefault="00ED53E0" w:rsidP="00ED53E0">
      <w:pPr>
        <w:keepLines w:val="0"/>
        <w:suppressAutoHyphens w:val="0"/>
        <w:spacing w:before="0" w:after="160"/>
        <w:rPr>
          <w:rStyle w:val="Hyperlink"/>
          <w:rFonts w:eastAsiaTheme="minorEastAsia"/>
          <w:lang w:val="en-US" w:eastAsia="zh-CN"/>
        </w:rPr>
      </w:pPr>
      <w:r>
        <w:rPr>
          <w:rStyle w:val="Hyperlink"/>
        </w:rPr>
        <w:br w:type="page"/>
      </w:r>
    </w:p>
    <w:p w14:paraId="34681762" w14:textId="77777777" w:rsidR="00ED53E0" w:rsidRDefault="00ED53E0" w:rsidP="00ED53E0">
      <w:pPr>
        <w:pStyle w:val="BlankPage"/>
      </w:pPr>
    </w:p>
    <w:p w14:paraId="1855D5FB" w14:textId="77777777" w:rsidR="00ED53E0" w:rsidRPr="00CD61F7" w:rsidRDefault="00ED53E0" w:rsidP="00ED53E0">
      <w:pPr>
        <w:pStyle w:val="BlankPage"/>
      </w:pPr>
      <w:r w:rsidRPr="00796465">
        <w:t>END OF PART 2</w:t>
      </w:r>
      <w:r w:rsidRPr="00796465">
        <w:br/>
      </w:r>
      <w:r w:rsidRPr="00351356">
        <w:t xml:space="preserve">Okay… now that the </w:t>
      </w:r>
      <w:r>
        <w:t>counters</w:t>
      </w:r>
      <w:r w:rsidRPr="00351356">
        <w:t xml:space="preserve"> make sense to you, </w:t>
      </w:r>
      <w:r>
        <w:t>l</w:t>
      </w:r>
      <w:r w:rsidRPr="00351356">
        <w:t xml:space="preserve">et’s dive </w:t>
      </w:r>
      <w:r>
        <w:t>into how to consume them.</w:t>
      </w:r>
    </w:p>
    <w:p w14:paraId="222EB8D2" w14:textId="1DE1B02F" w:rsidR="00487E8C" w:rsidRDefault="00487E8C" w:rsidP="00487E8C">
      <w:pPr>
        <w:pStyle w:val="Heading3"/>
      </w:pPr>
      <w:r>
        <w:t>Performance Metrics</w:t>
      </w:r>
    </w:p>
    <w:p w14:paraId="7630C5C6" w14:textId="24BD8B4F" w:rsidR="00487E8C" w:rsidRPr="00487E8C" w:rsidRDefault="00A04B1E" w:rsidP="00487E8C">
      <w:pPr>
        <w:rPr>
          <w:lang w:val="en-GB"/>
        </w:rPr>
      </w:pPr>
      <w:r>
        <w:rPr>
          <w:lang w:val="en-GB"/>
        </w:rPr>
        <w:t xml:space="preserve">Can </w:t>
      </w:r>
      <w:r w:rsidR="00487E8C">
        <w:rPr>
          <w:lang w:val="en-GB"/>
        </w:rPr>
        <w:t>performance</w:t>
      </w:r>
      <w:r>
        <w:rPr>
          <w:lang w:val="en-GB"/>
        </w:rPr>
        <w:t xml:space="preserve"> of a complex system be quantified?</w:t>
      </w:r>
    </w:p>
    <w:p w14:paraId="757510B9" w14:textId="02EFE95A" w:rsidR="00487E8C" w:rsidRDefault="00A04B1E" w:rsidP="00487E8C">
      <w:pPr>
        <w:rPr>
          <w:lang w:val="en-GB"/>
        </w:rPr>
      </w:pPr>
      <w:r>
        <w:rPr>
          <w:lang w:val="en-GB"/>
        </w:rPr>
        <w:t>For example, w</w:t>
      </w:r>
      <w:r w:rsidR="00487E8C">
        <w:rPr>
          <w:lang w:val="en-GB"/>
        </w:rPr>
        <w:t xml:space="preserve">hat is </w:t>
      </w:r>
      <w:r>
        <w:rPr>
          <w:lang w:val="en-GB"/>
        </w:rPr>
        <w:t xml:space="preserve">the </w:t>
      </w:r>
      <w:r w:rsidR="00487E8C">
        <w:rPr>
          <w:lang w:val="en-GB"/>
        </w:rPr>
        <w:t xml:space="preserve">performance of </w:t>
      </w:r>
      <w:r>
        <w:rPr>
          <w:lang w:val="en-GB"/>
        </w:rPr>
        <w:t>vSphere</w:t>
      </w:r>
      <w:r w:rsidR="00487E8C">
        <w:rPr>
          <w:lang w:val="en-GB"/>
        </w:rPr>
        <w:t xml:space="preserve">? How to define the performance of a large system such as NSX, Horizon </w:t>
      </w:r>
      <w:r w:rsidR="00E356F5">
        <w:rPr>
          <w:lang w:val="en-GB"/>
        </w:rPr>
        <w:t>or</w:t>
      </w:r>
      <w:r w:rsidR="00487E8C">
        <w:rPr>
          <w:lang w:val="en-GB"/>
        </w:rPr>
        <w:t xml:space="preserve"> Kubernetes? Quantifying something complex with many components is difficult. It’s like trying to figure out the inflation rate of a country. It’s impossible to have the </w:t>
      </w:r>
      <w:hyperlink r:id="rId253" w:history="1">
        <w:r w:rsidR="00487E8C" w:rsidRPr="00A31ACD">
          <w:rPr>
            <w:rStyle w:val="Hyperlink"/>
            <w:lang w:val="en-GB"/>
          </w:rPr>
          <w:t>Consumer Price Index</w:t>
        </w:r>
      </w:hyperlink>
      <w:r w:rsidR="00487E8C">
        <w:rPr>
          <w:lang w:val="en-GB"/>
        </w:rPr>
        <w:t xml:space="preserve"> that properly represents the economy as different individuals have different basket of goods. Even if we could develop the basket for each individual, that basket changes each year, rendering comparison with previous year invalid.</w:t>
      </w:r>
    </w:p>
    <w:p w14:paraId="078B3947" w14:textId="4AE2F631" w:rsidR="00E356F5" w:rsidRDefault="00E356F5" w:rsidP="00487E8C">
      <w:pPr>
        <w:rPr>
          <w:lang w:val="en-GB"/>
        </w:rPr>
      </w:pPr>
      <w:r>
        <w:rPr>
          <w:lang w:val="en-GB"/>
        </w:rPr>
        <w:t xml:space="preserve">However, a country needs the number in order to manage </w:t>
      </w:r>
      <w:r w:rsidR="007450F1">
        <w:rPr>
          <w:lang w:val="en-GB"/>
        </w:rPr>
        <w:t>its</w:t>
      </w:r>
      <w:r>
        <w:rPr>
          <w:lang w:val="en-GB"/>
        </w:rPr>
        <w:t xml:space="preserve"> economy. </w:t>
      </w:r>
    </w:p>
    <w:p w14:paraId="1B4DC4ED" w14:textId="1AE7E148" w:rsidR="00487E8C" w:rsidRDefault="00487E8C" w:rsidP="00487E8C">
      <w:pPr>
        <w:rPr>
          <w:lang w:val="en-GB"/>
        </w:rPr>
      </w:pPr>
      <w:r>
        <w:rPr>
          <w:lang w:val="en-GB"/>
        </w:rPr>
        <w:t>After years of trials and improvements</w:t>
      </w:r>
      <w:r w:rsidR="007450F1">
        <w:rPr>
          <w:lang w:val="en-GB"/>
        </w:rPr>
        <w:t xml:space="preserve"> on the model</w:t>
      </w:r>
      <w:r>
        <w:rPr>
          <w:lang w:val="en-GB"/>
        </w:rPr>
        <w:t xml:space="preserve">, I’m happy to share that we can define </w:t>
      </w:r>
      <w:r w:rsidR="00E356F5">
        <w:rPr>
          <w:lang w:val="en-GB"/>
        </w:rPr>
        <w:t xml:space="preserve">system </w:t>
      </w:r>
      <w:r>
        <w:rPr>
          <w:lang w:val="en-GB"/>
        </w:rPr>
        <w:t>performance as a metric. This means you can have the performance metric for any object, such as vSphere Cluster Performance (%) and Kubernetes Node Performance (%).</w:t>
      </w:r>
    </w:p>
    <w:p w14:paraId="11888161" w14:textId="77777777" w:rsidR="00487E8C" w:rsidRDefault="00487E8C" w:rsidP="00487E8C">
      <w:pPr>
        <w:rPr>
          <w:lang w:val="en-GB"/>
        </w:rPr>
      </w:pPr>
      <w:r>
        <w:rPr>
          <w:lang w:val="en-GB"/>
        </w:rPr>
        <w:t>For ease of use, we will simply call it Performance (%) instead of KPI.</w:t>
      </w:r>
    </w:p>
    <w:p w14:paraId="3CD83271" w14:textId="77777777" w:rsidR="00487E8C" w:rsidRDefault="00487E8C" w:rsidP="00487E8C">
      <w:pPr>
        <w:pStyle w:val="Heading4"/>
      </w:pPr>
      <w:bookmarkStart w:id="66" w:name="_VM_KPI_(%)"/>
      <w:bookmarkEnd w:id="66"/>
      <w:r>
        <w:lastRenderedPageBreak/>
        <w:t>Calculation</w:t>
      </w:r>
    </w:p>
    <w:p w14:paraId="4D13E879" w14:textId="77777777" w:rsidR="00487E8C" w:rsidRDefault="00487E8C" w:rsidP="00487E8C">
      <w:r>
        <w:rPr>
          <w:lang w:val="en-GB"/>
        </w:rPr>
        <w:t xml:space="preserve">Performance </w:t>
      </w:r>
      <w:r>
        <w:t xml:space="preserve">is defined as 0 – 100%, where 100% means best possible performance. 0% means it’s at your worst expectation, not the absolute slowest possible. For example, if you expect 40 ms as the least you can tolerate, then the value will turn to 0% when disk latency hits 40 ms. </w:t>
      </w:r>
    </w:p>
    <w:p w14:paraId="0FCA587B" w14:textId="48584C4F" w:rsidR="00487E8C" w:rsidRDefault="00487E8C" w:rsidP="00487E8C">
      <w:r>
        <w:t xml:space="preserve">We use 4 colors, so we can divide 100% into 4 equal parts. So </w:t>
      </w:r>
      <w:r w:rsidR="0022569A" w:rsidRPr="0022569A">
        <w:rPr>
          <w:color w:val="00B050"/>
        </w:rPr>
        <w:t>Green</w:t>
      </w:r>
      <w:r>
        <w:t xml:space="preserve"> is simply 75% - 100% and </w:t>
      </w:r>
      <w:r w:rsidR="00CF7D2C" w:rsidRPr="00CF7D2C">
        <w:rPr>
          <w:color w:val="FF0000"/>
        </w:rPr>
        <w:t>Red</w:t>
      </w:r>
      <w:r>
        <w:t xml:space="preserve"> is simply 0% - 25%. This is more natural than dividing into 3, where you end up with odd numbers such as 33.33% and 66.67%. </w:t>
      </w:r>
    </w:p>
    <w:p w14:paraId="60B11716" w14:textId="602ACE7C" w:rsidR="00487E8C" w:rsidRDefault="00487E8C" w:rsidP="00487E8C">
      <w:r>
        <w:t xml:space="preserve">The other advantage is it gives you leading indicator (shown as </w:t>
      </w:r>
      <w:r w:rsidR="000F35C5" w:rsidRPr="009322C0">
        <w:rPr>
          <w:color w:val="000000" w:themeColor="text1"/>
          <w14:textFill>
            <w14:gradFill>
              <w14:gsLst>
                <w14:gs w14:pos="0">
                  <w14:schemeClr w14:val="tx1"/>
                </w14:gs>
                <w14:gs w14:pos="100000">
                  <w14:srgbClr w14:val="FFFF00"/>
                </w14:gs>
              </w14:gsLst>
              <w14:lin w14:ang="16200000" w14:scaled="0"/>
            </w14:gradFill>
          </w14:textFill>
        </w:rPr>
        <w:t>yellow</w:t>
      </w:r>
      <w:r>
        <w:t xml:space="preserve">). </w:t>
      </w:r>
    </w:p>
    <w:p w14:paraId="04CF8DDF" w14:textId="77777777" w:rsidR="00487E8C" w:rsidRDefault="00487E8C" w:rsidP="00487E8C">
      <w:pPr>
        <w:jc w:val="center"/>
      </w:pPr>
      <w:r w:rsidRPr="00100776">
        <w:rPr>
          <w:noProof/>
          <w:lang w:val="en-GB"/>
        </w:rPr>
        <w:drawing>
          <wp:inline distT="0" distB="0" distL="0" distR="0" wp14:anchorId="6565D44E" wp14:editId="0E8EAF39">
            <wp:extent cx="3491934" cy="726365"/>
            <wp:effectExtent l="0" t="0" r="0" b="0"/>
            <wp:docPr id="58" name="Picture 58"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picture containing timeline&#10;&#10;Description automatically generated"/>
                    <pic:cNvPicPr/>
                  </pic:nvPicPr>
                  <pic:blipFill>
                    <a:blip r:embed="rId254"/>
                    <a:stretch>
                      <a:fillRect/>
                    </a:stretch>
                  </pic:blipFill>
                  <pic:spPr>
                    <a:xfrm>
                      <a:off x="0" y="0"/>
                      <a:ext cx="3516322" cy="731438"/>
                    </a:xfrm>
                    <a:prstGeom prst="rect">
                      <a:avLst/>
                    </a:prstGeom>
                  </pic:spPr>
                </pic:pic>
              </a:graphicData>
            </a:graphic>
          </wp:inline>
        </w:drawing>
      </w:r>
    </w:p>
    <w:p w14:paraId="2982668D" w14:textId="012E868A" w:rsidR="00487E8C" w:rsidRDefault="00487E8C" w:rsidP="00487E8C">
      <w:r>
        <w:t xml:space="preserve">Why don’t we make </w:t>
      </w:r>
      <w:r w:rsidR="0022569A" w:rsidRPr="0022569A">
        <w:rPr>
          <w:color w:val="00B050"/>
        </w:rPr>
        <w:t>green</w:t>
      </w:r>
      <w:r>
        <w:t xml:space="preserve"> 95% - 100%? 75% for </w:t>
      </w:r>
      <w:r w:rsidR="0022569A" w:rsidRPr="0022569A">
        <w:rPr>
          <w:color w:val="00B050"/>
        </w:rPr>
        <w:t>green</w:t>
      </w:r>
      <w:r>
        <w:t xml:space="preserve"> sounds rather bad or low. </w:t>
      </w:r>
    </w:p>
    <w:p w14:paraId="0AA4EE17" w14:textId="77777777" w:rsidR="00487E8C" w:rsidRDefault="00487E8C" w:rsidP="00487E8C">
      <w:r>
        <w:t xml:space="preserve">My answer is if you create an unequal distribution, some bands will have to be narrower than others. With uneven bands, you also need to be extra careful when defining the </w:t>
      </w:r>
      <w:r w:rsidRPr="005A0E26">
        <w:rPr>
          <w:color w:val="00B0F0"/>
        </w:rPr>
        <w:t xml:space="preserve">threshold </w:t>
      </w:r>
      <w:r>
        <w:t xml:space="preserve">for each metric that make up the KPI. I made the 4 bands equal, so the thresholds are easier to set. </w:t>
      </w:r>
    </w:p>
    <w:p w14:paraId="744EAB0A" w14:textId="5E3F669D" w:rsidR="00487E8C" w:rsidRDefault="00487E8C" w:rsidP="00487E8C">
      <w:r>
        <w:t xml:space="preserve">Making the threshold easy to set is critical. As you design your KPI, you will vrealize that the threshold is the hardest part. In fact, there are times where I drop a metric as I do not feel comfortable with the </w:t>
      </w:r>
      <w:r w:rsidR="00CF7D2C">
        <w:t>threshold</w:t>
      </w:r>
      <w:r>
        <w:t xml:space="preserve">. </w:t>
      </w:r>
    </w:p>
    <w:p w14:paraId="090491CD" w14:textId="6D5B65DB" w:rsidR="00487E8C" w:rsidRDefault="00487E8C" w:rsidP="00487E8C">
      <w:pPr>
        <w:rPr>
          <w:lang w:val="en-GB"/>
        </w:rPr>
      </w:pPr>
      <w:r>
        <w:rPr>
          <w:lang w:val="en-GB"/>
        </w:rPr>
        <w:t xml:space="preserve">The following KPI uses 4 metrics as its input. Each metric has a set of thresholds for </w:t>
      </w:r>
      <w:r w:rsidR="0022569A" w:rsidRPr="0022569A">
        <w:rPr>
          <w:color w:val="00B050"/>
          <w:lang w:val="en-GB"/>
        </w:rPr>
        <w:t>green</w:t>
      </w:r>
      <w:r>
        <w:rPr>
          <w:lang w:val="en-GB"/>
        </w:rPr>
        <w:t xml:space="preserve">, </w:t>
      </w:r>
      <w:r w:rsidR="000F35C5" w:rsidRPr="009322C0">
        <w:rPr>
          <w:color w:val="000000" w:themeColor="text1"/>
          <w14:textFill>
            <w14:gradFill>
              <w14:gsLst>
                <w14:gs w14:pos="0">
                  <w14:schemeClr w14:val="tx1"/>
                </w14:gs>
                <w14:gs w14:pos="100000">
                  <w14:srgbClr w14:val="FFFF00"/>
                </w14:gs>
              </w14:gsLst>
              <w14:lin w14:ang="16200000" w14:scaled="0"/>
            </w14:gradFill>
          </w14:textFill>
        </w:rPr>
        <w:t>yellow</w:t>
      </w:r>
      <w:r>
        <w:rPr>
          <w:lang w:val="en-GB"/>
        </w:rPr>
        <w:t xml:space="preserve">, </w:t>
      </w:r>
      <w:r w:rsidR="00CF7D2C" w:rsidRPr="00CF7D2C">
        <w:rPr>
          <w:color w:val="ED7D31" w:themeColor="accent2"/>
          <w:lang w:val="en-GB"/>
        </w:rPr>
        <w:t>orange</w:t>
      </w:r>
      <w:r>
        <w:rPr>
          <w:lang w:val="en-GB"/>
        </w:rPr>
        <w:t xml:space="preserve"> and </w:t>
      </w:r>
      <w:r w:rsidR="00CF7D2C" w:rsidRPr="00CF7D2C">
        <w:rPr>
          <w:color w:val="FF0000"/>
          <w:lang w:val="en-GB"/>
        </w:rPr>
        <w:t>red</w:t>
      </w:r>
      <w:r>
        <w:rPr>
          <w:lang w:val="en-GB"/>
        </w:rPr>
        <w:t>.</w:t>
      </w:r>
    </w:p>
    <w:p w14:paraId="0F5A1FFF" w14:textId="77777777" w:rsidR="00487E8C" w:rsidRDefault="00487E8C" w:rsidP="00487E8C">
      <w:pPr>
        <w:jc w:val="center"/>
        <w:rPr>
          <w:lang w:val="en-GB"/>
        </w:rPr>
      </w:pPr>
      <w:r>
        <w:rPr>
          <w:noProof/>
        </w:rPr>
        <w:drawing>
          <wp:inline distT="0" distB="0" distL="0" distR="0" wp14:anchorId="12E4CCFD" wp14:editId="6E98D0FC">
            <wp:extent cx="4932086" cy="2016088"/>
            <wp:effectExtent l="0" t="0" r="1905" b="3810"/>
            <wp:docPr id="10" name="Picture 1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8" descr="Diagram&#10;&#10;Description automatically generated"/>
                    <pic:cNvPicPr/>
                  </pic:nvPicPr>
                  <pic:blipFill>
                    <a:blip r:embed="rId255">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6AEFAD06-EA1F-4200-AEF7-205330D1CCD3}"/>
                        </a:ext>
                      </a:extLst>
                    </a:blip>
                    <a:stretch>
                      <a:fillRect/>
                    </a:stretch>
                  </pic:blipFill>
                  <pic:spPr>
                    <a:xfrm>
                      <a:off x="0" y="0"/>
                      <a:ext cx="4932086" cy="2016088"/>
                    </a:xfrm>
                    <a:prstGeom prst="rect">
                      <a:avLst/>
                    </a:prstGeom>
                  </pic:spPr>
                </pic:pic>
              </a:graphicData>
            </a:graphic>
          </wp:inline>
        </w:drawing>
      </w:r>
    </w:p>
    <w:p w14:paraId="0F8A27CC" w14:textId="7C57A05D" w:rsidR="00487E8C" w:rsidRDefault="00487E8C" w:rsidP="00487E8C">
      <w:pPr>
        <w:rPr>
          <w:lang w:val="en-GB"/>
        </w:rPr>
      </w:pPr>
      <w:r>
        <w:rPr>
          <w:lang w:val="en-GB"/>
        </w:rPr>
        <w:t xml:space="preserve">Now that we have the threshold for each metric, we can convert each metric into </w:t>
      </w:r>
      <w:r w:rsidR="0022569A" w:rsidRPr="0022569A">
        <w:rPr>
          <w:color w:val="00B050"/>
          <w:lang w:val="en-GB"/>
        </w:rPr>
        <w:t>Green</w:t>
      </w:r>
      <w:r>
        <w:rPr>
          <w:lang w:val="en-GB"/>
        </w:rPr>
        <w:t xml:space="preserve"> – </w:t>
      </w:r>
      <w:r w:rsidR="00CF7D2C" w:rsidRPr="00CF7D2C">
        <w:rPr>
          <w:color w:val="FF0000"/>
          <w:lang w:val="en-GB"/>
        </w:rPr>
        <w:t>Red</w:t>
      </w:r>
      <w:r>
        <w:rPr>
          <w:lang w:val="en-GB"/>
        </w:rPr>
        <w:t xml:space="preserve">. The model is also able to handle when the entire range is defined by a single number. This is useful when you want to define </w:t>
      </w:r>
      <w:r w:rsidR="0022569A" w:rsidRPr="0022569A">
        <w:rPr>
          <w:color w:val="00B050"/>
          <w:lang w:val="en-GB"/>
        </w:rPr>
        <w:t>green</w:t>
      </w:r>
      <w:r>
        <w:rPr>
          <w:lang w:val="en-GB"/>
        </w:rPr>
        <w:t xml:space="preserve"> = 0. That means a single packet loss will put the metric into the </w:t>
      </w:r>
      <w:r w:rsidR="000F35C5" w:rsidRPr="009322C0">
        <w:rPr>
          <w:color w:val="000000" w:themeColor="text1"/>
          <w14:textFill>
            <w14:gradFill>
              <w14:gsLst>
                <w14:gs w14:pos="0">
                  <w14:schemeClr w14:val="tx1"/>
                </w14:gs>
                <w14:gs w14:pos="100000">
                  <w14:srgbClr w14:val="FFFF00"/>
                </w14:gs>
              </w14:gsLst>
              <w14:lin w14:ang="16200000" w14:scaled="0"/>
            </w14:gradFill>
          </w14:textFill>
        </w:rPr>
        <w:t>yellow</w:t>
      </w:r>
      <w:r w:rsidR="000F35C5" w:rsidRPr="009322C0">
        <w:rPr>
          <w14:textFill>
            <w14:gradFill>
              <w14:gsLst>
                <w14:gs w14:pos="0">
                  <w14:schemeClr w14:val="tx1"/>
                </w14:gs>
                <w14:gs w14:pos="100000">
                  <w14:srgbClr w14:val="FFFF00"/>
                </w14:gs>
              </w14:gsLst>
              <w14:lin w14:ang="16200000" w14:scaled="0"/>
            </w14:gradFill>
          </w14:textFill>
        </w:rPr>
        <w:t xml:space="preserve"> </w:t>
      </w:r>
      <w:r>
        <w:rPr>
          <w:lang w:val="en-GB"/>
        </w:rPr>
        <w:t>range already.</w:t>
      </w:r>
    </w:p>
    <w:p w14:paraId="42256C64" w14:textId="3DAA760B" w:rsidR="00487E8C" w:rsidRDefault="00487E8C" w:rsidP="00487E8C">
      <w:pPr>
        <w:rPr>
          <w:lang w:val="en-GB"/>
        </w:rPr>
      </w:pPr>
      <w:r>
        <w:rPr>
          <w:lang w:val="en-GB"/>
        </w:rPr>
        <w:t xml:space="preserve">What if anything above 0 is </w:t>
      </w:r>
      <w:r w:rsidR="00CF7D2C" w:rsidRPr="00CF7D2C">
        <w:rPr>
          <w:color w:val="FF0000"/>
          <w:lang w:val="en-GB"/>
        </w:rPr>
        <w:t>red</w:t>
      </w:r>
      <w:r>
        <w:rPr>
          <w:lang w:val="en-GB"/>
        </w:rPr>
        <w:t xml:space="preserve">? </w:t>
      </w:r>
    </w:p>
    <w:p w14:paraId="30BC0368" w14:textId="76C9947B" w:rsidR="00487E8C" w:rsidRDefault="00487E8C" w:rsidP="00487E8C">
      <w:pPr>
        <w:rPr>
          <w:lang w:val="en-GB"/>
        </w:rPr>
      </w:pPr>
      <w:r>
        <w:rPr>
          <w:lang w:val="en-GB"/>
        </w:rPr>
        <w:t xml:space="preserve">You simply set 0 for </w:t>
      </w:r>
      <w:r w:rsidR="0022569A" w:rsidRPr="0022569A">
        <w:rPr>
          <w:color w:val="00B050"/>
          <w:lang w:val="en-GB"/>
        </w:rPr>
        <w:t>green</w:t>
      </w:r>
      <w:r>
        <w:rPr>
          <w:lang w:val="en-GB"/>
        </w:rPr>
        <w:t xml:space="preserve">, </w:t>
      </w:r>
      <w:r w:rsidR="000F35C5" w:rsidRPr="009322C0">
        <w:rPr>
          <w:color w:val="000000" w:themeColor="text1"/>
          <w14:textFill>
            <w14:gradFill>
              <w14:gsLst>
                <w14:gs w14:pos="0">
                  <w14:schemeClr w14:val="tx1"/>
                </w14:gs>
                <w14:gs w14:pos="100000">
                  <w14:srgbClr w14:val="FFFF00"/>
                </w14:gs>
              </w14:gsLst>
              <w14:lin w14:ang="16200000" w14:scaled="0"/>
            </w14:gradFill>
          </w14:textFill>
        </w:rPr>
        <w:t>yellow</w:t>
      </w:r>
      <w:r w:rsidR="000F35C5" w:rsidRPr="009322C0">
        <w:rPr>
          <w14:textFill>
            <w14:gradFill>
              <w14:gsLst>
                <w14:gs w14:pos="0">
                  <w14:schemeClr w14:val="tx1"/>
                </w14:gs>
                <w14:gs w14:pos="100000">
                  <w14:srgbClr w14:val="FFFF00"/>
                </w14:gs>
              </w14:gsLst>
              <w14:lin w14:ang="16200000" w14:scaled="0"/>
            </w14:gradFill>
          </w14:textFill>
        </w:rPr>
        <w:t xml:space="preserve"> </w:t>
      </w:r>
      <w:r>
        <w:rPr>
          <w:lang w:val="en-GB"/>
        </w:rPr>
        <w:t xml:space="preserve">and </w:t>
      </w:r>
      <w:r w:rsidR="00CF7D2C" w:rsidRPr="00CF7D2C">
        <w:rPr>
          <w:color w:val="ED7D31" w:themeColor="accent2"/>
          <w:lang w:val="en-GB"/>
        </w:rPr>
        <w:t>orange</w:t>
      </w:r>
      <w:r>
        <w:rPr>
          <w:lang w:val="en-GB"/>
        </w:rPr>
        <w:t xml:space="preserve">. Within the </w:t>
      </w:r>
      <w:r w:rsidR="00CF7D2C" w:rsidRPr="00CF7D2C">
        <w:rPr>
          <w:color w:val="FF0000"/>
          <w:lang w:val="en-GB"/>
        </w:rPr>
        <w:t>red</w:t>
      </w:r>
      <w:r>
        <w:rPr>
          <w:lang w:val="en-GB"/>
        </w:rPr>
        <w:t xml:space="preserve"> zone, you can set 0 – </w:t>
      </w:r>
      <w:r w:rsidR="0075476C">
        <w:rPr>
          <w:lang w:val="en-GB"/>
        </w:rPr>
        <w:t>1</w:t>
      </w:r>
      <w:r>
        <w:rPr>
          <w:lang w:val="en-GB"/>
        </w:rPr>
        <w:t>, or 0 to something.</w:t>
      </w:r>
    </w:p>
    <w:p w14:paraId="37DB86C5" w14:textId="77777777" w:rsidR="00487E8C" w:rsidRDefault="00487E8C" w:rsidP="00487E8C">
      <w:pPr>
        <w:pStyle w:val="Heading5"/>
      </w:pPr>
      <w:r>
        <w:t>Translation</w:t>
      </w:r>
    </w:p>
    <w:p w14:paraId="7BCE132C" w14:textId="77777777" w:rsidR="00487E8C" w:rsidRDefault="00487E8C" w:rsidP="00487E8C">
      <w:pPr>
        <w:rPr>
          <w:lang w:val="en-GB"/>
        </w:rPr>
      </w:pPr>
      <w:r>
        <w:rPr>
          <w:lang w:val="en-GB"/>
        </w:rPr>
        <w:t xml:space="preserve">How do we translate a row? </w:t>
      </w:r>
    </w:p>
    <w:p w14:paraId="2BC2767F" w14:textId="77777777" w:rsidR="00487E8C" w:rsidRDefault="00487E8C" w:rsidP="00487E8C">
      <w:pPr>
        <w:rPr>
          <w:lang w:val="en-GB"/>
        </w:rPr>
      </w:pPr>
      <w:r>
        <w:rPr>
          <w:lang w:val="en-GB"/>
        </w:rPr>
        <w:lastRenderedPageBreak/>
        <w:t>Let’s use an example. Take the Disk Latency (%) metric. It has range from 0 to 40 ms, which maps into the 0 – 100% using the following mapping table.</w:t>
      </w:r>
    </w:p>
    <w:p w14:paraId="5E48B52F" w14:textId="77777777" w:rsidR="00487E8C" w:rsidRDefault="00487E8C" w:rsidP="00487E8C">
      <w:pPr>
        <w:jc w:val="center"/>
        <w:rPr>
          <w:lang w:val="en-GB"/>
        </w:rPr>
      </w:pPr>
      <w:r>
        <w:rPr>
          <w:noProof/>
        </w:rPr>
        <w:drawing>
          <wp:inline distT="0" distB="0" distL="0" distR="0" wp14:anchorId="779653E5" wp14:editId="5D1D7E3D">
            <wp:extent cx="2928569" cy="2614246"/>
            <wp:effectExtent l="0" t="0" r="5715" b="0"/>
            <wp:docPr id="12" name="Picture 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descr="Table&#10;&#10;Description automatically generated"/>
                    <pic:cNvPicPr/>
                  </pic:nvPicPr>
                  <pic:blipFill>
                    <a:blip r:embed="rId256">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91DB3E00-22EE-43DE-8666-C1ABDD69EAB3}"/>
                        </a:ext>
                      </a:extLst>
                    </a:blip>
                    <a:stretch>
                      <a:fillRect/>
                    </a:stretch>
                  </pic:blipFill>
                  <pic:spPr>
                    <a:xfrm>
                      <a:off x="0" y="0"/>
                      <a:ext cx="2928569" cy="2614246"/>
                    </a:xfrm>
                    <a:prstGeom prst="rect">
                      <a:avLst/>
                    </a:prstGeom>
                  </pic:spPr>
                </pic:pic>
              </a:graphicData>
            </a:graphic>
          </wp:inline>
        </w:drawing>
      </w:r>
    </w:p>
    <w:p w14:paraId="265BBE1E" w14:textId="77777777" w:rsidR="00487E8C" w:rsidRDefault="00487E8C" w:rsidP="00487E8C">
      <w:pPr>
        <w:rPr>
          <w:lang w:val="en-GB"/>
        </w:rPr>
      </w:pPr>
      <w:r>
        <w:rPr>
          <w:lang w:val="en-GB"/>
        </w:rPr>
        <w:t>With the above mapping, we can be precise in assigning the value. For examples:</w:t>
      </w:r>
    </w:p>
    <w:p w14:paraId="289949E9" w14:textId="61955821" w:rsidR="00487E8C" w:rsidRPr="00AF7A85" w:rsidRDefault="00487E8C" w:rsidP="00487E8C">
      <w:pPr>
        <w:pStyle w:val="Bullet"/>
      </w:pPr>
      <w:r>
        <w:rPr>
          <w:lang w:val="en-GB"/>
        </w:rPr>
        <w:t xml:space="preserve">9 </w:t>
      </w:r>
      <w:r w:rsidRPr="00AF7A85">
        <w:t xml:space="preserve">millisecond disk latency translates into KPI value of 77.5%, which is </w:t>
      </w:r>
      <w:r w:rsidR="0022569A" w:rsidRPr="0022569A">
        <w:rPr>
          <w:color w:val="00B050"/>
        </w:rPr>
        <w:t>green</w:t>
      </w:r>
      <w:r w:rsidRPr="00AF7A85">
        <w:t xml:space="preserve">. The reason is </w:t>
      </w:r>
      <w:r w:rsidR="0022569A" w:rsidRPr="0022569A">
        <w:rPr>
          <w:color w:val="00B050"/>
        </w:rPr>
        <w:t>green</w:t>
      </w:r>
      <w:r w:rsidRPr="00AF7A85">
        <w:t xml:space="preserve"> ranges from 75% to 100%, where 0 ms equals to 100% and 10 ms equals to 75%. So each millisecond is around 2.5%.</w:t>
      </w:r>
    </w:p>
    <w:p w14:paraId="1BB52E4A" w14:textId="77777777" w:rsidR="00487E8C" w:rsidRDefault="00487E8C" w:rsidP="00487E8C">
      <w:pPr>
        <w:pStyle w:val="Bullet"/>
        <w:rPr>
          <w:lang w:val="en-GB"/>
        </w:rPr>
      </w:pPr>
      <w:r w:rsidRPr="00AF7A85">
        <w:t>42 millisecond disk latency translates into 0%. It is above the upper threshold of 40 millisecond. Since we do not show</w:t>
      </w:r>
      <w:r>
        <w:rPr>
          <w:lang w:val="en-GB"/>
        </w:rPr>
        <w:t xml:space="preserve"> negative, anything above the limit is shown as 0%</w:t>
      </w:r>
    </w:p>
    <w:p w14:paraId="10BD7AAB" w14:textId="77777777" w:rsidR="00487E8C" w:rsidRDefault="00487E8C" w:rsidP="00487E8C">
      <w:pPr>
        <w:pStyle w:val="Heading5"/>
      </w:pPr>
      <w:r>
        <w:t xml:space="preserve">Threshold Design </w:t>
      </w:r>
    </w:p>
    <w:p w14:paraId="5017A4EC" w14:textId="1DDCC3BB" w:rsidR="00487E8C" w:rsidRDefault="00487E8C" w:rsidP="00487E8C">
      <w:pPr>
        <w:rPr>
          <w:lang w:val="en-GB"/>
        </w:rPr>
      </w:pPr>
      <w:r>
        <w:rPr>
          <w:lang w:val="en-GB"/>
        </w:rPr>
        <w:t xml:space="preserve">If you have many metrics that make up the KPI, and one of them is </w:t>
      </w:r>
      <w:r w:rsidR="00CF7D2C" w:rsidRPr="00CF7D2C">
        <w:rPr>
          <w:color w:val="FF0000"/>
          <w:lang w:val="en-GB"/>
        </w:rPr>
        <w:t>red</w:t>
      </w:r>
      <w:r>
        <w:rPr>
          <w:lang w:val="en-GB"/>
        </w:rPr>
        <w:t xml:space="preserve"> but the remaining is all </w:t>
      </w:r>
      <w:r w:rsidR="0022569A" w:rsidRPr="0022569A">
        <w:rPr>
          <w:color w:val="00B050"/>
          <w:lang w:val="en-GB"/>
        </w:rPr>
        <w:t>green</w:t>
      </w:r>
      <w:r>
        <w:rPr>
          <w:lang w:val="en-GB"/>
        </w:rPr>
        <w:t xml:space="preserve">, the overall KPI value may not reveal that there is problem. That single </w:t>
      </w:r>
      <w:r w:rsidR="00CF7D2C" w:rsidRPr="00CF7D2C">
        <w:rPr>
          <w:color w:val="FF0000"/>
          <w:lang w:val="en-GB"/>
        </w:rPr>
        <w:t>red</w:t>
      </w:r>
      <w:r>
        <w:rPr>
          <w:lang w:val="en-GB"/>
        </w:rPr>
        <w:t xml:space="preserve"> does not have enough weight to bring down the rest.</w:t>
      </w:r>
    </w:p>
    <w:p w14:paraId="361ED16B" w14:textId="77777777" w:rsidR="00487E8C" w:rsidRDefault="00487E8C" w:rsidP="00487E8C">
      <w:pPr>
        <w:rPr>
          <w:lang w:val="en-GB"/>
        </w:rPr>
      </w:pPr>
      <w:r>
        <w:rPr>
          <w:lang w:val="en-GB"/>
        </w:rPr>
        <w:t>So how do we solve it?</w:t>
      </w:r>
    </w:p>
    <w:p w14:paraId="5754CDFC" w14:textId="77777777" w:rsidR="00487E8C" w:rsidRDefault="00487E8C" w:rsidP="00487E8C">
      <w:pPr>
        <w:rPr>
          <w:lang w:val="en-GB"/>
        </w:rPr>
      </w:pPr>
      <w:r>
        <w:rPr>
          <w:lang w:val="en-GB"/>
        </w:rPr>
        <w:t xml:space="preserve">Enter progressive </w:t>
      </w:r>
      <w:r w:rsidRPr="002211EB">
        <w:rPr>
          <w:lang w:val="en-GB"/>
        </w:rPr>
        <w:t>weightage</w:t>
      </w:r>
      <w:r>
        <w:rPr>
          <w:lang w:val="en-GB"/>
        </w:rPr>
        <w:t xml:space="preserve">. </w:t>
      </w:r>
    </w:p>
    <w:p w14:paraId="6B6F2DC3" w14:textId="240ACD66" w:rsidR="00487E8C" w:rsidRDefault="00487E8C" w:rsidP="00487E8C">
      <w:pPr>
        <w:rPr>
          <w:lang w:val="en-GB"/>
        </w:rPr>
      </w:pPr>
      <w:r>
        <w:rPr>
          <w:lang w:val="en-GB"/>
        </w:rPr>
        <w:t xml:space="preserve">We assign weightage so that </w:t>
      </w:r>
      <w:r w:rsidR="000F35C5" w:rsidRPr="009322C0">
        <w:rPr>
          <w:color w:val="000000" w:themeColor="text1"/>
          <w14:textFill>
            <w14:gradFill>
              <w14:gsLst>
                <w14:gs w14:pos="0">
                  <w14:schemeClr w14:val="tx1"/>
                </w14:gs>
                <w14:gs w14:pos="100000">
                  <w14:srgbClr w14:val="FFFF00"/>
                </w14:gs>
              </w14:gsLst>
              <w14:lin w14:ang="16200000" w14:scaled="0"/>
            </w14:gradFill>
          </w14:textFill>
        </w:rPr>
        <w:t>yellow</w:t>
      </w:r>
      <w:r w:rsidR="000F35C5" w:rsidRPr="009322C0">
        <w:rPr>
          <w14:textFill>
            <w14:gradFill>
              <w14:gsLst>
                <w14:gs w14:pos="0">
                  <w14:schemeClr w14:val="tx1"/>
                </w14:gs>
                <w14:gs w14:pos="100000">
                  <w14:srgbClr w14:val="FFFF00"/>
                </w14:gs>
              </w14:gsLst>
              <w14:lin w14:ang="16200000" w14:scaled="0"/>
            </w14:gradFill>
          </w14:textFill>
        </w:rPr>
        <w:t xml:space="preserve"> </w:t>
      </w:r>
      <w:r>
        <w:rPr>
          <w:lang w:val="en-GB"/>
        </w:rPr>
        <w:t xml:space="preserve">is 2x </w:t>
      </w:r>
      <w:r w:rsidR="0022569A" w:rsidRPr="0022569A">
        <w:rPr>
          <w:color w:val="00B050"/>
          <w:lang w:val="en-GB"/>
        </w:rPr>
        <w:t>Green</w:t>
      </w:r>
      <w:r>
        <w:rPr>
          <w:lang w:val="en-GB"/>
        </w:rPr>
        <w:t xml:space="preserve">, </w:t>
      </w:r>
      <w:r w:rsidR="00CF7D2C" w:rsidRPr="00CF7D2C">
        <w:rPr>
          <w:color w:val="ED7D31" w:themeColor="accent2"/>
          <w:lang w:val="en-GB"/>
        </w:rPr>
        <w:t>Orange</w:t>
      </w:r>
      <w:r>
        <w:rPr>
          <w:lang w:val="en-GB"/>
        </w:rPr>
        <w:t xml:space="preserve"> is 2x </w:t>
      </w:r>
      <w:r w:rsidR="000F35C5" w:rsidRPr="009322C0">
        <w:rPr>
          <w:color w:val="000000" w:themeColor="text1"/>
          <w14:textFill>
            <w14:gradFill>
              <w14:gsLst>
                <w14:gs w14:pos="0">
                  <w14:schemeClr w14:val="tx1"/>
                </w14:gs>
                <w14:gs w14:pos="100000">
                  <w14:srgbClr w14:val="FFFF00"/>
                </w14:gs>
              </w14:gsLst>
              <w14:lin w14:ang="16200000" w14:scaled="0"/>
            </w14:gradFill>
          </w14:textFill>
        </w:rPr>
        <w:t>yellow</w:t>
      </w:r>
      <w:r w:rsidR="000F35C5" w:rsidRPr="009322C0">
        <w:rPr>
          <w14:textFill>
            <w14:gradFill>
              <w14:gsLst>
                <w14:gs w14:pos="0">
                  <w14:schemeClr w14:val="tx1"/>
                </w14:gs>
                <w14:gs w14:pos="100000">
                  <w14:srgbClr w14:val="FFFF00"/>
                </w14:gs>
              </w14:gsLst>
              <w14:lin w14:ang="16200000" w14:scaled="0"/>
            </w14:gradFill>
          </w14:textFill>
        </w:rPr>
        <w:t xml:space="preserve"> </w:t>
      </w:r>
      <w:r>
        <w:rPr>
          <w:lang w:val="en-GB"/>
        </w:rPr>
        <w:t xml:space="preserve">and </w:t>
      </w:r>
      <w:r w:rsidR="00CF7D2C" w:rsidRPr="00CF7D2C">
        <w:rPr>
          <w:color w:val="FF0000"/>
          <w:lang w:val="en-GB"/>
        </w:rPr>
        <w:t>Red</w:t>
      </w:r>
      <w:r>
        <w:rPr>
          <w:lang w:val="en-GB"/>
        </w:rPr>
        <w:t xml:space="preserve"> is 2x </w:t>
      </w:r>
      <w:r w:rsidR="00CF7D2C" w:rsidRPr="00CF7D2C">
        <w:rPr>
          <w:color w:val="ED7D31" w:themeColor="accent2"/>
          <w:lang w:val="en-GB"/>
        </w:rPr>
        <w:t>Orange</w:t>
      </w:r>
      <w:r>
        <w:rPr>
          <w:lang w:val="en-GB"/>
        </w:rPr>
        <w:t xml:space="preserve">. Mathematically, a single </w:t>
      </w:r>
      <w:r w:rsidR="00CF7D2C" w:rsidRPr="00CF7D2C">
        <w:rPr>
          <w:color w:val="FF0000"/>
          <w:lang w:val="en-GB"/>
        </w:rPr>
        <w:t>red</w:t>
      </w:r>
      <w:r>
        <w:rPr>
          <w:lang w:val="en-GB"/>
        </w:rPr>
        <w:t xml:space="preserve"> has equal weightage with 8 </w:t>
      </w:r>
      <w:r w:rsidR="0022569A" w:rsidRPr="0022569A">
        <w:rPr>
          <w:color w:val="00B050"/>
          <w:lang w:val="en-GB"/>
        </w:rPr>
        <w:t>green</w:t>
      </w:r>
      <w:r>
        <w:rPr>
          <w:lang w:val="en-GB"/>
        </w:rPr>
        <w:t xml:space="preserve">. The following table shows that 1 perfect </w:t>
      </w:r>
      <w:r w:rsidR="00CF7D2C" w:rsidRPr="00CF7D2C">
        <w:rPr>
          <w:color w:val="FF0000"/>
          <w:lang w:val="en-GB"/>
        </w:rPr>
        <w:t>red</w:t>
      </w:r>
      <w:r>
        <w:rPr>
          <w:lang w:val="en-GB"/>
        </w:rPr>
        <w:t xml:space="preserve"> and 8 perfect </w:t>
      </w:r>
      <w:r w:rsidR="0022569A" w:rsidRPr="0022569A">
        <w:rPr>
          <w:color w:val="00B050"/>
          <w:lang w:val="en-GB"/>
        </w:rPr>
        <w:t>green</w:t>
      </w:r>
      <w:r>
        <w:rPr>
          <w:lang w:val="en-GB"/>
        </w:rPr>
        <w:t xml:space="preserve"> will result in the score of 50.</w:t>
      </w:r>
    </w:p>
    <w:p w14:paraId="233B7D4A" w14:textId="77777777" w:rsidR="00487E8C" w:rsidRDefault="00487E8C" w:rsidP="00487E8C">
      <w:pPr>
        <w:jc w:val="center"/>
        <w:rPr>
          <w:lang w:val="en-GB"/>
        </w:rPr>
      </w:pPr>
      <w:r w:rsidRPr="002946C9">
        <w:rPr>
          <w:noProof/>
          <w:lang w:val="en-GB"/>
        </w:rPr>
        <w:lastRenderedPageBreak/>
        <w:drawing>
          <wp:inline distT="0" distB="0" distL="0" distR="0" wp14:anchorId="4F80C25A" wp14:editId="19ACC885">
            <wp:extent cx="2857647" cy="2273417"/>
            <wp:effectExtent l="0" t="0" r="0" b="0"/>
            <wp:docPr id="1971068992" name="Picture 197106899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8992" name="Picture 1971068992" descr="Table&#10;&#10;Description automatically generated"/>
                    <pic:cNvPicPr/>
                  </pic:nvPicPr>
                  <pic:blipFill>
                    <a:blip r:embed="rId257"/>
                    <a:stretch>
                      <a:fillRect/>
                    </a:stretch>
                  </pic:blipFill>
                  <pic:spPr>
                    <a:xfrm>
                      <a:off x="0" y="0"/>
                      <a:ext cx="2857647" cy="2273417"/>
                    </a:xfrm>
                    <a:prstGeom prst="rect">
                      <a:avLst/>
                    </a:prstGeom>
                  </pic:spPr>
                </pic:pic>
              </a:graphicData>
            </a:graphic>
          </wp:inline>
        </w:drawing>
      </w:r>
    </w:p>
    <w:p w14:paraId="3C4245A4" w14:textId="2122A414" w:rsidR="00487E8C" w:rsidRDefault="00487E8C" w:rsidP="00487E8C">
      <w:pPr>
        <w:rPr>
          <w:lang w:val="en-GB"/>
        </w:rPr>
      </w:pPr>
      <w:r>
        <w:rPr>
          <w:lang w:val="en-GB"/>
        </w:rPr>
        <w:t xml:space="preserve">That also means that if you have 1 perfect </w:t>
      </w:r>
      <w:r w:rsidR="00CF7D2C" w:rsidRPr="00CF7D2C">
        <w:rPr>
          <w:color w:val="FF0000"/>
          <w:lang w:val="en-GB"/>
        </w:rPr>
        <w:t>red</w:t>
      </w:r>
      <w:r>
        <w:rPr>
          <w:lang w:val="en-GB"/>
        </w:rPr>
        <w:t xml:space="preserve">, and your </w:t>
      </w:r>
      <w:r w:rsidR="0022569A" w:rsidRPr="0022569A">
        <w:rPr>
          <w:color w:val="00B050"/>
          <w:lang w:val="en-GB"/>
        </w:rPr>
        <w:t>green</w:t>
      </w:r>
      <w:r>
        <w:rPr>
          <w:lang w:val="en-GB"/>
        </w:rPr>
        <w:t xml:space="preserve"> are not perfect, you can expect your value to be in the </w:t>
      </w:r>
      <w:r w:rsidR="00CF7D2C" w:rsidRPr="00CF7D2C">
        <w:rPr>
          <w:color w:val="ED7D31" w:themeColor="accent2"/>
          <w:lang w:val="en-GB"/>
        </w:rPr>
        <w:t>orange</w:t>
      </w:r>
      <w:r>
        <w:rPr>
          <w:lang w:val="en-GB"/>
        </w:rPr>
        <w:t xml:space="preserve"> category.</w:t>
      </w:r>
    </w:p>
    <w:p w14:paraId="5576828A" w14:textId="77777777" w:rsidR="00487E8C" w:rsidRDefault="00487E8C" w:rsidP="00487E8C">
      <w:pPr>
        <w:rPr>
          <w:lang w:val="en-GB"/>
        </w:rPr>
      </w:pPr>
      <w:r>
        <w:rPr>
          <w:lang w:val="en-GB"/>
        </w:rPr>
        <w:t xml:space="preserve">This relative weightage plays a key role in determining the threshold. Try to match the actual value so they also correspond to 1x 2x 4x 8x. For example, set the VM disk latency so it goes up from 20 ms </w:t>
      </w:r>
      <w:r w:rsidRPr="00614635">
        <w:rPr>
          <w:lang w:val="en-GB"/>
        </w:rPr>
        <w:sym w:font="Wingdings" w:char="F0E0"/>
      </w:r>
      <w:r>
        <w:rPr>
          <w:lang w:val="en-GB"/>
        </w:rPr>
        <w:t xml:space="preserve"> 40 ms </w:t>
      </w:r>
      <w:r w:rsidRPr="00614635">
        <w:rPr>
          <w:lang w:val="en-GB"/>
        </w:rPr>
        <w:sym w:font="Wingdings" w:char="F0E0"/>
      </w:r>
      <w:r>
        <w:rPr>
          <w:lang w:val="en-GB"/>
        </w:rPr>
        <w:t xml:space="preserve"> 80 ms </w:t>
      </w:r>
      <w:r w:rsidRPr="00614635">
        <w:rPr>
          <w:lang w:val="en-GB"/>
        </w:rPr>
        <w:sym w:font="Wingdings" w:char="F0E0"/>
      </w:r>
      <w:r>
        <w:rPr>
          <w:lang w:val="en-GB"/>
        </w:rPr>
        <w:t xml:space="preserve"> 160 ms. Notice they always double.</w:t>
      </w:r>
    </w:p>
    <w:p w14:paraId="3E7AB96E" w14:textId="77777777" w:rsidR="00487E8C" w:rsidRDefault="00487E8C" w:rsidP="00487E8C">
      <w:pPr>
        <w:rPr>
          <w:lang w:val="en-GB"/>
        </w:rPr>
      </w:pPr>
      <w:r w:rsidRPr="0082742F">
        <w:rPr>
          <w:noProof/>
          <w:lang w:val="en-GB"/>
        </w:rPr>
        <w:drawing>
          <wp:inline distT="0" distB="0" distL="0" distR="0" wp14:anchorId="14955748" wp14:editId="40422B24">
            <wp:extent cx="6645910" cy="2239010"/>
            <wp:effectExtent l="0" t="0" r="2540" b="8890"/>
            <wp:docPr id="19" name="Picture 19"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Graphical user interface&#10;&#10;Description automatically generated with low confidence"/>
                    <pic:cNvPicPr/>
                  </pic:nvPicPr>
                  <pic:blipFill>
                    <a:blip r:embed="rId258"/>
                    <a:stretch>
                      <a:fillRect/>
                    </a:stretch>
                  </pic:blipFill>
                  <pic:spPr>
                    <a:xfrm>
                      <a:off x="0" y="0"/>
                      <a:ext cx="6645910" cy="2239010"/>
                    </a:xfrm>
                    <a:prstGeom prst="rect">
                      <a:avLst/>
                    </a:prstGeom>
                  </pic:spPr>
                </pic:pic>
              </a:graphicData>
            </a:graphic>
          </wp:inline>
        </w:drawing>
      </w:r>
    </w:p>
    <w:p w14:paraId="05288DE0" w14:textId="77777777" w:rsidR="00487E8C" w:rsidRPr="00BF2E18" w:rsidRDefault="00487E8C" w:rsidP="00487E8C">
      <w:pPr>
        <w:rPr>
          <w:lang w:val="en-GB"/>
        </w:rPr>
      </w:pPr>
      <w:r>
        <w:rPr>
          <w:lang w:val="en-GB"/>
        </w:rPr>
        <w:t>Note that this method does not replace assigning different weightage to each metric. You can still do that.</w:t>
      </w:r>
    </w:p>
    <w:p w14:paraId="7FD786D7" w14:textId="77777777" w:rsidR="00487E8C" w:rsidRPr="00C7670D" w:rsidRDefault="00487E8C" w:rsidP="00487E8C">
      <w:pPr>
        <w:rPr>
          <w:lang w:val="en-GB"/>
        </w:rPr>
      </w:pPr>
      <w:r>
        <w:rPr>
          <w:lang w:val="en-GB"/>
        </w:rPr>
        <w:t xml:space="preserve">See </w:t>
      </w:r>
      <w:hyperlink w:anchor="_Weighted_KPI" w:history="1">
        <w:r w:rsidRPr="00706801">
          <w:rPr>
            <w:rStyle w:val="Hyperlink"/>
            <w:lang w:val="en-GB"/>
          </w:rPr>
          <w:t>this</w:t>
        </w:r>
      </w:hyperlink>
      <w:r>
        <w:rPr>
          <w:lang w:val="en-GB"/>
        </w:rPr>
        <w:t xml:space="preserve"> for the actual implementation in super metric, as it’s pretty complex.</w:t>
      </w:r>
    </w:p>
    <w:p w14:paraId="0A5CD65A" w14:textId="77777777" w:rsidR="00487E8C" w:rsidRDefault="00487E8C" w:rsidP="00487E8C">
      <w:pPr>
        <w:pStyle w:val="Heading5"/>
      </w:pPr>
      <w:r>
        <w:t>Optional Features</w:t>
      </w:r>
    </w:p>
    <w:p w14:paraId="2697F212" w14:textId="77777777" w:rsidR="00487E8C" w:rsidRPr="00613C26" w:rsidRDefault="00487E8C" w:rsidP="00487E8C">
      <w:pPr>
        <w:rPr>
          <w:lang w:val="en-GB"/>
        </w:rPr>
      </w:pPr>
      <w:r>
        <w:rPr>
          <w:lang w:val="en-GB"/>
        </w:rPr>
        <w:t xml:space="preserve">The above model is capable of handling many cases. To handle more complex requirements, apply any of these optional techniques. They can also be used together. </w:t>
      </w:r>
    </w:p>
    <w:p w14:paraId="2E2E58EF" w14:textId="77777777" w:rsidR="00487E8C" w:rsidRDefault="00487E8C" w:rsidP="00487E8C">
      <w:pPr>
        <w:pStyle w:val="Heading6"/>
      </w:pPr>
      <w:r>
        <w:t>Important Metric</w:t>
      </w:r>
    </w:p>
    <w:p w14:paraId="43168BBC" w14:textId="77777777" w:rsidR="00487E8C" w:rsidRDefault="00487E8C" w:rsidP="00487E8C">
      <w:pPr>
        <w:rPr>
          <w:lang w:val="en-GB"/>
        </w:rPr>
      </w:pPr>
      <w:r>
        <w:rPr>
          <w:lang w:val="en-GB"/>
        </w:rPr>
        <w:t xml:space="preserve">What if some metrics are relatively more important than others? </w:t>
      </w:r>
    </w:p>
    <w:p w14:paraId="4CD8EF36" w14:textId="77777777" w:rsidR="003D07BC" w:rsidRDefault="00487E8C" w:rsidP="00487E8C">
      <w:pPr>
        <w:rPr>
          <w:lang w:val="en-GB"/>
        </w:rPr>
      </w:pPr>
      <w:r>
        <w:rPr>
          <w:lang w:val="en-GB"/>
        </w:rPr>
        <w:lastRenderedPageBreak/>
        <w:t>Give it a higher weightage. If metric A is 2x more important than metric B, then ensure metric A weightage is 2x of metric B.</w:t>
      </w:r>
      <w:r w:rsidR="003D07BC">
        <w:rPr>
          <w:lang w:val="en-GB"/>
        </w:rPr>
        <w:t xml:space="preserve"> </w:t>
      </w:r>
    </w:p>
    <w:p w14:paraId="52FB8D01" w14:textId="0C2100B2" w:rsidR="00487E8C" w:rsidRDefault="003D07BC" w:rsidP="00487E8C">
      <w:pPr>
        <w:rPr>
          <w:lang w:val="en-GB"/>
        </w:rPr>
      </w:pPr>
      <w:r>
        <w:rPr>
          <w:lang w:val="en-GB"/>
        </w:rPr>
        <w:t xml:space="preserve">If both are equally important, but the chance of metric B hitting bad is 2x higher, then give it 2x the weightage if you want an earlier warning. </w:t>
      </w:r>
    </w:p>
    <w:p w14:paraId="175D33CF" w14:textId="77777777" w:rsidR="00487E8C" w:rsidRDefault="00487E8C" w:rsidP="00487E8C">
      <w:pPr>
        <w:rPr>
          <w:lang w:val="en-GB"/>
        </w:rPr>
      </w:pPr>
      <w:r>
        <w:rPr>
          <w:lang w:val="en-GB"/>
        </w:rPr>
        <w:t>The sum of all weightages is 100%. In the following example, the CPU is given highest weightage. Notice they sum to exactly 100%</w:t>
      </w:r>
    </w:p>
    <w:p w14:paraId="6D995ADF" w14:textId="77777777" w:rsidR="00487E8C" w:rsidRDefault="00487E8C" w:rsidP="00487E8C">
      <w:pPr>
        <w:pStyle w:val="BeforeTable"/>
      </w:pPr>
    </w:p>
    <w:tbl>
      <w:tblPr>
        <w:tblStyle w:val="TableGrid"/>
        <w:tblW w:w="0" w:type="auto"/>
        <w:tblInd w:w="251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713"/>
        <w:gridCol w:w="1787"/>
      </w:tblGrid>
      <w:tr w:rsidR="00487E8C" w14:paraId="78BA3B73" w14:textId="77777777" w:rsidTr="00281329">
        <w:tc>
          <w:tcPr>
            <w:tcW w:w="2713" w:type="dxa"/>
            <w:shd w:val="clear" w:color="auto" w:fill="F2F2F2" w:themeFill="background1" w:themeFillShade="F2"/>
          </w:tcPr>
          <w:p w14:paraId="2F401293" w14:textId="77777777" w:rsidR="00487E8C" w:rsidRDefault="00487E8C" w:rsidP="00281329">
            <w:pPr>
              <w:pStyle w:val="Tableheading"/>
            </w:pPr>
            <w:r>
              <w:t>Metric</w:t>
            </w:r>
          </w:p>
        </w:tc>
        <w:tc>
          <w:tcPr>
            <w:tcW w:w="1787" w:type="dxa"/>
            <w:shd w:val="clear" w:color="auto" w:fill="F2F2F2" w:themeFill="background1" w:themeFillShade="F2"/>
          </w:tcPr>
          <w:p w14:paraId="48156B17" w14:textId="77777777" w:rsidR="00487E8C" w:rsidRDefault="00487E8C" w:rsidP="00281329">
            <w:pPr>
              <w:pStyle w:val="Tableheading"/>
            </w:pPr>
            <w:r>
              <w:t xml:space="preserve">Weightage </w:t>
            </w:r>
          </w:p>
        </w:tc>
      </w:tr>
      <w:tr w:rsidR="00487E8C" w14:paraId="6177FF72" w14:textId="77777777" w:rsidTr="00281329">
        <w:tc>
          <w:tcPr>
            <w:tcW w:w="2713" w:type="dxa"/>
          </w:tcPr>
          <w:p w14:paraId="1B87B2C6" w14:textId="77777777" w:rsidR="00487E8C" w:rsidRDefault="00487E8C" w:rsidP="00281329">
            <w:pPr>
              <w:pStyle w:val="Tablecontent"/>
            </w:pPr>
            <w:r>
              <w:t>CPU Usage</w:t>
            </w:r>
          </w:p>
        </w:tc>
        <w:tc>
          <w:tcPr>
            <w:tcW w:w="1787" w:type="dxa"/>
          </w:tcPr>
          <w:p w14:paraId="3FE2237B" w14:textId="77777777" w:rsidR="00487E8C" w:rsidRDefault="00487E8C" w:rsidP="00281329">
            <w:pPr>
              <w:pStyle w:val="Tablecontent"/>
            </w:pPr>
            <w:r>
              <w:t>40%</w:t>
            </w:r>
          </w:p>
        </w:tc>
      </w:tr>
      <w:tr w:rsidR="00487E8C" w14:paraId="5D4B9903" w14:textId="77777777" w:rsidTr="00281329">
        <w:tc>
          <w:tcPr>
            <w:tcW w:w="2713" w:type="dxa"/>
          </w:tcPr>
          <w:p w14:paraId="538FA97B" w14:textId="77777777" w:rsidR="00487E8C" w:rsidRDefault="00487E8C" w:rsidP="00281329">
            <w:pPr>
              <w:pStyle w:val="Tablecontent"/>
            </w:pPr>
            <w:r>
              <w:t>Memory Usage</w:t>
            </w:r>
          </w:p>
        </w:tc>
        <w:tc>
          <w:tcPr>
            <w:tcW w:w="1787" w:type="dxa"/>
          </w:tcPr>
          <w:p w14:paraId="4965B132" w14:textId="77777777" w:rsidR="00487E8C" w:rsidRDefault="00487E8C" w:rsidP="00281329">
            <w:pPr>
              <w:pStyle w:val="Tablecontent"/>
            </w:pPr>
            <w:r>
              <w:t>20%</w:t>
            </w:r>
          </w:p>
        </w:tc>
      </w:tr>
      <w:tr w:rsidR="00487E8C" w14:paraId="3DB11C2D" w14:textId="77777777" w:rsidTr="00281329">
        <w:tc>
          <w:tcPr>
            <w:tcW w:w="2713" w:type="dxa"/>
          </w:tcPr>
          <w:p w14:paraId="3839FDBA" w14:textId="77777777" w:rsidR="00487E8C" w:rsidRDefault="00487E8C" w:rsidP="00281329">
            <w:pPr>
              <w:pStyle w:val="Tablecontent"/>
            </w:pPr>
            <w:r>
              <w:t>Disk Usage</w:t>
            </w:r>
          </w:p>
        </w:tc>
        <w:tc>
          <w:tcPr>
            <w:tcW w:w="1787" w:type="dxa"/>
          </w:tcPr>
          <w:p w14:paraId="23C7A928" w14:textId="77777777" w:rsidR="00487E8C" w:rsidRDefault="00487E8C" w:rsidP="00281329">
            <w:pPr>
              <w:pStyle w:val="Tablecontent"/>
            </w:pPr>
            <w:r>
              <w:t>20%</w:t>
            </w:r>
          </w:p>
        </w:tc>
      </w:tr>
      <w:tr w:rsidR="00487E8C" w14:paraId="56D3DCA1" w14:textId="77777777" w:rsidTr="00281329">
        <w:tc>
          <w:tcPr>
            <w:tcW w:w="2713" w:type="dxa"/>
          </w:tcPr>
          <w:p w14:paraId="4E92D079" w14:textId="77777777" w:rsidR="00487E8C" w:rsidRDefault="00487E8C" w:rsidP="00281329">
            <w:pPr>
              <w:pStyle w:val="Tablecontent"/>
            </w:pPr>
            <w:r>
              <w:t>Network Usage</w:t>
            </w:r>
          </w:p>
        </w:tc>
        <w:tc>
          <w:tcPr>
            <w:tcW w:w="1787" w:type="dxa"/>
          </w:tcPr>
          <w:p w14:paraId="7154A1E6" w14:textId="77777777" w:rsidR="00487E8C" w:rsidRDefault="00487E8C" w:rsidP="00281329">
            <w:pPr>
              <w:pStyle w:val="Tablecontent"/>
            </w:pPr>
            <w:r>
              <w:t>20%</w:t>
            </w:r>
          </w:p>
        </w:tc>
      </w:tr>
    </w:tbl>
    <w:p w14:paraId="18C3F1DE" w14:textId="37CFDCB8" w:rsidR="00487E8C" w:rsidRDefault="003D07BC" w:rsidP="00487E8C">
      <w:pPr>
        <w:pStyle w:val="Heading6"/>
      </w:pPr>
      <w:r>
        <w:t xml:space="preserve">Multi-table </w:t>
      </w:r>
      <w:r w:rsidR="00487E8C">
        <w:t>KPI</w:t>
      </w:r>
    </w:p>
    <w:p w14:paraId="3022A246" w14:textId="73CF96B9" w:rsidR="00487E8C" w:rsidRDefault="00487E8C" w:rsidP="00487E8C">
      <w:pPr>
        <w:rPr>
          <w:lang w:val="en-GB"/>
        </w:rPr>
      </w:pPr>
      <w:r>
        <w:rPr>
          <w:lang w:val="en-GB"/>
        </w:rPr>
        <w:t xml:space="preserve">What if you have a long list of metrics and they are equally important? For example, if you have </w:t>
      </w:r>
      <w:r w:rsidR="003D07BC">
        <w:rPr>
          <w:lang w:val="en-GB"/>
        </w:rPr>
        <w:t>21</w:t>
      </w:r>
      <w:r>
        <w:rPr>
          <w:lang w:val="en-GB"/>
        </w:rPr>
        <w:t xml:space="preserve"> metrics, and one of them is </w:t>
      </w:r>
      <w:r w:rsidR="00CF7D2C" w:rsidRPr="00CF7D2C">
        <w:rPr>
          <w:color w:val="FF0000"/>
          <w:lang w:val="en-GB"/>
        </w:rPr>
        <w:t>red</w:t>
      </w:r>
      <w:r>
        <w:rPr>
          <w:lang w:val="en-GB"/>
        </w:rPr>
        <w:t xml:space="preserve"> while others are </w:t>
      </w:r>
      <w:r w:rsidR="0022569A" w:rsidRPr="0022569A">
        <w:rPr>
          <w:color w:val="00B050"/>
          <w:lang w:val="en-GB"/>
        </w:rPr>
        <w:t>green</w:t>
      </w:r>
      <w:r>
        <w:rPr>
          <w:lang w:val="en-GB"/>
        </w:rPr>
        <w:t xml:space="preserve">, that single </w:t>
      </w:r>
      <w:r w:rsidR="00CF7D2C" w:rsidRPr="00CF7D2C">
        <w:rPr>
          <w:color w:val="FF0000"/>
          <w:lang w:val="en-GB"/>
        </w:rPr>
        <w:t>red</w:t>
      </w:r>
      <w:r>
        <w:rPr>
          <w:lang w:val="en-GB"/>
        </w:rPr>
        <w:t xml:space="preserve"> will not be able to pull the overall KPI down low. If you want the KPI to be low because the issue is severe, you need to split the large table into smaller table. Ensure the grouping is logical. </w:t>
      </w:r>
    </w:p>
    <w:p w14:paraId="3BB81BFD" w14:textId="77777777" w:rsidR="00487E8C" w:rsidRDefault="00487E8C" w:rsidP="00487E8C">
      <w:pPr>
        <w:rPr>
          <w:lang w:val="en-GB"/>
        </w:rPr>
      </w:pPr>
      <w:r>
        <w:rPr>
          <w:lang w:val="en-GB"/>
        </w:rPr>
        <w:t>For example, a Kubernetes cluster can be affected by either infrastructure problem or application (workload) problem. If we combine all the metrics, each metric has a relatively low weightage, as their sum is 100%. We solve this by combining them into 2. We then take the lowest of the 2 sub-KPI metrics.</w:t>
      </w:r>
    </w:p>
    <w:p w14:paraId="21169A78" w14:textId="0BC99F70" w:rsidR="00487E8C" w:rsidRPr="003D07BC" w:rsidRDefault="003D07BC" w:rsidP="003D07BC">
      <w:pPr>
        <w:rPr>
          <w:lang w:val="en-GB"/>
        </w:rPr>
      </w:pPr>
      <w:r>
        <w:rPr>
          <w:lang w:val="en-GB"/>
        </w:rPr>
        <w:t>Creating a 2</w:t>
      </w:r>
      <w:r w:rsidRPr="003D07BC">
        <w:rPr>
          <w:vertAlign w:val="superscript"/>
          <w:lang w:val="en-GB"/>
        </w:rPr>
        <w:t>nd</w:t>
      </w:r>
      <w:r>
        <w:rPr>
          <w:lang w:val="en-GB"/>
        </w:rPr>
        <w:t xml:space="preserve"> table is also useful for o</w:t>
      </w:r>
      <w:r w:rsidR="00487E8C">
        <w:t>ver</w:t>
      </w:r>
      <w:r>
        <w:t>-</w:t>
      </w:r>
      <w:r w:rsidR="00487E8C">
        <w:t>ride</w:t>
      </w:r>
      <w:r>
        <w:t xml:space="preserve">. </w:t>
      </w:r>
    </w:p>
    <w:p w14:paraId="7B30B419" w14:textId="77777777" w:rsidR="00487E8C" w:rsidRDefault="00487E8C" w:rsidP="00487E8C">
      <w:pPr>
        <w:rPr>
          <w:lang w:val="en-GB"/>
        </w:rPr>
      </w:pPr>
      <w:r>
        <w:rPr>
          <w:lang w:val="en-GB"/>
        </w:rPr>
        <w:t xml:space="preserve">How do you deal with a </w:t>
      </w:r>
      <w:r w:rsidRPr="005F51B6">
        <w:rPr>
          <w:color w:val="FF0000"/>
          <w:lang w:val="en-GB"/>
        </w:rPr>
        <w:t xml:space="preserve">serious </w:t>
      </w:r>
      <w:r>
        <w:rPr>
          <w:lang w:val="en-GB"/>
        </w:rPr>
        <w:t xml:space="preserve">problem that </w:t>
      </w:r>
      <w:r w:rsidRPr="001A1A07">
        <w:rPr>
          <w:i/>
          <w:iCs/>
          <w:color w:val="FF0000"/>
          <w:lang w:val="en-GB"/>
        </w:rPr>
        <w:t>rarely</w:t>
      </w:r>
      <w:r w:rsidRPr="006C4E20">
        <w:rPr>
          <w:color w:val="FF0000"/>
          <w:lang w:val="en-GB"/>
        </w:rPr>
        <w:t xml:space="preserve"> </w:t>
      </w:r>
      <w:r>
        <w:rPr>
          <w:lang w:val="en-GB"/>
        </w:rPr>
        <w:t>happens? What weightage do you give it? Take for example, error packet in Kubernetes. Say you give it 40%, because it is a serious hit on performance. But since it rarely happens, then this 40% is basically a given. If you want to avoid taking 40% from the total weightage, you take this metric from the row, and place it on a separate table. This 2</w:t>
      </w:r>
      <w:r w:rsidRPr="00D066DE">
        <w:rPr>
          <w:vertAlign w:val="superscript"/>
          <w:lang w:val="en-GB"/>
        </w:rPr>
        <w:t>nd</w:t>
      </w:r>
      <w:r>
        <w:rPr>
          <w:lang w:val="en-GB"/>
        </w:rPr>
        <w:t xml:space="preserve"> table overrides the first table with its value if it produces a lower value.</w:t>
      </w:r>
    </w:p>
    <w:p w14:paraId="167A205D" w14:textId="5D12C8D6" w:rsidR="00487E8C" w:rsidRDefault="00487E8C" w:rsidP="00487E8C">
      <w:pPr>
        <w:rPr>
          <w:lang w:val="en-GB"/>
        </w:rPr>
      </w:pPr>
      <w:r>
        <w:rPr>
          <w:lang w:val="en-GB"/>
        </w:rPr>
        <w:t xml:space="preserve">For example, if there is any error packet, you want to set the KPI value to </w:t>
      </w:r>
      <w:r w:rsidR="00CF7D2C" w:rsidRPr="00CF7D2C">
        <w:rPr>
          <w:color w:val="FF0000"/>
          <w:lang w:val="en-GB"/>
        </w:rPr>
        <w:t>red</w:t>
      </w:r>
      <w:r>
        <w:rPr>
          <w:lang w:val="en-GB"/>
        </w:rPr>
        <w:t xml:space="preserve"> to reflect that there is a severe problem happening. </w:t>
      </w:r>
    </w:p>
    <w:p w14:paraId="1B840475" w14:textId="77777777" w:rsidR="00487E8C" w:rsidRDefault="00487E8C" w:rsidP="00487E8C">
      <w:pPr>
        <w:pStyle w:val="Heading5"/>
      </w:pPr>
      <w:r>
        <w:t>Validation</w:t>
      </w:r>
    </w:p>
    <w:p w14:paraId="32ABBC1F" w14:textId="77777777" w:rsidR="00487E8C" w:rsidRDefault="00487E8C" w:rsidP="00487E8C">
      <w:pPr>
        <w:rPr>
          <w:lang w:val="en-GB"/>
        </w:rPr>
      </w:pPr>
      <w:r>
        <w:rPr>
          <w:lang w:val="en-GB"/>
        </w:rPr>
        <w:t>Once you design the KPI for a specific object, always do a validation. This helps you validates if the thresholds, weightage, metrics actually deliver the score that matches your expectation. Write down the common scenarios along with the expected value.</w:t>
      </w:r>
    </w:p>
    <w:p w14:paraId="015CACE9" w14:textId="1786E3CE" w:rsidR="00487E8C" w:rsidRDefault="00487E8C" w:rsidP="00487E8C">
      <w:pPr>
        <w:rPr>
          <w:lang w:val="en-GB"/>
        </w:rPr>
      </w:pPr>
      <w:r>
        <w:rPr>
          <w:lang w:val="en-GB"/>
        </w:rPr>
        <w:t xml:space="preserve">I got a surprise on the result, that I thought there was a bug in the formula. Remember that 1 </w:t>
      </w:r>
      <w:r w:rsidR="00CF7D2C" w:rsidRPr="00CF7D2C">
        <w:rPr>
          <w:color w:val="FF0000"/>
          <w:lang w:val="en-GB"/>
        </w:rPr>
        <w:t>red</w:t>
      </w:r>
      <w:r>
        <w:rPr>
          <w:lang w:val="en-GB"/>
        </w:rPr>
        <w:t xml:space="preserve"> has the weight of 8 </w:t>
      </w:r>
      <w:r w:rsidR="0022569A" w:rsidRPr="0022569A">
        <w:rPr>
          <w:color w:val="00B050"/>
          <w:lang w:val="en-GB"/>
        </w:rPr>
        <w:t>green</w:t>
      </w:r>
      <w:r>
        <w:rPr>
          <w:lang w:val="en-GB"/>
        </w:rPr>
        <w:t xml:space="preserve">? So when I see 3 </w:t>
      </w:r>
      <w:r w:rsidRPr="00D466D0">
        <w:rPr>
          <w:color w:val="FF0000"/>
          <w:lang w:val="en-GB"/>
        </w:rPr>
        <w:t>reds</w:t>
      </w:r>
      <w:r>
        <w:rPr>
          <w:lang w:val="en-GB"/>
        </w:rPr>
        <w:t xml:space="preserve"> and 9 </w:t>
      </w:r>
      <w:r w:rsidR="0022569A" w:rsidRPr="0022569A">
        <w:rPr>
          <w:color w:val="00B050"/>
          <w:lang w:val="en-GB"/>
        </w:rPr>
        <w:t>green</w:t>
      </w:r>
      <w:r w:rsidR="00D466D0">
        <w:rPr>
          <w:color w:val="00B050"/>
          <w:lang w:val="en-GB"/>
        </w:rPr>
        <w:t>s</w:t>
      </w:r>
      <w:r>
        <w:rPr>
          <w:lang w:val="en-GB"/>
        </w:rPr>
        <w:t xml:space="preserve">, I expect the value to be in the </w:t>
      </w:r>
      <w:r w:rsidR="00CF7D2C" w:rsidRPr="00CF7D2C">
        <w:rPr>
          <w:color w:val="FF0000"/>
          <w:lang w:val="en-GB"/>
        </w:rPr>
        <w:t>red</w:t>
      </w:r>
      <w:r>
        <w:rPr>
          <w:lang w:val="en-GB"/>
        </w:rPr>
        <w:t xml:space="preserve">, which is below 25. But I got a low </w:t>
      </w:r>
      <w:r w:rsidR="00CF7D2C" w:rsidRPr="00CF7D2C">
        <w:rPr>
          <w:color w:val="ED7D31" w:themeColor="accent2"/>
          <w:lang w:val="en-GB"/>
        </w:rPr>
        <w:t>orange</w:t>
      </w:r>
      <w:r>
        <w:rPr>
          <w:lang w:val="en-GB"/>
        </w:rPr>
        <w:t>.</w:t>
      </w:r>
    </w:p>
    <w:p w14:paraId="5B620A3C" w14:textId="12E7FF20" w:rsidR="00487E8C" w:rsidRDefault="00487E8C" w:rsidP="00487E8C">
      <w:pPr>
        <w:rPr>
          <w:lang w:val="en-GB"/>
        </w:rPr>
      </w:pPr>
      <w:r>
        <w:rPr>
          <w:lang w:val="en-GB"/>
        </w:rPr>
        <w:lastRenderedPageBreak/>
        <w:t xml:space="preserve">So let’s do some validation. I find testing the corner case useful. So let’s see what value we get when we have 9 perfect </w:t>
      </w:r>
      <w:r w:rsidR="0022569A" w:rsidRPr="0022569A">
        <w:rPr>
          <w:color w:val="00B050"/>
          <w:lang w:val="en-GB"/>
        </w:rPr>
        <w:t>green</w:t>
      </w:r>
      <w:r>
        <w:rPr>
          <w:lang w:val="en-GB"/>
        </w:rPr>
        <w:t xml:space="preserve"> and 3 worst </w:t>
      </w:r>
      <w:r w:rsidR="00CF7D2C" w:rsidRPr="00CF7D2C">
        <w:rPr>
          <w:color w:val="FF0000"/>
          <w:lang w:val="en-GB"/>
        </w:rPr>
        <w:t>red</w:t>
      </w:r>
      <w:r>
        <w:rPr>
          <w:lang w:val="en-GB"/>
        </w:rPr>
        <w:t>. What value do you expect?</w:t>
      </w:r>
    </w:p>
    <w:p w14:paraId="5B2F845A" w14:textId="17D76C8C" w:rsidR="00487E8C" w:rsidRDefault="00487E8C" w:rsidP="00487E8C">
      <w:pPr>
        <w:rPr>
          <w:lang w:val="en-GB"/>
        </w:rPr>
      </w:pPr>
      <w:r>
        <w:rPr>
          <w:lang w:val="en-GB"/>
        </w:rPr>
        <w:t xml:space="preserve">A simple, non-weighted average will give a value of 75. This is right in the border of </w:t>
      </w:r>
      <w:r w:rsidR="0022569A" w:rsidRPr="0022569A">
        <w:rPr>
          <w:color w:val="00B050"/>
          <w:lang w:val="en-GB"/>
        </w:rPr>
        <w:t>green</w:t>
      </w:r>
      <w:r>
        <w:rPr>
          <w:lang w:val="en-GB"/>
        </w:rPr>
        <w:t xml:space="preserve"> or </w:t>
      </w:r>
      <w:r w:rsidR="000F35C5" w:rsidRPr="009322C0">
        <w:rPr>
          <w:color w:val="000000" w:themeColor="text1"/>
          <w14:textFill>
            <w14:gradFill>
              <w14:gsLst>
                <w14:gs w14:pos="0">
                  <w14:schemeClr w14:val="tx1"/>
                </w14:gs>
                <w14:gs w14:pos="100000">
                  <w14:srgbClr w14:val="FFFF00"/>
                </w14:gs>
              </w14:gsLst>
              <w14:lin w14:ang="16200000" w14:scaled="0"/>
            </w14:gradFill>
          </w14:textFill>
        </w:rPr>
        <w:t>yellow</w:t>
      </w:r>
      <w:r>
        <w:rPr>
          <w:lang w:val="en-GB"/>
        </w:rPr>
        <w:t xml:space="preserve">. </w:t>
      </w:r>
    </w:p>
    <w:p w14:paraId="48F54CDB" w14:textId="77777777" w:rsidR="00487E8C" w:rsidRDefault="00487E8C" w:rsidP="00487E8C">
      <w:pPr>
        <w:rPr>
          <w:lang w:val="en-GB"/>
        </w:rPr>
      </w:pPr>
      <w:r>
        <w:rPr>
          <w:lang w:val="en-GB"/>
        </w:rPr>
        <w:t>What color does the weightage score give us?</w:t>
      </w:r>
    </w:p>
    <w:p w14:paraId="05925770" w14:textId="77777777" w:rsidR="00487E8C" w:rsidRDefault="00487E8C" w:rsidP="00487E8C">
      <w:pPr>
        <w:jc w:val="center"/>
        <w:rPr>
          <w:lang w:val="en-GB"/>
        </w:rPr>
      </w:pPr>
      <w:r w:rsidRPr="00447FDB">
        <w:rPr>
          <w:noProof/>
          <w:lang w:val="en-GB"/>
        </w:rPr>
        <w:drawing>
          <wp:inline distT="0" distB="0" distL="0" distR="0" wp14:anchorId="457DD094" wp14:editId="06B7A911">
            <wp:extent cx="4006800" cy="2275200"/>
            <wp:effectExtent l="0" t="0" r="0" b="0"/>
            <wp:docPr id="1293284834" name="Picture 129328483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34" name="Picture 1293284834" descr="Table&#10;&#10;Description automatically generated"/>
                    <pic:cNvPicPr/>
                  </pic:nvPicPr>
                  <pic:blipFill>
                    <a:blip r:embed="rId259"/>
                    <a:stretch>
                      <a:fillRect/>
                    </a:stretch>
                  </pic:blipFill>
                  <pic:spPr>
                    <a:xfrm>
                      <a:off x="0" y="0"/>
                      <a:ext cx="4006800" cy="2275200"/>
                    </a:xfrm>
                    <a:prstGeom prst="rect">
                      <a:avLst/>
                    </a:prstGeom>
                  </pic:spPr>
                </pic:pic>
              </a:graphicData>
            </a:graphic>
          </wp:inline>
        </w:drawing>
      </w:r>
    </w:p>
    <w:p w14:paraId="5A310A0D" w14:textId="0710328D" w:rsidR="00487E8C" w:rsidRDefault="00487E8C" w:rsidP="00487E8C">
      <w:pPr>
        <w:rPr>
          <w:lang w:val="en-GB"/>
        </w:rPr>
      </w:pPr>
      <w:r>
        <w:rPr>
          <w:lang w:val="en-GB"/>
        </w:rPr>
        <w:t xml:space="preserve">It gives us a low </w:t>
      </w:r>
      <w:r w:rsidR="00CF7D2C" w:rsidRPr="00CF7D2C">
        <w:rPr>
          <w:color w:val="ED7D31" w:themeColor="accent2"/>
          <w:lang w:val="en-GB"/>
        </w:rPr>
        <w:t>orange</w:t>
      </w:r>
      <w:r>
        <w:rPr>
          <w:lang w:val="en-GB"/>
        </w:rPr>
        <w:t xml:space="preserve">. It is not </w:t>
      </w:r>
      <w:r w:rsidR="00CF7D2C" w:rsidRPr="00CF7D2C">
        <w:rPr>
          <w:color w:val="FF0000"/>
          <w:lang w:val="en-GB"/>
        </w:rPr>
        <w:t>red</w:t>
      </w:r>
      <w:r>
        <w:rPr>
          <w:lang w:val="en-GB"/>
        </w:rPr>
        <w:t xml:space="preserve">, but close enough to be </w:t>
      </w:r>
      <w:r w:rsidR="00CF7D2C" w:rsidRPr="00CF7D2C">
        <w:rPr>
          <w:color w:val="FF0000"/>
          <w:lang w:val="en-GB"/>
        </w:rPr>
        <w:t>red</w:t>
      </w:r>
      <w:r>
        <w:rPr>
          <w:lang w:val="en-GB"/>
        </w:rPr>
        <w:t>. This is why the score is important too, not just the color.</w:t>
      </w:r>
    </w:p>
    <w:p w14:paraId="265B6E90" w14:textId="30379E9B" w:rsidR="00487E8C" w:rsidRDefault="00487E8C" w:rsidP="00487E8C">
      <w:pPr>
        <w:rPr>
          <w:lang w:val="en-GB"/>
        </w:rPr>
      </w:pPr>
      <w:r>
        <w:rPr>
          <w:lang w:val="en-GB"/>
        </w:rPr>
        <w:t xml:space="preserve">What if your </w:t>
      </w:r>
      <w:r w:rsidR="00CF7D2C" w:rsidRPr="00CF7D2C">
        <w:rPr>
          <w:color w:val="FF0000"/>
          <w:lang w:val="en-GB"/>
        </w:rPr>
        <w:t>red</w:t>
      </w:r>
      <w:r>
        <w:rPr>
          <w:lang w:val="en-GB"/>
        </w:rPr>
        <w:t xml:space="preserve"> is not the worst, but barely </w:t>
      </w:r>
      <w:r w:rsidR="00CF7D2C" w:rsidRPr="00CF7D2C">
        <w:rPr>
          <w:color w:val="FF0000"/>
          <w:lang w:val="en-GB"/>
        </w:rPr>
        <w:t>red</w:t>
      </w:r>
      <w:r>
        <w:rPr>
          <w:lang w:val="en-GB"/>
        </w:rPr>
        <w:t xml:space="preserve">? How many borderline </w:t>
      </w:r>
      <w:r w:rsidR="00CF7D2C" w:rsidRPr="00CF7D2C">
        <w:rPr>
          <w:color w:val="FF0000"/>
          <w:lang w:val="en-GB"/>
        </w:rPr>
        <w:t>red</w:t>
      </w:r>
      <w:r>
        <w:rPr>
          <w:lang w:val="en-GB"/>
        </w:rPr>
        <w:t xml:space="preserve"> (near 25%) required before a perfect </w:t>
      </w:r>
      <w:r w:rsidR="0022569A" w:rsidRPr="0022569A">
        <w:rPr>
          <w:color w:val="00B050"/>
          <w:lang w:val="en-GB"/>
        </w:rPr>
        <w:t>green</w:t>
      </w:r>
      <w:r>
        <w:rPr>
          <w:lang w:val="en-GB"/>
        </w:rPr>
        <w:t xml:space="preserve"> (100%) is showing </w:t>
      </w:r>
      <w:r w:rsidR="00CF7D2C" w:rsidRPr="00CF7D2C">
        <w:rPr>
          <w:color w:val="FF0000"/>
          <w:lang w:val="en-GB"/>
        </w:rPr>
        <w:t>red</w:t>
      </w:r>
      <w:r>
        <w:rPr>
          <w:lang w:val="en-GB"/>
        </w:rPr>
        <w:t>?</w:t>
      </w:r>
    </w:p>
    <w:p w14:paraId="1CAD5BFD" w14:textId="1FA1F38A" w:rsidR="00487E8C" w:rsidRDefault="00487E8C" w:rsidP="00487E8C">
      <w:pPr>
        <w:rPr>
          <w:lang w:val="en-GB"/>
        </w:rPr>
      </w:pPr>
      <w:r>
        <w:rPr>
          <w:lang w:val="en-GB"/>
        </w:rPr>
        <w:t xml:space="preserve">The following table shows 1 perfect </w:t>
      </w:r>
      <w:r w:rsidR="0022569A" w:rsidRPr="0022569A">
        <w:rPr>
          <w:color w:val="00B050"/>
          <w:lang w:val="en-GB"/>
        </w:rPr>
        <w:t>green</w:t>
      </w:r>
      <w:r>
        <w:rPr>
          <w:lang w:val="en-GB"/>
        </w:rPr>
        <w:t xml:space="preserve"> score and 11 barely-</w:t>
      </w:r>
      <w:r w:rsidR="00CF7D2C" w:rsidRPr="00CF7D2C">
        <w:rPr>
          <w:color w:val="FF0000"/>
          <w:lang w:val="en-GB"/>
        </w:rPr>
        <w:t>red</w:t>
      </w:r>
      <w:r>
        <w:rPr>
          <w:lang w:val="en-GB"/>
        </w:rPr>
        <w:t xml:space="preserve"> scores. What color do you get at the end? </w:t>
      </w:r>
    </w:p>
    <w:p w14:paraId="41AEABF0" w14:textId="77777777" w:rsidR="00487E8C" w:rsidRDefault="00487E8C" w:rsidP="00487E8C">
      <w:pPr>
        <w:jc w:val="center"/>
        <w:rPr>
          <w:lang w:val="en-GB"/>
        </w:rPr>
      </w:pPr>
      <w:r w:rsidRPr="00844621">
        <w:rPr>
          <w:noProof/>
          <w:lang w:val="en-GB"/>
        </w:rPr>
        <w:drawing>
          <wp:inline distT="0" distB="0" distL="0" distR="0" wp14:anchorId="4EDDA8D9" wp14:editId="28A36519">
            <wp:extent cx="4006800" cy="2275200"/>
            <wp:effectExtent l="0" t="0" r="0" b="0"/>
            <wp:docPr id="1293284835" name="Picture 129328483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35" name="Picture 1293284835" descr="Table&#10;&#10;Description automatically generated"/>
                    <pic:cNvPicPr/>
                  </pic:nvPicPr>
                  <pic:blipFill>
                    <a:blip r:embed="rId260"/>
                    <a:stretch>
                      <a:fillRect/>
                    </a:stretch>
                  </pic:blipFill>
                  <pic:spPr>
                    <a:xfrm>
                      <a:off x="0" y="0"/>
                      <a:ext cx="4006800" cy="2275200"/>
                    </a:xfrm>
                    <a:prstGeom prst="rect">
                      <a:avLst/>
                    </a:prstGeom>
                  </pic:spPr>
                </pic:pic>
              </a:graphicData>
            </a:graphic>
          </wp:inline>
        </w:drawing>
      </w:r>
    </w:p>
    <w:p w14:paraId="6506E469" w14:textId="226FC762" w:rsidR="00487E8C" w:rsidRDefault="00487E8C" w:rsidP="00487E8C">
      <w:pPr>
        <w:rPr>
          <w:lang w:val="en-GB"/>
        </w:rPr>
      </w:pPr>
      <w:r>
        <w:rPr>
          <w:lang w:val="en-GB"/>
        </w:rPr>
        <w:t xml:space="preserve">Yup, you get </w:t>
      </w:r>
      <w:r w:rsidR="00CF7D2C" w:rsidRPr="00CF7D2C">
        <w:rPr>
          <w:color w:val="ED7D31" w:themeColor="accent2"/>
          <w:lang w:val="en-GB"/>
        </w:rPr>
        <w:t>orange</w:t>
      </w:r>
      <w:r>
        <w:rPr>
          <w:lang w:val="en-GB"/>
        </w:rPr>
        <w:t xml:space="preserve">, not </w:t>
      </w:r>
      <w:r w:rsidR="00CF7D2C" w:rsidRPr="00CF7D2C">
        <w:rPr>
          <w:color w:val="FF0000"/>
          <w:lang w:val="en-GB"/>
        </w:rPr>
        <w:t>red</w:t>
      </w:r>
      <w:r>
        <w:rPr>
          <w:lang w:val="en-GB"/>
        </w:rPr>
        <w:t xml:space="preserve">. It takes many </w:t>
      </w:r>
      <w:r w:rsidR="00CF7D2C" w:rsidRPr="00CF7D2C">
        <w:rPr>
          <w:color w:val="FF0000"/>
          <w:lang w:val="en-GB"/>
        </w:rPr>
        <w:t>red</w:t>
      </w:r>
      <w:r>
        <w:rPr>
          <w:lang w:val="en-GB"/>
        </w:rPr>
        <w:t xml:space="preserve"> scores, which makes it practically impossible to get a </w:t>
      </w:r>
      <w:r w:rsidR="00CF7D2C" w:rsidRPr="00CF7D2C">
        <w:rPr>
          <w:color w:val="FF0000"/>
          <w:lang w:val="en-GB"/>
        </w:rPr>
        <w:t>red</w:t>
      </w:r>
      <w:r>
        <w:rPr>
          <w:lang w:val="en-GB"/>
        </w:rPr>
        <w:t xml:space="preserve"> if each </w:t>
      </w:r>
      <w:r w:rsidR="00CF7D2C" w:rsidRPr="00CF7D2C">
        <w:rPr>
          <w:color w:val="FF0000"/>
          <w:lang w:val="en-GB"/>
        </w:rPr>
        <w:t>red</w:t>
      </w:r>
      <w:r>
        <w:rPr>
          <w:lang w:val="en-GB"/>
        </w:rPr>
        <w:t xml:space="preserve"> is barely there. That’s why your </w:t>
      </w:r>
      <w:r w:rsidR="00CF7D2C" w:rsidRPr="00CF7D2C">
        <w:rPr>
          <w:color w:val="FF0000"/>
          <w:lang w:val="en-GB"/>
        </w:rPr>
        <w:t>red</w:t>
      </w:r>
      <w:r>
        <w:rPr>
          <w:lang w:val="en-GB"/>
        </w:rPr>
        <w:t xml:space="preserve"> threshold needs to be 2x your </w:t>
      </w:r>
      <w:r w:rsidR="00CF7D2C" w:rsidRPr="00CF7D2C">
        <w:rPr>
          <w:color w:val="ED7D31" w:themeColor="accent2"/>
          <w:lang w:val="en-GB"/>
        </w:rPr>
        <w:t>orange</w:t>
      </w:r>
      <w:r>
        <w:rPr>
          <w:lang w:val="en-GB"/>
        </w:rPr>
        <w:t xml:space="preserve"> threshold. If you make it too big, you will get barely-</w:t>
      </w:r>
      <w:r w:rsidR="00CF7D2C" w:rsidRPr="00CF7D2C">
        <w:rPr>
          <w:color w:val="FF0000"/>
          <w:lang w:val="en-GB"/>
        </w:rPr>
        <w:t>red</w:t>
      </w:r>
      <w:r>
        <w:rPr>
          <w:lang w:val="en-GB"/>
        </w:rPr>
        <w:t xml:space="preserve"> in most cases.</w:t>
      </w:r>
    </w:p>
    <w:p w14:paraId="54758242" w14:textId="20640163" w:rsidR="00487E8C" w:rsidRDefault="00487E8C" w:rsidP="00487E8C">
      <w:pPr>
        <w:rPr>
          <w:lang w:val="en-GB"/>
        </w:rPr>
      </w:pPr>
      <w:r>
        <w:rPr>
          <w:lang w:val="en-GB"/>
        </w:rPr>
        <w:t xml:space="preserve">In actual environment, you certainly do not want to see </w:t>
      </w:r>
      <w:r w:rsidR="00CF7D2C" w:rsidRPr="00CF7D2C">
        <w:rPr>
          <w:color w:val="FF0000"/>
          <w:lang w:val="en-GB"/>
        </w:rPr>
        <w:t>red</w:t>
      </w:r>
      <w:r>
        <w:rPr>
          <w:lang w:val="en-GB"/>
        </w:rPr>
        <w:t xml:space="preserve">, even in development </w:t>
      </w:r>
      <w:r w:rsidR="00CF7D2C">
        <w:rPr>
          <w:lang w:val="en-GB"/>
        </w:rPr>
        <w:t>environment</w:t>
      </w:r>
      <w:r>
        <w:rPr>
          <w:lang w:val="en-GB"/>
        </w:rPr>
        <w:t xml:space="preserve">. Each VM will have their own score, but overall you want to see majority </w:t>
      </w:r>
      <w:r w:rsidR="0022569A" w:rsidRPr="0022569A">
        <w:rPr>
          <w:color w:val="00B050"/>
          <w:lang w:val="en-GB"/>
        </w:rPr>
        <w:t>green</w:t>
      </w:r>
      <w:r>
        <w:rPr>
          <w:lang w:val="en-GB"/>
        </w:rPr>
        <w:t xml:space="preserve">. Use heatmap to show, as it will automatically order them by the value. </w:t>
      </w:r>
    </w:p>
    <w:p w14:paraId="3B131051" w14:textId="77777777" w:rsidR="00487E8C" w:rsidRDefault="00487E8C" w:rsidP="00487E8C">
      <w:pPr>
        <w:rPr>
          <w:lang w:val="en-GB"/>
        </w:rPr>
      </w:pPr>
      <w:r w:rsidRPr="00A910FA">
        <w:rPr>
          <w:noProof/>
          <w:lang w:val="en-GB"/>
        </w:rPr>
        <w:lastRenderedPageBreak/>
        <w:drawing>
          <wp:inline distT="0" distB="0" distL="0" distR="0" wp14:anchorId="1F6A48E0" wp14:editId="4B7A7637">
            <wp:extent cx="6645910" cy="912495"/>
            <wp:effectExtent l="0" t="0" r="2540" b="1905"/>
            <wp:docPr id="1293284845" name="Picture 1293284845"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45" name="Picture 1293284845" descr="Chart, treemap chart&#10;&#10;Description automatically generated"/>
                    <pic:cNvPicPr/>
                  </pic:nvPicPr>
                  <pic:blipFill>
                    <a:blip r:embed="rId261"/>
                    <a:stretch>
                      <a:fillRect/>
                    </a:stretch>
                  </pic:blipFill>
                  <pic:spPr>
                    <a:xfrm>
                      <a:off x="0" y="0"/>
                      <a:ext cx="6645910" cy="912495"/>
                    </a:xfrm>
                    <a:prstGeom prst="rect">
                      <a:avLst/>
                    </a:prstGeom>
                  </pic:spPr>
                </pic:pic>
              </a:graphicData>
            </a:graphic>
          </wp:inline>
        </w:drawing>
      </w:r>
    </w:p>
    <w:p w14:paraId="09481288" w14:textId="77777777" w:rsidR="00487E8C" w:rsidRDefault="00487E8C" w:rsidP="00487E8C">
      <w:pPr>
        <w:pStyle w:val="Heading3"/>
        <w:tabs>
          <w:tab w:val="left" w:pos="9665"/>
        </w:tabs>
      </w:pPr>
      <w:r>
        <w:t xml:space="preserve">Capacity Metrics </w:t>
      </w:r>
      <w:r>
        <w:tab/>
      </w:r>
    </w:p>
    <w:p w14:paraId="2CFB95F8" w14:textId="77777777" w:rsidR="00487E8C" w:rsidRDefault="00487E8C" w:rsidP="00487E8C">
      <w:pPr>
        <w:rPr>
          <w:lang w:val="en-GB"/>
        </w:rPr>
      </w:pPr>
      <w:r>
        <w:rPr>
          <w:lang w:val="en-GB"/>
        </w:rPr>
        <w:t xml:space="preserve">There are concepts and nuances in capacity that makes the metrics more complex than simple metrics such as utilization. </w:t>
      </w:r>
    </w:p>
    <w:p w14:paraId="4AB5052A" w14:textId="4E5F898C" w:rsidR="00487E8C" w:rsidRDefault="00487E8C" w:rsidP="00487E8C">
      <w:pPr>
        <w:rPr>
          <w:lang w:val="en-GB"/>
        </w:rPr>
      </w:pPr>
      <w:r>
        <w:rPr>
          <w:lang w:val="en-GB"/>
        </w:rPr>
        <w:t xml:space="preserve">One main concept is Usable Capacity, which is unique to capacity. There is no usable performance, usable compliance and usable availability. In the context of capacity, you measure the utilization against it instead of </w:t>
      </w:r>
      <w:r w:rsidR="00D611A8">
        <w:rPr>
          <w:lang w:val="en-GB"/>
        </w:rPr>
        <w:t>against</w:t>
      </w:r>
      <w:r>
        <w:rPr>
          <w:lang w:val="en-GB"/>
        </w:rPr>
        <w:t xml:space="preserve"> total physical capacity. Because of this, your utilization can exceed 100%, making your Capacity Remaining (%) = 0%.</w:t>
      </w:r>
    </w:p>
    <w:p w14:paraId="1D93ED55" w14:textId="77777777" w:rsidR="00487E8C" w:rsidRDefault="00487E8C" w:rsidP="00487E8C">
      <w:pPr>
        <w:pStyle w:val="Heading4"/>
      </w:pPr>
      <w:r>
        <w:t>Capacity Remaining | Time Remaining</w:t>
      </w:r>
    </w:p>
    <w:p w14:paraId="4F049DE2" w14:textId="77777777" w:rsidR="00487E8C" w:rsidRDefault="00487E8C" w:rsidP="00487E8C">
      <w:pPr>
        <w:rPr>
          <w:lang w:val="en-GB"/>
        </w:rPr>
      </w:pPr>
      <w:r>
        <w:rPr>
          <w:lang w:val="en-GB"/>
        </w:rPr>
        <w:t xml:space="preserve">These 2 metrics need to be reviewed together, because the ideal situation is the object (VM, cluster, etc.) is highly utilization yet you do not need to increase capacity. It’s well used and nothing wasted. </w:t>
      </w:r>
    </w:p>
    <w:p w14:paraId="7F29D64B" w14:textId="77777777" w:rsidR="00487E8C" w:rsidRDefault="00487E8C" w:rsidP="00487E8C">
      <w:pPr>
        <w:pStyle w:val="Heading5"/>
      </w:pPr>
      <w:r>
        <w:t>Capacity Remaining</w:t>
      </w:r>
    </w:p>
    <w:p w14:paraId="030EEA5E" w14:textId="77777777" w:rsidR="00487E8C" w:rsidRDefault="00487E8C" w:rsidP="00487E8C">
      <w:pPr>
        <w:rPr>
          <w:lang w:val="en-GB"/>
        </w:rPr>
      </w:pPr>
      <w:r>
        <w:rPr>
          <w:lang w:val="en-GB"/>
        </w:rPr>
        <w:t>Capacity Remaining (%) metric is a complex metric as it depends on the time. Let me use an analogy as it’s easier when the demand has end date:</w:t>
      </w:r>
    </w:p>
    <w:p w14:paraId="6E41DA02" w14:textId="77777777" w:rsidR="00487E8C" w:rsidRDefault="00487E8C" w:rsidP="00487E8C">
      <w:pPr>
        <w:pStyle w:val="Bullet"/>
        <w:rPr>
          <w:lang w:val="en-GB"/>
        </w:rPr>
      </w:pPr>
      <w:r>
        <w:rPr>
          <w:lang w:val="en-GB"/>
        </w:rPr>
        <w:t>You operate a restaurant business. It has 100 seats.</w:t>
      </w:r>
    </w:p>
    <w:p w14:paraId="6F5571F7" w14:textId="77777777" w:rsidR="00487E8C" w:rsidRDefault="00487E8C" w:rsidP="00487E8C">
      <w:pPr>
        <w:pStyle w:val="Bullet"/>
        <w:rPr>
          <w:lang w:val="en-GB"/>
        </w:rPr>
      </w:pPr>
      <w:r>
        <w:rPr>
          <w:lang w:val="en-GB"/>
        </w:rPr>
        <w:t>It’s 4 pm in the afternoon, and you have plenty of seats as it’s not a busy hour. But you’re fully booked for dinner.</w:t>
      </w:r>
    </w:p>
    <w:p w14:paraId="3C020F96" w14:textId="77777777" w:rsidR="00487E8C" w:rsidRDefault="00487E8C" w:rsidP="00487E8C">
      <w:pPr>
        <w:pStyle w:val="Bullet"/>
        <w:rPr>
          <w:lang w:val="en-GB"/>
        </w:rPr>
      </w:pPr>
      <w:r>
        <w:rPr>
          <w:lang w:val="en-GB"/>
        </w:rPr>
        <w:t>What is your Capacity Remaining (%)?</w:t>
      </w:r>
    </w:p>
    <w:p w14:paraId="361CB4E6" w14:textId="77777777" w:rsidR="00487E8C" w:rsidRDefault="00487E8C" w:rsidP="00487E8C">
      <w:pPr>
        <w:pStyle w:val="Bullet"/>
        <w:rPr>
          <w:lang w:val="en-GB"/>
        </w:rPr>
      </w:pPr>
      <w:r>
        <w:rPr>
          <w:lang w:val="en-GB"/>
        </w:rPr>
        <w:t>The answer is it depends on what time.</w:t>
      </w:r>
    </w:p>
    <w:p w14:paraId="0654B95E" w14:textId="77777777" w:rsidR="00487E8C" w:rsidRDefault="00487E8C" w:rsidP="00487E8C">
      <w:pPr>
        <w:pStyle w:val="Bullet"/>
        <w:rPr>
          <w:lang w:val="en-GB"/>
        </w:rPr>
      </w:pPr>
      <w:r>
        <w:rPr>
          <w:lang w:val="en-GB"/>
        </w:rPr>
        <w:t>What is your Time Remaining (Days)?</w:t>
      </w:r>
    </w:p>
    <w:p w14:paraId="7B580E81" w14:textId="77777777" w:rsidR="00487E8C" w:rsidRDefault="00487E8C" w:rsidP="00487E8C">
      <w:pPr>
        <w:pStyle w:val="Bullet"/>
        <w:rPr>
          <w:lang w:val="en-GB"/>
        </w:rPr>
      </w:pPr>
      <w:r>
        <w:rPr>
          <w:lang w:val="en-GB"/>
        </w:rPr>
        <w:lastRenderedPageBreak/>
        <w:t xml:space="preserve">The answer depends on your projection. </w:t>
      </w:r>
      <w:r>
        <w:rPr>
          <w:lang w:val="en-GB"/>
        </w:rPr>
        <w:br/>
        <w:t xml:space="preserve">If you only reject a small percentage of customers and the additional potential revenue is not worth the capital expansion, your Time Remaining is forever. </w:t>
      </w:r>
      <w:r>
        <w:rPr>
          <w:lang w:val="en-GB"/>
        </w:rPr>
        <w:br/>
        <w:t>If you reject enough customers and foresee demand will grow, you take the risk of adding more capacity. In this case, your time remaining is 0 days.</w:t>
      </w:r>
    </w:p>
    <w:p w14:paraId="7C317660" w14:textId="77777777" w:rsidR="00487E8C" w:rsidRDefault="00487E8C" w:rsidP="00487E8C">
      <w:pPr>
        <w:rPr>
          <w:lang w:val="en-GB"/>
        </w:rPr>
      </w:pPr>
      <w:r>
        <w:rPr>
          <w:lang w:val="en-GB"/>
        </w:rPr>
        <w:t xml:space="preserve">The Capacity Remaining (%) metric is </w:t>
      </w:r>
      <w:r w:rsidRPr="00A452F2">
        <w:rPr>
          <w:lang w:val="en-GB"/>
        </w:rPr>
        <w:t>a projected value, 3 days into the future, hence it might differ with currently used capacity.</w:t>
      </w:r>
      <w:r>
        <w:rPr>
          <w:lang w:val="en-GB"/>
        </w:rPr>
        <w:t xml:space="preserve"> The 3-days is hardcoded, not something you can change. No, it does not and should not care about the future demand, even though they are already committed. </w:t>
      </w:r>
    </w:p>
    <w:p w14:paraId="10974979" w14:textId="77777777" w:rsidR="00487E8C" w:rsidRDefault="00487E8C" w:rsidP="00487E8C">
      <w:pPr>
        <w:rPr>
          <w:lang w:val="en-GB"/>
        </w:rPr>
      </w:pPr>
      <w:r>
        <w:rPr>
          <w:lang w:val="en-GB"/>
        </w:rPr>
        <w:t xml:space="preserve">As it is a future value, there is confidence band. You can choose between aggressive (based on the upper limit of the band) and conservative (based on the actual trajectory). </w:t>
      </w:r>
    </w:p>
    <w:p w14:paraId="16EA5F88" w14:textId="77777777" w:rsidR="00487E8C" w:rsidRDefault="00487E8C" w:rsidP="00487E8C">
      <w:r>
        <w:t xml:space="preserve">The projection algorithm </w:t>
      </w:r>
      <w:r w:rsidRPr="000D69D1">
        <w:t>is based on ARIMA, DFT, Spike and Plateau models. A year's worth daily aggregated (currently average) data is used, with more weight given to more recent data (this feature is called exponential decay). A limitation is it won’t handle workload with annual cycle</w:t>
      </w:r>
      <w:r>
        <w:t>.</w:t>
      </w:r>
    </w:p>
    <w:p w14:paraId="385F9D34" w14:textId="77777777" w:rsidR="00487E8C" w:rsidRDefault="00487E8C" w:rsidP="00487E8C">
      <w:pPr>
        <w:jc w:val="center"/>
      </w:pPr>
      <w:r>
        <w:rPr>
          <w:noProof/>
        </w:rPr>
        <w:drawing>
          <wp:inline distT="0" distB="0" distL="0" distR="0" wp14:anchorId="789196AD" wp14:editId="044E68CE">
            <wp:extent cx="5653146" cy="2922104"/>
            <wp:effectExtent l="0" t="0" r="5080" b="0"/>
            <wp:docPr id="606394371" name="Picture 60639437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71" name="Picture 606394371" descr="Chart, line chart&#10;&#10;Description automatically generated"/>
                    <pic:cNvPicPr/>
                  </pic:nvPicPr>
                  <pic:blipFill>
                    <a:blip r:embed="rId262">
                      <a:extLst>
                        <a:ext uri="{28A0092B-C50C-407E-A947-70E740481C1C}">
                          <a14:useLocalDpi xmlns:a14="http://schemas.microsoft.com/office/drawing/2010/main" val="0"/>
                        </a:ext>
                      </a:extLst>
                    </a:blip>
                    <a:stretch>
                      <a:fillRect/>
                    </a:stretch>
                  </pic:blipFill>
                  <pic:spPr>
                    <a:xfrm>
                      <a:off x="0" y="0"/>
                      <a:ext cx="5653146" cy="2922104"/>
                    </a:xfrm>
                    <a:prstGeom prst="rect">
                      <a:avLst/>
                    </a:prstGeom>
                  </pic:spPr>
                </pic:pic>
              </a:graphicData>
            </a:graphic>
          </wp:inline>
        </w:drawing>
      </w:r>
    </w:p>
    <w:p w14:paraId="471EA197" w14:textId="77777777" w:rsidR="00487E8C" w:rsidRDefault="00487E8C" w:rsidP="00487E8C">
      <w:pPr>
        <w:rPr>
          <w:lang w:val="en-GB"/>
        </w:rPr>
      </w:pPr>
      <w:r>
        <w:t xml:space="preserve">Note that </w:t>
      </w:r>
      <w:r w:rsidRPr="00897ED1">
        <w:t>the</w:t>
      </w:r>
      <w:r>
        <w:t xml:space="preserve"> value of </w:t>
      </w:r>
      <w:r w:rsidRPr="00897ED1">
        <w:t xml:space="preserve">will be </w:t>
      </w:r>
      <w:r>
        <w:t xml:space="preserve">set </w:t>
      </w:r>
      <w:r w:rsidRPr="00897ED1">
        <w:t xml:space="preserve">to 0 if during the given collection cycle the </w:t>
      </w:r>
      <w:r>
        <w:t>demand</w:t>
      </w:r>
      <w:r w:rsidRPr="00897ED1">
        <w:t xml:space="preserve"> breaches the usable capacity. This is because at that moment there is really no capacity.</w:t>
      </w:r>
      <w:r>
        <w:t xml:space="preserve"> This can cause fluctuating value of Capacity Remaining metric if the load regularly touches the usable capacity threshold.</w:t>
      </w:r>
    </w:p>
    <w:p w14:paraId="7D2A058E" w14:textId="77777777" w:rsidR="00487E8C" w:rsidRDefault="00487E8C" w:rsidP="00487E8C">
      <w:pPr>
        <w:rPr>
          <w:lang w:val="en-GB"/>
        </w:rPr>
      </w:pPr>
      <w:r>
        <w:rPr>
          <w:lang w:val="en-GB"/>
        </w:rPr>
        <w:t>Take note that CPU Capacity Remaining (%) and Memory Capacity Remaining (%) appear in the policy as enabled but cannot be used. That’s an internal metric which should have been hidden.</w:t>
      </w:r>
    </w:p>
    <w:p w14:paraId="50240169" w14:textId="77777777" w:rsidR="00487E8C" w:rsidRDefault="00487E8C" w:rsidP="00487E8C">
      <w:pPr>
        <w:pStyle w:val="Heading5"/>
      </w:pPr>
      <w:r w:rsidRPr="000C3357">
        <w:t>Time Remaining</w:t>
      </w:r>
    </w:p>
    <w:p w14:paraId="1056F77C" w14:textId="77777777" w:rsidR="00487E8C" w:rsidRDefault="00487E8C" w:rsidP="00487E8C">
      <w:r>
        <w:t>It measures the number of days before capacity runs out. For conservative projection, this measures the t</w:t>
      </w:r>
      <w:r w:rsidRPr="000D69D1">
        <w:t xml:space="preserve">ime </w:t>
      </w:r>
      <w:r>
        <w:t xml:space="preserve">required </w:t>
      </w:r>
      <w:r w:rsidRPr="000D69D1">
        <w:t xml:space="preserve">from now to when the upper confidence interval of Long Term Forecast intersects/crosses Usable Capacity. </w:t>
      </w:r>
      <w:r>
        <w:t xml:space="preserve">The projection is up to 1 year, with time remaining above 1 year is simply shown as 1 year. </w:t>
      </w:r>
    </w:p>
    <w:p w14:paraId="7360F775" w14:textId="77777777" w:rsidR="00487E8C" w:rsidRDefault="00487E8C" w:rsidP="00487E8C">
      <w:r>
        <w:t xml:space="preserve">Formula wise, it’s based on the utilization metric. It’s </w:t>
      </w:r>
      <w:r w:rsidRPr="00061E36">
        <w:rPr>
          <w:i/>
          <w:iCs/>
          <w:color w:val="FF0000"/>
        </w:rPr>
        <w:t>not</w:t>
      </w:r>
      <w:r w:rsidRPr="00061E36">
        <w:rPr>
          <w:color w:val="FF0000"/>
        </w:rPr>
        <w:t xml:space="preserve"> </w:t>
      </w:r>
      <w:r>
        <w:t xml:space="preserve">a projection of the Capacity Remaining metric. But should it be? Let me know your thought! </w:t>
      </w:r>
    </w:p>
    <w:p w14:paraId="6A02322C" w14:textId="77777777" w:rsidR="00487E8C" w:rsidRDefault="00487E8C" w:rsidP="00487E8C">
      <w:pPr>
        <w:pStyle w:val="Heading4"/>
      </w:pPr>
      <w:r w:rsidRPr="000C3357">
        <w:lastRenderedPageBreak/>
        <w:t>Recommended Size</w:t>
      </w:r>
    </w:p>
    <w:p w14:paraId="714BA6C3" w14:textId="0E2EDDC9" w:rsidR="00487E8C" w:rsidRDefault="00487E8C" w:rsidP="00487E8C">
      <w:r>
        <w:t>It i</w:t>
      </w:r>
      <w:r w:rsidRPr="00E43C15">
        <w:t xml:space="preserve">s based on the </w:t>
      </w:r>
      <w:r w:rsidRPr="00926E34">
        <w:rPr>
          <w:i/>
          <w:iCs/>
        </w:rPr>
        <w:t>highest</w:t>
      </w:r>
      <w:r w:rsidRPr="00E43C15">
        <w:t xml:space="preserve"> projected value within the planning window, </w:t>
      </w:r>
      <w:r>
        <w:t>not</w:t>
      </w:r>
      <w:r w:rsidRPr="00E43C15">
        <w:t xml:space="preserve"> the value of projection at the end of the window.</w:t>
      </w:r>
      <w:r>
        <w:t xml:space="preserve"> By default, the planning window is 60 days for VM. This comes from 30 days provisioning buffer + 30 days (the default threshold for Time Remaining to be in the </w:t>
      </w:r>
      <w:r w:rsidR="0022569A" w:rsidRPr="0022569A">
        <w:rPr>
          <w:color w:val="00B050"/>
        </w:rPr>
        <w:t>green</w:t>
      </w:r>
      <w:r>
        <w:t xml:space="preserve"> zone, as shown in the screenshot).</w:t>
      </w:r>
    </w:p>
    <w:p w14:paraId="7E496C70" w14:textId="77777777" w:rsidR="00487E8C" w:rsidRDefault="00487E8C" w:rsidP="00487E8C">
      <w:pPr>
        <w:jc w:val="center"/>
      </w:pPr>
      <w:r w:rsidRPr="00926E34">
        <w:rPr>
          <w:noProof/>
        </w:rPr>
        <w:drawing>
          <wp:inline distT="0" distB="0" distL="0" distR="0" wp14:anchorId="4F176759" wp14:editId="4FE4AA3B">
            <wp:extent cx="3870416" cy="1383745"/>
            <wp:effectExtent l="0" t="0" r="0" b="6985"/>
            <wp:docPr id="1293284820" name="Picture 129328482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20" name="Picture 1293284820" descr="Graphical user interface, text, application, email&#10;&#10;Description automatically generated"/>
                    <pic:cNvPicPr/>
                  </pic:nvPicPr>
                  <pic:blipFill>
                    <a:blip r:embed="rId263"/>
                    <a:stretch>
                      <a:fillRect/>
                    </a:stretch>
                  </pic:blipFill>
                  <pic:spPr>
                    <a:xfrm>
                      <a:off x="0" y="0"/>
                      <a:ext cx="3873054" cy="1384688"/>
                    </a:xfrm>
                    <a:prstGeom prst="rect">
                      <a:avLst/>
                    </a:prstGeom>
                  </pic:spPr>
                </pic:pic>
              </a:graphicData>
            </a:graphic>
          </wp:inline>
        </w:drawing>
      </w:r>
    </w:p>
    <w:p w14:paraId="61D21094" w14:textId="77777777" w:rsidR="00487E8C" w:rsidRDefault="00487E8C" w:rsidP="00487E8C">
      <w:r>
        <w:t xml:space="preserve">If the VM usage is increasing over time, the projection will likely follow, and you will get a number that exists 60 days into the future. </w:t>
      </w:r>
    </w:p>
    <w:p w14:paraId="52D2DC66" w14:textId="77777777" w:rsidR="00487E8C" w:rsidRDefault="00487E8C" w:rsidP="00487E8C">
      <w:r>
        <w:t>If your operations is able to make frequent adjustment, change the Time Remaining window to 0. This will give 30 days adjustment period.</w:t>
      </w:r>
    </w:p>
    <w:p w14:paraId="7E5E1EB3" w14:textId="77777777" w:rsidR="00487E8C" w:rsidRDefault="00487E8C" w:rsidP="00487E8C">
      <w:r>
        <w:t xml:space="preserve">Take note that the recommended size for Memory is rounded to the nearest GB. </w:t>
      </w:r>
    </w:p>
    <w:p w14:paraId="7BCCBD92" w14:textId="77777777" w:rsidR="00487E8C" w:rsidRPr="00882BDF" w:rsidRDefault="00487E8C" w:rsidP="00487E8C">
      <w:r w:rsidRPr="004B13DA">
        <w:rPr>
          <w:noProof/>
        </w:rPr>
        <w:drawing>
          <wp:inline distT="0" distB="0" distL="0" distR="0" wp14:anchorId="12637EAA" wp14:editId="0DFF0273">
            <wp:extent cx="6645910" cy="2943225"/>
            <wp:effectExtent l="0" t="0" r="2540" b="9525"/>
            <wp:docPr id="357815362" name="Picture 35781536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62" name="Picture 357815362" descr="Graphical user interface, application&#10;&#10;Description automatically generated"/>
                    <pic:cNvPicPr/>
                  </pic:nvPicPr>
                  <pic:blipFill>
                    <a:blip r:embed="rId264"/>
                    <a:stretch>
                      <a:fillRect/>
                    </a:stretch>
                  </pic:blipFill>
                  <pic:spPr>
                    <a:xfrm>
                      <a:off x="0" y="0"/>
                      <a:ext cx="6645910" cy="2943225"/>
                    </a:xfrm>
                    <a:prstGeom prst="rect">
                      <a:avLst/>
                    </a:prstGeom>
                  </pic:spPr>
                </pic:pic>
              </a:graphicData>
            </a:graphic>
          </wp:inline>
        </w:drawing>
      </w:r>
    </w:p>
    <w:p w14:paraId="0F1B9A52" w14:textId="354728DD" w:rsidR="00FF0111" w:rsidRDefault="00FF0111" w:rsidP="00FF0111">
      <w:pPr>
        <w:pStyle w:val="Heading2"/>
      </w:pPr>
      <w:r>
        <w:rPr>
          <w:noProof/>
        </w:rPr>
        <w:lastRenderedPageBreak/>
        <mc:AlternateContent>
          <mc:Choice Requires="wps">
            <w:drawing>
              <wp:anchor distT="0" distB="0" distL="114300" distR="114300" simplePos="0" relativeHeight="251685888" behindDoc="0" locked="0" layoutInCell="1" allowOverlap="1" wp14:anchorId="6482EFFC" wp14:editId="0E3D77CF">
                <wp:simplePos x="0" y="0"/>
                <wp:positionH relativeFrom="column">
                  <wp:posOffset>0</wp:posOffset>
                </wp:positionH>
                <wp:positionV relativeFrom="paragraph">
                  <wp:posOffset>738505</wp:posOffset>
                </wp:positionV>
                <wp:extent cx="1828800" cy="1828800"/>
                <wp:effectExtent l="0" t="0" r="0" b="0"/>
                <wp:wrapNone/>
                <wp:docPr id="606394164" name="Text Box 60639416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B69038C" w14:textId="77777777" w:rsidR="00FF0111" w:rsidRPr="00C84219" w:rsidRDefault="00FF0111" w:rsidP="00FF0111">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2 Chapter 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6482EFFC" id="Text Box 606394164" o:spid="_x0000_s1032" type="#_x0000_t202" style="position:absolute;left:0;text-align:left;margin-left:0;margin-top:58.15pt;width:2in;height:2in;z-index:251685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" filled="f" stroked="f">
                <v:textbox style="mso-fit-shape-to-text:t">
                  <w:txbxContent>
                    <w:p w14:paraId="3B69038C" w14:textId="77777777" w:rsidR="00FF0111" w:rsidRPr="00C84219" w:rsidRDefault="00FF0111" w:rsidP="00FF0111">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2 Chapter 2</w:t>
                      </w:r>
                    </w:p>
                  </w:txbxContent>
                </v:textbox>
              </v:shape>
            </w:pict>
          </mc:Fallback>
        </mc:AlternateContent>
      </w:r>
      <w:r w:rsidR="0014228A">
        <w:t xml:space="preserve">System </w:t>
      </w:r>
      <w:r>
        <w:t>Architecture</w:t>
      </w:r>
    </w:p>
    <w:p w14:paraId="699B8AA8" w14:textId="2C45799B" w:rsidR="001D546D" w:rsidRDefault="00B459F1" w:rsidP="00FF0111">
      <w:pPr>
        <w:pStyle w:val="AfterChapterTitle"/>
      </w:pPr>
      <w:bookmarkStart w:id="67" w:name="_Hlk133829982"/>
      <w:r>
        <w:t xml:space="preserve">We </w:t>
      </w:r>
      <w:r w:rsidR="00BC5693">
        <w:t xml:space="preserve">cover in previous chapter that system architecture contribute to metric complexity. Understanding the architecture becomes essential in mastering the metrics. </w:t>
      </w:r>
    </w:p>
    <w:p w14:paraId="398256F7" w14:textId="00317D2E" w:rsidR="001D546D" w:rsidRDefault="001D546D" w:rsidP="000C08F0">
      <w:r>
        <w:t xml:space="preserve">Metric </w:t>
      </w:r>
      <w:r w:rsidRPr="0022571E">
        <w:t>is essentially an accounting of systems in operation. To understand the counter hence requires a knowledge of how the system works. Without internalizing the mechanics, you will have to rely on memorizing.</w:t>
      </w:r>
      <w:r>
        <w:t xml:space="preserve"> In my case, memorizing is only good for exam. So do take time to truly understand it. Spend time doing actual troubleshooting to complement the theoretical knowledge. </w:t>
      </w:r>
    </w:p>
    <w:p w14:paraId="48082E4B" w14:textId="3883F608" w:rsidR="00FF0111" w:rsidRDefault="00B459F1" w:rsidP="000C08F0">
      <w:r>
        <w:t xml:space="preserve">Throughout this book, I’d cover them in the sequence of CPU </w:t>
      </w:r>
      <w:r>
        <w:sym w:font="Wingdings" w:char="F0E0"/>
      </w:r>
      <w:r>
        <w:t xml:space="preserve"> Memory </w:t>
      </w:r>
      <w:r>
        <w:sym w:font="Wingdings" w:char="F0E0"/>
      </w:r>
      <w:r>
        <w:t xml:space="preserve"> Storage </w:t>
      </w:r>
      <w:r>
        <w:sym w:font="Wingdings" w:char="F0E0"/>
      </w:r>
      <w:r>
        <w:t xml:space="preserve"> Network.</w:t>
      </w:r>
    </w:p>
    <w:bookmarkEnd w:id="67"/>
    <w:p w14:paraId="4633677C" w14:textId="35819A46" w:rsidR="00FF0111" w:rsidRDefault="00FF0111" w:rsidP="00FF0111">
      <w:pPr>
        <w:pStyle w:val="Heading3"/>
      </w:pPr>
      <w:r>
        <w:t>CPU</w:t>
      </w:r>
    </w:p>
    <w:p w14:paraId="3D15D70A" w14:textId="540E1DD3" w:rsidR="00FF0111" w:rsidRPr="00F53A85" w:rsidRDefault="00B459F1" w:rsidP="00FF0111">
      <w:pPr>
        <w:rPr>
          <w:lang w:val="en-GB"/>
        </w:rPr>
      </w:pPr>
      <w:r>
        <w:rPr>
          <w:lang w:val="en-GB"/>
        </w:rPr>
        <w:t xml:space="preserve">What used to be Windows or Linux running on a server has transformed into </w:t>
      </w:r>
      <w:r w:rsidR="00FF0111">
        <w:rPr>
          <w:lang w:val="en-GB"/>
        </w:rPr>
        <w:t xml:space="preserve">Guest OS </w:t>
      </w:r>
      <w:r w:rsidR="004A00DA" w:rsidRPr="004A00DA">
        <w:rPr>
          <w:lang w:val="en-GB"/>
        </w:rPr>
        <w:sym w:font="Wingdings" w:char="F0E0"/>
      </w:r>
      <w:r w:rsidR="00FF0111">
        <w:rPr>
          <w:lang w:val="en-GB"/>
        </w:rPr>
        <w:t xml:space="preserve"> VM </w:t>
      </w:r>
      <w:r w:rsidR="004A00DA" w:rsidRPr="004A00DA">
        <w:rPr>
          <w:lang w:val="en-GB"/>
        </w:rPr>
        <w:sym w:font="Wingdings" w:char="F0E0"/>
      </w:r>
      <w:r w:rsidR="004A00DA">
        <w:rPr>
          <w:lang w:val="en-GB"/>
        </w:rPr>
        <w:t xml:space="preserve"> </w:t>
      </w:r>
      <w:r w:rsidR="00FF0111">
        <w:rPr>
          <w:lang w:val="en-GB"/>
        </w:rPr>
        <w:t>ESXi. There 3 distinct layers result</w:t>
      </w:r>
      <w:r>
        <w:rPr>
          <w:lang w:val="en-GB"/>
        </w:rPr>
        <w:t>ed</w:t>
      </w:r>
      <w:r w:rsidR="00FF0111">
        <w:rPr>
          <w:lang w:val="en-GB"/>
        </w:rPr>
        <w:t xml:space="preserve"> in </w:t>
      </w:r>
      <w:r>
        <w:rPr>
          <w:lang w:val="en-GB"/>
        </w:rPr>
        <w:t xml:space="preserve">complexity </w:t>
      </w:r>
      <w:r w:rsidR="00FF0111">
        <w:rPr>
          <w:lang w:val="en-GB"/>
        </w:rPr>
        <w:t xml:space="preserve">documented in Part 2 Chapter 1. </w:t>
      </w:r>
      <w:r w:rsidR="005A1C4D">
        <w:rPr>
          <w:lang w:val="en-GB"/>
        </w:rPr>
        <w:t>This is not as complex as memory, where you have 4 layers as process running inside a Guest OS represents another layer.</w:t>
      </w:r>
    </w:p>
    <w:p w14:paraId="1760D603" w14:textId="794068E1" w:rsidR="00F91723" w:rsidRDefault="00F91723" w:rsidP="00F91723">
      <w:r>
        <w:t xml:space="preserve">The following infographic shows </w:t>
      </w:r>
      <w:r w:rsidR="004A00DA">
        <w:t xml:space="preserve">how the nature of CPU metrics change </w:t>
      </w:r>
      <w:r>
        <w:t>as a result of virtualization.</w:t>
      </w:r>
    </w:p>
    <w:p w14:paraId="78FEEF0D" w14:textId="77777777" w:rsidR="00F91723" w:rsidRPr="00AD756B" w:rsidRDefault="00F91723" w:rsidP="00F91723">
      <w:pPr>
        <w:jc w:val="center"/>
      </w:pPr>
      <w:r w:rsidRPr="00FB2D9B">
        <w:rPr>
          <w:noProof/>
        </w:rPr>
        <w:lastRenderedPageBreak/>
        <w:drawing>
          <wp:inline distT="0" distB="0" distL="0" distR="0" wp14:anchorId="3065F891" wp14:editId="52FD968F">
            <wp:extent cx="5768809" cy="2762039"/>
            <wp:effectExtent l="0" t="0" r="3810" b="635"/>
            <wp:docPr id="606394250" name="Picture 606394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5780444" cy="2767610"/>
                    </a:xfrm>
                    <a:prstGeom prst="rect">
                      <a:avLst/>
                    </a:prstGeom>
                  </pic:spPr>
                </pic:pic>
              </a:graphicData>
            </a:graphic>
          </wp:inline>
        </w:drawing>
      </w:r>
      <w:r>
        <w:rPr>
          <w:rStyle w:val="FootnoteReference"/>
        </w:rPr>
        <w:footnoteReference w:id="13"/>
      </w:r>
    </w:p>
    <w:p w14:paraId="1A8C7733" w14:textId="1249C842" w:rsidR="003B3D04" w:rsidRDefault="00B20517" w:rsidP="003B3D04">
      <w:r>
        <w:t xml:space="preserve">Specifically for CPU, we need to be aware of dynamic metric. This means their values fluctuates depending on CPU clock speed and HT effect. </w:t>
      </w:r>
      <w:r w:rsidR="00DA7C7F">
        <w:t xml:space="preserve">As a result, the values </w:t>
      </w:r>
      <w:r>
        <w:t xml:space="preserve">are harder to </w:t>
      </w:r>
      <w:r w:rsidRPr="00727E5F">
        <w:rPr>
          <w:i/>
          <w:iCs/>
          <w:color w:val="FF0000"/>
        </w:rPr>
        <w:t>figure out</w:t>
      </w:r>
      <w:r>
        <w:t xml:space="preserve"> due to lack of observability on </w:t>
      </w:r>
      <w:r w:rsidR="00DA7C7F">
        <w:t>the fluctuation. This is not an issue if the range is negligible. It is not.</w:t>
      </w:r>
      <w:r>
        <w:t xml:space="preserve"> For example, </w:t>
      </w:r>
      <w:r w:rsidRPr="00710C4E">
        <w:t xml:space="preserve">HT </w:t>
      </w:r>
      <w:r>
        <w:t xml:space="preserve">can increase </w:t>
      </w:r>
      <w:r w:rsidRPr="00710C4E">
        <w:t>the value</w:t>
      </w:r>
      <w:r>
        <w:t xml:space="preserve"> of CPU Latency anywhere from 0% to 37.5%.</w:t>
      </w:r>
    </w:p>
    <w:p w14:paraId="05B0F81D" w14:textId="77777777" w:rsidR="00F91723" w:rsidRDefault="00F91723" w:rsidP="00F91723">
      <w:pPr>
        <w:pStyle w:val="Heading4"/>
      </w:pPr>
      <w:r>
        <w:t>Guest OS vs VM</w:t>
      </w:r>
    </w:p>
    <w:p w14:paraId="41750AD7" w14:textId="77777777" w:rsidR="003B3D04" w:rsidRDefault="00FF0111" w:rsidP="00FF0111">
      <w:r w:rsidRPr="00AD756B">
        <w:t>C</w:t>
      </w:r>
      <w:r>
        <w:t>P</w:t>
      </w:r>
      <w:r w:rsidRPr="00AD756B">
        <w:t xml:space="preserve">U </w:t>
      </w:r>
      <w:r>
        <w:t>metrics</w:t>
      </w:r>
      <w:r w:rsidRPr="00AD756B">
        <w:t xml:space="preserve"> </w:t>
      </w:r>
      <w:r>
        <w:t>for</w:t>
      </w:r>
      <w:r w:rsidRPr="00AD756B">
        <w:t xml:space="preserve"> </w:t>
      </w:r>
      <w:r>
        <w:t xml:space="preserve">a </w:t>
      </w:r>
      <w:r w:rsidRPr="00AD756B">
        <w:t xml:space="preserve">VM differ </w:t>
      </w:r>
      <w:r w:rsidR="003B3D04">
        <w:t xml:space="preserve">greatly </w:t>
      </w:r>
      <w:r>
        <w:t>from</w:t>
      </w:r>
      <w:r w:rsidRPr="00AD756B">
        <w:t xml:space="preserve"> those in </w:t>
      </w:r>
      <w:r>
        <w:t xml:space="preserve">the </w:t>
      </w:r>
      <w:r w:rsidRPr="00AD756B">
        <w:t xml:space="preserve">Guest OS. For example, vCenter provides 5 </w:t>
      </w:r>
      <w:r>
        <w:t>metrics</w:t>
      </w:r>
      <w:r w:rsidRPr="00AD756B">
        <w:t xml:space="preserve"> to account for the utilization of VM CPU, </w:t>
      </w:r>
      <w:r>
        <w:t>yet</w:t>
      </w:r>
      <w:r w:rsidRPr="00AD756B">
        <w:t xml:space="preserve"> none directly maps to Windows/Linux CPU utilization. </w:t>
      </w:r>
    </w:p>
    <w:p w14:paraId="111805E9" w14:textId="09371D3B" w:rsidR="00E9187C" w:rsidRDefault="003B3D04" w:rsidP="00FF0111">
      <w:r>
        <w:t xml:space="preserve">The following diagram shows some of the differences. </w:t>
      </w:r>
    </w:p>
    <w:p w14:paraId="7DE13BE8" w14:textId="77777777" w:rsidR="00FF0111" w:rsidRDefault="00FF0111" w:rsidP="00FF0111">
      <w:pPr>
        <w:jc w:val="center"/>
      </w:pPr>
      <w:r w:rsidRPr="000C5266">
        <w:rPr>
          <w:noProof/>
        </w:rPr>
        <w:lastRenderedPageBreak/>
        <w:drawing>
          <wp:inline distT="0" distB="0" distL="0" distR="0" wp14:anchorId="041AFE38" wp14:editId="1A976FA8">
            <wp:extent cx="5157216" cy="2779776"/>
            <wp:effectExtent l="0" t="0" r="5715" b="1905"/>
            <wp:docPr id="1859674527" name="Picture 185967452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27" name="Picture 1859674527" descr="Table&#10;&#10;Description automatically generated"/>
                    <pic:cNvPicPr/>
                  </pic:nvPicPr>
                  <pic:blipFill>
                    <a:blip r:embed="rId266"/>
                    <a:stretch>
                      <a:fillRect/>
                    </a:stretch>
                  </pic:blipFill>
                  <pic:spPr>
                    <a:xfrm>
                      <a:off x="0" y="0"/>
                      <a:ext cx="5157216" cy="2779776"/>
                    </a:xfrm>
                    <a:prstGeom prst="rect">
                      <a:avLst/>
                    </a:prstGeom>
                  </pic:spPr>
                </pic:pic>
              </a:graphicData>
            </a:graphic>
          </wp:inline>
        </w:drawing>
      </w:r>
    </w:p>
    <w:p w14:paraId="37C3D91A" w14:textId="7A22107A" w:rsidR="00FF0111" w:rsidRDefault="00FF0111" w:rsidP="00FF0111">
      <w:r>
        <w:t xml:space="preserve">When the VMkernel de-schedules a VM to process something else (e.g. other VM, kernel interrupt) on the same physical thread or core, the Guest OS does not know why it is interrupted. In fact, it experiences frozen time for that particular vCPU running on the physical core. Time jumps when it’s scheduled again. Because of this unique visibility, it’s important to use the correct metrics at the correct layers. </w:t>
      </w:r>
    </w:p>
    <w:p w14:paraId="4588E787" w14:textId="2FA792C8" w:rsidR="00E9187C" w:rsidRDefault="00E9187C" w:rsidP="00E9187C">
      <w:pPr>
        <w:rPr>
          <w:lang w:val="en-GB"/>
        </w:rPr>
      </w:pPr>
      <w:r>
        <w:t xml:space="preserve">On the other hand, </w:t>
      </w:r>
      <w:r w:rsidRPr="00A452F2">
        <w:rPr>
          <w:lang w:val="en-GB"/>
        </w:rPr>
        <w:t>ESXi cannot see how</w:t>
      </w:r>
      <w:r w:rsidRPr="4F9FF51E">
        <w:rPr>
          <w:lang w:val="en-GB"/>
        </w:rPr>
        <w:t xml:space="preserve"> the</w:t>
      </w:r>
      <w:r w:rsidRPr="00A452F2">
        <w:rPr>
          <w:lang w:val="en-GB"/>
        </w:rPr>
        <w:t xml:space="preserve"> Guest OS schedules its processes. ESXi can only see what’s being sent out by the Guest. </w:t>
      </w:r>
    </w:p>
    <w:p w14:paraId="6F6C939B" w14:textId="3D36B839" w:rsidR="00FF0111" w:rsidRDefault="00FF0111" w:rsidP="00FF0111">
      <w:r w:rsidRPr="00C018D4">
        <w:t>Both layers need to be monitored, as each measure different performance problems. Hence it’s imperative to install VMware Tools.</w:t>
      </w:r>
      <w:r>
        <w:t xml:space="preserve"> </w:t>
      </w:r>
      <w:r w:rsidR="00E9187C">
        <w:t xml:space="preserve">It </w:t>
      </w:r>
      <w:r w:rsidRPr="008B034B">
        <w:t>report</w:t>
      </w:r>
      <w:r w:rsidR="00E9187C">
        <w:t>s</w:t>
      </w:r>
      <w:r w:rsidRPr="008B034B">
        <w:t xml:space="preserve"> </w:t>
      </w:r>
      <w:r>
        <w:t xml:space="preserve">the </w:t>
      </w:r>
      <w:r w:rsidRPr="008B034B">
        <w:t xml:space="preserve">statistics about </w:t>
      </w:r>
      <w:r w:rsidR="00E9187C">
        <w:t>G</w:t>
      </w:r>
      <w:r w:rsidRPr="008B034B">
        <w:t xml:space="preserve">uest </w:t>
      </w:r>
      <w:r w:rsidR="00E9187C">
        <w:t xml:space="preserve">OS </w:t>
      </w:r>
      <w:r w:rsidRPr="008B034B">
        <w:t>to the ESXi host every 20 seconds by default</w:t>
      </w:r>
      <w:r>
        <w:t>.</w:t>
      </w:r>
    </w:p>
    <w:p w14:paraId="56716401" w14:textId="7AEA3334" w:rsidR="00DA7C7F" w:rsidRDefault="00DA7C7F" w:rsidP="00FF0111">
      <w:r>
        <w:t xml:space="preserve">The following </w:t>
      </w:r>
      <w:r w:rsidR="00E9187C">
        <w:t xml:space="preserve">example summarizes that </w:t>
      </w:r>
      <w:r>
        <w:t xml:space="preserve">mapping between Guest and VM </w:t>
      </w:r>
      <w:r w:rsidR="00E9187C">
        <w:t>is</w:t>
      </w:r>
      <w:r>
        <w:t xml:space="preserve"> not possible.</w:t>
      </w:r>
      <w:r w:rsidR="00E9187C">
        <w:t xml:space="preserve"> </w:t>
      </w:r>
    </w:p>
    <w:p w14:paraId="16FA771D" w14:textId="77777777" w:rsidR="00A92CAB" w:rsidRDefault="00A92CAB" w:rsidP="00A92CAB">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530"/>
        <w:gridCol w:w="2340"/>
        <w:gridCol w:w="6570"/>
      </w:tblGrid>
      <w:tr w:rsidR="00A92CAB" w14:paraId="6BABFCE3" w14:textId="77777777" w:rsidTr="00251378">
        <w:tc>
          <w:tcPr>
            <w:tcW w:w="1530" w:type="dxa"/>
            <w:shd w:val="clear" w:color="auto" w:fill="F2F2F2" w:themeFill="background1" w:themeFillShade="F2"/>
          </w:tcPr>
          <w:p w14:paraId="35BCD5CC" w14:textId="77777777" w:rsidR="00A92CAB" w:rsidRDefault="00A92CAB" w:rsidP="00281329">
            <w:pPr>
              <w:pStyle w:val="Tableheading"/>
            </w:pPr>
            <w:r>
              <w:t>Type</w:t>
            </w:r>
          </w:p>
        </w:tc>
        <w:tc>
          <w:tcPr>
            <w:tcW w:w="2340" w:type="dxa"/>
            <w:shd w:val="clear" w:color="auto" w:fill="F2F2F2" w:themeFill="background1" w:themeFillShade="F2"/>
          </w:tcPr>
          <w:p w14:paraId="2862D664" w14:textId="77777777" w:rsidR="00A92CAB" w:rsidRDefault="00A92CAB" w:rsidP="00281329">
            <w:pPr>
              <w:pStyle w:val="Tableheading"/>
            </w:pPr>
            <w:r>
              <w:t>Guest OS Metric</w:t>
            </w:r>
          </w:p>
        </w:tc>
        <w:tc>
          <w:tcPr>
            <w:tcW w:w="6570" w:type="dxa"/>
            <w:shd w:val="clear" w:color="auto" w:fill="F2F2F2" w:themeFill="background1" w:themeFillShade="F2"/>
          </w:tcPr>
          <w:p w14:paraId="72C787A7" w14:textId="5B86A007" w:rsidR="00A92CAB" w:rsidRDefault="00A92CAB" w:rsidP="00281329">
            <w:pPr>
              <w:pStyle w:val="Tableheading"/>
            </w:pPr>
            <w:r>
              <w:t xml:space="preserve">VM </w:t>
            </w:r>
            <w:r w:rsidR="003B3D04">
              <w:t>Metric</w:t>
            </w:r>
          </w:p>
        </w:tc>
      </w:tr>
      <w:tr w:rsidR="00E9187C" w:rsidRPr="00E13E58" w14:paraId="0806C9AF" w14:textId="77777777" w:rsidTr="00251378">
        <w:tc>
          <w:tcPr>
            <w:tcW w:w="1530" w:type="dxa"/>
            <w:vMerge w:val="restart"/>
          </w:tcPr>
          <w:p w14:paraId="40118DF8" w14:textId="77777777" w:rsidR="00E9187C" w:rsidRDefault="00E9187C" w:rsidP="00281329">
            <w:pPr>
              <w:pStyle w:val="Tablecontent"/>
            </w:pPr>
            <w:r>
              <w:t>Contention</w:t>
            </w:r>
          </w:p>
        </w:tc>
        <w:tc>
          <w:tcPr>
            <w:tcW w:w="2340" w:type="dxa"/>
          </w:tcPr>
          <w:p w14:paraId="7C804685" w14:textId="77777777" w:rsidR="00E9187C" w:rsidRDefault="00E9187C" w:rsidP="00281329">
            <w:pPr>
              <w:pStyle w:val="Tablecontent"/>
            </w:pPr>
            <w:r>
              <w:t>Run Queue</w:t>
            </w:r>
          </w:p>
        </w:tc>
        <w:tc>
          <w:tcPr>
            <w:tcW w:w="6570" w:type="dxa"/>
            <w:vMerge w:val="restart"/>
          </w:tcPr>
          <w:p w14:paraId="6A891767" w14:textId="77777777" w:rsidR="00E9187C" w:rsidRPr="00E9187C" w:rsidRDefault="00E9187C" w:rsidP="00DA7C7F">
            <w:pPr>
              <w:pStyle w:val="Tablecontent"/>
            </w:pPr>
            <w:r w:rsidRPr="00E9187C">
              <w:t xml:space="preserve">None. </w:t>
            </w:r>
          </w:p>
          <w:p w14:paraId="601E5DF1" w14:textId="4CD27EFC" w:rsidR="00E9187C" w:rsidRPr="00E9187C" w:rsidRDefault="00E9187C" w:rsidP="00DA7C7F">
            <w:pPr>
              <w:pStyle w:val="Tablecontent"/>
            </w:pPr>
            <w:r w:rsidRPr="00E9187C">
              <w:t>All these are internal operations of Windows or Linux.</w:t>
            </w:r>
          </w:p>
        </w:tc>
      </w:tr>
      <w:tr w:rsidR="00E9187C" w:rsidRPr="00E13E58" w14:paraId="511AB9A8" w14:textId="77777777" w:rsidTr="00251378">
        <w:tc>
          <w:tcPr>
            <w:tcW w:w="1530" w:type="dxa"/>
            <w:vMerge/>
          </w:tcPr>
          <w:p w14:paraId="5439E57E" w14:textId="77777777" w:rsidR="00E9187C" w:rsidRDefault="00E9187C" w:rsidP="00281329">
            <w:pPr>
              <w:pStyle w:val="Tablecontent"/>
            </w:pPr>
          </w:p>
        </w:tc>
        <w:tc>
          <w:tcPr>
            <w:tcW w:w="2340" w:type="dxa"/>
          </w:tcPr>
          <w:p w14:paraId="4C25EAE4" w14:textId="646E9799" w:rsidR="00E9187C" w:rsidRDefault="00E9187C" w:rsidP="00281329">
            <w:pPr>
              <w:pStyle w:val="Tablecontent"/>
            </w:pPr>
            <w:r>
              <w:t>DPC Time</w:t>
            </w:r>
          </w:p>
        </w:tc>
        <w:tc>
          <w:tcPr>
            <w:tcW w:w="6570" w:type="dxa"/>
            <w:vMerge/>
          </w:tcPr>
          <w:p w14:paraId="65B0F7AE" w14:textId="5DC2C02A" w:rsidR="00E9187C" w:rsidRPr="00E9187C" w:rsidRDefault="00E9187C" w:rsidP="00281329">
            <w:pPr>
              <w:pStyle w:val="Tablecontent"/>
            </w:pPr>
          </w:p>
        </w:tc>
      </w:tr>
      <w:tr w:rsidR="00E9187C" w:rsidRPr="00E13E58" w14:paraId="39A7EE18" w14:textId="77777777" w:rsidTr="00251378">
        <w:tc>
          <w:tcPr>
            <w:tcW w:w="1530" w:type="dxa"/>
            <w:vMerge/>
          </w:tcPr>
          <w:p w14:paraId="0773FDF8" w14:textId="77777777" w:rsidR="00E9187C" w:rsidRDefault="00E9187C" w:rsidP="00281329">
            <w:pPr>
              <w:pStyle w:val="Tablecontent"/>
            </w:pPr>
          </w:p>
        </w:tc>
        <w:tc>
          <w:tcPr>
            <w:tcW w:w="2340" w:type="dxa"/>
          </w:tcPr>
          <w:p w14:paraId="07E2B9D6" w14:textId="77777777" w:rsidR="00E9187C" w:rsidRDefault="00E9187C" w:rsidP="00281329">
            <w:pPr>
              <w:pStyle w:val="Tablecontent"/>
            </w:pPr>
            <w:r>
              <w:t>Context Switch</w:t>
            </w:r>
          </w:p>
        </w:tc>
        <w:tc>
          <w:tcPr>
            <w:tcW w:w="6570" w:type="dxa"/>
            <w:vMerge/>
          </w:tcPr>
          <w:p w14:paraId="1FFFF6B3" w14:textId="519CB5CA" w:rsidR="00E9187C" w:rsidRPr="00E9187C" w:rsidRDefault="00E9187C" w:rsidP="00281329">
            <w:pPr>
              <w:pStyle w:val="Tablecontent"/>
            </w:pPr>
          </w:p>
        </w:tc>
      </w:tr>
      <w:tr w:rsidR="00E9187C" w:rsidRPr="00E13E58" w14:paraId="1EE821CF" w14:textId="77777777" w:rsidTr="00251378">
        <w:tc>
          <w:tcPr>
            <w:tcW w:w="1530" w:type="dxa"/>
            <w:vMerge/>
          </w:tcPr>
          <w:p w14:paraId="2AE4BA85" w14:textId="77777777" w:rsidR="00E9187C" w:rsidRDefault="00E9187C" w:rsidP="00281329">
            <w:pPr>
              <w:pStyle w:val="Tablecontent"/>
            </w:pPr>
          </w:p>
        </w:tc>
        <w:tc>
          <w:tcPr>
            <w:tcW w:w="2340" w:type="dxa"/>
          </w:tcPr>
          <w:p w14:paraId="420AF45B" w14:textId="77777777" w:rsidR="00E9187C" w:rsidRDefault="00E9187C" w:rsidP="00281329">
            <w:pPr>
              <w:pStyle w:val="Tablecontent"/>
            </w:pPr>
            <w:r>
              <w:t>C1 Time</w:t>
            </w:r>
          </w:p>
          <w:p w14:paraId="03AD4AA0" w14:textId="77777777" w:rsidR="00E9187C" w:rsidRDefault="00E9187C" w:rsidP="00281329">
            <w:pPr>
              <w:pStyle w:val="Tablecontent"/>
            </w:pPr>
            <w:r>
              <w:t>C2 Time</w:t>
            </w:r>
          </w:p>
          <w:p w14:paraId="23D44F85" w14:textId="1D4D4706" w:rsidR="00E9187C" w:rsidRDefault="00E9187C" w:rsidP="00281329">
            <w:pPr>
              <w:pStyle w:val="Tablecontent"/>
            </w:pPr>
            <w:r>
              <w:t>C3 Time</w:t>
            </w:r>
          </w:p>
        </w:tc>
        <w:tc>
          <w:tcPr>
            <w:tcW w:w="6570" w:type="dxa"/>
          </w:tcPr>
          <w:p w14:paraId="22FB5492" w14:textId="6D5345B8" w:rsidR="00E9187C" w:rsidRPr="00E9187C" w:rsidRDefault="00E9187C" w:rsidP="00281329">
            <w:pPr>
              <w:pStyle w:val="Tablecontent"/>
            </w:pPr>
            <w:r w:rsidRPr="00E9187C">
              <w:t>None. ESXi does not break down per VM as it focuses on the physical core.</w:t>
            </w:r>
          </w:p>
        </w:tc>
      </w:tr>
      <w:tr w:rsidR="00E9187C" w:rsidRPr="00E13E58" w14:paraId="6DCC7EEC" w14:textId="77777777" w:rsidTr="00251378">
        <w:tc>
          <w:tcPr>
            <w:tcW w:w="1530" w:type="dxa"/>
            <w:vMerge/>
          </w:tcPr>
          <w:p w14:paraId="4D1ECD40" w14:textId="77777777" w:rsidR="00E9187C" w:rsidRDefault="00E9187C" w:rsidP="00281329">
            <w:pPr>
              <w:pStyle w:val="Tablecontent"/>
            </w:pPr>
          </w:p>
        </w:tc>
        <w:tc>
          <w:tcPr>
            <w:tcW w:w="2340" w:type="dxa"/>
          </w:tcPr>
          <w:p w14:paraId="31B4FC99" w14:textId="4A729EAD" w:rsidR="00E9187C" w:rsidRDefault="00E9187C" w:rsidP="00281329">
            <w:pPr>
              <w:pStyle w:val="Tablecontent"/>
            </w:pPr>
            <w:r>
              <w:t>None</w:t>
            </w:r>
          </w:p>
        </w:tc>
        <w:tc>
          <w:tcPr>
            <w:tcW w:w="6570" w:type="dxa"/>
          </w:tcPr>
          <w:p w14:paraId="074B4616" w14:textId="4266600F" w:rsidR="00E9187C" w:rsidRPr="00E9187C" w:rsidRDefault="00E9187C" w:rsidP="00281329">
            <w:pPr>
              <w:pStyle w:val="Tablecontent"/>
            </w:pPr>
            <w:r>
              <w:t>CPU Ready, CPU Co-Stop, CPU System</w:t>
            </w:r>
          </w:p>
        </w:tc>
      </w:tr>
      <w:tr w:rsidR="00A92CAB" w14:paraId="7864521D" w14:textId="77777777" w:rsidTr="00251378">
        <w:tc>
          <w:tcPr>
            <w:tcW w:w="1530" w:type="dxa"/>
          </w:tcPr>
          <w:p w14:paraId="7A65E9FA" w14:textId="77777777" w:rsidR="00A92CAB" w:rsidRDefault="00A92CAB" w:rsidP="00281329">
            <w:pPr>
              <w:pStyle w:val="Tablecontent"/>
            </w:pPr>
            <w:r>
              <w:t>Utilization</w:t>
            </w:r>
          </w:p>
        </w:tc>
        <w:tc>
          <w:tcPr>
            <w:tcW w:w="2340" w:type="dxa"/>
          </w:tcPr>
          <w:p w14:paraId="32CE252A" w14:textId="77777777" w:rsidR="00A92CAB" w:rsidRDefault="00A92CAB" w:rsidP="00281329">
            <w:pPr>
              <w:pStyle w:val="Tablecontent"/>
            </w:pPr>
            <w:r>
              <w:t>Usage</w:t>
            </w:r>
          </w:p>
        </w:tc>
        <w:tc>
          <w:tcPr>
            <w:tcW w:w="6570" w:type="dxa"/>
          </w:tcPr>
          <w:p w14:paraId="29749427" w14:textId="5AD48A0A" w:rsidR="00A92CAB" w:rsidRDefault="00E7275E" w:rsidP="00281329">
            <w:pPr>
              <w:pStyle w:val="Tablecontent"/>
            </w:pPr>
            <w:r>
              <w:rPr>
                <w:color w:val="00B0F0"/>
              </w:rPr>
              <w:t xml:space="preserve">None. </w:t>
            </w:r>
          </w:p>
        </w:tc>
      </w:tr>
    </w:tbl>
    <w:p w14:paraId="3367A75B" w14:textId="77777777" w:rsidR="00FF0111" w:rsidRDefault="00FF0111" w:rsidP="00FF0111">
      <w:pPr>
        <w:pStyle w:val="Heading4"/>
      </w:pPr>
      <w:r>
        <w:t>VM vs ESXi</w:t>
      </w:r>
    </w:p>
    <w:p w14:paraId="2A8C2640" w14:textId="64F58EDE" w:rsidR="00FF0111" w:rsidRDefault="00FF0111" w:rsidP="00FF0111">
      <w:pPr>
        <w:rPr>
          <w:lang w:val="en-GB"/>
        </w:rPr>
      </w:pPr>
      <w:r>
        <w:rPr>
          <w:lang w:val="en-GB"/>
        </w:rPr>
        <w:t xml:space="preserve">Just like Guest OS and VM have different vantage point, the same complexity happens between VM and ESXi. </w:t>
      </w:r>
    </w:p>
    <w:p w14:paraId="7FE194DD" w14:textId="3826C60C" w:rsidR="00FF0111" w:rsidRPr="00AF0831" w:rsidRDefault="00FF0111" w:rsidP="00FF0111">
      <w:pPr>
        <w:rPr>
          <w:lang w:val="en-GB"/>
        </w:rPr>
      </w:pPr>
      <w:r>
        <w:rPr>
          <w:lang w:val="en-GB"/>
        </w:rPr>
        <w:lastRenderedPageBreak/>
        <w:t xml:space="preserve">For VM, you discuss vCPU. It has virtual socket and virtual core. Physical cores and physical sockets do not apply, meaning they are referring to different things. </w:t>
      </w:r>
      <w:r w:rsidR="005A1C4D" w:rsidRPr="00AD756B">
        <w:t xml:space="preserve">The CPU </w:t>
      </w:r>
      <w:r w:rsidR="005A1C4D">
        <w:t>metrics</w:t>
      </w:r>
      <w:r w:rsidR="005A1C4D" w:rsidRPr="00AD756B">
        <w:t xml:space="preserve"> in ESXi </w:t>
      </w:r>
      <w:r w:rsidR="005A1C4D">
        <w:t>are</w:t>
      </w:r>
      <w:r w:rsidR="005A1C4D" w:rsidRPr="00AD756B">
        <w:t xml:space="preserve"> also more than the summation of its running VM and </w:t>
      </w:r>
      <w:r w:rsidR="005A1C4D">
        <w:t>VMkernel</w:t>
      </w:r>
      <w:r w:rsidR="005A1C4D" w:rsidRPr="00AD756B">
        <w:t>.</w:t>
      </w:r>
    </w:p>
    <w:p w14:paraId="0C18CEA3" w14:textId="77777777" w:rsidR="00FF0111" w:rsidRDefault="00FF0111" w:rsidP="00FF0111">
      <w:pPr>
        <w:pStyle w:val="Heading5"/>
      </w:pPr>
      <w:r>
        <w:t>State of a VM vCPU</w:t>
      </w:r>
    </w:p>
    <w:p w14:paraId="2EBBE981" w14:textId="77777777" w:rsidR="00FF0111" w:rsidRPr="00AD756B" w:rsidRDefault="00FF0111" w:rsidP="00FF0111">
      <w:r w:rsidRPr="00AD756B">
        <w:t xml:space="preserve">ESXi Scheduler keeps in mind the following goals: </w:t>
      </w:r>
    </w:p>
    <w:p w14:paraId="79F9CCBB" w14:textId="77777777" w:rsidR="00FF0111" w:rsidRPr="00AD756B" w:rsidRDefault="00FF0111" w:rsidP="00FF0111">
      <w:pPr>
        <w:pStyle w:val="Bullet"/>
        <w:rPr>
          <w:rStyle w:val="Bullet1Char"/>
        </w:rPr>
      </w:pPr>
      <w:r w:rsidRPr="00AD756B">
        <w:rPr>
          <w:rFonts w:eastAsiaTheme="minorEastAsia"/>
          <w:lang w:val="en-US" w:eastAsia="zh-CN"/>
        </w:rPr>
        <w:t xml:space="preserve">To balance load </w:t>
      </w:r>
      <w:r w:rsidRPr="00AD756B">
        <w:rPr>
          <w:rStyle w:val="Bullet1Char"/>
        </w:rPr>
        <w:t xml:space="preserve">across physical </w:t>
      </w:r>
      <w:r>
        <w:rPr>
          <w:rStyle w:val="Bullet1Char"/>
        </w:rPr>
        <w:t>cores.</w:t>
      </w:r>
    </w:p>
    <w:p w14:paraId="7F301E16" w14:textId="77777777" w:rsidR="00FF0111" w:rsidRPr="00AD756B" w:rsidRDefault="00FF0111" w:rsidP="00FF0111">
      <w:pPr>
        <w:pStyle w:val="Bullet"/>
        <w:rPr>
          <w:rStyle w:val="Bullet1Char"/>
        </w:rPr>
      </w:pPr>
      <w:r w:rsidRPr="00AD756B">
        <w:rPr>
          <w:rStyle w:val="Bullet1Char"/>
        </w:rPr>
        <w:t>To preserve cache state, minimize migration cost</w:t>
      </w:r>
      <w:r>
        <w:rPr>
          <w:rStyle w:val="Bullet1Char"/>
        </w:rPr>
        <w:t>.</w:t>
      </w:r>
    </w:p>
    <w:p w14:paraId="73FF3171" w14:textId="77777777" w:rsidR="00FF0111" w:rsidRPr="00AD756B" w:rsidRDefault="00FF0111" w:rsidP="00FF0111">
      <w:pPr>
        <w:pStyle w:val="Bullet"/>
      </w:pPr>
      <w:r w:rsidRPr="00AD756B">
        <w:rPr>
          <w:rStyle w:val="Bullet1Char"/>
        </w:rPr>
        <w:t>To avoid contention from hardware (</w:t>
      </w:r>
      <w:r>
        <w:rPr>
          <w:rStyle w:val="Bullet1Char"/>
        </w:rPr>
        <w:t>hyperthreading,</w:t>
      </w:r>
      <w:r w:rsidRPr="00AD756B">
        <w:rPr>
          <w:rStyle w:val="Bullet1Char"/>
        </w:rPr>
        <w:t xml:space="preserve"> </w:t>
      </w:r>
      <w:r>
        <w:rPr>
          <w:rStyle w:val="Bullet1Char"/>
        </w:rPr>
        <w:t>low level cache</w:t>
      </w:r>
      <w:r w:rsidRPr="00AD756B">
        <w:rPr>
          <w:rStyle w:val="Bullet1Char"/>
        </w:rPr>
        <w:t>, etc.) and sibling vCPUs (from the same V</w:t>
      </w:r>
      <w:r w:rsidRPr="00AD756B">
        <w:t>M)</w:t>
      </w:r>
      <w:r>
        <w:t>.</w:t>
      </w:r>
      <w:r w:rsidRPr="00AD756B">
        <w:t xml:space="preserve"> </w:t>
      </w:r>
    </w:p>
    <w:p w14:paraId="2018BB35" w14:textId="77777777" w:rsidR="00FF0111" w:rsidRPr="00AD756B" w:rsidRDefault="00FF0111" w:rsidP="00FF0111">
      <w:pPr>
        <w:pStyle w:val="Bullet"/>
      </w:pPr>
      <w:r w:rsidRPr="00AD756B">
        <w:t>To keep VMs or threads that have frequent communications close to each other</w:t>
      </w:r>
      <w:r>
        <w:t>.</w:t>
      </w:r>
    </w:p>
    <w:p w14:paraId="6FD29D2B" w14:textId="77777777" w:rsidR="00FF0111" w:rsidRPr="00946CA9" w:rsidRDefault="00FF0111" w:rsidP="00FF0111">
      <w:pPr>
        <w:rPr>
          <w:lang w:val="en-GB"/>
        </w:rPr>
      </w:pPr>
      <w:r>
        <w:rPr>
          <w:lang w:val="en-GB"/>
        </w:rPr>
        <w:t>With the above understanding, now look at the life of a single vCPU of a VM.</w:t>
      </w:r>
    </w:p>
    <w:p w14:paraId="7DE46E4F" w14:textId="77777777" w:rsidR="00FF0111" w:rsidRDefault="00FF0111" w:rsidP="00FF0111">
      <w:r w:rsidRPr="00AD756B">
        <w:t>At the most basic level, a VM CPU is either being utilized or not being utilized by the Guest OS.</w:t>
      </w:r>
      <w:r>
        <w:t xml:space="preserve"> At any given moment, it either runs or it does not, there is no walk state.</w:t>
      </w:r>
    </w:p>
    <w:p w14:paraId="3F68B7EC" w14:textId="77777777" w:rsidR="00FF0111" w:rsidRDefault="00FF0111" w:rsidP="00FF0111">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985"/>
        <w:gridCol w:w="8471"/>
      </w:tblGrid>
      <w:tr w:rsidR="00FF0111" w14:paraId="4AA4F46D" w14:textId="77777777" w:rsidTr="00281329">
        <w:tc>
          <w:tcPr>
            <w:tcW w:w="1985" w:type="dxa"/>
            <w:shd w:val="clear" w:color="auto" w:fill="F2F2F2" w:themeFill="background1" w:themeFillShade="F2"/>
          </w:tcPr>
          <w:p w14:paraId="2F64AFE1" w14:textId="77777777" w:rsidR="00FF0111" w:rsidRPr="00A72989" w:rsidRDefault="00FF0111" w:rsidP="00281329">
            <w:pPr>
              <w:pStyle w:val="Tablecontent"/>
              <w:rPr>
                <w:b/>
                <w:bCs/>
              </w:rPr>
            </w:pPr>
            <w:r>
              <w:rPr>
                <w:b/>
                <w:bCs/>
              </w:rPr>
              <w:t>Being used</w:t>
            </w:r>
          </w:p>
        </w:tc>
        <w:tc>
          <w:tcPr>
            <w:tcW w:w="8471" w:type="dxa"/>
          </w:tcPr>
          <w:p w14:paraId="44BC07BB" w14:textId="77777777" w:rsidR="00FF0111" w:rsidRDefault="00FF0111" w:rsidP="00281329">
            <w:pPr>
              <w:pStyle w:val="Tablecontent"/>
            </w:pPr>
            <w:r>
              <w:t>T</w:t>
            </w:r>
            <w:r w:rsidRPr="00AD756B">
              <w:t xml:space="preserve">he hypervisor must schedule </w:t>
            </w:r>
            <w:r>
              <w:t>the vCPU</w:t>
            </w:r>
            <w:r w:rsidRPr="00AD756B">
              <w:t>. A multi vCPU VM has multiple schedules, 1 for each vCPU. For each vCPU:</w:t>
            </w:r>
          </w:p>
          <w:p w14:paraId="7C816539" w14:textId="77777777" w:rsidR="00FF0111" w:rsidRPr="00AD756B" w:rsidRDefault="00FF0111">
            <w:pPr>
              <w:pStyle w:val="Tablecontent"/>
              <w:numPr>
                <w:ilvl w:val="0"/>
                <w:numId w:val="48"/>
              </w:numPr>
            </w:pPr>
            <w:r w:rsidRPr="00AD756B">
              <w:t xml:space="preserve">If </w:t>
            </w:r>
            <w:r>
              <w:t>VMkernel</w:t>
            </w:r>
            <w:r w:rsidRPr="00AD756B">
              <w:t xml:space="preserve"> has the physical CPUs to run it, then the vCPU gets to </w:t>
            </w:r>
            <w:r w:rsidRPr="00AD756B">
              <w:rPr>
                <w:b/>
              </w:rPr>
              <w:t>Run</w:t>
            </w:r>
            <w:r w:rsidRPr="00AD756B">
              <w:t>. The Run counter is increased to track this.</w:t>
            </w:r>
          </w:p>
          <w:p w14:paraId="0B15492D" w14:textId="77777777" w:rsidR="00FF0111" w:rsidRDefault="00FF0111">
            <w:pPr>
              <w:pStyle w:val="Tablecontent"/>
              <w:numPr>
                <w:ilvl w:val="0"/>
                <w:numId w:val="48"/>
              </w:numPr>
            </w:pPr>
            <w:r w:rsidRPr="00AD756B">
              <w:t xml:space="preserve">If </w:t>
            </w:r>
            <w:r>
              <w:t>VMkernel</w:t>
            </w:r>
            <w:r w:rsidRPr="00AD756B">
              <w:t xml:space="preserve"> has no physical </w:t>
            </w:r>
            <w:r>
              <w:t>CPUs</w:t>
            </w:r>
            <w:r w:rsidRPr="00AD756B">
              <w:t xml:space="preserve"> to run it, then the vCPU is placed into </w:t>
            </w:r>
            <w:r w:rsidRPr="00AD756B">
              <w:rPr>
                <w:b/>
              </w:rPr>
              <w:t>Ready</w:t>
            </w:r>
            <w:r w:rsidRPr="00AD756B">
              <w:t xml:space="preserve"> State. The VM is ready, but the hypervisor is not. The Ready counter tracks this.</w:t>
            </w:r>
          </w:p>
        </w:tc>
      </w:tr>
      <w:tr w:rsidR="00FF0111" w14:paraId="66F90D56" w14:textId="77777777" w:rsidTr="00281329">
        <w:tc>
          <w:tcPr>
            <w:tcW w:w="1985" w:type="dxa"/>
            <w:shd w:val="clear" w:color="auto" w:fill="F2F2F2" w:themeFill="background1" w:themeFillShade="F2"/>
          </w:tcPr>
          <w:p w14:paraId="3541D277" w14:textId="77777777" w:rsidR="00FF0111" w:rsidRDefault="00FF0111" w:rsidP="00281329">
            <w:pPr>
              <w:pStyle w:val="Tablecontent"/>
              <w:rPr>
                <w:b/>
                <w:bCs/>
              </w:rPr>
            </w:pPr>
            <w:r>
              <w:rPr>
                <w:b/>
                <w:bCs/>
              </w:rPr>
              <w:t>Not being used</w:t>
            </w:r>
          </w:p>
        </w:tc>
        <w:tc>
          <w:tcPr>
            <w:tcW w:w="8471" w:type="dxa"/>
          </w:tcPr>
          <w:p w14:paraId="3933E30B" w14:textId="77777777" w:rsidR="00FF0111" w:rsidRPr="00AD756B" w:rsidRDefault="00FF0111" w:rsidP="00281329">
            <w:pPr>
              <w:pStyle w:val="Tablecontent"/>
            </w:pPr>
            <w:r>
              <w:t>T</w:t>
            </w:r>
            <w:r w:rsidRPr="00AD756B">
              <w:t>here are 2 possible reasons</w:t>
            </w:r>
            <w:r>
              <w:t xml:space="preserve"> why it’s used</w:t>
            </w:r>
            <w:r w:rsidRPr="00AD756B">
              <w:t>:</w:t>
            </w:r>
          </w:p>
          <w:p w14:paraId="1699DF3C" w14:textId="77777777" w:rsidR="00FF0111" w:rsidRPr="00AD756B" w:rsidRDefault="00FF0111">
            <w:pPr>
              <w:pStyle w:val="Tablecontent"/>
              <w:numPr>
                <w:ilvl w:val="0"/>
                <w:numId w:val="49"/>
              </w:numPr>
            </w:pPr>
            <w:r w:rsidRPr="00AD756B">
              <w:t xml:space="preserve">The CPU is truly idle. It’s not doing any work. The </w:t>
            </w:r>
            <w:r w:rsidRPr="00AD756B">
              <w:rPr>
                <w:b/>
                <w:bCs/>
              </w:rPr>
              <w:t>Idle Wait</w:t>
            </w:r>
            <w:r w:rsidRPr="00AD756B">
              <w:t xml:space="preserve"> counter accounts for it.</w:t>
            </w:r>
          </w:p>
          <w:p w14:paraId="2815CA27" w14:textId="51FC4DB9" w:rsidR="00FF0111" w:rsidRDefault="00FF0111">
            <w:pPr>
              <w:pStyle w:val="Tablecontent"/>
              <w:numPr>
                <w:ilvl w:val="0"/>
                <w:numId w:val="49"/>
              </w:numPr>
            </w:pPr>
            <w:r w:rsidRPr="00AD756B">
              <w:t xml:space="preserve">The CPU is waiting for IO. CPU, being faster than RAM, waits for IO to be brought in. There are </w:t>
            </w:r>
            <w:r>
              <w:t>3</w:t>
            </w:r>
            <w:r w:rsidRPr="00AD756B">
              <w:t xml:space="preserve"> sub cases here</w:t>
            </w:r>
            <w:r>
              <w:t xml:space="preserve"> (</w:t>
            </w:r>
            <w:r w:rsidR="00443625">
              <w:t>Co-stop</w:t>
            </w:r>
            <w:r>
              <w:t>, VM Wait and memory wait)</w:t>
            </w:r>
            <w:r w:rsidRPr="00AD756B">
              <w:t xml:space="preserve">, and </w:t>
            </w:r>
            <w:r>
              <w:t xml:space="preserve">they </w:t>
            </w:r>
            <w:r w:rsidRPr="00AD756B">
              <w:t>will be covered later.</w:t>
            </w:r>
          </w:p>
        </w:tc>
      </w:tr>
    </w:tbl>
    <w:p w14:paraId="7B818DE8" w14:textId="77777777" w:rsidR="00FF0111" w:rsidRPr="00AD756B" w:rsidRDefault="00FF0111" w:rsidP="00FF0111">
      <w:pPr>
        <w:pStyle w:val="BeforeTable"/>
      </w:pPr>
    </w:p>
    <w:p w14:paraId="342DEC2D" w14:textId="77777777" w:rsidR="00FF0111" w:rsidRDefault="00FF0111" w:rsidP="00FF0111">
      <w:r w:rsidRPr="00AD756B">
        <w:t>With the above understanding, we’re ready to examine the following state diagram. The diagram shows a single schedule (1 vCPU, not the whole VM). It’s showing the view from hypervisor (not from inside the Guest OS):</w:t>
      </w:r>
    </w:p>
    <w:p w14:paraId="60CA4D97" w14:textId="77777777" w:rsidR="00FF0111" w:rsidRPr="00C161B3" w:rsidRDefault="00FF0111" w:rsidP="00FF0111">
      <w:pPr>
        <w:jc w:val="center"/>
      </w:pPr>
      <w:r>
        <w:rPr>
          <w:noProof/>
        </w:rPr>
        <w:lastRenderedPageBreak/>
        <w:drawing>
          <wp:inline distT="0" distB="0" distL="0" distR="0" wp14:anchorId="3EA34B2D" wp14:editId="1987CF0F">
            <wp:extent cx="6645910" cy="3042285"/>
            <wp:effectExtent l="0" t="0" r="2540" b="5715"/>
            <wp:docPr id="55" name="Picture 5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descr="Diagram&#10;&#10;Description automatically generated"/>
                    <pic:cNvPicPr/>
                  </pic:nvPicPr>
                  <pic:blipFill>
                    <a:blip r:embed="rId267"/>
                    <a:stretch>
                      <a:fillRect/>
                    </a:stretch>
                  </pic:blipFill>
                  <pic:spPr>
                    <a:xfrm>
                      <a:off x="0" y="0"/>
                      <a:ext cx="6645910" cy="3042285"/>
                    </a:xfrm>
                    <a:prstGeom prst="rect">
                      <a:avLst/>
                    </a:prstGeom>
                  </pic:spPr>
                </pic:pic>
              </a:graphicData>
            </a:graphic>
          </wp:inline>
        </w:drawing>
      </w:r>
    </w:p>
    <w:p w14:paraId="4C0F927D" w14:textId="77777777" w:rsidR="00FF0111" w:rsidRPr="00C161B3" w:rsidRDefault="00FF0111" w:rsidP="00FF0111">
      <w:r w:rsidRPr="00C161B3">
        <w:t xml:space="preserve">ESXi places each vCPU of the VM in one of the 4 above states. A vCPU cannot be in 2 states </w:t>
      </w:r>
      <w:r w:rsidRPr="00C161B3">
        <w:rPr>
          <w:i/>
          <w:iCs/>
          <w:color w:val="0070C0"/>
        </w:rPr>
        <w:t>at the same time</w:t>
      </w:r>
      <w:r w:rsidRPr="00C161B3">
        <w:t xml:space="preserve">. This is fundamental in understanding the formula behind CPU </w:t>
      </w:r>
      <w:r>
        <w:t>metrics</w:t>
      </w:r>
      <w:r w:rsidRPr="00C161B3">
        <w:t>.</w:t>
      </w:r>
    </w:p>
    <w:p w14:paraId="0C73B030" w14:textId="53A5C4CD" w:rsidR="00FF0111" w:rsidRPr="00C161B3" w:rsidRDefault="00FF0111" w:rsidP="00FF0111">
      <w:pPr>
        <w:pStyle w:val="Bullet"/>
      </w:pPr>
      <w:r w:rsidRPr="00C161B3">
        <w:t>Run does not check how fast it runs (frequency)</w:t>
      </w:r>
      <w:r>
        <w:t xml:space="preserve"> or how efficient it runs (hyperthreading)</w:t>
      </w:r>
      <w:r w:rsidRPr="00C161B3">
        <w:t xml:space="preserve">. Run measures how long it runs, hence the counter is in milliseconds, not GHz. </w:t>
      </w:r>
    </w:p>
    <w:p w14:paraId="4D3ACEB2" w14:textId="02290D0D" w:rsidR="00FF0111" w:rsidRPr="00C161B3" w:rsidRDefault="00FF0111" w:rsidP="00FF0111">
      <w:pPr>
        <w:pStyle w:val="Bullet"/>
      </w:pPr>
      <w:r w:rsidRPr="00C161B3">
        <w:t xml:space="preserve">Ready and </w:t>
      </w:r>
      <w:r w:rsidR="00C730ED">
        <w:t>Co-stop</w:t>
      </w:r>
      <w:r w:rsidRPr="00C161B3">
        <w:t xml:space="preserve">. They are mutually exclusive states. If </w:t>
      </w:r>
      <w:r>
        <w:t xml:space="preserve">a vCPU is </w:t>
      </w:r>
      <w:r w:rsidRPr="00C161B3">
        <w:t xml:space="preserve">in </w:t>
      </w:r>
      <w:r w:rsidR="00443625">
        <w:t>Co-stop</w:t>
      </w:r>
      <w:r w:rsidRPr="00C161B3">
        <w:t xml:space="preserve">, </w:t>
      </w:r>
      <w:r>
        <w:t xml:space="preserve">it is </w:t>
      </w:r>
      <w:r w:rsidRPr="00C161B3">
        <w:t>not in Ready state.</w:t>
      </w:r>
      <w:r>
        <w:t xml:space="preserve"> </w:t>
      </w:r>
    </w:p>
    <w:p w14:paraId="64185169" w14:textId="77777777" w:rsidR="00FF0111" w:rsidRPr="00C161B3" w:rsidRDefault="00FF0111" w:rsidP="00FF0111">
      <w:pPr>
        <w:pStyle w:val="Bullet"/>
      </w:pPr>
      <w:r w:rsidRPr="00C161B3">
        <w:t>Wait handles both Idle and Wait. The reason is the hypervisor cannot tell whether the Guest OS is waiting for IO or idle. As far as the hypervisor concern, it’s not doing anything. This also measures the state where the wait is due to hypervisor IO.</w:t>
      </w:r>
    </w:p>
    <w:p w14:paraId="13F825AE" w14:textId="77777777" w:rsidR="00FF0111" w:rsidRDefault="00FF0111" w:rsidP="00FF0111">
      <w:r>
        <w:t>Those of you familiar with Operating Systems</w:t>
      </w:r>
      <w:r>
        <w:rPr>
          <w:rStyle w:val="FootnoteReference"/>
        </w:rPr>
        <w:footnoteReference w:id="14"/>
      </w:r>
      <w:r>
        <w:t xml:space="preserve"> </w:t>
      </w:r>
      <w:hyperlink r:id="rId268" w:history="1">
        <w:r w:rsidRPr="00841F27">
          <w:rPr>
            <w:rStyle w:val="Hyperlink"/>
          </w:rPr>
          <w:t>kernel</w:t>
        </w:r>
      </w:hyperlink>
      <w:r>
        <w:t xml:space="preserve"> will notice that the diagram is similar with a physical OS scheduler state diagram. I’m taking </w:t>
      </w:r>
      <w:hyperlink r:id="rId269" w:history="1">
        <w:r w:rsidRPr="00360A61">
          <w:rPr>
            <w:rStyle w:val="Hyperlink"/>
          </w:rPr>
          <w:t>Huawei Harmony OS</w:t>
        </w:r>
      </w:hyperlink>
      <w:r>
        <w:t xml:space="preserve"> as an example as it’s the newest OS and it’s designed for a range of device</w:t>
      </w:r>
      <w:r>
        <w:rPr>
          <w:rStyle w:val="FootnoteReference"/>
        </w:rPr>
        <w:footnoteReference w:id="15"/>
      </w:r>
      <w:r>
        <w:t>.</w:t>
      </w:r>
    </w:p>
    <w:p w14:paraId="31CA3358" w14:textId="77777777" w:rsidR="00FF0111" w:rsidRDefault="00FF0111" w:rsidP="00FF0111">
      <w:pPr>
        <w:jc w:val="center"/>
      </w:pPr>
      <w:r>
        <w:rPr>
          <w:noProof/>
        </w:rPr>
        <w:drawing>
          <wp:inline distT="0" distB="0" distL="0" distR="0" wp14:anchorId="0A1F3C2F" wp14:editId="6B54805B">
            <wp:extent cx="3319200" cy="2059200"/>
            <wp:effectExtent l="0" t="0" r="0" b="0"/>
            <wp:docPr id="357815385" name="Picture 35781538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85" name="Picture 357815385" descr="Diagram&#10;&#10;Description automatically generated"/>
                    <pic:cNvPicPr/>
                  </pic:nvPicPr>
                  <pic:blipFill>
                    <a:blip r:embed="rId270"/>
                    <a:stretch>
                      <a:fillRect/>
                    </a:stretch>
                  </pic:blipFill>
                  <pic:spPr>
                    <a:xfrm>
                      <a:off x="0" y="0"/>
                      <a:ext cx="3319200" cy="2059200"/>
                    </a:xfrm>
                    <a:prstGeom prst="rect">
                      <a:avLst/>
                    </a:prstGeom>
                  </pic:spPr>
                </pic:pic>
              </a:graphicData>
            </a:graphic>
          </wp:inline>
        </w:drawing>
      </w: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276"/>
        <w:gridCol w:w="9180"/>
      </w:tblGrid>
      <w:tr w:rsidR="00FF0111" w14:paraId="7062C9FB" w14:textId="77777777" w:rsidTr="00281329">
        <w:tc>
          <w:tcPr>
            <w:tcW w:w="1276" w:type="dxa"/>
            <w:shd w:val="clear" w:color="auto" w:fill="F2F2F2" w:themeFill="background1" w:themeFillShade="F2"/>
          </w:tcPr>
          <w:p w14:paraId="3520741C" w14:textId="77777777" w:rsidR="00FF0111" w:rsidRPr="00A72989" w:rsidRDefault="00FF0111" w:rsidP="00281329">
            <w:pPr>
              <w:pStyle w:val="Tablecontent"/>
            </w:pPr>
            <w:r>
              <w:t>Init</w:t>
            </w:r>
          </w:p>
        </w:tc>
        <w:tc>
          <w:tcPr>
            <w:tcW w:w="9180" w:type="dxa"/>
          </w:tcPr>
          <w:p w14:paraId="39133867" w14:textId="77777777" w:rsidR="00FF0111" w:rsidRDefault="00FF0111" w:rsidP="00281329">
            <w:pPr>
              <w:pStyle w:val="Tablecontent"/>
            </w:pPr>
            <w:r>
              <w:t xml:space="preserve">The process is being created. </w:t>
            </w:r>
          </w:p>
          <w:p w14:paraId="3167A647" w14:textId="77777777" w:rsidR="00FF0111" w:rsidRDefault="00FF0111" w:rsidP="00281329">
            <w:pPr>
              <w:pStyle w:val="Tablecontent"/>
            </w:pPr>
            <w:r>
              <w:t>Maps to New in VMkernel</w:t>
            </w:r>
          </w:p>
        </w:tc>
      </w:tr>
      <w:tr w:rsidR="00FF0111" w14:paraId="045839D7" w14:textId="77777777" w:rsidTr="00281329">
        <w:tc>
          <w:tcPr>
            <w:tcW w:w="1276" w:type="dxa"/>
            <w:shd w:val="clear" w:color="auto" w:fill="F2F2F2" w:themeFill="background1" w:themeFillShade="F2"/>
          </w:tcPr>
          <w:p w14:paraId="18EB9A5F" w14:textId="77777777" w:rsidR="00FF0111" w:rsidRPr="00A72989" w:rsidRDefault="00FF0111" w:rsidP="00281329">
            <w:pPr>
              <w:pStyle w:val="Tablecontent"/>
            </w:pPr>
            <w:r>
              <w:t>Ready</w:t>
            </w:r>
          </w:p>
        </w:tc>
        <w:tc>
          <w:tcPr>
            <w:tcW w:w="9180" w:type="dxa"/>
          </w:tcPr>
          <w:p w14:paraId="218DEF7A" w14:textId="77777777" w:rsidR="00FF0111" w:rsidRDefault="00FF0111" w:rsidP="00281329">
            <w:pPr>
              <w:pStyle w:val="Tablecontent"/>
            </w:pPr>
            <w:r>
              <w:t xml:space="preserve">The process is in the ready list and waits for being scheduled by the CPU. </w:t>
            </w:r>
          </w:p>
          <w:p w14:paraId="5D28E14D" w14:textId="77777777" w:rsidR="00FF0111" w:rsidRDefault="00FF0111" w:rsidP="00281329">
            <w:pPr>
              <w:pStyle w:val="Tablecontent"/>
            </w:pPr>
            <w:r>
              <w:lastRenderedPageBreak/>
              <w:t>Maps to Ready in VMkernel</w:t>
            </w:r>
          </w:p>
        </w:tc>
      </w:tr>
      <w:tr w:rsidR="00FF0111" w14:paraId="5E890363" w14:textId="77777777" w:rsidTr="00281329">
        <w:tc>
          <w:tcPr>
            <w:tcW w:w="1276" w:type="dxa"/>
            <w:shd w:val="clear" w:color="auto" w:fill="F2F2F2" w:themeFill="background1" w:themeFillShade="F2"/>
          </w:tcPr>
          <w:p w14:paraId="47AFB20A" w14:textId="77777777" w:rsidR="00FF0111" w:rsidRPr="00A72989" w:rsidRDefault="00FF0111" w:rsidP="00281329">
            <w:pPr>
              <w:pStyle w:val="Tablecontent"/>
            </w:pPr>
            <w:r>
              <w:lastRenderedPageBreak/>
              <w:t>Running</w:t>
            </w:r>
          </w:p>
        </w:tc>
        <w:tc>
          <w:tcPr>
            <w:tcW w:w="9180" w:type="dxa"/>
          </w:tcPr>
          <w:p w14:paraId="3A4E07AB" w14:textId="77777777" w:rsidR="00FF0111" w:rsidRDefault="00FF0111" w:rsidP="00281329">
            <w:pPr>
              <w:pStyle w:val="Tablecontent"/>
            </w:pPr>
            <w:r>
              <w:t>Maps to Run in VMkernel</w:t>
            </w:r>
          </w:p>
        </w:tc>
      </w:tr>
      <w:tr w:rsidR="00FF0111" w14:paraId="0DBEAACA" w14:textId="77777777" w:rsidTr="00281329">
        <w:tc>
          <w:tcPr>
            <w:tcW w:w="1276" w:type="dxa"/>
            <w:shd w:val="clear" w:color="auto" w:fill="F2F2F2" w:themeFill="background1" w:themeFillShade="F2"/>
          </w:tcPr>
          <w:p w14:paraId="4953C5C1" w14:textId="77777777" w:rsidR="00FF0111" w:rsidRPr="00A72989" w:rsidRDefault="00FF0111" w:rsidP="00281329">
            <w:pPr>
              <w:pStyle w:val="Tablecontent"/>
            </w:pPr>
            <w:r>
              <w:t>Pending</w:t>
            </w:r>
          </w:p>
        </w:tc>
        <w:tc>
          <w:tcPr>
            <w:tcW w:w="9180" w:type="dxa"/>
          </w:tcPr>
          <w:p w14:paraId="2DD66052" w14:textId="77777777" w:rsidR="00FF0111" w:rsidRDefault="00FF0111" w:rsidP="00281329">
            <w:pPr>
              <w:pStyle w:val="Tablecontent"/>
              <w:rPr>
                <w:rFonts w:ascii="Arial" w:hAnsi="Arial" w:cs="Arial"/>
                <w:sz w:val="36"/>
                <w:szCs w:val="36"/>
              </w:rPr>
            </w:pPr>
            <w:r>
              <w:t>The process is blocked and suspended. When all threads in a process are blocked, the process is blocked and suspended.</w:t>
            </w:r>
          </w:p>
          <w:p w14:paraId="1439F026" w14:textId="77777777" w:rsidR="00FF0111" w:rsidRDefault="00FF0111" w:rsidP="00281329">
            <w:pPr>
              <w:pStyle w:val="Tablecontent"/>
            </w:pPr>
            <w:r>
              <w:t>Maps to Wait in VMkernel. Notice they also include Idle here in their Wait state.</w:t>
            </w:r>
          </w:p>
        </w:tc>
      </w:tr>
      <w:tr w:rsidR="00FF0111" w14:paraId="1C6C5034" w14:textId="77777777" w:rsidTr="00281329">
        <w:tc>
          <w:tcPr>
            <w:tcW w:w="1276" w:type="dxa"/>
            <w:shd w:val="clear" w:color="auto" w:fill="F2F2F2" w:themeFill="background1" w:themeFillShade="F2"/>
          </w:tcPr>
          <w:p w14:paraId="66AAB7B6" w14:textId="77777777" w:rsidR="00FF0111" w:rsidRPr="00A72989" w:rsidRDefault="00FF0111" w:rsidP="00281329">
            <w:pPr>
              <w:pStyle w:val="Tablecontent"/>
            </w:pPr>
            <w:r>
              <w:t>Zombies</w:t>
            </w:r>
          </w:p>
        </w:tc>
        <w:tc>
          <w:tcPr>
            <w:tcW w:w="9180" w:type="dxa"/>
          </w:tcPr>
          <w:p w14:paraId="3E56A107" w14:textId="77777777" w:rsidR="00FF0111" w:rsidRDefault="00FF0111" w:rsidP="00281329">
            <w:pPr>
              <w:pStyle w:val="Tablecontent"/>
            </w:pPr>
            <w:r>
              <w:t>Maps to Zombies in VMkernel</w:t>
            </w:r>
          </w:p>
        </w:tc>
      </w:tr>
      <w:tr w:rsidR="00FF0111" w14:paraId="4765889C" w14:textId="77777777" w:rsidTr="00281329">
        <w:tc>
          <w:tcPr>
            <w:tcW w:w="1276" w:type="dxa"/>
            <w:shd w:val="clear" w:color="auto" w:fill="F2F2F2" w:themeFill="background1" w:themeFillShade="F2"/>
          </w:tcPr>
          <w:p w14:paraId="024D9963" w14:textId="77777777" w:rsidR="00FF0111" w:rsidRPr="00A72989" w:rsidRDefault="00FF0111" w:rsidP="00281329">
            <w:pPr>
              <w:pStyle w:val="Tablecontent"/>
            </w:pPr>
            <w:r>
              <w:t>“none”</w:t>
            </w:r>
          </w:p>
        </w:tc>
        <w:tc>
          <w:tcPr>
            <w:tcW w:w="9180" w:type="dxa"/>
          </w:tcPr>
          <w:p w14:paraId="76020ACE" w14:textId="0C4C6A59" w:rsidR="00FF0111" w:rsidRDefault="00FF0111" w:rsidP="00281329">
            <w:pPr>
              <w:pStyle w:val="Tablecontent"/>
            </w:pPr>
            <w:r>
              <w:t xml:space="preserve">Our </w:t>
            </w:r>
            <w:r w:rsidR="00443625">
              <w:t>Co-stop</w:t>
            </w:r>
            <w:r>
              <w:t xml:space="preserve"> is unique as VM is a multi-process scheduled entity</w:t>
            </w:r>
          </w:p>
        </w:tc>
      </w:tr>
    </w:tbl>
    <w:p w14:paraId="1D369853" w14:textId="77777777" w:rsidR="00FF0111" w:rsidRDefault="00FF0111" w:rsidP="00FF0111">
      <w:pPr>
        <w:pStyle w:val="BeforeTable"/>
      </w:pPr>
    </w:p>
    <w:p w14:paraId="527E5ED9" w14:textId="77777777" w:rsidR="00FF0111" w:rsidRPr="00C161B3" w:rsidRDefault="00FF0111" w:rsidP="00FF0111">
      <w:r>
        <w:t xml:space="preserve">Back to our VMkernel </w:t>
      </w:r>
      <w:r w:rsidRPr="00C161B3">
        <w:t>4 possible states, you can conclude that</w:t>
      </w:r>
      <w:r>
        <w:t xml:space="preserve">: </w:t>
      </w:r>
    </w:p>
    <w:p w14:paraId="55099B99" w14:textId="67ED43D3" w:rsidR="00FF0111" w:rsidRDefault="00FF0111" w:rsidP="00FF0111">
      <w:pPr>
        <w:pStyle w:val="Code"/>
      </w:pPr>
      <w:r w:rsidRPr="00C161B3">
        <w:t xml:space="preserve">Run + Ready + </w:t>
      </w:r>
      <w:r w:rsidR="00443625">
        <w:t>Co-stop</w:t>
      </w:r>
      <w:r w:rsidRPr="00C161B3">
        <w:t xml:space="preserve"> + Wait = 100%</w:t>
      </w:r>
    </w:p>
    <w:p w14:paraId="49BF4677" w14:textId="38CEAF5C" w:rsidR="00FF0111" w:rsidRPr="003D6E92" w:rsidRDefault="00FF0111" w:rsidP="00FF0111">
      <w:r w:rsidRPr="003D6E92">
        <w:t xml:space="preserve">VM 2 can run when VM 1 is on </w:t>
      </w:r>
      <w:r w:rsidR="00443625">
        <w:t>Co-stop</w:t>
      </w:r>
      <w:r w:rsidRPr="003D6E92">
        <w:t xml:space="preserve"> state, Ready state, or Wait state. This is because the physical thread is available.</w:t>
      </w:r>
    </w:p>
    <w:p w14:paraId="49FF1115" w14:textId="77777777" w:rsidR="00FF0111" w:rsidRPr="003B4BF3" w:rsidRDefault="00FF0111" w:rsidP="00FF0111">
      <w:pPr>
        <w:pStyle w:val="Heading5"/>
      </w:pPr>
      <w:r>
        <w:t>State across Time</w:t>
      </w:r>
    </w:p>
    <w:p w14:paraId="593F21E7" w14:textId="77777777" w:rsidR="00FF0111" w:rsidRPr="00C161B3" w:rsidRDefault="00FF0111" w:rsidP="00FF0111">
      <w:r w:rsidRPr="00C161B3">
        <w:t xml:space="preserve">The above is at any given moment. To measure over time and report it (say every 20 seconds), we need to add </w:t>
      </w:r>
      <w:r>
        <w:t xml:space="preserve">a </w:t>
      </w:r>
      <w:r w:rsidRPr="00C161B3">
        <w:t xml:space="preserve">time dimension. The following example shows the above state diagram repeated over time, where each block </w:t>
      </w:r>
      <w:r>
        <w:t>is</w:t>
      </w:r>
      <w:r w:rsidRPr="00C161B3">
        <w:t xml:space="preserve"> 1 second.</w:t>
      </w:r>
      <w:r>
        <w:t xml:space="preserve"> In reality, the scheduler checks more frequently that this.</w:t>
      </w:r>
    </w:p>
    <w:p w14:paraId="66047B80" w14:textId="77777777" w:rsidR="00FF0111" w:rsidRPr="00C161B3" w:rsidRDefault="00FF0111" w:rsidP="00FF0111">
      <w:pPr>
        <w:jc w:val="center"/>
      </w:pPr>
      <w:r>
        <w:rPr>
          <w:noProof/>
        </w:rPr>
        <w:drawing>
          <wp:inline distT="0" distB="0" distL="0" distR="0" wp14:anchorId="23CD267C" wp14:editId="104A2D9B">
            <wp:extent cx="5494497" cy="2314136"/>
            <wp:effectExtent l="0" t="0" r="0" b="0"/>
            <wp:docPr id="606394081" name="Picture 606394081"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81" name="Picture 606394081" descr="Chart, treemap chart&#10;&#10;Description automatically generated"/>
                    <pic:cNvPicPr/>
                  </pic:nvPicPr>
                  <pic:blipFill>
                    <a:blip r:embed="rId271">
                      <a:extLst>
                        <a:ext uri="{28A0092B-C50C-407E-A947-70E740481C1C}">
                          <a14:useLocalDpi xmlns:a14="http://schemas.microsoft.com/office/drawing/2010/main" val="0"/>
                        </a:ext>
                      </a:extLst>
                    </a:blip>
                    <a:stretch>
                      <a:fillRect/>
                    </a:stretch>
                  </pic:blipFill>
                  <pic:spPr>
                    <a:xfrm>
                      <a:off x="0" y="0"/>
                      <a:ext cx="5494497" cy="2314136"/>
                    </a:xfrm>
                    <a:prstGeom prst="rect">
                      <a:avLst/>
                    </a:prstGeom>
                  </pic:spPr>
                </pic:pic>
              </a:graphicData>
            </a:graphic>
          </wp:inline>
        </w:drawing>
      </w:r>
    </w:p>
    <w:p w14:paraId="3E4B6BAF" w14:textId="77777777" w:rsidR="00727E5F" w:rsidRDefault="00727E5F" w:rsidP="00727E5F">
      <w:r w:rsidRPr="00C161B3">
        <w:t xml:space="preserve">vCenter happens to </w:t>
      </w:r>
      <w:r>
        <w:t>use</w:t>
      </w:r>
      <w:r w:rsidRPr="00C161B3">
        <w:t xml:space="preserve"> 20000 milliseconds as the reporting cycle, hence 20000 milliseconds = 100%.</w:t>
      </w:r>
    </w:p>
    <w:p w14:paraId="6506AD5A" w14:textId="47217CB3" w:rsidR="00FF0111" w:rsidRPr="00C161B3" w:rsidRDefault="00FF0111" w:rsidP="00FF0111">
      <w:r>
        <w:t xml:space="preserve">The above visually shows why Ready (%) + </w:t>
      </w:r>
      <w:r w:rsidR="00443625">
        <w:t>Co-stop</w:t>
      </w:r>
      <w:r>
        <w:t xml:space="preserve"> (%) needs to be seen in context of Run. Ready at 5% is low when Run is at 95%. Ready at 2% is very high when Run is only 10%, because 20% of the time when the VM wanted to run it couldn’t.</w:t>
      </w:r>
    </w:p>
    <w:p w14:paraId="4C3545A3" w14:textId="641F23B4" w:rsidR="00FF0111" w:rsidRDefault="00FF0111" w:rsidP="00FF0111">
      <w:r w:rsidRPr="00C161B3">
        <w:t xml:space="preserve">The above is </w:t>
      </w:r>
      <w:r w:rsidRPr="00FD0D9F">
        <w:rPr>
          <w:i/>
          <w:iCs/>
          <w:color w:val="FF0000"/>
        </w:rPr>
        <w:t>per vCPU</w:t>
      </w:r>
      <w:r w:rsidRPr="00C161B3">
        <w:t>. A VM with 24 vCPU will have 480,000 as the total.</w:t>
      </w:r>
      <w:r>
        <w:t xml:space="preserve"> It matters not if the VM is configured with 1 vCPU 24 vCores or 24 vCPU with 1 vCore each.</w:t>
      </w:r>
    </w:p>
    <w:p w14:paraId="32BD664B" w14:textId="77777777" w:rsidR="00FF0111" w:rsidRDefault="00FF0111" w:rsidP="00FF0111">
      <w:r>
        <w:t>You can prove the above by stacking up the 4 metrics over time. In this VM, the total is exactly 80000 ms as it has 4 vCPU. If you wonder why CPU Ready is so high, it’s a test VM where we artificially placed a limit.</w:t>
      </w:r>
    </w:p>
    <w:p w14:paraId="270A0A30" w14:textId="77777777" w:rsidR="00FF0111" w:rsidRDefault="00FF0111" w:rsidP="00FF0111">
      <w:r w:rsidRPr="00777E4A">
        <w:rPr>
          <w:noProof/>
        </w:rPr>
        <w:lastRenderedPageBreak/>
        <w:drawing>
          <wp:inline distT="0" distB="0" distL="0" distR="0" wp14:anchorId="08C43C86" wp14:editId="6B529068">
            <wp:extent cx="6645910" cy="3382645"/>
            <wp:effectExtent l="0" t="0" r="2540" b="8255"/>
            <wp:docPr id="1293284850" name="Picture 129328485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50" name="Picture 1293284850" descr="Chart, histogram&#10;&#10;Description automatically generated"/>
                    <pic:cNvPicPr/>
                  </pic:nvPicPr>
                  <pic:blipFill>
                    <a:blip r:embed="rId272"/>
                    <a:stretch>
                      <a:fillRect/>
                    </a:stretch>
                  </pic:blipFill>
                  <pic:spPr>
                    <a:xfrm>
                      <a:off x="0" y="0"/>
                      <a:ext cx="6645910" cy="3382645"/>
                    </a:xfrm>
                    <a:prstGeom prst="rect">
                      <a:avLst/>
                    </a:prstGeom>
                  </pic:spPr>
                </pic:pic>
              </a:graphicData>
            </a:graphic>
          </wp:inline>
        </w:drawing>
      </w:r>
    </w:p>
    <w:p w14:paraId="47359D18" w14:textId="77777777" w:rsidR="00FF0111" w:rsidRDefault="00FF0111" w:rsidP="00FF0111">
      <w:r>
        <w:t>The formula for the millisecond metrics in vRealize Operations are also not normalized by the number of vCPU. The following shows the total adds up to 80000 as the VM has 4 vCPU.</w:t>
      </w:r>
    </w:p>
    <w:p w14:paraId="6ED86A66" w14:textId="77777777" w:rsidR="00FF0111" w:rsidRDefault="00FF0111" w:rsidP="00FF0111">
      <w:r w:rsidRPr="002740D1">
        <w:rPr>
          <w:noProof/>
        </w:rPr>
        <w:drawing>
          <wp:inline distT="0" distB="0" distL="0" distR="0" wp14:anchorId="597ADAAB" wp14:editId="5923B9BF">
            <wp:extent cx="6645910" cy="1397635"/>
            <wp:effectExtent l="0" t="0" r="2540" b="0"/>
            <wp:docPr id="1293284844" name="Picture 1293284844" descr="A picture containing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44" name="Picture 1293284844" descr="A picture containing application&#10;&#10;Description automatically generated"/>
                    <pic:cNvPicPr/>
                  </pic:nvPicPr>
                  <pic:blipFill>
                    <a:blip r:embed="rId273"/>
                    <a:stretch>
                      <a:fillRect/>
                    </a:stretch>
                  </pic:blipFill>
                  <pic:spPr>
                    <a:xfrm>
                      <a:off x="0" y="0"/>
                      <a:ext cx="6645910" cy="1397635"/>
                    </a:xfrm>
                    <a:prstGeom prst="rect">
                      <a:avLst/>
                    </a:prstGeom>
                  </pic:spPr>
                </pic:pic>
              </a:graphicData>
            </a:graphic>
          </wp:inline>
        </w:drawing>
      </w:r>
    </w:p>
    <w:p w14:paraId="7F76AC3C" w14:textId="77777777" w:rsidR="00FF0111" w:rsidRDefault="00FF0111" w:rsidP="00FF0111">
      <w:r>
        <w:t xml:space="preserve">This is why you should avoid using the millisecond counter. Use the % version instead. They have been normalized. </w:t>
      </w:r>
    </w:p>
    <w:p w14:paraId="06BA6A45" w14:textId="77777777" w:rsidR="00FF0111" w:rsidRPr="00890595" w:rsidRDefault="00FF0111" w:rsidP="00FF0111">
      <w:pPr>
        <w:pStyle w:val="Heading4"/>
      </w:pPr>
      <w:r w:rsidRPr="00890595">
        <w:t>Simultaneous Multithreading</w:t>
      </w:r>
    </w:p>
    <w:p w14:paraId="388B7EE8" w14:textId="77777777" w:rsidR="00FF0111" w:rsidRDefault="00FF0111" w:rsidP="00FF0111">
      <w:r>
        <w:t xml:space="preserve">We’ve covered a lot of metrics. Before we cover the rest, we need to cover </w:t>
      </w:r>
      <w:r w:rsidRPr="00890595">
        <w:t xml:space="preserve">CPU </w:t>
      </w:r>
      <w:hyperlink r:id="rId274" w:history="1">
        <w:r w:rsidRPr="00890595">
          <w:rPr>
            <w:rStyle w:val="Hyperlink"/>
          </w:rPr>
          <w:t>SMT</w:t>
        </w:r>
      </w:hyperlink>
      <w:r w:rsidRPr="00890595">
        <w:t xml:space="preserve"> (Hyper Threading as Intel calls it)</w:t>
      </w:r>
      <w:r>
        <w:t xml:space="preserve">, as it impacts their value. </w:t>
      </w:r>
    </w:p>
    <w:p w14:paraId="5A9059B4" w14:textId="77777777" w:rsidR="00FF0111" w:rsidRPr="00890595" w:rsidRDefault="00FF0111" w:rsidP="00FF0111">
      <w:r>
        <w:t xml:space="preserve">SMT </w:t>
      </w:r>
      <w:r w:rsidRPr="00890595">
        <w:t xml:space="preserve">is known to deliver higher </w:t>
      </w:r>
      <w:r w:rsidRPr="00D97ADB">
        <w:rPr>
          <w:i/>
          <w:iCs/>
          <w:color w:val="00B0F0"/>
        </w:rPr>
        <w:t>overall throughput</w:t>
      </w:r>
      <w:r w:rsidRPr="00890595">
        <w:t>. It increases the overall throughput of the core, but at the expense of individual thread performance. The increase varies depending on the load.</w:t>
      </w:r>
    </w:p>
    <w:p w14:paraId="6ECE3CE8" w14:textId="2BBD9409" w:rsidR="00FF0111" w:rsidRPr="00890595" w:rsidRDefault="00FF0111" w:rsidP="00FF0111">
      <w:r w:rsidRPr="00890595">
        <w:lastRenderedPageBreak/>
        <w:t>Accounting wise, ESXi records this overall boost at 1.25x regardless of the actual increase</w:t>
      </w:r>
      <w:r>
        <w:t>, which maybe less or more than 1.25x</w:t>
      </w:r>
      <w:r w:rsidRPr="00890595">
        <w:t xml:space="preserve">. That means if both threads are running at the same time, the core </w:t>
      </w:r>
      <w:r>
        <w:t xml:space="preserve">records </w:t>
      </w:r>
      <w:r w:rsidRPr="00890595">
        <w:t xml:space="preserve">1.25x overall throughput but each thread only gets 62.5% of the shared physical core. This is a significant drop from the perspective of each VM. From the perspective of each VM, it is better </w:t>
      </w:r>
      <w:r w:rsidR="00D50DCE">
        <w:t>that</w:t>
      </w:r>
      <w:r w:rsidRPr="00890595">
        <w:t xml:space="preserve"> the second thread is </w:t>
      </w:r>
      <w:r w:rsidRPr="00890595">
        <w:rPr>
          <w:color w:val="FF0000"/>
        </w:rPr>
        <w:t>not</w:t>
      </w:r>
      <w:r w:rsidRPr="00890595">
        <w:t xml:space="preserve"> being used, because the VM </w:t>
      </w:r>
      <w:r>
        <w:t xml:space="preserve">could </w:t>
      </w:r>
      <w:r w:rsidRPr="00890595">
        <w:t xml:space="preserve">then get 100% performance instead of 62.5%. Because the drop </w:t>
      </w:r>
      <w:r>
        <w:t>could be</w:t>
      </w:r>
      <w:r w:rsidRPr="00890595">
        <w:t xml:space="preserve"> significant, enabling the latency sensitivity setting will result in a full core reservation. The CPU scheduler will not run any task on the second HT.</w:t>
      </w:r>
    </w:p>
    <w:p w14:paraId="79038D69" w14:textId="77777777" w:rsidR="00FF0111" w:rsidRPr="00890595" w:rsidRDefault="00FF0111" w:rsidP="00FF0111">
      <w:r w:rsidRPr="00890595">
        <w:t>The following diagram shows 2 VMs sharing a single physical core. Each run on a thread of the shared core. There are 4 possible combinations of Run and Idle that can happen:</w:t>
      </w:r>
    </w:p>
    <w:p w14:paraId="1854DC2C" w14:textId="77777777" w:rsidR="00FF0111" w:rsidRPr="00D7663E" w:rsidRDefault="00FF0111" w:rsidP="00FF0111">
      <w:pPr>
        <w:jc w:val="center"/>
        <w:rPr>
          <w:lang w:val="en-GB"/>
        </w:rPr>
      </w:pPr>
      <w:r>
        <w:rPr>
          <w:noProof/>
        </w:rPr>
        <w:drawing>
          <wp:inline distT="0" distB="0" distL="0" distR="0" wp14:anchorId="4A99B63E" wp14:editId="05F14AE8">
            <wp:extent cx="5806120" cy="1237670"/>
            <wp:effectExtent l="0" t="0" r="4445" b="635"/>
            <wp:docPr id="606394063" name="Picture 606394063"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63" name="Picture 606394063" descr="Chart&#10;&#10;Description automatically generated with low confidence"/>
                    <pic:cNvPicPr/>
                  </pic:nvPicPr>
                  <pic:blipFill>
                    <a:blip r:embed="rId275">
                      <a:extLst>
                        <a:ext uri="{28A0092B-C50C-407E-A947-70E740481C1C}">
                          <a14:useLocalDpi xmlns:a14="http://schemas.microsoft.com/office/drawing/2010/main" val="0"/>
                        </a:ext>
                      </a:extLst>
                    </a:blip>
                    <a:stretch>
                      <a:fillRect/>
                    </a:stretch>
                  </pic:blipFill>
                  <pic:spPr>
                    <a:xfrm>
                      <a:off x="0" y="0"/>
                      <a:ext cx="5806120" cy="1237670"/>
                    </a:xfrm>
                    <a:prstGeom prst="rect">
                      <a:avLst/>
                    </a:prstGeom>
                  </pic:spPr>
                </pic:pic>
              </a:graphicData>
            </a:graphic>
          </wp:inline>
        </w:drawing>
      </w:r>
    </w:p>
    <w:p w14:paraId="0A8F5489" w14:textId="77777777" w:rsidR="00FF0111" w:rsidRPr="00D7663E" w:rsidRDefault="00FF0111" w:rsidP="00FF0111">
      <w:pPr>
        <w:rPr>
          <w:lang w:val="en-GB" w:eastAsia="en-SG"/>
        </w:rPr>
      </w:pPr>
      <w:r w:rsidRPr="00D7663E">
        <w:rPr>
          <w:lang w:val="en-GB" w:eastAsia="en-SG"/>
        </w:rPr>
        <w:t>Each VM runs for half the time. The CPU Run counter = 50%, because it’s not aware of HT. But is that really what each VM gets, since they have to fight for the same core?</w:t>
      </w:r>
    </w:p>
    <w:p w14:paraId="37AAC95D" w14:textId="77777777" w:rsidR="00FF0111" w:rsidRPr="00D7663E" w:rsidRDefault="00FF0111" w:rsidP="00FF0111">
      <w:pPr>
        <w:rPr>
          <w:lang w:val="en-GB" w:eastAsia="en-SG"/>
        </w:rPr>
      </w:pPr>
      <w:r w:rsidRPr="00D7663E">
        <w:rPr>
          <w:lang w:val="en-GB" w:eastAsia="en-SG"/>
        </w:rPr>
        <w:t xml:space="preserve">The answer is obviously no. Hence the need for another counter that accounts for this. The diagram below shows what VM A actually gets. The allocation is </w:t>
      </w:r>
      <w:r>
        <w:rPr>
          <w:lang w:val="en-GB" w:eastAsia="en-SG"/>
        </w:rPr>
        <w:t>fixed</w:t>
      </w:r>
      <w:r w:rsidRPr="00D7663E">
        <w:rPr>
          <w:lang w:val="en-GB" w:eastAsia="en-SG"/>
        </w:rPr>
        <w:t>.</w:t>
      </w:r>
    </w:p>
    <w:p w14:paraId="2DFBB41A" w14:textId="77777777" w:rsidR="00FF0111" w:rsidRPr="001B226D" w:rsidRDefault="00FF0111" w:rsidP="00FF0111">
      <w:pPr>
        <w:rPr>
          <w:lang w:val="en-GB" w:eastAsia="en-SG"/>
        </w:rPr>
      </w:pPr>
      <w:r>
        <w:rPr>
          <w:noProof/>
        </w:rPr>
        <w:drawing>
          <wp:inline distT="0" distB="0" distL="0" distR="0" wp14:anchorId="14D36CB8" wp14:editId="0DFE786F">
            <wp:extent cx="6645910" cy="1783080"/>
            <wp:effectExtent l="0" t="0" r="2540" b="7620"/>
            <wp:docPr id="606394064" name="Picture 606394064"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64" name="Picture 606394064" descr="Timeline&#10;&#10;Description automatically generated"/>
                    <pic:cNvPicPr/>
                  </pic:nvPicPr>
                  <pic:blipFill>
                    <a:blip r:embed="rId276">
                      <a:extLst>
                        <a:ext uri="{28A0092B-C50C-407E-A947-70E740481C1C}">
                          <a14:useLocalDpi xmlns:a14="http://schemas.microsoft.com/office/drawing/2010/main" val="0"/>
                        </a:ext>
                      </a:extLst>
                    </a:blip>
                    <a:stretch>
                      <a:fillRect/>
                    </a:stretch>
                  </pic:blipFill>
                  <pic:spPr>
                    <a:xfrm>
                      <a:off x="0" y="0"/>
                      <a:ext cx="6645910" cy="1783080"/>
                    </a:xfrm>
                    <a:prstGeom prst="rect">
                      <a:avLst/>
                    </a:prstGeom>
                  </pic:spPr>
                </pic:pic>
              </a:graphicData>
            </a:graphic>
          </wp:inline>
        </w:drawing>
      </w:r>
    </w:p>
    <w:p w14:paraId="2C390F94" w14:textId="77777777" w:rsidR="00FF0111" w:rsidRPr="001B226D" w:rsidRDefault="00FF0111" w:rsidP="00FF0111">
      <w:pPr>
        <w:rPr>
          <w:lang w:val="en-GB" w:eastAsia="en-SG"/>
        </w:rPr>
      </w:pPr>
      <w:r w:rsidRPr="001B226D">
        <w:rPr>
          <w:lang w:val="en-GB" w:eastAsia="en-SG"/>
        </w:rPr>
        <w:t xml:space="preserve">The CPU Used counter takes this into account. In the first part, VM A only gets 62.5% as VM B is also running. In the second part, VM A gets the full 100%. The total for the entire duration is </w:t>
      </w:r>
      <w:r w:rsidRPr="001B226D">
        <w:rPr>
          <w:b/>
          <w:bCs/>
          <w:lang w:val="en-GB" w:eastAsia="en-SG"/>
        </w:rPr>
        <w:t>40.625</w:t>
      </w:r>
      <w:r w:rsidRPr="001B226D">
        <w:rPr>
          <w:lang w:val="en-GB" w:eastAsia="en-SG"/>
        </w:rPr>
        <w:t xml:space="preserve">%. CPU Used will report this number, while CPU Run will report </w:t>
      </w:r>
      <w:r w:rsidRPr="001B226D">
        <w:rPr>
          <w:b/>
          <w:bCs/>
          <w:lang w:val="en-GB" w:eastAsia="en-SG"/>
        </w:rPr>
        <w:t>50%</w:t>
      </w:r>
      <w:r w:rsidRPr="001B226D">
        <w:rPr>
          <w:lang w:val="en-GB" w:eastAsia="en-SG"/>
        </w:rPr>
        <w:t>.</w:t>
      </w:r>
    </w:p>
    <w:p w14:paraId="24177B35" w14:textId="77777777" w:rsidR="00FF0111" w:rsidRPr="001B226D" w:rsidRDefault="00FF0111" w:rsidP="00FF0111">
      <w:pPr>
        <w:rPr>
          <w:lang w:val="en-GB" w:eastAsia="en-SG"/>
        </w:rPr>
      </w:pPr>
      <w:r w:rsidRPr="001B226D">
        <w:rPr>
          <w:lang w:val="en-GB" w:eastAsia="en-SG"/>
        </w:rPr>
        <w:t>If both threads are running all the time, guest what CPU Used and CPU Run will report?</w:t>
      </w:r>
    </w:p>
    <w:p w14:paraId="33DE5CF2" w14:textId="77777777" w:rsidR="00FF0111" w:rsidRPr="001B226D" w:rsidRDefault="00FF0111" w:rsidP="00FF0111">
      <w:pPr>
        <w:rPr>
          <w:lang w:val="en-GB" w:eastAsia="en-SG"/>
        </w:rPr>
      </w:pPr>
      <w:r w:rsidRPr="001B226D">
        <w:rPr>
          <w:lang w:val="en-GB" w:eastAsia="en-SG"/>
        </w:rPr>
        <w:t>62.5% and 100% respectively.</w:t>
      </w:r>
    </w:p>
    <w:p w14:paraId="466DF4DD" w14:textId="77777777" w:rsidR="00727E5F" w:rsidRDefault="00727E5F" w:rsidP="00727E5F">
      <w:pPr>
        <w:pStyle w:val="Heading5"/>
      </w:pPr>
      <w:r>
        <w:t>Quiz Time: VM vs ESXi</w:t>
      </w:r>
    </w:p>
    <w:p w14:paraId="03579A41" w14:textId="77777777" w:rsidR="00727E5F" w:rsidRPr="00786872" w:rsidRDefault="00727E5F" w:rsidP="00727E5F">
      <w:pPr>
        <w:rPr>
          <w:lang w:val="en-GB" w:eastAsia="en-SG"/>
        </w:rPr>
      </w:pPr>
      <w:r>
        <w:rPr>
          <w:lang w:val="en-GB" w:eastAsia="en-SG"/>
        </w:rPr>
        <w:t>Review the following chart</w:t>
      </w:r>
      <w:r>
        <w:rPr>
          <w:rStyle w:val="FootnoteReference"/>
          <w:lang w:val="en-GB" w:eastAsia="en-SG"/>
        </w:rPr>
        <w:footnoteReference w:id="16"/>
      </w:r>
      <w:r>
        <w:rPr>
          <w:lang w:val="en-GB" w:eastAsia="en-SG"/>
        </w:rPr>
        <w:t xml:space="preserve">. It shows a cluster with 2 metrics. The first counter sums all the ESXi CPU Usage, while the second counter sums all the VM CPU Usage. </w:t>
      </w:r>
    </w:p>
    <w:p w14:paraId="52C56C87" w14:textId="77777777" w:rsidR="00727E5F" w:rsidRDefault="00727E5F" w:rsidP="00727E5F">
      <w:pPr>
        <w:rPr>
          <w:lang w:val="en-GB"/>
        </w:rPr>
      </w:pPr>
      <w:r>
        <w:rPr>
          <w:noProof/>
          <w:lang w:val="en-GB"/>
        </w:rPr>
        <w:lastRenderedPageBreak/>
        <w:drawing>
          <wp:inline distT="0" distB="0" distL="0" distR="0" wp14:anchorId="0812493C" wp14:editId="40903AD8">
            <wp:extent cx="6645910" cy="2499995"/>
            <wp:effectExtent l="0" t="0" r="2540" b="0"/>
            <wp:docPr id="1525330242" name="Picture 1525330242"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42" name="Picture 1525330242" descr="Graphical user interface, chart&#10;&#10;Description automatically generated"/>
                    <pic:cNvPicPr/>
                  </pic:nvPicPr>
                  <pic:blipFill>
                    <a:blip r:embed="rId277" cstate="print">
                      <a:extLst>
                        <a:ext uri="{28A0092B-C50C-407E-A947-70E740481C1C}">
                          <a14:useLocalDpi xmlns:a14="http://schemas.microsoft.com/office/drawing/2010/main" val="0"/>
                        </a:ext>
                      </a:extLst>
                    </a:blip>
                    <a:stretch>
                      <a:fillRect/>
                    </a:stretch>
                  </pic:blipFill>
                  <pic:spPr>
                    <a:xfrm>
                      <a:off x="0" y="0"/>
                      <a:ext cx="6645910" cy="2499995"/>
                    </a:xfrm>
                    <a:prstGeom prst="rect">
                      <a:avLst/>
                    </a:prstGeom>
                  </pic:spPr>
                </pic:pic>
              </a:graphicData>
            </a:graphic>
          </wp:inline>
        </w:drawing>
      </w:r>
    </w:p>
    <w:p w14:paraId="7AE16ABB" w14:textId="77777777" w:rsidR="00727E5F" w:rsidRDefault="00727E5F" w:rsidP="00727E5F">
      <w:pPr>
        <w:rPr>
          <w:lang w:val="en-GB"/>
        </w:rPr>
      </w:pPr>
      <w:r>
        <w:rPr>
          <w:lang w:val="en-GB"/>
        </w:rPr>
        <w:t xml:space="preserve">Did you spot something that does not make sense? </w:t>
      </w:r>
    </w:p>
    <w:p w14:paraId="34C87328" w14:textId="77777777" w:rsidR="00727E5F" w:rsidRDefault="00727E5F" w:rsidP="00727E5F">
      <w:pPr>
        <w:rPr>
          <w:lang w:val="en-GB"/>
        </w:rPr>
      </w:pPr>
      <w:r>
        <w:rPr>
          <w:lang w:val="en-GB"/>
        </w:rPr>
        <w:t xml:space="preserve">They intertwine. How is that possible? </w:t>
      </w:r>
    </w:p>
    <w:p w14:paraId="08F69CAD" w14:textId="77777777" w:rsidR="00727E5F" w:rsidRDefault="00727E5F" w:rsidP="00727E5F">
      <w:pPr>
        <w:rPr>
          <w:lang w:val="en-GB"/>
        </w:rPr>
      </w:pPr>
      <w:r>
        <w:rPr>
          <w:lang w:val="en-GB"/>
        </w:rPr>
        <w:t>Clue: Notice the sum of VM is lower during lower utilization, but higher during high utilization.</w:t>
      </w:r>
    </w:p>
    <w:p w14:paraId="77E555D6" w14:textId="77777777" w:rsidR="00727E5F" w:rsidRDefault="00727E5F" w:rsidP="00727E5F">
      <w:pPr>
        <w:rPr>
          <w:lang w:val="en-GB"/>
        </w:rPr>
      </w:pPr>
      <w:r>
        <w:rPr>
          <w:lang w:val="en-GB"/>
        </w:rPr>
        <w:t>During low utilization, the sum of VM is lower as it does not include VMkernel.</w:t>
      </w:r>
    </w:p>
    <w:p w14:paraId="341AED67" w14:textId="77777777" w:rsidR="00727E5F" w:rsidRPr="00E1482D" w:rsidRDefault="00727E5F" w:rsidP="00727E5F">
      <w:pPr>
        <w:rPr>
          <w:lang w:val="en-GB"/>
        </w:rPr>
      </w:pPr>
      <w:r>
        <w:rPr>
          <w:lang w:val="en-GB"/>
        </w:rPr>
        <w:t>During high utilization, the sum of VM is higher due to hyper-threading. Each vCPU sees the full GHz, because the VM does run at that speed, albeit with less efficiency. At the physical core level, there is only 1 core running both thread, so ESXi uses 1.25x multiplier while VM uses 2x multiplier.</w:t>
      </w:r>
    </w:p>
    <w:p w14:paraId="74A08EB2" w14:textId="77777777" w:rsidR="00FF0111" w:rsidRPr="00A452F2" w:rsidRDefault="00FF0111" w:rsidP="00FF0111">
      <w:pPr>
        <w:pStyle w:val="Heading4"/>
      </w:pPr>
      <w:r w:rsidRPr="00A452F2">
        <w:t>Power Management</w:t>
      </w:r>
    </w:p>
    <w:p w14:paraId="4E8F3A40" w14:textId="193571FA" w:rsidR="00FF0111" w:rsidRDefault="00FF0111" w:rsidP="00FF0111">
      <w:pPr>
        <w:rPr>
          <w:lang w:val="en-GB"/>
        </w:rPr>
      </w:pPr>
      <w:r w:rsidRPr="00A452F2">
        <w:rPr>
          <w:lang w:val="en-GB"/>
        </w:rPr>
        <w:t>The 2</w:t>
      </w:r>
      <w:r w:rsidRPr="00A452F2">
        <w:rPr>
          <w:vertAlign w:val="superscript"/>
          <w:lang w:val="en-GB"/>
        </w:rPr>
        <w:t>nd</w:t>
      </w:r>
      <w:r w:rsidRPr="00A452F2">
        <w:rPr>
          <w:lang w:val="en-GB"/>
        </w:rPr>
        <w:t xml:space="preserve"> factor that impacts CPU accounting is CPU clock speed. The higher the frequency (GHz), the faster the CPU run. </w:t>
      </w:r>
      <w:r w:rsidR="00D50DCE" w:rsidRPr="007B31A6">
        <w:rPr>
          <w:lang w:val="en-GB"/>
        </w:rPr>
        <w:t>Ceteris paribus</w:t>
      </w:r>
      <w:r w:rsidRPr="00A452F2">
        <w:rPr>
          <w:lang w:val="en-GB"/>
        </w:rPr>
        <w:t xml:space="preserve">, a CPU that run at 1 GHz is 50% slower than when it runs at 2 GHz. On the other hand, Turbo Mode can kick in and the CPU clock speed </w:t>
      </w:r>
      <w:r w:rsidR="00D50DCE">
        <w:rPr>
          <w:lang w:val="en-GB"/>
        </w:rPr>
        <w:t>becomes</w:t>
      </w:r>
      <w:r w:rsidR="00D50DCE" w:rsidRPr="00A452F2">
        <w:rPr>
          <w:lang w:val="en-GB"/>
        </w:rPr>
        <w:t xml:space="preserve"> </w:t>
      </w:r>
      <w:r w:rsidRPr="00A452F2">
        <w:rPr>
          <w:lang w:val="en-GB"/>
        </w:rPr>
        <w:t>higher than stated frequency. Turbo Boost normally happens together with power saving on the same CPU socket. Some cores are put to sleep mode, and the power saving is used to turbo mode other cores. The overall power envelope within the socket remain</w:t>
      </w:r>
      <w:r>
        <w:rPr>
          <w:lang w:val="en-GB"/>
        </w:rPr>
        <w:t>s</w:t>
      </w:r>
      <w:r w:rsidRPr="00A452F2">
        <w:rPr>
          <w:lang w:val="en-GB"/>
        </w:rPr>
        <w:t xml:space="preserve"> the same.</w:t>
      </w:r>
    </w:p>
    <w:p w14:paraId="67BA7F31" w14:textId="77777777" w:rsidR="00FF0111" w:rsidRDefault="00FF0111" w:rsidP="00FF0111">
      <w:pPr>
        <w:rPr>
          <w:lang w:val="en-GB"/>
        </w:rPr>
      </w:pPr>
      <w:r w:rsidRPr="00A452F2">
        <w:rPr>
          <w:lang w:val="en-GB"/>
        </w:rPr>
        <w:t xml:space="preserve">Each core can have its own frequency. This makes rolling up the number to ESXi level more complex. You can’t derive one </w:t>
      </w:r>
      <w:r>
        <w:rPr>
          <w:lang w:val="en-GB"/>
        </w:rPr>
        <w:t>t</w:t>
      </w:r>
      <w:r w:rsidRPr="00A452F2">
        <w:rPr>
          <w:lang w:val="en-GB"/>
        </w:rPr>
        <w:t>hroughput counter from the other. Each has to be calculated independently at core level.</w:t>
      </w:r>
    </w:p>
    <w:p w14:paraId="78AE61C0" w14:textId="77777777" w:rsidR="00FF0111" w:rsidRPr="00A452F2" w:rsidRDefault="00FF0111" w:rsidP="00FF0111">
      <w:pPr>
        <w:pStyle w:val="Heading5"/>
      </w:pPr>
      <w:r w:rsidRPr="00A452F2">
        <w:lastRenderedPageBreak/>
        <w:t>CPU Architecture</w:t>
      </w:r>
    </w:p>
    <w:p w14:paraId="54E8F29E" w14:textId="0A2B93FA" w:rsidR="00FF0111" w:rsidRPr="00A452F2" w:rsidRDefault="00FF0111" w:rsidP="00FF0111">
      <w:pPr>
        <w:rPr>
          <w:lang w:val="en-GB"/>
        </w:rPr>
      </w:pPr>
      <w:r w:rsidRPr="00A452F2">
        <w:rPr>
          <w:lang w:val="en-GB"/>
        </w:rPr>
        <w:t xml:space="preserve">As CPU architecture moves towards </w:t>
      </w:r>
      <w:hyperlink r:id="rId278" w:history="1">
        <w:r w:rsidRPr="00A452F2">
          <w:rPr>
            <w:rStyle w:val="Hyperlink"/>
            <w:lang w:val="en-GB"/>
          </w:rPr>
          <w:t>System on a Chip</w:t>
        </w:r>
      </w:hyperlink>
      <w:r w:rsidRPr="00A452F2">
        <w:rPr>
          <w:lang w:val="en-GB"/>
        </w:rPr>
        <w:t xml:space="preserve"> design, it’s important not to assume that a CPU socket is a simple and linear collection of cores. Take a </w:t>
      </w:r>
      <w:r>
        <w:rPr>
          <w:lang w:val="en-GB"/>
        </w:rPr>
        <w:t>64</w:t>
      </w:r>
      <w:r w:rsidRPr="00A452F2">
        <w:rPr>
          <w:lang w:val="en-GB"/>
        </w:rPr>
        <w:t xml:space="preserve">-core </w:t>
      </w:r>
      <w:hyperlink r:id="rId279" w:history="1">
        <w:r w:rsidRPr="00A452F2">
          <w:rPr>
            <w:rStyle w:val="Hyperlink"/>
            <w:lang w:val="en-GB"/>
          </w:rPr>
          <w:t>AMD EPYC</w:t>
        </w:r>
      </w:hyperlink>
      <w:r w:rsidRPr="00A452F2">
        <w:rPr>
          <w:lang w:val="en-GB"/>
        </w:rPr>
        <w:t xml:space="preserve"> for example. It’s actually made of 8 Core Complex Dies. </w:t>
      </w:r>
      <w:r>
        <w:rPr>
          <w:lang w:val="en-GB"/>
        </w:rPr>
        <w:t>From the following diagram</w:t>
      </w:r>
      <w:bookmarkStart w:id="68" w:name="_Hlk136118511"/>
      <w:r w:rsidR="00DB3F16">
        <w:rPr>
          <w:lang w:val="en-GB"/>
        </w:rPr>
        <w:t xml:space="preserve"> (taken from page 5 on the AMD link above)</w:t>
      </w:r>
      <w:bookmarkEnd w:id="68"/>
      <w:r>
        <w:rPr>
          <w:lang w:val="en-GB"/>
        </w:rPr>
        <w:t xml:space="preserve">, you can see that </w:t>
      </w:r>
      <w:r w:rsidRPr="00A452F2">
        <w:rPr>
          <w:lang w:val="en-GB"/>
        </w:rPr>
        <w:t xml:space="preserve">a thread on CCD 0 is relatively close to a thread that runs on the same CCX, but far to a thread that runs on another CCD. You can see an example of the performance impact </w:t>
      </w:r>
      <w:hyperlink r:id="rId280" w:history="1">
        <w:r w:rsidRPr="00A452F2">
          <w:rPr>
            <w:rStyle w:val="Hyperlink"/>
            <w:lang w:val="en-GB"/>
          </w:rPr>
          <w:t>here</w:t>
        </w:r>
      </w:hyperlink>
      <w:r w:rsidRPr="00A452F2">
        <w:rPr>
          <w:lang w:val="en-GB"/>
        </w:rPr>
        <w:t xml:space="preserve">. </w:t>
      </w:r>
    </w:p>
    <w:p w14:paraId="07B07896" w14:textId="77777777" w:rsidR="00FF0111" w:rsidRDefault="00FF0111" w:rsidP="00FF0111">
      <w:pPr>
        <w:rPr>
          <w:lang w:val="en-GB"/>
        </w:rPr>
      </w:pPr>
      <w:r w:rsidRPr="003C60FE">
        <w:rPr>
          <w:noProof/>
          <w:lang w:val="en-GB"/>
        </w:rPr>
        <w:drawing>
          <wp:inline distT="0" distB="0" distL="0" distR="0" wp14:anchorId="765EE687" wp14:editId="31BECFB1">
            <wp:extent cx="6645910" cy="2929890"/>
            <wp:effectExtent l="0" t="0" r="2540" b="3810"/>
            <wp:docPr id="1293284810" name="Picture 129328481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10" name="Picture 1293284810" descr="Diagram&#10;&#10;Description automatically generated"/>
                    <pic:cNvPicPr/>
                  </pic:nvPicPr>
                  <pic:blipFill>
                    <a:blip r:embed="rId281"/>
                    <a:stretch>
                      <a:fillRect/>
                    </a:stretch>
                  </pic:blipFill>
                  <pic:spPr>
                    <a:xfrm>
                      <a:off x="0" y="0"/>
                      <a:ext cx="6645910" cy="2929890"/>
                    </a:xfrm>
                    <a:prstGeom prst="rect">
                      <a:avLst/>
                    </a:prstGeom>
                  </pic:spPr>
                </pic:pic>
              </a:graphicData>
            </a:graphic>
          </wp:inline>
        </w:drawing>
      </w:r>
    </w:p>
    <w:p w14:paraId="180EB629" w14:textId="57C76A77" w:rsidR="00FF0111" w:rsidRDefault="00FF0111" w:rsidP="00FF0111">
      <w:pPr>
        <w:rPr>
          <w:lang w:val="en-GB"/>
        </w:rPr>
      </w:pPr>
      <w:r>
        <w:rPr>
          <w:lang w:val="en-GB"/>
        </w:rPr>
        <w:t xml:space="preserve">Another consideration you need to be aware of is </w:t>
      </w:r>
      <w:hyperlink r:id="rId282" w:history="1">
        <w:r w:rsidRPr="00E22EBE">
          <w:rPr>
            <w:rStyle w:val="Hyperlink"/>
            <w:lang w:val="en-GB"/>
          </w:rPr>
          <w:t>NUMA</w:t>
        </w:r>
      </w:hyperlink>
      <w:r>
        <w:rPr>
          <w:lang w:val="en-GB"/>
        </w:rPr>
        <w:t xml:space="preserve">. </w:t>
      </w:r>
      <w:r w:rsidR="00E46FFB">
        <w:rPr>
          <w:lang w:val="en-GB"/>
        </w:rPr>
        <w:t xml:space="preserve">NUMA Node = </w:t>
      </w:r>
      <w:r w:rsidR="00E46FFB" w:rsidRPr="008914A1">
        <w:t>Socket / Package</w:t>
      </w:r>
      <w:r w:rsidR="00E46FFB">
        <w:t xml:space="preserve">, as 1 socket can have &gt;1 package (if you enable </w:t>
      </w:r>
      <w:r w:rsidR="00E46FFB" w:rsidRPr="00D14595">
        <w:t>Cluster-on-Die</w:t>
      </w:r>
      <w:r w:rsidR="00E46FFB">
        <w:t xml:space="preserve"> feature of Intel Xeon).</w:t>
      </w:r>
    </w:p>
    <w:p w14:paraId="076F080F" w14:textId="77777777" w:rsidR="00FF0111" w:rsidRDefault="00FF0111" w:rsidP="00FF0111">
      <w:pPr>
        <w:pStyle w:val="Heading5"/>
      </w:pPr>
      <w:r>
        <w:t>CPU States</w:t>
      </w:r>
    </w:p>
    <w:p w14:paraId="4994CDAA" w14:textId="77777777" w:rsidR="00FF0111" w:rsidRDefault="00FF0111" w:rsidP="00FF0111">
      <w:pPr>
        <w:rPr>
          <w:lang w:val="en-GB"/>
        </w:rPr>
      </w:pPr>
      <w:r>
        <w:rPr>
          <w:lang w:val="en-GB"/>
        </w:rPr>
        <w:t xml:space="preserve">There are 2 types of power states as defined by </w:t>
      </w:r>
      <w:hyperlink r:id="rId283" w:history="1">
        <w:r w:rsidRPr="0037689D">
          <w:rPr>
            <w:rStyle w:val="Hyperlink"/>
            <w:lang w:val="en-GB"/>
          </w:rPr>
          <w:t>ACPI</w:t>
        </w:r>
      </w:hyperlink>
      <w:r>
        <w:rPr>
          <w:lang w:val="en-GB"/>
        </w:rPr>
        <w:t xml:space="preserve"> standard. </w:t>
      </w:r>
    </w:p>
    <w:p w14:paraId="4EBA84C6" w14:textId="2D4C3708" w:rsidR="00A76EB3" w:rsidRDefault="00A76EB3" w:rsidP="00FF0111">
      <w:pPr>
        <w:rPr>
          <w:lang w:val="en-GB"/>
        </w:rPr>
      </w:pPr>
      <w:r w:rsidRPr="00A76EB3">
        <w:rPr>
          <w:noProof/>
          <w:lang w:val="en-GB"/>
        </w:rPr>
        <w:drawing>
          <wp:inline distT="0" distB="0" distL="0" distR="0" wp14:anchorId="5FE7FBAE" wp14:editId="5C190839">
            <wp:extent cx="6645910" cy="2510155"/>
            <wp:effectExtent l="0" t="0" r="2540" b="4445"/>
            <wp:docPr id="5743988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398806" name=""/>
                    <pic:cNvPicPr/>
                  </pic:nvPicPr>
                  <pic:blipFill>
                    <a:blip r:embed="rId284"/>
                    <a:stretch>
                      <a:fillRect/>
                    </a:stretch>
                  </pic:blipFill>
                  <pic:spPr>
                    <a:xfrm>
                      <a:off x="0" y="0"/>
                      <a:ext cx="6645910" cy="2510155"/>
                    </a:xfrm>
                    <a:prstGeom prst="rect">
                      <a:avLst/>
                    </a:prstGeom>
                  </pic:spPr>
                </pic:pic>
              </a:graphicData>
            </a:graphic>
          </wp:inline>
        </w:drawing>
      </w: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985"/>
        <w:gridCol w:w="8471"/>
      </w:tblGrid>
      <w:tr w:rsidR="00FF0111" w14:paraId="585EB675" w14:textId="77777777" w:rsidTr="00281329">
        <w:tc>
          <w:tcPr>
            <w:tcW w:w="1985" w:type="dxa"/>
            <w:shd w:val="clear" w:color="auto" w:fill="F2F2F2" w:themeFill="background1" w:themeFillShade="F2"/>
          </w:tcPr>
          <w:p w14:paraId="3A79334F" w14:textId="77777777" w:rsidR="00FF0111" w:rsidRPr="000560B8" w:rsidRDefault="00FF0111" w:rsidP="00281329">
            <w:pPr>
              <w:pStyle w:val="Tablecontent"/>
              <w:rPr>
                <w:b/>
                <w:bCs/>
              </w:rPr>
            </w:pPr>
            <w:r w:rsidRPr="00A452F2">
              <w:rPr>
                <w:b/>
                <w:bCs/>
                <w:lang w:val="en-GB"/>
              </w:rPr>
              <w:lastRenderedPageBreak/>
              <w:t>C-State</w:t>
            </w:r>
          </w:p>
        </w:tc>
        <w:tc>
          <w:tcPr>
            <w:tcW w:w="8471" w:type="dxa"/>
          </w:tcPr>
          <w:p w14:paraId="592EC975" w14:textId="77777777" w:rsidR="00DB3F16" w:rsidRDefault="00DB3F16" w:rsidP="00DB3F16">
            <w:pPr>
              <w:pStyle w:val="Tablecontent"/>
              <w:rPr>
                <w:lang w:val="en-GB"/>
              </w:rPr>
            </w:pPr>
            <w:r w:rsidRPr="00F94B3D">
              <w:rPr>
                <w:lang w:val="en-GB"/>
              </w:rPr>
              <w:t xml:space="preserve">When a </w:t>
            </w:r>
            <w:r>
              <w:rPr>
                <w:lang w:val="en-GB"/>
              </w:rPr>
              <w:t xml:space="preserve">core </w:t>
            </w:r>
            <w:r w:rsidRPr="00F94B3D">
              <w:rPr>
                <w:lang w:val="en-GB"/>
              </w:rPr>
              <w:t>is idle, ESXi appl</w:t>
            </w:r>
            <w:r>
              <w:rPr>
                <w:lang w:val="en-GB"/>
              </w:rPr>
              <w:t>ies</w:t>
            </w:r>
            <w:r w:rsidRPr="00F94B3D">
              <w:rPr>
                <w:lang w:val="en-GB"/>
              </w:rPr>
              <w:t xml:space="preserve"> deep halt states, also known as C-states. The deeper the C-state, the less power the CPU uses, but </w:t>
            </w:r>
            <w:r>
              <w:rPr>
                <w:lang w:val="en-GB"/>
              </w:rPr>
              <w:t xml:space="preserve">the </w:t>
            </w:r>
            <w:r w:rsidRPr="00F94B3D">
              <w:rPr>
                <w:lang w:val="en-GB"/>
              </w:rPr>
              <w:t xml:space="preserve">longer </w:t>
            </w:r>
            <w:r>
              <w:rPr>
                <w:lang w:val="en-GB"/>
              </w:rPr>
              <w:t xml:space="preserve">it takes </w:t>
            </w:r>
            <w:r w:rsidRPr="00F94B3D">
              <w:rPr>
                <w:lang w:val="en-GB"/>
              </w:rPr>
              <w:t>for the CPU to start running again. ESXi predict</w:t>
            </w:r>
            <w:r>
              <w:rPr>
                <w:lang w:val="en-GB"/>
              </w:rPr>
              <w:t>s</w:t>
            </w:r>
            <w:r w:rsidRPr="00F94B3D">
              <w:rPr>
                <w:lang w:val="en-GB"/>
              </w:rPr>
              <w:t xml:space="preserve"> the idle state duration and chooses an appropriate C-state to enter.</w:t>
            </w:r>
          </w:p>
          <w:p w14:paraId="72F364DE" w14:textId="77777777" w:rsidR="00DB3F16" w:rsidRDefault="00DB3F16" w:rsidP="00DB3F16">
            <w:pPr>
              <w:pStyle w:val="Tablecontent"/>
              <w:rPr>
                <w:lang w:val="en-GB"/>
              </w:rPr>
            </w:pPr>
            <w:r>
              <w:rPr>
                <w:lang w:val="en-GB"/>
              </w:rPr>
              <w:t>There are 3 possible sub-states in C-state:</w:t>
            </w:r>
          </w:p>
          <w:p w14:paraId="7E7190E8" w14:textId="77777777" w:rsidR="00DB3F16" w:rsidRDefault="00DB3F16" w:rsidP="00DB3F16">
            <w:pPr>
              <w:pStyle w:val="Tablecontent"/>
              <w:rPr>
                <w:lang w:val="en-GB"/>
              </w:rPr>
            </w:pPr>
            <w:r>
              <w:rPr>
                <w:lang w:val="en-GB"/>
              </w:rPr>
              <w:t xml:space="preserve">C0 = fully running. </w:t>
            </w:r>
            <w:r w:rsidRPr="00A452F2">
              <w:rPr>
                <w:lang w:val="en-GB"/>
              </w:rPr>
              <w:t>Within this C0 state, there is a further dimension called P-State</w:t>
            </w:r>
            <w:r>
              <w:rPr>
                <w:lang w:val="en-GB"/>
              </w:rPr>
              <w:t>.</w:t>
            </w:r>
          </w:p>
          <w:p w14:paraId="65D102A6" w14:textId="5B274807" w:rsidR="00DB3F16" w:rsidRDefault="00DB3F16" w:rsidP="00DB3F16">
            <w:pPr>
              <w:pStyle w:val="Tablecontent"/>
              <w:rPr>
                <w:lang w:val="en-GB"/>
              </w:rPr>
            </w:pPr>
            <w:r>
              <w:rPr>
                <w:lang w:val="en-GB"/>
              </w:rPr>
              <w:t xml:space="preserve">C1 = </w:t>
            </w:r>
            <w:r w:rsidRPr="00E5709E">
              <w:rPr>
                <w:lang w:val="en-GB"/>
              </w:rPr>
              <w:t xml:space="preserve">a shallow state where the clock is gated (switched off). However, all the modules remain active, and the processor can go back to the active C0 state instantaneously. </w:t>
            </w:r>
            <w:r w:rsidRPr="00A452F2">
              <w:rPr>
                <w:lang w:val="en-GB"/>
              </w:rPr>
              <w:t>powered on.</w:t>
            </w:r>
            <w:r w:rsidRPr="00F94B3D">
              <w:rPr>
                <w:lang w:val="en-GB"/>
              </w:rPr>
              <w:t xml:space="preserve"> In power management policies that do not use deep C-states, ESXi </w:t>
            </w:r>
            <w:r w:rsidR="00A76EB3">
              <w:rPr>
                <w:lang w:val="en-GB"/>
              </w:rPr>
              <w:t xml:space="preserve">stops at </w:t>
            </w:r>
            <w:r>
              <w:rPr>
                <w:lang w:val="en-GB"/>
              </w:rPr>
              <w:t>C1.</w:t>
            </w:r>
          </w:p>
          <w:p w14:paraId="4D051E0D" w14:textId="1E5F8993" w:rsidR="00FF0111" w:rsidRPr="0043362E" w:rsidRDefault="00DB3F16" w:rsidP="00DB3F16">
            <w:pPr>
              <w:pStyle w:val="Tablecontent"/>
              <w:rPr>
                <w:lang w:val="en-GB"/>
              </w:rPr>
            </w:pPr>
            <w:r>
              <w:rPr>
                <w:lang w:val="en-GB"/>
              </w:rPr>
              <w:t>C2 - Cn= varying degrees of CPU sections</w:t>
            </w:r>
            <w:r w:rsidRPr="00A452F2">
              <w:rPr>
                <w:lang w:val="en-GB"/>
              </w:rPr>
              <w:t xml:space="preserve"> turned off</w:t>
            </w:r>
            <w:r>
              <w:rPr>
                <w:lang w:val="en-GB"/>
              </w:rPr>
              <w:t>. The higher the C state, the deeper the sleep.</w:t>
            </w:r>
          </w:p>
        </w:tc>
      </w:tr>
      <w:tr w:rsidR="00FF0111" w14:paraId="432E8057" w14:textId="77777777" w:rsidTr="00281329">
        <w:tc>
          <w:tcPr>
            <w:tcW w:w="1985" w:type="dxa"/>
            <w:shd w:val="clear" w:color="auto" w:fill="F2F2F2" w:themeFill="background1" w:themeFillShade="F2"/>
          </w:tcPr>
          <w:p w14:paraId="448A8942" w14:textId="77777777" w:rsidR="00FF0111" w:rsidRPr="00A452F2" w:rsidRDefault="00FF0111" w:rsidP="00281329">
            <w:pPr>
              <w:pStyle w:val="Tablecontent"/>
              <w:rPr>
                <w:b/>
                <w:bCs/>
                <w:lang w:val="en-GB"/>
              </w:rPr>
            </w:pPr>
            <w:r w:rsidRPr="00A452F2">
              <w:rPr>
                <w:b/>
                <w:bCs/>
                <w:lang w:val="en-GB"/>
              </w:rPr>
              <w:t>P-State</w:t>
            </w:r>
          </w:p>
        </w:tc>
        <w:tc>
          <w:tcPr>
            <w:tcW w:w="8471" w:type="dxa"/>
          </w:tcPr>
          <w:p w14:paraId="11C09241" w14:textId="77777777" w:rsidR="00FF0111" w:rsidRDefault="00FF0111" w:rsidP="00281329">
            <w:pPr>
              <w:pStyle w:val="Tablecontent"/>
              <w:rPr>
                <w:lang w:val="en-GB"/>
              </w:rPr>
            </w:pPr>
            <w:r>
              <w:rPr>
                <w:lang w:val="en-GB"/>
              </w:rPr>
              <w:t>There are 14 grades of CPU performance, measured by its frequency. You can see all the frequencies in esxtop if your hardware supports it.</w:t>
            </w:r>
          </w:p>
          <w:p w14:paraId="23B782F5" w14:textId="77777777" w:rsidR="00FF0111" w:rsidRDefault="00FF0111" w:rsidP="00281329">
            <w:pPr>
              <w:pStyle w:val="Tablecontent"/>
              <w:rPr>
                <w:lang w:val="en-GB"/>
              </w:rPr>
            </w:pPr>
            <w:r w:rsidRPr="00A452F2">
              <w:rPr>
                <w:lang w:val="en-GB"/>
              </w:rPr>
              <w:t xml:space="preserve">P0 state </w:t>
            </w:r>
            <w:r>
              <w:rPr>
                <w:lang w:val="en-GB"/>
              </w:rPr>
              <w:t xml:space="preserve">where </w:t>
            </w:r>
            <w:r w:rsidRPr="00A452F2">
              <w:rPr>
                <w:lang w:val="en-GB"/>
              </w:rPr>
              <w:t>Turbo Boost</w:t>
            </w:r>
            <w:r>
              <w:rPr>
                <w:lang w:val="en-GB"/>
              </w:rPr>
              <w:t xml:space="preserve"> happens. </w:t>
            </w:r>
          </w:p>
          <w:p w14:paraId="5227C573" w14:textId="77777777" w:rsidR="00FF0111" w:rsidRDefault="00FF0111" w:rsidP="00281329">
            <w:pPr>
              <w:pStyle w:val="Tablecontent"/>
              <w:rPr>
                <w:lang w:val="en-GB"/>
              </w:rPr>
            </w:pPr>
            <w:r>
              <w:rPr>
                <w:lang w:val="en-GB"/>
              </w:rPr>
              <w:t>P1 is where it runs at Nominal Frequency (NF).</w:t>
            </w:r>
          </w:p>
          <w:p w14:paraId="5ACE9B73" w14:textId="77777777" w:rsidR="00FF0111" w:rsidRPr="008E5A57" w:rsidRDefault="00FF0111" w:rsidP="00281329">
            <w:pPr>
              <w:pStyle w:val="Tablecontent"/>
              <w:rPr>
                <w:lang w:val="en-GB"/>
              </w:rPr>
            </w:pPr>
            <w:r w:rsidRPr="00A452F2">
              <w:rPr>
                <w:lang w:val="en-GB"/>
              </w:rPr>
              <w:t>P13 is the lowest CPU frequency</w:t>
            </w:r>
            <w:r>
              <w:rPr>
                <w:lang w:val="en-GB"/>
              </w:rPr>
              <w:t>.</w:t>
            </w:r>
          </w:p>
        </w:tc>
      </w:tr>
    </w:tbl>
    <w:p w14:paraId="725665ED" w14:textId="77777777" w:rsidR="00A76EB3" w:rsidRPr="00A452F2" w:rsidRDefault="00A76EB3" w:rsidP="00A76EB3">
      <w:pPr>
        <w:pStyle w:val="BeforeTable"/>
        <w:rPr>
          <w:lang w:val="en-GB"/>
        </w:rPr>
      </w:pPr>
    </w:p>
    <w:p w14:paraId="5F313E79" w14:textId="77777777" w:rsidR="00FF0111" w:rsidRDefault="00FF0111" w:rsidP="00FF0111">
      <w:pPr>
        <w:rPr>
          <w:lang w:val="en-GB"/>
        </w:rPr>
      </w:pPr>
      <w:r w:rsidRPr="00A452F2">
        <w:rPr>
          <w:lang w:val="en-GB"/>
        </w:rPr>
        <w:t xml:space="preserve">For details on P-State and C-State, see Valentin Bondzio and </w:t>
      </w:r>
      <w:hyperlink r:id="rId285" w:history="1">
        <w:r w:rsidRPr="00A452F2">
          <w:rPr>
            <w:rStyle w:val="Hyperlink"/>
            <w:lang w:val="en-GB"/>
          </w:rPr>
          <w:t>Mark Achtemichuk</w:t>
        </w:r>
      </w:hyperlink>
      <w:r w:rsidRPr="00A452F2">
        <w:rPr>
          <w:lang w:val="en-GB"/>
        </w:rPr>
        <w:t xml:space="preserve">, </w:t>
      </w:r>
      <w:hyperlink r:id="rId286" w:history="1">
        <w:r w:rsidRPr="00A452F2">
          <w:rPr>
            <w:rStyle w:val="Hyperlink"/>
            <w:lang w:val="en-GB"/>
          </w:rPr>
          <w:t>VMworld 2017, Extreme Performance Series</w:t>
        </w:r>
      </w:hyperlink>
      <w:r>
        <w:rPr>
          <w:lang w:val="en-GB"/>
        </w:rPr>
        <w:t xml:space="preserve">. </w:t>
      </w:r>
    </w:p>
    <w:p w14:paraId="7F368DB5" w14:textId="77777777" w:rsidR="00FF0111" w:rsidRPr="00A452F2" w:rsidRDefault="00FF0111" w:rsidP="00FF0111">
      <w:pPr>
        <w:pStyle w:val="Heading5"/>
      </w:pPr>
      <w:r>
        <w:t>Impact on Performance</w:t>
      </w:r>
    </w:p>
    <w:p w14:paraId="6AE74C37" w14:textId="77777777" w:rsidR="00FF0111" w:rsidRDefault="00FF0111" w:rsidP="00FF0111">
      <w:pPr>
        <w:rPr>
          <w:lang w:val="en-GB"/>
        </w:rPr>
      </w:pPr>
      <w:r>
        <w:rPr>
          <w:lang w:val="en-GB"/>
        </w:rPr>
        <w:t xml:space="preserve">How high can Turbo/Boost go? </w:t>
      </w:r>
    </w:p>
    <w:p w14:paraId="03088529" w14:textId="77777777" w:rsidR="00DA0211" w:rsidRDefault="00DA0211" w:rsidP="00DA0211">
      <w:pPr>
        <w:rPr>
          <w:lang w:val="en-GB"/>
        </w:rPr>
      </w:pPr>
      <w:r>
        <w:rPr>
          <w:lang w:val="en-GB"/>
        </w:rPr>
        <w:t xml:space="preserve">It turns out that it is high enough that your performance and capacity need to account for it. </w:t>
      </w:r>
    </w:p>
    <w:p w14:paraId="7F31D4C4" w14:textId="7DFE9F98" w:rsidR="00FF0111" w:rsidRDefault="00FF0111" w:rsidP="00FF0111">
      <w:pPr>
        <w:rPr>
          <w:lang w:val="en-GB"/>
        </w:rPr>
      </w:pPr>
      <w:r>
        <w:rPr>
          <w:lang w:val="en-GB"/>
        </w:rPr>
        <w:t xml:space="preserve">The following diagram is taken from page 12 of </w:t>
      </w:r>
      <w:r w:rsidR="002975D5">
        <w:rPr>
          <w:lang w:val="en-GB"/>
        </w:rPr>
        <w:t>“</w:t>
      </w:r>
      <w:r w:rsidR="002975D5" w:rsidRPr="002A6498">
        <w:rPr>
          <w:color w:val="00B0F0"/>
          <w:lang w:val="en-GB" w:eastAsia="en-SG"/>
        </w:rPr>
        <w:t>Host Power Management in VMware vSphere 7.0</w:t>
      </w:r>
      <w:r w:rsidR="002975D5">
        <w:rPr>
          <w:b/>
          <w:bCs/>
          <w:color w:val="00B0F0"/>
          <w:lang w:val="en-GB" w:eastAsia="en-SG"/>
        </w:rPr>
        <w:t>”</w:t>
      </w:r>
      <w:r w:rsidR="002975D5" w:rsidRPr="00DA2CA8">
        <w:rPr>
          <w:color w:val="00B0F0"/>
          <w:lang w:val="en-GB" w:eastAsia="en-SG"/>
        </w:rPr>
        <w:t xml:space="preserve"> </w:t>
      </w:r>
      <w:r>
        <w:rPr>
          <w:lang w:val="en-GB" w:eastAsia="en-SG"/>
        </w:rPr>
        <w:t xml:space="preserve">whitepaper by </w:t>
      </w:r>
      <w:hyperlink r:id="rId287" w:history="1">
        <w:r w:rsidRPr="00070AB6">
          <w:rPr>
            <w:rStyle w:val="Hyperlink"/>
            <w:lang w:val="en-GB" w:eastAsia="en-SG"/>
          </w:rPr>
          <w:t>Ranjan Hebbar</w:t>
        </w:r>
      </w:hyperlink>
      <w:r>
        <w:rPr>
          <w:lang w:val="en-GB" w:eastAsia="en-SG"/>
        </w:rPr>
        <w:t xml:space="preserve"> and </w:t>
      </w:r>
      <w:hyperlink r:id="rId288" w:history="1">
        <w:r w:rsidRPr="00B74E7B">
          <w:rPr>
            <w:rStyle w:val="Hyperlink"/>
            <w:lang w:val="en-GB" w:eastAsia="en-SG"/>
          </w:rPr>
          <w:t>Praveen Yedlapalli</w:t>
        </w:r>
      </w:hyperlink>
      <w:r>
        <w:rPr>
          <w:lang w:val="en-GB" w:eastAsia="en-SG"/>
        </w:rPr>
        <w:t xml:space="preserve">. It shows that </w:t>
      </w:r>
      <w:r w:rsidRPr="00AE2E31">
        <w:rPr>
          <w:lang w:val="en-GB" w:eastAsia="en-SG"/>
        </w:rPr>
        <w:t>Intel Xeon Platinum 8260</w:t>
      </w:r>
      <w:r>
        <w:rPr>
          <w:lang w:val="en-GB" w:eastAsia="en-SG"/>
        </w:rPr>
        <w:t xml:space="preserve"> can increase its speed by 1.29x (from 2.4 GHz to 3.1 GHz). If it only needs to increase 1 core, that single core can go up by 1.62x. This will be noticeable by application that is CPU intensive. Consider this benefit before you decide to disable power management. The high performance is static, it runs at the same frequency throughout.</w:t>
      </w:r>
    </w:p>
    <w:p w14:paraId="35BC67AD" w14:textId="77777777" w:rsidR="00FF0111" w:rsidRDefault="00FF0111" w:rsidP="00FF0111">
      <w:pPr>
        <w:jc w:val="center"/>
        <w:rPr>
          <w:lang w:val="en-GB"/>
        </w:rPr>
      </w:pPr>
      <w:r w:rsidRPr="003C2BA0">
        <w:rPr>
          <w:noProof/>
          <w:lang w:val="en-GB"/>
        </w:rPr>
        <w:lastRenderedPageBreak/>
        <w:drawing>
          <wp:inline distT="0" distB="0" distL="0" distR="0" wp14:anchorId="38F6BD29" wp14:editId="6CC3AC74">
            <wp:extent cx="5302800" cy="4284000"/>
            <wp:effectExtent l="0" t="0" r="0" b="2540"/>
            <wp:docPr id="1293284814" name="Picture 129328481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14" name="Picture 1293284814" descr="Diagram&#10;&#10;Description automatically generated"/>
                    <pic:cNvPicPr/>
                  </pic:nvPicPr>
                  <pic:blipFill>
                    <a:blip r:embed="rId289"/>
                    <a:stretch>
                      <a:fillRect/>
                    </a:stretch>
                  </pic:blipFill>
                  <pic:spPr>
                    <a:xfrm>
                      <a:off x="0" y="0"/>
                      <a:ext cx="5302800" cy="4284000"/>
                    </a:xfrm>
                    <a:prstGeom prst="rect">
                      <a:avLst/>
                    </a:prstGeom>
                  </pic:spPr>
                </pic:pic>
              </a:graphicData>
            </a:graphic>
          </wp:inline>
        </w:drawing>
      </w:r>
    </w:p>
    <w:p w14:paraId="17E23716" w14:textId="77777777" w:rsidR="00FF0111" w:rsidRDefault="00FF0111" w:rsidP="00FF0111">
      <w:pPr>
        <w:pStyle w:val="Heading5"/>
      </w:pPr>
      <w:r>
        <w:t xml:space="preserve">Viewing the Impact </w:t>
      </w:r>
    </w:p>
    <w:p w14:paraId="07365F9A" w14:textId="77777777" w:rsidR="002975D5" w:rsidRPr="00A452F2" w:rsidRDefault="002975D5" w:rsidP="002975D5">
      <w:pPr>
        <w:rPr>
          <w:lang w:val="en-GB"/>
        </w:rPr>
      </w:pPr>
      <w:bookmarkStart w:id="69" w:name="_Hlk134992664"/>
      <w:r>
        <w:rPr>
          <w:lang w:val="en-GB"/>
        </w:rPr>
        <w:t>Let’s say</w:t>
      </w:r>
      <w:r w:rsidRPr="00A452F2">
        <w:rPr>
          <w:lang w:val="en-GB"/>
        </w:rPr>
        <w:t xml:space="preserve"> a physical chip comes with 2 GHz as its standard speed. If ESXi increases the clock speed to 3 GHz, Used counter will be 50% higher than the Run counter. The Guest OS (e.g. Windows or Linux) is not aware of this performance boost. It reports a value based on the standard clock speed, just like Run does. On the other hand, if ESXi decreases the clock speed to 1.5 GHz, then Used will report a value that is 25% lower than what Run reports.</w:t>
      </w:r>
    </w:p>
    <w:p w14:paraId="4BFE40E8" w14:textId="77777777" w:rsidR="002975D5" w:rsidRPr="00A452F2" w:rsidRDefault="002975D5" w:rsidP="002975D5">
      <w:pPr>
        <w:rPr>
          <w:lang w:val="en-GB"/>
        </w:rPr>
      </w:pPr>
      <w:r w:rsidRPr="00A452F2">
        <w:rPr>
          <w:lang w:val="en-GB"/>
        </w:rPr>
        <w:t>Let’s take an example. What do you notice?</w:t>
      </w:r>
    </w:p>
    <w:p w14:paraId="740CD354" w14:textId="77777777" w:rsidR="002975D5" w:rsidRPr="00A452F2" w:rsidRDefault="002975D5" w:rsidP="002975D5">
      <w:pPr>
        <w:rPr>
          <w:lang w:val="en-GB"/>
        </w:rPr>
      </w:pPr>
      <w:r>
        <w:rPr>
          <w:noProof/>
        </w:rPr>
        <w:lastRenderedPageBreak/>
        <w:drawing>
          <wp:inline distT="0" distB="0" distL="0" distR="0" wp14:anchorId="013BDB59" wp14:editId="705A8732">
            <wp:extent cx="6891856" cy="3179299"/>
            <wp:effectExtent l="0" t="0" r="4445" b="2540"/>
            <wp:docPr id="1451256178" name="Picture 1451256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290">
                      <a:extLst>
                        <a:ext uri="{28A0092B-C50C-407E-A947-70E740481C1C}">
                          <a14:useLocalDpi xmlns:a14="http://schemas.microsoft.com/office/drawing/2010/main" val="0"/>
                        </a:ext>
                      </a:extLst>
                    </a:blip>
                    <a:stretch>
                      <a:fillRect/>
                    </a:stretch>
                  </pic:blipFill>
                  <pic:spPr>
                    <a:xfrm>
                      <a:off x="0" y="0"/>
                      <a:ext cx="6891856" cy="3179299"/>
                    </a:xfrm>
                    <a:prstGeom prst="rect">
                      <a:avLst/>
                    </a:prstGeom>
                  </pic:spPr>
                </pic:pic>
              </a:graphicData>
            </a:graphic>
          </wp:inline>
        </w:drawing>
      </w:r>
    </w:p>
    <w:p w14:paraId="2B142F8F" w14:textId="77777777" w:rsidR="002975D5" w:rsidRPr="00A452F2" w:rsidRDefault="002975D5" w:rsidP="002975D5">
      <w:pPr>
        <w:rPr>
          <w:lang w:val="en-GB"/>
        </w:rPr>
      </w:pPr>
      <w:r w:rsidRPr="00A452F2">
        <w:rPr>
          <w:lang w:val="en-GB"/>
        </w:rPr>
        <w:t xml:space="preserve">As you can see from the preceding chart, the impact is noticeable. The System and Overlap </w:t>
      </w:r>
      <w:r>
        <w:rPr>
          <w:lang w:val="en-GB"/>
        </w:rPr>
        <w:t>metrics</w:t>
      </w:r>
      <w:r w:rsidRPr="00A452F2">
        <w:rPr>
          <w:lang w:val="en-GB"/>
        </w:rPr>
        <w:t xml:space="preserve"> hovers averages &lt;10 ms (negligible as this VM is basically idle), but the gap between Used and Run averages around 20% Used is ~20% higher than Run, likely due to Turbo Boost.</w:t>
      </w:r>
    </w:p>
    <w:p w14:paraId="4071461C" w14:textId="77777777" w:rsidR="002975D5" w:rsidRPr="00A452F2" w:rsidRDefault="002975D5" w:rsidP="002975D5">
      <w:pPr>
        <w:rPr>
          <w:lang w:val="en-GB"/>
        </w:rPr>
      </w:pPr>
      <w:r w:rsidRPr="00A452F2">
        <w:rPr>
          <w:lang w:val="en-GB"/>
        </w:rPr>
        <w:t>Let’s take another example, this time from a busy VM. I’ve removed System and Overlap as they are also negligible in this example. This is a 32 vCPU VM running Splunk. Notice Used is consistently higher than Run.</w:t>
      </w:r>
    </w:p>
    <w:p w14:paraId="549B6CBF" w14:textId="77777777" w:rsidR="002975D5" w:rsidRPr="00A452F2" w:rsidRDefault="002975D5" w:rsidP="002975D5">
      <w:pPr>
        <w:rPr>
          <w:lang w:val="en-GB"/>
        </w:rPr>
      </w:pPr>
      <w:r>
        <w:rPr>
          <w:noProof/>
        </w:rPr>
        <w:drawing>
          <wp:inline distT="0" distB="0" distL="0" distR="0" wp14:anchorId="5C018D43" wp14:editId="429531B6">
            <wp:extent cx="6645910" cy="1783080"/>
            <wp:effectExtent l="0" t="0" r="2540" b="7620"/>
            <wp:docPr id="1635401354" name="Picture 163540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83"/>
                    <pic:cNvPicPr/>
                  </pic:nvPicPr>
                  <pic:blipFill>
                    <a:blip r:embed="rId291">
                      <a:extLst>
                        <a:ext uri="{28A0092B-C50C-407E-A947-70E740481C1C}">
                          <a14:useLocalDpi xmlns:a14="http://schemas.microsoft.com/office/drawing/2010/main" val="0"/>
                        </a:ext>
                      </a:extLst>
                    </a:blip>
                    <a:stretch>
                      <a:fillRect/>
                    </a:stretch>
                  </pic:blipFill>
                  <pic:spPr>
                    <a:xfrm>
                      <a:off x="0" y="0"/>
                      <a:ext cx="6645910" cy="1783080"/>
                    </a:xfrm>
                    <a:prstGeom prst="rect">
                      <a:avLst/>
                    </a:prstGeom>
                  </pic:spPr>
                </pic:pic>
              </a:graphicData>
            </a:graphic>
          </wp:inline>
        </w:drawing>
      </w:r>
    </w:p>
    <w:p w14:paraId="69A7CDA6" w14:textId="77777777" w:rsidR="002975D5" w:rsidRPr="00A452F2" w:rsidRDefault="002975D5" w:rsidP="002975D5">
      <w:pPr>
        <w:rPr>
          <w:lang w:val="en-GB"/>
        </w:rPr>
      </w:pPr>
      <w:r w:rsidRPr="00A452F2">
        <w:rPr>
          <w:lang w:val="en-GB"/>
        </w:rPr>
        <w:t>Now let’s look at the opposite scenario. This VM is a 64 bit Ubuntu running 4 vCPU. Used (ms) is around 44% of Run (ms). The VM had minimal System Time (ms) and Overlap (ms), so Used is basically lowered by both power savings and CPU SMT. In this example, if Run is far from 100% and the application team want faster performance, your answ</w:t>
      </w:r>
      <w:r>
        <w:rPr>
          <w:lang w:val="en-GB"/>
        </w:rPr>
        <w:t>e</w:t>
      </w:r>
      <w:r w:rsidRPr="00A452F2">
        <w:rPr>
          <w:lang w:val="en-GB"/>
        </w:rPr>
        <w:t xml:space="preserve">r is not to add vCPU. You should check the power management and CPU SMT, assuming the </w:t>
      </w:r>
      <w:hyperlink w:anchor="_Contention_Metrics" w:history="1">
        <w:r w:rsidRPr="00A452F2">
          <w:rPr>
            <w:rStyle w:val="Hyperlink"/>
            <w:lang w:val="en-GB"/>
          </w:rPr>
          <w:t xml:space="preserve">contention </w:t>
        </w:r>
        <w:r>
          <w:rPr>
            <w:rStyle w:val="Hyperlink"/>
            <w:lang w:val="en-GB"/>
          </w:rPr>
          <w:t>metrics</w:t>
        </w:r>
      </w:hyperlink>
      <w:r w:rsidRPr="00A452F2">
        <w:rPr>
          <w:lang w:val="en-GB"/>
        </w:rPr>
        <w:t xml:space="preserve"> are low. </w:t>
      </w:r>
    </w:p>
    <w:p w14:paraId="65895994" w14:textId="77777777" w:rsidR="002975D5" w:rsidRPr="00A452F2" w:rsidRDefault="002975D5" w:rsidP="002975D5">
      <w:pPr>
        <w:rPr>
          <w:lang w:val="en-GB"/>
        </w:rPr>
      </w:pPr>
      <w:r>
        <w:rPr>
          <w:noProof/>
        </w:rPr>
        <w:lastRenderedPageBreak/>
        <w:drawing>
          <wp:inline distT="0" distB="0" distL="0" distR="0" wp14:anchorId="70A0DBF2" wp14:editId="6622C208">
            <wp:extent cx="6645910" cy="1703705"/>
            <wp:effectExtent l="0" t="0" r="2540" b="0"/>
            <wp:docPr id="122735490" name="Picture 122735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84"/>
                    <pic:cNvPicPr/>
                  </pic:nvPicPr>
                  <pic:blipFill>
                    <a:blip r:embed="rId292">
                      <a:extLst>
                        <a:ext uri="{28A0092B-C50C-407E-A947-70E740481C1C}">
                          <a14:useLocalDpi xmlns:a14="http://schemas.microsoft.com/office/drawing/2010/main" val="0"/>
                        </a:ext>
                      </a:extLst>
                    </a:blip>
                    <a:stretch>
                      <a:fillRect/>
                    </a:stretch>
                  </pic:blipFill>
                  <pic:spPr>
                    <a:xfrm>
                      <a:off x="0" y="0"/>
                      <a:ext cx="6645910" cy="1703705"/>
                    </a:xfrm>
                    <a:prstGeom prst="rect">
                      <a:avLst/>
                    </a:prstGeom>
                  </pic:spPr>
                </pic:pic>
              </a:graphicData>
            </a:graphic>
          </wp:inline>
        </w:drawing>
      </w:r>
    </w:p>
    <w:p w14:paraId="613E81C4" w14:textId="77777777" w:rsidR="002975D5" w:rsidRPr="00A452F2" w:rsidRDefault="002975D5" w:rsidP="002975D5">
      <w:pPr>
        <w:rPr>
          <w:lang w:val="en-GB" w:eastAsia="en-SG"/>
        </w:rPr>
      </w:pPr>
      <w:r w:rsidRPr="00A452F2">
        <w:rPr>
          <w:lang w:val="en-GB" w:eastAsia="en-SG"/>
        </w:rPr>
        <w:t xml:space="preserve">Does it mean we should always set power management to maximum? </w:t>
      </w:r>
    </w:p>
    <w:p w14:paraId="360537D6" w14:textId="77777777" w:rsidR="002975D5" w:rsidRDefault="002975D5" w:rsidP="002975D5">
      <w:pPr>
        <w:rPr>
          <w:lang w:val="en-GB" w:eastAsia="en-SG"/>
        </w:rPr>
      </w:pPr>
      <w:r w:rsidRPr="00A452F2">
        <w:rPr>
          <w:lang w:val="en-GB" w:eastAsia="en-SG"/>
        </w:rPr>
        <w:t>No. ESXi uses power management to save power without impacting performance. A VM running on lower clock speed does not mean it gets less done. You only set it to high performance on latency sensitive applications, where sub-seconds performance matters. VDI, VoIP</w:t>
      </w:r>
      <w:r>
        <w:rPr>
          <w:lang w:val="en-GB" w:eastAsia="en-SG"/>
        </w:rPr>
        <w:t xml:space="preserve">, video calling, </w:t>
      </w:r>
      <w:r w:rsidRPr="00A452F2">
        <w:rPr>
          <w:lang w:val="en-GB" w:eastAsia="en-SG"/>
        </w:rPr>
        <w:t xml:space="preserve">Telco NFV are some examples that </w:t>
      </w:r>
      <w:r>
        <w:rPr>
          <w:lang w:val="en-GB" w:eastAsia="en-SG"/>
        </w:rPr>
        <w:t xml:space="preserve">are best experienced with </w:t>
      </w:r>
      <w:r w:rsidRPr="00A452F2">
        <w:rPr>
          <w:lang w:val="en-GB" w:eastAsia="en-SG"/>
        </w:rPr>
        <w:t>low latency.</w:t>
      </w:r>
    </w:p>
    <w:bookmarkEnd w:id="69"/>
    <w:p w14:paraId="12F59D7B" w14:textId="69D5CBBC" w:rsidR="00FF0111" w:rsidRDefault="00FF0111" w:rsidP="00FF0111">
      <w:pPr>
        <w:pStyle w:val="Heading3"/>
      </w:pPr>
      <w:r w:rsidRPr="00A452F2">
        <w:t>Memory</w:t>
      </w:r>
    </w:p>
    <w:p w14:paraId="359542D3" w14:textId="4D67DED5" w:rsidR="001406B1" w:rsidRPr="00A452F2" w:rsidRDefault="001406B1" w:rsidP="001406B1">
      <w:pPr>
        <w:rPr>
          <w:lang w:val="en-GB"/>
        </w:rPr>
      </w:pPr>
      <w:r w:rsidRPr="4CAB3972">
        <w:rPr>
          <w:lang w:val="en-GB"/>
        </w:rPr>
        <w:t>Let's now take a trip down memory lane</w:t>
      </w:r>
      <w:r>
        <w:rPr>
          <w:lang w:val="en-GB"/>
        </w:rPr>
        <w:t>, pun intended</w:t>
      </w:r>
      <w:r w:rsidRPr="4CAB3972">
        <w:rPr>
          <w:lang w:val="en-GB"/>
        </w:rPr>
        <w:t xml:space="preserve">. </w:t>
      </w:r>
    </w:p>
    <w:p w14:paraId="438D5714" w14:textId="77777777" w:rsidR="000812C4" w:rsidRDefault="000812C4" w:rsidP="000812C4">
      <w:pPr>
        <w:rPr>
          <w:lang w:val="en-GB"/>
        </w:rPr>
      </w:pPr>
      <w:r w:rsidRPr="00A452F2">
        <w:rPr>
          <w:lang w:val="en-GB"/>
        </w:rPr>
        <w:t xml:space="preserve">Memory differs from CPU as it is a form of storage. </w:t>
      </w:r>
    </w:p>
    <w:p w14:paraId="205264E5" w14:textId="77777777" w:rsidR="000812C4" w:rsidRDefault="000812C4" w:rsidP="000812C4">
      <w:pPr>
        <w:pStyle w:val="Bullet"/>
        <w:rPr>
          <w:lang w:val="en-GB"/>
        </w:rPr>
      </w:pPr>
      <w:r w:rsidRPr="00A452F2">
        <w:rPr>
          <w:lang w:val="en-GB"/>
        </w:rPr>
        <w:t xml:space="preserve">CPU is highly transient in nature. Instructions enter and leave the execution pipelines in less than a nanosecond. </w:t>
      </w:r>
    </w:p>
    <w:p w14:paraId="13F57BBD" w14:textId="77777777" w:rsidR="000812C4" w:rsidRDefault="000812C4" w:rsidP="000812C4">
      <w:pPr>
        <w:pStyle w:val="Bullet"/>
        <w:rPr>
          <w:lang w:val="en-GB"/>
        </w:rPr>
      </w:pPr>
      <w:r>
        <w:rPr>
          <w:lang w:val="en-GB"/>
        </w:rPr>
        <w:t xml:space="preserve">Memory is a lot more stable. </w:t>
      </w:r>
      <w:r w:rsidRPr="00A452F2">
        <w:rPr>
          <w:lang w:val="en-GB"/>
        </w:rPr>
        <w:t>We are comparing nanoseconds to seconds (or longer, up to months, depending upon the uptime of your VM).</w:t>
      </w:r>
    </w:p>
    <w:p w14:paraId="4B98AD45" w14:textId="77777777" w:rsidR="000812C4" w:rsidRPr="00A452F2" w:rsidRDefault="000812C4" w:rsidP="000812C4">
      <w:pPr>
        <w:rPr>
          <w:lang w:val="en-GB"/>
        </w:rPr>
      </w:pPr>
      <w:r>
        <w:rPr>
          <w:lang w:val="en-GB"/>
        </w:rPr>
        <w:t>As a storage, m</w:t>
      </w:r>
      <w:r w:rsidRPr="00A452F2">
        <w:rPr>
          <w:lang w:val="en-GB"/>
        </w:rPr>
        <w:t>emory is basically a collection of blocks in physical DIMM. Information is stored in memory in standard block sizes, typically 4 KB or 2 MB. Each block is called a page. At the lowest level, the memory pages are just a series of zeroes and ones. MS Windows initializes its pages with 0, hence there is</w:t>
      </w:r>
      <w:r>
        <w:rPr>
          <w:lang w:val="en-GB"/>
        </w:rPr>
        <w:t xml:space="preserve"> a</w:t>
      </w:r>
      <w:r w:rsidRPr="00A452F2">
        <w:rPr>
          <w:lang w:val="en-GB"/>
        </w:rPr>
        <w:t xml:space="preserve"> zero-page counter in ESXi.</w:t>
      </w:r>
    </w:p>
    <w:p w14:paraId="3B3BFEF7" w14:textId="77777777" w:rsidR="000812C4" w:rsidRDefault="000812C4" w:rsidP="000812C4">
      <w:pPr>
        <w:rPr>
          <w:lang w:val="en-GB"/>
        </w:rPr>
      </w:pPr>
      <w:r w:rsidRPr="00A452F2">
        <w:rPr>
          <w:lang w:val="en-GB"/>
        </w:rPr>
        <w:t xml:space="preserve">Keeping this concept in mind is </w:t>
      </w:r>
      <w:r w:rsidRPr="00015C5A">
        <w:rPr>
          <w:i/>
          <w:iCs/>
          <w:color w:val="00B0F0"/>
          <w:lang w:val="en-GB"/>
        </w:rPr>
        <w:t>critical</w:t>
      </w:r>
      <w:r w:rsidRPr="00015C5A">
        <w:rPr>
          <w:color w:val="00B0F0"/>
          <w:lang w:val="en-GB"/>
        </w:rPr>
        <w:t xml:space="preserve"> </w:t>
      </w:r>
      <w:r w:rsidRPr="00A452F2">
        <w:rPr>
          <w:lang w:val="en-GB"/>
        </w:rPr>
        <w:t xml:space="preserve">as you review the memory </w:t>
      </w:r>
      <w:r>
        <w:rPr>
          <w:lang w:val="en-GB"/>
        </w:rPr>
        <w:t>metrics</w:t>
      </w:r>
      <w:r w:rsidRPr="00A452F2">
        <w:rPr>
          <w:lang w:val="en-GB"/>
        </w:rPr>
        <w:t xml:space="preserve">. </w:t>
      </w:r>
      <w:r>
        <w:rPr>
          <w:lang w:val="en-GB"/>
        </w:rPr>
        <w:t>T</w:t>
      </w:r>
      <w:r w:rsidRPr="00A452F2">
        <w:rPr>
          <w:lang w:val="en-GB"/>
        </w:rPr>
        <w:t xml:space="preserve">he storage nature of memory is the reason why memory monitoring is more challenging than CPU monitoring. Unlike CPU, memory has 2 dimensions: </w:t>
      </w:r>
    </w:p>
    <w:p w14:paraId="14C18169" w14:textId="77777777" w:rsidR="00BC5693" w:rsidRPr="00A452F2" w:rsidRDefault="00BC5693" w:rsidP="00BC5693">
      <w:pPr>
        <w:pStyle w:val="BeforeTable"/>
        <w:rPr>
          <w:lang w:val="en-GB"/>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408"/>
        <w:gridCol w:w="1832"/>
        <w:gridCol w:w="7226"/>
      </w:tblGrid>
      <w:tr w:rsidR="00BC5693" w14:paraId="7C08B3D4" w14:textId="77777777" w:rsidTr="00281329">
        <w:tc>
          <w:tcPr>
            <w:tcW w:w="1408" w:type="dxa"/>
            <w:shd w:val="clear" w:color="auto" w:fill="F2F2F2" w:themeFill="background1" w:themeFillShade="F2"/>
          </w:tcPr>
          <w:p w14:paraId="5E8E4CEB" w14:textId="77777777" w:rsidR="00BC5693" w:rsidRPr="000560B8" w:rsidRDefault="00BC5693" w:rsidP="00281329">
            <w:pPr>
              <w:pStyle w:val="Tablecontent"/>
              <w:rPr>
                <w:b/>
                <w:bCs/>
              </w:rPr>
            </w:pPr>
            <w:r>
              <w:rPr>
                <w:b/>
                <w:bCs/>
              </w:rPr>
              <w:t>Speed</w:t>
            </w:r>
          </w:p>
        </w:tc>
        <w:tc>
          <w:tcPr>
            <w:tcW w:w="1832" w:type="dxa"/>
          </w:tcPr>
          <w:p w14:paraId="1429C0EB" w14:textId="77777777" w:rsidR="00BC5693" w:rsidRPr="0043362E" w:rsidRDefault="00BC5693" w:rsidP="00281329">
            <w:pPr>
              <w:pStyle w:val="Tablecontent"/>
              <w:rPr>
                <w:lang w:val="en-GB"/>
              </w:rPr>
            </w:pPr>
            <w:r w:rsidRPr="00A452F2">
              <w:rPr>
                <w:lang w:val="en-GB"/>
              </w:rPr>
              <w:t>nanoseconds</w:t>
            </w:r>
          </w:p>
        </w:tc>
        <w:tc>
          <w:tcPr>
            <w:tcW w:w="7226" w:type="dxa"/>
          </w:tcPr>
          <w:p w14:paraId="20DAC047" w14:textId="77777777" w:rsidR="00BC5693" w:rsidRDefault="00BC5693" w:rsidP="00281329">
            <w:pPr>
              <w:pStyle w:val="Tablecontent"/>
              <w:rPr>
                <w:lang w:val="en-GB"/>
              </w:rPr>
            </w:pPr>
            <w:r w:rsidRPr="00A452F2">
              <w:rPr>
                <w:lang w:val="en-GB"/>
              </w:rPr>
              <w:t>The only counter ESXi has is Memory Latency. This counter increases when the time to read from the RAM is longer than usual. The counter tracks the</w:t>
            </w:r>
            <w:r>
              <w:rPr>
                <w:lang w:val="en-GB"/>
              </w:rPr>
              <w:t xml:space="preserve"> percentage</w:t>
            </w:r>
            <w:r w:rsidRPr="00A452F2">
              <w:rPr>
                <w:lang w:val="en-GB"/>
              </w:rPr>
              <w:t xml:space="preserve"> of memory space that’s taking longer than expected. It’s not tracking the </w:t>
            </w:r>
            <w:r w:rsidRPr="000812C4">
              <w:rPr>
                <w:i/>
                <w:iCs/>
                <w:color w:val="00B0F0"/>
                <w:lang w:val="en-GB"/>
              </w:rPr>
              <w:t>actual</w:t>
            </w:r>
            <w:r w:rsidRPr="000812C4">
              <w:rPr>
                <w:color w:val="00B0F0"/>
                <w:lang w:val="en-GB"/>
              </w:rPr>
              <w:t xml:space="preserve"> </w:t>
            </w:r>
            <w:r w:rsidRPr="00A452F2">
              <w:rPr>
                <w:lang w:val="en-GB"/>
              </w:rPr>
              <w:t xml:space="preserve">latency in nanosecond. </w:t>
            </w:r>
          </w:p>
          <w:p w14:paraId="030F3385" w14:textId="77777777" w:rsidR="00BC5693" w:rsidRDefault="00BC5693" w:rsidP="00281329">
            <w:pPr>
              <w:pStyle w:val="Tablecontent"/>
              <w:rPr>
                <w:lang w:val="en-GB"/>
              </w:rPr>
            </w:pPr>
            <w:r w:rsidRPr="00A452F2">
              <w:rPr>
                <w:lang w:val="en-GB"/>
              </w:rPr>
              <w:t>This is the opposite of Disk, where we track the actual latency, but not the</w:t>
            </w:r>
            <w:r>
              <w:rPr>
                <w:lang w:val="en-GB"/>
              </w:rPr>
              <w:t xml:space="preserve"> percentage</w:t>
            </w:r>
            <w:r w:rsidRPr="00A452F2">
              <w:rPr>
                <w:lang w:val="en-GB"/>
              </w:rPr>
              <w:t xml:space="preserve"> of amount of space that is facing latency. </w:t>
            </w:r>
          </w:p>
          <w:p w14:paraId="793832FB" w14:textId="601B3FEC" w:rsidR="00BC5693" w:rsidRPr="0043362E" w:rsidRDefault="00BC5693" w:rsidP="00281329">
            <w:pPr>
              <w:pStyle w:val="Tablecontent"/>
              <w:rPr>
                <w:lang w:val="en-GB"/>
              </w:rPr>
            </w:pPr>
            <w:r w:rsidRPr="00A452F2">
              <w:rPr>
                <w:lang w:val="en-GB"/>
              </w:rPr>
              <w:t>Both are storage, but “</w:t>
            </w:r>
            <w:r w:rsidRPr="003E7772">
              <w:rPr>
                <w:color w:val="00B0F0"/>
                <w:lang w:val="en-GB"/>
              </w:rPr>
              <w:t>server people</w:t>
            </w:r>
            <w:r w:rsidRPr="00A452F2">
              <w:rPr>
                <w:lang w:val="en-GB"/>
              </w:rPr>
              <w:t>” and “</w:t>
            </w:r>
            <w:r w:rsidRPr="003E7772">
              <w:rPr>
                <w:color w:val="00B0F0"/>
                <w:lang w:val="en-GB"/>
              </w:rPr>
              <w:t>storage people</w:t>
            </w:r>
            <w:r w:rsidRPr="00A452F2">
              <w:rPr>
                <w:lang w:val="en-GB"/>
              </w:rPr>
              <w:t>” measure them differently</w:t>
            </w:r>
            <w:r w:rsidR="000812C4">
              <w:rPr>
                <w:lang w:val="en-GB"/>
              </w:rPr>
              <w:t xml:space="preserve"> </w:t>
            </w:r>
            <w:r w:rsidR="000812C4" w:rsidRPr="000812C4">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r w:rsidR="000812C4">
              <w:rPr>
                <w:lang w:val="en-GB"/>
              </w:rPr>
              <w:t xml:space="preserve"> </w:t>
            </w:r>
          </w:p>
        </w:tc>
      </w:tr>
      <w:tr w:rsidR="00BC5693" w14:paraId="75B62080" w14:textId="77777777" w:rsidTr="00281329">
        <w:tc>
          <w:tcPr>
            <w:tcW w:w="1408" w:type="dxa"/>
            <w:shd w:val="clear" w:color="auto" w:fill="F2F2F2" w:themeFill="background1" w:themeFillShade="F2"/>
          </w:tcPr>
          <w:p w14:paraId="74E7CB77" w14:textId="77777777" w:rsidR="00BC5693" w:rsidRDefault="00BC5693" w:rsidP="00281329">
            <w:pPr>
              <w:pStyle w:val="Tablecontent"/>
              <w:rPr>
                <w:b/>
                <w:bCs/>
              </w:rPr>
            </w:pPr>
            <w:r>
              <w:rPr>
                <w:b/>
                <w:bCs/>
              </w:rPr>
              <w:lastRenderedPageBreak/>
              <w:t>Space</w:t>
            </w:r>
          </w:p>
        </w:tc>
        <w:tc>
          <w:tcPr>
            <w:tcW w:w="1832" w:type="dxa"/>
          </w:tcPr>
          <w:p w14:paraId="7B759361" w14:textId="77777777" w:rsidR="00BC5693" w:rsidRPr="0043362E" w:rsidRDefault="00BC5693" w:rsidP="00281329">
            <w:pPr>
              <w:pStyle w:val="Tablecontent"/>
              <w:rPr>
                <w:lang w:val="en-GB"/>
              </w:rPr>
            </w:pPr>
            <w:r>
              <w:rPr>
                <w:lang w:val="en-GB"/>
              </w:rPr>
              <w:t>Bytes</w:t>
            </w:r>
          </w:p>
        </w:tc>
        <w:tc>
          <w:tcPr>
            <w:tcW w:w="7226" w:type="dxa"/>
          </w:tcPr>
          <w:p w14:paraId="68A3F9E1" w14:textId="77777777" w:rsidR="00BC5693" w:rsidRPr="0043362E" w:rsidRDefault="00BC5693" w:rsidP="00281329">
            <w:pPr>
              <w:pStyle w:val="Tablecontent"/>
              <w:rPr>
                <w:lang w:val="en-GB"/>
              </w:rPr>
            </w:pPr>
            <w:r w:rsidRPr="00A452F2">
              <w:rPr>
                <w:lang w:val="en-GB"/>
              </w:rPr>
              <w:t xml:space="preserve">This is the bulk of the </w:t>
            </w:r>
            <w:r>
              <w:rPr>
                <w:lang w:val="en-GB"/>
              </w:rPr>
              <w:t>metrics</w:t>
            </w:r>
          </w:p>
        </w:tc>
      </w:tr>
    </w:tbl>
    <w:p w14:paraId="49F5EA73" w14:textId="114D9A06" w:rsidR="001406B1" w:rsidRPr="001406B1" w:rsidRDefault="00A04B1E" w:rsidP="00A04B1E">
      <w:pPr>
        <w:pStyle w:val="Heading4"/>
      </w:pPr>
      <w:r>
        <w:t>Virtual Memory</w:t>
      </w:r>
    </w:p>
    <w:p w14:paraId="73A720F7" w14:textId="77777777" w:rsidR="00FF0111" w:rsidRPr="00A452F2" w:rsidRDefault="00FF0111" w:rsidP="00FF0111">
      <w:pPr>
        <w:rPr>
          <w:lang w:val="en-GB"/>
        </w:rPr>
      </w:pPr>
      <w:r w:rsidRPr="00A452F2">
        <w:rPr>
          <w:lang w:val="en-GB"/>
        </w:rPr>
        <w:t>Before we talk about memory counter, we need to cover virtual memory, as it’s an integral part of memory management. The following shows how Windows or Linux masks the underlying physical memory from processes running on the OS.</w:t>
      </w:r>
    </w:p>
    <w:p w14:paraId="6DA8A727" w14:textId="77777777" w:rsidR="00FF0111" w:rsidRPr="00A452F2" w:rsidRDefault="00FF0111" w:rsidP="00FF0111">
      <w:pPr>
        <w:jc w:val="center"/>
        <w:rPr>
          <w:lang w:val="en-GB"/>
        </w:rPr>
      </w:pPr>
      <w:r>
        <w:rPr>
          <w:noProof/>
        </w:rPr>
        <w:drawing>
          <wp:inline distT="0" distB="0" distL="0" distR="0" wp14:anchorId="4F83C721" wp14:editId="0D7B1974">
            <wp:extent cx="3359827" cy="1870601"/>
            <wp:effectExtent l="0" t="0" r="0" b="0"/>
            <wp:docPr id="606394149" name="Picture 606394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49"/>
                    <pic:cNvPicPr/>
                  </pic:nvPicPr>
                  <pic:blipFill>
                    <a:blip r:embed="rId293">
                      <a:extLst>
                        <a:ext uri="{28A0092B-C50C-407E-A947-70E740481C1C}">
                          <a14:useLocalDpi xmlns:a14="http://schemas.microsoft.com/office/drawing/2010/main" val="0"/>
                        </a:ext>
                      </a:extLst>
                    </a:blip>
                    <a:stretch>
                      <a:fillRect/>
                    </a:stretch>
                  </pic:blipFill>
                  <pic:spPr>
                    <a:xfrm>
                      <a:off x="0" y="0"/>
                      <a:ext cx="3359827" cy="1870601"/>
                    </a:xfrm>
                    <a:prstGeom prst="rect">
                      <a:avLst/>
                    </a:prstGeom>
                  </pic:spPr>
                </pic:pic>
              </a:graphicData>
            </a:graphic>
          </wp:inline>
        </w:drawing>
      </w:r>
    </w:p>
    <w:p w14:paraId="7A217415" w14:textId="77777777" w:rsidR="00FF0111" w:rsidRDefault="00FF0111" w:rsidP="00FF0111">
      <w:pPr>
        <w:rPr>
          <w:lang w:val="en-GB"/>
        </w:rPr>
      </w:pPr>
      <w:r w:rsidRPr="00A452F2">
        <w:rPr>
          <w:lang w:val="en-GB"/>
        </w:rPr>
        <w:t xml:space="preserve">From the process’ point of view, this technique provides a contiguous address space, which makes memory management easier. It also provides isolation, meaning process A can’t see the memory of process B. This isolation provides </w:t>
      </w:r>
      <w:r w:rsidRPr="009C482A">
        <w:rPr>
          <w:i/>
          <w:iCs/>
          <w:color w:val="FF0000"/>
          <w:lang w:val="en-GB"/>
        </w:rPr>
        <w:t>some</w:t>
      </w:r>
      <w:r w:rsidRPr="009C482A">
        <w:rPr>
          <w:color w:val="FF0000"/>
          <w:lang w:val="en-GB"/>
        </w:rPr>
        <w:t xml:space="preserve"> </w:t>
      </w:r>
      <w:r w:rsidRPr="00A452F2">
        <w:rPr>
          <w:lang w:val="en-GB"/>
        </w:rPr>
        <w:t>level of security.</w:t>
      </w:r>
      <w:r>
        <w:rPr>
          <w:lang w:val="en-GB"/>
        </w:rPr>
        <w:t xml:space="preserve"> The isolation is not as good as isolation by container, which in turn is inferior to isolation by VM.</w:t>
      </w:r>
    </w:p>
    <w:p w14:paraId="706F3FA3" w14:textId="1A38FE2F" w:rsidR="00FF0111" w:rsidRPr="00A452F2" w:rsidRDefault="00FF0111" w:rsidP="00FF0111">
      <w:pPr>
        <w:rPr>
          <w:lang w:val="en-GB"/>
        </w:rPr>
      </w:pPr>
      <w:r w:rsidRPr="00A452F2">
        <w:rPr>
          <w:lang w:val="en-GB"/>
        </w:rPr>
        <w:t xml:space="preserve">Virtual Memory abstraction provides the possibility to overcommit. </w:t>
      </w:r>
      <w:bookmarkStart w:id="70" w:name="_Hlk133831286"/>
      <w:r w:rsidR="00304B88">
        <w:rPr>
          <w:lang w:val="en-GB"/>
        </w:rPr>
        <w:t>The machine</w:t>
      </w:r>
      <w:bookmarkEnd w:id="70"/>
      <w:r w:rsidRPr="00A452F2">
        <w:rPr>
          <w:lang w:val="en-GB"/>
        </w:rPr>
        <w:t xml:space="preserve"> may have 16 GB of physical RAM, but </w:t>
      </w:r>
      <w:r>
        <w:rPr>
          <w:lang w:val="en-GB"/>
        </w:rPr>
        <w:t xml:space="preserve">by </w:t>
      </w:r>
      <w:r w:rsidRPr="00A452F2">
        <w:rPr>
          <w:lang w:val="en-GB"/>
        </w:rPr>
        <w:t>using pagefile the total memory available to its processes can exceed 16 GB. The process is unaware what is backing its virtual address. It does not know whether a page is backed by Physical Memory or Swap File.</w:t>
      </w:r>
      <w:r>
        <w:rPr>
          <w:lang w:val="en-GB"/>
        </w:rPr>
        <w:t xml:space="preserve"> All it experiences is slowness, but it won’t know why as there is no counter at process level that can differentiate the memory source.</w:t>
      </w:r>
    </w:p>
    <w:p w14:paraId="76E953B6" w14:textId="696B9B4B" w:rsidR="00FF0111" w:rsidRDefault="00FF0111" w:rsidP="00FF0111">
      <w:pPr>
        <w:rPr>
          <w:lang w:val="en-GB"/>
        </w:rPr>
      </w:pPr>
      <w:r>
        <w:rPr>
          <w:lang w:val="en-GB"/>
        </w:rPr>
        <w:t xml:space="preserve">On the other hand, some applications manage its own memory and do not expose to </w:t>
      </w:r>
      <w:bookmarkStart w:id="71" w:name="_Hlk133831332"/>
      <w:r w:rsidR="00304B88">
        <w:rPr>
          <w:lang w:val="en-GB"/>
        </w:rPr>
        <w:t>the operating system</w:t>
      </w:r>
      <w:bookmarkEnd w:id="71"/>
      <w:r>
        <w:rPr>
          <w:lang w:val="en-GB"/>
        </w:rPr>
        <w:t xml:space="preserve">. Example of such applications as are database and Java VM. </w:t>
      </w:r>
      <w:hyperlink r:id="rId294" w:history="1">
        <w:r w:rsidRPr="00F32D0C">
          <w:rPr>
            <w:rStyle w:val="Hyperlink"/>
            <w:lang w:val="en-GB"/>
          </w:rPr>
          <w:t>Ole</w:t>
        </w:r>
        <w:r>
          <w:rPr>
            <w:rStyle w:val="Hyperlink"/>
            <w:lang w:val="en-GB"/>
          </w:rPr>
          <w:t xml:space="preserve">g </w:t>
        </w:r>
        <w:r w:rsidRPr="00FB7F03">
          <w:rPr>
            <w:rStyle w:val="Hyperlink"/>
            <w:lang w:val="en-GB"/>
          </w:rPr>
          <w:t>Ulyanov</w:t>
        </w:r>
      </w:hyperlink>
      <w:r w:rsidRPr="00FB7F03">
        <w:rPr>
          <w:lang w:val="en-GB"/>
        </w:rPr>
        <w:t xml:space="preserve"> </w:t>
      </w:r>
      <w:r>
        <w:rPr>
          <w:lang w:val="en-GB"/>
        </w:rPr>
        <w:t xml:space="preserve">shared in this </w:t>
      </w:r>
      <w:hyperlink r:id="rId295" w:history="1">
        <w:r w:rsidRPr="002F675E">
          <w:rPr>
            <w:rStyle w:val="Hyperlink"/>
            <w:lang w:val="en-GB"/>
          </w:rPr>
          <w:t>blog</w:t>
        </w:r>
      </w:hyperlink>
      <w:r>
        <w:t xml:space="preserve"> SQL Server has its own operating system called SQLOS. It handles memory and buffer management without communicating back to underlying operating system.</w:t>
      </w:r>
    </w:p>
    <w:p w14:paraId="703D64ED" w14:textId="77777777" w:rsidR="00FF0111" w:rsidRDefault="00FF0111" w:rsidP="00FF0111">
      <w:pPr>
        <w:rPr>
          <w:lang w:val="en-GB"/>
        </w:rPr>
      </w:pPr>
      <w:r w:rsidRPr="00A452F2">
        <w:rPr>
          <w:lang w:val="en-GB"/>
        </w:rPr>
        <w:t xml:space="preserve">With virtualization, VM </w:t>
      </w:r>
      <w:r>
        <w:rPr>
          <w:lang w:val="en-GB"/>
        </w:rPr>
        <w:t xml:space="preserve">object </w:t>
      </w:r>
      <w:r w:rsidRPr="00A452F2">
        <w:rPr>
          <w:lang w:val="en-GB"/>
        </w:rPr>
        <w:t xml:space="preserve">adds </w:t>
      </w:r>
      <w:r>
        <w:rPr>
          <w:lang w:val="en-GB"/>
        </w:rPr>
        <w:t xml:space="preserve">yet </w:t>
      </w:r>
      <w:r w:rsidRPr="00A452F2">
        <w:rPr>
          <w:lang w:val="en-GB"/>
        </w:rPr>
        <w:t xml:space="preserve">another layer. </w:t>
      </w:r>
    </w:p>
    <w:p w14:paraId="7E55C304" w14:textId="77777777" w:rsidR="00FF0111" w:rsidRDefault="00FF0111" w:rsidP="00FF0111">
      <w:pPr>
        <w:rPr>
          <w:lang w:val="en-GB"/>
        </w:rPr>
      </w:pPr>
      <w:r>
        <w:rPr>
          <w:lang w:val="en-GB"/>
        </w:rPr>
        <w:t xml:space="preserve">If you add ESXi, </w:t>
      </w:r>
      <w:r w:rsidRPr="00A452F2">
        <w:rPr>
          <w:lang w:val="en-GB"/>
        </w:rPr>
        <w:t xml:space="preserve">we actually have 4 layers from Process </w:t>
      </w:r>
      <w:r w:rsidRPr="009733EA">
        <w:rPr>
          <w:rFonts w:ascii="Wingdings" w:eastAsia="Wingdings" w:hAnsi="Wingdings" w:cs="Wingdings"/>
          <w:lang w:val="en-GB"/>
        </w:rPr>
        <w:t>à</w:t>
      </w:r>
      <w:r w:rsidRPr="00A452F2">
        <w:rPr>
          <w:lang w:val="en-GB"/>
        </w:rPr>
        <w:t xml:space="preserve"> Guest OS </w:t>
      </w:r>
      <w:r w:rsidRPr="009733EA">
        <w:rPr>
          <w:rFonts w:ascii="Wingdings" w:eastAsia="Wingdings" w:hAnsi="Wingdings" w:cs="Wingdings"/>
          <w:lang w:val="en-GB"/>
        </w:rPr>
        <w:t>à</w:t>
      </w:r>
      <w:r w:rsidRPr="00A452F2">
        <w:rPr>
          <w:lang w:val="en-GB"/>
        </w:rPr>
        <w:t xml:space="preserve"> VM </w:t>
      </w:r>
      <w:r w:rsidRPr="009733EA">
        <w:rPr>
          <w:rFonts w:ascii="Wingdings" w:eastAsia="Wingdings" w:hAnsi="Wingdings" w:cs="Wingdings"/>
          <w:lang w:val="en-GB"/>
        </w:rPr>
        <w:t>à</w:t>
      </w:r>
      <w:r>
        <w:rPr>
          <w:lang w:val="en-GB"/>
        </w:rPr>
        <w:t xml:space="preserve"> </w:t>
      </w:r>
      <w:r w:rsidRPr="00A452F2">
        <w:rPr>
          <w:lang w:val="en-GB"/>
        </w:rPr>
        <w:t>ESXi.</w:t>
      </w:r>
      <w:r>
        <w:rPr>
          <w:lang w:val="en-GB"/>
        </w:rPr>
        <w:t xml:space="preserve"> </w:t>
      </w:r>
    </w:p>
    <w:p w14:paraId="3B277873" w14:textId="77777777" w:rsidR="00FF0111" w:rsidRDefault="00FF0111" w:rsidP="00FF0111">
      <w:pPr>
        <w:rPr>
          <w:lang w:val="en-GB"/>
        </w:rPr>
      </w:pPr>
      <w:r>
        <w:rPr>
          <w:lang w:val="en-GB"/>
        </w:rPr>
        <w:t>The only layer that manages the actual physical memory is the last layer. IMHO, the term “</w:t>
      </w:r>
      <w:r w:rsidRPr="00882020">
        <w:rPr>
          <w:lang w:val="en-GB"/>
        </w:rPr>
        <w:t>Guest physical memory</w:t>
      </w:r>
      <w:r>
        <w:rPr>
          <w:lang w:val="en-GB"/>
        </w:rPr>
        <w:t xml:space="preserve">” is illogical. </w:t>
      </w:r>
    </w:p>
    <w:p w14:paraId="7444A153" w14:textId="77777777" w:rsidR="00FF0111" w:rsidRPr="00A452F2" w:rsidRDefault="00FF0111" w:rsidP="00FF0111">
      <w:pPr>
        <w:rPr>
          <w:lang w:val="en-GB"/>
        </w:rPr>
      </w:pPr>
      <w:r>
        <w:rPr>
          <w:lang w:val="en-GB"/>
        </w:rPr>
        <w:t xml:space="preserve">Each of these layers have their own address space. And that’s where the fun of performance troubleshooting begins </w:t>
      </w:r>
      <w:r w:rsidRPr="00561A00">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9"/>
          </mc:Choice>
          <mc:Fallback>
            <w:t>😉</w:t>
          </mc:Fallback>
        </mc:AlternateContent>
      </w:r>
      <w:r>
        <w:rPr>
          <w:lang w:val="en-GB"/>
        </w:rPr>
        <w:t xml:space="preserve"> </w:t>
      </w:r>
    </w:p>
    <w:p w14:paraId="07EDED49" w14:textId="77777777" w:rsidR="00FF0111" w:rsidRPr="00A452F2" w:rsidRDefault="00FF0111" w:rsidP="00FF0111">
      <w:pPr>
        <w:jc w:val="center"/>
        <w:rPr>
          <w:lang w:val="en-GB"/>
        </w:rPr>
      </w:pPr>
      <w:r>
        <w:rPr>
          <w:noProof/>
        </w:rPr>
        <w:lastRenderedPageBreak/>
        <w:drawing>
          <wp:inline distT="0" distB="0" distL="0" distR="0" wp14:anchorId="468C3029" wp14:editId="0B207781">
            <wp:extent cx="3384250" cy="1967948"/>
            <wp:effectExtent l="0" t="0" r="6985" b="0"/>
            <wp:docPr id="606394148" name="Picture 606394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48"/>
                    <pic:cNvPicPr/>
                  </pic:nvPicPr>
                  <pic:blipFill>
                    <a:blip r:embed="rId296">
                      <a:extLst>
                        <a:ext uri="{28A0092B-C50C-407E-A947-70E740481C1C}">
                          <a14:useLocalDpi xmlns:a14="http://schemas.microsoft.com/office/drawing/2010/main" val="0"/>
                        </a:ext>
                      </a:extLst>
                    </a:blip>
                    <a:stretch>
                      <a:fillRect/>
                    </a:stretch>
                  </pic:blipFill>
                  <pic:spPr>
                    <a:xfrm>
                      <a:off x="0" y="0"/>
                      <a:ext cx="3384250" cy="1967948"/>
                    </a:xfrm>
                    <a:prstGeom prst="rect">
                      <a:avLst/>
                    </a:prstGeom>
                  </pic:spPr>
                </pic:pic>
              </a:graphicData>
            </a:graphic>
          </wp:inline>
        </w:drawing>
      </w:r>
    </w:p>
    <w:p w14:paraId="4DB4AE02" w14:textId="77777777" w:rsidR="00FF0111" w:rsidRDefault="00FF0111" w:rsidP="00FF0111">
      <w:pPr>
        <w:rPr>
          <w:lang w:val="en-GB"/>
        </w:rPr>
      </w:pPr>
      <w:r w:rsidRPr="00A452F2">
        <w:rPr>
          <w:lang w:val="en-GB"/>
        </w:rPr>
        <w:t xml:space="preserve">From the VMs point of view, it provides a contiguous address space and </w:t>
      </w:r>
      <w:r>
        <w:rPr>
          <w:lang w:val="en-GB"/>
        </w:rPr>
        <w:t>i</w:t>
      </w:r>
      <w:r w:rsidRPr="00A452F2">
        <w:rPr>
          <w:lang w:val="en-GB"/>
        </w:rPr>
        <w:t>solation (which is security).</w:t>
      </w:r>
      <w:r>
        <w:rPr>
          <w:lang w:val="en-GB"/>
        </w:rPr>
        <w:t xml:space="preserve"> The underlying physical pages at ESXi layer may not be contiguous, as it’s managed differently. </w:t>
      </w:r>
      <w:r w:rsidRPr="002D64A4">
        <w:rPr>
          <w:lang w:val="en-GB"/>
        </w:rPr>
        <w:t xml:space="preserve">The </w:t>
      </w:r>
      <w:hyperlink w:anchor="_Guest_OS_vs" w:history="1">
        <w:r w:rsidRPr="002D64A4">
          <w:rPr>
            <w:rStyle w:val="Hyperlink"/>
            <w:lang w:val="en-GB"/>
          </w:rPr>
          <w:t>VM Monitor</w:t>
        </w:r>
      </w:hyperlink>
      <w:r w:rsidRPr="002D64A4">
        <w:rPr>
          <w:lang w:val="en-GB"/>
        </w:rPr>
        <w:t xml:space="preserve"> for each </w:t>
      </w:r>
      <w:r>
        <w:rPr>
          <w:lang w:val="en-GB"/>
        </w:rPr>
        <w:t xml:space="preserve">VM </w:t>
      </w:r>
      <w:r w:rsidRPr="002D64A4">
        <w:rPr>
          <w:lang w:val="en-GB"/>
        </w:rPr>
        <w:t>map</w:t>
      </w:r>
      <w:r>
        <w:rPr>
          <w:lang w:val="en-GB"/>
        </w:rPr>
        <w:t>s</w:t>
      </w:r>
      <w:r w:rsidRPr="002D64A4">
        <w:rPr>
          <w:lang w:val="en-GB"/>
        </w:rPr>
        <w:t xml:space="preserve"> </w:t>
      </w:r>
      <w:r>
        <w:rPr>
          <w:lang w:val="en-GB"/>
        </w:rPr>
        <w:t>the VM pages to the ESXi pages</w:t>
      </w:r>
      <w:r>
        <w:rPr>
          <w:rStyle w:val="FootnoteReference"/>
          <w:lang w:val="en-GB"/>
        </w:rPr>
        <w:footnoteReference w:id="17"/>
      </w:r>
      <w:r>
        <w:rPr>
          <w:lang w:val="en-GB"/>
        </w:rPr>
        <w:t xml:space="preserve">. This page mapping is not always 1:1. Multiple VM pages may point to the same ESXi pages due to transparent page sharing. On the other hand, VM page may not map to ESXi page due to balloon and swapped. The net effect is the VM pages and ESXi pages (for that VM) will not be the same, hence we need two sets of metrics. </w:t>
      </w:r>
    </w:p>
    <w:p w14:paraId="27846E2D" w14:textId="77777777" w:rsidR="00FF0111" w:rsidRDefault="00FF0111" w:rsidP="00FF0111">
      <w:pPr>
        <w:pStyle w:val="BeforeTable"/>
        <w:rPr>
          <w:lang w:val="en-GB"/>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560"/>
        <w:gridCol w:w="8896"/>
      </w:tblGrid>
      <w:tr w:rsidR="00FF0111" w14:paraId="2CE7EBCB" w14:textId="77777777" w:rsidTr="00281329">
        <w:tc>
          <w:tcPr>
            <w:tcW w:w="1560" w:type="dxa"/>
            <w:shd w:val="clear" w:color="auto" w:fill="F2F2F2" w:themeFill="background1" w:themeFillShade="F2"/>
          </w:tcPr>
          <w:p w14:paraId="1E8379F5" w14:textId="77777777" w:rsidR="00FF0111" w:rsidRPr="0099049D" w:rsidRDefault="00FF0111" w:rsidP="00281329">
            <w:pPr>
              <w:pStyle w:val="Tablecontent"/>
              <w:rPr>
                <w:b/>
                <w:bCs/>
              </w:rPr>
            </w:pPr>
            <w:r w:rsidRPr="0099049D">
              <w:rPr>
                <w:b/>
                <w:bCs/>
              </w:rPr>
              <w:t xml:space="preserve">VM memory </w:t>
            </w:r>
          </w:p>
        </w:tc>
        <w:tc>
          <w:tcPr>
            <w:tcW w:w="8896" w:type="dxa"/>
          </w:tcPr>
          <w:p w14:paraId="34EA7C07" w14:textId="77777777" w:rsidR="00FF0111" w:rsidRDefault="00FF0111" w:rsidP="00281329">
            <w:pPr>
              <w:pStyle w:val="Tablecontent"/>
            </w:pPr>
            <w:r>
              <w:t>Metrics tracks the VM Pages. There are 2 sets, one for each VM, and one a summation at ESXi level for all running VMs. Do not confuse the summation with ESXi memory metrics.</w:t>
            </w:r>
          </w:p>
          <w:p w14:paraId="22A4F216" w14:textId="77777777" w:rsidR="00FF0111" w:rsidRDefault="00FF0111" w:rsidP="00281329">
            <w:pPr>
              <w:pStyle w:val="Tablecontent"/>
            </w:pPr>
            <w:r>
              <w:t xml:space="preserve">Examples: </w:t>
            </w:r>
            <w:r w:rsidRPr="00CE2A43">
              <w:t>Granted or Memory Shared</w:t>
            </w:r>
          </w:p>
        </w:tc>
      </w:tr>
      <w:tr w:rsidR="00FF0111" w14:paraId="1113461C" w14:textId="77777777" w:rsidTr="00281329">
        <w:tc>
          <w:tcPr>
            <w:tcW w:w="1560" w:type="dxa"/>
            <w:shd w:val="clear" w:color="auto" w:fill="F2F2F2" w:themeFill="background1" w:themeFillShade="F2"/>
          </w:tcPr>
          <w:p w14:paraId="584D8E41" w14:textId="77777777" w:rsidR="00FF0111" w:rsidRPr="0099049D" w:rsidRDefault="00FF0111" w:rsidP="00281329">
            <w:pPr>
              <w:pStyle w:val="Tablecontent"/>
              <w:rPr>
                <w:b/>
                <w:bCs/>
              </w:rPr>
            </w:pPr>
            <w:r w:rsidRPr="0099049D">
              <w:rPr>
                <w:b/>
                <w:bCs/>
              </w:rPr>
              <w:t xml:space="preserve">ESXi memory </w:t>
            </w:r>
          </w:p>
        </w:tc>
        <w:tc>
          <w:tcPr>
            <w:tcW w:w="8896" w:type="dxa"/>
          </w:tcPr>
          <w:p w14:paraId="325746B4" w14:textId="77777777" w:rsidR="00FF0111" w:rsidRDefault="00FF0111" w:rsidP="00281329">
            <w:pPr>
              <w:pStyle w:val="Tablecontent"/>
            </w:pPr>
            <w:r>
              <w:t>Metrics tracks the ESXi Pages. There are also 2 sets, but the summation at ESXi level contains VMkernel own memory and VM overhead</w:t>
            </w:r>
          </w:p>
          <w:p w14:paraId="5940413A" w14:textId="77777777" w:rsidR="00FF0111" w:rsidRDefault="00FF0111" w:rsidP="00281329">
            <w:pPr>
              <w:pStyle w:val="Tablecontent"/>
            </w:pPr>
            <w:r>
              <w:t xml:space="preserve">Examples: </w:t>
            </w:r>
            <w:r w:rsidRPr="00CE2A43">
              <w:t>Consumed or Memory Shared Common</w:t>
            </w:r>
          </w:p>
        </w:tc>
      </w:tr>
    </w:tbl>
    <w:p w14:paraId="2B755333" w14:textId="77777777" w:rsidR="00FF0111" w:rsidRPr="00A452F2" w:rsidRDefault="00FF0111" w:rsidP="00FF0111">
      <w:pPr>
        <w:rPr>
          <w:lang w:val="en-GB"/>
        </w:rPr>
      </w:pPr>
      <w:r w:rsidRPr="00A452F2">
        <w:rPr>
          <w:lang w:val="en-GB"/>
        </w:rPr>
        <w:t xml:space="preserve">This abstraction provides the possibility to overcommit, because the VM is unaware what is backing the physical address. It could be Physical Memory, Swap File, Copy On Write, zipped, or ballooned. </w:t>
      </w:r>
    </w:p>
    <w:p w14:paraId="4F0599C0" w14:textId="77777777" w:rsidR="00FF0111" w:rsidRDefault="00FF0111" w:rsidP="00FF0111">
      <w:pPr>
        <w:rPr>
          <w:lang w:val="en-GB"/>
        </w:rPr>
      </w:pPr>
      <w:r>
        <w:rPr>
          <w:noProof/>
        </w:rPr>
        <w:drawing>
          <wp:inline distT="0" distB="0" distL="0" distR="0" wp14:anchorId="779544D6" wp14:editId="347EAFB1">
            <wp:extent cx="6645910" cy="2175510"/>
            <wp:effectExtent l="0" t="0" r="2540" b="0"/>
            <wp:docPr id="606394392" name="Picture 606394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92"/>
                    <pic:cNvPicPr/>
                  </pic:nvPicPr>
                  <pic:blipFill>
                    <a:blip r:embed="rId297" cstate="print">
                      <a:extLst>
                        <a:ext uri="{28A0092B-C50C-407E-A947-70E740481C1C}">
                          <a14:useLocalDpi xmlns:a14="http://schemas.microsoft.com/office/drawing/2010/main" val="0"/>
                        </a:ext>
                      </a:extLst>
                    </a:blip>
                    <a:stretch>
                      <a:fillRect/>
                    </a:stretch>
                  </pic:blipFill>
                  <pic:spPr>
                    <a:xfrm>
                      <a:off x="0" y="0"/>
                      <a:ext cx="6645910" cy="2175510"/>
                    </a:xfrm>
                    <a:prstGeom prst="rect">
                      <a:avLst/>
                    </a:prstGeom>
                  </pic:spPr>
                </pic:pic>
              </a:graphicData>
            </a:graphic>
          </wp:inline>
        </w:drawing>
      </w:r>
    </w:p>
    <w:p w14:paraId="24E84CDE" w14:textId="77777777" w:rsidR="00FF0111" w:rsidRDefault="00FF0111" w:rsidP="00FF0111">
      <w:pPr>
        <w:rPr>
          <w:lang w:val="en-GB"/>
        </w:rPr>
      </w:pPr>
      <w:r>
        <w:rPr>
          <w:lang w:val="en-GB"/>
        </w:rPr>
        <w:t xml:space="preserve">Take note the position of Granted and Consumed. While both are metrics for VM, their context is different. One looks at it from the VM viewpoint, the other from ESXi. </w:t>
      </w:r>
    </w:p>
    <w:p w14:paraId="7ED9AC9F" w14:textId="77777777" w:rsidR="00FF0111" w:rsidRDefault="00FF0111" w:rsidP="00FF0111">
      <w:pPr>
        <w:rPr>
          <w:lang w:val="en-GB"/>
        </w:rPr>
      </w:pPr>
      <w:r>
        <w:rPr>
          <w:lang w:val="en-GB"/>
        </w:rPr>
        <w:t>Understanding the vantage point is required to make sense of the metrics. It will prevent you from comparing metrics that are not comparable (e.g. granted vs consumed) as they have different context.</w:t>
      </w:r>
    </w:p>
    <w:p w14:paraId="7FC05701" w14:textId="77777777" w:rsidR="00FF0111" w:rsidRDefault="00FF0111" w:rsidP="00FF0111">
      <w:pPr>
        <w:rPr>
          <w:lang w:val="en-GB"/>
        </w:rPr>
      </w:pPr>
      <w:r w:rsidRPr="4CAB3972">
        <w:rPr>
          <w:lang w:val="en-GB"/>
        </w:rPr>
        <w:lastRenderedPageBreak/>
        <w:t xml:space="preserve">Further reading: </w:t>
      </w:r>
      <w:hyperlink r:id="rId298" w:history="1">
        <w:r w:rsidRPr="0078697C">
          <w:rPr>
            <w:rStyle w:val="Hyperlink"/>
            <w:lang w:val="en-GB"/>
          </w:rPr>
          <w:t>vSphere Resource Management</w:t>
        </w:r>
      </w:hyperlink>
      <w:r w:rsidRPr="4CAB3972">
        <w:rPr>
          <w:lang w:val="en-GB"/>
        </w:rPr>
        <w:t xml:space="preserve"> technical paper.</w:t>
      </w:r>
    </w:p>
    <w:p w14:paraId="10D6BC53" w14:textId="73530E5E" w:rsidR="00FF0111" w:rsidRDefault="00FF0111" w:rsidP="00FF0111">
      <w:pPr>
        <w:rPr>
          <w:lang w:val="en-GB"/>
        </w:rPr>
      </w:pPr>
      <w:r>
        <w:rPr>
          <w:lang w:val="en-GB"/>
        </w:rPr>
        <w:t>If you need more convincing, here is from</w:t>
      </w:r>
      <w:r w:rsidRPr="00A51733">
        <w:t xml:space="preserve"> </w:t>
      </w:r>
      <w:r w:rsidRPr="004F6FBF">
        <w:rPr>
          <w:b/>
          <w:bCs/>
          <w:color w:val="00B0F0"/>
          <w:lang w:val="en-GB"/>
        </w:rPr>
        <w:t>VMware vSphere 6.5 Host Resources Deep Dive</w:t>
      </w:r>
      <w:r w:rsidRPr="004F6FBF">
        <w:rPr>
          <w:color w:val="00B0F0"/>
          <w:lang w:val="en-GB"/>
        </w:rPr>
        <w:t xml:space="preserve"> </w:t>
      </w:r>
      <w:r>
        <w:rPr>
          <w:lang w:val="en-GB"/>
        </w:rPr>
        <w:t>by</w:t>
      </w:r>
      <w:bookmarkStart w:id="72" w:name="_Hlk91526736"/>
      <w:r>
        <w:rPr>
          <w:lang w:val="en-GB"/>
        </w:rPr>
        <w:t xml:space="preserve"> </w:t>
      </w:r>
      <w:hyperlink r:id="rId299" w:history="1">
        <w:r w:rsidRPr="00312816">
          <w:rPr>
            <w:rStyle w:val="Hyperlink"/>
            <w:lang w:val="en-GB"/>
          </w:rPr>
          <w:t>Frank Denneman</w:t>
        </w:r>
      </w:hyperlink>
      <w:r w:rsidRPr="00A51733">
        <w:rPr>
          <w:lang w:val="en-GB"/>
        </w:rPr>
        <w:t xml:space="preserve"> and </w:t>
      </w:r>
      <w:hyperlink r:id="rId300" w:history="1">
        <w:r w:rsidRPr="00A5472B">
          <w:rPr>
            <w:rStyle w:val="Hyperlink"/>
            <w:lang w:val="en-GB"/>
          </w:rPr>
          <w:t>Niels Hagoort</w:t>
        </w:r>
      </w:hyperlink>
      <w:bookmarkEnd w:id="72"/>
      <w:r>
        <w:rPr>
          <w:lang w:val="en-GB"/>
        </w:rPr>
        <w:t xml:space="preserve">. You will find it at Chapter 11 VMkernel Memory Management, page 243. I have highlighted </w:t>
      </w:r>
      <w:r w:rsidR="003E7772">
        <w:rPr>
          <w:lang w:val="en-GB"/>
        </w:rPr>
        <w:t>in</w:t>
      </w:r>
      <w:r>
        <w:rPr>
          <w:lang w:val="en-GB"/>
        </w:rPr>
        <w:t xml:space="preserve"> </w:t>
      </w:r>
      <w:r w:rsidR="0022569A" w:rsidRPr="0022569A">
        <w:rPr>
          <w:color w:val="00B050"/>
          <w:lang w:val="en-GB"/>
        </w:rPr>
        <w:t>green</w:t>
      </w:r>
      <w:r>
        <w:rPr>
          <w:lang w:val="en-GB"/>
        </w:rPr>
        <w:t xml:space="preserve"> the part you need to pay attention </w:t>
      </w:r>
      <w:r w:rsidRPr="00A5472B">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1903727A" w14:textId="77777777" w:rsidR="00FF0111" w:rsidRDefault="00FF0111" w:rsidP="00FF0111">
      <w:pPr>
        <w:jc w:val="center"/>
        <w:rPr>
          <w:lang w:val="en-GB"/>
        </w:rPr>
      </w:pPr>
      <w:r w:rsidRPr="00E30C03">
        <w:rPr>
          <w:noProof/>
          <w:lang w:val="en-GB"/>
        </w:rPr>
        <w:drawing>
          <wp:inline distT="0" distB="0" distL="0" distR="0" wp14:anchorId="7B26ED24" wp14:editId="1F648819">
            <wp:extent cx="4334400" cy="2304000"/>
            <wp:effectExtent l="0" t="0" r="9525" b="1270"/>
            <wp:docPr id="918289651" name="Picture 918289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4334400" cy="2304000"/>
                    </a:xfrm>
                    <a:prstGeom prst="rect">
                      <a:avLst/>
                    </a:prstGeom>
                  </pic:spPr>
                </pic:pic>
              </a:graphicData>
            </a:graphic>
          </wp:inline>
        </w:drawing>
      </w:r>
    </w:p>
    <w:p w14:paraId="344B803F" w14:textId="77777777" w:rsidR="00FF0111" w:rsidRPr="002D64A4" w:rsidRDefault="00FF0111" w:rsidP="00FF0111">
      <w:pPr>
        <w:rPr>
          <w:lang w:val="en-GB"/>
        </w:rPr>
      </w:pPr>
      <w:r>
        <w:rPr>
          <w:lang w:val="en-GB"/>
        </w:rPr>
        <w:t xml:space="preserve">Read further and you will see that VMkernel large page setting contributes more to ESXi capacity and the VM performance. </w:t>
      </w:r>
    </w:p>
    <w:p w14:paraId="2AEB4107" w14:textId="77777777" w:rsidR="00FF0111" w:rsidRPr="00C018D4" w:rsidRDefault="00FF0111" w:rsidP="00FF0111">
      <w:pPr>
        <w:pStyle w:val="Heading4"/>
      </w:pPr>
      <w:r w:rsidRPr="00C018D4">
        <w:t>Guest OS vs VM</w:t>
      </w:r>
    </w:p>
    <w:p w14:paraId="48C3209A" w14:textId="573415A4" w:rsidR="00E37CED" w:rsidRDefault="00E37CED" w:rsidP="00E37CED">
      <w:r>
        <w:t xml:space="preserve">Both come </w:t>
      </w:r>
      <w:r w:rsidR="00D672CE">
        <w:t xml:space="preserve">with </w:t>
      </w:r>
      <w:r>
        <w:t xml:space="preserve">dozens of metrics. Compared with Guest OS such as Windows, can you notice what’s missing and what’s added? </w:t>
      </w:r>
    </w:p>
    <w:p w14:paraId="1E2A7F43" w14:textId="77777777" w:rsidR="00FF0111" w:rsidRDefault="00FF0111" w:rsidP="00FF0111">
      <w:r>
        <w:t>The following diagram compares the memory metrics between VM and Guest OS,</w:t>
      </w:r>
    </w:p>
    <w:p w14:paraId="5F60FF62" w14:textId="77777777" w:rsidR="00FF0111" w:rsidRDefault="00FF0111" w:rsidP="00FF0111">
      <w:r>
        <w:rPr>
          <w:noProof/>
        </w:rPr>
        <w:lastRenderedPageBreak/>
        <w:drawing>
          <wp:inline distT="0" distB="0" distL="0" distR="0" wp14:anchorId="080080DD" wp14:editId="165C5A15">
            <wp:extent cx="6645910" cy="3573780"/>
            <wp:effectExtent l="0" t="0" r="2540" b="7620"/>
            <wp:docPr id="606394060" name="Picture 606394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60"/>
                    <pic:cNvPicPr/>
                  </pic:nvPicPr>
                  <pic:blipFill>
                    <a:blip r:embed="rId302">
                      <a:extLst>
                        <a:ext uri="{28A0092B-C50C-407E-A947-70E740481C1C}">
                          <a14:useLocalDpi xmlns:a14="http://schemas.microsoft.com/office/drawing/2010/main" val="0"/>
                        </a:ext>
                      </a:extLst>
                    </a:blip>
                    <a:stretch>
                      <a:fillRect/>
                    </a:stretch>
                  </pic:blipFill>
                  <pic:spPr>
                    <a:xfrm>
                      <a:off x="0" y="0"/>
                      <a:ext cx="6645910" cy="3573780"/>
                    </a:xfrm>
                    <a:prstGeom prst="rect">
                      <a:avLst/>
                    </a:prstGeom>
                  </pic:spPr>
                </pic:pic>
              </a:graphicData>
            </a:graphic>
          </wp:inline>
        </w:drawing>
      </w:r>
    </w:p>
    <w:p w14:paraId="27324ED6" w14:textId="50F052E7" w:rsidR="00FF0111" w:rsidRPr="00C018D4" w:rsidRDefault="00FF0111" w:rsidP="00FF0111">
      <w:r>
        <w:t>Guest OS and VM metrics do not map to each other. Neither the VMkernel nor the Guest OS have full visibility into each other.</w:t>
      </w:r>
    </w:p>
    <w:p w14:paraId="5007215D" w14:textId="693CA04D" w:rsidR="00FF0111" w:rsidRDefault="00FF0111" w:rsidP="00FF0111">
      <w:r>
        <w:t xml:space="preserve">Right off the bat, you will notice that popular metrics such as Consumed, Shared, and Reservation do not </w:t>
      </w:r>
      <w:r w:rsidR="008753FF">
        <w:t xml:space="preserve">even </w:t>
      </w:r>
      <w:r>
        <w:t xml:space="preserve">exist in Windows. </w:t>
      </w:r>
    </w:p>
    <w:p w14:paraId="73AD3AE7" w14:textId="77777777" w:rsidR="008753FF" w:rsidRDefault="008753FF" w:rsidP="008753FF">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530"/>
        <w:gridCol w:w="2075"/>
        <w:gridCol w:w="5326"/>
      </w:tblGrid>
      <w:tr w:rsidR="008753FF" w14:paraId="2D109F0E" w14:textId="77777777" w:rsidTr="00281329">
        <w:tc>
          <w:tcPr>
            <w:tcW w:w="1530" w:type="dxa"/>
            <w:shd w:val="clear" w:color="auto" w:fill="F2F2F2" w:themeFill="background1" w:themeFillShade="F2"/>
          </w:tcPr>
          <w:p w14:paraId="57B99EBC" w14:textId="77777777" w:rsidR="008753FF" w:rsidRDefault="008753FF" w:rsidP="00281329">
            <w:pPr>
              <w:pStyle w:val="Tableheading"/>
            </w:pPr>
            <w:r>
              <w:t>Type</w:t>
            </w:r>
          </w:p>
        </w:tc>
        <w:tc>
          <w:tcPr>
            <w:tcW w:w="2075" w:type="dxa"/>
            <w:shd w:val="clear" w:color="auto" w:fill="F2F2F2" w:themeFill="background1" w:themeFillShade="F2"/>
          </w:tcPr>
          <w:p w14:paraId="070B8504" w14:textId="77777777" w:rsidR="008753FF" w:rsidRDefault="008753FF" w:rsidP="00281329">
            <w:pPr>
              <w:pStyle w:val="Tableheading"/>
            </w:pPr>
            <w:r>
              <w:t>Guest OS Metric</w:t>
            </w:r>
          </w:p>
        </w:tc>
        <w:tc>
          <w:tcPr>
            <w:tcW w:w="5326" w:type="dxa"/>
            <w:shd w:val="clear" w:color="auto" w:fill="F2F2F2" w:themeFill="background1" w:themeFillShade="F2"/>
          </w:tcPr>
          <w:p w14:paraId="5FFAA173" w14:textId="4D466ED6" w:rsidR="008753FF" w:rsidRDefault="008753FF" w:rsidP="00281329">
            <w:pPr>
              <w:pStyle w:val="Tableheading"/>
            </w:pPr>
            <w:r>
              <w:t>VM Metrics</w:t>
            </w:r>
          </w:p>
        </w:tc>
      </w:tr>
      <w:tr w:rsidR="008753FF" w14:paraId="54E81AE3" w14:textId="77777777" w:rsidTr="00281329">
        <w:tc>
          <w:tcPr>
            <w:tcW w:w="1530" w:type="dxa"/>
            <w:vMerge w:val="restart"/>
          </w:tcPr>
          <w:p w14:paraId="71B2B399" w14:textId="77777777" w:rsidR="008753FF" w:rsidRDefault="008753FF" w:rsidP="00281329">
            <w:pPr>
              <w:pStyle w:val="Tablecontent"/>
            </w:pPr>
            <w:r>
              <w:t>Contention</w:t>
            </w:r>
          </w:p>
        </w:tc>
        <w:tc>
          <w:tcPr>
            <w:tcW w:w="2075" w:type="dxa"/>
          </w:tcPr>
          <w:p w14:paraId="6FA0FAC7" w14:textId="77777777" w:rsidR="008753FF" w:rsidRDefault="008753FF" w:rsidP="00281329">
            <w:pPr>
              <w:pStyle w:val="Tablecontent"/>
            </w:pPr>
            <w:r>
              <w:t>Paging</w:t>
            </w:r>
          </w:p>
        </w:tc>
        <w:tc>
          <w:tcPr>
            <w:tcW w:w="5326" w:type="dxa"/>
          </w:tcPr>
          <w:p w14:paraId="0DC18A6C" w14:textId="77777777" w:rsidR="008753FF" w:rsidRPr="008753FF" w:rsidRDefault="008753FF" w:rsidP="00281329">
            <w:pPr>
              <w:pStyle w:val="Tablecontent"/>
            </w:pPr>
            <w:r w:rsidRPr="008753FF">
              <w:t>None</w:t>
            </w:r>
          </w:p>
        </w:tc>
      </w:tr>
      <w:tr w:rsidR="008753FF" w14:paraId="2D0B0ABF" w14:textId="77777777" w:rsidTr="00281329">
        <w:tc>
          <w:tcPr>
            <w:tcW w:w="1530" w:type="dxa"/>
            <w:vMerge/>
          </w:tcPr>
          <w:p w14:paraId="0A95EE47" w14:textId="77777777" w:rsidR="008753FF" w:rsidRDefault="008753FF" w:rsidP="00281329">
            <w:pPr>
              <w:pStyle w:val="Tablecontent"/>
            </w:pPr>
          </w:p>
        </w:tc>
        <w:tc>
          <w:tcPr>
            <w:tcW w:w="2075" w:type="dxa"/>
          </w:tcPr>
          <w:p w14:paraId="34E2DC8E" w14:textId="04F086FD" w:rsidR="008753FF" w:rsidRDefault="008753FF" w:rsidP="00281329">
            <w:pPr>
              <w:pStyle w:val="Tablecontent"/>
            </w:pPr>
            <w:r>
              <w:t>None</w:t>
            </w:r>
          </w:p>
        </w:tc>
        <w:tc>
          <w:tcPr>
            <w:tcW w:w="5326" w:type="dxa"/>
          </w:tcPr>
          <w:p w14:paraId="7E34075A" w14:textId="6D6E0FB9" w:rsidR="008753FF" w:rsidRPr="008753FF" w:rsidRDefault="008753FF" w:rsidP="00281329">
            <w:pPr>
              <w:pStyle w:val="Tablecontent"/>
            </w:pPr>
            <w:r w:rsidRPr="008753FF">
              <w:t>Latency</w:t>
            </w:r>
          </w:p>
        </w:tc>
      </w:tr>
      <w:tr w:rsidR="008753FF" w14:paraId="775E6681" w14:textId="77777777" w:rsidTr="00281329">
        <w:tc>
          <w:tcPr>
            <w:tcW w:w="1530" w:type="dxa"/>
            <w:vMerge w:val="restart"/>
          </w:tcPr>
          <w:p w14:paraId="675C6582" w14:textId="77777777" w:rsidR="008753FF" w:rsidRDefault="008753FF" w:rsidP="00281329">
            <w:pPr>
              <w:pStyle w:val="Tablecontent"/>
            </w:pPr>
            <w:r>
              <w:t>Utilization</w:t>
            </w:r>
          </w:p>
        </w:tc>
        <w:tc>
          <w:tcPr>
            <w:tcW w:w="2075" w:type="dxa"/>
          </w:tcPr>
          <w:p w14:paraId="5EAF0D68" w14:textId="77777777" w:rsidR="008753FF" w:rsidRDefault="008753FF" w:rsidP="00281329">
            <w:pPr>
              <w:pStyle w:val="Tablecontent"/>
            </w:pPr>
            <w:r>
              <w:t>In Use</w:t>
            </w:r>
          </w:p>
        </w:tc>
        <w:tc>
          <w:tcPr>
            <w:tcW w:w="5326" w:type="dxa"/>
          </w:tcPr>
          <w:p w14:paraId="7CA23F2C" w14:textId="77777777" w:rsidR="008753FF" w:rsidRPr="008753FF" w:rsidRDefault="008753FF" w:rsidP="00281329">
            <w:pPr>
              <w:pStyle w:val="Tablecontent"/>
            </w:pPr>
            <w:r w:rsidRPr="008753FF">
              <w:t>None</w:t>
            </w:r>
          </w:p>
        </w:tc>
      </w:tr>
      <w:tr w:rsidR="008753FF" w14:paraId="62349901" w14:textId="77777777" w:rsidTr="00281329">
        <w:tc>
          <w:tcPr>
            <w:tcW w:w="1530" w:type="dxa"/>
            <w:vMerge/>
          </w:tcPr>
          <w:p w14:paraId="7B8F55E0" w14:textId="77777777" w:rsidR="008753FF" w:rsidRDefault="008753FF" w:rsidP="00281329">
            <w:pPr>
              <w:pStyle w:val="Tablecontent"/>
            </w:pPr>
          </w:p>
        </w:tc>
        <w:tc>
          <w:tcPr>
            <w:tcW w:w="2075" w:type="dxa"/>
          </w:tcPr>
          <w:p w14:paraId="44DE6BAF" w14:textId="77777777" w:rsidR="008753FF" w:rsidRDefault="008753FF" w:rsidP="00281329">
            <w:pPr>
              <w:pStyle w:val="Tablecontent"/>
            </w:pPr>
            <w:r>
              <w:t>Cache</w:t>
            </w:r>
          </w:p>
        </w:tc>
        <w:tc>
          <w:tcPr>
            <w:tcW w:w="5326" w:type="dxa"/>
          </w:tcPr>
          <w:p w14:paraId="23D5F56A" w14:textId="77777777" w:rsidR="008753FF" w:rsidRPr="008753FF" w:rsidRDefault="008753FF" w:rsidP="00281329">
            <w:pPr>
              <w:pStyle w:val="Tablecontent"/>
            </w:pPr>
            <w:r w:rsidRPr="008753FF">
              <w:t>None</w:t>
            </w:r>
          </w:p>
        </w:tc>
      </w:tr>
      <w:tr w:rsidR="008753FF" w14:paraId="2679AD79" w14:textId="77777777" w:rsidTr="00281329">
        <w:tc>
          <w:tcPr>
            <w:tcW w:w="1530" w:type="dxa"/>
            <w:vMerge/>
          </w:tcPr>
          <w:p w14:paraId="16DEAFBB" w14:textId="77777777" w:rsidR="008753FF" w:rsidRDefault="008753FF" w:rsidP="00281329">
            <w:pPr>
              <w:pStyle w:val="Tablecontent"/>
            </w:pPr>
          </w:p>
        </w:tc>
        <w:tc>
          <w:tcPr>
            <w:tcW w:w="2075" w:type="dxa"/>
          </w:tcPr>
          <w:p w14:paraId="78084FC7" w14:textId="77777777" w:rsidR="008753FF" w:rsidRDefault="008753FF" w:rsidP="00281329">
            <w:pPr>
              <w:pStyle w:val="Tablecontent"/>
            </w:pPr>
            <w:r>
              <w:t>Free</w:t>
            </w:r>
          </w:p>
        </w:tc>
        <w:tc>
          <w:tcPr>
            <w:tcW w:w="5326" w:type="dxa"/>
          </w:tcPr>
          <w:p w14:paraId="71E983FE" w14:textId="77777777" w:rsidR="008753FF" w:rsidRPr="008753FF" w:rsidRDefault="008753FF" w:rsidP="00281329">
            <w:pPr>
              <w:pStyle w:val="Tablecontent"/>
            </w:pPr>
            <w:r w:rsidRPr="008753FF">
              <w:t>None</w:t>
            </w:r>
          </w:p>
        </w:tc>
      </w:tr>
      <w:tr w:rsidR="008753FF" w14:paraId="7956CA57" w14:textId="77777777" w:rsidTr="00281329">
        <w:tc>
          <w:tcPr>
            <w:tcW w:w="1530" w:type="dxa"/>
            <w:vMerge/>
          </w:tcPr>
          <w:p w14:paraId="5341B51C" w14:textId="77777777" w:rsidR="008753FF" w:rsidRDefault="008753FF" w:rsidP="00281329">
            <w:pPr>
              <w:pStyle w:val="Tablecontent"/>
            </w:pPr>
          </w:p>
        </w:tc>
        <w:tc>
          <w:tcPr>
            <w:tcW w:w="2075" w:type="dxa"/>
          </w:tcPr>
          <w:p w14:paraId="1ACDD1BC" w14:textId="1AA0AC98" w:rsidR="008753FF" w:rsidRDefault="008753FF" w:rsidP="00281329">
            <w:pPr>
              <w:pStyle w:val="Tablecontent"/>
            </w:pPr>
            <w:r>
              <w:t>Compressed</w:t>
            </w:r>
          </w:p>
        </w:tc>
        <w:tc>
          <w:tcPr>
            <w:tcW w:w="5326" w:type="dxa"/>
          </w:tcPr>
          <w:p w14:paraId="64F3D59D" w14:textId="46681945" w:rsidR="008753FF" w:rsidRPr="008753FF" w:rsidRDefault="008753FF" w:rsidP="00281329">
            <w:pPr>
              <w:pStyle w:val="Tablecontent"/>
            </w:pPr>
            <w:r w:rsidRPr="008753FF">
              <w:t>None</w:t>
            </w:r>
          </w:p>
        </w:tc>
      </w:tr>
      <w:tr w:rsidR="008753FF" w14:paraId="221EAE1D" w14:textId="77777777" w:rsidTr="00281329">
        <w:tc>
          <w:tcPr>
            <w:tcW w:w="1530" w:type="dxa"/>
            <w:vMerge/>
          </w:tcPr>
          <w:p w14:paraId="0EFA3C17" w14:textId="77777777" w:rsidR="008753FF" w:rsidRDefault="008753FF" w:rsidP="00281329">
            <w:pPr>
              <w:pStyle w:val="Tablecontent"/>
            </w:pPr>
          </w:p>
        </w:tc>
        <w:tc>
          <w:tcPr>
            <w:tcW w:w="2075" w:type="dxa"/>
          </w:tcPr>
          <w:p w14:paraId="30DFF1D5" w14:textId="7EC7D3A1" w:rsidR="008753FF" w:rsidRDefault="008753FF" w:rsidP="00281329">
            <w:pPr>
              <w:pStyle w:val="Tablecontent"/>
            </w:pPr>
            <w:r>
              <w:t>None</w:t>
            </w:r>
          </w:p>
        </w:tc>
        <w:tc>
          <w:tcPr>
            <w:tcW w:w="5326" w:type="dxa"/>
          </w:tcPr>
          <w:p w14:paraId="1A4D4A0E" w14:textId="0E82C959" w:rsidR="008753FF" w:rsidRPr="008753FF" w:rsidRDefault="008753FF" w:rsidP="00281329">
            <w:pPr>
              <w:pStyle w:val="Tablecontent"/>
            </w:pPr>
            <w:r w:rsidRPr="008753FF">
              <w:t>Swapped</w:t>
            </w:r>
            <w:r>
              <w:t xml:space="preserve"> or</w:t>
            </w:r>
            <w:r w:rsidRPr="008753FF">
              <w:t xml:space="preserve"> Compressed</w:t>
            </w:r>
          </w:p>
        </w:tc>
      </w:tr>
    </w:tbl>
    <w:p w14:paraId="3C97BA69" w14:textId="77777777" w:rsidR="00FF0111" w:rsidRPr="00C018D4" w:rsidRDefault="00FF0111" w:rsidP="00FF0111">
      <w:r>
        <w:t xml:space="preserve">ESXi Host cannot see how the Guest OS manages its memory pages, how it classifies the pages as Use, Modified, Cache and Free. ESXi also cannot see the virtual memory (page file). </w:t>
      </w:r>
    </w:p>
    <w:p w14:paraId="23D72EE1" w14:textId="77777777" w:rsidR="00FF0111" w:rsidRDefault="00FF0111" w:rsidP="00FF0111">
      <w:r>
        <w:t xml:space="preserve">ESXi can only see when the Guest OS performs reads or writes. That’s why vSphere VM main metrics are basically what is active recently and what has been active. The first one is called Active, the second is called Consumed. All other metrics are about ESXi memory management, and not about VM memory utilization. VM memory utilization impacts ESXi memory management, but they are clearly not the same thing. </w:t>
      </w:r>
    </w:p>
    <w:p w14:paraId="112E3453" w14:textId="2311C0F4" w:rsidR="00FF0111" w:rsidRDefault="00FF0111" w:rsidP="00A04B1E">
      <w:pPr>
        <w:pStyle w:val="Heading5"/>
      </w:pPr>
      <w:r>
        <w:lastRenderedPageBreak/>
        <w:t xml:space="preserve">Example: Guest OS </w:t>
      </w:r>
      <w:r w:rsidR="00BC5693">
        <w:t>M</w:t>
      </w:r>
      <w:r>
        <w:t xml:space="preserve">ore </w:t>
      </w:r>
      <w:r w:rsidR="00BC5693">
        <w:t>A</w:t>
      </w:r>
      <w:r>
        <w:t>ccurate</w:t>
      </w:r>
    </w:p>
    <w:p w14:paraId="349A0BAD" w14:textId="77777777" w:rsidR="00FF0111" w:rsidRDefault="00FF0111" w:rsidP="00FF0111">
      <w:r>
        <w:t xml:space="preserve">Let’s take an example with a simple Microsoft Windows server running Active Directory. It has 4 GB of memory as it’s just serving a small number of objects in the Singapore office lab. Take a look at the following table, where I compared the counter from inside the Guest OS and the VM memory active counter. </w:t>
      </w:r>
    </w:p>
    <w:p w14:paraId="14BEB62E" w14:textId="77777777" w:rsidR="00FF0111" w:rsidRDefault="00FF0111" w:rsidP="00FF0111">
      <w:r>
        <w:rPr>
          <w:noProof/>
        </w:rPr>
        <w:drawing>
          <wp:inline distT="0" distB="0" distL="0" distR="0" wp14:anchorId="6FF88927" wp14:editId="2CB29FD8">
            <wp:extent cx="6645910" cy="2381885"/>
            <wp:effectExtent l="0" t="0" r="254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pic:nvPicPr>
                  <pic:blipFill>
                    <a:blip r:embed="rId303">
                      <a:extLst>
                        <a:ext uri="{28A0092B-C50C-407E-A947-70E740481C1C}">
                          <a14:useLocalDpi xmlns:a14="http://schemas.microsoft.com/office/drawing/2010/main" val="0"/>
                        </a:ext>
                      </a:extLst>
                    </a:blip>
                    <a:stretch>
                      <a:fillRect/>
                    </a:stretch>
                  </pic:blipFill>
                  <pic:spPr>
                    <a:xfrm>
                      <a:off x="0" y="0"/>
                      <a:ext cx="6645910" cy="2381885"/>
                    </a:xfrm>
                    <a:prstGeom prst="rect">
                      <a:avLst/>
                    </a:prstGeom>
                  </pic:spPr>
                </pic:pic>
              </a:graphicData>
            </a:graphic>
          </wp:inline>
        </w:drawing>
      </w:r>
    </w:p>
    <w:p w14:paraId="735FBD61" w14:textId="77777777" w:rsidR="00FF0111" w:rsidRDefault="00FF0111" w:rsidP="00FF0111">
      <w:r>
        <w:t>There are four periods above where I made changes inside Windows. Let’s step through them.</w:t>
      </w:r>
    </w:p>
    <w:p w14:paraId="3AF114B2" w14:textId="77777777" w:rsidR="00FF0111" w:rsidRPr="00C018D4" w:rsidRDefault="00FF0111" w:rsidP="00FF0111">
      <w:pPr>
        <w:pStyle w:val="BeforeTable"/>
      </w:pPr>
    </w:p>
    <w:tbl>
      <w:tblPr>
        <w:tblStyle w:val="GridTable1Light-Accent5"/>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988"/>
        <w:gridCol w:w="9468"/>
      </w:tblGrid>
      <w:tr w:rsidR="00FF0111" w:rsidRPr="008E63ED" w14:paraId="0AA2F318" w14:textId="77777777" w:rsidTr="002813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14:paraId="4DB3BE37" w14:textId="77777777" w:rsidR="00FF0111" w:rsidRPr="008E63ED" w:rsidRDefault="00FF0111" w:rsidP="00281329">
            <w:pPr>
              <w:pStyle w:val="Tableheading"/>
              <w:rPr>
                <w:b/>
              </w:rPr>
            </w:pPr>
            <w:r w:rsidRPr="008E63ED">
              <w:rPr>
                <w:b/>
              </w:rPr>
              <w:t>Period</w:t>
            </w:r>
          </w:p>
        </w:tc>
        <w:tc>
          <w:tcPr>
            <w:tcW w:w="9468" w:type="dxa"/>
          </w:tcPr>
          <w:p w14:paraId="03951DC0" w14:textId="77777777" w:rsidR="00FF0111" w:rsidRPr="008E63ED" w:rsidRDefault="00FF0111" w:rsidP="00281329">
            <w:pPr>
              <w:pStyle w:val="Tableheading"/>
              <w:cnfStyle w:val="100000000000" w:firstRow="1" w:lastRow="0" w:firstColumn="0" w:lastColumn="0" w:oddVBand="0" w:evenVBand="0" w:oddHBand="0" w:evenHBand="0" w:firstRowFirstColumn="0" w:firstRowLastColumn="0" w:lastRowFirstColumn="0" w:lastRowLastColumn="0"/>
              <w:rPr>
                <w:b/>
              </w:rPr>
            </w:pPr>
            <w:r w:rsidRPr="008E63ED">
              <w:rPr>
                <w:b/>
              </w:rPr>
              <w:t>What happened</w:t>
            </w:r>
          </w:p>
        </w:tc>
      </w:tr>
      <w:tr w:rsidR="00FF0111" w:rsidRPr="00E51A31" w14:paraId="58B04DC6" w14:textId="77777777" w:rsidTr="00281329">
        <w:tc>
          <w:tcPr>
            <w:cnfStyle w:val="001000000000" w:firstRow="0" w:lastRow="0" w:firstColumn="1" w:lastColumn="0" w:oddVBand="0" w:evenVBand="0" w:oddHBand="0" w:evenHBand="0" w:firstRowFirstColumn="0" w:firstRowLastColumn="0" w:lastRowFirstColumn="0" w:lastRowLastColumn="0"/>
            <w:tcW w:w="988" w:type="dxa"/>
          </w:tcPr>
          <w:p w14:paraId="285496DE" w14:textId="77777777" w:rsidR="00FF0111" w:rsidRPr="00C018D4" w:rsidRDefault="00FF0111" w:rsidP="00281329">
            <w:pPr>
              <w:pStyle w:val="Tablecontent"/>
              <w:jc w:val="center"/>
            </w:pPr>
            <w:r w:rsidRPr="00C018D4">
              <w:t>A</w:t>
            </w:r>
          </w:p>
        </w:tc>
        <w:tc>
          <w:tcPr>
            <w:tcW w:w="9468" w:type="dxa"/>
          </w:tcPr>
          <w:p w14:paraId="502C9080" w14:textId="77777777" w:rsidR="00FF0111" w:rsidRPr="00C018D4" w:rsidRDefault="00FF0111" w:rsidP="00281329">
            <w:pPr>
              <w:pStyle w:val="Tablecontent"/>
              <w:cnfStyle w:val="000000000000" w:firstRow="0" w:lastRow="0" w:firstColumn="0" w:lastColumn="0" w:oddVBand="0" w:evenVBand="0" w:oddHBand="0" w:evenHBand="0" w:firstRowFirstColumn="0" w:firstRowLastColumn="0" w:lastRowFirstColumn="0" w:lastRowLastColumn="0"/>
            </w:pPr>
            <w:r>
              <w:t>Microsoft AD server in normal running condition. vCenter is reporting low utilization, around 15-20%. Note vCenter users the Active metric, not Consumed.</w:t>
            </w:r>
          </w:p>
        </w:tc>
      </w:tr>
      <w:tr w:rsidR="00FF0111" w:rsidRPr="00E51A31" w14:paraId="3B4CC7BD" w14:textId="77777777" w:rsidTr="00281329">
        <w:tc>
          <w:tcPr>
            <w:cnfStyle w:val="001000000000" w:firstRow="0" w:lastRow="0" w:firstColumn="1" w:lastColumn="0" w:oddVBand="0" w:evenVBand="0" w:oddHBand="0" w:evenHBand="0" w:firstRowFirstColumn="0" w:firstRowLastColumn="0" w:lastRowFirstColumn="0" w:lastRowLastColumn="0"/>
            <w:tcW w:w="988" w:type="dxa"/>
          </w:tcPr>
          <w:p w14:paraId="7EA48582" w14:textId="77777777" w:rsidR="00FF0111" w:rsidRPr="00C018D4" w:rsidRDefault="00FF0111" w:rsidP="00281329">
            <w:pPr>
              <w:pStyle w:val="Tablecontent"/>
              <w:jc w:val="center"/>
            </w:pPr>
            <w:r w:rsidRPr="00C018D4">
              <w:t>B</w:t>
            </w:r>
          </w:p>
        </w:tc>
        <w:tc>
          <w:tcPr>
            <w:tcW w:w="9468" w:type="dxa"/>
          </w:tcPr>
          <w:p w14:paraId="08A2D19A" w14:textId="77777777" w:rsidR="00FF0111" w:rsidRDefault="00FF0111" w:rsidP="00281329">
            <w:pPr>
              <w:pStyle w:val="Tablecontent"/>
              <w:cnfStyle w:val="000000000000" w:firstRow="0" w:lastRow="0" w:firstColumn="0" w:lastColumn="0" w:oddVBand="0" w:evenVBand="0" w:oddHBand="0" w:evenHBand="0" w:firstRowFirstColumn="0" w:firstRowLastColumn="0" w:lastRowFirstColumn="0" w:lastRowLastColumn="0"/>
            </w:pPr>
            <w:r>
              <w:t xml:space="preserve">I installed the vRealize Operations agent, which is based on the open source </w:t>
            </w:r>
            <w:hyperlink r:id="rId304">
              <w:r w:rsidRPr="4CAB3972">
                <w:rPr>
                  <w:rStyle w:val="Hyperlink"/>
                </w:rPr>
                <w:t>Telegraf</w:t>
              </w:r>
            </w:hyperlink>
            <w:r>
              <w:t>. This gives the Guest OS metric, which is shown by the blue color. The agent collects data every 5 minutes, hence the regular spike. So far so good.</w:t>
            </w:r>
          </w:p>
          <w:p w14:paraId="694FC0B5" w14:textId="77777777" w:rsidR="00FF0111" w:rsidRDefault="00FF0111" w:rsidP="00281329">
            <w:pPr>
              <w:pStyle w:val="Tablecontent"/>
              <w:cnfStyle w:val="000000000000" w:firstRow="0" w:lastRow="0" w:firstColumn="0" w:lastColumn="0" w:oddVBand="0" w:evenVBand="0" w:oddHBand="0" w:evenHBand="0" w:firstRowFirstColumn="0" w:firstRowLastColumn="0" w:lastRowFirstColumn="0" w:lastRowLastColumn="0"/>
            </w:pPr>
            <w:r>
              <w:t xml:space="preserve">Notice the value from VM Active metric jumps to 100%. That’s fine, but then it stays at 100% for more than 12 hours. All I did was installing a small collection agent and that’s it. </w:t>
            </w:r>
          </w:p>
          <w:p w14:paraId="33A0CFB3" w14:textId="77777777" w:rsidR="00FF0111" w:rsidRPr="00C018D4" w:rsidRDefault="00FF0111" w:rsidP="00281329">
            <w:pPr>
              <w:pStyle w:val="Tablecontent"/>
              <w:cnfStyle w:val="000000000000" w:firstRow="0" w:lastRow="0" w:firstColumn="0" w:lastColumn="0" w:oddVBand="0" w:evenVBand="0" w:oddHBand="0" w:evenHBand="0" w:firstRowFirstColumn="0" w:firstRowLastColumn="0" w:lastRowFirstColumn="0" w:lastRowLastColumn="0"/>
            </w:pPr>
            <w:r>
              <w:t xml:space="preserve">I actually got an alarm in vCenter, even though the VM does not need the RAM obviously. What happened here prove that the Active counter is based on sampling, and that sampling could be wrong. More on that </w:t>
            </w:r>
            <w:hyperlink w:anchor="_Active" w:history="1">
              <w:r w:rsidRPr="0063721A">
                <w:rPr>
                  <w:rStyle w:val="Hyperlink"/>
                </w:rPr>
                <w:t>here</w:t>
              </w:r>
            </w:hyperlink>
            <w:r>
              <w:t xml:space="preserve">. </w:t>
            </w:r>
          </w:p>
        </w:tc>
      </w:tr>
      <w:tr w:rsidR="00FF0111" w:rsidRPr="00E51A31" w14:paraId="5C9A801F" w14:textId="77777777" w:rsidTr="00281329">
        <w:tc>
          <w:tcPr>
            <w:cnfStyle w:val="001000000000" w:firstRow="0" w:lastRow="0" w:firstColumn="1" w:lastColumn="0" w:oddVBand="0" w:evenVBand="0" w:oddHBand="0" w:evenHBand="0" w:firstRowFirstColumn="0" w:firstRowLastColumn="0" w:lastRowFirstColumn="0" w:lastRowLastColumn="0"/>
            <w:tcW w:w="988" w:type="dxa"/>
          </w:tcPr>
          <w:p w14:paraId="0B9782F7" w14:textId="77777777" w:rsidR="00FF0111" w:rsidRPr="00C018D4" w:rsidRDefault="00FF0111" w:rsidP="00281329">
            <w:pPr>
              <w:pStyle w:val="Tablecontent"/>
              <w:jc w:val="center"/>
            </w:pPr>
            <w:r w:rsidRPr="00C018D4">
              <w:t>C</w:t>
            </w:r>
          </w:p>
        </w:tc>
        <w:tc>
          <w:tcPr>
            <w:tcW w:w="9468" w:type="dxa"/>
          </w:tcPr>
          <w:p w14:paraId="4E880762" w14:textId="77777777" w:rsidR="00FF0111" w:rsidRDefault="00FF0111" w:rsidP="00281329">
            <w:pPr>
              <w:pStyle w:val="Tablecontent"/>
              <w:cnfStyle w:val="000000000000" w:firstRow="0" w:lastRow="0" w:firstColumn="0" w:lastColumn="0" w:oddVBand="0" w:evenVBand="0" w:oddHBand="0" w:evenHBand="0" w:firstRowFirstColumn="0" w:firstRowLastColumn="0" w:lastRowFirstColumn="0" w:lastRowLastColumn="0"/>
            </w:pPr>
            <w:r>
              <w:t>The next morning, I decided to generate some load as the pattern does not change at all. Since Windows has not been patched for a long time, I started Windows patch</w:t>
            </w:r>
            <w:r w:rsidRPr="00C018D4">
              <w:t xml:space="preserve">. </w:t>
            </w:r>
            <w:r>
              <w:t>The entire process is m</w:t>
            </w:r>
            <w:r w:rsidRPr="00C018D4">
              <w:t>ostly downloading</w:t>
            </w:r>
            <w:r>
              <w:t xml:space="preserve"> and installing, which last for several hours.</w:t>
            </w:r>
          </w:p>
          <w:p w14:paraId="539029A5" w14:textId="77777777" w:rsidR="00FF0111" w:rsidRPr="00C018D4" w:rsidRDefault="00FF0111" w:rsidP="00281329">
            <w:pPr>
              <w:pStyle w:val="Tablecontent"/>
              <w:cnfStyle w:val="000000000000" w:firstRow="0" w:lastRow="0" w:firstColumn="0" w:lastColumn="0" w:oddVBand="0" w:evenVBand="0" w:oddHBand="0" w:evenHBand="0" w:firstRowFirstColumn="0" w:firstRowLastColumn="0" w:lastRowFirstColumn="0" w:lastRowLastColumn="0"/>
            </w:pPr>
            <w:r>
              <w:t xml:space="preserve">The two metrics show no correlation at all. </w:t>
            </w:r>
          </w:p>
        </w:tc>
      </w:tr>
      <w:tr w:rsidR="00FF0111" w:rsidRPr="00E51A31" w14:paraId="039C8B62" w14:textId="77777777" w:rsidTr="00281329">
        <w:tc>
          <w:tcPr>
            <w:cnfStyle w:val="001000000000" w:firstRow="0" w:lastRow="0" w:firstColumn="1" w:lastColumn="0" w:oddVBand="0" w:evenVBand="0" w:oddHBand="0" w:evenHBand="0" w:firstRowFirstColumn="0" w:firstRowLastColumn="0" w:lastRowFirstColumn="0" w:lastRowLastColumn="0"/>
            <w:tcW w:w="988" w:type="dxa"/>
          </w:tcPr>
          <w:p w14:paraId="2E3215A8" w14:textId="77777777" w:rsidR="00FF0111" w:rsidRPr="00C018D4" w:rsidRDefault="00FF0111" w:rsidP="00281329">
            <w:pPr>
              <w:pStyle w:val="Tablecontent"/>
              <w:jc w:val="center"/>
            </w:pPr>
            <w:r w:rsidRPr="00C018D4">
              <w:t>D</w:t>
            </w:r>
          </w:p>
        </w:tc>
        <w:tc>
          <w:tcPr>
            <w:tcW w:w="9468" w:type="dxa"/>
          </w:tcPr>
          <w:p w14:paraId="52759330" w14:textId="77777777" w:rsidR="00FF0111" w:rsidRPr="00C018D4" w:rsidRDefault="00FF0111" w:rsidP="00281329">
            <w:pPr>
              <w:pStyle w:val="Tablecontent"/>
              <w:cnfStyle w:val="000000000000" w:firstRow="0" w:lastRow="0" w:firstColumn="0" w:lastColumn="0" w:oddVBand="0" w:evenVBand="0" w:oddHBand="0" w:evenHBand="0" w:firstRowFirstColumn="0" w:firstRowLastColumn="0" w:lastRowFirstColumn="0" w:lastRowLastColumn="0"/>
            </w:pPr>
            <w:r>
              <w:t>After several hours, the entire Windows update process is completed</w:t>
            </w:r>
            <w:r w:rsidRPr="00C018D4">
              <w:t xml:space="preserve">. </w:t>
            </w:r>
          </w:p>
        </w:tc>
      </w:tr>
    </w:tbl>
    <w:p w14:paraId="279BD424" w14:textId="77777777" w:rsidR="00FF0111" w:rsidRDefault="00FF0111" w:rsidP="00FF0111">
      <w:pPr>
        <w:pStyle w:val="BeforeTable"/>
      </w:pPr>
    </w:p>
    <w:p w14:paraId="202642FF" w14:textId="44D90317" w:rsidR="00FF0111" w:rsidRDefault="00FF0111" w:rsidP="00A04B1E">
      <w:pPr>
        <w:pStyle w:val="Heading5"/>
      </w:pPr>
      <w:r>
        <w:t xml:space="preserve">Example: VM </w:t>
      </w:r>
      <w:r w:rsidR="00BC5693">
        <w:t>M</w:t>
      </w:r>
      <w:r>
        <w:t xml:space="preserve">ore </w:t>
      </w:r>
      <w:r w:rsidR="00BC5693">
        <w:t>A</w:t>
      </w:r>
      <w:r>
        <w:t>ccurate</w:t>
      </w:r>
    </w:p>
    <w:p w14:paraId="76E4E2E9" w14:textId="77777777" w:rsidR="00FF0111" w:rsidRDefault="00FF0111" w:rsidP="00FF0111">
      <w:r>
        <w:t>Let’s now look inside the VM. I will use another VM to show a different example. This time around, I will take an idle VM so we can see how the metrics behave. An idle VM will have minimal or 0 activity.</w:t>
      </w:r>
    </w:p>
    <w:p w14:paraId="45E20047" w14:textId="77777777" w:rsidR="00FF0111" w:rsidRPr="00C018D4" w:rsidRDefault="00FF0111" w:rsidP="00FF0111">
      <w:r>
        <w:lastRenderedPageBreak/>
        <w:t>You can see that this Windows Server 2016 VM has 16 GB, but 0 GB is active. It is expected as we know the Guest OS is idle as nothing is installed. vCenter is showing the data correctly. So far so good….</w:t>
      </w:r>
    </w:p>
    <w:p w14:paraId="0A31728C" w14:textId="77777777" w:rsidR="00FF0111" w:rsidRDefault="00FF0111" w:rsidP="00FF0111">
      <w:pPr>
        <w:jc w:val="center"/>
      </w:pPr>
      <w:r w:rsidRPr="00C018D4">
        <w:rPr>
          <w:noProof/>
        </w:rPr>
        <w:drawing>
          <wp:inline distT="0" distB="0" distL="0" distR="0" wp14:anchorId="5BAAF2EA" wp14:editId="4835E5DB">
            <wp:extent cx="3219005" cy="3109995"/>
            <wp:effectExtent l="19050" t="19050" r="19685" b="14605"/>
            <wp:docPr id="5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rotWithShape="1">
                    <a:blip r:embed="rId305"/>
                    <a:srcRect l="2706" t="2811" r="43438" b="21655"/>
                    <a:stretch/>
                  </pic:blipFill>
                  <pic:spPr>
                    <a:xfrm>
                      <a:off x="0" y="0"/>
                      <a:ext cx="3225189" cy="3115970"/>
                    </a:xfrm>
                    <a:prstGeom prst="rect">
                      <a:avLst/>
                    </a:prstGeom>
                    <a:ln w="3175">
                      <a:solidFill>
                        <a:schemeClr val="tx1"/>
                      </a:solidFill>
                    </a:ln>
                  </pic:spPr>
                </pic:pic>
              </a:graphicData>
            </a:graphic>
          </wp:inline>
        </w:drawing>
      </w:r>
    </w:p>
    <w:p w14:paraId="260414AA" w14:textId="77777777" w:rsidR="00FF0111" w:rsidRDefault="00FF0111" w:rsidP="00FF0111">
      <w:r>
        <w:t xml:space="preserve">What do you think you will see inside Windows? </w:t>
      </w:r>
    </w:p>
    <w:p w14:paraId="05999341" w14:textId="77777777" w:rsidR="00FF0111" w:rsidRDefault="00FF0111" w:rsidP="00FF0111">
      <w:r>
        <w:t xml:space="preserve">Will the Windows </w:t>
      </w:r>
      <w:r w:rsidRPr="00FB1F0E">
        <w:rPr>
          <w:color w:val="00B0F0"/>
        </w:rPr>
        <w:t xml:space="preserve">In Use </w:t>
      </w:r>
      <w:r>
        <w:t xml:space="preserve">counter show that it’s using 0 GB or somewhere near there? You know that it won’t show 0 GB as it’s impossible that any OS does not use any memory while it’s running. So what number will the </w:t>
      </w:r>
      <w:r w:rsidRPr="00FB1F0E">
        <w:rPr>
          <w:color w:val="00B0F0"/>
        </w:rPr>
        <w:t>In Use</w:t>
      </w:r>
      <w:r w:rsidRPr="00BB4ED9">
        <w:rPr>
          <w:color w:val="00B0F0"/>
        </w:rPr>
        <w:t xml:space="preserve"> </w:t>
      </w:r>
      <w:r>
        <w:t>counter show?</w:t>
      </w:r>
    </w:p>
    <w:p w14:paraId="6FB2E1C1" w14:textId="77777777" w:rsidR="00FF0111" w:rsidRDefault="00FF0111" w:rsidP="00FF0111">
      <w:pPr>
        <w:jc w:val="center"/>
      </w:pPr>
      <w:r w:rsidRPr="00C018D4">
        <w:rPr>
          <w:noProof/>
        </w:rPr>
        <w:drawing>
          <wp:inline distT="0" distB="0" distL="0" distR="0" wp14:anchorId="56BFDD25" wp14:editId="1993C570">
            <wp:extent cx="4902534" cy="3923558"/>
            <wp:effectExtent l="19050" t="19050" r="12700" b="20320"/>
            <wp:docPr id="6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306"/>
                    <a:srcRect l="800" t="877" r="902" b="9136"/>
                    <a:stretch/>
                  </pic:blipFill>
                  <pic:spPr>
                    <a:xfrm>
                      <a:off x="0" y="0"/>
                      <a:ext cx="4905433" cy="3925878"/>
                    </a:xfrm>
                    <a:prstGeom prst="rect">
                      <a:avLst/>
                    </a:prstGeom>
                    <a:ln w="3175">
                      <a:solidFill>
                        <a:schemeClr val="tx1"/>
                      </a:solidFill>
                    </a:ln>
                  </pic:spPr>
                </pic:pic>
              </a:graphicData>
            </a:graphic>
          </wp:inline>
        </w:drawing>
      </w:r>
    </w:p>
    <w:p w14:paraId="3C8B8B58" w14:textId="77777777" w:rsidR="00FF0111" w:rsidRDefault="00FF0111" w:rsidP="00FF0111">
      <w:r>
        <w:t>It’s showing 7.2 GB! That’s no where near 0%.</w:t>
      </w:r>
    </w:p>
    <w:p w14:paraId="506D8DE7" w14:textId="77777777" w:rsidR="00FF0111" w:rsidRDefault="00FF0111" w:rsidP="00FF0111">
      <w:r>
        <w:lastRenderedPageBreak/>
        <w:t xml:space="preserve">Look at the chart. What do you notice? </w:t>
      </w:r>
    </w:p>
    <w:p w14:paraId="15E9B614" w14:textId="77777777" w:rsidR="00FF0111" w:rsidRDefault="00FF0111" w:rsidP="00FF0111">
      <w:r>
        <w:t>It portrays that it has been constantly or actively using that much of memory. In reality, we know it’s idle because ESXi is the one doing the actual reading and writing. The other proof that it is idle is Windows actually compressed 1.5 GB of this 7.2 GB.</w:t>
      </w:r>
    </w:p>
    <w:p w14:paraId="41FAEAF7" w14:textId="42A22265" w:rsidR="00FF0111" w:rsidRDefault="00FF0111" w:rsidP="00FF0111">
      <w:r>
        <w:t xml:space="preserve">One possible reason why Windows </w:t>
      </w:r>
      <w:r w:rsidR="00304B88">
        <w:t xml:space="preserve">is </w:t>
      </w:r>
      <w:r>
        <w:t xml:space="preserve">showing high usage when there is none is applications that manage their own memory. These applications will ask for the memory upfront in 1 contiguous block. You can see in the example below: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16"/>
        <w:gridCol w:w="4550"/>
      </w:tblGrid>
      <w:tr w:rsidR="008753FF" w14:paraId="5AB91157" w14:textId="77777777" w:rsidTr="008753FF">
        <w:tc>
          <w:tcPr>
            <w:tcW w:w="5228" w:type="dxa"/>
          </w:tcPr>
          <w:p w14:paraId="217CDB76" w14:textId="371190E4" w:rsidR="008753FF" w:rsidRDefault="008753FF" w:rsidP="00FF0111">
            <w:r w:rsidRPr="00A957F5">
              <w:rPr>
                <w:noProof/>
              </w:rPr>
              <w:drawing>
                <wp:inline distT="0" distB="0" distL="0" distR="0" wp14:anchorId="37F053EB" wp14:editId="19D03717">
                  <wp:extent cx="3463200" cy="3830400"/>
                  <wp:effectExtent l="57150" t="57150" r="99695" b="93980"/>
                  <wp:docPr id="1028" name="Picture 4" descr="http://virtual10.com/wp-content/uploads/2016/01/Performanc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Picture 4" descr="http://virtual10.com/wp-content/uploads/2016/01/Performance4.png"/>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3463200" cy="3830400"/>
                          </a:xfrm>
                          <a:prstGeom prst="rect">
                            <a:avLst/>
                          </a:prstGeom>
                          <a:noFill/>
                          <a:ln>
                            <a:solidFill>
                              <a:srgbClr val="717074"/>
                            </a:solidFill>
                          </a:ln>
                          <a:effectLst>
                            <a:outerShdw blurRad="50800" dist="38100" dir="2700000" algn="tl" rotWithShape="0">
                              <a:prstClr val="black">
                                <a:alpha val="40000"/>
                              </a:prstClr>
                            </a:outerShdw>
                          </a:effectLst>
                          <a:extLst>
                            <a:ext uri="{909E8E84-426E-40dd-AFC4-6F175D3DCCD1}">
                              <a14:hiddenFill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inline>
              </w:drawing>
            </w:r>
          </w:p>
        </w:tc>
        <w:tc>
          <w:tcPr>
            <w:tcW w:w="5228" w:type="dxa"/>
          </w:tcPr>
          <w:p w14:paraId="38B8ADA0" w14:textId="77777777" w:rsidR="008753FF" w:rsidRDefault="008753FF" w:rsidP="00FF0111">
            <w:pPr>
              <w:rPr>
                <w:lang w:val="en-US"/>
              </w:rPr>
            </w:pPr>
          </w:p>
          <w:p w14:paraId="25DDAD42" w14:textId="77777777" w:rsidR="008753FF" w:rsidRDefault="008753FF" w:rsidP="00FF0111">
            <w:pPr>
              <w:rPr>
                <w:lang w:val="en-US"/>
              </w:rPr>
            </w:pPr>
            <w:r>
              <w:rPr>
                <w:lang w:val="en-US"/>
              </w:rPr>
              <w:t>You can see that java.exe takes up 26 GB.</w:t>
            </w:r>
          </w:p>
          <w:p w14:paraId="4DFC14DC" w14:textId="5D620476" w:rsidR="008753FF" w:rsidRPr="008753FF" w:rsidRDefault="008753FF" w:rsidP="00FF0111">
            <w:pPr>
              <w:rPr>
                <w:lang w:val="en-US"/>
              </w:rPr>
            </w:pPr>
            <w:r>
              <w:rPr>
                <w:lang w:val="en-US"/>
              </w:rPr>
              <w:t>JVM (Java Virtual Machine) manages that memory and Windows can’t see inside this block. Windows sees the entire block as used and committed, regardless whether the application actually uses it or not.</w:t>
            </w:r>
          </w:p>
        </w:tc>
      </w:tr>
    </w:tbl>
    <w:p w14:paraId="0A176648" w14:textId="77777777" w:rsidR="00FF0111" w:rsidRDefault="00FF0111" w:rsidP="00FF0111">
      <w:pPr>
        <w:jc w:val="center"/>
        <w:rPr>
          <w:lang w:val="en-US"/>
        </w:rPr>
      </w:pPr>
      <w:r w:rsidRPr="003B2A11">
        <w:rPr>
          <w:noProof/>
        </w:rPr>
        <w:lastRenderedPageBreak/>
        <w:drawing>
          <wp:inline distT="0" distB="0" distL="0" distR="0" wp14:anchorId="36ACB1AA" wp14:editId="1A288494">
            <wp:extent cx="3463200" cy="3830400"/>
            <wp:effectExtent l="57150" t="57150" r="99695" b="93980"/>
            <wp:docPr id="1030" name="Picture 6" descr="http://virtual10.com/wp-content/uploads/2016/01/Performanc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Picture 6" descr="http://virtual10.com/wp-content/uploads/2016/01/Performance3.png"/>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3463200" cy="3830400"/>
                    </a:xfrm>
                    <a:prstGeom prst="rect">
                      <a:avLst/>
                    </a:prstGeom>
                    <a:noFill/>
                    <a:ln>
                      <a:solidFill>
                        <a:srgbClr val="717074"/>
                      </a:solidFill>
                    </a:ln>
                    <a:effectLst>
                      <a:outerShdw blurRad="50800" dist="38100" dir="2700000" algn="tl" rotWithShape="0">
                        <a:prstClr val="black">
                          <a:alpha val="40000"/>
                        </a:prstClr>
                      </a:outerShdw>
                    </a:effectLst>
                    <a:extLst>
                      <a:ext uri="{909E8E84-426E-40dd-AFC4-6F175D3DCCD1}">
                        <a14:hiddenFill xmlns:arto="http://schemas.microsoft.com/office/word/2006/arto" xmlns:o="urn:schemas-microsoft-com:office:office" xmlns:v="urn:schemas-microsoft-com:vml" xmlns:w10="urn:schemas-microsoft-com:office:word" xmlns:w="http://schemas.openxmlformats.org/wordprocessingml/2006/main" xmlns:p="http://schemas.openxmlformats.org/presentationml/2006/main" xmlns="" xmlns:a14="http://schemas.microsoft.com/office/drawing/2010/main" xmlns:lc="http://schemas.openxmlformats.org/drawingml/2006/lockedCanvas">
                          <a:solidFill>
                            <a:srgbClr val="FFFFFF"/>
                          </a:solidFill>
                        </a14:hiddenFill>
                      </a:ext>
                    </a:extLst>
                  </pic:spPr>
                </pic:pic>
              </a:graphicData>
            </a:graphic>
          </wp:inline>
        </w:drawing>
      </w:r>
    </w:p>
    <w:p w14:paraId="3EBB9EF7" w14:textId="77777777" w:rsidR="00FF0111" w:rsidRDefault="00FF0111" w:rsidP="00FF0111">
      <w:pPr>
        <w:rPr>
          <w:lang w:val="en-US"/>
        </w:rPr>
      </w:pPr>
      <w:r>
        <w:rPr>
          <w:lang w:val="en-US"/>
        </w:rPr>
        <w:t>BTW, the above is taken from old blog article of Manny Sidhu. The blog no longer available, hence I could not provide the link.</w:t>
      </w:r>
    </w:p>
    <w:p w14:paraId="3ECE3628" w14:textId="77777777" w:rsidR="00FF0111" w:rsidRDefault="00FF0111" w:rsidP="00FF0111">
      <w:r>
        <w:rPr>
          <w:lang w:val="en-US"/>
        </w:rPr>
        <w:t xml:space="preserve">I hope the above simple experiments shows that you should use the right counter for the right purpose. </w:t>
      </w:r>
    </w:p>
    <w:p w14:paraId="0AAFE4E5" w14:textId="3068714F" w:rsidR="00FF0111" w:rsidRDefault="00FF0111" w:rsidP="00FF0111">
      <w:pPr>
        <w:pStyle w:val="Heading3"/>
      </w:pPr>
      <w:r>
        <w:t>Storage</w:t>
      </w:r>
    </w:p>
    <w:p w14:paraId="4CB1D734" w14:textId="7082372F" w:rsidR="006A1380" w:rsidRDefault="006A1380" w:rsidP="006A1380">
      <w:pPr>
        <w:rPr>
          <w:lang w:val="en-GB"/>
        </w:rPr>
      </w:pPr>
      <w:r w:rsidRPr="00A452F2">
        <w:rPr>
          <w:lang w:val="en-GB"/>
        </w:rPr>
        <w:t xml:space="preserve">Virtualization increases the complexity in </w:t>
      </w:r>
      <w:r>
        <w:rPr>
          <w:lang w:val="en-GB"/>
        </w:rPr>
        <w:t xml:space="preserve">both </w:t>
      </w:r>
      <w:r w:rsidRPr="00A452F2">
        <w:rPr>
          <w:lang w:val="en-GB"/>
        </w:rPr>
        <w:t xml:space="preserve">storage </w:t>
      </w:r>
      <w:r>
        <w:rPr>
          <w:lang w:val="en-GB"/>
        </w:rPr>
        <w:t xml:space="preserve">capacity and </w:t>
      </w:r>
      <w:r w:rsidRPr="00A452F2">
        <w:rPr>
          <w:lang w:val="en-GB"/>
        </w:rPr>
        <w:t>performance. Just like memory, where we have more than one level, we have</w:t>
      </w:r>
      <w:r>
        <w:rPr>
          <w:lang w:val="en-GB"/>
        </w:rPr>
        <w:t xml:space="preserve"> multiple</w:t>
      </w:r>
      <w:r w:rsidRPr="00A452F2">
        <w:rPr>
          <w:lang w:val="en-GB"/>
        </w:rPr>
        <w:t xml:space="preserve"> l</w:t>
      </w:r>
      <w:r>
        <w:rPr>
          <w:lang w:val="en-GB"/>
        </w:rPr>
        <w:t>ayers</w:t>
      </w:r>
      <w:r w:rsidRPr="00A452F2">
        <w:rPr>
          <w:lang w:val="en-GB"/>
        </w:rPr>
        <w:t xml:space="preserve"> </w:t>
      </w:r>
      <w:r>
        <w:rPr>
          <w:lang w:val="en-GB"/>
        </w:rPr>
        <w:t xml:space="preserve">of </w:t>
      </w:r>
      <w:r w:rsidRPr="00A452F2">
        <w:rPr>
          <w:lang w:val="en-GB"/>
        </w:rPr>
        <w:t>storage</w:t>
      </w:r>
      <w:r>
        <w:rPr>
          <w:lang w:val="en-GB"/>
        </w:rPr>
        <w:t xml:space="preserve"> and each layer only has control over its own. In addition, each layer may not use the same terminology.</w:t>
      </w:r>
    </w:p>
    <w:p w14:paraId="371D6B29" w14:textId="77777777" w:rsidR="00942571" w:rsidRPr="00A452F2" w:rsidRDefault="00942571" w:rsidP="00942571">
      <w:pPr>
        <w:rPr>
          <w:lang w:val="en-GB"/>
        </w:rPr>
      </w:pPr>
      <w:r w:rsidRPr="4CAB3972">
        <w:rPr>
          <w:lang w:val="en-GB"/>
        </w:rPr>
        <w:t>Storage in VMware IaaS is presented as datastore. In some situation, RDM and network file shares are also used by certain VM.</w:t>
      </w:r>
    </w:p>
    <w:p w14:paraId="18ECD7C5" w14:textId="77777777" w:rsidR="00FF0111" w:rsidRPr="00E10DF4" w:rsidRDefault="00FF0111" w:rsidP="00FF0111">
      <w:pPr>
        <w:jc w:val="center"/>
        <w:rPr>
          <w:noProof/>
        </w:rPr>
      </w:pPr>
      <w:r>
        <w:rPr>
          <w:noProof/>
        </w:rPr>
        <w:lastRenderedPageBreak/>
        <w:drawing>
          <wp:inline distT="0" distB="0" distL="0" distR="0" wp14:anchorId="5E7A0A1B" wp14:editId="0AE287BA">
            <wp:extent cx="5731200" cy="2754000"/>
            <wp:effectExtent l="0" t="0" r="3175" b="8255"/>
            <wp:docPr id="534447529" name="Picture 534447529" descr="Diagram,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9" name="Picture 534447529" descr="Diagram, timeline&#10;&#10;Description automatically generated"/>
                    <pic:cNvPicPr/>
                  </pic:nvPicPr>
                  <pic:blipFill>
                    <a:blip r:embed="rId309"/>
                    <a:stretch>
                      <a:fillRect/>
                    </a:stretch>
                  </pic:blipFill>
                  <pic:spPr>
                    <a:xfrm>
                      <a:off x="0" y="0"/>
                      <a:ext cx="5731200" cy="2754000"/>
                    </a:xfrm>
                    <a:prstGeom prst="rect">
                      <a:avLst/>
                    </a:prstGeom>
                  </pic:spPr>
                </pic:pic>
              </a:graphicData>
            </a:graphic>
          </wp:inline>
        </w:drawing>
      </w: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FF0111" w:rsidRPr="00EB0C8A" w14:paraId="4D704C82" w14:textId="77777777" w:rsidTr="00281329">
        <w:tc>
          <w:tcPr>
            <w:tcW w:w="1843" w:type="dxa"/>
            <w:shd w:val="clear" w:color="auto" w:fill="F2F2F2" w:themeFill="background1" w:themeFillShade="F2"/>
          </w:tcPr>
          <w:p w14:paraId="511E6B58" w14:textId="77777777" w:rsidR="00FF0111" w:rsidRPr="00EB0C8A" w:rsidRDefault="00FF0111" w:rsidP="00281329">
            <w:pPr>
              <w:pStyle w:val="Tableheading"/>
              <w:rPr>
                <w:rStyle w:val="Strong"/>
                <w:b/>
                <w:bCs w:val="0"/>
              </w:rPr>
            </w:pPr>
            <w:r>
              <w:t xml:space="preserve"> </w:t>
            </w:r>
            <w:r>
              <w:rPr>
                <w:rStyle w:val="Strong"/>
                <w:b/>
                <w:bCs w:val="0"/>
              </w:rPr>
              <w:t>Lay</w:t>
            </w:r>
            <w:r>
              <w:rPr>
                <w:rStyle w:val="Strong"/>
                <w:b/>
              </w:rPr>
              <w:t>er</w:t>
            </w:r>
          </w:p>
        </w:tc>
        <w:tc>
          <w:tcPr>
            <w:tcW w:w="8647" w:type="dxa"/>
            <w:shd w:val="clear" w:color="auto" w:fill="F2F2F2" w:themeFill="background1" w:themeFillShade="F2"/>
          </w:tcPr>
          <w:p w14:paraId="1708F373" w14:textId="77777777" w:rsidR="00FF0111" w:rsidRPr="00EB0C8A" w:rsidRDefault="00FF0111" w:rsidP="00281329">
            <w:pPr>
              <w:pStyle w:val="Tableheading"/>
            </w:pPr>
            <w:r w:rsidRPr="00EB0C8A">
              <w:t>Description</w:t>
            </w:r>
          </w:p>
        </w:tc>
      </w:tr>
      <w:tr w:rsidR="00FF0111" w:rsidRPr="00006B9C" w14:paraId="2FFE9D5B" w14:textId="77777777" w:rsidTr="00281329">
        <w:tc>
          <w:tcPr>
            <w:tcW w:w="1843" w:type="dxa"/>
            <w:shd w:val="clear" w:color="auto" w:fill="auto"/>
          </w:tcPr>
          <w:p w14:paraId="6833E6E0" w14:textId="77777777" w:rsidR="00FF0111" w:rsidRDefault="00FF0111" w:rsidP="00281329">
            <w:pPr>
              <w:pStyle w:val="Tablecontent"/>
              <w:rPr>
                <w:b/>
                <w:bCs/>
                <w:lang w:val="en-GB"/>
              </w:rPr>
            </w:pPr>
            <w:r>
              <w:rPr>
                <w:b/>
                <w:bCs/>
                <w:lang w:val="en-GB"/>
              </w:rPr>
              <w:t>Guest OS</w:t>
            </w:r>
          </w:p>
        </w:tc>
        <w:tc>
          <w:tcPr>
            <w:tcW w:w="8647" w:type="dxa"/>
          </w:tcPr>
          <w:p w14:paraId="2A2CFC70" w14:textId="77777777" w:rsidR="00FF0111" w:rsidRDefault="00FF0111" w:rsidP="00281329">
            <w:pPr>
              <w:pStyle w:val="Tablecontent"/>
            </w:pPr>
            <w:r>
              <w:t>The most upper layer is the Guest OS</w:t>
            </w:r>
            <w:r w:rsidRPr="00A452F2">
              <w:t xml:space="preserve">. </w:t>
            </w:r>
            <w:r>
              <w:t xml:space="preserve">It sees virtual disks presented by the VM motherboard. Guest OS typically has multiple partition or drive. Each partition has its own filesystem, serving different purpose such </w:t>
            </w:r>
            <w:r w:rsidRPr="00A452F2">
              <w:t>OS drive, paging file drive, and data drive. A large database VM will have even more</w:t>
            </w:r>
            <w:r>
              <w:t xml:space="preserve"> partitions. </w:t>
            </w:r>
            <w:r w:rsidRPr="005579DB">
              <w:t xml:space="preserve">Partition may </w:t>
            </w:r>
            <w:r w:rsidRPr="0075532B">
              <w:rPr>
                <w:i/>
                <w:iCs/>
                <w:color w:val="FF0000"/>
              </w:rPr>
              <w:t>not</w:t>
            </w:r>
            <w:r w:rsidRPr="0075532B">
              <w:rPr>
                <w:color w:val="FF0000"/>
              </w:rPr>
              <w:t xml:space="preserve"> </w:t>
            </w:r>
            <w:r w:rsidRPr="005579DB">
              <w:t>map 1:1 to the virtual disk. There is no visibility to this mapping.</w:t>
            </w:r>
            <w:r>
              <w:t xml:space="preserve"> This makes calculating unmapped blocks accurately an impossible task in the case of RDM disk.</w:t>
            </w:r>
          </w:p>
          <w:p w14:paraId="1ADD1F18" w14:textId="2B152C1B" w:rsidR="00604F99" w:rsidRDefault="00FF0111" w:rsidP="00281329">
            <w:pPr>
              <w:pStyle w:val="Tablecontent"/>
            </w:pPr>
            <w:r>
              <w:t>To make it more complex, there is also networked drive. Windows or Linux mounts them over protocol such as SMB. These filesystems are not visible to the hypervisor</w:t>
            </w:r>
            <w:r w:rsidR="00942571">
              <w:t>, hence they are not virtual disk</w:t>
            </w:r>
            <w:r w:rsidR="00604F99">
              <w:t>. The disk IO is not visible to the VM as it goes out via vNIC.</w:t>
            </w:r>
          </w:p>
        </w:tc>
      </w:tr>
      <w:tr w:rsidR="00FF0111" w:rsidRPr="00006B9C" w14:paraId="5D9504F9" w14:textId="77777777" w:rsidTr="00281329">
        <w:tc>
          <w:tcPr>
            <w:tcW w:w="1843" w:type="dxa"/>
            <w:shd w:val="clear" w:color="auto" w:fill="auto"/>
          </w:tcPr>
          <w:p w14:paraId="55E78A64" w14:textId="77777777" w:rsidR="00FF0111" w:rsidRDefault="00FF0111" w:rsidP="00281329">
            <w:pPr>
              <w:pStyle w:val="Tablecontent"/>
              <w:rPr>
                <w:b/>
                <w:bCs/>
                <w:lang w:val="en-GB"/>
              </w:rPr>
            </w:pPr>
            <w:r>
              <w:rPr>
                <w:b/>
                <w:bCs/>
                <w:lang w:val="en-GB"/>
              </w:rPr>
              <w:t>VM</w:t>
            </w:r>
          </w:p>
        </w:tc>
        <w:tc>
          <w:tcPr>
            <w:tcW w:w="8647" w:type="dxa"/>
          </w:tcPr>
          <w:p w14:paraId="2EB51278" w14:textId="1089E864" w:rsidR="00FF0111" w:rsidRDefault="00FF0111" w:rsidP="00281329">
            <w:pPr>
              <w:pStyle w:val="Tablecontent"/>
            </w:pPr>
            <w:r>
              <w:t>The main file is virtual disks. This can be RDM</w:t>
            </w:r>
            <w:r w:rsidR="00604F99">
              <w:t xml:space="preserve">, </w:t>
            </w:r>
            <w:r>
              <w:t>VMDK</w:t>
            </w:r>
            <w:r w:rsidR="00604F99">
              <w:t>, vSAN and vVOL</w:t>
            </w:r>
            <w:r>
              <w:t>. Both are p</w:t>
            </w:r>
            <w:r w:rsidRPr="00104262">
              <w:t>resented as Local SCSI disk</w:t>
            </w:r>
            <w:r w:rsidR="00604F99">
              <w:t xml:space="preserve"> </w:t>
            </w:r>
            <w:r>
              <w:t xml:space="preserve">so the Guest OS does not know </w:t>
            </w:r>
            <w:r w:rsidRPr="00104262">
              <w:t xml:space="preserve">of </w:t>
            </w:r>
            <w:r>
              <w:t xml:space="preserve">the </w:t>
            </w:r>
            <w:r w:rsidRPr="00104262">
              <w:t>underlying protocol</w:t>
            </w:r>
            <w:r>
              <w:t>. For example, you can actually have MS-DOS using drive on Fibre Channel network!</w:t>
            </w:r>
          </w:p>
          <w:p w14:paraId="19012BF5" w14:textId="253D6850" w:rsidR="00604F99" w:rsidRDefault="00604F99" w:rsidP="00281329">
            <w:pPr>
              <w:pStyle w:val="Tablecontent"/>
            </w:pPr>
            <w:r w:rsidRPr="00101777">
              <w:rPr>
                <w:lang w:val="en-GB"/>
              </w:rPr>
              <w:t xml:space="preserve">They are identified as </w:t>
            </w:r>
            <w:r w:rsidRPr="009343AD">
              <w:t>scsi</w:t>
            </w:r>
            <w:r>
              <w:t>M</w:t>
            </w:r>
            <w:r w:rsidRPr="009343AD">
              <w:t>:N</w:t>
            </w:r>
            <w:r>
              <w:t>, starting with scsi0:0, where M is the adapter number.</w:t>
            </w:r>
          </w:p>
          <w:p w14:paraId="73924DE6" w14:textId="77777777" w:rsidR="00FF0111" w:rsidRDefault="00FF0111" w:rsidP="00281329">
            <w:pPr>
              <w:pStyle w:val="Tablecontent"/>
            </w:pPr>
            <w:r w:rsidRPr="00177FFE">
              <w:t xml:space="preserve">The discrepancy between VM layer and Guest OS utilization happens </w:t>
            </w:r>
            <w:r>
              <w:t xml:space="preserve">because each layer works differently. </w:t>
            </w:r>
          </w:p>
          <w:p w14:paraId="4EC35542" w14:textId="77777777" w:rsidR="00FF0111" w:rsidRDefault="00FF0111">
            <w:pPr>
              <w:pStyle w:val="Tablecontent"/>
              <w:numPr>
                <w:ilvl w:val="0"/>
                <w:numId w:val="71"/>
              </w:numPr>
            </w:pPr>
            <w:r>
              <w:t>I</w:t>
            </w:r>
            <w:r w:rsidRPr="00177FFE">
              <w:t>f there is RDM or thick VMDK, VM can’t see the actual used</w:t>
            </w:r>
            <w:r>
              <w:t xml:space="preserve"> inside Guest OS</w:t>
            </w:r>
            <w:r w:rsidRPr="00177FFE">
              <w:t>. It simply sees 100% used, regardless of what Windows or Linux uses.</w:t>
            </w:r>
            <w:r>
              <w:t xml:space="preserve"> </w:t>
            </w:r>
          </w:p>
          <w:p w14:paraId="36AAA39D" w14:textId="77777777" w:rsidR="00FF0111" w:rsidRPr="00104262" w:rsidRDefault="00FF0111">
            <w:pPr>
              <w:pStyle w:val="Tablecontent"/>
              <w:numPr>
                <w:ilvl w:val="0"/>
                <w:numId w:val="71"/>
              </w:numPr>
            </w:pPr>
            <w:r>
              <w:t xml:space="preserve">If there is unmapped block, Guest OS can’t see this overhead. </w:t>
            </w:r>
          </w:p>
          <w:p w14:paraId="4B538152" w14:textId="77777777" w:rsidR="00FF0111" w:rsidRPr="0050006A" w:rsidRDefault="00FF0111" w:rsidP="00281329">
            <w:pPr>
              <w:pStyle w:val="Tablecontent"/>
            </w:pPr>
            <w:r>
              <w:t>W</w:t>
            </w:r>
            <w:r w:rsidRPr="4CAB3972">
              <w:t xml:space="preserve">e are interested in data both at the VM </w:t>
            </w:r>
            <w:r>
              <w:t xml:space="preserve">aggregate </w:t>
            </w:r>
            <w:r w:rsidRPr="4CAB3972">
              <w:t>level, and at the individual virtual disk level. If you are running a VM with a large data drive (for example, Oracle database), the performance of the data drive is what the VM owner cares about the most. At the VM level, you get the average of all drives; hence, the performance issue could be obscured.</w:t>
            </w:r>
          </w:p>
        </w:tc>
      </w:tr>
      <w:tr w:rsidR="00FF0111" w:rsidRPr="00006B9C" w14:paraId="774B648A" w14:textId="77777777" w:rsidTr="00281329">
        <w:tc>
          <w:tcPr>
            <w:tcW w:w="1843" w:type="dxa"/>
            <w:shd w:val="clear" w:color="auto" w:fill="auto"/>
          </w:tcPr>
          <w:p w14:paraId="38ECAAA9" w14:textId="77777777" w:rsidR="00FF0111" w:rsidRPr="005F6D26" w:rsidRDefault="00FF0111" w:rsidP="00281329">
            <w:pPr>
              <w:pStyle w:val="Tablecontent"/>
            </w:pPr>
            <w:r>
              <w:rPr>
                <w:b/>
                <w:bCs/>
                <w:lang w:val="en-GB"/>
              </w:rPr>
              <w:t>ESXi</w:t>
            </w:r>
          </w:p>
        </w:tc>
        <w:tc>
          <w:tcPr>
            <w:tcW w:w="8647" w:type="dxa"/>
          </w:tcPr>
          <w:p w14:paraId="6A5BE5F1" w14:textId="77777777" w:rsidR="00FF0111" w:rsidRDefault="00FF0111" w:rsidP="00281329">
            <w:pPr>
              <w:pStyle w:val="Tablecontent"/>
            </w:pPr>
            <w:r>
              <w:t>In this layer w</w:t>
            </w:r>
            <w:r w:rsidRPr="00B1485D">
              <w:t xml:space="preserve">e have the </w:t>
            </w:r>
            <w:r>
              <w:t xml:space="preserve">ESXi storage subsystem and the storage adapter. </w:t>
            </w:r>
            <w:r w:rsidRPr="00B1485D">
              <w:t xml:space="preserve">We </w:t>
            </w:r>
            <w:r>
              <w:t>do</w:t>
            </w:r>
            <w:r w:rsidRPr="00B1485D">
              <w:t xml:space="preserve"> not </w:t>
            </w:r>
            <w:r>
              <w:t xml:space="preserve">deep dive into </w:t>
            </w:r>
            <w:r w:rsidRPr="00B1485D">
              <w:t xml:space="preserve">ESXi in our discussion of </w:t>
            </w:r>
            <w:r>
              <w:t>s</w:t>
            </w:r>
            <w:r w:rsidRPr="00B1485D">
              <w:t xml:space="preserve">torage </w:t>
            </w:r>
            <w:r>
              <w:t>metrics</w:t>
            </w:r>
            <w:r w:rsidRPr="00B1485D">
              <w:t xml:space="preserve"> as in general it is not a cause of storage bottleneck. Yes, the </w:t>
            </w:r>
            <w:r>
              <w:t>VMkernel</w:t>
            </w:r>
            <w:r w:rsidRPr="00B1485D">
              <w:t xml:space="preserve"> prioritizes and queues the I/Os, but all these operations should be less than 1 millisecond. If the I/O is held at the kernel, there is a good chance that the physical device latency is more than 10 milliseconds.</w:t>
            </w:r>
          </w:p>
          <w:p w14:paraId="62913281" w14:textId="77777777" w:rsidR="00FF0111" w:rsidRPr="001767C7" w:rsidRDefault="00FF0111" w:rsidP="00281329">
            <w:pPr>
              <w:pStyle w:val="Tablecontent"/>
            </w:pPr>
            <w:r w:rsidRPr="00B1485D">
              <w:t xml:space="preserve">In a typical shared storage, multiple VMs </w:t>
            </w:r>
            <w:r>
              <w:t xml:space="preserve">run on the same ESXi, and multiple VMs </w:t>
            </w:r>
            <w:r w:rsidRPr="00B1485D">
              <w:t xml:space="preserve">share a datastore. So it is common to have an I/O blender effect, where sequential writes on individual vmdk files become random writes at the datastore level. </w:t>
            </w:r>
            <w:r>
              <w:t xml:space="preserve">It also changes the read/write ratio. </w:t>
            </w:r>
            <w:r w:rsidRPr="00B1485D">
              <w:t xml:space="preserve">This can occur in either VMFS or NFS. </w:t>
            </w:r>
            <w:r>
              <w:t xml:space="preserve">This certainly increase complexity in </w:t>
            </w:r>
            <w:r>
              <w:lastRenderedPageBreak/>
              <w:t>troubleshooting. Complexity also increases when the IO needs to go over the network, especially across different physical data centers asynchronously.</w:t>
            </w:r>
          </w:p>
        </w:tc>
      </w:tr>
      <w:tr w:rsidR="00FF0111" w:rsidRPr="00006B9C" w14:paraId="1D681728" w14:textId="77777777" w:rsidTr="00281329">
        <w:tc>
          <w:tcPr>
            <w:tcW w:w="1843" w:type="dxa"/>
            <w:shd w:val="clear" w:color="auto" w:fill="auto"/>
          </w:tcPr>
          <w:p w14:paraId="225CEEA2" w14:textId="77777777" w:rsidR="00FF0111" w:rsidRPr="005378F6" w:rsidRDefault="00FF0111" w:rsidP="00281329">
            <w:pPr>
              <w:pStyle w:val="Tablecontent"/>
              <w:rPr>
                <w:b/>
                <w:bCs/>
                <w:lang w:val="en-GB"/>
              </w:rPr>
            </w:pPr>
            <w:r>
              <w:rPr>
                <w:b/>
                <w:bCs/>
                <w:lang w:val="en-GB"/>
              </w:rPr>
              <w:lastRenderedPageBreak/>
              <w:t>Datastore</w:t>
            </w:r>
          </w:p>
        </w:tc>
        <w:tc>
          <w:tcPr>
            <w:tcW w:w="8647" w:type="dxa"/>
          </w:tcPr>
          <w:p w14:paraId="38B42703" w14:textId="4AC4DE67" w:rsidR="00FF0111" w:rsidRDefault="00FF0111" w:rsidP="00281329">
            <w:pPr>
              <w:pStyle w:val="Tablecontent"/>
            </w:pPr>
            <w:r w:rsidRPr="00B1485D">
              <w:t xml:space="preserve">What you can see at this level, and hence how you monitor, depends on the storage architecture. </w:t>
            </w:r>
          </w:p>
          <w:p w14:paraId="7D950429" w14:textId="498C7D60" w:rsidR="00942571" w:rsidRDefault="00942571" w:rsidP="00281329">
            <w:pPr>
              <w:pStyle w:val="Tablecontent"/>
            </w:pPr>
            <w:r w:rsidRPr="00A452F2">
              <w:rPr>
                <w:lang w:val="en-GB"/>
              </w:rPr>
              <w:t>The underlying storage protocol can be files (NFS) or blocks (</w:t>
            </w:r>
            <w:hyperlink r:id="rId310" w:history="1">
              <w:r w:rsidRPr="00D10A57">
                <w:rPr>
                  <w:rStyle w:val="Hyperlink"/>
                  <w:lang w:val="en-GB"/>
                </w:rPr>
                <w:t>VMFS</w:t>
              </w:r>
            </w:hyperlink>
            <w:r w:rsidRPr="00A452F2">
              <w:rPr>
                <w:lang w:val="en-GB"/>
              </w:rPr>
              <w:t xml:space="preserve">). vSAN uses VMFS as its </w:t>
            </w:r>
            <w:r w:rsidRPr="00B52742">
              <w:rPr>
                <w:i/>
                <w:iCs/>
                <w:color w:val="00B0F0"/>
                <w:lang w:val="en-GB"/>
              </w:rPr>
              <w:t>consumption</w:t>
            </w:r>
            <w:r w:rsidRPr="00B52742">
              <w:rPr>
                <w:color w:val="00B0F0"/>
                <w:lang w:val="en-GB"/>
              </w:rPr>
              <w:t xml:space="preserve"> </w:t>
            </w:r>
            <w:r w:rsidRPr="00A452F2">
              <w:rPr>
                <w:lang w:val="en-GB"/>
              </w:rPr>
              <w:t xml:space="preserve">layer as </w:t>
            </w:r>
            <w:r>
              <w:rPr>
                <w:lang w:val="en-GB"/>
              </w:rPr>
              <w:t>the underlying layer</w:t>
            </w:r>
            <w:r w:rsidRPr="00A452F2">
              <w:rPr>
                <w:lang w:val="en-GB"/>
              </w:rPr>
              <w:t xml:space="preserve"> is unique to vSAN, and </w:t>
            </w:r>
            <w:r>
              <w:rPr>
                <w:lang w:val="en-GB"/>
              </w:rPr>
              <w:t xml:space="preserve">hence vSAN requires </w:t>
            </w:r>
            <w:r w:rsidRPr="00A452F2">
              <w:rPr>
                <w:lang w:val="en-GB"/>
              </w:rPr>
              <w:t>its own monitoring</w:t>
            </w:r>
            <w:r>
              <w:rPr>
                <w:lang w:val="en-GB"/>
              </w:rPr>
              <w:t xml:space="preserve"> technique. Because vSAN presents itself as a VMFS datastore you need to know that certain metrics will behave differently when datastore type is vSAN.</w:t>
            </w:r>
          </w:p>
          <w:p w14:paraId="45C09C5F" w14:textId="77777777" w:rsidR="00942571" w:rsidRDefault="00942571" w:rsidP="00942571">
            <w:pPr>
              <w:pStyle w:val="Tablecontent"/>
            </w:pPr>
            <w:r>
              <w:t>For NFS datastore, as it is network file share (as opposed to block), you have no visibility to the underlying storage. The type of metrics will also be more limited, and network metric becomes more critical.</w:t>
            </w:r>
          </w:p>
          <w:p w14:paraId="623B70ED" w14:textId="2305420D" w:rsidR="00A15C40" w:rsidRPr="00A15C40" w:rsidRDefault="00A15C40" w:rsidP="001B1783">
            <w:pPr>
              <w:pStyle w:val="Tablecontent"/>
            </w:pPr>
            <w:r w:rsidRPr="001B1783">
              <w:rPr>
                <w:rStyle w:val="TablecontentChar"/>
              </w:rPr>
              <w:t xml:space="preserve">Datastore is not the sum of </w:t>
            </w:r>
            <w:r>
              <w:t>its VMs that VMs may span multiple datastores, or use RDM. There can also be orphaned files outside the VM folder, which are not associated with VM.</w:t>
            </w:r>
          </w:p>
        </w:tc>
      </w:tr>
      <w:tr w:rsidR="00FF0111" w:rsidRPr="00006B9C" w14:paraId="652ABA05" w14:textId="77777777" w:rsidTr="00281329">
        <w:tc>
          <w:tcPr>
            <w:tcW w:w="1843" w:type="dxa"/>
            <w:shd w:val="clear" w:color="auto" w:fill="auto"/>
          </w:tcPr>
          <w:p w14:paraId="3D4D11F4" w14:textId="77777777" w:rsidR="00FF0111" w:rsidRDefault="00FF0111" w:rsidP="00281329">
            <w:pPr>
              <w:pStyle w:val="Tablecontent"/>
              <w:rPr>
                <w:b/>
                <w:bCs/>
                <w:lang w:val="en-GB"/>
              </w:rPr>
            </w:pPr>
            <w:r>
              <w:rPr>
                <w:b/>
                <w:bCs/>
                <w:lang w:val="en-GB"/>
              </w:rPr>
              <w:t>Storage Subsystem</w:t>
            </w:r>
          </w:p>
        </w:tc>
        <w:tc>
          <w:tcPr>
            <w:tcW w:w="8647" w:type="dxa"/>
          </w:tcPr>
          <w:p w14:paraId="50B68EDD" w14:textId="77777777" w:rsidR="00FF0111" w:rsidRDefault="00FF0111" w:rsidP="00281329">
            <w:pPr>
              <w:pStyle w:val="Tablecontent"/>
            </w:pPr>
            <w:r>
              <w:t>This can be virtual (e.g. vSAN) or physical (e.g. physical array).</w:t>
            </w:r>
          </w:p>
          <w:p w14:paraId="06938A3B" w14:textId="77777777" w:rsidR="00FF0111" w:rsidRPr="00B1485D" w:rsidRDefault="00FF0111" w:rsidP="00281329">
            <w:pPr>
              <w:pStyle w:val="Tablecontent"/>
            </w:pPr>
            <w:r w:rsidRPr="00B1485D">
              <w:t>The datastore is normally backed one to one by a LUN, so what we see at the datastore level matches with what we see at the LUN level. Multiple LUNs reside on a single array.</w:t>
            </w:r>
          </w:p>
        </w:tc>
      </w:tr>
    </w:tbl>
    <w:p w14:paraId="3CAD6B69" w14:textId="65CA169D" w:rsidR="004E6C54" w:rsidRDefault="004E6C54" w:rsidP="004E6C54"/>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530"/>
        <w:gridCol w:w="2075"/>
        <w:gridCol w:w="6835"/>
      </w:tblGrid>
      <w:tr w:rsidR="004E6C54" w14:paraId="3D883810" w14:textId="77777777" w:rsidTr="008753FF">
        <w:tc>
          <w:tcPr>
            <w:tcW w:w="1530" w:type="dxa"/>
            <w:shd w:val="clear" w:color="auto" w:fill="F2F2F2" w:themeFill="background1" w:themeFillShade="F2"/>
          </w:tcPr>
          <w:p w14:paraId="3B09AF6F" w14:textId="0D2CDC8E" w:rsidR="004E6C54" w:rsidRDefault="008753FF" w:rsidP="00281329">
            <w:pPr>
              <w:pStyle w:val="Tableheading"/>
            </w:pPr>
            <w:r>
              <w:t>Type</w:t>
            </w:r>
          </w:p>
        </w:tc>
        <w:tc>
          <w:tcPr>
            <w:tcW w:w="2075" w:type="dxa"/>
            <w:shd w:val="clear" w:color="auto" w:fill="F2F2F2" w:themeFill="background1" w:themeFillShade="F2"/>
          </w:tcPr>
          <w:p w14:paraId="7D9C00A0" w14:textId="6E0735E1" w:rsidR="004E6C54" w:rsidRDefault="008753FF" w:rsidP="00281329">
            <w:pPr>
              <w:pStyle w:val="Tableheading"/>
            </w:pPr>
            <w:r>
              <w:t>Guest OS Metrics</w:t>
            </w:r>
          </w:p>
        </w:tc>
        <w:tc>
          <w:tcPr>
            <w:tcW w:w="6835" w:type="dxa"/>
            <w:shd w:val="clear" w:color="auto" w:fill="F2F2F2" w:themeFill="background1" w:themeFillShade="F2"/>
          </w:tcPr>
          <w:p w14:paraId="64D0E904" w14:textId="41F836ED" w:rsidR="004E6C54" w:rsidRDefault="008753FF" w:rsidP="00281329">
            <w:pPr>
              <w:pStyle w:val="Tableheading"/>
            </w:pPr>
            <w:r>
              <w:t>VM Metrics</w:t>
            </w:r>
          </w:p>
        </w:tc>
      </w:tr>
      <w:tr w:rsidR="008753FF" w14:paraId="632E8432" w14:textId="77777777" w:rsidTr="008753FF">
        <w:tc>
          <w:tcPr>
            <w:tcW w:w="1530" w:type="dxa"/>
            <w:vMerge w:val="restart"/>
          </w:tcPr>
          <w:p w14:paraId="3A04B96B" w14:textId="77777777" w:rsidR="008753FF" w:rsidRDefault="008753FF" w:rsidP="00281329">
            <w:pPr>
              <w:pStyle w:val="Tablecontent"/>
            </w:pPr>
            <w:r>
              <w:t>Contention</w:t>
            </w:r>
          </w:p>
        </w:tc>
        <w:tc>
          <w:tcPr>
            <w:tcW w:w="2075" w:type="dxa"/>
          </w:tcPr>
          <w:p w14:paraId="6249FF6E" w14:textId="77777777" w:rsidR="008753FF" w:rsidRDefault="008753FF" w:rsidP="00281329">
            <w:pPr>
              <w:pStyle w:val="Tablecontent"/>
            </w:pPr>
            <w:r>
              <w:t>OS Queue</w:t>
            </w:r>
          </w:p>
        </w:tc>
        <w:tc>
          <w:tcPr>
            <w:tcW w:w="6835" w:type="dxa"/>
          </w:tcPr>
          <w:p w14:paraId="4BD91CB1" w14:textId="77777777" w:rsidR="008753FF" w:rsidRPr="008753FF" w:rsidRDefault="008753FF" w:rsidP="00281329">
            <w:pPr>
              <w:pStyle w:val="Tablecontent"/>
            </w:pPr>
            <w:r w:rsidRPr="008753FF">
              <w:t>None</w:t>
            </w:r>
          </w:p>
        </w:tc>
      </w:tr>
      <w:tr w:rsidR="008753FF" w14:paraId="487E6E53" w14:textId="77777777" w:rsidTr="008753FF">
        <w:tc>
          <w:tcPr>
            <w:tcW w:w="1530" w:type="dxa"/>
            <w:vMerge/>
          </w:tcPr>
          <w:p w14:paraId="2C8B50BB" w14:textId="77777777" w:rsidR="008753FF" w:rsidRDefault="008753FF" w:rsidP="00281329">
            <w:pPr>
              <w:pStyle w:val="Tablecontent"/>
            </w:pPr>
          </w:p>
        </w:tc>
        <w:tc>
          <w:tcPr>
            <w:tcW w:w="2075" w:type="dxa"/>
          </w:tcPr>
          <w:p w14:paraId="77A4E2CF" w14:textId="77777777" w:rsidR="008753FF" w:rsidRDefault="008753FF" w:rsidP="00281329">
            <w:pPr>
              <w:pStyle w:val="Tablecontent"/>
            </w:pPr>
            <w:r>
              <w:t>Driver Queue</w:t>
            </w:r>
          </w:p>
        </w:tc>
        <w:tc>
          <w:tcPr>
            <w:tcW w:w="6835" w:type="dxa"/>
          </w:tcPr>
          <w:p w14:paraId="0B9E06FA" w14:textId="77777777" w:rsidR="008753FF" w:rsidRPr="008753FF" w:rsidRDefault="008753FF" w:rsidP="00281329">
            <w:pPr>
              <w:pStyle w:val="Tablecontent"/>
            </w:pPr>
            <w:r w:rsidRPr="008753FF">
              <w:t>None</w:t>
            </w:r>
          </w:p>
        </w:tc>
      </w:tr>
      <w:tr w:rsidR="008753FF" w14:paraId="425210EB" w14:textId="77777777" w:rsidTr="008753FF">
        <w:tc>
          <w:tcPr>
            <w:tcW w:w="1530" w:type="dxa"/>
            <w:vMerge/>
          </w:tcPr>
          <w:p w14:paraId="076067F3" w14:textId="77777777" w:rsidR="008753FF" w:rsidRDefault="008753FF" w:rsidP="00281329">
            <w:pPr>
              <w:pStyle w:val="Tablecontent"/>
            </w:pPr>
          </w:p>
        </w:tc>
        <w:tc>
          <w:tcPr>
            <w:tcW w:w="2075" w:type="dxa"/>
          </w:tcPr>
          <w:p w14:paraId="1880998A" w14:textId="51709064" w:rsidR="008753FF" w:rsidRDefault="008753FF" w:rsidP="00281329">
            <w:pPr>
              <w:pStyle w:val="Tablecontent"/>
            </w:pPr>
            <w:r>
              <w:t>Latency</w:t>
            </w:r>
          </w:p>
        </w:tc>
        <w:tc>
          <w:tcPr>
            <w:tcW w:w="6835" w:type="dxa"/>
          </w:tcPr>
          <w:p w14:paraId="07767903" w14:textId="77777777" w:rsidR="008753FF" w:rsidRDefault="008753FF" w:rsidP="00281329">
            <w:pPr>
              <w:pStyle w:val="Tablecontent"/>
            </w:pPr>
            <w:r>
              <w:t>Latency.</w:t>
            </w:r>
          </w:p>
          <w:p w14:paraId="188F08D2" w14:textId="2D414C63" w:rsidR="008753FF" w:rsidRPr="008753FF" w:rsidRDefault="008753FF" w:rsidP="00281329">
            <w:pPr>
              <w:pStyle w:val="Tablecontent"/>
            </w:pPr>
            <w:r>
              <w:t>They should be similar, especially when plotted over time.</w:t>
            </w:r>
          </w:p>
        </w:tc>
      </w:tr>
      <w:tr w:rsidR="004E6C54" w14:paraId="384459DC" w14:textId="77777777" w:rsidTr="008753FF">
        <w:tc>
          <w:tcPr>
            <w:tcW w:w="1530" w:type="dxa"/>
            <w:vMerge w:val="restart"/>
          </w:tcPr>
          <w:p w14:paraId="09C99868" w14:textId="77777777" w:rsidR="004E6C54" w:rsidRDefault="004E6C54" w:rsidP="00281329">
            <w:pPr>
              <w:pStyle w:val="Tablecontent"/>
            </w:pPr>
            <w:r>
              <w:t>Utilization</w:t>
            </w:r>
          </w:p>
        </w:tc>
        <w:tc>
          <w:tcPr>
            <w:tcW w:w="2075" w:type="dxa"/>
          </w:tcPr>
          <w:p w14:paraId="15E870B3" w14:textId="77777777" w:rsidR="004E6C54" w:rsidRDefault="004E6C54" w:rsidP="00281329">
            <w:pPr>
              <w:pStyle w:val="Tablecontent"/>
            </w:pPr>
            <w:r>
              <w:t>IOPS</w:t>
            </w:r>
          </w:p>
        </w:tc>
        <w:tc>
          <w:tcPr>
            <w:tcW w:w="6835" w:type="dxa"/>
            <w:vMerge w:val="restart"/>
          </w:tcPr>
          <w:p w14:paraId="11384F3C" w14:textId="405415FE" w:rsidR="004E6C54" w:rsidRDefault="004E6C54" w:rsidP="00281329">
            <w:pPr>
              <w:pStyle w:val="Tablecontent"/>
            </w:pPr>
            <w:r>
              <w:t>They should match with the metrics at VM level</w:t>
            </w:r>
            <w:r w:rsidR="008753FF">
              <w:t>, especially when plotted over time</w:t>
            </w:r>
            <w:r>
              <w:t xml:space="preserve">. If not, there is something wrong. </w:t>
            </w:r>
          </w:p>
        </w:tc>
      </w:tr>
      <w:tr w:rsidR="004E6C54" w14:paraId="4C5DDDD1" w14:textId="77777777" w:rsidTr="008753FF">
        <w:tc>
          <w:tcPr>
            <w:tcW w:w="1530" w:type="dxa"/>
            <w:vMerge/>
          </w:tcPr>
          <w:p w14:paraId="4F8D7708" w14:textId="77777777" w:rsidR="004E6C54" w:rsidRDefault="004E6C54" w:rsidP="00281329">
            <w:pPr>
              <w:pStyle w:val="Tablecontent"/>
            </w:pPr>
          </w:p>
        </w:tc>
        <w:tc>
          <w:tcPr>
            <w:tcW w:w="2075" w:type="dxa"/>
          </w:tcPr>
          <w:p w14:paraId="011C54C9" w14:textId="77777777" w:rsidR="004E6C54" w:rsidRDefault="004E6C54" w:rsidP="00281329">
            <w:pPr>
              <w:pStyle w:val="Tablecontent"/>
            </w:pPr>
            <w:r>
              <w:t>Throughput</w:t>
            </w:r>
          </w:p>
        </w:tc>
        <w:tc>
          <w:tcPr>
            <w:tcW w:w="6835" w:type="dxa"/>
            <w:vMerge/>
          </w:tcPr>
          <w:p w14:paraId="36ED658F" w14:textId="77777777" w:rsidR="004E6C54" w:rsidRDefault="004E6C54" w:rsidP="00281329">
            <w:pPr>
              <w:pStyle w:val="Tablecontent"/>
            </w:pPr>
          </w:p>
        </w:tc>
      </w:tr>
    </w:tbl>
    <w:p w14:paraId="332F41AF" w14:textId="207ED490" w:rsidR="00FF0111" w:rsidRDefault="00FF0111" w:rsidP="00FF0111">
      <w:pPr>
        <w:pStyle w:val="Heading4"/>
      </w:pPr>
      <w:r>
        <w:t>Multi-Layer Management</w:t>
      </w:r>
    </w:p>
    <w:p w14:paraId="36F7B7AF" w14:textId="77777777" w:rsidR="00FF0111" w:rsidRDefault="00FF0111" w:rsidP="00FF0111">
      <w:pPr>
        <w:rPr>
          <w:lang w:val="en-GB"/>
        </w:rPr>
      </w:pPr>
      <w:r>
        <w:rPr>
          <w:lang w:val="en-GB"/>
        </w:rPr>
        <w:t xml:space="preserve">The layers present challenge in management, as they create limitation in end to end visibility and raise different questions. They also do not have consistent terminology. </w:t>
      </w:r>
      <w:r>
        <w:t>For example, the term disk, LUN and device may mean the same thing. A device is typically physical (something you can hold, like an SSD card). LUN is typically virtual, a striping across physical devices in a volume.</w:t>
      </w:r>
    </w:p>
    <w:p w14:paraId="584E77A2" w14:textId="77777777" w:rsidR="00FF0111" w:rsidRDefault="00FF0111" w:rsidP="00FF0111">
      <w:pPr>
        <w:rPr>
          <w:lang w:val="en-GB"/>
        </w:rPr>
      </w:pPr>
      <w:r>
        <w:rPr>
          <w:lang w:val="en-GB"/>
        </w:rPr>
        <w:t xml:space="preserve">Storage metrics can be largely grouped into 2: </w:t>
      </w:r>
    </w:p>
    <w:p w14:paraId="5550717E" w14:textId="77777777" w:rsidR="00FF0111" w:rsidRPr="00A452F2" w:rsidRDefault="00FF0111" w:rsidP="00FF0111">
      <w:pPr>
        <w:pStyle w:val="BeforeTable"/>
        <w:rPr>
          <w:lang w:val="en-GB"/>
        </w:rPr>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560"/>
        <w:gridCol w:w="8930"/>
      </w:tblGrid>
      <w:tr w:rsidR="00FF0111" w:rsidRPr="00006B9C" w14:paraId="6413FDE8" w14:textId="77777777" w:rsidTr="00281329">
        <w:tc>
          <w:tcPr>
            <w:tcW w:w="1560" w:type="dxa"/>
            <w:shd w:val="clear" w:color="auto" w:fill="F2F2F2" w:themeFill="background1" w:themeFillShade="F2"/>
          </w:tcPr>
          <w:p w14:paraId="0A1EE158" w14:textId="77777777" w:rsidR="00FF0111" w:rsidRPr="005F6D26" w:rsidRDefault="00FF0111" w:rsidP="00281329">
            <w:pPr>
              <w:pStyle w:val="Tablecontent"/>
              <w:rPr>
                <w:rStyle w:val="Strong"/>
                <w:b w:val="0"/>
                <w:bCs w:val="0"/>
              </w:rPr>
            </w:pPr>
            <w:r w:rsidRPr="005F6D26">
              <w:rPr>
                <w:b/>
                <w:bCs/>
              </w:rPr>
              <w:t>Speed</w:t>
            </w:r>
          </w:p>
        </w:tc>
        <w:tc>
          <w:tcPr>
            <w:tcW w:w="8930" w:type="dxa"/>
          </w:tcPr>
          <w:p w14:paraId="5DB79607" w14:textId="77777777" w:rsidR="00FF0111" w:rsidRDefault="00FF0111" w:rsidP="00281329">
            <w:pPr>
              <w:pStyle w:val="Tablecontent"/>
              <w:rPr>
                <w:lang w:val="en-GB"/>
              </w:rPr>
            </w:pPr>
            <w:r>
              <w:rPr>
                <w:lang w:val="en-GB"/>
              </w:rPr>
              <w:t xml:space="preserve">Performance </w:t>
            </w:r>
            <w:r w:rsidRPr="005D7A30">
              <w:rPr>
                <w:lang w:val="en-GB"/>
              </w:rPr>
              <w:t>is measured in 2 ways</w:t>
            </w:r>
            <w:r>
              <w:rPr>
                <w:lang w:val="en-GB"/>
              </w:rPr>
              <w:t xml:space="preserve"> (</w:t>
            </w:r>
            <w:r w:rsidRPr="005D7A30">
              <w:rPr>
                <w:lang w:val="en-GB"/>
              </w:rPr>
              <w:t>contention and utilization</w:t>
            </w:r>
            <w:r>
              <w:rPr>
                <w:lang w:val="en-GB"/>
              </w:rPr>
              <w:t xml:space="preserve">). </w:t>
            </w:r>
          </w:p>
          <w:p w14:paraId="6703790F" w14:textId="77777777" w:rsidR="00FF0111" w:rsidRDefault="00FF0111" w:rsidP="00281329">
            <w:pPr>
              <w:pStyle w:val="Tablecontent"/>
              <w:rPr>
                <w:lang w:val="en-GB"/>
              </w:rPr>
            </w:pPr>
            <w:r>
              <w:rPr>
                <w:lang w:val="en-GB"/>
              </w:rPr>
              <w:t>U</w:t>
            </w:r>
            <w:r w:rsidRPr="005D7A30">
              <w:rPr>
                <w:lang w:val="en-GB"/>
              </w:rPr>
              <w:t xml:space="preserve">tilization </w:t>
            </w:r>
            <w:r>
              <w:rPr>
                <w:lang w:val="en-GB"/>
              </w:rPr>
              <w:t xml:space="preserve">is further divided into </w:t>
            </w:r>
            <w:r w:rsidRPr="005D7A30">
              <w:rPr>
                <w:lang w:val="en-GB"/>
              </w:rPr>
              <w:t>IOPS and Throughput. Throughput = IOPS x Block Size</w:t>
            </w:r>
            <w:r>
              <w:rPr>
                <w:lang w:val="en-GB"/>
              </w:rPr>
              <w:t>.</w:t>
            </w:r>
          </w:p>
          <w:p w14:paraId="0B483195" w14:textId="77777777" w:rsidR="00FF0111" w:rsidRDefault="00FF0111" w:rsidP="00281329">
            <w:pPr>
              <w:pStyle w:val="Tablecontent"/>
            </w:pPr>
            <w:r>
              <w:t>Contention can happen at all 3 stages of IO processing:</w:t>
            </w:r>
          </w:p>
          <w:p w14:paraId="6BA2E1A4" w14:textId="77777777" w:rsidR="00FF0111" w:rsidRDefault="00FF0111">
            <w:pPr>
              <w:pStyle w:val="Tablecontent"/>
              <w:numPr>
                <w:ilvl w:val="0"/>
                <w:numId w:val="72"/>
              </w:numPr>
            </w:pPr>
            <w:r>
              <w:t xml:space="preserve">pre-processing: each layer has their own queue or outstanding IO. </w:t>
            </w:r>
          </w:p>
          <w:p w14:paraId="62B7397A" w14:textId="77777777" w:rsidR="00FF0111" w:rsidRDefault="00FF0111">
            <w:pPr>
              <w:pStyle w:val="Tablecontent"/>
              <w:numPr>
                <w:ilvl w:val="0"/>
                <w:numId w:val="72"/>
              </w:numPr>
            </w:pPr>
            <w:r>
              <w:t xml:space="preserve">processing: </w:t>
            </w:r>
            <w:r w:rsidRPr="005D7A30">
              <w:rPr>
                <w:lang w:val="en-GB"/>
              </w:rPr>
              <w:t>aborted SCSI commands, drop</w:t>
            </w:r>
            <w:r>
              <w:rPr>
                <w:lang w:val="en-GB"/>
              </w:rPr>
              <w:t>ped</w:t>
            </w:r>
            <w:r w:rsidRPr="005D7A30">
              <w:rPr>
                <w:lang w:val="en-GB"/>
              </w:rPr>
              <w:t xml:space="preserve"> frame</w:t>
            </w:r>
            <w:r>
              <w:rPr>
                <w:lang w:val="en-GB"/>
              </w:rPr>
              <w:t>, etc.</w:t>
            </w:r>
          </w:p>
          <w:p w14:paraId="2A24E28D" w14:textId="77777777" w:rsidR="00FF0111" w:rsidRPr="00216C5D" w:rsidRDefault="00FF0111">
            <w:pPr>
              <w:pStyle w:val="Tablecontent"/>
              <w:numPr>
                <w:ilvl w:val="0"/>
                <w:numId w:val="72"/>
              </w:numPr>
            </w:pPr>
            <w:r>
              <w:lastRenderedPageBreak/>
              <w:t>post-processing: latency.</w:t>
            </w:r>
          </w:p>
        </w:tc>
      </w:tr>
      <w:tr w:rsidR="00FF0111" w:rsidRPr="00006B9C" w14:paraId="642A2714" w14:textId="77777777" w:rsidTr="00281329">
        <w:tc>
          <w:tcPr>
            <w:tcW w:w="1560" w:type="dxa"/>
            <w:shd w:val="clear" w:color="auto" w:fill="F2F2F2" w:themeFill="background1" w:themeFillShade="F2"/>
          </w:tcPr>
          <w:p w14:paraId="6E00A072" w14:textId="77777777" w:rsidR="00FF0111" w:rsidRPr="005F6D26" w:rsidRDefault="00FF0111" w:rsidP="00281329">
            <w:pPr>
              <w:pStyle w:val="Tablecontent"/>
              <w:rPr>
                <w:b/>
                <w:bCs/>
              </w:rPr>
            </w:pPr>
            <w:r w:rsidRPr="005F6D26">
              <w:rPr>
                <w:b/>
                <w:bCs/>
              </w:rPr>
              <w:lastRenderedPageBreak/>
              <w:t>Space</w:t>
            </w:r>
          </w:p>
        </w:tc>
        <w:tc>
          <w:tcPr>
            <w:tcW w:w="8930" w:type="dxa"/>
          </w:tcPr>
          <w:p w14:paraId="29181639" w14:textId="77777777" w:rsidR="00FF0111" w:rsidRDefault="00FF0111" w:rsidP="00281329">
            <w:pPr>
              <w:pStyle w:val="Tablecontent"/>
            </w:pPr>
            <w:r>
              <w:t>Capacity has no concept of slowness in modern, SSD based storage as access to data is no longer relying on spinning platter. 1% disk space full is not slower/faster than 99% full as defragmentation is no longer causing latency. However, it impacts availability. At 100% full, the storage will stop processing IO and your application will crash as a result.</w:t>
            </w:r>
          </w:p>
          <w:p w14:paraId="1C195643" w14:textId="77777777" w:rsidR="00FF0111" w:rsidRDefault="00FF0111" w:rsidP="00281329">
            <w:pPr>
              <w:pStyle w:val="Tablecontent"/>
            </w:pPr>
            <w:r>
              <w:t xml:space="preserve">Capacity, as in disk space, is </w:t>
            </w:r>
            <w:r w:rsidRPr="005D7A30">
              <w:t xml:space="preserve">measured in </w:t>
            </w:r>
            <w:r>
              <w:t xml:space="preserve">bytes. </w:t>
            </w:r>
          </w:p>
          <w:p w14:paraId="130EFBBE" w14:textId="77777777" w:rsidR="00FF0111" w:rsidRDefault="00FF0111" w:rsidP="00281329">
            <w:pPr>
              <w:pStyle w:val="Tablecontent"/>
            </w:pPr>
            <w:r>
              <w:t>Storage differs to compute as reality overwrites projection. In compute, you use a projected capacity remaining number, which takes into account the past. In storage, if you have 0 bytes left, the number overwrites whatever number shown by capacity engine.</w:t>
            </w:r>
          </w:p>
          <w:p w14:paraId="40DC72BA" w14:textId="77777777" w:rsidR="00FF0111" w:rsidRPr="001767C7" w:rsidRDefault="00FF0111" w:rsidP="00281329">
            <w:pPr>
              <w:pStyle w:val="Tablecontent"/>
            </w:pPr>
            <w:r>
              <w:rPr>
                <w:lang w:val="en-GB"/>
              </w:rPr>
              <w:t>You should also focus on reclamation as the amount tends to be substantial.</w:t>
            </w:r>
          </w:p>
        </w:tc>
      </w:tr>
    </w:tbl>
    <w:p w14:paraId="2AE023F6" w14:textId="77777777" w:rsidR="00FF0111" w:rsidRDefault="00FF0111" w:rsidP="00FF0111">
      <w:pPr>
        <w:pStyle w:val="Heading5"/>
      </w:pPr>
      <w:r>
        <w:t xml:space="preserve">Performance </w:t>
      </w:r>
    </w:p>
    <w:p w14:paraId="73D04E95" w14:textId="77777777" w:rsidR="00FF0111" w:rsidRDefault="00FF0111" w:rsidP="00FF0111">
      <w:pPr>
        <w:rPr>
          <w:lang w:val="en-GB"/>
        </w:rPr>
      </w:pPr>
      <w:r w:rsidRPr="00A452F2">
        <w:rPr>
          <w:lang w:val="en-GB"/>
        </w:rPr>
        <w:t>Latency can happen when IOPS and throughput are not high</w:t>
      </w:r>
      <w:r>
        <w:rPr>
          <w:lang w:val="en-GB"/>
        </w:rPr>
        <w:t>, because there are multiple stacks involved and each stack has their own queue. It begins with a process, such as a database, issuing IO request. This gets processed by Windows or Linux storage subsystem, and then send to the VM storage driver.</w:t>
      </w:r>
    </w:p>
    <w:p w14:paraId="1963AF81" w14:textId="77777777" w:rsidR="00FF0111" w:rsidRPr="00087097" w:rsidRDefault="00FF0111" w:rsidP="00FF0111">
      <w:pPr>
        <w:rPr>
          <w:lang w:val="en-GB"/>
        </w:rPr>
      </w:pPr>
      <w:r>
        <w:rPr>
          <w:lang w:val="en-GB"/>
        </w:rPr>
        <w:t>E</w:t>
      </w:r>
      <w:r w:rsidRPr="00087097">
        <w:rPr>
          <w:lang w:val="en-GB"/>
        </w:rPr>
        <w:t>nsure that you do not have packet</w:t>
      </w:r>
      <w:r>
        <w:rPr>
          <w:lang w:val="en-GB"/>
        </w:rPr>
        <w:t xml:space="preserve"> loss</w:t>
      </w:r>
      <w:r w:rsidRPr="00087097">
        <w:rPr>
          <w:lang w:val="en-GB"/>
        </w:rPr>
        <w:t xml:space="preserve"> for your IP Storage, </w:t>
      </w:r>
      <w:r>
        <w:rPr>
          <w:lang w:val="en-GB"/>
        </w:rPr>
        <w:t xml:space="preserve">dropped FC frames for FC protocol, </w:t>
      </w:r>
      <w:r w:rsidRPr="00087097">
        <w:rPr>
          <w:lang w:val="en-GB"/>
        </w:rPr>
        <w:t xml:space="preserve">or SCSI commands aborted for your block storage. They are a sign of contention as the datastore (VMFS or NFS) is shared. The </w:t>
      </w:r>
      <w:r>
        <w:rPr>
          <w:lang w:val="en-GB"/>
        </w:rPr>
        <w:t>metrics</w:t>
      </w:r>
      <w:r w:rsidRPr="00087097">
        <w:rPr>
          <w:lang w:val="en-GB"/>
        </w:rPr>
        <w:t xml:space="preserve"> Bus Resets and Commands Aborted should be 0 all the time. As a result, it should be fine to track them at higher level objects. Create a super metric that tracks the maximum or summation of both, and you should expect a flat line. </w:t>
      </w:r>
    </w:p>
    <w:p w14:paraId="2050A7A1" w14:textId="77777777" w:rsidR="00FF0111" w:rsidRDefault="00FF0111" w:rsidP="00FF0111">
      <w:pPr>
        <w:rPr>
          <w:lang w:val="en-GB"/>
        </w:rPr>
      </w:pPr>
      <w:r w:rsidRPr="4CAB3972">
        <w:rPr>
          <w:lang w:val="en-GB"/>
        </w:rPr>
        <w:t>Once you have ensured that you do not have packet</w:t>
      </w:r>
      <w:r>
        <w:rPr>
          <w:lang w:val="en-GB"/>
        </w:rPr>
        <w:t xml:space="preserve"> loss</w:t>
      </w:r>
      <w:r w:rsidRPr="4CAB3972">
        <w:rPr>
          <w:lang w:val="en-GB"/>
        </w:rPr>
        <w:t xml:space="preserve"> on IP Storage or aborted commands on block storage, use the latency counter </w:t>
      </w:r>
      <w:r>
        <w:rPr>
          <w:lang w:val="en-GB"/>
        </w:rPr>
        <w:t xml:space="preserve">and outstanding IO </w:t>
      </w:r>
      <w:r w:rsidRPr="4CAB3972">
        <w:rPr>
          <w:lang w:val="en-GB"/>
        </w:rPr>
        <w:t xml:space="preserve">for </w:t>
      </w:r>
      <w:r>
        <w:rPr>
          <w:lang w:val="en-GB"/>
        </w:rPr>
        <w:t>monitoring</w:t>
      </w:r>
      <w:r w:rsidRPr="4CAB3972">
        <w:rPr>
          <w:lang w:val="en-GB"/>
        </w:rPr>
        <w:t xml:space="preserve">. </w:t>
      </w:r>
      <w:r>
        <w:rPr>
          <w:lang w:val="en-GB"/>
        </w:rPr>
        <w:t xml:space="preserve">For troubleshooting, you will need to check both </w:t>
      </w:r>
      <w:r w:rsidRPr="4CAB3972">
        <w:rPr>
          <w:lang w:val="en-GB"/>
        </w:rPr>
        <w:t>read latency and write latency</w:t>
      </w:r>
      <w:r>
        <w:rPr>
          <w:lang w:val="en-GB"/>
        </w:rPr>
        <w:t>, as they tend to have different patterns and value. It’s common to only have read or write issue, and not both.</w:t>
      </w:r>
    </w:p>
    <w:p w14:paraId="513B9511" w14:textId="77777777" w:rsidR="00FF0111" w:rsidRDefault="00FF0111" w:rsidP="00FF0111">
      <w:pPr>
        <w:rPr>
          <w:lang w:val="en-GB"/>
        </w:rPr>
      </w:pPr>
      <w:r w:rsidRPr="00087097">
        <w:rPr>
          <w:lang w:val="en-GB"/>
        </w:rPr>
        <w:t xml:space="preserve">Total Latency is not </w:t>
      </w:r>
      <w:r>
        <w:rPr>
          <w:lang w:val="en-GB"/>
        </w:rPr>
        <w:t>(</w:t>
      </w:r>
      <w:r w:rsidRPr="00087097">
        <w:rPr>
          <w:lang w:val="en-GB"/>
        </w:rPr>
        <w:t>Read Latency + Write Latency</w:t>
      </w:r>
      <w:r>
        <w:rPr>
          <w:lang w:val="en-GB"/>
        </w:rPr>
        <w:t>) / 2. I</w:t>
      </w:r>
      <w:r w:rsidRPr="00087097">
        <w:rPr>
          <w:lang w:val="en-GB"/>
        </w:rPr>
        <w:t>t is not a simple summation. In a given second, a VM issues many IOPS. For example, the VM issues 100 reads and 10 writes in a second. Each of these 110 commands will have their own latency. The “</w:t>
      </w:r>
      <w:r w:rsidRPr="00216C5D">
        <w:rPr>
          <w:color w:val="00B0F0"/>
          <w:lang w:val="en-GB"/>
        </w:rPr>
        <w:t>total</w:t>
      </w:r>
      <w:r w:rsidRPr="00087097">
        <w:rPr>
          <w:lang w:val="en-GB"/>
        </w:rPr>
        <w:t xml:space="preserve">” latency is the average of these 110 commands. In this example, the total latency will be more influenced by the read latency, as the workload is read dominated. </w:t>
      </w:r>
    </w:p>
    <w:p w14:paraId="75D29540" w14:textId="77777777" w:rsidR="00FF0111" w:rsidRPr="00087097" w:rsidRDefault="00FF0111" w:rsidP="00FF0111">
      <w:pPr>
        <w:rPr>
          <w:lang w:val="en-GB"/>
        </w:rPr>
      </w:pPr>
      <w:r w:rsidRPr="00087097">
        <w:rPr>
          <w:lang w:val="en-GB"/>
        </w:rPr>
        <w:t xml:space="preserve">If you are using IP storage, take note that Read and Write do not map 1:1 to Transmit (Tx) and Receive (Rx) in Networking </w:t>
      </w:r>
      <w:r>
        <w:rPr>
          <w:lang w:val="en-GB"/>
        </w:rPr>
        <w:t>metrics</w:t>
      </w:r>
      <w:r w:rsidRPr="00087097">
        <w:rPr>
          <w:lang w:val="en-GB"/>
        </w:rPr>
        <w:t>. Read and Write are both mapped to Transmit counter as the ESXi host is issuing commands, hence transmitting the packets</w:t>
      </w:r>
      <w:r>
        <w:rPr>
          <w:lang w:val="en-GB"/>
        </w:rPr>
        <w:t>.</w:t>
      </w:r>
    </w:p>
    <w:p w14:paraId="66385193" w14:textId="77777777" w:rsidR="00FF0111" w:rsidRDefault="00FF0111" w:rsidP="00FF0111">
      <w:pPr>
        <w:pStyle w:val="Heading4"/>
      </w:pPr>
      <w:r>
        <w:lastRenderedPageBreak/>
        <w:t>VM Layer</w:t>
      </w:r>
    </w:p>
    <w:p w14:paraId="199E592F" w14:textId="77777777" w:rsidR="00FF0111" w:rsidRPr="00A452F2" w:rsidRDefault="00FF0111" w:rsidP="00FF0111">
      <w:pPr>
        <w:rPr>
          <w:lang w:val="en-GB"/>
        </w:rPr>
      </w:pPr>
      <w:r w:rsidRPr="00A452F2">
        <w:rPr>
          <w:lang w:val="en-GB"/>
        </w:rPr>
        <w:t>A VM does not see the underlying shared storage. It sees local SCSI disks only. So regardless of whether the underlying storage is NFS, VMFS, VSAN or RDM, it sees all of them as virtual disks. You lose visibility in the physical adapter (for example, you cannot tell how many IOPSs on vmhba2 are coming from a particular VM) and physical paths (for example, how many disk commands travelling on that path are coming from a particular VM).</w:t>
      </w:r>
    </w:p>
    <w:p w14:paraId="6AD01F50" w14:textId="77777777" w:rsidR="00FF0111" w:rsidRPr="00A452F2" w:rsidRDefault="00FF0111" w:rsidP="00FF0111">
      <w:pPr>
        <w:jc w:val="center"/>
        <w:rPr>
          <w:lang w:val="en-GB"/>
        </w:rPr>
      </w:pPr>
      <w:r>
        <w:rPr>
          <w:noProof/>
        </w:rPr>
        <w:drawing>
          <wp:inline distT="0" distB="0" distL="0" distR="0" wp14:anchorId="2F7D9CD9" wp14:editId="00F7061B">
            <wp:extent cx="4826002" cy="2444750"/>
            <wp:effectExtent l="0" t="0" r="0" b="0"/>
            <wp:docPr id="606394130" name="Picture 60639413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30" name="Picture 606394130" descr="Diagram&#10;&#10;Description automatically generated"/>
                    <pic:cNvPicPr/>
                  </pic:nvPicPr>
                  <pic:blipFill>
                    <a:blip r:embed="rId311">
                      <a:extLst>
                        <a:ext uri="{28A0092B-C50C-407E-A947-70E740481C1C}">
                          <a14:useLocalDpi xmlns:a14="http://schemas.microsoft.com/office/drawing/2010/main" val="0"/>
                        </a:ext>
                      </a:extLst>
                    </a:blip>
                    <a:stretch>
                      <a:fillRect/>
                    </a:stretch>
                  </pic:blipFill>
                  <pic:spPr>
                    <a:xfrm>
                      <a:off x="0" y="0"/>
                      <a:ext cx="4826002" cy="2444750"/>
                    </a:xfrm>
                    <a:prstGeom prst="rect">
                      <a:avLst/>
                    </a:prstGeom>
                  </pic:spPr>
                </pic:pic>
              </a:graphicData>
            </a:graphic>
          </wp:inline>
        </w:drawing>
      </w:r>
    </w:p>
    <w:p w14:paraId="4D4E2597" w14:textId="6F7B1157" w:rsidR="00FF0111" w:rsidRPr="00A452F2" w:rsidRDefault="00FF0111" w:rsidP="00FF0111">
      <w:pPr>
        <w:rPr>
          <w:lang w:val="en-GB"/>
        </w:rPr>
      </w:pPr>
      <w:r w:rsidRPr="00A452F2">
        <w:rPr>
          <w:lang w:val="en-GB"/>
        </w:rPr>
        <w:t xml:space="preserve">VM </w:t>
      </w:r>
      <w:r w:rsidR="00B616CC">
        <w:rPr>
          <w:lang w:val="en-GB"/>
        </w:rPr>
        <w:t xml:space="preserve">can </w:t>
      </w:r>
      <w:r w:rsidRPr="00A452F2">
        <w:rPr>
          <w:lang w:val="en-GB"/>
        </w:rPr>
        <w:t>consume storage</w:t>
      </w:r>
      <w:r w:rsidR="00604F99">
        <w:rPr>
          <w:lang w:val="en-GB"/>
        </w:rPr>
        <w:t xml:space="preserve"> via:</w:t>
      </w:r>
    </w:p>
    <w:p w14:paraId="4A04F07D" w14:textId="6ED76550" w:rsidR="00FF0111" w:rsidRPr="00101777" w:rsidRDefault="00FF0111" w:rsidP="00281329">
      <w:pPr>
        <w:pStyle w:val="Bullet"/>
        <w:rPr>
          <w:lang w:val="en-GB"/>
        </w:rPr>
      </w:pPr>
      <w:r w:rsidRPr="00101777">
        <w:rPr>
          <w:lang w:val="en-GB"/>
        </w:rPr>
        <w:t xml:space="preserve">Virtual disk. </w:t>
      </w:r>
      <w:r w:rsidR="00B616CC" w:rsidRPr="00101777">
        <w:rPr>
          <w:lang w:val="en-GB"/>
        </w:rPr>
        <w:br/>
      </w:r>
      <w:r w:rsidR="00101777" w:rsidRPr="00101777">
        <w:rPr>
          <w:lang w:val="en-GB"/>
        </w:rPr>
        <w:t xml:space="preserve">Each virtual disk has label, type (RDM or VMDK), provisioning type (thin, lazy zero, eager zero). If it’s RDM, need to know additional properties such as RDM type (physical or virtual). </w:t>
      </w:r>
    </w:p>
    <w:p w14:paraId="7B1C7EA1" w14:textId="0CC7E661" w:rsidR="00FF0111" w:rsidRDefault="00B616CC" w:rsidP="00FF0111">
      <w:pPr>
        <w:pStyle w:val="Bullet"/>
        <w:rPr>
          <w:lang w:val="en-GB"/>
        </w:rPr>
      </w:pPr>
      <w:r>
        <w:rPr>
          <w:lang w:val="en-GB"/>
        </w:rPr>
        <w:t>Compute v</w:t>
      </w:r>
      <w:r w:rsidR="00FF0111">
        <w:rPr>
          <w:lang w:val="en-GB"/>
        </w:rPr>
        <w:t xml:space="preserve">irtualization. </w:t>
      </w:r>
      <w:r w:rsidR="00101777" w:rsidRPr="009343AD">
        <w:t>Snapshots, Swapped, Logs.</w:t>
      </w:r>
      <w:r w:rsidR="00101777">
        <w:t xml:space="preserve"> Guest OS can’t see them.</w:t>
      </w:r>
      <w:r w:rsidR="00FF0111">
        <w:rPr>
          <w:lang w:val="en-GB"/>
        </w:rPr>
        <w:t>This can be overhead and non-overhead. This is not visible to the Guest OS. They are shown in blue in the following diagram.</w:t>
      </w:r>
    </w:p>
    <w:p w14:paraId="2B6B620E" w14:textId="34B68415" w:rsidR="00B616CC" w:rsidRPr="00A452F2" w:rsidRDefault="00B616CC" w:rsidP="00FF0111">
      <w:pPr>
        <w:pStyle w:val="Bullet"/>
        <w:rPr>
          <w:lang w:val="en-GB"/>
        </w:rPr>
      </w:pPr>
      <w:r>
        <w:t>Storage virtualization. This includes vSAN protection, deduplication and decompression. We need this number to reported separately as it’s not applicable in non vSAN.</w:t>
      </w:r>
    </w:p>
    <w:p w14:paraId="0F32F30F" w14:textId="77777777" w:rsidR="00FF0111" w:rsidRPr="00A452F2" w:rsidRDefault="00FF0111" w:rsidP="00FF0111">
      <w:pPr>
        <w:jc w:val="center"/>
        <w:rPr>
          <w:lang w:val="en-GB"/>
        </w:rPr>
      </w:pPr>
      <w:r>
        <w:rPr>
          <w:noProof/>
        </w:rPr>
        <w:drawing>
          <wp:inline distT="0" distB="0" distL="0" distR="0" wp14:anchorId="1FB1E20C" wp14:editId="0639AE98">
            <wp:extent cx="3868616" cy="2605900"/>
            <wp:effectExtent l="0" t="0" r="0" b="4445"/>
            <wp:docPr id="57" name="Picture 57"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picture containing timeline&#10;&#10;Description automatically generated"/>
                    <pic:cNvPicPr/>
                  </pic:nvPicPr>
                  <pic:blipFill>
                    <a:blip r:embed="rId312">
                      <a:extLst>
                        <a:ext uri="{28A0092B-C50C-407E-A947-70E740481C1C}">
                          <a14:useLocalDpi xmlns:a14="http://schemas.microsoft.com/office/drawing/2010/main" val="0"/>
                        </a:ext>
                      </a:extLst>
                    </a:blip>
                    <a:stretch>
                      <a:fillRect/>
                    </a:stretch>
                  </pic:blipFill>
                  <pic:spPr>
                    <a:xfrm>
                      <a:off x="0" y="0"/>
                      <a:ext cx="3868616" cy="2605900"/>
                    </a:xfrm>
                    <a:prstGeom prst="rect">
                      <a:avLst/>
                    </a:prstGeom>
                  </pic:spPr>
                </pic:pic>
              </a:graphicData>
            </a:graphic>
          </wp:inline>
        </w:drawing>
      </w:r>
    </w:p>
    <w:p w14:paraId="11FBDF3C" w14:textId="664C9F19" w:rsidR="00B616CC" w:rsidRDefault="00FF0111" w:rsidP="00FF0111">
      <w:pPr>
        <w:rPr>
          <w:lang w:val="en-GB"/>
        </w:rPr>
      </w:pPr>
      <w:r w:rsidRPr="00A452F2">
        <w:rPr>
          <w:lang w:val="en-GB"/>
        </w:rPr>
        <w:t xml:space="preserve">There are more file types than shown above. However, from monitoring and troubleshooting viewpoint, the above is </w:t>
      </w:r>
      <w:r>
        <w:rPr>
          <w:lang w:val="en-GB"/>
        </w:rPr>
        <w:t>sufficient</w:t>
      </w:r>
      <w:r w:rsidRPr="00A452F2">
        <w:rPr>
          <w:lang w:val="en-GB"/>
        </w:rPr>
        <w:t>.</w:t>
      </w:r>
    </w:p>
    <w:p w14:paraId="4752CBC5" w14:textId="5EA695F8" w:rsidR="000D557A" w:rsidRDefault="000D557A" w:rsidP="0038024F">
      <w:pPr>
        <w:pStyle w:val="Heading5"/>
      </w:pPr>
      <w:r>
        <w:lastRenderedPageBreak/>
        <w:t>Files</w:t>
      </w:r>
    </w:p>
    <w:p w14:paraId="47C1D0C6" w14:textId="48F58C45" w:rsidR="000D557A" w:rsidRPr="00EC75CA" w:rsidRDefault="000D557A" w:rsidP="000D557A">
      <w:pPr>
        <w:rPr>
          <w:lang w:val="en-GB"/>
        </w:rPr>
      </w:pPr>
      <w:r>
        <w:rPr>
          <w:lang w:val="en-GB"/>
        </w:rPr>
        <w:t>At the end of the day, all those disk space appear as files in the VMFS filesystem. You can see them when you browse the datastore. The following is a typical example</w:t>
      </w:r>
      <w:r w:rsidR="002C4037">
        <w:rPr>
          <w:lang w:val="en-GB"/>
        </w:rPr>
        <w:t xml:space="preserve"> of what vSphere Client will show</w:t>
      </w:r>
      <w:r>
        <w:rPr>
          <w:lang w:val="en-GB"/>
        </w:rPr>
        <w:t>.</w:t>
      </w:r>
    </w:p>
    <w:p w14:paraId="71732A39" w14:textId="77777777" w:rsidR="000D557A" w:rsidRPr="00A17F6A" w:rsidRDefault="000D557A" w:rsidP="000D557A">
      <w:pPr>
        <w:rPr>
          <w:lang w:val="en-GB"/>
        </w:rPr>
      </w:pPr>
      <w:r w:rsidRPr="00A17F6A">
        <w:rPr>
          <w:noProof/>
          <w:lang w:val="en-GB"/>
        </w:rPr>
        <w:drawing>
          <wp:inline distT="0" distB="0" distL="0" distR="0" wp14:anchorId="1CBF89F8" wp14:editId="7B1CB97F">
            <wp:extent cx="6645910" cy="3836670"/>
            <wp:effectExtent l="0" t="0" r="2540" b="0"/>
            <wp:docPr id="1525330300" name="Picture 152533030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300" name="Picture 1525330300" descr="Table&#10;&#10;Description automatically generated"/>
                    <pic:cNvPicPr/>
                  </pic:nvPicPr>
                  <pic:blipFill>
                    <a:blip r:embed="rId313"/>
                    <a:stretch>
                      <a:fillRect/>
                    </a:stretch>
                  </pic:blipFill>
                  <pic:spPr>
                    <a:xfrm>
                      <a:off x="0" y="0"/>
                      <a:ext cx="6645910" cy="3836670"/>
                    </a:xfrm>
                    <a:prstGeom prst="rect">
                      <a:avLst/>
                    </a:prstGeom>
                  </pic:spPr>
                </pic:pic>
              </a:graphicData>
            </a:graphic>
          </wp:inline>
        </w:drawing>
      </w:r>
    </w:p>
    <w:p w14:paraId="6A27C2CB" w14:textId="77777777" w:rsidR="000D557A" w:rsidRDefault="000D557A" w:rsidP="000D557A">
      <w:pPr>
        <w:rPr>
          <w:lang w:val="en-GB"/>
        </w:rPr>
      </w:pPr>
      <w:r>
        <w:rPr>
          <w:lang w:val="en-GB"/>
        </w:rPr>
        <w:t xml:space="preserve">Yes, a lot of files </w:t>
      </w:r>
      <w:r w:rsidRPr="00D83EDA">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r>
        <w:rPr>
          <w:lang w:val="en-GB"/>
        </w:rPr>
        <w:t xml:space="preserve"> </w:t>
      </w:r>
    </w:p>
    <w:p w14:paraId="1268C9C7" w14:textId="77777777" w:rsidR="000D557A" w:rsidRDefault="000D557A" w:rsidP="000D557A">
      <w:pPr>
        <w:rPr>
          <w:lang w:val="en-GB"/>
        </w:rPr>
      </w:pPr>
      <w:r>
        <w:rPr>
          <w:lang w:val="en-GB"/>
        </w:rPr>
        <w:t>We can categorize them into 4 from operations viewpoint:</w:t>
      </w:r>
    </w:p>
    <w:p w14:paraId="59119D93" w14:textId="77777777" w:rsidR="000D557A" w:rsidRDefault="000D557A" w:rsidP="000D557A">
      <w:pPr>
        <w:pStyle w:val="BeforeTable"/>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418"/>
        <w:gridCol w:w="9038"/>
      </w:tblGrid>
      <w:tr w:rsidR="000D557A" w14:paraId="60FB0C40" w14:textId="77777777" w:rsidTr="00281329">
        <w:tc>
          <w:tcPr>
            <w:tcW w:w="1418" w:type="dxa"/>
            <w:shd w:val="clear" w:color="auto" w:fill="F2F2F2" w:themeFill="background1" w:themeFillShade="F2"/>
          </w:tcPr>
          <w:p w14:paraId="13D6F8C8" w14:textId="77777777" w:rsidR="000D557A" w:rsidRDefault="000D557A" w:rsidP="00281329">
            <w:pPr>
              <w:pStyle w:val="Tablecontent"/>
              <w:rPr>
                <w:b/>
                <w:bCs/>
              </w:rPr>
            </w:pPr>
            <w:r>
              <w:rPr>
                <w:b/>
                <w:bCs/>
              </w:rPr>
              <w:t>Disk</w:t>
            </w:r>
          </w:p>
        </w:tc>
        <w:tc>
          <w:tcPr>
            <w:tcW w:w="9038" w:type="dxa"/>
          </w:tcPr>
          <w:p w14:paraId="3912C51B" w14:textId="77777777" w:rsidR="000D557A" w:rsidRDefault="000D557A" w:rsidP="00281329">
            <w:pPr>
              <w:pStyle w:val="Tablecontent"/>
            </w:pPr>
            <w:r>
              <w:t>Virtual disk or RDM. This is typically the largest component. This can be thin provisioned, in which case the provisioned size tends to be larger than the actual consumption as Guest filesystem typically does not fill 100%.</w:t>
            </w:r>
          </w:p>
          <w:p w14:paraId="20207C58" w14:textId="77777777" w:rsidR="000D557A" w:rsidRPr="00A57942" w:rsidRDefault="000D557A" w:rsidP="00281329">
            <w:pPr>
              <w:pStyle w:val="Tablecontent"/>
            </w:pPr>
            <w:r w:rsidRPr="00A57942">
              <w:t>All virtual disks are made up of two files, a large data file equal to the size of the virtual disk and a small text disk descriptor file which describes the size and geometry of the virtual disk file.</w:t>
            </w:r>
          </w:p>
          <w:p w14:paraId="194F0627" w14:textId="77777777" w:rsidR="000D557A" w:rsidRDefault="000D557A" w:rsidP="00281329">
            <w:pPr>
              <w:pStyle w:val="Tablecontent"/>
              <w:rPr>
                <w:rFonts w:eastAsiaTheme="minorHAnsi"/>
                <w:lang w:val="en-SG" w:eastAsia="en-GB"/>
              </w:rPr>
            </w:pPr>
            <w:r w:rsidRPr="00A57942">
              <w:rPr>
                <w:rFonts w:eastAsiaTheme="minorHAnsi"/>
                <w:lang w:val="en-SG" w:eastAsia="en-GB"/>
              </w:rPr>
              <w:t xml:space="preserve">The descriptor file also contains a pointer to the large data file as well as information on the virtual disks drive sectors, heads, cylinders and disk adapter type. In most cases these files will have the same name as the data file that it is associated with (i.e. </w:t>
            </w:r>
            <w:r>
              <w:rPr>
                <w:rFonts w:eastAsiaTheme="minorHAnsi"/>
                <w:lang w:val="en-SG" w:eastAsia="en-GB"/>
              </w:rPr>
              <w:t>MyVM</w:t>
            </w:r>
            <w:r w:rsidRPr="00A57942">
              <w:rPr>
                <w:rFonts w:eastAsiaTheme="minorHAnsi"/>
                <w:lang w:val="en-SG" w:eastAsia="en-GB"/>
              </w:rPr>
              <w:t xml:space="preserve">1.vmdk and </w:t>
            </w:r>
            <w:r>
              <w:rPr>
                <w:rFonts w:eastAsiaTheme="minorHAnsi"/>
                <w:lang w:val="en-SG" w:eastAsia="en-GB"/>
              </w:rPr>
              <w:t>MyVM</w:t>
            </w:r>
            <w:r w:rsidRPr="00A57942">
              <w:rPr>
                <w:rFonts w:eastAsiaTheme="minorHAnsi"/>
                <w:lang w:val="en-SG" w:eastAsia="en-GB"/>
              </w:rPr>
              <w:t>1-flat.vmdk).</w:t>
            </w:r>
          </w:p>
          <w:p w14:paraId="07ABB2E7" w14:textId="77777777" w:rsidR="000D557A" w:rsidRPr="009D2BDF" w:rsidRDefault="000D557A" w:rsidP="00281329">
            <w:pPr>
              <w:pStyle w:val="Tablecontent"/>
              <w:rPr>
                <w:rFonts w:eastAsiaTheme="minorHAnsi"/>
                <w:lang w:val="en-GB" w:eastAsia="en-GB"/>
              </w:rPr>
            </w:pPr>
            <w:r w:rsidRPr="009D2BDF">
              <w:rPr>
                <w:rFonts w:eastAsiaTheme="minorHAnsi"/>
                <w:lang w:val="en-GB" w:eastAsia="en-GB"/>
              </w:rPr>
              <w:t>A VM can have up to 64 disks from multiple datastores.</w:t>
            </w:r>
          </w:p>
        </w:tc>
      </w:tr>
      <w:tr w:rsidR="000D557A" w14:paraId="1DAA1056" w14:textId="77777777" w:rsidTr="00281329">
        <w:tc>
          <w:tcPr>
            <w:tcW w:w="1418" w:type="dxa"/>
            <w:shd w:val="clear" w:color="auto" w:fill="F2F2F2" w:themeFill="background1" w:themeFillShade="F2"/>
          </w:tcPr>
          <w:p w14:paraId="1A11E644" w14:textId="77777777" w:rsidR="000D557A" w:rsidRDefault="000D557A" w:rsidP="00281329">
            <w:pPr>
              <w:pStyle w:val="Tablecontent"/>
              <w:rPr>
                <w:b/>
                <w:bCs/>
              </w:rPr>
            </w:pPr>
            <w:r>
              <w:rPr>
                <w:b/>
                <w:bCs/>
              </w:rPr>
              <w:t>Snapshot</w:t>
            </w:r>
          </w:p>
        </w:tc>
        <w:tc>
          <w:tcPr>
            <w:tcW w:w="9038" w:type="dxa"/>
          </w:tcPr>
          <w:p w14:paraId="3BBB9193" w14:textId="77777777" w:rsidR="000D557A" w:rsidRDefault="000D557A" w:rsidP="00281329">
            <w:pPr>
              <w:pStyle w:val="Tablecontent"/>
            </w:pPr>
            <w:r>
              <w:t xml:space="preserve">Snapshot protects 3 things: </w:t>
            </w:r>
          </w:p>
          <w:p w14:paraId="25CC8A32" w14:textId="77777777" w:rsidR="000D557A" w:rsidRDefault="000D557A" w:rsidP="00281329">
            <w:pPr>
              <w:pStyle w:val="Bullet"/>
            </w:pPr>
            <w:r>
              <w:t>VMDK</w:t>
            </w:r>
          </w:p>
          <w:p w14:paraId="32DE792E" w14:textId="77777777" w:rsidR="000D557A" w:rsidRDefault="000D557A" w:rsidP="00281329">
            <w:pPr>
              <w:pStyle w:val="Bullet"/>
            </w:pPr>
            <w:r>
              <w:t>Memory</w:t>
            </w:r>
          </w:p>
          <w:p w14:paraId="1BDBAB76" w14:textId="77777777" w:rsidR="000D557A" w:rsidRDefault="000D557A" w:rsidP="00281329">
            <w:pPr>
              <w:pStyle w:val="Bullet"/>
            </w:pPr>
            <w:r>
              <w:t>Configuration</w:t>
            </w:r>
          </w:p>
          <w:p w14:paraId="554D87DC" w14:textId="77777777" w:rsidR="000D557A" w:rsidRDefault="000D557A" w:rsidP="00281329">
            <w:pPr>
              <w:pStyle w:val="Tablecontent"/>
            </w:pPr>
            <w:r>
              <w:t xml:space="preserve">For VMDK, the snapshot filename uses the syntax </w:t>
            </w:r>
            <w:r w:rsidRPr="00FE7FF7">
              <w:rPr>
                <w:b/>
                <w:bCs/>
                <w:color w:val="00B0F0"/>
              </w:rPr>
              <w:t>MyVM-000001.vmdk</w:t>
            </w:r>
            <w:r>
              <w:t xml:space="preserve"> where </w:t>
            </w:r>
            <w:r w:rsidRPr="00FE7FF7">
              <w:rPr>
                <w:rStyle w:val="keyword"/>
                <w:color w:val="00B0F0"/>
              </w:rPr>
              <w:t>MyVM</w:t>
            </w:r>
            <w:r w:rsidRPr="00FE7FF7">
              <w:rPr>
                <w:color w:val="00B0F0"/>
              </w:rPr>
              <w:t xml:space="preserve"> </w:t>
            </w:r>
            <w:r>
              <w:t xml:space="preserve">is the name of the VM and the six-digit number </w:t>
            </w:r>
            <w:r w:rsidRPr="00FE7FF7">
              <w:rPr>
                <w:rStyle w:val="keyword"/>
                <w:color w:val="00B0F0"/>
              </w:rPr>
              <w:t>000001</w:t>
            </w:r>
            <w:r>
              <w:t xml:space="preserve"> is just a sequential number. There is 1 file for each VMDK.</w:t>
            </w:r>
          </w:p>
          <w:p w14:paraId="1A61F364" w14:textId="77777777" w:rsidR="000D557A" w:rsidRDefault="000D557A" w:rsidP="00281329">
            <w:pPr>
              <w:pStyle w:val="Tablecontent"/>
            </w:pPr>
            <w:r>
              <w:rPr>
                <w:lang w:val="en-SG"/>
              </w:rPr>
              <w:lastRenderedPageBreak/>
              <w:t>Snapshot does not apply to RDM. You do that at storage subsystem instead, transparent to ESXi.</w:t>
            </w:r>
          </w:p>
          <w:p w14:paraId="3AC30F75" w14:textId="77777777" w:rsidR="000D557A" w:rsidRDefault="000D557A" w:rsidP="00281329">
            <w:pPr>
              <w:pStyle w:val="Tablecontent"/>
            </w:pPr>
            <w:r>
              <w:t xml:space="preserve">If you take snapshot with memory, it creates a </w:t>
            </w:r>
            <w:r w:rsidRPr="000D4002">
              <w:rPr>
                <w:b/>
                <w:bCs/>
                <w:color w:val="00B0F0"/>
              </w:rPr>
              <w:t>.vme</w:t>
            </w:r>
            <w:r>
              <w:rPr>
                <w:b/>
                <w:bCs/>
                <w:color w:val="00B0F0"/>
              </w:rPr>
              <w:t>m</w:t>
            </w:r>
            <w:r>
              <w:t xml:space="preserve"> file to store the actual image.</w:t>
            </w:r>
          </w:p>
          <w:p w14:paraId="6834C3F5" w14:textId="77777777" w:rsidR="000D557A" w:rsidRDefault="000D557A" w:rsidP="00281329">
            <w:pPr>
              <w:pStyle w:val="Tablecontent"/>
              <w:rPr>
                <w:lang w:val="en-SG"/>
              </w:rPr>
            </w:pPr>
            <w:r>
              <w:t xml:space="preserve">The </w:t>
            </w:r>
            <w:r w:rsidRPr="009146DA">
              <w:rPr>
                <w:rStyle w:val="ph"/>
                <w:b/>
                <w:bCs/>
                <w:color w:val="00B0F0"/>
              </w:rPr>
              <w:t>.vmsn</w:t>
            </w:r>
            <w:r>
              <w:t xml:space="preserve"> file stores the configuration of the VM. The </w:t>
            </w:r>
            <w:r w:rsidRPr="00B7040A">
              <w:rPr>
                <w:b/>
                <w:bCs/>
                <w:color w:val="00B0F0"/>
                <w:lang w:val="en-SG"/>
              </w:rPr>
              <w:t>.vmsd</w:t>
            </w:r>
            <w:r w:rsidRPr="00B7040A">
              <w:rPr>
                <w:lang w:val="en-SG"/>
              </w:rPr>
              <w:t xml:space="preserve"> file</w:t>
            </w:r>
            <w:r>
              <w:rPr>
                <w:lang w:val="en-SG"/>
              </w:rPr>
              <w:t xml:space="preserve"> is a small file, less than 1 KB. It </w:t>
            </w:r>
            <w:r w:rsidRPr="00B7040A">
              <w:rPr>
                <w:lang w:val="en-SG"/>
              </w:rPr>
              <w:t>store</w:t>
            </w:r>
            <w:r>
              <w:rPr>
                <w:lang w:val="en-SG"/>
              </w:rPr>
              <w:t>s</w:t>
            </w:r>
            <w:r w:rsidRPr="00B7040A">
              <w:rPr>
                <w:lang w:val="en-SG"/>
              </w:rPr>
              <w:t xml:space="preserve"> metadata about each snapshot that is active on a VM. This text file is initially 0 bytes in size until a snapshot is created and is updated with information every time snapshots are created or deleted. Only </w:t>
            </w:r>
            <w:r>
              <w:rPr>
                <w:lang w:val="en-SG"/>
              </w:rPr>
              <w:t xml:space="preserve">1 </w:t>
            </w:r>
            <w:r w:rsidRPr="00B7040A">
              <w:rPr>
                <w:lang w:val="en-SG"/>
              </w:rPr>
              <w:t>file exists regardless of the number of snapshots running as they all update this single file.</w:t>
            </w:r>
            <w:r>
              <w:rPr>
                <w:lang w:val="en-SG"/>
              </w:rPr>
              <w:t xml:space="preserve"> This is why your IO goes up.</w:t>
            </w:r>
          </w:p>
          <w:p w14:paraId="4B4E80A5" w14:textId="77777777" w:rsidR="000D557A" w:rsidRPr="00B7040A" w:rsidRDefault="000D557A" w:rsidP="00281329">
            <w:pPr>
              <w:pStyle w:val="Tablecontent"/>
              <w:rPr>
                <w:lang w:val="en-SG"/>
              </w:rPr>
            </w:pPr>
            <w:r w:rsidRPr="00ED7905">
              <w:rPr>
                <w:noProof/>
                <w:lang w:val="en-SG"/>
              </w:rPr>
              <w:drawing>
                <wp:inline distT="0" distB="0" distL="0" distR="0" wp14:anchorId="18052524" wp14:editId="186E8E0D">
                  <wp:extent cx="3328416" cy="1472184"/>
                  <wp:effectExtent l="0" t="0" r="5715" b="0"/>
                  <wp:docPr id="1971069006" name="Picture 1971069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3328416" cy="1472184"/>
                          </a:xfrm>
                          <a:prstGeom prst="rect">
                            <a:avLst/>
                          </a:prstGeom>
                        </pic:spPr>
                      </pic:pic>
                    </a:graphicData>
                  </a:graphic>
                </wp:inline>
              </w:drawing>
            </w:r>
          </w:p>
        </w:tc>
      </w:tr>
      <w:tr w:rsidR="000D557A" w14:paraId="71E71F76" w14:textId="77777777" w:rsidTr="00281329">
        <w:tc>
          <w:tcPr>
            <w:tcW w:w="1418" w:type="dxa"/>
            <w:shd w:val="clear" w:color="auto" w:fill="F2F2F2" w:themeFill="background1" w:themeFillShade="F2"/>
          </w:tcPr>
          <w:p w14:paraId="20417748" w14:textId="77777777" w:rsidR="000D557A" w:rsidRDefault="000D557A" w:rsidP="00281329">
            <w:pPr>
              <w:pStyle w:val="Tablecontent"/>
              <w:rPr>
                <w:b/>
                <w:bCs/>
              </w:rPr>
            </w:pPr>
            <w:r>
              <w:rPr>
                <w:b/>
                <w:bCs/>
              </w:rPr>
              <w:lastRenderedPageBreak/>
              <w:t>Swap</w:t>
            </w:r>
          </w:p>
        </w:tc>
        <w:tc>
          <w:tcPr>
            <w:tcW w:w="9038" w:type="dxa"/>
          </w:tcPr>
          <w:p w14:paraId="0A89B5F0" w14:textId="77777777" w:rsidR="000D557A" w:rsidRDefault="000D557A" w:rsidP="00281329">
            <w:pPr>
              <w:pStyle w:val="Tablecontent"/>
            </w:pPr>
            <w:r>
              <w:t>The memory swap file (</w:t>
            </w:r>
            <w:r w:rsidRPr="002A2FB9">
              <w:rPr>
                <w:b/>
                <w:bCs/>
                <w:color w:val="00B0F0"/>
              </w:rPr>
              <w:t>.vswp</w:t>
            </w:r>
            <w:r>
              <w:t>). A VM with 64 GB of RAM will generate a 64 GB swap file (minus the size of memory reservation) which will be used when ESXi needs to swap the VM memory into disk. The file gets deleted when the VM is powered off.</w:t>
            </w:r>
          </w:p>
          <w:p w14:paraId="6015752D" w14:textId="77777777" w:rsidR="000D557A" w:rsidRDefault="000D557A" w:rsidP="00281329">
            <w:pPr>
              <w:pStyle w:val="Tablecontent"/>
            </w:pPr>
            <w:r>
              <w:t xml:space="preserve">You can choose to store this locally on the ESXi Host. That would save space on vSAN. The catch is vMotion as the swap file must be transferred too. </w:t>
            </w:r>
          </w:p>
          <w:p w14:paraId="323D3A02" w14:textId="77777777" w:rsidR="000D557A" w:rsidRDefault="000D557A" w:rsidP="00281329">
            <w:pPr>
              <w:pStyle w:val="Tablecontent"/>
            </w:pPr>
            <w:r w:rsidRPr="00264699">
              <w:rPr>
                <w:color w:val="FF0000"/>
              </w:rPr>
              <w:t>[e1: There is also a smaller file (in MB) storing the VMX process swap file. But I’m unsure about this and have not seen it yet]</w:t>
            </w:r>
          </w:p>
        </w:tc>
      </w:tr>
      <w:tr w:rsidR="000D557A" w14:paraId="26FE91CA" w14:textId="77777777" w:rsidTr="00281329">
        <w:tc>
          <w:tcPr>
            <w:tcW w:w="1418" w:type="dxa"/>
            <w:shd w:val="clear" w:color="auto" w:fill="F2F2F2" w:themeFill="background1" w:themeFillShade="F2"/>
          </w:tcPr>
          <w:p w14:paraId="4AAEEFAC" w14:textId="77777777" w:rsidR="000D557A" w:rsidRDefault="000D557A" w:rsidP="00281329">
            <w:pPr>
              <w:pStyle w:val="Tablecontent"/>
              <w:rPr>
                <w:b/>
                <w:bCs/>
              </w:rPr>
            </w:pPr>
            <w:r>
              <w:rPr>
                <w:b/>
                <w:bCs/>
              </w:rPr>
              <w:t>Others</w:t>
            </w:r>
          </w:p>
        </w:tc>
        <w:tc>
          <w:tcPr>
            <w:tcW w:w="9038" w:type="dxa"/>
          </w:tcPr>
          <w:p w14:paraId="342D726D" w14:textId="77777777" w:rsidR="000D557A" w:rsidRDefault="000D557A" w:rsidP="00281329">
            <w:pPr>
              <w:pStyle w:val="Tablecontent"/>
            </w:pPr>
            <w:r>
              <w:t xml:space="preserve">All other files. They are mostly small, in KB or MB. So if this counter is large, you’ve got unneeded files inside the VM directory. </w:t>
            </w:r>
          </w:p>
          <w:p w14:paraId="4E8B8A60" w14:textId="77777777" w:rsidR="000D557A" w:rsidRDefault="000D557A" w:rsidP="00281329">
            <w:pPr>
              <w:pStyle w:val="Tablecontent"/>
            </w:pPr>
            <w:r>
              <w:t>Logs files, configuration files, and BIOS/EFI configuration file (</w:t>
            </w:r>
            <w:r w:rsidRPr="00281D7D">
              <w:rPr>
                <w:b/>
                <w:bCs/>
                <w:color w:val="00B0F0"/>
              </w:rPr>
              <w:t>.nvram</w:t>
            </w:r>
            <w:r>
              <w:t>)</w:t>
            </w:r>
          </w:p>
          <w:p w14:paraId="5A48695A" w14:textId="77777777" w:rsidR="000D557A" w:rsidRPr="007E4FB5" w:rsidRDefault="000D557A" w:rsidP="00281329">
            <w:pPr>
              <w:pStyle w:val="Tablecontent"/>
            </w:pPr>
            <w:r>
              <w:t>Note that this includes any other files you put in the VM directory. So if you put a huge ISO image or any file, it gets counted.</w:t>
            </w:r>
          </w:p>
        </w:tc>
      </w:tr>
    </w:tbl>
    <w:p w14:paraId="24807B8B" w14:textId="5CF89401" w:rsidR="0038024F" w:rsidRDefault="0038024F" w:rsidP="0038024F">
      <w:pPr>
        <w:pStyle w:val="Heading5"/>
      </w:pPr>
      <w:r>
        <w:t>Raw Device Mapping</w:t>
      </w:r>
    </w:p>
    <w:p w14:paraId="405EDD5B" w14:textId="4219A7A0" w:rsidR="0038024F" w:rsidRPr="00C23267" w:rsidRDefault="0038024F" w:rsidP="0038024F">
      <w:pPr>
        <w:rPr>
          <w:lang w:val="en-GB"/>
        </w:rPr>
      </w:pPr>
      <w:r>
        <w:rPr>
          <w:lang w:val="en-GB"/>
        </w:rPr>
        <w:t xml:space="preserve">RDM appears clearly as LUN in the VM </w:t>
      </w:r>
      <w:r w:rsidRPr="00C23267">
        <w:rPr>
          <w:color w:val="0070C0"/>
          <w:lang w:val="en-GB"/>
        </w:rPr>
        <w:t>Edit Settings</w:t>
      </w:r>
      <w:r>
        <w:rPr>
          <w:lang w:val="en-GB"/>
        </w:rPr>
        <w:t xml:space="preserve"> dialog box:</w:t>
      </w:r>
    </w:p>
    <w:p w14:paraId="125EC0F5" w14:textId="77777777" w:rsidR="0038024F" w:rsidRPr="00F406A4" w:rsidRDefault="0038024F" w:rsidP="0038024F">
      <w:pPr>
        <w:jc w:val="center"/>
        <w:rPr>
          <w:lang w:val="en-GB"/>
        </w:rPr>
      </w:pPr>
      <w:r w:rsidRPr="00F406A4">
        <w:rPr>
          <w:noProof/>
        </w:rPr>
        <w:lastRenderedPageBreak/>
        <w:drawing>
          <wp:inline distT="0" distB="0" distL="0" distR="0" wp14:anchorId="4B9BE344" wp14:editId="5D5AF645">
            <wp:extent cx="6739128" cy="4297680"/>
            <wp:effectExtent l="0" t="0" r="5080" b="7620"/>
            <wp:docPr id="1525330303" name="Content Placeholder 8" descr="Graphical user interface, application&#10;&#10;Description automatically generated">
              <a:extLst xmlns:a="http://schemas.openxmlformats.org/drawingml/2006/main">
                <a:ext uri="{FF2B5EF4-FFF2-40B4-BE49-F238E27FC236}">
                  <a16:creationId xmlns:a16="http://schemas.microsoft.com/office/drawing/2014/main" id="{B0FC172D-BE98-47DB-8CF8-49730364E46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525330303" name="Content Placeholder 8" descr="Graphical user interface, application&#10;&#10;Description automatically generated">
                      <a:extLst>
                        <a:ext uri="{FF2B5EF4-FFF2-40B4-BE49-F238E27FC236}">
                          <a16:creationId xmlns:a16="http://schemas.microsoft.com/office/drawing/2014/main" id="{B0FC172D-BE98-47DB-8CF8-49730364E46C}"/>
                        </a:ext>
                      </a:extLst>
                    </pic:cNvPr>
                    <pic:cNvPicPr>
                      <a:picLocks noGrp="1" noChangeAspect="1"/>
                    </pic:cNvPicPr>
                  </pic:nvPicPr>
                  <pic:blipFill rotWithShape="1">
                    <a:blip r:embed="rId315"/>
                    <a:srcRect b="32621"/>
                    <a:stretch/>
                  </pic:blipFill>
                  <pic:spPr bwMode="auto">
                    <a:xfrm>
                      <a:off x="0" y="0"/>
                      <a:ext cx="6739128" cy="4297680"/>
                    </a:xfrm>
                    <a:prstGeom prst="rect">
                      <a:avLst/>
                    </a:prstGeom>
                    <a:ln>
                      <a:noFill/>
                    </a:ln>
                    <a:effectLst/>
                    <a:extLst>
                      <a:ext uri="{53640926-AAD7-44D8-BBD7-CCE9431645EC}">
                        <a14:shadowObscured xmlns:a14="http://schemas.microsoft.com/office/drawing/2010/main"/>
                      </a:ext>
                    </a:extLst>
                  </pic:spPr>
                </pic:pic>
              </a:graphicData>
            </a:graphic>
          </wp:inline>
        </w:drawing>
      </w:r>
    </w:p>
    <w:p w14:paraId="581D22C3" w14:textId="77777777" w:rsidR="0038024F" w:rsidRDefault="0038024F" w:rsidP="0038024F">
      <w:pPr>
        <w:rPr>
          <w:lang w:val="en-GB"/>
        </w:rPr>
      </w:pPr>
      <w:r>
        <w:rPr>
          <w:lang w:val="en-GB"/>
        </w:rPr>
        <w:t>But what does it appear when you browse the VM folder in the parent datastore?</w:t>
      </w:r>
    </w:p>
    <w:p w14:paraId="70CB6FAC" w14:textId="3A172090" w:rsidR="0038024F" w:rsidRDefault="0038024F" w:rsidP="0038024F">
      <w:pPr>
        <w:rPr>
          <w:lang w:val="en-GB"/>
        </w:rPr>
      </w:pPr>
      <w:r>
        <w:rPr>
          <w:lang w:val="en-GB"/>
        </w:rPr>
        <w:t>RDM appears like a regular VMDK file. There is no way to distinguish it</w:t>
      </w:r>
      <w:r w:rsidR="003E7772">
        <w:rPr>
          <w:lang w:val="en-GB"/>
        </w:rPr>
        <w:t xml:space="preserve"> in the folder.</w:t>
      </w:r>
    </w:p>
    <w:p w14:paraId="2A6BADA3" w14:textId="112BD51B" w:rsidR="0038024F" w:rsidRDefault="0038024F" w:rsidP="00FF0111">
      <w:pPr>
        <w:rPr>
          <w:lang w:val="en-GB"/>
        </w:rPr>
      </w:pPr>
      <w:r w:rsidRPr="009D2BDF">
        <w:rPr>
          <w:noProof/>
        </w:rPr>
        <w:drawing>
          <wp:inline distT="0" distB="0" distL="0" distR="0" wp14:anchorId="3190854B" wp14:editId="10566EC2">
            <wp:extent cx="6545580" cy="2346995"/>
            <wp:effectExtent l="0" t="0" r="7620" b="0"/>
            <wp:docPr id="1525330292" name="Picture 4" descr="Graphical user interface, text, application&#10;&#10;Description automatically generated">
              <a:extLst xmlns:a="http://schemas.openxmlformats.org/drawingml/2006/main">
                <a:ext uri="{FF2B5EF4-FFF2-40B4-BE49-F238E27FC236}">
                  <a16:creationId xmlns:a16="http://schemas.microsoft.com/office/drawing/2014/main" id="{8596859C-5454-4A7D-FDDC-A6FE745CD6E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Graphical user interface, text, application&#10;&#10;Description automatically generated">
                      <a:extLst>
                        <a:ext uri="{FF2B5EF4-FFF2-40B4-BE49-F238E27FC236}">
                          <a16:creationId xmlns:a16="http://schemas.microsoft.com/office/drawing/2014/main" id="{8596859C-5454-4A7D-FDDC-A6FE745CD6EC}"/>
                        </a:ext>
                      </a:extLst>
                    </pic:cNvPr>
                    <pic:cNvPicPr>
                      <a:picLocks noChangeAspect="1"/>
                    </pic:cNvPicPr>
                  </pic:nvPicPr>
                  <pic:blipFill rotWithShape="1">
                    <a:blip r:embed="rId316"/>
                    <a:srcRect r="17927" b="23318"/>
                    <a:stretch/>
                  </pic:blipFill>
                  <pic:spPr bwMode="auto">
                    <a:xfrm>
                      <a:off x="0" y="0"/>
                      <a:ext cx="6549398" cy="2348364"/>
                    </a:xfrm>
                    <a:prstGeom prst="rect">
                      <a:avLst/>
                    </a:prstGeom>
                    <a:ln>
                      <a:noFill/>
                    </a:ln>
                    <a:extLst>
                      <a:ext uri="{53640926-AAD7-44D8-BBD7-CCE9431645EC}">
                        <a14:shadowObscured xmlns:a14="http://schemas.microsoft.com/office/drawing/2010/main"/>
                      </a:ext>
                    </a:extLst>
                  </pic:spPr>
                </pic:pic>
              </a:graphicData>
            </a:graphic>
          </wp:inline>
        </w:drawing>
      </w:r>
    </w:p>
    <w:p w14:paraId="599B1C16" w14:textId="5C16931E" w:rsidR="0038024F" w:rsidRDefault="0038024F" w:rsidP="0038024F">
      <w:pPr>
        <w:pStyle w:val="Heading5"/>
      </w:pPr>
      <w:r>
        <w:t>Multi-Writer Disk</w:t>
      </w:r>
    </w:p>
    <w:p w14:paraId="43767EFD" w14:textId="77777777" w:rsidR="0038024F" w:rsidRPr="00554D0B" w:rsidRDefault="0038024F" w:rsidP="0038024F">
      <w:pPr>
        <w:rPr>
          <w:lang w:val="en-GB"/>
        </w:rPr>
      </w:pPr>
      <w:r>
        <w:rPr>
          <w:lang w:val="en-GB"/>
        </w:rPr>
        <w:t>Shared disk can be either shared RDM or VMDK. The following screenshot shows the option when creating a multi-writer VMDK in vCenter Client.</w:t>
      </w:r>
    </w:p>
    <w:p w14:paraId="33F27838" w14:textId="77777777" w:rsidR="0038024F" w:rsidRDefault="0038024F" w:rsidP="003E7772">
      <w:pPr>
        <w:jc w:val="center"/>
        <w:rPr>
          <w:lang w:val="en-GB"/>
        </w:rPr>
      </w:pPr>
      <w:r w:rsidRPr="00554D0B">
        <w:rPr>
          <w:noProof/>
          <w:lang w:val="en-GB"/>
        </w:rPr>
        <w:lastRenderedPageBreak/>
        <w:drawing>
          <wp:inline distT="0" distB="0" distL="0" distR="0" wp14:anchorId="68D8AA35" wp14:editId="15E4A0B2">
            <wp:extent cx="5294376" cy="2807208"/>
            <wp:effectExtent l="0" t="0" r="1905" b="0"/>
            <wp:docPr id="1525330290" name="Picture 152533029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88" name="Picture 1525330288" descr="Graphical user interface, text, application, email&#10;&#10;Description automatically generated"/>
                    <pic:cNvPicPr/>
                  </pic:nvPicPr>
                  <pic:blipFill>
                    <a:blip r:embed="rId317"/>
                    <a:stretch>
                      <a:fillRect/>
                    </a:stretch>
                  </pic:blipFill>
                  <pic:spPr>
                    <a:xfrm>
                      <a:off x="0" y="0"/>
                      <a:ext cx="5294376" cy="2807208"/>
                    </a:xfrm>
                    <a:prstGeom prst="rect">
                      <a:avLst/>
                    </a:prstGeom>
                  </pic:spPr>
                </pic:pic>
              </a:graphicData>
            </a:graphic>
          </wp:inline>
        </w:drawing>
      </w:r>
    </w:p>
    <w:p w14:paraId="6916BAA4" w14:textId="58A26EDB" w:rsidR="0038024F" w:rsidRPr="0038024F" w:rsidRDefault="0038024F" w:rsidP="00FF0111">
      <w:r>
        <w:t>When multiple VMs are sharing the same virtual disk or RDM, it creates additional challenge in capacity, cost and performance management.</w:t>
      </w:r>
    </w:p>
    <w:p w14:paraId="3E4E2B45" w14:textId="5386C5A3" w:rsidR="00A04B1E" w:rsidRDefault="00A04B1E" w:rsidP="00A04B1E">
      <w:pPr>
        <w:pStyle w:val="Heading4"/>
      </w:pPr>
      <w:r>
        <w:t xml:space="preserve">ESXi </w:t>
      </w:r>
    </w:p>
    <w:p w14:paraId="2DA77516" w14:textId="5108BCD2" w:rsidR="00A04B1E" w:rsidRDefault="00A04B1E" w:rsidP="00A04B1E">
      <w:pPr>
        <w:rPr>
          <w:lang w:val="en-GB"/>
        </w:rPr>
      </w:pPr>
      <w:r w:rsidRPr="00A452F2">
        <w:rPr>
          <w:lang w:val="en-GB"/>
        </w:rPr>
        <w:t xml:space="preserve">Storage at ESXi is a lot more complex than storage at VM level. Reason is ESXi virtualizes the different </w:t>
      </w:r>
      <w:r>
        <w:rPr>
          <w:lang w:val="en-GB"/>
        </w:rPr>
        <w:t xml:space="preserve">physical </w:t>
      </w:r>
      <w:r w:rsidRPr="00A452F2">
        <w:rPr>
          <w:lang w:val="en-GB"/>
        </w:rPr>
        <w:t>storage</w:t>
      </w:r>
      <w:r>
        <w:rPr>
          <w:lang w:val="en-GB"/>
        </w:rPr>
        <w:t xml:space="preserve"> subsystem</w:t>
      </w:r>
      <w:r w:rsidRPr="00A452F2">
        <w:rPr>
          <w:lang w:val="en-GB"/>
        </w:rPr>
        <w:t xml:space="preserve">, and VM </w:t>
      </w:r>
      <w:r>
        <w:rPr>
          <w:lang w:val="en-GB"/>
        </w:rPr>
        <w:t xml:space="preserve">simply </w:t>
      </w:r>
      <w:r w:rsidRPr="00A452F2">
        <w:rPr>
          <w:lang w:val="en-GB"/>
        </w:rPr>
        <w:t xml:space="preserve">consumes </w:t>
      </w:r>
      <w:r>
        <w:rPr>
          <w:lang w:val="en-GB"/>
        </w:rPr>
        <w:t xml:space="preserve">all of them </w:t>
      </w:r>
      <w:r w:rsidRPr="00A452F2">
        <w:rPr>
          <w:lang w:val="en-GB"/>
        </w:rPr>
        <w:t>as local SCSI drive.</w:t>
      </w:r>
      <w:r>
        <w:rPr>
          <w:lang w:val="en-GB"/>
        </w:rPr>
        <w:t xml:space="preserve"> </w:t>
      </w:r>
    </w:p>
    <w:p w14:paraId="5D23C411" w14:textId="4EE14052" w:rsidR="00536533" w:rsidRDefault="00536533" w:rsidP="00536533">
      <w:r>
        <w:t>The kernel does the IO on behalf of all the VMs. It also has its own kernel modules, such as vSAN, that also need to be served. This creates what is popularly termed “</w:t>
      </w:r>
      <w:r w:rsidRPr="00101777">
        <w:rPr>
          <w:color w:val="00B0F0"/>
        </w:rPr>
        <w:t>IO Blender</w:t>
      </w:r>
      <w:r>
        <w:t xml:space="preserve">” effect. Sequential operations from each VM and kernel modules become random when combined together. The opposite is when the kernel </w:t>
      </w:r>
      <w:r w:rsidR="00F922F7">
        <w:t>rearranges</w:t>
      </w:r>
      <w:r>
        <w:t xml:space="preserve"> these independent IOs and try to sequence them, so on average the latency is lower. </w:t>
      </w:r>
    </w:p>
    <w:p w14:paraId="0C43A6AF" w14:textId="77777777" w:rsidR="00A04B1E" w:rsidRPr="00A452F2" w:rsidRDefault="00A04B1E" w:rsidP="00A04B1E">
      <w:pPr>
        <w:rPr>
          <w:lang w:val="en-GB"/>
        </w:rPr>
      </w:pPr>
      <w:r>
        <w:rPr>
          <w:noProof/>
        </w:rPr>
        <w:drawing>
          <wp:inline distT="0" distB="0" distL="0" distR="0" wp14:anchorId="53AD9CC9" wp14:editId="4664A9BB">
            <wp:extent cx="6722134" cy="2561616"/>
            <wp:effectExtent l="0" t="0" r="2540" b="0"/>
            <wp:docPr id="606394059" name="Picture 606394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59"/>
                    <pic:cNvPicPr/>
                  </pic:nvPicPr>
                  <pic:blipFill>
                    <a:blip r:embed="rId318">
                      <a:extLst>
                        <a:ext uri="{28A0092B-C50C-407E-A947-70E740481C1C}">
                          <a14:useLocalDpi xmlns:a14="http://schemas.microsoft.com/office/drawing/2010/main" val="0"/>
                        </a:ext>
                      </a:extLst>
                    </a:blip>
                    <a:stretch>
                      <a:fillRect/>
                    </a:stretch>
                  </pic:blipFill>
                  <pic:spPr>
                    <a:xfrm>
                      <a:off x="0" y="0"/>
                      <a:ext cx="6722134" cy="2561616"/>
                    </a:xfrm>
                    <a:prstGeom prst="rect">
                      <a:avLst/>
                    </a:prstGeom>
                  </pic:spPr>
                </pic:pic>
              </a:graphicData>
            </a:graphic>
          </wp:inline>
        </w:drawing>
      </w:r>
    </w:p>
    <w:p w14:paraId="697C206A" w14:textId="467F8483" w:rsidR="003E0C03" w:rsidRPr="003629BC" w:rsidRDefault="003E0C03" w:rsidP="003E0C03">
      <w:pPr>
        <w:rPr>
          <w:lang w:val="en-US"/>
        </w:rPr>
      </w:pPr>
      <w:r w:rsidRPr="003629BC">
        <w:rPr>
          <w:lang w:val="en-US"/>
        </w:rPr>
        <w:lastRenderedPageBreak/>
        <w:t xml:space="preserve">The </w:t>
      </w:r>
      <w:r w:rsidR="0022569A" w:rsidRPr="0022569A">
        <w:rPr>
          <w:color w:val="00B050"/>
          <w:lang w:val="en-US"/>
        </w:rPr>
        <w:t>green</w:t>
      </w:r>
      <w:r w:rsidRPr="003629BC">
        <w:rPr>
          <w:lang w:val="en-US"/>
        </w:rPr>
        <w:t xml:space="preserve"> boxes are what you are likely to be familiar with. You have your ESXi host, and it can have NFS Datastore, VMFS Datastore, </w:t>
      </w:r>
      <w:r>
        <w:rPr>
          <w:lang w:val="en-US"/>
        </w:rPr>
        <w:t xml:space="preserve">vSAN Datastore, vVOL datastore </w:t>
      </w:r>
      <w:r w:rsidRPr="003629BC">
        <w:rPr>
          <w:lang w:val="en-US"/>
        </w:rPr>
        <w:t xml:space="preserve">or RDM objects. </w:t>
      </w:r>
      <w:r>
        <w:rPr>
          <w:lang w:val="en-US"/>
        </w:rPr>
        <w:t>v</w:t>
      </w:r>
      <w:r w:rsidRPr="003629BC">
        <w:rPr>
          <w:lang w:val="en-US"/>
        </w:rPr>
        <w:t xml:space="preserve">SAN </w:t>
      </w:r>
      <w:r>
        <w:rPr>
          <w:lang w:val="en-US"/>
        </w:rPr>
        <w:t xml:space="preserve">&amp; vVOL </w:t>
      </w:r>
      <w:r w:rsidRPr="003629BC">
        <w:rPr>
          <w:lang w:val="en-US"/>
        </w:rPr>
        <w:t>present</w:t>
      </w:r>
      <w:r>
        <w:rPr>
          <w:lang w:val="en-US"/>
        </w:rPr>
        <w:t xml:space="preserve"> themselves as</w:t>
      </w:r>
      <w:r w:rsidRPr="003629BC">
        <w:rPr>
          <w:lang w:val="en-US"/>
        </w:rPr>
        <w:t xml:space="preserve"> a VMFS datastore</w:t>
      </w:r>
      <w:r>
        <w:rPr>
          <w:lang w:val="en-US"/>
        </w:rPr>
        <w:t>, but the underlying architecture is different</w:t>
      </w:r>
      <w:r w:rsidRPr="003629BC">
        <w:rPr>
          <w:lang w:val="en-US"/>
        </w:rPr>
        <w:t xml:space="preserve">. The </w:t>
      </w:r>
      <w:r w:rsidRPr="007F6769">
        <w:rPr>
          <w:b/>
          <w:bCs/>
          <w:color w:val="00B0F0"/>
          <w:lang w:val="en-US"/>
        </w:rPr>
        <w:t>blue</w:t>
      </w:r>
      <w:r w:rsidRPr="007F6769">
        <w:rPr>
          <w:color w:val="00B0F0"/>
          <w:lang w:val="en-US"/>
        </w:rPr>
        <w:t xml:space="preserve"> </w:t>
      </w:r>
      <w:r w:rsidRPr="003629BC">
        <w:rPr>
          <w:lang w:val="en-US"/>
        </w:rPr>
        <w:t>boxes represent the metric groups you see in vCenter performance charts.</w:t>
      </w:r>
    </w:p>
    <w:p w14:paraId="64CC455A" w14:textId="77777777" w:rsidR="00A04B1E" w:rsidRPr="009315BE" w:rsidRDefault="00A04B1E" w:rsidP="00A04B1E">
      <w:pPr>
        <w:rPr>
          <w:lang w:val="en-GB"/>
        </w:rPr>
      </w:pPr>
      <w:r w:rsidRPr="009315BE">
        <w:rPr>
          <w:lang w:val="en-GB"/>
        </w:rPr>
        <w:t xml:space="preserve">In the central storage architecture, NFS and VMFS datastores differ drastically in terms of </w:t>
      </w:r>
      <w:r>
        <w:rPr>
          <w:lang w:val="en-GB"/>
        </w:rPr>
        <w:t>metrics</w:t>
      </w:r>
      <w:r w:rsidRPr="009315BE">
        <w:rPr>
          <w:lang w:val="en-GB"/>
        </w:rPr>
        <w:t xml:space="preserve">, as NFS is file-based while VMFS is block-based. </w:t>
      </w:r>
    </w:p>
    <w:p w14:paraId="0B8D86DC" w14:textId="77777777" w:rsidR="00A04B1E" w:rsidRPr="009315BE" w:rsidRDefault="00A04B1E" w:rsidP="00A04B1E">
      <w:pPr>
        <w:pStyle w:val="Bullet"/>
        <w:rPr>
          <w:lang w:val="en-GB"/>
        </w:rPr>
      </w:pPr>
      <w:r w:rsidRPr="009315BE">
        <w:rPr>
          <w:lang w:val="en-GB"/>
        </w:rPr>
        <w:t xml:space="preserve">For NFS, it uses the vmnic, and so the adapter type (FC, FCoE, or iSCSI) is not applicable. Multipathing is handled by the network, so you don't see it in the storage layer. </w:t>
      </w:r>
    </w:p>
    <w:p w14:paraId="4F7B4E62" w14:textId="77777777" w:rsidR="00A04B1E" w:rsidRDefault="00A04B1E" w:rsidP="00A04B1E">
      <w:pPr>
        <w:pStyle w:val="Bullet"/>
        <w:rPr>
          <w:lang w:val="en-GB"/>
        </w:rPr>
      </w:pPr>
      <w:r w:rsidRPr="009315BE">
        <w:rPr>
          <w:lang w:val="en-GB"/>
        </w:rPr>
        <w:t xml:space="preserve">For VMFS or RDM, you have more detailed visibility of the storage. To start off, each ESXi adapter is visible and you can check the </w:t>
      </w:r>
      <w:r>
        <w:rPr>
          <w:lang w:val="en-GB"/>
        </w:rPr>
        <w:t>metrics</w:t>
      </w:r>
      <w:r w:rsidRPr="009315BE">
        <w:rPr>
          <w:lang w:val="en-GB"/>
        </w:rPr>
        <w:t xml:space="preserve"> for each of them. In terms of relationship, one adapter can have many devices (disk or CDROM). One device is typically accessed via two storage adapters (for availability and load balancing), and it is also accessed via two paths per adapter, with the paths diverging at the storage switch. A single path, which will come from a specific adapter, can naturally connect one adapter to one device. The following diagram shows the four paths:</w:t>
      </w:r>
    </w:p>
    <w:p w14:paraId="487AE2BD" w14:textId="77777777" w:rsidR="00A04B1E" w:rsidRDefault="00A04B1E" w:rsidP="00A04B1E">
      <w:pPr>
        <w:jc w:val="center"/>
        <w:rPr>
          <w:lang w:val="en-GB"/>
        </w:rPr>
      </w:pPr>
      <w:r>
        <w:rPr>
          <w:noProof/>
        </w:rPr>
        <w:drawing>
          <wp:inline distT="0" distB="0" distL="0" distR="0" wp14:anchorId="1ED03531" wp14:editId="34954C81">
            <wp:extent cx="2108579" cy="2572199"/>
            <wp:effectExtent l="0" t="0" r="6350" b="0"/>
            <wp:docPr id="6063941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pic:nvPicPr>
                  <pic:blipFill>
                    <a:blip r:embed="rId319">
                      <a:extLst>
                        <a:ext uri="{28A0092B-C50C-407E-A947-70E740481C1C}">
                          <a14:useLocalDpi xmlns:a14="http://schemas.microsoft.com/office/drawing/2010/main" val="0"/>
                        </a:ext>
                      </a:extLst>
                    </a:blip>
                    <a:stretch>
                      <a:fillRect/>
                    </a:stretch>
                  </pic:blipFill>
                  <pic:spPr>
                    <a:xfrm>
                      <a:off x="0" y="0"/>
                      <a:ext cx="2108579" cy="2572199"/>
                    </a:xfrm>
                    <a:prstGeom prst="rect">
                      <a:avLst/>
                    </a:prstGeom>
                  </pic:spPr>
                </pic:pic>
              </a:graphicData>
            </a:graphic>
          </wp:inline>
        </w:drawing>
      </w:r>
    </w:p>
    <w:p w14:paraId="2D593E09" w14:textId="319CD147" w:rsidR="00A04B1E" w:rsidRDefault="00A04B1E" w:rsidP="00A04B1E">
      <w:pPr>
        <w:rPr>
          <w:lang w:val="en-GB"/>
        </w:rPr>
      </w:pPr>
      <w:r w:rsidRPr="00A452F2">
        <w:rPr>
          <w:lang w:val="en-GB"/>
        </w:rPr>
        <w:t>The counter at ESXi level contains data from all VMs</w:t>
      </w:r>
      <w:r>
        <w:rPr>
          <w:lang w:val="en-GB"/>
        </w:rPr>
        <w:t xml:space="preserve"> and VMkernel overhead</w:t>
      </w:r>
      <w:r w:rsidRPr="00A452F2">
        <w:rPr>
          <w:lang w:val="en-GB"/>
        </w:rPr>
        <w:t xml:space="preserve">. There is no breakdown. For example, the counter at vmnic, storage adapter and storage path are all aggregate </w:t>
      </w:r>
      <w:r>
        <w:rPr>
          <w:lang w:val="en-GB"/>
        </w:rPr>
        <w:t>metrics</w:t>
      </w:r>
      <w:r w:rsidRPr="00A452F2">
        <w:rPr>
          <w:lang w:val="en-GB"/>
        </w:rPr>
        <w:t>. It’s not broken down by VM. The same with vSAN objects (cache tier, capacity disk, disk group). None of them shows details per VM.</w:t>
      </w:r>
      <w:r>
        <w:rPr>
          <w:lang w:val="en-GB"/>
        </w:rPr>
        <w:t xml:space="preserve"> </w:t>
      </w:r>
    </w:p>
    <w:p w14:paraId="79FDB196" w14:textId="77777777" w:rsidR="003E0C03" w:rsidRDefault="003E0C03" w:rsidP="003E0C03">
      <w:pPr>
        <w:rPr>
          <w:lang w:val="en-GB"/>
        </w:rPr>
      </w:pPr>
      <w:r w:rsidRPr="00CE198E">
        <w:rPr>
          <w:lang w:val="en-GB"/>
        </w:rPr>
        <w:t xml:space="preserve">Can you figure out why there is </w:t>
      </w:r>
      <w:r w:rsidRPr="003E7772">
        <w:rPr>
          <w:color w:val="FF0000"/>
          <w:lang w:val="en-GB"/>
        </w:rPr>
        <w:t xml:space="preserve">no </w:t>
      </w:r>
      <w:r w:rsidRPr="00CE198E">
        <w:rPr>
          <w:lang w:val="en-GB"/>
        </w:rPr>
        <w:t xml:space="preserve">path to the VSAN Datastore? </w:t>
      </w:r>
    </w:p>
    <w:p w14:paraId="681565C2" w14:textId="22CB1812" w:rsidR="003E0C03" w:rsidRDefault="003E0C03" w:rsidP="00A04B1E">
      <w:pPr>
        <w:rPr>
          <w:lang w:val="en-GB"/>
        </w:rPr>
      </w:pPr>
      <w:r w:rsidRPr="00CE198E">
        <w:rPr>
          <w:lang w:val="en-GB"/>
        </w:rPr>
        <w:t>We’ll do a comparison, and hopefully you will realize how differen</w:t>
      </w:r>
      <w:r>
        <w:rPr>
          <w:lang w:val="en-GB"/>
        </w:rPr>
        <w:t>t</w:t>
      </w:r>
      <w:r w:rsidRPr="00CE198E">
        <w:rPr>
          <w:lang w:val="en-GB"/>
        </w:rPr>
        <w:t xml:space="preserve"> distributed storage and central storage is from performance monitoring point of view.</w:t>
      </w:r>
      <w:r>
        <w:rPr>
          <w:lang w:val="en-GB"/>
        </w:rPr>
        <w:t xml:space="preserve"> What look like a simple change has turned the observability upside down.</w:t>
      </w:r>
    </w:p>
    <w:p w14:paraId="648EB676" w14:textId="77777777" w:rsidR="003E0C03" w:rsidRDefault="003E0C03" w:rsidP="003E0C03">
      <w:pPr>
        <w:pStyle w:val="Heading5"/>
      </w:pPr>
      <w:r>
        <w:t xml:space="preserve">Storage Adapter </w:t>
      </w:r>
    </w:p>
    <w:p w14:paraId="51FAB132" w14:textId="77777777" w:rsidR="003E0C03" w:rsidRDefault="003E0C03" w:rsidP="003E0C03">
      <w:pPr>
        <w:rPr>
          <w:lang w:val="en-GB"/>
        </w:rPr>
      </w:pPr>
      <w:r w:rsidRPr="006E6EBD">
        <w:rPr>
          <w:lang w:val="en-GB"/>
        </w:rPr>
        <w:t>The screen</w:t>
      </w:r>
      <w:r>
        <w:rPr>
          <w:lang w:val="en-GB"/>
        </w:rPr>
        <w:t>shot</w:t>
      </w:r>
      <w:r w:rsidRPr="006E6EBD">
        <w:rPr>
          <w:lang w:val="en-GB"/>
        </w:rPr>
        <w:t xml:space="preserve"> shows an ESXi host with the list of its adapters. We have selected vmhba2</w:t>
      </w:r>
      <w:r>
        <w:rPr>
          <w:lang w:val="en-GB"/>
        </w:rPr>
        <w:t xml:space="preserve"> adapter</w:t>
      </w:r>
      <w:r w:rsidRPr="006E6EBD">
        <w:rPr>
          <w:lang w:val="en-GB"/>
        </w:rPr>
        <w:t>, which is an FC HBA. Notice that it is connected to 5 devices. Each device has 4 paths, giving 20 paths in total.</w:t>
      </w:r>
    </w:p>
    <w:p w14:paraId="196CAD53" w14:textId="77777777" w:rsidR="003E0C03" w:rsidRDefault="003E0C03" w:rsidP="003E0C03">
      <w:pPr>
        <w:jc w:val="center"/>
        <w:rPr>
          <w:lang w:val="en-GB"/>
        </w:rPr>
      </w:pPr>
      <w:r>
        <w:rPr>
          <w:noProof/>
        </w:rPr>
        <w:lastRenderedPageBreak/>
        <w:drawing>
          <wp:inline distT="0" distB="0" distL="0" distR="0" wp14:anchorId="3F4AB061" wp14:editId="31D7E8DC">
            <wp:extent cx="6457950" cy="5382263"/>
            <wp:effectExtent l="0" t="0" r="0" b="8890"/>
            <wp:docPr id="606394345" name="Picture 606394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45"/>
                    <pic:cNvPicPr/>
                  </pic:nvPicPr>
                  <pic:blipFill>
                    <a:blip r:embed="rId320">
                      <a:extLst>
                        <a:ext uri="{28A0092B-C50C-407E-A947-70E740481C1C}">
                          <a14:useLocalDpi xmlns:a14="http://schemas.microsoft.com/office/drawing/2010/main" val="0"/>
                        </a:ext>
                      </a:extLst>
                    </a:blip>
                    <a:stretch>
                      <a:fillRect/>
                    </a:stretch>
                  </pic:blipFill>
                  <pic:spPr>
                    <a:xfrm>
                      <a:off x="0" y="0"/>
                      <a:ext cx="6462952" cy="5386432"/>
                    </a:xfrm>
                    <a:prstGeom prst="rect">
                      <a:avLst/>
                    </a:prstGeom>
                  </pic:spPr>
                </pic:pic>
              </a:graphicData>
            </a:graphic>
          </wp:inline>
        </w:drawing>
      </w:r>
    </w:p>
    <w:p w14:paraId="7941FAAD" w14:textId="77777777" w:rsidR="003E0C03" w:rsidRDefault="003E0C03" w:rsidP="003E0C03">
      <w:r>
        <w:t>What do you think it will look like on vSAN? The following screenshot shows the storage adapter vmhba1 being used to connect to two vSAN devices. Both devices have names begin with “</w:t>
      </w:r>
      <w:r w:rsidRPr="002B244B">
        <w:rPr>
          <w:color w:val="00B0F0"/>
        </w:rPr>
        <w:t>Local</w:t>
      </w:r>
      <w:r>
        <w:t>”. The storage adapter has 2 targets, 2 devices and 2 paths. If you are guessing it is 1:1 mapping among targets, devices and paths, you are right.</w:t>
      </w:r>
    </w:p>
    <w:p w14:paraId="733AC185" w14:textId="77777777" w:rsidR="003E0C03" w:rsidRPr="006E6EBD" w:rsidRDefault="003E0C03" w:rsidP="003E0C03">
      <w:pPr>
        <w:rPr>
          <w:lang w:val="en-US"/>
        </w:rPr>
      </w:pPr>
      <w:r>
        <w:t>We know vSAN is not part of Storage Fabric, so there is no need for Identifier, which is made of WWNN and WWPN.</w:t>
      </w:r>
    </w:p>
    <w:p w14:paraId="301F0321" w14:textId="77777777" w:rsidR="003E0C03" w:rsidRDefault="003E0C03" w:rsidP="003E0C03">
      <w:pPr>
        <w:rPr>
          <w:lang w:val="en-GB"/>
        </w:rPr>
      </w:pPr>
      <w:r>
        <w:rPr>
          <w:noProof/>
        </w:rPr>
        <w:lastRenderedPageBreak/>
        <w:drawing>
          <wp:inline distT="0" distB="0" distL="0" distR="0" wp14:anchorId="29DBBCDB" wp14:editId="6DE8D3BB">
            <wp:extent cx="6645910" cy="3068320"/>
            <wp:effectExtent l="0" t="0" r="2540" b="0"/>
            <wp:docPr id="606394346" name="Picture 606394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46"/>
                    <pic:cNvPicPr/>
                  </pic:nvPicPr>
                  <pic:blipFill>
                    <a:blip r:embed="rId321" cstate="print">
                      <a:extLst>
                        <a:ext uri="{28A0092B-C50C-407E-A947-70E740481C1C}">
                          <a14:useLocalDpi xmlns:a14="http://schemas.microsoft.com/office/drawing/2010/main" val="0"/>
                        </a:ext>
                      </a:extLst>
                    </a:blip>
                    <a:stretch>
                      <a:fillRect/>
                    </a:stretch>
                  </pic:blipFill>
                  <pic:spPr>
                    <a:xfrm>
                      <a:off x="0" y="0"/>
                      <a:ext cx="6645910" cy="3068320"/>
                    </a:xfrm>
                    <a:prstGeom prst="rect">
                      <a:avLst/>
                    </a:prstGeom>
                  </pic:spPr>
                </pic:pic>
              </a:graphicData>
            </a:graphic>
          </wp:inline>
        </w:drawing>
      </w:r>
    </w:p>
    <w:p w14:paraId="30C7CD8D" w14:textId="77777777" w:rsidR="003E0C03" w:rsidRDefault="003E0C03" w:rsidP="003E0C03">
      <w:pPr>
        <w:rPr>
          <w:lang w:val="en-GB"/>
        </w:rPr>
      </w:pPr>
      <w:r w:rsidRPr="006E6EBD">
        <w:rPr>
          <w:lang w:val="en-GB"/>
        </w:rPr>
        <w:t xml:space="preserve">Let’s expand the </w:t>
      </w:r>
      <w:r w:rsidRPr="003E7772">
        <w:rPr>
          <w:b/>
          <w:bCs/>
          <w:color w:val="00B0F0"/>
          <w:lang w:val="en-GB"/>
        </w:rPr>
        <w:t>Paths</w:t>
      </w:r>
      <w:r w:rsidRPr="003E7772">
        <w:rPr>
          <w:color w:val="00B0F0"/>
          <w:lang w:val="en-GB"/>
        </w:rPr>
        <w:t xml:space="preserve"> </w:t>
      </w:r>
      <w:r w:rsidRPr="006E6EBD">
        <w:rPr>
          <w:lang w:val="en-GB"/>
        </w:rPr>
        <w:t xml:space="preserve">tab. We can see the LUN ID here. This is important. The fact that the hypervisor can see the device is important. That means the </w:t>
      </w:r>
      <w:r>
        <w:rPr>
          <w:lang w:val="en-GB"/>
        </w:rPr>
        <w:t>VMkernel</w:t>
      </w:r>
      <w:r w:rsidRPr="006E6EBD">
        <w:rPr>
          <w:lang w:val="en-GB"/>
        </w:rPr>
        <w:t xml:space="preserve"> can report if there is an issue, be it performance or availability. This is different if the disk is directly passed through to the VM. The hypervisor loses visibility. </w:t>
      </w:r>
    </w:p>
    <w:p w14:paraId="7C25556A" w14:textId="77777777" w:rsidR="003E0C03" w:rsidRDefault="003E0C03" w:rsidP="003E0C03">
      <w:pPr>
        <w:rPr>
          <w:lang w:val="en-GB"/>
        </w:rPr>
      </w:pPr>
      <w:r>
        <w:rPr>
          <w:noProof/>
        </w:rPr>
        <w:drawing>
          <wp:inline distT="0" distB="0" distL="0" distR="0" wp14:anchorId="180F934A" wp14:editId="28923628">
            <wp:extent cx="6645910" cy="1064260"/>
            <wp:effectExtent l="0" t="0" r="2540" b="2540"/>
            <wp:docPr id="606394347" name="Picture 606394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47"/>
                    <pic:cNvPicPr/>
                  </pic:nvPicPr>
                  <pic:blipFill>
                    <a:blip r:embed="rId322" cstate="print">
                      <a:extLst>
                        <a:ext uri="{28A0092B-C50C-407E-A947-70E740481C1C}">
                          <a14:useLocalDpi xmlns:a14="http://schemas.microsoft.com/office/drawing/2010/main" val="0"/>
                        </a:ext>
                      </a:extLst>
                    </a:blip>
                    <a:stretch>
                      <a:fillRect/>
                    </a:stretch>
                  </pic:blipFill>
                  <pic:spPr>
                    <a:xfrm>
                      <a:off x="0" y="0"/>
                      <a:ext cx="6645910" cy="1064260"/>
                    </a:xfrm>
                    <a:prstGeom prst="rect">
                      <a:avLst/>
                    </a:prstGeom>
                  </pic:spPr>
                </pic:pic>
              </a:graphicData>
            </a:graphic>
          </wp:inline>
        </w:drawing>
      </w:r>
    </w:p>
    <w:p w14:paraId="4C4A71D1" w14:textId="77777777" w:rsidR="003E0C03" w:rsidRDefault="003E0C03" w:rsidP="003E0C03">
      <w:pPr>
        <w:pStyle w:val="Heading5"/>
      </w:pPr>
      <w:r>
        <w:t>Storage Path</w:t>
      </w:r>
    </w:p>
    <w:p w14:paraId="5EFD329E" w14:textId="77777777" w:rsidR="003E0C03" w:rsidRDefault="003E0C03" w:rsidP="003E0C03">
      <w:pPr>
        <w:rPr>
          <w:lang w:val="en-GB"/>
        </w:rPr>
      </w:pPr>
      <w:r w:rsidRPr="00AF193E">
        <w:rPr>
          <w:lang w:val="en-GB"/>
        </w:rPr>
        <w:t xml:space="preserve">Continuing our comparison, </w:t>
      </w:r>
      <w:r>
        <w:rPr>
          <w:lang w:val="en-GB"/>
        </w:rPr>
        <w:t xml:space="preserve">the last one is Storage </w:t>
      </w:r>
      <w:r w:rsidRPr="00AF193E">
        <w:rPr>
          <w:lang w:val="en-GB"/>
        </w:rPr>
        <w:t xml:space="preserve">Path. In </w:t>
      </w:r>
      <w:r>
        <w:rPr>
          <w:lang w:val="en-GB"/>
        </w:rPr>
        <w:t>a fibre channel</w:t>
      </w:r>
      <w:r w:rsidRPr="00AF193E">
        <w:rPr>
          <w:lang w:val="en-GB"/>
        </w:rPr>
        <w:t xml:space="preserve"> device, you will be presented with the information shown in the next screenshot, including whether a path is active or not.</w:t>
      </w:r>
    </w:p>
    <w:p w14:paraId="328BD37B" w14:textId="77777777" w:rsidR="003E0C03" w:rsidRDefault="003E0C03" w:rsidP="003E0C03">
      <w:pPr>
        <w:jc w:val="center"/>
        <w:rPr>
          <w:lang w:val="en-GB"/>
        </w:rPr>
      </w:pPr>
      <w:r>
        <w:rPr>
          <w:noProof/>
        </w:rPr>
        <w:lastRenderedPageBreak/>
        <w:drawing>
          <wp:inline distT="0" distB="0" distL="0" distR="0" wp14:anchorId="6BF00434" wp14:editId="10B4358F">
            <wp:extent cx="5875335" cy="4155621"/>
            <wp:effectExtent l="0" t="0" r="0" b="0"/>
            <wp:docPr id="606394348" name="Picture 606394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48"/>
                    <pic:cNvPicPr/>
                  </pic:nvPicPr>
                  <pic:blipFill>
                    <a:blip r:embed="rId323">
                      <a:extLst>
                        <a:ext uri="{28A0092B-C50C-407E-A947-70E740481C1C}">
                          <a14:useLocalDpi xmlns:a14="http://schemas.microsoft.com/office/drawing/2010/main" val="0"/>
                        </a:ext>
                      </a:extLst>
                    </a:blip>
                    <a:stretch>
                      <a:fillRect/>
                    </a:stretch>
                  </pic:blipFill>
                  <pic:spPr>
                    <a:xfrm>
                      <a:off x="0" y="0"/>
                      <a:ext cx="5880687" cy="4159407"/>
                    </a:xfrm>
                    <a:prstGeom prst="rect">
                      <a:avLst/>
                    </a:prstGeom>
                  </pic:spPr>
                </pic:pic>
              </a:graphicData>
            </a:graphic>
          </wp:inline>
        </w:drawing>
      </w:r>
    </w:p>
    <w:p w14:paraId="393CE7BB" w14:textId="77777777" w:rsidR="003E0C03" w:rsidRPr="00653A61" w:rsidRDefault="003E0C03" w:rsidP="003E0C03">
      <w:pPr>
        <w:rPr>
          <w:lang w:val="en-GB"/>
        </w:rPr>
      </w:pPr>
      <w:r w:rsidRPr="00653A61">
        <w:rPr>
          <w:lang w:val="en-GB"/>
        </w:rPr>
        <w:t>Note that not all paths carry I/O; it depends on your configuration and multipathing software. Because each LUN typically has four paths, path management can be complicated if you have many LUNs.</w:t>
      </w:r>
    </w:p>
    <w:p w14:paraId="7092C6CC" w14:textId="77777777" w:rsidR="003E0C03" w:rsidRDefault="003E0C03" w:rsidP="003E0C03">
      <w:pPr>
        <w:rPr>
          <w:lang w:val="en-GB"/>
        </w:rPr>
      </w:pPr>
      <w:r w:rsidRPr="00653A61">
        <w:rPr>
          <w:lang w:val="en-GB"/>
        </w:rPr>
        <w:t xml:space="preserve">What does Path look like in </w:t>
      </w:r>
      <w:r>
        <w:rPr>
          <w:lang w:val="en-GB"/>
        </w:rPr>
        <w:t>v</w:t>
      </w:r>
      <w:r w:rsidRPr="00653A61">
        <w:rPr>
          <w:lang w:val="en-GB"/>
        </w:rPr>
        <w:t>SAN? As shared earlier, there is only 1 path.</w:t>
      </w:r>
    </w:p>
    <w:p w14:paraId="49E18675" w14:textId="77777777" w:rsidR="003E0C03" w:rsidRDefault="003E0C03" w:rsidP="003E0C03">
      <w:pPr>
        <w:rPr>
          <w:lang w:val="en-GB"/>
        </w:rPr>
      </w:pPr>
      <w:r>
        <w:rPr>
          <w:noProof/>
        </w:rPr>
        <w:drawing>
          <wp:inline distT="0" distB="0" distL="0" distR="0" wp14:anchorId="727B57AD" wp14:editId="00DF8C8D">
            <wp:extent cx="6645910" cy="2348230"/>
            <wp:effectExtent l="0" t="0" r="2540" b="0"/>
            <wp:docPr id="606394349" name="Picture 606394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49"/>
                    <pic:cNvPicPr/>
                  </pic:nvPicPr>
                  <pic:blipFill>
                    <a:blip r:embed="rId324" cstate="print">
                      <a:extLst>
                        <a:ext uri="{28A0092B-C50C-407E-A947-70E740481C1C}">
                          <a14:useLocalDpi xmlns:a14="http://schemas.microsoft.com/office/drawing/2010/main" val="0"/>
                        </a:ext>
                      </a:extLst>
                    </a:blip>
                    <a:stretch>
                      <a:fillRect/>
                    </a:stretch>
                  </pic:blipFill>
                  <pic:spPr>
                    <a:xfrm>
                      <a:off x="0" y="0"/>
                      <a:ext cx="6645910" cy="2348230"/>
                    </a:xfrm>
                    <a:prstGeom prst="rect">
                      <a:avLst/>
                    </a:prstGeom>
                  </pic:spPr>
                </pic:pic>
              </a:graphicData>
            </a:graphic>
          </wp:inline>
        </w:drawing>
      </w:r>
    </w:p>
    <w:p w14:paraId="2EE4193C" w14:textId="77777777" w:rsidR="00D34CD1" w:rsidRDefault="00D34CD1" w:rsidP="00D34CD1">
      <w:pPr>
        <w:pStyle w:val="Heading5"/>
      </w:pPr>
      <w:r>
        <w:lastRenderedPageBreak/>
        <w:t>Storage Devices</w:t>
      </w:r>
    </w:p>
    <w:p w14:paraId="2ADA0B7E" w14:textId="6E448EE2" w:rsidR="002B244B" w:rsidRDefault="00D34CD1" w:rsidP="00D34CD1">
      <w:pPr>
        <w:rPr>
          <w:lang w:val="en-GB"/>
        </w:rPr>
      </w:pPr>
      <w:r>
        <w:rPr>
          <w:lang w:val="en-GB"/>
        </w:rPr>
        <w:t xml:space="preserve">The term drive, disk, device, storage can be confusing as they are often used interchangeably in the industry. </w:t>
      </w:r>
      <w:r w:rsidR="002B244B">
        <w:rPr>
          <w:lang w:val="en-GB"/>
        </w:rPr>
        <w:t xml:space="preserve">vSphere Client uses the terms device and disk interchangeably. </w:t>
      </w:r>
      <w:r>
        <w:rPr>
          <w:lang w:val="en-GB"/>
        </w:rPr>
        <w:t xml:space="preserve">In vSphere, this means a physical disk or physical LUN partition </w:t>
      </w:r>
      <w:r w:rsidR="002B244B">
        <w:rPr>
          <w:lang w:val="en-GB"/>
        </w:rPr>
        <w:t xml:space="preserve">presented to ESXi </w:t>
      </w:r>
      <w:r>
        <w:rPr>
          <w:lang w:val="en-GB"/>
        </w:rPr>
        <w:t xml:space="preserve">host. </w:t>
      </w:r>
    </w:p>
    <w:p w14:paraId="7FA8DE8C" w14:textId="1BBFDEFB" w:rsidR="00D34CD1" w:rsidRPr="0023745A" w:rsidRDefault="00D34CD1" w:rsidP="00D34CD1">
      <w:pPr>
        <w:rPr>
          <w:lang w:val="en-GB"/>
        </w:rPr>
      </w:pPr>
      <w:r>
        <w:rPr>
          <w:lang w:val="en-GB"/>
        </w:rPr>
        <w:t xml:space="preserve">The following shows that the ESXi host has 3 storage devices, all are flash drive and the type = disk. The first two are used in vSAN datastore and are accessed via the adapter vmhba1. </w:t>
      </w:r>
    </w:p>
    <w:p w14:paraId="0C6E9334" w14:textId="77777777" w:rsidR="00D34CD1" w:rsidRPr="0023745A" w:rsidRDefault="00D34CD1" w:rsidP="00D34CD1">
      <w:pPr>
        <w:rPr>
          <w:lang w:val="en-GB"/>
        </w:rPr>
      </w:pPr>
      <w:r>
        <w:rPr>
          <w:noProof/>
        </w:rPr>
        <w:drawing>
          <wp:inline distT="0" distB="0" distL="0" distR="0" wp14:anchorId="519B6C0C" wp14:editId="528CDD41">
            <wp:extent cx="6645910" cy="3774440"/>
            <wp:effectExtent l="0" t="0" r="2540" b="0"/>
            <wp:docPr id="606394344" name="Picture 60639434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44" name="Picture 606394344" descr="Graphical user interface, text, application, email&#10;&#10;Description automatically generated"/>
                    <pic:cNvPicPr/>
                  </pic:nvPicPr>
                  <pic:blipFill>
                    <a:blip r:embed="rId325" cstate="print">
                      <a:extLst>
                        <a:ext uri="{28A0092B-C50C-407E-A947-70E740481C1C}">
                          <a14:useLocalDpi xmlns:a14="http://schemas.microsoft.com/office/drawing/2010/main" val="0"/>
                        </a:ext>
                      </a:extLst>
                    </a:blip>
                    <a:stretch>
                      <a:fillRect/>
                    </a:stretch>
                  </pic:blipFill>
                  <pic:spPr>
                    <a:xfrm>
                      <a:off x="0" y="0"/>
                      <a:ext cx="6645910" cy="3774440"/>
                    </a:xfrm>
                    <a:prstGeom prst="rect">
                      <a:avLst/>
                    </a:prstGeom>
                  </pic:spPr>
                </pic:pic>
              </a:graphicData>
            </a:graphic>
          </wp:inline>
        </w:drawing>
      </w:r>
    </w:p>
    <w:p w14:paraId="0911EC90" w14:textId="7286BC1D" w:rsidR="00D34CD1" w:rsidRDefault="00D34CD1" w:rsidP="00D34CD1">
      <w:pPr>
        <w:tabs>
          <w:tab w:val="left" w:pos="1265"/>
        </w:tabs>
        <w:rPr>
          <w:lang w:val="en-GB"/>
        </w:rPr>
      </w:pPr>
      <w:r w:rsidRPr="00813E48">
        <w:rPr>
          <w:lang w:val="en-GB"/>
        </w:rPr>
        <w:t>A storage path takes data from ESXi to the LUN (the term used by vSphere is</w:t>
      </w:r>
      <w:r>
        <w:rPr>
          <w:lang w:val="en-GB"/>
        </w:rPr>
        <w:t xml:space="preserve"> Devices</w:t>
      </w:r>
      <w:r w:rsidRPr="00813E48">
        <w:rPr>
          <w:lang w:val="en-GB"/>
        </w:rPr>
        <w:t xml:space="preserve">), not to the datastore. So if the datastore has multiple extents, there are four paths per extent. This is one reason why you should not use more than one extent, as each extent adds </w:t>
      </w:r>
      <w:r>
        <w:rPr>
          <w:lang w:val="en-GB"/>
        </w:rPr>
        <w:t>4</w:t>
      </w:r>
      <w:r w:rsidRPr="00813E48">
        <w:rPr>
          <w:lang w:val="en-GB"/>
        </w:rPr>
        <w:t xml:space="preserve"> paths.</w:t>
      </w:r>
      <w:r w:rsidRPr="00CA61CE">
        <w:rPr>
          <w:lang w:val="en-GB"/>
        </w:rPr>
        <w:t xml:space="preserve"> </w:t>
      </w:r>
      <w:r w:rsidRPr="00813E48">
        <w:rPr>
          <w:lang w:val="en-GB"/>
        </w:rPr>
        <w:t xml:space="preserve">If you are not familiar with VMFS Extent, Cormac Hogan explains it </w:t>
      </w:r>
      <w:hyperlink r:id="rId326" w:history="1">
        <w:r w:rsidRPr="00813E48">
          <w:rPr>
            <w:rStyle w:val="Hyperlink"/>
            <w:lang w:val="en-GB"/>
          </w:rPr>
          <w:t>here</w:t>
        </w:r>
      </w:hyperlink>
      <w:r>
        <w:rPr>
          <w:lang w:val="en-GB"/>
        </w:rPr>
        <w:t>.</w:t>
      </w:r>
    </w:p>
    <w:p w14:paraId="0FAD0C69" w14:textId="77777777" w:rsidR="00D34CD1" w:rsidRDefault="00D34CD1" w:rsidP="00D34CD1">
      <w:pPr>
        <w:tabs>
          <w:tab w:val="left" w:pos="1265"/>
        </w:tabs>
        <w:rPr>
          <w:lang w:val="en-GB"/>
        </w:rPr>
      </w:pPr>
      <w:r w:rsidRPr="00866D0E">
        <w:rPr>
          <w:lang w:val="en-GB"/>
        </w:rPr>
        <w:t xml:space="preserve">For VMFS (non </w:t>
      </w:r>
      <w:r>
        <w:rPr>
          <w:lang w:val="en-GB"/>
        </w:rPr>
        <w:t>v</w:t>
      </w:r>
      <w:r w:rsidRPr="00866D0E">
        <w:rPr>
          <w:lang w:val="en-GB"/>
        </w:rPr>
        <w:t xml:space="preserve">SAN), you can see the same </w:t>
      </w:r>
      <w:r>
        <w:rPr>
          <w:lang w:val="en-GB"/>
        </w:rPr>
        <w:t>metrics</w:t>
      </w:r>
      <w:r w:rsidRPr="00866D0E">
        <w:rPr>
          <w:lang w:val="en-GB"/>
        </w:rPr>
        <w:t xml:space="preserve"> at both the Datastore level and the Disk level. Their value will be identical if you follow the recommended configuration to create a 1:1 relationship between a datastore and a LUN. This means you present an entire LUN to a datastore (use all of its capacity)</w:t>
      </w:r>
      <w:r>
        <w:rPr>
          <w:lang w:val="en-GB"/>
        </w:rPr>
        <w:t>. The following shows a VMFS datastore with a NetApp LUN backing it.</w:t>
      </w:r>
    </w:p>
    <w:p w14:paraId="7CC1BF2E" w14:textId="77777777" w:rsidR="00D34CD1" w:rsidRDefault="00D34CD1" w:rsidP="00D34CD1">
      <w:pPr>
        <w:tabs>
          <w:tab w:val="left" w:pos="1265"/>
        </w:tabs>
        <w:jc w:val="center"/>
        <w:rPr>
          <w:lang w:val="en-GB"/>
        </w:rPr>
      </w:pPr>
      <w:r>
        <w:rPr>
          <w:noProof/>
        </w:rPr>
        <w:lastRenderedPageBreak/>
        <w:drawing>
          <wp:inline distT="0" distB="0" distL="0" distR="0" wp14:anchorId="0110D8BD" wp14:editId="7E578121">
            <wp:extent cx="4985999" cy="3294000"/>
            <wp:effectExtent l="0" t="0" r="5715" b="1905"/>
            <wp:docPr id="606394143" name="Picture 60639414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143" name="Picture 606394143" descr="Graphical user interface, text, application, email&#10;&#10;Description automatically generated"/>
                    <pic:cNvPicPr/>
                  </pic:nvPicPr>
                  <pic:blipFill>
                    <a:blip r:embed="rId327">
                      <a:extLst>
                        <a:ext uri="{28A0092B-C50C-407E-A947-70E740481C1C}">
                          <a14:useLocalDpi xmlns:a14="http://schemas.microsoft.com/office/drawing/2010/main" val="0"/>
                        </a:ext>
                      </a:extLst>
                    </a:blip>
                    <a:stretch>
                      <a:fillRect/>
                    </a:stretch>
                  </pic:blipFill>
                  <pic:spPr>
                    <a:xfrm>
                      <a:off x="0" y="0"/>
                      <a:ext cx="4985999" cy="3294000"/>
                    </a:xfrm>
                    <a:prstGeom prst="rect">
                      <a:avLst/>
                    </a:prstGeom>
                  </pic:spPr>
                </pic:pic>
              </a:graphicData>
            </a:graphic>
          </wp:inline>
        </w:drawing>
      </w:r>
    </w:p>
    <w:p w14:paraId="2FD039E7" w14:textId="77777777" w:rsidR="00D34CD1" w:rsidRDefault="00D34CD1" w:rsidP="00D34CD1">
      <w:pPr>
        <w:tabs>
          <w:tab w:val="left" w:pos="1265"/>
        </w:tabs>
        <w:rPr>
          <w:lang w:val="en-GB"/>
        </w:rPr>
      </w:pPr>
    </w:p>
    <w:p w14:paraId="624A25DD" w14:textId="77777777" w:rsidR="00D34CD1" w:rsidRDefault="00D34CD1" w:rsidP="00D34CD1">
      <w:pPr>
        <w:tabs>
          <w:tab w:val="left" w:pos="1265"/>
        </w:tabs>
        <w:rPr>
          <w:lang w:val="en-GB"/>
        </w:rPr>
      </w:pPr>
      <w:r w:rsidRPr="00C35BDE">
        <w:rPr>
          <w:lang w:val="en-GB"/>
        </w:rPr>
        <w:t xml:space="preserve">In </w:t>
      </w:r>
      <w:r>
        <w:rPr>
          <w:lang w:val="en-GB"/>
        </w:rPr>
        <w:t>v</w:t>
      </w:r>
      <w:r w:rsidRPr="00C35BDE">
        <w:rPr>
          <w:lang w:val="en-GB"/>
        </w:rPr>
        <w:t xml:space="preserve">SAN, there is no connectivity and Multipathing menu. There is no also </w:t>
      </w:r>
      <w:r w:rsidRPr="00C1061F">
        <w:rPr>
          <w:color w:val="00B0F0"/>
          <w:lang w:val="en-GB"/>
        </w:rPr>
        <w:t>Capability Sets</w:t>
      </w:r>
      <w:r w:rsidRPr="00F041A6">
        <w:rPr>
          <w:color w:val="00B0F0"/>
          <w:lang w:val="en-GB"/>
        </w:rPr>
        <w:t xml:space="preserve"> </w:t>
      </w:r>
      <w:r w:rsidRPr="00C35BDE">
        <w:rPr>
          <w:lang w:val="en-GB"/>
        </w:rPr>
        <w:t xml:space="preserve">menu. </w:t>
      </w:r>
      <w:r>
        <w:rPr>
          <w:lang w:val="en-GB"/>
        </w:rPr>
        <w:t xml:space="preserve">vSAN </w:t>
      </w:r>
      <w:r w:rsidRPr="00C35BDE">
        <w:rPr>
          <w:lang w:val="en-GB"/>
        </w:rPr>
        <w:t>datastore is not mapped to a LUN. It is supported by disk groups</w:t>
      </w:r>
      <w:r>
        <w:rPr>
          <w:lang w:val="en-GB"/>
        </w:rPr>
        <w:t>.</w:t>
      </w:r>
      <w:r w:rsidRPr="00C35BDE">
        <w:rPr>
          <w:lang w:val="en-GB"/>
        </w:rPr>
        <w:t xml:space="preserve"> </w:t>
      </w:r>
    </w:p>
    <w:p w14:paraId="054A9744" w14:textId="12AED038" w:rsidR="00FF0111" w:rsidRDefault="00FF0111" w:rsidP="00FF0111">
      <w:pPr>
        <w:pStyle w:val="Heading3"/>
      </w:pPr>
      <w:r w:rsidRPr="00A452F2">
        <w:t>Network</w:t>
      </w:r>
    </w:p>
    <w:p w14:paraId="5776A08D" w14:textId="25128B50" w:rsidR="006A1380" w:rsidRPr="006A1380" w:rsidRDefault="006A1380" w:rsidP="006A1380">
      <w:pPr>
        <w:rPr>
          <w:lang w:val="en-GB"/>
        </w:rPr>
      </w:pPr>
      <w:r>
        <w:rPr>
          <w:lang w:val="en-GB"/>
        </w:rPr>
        <w:t>Network monitoring is complex, especially in large data centers. Adding network virtualization takes the complexity of performance troubleshooting even higher.</w:t>
      </w:r>
    </w:p>
    <w:p w14:paraId="1999B5D1" w14:textId="77777777" w:rsidR="00FF0111" w:rsidRDefault="00FF0111" w:rsidP="00FF0111">
      <w:pPr>
        <w:rPr>
          <w:lang w:val="en-GB"/>
        </w:rPr>
      </w:pPr>
      <w:r>
        <w:rPr>
          <w:lang w:val="en-GB"/>
        </w:rPr>
        <w:t>Just like CPU, Memory and Disk, there is also a new layer introduced by virtualization. There are virtual network cards on each VM, and software-based switch on each ESXi bridging the VM card to the physical NIC card. The various ESXi VMkernel modules also do not “talk” directly to the physical card. Basically, what used to be the top of rack switch are now living inside each ESXi as an independent switch.</w:t>
      </w:r>
    </w:p>
    <w:p w14:paraId="38E0C98D" w14:textId="77777777" w:rsidR="00FF0111" w:rsidRPr="004B04B7" w:rsidRDefault="00FF0111" w:rsidP="00FF0111">
      <w:pPr>
        <w:jc w:val="center"/>
        <w:rPr>
          <w:lang w:val="en-GB"/>
        </w:rPr>
      </w:pPr>
      <w:r w:rsidRPr="00EF1685">
        <w:rPr>
          <w:noProof/>
          <w:lang w:val="en-GB"/>
        </w:rPr>
        <w:drawing>
          <wp:inline distT="0" distB="0" distL="0" distR="0" wp14:anchorId="1B36B23D" wp14:editId="1C60822A">
            <wp:extent cx="4608000" cy="1533600"/>
            <wp:effectExtent l="0" t="0" r="2540" b="0"/>
            <wp:docPr id="910169575" name="Picture 910169575"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75" name="Picture 910169575" descr="Graphical user interface&#10;&#10;Description automatically generated"/>
                    <pic:cNvPicPr/>
                  </pic:nvPicPr>
                  <pic:blipFill>
                    <a:blip r:embed="rId328"/>
                    <a:stretch>
                      <a:fillRect/>
                    </a:stretch>
                  </pic:blipFill>
                  <pic:spPr>
                    <a:xfrm>
                      <a:off x="0" y="0"/>
                      <a:ext cx="4608000" cy="1533600"/>
                    </a:xfrm>
                    <a:prstGeom prst="rect">
                      <a:avLst/>
                    </a:prstGeom>
                  </pic:spPr>
                </pic:pic>
              </a:graphicData>
            </a:graphic>
          </wp:inline>
        </w:drawing>
      </w:r>
    </w:p>
    <w:p w14:paraId="22A0E9A9" w14:textId="77777777" w:rsidR="00FF0111" w:rsidRDefault="00FF0111" w:rsidP="00FF0111">
      <w:pPr>
        <w:rPr>
          <w:lang w:val="en-GB"/>
        </w:rPr>
      </w:pPr>
      <w:r w:rsidRPr="00A452F2">
        <w:rPr>
          <w:lang w:val="en-GB"/>
        </w:rPr>
        <w:lastRenderedPageBreak/>
        <w:t>From performance and capacity management point of view, network has different fundamental characteristics to compute or storage. The key differences are summarized below.</w:t>
      </w:r>
    </w:p>
    <w:p w14:paraId="1230BE28" w14:textId="77777777" w:rsidR="00FF0111" w:rsidRPr="00A452F2" w:rsidRDefault="00FF0111" w:rsidP="00FF0111">
      <w:pPr>
        <w:pStyle w:val="BeforeTable"/>
        <w:rPr>
          <w:lang w:val="en-GB"/>
        </w:rPr>
      </w:pPr>
    </w:p>
    <w:tbl>
      <w:tblPr>
        <w:tblStyle w:val="TableGridLight"/>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742"/>
        <w:gridCol w:w="2490"/>
        <w:gridCol w:w="2552"/>
      </w:tblGrid>
      <w:tr w:rsidR="00FF0111" w:rsidRPr="00E51A31" w14:paraId="33E77EAA" w14:textId="77777777" w:rsidTr="00281329">
        <w:trPr>
          <w:jc w:val="center"/>
        </w:trPr>
        <w:tc>
          <w:tcPr>
            <w:tcW w:w="3742" w:type="dxa"/>
            <w:shd w:val="clear" w:color="auto" w:fill="F2F2F2" w:themeFill="background1" w:themeFillShade="F2"/>
          </w:tcPr>
          <w:p w14:paraId="72FBBC20" w14:textId="77777777" w:rsidR="00FF0111" w:rsidRPr="00A452F2" w:rsidRDefault="00FF0111" w:rsidP="00281329">
            <w:pPr>
              <w:pStyle w:val="Tableheading"/>
            </w:pPr>
          </w:p>
        </w:tc>
        <w:tc>
          <w:tcPr>
            <w:tcW w:w="2490" w:type="dxa"/>
          </w:tcPr>
          <w:p w14:paraId="3E6D0F49" w14:textId="77777777" w:rsidR="00FF0111" w:rsidRPr="00A452F2" w:rsidRDefault="00FF0111" w:rsidP="00281329">
            <w:pPr>
              <w:pStyle w:val="Tableheading"/>
            </w:pPr>
            <w:r w:rsidRPr="00A452F2">
              <w:t>Compute or Storage</w:t>
            </w:r>
          </w:p>
        </w:tc>
        <w:tc>
          <w:tcPr>
            <w:tcW w:w="2552" w:type="dxa"/>
          </w:tcPr>
          <w:p w14:paraId="78F04081" w14:textId="77777777" w:rsidR="00FF0111" w:rsidRPr="00A452F2" w:rsidRDefault="00FF0111" w:rsidP="00281329">
            <w:pPr>
              <w:pStyle w:val="Tableheading"/>
            </w:pPr>
            <w:r w:rsidRPr="00A452F2">
              <w:t>Network</w:t>
            </w:r>
          </w:p>
        </w:tc>
      </w:tr>
      <w:tr w:rsidR="00FF0111" w:rsidRPr="00E51A31" w14:paraId="32234D40" w14:textId="77777777" w:rsidTr="00281329">
        <w:trPr>
          <w:jc w:val="center"/>
        </w:trPr>
        <w:tc>
          <w:tcPr>
            <w:tcW w:w="3742" w:type="dxa"/>
            <w:shd w:val="clear" w:color="auto" w:fill="F2F2F2" w:themeFill="background1" w:themeFillShade="F2"/>
          </w:tcPr>
          <w:p w14:paraId="52F30584" w14:textId="77777777" w:rsidR="00FF0111" w:rsidRPr="00A452F2" w:rsidRDefault="00FF0111" w:rsidP="00281329">
            <w:pPr>
              <w:pStyle w:val="Tablecontent"/>
              <w:rPr>
                <w:lang w:val="en-GB"/>
              </w:rPr>
            </w:pPr>
            <w:r w:rsidRPr="4CAB3972">
              <w:rPr>
                <w:lang w:val="en-GB"/>
              </w:rPr>
              <w:t>Net available resource to VM</w:t>
            </w:r>
          </w:p>
        </w:tc>
        <w:tc>
          <w:tcPr>
            <w:tcW w:w="2490" w:type="dxa"/>
          </w:tcPr>
          <w:p w14:paraId="502776EA" w14:textId="77777777" w:rsidR="00FF0111" w:rsidRPr="00A452F2" w:rsidRDefault="00FF0111" w:rsidP="00281329">
            <w:pPr>
              <w:pStyle w:val="Tablecontent"/>
              <w:rPr>
                <w:lang w:val="en-GB"/>
              </w:rPr>
            </w:pPr>
            <w:r w:rsidRPr="00A452F2">
              <w:rPr>
                <w:lang w:val="en-GB"/>
              </w:rPr>
              <w:t xml:space="preserve">Relatively </w:t>
            </w:r>
            <w:r w:rsidRPr="007A1C3C">
              <w:rPr>
                <w:iCs/>
                <w:lang w:val="en-GB"/>
              </w:rPr>
              <w:t>high</w:t>
            </w:r>
            <w:r w:rsidRPr="00A452F2">
              <w:rPr>
                <w:lang w:val="en-GB"/>
              </w:rPr>
              <w:t xml:space="preserve"> </w:t>
            </w:r>
          </w:p>
        </w:tc>
        <w:tc>
          <w:tcPr>
            <w:tcW w:w="2552" w:type="dxa"/>
          </w:tcPr>
          <w:p w14:paraId="1509C04F" w14:textId="77777777" w:rsidR="00FF0111" w:rsidRPr="00A452F2" w:rsidRDefault="00FF0111" w:rsidP="00281329">
            <w:pPr>
              <w:pStyle w:val="Tablecontent"/>
              <w:rPr>
                <w:lang w:val="en-GB"/>
              </w:rPr>
            </w:pPr>
            <w:r w:rsidRPr="00A452F2">
              <w:rPr>
                <w:lang w:val="en-GB"/>
              </w:rPr>
              <w:t xml:space="preserve">Low </w:t>
            </w:r>
          </w:p>
        </w:tc>
      </w:tr>
      <w:tr w:rsidR="00FF0111" w:rsidRPr="00E51A31" w14:paraId="65DE7690" w14:textId="77777777" w:rsidTr="00281329">
        <w:trPr>
          <w:jc w:val="center"/>
        </w:trPr>
        <w:tc>
          <w:tcPr>
            <w:tcW w:w="3742" w:type="dxa"/>
            <w:shd w:val="clear" w:color="auto" w:fill="F2F2F2" w:themeFill="background1" w:themeFillShade="F2"/>
          </w:tcPr>
          <w:p w14:paraId="0F574CB8" w14:textId="77777777" w:rsidR="00FF0111" w:rsidRPr="00A452F2" w:rsidRDefault="00FF0111" w:rsidP="00281329">
            <w:pPr>
              <w:pStyle w:val="Tablecontent"/>
              <w:rPr>
                <w:i/>
                <w:lang w:val="en-GB"/>
              </w:rPr>
            </w:pPr>
            <w:r>
              <w:rPr>
                <w:lang w:val="en-GB"/>
              </w:rPr>
              <w:t>R</w:t>
            </w:r>
            <w:r w:rsidRPr="00A452F2">
              <w:rPr>
                <w:lang w:val="en-GB"/>
              </w:rPr>
              <w:t>esource allocation at VM level</w:t>
            </w:r>
          </w:p>
        </w:tc>
        <w:tc>
          <w:tcPr>
            <w:tcW w:w="2490" w:type="dxa"/>
          </w:tcPr>
          <w:p w14:paraId="2326F8BA" w14:textId="77777777" w:rsidR="00FF0111" w:rsidRPr="007A1C3C" w:rsidRDefault="00FF0111" w:rsidP="00281329">
            <w:pPr>
              <w:pStyle w:val="Tablecontent"/>
              <w:rPr>
                <w:iCs/>
                <w:lang w:val="en-GB"/>
              </w:rPr>
            </w:pPr>
            <w:r w:rsidRPr="007A1C3C">
              <w:rPr>
                <w:iCs/>
                <w:lang w:val="en-GB"/>
              </w:rPr>
              <w:t xml:space="preserve">Granular </w:t>
            </w:r>
          </w:p>
        </w:tc>
        <w:tc>
          <w:tcPr>
            <w:tcW w:w="2552" w:type="dxa"/>
          </w:tcPr>
          <w:p w14:paraId="2920AECB" w14:textId="77777777" w:rsidR="00FF0111" w:rsidRPr="00A452F2" w:rsidRDefault="00FF0111" w:rsidP="00281329">
            <w:pPr>
              <w:pStyle w:val="Tablecontent"/>
              <w:rPr>
                <w:lang w:val="en-GB"/>
              </w:rPr>
            </w:pPr>
            <w:r w:rsidRPr="00A452F2">
              <w:rPr>
                <w:lang w:val="en-GB"/>
              </w:rPr>
              <w:t xml:space="preserve">Coarse </w:t>
            </w:r>
          </w:p>
        </w:tc>
      </w:tr>
      <w:tr w:rsidR="00FF0111" w:rsidRPr="00E51A31" w14:paraId="6058306F" w14:textId="77777777" w:rsidTr="00281329">
        <w:trPr>
          <w:jc w:val="center"/>
        </w:trPr>
        <w:tc>
          <w:tcPr>
            <w:tcW w:w="3742" w:type="dxa"/>
            <w:shd w:val="clear" w:color="auto" w:fill="F2F2F2" w:themeFill="background1" w:themeFillShade="F2"/>
          </w:tcPr>
          <w:p w14:paraId="227763D5" w14:textId="77777777" w:rsidR="00FF0111" w:rsidRPr="00A452F2" w:rsidRDefault="00FF0111" w:rsidP="00281329">
            <w:pPr>
              <w:pStyle w:val="Tablecontent"/>
              <w:rPr>
                <w:lang w:val="en-GB"/>
              </w:rPr>
            </w:pPr>
            <w:r>
              <w:rPr>
                <w:lang w:val="en-GB"/>
              </w:rPr>
              <w:t xml:space="preserve">Hardware </w:t>
            </w:r>
          </w:p>
        </w:tc>
        <w:tc>
          <w:tcPr>
            <w:tcW w:w="2490" w:type="dxa"/>
          </w:tcPr>
          <w:p w14:paraId="593D9CF9" w14:textId="77777777" w:rsidR="00FF0111" w:rsidRPr="00A452F2" w:rsidRDefault="00FF0111" w:rsidP="00281329">
            <w:pPr>
              <w:pStyle w:val="Tablecontent"/>
              <w:rPr>
                <w:lang w:val="en-GB"/>
              </w:rPr>
            </w:pPr>
            <w:r w:rsidRPr="00A452F2">
              <w:rPr>
                <w:lang w:val="en-GB"/>
              </w:rPr>
              <w:t xml:space="preserve">Single purpose </w:t>
            </w:r>
          </w:p>
        </w:tc>
        <w:tc>
          <w:tcPr>
            <w:tcW w:w="2552" w:type="dxa"/>
          </w:tcPr>
          <w:p w14:paraId="2BBBD7F2" w14:textId="77777777" w:rsidR="00FF0111" w:rsidRPr="00A452F2" w:rsidRDefault="00FF0111" w:rsidP="00281329">
            <w:pPr>
              <w:pStyle w:val="Tablecontent"/>
              <w:rPr>
                <w:lang w:val="en-GB"/>
              </w:rPr>
            </w:pPr>
            <w:r w:rsidRPr="00A452F2">
              <w:rPr>
                <w:lang w:val="en-GB"/>
              </w:rPr>
              <w:t xml:space="preserve">Multi-purpose </w:t>
            </w:r>
          </w:p>
        </w:tc>
      </w:tr>
      <w:tr w:rsidR="00FF0111" w:rsidRPr="00E51A31" w14:paraId="7812E94D" w14:textId="77777777" w:rsidTr="00281329">
        <w:trPr>
          <w:jc w:val="center"/>
        </w:trPr>
        <w:tc>
          <w:tcPr>
            <w:tcW w:w="3742" w:type="dxa"/>
            <w:shd w:val="clear" w:color="auto" w:fill="F2F2F2" w:themeFill="background1" w:themeFillShade="F2"/>
          </w:tcPr>
          <w:p w14:paraId="32470424" w14:textId="77777777" w:rsidR="00FF0111" w:rsidRPr="00A452F2" w:rsidRDefault="00FF0111" w:rsidP="00281329">
            <w:pPr>
              <w:pStyle w:val="Tablecontent"/>
              <w:rPr>
                <w:lang w:val="en-GB"/>
              </w:rPr>
            </w:pPr>
            <w:r>
              <w:rPr>
                <w:lang w:val="en-GB"/>
              </w:rPr>
              <w:t>Nature</w:t>
            </w:r>
          </w:p>
        </w:tc>
        <w:tc>
          <w:tcPr>
            <w:tcW w:w="2490" w:type="dxa"/>
          </w:tcPr>
          <w:p w14:paraId="6976AF8B" w14:textId="77777777" w:rsidR="00FF0111" w:rsidRPr="00A452F2" w:rsidRDefault="00FF0111" w:rsidP="00281329">
            <w:pPr>
              <w:pStyle w:val="Tablecontent"/>
              <w:rPr>
                <w:lang w:val="en-GB"/>
              </w:rPr>
            </w:pPr>
            <w:r w:rsidRPr="00A452F2">
              <w:rPr>
                <w:lang w:val="en-GB"/>
              </w:rPr>
              <w:t xml:space="preserve">A node </w:t>
            </w:r>
          </w:p>
        </w:tc>
        <w:tc>
          <w:tcPr>
            <w:tcW w:w="2552" w:type="dxa"/>
          </w:tcPr>
          <w:p w14:paraId="093958DE" w14:textId="77777777" w:rsidR="00FF0111" w:rsidRPr="00A452F2" w:rsidRDefault="00FF0111" w:rsidP="00281329">
            <w:pPr>
              <w:pStyle w:val="Tablecontent"/>
              <w:rPr>
                <w:lang w:val="en-GB"/>
              </w:rPr>
            </w:pPr>
            <w:r w:rsidRPr="00A452F2">
              <w:rPr>
                <w:lang w:val="en-GB"/>
              </w:rPr>
              <w:t>An interconnect</w:t>
            </w:r>
          </w:p>
        </w:tc>
      </w:tr>
      <w:tr w:rsidR="00FF0111" w:rsidRPr="00E51A31" w14:paraId="6D811422" w14:textId="77777777" w:rsidTr="00281329">
        <w:trPr>
          <w:jc w:val="center"/>
        </w:trPr>
        <w:tc>
          <w:tcPr>
            <w:tcW w:w="3742" w:type="dxa"/>
            <w:shd w:val="clear" w:color="auto" w:fill="F2F2F2" w:themeFill="background1" w:themeFillShade="F2"/>
          </w:tcPr>
          <w:p w14:paraId="088D3912" w14:textId="77777777" w:rsidR="00FF0111" w:rsidRDefault="00FF0111" w:rsidP="00281329">
            <w:pPr>
              <w:pStyle w:val="Tablecontent"/>
              <w:rPr>
                <w:lang w:val="en-GB"/>
              </w:rPr>
            </w:pPr>
            <w:r>
              <w:rPr>
                <w:lang w:val="en-GB"/>
              </w:rPr>
              <w:t>Upper Limit</w:t>
            </w:r>
          </w:p>
        </w:tc>
        <w:tc>
          <w:tcPr>
            <w:tcW w:w="2490" w:type="dxa"/>
          </w:tcPr>
          <w:p w14:paraId="2CD31206" w14:textId="77777777" w:rsidR="00FF0111" w:rsidRPr="00A452F2" w:rsidRDefault="00FF0111" w:rsidP="00281329">
            <w:pPr>
              <w:pStyle w:val="Tablecontent"/>
              <w:rPr>
                <w:lang w:val="en-GB"/>
              </w:rPr>
            </w:pPr>
            <w:r>
              <w:rPr>
                <w:lang w:val="en-GB"/>
              </w:rPr>
              <w:t>Yes</w:t>
            </w:r>
          </w:p>
        </w:tc>
        <w:tc>
          <w:tcPr>
            <w:tcW w:w="2552" w:type="dxa"/>
          </w:tcPr>
          <w:p w14:paraId="386749A5" w14:textId="77777777" w:rsidR="00FF0111" w:rsidRPr="00A452F2" w:rsidRDefault="00FF0111" w:rsidP="00281329">
            <w:pPr>
              <w:pStyle w:val="Tablecontent"/>
              <w:rPr>
                <w:lang w:val="en-GB"/>
              </w:rPr>
            </w:pPr>
            <w:r>
              <w:rPr>
                <w:lang w:val="en-GB"/>
              </w:rPr>
              <w:t>No</w:t>
            </w:r>
          </w:p>
        </w:tc>
      </w:tr>
      <w:tr w:rsidR="00FF0111" w:rsidRPr="00E51A31" w14:paraId="19BDD91B" w14:textId="77777777" w:rsidTr="00281329">
        <w:trPr>
          <w:jc w:val="center"/>
        </w:trPr>
        <w:tc>
          <w:tcPr>
            <w:tcW w:w="3742" w:type="dxa"/>
            <w:shd w:val="clear" w:color="auto" w:fill="F2F2F2" w:themeFill="background1" w:themeFillShade="F2"/>
          </w:tcPr>
          <w:p w14:paraId="0BEE4A5A" w14:textId="77777777" w:rsidR="00FF0111" w:rsidRDefault="00FF0111" w:rsidP="00281329">
            <w:pPr>
              <w:pStyle w:val="Tablecontent"/>
              <w:rPr>
                <w:lang w:val="en-GB"/>
              </w:rPr>
            </w:pPr>
            <w:r>
              <w:rPr>
                <w:lang w:val="en-GB"/>
              </w:rPr>
              <w:t>Monitoring</w:t>
            </w:r>
          </w:p>
        </w:tc>
        <w:tc>
          <w:tcPr>
            <w:tcW w:w="2490" w:type="dxa"/>
          </w:tcPr>
          <w:p w14:paraId="4FA704AF" w14:textId="77777777" w:rsidR="00FF0111" w:rsidRDefault="00FF0111" w:rsidP="00281329">
            <w:pPr>
              <w:pStyle w:val="Tablecontent"/>
              <w:rPr>
                <w:lang w:val="en-GB"/>
              </w:rPr>
            </w:pPr>
            <w:r>
              <w:rPr>
                <w:lang w:val="en-GB"/>
              </w:rPr>
              <w:t>Simpler</w:t>
            </w:r>
          </w:p>
        </w:tc>
        <w:tc>
          <w:tcPr>
            <w:tcW w:w="2552" w:type="dxa"/>
          </w:tcPr>
          <w:p w14:paraId="556B8AEF" w14:textId="77777777" w:rsidR="00FF0111" w:rsidRDefault="00FF0111" w:rsidP="00281329">
            <w:pPr>
              <w:pStyle w:val="Tablecontent"/>
              <w:rPr>
                <w:lang w:val="en-GB"/>
              </w:rPr>
            </w:pPr>
            <w:r>
              <w:rPr>
                <w:lang w:val="en-GB"/>
              </w:rPr>
              <w:t>Harder</w:t>
            </w:r>
          </w:p>
        </w:tc>
      </w:tr>
      <w:tr w:rsidR="00FF0111" w:rsidRPr="00E51A31" w14:paraId="282C72BE" w14:textId="77777777" w:rsidTr="00281329">
        <w:trPr>
          <w:jc w:val="center"/>
        </w:trPr>
        <w:tc>
          <w:tcPr>
            <w:tcW w:w="3742" w:type="dxa"/>
            <w:shd w:val="clear" w:color="auto" w:fill="F2F2F2" w:themeFill="background1" w:themeFillShade="F2"/>
          </w:tcPr>
          <w:p w14:paraId="233E91F7" w14:textId="77777777" w:rsidR="00FF0111" w:rsidRDefault="00FF0111" w:rsidP="00281329">
            <w:pPr>
              <w:pStyle w:val="Tablecontent"/>
              <w:rPr>
                <w:lang w:val="en-GB"/>
              </w:rPr>
            </w:pPr>
            <w:r>
              <w:rPr>
                <w:lang w:val="en-GB"/>
              </w:rPr>
              <w:t>Location</w:t>
            </w:r>
          </w:p>
        </w:tc>
        <w:tc>
          <w:tcPr>
            <w:tcW w:w="2490" w:type="dxa"/>
          </w:tcPr>
          <w:p w14:paraId="32726A34" w14:textId="77777777" w:rsidR="00FF0111" w:rsidRDefault="00FF0111" w:rsidP="00281329">
            <w:pPr>
              <w:pStyle w:val="Tablecontent"/>
              <w:rPr>
                <w:lang w:val="en-GB"/>
              </w:rPr>
            </w:pPr>
            <w:r>
              <w:rPr>
                <w:lang w:val="en-GB"/>
              </w:rPr>
              <w:t>Fewer</w:t>
            </w:r>
          </w:p>
        </w:tc>
        <w:tc>
          <w:tcPr>
            <w:tcW w:w="2552" w:type="dxa"/>
          </w:tcPr>
          <w:p w14:paraId="6A610C94" w14:textId="77777777" w:rsidR="00FF0111" w:rsidRDefault="00FF0111" w:rsidP="00281329">
            <w:pPr>
              <w:pStyle w:val="Tablecontent"/>
              <w:rPr>
                <w:lang w:val="en-GB"/>
              </w:rPr>
            </w:pPr>
            <w:r>
              <w:rPr>
                <w:lang w:val="en-GB"/>
              </w:rPr>
              <w:t>Many</w:t>
            </w:r>
          </w:p>
        </w:tc>
      </w:tr>
      <w:tr w:rsidR="004E6C54" w:rsidRPr="00E51A31" w14:paraId="42F38DD6" w14:textId="77777777" w:rsidTr="00281329">
        <w:trPr>
          <w:jc w:val="center"/>
        </w:trPr>
        <w:tc>
          <w:tcPr>
            <w:tcW w:w="3742" w:type="dxa"/>
            <w:shd w:val="clear" w:color="auto" w:fill="F2F2F2" w:themeFill="background1" w:themeFillShade="F2"/>
          </w:tcPr>
          <w:p w14:paraId="02D53C94" w14:textId="1A8443B4" w:rsidR="004E6C54" w:rsidRDefault="004E6C54" w:rsidP="00281329">
            <w:pPr>
              <w:pStyle w:val="Tablecontent"/>
              <w:rPr>
                <w:lang w:val="en-GB"/>
              </w:rPr>
            </w:pPr>
            <w:r>
              <w:rPr>
                <w:lang w:val="en-GB"/>
              </w:rPr>
              <w:t>Workload Type</w:t>
            </w:r>
          </w:p>
        </w:tc>
        <w:tc>
          <w:tcPr>
            <w:tcW w:w="2490" w:type="dxa"/>
          </w:tcPr>
          <w:p w14:paraId="4981A633" w14:textId="4CEACDD4" w:rsidR="004E6C54" w:rsidRDefault="004E6C54" w:rsidP="00281329">
            <w:pPr>
              <w:pStyle w:val="Tablecontent"/>
              <w:rPr>
                <w:lang w:val="en-GB"/>
              </w:rPr>
            </w:pPr>
            <w:r>
              <w:rPr>
                <w:lang w:val="en-GB"/>
              </w:rPr>
              <w:t>1</w:t>
            </w:r>
          </w:p>
        </w:tc>
        <w:tc>
          <w:tcPr>
            <w:tcW w:w="2552" w:type="dxa"/>
          </w:tcPr>
          <w:p w14:paraId="0DD1C15C" w14:textId="4C8A5869" w:rsidR="004E6C54" w:rsidRDefault="004E6C54" w:rsidP="00281329">
            <w:pPr>
              <w:pStyle w:val="Tablecontent"/>
              <w:rPr>
                <w:lang w:val="en-GB"/>
              </w:rPr>
            </w:pPr>
            <w:r>
              <w:rPr>
                <w:lang w:val="en-GB"/>
              </w:rPr>
              <w:t>Many</w:t>
            </w:r>
          </w:p>
        </w:tc>
      </w:tr>
    </w:tbl>
    <w:p w14:paraId="4C3AA8DB" w14:textId="77777777" w:rsidR="00FF0111" w:rsidRPr="00A452F2" w:rsidRDefault="00FF0111" w:rsidP="00FF0111">
      <w:pPr>
        <w:pStyle w:val="BeforeTable"/>
        <w:rPr>
          <w:lang w:val="en-GB"/>
        </w:rPr>
      </w:pPr>
    </w:p>
    <w:p w14:paraId="66269E41" w14:textId="5236E0E5" w:rsidR="001406B1" w:rsidRDefault="001406B1" w:rsidP="001406B1">
      <w:pPr>
        <w:pStyle w:val="Heading4"/>
      </w:pPr>
      <w:r>
        <w:t>Network Observability</w:t>
      </w:r>
    </w:p>
    <w:p w14:paraId="41E965A1" w14:textId="77777777" w:rsidR="00BC5693" w:rsidRDefault="00BC5693" w:rsidP="00BC5693">
      <w:pPr>
        <w:rPr>
          <w:lang w:val="en-GB"/>
        </w:rPr>
      </w:pPr>
      <w:r w:rsidRPr="4CAB3972">
        <w:rPr>
          <w:lang w:val="en-GB"/>
        </w:rPr>
        <w:t xml:space="preserve">Let’s explain the </w:t>
      </w:r>
      <w:r>
        <w:rPr>
          <w:lang w:val="en-GB"/>
        </w:rPr>
        <w:t>preceding table, covering each row one by one.</w:t>
      </w:r>
    </w:p>
    <w:p w14:paraId="43D48E96" w14:textId="77777777" w:rsidR="00FF0111" w:rsidRPr="00A452F2" w:rsidRDefault="00FF0111" w:rsidP="001406B1">
      <w:pPr>
        <w:pStyle w:val="Heading5"/>
      </w:pPr>
      <w:r>
        <w:t>Net Available Resource</w:t>
      </w:r>
    </w:p>
    <w:p w14:paraId="4C6EEDC7" w14:textId="77777777" w:rsidR="00FF0111" w:rsidRPr="00A452F2" w:rsidRDefault="00FF0111" w:rsidP="00FF0111">
      <w:pPr>
        <w:rPr>
          <w:lang w:val="en-GB"/>
        </w:rPr>
      </w:pPr>
      <w:r w:rsidRPr="4CAB3972">
        <w:rPr>
          <w:lang w:val="en-GB"/>
        </w:rPr>
        <w:t>At the end of the day, the net available resources to the VMs are</w:t>
      </w:r>
      <w:r>
        <w:rPr>
          <w:lang w:val="en-GB"/>
        </w:rPr>
        <w:t xml:space="preserve"> </w:t>
      </w:r>
      <w:r w:rsidRPr="4CAB3972">
        <w:rPr>
          <w:lang w:val="en-GB"/>
        </w:rPr>
        <w:t xml:space="preserve">what we care about. What the IaaS platform used is considered an overhead. The more ESXi </w:t>
      </w:r>
      <w:r>
        <w:rPr>
          <w:lang w:val="en-GB"/>
        </w:rPr>
        <w:t>VMkernel</w:t>
      </w:r>
      <w:r w:rsidRPr="4CAB3972">
        <w:rPr>
          <w:lang w:val="en-GB"/>
        </w:rPr>
        <w:t>, NSX, vSAN, vSphere Replication use, the lesser you have left for the business workload.</w:t>
      </w:r>
    </w:p>
    <w:p w14:paraId="56A4D611" w14:textId="77777777" w:rsidR="00FF0111" w:rsidRPr="00A452F2" w:rsidRDefault="00FF0111" w:rsidP="00FF0111">
      <w:pPr>
        <w:rPr>
          <w:lang w:val="en-GB"/>
        </w:rPr>
      </w:pPr>
      <w:r w:rsidRPr="00A452F2">
        <w:rPr>
          <w:lang w:val="en-GB"/>
        </w:rPr>
        <w:t xml:space="preserve">An ESXi host has a fixed specification (for example, </w:t>
      </w:r>
      <w:r>
        <w:rPr>
          <w:lang w:val="en-GB"/>
        </w:rPr>
        <w:t>2</w:t>
      </w:r>
      <w:r w:rsidRPr="00A452F2">
        <w:rPr>
          <w:lang w:val="en-GB"/>
        </w:rPr>
        <w:t xml:space="preserve"> CPUs, </w:t>
      </w:r>
      <w:r>
        <w:rPr>
          <w:lang w:val="en-GB"/>
        </w:rPr>
        <w:t>60</w:t>
      </w:r>
      <w:r w:rsidRPr="00A452F2">
        <w:rPr>
          <w:lang w:val="en-GB"/>
        </w:rPr>
        <w:t xml:space="preserve"> cores, </w:t>
      </w:r>
      <w:r>
        <w:rPr>
          <w:lang w:val="en-GB"/>
        </w:rPr>
        <w:t>512</w:t>
      </w:r>
      <w:r w:rsidRPr="00A452F2">
        <w:rPr>
          <w:lang w:val="en-GB"/>
        </w:rPr>
        <w:t xml:space="preserve"> GB RAM, 2 x </w:t>
      </w:r>
      <w:r>
        <w:rPr>
          <w:lang w:val="en-GB"/>
        </w:rPr>
        <w:t>25</w:t>
      </w:r>
      <w:r w:rsidRPr="00A452F2">
        <w:rPr>
          <w:lang w:val="en-GB"/>
        </w:rPr>
        <w:t xml:space="preserve"> GE NIC). This means we know the upper physical limit. How much of that it available to the VMs?</w:t>
      </w:r>
      <w:r>
        <w:rPr>
          <w:lang w:val="en-GB"/>
        </w:rPr>
        <w:t xml:space="preserve"> Another word, what is the usable capacity for the business workload? </w:t>
      </w:r>
    </w:p>
    <w:p w14:paraId="0CB51DCD" w14:textId="77777777" w:rsidR="00FF0111" w:rsidRPr="00A452F2" w:rsidRDefault="00FF0111" w:rsidP="00FF0111">
      <w:pPr>
        <w:rPr>
          <w:lang w:val="en-GB"/>
        </w:rPr>
      </w:pPr>
      <w:r w:rsidRPr="00A452F2">
        <w:rPr>
          <w:lang w:val="en-GB"/>
        </w:rPr>
        <w:t xml:space="preserve">For compute, the hypervisor consumes a relatively low proportion of resources. Even if you add a software-defined storage such as </w:t>
      </w:r>
      <w:r>
        <w:rPr>
          <w:lang w:val="en-GB"/>
        </w:rPr>
        <w:t>v</w:t>
      </w:r>
      <w:r w:rsidRPr="00A452F2">
        <w:rPr>
          <w:lang w:val="en-GB"/>
        </w:rPr>
        <w:t>SAN, you are looking at around 10% total utilization but depends on many factors</w:t>
      </w:r>
      <w:r>
        <w:rPr>
          <w:lang w:val="en-GB"/>
        </w:rPr>
        <w:t>.</w:t>
      </w:r>
    </w:p>
    <w:p w14:paraId="1B44E9DD" w14:textId="77777777" w:rsidR="00FF0111" w:rsidRPr="00A452F2" w:rsidRDefault="00FF0111" w:rsidP="00FF0111">
      <w:pPr>
        <w:rPr>
          <w:lang w:val="en-GB"/>
        </w:rPr>
      </w:pPr>
      <w:r w:rsidRPr="00A452F2">
        <w:rPr>
          <w:lang w:val="en-GB"/>
        </w:rPr>
        <w:t xml:space="preserve">The same cannot be said about network. Mass vMotion (for example, when the host enters maintenance mode), storage vMotion (in IP storage case), VM provisioning or cloning (for IP storage), and </w:t>
      </w:r>
      <w:r>
        <w:rPr>
          <w:lang w:val="en-GB"/>
        </w:rPr>
        <w:t>v</w:t>
      </w:r>
      <w:r w:rsidRPr="00A452F2">
        <w:rPr>
          <w:lang w:val="en-GB"/>
        </w:rPr>
        <w:t xml:space="preserve">SAN all take up significant network bandwidth. In fact, the non-VM network takes up the majority of the ESXi resources. If you have 2 x </w:t>
      </w:r>
      <w:r>
        <w:rPr>
          <w:lang w:val="en-GB"/>
        </w:rPr>
        <w:t>25</w:t>
      </w:r>
      <w:r w:rsidRPr="00A452F2">
        <w:rPr>
          <w:lang w:val="en-GB"/>
        </w:rPr>
        <w:t xml:space="preserve"> GE NIC, majority of it is </w:t>
      </w:r>
      <w:r w:rsidRPr="003C0E99">
        <w:rPr>
          <w:i/>
          <w:iCs/>
          <w:color w:val="FF0000"/>
          <w:lang w:val="en-GB"/>
        </w:rPr>
        <w:t>not</w:t>
      </w:r>
      <w:r w:rsidRPr="003C0E99">
        <w:rPr>
          <w:color w:val="FF0000"/>
          <w:lang w:val="en-GB"/>
        </w:rPr>
        <w:t xml:space="preserve"> </w:t>
      </w:r>
      <w:r w:rsidRPr="00A452F2">
        <w:rPr>
          <w:lang w:val="en-GB"/>
        </w:rPr>
        <w:t>used by VM.</w:t>
      </w:r>
      <w:r>
        <w:rPr>
          <w:lang w:val="en-GB"/>
        </w:rPr>
        <w:t xml:space="preserve"> The following screenshot shows that VM only gets 100 shares out of 500 shares. So the overhead can be as high as 80%!</w:t>
      </w:r>
    </w:p>
    <w:p w14:paraId="3DCC7317" w14:textId="77777777" w:rsidR="00FF0111" w:rsidRDefault="00FF0111" w:rsidP="00FF0111">
      <w:pPr>
        <w:jc w:val="center"/>
        <w:rPr>
          <w:lang w:val="en-GB"/>
        </w:rPr>
      </w:pPr>
      <w:r>
        <w:rPr>
          <w:noProof/>
        </w:rPr>
        <w:lastRenderedPageBreak/>
        <w:drawing>
          <wp:inline distT="0" distB="0" distL="0" distR="0" wp14:anchorId="3D6E3AFB" wp14:editId="48D99217">
            <wp:extent cx="6728400" cy="4525200"/>
            <wp:effectExtent l="0" t="0" r="0" b="8890"/>
            <wp:docPr id="606394151" name="Picture 60639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51"/>
                    <pic:cNvPicPr/>
                  </pic:nvPicPr>
                  <pic:blipFill>
                    <a:blip r:embed="rId329" cstate="print">
                      <a:extLst>
                        <a:ext uri="{28A0092B-C50C-407E-A947-70E740481C1C}">
                          <a14:useLocalDpi xmlns:a14="http://schemas.microsoft.com/office/drawing/2010/main" val="0"/>
                        </a:ext>
                      </a:extLst>
                    </a:blip>
                    <a:stretch>
                      <a:fillRect/>
                    </a:stretch>
                  </pic:blipFill>
                  <pic:spPr>
                    <a:xfrm>
                      <a:off x="0" y="0"/>
                      <a:ext cx="6728400" cy="4525200"/>
                    </a:xfrm>
                    <a:prstGeom prst="rect">
                      <a:avLst/>
                    </a:prstGeom>
                  </pic:spPr>
                </pic:pic>
              </a:graphicData>
            </a:graphic>
          </wp:inline>
        </w:drawing>
      </w:r>
    </w:p>
    <w:p w14:paraId="67680ED9" w14:textId="77777777" w:rsidR="00FF0111" w:rsidRDefault="00FF0111" w:rsidP="001406B1">
      <w:pPr>
        <w:pStyle w:val="Heading5"/>
      </w:pPr>
      <w:r>
        <w:t>Allocated Resource</w:t>
      </w:r>
    </w:p>
    <w:p w14:paraId="1E0E7E57" w14:textId="77777777" w:rsidR="00FF0111" w:rsidRPr="00A452F2" w:rsidRDefault="00FF0111" w:rsidP="00FF0111">
      <w:pPr>
        <w:rPr>
          <w:lang w:val="en-GB"/>
        </w:rPr>
      </w:pPr>
      <w:r>
        <w:rPr>
          <w:lang w:val="en-GB"/>
        </w:rPr>
        <w:t xml:space="preserve">This means </w:t>
      </w:r>
      <w:r w:rsidRPr="00A452F2">
        <w:rPr>
          <w:lang w:val="en-GB"/>
        </w:rPr>
        <w:t>the resource that is given to a</w:t>
      </w:r>
      <w:r>
        <w:rPr>
          <w:lang w:val="en-GB"/>
        </w:rPr>
        <w:t xml:space="preserve"> single</w:t>
      </w:r>
      <w:r w:rsidRPr="00A452F2">
        <w:rPr>
          <w:lang w:val="en-GB"/>
        </w:rPr>
        <w:t xml:space="preserve"> VM itself. For compute, we can configure a granular size of CPU and RAM. For the CPU, we can assign one, two, three, four, etc. vCPUs. </w:t>
      </w:r>
    </w:p>
    <w:p w14:paraId="2D118B7A" w14:textId="77777777" w:rsidR="00FF0111" w:rsidRDefault="00FF0111" w:rsidP="00FF0111">
      <w:pPr>
        <w:rPr>
          <w:lang w:val="en-GB"/>
        </w:rPr>
      </w:pPr>
      <w:r w:rsidRPr="00A452F2">
        <w:rPr>
          <w:lang w:val="en-GB"/>
        </w:rPr>
        <w:t>With network, we cannot specify the vNIC speed. It takes the speed of the ESXi vmnic assigned to the VM port group. So each VM will either see 1 GE or 10 GE</w:t>
      </w:r>
      <w:r>
        <w:rPr>
          <w:lang w:val="en-GB"/>
        </w:rPr>
        <w:t xml:space="preserve"> or 25 GE</w:t>
      </w:r>
      <w:r w:rsidRPr="00A452F2">
        <w:rPr>
          <w:lang w:val="en-GB"/>
        </w:rPr>
        <w:t xml:space="preserve"> (you need to have the right vNIC driver, obviously). You cannot allocate another amount, such as 500 Mbps or 250 Mbps in the Guest OS. In the physical world, we tend to assume that each server has 1</w:t>
      </w:r>
      <w:r>
        <w:rPr>
          <w:lang w:val="en-GB"/>
        </w:rPr>
        <w:t>0</w:t>
      </w:r>
      <w:r w:rsidRPr="00A452F2">
        <w:rPr>
          <w:lang w:val="en-GB"/>
        </w:rPr>
        <w:t xml:space="preserve"> GE and the network has sufficient bandwidth. You cannot assume this in a virtual data center as you no longer have 1</w:t>
      </w:r>
      <w:r>
        <w:rPr>
          <w:lang w:val="en-GB"/>
        </w:rPr>
        <w:t>0</w:t>
      </w:r>
      <w:r w:rsidRPr="00A452F2">
        <w:rPr>
          <w:lang w:val="en-GB"/>
        </w:rPr>
        <w:t xml:space="preserve"> GE for every VM at the physical level. It is shared and typically oversubscribed. </w:t>
      </w:r>
    </w:p>
    <w:p w14:paraId="15207FD2" w14:textId="77777777" w:rsidR="00FF0111" w:rsidRPr="00A452F2" w:rsidRDefault="00FF0111" w:rsidP="00FF0111">
      <w:pPr>
        <w:rPr>
          <w:lang w:val="en-GB"/>
        </w:rPr>
      </w:pPr>
      <w:r w:rsidRPr="4CAB3972">
        <w:rPr>
          <w:lang w:val="en-GB"/>
        </w:rPr>
        <w:t>A network intensive VM can easily hit 1 Gbps for both egress and ingress traffic. The following chart shows a Hadoop worker node receiving more than 5 Gbps worth traffic multiple times. You need to be careful in sizing the underlying ESXi if you want to run multiple VMs. While you can use Network I/O Control and vSphere Traffic Shaping, they are not configuration property of a VM.</w:t>
      </w:r>
    </w:p>
    <w:p w14:paraId="1AD44D1E" w14:textId="77777777" w:rsidR="00FF0111" w:rsidRDefault="00FF0111" w:rsidP="00FF0111">
      <w:pPr>
        <w:rPr>
          <w:lang w:val="en-GB"/>
        </w:rPr>
      </w:pPr>
      <w:r>
        <w:rPr>
          <w:noProof/>
        </w:rPr>
        <w:lastRenderedPageBreak/>
        <w:drawing>
          <wp:inline distT="0" distB="0" distL="0" distR="0" wp14:anchorId="5DC64D34" wp14:editId="1B8C9D5C">
            <wp:extent cx="6645910" cy="1642745"/>
            <wp:effectExtent l="0" t="0" r="2540" b="0"/>
            <wp:docPr id="606394179" name="Picture 6063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79"/>
                    <pic:cNvPicPr/>
                  </pic:nvPicPr>
                  <pic:blipFill>
                    <a:blip r:embed="rId330">
                      <a:extLst>
                        <a:ext uri="{28A0092B-C50C-407E-A947-70E740481C1C}">
                          <a14:useLocalDpi xmlns:a14="http://schemas.microsoft.com/office/drawing/2010/main" val="0"/>
                        </a:ext>
                      </a:extLst>
                    </a:blip>
                    <a:stretch>
                      <a:fillRect/>
                    </a:stretch>
                  </pic:blipFill>
                  <pic:spPr>
                    <a:xfrm>
                      <a:off x="0" y="0"/>
                      <a:ext cx="6645910" cy="1642745"/>
                    </a:xfrm>
                    <a:prstGeom prst="rect">
                      <a:avLst/>
                    </a:prstGeom>
                  </pic:spPr>
                </pic:pic>
              </a:graphicData>
            </a:graphic>
          </wp:inline>
        </w:drawing>
      </w:r>
    </w:p>
    <w:p w14:paraId="5D9F49B8" w14:textId="77777777" w:rsidR="00FF0111" w:rsidRDefault="00FF0111" w:rsidP="001406B1">
      <w:pPr>
        <w:pStyle w:val="Heading5"/>
      </w:pPr>
      <w:r>
        <w:t xml:space="preserve">Hardware </w:t>
      </w:r>
    </w:p>
    <w:p w14:paraId="42DBFF2C" w14:textId="77777777" w:rsidR="00FF0111" w:rsidRPr="00A452F2" w:rsidRDefault="00FF0111" w:rsidP="00FF0111">
      <w:pPr>
        <w:rPr>
          <w:lang w:val="en-GB"/>
        </w:rPr>
      </w:pPr>
      <w:r>
        <w:rPr>
          <w:lang w:val="en-GB"/>
        </w:rPr>
        <w:t>T</w:t>
      </w:r>
      <w:r w:rsidRPr="00A452F2">
        <w:rPr>
          <w:lang w:val="en-GB"/>
        </w:rPr>
        <w:t xml:space="preserve">he </w:t>
      </w:r>
      <w:r>
        <w:rPr>
          <w:lang w:val="en-GB"/>
        </w:rPr>
        <w:t xml:space="preserve">networking </w:t>
      </w:r>
      <w:r w:rsidRPr="00A452F2">
        <w:rPr>
          <w:lang w:val="en-GB"/>
        </w:rPr>
        <w:t xml:space="preserve">hardware itself can provide different functionalities. </w:t>
      </w:r>
    </w:p>
    <w:p w14:paraId="0CD900F9" w14:textId="77777777" w:rsidR="00FF0111" w:rsidRPr="00A452F2" w:rsidRDefault="00FF0111" w:rsidP="00FF0111">
      <w:pPr>
        <w:rPr>
          <w:lang w:val="en-GB"/>
        </w:rPr>
      </w:pPr>
      <w:r w:rsidRPr="00A452F2">
        <w:rPr>
          <w:lang w:val="en-GB"/>
        </w:rPr>
        <w:t xml:space="preserve">For compute, you have servers. While they may have different form factors or specifications, they all serve the same purpose—to provide processing power and a set of working memory for hypervisor or VM. </w:t>
      </w:r>
    </w:p>
    <w:p w14:paraId="7C06F698" w14:textId="77777777" w:rsidR="00FF0111" w:rsidRDefault="00FF0111" w:rsidP="00FF0111">
      <w:pPr>
        <w:rPr>
          <w:lang w:val="en-GB"/>
        </w:rPr>
      </w:pPr>
      <w:r w:rsidRPr="00A452F2">
        <w:rPr>
          <w:lang w:val="en-GB"/>
        </w:rPr>
        <w:t xml:space="preserve">For network, you have a variety of network services (firewall and load balancer) in addition to the basic network functionalities (switch, router, and gateway). You need to monitor all of them to get a complete picture. These functionalities can take the form of software or hardware. </w:t>
      </w:r>
    </w:p>
    <w:p w14:paraId="322F1084" w14:textId="77777777" w:rsidR="00FF0111" w:rsidRDefault="00FF0111" w:rsidP="00FF0111">
      <w:pPr>
        <w:rPr>
          <w:lang w:val="en-GB"/>
        </w:rPr>
      </w:pPr>
      <w:r>
        <w:rPr>
          <w:lang w:val="en-GB"/>
        </w:rPr>
        <w:t xml:space="preserve">Unlike storage, network has concept of duplex. A full duplex means it has 100% on both direction. </w:t>
      </w:r>
      <w:r w:rsidRPr="00A452F2">
        <w:rPr>
          <w:lang w:val="en-GB"/>
        </w:rPr>
        <w:t xml:space="preserve">For example, an ESXi with </w:t>
      </w:r>
      <w:r>
        <w:rPr>
          <w:lang w:val="en-GB"/>
        </w:rPr>
        <w:t>a 25</w:t>
      </w:r>
      <w:r w:rsidRPr="00A452F2">
        <w:rPr>
          <w:lang w:val="en-GB"/>
        </w:rPr>
        <w:t xml:space="preserve"> Gb port can theoretically handle </w:t>
      </w:r>
      <w:r>
        <w:rPr>
          <w:lang w:val="en-GB"/>
        </w:rPr>
        <w:t>25</w:t>
      </w:r>
      <w:r w:rsidRPr="00A452F2">
        <w:rPr>
          <w:lang w:val="en-GB"/>
        </w:rPr>
        <w:t xml:space="preserve"> Gb TX + </w:t>
      </w:r>
      <w:r>
        <w:rPr>
          <w:lang w:val="en-GB"/>
        </w:rPr>
        <w:t>25</w:t>
      </w:r>
      <w:r w:rsidRPr="00A452F2">
        <w:rPr>
          <w:lang w:val="en-GB"/>
        </w:rPr>
        <w:t xml:space="preserve"> Gb RX as its </w:t>
      </w:r>
      <w:hyperlink r:id="rId331" w:history="1">
        <w:r w:rsidRPr="00EA0F5C">
          <w:rPr>
            <w:rStyle w:val="Hyperlink"/>
            <w:lang w:val="en-GB"/>
          </w:rPr>
          <w:t>full duplex</w:t>
        </w:r>
      </w:hyperlink>
      <w:r w:rsidRPr="00A452F2">
        <w:rPr>
          <w:lang w:val="en-GB"/>
        </w:rPr>
        <w:t>.</w:t>
      </w:r>
    </w:p>
    <w:p w14:paraId="529975FD" w14:textId="77777777" w:rsidR="00FF0111" w:rsidRPr="00A452F2" w:rsidRDefault="00FF0111" w:rsidP="00FF0111">
      <w:pPr>
        <w:rPr>
          <w:lang w:val="en-GB"/>
        </w:rPr>
      </w:pPr>
      <w:r>
        <w:rPr>
          <w:lang w:val="en-GB"/>
        </w:rPr>
        <w:t xml:space="preserve">Blade servers and other HCI form factors blur the line between server and network. </w:t>
      </w:r>
    </w:p>
    <w:p w14:paraId="6450432C" w14:textId="77777777" w:rsidR="00FF0111" w:rsidRDefault="00FF0111" w:rsidP="001406B1">
      <w:pPr>
        <w:pStyle w:val="Heading5"/>
      </w:pPr>
      <w:r>
        <w:t>Nature of Network</w:t>
      </w:r>
    </w:p>
    <w:p w14:paraId="762DEE22" w14:textId="77777777" w:rsidR="00FF0111" w:rsidRPr="00A452F2" w:rsidRDefault="00FF0111" w:rsidP="00FF0111">
      <w:pPr>
        <w:rPr>
          <w:lang w:val="en-GB"/>
        </w:rPr>
      </w:pPr>
      <w:r w:rsidRPr="00A452F2">
        <w:rPr>
          <w:lang w:val="en-GB"/>
        </w:rPr>
        <w:t>The fourth difference is the nature of network</w:t>
      </w:r>
      <w:r>
        <w:rPr>
          <w:lang w:val="en-GB"/>
        </w:rPr>
        <w:t>.</w:t>
      </w:r>
      <w:r w:rsidRPr="00A452F2">
        <w:rPr>
          <w:lang w:val="en-GB"/>
        </w:rPr>
        <w:t xml:space="preserve"> Compute and storage are nodes. When you have a CPU or RAM performance issue on one host, it doesn't typically impact another host on a different cluster. The same thing happens with storage. When a physical array has a performance issue, generally speaking it does not impact other arrays in the data center.</w:t>
      </w:r>
    </w:p>
    <w:p w14:paraId="5B1597EB" w14:textId="77777777" w:rsidR="00FF0111" w:rsidRDefault="00FF0111" w:rsidP="00FF0111">
      <w:r w:rsidRPr="00A452F2">
        <w:rPr>
          <w:lang w:val="en-GB"/>
        </w:rPr>
        <w:t xml:space="preserve">Network is different. A local performance issue can easily be a data center-wide problem. </w:t>
      </w:r>
      <w:r>
        <w:rPr>
          <w:lang w:val="en-GB"/>
        </w:rPr>
        <w:t xml:space="preserve">Here is a good </w:t>
      </w:r>
      <w:hyperlink r:id="rId332" w:history="1">
        <w:r w:rsidRPr="003C0E99">
          <w:rPr>
            <w:rStyle w:val="Hyperlink"/>
            <w:lang w:val="en-GB"/>
          </w:rPr>
          <w:t>read</w:t>
        </w:r>
      </w:hyperlink>
      <w:r>
        <w:rPr>
          <w:lang w:val="en-GB"/>
        </w:rPr>
        <w:t xml:space="preserve"> by shared </w:t>
      </w:r>
      <w:hyperlink r:id="rId333" w:history="1">
        <w:r w:rsidRPr="003C0E99">
          <w:rPr>
            <w:rStyle w:val="Hyperlink"/>
            <w:lang w:val="en-GB"/>
          </w:rPr>
          <w:t xml:space="preserve">Ivan </w:t>
        </w:r>
        <w:r w:rsidRPr="003C0E99">
          <w:rPr>
            <w:rStyle w:val="Hyperlink"/>
          </w:rPr>
          <w:t>Pepelnjak</w:t>
        </w:r>
      </w:hyperlink>
      <w:r>
        <w:t>. To give a recent example (H2 2021), here is one from a world-class network operator</w:t>
      </w:r>
      <w:r>
        <w:rPr>
          <w:rStyle w:val="FootnoteReference"/>
        </w:rPr>
        <w:footnoteReference w:id="18"/>
      </w:r>
      <w:r>
        <w:t xml:space="preserve">: </w:t>
      </w:r>
    </w:p>
    <w:p w14:paraId="6671FF17" w14:textId="77777777" w:rsidR="00FF0111" w:rsidRDefault="00FF0111" w:rsidP="00FF0111">
      <w:pPr>
        <w:jc w:val="center"/>
        <w:rPr>
          <w:lang w:val="en-GB"/>
        </w:rPr>
      </w:pPr>
      <w:r w:rsidRPr="007F7F87">
        <w:rPr>
          <w:noProof/>
          <w:lang w:val="en-GB"/>
        </w:rPr>
        <w:lastRenderedPageBreak/>
        <w:drawing>
          <wp:inline distT="0" distB="0" distL="0" distR="0" wp14:anchorId="7C7D8140" wp14:editId="75D4623E">
            <wp:extent cx="5284800" cy="2062800"/>
            <wp:effectExtent l="0" t="0" r="0" b="0"/>
            <wp:docPr id="918289646" name="Picture 918289646">
              <a:hlinkClick xmlns:a="http://schemas.openxmlformats.org/drawingml/2006/main" r:id="rId33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46" name="Picture 918289646">
                      <a:hlinkClick r:id="rId334"/>
                    </pic:cNvPr>
                    <pic:cNvPicPr/>
                  </pic:nvPicPr>
                  <pic:blipFill>
                    <a:blip r:embed="rId335"/>
                    <a:stretch>
                      <a:fillRect/>
                    </a:stretch>
                  </pic:blipFill>
                  <pic:spPr>
                    <a:xfrm>
                      <a:off x="0" y="0"/>
                      <a:ext cx="5284800" cy="2062800"/>
                    </a:xfrm>
                    <a:prstGeom prst="rect">
                      <a:avLst/>
                    </a:prstGeom>
                  </pic:spPr>
                </pic:pic>
              </a:graphicData>
            </a:graphic>
          </wp:inline>
        </w:drawing>
      </w:r>
    </w:p>
    <w:p w14:paraId="3E5404B3" w14:textId="77777777" w:rsidR="00FF0111" w:rsidRDefault="00FF0111" w:rsidP="00FF0111">
      <w:pPr>
        <w:rPr>
          <w:lang w:val="en-GB"/>
        </w:rPr>
      </w:pPr>
      <w:r>
        <w:rPr>
          <w:lang w:val="en-GB"/>
        </w:rPr>
        <w:t>Being an interconnect, it also connect users and servers to the Internet. If you have a global operations, you likely have multiple entry points, provided by different providers. These connectivity needs to be secured and protected with HA, preferably from 2 different ISPs.</w:t>
      </w:r>
    </w:p>
    <w:p w14:paraId="38451DB8" w14:textId="77777777" w:rsidR="00FF0111" w:rsidRPr="000E016B" w:rsidRDefault="00FF0111" w:rsidP="00FF0111">
      <w:pPr>
        <w:rPr>
          <w:lang w:val="en-GB"/>
        </w:rPr>
      </w:pPr>
      <w:r>
        <w:rPr>
          <w:lang w:val="en-GB"/>
        </w:rPr>
        <w:t xml:space="preserve">There are typically many paths and routes in your network. You need to ensure they are available by testing the connectivity from specific points. </w:t>
      </w:r>
    </w:p>
    <w:p w14:paraId="4E91FBC0" w14:textId="77777777" w:rsidR="00FF0111" w:rsidRDefault="00FF0111" w:rsidP="001406B1">
      <w:pPr>
        <w:pStyle w:val="Heading5"/>
      </w:pPr>
      <w:r>
        <w:t>Upper Limit</w:t>
      </w:r>
    </w:p>
    <w:p w14:paraId="5173E1C5" w14:textId="77777777" w:rsidR="00FF0111" w:rsidRDefault="00FF0111" w:rsidP="00FF0111">
      <w:pPr>
        <w:rPr>
          <w:lang w:val="en-GB"/>
        </w:rPr>
      </w:pPr>
      <w:r w:rsidRPr="00422B48">
        <w:rPr>
          <w:lang w:val="en-GB"/>
        </w:rPr>
        <w:t xml:space="preserve">CPU or RAM workload </w:t>
      </w:r>
      <w:r>
        <w:rPr>
          <w:lang w:val="en-GB"/>
        </w:rPr>
        <w:t xml:space="preserve">have </w:t>
      </w:r>
      <w:r w:rsidRPr="00422B48">
        <w:rPr>
          <w:lang w:val="en-GB"/>
        </w:rPr>
        <w:t xml:space="preserve">a </w:t>
      </w:r>
      <w:r>
        <w:rPr>
          <w:lang w:val="en-GB"/>
        </w:rPr>
        <w:t xml:space="preserve">per VM </w:t>
      </w:r>
      <w:r w:rsidRPr="00422B48">
        <w:rPr>
          <w:lang w:val="en-GB"/>
        </w:rPr>
        <w:t xml:space="preserve">physical limit. </w:t>
      </w:r>
      <w:r>
        <w:rPr>
          <w:lang w:val="en-GB"/>
        </w:rPr>
        <w:t>This makes capacity management possible, and aids in performance troubleshooting.</w:t>
      </w:r>
    </w:p>
    <w:p w14:paraId="65A9276B" w14:textId="77777777" w:rsidR="00FF0111" w:rsidRDefault="00FF0111" w:rsidP="00FF0111">
      <w:pPr>
        <w:rPr>
          <w:lang w:val="en-GB"/>
        </w:rPr>
      </w:pPr>
      <w:r w:rsidRPr="00422B48">
        <w:rPr>
          <w:lang w:val="en-GB"/>
        </w:rPr>
        <w:t>While network</w:t>
      </w:r>
      <w:r>
        <w:rPr>
          <w:lang w:val="en-GB"/>
        </w:rPr>
        <w:t xml:space="preserve"> </w:t>
      </w:r>
      <w:r w:rsidRPr="00422B48">
        <w:rPr>
          <w:lang w:val="en-GB"/>
        </w:rPr>
        <w:t>has a physical limit, it can be misleading to assume it is available to all VMs all</w:t>
      </w:r>
      <w:r>
        <w:rPr>
          <w:lang w:val="en-GB"/>
        </w:rPr>
        <w:t xml:space="preserve"> </w:t>
      </w:r>
      <w:r w:rsidRPr="00422B48">
        <w:rPr>
          <w:lang w:val="en-GB"/>
        </w:rPr>
        <w:t>the time.</w:t>
      </w:r>
      <w:r>
        <w:rPr>
          <w:lang w:val="en-GB"/>
        </w:rPr>
        <w:t xml:space="preserve"> </w:t>
      </w:r>
      <w:r w:rsidRPr="00E04C06">
        <w:rPr>
          <w:lang w:val="en-GB"/>
        </w:rPr>
        <w:t>Because the physical capacity of the network is shared, you have a dynamic upper limit for each workload. The VM Network port group will have more bandwidth when there is no vMotion happening. Furthermore, each VM has a dynamic upper limit as it shares the VM Network port group with other VMs.</w:t>
      </w:r>
    </w:p>
    <w:p w14:paraId="255A2072" w14:textId="77777777" w:rsidR="00FF0111" w:rsidRPr="00E04C06" w:rsidRDefault="00FF0111" w:rsidP="00FF0111">
      <w:pPr>
        <w:rPr>
          <w:lang w:val="en-GB"/>
        </w:rPr>
      </w:pPr>
      <w:r>
        <w:t>The resource available to VM also varies</w:t>
      </w:r>
      <w:r w:rsidRPr="00CE2B27">
        <w:t xml:space="preserve"> from host to host. Within the same host, the limit changes as time progresses. Unlike Storage I/O Control, Network I/O Control does not provide any </w:t>
      </w:r>
      <w:r>
        <w:t>metrics</w:t>
      </w:r>
      <w:r w:rsidRPr="00CE2B27">
        <w:t xml:space="preserve"> that tell you that it has capped the bandwidth. </w:t>
      </w:r>
    </w:p>
    <w:p w14:paraId="0D9B7076" w14:textId="77777777" w:rsidR="00FF0111" w:rsidRDefault="00FF0111" w:rsidP="00FF0111">
      <w:pPr>
        <w:rPr>
          <w:lang w:val="en-GB"/>
        </w:rPr>
      </w:pPr>
      <w:r w:rsidRPr="00422B48">
        <w:rPr>
          <w:lang w:val="en-GB"/>
        </w:rPr>
        <w:t xml:space="preserve">In </w:t>
      </w:r>
      <w:r>
        <w:rPr>
          <w:lang w:val="en-GB"/>
        </w:rPr>
        <w:t xml:space="preserve">many </w:t>
      </w:r>
      <w:r w:rsidRPr="00422B48">
        <w:rPr>
          <w:lang w:val="en-GB"/>
        </w:rPr>
        <w:t>situations, the bandwidth within the ESXi host may not be the smallest</w:t>
      </w:r>
      <w:r>
        <w:rPr>
          <w:lang w:val="en-GB"/>
        </w:rPr>
        <w:t xml:space="preserve"> </w:t>
      </w:r>
      <w:r w:rsidRPr="00422B48">
        <w:rPr>
          <w:lang w:val="en-GB"/>
        </w:rPr>
        <w:t>pipe between the originating VM and its destination. Within the data center, there</w:t>
      </w:r>
      <w:r>
        <w:rPr>
          <w:lang w:val="en-GB"/>
        </w:rPr>
        <w:t xml:space="preserve"> </w:t>
      </w:r>
      <w:r w:rsidRPr="00422B48">
        <w:rPr>
          <w:lang w:val="en-GB"/>
        </w:rPr>
        <w:t>could be firewalls, load balancers, routers, and other hops that the packet has to</w:t>
      </w:r>
      <w:r>
        <w:rPr>
          <w:lang w:val="en-GB"/>
        </w:rPr>
        <w:t xml:space="preserve"> </w:t>
      </w:r>
      <w:r w:rsidRPr="00422B48">
        <w:rPr>
          <w:lang w:val="en-GB"/>
        </w:rPr>
        <w:t>go through. Once it leaves the data center, the WAN and Internet are likely to be a</w:t>
      </w:r>
      <w:r>
        <w:rPr>
          <w:lang w:val="en-GB"/>
        </w:rPr>
        <w:t xml:space="preserve"> </w:t>
      </w:r>
      <w:r w:rsidRPr="00422B48">
        <w:rPr>
          <w:lang w:val="en-GB"/>
        </w:rPr>
        <w:t>bottleneck. This dynamic nature means every VM has its own practical limit</w:t>
      </w:r>
      <w:r>
        <w:rPr>
          <w:lang w:val="en-GB"/>
        </w:rPr>
        <w:t>.</w:t>
      </w:r>
    </w:p>
    <w:p w14:paraId="1F361771" w14:textId="77777777" w:rsidR="00FF0111" w:rsidRPr="00A452F2" w:rsidRDefault="00FF0111" w:rsidP="001406B1">
      <w:pPr>
        <w:pStyle w:val="Heading5"/>
      </w:pPr>
      <w:r>
        <w:t>Monitoring and Troubleshooting</w:t>
      </w:r>
    </w:p>
    <w:p w14:paraId="792E02D8" w14:textId="77777777" w:rsidR="00FF0111" w:rsidRDefault="00FF0111" w:rsidP="00FF0111">
      <w:pPr>
        <w:rPr>
          <w:lang w:val="en-GB"/>
        </w:rPr>
      </w:pPr>
      <w:r>
        <w:rPr>
          <w:lang w:val="en-GB"/>
        </w:rPr>
        <w:t>A distributed system is harder to monitor than a single node, especially if workload varies among the components that make up the system.</w:t>
      </w:r>
    </w:p>
    <w:p w14:paraId="75300C88" w14:textId="147F1D7A" w:rsidR="00FF0111" w:rsidRDefault="00FF0111" w:rsidP="00FF0111">
      <w:pPr>
        <w:rPr>
          <w:lang w:val="en-GB"/>
        </w:rPr>
      </w:pPr>
      <w:r w:rsidRPr="00E04C06">
        <w:rPr>
          <w:lang w:val="en-GB"/>
        </w:rPr>
        <w:t xml:space="preserve">The </w:t>
      </w:r>
      <w:r>
        <w:rPr>
          <w:lang w:val="en-GB"/>
        </w:rPr>
        <w:t xml:space="preserve">network </w:t>
      </w:r>
      <w:r w:rsidRPr="00E04C06">
        <w:rPr>
          <w:lang w:val="en-GB"/>
        </w:rPr>
        <w:t xml:space="preserve">resource available to VM also varies from host to host. Within the same host, the limit changes as time progresses. Unlike Storage I/O Control, Network I/O Control </w:t>
      </w:r>
      <w:r>
        <w:rPr>
          <w:lang w:val="en-GB"/>
        </w:rPr>
        <w:t>(NIOC)</w:t>
      </w:r>
      <w:r w:rsidR="007D2FC5">
        <w:rPr>
          <w:lang w:val="en-GB"/>
        </w:rPr>
        <w:t xml:space="preserve"> </w:t>
      </w:r>
      <w:r w:rsidRPr="00E04C06">
        <w:rPr>
          <w:lang w:val="en-GB"/>
        </w:rPr>
        <w:t xml:space="preserve">does not provide any </w:t>
      </w:r>
      <w:r>
        <w:rPr>
          <w:lang w:val="en-GB"/>
        </w:rPr>
        <w:t>metrics</w:t>
      </w:r>
      <w:r w:rsidRPr="00E04C06">
        <w:rPr>
          <w:lang w:val="en-GB"/>
        </w:rPr>
        <w:t xml:space="preserve"> that tell you that it has capped the bandwidth.</w:t>
      </w:r>
    </w:p>
    <w:p w14:paraId="4F5DA52E" w14:textId="77777777" w:rsidR="00FF0111" w:rsidRDefault="00FF0111" w:rsidP="00FF0111">
      <w:pPr>
        <w:rPr>
          <w:lang w:val="en-GB"/>
        </w:rPr>
      </w:pPr>
      <w:r w:rsidRPr="00E04C06">
        <w:rPr>
          <w:lang w:val="en-GB"/>
        </w:rPr>
        <w:lastRenderedPageBreak/>
        <w:t xml:space="preserve">NIOC can help to limit the network throughput for a particular workload or VM. If you are using 10 GE, enable NIOC so that a burst in one network workload does not impact your VM. For example, a mass vMotion operation can saturate the 10 Gb link if you do not implement NIOC. In vCenter </w:t>
      </w:r>
      <w:r>
        <w:rPr>
          <w:lang w:val="en-GB"/>
        </w:rPr>
        <w:t>7</w:t>
      </w:r>
      <w:r w:rsidRPr="00E04C06">
        <w:rPr>
          <w:lang w:val="en-GB"/>
        </w:rPr>
        <w:t>, there is no counter that tracks when NIOC caps the network throughput. As a result, vRealize Operations will not tell you that NIOC has taken action.</w:t>
      </w:r>
    </w:p>
    <w:p w14:paraId="5696C594" w14:textId="77777777" w:rsidR="00FF0111" w:rsidRDefault="00FF0111" w:rsidP="00FF0111">
      <w:pPr>
        <w:rPr>
          <w:lang w:val="en-GB"/>
        </w:rPr>
      </w:pPr>
      <w:r>
        <w:rPr>
          <w:lang w:val="en-GB"/>
        </w:rPr>
        <w:t xml:space="preserve">The primary contention metrics are </w:t>
      </w:r>
    </w:p>
    <w:p w14:paraId="71269FDF" w14:textId="77777777" w:rsidR="00FF0111" w:rsidRDefault="00FF0111" w:rsidP="00FF0111">
      <w:pPr>
        <w:pStyle w:val="Bullet"/>
        <w:rPr>
          <w:lang w:val="en-GB"/>
        </w:rPr>
      </w:pPr>
      <w:r w:rsidRPr="00EF1685">
        <w:rPr>
          <w:lang w:val="en-GB"/>
        </w:rPr>
        <w:t>Latency</w:t>
      </w:r>
      <w:r>
        <w:rPr>
          <w:lang w:val="en-GB"/>
        </w:rPr>
        <w:t xml:space="preserve">. </w:t>
      </w:r>
    </w:p>
    <w:p w14:paraId="71D0176F" w14:textId="77777777" w:rsidR="00FF0111" w:rsidRPr="00EF1685" w:rsidRDefault="00FF0111" w:rsidP="00FF0111">
      <w:pPr>
        <w:pStyle w:val="Bullet"/>
        <w:rPr>
          <w:lang w:val="en-GB"/>
        </w:rPr>
      </w:pPr>
      <w:r w:rsidRPr="00EF1685">
        <w:rPr>
          <w:lang w:val="en-GB"/>
        </w:rPr>
        <w:t>Dropped Packets</w:t>
      </w:r>
    </w:p>
    <w:p w14:paraId="571FED0B" w14:textId="77777777" w:rsidR="00FF0111" w:rsidRPr="00EF1685" w:rsidRDefault="00FF0111" w:rsidP="00FF0111">
      <w:pPr>
        <w:pStyle w:val="Bullet"/>
        <w:rPr>
          <w:lang w:val="en-GB"/>
        </w:rPr>
      </w:pPr>
      <w:r w:rsidRPr="00EF1685">
        <w:rPr>
          <w:lang w:val="en-GB"/>
        </w:rPr>
        <w:t>Retransmit Packets</w:t>
      </w:r>
      <w:r>
        <w:rPr>
          <w:lang w:val="en-GB"/>
        </w:rPr>
        <w:t xml:space="preserve">. For TCP, dropped packets will be retransmitted. </w:t>
      </w:r>
    </w:p>
    <w:p w14:paraId="7ED5923D" w14:textId="77777777" w:rsidR="00FF0111" w:rsidRDefault="00FF0111" w:rsidP="00FF0111">
      <w:pPr>
        <w:pStyle w:val="Bullet"/>
        <w:rPr>
          <w:lang w:val="en-GB"/>
        </w:rPr>
      </w:pPr>
      <w:r w:rsidRPr="00EF1685">
        <w:rPr>
          <w:lang w:val="en-GB"/>
        </w:rPr>
        <w:t>Jitter</w:t>
      </w:r>
      <w:r>
        <w:rPr>
          <w:lang w:val="en-GB"/>
        </w:rPr>
        <w:t xml:space="preserve">. This measures the inconsistency of the latency. An application may tolerate poor latency better than variable latency. </w:t>
      </w:r>
    </w:p>
    <w:p w14:paraId="625826CB" w14:textId="77777777" w:rsidR="00FF0111" w:rsidRDefault="00FF0111" w:rsidP="00FF0111">
      <w:pPr>
        <w:rPr>
          <w:lang w:val="en-GB"/>
        </w:rPr>
      </w:pPr>
      <w:r w:rsidRPr="002E2DE9">
        <w:rPr>
          <w:lang w:val="en-GB"/>
        </w:rPr>
        <w:t xml:space="preserve">Note there is </w:t>
      </w:r>
      <w:r w:rsidRPr="00A86950">
        <w:rPr>
          <w:color w:val="FF0000"/>
          <w:lang w:val="en-GB"/>
        </w:rPr>
        <w:t xml:space="preserve">no </w:t>
      </w:r>
      <w:r>
        <w:rPr>
          <w:lang w:val="en-GB"/>
        </w:rPr>
        <w:t xml:space="preserve">latency and </w:t>
      </w:r>
      <w:r w:rsidRPr="002E2DE9">
        <w:rPr>
          <w:lang w:val="en-GB"/>
        </w:rPr>
        <w:t>retransmit metrics</w:t>
      </w:r>
      <w:r>
        <w:rPr>
          <w:lang w:val="en-GB"/>
        </w:rPr>
        <w:t xml:space="preserve"> in vSphere. </w:t>
      </w:r>
    </w:p>
    <w:p w14:paraId="47E633BA" w14:textId="5912A5B4" w:rsidR="000536C9" w:rsidRPr="002E2DE9" w:rsidRDefault="000536C9" w:rsidP="00FF0111">
      <w:pPr>
        <w:rPr>
          <w:lang w:val="en-GB"/>
        </w:rPr>
      </w:pPr>
      <w:r>
        <w:rPr>
          <w:lang w:val="en-GB"/>
        </w:rPr>
        <w:t xml:space="preserve">Remember that Storage has 2 metrics (IOPS and Throughput) for consumption? Network also has these 2 types, except the more popular one is the throughput. The PPS (packet per second) is less popular although they are useful in gaining insight into your network. It can take up a significant CPU time to process high number of packets, as you can see in NSX edge VM. </w:t>
      </w:r>
    </w:p>
    <w:p w14:paraId="6AD524AB" w14:textId="77777777" w:rsidR="00FF0111" w:rsidRDefault="00FF0111" w:rsidP="001406B1">
      <w:pPr>
        <w:pStyle w:val="Heading5"/>
      </w:pPr>
      <w:r>
        <w:t>Location</w:t>
      </w:r>
    </w:p>
    <w:p w14:paraId="0DEC95AE" w14:textId="77777777" w:rsidR="00FF0111" w:rsidRDefault="00FF0111" w:rsidP="00FF0111">
      <w:pPr>
        <w:rPr>
          <w:lang w:val="en-GB"/>
        </w:rPr>
      </w:pPr>
      <w:r>
        <w:rPr>
          <w:lang w:val="en-GB"/>
        </w:rPr>
        <w:t xml:space="preserve">Server and storage tend to be located fewer places. Even in the </w:t>
      </w:r>
      <w:hyperlink r:id="rId336" w:history="1">
        <w:r w:rsidRPr="00451957">
          <w:rPr>
            <w:rStyle w:val="Hyperlink"/>
            <w:lang w:val="en-GB"/>
          </w:rPr>
          <w:t>ROBO</w:t>
        </w:r>
      </w:hyperlink>
      <w:r>
        <w:rPr>
          <w:lang w:val="en-GB"/>
        </w:rPr>
        <w:t xml:space="preserve"> office, they are typically located in a rack, with proper cooling and physical security. Network switch, especially Wireless Access Points, need to be placed in multiple places within the building, if that’s required to provide enough network coverage. </w:t>
      </w:r>
    </w:p>
    <w:p w14:paraId="4836FADE" w14:textId="77777777" w:rsidR="00FF0111" w:rsidRPr="00451957" w:rsidRDefault="00FF0111" w:rsidP="00FF0111">
      <w:pPr>
        <w:rPr>
          <w:lang w:val="en-GB"/>
        </w:rPr>
      </w:pPr>
      <w:r>
        <w:rPr>
          <w:lang w:val="en-GB"/>
        </w:rPr>
        <w:t>Solution such as SDWAN even requires a network device to be deployed at employee home. I actually have the Dell edge device at my home.</w:t>
      </w:r>
    </w:p>
    <w:p w14:paraId="4963656B" w14:textId="0FF1BB5C" w:rsidR="004E6C54" w:rsidRDefault="004E6C54" w:rsidP="001406B1">
      <w:pPr>
        <w:pStyle w:val="Heading5"/>
      </w:pPr>
      <w:r>
        <w:t>Workload Type</w:t>
      </w:r>
    </w:p>
    <w:p w14:paraId="52544593" w14:textId="14915F79" w:rsidR="002B6793" w:rsidRDefault="004E6C54" w:rsidP="004E6C54">
      <w:pPr>
        <w:rPr>
          <w:lang w:val="en-GB"/>
        </w:rPr>
      </w:pPr>
      <w:r>
        <w:rPr>
          <w:lang w:val="en-GB"/>
        </w:rPr>
        <w:t xml:space="preserve">In network, not all packets are of the same type. You </w:t>
      </w:r>
      <w:r w:rsidR="002B6793">
        <w:rPr>
          <w:lang w:val="en-GB"/>
        </w:rPr>
        <w:t xml:space="preserve">can have unitcast, multicast and broadcast. </w:t>
      </w:r>
    </w:p>
    <w:p w14:paraId="0E218A7C" w14:textId="10B4BDA6" w:rsidR="002B6793" w:rsidRDefault="002B6793" w:rsidP="002B6793">
      <w:pPr>
        <w:pStyle w:val="Tablecontent"/>
        <w:rPr>
          <w:lang w:val="en-GB"/>
        </w:rPr>
      </w:pPr>
      <w:r>
        <w:rPr>
          <w:lang w:val="en-GB"/>
        </w:rPr>
        <w:t>Majority of traffic should be unicast, as ESXi or VM should not be broadcasting to all IP addresses in the network or multicasting to many destination. The challenge is there are purposes for each type so you need to monitor if the broadcast and multicast happens at the wrong time to the wrong network.</w:t>
      </w:r>
    </w:p>
    <w:p w14:paraId="47AD714B" w14:textId="277C3BB3" w:rsidR="004E6C54" w:rsidRPr="004E6C54" w:rsidRDefault="002B6793" w:rsidP="004E6C54">
      <w:pPr>
        <w:rPr>
          <w:lang w:val="en-GB"/>
        </w:rPr>
      </w:pPr>
      <w:r>
        <w:rPr>
          <w:lang w:val="en-GB"/>
        </w:rPr>
        <w:t xml:space="preserve">Storage and Server only has 1 type. From operations management viewpoint, for almost all customers, A CPU instruction is a CPU instruction. You do not care what it is. The same goes with memory access and disk IO commands. </w:t>
      </w:r>
    </w:p>
    <w:p w14:paraId="0042FB82" w14:textId="3808EC70" w:rsidR="00FF0111" w:rsidRDefault="00FF0111" w:rsidP="001406B1">
      <w:pPr>
        <w:pStyle w:val="Heading5"/>
      </w:pPr>
      <w:r>
        <w:lastRenderedPageBreak/>
        <w:t>Conclusion</w:t>
      </w:r>
    </w:p>
    <w:p w14:paraId="24B74A13" w14:textId="77777777" w:rsidR="00FF0111" w:rsidRDefault="00FF0111" w:rsidP="00FF0111">
      <w:pPr>
        <w:rPr>
          <w:lang w:val="en-GB"/>
        </w:rPr>
      </w:pPr>
      <w:r w:rsidRPr="00A452F2">
        <w:rPr>
          <w:lang w:val="en-GB"/>
        </w:rPr>
        <w:t xml:space="preserve">Because of all these differences, the way you </w:t>
      </w:r>
      <w:r w:rsidRPr="00451957">
        <w:rPr>
          <w:i/>
          <w:color w:val="00B0F0"/>
          <w:lang w:val="en-GB"/>
        </w:rPr>
        <w:t>approach</w:t>
      </w:r>
      <w:r w:rsidRPr="00451957">
        <w:rPr>
          <w:color w:val="00B0F0"/>
          <w:lang w:val="en-GB"/>
        </w:rPr>
        <w:t xml:space="preserve"> </w:t>
      </w:r>
      <w:r w:rsidRPr="00A452F2">
        <w:rPr>
          <w:lang w:val="en-GB"/>
        </w:rPr>
        <w:t xml:space="preserve">network monitoring should also be different. If you are not the network expert in your data center, the first step is to partner with experts. </w:t>
      </w:r>
    </w:p>
    <w:p w14:paraId="26A175F3" w14:textId="77777777" w:rsidR="00FF0111" w:rsidRPr="00A452F2" w:rsidRDefault="00FF0111" w:rsidP="00FF0111">
      <w:pPr>
        <w:rPr>
          <w:lang w:val="en-GB"/>
        </w:rPr>
      </w:pPr>
      <w:r>
        <w:rPr>
          <w:lang w:val="en-GB"/>
        </w:rPr>
        <w:t>BTW, there are other things which I did not cover. For example, in network there are basic services such as DNS and NTP. All these services need to be monitored, typically for availability and reliability.</w:t>
      </w:r>
    </w:p>
    <w:p w14:paraId="7750263E" w14:textId="77777777" w:rsidR="001406B1" w:rsidRPr="00A452F2" w:rsidRDefault="001406B1" w:rsidP="001406B1">
      <w:pPr>
        <w:pStyle w:val="Heading4"/>
      </w:pPr>
      <w:r w:rsidRPr="00A452F2">
        <w:t>SDDC Network Monitoring</w:t>
      </w:r>
    </w:p>
    <w:p w14:paraId="58D80A90" w14:textId="77777777" w:rsidR="001406B1" w:rsidRPr="00A452F2" w:rsidRDefault="001406B1" w:rsidP="001406B1">
      <w:pPr>
        <w:rPr>
          <w:lang w:val="en-GB"/>
        </w:rPr>
      </w:pPr>
      <w:r w:rsidRPr="00A452F2">
        <w:rPr>
          <w:lang w:val="en-GB"/>
        </w:rPr>
        <w:t>The arrival of software-defined infrastructure services also changes the way you monitor your network. The following diagram shows a simplified setup of an ESXi host.</w:t>
      </w:r>
    </w:p>
    <w:p w14:paraId="731A21D5" w14:textId="77777777" w:rsidR="001406B1" w:rsidRPr="00A452F2" w:rsidRDefault="001406B1" w:rsidP="001406B1">
      <w:pPr>
        <w:jc w:val="center"/>
        <w:rPr>
          <w:lang w:val="en-GB"/>
        </w:rPr>
      </w:pPr>
      <w:r>
        <w:rPr>
          <w:noProof/>
        </w:rPr>
        <w:drawing>
          <wp:inline distT="0" distB="0" distL="0" distR="0" wp14:anchorId="014F687C" wp14:editId="5E681B76">
            <wp:extent cx="3422650" cy="1879600"/>
            <wp:effectExtent l="0" t="0" r="6350" b="6350"/>
            <wp:docPr id="606394123" name="Picture 60639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23"/>
                    <pic:cNvPicPr/>
                  </pic:nvPicPr>
                  <pic:blipFill>
                    <a:blip r:embed="rId337">
                      <a:extLst>
                        <a:ext uri="{28A0092B-C50C-407E-A947-70E740481C1C}">
                          <a14:useLocalDpi xmlns:a14="http://schemas.microsoft.com/office/drawing/2010/main" val="0"/>
                        </a:ext>
                      </a:extLst>
                    </a:blip>
                    <a:stretch>
                      <a:fillRect/>
                    </a:stretch>
                  </pic:blipFill>
                  <pic:spPr>
                    <a:xfrm>
                      <a:off x="0" y="0"/>
                      <a:ext cx="3422650" cy="1879600"/>
                    </a:xfrm>
                    <a:prstGeom prst="rect">
                      <a:avLst/>
                    </a:prstGeom>
                  </pic:spPr>
                </pic:pic>
              </a:graphicData>
            </a:graphic>
          </wp:inline>
        </w:drawing>
      </w:r>
    </w:p>
    <w:p w14:paraId="4C90DB52" w14:textId="77777777" w:rsidR="001406B1" w:rsidRPr="00A452F2" w:rsidRDefault="001406B1" w:rsidP="001406B1">
      <w:pPr>
        <w:rPr>
          <w:lang w:val="en-GB"/>
        </w:rPr>
      </w:pPr>
      <w:r w:rsidRPr="00A452F2">
        <w:rPr>
          <w:lang w:val="en-GB"/>
        </w:rPr>
        <w:t>In a single ESXi host, there are 4 areas that need to be monitored for a complete network monitoring:</w:t>
      </w:r>
    </w:p>
    <w:p w14:paraId="6C3AA4D7" w14:textId="77777777" w:rsidR="001406B1" w:rsidRPr="00A452F2" w:rsidRDefault="001406B1" w:rsidP="001406B1">
      <w:pPr>
        <w:pStyle w:val="Bullet"/>
        <w:rPr>
          <w:lang w:val="en-GB"/>
        </w:rPr>
      </w:pPr>
      <w:r w:rsidRPr="00A452F2">
        <w:rPr>
          <w:lang w:val="en-GB"/>
        </w:rPr>
        <w:t>VM network</w:t>
      </w:r>
    </w:p>
    <w:p w14:paraId="20D2B3F5" w14:textId="77777777" w:rsidR="001406B1" w:rsidRPr="00A452F2" w:rsidRDefault="001406B1" w:rsidP="001406B1">
      <w:pPr>
        <w:pStyle w:val="Bullet"/>
        <w:rPr>
          <w:lang w:val="en-GB"/>
        </w:rPr>
      </w:pPr>
      <w:r>
        <w:rPr>
          <w:lang w:val="en-GB"/>
        </w:rPr>
        <w:t>VMkernel</w:t>
      </w:r>
      <w:r w:rsidRPr="00A452F2">
        <w:rPr>
          <w:lang w:val="en-GB"/>
        </w:rPr>
        <w:t xml:space="preserve"> network</w:t>
      </w:r>
    </w:p>
    <w:p w14:paraId="4E4E8E8D" w14:textId="77777777" w:rsidR="001406B1" w:rsidRPr="00A452F2" w:rsidRDefault="001406B1" w:rsidP="001406B1">
      <w:pPr>
        <w:pStyle w:val="Bullet"/>
        <w:rPr>
          <w:lang w:val="en-GB"/>
        </w:rPr>
      </w:pPr>
      <w:r w:rsidRPr="00A452F2">
        <w:rPr>
          <w:lang w:val="en-GB"/>
        </w:rPr>
        <w:t>ESXi kernel modules</w:t>
      </w:r>
    </w:p>
    <w:p w14:paraId="36BF9B2E" w14:textId="77777777" w:rsidR="001406B1" w:rsidRPr="00A452F2" w:rsidRDefault="001406B1" w:rsidP="001406B1">
      <w:pPr>
        <w:pStyle w:val="Bullet"/>
        <w:rPr>
          <w:lang w:val="en-GB"/>
        </w:rPr>
      </w:pPr>
      <w:r w:rsidRPr="00A452F2">
        <w:rPr>
          <w:lang w:val="en-GB"/>
        </w:rPr>
        <w:t>Agent VMs</w:t>
      </w:r>
    </w:p>
    <w:p w14:paraId="6FB0F306" w14:textId="77777777" w:rsidR="001406B1" w:rsidRPr="00A452F2" w:rsidRDefault="001406B1" w:rsidP="001406B1">
      <w:pPr>
        <w:rPr>
          <w:lang w:val="en-GB"/>
        </w:rPr>
      </w:pPr>
      <w:r w:rsidRPr="00A452F2">
        <w:rPr>
          <w:lang w:val="en-GB"/>
        </w:rPr>
        <w:t>In the preceding example, we have 3 VMs running in the host. VM 1 and VM 2 are connected to the same VXLAN (or VLAN). VM 3 is on a different VXLAN (or VLAN), hence it is on a different port group. Monitoring at port group level complements monitoring at VM level and ESXi level.</w:t>
      </w:r>
    </w:p>
    <w:p w14:paraId="726819AC" w14:textId="77777777" w:rsidR="001406B1" w:rsidRPr="00A452F2" w:rsidRDefault="001406B1" w:rsidP="001406B1">
      <w:pPr>
        <w:rPr>
          <w:lang w:val="en-GB"/>
        </w:rPr>
      </w:pPr>
      <w:r w:rsidRPr="00A452F2">
        <w:rPr>
          <w:lang w:val="en-GB"/>
        </w:rPr>
        <w:t xml:space="preserve">Traffic at Distributed Switch level carries more than VM traffic. It also carries </w:t>
      </w:r>
      <w:r>
        <w:rPr>
          <w:lang w:val="en-GB"/>
        </w:rPr>
        <w:t>VMkernel</w:t>
      </w:r>
      <w:r w:rsidRPr="00A452F2">
        <w:rPr>
          <w:lang w:val="en-GB"/>
        </w:rPr>
        <w:t xml:space="preserve"> traffic, such as vMotion and VSAN. Both </w:t>
      </w:r>
      <w:r>
        <w:rPr>
          <w:lang w:val="en-GB"/>
        </w:rPr>
        <w:t>VMkernel</w:t>
      </w:r>
      <w:r w:rsidRPr="00A452F2">
        <w:rPr>
          <w:lang w:val="en-GB"/>
        </w:rPr>
        <w:t xml:space="preserve"> network and VM network tend to share the same physical uplinks (ESXi vmnic). As a result, it’s easier to monitor at port group level. </w:t>
      </w:r>
    </w:p>
    <w:p w14:paraId="1EADDC4A" w14:textId="77777777" w:rsidR="001406B1" w:rsidRPr="00A452F2" w:rsidRDefault="001406B1" w:rsidP="001406B1">
      <w:pPr>
        <w:rPr>
          <w:lang w:val="en-GB"/>
        </w:rPr>
      </w:pPr>
      <w:r w:rsidRPr="00A452F2">
        <w:rPr>
          <w:lang w:val="en-GB"/>
        </w:rPr>
        <w:t>Sounds good so far. What is the limitation of monitoring at distributed port group level?</w:t>
      </w:r>
    </w:p>
    <w:p w14:paraId="0EE8BFA7" w14:textId="77777777" w:rsidR="001406B1" w:rsidRPr="00A452F2" w:rsidRDefault="001406B1" w:rsidP="001406B1">
      <w:pPr>
        <w:rPr>
          <w:lang w:val="en-GB"/>
        </w:rPr>
      </w:pPr>
      <w:r w:rsidRPr="00A452F2">
        <w:rPr>
          <w:lang w:val="en-GB"/>
        </w:rPr>
        <w:t xml:space="preserve">The hint is at the word </w:t>
      </w:r>
      <w:r w:rsidRPr="00A02E83">
        <w:rPr>
          <w:b/>
          <w:bCs/>
          <w:color w:val="0070C0"/>
          <w:lang w:val="en-GB"/>
        </w:rPr>
        <w:t>distributed</w:t>
      </w:r>
      <w:r w:rsidRPr="00A452F2">
        <w:rPr>
          <w:lang w:val="en-GB"/>
        </w:rPr>
        <w:t>.</w:t>
      </w:r>
    </w:p>
    <w:p w14:paraId="120D290F" w14:textId="77777777" w:rsidR="001406B1" w:rsidRPr="00A452F2" w:rsidRDefault="001406B1" w:rsidP="001406B1">
      <w:pPr>
        <w:rPr>
          <w:lang w:val="en-GB"/>
        </w:rPr>
      </w:pPr>
      <w:r w:rsidRPr="00A452F2">
        <w:rPr>
          <w:lang w:val="en-GB"/>
        </w:rPr>
        <w:t>Yes, the data is the aggregate of all the ESXi hosts using that distributed port group!</w:t>
      </w:r>
    </w:p>
    <w:p w14:paraId="1DECF18E" w14:textId="77777777" w:rsidR="001406B1" w:rsidRPr="00A452F2" w:rsidRDefault="001406B1" w:rsidP="001406B1">
      <w:pPr>
        <w:rPr>
          <w:lang w:val="en-GB"/>
        </w:rPr>
      </w:pPr>
      <w:r w:rsidRPr="00A452F2">
        <w:rPr>
          <w:lang w:val="en-GB"/>
        </w:rPr>
        <w:lastRenderedPageBreak/>
        <w:t xml:space="preserve">By default, VM 1 and VM 2 can talk to each other. The traffic will not leave the ESXi. Network monitoring tools that are not aware of this will miss it. Traffic from VM 3 can also reach VM 1 or VM 2 if NSX Distributed Logical Router is in place. It is a </w:t>
      </w:r>
      <w:r>
        <w:rPr>
          <w:lang w:val="en-GB"/>
        </w:rPr>
        <w:t>VMkernel</w:t>
      </w:r>
      <w:r w:rsidRPr="00A452F2">
        <w:rPr>
          <w:lang w:val="en-GB"/>
        </w:rPr>
        <w:t xml:space="preserve"> module, just like the NSX Distributed Firewall. As a result, monitoring these kernel modules, and the host overall performance, becomes an integral part of network monitoring.</w:t>
      </w:r>
    </w:p>
    <w:p w14:paraId="25FB848B" w14:textId="77777777" w:rsidR="001406B1" w:rsidRPr="00A452F2" w:rsidRDefault="001406B1" w:rsidP="001406B1">
      <w:pPr>
        <w:rPr>
          <w:lang w:val="en-GB"/>
        </w:rPr>
      </w:pPr>
      <w:r w:rsidRPr="00A452F2">
        <w:rPr>
          <w:lang w:val="en-GB"/>
        </w:rPr>
        <w:t>The 4</w:t>
      </w:r>
      <w:r w:rsidRPr="00A452F2">
        <w:rPr>
          <w:vertAlign w:val="superscript"/>
          <w:lang w:val="en-GB"/>
        </w:rPr>
        <w:t>th</w:t>
      </w:r>
      <w:r w:rsidRPr="00A452F2">
        <w:rPr>
          <w:lang w:val="en-GB"/>
        </w:rPr>
        <w:t xml:space="preserve"> area we need to monitor is </w:t>
      </w:r>
      <w:r w:rsidRPr="00F5099C">
        <w:rPr>
          <w:color w:val="00B0F0"/>
          <w:lang w:val="en-GB"/>
        </w:rPr>
        <w:t>Agent VM</w:t>
      </w:r>
      <w:r w:rsidRPr="00A452F2">
        <w:rPr>
          <w:lang w:val="en-GB"/>
        </w:rPr>
        <w:t>. An Agent VM is mapped to 1 ESXi Host. It does not need HA protection as every ESXi host has one</w:t>
      </w:r>
      <w:r>
        <w:rPr>
          <w:lang w:val="en-GB"/>
        </w:rPr>
        <w:t xml:space="preserve">, hence it typically </w:t>
      </w:r>
      <w:r w:rsidRPr="00A452F2">
        <w:rPr>
          <w:lang w:val="en-GB"/>
        </w:rPr>
        <w:t>reside</w:t>
      </w:r>
      <w:r>
        <w:rPr>
          <w:lang w:val="en-GB"/>
        </w:rPr>
        <w:t>s</w:t>
      </w:r>
      <w:r w:rsidRPr="00A452F2">
        <w:rPr>
          <w:lang w:val="en-GB"/>
        </w:rPr>
        <w:t xml:space="preserve"> on </w:t>
      </w:r>
      <w:r>
        <w:rPr>
          <w:lang w:val="en-GB"/>
        </w:rPr>
        <w:t xml:space="preserve">the host local </w:t>
      </w:r>
      <w:r w:rsidRPr="00A452F2">
        <w:rPr>
          <w:lang w:val="en-GB"/>
        </w:rPr>
        <w:t>datastore</w:t>
      </w:r>
      <w:r>
        <w:rPr>
          <w:lang w:val="en-GB"/>
        </w:rPr>
        <w:t>.</w:t>
      </w:r>
    </w:p>
    <w:p w14:paraId="3D188590" w14:textId="77777777" w:rsidR="001406B1" w:rsidRPr="00A452F2" w:rsidRDefault="001406B1" w:rsidP="001406B1">
      <w:pPr>
        <w:jc w:val="center"/>
        <w:rPr>
          <w:lang w:val="en-GB"/>
        </w:rPr>
      </w:pPr>
      <w:r>
        <w:rPr>
          <w:noProof/>
        </w:rPr>
        <w:drawing>
          <wp:inline distT="0" distB="0" distL="0" distR="0" wp14:anchorId="5AF26378" wp14:editId="1FDEE397">
            <wp:extent cx="5029200" cy="1286676"/>
            <wp:effectExtent l="0" t="0" r="0" b="8890"/>
            <wp:docPr id="606394124" name="Picture 60639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24"/>
                    <pic:cNvPicPr/>
                  </pic:nvPicPr>
                  <pic:blipFill>
                    <a:blip r:embed="rId338">
                      <a:extLst>
                        <a:ext uri="{28A0092B-C50C-407E-A947-70E740481C1C}">
                          <a14:useLocalDpi xmlns:a14="http://schemas.microsoft.com/office/drawing/2010/main" val="0"/>
                        </a:ext>
                      </a:extLst>
                    </a:blip>
                    <a:stretch>
                      <a:fillRect/>
                    </a:stretch>
                  </pic:blipFill>
                  <pic:spPr>
                    <a:xfrm>
                      <a:off x="0" y="0"/>
                      <a:ext cx="5029200" cy="1286676"/>
                    </a:xfrm>
                    <a:prstGeom prst="rect">
                      <a:avLst/>
                    </a:prstGeom>
                  </pic:spPr>
                </pic:pic>
              </a:graphicData>
            </a:graphic>
          </wp:inline>
        </w:drawing>
      </w:r>
    </w:p>
    <w:p w14:paraId="70C8C093" w14:textId="77777777" w:rsidR="001406B1" w:rsidRPr="00A452F2" w:rsidRDefault="001406B1" w:rsidP="001406B1">
      <w:pPr>
        <w:rPr>
          <w:lang w:val="en-GB"/>
        </w:rPr>
      </w:pPr>
      <w:r w:rsidRPr="00A452F2">
        <w:rPr>
          <w:lang w:val="en-GB"/>
        </w:rPr>
        <w:t>The above example shows an ESXi host with 3 agent VMs. The first VM provides a storage service (an example is Nutanix CVM), the second VM provides Network service, and the 3rd VM provides a Security VM.</w:t>
      </w:r>
    </w:p>
    <w:p w14:paraId="6090AA62" w14:textId="77777777" w:rsidR="001406B1" w:rsidRPr="00A452F2" w:rsidRDefault="001406B1" w:rsidP="001406B1">
      <w:pPr>
        <w:rPr>
          <w:lang w:val="en-GB"/>
        </w:rPr>
      </w:pPr>
      <w:r w:rsidRPr="00A452F2">
        <w:rPr>
          <w:lang w:val="en-GB"/>
        </w:rPr>
        <w:t>Let’s use the Security service as an example. A popular example here is Trend Micro Deep Security virtual appliance. It is in the data path. If the Business VMs are accessing files on a fileserver on another network, the files have to be checked by the security virtual appliance first. If the agent VM is slow (and it could be due to factor that is not network related), it will look like a network or storage issue as far as the business VMs are concerned. The Business VMs do not know that their files have been intercepted for security clearance, as it is not done at the network level. It is done at the hypervisor level.</w:t>
      </w:r>
    </w:p>
    <w:p w14:paraId="28E5497F" w14:textId="22617820" w:rsidR="001406B1" w:rsidRPr="00A452F2" w:rsidRDefault="001406B1" w:rsidP="001406B1">
      <w:pPr>
        <w:pStyle w:val="Heading5"/>
      </w:pPr>
      <w:r w:rsidRPr="00A452F2">
        <w:t>Source of Data</w:t>
      </w:r>
    </w:p>
    <w:p w14:paraId="7F414315" w14:textId="77777777" w:rsidR="001406B1" w:rsidRPr="00A452F2" w:rsidRDefault="001406B1" w:rsidP="001406B1">
      <w:pPr>
        <w:rPr>
          <w:lang w:val="en-GB"/>
        </w:rPr>
      </w:pPr>
      <w:r w:rsidRPr="00A452F2">
        <w:rPr>
          <w:lang w:val="en-GB"/>
        </w:rPr>
        <w:t>A complete network monitoring requires you to get the data from 5 different sources, not just from vSphere. In SDDC, you should also get data from the application, Guest OS, NSX and NetFlow/sFlow/IPFIX from VDS and physical network devices. For VDI, you need to get data at application level. We have seen packet</w:t>
      </w:r>
      <w:r>
        <w:rPr>
          <w:lang w:val="en-GB"/>
        </w:rPr>
        <w:t xml:space="preserve"> loss</w:t>
      </w:r>
      <w:r w:rsidRPr="00A452F2">
        <w:rPr>
          <w:lang w:val="en-GB"/>
        </w:rPr>
        <w:t xml:space="preserve"> at application-layer (</w:t>
      </w:r>
      <w:r>
        <w:rPr>
          <w:lang w:val="en-GB"/>
        </w:rPr>
        <w:t>Horizon Blast protocol</w:t>
      </w:r>
      <w:r w:rsidRPr="00A452F2">
        <w:rPr>
          <w:lang w:val="en-GB"/>
        </w:rPr>
        <w:t xml:space="preserve">) when Windows sees no dropped packet. The reason was the packet arrives out of order and hence unusable from </w:t>
      </w:r>
      <w:r>
        <w:rPr>
          <w:lang w:val="en-GB"/>
        </w:rPr>
        <w:t xml:space="preserve">protocol </w:t>
      </w:r>
      <w:r w:rsidRPr="00A452F2">
        <w:rPr>
          <w:lang w:val="en-GB"/>
        </w:rPr>
        <w:t>viewpoint.</w:t>
      </w:r>
    </w:p>
    <w:p w14:paraId="05B77471" w14:textId="77777777" w:rsidR="001406B1" w:rsidRPr="00A452F2" w:rsidRDefault="001406B1" w:rsidP="001406B1">
      <w:pPr>
        <w:rPr>
          <w:lang w:val="en-GB"/>
        </w:rPr>
      </w:pPr>
      <w:r w:rsidRPr="00A452F2">
        <w:rPr>
          <w:lang w:val="en-GB"/>
        </w:rPr>
        <w:t>The following shows a simplified stack. It shows the five sources of data and the 4 tools to get the data. It includes a physical switch as we can no longer ignore physical network once you move from just vSphere to complete SDDC.</w:t>
      </w:r>
    </w:p>
    <w:p w14:paraId="69FAD79C" w14:textId="77777777" w:rsidR="001406B1" w:rsidRPr="00A452F2" w:rsidRDefault="001406B1" w:rsidP="001406B1">
      <w:pPr>
        <w:jc w:val="center"/>
        <w:rPr>
          <w:lang w:val="en-GB"/>
        </w:rPr>
      </w:pPr>
      <w:r>
        <w:rPr>
          <w:noProof/>
        </w:rPr>
        <w:drawing>
          <wp:inline distT="0" distB="0" distL="0" distR="0" wp14:anchorId="44CDC809" wp14:editId="257FD33E">
            <wp:extent cx="5911080" cy="2001600"/>
            <wp:effectExtent l="0" t="0" r="0" b="0"/>
            <wp:docPr id="606394125" name="Picture 606394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25"/>
                    <pic:cNvPicPr/>
                  </pic:nvPicPr>
                  <pic:blipFill>
                    <a:blip r:embed="rId339">
                      <a:extLst>
                        <a:ext uri="{28A0092B-C50C-407E-A947-70E740481C1C}">
                          <a14:useLocalDpi xmlns:a14="http://schemas.microsoft.com/office/drawing/2010/main" val="0"/>
                        </a:ext>
                      </a:extLst>
                    </a:blip>
                    <a:stretch>
                      <a:fillRect/>
                    </a:stretch>
                  </pic:blipFill>
                  <pic:spPr>
                    <a:xfrm>
                      <a:off x="0" y="0"/>
                      <a:ext cx="5911080" cy="2001600"/>
                    </a:xfrm>
                    <a:prstGeom prst="rect">
                      <a:avLst/>
                    </a:prstGeom>
                  </pic:spPr>
                </pic:pic>
              </a:graphicData>
            </a:graphic>
          </wp:inline>
        </w:drawing>
      </w:r>
    </w:p>
    <w:p w14:paraId="572E5D3A" w14:textId="77777777" w:rsidR="001406B1" w:rsidRPr="00A452F2" w:rsidRDefault="001406B1" w:rsidP="001406B1">
      <w:pPr>
        <w:rPr>
          <w:lang w:val="en-GB"/>
        </w:rPr>
      </w:pPr>
      <w:r w:rsidRPr="00A452F2">
        <w:rPr>
          <w:lang w:val="en-GB"/>
        </w:rPr>
        <w:lastRenderedPageBreak/>
        <w:t>The network packet analysis comes in 2 main approaches: Header analysis and full packet analysis. The header analysis is certainly much lighter but lack the depth of full analysis. You use this to provide overall visibility as it does not impose heavy load on your environment.</w:t>
      </w:r>
    </w:p>
    <w:p w14:paraId="28BB66F1" w14:textId="77777777" w:rsidR="001406B1" w:rsidRPr="00A452F2" w:rsidRDefault="001406B1" w:rsidP="001406B1">
      <w:pPr>
        <w:rPr>
          <w:lang w:val="en-GB"/>
        </w:rPr>
      </w:pPr>
      <w:r w:rsidRPr="00A452F2">
        <w:rPr>
          <w:lang w:val="en-GB"/>
        </w:rPr>
        <w:t>The impact of virtualization on network monitoring goes beyond what we have covered. Let’s add NSX Edge into the above, so you can see the traffic flow when the edge services are also virtualized. You will see that a network problem experienced by a VM on one ESXi could be caused by another VM running on another ESXi. The following diagram is a simplified setup, showing a single NSX Edge residing on another cluster.</w:t>
      </w:r>
    </w:p>
    <w:p w14:paraId="38690278" w14:textId="77777777" w:rsidR="001406B1" w:rsidRPr="00A452F2" w:rsidRDefault="001406B1" w:rsidP="001406B1">
      <w:pPr>
        <w:rPr>
          <w:lang w:val="en-GB"/>
        </w:rPr>
      </w:pPr>
    </w:p>
    <w:p w14:paraId="2F90840C" w14:textId="77777777" w:rsidR="001406B1" w:rsidRPr="00A452F2" w:rsidRDefault="001406B1" w:rsidP="001406B1">
      <w:pPr>
        <w:jc w:val="center"/>
        <w:rPr>
          <w:lang w:val="en-GB"/>
        </w:rPr>
      </w:pPr>
      <w:r>
        <w:rPr>
          <w:noProof/>
        </w:rPr>
        <w:drawing>
          <wp:inline distT="0" distB="0" distL="0" distR="0" wp14:anchorId="33D7C06D" wp14:editId="76FDD356">
            <wp:extent cx="4895848" cy="2787650"/>
            <wp:effectExtent l="0" t="0" r="0" b="0"/>
            <wp:docPr id="606394127" name="Picture 606394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27"/>
                    <pic:cNvPicPr/>
                  </pic:nvPicPr>
                  <pic:blipFill>
                    <a:blip r:embed="rId340">
                      <a:extLst>
                        <a:ext uri="{28A0092B-C50C-407E-A947-70E740481C1C}">
                          <a14:useLocalDpi xmlns:a14="http://schemas.microsoft.com/office/drawing/2010/main" val="0"/>
                        </a:ext>
                      </a:extLst>
                    </a:blip>
                    <a:stretch>
                      <a:fillRect/>
                    </a:stretch>
                  </pic:blipFill>
                  <pic:spPr>
                    <a:xfrm>
                      <a:off x="0" y="0"/>
                      <a:ext cx="4895848" cy="2787650"/>
                    </a:xfrm>
                    <a:prstGeom prst="rect">
                      <a:avLst/>
                    </a:prstGeom>
                  </pic:spPr>
                </pic:pic>
              </a:graphicData>
            </a:graphic>
          </wp:inline>
        </w:drawing>
      </w:r>
    </w:p>
    <w:p w14:paraId="56267AA7" w14:textId="2E90504A" w:rsidR="001406B1" w:rsidRDefault="001406B1" w:rsidP="001406B1">
      <w:pPr>
        <w:rPr>
          <w:lang w:val="en-GB"/>
        </w:rPr>
      </w:pPr>
      <w:r w:rsidRPr="00A452F2">
        <w:rPr>
          <w:lang w:val="en-GB"/>
        </w:rPr>
        <w:t>In the above example, let’s say VM 1 needs to talk to outside world. An NSX Edge VM provides that connectivity, so every TCP/IP packet has to go through it. The Edge VM has 2 virtual NICs, one for each network. If the NSX Edge VM has CPU issue, or the underlying ESXi has RAM issue, it can impact the network performance of VM 1.</w:t>
      </w:r>
    </w:p>
    <w:p w14:paraId="0AC12521" w14:textId="77777777" w:rsidR="00EA420A" w:rsidRDefault="00EA420A" w:rsidP="00EA420A">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530"/>
        <w:gridCol w:w="2075"/>
        <w:gridCol w:w="6745"/>
      </w:tblGrid>
      <w:tr w:rsidR="00EA420A" w14:paraId="040C68C7" w14:textId="77777777" w:rsidTr="00281329">
        <w:tc>
          <w:tcPr>
            <w:tcW w:w="1530" w:type="dxa"/>
            <w:shd w:val="clear" w:color="auto" w:fill="F2F2F2" w:themeFill="background1" w:themeFillShade="F2"/>
          </w:tcPr>
          <w:p w14:paraId="2EBA1258" w14:textId="77777777" w:rsidR="00EA420A" w:rsidRDefault="00EA420A" w:rsidP="00281329">
            <w:pPr>
              <w:pStyle w:val="Tableheading"/>
            </w:pPr>
            <w:r>
              <w:t>Type</w:t>
            </w:r>
          </w:p>
        </w:tc>
        <w:tc>
          <w:tcPr>
            <w:tcW w:w="2075" w:type="dxa"/>
            <w:shd w:val="clear" w:color="auto" w:fill="F2F2F2" w:themeFill="background1" w:themeFillShade="F2"/>
          </w:tcPr>
          <w:p w14:paraId="335E8C04" w14:textId="77777777" w:rsidR="00EA420A" w:rsidRDefault="00EA420A" w:rsidP="00281329">
            <w:pPr>
              <w:pStyle w:val="Tableheading"/>
            </w:pPr>
            <w:r>
              <w:t>Guest OS Metric</w:t>
            </w:r>
          </w:p>
        </w:tc>
        <w:tc>
          <w:tcPr>
            <w:tcW w:w="6745" w:type="dxa"/>
            <w:shd w:val="clear" w:color="auto" w:fill="F2F2F2" w:themeFill="background1" w:themeFillShade="F2"/>
          </w:tcPr>
          <w:p w14:paraId="4D2E4B52" w14:textId="77777777" w:rsidR="00EA420A" w:rsidRDefault="00EA420A" w:rsidP="00281329">
            <w:pPr>
              <w:pStyle w:val="Tableheading"/>
            </w:pPr>
            <w:r>
              <w:t>VM Equivalent</w:t>
            </w:r>
          </w:p>
        </w:tc>
      </w:tr>
      <w:tr w:rsidR="00EA420A" w14:paraId="46477744" w14:textId="77777777" w:rsidTr="00281329">
        <w:tc>
          <w:tcPr>
            <w:tcW w:w="1530" w:type="dxa"/>
            <w:vMerge w:val="restart"/>
          </w:tcPr>
          <w:p w14:paraId="6B1C418E" w14:textId="77777777" w:rsidR="00EA420A" w:rsidRDefault="00EA420A" w:rsidP="00281329">
            <w:pPr>
              <w:pStyle w:val="Tablecontent"/>
            </w:pPr>
            <w:r>
              <w:t>Contention</w:t>
            </w:r>
          </w:p>
        </w:tc>
        <w:tc>
          <w:tcPr>
            <w:tcW w:w="2075" w:type="dxa"/>
          </w:tcPr>
          <w:p w14:paraId="360BC552" w14:textId="77777777" w:rsidR="00EA420A" w:rsidRDefault="00EA420A" w:rsidP="00281329">
            <w:pPr>
              <w:pStyle w:val="Tablecontent"/>
            </w:pPr>
            <w:r>
              <w:t>Dropped Packet</w:t>
            </w:r>
          </w:p>
        </w:tc>
        <w:tc>
          <w:tcPr>
            <w:tcW w:w="6745" w:type="dxa"/>
          </w:tcPr>
          <w:p w14:paraId="7C9DA171" w14:textId="77777777" w:rsidR="00EA420A" w:rsidRDefault="00EA420A" w:rsidP="00281329">
            <w:pPr>
              <w:pStyle w:val="Tablecontent"/>
            </w:pPr>
            <w:r>
              <w:t>None, as the dropped packet at VM is a different level.</w:t>
            </w:r>
          </w:p>
        </w:tc>
      </w:tr>
      <w:tr w:rsidR="00EA420A" w14:paraId="52C62269" w14:textId="77777777" w:rsidTr="00281329">
        <w:tc>
          <w:tcPr>
            <w:tcW w:w="1530" w:type="dxa"/>
            <w:vMerge/>
          </w:tcPr>
          <w:p w14:paraId="3EB7586D" w14:textId="77777777" w:rsidR="00EA420A" w:rsidRDefault="00EA420A" w:rsidP="00281329">
            <w:pPr>
              <w:pStyle w:val="Tablecontent"/>
            </w:pPr>
          </w:p>
        </w:tc>
        <w:tc>
          <w:tcPr>
            <w:tcW w:w="2075" w:type="dxa"/>
          </w:tcPr>
          <w:p w14:paraId="1AC81695" w14:textId="77777777" w:rsidR="00EA420A" w:rsidRDefault="00EA420A" w:rsidP="00281329">
            <w:pPr>
              <w:pStyle w:val="Tablecontent"/>
            </w:pPr>
            <w:r>
              <w:t>Latency</w:t>
            </w:r>
          </w:p>
        </w:tc>
        <w:tc>
          <w:tcPr>
            <w:tcW w:w="6745" w:type="dxa"/>
          </w:tcPr>
          <w:p w14:paraId="09170276" w14:textId="77777777" w:rsidR="00EA420A" w:rsidRDefault="00EA420A" w:rsidP="00281329">
            <w:pPr>
              <w:pStyle w:val="Tablecontent"/>
            </w:pPr>
            <w:r>
              <w:t>None, no such metric available in vSphere</w:t>
            </w:r>
          </w:p>
        </w:tc>
      </w:tr>
      <w:tr w:rsidR="00EA420A" w14:paraId="7FBFFDE4" w14:textId="77777777" w:rsidTr="00281329">
        <w:tc>
          <w:tcPr>
            <w:tcW w:w="1530" w:type="dxa"/>
            <w:vMerge w:val="restart"/>
          </w:tcPr>
          <w:p w14:paraId="1623032B" w14:textId="77777777" w:rsidR="00EA420A" w:rsidRDefault="00EA420A" w:rsidP="00281329">
            <w:pPr>
              <w:pStyle w:val="Tablecontent"/>
            </w:pPr>
            <w:r>
              <w:t>Utilization</w:t>
            </w:r>
          </w:p>
        </w:tc>
        <w:tc>
          <w:tcPr>
            <w:tcW w:w="2075" w:type="dxa"/>
          </w:tcPr>
          <w:p w14:paraId="583D471C" w14:textId="77777777" w:rsidR="00EA420A" w:rsidRDefault="00EA420A" w:rsidP="00281329">
            <w:pPr>
              <w:pStyle w:val="Tablecontent"/>
            </w:pPr>
            <w:r>
              <w:t>Throughput</w:t>
            </w:r>
          </w:p>
        </w:tc>
        <w:tc>
          <w:tcPr>
            <w:tcW w:w="6745" w:type="dxa"/>
            <w:vMerge w:val="restart"/>
          </w:tcPr>
          <w:p w14:paraId="41DDE9BE" w14:textId="77777777" w:rsidR="00EA420A" w:rsidRDefault="00EA420A" w:rsidP="00281329">
            <w:pPr>
              <w:pStyle w:val="Tablecontent"/>
            </w:pPr>
            <w:r>
              <w:t xml:space="preserve">They should match with the metrics at VM level. If not, there is dropped packets. </w:t>
            </w:r>
          </w:p>
          <w:p w14:paraId="795CFF6D" w14:textId="77777777" w:rsidR="00EA420A" w:rsidRDefault="00EA420A" w:rsidP="00281329">
            <w:pPr>
              <w:pStyle w:val="Tablecontent"/>
            </w:pPr>
            <w:r>
              <w:t>They should be reported based on traffice type: unicast, multicast, broadcast.</w:t>
            </w:r>
          </w:p>
        </w:tc>
      </w:tr>
      <w:tr w:rsidR="00EA420A" w14:paraId="1594D840" w14:textId="77777777" w:rsidTr="00281329">
        <w:tc>
          <w:tcPr>
            <w:tcW w:w="1530" w:type="dxa"/>
            <w:vMerge/>
          </w:tcPr>
          <w:p w14:paraId="037C196E" w14:textId="77777777" w:rsidR="00EA420A" w:rsidRDefault="00EA420A" w:rsidP="00281329">
            <w:pPr>
              <w:pStyle w:val="Tablecontent"/>
            </w:pPr>
          </w:p>
        </w:tc>
        <w:tc>
          <w:tcPr>
            <w:tcW w:w="2075" w:type="dxa"/>
          </w:tcPr>
          <w:p w14:paraId="4AE83F57" w14:textId="77777777" w:rsidR="00EA420A" w:rsidRDefault="00EA420A" w:rsidP="00281329">
            <w:pPr>
              <w:pStyle w:val="Tablecontent"/>
            </w:pPr>
            <w:r>
              <w:t>Packet/second</w:t>
            </w:r>
          </w:p>
        </w:tc>
        <w:tc>
          <w:tcPr>
            <w:tcW w:w="6745" w:type="dxa"/>
            <w:vMerge/>
          </w:tcPr>
          <w:p w14:paraId="4AD2D727" w14:textId="77777777" w:rsidR="00EA420A" w:rsidRDefault="00EA420A" w:rsidP="00281329">
            <w:pPr>
              <w:pStyle w:val="Tablecontent"/>
            </w:pPr>
          </w:p>
        </w:tc>
      </w:tr>
    </w:tbl>
    <w:p w14:paraId="1D3C3EA6" w14:textId="77777777" w:rsidR="001406B1" w:rsidRDefault="001406B1" w:rsidP="001406B1">
      <w:pPr>
        <w:pStyle w:val="Heading5"/>
      </w:pPr>
      <w:r>
        <w:t>Traffic Type</w:t>
      </w:r>
    </w:p>
    <w:p w14:paraId="3CEF313B" w14:textId="77777777" w:rsidR="001406B1" w:rsidRDefault="001406B1" w:rsidP="001406B1">
      <w:pPr>
        <w:rPr>
          <w:lang w:val="en-GB"/>
        </w:rPr>
      </w:pPr>
      <w:r>
        <w:rPr>
          <w:lang w:val="en-GB"/>
        </w:rPr>
        <w:t xml:space="preserve">vRealize Operations provides these metrics at VM, ESXi, Distributed Port Group and Distributed Switch level. As vSphere Tanzu Pod is basically a VM, it also has the metric. </w:t>
      </w:r>
    </w:p>
    <w:p w14:paraId="3F4088FD" w14:textId="77777777" w:rsidR="001406B1" w:rsidRDefault="001406B1" w:rsidP="001406B1">
      <w:pPr>
        <w:rPr>
          <w:lang w:val="en-GB"/>
        </w:rPr>
      </w:pPr>
      <w:r>
        <w:rPr>
          <w:lang w:val="en-GB"/>
        </w:rPr>
        <w:t>BTW, one way to check what objects in what adapter have the specific metric is in the vRealize Operations policy. Open any policy, and search the metric using its name. The list of matching metrics will be shown, grouped by the objects.</w:t>
      </w:r>
    </w:p>
    <w:p w14:paraId="29D4229C" w14:textId="77777777" w:rsidR="001406B1" w:rsidRDefault="001406B1" w:rsidP="001406B1">
      <w:pPr>
        <w:rPr>
          <w:lang w:val="en-GB"/>
        </w:rPr>
      </w:pPr>
      <w:r w:rsidRPr="006148A2">
        <w:rPr>
          <w:noProof/>
          <w:lang w:val="en-GB"/>
        </w:rPr>
        <w:lastRenderedPageBreak/>
        <w:drawing>
          <wp:inline distT="0" distB="0" distL="0" distR="0" wp14:anchorId="02A17DDC" wp14:editId="08661EE4">
            <wp:extent cx="6645910" cy="2604135"/>
            <wp:effectExtent l="0" t="0" r="2540" b="5715"/>
            <wp:docPr id="1859674541" name="Picture 1859674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6645910" cy="2604135"/>
                    </a:xfrm>
                    <a:prstGeom prst="rect">
                      <a:avLst/>
                    </a:prstGeom>
                  </pic:spPr>
                </pic:pic>
              </a:graphicData>
            </a:graphic>
          </wp:inline>
        </w:drawing>
      </w:r>
    </w:p>
    <w:p w14:paraId="4A408633" w14:textId="77777777" w:rsidR="001406B1" w:rsidRDefault="001406B1" w:rsidP="001406B1">
      <w:pPr>
        <w:rPr>
          <w:lang w:val="en-GB"/>
        </w:rPr>
      </w:pPr>
      <w:r>
        <w:rPr>
          <w:lang w:val="en-GB"/>
        </w:rPr>
        <w:t>As you can see from above, there is no aggregation at higher level, so create super metric for the time being. I have not created those metric out of the box as I’m yet to use them in dashboard or alert.</w:t>
      </w:r>
    </w:p>
    <w:p w14:paraId="28692FF7" w14:textId="77777777" w:rsidR="001406B1" w:rsidRDefault="001406B1" w:rsidP="001406B1">
      <w:pPr>
        <w:pStyle w:val="Heading6"/>
      </w:pPr>
      <w:r>
        <w:t>Packet Size</w:t>
      </w:r>
    </w:p>
    <w:p w14:paraId="189BE9F2" w14:textId="77777777" w:rsidR="003E7772" w:rsidRDefault="001406B1" w:rsidP="001406B1">
      <w:pPr>
        <w:rPr>
          <w:lang w:val="en-GB"/>
        </w:rPr>
      </w:pPr>
      <w:r>
        <w:rPr>
          <w:lang w:val="en-GB"/>
        </w:rPr>
        <w:t>It’s typically 1</w:t>
      </w:r>
      <w:r w:rsidR="003E7772">
        <w:rPr>
          <w:lang w:val="en-GB"/>
        </w:rPr>
        <w:t>6</w:t>
      </w:r>
      <w:r>
        <w:rPr>
          <w:lang w:val="en-GB"/>
        </w:rPr>
        <w:t>00 byte</w:t>
      </w:r>
      <w:r w:rsidR="003E7772">
        <w:rPr>
          <w:lang w:val="en-GB"/>
        </w:rPr>
        <w:t xml:space="preserve"> with NSX</w:t>
      </w:r>
      <w:r>
        <w:rPr>
          <w:lang w:val="en-GB"/>
        </w:rPr>
        <w:t xml:space="preserve">, or 9000 bytes if you enable </w:t>
      </w:r>
      <w:hyperlink r:id="rId342" w:history="1">
        <w:r w:rsidRPr="00A452F2">
          <w:rPr>
            <w:rStyle w:val="Hyperlink"/>
            <w:lang w:val="en-GB"/>
          </w:rPr>
          <w:t>jumbo frames</w:t>
        </w:r>
      </w:hyperlink>
      <w:r>
        <w:rPr>
          <w:lang w:val="en-GB"/>
        </w:rPr>
        <w:t xml:space="preserve">). </w:t>
      </w:r>
    </w:p>
    <w:p w14:paraId="6661DD9C" w14:textId="40BFC957" w:rsidR="001406B1" w:rsidRDefault="001406B1" w:rsidP="001406B1">
      <w:pPr>
        <w:rPr>
          <w:lang w:val="en-GB"/>
        </w:rPr>
      </w:pPr>
      <w:r>
        <w:t xml:space="preserve">Special purpose packet such as </w:t>
      </w:r>
      <w:hyperlink r:id="rId343" w:history="1">
        <w:r w:rsidRPr="008A180C">
          <w:rPr>
            <w:rStyle w:val="Hyperlink"/>
          </w:rPr>
          <w:t>ping</w:t>
        </w:r>
      </w:hyperlink>
      <w:r>
        <w:t xml:space="preserve"> test is smaller. But they should be a small percentage of your network.</w:t>
      </w:r>
    </w:p>
    <w:p w14:paraId="537FA36E" w14:textId="77777777" w:rsidR="001406B1" w:rsidRDefault="001406B1" w:rsidP="001406B1">
      <w:pPr>
        <w:pStyle w:val="Heading5"/>
      </w:pPr>
      <w:r>
        <w:t>NSX Edge</w:t>
      </w:r>
    </w:p>
    <w:p w14:paraId="62AD932B" w14:textId="77777777" w:rsidR="001406B1" w:rsidRPr="000672C5" w:rsidRDefault="001406B1" w:rsidP="001406B1">
      <w:pPr>
        <w:rPr>
          <w:lang w:val="en-US"/>
        </w:rPr>
      </w:pPr>
      <w:r>
        <w:t>You may be wondering if an Edge VM does a lot of processing. Let’s look at a real example. How much traffic do you think this Edge VM is doing? The number is kilobytes not kilobit, so don’t forget to multiply by 8.</w:t>
      </w:r>
    </w:p>
    <w:p w14:paraId="37F3BB27" w14:textId="77777777" w:rsidR="001406B1" w:rsidRDefault="001406B1" w:rsidP="001406B1">
      <w:pPr>
        <w:rPr>
          <w:lang w:val="en-GB"/>
        </w:rPr>
      </w:pPr>
      <w:r>
        <w:rPr>
          <w:noProof/>
        </w:rPr>
        <w:drawing>
          <wp:inline distT="0" distB="0" distL="0" distR="0" wp14:anchorId="50BBCC9F" wp14:editId="4FA5DEA5">
            <wp:extent cx="6619520" cy="2577600"/>
            <wp:effectExtent l="0" t="0" r="0" b="0"/>
            <wp:docPr id="606394324" name="Picture 606394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24"/>
                    <pic:cNvPicPr/>
                  </pic:nvPicPr>
                  <pic:blipFill>
                    <a:blip r:embed="rId344">
                      <a:extLst>
                        <a:ext uri="{28A0092B-C50C-407E-A947-70E740481C1C}">
                          <a14:useLocalDpi xmlns:a14="http://schemas.microsoft.com/office/drawing/2010/main" val="0"/>
                        </a:ext>
                      </a:extLst>
                    </a:blip>
                    <a:stretch>
                      <a:fillRect/>
                    </a:stretch>
                  </pic:blipFill>
                  <pic:spPr>
                    <a:xfrm>
                      <a:off x="0" y="0"/>
                      <a:ext cx="6619520" cy="2577600"/>
                    </a:xfrm>
                    <a:prstGeom prst="rect">
                      <a:avLst/>
                    </a:prstGeom>
                  </pic:spPr>
                </pic:pic>
              </a:graphicData>
            </a:graphic>
          </wp:inline>
        </w:drawing>
      </w:r>
    </w:p>
    <w:p w14:paraId="1C5F9B8A" w14:textId="77777777" w:rsidR="001406B1" w:rsidRPr="000672C5" w:rsidRDefault="001406B1" w:rsidP="001406B1">
      <w:pPr>
        <w:rPr>
          <w:lang w:val="en-GB"/>
        </w:rPr>
      </w:pPr>
      <w:r w:rsidRPr="000672C5">
        <w:rPr>
          <w:lang w:val="en-GB"/>
        </w:rPr>
        <w:lastRenderedPageBreak/>
        <w:t xml:space="preserve">At near 1 million KBps, the </w:t>
      </w:r>
      <w:r>
        <w:rPr>
          <w:lang w:val="en-GB"/>
        </w:rPr>
        <w:t xml:space="preserve">application </w:t>
      </w:r>
      <w:r w:rsidRPr="000672C5">
        <w:rPr>
          <w:lang w:val="en-GB"/>
        </w:rPr>
        <w:t xml:space="preserve">VM is </w:t>
      </w:r>
      <w:r>
        <w:rPr>
          <w:lang w:val="en-GB"/>
        </w:rPr>
        <w:t xml:space="preserve">processing a total of </w:t>
      </w:r>
      <w:r w:rsidRPr="000672C5">
        <w:rPr>
          <w:lang w:val="en-GB"/>
        </w:rPr>
        <w:t>8 Gbps worth of data</w:t>
      </w:r>
      <w:r>
        <w:rPr>
          <w:lang w:val="en-GB"/>
        </w:rPr>
        <w:t xml:space="preserve"> on both network cards, 4 Gbps incoming from one vNIC and 4 Gbps outgoing on another vNIC at the same time.</w:t>
      </w:r>
      <w:r w:rsidRPr="000672C5">
        <w:rPr>
          <w:lang w:val="en-GB"/>
        </w:rPr>
        <w:t xml:space="preserve"> This number is the sum of Receive and Transmit, so the theoretical limit is 20 Gbps as this VM uses a 10 Gbps NIC. Notice the pattern for both Receive and Transmit is identical, as NSX Edge is practically a gateway.</w:t>
      </w:r>
    </w:p>
    <w:p w14:paraId="1ADEC4D7" w14:textId="77777777" w:rsidR="001406B1" w:rsidRDefault="001406B1" w:rsidP="001406B1">
      <w:pPr>
        <w:rPr>
          <w:lang w:val="en-GB"/>
        </w:rPr>
      </w:pPr>
      <w:r w:rsidRPr="000672C5">
        <w:rPr>
          <w:lang w:val="en-GB"/>
        </w:rPr>
        <w:t>This NSX Edge happens to be the only VM on a host. This means we can expect the data at the Host level to mimic that. The host does not run distributed storage (e.g. VSAN) so there is no other traffic other than this VM. The following chart below confirms that.</w:t>
      </w:r>
    </w:p>
    <w:p w14:paraId="6F323F6C" w14:textId="77777777" w:rsidR="001406B1" w:rsidRDefault="001406B1" w:rsidP="001406B1">
      <w:pPr>
        <w:rPr>
          <w:lang w:val="en-GB"/>
        </w:rPr>
      </w:pPr>
      <w:r>
        <w:rPr>
          <w:noProof/>
        </w:rPr>
        <w:drawing>
          <wp:inline distT="0" distB="0" distL="0" distR="0" wp14:anchorId="295B4A44" wp14:editId="2E3CE2E1">
            <wp:extent cx="6571427" cy="1540800"/>
            <wp:effectExtent l="0" t="0" r="1270" b="2540"/>
            <wp:docPr id="606394342" name="Picture 606394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42"/>
                    <pic:cNvPicPr/>
                  </pic:nvPicPr>
                  <pic:blipFill>
                    <a:blip r:embed="rId345">
                      <a:extLst>
                        <a:ext uri="{28A0092B-C50C-407E-A947-70E740481C1C}">
                          <a14:useLocalDpi xmlns:a14="http://schemas.microsoft.com/office/drawing/2010/main" val="0"/>
                        </a:ext>
                      </a:extLst>
                    </a:blip>
                    <a:stretch>
                      <a:fillRect/>
                    </a:stretch>
                  </pic:blipFill>
                  <pic:spPr>
                    <a:xfrm>
                      <a:off x="0" y="0"/>
                      <a:ext cx="6571427" cy="1540800"/>
                    </a:xfrm>
                    <a:prstGeom prst="rect">
                      <a:avLst/>
                    </a:prstGeom>
                  </pic:spPr>
                </pic:pic>
              </a:graphicData>
            </a:graphic>
          </wp:inline>
        </w:drawing>
      </w:r>
    </w:p>
    <w:p w14:paraId="75B811D6" w14:textId="77777777" w:rsidR="001406B1" w:rsidRPr="00E04C06" w:rsidRDefault="001406B1" w:rsidP="001406B1">
      <w:pPr>
        <w:rPr>
          <w:lang w:val="en-GB"/>
        </w:rPr>
      </w:pPr>
      <w:r w:rsidRPr="00E04C06">
        <w:rPr>
          <w:lang w:val="en-GB"/>
        </w:rPr>
        <w:t>There are practically 2 lines, even though we actually plot 8 line charts. What do the 2 lines map to?</w:t>
      </w:r>
    </w:p>
    <w:p w14:paraId="31912578" w14:textId="77777777" w:rsidR="001406B1" w:rsidRPr="00E04C06" w:rsidRDefault="001406B1" w:rsidP="001406B1">
      <w:pPr>
        <w:rPr>
          <w:lang w:val="en-GB"/>
        </w:rPr>
      </w:pPr>
      <w:r w:rsidRPr="00E04C06">
        <w:rPr>
          <w:lang w:val="en-GB"/>
        </w:rPr>
        <w:t>Yes, they map to North-South traffic and South-North traffic. An end user requesting data from a web server would be South to North, while the web server response would be North to South.</w:t>
      </w:r>
    </w:p>
    <w:p w14:paraId="285747A2" w14:textId="77777777" w:rsidR="001406B1" w:rsidRPr="00E04C06" w:rsidRDefault="001406B1" w:rsidP="001406B1">
      <w:pPr>
        <w:rPr>
          <w:lang w:val="en-GB"/>
        </w:rPr>
      </w:pPr>
      <w:r w:rsidRPr="00E04C06">
        <w:rPr>
          <w:lang w:val="en-GB"/>
        </w:rPr>
        <w:t>“</w:t>
      </w:r>
      <w:r w:rsidRPr="004B04B7">
        <w:rPr>
          <w:color w:val="00B0F0"/>
          <w:lang w:val="en-GB"/>
        </w:rPr>
        <w:t>Wait!</w:t>
      </w:r>
      <w:r w:rsidRPr="00E04C06">
        <w:rPr>
          <w:lang w:val="en-GB"/>
        </w:rPr>
        <w:t>” you might say. There should only 4 lines. Why do we have 8 lines?</w:t>
      </w:r>
    </w:p>
    <w:p w14:paraId="3763DFED" w14:textId="77777777" w:rsidR="001406B1" w:rsidRDefault="001406B1" w:rsidP="001406B1">
      <w:pPr>
        <w:rPr>
          <w:lang w:val="en-GB"/>
        </w:rPr>
      </w:pPr>
      <w:r w:rsidRPr="00E04C06">
        <w:rPr>
          <w:lang w:val="en-GB"/>
        </w:rPr>
        <w:t>Can you figure it out from the following diagram?</w:t>
      </w:r>
    </w:p>
    <w:p w14:paraId="0D926B48" w14:textId="77777777" w:rsidR="001406B1" w:rsidRDefault="001406B1" w:rsidP="001406B1">
      <w:pPr>
        <w:jc w:val="center"/>
        <w:rPr>
          <w:lang w:val="en-GB"/>
        </w:rPr>
      </w:pPr>
      <w:r>
        <w:rPr>
          <w:noProof/>
        </w:rPr>
        <w:drawing>
          <wp:inline distT="0" distB="0" distL="0" distR="0" wp14:anchorId="70D892D9" wp14:editId="3F86891E">
            <wp:extent cx="1720850" cy="2254250"/>
            <wp:effectExtent l="0" t="0" r="0" b="0"/>
            <wp:docPr id="606394343" name="Picture 606394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43"/>
                    <pic:cNvPicPr/>
                  </pic:nvPicPr>
                  <pic:blipFill>
                    <a:blip r:embed="rId346">
                      <a:extLst>
                        <a:ext uri="{28A0092B-C50C-407E-A947-70E740481C1C}">
                          <a14:useLocalDpi xmlns:a14="http://schemas.microsoft.com/office/drawing/2010/main" val="0"/>
                        </a:ext>
                      </a:extLst>
                    </a:blip>
                    <a:stretch>
                      <a:fillRect/>
                    </a:stretch>
                  </pic:blipFill>
                  <pic:spPr>
                    <a:xfrm>
                      <a:off x="0" y="0"/>
                      <a:ext cx="1720850" cy="2254250"/>
                    </a:xfrm>
                    <a:prstGeom prst="rect">
                      <a:avLst/>
                    </a:prstGeom>
                  </pic:spPr>
                </pic:pic>
              </a:graphicData>
            </a:graphic>
          </wp:inline>
        </w:drawing>
      </w:r>
    </w:p>
    <w:p w14:paraId="452A5703" w14:textId="77777777" w:rsidR="001406B1" w:rsidRPr="00E04C06" w:rsidRDefault="001406B1" w:rsidP="001406B1">
      <w:pPr>
        <w:rPr>
          <w:lang w:val="en-GB"/>
        </w:rPr>
      </w:pPr>
      <w:r w:rsidRPr="00E04C06">
        <w:rPr>
          <w:lang w:val="en-GB"/>
        </w:rPr>
        <w:t>The above 8 arrows map to the 8 lines. There is 1 line chart for every arrow. There are 4 NICs, and each has Receive and Transmit.</w:t>
      </w:r>
    </w:p>
    <w:p w14:paraId="0458EE3A" w14:textId="77777777" w:rsidR="001406B1" w:rsidRDefault="001406B1" w:rsidP="001406B1">
      <w:pPr>
        <w:rPr>
          <w:lang w:val="en-GB"/>
        </w:rPr>
      </w:pPr>
      <w:r w:rsidRPr="00E04C06">
        <w:rPr>
          <w:lang w:val="en-GB"/>
        </w:rPr>
        <w:t>If you use NSX, there is a good chance that you will have multiple NSX Edge VMs. We have a customer with &gt;100 VMs. On the same host, you may also run distributed storage (e.g. VSAN) as an Edge cluster is typically isolated. We have customers with multiple Edge VMs, and monitoring the health of these Edge VMs becomes an integral part of network monitoring.</w:t>
      </w:r>
    </w:p>
    <w:p w14:paraId="62B7DC45" w14:textId="77777777" w:rsidR="001406B1" w:rsidRPr="00E04C06" w:rsidRDefault="001406B1" w:rsidP="001406B1">
      <w:pPr>
        <w:rPr>
          <w:lang w:val="en-GB"/>
        </w:rPr>
      </w:pPr>
      <w:r w:rsidRPr="4CAB3972">
        <w:rPr>
          <w:lang w:val="en-GB"/>
        </w:rPr>
        <w:t xml:space="preserve">Good network management is about understanding the application. In a way, we should treat </w:t>
      </w:r>
      <w:r>
        <w:rPr>
          <w:lang w:val="en-GB"/>
        </w:rPr>
        <w:t xml:space="preserve">VMware Cloud Foundation </w:t>
      </w:r>
      <w:r w:rsidRPr="4CAB3972">
        <w:rPr>
          <w:lang w:val="en-GB"/>
        </w:rPr>
        <w:t xml:space="preserve">as an application. There are now two layers of applications in SDDC: </w:t>
      </w:r>
    </w:p>
    <w:p w14:paraId="428A1B8F" w14:textId="77777777" w:rsidR="001406B1" w:rsidRPr="00E04C06" w:rsidRDefault="001406B1" w:rsidP="001406B1">
      <w:pPr>
        <w:pStyle w:val="Bullet"/>
        <w:rPr>
          <w:lang w:val="en-GB"/>
        </w:rPr>
      </w:pPr>
      <w:r w:rsidRPr="00E04C06">
        <w:rPr>
          <w:lang w:val="en-GB"/>
        </w:rPr>
        <w:t xml:space="preserve">Infrastructure applications (e.g. </w:t>
      </w:r>
      <w:r>
        <w:rPr>
          <w:lang w:val="en-GB"/>
        </w:rPr>
        <w:t>v</w:t>
      </w:r>
      <w:r w:rsidRPr="00E04C06">
        <w:rPr>
          <w:lang w:val="en-GB"/>
        </w:rPr>
        <w:t>SAN, NSX, F5, Trend Micro)</w:t>
      </w:r>
    </w:p>
    <w:p w14:paraId="47500448" w14:textId="77777777" w:rsidR="001406B1" w:rsidRPr="00E04C06" w:rsidRDefault="001406B1" w:rsidP="001406B1">
      <w:pPr>
        <w:pStyle w:val="Bullet"/>
        <w:rPr>
          <w:lang w:val="en-GB"/>
        </w:rPr>
      </w:pPr>
      <w:r w:rsidRPr="00E04C06">
        <w:rPr>
          <w:lang w:val="en-GB"/>
        </w:rPr>
        <w:t>Business Applications (e.g. your company intranet</w:t>
      </w:r>
      <w:r>
        <w:rPr>
          <w:lang w:val="en-GB"/>
        </w:rPr>
        <w:t>, database, web server</w:t>
      </w:r>
      <w:r w:rsidRPr="00E04C06">
        <w:rPr>
          <w:lang w:val="en-GB"/>
        </w:rPr>
        <w:t>)</w:t>
      </w:r>
    </w:p>
    <w:p w14:paraId="63C114FF" w14:textId="77777777" w:rsidR="001406B1" w:rsidRPr="00A452F2" w:rsidRDefault="001406B1" w:rsidP="001406B1">
      <w:pPr>
        <w:rPr>
          <w:lang w:val="en-GB"/>
        </w:rPr>
      </w:pPr>
      <w:r w:rsidRPr="00E04C06">
        <w:rPr>
          <w:lang w:val="en-GB"/>
        </w:rPr>
        <w:lastRenderedPageBreak/>
        <w:t>This is consistent with the fact that you will have two layers of network, when the network is virtualized. You will use VXLAN for your VM and VLAN for your infrastructure.</w:t>
      </w:r>
    </w:p>
    <w:p w14:paraId="2C5565A4" w14:textId="0A117AF1" w:rsidR="00FF0111" w:rsidRDefault="00FF0111" w:rsidP="00B373E2">
      <w:pPr>
        <w:pStyle w:val="Heading2"/>
      </w:pPr>
      <w:r>
        <w:lastRenderedPageBreak/>
        <w:t>Operating System</w:t>
      </w:r>
    </w:p>
    <w:p w14:paraId="18B7693E" w14:textId="2822F94C" w:rsidR="001406B1" w:rsidRDefault="001406B1" w:rsidP="001406B1">
      <w:pPr>
        <w:pStyle w:val="AfterChapterTitle"/>
      </w:pPr>
      <w:r>
        <mc:AlternateContent>
          <mc:Choice Requires="wps">
            <w:drawing>
              <wp:anchor distT="0" distB="0" distL="114300" distR="114300" simplePos="0" relativeHeight="251687936" behindDoc="0" locked="0" layoutInCell="1" allowOverlap="1" wp14:anchorId="052F8E53" wp14:editId="0C73AF11">
                <wp:simplePos x="0" y="0"/>
                <wp:positionH relativeFrom="column">
                  <wp:posOffset>0</wp:posOffset>
                </wp:positionH>
                <wp:positionV relativeFrom="paragraph">
                  <wp:posOffset>0</wp:posOffset>
                </wp:positionV>
                <wp:extent cx="1828800" cy="1828800"/>
                <wp:effectExtent l="0" t="0" r="0" b="0"/>
                <wp:wrapNone/>
                <wp:docPr id="606394165" name="Text Box 60639416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05E8359" w14:textId="77777777" w:rsidR="001406B1" w:rsidRPr="00C84219" w:rsidRDefault="001406B1" w:rsidP="001406B1">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2 Chapter 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052F8E53" id="Text Box 606394165" o:spid="_x0000_s1033" type="#_x0000_t202" style="position:absolute;margin-left:0;margin-top:0;width:2in;height:2in;z-index:2516879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" filled="f" stroked="f">
                <v:textbox style="mso-fit-shape-to-text:t">
                  <w:txbxContent>
                    <w:p w14:paraId="605E8359" w14:textId="77777777" w:rsidR="001406B1" w:rsidRPr="00C84219" w:rsidRDefault="001406B1" w:rsidP="001406B1">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2 Chapter 3</w:t>
                      </w:r>
                    </w:p>
                  </w:txbxContent>
                </v:textbox>
              </v:shape>
            </w:pict>
          </mc:Fallback>
        </mc:AlternateContent>
      </w:r>
      <w:r w:rsidR="00101777">
        <w:t xml:space="preserve">We will cover </w:t>
      </w:r>
      <w:r w:rsidR="003E0C03">
        <w:t>Windows and Linux. Both the server variants of Windows and the desktop variants of Windows use the same set of metrics. While there are many flavours of Linux, they are essentially identical from observability viewpoint</w:t>
      </w:r>
      <w:r w:rsidR="00E4254C">
        <w:t xml:space="preserve">. </w:t>
      </w:r>
    </w:p>
    <w:p w14:paraId="5E1F8FF6" w14:textId="5A105AF8" w:rsidR="00525768" w:rsidRDefault="00525768" w:rsidP="00FF0111">
      <w:pPr>
        <w:pStyle w:val="Heading3"/>
      </w:pPr>
      <w:r>
        <w:t>Microsoft Windows</w:t>
      </w:r>
    </w:p>
    <w:p w14:paraId="055B790E" w14:textId="6DC949C2" w:rsidR="00FF0111" w:rsidRDefault="00FF0111" w:rsidP="00525768">
      <w:pPr>
        <w:pStyle w:val="Heading4"/>
      </w:pPr>
      <w:r>
        <w:t>CPU</w:t>
      </w:r>
    </w:p>
    <w:p w14:paraId="6241F227" w14:textId="19CB1AFD" w:rsidR="00347B0E" w:rsidRDefault="00FF0111" w:rsidP="00525768">
      <w:pPr>
        <w:rPr>
          <w:lang w:val="en-GB"/>
        </w:rPr>
      </w:pPr>
      <w:r>
        <w:rPr>
          <w:lang w:val="en-GB"/>
        </w:rPr>
        <w:t xml:space="preserve">From what I know, </w:t>
      </w:r>
      <w:r w:rsidRPr="00B5242B">
        <w:rPr>
          <w:lang w:val="en-GB"/>
        </w:rPr>
        <w:t xml:space="preserve">Performance Monitor </w:t>
      </w:r>
      <w:r>
        <w:rPr>
          <w:lang w:val="en-GB"/>
        </w:rPr>
        <w:t>is still the main tool for Windows</w:t>
      </w:r>
      <w:r w:rsidR="007042F6">
        <w:rPr>
          <w:lang w:val="en-GB"/>
        </w:rPr>
        <w:t>, despite it showing its age and it has not been enhanced for years</w:t>
      </w:r>
      <w:r>
        <w:rPr>
          <w:lang w:val="en-GB"/>
        </w:rPr>
        <w:t xml:space="preserve">. Go to </w:t>
      </w:r>
      <w:r w:rsidRPr="00C24ADC">
        <w:rPr>
          <w:color w:val="00B0F0"/>
          <w:lang w:val="en-GB"/>
        </w:rPr>
        <w:t>docs.microsoft.com</w:t>
      </w:r>
      <w:r>
        <w:rPr>
          <w:lang w:val="en-GB"/>
        </w:rPr>
        <w:t xml:space="preserve"> and browse for Windows Server</w:t>
      </w:r>
      <w:r w:rsidR="007042F6">
        <w:rPr>
          <w:lang w:val="en-GB"/>
        </w:rPr>
        <w:t>. I</w:t>
      </w:r>
      <w:r>
        <w:rPr>
          <w:lang w:val="en-GB"/>
        </w:rPr>
        <w:t xml:space="preserve">t took me to </w:t>
      </w:r>
      <w:hyperlink r:id="rId347" w:history="1">
        <w:r w:rsidRPr="0029062D">
          <w:rPr>
            <w:rStyle w:val="Hyperlink"/>
            <w:lang w:val="en-GB"/>
          </w:rPr>
          <w:t>this article</w:t>
        </w:r>
      </w:hyperlink>
      <w:r>
        <w:rPr>
          <w:lang w:val="en-GB"/>
        </w:rPr>
        <w:t xml:space="preserve">, which cover PerfMon. </w:t>
      </w:r>
      <w:r w:rsidR="007042F6">
        <w:rPr>
          <w:lang w:val="en-GB"/>
        </w:rPr>
        <w:t xml:space="preserve">Many </w:t>
      </w:r>
      <w:r w:rsidR="007D2FC5">
        <w:rPr>
          <w:lang w:val="en-GB"/>
        </w:rPr>
        <w:t>explanations</w:t>
      </w:r>
      <w:r w:rsidR="00183866">
        <w:rPr>
          <w:lang w:val="en-GB"/>
        </w:rPr>
        <w:t xml:space="preserve"> on metrics </w:t>
      </w:r>
      <w:r w:rsidR="007042F6">
        <w:rPr>
          <w:lang w:val="en-GB"/>
        </w:rPr>
        <w:t xml:space="preserve">at </w:t>
      </w:r>
      <w:hyperlink r:id="rId348" w:history="1">
        <w:r w:rsidR="007042F6" w:rsidRPr="008E2021">
          <w:rPr>
            <w:rStyle w:val="Hyperlink"/>
            <w:lang w:val="en-GB"/>
          </w:rPr>
          <w:t>https://learn.microsoft.com/</w:t>
        </w:r>
      </w:hyperlink>
      <w:r w:rsidR="007042F6">
        <w:rPr>
          <w:lang w:val="en-GB"/>
        </w:rPr>
        <w:t xml:space="preserve"> </w:t>
      </w:r>
      <w:r w:rsidR="00183866">
        <w:rPr>
          <w:lang w:val="en-GB"/>
        </w:rPr>
        <w:t>are still based on end of life Windows.</w:t>
      </w:r>
    </w:p>
    <w:p w14:paraId="23BE1C56" w14:textId="39FF144D" w:rsidR="00FF0111" w:rsidRDefault="00347B0E" w:rsidP="00525768">
      <w:pPr>
        <w:rPr>
          <w:lang w:val="en-GB"/>
        </w:rPr>
      </w:pPr>
      <w:r>
        <w:rPr>
          <w:lang w:val="en-GB"/>
        </w:rPr>
        <w:t xml:space="preserve">PerfMon </w:t>
      </w:r>
      <w:r w:rsidR="008B1464">
        <w:rPr>
          <w:lang w:val="en-GB"/>
        </w:rPr>
        <w:t>group</w:t>
      </w:r>
      <w:r>
        <w:rPr>
          <w:lang w:val="en-GB"/>
        </w:rPr>
        <w:t>s</w:t>
      </w:r>
      <w:r w:rsidR="008B1464">
        <w:rPr>
          <w:lang w:val="en-GB"/>
        </w:rPr>
        <w:t xml:space="preserve"> the counters under </w:t>
      </w:r>
      <w:r w:rsidR="008B1464" w:rsidRPr="00183866">
        <w:rPr>
          <w:color w:val="00B0F0"/>
          <w:lang w:val="en-GB"/>
        </w:rPr>
        <w:t xml:space="preserve">Processor </w:t>
      </w:r>
      <w:r w:rsidR="008B1464">
        <w:rPr>
          <w:lang w:val="en-GB"/>
        </w:rPr>
        <w:t>group</w:t>
      </w:r>
      <w:r>
        <w:rPr>
          <w:lang w:val="en-GB"/>
        </w:rPr>
        <w:t xml:space="preserve">. However, it places the </w:t>
      </w:r>
      <w:r w:rsidRPr="00347B0E">
        <w:rPr>
          <w:color w:val="00B0F0"/>
          <w:lang w:val="en-GB"/>
        </w:rPr>
        <w:t xml:space="preserve">Processor Queue </w:t>
      </w:r>
      <w:r>
        <w:rPr>
          <w:color w:val="00B0F0"/>
          <w:lang w:val="en-GB"/>
        </w:rPr>
        <w:t>L</w:t>
      </w:r>
      <w:r w:rsidRPr="00347B0E">
        <w:rPr>
          <w:color w:val="00B0F0"/>
          <w:lang w:val="en-GB"/>
        </w:rPr>
        <w:t xml:space="preserve">ength </w:t>
      </w:r>
      <w:r w:rsidRPr="00347B0E">
        <w:t>and</w:t>
      </w:r>
      <w:r>
        <w:rPr>
          <w:color w:val="00B0F0"/>
          <w:lang w:val="en-GB"/>
        </w:rPr>
        <w:t xml:space="preserve"> Context Switches </w:t>
      </w:r>
      <w:r>
        <w:rPr>
          <w:lang w:val="en-GB"/>
        </w:rPr>
        <w:t xml:space="preserve">metrics under the </w:t>
      </w:r>
      <w:r w:rsidR="008B1464">
        <w:rPr>
          <w:lang w:val="en-GB"/>
        </w:rPr>
        <w:t xml:space="preserve">System group. The System group </w:t>
      </w:r>
      <w:r>
        <w:rPr>
          <w:lang w:val="en-GB"/>
        </w:rPr>
        <w:t>covers system wide metrics, not just CPU.</w:t>
      </w:r>
    </w:p>
    <w:p w14:paraId="7C12303A" w14:textId="509B32DA" w:rsidR="008B1464" w:rsidRDefault="008B1464" w:rsidP="00525768">
      <w:pPr>
        <w:rPr>
          <w:lang w:val="en-GB"/>
        </w:rPr>
      </w:pPr>
      <w:r>
        <w:rPr>
          <w:lang w:val="en-GB"/>
        </w:rPr>
        <w:t>The following screenshot show the counters under Processor group.</w:t>
      </w:r>
    </w:p>
    <w:p w14:paraId="4F51C45E" w14:textId="77777777" w:rsidR="00FF0111" w:rsidRDefault="00FF0111" w:rsidP="00525768">
      <w:pPr>
        <w:rPr>
          <w:lang w:val="en-GB"/>
        </w:rPr>
      </w:pPr>
      <w:r>
        <w:rPr>
          <w:noProof/>
        </w:rPr>
        <w:lastRenderedPageBreak/>
        <w:drawing>
          <wp:inline distT="0" distB="0" distL="0" distR="0" wp14:anchorId="2B1B93F1" wp14:editId="5C073CBF">
            <wp:extent cx="6645910" cy="3543300"/>
            <wp:effectExtent l="0" t="0" r="2540" b="0"/>
            <wp:docPr id="1293284804" name="Picture 129328480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04" name="Picture 1293284804" descr="Graphical user interface, application&#10;&#10;Description automatically generated"/>
                    <pic:cNvPicPr>
                      <a:picLocks noChangeAspect="1" noChangeArrowheads="1"/>
                    </pic:cNvPicPr>
                  </pic:nvPicPr>
                  <pic:blipFill>
                    <a:blip r:embed="rId349">
                      <a:extLst>
                        <a:ext uri="{28A0092B-C50C-407E-A947-70E740481C1C}">
                          <a14:useLocalDpi xmlns:a14="http://schemas.microsoft.com/office/drawing/2010/main" val="0"/>
                        </a:ext>
                      </a:extLst>
                    </a:blip>
                    <a:srcRect/>
                    <a:stretch>
                      <a:fillRect/>
                    </a:stretch>
                  </pic:blipFill>
                  <pic:spPr bwMode="auto">
                    <a:xfrm>
                      <a:off x="0" y="0"/>
                      <a:ext cx="6645910" cy="3543300"/>
                    </a:xfrm>
                    <a:prstGeom prst="rect">
                      <a:avLst/>
                    </a:prstGeom>
                    <a:noFill/>
                    <a:ln>
                      <a:noFill/>
                    </a:ln>
                  </pic:spPr>
                </pic:pic>
              </a:graphicData>
            </a:graphic>
          </wp:inline>
        </w:drawing>
      </w:r>
    </w:p>
    <w:p w14:paraId="20E6194B" w14:textId="6DA4213F" w:rsidR="00FF0111" w:rsidRDefault="00FF0111" w:rsidP="00525768">
      <w:pPr>
        <w:pStyle w:val="BeforeTable"/>
        <w:rPr>
          <w:lang w:val="en-GB"/>
        </w:rPr>
      </w:pPr>
    </w:p>
    <w:p w14:paraId="500570E6" w14:textId="295A55F2" w:rsidR="00D77576" w:rsidRDefault="00D77576" w:rsidP="00525768">
      <w:pPr>
        <w:pStyle w:val="Tablecontent"/>
      </w:pPr>
      <w:r>
        <w:t>PerfMon UI provides a description, which I use as a reference below:</w:t>
      </w:r>
    </w:p>
    <w:p w14:paraId="4C9C6001" w14:textId="77777777" w:rsidR="00D77576" w:rsidRDefault="00D77576" w:rsidP="00525768">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22"/>
        <w:gridCol w:w="8334"/>
      </w:tblGrid>
      <w:tr w:rsidR="00FF0111" w14:paraId="04AA7672" w14:textId="77777777" w:rsidTr="00281329">
        <w:tc>
          <w:tcPr>
            <w:tcW w:w="2122" w:type="dxa"/>
            <w:shd w:val="clear" w:color="auto" w:fill="F2F2F2" w:themeFill="background1" w:themeFillShade="F2"/>
          </w:tcPr>
          <w:p w14:paraId="36650F9D" w14:textId="77777777" w:rsidR="00FF0111" w:rsidRPr="004F370C" w:rsidRDefault="00FF0111" w:rsidP="00525768">
            <w:pPr>
              <w:pStyle w:val="Tablecontent"/>
            </w:pPr>
            <w:r w:rsidRPr="004F370C">
              <w:t>% C1 Time</w:t>
            </w:r>
          </w:p>
          <w:p w14:paraId="5E14CACE" w14:textId="77777777" w:rsidR="00FF0111" w:rsidRPr="004F370C" w:rsidRDefault="00FF0111" w:rsidP="00525768">
            <w:pPr>
              <w:pStyle w:val="Tablecontent"/>
            </w:pPr>
            <w:r w:rsidRPr="004F370C">
              <w:t>% C2 Time</w:t>
            </w:r>
          </w:p>
          <w:p w14:paraId="5EB539B2" w14:textId="77777777" w:rsidR="00FF0111" w:rsidRPr="004F370C" w:rsidRDefault="00FF0111" w:rsidP="00525768">
            <w:pPr>
              <w:pStyle w:val="Tablecontent"/>
            </w:pPr>
            <w:r w:rsidRPr="004F370C">
              <w:t>% C3 Time</w:t>
            </w:r>
          </w:p>
        </w:tc>
        <w:tc>
          <w:tcPr>
            <w:tcW w:w="8334" w:type="dxa"/>
          </w:tcPr>
          <w:p w14:paraId="52132EF3" w14:textId="21DAE558" w:rsidR="00B76D65" w:rsidRPr="008753FF" w:rsidRDefault="00B76D65" w:rsidP="00525768">
            <w:pPr>
              <w:pStyle w:val="Tablecontent"/>
            </w:pPr>
            <w:r w:rsidRPr="008753FF">
              <w:t xml:space="preserve">Based on this April 2004 article, Windows </w:t>
            </w:r>
            <w:r w:rsidR="00251378" w:rsidRPr="008753FF">
              <w:t xml:space="preserve">can </w:t>
            </w:r>
            <w:r w:rsidRPr="008753FF">
              <w:t xml:space="preserve">operate in </w:t>
            </w:r>
            <w:r w:rsidR="00251378" w:rsidRPr="008753FF">
              <w:t xml:space="preserve">4 different power level. The C0 is the highest, while C3 consumes the least amount of power. </w:t>
            </w:r>
          </w:p>
          <w:p w14:paraId="659D2394" w14:textId="0B1AA32B" w:rsidR="00251378" w:rsidRPr="008753FF" w:rsidRDefault="00251378" w:rsidP="00525768">
            <w:pPr>
              <w:pStyle w:val="Tablecontent"/>
            </w:pPr>
            <w:r w:rsidRPr="008753FF">
              <w:t>If you set dynamic power management, expect the lower power to be registering higher value during idle period.</w:t>
            </w:r>
          </w:p>
          <w:p w14:paraId="69733AFA" w14:textId="213A39FE" w:rsidR="00FF0111" w:rsidRPr="008753FF" w:rsidRDefault="008753FF" w:rsidP="00525768">
            <w:pPr>
              <w:pStyle w:val="Tablecontent"/>
            </w:pPr>
            <w:r w:rsidRPr="008753FF">
              <w:t xml:space="preserve">Reference: </w:t>
            </w:r>
            <w:hyperlink r:id="rId350" w:history="1">
              <w:r w:rsidR="00FF0111" w:rsidRPr="008753FF">
                <w:rPr>
                  <w:rStyle w:val="Hyperlink"/>
                  <w:color w:val="auto"/>
                </w:rPr>
                <w:t>here</w:t>
              </w:r>
            </w:hyperlink>
            <w:r w:rsidR="00FF0111" w:rsidRPr="008753FF">
              <w:t xml:space="preserve">. </w:t>
            </w:r>
          </w:p>
        </w:tc>
      </w:tr>
      <w:tr w:rsidR="00183866" w14:paraId="4FD2AA21" w14:textId="77777777" w:rsidTr="00281329">
        <w:tc>
          <w:tcPr>
            <w:tcW w:w="2122" w:type="dxa"/>
            <w:shd w:val="clear" w:color="auto" w:fill="F2F2F2" w:themeFill="background1" w:themeFillShade="F2"/>
          </w:tcPr>
          <w:p w14:paraId="24F2432E" w14:textId="77777777" w:rsidR="00183866" w:rsidRPr="005216F3" w:rsidRDefault="00183866" w:rsidP="00525768">
            <w:pPr>
              <w:pStyle w:val="Tablecontent"/>
            </w:pPr>
            <w:r w:rsidRPr="005216F3">
              <w:t>C1 Transitions/sec</w:t>
            </w:r>
          </w:p>
          <w:p w14:paraId="7D080B0E" w14:textId="77777777" w:rsidR="00183866" w:rsidRPr="005216F3" w:rsidRDefault="00183866" w:rsidP="00525768">
            <w:pPr>
              <w:pStyle w:val="Tablecontent"/>
            </w:pPr>
            <w:r w:rsidRPr="005216F3">
              <w:t>C2 Transitions/sec</w:t>
            </w:r>
          </w:p>
          <w:p w14:paraId="48AD292C" w14:textId="389D2600" w:rsidR="00183866" w:rsidRPr="004F370C" w:rsidRDefault="00183866" w:rsidP="00525768">
            <w:pPr>
              <w:pStyle w:val="Tablecontent"/>
            </w:pPr>
            <w:r w:rsidRPr="005216F3">
              <w:t>C3 Transitions/sec</w:t>
            </w:r>
          </w:p>
        </w:tc>
        <w:tc>
          <w:tcPr>
            <w:tcW w:w="8334" w:type="dxa"/>
          </w:tcPr>
          <w:p w14:paraId="3EA60668" w14:textId="77A5A689" w:rsidR="00251378" w:rsidRPr="008753FF" w:rsidRDefault="00251378" w:rsidP="00525768">
            <w:pPr>
              <w:pStyle w:val="Tablecontent"/>
            </w:pPr>
            <w:r w:rsidRPr="008753FF">
              <w:t>The amount of time on each power level does not tell the full picture. You also need to know how frequent you enter and exit that level.</w:t>
            </w:r>
          </w:p>
          <w:p w14:paraId="361146B7" w14:textId="10C46627" w:rsidR="00251378" w:rsidRPr="008753FF" w:rsidRDefault="00251378" w:rsidP="00525768">
            <w:pPr>
              <w:pStyle w:val="Tablecontent"/>
            </w:pPr>
            <w:r w:rsidRPr="008753FF">
              <w:t xml:space="preserve">These 3 metrics track the number of transitions into the respective level. For example, a high numbers on all 3 counters mean Windows is fluctuating greatly, resulting in inconsistent speed. </w:t>
            </w:r>
          </w:p>
        </w:tc>
      </w:tr>
      <w:tr w:rsidR="00FF0111" w14:paraId="2E92E66F" w14:textId="77777777" w:rsidTr="00281329">
        <w:tc>
          <w:tcPr>
            <w:tcW w:w="2122" w:type="dxa"/>
            <w:shd w:val="clear" w:color="auto" w:fill="F2F2F2" w:themeFill="background1" w:themeFillShade="F2"/>
          </w:tcPr>
          <w:p w14:paraId="1A8E9CED" w14:textId="77777777" w:rsidR="00FF0111" w:rsidRPr="004F370C" w:rsidRDefault="00FF0111" w:rsidP="00525768">
            <w:pPr>
              <w:pStyle w:val="Tablecontent"/>
            </w:pPr>
            <w:r w:rsidRPr="00CD28E2">
              <w:t>% DPC Time</w:t>
            </w:r>
          </w:p>
        </w:tc>
        <w:tc>
          <w:tcPr>
            <w:tcW w:w="8334" w:type="dxa"/>
          </w:tcPr>
          <w:p w14:paraId="6C26FBB3" w14:textId="5E21983D" w:rsidR="007042F6" w:rsidRDefault="003B3D04" w:rsidP="00525768">
            <w:pPr>
              <w:pStyle w:val="Tablecontent"/>
            </w:pPr>
            <w:r>
              <w:t>D</w:t>
            </w:r>
            <w:r w:rsidR="00FF0111" w:rsidRPr="00EC2BAD">
              <w:t xml:space="preserve">eferred </w:t>
            </w:r>
            <w:r>
              <w:t>P</w:t>
            </w:r>
            <w:r w:rsidR="00FF0111" w:rsidRPr="00EC2BAD">
              <w:t xml:space="preserve">rocedure </w:t>
            </w:r>
            <w:r>
              <w:t>C</w:t>
            </w:r>
            <w:r w:rsidR="00FF0111" w:rsidRPr="00EC2BAD">
              <w:t>alls</w:t>
            </w:r>
            <w:r>
              <w:t xml:space="preserve"> (DPC)</w:t>
            </w:r>
            <w:r w:rsidR="007042F6">
              <w:t xml:space="preserve">. According to </w:t>
            </w:r>
            <w:hyperlink r:id="rId351" w:history="1">
              <w:r w:rsidR="007042F6" w:rsidRPr="007042F6">
                <w:rPr>
                  <w:rStyle w:val="Hyperlink"/>
                </w:rPr>
                <w:t>this</w:t>
              </w:r>
            </w:hyperlink>
            <w:r w:rsidR="007042F6">
              <w:t xml:space="preserve">, this counter is a part of the </w:t>
            </w:r>
            <w:r w:rsidR="007042F6" w:rsidRPr="007042F6">
              <w:t xml:space="preserve">Privileged Time </w:t>
            </w:r>
            <w:r w:rsidR="007042F6">
              <w:t xml:space="preserve">(%) </w:t>
            </w:r>
            <w:r w:rsidR="007042F6" w:rsidRPr="007042F6">
              <w:t>because DPCs are executed in privileged mode. They are counted separately and are not a component of the interrupt counters.</w:t>
            </w:r>
            <w:r w:rsidR="007042F6">
              <w:t xml:space="preserve"> </w:t>
            </w:r>
          </w:p>
        </w:tc>
      </w:tr>
      <w:tr w:rsidR="00FF0111" w14:paraId="65DC0077" w14:textId="77777777" w:rsidTr="00281329">
        <w:tc>
          <w:tcPr>
            <w:tcW w:w="2122" w:type="dxa"/>
            <w:shd w:val="clear" w:color="auto" w:fill="F2F2F2" w:themeFill="background1" w:themeFillShade="F2"/>
          </w:tcPr>
          <w:p w14:paraId="1E06C00C" w14:textId="77777777" w:rsidR="00FF0111" w:rsidRPr="004F370C" w:rsidRDefault="00FF0111" w:rsidP="00525768">
            <w:pPr>
              <w:pStyle w:val="Tablecontent"/>
            </w:pPr>
            <w:r w:rsidRPr="00CD28E2">
              <w:t>% Interrupt Time</w:t>
            </w:r>
          </w:p>
        </w:tc>
        <w:tc>
          <w:tcPr>
            <w:tcW w:w="8334" w:type="dxa"/>
          </w:tcPr>
          <w:p w14:paraId="5990B3DC" w14:textId="77777777" w:rsidR="00A722F4" w:rsidRDefault="00A722F4" w:rsidP="00A722F4">
            <w:pPr>
              <w:pStyle w:val="Tablecontent"/>
            </w:pPr>
            <w:r>
              <w:t xml:space="preserve">Interrupt means the processor was interrupted from executing normal thread. This can happen for a variety of reasons, such as system clock, incoming network packets, mouse and keyboard activity. Interrupt can happen on regular basis, not just ad hoc. For example, the system clock does it every 10 milliseconds in the background. </w:t>
            </w:r>
          </w:p>
          <w:p w14:paraId="04024349" w14:textId="02809248" w:rsidR="00DA7C7F" w:rsidRDefault="00C4711D" w:rsidP="00525768">
            <w:pPr>
              <w:pStyle w:val="Tablecontent"/>
            </w:pPr>
            <w:r>
              <w:t>A high interrupt value can impact performance.</w:t>
            </w:r>
          </w:p>
        </w:tc>
      </w:tr>
      <w:tr w:rsidR="00FF0111" w14:paraId="74803961" w14:textId="77777777" w:rsidTr="00281329">
        <w:tc>
          <w:tcPr>
            <w:tcW w:w="2122" w:type="dxa"/>
            <w:shd w:val="clear" w:color="auto" w:fill="F2F2F2" w:themeFill="background1" w:themeFillShade="F2"/>
          </w:tcPr>
          <w:p w14:paraId="3AA343E9" w14:textId="77777777" w:rsidR="00FF0111" w:rsidRDefault="00FF0111" w:rsidP="00525768">
            <w:pPr>
              <w:pStyle w:val="Tablecontent"/>
            </w:pPr>
            <w:r w:rsidRPr="00CD28E2">
              <w:t>% Processor Time</w:t>
            </w:r>
          </w:p>
          <w:p w14:paraId="440AB0DE" w14:textId="5F02B365" w:rsidR="00C4711D" w:rsidRPr="004F370C" w:rsidRDefault="00C4711D" w:rsidP="00525768">
            <w:pPr>
              <w:pStyle w:val="Tablecontent"/>
            </w:pPr>
            <w:r w:rsidRPr="00CD28E2">
              <w:t>% Idle Time</w:t>
            </w:r>
          </w:p>
        </w:tc>
        <w:tc>
          <w:tcPr>
            <w:tcW w:w="8334" w:type="dxa"/>
          </w:tcPr>
          <w:p w14:paraId="6930141B" w14:textId="58D7E3C5" w:rsidR="00FF0111" w:rsidRDefault="00C4711D" w:rsidP="00525768">
            <w:pPr>
              <w:pStyle w:val="Tablecontent"/>
            </w:pPr>
            <w:r>
              <w:t>These 2 add up to 100%</w:t>
            </w:r>
          </w:p>
        </w:tc>
      </w:tr>
      <w:tr w:rsidR="00C4711D" w14:paraId="0DA38680" w14:textId="77777777" w:rsidTr="00281329">
        <w:tc>
          <w:tcPr>
            <w:tcW w:w="2122" w:type="dxa"/>
            <w:shd w:val="clear" w:color="auto" w:fill="F2F2F2" w:themeFill="background1" w:themeFillShade="F2"/>
          </w:tcPr>
          <w:p w14:paraId="27DBBC30" w14:textId="77777777" w:rsidR="00C4711D" w:rsidRDefault="00C4711D" w:rsidP="00525768">
            <w:pPr>
              <w:pStyle w:val="Tablecontent"/>
            </w:pPr>
            <w:r w:rsidRPr="00CD28E2">
              <w:t>% User Time</w:t>
            </w:r>
          </w:p>
          <w:p w14:paraId="76263BD1" w14:textId="48B9FEE3" w:rsidR="00C4711D" w:rsidRPr="004F370C" w:rsidRDefault="00C4711D" w:rsidP="00525768">
            <w:pPr>
              <w:pStyle w:val="Tablecontent"/>
            </w:pPr>
            <w:r>
              <w:t xml:space="preserve">% </w:t>
            </w:r>
            <w:r w:rsidRPr="00C4711D">
              <w:t>Privileged</w:t>
            </w:r>
            <w:r>
              <w:t xml:space="preserve"> Time</w:t>
            </w:r>
          </w:p>
        </w:tc>
        <w:tc>
          <w:tcPr>
            <w:tcW w:w="8334" w:type="dxa"/>
          </w:tcPr>
          <w:p w14:paraId="33D1AB40" w14:textId="7514DC06" w:rsidR="004F20B6" w:rsidRDefault="00C4711D" w:rsidP="00525768">
            <w:pPr>
              <w:pStyle w:val="Tablecontent"/>
            </w:pPr>
            <w:r>
              <w:t>These 2 add up to 100%</w:t>
            </w:r>
            <w:r w:rsidR="004F20B6">
              <w:t xml:space="preserve">. </w:t>
            </w:r>
          </w:p>
        </w:tc>
      </w:tr>
      <w:tr w:rsidR="00E9187C" w14:paraId="73A4B258" w14:textId="77777777" w:rsidTr="00281329">
        <w:tc>
          <w:tcPr>
            <w:tcW w:w="2122" w:type="dxa"/>
            <w:shd w:val="clear" w:color="auto" w:fill="F2F2F2" w:themeFill="background1" w:themeFillShade="F2"/>
          </w:tcPr>
          <w:p w14:paraId="316265C2" w14:textId="0FF35D76" w:rsidR="00E9187C" w:rsidRPr="00CD28E2" w:rsidRDefault="00E9187C" w:rsidP="00525768">
            <w:pPr>
              <w:pStyle w:val="Tablecontent"/>
            </w:pPr>
            <w:r w:rsidRPr="00CD28E2">
              <w:lastRenderedPageBreak/>
              <w:t>DPCs Queued/sec</w:t>
            </w:r>
          </w:p>
        </w:tc>
        <w:tc>
          <w:tcPr>
            <w:tcW w:w="8334" w:type="dxa"/>
          </w:tcPr>
          <w:p w14:paraId="15517D83" w14:textId="0D361700" w:rsidR="008753FF" w:rsidRDefault="008753FF" w:rsidP="00525768">
            <w:pPr>
              <w:pStyle w:val="Tablecontent"/>
            </w:pPr>
            <w:r>
              <w:t xml:space="preserve">Unlike the CPU Run Queue, this metric captures per processor. </w:t>
            </w:r>
            <w:r w:rsidR="00D77576">
              <w:t xml:space="preserve">It can be handy to compare across processors as there can be imbalance. </w:t>
            </w:r>
          </w:p>
          <w:p w14:paraId="26E67F0C" w14:textId="7A24FE0F" w:rsidR="00E9187C" w:rsidRDefault="00D77576" w:rsidP="00525768">
            <w:pPr>
              <w:pStyle w:val="Tablecontent"/>
            </w:pPr>
            <w:r>
              <w:t xml:space="preserve">Note this is a rate counter, not a count of the present queue. It tracks the speed per second. </w:t>
            </w:r>
          </w:p>
        </w:tc>
      </w:tr>
      <w:tr w:rsidR="00D77576" w14:paraId="062252B5" w14:textId="77777777" w:rsidTr="00281329">
        <w:tc>
          <w:tcPr>
            <w:tcW w:w="2122" w:type="dxa"/>
            <w:shd w:val="clear" w:color="auto" w:fill="F2F2F2" w:themeFill="background1" w:themeFillShade="F2"/>
          </w:tcPr>
          <w:p w14:paraId="5E8D77D2" w14:textId="028FF4B8" w:rsidR="00D77576" w:rsidRPr="00CD28E2" w:rsidRDefault="00D77576" w:rsidP="00525768">
            <w:pPr>
              <w:pStyle w:val="Tablecontent"/>
            </w:pPr>
            <w:r w:rsidRPr="00CD28E2">
              <w:t xml:space="preserve">DPC Rate </w:t>
            </w:r>
          </w:p>
        </w:tc>
        <w:tc>
          <w:tcPr>
            <w:tcW w:w="8334" w:type="dxa"/>
          </w:tcPr>
          <w:p w14:paraId="743A92E5" w14:textId="473B61A6" w:rsidR="00D77576" w:rsidRDefault="00D77576" w:rsidP="00525768">
            <w:pPr>
              <w:pStyle w:val="Tablecontent"/>
            </w:pPr>
            <w:r>
              <w:t>This is an input to the above, as the above is calculated as the delta of 2 rates, divided over sampling period.</w:t>
            </w:r>
          </w:p>
        </w:tc>
      </w:tr>
      <w:tr w:rsidR="00E9187C" w14:paraId="5DEB590D" w14:textId="77777777" w:rsidTr="00281329">
        <w:tc>
          <w:tcPr>
            <w:tcW w:w="2122" w:type="dxa"/>
            <w:shd w:val="clear" w:color="auto" w:fill="F2F2F2" w:themeFill="background1" w:themeFillShade="F2"/>
          </w:tcPr>
          <w:p w14:paraId="4F9EAD0D" w14:textId="5A1B214C" w:rsidR="00E9187C" w:rsidRPr="00CD28E2" w:rsidRDefault="00E9187C" w:rsidP="00525768">
            <w:pPr>
              <w:pStyle w:val="Tablecontent"/>
            </w:pPr>
            <w:r w:rsidRPr="00CD28E2">
              <w:t>Interrupts/sec</w:t>
            </w:r>
          </w:p>
        </w:tc>
        <w:tc>
          <w:tcPr>
            <w:tcW w:w="8334" w:type="dxa"/>
          </w:tcPr>
          <w:p w14:paraId="1561A45E" w14:textId="58571437" w:rsidR="00E9187C" w:rsidRDefault="00D77576" w:rsidP="00525768">
            <w:pPr>
              <w:pStyle w:val="Tablecontent"/>
            </w:pPr>
            <w:r>
              <w:t xml:space="preserve">As above, but for interrupts. </w:t>
            </w:r>
          </w:p>
        </w:tc>
      </w:tr>
    </w:tbl>
    <w:p w14:paraId="556BA494" w14:textId="77777777" w:rsidR="00FF0111" w:rsidRPr="004F370C" w:rsidRDefault="00FF0111" w:rsidP="00525768">
      <w:pPr>
        <w:pStyle w:val="BeforeTable"/>
        <w:rPr>
          <w:lang w:val="en-US"/>
        </w:rPr>
      </w:pPr>
    </w:p>
    <w:p w14:paraId="7A386D42" w14:textId="3843C4C5" w:rsidR="00FF0111" w:rsidRPr="00A452F2" w:rsidRDefault="00FF0111" w:rsidP="00525768">
      <w:pPr>
        <w:rPr>
          <w:lang w:val="en-GB"/>
        </w:rPr>
      </w:pPr>
      <w:r w:rsidRPr="00A452F2">
        <w:rPr>
          <w:lang w:val="en-GB"/>
        </w:rPr>
        <w:t xml:space="preserve">We start with the </w:t>
      </w:r>
      <w:hyperlink w:anchor="_Depth_vs_Breadth" w:history="1">
        <w:r w:rsidRPr="007B0D8C">
          <w:rPr>
            <w:rStyle w:val="Hyperlink"/>
            <w:lang w:val="en-GB"/>
          </w:rPr>
          <w:t>contention type of metrics</w:t>
        </w:r>
      </w:hyperlink>
      <w:r w:rsidRPr="00A452F2">
        <w:rPr>
          <w:lang w:val="en-GB"/>
        </w:rPr>
        <w:t xml:space="preserve"> as that’s the primary metric for performance, followed by utilization</w:t>
      </w:r>
      <w:r>
        <w:rPr>
          <w:lang w:val="en-GB"/>
        </w:rPr>
        <w:t xml:space="preserve"> type of</w:t>
      </w:r>
      <w:r w:rsidRPr="00A452F2">
        <w:rPr>
          <w:lang w:val="en-GB"/>
        </w:rPr>
        <w:t xml:space="preserve"> metric</w:t>
      </w:r>
      <w:r>
        <w:rPr>
          <w:lang w:val="en-GB"/>
        </w:rPr>
        <w:t>s</w:t>
      </w:r>
      <w:r w:rsidRPr="00A452F2">
        <w:rPr>
          <w:lang w:val="en-GB"/>
        </w:rPr>
        <w:t>.</w:t>
      </w:r>
    </w:p>
    <w:p w14:paraId="06737F19" w14:textId="53FE7210" w:rsidR="00811A9E" w:rsidRDefault="00811A9E" w:rsidP="00525768">
      <w:pPr>
        <w:pStyle w:val="Heading5"/>
      </w:pPr>
      <w:bookmarkStart w:id="73" w:name="_Guest_OS_CPU_1"/>
      <w:bookmarkEnd w:id="73"/>
      <w:r>
        <w:t>DPC Time</w:t>
      </w:r>
    </w:p>
    <w:p w14:paraId="636AAA79" w14:textId="453CC881" w:rsidR="00811A9E" w:rsidRDefault="00811A9E" w:rsidP="00525768">
      <w:r>
        <w:t xml:space="preserve">According to </w:t>
      </w:r>
      <w:hyperlink r:id="rId352" w:history="1">
        <w:r w:rsidRPr="00B804BE">
          <w:rPr>
            <w:rStyle w:val="Hyperlink"/>
          </w:rPr>
          <w:t>System Center wiki</w:t>
        </w:r>
      </w:hyperlink>
      <w:r>
        <w:t>, the system calls are deferred as they are lower priority than standard interrupts. A high percentage of deferral means Windows was busy doing higher priority requests.</w:t>
      </w:r>
    </w:p>
    <w:p w14:paraId="47E4CDB6" w14:textId="4B60B723" w:rsidR="00811A9E" w:rsidRPr="00811A9E" w:rsidRDefault="00811A9E" w:rsidP="00525768">
      <w:pPr>
        <w:rPr>
          <w:lang w:val="en-GB" w:eastAsia="en-SG"/>
        </w:rPr>
      </w:pPr>
      <w:r>
        <w:t xml:space="preserve">They can happen even during low CPU utilization if there is issue with driver or application. The following screenshot is taken on </w:t>
      </w:r>
      <w:r w:rsidR="005332A0">
        <w:t xml:space="preserve">Performance Monitor </w:t>
      </w:r>
      <w:r>
        <w:t>in Windows 11 laptop which was not running high. Notice the DPC time for CPU 0 is consistently higher than CPU 15</w:t>
      </w:r>
      <w:r w:rsidR="007042F6">
        <w:t xml:space="preserve">, indicating imbalance. It did exceed &gt;5% briefly. My Dell laptop has 8 cores 16 threads. </w:t>
      </w:r>
    </w:p>
    <w:p w14:paraId="30CF9209" w14:textId="4F1D73B3" w:rsidR="00811A9E" w:rsidRDefault="00811A9E" w:rsidP="00525768">
      <w:pPr>
        <w:rPr>
          <w:lang w:val="en-GB" w:eastAsia="en-SG"/>
        </w:rPr>
      </w:pPr>
      <w:r w:rsidRPr="00811A9E">
        <w:rPr>
          <w:noProof/>
          <w:lang w:val="en-GB" w:eastAsia="en-SG"/>
        </w:rPr>
        <w:drawing>
          <wp:inline distT="0" distB="0" distL="0" distR="0" wp14:anchorId="46DB8624" wp14:editId="5344E9FA">
            <wp:extent cx="6645910" cy="1613535"/>
            <wp:effectExtent l="0" t="0" r="2540" b="5715"/>
            <wp:docPr id="1525330278" name="Picture 1525330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6645910" cy="1613535"/>
                    </a:xfrm>
                    <a:prstGeom prst="rect">
                      <a:avLst/>
                    </a:prstGeom>
                  </pic:spPr>
                </pic:pic>
              </a:graphicData>
            </a:graphic>
          </wp:inline>
        </w:drawing>
      </w:r>
    </w:p>
    <w:p w14:paraId="60D483B9" w14:textId="77777777" w:rsidR="00662DD5" w:rsidRDefault="00662DD5" w:rsidP="00662DD5">
      <w:pPr>
        <w:rPr>
          <w:lang w:val="en-GB"/>
        </w:rPr>
      </w:pPr>
      <w:r>
        <w:rPr>
          <w:lang w:val="en-GB"/>
        </w:rPr>
        <w:t>Set the graph scale to 1 for ease of reading, and change the axis scale accordingly.</w:t>
      </w:r>
    </w:p>
    <w:p w14:paraId="4AC696AA" w14:textId="54ACDBA7" w:rsidR="00FF0111" w:rsidRPr="00A452F2" w:rsidRDefault="00FF0111" w:rsidP="00525768">
      <w:pPr>
        <w:pStyle w:val="Heading5"/>
      </w:pPr>
      <w:r w:rsidRPr="00A452F2">
        <w:t>CPU Run Queue</w:t>
      </w:r>
    </w:p>
    <w:p w14:paraId="5B3521AD" w14:textId="0BD39C52" w:rsidR="008B1464" w:rsidRDefault="00FF0111" w:rsidP="00525768">
      <w:bookmarkStart w:id="74" w:name="_Hlk16092118"/>
      <w:r>
        <w:t xml:space="preserve">Number of threads in the processor queue. </w:t>
      </w:r>
      <w:r w:rsidR="0001177A">
        <w:t xml:space="preserve">Unlike Linux, </w:t>
      </w:r>
      <w:r>
        <w:t xml:space="preserve">Windows excludes the threads that are running (being executed). </w:t>
      </w:r>
    </w:p>
    <w:p w14:paraId="6445552D" w14:textId="77777777" w:rsidR="00FF0111" w:rsidRPr="00A452F2" w:rsidRDefault="00FF0111" w:rsidP="00525768">
      <w:pPr>
        <w:pStyle w:val="Tablecontent"/>
        <w:rPr>
          <w:lang w:val="en-GB"/>
        </w:rPr>
      </w:pPr>
      <w:r w:rsidRPr="00A452F2">
        <w:rPr>
          <w:lang w:val="en-GB"/>
        </w:rPr>
        <w:t xml:space="preserve">Let’s take a VM configured with 8 </w:t>
      </w:r>
      <w:r w:rsidRPr="49D85C61">
        <w:rPr>
          <w:lang w:val="en-GB"/>
        </w:rPr>
        <w:t>vCPUs.</w:t>
      </w:r>
      <w:r w:rsidRPr="00A452F2">
        <w:rPr>
          <w:lang w:val="en-GB"/>
        </w:rPr>
        <w:t xml:space="preserve"> The Guest OS sees 8 threads</w:t>
      </w:r>
      <w:r>
        <w:rPr>
          <w:lang w:val="en-GB"/>
        </w:rPr>
        <w:t xml:space="preserve"> </w:t>
      </w:r>
      <w:r w:rsidRPr="49D85C61">
        <w:rPr>
          <w:lang w:val="en-GB"/>
        </w:rPr>
        <w:t>so it</w:t>
      </w:r>
      <w:r w:rsidRPr="00A452F2">
        <w:rPr>
          <w:lang w:val="en-GB"/>
        </w:rPr>
        <w:t xml:space="preserve"> will schedule up to 8 parallel processes. If there is more demand, it will have to queue them. This means the queue needs to be accounted for in Guest OS sizing. </w:t>
      </w:r>
    </w:p>
    <w:p w14:paraId="52E1888C" w14:textId="77777777" w:rsidR="00FF0111" w:rsidRDefault="00FF0111" w:rsidP="00525768">
      <w:pPr>
        <w:rPr>
          <w:lang w:val="en-GB"/>
        </w:rPr>
      </w:pPr>
      <w:r>
        <w:rPr>
          <w:lang w:val="en-GB"/>
        </w:rPr>
        <w:t xml:space="preserve">Because it reports the queue, this </w:t>
      </w:r>
      <w:r w:rsidRPr="00A452F2">
        <w:rPr>
          <w:lang w:val="en-GB"/>
        </w:rPr>
        <w:t xml:space="preserve">is the </w:t>
      </w:r>
      <w:r w:rsidRPr="00A452F2">
        <w:rPr>
          <w:i/>
          <w:iCs/>
          <w:color w:val="0070C0"/>
          <w:lang w:val="en-GB"/>
        </w:rPr>
        <w:t>primary</w:t>
      </w:r>
      <w:r w:rsidRPr="00A452F2">
        <w:rPr>
          <w:color w:val="0070C0"/>
          <w:lang w:val="en-GB"/>
        </w:rPr>
        <w:t xml:space="preserve"> </w:t>
      </w:r>
      <w:r w:rsidRPr="00A452F2">
        <w:rPr>
          <w:lang w:val="en-GB"/>
        </w:rPr>
        <w:t xml:space="preserve">counter </w:t>
      </w:r>
      <w:r w:rsidRPr="5DEB1FF6">
        <w:rPr>
          <w:lang w:val="en-GB"/>
        </w:rPr>
        <w:t xml:space="preserve">to measure </w:t>
      </w:r>
      <w:r w:rsidRPr="00A452F2">
        <w:rPr>
          <w:lang w:val="en-GB"/>
        </w:rPr>
        <w:t xml:space="preserve">Guest OS performance. </w:t>
      </w:r>
      <w:r>
        <w:rPr>
          <w:lang w:val="en-GB"/>
        </w:rPr>
        <w:t>It tells you if the CPU is struggling to serve the demand or not.</w:t>
      </w:r>
    </w:p>
    <w:bookmarkEnd w:id="74"/>
    <w:p w14:paraId="31403D99" w14:textId="77777777" w:rsidR="00FF0111" w:rsidRDefault="00FF0111" w:rsidP="00525768">
      <w:r>
        <w:lastRenderedPageBreak/>
        <w:t xml:space="preserve">What is a healthy value? </w:t>
      </w:r>
    </w:p>
    <w:p w14:paraId="3001AAD4" w14:textId="58128074" w:rsidR="008B1464" w:rsidRDefault="00FF0111" w:rsidP="00525768">
      <w:r>
        <w:t xml:space="preserve">Windows Performance Monitor UI description is not consistent with MSDN documentation (based on Windows Server 2016 documentation). </w:t>
      </w:r>
      <w:r w:rsidR="008B1464">
        <w:t>The description shown in Windows UI is “</w:t>
      </w:r>
      <w:r w:rsidR="008B1464" w:rsidRPr="008B1464">
        <w:t>Processor Queue Length is the number of threads in the processor queue</w:t>
      </w:r>
      <w:r w:rsidR="00E4254C">
        <w:t xml:space="preserve">. </w:t>
      </w:r>
      <w:r w:rsidR="008B1464" w:rsidRPr="008B1464">
        <w:t xml:space="preserve">Unlike the disk counters, this counter shows ready threads only, </w:t>
      </w:r>
      <w:r w:rsidR="008B1464" w:rsidRPr="008B1464">
        <w:rPr>
          <w:color w:val="FF0000"/>
        </w:rPr>
        <w:t xml:space="preserve">not </w:t>
      </w:r>
      <w:r w:rsidR="008B1464" w:rsidRPr="008B1464">
        <w:t>threads that are running</w:t>
      </w:r>
      <w:r w:rsidR="00E4254C">
        <w:t xml:space="preserve">. </w:t>
      </w:r>
      <w:r w:rsidR="008B1464" w:rsidRPr="008B1464">
        <w:t xml:space="preserve">There is a single queue for processor time even on computers with multiple processors. Therefore, if a computer has multiple processors, you need to divide this value by the number of processors servicing the workload. A sustained processor queue of </w:t>
      </w:r>
      <w:r w:rsidR="008B1464" w:rsidRPr="008B1464">
        <w:rPr>
          <w:color w:val="FF0000"/>
        </w:rPr>
        <w:t xml:space="preserve">less than 10 threads </w:t>
      </w:r>
      <w:r w:rsidR="008B1464" w:rsidRPr="008B1464">
        <w:t>per processor is normally acceptable, dependent of the workload.</w:t>
      </w:r>
      <w:r w:rsidR="008B1464">
        <w:t>”</w:t>
      </w:r>
    </w:p>
    <w:p w14:paraId="0887EF27" w14:textId="0F157754" w:rsidR="00FF0111" w:rsidRPr="00A72989" w:rsidRDefault="008B1464" w:rsidP="00525768">
      <w:r>
        <w:t xml:space="preserve">MSDN </w:t>
      </w:r>
      <w:r w:rsidR="00FF0111">
        <w:t>document states that a sustained processor queue of greater than 2 threads generally indicates processor congestion. SQL Server document states 3 as the threshold. Let me know if you have seen other recommendation from Microsoft or Linux.</w:t>
      </w:r>
    </w:p>
    <w:p w14:paraId="61EE531A" w14:textId="77777777" w:rsidR="00FF0111" w:rsidRPr="00A452F2" w:rsidRDefault="00FF0111" w:rsidP="00525768">
      <w:pPr>
        <w:rPr>
          <w:lang w:val="en-GB"/>
        </w:rPr>
      </w:pPr>
      <w:r>
        <w:rPr>
          <w:lang w:val="en-GB"/>
        </w:rPr>
        <w:t xml:space="preserve">Windows or Linux </w:t>
      </w:r>
      <w:r w:rsidRPr="00A452F2">
        <w:rPr>
          <w:lang w:val="en-GB"/>
        </w:rPr>
        <w:t xml:space="preserve">utilization may be 100%, </w:t>
      </w:r>
      <w:r w:rsidRPr="478F21BD">
        <w:rPr>
          <w:lang w:val="en-GB"/>
        </w:rPr>
        <w:t>but as long as</w:t>
      </w:r>
      <w:r w:rsidRPr="00A452F2">
        <w:rPr>
          <w:lang w:val="en-GB"/>
        </w:rPr>
        <w:t xml:space="preserve"> the queue is low, the workload is running as fast as it can. Adding more vCPU will in fact slow down the performance as you have higher chance of </w:t>
      </w:r>
      <w:hyperlink w:anchor="_Guest_OS_CPU">
        <w:r w:rsidRPr="5DEB1FF6">
          <w:rPr>
            <w:rStyle w:val="Hyperlink"/>
            <w:lang w:val="en-GB"/>
          </w:rPr>
          <w:t>context switching</w:t>
        </w:r>
      </w:hyperlink>
      <w:r w:rsidRPr="5DEB1FF6">
        <w:rPr>
          <w:lang w:val="en-GB"/>
        </w:rPr>
        <w:t xml:space="preserve">. </w:t>
      </w:r>
    </w:p>
    <w:p w14:paraId="0EF70588" w14:textId="77777777" w:rsidR="00FF0111" w:rsidRDefault="00FF0111" w:rsidP="00525768">
      <w:pPr>
        <w:rPr>
          <w:lang w:val="en-GB"/>
        </w:rPr>
      </w:pPr>
      <w:r>
        <w:t xml:space="preserve">There is a single queue for processor time even on computers with multiple processors. Therefore, if a computer has multiple processors, you need to divide this value by the number of processors servicing the workload. </w:t>
      </w:r>
      <w:r w:rsidRPr="4C8B4F60">
        <w:rPr>
          <w:lang w:val="en-GB"/>
        </w:rPr>
        <w:t xml:space="preserve">That’s why Tools reports the total count of the queues. This counter should play a role in the </w:t>
      </w:r>
      <w:hyperlink w:anchor="_Guest_OS_Sizing:">
        <w:r w:rsidRPr="4C8B4F60">
          <w:rPr>
            <w:rStyle w:val="Hyperlink"/>
            <w:lang w:val="en-GB"/>
          </w:rPr>
          <w:t>Guest OS CPU sizing</w:t>
        </w:r>
      </w:hyperlink>
      <w:r w:rsidRPr="4C8B4F60">
        <w:rPr>
          <w:lang w:val="en-GB"/>
        </w:rPr>
        <w:t>.</w:t>
      </w:r>
    </w:p>
    <w:p w14:paraId="359BFA43" w14:textId="77777777" w:rsidR="00FF0111" w:rsidRPr="00A452F2" w:rsidRDefault="00FF0111" w:rsidP="00525768">
      <w:pPr>
        <w:rPr>
          <w:lang w:val="en-GB"/>
        </w:rPr>
      </w:pPr>
      <w:r w:rsidRPr="00A452F2">
        <w:rPr>
          <w:lang w:val="en-GB"/>
        </w:rPr>
        <w:t>You should profile your environment, because the number can be high for some VM</w:t>
      </w:r>
      <w:r>
        <w:rPr>
          <w:lang w:val="en-GB"/>
        </w:rPr>
        <w:t>s</w:t>
      </w:r>
      <w:r w:rsidRPr="00A452F2">
        <w:rPr>
          <w:lang w:val="en-GB"/>
        </w:rPr>
        <w:t>.</w:t>
      </w:r>
      <w:r>
        <w:rPr>
          <w:lang w:val="en-GB"/>
        </w:rPr>
        <w:t xml:space="preserve"> Just look at the numbers I got below, where some VMs have well over 10 queues per vCPU. Share the finding with the VM Owner, as the remediation to reduce the queue could mean changing the application settings. </w:t>
      </w:r>
    </w:p>
    <w:p w14:paraId="3BDCBD99" w14:textId="77777777" w:rsidR="00FF0111" w:rsidRDefault="00FF0111" w:rsidP="00525768">
      <w:pPr>
        <w:jc w:val="center"/>
        <w:rPr>
          <w:lang w:val="en-GB"/>
        </w:rPr>
      </w:pPr>
      <w:r>
        <w:rPr>
          <w:noProof/>
          <w:lang w:val="en-GB"/>
        </w:rPr>
        <w:drawing>
          <wp:inline distT="0" distB="0" distL="0" distR="0" wp14:anchorId="1CB24E12" wp14:editId="7F69C47A">
            <wp:extent cx="5691600" cy="3369600"/>
            <wp:effectExtent l="0" t="0" r="4445" b="2540"/>
            <wp:docPr id="1293284859" name="Picture 1293284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691600" cy="3369600"/>
                    </a:xfrm>
                    <a:prstGeom prst="rect">
                      <a:avLst/>
                    </a:prstGeom>
                    <a:noFill/>
                  </pic:spPr>
                </pic:pic>
              </a:graphicData>
            </a:graphic>
          </wp:inline>
        </w:drawing>
      </w:r>
    </w:p>
    <w:p w14:paraId="1E626795" w14:textId="77777777" w:rsidR="00FF0111" w:rsidRPr="0097165B" w:rsidRDefault="00FF0111" w:rsidP="00525768">
      <w:pPr>
        <w:rPr>
          <w:lang w:val="en-GB"/>
        </w:rPr>
      </w:pPr>
      <w:r w:rsidRPr="0097165B">
        <w:rPr>
          <w:lang w:val="en-GB"/>
        </w:rPr>
        <w:t>Based on the overall guidance of 3 queue per vCPU, the first 2 VM shows a high value. Both VM are only 4 vCPU, so we expect the queue value to be less than 20, preferably less than 10.</w:t>
      </w:r>
    </w:p>
    <w:p w14:paraId="402C802B" w14:textId="77777777" w:rsidR="00FF0111" w:rsidRDefault="00FF0111" w:rsidP="00525768">
      <w:pPr>
        <w:rPr>
          <w:lang w:val="en-GB"/>
        </w:rPr>
      </w:pPr>
      <w:r w:rsidRPr="0097165B">
        <w:rPr>
          <w:lang w:val="en-GB"/>
        </w:rPr>
        <w:t xml:space="preserve">The first VM shows a sustained value as it’s still relatively high at </w:t>
      </w:r>
      <w:r>
        <w:rPr>
          <w:lang w:val="en-GB"/>
        </w:rPr>
        <w:t>w</w:t>
      </w:r>
      <w:r>
        <w:t>orst 5</w:t>
      </w:r>
      <w:r w:rsidRPr="0078733A">
        <w:rPr>
          <w:vertAlign w:val="superscript"/>
        </w:rPr>
        <w:t>th</w:t>
      </w:r>
      <w:r>
        <w:t xml:space="preserve"> percentile</w:t>
      </w:r>
      <w:r w:rsidRPr="0097165B">
        <w:rPr>
          <w:lang w:val="en-GB"/>
        </w:rPr>
        <w:t>.</w:t>
      </w:r>
      <w:r>
        <w:rPr>
          <w:lang w:val="en-GB"/>
        </w:rPr>
        <w:t xml:space="preserve"> Let’s drill down to see the first VM.</w:t>
      </w:r>
    </w:p>
    <w:p w14:paraId="063DBE94" w14:textId="77777777" w:rsidR="00FF0111" w:rsidRDefault="00FF0111" w:rsidP="00525768">
      <w:pPr>
        <w:rPr>
          <w:lang w:val="en-GB"/>
        </w:rPr>
      </w:pPr>
      <w:r>
        <w:rPr>
          <w:noProof/>
        </w:rPr>
        <w:lastRenderedPageBreak/>
        <w:drawing>
          <wp:inline distT="0" distB="0" distL="0" distR="0" wp14:anchorId="17A38884" wp14:editId="77B8DDBB">
            <wp:extent cx="6645910" cy="3051175"/>
            <wp:effectExtent l="0" t="0" r="2540" b="0"/>
            <wp:docPr id="606394115" name="Picture 606394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15"/>
                    <pic:cNvPicPr/>
                  </pic:nvPicPr>
                  <pic:blipFill>
                    <a:blip r:embed="rId355">
                      <a:extLst>
                        <a:ext uri="{28A0092B-C50C-407E-A947-70E740481C1C}">
                          <a14:useLocalDpi xmlns:a14="http://schemas.microsoft.com/office/drawing/2010/main" val="0"/>
                        </a:ext>
                      </a:extLst>
                    </a:blip>
                    <a:stretch>
                      <a:fillRect/>
                    </a:stretch>
                  </pic:blipFill>
                  <pic:spPr>
                    <a:xfrm>
                      <a:off x="0" y="0"/>
                      <a:ext cx="6645910" cy="3051175"/>
                    </a:xfrm>
                    <a:prstGeom prst="rect">
                      <a:avLst/>
                    </a:prstGeom>
                  </pic:spPr>
                </pic:pic>
              </a:graphicData>
            </a:graphic>
          </wp:inline>
        </w:drawing>
      </w:r>
    </w:p>
    <w:p w14:paraId="09C4D5C9" w14:textId="77777777" w:rsidR="00FF0111" w:rsidRDefault="00FF0111" w:rsidP="00525768">
      <w:pPr>
        <w:rPr>
          <w:lang w:val="en-GB"/>
        </w:rPr>
      </w:pPr>
      <w:r w:rsidRPr="4C8B4F60">
        <w:rPr>
          <w:lang w:val="en-GB"/>
        </w:rPr>
        <w:t>The CPU Run Queue spikes multiple times. It does not match the CPU Usage and CPU Context Switch Rate in pattern. I’m unsure how to explain this so if you know drop me a note. I notice the data collection is erratic though, so let’s look at another VM.</w:t>
      </w:r>
    </w:p>
    <w:p w14:paraId="5F4A4554" w14:textId="77777777" w:rsidR="00FF0111" w:rsidRPr="00A452F2" w:rsidRDefault="00FF0111" w:rsidP="00525768">
      <w:pPr>
        <w:rPr>
          <w:b/>
          <w:bCs/>
          <w:color w:val="FF0000"/>
          <w:lang w:val="en-GB"/>
        </w:rPr>
      </w:pPr>
      <w:r w:rsidRPr="00A452F2">
        <w:rPr>
          <w:lang w:val="en-GB"/>
        </w:rPr>
        <w:t>The following is a 2 vCPU VM running Photon OS. CPU Queue is high, even though Photon is only running at 50%.</w:t>
      </w:r>
      <w:r>
        <w:rPr>
          <w:lang w:val="en-GB"/>
        </w:rPr>
        <w:t xml:space="preserve"> Could it be that the application is configured with too many threads that the CPU is busy doing context switching? Notice the CPU Queue maps the CPU Context Switch Rate</w:t>
      </w:r>
      <w:r w:rsidRPr="00A452F2">
        <w:rPr>
          <w:lang w:val="en-GB"/>
        </w:rPr>
        <w:t xml:space="preserve"> </w:t>
      </w:r>
      <w:r>
        <w:rPr>
          <w:lang w:val="en-GB"/>
        </w:rPr>
        <w:t xml:space="preserve">and CPU Run. In this situation, you should bring it up to the application team attention, as it may cause performance problem and the solution is to look inside. As a proof that it’s not because of underlying contention, I added CPU Ready. </w:t>
      </w:r>
    </w:p>
    <w:p w14:paraId="3F528208" w14:textId="77777777" w:rsidR="00FF0111" w:rsidRDefault="00FF0111" w:rsidP="00525768">
      <w:pPr>
        <w:rPr>
          <w:lang w:val="en-GB"/>
        </w:rPr>
      </w:pPr>
      <w:r>
        <w:rPr>
          <w:noProof/>
        </w:rPr>
        <w:lastRenderedPageBreak/>
        <w:drawing>
          <wp:inline distT="0" distB="0" distL="0" distR="0" wp14:anchorId="0A1F4E77" wp14:editId="6E11E4B3">
            <wp:extent cx="6645910" cy="4159885"/>
            <wp:effectExtent l="0" t="0" r="2540" b="0"/>
            <wp:docPr id="606394080" name="Picture 606394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80"/>
                    <pic:cNvPicPr/>
                  </pic:nvPicPr>
                  <pic:blipFill>
                    <a:blip r:embed="rId356">
                      <a:extLst>
                        <a:ext uri="{28A0092B-C50C-407E-A947-70E740481C1C}">
                          <a14:useLocalDpi xmlns:a14="http://schemas.microsoft.com/office/drawing/2010/main" val="0"/>
                        </a:ext>
                      </a:extLst>
                    </a:blip>
                    <a:stretch>
                      <a:fillRect/>
                    </a:stretch>
                  </pic:blipFill>
                  <pic:spPr>
                    <a:xfrm>
                      <a:off x="0" y="0"/>
                      <a:ext cx="6645910" cy="4159885"/>
                    </a:xfrm>
                    <a:prstGeom prst="rect">
                      <a:avLst/>
                    </a:prstGeom>
                  </pic:spPr>
                </pic:pic>
              </a:graphicData>
            </a:graphic>
          </wp:inline>
        </w:drawing>
      </w:r>
    </w:p>
    <w:p w14:paraId="5B533091" w14:textId="77777777" w:rsidR="00FF0111" w:rsidRDefault="00FF0111" w:rsidP="00525768">
      <w:r>
        <w:t xml:space="preserve">This property displays the last observed value only; it is not an average. Windows &amp; Linux do not provide the highest and lowest variants either. </w:t>
      </w:r>
    </w:p>
    <w:p w14:paraId="217B0557" w14:textId="6ABCCFC1" w:rsidR="00FF0111" w:rsidRDefault="001975BB" w:rsidP="00525768">
      <w:r>
        <w:t>T</w:t>
      </w:r>
      <w:r w:rsidR="00FF0111">
        <w:t xml:space="preserve">he counter name in Tools is </w:t>
      </w:r>
      <w:r w:rsidR="00FF0111" w:rsidRPr="004B2D07">
        <w:t>guest.processor.queue</w:t>
      </w:r>
      <w:r w:rsidR="00FF0111">
        <w:t xml:space="preserve">. It is based on </w:t>
      </w:r>
      <w:r w:rsidR="00FF0111" w:rsidRPr="004B2D07">
        <w:t>Win32_PerfFormattedData_PerfOS_System = @#ProcessorQueueLength from WMI</w:t>
      </w:r>
    </w:p>
    <w:p w14:paraId="21431950" w14:textId="58230D1E" w:rsidR="00FF0111" w:rsidRDefault="00FF0111" w:rsidP="00525768">
      <w:r>
        <w:t xml:space="preserve">Reference: </w:t>
      </w:r>
      <w:hyperlink r:id="rId357" w:history="1">
        <w:r>
          <w:rPr>
            <w:rStyle w:val="Hyperlink"/>
          </w:rPr>
          <w:t>Windows</w:t>
        </w:r>
      </w:hyperlink>
    </w:p>
    <w:p w14:paraId="262EE469" w14:textId="77777777" w:rsidR="00FF0111" w:rsidRPr="00725364" w:rsidRDefault="00FF0111" w:rsidP="00525768">
      <w:pPr>
        <w:rPr>
          <w:lang w:val="en-GB"/>
        </w:rPr>
      </w:pPr>
      <w:r>
        <w:rPr>
          <w:lang w:val="en-GB"/>
        </w:rPr>
        <w:t xml:space="preserve">I can’t find </w:t>
      </w:r>
      <w:r w:rsidRPr="00A452F2">
        <w:rPr>
          <w:lang w:val="en-GB"/>
        </w:rPr>
        <w:t>documentation that states if CPU Hyper Threading (HT) technology provides 2x the number of queue length</w:t>
      </w:r>
      <w:r>
        <w:rPr>
          <w:lang w:val="en-GB"/>
        </w:rPr>
        <w:t>. L</w:t>
      </w:r>
      <w:r w:rsidRPr="00A452F2">
        <w:rPr>
          <w:lang w:val="en-GB"/>
        </w:rPr>
        <w:t xml:space="preserve">ogically it should as the threads are at the start of the CPU pipelines, and both threads are interspersed in the core pipeline. </w:t>
      </w:r>
    </w:p>
    <w:p w14:paraId="5060451B" w14:textId="77777777" w:rsidR="00FF0111" w:rsidRPr="00A452F2" w:rsidRDefault="00FF0111" w:rsidP="00525768">
      <w:pPr>
        <w:pStyle w:val="Heading5"/>
      </w:pPr>
      <w:bookmarkStart w:id="75" w:name="_Guest_OS_CPU"/>
      <w:bookmarkEnd w:id="75"/>
      <w:r w:rsidRPr="00A452F2">
        <w:t xml:space="preserve">CPU Context Switch </w:t>
      </w:r>
    </w:p>
    <w:p w14:paraId="18480290" w14:textId="77777777" w:rsidR="00FF0111" w:rsidRDefault="00000000" w:rsidP="00525768">
      <w:pPr>
        <w:rPr>
          <w:lang w:val="en-GB"/>
        </w:rPr>
      </w:pPr>
      <w:hyperlink r:id="rId358" w:history="1">
        <w:r w:rsidR="00FF0111" w:rsidRPr="00E21747">
          <w:rPr>
            <w:rStyle w:val="Hyperlink"/>
            <w:lang w:val="en-GB"/>
          </w:rPr>
          <w:t>CPU Context Switch</w:t>
        </w:r>
      </w:hyperlink>
      <w:r w:rsidR="00FF0111">
        <w:rPr>
          <w:lang w:val="en-GB"/>
        </w:rPr>
        <w:t xml:space="preserve"> costs performance “</w:t>
      </w:r>
      <w:r w:rsidR="00FF0111" w:rsidRPr="00DA0638">
        <w:rPr>
          <w:color w:val="00B0F0"/>
        </w:rPr>
        <w:t xml:space="preserve">due to running the </w:t>
      </w:r>
      <w:hyperlink r:id="rId359" w:tooltip="Scheduling (computing)" w:history="1">
        <w:r w:rsidR="00FF0111" w:rsidRPr="00DA0638">
          <w:rPr>
            <w:rStyle w:val="Hyperlink"/>
            <w:color w:val="00B0F0"/>
          </w:rPr>
          <w:t>task scheduler</w:t>
        </w:r>
      </w:hyperlink>
      <w:r w:rsidR="00FF0111" w:rsidRPr="00DA0638">
        <w:rPr>
          <w:color w:val="00B0F0"/>
        </w:rPr>
        <w:t xml:space="preserve">, TLB flushes, and indirectly due to sharing the </w:t>
      </w:r>
      <w:hyperlink r:id="rId360" w:tooltip="CPU cache" w:history="1">
        <w:r w:rsidR="00FF0111" w:rsidRPr="00DA0638">
          <w:rPr>
            <w:rStyle w:val="Hyperlink"/>
            <w:color w:val="00B0F0"/>
          </w:rPr>
          <w:t>CPU cache</w:t>
        </w:r>
      </w:hyperlink>
      <w:r w:rsidR="00FF0111" w:rsidRPr="00DA0638">
        <w:rPr>
          <w:color w:val="00B0F0"/>
        </w:rPr>
        <w:t xml:space="preserve"> between multiple tasks</w:t>
      </w:r>
      <w:r w:rsidR="00FF0111">
        <w:t>”</w:t>
      </w:r>
      <w:r w:rsidR="00FF0111">
        <w:rPr>
          <w:lang w:val="en-GB"/>
        </w:rPr>
        <w:t>. It’s important to track this counter and at least know what’s an acceptable behaviour for that specific application.</w:t>
      </w:r>
    </w:p>
    <w:p w14:paraId="1D971B6B" w14:textId="77777777" w:rsidR="00FF0111" w:rsidRDefault="00FF0111" w:rsidP="00525768">
      <w:pPr>
        <w:rPr>
          <w:lang w:val="en-GB"/>
        </w:rPr>
      </w:pPr>
      <w:r>
        <w:rPr>
          <w:lang w:val="en-GB"/>
        </w:rPr>
        <w:t>Context switches are considered “</w:t>
      </w:r>
      <w:r w:rsidRPr="00AC4764">
        <w:rPr>
          <w:color w:val="FF0000"/>
          <w:lang w:val="en-GB"/>
        </w:rPr>
        <w:t>expensive</w:t>
      </w:r>
      <w:r>
        <w:rPr>
          <w:lang w:val="en-GB"/>
        </w:rPr>
        <w:t xml:space="preserve">” operations, as the CPU can complete many instructions within the time taken to switch context from one process to another. If you are interested, I recommend reading </w:t>
      </w:r>
      <w:hyperlink r:id="rId361" w:history="1">
        <w:r w:rsidRPr="00307C7A">
          <w:rPr>
            <w:rStyle w:val="Hyperlink"/>
            <w:lang w:val="en-GB"/>
          </w:rPr>
          <w:t>this paper</w:t>
        </w:r>
      </w:hyperlink>
      <w:r>
        <w:rPr>
          <w:lang w:val="en-GB"/>
        </w:rPr>
        <w:t xml:space="preserve">. </w:t>
      </w:r>
    </w:p>
    <w:p w14:paraId="490387D3" w14:textId="77777777" w:rsidR="00FF0111" w:rsidRDefault="00FF0111" w:rsidP="00525768">
      <w:pPr>
        <w:rPr>
          <w:lang w:val="en-GB"/>
        </w:rPr>
      </w:pPr>
      <w:r>
        <w:rPr>
          <w:lang w:val="en-GB"/>
        </w:rPr>
        <w:lastRenderedPageBreak/>
        <w:t>Based on Windows 10 Performance Monitor documentation, c</w:t>
      </w:r>
      <w:r w:rsidRPr="00962119">
        <w:rPr>
          <w:lang w:val="en-GB"/>
        </w:rPr>
        <w:t xml:space="preserve">ontext </w:t>
      </w:r>
      <w:r>
        <w:rPr>
          <w:lang w:val="en-GB"/>
        </w:rPr>
        <w:t>s</w:t>
      </w:r>
      <w:r w:rsidRPr="00962119">
        <w:rPr>
          <w:lang w:val="en-GB"/>
        </w:rPr>
        <w:t xml:space="preserve">witches/sec is the combined rate at which all processors on the computer are switched from one thread to another. </w:t>
      </w:r>
      <w:r>
        <w:rPr>
          <w:lang w:val="en-GB"/>
        </w:rPr>
        <w:t>All else being equal, the more the processors, the higher the context switch. Note that t</w:t>
      </w:r>
      <w:r w:rsidRPr="00962119">
        <w:rPr>
          <w:lang w:val="en-GB"/>
        </w:rPr>
        <w:t xml:space="preserve">hread switches can occur either inside of a single </w:t>
      </w:r>
      <w:r>
        <w:rPr>
          <w:lang w:val="en-GB"/>
        </w:rPr>
        <w:t xml:space="preserve">multi-thread </w:t>
      </w:r>
      <w:r w:rsidRPr="00962119">
        <w:rPr>
          <w:lang w:val="en-GB"/>
        </w:rPr>
        <w:t>process or across processes.</w:t>
      </w:r>
      <w:r>
        <w:rPr>
          <w:lang w:val="en-GB"/>
        </w:rPr>
        <w:t xml:space="preserve"> </w:t>
      </w:r>
      <w:r w:rsidRPr="00962119">
        <w:rPr>
          <w:lang w:val="en-GB"/>
        </w:rPr>
        <w:t>A thread switch can be caused either by one thread asking another for information, or by a thread being pre-empted by another, higher priority thread becoming ready to run.</w:t>
      </w:r>
    </w:p>
    <w:p w14:paraId="277E8D16" w14:textId="77777777" w:rsidR="00FF0111" w:rsidRPr="00962119" w:rsidRDefault="00FF0111" w:rsidP="00525768">
      <w:pPr>
        <w:rPr>
          <w:lang w:val="en-GB"/>
        </w:rPr>
      </w:pPr>
      <w:r w:rsidRPr="00962119">
        <w:rPr>
          <w:lang w:val="en-GB"/>
        </w:rPr>
        <w:t xml:space="preserve">There are context switch </w:t>
      </w:r>
      <w:r>
        <w:rPr>
          <w:lang w:val="en-GB"/>
        </w:rPr>
        <w:t>metrics</w:t>
      </w:r>
      <w:r w:rsidRPr="00962119">
        <w:rPr>
          <w:lang w:val="en-GB"/>
        </w:rPr>
        <w:t xml:space="preserve"> on the System and Thread objects</w:t>
      </w:r>
      <w:r>
        <w:rPr>
          <w:lang w:val="en-GB"/>
        </w:rPr>
        <w:t xml:space="preserve">. </w:t>
      </w:r>
      <w:r w:rsidRPr="00962119">
        <w:rPr>
          <w:lang w:val="en-GB"/>
        </w:rPr>
        <w:t xml:space="preserve">vRealize Operations only report the total. </w:t>
      </w:r>
    </w:p>
    <w:p w14:paraId="3CF739E4" w14:textId="77777777" w:rsidR="00FF0111" w:rsidRDefault="00FF0111" w:rsidP="00525768">
      <w:pPr>
        <w:rPr>
          <w:lang w:val="en-GB"/>
        </w:rPr>
      </w:pPr>
      <w:r w:rsidRPr="00A452F2">
        <w:rPr>
          <w:lang w:val="en-GB"/>
        </w:rPr>
        <w:t xml:space="preserve">The rate of Windows or Linux switching CPU context per second ranges widely. </w:t>
      </w:r>
      <w:r>
        <w:rPr>
          <w:lang w:val="en-GB"/>
        </w:rPr>
        <w:t>The following is taken from a Windows 10 desktop with 8 physical threads, which runs around 10% CPU. I observe the value hovers from 10K to 50K.</w:t>
      </w:r>
    </w:p>
    <w:p w14:paraId="7374C2CE" w14:textId="77777777" w:rsidR="00FF0111" w:rsidRDefault="00FF0111" w:rsidP="00525768">
      <w:pPr>
        <w:jc w:val="center"/>
        <w:rPr>
          <w:lang w:val="en-GB"/>
        </w:rPr>
      </w:pPr>
      <w:r>
        <w:rPr>
          <w:noProof/>
        </w:rPr>
        <w:drawing>
          <wp:inline distT="0" distB="0" distL="0" distR="0" wp14:anchorId="3F7F8D14" wp14:editId="1B542165">
            <wp:extent cx="5634000" cy="3736800"/>
            <wp:effectExtent l="0" t="0" r="5080" b="0"/>
            <wp:docPr id="606394287" name="Picture 606394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87"/>
                    <pic:cNvPicPr/>
                  </pic:nvPicPr>
                  <pic:blipFill>
                    <a:blip r:embed="rId362">
                      <a:extLst>
                        <a:ext uri="{28A0092B-C50C-407E-A947-70E740481C1C}">
                          <a14:useLocalDpi xmlns:a14="http://schemas.microsoft.com/office/drawing/2010/main" val="0"/>
                        </a:ext>
                      </a:extLst>
                    </a:blip>
                    <a:stretch>
                      <a:fillRect/>
                    </a:stretch>
                  </pic:blipFill>
                  <pic:spPr>
                    <a:xfrm>
                      <a:off x="0" y="0"/>
                      <a:ext cx="5634000" cy="3736800"/>
                    </a:xfrm>
                    <a:prstGeom prst="rect">
                      <a:avLst/>
                    </a:prstGeom>
                  </pic:spPr>
                </pic:pic>
              </a:graphicData>
            </a:graphic>
          </wp:inline>
        </w:drawing>
      </w:r>
    </w:p>
    <w:p w14:paraId="61625703" w14:textId="77777777" w:rsidR="00FF0111" w:rsidRPr="00A452F2" w:rsidRDefault="00FF0111" w:rsidP="00525768">
      <w:pPr>
        <w:rPr>
          <w:lang w:val="en-GB"/>
        </w:rPr>
      </w:pPr>
      <w:r w:rsidRPr="00A452F2">
        <w:rPr>
          <w:lang w:val="en-GB"/>
        </w:rPr>
        <w:t>The value should cor</w:t>
      </w:r>
      <w:r>
        <w:rPr>
          <w:lang w:val="en-GB"/>
        </w:rPr>
        <w:t>r</w:t>
      </w:r>
      <w:r w:rsidRPr="00A452F2">
        <w:rPr>
          <w:lang w:val="en-GB"/>
        </w:rPr>
        <w:t>elate with CPU “utilization”, since in theory the higher the utilization the higher the chance of CPU context switch. The following chart shows a near perfect corelation. Eve</w:t>
      </w:r>
      <w:r>
        <w:rPr>
          <w:lang w:val="en-GB"/>
        </w:rPr>
        <w:t>ry</w:t>
      </w:r>
      <w:r w:rsidRPr="00A452F2">
        <w:rPr>
          <w:lang w:val="en-GB"/>
        </w:rPr>
        <w:t xml:space="preserve"> time CPU Usage went up, CPU Context Switch also.</w:t>
      </w:r>
    </w:p>
    <w:p w14:paraId="14B109CD" w14:textId="77777777" w:rsidR="00FF0111" w:rsidRPr="00A452F2" w:rsidRDefault="00FF0111" w:rsidP="00525768">
      <w:pPr>
        <w:rPr>
          <w:lang w:val="en-GB"/>
        </w:rPr>
      </w:pPr>
      <w:r>
        <w:rPr>
          <w:noProof/>
        </w:rPr>
        <w:drawing>
          <wp:inline distT="0" distB="0" distL="0" distR="0" wp14:anchorId="0591CD1A" wp14:editId="457614C5">
            <wp:extent cx="6645910" cy="2009140"/>
            <wp:effectExtent l="0" t="0" r="2540" b="0"/>
            <wp:docPr id="606394071" name="Picture 606394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71"/>
                    <pic:cNvPicPr/>
                  </pic:nvPicPr>
                  <pic:blipFill>
                    <a:blip r:embed="rId363">
                      <a:extLst>
                        <a:ext uri="{28A0092B-C50C-407E-A947-70E740481C1C}">
                          <a14:useLocalDpi xmlns:a14="http://schemas.microsoft.com/office/drawing/2010/main" val="0"/>
                        </a:ext>
                      </a:extLst>
                    </a:blip>
                    <a:stretch>
                      <a:fillRect/>
                    </a:stretch>
                  </pic:blipFill>
                  <pic:spPr>
                    <a:xfrm>
                      <a:off x="0" y="0"/>
                      <a:ext cx="6645910" cy="2009140"/>
                    </a:xfrm>
                    <a:prstGeom prst="rect">
                      <a:avLst/>
                    </a:prstGeom>
                  </pic:spPr>
                </pic:pic>
              </a:graphicData>
            </a:graphic>
          </wp:inline>
        </w:drawing>
      </w:r>
    </w:p>
    <w:p w14:paraId="66D1ACAD" w14:textId="77777777" w:rsidR="00FF0111" w:rsidRDefault="00FF0111" w:rsidP="00525768">
      <w:pPr>
        <w:rPr>
          <w:lang w:val="en-GB"/>
        </w:rPr>
      </w:pPr>
      <w:r>
        <w:rPr>
          <w:lang w:val="en-GB"/>
        </w:rPr>
        <w:lastRenderedPageBreak/>
        <w:t>CPU context switch can happen even in a single thread application. The following shows a VDI VM with 4 vCPU. I plotted the CPU Usage Disparity vs CPU Context Switch. You can see the usage disparity went up to 78%, meaning the gap between the busiest vCPU and the most idle vCPU is 78%. This was running a security agent, which is unlikely to be designed to occupy multiple vCPU.</w:t>
      </w:r>
    </w:p>
    <w:p w14:paraId="14DA5353" w14:textId="77777777" w:rsidR="00FF0111" w:rsidRDefault="00FF0111" w:rsidP="00525768">
      <w:pPr>
        <w:rPr>
          <w:lang w:val="en-GB"/>
        </w:rPr>
      </w:pPr>
      <w:r w:rsidRPr="007B179C">
        <w:rPr>
          <w:noProof/>
          <w:lang w:val="en-GB"/>
        </w:rPr>
        <w:drawing>
          <wp:inline distT="0" distB="0" distL="0" distR="0" wp14:anchorId="5E07977E" wp14:editId="644B9304">
            <wp:extent cx="6645910" cy="871220"/>
            <wp:effectExtent l="0" t="0" r="2540" b="5080"/>
            <wp:docPr id="1293284828" name="Picture 1293284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6645910" cy="871220"/>
                    </a:xfrm>
                    <a:prstGeom prst="rect">
                      <a:avLst/>
                    </a:prstGeom>
                  </pic:spPr>
                </pic:pic>
              </a:graphicData>
            </a:graphic>
          </wp:inline>
        </w:drawing>
      </w:r>
    </w:p>
    <w:p w14:paraId="16BB4EE7" w14:textId="477960B9" w:rsidR="00FF0111" w:rsidRDefault="00FF0111" w:rsidP="00525768">
      <w:pPr>
        <w:rPr>
          <w:lang w:val="en-GB"/>
        </w:rPr>
      </w:pPr>
      <w:r>
        <w:rPr>
          <w:lang w:val="en-GB"/>
        </w:rPr>
        <w:t xml:space="preserve">Let’s plot the context switch at the same period. There is a spike at the same time, indicating that the agent was busy context switching. Note that it does not always have to be this way. The </w:t>
      </w:r>
      <w:r w:rsidR="00CF7D2C" w:rsidRPr="00CF7D2C">
        <w:rPr>
          <w:color w:val="FF0000"/>
          <w:lang w:val="en-GB"/>
        </w:rPr>
        <w:t>red</w:t>
      </w:r>
      <w:r>
        <w:rPr>
          <w:lang w:val="en-GB"/>
        </w:rPr>
        <w:t xml:space="preserve"> dot shows there is no spike in context switch even though the vCPU Usage Disparity went up.</w:t>
      </w:r>
    </w:p>
    <w:p w14:paraId="2ACEACCA" w14:textId="77777777" w:rsidR="00FF0111" w:rsidRDefault="00FF0111" w:rsidP="00525768">
      <w:pPr>
        <w:rPr>
          <w:lang w:val="en-GB"/>
        </w:rPr>
      </w:pPr>
      <w:r w:rsidRPr="00042AAC">
        <w:rPr>
          <w:noProof/>
          <w:lang w:val="en-GB"/>
        </w:rPr>
        <w:drawing>
          <wp:inline distT="0" distB="0" distL="0" distR="0" wp14:anchorId="4253DCEA" wp14:editId="264EDC65">
            <wp:extent cx="6645910" cy="744220"/>
            <wp:effectExtent l="0" t="0" r="2540" b="0"/>
            <wp:docPr id="1293284837" name="Picture 1293284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6645910" cy="744220"/>
                    </a:xfrm>
                    <a:prstGeom prst="rect">
                      <a:avLst/>
                    </a:prstGeom>
                  </pic:spPr>
                </pic:pic>
              </a:graphicData>
            </a:graphic>
          </wp:inline>
        </w:drawing>
      </w:r>
    </w:p>
    <w:p w14:paraId="55C7960D" w14:textId="55E5AAC8" w:rsidR="00FF0111" w:rsidRDefault="00FF0111" w:rsidP="00525768">
      <w:pPr>
        <w:rPr>
          <w:lang w:val="en-GB"/>
        </w:rPr>
      </w:pPr>
      <w:r w:rsidRPr="00A452F2">
        <w:rPr>
          <w:lang w:val="en-GB"/>
        </w:rPr>
        <w:t>The value</w:t>
      </w:r>
      <w:r w:rsidR="006B332A">
        <w:rPr>
          <w:lang w:val="en-GB"/>
        </w:rPr>
        <w:t>s</w:t>
      </w:r>
      <w:r w:rsidRPr="00A452F2">
        <w:rPr>
          <w:lang w:val="en-GB"/>
        </w:rPr>
        <w:t xml:space="preserve"> </w:t>
      </w:r>
      <w:r>
        <w:rPr>
          <w:lang w:val="en-GB"/>
        </w:rPr>
        <w:t xml:space="preserve">of CPU Context Switch vary widely. It </w:t>
      </w:r>
      <w:r w:rsidRPr="00A452F2">
        <w:rPr>
          <w:lang w:val="en-GB"/>
        </w:rPr>
        <w:t>can go well beyond 0.5 million, as shown in the following table, hence it’s important to profile and establish a normal base line</w:t>
      </w:r>
      <w:r>
        <w:rPr>
          <w:lang w:val="en-GB"/>
        </w:rPr>
        <w:t xml:space="preserve"> for that specific application</w:t>
      </w:r>
      <w:r w:rsidRPr="00A452F2">
        <w:rPr>
          <w:lang w:val="en-GB"/>
        </w:rPr>
        <w:t>. What is healthy for 1 VM may not be healthy for another.</w:t>
      </w:r>
    </w:p>
    <w:p w14:paraId="64D4544D" w14:textId="77777777" w:rsidR="00FF0111" w:rsidRDefault="00FF0111" w:rsidP="00525768">
      <w:pPr>
        <w:rPr>
          <w:lang w:val="en-GB"/>
        </w:rPr>
      </w:pPr>
      <w:r>
        <w:rPr>
          <w:noProof/>
        </w:rPr>
        <w:drawing>
          <wp:inline distT="0" distB="0" distL="0" distR="0" wp14:anchorId="3A69CAEF" wp14:editId="079B0E2A">
            <wp:extent cx="6645910" cy="2887980"/>
            <wp:effectExtent l="0" t="0" r="2540" b="7620"/>
            <wp:docPr id="606394234" name="Picture 606394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34"/>
                    <pic:cNvPicPr/>
                  </pic:nvPicPr>
                  <pic:blipFill>
                    <a:blip r:embed="rId366">
                      <a:extLst>
                        <a:ext uri="{28A0092B-C50C-407E-A947-70E740481C1C}">
                          <a14:useLocalDpi xmlns:a14="http://schemas.microsoft.com/office/drawing/2010/main" val="0"/>
                        </a:ext>
                      </a:extLst>
                    </a:blip>
                    <a:stretch>
                      <a:fillRect/>
                    </a:stretch>
                  </pic:blipFill>
                  <pic:spPr>
                    <a:xfrm>
                      <a:off x="0" y="0"/>
                      <a:ext cx="6645910" cy="2887980"/>
                    </a:xfrm>
                    <a:prstGeom prst="rect">
                      <a:avLst/>
                    </a:prstGeom>
                  </pic:spPr>
                </pic:pic>
              </a:graphicData>
            </a:graphic>
          </wp:inline>
        </w:drawing>
      </w:r>
    </w:p>
    <w:p w14:paraId="40B2F72C" w14:textId="77777777" w:rsidR="00FF0111" w:rsidRDefault="00FF0111" w:rsidP="00525768">
      <w:pPr>
        <w:rPr>
          <w:lang w:val="en-GB"/>
        </w:rPr>
      </w:pPr>
      <w:r>
        <w:rPr>
          <w:lang w:val="en-GB"/>
        </w:rPr>
        <w:t>You can see from the table that some VM experience prolonged CPU context switch, while others do not. The VM #4 only has a short burst as the value at w</w:t>
      </w:r>
      <w:r>
        <w:t>orst 5</w:t>
      </w:r>
      <w:r w:rsidRPr="0078733A">
        <w:rPr>
          <w:vertAlign w:val="superscript"/>
        </w:rPr>
        <w:t>th</w:t>
      </w:r>
      <w:r>
        <w:t xml:space="preserve"> percentile</w:t>
      </w:r>
      <w:r w:rsidRPr="00A452F2">
        <w:rPr>
          <w:lang w:val="en-GB"/>
        </w:rPr>
        <w:t xml:space="preserve"> </w:t>
      </w:r>
      <w:r>
        <w:rPr>
          <w:lang w:val="en-GB"/>
        </w:rPr>
        <w:t>dropped to 3796. Momentary peak of context switch may not cause performance problem so in general it’s wiser to take the value somewhere between 95</w:t>
      </w:r>
      <w:r w:rsidRPr="00F756C2">
        <w:rPr>
          <w:vertAlign w:val="superscript"/>
          <w:lang w:val="en-GB"/>
        </w:rPr>
        <w:t>th</w:t>
      </w:r>
      <w:r>
        <w:rPr>
          <w:lang w:val="en-GB"/>
        </w:rPr>
        <w:t xml:space="preserve"> and 99</w:t>
      </w:r>
      <w:r w:rsidRPr="00F756C2">
        <w:rPr>
          <w:vertAlign w:val="superscript"/>
          <w:lang w:val="en-GB"/>
        </w:rPr>
        <w:t>th</w:t>
      </w:r>
      <w:r>
        <w:rPr>
          <w:lang w:val="en-GB"/>
        </w:rPr>
        <w:t xml:space="preserve"> percentile.</w:t>
      </w:r>
    </w:p>
    <w:p w14:paraId="2CC12DB9" w14:textId="77777777" w:rsidR="00FF0111" w:rsidRDefault="00FF0111" w:rsidP="00525768">
      <w:pPr>
        <w:rPr>
          <w:lang w:val="en-GB"/>
        </w:rPr>
      </w:pPr>
      <w:r>
        <w:rPr>
          <w:lang w:val="en-GB"/>
        </w:rPr>
        <w:t xml:space="preserve">Let’s drill down to see the first VM. </w:t>
      </w:r>
      <w:r w:rsidRPr="00A452F2">
        <w:rPr>
          <w:lang w:val="en-GB"/>
        </w:rPr>
        <w:t xml:space="preserve">This </w:t>
      </w:r>
      <w:r>
        <w:rPr>
          <w:lang w:val="en-GB"/>
        </w:rPr>
        <w:t xml:space="preserve">CentOS VM sporting only 4 vCPU constantly hit almost 1 million context switch. The pattern match CPU Usage. </w:t>
      </w:r>
    </w:p>
    <w:p w14:paraId="0A03EAC7" w14:textId="77777777" w:rsidR="00FF0111" w:rsidRPr="00A452F2" w:rsidRDefault="00FF0111" w:rsidP="00525768">
      <w:pPr>
        <w:rPr>
          <w:lang w:val="en-GB"/>
        </w:rPr>
      </w:pPr>
      <w:r>
        <w:rPr>
          <w:noProof/>
        </w:rPr>
        <w:lastRenderedPageBreak/>
        <w:drawing>
          <wp:inline distT="0" distB="0" distL="0" distR="0" wp14:anchorId="627B24D7" wp14:editId="2941462A">
            <wp:extent cx="6645910" cy="3641090"/>
            <wp:effectExtent l="0" t="0" r="2540" b="0"/>
            <wp:docPr id="606394236" name="Picture 606394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36"/>
                    <pic:cNvPicPr/>
                  </pic:nvPicPr>
                  <pic:blipFill>
                    <a:blip r:embed="rId367">
                      <a:extLst>
                        <a:ext uri="{28A0092B-C50C-407E-A947-70E740481C1C}">
                          <a14:useLocalDpi xmlns:a14="http://schemas.microsoft.com/office/drawing/2010/main" val="0"/>
                        </a:ext>
                      </a:extLst>
                    </a:blip>
                    <a:stretch>
                      <a:fillRect/>
                    </a:stretch>
                  </pic:blipFill>
                  <pic:spPr>
                    <a:xfrm>
                      <a:off x="0" y="0"/>
                      <a:ext cx="6645910" cy="3641090"/>
                    </a:xfrm>
                    <a:prstGeom prst="rect">
                      <a:avLst/>
                    </a:prstGeom>
                  </pic:spPr>
                </pic:pic>
              </a:graphicData>
            </a:graphic>
          </wp:inline>
        </w:drawing>
      </w:r>
    </w:p>
    <w:p w14:paraId="53527C3B" w14:textId="77777777" w:rsidR="00FF0111" w:rsidRDefault="00FF0111" w:rsidP="00525768">
      <w:pPr>
        <w:rPr>
          <w:lang w:val="en-GB"/>
        </w:rPr>
      </w:pPr>
      <w:r w:rsidRPr="00A452F2">
        <w:rPr>
          <w:lang w:val="en-GB"/>
        </w:rPr>
        <w:t>On the other hand,</w:t>
      </w:r>
      <w:r>
        <w:rPr>
          <w:lang w:val="en-GB"/>
        </w:rPr>
        <w:t xml:space="preserve"> majority of Guest OS spends well below 10K. I profiled around 2200 production VMs and here is the distribution of their CPU Context Switch. You can see that the values between 0 – 12000 accounts for 80%.</w:t>
      </w:r>
    </w:p>
    <w:p w14:paraId="1E74B628" w14:textId="77777777" w:rsidR="00FF0111" w:rsidRDefault="00FF0111" w:rsidP="00525768">
      <w:pPr>
        <w:jc w:val="center"/>
        <w:rPr>
          <w:lang w:val="en-GB"/>
        </w:rPr>
      </w:pPr>
      <w:r>
        <w:rPr>
          <w:noProof/>
        </w:rPr>
        <w:drawing>
          <wp:inline distT="0" distB="0" distL="0" distR="0" wp14:anchorId="482D8EFA" wp14:editId="16D2DEDF">
            <wp:extent cx="5979266" cy="3762608"/>
            <wp:effectExtent l="0" t="0" r="2540" b="9525"/>
            <wp:docPr id="606394231" name="Picture 606394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31"/>
                    <pic:cNvPicPr/>
                  </pic:nvPicPr>
                  <pic:blipFill>
                    <a:blip r:embed="rId368">
                      <a:extLst>
                        <a:ext uri="{28A0092B-C50C-407E-A947-70E740481C1C}">
                          <a14:useLocalDpi xmlns:a14="http://schemas.microsoft.com/office/drawing/2010/main" val="0"/>
                        </a:ext>
                      </a:extLst>
                    </a:blip>
                    <a:stretch>
                      <a:fillRect/>
                    </a:stretch>
                  </pic:blipFill>
                  <pic:spPr>
                    <a:xfrm>
                      <a:off x="0" y="0"/>
                      <a:ext cx="5979266" cy="3762608"/>
                    </a:xfrm>
                    <a:prstGeom prst="rect">
                      <a:avLst/>
                    </a:prstGeom>
                  </pic:spPr>
                </pic:pic>
              </a:graphicData>
            </a:graphic>
          </wp:inline>
        </w:drawing>
      </w:r>
    </w:p>
    <w:p w14:paraId="7E7CE462" w14:textId="77777777" w:rsidR="00FF0111" w:rsidRDefault="00FF0111" w:rsidP="00525768">
      <w:pPr>
        <w:rPr>
          <w:lang w:val="en-GB"/>
        </w:rPr>
      </w:pPr>
      <w:r>
        <w:rPr>
          <w:lang w:val="en-GB"/>
        </w:rPr>
        <w:t xml:space="preserve">In your environment, you can profile it further. In the following example, I adjusted the bucket threshold by grouping all the values above 10K as one bucket, and splitting 0 – 10K bucket into multiple buckets. You can see more than half has less than 1K CPU Context Switch Rate. </w:t>
      </w:r>
    </w:p>
    <w:p w14:paraId="18528B39" w14:textId="77777777" w:rsidR="00FF0111" w:rsidRDefault="00FF0111" w:rsidP="00525768">
      <w:pPr>
        <w:jc w:val="center"/>
        <w:rPr>
          <w:lang w:val="en-GB"/>
        </w:rPr>
      </w:pPr>
      <w:r>
        <w:rPr>
          <w:noProof/>
        </w:rPr>
        <w:lastRenderedPageBreak/>
        <w:drawing>
          <wp:inline distT="0" distB="0" distL="0" distR="0" wp14:anchorId="32BCC084" wp14:editId="0E3267F1">
            <wp:extent cx="4151096" cy="2496766"/>
            <wp:effectExtent l="0" t="0" r="1905" b="0"/>
            <wp:docPr id="606394232" name="Picture 606394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32"/>
                    <pic:cNvPicPr/>
                  </pic:nvPicPr>
                  <pic:blipFill>
                    <a:blip r:embed="rId369">
                      <a:extLst>
                        <a:ext uri="{28A0092B-C50C-407E-A947-70E740481C1C}">
                          <a14:useLocalDpi xmlns:a14="http://schemas.microsoft.com/office/drawing/2010/main" val="0"/>
                        </a:ext>
                      </a:extLst>
                    </a:blip>
                    <a:stretch>
                      <a:fillRect/>
                    </a:stretch>
                  </pic:blipFill>
                  <pic:spPr>
                    <a:xfrm>
                      <a:off x="0" y="0"/>
                      <a:ext cx="4151096" cy="2496766"/>
                    </a:xfrm>
                    <a:prstGeom prst="rect">
                      <a:avLst/>
                    </a:prstGeom>
                  </pic:spPr>
                </pic:pic>
              </a:graphicData>
            </a:graphic>
          </wp:inline>
        </w:drawing>
      </w:r>
    </w:p>
    <w:p w14:paraId="697D2C4B" w14:textId="742C6FD1" w:rsidR="00F01EB7" w:rsidRDefault="00F01EB7" w:rsidP="00525768">
      <w:pPr>
        <w:pStyle w:val="Heading6"/>
      </w:pPr>
      <w:r>
        <w:t>Thread Ping Pong</w:t>
      </w:r>
    </w:p>
    <w:p w14:paraId="02191929" w14:textId="77777777" w:rsidR="00F01EB7" w:rsidRDefault="00F01EB7" w:rsidP="00525768">
      <w:pPr>
        <w:rPr>
          <w:lang w:val="en-GB"/>
        </w:rPr>
      </w:pPr>
      <w:r>
        <w:rPr>
          <w:lang w:val="en-GB"/>
        </w:rPr>
        <w:t>The following is a Windows Server 2019 DC edition VM with 10 vCPU. It’s basically idle, as you can see below.</w:t>
      </w:r>
    </w:p>
    <w:p w14:paraId="17E6DA31" w14:textId="77777777" w:rsidR="00F01EB7" w:rsidRDefault="00F01EB7" w:rsidP="00525768">
      <w:pPr>
        <w:rPr>
          <w:lang w:val="en-GB"/>
        </w:rPr>
      </w:pPr>
      <w:r w:rsidRPr="00DB14C9">
        <w:rPr>
          <w:noProof/>
          <w:lang w:val="en-GB"/>
        </w:rPr>
        <w:drawing>
          <wp:inline distT="0" distB="0" distL="0" distR="0" wp14:anchorId="30568079" wp14:editId="018B695E">
            <wp:extent cx="6645910" cy="1441450"/>
            <wp:effectExtent l="0" t="0" r="2540" b="6350"/>
            <wp:docPr id="1525330266" name="Picture 1525330266"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66" name="Picture 1525330266" descr="Graphical user interface, chart&#10;&#10;Description automatically generated"/>
                    <pic:cNvPicPr/>
                  </pic:nvPicPr>
                  <pic:blipFill>
                    <a:blip r:embed="rId370"/>
                    <a:stretch>
                      <a:fillRect/>
                    </a:stretch>
                  </pic:blipFill>
                  <pic:spPr>
                    <a:xfrm>
                      <a:off x="0" y="0"/>
                      <a:ext cx="6645910" cy="1441450"/>
                    </a:xfrm>
                    <a:prstGeom prst="rect">
                      <a:avLst/>
                    </a:prstGeom>
                  </pic:spPr>
                </pic:pic>
              </a:graphicData>
            </a:graphic>
          </wp:inline>
        </w:drawing>
      </w:r>
    </w:p>
    <w:p w14:paraId="0E4D484C" w14:textId="77777777" w:rsidR="00F01EB7" w:rsidRDefault="00F01EB7" w:rsidP="00525768">
      <w:pPr>
        <w:rPr>
          <w:lang w:val="en-GB"/>
        </w:rPr>
      </w:pPr>
      <w:r>
        <w:rPr>
          <w:lang w:val="en-GB"/>
        </w:rPr>
        <w:t xml:space="preserve">But if we zoom into each vCPU, they are taking turn to be busy. </w:t>
      </w:r>
    </w:p>
    <w:p w14:paraId="45DB4275" w14:textId="77777777" w:rsidR="00F01EB7" w:rsidRDefault="00F01EB7" w:rsidP="00525768">
      <w:pPr>
        <w:rPr>
          <w:lang w:val="en-GB"/>
        </w:rPr>
      </w:pPr>
      <w:r>
        <w:rPr>
          <w:lang w:val="en-GB"/>
        </w:rPr>
        <w:t xml:space="preserve">In the span of just 1 hour, the 10 vCPU inside Windows take turn. </w:t>
      </w:r>
    </w:p>
    <w:p w14:paraId="07915AD9" w14:textId="77777777" w:rsidR="00F01EB7" w:rsidRDefault="00F01EB7" w:rsidP="00525768">
      <w:pPr>
        <w:rPr>
          <w:lang w:val="en-GB"/>
        </w:rPr>
      </w:pPr>
      <w:r w:rsidRPr="00CD24FD">
        <w:rPr>
          <w:noProof/>
          <w:lang w:val="en-GB"/>
        </w:rPr>
        <w:drawing>
          <wp:inline distT="0" distB="0" distL="0" distR="0" wp14:anchorId="5C55F298" wp14:editId="68489AF1">
            <wp:extent cx="6645910" cy="1593215"/>
            <wp:effectExtent l="0" t="0" r="2540" b="6985"/>
            <wp:docPr id="1525330263" name="Picture 152533026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63" name="Picture 1525330263" descr="Chart, line chart&#10;&#10;Description automatically generated"/>
                    <pic:cNvPicPr/>
                  </pic:nvPicPr>
                  <pic:blipFill>
                    <a:blip r:embed="rId371"/>
                    <a:stretch>
                      <a:fillRect/>
                    </a:stretch>
                  </pic:blipFill>
                  <pic:spPr>
                    <a:xfrm>
                      <a:off x="0" y="0"/>
                      <a:ext cx="6645910" cy="1593215"/>
                    </a:xfrm>
                    <a:prstGeom prst="rect">
                      <a:avLst/>
                    </a:prstGeom>
                  </pic:spPr>
                </pic:pic>
              </a:graphicData>
            </a:graphic>
          </wp:inline>
        </w:drawing>
      </w:r>
    </w:p>
    <w:p w14:paraId="6E56F039" w14:textId="77777777" w:rsidR="00F01EB7" w:rsidRDefault="00F01EB7" w:rsidP="00525768">
      <w:pPr>
        <w:rPr>
          <w:lang w:val="en-GB"/>
        </w:rPr>
      </w:pPr>
      <w:r>
        <w:rPr>
          <w:lang w:val="en-GB"/>
        </w:rPr>
        <w:t>This is a bit illogical. Is this a process ping pong?</w:t>
      </w:r>
    </w:p>
    <w:p w14:paraId="184AC028" w14:textId="426B4462" w:rsidR="00F01EB7" w:rsidRDefault="00F01EB7" w:rsidP="00525768">
      <w:pPr>
        <w:rPr>
          <w:lang w:val="en-GB"/>
        </w:rPr>
      </w:pPr>
      <w:r>
        <w:rPr>
          <w:lang w:val="en-GB"/>
        </w:rPr>
        <w:t>We can see them clearer if we stack them up. Notice they take turn, except the 3</w:t>
      </w:r>
      <w:r w:rsidRPr="00DB14C9">
        <w:rPr>
          <w:vertAlign w:val="superscript"/>
          <w:lang w:val="en-GB"/>
        </w:rPr>
        <w:t>rd</w:t>
      </w:r>
      <w:r>
        <w:rPr>
          <w:lang w:val="en-GB"/>
        </w:rPr>
        <w:t xml:space="preserve"> one from the top (I drew a </w:t>
      </w:r>
      <w:r w:rsidR="0022569A" w:rsidRPr="0022569A">
        <w:rPr>
          <w:color w:val="00B050"/>
          <w:lang w:val="en-GB"/>
        </w:rPr>
        <w:t>green</w:t>
      </w:r>
      <w:r>
        <w:rPr>
          <w:lang w:val="en-GB"/>
        </w:rPr>
        <w:t xml:space="preserve"> line on it). That one is actually fairly stable. </w:t>
      </w:r>
    </w:p>
    <w:p w14:paraId="06BA8558" w14:textId="77777777" w:rsidR="00F01EB7" w:rsidRDefault="00F01EB7" w:rsidP="00525768">
      <w:pPr>
        <w:rPr>
          <w:lang w:val="en-GB"/>
        </w:rPr>
      </w:pPr>
      <w:r w:rsidRPr="00DB14C9">
        <w:rPr>
          <w:noProof/>
          <w:lang w:val="en-GB"/>
        </w:rPr>
        <w:lastRenderedPageBreak/>
        <w:drawing>
          <wp:inline distT="0" distB="0" distL="0" distR="0" wp14:anchorId="446D002B" wp14:editId="24AC4BB0">
            <wp:extent cx="6645910" cy="2632075"/>
            <wp:effectExtent l="0" t="0" r="2540" b="0"/>
            <wp:docPr id="1525330264" name="Picture 152533026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64" name="Picture 1525330264" descr="Chart&#10;&#10;Description automatically generated"/>
                    <pic:cNvPicPr/>
                  </pic:nvPicPr>
                  <pic:blipFill>
                    <a:blip r:embed="rId372"/>
                    <a:stretch>
                      <a:fillRect/>
                    </a:stretch>
                  </pic:blipFill>
                  <pic:spPr>
                    <a:xfrm>
                      <a:off x="0" y="0"/>
                      <a:ext cx="6645910" cy="2632075"/>
                    </a:xfrm>
                    <a:prstGeom prst="rect">
                      <a:avLst/>
                    </a:prstGeom>
                  </pic:spPr>
                </pic:pic>
              </a:graphicData>
            </a:graphic>
          </wp:inline>
        </w:drawing>
      </w:r>
    </w:p>
    <w:p w14:paraId="3C9A2708" w14:textId="77777777" w:rsidR="00F01EB7" w:rsidRDefault="00F01EB7" w:rsidP="00525768">
      <w:pPr>
        <w:rPr>
          <w:lang w:val="en-GB"/>
        </w:rPr>
      </w:pPr>
      <w:r>
        <w:rPr>
          <w:lang w:val="en-GB"/>
        </w:rPr>
        <w:t xml:space="preserve">It is running Horizon Connection Server. It has around 118 – 125 processes, but much higher threads. </w:t>
      </w:r>
    </w:p>
    <w:p w14:paraId="00D8423D" w14:textId="77777777" w:rsidR="00F01EB7" w:rsidRDefault="00F01EB7" w:rsidP="00525768">
      <w:pPr>
        <w:rPr>
          <w:lang w:val="en-GB"/>
        </w:rPr>
      </w:pPr>
      <w:r w:rsidRPr="00DB14C9">
        <w:rPr>
          <w:noProof/>
          <w:lang w:val="en-GB"/>
        </w:rPr>
        <w:drawing>
          <wp:inline distT="0" distB="0" distL="0" distR="0" wp14:anchorId="00E05F28" wp14:editId="3AAF2832">
            <wp:extent cx="6645910" cy="3315335"/>
            <wp:effectExtent l="0" t="0" r="2540" b="0"/>
            <wp:docPr id="1525330268" name="Picture 152533026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68" name="Picture 1525330268" descr="Graphical user interface, application&#10;&#10;Description automatically generated"/>
                    <pic:cNvPicPr/>
                  </pic:nvPicPr>
                  <pic:blipFill>
                    <a:blip r:embed="rId373"/>
                    <a:stretch>
                      <a:fillRect/>
                    </a:stretch>
                  </pic:blipFill>
                  <pic:spPr>
                    <a:xfrm>
                      <a:off x="0" y="0"/>
                      <a:ext cx="6645910" cy="3315335"/>
                    </a:xfrm>
                    <a:prstGeom prst="rect">
                      <a:avLst/>
                    </a:prstGeom>
                  </pic:spPr>
                </pic:pic>
              </a:graphicData>
            </a:graphic>
          </wp:inline>
        </w:drawing>
      </w:r>
    </w:p>
    <w:p w14:paraId="0371D9F5" w14:textId="77777777" w:rsidR="00F01EB7" w:rsidRDefault="00F01EB7" w:rsidP="00525768">
      <w:pPr>
        <w:rPr>
          <w:lang w:val="en-GB"/>
        </w:rPr>
      </w:pPr>
      <w:r>
        <w:rPr>
          <w:lang w:val="en-GB"/>
        </w:rPr>
        <w:t xml:space="preserve">CPU Run Queue is very low, which is expected. </w:t>
      </w:r>
    </w:p>
    <w:p w14:paraId="41C33D88" w14:textId="77777777" w:rsidR="00F01EB7" w:rsidRDefault="00F01EB7" w:rsidP="00525768">
      <w:pPr>
        <w:rPr>
          <w:lang w:val="en-GB"/>
        </w:rPr>
      </w:pPr>
      <w:r>
        <w:rPr>
          <w:lang w:val="en-GB"/>
        </w:rPr>
        <w:t>Context switches is fairly steady. This is expected as it consistently run &gt;2K threads on &gt;100 processes on just 10 CPU.</w:t>
      </w:r>
    </w:p>
    <w:p w14:paraId="7A1C7236" w14:textId="77777777" w:rsidR="00F01EB7" w:rsidRDefault="00F01EB7" w:rsidP="00525768">
      <w:pPr>
        <w:rPr>
          <w:lang w:val="en-GB"/>
        </w:rPr>
      </w:pPr>
      <w:r w:rsidRPr="00DB14C9">
        <w:rPr>
          <w:noProof/>
          <w:lang w:val="en-GB"/>
        </w:rPr>
        <w:lastRenderedPageBreak/>
        <w:drawing>
          <wp:inline distT="0" distB="0" distL="0" distR="0" wp14:anchorId="6CA5D583" wp14:editId="30FCF59B">
            <wp:extent cx="6645910" cy="1893570"/>
            <wp:effectExtent l="0" t="0" r="2540" b="0"/>
            <wp:docPr id="1525330265" name="Picture 15253302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65" name="Picture 1525330265" descr="Graphical user interface, application&#10;&#10;Description automatically generated"/>
                    <pic:cNvPicPr/>
                  </pic:nvPicPr>
                  <pic:blipFill>
                    <a:blip r:embed="rId374"/>
                    <a:stretch>
                      <a:fillRect/>
                    </a:stretch>
                  </pic:blipFill>
                  <pic:spPr>
                    <a:xfrm>
                      <a:off x="0" y="0"/>
                      <a:ext cx="6645910" cy="1893570"/>
                    </a:xfrm>
                    <a:prstGeom prst="rect">
                      <a:avLst/>
                    </a:prstGeom>
                  </pic:spPr>
                </pic:pic>
              </a:graphicData>
            </a:graphic>
          </wp:inline>
        </w:drawing>
      </w:r>
    </w:p>
    <w:p w14:paraId="62D21C8A" w14:textId="77777777" w:rsidR="00FF0111" w:rsidRDefault="00FF0111" w:rsidP="00525768">
      <w:pPr>
        <w:pStyle w:val="Heading5"/>
      </w:pPr>
      <w:r>
        <w:t>Runaway Process</w:t>
      </w:r>
    </w:p>
    <w:p w14:paraId="319DCEF2" w14:textId="77777777" w:rsidR="00FF0111" w:rsidRPr="00E60065" w:rsidRDefault="00FF0111" w:rsidP="00525768">
      <w:pPr>
        <w:rPr>
          <w:lang w:val="en-GB"/>
        </w:rPr>
      </w:pPr>
      <w:r>
        <w:rPr>
          <w:lang w:val="en-GB"/>
        </w:rPr>
        <w:t>What do you see from the CPU charts below? There are 8 CPU as seen by Windows 10. Hint: look at the total picture, no need to see each in detail. That’s why I made the screenshot tiny.</w:t>
      </w:r>
    </w:p>
    <w:p w14:paraId="0E18FA93" w14:textId="77777777" w:rsidR="00FF0111" w:rsidRDefault="00FF0111" w:rsidP="00525768">
      <w:pPr>
        <w:jc w:val="center"/>
        <w:rPr>
          <w:lang w:val="en-GB"/>
        </w:rPr>
      </w:pPr>
      <w:r>
        <w:rPr>
          <w:noProof/>
          <w:lang w:val="en-GB"/>
        </w:rPr>
        <w:drawing>
          <wp:inline distT="0" distB="0" distL="0" distR="0" wp14:anchorId="3ECA2FD0" wp14:editId="6D991F4B">
            <wp:extent cx="1645200" cy="3751200"/>
            <wp:effectExtent l="0" t="0" r="0" b="1905"/>
            <wp:docPr id="1859674505" name="Picture 185967450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05" name="Picture 1859674505" descr="A screenshot of a computer&#10;&#10;Description automatically generated with medium confidence"/>
                    <pic:cNvPicPr/>
                  </pic:nvPicPr>
                  <pic:blipFill>
                    <a:blip r:embed="rId375" cstate="print">
                      <a:extLst>
                        <a:ext uri="{28A0092B-C50C-407E-A947-70E740481C1C}">
                          <a14:useLocalDpi xmlns:a14="http://schemas.microsoft.com/office/drawing/2010/main" val="0"/>
                        </a:ext>
                      </a:extLst>
                    </a:blip>
                    <a:stretch>
                      <a:fillRect/>
                    </a:stretch>
                  </pic:blipFill>
                  <pic:spPr>
                    <a:xfrm>
                      <a:off x="0" y="0"/>
                      <a:ext cx="1645200" cy="3751200"/>
                    </a:xfrm>
                    <a:prstGeom prst="rect">
                      <a:avLst/>
                    </a:prstGeom>
                  </pic:spPr>
                </pic:pic>
              </a:graphicData>
            </a:graphic>
          </wp:inline>
        </w:drawing>
      </w:r>
    </w:p>
    <w:p w14:paraId="6F519904" w14:textId="77777777" w:rsidR="00FF0111" w:rsidRDefault="00FF0111" w:rsidP="00525768">
      <w:pPr>
        <w:rPr>
          <w:lang w:val="en-GB"/>
        </w:rPr>
      </w:pPr>
      <w:r>
        <w:rPr>
          <w:lang w:val="en-GB"/>
        </w:rPr>
        <w:t xml:space="preserve">Yes, you’re right. CPU0 is running flat. The reason was one of Windows common service went into infinite loop. Ironically, this is the troubleshooting service (Diagnostic Policy Service) itself. So it’s chewing up CPU flat out non-stop. But since there are 7 other CPU, Windows overall is responsive. I could still do my work. </w:t>
      </w:r>
    </w:p>
    <w:p w14:paraId="28681076" w14:textId="77777777" w:rsidR="00FF0111" w:rsidRPr="00AE4C1B" w:rsidRDefault="00FF0111" w:rsidP="00525768">
      <w:pPr>
        <w:rPr>
          <w:lang w:val="en-GB"/>
        </w:rPr>
      </w:pPr>
      <w:r>
        <w:rPr>
          <w:lang w:val="en-GB"/>
        </w:rPr>
        <w:t xml:space="preserve">A counter that tracks at entire Guest OS level will </w:t>
      </w:r>
      <w:r w:rsidRPr="005E07A4">
        <w:rPr>
          <w:color w:val="FF0000"/>
          <w:lang w:val="en-GB"/>
        </w:rPr>
        <w:t xml:space="preserve">not </w:t>
      </w:r>
      <w:r>
        <w:rPr>
          <w:lang w:val="en-GB"/>
        </w:rPr>
        <w:t xml:space="preserve">capture it. You need to complement it with a counter that tracks the highest among its CPU. If this is flat out all the time, you likely have a runaway process. </w:t>
      </w:r>
    </w:p>
    <w:p w14:paraId="74595BD7" w14:textId="2881B8F1" w:rsidR="000A4ACD" w:rsidRDefault="000A4ACD" w:rsidP="00525768">
      <w:pPr>
        <w:pStyle w:val="Heading5"/>
      </w:pPr>
      <w:r>
        <w:lastRenderedPageBreak/>
        <w:t>CPU Usage</w:t>
      </w:r>
    </w:p>
    <w:p w14:paraId="13A0C3A1" w14:textId="19A8EE3F" w:rsidR="000A4ACD" w:rsidRDefault="000A4ACD" w:rsidP="00525768">
      <w:pPr>
        <w:rPr>
          <w:lang w:val="en-GB" w:eastAsia="en-SG"/>
        </w:rPr>
      </w:pPr>
      <w:r>
        <w:rPr>
          <w:lang w:val="en-GB" w:eastAsia="en-SG"/>
        </w:rPr>
        <w:t xml:space="preserve">CPU Usage in Windows is not aware of the underlying hypervisor hyper-threading. When Windows run a CPU at 100% flat, that CPU could be competing with another physical thread at ESXi level. In that case, what do you expect the value of VM CPU Usage will be, all else being equal? </w:t>
      </w:r>
    </w:p>
    <w:p w14:paraId="00C8A0E3" w14:textId="536EE41C" w:rsidR="000A4ACD" w:rsidRDefault="000A4ACD" w:rsidP="00525768">
      <w:pPr>
        <w:rPr>
          <w:lang w:val="en-GB" w:eastAsia="en-SG"/>
        </w:rPr>
      </w:pPr>
      <w:r>
        <w:rPr>
          <w:lang w:val="en-GB" w:eastAsia="en-SG"/>
        </w:rPr>
        <w:t>62.5%.</w:t>
      </w:r>
    </w:p>
    <w:p w14:paraId="11E68A26" w14:textId="4695A822" w:rsidR="000A4ACD" w:rsidRDefault="000A4ACD" w:rsidP="00525768">
      <w:pPr>
        <w:rPr>
          <w:lang w:val="en-GB" w:eastAsia="en-SG"/>
        </w:rPr>
      </w:pPr>
      <w:r>
        <w:rPr>
          <w:lang w:val="en-GB" w:eastAsia="en-SG"/>
        </w:rPr>
        <w:t xml:space="preserve">Because that’s the hyper-threading effect. </w:t>
      </w:r>
    </w:p>
    <w:p w14:paraId="76600CFF" w14:textId="67976180" w:rsidR="000A4ACD" w:rsidRDefault="000A4ACD" w:rsidP="00525768">
      <w:pPr>
        <w:rPr>
          <w:lang w:val="en-GB" w:eastAsia="en-SG"/>
        </w:rPr>
      </w:pPr>
      <w:r>
        <w:rPr>
          <w:lang w:val="en-GB" w:eastAsia="en-SG"/>
        </w:rPr>
        <w:t xml:space="preserve">What about VM CPU Demand? It will show 100% </w:t>
      </w:r>
      <w:r w:rsidR="00626203">
        <w:rPr>
          <w:lang w:val="en-GB" w:eastAsia="en-SG"/>
        </w:rPr>
        <w:t>.</w:t>
      </w:r>
    </w:p>
    <w:p w14:paraId="612F6E30" w14:textId="7B0101D7" w:rsidR="000A4ACD" w:rsidRPr="00A452F2" w:rsidRDefault="00626203" w:rsidP="00525768">
      <w:pPr>
        <w:rPr>
          <w:lang w:val="en-GB"/>
        </w:rPr>
      </w:pPr>
      <w:r>
        <w:rPr>
          <w:lang w:val="en-GB" w:eastAsia="en-SG"/>
        </w:rPr>
        <w:t xml:space="preserve">However, CPU Usage is affected by power management. </w:t>
      </w:r>
      <w:r w:rsidR="000A4ACD" w:rsidRPr="00A452F2">
        <w:rPr>
          <w:lang w:val="en-GB"/>
        </w:rPr>
        <w:t xml:space="preserve">Windows 8 and later will report CPU usage &gt;100% in Task Manager and Performance Monitor when the CPU Frequency is higher than nominal speed. </w:t>
      </w:r>
      <w:r w:rsidR="000A4ACD">
        <w:rPr>
          <w:lang w:val="en-GB"/>
        </w:rPr>
        <w:t xml:space="preserve">The reason for the change is the same with what we have covered so far, which is the need to distinguish amount of work being done. </w:t>
      </w:r>
      <w:r w:rsidR="000A4ACD" w:rsidRPr="00A452F2">
        <w:rPr>
          <w:lang w:val="en-GB"/>
        </w:rPr>
        <w:t xml:space="preserve">More </w:t>
      </w:r>
      <w:hyperlink r:id="rId376" w:history="1">
        <w:r w:rsidR="000A4ACD" w:rsidRPr="00A452F2">
          <w:rPr>
            <w:rStyle w:val="Hyperlink"/>
            <w:lang w:val="en-GB"/>
          </w:rPr>
          <w:t>here</w:t>
        </w:r>
      </w:hyperlink>
      <w:r w:rsidR="000A4ACD" w:rsidRPr="00A452F2">
        <w:rPr>
          <w:lang w:val="en-GB"/>
        </w:rPr>
        <w:t xml:space="preserve">. </w:t>
      </w:r>
    </w:p>
    <w:p w14:paraId="73A30A44" w14:textId="50B578E1" w:rsidR="000A4ACD" w:rsidRDefault="000A4ACD" w:rsidP="00525768">
      <w:pPr>
        <w:jc w:val="center"/>
        <w:rPr>
          <w:lang w:val="en-GB"/>
        </w:rPr>
      </w:pPr>
      <w:r>
        <w:rPr>
          <w:noProof/>
        </w:rPr>
        <w:drawing>
          <wp:inline distT="0" distB="0" distL="0" distR="0" wp14:anchorId="50CDC2F2" wp14:editId="00BC9BA7">
            <wp:extent cx="5912154" cy="2914800"/>
            <wp:effectExtent l="0" t="0" r="0" b="0"/>
            <wp:docPr id="606394242" name="Picture 606394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42"/>
                    <pic:cNvPicPr/>
                  </pic:nvPicPr>
                  <pic:blipFill>
                    <a:blip r:embed="rId377">
                      <a:extLst>
                        <a:ext uri="{28A0092B-C50C-407E-A947-70E740481C1C}">
                          <a14:useLocalDpi xmlns:a14="http://schemas.microsoft.com/office/drawing/2010/main" val="0"/>
                        </a:ext>
                      </a:extLst>
                    </a:blip>
                    <a:stretch>
                      <a:fillRect/>
                    </a:stretch>
                  </pic:blipFill>
                  <pic:spPr>
                    <a:xfrm>
                      <a:off x="0" y="0"/>
                      <a:ext cx="5912154" cy="2914800"/>
                    </a:xfrm>
                    <a:prstGeom prst="rect">
                      <a:avLst/>
                    </a:prstGeom>
                  </pic:spPr>
                </pic:pic>
              </a:graphicData>
            </a:graphic>
          </wp:inline>
        </w:drawing>
      </w:r>
    </w:p>
    <w:p w14:paraId="5CEB224F" w14:textId="453F066A" w:rsidR="00626203" w:rsidRDefault="00626203" w:rsidP="00525768">
      <w:pPr>
        <w:rPr>
          <w:lang w:val="en-GB"/>
        </w:rPr>
      </w:pPr>
      <w:r>
        <w:rPr>
          <w:lang w:val="en-GB"/>
        </w:rPr>
        <w:t>What happens to CPU Usage when VM is experiencing contention? VM Contention = Ready, Co-Stop, Overlap, Other Wait.</w:t>
      </w:r>
    </w:p>
    <w:p w14:paraId="1A566AA1" w14:textId="49203D1E" w:rsidR="00626203" w:rsidRDefault="00626203" w:rsidP="00525768">
      <w:pPr>
        <w:rPr>
          <w:lang w:val="en-GB"/>
        </w:rPr>
      </w:pPr>
      <w:r>
        <w:rPr>
          <w:lang w:val="en-GB"/>
        </w:rPr>
        <w:t>Time basically stops. So there is a gap in the system time of Windows</w:t>
      </w:r>
      <w:r w:rsidR="00373B3C">
        <w:rPr>
          <w:lang w:val="en-GB"/>
        </w:rPr>
        <w:t>. How does it deal with the gap? Does it ignore the gap, or artificially fills it with best guess values?</w:t>
      </w:r>
      <w:r>
        <w:rPr>
          <w:lang w:val="en-GB"/>
        </w:rPr>
        <w:t xml:space="preserve"> I’m not sure</w:t>
      </w:r>
      <w:r w:rsidR="00373B3C">
        <w:rPr>
          <w:lang w:val="en-GB"/>
        </w:rPr>
        <w:t>. If you do let me know.</w:t>
      </w:r>
    </w:p>
    <w:p w14:paraId="25D32C8D" w14:textId="6070D899" w:rsidR="00626203" w:rsidRDefault="00626203" w:rsidP="00525768">
      <w:pPr>
        <w:rPr>
          <w:lang w:val="en-GB"/>
        </w:rPr>
      </w:pPr>
      <w:r>
        <w:rPr>
          <w:lang w:val="en-GB"/>
        </w:rPr>
        <w:t>The above nature of CPU Usage brings an interesting question. Which VM counters can be used when you have no visibility into the Guest? Let’s do a comparison:</w:t>
      </w:r>
    </w:p>
    <w:p w14:paraId="643242DE" w14:textId="77777777" w:rsidR="001C2026" w:rsidRDefault="001C2026" w:rsidP="00525768">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607"/>
        <w:gridCol w:w="2670"/>
        <w:gridCol w:w="2834"/>
        <w:gridCol w:w="2345"/>
      </w:tblGrid>
      <w:tr w:rsidR="00626203" w14:paraId="2288F0B2" w14:textId="60A0793F" w:rsidTr="00626203">
        <w:tc>
          <w:tcPr>
            <w:tcW w:w="2607" w:type="dxa"/>
            <w:shd w:val="clear" w:color="auto" w:fill="F2F2F2" w:themeFill="background1" w:themeFillShade="F2"/>
          </w:tcPr>
          <w:p w14:paraId="27C58B63" w14:textId="1F9B4985" w:rsidR="00626203" w:rsidRDefault="00626203" w:rsidP="00525768">
            <w:pPr>
              <w:pStyle w:val="Tableheading"/>
            </w:pPr>
            <w:r>
              <w:t>Metric</w:t>
            </w:r>
          </w:p>
        </w:tc>
        <w:tc>
          <w:tcPr>
            <w:tcW w:w="2670" w:type="dxa"/>
            <w:shd w:val="clear" w:color="auto" w:fill="F2F2F2" w:themeFill="background1" w:themeFillShade="F2"/>
          </w:tcPr>
          <w:p w14:paraId="60810C7C" w14:textId="4EDD7577" w:rsidR="00626203" w:rsidRDefault="00626203" w:rsidP="00525768">
            <w:pPr>
              <w:pStyle w:val="Tableheading"/>
            </w:pPr>
            <w:r>
              <w:t>Frequency Scaling</w:t>
            </w:r>
          </w:p>
        </w:tc>
        <w:tc>
          <w:tcPr>
            <w:tcW w:w="2834" w:type="dxa"/>
            <w:shd w:val="clear" w:color="auto" w:fill="F2F2F2" w:themeFill="background1" w:themeFillShade="F2"/>
          </w:tcPr>
          <w:p w14:paraId="51C8E1BD" w14:textId="11451EF5" w:rsidR="00626203" w:rsidRDefault="00626203" w:rsidP="00525768">
            <w:pPr>
              <w:pStyle w:val="Tableheading"/>
            </w:pPr>
            <w:r>
              <w:t>Hyperthreading</w:t>
            </w:r>
          </w:p>
        </w:tc>
        <w:tc>
          <w:tcPr>
            <w:tcW w:w="2345" w:type="dxa"/>
            <w:shd w:val="clear" w:color="auto" w:fill="F2F2F2" w:themeFill="background1" w:themeFillShade="F2"/>
          </w:tcPr>
          <w:p w14:paraId="075850BD" w14:textId="186D1D6C" w:rsidR="00626203" w:rsidRDefault="00626203" w:rsidP="00525768">
            <w:pPr>
              <w:pStyle w:val="Tableheading"/>
            </w:pPr>
            <w:r>
              <w:t>VM Contention</w:t>
            </w:r>
          </w:p>
        </w:tc>
      </w:tr>
      <w:tr w:rsidR="00626203" w14:paraId="5461137E" w14:textId="621E2545" w:rsidTr="00626203">
        <w:tc>
          <w:tcPr>
            <w:tcW w:w="2607" w:type="dxa"/>
          </w:tcPr>
          <w:p w14:paraId="7A8698C1" w14:textId="2E7F9C0E" w:rsidR="00626203" w:rsidRDefault="00626203" w:rsidP="00525768">
            <w:pPr>
              <w:pStyle w:val="Tablecontent"/>
            </w:pPr>
            <w:r>
              <w:t>Guest CPU Usage</w:t>
            </w:r>
          </w:p>
        </w:tc>
        <w:tc>
          <w:tcPr>
            <w:tcW w:w="2670" w:type="dxa"/>
          </w:tcPr>
          <w:p w14:paraId="189F17E1" w14:textId="6DCF2301" w:rsidR="00626203" w:rsidRDefault="00626203" w:rsidP="00525768">
            <w:pPr>
              <w:pStyle w:val="Tablecontent"/>
              <w:jc w:val="center"/>
            </w:pPr>
            <w:r>
              <w:t>Yes</w:t>
            </w:r>
          </w:p>
        </w:tc>
        <w:tc>
          <w:tcPr>
            <w:tcW w:w="2834" w:type="dxa"/>
          </w:tcPr>
          <w:p w14:paraId="2A63DEA4" w14:textId="6F8D05C7" w:rsidR="00626203" w:rsidRDefault="00626203" w:rsidP="00525768">
            <w:pPr>
              <w:pStyle w:val="Tablecontent"/>
              <w:jc w:val="center"/>
            </w:pPr>
            <w:r>
              <w:t>No</w:t>
            </w:r>
          </w:p>
        </w:tc>
        <w:tc>
          <w:tcPr>
            <w:tcW w:w="2345" w:type="dxa"/>
          </w:tcPr>
          <w:p w14:paraId="3988B443" w14:textId="78DE543C" w:rsidR="00626203" w:rsidRDefault="00626203" w:rsidP="00525768">
            <w:pPr>
              <w:pStyle w:val="Tablecontent"/>
              <w:jc w:val="center"/>
            </w:pPr>
            <w:r>
              <w:t>No</w:t>
            </w:r>
          </w:p>
        </w:tc>
      </w:tr>
      <w:tr w:rsidR="00626203" w14:paraId="53A38121" w14:textId="4C785345" w:rsidTr="00626203">
        <w:tc>
          <w:tcPr>
            <w:tcW w:w="2607" w:type="dxa"/>
          </w:tcPr>
          <w:p w14:paraId="07404C11" w14:textId="10E740D0" w:rsidR="00626203" w:rsidRDefault="00626203" w:rsidP="00525768">
            <w:pPr>
              <w:pStyle w:val="Tablecontent"/>
            </w:pPr>
            <w:r>
              <w:t>VM CPU Run</w:t>
            </w:r>
          </w:p>
        </w:tc>
        <w:tc>
          <w:tcPr>
            <w:tcW w:w="2670" w:type="dxa"/>
          </w:tcPr>
          <w:p w14:paraId="48B2EF6F" w14:textId="7764FD2E" w:rsidR="00626203" w:rsidRDefault="00626203" w:rsidP="00525768">
            <w:pPr>
              <w:pStyle w:val="Tablecontent"/>
              <w:jc w:val="center"/>
            </w:pPr>
            <w:r>
              <w:t>No</w:t>
            </w:r>
          </w:p>
        </w:tc>
        <w:tc>
          <w:tcPr>
            <w:tcW w:w="2834" w:type="dxa"/>
          </w:tcPr>
          <w:p w14:paraId="13984533" w14:textId="3588701E" w:rsidR="00626203" w:rsidRDefault="00626203" w:rsidP="00525768">
            <w:pPr>
              <w:pStyle w:val="Tablecontent"/>
              <w:jc w:val="center"/>
            </w:pPr>
            <w:r>
              <w:t>Yes</w:t>
            </w:r>
          </w:p>
        </w:tc>
        <w:tc>
          <w:tcPr>
            <w:tcW w:w="2345" w:type="dxa"/>
          </w:tcPr>
          <w:p w14:paraId="3F1F4B3E" w14:textId="5A40CAE2" w:rsidR="00626203" w:rsidRDefault="00626203" w:rsidP="00525768">
            <w:pPr>
              <w:pStyle w:val="Tablecontent"/>
              <w:jc w:val="center"/>
            </w:pPr>
            <w:r>
              <w:t>No</w:t>
            </w:r>
          </w:p>
        </w:tc>
      </w:tr>
      <w:tr w:rsidR="00626203" w14:paraId="29B3B2AC" w14:textId="2E9666D0" w:rsidTr="00626203">
        <w:tc>
          <w:tcPr>
            <w:tcW w:w="2607" w:type="dxa"/>
          </w:tcPr>
          <w:p w14:paraId="1E1BD892" w14:textId="513AA346" w:rsidR="00626203" w:rsidRDefault="00626203" w:rsidP="00525768">
            <w:pPr>
              <w:pStyle w:val="Tablecontent"/>
            </w:pPr>
            <w:r>
              <w:t>VM CPU Usage</w:t>
            </w:r>
          </w:p>
        </w:tc>
        <w:tc>
          <w:tcPr>
            <w:tcW w:w="2670" w:type="dxa"/>
          </w:tcPr>
          <w:p w14:paraId="2D502A90" w14:textId="5196A0DA" w:rsidR="00626203" w:rsidRDefault="00626203" w:rsidP="00525768">
            <w:pPr>
              <w:pStyle w:val="Tablecontent"/>
              <w:jc w:val="center"/>
            </w:pPr>
            <w:r>
              <w:t>Yes</w:t>
            </w:r>
          </w:p>
        </w:tc>
        <w:tc>
          <w:tcPr>
            <w:tcW w:w="2834" w:type="dxa"/>
          </w:tcPr>
          <w:p w14:paraId="777DA1C3" w14:textId="1AA59EAB" w:rsidR="00626203" w:rsidRDefault="00626203" w:rsidP="00525768">
            <w:pPr>
              <w:pStyle w:val="Tablecontent"/>
              <w:jc w:val="center"/>
            </w:pPr>
            <w:r>
              <w:t>Yes</w:t>
            </w:r>
          </w:p>
        </w:tc>
        <w:tc>
          <w:tcPr>
            <w:tcW w:w="2345" w:type="dxa"/>
          </w:tcPr>
          <w:p w14:paraId="5AF2F282" w14:textId="1A88AB59" w:rsidR="00626203" w:rsidRDefault="00626203" w:rsidP="00525768">
            <w:pPr>
              <w:pStyle w:val="Tablecontent"/>
              <w:jc w:val="center"/>
            </w:pPr>
            <w:r>
              <w:t>No</w:t>
            </w:r>
          </w:p>
        </w:tc>
      </w:tr>
      <w:tr w:rsidR="00626203" w14:paraId="062228DA" w14:textId="354E40DD" w:rsidTr="00626203">
        <w:tc>
          <w:tcPr>
            <w:tcW w:w="2607" w:type="dxa"/>
          </w:tcPr>
          <w:p w14:paraId="779E3710" w14:textId="5ECC2849" w:rsidR="00626203" w:rsidRDefault="00626203" w:rsidP="00525768">
            <w:pPr>
              <w:pStyle w:val="Tablecontent"/>
            </w:pPr>
            <w:r>
              <w:t>VM CPU Demand</w:t>
            </w:r>
          </w:p>
        </w:tc>
        <w:tc>
          <w:tcPr>
            <w:tcW w:w="2670" w:type="dxa"/>
          </w:tcPr>
          <w:p w14:paraId="0BB35614" w14:textId="55A97CE1" w:rsidR="00626203" w:rsidRDefault="00626203" w:rsidP="00525768">
            <w:pPr>
              <w:pStyle w:val="Tablecontent"/>
              <w:jc w:val="center"/>
            </w:pPr>
            <w:r>
              <w:t>Yes</w:t>
            </w:r>
          </w:p>
        </w:tc>
        <w:tc>
          <w:tcPr>
            <w:tcW w:w="2834" w:type="dxa"/>
          </w:tcPr>
          <w:p w14:paraId="79F9FB14" w14:textId="107C8825" w:rsidR="00626203" w:rsidRDefault="00626203" w:rsidP="00525768">
            <w:pPr>
              <w:pStyle w:val="Tablecontent"/>
              <w:jc w:val="center"/>
            </w:pPr>
            <w:r>
              <w:t>No</w:t>
            </w:r>
          </w:p>
        </w:tc>
        <w:tc>
          <w:tcPr>
            <w:tcW w:w="2345" w:type="dxa"/>
          </w:tcPr>
          <w:p w14:paraId="161B3DBF" w14:textId="5EF47D8B" w:rsidR="00626203" w:rsidRDefault="00626203" w:rsidP="00525768">
            <w:pPr>
              <w:pStyle w:val="Tablecontent"/>
              <w:jc w:val="center"/>
            </w:pPr>
            <w:r>
              <w:t>Yes</w:t>
            </w:r>
          </w:p>
        </w:tc>
      </w:tr>
    </w:tbl>
    <w:p w14:paraId="7C7BFA75" w14:textId="77777777" w:rsidR="004F20B6" w:rsidRDefault="004F20B6" w:rsidP="00525768">
      <w:pPr>
        <w:pStyle w:val="BeforeTable"/>
        <w:rPr>
          <w:lang w:eastAsia="en-SG"/>
        </w:rPr>
      </w:pPr>
    </w:p>
    <w:p w14:paraId="0E2A5421" w14:textId="00E564D5" w:rsidR="004F20B6" w:rsidRDefault="004F20B6" w:rsidP="00525768">
      <w:pPr>
        <w:rPr>
          <w:lang w:eastAsia="en-SG"/>
        </w:rPr>
      </w:pPr>
      <w:r>
        <w:rPr>
          <w:lang w:eastAsia="en-SG"/>
        </w:rPr>
        <w:lastRenderedPageBreak/>
        <w:t>If there is slowness but utilization is low, it’s worth checking if the utilization is coming from lower power state. This is important for application that requires high frequency (as opposed to just lots of light threads).</w:t>
      </w:r>
    </w:p>
    <w:p w14:paraId="1FBB17C7" w14:textId="3745DC89" w:rsidR="00C4711D" w:rsidRDefault="004F20B6" w:rsidP="00525768">
      <w:pPr>
        <w:rPr>
          <w:lang w:eastAsia="en-SG"/>
        </w:rPr>
      </w:pPr>
      <w:r>
        <w:rPr>
          <w:lang w:eastAsia="en-SG"/>
        </w:rPr>
        <w:t xml:space="preserve">Windows provides the time the CPU spent on C1, C2 and C3 state. The following is taken from my laptop. Notice a dip when the total of C1 + C2 + C3 &lt; 100%. That’s basically the time on C0. </w:t>
      </w:r>
    </w:p>
    <w:p w14:paraId="242C5B79" w14:textId="77777777" w:rsidR="00C4711D" w:rsidRDefault="00C4711D" w:rsidP="00525768">
      <w:pPr>
        <w:rPr>
          <w:lang w:val="en-GB"/>
        </w:rPr>
      </w:pPr>
      <w:r w:rsidRPr="00B76D65">
        <w:rPr>
          <w:noProof/>
          <w:lang w:val="en-GB"/>
        </w:rPr>
        <w:drawing>
          <wp:inline distT="0" distB="0" distL="0" distR="0" wp14:anchorId="54BDF91D" wp14:editId="170AA44E">
            <wp:extent cx="6645910" cy="4692650"/>
            <wp:effectExtent l="0" t="0" r="2540" b="0"/>
            <wp:docPr id="1606338703" name="Picture 1606338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6645910" cy="4692650"/>
                    </a:xfrm>
                    <a:prstGeom prst="rect">
                      <a:avLst/>
                    </a:prstGeom>
                  </pic:spPr>
                </pic:pic>
              </a:graphicData>
            </a:graphic>
          </wp:inline>
        </w:drawing>
      </w:r>
    </w:p>
    <w:p w14:paraId="4227699A" w14:textId="11E26526" w:rsidR="00C4711D" w:rsidRDefault="004F20B6" w:rsidP="00525768">
      <w:pPr>
        <w:rPr>
          <w:lang w:eastAsia="en-SG"/>
        </w:rPr>
      </w:pPr>
      <w:r>
        <w:rPr>
          <w:lang w:eastAsia="en-SG"/>
        </w:rPr>
        <w:t>The Idle loop is typically executed on C3. Try plotting the Idle Time (%) and C3 Time (%), and they will be similar.</w:t>
      </w:r>
    </w:p>
    <w:p w14:paraId="70FF5C86" w14:textId="12D20FF6" w:rsidR="00F01EB7" w:rsidRDefault="00F01EB7" w:rsidP="00525768">
      <w:pPr>
        <w:pStyle w:val="Heading6"/>
        <w:rPr>
          <w:lang w:eastAsia="en-SG"/>
        </w:rPr>
      </w:pPr>
      <w:r>
        <w:rPr>
          <w:lang w:eastAsia="en-SG"/>
        </w:rPr>
        <w:t>OS vs Process</w:t>
      </w:r>
    </w:p>
    <w:p w14:paraId="5E45DD9C" w14:textId="52A5B48F" w:rsidR="00F01EB7" w:rsidRPr="00F01EB7" w:rsidRDefault="00F01EB7" w:rsidP="00525768">
      <w:pPr>
        <w:rPr>
          <w:lang w:val="en-GB" w:eastAsia="en-SG"/>
        </w:rPr>
      </w:pPr>
      <w:r>
        <w:rPr>
          <w:lang w:val="en-GB" w:eastAsia="en-SG"/>
        </w:rPr>
        <w:t>CPU imbalance can happen in large VM.</w:t>
      </w:r>
    </w:p>
    <w:p w14:paraId="0F8D713A" w14:textId="77777777" w:rsidR="00F01EB7" w:rsidRDefault="00F01EB7" w:rsidP="00525768">
      <w:pPr>
        <w:rPr>
          <w:lang w:val="en-GB"/>
        </w:rPr>
      </w:pPr>
      <w:r>
        <w:rPr>
          <w:lang w:val="en-GB"/>
        </w:rPr>
        <w:t xml:space="preserve">Review the following chart carefully. It’s my physical desktop running Windows 10. The CPU has 1 socket 4 cores 8 threads, so Windows see 8 logical processors. You can see that Microsoft Word is not responding as its window is greyed out. The Task Manager confirms that by showing that none of the 3 documents are responding. Word is also consuming a very high power, as shown in the power usage column. </w:t>
      </w:r>
    </w:p>
    <w:p w14:paraId="403D6AF4" w14:textId="77777777" w:rsidR="00F01EB7" w:rsidRDefault="00F01EB7" w:rsidP="00525768">
      <w:pPr>
        <w:rPr>
          <w:lang w:val="en-GB"/>
        </w:rPr>
      </w:pPr>
      <w:r>
        <w:rPr>
          <w:lang w:val="en-GB"/>
        </w:rPr>
        <w:t>It became unresponsive because I turned on change tracking on a 500 page document and deleted hundreds of pages. It had to do a lot of processing and it did not like that. Unfortunately I wasn’t able to reproduce the issue after that.</w:t>
      </w:r>
    </w:p>
    <w:p w14:paraId="0F3CE4EA" w14:textId="77777777" w:rsidR="00F01EB7" w:rsidRDefault="00F01EB7" w:rsidP="00525768">
      <w:pPr>
        <w:rPr>
          <w:lang w:val="en-GB"/>
        </w:rPr>
      </w:pPr>
      <w:r>
        <w:rPr>
          <w:lang w:val="en-GB"/>
        </w:rPr>
        <w:lastRenderedPageBreak/>
        <w:t xml:space="preserve">At the operating system, Windows is responding well. I was able to close all other applications, and launched Task Manager and Snip programs. I suspect because Word does not consume all CPUs. So if we track at Windows level, we would </w:t>
      </w:r>
      <w:r w:rsidRPr="006E3E81">
        <w:rPr>
          <w:i/>
          <w:iCs/>
          <w:color w:val="FF0000"/>
          <w:lang w:val="en-GB"/>
        </w:rPr>
        <w:t>not</w:t>
      </w:r>
      <w:r w:rsidRPr="006E3E81">
        <w:rPr>
          <w:color w:val="FF0000"/>
          <w:lang w:val="en-GB"/>
        </w:rPr>
        <w:t xml:space="preserve"> </w:t>
      </w:r>
      <w:r>
        <w:rPr>
          <w:lang w:val="en-GB"/>
        </w:rPr>
        <w:t>be aware that there is a problem. This is why process-level monitoring is important if you want to monitor the application. Specific to hang state, we should monitor the state and not simply the CPU consumption.</w:t>
      </w:r>
    </w:p>
    <w:p w14:paraId="2E26A96B" w14:textId="77777777" w:rsidR="00F01EB7" w:rsidRDefault="00F01EB7" w:rsidP="00525768">
      <w:pPr>
        <w:rPr>
          <w:lang w:val="en-GB"/>
        </w:rPr>
      </w:pPr>
      <w:r>
        <w:rPr>
          <w:lang w:val="en-GB"/>
        </w:rPr>
        <w:t>From the Windows task bar, other than Microsoft Word and Task Manager, there is no other applications running. Can you guess why the CPU utilization at Windows level is higher than the sum of its processes? Why Windows show 57% while Word shows 18.9%?</w:t>
      </w:r>
    </w:p>
    <w:p w14:paraId="1C3E417E" w14:textId="77777777" w:rsidR="00F01EB7" w:rsidRPr="00A452F2" w:rsidRDefault="00F01EB7" w:rsidP="00525768">
      <w:pPr>
        <w:rPr>
          <w:lang w:val="en-GB"/>
        </w:rPr>
      </w:pPr>
      <w:r>
        <w:rPr>
          <w:noProof/>
        </w:rPr>
        <w:drawing>
          <wp:inline distT="0" distB="0" distL="0" distR="0" wp14:anchorId="1CAED154" wp14:editId="79A140A7">
            <wp:extent cx="6645910" cy="3946525"/>
            <wp:effectExtent l="0" t="0" r="2540" b="0"/>
            <wp:docPr id="910169593" name="Picture 91016959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93"/>
                    <pic:cNvPicPr/>
                  </pic:nvPicPr>
                  <pic:blipFill>
                    <a:blip r:embed="rId379" cstate="print">
                      <a:extLst>
                        <a:ext uri="{28A0092B-C50C-407E-A947-70E740481C1C}">
                          <a14:useLocalDpi xmlns:a14="http://schemas.microsoft.com/office/drawing/2010/main" val="0"/>
                        </a:ext>
                      </a:extLst>
                    </a:blip>
                    <a:stretch>
                      <a:fillRect/>
                    </a:stretch>
                  </pic:blipFill>
                  <pic:spPr>
                    <a:xfrm>
                      <a:off x="0" y="0"/>
                      <a:ext cx="6645910" cy="3946525"/>
                    </a:xfrm>
                    <a:prstGeom prst="rect">
                      <a:avLst/>
                    </a:prstGeom>
                  </pic:spPr>
                </pic:pic>
              </a:graphicData>
            </a:graphic>
          </wp:inline>
        </w:drawing>
      </w:r>
    </w:p>
    <w:p w14:paraId="1B634D87" w14:textId="77777777" w:rsidR="00F01EB7" w:rsidRDefault="00F01EB7" w:rsidP="00525768">
      <w:pPr>
        <w:rPr>
          <w:lang w:val="en-GB"/>
        </w:rPr>
      </w:pPr>
      <w:r>
        <w:rPr>
          <w:lang w:val="en-GB"/>
        </w:rPr>
        <w:t xml:space="preserve">My guess is Turbo Boost. The CPU counter at individual process level does not account for it, while the counter at OS level does. </w:t>
      </w:r>
    </w:p>
    <w:p w14:paraId="4BA1E3D9" w14:textId="77777777" w:rsidR="00F01EB7" w:rsidRDefault="00F01EB7" w:rsidP="00525768">
      <w:pPr>
        <w:rPr>
          <w:lang w:val="en-GB"/>
        </w:rPr>
      </w:pPr>
      <w:r>
        <w:rPr>
          <w:lang w:val="en-GB"/>
        </w:rPr>
        <w:t>I left it for 15 minutes and nothing change. So it wasn’t that it needed more time to process the changes. I suspect it encountered a CPU lock, so the CPU where Word is running is running at 100%. Since Windows overall only reports 57%, it’s important to track the peak among Windows CPU. This is why vRealize Operations provides the peak value among the VM vCPU.</w:t>
      </w:r>
    </w:p>
    <w:p w14:paraId="3B4C48D2" w14:textId="49AF1E69" w:rsidR="00FF0111" w:rsidRDefault="00FF0111" w:rsidP="00525768">
      <w:pPr>
        <w:pStyle w:val="Heading5"/>
      </w:pPr>
      <w:r w:rsidRPr="00A452F2">
        <w:t>Other Metrics</w:t>
      </w:r>
    </w:p>
    <w:p w14:paraId="5E2E7876" w14:textId="02FA849D" w:rsidR="00A6015B" w:rsidRPr="00A6015B" w:rsidRDefault="00A6015B" w:rsidP="00A6015B">
      <w:pPr>
        <w:rPr>
          <w:lang w:val="en-GB" w:eastAsia="en-SG"/>
        </w:rPr>
      </w:pPr>
      <w:r>
        <w:rPr>
          <w:lang w:val="en-GB" w:eastAsia="en-SG"/>
        </w:rPr>
        <w:t>A</w:t>
      </w:r>
      <w:r w:rsidR="00A206F0">
        <w:rPr>
          <w:lang w:val="en-GB" w:eastAsia="en-SG"/>
        </w:rPr>
        <w:t xml:space="preserve"> program’s</w:t>
      </w:r>
      <w:r>
        <w:rPr>
          <w:lang w:val="en-GB" w:eastAsia="en-SG"/>
        </w:rPr>
        <w:t xml:space="preserve"> process can switch between user mode and kernel mode</w:t>
      </w:r>
      <w:r w:rsidR="00A206F0">
        <w:rPr>
          <w:lang w:val="en-GB" w:eastAsia="en-SG"/>
        </w:rPr>
        <w:t xml:space="preserve"> (when executing system service call)</w:t>
      </w:r>
      <w:r>
        <w:rPr>
          <w:lang w:val="en-GB" w:eastAsia="en-SG"/>
        </w:rPr>
        <w:t>. This does not incur CPU context switch as it’s the same thread. As a result I’m not seeing the use case of knowing the split between kernel mode and user mode.</w:t>
      </w:r>
    </w:p>
    <w:p w14:paraId="01F4F43A" w14:textId="6FF958AE" w:rsidR="00FF0111" w:rsidRDefault="00FF0111" w:rsidP="00FF0111">
      <w:pPr>
        <w:rPr>
          <w:lang w:val="en-GB"/>
        </w:rPr>
      </w:pPr>
      <w:r w:rsidRPr="00A452F2">
        <w:rPr>
          <w:lang w:val="en-GB"/>
        </w:rPr>
        <w:t xml:space="preserve">Reference: </w:t>
      </w:r>
      <w:hyperlink r:id="rId380" w:history="1">
        <w:r w:rsidRPr="00A452F2">
          <w:rPr>
            <w:rStyle w:val="Hyperlink"/>
            <w:lang w:val="en-GB"/>
          </w:rPr>
          <w:t>Windows</w:t>
        </w:r>
      </w:hyperlink>
      <w:r w:rsidRPr="00A452F2">
        <w:rPr>
          <w:lang w:val="en-GB"/>
        </w:rPr>
        <w:t xml:space="preserve"> </w:t>
      </w:r>
    </w:p>
    <w:p w14:paraId="2D4A131D" w14:textId="77777777" w:rsidR="00FF0111" w:rsidRDefault="00FF0111" w:rsidP="00FF0111">
      <w:pPr>
        <w:rPr>
          <w:lang w:val="en-GB"/>
        </w:rPr>
      </w:pPr>
      <w:r>
        <w:rPr>
          <w:lang w:val="en-GB"/>
        </w:rPr>
        <w:lastRenderedPageBreak/>
        <w:t xml:space="preserve">Windows or Linux provides priority for foreground activities, as that’s what the user experience. For Windows, there are 6 levels as shown below. Ensure all your agents are given lower priority and limited CPU resource. </w:t>
      </w:r>
    </w:p>
    <w:p w14:paraId="0DCC024D" w14:textId="77777777" w:rsidR="00FF0111" w:rsidRDefault="00FF0111" w:rsidP="00FF0111">
      <w:pPr>
        <w:jc w:val="center"/>
        <w:rPr>
          <w:lang w:val="en-GB"/>
        </w:rPr>
      </w:pPr>
      <w:r w:rsidRPr="00C24ADC">
        <w:rPr>
          <w:noProof/>
          <w:lang w:val="en-GB"/>
        </w:rPr>
        <w:drawing>
          <wp:inline distT="0" distB="0" distL="0" distR="0" wp14:anchorId="3592C002" wp14:editId="59DCE584">
            <wp:extent cx="4426177" cy="2857647"/>
            <wp:effectExtent l="0" t="0" r="0" b="0"/>
            <wp:docPr id="910169594" name="Picture 910169594" descr="Graphical user interface, application, table,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94" name="Picture 910169594" descr="Graphical user interface, application, table, Word&#10;&#10;Description automatically generated"/>
                    <pic:cNvPicPr/>
                  </pic:nvPicPr>
                  <pic:blipFill>
                    <a:blip r:embed="rId381"/>
                    <a:stretch>
                      <a:fillRect/>
                    </a:stretch>
                  </pic:blipFill>
                  <pic:spPr>
                    <a:xfrm>
                      <a:off x="0" y="0"/>
                      <a:ext cx="4426177" cy="2857647"/>
                    </a:xfrm>
                    <a:prstGeom prst="rect">
                      <a:avLst/>
                    </a:prstGeom>
                  </pic:spPr>
                </pic:pic>
              </a:graphicData>
            </a:graphic>
          </wp:inline>
        </w:drawing>
      </w:r>
    </w:p>
    <w:p w14:paraId="6419CE14" w14:textId="77777777" w:rsidR="00751E06" w:rsidRPr="00A452F2" w:rsidRDefault="00751E06" w:rsidP="00525768">
      <w:pPr>
        <w:pStyle w:val="Heading4"/>
      </w:pPr>
      <w:bookmarkStart w:id="76" w:name="_VM"/>
      <w:bookmarkEnd w:id="76"/>
      <w:r>
        <w:t>Memory</w:t>
      </w:r>
    </w:p>
    <w:p w14:paraId="4D03D3F8" w14:textId="77777777" w:rsidR="00751E06" w:rsidRDefault="00751E06" w:rsidP="00525768">
      <w:pPr>
        <w:rPr>
          <w:lang w:val="en-GB"/>
        </w:rPr>
      </w:pPr>
      <w:r w:rsidRPr="00A452F2">
        <w:rPr>
          <w:lang w:val="en-GB"/>
        </w:rPr>
        <w:t xml:space="preserve">Windows memory management is not something that is well </w:t>
      </w:r>
      <w:r>
        <w:rPr>
          <w:lang w:val="en-GB"/>
        </w:rPr>
        <w:t>documente</w:t>
      </w:r>
      <w:r w:rsidRPr="00A452F2">
        <w:rPr>
          <w:lang w:val="en-GB"/>
        </w:rPr>
        <w:t xml:space="preserve">d. </w:t>
      </w:r>
      <w:hyperlink r:id="rId382" w:history="1">
        <w:r w:rsidRPr="005F6BD5">
          <w:rPr>
            <w:rStyle w:val="Hyperlink"/>
            <w:lang w:val="en-GB"/>
          </w:rPr>
          <w:t>Ed Bott</w:t>
        </w:r>
      </w:hyperlink>
      <w:r w:rsidRPr="00A452F2">
        <w:rPr>
          <w:lang w:val="en-GB"/>
        </w:rPr>
        <w:t xml:space="preserve"> sums it </w:t>
      </w:r>
      <w:hyperlink r:id="rId383" w:history="1">
        <w:r w:rsidRPr="007634EF">
          <w:rPr>
            <w:rStyle w:val="Hyperlink"/>
            <w:lang w:val="en-GB"/>
          </w:rPr>
          <w:t>this</w:t>
        </w:r>
      </w:hyperlink>
      <w:r w:rsidRPr="00A452F2">
        <w:rPr>
          <w:lang w:val="en-GB"/>
        </w:rPr>
        <w:t xml:space="preserve"> article by saying “</w:t>
      </w:r>
      <w:r w:rsidRPr="00710FF8">
        <w:rPr>
          <w:color w:val="00B0F0"/>
          <w:lang w:val="en-GB"/>
        </w:rPr>
        <w:t>Windows memory management is rocket science</w:t>
      </w:r>
      <w:r w:rsidRPr="00A452F2">
        <w:rPr>
          <w:lang w:val="en-GB"/>
        </w:rPr>
        <w:t xml:space="preserve">”. Like what Ed has experienced, there is conflicting information, including the ones from Microsoft. </w:t>
      </w:r>
      <w:hyperlink r:id="rId384" w:history="1">
        <w:r w:rsidRPr="00327FBA">
          <w:rPr>
            <w:rStyle w:val="Hyperlink"/>
            <w:lang w:val="en-GB"/>
          </w:rPr>
          <w:t>Mark Russinovich</w:t>
        </w:r>
      </w:hyperlink>
      <w:r>
        <w:rPr>
          <w:lang w:val="en-GB"/>
        </w:rPr>
        <w:t xml:space="preserve">, </w:t>
      </w:r>
      <w:r w:rsidRPr="00221C1A">
        <w:rPr>
          <w:lang w:val="en-GB"/>
        </w:rPr>
        <w:t>cofounder of Winternals</w:t>
      </w:r>
      <w:r>
        <w:rPr>
          <w:lang w:val="en-GB"/>
        </w:rPr>
        <w:t xml:space="preserve"> software,</w:t>
      </w:r>
      <w:r w:rsidRPr="00A452F2">
        <w:rPr>
          <w:lang w:val="en-GB"/>
        </w:rPr>
        <w:t xml:space="preserve"> explains the situation in </w:t>
      </w:r>
      <w:hyperlink r:id="rId385" w:history="1">
        <w:r w:rsidRPr="003F173D">
          <w:rPr>
            <w:rStyle w:val="Hyperlink"/>
            <w:lang w:val="en-GB"/>
          </w:rPr>
          <w:t>this</w:t>
        </w:r>
      </w:hyperlink>
      <w:r w:rsidRPr="00A452F2">
        <w:rPr>
          <w:lang w:val="en-GB"/>
        </w:rPr>
        <w:t xml:space="preserve"> TechNet post</w:t>
      </w:r>
      <w:r>
        <w:rPr>
          <w:lang w:val="en-GB"/>
        </w:rPr>
        <w:t>.</w:t>
      </w:r>
    </w:p>
    <w:p w14:paraId="26E7B0DB" w14:textId="77777777" w:rsidR="00751E06" w:rsidRDefault="00751E06" w:rsidP="00525768">
      <w:pPr>
        <w:rPr>
          <w:lang w:val="en-GB"/>
        </w:rPr>
      </w:pPr>
      <w:r>
        <w:rPr>
          <w:lang w:val="en-GB"/>
        </w:rPr>
        <w:t>Windows Performance Monitor provides many metrics, some are shown below.</w:t>
      </w:r>
    </w:p>
    <w:p w14:paraId="21787A48" w14:textId="77777777" w:rsidR="00751E06" w:rsidRDefault="00751E06" w:rsidP="00525768">
      <w:pPr>
        <w:rPr>
          <w:lang w:val="en-GB"/>
        </w:rPr>
      </w:pPr>
      <w:r>
        <w:rPr>
          <w:noProof/>
        </w:rPr>
        <w:lastRenderedPageBreak/>
        <w:drawing>
          <wp:inline distT="0" distB="0" distL="0" distR="0" wp14:anchorId="46DE474D" wp14:editId="58622CA3">
            <wp:extent cx="6645910" cy="4247515"/>
            <wp:effectExtent l="0" t="0" r="2540" b="635"/>
            <wp:docPr id="750070364" name="Picture 75007036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64" name="Picture 750070364" descr="Graphical user interface, application&#10;&#10;Description automatically generated"/>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6645910" cy="4247515"/>
                    </a:xfrm>
                    <a:prstGeom prst="rect">
                      <a:avLst/>
                    </a:prstGeom>
                    <a:noFill/>
                    <a:ln>
                      <a:noFill/>
                    </a:ln>
                  </pic:spPr>
                </pic:pic>
              </a:graphicData>
            </a:graphic>
          </wp:inline>
        </w:drawing>
      </w:r>
    </w:p>
    <w:p w14:paraId="25F7E2E4" w14:textId="77777777" w:rsidR="00751E06" w:rsidRPr="00A452F2" w:rsidRDefault="00751E06" w:rsidP="00525768">
      <w:pPr>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969"/>
        <w:gridCol w:w="6487"/>
      </w:tblGrid>
      <w:tr w:rsidR="00751E06" w14:paraId="385D5DE0" w14:textId="77777777" w:rsidTr="00281329">
        <w:tc>
          <w:tcPr>
            <w:tcW w:w="3969" w:type="dxa"/>
            <w:shd w:val="clear" w:color="auto" w:fill="F2F2F2" w:themeFill="background1" w:themeFillShade="F2"/>
          </w:tcPr>
          <w:p w14:paraId="31C80A4A" w14:textId="77777777" w:rsidR="00751E06" w:rsidRDefault="00751E06" w:rsidP="00525768">
            <w:pPr>
              <w:pStyle w:val="Tablecontent"/>
              <w:rPr>
                <w:lang w:val="en-GB"/>
              </w:rPr>
            </w:pPr>
            <w:r w:rsidRPr="00F1528F">
              <w:t>Page Faults/sec</w:t>
            </w:r>
          </w:p>
        </w:tc>
        <w:tc>
          <w:tcPr>
            <w:tcW w:w="6487" w:type="dxa"/>
          </w:tcPr>
          <w:p w14:paraId="623F7AF8" w14:textId="77777777" w:rsidR="00751E06" w:rsidRDefault="00751E06" w:rsidP="00525768">
            <w:pPr>
              <w:pStyle w:val="Tablecontent"/>
              <w:rPr>
                <w:lang w:val="en-GB"/>
              </w:rPr>
            </w:pPr>
          </w:p>
        </w:tc>
      </w:tr>
      <w:tr w:rsidR="00751E06" w14:paraId="40B8D6D6" w14:textId="77777777" w:rsidTr="00281329">
        <w:tc>
          <w:tcPr>
            <w:tcW w:w="3969" w:type="dxa"/>
            <w:shd w:val="clear" w:color="auto" w:fill="F2F2F2" w:themeFill="background1" w:themeFillShade="F2"/>
          </w:tcPr>
          <w:p w14:paraId="70E735C9" w14:textId="77777777" w:rsidR="00751E06" w:rsidRDefault="00751E06" w:rsidP="00525768">
            <w:pPr>
              <w:pStyle w:val="Tablecontent"/>
              <w:rPr>
                <w:lang w:val="en-GB"/>
              </w:rPr>
            </w:pPr>
            <w:r w:rsidRPr="00FA2B4F">
              <w:t>Transition Faults/sec</w:t>
            </w:r>
          </w:p>
        </w:tc>
        <w:tc>
          <w:tcPr>
            <w:tcW w:w="6487" w:type="dxa"/>
          </w:tcPr>
          <w:p w14:paraId="710750EF" w14:textId="77777777" w:rsidR="00751E06" w:rsidRDefault="00751E06" w:rsidP="00525768">
            <w:pPr>
              <w:pStyle w:val="Tablecontent"/>
              <w:rPr>
                <w:lang w:val="en-GB"/>
              </w:rPr>
            </w:pPr>
          </w:p>
        </w:tc>
      </w:tr>
      <w:tr w:rsidR="00751E06" w14:paraId="0417E70E" w14:textId="77777777" w:rsidTr="00281329">
        <w:tc>
          <w:tcPr>
            <w:tcW w:w="3969" w:type="dxa"/>
            <w:shd w:val="clear" w:color="auto" w:fill="F2F2F2" w:themeFill="background1" w:themeFillShade="F2"/>
          </w:tcPr>
          <w:p w14:paraId="0E16ACE2" w14:textId="77777777" w:rsidR="00751E06" w:rsidRDefault="00751E06" w:rsidP="00525768">
            <w:pPr>
              <w:pStyle w:val="Tablecontent"/>
              <w:rPr>
                <w:lang w:val="en-GB"/>
              </w:rPr>
            </w:pPr>
            <w:r w:rsidRPr="00E263EA">
              <w:t>Demand Zero Faults/sec</w:t>
            </w:r>
          </w:p>
        </w:tc>
        <w:tc>
          <w:tcPr>
            <w:tcW w:w="6487" w:type="dxa"/>
          </w:tcPr>
          <w:p w14:paraId="16F3051D" w14:textId="77777777" w:rsidR="00751E06" w:rsidRDefault="00751E06" w:rsidP="00525768">
            <w:pPr>
              <w:pStyle w:val="Tablecontent"/>
              <w:rPr>
                <w:lang w:val="en-GB"/>
              </w:rPr>
            </w:pPr>
          </w:p>
        </w:tc>
      </w:tr>
      <w:tr w:rsidR="00751E06" w14:paraId="16B9DFD5" w14:textId="77777777" w:rsidTr="00281329">
        <w:tc>
          <w:tcPr>
            <w:tcW w:w="3969" w:type="dxa"/>
            <w:shd w:val="clear" w:color="auto" w:fill="F2F2F2" w:themeFill="background1" w:themeFillShade="F2"/>
          </w:tcPr>
          <w:p w14:paraId="2407BC6F" w14:textId="77777777" w:rsidR="00751E06" w:rsidRPr="00E263EA" w:rsidRDefault="00751E06" w:rsidP="00525768">
            <w:pPr>
              <w:pStyle w:val="Tablecontent"/>
            </w:pPr>
            <w:r w:rsidRPr="00F1528F">
              <w:t>Pages/sec</w:t>
            </w:r>
          </w:p>
        </w:tc>
        <w:tc>
          <w:tcPr>
            <w:tcW w:w="6487" w:type="dxa"/>
            <w:vMerge w:val="restart"/>
          </w:tcPr>
          <w:p w14:paraId="57D4B894" w14:textId="77777777" w:rsidR="00751E06" w:rsidRDefault="00751E06" w:rsidP="00525768">
            <w:pPr>
              <w:pStyle w:val="Tablecontent"/>
              <w:rPr>
                <w:lang w:val="en-GB"/>
              </w:rPr>
            </w:pPr>
          </w:p>
        </w:tc>
      </w:tr>
      <w:tr w:rsidR="00751E06" w14:paraId="1925A23D" w14:textId="77777777" w:rsidTr="00281329">
        <w:tc>
          <w:tcPr>
            <w:tcW w:w="3969" w:type="dxa"/>
            <w:shd w:val="clear" w:color="auto" w:fill="F2F2F2" w:themeFill="background1" w:themeFillShade="F2"/>
          </w:tcPr>
          <w:p w14:paraId="73CCAE97" w14:textId="77777777" w:rsidR="00751E06" w:rsidRPr="00E263EA" w:rsidRDefault="00751E06" w:rsidP="00525768">
            <w:pPr>
              <w:pStyle w:val="Tablecontent"/>
            </w:pPr>
            <w:r w:rsidRPr="00F1528F">
              <w:t>Page Reads/sec</w:t>
            </w:r>
          </w:p>
        </w:tc>
        <w:tc>
          <w:tcPr>
            <w:tcW w:w="6487" w:type="dxa"/>
            <w:vMerge/>
          </w:tcPr>
          <w:p w14:paraId="0E52CA40" w14:textId="77777777" w:rsidR="00751E06" w:rsidRDefault="00751E06" w:rsidP="00525768">
            <w:pPr>
              <w:pStyle w:val="Tablecontent"/>
              <w:rPr>
                <w:lang w:val="en-GB"/>
              </w:rPr>
            </w:pPr>
          </w:p>
        </w:tc>
      </w:tr>
      <w:tr w:rsidR="00751E06" w14:paraId="0A6D0ED9" w14:textId="77777777" w:rsidTr="00281329">
        <w:tc>
          <w:tcPr>
            <w:tcW w:w="3969" w:type="dxa"/>
            <w:shd w:val="clear" w:color="auto" w:fill="F2F2F2" w:themeFill="background1" w:themeFillShade="F2"/>
          </w:tcPr>
          <w:p w14:paraId="53CDBF59" w14:textId="77777777" w:rsidR="00751E06" w:rsidRPr="00E263EA" w:rsidRDefault="00751E06" w:rsidP="00525768">
            <w:pPr>
              <w:pStyle w:val="Tablecontent"/>
            </w:pPr>
            <w:r w:rsidRPr="00F1528F">
              <w:t>Page Writes/sec</w:t>
            </w:r>
          </w:p>
        </w:tc>
        <w:tc>
          <w:tcPr>
            <w:tcW w:w="6487" w:type="dxa"/>
            <w:vMerge/>
          </w:tcPr>
          <w:p w14:paraId="17329439" w14:textId="77777777" w:rsidR="00751E06" w:rsidRDefault="00751E06" w:rsidP="00525768">
            <w:pPr>
              <w:pStyle w:val="Tablecontent"/>
              <w:rPr>
                <w:lang w:val="en-GB"/>
              </w:rPr>
            </w:pPr>
          </w:p>
        </w:tc>
      </w:tr>
      <w:tr w:rsidR="00751E06" w14:paraId="6220F0C9" w14:textId="77777777" w:rsidTr="00281329">
        <w:tc>
          <w:tcPr>
            <w:tcW w:w="3969" w:type="dxa"/>
            <w:shd w:val="clear" w:color="auto" w:fill="F2F2F2" w:themeFill="background1" w:themeFillShade="F2"/>
          </w:tcPr>
          <w:p w14:paraId="14DF60E5" w14:textId="77777777" w:rsidR="00751E06" w:rsidRPr="00E263EA" w:rsidRDefault="00751E06" w:rsidP="00525768">
            <w:pPr>
              <w:pStyle w:val="Tablecontent"/>
            </w:pPr>
            <w:r w:rsidRPr="00F1528F">
              <w:t>Pages Input/sec</w:t>
            </w:r>
          </w:p>
        </w:tc>
        <w:tc>
          <w:tcPr>
            <w:tcW w:w="6487" w:type="dxa"/>
            <w:vMerge/>
          </w:tcPr>
          <w:p w14:paraId="5894DE4C" w14:textId="77777777" w:rsidR="00751E06" w:rsidRDefault="00751E06" w:rsidP="00525768">
            <w:pPr>
              <w:pStyle w:val="Tablecontent"/>
              <w:rPr>
                <w:lang w:val="en-GB"/>
              </w:rPr>
            </w:pPr>
          </w:p>
        </w:tc>
      </w:tr>
      <w:tr w:rsidR="00751E06" w14:paraId="195C48F1" w14:textId="77777777" w:rsidTr="00281329">
        <w:tc>
          <w:tcPr>
            <w:tcW w:w="3969" w:type="dxa"/>
            <w:shd w:val="clear" w:color="auto" w:fill="F2F2F2" w:themeFill="background1" w:themeFillShade="F2"/>
          </w:tcPr>
          <w:p w14:paraId="24C22D6E" w14:textId="77777777" w:rsidR="00751E06" w:rsidRPr="00E263EA" w:rsidRDefault="00751E06" w:rsidP="00525768">
            <w:pPr>
              <w:pStyle w:val="Tablecontent"/>
            </w:pPr>
            <w:r w:rsidRPr="00F1528F">
              <w:t>Pages Output/sec</w:t>
            </w:r>
          </w:p>
        </w:tc>
        <w:tc>
          <w:tcPr>
            <w:tcW w:w="6487" w:type="dxa"/>
            <w:vMerge/>
          </w:tcPr>
          <w:p w14:paraId="4855A9B4" w14:textId="77777777" w:rsidR="00751E06" w:rsidRDefault="00751E06" w:rsidP="00525768">
            <w:pPr>
              <w:pStyle w:val="Tablecontent"/>
              <w:rPr>
                <w:lang w:val="en-GB"/>
              </w:rPr>
            </w:pPr>
          </w:p>
        </w:tc>
      </w:tr>
      <w:tr w:rsidR="00751E06" w14:paraId="62398F3A" w14:textId="77777777" w:rsidTr="00281329">
        <w:tc>
          <w:tcPr>
            <w:tcW w:w="3969" w:type="dxa"/>
            <w:shd w:val="clear" w:color="auto" w:fill="F2F2F2" w:themeFill="background1" w:themeFillShade="F2"/>
          </w:tcPr>
          <w:p w14:paraId="04670445" w14:textId="77777777" w:rsidR="00751E06" w:rsidRDefault="00751E06" w:rsidP="00525768">
            <w:pPr>
              <w:pStyle w:val="Tablecontent"/>
              <w:rPr>
                <w:lang w:val="en-GB"/>
              </w:rPr>
            </w:pPr>
            <w:r w:rsidRPr="00E263EA">
              <w:t xml:space="preserve">Available </w:t>
            </w:r>
            <w:r>
              <w:t>(</w:t>
            </w:r>
            <w:r w:rsidRPr="00E263EA">
              <w:t>Mbytes</w:t>
            </w:r>
            <w:r>
              <w:t>)</w:t>
            </w:r>
          </w:p>
        </w:tc>
        <w:tc>
          <w:tcPr>
            <w:tcW w:w="6487" w:type="dxa"/>
          </w:tcPr>
          <w:p w14:paraId="7F1B7FD0" w14:textId="77777777" w:rsidR="00751E06" w:rsidRDefault="00751E06" w:rsidP="00525768">
            <w:pPr>
              <w:pStyle w:val="Tablecontent"/>
              <w:rPr>
                <w:lang w:val="en-GB"/>
              </w:rPr>
            </w:pPr>
            <w:r w:rsidRPr="00A452F2">
              <w:rPr>
                <w:lang w:val="en-GB"/>
              </w:rPr>
              <w:t xml:space="preserve">Available means exactly what the word means. It is the amount of physical memory immediately available for use. Immediately means Windows does not need to copy the existing page before it can be reused. </w:t>
            </w:r>
          </w:p>
          <w:p w14:paraId="5D0349F8" w14:textId="77777777" w:rsidR="00751E06" w:rsidRDefault="00751E06" w:rsidP="00525768">
            <w:pPr>
              <w:pStyle w:val="Tablecontent"/>
              <w:rPr>
                <w:lang w:val="en-GB"/>
              </w:rPr>
            </w:pPr>
            <w:r>
              <w:t xml:space="preserve">They are also available in </w:t>
            </w:r>
            <w:r w:rsidRPr="00E263EA">
              <w:t xml:space="preserve">Bytes </w:t>
            </w:r>
            <w:r>
              <w:t xml:space="preserve">and </w:t>
            </w:r>
            <w:r w:rsidRPr="00E263EA">
              <w:t>Kbytes</w:t>
            </w:r>
            <w:r>
              <w:t>.</w:t>
            </w:r>
          </w:p>
        </w:tc>
      </w:tr>
      <w:tr w:rsidR="00751E06" w14:paraId="5A4EF14D" w14:textId="77777777" w:rsidTr="00281329">
        <w:tc>
          <w:tcPr>
            <w:tcW w:w="3969" w:type="dxa"/>
            <w:shd w:val="clear" w:color="auto" w:fill="F2F2F2" w:themeFill="background1" w:themeFillShade="F2"/>
          </w:tcPr>
          <w:p w14:paraId="55387FA2" w14:textId="77777777" w:rsidR="00751E06" w:rsidRDefault="00751E06" w:rsidP="00525768">
            <w:pPr>
              <w:pStyle w:val="Tablecontent"/>
              <w:rPr>
                <w:lang w:val="en-GB"/>
              </w:rPr>
            </w:pPr>
            <w:r w:rsidRPr="00E263EA">
              <w:t xml:space="preserve">Cache </w:t>
            </w:r>
            <w:r>
              <w:t>(</w:t>
            </w:r>
            <w:r w:rsidRPr="00DC2754">
              <w:t>Bytes</w:t>
            </w:r>
            <w:r>
              <w:t>)</w:t>
            </w:r>
          </w:p>
        </w:tc>
        <w:tc>
          <w:tcPr>
            <w:tcW w:w="6487" w:type="dxa"/>
            <w:vMerge w:val="restart"/>
          </w:tcPr>
          <w:p w14:paraId="73854257" w14:textId="77777777" w:rsidR="00751E06" w:rsidRDefault="00751E06" w:rsidP="00525768">
            <w:pPr>
              <w:pStyle w:val="Tablecontent"/>
              <w:rPr>
                <w:lang w:val="en-GB"/>
              </w:rPr>
            </w:pPr>
          </w:p>
        </w:tc>
      </w:tr>
      <w:tr w:rsidR="00751E06" w14:paraId="7DADA48E" w14:textId="77777777" w:rsidTr="00281329">
        <w:tc>
          <w:tcPr>
            <w:tcW w:w="3969" w:type="dxa"/>
            <w:shd w:val="clear" w:color="auto" w:fill="F2F2F2" w:themeFill="background1" w:themeFillShade="F2"/>
          </w:tcPr>
          <w:p w14:paraId="218BEDD1" w14:textId="77777777" w:rsidR="00751E06" w:rsidRDefault="00751E06" w:rsidP="00525768">
            <w:pPr>
              <w:pStyle w:val="Tablecontent"/>
              <w:rPr>
                <w:lang w:val="en-GB"/>
              </w:rPr>
            </w:pPr>
            <w:r w:rsidRPr="00E263EA">
              <w:t>Cache Bytes Peak</w:t>
            </w:r>
          </w:p>
        </w:tc>
        <w:tc>
          <w:tcPr>
            <w:tcW w:w="6487" w:type="dxa"/>
            <w:vMerge/>
          </w:tcPr>
          <w:p w14:paraId="102F3269" w14:textId="77777777" w:rsidR="00751E06" w:rsidRDefault="00751E06" w:rsidP="00525768">
            <w:pPr>
              <w:pStyle w:val="Tablecontent"/>
              <w:rPr>
                <w:lang w:val="en-GB"/>
              </w:rPr>
            </w:pPr>
          </w:p>
        </w:tc>
      </w:tr>
      <w:tr w:rsidR="00751E06" w14:paraId="5E28314F" w14:textId="77777777" w:rsidTr="00281329">
        <w:tc>
          <w:tcPr>
            <w:tcW w:w="3969" w:type="dxa"/>
            <w:shd w:val="clear" w:color="auto" w:fill="F2F2F2" w:themeFill="background1" w:themeFillShade="F2"/>
          </w:tcPr>
          <w:p w14:paraId="098EE78E" w14:textId="77777777" w:rsidR="00751E06" w:rsidRDefault="00751E06" w:rsidP="00525768">
            <w:pPr>
              <w:pStyle w:val="Tablecontent"/>
              <w:rPr>
                <w:lang w:val="en-GB"/>
              </w:rPr>
            </w:pPr>
            <w:r w:rsidRPr="00E263EA">
              <w:t>Cache Faults/sec</w:t>
            </w:r>
          </w:p>
        </w:tc>
        <w:tc>
          <w:tcPr>
            <w:tcW w:w="6487" w:type="dxa"/>
            <w:vMerge/>
          </w:tcPr>
          <w:p w14:paraId="4A55F1C0" w14:textId="77777777" w:rsidR="00751E06" w:rsidRDefault="00751E06" w:rsidP="00525768">
            <w:pPr>
              <w:pStyle w:val="Tablecontent"/>
              <w:rPr>
                <w:lang w:val="en-GB"/>
              </w:rPr>
            </w:pPr>
          </w:p>
        </w:tc>
      </w:tr>
      <w:tr w:rsidR="00751E06" w14:paraId="3408CF53" w14:textId="77777777" w:rsidTr="00281329">
        <w:tc>
          <w:tcPr>
            <w:tcW w:w="3969" w:type="dxa"/>
            <w:shd w:val="clear" w:color="auto" w:fill="F2F2F2" w:themeFill="background1" w:themeFillShade="F2"/>
          </w:tcPr>
          <w:p w14:paraId="46F88661" w14:textId="77777777" w:rsidR="00751E06" w:rsidRPr="00E263EA" w:rsidRDefault="00751E06" w:rsidP="00525768">
            <w:pPr>
              <w:pStyle w:val="Tablecontent"/>
            </w:pPr>
            <w:r w:rsidRPr="00DC2754">
              <w:t xml:space="preserve">Standby Cache Core </w:t>
            </w:r>
            <w:r>
              <w:t>(</w:t>
            </w:r>
            <w:r w:rsidRPr="00DC2754">
              <w:t>Bytes</w:t>
            </w:r>
            <w:r>
              <w:t>)</w:t>
            </w:r>
          </w:p>
        </w:tc>
        <w:tc>
          <w:tcPr>
            <w:tcW w:w="6487" w:type="dxa"/>
            <w:vMerge w:val="restart"/>
          </w:tcPr>
          <w:p w14:paraId="4748198B" w14:textId="77777777" w:rsidR="00751E06" w:rsidRDefault="00751E06" w:rsidP="00525768">
            <w:pPr>
              <w:pStyle w:val="Tablecontent"/>
              <w:rPr>
                <w:lang w:val="en-GB"/>
              </w:rPr>
            </w:pPr>
          </w:p>
        </w:tc>
      </w:tr>
      <w:tr w:rsidR="00751E06" w14:paraId="4A885CB9" w14:textId="77777777" w:rsidTr="00281329">
        <w:tc>
          <w:tcPr>
            <w:tcW w:w="3969" w:type="dxa"/>
            <w:shd w:val="clear" w:color="auto" w:fill="F2F2F2" w:themeFill="background1" w:themeFillShade="F2"/>
          </w:tcPr>
          <w:p w14:paraId="51067739" w14:textId="77777777" w:rsidR="00751E06" w:rsidRPr="00E263EA" w:rsidRDefault="00751E06" w:rsidP="00525768">
            <w:pPr>
              <w:pStyle w:val="Tablecontent"/>
            </w:pPr>
            <w:r w:rsidRPr="00674604">
              <w:t xml:space="preserve">Standby Cache Normal Priority </w:t>
            </w:r>
            <w:r>
              <w:t>(</w:t>
            </w:r>
            <w:r w:rsidRPr="00DC2754">
              <w:t>Bytes</w:t>
            </w:r>
            <w:r>
              <w:t>)</w:t>
            </w:r>
          </w:p>
        </w:tc>
        <w:tc>
          <w:tcPr>
            <w:tcW w:w="6487" w:type="dxa"/>
            <w:vMerge/>
          </w:tcPr>
          <w:p w14:paraId="001897E8" w14:textId="77777777" w:rsidR="00751E06" w:rsidRDefault="00751E06" w:rsidP="00525768">
            <w:pPr>
              <w:pStyle w:val="Tablecontent"/>
              <w:rPr>
                <w:lang w:val="en-GB"/>
              </w:rPr>
            </w:pPr>
          </w:p>
        </w:tc>
      </w:tr>
      <w:tr w:rsidR="00751E06" w14:paraId="52153CD2" w14:textId="77777777" w:rsidTr="00281329">
        <w:tc>
          <w:tcPr>
            <w:tcW w:w="3969" w:type="dxa"/>
            <w:shd w:val="clear" w:color="auto" w:fill="F2F2F2" w:themeFill="background1" w:themeFillShade="F2"/>
          </w:tcPr>
          <w:p w14:paraId="6C59FCF2" w14:textId="77777777" w:rsidR="00751E06" w:rsidRPr="00E263EA" w:rsidRDefault="00751E06" w:rsidP="00525768">
            <w:pPr>
              <w:pStyle w:val="Tablecontent"/>
            </w:pPr>
            <w:r w:rsidRPr="00674604">
              <w:lastRenderedPageBreak/>
              <w:t xml:space="preserve">Standby Cache Reserve </w:t>
            </w:r>
            <w:r>
              <w:t>(</w:t>
            </w:r>
            <w:r w:rsidRPr="00674604">
              <w:t>Bytes</w:t>
            </w:r>
            <w:r>
              <w:t>)</w:t>
            </w:r>
          </w:p>
        </w:tc>
        <w:tc>
          <w:tcPr>
            <w:tcW w:w="6487" w:type="dxa"/>
            <w:vMerge/>
          </w:tcPr>
          <w:p w14:paraId="5349D24A" w14:textId="77777777" w:rsidR="00751E06" w:rsidRDefault="00751E06" w:rsidP="00525768">
            <w:pPr>
              <w:pStyle w:val="Tablecontent"/>
              <w:rPr>
                <w:lang w:val="en-GB"/>
              </w:rPr>
            </w:pPr>
          </w:p>
        </w:tc>
      </w:tr>
      <w:tr w:rsidR="00751E06" w14:paraId="754BAEE3" w14:textId="77777777" w:rsidTr="00281329">
        <w:tc>
          <w:tcPr>
            <w:tcW w:w="3969" w:type="dxa"/>
            <w:shd w:val="clear" w:color="auto" w:fill="F2F2F2" w:themeFill="background1" w:themeFillShade="F2"/>
          </w:tcPr>
          <w:p w14:paraId="13CB1943" w14:textId="77777777" w:rsidR="00751E06" w:rsidRPr="00E263EA" w:rsidRDefault="00751E06" w:rsidP="00525768">
            <w:pPr>
              <w:pStyle w:val="Tablecontent"/>
            </w:pPr>
            <w:r w:rsidRPr="00674604">
              <w:t xml:space="preserve">System Cache Resident </w:t>
            </w:r>
            <w:r>
              <w:t>(</w:t>
            </w:r>
            <w:r w:rsidRPr="00674604">
              <w:t>Bytes</w:t>
            </w:r>
            <w:r>
              <w:t>)</w:t>
            </w:r>
          </w:p>
        </w:tc>
        <w:tc>
          <w:tcPr>
            <w:tcW w:w="6487" w:type="dxa"/>
            <w:vMerge/>
          </w:tcPr>
          <w:p w14:paraId="7194D210" w14:textId="77777777" w:rsidR="00751E06" w:rsidRDefault="00751E06" w:rsidP="00525768">
            <w:pPr>
              <w:pStyle w:val="Tablecontent"/>
              <w:rPr>
                <w:lang w:val="en-GB"/>
              </w:rPr>
            </w:pPr>
          </w:p>
        </w:tc>
      </w:tr>
      <w:tr w:rsidR="00751E06" w14:paraId="5400F895" w14:textId="77777777" w:rsidTr="00281329">
        <w:tc>
          <w:tcPr>
            <w:tcW w:w="3969" w:type="dxa"/>
            <w:shd w:val="clear" w:color="auto" w:fill="F2F2F2" w:themeFill="background1" w:themeFillShade="F2"/>
          </w:tcPr>
          <w:p w14:paraId="73813D10" w14:textId="77777777" w:rsidR="00751E06" w:rsidRDefault="00751E06" w:rsidP="00525768">
            <w:pPr>
              <w:pStyle w:val="Tablecontent"/>
              <w:rPr>
                <w:lang w:val="en-GB"/>
              </w:rPr>
            </w:pPr>
            <w:r w:rsidRPr="00F1528F">
              <w:t>Modified Page List Bytes</w:t>
            </w:r>
          </w:p>
        </w:tc>
        <w:tc>
          <w:tcPr>
            <w:tcW w:w="6487" w:type="dxa"/>
          </w:tcPr>
          <w:p w14:paraId="40107FBB" w14:textId="77777777" w:rsidR="00751E06" w:rsidRDefault="00751E06" w:rsidP="00525768">
            <w:pPr>
              <w:pStyle w:val="Tablecontent"/>
              <w:rPr>
                <w:lang w:val="en-GB"/>
              </w:rPr>
            </w:pPr>
          </w:p>
        </w:tc>
      </w:tr>
      <w:tr w:rsidR="00751E06" w14:paraId="15045DE5" w14:textId="77777777" w:rsidTr="00281329">
        <w:tc>
          <w:tcPr>
            <w:tcW w:w="3969" w:type="dxa"/>
            <w:shd w:val="clear" w:color="auto" w:fill="F2F2F2" w:themeFill="background1" w:themeFillShade="F2"/>
          </w:tcPr>
          <w:p w14:paraId="444D4931" w14:textId="77777777" w:rsidR="00751E06" w:rsidRPr="00E263EA" w:rsidRDefault="00751E06" w:rsidP="00525768">
            <w:pPr>
              <w:pStyle w:val="Tablecontent"/>
            </w:pPr>
            <w:r w:rsidRPr="00E263EA">
              <w:t>Commit Limit</w:t>
            </w:r>
          </w:p>
        </w:tc>
        <w:tc>
          <w:tcPr>
            <w:tcW w:w="6487" w:type="dxa"/>
            <w:vMerge w:val="restart"/>
          </w:tcPr>
          <w:p w14:paraId="63FDA734" w14:textId="77777777" w:rsidR="00751E06" w:rsidRDefault="00751E06" w:rsidP="00525768">
            <w:pPr>
              <w:pStyle w:val="Tablecontent"/>
              <w:rPr>
                <w:lang w:val="en-GB"/>
              </w:rPr>
            </w:pPr>
          </w:p>
        </w:tc>
      </w:tr>
      <w:tr w:rsidR="00751E06" w14:paraId="08051894" w14:textId="77777777" w:rsidTr="00281329">
        <w:tc>
          <w:tcPr>
            <w:tcW w:w="3969" w:type="dxa"/>
            <w:shd w:val="clear" w:color="auto" w:fill="F2F2F2" w:themeFill="background1" w:themeFillShade="F2"/>
          </w:tcPr>
          <w:p w14:paraId="6392D229" w14:textId="77777777" w:rsidR="00751E06" w:rsidRPr="00E263EA" w:rsidRDefault="00751E06" w:rsidP="00525768">
            <w:pPr>
              <w:pStyle w:val="Tablecontent"/>
            </w:pPr>
            <w:r w:rsidRPr="00E263EA">
              <w:t xml:space="preserve">Committed </w:t>
            </w:r>
            <w:r>
              <w:t>(</w:t>
            </w:r>
            <w:r w:rsidRPr="00E263EA">
              <w:t>Bytes</w:t>
            </w:r>
            <w:r>
              <w:t>)</w:t>
            </w:r>
          </w:p>
        </w:tc>
        <w:tc>
          <w:tcPr>
            <w:tcW w:w="6487" w:type="dxa"/>
            <w:vMerge/>
          </w:tcPr>
          <w:p w14:paraId="12956309" w14:textId="77777777" w:rsidR="00751E06" w:rsidRDefault="00751E06" w:rsidP="00525768">
            <w:pPr>
              <w:pStyle w:val="Tablecontent"/>
              <w:rPr>
                <w:lang w:val="en-GB"/>
              </w:rPr>
            </w:pPr>
          </w:p>
        </w:tc>
      </w:tr>
      <w:tr w:rsidR="00751E06" w14:paraId="087F9EB4" w14:textId="77777777" w:rsidTr="00281329">
        <w:tc>
          <w:tcPr>
            <w:tcW w:w="3969" w:type="dxa"/>
            <w:shd w:val="clear" w:color="auto" w:fill="F2F2F2" w:themeFill="background1" w:themeFillShade="F2"/>
          </w:tcPr>
          <w:p w14:paraId="468CA41B" w14:textId="77777777" w:rsidR="00751E06" w:rsidRPr="00E263EA" w:rsidRDefault="00751E06" w:rsidP="00525768">
            <w:pPr>
              <w:pStyle w:val="Tablecontent"/>
            </w:pPr>
            <w:r w:rsidRPr="00E263EA">
              <w:t>% Committed Bytes in Use</w:t>
            </w:r>
          </w:p>
        </w:tc>
        <w:tc>
          <w:tcPr>
            <w:tcW w:w="6487" w:type="dxa"/>
            <w:vMerge/>
          </w:tcPr>
          <w:p w14:paraId="1C807E72" w14:textId="77777777" w:rsidR="00751E06" w:rsidRDefault="00751E06" w:rsidP="00525768">
            <w:pPr>
              <w:pStyle w:val="Tablecontent"/>
              <w:rPr>
                <w:lang w:val="en-GB"/>
              </w:rPr>
            </w:pPr>
          </w:p>
        </w:tc>
      </w:tr>
      <w:tr w:rsidR="00751E06" w14:paraId="561F40D6" w14:textId="77777777" w:rsidTr="00281329">
        <w:tc>
          <w:tcPr>
            <w:tcW w:w="3969" w:type="dxa"/>
            <w:shd w:val="clear" w:color="auto" w:fill="F2F2F2" w:themeFill="background1" w:themeFillShade="F2"/>
          </w:tcPr>
          <w:p w14:paraId="22F81737" w14:textId="77777777" w:rsidR="00751E06" w:rsidRPr="00E263EA" w:rsidRDefault="00751E06" w:rsidP="00525768">
            <w:pPr>
              <w:pStyle w:val="Tablecontent"/>
            </w:pPr>
            <w:r w:rsidRPr="00FA2B4F">
              <w:t>Transition Pages Repurposed/sec</w:t>
            </w:r>
          </w:p>
        </w:tc>
        <w:tc>
          <w:tcPr>
            <w:tcW w:w="6487" w:type="dxa"/>
          </w:tcPr>
          <w:p w14:paraId="229F58D2" w14:textId="77777777" w:rsidR="00751E06" w:rsidRDefault="00751E06" w:rsidP="00525768">
            <w:pPr>
              <w:pStyle w:val="Tablecontent"/>
              <w:rPr>
                <w:lang w:val="en-GB"/>
              </w:rPr>
            </w:pPr>
          </w:p>
        </w:tc>
      </w:tr>
      <w:tr w:rsidR="00751E06" w14:paraId="02EF9D1B" w14:textId="77777777" w:rsidTr="00281329">
        <w:tc>
          <w:tcPr>
            <w:tcW w:w="3969" w:type="dxa"/>
            <w:shd w:val="clear" w:color="auto" w:fill="F2F2F2" w:themeFill="background1" w:themeFillShade="F2"/>
          </w:tcPr>
          <w:p w14:paraId="080735B3" w14:textId="77777777" w:rsidR="00751E06" w:rsidRPr="00E263EA" w:rsidRDefault="00751E06" w:rsidP="00525768">
            <w:pPr>
              <w:pStyle w:val="Tablecontent"/>
            </w:pPr>
            <w:r w:rsidRPr="00FA2B4F">
              <w:t xml:space="preserve">Write Copies/sec </w:t>
            </w:r>
          </w:p>
        </w:tc>
        <w:tc>
          <w:tcPr>
            <w:tcW w:w="6487" w:type="dxa"/>
          </w:tcPr>
          <w:p w14:paraId="17A3D358" w14:textId="77777777" w:rsidR="00751E06" w:rsidRDefault="00751E06" w:rsidP="00525768">
            <w:pPr>
              <w:pStyle w:val="Tablecontent"/>
              <w:rPr>
                <w:lang w:val="en-GB"/>
              </w:rPr>
            </w:pPr>
          </w:p>
        </w:tc>
      </w:tr>
      <w:tr w:rsidR="00751E06" w14:paraId="32341952" w14:textId="77777777" w:rsidTr="00281329">
        <w:tc>
          <w:tcPr>
            <w:tcW w:w="3969" w:type="dxa"/>
            <w:shd w:val="clear" w:color="auto" w:fill="F2F2F2" w:themeFill="background1" w:themeFillShade="F2"/>
          </w:tcPr>
          <w:p w14:paraId="3D6AC8E2" w14:textId="77777777" w:rsidR="00751E06" w:rsidRPr="00E263EA" w:rsidRDefault="00751E06" w:rsidP="00525768">
            <w:pPr>
              <w:pStyle w:val="Tablecontent"/>
            </w:pPr>
            <w:r w:rsidRPr="00DC2754">
              <w:t>Pool Pages Allocs</w:t>
            </w:r>
          </w:p>
        </w:tc>
        <w:tc>
          <w:tcPr>
            <w:tcW w:w="6487" w:type="dxa"/>
          </w:tcPr>
          <w:p w14:paraId="44A96929" w14:textId="77777777" w:rsidR="00751E06" w:rsidRDefault="00751E06" w:rsidP="00525768">
            <w:pPr>
              <w:pStyle w:val="Tablecontent"/>
              <w:rPr>
                <w:lang w:val="en-GB"/>
              </w:rPr>
            </w:pPr>
          </w:p>
        </w:tc>
      </w:tr>
      <w:tr w:rsidR="00751E06" w14:paraId="06A14217" w14:textId="77777777" w:rsidTr="00281329">
        <w:tc>
          <w:tcPr>
            <w:tcW w:w="3969" w:type="dxa"/>
            <w:shd w:val="clear" w:color="auto" w:fill="F2F2F2" w:themeFill="background1" w:themeFillShade="F2"/>
          </w:tcPr>
          <w:p w14:paraId="13BC26F3" w14:textId="77777777" w:rsidR="00751E06" w:rsidRPr="00E263EA" w:rsidRDefault="00751E06" w:rsidP="00525768">
            <w:pPr>
              <w:pStyle w:val="Tablecontent"/>
            </w:pPr>
            <w:r w:rsidRPr="00DC2754">
              <w:t xml:space="preserve">Pool Paged </w:t>
            </w:r>
            <w:r>
              <w:t>(</w:t>
            </w:r>
            <w:r w:rsidRPr="00DC2754">
              <w:t>Bytes</w:t>
            </w:r>
            <w:r>
              <w:t>)</w:t>
            </w:r>
          </w:p>
        </w:tc>
        <w:tc>
          <w:tcPr>
            <w:tcW w:w="6487" w:type="dxa"/>
          </w:tcPr>
          <w:p w14:paraId="342EE8AF" w14:textId="77777777" w:rsidR="00751E06" w:rsidRDefault="00751E06" w:rsidP="00525768">
            <w:pPr>
              <w:pStyle w:val="Tablecontent"/>
              <w:rPr>
                <w:lang w:val="en-GB"/>
              </w:rPr>
            </w:pPr>
          </w:p>
        </w:tc>
      </w:tr>
      <w:tr w:rsidR="00751E06" w14:paraId="7C5AF035" w14:textId="77777777" w:rsidTr="00281329">
        <w:tc>
          <w:tcPr>
            <w:tcW w:w="3969" w:type="dxa"/>
            <w:shd w:val="clear" w:color="auto" w:fill="F2F2F2" w:themeFill="background1" w:themeFillShade="F2"/>
          </w:tcPr>
          <w:p w14:paraId="73712EE4" w14:textId="77777777" w:rsidR="00751E06" w:rsidRPr="00E263EA" w:rsidRDefault="00751E06" w:rsidP="00525768">
            <w:pPr>
              <w:pStyle w:val="Tablecontent"/>
            </w:pPr>
            <w:r w:rsidRPr="00DC2754">
              <w:t xml:space="preserve">Pool Paged Resident </w:t>
            </w:r>
            <w:r>
              <w:t>(</w:t>
            </w:r>
            <w:r w:rsidRPr="00DC2754">
              <w:t>Bytes</w:t>
            </w:r>
            <w:r>
              <w:t>)</w:t>
            </w:r>
          </w:p>
        </w:tc>
        <w:tc>
          <w:tcPr>
            <w:tcW w:w="6487" w:type="dxa"/>
          </w:tcPr>
          <w:p w14:paraId="5820C60E" w14:textId="77777777" w:rsidR="00751E06" w:rsidRDefault="00751E06" w:rsidP="00525768">
            <w:pPr>
              <w:pStyle w:val="Tablecontent"/>
              <w:rPr>
                <w:lang w:val="en-GB"/>
              </w:rPr>
            </w:pPr>
          </w:p>
        </w:tc>
      </w:tr>
      <w:tr w:rsidR="00751E06" w14:paraId="63D97155" w14:textId="77777777" w:rsidTr="00281329">
        <w:tc>
          <w:tcPr>
            <w:tcW w:w="3969" w:type="dxa"/>
            <w:shd w:val="clear" w:color="auto" w:fill="F2F2F2" w:themeFill="background1" w:themeFillShade="F2"/>
          </w:tcPr>
          <w:p w14:paraId="47BE1B63" w14:textId="77777777" w:rsidR="00751E06" w:rsidRPr="00E263EA" w:rsidRDefault="00751E06" w:rsidP="00525768">
            <w:pPr>
              <w:pStyle w:val="Tablecontent"/>
            </w:pPr>
            <w:r w:rsidRPr="00F1528F">
              <w:t>Pool Nonpages Allocs</w:t>
            </w:r>
          </w:p>
        </w:tc>
        <w:tc>
          <w:tcPr>
            <w:tcW w:w="6487" w:type="dxa"/>
          </w:tcPr>
          <w:p w14:paraId="632D81CD" w14:textId="77777777" w:rsidR="00751E06" w:rsidRDefault="00751E06" w:rsidP="00525768">
            <w:pPr>
              <w:pStyle w:val="Tablecontent"/>
              <w:rPr>
                <w:lang w:val="en-GB"/>
              </w:rPr>
            </w:pPr>
          </w:p>
        </w:tc>
      </w:tr>
      <w:tr w:rsidR="00751E06" w14:paraId="005F5DA4" w14:textId="77777777" w:rsidTr="00281329">
        <w:tc>
          <w:tcPr>
            <w:tcW w:w="3969" w:type="dxa"/>
            <w:shd w:val="clear" w:color="auto" w:fill="F2F2F2" w:themeFill="background1" w:themeFillShade="F2"/>
          </w:tcPr>
          <w:p w14:paraId="27DDBE3F" w14:textId="77777777" w:rsidR="00751E06" w:rsidRPr="00E263EA" w:rsidRDefault="00751E06" w:rsidP="00525768">
            <w:pPr>
              <w:pStyle w:val="Tablecontent"/>
            </w:pPr>
            <w:r w:rsidRPr="00DC2754">
              <w:t xml:space="preserve">Pool Nonpaged </w:t>
            </w:r>
            <w:r>
              <w:t>(</w:t>
            </w:r>
            <w:r w:rsidRPr="00DC2754">
              <w:t>Bytes</w:t>
            </w:r>
            <w:r>
              <w:t>)</w:t>
            </w:r>
          </w:p>
        </w:tc>
        <w:tc>
          <w:tcPr>
            <w:tcW w:w="6487" w:type="dxa"/>
          </w:tcPr>
          <w:p w14:paraId="00D82DBD" w14:textId="77777777" w:rsidR="00751E06" w:rsidRDefault="00751E06" w:rsidP="00525768">
            <w:pPr>
              <w:pStyle w:val="Tablecontent"/>
              <w:rPr>
                <w:lang w:val="en-GB"/>
              </w:rPr>
            </w:pPr>
          </w:p>
        </w:tc>
      </w:tr>
      <w:tr w:rsidR="00751E06" w14:paraId="27F95343" w14:textId="77777777" w:rsidTr="00281329">
        <w:tc>
          <w:tcPr>
            <w:tcW w:w="3969" w:type="dxa"/>
            <w:shd w:val="clear" w:color="auto" w:fill="F2F2F2" w:themeFill="background1" w:themeFillShade="F2"/>
          </w:tcPr>
          <w:p w14:paraId="659815F9" w14:textId="77777777" w:rsidR="00751E06" w:rsidRPr="00E263EA" w:rsidRDefault="00751E06" w:rsidP="00525768">
            <w:pPr>
              <w:pStyle w:val="Tablecontent"/>
            </w:pPr>
            <w:r w:rsidRPr="00674604">
              <w:t xml:space="preserve">System Code Resident </w:t>
            </w:r>
            <w:r>
              <w:t>(</w:t>
            </w:r>
            <w:r w:rsidRPr="00DC2754">
              <w:t>Bytes</w:t>
            </w:r>
            <w:r>
              <w:t>)</w:t>
            </w:r>
          </w:p>
        </w:tc>
        <w:tc>
          <w:tcPr>
            <w:tcW w:w="6487" w:type="dxa"/>
            <w:vMerge w:val="restart"/>
          </w:tcPr>
          <w:p w14:paraId="168FDC0B" w14:textId="77777777" w:rsidR="00751E06" w:rsidRDefault="00751E06" w:rsidP="00525768">
            <w:pPr>
              <w:pStyle w:val="Tablecontent"/>
              <w:rPr>
                <w:lang w:val="en-GB"/>
              </w:rPr>
            </w:pPr>
          </w:p>
        </w:tc>
      </w:tr>
      <w:tr w:rsidR="00751E06" w14:paraId="29E6C446" w14:textId="77777777" w:rsidTr="00281329">
        <w:tc>
          <w:tcPr>
            <w:tcW w:w="3969" w:type="dxa"/>
            <w:shd w:val="clear" w:color="auto" w:fill="F2F2F2" w:themeFill="background1" w:themeFillShade="F2"/>
          </w:tcPr>
          <w:p w14:paraId="22FBECD6" w14:textId="77777777" w:rsidR="00751E06" w:rsidRPr="00E263EA" w:rsidRDefault="00751E06" w:rsidP="00525768">
            <w:pPr>
              <w:pStyle w:val="Tablecontent"/>
            </w:pPr>
            <w:r w:rsidRPr="00674604">
              <w:t xml:space="preserve">System Code Total </w:t>
            </w:r>
            <w:r>
              <w:t>(</w:t>
            </w:r>
            <w:r w:rsidRPr="00DC2754">
              <w:t>Bytes</w:t>
            </w:r>
            <w:r>
              <w:t>)</w:t>
            </w:r>
          </w:p>
        </w:tc>
        <w:tc>
          <w:tcPr>
            <w:tcW w:w="6487" w:type="dxa"/>
            <w:vMerge/>
          </w:tcPr>
          <w:p w14:paraId="35B989C3" w14:textId="77777777" w:rsidR="00751E06" w:rsidRDefault="00751E06" w:rsidP="00525768">
            <w:pPr>
              <w:pStyle w:val="Tablecontent"/>
              <w:rPr>
                <w:lang w:val="en-GB"/>
              </w:rPr>
            </w:pPr>
          </w:p>
        </w:tc>
      </w:tr>
      <w:tr w:rsidR="00751E06" w14:paraId="16643D7C" w14:textId="77777777" w:rsidTr="00281329">
        <w:tc>
          <w:tcPr>
            <w:tcW w:w="3969" w:type="dxa"/>
            <w:shd w:val="clear" w:color="auto" w:fill="F2F2F2" w:themeFill="background1" w:themeFillShade="F2"/>
          </w:tcPr>
          <w:p w14:paraId="15048162" w14:textId="77777777" w:rsidR="00751E06" w:rsidRPr="00E263EA" w:rsidRDefault="00751E06" w:rsidP="00525768">
            <w:pPr>
              <w:pStyle w:val="Tablecontent"/>
            </w:pPr>
            <w:r w:rsidRPr="00FA2B4F">
              <w:t xml:space="preserve">System Driver Resident </w:t>
            </w:r>
            <w:r>
              <w:t>(</w:t>
            </w:r>
            <w:r w:rsidRPr="00DC2754">
              <w:t>Bytes</w:t>
            </w:r>
            <w:r>
              <w:t>)</w:t>
            </w:r>
          </w:p>
        </w:tc>
        <w:tc>
          <w:tcPr>
            <w:tcW w:w="6487" w:type="dxa"/>
            <w:vMerge/>
          </w:tcPr>
          <w:p w14:paraId="68E438CF" w14:textId="77777777" w:rsidR="00751E06" w:rsidRDefault="00751E06" w:rsidP="00525768">
            <w:pPr>
              <w:pStyle w:val="Tablecontent"/>
              <w:rPr>
                <w:lang w:val="en-GB"/>
              </w:rPr>
            </w:pPr>
          </w:p>
        </w:tc>
      </w:tr>
      <w:tr w:rsidR="00751E06" w14:paraId="0203103D" w14:textId="77777777" w:rsidTr="00281329">
        <w:tc>
          <w:tcPr>
            <w:tcW w:w="3969" w:type="dxa"/>
            <w:shd w:val="clear" w:color="auto" w:fill="F2F2F2" w:themeFill="background1" w:themeFillShade="F2"/>
          </w:tcPr>
          <w:p w14:paraId="1E97812F" w14:textId="77777777" w:rsidR="00751E06" w:rsidRPr="00E263EA" w:rsidRDefault="00751E06" w:rsidP="00525768">
            <w:pPr>
              <w:pStyle w:val="Tablecontent"/>
            </w:pPr>
            <w:r w:rsidRPr="00FA2B4F">
              <w:t xml:space="preserve">System Driver Total </w:t>
            </w:r>
            <w:r>
              <w:t>(</w:t>
            </w:r>
            <w:r w:rsidRPr="00DC2754">
              <w:t>Bytes</w:t>
            </w:r>
            <w:r>
              <w:t>)</w:t>
            </w:r>
          </w:p>
        </w:tc>
        <w:tc>
          <w:tcPr>
            <w:tcW w:w="6487" w:type="dxa"/>
            <w:vMerge/>
          </w:tcPr>
          <w:p w14:paraId="3543B853" w14:textId="77777777" w:rsidR="00751E06" w:rsidRDefault="00751E06" w:rsidP="00525768">
            <w:pPr>
              <w:pStyle w:val="Tablecontent"/>
              <w:rPr>
                <w:lang w:val="en-GB"/>
              </w:rPr>
            </w:pPr>
          </w:p>
        </w:tc>
      </w:tr>
      <w:tr w:rsidR="00751E06" w14:paraId="317F2C82" w14:textId="77777777" w:rsidTr="00281329">
        <w:tc>
          <w:tcPr>
            <w:tcW w:w="3969" w:type="dxa"/>
            <w:shd w:val="clear" w:color="auto" w:fill="F2F2F2" w:themeFill="background1" w:themeFillShade="F2"/>
          </w:tcPr>
          <w:p w14:paraId="4A929D98" w14:textId="77777777" w:rsidR="00751E06" w:rsidRPr="00E263EA" w:rsidRDefault="00751E06" w:rsidP="00525768">
            <w:pPr>
              <w:pStyle w:val="Tablecontent"/>
            </w:pPr>
            <w:r w:rsidRPr="00F1528F">
              <w:t>Free &amp; Zero Page List</w:t>
            </w:r>
            <w:r>
              <w:t>(</w:t>
            </w:r>
            <w:r w:rsidRPr="00DC2754">
              <w:t>Bytes</w:t>
            </w:r>
            <w:r>
              <w:t>)</w:t>
            </w:r>
            <w:r w:rsidRPr="00F1528F">
              <w:t xml:space="preserve"> </w:t>
            </w:r>
          </w:p>
        </w:tc>
        <w:tc>
          <w:tcPr>
            <w:tcW w:w="6487" w:type="dxa"/>
          </w:tcPr>
          <w:p w14:paraId="75B4BB37" w14:textId="77777777" w:rsidR="00751E06" w:rsidRDefault="00751E06" w:rsidP="00525768">
            <w:pPr>
              <w:pStyle w:val="Tablecontent"/>
              <w:rPr>
                <w:lang w:val="en-GB"/>
              </w:rPr>
            </w:pPr>
          </w:p>
        </w:tc>
      </w:tr>
      <w:tr w:rsidR="00751E06" w14:paraId="5990D7A0" w14:textId="77777777" w:rsidTr="00281329">
        <w:tc>
          <w:tcPr>
            <w:tcW w:w="3969" w:type="dxa"/>
            <w:shd w:val="clear" w:color="auto" w:fill="F2F2F2" w:themeFill="background1" w:themeFillShade="F2"/>
          </w:tcPr>
          <w:p w14:paraId="76DB570F" w14:textId="77777777" w:rsidR="00751E06" w:rsidRPr="00E263EA" w:rsidRDefault="00751E06" w:rsidP="00525768">
            <w:pPr>
              <w:pStyle w:val="Tablecontent"/>
            </w:pPr>
            <w:r w:rsidRPr="00F1528F">
              <w:t>Free System Page Table Entries</w:t>
            </w:r>
          </w:p>
        </w:tc>
        <w:tc>
          <w:tcPr>
            <w:tcW w:w="6487" w:type="dxa"/>
          </w:tcPr>
          <w:p w14:paraId="57A7C080" w14:textId="77777777" w:rsidR="00751E06" w:rsidRDefault="00751E06" w:rsidP="00525768">
            <w:pPr>
              <w:pStyle w:val="Tablecontent"/>
              <w:rPr>
                <w:lang w:val="en-GB"/>
              </w:rPr>
            </w:pPr>
          </w:p>
        </w:tc>
      </w:tr>
    </w:tbl>
    <w:p w14:paraId="24ACE8E6" w14:textId="77777777" w:rsidR="00751E06" w:rsidRPr="00A452F2" w:rsidRDefault="00751E06" w:rsidP="00525768">
      <w:pPr>
        <w:rPr>
          <w:lang w:val="en-GB"/>
        </w:rPr>
      </w:pPr>
      <w:r w:rsidRPr="00A452F2">
        <w:rPr>
          <w:lang w:val="en-GB"/>
        </w:rPr>
        <w:t>In formula, here is their definition:</w:t>
      </w:r>
    </w:p>
    <w:p w14:paraId="186F75E1" w14:textId="77777777" w:rsidR="00751E06" w:rsidRPr="00A452F2" w:rsidRDefault="00751E06" w:rsidP="00525768">
      <w:pPr>
        <w:pStyle w:val="Bullet"/>
        <w:rPr>
          <w:lang w:val="en-GB"/>
        </w:rPr>
      </w:pPr>
      <w:r w:rsidRPr="00A452F2">
        <w:rPr>
          <w:lang w:val="en-GB"/>
        </w:rPr>
        <w:t>Cached = Standby + Modified</w:t>
      </w:r>
    </w:p>
    <w:p w14:paraId="070A06AB" w14:textId="77777777" w:rsidR="00751E06" w:rsidRPr="00A452F2" w:rsidRDefault="00751E06" w:rsidP="00525768">
      <w:pPr>
        <w:pStyle w:val="Bullet"/>
        <w:rPr>
          <w:lang w:val="en-GB"/>
        </w:rPr>
      </w:pPr>
      <w:r w:rsidRPr="00A452F2">
        <w:rPr>
          <w:lang w:val="en-GB"/>
        </w:rPr>
        <w:t>Available = Standby + Free</w:t>
      </w:r>
    </w:p>
    <w:p w14:paraId="26AE7E01" w14:textId="77777777" w:rsidR="00751E06" w:rsidRPr="00A452F2" w:rsidRDefault="00751E06" w:rsidP="00525768">
      <w:pPr>
        <w:rPr>
          <w:lang w:val="en-GB"/>
        </w:rPr>
      </w:pPr>
      <w:r w:rsidRPr="00A452F2">
        <w:rPr>
          <w:lang w:val="en-GB"/>
        </w:rPr>
        <w:t>It is easier to visualize it, so here it is:</w:t>
      </w:r>
    </w:p>
    <w:p w14:paraId="0F24A277" w14:textId="77777777" w:rsidR="00751E06" w:rsidRPr="00A452F2" w:rsidRDefault="00751E06" w:rsidP="00525768">
      <w:pPr>
        <w:jc w:val="center"/>
        <w:rPr>
          <w:lang w:val="en-GB"/>
        </w:rPr>
      </w:pPr>
      <w:r>
        <w:rPr>
          <w:noProof/>
        </w:rPr>
        <w:drawing>
          <wp:inline distT="0" distB="0" distL="0" distR="0" wp14:anchorId="495756FC" wp14:editId="0879B3FC">
            <wp:extent cx="6748272" cy="2734056"/>
            <wp:effectExtent l="0" t="0" r="0" b="9525"/>
            <wp:docPr id="606394129" name="Picture 606394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29"/>
                    <pic:cNvPicPr/>
                  </pic:nvPicPr>
                  <pic:blipFill>
                    <a:blip r:embed="rId387">
                      <a:extLst>
                        <a:ext uri="{28A0092B-C50C-407E-A947-70E740481C1C}">
                          <a14:useLocalDpi xmlns:a14="http://schemas.microsoft.com/office/drawing/2010/main" val="0"/>
                        </a:ext>
                      </a:extLst>
                    </a:blip>
                    <a:stretch>
                      <a:fillRect/>
                    </a:stretch>
                  </pic:blipFill>
                  <pic:spPr>
                    <a:xfrm>
                      <a:off x="0" y="0"/>
                      <a:ext cx="6748272" cy="2734056"/>
                    </a:xfrm>
                    <a:prstGeom prst="rect">
                      <a:avLst/>
                    </a:prstGeom>
                  </pic:spPr>
                </pic:pic>
              </a:graphicData>
            </a:graphic>
          </wp:inline>
        </w:drawing>
      </w:r>
    </w:p>
    <w:p w14:paraId="046849E6" w14:textId="77777777" w:rsidR="00751E06" w:rsidRPr="00A452F2" w:rsidRDefault="00751E06" w:rsidP="00525768">
      <w:pPr>
        <w:rPr>
          <w:lang w:val="en-GB"/>
        </w:rPr>
      </w:pPr>
      <w:r w:rsidRPr="00A452F2">
        <w:rPr>
          <w:lang w:val="en-GB"/>
        </w:rPr>
        <w:t xml:space="preserve">A popular tool for Windows monitoring is SysInternal. In addition to the above, it shows Transition and Zeroed. </w:t>
      </w:r>
    </w:p>
    <w:p w14:paraId="2FE7C024" w14:textId="77777777" w:rsidR="00751E06" w:rsidRPr="00A452F2" w:rsidRDefault="00751E06" w:rsidP="00525768">
      <w:pPr>
        <w:rPr>
          <w:lang w:val="en-GB"/>
        </w:rPr>
      </w:pPr>
      <w:r>
        <w:rPr>
          <w:noProof/>
        </w:rPr>
        <w:lastRenderedPageBreak/>
        <w:drawing>
          <wp:inline distT="0" distB="0" distL="0" distR="0" wp14:anchorId="386C7748" wp14:editId="3428D614">
            <wp:extent cx="6645910" cy="3124835"/>
            <wp:effectExtent l="0" t="0" r="2540" b="0"/>
            <wp:docPr id="60639414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pic:nvPicPr>
                  <pic:blipFill>
                    <a:blip r:embed="rId388">
                      <a:extLst>
                        <a:ext uri="{28A0092B-C50C-407E-A947-70E740481C1C}">
                          <a14:useLocalDpi xmlns:a14="http://schemas.microsoft.com/office/drawing/2010/main" val="0"/>
                        </a:ext>
                      </a:extLst>
                    </a:blip>
                    <a:stretch>
                      <a:fillRect/>
                    </a:stretch>
                  </pic:blipFill>
                  <pic:spPr>
                    <a:xfrm>
                      <a:off x="0" y="0"/>
                      <a:ext cx="6645910" cy="3124835"/>
                    </a:xfrm>
                    <a:prstGeom prst="rect">
                      <a:avLst/>
                    </a:prstGeom>
                  </pic:spPr>
                </pic:pic>
              </a:graphicData>
            </a:graphic>
          </wp:inline>
        </w:drawing>
      </w:r>
    </w:p>
    <w:p w14:paraId="68C2F8C5" w14:textId="77777777" w:rsidR="00751E06" w:rsidRDefault="00751E06" w:rsidP="00525768">
      <w:pPr>
        <w:pStyle w:val="Heading5"/>
        <w:rPr>
          <w:rStyle w:val="Strong"/>
          <w:b/>
          <w:bCs/>
        </w:rPr>
      </w:pPr>
      <w:bookmarkStart w:id="77" w:name="_In_Use"/>
      <w:bookmarkEnd w:id="77"/>
      <w:r w:rsidRPr="00A452F2">
        <w:rPr>
          <w:rStyle w:val="Strong"/>
          <w:b/>
          <w:bCs/>
        </w:rPr>
        <w:t>In Use</w:t>
      </w:r>
    </w:p>
    <w:p w14:paraId="1ACE99A6" w14:textId="77777777" w:rsidR="00751E06" w:rsidRPr="00651DE6" w:rsidRDefault="00751E06" w:rsidP="00525768">
      <w:pPr>
        <w:rPr>
          <w:lang w:val="en-GB"/>
        </w:rPr>
      </w:pPr>
      <w:r w:rsidRPr="4CAB3972">
        <w:rPr>
          <w:lang w:val="en-GB"/>
        </w:rPr>
        <w:t>This is the main counter used by Windows, as it’s featured prominently in Task Manager.</w:t>
      </w:r>
    </w:p>
    <w:p w14:paraId="02E9475B" w14:textId="77777777" w:rsidR="00751E06" w:rsidRPr="00651DE6" w:rsidRDefault="00751E06" w:rsidP="00525768">
      <w:pPr>
        <w:jc w:val="center"/>
        <w:rPr>
          <w:lang w:val="en-GB"/>
        </w:rPr>
      </w:pPr>
      <w:r>
        <w:rPr>
          <w:noProof/>
        </w:rPr>
        <w:drawing>
          <wp:inline distT="0" distB="0" distL="0" distR="0" wp14:anchorId="1DA99DB3" wp14:editId="1FBA5065">
            <wp:extent cx="5020056" cy="4261104"/>
            <wp:effectExtent l="0" t="0" r="9525"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pic:nvPicPr>
                  <pic:blipFill>
                    <a:blip r:embed="rId389">
                      <a:extLst>
                        <a:ext uri="{28A0092B-C50C-407E-A947-70E740481C1C}">
                          <a14:useLocalDpi xmlns:a14="http://schemas.microsoft.com/office/drawing/2010/main" val="0"/>
                        </a:ext>
                      </a:extLst>
                    </a:blip>
                    <a:stretch>
                      <a:fillRect/>
                    </a:stretch>
                  </pic:blipFill>
                  <pic:spPr>
                    <a:xfrm>
                      <a:off x="0" y="0"/>
                      <a:ext cx="5020056" cy="4261104"/>
                    </a:xfrm>
                    <a:prstGeom prst="rect">
                      <a:avLst/>
                    </a:prstGeom>
                  </pic:spPr>
                </pic:pic>
              </a:graphicData>
            </a:graphic>
          </wp:inline>
        </w:drawing>
      </w:r>
    </w:p>
    <w:p w14:paraId="4A631D90" w14:textId="77777777" w:rsidR="00751E06" w:rsidRPr="00A452F2" w:rsidRDefault="00751E06" w:rsidP="00525768">
      <w:pPr>
        <w:rPr>
          <w:lang w:val="en-GB"/>
        </w:rPr>
      </w:pPr>
      <w:r w:rsidRPr="00A452F2">
        <w:rPr>
          <w:lang w:val="en-GB"/>
        </w:rPr>
        <w:lastRenderedPageBreak/>
        <w:t xml:space="preserve">This is often thought as the </w:t>
      </w:r>
      <w:r w:rsidRPr="00651DE6">
        <w:rPr>
          <w:color w:val="FF0000"/>
          <w:lang w:val="en-GB"/>
        </w:rPr>
        <w:t xml:space="preserve">minimum </w:t>
      </w:r>
      <w:r w:rsidRPr="00A452F2">
        <w:rPr>
          <w:lang w:val="en-GB"/>
        </w:rPr>
        <w:t xml:space="preserve">that Windows needs to operate. </w:t>
      </w:r>
      <w:r>
        <w:rPr>
          <w:lang w:val="en-GB"/>
        </w:rPr>
        <w:t xml:space="preserve">This is not true. </w:t>
      </w:r>
      <w:r w:rsidRPr="00A452F2">
        <w:rPr>
          <w:lang w:val="en-GB"/>
        </w:rPr>
        <w:t xml:space="preserve">If you notice on the preceding screenshot, it has compressed </w:t>
      </w:r>
      <w:r>
        <w:rPr>
          <w:lang w:val="en-GB"/>
        </w:rPr>
        <w:t xml:space="preserve">457 MB </w:t>
      </w:r>
      <w:r w:rsidRPr="00A452F2">
        <w:rPr>
          <w:lang w:val="en-GB"/>
        </w:rPr>
        <w:t xml:space="preserve">of the </w:t>
      </w:r>
      <w:r>
        <w:rPr>
          <w:lang w:val="en-GB"/>
        </w:rPr>
        <w:t xml:space="preserve">6.8 GB </w:t>
      </w:r>
      <w:r w:rsidRPr="00A452F2">
        <w:rPr>
          <w:lang w:val="en-GB"/>
        </w:rPr>
        <w:t xml:space="preserve">In Use pages, indicating they are not actively used. Windows compresses its </w:t>
      </w:r>
      <w:r>
        <w:rPr>
          <w:lang w:val="en-GB"/>
        </w:rPr>
        <w:t>in-use</w:t>
      </w:r>
      <w:r w:rsidRPr="00A452F2">
        <w:rPr>
          <w:lang w:val="en-GB"/>
        </w:rPr>
        <w:t xml:space="preserve"> RAM, even though it has plenty of Free RAM available</w:t>
      </w:r>
      <w:r>
        <w:rPr>
          <w:lang w:val="en-GB"/>
        </w:rPr>
        <w:t xml:space="preserve"> (8.9 GB available)</w:t>
      </w:r>
      <w:r w:rsidRPr="00A452F2">
        <w:rPr>
          <w:lang w:val="en-GB"/>
        </w:rPr>
        <w:t>. This is a different behaviour to ESXi, which do not compress unless it’s running low on Free.</w:t>
      </w:r>
    </w:p>
    <w:p w14:paraId="5771FD4C" w14:textId="77777777" w:rsidR="00751E06" w:rsidRPr="00A452F2" w:rsidRDefault="00751E06" w:rsidP="00525768">
      <w:pPr>
        <w:rPr>
          <w:lang w:val="en-GB"/>
        </w:rPr>
      </w:pPr>
      <w:r>
        <w:rPr>
          <w:lang w:val="en-GB"/>
        </w:rPr>
        <w:t xml:space="preserve">Look at the chart of Memory Usage above. It’s sustaining for the entire 60 seconds. </w:t>
      </w:r>
      <w:r w:rsidRPr="00A452F2">
        <w:rPr>
          <w:lang w:val="en-GB"/>
        </w:rPr>
        <w:t xml:space="preserve">We know this as the amount is too high to sustain for </w:t>
      </w:r>
      <w:r>
        <w:rPr>
          <w:lang w:val="en-GB"/>
        </w:rPr>
        <w:t xml:space="preserve">60 seconds if they are truly active, let alone for </w:t>
      </w:r>
      <w:r w:rsidRPr="00A452F2">
        <w:rPr>
          <w:lang w:val="en-GB"/>
        </w:rPr>
        <w:t>hours.</w:t>
      </w:r>
    </w:p>
    <w:p w14:paraId="4B0F313D" w14:textId="77777777" w:rsidR="00751E06" w:rsidRPr="00A452F2" w:rsidRDefault="00751E06" w:rsidP="00525768">
      <w:pPr>
        <w:rPr>
          <w:lang w:val="en-GB"/>
        </w:rPr>
      </w:pPr>
      <w:r w:rsidRPr="4CAB3972">
        <w:rPr>
          <w:lang w:val="en-GB"/>
        </w:rPr>
        <w:t>Formula: </w:t>
      </w:r>
    </w:p>
    <w:p w14:paraId="20E0C8D4" w14:textId="77777777" w:rsidR="00751E06" w:rsidRDefault="00751E06" w:rsidP="00525768">
      <w:pPr>
        <w:pStyle w:val="Code"/>
      </w:pPr>
      <w:r w:rsidRPr="00A452F2">
        <w:t>In use = Total – (Modified + Standby + Free)</w:t>
      </w:r>
    </w:p>
    <w:p w14:paraId="6A85346C" w14:textId="77777777" w:rsidR="00751E06" w:rsidRDefault="00751E06" w:rsidP="00525768">
      <w:r>
        <w:t xml:space="preserve">A problem related to the In Use counter is </w:t>
      </w:r>
      <w:hyperlink r:id="rId390" w:history="1">
        <w:r w:rsidRPr="00885202">
          <w:rPr>
            <w:rStyle w:val="Hyperlink"/>
          </w:rPr>
          <w:t>memory leak</w:t>
        </w:r>
      </w:hyperlink>
      <w:r>
        <w:t>. Essentially, the application or process does not release pages that it no longer needs, so over time it accumulates. This is hard to detect as the amount varies by application. The process will continue growing until the OS runs out of memory.</w:t>
      </w:r>
    </w:p>
    <w:p w14:paraId="1338F10C" w14:textId="77777777" w:rsidR="00751E06" w:rsidRPr="00A452F2" w:rsidRDefault="00751E06" w:rsidP="00525768">
      <w:r>
        <w:t>Take note this is a new metric in vRealize Operations 8.6. We call it Used Memory. You’re welcome.</w:t>
      </w:r>
    </w:p>
    <w:p w14:paraId="0A841CB9" w14:textId="77777777" w:rsidR="00751E06" w:rsidRPr="00A452F2" w:rsidRDefault="00751E06" w:rsidP="00525768">
      <w:pPr>
        <w:pStyle w:val="Heading5"/>
      </w:pPr>
      <w:r w:rsidRPr="00A452F2">
        <w:rPr>
          <w:rStyle w:val="Strong"/>
          <w:b/>
          <w:bCs/>
        </w:rPr>
        <w:t>Modified</w:t>
      </w:r>
    </w:p>
    <w:p w14:paraId="094EA400" w14:textId="77777777" w:rsidR="00751E06" w:rsidRDefault="00751E06" w:rsidP="00525768">
      <w:pPr>
        <w:rPr>
          <w:lang w:val="en-GB"/>
        </w:rPr>
      </w:pPr>
      <w:r w:rsidRPr="00A452F2">
        <w:rPr>
          <w:lang w:val="en-GB"/>
        </w:rPr>
        <w:t xml:space="preserve">Page that was modified but </w:t>
      </w:r>
      <w:r w:rsidRPr="003B63F3">
        <w:rPr>
          <w:color w:val="00B0F0"/>
          <w:lang w:val="en-GB"/>
        </w:rPr>
        <w:t xml:space="preserve">no </w:t>
      </w:r>
      <w:r w:rsidRPr="00A452F2">
        <w:rPr>
          <w:lang w:val="en-GB"/>
        </w:rPr>
        <w:t>longer used, hence it’s available for other usage</w:t>
      </w:r>
      <w:r>
        <w:rPr>
          <w:lang w:val="en-GB"/>
        </w:rPr>
        <w:t xml:space="preserve"> but requires to be saved to disk first</w:t>
      </w:r>
      <w:r w:rsidRPr="00A452F2">
        <w:rPr>
          <w:lang w:val="en-GB"/>
        </w:rPr>
        <w:t xml:space="preserve">. It’s </w:t>
      </w:r>
      <w:r>
        <w:rPr>
          <w:lang w:val="en-GB"/>
        </w:rPr>
        <w:t xml:space="preserve">not </w:t>
      </w:r>
      <w:r w:rsidRPr="00A452F2">
        <w:rPr>
          <w:lang w:val="en-GB"/>
        </w:rPr>
        <w:t>counted as part of Available</w:t>
      </w:r>
      <w:r>
        <w:rPr>
          <w:lang w:val="en-GB"/>
        </w:rPr>
        <w:t>, but counted as part of Cache.</w:t>
      </w:r>
    </w:p>
    <w:p w14:paraId="28F64FB8" w14:textId="77777777" w:rsidR="00751E06" w:rsidRPr="00A452F2" w:rsidRDefault="00751E06" w:rsidP="00525768">
      <w:pPr>
        <w:rPr>
          <w:lang w:val="en-GB"/>
        </w:rPr>
      </w:pPr>
      <w:r>
        <w:rPr>
          <w:lang w:val="en-GB"/>
        </w:rPr>
        <w:t xml:space="preserve">OS does not immediately write all inactive pages to disk, especially if the disk is on power saving mode. It will consolidate these pages and write them in one shot, minimizing IO to the disk. In the case, of SSD disk, it can shorten the life span as SSD has physical limits on the number of writes. </w:t>
      </w:r>
    </w:p>
    <w:p w14:paraId="0C5D16C5" w14:textId="77777777" w:rsidR="00751E06" w:rsidRPr="00A452F2" w:rsidRDefault="00751E06" w:rsidP="00525768">
      <w:pPr>
        <w:pStyle w:val="Heading5"/>
      </w:pPr>
      <w:r w:rsidRPr="00A452F2">
        <w:rPr>
          <w:rStyle w:val="Strong"/>
          <w:b/>
          <w:bCs/>
        </w:rPr>
        <w:t>Standby</w:t>
      </w:r>
    </w:p>
    <w:p w14:paraId="6A3F3DA2" w14:textId="77777777" w:rsidR="00751E06" w:rsidRPr="00A452F2" w:rsidRDefault="00751E06" w:rsidP="00525768">
      <w:pPr>
        <w:rPr>
          <w:lang w:val="en-GB"/>
        </w:rPr>
      </w:pPr>
      <w:r w:rsidRPr="00A452F2">
        <w:rPr>
          <w:lang w:val="en-GB"/>
        </w:rPr>
        <w:t xml:space="preserve">Windows has 3 levels of standby. As reported by VMware Tools, their names are: </w:t>
      </w:r>
    </w:p>
    <w:p w14:paraId="172C674A" w14:textId="77777777" w:rsidR="00751E06" w:rsidRPr="00A452F2" w:rsidRDefault="00751E06" w:rsidP="00525768">
      <w:pPr>
        <w:pStyle w:val="Bullet"/>
        <w:rPr>
          <w:lang w:val="en-GB"/>
        </w:rPr>
      </w:pPr>
      <w:r w:rsidRPr="00A452F2">
        <w:rPr>
          <w:lang w:val="en-GB"/>
        </w:rPr>
        <w:t>Standby</w:t>
      </w:r>
      <w:r>
        <w:rPr>
          <w:lang w:val="en-GB"/>
        </w:rPr>
        <w:t xml:space="preserve"> C</w:t>
      </w:r>
      <w:r w:rsidRPr="00A452F2">
        <w:rPr>
          <w:lang w:val="en-GB"/>
        </w:rPr>
        <w:t xml:space="preserve">ore </w:t>
      </w:r>
    </w:p>
    <w:p w14:paraId="1D8349E4" w14:textId="77777777" w:rsidR="00751E06" w:rsidRPr="00A452F2" w:rsidRDefault="00751E06" w:rsidP="00525768">
      <w:pPr>
        <w:pStyle w:val="Bullet"/>
        <w:rPr>
          <w:lang w:val="en-GB"/>
        </w:rPr>
      </w:pPr>
      <w:r w:rsidRPr="00A452F2">
        <w:rPr>
          <w:lang w:val="en-GB"/>
        </w:rPr>
        <w:t>Standby</w:t>
      </w:r>
      <w:r>
        <w:rPr>
          <w:lang w:val="en-GB"/>
        </w:rPr>
        <w:t xml:space="preserve"> N</w:t>
      </w:r>
      <w:r w:rsidRPr="00A452F2">
        <w:rPr>
          <w:lang w:val="en-GB"/>
        </w:rPr>
        <w:t xml:space="preserve">ormal </w:t>
      </w:r>
    </w:p>
    <w:p w14:paraId="50B678A8" w14:textId="77777777" w:rsidR="00751E06" w:rsidRPr="00A452F2" w:rsidRDefault="00751E06" w:rsidP="00525768">
      <w:pPr>
        <w:pStyle w:val="Bullet"/>
        <w:rPr>
          <w:lang w:val="en-GB"/>
        </w:rPr>
      </w:pPr>
      <w:r>
        <w:rPr>
          <w:lang w:val="en-GB"/>
        </w:rPr>
        <w:t>S</w:t>
      </w:r>
      <w:r w:rsidRPr="00A452F2">
        <w:rPr>
          <w:lang w:val="en-GB"/>
        </w:rPr>
        <w:t>tandby</w:t>
      </w:r>
      <w:r>
        <w:rPr>
          <w:lang w:val="en-GB"/>
        </w:rPr>
        <w:t xml:space="preserve"> R</w:t>
      </w:r>
      <w:r w:rsidRPr="00A452F2">
        <w:rPr>
          <w:lang w:val="en-GB"/>
        </w:rPr>
        <w:t>eserve </w:t>
      </w:r>
    </w:p>
    <w:p w14:paraId="033FB427" w14:textId="77777777" w:rsidR="00751E06" w:rsidRDefault="00751E06" w:rsidP="00525768">
      <w:pPr>
        <w:rPr>
          <w:lang w:val="en-GB"/>
        </w:rPr>
      </w:pPr>
      <w:r>
        <w:rPr>
          <w:lang w:val="en-GB"/>
        </w:rPr>
        <w:t>Different applications use the memory differently, resulting in different behaviour of the metrics.</w:t>
      </w:r>
      <w:r w:rsidRPr="00CB266D">
        <w:rPr>
          <w:lang w:val="en-GB"/>
        </w:rPr>
        <w:t xml:space="preserve"> </w:t>
      </w:r>
      <w:r w:rsidRPr="00A452F2">
        <w:rPr>
          <w:lang w:val="en-GB"/>
        </w:rPr>
        <w:t>As a result, determining what Windows actually use</w:t>
      </w:r>
      <w:r>
        <w:rPr>
          <w:lang w:val="en-GB"/>
        </w:rPr>
        <w:t>s</w:t>
      </w:r>
      <w:r w:rsidRPr="00A452F2">
        <w:rPr>
          <w:lang w:val="en-GB"/>
        </w:rPr>
        <w:t xml:space="preserve"> is difficult.</w:t>
      </w:r>
    </w:p>
    <w:p w14:paraId="3DEEFDF5" w14:textId="77777777" w:rsidR="00751E06" w:rsidRPr="00A452F2" w:rsidRDefault="00751E06" w:rsidP="00525768">
      <w:pPr>
        <w:rPr>
          <w:lang w:val="en-GB"/>
        </w:rPr>
      </w:pPr>
      <w:r w:rsidRPr="00A452F2">
        <w:rPr>
          <w:lang w:val="en-GB"/>
        </w:rPr>
        <w:t>The Standby Normal counter can be fluctuating wildly, resulting in a wide difference if it’s included in rightsizing. The following VM is a Microsoft Exchange 2013 server mailbox utility.</w:t>
      </w:r>
    </w:p>
    <w:p w14:paraId="149165EB" w14:textId="77777777" w:rsidR="00751E06" w:rsidRPr="00A452F2" w:rsidRDefault="00751E06" w:rsidP="00525768">
      <w:pPr>
        <w:rPr>
          <w:lang w:val="en-GB"/>
        </w:rPr>
      </w:pPr>
      <w:r>
        <w:rPr>
          <w:noProof/>
        </w:rPr>
        <w:drawing>
          <wp:inline distT="0" distB="0" distL="0" distR="0" wp14:anchorId="00E48675" wp14:editId="5A06D8F8">
            <wp:extent cx="6645910" cy="1310005"/>
            <wp:effectExtent l="0" t="0" r="254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391">
                      <a:extLst>
                        <a:ext uri="{28A0092B-C50C-407E-A947-70E740481C1C}">
                          <a14:useLocalDpi xmlns:a14="http://schemas.microsoft.com/office/drawing/2010/main" val="0"/>
                        </a:ext>
                      </a:extLst>
                    </a:blip>
                    <a:stretch>
                      <a:fillRect/>
                    </a:stretch>
                  </pic:blipFill>
                  <pic:spPr>
                    <a:xfrm>
                      <a:off x="0" y="0"/>
                      <a:ext cx="6645910" cy="1310005"/>
                    </a:xfrm>
                    <a:prstGeom prst="rect">
                      <a:avLst/>
                    </a:prstGeom>
                  </pic:spPr>
                </pic:pic>
              </a:graphicData>
            </a:graphic>
          </wp:inline>
        </w:drawing>
      </w:r>
    </w:p>
    <w:p w14:paraId="28FF9E8C" w14:textId="77777777" w:rsidR="00751E06" w:rsidRPr="00A452F2" w:rsidRDefault="00751E06" w:rsidP="00525768">
      <w:pPr>
        <w:rPr>
          <w:lang w:val="en-GB"/>
        </w:rPr>
      </w:pPr>
      <w:r w:rsidRPr="00A452F2">
        <w:rPr>
          <w:lang w:val="en-GB"/>
        </w:rPr>
        <w:lastRenderedPageBreak/>
        <w:t xml:space="preserve">Notice the Standby Normal fluctuates wildly, reaching as high at 90%. The other 2 cache remains constantly negligible. The chart above is based on &gt;26000 samples, so there is plenty of chance for each 3 </w:t>
      </w:r>
      <w:r>
        <w:rPr>
          <w:lang w:val="en-GB"/>
        </w:rPr>
        <w:t>metrics</w:t>
      </w:r>
      <w:r w:rsidRPr="00A452F2">
        <w:rPr>
          <w:lang w:val="en-GB"/>
        </w:rPr>
        <w:t xml:space="preserve"> to fluctuate.</w:t>
      </w:r>
    </w:p>
    <w:p w14:paraId="717220D8" w14:textId="77777777" w:rsidR="00751E06" w:rsidRPr="00A452F2" w:rsidRDefault="00751E06" w:rsidP="00525768">
      <w:pPr>
        <w:rPr>
          <w:lang w:val="en-GB"/>
        </w:rPr>
      </w:pPr>
      <w:r w:rsidRPr="00A452F2">
        <w:rPr>
          <w:lang w:val="en-GB"/>
        </w:rPr>
        <w:t xml:space="preserve">Now let’s look at another example. This is a Windows Server 2016. I think it was running Business Intelligence software Tableau. </w:t>
      </w:r>
    </w:p>
    <w:p w14:paraId="42630351" w14:textId="77777777" w:rsidR="00751E06" w:rsidRPr="00A452F2" w:rsidRDefault="00751E06" w:rsidP="00525768">
      <w:pPr>
        <w:rPr>
          <w:lang w:val="en-GB"/>
        </w:rPr>
      </w:pPr>
      <w:r>
        <w:rPr>
          <w:noProof/>
        </w:rPr>
        <w:drawing>
          <wp:inline distT="0" distB="0" distL="0" distR="0" wp14:anchorId="53BE9136" wp14:editId="50D5B83B">
            <wp:extent cx="6645910" cy="1321435"/>
            <wp:effectExtent l="0" t="0" r="254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pic:nvPicPr>
                  <pic:blipFill>
                    <a:blip r:embed="rId392">
                      <a:extLst>
                        <a:ext uri="{28A0092B-C50C-407E-A947-70E740481C1C}">
                          <a14:useLocalDpi xmlns:a14="http://schemas.microsoft.com/office/drawing/2010/main" val="0"/>
                        </a:ext>
                      </a:extLst>
                    </a:blip>
                    <a:stretch>
                      <a:fillRect/>
                    </a:stretch>
                  </pic:blipFill>
                  <pic:spPr>
                    <a:xfrm>
                      <a:off x="0" y="0"/>
                      <a:ext cx="6645910" cy="1321435"/>
                    </a:xfrm>
                    <a:prstGeom prst="rect">
                      <a:avLst/>
                    </a:prstGeom>
                  </pic:spPr>
                </pic:pic>
              </a:graphicData>
            </a:graphic>
          </wp:inline>
        </w:drawing>
      </w:r>
    </w:p>
    <w:p w14:paraId="6B831636" w14:textId="77777777" w:rsidR="00751E06" w:rsidRPr="00A452F2" w:rsidRDefault="00751E06" w:rsidP="00525768">
      <w:pPr>
        <w:rPr>
          <w:lang w:val="en-GB"/>
        </w:rPr>
      </w:pPr>
      <w:r w:rsidRPr="00A452F2">
        <w:rPr>
          <w:lang w:val="en-GB"/>
        </w:rPr>
        <w:t>Notice the VM usable memory was increased 2x in the last 3 months. Standby Normal hardly move, but Standby Reserve took advantage of the increments. It simply went up accordingly, although again it’s fluctuating wildly.</w:t>
      </w:r>
    </w:p>
    <w:p w14:paraId="1EF80304" w14:textId="77777777" w:rsidR="00751E06" w:rsidRPr="00A452F2" w:rsidRDefault="00751E06" w:rsidP="00525768">
      <w:pPr>
        <w:pStyle w:val="Heading5"/>
      </w:pPr>
      <w:r w:rsidRPr="00A452F2">
        <w:t>Cache</w:t>
      </w:r>
    </w:p>
    <w:p w14:paraId="2B986B6C" w14:textId="77777777" w:rsidR="00751E06" w:rsidRPr="00A452F2" w:rsidRDefault="00751E06" w:rsidP="00525768">
      <w:pPr>
        <w:rPr>
          <w:lang w:val="en-GB"/>
        </w:rPr>
      </w:pPr>
      <w:r w:rsidRPr="00A452F2">
        <w:rPr>
          <w:lang w:val="en-GB"/>
        </w:rPr>
        <w:t xml:space="preserve">Cache is an integral part of memory management, as the more you cache, the lower your chance of hitting a cache miss. This makes sense. RAM is much faster than Disk, so if you have it, why not use it? Remember when Windows XP introduced pre-fetch, and subsequently Windows SuperFetch? It’s a clue that </w:t>
      </w:r>
      <w:r>
        <w:rPr>
          <w:lang w:val="en-GB"/>
        </w:rPr>
        <w:t>m</w:t>
      </w:r>
      <w:r w:rsidRPr="00A452F2">
        <w:rPr>
          <w:lang w:val="en-GB"/>
        </w:rPr>
        <w:t xml:space="preserve">emory </w:t>
      </w:r>
      <w:r>
        <w:rPr>
          <w:lang w:val="en-GB"/>
        </w:rPr>
        <w:t>m</w:t>
      </w:r>
      <w:r w:rsidRPr="00A452F2">
        <w:rPr>
          <w:lang w:val="en-GB"/>
        </w:rPr>
        <w:t>anagement is a complex topic. There are many techniques involved. Unfortunately, this is simplified in the UI. All you see is something like this:</w:t>
      </w:r>
    </w:p>
    <w:p w14:paraId="115DE634" w14:textId="77777777" w:rsidR="00751E06" w:rsidRPr="00A452F2" w:rsidRDefault="00751E06" w:rsidP="00525768">
      <w:pPr>
        <w:jc w:val="center"/>
        <w:rPr>
          <w:lang w:val="en-GB"/>
        </w:rPr>
      </w:pPr>
      <w:r>
        <w:rPr>
          <w:noProof/>
        </w:rPr>
        <w:lastRenderedPageBreak/>
        <w:drawing>
          <wp:inline distT="0" distB="0" distL="0" distR="0" wp14:anchorId="320993B0" wp14:editId="3473A220">
            <wp:extent cx="6172200" cy="461772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pic:nvPicPr>
                  <pic:blipFill>
                    <a:blip r:embed="rId393">
                      <a:extLst>
                        <a:ext uri="{28A0092B-C50C-407E-A947-70E740481C1C}">
                          <a14:useLocalDpi xmlns:a14="http://schemas.microsoft.com/office/drawing/2010/main" val="0"/>
                        </a:ext>
                      </a:extLst>
                    </a:blip>
                    <a:stretch>
                      <a:fillRect/>
                    </a:stretch>
                  </pic:blipFill>
                  <pic:spPr>
                    <a:xfrm>
                      <a:off x="0" y="0"/>
                      <a:ext cx="6172200" cy="4617720"/>
                    </a:xfrm>
                    <a:prstGeom prst="rect">
                      <a:avLst/>
                    </a:prstGeom>
                  </pic:spPr>
                </pic:pic>
              </a:graphicData>
            </a:graphic>
          </wp:inline>
        </w:drawing>
      </w:r>
    </w:p>
    <w:p w14:paraId="0D327387" w14:textId="77777777" w:rsidR="00751E06" w:rsidRPr="00A452F2" w:rsidRDefault="00751E06" w:rsidP="00525768">
      <w:pPr>
        <w:pStyle w:val="Heading5"/>
      </w:pPr>
      <w:r w:rsidRPr="00A452F2">
        <w:rPr>
          <w:rStyle w:val="Strong"/>
          <w:b/>
          <w:bCs/>
        </w:rPr>
        <w:t>Free</w:t>
      </w:r>
    </w:p>
    <w:p w14:paraId="6386C6E6" w14:textId="77777777" w:rsidR="00751E06" w:rsidRPr="00A452F2" w:rsidRDefault="00751E06" w:rsidP="00525768">
      <w:pPr>
        <w:rPr>
          <w:lang w:val="en-GB"/>
        </w:rPr>
      </w:pPr>
      <w:r w:rsidRPr="00A452F2">
        <w:rPr>
          <w:lang w:val="en-GB"/>
        </w:rPr>
        <w:t xml:space="preserve">As the name implies, this is a block of pages that is immediately available for usage. This excludes the cached memory. A low </w:t>
      </w:r>
      <w:r>
        <w:rPr>
          <w:lang w:val="en-GB"/>
        </w:rPr>
        <w:t xml:space="preserve">free memory </w:t>
      </w:r>
      <w:r w:rsidRPr="00A452F2">
        <w:rPr>
          <w:lang w:val="en-GB"/>
        </w:rPr>
        <w:t>does not mean a problem if the Standby value is high.</w:t>
      </w:r>
      <w:r>
        <w:rPr>
          <w:lang w:val="en-GB"/>
        </w:rPr>
        <w:t xml:space="preserve"> </w:t>
      </w:r>
      <w:r w:rsidRPr="00A452F2">
        <w:rPr>
          <w:lang w:val="en-GB"/>
        </w:rPr>
        <w:t>This number can reach below 100 MB, and even touch 0 MB</w:t>
      </w:r>
      <w:r>
        <w:rPr>
          <w:lang w:val="en-GB"/>
        </w:rPr>
        <w:t xml:space="preserve"> momentarily</w:t>
      </w:r>
      <w:r w:rsidRPr="00A452F2">
        <w:rPr>
          <w:lang w:val="en-GB"/>
        </w:rPr>
        <w:t>. It’s fine so long there is plenty of cache. I’d generally keep this number &gt; 500 MB for server VM and &gt;100 MB for VDI VM. I set a lower number for VDI because they add up. If you have 10K users, that’s 1 TB of RAM.</w:t>
      </w:r>
    </w:p>
    <w:p w14:paraId="448962FC" w14:textId="5AEF6C54" w:rsidR="00751E06" w:rsidRPr="00A452F2" w:rsidRDefault="00751E06" w:rsidP="00525768">
      <w:pPr>
        <w:rPr>
          <w:lang w:val="en-GB"/>
        </w:rPr>
      </w:pPr>
      <w:r w:rsidRPr="00A452F2">
        <w:rPr>
          <w:lang w:val="en-GB"/>
        </w:rPr>
        <w:t xml:space="preserve">When </w:t>
      </w:r>
      <w:r>
        <w:rPr>
          <w:lang w:val="en-GB"/>
        </w:rPr>
        <w:t xml:space="preserve">Windows or Linux </w:t>
      </w:r>
      <w:r w:rsidRPr="00A452F2">
        <w:rPr>
          <w:lang w:val="en-GB"/>
        </w:rPr>
        <w:t xml:space="preserve">frees up a memory page, it normally just updates its list of free memory; it does not release it. This list is not exposed to the hypervisor, and so the physical page remains claimed by the VM. This is why the Consumed counter in vCenter remains high when the Active counter has long dropped. Because the hypervisor has no visibility into the Guest OS, you may need to deploy an agent to get visibility into your application. You should monitor both at the Guest OS level (for example, Windows and </w:t>
      </w:r>
      <w:r w:rsidR="00CF7D2C" w:rsidRPr="00CF7D2C">
        <w:rPr>
          <w:color w:val="FF0000"/>
          <w:lang w:val="en-GB"/>
        </w:rPr>
        <w:t>Red</w:t>
      </w:r>
      <w:r w:rsidRPr="00A452F2">
        <w:rPr>
          <w:lang w:val="en-GB"/>
        </w:rPr>
        <w:t xml:space="preserve"> Hat) and at the application level (for example, MS SQL Server and Oracle). Check whether there is excessive paging or the Guest OS experiences a hard </w:t>
      </w:r>
      <w:hyperlink r:id="rId394" w:history="1">
        <w:r w:rsidRPr="008E4BE7">
          <w:rPr>
            <w:rStyle w:val="Hyperlink"/>
            <w:lang w:val="en-GB"/>
          </w:rPr>
          <w:t>page fault</w:t>
        </w:r>
      </w:hyperlink>
      <w:r w:rsidRPr="00A452F2">
        <w:rPr>
          <w:lang w:val="en-GB"/>
        </w:rPr>
        <w:t xml:space="preserve">. For Windows, you can use tools such as </w:t>
      </w:r>
      <w:r w:rsidRPr="00F32C42">
        <w:rPr>
          <w:color w:val="00B0F0"/>
          <w:lang w:val="en-GB"/>
        </w:rPr>
        <w:t>pfmon</w:t>
      </w:r>
      <w:r w:rsidRPr="00A452F2">
        <w:rPr>
          <w:lang w:val="en-GB"/>
        </w:rPr>
        <w:t>, a page fault monitor.</w:t>
      </w:r>
    </w:p>
    <w:p w14:paraId="65A739EE" w14:textId="77777777" w:rsidR="00751E06" w:rsidRPr="00A452F2" w:rsidRDefault="00751E06" w:rsidP="00525768">
      <w:pPr>
        <w:rPr>
          <w:lang w:val="en-GB"/>
        </w:rPr>
      </w:pPr>
      <w:r>
        <w:rPr>
          <w:lang w:val="en-GB"/>
        </w:rPr>
        <w:t>This</w:t>
      </w:r>
      <w:r w:rsidRPr="75ACB272">
        <w:rPr>
          <w:lang w:val="en-GB"/>
        </w:rPr>
        <w:t xml:space="preserve"> is one the 3 major </w:t>
      </w:r>
      <w:r>
        <w:rPr>
          <w:lang w:val="en-GB"/>
        </w:rPr>
        <w:t>metrics</w:t>
      </w:r>
      <w:r w:rsidRPr="75ACB272">
        <w:rPr>
          <w:lang w:val="en-GB"/>
        </w:rPr>
        <w:t xml:space="preserve"> for capacity monitoring. The other 2 </w:t>
      </w:r>
      <w:r>
        <w:rPr>
          <w:lang w:val="en-GB"/>
        </w:rPr>
        <w:t>metrics</w:t>
      </w:r>
      <w:r w:rsidRPr="75ACB272">
        <w:rPr>
          <w:lang w:val="en-GB"/>
        </w:rPr>
        <w:t xml:space="preserve"> are Page-in Rate and Commit Ratio. These 3 are not contention </w:t>
      </w:r>
      <w:r>
        <w:rPr>
          <w:lang w:val="en-GB"/>
        </w:rPr>
        <w:t>metrics</w:t>
      </w:r>
      <w:r w:rsidRPr="75ACB272">
        <w:rPr>
          <w:lang w:val="en-GB"/>
        </w:rPr>
        <w:t xml:space="preserve">, they are utilization </w:t>
      </w:r>
      <w:r>
        <w:rPr>
          <w:lang w:val="en-GB"/>
        </w:rPr>
        <w:t>metrics</w:t>
      </w:r>
      <w:r w:rsidRPr="75ACB272">
        <w:rPr>
          <w:lang w:val="en-GB"/>
        </w:rPr>
        <w:t xml:space="preserve">. Bad values can contribute to bad performance, but they can’t measure the severity of the performance. Windows and Linux do not have a counter that measures how long or how often a CPU waits for memory. </w:t>
      </w:r>
    </w:p>
    <w:p w14:paraId="5B665E3D" w14:textId="77777777" w:rsidR="00751E06" w:rsidRPr="00A452F2" w:rsidRDefault="00751E06" w:rsidP="00525768">
      <w:pPr>
        <w:rPr>
          <w:lang w:val="en-GB"/>
        </w:rPr>
      </w:pPr>
      <w:r w:rsidRPr="75ACB272">
        <w:rPr>
          <w:lang w:val="en-GB"/>
        </w:rPr>
        <w:lastRenderedPageBreak/>
        <w:t>In Windows, this is the Free Memory counter. This excludes the cached memory. If this number drops to a low number, Windows is running out of Free RAM. While that number varies per application and use case, generally keep this number &gt; 500 MB for server VM and &gt;100 MB for VDI VM. The reason you should set a lower number for VDI because they add up quickly. If you have 10K users, that’s 1 TB of RAM.</w:t>
      </w:r>
    </w:p>
    <w:p w14:paraId="30724F6E" w14:textId="77777777" w:rsidR="00751E06" w:rsidRDefault="00751E06" w:rsidP="00525768">
      <w:pPr>
        <w:rPr>
          <w:lang w:val="en-GB"/>
        </w:rPr>
      </w:pPr>
      <w:r>
        <w:rPr>
          <w:lang w:val="en-GB"/>
        </w:rPr>
        <w:t>It’s okay for this counter to be low, so long other memory metrics are fine. The following table shows VMs with near 0 free memory. Notice none of them are needing more memory. This is the perfect situation as there is no wastage.</w:t>
      </w:r>
    </w:p>
    <w:p w14:paraId="2C5DF612" w14:textId="77777777" w:rsidR="00751E06" w:rsidRPr="00A452F2" w:rsidRDefault="00751E06" w:rsidP="00525768">
      <w:pPr>
        <w:jc w:val="center"/>
        <w:rPr>
          <w:lang w:val="en-GB"/>
        </w:rPr>
      </w:pPr>
      <w:r w:rsidRPr="0061376F">
        <w:rPr>
          <w:noProof/>
          <w:lang w:val="en-GB"/>
        </w:rPr>
        <w:drawing>
          <wp:inline distT="0" distB="0" distL="0" distR="0" wp14:anchorId="531F81A3" wp14:editId="7ABD2626">
            <wp:extent cx="4739640" cy="3195838"/>
            <wp:effectExtent l="0" t="0" r="3810" b="5080"/>
            <wp:docPr id="357815376" name="Picture 357815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4744366" cy="3199025"/>
                    </a:xfrm>
                    <a:prstGeom prst="rect">
                      <a:avLst/>
                    </a:prstGeom>
                  </pic:spPr>
                </pic:pic>
              </a:graphicData>
            </a:graphic>
          </wp:inline>
        </w:drawing>
      </w:r>
    </w:p>
    <w:p w14:paraId="2BB5DDFB" w14:textId="77777777" w:rsidR="00751E06" w:rsidRDefault="00751E06" w:rsidP="00525768">
      <w:pPr>
        <w:pStyle w:val="Heading5"/>
        <w:rPr>
          <w:rStyle w:val="Strong"/>
          <w:b/>
          <w:bCs/>
        </w:rPr>
      </w:pPr>
      <w:r w:rsidRPr="00A452F2">
        <w:rPr>
          <w:rStyle w:val="Strong"/>
          <w:b/>
          <w:bCs/>
        </w:rPr>
        <w:t>Page File</w:t>
      </w:r>
    </w:p>
    <w:p w14:paraId="7B11A24F" w14:textId="77777777" w:rsidR="00751E06" w:rsidRPr="00FB02AC" w:rsidRDefault="00000000" w:rsidP="00525768">
      <w:pPr>
        <w:rPr>
          <w:lang w:val="en-GB"/>
        </w:rPr>
      </w:pPr>
      <w:hyperlink r:id="rId396" w:history="1">
        <w:r w:rsidR="00751E06" w:rsidRPr="00986E92">
          <w:rPr>
            <w:rStyle w:val="Hyperlink"/>
            <w:lang w:val="en-GB"/>
          </w:rPr>
          <w:t>Memory paging</w:t>
        </w:r>
      </w:hyperlink>
      <w:r w:rsidR="00751E06">
        <w:rPr>
          <w:lang w:val="en-GB"/>
        </w:rPr>
        <w:t xml:space="preserve"> is an </w:t>
      </w:r>
      <w:r w:rsidR="00751E06" w:rsidRPr="00A452F2">
        <w:rPr>
          <w:lang w:val="en-GB"/>
        </w:rPr>
        <w:t xml:space="preserve">integral part of Guest OS Memory Management. OS begins using it even though it still has plenty of physical memory. It uses both physical memory and virtual memory at the same time. Microsoft recommends that you do not delete or disable the page file. See </w:t>
      </w:r>
      <w:hyperlink r:id="rId397" w:history="1">
        <w:r w:rsidR="00751E06" w:rsidRPr="00A452F2">
          <w:rPr>
            <w:rStyle w:val="Hyperlink"/>
            <w:lang w:val="en-GB"/>
          </w:rPr>
          <w:t>this</w:t>
        </w:r>
      </w:hyperlink>
      <w:r w:rsidR="00751E06" w:rsidRPr="00A452F2">
        <w:rPr>
          <w:lang w:val="en-GB"/>
        </w:rPr>
        <w:t xml:space="preserve"> for reference.</w:t>
      </w:r>
    </w:p>
    <w:p w14:paraId="6E8CBB20" w14:textId="77777777" w:rsidR="00751E06" w:rsidRPr="00A452F2" w:rsidRDefault="00751E06" w:rsidP="00525768">
      <w:pPr>
        <w:jc w:val="center"/>
        <w:rPr>
          <w:lang w:val="en-GB"/>
        </w:rPr>
      </w:pPr>
      <w:r>
        <w:rPr>
          <w:noProof/>
        </w:rPr>
        <w:drawing>
          <wp:inline distT="0" distB="0" distL="0" distR="0" wp14:anchorId="456D7B23" wp14:editId="1419C6F5">
            <wp:extent cx="4452730" cy="1437715"/>
            <wp:effectExtent l="0" t="0" r="5080" b="0"/>
            <wp:docPr id="606394061" name="Picture 606394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61"/>
                    <pic:cNvPicPr/>
                  </pic:nvPicPr>
                  <pic:blipFill>
                    <a:blip r:embed="rId398">
                      <a:extLst>
                        <a:ext uri="{28A0092B-C50C-407E-A947-70E740481C1C}">
                          <a14:useLocalDpi xmlns:a14="http://schemas.microsoft.com/office/drawing/2010/main" val="0"/>
                        </a:ext>
                      </a:extLst>
                    </a:blip>
                    <a:stretch>
                      <a:fillRect/>
                    </a:stretch>
                  </pic:blipFill>
                  <pic:spPr>
                    <a:xfrm>
                      <a:off x="0" y="0"/>
                      <a:ext cx="4452730" cy="1437715"/>
                    </a:xfrm>
                    <a:prstGeom prst="rect">
                      <a:avLst/>
                    </a:prstGeom>
                  </pic:spPr>
                </pic:pic>
              </a:graphicData>
            </a:graphic>
          </wp:inline>
        </w:drawing>
      </w:r>
    </w:p>
    <w:p w14:paraId="27F3BDFA" w14:textId="77777777" w:rsidR="00751E06" w:rsidRPr="00A452F2" w:rsidRDefault="00751E06" w:rsidP="00525768">
      <w:pPr>
        <w:rPr>
          <w:lang w:val="en-GB"/>
        </w:rPr>
      </w:pPr>
      <w:r w:rsidRPr="00A452F2">
        <w:rPr>
          <w:lang w:val="en-GB"/>
        </w:rPr>
        <w:t>As shown on the diagram, processes see virtual memory, not physical memory. Guest OS presents this as system API to processes. The virtual memory is backed by the page file and physical memory. Guest OS shields the physical memory and hardware. Paging is an operation of reading/writing from the page file into the physical memory, not from physical disk into the page file.</w:t>
      </w:r>
    </w:p>
    <w:p w14:paraId="4CCBE355" w14:textId="77777777" w:rsidR="00751E06" w:rsidRDefault="00751E06" w:rsidP="00525768">
      <w:pPr>
        <w:rPr>
          <w:lang w:val="en-GB"/>
        </w:rPr>
      </w:pPr>
      <w:r w:rsidRPr="00A452F2">
        <w:rPr>
          <w:lang w:val="en-GB"/>
        </w:rPr>
        <w:lastRenderedPageBreak/>
        <w:t>Let Windows manages the pagefile size. This is the default setting, so you likely have it already. By default, windows sets the pagefile size to the same size with the physical memory. So if the VM has 8 GB of RAM, the pagefile is an 8 GB file. Anything above 8 GB indicates that Windows is under memory pressure.</w:t>
      </w:r>
    </w:p>
    <w:p w14:paraId="44DD009B" w14:textId="77777777" w:rsidR="00751E06" w:rsidRDefault="00751E06" w:rsidP="00525768">
      <w:pPr>
        <w:rPr>
          <w:lang w:val="en-GB"/>
        </w:rPr>
      </w:pPr>
      <w:r>
        <w:rPr>
          <w:lang w:val="en-GB"/>
        </w:rPr>
        <w:t xml:space="preserve">The VM metric </w:t>
      </w:r>
      <w:r w:rsidRPr="00C55AF5">
        <w:rPr>
          <w:color w:val="00B0F0"/>
          <w:lang w:val="en-GB"/>
        </w:rPr>
        <w:t xml:space="preserve">Guest \ Swap Space Remaining </w:t>
      </w:r>
      <w:r>
        <w:rPr>
          <w:lang w:val="en-GB"/>
        </w:rPr>
        <w:t xml:space="preserve">tracks the </w:t>
      </w:r>
      <w:r w:rsidRPr="00372271">
        <w:rPr>
          <w:lang w:val="en-GB"/>
        </w:rPr>
        <w:t>amount of swap space that's free</w:t>
      </w:r>
      <w:r>
        <w:rPr>
          <w:lang w:val="en-GB"/>
        </w:rPr>
        <w:t>.</w:t>
      </w:r>
    </w:p>
    <w:p w14:paraId="6D6D1425" w14:textId="77777777" w:rsidR="00751E06" w:rsidRPr="00AF71EC" w:rsidRDefault="00751E06" w:rsidP="00525768">
      <w:pPr>
        <w:pStyle w:val="Tablecontent"/>
      </w:pPr>
      <w:r w:rsidRPr="00AF71EC">
        <w:t xml:space="preserve">The size of Page File is not a perfect indicator of the RAM usage, because they contain pages that are never demanded by the </w:t>
      </w:r>
      <w:r>
        <w:t>a</w:t>
      </w:r>
      <w:r w:rsidRPr="00AF71EC">
        <w:t>pp</w:t>
      </w:r>
      <w:r>
        <w:t>lication</w:t>
      </w:r>
      <w:r w:rsidRPr="00AF71EC">
        <w:t>. Windows does SuperFetch, where it predicts what pages will be used and prefetch them in advance. Some of these pages are never demanded by the application. Couple with the nature that Guest OS treats RAM as cache, including the page file will result in oversized recommendation. Paging rate is more realistic as it only considers the recent time period (300 seconds in vRealize Operations case)</w:t>
      </w:r>
    </w:p>
    <w:p w14:paraId="0CAAC77B" w14:textId="77777777" w:rsidR="00751E06" w:rsidRDefault="00751E06" w:rsidP="00525768">
      <w:r w:rsidRPr="00AF71EC">
        <w:t>A page would be used as cache if it was paged out at some point due to memory pressure and it hasn’t been needed since.</w:t>
      </w:r>
      <w:r>
        <w:t xml:space="preserve"> </w:t>
      </w:r>
      <w:r w:rsidRPr="00AF71EC">
        <w:t>The OS will reuse that page as cache.</w:t>
      </w:r>
      <w:r>
        <w:t xml:space="preserve"> </w:t>
      </w:r>
      <w:r w:rsidRPr="00AF71EC">
        <w:t>That means that at some point the OS was constrained on memory enough to force the page out to happen.</w:t>
      </w:r>
    </w:p>
    <w:p w14:paraId="0EB36CDD" w14:textId="77777777" w:rsidR="00751E06" w:rsidRDefault="00751E06" w:rsidP="00525768">
      <w:pPr>
        <w:rPr>
          <w:lang w:val="en-GB"/>
        </w:rPr>
      </w:pPr>
      <w:r w:rsidRPr="75ACB272">
        <w:rPr>
          <w:lang w:val="en-GB"/>
        </w:rPr>
        <w:t>A page that was paged out earlier, has to be brought back first before it can be used. This creates performance issue as the application is waiting longer, as disk is much slower than RAM.</w:t>
      </w:r>
    </w:p>
    <w:p w14:paraId="14641016" w14:textId="77777777" w:rsidR="00751E06" w:rsidRPr="00A452F2" w:rsidRDefault="00751E06" w:rsidP="00525768">
      <w:pPr>
        <w:rPr>
          <w:lang w:val="en-GB"/>
        </w:rPr>
      </w:pPr>
      <w:r w:rsidRPr="00A452F2">
        <w:rPr>
          <w:lang w:val="en-GB"/>
        </w:rPr>
        <w:t xml:space="preserve">There are 2 types of page operations: </w:t>
      </w:r>
    </w:p>
    <w:p w14:paraId="5DC9DF80" w14:textId="77777777" w:rsidR="00751E06" w:rsidRPr="00813F0A" w:rsidRDefault="00751E06" w:rsidP="00525768">
      <w:pPr>
        <w:pStyle w:val="Bullet"/>
      </w:pPr>
      <w:r w:rsidRPr="00813F0A">
        <w:t>Page In. This is a potential indicator for performance</w:t>
      </w:r>
      <w:r>
        <w:t>.</w:t>
      </w:r>
    </w:p>
    <w:p w14:paraId="24902498" w14:textId="77777777" w:rsidR="00751E06" w:rsidRPr="00813F0A" w:rsidRDefault="00751E06" w:rsidP="00525768">
      <w:pPr>
        <w:pStyle w:val="Bullet"/>
      </w:pPr>
      <w:r w:rsidRPr="00813F0A">
        <w:t>Page-out. This is a potential indicator for capacity.</w:t>
      </w:r>
    </w:p>
    <w:p w14:paraId="48D88EB2" w14:textId="77777777" w:rsidR="00751E06" w:rsidRPr="00A452F2" w:rsidRDefault="00751E06" w:rsidP="00525768">
      <w:pPr>
        <w:rPr>
          <w:lang w:val="en-GB"/>
        </w:rPr>
      </w:pPr>
      <w:r w:rsidRPr="00A452F2">
        <w:rPr>
          <w:lang w:val="en-GB"/>
        </w:rPr>
        <w:t xml:space="preserve">While Paging impacts performance, the correlation between the paging </w:t>
      </w:r>
      <w:r>
        <w:rPr>
          <w:lang w:val="en-GB"/>
        </w:rPr>
        <w:t>metrics</w:t>
      </w:r>
      <w:r w:rsidRPr="00A452F2">
        <w:rPr>
          <w:lang w:val="en-GB"/>
        </w:rPr>
        <w:t xml:space="preserve"> and performance varies per application. You can’t set a threshold and use it to monitor </w:t>
      </w:r>
      <w:r>
        <w:rPr>
          <w:lang w:val="en-GB"/>
        </w:rPr>
        <w:t>different applications or VM</w:t>
      </w:r>
      <w:r w:rsidRPr="00A452F2">
        <w:rPr>
          <w:lang w:val="en-GB"/>
        </w:rPr>
        <w:t xml:space="preserve">. The reason is paging is not always used when Guest OS runs out of memory. There are </w:t>
      </w:r>
      <w:r>
        <w:rPr>
          <w:lang w:val="en-GB"/>
        </w:rPr>
        <w:t xml:space="preserve">a few reasons why </w:t>
      </w:r>
      <w:r w:rsidRPr="00A452F2">
        <w:rPr>
          <w:lang w:val="en-GB"/>
        </w:rPr>
        <w:t xml:space="preserve">paging </w:t>
      </w:r>
      <w:r>
        <w:rPr>
          <w:lang w:val="en-GB"/>
        </w:rPr>
        <w:t xml:space="preserve">may not </w:t>
      </w:r>
      <w:r w:rsidRPr="00A452F2">
        <w:rPr>
          <w:lang w:val="en-GB"/>
        </w:rPr>
        <w:t xml:space="preserve">correlate to </w:t>
      </w:r>
      <w:r>
        <w:rPr>
          <w:lang w:val="en-GB"/>
        </w:rPr>
        <w:t xml:space="preserve">memory </w:t>
      </w:r>
      <w:r w:rsidRPr="00A452F2">
        <w:rPr>
          <w:lang w:val="en-GB"/>
        </w:rPr>
        <w:t>performance</w:t>
      </w:r>
      <w:r>
        <w:rPr>
          <w:lang w:val="en-GB"/>
        </w:rPr>
        <w:t>:</w:t>
      </w:r>
    </w:p>
    <w:p w14:paraId="36E71456" w14:textId="77777777" w:rsidR="00751E06" w:rsidRDefault="00751E06" w:rsidP="00525768">
      <w:pPr>
        <w:pStyle w:val="Bullet"/>
        <w:rPr>
          <w:lang w:val="en-GB"/>
        </w:rPr>
      </w:pPr>
      <w:r>
        <w:rPr>
          <w:lang w:val="en-GB"/>
        </w:rPr>
        <w:t xml:space="preserve">Application binary. The initial loading causes a page-in. Nobody will feel the performance impact as it’s not even serving anyone. </w:t>
      </w:r>
    </w:p>
    <w:p w14:paraId="5A0400A1" w14:textId="77777777" w:rsidR="00751E06" w:rsidRPr="00A452F2" w:rsidRDefault="00751E06" w:rsidP="00525768">
      <w:pPr>
        <w:pStyle w:val="Bullet"/>
        <w:rPr>
          <w:lang w:val="en-GB"/>
        </w:rPr>
      </w:pPr>
      <w:r w:rsidRPr="00A452F2">
        <w:rPr>
          <w:lang w:val="en-GB"/>
        </w:rPr>
        <w:t>Memory mapped files. This is essentially a file that has a mapping to memory. Processes use this to exchange data. It also allows the process to access a very large file (think of database) without having to load the entire database into memory.</w:t>
      </w:r>
    </w:p>
    <w:p w14:paraId="66991513" w14:textId="77777777" w:rsidR="00751E06" w:rsidRDefault="00751E06" w:rsidP="00525768">
      <w:pPr>
        <w:pStyle w:val="Bullet"/>
        <w:rPr>
          <w:lang w:val="en-GB"/>
        </w:rPr>
      </w:pPr>
      <w:r w:rsidRPr="00A452F2">
        <w:rPr>
          <w:lang w:val="en-GB"/>
        </w:rPr>
        <w:t>Proactive pre-fetch. It predicts the usage of memory and pre-emptively reads the page and bring it in. This is no different to disk where the storage array will read subsequent blocks even though it’s not being asked. This especially happens when a large application starts. Page-in will go up even though there is no memory pressure (page out is low or 0).</w:t>
      </w:r>
    </w:p>
    <w:p w14:paraId="19CA6C05" w14:textId="77777777" w:rsidR="00751E06" w:rsidRPr="00A452F2" w:rsidRDefault="00751E06" w:rsidP="00525768">
      <w:pPr>
        <w:pStyle w:val="Bullet"/>
        <w:rPr>
          <w:lang w:val="en-GB"/>
        </w:rPr>
      </w:pPr>
      <w:r>
        <w:t xml:space="preserve">Windows </w:t>
      </w:r>
      <w:r w:rsidRPr="006601C7">
        <w:t>performs memory capacity optimization in the background. It will move idle processes out</w:t>
      </w:r>
      <w:r>
        <w:t xml:space="preserve"> into the page file.</w:t>
      </w:r>
    </w:p>
    <w:p w14:paraId="059EC7CC" w14:textId="77777777" w:rsidR="00751E06" w:rsidRDefault="00751E06" w:rsidP="00525768">
      <w:pPr>
        <w:rPr>
          <w:lang w:val="en-GB"/>
        </w:rPr>
      </w:pPr>
      <w:r w:rsidRPr="00A452F2">
        <w:rPr>
          <w:lang w:val="en-GB"/>
        </w:rPr>
        <w:t>If you see both Page-in and Page-out hav</w:t>
      </w:r>
      <w:r>
        <w:rPr>
          <w:lang w:val="en-GB"/>
        </w:rPr>
        <w:t>ing</w:t>
      </w:r>
      <w:r w:rsidRPr="00A452F2">
        <w:rPr>
          <w:lang w:val="en-GB"/>
        </w:rPr>
        <w:t xml:space="preserve"> high value, and the disk queue is </w:t>
      </w:r>
      <w:r>
        <w:rPr>
          <w:lang w:val="en-GB"/>
        </w:rPr>
        <w:t xml:space="preserve">also </w:t>
      </w:r>
      <w:r w:rsidRPr="00A452F2">
        <w:rPr>
          <w:lang w:val="en-GB"/>
        </w:rPr>
        <w:t xml:space="preserve">high, </w:t>
      </w:r>
      <w:r>
        <w:rPr>
          <w:lang w:val="en-GB"/>
        </w:rPr>
        <w:t xml:space="preserve">there </w:t>
      </w:r>
      <w:r w:rsidRPr="00A452F2">
        <w:rPr>
          <w:lang w:val="en-GB"/>
        </w:rPr>
        <w:t xml:space="preserve">is </w:t>
      </w:r>
      <w:r>
        <w:rPr>
          <w:lang w:val="en-GB"/>
        </w:rPr>
        <w:t xml:space="preserve">a good chance it’s </w:t>
      </w:r>
      <w:r w:rsidRPr="00A452F2">
        <w:rPr>
          <w:lang w:val="en-GB"/>
        </w:rPr>
        <w:t xml:space="preserve">memory performance </w:t>
      </w:r>
      <w:r>
        <w:rPr>
          <w:lang w:val="en-GB"/>
        </w:rPr>
        <w:t>issue.</w:t>
      </w:r>
    </w:p>
    <w:p w14:paraId="376397A1" w14:textId="77777777" w:rsidR="00751E06" w:rsidRDefault="00751E06" w:rsidP="00525768">
      <w:pPr>
        <w:rPr>
          <w:lang w:val="en-GB"/>
        </w:rPr>
      </w:pPr>
      <w:r w:rsidRPr="00A452F2">
        <w:rPr>
          <w:lang w:val="en-GB"/>
        </w:rPr>
        <w:t xml:space="preserve">The rate pages that are being brought in and out can reveal memory performance abnormalities. A sudden change, or one that has </w:t>
      </w:r>
      <w:r w:rsidRPr="00C2172A">
        <w:rPr>
          <w:i/>
          <w:iCs/>
          <w:color w:val="FF0000"/>
          <w:lang w:val="en-GB"/>
        </w:rPr>
        <w:t>sustained over time</w:t>
      </w:r>
      <w:r w:rsidRPr="00A452F2">
        <w:rPr>
          <w:lang w:val="en-GB"/>
        </w:rPr>
        <w:t xml:space="preserve">, can indicate page faults. Page faults indicate pages aren’t readily available and must be brought in. If a page fault occurs too frequently it can impact application performance. While there is no concrete guidance, as it varies by application, you can </w:t>
      </w:r>
      <w:r>
        <w:rPr>
          <w:lang w:val="en-GB"/>
        </w:rPr>
        <w:t>judge by comparing to its past behaviour and its absolute amount.</w:t>
      </w:r>
      <w:r w:rsidRPr="00A452F2">
        <w:rPr>
          <w:lang w:val="en-GB"/>
        </w:rPr>
        <w:t xml:space="preserve"> </w:t>
      </w:r>
    </w:p>
    <w:p w14:paraId="02BCD003" w14:textId="77777777" w:rsidR="00751E06" w:rsidRPr="00A452F2" w:rsidRDefault="00751E06" w:rsidP="00525768">
      <w:pPr>
        <w:rPr>
          <w:lang w:val="en-GB"/>
        </w:rPr>
      </w:pPr>
      <w:r w:rsidRPr="00A452F2">
        <w:rPr>
          <w:lang w:val="en-GB"/>
        </w:rPr>
        <w:t>Operating Systems typically use 4KB or 2MB page sizes</w:t>
      </w:r>
      <w:r>
        <w:rPr>
          <w:lang w:val="en-GB"/>
        </w:rPr>
        <w:t>. Larger page size will result in more cache, which translates into more memory required.</w:t>
      </w:r>
    </w:p>
    <w:p w14:paraId="2084B25F" w14:textId="77777777" w:rsidR="00751E06" w:rsidRDefault="00751E06" w:rsidP="00525768">
      <w:pPr>
        <w:rPr>
          <w:lang w:val="en-GB"/>
        </w:rPr>
      </w:pPr>
      <w:r w:rsidRPr="75ACB272">
        <w:rPr>
          <w:lang w:val="en-GB"/>
        </w:rPr>
        <w:t xml:space="preserve">The counter </w:t>
      </w:r>
      <w:r w:rsidRPr="00123BC8">
        <w:rPr>
          <w:color w:val="00B0F0"/>
          <w:lang w:val="en-GB"/>
        </w:rPr>
        <w:t>%pagefile</w:t>
      </w:r>
      <w:r w:rsidRPr="75ACB272">
        <w:rPr>
          <w:lang w:val="en-GB"/>
        </w:rPr>
        <w:t xml:space="preserve"> tracks how much of the pagefile is used, meaning the value 100% indicate the pagefile is fully utilized. While the lower the number the better, there is no universal guidance. If you know, let me know!</w:t>
      </w:r>
    </w:p>
    <w:p w14:paraId="1DBBB198" w14:textId="77777777" w:rsidR="00751E06" w:rsidRPr="00A452F2" w:rsidRDefault="00751E06" w:rsidP="00525768">
      <w:pPr>
        <w:rPr>
          <w:lang w:val="en-GB"/>
        </w:rPr>
      </w:pPr>
      <w:r>
        <w:rPr>
          <w:lang w:val="en-GB"/>
        </w:rPr>
        <w:lastRenderedPageBreak/>
        <w:t xml:space="preserve">Reference: </w:t>
      </w:r>
      <w:hyperlink r:id="rId399" w:history="1">
        <w:r w:rsidRPr="00E92945">
          <w:rPr>
            <w:rStyle w:val="Hyperlink"/>
            <w:lang w:val="en-GB"/>
          </w:rPr>
          <w:t>this</w:t>
        </w:r>
      </w:hyperlink>
      <w:r>
        <w:rPr>
          <w:lang w:val="en-GB"/>
        </w:rPr>
        <w:t xml:space="preserve"> is an old article as it covers 32 bit Windows. If you find a newer one, kindly let me know.</w:t>
      </w:r>
    </w:p>
    <w:p w14:paraId="4498DED9" w14:textId="77777777" w:rsidR="00751E06" w:rsidRDefault="00751E06" w:rsidP="00525768">
      <w:pPr>
        <w:pStyle w:val="Heading5"/>
      </w:pPr>
      <w:r w:rsidRPr="75ACB272">
        <w:t>Guest OS Paging metrics</w:t>
      </w:r>
    </w:p>
    <w:p w14:paraId="37AA0160" w14:textId="77777777" w:rsidR="00751E06" w:rsidRPr="00984C2E" w:rsidRDefault="00751E06" w:rsidP="00525768">
      <w:pPr>
        <w:rPr>
          <w:lang w:val="en-GB"/>
        </w:rPr>
      </w:pPr>
      <w:r>
        <w:rPr>
          <w:lang w:val="en-GB"/>
        </w:rPr>
        <w:t>There are 2 metrics. Page-in and Page-out.</w:t>
      </w:r>
    </w:p>
    <w:p w14:paraId="100391DA" w14:textId="77777777" w:rsidR="00751E06" w:rsidRPr="00A452F2" w:rsidRDefault="00751E06" w:rsidP="00525768">
      <w:pPr>
        <w:rPr>
          <w:lang w:val="en-GB"/>
        </w:rPr>
      </w:pPr>
      <w:r w:rsidRPr="75ACB272">
        <w:rPr>
          <w:lang w:val="en-GB"/>
        </w:rPr>
        <w:t>The unit is in number of pages, not MB. It's not possible to convert due to mix use of Large Page (2 MB) and Page (4 KB).</w:t>
      </w:r>
      <w:r w:rsidRPr="00984C2E">
        <w:rPr>
          <w:lang w:val="en-GB"/>
        </w:rPr>
        <w:t xml:space="preserve"> </w:t>
      </w:r>
      <w:r w:rsidRPr="75ACB272">
        <w:rPr>
          <w:lang w:val="en-GB"/>
        </w:rPr>
        <w:t xml:space="preserve">A process can have concurrent mixed usage of </w:t>
      </w:r>
      <w:r>
        <w:rPr>
          <w:lang w:val="en-GB"/>
        </w:rPr>
        <w:t>l</w:t>
      </w:r>
      <w:r w:rsidRPr="75ACB272">
        <w:rPr>
          <w:lang w:val="en-GB"/>
        </w:rPr>
        <w:t>arge and non-</w:t>
      </w:r>
      <w:r>
        <w:rPr>
          <w:lang w:val="en-GB"/>
        </w:rPr>
        <w:t>l</w:t>
      </w:r>
      <w:r w:rsidRPr="75ACB272">
        <w:rPr>
          <w:lang w:val="en-GB"/>
        </w:rPr>
        <w:t>arge page in Windows. The page size isn’t a system-wide setting that all processes use. The same is likely true for Linux Huge Pages</w:t>
      </w:r>
      <w:r>
        <w:rPr>
          <w:lang w:val="en-GB"/>
        </w:rPr>
        <w:t>.</w:t>
      </w:r>
    </w:p>
    <w:p w14:paraId="73FF00BB" w14:textId="77777777" w:rsidR="00751E06" w:rsidRPr="00A452F2" w:rsidRDefault="00751E06" w:rsidP="00525768">
      <w:pPr>
        <w:rPr>
          <w:lang w:val="en-GB"/>
        </w:rPr>
      </w:pPr>
      <w:r w:rsidRPr="75ACB272">
        <w:rPr>
          <w:lang w:val="en-GB"/>
        </w:rPr>
        <w:t xml:space="preserve">The </w:t>
      </w:r>
      <w:r>
        <w:rPr>
          <w:lang w:val="en-GB"/>
        </w:rPr>
        <w:t>page-in rate metric tracks the r</w:t>
      </w:r>
      <w:r w:rsidRPr="75ACB272">
        <w:rPr>
          <w:lang w:val="en-GB"/>
        </w:rPr>
        <w:t xml:space="preserve">ate </w:t>
      </w:r>
      <w:r>
        <w:rPr>
          <w:lang w:val="en-GB"/>
        </w:rPr>
        <w:t>OS</w:t>
      </w:r>
      <w:r w:rsidRPr="75ACB272">
        <w:rPr>
          <w:lang w:val="en-GB"/>
        </w:rPr>
        <w:t xml:space="preserve"> bring</w:t>
      </w:r>
      <w:r>
        <w:rPr>
          <w:lang w:val="en-GB"/>
        </w:rPr>
        <w:t>s</w:t>
      </w:r>
      <w:r w:rsidRPr="75ACB272">
        <w:rPr>
          <w:lang w:val="en-GB"/>
        </w:rPr>
        <w:t xml:space="preserve"> memory back from disk to DIMM per second. Another word, the rate of reads going through paging/cache system. It includes not just swap</w:t>
      </w:r>
      <w:r>
        <w:rPr>
          <w:lang w:val="en-GB"/>
        </w:rPr>
        <w:t xml:space="preserve"> </w:t>
      </w:r>
      <w:r w:rsidRPr="75ACB272">
        <w:rPr>
          <w:lang w:val="en-GB"/>
        </w:rPr>
        <w:t xml:space="preserve">file I/O, but cacheable reads as well </w:t>
      </w:r>
      <w:r>
        <w:rPr>
          <w:lang w:val="en-GB"/>
        </w:rPr>
        <w:t xml:space="preserve">(so it’s </w:t>
      </w:r>
      <w:r w:rsidRPr="75ACB272">
        <w:rPr>
          <w:lang w:val="en-GB"/>
        </w:rPr>
        <w:t xml:space="preserve">double pages/s). </w:t>
      </w:r>
    </w:p>
    <w:p w14:paraId="18CBEA0A" w14:textId="77777777" w:rsidR="00751E06" w:rsidRDefault="00751E06" w:rsidP="00525768">
      <w:pPr>
        <w:rPr>
          <w:lang w:val="en-GB"/>
        </w:rPr>
      </w:pPr>
      <w:r w:rsidRPr="75ACB272">
        <w:rPr>
          <w:lang w:val="en-GB"/>
        </w:rPr>
        <w:t>Page Out is the opposite of the above process. It is not as important as Page In. Just because a block of memory is moved to disk that does not mean the application experiences memory problem. In many cases, the page that was moved out is the idle page. Windows does not page out any Large Pages.</w:t>
      </w:r>
    </w:p>
    <w:p w14:paraId="61DE4EE2" w14:textId="77777777" w:rsidR="00751E06" w:rsidRDefault="00751E06" w:rsidP="00525768">
      <w:pPr>
        <w:rPr>
          <w:lang w:val="en-GB"/>
        </w:rPr>
      </w:pPr>
      <w:r>
        <w:rPr>
          <w:lang w:val="en-GB"/>
        </w:rPr>
        <w:t xml:space="preserve">The following shows the </w:t>
      </w:r>
      <w:r w:rsidRPr="002101DF">
        <w:rPr>
          <w:color w:val="00B0F0"/>
          <w:lang w:val="en-GB"/>
        </w:rPr>
        <w:t xml:space="preserve">page out </w:t>
      </w:r>
      <w:r>
        <w:rPr>
          <w:lang w:val="en-GB"/>
        </w:rPr>
        <w:t>value at 99</w:t>
      </w:r>
      <w:r w:rsidRPr="001A6BCC">
        <w:rPr>
          <w:vertAlign w:val="superscript"/>
          <w:lang w:val="en-GB"/>
        </w:rPr>
        <w:t>th</w:t>
      </w:r>
      <w:r>
        <w:rPr>
          <w:lang w:val="en-GB"/>
        </w:rPr>
        <w:t xml:space="preserve"> percentile in the last 4 months. What do you observe?</w:t>
      </w:r>
    </w:p>
    <w:p w14:paraId="2885185B" w14:textId="77777777" w:rsidR="00751E06" w:rsidRDefault="00751E06" w:rsidP="00525768">
      <w:pPr>
        <w:jc w:val="center"/>
        <w:rPr>
          <w:lang w:val="en-GB"/>
        </w:rPr>
      </w:pPr>
      <w:r w:rsidRPr="00F01B4C">
        <w:rPr>
          <w:noProof/>
          <w:lang w:val="en-GB"/>
        </w:rPr>
        <w:drawing>
          <wp:inline distT="0" distB="0" distL="0" distR="0" wp14:anchorId="3BF2654B" wp14:editId="5D24C23D">
            <wp:extent cx="4842000" cy="1857600"/>
            <wp:effectExtent l="0" t="0" r="0" b="9525"/>
            <wp:docPr id="918289634" name="Picture 918289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4842000" cy="1857600"/>
                    </a:xfrm>
                    <a:prstGeom prst="rect">
                      <a:avLst/>
                    </a:prstGeom>
                  </pic:spPr>
                </pic:pic>
              </a:graphicData>
            </a:graphic>
          </wp:inline>
        </w:drawing>
      </w:r>
    </w:p>
    <w:p w14:paraId="15043640" w14:textId="77777777" w:rsidR="00751E06" w:rsidRDefault="00751E06" w:rsidP="00525768">
      <w:pPr>
        <w:rPr>
          <w:lang w:val="en-GB"/>
        </w:rPr>
      </w:pPr>
      <w:r>
        <w:rPr>
          <w:lang w:val="en-GB"/>
        </w:rPr>
        <w:t xml:space="preserve">There are 3325 VM in the above chart. In the last 4 months, 97% of them have page-out rate of less than 32000 pages, on a 5-minute average basis. </w:t>
      </w:r>
    </w:p>
    <w:p w14:paraId="5DA1EAE6" w14:textId="77777777" w:rsidR="00751E06" w:rsidRDefault="00751E06" w:rsidP="00525768">
      <w:pPr>
        <w:rPr>
          <w:lang w:val="en-GB"/>
        </w:rPr>
      </w:pPr>
      <w:r>
        <w:rPr>
          <w:lang w:val="en-GB"/>
        </w:rPr>
        <w:t xml:space="preserve">How about the remaining 3%? </w:t>
      </w:r>
    </w:p>
    <w:p w14:paraId="27BD557E" w14:textId="77777777" w:rsidR="00751E06" w:rsidRDefault="00751E06" w:rsidP="00525768">
      <w:pPr>
        <w:rPr>
          <w:lang w:val="en-GB"/>
        </w:rPr>
      </w:pPr>
      <w:r>
        <w:rPr>
          <w:lang w:val="en-GB"/>
        </w:rPr>
        <w:t xml:space="preserve">Surprisingly, a few of them can be well 500000, indicating there is a wide range. So majority of VMs do not page out, but those that do, they do it excessively. </w:t>
      </w:r>
    </w:p>
    <w:p w14:paraId="258597BE" w14:textId="77777777" w:rsidR="00751E06" w:rsidRDefault="00751E06" w:rsidP="00525768">
      <w:pPr>
        <w:rPr>
          <w:lang w:val="en-GB"/>
        </w:rPr>
      </w:pPr>
      <w:r w:rsidRPr="75ACB272">
        <w:rPr>
          <w:lang w:val="en-GB"/>
        </w:rPr>
        <w:t>The block size is likely 4 KB. Some applications like Java and databases use 2</w:t>
      </w:r>
      <w:r>
        <w:rPr>
          <w:lang w:val="en-GB"/>
        </w:rPr>
        <w:t xml:space="preserve"> </w:t>
      </w:r>
      <w:r w:rsidRPr="75ACB272">
        <w:rPr>
          <w:lang w:val="en-GB"/>
        </w:rPr>
        <w:t>MB pages.</w:t>
      </w:r>
      <w:r>
        <w:rPr>
          <w:lang w:val="en-GB"/>
        </w:rPr>
        <w:t xml:space="preserve"> Using 8 KB as the average, 10000 pages per second sustained over 5 minutes means 80000 KB x 300 = 24 GB worth of data.</w:t>
      </w:r>
    </w:p>
    <w:p w14:paraId="111B2D1E" w14:textId="77777777" w:rsidR="00751E06" w:rsidRDefault="00751E06" w:rsidP="00525768">
      <w:pPr>
        <w:rPr>
          <w:lang w:val="en-GB"/>
        </w:rPr>
      </w:pPr>
      <w:r>
        <w:rPr>
          <w:lang w:val="en-GB"/>
        </w:rPr>
        <w:t>You can profile your environment to see which VMs are experiencing high paging. Create a view with the following 6 columns</w:t>
      </w:r>
    </w:p>
    <w:p w14:paraId="5A9E8A40" w14:textId="3E88B8D8" w:rsidR="00751E06" w:rsidRDefault="00751E06" w:rsidP="00525768">
      <w:pPr>
        <w:pStyle w:val="Bullet"/>
        <w:rPr>
          <w:lang w:val="en-GB"/>
        </w:rPr>
      </w:pPr>
      <w:r>
        <w:rPr>
          <w:lang w:val="en-GB"/>
        </w:rPr>
        <w:t xml:space="preserve">Highest Page-In. Color code it with 1000, 10000, and 100000 as the thresholds. That means </w:t>
      </w:r>
      <w:r w:rsidR="00CF7D2C" w:rsidRPr="00CF7D2C">
        <w:rPr>
          <w:color w:val="FF0000"/>
          <w:lang w:val="en-GB"/>
        </w:rPr>
        <w:t>red</w:t>
      </w:r>
      <w:r>
        <w:rPr>
          <w:lang w:val="en-GB"/>
        </w:rPr>
        <w:t xml:space="preserve"> is 10x </w:t>
      </w:r>
      <w:r w:rsidR="00CF7D2C" w:rsidRPr="00CF7D2C">
        <w:rPr>
          <w:color w:val="ED7D31" w:themeColor="accent2"/>
          <w:lang w:val="en-GB"/>
        </w:rPr>
        <w:t>orange</w:t>
      </w:r>
      <w:r>
        <w:rPr>
          <w:lang w:val="en-GB"/>
        </w:rPr>
        <w:t xml:space="preserve">, which in turn is 10x </w:t>
      </w:r>
      <w:r w:rsidR="000F35C5" w:rsidRPr="009322C0">
        <w:rPr>
          <w:color w:val="000000" w:themeColor="text1"/>
          <w14:textFill>
            <w14:gradFill>
              <w14:gsLst>
                <w14:gs w14:pos="0">
                  <w14:schemeClr w14:val="tx1"/>
                </w14:gs>
                <w14:gs w14:pos="100000">
                  <w14:srgbClr w14:val="FFFF00"/>
                </w14:gs>
              </w14:gsLst>
              <w14:lin w14:ang="16200000" w14:scaled="0"/>
            </w14:gradFill>
          </w14:textFill>
        </w:rPr>
        <w:t>yellow</w:t>
      </w:r>
      <w:r>
        <w:rPr>
          <w:lang w:val="en-GB"/>
        </w:rPr>
        <w:t>.</w:t>
      </w:r>
    </w:p>
    <w:p w14:paraId="0F2A957D" w14:textId="77777777" w:rsidR="00751E06" w:rsidRDefault="00751E06" w:rsidP="00525768">
      <w:pPr>
        <w:pStyle w:val="Bullet"/>
        <w:rPr>
          <w:lang w:val="en-GB"/>
        </w:rPr>
      </w:pPr>
      <w:r>
        <w:rPr>
          <w:lang w:val="en-GB"/>
        </w:rPr>
        <w:t>Page-In value at 99</w:t>
      </w:r>
      <w:r w:rsidRPr="00BB4208">
        <w:rPr>
          <w:vertAlign w:val="superscript"/>
          <w:lang w:val="en-GB"/>
        </w:rPr>
        <w:t>th</w:t>
      </w:r>
      <w:r>
        <w:rPr>
          <w:lang w:val="en-GB"/>
        </w:rPr>
        <w:t xml:space="preserve"> percentile. Same threshold as above. </w:t>
      </w:r>
    </w:p>
    <w:p w14:paraId="6FB5A6E3" w14:textId="77777777" w:rsidR="00751E06" w:rsidRDefault="00751E06" w:rsidP="00525768">
      <w:pPr>
        <w:pStyle w:val="Bullet"/>
        <w:rPr>
          <w:lang w:val="en-GB"/>
        </w:rPr>
      </w:pPr>
      <w:r>
        <w:rPr>
          <w:lang w:val="en-GB"/>
        </w:rPr>
        <w:t>Highest Page-Out. Same threshold as above.</w:t>
      </w:r>
    </w:p>
    <w:p w14:paraId="26D0416F" w14:textId="77777777" w:rsidR="00751E06" w:rsidRDefault="00751E06" w:rsidP="00525768">
      <w:pPr>
        <w:pStyle w:val="Bullet"/>
        <w:rPr>
          <w:lang w:val="en-GB"/>
        </w:rPr>
      </w:pPr>
      <w:r>
        <w:rPr>
          <w:lang w:val="en-GB"/>
        </w:rPr>
        <w:t>Page-Out value at 99</w:t>
      </w:r>
      <w:r w:rsidRPr="00BB4208">
        <w:rPr>
          <w:vertAlign w:val="superscript"/>
          <w:lang w:val="en-GB"/>
        </w:rPr>
        <w:t>th</w:t>
      </w:r>
      <w:r>
        <w:rPr>
          <w:lang w:val="en-GB"/>
        </w:rPr>
        <w:t xml:space="preserve"> percentile. Same threshold as above.</w:t>
      </w:r>
    </w:p>
    <w:p w14:paraId="1E6B199D" w14:textId="77777777" w:rsidR="00751E06" w:rsidRDefault="00751E06" w:rsidP="00525768">
      <w:pPr>
        <w:pStyle w:val="Bullet"/>
        <w:rPr>
          <w:lang w:val="en-GB"/>
        </w:rPr>
      </w:pPr>
      <w:r>
        <w:rPr>
          <w:lang w:val="en-GB"/>
        </w:rPr>
        <w:t>Sum of Page-In</w:t>
      </w:r>
    </w:p>
    <w:p w14:paraId="0DC27128" w14:textId="77777777" w:rsidR="00751E06" w:rsidRDefault="00751E06" w:rsidP="00525768">
      <w:pPr>
        <w:pStyle w:val="Bullet"/>
        <w:rPr>
          <w:lang w:val="en-GB"/>
        </w:rPr>
      </w:pPr>
      <w:r>
        <w:rPr>
          <w:lang w:val="en-GB"/>
        </w:rPr>
        <w:lastRenderedPageBreak/>
        <w:t>Sum of Page-Out</w:t>
      </w:r>
    </w:p>
    <w:p w14:paraId="777BCC31" w14:textId="77777777" w:rsidR="00751E06" w:rsidRDefault="00751E06" w:rsidP="00525768">
      <w:pPr>
        <w:rPr>
          <w:lang w:val="en-GB"/>
        </w:rPr>
      </w:pPr>
      <w:r>
        <w:rPr>
          <w:lang w:val="en-GB"/>
        </w:rPr>
        <w:t>Set the dates to the period you are interested, but make it at least 1 week, preferably 3 months. There 2016 data points in a week, so the 99</w:t>
      </w:r>
      <w:r w:rsidRPr="00BB4208">
        <w:rPr>
          <w:vertAlign w:val="superscript"/>
          <w:lang w:val="en-GB"/>
        </w:rPr>
        <w:t>th</w:t>
      </w:r>
      <w:r>
        <w:rPr>
          <w:lang w:val="en-GB"/>
        </w:rPr>
        <w:t xml:space="preserve"> percentile ignores the highest 20 datapoints. </w:t>
      </w:r>
    </w:p>
    <w:p w14:paraId="63556AA3" w14:textId="77777777" w:rsidR="00751E06" w:rsidRDefault="00751E06" w:rsidP="00525768">
      <w:pPr>
        <w:rPr>
          <w:lang w:val="en-GB"/>
        </w:rPr>
      </w:pPr>
      <w:r>
        <w:rPr>
          <w:lang w:val="en-GB"/>
        </w:rPr>
        <w:t>In the following example, I used 4 months. I listed the top VMs in terms, sorted by the highest page-in. What observation do you see?</w:t>
      </w:r>
    </w:p>
    <w:p w14:paraId="5EE8CC59" w14:textId="77777777" w:rsidR="00751E06" w:rsidRDefault="00751E06" w:rsidP="00525768">
      <w:pPr>
        <w:rPr>
          <w:lang w:val="en-GB"/>
        </w:rPr>
      </w:pPr>
      <w:r w:rsidRPr="001A0CDA">
        <w:rPr>
          <w:noProof/>
          <w:lang w:val="en-GB"/>
        </w:rPr>
        <w:drawing>
          <wp:inline distT="0" distB="0" distL="0" distR="0" wp14:anchorId="663C8FC0" wp14:editId="3C63A0AD">
            <wp:extent cx="6645910" cy="2822575"/>
            <wp:effectExtent l="0" t="0" r="2540" b="0"/>
            <wp:docPr id="910169582" name="Picture 910169582"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82" name="Picture 910169582" descr="Table&#10;&#10;Description automatically generated with low confidence"/>
                    <pic:cNvPicPr/>
                  </pic:nvPicPr>
                  <pic:blipFill>
                    <a:blip r:embed="rId401"/>
                    <a:stretch>
                      <a:fillRect/>
                    </a:stretch>
                  </pic:blipFill>
                  <pic:spPr>
                    <a:xfrm>
                      <a:off x="0" y="0"/>
                      <a:ext cx="6645910" cy="2822575"/>
                    </a:xfrm>
                    <a:prstGeom prst="rect">
                      <a:avLst/>
                    </a:prstGeom>
                  </pic:spPr>
                </pic:pic>
              </a:graphicData>
            </a:graphic>
          </wp:inline>
        </w:drawing>
      </w:r>
    </w:p>
    <w:p w14:paraId="23F46A12" w14:textId="77777777" w:rsidR="00751E06" w:rsidRDefault="00751E06" w:rsidP="00525768">
      <w:pPr>
        <w:rPr>
          <w:lang w:val="en-GB"/>
        </w:rPr>
      </w:pPr>
      <w:r>
        <w:rPr>
          <w:lang w:val="en-GB"/>
        </w:rPr>
        <w:t>For a start, some of those numbers are really high!</w:t>
      </w:r>
    </w:p>
    <w:p w14:paraId="7295F20D" w14:textId="77777777" w:rsidR="00751E06" w:rsidRDefault="00751E06" w:rsidP="00525768">
      <w:pPr>
        <w:rPr>
          <w:lang w:val="en-GB"/>
        </w:rPr>
      </w:pPr>
      <w:r>
        <w:rPr>
          <w:lang w:val="en-GB"/>
        </w:rPr>
        <w:t xml:space="preserve">They are above 1 millions. Assuming 8K block size, that’s 8 GB per second, sustained for 300 seconds. </w:t>
      </w:r>
    </w:p>
    <w:p w14:paraId="7D73E1CB" w14:textId="77777777" w:rsidR="00751E06" w:rsidRDefault="00751E06" w:rsidP="00525768">
      <w:pPr>
        <w:rPr>
          <w:lang w:val="en-GB"/>
        </w:rPr>
      </w:pPr>
      <w:r>
        <w:rPr>
          <w:lang w:val="en-GB"/>
        </w:rPr>
        <w:t xml:space="preserve">What else do you notice? </w:t>
      </w:r>
    </w:p>
    <w:p w14:paraId="61AA195D" w14:textId="77777777" w:rsidR="00751E06" w:rsidRDefault="00751E06" w:rsidP="00525768">
      <w:pPr>
        <w:rPr>
          <w:lang w:val="en-GB"/>
        </w:rPr>
      </w:pPr>
      <w:r>
        <w:rPr>
          <w:lang w:val="en-GB"/>
        </w:rPr>
        <w:t>Page-In is higher than Page-Out. I average all the 3K VMs and I got the following result:</w:t>
      </w:r>
    </w:p>
    <w:p w14:paraId="559BDEEC" w14:textId="77777777" w:rsidR="00751E06" w:rsidRDefault="00751E06" w:rsidP="00525768">
      <w:pPr>
        <w:rPr>
          <w:lang w:val="en-GB"/>
        </w:rPr>
      </w:pPr>
      <w:r w:rsidRPr="001A0CDA">
        <w:rPr>
          <w:noProof/>
          <w:lang w:val="en-GB"/>
        </w:rPr>
        <w:drawing>
          <wp:inline distT="0" distB="0" distL="0" distR="0" wp14:anchorId="5517E437" wp14:editId="109AE3E1">
            <wp:extent cx="6645910" cy="325120"/>
            <wp:effectExtent l="0" t="0" r="2540" b="0"/>
            <wp:docPr id="910169583" name="Picture 910169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6645910" cy="325120"/>
                    </a:xfrm>
                    <a:prstGeom prst="rect">
                      <a:avLst/>
                    </a:prstGeom>
                  </pic:spPr>
                </pic:pic>
              </a:graphicData>
            </a:graphic>
          </wp:inline>
        </w:drawing>
      </w:r>
    </w:p>
    <w:p w14:paraId="57C3F147" w14:textId="77777777" w:rsidR="00751E06" w:rsidRDefault="00751E06" w:rsidP="00525768">
      <w:pPr>
        <w:rPr>
          <w:lang w:val="en-GB"/>
        </w:rPr>
      </w:pPr>
      <w:r>
        <w:rPr>
          <w:lang w:val="en-GB"/>
        </w:rPr>
        <w:t>Page-In is 4x higher in the max value. Page-In also sustains longer, while Page-Out drops significantly. At the 99</w:t>
      </w:r>
      <w:r w:rsidRPr="007604D0">
        <w:rPr>
          <w:vertAlign w:val="superscript"/>
          <w:lang w:val="en-GB"/>
        </w:rPr>
        <w:t>th</w:t>
      </w:r>
      <w:r>
        <w:rPr>
          <w:lang w:val="en-GB"/>
        </w:rPr>
        <w:t xml:space="preserve"> percentile mark, Page-In is 9x higher.</w:t>
      </w:r>
      <w:r w:rsidRPr="007604D0">
        <w:rPr>
          <w:lang w:val="en-GB"/>
        </w:rPr>
        <w:t xml:space="preserve"> </w:t>
      </w:r>
      <w:r>
        <w:rPr>
          <w:lang w:val="en-GB"/>
        </w:rPr>
        <w:t>I suspect it is the non-modifiable page, like binary. Since it cannot be modified, it does not need to be paged out. It can simply be discarded and retrieved again from disk if required.</w:t>
      </w:r>
    </w:p>
    <w:p w14:paraId="130C2011" w14:textId="77777777" w:rsidR="00751E06" w:rsidRDefault="00751E06" w:rsidP="00525768">
      <w:pPr>
        <w:rPr>
          <w:lang w:val="en-GB"/>
        </w:rPr>
      </w:pPr>
      <w:r>
        <w:rPr>
          <w:lang w:val="en-GB"/>
        </w:rPr>
        <w:t>The good news is both do not sustain, so the paging is momentary. The following shows that the value at 99</w:t>
      </w:r>
      <w:r w:rsidRPr="007604D0">
        <w:rPr>
          <w:vertAlign w:val="superscript"/>
          <w:lang w:val="en-GB"/>
        </w:rPr>
        <w:t>th</w:t>
      </w:r>
      <w:r>
        <w:rPr>
          <w:lang w:val="en-GB"/>
        </w:rPr>
        <w:t xml:space="preserve"> percentile can drop well below 5x. </w:t>
      </w:r>
    </w:p>
    <w:p w14:paraId="5336D589" w14:textId="77777777" w:rsidR="00751E06" w:rsidRDefault="00751E06" w:rsidP="00525768">
      <w:pPr>
        <w:jc w:val="center"/>
        <w:rPr>
          <w:lang w:val="en-GB"/>
        </w:rPr>
      </w:pPr>
      <w:r w:rsidRPr="001A0CDA">
        <w:rPr>
          <w:noProof/>
          <w:lang w:val="en-GB"/>
        </w:rPr>
        <w:lastRenderedPageBreak/>
        <w:drawing>
          <wp:inline distT="0" distB="0" distL="0" distR="0" wp14:anchorId="2124F6AC" wp14:editId="2217E659">
            <wp:extent cx="2293200" cy="3351600"/>
            <wp:effectExtent l="0" t="0" r="0" b="1270"/>
            <wp:docPr id="910169584" name="Picture 91016958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84" name="Picture 910169584" descr="Table&#10;&#10;Description automatically generated"/>
                    <pic:cNvPicPr/>
                  </pic:nvPicPr>
                  <pic:blipFill>
                    <a:blip r:embed="rId403"/>
                    <a:stretch>
                      <a:fillRect/>
                    </a:stretch>
                  </pic:blipFill>
                  <pic:spPr>
                    <a:xfrm>
                      <a:off x="0" y="0"/>
                      <a:ext cx="2293200" cy="3351600"/>
                    </a:xfrm>
                    <a:prstGeom prst="rect">
                      <a:avLst/>
                    </a:prstGeom>
                  </pic:spPr>
                </pic:pic>
              </a:graphicData>
            </a:graphic>
          </wp:inline>
        </w:drawing>
      </w:r>
      <w:r>
        <w:rPr>
          <w:lang w:val="en-GB"/>
        </w:rPr>
        <w:t xml:space="preserve">                    </w:t>
      </w:r>
      <w:r w:rsidRPr="001A0CDA">
        <w:rPr>
          <w:noProof/>
          <w:lang w:val="en-GB"/>
        </w:rPr>
        <w:drawing>
          <wp:inline distT="0" distB="0" distL="0" distR="0" wp14:anchorId="09ECB136" wp14:editId="58572607">
            <wp:extent cx="2293200" cy="3351600"/>
            <wp:effectExtent l="0" t="0" r="0" b="1270"/>
            <wp:docPr id="910169585" name="Picture 91016958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85" name="Picture 910169585" descr="A picture containing table&#10;&#10;Description automatically generated"/>
                    <pic:cNvPicPr/>
                  </pic:nvPicPr>
                  <pic:blipFill>
                    <a:blip r:embed="rId404"/>
                    <a:stretch>
                      <a:fillRect/>
                    </a:stretch>
                  </pic:blipFill>
                  <pic:spPr>
                    <a:xfrm>
                      <a:off x="0" y="0"/>
                      <a:ext cx="2293200" cy="3351600"/>
                    </a:xfrm>
                    <a:prstGeom prst="rect">
                      <a:avLst/>
                    </a:prstGeom>
                  </pic:spPr>
                </pic:pic>
              </a:graphicData>
            </a:graphic>
          </wp:inline>
        </w:drawing>
      </w:r>
    </w:p>
    <w:p w14:paraId="79AACCCC" w14:textId="77777777" w:rsidR="00751E06" w:rsidRDefault="00751E06" w:rsidP="00525768">
      <w:pPr>
        <w:rPr>
          <w:noProof/>
          <w:lang w:val="en-GB"/>
        </w:rPr>
      </w:pPr>
      <w:r>
        <w:rPr>
          <w:noProof/>
          <w:lang w:val="en-GB"/>
        </w:rPr>
        <w:t>To confirm the above, I downloaded the data so I can determine if the paging is indeed momentarily. Using a spreadsheet, I build a ratio between the 99</w:t>
      </w:r>
      <w:r w:rsidRPr="007604D0">
        <w:rPr>
          <w:noProof/>
          <w:vertAlign w:val="superscript"/>
          <w:lang w:val="en-GB"/>
        </w:rPr>
        <w:t>th</w:t>
      </w:r>
      <w:r>
        <w:rPr>
          <w:noProof/>
          <w:lang w:val="en-GB"/>
        </w:rPr>
        <w:t xml:space="preserve"> percentile value and the maximum value, where 10% means there is a drop of 10x. I plotted around 1000 value and got the following.</w:t>
      </w:r>
    </w:p>
    <w:p w14:paraId="287F9AC2" w14:textId="77777777" w:rsidR="00751E06" w:rsidRDefault="00751E06" w:rsidP="00525768">
      <w:pPr>
        <w:jc w:val="center"/>
        <w:rPr>
          <w:lang w:val="en-GB"/>
        </w:rPr>
      </w:pPr>
      <w:r w:rsidRPr="0075350F">
        <w:rPr>
          <w:noProof/>
          <w:lang w:val="en-GB"/>
        </w:rPr>
        <w:drawing>
          <wp:inline distT="0" distB="0" distL="0" distR="0" wp14:anchorId="225ACA57" wp14:editId="10111F62">
            <wp:extent cx="6645910" cy="2404745"/>
            <wp:effectExtent l="0" t="0" r="2540" b="0"/>
            <wp:docPr id="910169587" name="Picture 91016958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87" name="Picture 910169587" descr="A picture containing table&#10;&#10;Description automatically generated"/>
                    <pic:cNvPicPr/>
                  </pic:nvPicPr>
                  <pic:blipFill>
                    <a:blip r:embed="rId405"/>
                    <a:stretch>
                      <a:fillRect/>
                    </a:stretch>
                  </pic:blipFill>
                  <pic:spPr>
                    <a:xfrm>
                      <a:off x="0" y="0"/>
                      <a:ext cx="6645910" cy="2404745"/>
                    </a:xfrm>
                    <a:prstGeom prst="rect">
                      <a:avLst/>
                    </a:prstGeom>
                  </pic:spPr>
                </pic:pic>
              </a:graphicData>
            </a:graphic>
          </wp:inline>
        </w:drawing>
      </w:r>
    </w:p>
    <w:p w14:paraId="4260C6A3" w14:textId="77777777" w:rsidR="00751E06" w:rsidRDefault="00751E06" w:rsidP="00525768">
      <w:pPr>
        <w:rPr>
          <w:lang w:val="en-GB"/>
        </w:rPr>
      </w:pPr>
      <w:r>
        <w:rPr>
          <w:lang w:val="en-GB"/>
        </w:rPr>
        <w:t>As you can see, majority of the paging drops drastically at 99</w:t>
      </w:r>
      <w:r w:rsidRPr="002529BB">
        <w:rPr>
          <w:vertAlign w:val="superscript"/>
          <w:lang w:val="en-GB"/>
        </w:rPr>
        <w:t>th</w:t>
      </w:r>
      <w:r>
        <w:rPr>
          <w:lang w:val="en-GB"/>
        </w:rPr>
        <w:t xml:space="preserve"> percentile. </w:t>
      </w:r>
    </w:p>
    <w:p w14:paraId="15B143F8" w14:textId="77777777" w:rsidR="00751E06" w:rsidRDefault="00751E06" w:rsidP="00525768">
      <w:pPr>
        <w:rPr>
          <w:lang w:val="en-GB"/>
        </w:rPr>
      </w:pPr>
      <w:r>
        <w:rPr>
          <w:lang w:val="en-GB"/>
        </w:rPr>
        <w:t>Let’s dive into a single VM, so we can see pattern over time. I pick a database, as it does heavy paging. The following is a large Oracle RAC VM. Notice this has a closer ratio between page in and page out, and there is correlation between the two.</w:t>
      </w:r>
    </w:p>
    <w:p w14:paraId="4C893206" w14:textId="77777777" w:rsidR="00751E06" w:rsidRDefault="00751E06" w:rsidP="00525768">
      <w:pPr>
        <w:rPr>
          <w:lang w:val="en-GB"/>
        </w:rPr>
      </w:pPr>
      <w:r w:rsidRPr="001E33E0">
        <w:rPr>
          <w:noProof/>
          <w:lang w:val="en-GB"/>
        </w:rPr>
        <w:lastRenderedPageBreak/>
        <w:drawing>
          <wp:inline distT="0" distB="0" distL="0" distR="0" wp14:anchorId="7BEDB9C8" wp14:editId="69FD1CEC">
            <wp:extent cx="6645910" cy="2483485"/>
            <wp:effectExtent l="0" t="0" r="2540" b="0"/>
            <wp:docPr id="918289657" name="Picture 918289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6645910" cy="2483485"/>
                    </a:xfrm>
                    <a:prstGeom prst="rect">
                      <a:avLst/>
                    </a:prstGeom>
                  </pic:spPr>
                </pic:pic>
              </a:graphicData>
            </a:graphic>
          </wp:inline>
        </w:drawing>
      </w:r>
    </w:p>
    <w:p w14:paraId="4650DB1C" w14:textId="77777777" w:rsidR="00751E06" w:rsidRPr="00A452F2" w:rsidRDefault="00751E06" w:rsidP="00525768">
      <w:pPr>
        <w:rPr>
          <w:lang w:val="en-GB"/>
        </w:rPr>
      </w:pPr>
      <w:r>
        <w:rPr>
          <w:lang w:val="en-GB"/>
        </w:rPr>
        <w:t>Assuming the page size is 4 KB, that means 100,000 pages = 400 MB/sec. Since vRealize Operations averages the value over 300 seconds, that means 400 MB x 300 = 120 GB worth of paging in 5 minutes!</w:t>
      </w:r>
    </w:p>
    <w:p w14:paraId="26F28D3A" w14:textId="77777777" w:rsidR="00751E06" w:rsidRPr="00A452F2" w:rsidRDefault="00751E06" w:rsidP="00525768">
      <w:pPr>
        <w:pStyle w:val="Heading5"/>
      </w:pPr>
      <w:r w:rsidRPr="00A452F2">
        <w:t>Active File Cache Memory</w:t>
      </w:r>
    </w:p>
    <w:p w14:paraId="4220AB8F" w14:textId="77777777" w:rsidR="00751E06" w:rsidRPr="00A452F2" w:rsidRDefault="00751E06" w:rsidP="00525768">
      <w:pPr>
        <w:rPr>
          <w:lang w:val="en-GB"/>
        </w:rPr>
      </w:pPr>
      <w:r w:rsidRPr="00A452F2">
        <w:rPr>
          <w:lang w:val="en-GB"/>
        </w:rPr>
        <w:t xml:space="preserve">This is the actively in-use subset of the file cache. Unused file cache and non-file backed anonymous buffers (mallocs etc) are not included. </w:t>
      </w:r>
    </w:p>
    <w:p w14:paraId="7A625D58" w14:textId="77777777" w:rsidR="00751E06" w:rsidRPr="00A452F2" w:rsidRDefault="00751E06" w:rsidP="00525768">
      <w:pPr>
        <w:rPr>
          <w:lang w:val="en-GB"/>
        </w:rPr>
      </w:pPr>
      <w:r w:rsidRPr="00A452F2">
        <w:rPr>
          <w:lang w:val="en-GB"/>
        </w:rPr>
        <w:t>This is the size of the portion of the system file cache which is currently resident and active in physical memory. The System Cache Resident Bytes and Memory</w:t>
      </w:r>
      <w:r>
        <w:rPr>
          <w:lang w:val="en-GB"/>
        </w:rPr>
        <w:t xml:space="preserve"> </w:t>
      </w:r>
      <w:r w:rsidRPr="00A452F2">
        <w:rPr>
          <w:lang w:val="en-GB"/>
        </w:rPr>
        <w:t>\</w:t>
      </w:r>
      <w:r>
        <w:rPr>
          <w:lang w:val="en-GB"/>
        </w:rPr>
        <w:t xml:space="preserve"> </w:t>
      </w:r>
      <w:r w:rsidRPr="00A452F2">
        <w:rPr>
          <w:lang w:val="en-GB"/>
        </w:rPr>
        <w:t xml:space="preserve">Cache Bytes </w:t>
      </w:r>
      <w:r>
        <w:rPr>
          <w:lang w:val="en-GB"/>
        </w:rPr>
        <w:t>metrics</w:t>
      </w:r>
      <w:r w:rsidRPr="00A452F2">
        <w:rPr>
          <w:lang w:val="en-GB"/>
        </w:rPr>
        <w:t xml:space="preserve"> are equivalent. No</w:t>
      </w:r>
      <w:r>
        <w:rPr>
          <w:lang w:val="en-GB"/>
        </w:rPr>
        <w:t>t</w:t>
      </w:r>
      <w:r w:rsidRPr="00A452F2">
        <w:rPr>
          <w:lang w:val="en-GB"/>
        </w:rPr>
        <w:t>e that this counter displays the last observed value only; it is not an average during the collection period.</w:t>
      </w:r>
    </w:p>
    <w:p w14:paraId="2AA3F55A" w14:textId="77777777" w:rsidR="00751E06" w:rsidRPr="00A452F2" w:rsidRDefault="00751E06" w:rsidP="00525768">
      <w:pPr>
        <w:rPr>
          <w:lang w:val="en-GB"/>
        </w:rPr>
      </w:pPr>
      <w:r w:rsidRPr="00A452F2">
        <w:rPr>
          <w:lang w:val="en-GB"/>
        </w:rPr>
        <w:t>In Linux, this is the amount of file cache memory, in kibibytes, that is in active use, or was in active use since the last time the system reclaimed memory. This is retrieved via the command:</w:t>
      </w:r>
    </w:p>
    <w:p w14:paraId="6F084540" w14:textId="77777777" w:rsidR="00751E06" w:rsidRPr="00A452F2" w:rsidRDefault="00751E06" w:rsidP="00525768">
      <w:pPr>
        <w:pStyle w:val="Code"/>
      </w:pPr>
      <w:r w:rsidRPr="00A452F2">
        <w:t>$ cat /proc/meminfo | grep Active</w:t>
      </w:r>
    </w:p>
    <w:p w14:paraId="2B559400" w14:textId="77777777" w:rsidR="00751E06" w:rsidRPr="00A452F2" w:rsidRDefault="00751E06" w:rsidP="00525768">
      <w:pPr>
        <w:pStyle w:val="Code"/>
      </w:pPr>
      <w:r w:rsidRPr="00A452F2">
        <w:t>Active:         50955636 kB</w:t>
      </w:r>
    </w:p>
    <w:p w14:paraId="0D1B7F46" w14:textId="77777777" w:rsidR="00751E06" w:rsidRPr="00A452F2" w:rsidRDefault="00751E06" w:rsidP="00525768">
      <w:pPr>
        <w:pStyle w:val="Code"/>
      </w:pPr>
      <w:r w:rsidRPr="00A452F2">
        <w:t>Active (anon):  30148196 kB</w:t>
      </w:r>
    </w:p>
    <w:p w14:paraId="72EE478A" w14:textId="77777777" w:rsidR="00751E06" w:rsidRPr="00A452F2" w:rsidRDefault="00751E06" w:rsidP="00525768">
      <w:pPr>
        <w:pStyle w:val="Code"/>
      </w:pPr>
      <w:r w:rsidRPr="00A452F2">
        <w:t>Active (file):  20807440 kB</w:t>
      </w:r>
    </w:p>
    <w:p w14:paraId="3A3B724B" w14:textId="51C3983D" w:rsidR="00751E06" w:rsidRPr="00A452F2" w:rsidRDefault="00751E06" w:rsidP="00525768">
      <w:pPr>
        <w:rPr>
          <w:lang w:val="en-GB"/>
        </w:rPr>
      </w:pPr>
      <w:r w:rsidRPr="00A452F2">
        <w:rPr>
          <w:lang w:val="en-GB"/>
        </w:rPr>
        <w:t xml:space="preserve">For further reading, refer to </w:t>
      </w:r>
      <w:hyperlink r:id="rId407" w:anchor="systemcacheresidentbytes_properties" w:history="1">
        <w:r w:rsidRPr="00A452F2">
          <w:rPr>
            <w:rStyle w:val="Hyperlink"/>
            <w:lang w:val="en-GB"/>
          </w:rPr>
          <w:t>Windows</w:t>
        </w:r>
      </w:hyperlink>
    </w:p>
    <w:p w14:paraId="159C7626" w14:textId="77777777" w:rsidR="00751E06" w:rsidRDefault="00751E06" w:rsidP="00525768">
      <w:pPr>
        <w:pStyle w:val="Heading5"/>
      </w:pPr>
      <w:r>
        <w:t>Committed</w:t>
      </w:r>
    </w:p>
    <w:p w14:paraId="2E6D4D8C" w14:textId="77777777" w:rsidR="00751E06" w:rsidRPr="00CD13BC" w:rsidRDefault="00751E06" w:rsidP="00525768">
      <w:pPr>
        <w:rPr>
          <w:lang w:val="en-GB" w:eastAsia="en-SG"/>
        </w:rPr>
      </w:pPr>
      <w:r>
        <w:rPr>
          <w:lang w:val="en-GB" w:eastAsia="en-SG"/>
        </w:rPr>
        <w:t xml:space="preserve">Commit sounds like a guaranteed reservation, which means it’s the minimum the process can get. </w:t>
      </w:r>
    </w:p>
    <w:p w14:paraId="3244C11D" w14:textId="77777777" w:rsidR="00751E06" w:rsidRPr="00A452F2" w:rsidRDefault="00751E06" w:rsidP="00525768">
      <w:pPr>
        <w:rPr>
          <w:lang w:val="en-GB"/>
        </w:rPr>
      </w:pPr>
      <w:r w:rsidRPr="001A7D0B">
        <w:rPr>
          <w:rStyle w:val="Strong"/>
          <w:b w:val="0"/>
          <w:bCs w:val="0"/>
          <w:lang w:val="en-GB"/>
        </w:rPr>
        <w:t>This tracks</w:t>
      </w:r>
      <w:r w:rsidRPr="00A452F2">
        <w:rPr>
          <w:lang w:val="en-GB"/>
        </w:rPr>
        <w:t> the currently committed virtual memory, although not all of them are written to the pagefile yet. </w:t>
      </w:r>
      <w:r>
        <w:rPr>
          <w:lang w:val="en-GB"/>
        </w:rPr>
        <w:t>It measures the demand, so c</w:t>
      </w:r>
      <w:r w:rsidRPr="00A452F2">
        <w:rPr>
          <w:lang w:val="en-GB"/>
        </w:rPr>
        <w:t xml:space="preserve">ommit can go up without </w:t>
      </w:r>
      <w:r w:rsidRPr="00AD13DB">
        <w:rPr>
          <w:color w:val="00B0F0"/>
          <w:lang w:val="en-GB"/>
        </w:rPr>
        <w:t xml:space="preserve">In Use </w:t>
      </w:r>
      <w:r w:rsidRPr="00A452F2">
        <w:rPr>
          <w:lang w:val="en-GB"/>
        </w:rPr>
        <w:t xml:space="preserve">going up, as Brandon Paddock shares </w:t>
      </w:r>
      <w:hyperlink r:id="rId408" w:history="1">
        <w:r w:rsidRPr="00A452F2">
          <w:rPr>
            <w:rStyle w:val="Hyperlink"/>
            <w:lang w:val="en-GB"/>
          </w:rPr>
          <w:t>here</w:t>
        </w:r>
      </w:hyperlink>
      <w:r w:rsidRPr="00A452F2">
        <w:rPr>
          <w:lang w:val="en-GB"/>
        </w:rPr>
        <w:t>.</w:t>
      </w:r>
      <w:r>
        <w:rPr>
          <w:lang w:val="en-GB"/>
        </w:rPr>
        <w:t xml:space="preserve"> If Committed exceeds the available memory, paging activity will increase. This can impact performance.</w:t>
      </w:r>
    </w:p>
    <w:p w14:paraId="12B1336E" w14:textId="77777777" w:rsidR="00751E06" w:rsidRPr="00A452F2" w:rsidRDefault="00751E06" w:rsidP="00525768">
      <w:pPr>
        <w:rPr>
          <w:lang w:val="en-GB"/>
        </w:rPr>
      </w:pPr>
      <w:r w:rsidRPr="00A452F2">
        <w:rPr>
          <w:rStyle w:val="Strong"/>
          <w:lang w:val="en-GB"/>
        </w:rPr>
        <w:t>Commit Limit</w:t>
      </w:r>
      <w:r w:rsidRPr="00A452F2">
        <w:rPr>
          <w:lang w:val="en-GB"/>
        </w:rPr>
        <w:t xml:space="preserve">: Commit Limit is physical RAM + size of the page file. Since the pagefile is normally configured to map the physical RAM, the Commit Limit tends to be 2x. </w:t>
      </w:r>
      <w:r w:rsidRPr="00A452F2">
        <w:rPr>
          <w:rStyle w:val="Strong"/>
          <w:b w:val="0"/>
          <w:bCs w:val="0"/>
          <w:lang w:val="en-GB"/>
        </w:rPr>
        <w:t>Commit Limit</w:t>
      </w:r>
      <w:r w:rsidRPr="00A452F2">
        <w:rPr>
          <w:rStyle w:val="Strong"/>
          <w:lang w:val="en-GB"/>
        </w:rPr>
        <w:t xml:space="preserve"> </w:t>
      </w:r>
      <w:r w:rsidRPr="00A452F2">
        <w:rPr>
          <w:lang w:val="en-GB"/>
        </w:rPr>
        <w:t xml:space="preserve">is important as a </w:t>
      </w:r>
      <w:r w:rsidRPr="00A452F2">
        <w:rPr>
          <w:color w:val="FF0000"/>
          <w:lang w:val="en-GB"/>
        </w:rPr>
        <w:t>growing</w:t>
      </w:r>
      <w:r w:rsidRPr="00A452F2">
        <w:rPr>
          <w:lang w:val="en-GB"/>
        </w:rPr>
        <w:t xml:space="preserve"> value is an </w:t>
      </w:r>
      <w:r w:rsidRPr="00A452F2">
        <w:rPr>
          <w:color w:val="0000FF"/>
          <w:lang w:val="en-GB"/>
        </w:rPr>
        <w:t>early warning sign</w:t>
      </w:r>
      <w:r w:rsidRPr="00A452F2">
        <w:rPr>
          <w:lang w:val="en-GB"/>
        </w:rPr>
        <w:t xml:space="preserve">. The reason is Windows proactively increases its </w:t>
      </w:r>
      <w:r w:rsidRPr="00A452F2">
        <w:rPr>
          <w:rStyle w:val="Strong"/>
          <w:lang w:val="en-GB"/>
        </w:rPr>
        <w:t>pagefile.sys</w:t>
      </w:r>
      <w:r w:rsidRPr="00A452F2">
        <w:rPr>
          <w:lang w:val="en-GB"/>
        </w:rPr>
        <w:t xml:space="preserve"> if it’s under memory pressure.</w:t>
      </w:r>
    </w:p>
    <w:p w14:paraId="330EB7C9" w14:textId="77777777" w:rsidR="00751E06" w:rsidRPr="00A452F2" w:rsidRDefault="00751E06" w:rsidP="00525768">
      <w:pPr>
        <w:rPr>
          <w:lang w:val="en-GB"/>
        </w:rPr>
      </w:pPr>
      <w:r w:rsidRPr="00A452F2">
        <w:rPr>
          <w:lang w:val="en-GB"/>
        </w:rPr>
        <w:lastRenderedPageBreak/>
        <w:t>The pagefile is an integral part of Windows total memory</w:t>
      </w:r>
      <w:r>
        <w:rPr>
          <w:lang w:val="en-GB"/>
        </w:rPr>
        <w:t xml:space="preserve">, as explained by </w:t>
      </w:r>
      <w:hyperlink r:id="rId409" w:history="1">
        <w:r w:rsidRPr="00102AAC">
          <w:rPr>
            <w:rStyle w:val="Hyperlink"/>
            <w:lang w:val="en-GB"/>
          </w:rPr>
          <w:t>Mark Russinovich</w:t>
        </w:r>
      </w:hyperlink>
      <w:r w:rsidRPr="00A452F2">
        <w:rPr>
          <w:lang w:val="en-GB"/>
        </w:rPr>
        <w:t xml:space="preserve"> explains </w:t>
      </w:r>
      <w:hyperlink r:id="rId410" w:history="1">
        <w:r w:rsidRPr="00F11ACC">
          <w:rPr>
            <w:rStyle w:val="Hyperlink"/>
            <w:lang w:val="en-GB"/>
          </w:rPr>
          <w:t>here</w:t>
        </w:r>
      </w:hyperlink>
      <w:r w:rsidRPr="00A452F2">
        <w:rPr>
          <w:lang w:val="en-GB"/>
        </w:rPr>
        <w:t>. There is Reserved Memory, and then there is Committed Memory. Some applications like to have its committed memory in 1 long contiguous block, so it reserves a large chunk up front. Databases and JVM belong in this category. This reserved memory does not actually store meaningful application data or executable. Only when the application commits the page that it becomes used. Mark explains that “when a process commits a region of virtual memory, the OS guarantees that it can maintain all the data the process stores in the memory either in physical memory or on disk”.</w:t>
      </w:r>
    </w:p>
    <w:p w14:paraId="56AD7608" w14:textId="77777777" w:rsidR="00751E06" w:rsidRPr="00A452F2" w:rsidRDefault="00751E06" w:rsidP="00525768">
      <w:pPr>
        <w:rPr>
          <w:lang w:val="en-GB"/>
        </w:rPr>
      </w:pPr>
      <w:r w:rsidRPr="00A452F2">
        <w:rPr>
          <w:lang w:val="en-GB"/>
        </w:rPr>
        <w:t xml:space="preserve">Notice the word </w:t>
      </w:r>
      <w:r w:rsidRPr="0040054D">
        <w:rPr>
          <w:b/>
          <w:bCs/>
          <w:color w:val="0070C0"/>
          <w:lang w:val="en-GB"/>
        </w:rPr>
        <w:t>on disk</w:t>
      </w:r>
      <w:r w:rsidRPr="00A452F2">
        <w:rPr>
          <w:lang w:val="en-GB"/>
        </w:rPr>
        <w:t>. Yes, that’s where the pagefile.sys comes in. Windows will use either the physical memory or the pagefile.sys.</w:t>
      </w:r>
    </w:p>
    <w:p w14:paraId="5795ECD8" w14:textId="77777777" w:rsidR="00751E06" w:rsidRPr="00A452F2" w:rsidRDefault="00751E06" w:rsidP="00525768">
      <w:pPr>
        <w:rPr>
          <w:lang w:val="en-GB"/>
        </w:rPr>
      </w:pPr>
      <w:r w:rsidRPr="00A452F2">
        <w:rPr>
          <w:lang w:val="en-GB"/>
        </w:rPr>
        <w:t>So how do we track this committed memory?</w:t>
      </w:r>
    </w:p>
    <w:p w14:paraId="2DABEF70" w14:textId="77777777" w:rsidR="00751E06" w:rsidRPr="00A452F2" w:rsidRDefault="00751E06" w:rsidP="00525768">
      <w:pPr>
        <w:rPr>
          <w:lang w:val="en-GB"/>
        </w:rPr>
      </w:pPr>
      <w:r w:rsidRPr="00A452F2">
        <w:rPr>
          <w:lang w:val="en-GB"/>
        </w:rPr>
        <w:t>The metric you need to track is the Committed Byte. The % Committed metric should not hit 80%. Performance drops when it hits 90%, as if this is a hard threshold used by Windows. We disabled the pagefile to verify the impact on Windows. We noticed a visibly slower performance even though Windows 7 showing &gt;1 GB of Free memory. In fact, Windows gave error message, and some applications crashed. If you use a pagefile, you will not hit this limit.</w:t>
      </w:r>
    </w:p>
    <w:p w14:paraId="380D74C7" w14:textId="77777777" w:rsidR="00751E06" w:rsidRPr="00A452F2" w:rsidRDefault="00751E06" w:rsidP="00525768">
      <w:pPr>
        <w:rPr>
          <w:lang w:val="en-GB"/>
        </w:rPr>
      </w:pPr>
      <w:r w:rsidRPr="00A452F2">
        <w:rPr>
          <w:lang w:val="en-GB"/>
        </w:rPr>
        <w:t>We have covered Free Memory and Committed Memory. Do they always move in tandem? If a memory is committed by Windows, does it mean it’s no longer free and available?</w:t>
      </w:r>
    </w:p>
    <w:p w14:paraId="7745CF01" w14:textId="77777777" w:rsidR="00751E06" w:rsidRPr="00A452F2" w:rsidRDefault="00751E06" w:rsidP="00525768">
      <w:pPr>
        <w:rPr>
          <w:lang w:val="en-GB"/>
        </w:rPr>
      </w:pPr>
      <w:r w:rsidRPr="00A452F2">
        <w:rPr>
          <w:lang w:val="en-GB"/>
        </w:rPr>
        <w:t xml:space="preserve">The answer is </w:t>
      </w:r>
      <w:r w:rsidRPr="0061200D">
        <w:rPr>
          <w:color w:val="FF0000"/>
          <w:lang w:val="en-GB"/>
        </w:rPr>
        <w:t>no</w:t>
      </w:r>
      <w:r w:rsidRPr="00A452F2">
        <w:rPr>
          <w:lang w:val="en-GB"/>
        </w:rPr>
        <w:t xml:space="preserve">. Brandon Paddock demonstrated </w:t>
      </w:r>
      <w:hyperlink r:id="rId411" w:history="1">
        <w:r w:rsidRPr="0040054D">
          <w:rPr>
            <w:rStyle w:val="Hyperlink"/>
            <w:lang w:val="en-GB"/>
          </w:rPr>
          <w:t>here</w:t>
        </w:r>
      </w:hyperlink>
      <w:r w:rsidRPr="00A452F2">
        <w:rPr>
          <w:lang w:val="en-GB"/>
        </w:rPr>
        <w:t xml:space="preserve"> that you can increase the committed page without increasing the memory usage. He wrote a small program and explained how it’s done. The result is Windows committed page is double that of memory usage. The Free Memory &amp; Cached Memory did not change.</w:t>
      </w:r>
    </w:p>
    <w:p w14:paraId="3C72AD09" w14:textId="77777777" w:rsidR="00751E06" w:rsidRDefault="00751E06" w:rsidP="00525768">
      <w:pPr>
        <w:pStyle w:val="Heading5"/>
      </w:pPr>
      <w:r w:rsidRPr="00A452F2">
        <w:t xml:space="preserve">Guest OS </w:t>
      </w:r>
      <w:r>
        <w:t>Needed memory</w:t>
      </w:r>
    </w:p>
    <w:p w14:paraId="1665169A" w14:textId="77777777" w:rsidR="00751E06" w:rsidRDefault="00751E06" w:rsidP="00525768">
      <w:pPr>
        <w:rPr>
          <w:lang w:val="en-GB"/>
        </w:rPr>
      </w:pPr>
      <w:r>
        <w:rPr>
          <w:lang w:val="en-GB"/>
        </w:rPr>
        <w:t>We shared earlier that the purpose of memory is to act as disk cache. So you want to utilize all the cache given to you. Because the static nature of memory consumption, you can create a heat map that plots all your VMs memory consumption. You want it near 100% while making sure the page in and page out rate within normal expectation.</w:t>
      </w:r>
    </w:p>
    <w:p w14:paraId="3F20CDBD" w14:textId="77777777" w:rsidR="00751E06" w:rsidRPr="002E40F1" w:rsidRDefault="00751E06" w:rsidP="00525768">
      <w:pPr>
        <w:jc w:val="center"/>
        <w:rPr>
          <w:lang w:val="en-GB"/>
        </w:rPr>
      </w:pPr>
      <w:r w:rsidRPr="002E40F1">
        <w:rPr>
          <w:noProof/>
          <w:lang w:val="en-GB"/>
        </w:rPr>
        <w:drawing>
          <wp:inline distT="0" distB="0" distL="0" distR="0" wp14:anchorId="0E1CCBDC" wp14:editId="01C5744B">
            <wp:extent cx="5732834" cy="2037659"/>
            <wp:effectExtent l="0" t="0" r="1270" b="1270"/>
            <wp:docPr id="1293284826" name="Picture 1293284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5741389" cy="2040700"/>
                    </a:xfrm>
                    <a:prstGeom prst="rect">
                      <a:avLst/>
                    </a:prstGeom>
                  </pic:spPr>
                </pic:pic>
              </a:graphicData>
            </a:graphic>
          </wp:inline>
        </w:drawing>
      </w:r>
    </w:p>
    <w:p w14:paraId="6881A38D" w14:textId="77777777" w:rsidR="00751E06" w:rsidRDefault="00751E06" w:rsidP="00525768">
      <w:pPr>
        <w:tabs>
          <w:tab w:val="right" w:pos="10466"/>
        </w:tabs>
        <w:rPr>
          <w:lang w:val="en-GB"/>
        </w:rPr>
      </w:pPr>
      <w:r w:rsidRPr="00A452F2">
        <w:rPr>
          <w:lang w:val="en-GB"/>
        </w:rPr>
        <w:t xml:space="preserve">This is </w:t>
      </w:r>
      <w:r w:rsidRPr="00A671C1">
        <w:rPr>
          <w:i/>
          <w:iCs/>
          <w:color w:val="00B0F0"/>
          <w:lang w:val="en-GB"/>
        </w:rPr>
        <w:t>not</w:t>
      </w:r>
      <w:r w:rsidRPr="00A671C1">
        <w:rPr>
          <w:color w:val="00B0F0"/>
          <w:lang w:val="en-GB"/>
        </w:rPr>
        <w:t xml:space="preserve"> </w:t>
      </w:r>
      <w:r w:rsidRPr="00A452F2">
        <w:rPr>
          <w:lang w:val="en-GB"/>
        </w:rPr>
        <w:t>a raw counter from Windows or Linux. This is a derived counter provided by VMware Tools</w:t>
      </w:r>
      <w:r>
        <w:rPr>
          <w:lang w:val="en-GB"/>
        </w:rPr>
        <w:t xml:space="preserve"> to estimate the memory needed to run with minimum swapping. It’s a more conservative estimate as it includes some of the cache.</w:t>
      </w:r>
    </w:p>
    <w:p w14:paraId="506C3489" w14:textId="77777777" w:rsidR="00751E06" w:rsidRPr="00A452F2" w:rsidRDefault="00751E06" w:rsidP="00525768">
      <w:pPr>
        <w:rPr>
          <w:lang w:val="en-GB"/>
        </w:rPr>
      </w:pPr>
      <w:r w:rsidRPr="00A452F2">
        <w:rPr>
          <w:lang w:val="en-GB"/>
        </w:rPr>
        <w:t xml:space="preserve">The counter </w:t>
      </w:r>
      <w:r>
        <w:rPr>
          <w:lang w:val="en-GB"/>
        </w:rPr>
        <w:t>Needed memory</w:t>
      </w:r>
      <w:r w:rsidRPr="00A452F2">
        <w:rPr>
          <w:lang w:val="en-GB"/>
        </w:rPr>
        <w:t xml:space="preserve"> tracks the amount of memory needed by the Guest OS. It has 5% buffer for spike</w:t>
      </w:r>
      <w:r>
        <w:rPr>
          <w:lang w:val="en-GB"/>
        </w:rPr>
        <w:t xml:space="preserve">, based on the general guidance from Microsoft. </w:t>
      </w:r>
      <w:r w:rsidRPr="00A452F2">
        <w:rPr>
          <w:lang w:val="en-GB"/>
        </w:rPr>
        <w:t>Below this amount, the Guest OS may swap.</w:t>
      </w:r>
    </w:p>
    <w:p w14:paraId="7ECE3FC0" w14:textId="77777777" w:rsidR="00494006" w:rsidRDefault="00751E06" w:rsidP="00525768">
      <w:pPr>
        <w:pStyle w:val="Code"/>
      </w:pPr>
      <w:r w:rsidRPr="00A452F2">
        <w:t xml:space="preserve">= </w:t>
      </w:r>
      <w:r>
        <w:t xml:space="preserve">physical memory - </w:t>
      </w:r>
      <w:r w:rsidRPr="00A452F2">
        <w:rPr>
          <w:color w:val="000000"/>
        </w:rPr>
        <w:t>Maximum of (0, (</w:t>
      </w:r>
      <w:r>
        <w:rPr>
          <w:color w:val="000000"/>
        </w:rPr>
        <w:t xml:space="preserve"> Unneeded  </w:t>
      </w:r>
      <w:r w:rsidRPr="00A452F2">
        <w:rPr>
          <w:color w:val="000000"/>
        </w:rPr>
        <w:t>- 5 % of physical</w:t>
      </w:r>
      <w:r>
        <w:rPr>
          <w:color w:val="000000"/>
        </w:rPr>
        <w:t xml:space="preserve"> </w:t>
      </w:r>
      <w:r w:rsidRPr="00A452F2">
        <w:rPr>
          <w:color w:val="000000"/>
        </w:rPr>
        <w:t>))</w:t>
      </w:r>
      <w:r w:rsidRPr="00A452F2">
        <w:t xml:space="preserve"> </w:t>
      </w:r>
    </w:p>
    <w:p w14:paraId="3CC151D4" w14:textId="7848D810" w:rsidR="00751E06" w:rsidRPr="00A452F2" w:rsidRDefault="00494006" w:rsidP="00525768">
      <w:pPr>
        <w:pStyle w:val="Code"/>
      </w:pPr>
      <w:r>
        <w:lastRenderedPageBreak/>
        <w:t xml:space="preserve">  </w:t>
      </w:r>
      <w:r w:rsidR="00751E06">
        <w:t>where Unneeded = Free + Reserve Cache + Normal Priority Cache</w:t>
      </w:r>
    </w:p>
    <w:p w14:paraId="5F6D0C9A" w14:textId="77777777" w:rsidR="00751E06" w:rsidRDefault="00751E06" w:rsidP="00525768">
      <w:pPr>
        <w:rPr>
          <w:lang w:val="en-GB"/>
        </w:rPr>
      </w:pPr>
      <w:r w:rsidRPr="00A452F2">
        <w:rPr>
          <w:lang w:val="en-GB"/>
        </w:rPr>
        <w:t>Example: the VM has 10 GB of RAM. So the Physical RAM = 10 GB</w:t>
      </w:r>
    </w:p>
    <w:p w14:paraId="758960EF" w14:textId="77777777" w:rsidR="00751E06" w:rsidRPr="00A452F2" w:rsidRDefault="00751E06" w:rsidP="00525768">
      <w:pPr>
        <w:rPr>
          <w:lang w:val="en-GB"/>
        </w:rPr>
      </w:pPr>
      <w:r>
        <w:rPr>
          <w:lang w:val="en-GB"/>
        </w:rPr>
        <w:t>So 5% of physical = 0.5 GB</w:t>
      </w:r>
    </w:p>
    <w:p w14:paraId="3258ADBB" w14:textId="77777777" w:rsidR="00751E06" w:rsidRPr="00A452F2" w:rsidRDefault="00751E06" w:rsidP="00525768">
      <w:pPr>
        <w:rPr>
          <w:lang w:val="en-GB"/>
        </w:rPr>
      </w:pPr>
      <w:r w:rsidRPr="00A452F2">
        <w:rPr>
          <w:b/>
          <w:bCs/>
          <w:lang w:val="en-GB"/>
        </w:rPr>
        <w:t xml:space="preserve">Situation 1: </w:t>
      </w:r>
      <w:r>
        <w:rPr>
          <w:b/>
          <w:bCs/>
          <w:lang w:val="en-GB"/>
        </w:rPr>
        <w:t>max</w:t>
      </w:r>
      <w:r w:rsidRPr="00A452F2">
        <w:rPr>
          <w:b/>
          <w:bCs/>
          <w:lang w:val="en-GB"/>
        </w:rPr>
        <w:t xml:space="preserve"> memory utilization.</w:t>
      </w:r>
      <w:r w:rsidRPr="00A452F2">
        <w:rPr>
          <w:b/>
          <w:bCs/>
          <w:lang w:val="en-GB"/>
        </w:rPr>
        <w:br/>
      </w:r>
      <w:r w:rsidRPr="00A452F2">
        <w:rPr>
          <w:lang w:val="en-GB"/>
        </w:rPr>
        <w:t>Mem</w:t>
      </w:r>
      <w:r>
        <w:rPr>
          <w:lang w:val="en-GB"/>
        </w:rPr>
        <w:t xml:space="preserve">ory </w:t>
      </w:r>
      <w:r w:rsidRPr="00A452F2">
        <w:rPr>
          <w:lang w:val="en-GB"/>
        </w:rPr>
        <w:t xml:space="preserve">Available = </w:t>
      </w:r>
      <w:r>
        <w:rPr>
          <w:lang w:val="en-GB"/>
        </w:rPr>
        <w:t>0</w:t>
      </w:r>
      <w:r w:rsidRPr="00A452F2">
        <w:rPr>
          <w:lang w:val="en-GB"/>
        </w:rPr>
        <w:t xml:space="preserve"> GB. </w:t>
      </w:r>
      <w:r w:rsidRPr="00A452F2">
        <w:rPr>
          <w:lang w:val="en-GB"/>
        </w:rPr>
        <w:br/>
        <w:t xml:space="preserve">Tools will calculate </w:t>
      </w:r>
      <w:r>
        <w:rPr>
          <w:lang w:val="en-GB"/>
        </w:rPr>
        <w:t>Needed memory</w:t>
      </w:r>
      <w:r w:rsidRPr="00A452F2">
        <w:rPr>
          <w:lang w:val="en-GB"/>
        </w:rPr>
        <w:t xml:space="preserve"> as</w:t>
      </w:r>
      <w:r w:rsidRPr="00A452F2">
        <w:rPr>
          <w:lang w:val="en-GB"/>
        </w:rPr>
        <w:br/>
        <w:t xml:space="preserve">= 10 GB - Maximum (0, </w:t>
      </w:r>
      <w:r>
        <w:rPr>
          <w:lang w:val="en-GB"/>
        </w:rPr>
        <w:t>0</w:t>
      </w:r>
      <w:r w:rsidRPr="00A452F2">
        <w:rPr>
          <w:lang w:val="en-GB"/>
        </w:rPr>
        <w:t xml:space="preserve"> </w:t>
      </w:r>
      <w:r>
        <w:rPr>
          <w:lang w:val="en-GB"/>
        </w:rPr>
        <w:t>–</w:t>
      </w:r>
      <w:r w:rsidRPr="00A452F2">
        <w:rPr>
          <w:lang w:val="en-GB"/>
        </w:rPr>
        <w:t xml:space="preserve"> </w:t>
      </w:r>
      <w:r>
        <w:rPr>
          <w:lang w:val="en-GB"/>
        </w:rPr>
        <w:t>0.</w:t>
      </w:r>
      <w:r w:rsidRPr="00A452F2">
        <w:rPr>
          <w:lang w:val="en-GB"/>
        </w:rPr>
        <w:t>5)</w:t>
      </w:r>
      <w:r w:rsidRPr="00A452F2">
        <w:rPr>
          <w:lang w:val="en-GB"/>
        </w:rPr>
        <w:br/>
        <w:t xml:space="preserve">= 10 - Maximum (0, </w:t>
      </w:r>
      <w:r>
        <w:rPr>
          <w:lang w:val="en-GB"/>
        </w:rPr>
        <w:t>-0.5</w:t>
      </w:r>
      <w:r w:rsidRPr="00A452F2">
        <w:rPr>
          <w:lang w:val="en-GB"/>
        </w:rPr>
        <w:t>)</w:t>
      </w:r>
      <w:r w:rsidRPr="00A452F2">
        <w:rPr>
          <w:lang w:val="en-GB"/>
        </w:rPr>
        <w:br/>
        <w:t xml:space="preserve">= 10 - </w:t>
      </w:r>
      <w:r>
        <w:rPr>
          <w:lang w:val="en-GB"/>
        </w:rPr>
        <w:t>0</w:t>
      </w:r>
      <w:r w:rsidRPr="00A452F2">
        <w:rPr>
          <w:lang w:val="en-GB"/>
        </w:rPr>
        <w:t xml:space="preserve"> GB</w:t>
      </w:r>
      <w:r w:rsidRPr="00A452F2">
        <w:rPr>
          <w:lang w:val="en-GB"/>
        </w:rPr>
        <w:br/>
        <w:t xml:space="preserve">= </w:t>
      </w:r>
      <w:r>
        <w:rPr>
          <w:lang w:val="en-GB"/>
        </w:rPr>
        <w:t>10</w:t>
      </w:r>
      <w:r w:rsidRPr="00A452F2">
        <w:rPr>
          <w:lang w:val="en-GB"/>
        </w:rPr>
        <w:t xml:space="preserve"> GB</w:t>
      </w:r>
      <w:r w:rsidRPr="00A452F2">
        <w:rPr>
          <w:lang w:val="en-GB"/>
        </w:rPr>
        <w:br/>
      </w:r>
      <w:r>
        <w:rPr>
          <w:lang w:val="en-GB"/>
        </w:rPr>
        <w:t>Needed memory is the same as it’s already maxed.</w:t>
      </w:r>
    </w:p>
    <w:p w14:paraId="0F0DB0FC" w14:textId="77777777" w:rsidR="00751E06" w:rsidRPr="00A452F2" w:rsidRDefault="00751E06" w:rsidP="00525768">
      <w:pPr>
        <w:rPr>
          <w:lang w:val="en-GB"/>
        </w:rPr>
      </w:pPr>
      <w:r w:rsidRPr="00A452F2">
        <w:rPr>
          <w:b/>
          <w:bCs/>
          <w:lang w:val="en-GB"/>
        </w:rPr>
        <w:t xml:space="preserve">Situation </w:t>
      </w:r>
      <w:r>
        <w:rPr>
          <w:b/>
          <w:bCs/>
          <w:lang w:val="en-GB"/>
        </w:rPr>
        <w:t>2</w:t>
      </w:r>
      <w:r w:rsidRPr="00A452F2">
        <w:rPr>
          <w:b/>
          <w:bCs/>
          <w:lang w:val="en-GB"/>
        </w:rPr>
        <w:t>: high memory utilization.</w:t>
      </w:r>
      <w:r w:rsidRPr="00A452F2">
        <w:rPr>
          <w:b/>
          <w:bCs/>
          <w:lang w:val="en-GB"/>
        </w:rPr>
        <w:br/>
      </w:r>
      <w:r w:rsidRPr="00A452F2">
        <w:rPr>
          <w:lang w:val="en-GB"/>
        </w:rPr>
        <w:t>Mem</w:t>
      </w:r>
      <w:r>
        <w:rPr>
          <w:lang w:val="en-GB"/>
        </w:rPr>
        <w:t xml:space="preserve">ory </w:t>
      </w:r>
      <w:r w:rsidRPr="00A452F2">
        <w:rPr>
          <w:lang w:val="en-GB"/>
        </w:rPr>
        <w:t xml:space="preserve">Available = 2 GB. </w:t>
      </w:r>
      <w:r w:rsidRPr="00A452F2">
        <w:rPr>
          <w:lang w:val="en-GB"/>
        </w:rPr>
        <w:br/>
        <w:t xml:space="preserve">Tools will calculate </w:t>
      </w:r>
      <w:r>
        <w:rPr>
          <w:lang w:val="en-GB"/>
        </w:rPr>
        <w:t>Needed memory</w:t>
      </w:r>
      <w:r w:rsidRPr="00A452F2">
        <w:rPr>
          <w:lang w:val="en-GB"/>
        </w:rPr>
        <w:t xml:space="preserve"> as</w:t>
      </w:r>
      <w:r w:rsidRPr="00A452F2">
        <w:rPr>
          <w:lang w:val="en-GB"/>
        </w:rPr>
        <w:br/>
        <w:t xml:space="preserve">= 10 GB - Maximum (0, 2 </w:t>
      </w:r>
      <w:r>
        <w:rPr>
          <w:lang w:val="en-GB"/>
        </w:rPr>
        <w:t>–</w:t>
      </w:r>
      <w:r w:rsidRPr="00A452F2">
        <w:rPr>
          <w:lang w:val="en-GB"/>
        </w:rPr>
        <w:t xml:space="preserve"> </w:t>
      </w:r>
      <w:r>
        <w:rPr>
          <w:lang w:val="en-GB"/>
        </w:rPr>
        <w:t>0.</w:t>
      </w:r>
      <w:r w:rsidRPr="00A452F2">
        <w:rPr>
          <w:lang w:val="en-GB"/>
        </w:rPr>
        <w:t>5)</w:t>
      </w:r>
      <w:r w:rsidRPr="00A452F2">
        <w:rPr>
          <w:lang w:val="en-GB"/>
        </w:rPr>
        <w:br/>
        <w:t>= 10 - Maximum (0, 1.5 GB)</w:t>
      </w:r>
      <w:r w:rsidRPr="00A452F2">
        <w:rPr>
          <w:lang w:val="en-GB"/>
        </w:rPr>
        <w:br/>
        <w:t>= 10 - 1.5 GB</w:t>
      </w:r>
      <w:r w:rsidRPr="00A452F2">
        <w:rPr>
          <w:lang w:val="en-GB"/>
        </w:rPr>
        <w:br/>
        <w:t>= 8.5 GB</w:t>
      </w:r>
      <w:r w:rsidRPr="00A452F2">
        <w:rPr>
          <w:lang w:val="en-GB"/>
        </w:rPr>
        <w:br/>
        <w:t>You actually still have 2 GB here. But Tools adds around 5%</w:t>
      </w:r>
    </w:p>
    <w:p w14:paraId="1B4B630E" w14:textId="77777777" w:rsidR="00751E06" w:rsidRDefault="00751E06" w:rsidP="00525768">
      <w:pPr>
        <w:rPr>
          <w:lang w:val="en-GB"/>
        </w:rPr>
      </w:pPr>
      <w:r w:rsidRPr="00A452F2">
        <w:rPr>
          <w:b/>
          <w:bCs/>
          <w:lang w:val="en-GB"/>
        </w:rPr>
        <w:t xml:space="preserve">Situation </w:t>
      </w:r>
      <w:r>
        <w:rPr>
          <w:b/>
          <w:bCs/>
          <w:lang w:val="en-GB"/>
        </w:rPr>
        <w:t>3</w:t>
      </w:r>
      <w:r w:rsidRPr="00A452F2">
        <w:rPr>
          <w:b/>
          <w:bCs/>
          <w:lang w:val="en-GB"/>
        </w:rPr>
        <w:t>: low memory utilization.</w:t>
      </w:r>
      <w:r w:rsidRPr="00A452F2">
        <w:rPr>
          <w:b/>
          <w:bCs/>
          <w:lang w:val="en-GB"/>
        </w:rPr>
        <w:br/>
      </w:r>
      <w:r w:rsidRPr="00A452F2">
        <w:rPr>
          <w:lang w:val="en-GB"/>
        </w:rPr>
        <w:t>Mem</w:t>
      </w:r>
      <w:r>
        <w:rPr>
          <w:lang w:val="en-GB"/>
        </w:rPr>
        <w:t xml:space="preserve">ory </w:t>
      </w:r>
      <w:r w:rsidRPr="00A452F2">
        <w:rPr>
          <w:lang w:val="en-GB"/>
        </w:rPr>
        <w:t xml:space="preserve">Available = 8 GB. </w:t>
      </w:r>
      <w:r w:rsidRPr="00A452F2">
        <w:rPr>
          <w:lang w:val="en-GB"/>
        </w:rPr>
        <w:br/>
        <w:t xml:space="preserve">Tools will calculate </w:t>
      </w:r>
      <w:r>
        <w:rPr>
          <w:lang w:val="en-GB"/>
        </w:rPr>
        <w:t>Needed memory</w:t>
      </w:r>
      <w:r w:rsidRPr="00A452F2">
        <w:rPr>
          <w:lang w:val="en-GB"/>
        </w:rPr>
        <w:t xml:space="preserve"> as</w:t>
      </w:r>
      <w:r w:rsidRPr="00A452F2">
        <w:rPr>
          <w:lang w:val="en-GB"/>
        </w:rPr>
        <w:br/>
        <w:t xml:space="preserve">= 10 GB - Maximum (0, 8 </w:t>
      </w:r>
      <w:r>
        <w:rPr>
          <w:lang w:val="en-GB"/>
        </w:rPr>
        <w:t>–</w:t>
      </w:r>
      <w:r w:rsidRPr="00A452F2">
        <w:rPr>
          <w:lang w:val="en-GB"/>
        </w:rPr>
        <w:t xml:space="preserve"> </w:t>
      </w:r>
      <w:r>
        <w:rPr>
          <w:lang w:val="en-GB"/>
        </w:rPr>
        <w:t>0.</w:t>
      </w:r>
      <w:r w:rsidRPr="00A452F2">
        <w:rPr>
          <w:lang w:val="en-GB"/>
        </w:rPr>
        <w:t>5)</w:t>
      </w:r>
      <w:r w:rsidRPr="00A452F2">
        <w:rPr>
          <w:lang w:val="en-GB"/>
        </w:rPr>
        <w:br/>
        <w:t>= 10 - Maximum (0, 7.5 GB)</w:t>
      </w:r>
      <w:r w:rsidRPr="00A452F2">
        <w:rPr>
          <w:lang w:val="en-GB"/>
        </w:rPr>
        <w:br/>
        <w:t>= 10 - 7.5 GB</w:t>
      </w:r>
      <w:r w:rsidRPr="00A452F2">
        <w:rPr>
          <w:lang w:val="en-GB"/>
        </w:rPr>
        <w:br/>
        <w:t>= 2.5 GB</w:t>
      </w:r>
      <w:r w:rsidRPr="00A452F2">
        <w:rPr>
          <w:lang w:val="en-GB"/>
        </w:rPr>
        <w:br/>
        <w:t>Again, Tools adds around 5%.</w:t>
      </w:r>
    </w:p>
    <w:p w14:paraId="3623C9B5" w14:textId="77777777" w:rsidR="00751E06" w:rsidRDefault="00751E06" w:rsidP="00525768">
      <w:pPr>
        <w:rPr>
          <w:lang w:val="en-GB"/>
        </w:rPr>
      </w:pPr>
      <w:r>
        <w:rPr>
          <w:lang w:val="en-GB"/>
        </w:rPr>
        <w:t>We’ve covered that you need to look at more than 1 metric before you decide to add more memory. I’m afraid it is case by case, as shown in the following table. All these VMs are low on free memory, but other than VM on row no 3, the rest has sufficient memory.</w:t>
      </w:r>
    </w:p>
    <w:p w14:paraId="15FDF262" w14:textId="77777777" w:rsidR="00751E06" w:rsidRDefault="00751E06" w:rsidP="00525768">
      <w:pPr>
        <w:rPr>
          <w:lang w:val="en-GB"/>
        </w:rPr>
      </w:pPr>
      <w:r w:rsidRPr="00152080">
        <w:rPr>
          <w:noProof/>
          <w:lang w:val="en-GB"/>
        </w:rPr>
        <w:lastRenderedPageBreak/>
        <w:drawing>
          <wp:inline distT="0" distB="0" distL="0" distR="0" wp14:anchorId="0F0B0BA9" wp14:editId="35CAFE88">
            <wp:extent cx="6645910" cy="3926840"/>
            <wp:effectExtent l="0" t="0" r="2540" b="0"/>
            <wp:docPr id="357815375" name="Picture 357815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6645910" cy="3926840"/>
                    </a:xfrm>
                    <a:prstGeom prst="rect">
                      <a:avLst/>
                    </a:prstGeom>
                  </pic:spPr>
                </pic:pic>
              </a:graphicData>
            </a:graphic>
          </wp:inline>
        </w:drawing>
      </w:r>
    </w:p>
    <w:p w14:paraId="79C01EDE" w14:textId="77777777" w:rsidR="00751E06" w:rsidRPr="00A452F2" w:rsidRDefault="00751E06" w:rsidP="00525768">
      <w:pPr>
        <w:pStyle w:val="Heading5"/>
        <w:rPr>
          <w:rStyle w:val="Strong"/>
          <w:b/>
          <w:bCs/>
        </w:rPr>
      </w:pPr>
      <w:r w:rsidRPr="00A452F2">
        <w:rPr>
          <w:rStyle w:val="Strong"/>
          <w:b/>
          <w:bCs/>
        </w:rPr>
        <w:t>Other Metrics</w:t>
      </w:r>
    </w:p>
    <w:p w14:paraId="5A6D3244" w14:textId="77777777" w:rsidR="00751E06" w:rsidRPr="00A452F2" w:rsidRDefault="00751E06" w:rsidP="00751E06">
      <w:pPr>
        <w:rPr>
          <w:rStyle w:val="Strong"/>
          <w:b w:val="0"/>
          <w:bCs w:val="0"/>
          <w:lang w:val="en-GB"/>
        </w:rPr>
      </w:pPr>
      <w:r w:rsidRPr="00A452F2">
        <w:rPr>
          <w:rStyle w:val="Strong"/>
          <w:lang w:val="en-GB"/>
        </w:rPr>
        <w:t xml:space="preserve">Page Size: </w:t>
      </w:r>
      <w:r w:rsidRPr="00A452F2">
        <w:rPr>
          <w:lang w:val="en-GB"/>
        </w:rPr>
        <w:t>Size of the page. In Windows, this is 4 KB by default. This is not the size of the pagefile.sys in c:\.</w:t>
      </w:r>
    </w:p>
    <w:p w14:paraId="2A2E5237" w14:textId="77777777" w:rsidR="00751E06" w:rsidRPr="00A452F2" w:rsidRDefault="00751E06" w:rsidP="00751E06">
      <w:pPr>
        <w:rPr>
          <w:lang w:val="en-GB"/>
        </w:rPr>
      </w:pPr>
      <w:r w:rsidRPr="00A452F2">
        <w:rPr>
          <w:rStyle w:val="Strong"/>
          <w:lang w:val="en-GB"/>
        </w:rPr>
        <w:t>Paged pool</w:t>
      </w:r>
      <w:r w:rsidRPr="00A452F2">
        <w:rPr>
          <w:lang w:val="en-GB"/>
        </w:rPr>
        <w:t>: this is a part of Cache Bytes. Based on </w:t>
      </w:r>
      <w:hyperlink r:id="rId414" w:history="1">
        <w:r w:rsidRPr="00A452F2">
          <w:rPr>
            <w:rStyle w:val="Hyperlink"/>
            <w:lang w:val="en-GB"/>
          </w:rPr>
          <w:t>this</w:t>
        </w:r>
      </w:hyperlink>
      <w:r w:rsidRPr="00A452F2">
        <w:rPr>
          <w:lang w:val="en-GB"/>
        </w:rPr>
        <w:t> great article, it includes Pool Paged Resident Bytes, the System Cache Resident Bytes, the System Code Resident Bytes and the System Driver Resident Bytes.</w:t>
      </w:r>
    </w:p>
    <w:p w14:paraId="4E14D6F4" w14:textId="77777777" w:rsidR="00751E06" w:rsidRPr="00A452F2" w:rsidRDefault="00751E06" w:rsidP="00751E06">
      <w:pPr>
        <w:rPr>
          <w:lang w:val="en-GB"/>
        </w:rPr>
      </w:pPr>
      <w:r w:rsidRPr="00A452F2">
        <w:rPr>
          <w:rStyle w:val="Strong"/>
          <w:lang w:val="en-GB"/>
        </w:rPr>
        <w:t>Non-paged pool</w:t>
      </w:r>
      <w:r w:rsidRPr="00A452F2">
        <w:rPr>
          <w:lang w:val="en-GB"/>
        </w:rPr>
        <w:t>: this is kernel RAM. It cannot be paged out. It’s part of In Use.</w:t>
      </w:r>
    </w:p>
    <w:p w14:paraId="108739B7" w14:textId="77777777" w:rsidR="00751E06" w:rsidRPr="001C2BC9" w:rsidRDefault="00751E06" w:rsidP="00751E06">
      <w:pPr>
        <w:rPr>
          <w:lang w:val="en-GB"/>
        </w:rPr>
      </w:pPr>
      <w:r>
        <w:rPr>
          <w:b/>
          <w:bCs/>
          <w:lang w:val="en-GB"/>
        </w:rPr>
        <w:t xml:space="preserve">Working Set: </w:t>
      </w:r>
      <w:r>
        <w:rPr>
          <w:lang w:val="en-GB"/>
        </w:rPr>
        <w:t>this measures the active usage by all processes. If this number exceeds the available memory, Windows decreases the working set of processes to minimize paging.</w:t>
      </w:r>
    </w:p>
    <w:p w14:paraId="2EBDEA9D" w14:textId="77777777" w:rsidR="00751E06" w:rsidRPr="00A452F2" w:rsidRDefault="00751E06" w:rsidP="00751E06">
      <w:pPr>
        <w:rPr>
          <w:lang w:val="en-GB"/>
        </w:rPr>
      </w:pPr>
      <w:r w:rsidRPr="00A452F2">
        <w:rPr>
          <w:b/>
          <w:bCs/>
          <w:lang w:val="en-GB"/>
        </w:rPr>
        <w:t>Remaining Swap</w:t>
      </w:r>
      <w:r w:rsidRPr="00A452F2">
        <w:rPr>
          <w:lang w:val="en-GB"/>
        </w:rPr>
        <w:t>: The amount of swap space remaining, taking into account the possibility of swap</w:t>
      </w:r>
      <w:r>
        <w:rPr>
          <w:lang w:val="en-GB"/>
        </w:rPr>
        <w:t xml:space="preserve"> </w:t>
      </w:r>
      <w:r w:rsidRPr="00A452F2">
        <w:rPr>
          <w:lang w:val="en-GB"/>
        </w:rPr>
        <w:t>file growth where possible. A low remaining will trigger paging. If the system is configured to run without a swap</w:t>
      </w:r>
      <w:r>
        <w:rPr>
          <w:lang w:val="en-GB"/>
        </w:rPr>
        <w:t xml:space="preserve"> </w:t>
      </w:r>
      <w:r w:rsidRPr="00A452F2">
        <w:rPr>
          <w:lang w:val="en-GB"/>
        </w:rPr>
        <w:t>file, this will return zero</w:t>
      </w:r>
    </w:p>
    <w:p w14:paraId="1FFE62C3" w14:textId="77777777" w:rsidR="008378C2" w:rsidRDefault="008378C2" w:rsidP="00525768">
      <w:pPr>
        <w:pStyle w:val="Heading4"/>
      </w:pPr>
      <w:r>
        <w:t>Storage</w:t>
      </w:r>
    </w:p>
    <w:p w14:paraId="7D1F8F01" w14:textId="77777777" w:rsidR="008378C2" w:rsidRDefault="008378C2" w:rsidP="00525768">
      <w:r>
        <w:t xml:space="preserve">This is the layer that application team care as it is what is presented to them. </w:t>
      </w:r>
    </w:p>
    <w:p w14:paraId="3EBE1419" w14:textId="77777777" w:rsidR="008378C2" w:rsidRPr="00A452F2" w:rsidRDefault="008378C2" w:rsidP="00525768">
      <w:pPr>
        <w:pStyle w:val="BeforeTable"/>
        <w:rPr>
          <w:lang w:val="en-GB"/>
        </w:rPr>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8378C2" w:rsidRPr="00EB0C8A" w14:paraId="5E29F869" w14:textId="77777777" w:rsidTr="00281329">
        <w:tc>
          <w:tcPr>
            <w:tcW w:w="1843" w:type="dxa"/>
            <w:shd w:val="clear" w:color="auto" w:fill="F2F2F2" w:themeFill="background1" w:themeFillShade="F2"/>
          </w:tcPr>
          <w:p w14:paraId="1D15CAF1" w14:textId="77777777" w:rsidR="008378C2" w:rsidRPr="00EB0C8A" w:rsidRDefault="008378C2" w:rsidP="00525768">
            <w:pPr>
              <w:pStyle w:val="Tableheading"/>
              <w:rPr>
                <w:rStyle w:val="Strong"/>
                <w:b/>
                <w:bCs w:val="0"/>
              </w:rPr>
            </w:pPr>
            <w:r w:rsidRPr="00EB0C8A">
              <w:rPr>
                <w:rStyle w:val="Strong"/>
                <w:b/>
                <w:bCs w:val="0"/>
              </w:rPr>
              <w:lastRenderedPageBreak/>
              <w:t>Questions</w:t>
            </w:r>
          </w:p>
        </w:tc>
        <w:tc>
          <w:tcPr>
            <w:tcW w:w="8647" w:type="dxa"/>
            <w:shd w:val="clear" w:color="auto" w:fill="F2F2F2" w:themeFill="background1" w:themeFillShade="F2"/>
          </w:tcPr>
          <w:p w14:paraId="68173A71" w14:textId="77777777" w:rsidR="008378C2" w:rsidRPr="00EB0C8A" w:rsidRDefault="008378C2" w:rsidP="00525768">
            <w:pPr>
              <w:pStyle w:val="Tableheading"/>
            </w:pPr>
            <w:r w:rsidRPr="00EB0C8A">
              <w:t>Description</w:t>
            </w:r>
          </w:p>
        </w:tc>
      </w:tr>
      <w:tr w:rsidR="008378C2" w:rsidRPr="00006B9C" w14:paraId="399D3639" w14:textId="77777777" w:rsidTr="00281329">
        <w:tc>
          <w:tcPr>
            <w:tcW w:w="1843" w:type="dxa"/>
            <w:shd w:val="clear" w:color="auto" w:fill="auto"/>
          </w:tcPr>
          <w:p w14:paraId="0B2BBB8D" w14:textId="77777777" w:rsidR="008378C2" w:rsidRPr="005F6D26" w:rsidRDefault="008378C2" w:rsidP="00525768">
            <w:pPr>
              <w:pStyle w:val="Tablecontent"/>
            </w:pPr>
            <w:r>
              <w:t>Configuration</w:t>
            </w:r>
          </w:p>
        </w:tc>
        <w:tc>
          <w:tcPr>
            <w:tcW w:w="8647" w:type="dxa"/>
          </w:tcPr>
          <w:p w14:paraId="27C6B6D0" w14:textId="77777777" w:rsidR="008378C2" w:rsidRDefault="008378C2" w:rsidP="00525768">
            <w:pPr>
              <w:pStyle w:val="Tablecontent"/>
            </w:pPr>
            <w:r>
              <w:t xml:space="preserve">For each partition, need to know name, filesystem type (e.g. NTFS, ext4), network or local, block size. </w:t>
            </w:r>
          </w:p>
          <w:p w14:paraId="0D6011F2" w14:textId="77777777" w:rsidR="008378C2" w:rsidRPr="001767C7" w:rsidRDefault="008378C2" w:rsidP="00525768">
            <w:pPr>
              <w:pStyle w:val="Tablecontent"/>
            </w:pPr>
            <w:r>
              <w:t>Ideally, we get the mapping between partition and virtual disk.</w:t>
            </w:r>
          </w:p>
        </w:tc>
      </w:tr>
      <w:tr w:rsidR="008378C2" w:rsidRPr="00006B9C" w14:paraId="099A4965" w14:textId="77777777" w:rsidTr="00281329">
        <w:tc>
          <w:tcPr>
            <w:tcW w:w="1843" w:type="dxa"/>
            <w:shd w:val="clear" w:color="auto" w:fill="auto"/>
          </w:tcPr>
          <w:p w14:paraId="5F360338" w14:textId="77777777" w:rsidR="008378C2" w:rsidRPr="005F6D26" w:rsidRDefault="008378C2" w:rsidP="00525768">
            <w:pPr>
              <w:pStyle w:val="Tablecontent"/>
            </w:pPr>
            <w:r>
              <w:t>Capacity</w:t>
            </w:r>
          </w:p>
        </w:tc>
        <w:tc>
          <w:tcPr>
            <w:tcW w:w="8647" w:type="dxa"/>
          </w:tcPr>
          <w:p w14:paraId="3626655E" w14:textId="77777777" w:rsidR="008378C2" w:rsidRDefault="008378C2" w:rsidP="00525768">
            <w:pPr>
              <w:pStyle w:val="Tablecontent"/>
            </w:pPr>
            <w:r>
              <w:t xml:space="preserve">For each partition, need to know the configured space and used space. For free space, we need to know both in absolute (GB) and relative (%). </w:t>
            </w:r>
          </w:p>
          <w:p w14:paraId="7A0BA1CF" w14:textId="17586EB8" w:rsidR="008378C2" w:rsidRDefault="008378C2" w:rsidP="00525768">
            <w:pPr>
              <w:pStyle w:val="Tablecontent"/>
            </w:pPr>
            <w:r>
              <w:t xml:space="preserve">Need to alert before running out of disk space, else </w:t>
            </w:r>
            <w:r w:rsidR="00304B88">
              <w:t xml:space="preserve">the OS </w:t>
            </w:r>
            <w:r>
              <w:t>crashes.</w:t>
            </w:r>
          </w:p>
          <w:p w14:paraId="2B4B7A29" w14:textId="77777777" w:rsidR="008378C2" w:rsidRPr="001767C7" w:rsidRDefault="008378C2" w:rsidP="00525768">
            <w:pPr>
              <w:pStyle w:val="Tablecontent"/>
            </w:pPr>
            <w:r>
              <w:t>We should not include the networked drive in Guest OS capacity, because the networked drive is typically shared by many. An exception is in VDI use case, where the user personal files is stored on the network.</w:t>
            </w:r>
          </w:p>
        </w:tc>
      </w:tr>
      <w:tr w:rsidR="008378C2" w:rsidRPr="00006B9C" w14:paraId="2D00FB7A" w14:textId="77777777" w:rsidTr="00281329">
        <w:tc>
          <w:tcPr>
            <w:tcW w:w="1843" w:type="dxa"/>
            <w:shd w:val="clear" w:color="auto" w:fill="auto"/>
          </w:tcPr>
          <w:p w14:paraId="7EFE5AA4" w14:textId="77777777" w:rsidR="008378C2" w:rsidRDefault="008378C2" w:rsidP="00525768">
            <w:pPr>
              <w:pStyle w:val="Tablecontent"/>
            </w:pPr>
            <w:r>
              <w:t>Reclamation</w:t>
            </w:r>
          </w:p>
        </w:tc>
        <w:tc>
          <w:tcPr>
            <w:tcW w:w="8647" w:type="dxa"/>
          </w:tcPr>
          <w:p w14:paraId="7EE83332" w14:textId="77777777" w:rsidR="008378C2" w:rsidRDefault="008378C2" w:rsidP="00525768">
            <w:pPr>
              <w:pStyle w:val="Tablecontent"/>
            </w:pPr>
            <w:r>
              <w:t>This can be determined from the free space. Reclamation is tricky as it needs to shrink partition.</w:t>
            </w:r>
          </w:p>
        </w:tc>
      </w:tr>
      <w:tr w:rsidR="008378C2" w:rsidRPr="00006B9C" w14:paraId="12CAD591" w14:textId="77777777" w:rsidTr="00281329">
        <w:tc>
          <w:tcPr>
            <w:tcW w:w="1843" w:type="dxa"/>
            <w:shd w:val="clear" w:color="auto" w:fill="auto"/>
          </w:tcPr>
          <w:p w14:paraId="19BC49F8" w14:textId="77777777" w:rsidR="008378C2" w:rsidRDefault="008378C2" w:rsidP="00525768">
            <w:pPr>
              <w:pStyle w:val="Tablecontent"/>
            </w:pPr>
            <w:r>
              <w:t>Performance</w:t>
            </w:r>
          </w:p>
        </w:tc>
        <w:tc>
          <w:tcPr>
            <w:tcW w:w="8647" w:type="dxa"/>
          </w:tcPr>
          <w:p w14:paraId="676E6FFB" w14:textId="77777777" w:rsidR="008378C2" w:rsidRDefault="008378C2" w:rsidP="00525768">
            <w:pPr>
              <w:pStyle w:val="Tablecontent"/>
            </w:pPr>
            <w:r>
              <w:t>Queue, Latency (read and write), IOPS, Throughput</w:t>
            </w:r>
          </w:p>
        </w:tc>
      </w:tr>
    </w:tbl>
    <w:p w14:paraId="0A6FC5F0" w14:textId="465A6A70" w:rsidR="008378C2" w:rsidRDefault="00525768" w:rsidP="00525768">
      <w:pPr>
        <w:pStyle w:val="Heading5"/>
      </w:pPr>
      <w:r>
        <w:t>Overview</w:t>
      </w:r>
    </w:p>
    <w:p w14:paraId="771ADAFD" w14:textId="77777777" w:rsidR="00662DD5" w:rsidRDefault="008378C2" w:rsidP="00525768">
      <w:pPr>
        <w:rPr>
          <w:lang w:val="en-GB"/>
        </w:rPr>
      </w:pPr>
      <w:r>
        <w:rPr>
          <w:lang w:val="en-GB"/>
        </w:rPr>
        <w:t xml:space="preserve">Windows provides rich set of metrics, both at disk and filesystem. I’m not sure if this includes networked fileshare. </w:t>
      </w:r>
    </w:p>
    <w:p w14:paraId="0D476187" w14:textId="77777777" w:rsidR="00662DD5" w:rsidRDefault="00662DD5" w:rsidP="00662DD5">
      <w:pPr>
        <w:pStyle w:val="Heading6"/>
      </w:pPr>
      <w:bookmarkStart w:id="78" w:name="_Hlk133844990"/>
      <w:r>
        <w:t>Disk Metrics</w:t>
      </w:r>
    </w:p>
    <w:bookmarkEnd w:id="78"/>
    <w:p w14:paraId="7D094CBE" w14:textId="419F09CA" w:rsidR="008378C2" w:rsidRPr="00DD0ABE" w:rsidRDefault="008378C2" w:rsidP="00525768">
      <w:pPr>
        <w:rPr>
          <w:lang w:val="en-GB"/>
        </w:rPr>
      </w:pPr>
      <w:r>
        <w:rPr>
          <w:lang w:val="en-GB"/>
        </w:rPr>
        <w:t>You will find the disk metrics in Performance Monitor under Physical Disk. It’s interesting it’s still called Physical. Does it mean it’s unaware it’s actually virtual?</w:t>
      </w:r>
    </w:p>
    <w:p w14:paraId="68D21CF1" w14:textId="77777777" w:rsidR="008378C2" w:rsidRDefault="008378C2" w:rsidP="00525768">
      <w:pPr>
        <w:rPr>
          <w:lang w:val="en-GB"/>
        </w:rPr>
      </w:pPr>
      <w:r>
        <w:rPr>
          <w:noProof/>
        </w:rPr>
        <w:lastRenderedPageBreak/>
        <w:drawing>
          <wp:inline distT="0" distB="0" distL="0" distR="0" wp14:anchorId="4A2C02AF" wp14:editId="156FBEBB">
            <wp:extent cx="6645910" cy="4138295"/>
            <wp:effectExtent l="0" t="0" r="2540" b="0"/>
            <wp:docPr id="750070365" name="Picture 75007036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65" name="Picture 750070365" descr="Graphical user interface, application&#10;&#10;Description automatically generated"/>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6645910" cy="4138295"/>
                    </a:xfrm>
                    <a:prstGeom prst="rect">
                      <a:avLst/>
                    </a:prstGeom>
                    <a:noFill/>
                    <a:ln>
                      <a:noFill/>
                    </a:ln>
                  </pic:spPr>
                </pic:pic>
              </a:graphicData>
            </a:graphic>
          </wp:inline>
        </w:drawing>
      </w:r>
    </w:p>
    <w:p w14:paraId="5FAD3692" w14:textId="77777777" w:rsidR="008378C2" w:rsidRDefault="008378C2" w:rsidP="00525768">
      <w:pPr>
        <w:rPr>
          <w:lang w:val="en-GB"/>
        </w:rPr>
      </w:pPr>
      <w:r>
        <w:rPr>
          <w:lang w:val="en-GB"/>
        </w:rPr>
        <w:t xml:space="preserve">Source is </w:t>
      </w:r>
      <w:hyperlink r:id="rId416" w:history="1">
        <w:r w:rsidRPr="00E90BD9">
          <w:rPr>
            <w:rStyle w:val="Hyperlink"/>
            <w:lang w:val="en-GB"/>
          </w:rPr>
          <w:t>here</w:t>
        </w:r>
      </w:hyperlink>
      <w:r>
        <w:rPr>
          <w:lang w:val="en-GB"/>
        </w:rPr>
        <w:t xml:space="preserve">. </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261"/>
        <w:gridCol w:w="7195"/>
      </w:tblGrid>
      <w:tr w:rsidR="008378C2" w14:paraId="1FF14077" w14:textId="77777777" w:rsidTr="00281329">
        <w:tc>
          <w:tcPr>
            <w:tcW w:w="3261" w:type="dxa"/>
            <w:shd w:val="clear" w:color="auto" w:fill="F2F2F2" w:themeFill="background1" w:themeFillShade="F2"/>
          </w:tcPr>
          <w:p w14:paraId="131363E5" w14:textId="77777777" w:rsidR="008378C2" w:rsidRPr="001D69F8" w:rsidRDefault="008378C2" w:rsidP="00525768">
            <w:pPr>
              <w:pStyle w:val="Tablecontent"/>
            </w:pPr>
            <w:r w:rsidRPr="003E0CB2">
              <w:t>Current Disk Queue Length</w:t>
            </w:r>
          </w:p>
        </w:tc>
        <w:tc>
          <w:tcPr>
            <w:tcW w:w="7195" w:type="dxa"/>
            <w:vMerge w:val="restart"/>
          </w:tcPr>
          <w:p w14:paraId="69EC0E66" w14:textId="77777777" w:rsidR="008378C2" w:rsidRPr="00E90BD9" w:rsidRDefault="008378C2" w:rsidP="00525768">
            <w:pPr>
              <w:pStyle w:val="Tablecontent"/>
            </w:pPr>
            <w:r>
              <w:t>This is the primary counter for performance, hence I show it first. It is covered in-depth after this summary.</w:t>
            </w:r>
          </w:p>
        </w:tc>
      </w:tr>
      <w:tr w:rsidR="008378C2" w14:paraId="5830E48D" w14:textId="77777777" w:rsidTr="00281329">
        <w:tc>
          <w:tcPr>
            <w:tcW w:w="3261" w:type="dxa"/>
            <w:shd w:val="clear" w:color="auto" w:fill="F2F2F2" w:themeFill="background1" w:themeFillShade="F2"/>
          </w:tcPr>
          <w:p w14:paraId="0542CDCE" w14:textId="77777777" w:rsidR="008378C2" w:rsidRPr="001D69F8" w:rsidRDefault="008378C2" w:rsidP="00525768">
            <w:pPr>
              <w:pStyle w:val="Tablecontent"/>
            </w:pPr>
            <w:r w:rsidRPr="003E0CB2">
              <w:t>Avg. Disk Queue Length</w:t>
            </w:r>
          </w:p>
        </w:tc>
        <w:tc>
          <w:tcPr>
            <w:tcW w:w="7195" w:type="dxa"/>
            <w:vMerge/>
          </w:tcPr>
          <w:p w14:paraId="6EDE10A1" w14:textId="77777777" w:rsidR="008378C2" w:rsidRPr="00E90BD9" w:rsidRDefault="008378C2" w:rsidP="00525768">
            <w:pPr>
              <w:pStyle w:val="Tablecontent"/>
            </w:pPr>
          </w:p>
        </w:tc>
      </w:tr>
      <w:tr w:rsidR="008378C2" w14:paraId="510AE019" w14:textId="77777777" w:rsidTr="00281329">
        <w:tc>
          <w:tcPr>
            <w:tcW w:w="3261" w:type="dxa"/>
            <w:shd w:val="clear" w:color="auto" w:fill="F2F2F2" w:themeFill="background1" w:themeFillShade="F2"/>
          </w:tcPr>
          <w:p w14:paraId="66BCDCFF" w14:textId="77777777" w:rsidR="008378C2" w:rsidRPr="001D69F8" w:rsidRDefault="008378C2" w:rsidP="00525768">
            <w:pPr>
              <w:pStyle w:val="Tablecontent"/>
            </w:pPr>
            <w:r w:rsidRPr="003E0CB2">
              <w:t>Avg. Disk Write Queue Length</w:t>
            </w:r>
          </w:p>
        </w:tc>
        <w:tc>
          <w:tcPr>
            <w:tcW w:w="7195" w:type="dxa"/>
            <w:vMerge/>
          </w:tcPr>
          <w:p w14:paraId="7677126D" w14:textId="77777777" w:rsidR="008378C2" w:rsidRPr="00E90BD9" w:rsidRDefault="008378C2" w:rsidP="00525768">
            <w:pPr>
              <w:pStyle w:val="Tablecontent"/>
            </w:pPr>
          </w:p>
        </w:tc>
      </w:tr>
      <w:tr w:rsidR="008378C2" w14:paraId="77AA6D4D" w14:textId="77777777" w:rsidTr="00281329">
        <w:tc>
          <w:tcPr>
            <w:tcW w:w="3261" w:type="dxa"/>
            <w:shd w:val="clear" w:color="auto" w:fill="F2F2F2" w:themeFill="background1" w:themeFillShade="F2"/>
          </w:tcPr>
          <w:p w14:paraId="29440CB4" w14:textId="77777777" w:rsidR="008378C2" w:rsidRPr="001D69F8" w:rsidRDefault="008378C2" w:rsidP="00525768">
            <w:pPr>
              <w:pStyle w:val="Tablecontent"/>
            </w:pPr>
            <w:r w:rsidRPr="003E0CB2">
              <w:t>Avg. Disk Bytes/transfer</w:t>
            </w:r>
          </w:p>
        </w:tc>
        <w:tc>
          <w:tcPr>
            <w:tcW w:w="7195" w:type="dxa"/>
            <w:vMerge w:val="restart"/>
          </w:tcPr>
          <w:p w14:paraId="32A82544" w14:textId="77777777" w:rsidR="008378C2" w:rsidRPr="00E90BD9" w:rsidRDefault="008378C2" w:rsidP="00525768">
            <w:pPr>
              <w:pStyle w:val="Tablecontent"/>
            </w:pPr>
            <w:r>
              <w:t xml:space="preserve">This is block size in bytes. It should be 4KB or 2 MB. </w:t>
            </w:r>
          </w:p>
        </w:tc>
      </w:tr>
      <w:tr w:rsidR="008378C2" w14:paraId="41F3B6CA" w14:textId="77777777" w:rsidTr="00281329">
        <w:tc>
          <w:tcPr>
            <w:tcW w:w="3261" w:type="dxa"/>
            <w:shd w:val="clear" w:color="auto" w:fill="F2F2F2" w:themeFill="background1" w:themeFillShade="F2"/>
          </w:tcPr>
          <w:p w14:paraId="60302DBD" w14:textId="77777777" w:rsidR="008378C2" w:rsidRPr="004F370C" w:rsidRDefault="008378C2" w:rsidP="00525768">
            <w:pPr>
              <w:pStyle w:val="Tablecontent"/>
            </w:pPr>
            <w:r w:rsidRPr="003E0CB2">
              <w:t>Avg. Disk Bytes/read</w:t>
            </w:r>
          </w:p>
        </w:tc>
        <w:tc>
          <w:tcPr>
            <w:tcW w:w="7195" w:type="dxa"/>
            <w:vMerge/>
          </w:tcPr>
          <w:p w14:paraId="335794C9" w14:textId="77777777" w:rsidR="008378C2" w:rsidRPr="00E90BD9" w:rsidRDefault="008378C2" w:rsidP="00525768">
            <w:pPr>
              <w:pStyle w:val="Tablecontent"/>
            </w:pPr>
          </w:p>
        </w:tc>
      </w:tr>
      <w:tr w:rsidR="008378C2" w14:paraId="79AA6B78" w14:textId="77777777" w:rsidTr="00281329">
        <w:tc>
          <w:tcPr>
            <w:tcW w:w="3261" w:type="dxa"/>
            <w:shd w:val="clear" w:color="auto" w:fill="F2F2F2" w:themeFill="background1" w:themeFillShade="F2"/>
          </w:tcPr>
          <w:p w14:paraId="3DB84012" w14:textId="77777777" w:rsidR="008378C2" w:rsidRPr="001D69F8" w:rsidRDefault="008378C2" w:rsidP="00525768">
            <w:pPr>
              <w:pStyle w:val="Tablecontent"/>
            </w:pPr>
            <w:r w:rsidRPr="003E0CB2">
              <w:t>Avg. Disk Bytes/write</w:t>
            </w:r>
          </w:p>
        </w:tc>
        <w:tc>
          <w:tcPr>
            <w:tcW w:w="7195" w:type="dxa"/>
            <w:vMerge/>
          </w:tcPr>
          <w:p w14:paraId="607EC076" w14:textId="77777777" w:rsidR="008378C2" w:rsidRPr="00E90BD9" w:rsidRDefault="008378C2" w:rsidP="00525768">
            <w:pPr>
              <w:pStyle w:val="Tablecontent"/>
            </w:pPr>
          </w:p>
        </w:tc>
      </w:tr>
      <w:tr w:rsidR="008378C2" w14:paraId="22D42CF6" w14:textId="77777777" w:rsidTr="00281329">
        <w:tc>
          <w:tcPr>
            <w:tcW w:w="3261" w:type="dxa"/>
            <w:shd w:val="clear" w:color="auto" w:fill="F2F2F2" w:themeFill="background1" w:themeFillShade="F2"/>
          </w:tcPr>
          <w:p w14:paraId="19E9DD6C" w14:textId="77777777" w:rsidR="008378C2" w:rsidRPr="001D69F8" w:rsidRDefault="008378C2" w:rsidP="00525768">
            <w:pPr>
              <w:pStyle w:val="Tablecontent"/>
            </w:pPr>
            <w:r w:rsidRPr="003E0CB2">
              <w:t>Avg. Disk Sec/transfer</w:t>
            </w:r>
          </w:p>
        </w:tc>
        <w:tc>
          <w:tcPr>
            <w:tcW w:w="7195" w:type="dxa"/>
            <w:vMerge w:val="restart"/>
          </w:tcPr>
          <w:p w14:paraId="3BE03168" w14:textId="77777777" w:rsidR="008378C2" w:rsidRPr="00E90BD9" w:rsidRDefault="008378C2" w:rsidP="00525768">
            <w:pPr>
              <w:pStyle w:val="Tablecontent"/>
            </w:pPr>
            <w:r w:rsidRPr="00E90BD9">
              <w:t>This is</w:t>
            </w:r>
            <w:r>
              <w:t xml:space="preserve"> latency, but strangely shown in second instead of millisecond.</w:t>
            </w:r>
          </w:p>
        </w:tc>
      </w:tr>
      <w:tr w:rsidR="008378C2" w14:paraId="0D6E2855" w14:textId="77777777" w:rsidTr="00281329">
        <w:tc>
          <w:tcPr>
            <w:tcW w:w="3261" w:type="dxa"/>
            <w:shd w:val="clear" w:color="auto" w:fill="F2F2F2" w:themeFill="background1" w:themeFillShade="F2"/>
          </w:tcPr>
          <w:p w14:paraId="40CDAC77" w14:textId="77777777" w:rsidR="008378C2" w:rsidRPr="001D69F8" w:rsidRDefault="008378C2" w:rsidP="00525768">
            <w:pPr>
              <w:pStyle w:val="Tablecontent"/>
            </w:pPr>
            <w:r w:rsidRPr="003E0CB2">
              <w:t>Avg. Disk Sec/read</w:t>
            </w:r>
          </w:p>
        </w:tc>
        <w:tc>
          <w:tcPr>
            <w:tcW w:w="7195" w:type="dxa"/>
            <w:vMerge/>
          </w:tcPr>
          <w:p w14:paraId="2D5E1591" w14:textId="77777777" w:rsidR="008378C2" w:rsidRPr="00E90BD9" w:rsidRDefault="008378C2" w:rsidP="00525768">
            <w:pPr>
              <w:pStyle w:val="Tablecontent"/>
            </w:pPr>
          </w:p>
        </w:tc>
      </w:tr>
      <w:tr w:rsidR="008378C2" w14:paraId="3A78437E" w14:textId="77777777" w:rsidTr="00281329">
        <w:tc>
          <w:tcPr>
            <w:tcW w:w="3261" w:type="dxa"/>
            <w:shd w:val="clear" w:color="auto" w:fill="F2F2F2" w:themeFill="background1" w:themeFillShade="F2"/>
          </w:tcPr>
          <w:p w14:paraId="560DF163" w14:textId="77777777" w:rsidR="008378C2" w:rsidRPr="001D69F8" w:rsidRDefault="008378C2" w:rsidP="00525768">
            <w:pPr>
              <w:pStyle w:val="Tablecontent"/>
            </w:pPr>
            <w:r w:rsidRPr="003E0CB2">
              <w:t>Avg. Disk Sec/write</w:t>
            </w:r>
          </w:p>
        </w:tc>
        <w:tc>
          <w:tcPr>
            <w:tcW w:w="7195" w:type="dxa"/>
            <w:vMerge/>
          </w:tcPr>
          <w:p w14:paraId="6FF238C1" w14:textId="77777777" w:rsidR="008378C2" w:rsidRPr="00E90BD9" w:rsidRDefault="008378C2" w:rsidP="00525768">
            <w:pPr>
              <w:pStyle w:val="Tablecontent"/>
            </w:pPr>
          </w:p>
        </w:tc>
      </w:tr>
      <w:tr w:rsidR="008378C2" w14:paraId="41B76AC5" w14:textId="77777777" w:rsidTr="00281329">
        <w:tc>
          <w:tcPr>
            <w:tcW w:w="3261" w:type="dxa"/>
            <w:shd w:val="clear" w:color="auto" w:fill="F2F2F2" w:themeFill="background1" w:themeFillShade="F2"/>
          </w:tcPr>
          <w:p w14:paraId="32C20A85" w14:textId="77777777" w:rsidR="008378C2" w:rsidRPr="001D69F8" w:rsidRDefault="008378C2" w:rsidP="00525768">
            <w:pPr>
              <w:pStyle w:val="Tablecontent"/>
            </w:pPr>
            <w:r w:rsidRPr="003E0CB2">
              <w:t>Disk Bytes/sec</w:t>
            </w:r>
          </w:p>
        </w:tc>
        <w:tc>
          <w:tcPr>
            <w:tcW w:w="7195" w:type="dxa"/>
            <w:vMerge w:val="restart"/>
          </w:tcPr>
          <w:p w14:paraId="591A70AC" w14:textId="77777777" w:rsidR="008378C2" w:rsidRPr="00E90BD9" w:rsidRDefault="008378C2" w:rsidP="00525768">
            <w:pPr>
              <w:pStyle w:val="Tablecontent"/>
            </w:pPr>
            <w:r w:rsidRPr="00E90BD9">
              <w:t xml:space="preserve">This is disk throughput in bytes. So you have the total throughput, read throughput and write throughput. </w:t>
            </w:r>
          </w:p>
          <w:p w14:paraId="666166F3" w14:textId="77777777" w:rsidR="008378C2" w:rsidRPr="00E90BD9" w:rsidRDefault="008378C2" w:rsidP="00525768">
            <w:pPr>
              <w:pStyle w:val="Tablecontent"/>
            </w:pPr>
            <w:r w:rsidRPr="00E90BD9">
              <w:t>The word transfer here means being read from or written to the disk.</w:t>
            </w:r>
          </w:p>
        </w:tc>
      </w:tr>
      <w:tr w:rsidR="008378C2" w14:paraId="2AB658E6" w14:textId="77777777" w:rsidTr="00281329">
        <w:tc>
          <w:tcPr>
            <w:tcW w:w="3261" w:type="dxa"/>
            <w:shd w:val="clear" w:color="auto" w:fill="F2F2F2" w:themeFill="background1" w:themeFillShade="F2"/>
          </w:tcPr>
          <w:p w14:paraId="3487D006" w14:textId="77777777" w:rsidR="008378C2" w:rsidRPr="001D69F8" w:rsidRDefault="008378C2" w:rsidP="00525768">
            <w:pPr>
              <w:pStyle w:val="Tablecontent"/>
            </w:pPr>
            <w:r w:rsidRPr="00CB1C9F">
              <w:t>Disk Read Bytes/sec</w:t>
            </w:r>
          </w:p>
        </w:tc>
        <w:tc>
          <w:tcPr>
            <w:tcW w:w="7195" w:type="dxa"/>
            <w:vMerge/>
          </w:tcPr>
          <w:p w14:paraId="59444275" w14:textId="77777777" w:rsidR="008378C2" w:rsidRPr="00E90BD9" w:rsidRDefault="008378C2" w:rsidP="00525768">
            <w:pPr>
              <w:pStyle w:val="Tablecontent"/>
            </w:pPr>
          </w:p>
        </w:tc>
      </w:tr>
      <w:tr w:rsidR="008378C2" w14:paraId="48B35FFE" w14:textId="77777777" w:rsidTr="00281329">
        <w:tc>
          <w:tcPr>
            <w:tcW w:w="3261" w:type="dxa"/>
            <w:shd w:val="clear" w:color="auto" w:fill="F2F2F2" w:themeFill="background1" w:themeFillShade="F2"/>
          </w:tcPr>
          <w:p w14:paraId="307D3397" w14:textId="77777777" w:rsidR="008378C2" w:rsidRPr="001D69F8" w:rsidRDefault="008378C2" w:rsidP="00525768">
            <w:pPr>
              <w:pStyle w:val="Tablecontent"/>
            </w:pPr>
            <w:r w:rsidRPr="00CB1C9F">
              <w:t>Disk Write Bytes/sec</w:t>
            </w:r>
          </w:p>
        </w:tc>
        <w:tc>
          <w:tcPr>
            <w:tcW w:w="7195" w:type="dxa"/>
            <w:vMerge/>
          </w:tcPr>
          <w:p w14:paraId="4E30FEFF" w14:textId="77777777" w:rsidR="008378C2" w:rsidRPr="00E90BD9" w:rsidRDefault="008378C2" w:rsidP="00525768">
            <w:pPr>
              <w:pStyle w:val="Tablecontent"/>
            </w:pPr>
          </w:p>
        </w:tc>
      </w:tr>
      <w:tr w:rsidR="008378C2" w14:paraId="7EA705BB" w14:textId="77777777" w:rsidTr="00281329">
        <w:tc>
          <w:tcPr>
            <w:tcW w:w="3261" w:type="dxa"/>
            <w:shd w:val="clear" w:color="auto" w:fill="F2F2F2" w:themeFill="background1" w:themeFillShade="F2"/>
          </w:tcPr>
          <w:p w14:paraId="24766792" w14:textId="77777777" w:rsidR="008378C2" w:rsidRPr="001D69F8" w:rsidRDefault="008378C2" w:rsidP="00525768">
            <w:pPr>
              <w:pStyle w:val="Tablecontent"/>
            </w:pPr>
            <w:r w:rsidRPr="00CB1C9F">
              <w:t>Disk Transfers/sec</w:t>
            </w:r>
          </w:p>
        </w:tc>
        <w:tc>
          <w:tcPr>
            <w:tcW w:w="7195" w:type="dxa"/>
            <w:vMerge w:val="restart"/>
          </w:tcPr>
          <w:p w14:paraId="6D700CC6" w14:textId="77777777" w:rsidR="008378C2" w:rsidRPr="00E90BD9" w:rsidRDefault="008378C2" w:rsidP="00525768">
            <w:pPr>
              <w:pStyle w:val="Tablecontent"/>
            </w:pPr>
            <w:r>
              <w:t>This is IOPS</w:t>
            </w:r>
          </w:p>
        </w:tc>
      </w:tr>
      <w:tr w:rsidR="008378C2" w14:paraId="1E90378A" w14:textId="77777777" w:rsidTr="00281329">
        <w:tc>
          <w:tcPr>
            <w:tcW w:w="3261" w:type="dxa"/>
            <w:shd w:val="clear" w:color="auto" w:fill="F2F2F2" w:themeFill="background1" w:themeFillShade="F2"/>
          </w:tcPr>
          <w:p w14:paraId="6893D63C" w14:textId="77777777" w:rsidR="008378C2" w:rsidRPr="001D69F8" w:rsidRDefault="008378C2" w:rsidP="00525768">
            <w:pPr>
              <w:pStyle w:val="Tablecontent"/>
            </w:pPr>
            <w:r w:rsidRPr="00CB1C9F">
              <w:t>Disk Reads/sec</w:t>
            </w:r>
          </w:p>
        </w:tc>
        <w:tc>
          <w:tcPr>
            <w:tcW w:w="7195" w:type="dxa"/>
            <w:vMerge/>
          </w:tcPr>
          <w:p w14:paraId="0A8EAD04" w14:textId="77777777" w:rsidR="008378C2" w:rsidRPr="00E90BD9" w:rsidRDefault="008378C2" w:rsidP="00525768">
            <w:pPr>
              <w:pStyle w:val="Tablecontent"/>
            </w:pPr>
          </w:p>
        </w:tc>
      </w:tr>
      <w:tr w:rsidR="008378C2" w14:paraId="7ED788E5" w14:textId="77777777" w:rsidTr="00281329">
        <w:tc>
          <w:tcPr>
            <w:tcW w:w="3261" w:type="dxa"/>
            <w:shd w:val="clear" w:color="auto" w:fill="F2F2F2" w:themeFill="background1" w:themeFillShade="F2"/>
          </w:tcPr>
          <w:p w14:paraId="1DAF6EBE" w14:textId="77777777" w:rsidR="008378C2" w:rsidRPr="001D69F8" w:rsidRDefault="008378C2" w:rsidP="00525768">
            <w:pPr>
              <w:pStyle w:val="Tablecontent"/>
            </w:pPr>
            <w:r w:rsidRPr="00CB1C9F">
              <w:t>Disk Writes/sec</w:t>
            </w:r>
          </w:p>
        </w:tc>
        <w:tc>
          <w:tcPr>
            <w:tcW w:w="7195" w:type="dxa"/>
            <w:vMerge/>
          </w:tcPr>
          <w:p w14:paraId="6E383F0B" w14:textId="77777777" w:rsidR="008378C2" w:rsidRPr="00E90BD9" w:rsidRDefault="008378C2" w:rsidP="00525768">
            <w:pPr>
              <w:pStyle w:val="Tablecontent"/>
            </w:pPr>
          </w:p>
        </w:tc>
      </w:tr>
      <w:tr w:rsidR="008378C2" w14:paraId="0DB3CA8D" w14:textId="77777777" w:rsidTr="00281329">
        <w:tc>
          <w:tcPr>
            <w:tcW w:w="3261" w:type="dxa"/>
            <w:shd w:val="clear" w:color="auto" w:fill="F2F2F2" w:themeFill="background1" w:themeFillShade="F2"/>
          </w:tcPr>
          <w:p w14:paraId="2DABBBCB" w14:textId="77777777" w:rsidR="008378C2" w:rsidRPr="001D69F8" w:rsidRDefault="008378C2" w:rsidP="00525768">
            <w:pPr>
              <w:pStyle w:val="Tablecontent"/>
            </w:pPr>
            <w:r w:rsidRPr="00CB1C9F">
              <w:t xml:space="preserve">Free </w:t>
            </w:r>
            <w:r>
              <w:t>(</w:t>
            </w:r>
            <w:r w:rsidRPr="00CB1C9F">
              <w:t>Megabytes</w:t>
            </w:r>
            <w:r>
              <w:t>)</w:t>
            </w:r>
          </w:p>
        </w:tc>
        <w:tc>
          <w:tcPr>
            <w:tcW w:w="7195" w:type="dxa"/>
          </w:tcPr>
          <w:p w14:paraId="3050254D" w14:textId="77777777" w:rsidR="008378C2" w:rsidRPr="00E90BD9" w:rsidRDefault="008378C2" w:rsidP="00525768">
            <w:pPr>
              <w:pStyle w:val="Tablecontent"/>
            </w:pPr>
          </w:p>
        </w:tc>
      </w:tr>
      <w:tr w:rsidR="008378C2" w14:paraId="7C8BF7E1" w14:textId="77777777" w:rsidTr="00281329">
        <w:tc>
          <w:tcPr>
            <w:tcW w:w="3261" w:type="dxa"/>
            <w:shd w:val="clear" w:color="auto" w:fill="F2F2F2" w:themeFill="background1" w:themeFillShade="F2"/>
          </w:tcPr>
          <w:p w14:paraId="456E32F4" w14:textId="77777777" w:rsidR="008378C2" w:rsidRPr="001D69F8" w:rsidRDefault="008378C2" w:rsidP="00525768">
            <w:pPr>
              <w:pStyle w:val="Tablecontent"/>
            </w:pPr>
            <w:r w:rsidRPr="00CB1C9F">
              <w:t xml:space="preserve">Split IO/sec </w:t>
            </w:r>
          </w:p>
        </w:tc>
        <w:tc>
          <w:tcPr>
            <w:tcW w:w="7195" w:type="dxa"/>
          </w:tcPr>
          <w:p w14:paraId="2FA5892B" w14:textId="77777777" w:rsidR="008378C2" w:rsidRPr="00E90BD9" w:rsidRDefault="008378C2" w:rsidP="00525768">
            <w:pPr>
              <w:pStyle w:val="Tablecontent"/>
            </w:pPr>
            <w:r>
              <w:t xml:space="preserve">From the manual: Shows the rate at which that I/O requests to the disk were split into multiple requests. A split I/O may result from requesting data in a </w:t>
            </w:r>
            <w:r>
              <w:lastRenderedPageBreak/>
              <w:t>size that is too large to fit into a single I/O or that the disk is fragmented on single-disk systems.</w:t>
            </w:r>
          </w:p>
        </w:tc>
      </w:tr>
    </w:tbl>
    <w:p w14:paraId="7C2F70BC" w14:textId="77777777" w:rsidR="008378C2" w:rsidRDefault="008378C2" w:rsidP="00525768">
      <w:pPr>
        <w:pStyle w:val="Heading5"/>
      </w:pPr>
      <w:r>
        <w:lastRenderedPageBreak/>
        <w:t>Disk Queue</w:t>
      </w:r>
    </w:p>
    <w:p w14:paraId="4304D1B6" w14:textId="77777777" w:rsidR="008378C2" w:rsidRDefault="008378C2" w:rsidP="00525768">
      <w:pPr>
        <w:rPr>
          <w:lang w:val="en-GB"/>
        </w:rPr>
      </w:pPr>
      <w:r>
        <w:rPr>
          <w:lang w:val="en-GB"/>
        </w:rPr>
        <w:t xml:space="preserve">With VMware Tools, you get Guest OS visibility into the partitions and disk queue. The first one is critical for capacity, while the second is critical for performance. </w:t>
      </w:r>
    </w:p>
    <w:p w14:paraId="2AEDFEDF" w14:textId="476D1399" w:rsidR="008378C2" w:rsidRDefault="008378C2" w:rsidP="00525768">
      <w:r>
        <w:rPr>
          <w:lang w:val="en-GB"/>
        </w:rPr>
        <w:t xml:space="preserve">This counter tracks the queue inside Linux or Windows storage subsystem. It’s not the queue at SCSI driver level, such as LSI Logic or PVSCSI. </w:t>
      </w:r>
      <w:r>
        <w:t>If this is high then the IO from applications did not reach the underlying OS SCSI driver, let alone the VM. If you are running VMware storage driver, such as PVSCSI, then discuss with VMware Support.</w:t>
      </w:r>
    </w:p>
    <w:p w14:paraId="71EA4102" w14:textId="77777777" w:rsidR="00662DD5" w:rsidRDefault="00662DD5" w:rsidP="00662DD5">
      <w:pPr>
        <w:rPr>
          <w:lang w:val="en-GB"/>
        </w:rPr>
      </w:pPr>
      <w:r w:rsidRPr="00662174">
        <w:rPr>
          <w:noProof/>
          <w:lang w:val="en-GB"/>
        </w:rPr>
        <w:drawing>
          <wp:inline distT="0" distB="0" distL="0" distR="0" wp14:anchorId="42CCDDF1" wp14:editId="486B35E6">
            <wp:extent cx="6645910" cy="3241040"/>
            <wp:effectExtent l="0" t="0" r="2540" b="0"/>
            <wp:docPr id="1525330301" name="Picture 1525330301"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301" name="Picture 1525330301" descr="A picture containing timeline&#10;&#10;Description automatically generated"/>
                    <pic:cNvPicPr/>
                  </pic:nvPicPr>
                  <pic:blipFill>
                    <a:blip r:embed="rId417"/>
                    <a:stretch>
                      <a:fillRect/>
                    </a:stretch>
                  </pic:blipFill>
                  <pic:spPr>
                    <a:xfrm>
                      <a:off x="0" y="0"/>
                      <a:ext cx="6645910" cy="3241040"/>
                    </a:xfrm>
                    <a:prstGeom prst="rect">
                      <a:avLst/>
                    </a:prstGeom>
                  </pic:spPr>
                </pic:pic>
              </a:graphicData>
            </a:graphic>
          </wp:inline>
        </w:drawing>
      </w:r>
    </w:p>
    <w:p w14:paraId="07577CFE" w14:textId="77777777" w:rsidR="008378C2" w:rsidRDefault="008378C2" w:rsidP="00525768">
      <w:r>
        <w:t xml:space="preserve">There are actually 2 metrics: </w:t>
      </w:r>
      <w:r>
        <w:rPr>
          <w:lang w:val="en-GB"/>
        </w:rPr>
        <w:t xml:space="preserve">One is a point in time and the other is average across the entire collection cycle. Point in time means </w:t>
      </w:r>
      <w:r>
        <w:t>the snapshot at the collection period. For example, if the collection is every 5 minute, then it’s number on the 300</w:t>
      </w:r>
      <w:r w:rsidRPr="009C7903">
        <w:rPr>
          <w:vertAlign w:val="superscript"/>
        </w:rPr>
        <w:t>th</w:t>
      </w:r>
      <w:r>
        <w:t xml:space="preserve"> second, not the average of 300 numbers.</w:t>
      </w:r>
    </w:p>
    <w:p w14:paraId="4262D6CB" w14:textId="77777777" w:rsidR="008378C2" w:rsidRDefault="00000000" w:rsidP="00525768">
      <w:hyperlink r:id="rId418" w:history="1">
        <w:r w:rsidR="008378C2" w:rsidRPr="00E90BD9">
          <w:rPr>
            <w:rStyle w:val="Hyperlink"/>
          </w:rPr>
          <w:t>Windows documentation</w:t>
        </w:r>
      </w:hyperlink>
      <w:r w:rsidR="008378C2">
        <w:t xml:space="preserve"> said that “Multi-spindle disk devices can have multiple requests active at one time, but other concurrent requests await service. Requests experience delays proportional to the length of the queue minus the number of spindles on the disks. This difference should average &lt; 2 for good performance.”</w:t>
      </w:r>
    </w:p>
    <w:p w14:paraId="64D6FE43" w14:textId="77777777" w:rsidR="008378C2" w:rsidRDefault="008378C2" w:rsidP="00525768">
      <w:pPr>
        <w:pStyle w:val="BeforeTable"/>
      </w:pPr>
    </w:p>
    <w:tbl>
      <w:tblPr>
        <w:tblStyle w:val="TableGridLight"/>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64"/>
        <w:gridCol w:w="8402"/>
      </w:tblGrid>
      <w:tr w:rsidR="008378C2" w:rsidRPr="00606C73" w14:paraId="5BA53F22" w14:textId="77777777" w:rsidTr="00281329">
        <w:tc>
          <w:tcPr>
            <w:tcW w:w="0" w:type="auto"/>
            <w:shd w:val="clear" w:color="auto" w:fill="F2F2F2" w:themeFill="background1" w:themeFillShade="F2"/>
            <w:hideMark/>
          </w:tcPr>
          <w:p w14:paraId="26E54C59" w14:textId="77777777" w:rsidR="008378C2" w:rsidRPr="00606C73" w:rsidRDefault="008378C2" w:rsidP="00525768">
            <w:pPr>
              <w:pStyle w:val="Tablecontent"/>
            </w:pPr>
            <w:r w:rsidRPr="00606C73">
              <w:t>guest.disk.queue</w:t>
            </w:r>
          </w:p>
        </w:tc>
        <w:tc>
          <w:tcPr>
            <w:tcW w:w="0" w:type="auto"/>
            <w:hideMark/>
          </w:tcPr>
          <w:p w14:paraId="45AEBD69" w14:textId="77777777" w:rsidR="008378C2" w:rsidRPr="00606C73" w:rsidRDefault="008378C2" w:rsidP="00525768">
            <w:pPr>
              <w:pStyle w:val="Tablecontent"/>
            </w:pPr>
            <w:r w:rsidRPr="00606C73">
              <w:t>Win32_PerfFormattedData_PerfDisk_PhysicalDisk.Name</w:t>
            </w:r>
            <w:r>
              <w:t xml:space="preserve"> </w:t>
            </w:r>
            <w:r w:rsidRPr="00606C73">
              <w:t>=</w:t>
            </w:r>
            <w:r>
              <w:t xml:space="preserve"> </w:t>
            </w:r>
            <w:r w:rsidRPr="00606C73">
              <w:t xml:space="preserve">\"_Total\"#CurrentDiskQueueLength" from WMI </w:t>
            </w:r>
          </w:p>
        </w:tc>
      </w:tr>
      <w:tr w:rsidR="008378C2" w:rsidRPr="00606C73" w14:paraId="79E8F700" w14:textId="77777777" w:rsidTr="00281329">
        <w:tc>
          <w:tcPr>
            <w:tcW w:w="0" w:type="auto"/>
            <w:shd w:val="clear" w:color="auto" w:fill="F2F2F2" w:themeFill="background1" w:themeFillShade="F2"/>
            <w:hideMark/>
          </w:tcPr>
          <w:p w14:paraId="6D73DAF5" w14:textId="77777777" w:rsidR="008378C2" w:rsidRPr="00606C73" w:rsidRDefault="008378C2" w:rsidP="00525768">
            <w:pPr>
              <w:pStyle w:val="Tablecontent"/>
            </w:pPr>
            <w:r w:rsidRPr="00606C73">
              <w:t>guest.disk.queueAvg</w:t>
            </w:r>
          </w:p>
        </w:tc>
        <w:tc>
          <w:tcPr>
            <w:tcW w:w="0" w:type="auto"/>
            <w:hideMark/>
          </w:tcPr>
          <w:p w14:paraId="10A3E085" w14:textId="77777777" w:rsidR="008378C2" w:rsidRPr="00606C73" w:rsidRDefault="008378C2" w:rsidP="00525768">
            <w:pPr>
              <w:pStyle w:val="Tablecontent"/>
            </w:pPr>
            <w:r w:rsidRPr="00606C73">
              <w:t>Win32_PerfFormattedData_PerfDisk_PhysicalDisk.Name</w:t>
            </w:r>
            <w:r>
              <w:t xml:space="preserve"> </w:t>
            </w:r>
            <w:r w:rsidRPr="00606C73">
              <w:t>=</w:t>
            </w:r>
            <w:r>
              <w:t xml:space="preserve"> </w:t>
            </w:r>
            <w:r w:rsidRPr="00606C73">
              <w:t xml:space="preserve">\"_Total\"#AvgDiskQueueLength" from WMI </w:t>
            </w:r>
          </w:p>
        </w:tc>
      </w:tr>
    </w:tbl>
    <w:p w14:paraId="7958AD0A" w14:textId="77777777" w:rsidR="008378C2" w:rsidRDefault="008378C2" w:rsidP="00525768">
      <w:pPr>
        <w:pStyle w:val="BeforeTable"/>
      </w:pPr>
    </w:p>
    <w:p w14:paraId="648A7F2E" w14:textId="4F59B152" w:rsidR="008378C2" w:rsidRPr="00A452F2" w:rsidRDefault="008378C2" w:rsidP="00525768">
      <w:pPr>
        <w:rPr>
          <w:lang w:val="en-GB"/>
        </w:rPr>
      </w:pPr>
      <w:r w:rsidRPr="00BA57CF">
        <w:t>High disk queue in the guest OS, accompanied by low IOPS at the VM, can indicate that the IO commands are stuck waiting on processing by</w:t>
      </w:r>
      <w:r w:rsidR="00304B88" w:rsidRPr="00304B88">
        <w:t xml:space="preserve"> </w:t>
      </w:r>
      <w:r w:rsidR="00304B88">
        <w:t>the OS</w:t>
      </w:r>
      <w:r w:rsidRPr="00BA57CF">
        <w:t>. There is no concrete guidance regarding</w:t>
      </w:r>
      <w:r w:rsidRPr="00A452F2">
        <w:rPr>
          <w:rStyle w:val="BulletChar"/>
          <w:lang w:val="en-GB"/>
        </w:rPr>
        <w:t xml:space="preserve"> these IO commands threshold as it varies for different applications. You should view this in relation to the Outstanding Disk IO at the VM</w:t>
      </w:r>
      <w:r w:rsidRPr="00A452F2">
        <w:rPr>
          <w:lang w:val="en-GB"/>
        </w:rPr>
        <w:t xml:space="preserve"> layer.</w:t>
      </w:r>
    </w:p>
    <w:p w14:paraId="303E00F2" w14:textId="77777777" w:rsidR="008378C2" w:rsidRPr="00BC674F" w:rsidRDefault="008378C2" w:rsidP="00525768">
      <w:pPr>
        <w:rPr>
          <w:lang w:val="en-GB"/>
        </w:rPr>
      </w:pPr>
      <w:r>
        <w:rPr>
          <w:lang w:val="en-GB"/>
        </w:rPr>
        <w:lastRenderedPageBreak/>
        <w:t>Based on 3000 production VMs in the last 3 months, the value turn out to be sizeable. Almost 70% of the value is below 10. Around 10% is more than 100 though, which I thought it’s rather high.</w:t>
      </w:r>
    </w:p>
    <w:p w14:paraId="55B719B5" w14:textId="77777777" w:rsidR="008378C2" w:rsidRDefault="008378C2" w:rsidP="00525768">
      <w:pPr>
        <w:jc w:val="center"/>
      </w:pPr>
      <w:r w:rsidRPr="008E6855">
        <w:rPr>
          <w:noProof/>
        </w:rPr>
        <w:drawing>
          <wp:inline distT="0" distB="0" distL="0" distR="0" wp14:anchorId="58BE285D" wp14:editId="121F6988">
            <wp:extent cx="5306400" cy="2030400"/>
            <wp:effectExtent l="0" t="0" r="8890" b="8255"/>
            <wp:docPr id="918289619" name="Picture 91828961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19" name="Picture 918289619" descr="Chart&#10;&#10;Description automatically generated"/>
                    <pic:cNvPicPr/>
                  </pic:nvPicPr>
                  <pic:blipFill>
                    <a:blip r:embed="rId419"/>
                    <a:stretch>
                      <a:fillRect/>
                    </a:stretch>
                  </pic:blipFill>
                  <pic:spPr>
                    <a:xfrm>
                      <a:off x="0" y="0"/>
                      <a:ext cx="5306400" cy="2030400"/>
                    </a:xfrm>
                    <a:prstGeom prst="rect">
                      <a:avLst/>
                    </a:prstGeom>
                  </pic:spPr>
                </pic:pic>
              </a:graphicData>
            </a:graphic>
          </wp:inline>
        </w:drawing>
      </w:r>
    </w:p>
    <w:p w14:paraId="6C620DC4" w14:textId="77777777" w:rsidR="008378C2" w:rsidRDefault="008378C2" w:rsidP="00525768">
      <w:r>
        <w:t xml:space="preserve">Strangely, there are values that seem to </w:t>
      </w:r>
      <w:r w:rsidRPr="008C7145">
        <w:rPr>
          <w:i/>
          <w:iCs/>
          <w:color w:val="FF0000"/>
        </w:rPr>
        <w:t>off the chart</w:t>
      </w:r>
      <w:r>
        <w:t>. I notice this in a few metrics already, including this. Look at the values below. Do they look like a bug in the counter, or severe performance problem?</w:t>
      </w:r>
    </w:p>
    <w:p w14:paraId="08B71051" w14:textId="77777777" w:rsidR="008378C2" w:rsidRDefault="008378C2" w:rsidP="00525768">
      <w:pPr>
        <w:jc w:val="center"/>
      </w:pPr>
      <w:r w:rsidRPr="005E3EBD">
        <w:rPr>
          <w:noProof/>
        </w:rPr>
        <w:drawing>
          <wp:inline distT="0" distB="0" distL="0" distR="0" wp14:anchorId="5A202F8A" wp14:editId="1FCCB69F">
            <wp:extent cx="2340000" cy="2257200"/>
            <wp:effectExtent l="0" t="0" r="3175" b="0"/>
            <wp:docPr id="918289620" name="Picture 918289620" descr="Graphical user interface,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20" name="Picture 918289620" descr="Graphical user interface, table&#10;&#10;Description automatically generated with medium confidence"/>
                    <pic:cNvPicPr/>
                  </pic:nvPicPr>
                  <pic:blipFill>
                    <a:blip r:embed="rId420"/>
                    <a:stretch>
                      <a:fillRect/>
                    </a:stretch>
                  </pic:blipFill>
                  <pic:spPr>
                    <a:xfrm>
                      <a:off x="0" y="0"/>
                      <a:ext cx="2340000" cy="2257200"/>
                    </a:xfrm>
                    <a:prstGeom prst="rect">
                      <a:avLst/>
                    </a:prstGeom>
                  </pic:spPr>
                </pic:pic>
              </a:graphicData>
            </a:graphic>
          </wp:inline>
        </w:drawing>
      </w:r>
    </w:p>
    <w:p w14:paraId="71F9AD7E" w14:textId="77777777" w:rsidR="008378C2" w:rsidRDefault="008378C2" w:rsidP="00525768">
      <w:r>
        <w:t>Unfortunately, we can’t confirm as we do not have latency counter at Guest OS level, or even better, as application level. I am unsure if the queue is above the latency, meaning the latency counter does not start counting until the IO command is executed.</w:t>
      </w:r>
    </w:p>
    <w:p w14:paraId="1281B236" w14:textId="77777777" w:rsidR="008378C2" w:rsidRDefault="008378C2" w:rsidP="00525768">
      <w:r>
        <w:t xml:space="preserve">I plot the values at VM level, which unsurprisingly does not correlate. The VM is tracking IO that has been sent, while Guest OS Disk Queue tracks the one that has not been sent. </w:t>
      </w:r>
    </w:p>
    <w:p w14:paraId="149E89C7" w14:textId="77777777" w:rsidR="008378C2" w:rsidRDefault="008378C2" w:rsidP="00525768">
      <w:pPr>
        <w:jc w:val="center"/>
      </w:pPr>
      <w:r w:rsidRPr="00437BBE">
        <w:rPr>
          <w:noProof/>
        </w:rPr>
        <w:lastRenderedPageBreak/>
        <w:drawing>
          <wp:inline distT="0" distB="0" distL="0" distR="0" wp14:anchorId="0B86C469" wp14:editId="4C29B108">
            <wp:extent cx="6645910" cy="2659380"/>
            <wp:effectExtent l="0" t="0" r="2540" b="7620"/>
            <wp:docPr id="918289621" name="Picture 91828962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21" name="Picture 918289621" descr="Timeline&#10;&#10;Description automatically generated"/>
                    <pic:cNvPicPr/>
                  </pic:nvPicPr>
                  <pic:blipFill>
                    <a:blip r:embed="rId421"/>
                    <a:stretch>
                      <a:fillRect/>
                    </a:stretch>
                  </pic:blipFill>
                  <pic:spPr>
                    <a:xfrm>
                      <a:off x="0" y="0"/>
                      <a:ext cx="6645910" cy="2659380"/>
                    </a:xfrm>
                    <a:prstGeom prst="rect">
                      <a:avLst/>
                    </a:prstGeom>
                  </pic:spPr>
                </pic:pic>
              </a:graphicData>
            </a:graphic>
          </wp:inline>
        </w:drawing>
      </w:r>
    </w:p>
    <w:p w14:paraId="3E72D22E" w14:textId="77777777" w:rsidR="003F77FB" w:rsidRDefault="008378C2" w:rsidP="00525768">
      <w:r>
        <w:t xml:space="preserve">The preceding line chart also reveals an interesting pattern, which is disk queue only happens rarely. It’s far less frequent than latency. </w:t>
      </w:r>
    </w:p>
    <w:p w14:paraId="211847B3" w14:textId="4F16F2F0" w:rsidR="008378C2" w:rsidRDefault="008378C2" w:rsidP="00525768">
      <w:r>
        <w:t>Let’s find out more. From the following heat map, you can see there are occurrences where the value is &gt;100.</w:t>
      </w:r>
    </w:p>
    <w:p w14:paraId="3B835E8B" w14:textId="383F19D9" w:rsidR="008378C2" w:rsidRDefault="003F77FB" w:rsidP="00525768">
      <w:pPr>
        <w:rPr>
          <w:lang w:val="en-GB"/>
        </w:rPr>
      </w:pPr>
      <w:r w:rsidRPr="003F77FB">
        <w:rPr>
          <w:noProof/>
          <w:lang w:val="en-GB"/>
        </w:rPr>
        <w:drawing>
          <wp:inline distT="0" distB="0" distL="0" distR="0" wp14:anchorId="67CF7910" wp14:editId="20F884B1">
            <wp:extent cx="6645910" cy="3413760"/>
            <wp:effectExtent l="0" t="0" r="2540" b="0"/>
            <wp:docPr id="750070383" name="Picture 750070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6645910" cy="3413760"/>
                    </a:xfrm>
                    <a:prstGeom prst="rect">
                      <a:avLst/>
                    </a:prstGeom>
                  </pic:spPr>
                </pic:pic>
              </a:graphicData>
            </a:graphic>
          </wp:inline>
        </w:drawing>
      </w:r>
    </w:p>
    <w:p w14:paraId="39CEBD08" w14:textId="77777777" w:rsidR="008378C2" w:rsidRDefault="008378C2" w:rsidP="00525768">
      <w:pPr>
        <w:rPr>
          <w:lang w:val="en-GB"/>
        </w:rPr>
      </w:pPr>
      <w:r>
        <w:rPr>
          <w:lang w:val="en-GB"/>
        </w:rPr>
        <w:t xml:space="preserve">However, when we compare between current value and maximum value, the value can be drastically different. </w:t>
      </w:r>
    </w:p>
    <w:p w14:paraId="4B36C122" w14:textId="77777777" w:rsidR="008378C2" w:rsidRDefault="008378C2" w:rsidP="00525768">
      <w:pPr>
        <w:jc w:val="center"/>
        <w:rPr>
          <w:lang w:val="en-GB"/>
        </w:rPr>
      </w:pPr>
      <w:r w:rsidRPr="00762951">
        <w:rPr>
          <w:noProof/>
          <w:lang w:val="en-GB"/>
        </w:rPr>
        <w:lastRenderedPageBreak/>
        <w:drawing>
          <wp:inline distT="0" distB="0" distL="0" distR="0" wp14:anchorId="793AB9FF" wp14:editId="5CFE738E">
            <wp:extent cx="5229806" cy="2750820"/>
            <wp:effectExtent l="0" t="0" r="9525" b="0"/>
            <wp:docPr id="357815384" name="Picture 357815384"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84" name="Picture 357815384" descr="Graphical user interface&#10;&#10;Description automatically generated with medium confidence"/>
                    <pic:cNvPicPr/>
                  </pic:nvPicPr>
                  <pic:blipFill>
                    <a:blip r:embed="rId423"/>
                    <a:stretch>
                      <a:fillRect/>
                    </a:stretch>
                  </pic:blipFill>
                  <pic:spPr>
                    <a:xfrm>
                      <a:off x="0" y="0"/>
                      <a:ext cx="5231339" cy="2751626"/>
                    </a:xfrm>
                    <a:prstGeom prst="rect">
                      <a:avLst/>
                    </a:prstGeom>
                  </pic:spPr>
                </pic:pic>
              </a:graphicData>
            </a:graphic>
          </wp:inline>
        </w:drawing>
      </w:r>
    </w:p>
    <w:p w14:paraId="0E9C1E68" w14:textId="77777777" w:rsidR="008378C2" w:rsidRDefault="008378C2" w:rsidP="00525768">
      <w:pPr>
        <w:rPr>
          <w:lang w:val="en-GB"/>
        </w:rPr>
      </w:pPr>
      <w:r>
        <w:rPr>
          <w:lang w:val="en-GB"/>
        </w:rPr>
        <w:t>Let’s take one of the VMs and drill down. This VM has regular spikes, with the last one exceeding 1000.</w:t>
      </w:r>
    </w:p>
    <w:p w14:paraId="16472239" w14:textId="77777777" w:rsidR="008378C2" w:rsidRDefault="008378C2" w:rsidP="00525768">
      <w:pPr>
        <w:rPr>
          <w:lang w:val="en-GB"/>
        </w:rPr>
      </w:pPr>
      <w:r w:rsidRPr="00136E41">
        <w:rPr>
          <w:noProof/>
          <w:lang w:val="en-GB"/>
        </w:rPr>
        <w:drawing>
          <wp:inline distT="0" distB="0" distL="0" distR="0" wp14:anchorId="28A3FB9C" wp14:editId="35F84E2A">
            <wp:extent cx="6645910" cy="1439545"/>
            <wp:effectExtent l="0" t="0" r="2540" b="8255"/>
            <wp:docPr id="357815380" name="Picture 35781538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80" name="Picture 357815380" descr="A picture containing graphical user interface&#10;&#10;Description automatically generated"/>
                    <pic:cNvPicPr/>
                  </pic:nvPicPr>
                  <pic:blipFill>
                    <a:blip r:embed="rId424"/>
                    <a:stretch>
                      <a:fillRect/>
                    </a:stretch>
                  </pic:blipFill>
                  <pic:spPr>
                    <a:xfrm>
                      <a:off x="0" y="0"/>
                      <a:ext cx="6645910" cy="1439545"/>
                    </a:xfrm>
                    <a:prstGeom prst="rect">
                      <a:avLst/>
                    </a:prstGeom>
                  </pic:spPr>
                </pic:pic>
              </a:graphicData>
            </a:graphic>
          </wp:inline>
        </w:drawing>
      </w:r>
    </w:p>
    <w:p w14:paraId="41F89F27" w14:textId="77777777" w:rsidR="008378C2" w:rsidRDefault="008378C2" w:rsidP="00525768">
      <w:pPr>
        <w:rPr>
          <w:lang w:val="en-GB"/>
        </w:rPr>
      </w:pPr>
      <w:r>
        <w:rPr>
          <w:lang w:val="en-GB"/>
        </w:rPr>
        <w:t>Their values should correlate with disk outstanding IO. However, the values are all low. That means the queue happens inside the Guest OS. The IO is not sent down to the VM.</w:t>
      </w:r>
    </w:p>
    <w:p w14:paraId="79FE68B7" w14:textId="77777777" w:rsidR="008378C2" w:rsidRDefault="008378C2" w:rsidP="00525768">
      <w:pPr>
        <w:rPr>
          <w:lang w:val="en-GB"/>
        </w:rPr>
      </w:pPr>
      <w:r w:rsidRPr="00136E41">
        <w:rPr>
          <w:noProof/>
          <w:lang w:val="en-GB"/>
        </w:rPr>
        <w:drawing>
          <wp:inline distT="0" distB="0" distL="0" distR="0" wp14:anchorId="11DB6778" wp14:editId="291D21A4">
            <wp:extent cx="6645910" cy="773430"/>
            <wp:effectExtent l="0" t="0" r="2540" b="7620"/>
            <wp:docPr id="357815378" name="Picture 357815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6645910" cy="773430"/>
                    </a:xfrm>
                    <a:prstGeom prst="rect">
                      <a:avLst/>
                    </a:prstGeom>
                  </pic:spPr>
                </pic:pic>
              </a:graphicData>
            </a:graphic>
          </wp:inline>
        </w:drawing>
      </w:r>
    </w:p>
    <w:p w14:paraId="3004349C" w14:textId="77777777" w:rsidR="008378C2" w:rsidRDefault="008378C2" w:rsidP="00525768">
      <w:pPr>
        <w:rPr>
          <w:lang w:val="en-GB"/>
        </w:rPr>
      </w:pPr>
      <w:r>
        <w:rPr>
          <w:lang w:val="en-GB"/>
        </w:rPr>
        <w:t>Which in turn should have some correlation with IOPS, especially if the underlying storage in the Guest OS (not VM) is unable to cope. The queue is caused by high IOPS which cannot be processed.</w:t>
      </w:r>
    </w:p>
    <w:p w14:paraId="2C630F87" w14:textId="77777777" w:rsidR="008378C2" w:rsidRDefault="008378C2" w:rsidP="00525768">
      <w:pPr>
        <w:rPr>
          <w:lang w:val="en-GB"/>
        </w:rPr>
      </w:pPr>
      <w:r w:rsidRPr="00136E41">
        <w:rPr>
          <w:noProof/>
          <w:lang w:val="en-GB"/>
        </w:rPr>
        <w:drawing>
          <wp:inline distT="0" distB="0" distL="0" distR="0" wp14:anchorId="5DA04926" wp14:editId="692315F6">
            <wp:extent cx="6645910" cy="736600"/>
            <wp:effectExtent l="0" t="0" r="2540" b="6350"/>
            <wp:docPr id="357815379" name="Picture 357815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6645910" cy="736600"/>
                    </a:xfrm>
                    <a:prstGeom prst="rect">
                      <a:avLst/>
                    </a:prstGeom>
                  </pic:spPr>
                </pic:pic>
              </a:graphicData>
            </a:graphic>
          </wp:inline>
        </w:drawing>
      </w:r>
    </w:p>
    <w:p w14:paraId="6F577320" w14:textId="77777777" w:rsidR="008378C2" w:rsidRDefault="008378C2" w:rsidP="00525768">
      <w:pPr>
        <w:rPr>
          <w:lang w:val="en-GB"/>
        </w:rPr>
      </w:pPr>
      <w:r>
        <w:rPr>
          <w:lang w:val="en-GB"/>
        </w:rPr>
        <w:t>Finally, it would manifest in latency. Can you explain why the latency is actually still good?</w:t>
      </w:r>
    </w:p>
    <w:p w14:paraId="08E87E9A" w14:textId="77777777" w:rsidR="008378C2" w:rsidRDefault="008378C2" w:rsidP="00525768">
      <w:pPr>
        <w:rPr>
          <w:lang w:val="en-GB"/>
        </w:rPr>
      </w:pPr>
      <w:r w:rsidRPr="00136E41">
        <w:rPr>
          <w:noProof/>
          <w:lang w:val="en-GB"/>
        </w:rPr>
        <w:drawing>
          <wp:inline distT="0" distB="0" distL="0" distR="0" wp14:anchorId="020E726F" wp14:editId="7F48CDA8">
            <wp:extent cx="6645910" cy="760730"/>
            <wp:effectExtent l="0" t="0" r="2540" b="1270"/>
            <wp:docPr id="357815381" name="Picture 357815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6645910" cy="760730"/>
                    </a:xfrm>
                    <a:prstGeom prst="rect">
                      <a:avLst/>
                    </a:prstGeom>
                  </pic:spPr>
                </pic:pic>
              </a:graphicData>
            </a:graphic>
          </wp:inline>
        </w:drawing>
      </w:r>
    </w:p>
    <w:p w14:paraId="5A4D83AE" w14:textId="77777777" w:rsidR="008378C2" w:rsidRDefault="008378C2" w:rsidP="00525768">
      <w:pPr>
        <w:rPr>
          <w:lang w:val="en-GB"/>
        </w:rPr>
      </w:pPr>
      <w:r>
        <w:rPr>
          <w:lang w:val="en-GB"/>
        </w:rPr>
        <w:t xml:space="preserve">It’s because that’s from the IO that reaches the hypervisor. The IO that was stuck inside Windows is not included here. </w:t>
      </w:r>
    </w:p>
    <w:p w14:paraId="6AC18AB7" w14:textId="1608A525" w:rsidR="008378C2" w:rsidRDefault="008378C2" w:rsidP="00525768">
      <w:pPr>
        <w:rPr>
          <w:lang w:val="en-GB"/>
        </w:rPr>
      </w:pPr>
      <w:r>
        <w:rPr>
          <w:lang w:val="en-GB"/>
        </w:rPr>
        <w:lastRenderedPageBreak/>
        <w:t xml:space="preserve">The application feels latency is high, but the VM does not show it as the IO is stuck in between. </w:t>
      </w:r>
    </w:p>
    <w:p w14:paraId="4A734A15" w14:textId="77777777" w:rsidR="00FE0CF6" w:rsidRDefault="00FE0CF6" w:rsidP="00FE0CF6">
      <w:pPr>
        <w:rPr>
          <w:lang w:val="en-GB"/>
        </w:rPr>
      </w:pPr>
      <w:r>
        <w:rPr>
          <w:lang w:val="en-GB"/>
        </w:rPr>
        <w:t>Can the disk queue be constantly above 100?</w:t>
      </w:r>
    </w:p>
    <w:p w14:paraId="43EDEF41" w14:textId="77777777" w:rsidR="00FE0CF6" w:rsidRDefault="00FE0CF6" w:rsidP="00FE0CF6">
      <w:pPr>
        <w:rPr>
          <w:lang w:val="en-GB"/>
        </w:rPr>
      </w:pPr>
      <w:r>
        <w:rPr>
          <w:lang w:val="en-GB"/>
        </w:rPr>
        <w:t>The following VM shows 2 counters. The 20-second Peak metric is showing ~200 – 250 queue, while the 5-minute average shows above 125 constantly. The first counter is much more volatile, indicating the queue did not sustain.</w:t>
      </w:r>
    </w:p>
    <w:p w14:paraId="1A007279" w14:textId="77777777" w:rsidR="00FE0CF6" w:rsidRPr="00087097" w:rsidRDefault="00FE0CF6" w:rsidP="00FE0CF6">
      <w:pPr>
        <w:rPr>
          <w:lang w:val="en-GB"/>
        </w:rPr>
      </w:pPr>
      <w:r w:rsidRPr="00DD349C">
        <w:rPr>
          <w:noProof/>
          <w:lang w:val="en-GB"/>
        </w:rPr>
        <w:drawing>
          <wp:inline distT="0" distB="0" distL="0" distR="0" wp14:anchorId="1E3447FA" wp14:editId="56BA0840">
            <wp:extent cx="6645910" cy="2914015"/>
            <wp:effectExtent l="0" t="0" r="2540" b="635"/>
            <wp:docPr id="1606338712" name="Picture 1606338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6645910" cy="2914015"/>
                    </a:xfrm>
                    <a:prstGeom prst="rect">
                      <a:avLst/>
                    </a:prstGeom>
                  </pic:spPr>
                </pic:pic>
              </a:graphicData>
            </a:graphic>
          </wp:inline>
        </w:drawing>
      </w:r>
    </w:p>
    <w:p w14:paraId="1DF38CE3" w14:textId="77777777" w:rsidR="008378C2" w:rsidRDefault="008378C2" w:rsidP="00525768">
      <w:pPr>
        <w:pStyle w:val="Heading5"/>
      </w:pPr>
      <w:r>
        <w:t>Disk Throughput</w:t>
      </w:r>
    </w:p>
    <w:p w14:paraId="2370A45A" w14:textId="49373265" w:rsidR="008378C2" w:rsidRPr="00B420A9" w:rsidRDefault="008378C2" w:rsidP="00525768">
      <w:pPr>
        <w:rPr>
          <w:lang w:val="en-GB" w:eastAsia="en-SG"/>
        </w:rPr>
      </w:pPr>
      <w:r>
        <w:rPr>
          <w:lang w:val="en-GB" w:eastAsia="en-SG"/>
        </w:rPr>
        <w:t xml:space="preserve">You can test the disk throughput by doing comparison test between parallel vs serial, and between small files and large files. Make sure the test is reproducible, especially with variances. In the following, I tested using large files (almost 3 GB each). I found that Windows 11 deliver better throughput when it does serial (one file at a time) vs parallel (3 files). Notice the 4 </w:t>
      </w:r>
      <w:r w:rsidR="00CF7D2C" w:rsidRPr="00CF7D2C">
        <w:rPr>
          <w:color w:val="FF0000"/>
          <w:lang w:val="en-GB" w:eastAsia="en-SG"/>
        </w:rPr>
        <w:t>red</w:t>
      </w:r>
      <w:r>
        <w:rPr>
          <w:lang w:val="en-GB" w:eastAsia="en-SG"/>
        </w:rPr>
        <w:t xml:space="preserve"> dots. It shows the overall throughput started around 38 MB/s, then dropped when I added 2 more threads, then went up again when I paused the 2 threads (became serial). </w:t>
      </w:r>
    </w:p>
    <w:p w14:paraId="335DD9E7" w14:textId="77777777" w:rsidR="008378C2" w:rsidRDefault="008378C2" w:rsidP="00525768">
      <w:pPr>
        <w:jc w:val="center"/>
        <w:rPr>
          <w:lang w:val="en-GB" w:eastAsia="en-SG"/>
        </w:rPr>
      </w:pPr>
      <w:r w:rsidRPr="00B420A9">
        <w:rPr>
          <w:noProof/>
          <w:lang w:val="en-GB" w:eastAsia="en-SG"/>
        </w:rPr>
        <w:lastRenderedPageBreak/>
        <w:drawing>
          <wp:inline distT="0" distB="0" distL="0" distR="0" wp14:anchorId="2706B539" wp14:editId="47631A9B">
            <wp:extent cx="3002400" cy="4924800"/>
            <wp:effectExtent l="0" t="0" r="7620" b="9525"/>
            <wp:docPr id="1525330272" name="Picture 152533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3002400" cy="4924800"/>
                    </a:xfrm>
                    <a:prstGeom prst="rect">
                      <a:avLst/>
                    </a:prstGeom>
                  </pic:spPr>
                </pic:pic>
              </a:graphicData>
            </a:graphic>
          </wp:inline>
        </w:drawing>
      </w:r>
    </w:p>
    <w:p w14:paraId="327D3827" w14:textId="77777777" w:rsidR="008378C2" w:rsidRDefault="008378C2" w:rsidP="00525768">
      <w:pPr>
        <w:rPr>
          <w:lang w:val="en-GB" w:eastAsia="en-SG"/>
        </w:rPr>
      </w:pPr>
      <w:r>
        <w:rPr>
          <w:lang w:val="en-GB" w:eastAsia="en-SG"/>
        </w:rPr>
        <w:t xml:space="preserve">By increasing the parallel threads, the total throughput dropped from 37.5 MB/s to just 32, which is significant drop. </w:t>
      </w:r>
    </w:p>
    <w:p w14:paraId="08E003B7" w14:textId="77777777" w:rsidR="008378C2" w:rsidRDefault="008378C2" w:rsidP="00525768">
      <w:pPr>
        <w:jc w:val="center"/>
        <w:rPr>
          <w:lang w:val="en-GB" w:eastAsia="en-SG"/>
        </w:rPr>
      </w:pPr>
      <w:r w:rsidRPr="00B420A9">
        <w:rPr>
          <w:noProof/>
          <w:lang w:val="en-GB" w:eastAsia="en-SG"/>
        </w:rPr>
        <w:drawing>
          <wp:inline distT="0" distB="0" distL="0" distR="0" wp14:anchorId="4000906A" wp14:editId="70B0FFC2">
            <wp:extent cx="3430800" cy="2257200"/>
            <wp:effectExtent l="0" t="0" r="0" b="0"/>
            <wp:docPr id="1525330273" name="Picture 1525330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3430800" cy="2257200"/>
                    </a:xfrm>
                    <a:prstGeom prst="rect">
                      <a:avLst/>
                    </a:prstGeom>
                  </pic:spPr>
                </pic:pic>
              </a:graphicData>
            </a:graphic>
          </wp:inline>
        </w:drawing>
      </w:r>
    </w:p>
    <w:p w14:paraId="14FB4B44" w14:textId="77777777" w:rsidR="008378C2" w:rsidRPr="00B420A9" w:rsidRDefault="008378C2" w:rsidP="00525768">
      <w:pPr>
        <w:rPr>
          <w:lang w:val="en-GB" w:eastAsia="en-SG"/>
        </w:rPr>
      </w:pPr>
      <w:r>
        <w:rPr>
          <w:lang w:val="en-GB" w:eastAsia="en-SG"/>
        </w:rPr>
        <w:t xml:space="preserve">By the way, if this is for production application, I’d test with more variances. The more the combination, the more confidence you are on your assumption. </w:t>
      </w:r>
    </w:p>
    <w:p w14:paraId="078323A2" w14:textId="77777777" w:rsidR="008378C2" w:rsidRDefault="008378C2" w:rsidP="00525768">
      <w:pPr>
        <w:pStyle w:val="Heading5"/>
      </w:pPr>
      <w:r>
        <w:lastRenderedPageBreak/>
        <w:t>Defragmentation</w:t>
      </w:r>
    </w:p>
    <w:p w14:paraId="4CFAAC9B" w14:textId="43046630" w:rsidR="008378C2" w:rsidRDefault="008378C2" w:rsidP="00525768">
      <w:pPr>
        <w:rPr>
          <w:lang w:val="en-GB"/>
        </w:rPr>
      </w:pPr>
      <w:r>
        <w:rPr>
          <w:lang w:val="en-GB"/>
        </w:rPr>
        <w:t>The following screenshot shows Windows defragmentation dialog box. I’m not sure why solid state drive needs it as there is no spinning plate, meaning it is random access</w:t>
      </w:r>
      <w:r w:rsidR="00E4254C">
        <w:rPr>
          <w:lang w:val="en-GB"/>
        </w:rPr>
        <w:t xml:space="preserve">. </w:t>
      </w:r>
    </w:p>
    <w:p w14:paraId="47BC9D56" w14:textId="77777777" w:rsidR="008378C2" w:rsidRDefault="008378C2" w:rsidP="00525768">
      <w:pPr>
        <w:jc w:val="center"/>
        <w:rPr>
          <w:lang w:val="en-GB"/>
        </w:rPr>
      </w:pPr>
      <w:r w:rsidRPr="00D96757">
        <w:rPr>
          <w:noProof/>
          <w:lang w:val="en-GB"/>
        </w:rPr>
        <w:drawing>
          <wp:inline distT="0" distB="0" distL="0" distR="0" wp14:anchorId="515099BB" wp14:editId="1C267646">
            <wp:extent cx="5093208" cy="4251960"/>
            <wp:effectExtent l="0" t="0" r="0" b="0"/>
            <wp:docPr id="1525330240" name="Picture 152533024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40" name="Picture 1525330240" descr="Graphical user interface, text, application, email&#10;&#10;Description automatically generated"/>
                    <pic:cNvPicPr/>
                  </pic:nvPicPr>
                  <pic:blipFill>
                    <a:blip r:embed="rId431"/>
                    <a:stretch>
                      <a:fillRect/>
                    </a:stretch>
                  </pic:blipFill>
                  <pic:spPr>
                    <a:xfrm>
                      <a:off x="0" y="0"/>
                      <a:ext cx="5093208" cy="4251960"/>
                    </a:xfrm>
                    <a:prstGeom prst="rect">
                      <a:avLst/>
                    </a:prstGeom>
                  </pic:spPr>
                </pic:pic>
              </a:graphicData>
            </a:graphic>
          </wp:inline>
        </w:drawing>
      </w:r>
    </w:p>
    <w:p w14:paraId="29ECBCB8" w14:textId="77777777" w:rsidR="008378C2" w:rsidRDefault="008378C2" w:rsidP="00525768">
      <w:pPr>
        <w:pStyle w:val="Heading5"/>
      </w:pPr>
      <w:r>
        <w:t>Disk Space</w:t>
      </w:r>
    </w:p>
    <w:p w14:paraId="7A109577" w14:textId="77777777" w:rsidR="008378C2" w:rsidRDefault="008378C2" w:rsidP="00525768">
      <w:pPr>
        <w:rPr>
          <w:lang w:val="en-GB"/>
        </w:rPr>
      </w:pPr>
      <w:r>
        <w:rPr>
          <w:lang w:val="en-GB"/>
        </w:rPr>
        <w:t xml:space="preserve">Guest OS partition and virtual disks have M:N relationship. The following Windows 11 screenshot shows an example where multiple partitions share a virtual disk. </w:t>
      </w:r>
    </w:p>
    <w:p w14:paraId="6942E007" w14:textId="77777777" w:rsidR="008378C2" w:rsidRDefault="008378C2" w:rsidP="00525768">
      <w:pPr>
        <w:jc w:val="center"/>
        <w:rPr>
          <w:lang w:val="en-GB"/>
        </w:rPr>
      </w:pPr>
      <w:r w:rsidRPr="00BF46AA">
        <w:rPr>
          <w:noProof/>
          <w:lang w:val="en-GB"/>
        </w:rPr>
        <w:lastRenderedPageBreak/>
        <w:drawing>
          <wp:inline distT="0" distB="0" distL="0" distR="0" wp14:anchorId="0A941F05" wp14:editId="6F76B025">
            <wp:extent cx="5638752" cy="3160416"/>
            <wp:effectExtent l="0" t="0" r="635" b="1905"/>
            <wp:docPr id="1709717421" name="Picture 1709717421"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17421" name="Picture 1709717421" descr="Text&#10;&#10;Description automatically generated with medium confidence"/>
                    <pic:cNvPicPr/>
                  </pic:nvPicPr>
                  <pic:blipFill>
                    <a:blip r:embed="rId432"/>
                    <a:stretch>
                      <a:fillRect/>
                    </a:stretch>
                  </pic:blipFill>
                  <pic:spPr>
                    <a:xfrm>
                      <a:off x="0" y="0"/>
                      <a:ext cx="5643716" cy="3163198"/>
                    </a:xfrm>
                    <a:prstGeom prst="rect">
                      <a:avLst/>
                    </a:prstGeom>
                  </pic:spPr>
                </pic:pic>
              </a:graphicData>
            </a:graphic>
          </wp:inline>
        </w:drawing>
      </w:r>
    </w:p>
    <w:p w14:paraId="459958AA" w14:textId="77777777" w:rsidR="008378C2" w:rsidRDefault="008378C2" w:rsidP="00525768">
      <w:pPr>
        <w:rPr>
          <w:lang w:val="en-GB"/>
        </w:rPr>
      </w:pPr>
      <w:r>
        <w:rPr>
          <w:lang w:val="en-GB"/>
        </w:rPr>
        <w:t>You can also make a single partition spans across multiple virtual disks.</w:t>
      </w:r>
    </w:p>
    <w:p w14:paraId="26EB4FB8" w14:textId="77777777" w:rsidR="008378C2" w:rsidRDefault="008378C2" w:rsidP="00525768">
      <w:pPr>
        <w:rPr>
          <w:lang w:val="en-GB"/>
        </w:rPr>
      </w:pPr>
      <w:r>
        <w:rPr>
          <w:lang w:val="en-GB"/>
        </w:rPr>
        <w:t>Guest OS also does not have to allocate all the space in a virtual disk. For those space allocated, it does not have to make it visible to users.</w:t>
      </w:r>
    </w:p>
    <w:p w14:paraId="2C5E1724" w14:textId="77777777" w:rsidR="008378C2" w:rsidRDefault="008378C2" w:rsidP="00525768">
      <w:pPr>
        <w:rPr>
          <w:lang w:val="en-GB"/>
        </w:rPr>
      </w:pPr>
      <w:r>
        <w:rPr>
          <w:lang w:val="en-GB"/>
        </w:rPr>
        <w:t>vRealize Operations show the partitions as instanced metrics, under Guest File System metric group</w:t>
      </w:r>
    </w:p>
    <w:p w14:paraId="30AA9CFE" w14:textId="77777777" w:rsidR="008378C2" w:rsidRDefault="008378C2" w:rsidP="00525768">
      <w:pPr>
        <w:jc w:val="center"/>
        <w:rPr>
          <w:lang w:val="en-GB"/>
        </w:rPr>
      </w:pPr>
      <w:r w:rsidRPr="009B20C7">
        <w:rPr>
          <w:noProof/>
          <w:lang w:val="en-GB"/>
        </w:rPr>
        <w:drawing>
          <wp:inline distT="0" distB="0" distL="0" distR="0" wp14:anchorId="37507786" wp14:editId="250621BA">
            <wp:extent cx="1663903" cy="1958226"/>
            <wp:effectExtent l="0" t="0" r="0" b="4445"/>
            <wp:docPr id="1583707924" name="Picture 158370792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24" name="Picture 1583707924" descr="Graphical user interface, application&#10;&#10;Description automatically generated"/>
                    <pic:cNvPicPr/>
                  </pic:nvPicPr>
                  <pic:blipFill>
                    <a:blip r:embed="rId433"/>
                    <a:stretch>
                      <a:fillRect/>
                    </a:stretch>
                  </pic:blipFill>
                  <pic:spPr>
                    <a:xfrm>
                      <a:off x="0" y="0"/>
                      <a:ext cx="1667232" cy="1962144"/>
                    </a:xfrm>
                    <a:prstGeom prst="rect">
                      <a:avLst/>
                    </a:prstGeom>
                  </pic:spPr>
                </pic:pic>
              </a:graphicData>
            </a:graphic>
          </wp:inline>
        </w:drawing>
      </w:r>
    </w:p>
    <w:p w14:paraId="1C5578BE" w14:textId="77777777" w:rsidR="008378C2" w:rsidRDefault="008378C2" w:rsidP="00525768">
      <w:pPr>
        <w:rPr>
          <w:lang w:val="en-GB"/>
        </w:rPr>
      </w:pPr>
      <w:r>
        <w:rPr>
          <w:lang w:val="en-GB"/>
        </w:rPr>
        <w:t xml:space="preserve">For each partition, you get the configured capacity, used capacity (in relative) and used capacity (in absolute). You also get the overall number, which is handy for trim/unmap calculation. </w:t>
      </w:r>
    </w:p>
    <w:p w14:paraId="1605DAE8" w14:textId="77777777" w:rsidR="008378C2" w:rsidRPr="008D7F8D" w:rsidRDefault="008378C2" w:rsidP="00525768">
      <w:pPr>
        <w:rPr>
          <w:lang w:val="en-GB"/>
        </w:rPr>
      </w:pPr>
      <w:r>
        <w:rPr>
          <w:lang w:val="en-GB"/>
        </w:rPr>
        <w:t>You can see if any of the Windows drives or Linux partitions are running out of storage. You can also compute the potential savings from trim/unmap.</w:t>
      </w:r>
    </w:p>
    <w:p w14:paraId="79ABAD80" w14:textId="4A77F9D0" w:rsidR="008378C2" w:rsidRDefault="008378C2" w:rsidP="00525768">
      <w:r>
        <w:rPr>
          <w:lang w:val="en-GB"/>
        </w:rPr>
        <w:t xml:space="preserve">Note that only local disk device partitions are shown. </w:t>
      </w:r>
      <w:r>
        <w:t>Network mounted filesystems or drives require the Telegraf agent.</w:t>
      </w:r>
    </w:p>
    <w:p w14:paraId="48423FF3" w14:textId="2F38BA19" w:rsidR="001406B1" w:rsidRDefault="001406B1" w:rsidP="00525768">
      <w:pPr>
        <w:pStyle w:val="Heading4"/>
      </w:pPr>
      <w:r>
        <w:lastRenderedPageBreak/>
        <w:t>Network</w:t>
      </w:r>
    </w:p>
    <w:p w14:paraId="79DC6C92" w14:textId="77777777" w:rsidR="00390C37" w:rsidRDefault="00390C37" w:rsidP="00390C37">
      <w:pPr>
        <w:rPr>
          <w:lang w:val="en-GB"/>
        </w:rPr>
      </w:pPr>
      <w:r w:rsidRPr="0044702F">
        <w:rPr>
          <w:lang w:val="en-GB"/>
        </w:rPr>
        <w:t>Understanding network counter at Guest OS level is important</w:t>
      </w:r>
      <w:r>
        <w:rPr>
          <w:lang w:val="en-GB"/>
        </w:rPr>
        <w:t xml:space="preserve"> as t</w:t>
      </w:r>
      <w:r w:rsidRPr="0044702F">
        <w:rPr>
          <w:lang w:val="en-GB"/>
        </w:rPr>
        <w:t xml:space="preserve">he data inside the guest </w:t>
      </w:r>
      <w:r>
        <w:rPr>
          <w:lang w:val="en-GB"/>
        </w:rPr>
        <w:t>relates better to the application.</w:t>
      </w:r>
    </w:p>
    <w:p w14:paraId="183E0B1D" w14:textId="77777777" w:rsidR="00390C37" w:rsidRDefault="00390C37" w:rsidP="00390C37">
      <w:pPr>
        <w:rPr>
          <w:lang w:val="en-GB"/>
        </w:rPr>
      </w:pPr>
      <w:r>
        <w:rPr>
          <w:lang w:val="en-GB"/>
        </w:rPr>
        <w:t>Windows provides visibility at multiple levels. It provides a good set of metrics at each of these levels:</w:t>
      </w:r>
    </w:p>
    <w:p w14:paraId="1F3D0492" w14:textId="77777777" w:rsidR="00390C37" w:rsidRDefault="00390C37" w:rsidP="00390C37">
      <w:pPr>
        <w:pStyle w:val="Bullet"/>
        <w:rPr>
          <w:lang w:val="en-GB"/>
        </w:rPr>
      </w:pPr>
      <w:r>
        <w:rPr>
          <w:lang w:val="en-GB"/>
        </w:rPr>
        <w:t xml:space="preserve">adapter </w:t>
      </w:r>
    </w:p>
    <w:p w14:paraId="02E50EE3" w14:textId="77777777" w:rsidR="00390C37" w:rsidRDefault="00390C37" w:rsidP="00390C37">
      <w:pPr>
        <w:pStyle w:val="Bullet"/>
        <w:rPr>
          <w:lang w:val="en-GB"/>
        </w:rPr>
      </w:pPr>
      <w:r>
        <w:rPr>
          <w:lang w:val="en-GB"/>
        </w:rPr>
        <w:t xml:space="preserve">interface </w:t>
      </w:r>
    </w:p>
    <w:p w14:paraId="2878D6A2" w14:textId="77777777" w:rsidR="00390C37" w:rsidRDefault="00390C37" w:rsidP="00390C37">
      <w:pPr>
        <w:pStyle w:val="Bullet"/>
        <w:rPr>
          <w:lang w:val="en-GB"/>
        </w:rPr>
      </w:pPr>
      <w:r>
        <w:rPr>
          <w:lang w:val="en-GB"/>
        </w:rPr>
        <w:t>process (only in Task Manager. No network metric at Performance Monitor at process level)</w:t>
      </w:r>
    </w:p>
    <w:p w14:paraId="3ECED939" w14:textId="77777777" w:rsidR="00390C37" w:rsidRDefault="00390C37" w:rsidP="00390C37">
      <w:pPr>
        <w:pStyle w:val="Bullet"/>
        <w:rPr>
          <w:lang w:val="en-GB"/>
        </w:rPr>
      </w:pPr>
      <w:r>
        <w:rPr>
          <w:lang w:val="en-GB"/>
        </w:rPr>
        <w:t>TCP and UDP connection</w:t>
      </w:r>
    </w:p>
    <w:p w14:paraId="20703E6B" w14:textId="77777777" w:rsidR="00390C37" w:rsidRDefault="00390C37" w:rsidP="00390C37">
      <w:pPr>
        <w:rPr>
          <w:lang w:val="en-GB"/>
        </w:rPr>
      </w:pPr>
      <w:r>
        <w:rPr>
          <w:lang w:val="en-GB"/>
        </w:rPr>
        <w:t>The following screenshot from Performance Monitor shows some of the metrics at Network Adapter and Network Interface</w:t>
      </w:r>
    </w:p>
    <w:p w14:paraId="0D175921" w14:textId="77777777" w:rsidR="00390C37" w:rsidRDefault="00390C37" w:rsidP="00390C37">
      <w:pPr>
        <w:rPr>
          <w:lang w:val="en-GB"/>
        </w:rPr>
      </w:pPr>
      <w:r>
        <w:rPr>
          <w:noProof/>
        </w:rPr>
        <w:drawing>
          <wp:inline distT="0" distB="0" distL="0" distR="0" wp14:anchorId="38FC890C" wp14:editId="4B226ECB">
            <wp:extent cx="6645910" cy="3197860"/>
            <wp:effectExtent l="0" t="0" r="2540" b="2540"/>
            <wp:docPr id="750070355" name="Picture 75007035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55" name="Picture 750070355" descr="Graphical user interface, application&#10;&#10;Description automatically generated"/>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6645910" cy="3197860"/>
                    </a:xfrm>
                    <a:prstGeom prst="rect">
                      <a:avLst/>
                    </a:prstGeom>
                    <a:noFill/>
                    <a:ln>
                      <a:noFill/>
                    </a:ln>
                  </pic:spPr>
                </pic:pic>
              </a:graphicData>
            </a:graphic>
          </wp:inline>
        </w:drawing>
      </w:r>
    </w:p>
    <w:p w14:paraId="53C2FAB0" w14:textId="77777777" w:rsidR="00390C37" w:rsidRDefault="00390C37" w:rsidP="00390C37">
      <w:pPr>
        <w:rPr>
          <w:lang w:val="en-GB"/>
        </w:rPr>
      </w:pPr>
      <w:r>
        <w:rPr>
          <w:lang w:val="en-GB"/>
        </w:rPr>
        <w:t>Let’s look at the metrics at the adapter level, as that’s the one closest to the VM level metric.</w:t>
      </w:r>
    </w:p>
    <w:p w14:paraId="7A181883" w14:textId="77777777" w:rsidR="00390C37" w:rsidRDefault="00390C37" w:rsidP="00390C37">
      <w:pPr>
        <w:pStyle w:val="Heading5"/>
      </w:pPr>
      <w:r>
        <w:t>Contention Metrics</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261"/>
        <w:gridCol w:w="7195"/>
      </w:tblGrid>
      <w:tr w:rsidR="00390C37" w14:paraId="65E201E4" w14:textId="77777777" w:rsidTr="00281329">
        <w:tc>
          <w:tcPr>
            <w:tcW w:w="3261" w:type="dxa"/>
            <w:shd w:val="clear" w:color="auto" w:fill="F2F2F2" w:themeFill="background1" w:themeFillShade="F2"/>
          </w:tcPr>
          <w:p w14:paraId="09714CFC" w14:textId="77777777" w:rsidR="00390C37" w:rsidRDefault="00390C37" w:rsidP="00281329">
            <w:pPr>
              <w:pStyle w:val="Tablecontent"/>
              <w:rPr>
                <w:lang w:val="en-GB"/>
              </w:rPr>
            </w:pPr>
            <w:r w:rsidRPr="00642EF3">
              <w:t>Packets Received Errors</w:t>
            </w:r>
          </w:p>
        </w:tc>
        <w:tc>
          <w:tcPr>
            <w:tcW w:w="7195" w:type="dxa"/>
            <w:vMerge w:val="restart"/>
          </w:tcPr>
          <w:p w14:paraId="5AA30888" w14:textId="77777777" w:rsidR="00390C37" w:rsidRDefault="00390C37" w:rsidP="00281329">
            <w:pPr>
              <w:pStyle w:val="Tablecontent"/>
              <w:rPr>
                <w:lang w:val="en-GB"/>
              </w:rPr>
            </w:pPr>
            <w:r>
              <w:rPr>
                <w:lang w:val="en-GB"/>
              </w:rPr>
              <w:t>Expect these to be 0 at all times?</w:t>
            </w:r>
          </w:p>
          <w:p w14:paraId="3B8B30F5" w14:textId="77777777" w:rsidR="00390C37" w:rsidRDefault="00390C37" w:rsidP="00281329">
            <w:pPr>
              <w:pStyle w:val="Tablecontent"/>
              <w:rPr>
                <w:lang w:val="en-GB"/>
              </w:rPr>
            </w:pPr>
            <w:r>
              <w:rPr>
                <w:lang w:val="en-GB"/>
              </w:rPr>
              <w:t>While error packets are obviously discarded, I think the value is not included in the discarded metric below.</w:t>
            </w:r>
          </w:p>
        </w:tc>
      </w:tr>
      <w:tr w:rsidR="00390C37" w14:paraId="647462A8" w14:textId="77777777" w:rsidTr="00281329">
        <w:tc>
          <w:tcPr>
            <w:tcW w:w="3261" w:type="dxa"/>
            <w:shd w:val="clear" w:color="auto" w:fill="F2F2F2" w:themeFill="background1" w:themeFillShade="F2"/>
          </w:tcPr>
          <w:p w14:paraId="2A6F6E55" w14:textId="77777777" w:rsidR="00390C37" w:rsidRDefault="00390C37" w:rsidP="00281329">
            <w:pPr>
              <w:pStyle w:val="Tablecontent"/>
              <w:rPr>
                <w:lang w:val="en-GB"/>
              </w:rPr>
            </w:pPr>
            <w:r w:rsidRPr="00642EF3">
              <w:t>Packets Outbound Errors</w:t>
            </w:r>
          </w:p>
        </w:tc>
        <w:tc>
          <w:tcPr>
            <w:tcW w:w="7195" w:type="dxa"/>
            <w:vMerge/>
          </w:tcPr>
          <w:p w14:paraId="0FE878F1" w14:textId="77777777" w:rsidR="00390C37" w:rsidRDefault="00390C37" w:rsidP="00281329">
            <w:pPr>
              <w:pStyle w:val="Tablecontent"/>
              <w:rPr>
                <w:lang w:val="en-GB"/>
              </w:rPr>
            </w:pPr>
          </w:p>
        </w:tc>
      </w:tr>
      <w:tr w:rsidR="00390C37" w14:paraId="12985C0D" w14:textId="77777777" w:rsidTr="00281329">
        <w:tc>
          <w:tcPr>
            <w:tcW w:w="3261" w:type="dxa"/>
            <w:shd w:val="clear" w:color="auto" w:fill="F2F2F2" w:themeFill="background1" w:themeFillShade="F2"/>
          </w:tcPr>
          <w:p w14:paraId="5FF9AE35" w14:textId="77777777" w:rsidR="00390C37" w:rsidRDefault="00390C37" w:rsidP="00281329">
            <w:pPr>
              <w:pStyle w:val="Tablecontent"/>
              <w:rPr>
                <w:lang w:val="en-GB"/>
              </w:rPr>
            </w:pPr>
            <w:r w:rsidRPr="00642EF3">
              <w:t>Packets Received Discarded</w:t>
            </w:r>
          </w:p>
        </w:tc>
        <w:tc>
          <w:tcPr>
            <w:tcW w:w="7195" w:type="dxa"/>
            <w:vMerge w:val="restart"/>
          </w:tcPr>
          <w:p w14:paraId="089D05AB" w14:textId="77777777" w:rsidR="00390C37" w:rsidRDefault="00390C37" w:rsidP="00281329">
            <w:pPr>
              <w:pStyle w:val="Tablecontent"/>
              <w:rPr>
                <w:lang w:val="en-GB"/>
              </w:rPr>
            </w:pPr>
            <w:r>
              <w:rPr>
                <w:lang w:val="en-GB"/>
              </w:rPr>
              <w:t xml:space="preserve">The packet is not an error packet but it is dropped, typically due to buffer overflow. </w:t>
            </w:r>
          </w:p>
          <w:p w14:paraId="0AEF1F81" w14:textId="77777777" w:rsidR="00390C37" w:rsidRDefault="00390C37" w:rsidP="00281329">
            <w:pPr>
              <w:pStyle w:val="Tablecontent"/>
              <w:rPr>
                <w:lang w:val="en-GB"/>
              </w:rPr>
            </w:pPr>
            <w:r>
              <w:rPr>
                <w:lang w:val="en-GB"/>
              </w:rPr>
              <w:t>The sum of all 4 metrics should be 0 at all times.</w:t>
            </w:r>
          </w:p>
        </w:tc>
      </w:tr>
      <w:tr w:rsidR="00390C37" w14:paraId="3A318984" w14:textId="77777777" w:rsidTr="00281329">
        <w:tc>
          <w:tcPr>
            <w:tcW w:w="3261" w:type="dxa"/>
            <w:shd w:val="clear" w:color="auto" w:fill="F2F2F2" w:themeFill="background1" w:themeFillShade="F2"/>
          </w:tcPr>
          <w:p w14:paraId="7A101D6F" w14:textId="77777777" w:rsidR="00390C37" w:rsidRPr="00642EF3" w:rsidRDefault="00390C37" w:rsidP="00281329">
            <w:pPr>
              <w:pStyle w:val="Tablecontent"/>
            </w:pPr>
            <w:r w:rsidRPr="00642EF3">
              <w:t>Packets Outbound Discarded</w:t>
            </w:r>
          </w:p>
        </w:tc>
        <w:tc>
          <w:tcPr>
            <w:tcW w:w="7195" w:type="dxa"/>
            <w:vMerge/>
          </w:tcPr>
          <w:p w14:paraId="57462CCD" w14:textId="77777777" w:rsidR="00390C37" w:rsidRDefault="00390C37" w:rsidP="00281329">
            <w:pPr>
              <w:pStyle w:val="Tablecontent"/>
              <w:rPr>
                <w:lang w:val="en-GB"/>
              </w:rPr>
            </w:pPr>
          </w:p>
        </w:tc>
      </w:tr>
      <w:tr w:rsidR="00390C37" w14:paraId="5CD5D665" w14:textId="77777777" w:rsidTr="00281329">
        <w:tc>
          <w:tcPr>
            <w:tcW w:w="3261" w:type="dxa"/>
            <w:shd w:val="clear" w:color="auto" w:fill="F2F2F2" w:themeFill="background1" w:themeFillShade="F2"/>
          </w:tcPr>
          <w:p w14:paraId="19756D04" w14:textId="77777777" w:rsidR="00390C37" w:rsidRPr="00642EF3" w:rsidRDefault="00390C37" w:rsidP="00281329">
            <w:pPr>
              <w:pStyle w:val="Tablecontent"/>
            </w:pPr>
            <w:r w:rsidRPr="00642EF3">
              <w:t>Output Queue Length</w:t>
            </w:r>
          </w:p>
        </w:tc>
        <w:tc>
          <w:tcPr>
            <w:tcW w:w="7195" w:type="dxa"/>
          </w:tcPr>
          <w:p w14:paraId="48E3E0AF" w14:textId="77777777" w:rsidR="00390C37" w:rsidRDefault="00390C37" w:rsidP="00281329">
            <w:pPr>
              <w:pStyle w:val="Tablecontent"/>
            </w:pPr>
            <w:r>
              <w:t xml:space="preserve">It </w:t>
            </w:r>
            <w:r w:rsidRPr="006068AE">
              <w:t xml:space="preserve">measures the length of the output packet queue, in packets. </w:t>
            </w:r>
          </w:p>
          <w:p w14:paraId="692F762F" w14:textId="77777777" w:rsidR="00390C37" w:rsidRDefault="00390C37" w:rsidP="00281329">
            <w:pPr>
              <w:pStyle w:val="Tablecontent"/>
              <w:rPr>
                <w:lang w:val="en-GB"/>
              </w:rPr>
            </w:pPr>
            <w:r>
              <w:lastRenderedPageBreak/>
              <w:t xml:space="preserve">Windows manual states that </w:t>
            </w:r>
            <w:r w:rsidRPr="006068AE">
              <w:t xml:space="preserve">saturation exists if this value is </w:t>
            </w:r>
            <w:r>
              <w:t>&gt;2</w:t>
            </w:r>
            <w:r w:rsidRPr="006068AE">
              <w:t>.</w:t>
            </w:r>
            <w:r>
              <w:t xml:space="preserve"> If you know why the queue length is low, let me know. However, the value is always 0 in Windows 10 and 11 “</w:t>
            </w:r>
            <w:r w:rsidRPr="0001110F">
              <w:t>since the requests are queued by the Network Driver Interface Specification (NDIS) in this implementation</w:t>
            </w:r>
            <w:r>
              <w:t>”</w:t>
            </w:r>
          </w:p>
        </w:tc>
      </w:tr>
      <w:tr w:rsidR="00390C37" w14:paraId="69DF51AC" w14:textId="77777777" w:rsidTr="00281329">
        <w:tc>
          <w:tcPr>
            <w:tcW w:w="3261" w:type="dxa"/>
            <w:shd w:val="clear" w:color="auto" w:fill="F2F2F2" w:themeFill="background1" w:themeFillShade="F2"/>
          </w:tcPr>
          <w:p w14:paraId="128EBB0F" w14:textId="77777777" w:rsidR="00390C37" w:rsidRPr="00642EF3" w:rsidRDefault="00390C37" w:rsidP="00281329">
            <w:pPr>
              <w:pStyle w:val="Tablecontent"/>
            </w:pPr>
            <w:r w:rsidRPr="00285305">
              <w:lastRenderedPageBreak/>
              <w:t>Packets Received Unknown</w:t>
            </w:r>
          </w:p>
        </w:tc>
        <w:tc>
          <w:tcPr>
            <w:tcW w:w="7195" w:type="dxa"/>
          </w:tcPr>
          <w:p w14:paraId="08AAE42D" w14:textId="77777777" w:rsidR="00390C37" w:rsidRDefault="00390C37" w:rsidP="00281329">
            <w:pPr>
              <w:pStyle w:val="Tablecontent"/>
              <w:rPr>
                <w:lang w:val="en-GB"/>
              </w:rPr>
            </w:pPr>
            <w:r>
              <w:rPr>
                <w:lang w:val="en-GB"/>
              </w:rPr>
              <w:t>Interesting to see that Windows also has unknown protocol packet. ESXi VMkernel, being an OS, also has this unknown packet.</w:t>
            </w:r>
          </w:p>
          <w:p w14:paraId="1F004EE4" w14:textId="77777777" w:rsidR="00390C37" w:rsidRPr="00FD1988" w:rsidRDefault="00390C37" w:rsidP="00281329">
            <w:pPr>
              <w:pStyle w:val="Tablecontent"/>
              <w:rPr>
                <w:lang w:val="en-GB"/>
              </w:rPr>
            </w:pPr>
            <w:r>
              <w:rPr>
                <w:lang w:val="en-GB"/>
              </w:rPr>
              <w:t>Take note that there is no unknown packet sent, because all packets sent are of known type.</w:t>
            </w:r>
          </w:p>
        </w:tc>
      </w:tr>
    </w:tbl>
    <w:p w14:paraId="374D3350" w14:textId="74309693" w:rsidR="00390C37" w:rsidRDefault="000536C9" w:rsidP="00390C37">
      <w:pPr>
        <w:pStyle w:val="Heading5"/>
      </w:pPr>
      <w:r>
        <w:t xml:space="preserve">Consumption </w:t>
      </w:r>
      <w:r w:rsidR="00390C37">
        <w:t>Metrics</w:t>
      </w:r>
    </w:p>
    <w:p w14:paraId="27B65942" w14:textId="77777777" w:rsidR="00390C37" w:rsidRDefault="00390C37" w:rsidP="00390C37">
      <w:pPr>
        <w:rPr>
          <w:lang w:val="en-GB"/>
        </w:rPr>
      </w:pPr>
      <w:r>
        <w:rPr>
          <w:lang w:val="en-GB"/>
        </w:rPr>
        <w:t>Let’s start with the basic or common metrics first</w:t>
      </w:r>
    </w:p>
    <w:p w14:paraId="198B009C" w14:textId="77777777" w:rsidR="00390C37" w:rsidRPr="008F2AA3" w:rsidRDefault="00390C37" w:rsidP="00390C37">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261"/>
        <w:gridCol w:w="7195"/>
      </w:tblGrid>
      <w:tr w:rsidR="00390C37" w14:paraId="296AC069" w14:textId="77777777" w:rsidTr="00281329">
        <w:tc>
          <w:tcPr>
            <w:tcW w:w="3261" w:type="dxa"/>
            <w:shd w:val="clear" w:color="auto" w:fill="F2F2F2" w:themeFill="background1" w:themeFillShade="F2"/>
          </w:tcPr>
          <w:p w14:paraId="04A32D07" w14:textId="77777777" w:rsidR="00390C37" w:rsidRDefault="00390C37" w:rsidP="00281329">
            <w:pPr>
              <w:pStyle w:val="Tablecontent"/>
              <w:rPr>
                <w:lang w:val="en-GB"/>
              </w:rPr>
            </w:pPr>
            <w:r w:rsidRPr="00642EF3">
              <w:t>Current Bandwidth</w:t>
            </w:r>
          </w:p>
        </w:tc>
        <w:tc>
          <w:tcPr>
            <w:tcW w:w="7195" w:type="dxa"/>
          </w:tcPr>
          <w:p w14:paraId="03031C8B" w14:textId="77777777" w:rsidR="00390C37" w:rsidRDefault="00390C37" w:rsidP="00281329">
            <w:pPr>
              <w:pStyle w:val="Tablecontent"/>
              <w:rPr>
                <w:lang w:val="en-GB"/>
              </w:rPr>
            </w:pPr>
            <w:r>
              <w:rPr>
                <w:lang w:val="en-GB"/>
              </w:rPr>
              <w:t>This is interesting as Windows tries to determine the actual bandwidth, which is typically lower than the configured bandwidth.</w:t>
            </w:r>
          </w:p>
        </w:tc>
      </w:tr>
      <w:tr w:rsidR="00390C37" w14:paraId="2B06C192" w14:textId="77777777" w:rsidTr="00281329">
        <w:tc>
          <w:tcPr>
            <w:tcW w:w="3261" w:type="dxa"/>
            <w:shd w:val="clear" w:color="auto" w:fill="F2F2F2" w:themeFill="background1" w:themeFillShade="F2"/>
          </w:tcPr>
          <w:p w14:paraId="7F6453A9" w14:textId="77777777" w:rsidR="00390C37" w:rsidRDefault="00390C37" w:rsidP="00281329">
            <w:pPr>
              <w:pStyle w:val="Tablecontent"/>
              <w:rPr>
                <w:lang w:val="en-GB"/>
              </w:rPr>
            </w:pPr>
            <w:r w:rsidRPr="006C0525">
              <w:t>% Usage</w:t>
            </w:r>
          </w:p>
        </w:tc>
        <w:tc>
          <w:tcPr>
            <w:tcW w:w="7195" w:type="dxa"/>
          </w:tcPr>
          <w:p w14:paraId="46EA713B" w14:textId="77777777" w:rsidR="00390C37" w:rsidRDefault="00390C37" w:rsidP="00281329">
            <w:pPr>
              <w:pStyle w:val="Tablecontent"/>
              <w:rPr>
                <w:lang w:val="en-GB"/>
              </w:rPr>
            </w:pPr>
          </w:p>
        </w:tc>
      </w:tr>
      <w:tr w:rsidR="00390C37" w14:paraId="1EC56BE4" w14:textId="77777777" w:rsidTr="00281329">
        <w:tc>
          <w:tcPr>
            <w:tcW w:w="3261" w:type="dxa"/>
            <w:shd w:val="clear" w:color="auto" w:fill="F2F2F2" w:themeFill="background1" w:themeFillShade="F2"/>
          </w:tcPr>
          <w:p w14:paraId="3D3CCF69" w14:textId="77777777" w:rsidR="00390C37" w:rsidRDefault="00390C37" w:rsidP="00281329">
            <w:pPr>
              <w:pStyle w:val="Tablecontent"/>
              <w:rPr>
                <w:lang w:val="en-GB"/>
              </w:rPr>
            </w:pPr>
            <w:r w:rsidRPr="006C0525">
              <w:t xml:space="preserve">% Usage Peak </w:t>
            </w:r>
          </w:p>
        </w:tc>
        <w:tc>
          <w:tcPr>
            <w:tcW w:w="7195" w:type="dxa"/>
          </w:tcPr>
          <w:p w14:paraId="60EDD306" w14:textId="77777777" w:rsidR="00390C37" w:rsidRDefault="00390C37" w:rsidP="00281329">
            <w:pPr>
              <w:pStyle w:val="Tablecontent"/>
              <w:rPr>
                <w:lang w:val="en-GB"/>
              </w:rPr>
            </w:pPr>
          </w:p>
        </w:tc>
      </w:tr>
      <w:tr w:rsidR="00390C37" w14:paraId="35E71BC4" w14:textId="77777777" w:rsidTr="00281329">
        <w:tc>
          <w:tcPr>
            <w:tcW w:w="3261" w:type="dxa"/>
            <w:shd w:val="clear" w:color="auto" w:fill="F2F2F2" w:themeFill="background1" w:themeFillShade="F2"/>
          </w:tcPr>
          <w:p w14:paraId="16C8D416" w14:textId="77777777" w:rsidR="00390C37" w:rsidRDefault="00390C37" w:rsidP="00281329">
            <w:pPr>
              <w:pStyle w:val="Tablecontent"/>
              <w:rPr>
                <w:lang w:val="en-GB"/>
              </w:rPr>
            </w:pPr>
            <w:r w:rsidRPr="00642EF3">
              <w:t>Bytes Sent/sec</w:t>
            </w:r>
          </w:p>
        </w:tc>
        <w:tc>
          <w:tcPr>
            <w:tcW w:w="7195" w:type="dxa"/>
            <w:vMerge w:val="restart"/>
          </w:tcPr>
          <w:p w14:paraId="317D03B2" w14:textId="77777777" w:rsidR="00390C37" w:rsidRDefault="00390C37" w:rsidP="00281329">
            <w:pPr>
              <w:pStyle w:val="Tablecontent"/>
            </w:pPr>
            <w:r>
              <w:t xml:space="preserve">It </w:t>
            </w:r>
            <w:r w:rsidRPr="006068AE">
              <w:t xml:space="preserve">measures the rate at which bytes are sent and received over each network adapter, including framing characters. </w:t>
            </w:r>
          </w:p>
          <w:p w14:paraId="240383E1" w14:textId="77777777" w:rsidR="00390C37" w:rsidRDefault="00390C37" w:rsidP="00281329">
            <w:pPr>
              <w:pStyle w:val="Tablecontent"/>
              <w:rPr>
                <w:lang w:val="en-GB"/>
              </w:rPr>
            </w:pPr>
            <w:r>
              <w:t xml:space="preserve">Windows manual in this </w:t>
            </w:r>
            <w:hyperlink r:id="rId435" w:history="1">
              <w:r w:rsidRPr="00811CE8">
                <w:rPr>
                  <w:rStyle w:val="Hyperlink"/>
                </w:rPr>
                <w:t>link</w:t>
              </w:r>
            </w:hyperlink>
            <w:r>
              <w:t xml:space="preserve"> states that t</w:t>
            </w:r>
            <w:r w:rsidRPr="006068AE">
              <w:t xml:space="preserve">he network is saturated if </w:t>
            </w:r>
            <w:r>
              <w:t>&gt;</w:t>
            </w:r>
            <w:r w:rsidRPr="006068AE">
              <w:t>70</w:t>
            </w:r>
            <w:r>
              <w:t>%</w:t>
            </w:r>
            <w:r w:rsidRPr="006068AE">
              <w:t xml:space="preserve"> </w:t>
            </w:r>
            <w:r>
              <w:t>utilization. I think this is on the low side, and I’d like to see proof of saturation (e.g. dropped packet, retransmit)</w:t>
            </w:r>
          </w:p>
        </w:tc>
      </w:tr>
      <w:tr w:rsidR="00390C37" w14:paraId="296713F8" w14:textId="77777777" w:rsidTr="00281329">
        <w:tc>
          <w:tcPr>
            <w:tcW w:w="3261" w:type="dxa"/>
            <w:shd w:val="clear" w:color="auto" w:fill="F2F2F2" w:themeFill="background1" w:themeFillShade="F2"/>
          </w:tcPr>
          <w:p w14:paraId="7E20FD8C" w14:textId="77777777" w:rsidR="00390C37" w:rsidRPr="00642EF3" w:rsidRDefault="00390C37" w:rsidP="00281329">
            <w:pPr>
              <w:pStyle w:val="Tablecontent"/>
            </w:pPr>
            <w:r w:rsidRPr="00642EF3">
              <w:t>Bytes Received/sec</w:t>
            </w:r>
          </w:p>
        </w:tc>
        <w:tc>
          <w:tcPr>
            <w:tcW w:w="7195" w:type="dxa"/>
            <w:vMerge/>
          </w:tcPr>
          <w:p w14:paraId="52ABF1C6" w14:textId="77777777" w:rsidR="00390C37" w:rsidRDefault="00390C37" w:rsidP="00281329">
            <w:pPr>
              <w:pStyle w:val="Tablecontent"/>
              <w:rPr>
                <w:lang w:val="en-GB"/>
              </w:rPr>
            </w:pPr>
          </w:p>
        </w:tc>
      </w:tr>
      <w:tr w:rsidR="00390C37" w14:paraId="14FE84C5" w14:textId="77777777" w:rsidTr="00281329">
        <w:tc>
          <w:tcPr>
            <w:tcW w:w="3261" w:type="dxa"/>
            <w:shd w:val="clear" w:color="auto" w:fill="F2F2F2" w:themeFill="background1" w:themeFillShade="F2"/>
          </w:tcPr>
          <w:p w14:paraId="7275DF2B" w14:textId="77777777" w:rsidR="00390C37" w:rsidRPr="00642EF3" w:rsidRDefault="00390C37" w:rsidP="00281329">
            <w:pPr>
              <w:pStyle w:val="Tablecontent"/>
            </w:pPr>
            <w:r w:rsidRPr="00642EF3">
              <w:t xml:space="preserve">Bytes Total/sec </w:t>
            </w:r>
          </w:p>
        </w:tc>
        <w:tc>
          <w:tcPr>
            <w:tcW w:w="7195" w:type="dxa"/>
            <w:vMerge/>
          </w:tcPr>
          <w:p w14:paraId="2EFF58CD" w14:textId="77777777" w:rsidR="00390C37" w:rsidRDefault="00390C37" w:rsidP="00281329">
            <w:pPr>
              <w:pStyle w:val="Tablecontent"/>
              <w:rPr>
                <w:lang w:val="en-GB"/>
              </w:rPr>
            </w:pPr>
          </w:p>
        </w:tc>
      </w:tr>
      <w:tr w:rsidR="00390C37" w14:paraId="67154029" w14:textId="77777777" w:rsidTr="00281329">
        <w:tc>
          <w:tcPr>
            <w:tcW w:w="3261" w:type="dxa"/>
            <w:shd w:val="clear" w:color="auto" w:fill="F2F2F2" w:themeFill="background1" w:themeFillShade="F2"/>
          </w:tcPr>
          <w:p w14:paraId="03383A4F" w14:textId="77777777" w:rsidR="00390C37" w:rsidRDefault="00390C37" w:rsidP="00281329">
            <w:pPr>
              <w:pStyle w:val="Tablecontent"/>
              <w:rPr>
                <w:lang w:val="en-GB"/>
              </w:rPr>
            </w:pPr>
            <w:r w:rsidRPr="006C0525">
              <w:t>Packets Sent/sec</w:t>
            </w:r>
          </w:p>
        </w:tc>
        <w:tc>
          <w:tcPr>
            <w:tcW w:w="7195" w:type="dxa"/>
            <w:vMerge w:val="restart"/>
          </w:tcPr>
          <w:p w14:paraId="1F2199C8" w14:textId="77777777" w:rsidR="00390C37" w:rsidRDefault="00390C37" w:rsidP="00281329">
            <w:pPr>
              <w:pStyle w:val="Tablecontent"/>
              <w:rPr>
                <w:lang w:val="en-GB"/>
              </w:rPr>
            </w:pPr>
            <w:r>
              <w:rPr>
                <w:lang w:val="en-GB"/>
              </w:rPr>
              <w:t>This can be an important counter as typically there is a limit in number of packet that can be processed per second.</w:t>
            </w:r>
          </w:p>
        </w:tc>
      </w:tr>
      <w:tr w:rsidR="00390C37" w14:paraId="4F10FB10" w14:textId="77777777" w:rsidTr="00281329">
        <w:tc>
          <w:tcPr>
            <w:tcW w:w="3261" w:type="dxa"/>
            <w:shd w:val="clear" w:color="auto" w:fill="F2F2F2" w:themeFill="background1" w:themeFillShade="F2"/>
          </w:tcPr>
          <w:p w14:paraId="354B3FB5" w14:textId="77777777" w:rsidR="00390C37" w:rsidRDefault="00390C37" w:rsidP="00281329">
            <w:pPr>
              <w:pStyle w:val="Tablecontent"/>
              <w:rPr>
                <w:lang w:val="en-GB"/>
              </w:rPr>
            </w:pPr>
            <w:r w:rsidRPr="00285305">
              <w:t>Packets Received/sec</w:t>
            </w:r>
          </w:p>
        </w:tc>
        <w:tc>
          <w:tcPr>
            <w:tcW w:w="7195" w:type="dxa"/>
            <w:vMerge/>
          </w:tcPr>
          <w:p w14:paraId="22D7E24A" w14:textId="77777777" w:rsidR="00390C37" w:rsidRDefault="00390C37" w:rsidP="00281329">
            <w:pPr>
              <w:pStyle w:val="Tablecontent"/>
              <w:rPr>
                <w:lang w:val="en-GB"/>
              </w:rPr>
            </w:pPr>
          </w:p>
        </w:tc>
      </w:tr>
      <w:tr w:rsidR="00390C37" w14:paraId="03107ED7" w14:textId="77777777" w:rsidTr="00281329">
        <w:tc>
          <w:tcPr>
            <w:tcW w:w="3261" w:type="dxa"/>
            <w:shd w:val="clear" w:color="auto" w:fill="F2F2F2" w:themeFill="background1" w:themeFillShade="F2"/>
          </w:tcPr>
          <w:p w14:paraId="597C67E8" w14:textId="77777777" w:rsidR="00390C37" w:rsidRPr="00285305" w:rsidRDefault="00390C37" w:rsidP="00281329">
            <w:pPr>
              <w:pStyle w:val="Tablecontent"/>
            </w:pPr>
            <w:r w:rsidRPr="006C0525">
              <w:t>Packets/sec</w:t>
            </w:r>
          </w:p>
        </w:tc>
        <w:tc>
          <w:tcPr>
            <w:tcW w:w="7195" w:type="dxa"/>
            <w:vMerge/>
          </w:tcPr>
          <w:p w14:paraId="14AB19FB" w14:textId="77777777" w:rsidR="00390C37" w:rsidRDefault="00390C37" w:rsidP="00281329">
            <w:pPr>
              <w:pStyle w:val="Tablecontent"/>
              <w:rPr>
                <w:lang w:val="en-GB"/>
              </w:rPr>
            </w:pPr>
          </w:p>
        </w:tc>
      </w:tr>
    </w:tbl>
    <w:p w14:paraId="2ADEAA9D" w14:textId="61122F3F" w:rsidR="00390C37" w:rsidRDefault="00390C37" w:rsidP="00390C37">
      <w:pPr>
        <w:pStyle w:val="Heading5"/>
      </w:pPr>
      <w:r>
        <w:t xml:space="preserve">Additional </w:t>
      </w:r>
      <w:r w:rsidR="000536C9">
        <w:t xml:space="preserve">Consumption </w:t>
      </w:r>
      <w:r>
        <w:t>Metrics</w:t>
      </w:r>
    </w:p>
    <w:p w14:paraId="3B441ED5" w14:textId="77777777" w:rsidR="00390C37" w:rsidRDefault="00390C37" w:rsidP="00390C37">
      <w:pPr>
        <w:rPr>
          <w:lang w:val="en-GB"/>
        </w:rPr>
      </w:pPr>
      <w:r>
        <w:rPr>
          <w:lang w:val="en-GB"/>
        </w:rPr>
        <w:t>Windows also provides a set of metrics that reveals more than the basic utilization</w:t>
      </w:r>
    </w:p>
    <w:p w14:paraId="3F5F9B09" w14:textId="77777777" w:rsidR="00390C37" w:rsidRPr="008F2AA3" w:rsidRDefault="00390C37" w:rsidP="00390C37">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261"/>
        <w:gridCol w:w="7195"/>
      </w:tblGrid>
      <w:tr w:rsidR="00390C37" w14:paraId="4793A7E5" w14:textId="77777777" w:rsidTr="00281329">
        <w:tc>
          <w:tcPr>
            <w:tcW w:w="3261" w:type="dxa"/>
            <w:shd w:val="clear" w:color="auto" w:fill="F2F2F2" w:themeFill="background1" w:themeFillShade="F2"/>
          </w:tcPr>
          <w:p w14:paraId="51CB70F3" w14:textId="77777777" w:rsidR="00390C37" w:rsidRPr="00642EF3" w:rsidRDefault="00390C37" w:rsidP="00281329">
            <w:pPr>
              <w:pStyle w:val="Tablecontent"/>
            </w:pPr>
            <w:r w:rsidRPr="00285305">
              <w:t>Packets Sent Unicast/sec</w:t>
            </w:r>
          </w:p>
        </w:tc>
        <w:tc>
          <w:tcPr>
            <w:tcW w:w="7195" w:type="dxa"/>
            <w:vMerge w:val="restart"/>
          </w:tcPr>
          <w:p w14:paraId="04B8FB77" w14:textId="77777777" w:rsidR="00390C37" w:rsidRDefault="00390C37" w:rsidP="00281329">
            <w:pPr>
              <w:pStyle w:val="Tablecontent"/>
              <w:rPr>
                <w:lang w:val="en-GB"/>
              </w:rPr>
            </w:pPr>
            <w:r>
              <w:rPr>
                <w:lang w:val="en-GB"/>
              </w:rPr>
              <w:t xml:space="preserve">Majority of the applications should be unicast. </w:t>
            </w:r>
          </w:p>
        </w:tc>
      </w:tr>
      <w:tr w:rsidR="00390C37" w14:paraId="51DE1F5A" w14:textId="77777777" w:rsidTr="00281329">
        <w:tc>
          <w:tcPr>
            <w:tcW w:w="3261" w:type="dxa"/>
            <w:shd w:val="clear" w:color="auto" w:fill="F2F2F2" w:themeFill="background1" w:themeFillShade="F2"/>
          </w:tcPr>
          <w:p w14:paraId="069CE7B8" w14:textId="77777777" w:rsidR="00390C37" w:rsidRPr="00642EF3" w:rsidRDefault="00390C37" w:rsidP="00281329">
            <w:pPr>
              <w:pStyle w:val="Tablecontent"/>
            </w:pPr>
            <w:r w:rsidRPr="00285305">
              <w:t>Packets Received Unicast/sec</w:t>
            </w:r>
          </w:p>
        </w:tc>
        <w:tc>
          <w:tcPr>
            <w:tcW w:w="7195" w:type="dxa"/>
            <w:vMerge/>
          </w:tcPr>
          <w:p w14:paraId="4C72240F" w14:textId="77777777" w:rsidR="00390C37" w:rsidRDefault="00390C37" w:rsidP="00281329">
            <w:pPr>
              <w:pStyle w:val="Tablecontent"/>
              <w:rPr>
                <w:lang w:val="en-GB"/>
              </w:rPr>
            </w:pPr>
          </w:p>
        </w:tc>
      </w:tr>
      <w:tr w:rsidR="00390C37" w14:paraId="4853937A" w14:textId="77777777" w:rsidTr="00281329">
        <w:tc>
          <w:tcPr>
            <w:tcW w:w="3261" w:type="dxa"/>
            <w:shd w:val="clear" w:color="auto" w:fill="F2F2F2" w:themeFill="background1" w:themeFillShade="F2"/>
          </w:tcPr>
          <w:p w14:paraId="5165999C" w14:textId="77777777" w:rsidR="00390C37" w:rsidRPr="00285305" w:rsidRDefault="00390C37" w:rsidP="00281329">
            <w:pPr>
              <w:pStyle w:val="Tablecontent"/>
            </w:pPr>
            <w:r w:rsidRPr="00285305">
              <w:t>Packets Sent Non-unicast/sec</w:t>
            </w:r>
          </w:p>
        </w:tc>
        <w:tc>
          <w:tcPr>
            <w:tcW w:w="7195" w:type="dxa"/>
            <w:vMerge w:val="restart"/>
          </w:tcPr>
          <w:p w14:paraId="41C2CE50" w14:textId="77777777" w:rsidR="00390C37" w:rsidRDefault="00390C37" w:rsidP="00281329">
            <w:pPr>
              <w:pStyle w:val="Tablecontent"/>
              <w:rPr>
                <w:lang w:val="en-GB"/>
              </w:rPr>
            </w:pPr>
            <w:r>
              <w:rPr>
                <w:lang w:val="en-GB"/>
              </w:rPr>
              <w:t>Non unicast covers broadcast and multicast. I was hoping Windows would split the counter into 2 as they have different purpose.</w:t>
            </w:r>
          </w:p>
          <w:p w14:paraId="6971A854" w14:textId="77777777" w:rsidR="00390C37" w:rsidRDefault="00390C37" w:rsidP="00281329">
            <w:pPr>
              <w:pStyle w:val="Tablecontent"/>
              <w:rPr>
                <w:lang w:val="en-GB"/>
              </w:rPr>
            </w:pPr>
            <w:r>
              <w:rPr>
                <w:lang w:val="en-GB"/>
              </w:rPr>
              <w:t>It’s worth checking those applications doing excessive non-unicast packets.</w:t>
            </w:r>
          </w:p>
        </w:tc>
      </w:tr>
      <w:tr w:rsidR="00390C37" w14:paraId="16C016C8" w14:textId="77777777" w:rsidTr="00281329">
        <w:tc>
          <w:tcPr>
            <w:tcW w:w="3261" w:type="dxa"/>
            <w:shd w:val="clear" w:color="auto" w:fill="F2F2F2" w:themeFill="background1" w:themeFillShade="F2"/>
          </w:tcPr>
          <w:p w14:paraId="494D9DEA" w14:textId="77777777" w:rsidR="00390C37" w:rsidRPr="00642EF3" w:rsidRDefault="00390C37" w:rsidP="00281329">
            <w:pPr>
              <w:pStyle w:val="Tablecontent"/>
            </w:pPr>
            <w:r w:rsidRPr="00285305">
              <w:t>Packets Received Non-unicast/sec</w:t>
            </w:r>
          </w:p>
        </w:tc>
        <w:tc>
          <w:tcPr>
            <w:tcW w:w="7195" w:type="dxa"/>
            <w:vMerge/>
          </w:tcPr>
          <w:p w14:paraId="41AFF7BE" w14:textId="77777777" w:rsidR="00390C37" w:rsidRDefault="00390C37" w:rsidP="00281329">
            <w:pPr>
              <w:pStyle w:val="Tablecontent"/>
              <w:rPr>
                <w:lang w:val="en-GB"/>
              </w:rPr>
            </w:pPr>
          </w:p>
        </w:tc>
      </w:tr>
      <w:tr w:rsidR="00390C37" w14:paraId="2462710C" w14:textId="77777777" w:rsidTr="00281329">
        <w:tc>
          <w:tcPr>
            <w:tcW w:w="3261" w:type="dxa"/>
            <w:shd w:val="clear" w:color="auto" w:fill="F2F2F2" w:themeFill="background1" w:themeFillShade="F2"/>
          </w:tcPr>
          <w:p w14:paraId="6236B991" w14:textId="77777777" w:rsidR="00390C37" w:rsidRPr="00642EF3" w:rsidRDefault="00390C37" w:rsidP="00281329">
            <w:pPr>
              <w:pStyle w:val="Tablecontent"/>
            </w:pPr>
            <w:r w:rsidRPr="006C0525">
              <w:t>Paging File</w:t>
            </w:r>
          </w:p>
        </w:tc>
        <w:tc>
          <w:tcPr>
            <w:tcW w:w="7195" w:type="dxa"/>
          </w:tcPr>
          <w:p w14:paraId="6879D161" w14:textId="77777777" w:rsidR="00390C37" w:rsidRDefault="00390C37" w:rsidP="00281329">
            <w:pPr>
              <w:pStyle w:val="Tablecontent"/>
              <w:rPr>
                <w:lang w:val="en-GB"/>
              </w:rPr>
            </w:pPr>
          </w:p>
        </w:tc>
      </w:tr>
      <w:tr w:rsidR="00390C37" w14:paraId="764E4548" w14:textId="77777777" w:rsidTr="00281329">
        <w:tc>
          <w:tcPr>
            <w:tcW w:w="3261" w:type="dxa"/>
            <w:shd w:val="clear" w:color="auto" w:fill="F2F2F2" w:themeFill="background1" w:themeFillShade="F2"/>
          </w:tcPr>
          <w:p w14:paraId="6F97A808" w14:textId="77777777" w:rsidR="00390C37" w:rsidRPr="006C0525" w:rsidRDefault="00390C37" w:rsidP="00281329">
            <w:pPr>
              <w:pStyle w:val="Tablecontent"/>
            </w:pPr>
            <w:r w:rsidRPr="00642EF3">
              <w:t>Offloaded Connections</w:t>
            </w:r>
          </w:p>
        </w:tc>
        <w:tc>
          <w:tcPr>
            <w:tcW w:w="7195" w:type="dxa"/>
          </w:tcPr>
          <w:p w14:paraId="28163078" w14:textId="77777777" w:rsidR="00390C37" w:rsidRDefault="00390C37" w:rsidP="00281329">
            <w:pPr>
              <w:pStyle w:val="Tablecontent"/>
              <w:rPr>
                <w:lang w:val="en-GB"/>
              </w:rPr>
            </w:pPr>
            <w:r>
              <w:rPr>
                <w:lang w:val="en-GB"/>
              </w:rPr>
              <w:t>The number of TCP connections offloaded to the TCP Offload Engine. Compare this value to the expected value from your NIC vendor.</w:t>
            </w:r>
          </w:p>
        </w:tc>
      </w:tr>
      <w:tr w:rsidR="00390C37" w14:paraId="7448F894" w14:textId="77777777" w:rsidTr="00281329">
        <w:tc>
          <w:tcPr>
            <w:tcW w:w="3261" w:type="dxa"/>
            <w:shd w:val="clear" w:color="auto" w:fill="F2F2F2" w:themeFill="background1" w:themeFillShade="F2"/>
          </w:tcPr>
          <w:p w14:paraId="33C4C541" w14:textId="77777777" w:rsidR="00390C37" w:rsidRPr="00642EF3" w:rsidRDefault="00390C37" w:rsidP="00281329">
            <w:pPr>
              <w:pStyle w:val="Tablecontent"/>
            </w:pPr>
            <w:r w:rsidRPr="000E0B0D">
              <w:rPr>
                <w:lang w:val="en-GB"/>
              </w:rPr>
              <w:lastRenderedPageBreak/>
              <w:t>TCP Active RSC Connections</w:t>
            </w:r>
          </w:p>
        </w:tc>
        <w:tc>
          <w:tcPr>
            <w:tcW w:w="7195" w:type="dxa"/>
            <w:vMerge w:val="restart"/>
          </w:tcPr>
          <w:p w14:paraId="1ED0303F" w14:textId="77777777" w:rsidR="00390C37" w:rsidRDefault="00390C37" w:rsidP="00281329">
            <w:pPr>
              <w:pStyle w:val="Tablecontent"/>
              <w:rPr>
                <w:lang w:val="en-GB"/>
              </w:rPr>
            </w:pPr>
            <w:r>
              <w:rPr>
                <w:lang w:val="en-GB"/>
              </w:rPr>
              <w:t xml:space="preserve">A set of metrics on </w:t>
            </w:r>
            <w:r w:rsidRPr="002339CC">
              <w:rPr>
                <w:lang w:val="en-GB"/>
              </w:rPr>
              <w:t>Receive Segment Coalescing</w:t>
            </w:r>
            <w:r>
              <w:rPr>
                <w:lang w:val="en-GB"/>
              </w:rPr>
              <w:t>. RSC is basically a technique to combine network processing in one go to reduce overhead.</w:t>
            </w:r>
          </w:p>
          <w:p w14:paraId="33D7AE5D" w14:textId="77777777" w:rsidR="00390C37" w:rsidRDefault="00390C37" w:rsidP="00281329">
            <w:pPr>
              <w:pStyle w:val="Tablecontent"/>
              <w:rPr>
                <w:lang w:val="en-GB"/>
              </w:rPr>
            </w:pPr>
            <w:r>
              <w:rPr>
                <w:lang w:val="en-GB"/>
              </w:rPr>
              <w:t xml:space="preserve">There is no equivalent at VM layer. More about RSC at </w:t>
            </w:r>
            <w:hyperlink r:id="rId436" w:history="1">
              <w:r w:rsidRPr="0001110F">
                <w:rPr>
                  <w:rStyle w:val="Hyperlink"/>
                  <w:lang w:val="en-GB"/>
                </w:rPr>
                <w:t>this</w:t>
              </w:r>
            </w:hyperlink>
            <w:r>
              <w:rPr>
                <w:lang w:val="en-GB"/>
              </w:rPr>
              <w:t xml:space="preserve"> link from Microsoft and in the Performance Monitor metric description.</w:t>
            </w:r>
          </w:p>
        </w:tc>
      </w:tr>
      <w:tr w:rsidR="00390C37" w14:paraId="1E29C6AB" w14:textId="77777777" w:rsidTr="00281329">
        <w:tc>
          <w:tcPr>
            <w:tcW w:w="3261" w:type="dxa"/>
            <w:shd w:val="clear" w:color="auto" w:fill="F2F2F2" w:themeFill="background1" w:themeFillShade="F2"/>
          </w:tcPr>
          <w:p w14:paraId="2E753AF4" w14:textId="77777777" w:rsidR="00390C37" w:rsidRPr="000E0B0D" w:rsidRDefault="00390C37" w:rsidP="00281329">
            <w:pPr>
              <w:pStyle w:val="Tablecontent"/>
              <w:rPr>
                <w:lang w:val="en-GB"/>
              </w:rPr>
            </w:pPr>
            <w:r w:rsidRPr="000E0B0D">
              <w:rPr>
                <w:lang w:val="en-GB"/>
              </w:rPr>
              <w:t>TCP RSC Average Packet Size</w:t>
            </w:r>
          </w:p>
        </w:tc>
        <w:tc>
          <w:tcPr>
            <w:tcW w:w="7195" w:type="dxa"/>
            <w:vMerge/>
          </w:tcPr>
          <w:p w14:paraId="62637FC6" w14:textId="77777777" w:rsidR="00390C37" w:rsidRPr="002339CC" w:rsidRDefault="00390C37" w:rsidP="00281329">
            <w:pPr>
              <w:pStyle w:val="Tablecontent"/>
              <w:rPr>
                <w:lang w:val="en-GB"/>
              </w:rPr>
            </w:pPr>
          </w:p>
        </w:tc>
      </w:tr>
      <w:tr w:rsidR="00390C37" w14:paraId="73277059" w14:textId="77777777" w:rsidTr="00281329">
        <w:tc>
          <w:tcPr>
            <w:tcW w:w="3261" w:type="dxa"/>
            <w:shd w:val="clear" w:color="auto" w:fill="F2F2F2" w:themeFill="background1" w:themeFillShade="F2"/>
          </w:tcPr>
          <w:p w14:paraId="43B74BA3" w14:textId="77777777" w:rsidR="00390C37" w:rsidRPr="000E0B0D" w:rsidRDefault="00390C37" w:rsidP="00281329">
            <w:pPr>
              <w:pStyle w:val="Tablecontent"/>
              <w:rPr>
                <w:lang w:val="en-GB"/>
              </w:rPr>
            </w:pPr>
            <w:r w:rsidRPr="000E0B0D">
              <w:rPr>
                <w:lang w:val="en-GB"/>
              </w:rPr>
              <w:t>TCP RSC Coalesced Packets/sec</w:t>
            </w:r>
          </w:p>
        </w:tc>
        <w:tc>
          <w:tcPr>
            <w:tcW w:w="7195" w:type="dxa"/>
            <w:vMerge/>
          </w:tcPr>
          <w:p w14:paraId="69DD8AEC" w14:textId="77777777" w:rsidR="00390C37" w:rsidRPr="002339CC" w:rsidRDefault="00390C37" w:rsidP="00281329">
            <w:pPr>
              <w:pStyle w:val="Tablecontent"/>
              <w:rPr>
                <w:lang w:val="en-GB"/>
              </w:rPr>
            </w:pPr>
          </w:p>
        </w:tc>
      </w:tr>
      <w:tr w:rsidR="00390C37" w14:paraId="76BAD0DA" w14:textId="77777777" w:rsidTr="00281329">
        <w:tc>
          <w:tcPr>
            <w:tcW w:w="3261" w:type="dxa"/>
            <w:shd w:val="clear" w:color="auto" w:fill="F2F2F2" w:themeFill="background1" w:themeFillShade="F2"/>
          </w:tcPr>
          <w:p w14:paraId="4B0E06C2" w14:textId="77777777" w:rsidR="00390C37" w:rsidRPr="000E0B0D" w:rsidRDefault="00390C37" w:rsidP="00281329">
            <w:pPr>
              <w:pStyle w:val="Tablecontent"/>
              <w:rPr>
                <w:lang w:val="en-GB"/>
              </w:rPr>
            </w:pPr>
            <w:r w:rsidRPr="000E0B0D">
              <w:rPr>
                <w:lang w:val="en-GB"/>
              </w:rPr>
              <w:t>TCP RSC Exceptions/sec</w:t>
            </w:r>
          </w:p>
        </w:tc>
        <w:tc>
          <w:tcPr>
            <w:tcW w:w="7195" w:type="dxa"/>
            <w:vMerge/>
          </w:tcPr>
          <w:p w14:paraId="74262733" w14:textId="77777777" w:rsidR="00390C37" w:rsidRPr="002339CC" w:rsidRDefault="00390C37" w:rsidP="00281329">
            <w:pPr>
              <w:pStyle w:val="Tablecontent"/>
              <w:rPr>
                <w:lang w:val="en-GB"/>
              </w:rPr>
            </w:pPr>
          </w:p>
        </w:tc>
      </w:tr>
    </w:tbl>
    <w:p w14:paraId="77EB28D0" w14:textId="77777777" w:rsidR="00390C37" w:rsidRDefault="00390C37" w:rsidP="00390C37">
      <w:pPr>
        <w:pStyle w:val="BeforeTable"/>
        <w:rPr>
          <w:lang w:val="en-GB"/>
        </w:rPr>
      </w:pPr>
    </w:p>
    <w:p w14:paraId="1389A9E1" w14:textId="77777777" w:rsidR="00390C37" w:rsidRPr="0044702F" w:rsidRDefault="00390C37" w:rsidP="00390C37">
      <w:pPr>
        <w:rPr>
          <w:lang w:val="en-GB"/>
        </w:rPr>
      </w:pPr>
      <w:r w:rsidRPr="0044702F">
        <w:rPr>
          <w:lang w:val="en-GB"/>
        </w:rPr>
        <w:t xml:space="preserve">The following screenshot shows Windows </w:t>
      </w:r>
      <w:r>
        <w:rPr>
          <w:lang w:val="en-GB"/>
        </w:rPr>
        <w:t>10</w:t>
      </w:r>
      <w:r w:rsidRPr="0044702F">
        <w:rPr>
          <w:lang w:val="en-GB"/>
        </w:rPr>
        <w:t xml:space="preserve"> Resource Monitor. You will notice quickly that a lot of this information is not available at </w:t>
      </w:r>
      <w:r>
        <w:rPr>
          <w:lang w:val="en-GB"/>
        </w:rPr>
        <w:t xml:space="preserve">the hypervisor </w:t>
      </w:r>
      <w:r w:rsidRPr="0044702F">
        <w:rPr>
          <w:lang w:val="en-GB"/>
        </w:rPr>
        <w:t>layer.</w:t>
      </w:r>
      <w:r>
        <w:rPr>
          <w:lang w:val="en-GB"/>
        </w:rPr>
        <w:t xml:space="preserve"> The VM does not report process level information. Looking at the columns in the table, what critical metrics are missing at the VM layer?</w:t>
      </w:r>
    </w:p>
    <w:p w14:paraId="2346C906" w14:textId="77777777" w:rsidR="00390C37" w:rsidRPr="0044702F" w:rsidRDefault="00390C37" w:rsidP="00390C37">
      <w:pPr>
        <w:rPr>
          <w:lang w:val="en-GB"/>
        </w:rPr>
      </w:pPr>
      <w:r>
        <w:rPr>
          <w:noProof/>
        </w:rPr>
        <w:drawing>
          <wp:inline distT="0" distB="0" distL="0" distR="0" wp14:anchorId="03014EFF" wp14:editId="644039AB">
            <wp:extent cx="6645910" cy="4682492"/>
            <wp:effectExtent l="0" t="0" r="2540" b="3810"/>
            <wp:docPr id="606394290" name="Picture 606394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90"/>
                    <pic:cNvPicPr/>
                  </pic:nvPicPr>
                  <pic:blipFill>
                    <a:blip r:embed="rId437" cstate="print">
                      <a:extLst>
                        <a:ext uri="{28A0092B-C50C-407E-A947-70E740481C1C}">
                          <a14:useLocalDpi xmlns:a14="http://schemas.microsoft.com/office/drawing/2010/main" val="0"/>
                        </a:ext>
                      </a:extLst>
                    </a:blip>
                    <a:stretch>
                      <a:fillRect/>
                    </a:stretch>
                  </pic:blipFill>
                  <pic:spPr>
                    <a:xfrm>
                      <a:off x="0" y="0"/>
                      <a:ext cx="6645910" cy="4682492"/>
                    </a:xfrm>
                    <a:prstGeom prst="rect">
                      <a:avLst/>
                    </a:prstGeom>
                  </pic:spPr>
                </pic:pic>
              </a:graphicData>
            </a:graphic>
          </wp:inline>
        </w:drawing>
      </w:r>
    </w:p>
    <w:p w14:paraId="6D9AAC11" w14:textId="77777777" w:rsidR="00390C37" w:rsidRDefault="00390C37" w:rsidP="00390C37">
      <w:r>
        <w:t>Windows reports the packet loss (%) and latency (ms) metrics per TCP connections. This is crucial in troubleshooting at application level. Unfortunately, Windows does not report the overall latency and overall packet loss.</w:t>
      </w:r>
    </w:p>
    <w:p w14:paraId="61C7ED8D" w14:textId="77777777" w:rsidR="00390C37" w:rsidRDefault="00390C37" w:rsidP="00390C37">
      <w:r>
        <w:t>Take note that Windows mixes bit and byte, which it should not. The chart is showing in bit, while the table is showing in byte.</w:t>
      </w:r>
    </w:p>
    <w:p w14:paraId="4DF13148" w14:textId="77777777" w:rsidR="00390C37" w:rsidRDefault="00390C37" w:rsidP="00390C37">
      <w:pPr>
        <w:rPr>
          <w:color w:val="FF0000"/>
        </w:rPr>
      </w:pPr>
      <w:r w:rsidRPr="002C6EAD">
        <w:rPr>
          <w:color w:val="FF0000"/>
        </w:rPr>
        <w:t xml:space="preserve">[e1: need to document which </w:t>
      </w:r>
      <w:r>
        <w:rPr>
          <w:color w:val="FF0000"/>
        </w:rPr>
        <w:t>metrics</w:t>
      </w:r>
      <w:r w:rsidRPr="002C6EAD">
        <w:rPr>
          <w:color w:val="FF0000"/>
        </w:rPr>
        <w:t xml:space="preserve"> important and what Telegraf call them </w:t>
      </w:r>
      <w:hyperlink r:id="rId438" w:history="1">
        <w:r w:rsidRPr="00533C77">
          <w:rPr>
            <w:rStyle w:val="Hyperlink"/>
          </w:rPr>
          <w:t>https://docs.microsoft.com/en-us/windows-server/networking/technologies/network-subsystem/net-sub-performance-</w:t>
        </w:r>
        <w:r>
          <w:rPr>
            <w:rStyle w:val="Hyperlink"/>
          </w:rPr>
          <w:t>metrics</w:t>
        </w:r>
      </w:hyperlink>
    </w:p>
    <w:p w14:paraId="2BF5DBD0" w14:textId="5025005F" w:rsidR="00525768" w:rsidRDefault="00525768" w:rsidP="00525768">
      <w:pPr>
        <w:pStyle w:val="Heading4"/>
      </w:pPr>
      <w:r>
        <w:lastRenderedPageBreak/>
        <w:t>Crash Analysis</w:t>
      </w:r>
    </w:p>
    <w:p w14:paraId="11FE8BDD" w14:textId="77777777" w:rsidR="00525768" w:rsidRDefault="00525768" w:rsidP="00525768">
      <w:pPr>
        <w:rPr>
          <w:lang w:val="en-GB"/>
        </w:rPr>
      </w:pPr>
      <w:r>
        <w:rPr>
          <w:lang w:val="en-GB"/>
        </w:rPr>
        <w:t>For a software that is used by a billion people, Microsoft provides limited troubleshooting for availability problem (hang or crash). Its recommendation is also limited to uninstalling or disabling 3</w:t>
      </w:r>
      <w:r w:rsidRPr="00116DA0">
        <w:rPr>
          <w:vertAlign w:val="superscript"/>
          <w:lang w:val="en-GB"/>
        </w:rPr>
        <w:t>rd</w:t>
      </w:r>
      <w:r>
        <w:rPr>
          <w:lang w:val="en-GB"/>
        </w:rPr>
        <w:t xml:space="preserve"> party driver, 3</w:t>
      </w:r>
      <w:r w:rsidRPr="00BE7F3B">
        <w:rPr>
          <w:vertAlign w:val="superscript"/>
          <w:lang w:val="en-GB"/>
        </w:rPr>
        <w:t>rd</w:t>
      </w:r>
      <w:r>
        <w:rPr>
          <w:lang w:val="en-GB"/>
        </w:rPr>
        <w:t xml:space="preserve"> party software and external hardware. </w:t>
      </w:r>
    </w:p>
    <w:p w14:paraId="6D4853D5" w14:textId="77777777" w:rsidR="00525768" w:rsidRDefault="00525768" w:rsidP="00525768">
      <w:pPr>
        <w:rPr>
          <w:lang w:val="en-GB"/>
        </w:rPr>
      </w:pPr>
      <w:r>
        <w:rPr>
          <w:lang w:val="en-GB"/>
        </w:rPr>
        <w:t>The primary tool from Windows is Event Viewer. It’s an old which has not been updated for a long time. It has 2 main limitations: limited information provided, and the one provided is hard to use. The following example shows that it provided no information other than unexpected shutdown. I knew that as my Windows hang and nothing I could do other than a power cycle.</w:t>
      </w:r>
    </w:p>
    <w:p w14:paraId="0AC4F537" w14:textId="77777777" w:rsidR="00525768" w:rsidRDefault="00525768" w:rsidP="00525768">
      <w:pPr>
        <w:jc w:val="center"/>
        <w:rPr>
          <w:lang w:val="en-GB"/>
        </w:rPr>
      </w:pPr>
      <w:r w:rsidRPr="00035DB8">
        <w:rPr>
          <w:noProof/>
          <w:lang w:val="en-GB"/>
        </w:rPr>
        <w:drawing>
          <wp:inline distT="0" distB="0" distL="0" distR="0" wp14:anchorId="5EFD7F5D" wp14:editId="3E0C01D4">
            <wp:extent cx="6058425" cy="3455969"/>
            <wp:effectExtent l="0" t="0" r="0" b="0"/>
            <wp:docPr id="26" name="Picture 26"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Graphical user interface, text&#10;&#10;Description automatically generated"/>
                    <pic:cNvPicPr/>
                  </pic:nvPicPr>
                  <pic:blipFill>
                    <a:blip r:embed="rId439"/>
                    <a:stretch>
                      <a:fillRect/>
                    </a:stretch>
                  </pic:blipFill>
                  <pic:spPr>
                    <a:xfrm>
                      <a:off x="0" y="0"/>
                      <a:ext cx="6058425" cy="3455969"/>
                    </a:xfrm>
                    <a:prstGeom prst="rect">
                      <a:avLst/>
                    </a:prstGeom>
                  </pic:spPr>
                </pic:pic>
              </a:graphicData>
            </a:graphic>
          </wp:inline>
        </w:drawing>
      </w:r>
    </w:p>
    <w:p w14:paraId="40FFE292" w14:textId="77777777" w:rsidR="00525768" w:rsidRDefault="00525768" w:rsidP="00525768">
      <w:pPr>
        <w:rPr>
          <w:lang w:val="en-GB"/>
        </w:rPr>
      </w:pPr>
      <w:r>
        <w:rPr>
          <w:lang w:val="en-GB"/>
        </w:rPr>
        <w:t>The link for more information does not work. However, you can manually search for the event ID. In some cases, the event ID documentation does not reveal much beyond 3</w:t>
      </w:r>
      <w:r w:rsidRPr="008E0453">
        <w:rPr>
          <w:vertAlign w:val="superscript"/>
          <w:lang w:val="en-GB"/>
        </w:rPr>
        <w:t>rd</w:t>
      </w:r>
      <w:r>
        <w:rPr>
          <w:lang w:val="en-GB"/>
        </w:rPr>
        <w:t xml:space="preserve"> party software and hardware. </w:t>
      </w:r>
    </w:p>
    <w:p w14:paraId="33A3DF98" w14:textId="77777777" w:rsidR="00525768" w:rsidRPr="00A34614" w:rsidRDefault="00525768" w:rsidP="00525768">
      <w:pPr>
        <w:rPr>
          <w:lang w:val="en-GB"/>
        </w:rPr>
      </w:pPr>
      <w:r>
        <w:rPr>
          <w:lang w:val="en-GB"/>
        </w:rPr>
        <w:t xml:space="preserve">There are alternatives, which you can find </w:t>
      </w:r>
      <w:hyperlink r:id="rId440" w:history="1">
        <w:r w:rsidRPr="00ED2DAF">
          <w:rPr>
            <w:rStyle w:val="Hyperlink"/>
            <w:lang w:val="en-GB"/>
          </w:rPr>
          <w:t>here</w:t>
        </w:r>
      </w:hyperlink>
      <w:r>
        <w:rPr>
          <w:lang w:val="en-GB"/>
        </w:rPr>
        <w:t>. Let me know if you have more useful tools.</w:t>
      </w:r>
    </w:p>
    <w:p w14:paraId="30C59AEB" w14:textId="77777777" w:rsidR="00525768" w:rsidRDefault="00525768" w:rsidP="00525768">
      <w:pPr>
        <w:pStyle w:val="Heading5"/>
      </w:pPr>
      <w:r>
        <w:t>NirSoft</w:t>
      </w:r>
    </w:p>
    <w:p w14:paraId="27D4F4E7" w14:textId="77777777" w:rsidR="00525768" w:rsidRDefault="00525768" w:rsidP="00525768">
      <w:pPr>
        <w:rPr>
          <w:lang w:val="en-GB"/>
        </w:rPr>
      </w:pPr>
      <w:r>
        <w:rPr>
          <w:lang w:val="en-GB"/>
        </w:rPr>
        <w:t xml:space="preserve">This one-man website has a collection of utilities. The ones I’ve tried are </w:t>
      </w:r>
      <w:hyperlink r:id="rId441" w:history="1">
        <w:r w:rsidRPr="005A4E0C">
          <w:rPr>
            <w:rStyle w:val="Hyperlink"/>
            <w:lang w:val="en-GB"/>
          </w:rPr>
          <w:t>BlueScreenView</w:t>
        </w:r>
      </w:hyperlink>
      <w:r>
        <w:rPr>
          <w:lang w:val="en-GB"/>
        </w:rPr>
        <w:t xml:space="preserve">, </w:t>
      </w:r>
      <w:hyperlink r:id="rId442" w:history="1">
        <w:r w:rsidRPr="001617EC">
          <w:rPr>
            <w:rStyle w:val="Hyperlink"/>
            <w:lang w:val="en-GB"/>
          </w:rPr>
          <w:t>WhatIsHang</w:t>
        </w:r>
      </w:hyperlink>
      <w:r>
        <w:rPr>
          <w:lang w:val="en-GB"/>
        </w:rPr>
        <w:t xml:space="preserve"> and </w:t>
      </w:r>
      <w:hyperlink r:id="rId443" w:history="1">
        <w:r>
          <w:rPr>
            <w:rStyle w:val="Hyperlink"/>
            <w:lang w:val="en-GB"/>
          </w:rPr>
          <w:t>Win</w:t>
        </w:r>
        <w:r w:rsidRPr="001617EC">
          <w:rPr>
            <w:rStyle w:val="Hyperlink"/>
            <w:lang w:val="en-GB"/>
          </w:rPr>
          <w:t>CrashReport</w:t>
        </w:r>
      </w:hyperlink>
      <w:r>
        <w:rPr>
          <w:lang w:val="en-GB"/>
        </w:rPr>
        <w:t xml:space="preserve">. They help in opening the file (such as the core dump file below) and parse the information. </w:t>
      </w:r>
    </w:p>
    <w:p w14:paraId="2FC3F8FE" w14:textId="77777777" w:rsidR="00525768" w:rsidRDefault="00525768" w:rsidP="00525768">
      <w:pPr>
        <w:rPr>
          <w:lang w:val="en-GB"/>
        </w:rPr>
      </w:pPr>
      <w:r>
        <w:rPr>
          <w:lang w:val="en-GB"/>
        </w:rPr>
        <w:t xml:space="preserve">BTW, your anti virus may block from launching some of his software. Nir wrote an explanation </w:t>
      </w:r>
      <w:hyperlink r:id="rId444" w:history="1">
        <w:r w:rsidRPr="00584EA7">
          <w:rPr>
            <w:rStyle w:val="Hyperlink"/>
            <w:lang w:val="en-GB"/>
          </w:rPr>
          <w:t>here</w:t>
        </w:r>
      </w:hyperlink>
      <w:r>
        <w:rPr>
          <w:lang w:val="en-GB"/>
        </w:rPr>
        <w:t xml:space="preserve"> back in in 2009 that many anti-virus softwares mistakenly thought some of the utilities as malware. Unsurprisingly, today’s security software still does it. I could not launch WinCrashReport.</w:t>
      </w:r>
    </w:p>
    <w:p w14:paraId="0C33EF29" w14:textId="77777777" w:rsidR="00525768" w:rsidRDefault="00525768" w:rsidP="00525768">
      <w:pPr>
        <w:pStyle w:val="Heading6"/>
      </w:pPr>
      <w:r>
        <w:lastRenderedPageBreak/>
        <w:t>Windows Crash Analysis</w:t>
      </w:r>
    </w:p>
    <w:p w14:paraId="3F6AA4ED" w14:textId="77777777" w:rsidR="00525768" w:rsidRPr="005A4E0C" w:rsidRDefault="00525768" w:rsidP="00525768">
      <w:pPr>
        <w:rPr>
          <w:lang w:val="en-GB"/>
        </w:rPr>
      </w:pPr>
      <w:r>
        <w:rPr>
          <w:lang w:val="en-GB"/>
        </w:rPr>
        <w:t xml:space="preserve">From the following screenshot, you can see my Windows 10 had multiple Driver Power State Failure, and the crash was caused by Win NT OS Kernel. Yes, the kernel is still named after </w:t>
      </w:r>
      <w:hyperlink r:id="rId445" w:history="1">
        <w:r w:rsidRPr="00FC658E">
          <w:rPr>
            <w:rStyle w:val="Hyperlink"/>
            <w:lang w:val="en-GB"/>
          </w:rPr>
          <w:t>Windows NT</w:t>
        </w:r>
      </w:hyperlink>
      <w:r>
        <w:rPr>
          <w:lang w:val="en-GB"/>
        </w:rPr>
        <w:t xml:space="preserve">, which was released a long time ago (July 1993). No, the NT stands for New Technology, not </w:t>
      </w:r>
      <w:hyperlink r:id="rId446" w:history="1">
        <w:r w:rsidRPr="007E2AE9">
          <w:rPr>
            <w:rStyle w:val="Hyperlink"/>
            <w:lang w:val="en-GB"/>
          </w:rPr>
          <w:t>Neanderthal</w:t>
        </w:r>
      </w:hyperlink>
      <w:r>
        <w:rPr>
          <w:lang w:val="en-GB"/>
        </w:rPr>
        <w:t xml:space="preserve"> Technology. </w:t>
      </w:r>
    </w:p>
    <w:p w14:paraId="7945F84D" w14:textId="77777777" w:rsidR="00525768" w:rsidRPr="005A4E0C" w:rsidRDefault="00525768" w:rsidP="00525768">
      <w:pPr>
        <w:jc w:val="center"/>
        <w:rPr>
          <w:lang w:val="en-GB"/>
        </w:rPr>
      </w:pPr>
      <w:r w:rsidRPr="007073AB">
        <w:rPr>
          <w:noProof/>
        </w:rPr>
        <w:drawing>
          <wp:inline distT="0" distB="0" distL="0" distR="0" wp14:anchorId="6DAF0332" wp14:editId="6E1A858E">
            <wp:extent cx="5943600" cy="1670050"/>
            <wp:effectExtent l="0" t="0" r="0" b="6350"/>
            <wp:docPr id="1293284829" name="Picture 1293284829"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10;&#10;Description automatically generated"/>
                    <pic:cNvPicPr/>
                  </pic:nvPicPr>
                  <pic:blipFill>
                    <a:blip r:embed="rId447"/>
                    <a:stretch>
                      <a:fillRect/>
                    </a:stretch>
                  </pic:blipFill>
                  <pic:spPr>
                    <a:xfrm>
                      <a:off x="0" y="0"/>
                      <a:ext cx="5943600" cy="1670050"/>
                    </a:xfrm>
                    <a:prstGeom prst="rect">
                      <a:avLst/>
                    </a:prstGeom>
                  </pic:spPr>
                </pic:pic>
              </a:graphicData>
            </a:graphic>
          </wp:inline>
        </w:drawing>
      </w:r>
    </w:p>
    <w:p w14:paraId="0C53AADF" w14:textId="77777777" w:rsidR="00525768" w:rsidRDefault="00525768" w:rsidP="00525768">
      <w:pPr>
        <w:rPr>
          <w:lang w:val="en-GB"/>
        </w:rPr>
      </w:pPr>
      <w:r>
        <w:rPr>
          <w:lang w:val="en-GB"/>
        </w:rPr>
        <w:t>You could see I had 5 crashes in 1 day. All are due to power state failure of a driver. My hardware is a Dell laptop, and I expect a driver update is not compatible with the power sleep model.</w:t>
      </w:r>
    </w:p>
    <w:p w14:paraId="00CEDB19" w14:textId="77777777" w:rsidR="00525768" w:rsidRPr="008F22A1" w:rsidRDefault="00525768" w:rsidP="00525768">
      <w:pPr>
        <w:rPr>
          <w:lang w:val="en-GB"/>
        </w:rPr>
      </w:pPr>
      <w:r>
        <w:rPr>
          <w:lang w:val="en-GB"/>
        </w:rPr>
        <w:t xml:space="preserve">For more information on the </w:t>
      </w:r>
      <w:r w:rsidRPr="00116DA0">
        <w:rPr>
          <w:color w:val="00B0F0"/>
          <w:lang w:val="en-GB"/>
        </w:rPr>
        <w:t>Bug Check String</w:t>
      </w:r>
      <w:r>
        <w:rPr>
          <w:lang w:val="en-GB"/>
        </w:rPr>
        <w:t xml:space="preserve">, refer to </w:t>
      </w:r>
      <w:hyperlink r:id="rId448" w:history="1">
        <w:r w:rsidRPr="008F22A1">
          <w:rPr>
            <w:rStyle w:val="Hyperlink"/>
            <w:lang w:val="en-GB"/>
          </w:rPr>
          <w:t>this</w:t>
        </w:r>
      </w:hyperlink>
      <w:r>
        <w:rPr>
          <w:lang w:val="en-GB"/>
        </w:rPr>
        <w:t xml:space="preserve"> Microsoft document. Note that it does not list all the error codes. For example, mine is not listed. The ones that it lists are:</w:t>
      </w:r>
    </w:p>
    <w:p w14:paraId="1AB7F665" w14:textId="77777777" w:rsidR="00525768" w:rsidRPr="00116DA0" w:rsidRDefault="00525768">
      <w:pPr>
        <w:pStyle w:val="ListParagraph"/>
        <w:numPr>
          <w:ilvl w:val="0"/>
          <w:numId w:val="69"/>
        </w:numPr>
        <w:rPr>
          <w:lang w:val="en-GB"/>
        </w:rPr>
      </w:pPr>
      <w:r w:rsidRPr="00116DA0">
        <w:rPr>
          <w:lang w:val="en-GB"/>
        </w:rPr>
        <w:t>CRITICAL_PROCESS_DIED</w:t>
      </w:r>
    </w:p>
    <w:p w14:paraId="1E744FE5" w14:textId="77777777" w:rsidR="00525768" w:rsidRPr="00116DA0" w:rsidRDefault="00525768">
      <w:pPr>
        <w:pStyle w:val="ListParagraph"/>
        <w:numPr>
          <w:ilvl w:val="0"/>
          <w:numId w:val="69"/>
        </w:numPr>
        <w:rPr>
          <w:lang w:val="en-GB"/>
        </w:rPr>
      </w:pPr>
      <w:r w:rsidRPr="00116DA0">
        <w:rPr>
          <w:lang w:val="en-GB"/>
        </w:rPr>
        <w:t>SYSTEM_THREAD_EXCEPTION_NOT_HANDLED</w:t>
      </w:r>
    </w:p>
    <w:p w14:paraId="6F29C2F1" w14:textId="77777777" w:rsidR="00525768" w:rsidRPr="00116DA0" w:rsidRDefault="00525768">
      <w:pPr>
        <w:pStyle w:val="ListParagraph"/>
        <w:numPr>
          <w:ilvl w:val="0"/>
          <w:numId w:val="69"/>
        </w:numPr>
        <w:rPr>
          <w:lang w:val="en-GB"/>
        </w:rPr>
      </w:pPr>
      <w:r w:rsidRPr="00116DA0">
        <w:rPr>
          <w:lang w:val="en-GB"/>
        </w:rPr>
        <w:t>IRQL_NOT_LESS_OR_EQUAL</w:t>
      </w:r>
    </w:p>
    <w:p w14:paraId="30288955" w14:textId="77777777" w:rsidR="00525768" w:rsidRPr="00116DA0" w:rsidRDefault="00525768">
      <w:pPr>
        <w:pStyle w:val="ListParagraph"/>
        <w:numPr>
          <w:ilvl w:val="0"/>
          <w:numId w:val="69"/>
        </w:numPr>
        <w:rPr>
          <w:lang w:val="en-GB"/>
        </w:rPr>
      </w:pPr>
      <w:r w:rsidRPr="00116DA0">
        <w:rPr>
          <w:lang w:val="en-GB"/>
        </w:rPr>
        <w:t>VIDEO_TDR_TIMEOUT_DETECTED</w:t>
      </w:r>
    </w:p>
    <w:p w14:paraId="1E2941CC" w14:textId="77777777" w:rsidR="00525768" w:rsidRPr="00116DA0" w:rsidRDefault="00525768">
      <w:pPr>
        <w:pStyle w:val="ListParagraph"/>
        <w:numPr>
          <w:ilvl w:val="0"/>
          <w:numId w:val="69"/>
        </w:numPr>
        <w:rPr>
          <w:lang w:val="en-GB"/>
        </w:rPr>
      </w:pPr>
      <w:r w:rsidRPr="00116DA0">
        <w:rPr>
          <w:lang w:val="en-GB"/>
        </w:rPr>
        <w:t>PAGE_FAULT_IN_NONPAGED_AREA</w:t>
      </w:r>
    </w:p>
    <w:p w14:paraId="2FCDE043" w14:textId="77777777" w:rsidR="00525768" w:rsidRPr="00116DA0" w:rsidRDefault="00525768">
      <w:pPr>
        <w:pStyle w:val="ListParagraph"/>
        <w:numPr>
          <w:ilvl w:val="0"/>
          <w:numId w:val="69"/>
        </w:numPr>
        <w:rPr>
          <w:lang w:val="en-GB"/>
        </w:rPr>
      </w:pPr>
      <w:r w:rsidRPr="00116DA0">
        <w:rPr>
          <w:lang w:val="en-GB"/>
        </w:rPr>
        <w:t>SYSTEM_SERVICE_EXCEPTION</w:t>
      </w:r>
    </w:p>
    <w:p w14:paraId="08214A2D" w14:textId="77777777" w:rsidR="00525768" w:rsidRPr="00116DA0" w:rsidRDefault="00525768">
      <w:pPr>
        <w:pStyle w:val="ListParagraph"/>
        <w:numPr>
          <w:ilvl w:val="0"/>
          <w:numId w:val="69"/>
        </w:numPr>
        <w:rPr>
          <w:lang w:val="en-GB"/>
        </w:rPr>
      </w:pPr>
      <w:r w:rsidRPr="00116DA0">
        <w:rPr>
          <w:lang w:val="en-GB"/>
        </w:rPr>
        <w:t>DPC_WATCHDOG_VIOLATION</w:t>
      </w:r>
    </w:p>
    <w:p w14:paraId="0027600A" w14:textId="77777777" w:rsidR="00525768" w:rsidRDefault="00525768" w:rsidP="00525768">
      <w:pPr>
        <w:rPr>
          <w:lang w:val="en-GB"/>
        </w:rPr>
      </w:pPr>
      <w:r>
        <w:rPr>
          <w:lang w:val="en-GB"/>
        </w:rPr>
        <w:t xml:space="preserve">I think each Bug Check has a unique string and code. </w:t>
      </w:r>
    </w:p>
    <w:p w14:paraId="019C2240" w14:textId="77777777" w:rsidR="00525768" w:rsidRDefault="00525768" w:rsidP="00525768">
      <w:pPr>
        <w:rPr>
          <w:lang w:val="en-GB"/>
        </w:rPr>
      </w:pPr>
      <w:r>
        <w:rPr>
          <w:lang w:val="en-GB"/>
        </w:rPr>
        <w:t xml:space="preserve">Unfortunately, clicking on the dump file does not reveal much, and it gets technical fast. It does not tell which driver. The following is what I got from the above. </w:t>
      </w:r>
    </w:p>
    <w:p w14:paraId="5DDA90B8" w14:textId="77777777" w:rsidR="00525768" w:rsidRDefault="00525768" w:rsidP="00525768">
      <w:pPr>
        <w:jc w:val="center"/>
        <w:rPr>
          <w:lang w:val="en-GB"/>
        </w:rPr>
      </w:pPr>
      <w:r w:rsidRPr="007073AB">
        <w:rPr>
          <w:noProof/>
        </w:rPr>
        <w:lastRenderedPageBreak/>
        <w:drawing>
          <wp:inline distT="0" distB="0" distL="0" distR="0" wp14:anchorId="0A82841D" wp14:editId="4C12F2D3">
            <wp:extent cx="3337560" cy="4526280"/>
            <wp:effectExtent l="0" t="0" r="0" b="7620"/>
            <wp:docPr id="1085195914" name="Picture 1085195914" descr="Graphical user interface, text, application, table,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text, application, table, email&#10;&#10;Description automatically generated"/>
                    <pic:cNvPicPr/>
                  </pic:nvPicPr>
                  <pic:blipFill>
                    <a:blip r:embed="rId449"/>
                    <a:stretch>
                      <a:fillRect/>
                    </a:stretch>
                  </pic:blipFill>
                  <pic:spPr>
                    <a:xfrm>
                      <a:off x="0" y="0"/>
                      <a:ext cx="3337560" cy="4526280"/>
                    </a:xfrm>
                    <a:prstGeom prst="rect">
                      <a:avLst/>
                    </a:prstGeom>
                  </pic:spPr>
                </pic:pic>
              </a:graphicData>
            </a:graphic>
          </wp:inline>
        </w:drawing>
      </w:r>
    </w:p>
    <w:p w14:paraId="24EED626" w14:textId="77777777" w:rsidR="00525768" w:rsidRDefault="00525768" w:rsidP="00525768">
      <w:pPr>
        <w:rPr>
          <w:lang w:val="en-GB"/>
        </w:rPr>
      </w:pPr>
    </w:p>
    <w:p w14:paraId="799A2CCB" w14:textId="77777777" w:rsidR="00525768" w:rsidRDefault="00525768" w:rsidP="00525768">
      <w:pPr>
        <w:rPr>
          <w:lang w:val="en-GB"/>
        </w:rPr>
      </w:pPr>
      <w:r>
        <w:rPr>
          <w:lang w:val="en-GB"/>
        </w:rPr>
        <w:t xml:space="preserve">You need to configure Windows to create the dump file. Just the small memory dump option will do. </w:t>
      </w:r>
    </w:p>
    <w:p w14:paraId="2AB56268" w14:textId="77777777" w:rsidR="00525768" w:rsidRDefault="00525768" w:rsidP="00525768">
      <w:pPr>
        <w:jc w:val="center"/>
        <w:rPr>
          <w:lang w:val="en-GB"/>
        </w:rPr>
      </w:pPr>
      <w:r w:rsidRPr="0008348D">
        <w:rPr>
          <w:noProof/>
          <w:lang w:val="en-GB"/>
        </w:rPr>
        <w:drawing>
          <wp:inline distT="0" distB="0" distL="0" distR="0" wp14:anchorId="0DFA5B87" wp14:editId="5895F979">
            <wp:extent cx="4305521" cy="2648086"/>
            <wp:effectExtent l="0" t="0" r="0" b="0"/>
            <wp:docPr id="1085195919" name="Picture 108519591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19" name="Picture 1085195919" descr="Graphical user interface&#10;&#10;Description automatically generated with medium confidence"/>
                    <pic:cNvPicPr/>
                  </pic:nvPicPr>
                  <pic:blipFill>
                    <a:blip r:embed="rId450"/>
                    <a:stretch>
                      <a:fillRect/>
                    </a:stretch>
                  </pic:blipFill>
                  <pic:spPr>
                    <a:xfrm>
                      <a:off x="0" y="0"/>
                      <a:ext cx="4305521" cy="2648086"/>
                    </a:xfrm>
                    <a:prstGeom prst="rect">
                      <a:avLst/>
                    </a:prstGeom>
                  </pic:spPr>
                </pic:pic>
              </a:graphicData>
            </a:graphic>
          </wp:inline>
        </w:drawing>
      </w:r>
    </w:p>
    <w:p w14:paraId="0B8CF099" w14:textId="77777777" w:rsidR="00525768" w:rsidRDefault="00525768" w:rsidP="00525768">
      <w:pPr>
        <w:pStyle w:val="Heading6"/>
      </w:pPr>
      <w:r>
        <w:lastRenderedPageBreak/>
        <w:t>Application Crash Analysis</w:t>
      </w:r>
    </w:p>
    <w:p w14:paraId="38F6D5A1" w14:textId="77777777" w:rsidR="00525768" w:rsidRPr="00054A5A" w:rsidRDefault="00525768" w:rsidP="00525768">
      <w:pPr>
        <w:rPr>
          <w:lang w:val="en-GB"/>
        </w:rPr>
      </w:pPr>
      <w:r>
        <w:rPr>
          <w:lang w:val="en-GB"/>
        </w:rPr>
        <w:t xml:space="preserve">Use the WhatIsHang to check the reason why an application crash. If you have an application that is hanging, launch WhatIsHang to help. Upon launching, it automatically lists all applications that are in hang state or wait state (for example, your screen capture is waiting for you to take the screenshot). </w:t>
      </w:r>
    </w:p>
    <w:p w14:paraId="706E563B" w14:textId="77777777" w:rsidR="00525768" w:rsidRDefault="00525768" w:rsidP="00525768">
      <w:pPr>
        <w:rPr>
          <w:lang w:val="en-GB"/>
        </w:rPr>
      </w:pPr>
      <w:r w:rsidRPr="00587F3E">
        <w:rPr>
          <w:noProof/>
          <w:lang w:val="en-GB"/>
        </w:rPr>
        <w:drawing>
          <wp:inline distT="0" distB="0" distL="0" distR="0" wp14:anchorId="0C906FFA" wp14:editId="1C247535">
            <wp:extent cx="6645910" cy="1204595"/>
            <wp:effectExtent l="0" t="0" r="2540" b="0"/>
            <wp:docPr id="1085195915" name="Picture 108519591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15" name="Picture 1085195915" descr="Graphical user interface, text, application&#10;&#10;Description automatically generated"/>
                    <pic:cNvPicPr/>
                  </pic:nvPicPr>
                  <pic:blipFill>
                    <a:blip r:embed="rId451"/>
                    <a:stretch>
                      <a:fillRect/>
                    </a:stretch>
                  </pic:blipFill>
                  <pic:spPr>
                    <a:xfrm>
                      <a:off x="0" y="0"/>
                      <a:ext cx="6645910" cy="1204595"/>
                    </a:xfrm>
                    <a:prstGeom prst="rect">
                      <a:avLst/>
                    </a:prstGeom>
                  </pic:spPr>
                </pic:pic>
              </a:graphicData>
            </a:graphic>
          </wp:inline>
        </w:drawing>
      </w:r>
    </w:p>
    <w:p w14:paraId="53EEFFFB" w14:textId="77777777" w:rsidR="00525768" w:rsidRDefault="00525768" w:rsidP="00525768">
      <w:pPr>
        <w:rPr>
          <w:lang w:val="en-GB"/>
        </w:rPr>
      </w:pPr>
      <w:r>
        <w:rPr>
          <w:lang w:val="en-GB"/>
        </w:rPr>
        <w:t>Just like the case with Windows crash, the information gets technical fast. From the above list, I clicked calculator.</w:t>
      </w:r>
    </w:p>
    <w:p w14:paraId="12DF256A" w14:textId="77777777" w:rsidR="00525768" w:rsidRDefault="00525768" w:rsidP="00525768">
      <w:pPr>
        <w:rPr>
          <w:lang w:val="en-GB"/>
        </w:rPr>
      </w:pPr>
      <w:r w:rsidRPr="000155CD">
        <w:rPr>
          <w:noProof/>
          <w:lang w:val="en-GB"/>
        </w:rPr>
        <w:drawing>
          <wp:inline distT="0" distB="0" distL="0" distR="0" wp14:anchorId="3DB12C40" wp14:editId="50FB5D5A">
            <wp:extent cx="6645910" cy="2118995"/>
            <wp:effectExtent l="0" t="0" r="2540" b="0"/>
            <wp:docPr id="1085195916" name="Picture 108519591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16" name="Picture 1085195916" descr="Graphical user interface, text, application, email&#10;&#10;Description automatically generated"/>
                    <pic:cNvPicPr/>
                  </pic:nvPicPr>
                  <pic:blipFill>
                    <a:blip r:embed="rId452"/>
                    <a:stretch>
                      <a:fillRect/>
                    </a:stretch>
                  </pic:blipFill>
                  <pic:spPr>
                    <a:xfrm>
                      <a:off x="0" y="0"/>
                      <a:ext cx="6645910" cy="2118995"/>
                    </a:xfrm>
                    <a:prstGeom prst="rect">
                      <a:avLst/>
                    </a:prstGeom>
                  </pic:spPr>
                </pic:pic>
              </a:graphicData>
            </a:graphic>
          </wp:inline>
        </w:drawing>
      </w:r>
    </w:p>
    <w:p w14:paraId="15AB1632" w14:textId="77777777" w:rsidR="00525768" w:rsidRDefault="00525768" w:rsidP="00525768">
      <w:pPr>
        <w:rPr>
          <w:lang w:val="en-GB"/>
        </w:rPr>
      </w:pPr>
      <w:r>
        <w:rPr>
          <w:lang w:val="en-GB"/>
        </w:rPr>
        <w:t>If you scroll down, you get information on p</w:t>
      </w:r>
      <w:r w:rsidRPr="009C21D1">
        <w:rPr>
          <w:lang w:val="en-GB"/>
        </w:rPr>
        <w:t xml:space="preserve">rocessor </w:t>
      </w:r>
      <w:r>
        <w:rPr>
          <w:lang w:val="en-GB"/>
        </w:rPr>
        <w:t>r</w:t>
      </w:r>
      <w:r w:rsidRPr="009C21D1">
        <w:rPr>
          <w:lang w:val="en-GB"/>
        </w:rPr>
        <w:t>egister</w:t>
      </w:r>
      <w:r>
        <w:rPr>
          <w:lang w:val="en-GB"/>
        </w:rPr>
        <w:t>, m</w:t>
      </w:r>
      <w:r w:rsidRPr="009C21D1">
        <w:rPr>
          <w:lang w:val="en-GB"/>
        </w:rPr>
        <w:t xml:space="preserve">emory </w:t>
      </w:r>
      <w:r>
        <w:rPr>
          <w:lang w:val="en-GB"/>
        </w:rPr>
        <w:t>d</w:t>
      </w:r>
      <w:r w:rsidRPr="009C21D1">
        <w:rPr>
          <w:lang w:val="en-GB"/>
        </w:rPr>
        <w:t>ata</w:t>
      </w:r>
      <w:r>
        <w:rPr>
          <w:lang w:val="en-GB"/>
        </w:rPr>
        <w:t>, all t</w:t>
      </w:r>
      <w:r w:rsidRPr="009C21D1">
        <w:rPr>
          <w:lang w:val="en-GB"/>
        </w:rPr>
        <w:t>hreads</w:t>
      </w:r>
      <w:r>
        <w:rPr>
          <w:lang w:val="en-GB"/>
        </w:rPr>
        <w:t xml:space="preserve"> and modules/</w:t>
      </w:r>
    </w:p>
    <w:p w14:paraId="5F7F48F7" w14:textId="77777777" w:rsidR="00525768" w:rsidRDefault="00525768" w:rsidP="00525768">
      <w:pPr>
        <w:rPr>
          <w:lang w:val="en-GB"/>
        </w:rPr>
      </w:pPr>
      <w:r w:rsidRPr="000C49C1">
        <w:rPr>
          <w:noProof/>
          <w:lang w:val="en-GB"/>
        </w:rPr>
        <w:drawing>
          <wp:inline distT="0" distB="0" distL="0" distR="0" wp14:anchorId="5639382F" wp14:editId="6C2D51E4">
            <wp:extent cx="6645910" cy="3129280"/>
            <wp:effectExtent l="0" t="0" r="2540" b="0"/>
            <wp:docPr id="1085195917" name="Picture 108519591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17" name="Picture 1085195917" descr="Text&#10;&#10;Description automatically generated"/>
                    <pic:cNvPicPr/>
                  </pic:nvPicPr>
                  <pic:blipFill>
                    <a:blip r:embed="rId453"/>
                    <a:stretch>
                      <a:fillRect/>
                    </a:stretch>
                  </pic:blipFill>
                  <pic:spPr>
                    <a:xfrm>
                      <a:off x="0" y="0"/>
                      <a:ext cx="6645910" cy="3129280"/>
                    </a:xfrm>
                    <a:prstGeom prst="rect">
                      <a:avLst/>
                    </a:prstGeom>
                  </pic:spPr>
                </pic:pic>
              </a:graphicData>
            </a:graphic>
          </wp:inline>
        </w:drawing>
      </w:r>
    </w:p>
    <w:p w14:paraId="311F0C8A" w14:textId="77777777" w:rsidR="00525768" w:rsidRDefault="00525768" w:rsidP="00525768">
      <w:pPr>
        <w:rPr>
          <w:lang w:val="en-GB"/>
        </w:rPr>
      </w:pPr>
      <w:r>
        <w:rPr>
          <w:lang w:val="en-GB"/>
        </w:rPr>
        <w:lastRenderedPageBreak/>
        <w:t>In some “Not Responding” situation, I find that Windows denies access for the thread information without explaning it. Windows Event Viewer does not list anything. The following screenshot shows that Slack.exe is not responding. This problem is reproducible. The reason is the 2FA, which Slacks opens a web browser to complete the single sign on.</w:t>
      </w:r>
    </w:p>
    <w:p w14:paraId="0F30D7B0" w14:textId="77777777" w:rsidR="00525768" w:rsidRPr="00B142DC" w:rsidRDefault="00525768" w:rsidP="00525768">
      <w:pPr>
        <w:rPr>
          <w:lang w:val="en-GB"/>
        </w:rPr>
      </w:pPr>
      <w:r w:rsidRPr="008E0EB6">
        <w:rPr>
          <w:noProof/>
          <w:lang w:val="en-GB"/>
        </w:rPr>
        <w:drawing>
          <wp:inline distT="0" distB="0" distL="0" distR="0" wp14:anchorId="21AB8A78" wp14:editId="4CEBF423">
            <wp:extent cx="6645910" cy="2367915"/>
            <wp:effectExtent l="0" t="0" r="2540" b="0"/>
            <wp:docPr id="1293284830" name="Picture 129328483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30" name="Picture 1293284830" descr="Graphical user interface, text, application, email&#10;&#10;Description automatically generated"/>
                    <pic:cNvPicPr/>
                  </pic:nvPicPr>
                  <pic:blipFill>
                    <a:blip r:embed="rId454"/>
                    <a:stretch>
                      <a:fillRect/>
                    </a:stretch>
                  </pic:blipFill>
                  <pic:spPr>
                    <a:xfrm>
                      <a:off x="0" y="0"/>
                      <a:ext cx="6645910" cy="2367915"/>
                    </a:xfrm>
                    <a:prstGeom prst="rect">
                      <a:avLst/>
                    </a:prstGeom>
                  </pic:spPr>
                </pic:pic>
              </a:graphicData>
            </a:graphic>
          </wp:inline>
        </w:drawing>
      </w:r>
    </w:p>
    <w:p w14:paraId="5FCF2E56" w14:textId="77777777" w:rsidR="00525768" w:rsidRDefault="00525768" w:rsidP="00525768">
      <w:pPr>
        <w:pStyle w:val="Heading5"/>
      </w:pPr>
      <w:r>
        <w:t>Reliability Monitor</w:t>
      </w:r>
    </w:p>
    <w:p w14:paraId="2A318A50" w14:textId="77777777" w:rsidR="00525768" w:rsidRDefault="00525768" w:rsidP="00525768">
      <w:r>
        <w:t xml:space="preserve">More info available </w:t>
      </w:r>
      <w:hyperlink r:id="rId455" w:history="1">
        <w:r w:rsidRPr="00530558">
          <w:rPr>
            <w:rStyle w:val="Hyperlink"/>
          </w:rPr>
          <w:t>here</w:t>
        </w:r>
      </w:hyperlink>
      <w:r>
        <w:t xml:space="preserve">. </w:t>
      </w:r>
    </w:p>
    <w:p w14:paraId="4993D636" w14:textId="77777777" w:rsidR="00525768" w:rsidRDefault="00525768" w:rsidP="00525768">
      <w:r>
        <w:rPr>
          <w:noProof/>
        </w:rPr>
        <w:lastRenderedPageBreak/>
        <w:drawing>
          <wp:inline distT="0" distB="0" distL="0" distR="0" wp14:anchorId="1301B4B1" wp14:editId="437D92D6">
            <wp:extent cx="6645910" cy="4480560"/>
            <wp:effectExtent l="0" t="0" r="2540" b="0"/>
            <wp:docPr id="1293284805" name="Picture 129328480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05" name="Picture 1293284805" descr="A picture containing table&#10;&#10;Description automatically generated"/>
                    <pic:cNvPicPr/>
                  </pic:nvPicPr>
                  <pic:blipFill>
                    <a:blip r:embed="rId456"/>
                    <a:stretch>
                      <a:fillRect/>
                    </a:stretch>
                  </pic:blipFill>
                  <pic:spPr>
                    <a:xfrm>
                      <a:off x="0" y="0"/>
                      <a:ext cx="6645910" cy="4480560"/>
                    </a:xfrm>
                    <a:prstGeom prst="rect">
                      <a:avLst/>
                    </a:prstGeom>
                  </pic:spPr>
                </pic:pic>
              </a:graphicData>
            </a:graphic>
          </wp:inline>
        </w:drawing>
      </w:r>
      <w:r w:rsidRPr="00DF1D53">
        <w:t xml:space="preserve"> </w:t>
      </w:r>
    </w:p>
    <w:p w14:paraId="478DA378" w14:textId="2539297C" w:rsidR="00525768" w:rsidRDefault="00525768" w:rsidP="00525768">
      <w:r>
        <w:t xml:space="preserve">There are 5 types of errors. The one that you’re interested in is </w:t>
      </w:r>
      <w:r w:rsidRPr="00474C2E">
        <w:rPr>
          <w:color w:val="00B0F0"/>
        </w:rPr>
        <w:t>Windows failures</w:t>
      </w:r>
      <w:r>
        <w:t xml:space="preserve">. You can’t search, but you can click on each </w:t>
      </w:r>
      <w:r w:rsidR="00CF7D2C" w:rsidRPr="00CF7D2C">
        <w:rPr>
          <w:color w:val="FF0000"/>
        </w:rPr>
        <w:t>red</w:t>
      </w:r>
      <w:r>
        <w:t xml:space="preserve"> x icon. The following shows a hardware error. There is no details.</w:t>
      </w:r>
    </w:p>
    <w:p w14:paraId="1FC501DF" w14:textId="77777777" w:rsidR="00525768" w:rsidRDefault="00525768" w:rsidP="00525768">
      <w:r>
        <w:rPr>
          <w:noProof/>
        </w:rPr>
        <w:drawing>
          <wp:inline distT="0" distB="0" distL="0" distR="0" wp14:anchorId="4376FFD9" wp14:editId="4741F515">
            <wp:extent cx="6645910" cy="998220"/>
            <wp:effectExtent l="0" t="0" r="2540" b="0"/>
            <wp:docPr id="1053" name="Picture 105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 name="Picture 1053" descr="Graphical user interface, text, application&#10;&#10;Description automatically generated"/>
                    <pic:cNvPicPr/>
                  </pic:nvPicPr>
                  <pic:blipFill>
                    <a:blip r:embed="rId457"/>
                    <a:stretch>
                      <a:fillRect/>
                    </a:stretch>
                  </pic:blipFill>
                  <pic:spPr>
                    <a:xfrm>
                      <a:off x="0" y="0"/>
                      <a:ext cx="6645910" cy="998220"/>
                    </a:xfrm>
                    <a:prstGeom prst="rect">
                      <a:avLst/>
                    </a:prstGeom>
                  </pic:spPr>
                </pic:pic>
              </a:graphicData>
            </a:graphic>
          </wp:inline>
        </w:drawing>
      </w:r>
    </w:p>
    <w:p w14:paraId="63E5823B" w14:textId="77777777" w:rsidR="00525768" w:rsidRDefault="00525768" w:rsidP="00525768">
      <w:r>
        <w:t xml:space="preserve">You can select it and get more details. Unfortunately, the information is rather low level. The information provided by </w:t>
      </w:r>
      <w:hyperlink r:id="rId458" w:history="1">
        <w:r w:rsidRPr="009D7033">
          <w:rPr>
            <w:rStyle w:val="Hyperlink"/>
          </w:rPr>
          <w:t>Nir Sofer</w:t>
        </w:r>
      </w:hyperlink>
      <w:r>
        <w:t xml:space="preserve"> is richer. </w:t>
      </w:r>
    </w:p>
    <w:p w14:paraId="76C1F071" w14:textId="77777777" w:rsidR="00525768" w:rsidRDefault="00525768" w:rsidP="00525768">
      <w:r w:rsidRPr="003861C6">
        <w:rPr>
          <w:noProof/>
        </w:rPr>
        <w:lastRenderedPageBreak/>
        <w:drawing>
          <wp:inline distT="0" distB="0" distL="0" distR="0" wp14:anchorId="48640AE2" wp14:editId="41025B4A">
            <wp:extent cx="6645910" cy="3048000"/>
            <wp:effectExtent l="0" t="0" r="2540" b="0"/>
            <wp:docPr id="1052" name="Picture 105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2" name="Picture 1052" descr="Graphical user interface, text, application, email&#10;&#10;Description automatically generated"/>
                    <pic:cNvPicPr/>
                  </pic:nvPicPr>
                  <pic:blipFill>
                    <a:blip r:embed="rId459"/>
                    <a:stretch>
                      <a:fillRect/>
                    </a:stretch>
                  </pic:blipFill>
                  <pic:spPr>
                    <a:xfrm>
                      <a:off x="0" y="0"/>
                      <a:ext cx="6645910" cy="3048000"/>
                    </a:xfrm>
                    <a:prstGeom prst="rect">
                      <a:avLst/>
                    </a:prstGeom>
                  </pic:spPr>
                </pic:pic>
              </a:graphicData>
            </a:graphic>
          </wp:inline>
        </w:drawing>
      </w:r>
    </w:p>
    <w:p w14:paraId="4AA3C8FA" w14:textId="73794F61" w:rsidR="0001177A" w:rsidRDefault="0001177A" w:rsidP="0001177A">
      <w:pPr>
        <w:pStyle w:val="Heading3"/>
      </w:pPr>
      <w:r>
        <w:t>Linux</w:t>
      </w:r>
    </w:p>
    <w:p w14:paraId="70E4F772" w14:textId="77777777" w:rsidR="0001177A" w:rsidRPr="005955EB" w:rsidRDefault="0001177A" w:rsidP="0001177A">
      <w:pPr>
        <w:rPr>
          <w:rFonts w:ascii="Times New Roman" w:eastAsia="Times New Roman" w:hAnsi="Times New Roman" w:cs="Times New Roman"/>
          <w:sz w:val="24"/>
          <w:szCs w:val="24"/>
          <w:lang w:eastAsia="en-SG"/>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880"/>
        <w:gridCol w:w="4508"/>
      </w:tblGrid>
      <w:tr w:rsidR="0001177A" w:rsidRPr="00624E32" w14:paraId="7EA5373C" w14:textId="77777777" w:rsidTr="00BF05B9">
        <w:tc>
          <w:tcPr>
            <w:tcW w:w="2880" w:type="dxa"/>
          </w:tcPr>
          <w:p w14:paraId="1AF5D052" w14:textId="77777777" w:rsidR="0001177A" w:rsidRPr="00624E32" w:rsidRDefault="0001177A" w:rsidP="00624E32">
            <w:pPr>
              <w:pStyle w:val="Tablecontent"/>
            </w:pPr>
            <w:r w:rsidRPr="00624E32">
              <w:t>kernel.boot.time</w:t>
            </w:r>
          </w:p>
        </w:tc>
        <w:tc>
          <w:tcPr>
            <w:tcW w:w="4508" w:type="dxa"/>
          </w:tcPr>
          <w:p w14:paraId="63458FA9" w14:textId="77777777" w:rsidR="0001177A" w:rsidRPr="00624E32" w:rsidRDefault="0001177A" w:rsidP="00624E32">
            <w:pPr>
              <w:pStyle w:val="Tablecontent"/>
            </w:pPr>
          </w:p>
        </w:tc>
      </w:tr>
      <w:tr w:rsidR="0001177A" w:rsidRPr="00624E32" w14:paraId="2690CAE5" w14:textId="77777777" w:rsidTr="00BF05B9">
        <w:tc>
          <w:tcPr>
            <w:tcW w:w="2880" w:type="dxa"/>
          </w:tcPr>
          <w:p w14:paraId="2344E7C5" w14:textId="77777777" w:rsidR="0001177A" w:rsidRPr="00624E32" w:rsidRDefault="0001177A" w:rsidP="00624E32">
            <w:pPr>
              <w:pStyle w:val="Tablecontent"/>
            </w:pPr>
            <w:r w:rsidRPr="00624E32">
              <w:t>kernel.context.switches</w:t>
            </w:r>
          </w:p>
        </w:tc>
        <w:tc>
          <w:tcPr>
            <w:tcW w:w="4508" w:type="dxa"/>
          </w:tcPr>
          <w:p w14:paraId="257C247E" w14:textId="77777777" w:rsidR="0001177A" w:rsidRPr="00624E32" w:rsidRDefault="0001177A" w:rsidP="00624E32">
            <w:pPr>
              <w:pStyle w:val="Tablecontent"/>
            </w:pPr>
          </w:p>
        </w:tc>
      </w:tr>
      <w:tr w:rsidR="0001177A" w:rsidRPr="00624E32" w14:paraId="63D334E4" w14:textId="77777777" w:rsidTr="00BF05B9">
        <w:tc>
          <w:tcPr>
            <w:tcW w:w="2880" w:type="dxa"/>
          </w:tcPr>
          <w:p w14:paraId="1BC473DB" w14:textId="77777777" w:rsidR="0001177A" w:rsidRPr="00624E32" w:rsidRDefault="0001177A" w:rsidP="00624E32">
            <w:pPr>
              <w:pStyle w:val="Tablecontent"/>
            </w:pPr>
            <w:r w:rsidRPr="00624E32">
              <w:t>kernel.interrupts</w:t>
            </w:r>
          </w:p>
        </w:tc>
        <w:tc>
          <w:tcPr>
            <w:tcW w:w="4508" w:type="dxa"/>
          </w:tcPr>
          <w:p w14:paraId="5A9D6908" w14:textId="77777777" w:rsidR="0001177A" w:rsidRPr="00624E32" w:rsidRDefault="0001177A" w:rsidP="00624E32">
            <w:pPr>
              <w:pStyle w:val="Tablecontent"/>
            </w:pPr>
          </w:p>
        </w:tc>
      </w:tr>
      <w:tr w:rsidR="0001177A" w:rsidRPr="00624E32" w14:paraId="471C94D9" w14:textId="77777777" w:rsidTr="00BF05B9">
        <w:tc>
          <w:tcPr>
            <w:tcW w:w="2880" w:type="dxa"/>
          </w:tcPr>
          <w:p w14:paraId="38A0F8A1" w14:textId="77777777" w:rsidR="0001177A" w:rsidRPr="00624E32" w:rsidRDefault="0001177A" w:rsidP="00624E32">
            <w:pPr>
              <w:pStyle w:val="Tablecontent"/>
            </w:pPr>
            <w:r w:rsidRPr="00624E32">
              <w:t>kernel.processes.forked</w:t>
            </w:r>
          </w:p>
        </w:tc>
        <w:tc>
          <w:tcPr>
            <w:tcW w:w="4508" w:type="dxa"/>
          </w:tcPr>
          <w:p w14:paraId="126EFE40" w14:textId="77777777" w:rsidR="0001177A" w:rsidRPr="00624E32" w:rsidRDefault="0001177A" w:rsidP="00624E32">
            <w:pPr>
              <w:pStyle w:val="Tablecontent"/>
            </w:pPr>
          </w:p>
        </w:tc>
      </w:tr>
    </w:tbl>
    <w:p w14:paraId="2E871A21" w14:textId="77777777" w:rsidR="0001177A" w:rsidRPr="005955EB" w:rsidRDefault="0001177A" w:rsidP="0001177A">
      <w:pPr>
        <w:tabs>
          <w:tab w:val="left" w:pos="4621"/>
        </w:tabs>
        <w:ind w:left="113"/>
        <w:rPr>
          <w:rFonts w:ascii="Times New Roman" w:eastAsia="Times New Roman" w:hAnsi="Times New Roman" w:cs="Times New Roman"/>
          <w:sz w:val="24"/>
          <w:szCs w:val="24"/>
          <w:lang w:eastAsia="en-SG"/>
        </w:rPr>
      </w:pPr>
      <w:r w:rsidRPr="005955EB">
        <w:rPr>
          <w:rFonts w:ascii="Arial" w:eastAsia="Times New Roman" w:hAnsi="Arial" w:cs="Arial"/>
          <w:color w:val="000000"/>
          <w:lang w:eastAsia="en-SG"/>
        </w:rPr>
        <w:tab/>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880"/>
        <w:gridCol w:w="4508"/>
      </w:tblGrid>
      <w:tr w:rsidR="0001177A" w:rsidRPr="005955EB" w14:paraId="7DAF91D7" w14:textId="77777777" w:rsidTr="00BF05B9">
        <w:tc>
          <w:tcPr>
            <w:tcW w:w="2880" w:type="dxa"/>
          </w:tcPr>
          <w:p w14:paraId="100240E7" w14:textId="77777777" w:rsidR="0001177A" w:rsidRPr="005955EB" w:rsidRDefault="0001177A" w:rsidP="00BF05B9">
            <w:pPr>
              <w:pStyle w:val="Tablecontent"/>
              <w:rPr>
                <w:rFonts w:ascii="Times New Roman" w:hAnsi="Times New Roman" w:cs="Times New Roman"/>
                <w:sz w:val="24"/>
                <w:szCs w:val="24"/>
              </w:rPr>
            </w:pPr>
            <w:r w:rsidRPr="005955EB">
              <w:t>processes.blocked</w:t>
            </w:r>
          </w:p>
        </w:tc>
        <w:tc>
          <w:tcPr>
            <w:tcW w:w="4508" w:type="dxa"/>
          </w:tcPr>
          <w:p w14:paraId="41809A63"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4752794E" w14:textId="77777777" w:rsidTr="00BF05B9">
        <w:tc>
          <w:tcPr>
            <w:tcW w:w="2880" w:type="dxa"/>
          </w:tcPr>
          <w:p w14:paraId="537AE90E" w14:textId="77777777" w:rsidR="0001177A" w:rsidRPr="005955EB" w:rsidRDefault="0001177A" w:rsidP="00BF05B9">
            <w:pPr>
              <w:pStyle w:val="Tablecontent"/>
              <w:rPr>
                <w:rFonts w:ascii="Times New Roman" w:hAnsi="Times New Roman" w:cs="Times New Roman"/>
                <w:sz w:val="24"/>
                <w:szCs w:val="24"/>
              </w:rPr>
            </w:pPr>
            <w:r w:rsidRPr="005955EB">
              <w:t>processes.dead</w:t>
            </w:r>
          </w:p>
        </w:tc>
        <w:tc>
          <w:tcPr>
            <w:tcW w:w="4508" w:type="dxa"/>
          </w:tcPr>
          <w:p w14:paraId="2D4B92FB"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7BD42BD4" w14:textId="77777777" w:rsidTr="00BF05B9">
        <w:tc>
          <w:tcPr>
            <w:tcW w:w="2880" w:type="dxa"/>
          </w:tcPr>
          <w:p w14:paraId="4204822C" w14:textId="77777777" w:rsidR="0001177A" w:rsidRPr="005955EB" w:rsidRDefault="0001177A" w:rsidP="00BF05B9">
            <w:pPr>
              <w:pStyle w:val="Tablecontent"/>
              <w:rPr>
                <w:rFonts w:ascii="Times New Roman" w:hAnsi="Times New Roman" w:cs="Times New Roman"/>
                <w:sz w:val="24"/>
                <w:szCs w:val="24"/>
              </w:rPr>
            </w:pPr>
            <w:r w:rsidRPr="005955EB">
              <w:t>processes.idle</w:t>
            </w:r>
          </w:p>
        </w:tc>
        <w:tc>
          <w:tcPr>
            <w:tcW w:w="4508" w:type="dxa"/>
          </w:tcPr>
          <w:p w14:paraId="4202ADD9"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767B31EB" w14:textId="77777777" w:rsidTr="00BF05B9">
        <w:tc>
          <w:tcPr>
            <w:tcW w:w="2880" w:type="dxa"/>
          </w:tcPr>
          <w:p w14:paraId="15A26798" w14:textId="77777777" w:rsidR="0001177A" w:rsidRPr="005955EB" w:rsidRDefault="0001177A" w:rsidP="00BF05B9">
            <w:pPr>
              <w:pStyle w:val="Tablecontent"/>
              <w:rPr>
                <w:rFonts w:ascii="Times New Roman" w:hAnsi="Times New Roman" w:cs="Times New Roman"/>
                <w:sz w:val="24"/>
                <w:szCs w:val="24"/>
              </w:rPr>
            </w:pPr>
            <w:r w:rsidRPr="005955EB">
              <w:t>processes.paging</w:t>
            </w:r>
          </w:p>
        </w:tc>
        <w:tc>
          <w:tcPr>
            <w:tcW w:w="4508" w:type="dxa"/>
          </w:tcPr>
          <w:p w14:paraId="126CE433"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36587F96" w14:textId="77777777" w:rsidTr="00BF05B9">
        <w:tc>
          <w:tcPr>
            <w:tcW w:w="2880" w:type="dxa"/>
          </w:tcPr>
          <w:p w14:paraId="6F3709D1" w14:textId="77777777" w:rsidR="0001177A" w:rsidRPr="005955EB" w:rsidRDefault="0001177A" w:rsidP="00BF05B9">
            <w:pPr>
              <w:pStyle w:val="Tablecontent"/>
              <w:rPr>
                <w:rFonts w:ascii="Times New Roman" w:hAnsi="Times New Roman" w:cs="Times New Roman"/>
                <w:sz w:val="24"/>
                <w:szCs w:val="24"/>
              </w:rPr>
            </w:pPr>
            <w:r w:rsidRPr="005955EB">
              <w:t>processes.running</w:t>
            </w:r>
          </w:p>
        </w:tc>
        <w:tc>
          <w:tcPr>
            <w:tcW w:w="4508" w:type="dxa"/>
          </w:tcPr>
          <w:p w14:paraId="2D808419"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7F749830" w14:textId="77777777" w:rsidTr="00BF05B9">
        <w:tc>
          <w:tcPr>
            <w:tcW w:w="2880" w:type="dxa"/>
          </w:tcPr>
          <w:p w14:paraId="7C23626C" w14:textId="77777777" w:rsidR="0001177A" w:rsidRPr="005955EB" w:rsidRDefault="0001177A" w:rsidP="00BF05B9">
            <w:pPr>
              <w:pStyle w:val="Tablecontent"/>
              <w:rPr>
                <w:rFonts w:ascii="Times New Roman" w:hAnsi="Times New Roman" w:cs="Times New Roman"/>
                <w:sz w:val="24"/>
                <w:szCs w:val="24"/>
              </w:rPr>
            </w:pPr>
            <w:r w:rsidRPr="005955EB">
              <w:t>processes.sleeping</w:t>
            </w:r>
          </w:p>
        </w:tc>
        <w:tc>
          <w:tcPr>
            <w:tcW w:w="4508" w:type="dxa"/>
          </w:tcPr>
          <w:p w14:paraId="7483CDA1"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10BC89C4" w14:textId="77777777" w:rsidTr="00BF05B9">
        <w:tc>
          <w:tcPr>
            <w:tcW w:w="2880" w:type="dxa"/>
          </w:tcPr>
          <w:p w14:paraId="36FF6FA3" w14:textId="77777777" w:rsidR="0001177A" w:rsidRPr="005955EB" w:rsidRDefault="0001177A" w:rsidP="00BF05B9">
            <w:pPr>
              <w:pStyle w:val="Tablecontent"/>
              <w:rPr>
                <w:rFonts w:ascii="Times New Roman" w:hAnsi="Times New Roman" w:cs="Times New Roman"/>
                <w:sz w:val="24"/>
                <w:szCs w:val="24"/>
              </w:rPr>
            </w:pPr>
            <w:r w:rsidRPr="005955EB">
              <w:t>processes.stopped</w:t>
            </w:r>
          </w:p>
        </w:tc>
        <w:tc>
          <w:tcPr>
            <w:tcW w:w="4508" w:type="dxa"/>
          </w:tcPr>
          <w:p w14:paraId="006A7FFC"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732C2DDD" w14:textId="77777777" w:rsidTr="00BF05B9">
        <w:tc>
          <w:tcPr>
            <w:tcW w:w="2880" w:type="dxa"/>
          </w:tcPr>
          <w:p w14:paraId="2BFDE5EB" w14:textId="77777777" w:rsidR="0001177A" w:rsidRPr="005955EB" w:rsidRDefault="0001177A" w:rsidP="00BF05B9">
            <w:pPr>
              <w:pStyle w:val="Tablecontent"/>
              <w:rPr>
                <w:rFonts w:ascii="Times New Roman" w:hAnsi="Times New Roman" w:cs="Times New Roman"/>
                <w:sz w:val="24"/>
                <w:szCs w:val="24"/>
              </w:rPr>
            </w:pPr>
            <w:r w:rsidRPr="005955EB">
              <w:t>processes.total</w:t>
            </w:r>
          </w:p>
        </w:tc>
        <w:tc>
          <w:tcPr>
            <w:tcW w:w="4508" w:type="dxa"/>
          </w:tcPr>
          <w:p w14:paraId="466A32D0"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347E6967" w14:textId="77777777" w:rsidTr="00BF05B9">
        <w:tc>
          <w:tcPr>
            <w:tcW w:w="2880" w:type="dxa"/>
          </w:tcPr>
          <w:p w14:paraId="00E866C8" w14:textId="77777777" w:rsidR="0001177A" w:rsidRPr="005955EB" w:rsidRDefault="0001177A" w:rsidP="00BF05B9">
            <w:pPr>
              <w:pStyle w:val="Tablecontent"/>
              <w:rPr>
                <w:rFonts w:ascii="Times New Roman" w:hAnsi="Times New Roman" w:cs="Times New Roman"/>
                <w:sz w:val="24"/>
                <w:szCs w:val="24"/>
              </w:rPr>
            </w:pPr>
            <w:r w:rsidRPr="005955EB">
              <w:t>processes.total.threads</w:t>
            </w:r>
          </w:p>
        </w:tc>
        <w:tc>
          <w:tcPr>
            <w:tcW w:w="4508" w:type="dxa"/>
          </w:tcPr>
          <w:p w14:paraId="6EBBC4EB"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258FCAE8" w14:textId="77777777" w:rsidTr="00BF05B9">
        <w:tc>
          <w:tcPr>
            <w:tcW w:w="2880" w:type="dxa"/>
          </w:tcPr>
          <w:p w14:paraId="709E675C" w14:textId="77777777" w:rsidR="0001177A" w:rsidRPr="005955EB" w:rsidRDefault="0001177A" w:rsidP="00BF05B9">
            <w:pPr>
              <w:pStyle w:val="Tablecontent"/>
              <w:rPr>
                <w:rFonts w:ascii="Times New Roman" w:hAnsi="Times New Roman" w:cs="Times New Roman"/>
                <w:sz w:val="24"/>
                <w:szCs w:val="24"/>
              </w:rPr>
            </w:pPr>
            <w:r w:rsidRPr="005955EB">
              <w:lastRenderedPageBreak/>
              <w:t>processes.unknown</w:t>
            </w:r>
          </w:p>
        </w:tc>
        <w:tc>
          <w:tcPr>
            <w:tcW w:w="4508" w:type="dxa"/>
          </w:tcPr>
          <w:p w14:paraId="07F0378D"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2DB5151F" w14:textId="77777777" w:rsidTr="00BF05B9">
        <w:tc>
          <w:tcPr>
            <w:tcW w:w="2880" w:type="dxa"/>
          </w:tcPr>
          <w:p w14:paraId="1867DFFB" w14:textId="77777777" w:rsidR="0001177A" w:rsidRPr="005955EB" w:rsidRDefault="0001177A" w:rsidP="00BF05B9">
            <w:pPr>
              <w:pStyle w:val="Tablecontent"/>
              <w:rPr>
                <w:rFonts w:ascii="Times New Roman" w:hAnsi="Times New Roman" w:cs="Times New Roman"/>
                <w:sz w:val="24"/>
                <w:szCs w:val="24"/>
              </w:rPr>
            </w:pPr>
            <w:r w:rsidRPr="005955EB">
              <w:t>processes.zombies</w:t>
            </w:r>
          </w:p>
        </w:tc>
        <w:tc>
          <w:tcPr>
            <w:tcW w:w="4508" w:type="dxa"/>
          </w:tcPr>
          <w:p w14:paraId="64084E6A" w14:textId="77777777" w:rsidR="0001177A" w:rsidRPr="005955EB" w:rsidRDefault="0001177A" w:rsidP="00BF05B9">
            <w:pPr>
              <w:pStyle w:val="Tablecontent"/>
              <w:rPr>
                <w:rFonts w:ascii="Times New Roman" w:hAnsi="Times New Roman" w:cs="Times New Roman"/>
                <w:sz w:val="24"/>
                <w:szCs w:val="24"/>
              </w:rPr>
            </w:pPr>
          </w:p>
        </w:tc>
      </w:tr>
    </w:tbl>
    <w:p w14:paraId="16F80D39" w14:textId="77777777" w:rsidR="0001177A" w:rsidRPr="005955EB" w:rsidRDefault="0001177A" w:rsidP="0001177A">
      <w:pPr>
        <w:tabs>
          <w:tab w:val="left" w:pos="4621"/>
        </w:tabs>
        <w:ind w:left="113"/>
        <w:rPr>
          <w:rFonts w:ascii="Times New Roman" w:eastAsia="Times New Roman" w:hAnsi="Times New Roman" w:cs="Times New Roman"/>
          <w:sz w:val="24"/>
          <w:szCs w:val="24"/>
          <w:lang w:eastAsia="en-SG"/>
        </w:rPr>
      </w:pPr>
      <w:r w:rsidRPr="005955EB">
        <w:rPr>
          <w:rFonts w:ascii="Times New Roman" w:eastAsia="Times New Roman" w:hAnsi="Times New Roman" w:cs="Times New Roman"/>
          <w:sz w:val="24"/>
          <w:szCs w:val="24"/>
          <w:lang w:eastAsia="en-SG"/>
        </w:rPr>
        <w:tab/>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880"/>
        <w:gridCol w:w="4508"/>
      </w:tblGrid>
      <w:tr w:rsidR="0001177A" w:rsidRPr="005955EB" w14:paraId="10693904" w14:textId="77777777" w:rsidTr="00BF05B9">
        <w:tc>
          <w:tcPr>
            <w:tcW w:w="2880" w:type="dxa"/>
          </w:tcPr>
          <w:p w14:paraId="451FF7B5" w14:textId="77777777" w:rsidR="0001177A" w:rsidRPr="005955EB" w:rsidRDefault="0001177A" w:rsidP="00BF05B9">
            <w:pPr>
              <w:pStyle w:val="Tablecontent"/>
              <w:rPr>
                <w:rFonts w:ascii="Times New Roman" w:hAnsi="Times New Roman" w:cs="Times New Roman"/>
                <w:sz w:val="24"/>
                <w:szCs w:val="24"/>
              </w:rPr>
            </w:pPr>
            <w:r w:rsidRPr="005955EB">
              <w:t>system.load1</w:t>
            </w:r>
          </w:p>
        </w:tc>
        <w:tc>
          <w:tcPr>
            <w:tcW w:w="4508" w:type="dxa"/>
          </w:tcPr>
          <w:p w14:paraId="766EB6D6" w14:textId="77777777" w:rsidR="0001177A" w:rsidRPr="00BF05B9" w:rsidRDefault="0001177A" w:rsidP="00BF05B9">
            <w:pPr>
              <w:pStyle w:val="Tablecontent"/>
            </w:pPr>
          </w:p>
        </w:tc>
      </w:tr>
      <w:tr w:rsidR="0001177A" w:rsidRPr="005955EB" w14:paraId="413823DD" w14:textId="77777777" w:rsidTr="00BF05B9">
        <w:tc>
          <w:tcPr>
            <w:tcW w:w="2880" w:type="dxa"/>
          </w:tcPr>
          <w:p w14:paraId="2FBCF8F0" w14:textId="77777777" w:rsidR="0001177A" w:rsidRPr="005955EB" w:rsidRDefault="0001177A" w:rsidP="00BF05B9">
            <w:pPr>
              <w:pStyle w:val="Tablecontent"/>
              <w:rPr>
                <w:rFonts w:ascii="Times New Roman" w:hAnsi="Times New Roman" w:cs="Times New Roman"/>
                <w:sz w:val="24"/>
                <w:szCs w:val="24"/>
              </w:rPr>
            </w:pPr>
            <w:r w:rsidRPr="005955EB">
              <w:t>system.load15</w:t>
            </w:r>
          </w:p>
        </w:tc>
        <w:tc>
          <w:tcPr>
            <w:tcW w:w="4508" w:type="dxa"/>
          </w:tcPr>
          <w:p w14:paraId="74D9A54F" w14:textId="77777777" w:rsidR="0001177A" w:rsidRDefault="00BF05B9" w:rsidP="00BF05B9">
            <w:pPr>
              <w:pStyle w:val="Tablecontent"/>
            </w:pPr>
            <w:r w:rsidRPr="00BF05B9">
              <w:t>15 minute</w:t>
            </w:r>
            <w:r>
              <w:t xml:space="preserve"> average. </w:t>
            </w:r>
          </w:p>
          <w:p w14:paraId="4AAD74B4" w14:textId="77777777" w:rsidR="00BF05B9" w:rsidRDefault="00BF05B9" w:rsidP="00BF05B9">
            <w:pPr>
              <w:pStyle w:val="Tablecontent"/>
            </w:pPr>
            <w:r>
              <w:t>What is the use case as 15 minutes is too long for CPU</w:t>
            </w:r>
          </w:p>
          <w:p w14:paraId="7FA6E8A6" w14:textId="4A006075" w:rsidR="00BF05B9" w:rsidRPr="00BF05B9" w:rsidRDefault="00BF05B9" w:rsidP="00BF05B9">
            <w:pPr>
              <w:pStyle w:val="Tablecontent"/>
            </w:pPr>
            <w:r w:rsidRPr="00BF05B9">
              <w:t>https://www.brendangregg.com/blog/2017-08-08/linux-load-averages.html</w:t>
            </w:r>
          </w:p>
        </w:tc>
      </w:tr>
      <w:tr w:rsidR="0001177A" w:rsidRPr="005955EB" w14:paraId="18DC9376" w14:textId="77777777" w:rsidTr="00BF05B9">
        <w:tc>
          <w:tcPr>
            <w:tcW w:w="2880" w:type="dxa"/>
          </w:tcPr>
          <w:p w14:paraId="21C49CFE" w14:textId="77777777" w:rsidR="0001177A" w:rsidRPr="005955EB" w:rsidRDefault="0001177A" w:rsidP="00BF05B9">
            <w:pPr>
              <w:pStyle w:val="Tablecontent"/>
              <w:rPr>
                <w:rFonts w:ascii="Times New Roman" w:hAnsi="Times New Roman" w:cs="Times New Roman"/>
                <w:sz w:val="24"/>
                <w:szCs w:val="24"/>
              </w:rPr>
            </w:pPr>
            <w:r w:rsidRPr="005955EB">
              <w:t>system.load5</w:t>
            </w:r>
          </w:p>
        </w:tc>
        <w:tc>
          <w:tcPr>
            <w:tcW w:w="4508" w:type="dxa"/>
          </w:tcPr>
          <w:p w14:paraId="0EC78F99" w14:textId="77777777" w:rsidR="0001177A" w:rsidRPr="00BF05B9" w:rsidRDefault="0001177A" w:rsidP="00BF05B9">
            <w:pPr>
              <w:pStyle w:val="Tablecontent"/>
            </w:pPr>
          </w:p>
        </w:tc>
      </w:tr>
      <w:tr w:rsidR="0001177A" w:rsidRPr="005955EB" w14:paraId="48225645" w14:textId="77777777" w:rsidTr="00BF05B9">
        <w:tc>
          <w:tcPr>
            <w:tcW w:w="2880" w:type="dxa"/>
          </w:tcPr>
          <w:p w14:paraId="6111D627" w14:textId="77777777" w:rsidR="0001177A" w:rsidRPr="005955EB" w:rsidRDefault="0001177A" w:rsidP="00BF05B9">
            <w:pPr>
              <w:pStyle w:val="Tablecontent"/>
              <w:rPr>
                <w:rFonts w:ascii="Times New Roman" w:hAnsi="Times New Roman" w:cs="Times New Roman"/>
                <w:sz w:val="24"/>
                <w:szCs w:val="24"/>
              </w:rPr>
            </w:pPr>
            <w:r w:rsidRPr="005955EB">
              <w:t>system.n.cpus</w:t>
            </w:r>
          </w:p>
        </w:tc>
        <w:tc>
          <w:tcPr>
            <w:tcW w:w="4508" w:type="dxa"/>
          </w:tcPr>
          <w:p w14:paraId="04519088" w14:textId="77777777" w:rsidR="0001177A" w:rsidRPr="00BF05B9" w:rsidRDefault="0001177A" w:rsidP="00BF05B9">
            <w:pPr>
              <w:pStyle w:val="Tablecontent"/>
            </w:pPr>
          </w:p>
        </w:tc>
      </w:tr>
      <w:tr w:rsidR="0001177A" w:rsidRPr="005955EB" w14:paraId="58CEAC79" w14:textId="77777777" w:rsidTr="00BF05B9">
        <w:tc>
          <w:tcPr>
            <w:tcW w:w="2880" w:type="dxa"/>
          </w:tcPr>
          <w:p w14:paraId="68547CFD" w14:textId="77777777" w:rsidR="0001177A" w:rsidRPr="005955EB" w:rsidRDefault="0001177A" w:rsidP="00BF05B9">
            <w:pPr>
              <w:pStyle w:val="Tablecontent"/>
              <w:rPr>
                <w:rFonts w:ascii="Times New Roman" w:hAnsi="Times New Roman" w:cs="Times New Roman"/>
                <w:sz w:val="24"/>
                <w:szCs w:val="24"/>
              </w:rPr>
            </w:pPr>
            <w:r w:rsidRPr="005955EB">
              <w:t>system.n.users</w:t>
            </w:r>
          </w:p>
        </w:tc>
        <w:tc>
          <w:tcPr>
            <w:tcW w:w="4508" w:type="dxa"/>
          </w:tcPr>
          <w:p w14:paraId="0C4BF3A5" w14:textId="77777777" w:rsidR="0001177A" w:rsidRPr="00BF05B9" w:rsidRDefault="0001177A" w:rsidP="00BF05B9">
            <w:pPr>
              <w:pStyle w:val="Tablecontent"/>
            </w:pPr>
          </w:p>
        </w:tc>
      </w:tr>
      <w:tr w:rsidR="0001177A" w:rsidRPr="005955EB" w14:paraId="69C22432" w14:textId="77777777" w:rsidTr="00BF05B9">
        <w:tc>
          <w:tcPr>
            <w:tcW w:w="2880" w:type="dxa"/>
          </w:tcPr>
          <w:p w14:paraId="0BBB8C41" w14:textId="77777777" w:rsidR="0001177A" w:rsidRPr="005955EB" w:rsidRDefault="0001177A" w:rsidP="00BF05B9">
            <w:pPr>
              <w:pStyle w:val="Tablecontent"/>
              <w:rPr>
                <w:rFonts w:ascii="Times New Roman" w:hAnsi="Times New Roman" w:cs="Times New Roman"/>
                <w:sz w:val="24"/>
                <w:szCs w:val="24"/>
              </w:rPr>
            </w:pPr>
            <w:r w:rsidRPr="005955EB">
              <w:t>system.uptime</w:t>
            </w:r>
          </w:p>
        </w:tc>
        <w:tc>
          <w:tcPr>
            <w:tcW w:w="4508" w:type="dxa"/>
          </w:tcPr>
          <w:p w14:paraId="35005B7A" w14:textId="77777777" w:rsidR="0001177A" w:rsidRPr="00BF05B9" w:rsidRDefault="0001177A" w:rsidP="00BF05B9">
            <w:pPr>
              <w:pStyle w:val="Tablecontent"/>
            </w:pPr>
          </w:p>
        </w:tc>
      </w:tr>
    </w:tbl>
    <w:p w14:paraId="57F379F0" w14:textId="77777777" w:rsidR="0001177A" w:rsidRDefault="0001177A" w:rsidP="0001177A">
      <w:pPr>
        <w:spacing w:line="240" w:lineRule="auto"/>
        <w:rPr>
          <w:rFonts w:ascii="Times New Roman" w:eastAsia="Times New Roman" w:hAnsi="Times New Roman" w:cs="Times New Roman"/>
          <w:sz w:val="24"/>
          <w:szCs w:val="24"/>
          <w:lang w:eastAsia="en-SG"/>
        </w:rPr>
      </w:pPr>
    </w:p>
    <w:p w14:paraId="0FE72C8F" w14:textId="77777777" w:rsidR="0001177A" w:rsidRPr="0001177A" w:rsidRDefault="0001177A" w:rsidP="0001177A">
      <w:pPr>
        <w:rPr>
          <w:lang w:val="en-GB"/>
        </w:rPr>
      </w:pPr>
    </w:p>
    <w:p w14:paraId="4D94B21C" w14:textId="38152A89" w:rsidR="0001177A" w:rsidRDefault="0001177A" w:rsidP="0001177A">
      <w:pPr>
        <w:pStyle w:val="Heading4"/>
      </w:pPr>
      <w:r>
        <w:t>CPU</w:t>
      </w:r>
    </w:p>
    <w:p w14:paraId="73E77093" w14:textId="77777777" w:rsidR="0001177A" w:rsidRPr="0001177A" w:rsidRDefault="0001177A" w:rsidP="0001177A">
      <w:pPr>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880"/>
        <w:gridCol w:w="5691"/>
      </w:tblGrid>
      <w:tr w:rsidR="0001177A" w:rsidRPr="005955EB" w14:paraId="163A56B2" w14:textId="77777777" w:rsidTr="00BF05B9">
        <w:tc>
          <w:tcPr>
            <w:tcW w:w="2880" w:type="dxa"/>
          </w:tcPr>
          <w:p w14:paraId="0861FE0F" w14:textId="77777777" w:rsidR="0001177A" w:rsidRPr="005955EB" w:rsidRDefault="0001177A" w:rsidP="00BF05B9">
            <w:pPr>
              <w:pStyle w:val="Tablecontent"/>
              <w:rPr>
                <w:rFonts w:ascii="Times New Roman" w:hAnsi="Times New Roman" w:cs="Times New Roman"/>
                <w:sz w:val="24"/>
                <w:szCs w:val="24"/>
              </w:rPr>
            </w:pPr>
            <w:r w:rsidRPr="005955EB">
              <w:t>cpu.usage.guest</w:t>
            </w:r>
          </w:p>
        </w:tc>
        <w:tc>
          <w:tcPr>
            <w:tcW w:w="5691" w:type="dxa"/>
          </w:tcPr>
          <w:p w14:paraId="325C33C2"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5B4C16B9" w14:textId="77777777" w:rsidTr="00BF05B9">
        <w:tc>
          <w:tcPr>
            <w:tcW w:w="2880" w:type="dxa"/>
          </w:tcPr>
          <w:p w14:paraId="571CAD80" w14:textId="77777777" w:rsidR="0001177A" w:rsidRPr="005955EB" w:rsidRDefault="0001177A" w:rsidP="00BF05B9">
            <w:pPr>
              <w:pStyle w:val="Tablecontent"/>
              <w:rPr>
                <w:rFonts w:ascii="Times New Roman" w:hAnsi="Times New Roman" w:cs="Times New Roman"/>
                <w:sz w:val="24"/>
                <w:szCs w:val="24"/>
              </w:rPr>
            </w:pPr>
            <w:r w:rsidRPr="005955EB">
              <w:t>cpu.usage.guest.nice</w:t>
            </w:r>
          </w:p>
        </w:tc>
        <w:tc>
          <w:tcPr>
            <w:tcW w:w="5691" w:type="dxa"/>
          </w:tcPr>
          <w:p w14:paraId="0238E23E"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24CAD874" w14:textId="77777777" w:rsidTr="00BF05B9">
        <w:tc>
          <w:tcPr>
            <w:tcW w:w="2880" w:type="dxa"/>
          </w:tcPr>
          <w:p w14:paraId="1110ABE0" w14:textId="77777777" w:rsidR="0001177A" w:rsidRPr="005955EB" w:rsidRDefault="0001177A" w:rsidP="00BF05B9">
            <w:pPr>
              <w:pStyle w:val="Tablecontent"/>
              <w:rPr>
                <w:rFonts w:ascii="Times New Roman" w:hAnsi="Times New Roman" w:cs="Times New Roman"/>
                <w:sz w:val="24"/>
                <w:szCs w:val="24"/>
              </w:rPr>
            </w:pPr>
            <w:r w:rsidRPr="005955EB">
              <w:t>cpu.usage.idle</w:t>
            </w:r>
          </w:p>
        </w:tc>
        <w:tc>
          <w:tcPr>
            <w:tcW w:w="5691" w:type="dxa"/>
          </w:tcPr>
          <w:p w14:paraId="479E73BC"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2842E3E7" w14:textId="77777777" w:rsidTr="00BF05B9">
        <w:tc>
          <w:tcPr>
            <w:tcW w:w="2880" w:type="dxa"/>
          </w:tcPr>
          <w:p w14:paraId="14DE95DD" w14:textId="77777777" w:rsidR="0001177A" w:rsidRPr="005955EB" w:rsidRDefault="0001177A" w:rsidP="00BF05B9">
            <w:pPr>
              <w:pStyle w:val="Tablecontent"/>
              <w:rPr>
                <w:rFonts w:ascii="Times New Roman" w:hAnsi="Times New Roman" w:cs="Times New Roman"/>
                <w:sz w:val="24"/>
                <w:szCs w:val="24"/>
              </w:rPr>
            </w:pPr>
            <w:r w:rsidRPr="005955EB">
              <w:rPr>
                <w:b/>
                <w:bCs/>
              </w:rPr>
              <w:t>cpu.usage.iowait</w:t>
            </w:r>
          </w:p>
        </w:tc>
        <w:tc>
          <w:tcPr>
            <w:tcW w:w="5691" w:type="dxa"/>
          </w:tcPr>
          <w:p w14:paraId="3A27E9D8"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1AB9D7FD" w14:textId="77777777" w:rsidTr="00BF05B9">
        <w:tc>
          <w:tcPr>
            <w:tcW w:w="2880" w:type="dxa"/>
          </w:tcPr>
          <w:p w14:paraId="292DE5FE" w14:textId="77777777" w:rsidR="0001177A" w:rsidRPr="005955EB" w:rsidRDefault="0001177A" w:rsidP="00BF05B9">
            <w:pPr>
              <w:pStyle w:val="Tablecontent"/>
              <w:rPr>
                <w:rFonts w:ascii="Times New Roman" w:hAnsi="Times New Roman" w:cs="Times New Roman"/>
                <w:sz w:val="24"/>
                <w:szCs w:val="24"/>
              </w:rPr>
            </w:pPr>
            <w:r w:rsidRPr="005955EB">
              <w:t xml:space="preserve">Cpu.usage.irq. </w:t>
            </w:r>
          </w:p>
        </w:tc>
        <w:tc>
          <w:tcPr>
            <w:tcW w:w="5691" w:type="dxa"/>
          </w:tcPr>
          <w:p w14:paraId="60DD0947" w14:textId="77777777" w:rsidR="0001177A" w:rsidRPr="005955EB" w:rsidRDefault="0001177A" w:rsidP="00BF05B9">
            <w:pPr>
              <w:pStyle w:val="Tablecontent"/>
              <w:rPr>
                <w:rFonts w:ascii="Times New Roman" w:hAnsi="Times New Roman" w:cs="Times New Roman"/>
                <w:sz w:val="24"/>
                <w:szCs w:val="24"/>
              </w:rPr>
            </w:pPr>
            <w:r w:rsidRPr="005955EB">
              <w:t>What is this?</w:t>
            </w:r>
          </w:p>
        </w:tc>
      </w:tr>
      <w:tr w:rsidR="0001177A" w:rsidRPr="005955EB" w14:paraId="2B57E28E" w14:textId="77777777" w:rsidTr="00BF05B9">
        <w:tc>
          <w:tcPr>
            <w:tcW w:w="2880" w:type="dxa"/>
          </w:tcPr>
          <w:p w14:paraId="669FCDAA" w14:textId="77777777" w:rsidR="0001177A" w:rsidRPr="005955EB" w:rsidRDefault="0001177A" w:rsidP="00BF05B9">
            <w:pPr>
              <w:pStyle w:val="Tablecontent"/>
              <w:rPr>
                <w:rFonts w:ascii="Times New Roman" w:hAnsi="Times New Roman" w:cs="Times New Roman"/>
                <w:sz w:val="24"/>
                <w:szCs w:val="24"/>
              </w:rPr>
            </w:pPr>
            <w:r w:rsidRPr="005955EB">
              <w:t>cpu.usage.nice</w:t>
            </w:r>
          </w:p>
        </w:tc>
        <w:tc>
          <w:tcPr>
            <w:tcW w:w="5691" w:type="dxa"/>
          </w:tcPr>
          <w:p w14:paraId="1BA1DAE9"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725E9615" w14:textId="77777777" w:rsidTr="00BF05B9">
        <w:tc>
          <w:tcPr>
            <w:tcW w:w="2880" w:type="dxa"/>
          </w:tcPr>
          <w:p w14:paraId="659B271E" w14:textId="77777777" w:rsidR="0001177A" w:rsidRPr="005955EB" w:rsidRDefault="0001177A" w:rsidP="00BF05B9">
            <w:pPr>
              <w:pStyle w:val="Tablecontent"/>
              <w:rPr>
                <w:rFonts w:ascii="Times New Roman" w:hAnsi="Times New Roman" w:cs="Times New Roman"/>
                <w:sz w:val="24"/>
                <w:szCs w:val="24"/>
              </w:rPr>
            </w:pPr>
            <w:r w:rsidRPr="005955EB">
              <w:t>cpu.usage.softirq</w:t>
            </w:r>
          </w:p>
        </w:tc>
        <w:tc>
          <w:tcPr>
            <w:tcW w:w="5691" w:type="dxa"/>
          </w:tcPr>
          <w:p w14:paraId="0C389952"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5A8E1124" w14:textId="77777777" w:rsidTr="00BF05B9">
        <w:tc>
          <w:tcPr>
            <w:tcW w:w="2880" w:type="dxa"/>
          </w:tcPr>
          <w:p w14:paraId="31B0A5C8" w14:textId="77777777" w:rsidR="0001177A" w:rsidRPr="005955EB" w:rsidRDefault="0001177A" w:rsidP="00BF05B9">
            <w:pPr>
              <w:pStyle w:val="Tablecontent"/>
              <w:rPr>
                <w:rFonts w:ascii="Times New Roman" w:hAnsi="Times New Roman" w:cs="Times New Roman"/>
                <w:sz w:val="24"/>
                <w:szCs w:val="24"/>
              </w:rPr>
            </w:pPr>
            <w:r w:rsidRPr="005955EB">
              <w:t>cpu.usage.steal</w:t>
            </w:r>
          </w:p>
        </w:tc>
        <w:tc>
          <w:tcPr>
            <w:tcW w:w="5691" w:type="dxa"/>
          </w:tcPr>
          <w:p w14:paraId="60D4B0C3"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66FDB021" w14:textId="77777777" w:rsidTr="00BF05B9">
        <w:tc>
          <w:tcPr>
            <w:tcW w:w="2880" w:type="dxa"/>
          </w:tcPr>
          <w:p w14:paraId="173465ED" w14:textId="77777777" w:rsidR="0001177A" w:rsidRPr="005955EB" w:rsidRDefault="0001177A" w:rsidP="00BF05B9">
            <w:pPr>
              <w:pStyle w:val="Tablecontent"/>
              <w:rPr>
                <w:rFonts w:ascii="Times New Roman" w:hAnsi="Times New Roman" w:cs="Times New Roman"/>
                <w:sz w:val="24"/>
                <w:szCs w:val="24"/>
              </w:rPr>
            </w:pPr>
            <w:r w:rsidRPr="005955EB">
              <w:t>cpu.usage.system</w:t>
            </w:r>
          </w:p>
        </w:tc>
        <w:tc>
          <w:tcPr>
            <w:tcW w:w="5691" w:type="dxa"/>
          </w:tcPr>
          <w:p w14:paraId="5036F263"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3CE9890C" w14:textId="77777777" w:rsidTr="00BF05B9">
        <w:tc>
          <w:tcPr>
            <w:tcW w:w="2880" w:type="dxa"/>
          </w:tcPr>
          <w:p w14:paraId="2D5ADEF8" w14:textId="77777777" w:rsidR="0001177A" w:rsidRPr="005955EB" w:rsidRDefault="0001177A" w:rsidP="00BF05B9">
            <w:pPr>
              <w:pStyle w:val="Tablecontent"/>
              <w:rPr>
                <w:rFonts w:ascii="Times New Roman" w:hAnsi="Times New Roman" w:cs="Times New Roman"/>
                <w:sz w:val="24"/>
                <w:szCs w:val="24"/>
              </w:rPr>
            </w:pPr>
            <w:r w:rsidRPr="005955EB">
              <w:t>cpu.usage.user</w:t>
            </w:r>
          </w:p>
        </w:tc>
        <w:tc>
          <w:tcPr>
            <w:tcW w:w="5691" w:type="dxa"/>
          </w:tcPr>
          <w:p w14:paraId="1228A909" w14:textId="77777777" w:rsidR="0001177A" w:rsidRPr="005955EB" w:rsidRDefault="0001177A" w:rsidP="00BF05B9">
            <w:pPr>
              <w:pStyle w:val="Tablecontent"/>
              <w:rPr>
                <w:rFonts w:ascii="Times New Roman" w:hAnsi="Times New Roman" w:cs="Times New Roman"/>
                <w:sz w:val="24"/>
                <w:szCs w:val="24"/>
              </w:rPr>
            </w:pPr>
          </w:p>
        </w:tc>
      </w:tr>
    </w:tbl>
    <w:p w14:paraId="631776F2" w14:textId="466D8A9A" w:rsidR="00525768" w:rsidRDefault="00525768" w:rsidP="00525768">
      <w:pPr>
        <w:rPr>
          <w:color w:val="FF0000"/>
          <w:lang w:val="en-GB"/>
        </w:rPr>
      </w:pPr>
      <w:r w:rsidRPr="00A452F2">
        <w:rPr>
          <w:lang w:val="en-GB"/>
        </w:rPr>
        <w:t xml:space="preserve">Reference: </w:t>
      </w:r>
      <w:hyperlink r:id="rId460" w:history="1">
        <w:r w:rsidRPr="00A452F2">
          <w:rPr>
            <w:rStyle w:val="Hyperlink"/>
            <w:lang w:val="en-GB"/>
          </w:rPr>
          <w:t>Linux</w:t>
        </w:r>
      </w:hyperlink>
      <w:r w:rsidRPr="00A452F2">
        <w:rPr>
          <w:lang w:val="en-GB"/>
        </w:rPr>
        <w:t xml:space="preserve">. </w:t>
      </w:r>
      <w:r w:rsidR="0001177A" w:rsidRPr="00EF2CB2">
        <w:rPr>
          <w:color w:val="FF0000"/>
          <w:highlight w:val="yellow"/>
          <w:lang w:val="en-GB"/>
        </w:rPr>
        <w:t xml:space="preserve">[e1: to add CPU scheduler and states </w:t>
      </w:r>
      <w:hyperlink r:id="rId461" w:history="1">
        <w:r w:rsidR="0001177A" w:rsidRPr="004B21DD">
          <w:rPr>
            <w:rStyle w:val="Hyperlink"/>
            <w:highlight w:val="yellow"/>
            <w:lang w:val="en-GB"/>
          </w:rPr>
          <w:t>https://www.bogotobogo.com/Linux/linux_process_and_signals.php</w:t>
        </w:r>
      </w:hyperlink>
      <w:r w:rsidR="0001177A" w:rsidRPr="00EF2CB2">
        <w:rPr>
          <w:color w:val="FF0000"/>
          <w:highlight w:val="yellow"/>
          <w:lang w:val="en-GB"/>
        </w:rPr>
        <w:t>]</w:t>
      </w:r>
    </w:p>
    <w:p w14:paraId="66C1B369" w14:textId="77777777" w:rsidR="0001177A" w:rsidRPr="00A452F2" w:rsidRDefault="0001177A" w:rsidP="0001177A">
      <w:pPr>
        <w:pStyle w:val="Heading5"/>
      </w:pPr>
      <w:r w:rsidRPr="00A452F2">
        <w:lastRenderedPageBreak/>
        <w:t>CPU Run Queue</w:t>
      </w:r>
    </w:p>
    <w:p w14:paraId="300CA706" w14:textId="64F442C5" w:rsidR="0001177A" w:rsidRDefault="0001177A" w:rsidP="0001177A">
      <w:pPr>
        <w:jc w:val="both"/>
      </w:pPr>
      <w:r>
        <w:t xml:space="preserve">Number of threads in the processor queue. Unlike Windows, Linux includes the threads in the CPU pipeline. </w:t>
      </w:r>
    </w:p>
    <w:p w14:paraId="33C9C990" w14:textId="3BAD6A37" w:rsidR="001975BB" w:rsidRDefault="001975BB" w:rsidP="001975BB">
      <w:pPr>
        <w:rPr>
          <w:lang w:eastAsia="en-SG"/>
        </w:rPr>
      </w:pPr>
      <w:r>
        <w:rPr>
          <w:lang w:eastAsia="en-SG"/>
        </w:rPr>
        <w:t>For Linux, VMware Tools use t</w:t>
      </w:r>
      <w:r w:rsidRPr="00D73E2D">
        <w:rPr>
          <w:lang w:eastAsia="en-SG"/>
        </w:rPr>
        <w:t xml:space="preserve">he value </w:t>
      </w:r>
      <w:r>
        <w:rPr>
          <w:lang w:eastAsia="en-SG"/>
        </w:rPr>
        <w:t xml:space="preserve">of </w:t>
      </w:r>
      <w:r w:rsidRPr="00453556">
        <w:rPr>
          <w:color w:val="00B0F0"/>
        </w:rPr>
        <w:t>procs_running</w:t>
      </w:r>
      <w:r w:rsidRPr="00D73E2D">
        <w:rPr>
          <w:lang w:eastAsia="en-SG"/>
        </w:rPr>
        <w:t xml:space="preserve"> from /proc/stat </w:t>
      </w:r>
      <w:r>
        <w:rPr>
          <w:lang w:eastAsia="en-SG"/>
        </w:rPr>
        <w:t>(</w:t>
      </w:r>
      <w:r>
        <w:t>kernel/system statistics). VMware Tools labels it as guest.cpu.runQueue. It</w:t>
      </w:r>
      <w:r w:rsidRPr="00D73E2D">
        <w:rPr>
          <w:lang w:eastAsia="en-SG"/>
        </w:rPr>
        <w:t xml:space="preserve"> </w:t>
      </w:r>
      <w:r>
        <w:rPr>
          <w:lang w:eastAsia="en-SG"/>
        </w:rPr>
        <w:t>shows the n</w:t>
      </w:r>
      <w:r>
        <w:t xml:space="preserve">umber of processes in runnable state. It </w:t>
      </w:r>
      <w:r w:rsidRPr="00D73E2D">
        <w:rPr>
          <w:lang w:eastAsia="en-SG"/>
        </w:rPr>
        <w:t xml:space="preserve">is same as the value from </w:t>
      </w:r>
      <w:r w:rsidRPr="00125D81">
        <w:rPr>
          <w:color w:val="00B0F0"/>
          <w:lang w:eastAsia="en-SG"/>
        </w:rPr>
        <w:t>/proc/loadavg</w:t>
      </w:r>
      <w:r w:rsidRPr="00D73E2D">
        <w:rPr>
          <w:lang w:eastAsia="en-SG"/>
        </w:rPr>
        <w:t>. It is the sum of all CPU thread run queue</w:t>
      </w:r>
      <w:r>
        <w:rPr>
          <w:lang w:eastAsia="en-SG"/>
        </w:rPr>
        <w:t>. The</w:t>
      </w:r>
      <w:r w:rsidRPr="00D73E2D">
        <w:rPr>
          <w:lang w:eastAsia="en-SG"/>
        </w:rPr>
        <w:t xml:space="preserve"> </w:t>
      </w:r>
      <w:r w:rsidRPr="00453556">
        <w:rPr>
          <w:color w:val="00B0F0"/>
          <w:lang w:eastAsia="en-SG"/>
        </w:rPr>
        <w:t>nr</w:t>
      </w:r>
      <w:r>
        <w:rPr>
          <w:color w:val="00B0F0"/>
          <w:lang w:eastAsia="en-SG"/>
        </w:rPr>
        <w:t>_</w:t>
      </w:r>
      <w:r w:rsidRPr="00453556">
        <w:rPr>
          <w:color w:val="00B0F0"/>
          <w:lang w:eastAsia="en-SG"/>
        </w:rPr>
        <w:t xml:space="preserve">running </w:t>
      </w:r>
      <w:r>
        <w:rPr>
          <w:lang w:eastAsia="en-SG"/>
        </w:rPr>
        <w:t xml:space="preserve">field </w:t>
      </w:r>
      <w:r w:rsidRPr="00D73E2D">
        <w:rPr>
          <w:lang w:eastAsia="en-SG"/>
        </w:rPr>
        <w:t xml:space="preserve">includes currently running tasks and ready but not running tasks. </w:t>
      </w:r>
    </w:p>
    <w:p w14:paraId="7C78FB41" w14:textId="3096C3A6" w:rsidR="0001177A" w:rsidRPr="001975BB" w:rsidRDefault="001975BB" w:rsidP="00525768">
      <w:r>
        <w:t xml:space="preserve">Reference: </w:t>
      </w:r>
      <w:hyperlink r:id="rId462" w:history="1">
        <w:r w:rsidRPr="004F6449">
          <w:rPr>
            <w:rStyle w:val="Hyperlink"/>
          </w:rPr>
          <w:t>Linux</w:t>
        </w:r>
      </w:hyperlink>
      <w:r>
        <w:t xml:space="preserve">. </w:t>
      </w:r>
    </w:p>
    <w:p w14:paraId="4DA6CD9F" w14:textId="77777777" w:rsidR="00525768" w:rsidRDefault="00525768" w:rsidP="00525768">
      <w:pPr>
        <w:pStyle w:val="Heading5"/>
      </w:pPr>
      <w:r w:rsidRPr="00A452F2">
        <w:t>Linux Steal Time</w:t>
      </w:r>
    </w:p>
    <w:p w14:paraId="132B35D0" w14:textId="23E8DF14" w:rsidR="00525768" w:rsidRPr="003A143E" w:rsidRDefault="00525768" w:rsidP="00525768">
      <w:pPr>
        <w:rPr>
          <w:lang w:val="en-GB"/>
        </w:rPr>
      </w:pPr>
      <w:r>
        <w:rPr>
          <w:lang w:val="en-GB"/>
        </w:rPr>
        <w:t xml:space="preserve">According to </w:t>
      </w:r>
      <w:r w:rsidR="00CF7D2C" w:rsidRPr="00CF7D2C">
        <w:rPr>
          <w:color w:val="FF0000"/>
          <w:lang w:val="en-GB"/>
        </w:rPr>
        <w:t>Red</w:t>
      </w:r>
      <w:r>
        <w:rPr>
          <w:lang w:val="en-GB"/>
        </w:rPr>
        <w:t xml:space="preserve"> Hat </w:t>
      </w:r>
      <w:hyperlink r:id="rId463" w:history="1">
        <w:r w:rsidRPr="00D824E2">
          <w:rPr>
            <w:rStyle w:val="Hyperlink"/>
            <w:lang w:val="en-GB"/>
          </w:rPr>
          <w:t>documentation</w:t>
        </w:r>
      </w:hyperlink>
      <w:r>
        <w:rPr>
          <w:lang w:val="en-GB"/>
        </w:rPr>
        <w:t xml:space="preserve">, Steal Time is </w:t>
      </w:r>
      <w:r w:rsidRPr="007F24B2">
        <w:rPr>
          <w:lang w:val="en-GB"/>
        </w:rPr>
        <w:t xml:space="preserve">the amount of CPU time needed by </w:t>
      </w:r>
      <w:r>
        <w:rPr>
          <w:lang w:val="en-GB"/>
        </w:rPr>
        <w:t xml:space="preserve">the VM </w:t>
      </w:r>
      <w:r w:rsidRPr="007F24B2">
        <w:rPr>
          <w:lang w:val="en-GB"/>
        </w:rPr>
        <w:t xml:space="preserve">that is not provided by the </w:t>
      </w:r>
      <w:r>
        <w:rPr>
          <w:lang w:val="en-GB"/>
        </w:rPr>
        <w:t>hypervisor</w:t>
      </w:r>
      <w:r w:rsidRPr="007F24B2">
        <w:rPr>
          <w:lang w:val="en-GB"/>
        </w:rPr>
        <w:t xml:space="preserve">. </w:t>
      </w:r>
      <w:r>
        <w:rPr>
          <w:lang w:val="en-GB"/>
        </w:rPr>
        <w:t xml:space="preserve">It </w:t>
      </w:r>
      <w:r w:rsidRPr="007F24B2">
        <w:rPr>
          <w:lang w:val="en-GB"/>
        </w:rPr>
        <w:t xml:space="preserve">occurs when the host allocates </w:t>
      </w:r>
      <w:r>
        <w:rPr>
          <w:lang w:val="en-GB"/>
        </w:rPr>
        <w:t xml:space="preserve">the CPU resource for its own process or </w:t>
      </w:r>
      <w:r w:rsidRPr="007F24B2">
        <w:rPr>
          <w:lang w:val="en-GB"/>
        </w:rPr>
        <w:t>to another guest.</w:t>
      </w:r>
    </w:p>
    <w:p w14:paraId="7BBC395C" w14:textId="581B9697" w:rsidR="00525768" w:rsidRDefault="00525768" w:rsidP="00525768">
      <w:pPr>
        <w:rPr>
          <w:lang w:val="en-GB"/>
        </w:rPr>
      </w:pPr>
      <w:r>
        <w:rPr>
          <w:lang w:val="en-GB"/>
        </w:rPr>
        <w:t xml:space="preserve">While Linux has this counter, it </w:t>
      </w:r>
      <w:r w:rsidRPr="00A452F2">
        <w:rPr>
          <w:lang w:val="en-GB"/>
        </w:rPr>
        <w:t xml:space="preserve">is 0 </w:t>
      </w:r>
      <w:r>
        <w:rPr>
          <w:lang w:val="en-GB"/>
        </w:rPr>
        <w:t xml:space="preserve">when it runs </w:t>
      </w:r>
      <w:r w:rsidRPr="00A452F2">
        <w:rPr>
          <w:lang w:val="en-GB"/>
        </w:rPr>
        <w:t>on ESXi because it’s not enabled by default. Even if it’s enabled, it only accounts for Ready time.</w:t>
      </w:r>
      <w:r>
        <w:rPr>
          <w:lang w:val="en-GB"/>
        </w:rPr>
        <w:t xml:space="preserve"> It does not account for other time such as </w:t>
      </w:r>
      <w:r w:rsidR="00443625">
        <w:rPr>
          <w:lang w:val="en-GB"/>
        </w:rPr>
        <w:t>Co-stop</w:t>
      </w:r>
      <w:r>
        <w:rPr>
          <w:lang w:val="en-GB"/>
        </w:rPr>
        <w:t>, VM Wait and memory wait.</w:t>
      </w:r>
    </w:p>
    <w:p w14:paraId="7EF18597" w14:textId="77777777" w:rsidR="00525768" w:rsidRDefault="00525768" w:rsidP="00525768">
      <w:pPr>
        <w:rPr>
          <w:lang w:val="en-GB"/>
        </w:rPr>
      </w:pPr>
      <w:r>
        <w:rPr>
          <w:lang w:val="en-GB"/>
        </w:rPr>
        <w:t>CPU Ready includes Limit. I have not verified if Linux Steal Time accounts for it.</w:t>
      </w:r>
    </w:p>
    <w:p w14:paraId="129EE5C6" w14:textId="77777777" w:rsidR="00525768" w:rsidRPr="0009749B" w:rsidRDefault="00525768" w:rsidP="00525768">
      <w:r w:rsidRPr="0009749B">
        <w:t xml:space="preserve">The metric Guest OS CPU Usage isn’t aware of stolen time. For this counter to be aware, its code has to be modified. If you know that Microsoft </w:t>
      </w:r>
      <w:r>
        <w:t>Windows has</w:t>
      </w:r>
      <w:r w:rsidRPr="0009749B">
        <w:t xml:space="preserve"> modified this counter, let </w:t>
      </w:r>
      <w:r>
        <w:t>me</w:t>
      </w:r>
      <w:r w:rsidRPr="0009749B">
        <w:t xml:space="preserve"> know in which version they make the change. </w:t>
      </w:r>
    </w:p>
    <w:p w14:paraId="7D4E6AE3" w14:textId="79F85D2E" w:rsidR="00525768" w:rsidRDefault="00525768" w:rsidP="00525768">
      <w:pPr>
        <w:pStyle w:val="Heading5"/>
      </w:pPr>
      <w:r>
        <w:t>Linux IO Wait</w:t>
      </w:r>
    </w:p>
    <w:p w14:paraId="44678731" w14:textId="77777777" w:rsidR="00525768" w:rsidRDefault="00525768" w:rsidP="00525768">
      <w:pPr>
        <w:rPr>
          <w:lang w:val="en-GB"/>
        </w:rPr>
      </w:pPr>
      <w:r>
        <w:rPr>
          <w:lang w:val="en-GB"/>
        </w:rPr>
        <w:t>A high IO Wait could be caused by bottleneck within Linux, or bottleneck in the underlying infrastructure (e.g. VM). How do you know which one is the cause?</w:t>
      </w:r>
    </w:p>
    <w:p w14:paraId="52BA3F09" w14:textId="77777777" w:rsidR="00525768" w:rsidRDefault="00525768" w:rsidP="00525768">
      <w:pPr>
        <w:rPr>
          <w:lang w:val="en-GB"/>
        </w:rPr>
      </w:pPr>
      <w:r>
        <w:rPr>
          <w:lang w:val="en-GB"/>
        </w:rPr>
        <w:t xml:space="preserve">If you do not see any network or disk issue at VM level, there is a good chance the issue is at the upper layer. The reason is the lower layer (VM in this case) processes whatever network packets or SCSI commands sent by Guest OS promptly. Check the Disk Queue Length metric. If this is also high, then you need to troubleshoot at Linux level, such as changing the SCSI driver. </w:t>
      </w:r>
    </w:p>
    <w:p w14:paraId="4E112D1C" w14:textId="64A9549B" w:rsidR="00525768" w:rsidRPr="00DA6D40" w:rsidRDefault="00525768" w:rsidP="00525768">
      <w:pPr>
        <w:rPr>
          <w:lang w:val="en-GB"/>
        </w:rPr>
      </w:pPr>
      <w:r>
        <w:rPr>
          <w:lang w:val="en-GB"/>
        </w:rPr>
        <w:t>If you are seeing VM disk outstanding IO or disk latency is high, there is a good chance the IO wait and latency at upper layer is just an overflow</w:t>
      </w:r>
      <w:r w:rsidR="00265AE3">
        <w:rPr>
          <w:lang w:val="en-GB"/>
        </w:rPr>
        <w:t xml:space="preserve"> of underlying symptom</w:t>
      </w:r>
      <w:r w:rsidR="00E4254C">
        <w:rPr>
          <w:lang w:val="en-GB"/>
        </w:rPr>
        <w:t xml:space="preserve">. </w:t>
      </w:r>
    </w:p>
    <w:p w14:paraId="5FA8FAC6" w14:textId="77777777" w:rsidR="00525768" w:rsidRPr="00A452F2" w:rsidRDefault="00525768" w:rsidP="00525768">
      <w:pPr>
        <w:pStyle w:val="Heading4"/>
      </w:pPr>
      <w:r>
        <w:t>Memory</w:t>
      </w:r>
    </w:p>
    <w:p w14:paraId="684187B5" w14:textId="77777777" w:rsidR="0001177A" w:rsidRDefault="0001177A" w:rsidP="0001177A">
      <w:pPr>
        <w:rPr>
          <w:lang w:val="en-GB"/>
        </w:rPr>
      </w:pPr>
      <w:r w:rsidRPr="00A452F2">
        <w:rPr>
          <w:lang w:val="en-GB"/>
        </w:rPr>
        <w:t xml:space="preserve">Windows and Linux manage memory differently, and they also name their metrics differently. VMware Tools provide a set of universal metrics from these </w:t>
      </w:r>
      <w:r>
        <w:rPr>
          <w:lang w:val="en-GB"/>
        </w:rPr>
        <w:t>two</w:t>
      </w:r>
      <w:r w:rsidRPr="00A452F2">
        <w:rPr>
          <w:lang w:val="en-GB"/>
        </w:rPr>
        <w:t xml:space="preserve"> </w:t>
      </w:r>
      <w:r>
        <w:rPr>
          <w:lang w:val="en-GB"/>
        </w:rPr>
        <w:t>popular types of Guest</w:t>
      </w:r>
      <w:r w:rsidRPr="00A452F2">
        <w:rPr>
          <w:lang w:val="en-GB"/>
        </w:rPr>
        <w:t xml:space="preserve"> OS</w:t>
      </w:r>
      <w:r>
        <w:rPr>
          <w:lang w:val="en-GB"/>
        </w:rPr>
        <w:t>es</w:t>
      </w:r>
      <w:r w:rsidRPr="00A452F2">
        <w:rPr>
          <w:lang w:val="en-GB"/>
        </w:rPr>
        <w:t>.</w:t>
      </w:r>
      <w:r>
        <w:rPr>
          <w:lang w:val="en-GB"/>
        </w:rPr>
        <w:t xml:space="preserve"> The following shows what it looks like in Linux</w:t>
      </w:r>
    </w:p>
    <w:p w14:paraId="3500166D" w14:textId="77777777" w:rsidR="0001177A" w:rsidRPr="00A452F2" w:rsidRDefault="0001177A" w:rsidP="0001177A">
      <w:pPr>
        <w:rPr>
          <w:lang w:val="en-GB"/>
        </w:rPr>
      </w:pPr>
      <w:r w:rsidRPr="009F0DD9">
        <w:rPr>
          <w:noProof/>
          <w:lang w:val="en-GB"/>
        </w:rPr>
        <w:lastRenderedPageBreak/>
        <w:drawing>
          <wp:inline distT="0" distB="0" distL="0" distR="0" wp14:anchorId="5F692E1C" wp14:editId="611AD232">
            <wp:extent cx="6645910" cy="1917700"/>
            <wp:effectExtent l="0" t="0" r="2540" b="6350"/>
            <wp:docPr id="1293284841" name="Picture 1293284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6645910" cy="1917700"/>
                    </a:xfrm>
                    <a:prstGeom prst="rect">
                      <a:avLst/>
                    </a:prstGeom>
                  </pic:spPr>
                </pic:pic>
              </a:graphicData>
            </a:graphic>
          </wp:inline>
        </w:drawing>
      </w:r>
    </w:p>
    <w:p w14:paraId="70A96B19" w14:textId="51E74C6A" w:rsidR="00525768" w:rsidRPr="00A452F2" w:rsidRDefault="00525768" w:rsidP="00525768">
      <w:pPr>
        <w:rPr>
          <w:lang w:val="en-GB"/>
        </w:rPr>
      </w:pPr>
      <w:r w:rsidRPr="00A452F2">
        <w:rPr>
          <w:lang w:val="en-GB"/>
        </w:rPr>
        <w:t xml:space="preserve">These are the </w:t>
      </w:r>
      <w:r>
        <w:rPr>
          <w:lang w:val="en-GB"/>
        </w:rPr>
        <w:t>metrics</w:t>
      </w:r>
      <w:r w:rsidRPr="00A452F2">
        <w:rPr>
          <w:lang w:val="en-GB"/>
        </w:rPr>
        <w:t xml:space="preserve"> that we’re interested from right sizing use case. </w:t>
      </w:r>
    </w:p>
    <w:p w14:paraId="2E7E90E0" w14:textId="77777777" w:rsidR="00525768" w:rsidRPr="00A452F2" w:rsidRDefault="00525768" w:rsidP="00525768">
      <w:pPr>
        <w:rPr>
          <w:lang w:val="en-GB"/>
        </w:rPr>
      </w:pPr>
      <w:r w:rsidRPr="00A452F2">
        <w:rPr>
          <w:lang w:val="en-GB"/>
        </w:rPr>
        <w:t xml:space="preserve">Linux has 2 types of cache: Slab Reclaim and Cached. </w:t>
      </w:r>
    </w:p>
    <w:p w14:paraId="48889F57" w14:textId="77777777" w:rsidR="00525768" w:rsidRPr="00A452F2" w:rsidRDefault="00525768" w:rsidP="00525768">
      <w:pPr>
        <w:rPr>
          <w:lang w:val="en-GB"/>
        </w:rPr>
      </w:pPr>
      <w:r w:rsidRPr="00A452F2">
        <w:rPr>
          <w:lang w:val="en-GB"/>
        </w:rPr>
        <w:t xml:space="preserve">vSphere Tools 10.3.5 provides the following </w:t>
      </w:r>
      <w:r>
        <w:rPr>
          <w:lang w:val="en-GB"/>
        </w:rPr>
        <w:t>metrics</w:t>
      </w:r>
      <w:r w:rsidRPr="00A452F2">
        <w:rPr>
          <w:lang w:val="en-GB"/>
        </w:rPr>
        <w:t>:</w:t>
      </w:r>
    </w:p>
    <w:p w14:paraId="3C55AEC3" w14:textId="77777777" w:rsidR="00525768" w:rsidRPr="00A452F2" w:rsidRDefault="00525768" w:rsidP="00525768">
      <w:pPr>
        <w:pStyle w:val="Bullet"/>
        <w:rPr>
          <w:lang w:val="en-GB"/>
        </w:rPr>
      </w:pPr>
      <w:r w:rsidRPr="00A452F2">
        <w:rPr>
          <w:lang w:val="en-GB"/>
        </w:rPr>
        <w:t xml:space="preserve">Total </w:t>
      </w:r>
    </w:p>
    <w:p w14:paraId="3E1E46BB" w14:textId="77777777" w:rsidR="00525768" w:rsidRPr="00A452F2" w:rsidRDefault="00525768" w:rsidP="00525768">
      <w:pPr>
        <w:pStyle w:val="Bullet"/>
        <w:rPr>
          <w:lang w:val="en-GB"/>
        </w:rPr>
      </w:pPr>
      <w:r w:rsidRPr="00A452F2">
        <w:rPr>
          <w:lang w:val="en-GB"/>
        </w:rPr>
        <w:t xml:space="preserve">Available </w:t>
      </w:r>
    </w:p>
    <w:p w14:paraId="2A8C503F" w14:textId="77777777" w:rsidR="00525768" w:rsidRPr="00A452F2" w:rsidRDefault="00525768" w:rsidP="00525768">
      <w:pPr>
        <w:pStyle w:val="Bullet"/>
        <w:rPr>
          <w:lang w:val="en-GB"/>
        </w:rPr>
      </w:pPr>
      <w:r w:rsidRPr="00A452F2">
        <w:rPr>
          <w:lang w:val="en-GB"/>
        </w:rPr>
        <w:t xml:space="preserve">Free </w:t>
      </w:r>
    </w:p>
    <w:p w14:paraId="63EF5255" w14:textId="77777777" w:rsidR="00525768" w:rsidRPr="00A452F2" w:rsidRDefault="00525768" w:rsidP="00525768">
      <w:pPr>
        <w:pStyle w:val="Bullet"/>
        <w:rPr>
          <w:lang w:val="en-GB"/>
        </w:rPr>
      </w:pPr>
      <w:r w:rsidRPr="00A452F2">
        <w:rPr>
          <w:lang w:val="en-GB"/>
        </w:rPr>
        <w:t xml:space="preserve">Buffers </w:t>
      </w:r>
    </w:p>
    <w:p w14:paraId="6F3671B9" w14:textId="77777777" w:rsidR="00525768" w:rsidRPr="00A452F2" w:rsidRDefault="00525768" w:rsidP="00525768">
      <w:pPr>
        <w:pStyle w:val="Bullet"/>
        <w:rPr>
          <w:lang w:val="en-GB"/>
        </w:rPr>
      </w:pPr>
      <w:r w:rsidRPr="00A452F2">
        <w:rPr>
          <w:lang w:val="en-GB"/>
        </w:rPr>
        <w:t>Used = total - free - buffers - cache</w:t>
      </w:r>
      <w:r>
        <w:rPr>
          <w:lang w:val="en-GB"/>
        </w:rPr>
        <w:t>d</w:t>
      </w:r>
      <w:r w:rsidRPr="00A452F2">
        <w:rPr>
          <w:lang w:val="en-GB"/>
        </w:rPr>
        <w:t> </w:t>
      </w:r>
    </w:p>
    <w:p w14:paraId="16B5C729" w14:textId="77777777" w:rsidR="00525768" w:rsidRDefault="00525768" w:rsidP="00525768">
      <w:pPr>
        <w:pStyle w:val="Bullet"/>
        <w:rPr>
          <w:lang w:val="en-GB"/>
        </w:rPr>
      </w:pPr>
      <w:r w:rsidRPr="00A452F2">
        <w:rPr>
          <w:lang w:val="en-GB"/>
        </w:rPr>
        <w:t>Cache</w:t>
      </w:r>
      <w:r>
        <w:rPr>
          <w:lang w:val="en-GB"/>
        </w:rPr>
        <w:t>d</w:t>
      </w:r>
      <w:r w:rsidRPr="00A452F2">
        <w:rPr>
          <w:lang w:val="en-GB"/>
        </w:rPr>
        <w:t xml:space="preserve"> = guest.mem.cached + guest.mem.slabReclaim</w:t>
      </w:r>
    </w:p>
    <w:p w14:paraId="56A63A99" w14:textId="77777777" w:rsidR="00525768" w:rsidRDefault="00525768" w:rsidP="00525768">
      <w:pPr>
        <w:rPr>
          <w:lang w:val="en-GB"/>
        </w:rPr>
      </w:pPr>
      <w:r w:rsidRPr="00DD46D9">
        <w:rPr>
          <w:noProof/>
          <w:lang w:val="en-GB"/>
        </w:rPr>
        <w:drawing>
          <wp:inline distT="0" distB="0" distL="0" distR="0" wp14:anchorId="485D74F5" wp14:editId="445CC46E">
            <wp:extent cx="6645910" cy="2454275"/>
            <wp:effectExtent l="0" t="0" r="2540" b="3175"/>
            <wp:docPr id="1525330257" name="Picture 152533025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57" name="Picture 1525330257" descr="Graphical user interface, application&#10;&#10;Description automatically generated"/>
                    <pic:cNvPicPr/>
                  </pic:nvPicPr>
                  <pic:blipFill>
                    <a:blip r:embed="rId465"/>
                    <a:stretch>
                      <a:fillRect/>
                    </a:stretch>
                  </pic:blipFill>
                  <pic:spPr>
                    <a:xfrm>
                      <a:off x="0" y="0"/>
                      <a:ext cx="6645910" cy="2454275"/>
                    </a:xfrm>
                    <a:prstGeom prst="rect">
                      <a:avLst/>
                    </a:prstGeom>
                  </pic:spPr>
                </pic:pic>
              </a:graphicData>
            </a:graphic>
          </wp:inline>
        </w:drawing>
      </w:r>
    </w:p>
    <w:p w14:paraId="4222DD18" w14:textId="77777777" w:rsidR="00525768" w:rsidRDefault="00525768" w:rsidP="00525768">
      <w:pPr>
        <w:rPr>
          <w:lang w:val="en-GB"/>
        </w:rPr>
      </w:pPr>
      <w:r>
        <w:rPr>
          <w:lang w:val="en-GB"/>
        </w:rPr>
        <w:t xml:space="preserve">From the </w:t>
      </w:r>
      <w:hyperlink r:id="rId466" w:history="1">
        <w:r w:rsidRPr="00772D78">
          <w:rPr>
            <w:rStyle w:val="Hyperlink"/>
            <w:lang w:val="en-GB"/>
          </w:rPr>
          <w:t>kernel documentation</w:t>
        </w:r>
      </w:hyperlink>
      <w:r>
        <w:rPr>
          <w:lang w:val="en-GB"/>
        </w:rPr>
        <w:t xml:space="preserve">, the definition are: </w:t>
      </w:r>
    </w:p>
    <w:p w14:paraId="4E88AF92" w14:textId="77777777" w:rsidR="00525768" w:rsidRPr="00EF1CBF" w:rsidRDefault="00525768" w:rsidP="00525768">
      <w:pPr>
        <w:pStyle w:val="Bullet"/>
        <w:rPr>
          <w:lang w:val="en-GB"/>
        </w:rPr>
      </w:pPr>
      <w:r>
        <w:rPr>
          <w:lang w:val="en-GB"/>
        </w:rPr>
        <w:t>“</w:t>
      </w:r>
      <w:r w:rsidRPr="00EF1CBF">
        <w:rPr>
          <w:lang w:val="en-GB"/>
        </w:rPr>
        <w:t>Cached includes memory that is not freeable as page</w:t>
      </w:r>
      <w:r>
        <w:rPr>
          <w:lang w:val="en-GB"/>
        </w:rPr>
        <w:t xml:space="preserve"> </w:t>
      </w:r>
      <w:r w:rsidRPr="00EF1CBF">
        <w:rPr>
          <w:lang w:val="en-GB"/>
        </w:rPr>
        <w:t>cache, for example shared memory segments, tmpfs, and ramfs, and it does</w:t>
      </w:r>
      <w:r>
        <w:rPr>
          <w:lang w:val="en-GB"/>
        </w:rPr>
        <w:t xml:space="preserve"> </w:t>
      </w:r>
      <w:r w:rsidRPr="00EF1CBF">
        <w:rPr>
          <w:lang w:val="en-GB"/>
        </w:rPr>
        <w:t>not include reclaimable slab memory, which can take up a large fraction</w:t>
      </w:r>
      <w:r>
        <w:rPr>
          <w:lang w:val="en-GB"/>
        </w:rPr>
        <w:t xml:space="preserve"> </w:t>
      </w:r>
      <w:r w:rsidRPr="00EF1CBF">
        <w:rPr>
          <w:lang w:val="en-GB"/>
        </w:rPr>
        <w:t>of system memory on mostly idle systems with lots of files.</w:t>
      </w:r>
      <w:r>
        <w:rPr>
          <w:lang w:val="en-GB"/>
        </w:rPr>
        <w:t>”</w:t>
      </w:r>
    </w:p>
    <w:p w14:paraId="6CC44350" w14:textId="77777777" w:rsidR="00525768" w:rsidRDefault="00525768" w:rsidP="00525768">
      <w:pPr>
        <w:pStyle w:val="Bullet"/>
        <w:rPr>
          <w:lang w:val="en-GB"/>
        </w:rPr>
      </w:pPr>
      <w:r w:rsidRPr="004F79B3">
        <w:rPr>
          <w:lang w:val="en-GB"/>
        </w:rPr>
        <w:t xml:space="preserve">Available = An </w:t>
      </w:r>
      <w:r w:rsidRPr="004F79B3">
        <w:rPr>
          <w:i/>
          <w:iCs/>
          <w:color w:val="FF0000"/>
          <w:lang w:val="en-GB"/>
        </w:rPr>
        <w:t>estimate</w:t>
      </w:r>
      <w:r w:rsidRPr="004F79B3">
        <w:rPr>
          <w:color w:val="FF0000"/>
          <w:lang w:val="en-GB"/>
        </w:rPr>
        <w:t xml:space="preserve"> </w:t>
      </w:r>
      <w:r w:rsidRPr="004F79B3">
        <w:rPr>
          <w:lang w:val="en-GB"/>
        </w:rPr>
        <w:t>of how much memory is available for starting new applications, without swapping. Calculated from MemFree, SReclaimable, the size of the file LRU lists, and the low watermarks in each zone. The estimate takes into account that the system needs some page cache to function well, and that not all reclaimable slab will be reclaimable, due to items being in use. The impact of those factors will vary from system to system.</w:t>
      </w:r>
    </w:p>
    <w:p w14:paraId="405734A5" w14:textId="77777777" w:rsidR="00525768" w:rsidRDefault="00525768" w:rsidP="00525768">
      <w:pPr>
        <w:pStyle w:val="Bullet"/>
        <w:rPr>
          <w:lang w:val="en-GB"/>
        </w:rPr>
      </w:pPr>
      <w:r w:rsidRPr="004F79B3">
        <w:rPr>
          <w:lang w:val="en-GB"/>
        </w:rPr>
        <w:t>Buffers: Relatively temporary storage for raw disk blocks shouldn't get tremendously large (20MB or so)</w:t>
      </w:r>
    </w:p>
    <w:p w14:paraId="58A7EECF" w14:textId="77777777" w:rsidR="0001177A" w:rsidRDefault="0001177A" w:rsidP="0001177A">
      <w:pPr>
        <w:rPr>
          <w:lang w:val="en-GB"/>
        </w:rPr>
      </w:pPr>
      <w:r w:rsidRPr="75ACB272">
        <w:rPr>
          <w:lang w:val="en-GB"/>
        </w:rPr>
        <w:lastRenderedPageBreak/>
        <w:t xml:space="preserve">Further reading for Linux, read </w:t>
      </w:r>
      <w:hyperlink r:id="rId467">
        <w:r w:rsidRPr="75ACB272">
          <w:rPr>
            <w:rStyle w:val="Hyperlink"/>
            <w:lang w:val="en-GB"/>
          </w:rPr>
          <w:t>this</w:t>
        </w:r>
      </w:hyperlink>
      <w:r w:rsidRPr="75ACB272">
        <w:rPr>
          <w:lang w:val="en-GB"/>
        </w:rPr>
        <w:t xml:space="preserve">. </w:t>
      </w:r>
    </w:p>
    <w:p w14:paraId="75EF047F" w14:textId="02819C17" w:rsidR="0001177A" w:rsidRPr="00A452F2" w:rsidRDefault="0001177A" w:rsidP="0001177A">
      <w:pPr>
        <w:rPr>
          <w:lang w:val="en-GB"/>
        </w:rPr>
      </w:pPr>
      <w:r w:rsidRPr="00A452F2">
        <w:rPr>
          <w:lang w:val="en-GB"/>
        </w:rPr>
        <w:t xml:space="preserve">Linux has its fair share of simplifying </w:t>
      </w:r>
      <w:r>
        <w:rPr>
          <w:lang w:val="en-GB"/>
        </w:rPr>
        <w:t>how it uses cache</w:t>
      </w:r>
      <w:r w:rsidRPr="00A452F2">
        <w:rPr>
          <w:lang w:val="en-GB"/>
        </w:rPr>
        <w:t xml:space="preserve">. This </w:t>
      </w:r>
      <w:hyperlink r:id="rId468" w:history="1">
        <w:r w:rsidRPr="00A452F2">
          <w:rPr>
            <w:rStyle w:val="Hyperlink"/>
            <w:lang w:val="en-GB"/>
          </w:rPr>
          <w:t>Linux Ate My RAM</w:t>
        </w:r>
      </w:hyperlink>
      <w:r w:rsidRPr="00A452F2">
        <w:rPr>
          <w:lang w:val="en-GB"/>
        </w:rPr>
        <w:t xml:space="preserve"> </w:t>
      </w:r>
      <w:r>
        <w:rPr>
          <w:lang w:val="en-GB"/>
        </w:rPr>
        <w:t>documents it well</w:t>
      </w:r>
      <w:r w:rsidRPr="00A452F2">
        <w:rPr>
          <w:lang w:val="en-GB"/>
        </w:rPr>
        <w:t>. For ESXi, a common misperception is “</w:t>
      </w:r>
      <w:r w:rsidRPr="004113D9">
        <w:rPr>
          <w:color w:val="00B0F0"/>
          <w:lang w:val="en-GB"/>
        </w:rPr>
        <w:t>we are short on RAM, but fine on CPU</w:t>
      </w:r>
      <w:r w:rsidRPr="00A452F2">
        <w:rPr>
          <w:lang w:val="en-GB"/>
        </w:rPr>
        <w:t xml:space="preserve">”, </w:t>
      </w:r>
      <w:r w:rsidRPr="00A452F2">
        <w:rPr>
          <w:color w:val="FF0000"/>
          <w:lang w:val="en-GB"/>
        </w:rPr>
        <w:t>when it is actually the other way around</w:t>
      </w:r>
      <w:r w:rsidRPr="00A452F2">
        <w:rPr>
          <w:lang w:val="en-GB"/>
        </w:rPr>
        <w:t xml:space="preserve">. To prove it, check the </w:t>
      </w:r>
      <w:r w:rsidRPr="00E67D1C">
        <w:rPr>
          <w:rStyle w:val="Strong"/>
          <w:b w:val="0"/>
          <w:bCs w:val="0"/>
          <w:lang w:val="en-GB"/>
        </w:rPr>
        <w:t>performance</w:t>
      </w:r>
      <w:r w:rsidRPr="00A452F2">
        <w:rPr>
          <w:lang w:val="en-GB"/>
        </w:rPr>
        <w:t xml:space="preserve"> </w:t>
      </w:r>
      <w:r>
        <w:rPr>
          <w:lang w:val="en-GB"/>
        </w:rPr>
        <w:t>metrics</w:t>
      </w:r>
      <w:r w:rsidRPr="00A452F2">
        <w:rPr>
          <w:lang w:val="en-GB"/>
        </w:rPr>
        <w:t xml:space="preserve"> for each cluster</w:t>
      </w:r>
      <w:r>
        <w:rPr>
          <w:lang w:val="en-GB"/>
        </w:rPr>
        <w:t>. You may see that the VMs have CPU performance while cluster CPU utilization is lower than cluster memory utilization.</w:t>
      </w:r>
    </w:p>
    <w:p w14:paraId="31F8C992" w14:textId="112D3CEB" w:rsidR="0001177A" w:rsidRDefault="0001177A" w:rsidP="00525768">
      <w:pPr>
        <w:rPr>
          <w:lang w:val="en-GB"/>
        </w:rPr>
      </w:pPr>
    </w:p>
    <w:p w14:paraId="0F86CDC7" w14:textId="22FBCCD1" w:rsidR="0001177A" w:rsidRDefault="0001177A" w:rsidP="00525768">
      <w:pPr>
        <w:rPr>
          <w:lang w:val="en-GB"/>
        </w:rPr>
      </w:pPr>
    </w:p>
    <w:p w14:paraId="37431F43" w14:textId="4FDBAEFE" w:rsidR="00494006" w:rsidRDefault="00494006" w:rsidP="00494006">
      <w:pPr>
        <w:pStyle w:val="Heading5"/>
      </w:pPr>
      <w:r w:rsidRPr="00A452F2">
        <w:t xml:space="preserve">Guest OS </w:t>
      </w:r>
      <w:r>
        <w:t>Needed memory</w:t>
      </w:r>
    </w:p>
    <w:p w14:paraId="39D516E6" w14:textId="68569C56" w:rsidR="00494006" w:rsidRPr="00494006" w:rsidRDefault="00494006" w:rsidP="00494006">
      <w:pPr>
        <w:pStyle w:val="Code"/>
      </w:pPr>
      <w:r w:rsidRPr="00A452F2">
        <w:t>Formula for Linux</w:t>
      </w:r>
      <w:r>
        <w:t xml:space="preserve">  </w:t>
      </w:r>
      <w:r w:rsidRPr="00A452F2">
        <w:t xml:space="preserve"> = physical</w:t>
      </w:r>
      <w:r>
        <w:t xml:space="preserve"> m</w:t>
      </w:r>
      <w:r w:rsidRPr="00A452F2">
        <w:t>em</w:t>
      </w:r>
      <w:r>
        <w:t>ory</w:t>
      </w:r>
      <w:r w:rsidRPr="00A452F2">
        <w:t xml:space="preserve"> – Maximum of (0, (</w:t>
      </w:r>
      <w:r>
        <w:t xml:space="preserve"> </w:t>
      </w:r>
      <w:r w:rsidRPr="00A452F2">
        <w:t>Available - 5 % of physical</w:t>
      </w:r>
      <w:r>
        <w:t xml:space="preserve"> </w:t>
      </w:r>
      <w:r w:rsidRPr="00A452F2">
        <w:t>))</w:t>
      </w:r>
    </w:p>
    <w:p w14:paraId="05AA1BE6" w14:textId="77777777" w:rsidR="0001177A" w:rsidRPr="00A452F2" w:rsidRDefault="0001177A" w:rsidP="0001177A">
      <w:pPr>
        <w:pStyle w:val="Heading5"/>
      </w:pPr>
      <w:r w:rsidRPr="00A452F2">
        <w:t>Active File Cache Memory</w:t>
      </w:r>
    </w:p>
    <w:p w14:paraId="25AA293F" w14:textId="77777777" w:rsidR="0001177A" w:rsidRPr="00A452F2" w:rsidRDefault="0001177A" w:rsidP="0001177A">
      <w:pPr>
        <w:rPr>
          <w:lang w:val="en-GB"/>
        </w:rPr>
      </w:pPr>
      <w:r w:rsidRPr="00A452F2">
        <w:rPr>
          <w:lang w:val="en-GB"/>
        </w:rPr>
        <w:t>In Linux, this is the amount of file cache memory, in kibibytes, that is in active use, or was in active use since the last time the system reclaimed memory. This is retrieved via the command:</w:t>
      </w:r>
    </w:p>
    <w:p w14:paraId="0BFD2EC1" w14:textId="77777777" w:rsidR="0001177A" w:rsidRPr="00A452F2" w:rsidRDefault="0001177A" w:rsidP="0001177A">
      <w:pPr>
        <w:pStyle w:val="Code"/>
      </w:pPr>
      <w:r w:rsidRPr="00A452F2">
        <w:t>$ cat /proc/meminfo | grep Active</w:t>
      </w:r>
    </w:p>
    <w:p w14:paraId="0AF765ED" w14:textId="77777777" w:rsidR="0001177A" w:rsidRPr="00A452F2" w:rsidRDefault="0001177A" w:rsidP="0001177A">
      <w:pPr>
        <w:pStyle w:val="Code"/>
      </w:pPr>
      <w:r w:rsidRPr="00A452F2">
        <w:t>Active:         50955636 kB</w:t>
      </w:r>
    </w:p>
    <w:p w14:paraId="500DF755" w14:textId="77777777" w:rsidR="0001177A" w:rsidRPr="00A452F2" w:rsidRDefault="0001177A" w:rsidP="0001177A">
      <w:pPr>
        <w:pStyle w:val="Code"/>
      </w:pPr>
      <w:r w:rsidRPr="00A452F2">
        <w:t>Active (anon):  30148196 kB</w:t>
      </w:r>
    </w:p>
    <w:p w14:paraId="42D66799" w14:textId="77777777" w:rsidR="0001177A" w:rsidRPr="00A452F2" w:rsidRDefault="0001177A" w:rsidP="0001177A">
      <w:pPr>
        <w:pStyle w:val="Code"/>
      </w:pPr>
      <w:r w:rsidRPr="00A452F2">
        <w:t>Active (file):  20807440 kB</w:t>
      </w:r>
    </w:p>
    <w:p w14:paraId="36512BC1" w14:textId="77777777" w:rsidR="0001177A" w:rsidRPr="00A452F2" w:rsidRDefault="0001177A" w:rsidP="0001177A">
      <w:pPr>
        <w:rPr>
          <w:lang w:val="en-GB"/>
        </w:rPr>
      </w:pPr>
      <w:r w:rsidRPr="00A452F2">
        <w:rPr>
          <w:lang w:val="en-GB"/>
        </w:rPr>
        <w:t xml:space="preserve">For further reading, refer to </w:t>
      </w:r>
      <w:hyperlink r:id="rId469" w:history="1">
        <w:r w:rsidRPr="00A452F2">
          <w:rPr>
            <w:rStyle w:val="Hyperlink"/>
            <w:lang w:val="en-GB"/>
          </w:rPr>
          <w:t>Linux</w:t>
        </w:r>
      </w:hyperlink>
      <w:r w:rsidRPr="00A452F2">
        <w:rPr>
          <w:lang w:val="en-GB"/>
        </w:rPr>
        <w:t xml:space="preserve"> and </w:t>
      </w:r>
      <w:hyperlink r:id="rId470" w:anchor="systemcacheresidentbytes_properties" w:history="1">
        <w:r w:rsidRPr="00A452F2">
          <w:rPr>
            <w:rStyle w:val="Hyperlink"/>
            <w:lang w:val="en-GB"/>
          </w:rPr>
          <w:t>Windows</w:t>
        </w:r>
      </w:hyperlink>
    </w:p>
    <w:p w14:paraId="30ED2167" w14:textId="77777777" w:rsidR="0001177A" w:rsidRDefault="0001177A" w:rsidP="00525768">
      <w:pPr>
        <w:rPr>
          <w:lang w:val="en-GB"/>
        </w:rPr>
      </w:pPr>
    </w:p>
    <w:p w14:paraId="6C8B7D06" w14:textId="659DAF84" w:rsidR="00525768" w:rsidRDefault="0001177A" w:rsidP="00525768">
      <w:pPr>
        <w:rPr>
          <w:lang w:val="en-GB"/>
        </w:rPr>
      </w:pPr>
      <w:r>
        <w:rPr>
          <w:lang w:val="en-GB"/>
        </w:rPr>
        <w:t xml:space="preserve">BTW, </w:t>
      </w:r>
      <w:r w:rsidR="00525768">
        <w:rPr>
          <w:lang w:val="en-GB"/>
        </w:rPr>
        <w:t>I notice the above was committed by Linus himself, on Jan 2014. Hats off for doing low level things like this!</w:t>
      </w:r>
    </w:p>
    <w:p w14:paraId="3E483C47" w14:textId="77777777" w:rsidR="00525768" w:rsidRDefault="00525768" w:rsidP="00525768">
      <w:pPr>
        <w:jc w:val="center"/>
        <w:rPr>
          <w:lang w:val="en-GB"/>
        </w:rPr>
      </w:pPr>
      <w:r w:rsidRPr="0011665E">
        <w:rPr>
          <w:noProof/>
          <w:lang w:val="en-GB"/>
        </w:rPr>
        <w:drawing>
          <wp:inline distT="0" distB="0" distL="0" distR="0" wp14:anchorId="35E8793E" wp14:editId="32800BBA">
            <wp:extent cx="4841287" cy="2237111"/>
            <wp:effectExtent l="0" t="0" r="0" b="0"/>
            <wp:docPr id="357815398" name="Picture 357815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4846613" cy="2239572"/>
                    </a:xfrm>
                    <a:prstGeom prst="rect">
                      <a:avLst/>
                    </a:prstGeom>
                  </pic:spPr>
                </pic:pic>
              </a:graphicData>
            </a:graphic>
          </wp:inline>
        </w:drawing>
      </w:r>
    </w:p>
    <w:p w14:paraId="743D3540" w14:textId="77777777" w:rsidR="00525768" w:rsidRDefault="00525768" w:rsidP="00525768">
      <w:pPr>
        <w:rPr>
          <w:lang w:val="en-GB"/>
        </w:rPr>
      </w:pPr>
      <w:r>
        <w:rPr>
          <w:lang w:val="en-GB"/>
        </w:rPr>
        <w:t xml:space="preserve">What is inactive? </w:t>
      </w:r>
    </w:p>
    <w:p w14:paraId="6B30C0B3" w14:textId="77777777" w:rsidR="00525768" w:rsidRPr="004F79B3" w:rsidRDefault="00525768" w:rsidP="00525768">
      <w:pPr>
        <w:jc w:val="center"/>
        <w:rPr>
          <w:lang w:val="en-GB"/>
        </w:rPr>
      </w:pPr>
      <w:r w:rsidRPr="00805B4B">
        <w:rPr>
          <w:noProof/>
          <w:lang w:val="en-GB"/>
        </w:rPr>
        <w:lastRenderedPageBreak/>
        <w:drawing>
          <wp:inline distT="0" distB="0" distL="0" distR="0" wp14:anchorId="754EADFE" wp14:editId="6675D7CA">
            <wp:extent cx="6645910" cy="2687955"/>
            <wp:effectExtent l="0" t="0" r="2540" b="0"/>
            <wp:docPr id="1525330258" name="Picture 1525330258"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58" name="Picture 1525330258" descr="Chart, histogram&#10;&#10;Description automatically generated"/>
                    <pic:cNvPicPr/>
                  </pic:nvPicPr>
                  <pic:blipFill>
                    <a:blip r:embed="rId472"/>
                    <a:stretch>
                      <a:fillRect/>
                    </a:stretch>
                  </pic:blipFill>
                  <pic:spPr>
                    <a:xfrm>
                      <a:off x="0" y="0"/>
                      <a:ext cx="6645910" cy="2687955"/>
                    </a:xfrm>
                    <a:prstGeom prst="rect">
                      <a:avLst/>
                    </a:prstGeom>
                  </pic:spPr>
                </pic:pic>
              </a:graphicData>
            </a:graphic>
          </wp:inline>
        </w:drawing>
      </w:r>
    </w:p>
    <w:p w14:paraId="67D0C82A" w14:textId="77777777" w:rsidR="0001177A" w:rsidRDefault="0001177A" w:rsidP="0001177A"/>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880"/>
        <w:gridCol w:w="4508"/>
      </w:tblGrid>
      <w:tr w:rsidR="0001177A" w:rsidRPr="005955EB" w14:paraId="01B949F3" w14:textId="77777777" w:rsidTr="00BF05B9">
        <w:tc>
          <w:tcPr>
            <w:tcW w:w="2880" w:type="dxa"/>
          </w:tcPr>
          <w:p w14:paraId="3D3DDA22" w14:textId="77777777" w:rsidR="0001177A" w:rsidRPr="005955EB" w:rsidRDefault="0001177A" w:rsidP="00BF05B9">
            <w:pPr>
              <w:pStyle w:val="Tablecontent"/>
              <w:rPr>
                <w:rFonts w:ascii="Times New Roman" w:hAnsi="Times New Roman" w:cs="Times New Roman"/>
                <w:sz w:val="24"/>
                <w:szCs w:val="24"/>
              </w:rPr>
            </w:pPr>
            <w:r w:rsidRPr="005955EB">
              <w:t>mem.active</w:t>
            </w:r>
          </w:p>
        </w:tc>
        <w:tc>
          <w:tcPr>
            <w:tcW w:w="4508" w:type="dxa"/>
          </w:tcPr>
          <w:p w14:paraId="08E62F82"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1C46B16D" w14:textId="77777777" w:rsidTr="00BF05B9">
        <w:tc>
          <w:tcPr>
            <w:tcW w:w="2880" w:type="dxa"/>
          </w:tcPr>
          <w:p w14:paraId="3C5699D6" w14:textId="77777777" w:rsidR="0001177A" w:rsidRPr="005955EB" w:rsidRDefault="0001177A" w:rsidP="00BF05B9">
            <w:pPr>
              <w:pStyle w:val="Tablecontent"/>
              <w:rPr>
                <w:rFonts w:ascii="Times New Roman" w:hAnsi="Times New Roman" w:cs="Times New Roman"/>
                <w:sz w:val="24"/>
                <w:szCs w:val="24"/>
              </w:rPr>
            </w:pPr>
            <w:r w:rsidRPr="005955EB">
              <w:t>mem.available</w:t>
            </w:r>
          </w:p>
        </w:tc>
        <w:tc>
          <w:tcPr>
            <w:tcW w:w="4508" w:type="dxa"/>
          </w:tcPr>
          <w:p w14:paraId="6158872D"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463F7210" w14:textId="77777777" w:rsidTr="00BF05B9">
        <w:tc>
          <w:tcPr>
            <w:tcW w:w="2880" w:type="dxa"/>
          </w:tcPr>
          <w:p w14:paraId="5F116189" w14:textId="77777777" w:rsidR="0001177A" w:rsidRPr="005955EB" w:rsidRDefault="0001177A" w:rsidP="00BF05B9">
            <w:pPr>
              <w:pStyle w:val="Tablecontent"/>
              <w:rPr>
                <w:rFonts w:ascii="Times New Roman" w:hAnsi="Times New Roman" w:cs="Times New Roman"/>
                <w:sz w:val="24"/>
                <w:szCs w:val="24"/>
              </w:rPr>
            </w:pPr>
            <w:r w:rsidRPr="005955EB">
              <w:t>mem.available.percent</w:t>
            </w:r>
          </w:p>
        </w:tc>
        <w:tc>
          <w:tcPr>
            <w:tcW w:w="4508" w:type="dxa"/>
          </w:tcPr>
          <w:p w14:paraId="38D7B4CA"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34A69548" w14:textId="77777777" w:rsidTr="00BF05B9">
        <w:tc>
          <w:tcPr>
            <w:tcW w:w="2880" w:type="dxa"/>
          </w:tcPr>
          <w:p w14:paraId="0B07B100" w14:textId="77777777" w:rsidR="0001177A" w:rsidRPr="005955EB" w:rsidRDefault="0001177A" w:rsidP="00BF05B9">
            <w:pPr>
              <w:pStyle w:val="Tablecontent"/>
              <w:rPr>
                <w:rFonts w:ascii="Times New Roman" w:hAnsi="Times New Roman" w:cs="Times New Roman"/>
                <w:sz w:val="24"/>
                <w:szCs w:val="24"/>
              </w:rPr>
            </w:pPr>
            <w:r w:rsidRPr="005955EB">
              <w:t>mem.buffered</w:t>
            </w:r>
          </w:p>
        </w:tc>
        <w:tc>
          <w:tcPr>
            <w:tcW w:w="4508" w:type="dxa"/>
          </w:tcPr>
          <w:p w14:paraId="411DF0AB"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21B24585" w14:textId="77777777" w:rsidTr="00BF05B9">
        <w:tc>
          <w:tcPr>
            <w:tcW w:w="2880" w:type="dxa"/>
          </w:tcPr>
          <w:p w14:paraId="75B9B7BB" w14:textId="77777777" w:rsidR="0001177A" w:rsidRPr="005955EB" w:rsidRDefault="0001177A" w:rsidP="00BF05B9">
            <w:pPr>
              <w:pStyle w:val="Tablecontent"/>
              <w:rPr>
                <w:rFonts w:ascii="Times New Roman" w:hAnsi="Times New Roman" w:cs="Times New Roman"/>
                <w:sz w:val="24"/>
                <w:szCs w:val="24"/>
              </w:rPr>
            </w:pPr>
            <w:r w:rsidRPr="005955EB">
              <w:t>mem.cached</w:t>
            </w:r>
          </w:p>
        </w:tc>
        <w:tc>
          <w:tcPr>
            <w:tcW w:w="4508" w:type="dxa"/>
          </w:tcPr>
          <w:p w14:paraId="70CA7332"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4E3310BB" w14:textId="77777777" w:rsidTr="00BF05B9">
        <w:tc>
          <w:tcPr>
            <w:tcW w:w="2880" w:type="dxa"/>
          </w:tcPr>
          <w:p w14:paraId="4F21B8A3" w14:textId="77777777" w:rsidR="0001177A" w:rsidRPr="005955EB" w:rsidRDefault="0001177A" w:rsidP="00BF05B9">
            <w:pPr>
              <w:pStyle w:val="Tablecontent"/>
              <w:rPr>
                <w:rFonts w:ascii="Times New Roman" w:hAnsi="Times New Roman" w:cs="Times New Roman"/>
                <w:sz w:val="24"/>
                <w:szCs w:val="24"/>
              </w:rPr>
            </w:pPr>
            <w:r w:rsidRPr="005955EB">
              <w:t>mem.free</w:t>
            </w:r>
          </w:p>
        </w:tc>
        <w:tc>
          <w:tcPr>
            <w:tcW w:w="4508" w:type="dxa"/>
          </w:tcPr>
          <w:p w14:paraId="5BB51D54"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7EFDF1A3" w14:textId="77777777" w:rsidTr="00BF05B9">
        <w:tc>
          <w:tcPr>
            <w:tcW w:w="2880" w:type="dxa"/>
          </w:tcPr>
          <w:p w14:paraId="1815C162" w14:textId="77777777" w:rsidR="0001177A" w:rsidRPr="005955EB" w:rsidRDefault="0001177A" w:rsidP="00BF05B9">
            <w:pPr>
              <w:pStyle w:val="Tablecontent"/>
              <w:rPr>
                <w:rFonts w:ascii="Times New Roman" w:hAnsi="Times New Roman" w:cs="Times New Roman"/>
                <w:sz w:val="24"/>
                <w:szCs w:val="24"/>
              </w:rPr>
            </w:pPr>
            <w:r w:rsidRPr="005955EB">
              <w:t>mem.inactive</w:t>
            </w:r>
          </w:p>
        </w:tc>
        <w:tc>
          <w:tcPr>
            <w:tcW w:w="4508" w:type="dxa"/>
          </w:tcPr>
          <w:p w14:paraId="15A89236"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4AFB6245" w14:textId="77777777" w:rsidTr="00BF05B9">
        <w:tc>
          <w:tcPr>
            <w:tcW w:w="2880" w:type="dxa"/>
          </w:tcPr>
          <w:p w14:paraId="6F2BFA1D" w14:textId="77777777" w:rsidR="0001177A" w:rsidRPr="005955EB" w:rsidRDefault="0001177A" w:rsidP="00BF05B9">
            <w:pPr>
              <w:pStyle w:val="Tablecontent"/>
              <w:rPr>
                <w:rFonts w:ascii="Times New Roman" w:hAnsi="Times New Roman" w:cs="Times New Roman"/>
                <w:sz w:val="24"/>
                <w:szCs w:val="24"/>
              </w:rPr>
            </w:pPr>
            <w:r w:rsidRPr="005955EB">
              <w:t>mem.slab</w:t>
            </w:r>
          </w:p>
        </w:tc>
        <w:tc>
          <w:tcPr>
            <w:tcW w:w="4508" w:type="dxa"/>
          </w:tcPr>
          <w:p w14:paraId="05272D24"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5D077A02" w14:textId="77777777" w:rsidTr="00BF05B9">
        <w:tc>
          <w:tcPr>
            <w:tcW w:w="2880" w:type="dxa"/>
          </w:tcPr>
          <w:p w14:paraId="28F5C0A4" w14:textId="77777777" w:rsidR="0001177A" w:rsidRPr="005955EB" w:rsidRDefault="0001177A" w:rsidP="00BF05B9">
            <w:pPr>
              <w:pStyle w:val="Tablecontent"/>
              <w:rPr>
                <w:rFonts w:ascii="Times New Roman" w:hAnsi="Times New Roman" w:cs="Times New Roman"/>
                <w:sz w:val="24"/>
                <w:szCs w:val="24"/>
              </w:rPr>
            </w:pPr>
            <w:r w:rsidRPr="005955EB">
              <w:t>mem.total</w:t>
            </w:r>
          </w:p>
        </w:tc>
        <w:tc>
          <w:tcPr>
            <w:tcW w:w="4508" w:type="dxa"/>
          </w:tcPr>
          <w:p w14:paraId="76EC29AB"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5CE15F9B" w14:textId="77777777" w:rsidTr="00BF05B9">
        <w:tc>
          <w:tcPr>
            <w:tcW w:w="2880" w:type="dxa"/>
          </w:tcPr>
          <w:p w14:paraId="02E0865B" w14:textId="77777777" w:rsidR="0001177A" w:rsidRPr="005955EB" w:rsidRDefault="0001177A" w:rsidP="00BF05B9">
            <w:pPr>
              <w:pStyle w:val="Tablecontent"/>
              <w:rPr>
                <w:rFonts w:ascii="Times New Roman" w:hAnsi="Times New Roman" w:cs="Times New Roman"/>
                <w:sz w:val="24"/>
                <w:szCs w:val="24"/>
              </w:rPr>
            </w:pPr>
            <w:r w:rsidRPr="005955EB">
              <w:t>mem.used</w:t>
            </w:r>
          </w:p>
        </w:tc>
        <w:tc>
          <w:tcPr>
            <w:tcW w:w="4508" w:type="dxa"/>
          </w:tcPr>
          <w:p w14:paraId="7A8F0C8C"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6B352276" w14:textId="77777777" w:rsidTr="00BF05B9">
        <w:tc>
          <w:tcPr>
            <w:tcW w:w="2880" w:type="dxa"/>
          </w:tcPr>
          <w:p w14:paraId="4D1D9ABE" w14:textId="77777777" w:rsidR="0001177A" w:rsidRPr="005955EB" w:rsidRDefault="0001177A" w:rsidP="00BF05B9">
            <w:pPr>
              <w:pStyle w:val="Tablecontent"/>
              <w:rPr>
                <w:rFonts w:ascii="Times New Roman" w:hAnsi="Times New Roman" w:cs="Times New Roman"/>
                <w:sz w:val="24"/>
                <w:szCs w:val="24"/>
              </w:rPr>
            </w:pPr>
            <w:r w:rsidRPr="005955EB">
              <w:t>mem.used.percent</w:t>
            </w:r>
          </w:p>
        </w:tc>
        <w:tc>
          <w:tcPr>
            <w:tcW w:w="4508" w:type="dxa"/>
          </w:tcPr>
          <w:p w14:paraId="03C65846"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71C156C4" w14:textId="77777777" w:rsidTr="00BF05B9">
        <w:tc>
          <w:tcPr>
            <w:tcW w:w="2880" w:type="dxa"/>
          </w:tcPr>
          <w:p w14:paraId="7077E913" w14:textId="77777777" w:rsidR="0001177A" w:rsidRPr="005955EB" w:rsidRDefault="0001177A" w:rsidP="00BF05B9">
            <w:pPr>
              <w:pStyle w:val="Tablecontent"/>
            </w:pPr>
            <w:r w:rsidRPr="005955EB">
              <w:t>swap.free</w:t>
            </w:r>
          </w:p>
        </w:tc>
        <w:tc>
          <w:tcPr>
            <w:tcW w:w="4508" w:type="dxa"/>
          </w:tcPr>
          <w:p w14:paraId="4335606F"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20220991" w14:textId="77777777" w:rsidTr="00BF05B9">
        <w:tc>
          <w:tcPr>
            <w:tcW w:w="2880" w:type="dxa"/>
          </w:tcPr>
          <w:p w14:paraId="212A923E" w14:textId="77777777" w:rsidR="0001177A" w:rsidRPr="005955EB" w:rsidRDefault="0001177A" w:rsidP="00BF05B9">
            <w:pPr>
              <w:pStyle w:val="Tablecontent"/>
            </w:pPr>
            <w:r w:rsidRPr="005955EB">
              <w:t>swap.in</w:t>
            </w:r>
          </w:p>
        </w:tc>
        <w:tc>
          <w:tcPr>
            <w:tcW w:w="4508" w:type="dxa"/>
          </w:tcPr>
          <w:p w14:paraId="793923DF"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08619FC0" w14:textId="77777777" w:rsidTr="00BF05B9">
        <w:tc>
          <w:tcPr>
            <w:tcW w:w="2880" w:type="dxa"/>
          </w:tcPr>
          <w:p w14:paraId="54D5B459" w14:textId="77777777" w:rsidR="0001177A" w:rsidRPr="005955EB" w:rsidRDefault="0001177A" w:rsidP="00BF05B9">
            <w:pPr>
              <w:pStyle w:val="Tablecontent"/>
            </w:pPr>
            <w:r w:rsidRPr="005955EB">
              <w:t>swap.out</w:t>
            </w:r>
          </w:p>
        </w:tc>
        <w:tc>
          <w:tcPr>
            <w:tcW w:w="4508" w:type="dxa"/>
          </w:tcPr>
          <w:p w14:paraId="2574AEC6"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08A9A29E" w14:textId="77777777" w:rsidTr="00BF05B9">
        <w:tc>
          <w:tcPr>
            <w:tcW w:w="2880" w:type="dxa"/>
          </w:tcPr>
          <w:p w14:paraId="243A369C" w14:textId="77777777" w:rsidR="0001177A" w:rsidRPr="005955EB" w:rsidRDefault="0001177A" w:rsidP="00BF05B9">
            <w:pPr>
              <w:pStyle w:val="Tablecontent"/>
            </w:pPr>
            <w:r w:rsidRPr="005955EB">
              <w:t>swap.total</w:t>
            </w:r>
          </w:p>
        </w:tc>
        <w:tc>
          <w:tcPr>
            <w:tcW w:w="4508" w:type="dxa"/>
          </w:tcPr>
          <w:p w14:paraId="684DB871"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1EF6B4B8" w14:textId="77777777" w:rsidTr="00BF05B9">
        <w:tc>
          <w:tcPr>
            <w:tcW w:w="2880" w:type="dxa"/>
          </w:tcPr>
          <w:p w14:paraId="6ED03986" w14:textId="77777777" w:rsidR="0001177A" w:rsidRPr="005955EB" w:rsidRDefault="0001177A" w:rsidP="00BF05B9">
            <w:pPr>
              <w:pStyle w:val="Tablecontent"/>
            </w:pPr>
            <w:r w:rsidRPr="005955EB">
              <w:t>swap.used</w:t>
            </w:r>
          </w:p>
        </w:tc>
        <w:tc>
          <w:tcPr>
            <w:tcW w:w="4508" w:type="dxa"/>
          </w:tcPr>
          <w:p w14:paraId="453BB760" w14:textId="77777777" w:rsidR="0001177A" w:rsidRPr="005955EB" w:rsidRDefault="0001177A" w:rsidP="00BF05B9">
            <w:pPr>
              <w:pStyle w:val="Tablecontent"/>
              <w:rPr>
                <w:rFonts w:ascii="Times New Roman" w:hAnsi="Times New Roman" w:cs="Times New Roman"/>
                <w:sz w:val="24"/>
                <w:szCs w:val="24"/>
              </w:rPr>
            </w:pPr>
          </w:p>
        </w:tc>
      </w:tr>
      <w:tr w:rsidR="0001177A" w:rsidRPr="005955EB" w14:paraId="2C6E4224" w14:textId="77777777" w:rsidTr="00BF05B9">
        <w:tc>
          <w:tcPr>
            <w:tcW w:w="2880" w:type="dxa"/>
          </w:tcPr>
          <w:p w14:paraId="797FBE52" w14:textId="77777777" w:rsidR="0001177A" w:rsidRPr="005955EB" w:rsidRDefault="0001177A" w:rsidP="00BF05B9">
            <w:pPr>
              <w:pStyle w:val="Tablecontent"/>
            </w:pPr>
            <w:r w:rsidRPr="005955EB">
              <w:t>swap.used.percent</w:t>
            </w:r>
          </w:p>
        </w:tc>
        <w:tc>
          <w:tcPr>
            <w:tcW w:w="4508" w:type="dxa"/>
          </w:tcPr>
          <w:p w14:paraId="34B55AEF" w14:textId="77777777" w:rsidR="0001177A" w:rsidRPr="005955EB" w:rsidRDefault="0001177A" w:rsidP="00BF05B9">
            <w:pPr>
              <w:pStyle w:val="Tablecontent"/>
              <w:rPr>
                <w:rFonts w:ascii="Times New Roman" w:hAnsi="Times New Roman" w:cs="Times New Roman"/>
                <w:sz w:val="24"/>
                <w:szCs w:val="24"/>
              </w:rPr>
            </w:pPr>
          </w:p>
        </w:tc>
      </w:tr>
    </w:tbl>
    <w:p w14:paraId="07FF5DA4" w14:textId="77777777" w:rsidR="00525768" w:rsidRDefault="00525768" w:rsidP="00525768">
      <w:pPr>
        <w:rPr>
          <w:lang w:val="en-GB"/>
        </w:rPr>
      </w:pPr>
    </w:p>
    <w:p w14:paraId="2321E241" w14:textId="17CD57DB" w:rsidR="007D48E7" w:rsidRDefault="00AF64B5" w:rsidP="007D48E7">
      <w:pPr>
        <w:pStyle w:val="Heading3"/>
      </w:pPr>
      <w:r>
        <w:lastRenderedPageBreak/>
        <w:t>VMware Guest OS Metrics</w:t>
      </w:r>
    </w:p>
    <w:p w14:paraId="3BB01BB0" w14:textId="3A5DE1CB" w:rsidR="00AF64B5" w:rsidRDefault="00AF64B5" w:rsidP="00AF64B5">
      <w:pPr>
        <w:rPr>
          <w:lang w:val="en-GB"/>
        </w:rPr>
      </w:pPr>
      <w:r>
        <w:rPr>
          <w:lang w:val="en-GB"/>
        </w:rPr>
        <w:t xml:space="preserve">VMware provides visibility into Windows and Linux via the following products: </w:t>
      </w:r>
    </w:p>
    <w:p w14:paraId="3EAC08F4" w14:textId="434FD89F" w:rsidR="00AF64B5" w:rsidRDefault="00AF64B5" w:rsidP="00AF64B5">
      <w:pPr>
        <w:pStyle w:val="Bullet"/>
        <w:rPr>
          <w:lang w:val="en-GB"/>
        </w:rPr>
      </w:pPr>
      <w:r>
        <w:rPr>
          <w:lang w:val="en-GB"/>
        </w:rPr>
        <w:t>VMware Tools.</w:t>
      </w:r>
    </w:p>
    <w:p w14:paraId="693624C6" w14:textId="04D94BB1" w:rsidR="00AF64B5" w:rsidRDefault="00AF64B5" w:rsidP="00AF64B5">
      <w:pPr>
        <w:pStyle w:val="Bullet"/>
        <w:rPr>
          <w:lang w:val="en-GB"/>
        </w:rPr>
      </w:pPr>
      <w:r>
        <w:rPr>
          <w:lang w:val="en-GB"/>
        </w:rPr>
        <w:t>Telegraf.</w:t>
      </w:r>
    </w:p>
    <w:p w14:paraId="27C0B7FF" w14:textId="4640FFAA" w:rsidR="00AF64B5" w:rsidRPr="00AF64B5" w:rsidRDefault="00AF64B5" w:rsidP="00AF64B5">
      <w:pPr>
        <w:pStyle w:val="Bullet"/>
        <w:rPr>
          <w:lang w:val="en-GB"/>
        </w:rPr>
      </w:pPr>
      <w:r>
        <w:rPr>
          <w:lang w:val="en-GB"/>
        </w:rPr>
        <w:t>Service Discovery</w:t>
      </w:r>
    </w:p>
    <w:p w14:paraId="6CFB63A1" w14:textId="310F3914" w:rsidR="007D48E7" w:rsidRPr="007D48E7" w:rsidRDefault="007D48E7" w:rsidP="007D48E7">
      <w:pPr>
        <w:pStyle w:val="Heading4"/>
      </w:pPr>
      <w:r>
        <w:t>VMware Tools</w:t>
      </w:r>
    </w:p>
    <w:p w14:paraId="03F80367" w14:textId="77777777" w:rsidR="007D48E7" w:rsidRDefault="007D48E7" w:rsidP="007D48E7">
      <w:pPr>
        <w:rPr>
          <w:lang w:val="en-GB"/>
        </w:rPr>
      </w:pPr>
      <w:r>
        <w:rPr>
          <w:lang w:val="en-GB"/>
        </w:rPr>
        <w:t>Take note that Tools collect every 20 seconds. vRealize Operations then average 15 sets of these and form the 5-minute data point. This is why the value can differ to the one reported by Telegraf. Telegraf does not average all the data point. It only returns a single data point, which is the last data.</w:t>
      </w:r>
    </w:p>
    <w:p w14:paraId="5CA73F23" w14:textId="77777777" w:rsidR="007D48E7" w:rsidRDefault="007D48E7" w:rsidP="007D48E7">
      <w:pPr>
        <w:rPr>
          <w:lang w:val="en-GB"/>
        </w:rPr>
      </w:pPr>
      <w:r>
        <w:rPr>
          <w:lang w:val="en-GB"/>
        </w:rPr>
        <w:t>BTW, i</w:t>
      </w:r>
      <w:r>
        <w:t xml:space="preserve">f you notice a rare intermittent collection, check </w:t>
      </w:r>
      <w:r w:rsidRPr="00B71AC1">
        <w:rPr>
          <w:color w:val="00B0F0"/>
        </w:rPr>
        <w:t xml:space="preserve">vmware.log </w:t>
      </w:r>
      <w:r>
        <w:t xml:space="preserve">of the VM. It could be that </w:t>
      </w:r>
      <w:r w:rsidRPr="0055024E">
        <w:rPr>
          <w:b/>
          <w:bCs/>
          <w:color w:val="00B0F0"/>
        </w:rPr>
        <w:t>vmtoolsd</w:t>
      </w:r>
      <w:r w:rsidRPr="0055024E">
        <w:rPr>
          <w:color w:val="00B0F0"/>
        </w:rPr>
        <w:t xml:space="preserve"> </w:t>
      </w:r>
      <w:r>
        <w:t>daemon in Guest OS paused for a while, due to guest workload or other issue in Windows or Linux.</w:t>
      </w:r>
    </w:p>
    <w:p w14:paraId="172E0ED0" w14:textId="77777777" w:rsidR="007D48E7" w:rsidRDefault="007D48E7" w:rsidP="007D48E7">
      <w:pPr>
        <w:rPr>
          <w:lang w:val="en-GB"/>
        </w:rPr>
      </w:pPr>
      <w:r>
        <w:rPr>
          <w:lang w:val="en-GB"/>
        </w:rPr>
        <w:t>vRealize Operations provide 3 properties for Tools</w:t>
      </w:r>
    </w:p>
    <w:p w14:paraId="5CFB0705" w14:textId="77777777" w:rsidR="007D48E7" w:rsidRDefault="007D48E7" w:rsidP="007D48E7">
      <w:pPr>
        <w:jc w:val="center"/>
        <w:rPr>
          <w:lang w:val="en-GB"/>
        </w:rPr>
      </w:pPr>
      <w:r>
        <w:rPr>
          <w:noProof/>
          <w:lang w:val="en-GB"/>
        </w:rPr>
        <w:drawing>
          <wp:inline distT="0" distB="0" distL="0" distR="0" wp14:anchorId="3AC804CF" wp14:editId="266D54B0">
            <wp:extent cx="3816000" cy="2088000"/>
            <wp:effectExtent l="0" t="0" r="0" b="7620"/>
            <wp:docPr id="1859674514" name="Picture 185967451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14" name="Picture 1859674514" descr="Table&#10;&#10;Description automatically generated"/>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3816000" cy="2088000"/>
                    </a:xfrm>
                    <a:prstGeom prst="rect">
                      <a:avLst/>
                    </a:prstGeom>
                    <a:noFill/>
                    <a:ln>
                      <a:noFill/>
                    </a:ln>
                  </pic:spPr>
                </pic:pic>
              </a:graphicData>
            </a:graphic>
          </wp:inline>
        </w:drawing>
      </w:r>
    </w:p>
    <w:p w14:paraId="25493345" w14:textId="77777777" w:rsidR="007D48E7" w:rsidRDefault="007D48E7" w:rsidP="007D48E7">
      <w:r>
        <w:t>Tools Running Status. As you can see from above, it captures if tools are running or not running. That’s all. Note its actual value does not use binary (1 or 1) or true/false.</w:t>
      </w:r>
    </w:p>
    <w:p w14:paraId="0440997D" w14:textId="77777777" w:rsidR="007D48E7" w:rsidRDefault="007D48E7" w:rsidP="007D48E7">
      <w:r>
        <w:t>Tools Version. This captures the version number. I’m not sure why some versions numbers is a 10-digit number. If this is not installed, it returns 0.</w:t>
      </w:r>
    </w:p>
    <w:p w14:paraId="3D4D0576" w14:textId="20CF904A" w:rsidR="007D48E7" w:rsidRDefault="007D48E7" w:rsidP="007D48E7">
      <w:pPr>
        <w:rPr>
          <w:lang w:val="en-GB"/>
        </w:rPr>
      </w:pPr>
      <w:r>
        <w:t xml:space="preserve">Tools Version Status. </w:t>
      </w:r>
      <w:r>
        <w:rPr>
          <w:lang w:val="en-GB"/>
        </w:rPr>
        <w:t>The following table explains the meaning of the values</w:t>
      </w:r>
      <w:r w:rsidR="005608E8">
        <w:rPr>
          <w:lang w:val="en-GB"/>
        </w:rPr>
        <w:t>:</w:t>
      </w:r>
    </w:p>
    <w:p w14:paraId="4ED74A6C" w14:textId="77777777" w:rsidR="007D48E7" w:rsidRPr="00260D29" w:rsidRDefault="007D48E7" w:rsidP="007D48E7">
      <w:pPr>
        <w:pStyle w:val="BeforeTable"/>
        <w:rPr>
          <w:lang w:val="en-GB"/>
        </w:rPr>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689"/>
        <w:gridCol w:w="7767"/>
      </w:tblGrid>
      <w:tr w:rsidR="007D48E7" w:rsidRPr="00AB3A08" w14:paraId="69D67AC5" w14:textId="77777777" w:rsidTr="002813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344EE0CF" w14:textId="77777777" w:rsidR="007D48E7" w:rsidRPr="00AB3A08" w:rsidRDefault="007D48E7" w:rsidP="00281329">
            <w:pPr>
              <w:pStyle w:val="Tableheading"/>
              <w:rPr>
                <w:b/>
              </w:rPr>
            </w:pPr>
            <w:r w:rsidRPr="00AB3A08">
              <w:rPr>
                <w:b/>
              </w:rPr>
              <w:t>Value</w:t>
            </w:r>
          </w:p>
        </w:tc>
        <w:tc>
          <w:tcPr>
            <w:tcW w:w="7767" w:type="dxa"/>
          </w:tcPr>
          <w:p w14:paraId="51133B4B" w14:textId="77777777" w:rsidR="007D48E7" w:rsidRPr="00AB3A08" w:rsidRDefault="007D48E7" w:rsidP="00281329">
            <w:pPr>
              <w:pStyle w:val="Tableheading"/>
              <w:cnfStyle w:val="100000000000" w:firstRow="1" w:lastRow="0" w:firstColumn="0" w:lastColumn="0" w:oddVBand="0" w:evenVBand="0" w:oddHBand="0" w:evenHBand="0" w:firstRowFirstColumn="0" w:firstRowLastColumn="0" w:lastRowFirstColumn="0" w:lastRowLastColumn="0"/>
              <w:rPr>
                <w:b/>
              </w:rPr>
            </w:pPr>
            <w:r w:rsidRPr="00AB3A08">
              <w:rPr>
                <w:b/>
              </w:rPr>
              <w:t>Description</w:t>
            </w:r>
          </w:p>
        </w:tc>
      </w:tr>
      <w:tr w:rsidR="007D48E7" w:rsidRPr="00E51A31" w14:paraId="1A3DBB6A" w14:textId="77777777" w:rsidTr="00281329">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6430BF31" w14:textId="77777777" w:rsidR="007D48E7" w:rsidRPr="00AB3A08" w:rsidRDefault="007D48E7" w:rsidP="00281329">
            <w:pPr>
              <w:pStyle w:val="Tablecontent"/>
              <w:rPr>
                <w:b w:val="0"/>
                <w:bCs w:val="0"/>
              </w:rPr>
            </w:pPr>
            <w:r w:rsidRPr="00AB3A08">
              <w:rPr>
                <w:b w:val="0"/>
                <w:bCs w:val="0"/>
              </w:rPr>
              <w:t>Guest Tools Not Installed</w:t>
            </w:r>
          </w:p>
        </w:tc>
        <w:tc>
          <w:tcPr>
            <w:tcW w:w="7767" w:type="dxa"/>
          </w:tcPr>
          <w:p w14:paraId="3D239CA8" w14:textId="77777777" w:rsidR="007D48E7" w:rsidRPr="00A452F2" w:rsidRDefault="007D48E7"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Tools are not installed on the VM. You should install it as you get both drivers and visibility</w:t>
            </w:r>
          </w:p>
        </w:tc>
      </w:tr>
      <w:tr w:rsidR="007D48E7" w:rsidRPr="00E51A31" w14:paraId="66E8A912" w14:textId="77777777" w:rsidTr="00281329">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4D4B97F1" w14:textId="77777777" w:rsidR="007D48E7" w:rsidRPr="00AB3A08" w:rsidRDefault="007D48E7" w:rsidP="00281329">
            <w:pPr>
              <w:pStyle w:val="Tablecontent"/>
              <w:rPr>
                <w:b w:val="0"/>
                <w:bCs w:val="0"/>
              </w:rPr>
            </w:pPr>
            <w:r w:rsidRPr="00AB3A08">
              <w:rPr>
                <w:b w:val="0"/>
                <w:bCs w:val="0"/>
              </w:rPr>
              <w:t>Current</w:t>
            </w:r>
          </w:p>
        </w:tc>
        <w:tc>
          <w:tcPr>
            <w:tcW w:w="7767" w:type="dxa"/>
          </w:tcPr>
          <w:p w14:paraId="6810C87F" w14:textId="77777777" w:rsidR="007D48E7" w:rsidRPr="00A452F2" w:rsidRDefault="007D48E7"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Tools version matches with the Tools available with ESXi. Each ESXi has a version of Tools that comes with it. See this for the list. This is the ideal scenario</w:t>
            </w:r>
          </w:p>
        </w:tc>
      </w:tr>
      <w:tr w:rsidR="007D48E7" w:rsidRPr="00E51A31" w14:paraId="4E4741A1" w14:textId="77777777" w:rsidTr="00281329">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06AAF7D3" w14:textId="77777777" w:rsidR="007D48E7" w:rsidRPr="00AB3A08" w:rsidRDefault="007D48E7" w:rsidP="00281329">
            <w:pPr>
              <w:pStyle w:val="Tablecontent"/>
              <w:rPr>
                <w:b w:val="0"/>
                <w:bCs w:val="0"/>
              </w:rPr>
            </w:pPr>
            <w:r w:rsidRPr="00AB3A08">
              <w:rPr>
                <w:b w:val="0"/>
                <w:bCs w:val="0"/>
              </w:rPr>
              <w:lastRenderedPageBreak/>
              <w:t>Supported New</w:t>
            </w:r>
          </w:p>
        </w:tc>
        <w:tc>
          <w:tcPr>
            <w:tcW w:w="7767" w:type="dxa"/>
          </w:tcPr>
          <w:p w14:paraId="67F21CC9" w14:textId="77777777" w:rsidR="007D48E7" w:rsidRPr="00A452F2" w:rsidRDefault="007D48E7"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Newer than the ESXi VMware tools version, but it is supported</w:t>
            </w:r>
          </w:p>
        </w:tc>
      </w:tr>
      <w:tr w:rsidR="007D48E7" w:rsidRPr="00E51A31" w14:paraId="162921C3" w14:textId="77777777" w:rsidTr="00281329">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1EADABEF" w14:textId="77777777" w:rsidR="007D48E7" w:rsidRPr="00AB3A08" w:rsidRDefault="007D48E7" w:rsidP="00281329">
            <w:pPr>
              <w:pStyle w:val="Tablecontent"/>
              <w:rPr>
                <w:b w:val="0"/>
                <w:bCs w:val="0"/>
              </w:rPr>
            </w:pPr>
            <w:r w:rsidRPr="00AB3A08">
              <w:rPr>
                <w:b w:val="0"/>
                <w:bCs w:val="0"/>
              </w:rPr>
              <w:t>Supported Old</w:t>
            </w:r>
          </w:p>
        </w:tc>
        <w:tc>
          <w:tcPr>
            <w:tcW w:w="7767" w:type="dxa"/>
          </w:tcPr>
          <w:p w14:paraId="07A9BFA0" w14:textId="77777777" w:rsidR="007D48E7" w:rsidRPr="00A452F2" w:rsidRDefault="007D48E7"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The opposite of New. It is also supported. Even it is older by 0.0.1 is considered old. It does not have to far behind</w:t>
            </w:r>
          </w:p>
        </w:tc>
      </w:tr>
      <w:tr w:rsidR="007D48E7" w:rsidRPr="00E51A31" w14:paraId="34249D0B" w14:textId="77777777" w:rsidTr="00281329">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4300F800" w14:textId="77777777" w:rsidR="007D48E7" w:rsidRPr="00AB3A08" w:rsidRDefault="007D48E7" w:rsidP="00281329">
            <w:pPr>
              <w:pStyle w:val="Tablecontent"/>
              <w:rPr>
                <w:b w:val="0"/>
                <w:bCs w:val="0"/>
              </w:rPr>
            </w:pPr>
            <w:r w:rsidRPr="00AB3A08">
              <w:rPr>
                <w:b w:val="0"/>
                <w:bCs w:val="0"/>
              </w:rPr>
              <w:t>Too Old</w:t>
            </w:r>
          </w:p>
        </w:tc>
        <w:tc>
          <w:tcPr>
            <w:tcW w:w="7767" w:type="dxa"/>
          </w:tcPr>
          <w:p w14:paraId="173700C1" w14:textId="77777777" w:rsidR="007D48E7" w:rsidRPr="00A452F2" w:rsidRDefault="007D48E7"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Tools version is older than the minimum supported version of Tools across all ESXi versions. Minimum supported version is the oldest version of Tools we support. Basically, guest is running unsupported Tools. You should upgrade. As of now for Linux and Windows guests. minimum supported version is the Tools version bundled with ESXi 4.0 which is 8.0.1. Supporting such old versions is challenging. We are planning to change this in future to something newer. In the meantime, you should upgrade as might not work as expected</w:t>
            </w:r>
          </w:p>
        </w:tc>
      </w:tr>
      <w:tr w:rsidR="007D48E7" w:rsidRPr="00E51A31" w14:paraId="73769F4C" w14:textId="77777777" w:rsidTr="00281329">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7BA979EC" w14:textId="77777777" w:rsidR="007D48E7" w:rsidRPr="00AB3A08" w:rsidRDefault="007D48E7" w:rsidP="00281329">
            <w:pPr>
              <w:pStyle w:val="Tablecontent"/>
              <w:rPr>
                <w:b w:val="0"/>
                <w:bCs w:val="0"/>
              </w:rPr>
            </w:pPr>
            <w:r w:rsidRPr="00AB3A08">
              <w:rPr>
                <w:b w:val="0"/>
                <w:bCs w:val="0"/>
              </w:rPr>
              <w:t>Unmanaged</w:t>
            </w:r>
          </w:p>
        </w:tc>
        <w:tc>
          <w:tcPr>
            <w:tcW w:w="7767" w:type="dxa"/>
          </w:tcPr>
          <w:p w14:paraId="2FB74527" w14:textId="77777777" w:rsidR="007D48E7" w:rsidRPr="00A452F2" w:rsidRDefault="007D48E7" w:rsidP="00281329">
            <w:pPr>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 xml:space="preserve">Tools installed in the guest did not come from ESXi, so Tools is not being managed by ESXi host. It may be supported or maybe not, depends on what type of Tools is running in the guest. We support </w:t>
            </w:r>
            <w:r w:rsidRPr="00B71AC1">
              <w:rPr>
                <w:color w:val="00B0F0"/>
                <w:lang w:val="en-GB"/>
              </w:rPr>
              <w:t xml:space="preserve">open-vm-tools </w:t>
            </w:r>
            <w:r w:rsidRPr="00A452F2">
              <w:rPr>
                <w:lang w:val="en-GB"/>
              </w:rPr>
              <w:t>packaged by Linux vendors and OSPs, which both show up as unmanaged.</w:t>
            </w:r>
          </w:p>
          <w:p w14:paraId="24E4AABB" w14:textId="77777777" w:rsidR="007D48E7" w:rsidRPr="00A452F2" w:rsidRDefault="007D48E7"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 xml:space="preserve">If a customer builds their own </w:t>
            </w:r>
            <w:r w:rsidRPr="00B71AC1">
              <w:rPr>
                <w:color w:val="00B0F0"/>
                <w:lang w:val="en-GB"/>
              </w:rPr>
              <w:t xml:space="preserve">open-vm-tools </w:t>
            </w:r>
            <w:r w:rsidRPr="00A452F2">
              <w:rPr>
                <w:lang w:val="en-GB"/>
              </w:rPr>
              <w:t>from source code, we may not support that because we will not know if they have done it correctly or not</w:t>
            </w:r>
          </w:p>
        </w:tc>
      </w:tr>
    </w:tbl>
    <w:p w14:paraId="27A3CF16" w14:textId="6E3F44E1" w:rsidR="00C62BF2" w:rsidRDefault="00C62BF2" w:rsidP="00AF64B5">
      <w:pPr>
        <w:pStyle w:val="Heading5"/>
      </w:pPr>
      <w:r>
        <w:t>Windows</w:t>
      </w:r>
    </w:p>
    <w:p w14:paraId="524C4101" w14:textId="77777777" w:rsidR="00C62BF2" w:rsidRPr="0038305D" w:rsidRDefault="00C62BF2" w:rsidP="00C62BF2">
      <w:pPr>
        <w:rPr>
          <w:lang w:val="en-GB" w:eastAsia="en-SG"/>
        </w:rPr>
      </w:pPr>
      <w:r>
        <w:rPr>
          <w:lang w:val="en-GB" w:eastAsia="en-SG"/>
        </w:rPr>
        <w:t>Unlike Linux, Windows API provides the value. So Tools do not have to calculate.</w:t>
      </w:r>
    </w:p>
    <w:p w14:paraId="52669E2D" w14:textId="77777777" w:rsidR="00C62BF2" w:rsidRDefault="00C62BF2" w:rsidP="00C62BF2">
      <w:pPr>
        <w:rPr>
          <w:lang w:val="en-GB"/>
        </w:rPr>
      </w:pPr>
      <w:r>
        <w:rPr>
          <w:lang w:val="en-GB"/>
        </w:rPr>
        <w:t>The units are identical to the correspondent counter from Linux, hence not shown.</w:t>
      </w:r>
    </w:p>
    <w:p w14:paraId="45CF03E2" w14:textId="77777777" w:rsidR="00C62BF2" w:rsidRPr="003A01E5" w:rsidRDefault="00C62BF2" w:rsidP="00C62BF2">
      <w:pPr>
        <w:pStyle w:val="BeforeTable"/>
        <w:rPr>
          <w:lang w:val="en-GB"/>
        </w:rPr>
      </w:pPr>
    </w:p>
    <w:tbl>
      <w:tblPr>
        <w:tblStyle w:val="TableGridLight"/>
        <w:tblW w:w="1048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014"/>
        <w:gridCol w:w="7471"/>
      </w:tblGrid>
      <w:tr w:rsidR="00C62BF2" w14:paraId="260581F3" w14:textId="77777777" w:rsidTr="00281329">
        <w:tc>
          <w:tcPr>
            <w:tcW w:w="3014" w:type="dxa"/>
            <w:shd w:val="clear" w:color="auto" w:fill="F2F2F2" w:themeFill="background1" w:themeFillShade="F2"/>
            <w:hideMark/>
          </w:tcPr>
          <w:p w14:paraId="31D4BF48" w14:textId="77777777" w:rsidR="00C62BF2" w:rsidRDefault="00C62BF2" w:rsidP="00281329">
            <w:pPr>
              <w:pStyle w:val="Tableheading"/>
            </w:pPr>
            <w:r>
              <w:t xml:space="preserve">Stat Name </w:t>
            </w:r>
          </w:p>
        </w:tc>
        <w:tc>
          <w:tcPr>
            <w:tcW w:w="7471" w:type="dxa"/>
            <w:hideMark/>
          </w:tcPr>
          <w:p w14:paraId="49BB0040" w14:textId="77777777" w:rsidR="00C62BF2" w:rsidRDefault="00C62BF2" w:rsidP="00281329">
            <w:pPr>
              <w:pStyle w:val="Tableheading"/>
            </w:pPr>
            <w:r>
              <w:t xml:space="preserve">Source </w:t>
            </w:r>
          </w:p>
        </w:tc>
      </w:tr>
      <w:tr w:rsidR="00C62BF2" w14:paraId="04A9E6AD" w14:textId="77777777" w:rsidTr="00281329">
        <w:tc>
          <w:tcPr>
            <w:tcW w:w="3014" w:type="dxa"/>
            <w:shd w:val="clear" w:color="auto" w:fill="F2F2F2" w:themeFill="background1" w:themeFillShade="F2"/>
            <w:hideMark/>
          </w:tcPr>
          <w:p w14:paraId="3C5713EE" w14:textId="77777777" w:rsidR="00C62BF2" w:rsidRDefault="00C62BF2" w:rsidP="00281329">
            <w:pPr>
              <w:pStyle w:val="Tablecontent"/>
            </w:pPr>
            <w:r>
              <w:t>guest.contextSwapRate</w:t>
            </w:r>
          </w:p>
        </w:tc>
        <w:tc>
          <w:tcPr>
            <w:tcW w:w="7471" w:type="dxa"/>
            <w:hideMark/>
          </w:tcPr>
          <w:p w14:paraId="73A46454" w14:textId="77777777" w:rsidR="00C62BF2" w:rsidRDefault="00C62BF2" w:rsidP="00281329">
            <w:pPr>
              <w:pStyle w:val="Tablecontent"/>
            </w:pPr>
            <w:r>
              <w:t xml:space="preserve">Win32_PerfFormattedData_PerfOS_System = @#ContextSwitchesPersec from WMI </w:t>
            </w:r>
          </w:p>
        </w:tc>
      </w:tr>
      <w:tr w:rsidR="00C62BF2" w14:paraId="7EB41022" w14:textId="77777777" w:rsidTr="00281329">
        <w:tc>
          <w:tcPr>
            <w:tcW w:w="3014" w:type="dxa"/>
            <w:shd w:val="clear" w:color="auto" w:fill="F2F2F2" w:themeFill="background1" w:themeFillShade="F2"/>
            <w:hideMark/>
          </w:tcPr>
          <w:p w14:paraId="05032D94" w14:textId="77777777" w:rsidR="00C62BF2" w:rsidRDefault="00C62BF2" w:rsidP="00281329">
            <w:pPr>
              <w:pStyle w:val="Tablecontent"/>
            </w:pPr>
            <w:r>
              <w:t xml:space="preserve">guest.mem.activeFileCache </w:t>
            </w:r>
          </w:p>
        </w:tc>
        <w:tc>
          <w:tcPr>
            <w:tcW w:w="7471" w:type="dxa"/>
            <w:hideMark/>
          </w:tcPr>
          <w:p w14:paraId="65F8391E" w14:textId="77777777" w:rsidR="00C62BF2" w:rsidRDefault="00C62BF2" w:rsidP="00281329">
            <w:pPr>
              <w:pStyle w:val="Tablecontent"/>
            </w:pPr>
            <w:r>
              <w:t xml:space="preserve">Win32_PerfRawData_PerfOS_Memory = @#SystemCacheResidentBytes from WMI </w:t>
            </w:r>
          </w:p>
        </w:tc>
      </w:tr>
      <w:tr w:rsidR="00C62BF2" w14:paraId="12C3EE86" w14:textId="77777777" w:rsidTr="00281329">
        <w:tc>
          <w:tcPr>
            <w:tcW w:w="3014" w:type="dxa"/>
            <w:shd w:val="clear" w:color="auto" w:fill="F2F2F2" w:themeFill="background1" w:themeFillShade="F2"/>
            <w:hideMark/>
          </w:tcPr>
          <w:p w14:paraId="5CDBD931" w14:textId="77777777" w:rsidR="00C62BF2" w:rsidRDefault="00C62BF2" w:rsidP="00281329">
            <w:pPr>
              <w:pStyle w:val="Tablecontent"/>
            </w:pPr>
            <w:r>
              <w:t>guest.mem.free</w:t>
            </w:r>
          </w:p>
        </w:tc>
        <w:tc>
          <w:tcPr>
            <w:tcW w:w="7471" w:type="dxa"/>
            <w:hideMark/>
          </w:tcPr>
          <w:p w14:paraId="79281BEB" w14:textId="77777777" w:rsidR="00C62BF2" w:rsidRDefault="00C62BF2" w:rsidP="00281329">
            <w:pPr>
              <w:pStyle w:val="Tablecontent"/>
            </w:pPr>
            <w:r>
              <w:t xml:space="preserve">Win32_PerfRawData_PerfOS_Memory = @#FreeAndZeroPageListBytes from WMI </w:t>
            </w:r>
          </w:p>
        </w:tc>
      </w:tr>
      <w:tr w:rsidR="00C62BF2" w14:paraId="6229772A" w14:textId="77777777" w:rsidTr="00281329">
        <w:tc>
          <w:tcPr>
            <w:tcW w:w="3014" w:type="dxa"/>
            <w:shd w:val="clear" w:color="auto" w:fill="F2F2F2" w:themeFill="background1" w:themeFillShade="F2"/>
            <w:hideMark/>
          </w:tcPr>
          <w:p w14:paraId="01A250BE" w14:textId="77777777" w:rsidR="00C62BF2" w:rsidRDefault="00C62BF2" w:rsidP="00281329">
            <w:pPr>
              <w:pStyle w:val="Tablecontent"/>
            </w:pPr>
            <w:r>
              <w:t xml:space="preserve">guest.mem.physUsable </w:t>
            </w:r>
          </w:p>
        </w:tc>
        <w:tc>
          <w:tcPr>
            <w:tcW w:w="7471" w:type="dxa"/>
            <w:hideMark/>
          </w:tcPr>
          <w:p w14:paraId="4B003621" w14:textId="77777777" w:rsidR="00C62BF2" w:rsidRDefault="00C62BF2" w:rsidP="00281329">
            <w:pPr>
              <w:pStyle w:val="Tablecontent"/>
            </w:pPr>
            <w:r>
              <w:t xml:space="preserve">Win32_OperatingSystem = #TotalVisibleMemorySize from WMI </w:t>
            </w:r>
          </w:p>
        </w:tc>
      </w:tr>
      <w:tr w:rsidR="00C62BF2" w14:paraId="06A9AF7C" w14:textId="77777777" w:rsidTr="00281329">
        <w:tc>
          <w:tcPr>
            <w:tcW w:w="3014" w:type="dxa"/>
            <w:shd w:val="clear" w:color="auto" w:fill="F2F2F2" w:themeFill="background1" w:themeFillShade="F2"/>
            <w:hideMark/>
          </w:tcPr>
          <w:p w14:paraId="6BCD7021" w14:textId="77777777" w:rsidR="00C62BF2" w:rsidRDefault="00C62BF2" w:rsidP="00281329">
            <w:pPr>
              <w:pStyle w:val="Tablecontent"/>
            </w:pPr>
            <w:r>
              <w:t xml:space="preserve">guest.mem.needed </w:t>
            </w:r>
          </w:p>
        </w:tc>
        <w:tc>
          <w:tcPr>
            <w:tcW w:w="7471" w:type="dxa"/>
            <w:hideMark/>
          </w:tcPr>
          <w:p w14:paraId="43539514" w14:textId="77777777" w:rsidR="00C62BF2" w:rsidRDefault="00C62BF2" w:rsidP="00281329">
            <w:pPr>
              <w:pStyle w:val="Tablecontent"/>
            </w:pPr>
            <w:r>
              <w:t xml:space="preserve">guest.mem.physUsable - max(0, UNNEEDED_BYTES - 5% of guest.mem.physUsable), </w:t>
            </w:r>
          </w:p>
          <w:p w14:paraId="788AFA1A" w14:textId="77777777" w:rsidR="00C62BF2" w:rsidRDefault="00C62BF2" w:rsidP="00281329">
            <w:pPr>
              <w:pStyle w:val="Tablecontent"/>
            </w:pPr>
            <w:r>
              <w:t xml:space="preserve">where UNNEEDED_BYTES = "Win32_PerfRawData_PerfOS_Memory =@#FreeAndZeroPageListBytes" + "Win32_PerfRawData_PerfOS_Memory =@#StandbyCacheReserveBytes" </w:t>
            </w:r>
          </w:p>
        </w:tc>
      </w:tr>
      <w:tr w:rsidR="00C62BF2" w14:paraId="29D82F86" w14:textId="77777777" w:rsidTr="00281329">
        <w:tc>
          <w:tcPr>
            <w:tcW w:w="3014" w:type="dxa"/>
            <w:shd w:val="clear" w:color="auto" w:fill="F2F2F2" w:themeFill="background1" w:themeFillShade="F2"/>
            <w:hideMark/>
          </w:tcPr>
          <w:p w14:paraId="36BDDB39" w14:textId="77777777" w:rsidR="00C62BF2" w:rsidRDefault="00C62BF2" w:rsidP="00281329">
            <w:pPr>
              <w:pStyle w:val="Tablecontent"/>
            </w:pPr>
            <w:r>
              <w:t xml:space="preserve">guest.page.inRate </w:t>
            </w:r>
          </w:p>
        </w:tc>
        <w:tc>
          <w:tcPr>
            <w:tcW w:w="7471" w:type="dxa"/>
            <w:hideMark/>
          </w:tcPr>
          <w:p w14:paraId="2C8FF5DF" w14:textId="77777777" w:rsidR="00C62BF2" w:rsidRDefault="00C62BF2" w:rsidP="00281329">
            <w:pPr>
              <w:pStyle w:val="Tablecontent"/>
            </w:pPr>
            <w:r>
              <w:t xml:space="preserve">Win32_PerfFormattedData_PerfOS_Memory = @#PagesInputPersec from WMI </w:t>
            </w:r>
          </w:p>
        </w:tc>
      </w:tr>
      <w:tr w:rsidR="00C62BF2" w14:paraId="11D18C70" w14:textId="77777777" w:rsidTr="00281329">
        <w:tc>
          <w:tcPr>
            <w:tcW w:w="3014" w:type="dxa"/>
            <w:shd w:val="clear" w:color="auto" w:fill="F2F2F2" w:themeFill="background1" w:themeFillShade="F2"/>
            <w:hideMark/>
          </w:tcPr>
          <w:p w14:paraId="65A3F467" w14:textId="77777777" w:rsidR="00C62BF2" w:rsidRDefault="00C62BF2" w:rsidP="00281329">
            <w:pPr>
              <w:pStyle w:val="Tablecontent"/>
            </w:pPr>
            <w:r>
              <w:t>guest.page.outRate</w:t>
            </w:r>
          </w:p>
        </w:tc>
        <w:tc>
          <w:tcPr>
            <w:tcW w:w="7471" w:type="dxa"/>
            <w:hideMark/>
          </w:tcPr>
          <w:p w14:paraId="5DE4139E" w14:textId="77777777" w:rsidR="00C62BF2" w:rsidRDefault="00C62BF2" w:rsidP="00281329">
            <w:pPr>
              <w:pStyle w:val="Tablecontent"/>
            </w:pPr>
            <w:r>
              <w:t xml:space="preserve">Win32_PerfFormattedData_PerfOS_Memory = @#PagesOutputPersec from WMI </w:t>
            </w:r>
          </w:p>
        </w:tc>
      </w:tr>
      <w:tr w:rsidR="00C62BF2" w14:paraId="36CD4C82" w14:textId="77777777" w:rsidTr="00281329">
        <w:tc>
          <w:tcPr>
            <w:tcW w:w="3014" w:type="dxa"/>
            <w:shd w:val="clear" w:color="auto" w:fill="F2F2F2" w:themeFill="background1" w:themeFillShade="F2"/>
            <w:hideMark/>
          </w:tcPr>
          <w:p w14:paraId="2F0557B7" w14:textId="77777777" w:rsidR="00C62BF2" w:rsidRDefault="00C62BF2" w:rsidP="00281329">
            <w:pPr>
              <w:pStyle w:val="Tablecontent"/>
            </w:pPr>
            <w:r>
              <w:t>guest.swap.spaceRemaining</w:t>
            </w:r>
          </w:p>
        </w:tc>
        <w:tc>
          <w:tcPr>
            <w:tcW w:w="7471" w:type="dxa"/>
            <w:hideMark/>
          </w:tcPr>
          <w:p w14:paraId="7B02D5B4" w14:textId="77777777" w:rsidR="00C62BF2" w:rsidRDefault="00C62BF2" w:rsidP="00281329">
            <w:pPr>
              <w:pStyle w:val="Tablecontent"/>
            </w:pPr>
            <w:r>
              <w:t xml:space="preserve">(maximum possible - used) swap space </w:t>
            </w:r>
          </w:p>
        </w:tc>
      </w:tr>
      <w:tr w:rsidR="00C62BF2" w14:paraId="247A447E" w14:textId="77777777" w:rsidTr="00281329">
        <w:tc>
          <w:tcPr>
            <w:tcW w:w="3014" w:type="dxa"/>
            <w:shd w:val="clear" w:color="auto" w:fill="F2F2F2" w:themeFill="background1" w:themeFillShade="F2"/>
            <w:hideMark/>
          </w:tcPr>
          <w:p w14:paraId="7CFCE346" w14:textId="77777777" w:rsidR="00C62BF2" w:rsidRDefault="00C62BF2" w:rsidP="00281329">
            <w:pPr>
              <w:pStyle w:val="Tablecontent"/>
            </w:pPr>
            <w:r>
              <w:t>guest.page.size</w:t>
            </w:r>
          </w:p>
        </w:tc>
        <w:tc>
          <w:tcPr>
            <w:tcW w:w="7471" w:type="dxa"/>
            <w:hideMark/>
          </w:tcPr>
          <w:p w14:paraId="0CA802A6" w14:textId="77777777" w:rsidR="00C62BF2" w:rsidRDefault="00000000" w:rsidP="00281329">
            <w:pPr>
              <w:pStyle w:val="Tablecontent"/>
            </w:pPr>
            <w:hyperlink r:id="rId474" w:history="1">
              <w:r w:rsidR="00C62BF2">
                <w:rPr>
                  <w:rStyle w:val="Hyperlink"/>
                </w:rPr>
                <w:t>SYSTEM_INFO.dwPageSize</w:t>
              </w:r>
            </w:hyperlink>
            <w:r w:rsidR="00C62BF2">
              <w:t xml:space="preserve"> returned by </w:t>
            </w:r>
            <w:hyperlink r:id="rId475" w:history="1">
              <w:r w:rsidR="00C62BF2">
                <w:rPr>
                  <w:rStyle w:val="Hyperlink"/>
                </w:rPr>
                <w:t>GetSystemInfo()</w:t>
              </w:r>
            </w:hyperlink>
            <w:r w:rsidR="00C62BF2">
              <w:t xml:space="preserve"> </w:t>
            </w:r>
          </w:p>
        </w:tc>
      </w:tr>
      <w:tr w:rsidR="00C62BF2" w14:paraId="7C36275C" w14:textId="77777777" w:rsidTr="00281329">
        <w:tc>
          <w:tcPr>
            <w:tcW w:w="3014" w:type="dxa"/>
            <w:shd w:val="clear" w:color="auto" w:fill="F2F2F2" w:themeFill="background1" w:themeFillShade="F2"/>
            <w:hideMark/>
          </w:tcPr>
          <w:p w14:paraId="01A2535E" w14:textId="77777777" w:rsidR="00C62BF2" w:rsidRDefault="00C62BF2" w:rsidP="00281329">
            <w:pPr>
              <w:pStyle w:val="Tablecontent"/>
            </w:pPr>
            <w:r>
              <w:lastRenderedPageBreak/>
              <w:t>guest.hugePage.size</w:t>
            </w:r>
          </w:p>
        </w:tc>
        <w:tc>
          <w:tcPr>
            <w:tcW w:w="7471" w:type="dxa"/>
            <w:hideMark/>
          </w:tcPr>
          <w:p w14:paraId="4B64FC76" w14:textId="77777777" w:rsidR="00C62BF2" w:rsidRDefault="00000000" w:rsidP="00281329">
            <w:pPr>
              <w:pStyle w:val="Tablecontent"/>
            </w:pPr>
            <w:hyperlink r:id="rId476" w:history="1">
              <w:r w:rsidR="00C62BF2">
                <w:rPr>
                  <w:rStyle w:val="Hyperlink"/>
                </w:rPr>
                <w:t>GetLargePageMinimum()</w:t>
              </w:r>
            </w:hyperlink>
            <w:r w:rsidR="00C62BF2">
              <w:t xml:space="preserve"> </w:t>
            </w:r>
          </w:p>
        </w:tc>
      </w:tr>
      <w:tr w:rsidR="00C62BF2" w14:paraId="2DE756E6" w14:textId="77777777" w:rsidTr="00281329">
        <w:tc>
          <w:tcPr>
            <w:tcW w:w="3014" w:type="dxa"/>
            <w:shd w:val="clear" w:color="auto" w:fill="F2F2F2" w:themeFill="background1" w:themeFillShade="F2"/>
          </w:tcPr>
          <w:p w14:paraId="449100B0" w14:textId="77777777" w:rsidR="00C62BF2" w:rsidRDefault="00C62BF2" w:rsidP="00281329">
            <w:pPr>
              <w:pStyle w:val="Tablecontent"/>
            </w:pPr>
            <w:r>
              <w:t xml:space="preserve">guest.mem.neededReservation </w:t>
            </w:r>
          </w:p>
        </w:tc>
        <w:tc>
          <w:tcPr>
            <w:tcW w:w="7471" w:type="dxa"/>
          </w:tcPr>
          <w:p w14:paraId="09D43AFB" w14:textId="77777777" w:rsidR="00C62BF2" w:rsidRDefault="00C62BF2" w:rsidP="00281329">
            <w:pPr>
              <w:pStyle w:val="Tablecontent"/>
            </w:pPr>
            <w:r>
              <w:t xml:space="preserve">5% of "guest.mem.physUsable" </w:t>
            </w:r>
          </w:p>
        </w:tc>
      </w:tr>
      <w:tr w:rsidR="00C62BF2" w14:paraId="38440111" w14:textId="77777777" w:rsidTr="00281329">
        <w:tc>
          <w:tcPr>
            <w:tcW w:w="3014" w:type="dxa"/>
            <w:shd w:val="clear" w:color="auto" w:fill="F2F2F2" w:themeFill="background1" w:themeFillShade="F2"/>
          </w:tcPr>
          <w:p w14:paraId="1EFD735F" w14:textId="77777777" w:rsidR="00C62BF2" w:rsidRDefault="00C62BF2" w:rsidP="00281329">
            <w:pPr>
              <w:pStyle w:val="Tablecontent"/>
            </w:pPr>
            <w:r>
              <w:t>guest.mem.availableToMm</w:t>
            </w:r>
          </w:p>
        </w:tc>
        <w:tc>
          <w:tcPr>
            <w:tcW w:w="7471" w:type="dxa"/>
          </w:tcPr>
          <w:p w14:paraId="7C3FD7BA" w14:textId="77777777" w:rsidR="00C62BF2" w:rsidRDefault="00C62BF2" w:rsidP="00281329">
            <w:pPr>
              <w:pStyle w:val="Tablecontent"/>
            </w:pPr>
            <w:r>
              <w:t xml:space="preserve">Win32_PerfRawData_PerfOS_Memory = @#AvailableBytes from WMI </w:t>
            </w:r>
          </w:p>
        </w:tc>
      </w:tr>
      <w:tr w:rsidR="00C62BF2" w14:paraId="07EE8C65" w14:textId="77777777" w:rsidTr="00281329">
        <w:tc>
          <w:tcPr>
            <w:tcW w:w="3014" w:type="dxa"/>
            <w:shd w:val="clear" w:color="auto" w:fill="F2F2F2" w:themeFill="background1" w:themeFillShade="F2"/>
          </w:tcPr>
          <w:p w14:paraId="23E9C4D1" w14:textId="77777777" w:rsidR="00C62BF2" w:rsidRDefault="00C62BF2" w:rsidP="00281329">
            <w:pPr>
              <w:pStyle w:val="Tablecontent"/>
            </w:pPr>
            <w:r>
              <w:t>guest.mem.standby.normal</w:t>
            </w:r>
          </w:p>
        </w:tc>
        <w:tc>
          <w:tcPr>
            <w:tcW w:w="7471" w:type="dxa"/>
          </w:tcPr>
          <w:p w14:paraId="5A303F05" w14:textId="77777777" w:rsidR="00C62BF2" w:rsidRDefault="00C62BF2" w:rsidP="00281329">
            <w:pPr>
              <w:pStyle w:val="Tablecontent"/>
            </w:pPr>
            <w:r>
              <w:t xml:space="preserve">Win32_PerfRawData_PerfOS_Memory = @#StandbyCacheNormalPriorityBytes from WMI </w:t>
            </w:r>
          </w:p>
        </w:tc>
      </w:tr>
      <w:tr w:rsidR="00C62BF2" w14:paraId="224AB577" w14:textId="77777777" w:rsidTr="00281329">
        <w:tc>
          <w:tcPr>
            <w:tcW w:w="3014" w:type="dxa"/>
            <w:shd w:val="clear" w:color="auto" w:fill="F2F2F2" w:themeFill="background1" w:themeFillShade="F2"/>
          </w:tcPr>
          <w:p w14:paraId="658CAF8B" w14:textId="77777777" w:rsidR="00C62BF2" w:rsidRDefault="00C62BF2" w:rsidP="00281329">
            <w:pPr>
              <w:pStyle w:val="Tablecontent"/>
            </w:pPr>
            <w:r>
              <w:t>guest.mem.standby.reserve</w:t>
            </w:r>
          </w:p>
        </w:tc>
        <w:tc>
          <w:tcPr>
            <w:tcW w:w="7471" w:type="dxa"/>
          </w:tcPr>
          <w:p w14:paraId="613751D1" w14:textId="77777777" w:rsidR="00C62BF2" w:rsidRDefault="00C62BF2" w:rsidP="00281329">
            <w:pPr>
              <w:pStyle w:val="Tablecontent"/>
            </w:pPr>
            <w:r>
              <w:t xml:space="preserve">Win32_PerfRawData_PerfOS_Memory = @#StandbyCacheReserveBytes from WMI </w:t>
            </w:r>
          </w:p>
        </w:tc>
      </w:tr>
      <w:tr w:rsidR="00C62BF2" w14:paraId="51B35516" w14:textId="77777777" w:rsidTr="00281329">
        <w:tc>
          <w:tcPr>
            <w:tcW w:w="3014" w:type="dxa"/>
            <w:shd w:val="clear" w:color="auto" w:fill="F2F2F2" w:themeFill="background1" w:themeFillShade="F2"/>
          </w:tcPr>
          <w:p w14:paraId="27205758" w14:textId="77777777" w:rsidR="00C62BF2" w:rsidRDefault="00C62BF2" w:rsidP="00281329">
            <w:pPr>
              <w:pStyle w:val="Tablecontent"/>
            </w:pPr>
            <w:r>
              <w:t>guest.mem.standby.core</w:t>
            </w:r>
          </w:p>
        </w:tc>
        <w:tc>
          <w:tcPr>
            <w:tcW w:w="7471" w:type="dxa"/>
          </w:tcPr>
          <w:p w14:paraId="1EC39EE4" w14:textId="77777777" w:rsidR="00C62BF2" w:rsidRDefault="00C62BF2" w:rsidP="00281329">
            <w:pPr>
              <w:pStyle w:val="Tablecontent"/>
            </w:pPr>
            <w:r>
              <w:t xml:space="preserve">Win32_PerfRawData_PerfOS_Memory = @#StandbyCacheCoreBytes from WMI </w:t>
            </w:r>
          </w:p>
        </w:tc>
      </w:tr>
      <w:tr w:rsidR="00C62BF2" w14:paraId="531AAE8B" w14:textId="77777777" w:rsidTr="00281329">
        <w:tc>
          <w:tcPr>
            <w:tcW w:w="3014" w:type="dxa"/>
            <w:shd w:val="clear" w:color="auto" w:fill="F2F2F2" w:themeFill="background1" w:themeFillShade="F2"/>
          </w:tcPr>
          <w:p w14:paraId="67D41909" w14:textId="77777777" w:rsidR="00C62BF2" w:rsidRDefault="00C62BF2" w:rsidP="00281329">
            <w:pPr>
              <w:pStyle w:val="Tablecontent"/>
            </w:pPr>
            <w:r>
              <w:t>guest.mem.modifiedPages</w:t>
            </w:r>
          </w:p>
        </w:tc>
        <w:tc>
          <w:tcPr>
            <w:tcW w:w="7471" w:type="dxa"/>
          </w:tcPr>
          <w:p w14:paraId="4ED16BA0" w14:textId="77777777" w:rsidR="00C62BF2" w:rsidRDefault="00C62BF2" w:rsidP="00281329">
            <w:pPr>
              <w:pStyle w:val="Tablecontent"/>
            </w:pPr>
            <w:r>
              <w:t xml:space="preserve">Win32_PerfRawData_PerfOS_Memory = @#ModifiedPageListBytes from WMI </w:t>
            </w:r>
          </w:p>
        </w:tc>
      </w:tr>
    </w:tbl>
    <w:p w14:paraId="38C6554A" w14:textId="083A39EF" w:rsidR="00C62BF2" w:rsidRDefault="005608E8" w:rsidP="00AF64B5">
      <w:pPr>
        <w:pStyle w:val="Heading5"/>
      </w:pPr>
      <w:r>
        <w:t>Linux</w:t>
      </w:r>
    </w:p>
    <w:p w14:paraId="2BC2BB9F" w14:textId="77777777" w:rsidR="00C62BF2" w:rsidRDefault="00C62BF2" w:rsidP="00C62BF2">
      <w:pPr>
        <w:rPr>
          <w:lang w:val="en-GB" w:eastAsia="en-SG"/>
        </w:rPr>
      </w:pPr>
      <w:r>
        <w:rPr>
          <w:lang w:val="en-GB" w:eastAsia="en-SG"/>
        </w:rPr>
        <w:t xml:space="preserve">VMware Tools collects every 20 seconds. It takes the last value and compare it with the previous value (20 second ago) and calculate the rate. </w:t>
      </w:r>
    </w:p>
    <w:p w14:paraId="68A47E07" w14:textId="77777777" w:rsidR="00C62BF2" w:rsidRPr="0038305D" w:rsidRDefault="00C62BF2" w:rsidP="00C62BF2">
      <w:pPr>
        <w:pStyle w:val="BeforeTable"/>
        <w:rPr>
          <w:lang w:val="en-GB" w:eastAsia="en-SG"/>
        </w:rPr>
      </w:pPr>
    </w:p>
    <w:tbl>
      <w:tblPr>
        <w:tblStyle w:val="TableGridLight"/>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014"/>
        <w:gridCol w:w="6127"/>
        <w:gridCol w:w="1325"/>
      </w:tblGrid>
      <w:tr w:rsidR="00C62BF2" w14:paraId="09A2DFE1" w14:textId="77777777" w:rsidTr="00281329">
        <w:tc>
          <w:tcPr>
            <w:tcW w:w="3014" w:type="dxa"/>
            <w:shd w:val="clear" w:color="auto" w:fill="F2F2F2" w:themeFill="background1" w:themeFillShade="F2"/>
            <w:hideMark/>
          </w:tcPr>
          <w:p w14:paraId="0983C663" w14:textId="77777777" w:rsidR="00C62BF2" w:rsidRDefault="00C62BF2" w:rsidP="00281329">
            <w:pPr>
              <w:pStyle w:val="Tableheading"/>
            </w:pPr>
            <w:r>
              <w:t xml:space="preserve">Tools Stats Name </w:t>
            </w:r>
          </w:p>
        </w:tc>
        <w:tc>
          <w:tcPr>
            <w:tcW w:w="6127" w:type="dxa"/>
            <w:hideMark/>
          </w:tcPr>
          <w:p w14:paraId="1F5E7066" w14:textId="77777777" w:rsidR="00C62BF2" w:rsidRDefault="00C62BF2" w:rsidP="00281329">
            <w:pPr>
              <w:pStyle w:val="Tableheading"/>
            </w:pPr>
            <w:r>
              <w:t xml:space="preserve">Source </w:t>
            </w:r>
          </w:p>
        </w:tc>
        <w:tc>
          <w:tcPr>
            <w:tcW w:w="0" w:type="auto"/>
            <w:hideMark/>
          </w:tcPr>
          <w:p w14:paraId="050AC7E2" w14:textId="77777777" w:rsidR="00C62BF2" w:rsidRDefault="00C62BF2" w:rsidP="00281329">
            <w:pPr>
              <w:pStyle w:val="Tableheading"/>
            </w:pPr>
            <w:r>
              <w:t xml:space="preserve">Unit </w:t>
            </w:r>
          </w:p>
        </w:tc>
      </w:tr>
      <w:tr w:rsidR="00C62BF2" w14:paraId="652EF3C3" w14:textId="77777777" w:rsidTr="00281329">
        <w:tc>
          <w:tcPr>
            <w:tcW w:w="3014" w:type="dxa"/>
            <w:shd w:val="clear" w:color="auto" w:fill="F2F2F2" w:themeFill="background1" w:themeFillShade="F2"/>
            <w:hideMark/>
          </w:tcPr>
          <w:p w14:paraId="487365BF" w14:textId="77777777" w:rsidR="00C62BF2" w:rsidRDefault="00C62BF2" w:rsidP="00281329">
            <w:pPr>
              <w:pStyle w:val="Tablecontent"/>
            </w:pPr>
            <w:r>
              <w:t xml:space="preserve">guest.contextSwapRate </w:t>
            </w:r>
          </w:p>
        </w:tc>
        <w:tc>
          <w:tcPr>
            <w:tcW w:w="6127" w:type="dxa"/>
            <w:hideMark/>
          </w:tcPr>
          <w:p w14:paraId="0E133445" w14:textId="77777777" w:rsidR="00C62BF2" w:rsidRDefault="00C62BF2" w:rsidP="00281329">
            <w:pPr>
              <w:pStyle w:val="Tablecontent"/>
            </w:pPr>
            <w:r>
              <w:t xml:space="preserve">"ctxt" from /proc/stat </w:t>
            </w:r>
          </w:p>
        </w:tc>
        <w:tc>
          <w:tcPr>
            <w:tcW w:w="0" w:type="auto"/>
            <w:hideMark/>
          </w:tcPr>
          <w:p w14:paraId="11C8F36A" w14:textId="77777777" w:rsidR="00C62BF2" w:rsidRDefault="00C62BF2" w:rsidP="00281329">
            <w:pPr>
              <w:pStyle w:val="Tablecontent"/>
            </w:pPr>
            <w:r>
              <w:t xml:space="preserve">Number/sec </w:t>
            </w:r>
          </w:p>
        </w:tc>
      </w:tr>
      <w:tr w:rsidR="00C62BF2" w14:paraId="32FFDC9C" w14:textId="77777777" w:rsidTr="00281329">
        <w:tc>
          <w:tcPr>
            <w:tcW w:w="3014" w:type="dxa"/>
            <w:shd w:val="clear" w:color="auto" w:fill="F2F2F2" w:themeFill="background1" w:themeFillShade="F2"/>
            <w:hideMark/>
          </w:tcPr>
          <w:p w14:paraId="554A59E7" w14:textId="77777777" w:rsidR="00C62BF2" w:rsidRDefault="00C62BF2" w:rsidP="00281329">
            <w:pPr>
              <w:pStyle w:val="Tablecontent"/>
            </w:pPr>
            <w:r>
              <w:t>guest.mem.activeFileCache</w:t>
            </w:r>
          </w:p>
        </w:tc>
        <w:tc>
          <w:tcPr>
            <w:tcW w:w="6127" w:type="dxa"/>
            <w:hideMark/>
          </w:tcPr>
          <w:p w14:paraId="2067D97F" w14:textId="77777777" w:rsidR="00C62BF2" w:rsidRDefault="00C62BF2" w:rsidP="00281329">
            <w:pPr>
              <w:pStyle w:val="Tablecontent"/>
            </w:pPr>
            <w:r>
              <w:t xml:space="preserve">"Active(file)" from /proc/meminfo </w:t>
            </w:r>
          </w:p>
        </w:tc>
        <w:tc>
          <w:tcPr>
            <w:tcW w:w="0" w:type="auto"/>
            <w:hideMark/>
          </w:tcPr>
          <w:p w14:paraId="4B0FAA2A" w14:textId="77777777" w:rsidR="00C62BF2" w:rsidRDefault="00C62BF2" w:rsidP="00281329">
            <w:pPr>
              <w:pStyle w:val="Tablecontent"/>
            </w:pPr>
            <w:r>
              <w:t xml:space="preserve">KB </w:t>
            </w:r>
          </w:p>
        </w:tc>
      </w:tr>
      <w:tr w:rsidR="00C62BF2" w14:paraId="60E54172" w14:textId="77777777" w:rsidTr="00281329">
        <w:tc>
          <w:tcPr>
            <w:tcW w:w="3014" w:type="dxa"/>
            <w:shd w:val="clear" w:color="auto" w:fill="F2F2F2" w:themeFill="background1" w:themeFillShade="F2"/>
            <w:hideMark/>
          </w:tcPr>
          <w:p w14:paraId="1CBF0DDD" w14:textId="77777777" w:rsidR="00C62BF2" w:rsidRDefault="00C62BF2" w:rsidP="00281329">
            <w:pPr>
              <w:pStyle w:val="Tablecontent"/>
            </w:pPr>
            <w:r>
              <w:t>guest.mem.free</w:t>
            </w:r>
          </w:p>
        </w:tc>
        <w:tc>
          <w:tcPr>
            <w:tcW w:w="6127" w:type="dxa"/>
            <w:hideMark/>
          </w:tcPr>
          <w:p w14:paraId="68838BCF" w14:textId="77777777" w:rsidR="00C62BF2" w:rsidRDefault="00C62BF2" w:rsidP="00281329">
            <w:pPr>
              <w:pStyle w:val="Tablecontent"/>
            </w:pPr>
            <w:r>
              <w:t xml:space="preserve">"MemFree" from /proc/meminfo </w:t>
            </w:r>
          </w:p>
        </w:tc>
        <w:tc>
          <w:tcPr>
            <w:tcW w:w="0" w:type="auto"/>
            <w:hideMark/>
          </w:tcPr>
          <w:p w14:paraId="19976AB4" w14:textId="77777777" w:rsidR="00C62BF2" w:rsidRDefault="00C62BF2" w:rsidP="00281329">
            <w:pPr>
              <w:pStyle w:val="Tablecontent"/>
            </w:pPr>
            <w:r>
              <w:t xml:space="preserve">KB </w:t>
            </w:r>
          </w:p>
        </w:tc>
      </w:tr>
      <w:tr w:rsidR="00C62BF2" w14:paraId="77DB8773" w14:textId="77777777" w:rsidTr="00281329">
        <w:tc>
          <w:tcPr>
            <w:tcW w:w="3014" w:type="dxa"/>
            <w:shd w:val="clear" w:color="auto" w:fill="F2F2F2" w:themeFill="background1" w:themeFillShade="F2"/>
            <w:hideMark/>
          </w:tcPr>
          <w:p w14:paraId="560CAC3F" w14:textId="77777777" w:rsidR="00C62BF2" w:rsidRDefault="00C62BF2" w:rsidP="00281329">
            <w:pPr>
              <w:pStyle w:val="Tablecontent"/>
            </w:pPr>
            <w:r>
              <w:t>guest.mem.physUsable</w:t>
            </w:r>
          </w:p>
        </w:tc>
        <w:tc>
          <w:tcPr>
            <w:tcW w:w="6127" w:type="dxa"/>
            <w:hideMark/>
          </w:tcPr>
          <w:p w14:paraId="3F38D410" w14:textId="77777777" w:rsidR="00C62BF2" w:rsidRDefault="00C62BF2" w:rsidP="00281329">
            <w:pPr>
              <w:pStyle w:val="Tablecontent"/>
            </w:pPr>
            <w:r>
              <w:t>Sum of /proc/zoneinfo#present across all zones. Equals to VM configured RAM.</w:t>
            </w:r>
          </w:p>
        </w:tc>
        <w:tc>
          <w:tcPr>
            <w:tcW w:w="0" w:type="auto"/>
            <w:hideMark/>
          </w:tcPr>
          <w:p w14:paraId="022C483A" w14:textId="77777777" w:rsidR="00C62BF2" w:rsidRDefault="00C62BF2" w:rsidP="00281329">
            <w:pPr>
              <w:pStyle w:val="Tablecontent"/>
            </w:pPr>
            <w:r>
              <w:t xml:space="preserve">KB </w:t>
            </w:r>
          </w:p>
        </w:tc>
      </w:tr>
      <w:tr w:rsidR="00C62BF2" w14:paraId="319C923A" w14:textId="77777777" w:rsidTr="00281329">
        <w:tc>
          <w:tcPr>
            <w:tcW w:w="3014" w:type="dxa"/>
            <w:shd w:val="clear" w:color="auto" w:fill="F2F2F2" w:themeFill="background1" w:themeFillShade="F2"/>
            <w:hideMark/>
          </w:tcPr>
          <w:p w14:paraId="3BE83154" w14:textId="77777777" w:rsidR="00C62BF2" w:rsidRDefault="00C62BF2" w:rsidP="00281329">
            <w:pPr>
              <w:pStyle w:val="Tablecontent"/>
            </w:pPr>
            <w:r>
              <w:t xml:space="preserve">guest.mem.needed </w:t>
            </w:r>
          </w:p>
        </w:tc>
        <w:tc>
          <w:tcPr>
            <w:tcW w:w="6127" w:type="dxa"/>
            <w:hideMark/>
          </w:tcPr>
          <w:p w14:paraId="55B9394F" w14:textId="77777777" w:rsidR="00C62BF2" w:rsidRDefault="00C62BF2" w:rsidP="00281329">
            <w:pPr>
              <w:pStyle w:val="Tablecontent"/>
            </w:pPr>
            <w:r>
              <w:t>"guest.mem.physUsable" - max(0, "MemAvailable" from /proc/meminfo - 5% of "guest.mem.physUsable")</w:t>
            </w:r>
          </w:p>
        </w:tc>
        <w:tc>
          <w:tcPr>
            <w:tcW w:w="0" w:type="auto"/>
            <w:hideMark/>
          </w:tcPr>
          <w:p w14:paraId="3DD864B7" w14:textId="77777777" w:rsidR="00C62BF2" w:rsidRDefault="00C62BF2" w:rsidP="00281329">
            <w:pPr>
              <w:pStyle w:val="Tablecontent"/>
            </w:pPr>
            <w:r>
              <w:t xml:space="preserve">KB </w:t>
            </w:r>
          </w:p>
        </w:tc>
      </w:tr>
      <w:tr w:rsidR="00C62BF2" w14:paraId="7742D105" w14:textId="77777777" w:rsidTr="00281329">
        <w:tc>
          <w:tcPr>
            <w:tcW w:w="3014" w:type="dxa"/>
            <w:shd w:val="clear" w:color="auto" w:fill="F2F2F2" w:themeFill="background1" w:themeFillShade="F2"/>
            <w:hideMark/>
          </w:tcPr>
          <w:p w14:paraId="5EA29B6D" w14:textId="77777777" w:rsidR="00C62BF2" w:rsidRDefault="00C62BF2" w:rsidP="00281329">
            <w:pPr>
              <w:pStyle w:val="Tablecontent"/>
            </w:pPr>
            <w:r>
              <w:t>guest.page.inRate</w:t>
            </w:r>
          </w:p>
        </w:tc>
        <w:tc>
          <w:tcPr>
            <w:tcW w:w="6127" w:type="dxa"/>
            <w:hideMark/>
          </w:tcPr>
          <w:p w14:paraId="1F319511" w14:textId="77777777" w:rsidR="00C62BF2" w:rsidRDefault="00C62BF2" w:rsidP="00281329">
            <w:pPr>
              <w:pStyle w:val="Tablecontent"/>
            </w:pPr>
            <w:r>
              <w:t xml:space="preserve">"pgpgin" from /proc/vmstat </w:t>
            </w:r>
          </w:p>
          <w:p w14:paraId="4C30794D" w14:textId="77777777" w:rsidR="00C62BF2" w:rsidRPr="0038305D" w:rsidRDefault="00C62BF2" w:rsidP="00281329">
            <w:pPr>
              <w:pStyle w:val="Tablecontent"/>
              <w:rPr>
                <w:lang w:val="en-SG"/>
              </w:rPr>
            </w:pPr>
            <w:r>
              <w:t>The rate of reads going through the underlying paging/cache system. It includes not just swapfile I/O, but cacheable reads as well.</w:t>
            </w:r>
          </w:p>
        </w:tc>
        <w:tc>
          <w:tcPr>
            <w:tcW w:w="0" w:type="auto"/>
            <w:hideMark/>
          </w:tcPr>
          <w:p w14:paraId="7AAA6DCA" w14:textId="77777777" w:rsidR="00C62BF2" w:rsidRDefault="00C62BF2" w:rsidP="00281329">
            <w:pPr>
              <w:pStyle w:val="Tablecontent"/>
            </w:pPr>
            <w:r>
              <w:t xml:space="preserve">Pages/sec </w:t>
            </w:r>
          </w:p>
        </w:tc>
      </w:tr>
      <w:tr w:rsidR="00C62BF2" w14:paraId="21EEDED3" w14:textId="77777777" w:rsidTr="00281329">
        <w:tc>
          <w:tcPr>
            <w:tcW w:w="3014" w:type="dxa"/>
            <w:shd w:val="clear" w:color="auto" w:fill="F2F2F2" w:themeFill="background1" w:themeFillShade="F2"/>
            <w:hideMark/>
          </w:tcPr>
          <w:p w14:paraId="5959A9B8" w14:textId="77777777" w:rsidR="00C62BF2" w:rsidRDefault="00C62BF2" w:rsidP="00281329">
            <w:pPr>
              <w:pStyle w:val="Tablecontent"/>
            </w:pPr>
            <w:r>
              <w:t>guest.page.outRate</w:t>
            </w:r>
          </w:p>
        </w:tc>
        <w:tc>
          <w:tcPr>
            <w:tcW w:w="6127" w:type="dxa"/>
            <w:hideMark/>
          </w:tcPr>
          <w:p w14:paraId="5FD0F040" w14:textId="77777777" w:rsidR="00C62BF2" w:rsidRDefault="00C62BF2" w:rsidP="00281329">
            <w:pPr>
              <w:pStyle w:val="Tablecontent"/>
            </w:pPr>
            <w:r>
              <w:t xml:space="preserve">"pgpgout" from /proc/vmstat </w:t>
            </w:r>
          </w:p>
          <w:p w14:paraId="6D9DC37B" w14:textId="77777777" w:rsidR="00C62BF2" w:rsidRDefault="00C62BF2" w:rsidP="00281329">
            <w:pPr>
              <w:pStyle w:val="Tablecontent"/>
            </w:pPr>
            <w:r>
              <w:rPr>
                <w:rFonts w:ascii="Calibri" w:hAnsi="Calibri"/>
                <w:color w:val="000000"/>
              </w:rPr>
              <w:t>The rate of writes going through the underlying paging/cache system. It includes not just swapfile I/O, but cacheable writes as well.</w:t>
            </w:r>
          </w:p>
        </w:tc>
        <w:tc>
          <w:tcPr>
            <w:tcW w:w="0" w:type="auto"/>
            <w:hideMark/>
          </w:tcPr>
          <w:p w14:paraId="586125AA" w14:textId="77777777" w:rsidR="00C62BF2" w:rsidRDefault="00C62BF2" w:rsidP="00281329">
            <w:pPr>
              <w:pStyle w:val="Tablecontent"/>
            </w:pPr>
            <w:r>
              <w:t xml:space="preserve">Pages/sec </w:t>
            </w:r>
          </w:p>
        </w:tc>
      </w:tr>
      <w:tr w:rsidR="00C62BF2" w14:paraId="51BC413F" w14:textId="77777777" w:rsidTr="00281329">
        <w:tc>
          <w:tcPr>
            <w:tcW w:w="3014" w:type="dxa"/>
            <w:shd w:val="clear" w:color="auto" w:fill="F2F2F2" w:themeFill="background1" w:themeFillShade="F2"/>
            <w:hideMark/>
          </w:tcPr>
          <w:p w14:paraId="63E705FD" w14:textId="77777777" w:rsidR="00C62BF2" w:rsidRDefault="00C62BF2" w:rsidP="00281329">
            <w:pPr>
              <w:pStyle w:val="Tablecontent"/>
            </w:pPr>
            <w:r>
              <w:t xml:space="preserve">guest.swap.spaceRemaining </w:t>
            </w:r>
          </w:p>
        </w:tc>
        <w:tc>
          <w:tcPr>
            <w:tcW w:w="6127" w:type="dxa"/>
            <w:hideMark/>
          </w:tcPr>
          <w:p w14:paraId="30DDA3BC" w14:textId="77777777" w:rsidR="00C62BF2" w:rsidRDefault="00C62BF2" w:rsidP="00281329">
            <w:pPr>
              <w:pStyle w:val="Tablecontent"/>
            </w:pPr>
            <w:r>
              <w:t xml:space="preserve">"SwapFree" from /proc/meminfo </w:t>
            </w:r>
          </w:p>
          <w:p w14:paraId="41DF418F" w14:textId="77777777" w:rsidR="00C62BF2" w:rsidRDefault="00C62BF2" w:rsidP="00281329">
            <w:pPr>
              <w:pStyle w:val="Tablecontent"/>
            </w:pPr>
            <w:r>
              <w:t xml:space="preserve">The amount of swap space remaining, taking into account the possibility of swapfile growth where possible. If the OS is configured without a swapfile, this will return zero. </w:t>
            </w:r>
          </w:p>
          <w:p w14:paraId="2CE2D1C2" w14:textId="77777777" w:rsidR="00C62BF2" w:rsidRDefault="00C62BF2" w:rsidP="00281329">
            <w:pPr>
              <w:pStyle w:val="Tablecontent"/>
            </w:pPr>
          </w:p>
        </w:tc>
        <w:tc>
          <w:tcPr>
            <w:tcW w:w="0" w:type="auto"/>
            <w:hideMark/>
          </w:tcPr>
          <w:p w14:paraId="1495CBE8" w14:textId="77777777" w:rsidR="00C62BF2" w:rsidRDefault="00C62BF2" w:rsidP="00281329">
            <w:pPr>
              <w:pStyle w:val="Tablecontent"/>
            </w:pPr>
            <w:r>
              <w:t xml:space="preserve">KB </w:t>
            </w:r>
          </w:p>
        </w:tc>
      </w:tr>
      <w:tr w:rsidR="00C62BF2" w14:paraId="1E3AD8BE" w14:textId="77777777" w:rsidTr="00281329">
        <w:tc>
          <w:tcPr>
            <w:tcW w:w="3014" w:type="dxa"/>
            <w:shd w:val="clear" w:color="auto" w:fill="F2F2F2" w:themeFill="background1" w:themeFillShade="F2"/>
            <w:hideMark/>
          </w:tcPr>
          <w:p w14:paraId="3E1FF00B" w14:textId="77777777" w:rsidR="00C62BF2" w:rsidRDefault="00C62BF2" w:rsidP="00281329">
            <w:pPr>
              <w:pStyle w:val="Tablecontent"/>
            </w:pPr>
            <w:r>
              <w:t>guest.page.size</w:t>
            </w:r>
          </w:p>
        </w:tc>
        <w:tc>
          <w:tcPr>
            <w:tcW w:w="6127" w:type="dxa"/>
            <w:hideMark/>
          </w:tcPr>
          <w:p w14:paraId="6A48ADE2" w14:textId="77777777" w:rsidR="00C62BF2" w:rsidRDefault="00C62BF2" w:rsidP="00281329">
            <w:pPr>
              <w:pStyle w:val="Tablecontent"/>
            </w:pPr>
            <w:r>
              <w:t xml:space="preserve">sysconf(_SC_PAGESIZE) </w:t>
            </w:r>
          </w:p>
        </w:tc>
        <w:tc>
          <w:tcPr>
            <w:tcW w:w="0" w:type="auto"/>
            <w:hideMark/>
          </w:tcPr>
          <w:p w14:paraId="0143B9C8" w14:textId="77777777" w:rsidR="00C62BF2" w:rsidRDefault="00C62BF2" w:rsidP="00281329">
            <w:pPr>
              <w:pStyle w:val="Tablecontent"/>
            </w:pPr>
            <w:r>
              <w:t xml:space="preserve">Bytes </w:t>
            </w:r>
          </w:p>
        </w:tc>
      </w:tr>
      <w:tr w:rsidR="00C62BF2" w14:paraId="1D167E48" w14:textId="77777777" w:rsidTr="00281329">
        <w:tc>
          <w:tcPr>
            <w:tcW w:w="3014" w:type="dxa"/>
            <w:shd w:val="clear" w:color="auto" w:fill="F2F2F2" w:themeFill="background1" w:themeFillShade="F2"/>
            <w:hideMark/>
          </w:tcPr>
          <w:p w14:paraId="5299B582" w14:textId="77777777" w:rsidR="00C62BF2" w:rsidRDefault="00C62BF2" w:rsidP="00281329">
            <w:pPr>
              <w:pStyle w:val="Tablecontent"/>
            </w:pPr>
            <w:r>
              <w:t>guest.hugePage.size</w:t>
            </w:r>
          </w:p>
        </w:tc>
        <w:tc>
          <w:tcPr>
            <w:tcW w:w="6127" w:type="dxa"/>
            <w:hideMark/>
          </w:tcPr>
          <w:p w14:paraId="6DD52250" w14:textId="77777777" w:rsidR="00C62BF2" w:rsidRDefault="00C62BF2" w:rsidP="00281329">
            <w:pPr>
              <w:pStyle w:val="Tablecontent"/>
            </w:pPr>
            <w:r>
              <w:t xml:space="preserve">"Hugepagesize" from /proc/meminfo </w:t>
            </w:r>
          </w:p>
        </w:tc>
        <w:tc>
          <w:tcPr>
            <w:tcW w:w="0" w:type="auto"/>
            <w:hideMark/>
          </w:tcPr>
          <w:p w14:paraId="249256BE" w14:textId="77777777" w:rsidR="00C62BF2" w:rsidRDefault="00C62BF2" w:rsidP="00281329">
            <w:pPr>
              <w:pStyle w:val="Tablecontent"/>
            </w:pPr>
            <w:r>
              <w:t xml:space="preserve">KB </w:t>
            </w:r>
          </w:p>
        </w:tc>
      </w:tr>
      <w:tr w:rsidR="00C62BF2" w14:paraId="513A051A" w14:textId="77777777" w:rsidTr="00281329">
        <w:tc>
          <w:tcPr>
            <w:tcW w:w="3014" w:type="dxa"/>
            <w:shd w:val="clear" w:color="auto" w:fill="F2F2F2" w:themeFill="background1" w:themeFillShade="F2"/>
            <w:hideMark/>
          </w:tcPr>
          <w:p w14:paraId="02F76009" w14:textId="77777777" w:rsidR="00C62BF2" w:rsidRDefault="00C62BF2" w:rsidP="00281329">
            <w:pPr>
              <w:pStyle w:val="Tablecontent"/>
            </w:pPr>
            <w:r>
              <w:t>guest.hugePage.total</w:t>
            </w:r>
          </w:p>
        </w:tc>
        <w:tc>
          <w:tcPr>
            <w:tcW w:w="6127" w:type="dxa"/>
            <w:hideMark/>
          </w:tcPr>
          <w:p w14:paraId="672BDE82" w14:textId="77777777" w:rsidR="00C62BF2" w:rsidRDefault="00C62BF2" w:rsidP="00281329">
            <w:pPr>
              <w:pStyle w:val="Tablecontent"/>
            </w:pPr>
            <w:r>
              <w:t xml:space="preserve">"HugePages_Total" from /proc/meminfo </w:t>
            </w:r>
          </w:p>
          <w:p w14:paraId="190405A3" w14:textId="77777777" w:rsidR="00C62BF2" w:rsidRDefault="00C62BF2" w:rsidP="00281329">
            <w:pPr>
              <w:pStyle w:val="Tablecontent"/>
            </w:pPr>
            <w:r>
              <w:lastRenderedPageBreak/>
              <w:t>Total large pages allocated</w:t>
            </w:r>
          </w:p>
        </w:tc>
        <w:tc>
          <w:tcPr>
            <w:tcW w:w="0" w:type="auto"/>
            <w:hideMark/>
          </w:tcPr>
          <w:p w14:paraId="4A58F19E" w14:textId="77777777" w:rsidR="00C62BF2" w:rsidRDefault="00C62BF2" w:rsidP="00281329">
            <w:pPr>
              <w:pStyle w:val="Tablecontent"/>
            </w:pPr>
            <w:r>
              <w:lastRenderedPageBreak/>
              <w:t xml:space="preserve">Large page count </w:t>
            </w:r>
          </w:p>
        </w:tc>
      </w:tr>
      <w:tr w:rsidR="00C62BF2" w14:paraId="72196EF5" w14:textId="77777777" w:rsidTr="00281329">
        <w:tc>
          <w:tcPr>
            <w:tcW w:w="3014" w:type="dxa"/>
            <w:shd w:val="clear" w:color="auto" w:fill="F2F2F2" w:themeFill="background1" w:themeFillShade="F2"/>
          </w:tcPr>
          <w:p w14:paraId="39E293F5" w14:textId="77777777" w:rsidR="00C62BF2" w:rsidRDefault="00C62BF2" w:rsidP="00281329">
            <w:pPr>
              <w:pStyle w:val="Tablecontent"/>
            </w:pPr>
            <w:r>
              <w:t>guest.mem.neededReservation</w:t>
            </w:r>
          </w:p>
        </w:tc>
        <w:tc>
          <w:tcPr>
            <w:tcW w:w="6127" w:type="dxa"/>
          </w:tcPr>
          <w:p w14:paraId="4452EBDB" w14:textId="77777777" w:rsidR="00C62BF2" w:rsidRDefault="00C62BF2" w:rsidP="00281329">
            <w:pPr>
              <w:pStyle w:val="Tablecontent"/>
            </w:pPr>
            <w:r>
              <w:t xml:space="preserve">5% of "guest.mem.physUsable" </w:t>
            </w:r>
          </w:p>
        </w:tc>
        <w:tc>
          <w:tcPr>
            <w:tcW w:w="0" w:type="auto"/>
          </w:tcPr>
          <w:p w14:paraId="3C2EFFD5" w14:textId="77777777" w:rsidR="00C62BF2" w:rsidRDefault="00C62BF2" w:rsidP="00281329">
            <w:pPr>
              <w:pStyle w:val="Tablecontent"/>
            </w:pPr>
            <w:r>
              <w:t xml:space="preserve">KB </w:t>
            </w:r>
          </w:p>
        </w:tc>
      </w:tr>
      <w:tr w:rsidR="00C62BF2" w14:paraId="378CA3A1" w14:textId="77777777" w:rsidTr="00281329">
        <w:tc>
          <w:tcPr>
            <w:tcW w:w="3014" w:type="dxa"/>
            <w:shd w:val="clear" w:color="auto" w:fill="F2F2F2" w:themeFill="background1" w:themeFillShade="F2"/>
          </w:tcPr>
          <w:p w14:paraId="54C2B260" w14:textId="77777777" w:rsidR="00C62BF2" w:rsidRDefault="00C62BF2" w:rsidP="00281329">
            <w:pPr>
              <w:pStyle w:val="Tablecontent"/>
            </w:pPr>
            <w:r>
              <w:t>guest.mem.available</w:t>
            </w:r>
          </w:p>
        </w:tc>
        <w:tc>
          <w:tcPr>
            <w:tcW w:w="6127" w:type="dxa"/>
          </w:tcPr>
          <w:p w14:paraId="4C41F300" w14:textId="77777777" w:rsidR="00C62BF2" w:rsidRDefault="00C62BF2" w:rsidP="00281329">
            <w:pPr>
              <w:pStyle w:val="Tablecontent"/>
            </w:pPr>
            <w:r>
              <w:t xml:space="preserve">"MemAvailable" from /proc/meminfo </w:t>
            </w:r>
          </w:p>
        </w:tc>
        <w:tc>
          <w:tcPr>
            <w:tcW w:w="0" w:type="auto"/>
          </w:tcPr>
          <w:p w14:paraId="191436F2" w14:textId="77777777" w:rsidR="00C62BF2" w:rsidRDefault="00C62BF2" w:rsidP="00281329">
            <w:pPr>
              <w:pStyle w:val="Tablecontent"/>
            </w:pPr>
            <w:r>
              <w:t xml:space="preserve">KB </w:t>
            </w:r>
          </w:p>
        </w:tc>
      </w:tr>
      <w:tr w:rsidR="00C62BF2" w14:paraId="34155999" w14:textId="77777777" w:rsidTr="00281329">
        <w:tc>
          <w:tcPr>
            <w:tcW w:w="3014" w:type="dxa"/>
            <w:shd w:val="clear" w:color="auto" w:fill="F2F2F2" w:themeFill="background1" w:themeFillShade="F2"/>
          </w:tcPr>
          <w:p w14:paraId="296E166E" w14:textId="77777777" w:rsidR="00C62BF2" w:rsidRDefault="00C62BF2" w:rsidP="00281329">
            <w:pPr>
              <w:pStyle w:val="Tablecontent"/>
            </w:pPr>
            <w:r>
              <w:t>guest.mem.slabReclaim</w:t>
            </w:r>
          </w:p>
        </w:tc>
        <w:tc>
          <w:tcPr>
            <w:tcW w:w="6127" w:type="dxa"/>
          </w:tcPr>
          <w:p w14:paraId="7F5F439D" w14:textId="77777777" w:rsidR="00C62BF2" w:rsidRDefault="00C62BF2" w:rsidP="00281329">
            <w:pPr>
              <w:pStyle w:val="Tablecontent"/>
            </w:pPr>
            <w:r>
              <w:t xml:space="preserve">"SReclaimable" from /proc/meminfo </w:t>
            </w:r>
          </w:p>
        </w:tc>
        <w:tc>
          <w:tcPr>
            <w:tcW w:w="0" w:type="auto"/>
          </w:tcPr>
          <w:p w14:paraId="04B1CD15" w14:textId="77777777" w:rsidR="00C62BF2" w:rsidRDefault="00C62BF2" w:rsidP="00281329">
            <w:pPr>
              <w:pStyle w:val="Tablecontent"/>
            </w:pPr>
            <w:r>
              <w:t xml:space="preserve">KB </w:t>
            </w:r>
          </w:p>
        </w:tc>
      </w:tr>
      <w:tr w:rsidR="00C62BF2" w14:paraId="297954A4" w14:textId="77777777" w:rsidTr="00281329">
        <w:tc>
          <w:tcPr>
            <w:tcW w:w="3014" w:type="dxa"/>
            <w:shd w:val="clear" w:color="auto" w:fill="F2F2F2" w:themeFill="background1" w:themeFillShade="F2"/>
          </w:tcPr>
          <w:p w14:paraId="321B1A8D" w14:textId="77777777" w:rsidR="00C62BF2" w:rsidRDefault="00C62BF2" w:rsidP="00281329">
            <w:pPr>
              <w:pStyle w:val="Tablecontent"/>
            </w:pPr>
            <w:r>
              <w:t>guest.mem.buffers</w:t>
            </w:r>
          </w:p>
        </w:tc>
        <w:tc>
          <w:tcPr>
            <w:tcW w:w="6127" w:type="dxa"/>
          </w:tcPr>
          <w:p w14:paraId="54D65023" w14:textId="77777777" w:rsidR="00C62BF2" w:rsidRDefault="00C62BF2" w:rsidP="00281329">
            <w:pPr>
              <w:pStyle w:val="Tablecontent"/>
            </w:pPr>
            <w:r>
              <w:t xml:space="preserve">"Buffers" from /proc/meminfo </w:t>
            </w:r>
          </w:p>
        </w:tc>
        <w:tc>
          <w:tcPr>
            <w:tcW w:w="0" w:type="auto"/>
          </w:tcPr>
          <w:p w14:paraId="3CCD4268" w14:textId="77777777" w:rsidR="00C62BF2" w:rsidRDefault="00C62BF2" w:rsidP="00281329">
            <w:pPr>
              <w:pStyle w:val="Tablecontent"/>
            </w:pPr>
            <w:r>
              <w:t xml:space="preserve">KB </w:t>
            </w:r>
          </w:p>
        </w:tc>
      </w:tr>
      <w:tr w:rsidR="00C62BF2" w14:paraId="0166F331" w14:textId="77777777" w:rsidTr="00281329">
        <w:tc>
          <w:tcPr>
            <w:tcW w:w="3014" w:type="dxa"/>
            <w:shd w:val="clear" w:color="auto" w:fill="F2F2F2" w:themeFill="background1" w:themeFillShade="F2"/>
          </w:tcPr>
          <w:p w14:paraId="2EB0EEA5" w14:textId="77777777" w:rsidR="00C62BF2" w:rsidRDefault="00C62BF2" w:rsidP="00281329">
            <w:pPr>
              <w:pStyle w:val="Tablecontent"/>
            </w:pPr>
            <w:r>
              <w:t xml:space="preserve">guest.mem.cached </w:t>
            </w:r>
          </w:p>
        </w:tc>
        <w:tc>
          <w:tcPr>
            <w:tcW w:w="6127" w:type="dxa"/>
          </w:tcPr>
          <w:p w14:paraId="54C00C54" w14:textId="77777777" w:rsidR="00C62BF2" w:rsidRDefault="00C62BF2" w:rsidP="00281329">
            <w:pPr>
              <w:pStyle w:val="Tablecontent"/>
            </w:pPr>
            <w:r>
              <w:t xml:space="preserve">"Cached" from /proc/meminfo </w:t>
            </w:r>
          </w:p>
        </w:tc>
        <w:tc>
          <w:tcPr>
            <w:tcW w:w="0" w:type="auto"/>
          </w:tcPr>
          <w:p w14:paraId="66A5CAEE" w14:textId="77777777" w:rsidR="00C62BF2" w:rsidRDefault="00C62BF2" w:rsidP="00281329">
            <w:pPr>
              <w:pStyle w:val="Tablecontent"/>
            </w:pPr>
            <w:r>
              <w:t xml:space="preserve">KB </w:t>
            </w:r>
          </w:p>
        </w:tc>
      </w:tr>
      <w:tr w:rsidR="00C62BF2" w14:paraId="49E7CE3E" w14:textId="77777777" w:rsidTr="00281329">
        <w:tc>
          <w:tcPr>
            <w:tcW w:w="3014" w:type="dxa"/>
            <w:shd w:val="clear" w:color="auto" w:fill="F2F2F2" w:themeFill="background1" w:themeFillShade="F2"/>
          </w:tcPr>
          <w:p w14:paraId="658C5366" w14:textId="77777777" w:rsidR="00C62BF2" w:rsidRDefault="00C62BF2" w:rsidP="00281329">
            <w:pPr>
              <w:pStyle w:val="Tablecontent"/>
            </w:pPr>
            <w:r>
              <w:t>guest.mem.total</w:t>
            </w:r>
          </w:p>
        </w:tc>
        <w:tc>
          <w:tcPr>
            <w:tcW w:w="6127" w:type="dxa"/>
          </w:tcPr>
          <w:p w14:paraId="53685D86" w14:textId="77777777" w:rsidR="00C62BF2" w:rsidRDefault="00C62BF2" w:rsidP="00281329">
            <w:pPr>
              <w:pStyle w:val="Tablecontent"/>
            </w:pPr>
            <w:r>
              <w:t xml:space="preserve">"MemTotal" from /proc/meminfo </w:t>
            </w:r>
          </w:p>
        </w:tc>
        <w:tc>
          <w:tcPr>
            <w:tcW w:w="0" w:type="auto"/>
          </w:tcPr>
          <w:p w14:paraId="65D8D171" w14:textId="77777777" w:rsidR="00C62BF2" w:rsidRDefault="00C62BF2" w:rsidP="00281329">
            <w:pPr>
              <w:pStyle w:val="Tablecontent"/>
            </w:pPr>
            <w:r>
              <w:t xml:space="preserve">KB </w:t>
            </w:r>
          </w:p>
        </w:tc>
      </w:tr>
    </w:tbl>
    <w:p w14:paraId="5CDFF378" w14:textId="77777777" w:rsidR="00C62BF2" w:rsidRDefault="00C62BF2" w:rsidP="00C62BF2">
      <w:pPr>
        <w:rPr>
          <w:lang w:val="en-GB"/>
        </w:rPr>
      </w:pPr>
      <w:r w:rsidRPr="75ACB272">
        <w:rPr>
          <w:lang w:val="en-GB"/>
        </w:rPr>
        <w:t xml:space="preserve">The above mapping and calculation are based on latest Linux </w:t>
      </w:r>
      <w:hyperlink r:id="rId477">
        <w:r w:rsidRPr="75ACB272">
          <w:rPr>
            <w:rStyle w:val="Hyperlink"/>
            <w:lang w:val="en-GB"/>
          </w:rPr>
          <w:t>document</w:t>
        </w:r>
      </w:hyperlink>
      <w:r w:rsidRPr="75ACB272">
        <w:rPr>
          <w:lang w:val="en-GB"/>
        </w:rPr>
        <w:t xml:space="preserve"> and </w:t>
      </w:r>
      <w:hyperlink r:id="rId478">
        <w:r w:rsidRPr="75ACB272">
          <w:rPr>
            <w:rStyle w:val="Hyperlink"/>
            <w:lang w:val="en-GB"/>
          </w:rPr>
          <w:t>source code</w:t>
        </w:r>
      </w:hyperlink>
      <w:r w:rsidRPr="75ACB272">
        <w:rPr>
          <w:lang w:val="en-GB"/>
        </w:rPr>
        <w:t>. As older Linux has used different formula, the future may change.</w:t>
      </w:r>
    </w:p>
    <w:p w14:paraId="2FDB8733" w14:textId="77777777" w:rsidR="00CD13BC" w:rsidRDefault="00CD13BC" w:rsidP="00CD13BC">
      <w:pPr>
        <w:pStyle w:val="Heading4"/>
      </w:pPr>
      <w:r>
        <w:t>VM Metrics in the Guest</w:t>
      </w:r>
    </w:p>
    <w:p w14:paraId="13DE694D" w14:textId="77777777" w:rsidR="00CD13BC" w:rsidRPr="001847E2" w:rsidRDefault="00CD13BC" w:rsidP="00CD13BC">
      <w:pPr>
        <w:rPr>
          <w:lang w:val="en-GB"/>
        </w:rPr>
      </w:pPr>
      <w:r>
        <w:rPr>
          <w:lang w:val="en-GB"/>
        </w:rPr>
        <w:t xml:space="preserve">You can provide visibility into the underlying VM to the application team by enabling some CPU metrics. The metrics are described in </w:t>
      </w:r>
      <w:hyperlink r:id="rId479" w:history="1">
        <w:r w:rsidRPr="00386FF9">
          <w:rPr>
            <w:rStyle w:val="Hyperlink"/>
            <w:lang w:val="en-GB"/>
          </w:rPr>
          <w:t>this</w:t>
        </w:r>
      </w:hyperlink>
      <w:r>
        <w:rPr>
          <w:lang w:val="en-GB"/>
        </w:rPr>
        <w:t xml:space="preserve"> KB article. </w:t>
      </w:r>
    </w:p>
    <w:p w14:paraId="567A642C" w14:textId="77777777" w:rsidR="00CD13BC" w:rsidRDefault="00CD13BC" w:rsidP="00CD13BC">
      <w:pPr>
        <w:rPr>
          <w:lang w:val="en-GB"/>
        </w:rPr>
      </w:pPr>
      <w:r>
        <w:rPr>
          <w:noProof/>
        </w:rPr>
        <w:drawing>
          <wp:inline distT="0" distB="0" distL="0" distR="0" wp14:anchorId="3061C47A" wp14:editId="31BB43A7">
            <wp:extent cx="6645910" cy="3355340"/>
            <wp:effectExtent l="0" t="0" r="2540" b="0"/>
            <wp:docPr id="606394356" name="Picture 60639435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56" name="Picture 606394356" descr="Graphical user interface, text, application, email&#10;&#10;Description automatically generated"/>
                    <pic:cNvPicPr/>
                  </pic:nvPicPr>
                  <pic:blipFill>
                    <a:blip r:embed="rId480">
                      <a:extLst>
                        <a:ext uri="{28A0092B-C50C-407E-A947-70E740481C1C}">
                          <a14:useLocalDpi xmlns:a14="http://schemas.microsoft.com/office/drawing/2010/main" val="0"/>
                        </a:ext>
                      </a:extLst>
                    </a:blip>
                    <a:stretch>
                      <a:fillRect/>
                    </a:stretch>
                  </pic:blipFill>
                  <pic:spPr>
                    <a:xfrm>
                      <a:off x="0" y="0"/>
                      <a:ext cx="6645910" cy="3355340"/>
                    </a:xfrm>
                    <a:prstGeom prst="rect">
                      <a:avLst/>
                    </a:prstGeom>
                  </pic:spPr>
                </pic:pic>
              </a:graphicData>
            </a:graphic>
          </wp:inline>
        </w:drawing>
      </w:r>
    </w:p>
    <w:p w14:paraId="510C2171" w14:textId="777D827A" w:rsidR="008C063D" w:rsidRDefault="008C063D" w:rsidP="007D48E7">
      <w:pPr>
        <w:pStyle w:val="Heading4"/>
      </w:pPr>
      <w:r>
        <w:lastRenderedPageBreak/>
        <w:t>Service Discovery</w:t>
      </w:r>
    </w:p>
    <w:p w14:paraId="10D35A82" w14:textId="37EFAEFA" w:rsidR="002F3662" w:rsidRDefault="008C063D" w:rsidP="008C063D">
      <w:pPr>
        <w:rPr>
          <w:lang w:val="en-GB" w:eastAsia="en-SG"/>
        </w:rPr>
      </w:pPr>
      <w:r>
        <w:rPr>
          <w:lang w:val="en-GB" w:eastAsia="en-SG"/>
        </w:rPr>
        <w:t>If you do credential-based discovery via Service Discovery adapter, you get 4 extra metrics</w:t>
      </w:r>
    </w:p>
    <w:p w14:paraId="0EB177FB" w14:textId="7A1F8F7E" w:rsidR="008C063D" w:rsidRPr="008C063D" w:rsidRDefault="008C063D" w:rsidP="008C063D">
      <w:pPr>
        <w:rPr>
          <w:lang w:val="en-GB" w:eastAsia="en-SG"/>
        </w:rPr>
      </w:pPr>
      <w:r w:rsidRPr="008C063D">
        <w:rPr>
          <w:lang w:val="en-GB" w:eastAsia="en-SG"/>
        </w:rPr>
        <w:t xml:space="preserve">CPU </w:t>
      </w:r>
      <w:r w:rsidR="00806F39">
        <w:rPr>
          <w:lang w:val="en-GB" w:eastAsia="en-SG"/>
        </w:rPr>
        <w:t>U</w:t>
      </w:r>
      <w:r w:rsidRPr="008C063D">
        <w:rPr>
          <w:lang w:val="en-GB" w:eastAsia="en-SG"/>
        </w:rPr>
        <w:t xml:space="preserve">sage </w:t>
      </w:r>
      <w:r w:rsidR="00806F39">
        <w:rPr>
          <w:lang w:val="en-GB" w:eastAsia="en-SG"/>
        </w:rPr>
        <w:t>(%)</w:t>
      </w:r>
      <w:r w:rsidRPr="008C063D">
        <w:rPr>
          <w:lang w:val="en-GB" w:eastAsia="en-SG"/>
        </w:rPr>
        <w:t>.</w:t>
      </w:r>
      <w:r w:rsidR="00806F39">
        <w:rPr>
          <w:lang w:val="en-GB" w:eastAsia="en-SG"/>
        </w:rPr>
        <w:t xml:space="preserve"> This is useful as VMware Tools do not provide.</w:t>
      </w:r>
      <w:r w:rsidR="002F3662">
        <w:rPr>
          <w:lang w:val="en-GB" w:eastAsia="en-SG"/>
        </w:rPr>
        <w:t xml:space="preserve"> Use this counter to see if Windows or Linux need more CPU.</w:t>
      </w:r>
    </w:p>
    <w:p w14:paraId="4D16D1B4" w14:textId="62169E51" w:rsidR="008C063D" w:rsidRPr="008C063D" w:rsidRDefault="008C063D" w:rsidP="008C063D">
      <w:pPr>
        <w:rPr>
          <w:lang w:val="en-GB" w:eastAsia="en-SG"/>
        </w:rPr>
      </w:pPr>
      <w:r w:rsidRPr="008C063D">
        <w:rPr>
          <w:lang w:val="en-GB" w:eastAsia="en-SG"/>
        </w:rPr>
        <w:t>IO read throughput in KBps.</w:t>
      </w:r>
      <w:r w:rsidR="002F3662">
        <w:rPr>
          <w:lang w:val="en-GB" w:eastAsia="en-SG"/>
        </w:rPr>
        <w:t xml:space="preserve"> Compare this with the one see at VM level. It should be matching over time.</w:t>
      </w:r>
    </w:p>
    <w:p w14:paraId="2849DCFE" w14:textId="7E4A5C05" w:rsidR="008C063D" w:rsidRDefault="008C063D" w:rsidP="008C063D">
      <w:pPr>
        <w:rPr>
          <w:lang w:val="en-GB" w:eastAsia="en-SG"/>
        </w:rPr>
      </w:pPr>
      <w:r w:rsidRPr="008C063D">
        <w:rPr>
          <w:lang w:val="en-GB" w:eastAsia="en-SG"/>
        </w:rPr>
        <w:t>IO write throughput in KBps.</w:t>
      </w:r>
    </w:p>
    <w:p w14:paraId="05B926C7" w14:textId="1847FF3D" w:rsidR="002F3662" w:rsidRPr="008C063D" w:rsidRDefault="002F3662" w:rsidP="008C063D">
      <w:pPr>
        <w:rPr>
          <w:lang w:val="en-GB" w:eastAsia="en-SG"/>
        </w:rPr>
      </w:pPr>
      <w:r w:rsidRPr="008C063D">
        <w:rPr>
          <w:lang w:val="en-GB" w:eastAsia="en-SG"/>
        </w:rPr>
        <w:t xml:space="preserve">Memory </w:t>
      </w:r>
      <w:r>
        <w:rPr>
          <w:lang w:val="en-GB" w:eastAsia="en-SG"/>
        </w:rPr>
        <w:t>U</w:t>
      </w:r>
      <w:r w:rsidRPr="008C063D">
        <w:rPr>
          <w:lang w:val="en-GB" w:eastAsia="en-SG"/>
        </w:rPr>
        <w:t xml:space="preserve">sage </w:t>
      </w:r>
      <w:r>
        <w:rPr>
          <w:lang w:val="en-GB" w:eastAsia="en-SG"/>
        </w:rPr>
        <w:t>(</w:t>
      </w:r>
      <w:r w:rsidRPr="008C063D">
        <w:rPr>
          <w:lang w:val="en-GB" w:eastAsia="en-SG"/>
        </w:rPr>
        <w:t>KB</w:t>
      </w:r>
      <w:r>
        <w:rPr>
          <w:lang w:val="en-GB" w:eastAsia="en-SG"/>
        </w:rPr>
        <w:t>). Not useful as already covered by VMware Tools</w:t>
      </w:r>
    </w:p>
    <w:p w14:paraId="24CEA468" w14:textId="116EF05C" w:rsidR="00FF0111" w:rsidRDefault="007D48E7" w:rsidP="00B373E2">
      <w:pPr>
        <w:pStyle w:val="Heading2"/>
      </w:pPr>
      <w:r>
        <w:lastRenderedPageBreak/>
        <w:t>V</w:t>
      </w:r>
      <w:r w:rsidR="007E7078">
        <w:t>irtual Machine</w:t>
      </w:r>
    </w:p>
    <w:p w14:paraId="408F93B0" w14:textId="7B02E5A9" w:rsidR="007A6FCC" w:rsidRDefault="007A6FCC" w:rsidP="007A6FCC">
      <w:pPr>
        <w:pStyle w:val="AfterChapterTitle"/>
      </w:pPr>
      <w:r>
        <mc:AlternateContent>
          <mc:Choice Requires="wps">
            <w:drawing>
              <wp:anchor distT="0" distB="0" distL="114300" distR="114300" simplePos="0" relativeHeight="251689984" behindDoc="0" locked="0" layoutInCell="1" allowOverlap="1" wp14:anchorId="705B5EF3" wp14:editId="7C568DEE">
                <wp:simplePos x="0" y="0"/>
                <wp:positionH relativeFrom="column">
                  <wp:posOffset>0</wp:posOffset>
                </wp:positionH>
                <wp:positionV relativeFrom="paragraph">
                  <wp:posOffset>0</wp:posOffset>
                </wp:positionV>
                <wp:extent cx="1828800" cy="1828800"/>
                <wp:effectExtent l="0" t="0" r="0" b="0"/>
                <wp:wrapNone/>
                <wp:docPr id="567723362" name="Text Box 56772336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4160AE1" w14:textId="3D4E92E7" w:rsidR="007A6FCC" w:rsidRPr="00C84219" w:rsidRDefault="007A6FCC" w:rsidP="007A6FCC">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2 Chapter </w:t>
                            </w:r>
                            <w:r w:rsidR="00487E8C">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705B5EF3" id="Text Box 567723362" o:spid="_x0000_s1034" type="#_x0000_t202" style="position:absolute;margin-left:0;margin-top:0;width:2in;height:2in;z-index:2516899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" filled="f" stroked="f">
                <v:textbox style="mso-fit-shape-to-text:t">
                  <w:txbxContent>
                    <w:p w14:paraId="24160AE1" w14:textId="3D4E92E7" w:rsidR="007A6FCC" w:rsidRPr="00C84219" w:rsidRDefault="007A6FCC" w:rsidP="007A6FCC">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2 Chapter </w:t>
                      </w:r>
                      <w:r w:rsidR="00487E8C">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4</w:t>
                      </w:r>
                    </w:p>
                  </w:txbxContent>
                </v:textbox>
              </v:shape>
            </w:pict>
          </mc:Fallback>
        </mc:AlternateContent>
      </w:r>
      <w:r w:rsidR="00C84113">
        <w:t>We start with CPU, Memory, Storage and Network. Once that’s covered, we will apply to performance and capacity. Lastly, we document miscellaneous metrics and properties that don’t fit well.</w:t>
      </w:r>
    </w:p>
    <w:p w14:paraId="66B5E1E8" w14:textId="49673E8C" w:rsidR="00FF0111" w:rsidRDefault="00FF0111" w:rsidP="00FF0111">
      <w:pPr>
        <w:pStyle w:val="Heading3"/>
      </w:pPr>
      <w:r>
        <w:t>CPU</w:t>
      </w:r>
    </w:p>
    <w:p w14:paraId="15AFD391" w14:textId="5ED39E8B" w:rsidR="00C84113" w:rsidRPr="00C84113" w:rsidRDefault="00DC7648" w:rsidP="00C84113">
      <w:pPr>
        <w:rPr>
          <w:lang w:val="en-GB"/>
        </w:rPr>
      </w:pPr>
      <w:r>
        <w:rPr>
          <w:lang w:val="en-GB"/>
        </w:rPr>
        <w:t>Take note that s</w:t>
      </w:r>
      <w:r w:rsidR="00C84113">
        <w:rPr>
          <w:lang w:val="en-GB"/>
        </w:rPr>
        <w:t>ome metrics are for VMkernel internal consumption, and not for vSphere administrators.</w:t>
      </w:r>
      <w:r>
        <w:rPr>
          <w:lang w:val="en-GB"/>
        </w:rPr>
        <w:t xml:space="preserve"> Just because they are available in the UI and have names that sound useful do not mean it’s for your operations. Their name is written from CPU scheduler viewpoint. </w:t>
      </w:r>
    </w:p>
    <w:p w14:paraId="44386517" w14:textId="6646C66E" w:rsidR="00DC7648" w:rsidRDefault="00DC7648" w:rsidP="00DC7648">
      <w:r>
        <w:t>I will use the vSphere Client as the source of metrics in the following screenshots.</w:t>
      </w:r>
    </w:p>
    <w:p w14:paraId="6E77BFF2" w14:textId="66F49F2D" w:rsidR="00C84113" w:rsidRPr="00C84113" w:rsidRDefault="00C84113" w:rsidP="00C84113">
      <w:pPr>
        <w:rPr>
          <w:lang w:val="en-GB" w:eastAsia="en-SG"/>
        </w:rPr>
      </w:pPr>
      <w:r>
        <w:rPr>
          <w:lang w:val="en-GB" w:eastAsia="en-SG"/>
        </w:rPr>
        <w:t>vSphere Client provides 6 metrics to track contention.</w:t>
      </w:r>
    </w:p>
    <w:p w14:paraId="3A9987E5" w14:textId="1B9375B6" w:rsidR="00F91723" w:rsidRDefault="00F91723" w:rsidP="00FF0111">
      <w:pPr>
        <w:rPr>
          <w:lang w:val="en-GB"/>
        </w:rPr>
      </w:pPr>
      <w:r>
        <w:rPr>
          <w:noProof/>
          <w:lang w:val="en-GB"/>
        </w:rPr>
        <w:drawing>
          <wp:inline distT="0" distB="0" distL="0" distR="0" wp14:anchorId="5440222E" wp14:editId="68797884">
            <wp:extent cx="6645910" cy="1108075"/>
            <wp:effectExtent l="0" t="0" r="2540" b="0"/>
            <wp:docPr id="1971069054" name="Picture 1971069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1" cstate="print">
                      <a:extLst>
                        <a:ext uri="{28A0092B-C50C-407E-A947-70E740481C1C}">
                          <a14:useLocalDpi xmlns:a14="http://schemas.microsoft.com/office/drawing/2010/main" val="0"/>
                        </a:ext>
                      </a:extLst>
                    </a:blip>
                    <a:srcRect/>
                    <a:stretch>
                      <a:fillRect/>
                    </a:stretch>
                  </pic:blipFill>
                  <pic:spPr bwMode="auto">
                    <a:xfrm>
                      <a:off x="0" y="0"/>
                      <a:ext cx="6645910" cy="1108075"/>
                    </a:xfrm>
                    <a:prstGeom prst="rect">
                      <a:avLst/>
                    </a:prstGeom>
                    <a:noFill/>
                    <a:ln>
                      <a:noFill/>
                    </a:ln>
                  </pic:spPr>
                </pic:pic>
              </a:graphicData>
            </a:graphic>
          </wp:inline>
        </w:drawing>
      </w:r>
    </w:p>
    <w:p w14:paraId="031783D0" w14:textId="65E7DC78" w:rsidR="00E37CED" w:rsidRDefault="00556B22" w:rsidP="00FF0111">
      <w:pPr>
        <w:rPr>
          <w:lang w:val="en-GB"/>
        </w:rPr>
      </w:pPr>
      <w:r>
        <w:rPr>
          <w:lang w:val="en-GB"/>
        </w:rPr>
        <w:t>Y</w:t>
      </w:r>
      <w:r w:rsidR="00E37CED">
        <w:rPr>
          <w:lang w:val="en-GB"/>
        </w:rPr>
        <w:t xml:space="preserve">ou get </w:t>
      </w:r>
      <w:r>
        <w:rPr>
          <w:lang w:val="en-GB"/>
        </w:rPr>
        <w:t xml:space="preserve">9 metrics </w:t>
      </w:r>
      <w:r w:rsidR="00E37CED">
        <w:rPr>
          <w:lang w:val="en-GB"/>
        </w:rPr>
        <w:t>for consumption</w:t>
      </w:r>
      <w:r>
        <w:rPr>
          <w:lang w:val="en-GB"/>
        </w:rPr>
        <w:t>.</w:t>
      </w:r>
    </w:p>
    <w:p w14:paraId="3E6D3CCB" w14:textId="3DDB278A" w:rsidR="00E37CED" w:rsidRDefault="00E37CED" w:rsidP="00FF0111">
      <w:pPr>
        <w:rPr>
          <w:lang w:val="en-GB"/>
        </w:rPr>
      </w:pPr>
      <w:r>
        <w:rPr>
          <w:noProof/>
          <w:lang w:val="en-GB"/>
        </w:rPr>
        <w:lastRenderedPageBreak/>
        <w:drawing>
          <wp:inline distT="0" distB="0" distL="0" distR="0" wp14:anchorId="0CA3C345" wp14:editId="5D771E88">
            <wp:extent cx="6636385" cy="1629410"/>
            <wp:effectExtent l="0" t="0" r="0" b="8890"/>
            <wp:docPr id="1293284807" name="Picture 1293284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2" cstate="print">
                      <a:extLst>
                        <a:ext uri="{28A0092B-C50C-407E-A947-70E740481C1C}">
                          <a14:useLocalDpi xmlns:a14="http://schemas.microsoft.com/office/drawing/2010/main" val="0"/>
                        </a:ext>
                      </a:extLst>
                    </a:blip>
                    <a:srcRect/>
                    <a:stretch>
                      <a:fillRect/>
                    </a:stretch>
                  </pic:blipFill>
                  <pic:spPr bwMode="auto">
                    <a:xfrm>
                      <a:off x="0" y="0"/>
                      <a:ext cx="6636385" cy="1629410"/>
                    </a:xfrm>
                    <a:prstGeom prst="rect">
                      <a:avLst/>
                    </a:prstGeom>
                    <a:noFill/>
                    <a:ln>
                      <a:noFill/>
                    </a:ln>
                  </pic:spPr>
                </pic:pic>
              </a:graphicData>
            </a:graphic>
          </wp:inline>
        </w:drawing>
      </w:r>
    </w:p>
    <w:p w14:paraId="2B2B445C" w14:textId="3A3E2A93" w:rsidR="00E37CED" w:rsidRDefault="00E37CED" w:rsidP="00FF0111">
      <w:pPr>
        <w:rPr>
          <w:lang w:val="en-GB"/>
        </w:rPr>
      </w:pPr>
      <w:r>
        <w:rPr>
          <w:lang w:val="en-GB"/>
        </w:rPr>
        <w:t xml:space="preserve">I </w:t>
      </w:r>
      <w:r w:rsidR="00556B22">
        <w:rPr>
          <w:lang w:val="en-GB"/>
        </w:rPr>
        <w:t xml:space="preserve">group </w:t>
      </w:r>
      <w:r w:rsidRPr="00046FE6">
        <w:rPr>
          <w:color w:val="00B0F0"/>
          <w:lang w:val="en-GB"/>
        </w:rPr>
        <w:t xml:space="preserve">Wait </w:t>
      </w:r>
      <w:r w:rsidR="00556B22">
        <w:rPr>
          <w:lang w:val="en-GB"/>
        </w:rPr>
        <w:t>metrics s</w:t>
      </w:r>
      <w:r>
        <w:rPr>
          <w:lang w:val="en-GB"/>
        </w:rPr>
        <w:t>eparately as it mixes both contention and consumption.</w:t>
      </w:r>
    </w:p>
    <w:p w14:paraId="6036B101" w14:textId="1E009C3B" w:rsidR="00E37CED" w:rsidRDefault="00E37CED" w:rsidP="00E37CED">
      <w:pPr>
        <w:jc w:val="center"/>
        <w:rPr>
          <w:lang w:val="en-GB"/>
        </w:rPr>
      </w:pPr>
      <w:r>
        <w:rPr>
          <w:noProof/>
          <w:lang w:val="en-GB"/>
        </w:rPr>
        <w:drawing>
          <wp:inline distT="0" distB="0" distL="0" distR="0" wp14:anchorId="0ADCF0EE" wp14:editId="62B9DDE9">
            <wp:extent cx="5586984" cy="1088136"/>
            <wp:effectExtent l="0" t="0" r="0" b="0"/>
            <wp:docPr id="1971069055" name="Picture 1971069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586984" cy="1088136"/>
                    </a:xfrm>
                    <a:prstGeom prst="rect">
                      <a:avLst/>
                    </a:prstGeom>
                    <a:noFill/>
                    <a:ln>
                      <a:noFill/>
                    </a:ln>
                  </pic:spPr>
                </pic:pic>
              </a:graphicData>
            </a:graphic>
          </wp:inline>
        </w:drawing>
      </w:r>
    </w:p>
    <w:p w14:paraId="47115447" w14:textId="31F821A8" w:rsidR="00D400E7" w:rsidRDefault="00D400E7" w:rsidP="00FF0111">
      <w:pPr>
        <w:pStyle w:val="Heading4"/>
      </w:pPr>
      <w:bookmarkStart w:id="79" w:name="_State_of_a"/>
      <w:bookmarkStart w:id="80" w:name="_Ready"/>
      <w:bookmarkEnd w:id="79"/>
      <w:bookmarkEnd w:id="80"/>
      <w:r>
        <w:t>Contention Metrics</w:t>
      </w:r>
    </w:p>
    <w:p w14:paraId="1CAEF60A" w14:textId="70C2E212" w:rsidR="00D400E7" w:rsidRDefault="00D400E7" w:rsidP="00D400E7">
      <w:pPr>
        <w:rPr>
          <w:lang w:val="en-GB"/>
        </w:rPr>
      </w:pPr>
      <w:r>
        <w:rPr>
          <w:lang w:val="en-GB"/>
        </w:rPr>
        <w:t>Let’s dive into each counter. As usual, we start with contention type of metrics, then utilization.</w:t>
      </w:r>
    </w:p>
    <w:p w14:paraId="134FAF7F" w14:textId="11D5830D" w:rsidR="00FF0111" w:rsidRPr="00C161B3" w:rsidRDefault="00FF0111" w:rsidP="00D400E7">
      <w:pPr>
        <w:pStyle w:val="Heading5"/>
      </w:pPr>
      <w:r w:rsidRPr="00C161B3">
        <w:t>Ready</w:t>
      </w:r>
    </w:p>
    <w:p w14:paraId="730C5128" w14:textId="77777777" w:rsidR="00FF0111" w:rsidRDefault="00FF0111" w:rsidP="00D400E7">
      <w:r w:rsidRPr="00C161B3">
        <w:t xml:space="preserve">Ready tracks the time when a VM vCPU wants to run, but ESXi does not have a physical thread to run it. </w:t>
      </w:r>
      <w:r>
        <w:t>VMkernel</w:t>
      </w:r>
      <w:r w:rsidRPr="00C161B3">
        <w:t xml:space="preserve"> places the VM vCPU into Ready state. Ready also accounts when Limit is applied, as the impact to the vCPU is the same (albeit for a different reason altogether). When a VM is unable to run due to Limit, it accumulates limbo time when sitting in the limbo queue. Be careful when using a Resource Pool, as it can unintentionally cause limits. </w:t>
      </w:r>
    </w:p>
    <w:p w14:paraId="3A926A50" w14:textId="77777777" w:rsidR="00FF0111" w:rsidRDefault="00FF0111" w:rsidP="00D400E7">
      <w:r>
        <w:t>Take note that Ready is unaware of contention due to hyperthreading. The vCPU is not placed in ready state because both threads can execute at the same time. The contention for shared resources happens at low level hardware and essentially transparent to ESXi scheduler. If you are concerned about this certain degradation in throughput when two worlds execute at the same time on the same core, what counter should you use?</w:t>
      </w:r>
    </w:p>
    <w:p w14:paraId="1E053F6E" w14:textId="77777777" w:rsidR="00FF0111" w:rsidRDefault="00FF0111" w:rsidP="00D400E7">
      <w:r>
        <w:t>You’re right. It’s CPU Contention. Different purpose, different counter.</w:t>
      </w:r>
    </w:p>
    <w:p w14:paraId="4A5F138F" w14:textId="77777777" w:rsidR="00FF0111" w:rsidRDefault="00FF0111" w:rsidP="00D400E7">
      <w:r>
        <w:t>Take a look at the high spikes on CPU Ready value. It hits 40%!</w:t>
      </w:r>
    </w:p>
    <w:p w14:paraId="3C7E426C" w14:textId="77777777" w:rsidR="00FF0111" w:rsidRPr="00C161B3" w:rsidRDefault="00FF0111" w:rsidP="00D400E7">
      <w:pPr>
        <w:jc w:val="center"/>
      </w:pPr>
      <w:r>
        <w:rPr>
          <w:noProof/>
        </w:rPr>
        <w:lastRenderedPageBreak/>
        <w:drawing>
          <wp:inline distT="0" distB="0" distL="0" distR="0" wp14:anchorId="6C3FF9D2" wp14:editId="5F8650E8">
            <wp:extent cx="5033176" cy="4864529"/>
            <wp:effectExtent l="0" t="0" r="0" b="0"/>
            <wp:docPr id="606394107" name="Picture 60639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07"/>
                    <pic:cNvPicPr/>
                  </pic:nvPicPr>
                  <pic:blipFill>
                    <a:blip r:embed="rId484" cstate="print">
                      <a:extLst>
                        <a:ext uri="{28A0092B-C50C-407E-A947-70E740481C1C}">
                          <a14:useLocalDpi xmlns:a14="http://schemas.microsoft.com/office/drawing/2010/main" val="0"/>
                        </a:ext>
                      </a:extLst>
                    </a:blip>
                    <a:stretch>
                      <a:fillRect/>
                    </a:stretch>
                  </pic:blipFill>
                  <pic:spPr>
                    <a:xfrm>
                      <a:off x="0" y="0"/>
                      <a:ext cx="5034658" cy="4865961"/>
                    </a:xfrm>
                    <a:prstGeom prst="rect">
                      <a:avLst/>
                    </a:prstGeom>
                  </pic:spPr>
                </pic:pic>
              </a:graphicData>
            </a:graphic>
          </wp:inline>
        </w:drawing>
      </w:r>
    </w:p>
    <w:p w14:paraId="52C6EB2C" w14:textId="77777777" w:rsidR="00FF0111" w:rsidRDefault="00FF0111" w:rsidP="00D400E7">
      <w:r>
        <w:t>Notice the overall pattern of the line chart correlates very well with CPU Usage and CPU Demand. The CPU Usage hit 3.95 GHz but the Demand shot to 6.6 GHz. This is a 4 vCPU VM running on a 2.7 GHz CPU, so its total capacity is 10.77 GHz. Why did Usage stop at 3.95 GHz?</w:t>
      </w:r>
    </w:p>
    <w:p w14:paraId="3438CAD5" w14:textId="77777777" w:rsidR="00FF0111" w:rsidRDefault="00FF0111" w:rsidP="00D400E7">
      <w:r>
        <w:t>What’s causing it?</w:t>
      </w:r>
    </w:p>
    <w:p w14:paraId="01CA0AAD" w14:textId="77777777" w:rsidR="00FF0111" w:rsidRDefault="00FF0111" w:rsidP="00D400E7">
      <w:r>
        <w:t xml:space="preserve">If your guess is Limit you are right. This VM had a limit set at 4 GHz. </w:t>
      </w:r>
    </w:p>
    <w:p w14:paraId="3F08324A" w14:textId="58DDD863" w:rsidR="00FF0111" w:rsidRPr="00C161B3" w:rsidRDefault="00FF0111" w:rsidP="00D400E7">
      <w:r>
        <w:t xml:space="preserve">Ready also includes the CPU scheduling cost (normally completed in microseconds), hence the value is not a flat 0 on idle VM. You will notice a very small number. Ready goes down when Guest OS is continually busy, versus when a process keeps waking up and going to sleep, causing the total scheduling overhead to be higher. The following shows Ready is below 0.2% on an idle VM (running at only 0.8%). Notice </w:t>
      </w:r>
      <w:r w:rsidR="00443625">
        <w:t>Co-stop</w:t>
      </w:r>
      <w:r>
        <w:t xml:space="preserve"> is basically flat 0.</w:t>
      </w:r>
    </w:p>
    <w:p w14:paraId="387E1781" w14:textId="77777777" w:rsidR="00FF0111" w:rsidRDefault="00FF0111" w:rsidP="00D400E7">
      <w:r>
        <w:rPr>
          <w:noProof/>
        </w:rPr>
        <w:drawing>
          <wp:inline distT="0" distB="0" distL="0" distR="0" wp14:anchorId="12102494" wp14:editId="1057FB17">
            <wp:extent cx="6645910" cy="1796415"/>
            <wp:effectExtent l="0" t="0" r="2540" b="0"/>
            <wp:docPr id="606394067" name="Picture 606394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67"/>
                    <pic:cNvPicPr/>
                  </pic:nvPicPr>
                  <pic:blipFill>
                    <a:blip r:embed="rId485">
                      <a:extLst>
                        <a:ext uri="{28A0092B-C50C-407E-A947-70E740481C1C}">
                          <a14:useLocalDpi xmlns:a14="http://schemas.microsoft.com/office/drawing/2010/main" val="0"/>
                        </a:ext>
                      </a:extLst>
                    </a:blip>
                    <a:stretch>
                      <a:fillRect/>
                    </a:stretch>
                  </pic:blipFill>
                  <pic:spPr>
                    <a:xfrm>
                      <a:off x="0" y="0"/>
                      <a:ext cx="6645910" cy="1796415"/>
                    </a:xfrm>
                    <a:prstGeom prst="rect">
                      <a:avLst/>
                    </a:prstGeom>
                  </pic:spPr>
                </pic:pic>
              </a:graphicData>
            </a:graphic>
          </wp:inline>
        </w:drawing>
      </w:r>
    </w:p>
    <w:p w14:paraId="589ECCED" w14:textId="77777777" w:rsidR="00FF0111" w:rsidRDefault="00FF0111" w:rsidP="00D400E7">
      <w:pPr>
        <w:rPr>
          <w:color w:val="FF0000"/>
        </w:rPr>
      </w:pPr>
      <w:r>
        <w:lastRenderedPageBreak/>
        <w:t>CPU Ready tends to be higher in larger VMs, because Ready tends to hit all vCPU at the same time. Instead of thinking of CPU ready in 2D (as shown in the first chart below), think in 3D where each vCPU moves across time. The 2</w:t>
      </w:r>
      <w:r w:rsidRPr="6AAE44FA">
        <w:rPr>
          <w:vertAlign w:val="superscript"/>
        </w:rPr>
        <w:t>nd</w:t>
      </w:r>
      <w:r>
        <w:t xml:space="preserve"> chart below shows how the 8 vCPUs move across time better.</w:t>
      </w:r>
      <w:r w:rsidRPr="6AAE44FA">
        <w:rPr>
          <w:color w:val="FF0000"/>
        </w:rPr>
        <w:t xml:space="preserve"> </w:t>
      </w:r>
    </w:p>
    <w:p w14:paraId="5F28901D" w14:textId="77777777" w:rsidR="00FF0111" w:rsidRDefault="00FF0111" w:rsidP="00D400E7">
      <w:r>
        <w:rPr>
          <w:noProof/>
        </w:rPr>
        <w:drawing>
          <wp:inline distT="0" distB="0" distL="0" distR="0" wp14:anchorId="6AD7E5A0" wp14:editId="77911718">
            <wp:extent cx="6645910" cy="3218815"/>
            <wp:effectExtent l="0" t="0" r="2540" b="635"/>
            <wp:docPr id="534447520" name="Picture 534447520" descr="Chart, rad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0" name="Picture 534447520" descr="Chart, radar chart&#10;&#10;Description automatically generated"/>
                    <pic:cNvPicPr/>
                  </pic:nvPicPr>
                  <pic:blipFill>
                    <a:blip r:embed="rId486"/>
                    <a:stretch>
                      <a:fillRect/>
                    </a:stretch>
                  </pic:blipFill>
                  <pic:spPr>
                    <a:xfrm>
                      <a:off x="0" y="0"/>
                      <a:ext cx="6645910" cy="3218815"/>
                    </a:xfrm>
                    <a:prstGeom prst="rect">
                      <a:avLst/>
                    </a:prstGeom>
                  </pic:spPr>
                </pic:pic>
              </a:graphicData>
            </a:graphic>
          </wp:inline>
        </w:drawing>
      </w:r>
    </w:p>
    <w:p w14:paraId="322D9794" w14:textId="77777777" w:rsidR="00FF0111" w:rsidRDefault="00FF0111" w:rsidP="00D400E7">
      <w:pPr>
        <w:pStyle w:val="Heading6"/>
      </w:pPr>
      <w:r>
        <w:t>Best Practice</w:t>
      </w:r>
    </w:p>
    <w:p w14:paraId="1A1CE9F3" w14:textId="77777777" w:rsidR="00FF0111" w:rsidRDefault="00FF0111" w:rsidP="00D400E7">
      <w:pPr>
        <w:rPr>
          <w:lang w:val="en-GB"/>
        </w:rPr>
      </w:pPr>
      <w:r>
        <w:rPr>
          <w:lang w:val="en-GB"/>
        </w:rPr>
        <w:t xml:space="preserve">I sample 3937 VMs from production environment. For each of them, I took the 20-second peak and not the 5-minute peak. </w:t>
      </w:r>
    </w:p>
    <w:p w14:paraId="6247D94E" w14:textId="77777777" w:rsidR="00FF0111" w:rsidRDefault="00FF0111" w:rsidP="00D400E7">
      <w:pPr>
        <w:rPr>
          <w:lang w:val="en-GB"/>
        </w:rPr>
      </w:pPr>
      <w:r>
        <w:rPr>
          <w:lang w:val="en-GB"/>
        </w:rPr>
        <w:t>Why do I take the 20-second?</w:t>
      </w:r>
    </w:p>
    <w:p w14:paraId="796870DB" w14:textId="67391F89" w:rsidR="00FF0111" w:rsidRDefault="00074275" w:rsidP="00D400E7">
      <w:pPr>
        <w:rPr>
          <w:lang w:val="en-GB"/>
        </w:rPr>
      </w:pPr>
      <w:bookmarkStart w:id="81" w:name="_Hlk135041810"/>
      <w:r>
        <w:rPr>
          <w:lang w:val="en-GB"/>
        </w:rPr>
        <w:t xml:space="preserve">Unless the performance issue is chronic, </w:t>
      </w:r>
      <w:r w:rsidR="00FF0111">
        <w:rPr>
          <w:lang w:val="en-GB"/>
        </w:rPr>
        <w:t xml:space="preserve">CPU Ready tends to last </w:t>
      </w:r>
      <w:r>
        <w:rPr>
          <w:lang w:val="en-GB"/>
        </w:rPr>
        <w:t>in seconds instead of minutes</w:t>
      </w:r>
      <w:r w:rsidR="00FF0111">
        <w:rPr>
          <w:lang w:val="en-GB"/>
        </w:rPr>
        <w:t xml:space="preserve">. </w:t>
      </w:r>
      <w:bookmarkEnd w:id="81"/>
      <w:r w:rsidR="00FF0111">
        <w:rPr>
          <w:lang w:val="en-GB"/>
        </w:rPr>
        <w:t xml:space="preserve">The following is one such example. </w:t>
      </w:r>
    </w:p>
    <w:p w14:paraId="36BE7480" w14:textId="77777777" w:rsidR="00FF0111" w:rsidRDefault="00FF0111" w:rsidP="00D400E7">
      <w:pPr>
        <w:rPr>
          <w:lang w:val="en-GB"/>
        </w:rPr>
      </w:pPr>
      <w:r w:rsidRPr="003678A6">
        <w:rPr>
          <w:noProof/>
          <w:lang w:val="en-GB"/>
        </w:rPr>
        <w:drawing>
          <wp:inline distT="0" distB="0" distL="0" distR="0" wp14:anchorId="142FEA2F" wp14:editId="0D37C74C">
            <wp:extent cx="6645910" cy="2395855"/>
            <wp:effectExtent l="0" t="0" r="2540" b="4445"/>
            <wp:docPr id="534447523" name="Picture 534447523" descr="Chart, lin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3" name="Picture 534447523" descr="Chart, line chart, histogram&#10;&#10;Description automatically generated"/>
                    <pic:cNvPicPr/>
                  </pic:nvPicPr>
                  <pic:blipFill>
                    <a:blip r:embed="rId487"/>
                    <a:stretch>
                      <a:fillRect/>
                    </a:stretch>
                  </pic:blipFill>
                  <pic:spPr>
                    <a:xfrm>
                      <a:off x="0" y="0"/>
                      <a:ext cx="6645910" cy="2395855"/>
                    </a:xfrm>
                    <a:prstGeom prst="rect">
                      <a:avLst/>
                    </a:prstGeom>
                  </pic:spPr>
                </pic:pic>
              </a:graphicData>
            </a:graphic>
          </wp:inline>
        </w:drawing>
      </w:r>
    </w:p>
    <w:p w14:paraId="43881E8D" w14:textId="77777777" w:rsidR="00FF0111" w:rsidRDefault="00FF0111" w:rsidP="00D400E7">
      <w:pPr>
        <w:rPr>
          <w:lang w:val="en-GB"/>
        </w:rPr>
      </w:pPr>
      <w:r>
        <w:rPr>
          <w:lang w:val="en-GB"/>
        </w:rPr>
        <w:t>The following shows a different behaviour. Notice initially both metrics are bad, indicating severe CPU ready. However, the gap is not even 2x. I think partly because the value is already very high. Going beyond 50% CPU Ready when CPU Usage is high will result in poor performance. This VM has 16 vCPU.</w:t>
      </w:r>
    </w:p>
    <w:p w14:paraId="258D1638" w14:textId="0F533F9A" w:rsidR="00074275" w:rsidRDefault="00FF0111" w:rsidP="00D400E7">
      <w:pPr>
        <w:rPr>
          <w:lang w:val="en-GB"/>
        </w:rPr>
      </w:pPr>
      <w:r w:rsidRPr="008E44C1">
        <w:rPr>
          <w:noProof/>
          <w:lang w:val="en-GB"/>
        </w:rPr>
        <w:lastRenderedPageBreak/>
        <w:drawing>
          <wp:inline distT="0" distB="0" distL="0" distR="0" wp14:anchorId="2FE56742" wp14:editId="0EB70EBE">
            <wp:extent cx="6645910" cy="2375535"/>
            <wp:effectExtent l="0" t="0" r="2540" b="5715"/>
            <wp:docPr id="910169566" name="Picture 91016956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66" name="Picture 910169566" descr="Chart&#10;&#10;Description automatically generated with medium confidence"/>
                    <pic:cNvPicPr/>
                  </pic:nvPicPr>
                  <pic:blipFill>
                    <a:blip r:embed="rId488"/>
                    <a:stretch>
                      <a:fillRect/>
                    </a:stretch>
                  </pic:blipFill>
                  <pic:spPr>
                    <a:xfrm>
                      <a:off x="0" y="0"/>
                      <a:ext cx="6645910" cy="2375535"/>
                    </a:xfrm>
                    <a:prstGeom prst="rect">
                      <a:avLst/>
                    </a:prstGeom>
                  </pic:spPr>
                </pic:pic>
              </a:graphicData>
            </a:graphic>
          </wp:inline>
        </w:drawing>
      </w:r>
    </w:p>
    <w:p w14:paraId="2E662E85" w14:textId="77777777" w:rsidR="00074275" w:rsidRDefault="00074275" w:rsidP="00074275">
      <w:pPr>
        <w:rPr>
          <w:lang w:val="en-GB"/>
        </w:rPr>
      </w:pPr>
      <w:r>
        <w:rPr>
          <w:lang w:val="en-GB"/>
        </w:rPr>
        <w:t xml:space="preserve">Subsequently, the performance improved, and both values became very similar and remained in a healthy range. </w:t>
      </w:r>
    </w:p>
    <w:p w14:paraId="211372C5" w14:textId="77777777" w:rsidR="00074275" w:rsidRDefault="00074275" w:rsidP="00074275">
      <w:pPr>
        <w:rPr>
          <w:lang w:val="en-GB"/>
        </w:rPr>
      </w:pPr>
      <w:r>
        <w:rPr>
          <w:lang w:val="en-GB"/>
        </w:rPr>
        <w:t xml:space="preserve">I collected 4 months’ worth of data, so it’s around 35040 metrics per VM. </w:t>
      </w:r>
    </w:p>
    <w:p w14:paraId="0226A9DD" w14:textId="77777777" w:rsidR="00074275" w:rsidRDefault="00074275" w:rsidP="00074275">
      <w:pPr>
        <w:rPr>
          <w:lang w:val="en-GB"/>
        </w:rPr>
      </w:pPr>
      <w:r>
        <w:rPr>
          <w:lang w:val="en-GB"/>
        </w:rPr>
        <w:t>The following screenshot was my result. What do you expect to get in your environment?</w:t>
      </w:r>
    </w:p>
    <w:p w14:paraId="139ECEC4" w14:textId="77777777" w:rsidR="00FF0111" w:rsidRDefault="00FF0111" w:rsidP="00D400E7">
      <w:pPr>
        <w:jc w:val="center"/>
        <w:rPr>
          <w:lang w:val="en-GB"/>
        </w:rPr>
      </w:pPr>
      <w:r w:rsidRPr="00CD7FB5">
        <w:rPr>
          <w:noProof/>
          <w:lang w:val="en-GB"/>
        </w:rPr>
        <w:drawing>
          <wp:inline distT="0" distB="0" distL="0" distR="0" wp14:anchorId="1FBD589B" wp14:editId="3DFCF405">
            <wp:extent cx="4654800" cy="3657600"/>
            <wp:effectExtent l="0" t="0" r="0" b="0"/>
            <wp:docPr id="1859674538" name="Picture 1859674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4654800" cy="3657600"/>
                    </a:xfrm>
                    <a:prstGeom prst="rect">
                      <a:avLst/>
                    </a:prstGeom>
                  </pic:spPr>
                </pic:pic>
              </a:graphicData>
            </a:graphic>
          </wp:inline>
        </w:drawing>
      </w:r>
    </w:p>
    <w:p w14:paraId="4E6EF052" w14:textId="77777777" w:rsidR="00FF0111" w:rsidRDefault="00FF0111" w:rsidP="00D400E7">
      <w:pPr>
        <w:rPr>
          <w:lang w:val="en-GB"/>
        </w:rPr>
      </w:pPr>
      <w:r>
        <w:rPr>
          <w:lang w:val="en-GB"/>
        </w:rPr>
        <w:t xml:space="preserve">The first column takes the highest value from ~35K data points. The table is sorted by this column, so you can see the absolute worst from 35040 x 3937 = 137 million data points. Unsurprisingly, the number is bad. Going down the table, it’s also not surprising as the worst 10 are bad. </w:t>
      </w:r>
    </w:p>
    <w:p w14:paraId="11065FB2" w14:textId="5994B2B1" w:rsidR="00FF0111" w:rsidRDefault="00FF0111" w:rsidP="00D400E7">
      <w:pPr>
        <w:rPr>
          <w:lang w:val="en-GB"/>
        </w:rPr>
      </w:pPr>
      <w:r>
        <w:rPr>
          <w:lang w:val="en-GB"/>
        </w:rPr>
        <w:t xml:space="preserve">But notice the average of these </w:t>
      </w:r>
      <w:r w:rsidR="005C6C12">
        <w:rPr>
          <w:lang w:val="en-GB"/>
        </w:rPr>
        <w:t>“</w:t>
      </w:r>
      <w:r w:rsidR="005C6C12" w:rsidRPr="001E1B79">
        <w:rPr>
          <w:color w:val="FF0000"/>
          <w:lang w:val="en-GB"/>
        </w:rPr>
        <w:t>worst metrics</w:t>
      </w:r>
      <w:r w:rsidR="005C6C12">
        <w:rPr>
          <w:lang w:val="en-GB"/>
        </w:rPr>
        <w:t>”</w:t>
      </w:r>
      <w:r>
        <w:rPr>
          <w:lang w:val="en-GB"/>
        </w:rPr>
        <w:t>. It’s just 0.97%, which is a great number!</w:t>
      </w:r>
    </w:p>
    <w:p w14:paraId="3C91E457" w14:textId="1E7942DF" w:rsidR="00FF0111" w:rsidRDefault="00FF0111" w:rsidP="00D400E7">
      <w:pPr>
        <w:rPr>
          <w:lang w:val="en-GB"/>
        </w:rPr>
      </w:pPr>
      <w:r>
        <w:rPr>
          <w:lang w:val="en-GB"/>
        </w:rPr>
        <w:t>The 2</w:t>
      </w:r>
      <w:r w:rsidRPr="008420FE">
        <w:rPr>
          <w:vertAlign w:val="superscript"/>
          <w:lang w:val="en-GB"/>
        </w:rPr>
        <w:t>nd</w:t>
      </w:r>
      <w:r>
        <w:rPr>
          <w:lang w:val="en-GB"/>
        </w:rPr>
        <w:t xml:space="preserve"> column complements the first one. I eliminate the worst 1% of the data, then took the highest. So I took out 350 datapoints. Since vRealize Operations collects every 5 minutes, that eliminates the worst 29 hours in 4 months. As you can expect, for most VMs the values improve dramatically. The 2</w:t>
      </w:r>
      <w:r w:rsidRPr="00382E54">
        <w:rPr>
          <w:vertAlign w:val="superscript"/>
          <w:lang w:val="en-GB"/>
        </w:rPr>
        <w:t>nd</w:t>
      </w:r>
      <w:r>
        <w:rPr>
          <w:lang w:val="en-GB"/>
        </w:rPr>
        <w:t xml:space="preserve"> column is mostly </w:t>
      </w:r>
      <w:r w:rsidR="0022569A" w:rsidRPr="0022569A">
        <w:rPr>
          <w:color w:val="00B050"/>
          <w:lang w:val="en-GB"/>
        </w:rPr>
        <w:t>green</w:t>
      </w:r>
      <w:r>
        <w:rPr>
          <w:lang w:val="en-GB"/>
        </w:rPr>
        <w:t xml:space="preserve">. </w:t>
      </w:r>
    </w:p>
    <w:p w14:paraId="43F1ABAE" w14:textId="77777777" w:rsidR="00FF0111" w:rsidRDefault="00FF0111" w:rsidP="00D400E7">
      <w:pPr>
        <w:pStyle w:val="Heading6"/>
      </w:pPr>
      <w:r>
        <w:lastRenderedPageBreak/>
        <w:t>vCenter Metrics</w:t>
      </w:r>
    </w:p>
    <w:p w14:paraId="29541664" w14:textId="77777777" w:rsidR="00FF0111" w:rsidRDefault="00FF0111" w:rsidP="00D400E7">
      <w:pPr>
        <w:rPr>
          <w:lang w:val="en-GB"/>
        </w:rPr>
      </w:pPr>
      <w:r>
        <w:rPr>
          <w:lang w:val="en-GB"/>
        </w:rPr>
        <w:t>There are 2 metrics provided: Ready (ms) and Readiness (%).</w:t>
      </w:r>
    </w:p>
    <w:p w14:paraId="19EBCE8D" w14:textId="77777777" w:rsidR="00FF0111" w:rsidRDefault="00FF0111" w:rsidP="00D400E7">
      <w:pPr>
        <w:rPr>
          <w:lang w:val="en-GB"/>
        </w:rPr>
      </w:pPr>
      <w:r>
        <w:rPr>
          <w:lang w:val="en-GB"/>
        </w:rPr>
        <w:t xml:space="preserve">I plotted both of them. They show identical pattern. This is a 4 vCPU, hence the total is 80000 ms. </w:t>
      </w:r>
    </w:p>
    <w:p w14:paraId="065FB0FF" w14:textId="77777777" w:rsidR="00FF0111" w:rsidRDefault="00FF0111" w:rsidP="00D400E7">
      <w:pPr>
        <w:rPr>
          <w:lang w:val="en-GB"/>
        </w:rPr>
      </w:pPr>
      <w:r>
        <w:rPr>
          <w:noProof/>
          <w:lang w:val="en-GB"/>
        </w:rPr>
        <w:drawing>
          <wp:inline distT="0" distB="0" distL="0" distR="0" wp14:anchorId="2C2A491F" wp14:editId="6D43F3EA">
            <wp:extent cx="6645910" cy="3347085"/>
            <wp:effectExtent l="0" t="0" r="2540" b="5715"/>
            <wp:docPr id="1293284851" name="Picture 129328485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51" name="Picture 1293284851" descr="Graphical user interface, application&#10;&#10;Description automatically generated"/>
                    <pic:cNvPicPr/>
                  </pic:nvPicPr>
                  <pic:blipFill>
                    <a:blip r:embed="rId490" cstate="print">
                      <a:extLst>
                        <a:ext uri="{28A0092B-C50C-407E-A947-70E740481C1C}">
                          <a14:useLocalDpi xmlns:a14="http://schemas.microsoft.com/office/drawing/2010/main" val="0"/>
                        </a:ext>
                      </a:extLst>
                    </a:blip>
                    <a:stretch>
                      <a:fillRect/>
                    </a:stretch>
                  </pic:blipFill>
                  <pic:spPr>
                    <a:xfrm>
                      <a:off x="0" y="0"/>
                      <a:ext cx="6645910" cy="3347085"/>
                    </a:xfrm>
                    <a:prstGeom prst="rect">
                      <a:avLst/>
                    </a:prstGeom>
                  </pic:spPr>
                </pic:pic>
              </a:graphicData>
            </a:graphic>
          </wp:inline>
        </w:drawing>
      </w:r>
    </w:p>
    <w:p w14:paraId="2015DBD7" w14:textId="77777777" w:rsidR="00FF0111" w:rsidRPr="00C5711F" w:rsidRDefault="00FF0111" w:rsidP="00D400E7">
      <w:pPr>
        <w:rPr>
          <w:b/>
          <w:bCs/>
          <w:lang w:val="en-GB"/>
        </w:rPr>
      </w:pPr>
      <w:r>
        <w:rPr>
          <w:lang w:val="en-GB"/>
        </w:rPr>
        <w:t>The Readiness (%) has been normalized, taking into account the number of vCPU. Notice 80000 ms matches with 100%. If it is not normalized, you will see 80000 as 400%.</w:t>
      </w:r>
    </w:p>
    <w:p w14:paraId="019F793D" w14:textId="54535FEE" w:rsidR="00FF0111" w:rsidRDefault="00443625" w:rsidP="00D400E7">
      <w:pPr>
        <w:pStyle w:val="Heading5"/>
      </w:pPr>
      <w:bookmarkStart w:id="82" w:name="_CoStop"/>
      <w:bookmarkEnd w:id="82"/>
      <w:r>
        <w:t>Co-stop</w:t>
      </w:r>
    </w:p>
    <w:p w14:paraId="5DFABA21" w14:textId="75FF075A" w:rsidR="00FF0111" w:rsidRPr="00C161B3" w:rsidRDefault="00443625" w:rsidP="00D400E7">
      <w:r>
        <w:t>Co-stop</w:t>
      </w:r>
      <w:r w:rsidR="00FF0111">
        <w:t xml:space="preserve"> is a different state than Ready because the cause is different.</w:t>
      </w:r>
    </w:p>
    <w:p w14:paraId="76C35AD4" w14:textId="5A994006" w:rsidR="00FF0111" w:rsidRPr="00C161B3" w:rsidRDefault="00443625" w:rsidP="00D400E7">
      <w:r>
        <w:t>Co-stop</w:t>
      </w:r>
      <w:r w:rsidR="00FF0111">
        <w:t xml:space="preserve"> only happens on Simultaneous Multi Processor (SMP) VMs. SMP means that the OS kernel executes parallel threads. This means </w:t>
      </w:r>
      <w:r>
        <w:t>Co-stop</w:t>
      </w:r>
      <w:r w:rsidR="00FF0111">
        <w:t xml:space="preserve"> does not apply to 1 vCPU VMs, as there is only 1 active process at any given time. It is always 0 on single vCPU VM. </w:t>
      </w:r>
    </w:p>
    <w:p w14:paraId="3F807053" w14:textId="593E7338" w:rsidR="00FF0111" w:rsidRDefault="00FF0111" w:rsidP="00D400E7">
      <w:r>
        <w:t xml:space="preserve">In a VM with multiple vCPUs, ESXi VMkernel is intelligent enough to run some of the VM vCPUs when it does not have all physical threads to satisfy all the vCPU. At some point, it needs to stop the running vCPU, as it’s too far ahead of its sibling vCPU (which it cannot serve, meaning they were in ready state). This prevents the Guest OS from crashing. The </w:t>
      </w:r>
      <w:r w:rsidR="00443625">
        <w:t>Co-stop</w:t>
      </w:r>
      <w:r>
        <w:t xml:space="preserve"> metrics track the time when the vCPU is paused due to this reason. This explains why </w:t>
      </w:r>
      <w:r w:rsidR="00443625">
        <w:t>Co-stop</w:t>
      </w:r>
      <w:r>
        <w:t xml:space="preserve"> tends to be higher on a VM with more vCPUs. </w:t>
      </w:r>
    </w:p>
    <w:p w14:paraId="3D61FCFD" w14:textId="77777777" w:rsidR="00FF0111" w:rsidRPr="00E759EB" w:rsidRDefault="00FF0111" w:rsidP="00D400E7">
      <w:pPr>
        <w:jc w:val="center"/>
      </w:pPr>
      <w:r>
        <w:rPr>
          <w:noProof/>
        </w:rPr>
        <w:lastRenderedPageBreak/>
        <w:drawing>
          <wp:inline distT="0" distB="0" distL="0" distR="0" wp14:anchorId="62F1470D" wp14:editId="76DD5BC0">
            <wp:extent cx="5148072" cy="2935224"/>
            <wp:effectExtent l="0" t="0" r="0" b="0"/>
            <wp:docPr id="534447522" name="Picture 53444752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2" name="Picture 534447522" descr="Chart&#10;&#10;Description automatically generated"/>
                    <pic:cNvPicPr/>
                  </pic:nvPicPr>
                  <pic:blipFill>
                    <a:blip r:embed="rId491"/>
                    <a:stretch>
                      <a:fillRect/>
                    </a:stretch>
                  </pic:blipFill>
                  <pic:spPr>
                    <a:xfrm>
                      <a:off x="0" y="0"/>
                      <a:ext cx="5148072" cy="2935224"/>
                    </a:xfrm>
                    <a:prstGeom prst="rect">
                      <a:avLst/>
                    </a:prstGeom>
                  </pic:spPr>
                </pic:pic>
              </a:graphicData>
            </a:graphic>
          </wp:inline>
        </w:drawing>
      </w:r>
    </w:p>
    <w:p w14:paraId="733351C5" w14:textId="77777777" w:rsidR="00FF0111" w:rsidRPr="00E759EB" w:rsidRDefault="00FF0111" w:rsidP="00D400E7">
      <w:r w:rsidRPr="00E759EB">
        <w:t>If only one or some vCPU are in ready state, then the remaining ones will soon be co</w:t>
      </w:r>
      <w:r>
        <w:t>-</w:t>
      </w:r>
      <w:r w:rsidRPr="00E759EB">
        <w:t>stopped, until all the vCPU are co-started.</w:t>
      </w:r>
      <w:r>
        <w:t xml:space="preserve"> The preceding diagram show vCPU 0 hit a ready state first. Subsequently, the remaining 7 vCPU hit a co-stop.</w:t>
      </w:r>
    </w:p>
    <w:p w14:paraId="12D4E6EF" w14:textId="436C3F18" w:rsidR="00FF0111" w:rsidRDefault="00FF0111" w:rsidP="00D400E7">
      <w:r>
        <w:t xml:space="preserve">Just like Ready, </w:t>
      </w:r>
      <w:r w:rsidR="00443625">
        <w:t>Co-stop</w:t>
      </w:r>
      <w:r>
        <w:t xml:space="preserve"> happens at the vCPU and not the VM level. </w:t>
      </w:r>
    </w:p>
    <w:p w14:paraId="0CAC15C0" w14:textId="52C7D607" w:rsidR="00FF0111" w:rsidRPr="00E759EB" w:rsidRDefault="00FF0111" w:rsidP="00D400E7">
      <w:r>
        <w:t xml:space="preserve">One reason for </w:t>
      </w:r>
      <w:r w:rsidR="00443625">
        <w:t>Co-stop</w:t>
      </w:r>
      <w:r>
        <w:t xml:space="preserve"> is snapshot. Refer to </w:t>
      </w:r>
      <w:hyperlink r:id="rId492" w:history="1">
        <w:r w:rsidRPr="00AB3EB6">
          <w:rPr>
            <w:rStyle w:val="Hyperlink"/>
          </w:rPr>
          <w:t>this KB article</w:t>
        </w:r>
      </w:hyperlink>
      <w:r>
        <w:t xml:space="preserve"> for details.</w:t>
      </w:r>
    </w:p>
    <w:p w14:paraId="40CB1FB2" w14:textId="357428F3" w:rsidR="00FF0111" w:rsidRPr="0009749B" w:rsidRDefault="00FF0111" w:rsidP="00D400E7">
      <w:r w:rsidRPr="00E759EB">
        <w:t xml:space="preserve">Guest OS is </w:t>
      </w:r>
      <w:r w:rsidRPr="00E759EB">
        <w:rPr>
          <w:color w:val="FF0000"/>
        </w:rPr>
        <w:t xml:space="preserve">not aware </w:t>
      </w:r>
      <w:r w:rsidRPr="00E759EB">
        <w:t xml:space="preserve">of both </w:t>
      </w:r>
      <w:r w:rsidR="00443625">
        <w:t>Co-stop</w:t>
      </w:r>
      <w:r w:rsidRPr="00E759EB">
        <w:t xml:space="preserve"> and Ready. The vCPU freezes. “</w:t>
      </w:r>
      <w:r w:rsidRPr="00123F6A">
        <w:rPr>
          <w:color w:val="00B0F0"/>
        </w:rPr>
        <w:t>What happens to you when time is frozen</w:t>
      </w:r>
      <w:r w:rsidRPr="00E759EB">
        <w:t>?”</w:t>
      </w:r>
      <w:r w:rsidRPr="0009749B">
        <w:rPr>
          <w:rStyle w:val="FootnoteReference"/>
        </w:rPr>
        <w:footnoteReference w:id="19"/>
      </w:r>
      <w:r w:rsidRPr="0009749B">
        <w:t xml:space="preserve"> is a great way to put it. As far as the Guest OS is concerned, time is frozen when it is not scheduled. Time jumps when it’s scheduled again.</w:t>
      </w:r>
    </w:p>
    <w:p w14:paraId="4B8BCB4D" w14:textId="4AC5D6EE" w:rsidR="00FF0111" w:rsidRPr="0009749B" w:rsidRDefault="00FF0111" w:rsidP="00D400E7">
      <w:r w:rsidRPr="0009749B">
        <w:t xml:space="preserve">The time it spends under </w:t>
      </w:r>
      <w:r w:rsidR="00443625">
        <w:t>Co-stop</w:t>
      </w:r>
      <w:r w:rsidRPr="0009749B">
        <w:t xml:space="preserve"> or Ready should be included in the Guest OS CPU sizing formula as the vCPU wants to run actually.</w:t>
      </w:r>
    </w:p>
    <w:p w14:paraId="4D03286E" w14:textId="123F84D9" w:rsidR="00FF0111" w:rsidRPr="003D6E92" w:rsidRDefault="00FF0111" w:rsidP="00D400E7">
      <w:r w:rsidRPr="0009749B">
        <w:t xml:space="preserve">By the way, there is a performance improvement in the </w:t>
      </w:r>
      <w:r>
        <w:t>VMkernel</w:t>
      </w:r>
      <w:r w:rsidRPr="0009749B">
        <w:t xml:space="preserve"> scheduler in handling </w:t>
      </w:r>
      <w:r w:rsidR="00443625">
        <w:t>Co-stop</w:t>
      </w:r>
      <w:r>
        <w:t xml:space="preserve"> in ESXi 7.0 Update 1. </w:t>
      </w:r>
      <w:r w:rsidRPr="0009749B">
        <w:t>Prior to the improvement, the application performance dropped after 384 vCPU</w:t>
      </w:r>
      <w:r>
        <w:t>. If you have a monster VM with &gt; 128 vCPU, let me know.</w:t>
      </w:r>
    </w:p>
    <w:p w14:paraId="0D32ED8A" w14:textId="77777777" w:rsidR="00FF0111" w:rsidRDefault="00FF0111" w:rsidP="00D400E7">
      <w:pPr>
        <w:pStyle w:val="Heading6"/>
      </w:pPr>
      <w:r>
        <w:t>Best Practice</w:t>
      </w:r>
    </w:p>
    <w:p w14:paraId="75CF77FC" w14:textId="552C20D6" w:rsidR="00FF0111" w:rsidRDefault="00FF0111" w:rsidP="00D400E7">
      <w:r>
        <w:t xml:space="preserve">The value of </w:t>
      </w:r>
      <w:r w:rsidR="00443625">
        <w:t>Co-stop</w:t>
      </w:r>
      <w:r>
        <w:t xml:space="preserve"> should be &lt;0.5% in healthy situation. This is based on 63.9 million datapoints, as shown on the following pie chart.</w:t>
      </w:r>
    </w:p>
    <w:p w14:paraId="333AE8DF" w14:textId="77777777" w:rsidR="00FF0111" w:rsidRPr="00E759EB" w:rsidRDefault="00FF0111" w:rsidP="00D400E7">
      <w:pPr>
        <w:jc w:val="center"/>
        <w:rPr>
          <w:color w:val="FF0000"/>
        </w:rPr>
      </w:pPr>
      <w:r>
        <w:rPr>
          <w:noProof/>
        </w:rPr>
        <w:lastRenderedPageBreak/>
        <w:drawing>
          <wp:inline distT="0" distB="0" distL="0" distR="0" wp14:anchorId="6CC5B40D" wp14:editId="77993A00">
            <wp:extent cx="4503600" cy="1810800"/>
            <wp:effectExtent l="0" t="0" r="0" b="0"/>
            <wp:docPr id="606394277" name="Picture 606394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77"/>
                    <pic:cNvPicPr/>
                  </pic:nvPicPr>
                  <pic:blipFill>
                    <a:blip r:embed="rId493" cstate="print">
                      <a:extLst>
                        <a:ext uri="{28A0092B-C50C-407E-A947-70E740481C1C}">
                          <a14:useLocalDpi xmlns:a14="http://schemas.microsoft.com/office/drawing/2010/main" val="0"/>
                        </a:ext>
                      </a:extLst>
                    </a:blip>
                    <a:stretch>
                      <a:fillRect/>
                    </a:stretch>
                  </pic:blipFill>
                  <pic:spPr>
                    <a:xfrm>
                      <a:off x="0" y="0"/>
                      <a:ext cx="4503600" cy="1810800"/>
                    </a:xfrm>
                    <a:prstGeom prst="rect">
                      <a:avLst/>
                    </a:prstGeom>
                  </pic:spPr>
                </pic:pic>
              </a:graphicData>
            </a:graphic>
          </wp:inline>
        </w:drawing>
      </w:r>
    </w:p>
    <w:p w14:paraId="76048342" w14:textId="0CBC1AFF" w:rsidR="00FF0111" w:rsidRPr="00E759EB" w:rsidRDefault="00FF0111" w:rsidP="00D400E7">
      <w:r w:rsidRPr="00E759EB">
        <w:t xml:space="preserve">Note that the value of </w:t>
      </w:r>
      <w:r w:rsidR="00443625">
        <w:t>Co-stop</w:t>
      </w:r>
      <w:r w:rsidRPr="00E759EB">
        <w:t xml:space="preserve"> tends to be larger for large VM. Its value also tends to be smaller than Ready, as shown below. Ready and </w:t>
      </w:r>
      <w:r w:rsidR="00443625">
        <w:t>Co-stop</w:t>
      </w:r>
      <w:r w:rsidRPr="00E759EB">
        <w:t xml:space="preserve"> may or may not corelate with Usage</w:t>
      </w:r>
      <w:r>
        <w:t xml:space="preserve">. In the following chart you can see </w:t>
      </w:r>
      <w:r w:rsidRPr="001A6141">
        <w:rPr>
          <w:i/>
          <w:iCs/>
          <w:color w:val="FF0000"/>
        </w:rPr>
        <w:t>both</w:t>
      </w:r>
      <w:r w:rsidRPr="001A6141">
        <w:rPr>
          <w:color w:val="FF0000"/>
        </w:rPr>
        <w:t xml:space="preserve"> </w:t>
      </w:r>
      <w:r>
        <w:t xml:space="preserve">the correlation and lack of correlation. </w:t>
      </w:r>
    </w:p>
    <w:p w14:paraId="262C696C" w14:textId="77777777" w:rsidR="00FF0111" w:rsidRPr="00E759EB" w:rsidRDefault="00FF0111" w:rsidP="00D400E7">
      <w:r>
        <w:rPr>
          <w:noProof/>
        </w:rPr>
        <w:drawing>
          <wp:inline distT="0" distB="0" distL="0" distR="0" wp14:anchorId="4C5305C4" wp14:editId="2810FC1B">
            <wp:extent cx="6645910" cy="1673225"/>
            <wp:effectExtent l="0" t="0" r="2540" b="3175"/>
            <wp:docPr id="606394068" name="Picture 606394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68"/>
                    <pic:cNvPicPr/>
                  </pic:nvPicPr>
                  <pic:blipFill>
                    <a:blip r:embed="rId494">
                      <a:extLst>
                        <a:ext uri="{28A0092B-C50C-407E-A947-70E740481C1C}">
                          <a14:useLocalDpi xmlns:a14="http://schemas.microsoft.com/office/drawing/2010/main" val="0"/>
                        </a:ext>
                      </a:extLst>
                    </a:blip>
                    <a:stretch>
                      <a:fillRect/>
                    </a:stretch>
                  </pic:blipFill>
                  <pic:spPr>
                    <a:xfrm>
                      <a:off x="0" y="0"/>
                      <a:ext cx="6645910" cy="1673225"/>
                    </a:xfrm>
                    <a:prstGeom prst="rect">
                      <a:avLst/>
                    </a:prstGeom>
                  </pic:spPr>
                </pic:pic>
              </a:graphicData>
            </a:graphic>
          </wp:inline>
        </w:drawing>
      </w:r>
    </w:p>
    <w:p w14:paraId="1E50CC31" w14:textId="77777777" w:rsidR="00D400E7" w:rsidRPr="003D6E92" w:rsidRDefault="00D400E7" w:rsidP="00D400E7">
      <w:pPr>
        <w:pStyle w:val="Heading5"/>
      </w:pPr>
      <w:bookmarkStart w:id="83" w:name="_Wait"/>
      <w:bookmarkEnd w:id="83"/>
      <w:r w:rsidRPr="003D6E92">
        <w:t>Overlap</w:t>
      </w:r>
    </w:p>
    <w:p w14:paraId="1CB62E66" w14:textId="2335750B" w:rsidR="00D400E7" w:rsidRPr="003D6E92" w:rsidRDefault="00D400E7" w:rsidP="00D400E7">
      <w:r w:rsidRPr="003D6E92">
        <w:t xml:space="preserve">When ESXi is running a VM, this activity might get interrupted with IO processing (e.g. incoming network packets). If there is no other available cores in ESXi, </w:t>
      </w:r>
      <w:r>
        <w:t>VMkernel</w:t>
      </w:r>
      <w:r w:rsidRPr="003D6E92">
        <w:t xml:space="preserve"> has to schedule the work on a busy core. If that core happens to be running VM, the work on that VM is interrupted. The counter Overlap accounts for this, hence it’s useful metric just like Ready and </w:t>
      </w:r>
      <w:r w:rsidR="00443625">
        <w:t>Co-stop</w:t>
      </w:r>
      <w:r w:rsidRPr="003D6E92">
        <w:t xml:space="preserve"> counter. </w:t>
      </w:r>
    </w:p>
    <w:p w14:paraId="141EB42F" w14:textId="77777777" w:rsidR="00D400E7" w:rsidRDefault="00D400E7" w:rsidP="00D400E7">
      <w:r>
        <w:t xml:space="preserve">The interrupt is to run a system service, and it could be </w:t>
      </w:r>
      <w:r w:rsidRPr="003D6E92">
        <w:t xml:space="preserve">on behalf of </w:t>
      </w:r>
      <w:r>
        <w:t xml:space="preserve">the interrupted VM </w:t>
      </w:r>
      <w:r w:rsidRPr="003D6E92">
        <w:t xml:space="preserve">itself or other VM. </w:t>
      </w:r>
    </w:p>
    <w:p w14:paraId="78F31A3B" w14:textId="77777777" w:rsidR="00D400E7" w:rsidRPr="003D6E92" w:rsidRDefault="00D400E7" w:rsidP="00D400E7">
      <w:r w:rsidRPr="003D6E92">
        <w:t xml:space="preserve">Notice the word </w:t>
      </w:r>
      <w:r w:rsidRPr="00AE31A4">
        <w:rPr>
          <w:i/>
          <w:iCs/>
          <w:color w:val="00B0F0"/>
        </w:rPr>
        <w:t>system services</w:t>
      </w:r>
      <w:r w:rsidRPr="003D6E92">
        <w:t xml:space="preserve">, a process that is part of </w:t>
      </w:r>
      <w:r>
        <w:t>VMkernel</w:t>
      </w:r>
      <w:r w:rsidRPr="003D6E92">
        <w:t>. This means it is not for non-system services, such as vCPU world.</w:t>
      </w:r>
      <w:r>
        <w:t xml:space="preserve"> That’s why the value in general is lower than CPU Ready or even Co-Stop. The value is generally affected by disk or network IO.</w:t>
      </w:r>
    </w:p>
    <w:p w14:paraId="21423B40" w14:textId="77777777" w:rsidR="00D400E7" w:rsidRPr="003D6E92" w:rsidRDefault="00D400E7" w:rsidP="00D400E7">
      <w:r w:rsidRPr="003D6E92">
        <w:t>Some documentation in VMware may refer to Overlap as Stolen. Linux Guest OS tracks this as Stolen time.</w:t>
      </w:r>
    </w:p>
    <w:p w14:paraId="04E7DCCC" w14:textId="77777777" w:rsidR="00D400E7" w:rsidRDefault="00D400E7" w:rsidP="00D400E7">
      <w:r w:rsidRPr="003D6E92">
        <w:t xml:space="preserve">When </w:t>
      </w:r>
      <w:r>
        <w:t xml:space="preserve">a vCPU in a </w:t>
      </w:r>
      <w:r w:rsidRPr="003D6E92">
        <w:t xml:space="preserve">VM was interrupted, </w:t>
      </w:r>
      <w:r>
        <w:t xml:space="preserve">the vCPU </w:t>
      </w:r>
      <w:r w:rsidRPr="003D6E92">
        <w:t xml:space="preserve">Run counter is unaware of this and continues tracking. To the Guest OS, it experiences </w:t>
      </w:r>
      <w:r w:rsidRPr="003D6E92">
        <w:rPr>
          <w:color w:val="FF0000"/>
        </w:rPr>
        <w:t>freeze</w:t>
      </w:r>
      <w:r w:rsidRPr="003D6E92">
        <w:t xml:space="preserve">. Time stops for this vCPU, as everything is paused. The clock on motherboard does not tick for this vCPU. Used and Demand do account for this interruption, making them useful in accounting the actual demand on the hypervisor. When the VM runs again, the Guest OS experiences a time jump. </w:t>
      </w:r>
    </w:p>
    <w:p w14:paraId="4E0E29B8" w14:textId="202BCA34" w:rsidR="00D400E7" w:rsidRDefault="00D400E7" w:rsidP="00D400E7">
      <w:r>
        <w:t xml:space="preserve">Review the following charts. It shows CPU Usage, CPU Overlap and CPU Run. See the </w:t>
      </w:r>
      <w:r w:rsidR="0022569A" w:rsidRPr="0022569A">
        <w:rPr>
          <w:color w:val="00B050"/>
        </w:rPr>
        <w:t>green</w:t>
      </w:r>
      <w:r>
        <w:t xml:space="preserve"> highlights and </w:t>
      </w:r>
      <w:r w:rsidR="000F35C5" w:rsidRPr="009322C0">
        <w:rPr>
          <w:color w:val="000000" w:themeColor="text1"/>
          <w14:textFill>
            <w14:gradFill>
              <w14:gsLst>
                <w14:gs w14:pos="0">
                  <w14:schemeClr w14:val="tx1"/>
                </w14:gs>
                <w14:gs w14:pos="100000">
                  <w14:srgbClr w14:val="FFFF00"/>
                </w14:gs>
              </w14:gsLst>
              <w14:lin w14:ang="16200000" w14:scaled="0"/>
            </w14:gradFill>
          </w14:textFill>
        </w:rPr>
        <w:t>yellow</w:t>
      </w:r>
      <w:r w:rsidR="000F35C5" w:rsidRPr="009322C0">
        <w:rPr>
          <w14:textFill>
            <w14:gradFill>
              <w14:gsLst>
                <w14:gs w14:pos="0">
                  <w14:schemeClr w14:val="tx1"/>
                </w14:gs>
                <w14:gs w14:pos="100000">
                  <w14:srgbClr w14:val="FFFF00"/>
                </w14:gs>
              </w14:gsLst>
              <w14:lin w14:ang="16200000" w14:scaled="0"/>
            </w14:gradFill>
          </w14:textFill>
        </w:rPr>
        <w:t xml:space="preserve"> </w:t>
      </w:r>
      <w:r>
        <w:t xml:space="preserve">highlights. What do you notice? </w:t>
      </w:r>
    </w:p>
    <w:p w14:paraId="106346BF" w14:textId="77777777" w:rsidR="00D400E7" w:rsidRPr="003D6E92" w:rsidRDefault="00D400E7" w:rsidP="00D400E7">
      <w:pPr>
        <w:jc w:val="center"/>
      </w:pPr>
      <w:r w:rsidRPr="008340E0">
        <w:rPr>
          <w:noProof/>
        </w:rPr>
        <w:lastRenderedPageBreak/>
        <w:drawing>
          <wp:inline distT="0" distB="0" distL="0" distR="0" wp14:anchorId="1B990D9D" wp14:editId="59ABF3E2">
            <wp:extent cx="4526280" cy="4956048"/>
            <wp:effectExtent l="0" t="0" r="7620" b="0"/>
            <wp:docPr id="1606338688" name="Picture 160633868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 name="Picture 1049" descr="A picture containing chart&#10;&#10;Description automatically generated"/>
                    <pic:cNvPicPr/>
                  </pic:nvPicPr>
                  <pic:blipFill>
                    <a:blip r:embed="rId495"/>
                    <a:stretch>
                      <a:fillRect/>
                    </a:stretch>
                  </pic:blipFill>
                  <pic:spPr>
                    <a:xfrm>
                      <a:off x="0" y="0"/>
                      <a:ext cx="4526280" cy="4956048"/>
                    </a:xfrm>
                    <a:prstGeom prst="rect">
                      <a:avLst/>
                    </a:prstGeom>
                  </pic:spPr>
                </pic:pic>
              </a:graphicData>
            </a:graphic>
          </wp:inline>
        </w:drawing>
      </w:r>
    </w:p>
    <w:p w14:paraId="4B9DCB21" w14:textId="77777777" w:rsidR="00D400E7" w:rsidRDefault="00D400E7" w:rsidP="00D400E7">
      <w:r>
        <w:t xml:space="preserve">The above prove that Run is not aware of </w:t>
      </w:r>
      <w:r w:rsidRPr="00B111F1">
        <w:rPr>
          <w:color w:val="00B0F0"/>
        </w:rPr>
        <w:t>overlap</w:t>
      </w:r>
      <w:r>
        <w:t xml:space="preserve">. Notice when overlap went up, Run did not go lower. CPU Usage however, did go down as it’s aware of overlap. </w:t>
      </w:r>
    </w:p>
    <w:p w14:paraId="7F867E3C" w14:textId="77777777" w:rsidR="00D400E7" w:rsidRDefault="00D400E7" w:rsidP="00D400E7">
      <w:r>
        <w:t>The correlation is not perfect as Usage is also aware of hyperthreading and CPU frequency.</w:t>
      </w:r>
    </w:p>
    <w:p w14:paraId="65A5CE6A" w14:textId="55358DBA" w:rsidR="00D400E7" w:rsidRDefault="00D400E7" w:rsidP="00D400E7">
      <w:r w:rsidRPr="003D6E92">
        <w:t xml:space="preserve">The Overlap counter is useful to troubleshoot performance problem, complementing Ready, </w:t>
      </w:r>
      <w:r w:rsidR="00443625">
        <w:t>Co-stop</w:t>
      </w:r>
      <w:r w:rsidRPr="003D6E92">
        <w:t xml:space="preserve">, </w:t>
      </w:r>
      <w:r>
        <w:t>Other Wait</w:t>
      </w:r>
      <w:r w:rsidRPr="003D6E92">
        <w:t xml:space="preserve"> and Swap Wait. Ready does not include Overlap as the VM remains on the Run State (see the CPU State Diagram).</w:t>
      </w:r>
    </w:p>
    <w:p w14:paraId="24EC93D9" w14:textId="77777777" w:rsidR="00D400E7" w:rsidRPr="003D6E92" w:rsidRDefault="00D400E7" w:rsidP="00D400E7">
      <w:r>
        <w:t>The u</w:t>
      </w:r>
      <w:r w:rsidRPr="003D6E92">
        <w:t>nit is m</w:t>
      </w:r>
      <w:r>
        <w:t>ill</w:t>
      </w:r>
      <w:r w:rsidRPr="003D6E92">
        <w:t>i</w:t>
      </w:r>
      <w:r>
        <w:t>second</w:t>
      </w:r>
      <w:r w:rsidRPr="003D6E92">
        <w:t>, and it’s the summation of the entire 20 seconds</w:t>
      </w:r>
      <w:r>
        <w:t>. vRealize Operations</w:t>
      </w:r>
      <w:r w:rsidRPr="003D6E92">
        <w:t xml:space="preserve"> </w:t>
      </w:r>
      <w:r w:rsidRPr="003D6E92">
        <w:rPr>
          <w:color w:val="FF0000"/>
        </w:rPr>
        <w:t>average</w:t>
      </w:r>
      <w:r>
        <w:rPr>
          <w:color w:val="FF0000"/>
        </w:rPr>
        <w:t>s</w:t>
      </w:r>
      <w:r w:rsidRPr="003D6E92">
        <w:rPr>
          <w:color w:val="FF0000"/>
        </w:rPr>
        <w:t xml:space="preserve"> </w:t>
      </w:r>
      <w:r w:rsidRPr="003D6E92">
        <w:t>over 300 seconds. So the amount at 300 seconds is max 20000 (this is 100%), and must be multiplied by 15 if we want to see the actual average in the 300 second period.</w:t>
      </w:r>
    </w:p>
    <w:p w14:paraId="22F0AF6B" w14:textId="77777777" w:rsidR="00D400E7" w:rsidRPr="003D6E92" w:rsidRDefault="00D400E7" w:rsidP="00D400E7">
      <w:r w:rsidRPr="003D6E92">
        <w:t>The amount is the sum of all vCPU, so you need to divide by the number of running vCPU</w:t>
      </w:r>
      <w:r>
        <w:t xml:space="preserve"> if you are converting into a percentage</w:t>
      </w:r>
      <w:r w:rsidRPr="003D6E92">
        <w:t>.</w:t>
      </w:r>
      <w:r>
        <w:t xml:space="preserve"> Divide over 20000 ms x 100%. When I did that, and plot the highest 5 among ~3K production VMs, I get this. </w:t>
      </w:r>
    </w:p>
    <w:p w14:paraId="06866F92" w14:textId="77777777" w:rsidR="00D400E7" w:rsidRPr="003D6E92" w:rsidRDefault="00D400E7" w:rsidP="00D400E7">
      <w:pPr>
        <w:pStyle w:val="BeforeTable"/>
      </w:pPr>
      <w:bookmarkStart w:id="84" w:name="_Hlk133854633"/>
    </w:p>
    <w:tbl>
      <w:tblPr>
        <w:tblStyle w:val="GridTable1Light-Accent5"/>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696"/>
        <w:gridCol w:w="998"/>
        <w:gridCol w:w="1842"/>
      </w:tblGrid>
      <w:tr w:rsidR="00D400E7" w:rsidRPr="007328A1" w14:paraId="0FB485E6" w14:textId="77777777" w:rsidTr="00FE0CF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696" w:type="dxa"/>
            <w:tcBorders>
              <w:bottom w:val="none" w:sz="0" w:space="0" w:color="auto"/>
            </w:tcBorders>
            <w:shd w:val="clear" w:color="auto" w:fill="F2F2F2" w:themeFill="background1" w:themeFillShade="F2"/>
          </w:tcPr>
          <w:p w14:paraId="6E72E364" w14:textId="77777777" w:rsidR="00D400E7" w:rsidRPr="007328A1" w:rsidRDefault="00D400E7" w:rsidP="00FE0CF6">
            <w:pPr>
              <w:pStyle w:val="Tablecontent"/>
              <w:tabs>
                <w:tab w:val="decimal" w:pos="723"/>
              </w:tabs>
              <w:jc w:val="center"/>
            </w:pPr>
            <w:r w:rsidRPr="007328A1">
              <w:t>Overlap (ms)</w:t>
            </w:r>
          </w:p>
        </w:tc>
        <w:tc>
          <w:tcPr>
            <w:tcW w:w="998" w:type="dxa"/>
            <w:tcBorders>
              <w:bottom w:val="none" w:sz="0" w:space="0" w:color="auto"/>
            </w:tcBorders>
            <w:shd w:val="clear" w:color="auto" w:fill="F2F2F2" w:themeFill="background1" w:themeFillShade="F2"/>
          </w:tcPr>
          <w:p w14:paraId="488A6BBD" w14:textId="77777777" w:rsidR="00D400E7" w:rsidRPr="007328A1" w:rsidRDefault="00D400E7" w:rsidP="00281329">
            <w:pPr>
              <w:pStyle w:val="Tablecontent"/>
              <w:jc w:val="center"/>
              <w:cnfStyle w:val="100000000000" w:firstRow="1" w:lastRow="0" w:firstColumn="0" w:lastColumn="0" w:oddVBand="0" w:evenVBand="0" w:oddHBand="0" w:evenHBand="0" w:firstRowFirstColumn="0" w:firstRowLastColumn="0" w:lastRowFirstColumn="0" w:lastRowLastColumn="0"/>
            </w:pPr>
            <w:r w:rsidRPr="007328A1">
              <w:t>vCPU</w:t>
            </w:r>
          </w:p>
        </w:tc>
        <w:tc>
          <w:tcPr>
            <w:tcW w:w="1842" w:type="dxa"/>
            <w:tcBorders>
              <w:bottom w:val="none" w:sz="0" w:space="0" w:color="auto"/>
            </w:tcBorders>
            <w:shd w:val="clear" w:color="auto" w:fill="F2F2F2" w:themeFill="background1" w:themeFillShade="F2"/>
          </w:tcPr>
          <w:p w14:paraId="0154079B" w14:textId="77777777" w:rsidR="00D400E7" w:rsidRPr="007328A1" w:rsidRDefault="00D400E7" w:rsidP="00281329">
            <w:pPr>
              <w:pStyle w:val="Tablecontent"/>
              <w:jc w:val="center"/>
              <w:cnfStyle w:val="100000000000" w:firstRow="1" w:lastRow="0" w:firstColumn="0" w:lastColumn="0" w:oddVBand="0" w:evenVBand="0" w:oddHBand="0" w:evenHBand="0" w:firstRowFirstColumn="0" w:firstRowLastColumn="0" w:lastRowFirstColumn="0" w:lastRowLastColumn="0"/>
            </w:pPr>
            <w:r w:rsidRPr="007328A1">
              <w:t>Overlap (%)</w:t>
            </w:r>
          </w:p>
        </w:tc>
      </w:tr>
      <w:tr w:rsidR="00D400E7" w:rsidRPr="007328A1" w14:paraId="0C0F81A1" w14:textId="77777777" w:rsidTr="00281329">
        <w:trPr>
          <w:trHeight w:val="205"/>
          <w:jc w:val="center"/>
        </w:trPr>
        <w:tc>
          <w:tcPr>
            <w:cnfStyle w:val="001000000000" w:firstRow="0" w:lastRow="0" w:firstColumn="1" w:lastColumn="0" w:oddVBand="0" w:evenVBand="0" w:oddHBand="0" w:evenHBand="0" w:firstRowFirstColumn="0" w:firstRowLastColumn="0" w:lastRowFirstColumn="0" w:lastRowLastColumn="0"/>
            <w:tcW w:w="1696" w:type="dxa"/>
            <w:vAlign w:val="bottom"/>
          </w:tcPr>
          <w:p w14:paraId="1B819210" w14:textId="77777777" w:rsidR="00D400E7" w:rsidRPr="00FE0CF6" w:rsidRDefault="00D400E7" w:rsidP="00FE0CF6">
            <w:pPr>
              <w:pStyle w:val="Tablecontent"/>
              <w:tabs>
                <w:tab w:val="decimal" w:pos="972"/>
              </w:tabs>
              <w:rPr>
                <w:b w:val="0"/>
                <w:bCs w:val="0"/>
              </w:rPr>
            </w:pPr>
            <w:r w:rsidRPr="00FE0CF6">
              <w:rPr>
                <w:b w:val="0"/>
                <w:bCs w:val="0"/>
              </w:rPr>
              <w:t>6,169</w:t>
            </w:r>
          </w:p>
        </w:tc>
        <w:tc>
          <w:tcPr>
            <w:tcW w:w="998" w:type="dxa"/>
            <w:vAlign w:val="bottom"/>
          </w:tcPr>
          <w:p w14:paraId="54CD360F" w14:textId="77777777" w:rsidR="00D400E7" w:rsidRPr="00FE0CF6" w:rsidRDefault="00D400E7" w:rsidP="00FE0CF6">
            <w:pPr>
              <w:pStyle w:val="Tablecontent"/>
              <w:tabs>
                <w:tab w:val="decimal" w:pos="425"/>
              </w:tabs>
              <w:cnfStyle w:val="000000000000" w:firstRow="0" w:lastRow="0" w:firstColumn="0" w:lastColumn="0" w:oddVBand="0" w:evenVBand="0" w:oddHBand="0" w:evenHBand="0" w:firstRowFirstColumn="0" w:firstRowLastColumn="0" w:lastRowFirstColumn="0" w:lastRowLastColumn="0"/>
            </w:pPr>
            <w:r w:rsidRPr="00FE0CF6">
              <w:t>30</w:t>
            </w:r>
          </w:p>
        </w:tc>
        <w:tc>
          <w:tcPr>
            <w:tcW w:w="1842" w:type="dxa"/>
            <w:vAlign w:val="bottom"/>
          </w:tcPr>
          <w:p w14:paraId="5F9FAF28" w14:textId="77777777" w:rsidR="00D400E7" w:rsidRPr="00FE0CF6" w:rsidRDefault="00D400E7" w:rsidP="00FE0CF6">
            <w:pPr>
              <w:pStyle w:val="Tablecontent"/>
              <w:tabs>
                <w:tab w:val="decimal" w:pos="844"/>
              </w:tabs>
              <w:cnfStyle w:val="000000000000" w:firstRow="0" w:lastRow="0" w:firstColumn="0" w:lastColumn="0" w:oddVBand="0" w:evenVBand="0" w:oddHBand="0" w:evenHBand="0" w:firstRowFirstColumn="0" w:firstRowLastColumn="0" w:lastRowFirstColumn="0" w:lastRowLastColumn="0"/>
            </w:pPr>
            <w:r w:rsidRPr="00FE0CF6">
              <w:t>1.03%</w:t>
            </w:r>
          </w:p>
        </w:tc>
      </w:tr>
      <w:tr w:rsidR="00D400E7" w:rsidRPr="007328A1" w14:paraId="61180CD9" w14:textId="77777777" w:rsidTr="00281329">
        <w:trPr>
          <w:jc w:val="center"/>
        </w:trPr>
        <w:tc>
          <w:tcPr>
            <w:cnfStyle w:val="001000000000" w:firstRow="0" w:lastRow="0" w:firstColumn="1" w:lastColumn="0" w:oddVBand="0" w:evenVBand="0" w:oddHBand="0" w:evenHBand="0" w:firstRowFirstColumn="0" w:firstRowLastColumn="0" w:lastRowFirstColumn="0" w:lastRowLastColumn="0"/>
            <w:tcW w:w="1696" w:type="dxa"/>
            <w:vAlign w:val="bottom"/>
          </w:tcPr>
          <w:p w14:paraId="49ECA6C6" w14:textId="77777777" w:rsidR="00D400E7" w:rsidRPr="00FE0CF6" w:rsidRDefault="00D400E7" w:rsidP="00FE0CF6">
            <w:pPr>
              <w:pStyle w:val="Tablecontent"/>
              <w:tabs>
                <w:tab w:val="decimal" w:pos="972"/>
              </w:tabs>
              <w:rPr>
                <w:b w:val="0"/>
                <w:bCs w:val="0"/>
              </w:rPr>
            </w:pPr>
            <w:r w:rsidRPr="00FE0CF6">
              <w:rPr>
                <w:b w:val="0"/>
                <w:bCs w:val="0"/>
              </w:rPr>
              <w:t>284</w:t>
            </w:r>
          </w:p>
        </w:tc>
        <w:tc>
          <w:tcPr>
            <w:tcW w:w="998" w:type="dxa"/>
            <w:vAlign w:val="bottom"/>
          </w:tcPr>
          <w:p w14:paraId="16C6D6FE" w14:textId="77777777" w:rsidR="00D400E7" w:rsidRPr="00FE0CF6" w:rsidRDefault="00D400E7" w:rsidP="00FE0CF6">
            <w:pPr>
              <w:pStyle w:val="Tablecontent"/>
              <w:tabs>
                <w:tab w:val="decimal" w:pos="425"/>
              </w:tabs>
              <w:cnfStyle w:val="000000000000" w:firstRow="0" w:lastRow="0" w:firstColumn="0" w:lastColumn="0" w:oddVBand="0" w:evenVBand="0" w:oddHBand="0" w:evenHBand="0" w:firstRowFirstColumn="0" w:firstRowLastColumn="0" w:lastRowFirstColumn="0" w:lastRowLastColumn="0"/>
            </w:pPr>
            <w:r w:rsidRPr="00FE0CF6">
              <w:t>2</w:t>
            </w:r>
          </w:p>
        </w:tc>
        <w:tc>
          <w:tcPr>
            <w:tcW w:w="1842" w:type="dxa"/>
            <w:vAlign w:val="bottom"/>
          </w:tcPr>
          <w:p w14:paraId="653298AD" w14:textId="77777777" w:rsidR="00D400E7" w:rsidRPr="00FE0CF6" w:rsidRDefault="00D400E7" w:rsidP="00FE0CF6">
            <w:pPr>
              <w:pStyle w:val="Tablecontent"/>
              <w:tabs>
                <w:tab w:val="decimal" w:pos="844"/>
              </w:tabs>
              <w:cnfStyle w:val="000000000000" w:firstRow="0" w:lastRow="0" w:firstColumn="0" w:lastColumn="0" w:oddVBand="0" w:evenVBand="0" w:oddHBand="0" w:evenHBand="0" w:firstRowFirstColumn="0" w:firstRowLastColumn="0" w:lastRowFirstColumn="0" w:lastRowLastColumn="0"/>
            </w:pPr>
            <w:r w:rsidRPr="00FE0CF6">
              <w:t>0.71%</w:t>
            </w:r>
          </w:p>
        </w:tc>
      </w:tr>
      <w:tr w:rsidR="00D400E7" w:rsidRPr="007328A1" w14:paraId="1F28CCDF" w14:textId="77777777" w:rsidTr="00281329">
        <w:trPr>
          <w:jc w:val="center"/>
        </w:trPr>
        <w:tc>
          <w:tcPr>
            <w:cnfStyle w:val="001000000000" w:firstRow="0" w:lastRow="0" w:firstColumn="1" w:lastColumn="0" w:oddVBand="0" w:evenVBand="0" w:oddHBand="0" w:evenHBand="0" w:firstRowFirstColumn="0" w:firstRowLastColumn="0" w:lastRowFirstColumn="0" w:lastRowLastColumn="0"/>
            <w:tcW w:w="1696" w:type="dxa"/>
            <w:vAlign w:val="bottom"/>
          </w:tcPr>
          <w:p w14:paraId="72B1BF2A" w14:textId="77777777" w:rsidR="00D400E7" w:rsidRPr="00FE0CF6" w:rsidRDefault="00D400E7" w:rsidP="00FE0CF6">
            <w:pPr>
              <w:pStyle w:val="Tablecontent"/>
              <w:tabs>
                <w:tab w:val="decimal" w:pos="972"/>
              </w:tabs>
              <w:rPr>
                <w:b w:val="0"/>
                <w:bCs w:val="0"/>
              </w:rPr>
            </w:pPr>
            <w:r w:rsidRPr="00FE0CF6">
              <w:rPr>
                <w:b w:val="0"/>
                <w:bCs w:val="0"/>
              </w:rPr>
              <w:t>509</w:t>
            </w:r>
          </w:p>
        </w:tc>
        <w:tc>
          <w:tcPr>
            <w:tcW w:w="998" w:type="dxa"/>
            <w:vAlign w:val="bottom"/>
          </w:tcPr>
          <w:p w14:paraId="27FFA266" w14:textId="77777777" w:rsidR="00D400E7" w:rsidRPr="00FE0CF6" w:rsidRDefault="00D400E7" w:rsidP="00FE0CF6">
            <w:pPr>
              <w:pStyle w:val="Tablecontent"/>
              <w:tabs>
                <w:tab w:val="decimal" w:pos="425"/>
              </w:tabs>
              <w:cnfStyle w:val="000000000000" w:firstRow="0" w:lastRow="0" w:firstColumn="0" w:lastColumn="0" w:oddVBand="0" w:evenVBand="0" w:oddHBand="0" w:evenHBand="0" w:firstRowFirstColumn="0" w:firstRowLastColumn="0" w:lastRowFirstColumn="0" w:lastRowLastColumn="0"/>
            </w:pPr>
            <w:r w:rsidRPr="00FE0CF6">
              <w:t>4</w:t>
            </w:r>
          </w:p>
        </w:tc>
        <w:tc>
          <w:tcPr>
            <w:tcW w:w="1842" w:type="dxa"/>
            <w:vAlign w:val="bottom"/>
          </w:tcPr>
          <w:p w14:paraId="1505EB83" w14:textId="77777777" w:rsidR="00D400E7" w:rsidRPr="00FE0CF6" w:rsidRDefault="00D400E7" w:rsidP="00FE0CF6">
            <w:pPr>
              <w:pStyle w:val="Tablecontent"/>
              <w:tabs>
                <w:tab w:val="decimal" w:pos="844"/>
              </w:tabs>
              <w:cnfStyle w:val="000000000000" w:firstRow="0" w:lastRow="0" w:firstColumn="0" w:lastColumn="0" w:oddVBand="0" w:evenVBand="0" w:oddHBand="0" w:evenHBand="0" w:firstRowFirstColumn="0" w:firstRowLastColumn="0" w:lastRowFirstColumn="0" w:lastRowLastColumn="0"/>
            </w:pPr>
            <w:r w:rsidRPr="00FE0CF6">
              <w:t>0.64%</w:t>
            </w:r>
          </w:p>
        </w:tc>
      </w:tr>
      <w:tr w:rsidR="00D400E7" w:rsidRPr="007328A1" w14:paraId="25989EB7" w14:textId="77777777" w:rsidTr="00281329">
        <w:trPr>
          <w:jc w:val="center"/>
        </w:trPr>
        <w:tc>
          <w:tcPr>
            <w:cnfStyle w:val="001000000000" w:firstRow="0" w:lastRow="0" w:firstColumn="1" w:lastColumn="0" w:oddVBand="0" w:evenVBand="0" w:oddHBand="0" w:evenHBand="0" w:firstRowFirstColumn="0" w:firstRowLastColumn="0" w:lastRowFirstColumn="0" w:lastRowLastColumn="0"/>
            <w:tcW w:w="1696" w:type="dxa"/>
            <w:vAlign w:val="bottom"/>
          </w:tcPr>
          <w:p w14:paraId="7B48370A" w14:textId="77777777" w:rsidR="00D400E7" w:rsidRPr="00FE0CF6" w:rsidRDefault="00D400E7" w:rsidP="00FE0CF6">
            <w:pPr>
              <w:pStyle w:val="Tablecontent"/>
              <w:tabs>
                <w:tab w:val="decimal" w:pos="972"/>
              </w:tabs>
              <w:rPr>
                <w:b w:val="0"/>
                <w:bCs w:val="0"/>
              </w:rPr>
            </w:pPr>
            <w:r w:rsidRPr="00FE0CF6">
              <w:rPr>
                <w:b w:val="0"/>
                <w:bCs w:val="0"/>
              </w:rPr>
              <w:t>484</w:t>
            </w:r>
          </w:p>
        </w:tc>
        <w:tc>
          <w:tcPr>
            <w:tcW w:w="998" w:type="dxa"/>
            <w:vAlign w:val="bottom"/>
          </w:tcPr>
          <w:p w14:paraId="1C746509" w14:textId="77777777" w:rsidR="00D400E7" w:rsidRPr="00FE0CF6" w:rsidRDefault="00D400E7" w:rsidP="00FE0CF6">
            <w:pPr>
              <w:pStyle w:val="Tablecontent"/>
              <w:tabs>
                <w:tab w:val="decimal" w:pos="425"/>
              </w:tabs>
              <w:cnfStyle w:val="000000000000" w:firstRow="0" w:lastRow="0" w:firstColumn="0" w:lastColumn="0" w:oddVBand="0" w:evenVBand="0" w:oddHBand="0" w:evenHBand="0" w:firstRowFirstColumn="0" w:firstRowLastColumn="0" w:lastRowFirstColumn="0" w:lastRowLastColumn="0"/>
            </w:pPr>
            <w:r w:rsidRPr="00FE0CF6">
              <w:t>4</w:t>
            </w:r>
          </w:p>
        </w:tc>
        <w:tc>
          <w:tcPr>
            <w:tcW w:w="1842" w:type="dxa"/>
            <w:vAlign w:val="bottom"/>
          </w:tcPr>
          <w:p w14:paraId="3854BB0C" w14:textId="77777777" w:rsidR="00D400E7" w:rsidRPr="00FE0CF6" w:rsidRDefault="00D400E7" w:rsidP="00FE0CF6">
            <w:pPr>
              <w:pStyle w:val="Tablecontent"/>
              <w:tabs>
                <w:tab w:val="decimal" w:pos="844"/>
              </w:tabs>
              <w:cnfStyle w:val="000000000000" w:firstRow="0" w:lastRow="0" w:firstColumn="0" w:lastColumn="0" w:oddVBand="0" w:evenVBand="0" w:oddHBand="0" w:evenHBand="0" w:firstRowFirstColumn="0" w:firstRowLastColumn="0" w:lastRowFirstColumn="0" w:lastRowLastColumn="0"/>
            </w:pPr>
            <w:r w:rsidRPr="00FE0CF6">
              <w:t>0.61%</w:t>
            </w:r>
          </w:p>
        </w:tc>
      </w:tr>
      <w:tr w:rsidR="00FE0CF6" w:rsidRPr="007328A1" w14:paraId="2F47FA9C" w14:textId="77777777" w:rsidTr="00281329">
        <w:trPr>
          <w:jc w:val="center"/>
        </w:trPr>
        <w:tc>
          <w:tcPr>
            <w:cnfStyle w:val="001000000000" w:firstRow="0" w:lastRow="0" w:firstColumn="1" w:lastColumn="0" w:oddVBand="0" w:evenVBand="0" w:oddHBand="0" w:evenHBand="0" w:firstRowFirstColumn="0" w:firstRowLastColumn="0" w:lastRowFirstColumn="0" w:lastRowLastColumn="0"/>
            <w:tcW w:w="1696" w:type="dxa"/>
            <w:vAlign w:val="bottom"/>
          </w:tcPr>
          <w:p w14:paraId="44CEBF2A" w14:textId="4AA022BC" w:rsidR="00FE0CF6" w:rsidRPr="00FE0CF6" w:rsidRDefault="00FE0CF6" w:rsidP="00FE0CF6">
            <w:pPr>
              <w:pStyle w:val="Tablecontent"/>
              <w:tabs>
                <w:tab w:val="decimal" w:pos="972"/>
              </w:tabs>
              <w:rPr>
                <w:b w:val="0"/>
                <w:bCs w:val="0"/>
              </w:rPr>
            </w:pPr>
            <w:bookmarkStart w:id="85" w:name="_Hlk133854672"/>
            <w:bookmarkEnd w:id="84"/>
            <w:r w:rsidRPr="00FE0CF6">
              <w:rPr>
                <w:b w:val="0"/>
                <w:bCs w:val="0"/>
              </w:rPr>
              <w:lastRenderedPageBreak/>
              <w:t>237</w:t>
            </w:r>
          </w:p>
        </w:tc>
        <w:tc>
          <w:tcPr>
            <w:tcW w:w="998" w:type="dxa"/>
            <w:vAlign w:val="bottom"/>
          </w:tcPr>
          <w:p w14:paraId="4A88833A" w14:textId="7C6164A1" w:rsidR="00FE0CF6" w:rsidRPr="00FE0CF6" w:rsidRDefault="00FE0CF6" w:rsidP="00FE0CF6">
            <w:pPr>
              <w:pStyle w:val="Tablecontent"/>
              <w:tabs>
                <w:tab w:val="decimal" w:pos="425"/>
              </w:tabs>
              <w:cnfStyle w:val="000000000000" w:firstRow="0" w:lastRow="0" w:firstColumn="0" w:lastColumn="0" w:oddVBand="0" w:evenVBand="0" w:oddHBand="0" w:evenHBand="0" w:firstRowFirstColumn="0" w:firstRowLastColumn="0" w:lastRowFirstColumn="0" w:lastRowLastColumn="0"/>
            </w:pPr>
            <w:r w:rsidRPr="00FE0CF6">
              <w:t>2</w:t>
            </w:r>
          </w:p>
        </w:tc>
        <w:tc>
          <w:tcPr>
            <w:tcW w:w="1842" w:type="dxa"/>
            <w:vAlign w:val="bottom"/>
          </w:tcPr>
          <w:p w14:paraId="721F2128" w14:textId="3F5E68A1" w:rsidR="00FE0CF6" w:rsidRPr="00FE0CF6" w:rsidRDefault="00FE0CF6" w:rsidP="00FE0CF6">
            <w:pPr>
              <w:pStyle w:val="Tablecontent"/>
              <w:tabs>
                <w:tab w:val="decimal" w:pos="844"/>
              </w:tabs>
              <w:cnfStyle w:val="000000000000" w:firstRow="0" w:lastRow="0" w:firstColumn="0" w:lastColumn="0" w:oddVBand="0" w:evenVBand="0" w:oddHBand="0" w:evenHBand="0" w:firstRowFirstColumn="0" w:firstRowLastColumn="0" w:lastRowFirstColumn="0" w:lastRowLastColumn="0"/>
            </w:pPr>
            <w:r w:rsidRPr="00FE0CF6">
              <w:t>0.59%</w:t>
            </w:r>
          </w:p>
        </w:tc>
      </w:tr>
    </w:tbl>
    <w:bookmarkEnd w:id="85"/>
    <w:p w14:paraId="7F94BA55" w14:textId="77777777" w:rsidR="00D400E7" w:rsidRPr="003D6E92" w:rsidRDefault="00D400E7" w:rsidP="00D400E7">
      <w:r>
        <w:t>The above indicates the VMs only experienced minimal interruption by VMkernel.</w:t>
      </w:r>
    </w:p>
    <w:p w14:paraId="07BD5DD9" w14:textId="77777777" w:rsidR="00D400E7" w:rsidRPr="003D6E92" w:rsidRDefault="00D400E7" w:rsidP="00D400E7">
      <w:r>
        <w:t xml:space="preserve">Let’s dive into a single VM. </w:t>
      </w:r>
      <w:r w:rsidRPr="003D6E92">
        <w:t xml:space="preserve">The following is a 68 vCPU VM running Splunk. In the last 7 days, it experienced a low but sizeable CPU overlap. 10K is relatively low for a 68 vCPU VM, but it still represents half a vCPU worth of interruption. </w:t>
      </w:r>
    </w:p>
    <w:p w14:paraId="06C5F0D4" w14:textId="77777777" w:rsidR="00D400E7" w:rsidRPr="003D6E92" w:rsidRDefault="00D400E7" w:rsidP="00D400E7">
      <w:r>
        <w:rPr>
          <w:noProof/>
        </w:rPr>
        <w:drawing>
          <wp:inline distT="0" distB="0" distL="0" distR="0" wp14:anchorId="34B8199E" wp14:editId="15BB872F">
            <wp:extent cx="6645910" cy="2432685"/>
            <wp:effectExtent l="0" t="0" r="2540" b="5715"/>
            <wp:docPr id="1606338701" name="Picture 1606338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78"/>
                    <pic:cNvPicPr/>
                  </pic:nvPicPr>
                  <pic:blipFill>
                    <a:blip r:embed="rId496">
                      <a:extLst>
                        <a:ext uri="{28A0092B-C50C-407E-A947-70E740481C1C}">
                          <a14:useLocalDpi xmlns:a14="http://schemas.microsoft.com/office/drawing/2010/main" val="0"/>
                        </a:ext>
                      </a:extLst>
                    </a:blip>
                    <a:stretch>
                      <a:fillRect/>
                    </a:stretch>
                  </pic:blipFill>
                  <pic:spPr>
                    <a:xfrm>
                      <a:off x="0" y="0"/>
                      <a:ext cx="6645910" cy="2432685"/>
                    </a:xfrm>
                    <a:prstGeom prst="rect">
                      <a:avLst/>
                    </a:prstGeom>
                  </pic:spPr>
                </pic:pic>
              </a:graphicData>
            </a:graphic>
          </wp:inline>
        </w:drawing>
      </w:r>
    </w:p>
    <w:p w14:paraId="72B4A1D2" w14:textId="77777777" w:rsidR="00D400E7" w:rsidRPr="003D6E92" w:rsidRDefault="00D400E7" w:rsidP="00D400E7">
      <w:r w:rsidRPr="003D6E92">
        <w:t xml:space="preserve">Overlap should be included in </w:t>
      </w:r>
      <w:r w:rsidRPr="003D6E92">
        <w:rPr>
          <w:b/>
          <w:bCs/>
          <w:color w:val="0070C0"/>
        </w:rPr>
        <w:t>Guest OS sizing</w:t>
      </w:r>
      <w:r w:rsidRPr="003D6E92">
        <w:rPr>
          <w:color w:val="0070C0"/>
        </w:rPr>
        <w:t xml:space="preserve"> </w:t>
      </w:r>
      <w:r w:rsidRPr="003D6E92">
        <w:t xml:space="preserve">as the Guest OS wants to run actually. </w:t>
      </w:r>
      <w:r>
        <w:t xml:space="preserve">The effect is the same with </w:t>
      </w:r>
      <w:r w:rsidRPr="003D6E92">
        <w:t>an unmet Demand.</w:t>
      </w:r>
    </w:p>
    <w:p w14:paraId="16B0E6F5" w14:textId="77777777" w:rsidR="00D400E7" w:rsidRPr="003D6E92" w:rsidRDefault="00D400E7" w:rsidP="00D400E7">
      <w:r w:rsidRPr="003D6E92">
        <w:t>A high overlap indicates the ESXi host is doing heavy IO (Storage or Network). Look at your NSX Edge clusters, and you will see the host has relatively higher Overlap value</w:t>
      </w:r>
      <w:r>
        <w:t xml:space="preserve"> versus non IO-intensive VM.</w:t>
      </w:r>
    </w:p>
    <w:p w14:paraId="4C209E9D" w14:textId="77777777" w:rsidR="00046FE6" w:rsidRPr="00A452F2" w:rsidRDefault="00046FE6" w:rsidP="00D400E7">
      <w:pPr>
        <w:pStyle w:val="Heading5"/>
      </w:pPr>
      <w:r w:rsidRPr="00A452F2">
        <w:t>Contention</w:t>
      </w:r>
      <w:r>
        <w:t xml:space="preserve"> | Latency</w:t>
      </w:r>
    </w:p>
    <w:p w14:paraId="1A71DC88" w14:textId="77777777" w:rsidR="00046FE6" w:rsidRDefault="00046FE6" w:rsidP="00D400E7">
      <w:pPr>
        <w:rPr>
          <w:lang w:val="en-GB"/>
        </w:rPr>
      </w:pPr>
      <w:r>
        <w:rPr>
          <w:lang w:val="en-GB"/>
        </w:rPr>
        <w:t>This metric tracks the “</w:t>
      </w:r>
      <w:r w:rsidRPr="003E545F">
        <w:rPr>
          <w:color w:val="00B0F0"/>
          <w:lang w:val="en-GB"/>
        </w:rPr>
        <w:t>stolen time</w:t>
      </w:r>
      <w:r>
        <w:rPr>
          <w:lang w:val="en-GB"/>
        </w:rPr>
        <w:t>”, which measures the CPU cycle that could have been given to the VM in ideal scenario.</w:t>
      </w:r>
    </w:p>
    <w:p w14:paraId="1D260BAD" w14:textId="77777777" w:rsidR="00046FE6" w:rsidRDefault="00046FE6" w:rsidP="00D400E7">
      <w:pPr>
        <w:rPr>
          <w:lang w:val="en-GB"/>
        </w:rPr>
      </w:pPr>
      <w:r w:rsidRPr="00A452F2">
        <w:rPr>
          <w:lang w:val="en-GB"/>
        </w:rPr>
        <w:t>Th</w:t>
      </w:r>
      <w:r>
        <w:rPr>
          <w:lang w:val="en-GB"/>
        </w:rPr>
        <w:t xml:space="preserve">e metric is called Contention in </w:t>
      </w:r>
      <w:r w:rsidRPr="00A452F2">
        <w:rPr>
          <w:lang w:val="en-GB"/>
        </w:rPr>
        <w:t>vRealize Operations</w:t>
      </w:r>
      <w:r>
        <w:rPr>
          <w:lang w:val="en-GB"/>
        </w:rPr>
        <w:t xml:space="preserve">, but Latency in </w:t>
      </w:r>
      <w:r w:rsidRPr="00A452F2">
        <w:rPr>
          <w:lang w:val="en-GB"/>
        </w:rPr>
        <w:t xml:space="preserve">vCenter, which in turns maps to ESXi LAT_C counter. </w:t>
      </w:r>
    </w:p>
    <w:p w14:paraId="579A9D26" w14:textId="63D84C14" w:rsidR="00046FE6" w:rsidRDefault="00046FE6" w:rsidP="00D400E7">
      <w:pPr>
        <w:rPr>
          <w:lang w:val="en-GB"/>
        </w:rPr>
      </w:pPr>
      <w:r w:rsidRPr="00A452F2">
        <w:rPr>
          <w:lang w:val="en-GB"/>
        </w:rPr>
        <w:t xml:space="preserve">The diagram shows what it includes. LAT_C excludes Max Limited in Ready, but it includes </w:t>
      </w:r>
      <w:r w:rsidR="00443625">
        <w:rPr>
          <w:lang w:val="en-GB"/>
        </w:rPr>
        <w:t>Co-stop</w:t>
      </w:r>
      <w:r w:rsidRPr="00A452F2">
        <w:rPr>
          <w:lang w:val="en-GB"/>
        </w:rPr>
        <w:t xml:space="preserve"> even if the </w:t>
      </w:r>
      <w:r w:rsidR="00443625">
        <w:rPr>
          <w:lang w:val="en-GB"/>
        </w:rPr>
        <w:t>Co-stop</w:t>
      </w:r>
      <w:r w:rsidRPr="00A452F2">
        <w:rPr>
          <w:lang w:val="en-GB"/>
        </w:rPr>
        <w:t xml:space="preserve"> was the result of Limit. </w:t>
      </w:r>
    </w:p>
    <w:p w14:paraId="618BA893" w14:textId="0EE82442" w:rsidR="00046FE6" w:rsidRPr="00A452F2" w:rsidRDefault="00046FE6" w:rsidP="00D400E7">
      <w:pPr>
        <w:rPr>
          <w:lang w:val="en-GB"/>
        </w:rPr>
      </w:pPr>
      <w:r w:rsidRPr="00A452F2">
        <w:rPr>
          <w:lang w:val="en-GB"/>
        </w:rPr>
        <w:t>Notice that HT and CPU Frequency are effect and not metrics.</w:t>
      </w:r>
      <w:r>
        <w:rPr>
          <w:lang w:val="en-GB"/>
        </w:rPr>
        <w:t xml:space="preserve"> You can see the impact of CPU Frequency in </w:t>
      </w:r>
      <w:hyperlink r:id="rId497" w:history="1">
        <w:r w:rsidRPr="00272EBC">
          <w:rPr>
            <w:rStyle w:val="Hyperlink"/>
            <w:lang w:val="en-GB"/>
          </w:rPr>
          <w:t>esxtop</w:t>
        </w:r>
      </w:hyperlink>
      <w:r>
        <w:rPr>
          <w:lang w:val="en-GB"/>
        </w:rPr>
        <w:t xml:space="preserve"> %A/MPERF counter</w:t>
      </w:r>
      <w:r w:rsidR="00E4254C">
        <w:rPr>
          <w:lang w:val="en-GB"/>
        </w:rPr>
        <w:t xml:space="preserve">. </w:t>
      </w:r>
    </w:p>
    <w:p w14:paraId="45CEED36" w14:textId="77777777" w:rsidR="00046FE6" w:rsidRPr="00A452F2" w:rsidRDefault="00046FE6" w:rsidP="00D400E7">
      <w:pPr>
        <w:rPr>
          <w:lang w:val="en-GB"/>
        </w:rPr>
      </w:pPr>
      <w:r>
        <w:rPr>
          <w:noProof/>
        </w:rPr>
        <w:lastRenderedPageBreak/>
        <w:drawing>
          <wp:inline distT="0" distB="0" distL="0" distR="0" wp14:anchorId="6C7960E7" wp14:editId="07877E0D">
            <wp:extent cx="6645910" cy="2803525"/>
            <wp:effectExtent l="0" t="0" r="2540" b="0"/>
            <wp:docPr id="606394154" name="Picture 60639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54"/>
                    <pic:cNvPicPr/>
                  </pic:nvPicPr>
                  <pic:blipFill>
                    <a:blip r:embed="rId498">
                      <a:extLst>
                        <a:ext uri="{28A0092B-C50C-407E-A947-70E740481C1C}">
                          <a14:useLocalDpi xmlns:a14="http://schemas.microsoft.com/office/drawing/2010/main" val="0"/>
                        </a:ext>
                      </a:extLst>
                    </a:blip>
                    <a:stretch>
                      <a:fillRect/>
                    </a:stretch>
                  </pic:blipFill>
                  <pic:spPr>
                    <a:xfrm>
                      <a:off x="0" y="0"/>
                      <a:ext cx="6645910" cy="2803525"/>
                    </a:xfrm>
                    <a:prstGeom prst="rect">
                      <a:avLst/>
                    </a:prstGeom>
                  </pic:spPr>
                </pic:pic>
              </a:graphicData>
            </a:graphic>
          </wp:inline>
        </w:drawing>
      </w:r>
    </w:p>
    <w:p w14:paraId="2E6F1A58" w14:textId="77777777" w:rsidR="00046FE6" w:rsidRDefault="00046FE6" w:rsidP="00D400E7">
      <w:pPr>
        <w:rPr>
          <w:color w:val="000000"/>
          <w:lang w:val="en-GB"/>
        </w:rPr>
      </w:pPr>
      <w:r w:rsidRPr="00A452F2">
        <w:rPr>
          <w:lang w:val="en-GB"/>
        </w:rPr>
        <w:t xml:space="preserve">It measures the full possible contention a VM may have, that is not intentionally imposed on the VM by the vSphere Administrator. It considers </w:t>
      </w:r>
      <w:hyperlink w:anchor="_Simultaneous_Multithreading" w:history="1">
        <w:r w:rsidRPr="00A452F2">
          <w:rPr>
            <w:rStyle w:val="Hyperlink"/>
            <w:lang w:val="en-GB"/>
          </w:rPr>
          <w:t>CPU SMT</w:t>
        </w:r>
      </w:hyperlink>
      <w:r w:rsidRPr="00A452F2">
        <w:rPr>
          <w:lang w:val="en-GB"/>
        </w:rPr>
        <w:t xml:space="preserve"> effect. In ESXi CPU accounting, Hyper Threading is recorded as giving 1.25x throughput. That means when both threads are running, each thread is recorded as only getting 62.5%. This will increase the CPU Contention to 37.5%. </w:t>
      </w:r>
      <w:r w:rsidRPr="00A452F2">
        <w:rPr>
          <w:color w:val="000000"/>
          <w:lang w:val="en-GB"/>
        </w:rPr>
        <w:t>All else being equal, VM CPU Contention will be 37.5% when the other HT is running. This is done so Used + Latency = 100%, as Used will report 62.5% when the vCPU has a competing thread running.</w:t>
      </w:r>
    </w:p>
    <w:p w14:paraId="775260C1" w14:textId="77777777" w:rsidR="00046FE6" w:rsidRDefault="00046FE6" w:rsidP="00D400E7">
      <w:pPr>
        <w:rPr>
          <w:color w:val="000000"/>
          <w:lang w:val="en-GB"/>
        </w:rPr>
      </w:pPr>
      <w:r>
        <w:rPr>
          <w:color w:val="000000"/>
          <w:lang w:val="en-GB"/>
        </w:rPr>
        <w:t xml:space="preserve">In the above scenario, what’s the value of CPU Ready? </w:t>
      </w:r>
    </w:p>
    <w:p w14:paraId="2E56D48F" w14:textId="77777777" w:rsidR="00046FE6" w:rsidRPr="00A452F2" w:rsidRDefault="00046FE6" w:rsidP="00D400E7">
      <w:pPr>
        <w:tabs>
          <w:tab w:val="left" w:pos="2033"/>
        </w:tabs>
        <w:rPr>
          <w:color w:val="000000"/>
          <w:lang w:val="en-GB"/>
        </w:rPr>
      </w:pPr>
      <w:r>
        <w:rPr>
          <w:color w:val="000000"/>
          <w:lang w:val="en-GB"/>
        </w:rPr>
        <w:t>Yup, it’s 0%.</w:t>
      </w:r>
    </w:p>
    <w:p w14:paraId="542542F2" w14:textId="77777777" w:rsidR="00046FE6" w:rsidRPr="00A452F2" w:rsidRDefault="00046FE6" w:rsidP="00D400E7">
      <w:pPr>
        <w:rPr>
          <w:lang w:val="en-GB"/>
        </w:rPr>
      </w:pPr>
      <w:r w:rsidRPr="00A452F2">
        <w:rPr>
          <w:lang w:val="en-GB"/>
        </w:rPr>
        <w:t>CPU Contention also accounts for power management. What happens to its value when frequency drops by 25%</w:t>
      </w:r>
      <w:r>
        <w:rPr>
          <w:lang w:val="en-GB"/>
        </w:rPr>
        <w:t xml:space="preserve">. It can’t go to negative right? If you know the answer, let me know! </w:t>
      </w:r>
    </w:p>
    <w:p w14:paraId="34862551" w14:textId="77777777" w:rsidR="00046FE6" w:rsidRPr="00A452F2" w:rsidRDefault="00046FE6" w:rsidP="00D400E7">
      <w:pPr>
        <w:rPr>
          <w:lang w:val="en-GB"/>
        </w:rPr>
      </w:pPr>
      <w:r w:rsidRPr="00A452F2">
        <w:rPr>
          <w:lang w:val="en-GB"/>
        </w:rPr>
        <w:t>Because of these 2 factors, its value is more volatile, making it less suitable as a formal Performance SLA. Use CPU Ready for Performance SLA, and CPU contention</w:t>
      </w:r>
      <w:r>
        <w:rPr>
          <w:lang w:val="en-GB"/>
        </w:rPr>
        <w:t xml:space="preserve"> for performance troubleshooting</w:t>
      </w:r>
      <w:r w:rsidRPr="00A452F2">
        <w:rPr>
          <w:lang w:val="en-GB"/>
        </w:rPr>
        <w:t xml:space="preserve">. You can do a profiling of your environment by calculating the value of CPU Ready at the time CPU Contention hits the highest, and vice versa. The following table only shows 5 VM out of 2500 that I </w:t>
      </w:r>
      <w:r>
        <w:rPr>
          <w:lang w:val="en-GB"/>
        </w:rPr>
        <w:t>analyze</w:t>
      </w:r>
      <w:r w:rsidRPr="00A452F2">
        <w:rPr>
          <w:lang w:val="en-GB"/>
        </w:rPr>
        <w:t xml:space="preserve">d. These 2 </w:t>
      </w:r>
      <w:r>
        <w:rPr>
          <w:lang w:val="en-GB"/>
        </w:rPr>
        <w:t>metrics</w:t>
      </w:r>
      <w:r w:rsidRPr="00A452F2">
        <w:rPr>
          <w:lang w:val="en-GB"/>
        </w:rPr>
        <w:t xml:space="preserve"> do not have good correlation</w:t>
      </w:r>
      <w:r>
        <w:rPr>
          <w:lang w:val="en-GB"/>
        </w:rPr>
        <w:t>, as they are created for different purpose.</w:t>
      </w:r>
    </w:p>
    <w:p w14:paraId="19526161" w14:textId="77777777" w:rsidR="00046FE6" w:rsidRPr="00A452F2" w:rsidRDefault="00046FE6" w:rsidP="00D400E7">
      <w:pPr>
        <w:rPr>
          <w:lang w:val="en-GB"/>
        </w:rPr>
      </w:pPr>
      <w:r>
        <w:rPr>
          <w:noProof/>
        </w:rPr>
        <w:drawing>
          <wp:inline distT="0" distB="0" distL="0" distR="0" wp14:anchorId="73FB5D36" wp14:editId="0D33CC11">
            <wp:extent cx="6167194" cy="1658767"/>
            <wp:effectExtent l="0" t="0" r="5080" b="0"/>
            <wp:docPr id="606394076" name="Picture 606394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76"/>
                    <pic:cNvPicPr/>
                  </pic:nvPicPr>
                  <pic:blipFill>
                    <a:blip r:embed="rId499" cstate="print">
                      <a:extLst>
                        <a:ext uri="{28A0092B-C50C-407E-A947-70E740481C1C}">
                          <a14:useLocalDpi xmlns:a14="http://schemas.microsoft.com/office/drawing/2010/main" val="0"/>
                        </a:ext>
                      </a:extLst>
                    </a:blip>
                    <a:stretch>
                      <a:fillRect/>
                    </a:stretch>
                  </pic:blipFill>
                  <pic:spPr>
                    <a:xfrm>
                      <a:off x="0" y="0"/>
                      <a:ext cx="6167194" cy="1658767"/>
                    </a:xfrm>
                    <a:prstGeom prst="rect">
                      <a:avLst/>
                    </a:prstGeom>
                  </pic:spPr>
                </pic:pic>
              </a:graphicData>
            </a:graphic>
          </wp:inline>
        </w:drawing>
      </w:r>
    </w:p>
    <w:p w14:paraId="086E8E9F" w14:textId="77777777" w:rsidR="00046FE6" w:rsidRPr="00A452F2" w:rsidRDefault="00046FE6" w:rsidP="00D400E7">
      <w:pPr>
        <w:rPr>
          <w:lang w:val="en-GB"/>
        </w:rPr>
      </w:pPr>
      <w:r w:rsidRPr="00A452F2">
        <w:rPr>
          <w:lang w:val="en-GB"/>
        </w:rPr>
        <w:t>In many cases, the impact of both threads running is not felt by the application running on each thread. If you use CPU Contention as formal SLA, you may be spending time troubleshooting when the business does not even notice the performance degradation.</w:t>
      </w:r>
    </w:p>
    <w:p w14:paraId="14622F13" w14:textId="17B38262" w:rsidR="00046FE6" w:rsidRPr="00A452F2" w:rsidRDefault="00046FE6" w:rsidP="00D400E7">
      <w:pPr>
        <w:rPr>
          <w:lang w:val="en-GB"/>
        </w:rPr>
      </w:pPr>
      <w:r w:rsidRPr="00A452F2">
        <w:rPr>
          <w:lang w:val="en-GB"/>
        </w:rPr>
        <w:t xml:space="preserve">The following screenshot shows CPU Contention went down when both Ready and </w:t>
      </w:r>
      <w:r w:rsidR="00443625">
        <w:rPr>
          <w:lang w:val="en-GB"/>
        </w:rPr>
        <w:t>Co-stop</w:t>
      </w:r>
      <w:r w:rsidRPr="00A452F2">
        <w:rPr>
          <w:lang w:val="en-GB"/>
        </w:rPr>
        <w:t xml:space="preserve"> went up.</w:t>
      </w:r>
    </w:p>
    <w:p w14:paraId="15B4A00E" w14:textId="77777777" w:rsidR="00046FE6" w:rsidRPr="00A452F2" w:rsidRDefault="00046FE6" w:rsidP="00D400E7">
      <w:pPr>
        <w:rPr>
          <w:lang w:val="en-GB"/>
        </w:rPr>
      </w:pPr>
      <w:r>
        <w:rPr>
          <w:noProof/>
        </w:rPr>
        <w:lastRenderedPageBreak/>
        <w:drawing>
          <wp:inline distT="0" distB="0" distL="0" distR="0" wp14:anchorId="17286DF0" wp14:editId="050E47CA">
            <wp:extent cx="6645910" cy="2149976"/>
            <wp:effectExtent l="0" t="0" r="2540" b="317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pic:nvPicPr>
                  <pic:blipFill>
                    <a:blip r:embed="rId500">
                      <a:extLst>
                        <a:ext uri="{28A0092B-C50C-407E-A947-70E740481C1C}">
                          <a14:useLocalDpi xmlns:a14="http://schemas.microsoft.com/office/drawing/2010/main" val="0"/>
                        </a:ext>
                      </a:extLst>
                    </a:blip>
                    <a:stretch>
                      <a:fillRect/>
                    </a:stretch>
                  </pic:blipFill>
                  <pic:spPr>
                    <a:xfrm>
                      <a:off x="0" y="0"/>
                      <a:ext cx="6645910" cy="2149976"/>
                    </a:xfrm>
                    <a:prstGeom prst="rect">
                      <a:avLst/>
                    </a:prstGeom>
                  </pic:spPr>
                </pic:pic>
              </a:graphicData>
            </a:graphic>
          </wp:inline>
        </w:drawing>
      </w:r>
    </w:p>
    <w:p w14:paraId="4D6CFCBF" w14:textId="77777777" w:rsidR="00046FE6" w:rsidRPr="00A452F2" w:rsidRDefault="00046FE6" w:rsidP="00D400E7">
      <w:pPr>
        <w:rPr>
          <w:lang w:val="en-GB"/>
        </w:rPr>
      </w:pPr>
      <w:r w:rsidRPr="00A452F2">
        <w:rPr>
          <w:lang w:val="en-GB"/>
        </w:rPr>
        <w:t>How about another scenario, where Contention is near 0% but Ready is very high? Take a look a</w:t>
      </w:r>
      <w:r>
        <w:rPr>
          <w:lang w:val="en-GB"/>
        </w:rPr>
        <w:t>t</w:t>
      </w:r>
      <w:r w:rsidRPr="00A452F2">
        <w:rPr>
          <w:lang w:val="en-GB"/>
        </w:rPr>
        <w:t xml:space="preserve"> this web server. Both CPU Demand and CPU Usage are similar identical. At around 1:40 am mark, both Demand and Usage showed 72.55%, Contention at 0.29%, but Ready at above 15%. What’s causing it?</w:t>
      </w:r>
    </w:p>
    <w:p w14:paraId="6929060C" w14:textId="77777777" w:rsidR="00046FE6" w:rsidRPr="00A452F2" w:rsidRDefault="00046FE6" w:rsidP="00D400E7">
      <w:pPr>
        <w:rPr>
          <w:lang w:val="en-GB"/>
        </w:rPr>
      </w:pPr>
      <w:r>
        <w:rPr>
          <w:noProof/>
        </w:rPr>
        <w:drawing>
          <wp:inline distT="0" distB="0" distL="0" distR="0" wp14:anchorId="0FE4BB52" wp14:editId="54F2EF56">
            <wp:extent cx="6645910" cy="4187190"/>
            <wp:effectExtent l="0" t="0" r="2540" b="3810"/>
            <wp:docPr id="606394090" name="Picture 606394090"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90"/>
                    <pic:cNvPicPr/>
                  </pic:nvPicPr>
                  <pic:blipFill>
                    <a:blip r:embed="rId501">
                      <a:extLst>
                        <a:ext uri="{28A0092B-C50C-407E-A947-70E740481C1C}">
                          <a14:useLocalDpi xmlns:a14="http://schemas.microsoft.com/office/drawing/2010/main" val="0"/>
                        </a:ext>
                      </a:extLst>
                    </a:blip>
                    <a:stretch>
                      <a:fillRect/>
                    </a:stretch>
                  </pic:blipFill>
                  <pic:spPr>
                    <a:xfrm>
                      <a:off x="0" y="0"/>
                      <a:ext cx="6645910" cy="4187190"/>
                    </a:xfrm>
                    <a:prstGeom prst="rect">
                      <a:avLst/>
                    </a:prstGeom>
                  </pic:spPr>
                </pic:pic>
              </a:graphicData>
            </a:graphic>
          </wp:inline>
        </w:drawing>
      </w:r>
    </w:p>
    <w:p w14:paraId="65D9F251" w14:textId="77777777" w:rsidR="00046FE6" w:rsidRDefault="00046FE6" w:rsidP="00D400E7">
      <w:pPr>
        <w:rPr>
          <w:lang w:val="en-GB"/>
        </w:rPr>
      </w:pPr>
      <w:r w:rsidRPr="00A452F2">
        <w:rPr>
          <w:lang w:val="en-GB"/>
        </w:rPr>
        <w:t xml:space="preserve">The answer is </w:t>
      </w:r>
      <w:r w:rsidRPr="003046E1">
        <w:rPr>
          <w:color w:val="FF0000"/>
          <w:lang w:val="en-GB"/>
        </w:rPr>
        <w:t>Limit</w:t>
      </w:r>
      <w:r w:rsidRPr="00A452F2">
        <w:rPr>
          <w:lang w:val="en-GB"/>
        </w:rPr>
        <w:t xml:space="preserve">. Unlike CPU Ready, it does not account for Limit (Max Limited) because that’s an intentional constraint placed upon the VM. The VM is not contending with other VMs. </w:t>
      </w:r>
      <w:hyperlink r:id="rId502" w:history="1">
        <w:r w:rsidRPr="00701ED4">
          <w:rPr>
            <w:rStyle w:val="Hyperlink"/>
            <w:lang w:val="en-GB"/>
          </w:rPr>
          <w:t>VMware Cloud Director</w:t>
        </w:r>
      </w:hyperlink>
      <w:r w:rsidRPr="00A452F2">
        <w:rPr>
          <w:lang w:val="en-GB"/>
        </w:rPr>
        <w:t xml:space="preserve"> sets limit on VM so this counter will not be appropriate if you aim to track VM performance using Contention (%) metric.</w:t>
      </w:r>
    </w:p>
    <w:p w14:paraId="75320635" w14:textId="77777777" w:rsidR="00046FE6" w:rsidRDefault="00046FE6" w:rsidP="00D400E7">
      <w:pPr>
        <w:rPr>
          <w:lang w:val="en-GB"/>
        </w:rPr>
      </w:pPr>
      <w:r>
        <w:rPr>
          <w:lang w:val="en-GB"/>
        </w:rPr>
        <w:t>Here is a clearer example showing contention consistently lower than Ready due to limit.</w:t>
      </w:r>
    </w:p>
    <w:p w14:paraId="1B2517F7" w14:textId="77777777" w:rsidR="00046FE6" w:rsidRDefault="00046FE6" w:rsidP="00D400E7">
      <w:pPr>
        <w:rPr>
          <w:lang w:val="en-GB"/>
        </w:rPr>
      </w:pPr>
      <w:r w:rsidRPr="007065DD">
        <w:rPr>
          <w:noProof/>
          <w:lang w:val="en-GB"/>
        </w:rPr>
        <w:lastRenderedPageBreak/>
        <w:drawing>
          <wp:inline distT="0" distB="0" distL="0" distR="0" wp14:anchorId="06D49914" wp14:editId="250137C9">
            <wp:extent cx="6645910" cy="2770505"/>
            <wp:effectExtent l="0" t="0" r="2540" b="0"/>
            <wp:docPr id="1045" name="Picture 104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 name="Picture 1045" descr="Chart, line chart&#10;&#10;Description automatically generated"/>
                    <pic:cNvPicPr/>
                  </pic:nvPicPr>
                  <pic:blipFill>
                    <a:blip r:embed="rId503"/>
                    <a:stretch>
                      <a:fillRect/>
                    </a:stretch>
                  </pic:blipFill>
                  <pic:spPr>
                    <a:xfrm>
                      <a:off x="0" y="0"/>
                      <a:ext cx="6645910" cy="2770505"/>
                    </a:xfrm>
                    <a:prstGeom prst="rect">
                      <a:avLst/>
                    </a:prstGeom>
                  </pic:spPr>
                </pic:pic>
              </a:graphicData>
            </a:graphic>
          </wp:inline>
        </w:drawing>
      </w:r>
    </w:p>
    <w:p w14:paraId="79152A2E" w14:textId="4742E74D" w:rsidR="00046FE6" w:rsidRPr="00A452F2" w:rsidRDefault="00046FE6" w:rsidP="00D400E7">
      <w:pPr>
        <w:rPr>
          <w:lang w:val="en-GB"/>
        </w:rPr>
      </w:pPr>
      <w:r w:rsidRPr="00A452F2">
        <w:rPr>
          <w:lang w:val="en-GB"/>
        </w:rPr>
        <w:t xml:space="preserve">A better and more stable metric to track the contention that a VM experience is Ready + </w:t>
      </w:r>
      <w:r w:rsidR="00C730ED">
        <w:rPr>
          <w:lang w:val="en-GB"/>
        </w:rPr>
        <w:t>Co-stop</w:t>
      </w:r>
      <w:r w:rsidRPr="00A452F2">
        <w:rPr>
          <w:lang w:val="en-GB"/>
        </w:rPr>
        <w:t xml:space="preserve"> + Overlap + </w:t>
      </w:r>
      <w:r>
        <w:rPr>
          <w:lang w:val="en-GB"/>
        </w:rPr>
        <w:t>VM Wait</w:t>
      </w:r>
      <w:r w:rsidRPr="00A452F2">
        <w:rPr>
          <w:lang w:val="en-GB"/>
        </w:rPr>
        <w:t xml:space="preserve"> + Swap Wait. Note that the raw metric for all these are millisecond, not GHz. </w:t>
      </w:r>
    </w:p>
    <w:p w14:paraId="3C00238B" w14:textId="77777777" w:rsidR="00046FE6" w:rsidRDefault="00046FE6" w:rsidP="00D400E7">
      <w:pPr>
        <w:rPr>
          <w:lang w:val="en-GB"/>
        </w:rPr>
      </w:pPr>
      <w:r w:rsidRPr="00A452F2">
        <w:rPr>
          <w:lang w:val="en-GB"/>
        </w:rPr>
        <w:t xml:space="preserve">Where do you use CPU Contention then? </w:t>
      </w:r>
    </w:p>
    <w:p w14:paraId="6C6056A6" w14:textId="77777777" w:rsidR="00046FE6" w:rsidRPr="00A452F2" w:rsidRDefault="00046FE6" w:rsidP="00D400E7">
      <w:pPr>
        <w:rPr>
          <w:lang w:val="en-GB"/>
        </w:rPr>
      </w:pPr>
      <w:r>
        <w:rPr>
          <w:lang w:val="en-GB"/>
        </w:rPr>
        <w:t>Performance troubleshooting for CPU-sensitive VM.</w:t>
      </w:r>
    </w:p>
    <w:p w14:paraId="46E8FF43" w14:textId="0CD89775" w:rsidR="00046FE6" w:rsidRPr="00A452F2" w:rsidRDefault="00046FE6" w:rsidP="00D400E7">
      <w:pPr>
        <w:rPr>
          <w:lang w:val="en-GB"/>
        </w:rPr>
      </w:pPr>
      <w:r w:rsidRPr="00A452F2">
        <w:rPr>
          <w:lang w:val="en-GB"/>
        </w:rPr>
        <w:t xml:space="preserve">If the value is low, then you don’t need to check CPU Ready, </w:t>
      </w:r>
      <w:r w:rsidR="00443625">
        <w:rPr>
          <w:lang w:val="en-GB"/>
        </w:rPr>
        <w:t>Co-stop</w:t>
      </w:r>
      <w:r w:rsidRPr="00A452F2">
        <w:rPr>
          <w:lang w:val="en-GB"/>
        </w:rPr>
        <w:t>, Power Management and CPU overcommit. The reason is they are all accounted for in CPU Contention.</w:t>
      </w:r>
    </w:p>
    <w:p w14:paraId="739588F9" w14:textId="77777777" w:rsidR="00046FE6" w:rsidRPr="00A452F2" w:rsidRDefault="00046FE6" w:rsidP="00D400E7">
      <w:pPr>
        <w:rPr>
          <w:lang w:val="en-GB"/>
        </w:rPr>
      </w:pPr>
      <w:r w:rsidRPr="00A452F2">
        <w:rPr>
          <w:lang w:val="en-GB"/>
        </w:rPr>
        <w:t>If the value is high ( &gt; 37.5%), then follow these steps:</w:t>
      </w:r>
    </w:p>
    <w:p w14:paraId="4AB4BE47" w14:textId="73BD37D7" w:rsidR="00046FE6" w:rsidRPr="00A452F2" w:rsidRDefault="00046FE6" w:rsidP="00D400E7">
      <w:pPr>
        <w:pStyle w:val="Bullet"/>
        <w:rPr>
          <w:lang w:val="en-GB"/>
        </w:rPr>
      </w:pPr>
      <w:r w:rsidRPr="00A452F2">
        <w:rPr>
          <w:lang w:val="en-GB"/>
        </w:rPr>
        <w:t xml:space="preserve">Check CPU Run Queue, CPU Context Switch, “Guest OS CPU Usage“, CPU Ready and CPU </w:t>
      </w:r>
      <w:r w:rsidR="00443625">
        <w:rPr>
          <w:lang w:val="en-GB"/>
        </w:rPr>
        <w:t>Co-stop</w:t>
      </w:r>
      <w:r w:rsidRPr="00A452F2">
        <w:rPr>
          <w:lang w:val="en-GB"/>
        </w:rPr>
        <w:t xml:space="preserve">. Ensure all the CPU </w:t>
      </w:r>
      <w:r>
        <w:rPr>
          <w:lang w:val="en-GB"/>
        </w:rPr>
        <w:t>metrics</w:t>
      </w:r>
      <w:r w:rsidRPr="00A452F2">
        <w:rPr>
          <w:lang w:val="en-GB"/>
        </w:rPr>
        <w:t xml:space="preserve"> are good. If they are all low, then it’s Frequency Scaling and HT. If they are not low, check VM CPU Limit and CPU Share.</w:t>
      </w:r>
    </w:p>
    <w:p w14:paraId="12F49385" w14:textId="77777777" w:rsidR="00046FE6" w:rsidRPr="00A452F2" w:rsidRDefault="00046FE6" w:rsidP="00D400E7">
      <w:pPr>
        <w:pStyle w:val="Bullet"/>
        <w:rPr>
          <w:lang w:val="en-GB"/>
        </w:rPr>
      </w:pPr>
      <w:r w:rsidRPr="00A452F2">
        <w:rPr>
          <w:lang w:val="en-GB"/>
        </w:rPr>
        <w:t xml:space="preserve">Check ESXi power management. If they are set to Maximum correctly, then Frequency Scaling is out (you are left with HT as the factor), else HT could be at play. A simple solution for </w:t>
      </w:r>
      <w:r>
        <w:rPr>
          <w:lang w:val="en-GB"/>
        </w:rPr>
        <w:t>applications</w:t>
      </w:r>
      <w:r w:rsidRPr="00A452F2">
        <w:rPr>
          <w:lang w:val="en-GB"/>
        </w:rPr>
        <w:t xml:space="preserve"> who are sensitive to frequency scaling is to set power management to max.</w:t>
      </w:r>
    </w:p>
    <w:p w14:paraId="4BCC141B" w14:textId="77777777" w:rsidR="00046FE6" w:rsidRPr="00A452F2" w:rsidRDefault="00046FE6" w:rsidP="00D400E7">
      <w:pPr>
        <w:pStyle w:val="Bullet"/>
        <w:rPr>
          <w:lang w:val="en-GB"/>
        </w:rPr>
      </w:pPr>
      <w:r w:rsidRPr="00A452F2">
        <w:rPr>
          <w:lang w:val="en-GB"/>
        </w:rPr>
        <w:t>Check CPU Overcommit at the time of issue. If there is more vCPU than pCore on that ESXi, then HT could be impacting, else HT not impacting. IMHO, it is rare that an application does not tolerate HT as it’s transparent to it. Simplistically speaking, while HT reduces the CPU time by 37.5%, a CPU that is 37.5% faster will logically make up for it.</w:t>
      </w:r>
    </w:p>
    <w:p w14:paraId="6F2C31E3" w14:textId="21F3663F" w:rsidR="00046FE6" w:rsidRPr="00A452F2" w:rsidRDefault="00046FE6" w:rsidP="00D400E7">
      <w:pPr>
        <w:rPr>
          <w:lang w:val="en-GB"/>
        </w:rPr>
      </w:pPr>
      <w:bookmarkStart w:id="86" w:name="_ESXi_CPU_Accounting"/>
      <w:bookmarkEnd w:id="86"/>
      <w:r w:rsidRPr="00A452F2">
        <w:rPr>
          <w:lang w:val="en-GB"/>
        </w:rPr>
        <w:t>There is a corner case accounting issue in %LAT_C that was resolved in ESXi</w:t>
      </w:r>
      <w:r>
        <w:rPr>
          <w:lang w:val="en-GB"/>
        </w:rPr>
        <w:t xml:space="preserve"> </w:t>
      </w:r>
      <w:r w:rsidRPr="00A452F2">
        <w:rPr>
          <w:lang w:val="en-GB"/>
        </w:rPr>
        <w:t>6.7</w:t>
      </w:r>
      <w:r w:rsidR="005C6C12">
        <w:rPr>
          <w:rStyle w:val="FootnoteReference"/>
          <w:lang w:val="en-GB"/>
        </w:rPr>
        <w:footnoteReference w:id="20"/>
      </w:r>
      <w:r w:rsidRPr="00A452F2">
        <w:rPr>
          <w:lang w:val="en-GB"/>
        </w:rPr>
        <w:t>. VMs with Latency Sensitive = High on ESXi 6.5 or older, will show any “guest idle” time of vCPUs as LAT_C, for those VMs the counter should not be relied on. This is a corner case because majority of VM should not be set with this, as it impacts performance of other VMs.</w:t>
      </w:r>
    </w:p>
    <w:p w14:paraId="0D82C8C1" w14:textId="08C11A4F" w:rsidR="00046FE6" w:rsidRDefault="00046FE6" w:rsidP="00D400E7">
      <w:pPr>
        <w:pStyle w:val="Heading5"/>
      </w:pPr>
      <w:r w:rsidRPr="00A452F2">
        <w:lastRenderedPageBreak/>
        <w:t>Unmet Demand</w:t>
      </w:r>
    </w:p>
    <w:p w14:paraId="6D5C4E2E" w14:textId="77777777" w:rsidR="00046FE6" w:rsidRDefault="00046FE6" w:rsidP="00D400E7">
      <w:pPr>
        <w:rPr>
          <w:lang w:val="en-GB"/>
        </w:rPr>
      </w:pPr>
      <w:r w:rsidRPr="00A452F2">
        <w:rPr>
          <w:lang w:val="en-GB"/>
        </w:rPr>
        <w:t xml:space="preserve">Unmet </w:t>
      </w:r>
      <w:r>
        <w:rPr>
          <w:lang w:val="en-GB"/>
        </w:rPr>
        <w:t>d</w:t>
      </w:r>
      <w:r w:rsidRPr="00A452F2">
        <w:rPr>
          <w:lang w:val="en-GB"/>
        </w:rPr>
        <w:t xml:space="preserve">emand </w:t>
      </w:r>
      <w:r>
        <w:rPr>
          <w:lang w:val="en-GB"/>
        </w:rPr>
        <w:t xml:space="preserve">should only </w:t>
      </w:r>
      <w:r w:rsidRPr="00A452F2">
        <w:rPr>
          <w:lang w:val="en-GB"/>
        </w:rPr>
        <w:t xml:space="preserve">care about </w:t>
      </w:r>
      <w:r>
        <w:rPr>
          <w:lang w:val="en-GB"/>
        </w:rPr>
        <w:t xml:space="preserve">whether the </w:t>
      </w:r>
      <w:r w:rsidRPr="00A452F2">
        <w:rPr>
          <w:lang w:val="en-GB"/>
        </w:rPr>
        <w:t xml:space="preserve">VM gets to run or not. It </w:t>
      </w:r>
      <w:r>
        <w:rPr>
          <w:lang w:val="en-GB"/>
        </w:rPr>
        <w:t xml:space="preserve">should </w:t>
      </w:r>
      <w:r w:rsidRPr="00A452F2">
        <w:rPr>
          <w:lang w:val="en-GB"/>
        </w:rPr>
        <w:t>not care about how fast it will run when it gets to run, because it does not know. As a result, we should not account for HT. The demand was met, albeit at efficiency dropped by 37.5%</w:t>
      </w:r>
      <w:r>
        <w:rPr>
          <w:lang w:val="en-GB"/>
        </w:rPr>
        <w:t xml:space="preserve"> due to HT effect.</w:t>
      </w:r>
    </w:p>
    <w:p w14:paraId="09303226" w14:textId="77777777" w:rsidR="00046FE6" w:rsidRPr="00512DAC" w:rsidRDefault="00046FE6" w:rsidP="00D400E7">
      <w:pPr>
        <w:rPr>
          <w:lang w:val="en-GB"/>
        </w:rPr>
      </w:pPr>
      <w:r>
        <w:rPr>
          <w:lang w:val="en-GB"/>
        </w:rPr>
        <w:t>This is not a built-in counter. I created it using vRealize Operations super metric.</w:t>
      </w:r>
    </w:p>
    <w:p w14:paraId="1900A3F7" w14:textId="77777777" w:rsidR="00046FE6" w:rsidRDefault="00046FE6" w:rsidP="00D400E7">
      <w:pPr>
        <w:rPr>
          <w:lang w:val="en-GB"/>
        </w:rPr>
      </w:pPr>
      <w:r>
        <w:rPr>
          <w:lang w:val="en-GB"/>
        </w:rPr>
        <w:t xml:space="preserve">While the need for such counter sounds logical, the detail is more complex. What do we need this counter for? </w:t>
      </w:r>
    </w:p>
    <w:p w14:paraId="489EEB22" w14:textId="77777777" w:rsidR="00046FE6" w:rsidRDefault="00046FE6" w:rsidP="00D400E7">
      <w:pPr>
        <w:pStyle w:val="Bullet"/>
        <w:rPr>
          <w:lang w:val="en-GB"/>
        </w:rPr>
      </w:pPr>
      <w:r>
        <w:rPr>
          <w:lang w:val="en-GB"/>
        </w:rPr>
        <w:t>If it’s for Cluster Capacity, then CPU Ready caused by Limit should not be considered. You intentionally place the limit, so the CPU Ready is not caused by the inability of the host.</w:t>
      </w:r>
    </w:p>
    <w:p w14:paraId="13AF5E3B" w14:textId="77777777" w:rsidR="00046FE6" w:rsidRPr="00152F8C" w:rsidRDefault="00046FE6" w:rsidP="00D400E7">
      <w:pPr>
        <w:pStyle w:val="Bullet"/>
        <w:rPr>
          <w:lang w:val="en-GB"/>
        </w:rPr>
      </w:pPr>
      <w:r>
        <w:rPr>
          <w:lang w:val="en-GB"/>
        </w:rPr>
        <w:t>If it’s for VM Performance, then it’s debatable. If you do not include it, you may miss it. If you include it, the solution is to remove the limit. The problem is the limit could be caused by setting in the resource pool where the VM belongs to. For example, if customer only wants to pay for 10 GHz of resource but insists on running more than that, well, performance will definitely take a hit.</w:t>
      </w:r>
    </w:p>
    <w:p w14:paraId="49BEBFF8" w14:textId="77777777" w:rsidR="00046FE6" w:rsidRPr="00A452F2" w:rsidRDefault="00046FE6" w:rsidP="00D400E7">
      <w:pPr>
        <w:rPr>
          <w:lang w:val="en-GB"/>
        </w:rPr>
      </w:pPr>
      <w:r w:rsidRPr="00A452F2">
        <w:rPr>
          <w:lang w:val="en-GB"/>
        </w:rPr>
        <w:t xml:space="preserve">The above 2 </w:t>
      </w:r>
      <w:r>
        <w:rPr>
          <w:lang w:val="en-GB"/>
        </w:rPr>
        <w:t>metrics</w:t>
      </w:r>
      <w:r w:rsidRPr="00A452F2">
        <w:rPr>
          <w:lang w:val="en-GB"/>
        </w:rPr>
        <w:t xml:space="preserve"> are for CPU slowness. CPU, being the fastest component, typically wait for RAM, Disk and Network.</w:t>
      </w:r>
    </w:p>
    <w:p w14:paraId="35D77253" w14:textId="77777777" w:rsidR="00046FE6" w:rsidRPr="00A452F2" w:rsidRDefault="00046FE6" w:rsidP="00D400E7">
      <w:pPr>
        <w:pStyle w:val="Bullet"/>
        <w:rPr>
          <w:lang w:val="en-GB"/>
        </w:rPr>
      </w:pPr>
      <w:r w:rsidRPr="00A452F2">
        <w:rPr>
          <w:lang w:val="en-GB"/>
        </w:rPr>
        <w:t>CPU Swap Wait. CPU is waiting for Memory. Had RAM were faster, it would have been executed. For example, adding RAM may result in higher CPU usage.</w:t>
      </w:r>
    </w:p>
    <w:p w14:paraId="25499CD7" w14:textId="77777777" w:rsidR="00046FE6" w:rsidRPr="00A452F2" w:rsidRDefault="00046FE6" w:rsidP="00D400E7">
      <w:pPr>
        <w:pStyle w:val="Bullet"/>
        <w:rPr>
          <w:lang w:val="en-GB"/>
        </w:rPr>
      </w:pPr>
      <w:r w:rsidRPr="00A452F2">
        <w:rPr>
          <w:lang w:val="en-GB"/>
        </w:rPr>
        <w:t xml:space="preserve">CPU </w:t>
      </w:r>
      <w:r>
        <w:rPr>
          <w:lang w:val="en-GB"/>
        </w:rPr>
        <w:t>Other Wait</w:t>
      </w:r>
      <w:r w:rsidRPr="00A452F2">
        <w:rPr>
          <w:lang w:val="en-GB"/>
        </w:rPr>
        <w:t>. CPU is waiting for IO (Disk or Network)</w:t>
      </w:r>
      <w:r>
        <w:rPr>
          <w:lang w:val="en-GB"/>
        </w:rPr>
        <w:t xml:space="preserve"> and other things (e.g. vMotion stun time)</w:t>
      </w:r>
      <w:r w:rsidRPr="00A452F2">
        <w:rPr>
          <w:lang w:val="en-GB"/>
        </w:rPr>
        <w:t>. Had they been faster, it would have been executed. For example, replacing storage subsystem with much lower latency would result in CPU completing the task in less time. A 10 hour batch job may take 1 hour, so the CPU usage would be 10x. If disk is outside the ESXi, changing the array can have ramification on ESXi usage. So we should account for it.</w:t>
      </w:r>
    </w:p>
    <w:p w14:paraId="1412B0E9" w14:textId="77777777" w:rsidR="00046FE6" w:rsidRPr="00A452F2" w:rsidRDefault="00046FE6" w:rsidP="00D400E7">
      <w:pPr>
        <w:rPr>
          <w:lang w:val="en-GB"/>
        </w:rPr>
      </w:pPr>
      <w:r w:rsidRPr="00A452F2">
        <w:rPr>
          <w:lang w:val="en-GB"/>
        </w:rPr>
        <w:t>Should we account for this wait? They are not real demand. It’s not an unmet demand. It’s a potential demand, which would happen if the other component is improved.</w:t>
      </w:r>
      <w:r>
        <w:rPr>
          <w:lang w:val="en-GB"/>
        </w:rPr>
        <w:t xml:space="preserve"> Let me know your thought!</w:t>
      </w:r>
    </w:p>
    <w:p w14:paraId="40E45C23" w14:textId="77777777" w:rsidR="00D400E7" w:rsidRDefault="00046FE6" w:rsidP="00D400E7">
      <w:pPr>
        <w:rPr>
          <w:lang w:val="en-GB"/>
        </w:rPr>
      </w:pPr>
      <w:r>
        <w:rPr>
          <w:lang w:val="en-GB"/>
        </w:rPr>
        <w:t xml:space="preserve">The formula I use is </w:t>
      </w:r>
    </w:p>
    <w:p w14:paraId="2C199517" w14:textId="48514D32" w:rsidR="00046FE6" w:rsidRPr="00A452F2" w:rsidRDefault="00046FE6" w:rsidP="00D400E7">
      <w:pPr>
        <w:pStyle w:val="Code"/>
      </w:pPr>
      <w:r>
        <w:t xml:space="preserve">Ready + </w:t>
      </w:r>
      <w:r w:rsidR="00443625">
        <w:t>Co-stop</w:t>
      </w:r>
      <w:r>
        <w:t xml:space="preserve"> + Overlap + Swap Wait + Other Wait.</w:t>
      </w:r>
    </w:p>
    <w:p w14:paraId="10D52430" w14:textId="77777777" w:rsidR="00FF0111" w:rsidRDefault="00FF0111" w:rsidP="00FF0111">
      <w:pPr>
        <w:pStyle w:val="Heading4"/>
      </w:pPr>
      <w:r w:rsidRPr="003D6E92">
        <w:t>Wait</w:t>
      </w:r>
    </w:p>
    <w:p w14:paraId="3D490A9C" w14:textId="77777777" w:rsidR="00597442" w:rsidRDefault="00D400E7" w:rsidP="00D400E7">
      <w:r>
        <w:t xml:space="preserve">CPU is the fastest component among infrastructure resources, so there are times it must wait for data. The data comes from memory, disk or network. </w:t>
      </w:r>
    </w:p>
    <w:p w14:paraId="788E9383" w14:textId="53B32BEF" w:rsidR="00597442" w:rsidRDefault="00D400E7" w:rsidP="00D400E7">
      <w:r>
        <w:t xml:space="preserve">There are also times when there is nothing to do, so the CPU is idle. Whether the </w:t>
      </w:r>
      <w:r w:rsidR="00597442">
        <w:t>upper-layer (</w:t>
      </w:r>
      <w:r>
        <w:t>Guest OS vCPU</w:t>
      </w:r>
      <w:r w:rsidR="00597442">
        <w:t>)</w:t>
      </w:r>
      <w:r>
        <w:t xml:space="preserve"> is </w:t>
      </w:r>
      <w:r w:rsidR="00597442">
        <w:t xml:space="preserve">truly </w:t>
      </w:r>
      <w:r>
        <w:t xml:space="preserve">idle or </w:t>
      </w:r>
      <w:r w:rsidR="00597442">
        <w:t xml:space="preserve">blocked by pending </w:t>
      </w:r>
      <w:r>
        <w:t xml:space="preserve">IO, the VMkernel does </w:t>
      </w:r>
      <w:r w:rsidRPr="00505381">
        <w:rPr>
          <w:i/>
          <w:iCs/>
          <w:color w:val="FF0000"/>
        </w:rPr>
        <w:t>not</w:t>
      </w:r>
      <w:r w:rsidRPr="00505381">
        <w:rPr>
          <w:color w:val="FF0000"/>
        </w:rPr>
        <w:t xml:space="preserve"> </w:t>
      </w:r>
      <w:r>
        <w:t>have th</w:t>
      </w:r>
      <w:r w:rsidR="00597442">
        <w:t>e</w:t>
      </w:r>
      <w:r>
        <w:t xml:space="preserve"> visibility. It can only see </w:t>
      </w:r>
      <w:r w:rsidR="00597442">
        <w:t>that Windows or Linux is</w:t>
      </w:r>
      <w:r>
        <w:t xml:space="preserve"> </w:t>
      </w:r>
      <w:r w:rsidR="00597442">
        <w:t>not doing any work</w:t>
      </w:r>
      <w:r>
        <w:t xml:space="preserve">. </w:t>
      </w:r>
    </w:p>
    <w:p w14:paraId="70E8B8F3" w14:textId="77777777" w:rsidR="00597442" w:rsidRPr="003D6E92" w:rsidRDefault="00597442" w:rsidP="00597442">
      <w:r w:rsidRPr="003D6E92">
        <w:t>There are 3 sub-</w:t>
      </w:r>
      <w:r>
        <w:t>metrics</w:t>
      </w:r>
      <w:r w:rsidRPr="003D6E92">
        <w:t xml:space="preserve"> that make up Wai</w:t>
      </w:r>
      <w:r>
        <w:t>t</w:t>
      </w:r>
      <w:r w:rsidRPr="003D6E92">
        <w:t>.</w:t>
      </w:r>
    </w:p>
    <w:p w14:paraId="2B0C2E54" w14:textId="55DCF89F" w:rsidR="00597442" w:rsidRPr="003D6E92" w:rsidRDefault="00597442" w:rsidP="00597442">
      <w:pPr>
        <w:pStyle w:val="Bullet"/>
      </w:pPr>
      <w:r w:rsidRPr="003D6E92">
        <w:t xml:space="preserve">Idle. </w:t>
      </w:r>
      <w:r>
        <w:t xml:space="preserve">Waiting for work.. </w:t>
      </w:r>
    </w:p>
    <w:p w14:paraId="0D5A0B89" w14:textId="77777777" w:rsidR="00597442" w:rsidRPr="003D6E92" w:rsidRDefault="00597442" w:rsidP="00597442">
      <w:pPr>
        <w:pStyle w:val="Bullet"/>
      </w:pPr>
      <w:r w:rsidRPr="003D6E92">
        <w:t xml:space="preserve">Swap Wait. </w:t>
      </w:r>
      <w:r>
        <w:t xml:space="preserve">Waiting for memory. </w:t>
      </w:r>
    </w:p>
    <w:p w14:paraId="52793107" w14:textId="51DDA197" w:rsidR="00597442" w:rsidRPr="003D6E92" w:rsidRDefault="00597442" w:rsidP="00597442">
      <w:pPr>
        <w:pStyle w:val="Bullet"/>
      </w:pPr>
      <w:r>
        <w:t>Other</w:t>
      </w:r>
      <w:r w:rsidRPr="003D6E92">
        <w:t xml:space="preserve"> Wait</w:t>
      </w:r>
      <w:r>
        <w:t>. Waiting for other things.</w:t>
      </w:r>
    </w:p>
    <w:p w14:paraId="7B589E9C" w14:textId="6D2F2F49" w:rsidR="00A15555" w:rsidRPr="003D6E92" w:rsidRDefault="00A15555" w:rsidP="00A15555">
      <w:r w:rsidRPr="003D6E92">
        <w:lastRenderedPageBreak/>
        <w:t xml:space="preserve">Guest OS isn’t aware of both </w:t>
      </w:r>
      <w:r>
        <w:t>Other Wait</w:t>
      </w:r>
      <w:r w:rsidRPr="003D6E92">
        <w:t xml:space="preserve"> and Swap Wait. </w:t>
      </w:r>
      <w:r>
        <w:t>Just like other type of contention, i</w:t>
      </w:r>
      <w:r w:rsidRPr="003D6E92">
        <w:t xml:space="preserve">t experiences freeze. The time it spends under </w:t>
      </w:r>
      <w:r>
        <w:t>Other Wait</w:t>
      </w:r>
      <w:r w:rsidRPr="003D6E92">
        <w:t xml:space="preserve"> and Swap Wait should be included in the Guest OS CPU sizing formula as the VM wants to run actually.</w:t>
      </w:r>
    </w:p>
    <w:p w14:paraId="1B4C6196" w14:textId="07C80941" w:rsidR="00D400E7" w:rsidRDefault="00D400E7" w:rsidP="00D400E7">
      <w:r w:rsidRPr="00597442">
        <w:rPr>
          <w:color w:val="00B0F0"/>
        </w:rPr>
        <w:t xml:space="preserve">Idle </w:t>
      </w:r>
      <w:r>
        <w:t xml:space="preserve">counter tracks </w:t>
      </w:r>
      <w:r w:rsidR="00597442">
        <w:t>when VM is not running</w:t>
      </w:r>
      <w:r>
        <w:t>. Regardless of the reason</w:t>
      </w:r>
      <w:r w:rsidR="00597442">
        <w:t xml:space="preserve"> in the upper-layer</w:t>
      </w:r>
      <w:r>
        <w:t xml:space="preserve">, </w:t>
      </w:r>
      <w:r w:rsidR="00A15555">
        <w:t xml:space="preserve">VM </w:t>
      </w:r>
      <w:r>
        <w:t xml:space="preserve">Idle should not be included in </w:t>
      </w:r>
      <w:r w:rsidR="00A15555">
        <w:t xml:space="preserve">both VM sizing, and definitely not in </w:t>
      </w:r>
      <w:r>
        <w:t>Guest OS sizing</w:t>
      </w:r>
      <w:r w:rsidR="00597442">
        <w:t xml:space="preserve">. The reason is </w:t>
      </w:r>
      <w:r>
        <w:t>the vCPU is not running</w:t>
      </w:r>
      <w:r w:rsidR="00597442">
        <w:t xml:space="preserve"> and you can’t predict what the usage would be</w:t>
      </w:r>
      <w:r>
        <w:t xml:space="preserve">. </w:t>
      </w:r>
      <w:r w:rsidR="00597442">
        <w:t xml:space="preserve">You should </w:t>
      </w:r>
      <w:r>
        <w:t>address the IO and memory bottleneck</w:t>
      </w:r>
      <w:r w:rsidR="00597442">
        <w:t xml:space="preserve"> in </w:t>
      </w:r>
      <w:r w:rsidR="00A15555">
        <w:t xml:space="preserve">Guest OS </w:t>
      </w:r>
      <w:r w:rsidR="00597442">
        <w:t>level</w:t>
      </w:r>
      <w:r w:rsidR="00A15555">
        <w:t xml:space="preserve">, using Windows and Linus metrics. </w:t>
      </w:r>
    </w:p>
    <w:p w14:paraId="650FA81D" w14:textId="77777777" w:rsidR="00FF0111" w:rsidRPr="003D6E92" w:rsidRDefault="00FF0111" w:rsidP="00FF0111">
      <w:r w:rsidRPr="009B55D1">
        <w:rPr>
          <w:color w:val="00B0F0"/>
        </w:rPr>
        <w:t xml:space="preserve">Swap Wait </w:t>
      </w:r>
      <w:r w:rsidRPr="003D6E92">
        <w:t xml:space="preserve">tracks the time CPU is waiting for Memory page to come in from ESXi swap. </w:t>
      </w:r>
      <w:r>
        <w:t>This metric was superseded by Memory Contention metric.</w:t>
      </w:r>
    </w:p>
    <w:p w14:paraId="24B14910" w14:textId="74AC0205" w:rsidR="00FF0111" w:rsidRDefault="00FF0111" w:rsidP="00FF0111">
      <w:r w:rsidRPr="009B55D1">
        <w:rPr>
          <w:color w:val="00B0F0"/>
        </w:rPr>
        <w:t xml:space="preserve">Other Wait </w:t>
      </w:r>
      <w:r w:rsidRPr="003D6E92">
        <w:t>tracks the time CPU is being blocked by other things</w:t>
      </w:r>
      <w:r>
        <w:t>, such as IO and vMotion</w:t>
      </w:r>
      <w:r w:rsidRPr="003D6E92">
        <w:t xml:space="preserve">. For example, the VMM layer is trying to do something and it’s blocked. </w:t>
      </w:r>
      <w:r>
        <w:t xml:space="preserve">The number of reasons vary and it’s hard to pinpoint exactly which one, as you need low level debug logs such as stats vmx, schedtraces, and custom vprobes. You’re better off removing the common reasons. </w:t>
      </w:r>
      <w:r w:rsidRPr="003D6E92">
        <w:t>Snapshot is a common reason here</w:t>
      </w:r>
      <w:r>
        <w:rPr>
          <w:rStyle w:val="FootnoteReference"/>
        </w:rPr>
        <w:footnoteReference w:id="21"/>
      </w:r>
      <w:r>
        <w:t xml:space="preserve">, that it was mistakenly named as </w:t>
      </w:r>
      <w:r w:rsidRPr="00D90F61">
        <w:rPr>
          <w:color w:val="00B0F0"/>
        </w:rPr>
        <w:t>IO Wait</w:t>
      </w:r>
      <w:r>
        <w:t xml:space="preserve">. </w:t>
      </w:r>
    </w:p>
    <w:p w14:paraId="05D6826A" w14:textId="7BC02BEB" w:rsidR="00A15555" w:rsidRDefault="00A15555" w:rsidP="00A15555">
      <w:pPr>
        <w:pStyle w:val="Heading5"/>
      </w:pPr>
      <w:r>
        <w:t>Other Wait</w:t>
      </w:r>
    </w:p>
    <w:p w14:paraId="589D54D1" w14:textId="77777777" w:rsidR="00FF0111" w:rsidRDefault="00FF0111" w:rsidP="00FF0111">
      <w:r>
        <w:t xml:space="preserve">Take note of a </w:t>
      </w:r>
      <w:hyperlink r:id="rId504" w:history="1">
        <w:r w:rsidRPr="007F7D7A">
          <w:rPr>
            <w:rStyle w:val="Hyperlink"/>
          </w:rPr>
          <w:t>known bug</w:t>
        </w:r>
      </w:hyperlink>
      <w:r>
        <w:t xml:space="preserve"> that wrongly inflates the value of Other Wait and esxtop </w:t>
      </w:r>
      <w:r w:rsidRPr="00A15555">
        <w:rPr>
          <w:color w:val="00B0F0"/>
        </w:rPr>
        <w:t>%VMWait</w:t>
      </w:r>
      <w:r>
        <w:t xml:space="preserve">. </w:t>
      </w:r>
    </w:p>
    <w:p w14:paraId="26CBC738" w14:textId="77777777" w:rsidR="00FF0111" w:rsidRDefault="00FF0111" w:rsidP="00FF0111">
      <w:r>
        <w:t xml:space="preserve">Actions you can do to reduce </w:t>
      </w:r>
      <w:r w:rsidRPr="00A15555">
        <w:rPr>
          <w:color w:val="00B0F0"/>
        </w:rPr>
        <w:t>Other Wait</w:t>
      </w:r>
      <w:r>
        <w:t>:</w:t>
      </w:r>
    </w:p>
    <w:p w14:paraId="77D8B98A" w14:textId="77777777" w:rsidR="00FF0111" w:rsidRDefault="00FF0111" w:rsidP="00FF0111">
      <w:pPr>
        <w:pStyle w:val="Bullet"/>
      </w:pPr>
      <w:bookmarkStart w:id="87" w:name="_Hlk134976089"/>
      <w:r>
        <w:t xml:space="preserve">vMotion the VM. </w:t>
      </w:r>
    </w:p>
    <w:p w14:paraId="5052DA0B" w14:textId="77777777" w:rsidR="00FF0111" w:rsidRDefault="00FF0111" w:rsidP="00FF0111">
      <w:pPr>
        <w:pStyle w:val="Bullet"/>
      </w:pPr>
      <w:r>
        <w:t>Remove Snapshot</w:t>
      </w:r>
    </w:p>
    <w:p w14:paraId="1583BC07" w14:textId="77777777" w:rsidR="00FF0111" w:rsidRDefault="00FF0111" w:rsidP="00FF0111">
      <w:pPr>
        <w:pStyle w:val="Bullet"/>
      </w:pPr>
      <w:r>
        <w:t xml:space="preserve">Update to the latest build of ESXi (incl. physical device drivers), virtual HW and VMware Tools (virtual device drivers). </w:t>
      </w:r>
    </w:p>
    <w:p w14:paraId="25DDD0F4" w14:textId="77777777" w:rsidR="00621252" w:rsidRDefault="00621252" w:rsidP="00621252">
      <w:pPr>
        <w:pStyle w:val="Bullet"/>
      </w:pPr>
      <w:r>
        <w:t xml:space="preserve">If this happens to multiple VMs, find commonality. </w:t>
      </w:r>
    </w:p>
    <w:p w14:paraId="79D11ED3" w14:textId="77777777" w:rsidR="00FF0111" w:rsidRDefault="00FF0111" w:rsidP="00621252">
      <w:r>
        <w:t>If the above is not helping in your case, file a Support Request with VMware GSS and tag me. Please mention that you get it from here, so I have a context.</w:t>
      </w:r>
    </w:p>
    <w:bookmarkEnd w:id="87"/>
    <w:p w14:paraId="66986D07" w14:textId="5D79447B" w:rsidR="00FF0111" w:rsidRDefault="00FF0111" w:rsidP="00FF0111">
      <w:r>
        <w:t>I plotted Other Wait for 4000 production VM</w:t>
      </w:r>
      <w:r w:rsidR="00A722F4">
        <w:t>s</w:t>
      </w:r>
      <w:r>
        <w:t xml:space="preserve">. Surprisingly, the value is </w:t>
      </w:r>
      <w:r w:rsidRPr="007B37BA">
        <w:rPr>
          <w:color w:val="FF0000"/>
        </w:rPr>
        <w:t xml:space="preserve">not </w:t>
      </w:r>
      <w:r>
        <w:t>low.</w:t>
      </w:r>
    </w:p>
    <w:p w14:paraId="009B806F" w14:textId="77777777" w:rsidR="00FF0111" w:rsidRDefault="00FF0111" w:rsidP="00FF0111">
      <w:pPr>
        <w:jc w:val="center"/>
        <w:rPr>
          <w:lang w:val="en-GB"/>
        </w:rPr>
      </w:pPr>
      <w:r w:rsidRPr="00BC674F">
        <w:rPr>
          <w:noProof/>
          <w:lang w:val="en-GB"/>
        </w:rPr>
        <w:drawing>
          <wp:inline distT="0" distB="0" distL="0" distR="0" wp14:anchorId="2EA471B9" wp14:editId="0E805112">
            <wp:extent cx="5010912" cy="1892808"/>
            <wp:effectExtent l="0" t="0" r="0" b="0"/>
            <wp:docPr id="918289617" name="Picture 918289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5010912" cy="1892808"/>
                    </a:xfrm>
                    <a:prstGeom prst="rect">
                      <a:avLst/>
                    </a:prstGeom>
                  </pic:spPr>
                </pic:pic>
              </a:graphicData>
            </a:graphic>
          </wp:inline>
        </w:drawing>
      </w:r>
    </w:p>
    <w:p w14:paraId="689AE276" w14:textId="19006759" w:rsidR="00FF0111" w:rsidRDefault="00FF0111" w:rsidP="00FF0111">
      <w:pPr>
        <w:rPr>
          <w:lang w:val="en-GB"/>
        </w:rPr>
      </w:pPr>
      <w:r>
        <w:rPr>
          <w:lang w:val="en-GB"/>
        </w:rPr>
        <w:t xml:space="preserve">I was curious if the value corelates with CPU Ready or </w:t>
      </w:r>
      <w:r w:rsidR="00443625">
        <w:rPr>
          <w:lang w:val="en-GB"/>
        </w:rPr>
        <w:t>Co-stop</w:t>
      </w:r>
      <w:r>
        <w:rPr>
          <w:lang w:val="en-GB"/>
        </w:rPr>
        <w:t>. From around 4000 production VM in the last 1 month, the answer is a no.</w:t>
      </w:r>
    </w:p>
    <w:p w14:paraId="18EEB54B" w14:textId="77777777" w:rsidR="00FF0111" w:rsidRPr="00537A76" w:rsidRDefault="00FF0111" w:rsidP="00FF0111">
      <w:pPr>
        <w:jc w:val="center"/>
        <w:rPr>
          <w:lang w:val="en-GB"/>
        </w:rPr>
      </w:pPr>
      <w:r w:rsidRPr="003F1F0A">
        <w:rPr>
          <w:noProof/>
          <w:lang w:val="en-GB"/>
        </w:rPr>
        <w:lastRenderedPageBreak/>
        <w:drawing>
          <wp:inline distT="0" distB="0" distL="0" distR="0" wp14:anchorId="53F9C019" wp14:editId="2F4B7432">
            <wp:extent cx="4107600" cy="3110400"/>
            <wp:effectExtent l="0" t="0" r="7620" b="0"/>
            <wp:docPr id="918289622" name="Picture 918289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4107600" cy="3110400"/>
                    </a:xfrm>
                    <a:prstGeom prst="rect">
                      <a:avLst/>
                    </a:prstGeom>
                  </pic:spPr>
                </pic:pic>
              </a:graphicData>
            </a:graphic>
          </wp:inline>
        </w:drawing>
      </w:r>
    </w:p>
    <w:p w14:paraId="18ADB6D2" w14:textId="77777777" w:rsidR="00FF0111" w:rsidRDefault="00FF0111" w:rsidP="00FF0111">
      <w:r>
        <w:t>Since snapshot is another potential culprit, let’s compare with disk latency and outstanding IO.</w:t>
      </w:r>
    </w:p>
    <w:p w14:paraId="5B4B4F15" w14:textId="77777777" w:rsidR="00FF0111" w:rsidRDefault="00FF0111" w:rsidP="00FF0111">
      <w:r>
        <w:t>What do you expect?</w:t>
      </w:r>
    </w:p>
    <w:p w14:paraId="7325CCB1" w14:textId="77777777" w:rsidR="00FF0111" w:rsidRDefault="00FF0111" w:rsidP="00FF0111">
      <w:pPr>
        <w:jc w:val="center"/>
      </w:pPr>
      <w:r w:rsidRPr="00111E68">
        <w:rPr>
          <w:noProof/>
        </w:rPr>
        <w:drawing>
          <wp:inline distT="0" distB="0" distL="0" distR="0" wp14:anchorId="7CB57854" wp14:editId="4108FFD4">
            <wp:extent cx="5486400" cy="3136392"/>
            <wp:effectExtent l="0" t="0" r="0" b="6985"/>
            <wp:docPr id="918289623" name="Picture 918289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5486400" cy="3136392"/>
                    </a:xfrm>
                    <a:prstGeom prst="rect">
                      <a:avLst/>
                    </a:prstGeom>
                  </pic:spPr>
                </pic:pic>
              </a:graphicData>
            </a:graphic>
          </wp:inline>
        </w:drawing>
      </w:r>
    </w:p>
    <w:p w14:paraId="0C2A8A01" w14:textId="77777777" w:rsidR="00FF0111" w:rsidRDefault="00FF0111" w:rsidP="00FF0111">
      <w:r>
        <w:t>Again, negative corelation. None of the VMs with high VM Wait is experiencing latency. Notice I put a 99</w:t>
      </w:r>
      <w:r w:rsidRPr="00D42D9C">
        <w:rPr>
          <w:vertAlign w:val="superscript"/>
        </w:rPr>
        <w:t>th</w:t>
      </w:r>
      <w:r>
        <w:t xml:space="preserve"> percentile, as I wanted to rule out a one time outlier. I’m plotting the first VM as the value at 99</w:t>
      </w:r>
      <w:r w:rsidRPr="00FD7518">
        <w:rPr>
          <w:vertAlign w:val="superscript"/>
        </w:rPr>
        <w:t>th</w:t>
      </w:r>
      <w:r>
        <w:t xml:space="preserve"> is very near to the max, indicating sustained problem.</w:t>
      </w:r>
    </w:p>
    <w:p w14:paraId="56FD0AD3" w14:textId="77777777" w:rsidR="00FF0111" w:rsidRDefault="00FF0111" w:rsidP="00FF0111">
      <w:r w:rsidRPr="003A397A">
        <w:rPr>
          <w:noProof/>
        </w:rPr>
        <w:lastRenderedPageBreak/>
        <w:drawing>
          <wp:inline distT="0" distB="0" distL="0" distR="0" wp14:anchorId="2B246218" wp14:editId="2DD3F58E">
            <wp:extent cx="6645910" cy="1425575"/>
            <wp:effectExtent l="0" t="0" r="2540" b="3175"/>
            <wp:docPr id="918289627" name="Picture 918289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6645910" cy="1425575"/>
                    </a:xfrm>
                    <a:prstGeom prst="rect">
                      <a:avLst/>
                    </a:prstGeom>
                  </pic:spPr>
                </pic:pic>
              </a:graphicData>
            </a:graphic>
          </wp:inline>
        </w:drawing>
      </w:r>
    </w:p>
    <w:p w14:paraId="44951EEA" w14:textId="77777777" w:rsidR="00FF0111" w:rsidRDefault="00FF0111" w:rsidP="00FF0111">
      <w:r>
        <w:t xml:space="preserve">It turned out to be true. It has sustained VM Wait value around 15% (above is zoomed into 1 week so you can see the pattern). </w:t>
      </w:r>
    </w:p>
    <w:p w14:paraId="27CFBDD1" w14:textId="77777777" w:rsidR="00FF0111" w:rsidRDefault="00FF0111" w:rsidP="00FF0111">
      <w:r>
        <w:t>I’m curious why it’s so high. First thing is to plot utilization. I checked Run, Usage and Demand. They are all low.</w:t>
      </w:r>
    </w:p>
    <w:p w14:paraId="67B1C75A" w14:textId="77777777" w:rsidR="00FF0111" w:rsidRDefault="00FF0111" w:rsidP="00FF0111">
      <w:r w:rsidRPr="00294FD1">
        <w:rPr>
          <w:noProof/>
        </w:rPr>
        <w:drawing>
          <wp:inline distT="0" distB="0" distL="0" distR="0" wp14:anchorId="37802353" wp14:editId="49D7FFB8">
            <wp:extent cx="6645910" cy="866140"/>
            <wp:effectExtent l="0" t="0" r="2540" b="0"/>
            <wp:docPr id="918289626" name="Picture 918289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6645910" cy="866140"/>
                    </a:xfrm>
                    <a:prstGeom prst="rect">
                      <a:avLst/>
                    </a:prstGeom>
                  </pic:spPr>
                </pic:pic>
              </a:graphicData>
            </a:graphic>
          </wp:inline>
        </w:drawing>
      </w:r>
    </w:p>
    <w:p w14:paraId="2A39AC07" w14:textId="3CAD3742" w:rsidR="00FF0111" w:rsidRDefault="00FF0111" w:rsidP="00FF0111">
      <w:r>
        <w:t>Using vRealize Operations correlation</w:t>
      </w:r>
      <w:r w:rsidR="00452125">
        <w:t xml:space="preserve"> feature</w:t>
      </w:r>
      <w:r>
        <w:t>, I checked if it correlates with any other metric. The only metric it founds is Idle, which is logical they basically add up to 100% when Run is low.</w:t>
      </w:r>
    </w:p>
    <w:p w14:paraId="4FCF81CE" w14:textId="48A99869" w:rsidR="00D400E7" w:rsidRDefault="00DE7943" w:rsidP="00FF0111">
      <w:pPr>
        <w:pStyle w:val="Heading4"/>
      </w:pPr>
      <w:bookmarkStart w:id="88" w:name="_System"/>
      <w:bookmarkStart w:id="89" w:name="_Run"/>
      <w:bookmarkEnd w:id="88"/>
      <w:bookmarkEnd w:id="89"/>
      <w:r>
        <w:t>Consumption</w:t>
      </w:r>
      <w:r w:rsidR="00D400E7">
        <w:t xml:space="preserve"> Metrics</w:t>
      </w:r>
    </w:p>
    <w:p w14:paraId="6769B7B8" w14:textId="233B50CE" w:rsidR="00DE7943" w:rsidRPr="00DE7943" w:rsidRDefault="00DE7943" w:rsidP="00DE7943">
      <w:pPr>
        <w:rPr>
          <w:lang w:val="en-GB" w:eastAsia="en-SG"/>
        </w:rPr>
      </w:pPr>
      <w:r>
        <w:rPr>
          <w:lang w:val="en-GB" w:eastAsia="en-SG"/>
        </w:rPr>
        <w:t>This covers both utilization and reservation.</w:t>
      </w:r>
      <w:r w:rsidR="00556B22">
        <w:rPr>
          <w:lang w:val="en-GB" w:eastAsia="en-SG"/>
        </w:rPr>
        <w:t xml:space="preserve"> Allocation is a property for VM.</w:t>
      </w:r>
    </w:p>
    <w:p w14:paraId="27FFBFB9" w14:textId="5075BC8E" w:rsidR="00FF0111" w:rsidRPr="003D6E92" w:rsidRDefault="00FF0111" w:rsidP="00D400E7">
      <w:pPr>
        <w:pStyle w:val="Heading5"/>
      </w:pPr>
      <w:r w:rsidRPr="003D6E92">
        <w:t>Run</w:t>
      </w:r>
    </w:p>
    <w:p w14:paraId="196AD54E" w14:textId="77777777" w:rsidR="00FF0111" w:rsidRPr="003D6E92" w:rsidRDefault="00FF0111" w:rsidP="00D400E7">
      <w:r w:rsidRPr="003D6E92">
        <w:t xml:space="preserve">Run is when the Guest OS gets to run and process instruction. It is the most basic counter among the 4 CPU utilization </w:t>
      </w:r>
      <w:r>
        <w:t>metrics</w:t>
      </w:r>
      <w:r w:rsidRPr="003D6E92">
        <w:t xml:space="preserve">. It’s the </w:t>
      </w:r>
      <w:r w:rsidRPr="00AC4F02">
        <w:rPr>
          <w:i/>
          <w:iCs/>
          <w:color w:val="0070C0"/>
        </w:rPr>
        <w:t>only</w:t>
      </w:r>
      <w:r w:rsidRPr="00AC4F02">
        <w:rPr>
          <w:color w:val="0070C0"/>
        </w:rPr>
        <w:t xml:space="preserve"> </w:t>
      </w:r>
      <w:r w:rsidRPr="003D6E92">
        <w:t>counter not affected by CPU frequency scaling and hyper threading. It does not check how fast it runs (frequency)</w:t>
      </w:r>
      <w:r>
        <w:t xml:space="preserve"> or how efficient it runs (SMT).</w:t>
      </w:r>
    </w:p>
    <w:p w14:paraId="3285D48C" w14:textId="77777777" w:rsidR="00FF0111" w:rsidRPr="003D6E92" w:rsidRDefault="00FF0111" w:rsidP="00D400E7">
      <w:pPr>
        <w:pStyle w:val="Code"/>
      </w:pPr>
      <w:r w:rsidRPr="003D6E92">
        <w:t>Run at VM level = Sum of Run at vCPU levels</w:t>
      </w:r>
    </w:p>
    <w:p w14:paraId="5337D613" w14:textId="77777777" w:rsidR="00FF0111" w:rsidRDefault="00FF0111" w:rsidP="00D400E7">
      <w:r>
        <w:t xml:space="preserve">This means the value of CPU Run at VM level can exceed 20000 ms in vCenter. </w:t>
      </w:r>
    </w:p>
    <w:p w14:paraId="201C813A" w14:textId="77777777" w:rsidR="00FF0111" w:rsidRDefault="00FF0111" w:rsidP="00D400E7">
      <w:r>
        <w:t xml:space="preserve">The following screenshot shows CPU Run higher than </w:t>
      </w:r>
      <w:hyperlink w:anchor="_Used_|_Usage">
        <w:r w:rsidRPr="75ACB272">
          <w:rPr>
            <w:rStyle w:val="Hyperlink"/>
          </w:rPr>
          <w:t>CPU Used</w:t>
        </w:r>
      </w:hyperlink>
      <w:r>
        <w:t>. We can’t tell if the difference is caused by power management or hyperthreading, or mix of both.</w:t>
      </w:r>
    </w:p>
    <w:p w14:paraId="00965E3F" w14:textId="77777777" w:rsidR="00FF0111" w:rsidRPr="003D6E92" w:rsidRDefault="00FF0111" w:rsidP="00D400E7">
      <w:r>
        <w:rPr>
          <w:noProof/>
        </w:rPr>
        <w:lastRenderedPageBreak/>
        <w:drawing>
          <wp:inline distT="0" distB="0" distL="0" distR="0" wp14:anchorId="72FF0C9D" wp14:editId="3D93E3EA">
            <wp:extent cx="6645910" cy="2945130"/>
            <wp:effectExtent l="0" t="0" r="2540" b="7620"/>
            <wp:docPr id="606394180" name="Picture 6063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80"/>
                    <pic:cNvPicPr/>
                  </pic:nvPicPr>
                  <pic:blipFill>
                    <a:blip r:embed="rId510" cstate="print">
                      <a:extLst>
                        <a:ext uri="{28A0092B-C50C-407E-A947-70E740481C1C}">
                          <a14:useLocalDpi xmlns:a14="http://schemas.microsoft.com/office/drawing/2010/main" val="0"/>
                        </a:ext>
                      </a:extLst>
                    </a:blip>
                    <a:stretch>
                      <a:fillRect/>
                    </a:stretch>
                  </pic:blipFill>
                  <pic:spPr>
                    <a:xfrm>
                      <a:off x="0" y="0"/>
                      <a:ext cx="6645910" cy="2945130"/>
                    </a:xfrm>
                    <a:prstGeom prst="rect">
                      <a:avLst/>
                    </a:prstGeom>
                  </pic:spPr>
                </pic:pic>
              </a:graphicData>
            </a:graphic>
          </wp:inline>
        </w:drawing>
      </w:r>
    </w:p>
    <w:p w14:paraId="23AA5800" w14:textId="77777777" w:rsidR="00FF0111" w:rsidRPr="003D6E92" w:rsidRDefault="00FF0111" w:rsidP="00D400E7">
      <w:pPr>
        <w:rPr>
          <w:lang w:eastAsia="en-SG"/>
        </w:rPr>
      </w:pPr>
      <w:r w:rsidRPr="003D6E92">
        <w:rPr>
          <w:lang w:eastAsia="en-SG"/>
        </w:rPr>
        <w:t xml:space="preserve">If the above was all we need to know, monitoring VMware vSphere would have been easy. You wouldn’t need a book like this. In reality, the following factors must </w:t>
      </w:r>
      <w:r>
        <w:rPr>
          <w:lang w:eastAsia="en-SG"/>
        </w:rPr>
        <w:t xml:space="preserve">also </w:t>
      </w:r>
      <w:r w:rsidRPr="003D6E92">
        <w:rPr>
          <w:lang w:eastAsia="en-SG"/>
        </w:rPr>
        <w:t>be considered:</w:t>
      </w:r>
    </w:p>
    <w:p w14:paraId="58FECBEB" w14:textId="77777777" w:rsidR="00FF0111" w:rsidRPr="003D6E92" w:rsidRDefault="00FF0111" w:rsidP="00D400E7">
      <w:pPr>
        <w:pStyle w:val="Bullet"/>
        <w:rPr>
          <w:lang w:eastAsia="en-SG"/>
        </w:rPr>
      </w:pPr>
      <w:r w:rsidRPr="003D6E92">
        <w:rPr>
          <w:lang w:eastAsia="en-SG"/>
        </w:rPr>
        <w:t>Interrupt</w:t>
      </w:r>
    </w:p>
    <w:p w14:paraId="41E1EC7F" w14:textId="77777777" w:rsidR="00FF0111" w:rsidRPr="003D6E92" w:rsidRDefault="00FF0111" w:rsidP="00D400E7">
      <w:pPr>
        <w:pStyle w:val="Bullet"/>
        <w:rPr>
          <w:lang w:eastAsia="en-SG"/>
        </w:rPr>
      </w:pPr>
      <w:r w:rsidRPr="003D6E92">
        <w:rPr>
          <w:lang w:eastAsia="en-SG"/>
        </w:rPr>
        <w:t>System time</w:t>
      </w:r>
    </w:p>
    <w:p w14:paraId="133A9882" w14:textId="77777777" w:rsidR="00FF0111" w:rsidRPr="003D6E92" w:rsidRDefault="00FF0111" w:rsidP="00D400E7">
      <w:pPr>
        <w:pStyle w:val="Bullet"/>
        <w:rPr>
          <w:lang w:eastAsia="en-SG"/>
        </w:rPr>
      </w:pPr>
      <w:r w:rsidRPr="003D6E92">
        <w:rPr>
          <w:lang w:eastAsia="en-SG"/>
        </w:rPr>
        <w:t>Power Management or CPU Frequency Scaling</w:t>
      </w:r>
    </w:p>
    <w:p w14:paraId="49F97AEF" w14:textId="77777777" w:rsidR="00FF0111" w:rsidRPr="003D6E92" w:rsidRDefault="00FF0111" w:rsidP="00D400E7">
      <w:pPr>
        <w:pStyle w:val="Bullet"/>
        <w:rPr>
          <w:lang w:eastAsia="en-SG"/>
        </w:rPr>
      </w:pPr>
      <w:r w:rsidRPr="003D6E92">
        <w:t>Simultaneous Multithreading</w:t>
      </w:r>
      <w:r w:rsidRPr="003D6E92">
        <w:rPr>
          <w:lang w:eastAsia="en-SG"/>
        </w:rPr>
        <w:t xml:space="preserve"> (Hyper Threading as Intel calls it)</w:t>
      </w:r>
    </w:p>
    <w:p w14:paraId="02EDF626" w14:textId="77777777" w:rsidR="00FF0111" w:rsidRPr="003D6E92" w:rsidRDefault="00FF0111" w:rsidP="00D400E7">
      <w:r w:rsidRPr="003D6E92">
        <w:t xml:space="preserve">Because CPU Run do not take into account this external work, and not aware of CPU speed and HT, we will see </w:t>
      </w:r>
      <w:hyperlink w:anchor="_Use_Case:_Rightsize" w:history="1">
        <w:r w:rsidRPr="003D6E92">
          <w:rPr>
            <w:rStyle w:val="Hyperlink"/>
          </w:rPr>
          <w:t xml:space="preserve">later in the right-sizing </w:t>
        </w:r>
      </w:hyperlink>
      <w:r w:rsidRPr="003D6E92">
        <w:t xml:space="preserve">section that this property makes it </w:t>
      </w:r>
      <w:r w:rsidRPr="003D6E92">
        <w:rPr>
          <w:i/>
          <w:iCs/>
          <w:color w:val="0070C0"/>
        </w:rPr>
        <w:t>suitable</w:t>
      </w:r>
      <w:r w:rsidRPr="003D6E92">
        <w:rPr>
          <w:color w:val="0070C0"/>
        </w:rPr>
        <w:t xml:space="preserve"> </w:t>
      </w:r>
      <w:r w:rsidRPr="003D6E92">
        <w:t>as input to size the Guest OS.</w:t>
      </w:r>
    </w:p>
    <w:p w14:paraId="11D0B28E" w14:textId="77777777" w:rsidR="00FF0111" w:rsidRPr="001B226D" w:rsidRDefault="00FF0111" w:rsidP="00D400E7">
      <w:pPr>
        <w:pStyle w:val="Heading5"/>
      </w:pPr>
      <w:bookmarkStart w:id="90" w:name="_Overlap"/>
      <w:bookmarkStart w:id="91" w:name="_Used_|_Usage"/>
      <w:bookmarkEnd w:id="90"/>
      <w:bookmarkEnd w:id="91"/>
      <w:r w:rsidRPr="001B226D">
        <w:t xml:space="preserve">Used | Usage | Demand </w:t>
      </w:r>
    </w:p>
    <w:p w14:paraId="0E5EBE17" w14:textId="77777777" w:rsidR="00FF0111" w:rsidRPr="001B226D" w:rsidRDefault="00FF0111" w:rsidP="00D400E7">
      <w:pPr>
        <w:rPr>
          <w:lang w:val="en-GB"/>
        </w:rPr>
      </w:pPr>
      <w:r>
        <w:rPr>
          <w:lang w:val="en-GB"/>
        </w:rPr>
        <w:t xml:space="preserve">As covered earlier, </w:t>
      </w:r>
      <w:r w:rsidRPr="001B226D">
        <w:rPr>
          <w:lang w:val="en-GB"/>
        </w:rPr>
        <w:t xml:space="preserve">CPU Run </w:t>
      </w:r>
      <w:r>
        <w:rPr>
          <w:lang w:val="en-GB"/>
        </w:rPr>
        <w:t xml:space="preserve">does not account </w:t>
      </w:r>
      <w:r w:rsidRPr="001B226D">
        <w:rPr>
          <w:lang w:val="en-GB"/>
        </w:rPr>
        <w:t>for the following:</w:t>
      </w:r>
    </w:p>
    <w:p w14:paraId="63AF3D4A" w14:textId="77777777" w:rsidR="00FF0111" w:rsidRPr="001B226D" w:rsidRDefault="00FF0111" w:rsidP="00D400E7">
      <w:pPr>
        <w:pStyle w:val="Bullet"/>
        <w:rPr>
          <w:lang w:val="en-GB"/>
        </w:rPr>
      </w:pPr>
      <w:r w:rsidRPr="001B226D">
        <w:rPr>
          <w:lang w:val="en-GB"/>
        </w:rPr>
        <w:t xml:space="preserve">How fast is the </w:t>
      </w:r>
      <w:r>
        <w:rPr>
          <w:lang w:val="en-GB"/>
        </w:rPr>
        <w:t>“</w:t>
      </w:r>
      <w:r w:rsidRPr="00273B0F">
        <w:rPr>
          <w:color w:val="00B0F0"/>
          <w:lang w:val="en-GB"/>
        </w:rPr>
        <w:t>run</w:t>
      </w:r>
      <w:r>
        <w:rPr>
          <w:lang w:val="en-GB"/>
        </w:rPr>
        <w:t>”</w:t>
      </w:r>
      <w:r w:rsidRPr="001B226D">
        <w:rPr>
          <w:lang w:val="en-GB"/>
        </w:rPr>
        <w:t xml:space="preserve">? All else being equal, a 5 GHz CPU is 5x faster than a 1 GHz CPU. Throughput impacts utilization. The faster it can complete a task, the shorter it has to work. That’s why you see some </w:t>
      </w:r>
      <w:r>
        <w:rPr>
          <w:lang w:val="en-GB"/>
        </w:rPr>
        <w:t>metrics</w:t>
      </w:r>
      <w:r w:rsidRPr="001B226D">
        <w:rPr>
          <w:lang w:val="en-GB"/>
        </w:rPr>
        <w:t xml:space="preserve"> in MHz</w:t>
      </w:r>
      <w:r>
        <w:rPr>
          <w:lang w:val="en-GB"/>
        </w:rPr>
        <w:t>, because they account for this speed.</w:t>
      </w:r>
    </w:p>
    <w:p w14:paraId="54CF1DEB" w14:textId="77777777" w:rsidR="00FF0111" w:rsidRPr="001B226D" w:rsidRDefault="00FF0111" w:rsidP="00D400E7">
      <w:pPr>
        <w:pStyle w:val="Bullet"/>
        <w:rPr>
          <w:lang w:val="en-GB"/>
        </w:rPr>
      </w:pPr>
      <w:r w:rsidRPr="001B226D">
        <w:rPr>
          <w:lang w:val="en-GB"/>
        </w:rPr>
        <w:t xml:space="preserve">How efficient is the </w:t>
      </w:r>
      <w:r>
        <w:rPr>
          <w:lang w:val="en-GB"/>
        </w:rPr>
        <w:t>“</w:t>
      </w:r>
      <w:r w:rsidRPr="000D0292">
        <w:rPr>
          <w:color w:val="00B0F0"/>
          <w:lang w:val="en-GB"/>
        </w:rPr>
        <w:t>run</w:t>
      </w:r>
      <w:r>
        <w:rPr>
          <w:lang w:val="en-GB"/>
        </w:rPr>
        <w:t>”</w:t>
      </w:r>
      <w:r w:rsidRPr="001B226D">
        <w:rPr>
          <w:lang w:val="en-GB"/>
        </w:rPr>
        <w:t xml:space="preserve">? If there is competing thread running in the same core, the 2 threads have to share the core resource. ESXi accounting records this as 1.25x overall gain, hence each thread drops to 62.5% only. This is a significant drop that </w:t>
      </w:r>
      <w:r>
        <w:rPr>
          <w:lang w:val="en-GB"/>
        </w:rPr>
        <w:t>should be a</w:t>
      </w:r>
      <w:r w:rsidRPr="001B226D">
        <w:rPr>
          <w:lang w:val="en-GB"/>
        </w:rPr>
        <w:t xml:space="preserve">ccounted. </w:t>
      </w:r>
    </w:p>
    <w:p w14:paraId="28BB98A3" w14:textId="528EB904" w:rsidR="00FF0111" w:rsidRPr="001B226D" w:rsidRDefault="00FF0111" w:rsidP="00D400E7">
      <w:pPr>
        <w:pStyle w:val="Bullet"/>
        <w:rPr>
          <w:lang w:val="en-GB"/>
        </w:rPr>
      </w:pPr>
      <w:r w:rsidRPr="001B226D">
        <w:rPr>
          <w:lang w:val="en-GB"/>
        </w:rPr>
        <w:t xml:space="preserve">IO work. IO performed by hypervisor has to be charged </w:t>
      </w:r>
      <w:r w:rsidR="00556B22">
        <w:rPr>
          <w:lang w:val="en-GB"/>
        </w:rPr>
        <w:t xml:space="preserve">back </w:t>
      </w:r>
      <w:r w:rsidRPr="001B226D">
        <w:rPr>
          <w:lang w:val="en-GB"/>
        </w:rPr>
        <w:t>to the VM.</w:t>
      </w:r>
    </w:p>
    <w:p w14:paraId="3FDB7E01" w14:textId="77777777" w:rsidR="00FF0111" w:rsidRDefault="00FF0111" w:rsidP="00D400E7">
      <w:pPr>
        <w:rPr>
          <w:lang w:val="en-GB"/>
        </w:rPr>
      </w:pPr>
      <w:r w:rsidRPr="001B226D">
        <w:rPr>
          <w:lang w:val="en-GB"/>
        </w:rPr>
        <w:t xml:space="preserve">This is where Used and </w:t>
      </w:r>
      <w:hyperlink w:anchor="_VM_Demand" w:history="1">
        <w:r w:rsidRPr="001B226D">
          <w:rPr>
            <w:rStyle w:val="Hyperlink"/>
            <w:lang w:val="en-GB"/>
          </w:rPr>
          <w:t>Demand</w:t>
        </w:r>
      </w:hyperlink>
      <w:r w:rsidRPr="001B226D">
        <w:rPr>
          <w:lang w:val="en-GB"/>
        </w:rPr>
        <w:t xml:space="preserve"> come in. vCenter then adds Usage (MHz) and Usage (%) </w:t>
      </w:r>
      <w:r>
        <w:rPr>
          <w:lang w:val="en-GB"/>
        </w:rPr>
        <w:t>metrics</w:t>
      </w:r>
      <w:r w:rsidRPr="001B226D">
        <w:rPr>
          <w:lang w:val="en-GB"/>
        </w:rPr>
        <w:t xml:space="preserve">. The following table shows the 5 VM utilization </w:t>
      </w:r>
      <w:r>
        <w:rPr>
          <w:lang w:val="en-GB"/>
        </w:rPr>
        <w:t>metrics</w:t>
      </w:r>
      <w:r w:rsidRPr="001B226D">
        <w:rPr>
          <w:lang w:val="en-GB"/>
        </w:rPr>
        <w:t>.</w:t>
      </w:r>
    </w:p>
    <w:p w14:paraId="627DCF91" w14:textId="77777777" w:rsidR="00FF0111" w:rsidRPr="001B226D" w:rsidRDefault="00FF0111" w:rsidP="00D400E7">
      <w:pPr>
        <w:pStyle w:val="BeforeTable"/>
        <w:rPr>
          <w:lang w:val="en-GB"/>
        </w:rPr>
      </w:pPr>
    </w:p>
    <w:tbl>
      <w:tblPr>
        <w:tblStyle w:val="GridTable1Light-Accent5"/>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129"/>
        <w:gridCol w:w="2835"/>
        <w:gridCol w:w="1701"/>
        <w:gridCol w:w="1560"/>
        <w:gridCol w:w="1984"/>
        <w:gridCol w:w="1247"/>
      </w:tblGrid>
      <w:tr w:rsidR="00FF0111" w:rsidRPr="00E51A31" w14:paraId="5312EB0F" w14:textId="77777777" w:rsidTr="002813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129" w:type="dxa"/>
          </w:tcPr>
          <w:p w14:paraId="0F90DA66" w14:textId="77777777" w:rsidR="00FF0111" w:rsidRPr="00284FE3" w:rsidRDefault="00FF0111" w:rsidP="00D400E7">
            <w:pPr>
              <w:pStyle w:val="Tableheading"/>
              <w:rPr>
                <w:b/>
                <w:bCs w:val="0"/>
              </w:rPr>
            </w:pPr>
            <w:r w:rsidRPr="00284FE3">
              <w:rPr>
                <w:b/>
                <w:bCs w:val="0"/>
              </w:rPr>
              <w:t>Counter</w:t>
            </w:r>
          </w:p>
        </w:tc>
        <w:tc>
          <w:tcPr>
            <w:tcW w:w="2835" w:type="dxa"/>
          </w:tcPr>
          <w:p w14:paraId="43174409" w14:textId="77777777" w:rsidR="00FF0111" w:rsidRPr="00284FE3" w:rsidRDefault="00FF0111" w:rsidP="00D400E7">
            <w:pPr>
              <w:pStyle w:val="Tableheading"/>
              <w:cnfStyle w:val="100000000000" w:firstRow="1" w:lastRow="0" w:firstColumn="0" w:lastColumn="0" w:oddVBand="0" w:evenVBand="0" w:oddHBand="0" w:evenHBand="0" w:firstRowFirstColumn="0" w:firstRowLastColumn="0" w:lastRowFirstColumn="0" w:lastRowLastColumn="0"/>
              <w:rPr>
                <w:b/>
                <w:bCs w:val="0"/>
              </w:rPr>
            </w:pPr>
            <w:r w:rsidRPr="00284FE3">
              <w:rPr>
                <w:b/>
                <w:bCs w:val="0"/>
              </w:rPr>
              <w:t>Available at</w:t>
            </w:r>
          </w:p>
        </w:tc>
        <w:tc>
          <w:tcPr>
            <w:tcW w:w="1701" w:type="dxa"/>
          </w:tcPr>
          <w:p w14:paraId="6E99E3F6" w14:textId="77777777" w:rsidR="00FF0111" w:rsidRPr="00284FE3" w:rsidRDefault="00FF0111" w:rsidP="00D400E7">
            <w:pPr>
              <w:pStyle w:val="Tableheading"/>
              <w:cnfStyle w:val="100000000000" w:firstRow="1" w:lastRow="0" w:firstColumn="0" w:lastColumn="0" w:oddVBand="0" w:evenVBand="0" w:oddHBand="0" w:evenHBand="0" w:firstRowFirstColumn="0" w:firstRowLastColumn="0" w:lastRowFirstColumn="0" w:lastRowLastColumn="0"/>
              <w:rPr>
                <w:b/>
                <w:bCs w:val="0"/>
              </w:rPr>
            </w:pPr>
            <w:r w:rsidRPr="00284FE3">
              <w:rPr>
                <w:b/>
                <w:bCs w:val="0"/>
              </w:rPr>
              <w:t>Unit</w:t>
            </w:r>
          </w:p>
        </w:tc>
        <w:tc>
          <w:tcPr>
            <w:tcW w:w="1560" w:type="dxa"/>
          </w:tcPr>
          <w:p w14:paraId="20CB3447" w14:textId="77777777" w:rsidR="00FF0111" w:rsidRPr="00284FE3" w:rsidRDefault="00FF0111" w:rsidP="00D400E7">
            <w:pPr>
              <w:pStyle w:val="Tableheading"/>
              <w:cnfStyle w:val="100000000000" w:firstRow="1" w:lastRow="0" w:firstColumn="0" w:lastColumn="0" w:oddVBand="0" w:evenVBand="0" w:oddHBand="0" w:evenHBand="0" w:firstRowFirstColumn="0" w:firstRowLastColumn="0" w:lastRowFirstColumn="0" w:lastRowLastColumn="0"/>
              <w:rPr>
                <w:b/>
                <w:bCs w:val="0"/>
              </w:rPr>
            </w:pPr>
            <w:r w:rsidRPr="00284FE3">
              <w:rPr>
                <w:b/>
                <w:bCs w:val="0"/>
              </w:rPr>
              <w:t>Source</w:t>
            </w:r>
          </w:p>
        </w:tc>
        <w:tc>
          <w:tcPr>
            <w:tcW w:w="1984" w:type="dxa"/>
          </w:tcPr>
          <w:p w14:paraId="2EA14E74" w14:textId="77777777" w:rsidR="00FF0111" w:rsidRPr="00284FE3" w:rsidRDefault="00FF0111" w:rsidP="00D400E7">
            <w:pPr>
              <w:pStyle w:val="Tableheading"/>
              <w:cnfStyle w:val="100000000000" w:firstRow="1" w:lastRow="0" w:firstColumn="0" w:lastColumn="0" w:oddVBand="0" w:evenVBand="0" w:oddHBand="0" w:evenHBand="0" w:firstRowFirstColumn="0" w:firstRowLastColumn="0" w:lastRowFirstColumn="0" w:lastRowLastColumn="0"/>
              <w:rPr>
                <w:b/>
                <w:bCs w:val="0"/>
              </w:rPr>
            </w:pPr>
            <w:r w:rsidRPr="00284FE3">
              <w:rPr>
                <w:b/>
                <w:bCs w:val="0"/>
              </w:rPr>
              <w:t>CPU Frequency</w:t>
            </w:r>
          </w:p>
        </w:tc>
        <w:tc>
          <w:tcPr>
            <w:tcW w:w="1247" w:type="dxa"/>
          </w:tcPr>
          <w:p w14:paraId="7D4B76A1" w14:textId="77777777" w:rsidR="00FF0111" w:rsidRPr="00284FE3" w:rsidRDefault="00FF0111" w:rsidP="00D400E7">
            <w:pPr>
              <w:pStyle w:val="Tableheading"/>
              <w:cnfStyle w:val="100000000000" w:firstRow="1" w:lastRow="0" w:firstColumn="0" w:lastColumn="0" w:oddVBand="0" w:evenVBand="0" w:oddHBand="0" w:evenHBand="0" w:firstRowFirstColumn="0" w:firstRowLastColumn="0" w:lastRowFirstColumn="0" w:lastRowLastColumn="0"/>
              <w:rPr>
                <w:b/>
                <w:bCs w:val="0"/>
              </w:rPr>
            </w:pPr>
            <w:r w:rsidRPr="00284FE3">
              <w:rPr>
                <w:b/>
                <w:bCs w:val="0"/>
              </w:rPr>
              <w:t>SMT</w:t>
            </w:r>
          </w:p>
        </w:tc>
      </w:tr>
      <w:tr w:rsidR="00FF0111" w:rsidRPr="00E51A31" w14:paraId="61A1773A" w14:textId="77777777" w:rsidTr="00281329">
        <w:tc>
          <w:tcPr>
            <w:cnfStyle w:val="001000000000" w:firstRow="0" w:lastRow="0" w:firstColumn="1" w:lastColumn="0" w:oddVBand="0" w:evenVBand="0" w:oddHBand="0" w:evenHBand="0" w:firstRowFirstColumn="0" w:firstRowLastColumn="0" w:lastRowFirstColumn="0" w:lastRowLastColumn="0"/>
            <w:tcW w:w="1129" w:type="dxa"/>
          </w:tcPr>
          <w:p w14:paraId="17D07FEF" w14:textId="77777777" w:rsidR="00FF0111" w:rsidRPr="00A452F2" w:rsidRDefault="00FF0111" w:rsidP="00D400E7">
            <w:pPr>
              <w:pStyle w:val="Tablecontent"/>
              <w:rPr>
                <w:lang w:val="en-GB"/>
              </w:rPr>
            </w:pPr>
            <w:r w:rsidRPr="00A452F2">
              <w:rPr>
                <w:lang w:val="en-GB"/>
              </w:rPr>
              <w:t>Run</w:t>
            </w:r>
          </w:p>
        </w:tc>
        <w:tc>
          <w:tcPr>
            <w:tcW w:w="2835" w:type="dxa"/>
          </w:tcPr>
          <w:p w14:paraId="34C8B35D"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vCPU level</w:t>
            </w:r>
          </w:p>
        </w:tc>
        <w:tc>
          <w:tcPr>
            <w:tcW w:w="1701" w:type="dxa"/>
          </w:tcPr>
          <w:p w14:paraId="1295D1D3"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 xml:space="preserve">Millisecond </w:t>
            </w:r>
          </w:p>
        </w:tc>
        <w:tc>
          <w:tcPr>
            <w:tcW w:w="1560" w:type="dxa"/>
          </w:tcPr>
          <w:p w14:paraId="189F59BB"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ESXi</w:t>
            </w:r>
          </w:p>
        </w:tc>
        <w:tc>
          <w:tcPr>
            <w:tcW w:w="1984" w:type="dxa"/>
          </w:tcPr>
          <w:p w14:paraId="344218C0"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No</w:t>
            </w:r>
          </w:p>
        </w:tc>
        <w:tc>
          <w:tcPr>
            <w:tcW w:w="1247" w:type="dxa"/>
          </w:tcPr>
          <w:p w14:paraId="66BC51F8"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No</w:t>
            </w:r>
          </w:p>
        </w:tc>
      </w:tr>
      <w:tr w:rsidR="00FF0111" w:rsidRPr="00E51A31" w14:paraId="1AFBC48A" w14:textId="77777777" w:rsidTr="00281329">
        <w:tc>
          <w:tcPr>
            <w:cnfStyle w:val="001000000000" w:firstRow="0" w:lastRow="0" w:firstColumn="1" w:lastColumn="0" w:oddVBand="0" w:evenVBand="0" w:oddHBand="0" w:evenHBand="0" w:firstRowFirstColumn="0" w:firstRowLastColumn="0" w:lastRowFirstColumn="0" w:lastRowLastColumn="0"/>
            <w:tcW w:w="1129" w:type="dxa"/>
          </w:tcPr>
          <w:p w14:paraId="0A67C7A3" w14:textId="77777777" w:rsidR="00FF0111" w:rsidRPr="00A452F2" w:rsidRDefault="00FF0111" w:rsidP="00D400E7">
            <w:pPr>
              <w:pStyle w:val="Tablecontent"/>
              <w:rPr>
                <w:lang w:val="en-GB"/>
              </w:rPr>
            </w:pPr>
            <w:r w:rsidRPr="00A452F2">
              <w:rPr>
                <w:lang w:val="en-GB"/>
              </w:rPr>
              <w:t>Used</w:t>
            </w:r>
          </w:p>
        </w:tc>
        <w:tc>
          <w:tcPr>
            <w:tcW w:w="2835" w:type="dxa"/>
          </w:tcPr>
          <w:p w14:paraId="4A626A57"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vCPU level</w:t>
            </w:r>
          </w:p>
          <w:p w14:paraId="3C96794D"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lastRenderedPageBreak/>
              <w:t>VM level (include System)</w:t>
            </w:r>
          </w:p>
        </w:tc>
        <w:tc>
          <w:tcPr>
            <w:tcW w:w="1701" w:type="dxa"/>
          </w:tcPr>
          <w:p w14:paraId="73B855D0"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lastRenderedPageBreak/>
              <w:t>Millisecond</w:t>
            </w:r>
          </w:p>
        </w:tc>
        <w:tc>
          <w:tcPr>
            <w:tcW w:w="1560" w:type="dxa"/>
          </w:tcPr>
          <w:p w14:paraId="01C0FA69"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ESXi</w:t>
            </w:r>
          </w:p>
        </w:tc>
        <w:tc>
          <w:tcPr>
            <w:tcW w:w="1984" w:type="dxa"/>
          </w:tcPr>
          <w:p w14:paraId="63534CB5"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Yes</w:t>
            </w:r>
          </w:p>
        </w:tc>
        <w:tc>
          <w:tcPr>
            <w:tcW w:w="1247" w:type="dxa"/>
          </w:tcPr>
          <w:p w14:paraId="0DB2AF4D"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Yes</w:t>
            </w:r>
          </w:p>
        </w:tc>
      </w:tr>
      <w:tr w:rsidR="00FF0111" w:rsidRPr="00E51A31" w14:paraId="4BAF5D11" w14:textId="77777777" w:rsidTr="00281329">
        <w:tc>
          <w:tcPr>
            <w:cnfStyle w:val="001000000000" w:firstRow="0" w:lastRow="0" w:firstColumn="1" w:lastColumn="0" w:oddVBand="0" w:evenVBand="0" w:oddHBand="0" w:evenHBand="0" w:firstRowFirstColumn="0" w:firstRowLastColumn="0" w:lastRowFirstColumn="0" w:lastRowLastColumn="0"/>
            <w:tcW w:w="1129" w:type="dxa"/>
          </w:tcPr>
          <w:p w14:paraId="47AF9203" w14:textId="77777777" w:rsidR="00FF0111" w:rsidRPr="00A452F2" w:rsidRDefault="00FF0111" w:rsidP="00D400E7">
            <w:pPr>
              <w:pStyle w:val="Tablecontent"/>
              <w:rPr>
                <w:lang w:val="en-GB"/>
              </w:rPr>
            </w:pPr>
            <w:r w:rsidRPr="00A452F2">
              <w:rPr>
                <w:lang w:val="en-GB"/>
              </w:rPr>
              <w:t>Usage</w:t>
            </w:r>
          </w:p>
        </w:tc>
        <w:tc>
          <w:tcPr>
            <w:tcW w:w="2835" w:type="dxa"/>
          </w:tcPr>
          <w:p w14:paraId="3581598D"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vCPU level</w:t>
            </w:r>
          </w:p>
        </w:tc>
        <w:tc>
          <w:tcPr>
            <w:tcW w:w="1701" w:type="dxa"/>
          </w:tcPr>
          <w:p w14:paraId="3E55559B"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MHz</w:t>
            </w:r>
          </w:p>
        </w:tc>
        <w:tc>
          <w:tcPr>
            <w:tcW w:w="1560" w:type="dxa"/>
          </w:tcPr>
          <w:p w14:paraId="6AC1FDE9"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vCenter</w:t>
            </w:r>
          </w:p>
        </w:tc>
        <w:tc>
          <w:tcPr>
            <w:tcW w:w="1984" w:type="dxa"/>
          </w:tcPr>
          <w:p w14:paraId="2F36D559"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Yes</w:t>
            </w:r>
          </w:p>
        </w:tc>
        <w:tc>
          <w:tcPr>
            <w:tcW w:w="1247" w:type="dxa"/>
          </w:tcPr>
          <w:p w14:paraId="65A37AEA"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Yes</w:t>
            </w:r>
          </w:p>
        </w:tc>
      </w:tr>
      <w:tr w:rsidR="00FF0111" w:rsidRPr="00E51A31" w14:paraId="6B89F749" w14:textId="77777777" w:rsidTr="00281329">
        <w:tc>
          <w:tcPr>
            <w:cnfStyle w:val="001000000000" w:firstRow="0" w:lastRow="0" w:firstColumn="1" w:lastColumn="0" w:oddVBand="0" w:evenVBand="0" w:oddHBand="0" w:evenHBand="0" w:firstRowFirstColumn="0" w:firstRowLastColumn="0" w:lastRowFirstColumn="0" w:lastRowLastColumn="0"/>
            <w:tcW w:w="1129" w:type="dxa"/>
          </w:tcPr>
          <w:p w14:paraId="21922AE5" w14:textId="77777777" w:rsidR="00FF0111" w:rsidRPr="00A452F2" w:rsidRDefault="00FF0111" w:rsidP="00D400E7">
            <w:pPr>
              <w:pStyle w:val="Tablecontent"/>
              <w:rPr>
                <w:lang w:val="en-GB"/>
              </w:rPr>
            </w:pPr>
            <w:r w:rsidRPr="00A452F2">
              <w:rPr>
                <w:lang w:val="en-GB"/>
              </w:rPr>
              <w:t>Usage</w:t>
            </w:r>
          </w:p>
        </w:tc>
        <w:tc>
          <w:tcPr>
            <w:tcW w:w="2835" w:type="dxa"/>
          </w:tcPr>
          <w:p w14:paraId="7F84653C"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VM level</w:t>
            </w:r>
          </w:p>
        </w:tc>
        <w:tc>
          <w:tcPr>
            <w:tcW w:w="1701" w:type="dxa"/>
          </w:tcPr>
          <w:p w14:paraId="152CAB08"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w:t>
            </w:r>
          </w:p>
        </w:tc>
        <w:tc>
          <w:tcPr>
            <w:tcW w:w="1560" w:type="dxa"/>
          </w:tcPr>
          <w:p w14:paraId="6DAA0BAC"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vCenter</w:t>
            </w:r>
          </w:p>
        </w:tc>
        <w:tc>
          <w:tcPr>
            <w:tcW w:w="1984" w:type="dxa"/>
          </w:tcPr>
          <w:p w14:paraId="2F8EC769"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Yes</w:t>
            </w:r>
          </w:p>
        </w:tc>
        <w:tc>
          <w:tcPr>
            <w:tcW w:w="1247" w:type="dxa"/>
          </w:tcPr>
          <w:p w14:paraId="1384DFCA"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Yes</w:t>
            </w:r>
          </w:p>
        </w:tc>
      </w:tr>
      <w:tr w:rsidR="00FF0111" w:rsidRPr="00E51A31" w14:paraId="50A4C90D" w14:textId="77777777" w:rsidTr="00281329">
        <w:tc>
          <w:tcPr>
            <w:cnfStyle w:val="001000000000" w:firstRow="0" w:lastRow="0" w:firstColumn="1" w:lastColumn="0" w:oddVBand="0" w:evenVBand="0" w:oddHBand="0" w:evenHBand="0" w:firstRowFirstColumn="0" w:firstRowLastColumn="0" w:lastRowFirstColumn="0" w:lastRowLastColumn="0"/>
            <w:tcW w:w="1129" w:type="dxa"/>
          </w:tcPr>
          <w:p w14:paraId="26E0A07C" w14:textId="77777777" w:rsidR="00FF0111" w:rsidRPr="00A452F2" w:rsidRDefault="00FF0111" w:rsidP="00D400E7">
            <w:pPr>
              <w:pStyle w:val="Tablecontent"/>
              <w:rPr>
                <w:lang w:val="en-GB"/>
              </w:rPr>
            </w:pPr>
            <w:r w:rsidRPr="00A452F2">
              <w:rPr>
                <w:lang w:val="en-GB"/>
              </w:rPr>
              <w:t>Demand</w:t>
            </w:r>
          </w:p>
        </w:tc>
        <w:tc>
          <w:tcPr>
            <w:tcW w:w="2835" w:type="dxa"/>
          </w:tcPr>
          <w:p w14:paraId="12797D5B"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VM level</w:t>
            </w:r>
          </w:p>
        </w:tc>
        <w:tc>
          <w:tcPr>
            <w:tcW w:w="1701" w:type="dxa"/>
          </w:tcPr>
          <w:p w14:paraId="59CACA66"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MHz</w:t>
            </w:r>
          </w:p>
        </w:tc>
        <w:tc>
          <w:tcPr>
            <w:tcW w:w="1560" w:type="dxa"/>
          </w:tcPr>
          <w:p w14:paraId="53C389B0"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ESXi</w:t>
            </w:r>
          </w:p>
        </w:tc>
        <w:tc>
          <w:tcPr>
            <w:tcW w:w="1984" w:type="dxa"/>
          </w:tcPr>
          <w:p w14:paraId="0F860E97"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Yes</w:t>
            </w:r>
          </w:p>
        </w:tc>
        <w:tc>
          <w:tcPr>
            <w:tcW w:w="1247" w:type="dxa"/>
          </w:tcPr>
          <w:p w14:paraId="24EA6EAE" w14:textId="77777777" w:rsidR="00FF0111" w:rsidRPr="00A452F2" w:rsidRDefault="00FF0111" w:rsidP="00D400E7">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No</w:t>
            </w:r>
          </w:p>
        </w:tc>
      </w:tr>
    </w:tbl>
    <w:p w14:paraId="5CC1C845" w14:textId="77777777" w:rsidR="00FF0111" w:rsidRPr="00A452F2" w:rsidRDefault="00FF0111" w:rsidP="00D400E7">
      <w:pPr>
        <w:pStyle w:val="Heading5"/>
      </w:pPr>
      <w:r w:rsidRPr="00A452F2">
        <w:t>Used</w:t>
      </w:r>
    </w:p>
    <w:p w14:paraId="112CE306" w14:textId="77777777" w:rsidR="00FF0111" w:rsidRPr="00A452F2" w:rsidRDefault="00FF0111" w:rsidP="00D400E7">
      <w:pPr>
        <w:rPr>
          <w:lang w:val="en-GB"/>
        </w:rPr>
      </w:pPr>
      <w:r w:rsidRPr="00A452F2">
        <w:rPr>
          <w:lang w:val="en-GB"/>
        </w:rPr>
        <w:t xml:space="preserve">CPU Used </w:t>
      </w:r>
      <w:r>
        <w:rPr>
          <w:lang w:val="en-GB"/>
        </w:rPr>
        <w:t xml:space="preserve">covers uses cases that </w:t>
      </w:r>
      <w:r w:rsidRPr="00A452F2">
        <w:rPr>
          <w:lang w:val="en-GB"/>
        </w:rPr>
        <w:t xml:space="preserve">CPU Run </w:t>
      </w:r>
      <w:r>
        <w:rPr>
          <w:lang w:val="en-GB"/>
        </w:rPr>
        <w:t>does not.</w:t>
      </w:r>
    </w:p>
    <w:p w14:paraId="020E1C80" w14:textId="77777777" w:rsidR="00FF0111" w:rsidRPr="00A452F2" w:rsidRDefault="00FF0111" w:rsidP="00D400E7">
      <w:pPr>
        <w:pStyle w:val="Bullet"/>
        <w:rPr>
          <w:lang w:val="en-GB"/>
        </w:rPr>
      </w:pPr>
      <w:r w:rsidRPr="00A452F2">
        <w:rPr>
          <w:lang w:val="en-GB"/>
        </w:rPr>
        <w:t>VM Migration. Moving VM to another ESXi requires that you know the actual footprint of the VM, because that’s what the destination ESXi needs to deal with.</w:t>
      </w:r>
    </w:p>
    <w:p w14:paraId="7267FA44" w14:textId="77777777" w:rsidR="00FF0111" w:rsidRPr="00A452F2" w:rsidRDefault="00FF0111" w:rsidP="00D400E7">
      <w:pPr>
        <w:pStyle w:val="Bullet"/>
        <w:rPr>
          <w:lang w:val="en-GB"/>
        </w:rPr>
      </w:pPr>
      <w:r w:rsidRPr="00A452F2">
        <w:rPr>
          <w:lang w:val="en-GB"/>
        </w:rPr>
        <w:t xml:space="preserve">VM Chargeback. You should charge the full cost of the VM, and not just what’s consumed inside the VM. In fairness, you should also charge the </w:t>
      </w:r>
      <w:r w:rsidRPr="00A452F2">
        <w:rPr>
          <w:color w:val="00B0F0"/>
          <w:lang w:val="en-GB"/>
        </w:rPr>
        <w:t xml:space="preserve">actual </w:t>
      </w:r>
      <w:r w:rsidRPr="00A452F2">
        <w:rPr>
          <w:lang w:val="en-GB"/>
        </w:rPr>
        <w:t>utilization, and not rated clock speed.</w:t>
      </w:r>
    </w:p>
    <w:p w14:paraId="19F90383" w14:textId="77777777" w:rsidR="00FF0111" w:rsidRPr="00A452F2" w:rsidRDefault="00FF0111" w:rsidP="00D400E7">
      <w:pPr>
        <w:rPr>
          <w:lang w:val="en-GB"/>
        </w:rPr>
      </w:pPr>
      <w:r w:rsidRPr="00A452F2">
        <w:rPr>
          <w:lang w:val="en-GB"/>
        </w:rPr>
        <w:t>Here is how Used differs to Run</w:t>
      </w:r>
      <w:r>
        <w:rPr>
          <w:lang w:val="en-GB"/>
        </w:rPr>
        <w:t>:</w:t>
      </w:r>
    </w:p>
    <w:p w14:paraId="010865ED" w14:textId="77777777" w:rsidR="00FF0111" w:rsidRPr="00A452F2" w:rsidRDefault="00FF0111" w:rsidP="00D400E7">
      <w:pPr>
        <w:jc w:val="center"/>
        <w:rPr>
          <w:lang w:val="en-GB"/>
        </w:rPr>
      </w:pPr>
      <w:r>
        <w:rPr>
          <w:noProof/>
        </w:rPr>
        <w:drawing>
          <wp:inline distT="0" distB="0" distL="0" distR="0" wp14:anchorId="52C42E49" wp14:editId="4B3094E3">
            <wp:extent cx="5753098" cy="1893729"/>
            <wp:effectExtent l="0" t="0" r="0" b="0"/>
            <wp:docPr id="606394062" name="Picture 606394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62"/>
                    <pic:cNvPicPr/>
                  </pic:nvPicPr>
                  <pic:blipFill>
                    <a:blip r:embed="rId511">
                      <a:extLst>
                        <a:ext uri="{28A0092B-C50C-407E-A947-70E740481C1C}">
                          <a14:useLocalDpi xmlns:a14="http://schemas.microsoft.com/office/drawing/2010/main" val="0"/>
                        </a:ext>
                      </a:extLst>
                    </a:blip>
                    <a:stretch>
                      <a:fillRect/>
                    </a:stretch>
                  </pic:blipFill>
                  <pic:spPr>
                    <a:xfrm>
                      <a:off x="0" y="0"/>
                      <a:ext cx="5753098" cy="1893729"/>
                    </a:xfrm>
                    <a:prstGeom prst="rect">
                      <a:avLst/>
                    </a:prstGeom>
                  </pic:spPr>
                </pic:pic>
              </a:graphicData>
            </a:graphic>
          </wp:inline>
        </w:drawing>
      </w:r>
    </w:p>
    <w:p w14:paraId="3A3AE474" w14:textId="77777777" w:rsidR="00FF0111" w:rsidRPr="00A452F2" w:rsidRDefault="00FF0111" w:rsidP="00D400E7">
      <w:pPr>
        <w:rPr>
          <w:lang w:val="en-GB"/>
        </w:rPr>
      </w:pPr>
      <w:r w:rsidRPr="00A452F2">
        <w:rPr>
          <w:lang w:val="en-GB"/>
        </w:rPr>
        <w:t>Based on the above, you can work out the formula for VM level Used, which is:</w:t>
      </w:r>
    </w:p>
    <w:p w14:paraId="005B0831" w14:textId="4F633C48" w:rsidR="00FF0111" w:rsidRPr="00A452F2" w:rsidRDefault="00FF0111" w:rsidP="00D400E7">
      <w:pPr>
        <w:pStyle w:val="Code"/>
        <w:rPr>
          <w:rFonts w:cstheme="minorHAnsi"/>
        </w:rPr>
      </w:pPr>
      <w:r w:rsidRPr="00A452F2">
        <w:t xml:space="preserve">VM level Used = Run + System - Overlap + VMX +/- </w:t>
      </w:r>
      <w:r w:rsidRPr="00A452F2">
        <w:rPr>
          <w:b/>
          <w:bCs/>
          <w:color w:val="FF0000"/>
        </w:rPr>
        <w:t>E</w:t>
      </w:r>
    </w:p>
    <w:p w14:paraId="3F55FAC5" w14:textId="77777777" w:rsidR="00FF0111" w:rsidRPr="00A452F2" w:rsidRDefault="00FF0111" w:rsidP="00D400E7">
      <w:pPr>
        <w:rPr>
          <w:lang w:val="en-GB"/>
        </w:rPr>
      </w:pPr>
      <w:r w:rsidRPr="00A452F2">
        <w:rPr>
          <w:lang w:val="en-GB"/>
        </w:rPr>
        <w:t xml:space="preserve">Where </w:t>
      </w:r>
      <w:r w:rsidRPr="00A452F2">
        <w:rPr>
          <w:b/>
          <w:bCs/>
          <w:color w:val="FF0000"/>
          <w:lang w:val="en-GB"/>
        </w:rPr>
        <w:t>E</w:t>
      </w:r>
      <w:r w:rsidRPr="00A452F2">
        <w:rPr>
          <w:lang w:val="en-GB"/>
        </w:rPr>
        <w:t xml:space="preserve"> is the combination of </w:t>
      </w:r>
    </w:p>
    <w:p w14:paraId="60822F88" w14:textId="77777777" w:rsidR="00FF0111" w:rsidRPr="00A452F2" w:rsidRDefault="00FF0111" w:rsidP="00D400E7">
      <w:pPr>
        <w:pStyle w:val="Bullet"/>
        <w:rPr>
          <w:lang w:val="en-GB"/>
        </w:rPr>
      </w:pPr>
      <w:r w:rsidRPr="00A452F2">
        <w:rPr>
          <w:lang w:val="en-GB"/>
        </w:rPr>
        <w:t>efficiency gained from CPU Turbo Boost or efficiency loss from power savings. For example, if the frequency is dropped to 40% of the nominal frequency, we consider 60% of the CPU time was stolen.</w:t>
      </w:r>
    </w:p>
    <w:p w14:paraId="7D666612" w14:textId="77777777" w:rsidR="00FF0111" w:rsidRPr="00A452F2" w:rsidRDefault="00FF0111" w:rsidP="00D400E7">
      <w:pPr>
        <w:pStyle w:val="Bullet"/>
        <w:rPr>
          <w:lang w:val="en-GB"/>
        </w:rPr>
      </w:pPr>
      <w:r w:rsidRPr="00A452F2">
        <w:rPr>
          <w:lang w:val="en-GB"/>
        </w:rPr>
        <w:t xml:space="preserve">37.5% efficiency loss from CPU SMT. </w:t>
      </w:r>
    </w:p>
    <w:p w14:paraId="5C66AF6E" w14:textId="77777777" w:rsidR="00FF0111" w:rsidRPr="00A452F2" w:rsidRDefault="00FF0111" w:rsidP="00D400E7">
      <w:pPr>
        <w:rPr>
          <w:lang w:val="en-GB"/>
        </w:rPr>
      </w:pPr>
      <w:r w:rsidRPr="00A452F2">
        <w:rPr>
          <w:lang w:val="en-GB"/>
        </w:rPr>
        <w:t>VMX is typically negligible. It accounts for CPU cycles spent on things like consoling to the VM. In esxtop, System time is charged to the VM VMX world.</w:t>
      </w:r>
    </w:p>
    <w:p w14:paraId="6A650891" w14:textId="77777777" w:rsidR="00FF0111" w:rsidRPr="00A452F2" w:rsidRDefault="00FF0111" w:rsidP="00D400E7">
      <w:pPr>
        <w:rPr>
          <w:lang w:val="en-GB"/>
        </w:rPr>
      </w:pPr>
      <w:r w:rsidRPr="00A452F2">
        <w:rPr>
          <w:lang w:val="en-GB"/>
        </w:rPr>
        <w:t xml:space="preserve">Because Used accounts for the actual frequency, you may expect it to be measured in GHz and not millisecond. Think of the number of cycles completed instead of simply frequency. You then convert it back to time. I know it requires a bit of mental mathematics </w:t>
      </w:r>
      <w:r w:rsidRPr="00A452F2">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41069B50" w14:textId="77777777" w:rsidR="00FF0111" w:rsidRPr="00A452F2" w:rsidRDefault="00FF0111" w:rsidP="00D400E7">
      <w:pPr>
        <w:rPr>
          <w:lang w:val="en-GB"/>
        </w:rPr>
      </w:pPr>
      <w:r w:rsidRPr="00A452F2">
        <w:rPr>
          <w:lang w:val="en-GB"/>
        </w:rPr>
        <w:t xml:space="preserve">Quiz: </w:t>
      </w:r>
    </w:p>
    <w:p w14:paraId="35811079" w14:textId="77777777" w:rsidR="00FF0111" w:rsidRPr="00A452F2" w:rsidRDefault="00FF0111" w:rsidP="00D400E7">
      <w:pPr>
        <w:pStyle w:val="Bullet"/>
        <w:rPr>
          <w:lang w:val="en-GB"/>
        </w:rPr>
      </w:pPr>
      <w:r w:rsidRPr="00A452F2">
        <w:rPr>
          <w:lang w:val="en-GB"/>
        </w:rPr>
        <w:t xml:space="preserve">Why does the formula state VM level, and not individual vCPU level. What’s the reason? </w:t>
      </w:r>
    </w:p>
    <w:p w14:paraId="3361C594" w14:textId="77777777" w:rsidR="00FF0111" w:rsidRPr="00A452F2" w:rsidRDefault="00FF0111" w:rsidP="00D400E7">
      <w:pPr>
        <w:pStyle w:val="Bullet"/>
        <w:rPr>
          <w:lang w:val="en-GB"/>
        </w:rPr>
      </w:pPr>
      <w:r w:rsidRPr="00A452F2">
        <w:rPr>
          <w:lang w:val="en-GB"/>
        </w:rPr>
        <w:t xml:space="preserve">How will Used compare with Run in general? Do you expect it to be higher or lower? If it’s higher, what can cause it? </w:t>
      </w:r>
    </w:p>
    <w:p w14:paraId="48E58D84" w14:textId="77777777" w:rsidR="00FF0111" w:rsidRPr="00A452F2" w:rsidRDefault="00FF0111" w:rsidP="00D400E7">
      <w:pPr>
        <w:rPr>
          <w:lang w:val="en-GB"/>
        </w:rPr>
      </w:pPr>
      <w:r w:rsidRPr="00A452F2">
        <w:rPr>
          <w:lang w:val="en-GB"/>
        </w:rPr>
        <w:lastRenderedPageBreak/>
        <w:t xml:space="preserve">The impact of </w:t>
      </w:r>
      <w:hyperlink w:anchor="_Power_Management" w:history="1">
        <w:r w:rsidRPr="00A452F2">
          <w:rPr>
            <w:rStyle w:val="Hyperlink"/>
            <w:lang w:val="en-GB"/>
          </w:rPr>
          <w:t>Power Management</w:t>
        </w:r>
      </w:hyperlink>
      <w:r w:rsidRPr="00A452F2">
        <w:rPr>
          <w:lang w:val="en-GB"/>
        </w:rPr>
        <w:t xml:space="preserve"> </w:t>
      </w:r>
      <w:r>
        <w:rPr>
          <w:lang w:val="en-GB"/>
        </w:rPr>
        <w:t>can be</w:t>
      </w:r>
      <w:r w:rsidRPr="00A452F2">
        <w:rPr>
          <w:lang w:val="en-GB"/>
        </w:rPr>
        <w:t xml:space="preserve"> noticeable. For example, a physical chip comes with 2 GHz as its standard speed. ESXi may increase or decrease this speed dynamically, resulting in Turbo Boost or power saving. If ESXi increases the clock speed to 3 GHz, Used counter will be 50% higher than the Run counter. The Guest OS (e.g. Windows or Linux) is not aware of this performance boost. It reports a value based on the standard clock speed, just like Run does. On the other hand, if ESXi decreases the clock speed to 1.5 GHz, then Used will report a value that is 25% lower than what Run reports.</w:t>
      </w:r>
    </w:p>
    <w:p w14:paraId="2972D71F" w14:textId="77777777" w:rsidR="00FF0111" w:rsidRPr="00A452F2" w:rsidRDefault="00FF0111" w:rsidP="00D400E7">
      <w:pPr>
        <w:rPr>
          <w:lang w:val="en-GB"/>
        </w:rPr>
      </w:pPr>
      <w:r w:rsidRPr="00A452F2">
        <w:rPr>
          <w:lang w:val="en-GB"/>
        </w:rPr>
        <w:t>Let’s take an example. What do you notice?</w:t>
      </w:r>
    </w:p>
    <w:p w14:paraId="35B395C1" w14:textId="77777777" w:rsidR="00FF0111" w:rsidRPr="00A452F2" w:rsidRDefault="00FF0111" w:rsidP="00D400E7">
      <w:pPr>
        <w:rPr>
          <w:lang w:val="en-GB"/>
        </w:rPr>
      </w:pPr>
      <w:r>
        <w:rPr>
          <w:noProof/>
        </w:rPr>
        <w:drawing>
          <wp:inline distT="0" distB="0" distL="0" distR="0" wp14:anchorId="21CCB7A9" wp14:editId="45AE9726">
            <wp:extent cx="6891856" cy="3179299"/>
            <wp:effectExtent l="0" t="0" r="4445" b="254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pic:nvPicPr>
                  <pic:blipFill>
                    <a:blip r:embed="rId290">
                      <a:extLst>
                        <a:ext uri="{28A0092B-C50C-407E-A947-70E740481C1C}">
                          <a14:useLocalDpi xmlns:a14="http://schemas.microsoft.com/office/drawing/2010/main" val="0"/>
                        </a:ext>
                      </a:extLst>
                    </a:blip>
                    <a:stretch>
                      <a:fillRect/>
                    </a:stretch>
                  </pic:blipFill>
                  <pic:spPr>
                    <a:xfrm>
                      <a:off x="0" y="0"/>
                      <a:ext cx="6891856" cy="3179299"/>
                    </a:xfrm>
                    <a:prstGeom prst="rect">
                      <a:avLst/>
                    </a:prstGeom>
                  </pic:spPr>
                </pic:pic>
              </a:graphicData>
            </a:graphic>
          </wp:inline>
        </w:drawing>
      </w:r>
    </w:p>
    <w:p w14:paraId="4584F09E" w14:textId="77777777" w:rsidR="00FF0111" w:rsidRPr="00A452F2" w:rsidRDefault="00FF0111" w:rsidP="00D400E7">
      <w:pPr>
        <w:rPr>
          <w:lang w:val="en-GB"/>
        </w:rPr>
      </w:pPr>
      <w:r w:rsidRPr="00A452F2">
        <w:rPr>
          <w:lang w:val="en-GB"/>
        </w:rPr>
        <w:t xml:space="preserve">As you can see from the preceding chart, the impact is noticeable. The System and Overlap </w:t>
      </w:r>
      <w:r>
        <w:rPr>
          <w:lang w:val="en-GB"/>
        </w:rPr>
        <w:t>metrics</w:t>
      </w:r>
      <w:r w:rsidRPr="00A452F2">
        <w:rPr>
          <w:lang w:val="en-GB"/>
        </w:rPr>
        <w:t xml:space="preserve"> hovers averages &lt;10 ms (negligible as this VM is basically idle), but the gap between Used and Run averages around 20% Used is ~20% higher than Run, likely due to Turbo Boost.</w:t>
      </w:r>
    </w:p>
    <w:p w14:paraId="180FBFA2" w14:textId="77777777" w:rsidR="00FF0111" w:rsidRPr="00A452F2" w:rsidRDefault="00FF0111" w:rsidP="00D400E7">
      <w:pPr>
        <w:rPr>
          <w:lang w:val="en-GB"/>
        </w:rPr>
      </w:pPr>
      <w:r w:rsidRPr="00A452F2">
        <w:rPr>
          <w:lang w:val="en-GB"/>
        </w:rPr>
        <w:t>Let’s take another example, this time from a busy VM. I’ve removed System and Overlap as they are also negligible in this example. This is a 32 vCPU VM running Splunk. Notice Used is consistently higher than Run.</w:t>
      </w:r>
    </w:p>
    <w:p w14:paraId="2F376259" w14:textId="77777777" w:rsidR="00FF0111" w:rsidRPr="00A452F2" w:rsidRDefault="00FF0111" w:rsidP="00D400E7">
      <w:pPr>
        <w:rPr>
          <w:lang w:val="en-GB"/>
        </w:rPr>
      </w:pPr>
      <w:r>
        <w:rPr>
          <w:noProof/>
        </w:rPr>
        <w:drawing>
          <wp:inline distT="0" distB="0" distL="0" distR="0" wp14:anchorId="55E974F4" wp14:editId="7838A0E9">
            <wp:extent cx="6645910" cy="1783080"/>
            <wp:effectExtent l="0" t="0" r="2540" b="7620"/>
            <wp:docPr id="606394083" name="Picture 606394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83"/>
                    <pic:cNvPicPr/>
                  </pic:nvPicPr>
                  <pic:blipFill>
                    <a:blip r:embed="rId291">
                      <a:extLst>
                        <a:ext uri="{28A0092B-C50C-407E-A947-70E740481C1C}">
                          <a14:useLocalDpi xmlns:a14="http://schemas.microsoft.com/office/drawing/2010/main" val="0"/>
                        </a:ext>
                      </a:extLst>
                    </a:blip>
                    <a:stretch>
                      <a:fillRect/>
                    </a:stretch>
                  </pic:blipFill>
                  <pic:spPr>
                    <a:xfrm>
                      <a:off x="0" y="0"/>
                      <a:ext cx="6645910" cy="1783080"/>
                    </a:xfrm>
                    <a:prstGeom prst="rect">
                      <a:avLst/>
                    </a:prstGeom>
                  </pic:spPr>
                </pic:pic>
              </a:graphicData>
            </a:graphic>
          </wp:inline>
        </w:drawing>
      </w:r>
    </w:p>
    <w:p w14:paraId="7AC4C885" w14:textId="77777777" w:rsidR="00FF0111" w:rsidRPr="00A452F2" w:rsidRDefault="00FF0111" w:rsidP="00D400E7">
      <w:pPr>
        <w:rPr>
          <w:lang w:val="en-GB"/>
        </w:rPr>
      </w:pPr>
      <w:r w:rsidRPr="00A452F2">
        <w:rPr>
          <w:lang w:val="en-GB"/>
        </w:rPr>
        <w:t>Now let’s look at the opposite scenario. This VM is a 64 bit Ubuntu running 4 vCPU. Used (ms) is around 44% of Run (ms). The VM had minimal System Time (ms) and Overlap (ms), so Used is basically lowered by both power savings and CPU SMT. In this example, if Run is far from 100% and the application team want faster performance, your answ</w:t>
      </w:r>
      <w:r>
        <w:rPr>
          <w:lang w:val="en-GB"/>
        </w:rPr>
        <w:t>e</w:t>
      </w:r>
      <w:r w:rsidRPr="00A452F2">
        <w:rPr>
          <w:lang w:val="en-GB"/>
        </w:rPr>
        <w:t xml:space="preserve">r is not to add vCPU. You should check the power management and CPU SMT, assuming the </w:t>
      </w:r>
      <w:hyperlink w:anchor="_Contention_Metrics" w:history="1">
        <w:r w:rsidRPr="00A452F2">
          <w:rPr>
            <w:rStyle w:val="Hyperlink"/>
            <w:lang w:val="en-GB"/>
          </w:rPr>
          <w:t xml:space="preserve">contention </w:t>
        </w:r>
        <w:r>
          <w:rPr>
            <w:rStyle w:val="Hyperlink"/>
            <w:lang w:val="en-GB"/>
          </w:rPr>
          <w:t>metrics</w:t>
        </w:r>
      </w:hyperlink>
      <w:r w:rsidRPr="00A452F2">
        <w:rPr>
          <w:lang w:val="en-GB"/>
        </w:rPr>
        <w:t xml:space="preserve"> are low. </w:t>
      </w:r>
    </w:p>
    <w:p w14:paraId="6A4D8E80" w14:textId="77777777" w:rsidR="00FF0111" w:rsidRPr="00A452F2" w:rsidRDefault="00FF0111" w:rsidP="00D400E7">
      <w:pPr>
        <w:rPr>
          <w:lang w:val="en-GB"/>
        </w:rPr>
      </w:pPr>
      <w:r>
        <w:rPr>
          <w:noProof/>
        </w:rPr>
        <w:lastRenderedPageBreak/>
        <w:drawing>
          <wp:inline distT="0" distB="0" distL="0" distR="0" wp14:anchorId="2F81F68B" wp14:editId="27DBFB8E">
            <wp:extent cx="6645910" cy="1703705"/>
            <wp:effectExtent l="0" t="0" r="2540" b="0"/>
            <wp:docPr id="606394084" name="Picture 606394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84"/>
                    <pic:cNvPicPr/>
                  </pic:nvPicPr>
                  <pic:blipFill>
                    <a:blip r:embed="rId292">
                      <a:extLst>
                        <a:ext uri="{28A0092B-C50C-407E-A947-70E740481C1C}">
                          <a14:useLocalDpi xmlns:a14="http://schemas.microsoft.com/office/drawing/2010/main" val="0"/>
                        </a:ext>
                      </a:extLst>
                    </a:blip>
                    <a:stretch>
                      <a:fillRect/>
                    </a:stretch>
                  </pic:blipFill>
                  <pic:spPr>
                    <a:xfrm>
                      <a:off x="0" y="0"/>
                      <a:ext cx="6645910" cy="1703705"/>
                    </a:xfrm>
                    <a:prstGeom prst="rect">
                      <a:avLst/>
                    </a:prstGeom>
                  </pic:spPr>
                </pic:pic>
              </a:graphicData>
            </a:graphic>
          </wp:inline>
        </w:drawing>
      </w:r>
    </w:p>
    <w:p w14:paraId="3C60ABD4" w14:textId="77777777" w:rsidR="00FF0111" w:rsidRPr="00A452F2" w:rsidRDefault="00FF0111" w:rsidP="00D400E7">
      <w:pPr>
        <w:rPr>
          <w:lang w:val="en-GB"/>
        </w:rPr>
      </w:pPr>
      <w:r w:rsidRPr="00A452F2">
        <w:rPr>
          <w:lang w:val="en-GB"/>
        </w:rPr>
        <w:t xml:space="preserve">Take note: CPU Used has a different formula at VM level and vCPU level. At vCPU level, it does not include System Time. At VM level, it includes the work done by </w:t>
      </w:r>
      <w:r>
        <w:rPr>
          <w:lang w:val="en-GB"/>
        </w:rPr>
        <w:t>VMkernel</w:t>
      </w:r>
      <w:r w:rsidRPr="00A452F2">
        <w:rPr>
          <w:lang w:val="en-GB"/>
        </w:rPr>
        <w:t xml:space="preserve"> that is charged at VM level, such as System and other worlds. </w:t>
      </w:r>
    </w:p>
    <w:p w14:paraId="63ACA9FF" w14:textId="77777777" w:rsidR="00FF0111" w:rsidRPr="00A452F2" w:rsidRDefault="00FF0111" w:rsidP="00D400E7">
      <w:pPr>
        <w:pStyle w:val="Heading5"/>
      </w:pPr>
      <w:r w:rsidRPr="00A452F2">
        <w:t>Usage</w:t>
      </w:r>
    </w:p>
    <w:p w14:paraId="72028E80" w14:textId="77777777" w:rsidR="00FF0111" w:rsidRDefault="00FF0111" w:rsidP="00D400E7">
      <w:pPr>
        <w:rPr>
          <w:lang w:val="en-GB"/>
        </w:rPr>
      </w:pPr>
      <w:r>
        <w:rPr>
          <w:lang w:val="en-GB"/>
        </w:rPr>
        <w:t>There are two metrics: Usage (MHz) and Usage (%).</w:t>
      </w:r>
    </w:p>
    <w:p w14:paraId="6721AFCC" w14:textId="77777777" w:rsidR="00FF0111" w:rsidRDefault="00FF0111" w:rsidP="00D400E7">
      <w:pPr>
        <w:rPr>
          <w:lang w:val="en-GB"/>
        </w:rPr>
      </w:pPr>
      <w:r w:rsidRPr="00A452F2">
        <w:rPr>
          <w:lang w:val="en-GB"/>
        </w:rPr>
        <w:t xml:space="preserve">These 2 </w:t>
      </w:r>
      <w:r>
        <w:rPr>
          <w:lang w:val="en-GB"/>
        </w:rPr>
        <w:t>metrics</w:t>
      </w:r>
      <w:r w:rsidRPr="00A452F2">
        <w:rPr>
          <w:lang w:val="en-GB"/>
        </w:rPr>
        <w:t xml:space="preserve"> do </w:t>
      </w:r>
      <w:r w:rsidRPr="00A452F2">
        <w:rPr>
          <w:color w:val="FF0000"/>
          <w:lang w:val="en-GB"/>
        </w:rPr>
        <w:t>not</w:t>
      </w:r>
      <w:r w:rsidRPr="00A452F2">
        <w:rPr>
          <w:lang w:val="en-GB"/>
        </w:rPr>
        <w:t xml:space="preserve"> exist in ESXi</w:t>
      </w:r>
      <w:r>
        <w:rPr>
          <w:lang w:val="en-GB"/>
        </w:rPr>
        <w:t>, meaning they</w:t>
      </w:r>
      <w:r w:rsidRPr="00A452F2">
        <w:rPr>
          <w:lang w:val="en-GB"/>
        </w:rPr>
        <w:t xml:space="preserve"> only exist in vCenter. </w:t>
      </w:r>
    </w:p>
    <w:p w14:paraId="03F16337" w14:textId="77777777" w:rsidR="00861B3D" w:rsidRDefault="00861B3D" w:rsidP="00D400E7">
      <w:pPr>
        <w:rPr>
          <w:lang w:val="en-GB"/>
        </w:rPr>
      </w:pPr>
      <w:r>
        <w:rPr>
          <w:lang w:val="en-GB"/>
        </w:rPr>
        <w:t xml:space="preserve">My guess is </w:t>
      </w:r>
    </w:p>
    <w:p w14:paraId="455A0981" w14:textId="10385A15" w:rsidR="00861B3D" w:rsidRDefault="00861B3D" w:rsidP="00861B3D">
      <w:pPr>
        <w:pStyle w:val="Code"/>
      </w:pPr>
      <w:r>
        <w:t>Usage (%) = ( Average of (Usage MHz for each core) / VM Static CPU Speed ) + VM level load</w:t>
      </w:r>
    </w:p>
    <w:p w14:paraId="12620326" w14:textId="20983167" w:rsidR="00FF0111" w:rsidRDefault="00861B3D" w:rsidP="00861B3D">
      <w:pPr>
        <w:rPr>
          <w:lang w:val="en-GB"/>
        </w:rPr>
      </w:pPr>
      <w:r>
        <w:rPr>
          <w:lang w:val="en-GB"/>
        </w:rPr>
        <w:t xml:space="preserve">The reason is Usage (%) is not available on a per vCPU basis, while Usage MHz is. The 2 charts are also </w:t>
      </w:r>
      <w:r w:rsidRPr="003E1C7C">
        <w:rPr>
          <w:i/>
          <w:iCs/>
          <w:color w:val="0070C0"/>
          <w:lang w:val="en-GB"/>
        </w:rPr>
        <w:t>very</w:t>
      </w:r>
      <w:r w:rsidRPr="003E1C7C">
        <w:rPr>
          <w:color w:val="0070C0"/>
          <w:lang w:val="en-GB"/>
        </w:rPr>
        <w:t xml:space="preserve"> </w:t>
      </w:r>
      <w:r>
        <w:rPr>
          <w:lang w:val="en-GB"/>
        </w:rPr>
        <w:t xml:space="preserve">similar are </w:t>
      </w:r>
      <w:r w:rsidRPr="00EE5AA0">
        <w:rPr>
          <w:color w:val="FF0000"/>
          <w:lang w:val="en-GB"/>
        </w:rPr>
        <w:t xml:space="preserve">not </w:t>
      </w:r>
      <w:r>
        <w:rPr>
          <w:lang w:val="en-GB"/>
        </w:rPr>
        <w:t>100% identical. Notice in the following screenshot there is time where they are 100% identical, and there is time they are not.</w:t>
      </w:r>
      <w:r w:rsidR="00FF0111">
        <w:rPr>
          <w:lang w:val="en-GB"/>
        </w:rPr>
        <w:t xml:space="preserve"> </w:t>
      </w:r>
      <w:r>
        <w:rPr>
          <w:lang w:val="en-GB"/>
        </w:rPr>
        <w:t xml:space="preserve">My guess is Usage (%) contains VMX load as it’s not available on a per vCPU basis. </w:t>
      </w:r>
    </w:p>
    <w:p w14:paraId="551F7AB5" w14:textId="77777777" w:rsidR="00FF0111" w:rsidRDefault="00FF0111" w:rsidP="00D400E7">
      <w:pPr>
        <w:rPr>
          <w:lang w:val="en-GB"/>
        </w:rPr>
      </w:pPr>
      <w:r>
        <w:rPr>
          <w:noProof/>
        </w:rPr>
        <w:drawing>
          <wp:inline distT="0" distB="0" distL="0" distR="0" wp14:anchorId="3D4E2DE2" wp14:editId="7B4312E3">
            <wp:extent cx="6645910" cy="3392170"/>
            <wp:effectExtent l="0" t="0" r="2540" b="0"/>
            <wp:docPr id="606394070" name="Picture 606394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70"/>
                    <pic:cNvPicPr/>
                  </pic:nvPicPr>
                  <pic:blipFill>
                    <a:blip r:embed="rId512">
                      <a:extLst>
                        <a:ext uri="{28A0092B-C50C-407E-A947-70E740481C1C}">
                          <a14:useLocalDpi xmlns:a14="http://schemas.microsoft.com/office/drawing/2010/main" val="0"/>
                        </a:ext>
                      </a:extLst>
                    </a:blip>
                    <a:stretch>
                      <a:fillRect/>
                    </a:stretch>
                  </pic:blipFill>
                  <pic:spPr>
                    <a:xfrm>
                      <a:off x="0" y="0"/>
                      <a:ext cx="6645910" cy="3392170"/>
                    </a:xfrm>
                    <a:prstGeom prst="rect">
                      <a:avLst/>
                    </a:prstGeom>
                  </pic:spPr>
                </pic:pic>
              </a:graphicData>
            </a:graphic>
          </wp:inline>
        </w:drawing>
      </w:r>
    </w:p>
    <w:p w14:paraId="33B34A8C" w14:textId="77777777" w:rsidR="00FF0111" w:rsidRPr="00A452F2" w:rsidRDefault="00FF0111" w:rsidP="00D400E7">
      <w:pPr>
        <w:rPr>
          <w:lang w:val="en-GB"/>
        </w:rPr>
      </w:pPr>
      <w:r>
        <w:rPr>
          <w:lang w:val="en-GB"/>
        </w:rPr>
        <w:t xml:space="preserve">Let’s compare Usage with </w:t>
      </w:r>
      <w:r w:rsidRPr="00A452F2">
        <w:rPr>
          <w:lang w:val="en-GB"/>
        </w:rPr>
        <w:t>Used</w:t>
      </w:r>
      <w:r>
        <w:rPr>
          <w:lang w:val="en-GB"/>
        </w:rPr>
        <w:t xml:space="preserve"> instead. </w:t>
      </w:r>
      <w:r w:rsidRPr="00A452F2">
        <w:rPr>
          <w:lang w:val="en-GB"/>
        </w:rPr>
        <w:t>We will compare Usage MHz as that’s the raw counter. The</w:t>
      </w:r>
      <w:r>
        <w:rPr>
          <w:lang w:val="en-GB"/>
        </w:rPr>
        <w:t xml:space="preserve"> percentage</w:t>
      </w:r>
      <w:r w:rsidRPr="00A452F2">
        <w:rPr>
          <w:lang w:val="en-GB"/>
        </w:rPr>
        <w:t xml:space="preserve"> value is derived from it.</w:t>
      </w:r>
    </w:p>
    <w:p w14:paraId="003F99B5" w14:textId="77777777" w:rsidR="00FF0111" w:rsidRPr="00A452F2" w:rsidRDefault="00FF0111" w:rsidP="00D400E7">
      <w:pPr>
        <w:rPr>
          <w:lang w:val="en-GB"/>
        </w:rPr>
      </w:pPr>
      <w:r>
        <w:rPr>
          <w:noProof/>
        </w:rPr>
        <w:lastRenderedPageBreak/>
        <w:drawing>
          <wp:inline distT="0" distB="0" distL="0" distR="0" wp14:anchorId="57387BDC" wp14:editId="2CF48841">
            <wp:extent cx="6645910" cy="3343275"/>
            <wp:effectExtent l="0" t="0" r="2540" b="9525"/>
            <wp:docPr id="606394350" name="Picture 606394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50"/>
                    <pic:cNvPicPr/>
                  </pic:nvPicPr>
                  <pic:blipFill>
                    <a:blip r:embed="rId513">
                      <a:extLst>
                        <a:ext uri="{28A0092B-C50C-407E-A947-70E740481C1C}">
                          <a14:useLocalDpi xmlns:a14="http://schemas.microsoft.com/office/drawing/2010/main" val="0"/>
                        </a:ext>
                      </a:extLst>
                    </a:blip>
                    <a:stretch>
                      <a:fillRect/>
                    </a:stretch>
                  </pic:blipFill>
                  <pic:spPr>
                    <a:xfrm>
                      <a:off x="0" y="0"/>
                      <a:ext cx="6645910" cy="3343275"/>
                    </a:xfrm>
                    <a:prstGeom prst="rect">
                      <a:avLst/>
                    </a:prstGeom>
                  </pic:spPr>
                </pic:pic>
              </a:graphicData>
            </a:graphic>
          </wp:inline>
        </w:drawing>
      </w:r>
      <w:r w:rsidRPr="1621D005">
        <w:rPr>
          <w:lang w:val="en-GB"/>
        </w:rPr>
        <w:t xml:space="preserve"> </w:t>
      </w:r>
    </w:p>
    <w:p w14:paraId="22F854C0" w14:textId="77777777" w:rsidR="00FF0111" w:rsidRDefault="00FF0111" w:rsidP="00D400E7">
      <w:pPr>
        <w:rPr>
          <w:lang w:val="en-GB"/>
        </w:rPr>
      </w:pPr>
      <w:r w:rsidRPr="00A452F2">
        <w:rPr>
          <w:lang w:val="en-GB"/>
        </w:rPr>
        <w:t xml:space="preserve">From the preceding chart, we can see they are </w:t>
      </w:r>
      <w:r>
        <w:rPr>
          <w:lang w:val="en-GB"/>
        </w:rPr>
        <w:t>basically</w:t>
      </w:r>
      <w:r w:rsidRPr="00A452F2">
        <w:rPr>
          <w:lang w:val="en-GB"/>
        </w:rPr>
        <w:t xml:space="preserve"> the same</w:t>
      </w:r>
      <w:r>
        <w:rPr>
          <w:lang w:val="en-GB"/>
        </w:rPr>
        <w:t>, with the difference due to y-axis scales</w:t>
      </w:r>
      <w:r w:rsidRPr="00A452F2">
        <w:rPr>
          <w:lang w:val="en-GB"/>
        </w:rPr>
        <w:t xml:space="preserve">. </w:t>
      </w:r>
      <w:r>
        <w:rPr>
          <w:lang w:val="en-GB"/>
        </w:rPr>
        <w:t>Formula wise,</w:t>
      </w:r>
      <w:r w:rsidRPr="00A452F2">
        <w:rPr>
          <w:lang w:val="en-GB"/>
        </w:rPr>
        <w:t xml:space="preserve"> Usage (MHz) includes all the VM overhead, such as the time spent by VMX process. </w:t>
      </w:r>
    </w:p>
    <w:p w14:paraId="2BD812BC" w14:textId="27CCCC48" w:rsidR="00FF0111" w:rsidRDefault="00861B3D" w:rsidP="00D400E7">
      <w:r>
        <w:t>Aria</w:t>
      </w:r>
      <w:r w:rsidR="00FF0111">
        <w:t xml:space="preserve"> Operations Usage (MHz) and Usage (%) metrics map 1:1 to the respective metrics from vCenter.</w:t>
      </w:r>
    </w:p>
    <w:p w14:paraId="1B537504" w14:textId="77777777" w:rsidR="00FF0111" w:rsidRDefault="00FF0111" w:rsidP="00D400E7">
      <w:pPr>
        <w:pStyle w:val="Heading6"/>
      </w:pPr>
      <w:r>
        <w:t>Usage (GHz)</w:t>
      </w:r>
    </w:p>
    <w:p w14:paraId="6BBCCF33" w14:textId="77777777" w:rsidR="00FF0111" w:rsidRDefault="00FF0111" w:rsidP="00D400E7">
      <w:r>
        <w:t xml:space="preserve">We stated that CPU power management &amp; HT impact Usage. </w:t>
      </w:r>
    </w:p>
    <w:p w14:paraId="4565D2EF" w14:textId="77777777" w:rsidR="00FF0111" w:rsidRDefault="00FF0111" w:rsidP="00D400E7">
      <w:r>
        <w:t>Review the following example. This is a single VM occupying an entire ESXi.</w:t>
      </w:r>
    </w:p>
    <w:p w14:paraId="6E59FAF4" w14:textId="77777777" w:rsidR="00FF0111" w:rsidRDefault="00FF0111" w:rsidP="00D400E7">
      <w:r>
        <w:rPr>
          <w:noProof/>
        </w:rPr>
        <w:lastRenderedPageBreak/>
        <w:drawing>
          <wp:inline distT="0" distB="0" distL="0" distR="0" wp14:anchorId="3C1BFD94" wp14:editId="18DBFA0C">
            <wp:extent cx="6645910" cy="3789680"/>
            <wp:effectExtent l="0" t="0" r="2540" b="1270"/>
            <wp:docPr id="1709717437" name="Picture 170971743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17437" name="Picture 1709717437" descr="Graphical user interface, application&#10;&#10;Description automatically generated"/>
                    <pic:cNvPicPr/>
                  </pic:nvPicPr>
                  <pic:blipFill>
                    <a:blip r:embed="rId514"/>
                    <a:stretch>
                      <a:fillRect/>
                    </a:stretch>
                  </pic:blipFill>
                  <pic:spPr>
                    <a:xfrm>
                      <a:off x="0" y="0"/>
                      <a:ext cx="6645910" cy="3789680"/>
                    </a:xfrm>
                    <a:prstGeom prst="rect">
                      <a:avLst/>
                    </a:prstGeom>
                  </pic:spPr>
                </pic:pic>
              </a:graphicData>
            </a:graphic>
          </wp:inline>
        </w:drawing>
      </w:r>
    </w:p>
    <w:p w14:paraId="0CFD6492" w14:textId="77777777" w:rsidR="00FF0111" w:rsidRDefault="00FF0111" w:rsidP="00D400E7">
      <w:r>
        <w:t>The ESXi has 12 cores with n</w:t>
      </w:r>
      <w:r w:rsidRPr="00571538">
        <w:t xml:space="preserve">ominal </w:t>
      </w:r>
      <w:r>
        <w:t>f</w:t>
      </w:r>
      <w:r w:rsidRPr="00571538">
        <w:t xml:space="preserve">requency </w:t>
      </w:r>
      <w:r>
        <w:t>of</w:t>
      </w:r>
      <w:r w:rsidRPr="00571538">
        <w:t xml:space="preserve"> 2.4 GHz</w:t>
      </w:r>
      <w:r>
        <w:t xml:space="preserve">. The number of socket does not matter in this case. </w:t>
      </w:r>
    </w:p>
    <w:p w14:paraId="7007E750" w14:textId="77777777" w:rsidR="00FF0111" w:rsidRDefault="00FF0111" w:rsidP="00D400E7">
      <w:r>
        <w:t>Since HT is enabled, the biggest VM you can run is a 24 vCPU. The 24 vCPU will certainly have to share 12 cores, but that’s not what we’re interested here.</w:t>
      </w:r>
    </w:p>
    <w:p w14:paraId="7A41E3B1" w14:textId="77777777" w:rsidR="00FF0111" w:rsidRDefault="00FF0111" w:rsidP="00D400E7">
      <w:r>
        <w:t>What do you expect the VM CPU Usage (GHz) when you run the VM at basically 100%?</w:t>
      </w:r>
    </w:p>
    <w:p w14:paraId="4CC8F26A" w14:textId="77777777" w:rsidR="00FF0111" w:rsidRDefault="00FF0111" w:rsidP="00D400E7">
      <w:r>
        <w:t>36 GHz, if you did not enable dynamic power management.</w:t>
      </w:r>
    </w:p>
    <w:p w14:paraId="5408A2C0" w14:textId="77777777" w:rsidR="00FF0111" w:rsidRDefault="00FF0111" w:rsidP="00D400E7">
      <w:r>
        <w:t>Why not 57.6 GHz, because it’s 24 vCPU x 2.4 GHz?</w:t>
      </w:r>
    </w:p>
    <w:p w14:paraId="6A587C36" w14:textId="77777777" w:rsidR="00FF0111" w:rsidRDefault="00FF0111" w:rsidP="00D400E7">
      <w:r>
        <w:t>Because HT does not yield 2x. It yields 1.25x only. At the end of the day, the one that does the computation is the core not the thread.</w:t>
      </w:r>
    </w:p>
    <w:p w14:paraId="5FA20300" w14:textId="77777777" w:rsidR="00FF0111" w:rsidRDefault="00FF0111" w:rsidP="00D400E7">
      <w:r>
        <w:t>12 cores x 2.4 GHz 1.25 HT = 36 GHz total capacity with hyperthreading enabled.</w:t>
      </w:r>
    </w:p>
    <w:p w14:paraId="6559F99B" w14:textId="77777777" w:rsidR="00FF0111" w:rsidRDefault="00FF0111" w:rsidP="00D400E7">
      <w:r>
        <w:t>In the preceding example, power management was enabled. Naturally Turbo Boost kicked in, albeit not so dramatic as the VM already used up the entire ESXi CPU cores.</w:t>
      </w:r>
    </w:p>
    <w:p w14:paraId="47C98AA5" w14:textId="77777777" w:rsidR="00FF0111" w:rsidRPr="00571538" w:rsidRDefault="00FF0111" w:rsidP="00D400E7">
      <w:r>
        <w:t xml:space="preserve">You got around 39 GHz, a small increase over 36 GHz. Formula is </w:t>
      </w:r>
      <w:r w:rsidRPr="00571538">
        <w:t>2.4 GHz x 12 cores x 1.25 HT x 1.08x Turbo Boo</w:t>
      </w:r>
      <w:r>
        <w:t xml:space="preserve">st. Notice it is 12 not 24. </w:t>
      </w:r>
    </w:p>
    <w:p w14:paraId="19D8C5E5" w14:textId="77777777" w:rsidR="00FF0111" w:rsidRPr="00571538" w:rsidRDefault="00FF0111" w:rsidP="00D400E7">
      <w:r w:rsidRPr="00571538">
        <w:t xml:space="preserve">What happens when we disable turbo boost? </w:t>
      </w:r>
      <w:r>
        <w:t xml:space="preserve">That’s what we did at point 1 in the diagram above.. </w:t>
      </w:r>
    </w:p>
    <w:p w14:paraId="2C2C8F86" w14:textId="77777777" w:rsidR="00FF0111" w:rsidRDefault="00FF0111" w:rsidP="00D400E7">
      <w:r w:rsidRPr="00571538">
        <w:t>CPU Usage drops to slightly below 36 GHz.</w:t>
      </w:r>
      <w:r>
        <w:t xml:space="preserve"> </w:t>
      </w:r>
    </w:p>
    <w:p w14:paraId="448ADD66" w14:textId="77777777" w:rsidR="00FF0111" w:rsidRDefault="00FF0111" w:rsidP="00D400E7">
      <w:pPr>
        <w:pStyle w:val="Heading6"/>
      </w:pPr>
      <w:r w:rsidRPr="00A452F2">
        <w:t xml:space="preserve">Usage (%) </w:t>
      </w:r>
    </w:p>
    <w:p w14:paraId="1E5C641B" w14:textId="77777777" w:rsidR="00FF0111" w:rsidRPr="00A452F2" w:rsidRDefault="00FF0111" w:rsidP="00D400E7">
      <w:pPr>
        <w:rPr>
          <w:lang w:val="en-GB"/>
        </w:rPr>
      </w:pPr>
      <w:r w:rsidRPr="00A452F2">
        <w:rPr>
          <w:lang w:val="en-GB"/>
        </w:rPr>
        <w:t xml:space="preserve">The following is a single vCPU production Windows Server. Both CPU Usage (MHz) and Demand jump to </w:t>
      </w:r>
      <w:r>
        <w:rPr>
          <w:lang w:val="en-GB"/>
        </w:rPr>
        <w:t>over</w:t>
      </w:r>
      <w:r w:rsidRPr="00A452F2">
        <w:rPr>
          <w:lang w:val="en-GB"/>
        </w:rPr>
        <w:t xml:space="preserve"> 100%. Their values are identical for almost 30 days. The VM had near 0% Contention (not shown in chart), hence the 2 values are identical.</w:t>
      </w:r>
    </w:p>
    <w:p w14:paraId="59790F50" w14:textId="77777777" w:rsidR="00FF0111" w:rsidRPr="00A452F2" w:rsidRDefault="00FF0111" w:rsidP="00D400E7">
      <w:pPr>
        <w:rPr>
          <w:lang w:val="en-GB"/>
        </w:rPr>
      </w:pPr>
      <w:r>
        <w:rPr>
          <w:noProof/>
        </w:rPr>
        <w:lastRenderedPageBreak/>
        <w:drawing>
          <wp:inline distT="0" distB="0" distL="0" distR="0" wp14:anchorId="4A146BAF" wp14:editId="0C7403CD">
            <wp:extent cx="6645910" cy="2422525"/>
            <wp:effectExtent l="0" t="0" r="2540" b="0"/>
            <wp:docPr id="606394087" name="Picture 60639408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87"/>
                    <pic:cNvPicPr/>
                  </pic:nvPicPr>
                  <pic:blipFill>
                    <a:blip r:embed="rId515" cstate="print">
                      <a:extLst>
                        <a:ext uri="{28A0092B-C50C-407E-A947-70E740481C1C}">
                          <a14:useLocalDpi xmlns:a14="http://schemas.microsoft.com/office/drawing/2010/main" val="0"/>
                        </a:ext>
                      </a:extLst>
                    </a:blip>
                    <a:stretch>
                      <a:fillRect/>
                    </a:stretch>
                  </pic:blipFill>
                  <pic:spPr>
                    <a:xfrm>
                      <a:off x="0" y="0"/>
                      <a:ext cx="6645910" cy="2422525"/>
                    </a:xfrm>
                    <a:prstGeom prst="rect">
                      <a:avLst/>
                    </a:prstGeom>
                  </pic:spPr>
                </pic:pic>
              </a:graphicData>
            </a:graphic>
          </wp:inline>
        </w:drawing>
      </w:r>
    </w:p>
    <w:p w14:paraId="144D500C" w14:textId="77777777" w:rsidR="00FF0111" w:rsidRPr="00A452F2" w:rsidRDefault="00FF0111" w:rsidP="00D400E7">
      <w:pPr>
        <w:rPr>
          <w:lang w:val="en-GB"/>
        </w:rPr>
      </w:pPr>
      <w:r w:rsidRPr="00A452F2">
        <w:rPr>
          <w:lang w:val="en-GB"/>
        </w:rPr>
        <w:t xml:space="preserve">However, when we plot the value in %, we see a different number. Usage (%) is </w:t>
      </w:r>
      <w:r>
        <w:rPr>
          <w:lang w:val="en-GB"/>
        </w:rPr>
        <w:t xml:space="preserve">strangely </w:t>
      </w:r>
      <w:r w:rsidRPr="00A452F2">
        <w:rPr>
          <w:lang w:val="en-GB"/>
        </w:rPr>
        <w:t xml:space="preserve">capped at 100%. </w:t>
      </w:r>
    </w:p>
    <w:p w14:paraId="7504A9FB" w14:textId="77777777" w:rsidR="00FF0111" w:rsidRPr="00A452F2" w:rsidRDefault="00FF0111" w:rsidP="00D400E7">
      <w:pPr>
        <w:rPr>
          <w:lang w:val="en-GB"/>
        </w:rPr>
      </w:pPr>
      <w:r>
        <w:rPr>
          <w:noProof/>
        </w:rPr>
        <w:drawing>
          <wp:inline distT="0" distB="0" distL="0" distR="0" wp14:anchorId="59C2802D" wp14:editId="15BC1ABD">
            <wp:extent cx="6645910" cy="1273175"/>
            <wp:effectExtent l="0" t="0" r="2540" b="3175"/>
            <wp:docPr id="606394088" name="Picture 606394088"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88"/>
                    <pic:cNvPicPr/>
                  </pic:nvPicPr>
                  <pic:blipFill>
                    <a:blip r:embed="rId516">
                      <a:extLst>
                        <a:ext uri="{28A0092B-C50C-407E-A947-70E740481C1C}">
                          <a14:useLocalDpi xmlns:a14="http://schemas.microsoft.com/office/drawing/2010/main" val="0"/>
                        </a:ext>
                      </a:extLst>
                    </a:blip>
                    <a:stretch>
                      <a:fillRect/>
                    </a:stretch>
                  </pic:blipFill>
                  <pic:spPr>
                    <a:xfrm>
                      <a:off x="0" y="0"/>
                      <a:ext cx="6645910" cy="1273175"/>
                    </a:xfrm>
                    <a:prstGeom prst="rect">
                      <a:avLst/>
                    </a:prstGeom>
                  </pic:spPr>
                </pic:pic>
              </a:graphicData>
            </a:graphic>
          </wp:inline>
        </w:drawing>
      </w:r>
    </w:p>
    <w:p w14:paraId="4EFA0947" w14:textId="77777777" w:rsidR="00FF0111" w:rsidRPr="00A452F2" w:rsidRDefault="00FF0111" w:rsidP="00D400E7">
      <w:pPr>
        <w:rPr>
          <w:lang w:val="en-GB"/>
        </w:rPr>
      </w:pPr>
      <w:r w:rsidRPr="00A452F2">
        <w:rPr>
          <w:lang w:val="en-GB"/>
        </w:rPr>
        <w:t>The VM experienced some contention around May 12. That’s why Demand was higher than Usage.</w:t>
      </w:r>
    </w:p>
    <w:p w14:paraId="2C1549CA" w14:textId="77777777" w:rsidR="00FF0111" w:rsidRPr="00A452F2" w:rsidRDefault="00FF0111" w:rsidP="00D400E7">
      <w:pPr>
        <w:pStyle w:val="Heading5"/>
      </w:pPr>
      <w:bookmarkStart w:id="92" w:name="_VM_Demand"/>
      <w:bookmarkStart w:id="93" w:name="_Demand"/>
      <w:bookmarkEnd w:id="92"/>
      <w:bookmarkEnd w:id="93"/>
      <w:r w:rsidRPr="00A452F2">
        <w:t>Demand</w:t>
      </w:r>
    </w:p>
    <w:p w14:paraId="47BC9683" w14:textId="75CB6224" w:rsidR="00FF0111" w:rsidRDefault="00FF0111" w:rsidP="00D400E7">
      <w:pPr>
        <w:rPr>
          <w:lang w:val="en-GB"/>
        </w:rPr>
      </w:pPr>
      <w:r>
        <w:rPr>
          <w:lang w:val="en-GB"/>
        </w:rPr>
        <w:t>Demand differs to Usage as it assumes the VM does not share the physical core. It’s unaware of the penalty caused by hype</w:t>
      </w:r>
      <w:r w:rsidR="009C4B21">
        <w:rPr>
          <w:lang w:val="en-GB"/>
        </w:rPr>
        <w:t>r</w:t>
      </w:r>
      <w:r>
        <w:rPr>
          <w:lang w:val="en-GB"/>
        </w:rPr>
        <w:t xml:space="preserve">threading. It’s what the VM utilization would be had it not experienced any contention. </w:t>
      </w:r>
    </w:p>
    <w:p w14:paraId="28E6E80C" w14:textId="77777777" w:rsidR="00FF0111" w:rsidRDefault="00FF0111" w:rsidP="00D400E7">
      <w:pPr>
        <w:rPr>
          <w:lang w:val="en-GB"/>
        </w:rPr>
      </w:pPr>
      <w:r>
        <w:rPr>
          <w:lang w:val="en-GB"/>
        </w:rPr>
        <w:t xml:space="preserve">In the event the VM vCPU is sharing, the value of Usage will be 37.5% lower, reflecting the fact that the VM only gets 62.5% of the core. This makes sense as the HT throughput benefit is fixed at 1.25x. </w:t>
      </w:r>
    </w:p>
    <w:p w14:paraId="3D60E0A3" w14:textId="77777777" w:rsidR="00FF0111" w:rsidRDefault="00FF0111" w:rsidP="00D400E7">
      <w:pPr>
        <w:rPr>
          <w:lang w:val="en-GB"/>
        </w:rPr>
      </w:pPr>
      <w:r>
        <w:rPr>
          <w:lang w:val="en-GB"/>
        </w:rPr>
        <w:t xml:space="preserve">If there is no contention, Demand and Usage will be similar. </w:t>
      </w:r>
    </w:p>
    <w:p w14:paraId="4896A39B" w14:textId="4044AAED" w:rsidR="00FF0111" w:rsidRDefault="00FF0111" w:rsidP="00D400E7">
      <w:pPr>
        <w:rPr>
          <w:lang w:val="en-GB"/>
        </w:rPr>
      </w:pPr>
      <w:r>
        <w:rPr>
          <w:lang w:val="en-GB"/>
        </w:rPr>
        <w:t>Take a look at the following screenshot from vCenter. It’s comparing Demand (bold) and Usage</w:t>
      </w:r>
      <w:r w:rsidR="00E4254C">
        <w:rPr>
          <w:lang w:val="en-GB"/>
        </w:rPr>
        <w:t xml:space="preserve">. </w:t>
      </w:r>
    </w:p>
    <w:p w14:paraId="560F5BB5" w14:textId="77777777" w:rsidR="00FF0111" w:rsidRDefault="00FF0111" w:rsidP="00D400E7">
      <w:pPr>
        <w:rPr>
          <w:lang w:val="en-GB"/>
        </w:rPr>
      </w:pPr>
      <w:r>
        <w:rPr>
          <w:lang w:val="en-GB"/>
        </w:rPr>
        <w:t>What do you notice?</w:t>
      </w:r>
    </w:p>
    <w:p w14:paraId="263E05E6" w14:textId="77777777" w:rsidR="00FF0111" w:rsidRDefault="00FF0111" w:rsidP="00D400E7">
      <w:pPr>
        <w:rPr>
          <w:lang w:val="en-GB"/>
        </w:rPr>
      </w:pPr>
      <w:r w:rsidRPr="008178CB">
        <w:rPr>
          <w:noProof/>
          <w:lang w:val="en-GB"/>
        </w:rPr>
        <w:lastRenderedPageBreak/>
        <w:drawing>
          <wp:inline distT="0" distB="0" distL="0" distR="0" wp14:anchorId="5571DB81" wp14:editId="0BFED84E">
            <wp:extent cx="6645910" cy="5100320"/>
            <wp:effectExtent l="0" t="0" r="2540" b="5080"/>
            <wp:docPr id="1525330294" name="Picture 1525330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6645910" cy="5100320"/>
                    </a:xfrm>
                    <a:prstGeom prst="rect">
                      <a:avLst/>
                    </a:prstGeom>
                  </pic:spPr>
                </pic:pic>
              </a:graphicData>
            </a:graphic>
          </wp:inline>
        </w:drawing>
      </w:r>
    </w:p>
    <w:p w14:paraId="3475058C" w14:textId="77777777" w:rsidR="00FF0111" w:rsidRDefault="00FF0111" w:rsidP="00D400E7">
      <w:pPr>
        <w:rPr>
          <w:lang w:val="en-GB"/>
        </w:rPr>
      </w:pPr>
      <w:r>
        <w:rPr>
          <w:lang w:val="en-GB"/>
        </w:rPr>
        <w:t>How can Usage be higher than Demand at some of the point?</w:t>
      </w:r>
    </w:p>
    <w:p w14:paraId="0862A028" w14:textId="77777777" w:rsidR="00FF0111" w:rsidRDefault="00FF0111" w:rsidP="00D400E7">
      <w:pPr>
        <w:rPr>
          <w:lang w:val="en-GB"/>
        </w:rPr>
      </w:pPr>
      <w:r>
        <w:rPr>
          <w:lang w:val="en-GB"/>
        </w:rPr>
        <w:t>The reason is Demand is averaged over a longer time</w:t>
      </w:r>
      <w:r w:rsidRPr="00A452F2">
        <w:rPr>
          <w:lang w:val="en-GB"/>
        </w:rPr>
        <w:t>, giving it a more steady value.</w:t>
      </w:r>
      <w:r>
        <w:rPr>
          <w:lang w:val="en-GB"/>
        </w:rPr>
        <w:t xml:space="preserve"> That’s why the peak is shorter but wider. Notice the average over 1 hour is higher for Demand.</w:t>
      </w:r>
    </w:p>
    <w:p w14:paraId="4AA6DF45" w14:textId="77777777" w:rsidR="00FF0111" w:rsidRDefault="00FF0111" w:rsidP="00D400E7">
      <w:pPr>
        <w:rPr>
          <w:lang w:val="en-GB"/>
        </w:rPr>
      </w:pPr>
      <w:r>
        <w:rPr>
          <w:lang w:val="en-GB"/>
        </w:rPr>
        <w:t xml:space="preserve">Demand could be </w:t>
      </w:r>
      <w:r w:rsidRPr="002F2C51">
        <w:rPr>
          <w:color w:val="FF0000"/>
          <w:lang w:val="en-GB"/>
        </w:rPr>
        <w:t xml:space="preserve">lower </w:t>
      </w:r>
      <w:r>
        <w:rPr>
          <w:lang w:val="en-GB"/>
        </w:rPr>
        <w:t>than Run if there is power management savings, as it accounts for speed &amp; efficiency of the run.</w:t>
      </w:r>
    </w:p>
    <w:p w14:paraId="7ED03181" w14:textId="4A8CC343" w:rsidR="00FF0111" w:rsidRDefault="00FF0111" w:rsidP="00D400E7">
      <w:pPr>
        <w:rPr>
          <w:lang w:val="en-GB"/>
        </w:rPr>
      </w:pPr>
      <w:r>
        <w:rPr>
          <w:lang w:val="en-GB"/>
        </w:rPr>
        <w:t xml:space="preserve">Demand (MHz) and Usage (MHz) can exceed 100%. The following is a 32-vCPU </w:t>
      </w:r>
      <w:r w:rsidR="009C4B21">
        <w:rPr>
          <w:lang w:val="en-GB"/>
        </w:rPr>
        <w:t>Hadoop</w:t>
      </w:r>
      <w:r>
        <w:rPr>
          <w:lang w:val="en-GB"/>
        </w:rPr>
        <w:t xml:space="preserve"> worker node. Notice it exceeds the total capacity multiple times. Demand and Usage are identical as it’s the only VM running and the has more than 32 cores, hence there is 0 contention.</w:t>
      </w:r>
    </w:p>
    <w:p w14:paraId="14082118" w14:textId="77777777" w:rsidR="00FF0111" w:rsidRDefault="00FF0111" w:rsidP="00D400E7">
      <w:pPr>
        <w:rPr>
          <w:lang w:val="en-GB"/>
        </w:rPr>
      </w:pPr>
      <w:r>
        <w:rPr>
          <w:noProof/>
        </w:rPr>
        <w:drawing>
          <wp:inline distT="0" distB="0" distL="0" distR="0" wp14:anchorId="4ABCE627" wp14:editId="4BD63A63">
            <wp:extent cx="6645910" cy="1834515"/>
            <wp:effectExtent l="0" t="0" r="2540" b="0"/>
            <wp:docPr id="606394301" name="Picture 606394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01"/>
                    <pic:cNvPicPr/>
                  </pic:nvPicPr>
                  <pic:blipFill>
                    <a:blip r:embed="rId518" cstate="print">
                      <a:extLst>
                        <a:ext uri="{28A0092B-C50C-407E-A947-70E740481C1C}">
                          <a14:useLocalDpi xmlns:a14="http://schemas.microsoft.com/office/drawing/2010/main" val="0"/>
                        </a:ext>
                      </a:extLst>
                    </a:blip>
                    <a:stretch>
                      <a:fillRect/>
                    </a:stretch>
                  </pic:blipFill>
                  <pic:spPr>
                    <a:xfrm>
                      <a:off x="0" y="0"/>
                      <a:ext cx="6645910" cy="1834515"/>
                    </a:xfrm>
                    <a:prstGeom prst="rect">
                      <a:avLst/>
                    </a:prstGeom>
                  </pic:spPr>
                </pic:pic>
              </a:graphicData>
            </a:graphic>
          </wp:inline>
        </w:drawing>
      </w:r>
    </w:p>
    <w:p w14:paraId="16EA59AE" w14:textId="77777777" w:rsidR="00FF0111" w:rsidRPr="00A452F2" w:rsidRDefault="00FF0111" w:rsidP="00D400E7">
      <w:pPr>
        <w:rPr>
          <w:lang w:val="en-GB"/>
        </w:rPr>
      </w:pPr>
      <w:r>
        <w:rPr>
          <w:lang w:val="en-GB"/>
        </w:rPr>
        <w:lastRenderedPageBreak/>
        <w:t xml:space="preserve">Okay, now that you have some knowledge, let’s test it </w:t>
      </w:r>
      <w:r w:rsidRPr="00987CC5">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377F3863" w14:textId="77777777" w:rsidR="00FF0111" w:rsidRDefault="00FF0111" w:rsidP="00D400E7">
      <w:pPr>
        <w:rPr>
          <w:lang w:val="en-GB"/>
        </w:rPr>
      </w:pPr>
      <w:r>
        <w:rPr>
          <w:lang w:val="en-GB"/>
        </w:rPr>
        <w:t xml:space="preserve">Quiz Time! </w:t>
      </w:r>
      <w:r w:rsidRPr="00A452F2">
        <w:rPr>
          <w:lang w:val="en-GB"/>
        </w:rPr>
        <w:t xml:space="preserve">Looking at the chart below, what could be causing it? </w:t>
      </w:r>
    </w:p>
    <w:p w14:paraId="26A2EF14" w14:textId="77777777" w:rsidR="00FF0111" w:rsidRPr="00A452F2" w:rsidRDefault="00FF0111" w:rsidP="00D400E7">
      <w:pPr>
        <w:rPr>
          <w:lang w:val="en-GB"/>
        </w:rPr>
      </w:pPr>
      <w:r w:rsidRPr="00A452F2">
        <w:rPr>
          <w:lang w:val="en-GB"/>
        </w:rPr>
        <w:t xml:space="preserve">Notice Demand jump while Usage dropped. VM CPU Contention (%) jumped even more. </w:t>
      </w:r>
      <w:r>
        <w:rPr>
          <w:lang w:val="en-GB"/>
        </w:rPr>
        <w:t>What is going on?</w:t>
      </w:r>
    </w:p>
    <w:p w14:paraId="53BAA62F" w14:textId="77777777" w:rsidR="00FF0111" w:rsidRDefault="00FF0111" w:rsidP="00D400E7">
      <w:pPr>
        <w:rPr>
          <w:lang w:val="en-GB"/>
        </w:rPr>
      </w:pPr>
      <w:r>
        <w:rPr>
          <w:noProof/>
        </w:rPr>
        <w:drawing>
          <wp:inline distT="0" distB="0" distL="0" distR="0" wp14:anchorId="748AC818" wp14:editId="0B2B42A6">
            <wp:extent cx="6645910" cy="1623695"/>
            <wp:effectExtent l="0" t="0" r="2540" b="0"/>
            <wp:docPr id="606394085" name="Picture 606394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85"/>
                    <pic:cNvPicPr/>
                  </pic:nvPicPr>
                  <pic:blipFill>
                    <a:blip r:embed="rId519">
                      <a:extLst>
                        <a:ext uri="{28A0092B-C50C-407E-A947-70E740481C1C}">
                          <a14:useLocalDpi xmlns:a14="http://schemas.microsoft.com/office/drawing/2010/main" val="0"/>
                        </a:ext>
                      </a:extLst>
                    </a:blip>
                    <a:stretch>
                      <a:fillRect/>
                    </a:stretch>
                  </pic:blipFill>
                  <pic:spPr>
                    <a:xfrm>
                      <a:off x="0" y="0"/>
                      <a:ext cx="6645910" cy="1623695"/>
                    </a:xfrm>
                    <a:prstGeom prst="rect">
                      <a:avLst/>
                    </a:prstGeom>
                  </pic:spPr>
                </pic:pic>
              </a:graphicData>
            </a:graphic>
          </wp:inline>
        </w:drawing>
      </w:r>
      <w:r w:rsidRPr="1621D005">
        <w:rPr>
          <w:lang w:val="en-GB"/>
        </w:rPr>
        <w:t xml:space="preserve"> </w:t>
      </w:r>
    </w:p>
    <w:p w14:paraId="3A8643B3" w14:textId="77777777" w:rsidR="00FF0111" w:rsidRDefault="00FF0111" w:rsidP="00D400E7">
      <w:pPr>
        <w:rPr>
          <w:lang w:val="en-GB"/>
        </w:rPr>
      </w:pPr>
      <w:r>
        <w:rPr>
          <w:lang w:val="en-GB"/>
        </w:rPr>
        <w:t>And why is that Contention is much more than Demand – Usage?</w:t>
      </w:r>
    </w:p>
    <w:p w14:paraId="4BDFEFB6" w14:textId="743437EC" w:rsidR="00FF0111" w:rsidRDefault="00FF0111" w:rsidP="00D400E7">
      <w:pPr>
        <w:rPr>
          <w:lang w:val="en-GB"/>
        </w:rPr>
      </w:pPr>
      <w:r>
        <w:rPr>
          <w:lang w:val="en-GB"/>
        </w:rPr>
        <w:t xml:space="preserve">The reason why </w:t>
      </w:r>
      <w:r w:rsidRPr="00A452F2">
        <w:rPr>
          <w:lang w:val="en-GB"/>
        </w:rPr>
        <w:t xml:space="preserve">Demand </w:t>
      </w:r>
      <w:r>
        <w:rPr>
          <w:lang w:val="en-GB"/>
        </w:rPr>
        <w:t xml:space="preserve">metric </w:t>
      </w:r>
      <w:r w:rsidRPr="00A452F2">
        <w:rPr>
          <w:lang w:val="en-GB"/>
        </w:rPr>
        <w:t>jump</w:t>
      </w:r>
      <w:r>
        <w:rPr>
          <w:lang w:val="en-GB"/>
        </w:rPr>
        <w:t>s</w:t>
      </w:r>
      <w:r w:rsidRPr="00A452F2">
        <w:rPr>
          <w:lang w:val="en-GB"/>
        </w:rPr>
        <w:t xml:space="preserve"> while Usage drop</w:t>
      </w:r>
      <w:r>
        <w:rPr>
          <w:lang w:val="en-GB"/>
        </w:rPr>
        <w:t>s is contention</w:t>
      </w:r>
      <w:r w:rsidRPr="00A452F2">
        <w:rPr>
          <w:lang w:val="en-GB"/>
        </w:rPr>
        <w:t xml:space="preserve">. </w:t>
      </w:r>
      <w:r>
        <w:rPr>
          <w:lang w:val="en-GB"/>
        </w:rPr>
        <w:t xml:space="preserve">The VM experiences contention, which includes hyperthreading sharing. I should have included the screenshot of CPU Ready, </w:t>
      </w:r>
      <w:r w:rsidR="00443625">
        <w:rPr>
          <w:lang w:val="en-GB"/>
        </w:rPr>
        <w:t>Co-stop</w:t>
      </w:r>
      <w:r>
        <w:rPr>
          <w:lang w:val="en-GB"/>
        </w:rPr>
        <w:t>, Overlap, VM Wait and Swap Wait.</w:t>
      </w:r>
    </w:p>
    <w:p w14:paraId="68FBF01B" w14:textId="74AD492E" w:rsidR="00FF0111" w:rsidRDefault="00FF0111" w:rsidP="00D400E7">
      <w:pPr>
        <w:rPr>
          <w:lang w:val="en-GB"/>
        </w:rPr>
      </w:pPr>
      <w:r>
        <w:rPr>
          <w:lang w:val="en-GB"/>
        </w:rPr>
        <w:t xml:space="preserve">From the chart you can see that the formula for </w:t>
      </w:r>
      <w:r w:rsidRPr="00A452F2">
        <w:rPr>
          <w:lang w:val="en-GB"/>
        </w:rPr>
        <w:t xml:space="preserve">VM CPU Contention </w:t>
      </w:r>
      <w:r>
        <w:rPr>
          <w:rFonts w:ascii="Times New Roman" w:hAnsi="Times New Roman" w:cs="Times New Roman"/>
          <w:lang w:val="en-GB"/>
        </w:rPr>
        <w:t>&gt;</w:t>
      </w:r>
      <w:r>
        <w:rPr>
          <w:lang w:val="en-GB"/>
        </w:rPr>
        <w:t xml:space="preserve"> Demand – Usage. Contention (%) is around 20% when Demand is 25% and Usage is 15%. The reason is Contention accounts for both CPU frequency and hyper threading, while the difference between Demand and Usage is hyper-threading.</w:t>
      </w:r>
    </w:p>
    <w:p w14:paraId="36DD6B56" w14:textId="2D56C9F9" w:rsidR="001C2026" w:rsidRDefault="001C2026" w:rsidP="00D400E7">
      <w:pPr>
        <w:rPr>
          <w:lang w:val="en-GB"/>
        </w:rPr>
      </w:pPr>
      <w:r>
        <w:rPr>
          <w:lang w:val="en-GB"/>
        </w:rPr>
        <w:t>Aria Operations provides a percentage metric for Demand. The formula is</w:t>
      </w:r>
    </w:p>
    <w:p w14:paraId="0FFF3484" w14:textId="701C8146" w:rsidR="001C2026" w:rsidRPr="00B46262" w:rsidRDefault="001C2026" w:rsidP="00D400E7">
      <w:pPr>
        <w:pStyle w:val="Code"/>
      </w:pPr>
      <w:r>
        <w:t>Demand (%) = Demand (MHz) / Total Capacity (MHz) x 100</w:t>
      </w:r>
    </w:p>
    <w:p w14:paraId="24373798" w14:textId="77777777" w:rsidR="00FF0111" w:rsidRDefault="00FF0111" w:rsidP="00D400E7">
      <w:pPr>
        <w:rPr>
          <w:lang w:val="en-GB"/>
        </w:rPr>
      </w:pPr>
      <w:r w:rsidRPr="00A452F2">
        <w:rPr>
          <w:lang w:val="en-GB"/>
        </w:rPr>
        <w:t xml:space="preserve">In older release of vRealize Operations, this counter used to be computed as </w:t>
      </w:r>
      <w:r>
        <w:rPr>
          <w:lang w:val="en-GB"/>
        </w:rPr>
        <w:t>m</w:t>
      </w:r>
      <w:r w:rsidRPr="00A452F2">
        <w:rPr>
          <w:lang w:val="en-GB"/>
        </w:rPr>
        <w:t>ax</w:t>
      </w:r>
      <w:r>
        <w:rPr>
          <w:lang w:val="en-GB"/>
        </w:rPr>
        <w:t xml:space="preserve">imum </w:t>
      </w:r>
      <w:r w:rsidRPr="00A452F2">
        <w:rPr>
          <w:lang w:val="en-GB"/>
        </w:rPr>
        <w:t>(CPU Utilization for Resources</w:t>
      </w:r>
      <w:r>
        <w:rPr>
          <w:lang w:val="en-GB"/>
        </w:rPr>
        <w:t xml:space="preserve"> \ </w:t>
      </w:r>
      <w:r w:rsidRPr="00A452F2">
        <w:rPr>
          <w:lang w:val="en-GB"/>
        </w:rPr>
        <w:t>CPU Active (1 min. average) / Configuration</w:t>
      </w:r>
      <w:r>
        <w:rPr>
          <w:lang w:val="en-GB"/>
        </w:rPr>
        <w:t xml:space="preserve"> \ </w:t>
      </w:r>
      <w:r w:rsidRPr="00A452F2">
        <w:rPr>
          <w:lang w:val="en-GB"/>
        </w:rPr>
        <w:t>Hardware</w:t>
      </w:r>
      <w:r>
        <w:rPr>
          <w:lang w:val="en-GB"/>
        </w:rPr>
        <w:t xml:space="preserve"> \ </w:t>
      </w:r>
      <w:r w:rsidRPr="00A452F2">
        <w:rPr>
          <w:lang w:val="en-GB"/>
        </w:rPr>
        <w:t>Number of CPUs, CPU</w:t>
      </w:r>
      <w:r>
        <w:rPr>
          <w:lang w:val="en-GB"/>
        </w:rPr>
        <w:t xml:space="preserve"> </w:t>
      </w:r>
      <w:r w:rsidRPr="00A452F2">
        <w:rPr>
          <w:lang w:val="en-GB"/>
        </w:rPr>
        <w:t>Usage) * CPU</w:t>
      </w:r>
      <w:r>
        <w:rPr>
          <w:lang w:val="en-GB"/>
        </w:rPr>
        <w:t xml:space="preserve"> </w:t>
      </w:r>
      <w:r w:rsidRPr="00A452F2">
        <w:rPr>
          <w:lang w:val="en-GB"/>
        </w:rPr>
        <w:t>Total Capacity / 100. This is no longer the case as vRealize Operations now simply maps to vCenter metric.</w:t>
      </w:r>
    </w:p>
    <w:p w14:paraId="755C7864" w14:textId="77777777" w:rsidR="00FF0111" w:rsidRPr="00A452F2" w:rsidRDefault="00FF0111" w:rsidP="00D400E7">
      <w:pPr>
        <w:rPr>
          <w:lang w:val="en-GB"/>
        </w:rPr>
      </w:pPr>
      <w:r>
        <w:rPr>
          <w:lang w:val="en-GB"/>
        </w:rPr>
        <w:t xml:space="preserve">Source wise, the metric in vRealize Operations simply maps to </w:t>
      </w:r>
      <w:r>
        <w:t xml:space="preserve">vCenter counter </w:t>
      </w:r>
      <w:r w:rsidRPr="005D58FF">
        <w:rPr>
          <w:color w:val="00B0F0"/>
        </w:rPr>
        <w:t>cpu.demand.average</w:t>
      </w:r>
      <w:r>
        <w:t xml:space="preserve">. </w:t>
      </w:r>
    </w:p>
    <w:p w14:paraId="7DE67812" w14:textId="7EC514C5" w:rsidR="00FF0111" w:rsidRDefault="00FF0111" w:rsidP="00D400E7">
      <w:pPr>
        <w:pStyle w:val="Heading5"/>
      </w:pPr>
      <w:bookmarkStart w:id="94" w:name="_Contention_(%)"/>
      <w:bookmarkStart w:id="95" w:name="_Contention"/>
      <w:bookmarkEnd w:id="94"/>
      <w:bookmarkEnd w:id="95"/>
      <w:r>
        <w:t>Used vs Run vs Usage</w:t>
      </w:r>
    </w:p>
    <w:p w14:paraId="0D9936BD" w14:textId="5D04E1FA" w:rsidR="00FF0111" w:rsidRDefault="00FF0111" w:rsidP="00D400E7">
      <w:pPr>
        <w:rPr>
          <w:lang w:val="en-GB"/>
        </w:rPr>
      </w:pPr>
      <w:r w:rsidRPr="00A452F2">
        <w:rPr>
          <w:lang w:val="en-GB"/>
        </w:rPr>
        <w:t>By now I hope you vrealize that the various “</w:t>
      </w:r>
      <w:r w:rsidRPr="00A15555">
        <w:rPr>
          <w:color w:val="00B0F0"/>
          <w:lang w:val="en-GB"/>
        </w:rPr>
        <w:t>utilization</w:t>
      </w:r>
      <w:r w:rsidRPr="00A452F2">
        <w:rPr>
          <w:lang w:val="en-GB"/>
        </w:rPr>
        <w:t xml:space="preserve">” metrics in the 4 key objects (Guest OS, VM, ESXi and Cluster) varies. Each has their own unique behaviour. Because of this, you are right to assume that they do not map nicely across the stack. Let’s </w:t>
      </w:r>
      <w:r>
        <w:rPr>
          <w:lang w:val="en-GB"/>
        </w:rPr>
        <w:t xml:space="preserve">test your knowledge </w:t>
      </w:r>
      <w:r w:rsidRPr="004F145E">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25B01140" w14:textId="77777777" w:rsidR="00FF0111" w:rsidRDefault="00FF0111" w:rsidP="00D400E7">
      <w:r>
        <w:t>Review the following chart carefully. Zoom in if necessary.</w:t>
      </w:r>
    </w:p>
    <w:p w14:paraId="6E927B2C" w14:textId="77777777" w:rsidR="00FF0111" w:rsidRDefault="00FF0111" w:rsidP="00D400E7">
      <w:pPr>
        <w:rPr>
          <w:lang w:val="en-GB"/>
        </w:rPr>
      </w:pPr>
      <w:r>
        <w:rPr>
          <w:noProof/>
        </w:rPr>
        <w:lastRenderedPageBreak/>
        <w:drawing>
          <wp:inline distT="0" distB="0" distL="0" distR="0" wp14:anchorId="5C7C85EC" wp14:editId="302AA8F2">
            <wp:extent cx="6746400" cy="4482000"/>
            <wp:effectExtent l="0" t="0" r="0" b="0"/>
            <wp:docPr id="37" name="Picture 37"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pic:nvPicPr>
                  <pic:blipFill rotWithShape="1">
                    <a:blip r:embed="rId520">
                      <a:extLst>
                        <a:ext uri="{28A0092B-C50C-407E-A947-70E740481C1C}">
                          <a14:useLocalDpi xmlns:a14="http://schemas.microsoft.com/office/drawing/2010/main" val="0"/>
                        </a:ext>
                      </a:extLst>
                    </a:blip>
                    <a:srcRect l="2093" t="1007" r="3672" b="12238"/>
                    <a:stretch/>
                  </pic:blipFill>
                  <pic:spPr bwMode="auto">
                    <a:xfrm>
                      <a:off x="0" y="0"/>
                      <a:ext cx="6746400" cy="4482000"/>
                    </a:xfrm>
                    <a:prstGeom prst="rect">
                      <a:avLst/>
                    </a:prstGeom>
                    <a:ln>
                      <a:noFill/>
                    </a:ln>
                    <a:extLst>
                      <a:ext uri="{53640926-AAD7-44D8-BBD7-CCE9431645EC}">
                        <a14:shadowObscured xmlns:a14="http://schemas.microsoft.com/office/drawing/2010/main"/>
                      </a:ext>
                    </a:extLst>
                  </pic:spPr>
                </pic:pic>
              </a:graphicData>
            </a:graphic>
          </wp:inline>
        </w:drawing>
      </w:r>
    </w:p>
    <w:p w14:paraId="798FD4FF" w14:textId="3E406B46" w:rsidR="00F71DA2" w:rsidRPr="00A452F2" w:rsidRDefault="00F71DA2" w:rsidP="00F71DA2">
      <w:pPr>
        <w:rPr>
          <w:lang w:val="en-GB"/>
        </w:rPr>
      </w:pPr>
      <w:r w:rsidRPr="00A452F2">
        <w:rPr>
          <w:lang w:val="en-GB"/>
        </w:rPr>
        <w:t>The vCenter chart</w:t>
      </w:r>
      <w:r w:rsidRPr="00A452F2">
        <w:rPr>
          <w:rStyle w:val="FootnoteReference"/>
          <w:lang w:val="en-GB"/>
        </w:rPr>
        <w:footnoteReference w:id="22"/>
      </w:r>
      <w:r>
        <w:rPr>
          <w:lang w:val="en-GB"/>
        </w:rPr>
        <w:t xml:space="preserve"> above </w:t>
      </w:r>
      <w:r w:rsidRPr="00A452F2">
        <w:rPr>
          <w:lang w:val="en-GB"/>
        </w:rPr>
        <w:t>show</w:t>
      </w:r>
      <w:r>
        <w:rPr>
          <w:lang w:val="en-GB"/>
        </w:rPr>
        <w:t>s</w:t>
      </w:r>
      <w:r w:rsidRPr="00A452F2">
        <w:rPr>
          <w:lang w:val="en-GB"/>
        </w:rPr>
        <w:t xml:space="preserve"> a VM utilization </w:t>
      </w:r>
      <w:r>
        <w:rPr>
          <w:lang w:val="en-GB"/>
        </w:rPr>
        <w:t>metrics</w:t>
      </w:r>
      <w:r w:rsidRPr="00F71DA2">
        <w:rPr>
          <w:lang w:val="en-GB"/>
        </w:rPr>
        <w:t xml:space="preserve"> </w:t>
      </w:r>
      <w:r>
        <w:rPr>
          <w:lang w:val="en-GB"/>
        </w:rPr>
        <w:t>from a single VM</w:t>
      </w:r>
      <w:r w:rsidRPr="00A452F2">
        <w:rPr>
          <w:lang w:val="en-GB"/>
        </w:rPr>
        <w:t xml:space="preserve">. </w:t>
      </w:r>
      <w:r>
        <w:rPr>
          <w:lang w:val="en-GB"/>
        </w:rPr>
        <w:t xml:space="preserve">The VM is </w:t>
      </w:r>
      <w:r w:rsidRPr="00A452F2">
        <w:rPr>
          <w:lang w:val="en-GB"/>
        </w:rPr>
        <w:t>a large VM with 24 vCPU</w:t>
      </w:r>
      <w:r>
        <w:rPr>
          <w:lang w:val="en-GB"/>
        </w:rPr>
        <w:t>s</w:t>
      </w:r>
      <w:r w:rsidRPr="00A452F2">
        <w:rPr>
          <w:lang w:val="en-GB"/>
        </w:rPr>
        <w:t xml:space="preserve"> running controlled CPU test. The power management is fixed so it run</w:t>
      </w:r>
      <w:r>
        <w:rPr>
          <w:lang w:val="en-GB"/>
        </w:rPr>
        <w:t>s</w:t>
      </w:r>
      <w:r w:rsidRPr="00A452F2">
        <w:rPr>
          <w:lang w:val="en-GB"/>
        </w:rPr>
        <w:t xml:space="preserve"> at nominal clock speed. This eliminates CPU frequency scaling factor.</w:t>
      </w:r>
    </w:p>
    <w:p w14:paraId="1DEB4675" w14:textId="31D70E0E" w:rsidR="00F71DA2" w:rsidRDefault="00F71DA2" w:rsidP="00F71DA2">
      <w:pPr>
        <w:rPr>
          <w:lang w:val="en-GB"/>
        </w:rPr>
      </w:pPr>
      <w:r>
        <w:rPr>
          <w:lang w:val="en-GB"/>
        </w:rPr>
        <w:t>The VM</w:t>
      </w:r>
      <w:r w:rsidRPr="00A452F2">
        <w:rPr>
          <w:lang w:val="en-GB"/>
        </w:rPr>
        <w:t xml:space="preserve"> start</w:t>
      </w:r>
      <w:r>
        <w:rPr>
          <w:lang w:val="en-GB"/>
        </w:rPr>
        <w:t>s</w:t>
      </w:r>
      <w:r w:rsidRPr="00A452F2">
        <w:rPr>
          <w:lang w:val="en-GB"/>
        </w:rPr>
        <w:t xml:space="preserve"> at 50% “</w:t>
      </w:r>
      <w:r w:rsidRPr="00F71DA2">
        <w:rPr>
          <w:color w:val="00B0F0"/>
          <w:lang w:val="en-GB"/>
        </w:rPr>
        <w:t>utilization</w:t>
      </w:r>
      <w:r w:rsidRPr="00A452F2">
        <w:rPr>
          <w:lang w:val="en-GB"/>
        </w:rPr>
        <w:t>”, with each vCPU pinned to a different physical core. It then slowly ramps up over time until it reach</w:t>
      </w:r>
      <w:r>
        <w:rPr>
          <w:lang w:val="en-GB"/>
        </w:rPr>
        <w:t>es</w:t>
      </w:r>
      <w:r w:rsidRPr="00A452F2">
        <w:rPr>
          <w:lang w:val="en-GB"/>
        </w:rPr>
        <w:t xml:space="preserve"> 100%. </w:t>
      </w:r>
    </w:p>
    <w:p w14:paraId="65FAA7E1" w14:textId="77777777" w:rsidR="00F71DA2" w:rsidRPr="00A452F2" w:rsidRDefault="00F71DA2" w:rsidP="00F71DA2">
      <w:pPr>
        <w:rPr>
          <w:lang w:val="en-GB"/>
        </w:rPr>
      </w:pPr>
      <w:r w:rsidRPr="00A452F2">
        <w:rPr>
          <w:lang w:val="en-GB"/>
        </w:rPr>
        <w:t xml:space="preserve">Can you figure out why the </w:t>
      </w:r>
      <w:r>
        <w:rPr>
          <w:lang w:val="en-GB"/>
        </w:rPr>
        <w:t>three</w:t>
      </w:r>
      <w:r w:rsidRPr="00A452F2">
        <w:rPr>
          <w:lang w:val="en-GB"/>
        </w:rPr>
        <w:t xml:space="preserve"> </w:t>
      </w:r>
      <w:r>
        <w:rPr>
          <w:lang w:val="en-GB"/>
        </w:rPr>
        <w:t>metrics</w:t>
      </w:r>
      <w:r w:rsidRPr="00A452F2">
        <w:rPr>
          <w:lang w:val="en-GB"/>
        </w:rPr>
        <w:t xml:space="preserve"> moved up differently? What do they measure?</w:t>
      </w:r>
    </w:p>
    <w:p w14:paraId="493A9686" w14:textId="77777777" w:rsidR="00FF0111" w:rsidRPr="00A452F2" w:rsidRDefault="00FF0111" w:rsidP="00D400E7">
      <w:pPr>
        <w:rPr>
          <w:lang w:val="en-GB"/>
        </w:rPr>
      </w:pPr>
      <w:r w:rsidRPr="00A452F2">
        <w:rPr>
          <w:lang w:val="en-GB"/>
        </w:rPr>
        <w:t xml:space="preserve">Now let’s look at the impact on the parent ESXi. It only has a single VM, but the VM vCPU matches the ESXi physical cores. The ESXi starts at 50% “utilization”, then slowly ramp up over time until it reached 100%. </w:t>
      </w:r>
    </w:p>
    <w:p w14:paraId="67AD69E5" w14:textId="77777777" w:rsidR="00FF0111" w:rsidRPr="00A452F2" w:rsidRDefault="00FF0111" w:rsidP="00D400E7">
      <w:pPr>
        <w:rPr>
          <w:lang w:val="en-GB"/>
        </w:rPr>
      </w:pPr>
      <w:r>
        <w:rPr>
          <w:noProof/>
        </w:rPr>
        <w:lastRenderedPageBreak/>
        <w:drawing>
          <wp:inline distT="0" distB="0" distL="0" distR="0" wp14:anchorId="6FA00934" wp14:editId="698E000E">
            <wp:extent cx="6616800" cy="4705200"/>
            <wp:effectExtent l="0" t="0" r="0" b="635"/>
            <wp:docPr id="38" name="Picture 38" descr="A picture containing text, computer,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pic:nvPicPr>
                  <pic:blipFill rotWithShape="1">
                    <a:blip r:embed="rId521">
                      <a:extLst>
                        <a:ext uri="{28A0092B-C50C-407E-A947-70E740481C1C}">
                          <a14:useLocalDpi xmlns:a14="http://schemas.microsoft.com/office/drawing/2010/main" val="0"/>
                        </a:ext>
                      </a:extLst>
                    </a:blip>
                    <a:srcRect l="1603" t="2039" r="4703" b="9155"/>
                    <a:stretch/>
                  </pic:blipFill>
                  <pic:spPr bwMode="auto">
                    <a:xfrm>
                      <a:off x="0" y="0"/>
                      <a:ext cx="6616800" cy="4705200"/>
                    </a:xfrm>
                    <a:prstGeom prst="rect">
                      <a:avLst/>
                    </a:prstGeom>
                    <a:ln>
                      <a:noFill/>
                    </a:ln>
                    <a:extLst>
                      <a:ext uri="{53640926-AAD7-44D8-BBD7-CCE9431645EC}">
                        <a14:shadowObscured xmlns:a14="http://schemas.microsoft.com/office/drawing/2010/main"/>
                      </a:ext>
                    </a:extLst>
                  </pic:spPr>
                </pic:pic>
              </a:graphicData>
            </a:graphic>
          </wp:inline>
        </w:drawing>
      </w:r>
    </w:p>
    <w:p w14:paraId="02C46085" w14:textId="77777777" w:rsidR="00FF0111" w:rsidRDefault="00FF0111" w:rsidP="00D400E7">
      <w:pPr>
        <w:rPr>
          <w:lang w:val="en-GB"/>
        </w:rPr>
      </w:pPr>
      <w:r w:rsidRPr="00A452F2">
        <w:rPr>
          <w:lang w:val="en-GB"/>
        </w:rPr>
        <w:t xml:space="preserve">Can you figure out why the 3 </w:t>
      </w:r>
      <w:r>
        <w:rPr>
          <w:lang w:val="en-GB"/>
        </w:rPr>
        <w:t>metrics</w:t>
      </w:r>
      <w:r w:rsidRPr="00A452F2">
        <w:rPr>
          <w:lang w:val="en-GB"/>
        </w:rPr>
        <w:t xml:space="preserve"> moved up differently? What do they measure?</w:t>
      </w:r>
      <w:r>
        <w:rPr>
          <w:lang w:val="en-GB"/>
        </w:rPr>
        <w:t xml:space="preserve"> </w:t>
      </w:r>
    </w:p>
    <w:p w14:paraId="42B77820" w14:textId="77777777" w:rsidR="00FF0111" w:rsidRDefault="00FF0111" w:rsidP="00D400E7">
      <w:pPr>
        <w:rPr>
          <w:lang w:val="en-GB"/>
        </w:rPr>
      </w:pPr>
      <w:r>
        <w:rPr>
          <w:lang w:val="en-GB"/>
        </w:rPr>
        <w:t>Let’s break it down…</w:t>
      </w:r>
    </w:p>
    <w:p w14:paraId="13884B1B" w14:textId="77777777" w:rsidR="00FF0111" w:rsidRPr="00A452F2" w:rsidRDefault="00FF0111" w:rsidP="00D400E7">
      <w:pPr>
        <w:pStyle w:val="Heading6"/>
      </w:pPr>
      <w:r>
        <w:t>At the start of the test</w:t>
      </w:r>
    </w:p>
    <w:p w14:paraId="6EB60F5E" w14:textId="77777777" w:rsidR="00FF0111" w:rsidRPr="00A452F2" w:rsidRDefault="00FF0111" w:rsidP="00D400E7">
      <w:pPr>
        <w:pStyle w:val="Tablecontent"/>
      </w:pPr>
      <w:bookmarkStart w:id="96" w:name="_Test_your_knowledge!"/>
      <w:bookmarkEnd w:id="96"/>
      <w:r>
        <w:t>The VM runs 12 vCPU, but each vCPU was pinned to each ESXi core. So all cores are 100% utilized, but each running 1 thread.</w:t>
      </w:r>
    </w:p>
    <w:p w14:paraId="59786AB4" w14:textId="77777777" w:rsidR="00FF0111" w:rsidRPr="00A452F2" w:rsidRDefault="00FF0111" w:rsidP="00D400E7">
      <w:pPr>
        <w:pStyle w:val="Tablecontent"/>
      </w:pPr>
      <w:r w:rsidRPr="00A452F2">
        <w:t>VM CPU Run (ms) is 240K</w:t>
      </w:r>
      <w:r>
        <w:t xml:space="preserve"> </w:t>
      </w:r>
      <w:r w:rsidRPr="00A452F2">
        <w:t>m</w:t>
      </w:r>
      <w:r>
        <w:t>illiseconds</w:t>
      </w:r>
      <w:r w:rsidRPr="00A452F2">
        <w:t>, which is 20K m</w:t>
      </w:r>
      <w:r>
        <w:t>illiseconds</w:t>
      </w:r>
      <w:r w:rsidRPr="00A452F2">
        <w:t xml:space="preserve"> x 12 (half of its 24 vCPU). </w:t>
      </w:r>
    </w:p>
    <w:p w14:paraId="7BA26868" w14:textId="77777777" w:rsidR="00FF0111" w:rsidRPr="00A452F2" w:rsidRDefault="00FF0111" w:rsidP="00D400E7">
      <w:pPr>
        <w:pStyle w:val="Tablecontent"/>
      </w:pPr>
      <w:r w:rsidRPr="00A452F2">
        <w:t>VM CPU Used (ms) is also at 240K</w:t>
      </w:r>
      <w:r w:rsidRPr="00B223F1">
        <w:t xml:space="preserve"> </w:t>
      </w:r>
      <w:r w:rsidRPr="00A452F2">
        <w:t>m</w:t>
      </w:r>
      <w:r>
        <w:t>illiseconds</w:t>
      </w:r>
      <w:r w:rsidRPr="00A452F2">
        <w:t>. There is no loss from overlap, the VM does not do much IO, and no efficiency loss/gain due to HT</w:t>
      </w:r>
      <w:r>
        <w:t>.</w:t>
      </w:r>
    </w:p>
    <w:p w14:paraId="208C6900" w14:textId="77777777" w:rsidR="00FF0111" w:rsidRPr="00A452F2" w:rsidRDefault="00FF0111" w:rsidP="00D400E7">
      <w:pPr>
        <w:pStyle w:val="Tablecontent"/>
      </w:pPr>
      <w:r w:rsidRPr="00A452F2">
        <w:t xml:space="preserve">VM CPU Usage is 50%. </w:t>
      </w:r>
    </w:p>
    <w:p w14:paraId="45A4EB5C" w14:textId="77777777" w:rsidR="00FF0111" w:rsidRPr="00A452F2" w:rsidRDefault="00FF0111" w:rsidP="00D400E7">
      <w:pPr>
        <w:pStyle w:val="Tablecontent"/>
      </w:pPr>
      <w:r w:rsidRPr="00A452F2">
        <w:t xml:space="preserve">So at this point, all 3 </w:t>
      </w:r>
      <w:r>
        <w:t>metrics</w:t>
      </w:r>
      <w:r w:rsidRPr="00A452F2">
        <w:t xml:space="preserve"> of VM CPU are 50%. </w:t>
      </w:r>
    </w:p>
    <w:p w14:paraId="62E5F166" w14:textId="77777777" w:rsidR="00FF0111" w:rsidRPr="00A452F2" w:rsidRDefault="00FF0111" w:rsidP="00D400E7">
      <w:pPr>
        <w:pStyle w:val="Tablecontent"/>
      </w:pPr>
      <w:r w:rsidRPr="00A452F2">
        <w:t xml:space="preserve">The counter at ESXi tells a different story. The ESXi Core Utilization (%) immediately went up to 100% while Utilization went up to only 50%. The reason is Core Utilization measures whether the core is used or not. It’s unaware of HT. </w:t>
      </w:r>
    </w:p>
    <w:p w14:paraId="2A6AD31D" w14:textId="77777777" w:rsidR="00FF0111" w:rsidRPr="00A452F2" w:rsidRDefault="00FF0111" w:rsidP="00D400E7">
      <w:pPr>
        <w:pStyle w:val="Tablecontent"/>
        <w:rPr>
          <w:color w:val="FF0000"/>
        </w:rPr>
      </w:pPr>
      <w:r w:rsidRPr="00A452F2">
        <w:t xml:space="preserve">Usage (%) is identical to Core Utilization in this case. </w:t>
      </w:r>
    </w:p>
    <w:p w14:paraId="5F31B914" w14:textId="77777777" w:rsidR="00FF0111" w:rsidRDefault="00FF0111" w:rsidP="00D400E7">
      <w:r w:rsidRPr="00A452F2">
        <w:t>On the other hand, ESXi Utilization (%) looks at if each thread HT is running or not. It does not care about the fact that the 2 threads share a core, and simply roll up to ESXi level directly from thread level. This is why it’s showing 50% as it only cares whether a thread is running or not, at any point in time.</w:t>
      </w:r>
    </w:p>
    <w:p w14:paraId="1196214A" w14:textId="77777777" w:rsidR="00FF0111" w:rsidRDefault="00FF0111" w:rsidP="00D400E7">
      <w:pPr>
        <w:pStyle w:val="Heading6"/>
      </w:pPr>
      <w:r w:rsidRPr="00E1482D">
        <w:lastRenderedPageBreak/>
        <w:t>During Ramp Up period</w:t>
      </w:r>
    </w:p>
    <w:p w14:paraId="4787D25F" w14:textId="77777777" w:rsidR="00FF0111" w:rsidRPr="00A452F2" w:rsidRDefault="00FF0111" w:rsidP="00D400E7">
      <w:pPr>
        <w:pStyle w:val="Tablecontent"/>
      </w:pPr>
      <w:r w:rsidRPr="00A452F2">
        <w:t xml:space="preserve">VM is being ramped up steadily. You can see all 3 </w:t>
      </w:r>
      <w:r>
        <w:t>metrics</w:t>
      </w:r>
      <w:r w:rsidRPr="00A452F2">
        <w:t xml:space="preserve"> went up in steps.</w:t>
      </w:r>
    </w:p>
    <w:p w14:paraId="409E7315" w14:textId="77777777" w:rsidR="00FF0111" w:rsidRPr="00A452F2" w:rsidRDefault="00FF0111" w:rsidP="00D400E7">
      <w:pPr>
        <w:pStyle w:val="Tablecontent"/>
      </w:pPr>
      <w:r>
        <w:t>VM CPU Run (ms) ramps up from 240K to 480K. All 24 vCPU has 20K ms value, which equals to 100%.</w:t>
      </w:r>
    </w:p>
    <w:p w14:paraId="19B1CE0A" w14:textId="77777777" w:rsidR="00FF0111" w:rsidRPr="00A452F2" w:rsidRDefault="00FF0111" w:rsidP="00D400E7">
      <w:pPr>
        <w:pStyle w:val="Tablecontent"/>
      </w:pPr>
      <w:r w:rsidRPr="00A452F2">
        <w:t>VM CPU Used (ms) barely moved. From 240K to 300K. That’s 1.25x, demonstrating that Used understands HT only delivers 1.25x throughput</w:t>
      </w:r>
      <w:r>
        <w:t>.</w:t>
      </w:r>
    </w:p>
    <w:p w14:paraId="553A0E34" w14:textId="77777777" w:rsidR="00FF0111" w:rsidRPr="00A452F2" w:rsidRDefault="00FF0111" w:rsidP="00D400E7">
      <w:pPr>
        <w:pStyle w:val="Tablecontent"/>
      </w:pPr>
      <w:r w:rsidRPr="00A452F2">
        <w:t>VM CPU Usage (%) ramp up from 50% to 62.5%, also demonstrating awareness of contention due to HT.</w:t>
      </w:r>
    </w:p>
    <w:p w14:paraId="2F3FC00D" w14:textId="77777777" w:rsidR="00FF0111" w:rsidRPr="00A452F2" w:rsidRDefault="00FF0111" w:rsidP="00D400E7">
      <w:pPr>
        <w:pStyle w:val="Tablecontent"/>
      </w:pPr>
      <w:r w:rsidRPr="00A452F2">
        <w:t xml:space="preserve">Used (ms) = Usage (%) </w:t>
      </w:r>
    </w:p>
    <w:p w14:paraId="3BB7806D" w14:textId="77777777" w:rsidR="00FF0111" w:rsidRPr="00A452F2" w:rsidRDefault="00FF0111" w:rsidP="00D400E7">
      <w:pPr>
        <w:pStyle w:val="Tablecontent"/>
      </w:pPr>
      <w:r w:rsidRPr="00A452F2">
        <w:t>ESXi CPU Usage (%) counter stayed flat at 100%. The reason is all 12 cores were already busy. That means VM CPU Usage (%) is aware of HT, but ESXi CPU Usage (%) is not.</w:t>
      </w:r>
    </w:p>
    <w:p w14:paraId="09C696F0" w14:textId="77777777" w:rsidR="00FF0111" w:rsidRPr="00A452F2" w:rsidRDefault="00FF0111" w:rsidP="00D400E7">
      <w:pPr>
        <w:pStyle w:val="Tablecontent"/>
      </w:pPr>
      <w:r w:rsidRPr="00A452F2">
        <w:t>ESXi CPU Core Utilization (%) matches VM Run. Both went 2x</w:t>
      </w:r>
      <w:r>
        <w:t>.</w:t>
      </w:r>
    </w:p>
    <w:p w14:paraId="229937A7" w14:textId="77777777" w:rsidR="00FF0111" w:rsidRDefault="00FF0111" w:rsidP="00D400E7">
      <w:pPr>
        <w:pStyle w:val="Heading6"/>
      </w:pPr>
      <w:r>
        <w:t>Towards the end of the run</w:t>
      </w:r>
    </w:p>
    <w:p w14:paraId="6AF8B990" w14:textId="77777777" w:rsidR="00FF0111" w:rsidRPr="00A452F2" w:rsidRDefault="00FF0111" w:rsidP="00D400E7">
      <w:pPr>
        <w:pStyle w:val="Tablecontent"/>
      </w:pPr>
      <w:r w:rsidRPr="00A452F2">
        <w:t>VM CPU Run is at 480K ms. This counter is suitable for VM Capacity sizing, as it correctly accounts that each vCPU is used by Guest OS.</w:t>
      </w:r>
    </w:p>
    <w:p w14:paraId="62F3B67B" w14:textId="77777777" w:rsidR="00FF0111" w:rsidRPr="00A452F2" w:rsidRDefault="00FF0111" w:rsidP="00D400E7">
      <w:pPr>
        <w:pStyle w:val="Tablecontent"/>
      </w:pPr>
      <w:r w:rsidRPr="00A452F2">
        <w:t>VM CPU Used is at 300K m</w:t>
      </w:r>
      <w:r>
        <w:t>illiseconds, which is 62.5%</w:t>
      </w:r>
    </w:p>
    <w:p w14:paraId="3AAC7F8D" w14:textId="77777777" w:rsidR="00FF0111" w:rsidRPr="00A452F2" w:rsidRDefault="00FF0111" w:rsidP="00D400E7">
      <w:pPr>
        <w:pStyle w:val="Tablecontent"/>
      </w:pPr>
      <w:r w:rsidRPr="00A452F2">
        <w:t xml:space="preserve">VM CPU Usage (%) is at 62.5%. On average, </w:t>
      </w:r>
      <w:r>
        <w:t xml:space="preserve">each </w:t>
      </w:r>
      <w:r w:rsidRPr="00A452F2">
        <w:t>of the VM vCPU only gets 62.5%. If you use this for your VM capacity, you will get the wrong conclusion</w:t>
      </w:r>
      <w:r>
        <w:t xml:space="preserve"> as it’s already running 100%</w:t>
      </w:r>
    </w:p>
    <w:p w14:paraId="06A60929" w14:textId="52933ED8" w:rsidR="00FF0111" w:rsidRPr="00A452F2" w:rsidRDefault="00FF0111" w:rsidP="00D400E7">
      <w:pPr>
        <w:pStyle w:val="Tablecontent"/>
      </w:pPr>
      <w:r w:rsidRPr="00A452F2">
        <w:t xml:space="preserve">ESXi CPU Usage (%) is at 100%. This makes it suitable from Capacity viewpoint, </w:t>
      </w:r>
      <w:r w:rsidR="009C4B21" w:rsidRPr="00A452F2">
        <w:t>albeit</w:t>
      </w:r>
      <w:r w:rsidRPr="00A452F2">
        <w:t xml:space="preserve"> too conservative. It is not suitable from Performance, as you can not tell if there is still room.</w:t>
      </w:r>
    </w:p>
    <w:p w14:paraId="2ABA2191" w14:textId="77777777" w:rsidR="00FF0111" w:rsidRDefault="00FF0111" w:rsidP="00D400E7">
      <w:r w:rsidRPr="00A452F2">
        <w:t>ESXi CPU Utilization (%) is at 100%. Because it tracks the ramp correctly, it can be used from Performance. You can use it for Capacity, but take note that 100% means you get performance hit from. In fact, at 50% the HT effect will kick in</w:t>
      </w:r>
      <w:r>
        <w:t>.</w:t>
      </w:r>
    </w:p>
    <w:p w14:paraId="0F4F0342" w14:textId="77777777" w:rsidR="00DC7648" w:rsidRPr="00A452F2" w:rsidRDefault="00DC7648" w:rsidP="00DC7648">
      <w:pPr>
        <w:pStyle w:val="Heading5"/>
      </w:pPr>
      <w:r w:rsidRPr="00A452F2">
        <w:t>CPU Usage Disparity</w:t>
      </w:r>
    </w:p>
    <w:p w14:paraId="653CA7A2" w14:textId="77777777" w:rsidR="00DC7648" w:rsidRPr="00A452F2" w:rsidRDefault="00DC7648" w:rsidP="00DC7648">
      <w:pPr>
        <w:rPr>
          <w:lang w:val="en-GB"/>
        </w:rPr>
      </w:pPr>
      <w:r w:rsidRPr="00A452F2">
        <w:rPr>
          <w:lang w:val="en-GB"/>
        </w:rPr>
        <w:t xml:space="preserve">This metric is required to convince the owners of the VM to downsize their </w:t>
      </w:r>
      <w:r w:rsidRPr="00DC04C0">
        <w:rPr>
          <w:i/>
          <w:iCs/>
          <w:color w:val="FF0000"/>
          <w:lang w:val="en-GB"/>
        </w:rPr>
        <w:t>large</w:t>
      </w:r>
      <w:r w:rsidRPr="00DC04C0">
        <w:rPr>
          <w:color w:val="FF0000"/>
          <w:lang w:val="en-GB"/>
        </w:rPr>
        <w:t xml:space="preserve"> </w:t>
      </w:r>
      <w:r w:rsidRPr="00A452F2">
        <w:rPr>
          <w:lang w:val="en-GB"/>
        </w:rPr>
        <w:t>VMs. It’s very common for owners to refuse sizing it down even though utilization is low, because they have already paid for it or cost is not an issue.</w:t>
      </w:r>
    </w:p>
    <w:p w14:paraId="62F7D594" w14:textId="77777777" w:rsidR="00DC7648" w:rsidRPr="00A452F2" w:rsidRDefault="00DC7648" w:rsidP="00DC7648">
      <w:pPr>
        <w:rPr>
          <w:lang w:val="en-GB"/>
        </w:rPr>
      </w:pPr>
      <w:r w:rsidRPr="00A452F2">
        <w:rPr>
          <w:lang w:val="en-GB"/>
        </w:rPr>
        <w:t>Let’s an example. This VM has 104 vCPU. In the last 90 days, it’s utilization is consistently low. The Usage (%) counter never touch 40%. Demand is only marginally higher. Idle (%) is consistently ~20%.</w:t>
      </w:r>
    </w:p>
    <w:p w14:paraId="58C985E7" w14:textId="77777777" w:rsidR="00DC7648" w:rsidRPr="00A452F2" w:rsidRDefault="00DC7648" w:rsidP="00DC7648">
      <w:pPr>
        <w:rPr>
          <w:lang w:val="en-GB"/>
        </w:rPr>
      </w:pPr>
      <w:r>
        <w:rPr>
          <w:noProof/>
        </w:rPr>
        <w:drawing>
          <wp:inline distT="0" distB="0" distL="0" distR="0" wp14:anchorId="5D1F1899" wp14:editId="0CFF92FB">
            <wp:extent cx="6858000" cy="1181735"/>
            <wp:effectExtent l="0" t="0" r="0" b="0"/>
            <wp:docPr id="1606338702" name="Picture 1606338702"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descr="A picture containing chart&#10;&#10;Description automatically generated"/>
                    <pic:cNvPicPr/>
                  </pic:nvPicPr>
                  <pic:blipFill>
                    <a:blip r:embed="rId522" cstate="print">
                      <a:extLst>
                        <a:ext uri="{28A0092B-C50C-407E-A947-70E740481C1C}">
                          <a14:useLocalDpi xmlns:a14="http://schemas.microsoft.com/office/drawing/2010/main" val="0"/>
                        </a:ext>
                      </a:extLst>
                    </a:blip>
                    <a:stretch>
                      <a:fillRect/>
                    </a:stretch>
                  </pic:blipFill>
                  <pic:spPr>
                    <a:xfrm>
                      <a:off x="0" y="0"/>
                      <a:ext cx="6858000" cy="1181735"/>
                    </a:xfrm>
                    <a:prstGeom prst="rect">
                      <a:avLst/>
                    </a:prstGeom>
                  </pic:spPr>
                </pic:pic>
              </a:graphicData>
            </a:graphic>
          </wp:inline>
        </w:drawing>
      </w:r>
    </w:p>
    <w:p w14:paraId="4622C16A" w14:textId="77777777" w:rsidR="00DC7648" w:rsidRPr="00A452F2" w:rsidRDefault="00DC7648" w:rsidP="00DC7648">
      <w:pPr>
        <w:rPr>
          <w:lang w:val="en-GB"/>
        </w:rPr>
      </w:pPr>
      <w:r w:rsidRPr="00A452F2">
        <w:rPr>
          <w:lang w:val="en-GB"/>
        </w:rPr>
        <w:t xml:space="preserve">All the key </w:t>
      </w:r>
      <w:r>
        <w:rPr>
          <w:lang w:val="en-GB"/>
        </w:rPr>
        <w:t>p</w:t>
      </w:r>
      <w:r w:rsidRPr="00A452F2">
        <w:rPr>
          <w:lang w:val="en-GB"/>
        </w:rPr>
        <w:t xml:space="preserve">erformance </w:t>
      </w:r>
      <w:r>
        <w:rPr>
          <w:lang w:val="en-GB"/>
        </w:rPr>
        <w:t>metrics</w:t>
      </w:r>
      <w:r w:rsidRPr="00A452F2">
        <w:rPr>
          <w:lang w:val="en-GB"/>
        </w:rPr>
        <w:t xml:space="preserve"> such as Guest OS CPU Run Queue are low.</w:t>
      </w:r>
    </w:p>
    <w:p w14:paraId="3E62D8D3" w14:textId="77777777" w:rsidR="00DC7648" w:rsidRPr="00A452F2" w:rsidRDefault="00DC7648" w:rsidP="00DC7648">
      <w:pPr>
        <w:rPr>
          <w:lang w:val="en-GB"/>
        </w:rPr>
      </w:pPr>
      <w:r w:rsidRPr="00A452F2">
        <w:rPr>
          <w:lang w:val="en-GB"/>
        </w:rPr>
        <w:t>Obviously the VM does not need 104 vCPU. How to convince the owner if he is not interested in refund? The only angle left is performance. But then we’re faced with the following:</w:t>
      </w:r>
    </w:p>
    <w:p w14:paraId="7124DDE8" w14:textId="77777777" w:rsidR="00DC7648" w:rsidRPr="00A452F2" w:rsidRDefault="00DC7648" w:rsidP="00DC7648">
      <w:pPr>
        <w:pStyle w:val="ListParagraph"/>
        <w:keepLines w:val="0"/>
        <w:numPr>
          <w:ilvl w:val="0"/>
          <w:numId w:val="31"/>
        </w:numPr>
        <w:suppressAutoHyphens w:val="0"/>
        <w:spacing w:before="0" w:after="160"/>
        <w:rPr>
          <w:lang w:val="en-GB"/>
        </w:rPr>
      </w:pPr>
      <w:r w:rsidRPr="00A452F2">
        <w:rPr>
          <w:lang w:val="en-GB"/>
        </w:rPr>
        <w:t>CPU Run Queue inside the Guest OS is low. Decreasing CPU will in fact increase it, which is worse for performance.</w:t>
      </w:r>
    </w:p>
    <w:p w14:paraId="2E620385" w14:textId="77777777" w:rsidR="00DC7648" w:rsidRPr="00A452F2" w:rsidRDefault="00DC7648" w:rsidP="00DC7648">
      <w:pPr>
        <w:pStyle w:val="ListParagraph"/>
        <w:keepLines w:val="0"/>
        <w:numPr>
          <w:ilvl w:val="0"/>
          <w:numId w:val="31"/>
        </w:numPr>
        <w:suppressAutoHyphens w:val="0"/>
        <w:spacing w:before="0" w:after="160"/>
        <w:rPr>
          <w:lang w:val="en-GB"/>
        </w:rPr>
      </w:pPr>
      <w:r w:rsidRPr="00A452F2">
        <w:rPr>
          <w:lang w:val="en-GB"/>
        </w:rPr>
        <w:lastRenderedPageBreak/>
        <w:t xml:space="preserve">CPU Context Switch is high from time to time. </w:t>
      </w:r>
    </w:p>
    <w:p w14:paraId="012DD113" w14:textId="77777777" w:rsidR="00DC7648" w:rsidRPr="00A452F2" w:rsidRDefault="00DC7648" w:rsidP="00DC7648">
      <w:pPr>
        <w:pStyle w:val="ListParagraph"/>
        <w:keepLines w:val="0"/>
        <w:numPr>
          <w:ilvl w:val="0"/>
          <w:numId w:val="31"/>
        </w:numPr>
        <w:suppressAutoHyphens w:val="0"/>
        <w:spacing w:before="0" w:after="160"/>
        <w:rPr>
          <w:lang w:val="en-GB"/>
        </w:rPr>
      </w:pPr>
      <w:r w:rsidRPr="00A452F2">
        <w:rPr>
          <w:lang w:val="en-GB"/>
        </w:rPr>
        <w:t xml:space="preserve">CPU Co-Stop is very low (max of 0.006% in the last 90 days). Decreasing CPU may or may not make it lower. Regardless, it’s irrelevant. Same goes with </w:t>
      </w:r>
      <w:r>
        <w:rPr>
          <w:lang w:val="en-GB"/>
        </w:rPr>
        <w:t>VM Wait</w:t>
      </w:r>
      <w:r w:rsidRPr="00A452F2">
        <w:rPr>
          <w:lang w:val="en-GB"/>
        </w:rPr>
        <w:t xml:space="preserve"> and Swap Wait.</w:t>
      </w:r>
    </w:p>
    <w:p w14:paraId="55BA6B84" w14:textId="77777777" w:rsidR="00DC7648" w:rsidRPr="00A452F2" w:rsidRDefault="00DC7648" w:rsidP="00DC7648">
      <w:pPr>
        <w:pStyle w:val="ListParagraph"/>
        <w:keepLines w:val="0"/>
        <w:numPr>
          <w:ilvl w:val="0"/>
          <w:numId w:val="31"/>
        </w:numPr>
        <w:suppressAutoHyphens w:val="0"/>
        <w:spacing w:before="0" w:after="160"/>
        <w:rPr>
          <w:lang w:val="en-GB"/>
        </w:rPr>
      </w:pPr>
      <w:r w:rsidRPr="00A452F2">
        <w:rPr>
          <w:lang w:val="en-GB"/>
        </w:rPr>
        <w:t xml:space="preserve">CPU Ready is very low (max of 0.14% in the last 90 days). </w:t>
      </w:r>
    </w:p>
    <w:p w14:paraId="6BBB87D6" w14:textId="77777777" w:rsidR="00DC7648" w:rsidRDefault="00DC7648" w:rsidP="00DC7648">
      <w:pPr>
        <w:rPr>
          <w:lang w:val="en-GB"/>
        </w:rPr>
      </w:pPr>
      <w:r w:rsidRPr="00A452F2">
        <w:rPr>
          <w:lang w:val="en-GB"/>
        </w:rPr>
        <w:t xml:space="preserve">The only hope we have here to convince VM owner is to give insight on how the 104 vCPU are used. There are 2 </w:t>
      </w:r>
      <w:r w:rsidRPr="00A452F2">
        <w:rPr>
          <w:color w:val="FF0000"/>
          <w:lang w:val="en-GB"/>
        </w:rPr>
        <w:t xml:space="preserve">ends </w:t>
      </w:r>
      <w:r w:rsidRPr="00A452F2">
        <w:rPr>
          <w:lang w:val="en-GB"/>
        </w:rPr>
        <w:t xml:space="preserve">of the spectrum: </w:t>
      </w:r>
    </w:p>
    <w:p w14:paraId="1456FCBA" w14:textId="77777777" w:rsidR="00DC7648" w:rsidRDefault="00DC7648" w:rsidP="00DC7648">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22"/>
        <w:gridCol w:w="8334"/>
      </w:tblGrid>
      <w:tr w:rsidR="00DC7648" w14:paraId="620B8F07" w14:textId="77777777" w:rsidTr="00281329">
        <w:tc>
          <w:tcPr>
            <w:tcW w:w="2122" w:type="dxa"/>
            <w:shd w:val="clear" w:color="auto" w:fill="F2F2F2" w:themeFill="background1" w:themeFillShade="F2"/>
          </w:tcPr>
          <w:p w14:paraId="682A3945" w14:textId="77777777" w:rsidR="00DC7648" w:rsidRDefault="00DC7648" w:rsidP="00281329">
            <w:pPr>
              <w:pStyle w:val="Tablecontent"/>
            </w:pPr>
            <w:r>
              <w:rPr>
                <w:lang w:val="en-GB"/>
              </w:rPr>
              <w:t>At one</w:t>
            </w:r>
            <w:r w:rsidRPr="00A452F2">
              <w:rPr>
                <w:lang w:val="en-GB"/>
              </w:rPr>
              <w:t xml:space="preserve"> end, all 104 are balanced</w:t>
            </w:r>
          </w:p>
        </w:tc>
        <w:tc>
          <w:tcPr>
            <w:tcW w:w="8334" w:type="dxa"/>
          </w:tcPr>
          <w:p w14:paraId="36E3F3C5" w14:textId="77777777" w:rsidR="00DC7648" w:rsidRDefault="00DC7648" w:rsidP="00281329">
            <w:pPr>
              <w:pStyle w:val="Tablecontent"/>
            </w:pPr>
            <w:r w:rsidRPr="00A452F2">
              <w:rPr>
                <w:lang w:val="en-GB"/>
              </w:rPr>
              <w:t xml:space="preserve">All are running at that low 20%. This triggers an interesting discussion on why the application is unable to even consume a single vCPU. Is this inefficiency the reason why the </w:t>
            </w:r>
            <w:r>
              <w:rPr>
                <w:lang w:val="en-GB"/>
              </w:rPr>
              <w:t>application</w:t>
            </w:r>
            <w:r w:rsidRPr="00A452F2">
              <w:rPr>
                <w:lang w:val="en-GB"/>
              </w:rPr>
              <w:t xml:space="preserve"> vendor is asking for so many vCPU? Commercially, it’s wasting a lot of software license</w:t>
            </w:r>
          </w:p>
        </w:tc>
      </w:tr>
      <w:tr w:rsidR="00DC7648" w14:paraId="0C34E86B" w14:textId="77777777" w:rsidTr="00281329">
        <w:tc>
          <w:tcPr>
            <w:tcW w:w="2122" w:type="dxa"/>
            <w:shd w:val="clear" w:color="auto" w:fill="F2F2F2" w:themeFill="background1" w:themeFillShade="F2"/>
          </w:tcPr>
          <w:p w14:paraId="707ADDCD" w14:textId="77777777" w:rsidR="00DC7648" w:rsidRDefault="00DC7648" w:rsidP="00281329">
            <w:pPr>
              <w:pStyle w:val="Tablecontent"/>
            </w:pPr>
            <w:r>
              <w:rPr>
                <w:lang w:val="en-GB"/>
              </w:rPr>
              <w:t>Imbalance</w:t>
            </w:r>
          </w:p>
        </w:tc>
        <w:tc>
          <w:tcPr>
            <w:tcW w:w="8334" w:type="dxa"/>
          </w:tcPr>
          <w:p w14:paraId="349BEEA5" w14:textId="77777777" w:rsidR="00DC7648" w:rsidRDefault="00DC7648" w:rsidP="00281329">
            <w:pPr>
              <w:pStyle w:val="Tablecontent"/>
              <w:rPr>
                <w:lang w:val="en-GB"/>
              </w:rPr>
            </w:pPr>
            <w:r w:rsidRPr="00A452F2">
              <w:rPr>
                <w:lang w:val="en-GB"/>
              </w:rPr>
              <w:t>Some are saturated, while others are not.</w:t>
            </w:r>
          </w:p>
          <w:p w14:paraId="5D1EFC71" w14:textId="77777777" w:rsidR="00DC7648" w:rsidRDefault="00DC7648">
            <w:pPr>
              <w:pStyle w:val="Tablecontent"/>
              <w:numPr>
                <w:ilvl w:val="0"/>
                <w:numId w:val="56"/>
              </w:numPr>
            </w:pPr>
            <w:r>
              <w:t xml:space="preserve">The Peak among vCPU metric will capture if any of them is saturated. This is good insight. </w:t>
            </w:r>
          </w:p>
          <w:p w14:paraId="08C7665A" w14:textId="77777777" w:rsidR="00DC7648" w:rsidRDefault="00DC7648">
            <w:pPr>
              <w:pStyle w:val="Tablecontent"/>
              <w:numPr>
                <w:ilvl w:val="0"/>
                <w:numId w:val="56"/>
              </w:numPr>
            </w:pPr>
            <w:r>
              <w:t>The Min among vCPU is not useful as there is bound to be 1 vCPU among 104 that is running near 0%.</w:t>
            </w:r>
          </w:p>
          <w:p w14:paraId="64AE425D" w14:textId="77777777" w:rsidR="00DC7648" w:rsidRDefault="00DC7648">
            <w:pPr>
              <w:pStyle w:val="Tablecontent"/>
              <w:numPr>
                <w:ilvl w:val="0"/>
                <w:numId w:val="56"/>
              </w:numPr>
            </w:pPr>
            <w:r>
              <w:t>The delta between Max and Min will provide insight on the degree of the usage disparity. Does it fluctuate over time? This type of analysis helps the application team. Without it they have to plot 104 vCPU one by one.</w:t>
            </w:r>
          </w:p>
        </w:tc>
      </w:tr>
    </w:tbl>
    <w:p w14:paraId="64C5034C" w14:textId="77777777" w:rsidR="00DC7648" w:rsidRPr="00A452F2" w:rsidRDefault="00DC7648" w:rsidP="00DC7648">
      <w:pPr>
        <w:pStyle w:val="BeforeTable"/>
        <w:rPr>
          <w:lang w:val="en-GB"/>
        </w:rPr>
      </w:pPr>
    </w:p>
    <w:p w14:paraId="751C5DD0" w14:textId="77777777" w:rsidR="00DC7648" w:rsidRPr="00A452F2" w:rsidRDefault="00DC7648" w:rsidP="00DC7648">
      <w:pPr>
        <w:rPr>
          <w:lang w:val="en-GB"/>
        </w:rPr>
      </w:pPr>
      <w:r w:rsidRPr="00A452F2">
        <w:rPr>
          <w:lang w:val="en-GB"/>
        </w:rPr>
        <w:t>In reality, there could be many combinations in between the 2 extremes. Other insights into the behaviour of the 104 vCPU are:</w:t>
      </w:r>
    </w:p>
    <w:p w14:paraId="5C47E148" w14:textId="77777777" w:rsidR="00DC7648" w:rsidRPr="00A452F2" w:rsidRDefault="00DC7648" w:rsidP="00DC7648">
      <w:pPr>
        <w:pStyle w:val="ListParagraph"/>
        <w:keepLines w:val="0"/>
        <w:numPr>
          <w:ilvl w:val="0"/>
          <w:numId w:val="32"/>
        </w:numPr>
        <w:suppressAutoHyphens w:val="0"/>
        <w:spacing w:before="0" w:after="160"/>
        <w:rPr>
          <w:lang w:val="en-GB"/>
        </w:rPr>
      </w:pPr>
      <w:r w:rsidRPr="00A452F2">
        <w:rPr>
          <w:lang w:val="en-GB"/>
        </w:rPr>
        <w:t xml:space="preserve">Jumping process. Each vCPU takes turn to be extreme high and low, as if they are taking turn to run. This could indicate process ping pong, where processes either do frequent start/stop, or they jump around from one vCPU to another. Each jump will certainly create context switch, like the cache needs to be warm up. If the target CPU is busy, then the running process was interrupted. </w:t>
      </w:r>
    </w:p>
    <w:p w14:paraId="4C9A7693" w14:textId="77777777" w:rsidR="00DC7648" w:rsidRPr="00A452F2" w:rsidRDefault="00DC7648" w:rsidP="00DC7648">
      <w:pPr>
        <w:pStyle w:val="ListParagraph"/>
        <w:keepLines w:val="0"/>
        <w:numPr>
          <w:ilvl w:val="0"/>
          <w:numId w:val="32"/>
        </w:numPr>
        <w:suppressAutoHyphens w:val="0"/>
        <w:spacing w:before="0" w:after="160"/>
        <w:rPr>
          <w:lang w:val="en-GB"/>
        </w:rPr>
      </w:pPr>
      <w:r w:rsidRPr="00A452F2">
        <w:rPr>
          <w:lang w:val="en-GB"/>
        </w:rPr>
        <w:t>CPU affinity. For example, the first 10 vCPU is always much busier than the last 10 vCPU. This makes you think why, as it’s not normal.</w:t>
      </w:r>
    </w:p>
    <w:p w14:paraId="5CC3C310" w14:textId="77777777" w:rsidR="00DC7648" w:rsidRPr="00A452F2" w:rsidRDefault="00DC7648" w:rsidP="00DC7648">
      <w:pPr>
        <w:rPr>
          <w:lang w:val="en-GB"/>
        </w:rPr>
      </w:pPr>
      <w:r w:rsidRPr="00A452F2">
        <w:rPr>
          <w:lang w:val="en-GB"/>
        </w:rPr>
        <w:t xml:space="preserve">Naming wise, vCPU Usage Disparity is a better name than </w:t>
      </w:r>
      <w:r>
        <w:rPr>
          <w:lang w:val="en-GB"/>
        </w:rPr>
        <w:t>Imbalance</w:t>
      </w:r>
      <w:r w:rsidRPr="00A452F2">
        <w:rPr>
          <w:lang w:val="en-GB"/>
        </w:rPr>
        <w:t xml:space="preserve"> vCPU Usage. </w:t>
      </w:r>
      <w:r>
        <w:rPr>
          <w:lang w:val="en-GB"/>
        </w:rPr>
        <w:t>Imbalance</w:t>
      </w:r>
      <w:r w:rsidRPr="00A452F2">
        <w:rPr>
          <w:lang w:val="en-GB"/>
        </w:rPr>
        <w:t xml:space="preserve"> implies that they should be balanced, which is not the case. It’s not an indication that there is a problem in the guest OS because </w:t>
      </w:r>
      <w:r>
        <w:rPr>
          <w:lang w:val="en-GB"/>
        </w:rPr>
        <w:t>vRealize Operations</w:t>
      </w:r>
      <w:r w:rsidRPr="00A452F2">
        <w:rPr>
          <w:lang w:val="en-GB"/>
        </w:rPr>
        <w:t xml:space="preserve"> lacks the necessary visibility inside the guest OS</w:t>
      </w:r>
    </w:p>
    <w:p w14:paraId="64625BE9" w14:textId="77777777" w:rsidR="001A443B" w:rsidRPr="003D6E92" w:rsidRDefault="001A443B" w:rsidP="001A443B">
      <w:pPr>
        <w:pStyle w:val="Heading5"/>
      </w:pPr>
      <w:r w:rsidRPr="003D6E92">
        <w:t>System</w:t>
      </w:r>
    </w:p>
    <w:p w14:paraId="2C6CEB03" w14:textId="77777777" w:rsidR="001A443B" w:rsidRPr="003D6E92" w:rsidRDefault="001A443B" w:rsidP="001A443B">
      <w:r w:rsidRPr="003D6E92">
        <w:t>A VM may execute a privilege instruction, or issue IO</w:t>
      </w:r>
      <w:r>
        <w:t xml:space="preserve"> commands</w:t>
      </w:r>
      <w:r w:rsidRPr="003D6E92">
        <w:t xml:space="preserve">. These 2 activities are performed by the hypervisor, on behalf of the VM. </w:t>
      </w:r>
    </w:p>
    <w:p w14:paraId="6980A51C" w14:textId="77777777" w:rsidR="001A443B" w:rsidRDefault="001A443B" w:rsidP="001A443B">
      <w:r w:rsidRPr="003D6E92">
        <w:t>IO processing differs to non-IO processing as it has to be executed twice. It’s first processed inside the Guest OS, and then in the hypervisor storage subsystems</w:t>
      </w:r>
      <w:r>
        <w:t xml:space="preserve">, because each OS has their own storage subsystem. For ESXi, its </w:t>
      </w:r>
      <w:r w:rsidRPr="003D6E92">
        <w:t>network</w:t>
      </w:r>
      <w:r>
        <w:t xml:space="preserve"> stack also have to do processing if it’s a IP-based storage</w:t>
      </w:r>
      <w:r w:rsidRPr="003D6E92">
        <w:t xml:space="preserve">. </w:t>
      </w:r>
    </w:p>
    <w:p w14:paraId="074B06E8" w14:textId="77777777" w:rsidR="001A443B" w:rsidRDefault="001A443B" w:rsidP="001A443B">
      <w:pPr>
        <w:jc w:val="center"/>
      </w:pPr>
      <w:r w:rsidRPr="00877AC2">
        <w:rPr>
          <w:noProof/>
        </w:rPr>
        <w:lastRenderedPageBreak/>
        <w:drawing>
          <wp:inline distT="0" distB="0" distL="0" distR="0" wp14:anchorId="2AF04543" wp14:editId="2FE6FEE5">
            <wp:extent cx="5264421" cy="2635385"/>
            <wp:effectExtent l="0" t="0" r="0" b="0"/>
            <wp:docPr id="534447496" name="Picture 534447496" descr="A diagram with text and number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496" name="Picture 534447496" descr="A diagram with text and numbers&#10;&#10;Description automatically generated with medium confidence"/>
                    <pic:cNvPicPr/>
                  </pic:nvPicPr>
                  <pic:blipFill>
                    <a:blip r:embed="rId523"/>
                    <a:stretch>
                      <a:fillRect/>
                    </a:stretch>
                  </pic:blipFill>
                  <pic:spPr>
                    <a:xfrm>
                      <a:off x="0" y="0"/>
                      <a:ext cx="5264421" cy="2635385"/>
                    </a:xfrm>
                    <a:prstGeom prst="rect">
                      <a:avLst/>
                    </a:prstGeom>
                  </pic:spPr>
                </pic:pic>
              </a:graphicData>
            </a:graphic>
          </wp:inline>
        </w:drawing>
      </w:r>
    </w:p>
    <w:p w14:paraId="64549CB0" w14:textId="77777777" w:rsidR="001A443B" w:rsidRDefault="001A443B" w:rsidP="001A443B">
      <w:r w:rsidRPr="003D6E92">
        <w:t>ESXi typically uses another core for this work instead of the VM vCPU</w:t>
      </w:r>
      <w:r>
        <w:t>, and put that that VM vCPU in wait state</w:t>
      </w:r>
      <w:r w:rsidRPr="003D6E92">
        <w:t>. This work has to be accounted for and then charged back to the associated VM. The System counter tracks this. System counter is part of VMX counter.</w:t>
      </w:r>
    </w:p>
    <w:p w14:paraId="1D0C04CD" w14:textId="77777777" w:rsidR="001A443B" w:rsidRPr="009B5864" w:rsidRDefault="001A443B" w:rsidP="001A443B">
      <w:r w:rsidRPr="009B5864">
        <w:rPr>
          <w:lang w:val="en-US"/>
        </w:rPr>
        <w:t>Guest OS isn’t aware of the 2</w:t>
      </w:r>
      <w:r w:rsidRPr="009B5864">
        <w:rPr>
          <w:vertAlign w:val="superscript"/>
          <w:lang w:val="en-US"/>
        </w:rPr>
        <w:t>nd</w:t>
      </w:r>
      <w:r w:rsidRPr="009B5864">
        <w:rPr>
          <w:lang w:val="en-US"/>
        </w:rPr>
        <w:t xml:space="preserve"> processing. It thinks the disk is slower as it has to wait longer. </w:t>
      </w:r>
    </w:p>
    <w:p w14:paraId="7120DF6C" w14:textId="77777777" w:rsidR="001A443B" w:rsidRPr="00890595" w:rsidRDefault="001A443B" w:rsidP="001A443B">
      <w:r w:rsidRPr="009B5864">
        <w:rPr>
          <w:lang w:val="en-US"/>
        </w:rPr>
        <w:t>If there is snapshot, then VMkernel has to do even more work as it has to traverse the snapshot.</w:t>
      </w:r>
    </w:p>
    <w:p w14:paraId="15281FDB" w14:textId="77777777" w:rsidR="001A443B" w:rsidRPr="00890595" w:rsidRDefault="001A443B" w:rsidP="001A443B">
      <w:r>
        <w:t>T</w:t>
      </w:r>
      <w:r w:rsidRPr="00890595">
        <w:t>he work has to be charged back to the VM</w:t>
      </w:r>
      <w:r>
        <w:t xml:space="preserve"> </w:t>
      </w:r>
      <w:r w:rsidRPr="00890595">
        <w:t xml:space="preserve">since CPU Run does not account for it. Since this work is not performed by any of the VM CPU, this is charged to the VM CPU 0. The system services are accounted to CPU 0. You may see higher Used on CPU 0 than others, although the CPU Run are balanced for all the VCPUs. So this is not a problem for CPU scheduling. It’s just the way </w:t>
      </w:r>
      <w:r>
        <w:t>VMkernel</w:t>
      </w:r>
      <w:r w:rsidRPr="00890595">
        <w:t xml:space="preserve"> does the CPU accounting. </w:t>
      </w:r>
    </w:p>
    <w:p w14:paraId="3F5AE482" w14:textId="77777777" w:rsidR="001A443B" w:rsidRDefault="001A443B" w:rsidP="001A443B">
      <w:r w:rsidRPr="00890595">
        <w:t>The System counter is not available per vCPU. Reason is the underlying physical core that does the IO work on behalf of the VM may be doing it for more than 1 vCPU. There is no way to break it down for each vCPU.</w:t>
      </w:r>
      <w:r>
        <w:t xml:space="preserve"> The following vCenter screenshot shows the individual vCPU is not shown when System metric is selected.</w:t>
      </w:r>
    </w:p>
    <w:p w14:paraId="1CFD21CD" w14:textId="77777777" w:rsidR="001A443B" w:rsidRPr="00890595" w:rsidRDefault="001A443B" w:rsidP="001A443B">
      <w:r>
        <w:rPr>
          <w:noProof/>
        </w:rPr>
        <w:lastRenderedPageBreak/>
        <w:drawing>
          <wp:inline distT="0" distB="0" distL="0" distR="0" wp14:anchorId="6952DFBB" wp14:editId="4BCD55FB">
            <wp:extent cx="6645910" cy="3700145"/>
            <wp:effectExtent l="0" t="0" r="2540" b="0"/>
            <wp:docPr id="606394202" name="Picture 60639420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202" name="Picture 606394202" descr="A screenshot of a computer&#10;&#10;Description automatically generated"/>
                    <pic:cNvPicPr/>
                  </pic:nvPicPr>
                  <pic:blipFill>
                    <a:blip r:embed="rId524" cstate="print">
                      <a:extLst>
                        <a:ext uri="{28A0092B-C50C-407E-A947-70E740481C1C}">
                          <a14:useLocalDpi xmlns:a14="http://schemas.microsoft.com/office/drawing/2010/main" val="0"/>
                        </a:ext>
                      </a:extLst>
                    </a:blip>
                    <a:stretch>
                      <a:fillRect/>
                    </a:stretch>
                  </pic:blipFill>
                  <pic:spPr>
                    <a:xfrm>
                      <a:off x="0" y="0"/>
                      <a:ext cx="6645910" cy="3700145"/>
                    </a:xfrm>
                    <a:prstGeom prst="rect">
                      <a:avLst/>
                    </a:prstGeom>
                  </pic:spPr>
                </pic:pic>
              </a:graphicData>
            </a:graphic>
          </wp:inline>
        </w:drawing>
      </w:r>
    </w:p>
    <w:p w14:paraId="36066F65" w14:textId="77777777" w:rsidR="001A443B" w:rsidRDefault="001A443B" w:rsidP="001A443B">
      <w:pPr>
        <w:rPr>
          <w:lang w:val="en-US"/>
        </w:rPr>
      </w:pPr>
      <w:r w:rsidRPr="003D6E92">
        <w:t>ESXi is also performing IOs on behalf of all VMs</w:t>
      </w:r>
      <w:r>
        <w:t xml:space="preserve"> that are issuing IOs on that same time</w:t>
      </w:r>
      <w:r w:rsidRPr="003D6E92">
        <w:t xml:space="preserve">, not just VM 1. </w:t>
      </w:r>
      <w:r w:rsidRPr="009B5864">
        <w:rPr>
          <w:lang w:val="en-US"/>
        </w:rPr>
        <w:t>VMkernel may serialize multiple random IO into sequential for higher efficiency.</w:t>
      </w:r>
      <w:r>
        <w:rPr>
          <w:lang w:val="en-US"/>
        </w:rPr>
        <w:t xml:space="preserve"> </w:t>
      </w:r>
    </w:p>
    <w:p w14:paraId="2FEC38D4" w14:textId="77777777" w:rsidR="001A443B" w:rsidRDefault="001A443B" w:rsidP="001A443B">
      <w:r w:rsidRPr="00890595">
        <w:t>Note that I wrote to CPU accounting, not Storage accounting. For example, vSphere 6.5 no longer charges the Storage vMotion effort to the VM being vMotion</w:t>
      </w:r>
      <w:r>
        <w:t>-</w:t>
      </w:r>
      <w:r w:rsidRPr="00890595">
        <w:t>ed.</w:t>
      </w:r>
    </w:p>
    <w:p w14:paraId="144CED44" w14:textId="77777777" w:rsidR="001A443B" w:rsidRDefault="001A443B" w:rsidP="001A443B">
      <w:r>
        <w:t>Majority of VMs will have System value less than 0.5 vCPU most of the time. The following is the result from 2431 VMs.</w:t>
      </w:r>
    </w:p>
    <w:p w14:paraId="663711C8" w14:textId="77777777" w:rsidR="001A443B" w:rsidRPr="00890595" w:rsidRDefault="001A443B" w:rsidP="001A443B">
      <w:pPr>
        <w:jc w:val="center"/>
      </w:pPr>
      <w:r>
        <w:rPr>
          <w:noProof/>
        </w:rPr>
        <w:drawing>
          <wp:inline distT="0" distB="0" distL="0" distR="0" wp14:anchorId="4EB7363C" wp14:editId="1F686044">
            <wp:extent cx="5923721" cy="2307003"/>
            <wp:effectExtent l="0" t="0" r="1270" b="0"/>
            <wp:docPr id="606394323" name="Picture 60639432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323" name="Picture 606394323" descr="A screenshot of a computer&#10;&#10;Description automatically generated"/>
                    <pic:cNvPicPr/>
                  </pic:nvPicPr>
                  <pic:blipFill>
                    <a:blip r:embed="rId525">
                      <a:extLst>
                        <a:ext uri="{28A0092B-C50C-407E-A947-70E740481C1C}">
                          <a14:useLocalDpi xmlns:a14="http://schemas.microsoft.com/office/drawing/2010/main" val="0"/>
                        </a:ext>
                      </a:extLst>
                    </a:blip>
                    <a:stretch>
                      <a:fillRect/>
                    </a:stretch>
                  </pic:blipFill>
                  <pic:spPr>
                    <a:xfrm>
                      <a:off x="0" y="0"/>
                      <a:ext cx="5923721" cy="2307003"/>
                    </a:xfrm>
                    <a:prstGeom prst="rect">
                      <a:avLst/>
                    </a:prstGeom>
                  </pic:spPr>
                </pic:pic>
              </a:graphicData>
            </a:graphic>
          </wp:inline>
        </w:drawing>
      </w:r>
    </w:p>
    <w:p w14:paraId="69B21BD1" w14:textId="77777777" w:rsidR="001A443B" w:rsidRPr="00890595" w:rsidRDefault="001A443B" w:rsidP="001A443B">
      <w:r w:rsidRPr="00890595">
        <w:t xml:space="preserve">On IO intensive VM like NSX Edge, the System time will be </w:t>
      </w:r>
      <w:r w:rsidRPr="00890595">
        <w:rPr>
          <w:color w:val="FF0000"/>
        </w:rPr>
        <w:t>noticeable</w:t>
      </w:r>
      <w:r w:rsidRPr="00890595">
        <w:t xml:space="preserve">, as reported by </w:t>
      </w:r>
      <w:hyperlink r:id="rId526" w:history="1">
        <w:r w:rsidRPr="00890595">
          <w:rPr>
            <w:rStyle w:val="Hyperlink"/>
          </w:rPr>
          <w:t>this KB article</w:t>
        </w:r>
      </w:hyperlink>
      <w:r w:rsidRPr="00890595">
        <w:t>. In this case, adding more vCPU will make performance worse. The counter inside Linux will differ to the counter in vSphere. The following table shows high system time.</w:t>
      </w:r>
    </w:p>
    <w:p w14:paraId="70E20BEC" w14:textId="77777777" w:rsidR="001A443B" w:rsidRPr="00890595" w:rsidRDefault="001A443B" w:rsidP="001A443B">
      <w:pPr>
        <w:jc w:val="center"/>
      </w:pPr>
      <w:r>
        <w:rPr>
          <w:noProof/>
        </w:rPr>
        <w:lastRenderedPageBreak/>
        <w:drawing>
          <wp:inline distT="0" distB="0" distL="0" distR="0" wp14:anchorId="0C482DC9" wp14:editId="0241E1A1">
            <wp:extent cx="2399323" cy="1970694"/>
            <wp:effectExtent l="0" t="0" r="1270" b="0"/>
            <wp:docPr id="606394082" name="Picture 60639408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82" name="Picture 606394082" descr="A screenshot of a computer&#10;&#10;Description automatically generated"/>
                    <pic:cNvPicPr/>
                  </pic:nvPicPr>
                  <pic:blipFill>
                    <a:blip r:embed="rId527">
                      <a:extLst>
                        <a:ext uri="{28A0092B-C50C-407E-A947-70E740481C1C}">
                          <a14:useLocalDpi xmlns:a14="http://schemas.microsoft.com/office/drawing/2010/main" val="0"/>
                        </a:ext>
                      </a:extLst>
                    </a:blip>
                    <a:stretch>
                      <a:fillRect/>
                    </a:stretch>
                  </pic:blipFill>
                  <pic:spPr>
                    <a:xfrm>
                      <a:off x="0" y="0"/>
                      <a:ext cx="2399323" cy="1970694"/>
                    </a:xfrm>
                    <a:prstGeom prst="rect">
                      <a:avLst/>
                    </a:prstGeom>
                  </pic:spPr>
                </pic:pic>
              </a:graphicData>
            </a:graphic>
          </wp:inline>
        </w:drawing>
      </w:r>
    </w:p>
    <w:p w14:paraId="6E6FD64A" w14:textId="7EA9F2C7" w:rsidR="001406B1" w:rsidRDefault="001406B1" w:rsidP="001406B1">
      <w:pPr>
        <w:pStyle w:val="Heading3"/>
      </w:pPr>
      <w:r>
        <w:t>Memory</w:t>
      </w:r>
    </w:p>
    <w:p w14:paraId="7BC2DB3E" w14:textId="161A5C04" w:rsidR="00E37CED" w:rsidRDefault="00E37CED" w:rsidP="00E37CED">
      <w:r>
        <w:t>I will use the vSphere Client as the source of metrics in the following screenshots</w:t>
      </w:r>
      <w:r w:rsidR="0055523A">
        <w:t xml:space="preserve"> as that is, well, the source </w:t>
      </w:r>
      <w:r w:rsidR="0055523A">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rsidR="0055523A">
        <w:t xml:space="preserve"> </w:t>
      </w:r>
    </w:p>
    <w:p w14:paraId="7380E758" w14:textId="77777777" w:rsidR="001406B1" w:rsidRDefault="001406B1" w:rsidP="001406B1">
      <w:r>
        <w:t xml:space="preserve">Just like the case for CPU, some metrics are for VMkernel consumption, not your operations. </w:t>
      </w:r>
    </w:p>
    <w:p w14:paraId="3338175A" w14:textId="77777777" w:rsidR="001406B1" w:rsidRDefault="001406B1" w:rsidP="001406B1">
      <w:pPr>
        <w:pStyle w:val="Heading4"/>
      </w:pPr>
      <w:r>
        <w:t>Overview</w:t>
      </w:r>
    </w:p>
    <w:p w14:paraId="22BE4600" w14:textId="77777777" w:rsidR="001406B1" w:rsidRDefault="001406B1" w:rsidP="001406B1">
      <w:r>
        <w:t xml:space="preserve">For performance use case, the only counter tracking actual performance is Page-fault Latency. </w:t>
      </w:r>
    </w:p>
    <w:p w14:paraId="7890291E" w14:textId="77777777" w:rsidR="001406B1" w:rsidRDefault="001406B1" w:rsidP="001406B1">
      <w:r w:rsidRPr="004154BF">
        <w:rPr>
          <w:noProof/>
        </w:rPr>
        <w:drawing>
          <wp:inline distT="0" distB="0" distL="0" distR="0" wp14:anchorId="13AC766D" wp14:editId="5A47EB7E">
            <wp:extent cx="6645910" cy="1050290"/>
            <wp:effectExtent l="0" t="0" r="2540" b="0"/>
            <wp:docPr id="357815383" name="Picture 357815383"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83" name="Picture 357815383" descr="Application&#10;&#10;Description automatically generated with low confidence"/>
                    <pic:cNvPicPr/>
                  </pic:nvPicPr>
                  <pic:blipFill>
                    <a:blip r:embed="rId528"/>
                    <a:stretch>
                      <a:fillRect/>
                    </a:stretch>
                  </pic:blipFill>
                  <pic:spPr>
                    <a:xfrm>
                      <a:off x="0" y="0"/>
                      <a:ext cx="6645910" cy="1050290"/>
                    </a:xfrm>
                    <a:prstGeom prst="rect">
                      <a:avLst/>
                    </a:prstGeom>
                  </pic:spPr>
                </pic:pic>
              </a:graphicData>
            </a:graphic>
          </wp:inline>
        </w:drawing>
      </w:r>
    </w:p>
    <w:p w14:paraId="4D8649CD" w14:textId="77777777" w:rsidR="001406B1" w:rsidRDefault="001406B1" w:rsidP="001406B1">
      <w:r>
        <w:t>Next, check for swapping as it’s slower than compressed. You get 6 metrics for it</w:t>
      </w:r>
    </w:p>
    <w:p w14:paraId="33CA1883" w14:textId="77777777" w:rsidR="001406B1" w:rsidRDefault="001406B1" w:rsidP="001406B1">
      <w:r>
        <w:rPr>
          <w:noProof/>
        </w:rPr>
        <w:lastRenderedPageBreak/>
        <w:drawing>
          <wp:inline distT="0" distB="0" distL="0" distR="0" wp14:anchorId="14222DF2" wp14:editId="7E496956">
            <wp:extent cx="6640830" cy="1687830"/>
            <wp:effectExtent l="0" t="0" r="7620" b="7620"/>
            <wp:docPr id="1859674523" name="Picture 1859674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29">
                      <a:extLst>
                        <a:ext uri="{28A0092B-C50C-407E-A947-70E740481C1C}">
                          <a14:useLocalDpi xmlns:a14="http://schemas.microsoft.com/office/drawing/2010/main" val="0"/>
                        </a:ext>
                      </a:extLst>
                    </a:blip>
                    <a:srcRect/>
                    <a:stretch>
                      <a:fillRect/>
                    </a:stretch>
                  </pic:blipFill>
                  <pic:spPr bwMode="auto">
                    <a:xfrm>
                      <a:off x="0" y="0"/>
                      <a:ext cx="6640830" cy="1687830"/>
                    </a:xfrm>
                    <a:prstGeom prst="rect">
                      <a:avLst/>
                    </a:prstGeom>
                    <a:noFill/>
                    <a:ln>
                      <a:noFill/>
                    </a:ln>
                  </pic:spPr>
                </pic:pic>
              </a:graphicData>
            </a:graphic>
          </wp:inline>
        </w:drawing>
      </w:r>
    </w:p>
    <w:p w14:paraId="6B1B27AA" w14:textId="77777777" w:rsidR="001406B1" w:rsidRDefault="001406B1" w:rsidP="001406B1">
      <w:r>
        <w:t>Next is compressed</w:t>
      </w:r>
    </w:p>
    <w:p w14:paraId="0BCD88F1" w14:textId="77777777" w:rsidR="001406B1" w:rsidRDefault="001406B1" w:rsidP="001406B1">
      <w:r>
        <w:rPr>
          <w:noProof/>
        </w:rPr>
        <w:drawing>
          <wp:inline distT="0" distB="0" distL="0" distR="0" wp14:anchorId="615B12EF" wp14:editId="7DF23D0D">
            <wp:extent cx="6640830" cy="1295400"/>
            <wp:effectExtent l="0" t="0" r="7620" b="0"/>
            <wp:docPr id="1859674537" name="Picture 1859674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6640830" cy="1295400"/>
                    </a:xfrm>
                    <a:prstGeom prst="rect">
                      <a:avLst/>
                    </a:prstGeom>
                    <a:noFill/>
                    <a:ln>
                      <a:noFill/>
                    </a:ln>
                  </pic:spPr>
                </pic:pic>
              </a:graphicData>
            </a:graphic>
          </wp:inline>
        </w:drawing>
      </w:r>
    </w:p>
    <w:p w14:paraId="670B337B" w14:textId="77777777" w:rsidR="001406B1" w:rsidRDefault="001406B1" w:rsidP="001406B1">
      <w:r>
        <w:t>Host Cache should be faster than disk (at least I assume you designed it with faster SSD), so you check it last.</w:t>
      </w:r>
    </w:p>
    <w:p w14:paraId="33C2DCC9" w14:textId="77777777" w:rsidR="001406B1" w:rsidRDefault="001406B1" w:rsidP="001406B1">
      <w:r>
        <w:rPr>
          <w:noProof/>
        </w:rPr>
        <w:drawing>
          <wp:inline distT="0" distB="0" distL="0" distR="0" wp14:anchorId="511D20F2" wp14:editId="6585BC41">
            <wp:extent cx="6640830" cy="785495"/>
            <wp:effectExtent l="0" t="0" r="7620" b="0"/>
            <wp:docPr id="1859674551" name="Picture 1859674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6640830" cy="785495"/>
                    </a:xfrm>
                    <a:prstGeom prst="rect">
                      <a:avLst/>
                    </a:prstGeom>
                    <a:noFill/>
                    <a:ln>
                      <a:noFill/>
                    </a:ln>
                  </pic:spPr>
                </pic:pic>
              </a:graphicData>
            </a:graphic>
          </wp:inline>
        </w:drawing>
      </w:r>
    </w:p>
    <w:p w14:paraId="559CE276" w14:textId="77777777" w:rsidR="001406B1" w:rsidRDefault="001406B1" w:rsidP="001406B1">
      <w:r>
        <w:t>Lastly, there is the balloon.</w:t>
      </w:r>
    </w:p>
    <w:p w14:paraId="7EA8A1BB" w14:textId="77777777" w:rsidR="001406B1" w:rsidRDefault="001406B1" w:rsidP="001406B1">
      <w:r w:rsidRPr="00E724AA">
        <w:rPr>
          <w:noProof/>
        </w:rPr>
        <w:drawing>
          <wp:inline distT="0" distB="0" distL="0" distR="0" wp14:anchorId="5693E95F" wp14:editId="036CC09A">
            <wp:extent cx="6645910" cy="511810"/>
            <wp:effectExtent l="0" t="0" r="2540" b="2540"/>
            <wp:docPr id="750070344" name="Picture 750070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6645910" cy="511810"/>
                    </a:xfrm>
                    <a:prstGeom prst="rect">
                      <a:avLst/>
                    </a:prstGeom>
                  </pic:spPr>
                </pic:pic>
              </a:graphicData>
            </a:graphic>
          </wp:inline>
        </w:drawing>
      </w:r>
    </w:p>
    <w:p w14:paraId="26516D1C" w14:textId="77777777" w:rsidR="001406B1" w:rsidRDefault="001406B1" w:rsidP="001406B1">
      <w:r>
        <w:t xml:space="preserve">Wait! Where is the Intel Optane memory metrics? </w:t>
      </w:r>
    </w:p>
    <w:p w14:paraId="1CD38D7C" w14:textId="77777777" w:rsidR="001406B1" w:rsidRDefault="001406B1" w:rsidP="001406B1">
      <w:r>
        <w:t xml:space="preserve">It does not exist yet, as that’s supposed to be transparent to ESXi. </w:t>
      </w:r>
    </w:p>
    <w:p w14:paraId="7AE79E5E" w14:textId="77777777" w:rsidR="001406B1" w:rsidRDefault="001406B1" w:rsidP="001406B1">
      <w:r>
        <w:t>Performance is essentially the only use case you have at VM level. For Capacity, you should look at Guest OS. The VM capacity metrics serve as input to the host capacity and are used in determining the VM memory footprint (e.g. when migrating to another ESXi).</w:t>
      </w:r>
    </w:p>
    <w:p w14:paraId="22B37190" w14:textId="77777777" w:rsidR="001406B1" w:rsidRDefault="001406B1" w:rsidP="001406B1">
      <w:r>
        <w:t>You’ve got 5 metrics, with consume being the main one.</w:t>
      </w:r>
    </w:p>
    <w:p w14:paraId="59186D10" w14:textId="77777777" w:rsidR="001406B1" w:rsidRDefault="001406B1" w:rsidP="001406B1">
      <w:r>
        <w:rPr>
          <w:noProof/>
        </w:rPr>
        <w:drawing>
          <wp:inline distT="0" distB="0" distL="0" distR="0" wp14:anchorId="7E257450" wp14:editId="7DEC0CE2">
            <wp:extent cx="6645910" cy="1303020"/>
            <wp:effectExtent l="0" t="0" r="2540" b="0"/>
            <wp:docPr id="918289642" name="Picture 918289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6645910" cy="1303020"/>
                    </a:xfrm>
                    <a:prstGeom prst="rect">
                      <a:avLst/>
                    </a:prstGeom>
                    <a:noFill/>
                    <a:ln>
                      <a:noFill/>
                    </a:ln>
                  </pic:spPr>
                </pic:pic>
              </a:graphicData>
            </a:graphic>
          </wp:inline>
        </w:drawing>
      </w:r>
    </w:p>
    <w:p w14:paraId="191CF128" w14:textId="77777777" w:rsidR="001406B1" w:rsidRDefault="001406B1" w:rsidP="001406B1">
      <w:r>
        <w:t xml:space="preserve">I’m going to add Active next, although I don’t see any use case for it. It’s an internal counter used by VMkernel memory management. </w:t>
      </w:r>
    </w:p>
    <w:p w14:paraId="065C460E" w14:textId="77777777" w:rsidR="001406B1" w:rsidRDefault="001406B1" w:rsidP="001406B1">
      <w:r w:rsidRPr="00DB16CA">
        <w:rPr>
          <w:noProof/>
        </w:rPr>
        <w:lastRenderedPageBreak/>
        <w:drawing>
          <wp:inline distT="0" distB="0" distL="0" distR="0" wp14:anchorId="63B722A0" wp14:editId="03B83CF4">
            <wp:extent cx="6645910" cy="495935"/>
            <wp:effectExtent l="0" t="0" r="2540" b="0"/>
            <wp:docPr id="750070345" name="Picture 750070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6645910" cy="495935"/>
                    </a:xfrm>
                    <a:prstGeom prst="rect">
                      <a:avLst/>
                    </a:prstGeom>
                  </pic:spPr>
                </pic:pic>
              </a:graphicData>
            </a:graphic>
          </wp:inline>
        </w:drawing>
      </w:r>
    </w:p>
    <w:p w14:paraId="1CF8353F" w14:textId="77777777" w:rsidR="001406B1" w:rsidRDefault="001406B1" w:rsidP="001406B1">
      <w:r>
        <w:t xml:space="preserve">Lastly, you get the shared pages and 0 pages. </w:t>
      </w:r>
    </w:p>
    <w:p w14:paraId="791F612A" w14:textId="77777777" w:rsidR="001406B1" w:rsidRPr="00A641F6" w:rsidRDefault="001406B1" w:rsidP="001406B1">
      <w:r>
        <w:rPr>
          <w:noProof/>
        </w:rPr>
        <w:drawing>
          <wp:inline distT="0" distB="0" distL="0" distR="0" wp14:anchorId="4E071489" wp14:editId="00ABB8F2">
            <wp:extent cx="6640830" cy="1014095"/>
            <wp:effectExtent l="0" t="0" r="7620" b="0"/>
            <wp:docPr id="750070340" name="Picture 75007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6640830" cy="1014095"/>
                    </a:xfrm>
                    <a:prstGeom prst="rect">
                      <a:avLst/>
                    </a:prstGeom>
                    <a:noFill/>
                    <a:ln>
                      <a:noFill/>
                    </a:ln>
                  </pic:spPr>
                </pic:pic>
              </a:graphicData>
            </a:graphic>
          </wp:inline>
        </w:drawing>
      </w:r>
    </w:p>
    <w:p w14:paraId="43DF79B3" w14:textId="77777777" w:rsidR="001406B1" w:rsidRPr="0060261F" w:rsidRDefault="001406B1" w:rsidP="001406B1">
      <w:pPr>
        <w:rPr>
          <w:lang w:val="en-GB"/>
        </w:rPr>
      </w:pPr>
      <w:r>
        <w:rPr>
          <w:lang w:val="en-GB"/>
        </w:rPr>
        <w:t>Now that we’ve got the overview, let’s dive into the first counter!</w:t>
      </w:r>
    </w:p>
    <w:p w14:paraId="6F4CA22A" w14:textId="2E6DB718" w:rsidR="001406B1" w:rsidRDefault="00DC7648" w:rsidP="001406B1">
      <w:pPr>
        <w:pStyle w:val="Heading4"/>
      </w:pPr>
      <w:bookmarkStart w:id="97" w:name="_Contention_1"/>
      <w:bookmarkEnd w:id="97"/>
      <w:r>
        <w:t>“</w:t>
      </w:r>
      <w:r w:rsidR="001406B1" w:rsidRPr="00FD7E16">
        <w:t>Contention</w:t>
      </w:r>
      <w:r>
        <w:t>”</w:t>
      </w:r>
      <w:r w:rsidR="008C1CD8">
        <w:t xml:space="preserve"> Metrics</w:t>
      </w:r>
    </w:p>
    <w:p w14:paraId="1A33F0B9" w14:textId="568A93FA" w:rsidR="00DC7648" w:rsidRPr="00DC7648" w:rsidRDefault="00DC7648" w:rsidP="00DC7648">
      <w:pPr>
        <w:rPr>
          <w:lang w:val="en-GB" w:eastAsia="en-SG"/>
        </w:rPr>
      </w:pPr>
      <w:r>
        <w:rPr>
          <w:lang w:val="en-GB" w:eastAsia="en-SG"/>
        </w:rPr>
        <w:t>I use quote because the only true contention counter is latency. The second reason is Aria Operations has a metric called Contention, which is actually vCenter counter called latency.</w:t>
      </w:r>
    </w:p>
    <w:p w14:paraId="57E1DAD0" w14:textId="4F12907F" w:rsidR="00DC7648" w:rsidRPr="00DC7648" w:rsidRDefault="00DC7648" w:rsidP="00DC7648">
      <w:pPr>
        <w:pStyle w:val="Heading5"/>
      </w:pPr>
      <w:r>
        <w:t>Latency</w:t>
      </w:r>
    </w:p>
    <w:p w14:paraId="69F612CD" w14:textId="263C4ED2" w:rsidR="001406B1" w:rsidRPr="00A452F2" w:rsidRDefault="001406B1" w:rsidP="001406B1">
      <w:pPr>
        <w:rPr>
          <w:lang w:val="en-GB"/>
        </w:rPr>
      </w:pPr>
      <w:r w:rsidRPr="00783EC6">
        <w:rPr>
          <w:lang w:val="en-GB"/>
        </w:rPr>
        <w:t xml:space="preserve">Memory Latency, aka "Page-fault latency" is tracking the amount of </w:t>
      </w:r>
      <w:r w:rsidRPr="00C44ABD">
        <w:rPr>
          <w:color w:val="FF0000"/>
          <w:lang w:val="en-GB"/>
        </w:rPr>
        <w:t xml:space="preserve">time </w:t>
      </w:r>
      <w:r w:rsidRPr="00783EC6">
        <w:rPr>
          <w:lang w:val="en-GB"/>
        </w:rPr>
        <w:t>a vCPU spends waiting on the completion of a page fault</w:t>
      </w:r>
      <w:r>
        <w:rPr>
          <w:lang w:val="en-GB"/>
        </w:rPr>
        <w:t>. I</w:t>
      </w:r>
      <w:r w:rsidRPr="00783EC6">
        <w:rPr>
          <w:lang w:val="en-GB"/>
        </w:rPr>
        <w:t>t</w:t>
      </w:r>
      <w:r>
        <w:rPr>
          <w:lang w:val="en-GB"/>
        </w:rPr>
        <w:t xml:space="preserve">s value </w:t>
      </w:r>
      <w:r w:rsidRPr="00783EC6">
        <w:rPr>
          <w:lang w:val="en-GB"/>
        </w:rPr>
        <w:t>is probably mostly swap wait</w:t>
      </w:r>
      <w:r>
        <w:rPr>
          <w:lang w:val="en-GB"/>
        </w:rPr>
        <w:t xml:space="preserve">, </w:t>
      </w:r>
      <w:r w:rsidRPr="00783EC6">
        <w:rPr>
          <w:lang w:val="en-GB"/>
        </w:rPr>
        <w:t>and probably minimally page decompression / co</w:t>
      </w:r>
      <w:r>
        <w:rPr>
          <w:lang w:val="en-GB"/>
        </w:rPr>
        <w:t>py-on-</w:t>
      </w:r>
      <w:r w:rsidRPr="00783EC6">
        <w:rPr>
          <w:lang w:val="en-GB"/>
        </w:rPr>
        <w:t>w</w:t>
      </w:r>
      <w:r>
        <w:rPr>
          <w:lang w:val="en-GB"/>
        </w:rPr>
        <w:t>rite</w:t>
      </w:r>
      <w:r w:rsidRPr="00783EC6">
        <w:rPr>
          <w:lang w:val="en-GB"/>
        </w:rPr>
        <w:t>-break</w:t>
      </w:r>
      <w:r>
        <w:rPr>
          <w:lang w:val="en-GB"/>
        </w:rPr>
        <w:t xml:space="preserve">. </w:t>
      </w:r>
      <w:r w:rsidRPr="00A452F2">
        <w:rPr>
          <w:lang w:val="en-GB"/>
        </w:rPr>
        <w:t>The counter is called %LAT_M in esxtop</w:t>
      </w:r>
      <w:r>
        <w:rPr>
          <w:lang w:val="en-GB"/>
        </w:rPr>
        <w:t xml:space="preserve">, while </w:t>
      </w:r>
      <w:r w:rsidRPr="00A452F2">
        <w:rPr>
          <w:lang w:val="en-GB"/>
        </w:rPr>
        <w:t>CPU Contention is called %LAT_C.</w:t>
      </w:r>
      <w:r w:rsidRPr="00E20C51">
        <w:rPr>
          <w:lang w:val="en-GB"/>
        </w:rPr>
        <w:t xml:space="preserve"> </w:t>
      </w:r>
      <w:r>
        <w:rPr>
          <w:lang w:val="en-GB"/>
        </w:rPr>
        <w:t xml:space="preserve">This counter has the effect </w:t>
      </w:r>
      <w:r w:rsidR="00E4254C">
        <w:rPr>
          <w:lang w:val="en-GB"/>
        </w:rPr>
        <w:t xml:space="preserve">of </w:t>
      </w:r>
      <w:r w:rsidR="00E4254C" w:rsidRPr="00A452F2">
        <w:rPr>
          <w:lang w:val="en-GB"/>
        </w:rPr>
        <w:t>reduced</w:t>
      </w:r>
      <w:r w:rsidRPr="00A452F2">
        <w:rPr>
          <w:lang w:val="en-GB"/>
        </w:rPr>
        <w:t xml:space="preserve"> value of the Compressed metric and/or Swapped metric, and increase</w:t>
      </w:r>
      <w:r>
        <w:rPr>
          <w:lang w:val="en-GB"/>
        </w:rPr>
        <w:t>d</w:t>
      </w:r>
      <w:r w:rsidRPr="00A452F2">
        <w:rPr>
          <w:lang w:val="en-GB"/>
        </w:rPr>
        <w:t xml:space="preserve"> the value of Consumed &amp; Granted</w:t>
      </w:r>
      <w:r>
        <w:rPr>
          <w:lang w:val="en-GB"/>
        </w:rPr>
        <w:t>.</w:t>
      </w:r>
    </w:p>
    <w:p w14:paraId="203C31E5" w14:textId="77777777" w:rsidR="001406B1" w:rsidRDefault="001406B1" w:rsidP="001406B1">
      <w:pPr>
        <w:rPr>
          <w:lang w:val="en-GB"/>
        </w:rPr>
      </w:pPr>
      <w:r w:rsidRPr="00A452F2">
        <w:rPr>
          <w:lang w:val="en-GB"/>
        </w:rPr>
        <w:t xml:space="preserve">This is the </w:t>
      </w:r>
      <w:r w:rsidRPr="00EE7C49">
        <w:rPr>
          <w:i/>
          <w:iCs/>
          <w:color w:val="00B0F0"/>
          <w:lang w:val="en-GB"/>
        </w:rPr>
        <w:t>only</w:t>
      </w:r>
      <w:r w:rsidRPr="00EE7C49">
        <w:rPr>
          <w:color w:val="00B0F0"/>
          <w:lang w:val="en-GB"/>
        </w:rPr>
        <w:t xml:space="preserve"> </w:t>
      </w:r>
      <w:r w:rsidRPr="00A452F2">
        <w:rPr>
          <w:lang w:val="en-GB"/>
        </w:rPr>
        <w:t>performance counter for memory. Everything else does not actually measure latency</w:t>
      </w:r>
      <w:r>
        <w:rPr>
          <w:lang w:val="en-GB"/>
        </w:rPr>
        <w:t xml:space="preserve">. They measure </w:t>
      </w:r>
      <w:r w:rsidRPr="00A452F2">
        <w:rPr>
          <w:lang w:val="en-GB"/>
        </w:rPr>
        <w:t>utilization</w:t>
      </w:r>
      <w:r>
        <w:rPr>
          <w:lang w:val="en-GB"/>
        </w:rPr>
        <w:t xml:space="preserve">, because </w:t>
      </w:r>
      <w:r w:rsidRPr="00A452F2">
        <w:rPr>
          <w:lang w:val="en-GB"/>
        </w:rPr>
        <w:t>the</w:t>
      </w:r>
      <w:r>
        <w:rPr>
          <w:lang w:val="en-GB"/>
        </w:rPr>
        <w:t>y</w:t>
      </w:r>
      <w:r w:rsidRPr="00A452F2">
        <w:rPr>
          <w:lang w:val="en-GB"/>
        </w:rPr>
        <w:t xml:space="preserve"> measure the </w:t>
      </w:r>
      <w:r>
        <w:rPr>
          <w:lang w:val="en-GB"/>
        </w:rPr>
        <w:t xml:space="preserve">disk </w:t>
      </w:r>
      <w:r w:rsidRPr="00A452F2">
        <w:rPr>
          <w:lang w:val="en-GB"/>
        </w:rPr>
        <w:t>space</w:t>
      </w:r>
      <w:r>
        <w:rPr>
          <w:lang w:val="en-GB"/>
        </w:rPr>
        <w:t xml:space="preserve"> occupied</w:t>
      </w:r>
      <w:r w:rsidRPr="00A452F2">
        <w:rPr>
          <w:lang w:val="en-GB"/>
        </w:rPr>
        <w:t xml:space="preserve">. None captures the performance, which is how fast that </w:t>
      </w:r>
      <w:r>
        <w:rPr>
          <w:lang w:val="en-GB"/>
        </w:rPr>
        <w:t xml:space="preserve">memory </w:t>
      </w:r>
      <w:r w:rsidRPr="00A452F2">
        <w:rPr>
          <w:lang w:val="en-GB"/>
        </w:rPr>
        <w:t>page is made available</w:t>
      </w:r>
      <w:r>
        <w:rPr>
          <w:lang w:val="en-GB"/>
        </w:rPr>
        <w:t xml:space="preserve"> to the CPU.</w:t>
      </w:r>
    </w:p>
    <w:p w14:paraId="4052D57D" w14:textId="77777777" w:rsidR="001406B1" w:rsidRPr="00A452F2" w:rsidRDefault="001406B1" w:rsidP="001406B1">
      <w:pPr>
        <w:rPr>
          <w:lang w:val="en-GB"/>
        </w:rPr>
      </w:pPr>
      <w:r w:rsidRPr="00A452F2">
        <w:rPr>
          <w:lang w:val="en-GB"/>
        </w:rPr>
        <w:t>Consider the hard disk space occupied. A 90% utilization of the space is not slower than 10%. It’s a capacity issue, not performance.</w:t>
      </w:r>
    </w:p>
    <w:p w14:paraId="44D4F833" w14:textId="77777777" w:rsidR="001406B1" w:rsidRPr="00A452F2" w:rsidRDefault="001406B1" w:rsidP="001406B1">
      <w:pPr>
        <w:rPr>
          <w:lang w:val="en-GB"/>
        </w:rPr>
      </w:pPr>
      <w:r w:rsidRPr="00A452F2">
        <w:rPr>
          <w:lang w:val="en-GB"/>
        </w:rPr>
        <w:t xml:space="preserve">If a page is not in the physical DIMM, the VM has to wait longer. It could be in Host Cache, Swapped or Compressed. It will take longer than usual. vSphere tracks this in 2 </w:t>
      </w:r>
      <w:r>
        <w:rPr>
          <w:lang w:val="en-GB"/>
        </w:rPr>
        <w:t>metrics</w:t>
      </w:r>
      <w:r w:rsidRPr="00A452F2">
        <w:rPr>
          <w:lang w:val="en-GB"/>
        </w:rPr>
        <w:t xml:space="preserve">: CPU Swap Wait and RAM Latency. </w:t>
      </w:r>
    </w:p>
    <w:p w14:paraId="3942838F" w14:textId="77777777" w:rsidR="001406B1" w:rsidRPr="00A452F2" w:rsidRDefault="001406B1" w:rsidP="001406B1">
      <w:pPr>
        <w:pStyle w:val="Bullet"/>
        <w:rPr>
          <w:lang w:val="en-GB"/>
        </w:rPr>
      </w:pPr>
      <w:r w:rsidRPr="00A452F2">
        <w:rPr>
          <w:lang w:val="en-GB"/>
        </w:rPr>
        <w:t>CPU Swap Wait tracks the time for Swapped In.</w:t>
      </w:r>
    </w:p>
    <w:p w14:paraId="47BDE648" w14:textId="77777777" w:rsidR="001406B1" w:rsidRPr="00A452F2" w:rsidRDefault="001406B1" w:rsidP="001406B1">
      <w:pPr>
        <w:pStyle w:val="Bullet"/>
        <w:rPr>
          <w:lang w:val="en-GB"/>
        </w:rPr>
      </w:pPr>
      <w:r w:rsidRPr="00A452F2">
        <w:rPr>
          <w:lang w:val="en-GB"/>
        </w:rPr>
        <w:t>RAM Latency tracks the</w:t>
      </w:r>
      <w:r>
        <w:rPr>
          <w:lang w:val="en-GB"/>
        </w:rPr>
        <w:t xml:space="preserve"> percentage</w:t>
      </w:r>
      <w:r w:rsidRPr="00A452F2">
        <w:rPr>
          <w:lang w:val="en-GB"/>
        </w:rPr>
        <w:t xml:space="preserve"> of time VM waiting for Decompressed and Swapped In. The RAM Latency is a </w:t>
      </w:r>
      <w:r w:rsidRPr="00A452F2">
        <w:rPr>
          <w:color w:val="FF0000"/>
          <w:lang w:val="en-GB"/>
        </w:rPr>
        <w:t xml:space="preserve">superset </w:t>
      </w:r>
      <w:r w:rsidRPr="00A452F2">
        <w:rPr>
          <w:lang w:val="en-GB"/>
        </w:rPr>
        <w:t xml:space="preserve">of CPU Swap Wait as it caters for more scenarios where CPU has to wait. vRealize Operations VM Memory Contention </w:t>
      </w:r>
      <w:r>
        <w:rPr>
          <w:lang w:val="en-GB"/>
        </w:rPr>
        <w:t xml:space="preserve">metric </w:t>
      </w:r>
      <w:r w:rsidRPr="00A452F2">
        <w:rPr>
          <w:lang w:val="en-GB"/>
        </w:rPr>
        <w:t xml:space="preserve">maps to this. </w:t>
      </w:r>
    </w:p>
    <w:p w14:paraId="5B38301F" w14:textId="77777777" w:rsidR="001406B1" w:rsidRPr="00A452F2" w:rsidRDefault="001406B1" w:rsidP="001406B1">
      <w:pPr>
        <w:rPr>
          <w:lang w:val="en-GB"/>
        </w:rPr>
      </w:pPr>
      <w:r w:rsidRPr="00A452F2">
        <w:rPr>
          <w:lang w:val="en-GB"/>
        </w:rPr>
        <w:t xml:space="preserve">Latency is </w:t>
      </w:r>
      <w:r>
        <w:rPr>
          <w:lang w:val="en-GB"/>
        </w:rPr>
        <w:t xml:space="preserve">&gt;1000x lower </w:t>
      </w:r>
      <w:r w:rsidRPr="00A452F2">
        <w:rPr>
          <w:lang w:val="en-GB"/>
        </w:rPr>
        <w:t>in memory</w:t>
      </w:r>
      <w:r>
        <w:rPr>
          <w:lang w:val="en-GB"/>
        </w:rPr>
        <w:t xml:space="preserve"> compared to disk</w:t>
      </w:r>
      <w:r w:rsidRPr="00A452F2">
        <w:rPr>
          <w:lang w:val="en-GB"/>
        </w:rPr>
        <w:t>, as it's CPU</w:t>
      </w:r>
      <w:r>
        <w:rPr>
          <w:lang w:val="en-GB"/>
        </w:rPr>
        <w:t xml:space="preserve"> basically next to the CPU on the motherboard</w:t>
      </w:r>
      <w:r w:rsidRPr="00A452F2">
        <w:rPr>
          <w:lang w:val="en-GB"/>
        </w:rPr>
        <w:t xml:space="preserve">. </w:t>
      </w:r>
      <w:r>
        <w:rPr>
          <w:lang w:val="en-GB"/>
        </w:rPr>
        <w:t>Time taken to access m</w:t>
      </w:r>
      <w:r w:rsidRPr="00A452F2">
        <w:rPr>
          <w:lang w:val="en-GB"/>
        </w:rPr>
        <w:t xml:space="preserve">emory on </w:t>
      </w:r>
      <w:r>
        <w:rPr>
          <w:lang w:val="en-GB"/>
        </w:rPr>
        <w:t xml:space="preserve">the </w:t>
      </w:r>
      <w:r w:rsidRPr="00A452F2">
        <w:rPr>
          <w:lang w:val="en-GB"/>
        </w:rPr>
        <w:t xml:space="preserve">DIMM </w:t>
      </w:r>
      <w:r>
        <w:rPr>
          <w:lang w:val="en-GB"/>
        </w:rPr>
        <w:t xml:space="preserve">bank </w:t>
      </w:r>
      <w:r w:rsidRPr="00A452F2">
        <w:rPr>
          <w:lang w:val="en-GB"/>
        </w:rPr>
        <w:t xml:space="preserve">is </w:t>
      </w:r>
      <w:r>
        <w:rPr>
          <w:lang w:val="en-GB"/>
        </w:rPr>
        <w:t xml:space="preserve">only </w:t>
      </w:r>
      <w:r w:rsidRPr="00A452F2">
        <w:rPr>
          <w:lang w:val="en-GB"/>
        </w:rPr>
        <w:t>around 200 nanosecond</w:t>
      </w:r>
      <w:r>
        <w:rPr>
          <w:lang w:val="en-GB"/>
        </w:rPr>
        <w:t>s.</w:t>
      </w:r>
      <w:r w:rsidRPr="006A554B">
        <w:rPr>
          <w:lang w:val="en-GB"/>
        </w:rPr>
        <w:t xml:space="preserve"> </w:t>
      </w:r>
      <w:r w:rsidRPr="00A452F2">
        <w:rPr>
          <w:lang w:val="en-GB"/>
        </w:rPr>
        <w:t>Windows/Linux does not track memory latency</w:t>
      </w:r>
      <w:r>
        <w:rPr>
          <w:lang w:val="en-GB"/>
        </w:rPr>
        <w:t xml:space="preserve">. </w:t>
      </w:r>
      <w:r w:rsidRPr="00A452F2">
        <w:rPr>
          <w:lang w:val="en-GB"/>
        </w:rPr>
        <w:t>The closest counter is perhaps page fault. The question is does page fault includes prefetch?</w:t>
      </w:r>
      <w:r>
        <w:rPr>
          <w:lang w:val="en-GB"/>
        </w:rPr>
        <w:t xml:space="preserve"> If you know, let me know please.</w:t>
      </w:r>
    </w:p>
    <w:p w14:paraId="159AF88B" w14:textId="77777777" w:rsidR="001406B1" w:rsidRDefault="001406B1" w:rsidP="001406B1">
      <w:pPr>
        <w:rPr>
          <w:lang w:val="en-GB"/>
        </w:rPr>
      </w:pPr>
      <w:r>
        <w:rPr>
          <w:lang w:val="en-GB"/>
        </w:rPr>
        <w:lastRenderedPageBreak/>
        <w:t xml:space="preserve">Does it mean we don’t track balloon, swapped and compressed? </w:t>
      </w:r>
    </w:p>
    <w:p w14:paraId="753DB9D2" w14:textId="77777777" w:rsidR="001406B1" w:rsidRDefault="001406B1" w:rsidP="001406B1">
      <w:pPr>
        <w:rPr>
          <w:lang w:val="en-GB"/>
        </w:rPr>
      </w:pPr>
      <w:r>
        <w:rPr>
          <w:lang w:val="en-GB"/>
        </w:rPr>
        <w:t>No.</w:t>
      </w:r>
    </w:p>
    <w:p w14:paraId="5C0E9883" w14:textId="77777777" w:rsidR="001406B1" w:rsidRDefault="001406B1" w:rsidP="001406B1">
      <w:pPr>
        <w:rPr>
          <w:lang w:val="en-GB"/>
        </w:rPr>
      </w:pPr>
      <w:r>
        <w:rPr>
          <w:lang w:val="en-GB"/>
        </w:rPr>
        <w:t>T</w:t>
      </w:r>
      <w:r w:rsidRPr="001C2FDC">
        <w:rPr>
          <w:lang w:val="en-GB"/>
        </w:rPr>
        <w:t>he higher the value is for balloon, swapped, and</w:t>
      </w:r>
      <w:r>
        <w:rPr>
          <w:lang w:val="en-GB"/>
        </w:rPr>
        <w:t xml:space="preserve"> </w:t>
      </w:r>
      <w:r w:rsidRPr="001C2FDC">
        <w:rPr>
          <w:lang w:val="en-GB"/>
        </w:rPr>
        <w:t>compressed, the higher the chance of a performance hit</w:t>
      </w:r>
      <w:r>
        <w:rPr>
          <w:lang w:val="en-GB"/>
        </w:rPr>
        <w:t xml:space="preserve"> </w:t>
      </w:r>
      <w:r w:rsidRPr="001C2FDC">
        <w:rPr>
          <w:lang w:val="en-GB"/>
        </w:rPr>
        <w:t>happening in the future if</w:t>
      </w:r>
      <w:r>
        <w:rPr>
          <w:lang w:val="en-GB"/>
        </w:rPr>
        <w:t xml:space="preserve"> </w:t>
      </w:r>
      <w:r w:rsidRPr="001C2FDC">
        <w:rPr>
          <w:lang w:val="en-GB"/>
        </w:rPr>
        <w:t>the data is requested. The severity of the impact depends on the VM memory shares,</w:t>
      </w:r>
      <w:r>
        <w:rPr>
          <w:lang w:val="en-GB"/>
        </w:rPr>
        <w:t xml:space="preserve"> </w:t>
      </w:r>
      <w:r w:rsidRPr="001C2FDC">
        <w:rPr>
          <w:lang w:val="en-GB"/>
        </w:rPr>
        <w:t>reservation, and limit. It also depends upon the size of the VM's configured RAM. A</w:t>
      </w:r>
      <w:r>
        <w:rPr>
          <w:lang w:val="en-GB"/>
        </w:rPr>
        <w:t xml:space="preserve"> </w:t>
      </w:r>
      <w:r w:rsidRPr="001C2FDC">
        <w:rPr>
          <w:lang w:val="en-GB"/>
        </w:rPr>
        <w:t xml:space="preserve">10-MB ballooning will likely have more impact on a VM with </w:t>
      </w:r>
      <w:r>
        <w:rPr>
          <w:lang w:val="en-GB"/>
        </w:rPr>
        <w:t>4</w:t>
      </w:r>
      <w:r w:rsidRPr="001C2FDC">
        <w:rPr>
          <w:lang w:val="en-GB"/>
        </w:rPr>
        <w:t xml:space="preserve"> GB of RAM than on</w:t>
      </w:r>
      <w:r>
        <w:rPr>
          <w:lang w:val="en-GB"/>
        </w:rPr>
        <w:t xml:space="preserve"> </w:t>
      </w:r>
      <w:r w:rsidRPr="001C2FDC">
        <w:rPr>
          <w:lang w:val="en-GB"/>
        </w:rPr>
        <w:t xml:space="preserve">one with </w:t>
      </w:r>
      <w:r>
        <w:rPr>
          <w:lang w:val="en-GB"/>
        </w:rPr>
        <w:t>512</w:t>
      </w:r>
      <w:r w:rsidRPr="001C2FDC">
        <w:rPr>
          <w:lang w:val="en-GB"/>
        </w:rPr>
        <w:t xml:space="preserve"> GB.</w:t>
      </w:r>
    </w:p>
    <w:p w14:paraId="36FDB0BB" w14:textId="77777777" w:rsidR="001406B1" w:rsidRDefault="001406B1" w:rsidP="001406B1">
      <w:pPr>
        <w:rPr>
          <w:lang w:val="en-GB"/>
        </w:rPr>
      </w:pPr>
      <w:r w:rsidRPr="00A24905">
        <w:rPr>
          <w:lang w:val="en-GB"/>
        </w:rPr>
        <w:t>Latency does not include balloon</w:t>
      </w:r>
      <w:r>
        <w:rPr>
          <w:lang w:val="en-GB"/>
        </w:rPr>
        <w:t xml:space="preserve"> as that’s a different context</w:t>
      </w:r>
      <w:r w:rsidRPr="00A24905">
        <w:rPr>
          <w:lang w:val="en-GB"/>
        </w:rPr>
        <w:t xml:space="preserve">. </w:t>
      </w:r>
      <w:r>
        <w:rPr>
          <w:lang w:val="en-GB"/>
        </w:rPr>
        <w:t>In addition, t</w:t>
      </w:r>
      <w:r w:rsidRPr="00A24905">
        <w:rPr>
          <w:lang w:val="en-GB"/>
        </w:rPr>
        <w:t>he hypervisor is not aware of the Guest OS internal activity.</w:t>
      </w:r>
    </w:p>
    <w:p w14:paraId="3D71D94A" w14:textId="77777777" w:rsidR="001406B1" w:rsidRDefault="001406B1" w:rsidP="001406B1">
      <w:r>
        <w:t>Actions you can do to address high value:</w:t>
      </w:r>
    </w:p>
    <w:p w14:paraId="53A9C02D" w14:textId="77777777" w:rsidR="001406B1" w:rsidRDefault="001406B1" w:rsidP="001406B1">
      <w:pPr>
        <w:pStyle w:val="Bullet"/>
      </w:pPr>
      <w:r>
        <w:t>Store vswp file on higher throughput, lower latency storage, such as using Host Swap Cache.</w:t>
      </w:r>
    </w:p>
    <w:p w14:paraId="323E6573" w14:textId="77777777" w:rsidR="001406B1" w:rsidRDefault="001406B1" w:rsidP="001406B1">
      <w:pPr>
        <w:pStyle w:val="Bullet"/>
      </w:pPr>
      <w:r>
        <w:t>Increase memory shares and/or reservation to decrease amount of swapping. If the VM belongs to a resource pool, ensure the resource pool has sufficient for all its VMs.</w:t>
      </w:r>
    </w:p>
    <w:p w14:paraId="1EC6C439" w14:textId="77777777" w:rsidR="001406B1" w:rsidRDefault="001406B1" w:rsidP="001406B1">
      <w:pPr>
        <w:pStyle w:val="Bullet"/>
      </w:pPr>
      <w:r>
        <w:t>Reduce assigned memory. By rightsizing, you reduce the size of memory reclamation, hence minimizing the risk.</w:t>
      </w:r>
    </w:p>
    <w:p w14:paraId="4A627135" w14:textId="77777777" w:rsidR="001406B1" w:rsidRDefault="001406B1" w:rsidP="001406B1">
      <w:pPr>
        <w:pStyle w:val="Bullet"/>
      </w:pPr>
      <w:r>
        <w:t xml:space="preserve">Remove VM Limit. </w:t>
      </w:r>
    </w:p>
    <w:p w14:paraId="3D9DE86E" w14:textId="77777777" w:rsidR="001406B1" w:rsidRDefault="001406B1" w:rsidP="001406B1">
      <w:pPr>
        <w:pStyle w:val="Bullet"/>
      </w:pPr>
      <w:r>
        <w:t xml:space="preserve">Unswap the swapped memory. You cannot do this via API, but you can issue the command manually. Review </w:t>
      </w:r>
      <w:hyperlink r:id="rId536" w:history="1">
        <w:r w:rsidRPr="00CA5929">
          <w:rPr>
            <w:rStyle w:val="Hyperlink"/>
          </w:rPr>
          <w:t>this article</w:t>
        </w:r>
      </w:hyperlink>
      <w:r>
        <w:t xml:space="preserve"> by Duncan Epping and Valentin Bondzio.</w:t>
      </w:r>
    </w:p>
    <w:p w14:paraId="6DEA8632" w14:textId="77777777" w:rsidR="001406B1" w:rsidRDefault="001406B1" w:rsidP="001406B1">
      <w:pPr>
        <w:pStyle w:val="Bullet"/>
      </w:pPr>
      <w:r>
        <w:t>If possible, reboot the VM as part of regular maintenance. This will eliminate the swap file, hence avoiding future, unexpected swap wait on that swapped page. Note this does guarantee the same page to be swapped out again.</w:t>
      </w:r>
    </w:p>
    <w:p w14:paraId="592B1BE2" w14:textId="77777777" w:rsidR="001406B1" w:rsidRPr="00FD7E16" w:rsidRDefault="001406B1" w:rsidP="00DC7648">
      <w:pPr>
        <w:pStyle w:val="Heading6"/>
      </w:pPr>
      <w:r w:rsidRPr="00FD7E16">
        <w:t>Best Practice</w:t>
      </w:r>
    </w:p>
    <w:p w14:paraId="65D98058" w14:textId="77777777" w:rsidR="001406B1" w:rsidRDefault="001406B1" w:rsidP="001406B1">
      <w:pPr>
        <w:rPr>
          <w:lang w:val="en-GB"/>
        </w:rPr>
      </w:pPr>
      <w:r w:rsidRPr="4CAB3972">
        <w:rPr>
          <w:lang w:val="en-GB"/>
        </w:rPr>
        <w:t xml:space="preserve">In an environment where you do not do memory overcommit and place limit, the chance of hitting memory contention will be basically 0. You can plot the highest VM Memory Contention counter in all clusters and you will basically see a flat line. That would be a lot of line charts, so I’m using a pie chart to </w:t>
      </w:r>
      <w:r>
        <w:rPr>
          <w:lang w:val="en-GB"/>
        </w:rPr>
        <w:t>analyze</w:t>
      </w:r>
      <w:r w:rsidRPr="4CAB3972">
        <w:rPr>
          <w:lang w:val="en-GB"/>
        </w:rPr>
        <w:t xml:space="preserve"> 2441 VM in the last 4 months. For each VM, I took the highest value in the last 4 months. Only 13</w:t>
      </w:r>
      <w:r>
        <w:rPr>
          <w:lang w:val="en-GB"/>
        </w:rPr>
        <w:t xml:space="preserve"> </w:t>
      </w:r>
      <w:r w:rsidRPr="4CAB3972">
        <w:rPr>
          <w:lang w:val="en-GB"/>
        </w:rPr>
        <w:t xml:space="preserve">VM had its worst VM Contention above 1%. </w:t>
      </w:r>
    </w:p>
    <w:p w14:paraId="641DA89A" w14:textId="77777777" w:rsidR="001406B1" w:rsidRPr="00A452F2" w:rsidRDefault="001406B1" w:rsidP="001406B1">
      <w:pPr>
        <w:pStyle w:val="Tablecontent"/>
        <w:jc w:val="center"/>
        <w:rPr>
          <w:lang w:val="en-GB"/>
        </w:rPr>
      </w:pPr>
      <w:r>
        <w:rPr>
          <w:noProof/>
        </w:rPr>
        <w:lastRenderedPageBreak/>
        <w:drawing>
          <wp:inline distT="0" distB="0" distL="0" distR="0" wp14:anchorId="56E2C1FA" wp14:editId="54387826">
            <wp:extent cx="6098399" cy="4323536"/>
            <wp:effectExtent l="0" t="0" r="0" b="1270"/>
            <wp:docPr id="606394303" name="Picture 606394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03"/>
                    <pic:cNvPicPr/>
                  </pic:nvPicPr>
                  <pic:blipFill>
                    <a:blip r:embed="rId537">
                      <a:extLst>
                        <a:ext uri="{28A0092B-C50C-407E-A947-70E740481C1C}">
                          <a14:useLocalDpi xmlns:a14="http://schemas.microsoft.com/office/drawing/2010/main" val="0"/>
                        </a:ext>
                      </a:extLst>
                    </a:blip>
                    <a:stretch>
                      <a:fillRect/>
                    </a:stretch>
                  </pic:blipFill>
                  <pic:spPr>
                    <a:xfrm>
                      <a:off x="0" y="0"/>
                      <a:ext cx="6098399" cy="4323536"/>
                    </a:xfrm>
                    <a:prstGeom prst="rect">
                      <a:avLst/>
                    </a:prstGeom>
                  </pic:spPr>
                </pic:pic>
              </a:graphicData>
            </a:graphic>
          </wp:inline>
        </w:drawing>
      </w:r>
    </w:p>
    <w:p w14:paraId="154E7E32" w14:textId="698CEB27" w:rsidR="001406B1" w:rsidRPr="00A452F2" w:rsidRDefault="001406B1" w:rsidP="00DC7648">
      <w:pPr>
        <w:pStyle w:val="Heading5"/>
      </w:pPr>
      <w:bookmarkStart w:id="98" w:name="_Granted"/>
      <w:bookmarkStart w:id="99" w:name="_Balloon"/>
      <w:bookmarkEnd w:id="98"/>
      <w:bookmarkEnd w:id="99"/>
      <w:r w:rsidRPr="00A452F2">
        <w:t>Balloon</w:t>
      </w:r>
    </w:p>
    <w:p w14:paraId="7F4BF397" w14:textId="77777777" w:rsidR="001406B1" w:rsidRDefault="001406B1" w:rsidP="001406B1">
      <w:pPr>
        <w:rPr>
          <w:lang w:val="en-GB"/>
        </w:rPr>
      </w:pPr>
      <w:r w:rsidRPr="00A452F2">
        <w:rPr>
          <w:lang w:val="en-GB"/>
        </w:rPr>
        <w:t xml:space="preserve">Balloon is </w:t>
      </w:r>
      <w:r>
        <w:rPr>
          <w:lang w:val="en-GB"/>
        </w:rPr>
        <w:t>an application (</w:t>
      </w:r>
      <w:r w:rsidRPr="00A452F2">
        <w:rPr>
          <w:lang w:val="en-GB"/>
        </w:rPr>
        <w:t>kernel driver</w:t>
      </w:r>
      <w:r>
        <w:rPr>
          <w:lang w:val="en-GB"/>
        </w:rPr>
        <w:t xml:space="preserve"> to be precise) running inside the </w:t>
      </w:r>
      <w:r w:rsidRPr="00A452F2">
        <w:rPr>
          <w:lang w:val="en-GB"/>
        </w:rPr>
        <w:t>Guest OS</w:t>
      </w:r>
      <w:r>
        <w:rPr>
          <w:lang w:val="en-GB"/>
        </w:rPr>
        <w:t>, but it can take instruction from VMkernel to inflate/deflate</w:t>
      </w:r>
      <w:r w:rsidRPr="00A452F2">
        <w:rPr>
          <w:lang w:val="en-GB"/>
        </w:rPr>
        <w:t xml:space="preserve">. </w:t>
      </w:r>
    </w:p>
    <w:p w14:paraId="1FCCE73C" w14:textId="77777777" w:rsidR="001406B1" w:rsidRPr="00A452F2" w:rsidRDefault="001406B1" w:rsidP="001406B1">
      <w:pPr>
        <w:rPr>
          <w:lang w:val="en-GB"/>
        </w:rPr>
      </w:pPr>
      <w:r>
        <w:rPr>
          <w:lang w:val="en-GB"/>
        </w:rPr>
        <w:t xml:space="preserve">When it receives an instruction to inflate, it asks the Guest OS to </w:t>
      </w:r>
      <w:r w:rsidRPr="00A452F2">
        <w:rPr>
          <w:lang w:val="en-GB"/>
        </w:rPr>
        <w:t xml:space="preserve">allocate memory </w:t>
      </w:r>
      <w:r>
        <w:rPr>
          <w:lang w:val="en-GB"/>
        </w:rPr>
        <w:t>to it</w:t>
      </w:r>
      <w:r w:rsidRPr="00A452F2">
        <w:rPr>
          <w:lang w:val="en-GB"/>
        </w:rPr>
        <w:t xml:space="preserve">. This memory in the Guest OS is not backed up by physical memory in ESXi, hence it is available for other VMs. When ESXi is no longer under memory pressure, it will notify </w:t>
      </w:r>
      <w:r>
        <w:rPr>
          <w:lang w:val="en-GB"/>
        </w:rPr>
        <w:t xml:space="preserve">the </w:t>
      </w:r>
      <w:r w:rsidRPr="00A452F2">
        <w:rPr>
          <w:lang w:val="en-GB"/>
        </w:rPr>
        <w:t>Balloon</w:t>
      </w:r>
      <w:r>
        <w:rPr>
          <w:lang w:val="en-GB"/>
        </w:rPr>
        <w:t xml:space="preserve"> to release its requested page inside Guest OS</w:t>
      </w:r>
      <w:r w:rsidRPr="00A452F2">
        <w:rPr>
          <w:lang w:val="en-GB"/>
        </w:rPr>
        <w:t>. This is a proactive mechanism to reduce the chance of the Guest OS doing paging. Balloon will release the page inside the Guest OS. The Balloon counter for the VM will come down to 0.</w:t>
      </w:r>
    </w:p>
    <w:p w14:paraId="12CFBA8C" w14:textId="77777777" w:rsidR="001406B1" w:rsidRDefault="001406B1" w:rsidP="001406B1">
      <w:pPr>
        <w:rPr>
          <w:lang w:val="en-GB"/>
        </w:rPr>
      </w:pPr>
      <w:r w:rsidRPr="00A452F2">
        <w:rPr>
          <w:lang w:val="en-GB"/>
        </w:rPr>
        <w:t xml:space="preserve">Guest OS will start allocating from the Free Pages. If insufficient, it will take from Cache, then Modified, then In Use. </w:t>
      </w:r>
      <w:r>
        <w:rPr>
          <w:lang w:val="en-GB"/>
        </w:rPr>
        <w:t xml:space="preserve">This by itself does </w:t>
      </w:r>
      <w:r w:rsidRPr="00120E6E">
        <w:rPr>
          <w:i/>
          <w:iCs/>
          <w:color w:val="FF0000"/>
          <w:lang w:val="en-GB"/>
        </w:rPr>
        <w:t>not</w:t>
      </w:r>
      <w:r w:rsidRPr="00120E6E">
        <w:rPr>
          <w:color w:val="FF0000"/>
          <w:lang w:val="en-GB"/>
        </w:rPr>
        <w:t xml:space="preserve"> </w:t>
      </w:r>
      <w:r>
        <w:rPr>
          <w:lang w:val="en-GB"/>
        </w:rPr>
        <w:t>cause performance problem. What will cause performance is when the ballooned page is requested by Windows or Linux. The following shows a VM that is heavily ballooned as limit was imposed on it. Notice the actual performance happens rarely.</w:t>
      </w:r>
    </w:p>
    <w:p w14:paraId="463446DB" w14:textId="77777777" w:rsidR="001406B1" w:rsidRPr="00A452F2" w:rsidRDefault="001406B1" w:rsidP="001406B1">
      <w:pPr>
        <w:rPr>
          <w:lang w:val="en-GB"/>
        </w:rPr>
      </w:pPr>
      <w:r>
        <w:rPr>
          <w:noProof/>
        </w:rPr>
        <w:lastRenderedPageBreak/>
        <w:drawing>
          <wp:inline distT="0" distB="0" distL="0" distR="0" wp14:anchorId="2495A257" wp14:editId="1B819C54">
            <wp:extent cx="6645910" cy="2598420"/>
            <wp:effectExtent l="0" t="0" r="2540" b="0"/>
            <wp:docPr id="606394181" name="Picture 6063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81"/>
                    <pic:cNvPicPr/>
                  </pic:nvPicPr>
                  <pic:blipFill>
                    <a:blip r:embed="rId538">
                      <a:extLst>
                        <a:ext uri="{28A0092B-C50C-407E-A947-70E740481C1C}">
                          <a14:useLocalDpi xmlns:a14="http://schemas.microsoft.com/office/drawing/2010/main" val="0"/>
                        </a:ext>
                      </a:extLst>
                    </a:blip>
                    <a:stretch>
                      <a:fillRect/>
                    </a:stretch>
                  </pic:blipFill>
                  <pic:spPr>
                    <a:xfrm>
                      <a:off x="0" y="0"/>
                      <a:ext cx="6645910" cy="2598420"/>
                    </a:xfrm>
                    <a:prstGeom prst="rect">
                      <a:avLst/>
                    </a:prstGeom>
                  </pic:spPr>
                </pic:pic>
              </a:graphicData>
            </a:graphic>
          </wp:inline>
        </w:drawing>
      </w:r>
    </w:p>
    <w:p w14:paraId="5E8F09A9" w14:textId="77777777" w:rsidR="001406B1" w:rsidRPr="00A452F2" w:rsidRDefault="001406B1" w:rsidP="001406B1">
      <w:pPr>
        <w:rPr>
          <w:lang w:val="en-GB"/>
        </w:rPr>
      </w:pPr>
      <w:r w:rsidRPr="00A452F2">
        <w:rPr>
          <w:lang w:val="en-GB"/>
        </w:rPr>
        <w:t xml:space="preserve">Just because Balloon asks for 1 GB of RAM, does not mean ESXi gets 1 GB of RAM to be freed. It can be less if there is TPS. </w:t>
      </w:r>
    </w:p>
    <w:p w14:paraId="30728AE3" w14:textId="77777777" w:rsidR="001406B1" w:rsidRDefault="001406B1" w:rsidP="001406B1">
      <w:pPr>
        <w:rPr>
          <w:lang w:val="en-GB"/>
        </w:rPr>
      </w:pPr>
      <w:r w:rsidRPr="00A452F2">
        <w:rPr>
          <w:lang w:val="en-GB"/>
        </w:rPr>
        <w:t>To use ballooning, Guest OS must be configured with sufficient swap space.</w:t>
      </w:r>
    </w:p>
    <w:p w14:paraId="3546EEEC" w14:textId="77777777" w:rsidR="001406B1" w:rsidRPr="00A452F2" w:rsidRDefault="001406B1" w:rsidP="001406B1">
      <w:pPr>
        <w:rPr>
          <w:lang w:val="en-GB"/>
        </w:rPr>
      </w:pPr>
      <w:r>
        <w:rPr>
          <w:lang w:val="en-GB"/>
        </w:rPr>
        <w:t>How much will be asked depends on Idle Memory Tax. I do not recommend playing with this setting.</w:t>
      </w:r>
    </w:p>
    <w:p w14:paraId="7D48A002" w14:textId="77777777" w:rsidR="001406B1" w:rsidRPr="00A452F2" w:rsidRDefault="001406B1" w:rsidP="001406B1">
      <w:pPr>
        <w:rPr>
          <w:lang w:val="en-GB"/>
        </w:rPr>
      </w:pPr>
      <w:r w:rsidRPr="00A452F2">
        <w:rPr>
          <w:lang w:val="en-GB"/>
        </w:rPr>
        <w:t>Guest OS initiate memory reallocation. Therefore, it is possible to have a balloon target value of 0 and balloon value greater than 0.</w:t>
      </w:r>
      <w:r>
        <w:rPr>
          <w:lang w:val="en-GB"/>
        </w:rPr>
        <w:t xml:space="preserve"> The counter </w:t>
      </w:r>
      <w:r w:rsidRPr="00EC4E91">
        <w:rPr>
          <w:b/>
          <w:bCs/>
          <w:color w:val="00B0F0"/>
          <w:lang w:val="en-GB"/>
        </w:rPr>
        <w:t>Balloon Target</w:t>
      </w:r>
      <w:r w:rsidRPr="00EC4E91">
        <w:rPr>
          <w:color w:val="00B0F0"/>
          <w:lang w:val="en-GB"/>
        </w:rPr>
        <w:t xml:space="preserve"> </w:t>
      </w:r>
      <w:r>
        <w:rPr>
          <w:lang w:val="en-GB"/>
        </w:rPr>
        <w:t>tracks this target, so i</w:t>
      </w:r>
      <w:r w:rsidRPr="00A641F6">
        <w:rPr>
          <w:lang w:val="en-GB"/>
        </w:rPr>
        <w:t>f you see a nonzero value in this counter, it means that the</w:t>
      </w:r>
      <w:r>
        <w:rPr>
          <w:lang w:val="en-GB"/>
        </w:rPr>
        <w:t xml:space="preserve"> </w:t>
      </w:r>
      <w:r w:rsidRPr="00A641F6">
        <w:rPr>
          <w:lang w:val="en-GB"/>
        </w:rPr>
        <w:t>hypervisor has asked this VM to give back memory via the VM balloon</w:t>
      </w:r>
      <w:r>
        <w:rPr>
          <w:lang w:val="en-GB"/>
        </w:rPr>
        <w:t xml:space="preserve"> </w:t>
      </w:r>
      <w:r w:rsidRPr="00A641F6">
        <w:rPr>
          <w:lang w:val="en-GB"/>
        </w:rPr>
        <w:t xml:space="preserve">driver. </w:t>
      </w:r>
    </w:p>
    <w:p w14:paraId="662F697B" w14:textId="77777777" w:rsidR="001406B1" w:rsidRPr="00A452F2" w:rsidRDefault="001406B1" w:rsidP="001406B1">
      <w:pPr>
        <w:rPr>
          <w:lang w:val="en-GB"/>
        </w:rPr>
      </w:pPr>
      <w:r w:rsidRPr="00A452F2">
        <w:rPr>
          <w:lang w:val="en-GB"/>
        </w:rPr>
        <w:t>Balloon is a memory request from ESXi. So it’s not part of the application. It should not be included in the Guest OS sizing, hence it’s not part of reclamation.</w:t>
      </w:r>
    </w:p>
    <w:p w14:paraId="43EE7E28" w14:textId="77777777" w:rsidR="001406B1" w:rsidRPr="00A452F2" w:rsidRDefault="001406B1" w:rsidP="001406B1">
      <w:pPr>
        <w:rPr>
          <w:lang w:val="en-GB"/>
        </w:rPr>
      </w:pPr>
      <w:r w:rsidRPr="00A452F2">
        <w:rPr>
          <w:lang w:val="en-GB"/>
        </w:rPr>
        <w:t>Balloon impacts the accuracy of Guest OS sizing. However, there is no way to measure it.</w:t>
      </w:r>
    </w:p>
    <w:p w14:paraId="2F6AA2A4" w14:textId="77777777" w:rsidR="001406B1" w:rsidRPr="00A452F2" w:rsidRDefault="001406B1" w:rsidP="001406B1">
      <w:pPr>
        <w:pStyle w:val="Bullet"/>
        <w:rPr>
          <w:lang w:val="en-GB"/>
        </w:rPr>
      </w:pPr>
      <w:r w:rsidRPr="00A452F2">
        <w:rPr>
          <w:lang w:val="en-GB"/>
        </w:rPr>
        <w:t xml:space="preserve">When Balloon driver asks for pages, Guest OS will allocate, resulting in In Use to go up. This is because the balloon driver is treated like any other processes. </w:t>
      </w:r>
    </w:p>
    <w:p w14:paraId="28EE4CD0" w14:textId="77777777" w:rsidR="001406B1" w:rsidRPr="00A452F2" w:rsidRDefault="001406B1" w:rsidP="001406B1">
      <w:pPr>
        <w:pStyle w:val="Bullet"/>
        <w:rPr>
          <w:lang w:val="en-GB"/>
        </w:rPr>
      </w:pPr>
      <w:r w:rsidRPr="00A452F2">
        <w:rPr>
          <w:lang w:val="en-GB"/>
        </w:rPr>
        <w:t>If the page comes from Free, then we need to deduct it from In Use.</w:t>
      </w:r>
    </w:p>
    <w:p w14:paraId="59059C3B" w14:textId="77777777" w:rsidR="001406B1" w:rsidRPr="00A452F2" w:rsidRDefault="001406B1" w:rsidP="001406B1">
      <w:pPr>
        <w:pStyle w:val="Bullet"/>
        <w:rPr>
          <w:lang w:val="en-GB"/>
        </w:rPr>
      </w:pPr>
      <w:r w:rsidRPr="00A452F2">
        <w:rPr>
          <w:lang w:val="en-GB"/>
        </w:rPr>
        <w:t>If the page comes from In Use, then we can’t simply deduct the value of In Use. Guest OS pages out, so we need to add Page Out or Cache.</w:t>
      </w:r>
    </w:p>
    <w:p w14:paraId="47476703" w14:textId="6D932C67" w:rsidR="001406B1" w:rsidRDefault="001F7F04" w:rsidP="00DC7648">
      <w:pPr>
        <w:pStyle w:val="Heading5"/>
      </w:pPr>
      <w:bookmarkStart w:id="100" w:name="_Compressed_or_Swapped"/>
      <w:bookmarkEnd w:id="100"/>
      <w:r>
        <w:t>Swap &amp; Compress</w:t>
      </w:r>
    </w:p>
    <w:p w14:paraId="5F0508E9" w14:textId="77777777" w:rsidR="00ED16D2" w:rsidRDefault="00ED16D2" w:rsidP="00ED16D2">
      <w:pPr>
        <w:rPr>
          <w:lang w:val="en-GB"/>
        </w:rPr>
      </w:pPr>
      <w:r>
        <w:rPr>
          <w:lang w:val="en-GB"/>
        </w:rPr>
        <w:t xml:space="preserve">Swap and Compress go hand in hand as the block that cannot be compressed go into swapped. A memory block size is 4 KB, so when the compression does not result in savings (below 2 KB or below 1 KB), then it makes no sense to compressed and the page is moved to swapped file. </w:t>
      </w:r>
    </w:p>
    <w:p w14:paraId="50023259" w14:textId="77777777" w:rsidR="002803BF" w:rsidRDefault="002803BF" w:rsidP="001406B1">
      <w:pPr>
        <w:rPr>
          <w:lang w:val="en-GB"/>
        </w:rPr>
      </w:pPr>
    </w:p>
    <w:p w14:paraId="247D45F8" w14:textId="77777777" w:rsidR="002803BF" w:rsidRDefault="002803BF" w:rsidP="001406B1">
      <w:pPr>
        <w:rPr>
          <w:lang w:val="en-GB"/>
        </w:rPr>
      </w:pPr>
    </w:p>
    <w:p w14:paraId="3FACB7F0" w14:textId="77777777" w:rsidR="002803BF" w:rsidRDefault="002803BF" w:rsidP="001406B1">
      <w:pPr>
        <w:rPr>
          <w:lang w:val="en-GB"/>
        </w:rPr>
      </w:pPr>
    </w:p>
    <w:p w14:paraId="1947C74B" w14:textId="7679F4AE" w:rsidR="001406B1" w:rsidRDefault="001406B1" w:rsidP="001406B1">
      <w:pPr>
        <w:rPr>
          <w:lang w:val="en-GB"/>
        </w:rPr>
      </w:pPr>
      <w:r>
        <w:rPr>
          <w:lang w:val="en-GB"/>
        </w:rPr>
        <w:lastRenderedPageBreak/>
        <w:t>Compressed and Swapped</w:t>
      </w:r>
      <w:r w:rsidRPr="009F5A03">
        <w:rPr>
          <w:lang w:val="en-GB"/>
        </w:rPr>
        <w:t xml:space="preserve"> </w:t>
      </w:r>
      <w:r>
        <w:rPr>
          <w:lang w:val="en-GB"/>
        </w:rPr>
        <w:t>are</w:t>
      </w:r>
      <w:r w:rsidRPr="009F5A03">
        <w:rPr>
          <w:lang w:val="en-GB"/>
        </w:rPr>
        <w:t xml:space="preserve"> different from ballooning, as the hypervisor has no</w:t>
      </w:r>
      <w:r>
        <w:rPr>
          <w:lang w:val="en-GB"/>
        </w:rPr>
        <w:t xml:space="preserve"> </w:t>
      </w:r>
      <w:r w:rsidRPr="009F5A03">
        <w:rPr>
          <w:lang w:val="en-GB"/>
        </w:rPr>
        <w:t xml:space="preserve">knowledge of the free memory inside the Guest OS. </w:t>
      </w:r>
      <w:r>
        <w:rPr>
          <w:lang w:val="en-GB"/>
        </w:rPr>
        <w:t xml:space="preserve">It will </w:t>
      </w:r>
      <w:r w:rsidRPr="00B449CA">
        <w:rPr>
          <w:i/>
          <w:iCs/>
          <w:color w:val="FF0000"/>
          <w:lang w:val="en-GB"/>
        </w:rPr>
        <w:t>randomly</w:t>
      </w:r>
      <w:r w:rsidRPr="00B449CA">
        <w:rPr>
          <w:color w:val="FF0000"/>
          <w:lang w:val="en-GB"/>
        </w:rPr>
        <w:t xml:space="preserve"> </w:t>
      </w:r>
      <w:r>
        <w:rPr>
          <w:lang w:val="en-GB"/>
        </w:rPr>
        <w:t>compress or swap.</w:t>
      </w:r>
      <w:r w:rsidRPr="009F5A03">
        <w:rPr>
          <w:lang w:val="en-GB"/>
        </w:rPr>
        <w:t xml:space="preserve"> As a result, any value in this counter indicates that the host is</w:t>
      </w:r>
      <w:r>
        <w:rPr>
          <w:lang w:val="en-GB"/>
        </w:rPr>
        <w:t xml:space="preserve"> </w:t>
      </w:r>
      <w:r w:rsidRPr="009F5A03">
        <w:rPr>
          <w:lang w:val="en-GB"/>
        </w:rPr>
        <w:t>unable to satisfy the VM memory requirement.</w:t>
      </w:r>
      <w:r>
        <w:rPr>
          <w:lang w:val="en-GB"/>
        </w:rPr>
        <w:t xml:space="preserve"> This can have potential impact on performance. </w:t>
      </w:r>
    </w:p>
    <w:p w14:paraId="71B53C9E" w14:textId="77777777" w:rsidR="001406B1" w:rsidRDefault="001406B1" w:rsidP="001406B1">
      <w:pPr>
        <w:rPr>
          <w:lang w:val="en-GB"/>
        </w:rPr>
      </w:pPr>
      <w:r w:rsidRPr="00424CED">
        <w:rPr>
          <w:lang w:val="en-GB"/>
        </w:rPr>
        <w:t xml:space="preserve">You may notice that there is no compression target. </w:t>
      </w:r>
      <w:r>
        <w:rPr>
          <w:lang w:val="en-GB"/>
        </w:rPr>
        <w:t>Right?</w:t>
      </w:r>
    </w:p>
    <w:p w14:paraId="50E37854" w14:textId="77777777" w:rsidR="001406B1" w:rsidRPr="00A452F2" w:rsidRDefault="001406B1" w:rsidP="001406B1">
      <w:pPr>
        <w:rPr>
          <w:lang w:val="en-GB"/>
        </w:rPr>
      </w:pPr>
      <w:r>
        <w:rPr>
          <w:noProof/>
        </w:rPr>
        <w:drawing>
          <wp:inline distT="0" distB="0" distL="0" distR="0" wp14:anchorId="5657093F" wp14:editId="640AA1B5">
            <wp:extent cx="6645910" cy="1659255"/>
            <wp:effectExtent l="0" t="0" r="2540" b="0"/>
            <wp:docPr id="606394182" name="Picture 6063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82"/>
                    <pic:cNvPicPr/>
                  </pic:nvPicPr>
                  <pic:blipFill>
                    <a:blip r:embed="rId539">
                      <a:extLst>
                        <a:ext uri="{28A0092B-C50C-407E-A947-70E740481C1C}">
                          <a14:useLocalDpi xmlns:a14="http://schemas.microsoft.com/office/drawing/2010/main" val="0"/>
                        </a:ext>
                      </a:extLst>
                    </a:blip>
                    <a:stretch>
                      <a:fillRect/>
                    </a:stretch>
                  </pic:blipFill>
                  <pic:spPr>
                    <a:xfrm>
                      <a:off x="0" y="0"/>
                      <a:ext cx="6645910" cy="1659255"/>
                    </a:xfrm>
                    <a:prstGeom prst="rect">
                      <a:avLst/>
                    </a:prstGeom>
                  </pic:spPr>
                </pic:pic>
              </a:graphicData>
            </a:graphic>
          </wp:inline>
        </w:drawing>
      </w:r>
    </w:p>
    <w:p w14:paraId="418BFCF7" w14:textId="77777777" w:rsidR="001406B1" w:rsidRDefault="001406B1" w:rsidP="001406B1">
      <w:pPr>
        <w:rPr>
          <w:lang w:val="en-GB"/>
        </w:rPr>
      </w:pPr>
      <w:r w:rsidRPr="00A452F2">
        <w:rPr>
          <w:lang w:val="en-GB"/>
        </w:rPr>
        <w:t xml:space="preserve">The Consumed counter </w:t>
      </w:r>
      <w:r w:rsidRPr="00FE6438">
        <w:rPr>
          <w:i/>
          <w:iCs/>
          <w:lang w:val="en-GB"/>
        </w:rPr>
        <w:t>includes</w:t>
      </w:r>
      <w:r w:rsidRPr="00A452F2">
        <w:rPr>
          <w:lang w:val="en-GB"/>
        </w:rPr>
        <w:t xml:space="preserve"> this </w:t>
      </w:r>
      <w:r>
        <w:rPr>
          <w:lang w:val="en-GB"/>
        </w:rPr>
        <w:t>metric</w:t>
      </w:r>
      <w:r w:rsidRPr="00A452F2">
        <w:rPr>
          <w:lang w:val="en-GB"/>
        </w:rPr>
        <w:t>. To be accurate, the Compressed counter should track the result of the compression, as that’s the actual amount consumed by the compressed pages.</w:t>
      </w:r>
    </w:p>
    <w:p w14:paraId="32747064" w14:textId="77777777" w:rsidR="001406B1" w:rsidRDefault="001406B1" w:rsidP="001406B1">
      <w:pPr>
        <w:rPr>
          <w:lang w:val="en-GB"/>
        </w:rPr>
      </w:pPr>
      <w:r w:rsidRPr="0009011E">
        <w:rPr>
          <w:lang w:val="en-GB"/>
        </w:rPr>
        <w:t>It is possible to have balloon showing a zero value while compressed or</w:t>
      </w:r>
      <w:r>
        <w:rPr>
          <w:lang w:val="en-GB"/>
        </w:rPr>
        <w:t xml:space="preserve"> </w:t>
      </w:r>
      <w:r w:rsidRPr="0009011E">
        <w:rPr>
          <w:lang w:val="en-GB"/>
        </w:rPr>
        <w:t>swapped are showing nonzero values—even though in the order of ESXi memory</w:t>
      </w:r>
      <w:r>
        <w:rPr>
          <w:lang w:val="en-GB"/>
        </w:rPr>
        <w:t xml:space="preserve"> </w:t>
      </w:r>
      <w:r w:rsidRPr="0009011E">
        <w:rPr>
          <w:lang w:val="en-GB"/>
        </w:rPr>
        <w:t>reclamation techniques, ballooning occurs before compression. This indicates that the</w:t>
      </w:r>
      <w:r>
        <w:rPr>
          <w:lang w:val="en-GB"/>
        </w:rPr>
        <w:t xml:space="preserve"> </w:t>
      </w:r>
      <w:r w:rsidRPr="0009011E">
        <w:rPr>
          <w:lang w:val="en-GB"/>
        </w:rPr>
        <w:t xml:space="preserve">VM did have memory pressure </w:t>
      </w:r>
      <w:r w:rsidRPr="002803BF">
        <w:rPr>
          <w:color w:val="00B0F0"/>
          <w:lang w:val="en-GB"/>
        </w:rPr>
        <w:t xml:space="preserve">in the past </w:t>
      </w:r>
      <w:r w:rsidRPr="0009011E">
        <w:rPr>
          <w:lang w:val="en-GB"/>
        </w:rPr>
        <w:t>that caused ballooning, compression, and</w:t>
      </w:r>
      <w:r>
        <w:rPr>
          <w:lang w:val="en-GB"/>
        </w:rPr>
        <w:t xml:space="preserve"> </w:t>
      </w:r>
      <w:r w:rsidRPr="0009011E">
        <w:rPr>
          <w:lang w:val="en-GB"/>
        </w:rPr>
        <w:t xml:space="preserve">swapping then, but it no longer has the memory pressure. </w:t>
      </w:r>
      <w:r>
        <w:rPr>
          <w:lang w:val="en-GB"/>
        </w:rPr>
        <w:t xml:space="preserve">These events could have happened at different time. </w:t>
      </w:r>
      <w:r w:rsidRPr="0009011E">
        <w:rPr>
          <w:lang w:val="en-GB"/>
        </w:rPr>
        <w:t>Data that was compressed</w:t>
      </w:r>
      <w:r>
        <w:rPr>
          <w:lang w:val="en-GB"/>
        </w:rPr>
        <w:t xml:space="preserve"> </w:t>
      </w:r>
      <w:r w:rsidRPr="0009011E">
        <w:rPr>
          <w:lang w:val="en-GB"/>
        </w:rPr>
        <w:t>or swapped out is not retrieved unless requested, because doing so takes CPU cycles.</w:t>
      </w:r>
      <w:r>
        <w:rPr>
          <w:lang w:val="en-GB"/>
        </w:rPr>
        <w:t xml:space="preserve"> </w:t>
      </w:r>
      <w:r w:rsidRPr="0009011E">
        <w:rPr>
          <w:lang w:val="en-GB"/>
        </w:rPr>
        <w:t>The balloon driver, on the other hand, will be proactively deflated when memory</w:t>
      </w:r>
      <w:r>
        <w:rPr>
          <w:lang w:val="en-GB"/>
        </w:rPr>
        <w:t xml:space="preserve"> </w:t>
      </w:r>
      <w:r w:rsidRPr="0009011E">
        <w:rPr>
          <w:lang w:val="en-GB"/>
        </w:rPr>
        <w:t>pressure is relieved.</w:t>
      </w:r>
    </w:p>
    <w:p w14:paraId="38086BF1" w14:textId="77777777" w:rsidR="001406B1" w:rsidRDefault="001406B1" w:rsidP="001406B1">
      <w:pPr>
        <w:rPr>
          <w:lang w:val="en-GB"/>
        </w:rPr>
      </w:pPr>
      <w:r>
        <w:rPr>
          <w:lang w:val="en-GB"/>
        </w:rPr>
        <w:t xml:space="preserve">There are other compression related metrics that are provided. </w:t>
      </w:r>
    </w:p>
    <w:p w14:paraId="3621DE8F" w14:textId="77777777" w:rsidR="001406B1" w:rsidRPr="00A452F2" w:rsidRDefault="001406B1" w:rsidP="001406B1">
      <w:pPr>
        <w:pStyle w:val="BeforeTable"/>
        <w:rPr>
          <w:lang w:val="en-GB"/>
        </w:rPr>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35"/>
        <w:gridCol w:w="8131"/>
      </w:tblGrid>
      <w:tr w:rsidR="001406B1" w:rsidRPr="00E51A31" w14:paraId="203EB1A8" w14:textId="77777777" w:rsidTr="002813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Borders>
              <w:bottom w:val="none" w:sz="0" w:space="0" w:color="auto"/>
            </w:tcBorders>
            <w:shd w:val="clear" w:color="auto" w:fill="F2F2F2" w:themeFill="background1" w:themeFillShade="F2"/>
          </w:tcPr>
          <w:p w14:paraId="4C63DDE7" w14:textId="77777777" w:rsidR="001406B1" w:rsidRPr="000F6B12" w:rsidRDefault="001406B1" w:rsidP="00281329">
            <w:pPr>
              <w:pStyle w:val="Tableheading"/>
              <w:rPr>
                <w:b/>
                <w:bCs w:val="0"/>
              </w:rPr>
            </w:pPr>
            <w:r>
              <w:rPr>
                <w:b/>
                <w:bCs w:val="0"/>
              </w:rPr>
              <w:t>Metrics</w:t>
            </w:r>
          </w:p>
        </w:tc>
        <w:tc>
          <w:tcPr>
            <w:tcW w:w="10064" w:type="dxa"/>
            <w:tcBorders>
              <w:bottom w:val="none" w:sz="0" w:space="0" w:color="auto"/>
            </w:tcBorders>
            <w:shd w:val="clear" w:color="auto" w:fill="F2F2F2" w:themeFill="background1" w:themeFillShade="F2"/>
          </w:tcPr>
          <w:p w14:paraId="2E44CB79" w14:textId="77777777" w:rsidR="001406B1" w:rsidRPr="000F6B12" w:rsidRDefault="001406B1" w:rsidP="00281329">
            <w:pPr>
              <w:pStyle w:val="Tableheading"/>
              <w:cnfStyle w:val="100000000000" w:firstRow="1" w:lastRow="0" w:firstColumn="0" w:lastColumn="0" w:oddVBand="0" w:evenVBand="0" w:oddHBand="0" w:evenHBand="0" w:firstRowFirstColumn="0" w:firstRowLastColumn="0" w:lastRowFirstColumn="0" w:lastRowLastColumn="0"/>
              <w:rPr>
                <w:b/>
                <w:bCs w:val="0"/>
              </w:rPr>
            </w:pPr>
            <w:r w:rsidRPr="000F6B12">
              <w:rPr>
                <w:b/>
                <w:bCs w:val="0"/>
              </w:rPr>
              <w:t>Description</w:t>
            </w:r>
          </w:p>
        </w:tc>
      </w:tr>
      <w:tr w:rsidR="001406B1" w:rsidRPr="00E51A31" w14:paraId="6D1C08D8" w14:textId="77777777" w:rsidTr="00281329">
        <w:tc>
          <w:tcPr>
            <w:cnfStyle w:val="001000000000" w:firstRow="0" w:lastRow="0" w:firstColumn="1" w:lastColumn="0" w:oddVBand="0" w:evenVBand="0" w:oddHBand="0" w:evenHBand="0" w:firstRowFirstColumn="0" w:firstRowLastColumn="0" w:lastRowFirstColumn="0" w:lastRowLastColumn="0"/>
            <w:tcW w:w="2547" w:type="dxa"/>
          </w:tcPr>
          <w:p w14:paraId="20324590" w14:textId="77777777" w:rsidR="001406B1" w:rsidRPr="000F6B12" w:rsidRDefault="001406B1" w:rsidP="00281329">
            <w:pPr>
              <w:pStyle w:val="Tablecontent"/>
              <w:rPr>
                <w:b w:val="0"/>
                <w:bCs w:val="0"/>
                <w:lang w:val="en-GB"/>
              </w:rPr>
            </w:pPr>
            <w:r w:rsidRPr="000F6B12">
              <w:rPr>
                <w:b w:val="0"/>
                <w:bCs w:val="0"/>
                <w:lang w:val="en-GB"/>
              </w:rPr>
              <w:t>Average Compressed</w:t>
            </w:r>
          </w:p>
        </w:tc>
        <w:tc>
          <w:tcPr>
            <w:tcW w:w="10064" w:type="dxa"/>
          </w:tcPr>
          <w:p w14:paraId="43A35C63" w14:textId="77777777" w:rsidR="001406B1" w:rsidRPr="00A452F2" w:rsidRDefault="001406B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Average amount of compressed memory in the reporting period. In vCenter case, this is the average of the last 20 seconds. In vRealize Operations case, this is the average of the last 5 minutes.</w:t>
            </w:r>
          </w:p>
        </w:tc>
      </w:tr>
      <w:tr w:rsidR="001406B1" w:rsidRPr="00E51A31" w14:paraId="3DD45332" w14:textId="77777777" w:rsidTr="00281329">
        <w:tc>
          <w:tcPr>
            <w:cnfStyle w:val="001000000000" w:firstRow="0" w:lastRow="0" w:firstColumn="1" w:lastColumn="0" w:oddVBand="0" w:evenVBand="0" w:oddHBand="0" w:evenHBand="0" w:firstRowFirstColumn="0" w:firstRowLastColumn="0" w:lastRowFirstColumn="0" w:lastRowLastColumn="0"/>
            <w:tcW w:w="2547" w:type="dxa"/>
          </w:tcPr>
          <w:p w14:paraId="678C403A" w14:textId="77777777" w:rsidR="001406B1" w:rsidRPr="000F6B12" w:rsidRDefault="001406B1" w:rsidP="00281329">
            <w:pPr>
              <w:pStyle w:val="Tablecontent"/>
              <w:rPr>
                <w:b w:val="0"/>
                <w:bCs w:val="0"/>
                <w:lang w:val="en-GB"/>
              </w:rPr>
            </w:pPr>
            <w:r w:rsidRPr="000F6B12">
              <w:rPr>
                <w:b w:val="0"/>
                <w:bCs w:val="0"/>
                <w:lang w:val="en-GB"/>
              </w:rPr>
              <w:t>Latest Zipped</w:t>
            </w:r>
          </w:p>
        </w:tc>
        <w:tc>
          <w:tcPr>
            <w:tcW w:w="10064" w:type="dxa"/>
          </w:tcPr>
          <w:p w14:paraId="0A88D15B" w14:textId="77777777" w:rsidR="001406B1" w:rsidRPr="00A452F2" w:rsidRDefault="001406B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Last amount of compressed memory in the reporting period. In vCenter case, this is data in the 20th second. vRealize Operations then averages 15 of these datapoints to make a 300 second average.</w:t>
            </w:r>
          </w:p>
        </w:tc>
      </w:tr>
      <w:tr w:rsidR="001406B1" w:rsidRPr="00E51A31" w14:paraId="274E0FA8" w14:textId="77777777" w:rsidTr="00281329">
        <w:tc>
          <w:tcPr>
            <w:cnfStyle w:val="001000000000" w:firstRow="0" w:lastRow="0" w:firstColumn="1" w:lastColumn="0" w:oddVBand="0" w:evenVBand="0" w:oddHBand="0" w:evenHBand="0" w:firstRowFirstColumn="0" w:firstRowLastColumn="0" w:lastRowFirstColumn="0" w:lastRowLastColumn="0"/>
            <w:tcW w:w="2547" w:type="dxa"/>
          </w:tcPr>
          <w:p w14:paraId="1588756A" w14:textId="77777777" w:rsidR="001406B1" w:rsidRPr="000F6B12" w:rsidRDefault="001406B1" w:rsidP="00281329">
            <w:pPr>
              <w:pStyle w:val="Tablecontent"/>
              <w:rPr>
                <w:b w:val="0"/>
                <w:bCs w:val="0"/>
                <w:lang w:val="en-GB"/>
              </w:rPr>
            </w:pPr>
            <w:r w:rsidRPr="000F6B12">
              <w:rPr>
                <w:b w:val="0"/>
                <w:bCs w:val="0"/>
                <w:lang w:val="en-GB"/>
              </w:rPr>
              <w:t>Zip Saved</w:t>
            </w:r>
          </w:p>
        </w:tc>
        <w:tc>
          <w:tcPr>
            <w:tcW w:w="10064" w:type="dxa"/>
          </w:tcPr>
          <w:p w14:paraId="2F0D2B97" w14:textId="77777777" w:rsidR="001406B1" w:rsidRPr="00A452F2" w:rsidRDefault="001406B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The present amount of memory saved from the compression.</w:t>
            </w:r>
          </w:p>
        </w:tc>
      </w:tr>
      <w:tr w:rsidR="001406B1" w:rsidRPr="00E51A31" w14:paraId="6A8AD0FB" w14:textId="77777777" w:rsidTr="00281329">
        <w:tc>
          <w:tcPr>
            <w:cnfStyle w:val="001000000000" w:firstRow="0" w:lastRow="0" w:firstColumn="1" w:lastColumn="0" w:oddVBand="0" w:evenVBand="0" w:oddHBand="0" w:evenHBand="0" w:firstRowFirstColumn="0" w:firstRowLastColumn="0" w:lastRowFirstColumn="0" w:lastRowLastColumn="0"/>
            <w:tcW w:w="2547" w:type="dxa"/>
          </w:tcPr>
          <w:p w14:paraId="78BB64AA" w14:textId="77777777" w:rsidR="001406B1" w:rsidRPr="000F6B12" w:rsidRDefault="001406B1" w:rsidP="00281329">
            <w:pPr>
              <w:pStyle w:val="Tablecontent"/>
              <w:rPr>
                <w:b w:val="0"/>
                <w:bCs w:val="0"/>
                <w:lang w:val="en-GB"/>
              </w:rPr>
            </w:pPr>
            <w:r w:rsidRPr="000F6B12">
              <w:rPr>
                <w:b w:val="0"/>
                <w:bCs w:val="0"/>
                <w:lang w:val="en-GB"/>
              </w:rPr>
              <w:t>Compression Rate</w:t>
            </w:r>
          </w:p>
        </w:tc>
        <w:tc>
          <w:tcPr>
            <w:tcW w:w="10064" w:type="dxa"/>
          </w:tcPr>
          <w:p w14:paraId="4811B648" w14:textId="77777777" w:rsidR="001406B1" w:rsidRPr="00A452F2" w:rsidRDefault="001406B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This complements the compressed size as it covers how much memory is compressed at any given period. A 10 MB compressed in 1 second is different to 10 KB compressed over 1000 seconds. Both results in the same amount, but the problem is different. One is a acute but short fever, the other is low grade but persistent fever. You don’t want neither, but good to know what exactly you’re dealing with.</w:t>
            </w:r>
          </w:p>
        </w:tc>
      </w:tr>
      <w:tr w:rsidR="001406B1" w:rsidRPr="00E51A31" w14:paraId="3F3DE622" w14:textId="77777777" w:rsidTr="00281329">
        <w:tc>
          <w:tcPr>
            <w:cnfStyle w:val="001000000000" w:firstRow="0" w:lastRow="0" w:firstColumn="1" w:lastColumn="0" w:oddVBand="0" w:evenVBand="0" w:oddHBand="0" w:evenHBand="0" w:firstRowFirstColumn="0" w:firstRowLastColumn="0" w:lastRowFirstColumn="0" w:lastRowLastColumn="0"/>
            <w:tcW w:w="2547" w:type="dxa"/>
          </w:tcPr>
          <w:p w14:paraId="6A800B71" w14:textId="77777777" w:rsidR="001406B1" w:rsidRPr="000F6B12" w:rsidRDefault="001406B1" w:rsidP="00281329">
            <w:pPr>
              <w:pStyle w:val="Tablecontent"/>
              <w:rPr>
                <w:b w:val="0"/>
                <w:bCs w:val="0"/>
                <w:lang w:val="en-GB"/>
              </w:rPr>
            </w:pPr>
            <w:r w:rsidRPr="000F6B12">
              <w:rPr>
                <w:b w:val="0"/>
                <w:bCs w:val="0"/>
                <w:lang w:val="en-GB"/>
              </w:rPr>
              <w:t>Decompression Rate</w:t>
            </w:r>
          </w:p>
        </w:tc>
        <w:tc>
          <w:tcPr>
            <w:tcW w:w="10064" w:type="dxa"/>
          </w:tcPr>
          <w:p w14:paraId="4D43DB39" w14:textId="77777777" w:rsidR="001406B1" w:rsidRPr="00A452F2" w:rsidRDefault="001406B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Same as above, but for the opposite process. </w:t>
            </w:r>
          </w:p>
        </w:tc>
      </w:tr>
      <w:tr w:rsidR="001406B1" w:rsidRPr="00E51A31" w14:paraId="5E38755C" w14:textId="77777777" w:rsidTr="00281329">
        <w:tc>
          <w:tcPr>
            <w:cnfStyle w:val="001000000000" w:firstRow="0" w:lastRow="0" w:firstColumn="1" w:lastColumn="0" w:oddVBand="0" w:evenVBand="0" w:oddHBand="0" w:evenHBand="0" w:firstRowFirstColumn="0" w:firstRowLastColumn="0" w:lastRowFirstColumn="0" w:lastRowLastColumn="0"/>
            <w:tcW w:w="2547" w:type="dxa"/>
          </w:tcPr>
          <w:p w14:paraId="44B28AAE" w14:textId="77777777" w:rsidR="001406B1" w:rsidRPr="00FC449C" w:rsidRDefault="001406B1" w:rsidP="00281329">
            <w:pPr>
              <w:pStyle w:val="Tablecontent"/>
              <w:rPr>
                <w:b w:val="0"/>
                <w:bCs w:val="0"/>
                <w:lang w:val="en-GB"/>
              </w:rPr>
            </w:pPr>
            <w:r>
              <w:rPr>
                <w:b w:val="0"/>
                <w:bCs w:val="0"/>
                <w:lang w:val="en-GB"/>
              </w:rPr>
              <w:t>Swap</w:t>
            </w:r>
            <w:r w:rsidRPr="00FC449C">
              <w:rPr>
                <w:b w:val="0"/>
                <w:bCs w:val="0"/>
                <w:lang w:val="en-GB"/>
              </w:rPr>
              <w:t xml:space="preserve"> Target</w:t>
            </w:r>
          </w:p>
        </w:tc>
        <w:tc>
          <w:tcPr>
            <w:tcW w:w="10064" w:type="dxa"/>
          </w:tcPr>
          <w:p w14:paraId="107F175F" w14:textId="77777777" w:rsidR="001406B1" w:rsidRDefault="001406B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424CED">
              <w:rPr>
                <w:lang w:val="en-GB"/>
              </w:rPr>
              <w:t>We have a balloon target and</w:t>
            </w:r>
            <w:r>
              <w:rPr>
                <w:lang w:val="en-GB"/>
              </w:rPr>
              <w:t xml:space="preserve"> </w:t>
            </w:r>
            <w:r w:rsidRPr="00424CED">
              <w:rPr>
                <w:lang w:val="en-GB"/>
              </w:rPr>
              <w:t>swap target, so we should expect a compression target too</w:t>
            </w:r>
            <w:r>
              <w:rPr>
                <w:lang w:val="en-GB"/>
              </w:rPr>
              <w:t xml:space="preserve"> right? </w:t>
            </w:r>
          </w:p>
          <w:p w14:paraId="76B04909" w14:textId="77777777" w:rsidR="001406B1" w:rsidRDefault="001406B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No, because </w:t>
            </w:r>
            <w:r w:rsidRPr="0003656B">
              <w:rPr>
                <w:lang w:val="en-GB"/>
              </w:rPr>
              <w:t>both swap and compression work together to meet the swap</w:t>
            </w:r>
            <w:r>
              <w:rPr>
                <w:lang w:val="en-GB"/>
              </w:rPr>
              <w:t xml:space="preserve"> </w:t>
            </w:r>
            <w:r w:rsidRPr="0003656B">
              <w:rPr>
                <w:lang w:val="en-GB"/>
              </w:rPr>
              <w:t>target counter, the counter should actually be called Compression or Swap target</w:t>
            </w:r>
            <w:r>
              <w:rPr>
                <w:lang w:val="en-GB"/>
              </w:rPr>
              <w:t>.</w:t>
            </w:r>
          </w:p>
          <w:p w14:paraId="63EEE0F1" w14:textId="77777777" w:rsidR="001406B1" w:rsidRPr="00A452F2" w:rsidRDefault="001406B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 xml:space="preserve">This counter tracks the amount of RAM that is </w:t>
            </w:r>
            <w:r>
              <w:rPr>
                <w:lang w:val="en-GB"/>
              </w:rPr>
              <w:t xml:space="preserve">subjected to the </w:t>
            </w:r>
            <w:r w:rsidRPr="00A452F2">
              <w:rPr>
                <w:lang w:val="en-GB"/>
              </w:rPr>
              <w:t>compress</w:t>
            </w:r>
            <w:r>
              <w:rPr>
                <w:lang w:val="en-GB"/>
              </w:rPr>
              <w:t>ion process</w:t>
            </w:r>
            <w:r w:rsidRPr="00A452F2">
              <w:rPr>
                <w:lang w:val="en-GB"/>
              </w:rPr>
              <w:t>. It does not track what the resultant compressed amount</w:t>
            </w:r>
            <w:r>
              <w:rPr>
                <w:lang w:val="en-GB"/>
              </w:rPr>
              <w:t xml:space="preserve">. There are </w:t>
            </w:r>
            <w:r w:rsidRPr="00A452F2">
              <w:rPr>
                <w:lang w:val="en-GB"/>
              </w:rPr>
              <w:t>2 levels of compression</w:t>
            </w:r>
            <w:r>
              <w:rPr>
                <w:lang w:val="en-GB"/>
              </w:rPr>
              <w:t xml:space="preserve"> (4</w:t>
            </w:r>
            <w:r w:rsidRPr="00A452F2">
              <w:rPr>
                <w:lang w:val="en-GB"/>
              </w:rPr>
              <w:t>:1 and 2:1</w:t>
            </w:r>
            <w:r>
              <w:rPr>
                <w:lang w:val="en-GB"/>
              </w:rPr>
              <w:t>), so</w:t>
            </w:r>
            <w:r w:rsidRPr="00A452F2">
              <w:rPr>
                <w:lang w:val="en-GB"/>
              </w:rPr>
              <w:t xml:space="preserve"> a 4 KB page may end up as 1 KB or 2 KB.</w:t>
            </w:r>
            <w:r>
              <w:rPr>
                <w:lang w:val="en-GB"/>
              </w:rPr>
              <w:t xml:space="preserve"> If the </w:t>
            </w:r>
            <w:r>
              <w:rPr>
                <w:lang w:val="en-GB"/>
              </w:rPr>
              <w:lastRenderedPageBreak/>
              <w:t>compression result is less than that, the page will be swapped instead as that’s a cheaper operation. So it’s completely possible to have 0 swapped as all the pages were compressed instead</w:t>
            </w:r>
          </w:p>
        </w:tc>
      </w:tr>
    </w:tbl>
    <w:p w14:paraId="36FB3545" w14:textId="77777777" w:rsidR="001406B1" w:rsidRPr="00A452F2" w:rsidRDefault="001406B1" w:rsidP="001406B1">
      <w:pPr>
        <w:rPr>
          <w:lang w:val="en-GB"/>
        </w:rPr>
      </w:pPr>
      <w:r w:rsidRPr="00A452F2">
        <w:rPr>
          <w:lang w:val="en-GB"/>
        </w:rPr>
        <w:lastRenderedPageBreak/>
        <w:t>Which one should you pay attention to?</w:t>
      </w:r>
    </w:p>
    <w:p w14:paraId="5E3772A7" w14:textId="77777777" w:rsidR="001406B1" w:rsidRDefault="001406B1" w:rsidP="001406B1">
      <w:pPr>
        <w:rPr>
          <w:lang w:val="en-GB"/>
        </w:rPr>
      </w:pPr>
      <w:r w:rsidRPr="00A452F2">
        <w:rPr>
          <w:lang w:val="en-GB"/>
        </w:rPr>
        <w:t>The answer always goes back to: when you see the value, what are you going to do about it? Basing on the purpose or use case helps in applying the metrics in the context of operations.</w:t>
      </w:r>
    </w:p>
    <w:p w14:paraId="103661AA" w14:textId="77777777" w:rsidR="001406B1" w:rsidRDefault="001406B1" w:rsidP="00DC7648">
      <w:pPr>
        <w:pStyle w:val="Heading5"/>
      </w:pPr>
      <w:r>
        <w:t>Limit</w:t>
      </w:r>
    </w:p>
    <w:p w14:paraId="114D66F1" w14:textId="77777777" w:rsidR="001406B1" w:rsidRDefault="001406B1" w:rsidP="001406B1">
      <w:pPr>
        <w:rPr>
          <w:lang w:val="en-GB"/>
        </w:rPr>
      </w:pPr>
      <w:r>
        <w:rPr>
          <w:lang w:val="en-GB"/>
        </w:rPr>
        <w:t xml:space="preserve">Does limit result in Balloon? </w:t>
      </w:r>
    </w:p>
    <w:p w14:paraId="6172D728" w14:textId="77777777" w:rsidR="001406B1" w:rsidRDefault="001406B1" w:rsidP="001406B1">
      <w:pPr>
        <w:rPr>
          <w:lang w:val="en-GB"/>
        </w:rPr>
      </w:pPr>
      <w:r>
        <w:rPr>
          <w:lang w:val="en-GB"/>
        </w:rPr>
        <w:t>The answer is no. Why not?</w:t>
      </w:r>
    </w:p>
    <w:p w14:paraId="0DB50ECC" w14:textId="77777777" w:rsidR="001406B1" w:rsidRDefault="001406B1" w:rsidP="001406B1">
      <w:pPr>
        <w:rPr>
          <w:lang w:val="en-GB"/>
        </w:rPr>
      </w:pPr>
      <w:r>
        <w:rPr>
          <w:lang w:val="en-GB"/>
        </w:rPr>
        <w:t>They are at different level on memory management. Limit results in swapped or compressed.</w:t>
      </w:r>
    </w:p>
    <w:p w14:paraId="760565D9" w14:textId="77777777" w:rsidR="001406B1" w:rsidRDefault="001406B1" w:rsidP="001406B1">
      <w:pPr>
        <w:rPr>
          <w:lang w:val="en-GB"/>
        </w:rPr>
      </w:pPr>
      <w:r>
        <w:rPr>
          <w:lang w:val="en-GB"/>
        </w:rPr>
        <w:t>Let’s take an example with a VM that is configured with 16 GB RAM. This is a My SQL database running on RHEL. You can see in the last 7 days, it’s using around 13.4 GB and increasing to 13.6 GB.</w:t>
      </w:r>
    </w:p>
    <w:p w14:paraId="48212972" w14:textId="77777777" w:rsidR="001406B1" w:rsidRDefault="001406B1" w:rsidP="001406B1">
      <w:pPr>
        <w:rPr>
          <w:lang w:val="en-GB"/>
        </w:rPr>
      </w:pPr>
      <w:r w:rsidRPr="009D5091">
        <w:rPr>
          <w:noProof/>
          <w:lang w:val="en-GB"/>
        </w:rPr>
        <w:drawing>
          <wp:inline distT="0" distB="0" distL="0" distR="0" wp14:anchorId="06EA8535" wp14:editId="6E04FDAB">
            <wp:extent cx="6645910" cy="1112520"/>
            <wp:effectExtent l="0" t="0" r="2540" b="0"/>
            <wp:docPr id="918289629" name="Picture 918289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6645910" cy="1112520"/>
                    </a:xfrm>
                    <a:prstGeom prst="rect">
                      <a:avLst/>
                    </a:prstGeom>
                  </pic:spPr>
                </pic:pic>
              </a:graphicData>
            </a:graphic>
          </wp:inline>
        </w:drawing>
      </w:r>
    </w:p>
    <w:p w14:paraId="3B3FDEBE" w14:textId="77777777" w:rsidR="001406B1" w:rsidRDefault="001406B1" w:rsidP="001406B1">
      <w:pPr>
        <w:rPr>
          <w:lang w:val="en-GB"/>
        </w:rPr>
      </w:pPr>
      <w:r>
        <w:rPr>
          <w:lang w:val="en-GB"/>
        </w:rPr>
        <w:t xml:space="preserve">It’s given a bad limit of 2 GB. </w:t>
      </w:r>
    </w:p>
    <w:p w14:paraId="1C51012F" w14:textId="77777777" w:rsidR="001406B1" w:rsidRDefault="001406B1" w:rsidP="001406B1">
      <w:pPr>
        <w:rPr>
          <w:lang w:val="en-GB"/>
        </w:rPr>
      </w:pPr>
      <w:r>
        <w:rPr>
          <w:lang w:val="en-GB"/>
        </w:rPr>
        <w:t>In the last 7 days, we can see the limit is a perfectly flat line. It’s 2.12 GB as it includes the overhead value.</w:t>
      </w:r>
    </w:p>
    <w:p w14:paraId="6AA71999" w14:textId="77777777" w:rsidR="001406B1" w:rsidRDefault="001406B1" w:rsidP="001406B1">
      <w:pPr>
        <w:rPr>
          <w:lang w:val="en-GB"/>
        </w:rPr>
      </w:pPr>
      <w:r w:rsidRPr="00A12F3E">
        <w:rPr>
          <w:noProof/>
          <w:lang w:val="en-GB"/>
        </w:rPr>
        <w:drawing>
          <wp:inline distT="0" distB="0" distL="0" distR="0" wp14:anchorId="50848AE5" wp14:editId="07D1641D">
            <wp:extent cx="6645910" cy="1037590"/>
            <wp:effectExtent l="0" t="0" r="2540" b="0"/>
            <wp:docPr id="1859674555" name="Picture 1859674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6645910" cy="1037590"/>
                    </a:xfrm>
                    <a:prstGeom prst="rect">
                      <a:avLst/>
                    </a:prstGeom>
                  </pic:spPr>
                </pic:pic>
              </a:graphicData>
            </a:graphic>
          </wp:inline>
        </w:drawing>
      </w:r>
    </w:p>
    <w:p w14:paraId="278E0542" w14:textId="77777777" w:rsidR="001406B1" w:rsidRDefault="001406B1" w:rsidP="001406B1">
      <w:pPr>
        <w:rPr>
          <w:lang w:val="en-GB"/>
        </w:rPr>
      </w:pPr>
      <w:r>
        <w:rPr>
          <w:lang w:val="en-GB"/>
        </w:rPr>
        <w:t>The VM, or rather the Guest OS, did ask for more. You can see the demand by looking at the Granted or Compressed or Swapped metrics. I’m only showing Granted here:</w:t>
      </w:r>
    </w:p>
    <w:p w14:paraId="0E6C866D" w14:textId="77777777" w:rsidR="001406B1" w:rsidRDefault="001406B1" w:rsidP="001406B1">
      <w:pPr>
        <w:rPr>
          <w:lang w:val="en-GB"/>
        </w:rPr>
      </w:pPr>
      <w:r w:rsidRPr="00BC7612">
        <w:rPr>
          <w:noProof/>
          <w:lang w:val="en-GB"/>
        </w:rPr>
        <w:drawing>
          <wp:inline distT="0" distB="0" distL="0" distR="0" wp14:anchorId="06FA55C0" wp14:editId="4CB8567B">
            <wp:extent cx="6645910" cy="984250"/>
            <wp:effectExtent l="0" t="0" r="2540" b="6350"/>
            <wp:docPr id="1859674558" name="Picture 1859674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6645910" cy="984250"/>
                    </a:xfrm>
                    <a:prstGeom prst="rect">
                      <a:avLst/>
                    </a:prstGeom>
                  </pic:spPr>
                </pic:pic>
              </a:graphicData>
            </a:graphic>
          </wp:inline>
        </w:drawing>
      </w:r>
    </w:p>
    <w:p w14:paraId="746DC814" w14:textId="77777777" w:rsidR="001406B1" w:rsidRDefault="001406B1" w:rsidP="001406B1">
      <w:pPr>
        <w:rPr>
          <w:lang w:val="en-GB"/>
        </w:rPr>
      </w:pPr>
      <w:r>
        <w:rPr>
          <w:lang w:val="en-GB"/>
        </w:rPr>
        <w:t>Because of the limit, the Consumed counter did not past the 2 GB. It’s constantly hovering near it as the VM is asking more than that.</w:t>
      </w:r>
    </w:p>
    <w:p w14:paraId="32A1A838" w14:textId="77777777" w:rsidR="001406B1" w:rsidRDefault="001406B1" w:rsidP="001406B1">
      <w:pPr>
        <w:rPr>
          <w:lang w:val="en-GB"/>
        </w:rPr>
      </w:pPr>
      <w:r w:rsidRPr="00397842">
        <w:rPr>
          <w:noProof/>
          <w:lang w:val="en-GB"/>
        </w:rPr>
        <w:lastRenderedPageBreak/>
        <w:drawing>
          <wp:inline distT="0" distB="0" distL="0" distR="0" wp14:anchorId="56DA7B35" wp14:editId="16B587E2">
            <wp:extent cx="6645910" cy="891540"/>
            <wp:effectExtent l="0" t="0" r="2540" b="3810"/>
            <wp:docPr id="918289635" name="Picture 918289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6645910" cy="891540"/>
                    </a:xfrm>
                    <a:prstGeom prst="rect">
                      <a:avLst/>
                    </a:prstGeom>
                  </pic:spPr>
                </pic:pic>
              </a:graphicData>
            </a:graphic>
          </wp:inline>
        </w:drawing>
      </w:r>
    </w:p>
    <w:p w14:paraId="7EBF370B" w14:textId="77777777" w:rsidR="001406B1" w:rsidRDefault="001406B1" w:rsidP="001406B1">
      <w:pPr>
        <w:rPr>
          <w:lang w:val="en-GB"/>
        </w:rPr>
      </w:pPr>
      <w:r>
        <w:rPr>
          <w:lang w:val="en-GB"/>
        </w:rPr>
        <w:t>What do you expect to see the Balloon value?</w:t>
      </w:r>
    </w:p>
    <w:p w14:paraId="08AFA4E0" w14:textId="77777777" w:rsidR="001406B1" w:rsidRDefault="001406B1" w:rsidP="001406B1">
      <w:pPr>
        <w:rPr>
          <w:lang w:val="en-GB"/>
        </w:rPr>
      </w:pPr>
      <w:r>
        <w:rPr>
          <w:lang w:val="en-GB"/>
        </w:rPr>
        <w:t>If Balloon has something to do with it, it would not stay a perfectly flat line.</w:t>
      </w:r>
    </w:p>
    <w:p w14:paraId="5554CCDC" w14:textId="77777777" w:rsidR="001406B1" w:rsidRDefault="001406B1" w:rsidP="001406B1">
      <w:pPr>
        <w:rPr>
          <w:lang w:val="en-GB"/>
        </w:rPr>
      </w:pPr>
      <w:r>
        <w:rPr>
          <w:lang w:val="en-GB"/>
        </w:rPr>
        <w:t>But this is what you got. A perfectly flat line, proving Limit had nothing to do with Balloon.</w:t>
      </w:r>
    </w:p>
    <w:p w14:paraId="3144098F" w14:textId="77777777" w:rsidR="001406B1" w:rsidRPr="006511B6" w:rsidRDefault="001406B1" w:rsidP="001406B1">
      <w:pPr>
        <w:rPr>
          <w:lang w:val="en-GB"/>
        </w:rPr>
      </w:pPr>
      <w:r w:rsidRPr="00F46E9D">
        <w:rPr>
          <w:noProof/>
          <w:lang w:val="en-GB"/>
        </w:rPr>
        <w:drawing>
          <wp:inline distT="0" distB="0" distL="0" distR="0" wp14:anchorId="4D2AA498" wp14:editId="77F93D99">
            <wp:extent cx="6645910" cy="1012825"/>
            <wp:effectExtent l="0" t="0" r="2540" b="0"/>
            <wp:docPr id="1859674556" name="Picture 1859674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6645910" cy="1012825"/>
                    </a:xfrm>
                    <a:prstGeom prst="rect">
                      <a:avLst/>
                    </a:prstGeom>
                  </pic:spPr>
                </pic:pic>
              </a:graphicData>
            </a:graphic>
          </wp:inline>
        </w:drawing>
      </w:r>
    </w:p>
    <w:p w14:paraId="2306B8EB" w14:textId="772F2A03" w:rsidR="00DC7648" w:rsidRDefault="00DE7943" w:rsidP="00CA74F7">
      <w:pPr>
        <w:pStyle w:val="Heading4"/>
      </w:pPr>
      <w:bookmarkStart w:id="101" w:name="_Consumed"/>
      <w:bookmarkEnd w:id="101"/>
      <w:r>
        <w:t>Consumption</w:t>
      </w:r>
      <w:r w:rsidR="008C1CD8">
        <w:t xml:space="preserve"> Metrics</w:t>
      </w:r>
    </w:p>
    <w:p w14:paraId="676BB298" w14:textId="2576A7AD" w:rsidR="00DE7943" w:rsidRPr="00DE7943" w:rsidRDefault="00DE7943" w:rsidP="00DE7943">
      <w:pPr>
        <w:rPr>
          <w:lang w:val="en-GB" w:eastAsia="en-SG"/>
        </w:rPr>
      </w:pPr>
      <w:r>
        <w:rPr>
          <w:lang w:val="en-GB" w:eastAsia="en-SG"/>
        </w:rPr>
        <w:t>This covers both utilization and reservation.</w:t>
      </w:r>
    </w:p>
    <w:p w14:paraId="1F79F361" w14:textId="1CCA96C5" w:rsidR="00CA74F7" w:rsidRDefault="00CA74F7" w:rsidP="00DC7648">
      <w:pPr>
        <w:pStyle w:val="Heading5"/>
      </w:pPr>
      <w:r w:rsidRPr="00A452F2">
        <w:t>Granted</w:t>
      </w:r>
    </w:p>
    <w:p w14:paraId="247A99D2" w14:textId="77777777" w:rsidR="00CA74F7" w:rsidRPr="00255DF8" w:rsidRDefault="00CA74F7" w:rsidP="00CA74F7">
      <w:pPr>
        <w:rPr>
          <w:lang w:val="en-GB"/>
        </w:rPr>
      </w:pPr>
      <w:r>
        <w:rPr>
          <w:lang w:val="en-GB"/>
        </w:rPr>
        <w:t xml:space="preserve">The English word </w:t>
      </w:r>
      <w:r w:rsidRPr="00813547">
        <w:rPr>
          <w:color w:val="00B0F0"/>
          <w:lang w:val="en-GB"/>
        </w:rPr>
        <w:t>granted</w:t>
      </w:r>
      <w:r>
        <w:rPr>
          <w:lang w:val="en-GB"/>
        </w:rPr>
        <w:t xml:space="preserve"> accurately defines this metric, so I will just put a picture for you to conclude what it is. </w:t>
      </w:r>
    </w:p>
    <w:p w14:paraId="0E6BCF01" w14:textId="77777777" w:rsidR="00CA74F7" w:rsidRDefault="00CA74F7" w:rsidP="00CA74F7">
      <w:pPr>
        <w:jc w:val="center"/>
        <w:rPr>
          <w:lang w:val="en-GB"/>
        </w:rPr>
      </w:pPr>
      <w:r w:rsidRPr="007A415F">
        <w:rPr>
          <w:noProof/>
          <w:lang w:val="en-GB"/>
        </w:rPr>
        <w:drawing>
          <wp:inline distT="0" distB="0" distL="0" distR="0" wp14:anchorId="3C32443F" wp14:editId="6F7106E4">
            <wp:extent cx="5115600" cy="1886400"/>
            <wp:effectExtent l="0" t="0" r="0" b="0"/>
            <wp:docPr id="918289647" name="Picture 918289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5115600" cy="1886400"/>
                    </a:xfrm>
                    <a:prstGeom prst="rect">
                      <a:avLst/>
                    </a:prstGeom>
                  </pic:spPr>
                </pic:pic>
              </a:graphicData>
            </a:graphic>
          </wp:inline>
        </w:drawing>
      </w:r>
    </w:p>
    <w:p w14:paraId="58F1184D" w14:textId="77777777" w:rsidR="00CA74F7" w:rsidRPr="00B3024B" w:rsidRDefault="00CA74F7" w:rsidP="00CA74F7">
      <w:r>
        <w:rPr>
          <w:lang w:val="en-GB"/>
        </w:rPr>
        <w:t xml:space="preserve">What the Guest OS can see is what is configured by vSphere. Guest OS can’t see the hypervisor memory overhead. </w:t>
      </w:r>
      <w:r>
        <w:t xml:space="preserve">Overhead is mostly negligible, as it’s just storing metadata or index information required by virtualization, such as the </w:t>
      </w:r>
      <w:r w:rsidRPr="0034239F">
        <w:t xml:space="preserve">shadow page tables. Overhead </w:t>
      </w:r>
      <w:r>
        <w:t>value goes up as you configure more v</w:t>
      </w:r>
      <w:r w:rsidRPr="0034239F">
        <w:t>CPUs and memory</w:t>
      </w:r>
      <w:r>
        <w:t>.</w:t>
      </w:r>
    </w:p>
    <w:p w14:paraId="343E31FE" w14:textId="77777777" w:rsidR="00CA74F7" w:rsidRDefault="00CA74F7" w:rsidP="00CA74F7">
      <w:pPr>
        <w:rPr>
          <w:lang w:val="en-GB"/>
        </w:rPr>
      </w:pPr>
      <w:r>
        <w:rPr>
          <w:lang w:val="en-GB"/>
        </w:rPr>
        <w:t>Say you have a VM configured with 16 GB RAM. Any part of these 16 GB of memory pages can fall under one of these:</w:t>
      </w:r>
    </w:p>
    <w:p w14:paraId="5110A5F4" w14:textId="77777777" w:rsidR="00CA74F7" w:rsidRDefault="00CA74F7" w:rsidP="00CA74F7">
      <w:pPr>
        <w:pStyle w:val="BeforeTable"/>
        <w:rPr>
          <w:lang w:val="en-GB"/>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560"/>
        <w:gridCol w:w="8896"/>
      </w:tblGrid>
      <w:tr w:rsidR="00CA74F7" w14:paraId="5032B8BB" w14:textId="77777777" w:rsidTr="00281329">
        <w:tc>
          <w:tcPr>
            <w:tcW w:w="1560" w:type="dxa"/>
            <w:shd w:val="clear" w:color="auto" w:fill="F2F2F2" w:themeFill="background1" w:themeFillShade="F2"/>
          </w:tcPr>
          <w:p w14:paraId="06BB62D4" w14:textId="77777777" w:rsidR="00CA74F7" w:rsidRPr="0099049D" w:rsidRDefault="00CA74F7" w:rsidP="00281329">
            <w:pPr>
              <w:pStyle w:val="Tablecontent"/>
              <w:rPr>
                <w:b/>
                <w:bCs/>
              </w:rPr>
            </w:pPr>
            <w:r>
              <w:rPr>
                <w:b/>
                <w:bCs/>
              </w:rPr>
              <w:lastRenderedPageBreak/>
              <w:t>Not touched</w:t>
            </w:r>
            <w:r w:rsidRPr="0099049D">
              <w:rPr>
                <w:b/>
                <w:bCs/>
              </w:rPr>
              <w:t xml:space="preserve"> </w:t>
            </w:r>
          </w:p>
        </w:tc>
        <w:tc>
          <w:tcPr>
            <w:tcW w:w="8896" w:type="dxa"/>
          </w:tcPr>
          <w:p w14:paraId="5DCB02AE" w14:textId="77777777" w:rsidR="00CA74F7" w:rsidRDefault="00CA74F7" w:rsidP="00281329">
            <w:pPr>
              <w:pStyle w:val="Tablecontent"/>
            </w:pPr>
            <w:r>
              <w:t xml:space="preserve">The VM never uses the page since it’s powered on. </w:t>
            </w:r>
          </w:p>
        </w:tc>
      </w:tr>
      <w:tr w:rsidR="00CA74F7" w14:paraId="374B7665" w14:textId="77777777" w:rsidTr="00281329">
        <w:tc>
          <w:tcPr>
            <w:tcW w:w="1560" w:type="dxa"/>
            <w:shd w:val="clear" w:color="auto" w:fill="F2F2F2" w:themeFill="background1" w:themeFillShade="F2"/>
          </w:tcPr>
          <w:p w14:paraId="44E5D0E0" w14:textId="77777777" w:rsidR="00CA74F7" w:rsidRDefault="00CA74F7" w:rsidP="00281329">
            <w:pPr>
              <w:pStyle w:val="Tablecontent"/>
              <w:rPr>
                <w:b/>
                <w:bCs/>
              </w:rPr>
            </w:pPr>
            <w:r>
              <w:rPr>
                <w:b/>
                <w:bCs/>
              </w:rPr>
              <w:t>Ballooned</w:t>
            </w:r>
          </w:p>
        </w:tc>
        <w:tc>
          <w:tcPr>
            <w:tcW w:w="8896" w:type="dxa"/>
          </w:tcPr>
          <w:p w14:paraId="3F8AED47" w14:textId="77777777" w:rsidR="00CA74F7" w:rsidRDefault="00CA74F7" w:rsidP="00281329">
            <w:pPr>
              <w:pStyle w:val="Tablecontent"/>
            </w:pPr>
            <w:r>
              <w:t>The page was reclaimed by the balloon driver. It has not been asked back by the Guest OS, hence it’s just seating there collecting pixie dust.</w:t>
            </w:r>
          </w:p>
          <w:p w14:paraId="4FBD96B5" w14:textId="4C5C752C" w:rsidR="00CA74F7" w:rsidRDefault="00CA74F7" w:rsidP="00281329">
            <w:pPr>
              <w:pStyle w:val="Tablecontent"/>
            </w:pPr>
            <w:r>
              <w:t xml:space="preserve">I put in </w:t>
            </w:r>
            <w:r w:rsidR="000F35C5" w:rsidRPr="009322C0">
              <w:rPr>
                <w:color w:val="000000" w:themeColor="text1"/>
                <w14:textFill>
                  <w14:gradFill>
                    <w14:gsLst>
                      <w14:gs w14:pos="0">
                        <w14:schemeClr w14:val="tx1"/>
                      </w14:gs>
                      <w14:gs w14:pos="100000">
                        <w14:srgbClr w14:val="FFFF00"/>
                      </w14:gs>
                    </w14:gsLst>
                    <w14:lin w14:ang="16200000" w14:scaled="0"/>
                  </w14:gradFill>
                </w14:textFill>
              </w:rPr>
              <w:t>yellow</w:t>
            </w:r>
            <w:r w:rsidR="000F35C5" w:rsidRPr="009322C0">
              <w:rPr>
                <w14:textFill>
                  <w14:gradFill>
                    <w14:gsLst>
                      <w14:gs w14:pos="0">
                        <w14:schemeClr w14:val="tx1"/>
                      </w14:gs>
                      <w14:gs w14:pos="100000">
                        <w14:srgbClr w14:val="FFFF00"/>
                      </w14:gs>
                    </w14:gsLst>
                    <w14:lin w14:ang="16200000" w14:scaled="0"/>
                  </w14:gradFill>
                </w14:textFill>
              </w:rPr>
              <w:t xml:space="preserve"> </w:t>
            </w:r>
            <w:r>
              <w:t xml:space="preserve">color as that’s not a </w:t>
            </w:r>
            <w:r w:rsidR="0022569A" w:rsidRPr="0022569A">
              <w:rPr>
                <w:color w:val="00B050"/>
              </w:rPr>
              <w:t>green</w:t>
            </w:r>
            <w:r>
              <w:t xml:space="preserve"> situation. The higher the balloon, the higher the chance  a page will be required in the future</w:t>
            </w:r>
          </w:p>
        </w:tc>
      </w:tr>
      <w:tr w:rsidR="00CA74F7" w14:paraId="5D984E53" w14:textId="77777777" w:rsidTr="00281329">
        <w:tc>
          <w:tcPr>
            <w:tcW w:w="1560" w:type="dxa"/>
            <w:shd w:val="clear" w:color="auto" w:fill="F2F2F2" w:themeFill="background1" w:themeFillShade="F2"/>
          </w:tcPr>
          <w:p w14:paraId="6509D5F5" w14:textId="77777777" w:rsidR="00CA74F7" w:rsidRPr="00F05DA6" w:rsidRDefault="00CA74F7" w:rsidP="00281329">
            <w:pPr>
              <w:pStyle w:val="Tablecontent"/>
              <w:rPr>
                <w:b/>
                <w:bCs/>
                <w:lang w:val="en-SG"/>
              </w:rPr>
            </w:pPr>
            <w:r>
              <w:rPr>
                <w:b/>
                <w:bCs/>
                <w:lang w:val="en-SG"/>
              </w:rPr>
              <w:t>Compressed</w:t>
            </w:r>
          </w:p>
        </w:tc>
        <w:tc>
          <w:tcPr>
            <w:tcW w:w="8896" w:type="dxa"/>
            <w:vMerge w:val="restart"/>
          </w:tcPr>
          <w:p w14:paraId="45620CF8" w14:textId="77777777" w:rsidR="00CA74F7" w:rsidRDefault="00CA74F7" w:rsidP="00281329">
            <w:pPr>
              <w:pStyle w:val="Tablecontent"/>
            </w:pPr>
            <w:r>
              <w:t>These 2 are mutually exclusive and go together. What can’t be compressed will be swapped.</w:t>
            </w:r>
            <w:r>
              <w:rPr>
                <w:lang w:val="en-GB"/>
              </w:rPr>
              <w:t xml:space="preserve"> Compressed is preferred as unzipping memory from DRAM is faster than bringing it from SSD disk.</w:t>
            </w:r>
          </w:p>
        </w:tc>
      </w:tr>
      <w:tr w:rsidR="00CA74F7" w14:paraId="7409339D" w14:textId="77777777" w:rsidTr="00281329">
        <w:tc>
          <w:tcPr>
            <w:tcW w:w="1560" w:type="dxa"/>
            <w:shd w:val="clear" w:color="auto" w:fill="F2F2F2" w:themeFill="background1" w:themeFillShade="F2"/>
          </w:tcPr>
          <w:p w14:paraId="3701A3E3" w14:textId="77777777" w:rsidR="00CA74F7" w:rsidRDefault="00CA74F7" w:rsidP="00281329">
            <w:pPr>
              <w:pStyle w:val="Tablecontent"/>
              <w:rPr>
                <w:b/>
                <w:bCs/>
                <w:lang w:val="en-SG"/>
              </w:rPr>
            </w:pPr>
            <w:r>
              <w:rPr>
                <w:b/>
                <w:bCs/>
                <w:lang w:val="en-SG"/>
              </w:rPr>
              <w:t>Swapped</w:t>
            </w:r>
          </w:p>
        </w:tc>
        <w:tc>
          <w:tcPr>
            <w:tcW w:w="8896" w:type="dxa"/>
            <w:vMerge/>
          </w:tcPr>
          <w:p w14:paraId="54F91E38" w14:textId="77777777" w:rsidR="00CA74F7" w:rsidRDefault="00CA74F7" w:rsidP="00281329">
            <w:pPr>
              <w:pStyle w:val="Tablecontent"/>
            </w:pPr>
          </w:p>
        </w:tc>
      </w:tr>
      <w:tr w:rsidR="00CA74F7" w14:paraId="64271015" w14:textId="77777777" w:rsidTr="00281329">
        <w:tc>
          <w:tcPr>
            <w:tcW w:w="1560" w:type="dxa"/>
            <w:shd w:val="clear" w:color="auto" w:fill="F2F2F2" w:themeFill="background1" w:themeFillShade="F2"/>
          </w:tcPr>
          <w:p w14:paraId="200E161B" w14:textId="77777777" w:rsidR="00CA74F7" w:rsidRDefault="00CA74F7" w:rsidP="00281329">
            <w:pPr>
              <w:pStyle w:val="Tablecontent"/>
              <w:rPr>
                <w:b/>
                <w:bCs/>
                <w:lang w:val="en-SG"/>
              </w:rPr>
            </w:pPr>
            <w:r>
              <w:rPr>
                <w:b/>
                <w:bCs/>
                <w:lang w:val="en-SG"/>
              </w:rPr>
              <w:t>Granted</w:t>
            </w:r>
          </w:p>
        </w:tc>
        <w:tc>
          <w:tcPr>
            <w:tcW w:w="8896" w:type="dxa"/>
          </w:tcPr>
          <w:p w14:paraId="5772DE40" w14:textId="77777777" w:rsidR="00CA74F7" w:rsidRDefault="00CA74F7" w:rsidP="00281329">
            <w:pPr>
              <w:pStyle w:val="Tablecontent"/>
            </w:pPr>
            <w:r>
              <w:t xml:space="preserve">Whatever left is called Granted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t xml:space="preserve"> </w:t>
            </w:r>
          </w:p>
          <w:p w14:paraId="6CC53249" w14:textId="77777777" w:rsidR="00CA74F7" w:rsidRDefault="00CA74F7" w:rsidP="00281329">
            <w:pPr>
              <w:pStyle w:val="Tablecontent"/>
            </w:pPr>
            <w:r>
              <w:rPr>
                <w:lang w:val="en-GB"/>
              </w:rPr>
              <w:t xml:space="preserve">Granted metric includes the </w:t>
            </w:r>
            <w:r w:rsidRPr="00064BA3">
              <w:rPr>
                <w:lang w:val="en-GB"/>
              </w:rPr>
              <w:t>Shared memory</w:t>
            </w:r>
            <w:r>
              <w:rPr>
                <w:lang w:val="en-GB"/>
              </w:rPr>
              <w:t>. Shared counts the number of memory pages that are pointing to the same underlying block. Granted does not care about underlying usage as its vantage point is VM, not ESXi.</w:t>
            </w:r>
          </w:p>
        </w:tc>
      </w:tr>
      <w:tr w:rsidR="00CA74F7" w14:paraId="243E3650" w14:textId="77777777" w:rsidTr="00281329">
        <w:tc>
          <w:tcPr>
            <w:tcW w:w="1560" w:type="dxa"/>
            <w:shd w:val="clear" w:color="auto" w:fill="F2F2F2" w:themeFill="background1" w:themeFillShade="F2"/>
          </w:tcPr>
          <w:p w14:paraId="49A0CF51" w14:textId="77777777" w:rsidR="00CA74F7" w:rsidRPr="0037619C" w:rsidRDefault="00CA74F7" w:rsidP="00281329">
            <w:pPr>
              <w:pStyle w:val="Tablecontent"/>
              <w:rPr>
                <w:b/>
                <w:bCs/>
                <w:lang w:val="en-SG"/>
              </w:rPr>
            </w:pPr>
            <w:r w:rsidRPr="0037619C">
              <w:rPr>
                <w:b/>
                <w:bCs/>
              </w:rPr>
              <w:t>Entitlement</w:t>
            </w:r>
          </w:p>
        </w:tc>
        <w:tc>
          <w:tcPr>
            <w:tcW w:w="8896" w:type="dxa"/>
          </w:tcPr>
          <w:p w14:paraId="393E4086" w14:textId="77777777" w:rsidR="00CA74F7" w:rsidRDefault="00CA74F7" w:rsidP="00281329">
            <w:pPr>
              <w:pStyle w:val="Tablecontent"/>
            </w:pPr>
            <w:r>
              <w:t xml:space="preserve">= </w:t>
            </w:r>
            <w:r w:rsidRPr="00F5311F">
              <w:t>Granted + Overhead.</w:t>
            </w:r>
            <w:r w:rsidRPr="00C8470C">
              <w:t xml:space="preserve"> </w:t>
            </w:r>
          </w:p>
        </w:tc>
      </w:tr>
    </w:tbl>
    <w:p w14:paraId="01B6688B" w14:textId="77777777" w:rsidR="00CA74F7" w:rsidRDefault="00CA74F7" w:rsidP="00CA74F7">
      <w:pPr>
        <w:pStyle w:val="BeforeTable"/>
        <w:rPr>
          <w:lang w:val="en-GB"/>
        </w:rPr>
      </w:pPr>
    </w:p>
    <w:p w14:paraId="4DD548EE" w14:textId="77777777" w:rsidR="00CA74F7" w:rsidRDefault="00CA74F7" w:rsidP="00CA74F7">
      <w:pPr>
        <w:rPr>
          <w:lang w:val="en-GB"/>
        </w:rPr>
      </w:pPr>
      <w:r>
        <w:rPr>
          <w:lang w:val="en-GB"/>
        </w:rPr>
        <w:t>Ok, the above is the theory. How do you know I’m not making this stuff up, considering I’m pretty good at it?</w:t>
      </w:r>
    </w:p>
    <w:p w14:paraId="0A5BA14B" w14:textId="77777777" w:rsidR="00CA74F7" w:rsidRDefault="00CA74F7" w:rsidP="00CA74F7">
      <w:pPr>
        <w:rPr>
          <w:lang w:val="en-GB"/>
        </w:rPr>
      </w:pPr>
      <w:r>
        <w:rPr>
          <w:lang w:val="en-GB"/>
        </w:rPr>
        <w:t>Let’s take a VM and plot its value over time. As you can see, the value in the last 4 weeks is a constant 16 GB.</w:t>
      </w:r>
    </w:p>
    <w:p w14:paraId="784761A8" w14:textId="77777777" w:rsidR="00CA74F7" w:rsidRDefault="00CA74F7" w:rsidP="00CA74F7">
      <w:pPr>
        <w:rPr>
          <w:lang w:val="en-GB"/>
        </w:rPr>
      </w:pPr>
      <w:r w:rsidRPr="00B558AB">
        <w:rPr>
          <w:noProof/>
          <w:lang w:val="en-GB"/>
        </w:rPr>
        <w:drawing>
          <wp:inline distT="0" distB="0" distL="0" distR="0" wp14:anchorId="5E224925" wp14:editId="645CF511">
            <wp:extent cx="6645910" cy="841375"/>
            <wp:effectExtent l="0" t="0" r="2540" b="0"/>
            <wp:docPr id="918289649" name="Picture 918289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6"/>
                    <a:stretch>
                      <a:fillRect/>
                    </a:stretch>
                  </pic:blipFill>
                  <pic:spPr>
                    <a:xfrm>
                      <a:off x="0" y="0"/>
                      <a:ext cx="6645910" cy="841375"/>
                    </a:xfrm>
                    <a:prstGeom prst="rect">
                      <a:avLst/>
                    </a:prstGeom>
                  </pic:spPr>
                </pic:pic>
              </a:graphicData>
            </a:graphic>
          </wp:inline>
        </w:drawing>
      </w:r>
    </w:p>
    <w:p w14:paraId="657A58B3" w14:textId="77777777" w:rsidR="00CA74F7" w:rsidRDefault="00CA74F7" w:rsidP="00CA74F7">
      <w:pPr>
        <w:rPr>
          <w:lang w:val="en-GB"/>
        </w:rPr>
      </w:pPr>
      <w:r>
        <w:rPr>
          <w:lang w:val="en-GB"/>
        </w:rPr>
        <w:t>The line is a perfect flat. Both the Highest value and Lowest value show 16,384 MB.</w:t>
      </w:r>
    </w:p>
    <w:p w14:paraId="21A9AFCF" w14:textId="77777777" w:rsidR="00CA74F7" w:rsidRDefault="00CA74F7" w:rsidP="00CA74F7">
      <w:pPr>
        <w:rPr>
          <w:lang w:val="en-GB"/>
        </w:rPr>
      </w:pPr>
      <w:r>
        <w:rPr>
          <w:lang w:val="en-GB"/>
        </w:rPr>
        <w:t>The VM was ballooned. 63.66% of its memory was reclaimed. That’s a whopping 10,430 MB!</w:t>
      </w:r>
    </w:p>
    <w:p w14:paraId="05CA5771" w14:textId="77777777" w:rsidR="00CA74F7" w:rsidRDefault="00CA74F7" w:rsidP="00CA74F7">
      <w:pPr>
        <w:rPr>
          <w:lang w:val="en-GB"/>
        </w:rPr>
      </w:pPr>
      <w:r w:rsidRPr="00BE4660">
        <w:rPr>
          <w:noProof/>
          <w:lang w:val="en-GB"/>
        </w:rPr>
        <w:drawing>
          <wp:inline distT="0" distB="0" distL="0" distR="0" wp14:anchorId="5D328B34" wp14:editId="771337A8">
            <wp:extent cx="6645910" cy="880110"/>
            <wp:effectExtent l="0" t="0" r="2540" b="0"/>
            <wp:docPr id="918289650" name="Picture 918289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6645910" cy="880110"/>
                    </a:xfrm>
                    <a:prstGeom prst="rect">
                      <a:avLst/>
                    </a:prstGeom>
                  </pic:spPr>
                </pic:pic>
              </a:graphicData>
            </a:graphic>
          </wp:inline>
        </w:drawing>
      </w:r>
    </w:p>
    <w:p w14:paraId="3E894937" w14:textId="77777777" w:rsidR="00CA74F7" w:rsidRDefault="00CA74F7" w:rsidP="00CA74F7">
      <w:pPr>
        <w:rPr>
          <w:lang w:val="en-GB"/>
        </w:rPr>
      </w:pPr>
      <w:r>
        <w:rPr>
          <w:lang w:val="en-GB"/>
        </w:rPr>
        <w:t>Why is the Ballooned not moving at all?</w:t>
      </w:r>
    </w:p>
    <w:p w14:paraId="33CAA18B" w14:textId="77777777" w:rsidR="00CA74F7" w:rsidRDefault="00CA74F7" w:rsidP="00CA74F7">
      <w:pPr>
        <w:rPr>
          <w:lang w:val="en-GB"/>
        </w:rPr>
      </w:pPr>
      <w:r>
        <w:rPr>
          <w:lang w:val="en-GB"/>
        </w:rPr>
        <w:t>Because the Guest OS never needs any of those 10+ GB.</w:t>
      </w:r>
    </w:p>
    <w:p w14:paraId="7FA40DCF" w14:textId="77777777" w:rsidR="00CA74F7" w:rsidRDefault="00CA74F7" w:rsidP="00CA74F7">
      <w:pPr>
        <w:rPr>
          <w:lang w:val="en-GB"/>
        </w:rPr>
      </w:pPr>
      <w:r>
        <w:rPr>
          <w:lang w:val="en-GB"/>
        </w:rPr>
        <w:t xml:space="preserve">So Guest was playing with the remaining 6 GB. </w:t>
      </w:r>
    </w:p>
    <w:p w14:paraId="53B2C6DE" w14:textId="77777777" w:rsidR="00CA74F7" w:rsidRDefault="00CA74F7" w:rsidP="00CA74F7">
      <w:pPr>
        <w:rPr>
          <w:lang w:val="en-GB"/>
        </w:rPr>
      </w:pPr>
      <w:r>
        <w:rPr>
          <w:lang w:val="en-GB"/>
        </w:rPr>
        <w:t>So what do you expect if we plot Granted + Swapped + Compressed?</w:t>
      </w:r>
    </w:p>
    <w:p w14:paraId="0C84187B" w14:textId="77777777" w:rsidR="00CA74F7" w:rsidRDefault="00CA74F7" w:rsidP="00CA74F7">
      <w:pPr>
        <w:rPr>
          <w:lang w:val="en-GB"/>
        </w:rPr>
      </w:pPr>
      <w:r>
        <w:rPr>
          <w:lang w:val="en-GB"/>
        </w:rPr>
        <w:t>You got it. A flat line.</w:t>
      </w:r>
    </w:p>
    <w:p w14:paraId="42ABD464" w14:textId="77777777" w:rsidR="00CA74F7" w:rsidRDefault="00CA74F7" w:rsidP="00CA74F7">
      <w:pPr>
        <w:rPr>
          <w:lang w:val="en-GB"/>
        </w:rPr>
      </w:pPr>
      <w:r w:rsidRPr="00670D18">
        <w:rPr>
          <w:noProof/>
          <w:lang w:val="en-GB"/>
        </w:rPr>
        <w:lastRenderedPageBreak/>
        <w:drawing>
          <wp:inline distT="0" distB="0" distL="0" distR="0" wp14:anchorId="374B2C35" wp14:editId="59EBB09D">
            <wp:extent cx="6645910" cy="2604135"/>
            <wp:effectExtent l="0" t="0" r="2540" b="5715"/>
            <wp:docPr id="918289648" name="Picture 918289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6645910" cy="2604135"/>
                    </a:xfrm>
                    <a:prstGeom prst="rect">
                      <a:avLst/>
                    </a:prstGeom>
                  </pic:spPr>
                </pic:pic>
              </a:graphicData>
            </a:graphic>
          </wp:inline>
        </w:drawing>
      </w:r>
    </w:p>
    <w:p w14:paraId="54FFD286" w14:textId="77777777" w:rsidR="00CA74F7" w:rsidRDefault="00CA74F7" w:rsidP="00CA74F7">
      <w:pPr>
        <w:rPr>
          <w:lang w:val="en-GB"/>
        </w:rPr>
      </w:pPr>
      <w:r>
        <w:rPr>
          <w:lang w:val="en-GB"/>
        </w:rPr>
        <w:t>Looking at the diagram in Granted metric, can you explain why Limit is not there?</w:t>
      </w:r>
    </w:p>
    <w:p w14:paraId="753C427B" w14:textId="77777777" w:rsidR="00CA74F7" w:rsidRDefault="00CA74F7" w:rsidP="00CA74F7">
      <w:pPr>
        <w:rPr>
          <w:lang w:val="en-GB"/>
        </w:rPr>
      </w:pPr>
      <w:r>
        <w:rPr>
          <w:lang w:val="en-GB"/>
        </w:rPr>
        <w:t xml:space="preserve">You are right, it operates at a different layer. Limit is about limiting the usage at the physical layer. </w:t>
      </w:r>
    </w:p>
    <w:p w14:paraId="23CF66CA" w14:textId="77777777" w:rsidR="00CA74F7" w:rsidRDefault="00CA74F7" w:rsidP="00CA74F7">
      <w:pPr>
        <w:rPr>
          <w:lang w:val="en-GB"/>
        </w:rPr>
      </w:pPr>
      <w:r>
        <w:rPr>
          <w:lang w:val="en-GB"/>
        </w:rPr>
        <w:t xml:space="preserve">Let’s take an example. The following is VM is a Windows 2016 server, configured with 12 GB of RAM, but was limited to 8 GB (the flat line in cyan near the bottom). The </w:t>
      </w:r>
      <w:r w:rsidRPr="00786E5E">
        <w:rPr>
          <w:color w:val="7030A0"/>
          <w:lang w:val="en-GB"/>
        </w:rPr>
        <w:t xml:space="preserve">purple </w:t>
      </w:r>
      <w:r>
        <w:rPr>
          <w:lang w:val="en-GB"/>
        </w:rPr>
        <w:t>line jumping up and down is Granted. Granted ignores the limit completely and run way above it.</w:t>
      </w:r>
    </w:p>
    <w:p w14:paraId="66A721D5" w14:textId="77777777" w:rsidR="00CA74F7" w:rsidRDefault="00CA74F7" w:rsidP="00CA74F7">
      <w:pPr>
        <w:rPr>
          <w:lang w:val="en-GB"/>
        </w:rPr>
      </w:pPr>
      <w:r>
        <w:rPr>
          <w:noProof/>
        </w:rPr>
        <w:drawing>
          <wp:inline distT="0" distB="0" distL="0" distR="0" wp14:anchorId="41E35C30" wp14:editId="4A547F85">
            <wp:extent cx="6645910" cy="1651000"/>
            <wp:effectExtent l="0" t="0" r="2540" b="6350"/>
            <wp:docPr id="606394300" name="Picture 606394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00"/>
                    <pic:cNvPicPr/>
                  </pic:nvPicPr>
                  <pic:blipFill>
                    <a:blip r:embed="rId549">
                      <a:extLst>
                        <a:ext uri="{28A0092B-C50C-407E-A947-70E740481C1C}">
                          <a14:useLocalDpi xmlns:a14="http://schemas.microsoft.com/office/drawing/2010/main" val="0"/>
                        </a:ext>
                      </a:extLst>
                    </a:blip>
                    <a:stretch>
                      <a:fillRect/>
                    </a:stretch>
                  </pic:blipFill>
                  <pic:spPr>
                    <a:xfrm>
                      <a:off x="0" y="0"/>
                      <a:ext cx="6645910" cy="1651000"/>
                    </a:xfrm>
                    <a:prstGeom prst="rect">
                      <a:avLst/>
                    </a:prstGeom>
                  </pic:spPr>
                </pic:pic>
              </a:graphicData>
            </a:graphic>
          </wp:inline>
        </w:drawing>
      </w:r>
    </w:p>
    <w:p w14:paraId="34C9C90A" w14:textId="77777777" w:rsidR="00CA74F7" w:rsidRDefault="00CA74F7" w:rsidP="00CA74F7">
      <w:pPr>
        <w:rPr>
          <w:lang w:val="en-GB"/>
        </w:rPr>
      </w:pPr>
      <w:r>
        <w:rPr>
          <w:lang w:val="en-GB"/>
        </w:rPr>
        <w:t>Notice Consumed (KB) is consistently below Limit. Granted does not exceed 12 GB as it does not exceed configured.</w:t>
      </w:r>
    </w:p>
    <w:p w14:paraId="6670F380" w14:textId="77777777" w:rsidR="00CA74F7" w:rsidRPr="00A452F2" w:rsidRDefault="00CA74F7" w:rsidP="00DC7648">
      <w:pPr>
        <w:pStyle w:val="Heading5"/>
      </w:pPr>
      <w:r w:rsidRPr="00A452F2">
        <w:t>Shared</w:t>
      </w:r>
    </w:p>
    <w:p w14:paraId="163A6CCA" w14:textId="77777777" w:rsidR="00CA74F7" w:rsidRPr="00A452F2" w:rsidRDefault="00CA74F7" w:rsidP="00CA74F7">
      <w:pPr>
        <w:rPr>
          <w:lang w:val="en-GB"/>
        </w:rPr>
      </w:pPr>
      <w:r w:rsidRPr="00A452F2">
        <w:rPr>
          <w:lang w:val="en-GB"/>
        </w:rPr>
        <w:t xml:space="preserve">There are 2 types of shared pages: </w:t>
      </w:r>
    </w:p>
    <w:p w14:paraId="5A6C3B73" w14:textId="77777777" w:rsidR="00CA74F7" w:rsidRPr="00A452F2" w:rsidRDefault="00CA74F7" w:rsidP="00CA74F7">
      <w:pPr>
        <w:pStyle w:val="Bullet"/>
        <w:rPr>
          <w:lang w:val="en-GB"/>
        </w:rPr>
      </w:pPr>
      <w:r w:rsidRPr="00A452F2">
        <w:rPr>
          <w:lang w:val="en-GB"/>
        </w:rPr>
        <w:t>Intra-VM sharing: sharing within the same VM. By default, each page is 4 KB. If Guest OS uses the Large Page, then it’s 2 MB. The chance of sharing in 4 KB is much higher than 2 MB.</w:t>
      </w:r>
    </w:p>
    <w:p w14:paraId="0531A238" w14:textId="77777777" w:rsidR="00CA74F7" w:rsidRPr="00A452F2" w:rsidRDefault="00CA74F7" w:rsidP="00CA74F7">
      <w:pPr>
        <w:pStyle w:val="Bullet"/>
        <w:rPr>
          <w:lang w:val="en-GB"/>
        </w:rPr>
      </w:pPr>
      <w:r w:rsidRPr="00A452F2">
        <w:rPr>
          <w:lang w:val="en-GB"/>
        </w:rPr>
        <w:t>Inter-VM sharing. Due to security concern, this is by default disabled in vSphere.</w:t>
      </w:r>
    </w:p>
    <w:p w14:paraId="5C28DFFC" w14:textId="77777777" w:rsidR="00CA74F7" w:rsidRPr="00A452F2" w:rsidRDefault="00CA74F7" w:rsidP="00CA74F7">
      <w:pPr>
        <w:rPr>
          <w:lang w:val="en-GB"/>
        </w:rPr>
      </w:pPr>
      <w:r w:rsidRPr="00A452F2">
        <w:rPr>
          <w:lang w:val="en-GB"/>
        </w:rPr>
        <w:t>A commonly shared page is certainly the zero page. This is a page filled with just zeroes.</w:t>
      </w:r>
    </w:p>
    <w:p w14:paraId="2725B5BE" w14:textId="77777777" w:rsidR="00CA74F7" w:rsidRPr="00A452F2" w:rsidRDefault="00CA74F7" w:rsidP="00CA74F7">
      <w:pPr>
        <w:rPr>
          <w:lang w:val="en-GB"/>
        </w:rPr>
      </w:pPr>
      <w:r w:rsidRPr="00A452F2">
        <w:rPr>
          <w:lang w:val="en-GB"/>
        </w:rPr>
        <w:t>For accounting purpose, the Shared page is counted in full for each VM. Example:</w:t>
      </w:r>
    </w:p>
    <w:p w14:paraId="6CBA02C7" w14:textId="77777777" w:rsidR="00CA74F7" w:rsidRPr="00017075" w:rsidRDefault="00CA74F7">
      <w:pPr>
        <w:pStyle w:val="ListParagraph"/>
        <w:numPr>
          <w:ilvl w:val="0"/>
          <w:numId w:val="75"/>
        </w:numPr>
        <w:rPr>
          <w:lang w:val="en-GB"/>
        </w:rPr>
      </w:pPr>
      <w:r w:rsidRPr="00017075">
        <w:rPr>
          <w:lang w:val="en-GB"/>
        </w:rPr>
        <w:t>VM 1: 1 GB private, 100 MB Shared within itself, 10 MB shared with other VMs (it does not matter how many and what VMs).</w:t>
      </w:r>
    </w:p>
    <w:p w14:paraId="37097472" w14:textId="77777777" w:rsidR="00CA74F7" w:rsidRPr="00017075" w:rsidRDefault="00CA74F7">
      <w:pPr>
        <w:pStyle w:val="ListParagraph"/>
        <w:numPr>
          <w:ilvl w:val="0"/>
          <w:numId w:val="75"/>
        </w:numPr>
        <w:rPr>
          <w:lang w:val="en-GB"/>
        </w:rPr>
      </w:pPr>
      <w:r w:rsidRPr="00017075">
        <w:rPr>
          <w:lang w:val="en-GB"/>
        </w:rPr>
        <w:lastRenderedPageBreak/>
        <w:t xml:space="preserve">The 100 MB is the amount that is being shared. If not shared, they would consume 100 MB. But how much is actually consumed as a result of this sharing? </w:t>
      </w:r>
    </w:p>
    <w:p w14:paraId="00C4FF7A" w14:textId="77777777" w:rsidR="00CA74F7" w:rsidRPr="00017075" w:rsidRDefault="00CA74F7">
      <w:pPr>
        <w:pStyle w:val="ListParagraph"/>
        <w:numPr>
          <w:ilvl w:val="0"/>
          <w:numId w:val="75"/>
        </w:numPr>
        <w:rPr>
          <w:lang w:val="en-GB"/>
        </w:rPr>
      </w:pPr>
      <w:r w:rsidRPr="00017075">
        <w:rPr>
          <w:lang w:val="en-GB"/>
        </w:rPr>
        <w:t xml:space="preserve">The 10 MB is shared with other VMs. VM 1 could be sharing 1 MB each with 10 other VMs, or the entire 10 MB with just 1 VM. The Shared counter merely counts that this 10 MB is being shared. VM 1 definitely consumes this 10 MB, and it’s not sharing within itself. </w:t>
      </w:r>
    </w:p>
    <w:p w14:paraId="2089986E" w14:textId="77777777" w:rsidR="00CA74F7" w:rsidRDefault="00CA74F7" w:rsidP="00CA74F7">
      <w:pPr>
        <w:rPr>
          <w:lang w:val="en-GB"/>
        </w:rPr>
      </w:pPr>
      <w:r w:rsidRPr="00A452F2">
        <w:rPr>
          <w:lang w:val="en-GB"/>
        </w:rPr>
        <w:t>Shared includes zero pages.</w:t>
      </w:r>
      <w:r>
        <w:rPr>
          <w:lang w:val="en-GB"/>
        </w:rPr>
        <w:t xml:space="preserve"> The following screenshot shows the 2 moved in tandem over several days. </w:t>
      </w:r>
    </w:p>
    <w:p w14:paraId="59A974C6" w14:textId="77777777" w:rsidR="00CA74F7" w:rsidRPr="00A452F2" w:rsidRDefault="00CA74F7" w:rsidP="00CA74F7">
      <w:pPr>
        <w:rPr>
          <w:lang w:val="en-GB"/>
        </w:rPr>
      </w:pPr>
      <w:r w:rsidRPr="00636DDA">
        <w:rPr>
          <w:noProof/>
          <w:lang w:val="en-GB"/>
        </w:rPr>
        <w:drawing>
          <wp:inline distT="0" distB="0" distL="0" distR="0" wp14:anchorId="5AE29329" wp14:editId="413472FF">
            <wp:extent cx="6645910" cy="2778125"/>
            <wp:effectExtent l="0" t="0" r="2540" b="3175"/>
            <wp:docPr id="1606338698" name="Picture 1606338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6645910" cy="2778125"/>
                    </a:xfrm>
                    <a:prstGeom prst="rect">
                      <a:avLst/>
                    </a:prstGeom>
                  </pic:spPr>
                </pic:pic>
              </a:graphicData>
            </a:graphic>
          </wp:inline>
        </w:drawing>
      </w:r>
    </w:p>
    <w:p w14:paraId="54F1B9D7" w14:textId="77777777" w:rsidR="00CA74F7" w:rsidRPr="00000445" w:rsidRDefault="00CA74F7" w:rsidP="00CA74F7">
      <w:pPr>
        <w:rPr>
          <w:lang w:val="en-GB"/>
        </w:rPr>
      </w:pPr>
      <w:r w:rsidRPr="00636DDA">
        <w:rPr>
          <w:color w:val="00B0F0"/>
          <w:lang w:val="en-GB"/>
        </w:rPr>
        <w:t xml:space="preserve">Shared Saved </w:t>
      </w:r>
      <w:r>
        <w:rPr>
          <w:lang w:val="en-GB"/>
        </w:rPr>
        <w:t>metric tracks the e</w:t>
      </w:r>
      <w:r w:rsidRPr="00000445">
        <w:rPr>
          <w:lang w:val="en-GB"/>
        </w:rPr>
        <w:t>stimated amount of machine memory that are saved due to page sharing.</w:t>
      </w:r>
    </w:p>
    <w:p w14:paraId="58735076" w14:textId="77777777" w:rsidR="00CA74F7" w:rsidRDefault="00CA74F7" w:rsidP="00CA74F7">
      <w:pPr>
        <w:rPr>
          <w:lang w:val="en-GB"/>
        </w:rPr>
      </w:pPr>
      <w:r w:rsidRPr="00000445">
        <w:rPr>
          <w:lang w:val="en-GB"/>
        </w:rPr>
        <w:t xml:space="preserve">Because </w:t>
      </w:r>
      <w:r>
        <w:rPr>
          <w:lang w:val="en-GB"/>
        </w:rPr>
        <w:t xml:space="preserve">the ESXi </w:t>
      </w:r>
      <w:r w:rsidRPr="00000445">
        <w:rPr>
          <w:lang w:val="en-GB"/>
        </w:rPr>
        <w:t xml:space="preserve">machine page is shared by multiple </w:t>
      </w:r>
      <w:r>
        <w:rPr>
          <w:lang w:val="en-GB"/>
        </w:rPr>
        <w:t>G</w:t>
      </w:r>
      <w:r w:rsidRPr="00000445">
        <w:rPr>
          <w:lang w:val="en-GB"/>
        </w:rPr>
        <w:t xml:space="preserve">uest </w:t>
      </w:r>
      <w:r>
        <w:rPr>
          <w:lang w:val="en-GB"/>
        </w:rPr>
        <w:t xml:space="preserve">OS </w:t>
      </w:r>
      <w:r w:rsidRPr="00000445">
        <w:rPr>
          <w:lang w:val="en-GB"/>
        </w:rPr>
        <w:t xml:space="preserve">physical pages, </w:t>
      </w:r>
      <w:r>
        <w:rPr>
          <w:lang w:val="en-GB"/>
        </w:rPr>
        <w:t xml:space="preserve">this metric </w:t>
      </w:r>
      <w:r w:rsidRPr="00000445">
        <w:rPr>
          <w:lang w:val="en-GB"/>
        </w:rPr>
        <w:t>charge "1/ref" page as the consumed machine memory for each of the guest physical pages, where "ref" is the number of references. So, the saved machine memory will be "1 - 1/ref" page.</w:t>
      </w:r>
      <w:r>
        <w:rPr>
          <w:lang w:val="en-GB"/>
        </w:rPr>
        <w:t xml:space="preserve"> For example, if there are 4 pages pointing to the same physical DIMM, then the savings is 3 pages worth of memory. </w:t>
      </w:r>
    </w:p>
    <w:p w14:paraId="1A2F9389" w14:textId="77777777" w:rsidR="001406B1" w:rsidRPr="00A452F2" w:rsidRDefault="001406B1" w:rsidP="00DC7648">
      <w:pPr>
        <w:pStyle w:val="Heading5"/>
      </w:pPr>
      <w:r w:rsidRPr="00A452F2">
        <w:t>Consumed</w:t>
      </w:r>
    </w:p>
    <w:p w14:paraId="2E3BA76B" w14:textId="77777777" w:rsidR="001406B1" w:rsidRDefault="001406B1" w:rsidP="001406B1">
      <w:pPr>
        <w:rPr>
          <w:lang w:val="en-GB"/>
        </w:rPr>
      </w:pPr>
      <w:r w:rsidRPr="00A452F2">
        <w:rPr>
          <w:lang w:val="en-GB"/>
        </w:rPr>
        <w:t>Consumed = Granted – Saving from Sharing</w:t>
      </w:r>
    </w:p>
    <w:p w14:paraId="419273A3" w14:textId="77777777" w:rsidR="001406B1" w:rsidRDefault="001406B1" w:rsidP="001406B1">
      <w:pPr>
        <w:rPr>
          <w:lang w:val="en-GB"/>
        </w:rPr>
      </w:pPr>
      <w:r w:rsidRPr="00A452F2">
        <w:rPr>
          <w:lang w:val="en-GB"/>
        </w:rPr>
        <w:t xml:space="preserve">Consumed does not include overhead memory, although this number is practically negligible. </w:t>
      </w:r>
      <w:r>
        <w:rPr>
          <w:lang w:val="en-GB"/>
        </w:rPr>
        <w:t>I’m not sure why it does not, as the page is indeed for the VM.</w:t>
      </w:r>
    </w:p>
    <w:p w14:paraId="2A6AFDCC" w14:textId="77777777" w:rsidR="001406B1" w:rsidRPr="00A452F2" w:rsidRDefault="001406B1" w:rsidP="001406B1">
      <w:pPr>
        <w:rPr>
          <w:lang w:val="en-GB"/>
        </w:rPr>
      </w:pPr>
      <w:r>
        <w:rPr>
          <w:lang w:val="en-GB"/>
        </w:rPr>
        <w:t>Consumed does not include compressed memory. My guess is because the pages are not readily available for use.</w:t>
      </w:r>
    </w:p>
    <w:p w14:paraId="65973CD2" w14:textId="77777777" w:rsidR="001406B1" w:rsidRDefault="001406B1" w:rsidP="001406B1">
      <w:pPr>
        <w:rPr>
          <w:lang w:val="en-GB"/>
        </w:rPr>
      </w:pPr>
      <w:r w:rsidRPr="00A452F2">
        <w:rPr>
          <w:lang w:val="en-GB"/>
        </w:rPr>
        <w:t>Consumes includes memory that might be reserved.</w:t>
      </w:r>
    </w:p>
    <w:p w14:paraId="76052997" w14:textId="77777777" w:rsidR="001406B1" w:rsidRPr="00A452F2" w:rsidRDefault="001406B1" w:rsidP="001406B1">
      <w:pPr>
        <w:rPr>
          <w:lang w:val="en-GB"/>
        </w:rPr>
      </w:pPr>
      <w:r>
        <w:rPr>
          <w:lang w:val="en-GB"/>
        </w:rPr>
        <w:t>Consumes</w:t>
      </w:r>
      <w:r w:rsidRPr="00A452F2">
        <w:rPr>
          <w:lang w:val="en-GB"/>
        </w:rPr>
        <w:t xml:space="preserve"> tracks the ESXi Memory mapped to the VM. ESXi assigns large pages (2 MB) to VM whenever possible; it does this even if the Guest OS doesn’t request them. The use of large pages can significantly reduce TLB misses, improving the performance of most workloads, especially those with large active memory working sets. </w:t>
      </w:r>
    </w:p>
    <w:p w14:paraId="3F1975E0" w14:textId="77777777" w:rsidR="001406B1" w:rsidRDefault="001406B1" w:rsidP="001406B1">
      <w:pPr>
        <w:rPr>
          <w:lang w:val="en-GB"/>
        </w:rPr>
      </w:pPr>
      <w:r w:rsidRPr="00A452F2">
        <w:rPr>
          <w:lang w:val="en-GB"/>
        </w:rPr>
        <w:t>The above is one reason why the Consumed metric is higher than the Guest OS In Use. The other reason is it contains pages that were active (and no longer active), but still mapped to the VM.</w:t>
      </w:r>
      <w:r>
        <w:rPr>
          <w:lang w:val="en-GB"/>
        </w:rPr>
        <w:t xml:space="preserve"> </w:t>
      </w:r>
    </w:p>
    <w:p w14:paraId="4ECBDB21" w14:textId="77777777" w:rsidR="001406B1" w:rsidRDefault="001406B1" w:rsidP="001406B1">
      <w:pPr>
        <w:rPr>
          <w:lang w:val="en-GB"/>
        </w:rPr>
      </w:pPr>
      <w:r w:rsidRPr="00824650">
        <w:rPr>
          <w:lang w:val="en-GB"/>
        </w:rPr>
        <w:t xml:space="preserve">Here is a screenshot comparing </w:t>
      </w:r>
      <w:r>
        <w:rPr>
          <w:lang w:val="en-GB"/>
        </w:rPr>
        <w:t xml:space="preserve">Windows 10 </w:t>
      </w:r>
      <w:r w:rsidRPr="00824650">
        <w:rPr>
          <w:lang w:val="en-GB"/>
        </w:rPr>
        <w:t>Task Manager</w:t>
      </w:r>
      <w:r>
        <w:rPr>
          <w:lang w:val="en-GB"/>
        </w:rPr>
        <w:t xml:space="preserve"> memory metrics </w:t>
      </w:r>
      <w:r w:rsidRPr="00824650">
        <w:rPr>
          <w:lang w:val="en-GB"/>
        </w:rPr>
        <w:t xml:space="preserve">with </w:t>
      </w:r>
      <w:r>
        <w:rPr>
          <w:lang w:val="en-GB"/>
        </w:rPr>
        <w:t xml:space="preserve">vRealize Operations </w:t>
      </w:r>
      <w:r w:rsidRPr="00824650">
        <w:rPr>
          <w:lang w:val="en-GB"/>
        </w:rPr>
        <w:t>Memory</w:t>
      </w:r>
      <w:r>
        <w:rPr>
          <w:lang w:val="en-GB"/>
        </w:rPr>
        <w:t xml:space="preserve"> \ </w:t>
      </w:r>
      <w:r w:rsidRPr="00824650">
        <w:rPr>
          <w:lang w:val="en-GB"/>
        </w:rPr>
        <w:t>Non Zero Active (KB) and Memory</w:t>
      </w:r>
      <w:r>
        <w:rPr>
          <w:lang w:val="en-GB"/>
        </w:rPr>
        <w:t xml:space="preserve"> \ </w:t>
      </w:r>
      <w:r w:rsidRPr="00824650">
        <w:rPr>
          <w:lang w:val="en-GB"/>
        </w:rPr>
        <w:t>Consumed (KB).</w:t>
      </w:r>
      <w:r>
        <w:rPr>
          <w:lang w:val="en-GB"/>
        </w:rPr>
        <w:t xml:space="preserve"> As you can see, none of the metrics match.</w:t>
      </w:r>
    </w:p>
    <w:p w14:paraId="7DA26923" w14:textId="77777777" w:rsidR="001406B1" w:rsidRPr="00A452F2" w:rsidRDefault="001406B1" w:rsidP="001406B1">
      <w:pPr>
        <w:rPr>
          <w:lang w:val="en-GB"/>
        </w:rPr>
      </w:pPr>
      <w:r>
        <w:rPr>
          <w:noProof/>
        </w:rPr>
        <w:lastRenderedPageBreak/>
        <w:drawing>
          <wp:inline distT="0" distB="0" distL="0" distR="0" wp14:anchorId="2FBD0361" wp14:editId="01377031">
            <wp:extent cx="6645910" cy="4070985"/>
            <wp:effectExtent l="0" t="0" r="2540" b="5715"/>
            <wp:docPr id="606394278" name="Picture 606394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78"/>
                    <pic:cNvPicPr/>
                  </pic:nvPicPr>
                  <pic:blipFill>
                    <a:blip r:embed="rId551">
                      <a:extLst>
                        <a:ext uri="{28A0092B-C50C-407E-A947-70E740481C1C}">
                          <a14:useLocalDpi xmlns:a14="http://schemas.microsoft.com/office/drawing/2010/main" val="0"/>
                        </a:ext>
                      </a:extLst>
                    </a:blip>
                    <a:stretch>
                      <a:fillRect/>
                    </a:stretch>
                  </pic:blipFill>
                  <pic:spPr>
                    <a:xfrm>
                      <a:off x="0" y="0"/>
                      <a:ext cx="6645910" cy="4070985"/>
                    </a:xfrm>
                    <a:prstGeom prst="rect">
                      <a:avLst/>
                    </a:prstGeom>
                  </pic:spPr>
                </pic:pic>
              </a:graphicData>
            </a:graphic>
          </wp:inline>
        </w:drawing>
      </w:r>
    </w:p>
    <w:p w14:paraId="5AA84FFC" w14:textId="77777777" w:rsidR="001406B1" w:rsidRDefault="001406B1" w:rsidP="001406B1">
      <w:pPr>
        <w:rPr>
          <w:lang w:val="en-GB"/>
        </w:rPr>
      </w:pPr>
      <w:r w:rsidRPr="00A452F2">
        <w:rPr>
          <w:lang w:val="en-GB"/>
        </w:rPr>
        <w:t>When a Guest OS frees up a memory page, it normally just updates its list of free memory, it does not release it. This list is not exposed to the hypervisor, and so the physical page remains claimed by the VM. This is why the Consumed counter in vCenter remains high when the Active counter has long dropped.</w:t>
      </w:r>
      <w:r w:rsidRPr="00824650">
        <w:rPr>
          <w:lang w:val="en-GB"/>
        </w:rPr>
        <w:t xml:space="preserve"> </w:t>
      </w:r>
    </w:p>
    <w:p w14:paraId="06116286" w14:textId="77777777" w:rsidR="001406B1" w:rsidRPr="00A452F2" w:rsidRDefault="001406B1" w:rsidP="001406B1">
      <w:pPr>
        <w:rPr>
          <w:lang w:val="en-GB"/>
        </w:rPr>
      </w:pPr>
      <w:r>
        <w:rPr>
          <w:lang w:val="en-GB"/>
        </w:rPr>
        <w:t>It is a c</w:t>
      </w:r>
      <w:r w:rsidRPr="00A452F2">
        <w:rPr>
          <w:lang w:val="en-GB"/>
        </w:rPr>
        <w:t xml:space="preserve">ommon mistake to think they are </w:t>
      </w:r>
      <w:r>
        <w:rPr>
          <w:lang w:val="en-GB"/>
        </w:rPr>
        <w:t xml:space="preserve">calculated in a similar, and simply differ based on </w:t>
      </w:r>
      <w:r w:rsidRPr="00A452F2">
        <w:rPr>
          <w:lang w:val="en-GB"/>
        </w:rPr>
        <w:t xml:space="preserve">aggressive vs conservative. </w:t>
      </w:r>
      <w:r>
        <w:rPr>
          <w:lang w:val="en-GB"/>
        </w:rPr>
        <w:t>The following test shows Active going down while Consumed going up!</w:t>
      </w:r>
    </w:p>
    <w:p w14:paraId="63FD5857" w14:textId="77777777" w:rsidR="001406B1" w:rsidRDefault="001406B1" w:rsidP="001406B1">
      <w:pPr>
        <w:rPr>
          <w:lang w:val="en-GB"/>
        </w:rPr>
      </w:pPr>
      <w:r w:rsidRPr="00A452F2">
        <w:rPr>
          <w:noProof/>
          <w:lang w:val="en-GB"/>
        </w:rPr>
        <w:drawing>
          <wp:inline distT="0" distB="0" distL="0" distR="0" wp14:anchorId="46D7B402" wp14:editId="5C219102">
            <wp:extent cx="6645910" cy="3405505"/>
            <wp:effectExtent l="19050" t="19050" r="21590" b="23495"/>
            <wp:docPr id="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552"/>
                    <a:srcRect l="2379" t="3386" r="1687" b="6425"/>
                    <a:stretch/>
                  </pic:blipFill>
                  <pic:spPr>
                    <a:xfrm>
                      <a:off x="0" y="0"/>
                      <a:ext cx="6645910" cy="3405505"/>
                    </a:xfrm>
                    <a:prstGeom prst="rect">
                      <a:avLst/>
                    </a:prstGeom>
                    <a:ln w="3175">
                      <a:solidFill>
                        <a:schemeClr val="tx1"/>
                      </a:solidFill>
                    </a:ln>
                  </pic:spPr>
                </pic:pic>
              </a:graphicData>
            </a:graphic>
          </wp:inline>
        </w:drawing>
      </w:r>
    </w:p>
    <w:p w14:paraId="0932DB26" w14:textId="77777777" w:rsidR="001406B1" w:rsidRDefault="001406B1" w:rsidP="001406B1">
      <w:pPr>
        <w:pStyle w:val="BeforeTable"/>
        <w:rPr>
          <w:lang w:val="en-GB"/>
        </w:rPr>
      </w:pPr>
    </w:p>
    <w:p w14:paraId="5FADF34D" w14:textId="4302B2E4" w:rsidR="00636DDA" w:rsidRDefault="00636DDA" w:rsidP="001406B1">
      <w:pPr>
        <w:rPr>
          <w:lang w:val="en-GB"/>
        </w:rPr>
      </w:pPr>
      <w:r>
        <w:rPr>
          <w:lang w:val="en-GB"/>
        </w:rPr>
        <w:lastRenderedPageBreak/>
        <w:t xml:space="preserve">Consumed does not include Shared page. When you see Consumed lower than Guest OS Used, check if there are plenty of shared pages. The following screenshot shows Guest OS Used consistently higher. It’s also constant, around 156 GB throughout. Consumed was relatively more </w:t>
      </w:r>
      <w:r w:rsidR="00A722F4">
        <w:rPr>
          <w:lang w:val="en-GB"/>
        </w:rPr>
        <w:t>volatile, but never exceed 131 GB. The reason for it is Shared</w:t>
      </w:r>
      <w:r>
        <w:rPr>
          <w:lang w:val="en-GB"/>
        </w:rPr>
        <w:t xml:space="preserve">. Notice the value is high, around 61 – 63 GB. </w:t>
      </w:r>
    </w:p>
    <w:p w14:paraId="08BE5AE4" w14:textId="269D9FAF" w:rsidR="00636DDA" w:rsidRDefault="00636DDA" w:rsidP="001406B1">
      <w:pPr>
        <w:rPr>
          <w:lang w:val="en-GB"/>
        </w:rPr>
      </w:pPr>
      <w:r w:rsidRPr="00636DDA">
        <w:rPr>
          <w:noProof/>
          <w:lang w:val="en-GB"/>
        </w:rPr>
        <w:drawing>
          <wp:inline distT="0" distB="0" distL="0" distR="0" wp14:anchorId="0803D01F" wp14:editId="7C34563D">
            <wp:extent cx="6645910" cy="4140835"/>
            <wp:effectExtent l="0" t="0" r="2540" b="0"/>
            <wp:docPr id="1606338700" name="Picture 1606338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6645910" cy="4140835"/>
                    </a:xfrm>
                    <a:prstGeom prst="rect">
                      <a:avLst/>
                    </a:prstGeom>
                  </pic:spPr>
                </pic:pic>
              </a:graphicData>
            </a:graphic>
          </wp:inline>
        </w:drawing>
      </w:r>
    </w:p>
    <w:p w14:paraId="7F0DF69A" w14:textId="4637A47C" w:rsidR="001406B1" w:rsidRDefault="001406B1" w:rsidP="001406B1">
      <w:pPr>
        <w:rPr>
          <w:lang w:val="en-GB"/>
        </w:rPr>
      </w:pPr>
      <w:r>
        <w:rPr>
          <w:lang w:val="en-GB"/>
        </w:rPr>
        <w:t xml:space="preserve">Consumed is affected by Limit. The following is a VM configured with 8 GB RAM but was limited to 2 GB. </w:t>
      </w:r>
    </w:p>
    <w:p w14:paraId="55BA5BD1" w14:textId="77777777" w:rsidR="001406B1" w:rsidRPr="00A452F2" w:rsidRDefault="001406B1" w:rsidP="001406B1">
      <w:pPr>
        <w:rPr>
          <w:lang w:val="en-GB"/>
        </w:rPr>
      </w:pPr>
      <w:r>
        <w:rPr>
          <w:noProof/>
        </w:rPr>
        <w:drawing>
          <wp:inline distT="0" distB="0" distL="0" distR="0" wp14:anchorId="0EC4EEB1" wp14:editId="3405C488">
            <wp:extent cx="6645910" cy="3060065"/>
            <wp:effectExtent l="0" t="0" r="2540" b="6985"/>
            <wp:docPr id="606394183" name="Picture 6063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83"/>
                    <pic:cNvPicPr/>
                  </pic:nvPicPr>
                  <pic:blipFill>
                    <a:blip r:embed="rId554">
                      <a:extLst>
                        <a:ext uri="{28A0092B-C50C-407E-A947-70E740481C1C}">
                          <a14:useLocalDpi xmlns:a14="http://schemas.microsoft.com/office/drawing/2010/main" val="0"/>
                        </a:ext>
                      </a:extLst>
                    </a:blip>
                    <a:stretch>
                      <a:fillRect/>
                    </a:stretch>
                  </pic:blipFill>
                  <pic:spPr>
                    <a:xfrm>
                      <a:off x="0" y="0"/>
                      <a:ext cx="6645910" cy="3060065"/>
                    </a:xfrm>
                    <a:prstGeom prst="rect">
                      <a:avLst/>
                    </a:prstGeom>
                  </pic:spPr>
                </pic:pic>
              </a:graphicData>
            </a:graphic>
          </wp:inline>
        </w:drawing>
      </w:r>
    </w:p>
    <w:p w14:paraId="69615417" w14:textId="77777777" w:rsidR="001406B1" w:rsidRPr="00A452F2" w:rsidRDefault="001406B1" w:rsidP="00DC7648">
      <w:pPr>
        <w:pStyle w:val="Heading5"/>
      </w:pPr>
      <w:bookmarkStart w:id="102" w:name="_Active"/>
      <w:bookmarkEnd w:id="102"/>
      <w:r w:rsidRPr="00A452F2">
        <w:lastRenderedPageBreak/>
        <w:t xml:space="preserve">Active </w:t>
      </w:r>
    </w:p>
    <w:p w14:paraId="55E3D729" w14:textId="77777777" w:rsidR="001406B1" w:rsidRPr="00A452F2" w:rsidRDefault="001406B1" w:rsidP="001406B1">
      <w:pPr>
        <w:rPr>
          <w:lang w:val="en-GB"/>
        </w:rPr>
      </w:pPr>
      <w:r w:rsidRPr="00A452F2">
        <w:rPr>
          <w:lang w:val="en-GB"/>
        </w:rPr>
        <w:t>This is a widely misunderstood counter. ESXi</w:t>
      </w:r>
      <w:r>
        <w:rPr>
          <w:lang w:val="en-GB"/>
        </w:rPr>
        <w:t xml:space="preserve"> calls this </w:t>
      </w:r>
      <w:r w:rsidRPr="008D0530">
        <w:rPr>
          <w:color w:val="00B0F0"/>
          <w:lang w:val="en-GB"/>
        </w:rPr>
        <w:t xml:space="preserve">Touch </w:t>
      </w:r>
      <w:r>
        <w:rPr>
          <w:lang w:val="en-GB"/>
        </w:rPr>
        <w:t xml:space="preserve">as it </w:t>
      </w:r>
      <w:r w:rsidRPr="00A452F2">
        <w:rPr>
          <w:lang w:val="en-GB"/>
        </w:rPr>
        <w:t xml:space="preserve">better represents the purpose of the metric. </w:t>
      </w:r>
      <w:r>
        <w:rPr>
          <w:lang w:val="en-GB"/>
        </w:rPr>
        <w:t xml:space="preserve">Note that </w:t>
      </w:r>
      <w:r w:rsidRPr="00A452F2">
        <w:rPr>
          <w:lang w:val="en-GB"/>
        </w:rPr>
        <w:t xml:space="preserve">vCenter still calls it </w:t>
      </w:r>
      <w:r w:rsidRPr="008D0530">
        <w:rPr>
          <w:color w:val="00B0F0"/>
          <w:lang w:val="en-GB"/>
        </w:rPr>
        <w:t>Active</w:t>
      </w:r>
      <w:r>
        <w:rPr>
          <w:lang w:val="en-GB"/>
        </w:rPr>
        <w:t xml:space="preserve">, so I will call it </w:t>
      </w:r>
      <w:r w:rsidRPr="008D0530">
        <w:rPr>
          <w:color w:val="00B0F0"/>
          <w:lang w:val="en-GB"/>
        </w:rPr>
        <w:t>Active</w:t>
      </w:r>
      <w:r>
        <w:rPr>
          <w:lang w:val="en-GB"/>
        </w:rPr>
        <w:t>.</w:t>
      </w:r>
    </w:p>
    <w:p w14:paraId="20C233D0" w14:textId="77777777" w:rsidR="001406B1" w:rsidRPr="00A452F2" w:rsidRDefault="001406B1" w:rsidP="001406B1">
      <w:pPr>
        <w:rPr>
          <w:lang w:val="en-GB"/>
        </w:rPr>
      </w:pPr>
      <w:r>
        <w:rPr>
          <w:lang w:val="en-GB"/>
        </w:rPr>
        <w:t xml:space="preserve">This counter is often </w:t>
      </w:r>
      <w:r w:rsidRPr="00A452F2">
        <w:rPr>
          <w:lang w:val="en-GB"/>
        </w:rPr>
        <w:t xml:space="preserve">used to determine the VM utilization, which is not what it was designed for. To know why, we need to go back to fundamental. Let’s look at the word </w:t>
      </w:r>
      <w:r w:rsidRPr="0070099F">
        <w:rPr>
          <w:b/>
          <w:bCs/>
          <w:lang w:val="en-GB"/>
        </w:rPr>
        <w:t>active</w:t>
      </w:r>
      <w:r w:rsidRPr="00A452F2">
        <w:rPr>
          <w:lang w:val="en-GB"/>
        </w:rPr>
        <w:t>. It is an English word that needs to be quantified before we can use it as metric. There are 2 dimensions to consider before we apply it:</w:t>
      </w:r>
    </w:p>
    <w:p w14:paraId="554A65F6" w14:textId="77777777" w:rsidR="001406B1" w:rsidRPr="00DC3F9C" w:rsidRDefault="001406B1" w:rsidP="001406B1">
      <w:pPr>
        <w:pStyle w:val="Bullet"/>
      </w:pPr>
      <w:r w:rsidRPr="00A452F2">
        <w:rPr>
          <w:lang w:val="en-GB"/>
        </w:rPr>
        <w:t xml:space="preserve">Definition of active. In RAM context, this means read or write activity. This is similar to disk IOPS. The more read/sec or </w:t>
      </w:r>
      <w:r w:rsidRPr="00DC3F9C">
        <w:t xml:space="preserve">write/sec to </w:t>
      </w:r>
      <w:r w:rsidRPr="006F05D7">
        <w:rPr>
          <w:i/>
          <w:iCs/>
          <w:color w:val="00B0F0"/>
        </w:rPr>
        <w:t>a page</w:t>
      </w:r>
      <w:r w:rsidRPr="00DC3F9C">
        <w:t>, the more active th</w:t>
      </w:r>
      <w:r>
        <w:t>at</w:t>
      </w:r>
      <w:r w:rsidRPr="00DC3F9C">
        <w:t xml:space="preserve"> page is. Note that the same page can be read/written to many times in a second. Because a page may be accessed multiple times, the actual active pages </w:t>
      </w:r>
      <w:r>
        <w:t>could be</w:t>
      </w:r>
      <w:r w:rsidRPr="00DC3F9C">
        <w:t xml:space="preserve"> lower. Example: a VM </w:t>
      </w:r>
      <w:r>
        <w:t xml:space="preserve">do 100 </w:t>
      </w:r>
      <w:r w:rsidRPr="00DC3F9C">
        <w:t xml:space="preserve">reads and </w:t>
      </w:r>
      <w:r>
        <w:t xml:space="preserve">100 </w:t>
      </w:r>
      <w:r w:rsidRPr="00DC3F9C">
        <w:t>writes</w:t>
      </w:r>
      <w:r>
        <w:t xml:space="preserve"> on its memory</w:t>
      </w:r>
      <w:r w:rsidRPr="00DC3F9C">
        <w:t>. However, 50 of the writes are on the page that were read. In addition, there are 10 pages that were read multiple times. Because of these 2 factors, the total active pages are far fewer than 300 pages. If the page is average 4 KB, then the total active is way less than 1200 KB.</w:t>
      </w:r>
    </w:p>
    <w:p w14:paraId="22367F70" w14:textId="77777777" w:rsidR="001406B1" w:rsidRPr="00DC3F9C" w:rsidRDefault="001406B1" w:rsidP="001406B1">
      <w:pPr>
        <w:pStyle w:val="Bullet"/>
      </w:pPr>
      <w:r w:rsidRPr="00DC3F9C">
        <w:t xml:space="preserve">Active is time bound. Last week is certainly not active. Is 300 seconds ago active? What exactly, is </w:t>
      </w:r>
      <w:r w:rsidRPr="00001FB1">
        <w:rPr>
          <w:color w:val="00B0F0"/>
        </w:rPr>
        <w:t>recent</w:t>
      </w:r>
      <w:r w:rsidRPr="00DC3F9C">
        <w:t xml:space="preserve">? 1 second can be defended as a good definition of recent. </w:t>
      </w:r>
      <w:r>
        <w:t xml:space="preserve">Windows shows memory utilization in 1 second interval. </w:t>
      </w:r>
      <w:r w:rsidRPr="00DC3F9C">
        <w:t>IOPS is always measured per second, hence the name IOPS.</w:t>
      </w:r>
      <w:r>
        <w:t xml:space="preserve"> So I think 1 second seems like a good definition of recent.</w:t>
      </w:r>
    </w:p>
    <w:p w14:paraId="1FC3A2D6" w14:textId="77777777" w:rsidR="001406B1" w:rsidRPr="00A452F2" w:rsidRDefault="001406B1" w:rsidP="001406B1">
      <w:pPr>
        <w:rPr>
          <w:lang w:val="en-GB"/>
        </w:rPr>
      </w:pPr>
      <w:r w:rsidRPr="00A452F2">
        <w:rPr>
          <w:lang w:val="en-GB"/>
        </w:rPr>
        <w:t xml:space="preserve">Applying the above understanding, the active counter is actually a rate, not a space. However, the counter reported by vCenter is in KB, not KB/s. </w:t>
      </w:r>
    </w:p>
    <w:p w14:paraId="2F4AB998" w14:textId="77777777" w:rsidR="001406B1" w:rsidRPr="00A452F2" w:rsidRDefault="001406B1" w:rsidP="001406B1">
      <w:pPr>
        <w:rPr>
          <w:lang w:val="en-GB"/>
        </w:rPr>
      </w:pPr>
      <w:r w:rsidRPr="00A452F2">
        <w:rPr>
          <w:lang w:val="en-GB"/>
        </w:rPr>
        <w:t xml:space="preserve">To translate from KB/s to KB, we need to aggregate based on the sampling period. Assuming ESXi samples every 2 seconds, vCenter will have 10 sampling in its 20 second reporting period. The 10 samplings can be sampling the same identical pages, or completely different ones. So in the 20 seconds period, the active memory can be as small as 1 sampling, or as large as 10 samplings. </w:t>
      </w:r>
    </w:p>
    <w:p w14:paraId="60BECB7E" w14:textId="77777777" w:rsidR="001406B1" w:rsidRPr="00A452F2" w:rsidRDefault="001406B1" w:rsidP="001406B1">
      <w:pPr>
        <w:rPr>
          <w:lang w:val="en-GB"/>
        </w:rPr>
      </w:pPr>
      <w:r w:rsidRPr="00A452F2">
        <w:rPr>
          <w:lang w:val="en-GB"/>
        </w:rPr>
        <w:t>Examples</w:t>
      </w:r>
      <w:r>
        <w:rPr>
          <w:lang w:val="en-GB"/>
        </w:rPr>
        <w:t>:</w:t>
      </w:r>
    </w:p>
    <w:p w14:paraId="1291815C" w14:textId="77777777" w:rsidR="001406B1" w:rsidRPr="00A452F2" w:rsidRDefault="001406B1" w:rsidP="001406B1">
      <w:pPr>
        <w:pStyle w:val="Bullet"/>
        <w:rPr>
          <w:lang w:val="en-GB"/>
        </w:rPr>
      </w:pPr>
      <w:r w:rsidRPr="00A452F2">
        <w:rPr>
          <w:lang w:val="en-GB"/>
        </w:rPr>
        <w:t>First 2 seconds: 100 MB Active</w:t>
      </w:r>
    </w:p>
    <w:p w14:paraId="731C5F11" w14:textId="77777777" w:rsidR="001406B1" w:rsidRPr="00A452F2" w:rsidRDefault="001406B1" w:rsidP="001406B1">
      <w:pPr>
        <w:pStyle w:val="Bullet"/>
        <w:rPr>
          <w:lang w:val="en-GB"/>
        </w:rPr>
      </w:pPr>
      <w:r w:rsidRPr="00A452F2">
        <w:rPr>
          <w:lang w:val="en-GB"/>
        </w:rPr>
        <w:t>Next 2 seconds: 150 MB Active</w:t>
      </w:r>
    </w:p>
    <w:p w14:paraId="2277F54E" w14:textId="77777777" w:rsidR="001406B1" w:rsidRDefault="001406B1" w:rsidP="001406B1">
      <w:pPr>
        <w:rPr>
          <w:lang w:val="en-GB"/>
        </w:rPr>
      </w:pPr>
      <w:r w:rsidRPr="00A452F2">
        <w:rPr>
          <w:lang w:val="en-GB"/>
        </w:rPr>
        <w:t xml:space="preserve">In the above 4 seconds, the active page ranges from 150 MB to 250 MB. </w:t>
      </w:r>
    </w:p>
    <w:p w14:paraId="6F0A7AFD" w14:textId="77777777" w:rsidR="001406B1" w:rsidRDefault="001406B1" w:rsidP="001406B1">
      <w:r w:rsidRPr="00A452F2">
        <w:rPr>
          <w:lang w:val="en-GB"/>
        </w:rPr>
        <w:t xml:space="preserve">Each sampling is done </w:t>
      </w:r>
      <w:r w:rsidRPr="0097791A">
        <w:rPr>
          <w:i/>
          <w:iCs/>
          <w:color w:val="00B0F0"/>
          <w:lang w:val="en-GB"/>
        </w:rPr>
        <w:t>independently</w:t>
      </w:r>
      <w:r>
        <w:rPr>
          <w:lang w:val="en-GB"/>
        </w:rPr>
        <w:t>, meaning you could be sampling the same block again</w:t>
      </w:r>
      <w:r w:rsidRPr="00A452F2">
        <w:rPr>
          <w:lang w:val="en-GB"/>
        </w:rPr>
        <w:t xml:space="preserve">. </w:t>
      </w:r>
      <w:r>
        <w:rPr>
          <w:lang w:val="en-GB"/>
        </w:rPr>
        <w:t xml:space="preserve">But the value is then </w:t>
      </w:r>
      <w:r>
        <w:t>averaged it with previous samples. Because sampling and averaging takes time, Active won't be exact, but becomes more accurate over time to approximate the amount of active memory for the VM. This is why there is actually a longer version of Active, which you will see in esxtop (it is not available in vSphere Client).</w:t>
      </w:r>
    </w:p>
    <w:p w14:paraId="001D2AF5" w14:textId="77777777" w:rsidR="001406B1" w:rsidRPr="002A7866" w:rsidRDefault="001406B1" w:rsidP="001406B1">
      <w:r>
        <w:t>VM Active</w:t>
      </w:r>
      <w:r w:rsidRPr="00047DAC">
        <w:t xml:space="preserve"> </w:t>
      </w:r>
      <w:r>
        <w:t xml:space="preserve">is typically </w:t>
      </w:r>
      <w:r w:rsidRPr="00047DAC">
        <w:t xml:space="preserve">different from </w:t>
      </w:r>
      <w:r>
        <w:t>Guest OS</w:t>
      </w:r>
      <w:r w:rsidRPr="00047DAC">
        <w:t xml:space="preserve"> working set estimate. Sometimes the difference may be big, because</w:t>
      </w:r>
      <w:r>
        <w:t xml:space="preserve"> G</w:t>
      </w:r>
      <w:r w:rsidRPr="00047DAC">
        <w:t xml:space="preserve">uest OS </w:t>
      </w:r>
      <w:r>
        <w:t xml:space="preserve">and VMkernel </w:t>
      </w:r>
      <w:r w:rsidRPr="00047DAC">
        <w:t>use different working set estimate algorithm</w:t>
      </w:r>
      <w:r>
        <w:t xml:space="preserve">. Also, VM </w:t>
      </w:r>
      <w:r w:rsidRPr="00047DAC">
        <w:t>has a different view of active memory, due to ballooning and host swapping</w:t>
      </w:r>
      <w:r>
        <w:t>. Logically, ballooned memory is considered inactive, so, it is excluded from the sampling.</w:t>
      </w:r>
    </w:p>
    <w:p w14:paraId="7A05B3F8" w14:textId="77777777" w:rsidR="001406B1" w:rsidRDefault="001406B1" w:rsidP="001406B1">
      <w:pPr>
        <w:rPr>
          <w:lang w:val="en-GB"/>
        </w:rPr>
      </w:pPr>
      <w:r>
        <w:rPr>
          <w:lang w:val="en-GB"/>
        </w:rPr>
        <w:t>If you plot a vRealize Operations VM in vCenter real-time performance chart, you will see 12 peaks in that one-hour line chart. The reason is vRealize Operations pulls, process, and writes data every 5-minutes. The chart for CPU, disk and network will sport the same pattern. This is expected.</w:t>
      </w:r>
    </w:p>
    <w:p w14:paraId="47D62F6D" w14:textId="77777777" w:rsidR="001406B1" w:rsidRDefault="001406B1" w:rsidP="001406B1">
      <w:pPr>
        <w:rPr>
          <w:lang w:val="en-GB"/>
        </w:rPr>
      </w:pPr>
      <w:r>
        <w:rPr>
          <w:lang w:val="en-GB"/>
        </w:rPr>
        <w:t xml:space="preserve">But if you plot the memory metrics, be it total active, active write or consumed, you will not see the 12 peaks. This is what I got instead. </w:t>
      </w:r>
    </w:p>
    <w:p w14:paraId="7EE633E6" w14:textId="77777777" w:rsidR="001406B1" w:rsidRPr="00A452F2" w:rsidRDefault="001406B1" w:rsidP="001406B1">
      <w:pPr>
        <w:rPr>
          <w:lang w:val="en-GB"/>
        </w:rPr>
      </w:pPr>
      <w:r>
        <w:rPr>
          <w:noProof/>
        </w:rPr>
        <w:lastRenderedPageBreak/>
        <w:drawing>
          <wp:inline distT="0" distB="0" distL="0" distR="0" wp14:anchorId="5C517324" wp14:editId="3BBB0ED6">
            <wp:extent cx="6645910" cy="2983865"/>
            <wp:effectExtent l="0" t="0" r="2540" b="6985"/>
            <wp:docPr id="606394279" name="Picture 606394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79"/>
                    <pic:cNvPicPr/>
                  </pic:nvPicPr>
                  <pic:blipFill>
                    <a:blip r:embed="rId555" cstate="print">
                      <a:extLst>
                        <a:ext uri="{28A0092B-C50C-407E-A947-70E740481C1C}">
                          <a14:useLocalDpi xmlns:a14="http://schemas.microsoft.com/office/drawing/2010/main" val="0"/>
                        </a:ext>
                      </a:extLst>
                    </a:blip>
                    <a:stretch>
                      <a:fillRect/>
                    </a:stretch>
                  </pic:blipFill>
                  <pic:spPr>
                    <a:xfrm>
                      <a:off x="0" y="0"/>
                      <a:ext cx="6645910" cy="2983865"/>
                    </a:xfrm>
                    <a:prstGeom prst="rect">
                      <a:avLst/>
                    </a:prstGeom>
                  </pic:spPr>
                </pic:pic>
              </a:graphicData>
            </a:graphic>
          </wp:inline>
        </w:drawing>
      </w:r>
    </w:p>
    <w:p w14:paraId="6061ED72" w14:textId="77777777" w:rsidR="001406B1" w:rsidRDefault="001406B1" w:rsidP="001406B1">
      <w:pPr>
        <w:rPr>
          <w:lang w:val="en-GB"/>
        </w:rPr>
      </w:pPr>
      <w:r>
        <w:rPr>
          <w:lang w:val="en-GB"/>
        </w:rPr>
        <w:t>Consume is completely flat and high. Active (read and write) and Active Write (write only) is much lower but again the 12 peaks are not shown.</w:t>
      </w:r>
    </w:p>
    <w:p w14:paraId="27DF2806" w14:textId="77777777" w:rsidR="001406B1" w:rsidRDefault="001406B1" w:rsidP="001406B1">
      <w:pPr>
        <w:rPr>
          <w:lang w:val="en-GB"/>
        </w:rPr>
      </w:pPr>
      <w:r>
        <w:rPr>
          <w:lang w:val="en-GB"/>
        </w:rPr>
        <w:t xml:space="preserve">Can you figure it out? </w:t>
      </w:r>
    </w:p>
    <w:p w14:paraId="370F4074" w14:textId="77777777" w:rsidR="001406B1" w:rsidRDefault="001406B1" w:rsidP="001406B1">
      <w:pPr>
        <w:rPr>
          <w:lang w:val="en-GB"/>
        </w:rPr>
      </w:pPr>
      <w:r>
        <w:rPr>
          <w:lang w:val="en-GB"/>
        </w:rPr>
        <w:t>My guess is the sampling size. That’s just a guess, so if you have a better answer let me know!</w:t>
      </w:r>
    </w:p>
    <w:p w14:paraId="5F28668C" w14:textId="77777777" w:rsidR="001406B1" w:rsidRDefault="001406B1" w:rsidP="001406B1">
      <w:pPr>
        <w:rPr>
          <w:lang w:val="en-GB"/>
        </w:rPr>
      </w:pPr>
      <w:r>
        <w:rPr>
          <w:lang w:val="en-GB"/>
        </w:rPr>
        <w:t xml:space="preserve">Now let’s go to vRealize Operations. </w:t>
      </w:r>
      <w:r>
        <w:t xml:space="preserve">In vRealize Operations, this metric is called </w:t>
      </w:r>
      <w:r w:rsidRPr="00F0571C">
        <w:rPr>
          <w:rStyle w:val="Emphasis"/>
          <w:i w:val="0"/>
          <w:iCs w:val="0"/>
          <w:color w:val="00B0F0"/>
        </w:rPr>
        <w:t>Memory \ Non Zero Active (KB)</w:t>
      </w:r>
      <w:r>
        <w:rPr>
          <w:rStyle w:val="Emphasis"/>
          <w:i w:val="0"/>
          <w:iCs w:val="0"/>
          <w:color w:val="00B0F0"/>
        </w:rPr>
        <w:t>.</w:t>
      </w:r>
    </w:p>
    <w:p w14:paraId="2BF302D8" w14:textId="77777777" w:rsidR="001406B1" w:rsidRPr="00A452F2" w:rsidRDefault="001406B1" w:rsidP="001406B1">
      <w:pPr>
        <w:rPr>
          <w:lang w:val="en-GB"/>
        </w:rPr>
      </w:pPr>
      <w:r w:rsidRPr="00A452F2">
        <w:rPr>
          <w:lang w:val="en-GB"/>
        </w:rPr>
        <w:t>vCenter reports in 20 seconds interval</w:t>
      </w:r>
      <w:r w:rsidRPr="00824650">
        <w:rPr>
          <w:i/>
          <w:iCs/>
        </w:rPr>
        <w:t>.</w:t>
      </w:r>
      <w:r>
        <w:t xml:space="preserve"> </w:t>
      </w:r>
      <w:r w:rsidRPr="00A452F2">
        <w:rPr>
          <w:lang w:val="en-GB"/>
        </w:rPr>
        <w:t>vRealize Operations takes 15 of these data and average them into a 300-second average. In the 300 second period, the same page can be read and written multiple times. Hence the active counter over reports the actual count.</w:t>
      </w:r>
    </w:p>
    <w:p w14:paraId="24C0E738" w14:textId="77777777" w:rsidR="001406B1" w:rsidRDefault="001406B1" w:rsidP="001406B1">
      <w:pPr>
        <w:rPr>
          <w:lang w:val="en-GB"/>
        </w:rPr>
      </w:pPr>
      <w:r>
        <w:rPr>
          <w:lang w:val="en-GB"/>
        </w:rPr>
        <w:t>Quiz: n</w:t>
      </w:r>
      <w:r w:rsidRPr="00A452F2">
        <w:rPr>
          <w:lang w:val="en-GB"/>
        </w:rPr>
        <w:t xml:space="preserve">ow that </w:t>
      </w:r>
      <w:r>
        <w:rPr>
          <w:lang w:val="en-GB"/>
        </w:rPr>
        <w:t>you</w:t>
      </w:r>
      <w:r w:rsidRPr="00A452F2">
        <w:rPr>
          <w:lang w:val="en-GB"/>
        </w:rPr>
        <w:t xml:space="preserve"> know Active over</w:t>
      </w:r>
      <w:r>
        <w:rPr>
          <w:lang w:val="en-GB"/>
        </w:rPr>
        <w:t xml:space="preserve"> </w:t>
      </w:r>
      <w:r w:rsidRPr="00A452F2">
        <w:rPr>
          <w:lang w:val="en-GB"/>
        </w:rPr>
        <w:t xml:space="preserve">reports, why is it lower than Consumed? Why is it lower than Guest OS </w:t>
      </w:r>
      <w:r>
        <w:rPr>
          <w:lang w:val="en-GB"/>
        </w:rPr>
        <w:t>metrics</w:t>
      </w:r>
      <w:r w:rsidRPr="00A452F2">
        <w:rPr>
          <w:lang w:val="en-GB"/>
        </w:rPr>
        <w:t xml:space="preserve">? </w:t>
      </w:r>
    </w:p>
    <w:p w14:paraId="17732584" w14:textId="77777777" w:rsidR="001406B1" w:rsidRDefault="001406B1" w:rsidP="001406B1">
      <w:pPr>
        <w:rPr>
          <w:lang w:val="en-GB"/>
        </w:rPr>
      </w:pPr>
      <w:r>
        <w:rPr>
          <w:lang w:val="en-GB"/>
        </w:rPr>
        <w:t xml:space="preserve">Active is lower than both metrics </w:t>
      </w:r>
      <w:r w:rsidRPr="00A452F2">
        <w:rPr>
          <w:lang w:val="en-GB"/>
        </w:rPr>
        <w:t>because the</w:t>
      </w:r>
      <w:r>
        <w:rPr>
          <w:lang w:val="en-GB"/>
        </w:rPr>
        <w:t>se 2 metrics</w:t>
      </w:r>
      <w:r w:rsidRPr="00A452F2">
        <w:rPr>
          <w:lang w:val="en-GB"/>
        </w:rPr>
        <w:t xml:space="preserve"> do </w:t>
      </w:r>
      <w:r w:rsidRPr="003D016E">
        <w:rPr>
          <w:i/>
          <w:iCs/>
          <w:color w:val="FF0000"/>
          <w:lang w:val="en-GB"/>
        </w:rPr>
        <w:t>not</w:t>
      </w:r>
      <w:r w:rsidRPr="003D016E">
        <w:rPr>
          <w:color w:val="FF0000"/>
          <w:lang w:val="en-GB"/>
        </w:rPr>
        <w:t xml:space="preserve"> </w:t>
      </w:r>
      <w:r w:rsidRPr="00A452F2">
        <w:rPr>
          <w:lang w:val="en-GB"/>
        </w:rPr>
        <w:t>actually measure how actively the page is used. They are measuring the disk space used, so it contains a lot of inactive pages</w:t>
      </w:r>
      <w:r>
        <w:rPr>
          <w:lang w:val="en-GB"/>
        </w:rPr>
        <w:t xml:space="preserve">. You can see it </w:t>
      </w:r>
      <w:r w:rsidRPr="00A452F2">
        <w:rPr>
          <w:lang w:val="en-GB"/>
        </w:rPr>
        <w:t xml:space="preserve">in the </w:t>
      </w:r>
      <w:r>
        <w:rPr>
          <w:lang w:val="en-GB"/>
        </w:rPr>
        <w:t xml:space="preserve">general </w:t>
      </w:r>
      <w:r w:rsidRPr="00A452F2">
        <w:rPr>
          <w:lang w:val="en-GB"/>
        </w:rPr>
        <w:t xml:space="preserve">pattern of Consume and Guest OS used </w:t>
      </w:r>
      <w:r>
        <w:rPr>
          <w:lang w:val="en-GB"/>
        </w:rPr>
        <w:t>metrics</w:t>
      </w:r>
      <w:r w:rsidRPr="00A452F2">
        <w:rPr>
          <w:lang w:val="en-GB"/>
        </w:rPr>
        <w:t xml:space="preserve">. </w:t>
      </w:r>
      <w:r>
        <w:rPr>
          <w:lang w:val="en-GB"/>
        </w:rPr>
        <w:t xml:space="preserve">The following is vRealize Operations appliance VM. </w:t>
      </w:r>
      <w:r w:rsidRPr="00A452F2">
        <w:rPr>
          <w:lang w:val="en-GB"/>
        </w:rPr>
        <w:t>Notice how stable the</w:t>
      </w:r>
      <w:r>
        <w:rPr>
          <w:lang w:val="en-GB"/>
        </w:rPr>
        <w:t xml:space="preserve"> metrics</w:t>
      </w:r>
      <w:r w:rsidRPr="00A452F2">
        <w:rPr>
          <w:lang w:val="en-GB"/>
        </w:rPr>
        <w:t xml:space="preserve"> are, even over </w:t>
      </w:r>
      <w:r>
        <w:rPr>
          <w:lang w:val="en-GB"/>
        </w:rPr>
        <w:t>millions</w:t>
      </w:r>
      <w:r w:rsidRPr="00A452F2">
        <w:rPr>
          <w:lang w:val="en-GB"/>
        </w:rPr>
        <w:t xml:space="preserve"> of seconds. </w:t>
      </w:r>
    </w:p>
    <w:p w14:paraId="3772E815" w14:textId="77777777" w:rsidR="001406B1" w:rsidRDefault="001406B1" w:rsidP="001406B1">
      <w:pPr>
        <w:rPr>
          <w:lang w:val="en-GB"/>
        </w:rPr>
      </w:pPr>
      <w:r>
        <w:rPr>
          <w:noProof/>
        </w:rPr>
        <w:drawing>
          <wp:inline distT="0" distB="0" distL="0" distR="0" wp14:anchorId="1234EAA8" wp14:editId="131AEA61">
            <wp:extent cx="6645910" cy="2073910"/>
            <wp:effectExtent l="0" t="0" r="2540" b="2540"/>
            <wp:docPr id="606394280" name="Picture 606394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80"/>
                    <pic:cNvPicPr/>
                  </pic:nvPicPr>
                  <pic:blipFill>
                    <a:blip r:embed="rId556" cstate="print">
                      <a:extLst>
                        <a:ext uri="{28A0092B-C50C-407E-A947-70E740481C1C}">
                          <a14:useLocalDpi xmlns:a14="http://schemas.microsoft.com/office/drawing/2010/main" val="0"/>
                        </a:ext>
                      </a:extLst>
                    </a:blip>
                    <a:stretch>
                      <a:fillRect/>
                    </a:stretch>
                  </pic:blipFill>
                  <pic:spPr>
                    <a:xfrm>
                      <a:off x="0" y="0"/>
                      <a:ext cx="6645910" cy="2073910"/>
                    </a:xfrm>
                    <a:prstGeom prst="rect">
                      <a:avLst/>
                    </a:prstGeom>
                  </pic:spPr>
                </pic:pic>
              </a:graphicData>
            </a:graphic>
          </wp:inline>
        </w:drawing>
      </w:r>
    </w:p>
    <w:p w14:paraId="4E3E5122" w14:textId="77777777" w:rsidR="001406B1" w:rsidRPr="00A452F2" w:rsidRDefault="001406B1" w:rsidP="001406B1">
      <w:pPr>
        <w:rPr>
          <w:lang w:val="en-GB"/>
        </w:rPr>
      </w:pPr>
      <w:r w:rsidRPr="00A452F2">
        <w:rPr>
          <w:lang w:val="en-GB"/>
        </w:rPr>
        <w:t xml:space="preserve">Both </w:t>
      </w:r>
      <w:r>
        <w:rPr>
          <w:lang w:val="en-GB"/>
        </w:rPr>
        <w:t xml:space="preserve">Active and Consumed </w:t>
      </w:r>
      <w:r w:rsidRPr="00A452F2">
        <w:rPr>
          <w:lang w:val="en-GB"/>
        </w:rPr>
        <w:t xml:space="preserve">are </w:t>
      </w:r>
      <w:r w:rsidRPr="00BE4443">
        <w:rPr>
          <w:i/>
          <w:iCs/>
          <w:color w:val="FF0000"/>
          <w:lang w:val="en-GB"/>
        </w:rPr>
        <w:t>not</w:t>
      </w:r>
      <w:r w:rsidRPr="00BE4443">
        <w:rPr>
          <w:color w:val="FF0000"/>
          <w:lang w:val="en-GB"/>
        </w:rPr>
        <w:t xml:space="preserve"> </w:t>
      </w:r>
      <w:r w:rsidRPr="00A452F2">
        <w:rPr>
          <w:lang w:val="en-GB"/>
        </w:rPr>
        <w:t xml:space="preserve">suitable for sizing the Guest OS. They are VM level </w:t>
      </w:r>
      <w:r>
        <w:rPr>
          <w:lang w:val="en-GB"/>
        </w:rPr>
        <w:t>metrics</w:t>
      </w:r>
      <w:r w:rsidRPr="00A452F2">
        <w:rPr>
          <w:lang w:val="en-GB"/>
        </w:rPr>
        <w:t>, with little correlation to the Guest OS memory usage.</w:t>
      </w:r>
      <w:r>
        <w:rPr>
          <w:lang w:val="en-GB"/>
        </w:rPr>
        <w:t xml:space="preserve"> Read </w:t>
      </w:r>
      <w:hyperlink w:anchor="_In_Use" w:history="1">
        <w:r w:rsidRPr="00A452F2">
          <w:rPr>
            <w:rStyle w:val="Hyperlink"/>
            <w:lang w:val="en-GB"/>
          </w:rPr>
          <w:t>Guest OS Used counter</w:t>
        </w:r>
      </w:hyperlink>
      <w:r>
        <w:rPr>
          <w:lang w:val="en-GB"/>
        </w:rPr>
        <w:t xml:space="preserve"> for the counter we should use.</w:t>
      </w:r>
    </w:p>
    <w:p w14:paraId="47BB6795" w14:textId="77777777" w:rsidR="001406B1" w:rsidRPr="00A452F2" w:rsidRDefault="001406B1" w:rsidP="001406B1">
      <w:pPr>
        <w:rPr>
          <w:lang w:val="en-GB"/>
        </w:rPr>
      </w:pPr>
      <w:r w:rsidRPr="00A452F2">
        <w:rPr>
          <w:lang w:val="en-GB"/>
        </w:rPr>
        <w:lastRenderedPageBreak/>
        <w:t xml:space="preserve">The reason is the use case. It is not about the IOPS. It is about the disk space used. Guest OS expects the non-active pages to be readily available. Using Active will result in a lot of paging. </w:t>
      </w:r>
    </w:p>
    <w:p w14:paraId="7B819DFC" w14:textId="77777777" w:rsidR="001406B1" w:rsidRPr="00A452F2" w:rsidRDefault="001406B1" w:rsidP="001406B1">
      <w:pPr>
        <w:rPr>
          <w:lang w:val="en-GB"/>
        </w:rPr>
      </w:pPr>
      <w:r w:rsidRPr="00A452F2">
        <w:rPr>
          <w:lang w:val="en-GB"/>
        </w:rPr>
        <w:t xml:space="preserve">Reference: </w:t>
      </w:r>
      <w:hyperlink r:id="rId557" w:history="1">
        <w:r w:rsidRPr="00A452F2">
          <w:rPr>
            <w:rStyle w:val="Hyperlink"/>
            <w:lang w:val="en-GB"/>
          </w:rPr>
          <w:t>Active Memory</w:t>
        </w:r>
      </w:hyperlink>
      <w:r w:rsidRPr="00A452F2">
        <w:rPr>
          <w:lang w:val="en-GB"/>
        </w:rPr>
        <w:t xml:space="preserve"> by </w:t>
      </w:r>
      <w:hyperlink r:id="rId558" w:history="1">
        <w:r w:rsidRPr="005D0B18">
          <w:rPr>
            <w:rStyle w:val="Hyperlink"/>
            <w:lang w:val="en-GB"/>
          </w:rPr>
          <w:t>Mark Achtemichuk</w:t>
        </w:r>
      </w:hyperlink>
      <w:r w:rsidRPr="00A452F2">
        <w:rPr>
          <w:lang w:val="en-GB"/>
        </w:rPr>
        <w:t>.</w:t>
      </w:r>
    </w:p>
    <w:p w14:paraId="3AB06B19" w14:textId="77777777" w:rsidR="00DC7648" w:rsidRDefault="00DC7648" w:rsidP="00DC7648">
      <w:pPr>
        <w:pStyle w:val="Heading5"/>
      </w:pPr>
      <w:r>
        <w:t>Usage (%)</w:t>
      </w:r>
    </w:p>
    <w:p w14:paraId="1D0971B4" w14:textId="40A5E7B7" w:rsidR="00DC7648" w:rsidRDefault="00DC7648" w:rsidP="00DC7648">
      <w:pPr>
        <w:rPr>
          <w:lang w:val="en-GB"/>
        </w:rPr>
      </w:pPr>
      <w:r>
        <w:rPr>
          <w:lang w:val="en-GB"/>
        </w:rPr>
        <w:t xml:space="preserve">Usage </w:t>
      </w:r>
      <w:r w:rsidR="003403B6">
        <w:rPr>
          <w:lang w:val="en-GB"/>
        </w:rPr>
        <w:t xml:space="preserve">metric </w:t>
      </w:r>
      <w:r>
        <w:rPr>
          <w:lang w:val="en-GB"/>
        </w:rPr>
        <w:t xml:space="preserve">in vCenter differs to Usage </w:t>
      </w:r>
      <w:r w:rsidR="003403B6">
        <w:rPr>
          <w:lang w:val="en-GB"/>
        </w:rPr>
        <w:t xml:space="preserve">metric </w:t>
      </w:r>
      <w:r>
        <w:rPr>
          <w:lang w:val="en-GB"/>
        </w:rPr>
        <w:t xml:space="preserve">in vRealize Operations. </w:t>
      </w:r>
    </w:p>
    <w:p w14:paraId="0E5BD525" w14:textId="07CD3414" w:rsidR="00DC7648" w:rsidRPr="00682AA2" w:rsidRDefault="00DC7648" w:rsidP="00DC7648">
      <w:pPr>
        <w:rPr>
          <w:lang w:val="en-GB"/>
        </w:rPr>
      </w:pPr>
      <w:r>
        <w:rPr>
          <w:lang w:val="en-GB"/>
        </w:rPr>
        <w:t xml:space="preserve">What you see on the vCenter UI is Active, not Consumed. </w:t>
      </w:r>
    </w:p>
    <w:p w14:paraId="740C9C3E" w14:textId="77777777" w:rsidR="00DC7648" w:rsidRDefault="00DC7648" w:rsidP="00DC7648">
      <w:pPr>
        <w:rPr>
          <w:lang w:val="en-GB"/>
        </w:rPr>
      </w:pPr>
      <w:r w:rsidRPr="00682AA2">
        <w:rPr>
          <w:noProof/>
          <w:lang w:val="en-GB"/>
        </w:rPr>
        <w:drawing>
          <wp:inline distT="0" distB="0" distL="0" distR="0" wp14:anchorId="17579B5E" wp14:editId="16F0175A">
            <wp:extent cx="6645910" cy="3380105"/>
            <wp:effectExtent l="0" t="0" r="2540" b="0"/>
            <wp:docPr id="357815367" name="Picture 35781536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67" name="Picture 357815367" descr="Graphical user interface, text, application, email&#10;&#10;Description automatically generated"/>
                    <pic:cNvPicPr/>
                  </pic:nvPicPr>
                  <pic:blipFill>
                    <a:blip r:embed="rId559"/>
                    <a:stretch>
                      <a:fillRect/>
                    </a:stretch>
                  </pic:blipFill>
                  <pic:spPr>
                    <a:xfrm>
                      <a:off x="0" y="0"/>
                      <a:ext cx="6645910" cy="3380105"/>
                    </a:xfrm>
                    <a:prstGeom prst="rect">
                      <a:avLst/>
                    </a:prstGeom>
                  </pic:spPr>
                </pic:pic>
              </a:graphicData>
            </a:graphic>
          </wp:inline>
        </w:drawing>
      </w:r>
    </w:p>
    <w:p w14:paraId="22D2F262" w14:textId="2773E33B" w:rsidR="00DC7648" w:rsidRDefault="00DC7648" w:rsidP="00DC7648">
      <w:pPr>
        <w:rPr>
          <w:lang w:val="en-GB"/>
        </w:rPr>
      </w:pPr>
      <w:r>
        <w:rPr>
          <w:lang w:val="en-GB"/>
        </w:rPr>
        <w:t xml:space="preserve">Mapping to Active makes more sense as Consumed contains inactive pages. As covered earlier, neither Active nor Consumed actually measures the Guest OS memory. This is why vRealize Operations maps Usage to Guest OS. The following shows what Usage (%) = Guest OS Needed </w:t>
      </w:r>
      <w:r w:rsidR="003403B6">
        <w:rPr>
          <w:lang w:val="en-GB"/>
        </w:rPr>
        <w:t>M</w:t>
      </w:r>
      <w:r>
        <w:rPr>
          <w:lang w:val="en-GB"/>
        </w:rPr>
        <w:t>emory over configured memory. The VM has 1 GB of memory, so 757 MB / 1024 = 74%.</w:t>
      </w:r>
    </w:p>
    <w:p w14:paraId="11A956D2" w14:textId="77777777" w:rsidR="00DC7648" w:rsidRDefault="00DC7648" w:rsidP="00DC7648">
      <w:pPr>
        <w:rPr>
          <w:lang w:val="en-GB"/>
        </w:rPr>
      </w:pPr>
      <w:r>
        <w:rPr>
          <w:lang w:val="en-GB"/>
        </w:rPr>
        <w:t>Take note that there can be situation where Guest OS metrics do not make it to vRealize Operations. In that case, Usage (%) falls back to Active (notice the value dropped to 6.99%) whereas Workload (%) falls back to Consumed (notice the value jump to 98.95%).</w:t>
      </w:r>
    </w:p>
    <w:p w14:paraId="28747920" w14:textId="77777777" w:rsidR="00DC7648" w:rsidRDefault="00DC7648" w:rsidP="00DC7648">
      <w:pPr>
        <w:rPr>
          <w:lang w:val="en-GB"/>
        </w:rPr>
      </w:pPr>
      <w:r w:rsidRPr="006F4F2B">
        <w:rPr>
          <w:noProof/>
          <w:lang w:val="en-GB"/>
        </w:rPr>
        <w:lastRenderedPageBreak/>
        <w:drawing>
          <wp:inline distT="0" distB="0" distL="0" distR="0" wp14:anchorId="13BCA600" wp14:editId="4738FA5C">
            <wp:extent cx="6645910" cy="4027170"/>
            <wp:effectExtent l="0" t="0" r="2540" b="0"/>
            <wp:docPr id="357815365" name="Picture 35781536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65" name="Picture 357815365" descr="A picture containing graphical user interface&#10;&#10;Description automatically generated"/>
                    <pic:cNvPicPr/>
                  </pic:nvPicPr>
                  <pic:blipFill>
                    <a:blip r:embed="rId560"/>
                    <a:stretch>
                      <a:fillRect/>
                    </a:stretch>
                  </pic:blipFill>
                  <pic:spPr>
                    <a:xfrm>
                      <a:off x="0" y="0"/>
                      <a:ext cx="6645910" cy="4027170"/>
                    </a:xfrm>
                    <a:prstGeom prst="rect">
                      <a:avLst/>
                    </a:prstGeom>
                  </pic:spPr>
                </pic:pic>
              </a:graphicData>
            </a:graphic>
          </wp:inline>
        </w:drawing>
      </w:r>
    </w:p>
    <w:p w14:paraId="40337C50" w14:textId="77777777" w:rsidR="00367AB2" w:rsidRDefault="00367AB2" w:rsidP="00367AB2">
      <w:pPr>
        <w:pStyle w:val="Heading5"/>
      </w:pPr>
      <w:r w:rsidRPr="002D404B">
        <w:t>Utilization</w:t>
      </w:r>
    </w:p>
    <w:p w14:paraId="1234D8F0" w14:textId="77777777" w:rsidR="00367AB2" w:rsidRDefault="00367AB2" w:rsidP="00367AB2">
      <w:pPr>
        <w:rPr>
          <w:lang w:val="en-GB"/>
        </w:rPr>
      </w:pPr>
      <w:r w:rsidRPr="002D404B">
        <w:t>Utilization</w:t>
      </w:r>
      <w:r w:rsidRPr="4CAB3972">
        <w:rPr>
          <w:lang w:val="en-GB"/>
        </w:rPr>
        <w:t xml:space="preserve"> </w:t>
      </w:r>
      <w:r>
        <w:rPr>
          <w:lang w:val="en-GB"/>
        </w:rPr>
        <w:t xml:space="preserve">(KB) = </w:t>
      </w:r>
      <w:r w:rsidRPr="4CAB3972">
        <w:rPr>
          <w:lang w:val="en-GB"/>
        </w:rPr>
        <w:t>Guest Needed Memory (KB) + (</w:t>
      </w:r>
      <w:r>
        <w:rPr>
          <w:lang w:val="en-GB"/>
        </w:rPr>
        <w:t xml:space="preserve"> </w:t>
      </w:r>
      <w:r w:rsidRPr="4CAB3972">
        <w:rPr>
          <w:lang w:val="en-GB"/>
        </w:rPr>
        <w:t xml:space="preserve">Guest Page In Rate per second * Guest Page Size (KB) ) + Memory Total Capacity (KB) – Guest Physically Usable Memory (KB). </w:t>
      </w:r>
    </w:p>
    <w:p w14:paraId="10733ACB" w14:textId="77777777" w:rsidR="00367AB2" w:rsidRDefault="00367AB2" w:rsidP="00367AB2">
      <w:pPr>
        <w:rPr>
          <w:lang w:val="en-GB"/>
        </w:rPr>
      </w:pPr>
      <w:r>
        <w:rPr>
          <w:lang w:val="en-GB"/>
        </w:rPr>
        <w:t xml:space="preserve">Because of the formula, the value can exceed 100%. The following is an example: </w:t>
      </w:r>
    </w:p>
    <w:p w14:paraId="2FA33BCA" w14:textId="77777777" w:rsidR="00367AB2" w:rsidRDefault="00367AB2" w:rsidP="00367AB2">
      <w:pPr>
        <w:rPr>
          <w:lang w:val="en-GB"/>
        </w:rPr>
      </w:pPr>
      <w:r w:rsidRPr="00E540F0">
        <w:rPr>
          <w:noProof/>
          <w:lang w:val="en-GB"/>
        </w:rPr>
        <w:drawing>
          <wp:inline distT="0" distB="0" distL="0" distR="0" wp14:anchorId="7276CCA7" wp14:editId="529624BE">
            <wp:extent cx="6645910" cy="1716405"/>
            <wp:effectExtent l="0" t="0" r="2540" b="0"/>
            <wp:docPr id="1293284825" name="Picture 129328482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25" name="Picture 1293284825" descr="Chart&#10;&#10;Description automatically generated"/>
                    <pic:cNvPicPr/>
                  </pic:nvPicPr>
                  <pic:blipFill>
                    <a:blip r:embed="rId561"/>
                    <a:stretch>
                      <a:fillRect/>
                    </a:stretch>
                  </pic:blipFill>
                  <pic:spPr>
                    <a:xfrm>
                      <a:off x="0" y="0"/>
                      <a:ext cx="6645910" cy="1716405"/>
                    </a:xfrm>
                    <a:prstGeom prst="rect">
                      <a:avLst/>
                    </a:prstGeom>
                  </pic:spPr>
                </pic:pic>
              </a:graphicData>
            </a:graphic>
          </wp:inline>
        </w:drawing>
      </w:r>
    </w:p>
    <w:p w14:paraId="24397725" w14:textId="77777777" w:rsidR="00367AB2" w:rsidRDefault="00367AB2" w:rsidP="00367AB2">
      <w:pPr>
        <w:rPr>
          <w:lang w:val="en-GB"/>
        </w:rPr>
      </w:pPr>
      <w:r>
        <w:rPr>
          <w:lang w:val="en-GB"/>
        </w:rPr>
        <w:t>It’s possible that vRealize Operations shows high value when Windows or Linux does not. Here are some reasons:</w:t>
      </w:r>
    </w:p>
    <w:p w14:paraId="4B9C9A36" w14:textId="77777777" w:rsidR="00367AB2" w:rsidRPr="00CC1430" w:rsidRDefault="00367AB2" w:rsidP="00367AB2">
      <w:pPr>
        <w:pStyle w:val="Bullet"/>
        <w:rPr>
          <w:lang w:val="en-GB"/>
        </w:rPr>
      </w:pPr>
      <w:r>
        <w:rPr>
          <w:lang w:val="en-GB"/>
        </w:rPr>
        <w:t>G</w:t>
      </w:r>
      <w:r w:rsidRPr="002D404B">
        <w:rPr>
          <w:lang w:val="en-GB"/>
        </w:rPr>
        <w:t>uest metrics from VMware Tools are not collecting</w:t>
      </w:r>
      <w:r>
        <w:rPr>
          <w:lang w:val="en-GB"/>
        </w:rPr>
        <w:t xml:space="preserve">. The value falls back to </w:t>
      </w:r>
      <w:r w:rsidRPr="002D404B">
        <w:rPr>
          <w:lang w:val="en-GB"/>
        </w:rPr>
        <w:t>Consumed (KB).</w:t>
      </w:r>
      <w:r>
        <w:rPr>
          <w:lang w:val="en-GB"/>
        </w:rPr>
        <w:t xml:space="preserve"> Ensure your collection is reliable, else the values you get over time contains mixed source. If their values aren’t similar, the counter values will be fluctuating wildly.</w:t>
      </w:r>
    </w:p>
    <w:p w14:paraId="51D4E64D" w14:textId="77777777" w:rsidR="00367AB2" w:rsidRDefault="00367AB2" w:rsidP="00367AB2">
      <w:pPr>
        <w:pStyle w:val="Bullet"/>
        <w:rPr>
          <w:lang w:val="en-GB"/>
        </w:rPr>
      </w:pPr>
      <w:r w:rsidRPr="4CAB3972">
        <w:rPr>
          <w:lang w:val="en-GB"/>
        </w:rPr>
        <w:lastRenderedPageBreak/>
        <w:t>Guest Physically Usable Memory (KB)</w:t>
      </w:r>
      <w:r>
        <w:rPr>
          <w:lang w:val="en-GB"/>
        </w:rPr>
        <w:t xml:space="preserve"> is less than your configured memory. I’ve seen in one case where it’s showing 58 GB whereas the VM is configured with 80 GB. My first guess is the type of OS licensing. However, according to </w:t>
      </w:r>
      <w:hyperlink r:id="rId562" w:history="1">
        <w:r w:rsidRPr="006F2ECA">
          <w:rPr>
            <w:rStyle w:val="Hyperlink"/>
            <w:lang w:val="en-GB"/>
          </w:rPr>
          <w:t>this</w:t>
        </w:r>
      </w:hyperlink>
      <w:r>
        <w:rPr>
          <w:lang w:val="en-GB"/>
        </w:rPr>
        <w:t>, it should be 64 GB not 58 GB.</w:t>
      </w:r>
    </w:p>
    <w:p w14:paraId="6F940C42" w14:textId="77777777" w:rsidR="00367AB2" w:rsidRDefault="00367AB2" w:rsidP="00367AB2">
      <w:pPr>
        <w:pStyle w:val="Bullet"/>
      </w:pPr>
      <w:r>
        <w:t xml:space="preserve">Low utilization. We add 5% of Total, not Used. A 128 GB VM will show 6.4 GB extra usage. </w:t>
      </w:r>
    </w:p>
    <w:p w14:paraId="1DA73C96" w14:textId="77777777" w:rsidR="00367AB2" w:rsidRDefault="00367AB2" w:rsidP="00367AB2">
      <w:pPr>
        <w:pStyle w:val="Bullet"/>
      </w:pPr>
      <w:r>
        <w:t>Excessive paging. We consider this. The tricky part is excessive is relative.</w:t>
      </w:r>
    </w:p>
    <w:p w14:paraId="33CBFCAB" w14:textId="77777777" w:rsidR="00367AB2" w:rsidRDefault="00367AB2" w:rsidP="00367AB2">
      <w:pPr>
        <w:pStyle w:val="Bullet"/>
      </w:pPr>
      <w:r>
        <w:t>We include Available in Linux and cache in Windows, as we want to be conservative.</w:t>
      </w:r>
    </w:p>
    <w:p w14:paraId="6048204B" w14:textId="77777777" w:rsidR="00240CD4" w:rsidRDefault="00367AB2" w:rsidP="00367AB2">
      <w:r>
        <w:t xml:space="preserve">[e1: </w:t>
      </w:r>
    </w:p>
    <w:p w14:paraId="33A8EC1C" w14:textId="5793E86A" w:rsidR="00367AB2" w:rsidRDefault="00367AB2" w:rsidP="00367AB2">
      <w:r>
        <w:t xml:space="preserve">I think the metric used in the object capacity page is </w:t>
      </w:r>
      <w:r w:rsidRPr="004E349C">
        <w:rPr>
          <w:color w:val="00B0F0"/>
        </w:rPr>
        <w:t>Memory \ Host Demand</w:t>
      </w:r>
      <w:r>
        <w:t xml:space="preserve"> metric. This metric matches Utilization]</w:t>
      </w:r>
    </w:p>
    <w:p w14:paraId="7942F03F" w14:textId="77777777" w:rsidR="00367AB2" w:rsidRPr="00A452F2" w:rsidRDefault="00367AB2" w:rsidP="00367AB2">
      <w:pPr>
        <w:pStyle w:val="Heading5"/>
      </w:pPr>
      <w:r w:rsidRPr="00A452F2">
        <w:t>Demand</w:t>
      </w:r>
    </w:p>
    <w:p w14:paraId="1807A536" w14:textId="77777777" w:rsidR="00367AB2" w:rsidRPr="00A452F2" w:rsidRDefault="00367AB2" w:rsidP="00367AB2">
      <w:pPr>
        <w:rPr>
          <w:lang w:val="en-GB"/>
        </w:rPr>
      </w:pPr>
      <w:r w:rsidRPr="00A452F2">
        <w:rPr>
          <w:lang w:val="en-GB"/>
        </w:rPr>
        <w:t>Can you spot a major counter that exists for CPU, but not for RAM?</w:t>
      </w:r>
    </w:p>
    <w:p w14:paraId="7859DA10" w14:textId="77777777" w:rsidR="00367AB2" w:rsidRPr="00A452F2" w:rsidRDefault="00367AB2" w:rsidP="00367AB2">
      <w:pPr>
        <w:rPr>
          <w:lang w:val="en-GB"/>
        </w:rPr>
      </w:pPr>
      <w:r w:rsidRPr="00A452F2">
        <w:rPr>
          <w:lang w:val="en-GB"/>
        </w:rPr>
        <w:t>That’s right. It’s Demand.</w:t>
      </w:r>
      <w:r>
        <w:rPr>
          <w:lang w:val="en-GB"/>
        </w:rPr>
        <w:t xml:space="preserve"> There is no memory demand counter in vCenter UI.</w:t>
      </w:r>
    </w:p>
    <w:p w14:paraId="2A0F82A9" w14:textId="77777777" w:rsidR="00367AB2" w:rsidRDefault="00367AB2" w:rsidP="00367AB2">
      <w:pPr>
        <w:rPr>
          <w:lang w:val="en-GB"/>
        </w:rPr>
      </w:pPr>
      <w:r>
        <w:rPr>
          <w:lang w:val="en-GB"/>
        </w:rPr>
        <w:t>To figure out demand, we need to figure out unmet demand, as demand is simply unmet demand + used (which is met demand). Since the context here is VM, and not Guest OS, then unmet demand includes only VM level metrics. The metrics are ballooned + swapped + compressed.</w:t>
      </w:r>
    </w:p>
    <w:p w14:paraId="30146822" w14:textId="77777777" w:rsidR="00367AB2" w:rsidRDefault="00367AB2" w:rsidP="00367AB2">
      <w:pPr>
        <w:rPr>
          <w:lang w:val="en-GB"/>
        </w:rPr>
      </w:pPr>
      <w:r>
        <w:rPr>
          <w:lang w:val="en-GB"/>
        </w:rPr>
        <w:t>Do you agree with the above?</w:t>
      </w:r>
    </w:p>
    <w:p w14:paraId="19EBB8EB" w14:textId="77777777" w:rsidR="00367AB2" w:rsidRPr="00974176" w:rsidRDefault="00367AB2" w:rsidP="00367AB2">
      <w:pPr>
        <w:rPr>
          <w:lang w:val="en-GB"/>
        </w:rPr>
      </w:pPr>
      <w:r>
        <w:rPr>
          <w:lang w:val="en-GB"/>
        </w:rPr>
        <w:t>If we are being strict with the unmet demand definition, then o</w:t>
      </w:r>
      <w:r w:rsidRPr="00A452F2">
        <w:rPr>
          <w:lang w:val="en-GB"/>
        </w:rPr>
        <w:t>nly</w:t>
      </w:r>
      <w:r>
        <w:rPr>
          <w:lang w:val="en-GB"/>
        </w:rPr>
        <w:t xml:space="preserve"> the</w:t>
      </w:r>
      <w:r w:rsidRPr="00A452F2">
        <w:rPr>
          <w:lang w:val="en-GB"/>
        </w:rPr>
        <w:t xml:space="preserve"> memory attributed to contention should be considered unmet demand</w:t>
      </w:r>
      <w:r>
        <w:rPr>
          <w:lang w:val="en-GB"/>
        </w:rPr>
        <w:t>. That means</w:t>
      </w:r>
      <w:r w:rsidRPr="00A452F2">
        <w:rPr>
          <w:lang w:val="en-GB"/>
        </w:rPr>
        <w:t xml:space="preserve"> balloon, swap, or compressed memory </w:t>
      </w:r>
      <w:r>
        <w:rPr>
          <w:lang w:val="en-GB"/>
        </w:rPr>
        <w:t xml:space="preserve">can’t be considered </w:t>
      </w:r>
      <w:r w:rsidRPr="00A452F2">
        <w:rPr>
          <w:lang w:val="en-GB"/>
        </w:rPr>
        <w:t>unmet demand</w:t>
      </w:r>
      <w:r>
        <w:rPr>
          <w:lang w:val="en-GB"/>
        </w:rPr>
        <w:t xml:space="preserve">. </w:t>
      </w:r>
      <w:r w:rsidRPr="00A452F2">
        <w:rPr>
          <w:lang w:val="en-GB"/>
        </w:rPr>
        <w:t>Swap in and decompression are the contention portion of memory. The problem then becomes the inability to differentiate contention due to limits using host level metrics, which means we’d need to look at VM level metric to exclude that expected contention.</w:t>
      </w:r>
      <w:r>
        <w:rPr>
          <w:lang w:val="en-GB"/>
        </w:rPr>
        <w:t xml:space="preserve"> </w:t>
      </w:r>
    </w:p>
    <w:p w14:paraId="60F029A9" w14:textId="31C15DAE" w:rsidR="00580DA1" w:rsidRDefault="00580DA1" w:rsidP="00580DA1">
      <w:pPr>
        <w:pStyle w:val="Heading5"/>
      </w:pPr>
      <w:r>
        <w:t>Examples</w:t>
      </w:r>
    </w:p>
    <w:p w14:paraId="2014B70D" w14:textId="77777777" w:rsidR="00580DA1" w:rsidRDefault="00580DA1" w:rsidP="00580DA1">
      <w:pPr>
        <w:rPr>
          <w:lang w:val="en-GB"/>
        </w:rPr>
      </w:pPr>
      <w:r>
        <w:rPr>
          <w:lang w:val="en-GB"/>
        </w:rPr>
        <w:t xml:space="preserve">Let’s apply the knowledge. </w:t>
      </w:r>
    </w:p>
    <w:p w14:paraId="0C5CF422" w14:textId="547C1FE7" w:rsidR="00580DA1" w:rsidRDefault="00580DA1" w:rsidP="00580DA1">
      <w:pPr>
        <w:pStyle w:val="Heading6"/>
      </w:pPr>
      <w:r>
        <w:t>Balloon vs Consumed</w:t>
      </w:r>
    </w:p>
    <w:p w14:paraId="787B1634" w14:textId="3987087A" w:rsidR="00580DA1" w:rsidRDefault="00580DA1" w:rsidP="00580DA1">
      <w:pPr>
        <w:rPr>
          <w:lang w:val="en-GB"/>
        </w:rPr>
      </w:pPr>
      <w:r>
        <w:rPr>
          <w:lang w:val="en-GB"/>
        </w:rPr>
        <w:t xml:space="preserve">This 64-bit CentOS VM runs My SQL and is configured with 8 GB of RAM. </w:t>
      </w:r>
    </w:p>
    <w:p w14:paraId="250FB29E" w14:textId="77777777" w:rsidR="00580DA1" w:rsidRDefault="00580DA1" w:rsidP="00580DA1">
      <w:pPr>
        <w:rPr>
          <w:lang w:val="en-GB"/>
        </w:rPr>
      </w:pPr>
      <w:r>
        <w:rPr>
          <w:lang w:val="en-GB"/>
        </w:rPr>
        <w:t xml:space="preserve">Linux was heavily ballooned out (default limit is around 63%). Why is that so? </w:t>
      </w:r>
    </w:p>
    <w:p w14:paraId="66441643" w14:textId="77777777" w:rsidR="00580DA1" w:rsidRDefault="00580DA1" w:rsidP="00580DA1">
      <w:pPr>
        <w:rPr>
          <w:lang w:val="en-GB"/>
        </w:rPr>
      </w:pPr>
      <w:r>
        <w:rPr>
          <w:noProof/>
        </w:rPr>
        <w:drawing>
          <wp:inline distT="0" distB="0" distL="0" distR="0" wp14:anchorId="292F85A6" wp14:editId="1F26FE2F">
            <wp:extent cx="6645910" cy="908050"/>
            <wp:effectExtent l="0" t="0" r="2540" b="6350"/>
            <wp:docPr id="606394299" name="Picture 606394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99"/>
                    <pic:cNvPicPr/>
                  </pic:nvPicPr>
                  <pic:blipFill>
                    <a:blip r:embed="rId563" cstate="print">
                      <a:extLst>
                        <a:ext uri="{28A0092B-C50C-407E-A947-70E740481C1C}">
                          <a14:useLocalDpi xmlns:a14="http://schemas.microsoft.com/office/drawing/2010/main" val="0"/>
                        </a:ext>
                      </a:extLst>
                    </a:blip>
                    <a:stretch>
                      <a:fillRect/>
                    </a:stretch>
                  </pic:blipFill>
                  <pic:spPr>
                    <a:xfrm>
                      <a:off x="0" y="0"/>
                      <a:ext cx="6645910" cy="908050"/>
                    </a:xfrm>
                    <a:prstGeom prst="rect">
                      <a:avLst/>
                    </a:prstGeom>
                  </pic:spPr>
                </pic:pic>
              </a:graphicData>
            </a:graphic>
          </wp:inline>
        </w:drawing>
      </w:r>
    </w:p>
    <w:p w14:paraId="5D16F163" w14:textId="77777777" w:rsidR="00580DA1" w:rsidRDefault="00580DA1" w:rsidP="00580DA1">
      <w:pPr>
        <w:rPr>
          <w:lang w:val="en-GB"/>
        </w:rPr>
      </w:pPr>
      <w:r>
        <w:rPr>
          <w:lang w:val="en-GB"/>
        </w:rPr>
        <w:t>In this VM case, we set a limit to 2 GB. As a result, Consumed did not exceed 2 GB.</w:t>
      </w:r>
    </w:p>
    <w:p w14:paraId="54375621" w14:textId="77777777" w:rsidR="00580DA1" w:rsidRDefault="00580DA1" w:rsidP="00580DA1">
      <w:pPr>
        <w:rPr>
          <w:lang w:val="en-GB"/>
        </w:rPr>
      </w:pPr>
      <w:r>
        <w:rPr>
          <w:noProof/>
        </w:rPr>
        <w:lastRenderedPageBreak/>
        <w:drawing>
          <wp:inline distT="0" distB="0" distL="0" distR="0" wp14:anchorId="35F2127D" wp14:editId="22BC0ED8">
            <wp:extent cx="6645910" cy="1014095"/>
            <wp:effectExtent l="0" t="0" r="2540" b="0"/>
            <wp:docPr id="606394294" name="Picture 606394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94"/>
                    <pic:cNvPicPr/>
                  </pic:nvPicPr>
                  <pic:blipFill>
                    <a:blip r:embed="rId564">
                      <a:extLst>
                        <a:ext uri="{28A0092B-C50C-407E-A947-70E740481C1C}">
                          <a14:useLocalDpi xmlns:a14="http://schemas.microsoft.com/office/drawing/2010/main" val="0"/>
                        </a:ext>
                      </a:extLst>
                    </a:blip>
                    <a:stretch>
                      <a:fillRect/>
                    </a:stretch>
                  </pic:blipFill>
                  <pic:spPr>
                    <a:xfrm>
                      <a:off x="0" y="0"/>
                      <a:ext cx="6645910" cy="1014095"/>
                    </a:xfrm>
                    <a:prstGeom prst="rect">
                      <a:avLst/>
                    </a:prstGeom>
                  </pic:spPr>
                </pic:pic>
              </a:graphicData>
            </a:graphic>
          </wp:inline>
        </w:drawing>
      </w:r>
    </w:p>
    <w:p w14:paraId="69F010CB" w14:textId="77777777" w:rsidR="00580DA1" w:rsidRDefault="00580DA1" w:rsidP="00580DA1">
      <w:pPr>
        <w:rPr>
          <w:lang w:val="en-GB"/>
        </w:rPr>
      </w:pPr>
      <w:r>
        <w:rPr>
          <w:lang w:val="en-GB"/>
        </w:rPr>
        <w:t>Did you notice the common deep in Balloon and Consumed?</w:t>
      </w:r>
    </w:p>
    <w:p w14:paraId="39C12FA9" w14:textId="77777777" w:rsidR="00580DA1" w:rsidRDefault="00580DA1" w:rsidP="00580DA1">
      <w:pPr>
        <w:rPr>
          <w:lang w:val="en-GB"/>
        </w:rPr>
      </w:pPr>
      <w:r>
        <w:rPr>
          <w:lang w:val="en-GB"/>
        </w:rPr>
        <w:t>Can you explain them?</w:t>
      </w:r>
    </w:p>
    <w:p w14:paraId="434E4029" w14:textId="670150C0" w:rsidR="00580DA1" w:rsidRDefault="00580DA1" w:rsidP="00580DA1">
      <w:pPr>
        <w:rPr>
          <w:lang w:val="en-GB"/>
        </w:rPr>
      </w:pPr>
      <w:r>
        <w:rPr>
          <w:lang w:val="en-GB"/>
        </w:rPr>
        <w:t xml:space="preserve">Balloon dropped by 0.46 GB then went back to its limit again. This indicated Guest OS </w:t>
      </w:r>
      <w:r w:rsidR="003403B6">
        <w:rPr>
          <w:lang w:val="en-GB"/>
        </w:rPr>
        <w:t>was</w:t>
      </w:r>
      <w:r>
        <w:rPr>
          <w:lang w:val="en-GB"/>
        </w:rPr>
        <w:t xml:space="preserve"> active.</w:t>
      </w:r>
    </w:p>
    <w:p w14:paraId="2C002F99" w14:textId="77777777" w:rsidR="00580DA1" w:rsidRDefault="00580DA1" w:rsidP="00580DA1">
      <w:pPr>
        <w:rPr>
          <w:lang w:val="en-GB"/>
        </w:rPr>
      </w:pPr>
      <w:r>
        <w:rPr>
          <w:lang w:val="en-GB"/>
        </w:rPr>
        <w:t>Consumed went down from 2.09 GB to 1.6 GB, and then slowly going back up. Why did it suddenly consume 0.4 GB less in the span of 20 minutes? Both the configured limit and the runtime limit did not change. They were constant at 2 GB. This makes sense, else the Consumed would not be able to slowly go up again.</w:t>
      </w:r>
    </w:p>
    <w:p w14:paraId="1E2EDE18" w14:textId="77777777" w:rsidR="00580DA1" w:rsidRDefault="00580DA1" w:rsidP="00580DA1">
      <w:pPr>
        <w:rPr>
          <w:lang w:val="en-GB"/>
        </w:rPr>
      </w:pPr>
      <w:r>
        <w:rPr>
          <w:noProof/>
        </w:rPr>
        <w:drawing>
          <wp:inline distT="0" distB="0" distL="0" distR="0" wp14:anchorId="2392283F" wp14:editId="391EC012">
            <wp:extent cx="6645910" cy="872490"/>
            <wp:effectExtent l="0" t="0" r="2540" b="3810"/>
            <wp:docPr id="606394297" name="Picture 606394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97"/>
                    <pic:cNvPicPr/>
                  </pic:nvPicPr>
                  <pic:blipFill>
                    <a:blip r:embed="rId565">
                      <a:extLst>
                        <a:ext uri="{28A0092B-C50C-407E-A947-70E740481C1C}">
                          <a14:useLocalDpi xmlns:a14="http://schemas.microsoft.com/office/drawing/2010/main" val="0"/>
                        </a:ext>
                      </a:extLst>
                    </a:blip>
                    <a:stretch>
                      <a:fillRect/>
                    </a:stretch>
                  </pic:blipFill>
                  <pic:spPr>
                    <a:xfrm>
                      <a:off x="0" y="0"/>
                      <a:ext cx="6645910" cy="872490"/>
                    </a:xfrm>
                    <a:prstGeom prst="rect">
                      <a:avLst/>
                    </a:prstGeom>
                  </pic:spPr>
                </pic:pic>
              </a:graphicData>
            </a:graphic>
          </wp:inline>
        </w:drawing>
      </w:r>
    </w:p>
    <w:p w14:paraId="070B0C93" w14:textId="77777777" w:rsidR="00580DA1" w:rsidRDefault="00580DA1" w:rsidP="00580DA1">
      <w:pPr>
        <w:rPr>
          <w:lang w:val="en-GB"/>
        </w:rPr>
      </w:pPr>
      <w:r>
        <w:rPr>
          <w:lang w:val="en-GB"/>
        </w:rPr>
        <w:t>There must be activity by the VM and pages were compressed to make room for the newly requested pages. The Non Zero Active counter shows that there are activities.</w:t>
      </w:r>
    </w:p>
    <w:p w14:paraId="4DEE0C50" w14:textId="77777777" w:rsidR="00580DA1" w:rsidRDefault="00580DA1" w:rsidP="00580DA1">
      <w:pPr>
        <w:rPr>
          <w:lang w:val="en-GB"/>
        </w:rPr>
      </w:pPr>
      <w:r>
        <w:rPr>
          <w:noProof/>
        </w:rPr>
        <w:drawing>
          <wp:inline distT="0" distB="0" distL="0" distR="0" wp14:anchorId="6BBB3B71" wp14:editId="08E45424">
            <wp:extent cx="6645910" cy="890905"/>
            <wp:effectExtent l="0" t="0" r="2540" b="4445"/>
            <wp:docPr id="606394295" name="Picture 606394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95"/>
                    <pic:cNvPicPr/>
                  </pic:nvPicPr>
                  <pic:blipFill>
                    <a:blip r:embed="rId566">
                      <a:extLst>
                        <a:ext uri="{28A0092B-C50C-407E-A947-70E740481C1C}">
                          <a14:useLocalDpi xmlns:a14="http://schemas.microsoft.com/office/drawing/2010/main" val="0"/>
                        </a:ext>
                      </a:extLst>
                    </a:blip>
                    <a:stretch>
                      <a:fillRect/>
                    </a:stretch>
                  </pic:blipFill>
                  <pic:spPr>
                    <a:xfrm>
                      <a:off x="0" y="0"/>
                      <a:ext cx="6645910" cy="890905"/>
                    </a:xfrm>
                    <a:prstGeom prst="rect">
                      <a:avLst/>
                    </a:prstGeom>
                  </pic:spPr>
                </pic:pic>
              </a:graphicData>
            </a:graphic>
          </wp:inline>
        </w:drawing>
      </w:r>
    </w:p>
    <w:p w14:paraId="405B39A5" w14:textId="77777777" w:rsidR="00580DA1" w:rsidRDefault="00580DA1" w:rsidP="00580DA1">
      <w:pPr>
        <w:rPr>
          <w:lang w:val="en-GB"/>
        </w:rPr>
      </w:pPr>
      <w:r>
        <w:rPr>
          <w:lang w:val="en-GB"/>
        </w:rPr>
        <w:t>The pages that are not used must be compressed or swapped. The Swapped value is negligible, but the Compressed metric shows the matching spike.</w:t>
      </w:r>
    </w:p>
    <w:p w14:paraId="06BF4DF4" w14:textId="77777777" w:rsidR="00580DA1" w:rsidRDefault="00580DA1" w:rsidP="00580DA1">
      <w:pPr>
        <w:rPr>
          <w:lang w:val="en-GB"/>
        </w:rPr>
      </w:pPr>
      <w:r>
        <w:rPr>
          <w:noProof/>
        </w:rPr>
        <w:drawing>
          <wp:inline distT="0" distB="0" distL="0" distR="0" wp14:anchorId="3A7CA6BF" wp14:editId="5B15B3AB">
            <wp:extent cx="6645910" cy="949325"/>
            <wp:effectExtent l="0" t="0" r="2540" b="3175"/>
            <wp:docPr id="606394298" name="Picture 606394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98"/>
                    <pic:cNvPicPr/>
                  </pic:nvPicPr>
                  <pic:blipFill>
                    <a:blip r:embed="rId567" cstate="print">
                      <a:extLst>
                        <a:ext uri="{28A0092B-C50C-407E-A947-70E740481C1C}">
                          <a14:useLocalDpi xmlns:a14="http://schemas.microsoft.com/office/drawing/2010/main" val="0"/>
                        </a:ext>
                      </a:extLst>
                    </a:blip>
                    <a:stretch>
                      <a:fillRect/>
                    </a:stretch>
                  </pic:blipFill>
                  <pic:spPr>
                    <a:xfrm>
                      <a:off x="0" y="0"/>
                      <a:ext cx="6645910" cy="949325"/>
                    </a:xfrm>
                    <a:prstGeom prst="rect">
                      <a:avLst/>
                    </a:prstGeom>
                  </pic:spPr>
                </pic:pic>
              </a:graphicData>
            </a:graphic>
          </wp:inline>
        </w:drawing>
      </w:r>
    </w:p>
    <w:p w14:paraId="741E4967" w14:textId="77777777" w:rsidR="00580DA1" w:rsidRDefault="00580DA1" w:rsidP="00580DA1">
      <w:pPr>
        <w:rPr>
          <w:lang w:val="en-GB"/>
        </w:rPr>
      </w:pPr>
      <w:r>
        <w:rPr>
          <w:lang w:val="en-GB"/>
        </w:rPr>
        <w:t xml:space="preserve">So far so good. Windows or Linux were active (2.4 GB in 5 minute at the highest point, but some pages were probably part of Consumed). Since Consumed was at 100%, some pages were moved out to accommodate new pages. The compression resulted in 0.6 GB, hence the uncompressed amount was in between 2x and 4x. </w:t>
      </w:r>
    </w:p>
    <w:p w14:paraId="48F2E45C" w14:textId="77777777" w:rsidR="00580DA1" w:rsidRDefault="00580DA1" w:rsidP="00580DA1">
      <w:pPr>
        <w:rPr>
          <w:lang w:val="en-GB"/>
        </w:rPr>
      </w:pPr>
      <w:r>
        <w:rPr>
          <w:lang w:val="en-GB"/>
        </w:rPr>
        <w:t>Consumed dropped by 0.4 GB as that’s the gap between what was added (new pages) and what was removed (existing pages).</w:t>
      </w:r>
    </w:p>
    <w:p w14:paraId="29EF5F85" w14:textId="77777777" w:rsidR="00580DA1" w:rsidRDefault="00580DA1" w:rsidP="00580DA1">
      <w:pPr>
        <w:pStyle w:val="Heading6"/>
      </w:pPr>
      <w:r>
        <w:t>Granted vs Consumed</w:t>
      </w:r>
    </w:p>
    <w:p w14:paraId="5F303487" w14:textId="77777777" w:rsidR="00580DA1" w:rsidRDefault="00580DA1" w:rsidP="00580DA1">
      <w:pPr>
        <w:rPr>
          <w:lang w:val="en-GB"/>
        </w:rPr>
      </w:pPr>
      <w:r>
        <w:rPr>
          <w:lang w:val="en-GB"/>
        </w:rPr>
        <w:t>This is a mystery to me.</w:t>
      </w:r>
    </w:p>
    <w:p w14:paraId="575BF642" w14:textId="77777777" w:rsidR="00580DA1" w:rsidRDefault="00580DA1" w:rsidP="00580DA1">
      <w:pPr>
        <w:rPr>
          <w:lang w:val="en-GB"/>
        </w:rPr>
      </w:pPr>
      <w:r>
        <w:rPr>
          <w:lang w:val="en-GB"/>
        </w:rPr>
        <w:lastRenderedPageBreak/>
        <w:t>Boot a Windows VM</w:t>
      </w:r>
      <w:r w:rsidRPr="00C8470C">
        <w:rPr>
          <w:lang w:val="en-GB"/>
        </w:rPr>
        <w:t xml:space="preserve">. Windows writes zeroes </w:t>
      </w:r>
      <w:r>
        <w:rPr>
          <w:lang w:val="en-GB"/>
        </w:rPr>
        <w:t xml:space="preserve">to </w:t>
      </w:r>
      <w:r w:rsidRPr="00C8470C">
        <w:rPr>
          <w:lang w:val="en-GB"/>
        </w:rPr>
        <w:t>initialize the pages</w:t>
      </w:r>
      <w:r>
        <w:rPr>
          <w:lang w:val="en-GB"/>
        </w:rPr>
        <w:t>, but VMkernel</w:t>
      </w:r>
      <w:r w:rsidRPr="00C8470C">
        <w:rPr>
          <w:lang w:val="en-GB"/>
        </w:rPr>
        <w:t xml:space="preserve"> is smart enough to do a copy-on-write, so all the pages are pointing to the</w:t>
      </w:r>
      <w:r>
        <w:rPr>
          <w:lang w:val="en-GB"/>
        </w:rPr>
        <w:t xml:space="preserve"> </w:t>
      </w:r>
      <w:r w:rsidRPr="00C8470C">
        <w:rPr>
          <w:lang w:val="en-GB"/>
        </w:rPr>
        <w:t>same physical page. After a while, as</w:t>
      </w:r>
      <w:r>
        <w:rPr>
          <w:lang w:val="en-GB"/>
        </w:rPr>
        <w:t xml:space="preserve"> </w:t>
      </w:r>
      <w:r w:rsidRPr="00C8470C">
        <w:rPr>
          <w:lang w:val="en-GB"/>
        </w:rPr>
        <w:t>the pages are replaced with actual data</w:t>
      </w:r>
      <w:r>
        <w:rPr>
          <w:lang w:val="en-GB"/>
        </w:rPr>
        <w:t xml:space="preserve">. </w:t>
      </w:r>
    </w:p>
    <w:p w14:paraId="7E032C4C" w14:textId="77777777" w:rsidR="00580DA1" w:rsidRDefault="00580DA1" w:rsidP="00580DA1">
      <w:pPr>
        <w:rPr>
          <w:lang w:val="en-GB"/>
        </w:rPr>
      </w:pPr>
      <w:r>
        <w:rPr>
          <w:lang w:val="en-GB"/>
        </w:rPr>
        <w:t xml:space="preserve">If the above is true, why Consumed </w:t>
      </w:r>
      <w:r w:rsidRPr="00C8470C">
        <w:rPr>
          <w:lang w:val="en-GB"/>
        </w:rPr>
        <w:t>shoots up ahead of Granted</w:t>
      </w:r>
      <w:r>
        <w:rPr>
          <w:lang w:val="en-GB"/>
        </w:rPr>
        <w:t>? It should be the other way around.</w:t>
      </w:r>
    </w:p>
    <w:p w14:paraId="7EF3B054" w14:textId="7273C2FF" w:rsidR="001406B1" w:rsidRDefault="001406B1" w:rsidP="001406B1">
      <w:pPr>
        <w:pStyle w:val="Heading3"/>
      </w:pPr>
      <w:r>
        <w:t>Storage</w:t>
      </w:r>
    </w:p>
    <w:p w14:paraId="184E9AF7" w14:textId="77777777" w:rsidR="001406B1" w:rsidRDefault="001406B1" w:rsidP="001406B1">
      <w:pPr>
        <w:rPr>
          <w:lang w:val="en-GB"/>
        </w:rPr>
      </w:pPr>
      <w:r w:rsidRPr="00A452F2">
        <w:rPr>
          <w:lang w:val="en-GB"/>
        </w:rPr>
        <w:t xml:space="preserve">At the VM level, you can look at </w:t>
      </w:r>
      <w:r>
        <w:rPr>
          <w:lang w:val="en-GB"/>
        </w:rPr>
        <w:t>metrics</w:t>
      </w:r>
      <w:r w:rsidRPr="00A452F2">
        <w:rPr>
          <w:lang w:val="en-GB"/>
        </w:rPr>
        <w:t xml:space="preserve"> at the individual virtual disk level, at the datastore level, and at the disk level. </w:t>
      </w:r>
      <w:r>
        <w:rPr>
          <w:lang w:val="en-GB"/>
        </w:rPr>
        <w:t>Which ones should you when?</w:t>
      </w:r>
    </w:p>
    <w:p w14:paraId="1A9BA3D1" w14:textId="77777777" w:rsidR="001406B1" w:rsidRDefault="001406B1" w:rsidP="001406B1">
      <w:pPr>
        <w:jc w:val="center"/>
        <w:rPr>
          <w:lang w:val="en-GB"/>
        </w:rPr>
      </w:pPr>
      <w:r>
        <w:rPr>
          <w:noProof/>
        </w:rPr>
        <w:drawing>
          <wp:inline distT="0" distB="0" distL="0" distR="0" wp14:anchorId="0351C606" wp14:editId="73267898">
            <wp:extent cx="5979600" cy="2185200"/>
            <wp:effectExtent l="0" t="0" r="2540" b="5715"/>
            <wp:docPr id="606394366" name="Picture 606394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66"/>
                    <pic:cNvPicPr/>
                  </pic:nvPicPr>
                  <pic:blipFill>
                    <a:blip r:embed="rId568">
                      <a:extLst>
                        <a:ext uri="{28A0092B-C50C-407E-A947-70E740481C1C}">
                          <a14:useLocalDpi xmlns:a14="http://schemas.microsoft.com/office/drawing/2010/main" val="0"/>
                        </a:ext>
                      </a:extLst>
                    </a:blip>
                    <a:stretch>
                      <a:fillRect/>
                    </a:stretch>
                  </pic:blipFill>
                  <pic:spPr>
                    <a:xfrm>
                      <a:off x="0" y="0"/>
                      <a:ext cx="5979600" cy="2185200"/>
                    </a:xfrm>
                    <a:prstGeom prst="rect">
                      <a:avLst/>
                    </a:prstGeom>
                  </pic:spPr>
                </pic:pic>
              </a:graphicData>
            </a:graphic>
          </wp:inline>
        </w:drawing>
      </w:r>
    </w:p>
    <w:p w14:paraId="5FE8483D" w14:textId="77777777" w:rsidR="001406B1" w:rsidRDefault="001406B1" w:rsidP="001406B1">
      <w:pPr>
        <w:pStyle w:val="BeforeTable"/>
        <w:rPr>
          <w:lang w:val="en-GB"/>
        </w:rPr>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985"/>
        <w:gridCol w:w="8471"/>
      </w:tblGrid>
      <w:tr w:rsidR="001406B1" w14:paraId="4AE561B9" w14:textId="77777777" w:rsidTr="00281329">
        <w:tc>
          <w:tcPr>
            <w:tcW w:w="1985" w:type="dxa"/>
            <w:shd w:val="clear" w:color="auto" w:fill="F2F2F2" w:themeFill="background1" w:themeFillShade="F2"/>
          </w:tcPr>
          <w:p w14:paraId="6D2838A7" w14:textId="77777777" w:rsidR="001406B1" w:rsidRDefault="001406B1" w:rsidP="00281329">
            <w:pPr>
              <w:pStyle w:val="Tablecontent"/>
              <w:rPr>
                <w:b/>
                <w:bCs/>
              </w:rPr>
            </w:pPr>
            <w:r>
              <w:rPr>
                <w:b/>
                <w:bCs/>
              </w:rPr>
              <w:t>Virtual Disk</w:t>
            </w:r>
          </w:p>
        </w:tc>
        <w:tc>
          <w:tcPr>
            <w:tcW w:w="8471" w:type="dxa"/>
          </w:tcPr>
          <w:p w14:paraId="3B125F78" w14:textId="77777777" w:rsidR="001406B1" w:rsidRPr="00C24495" w:rsidRDefault="001406B1" w:rsidP="00281329">
            <w:pPr>
              <w:pStyle w:val="Tablecontent"/>
            </w:pPr>
            <w:r>
              <w:rPr>
                <w:lang w:val="en-GB"/>
              </w:rPr>
              <w:t>Use</w:t>
            </w:r>
            <w:r w:rsidRPr="00A452F2">
              <w:rPr>
                <w:lang w:val="en-GB"/>
              </w:rPr>
              <w:t xml:space="preserve"> the </w:t>
            </w:r>
            <w:r w:rsidRPr="003C1852">
              <w:rPr>
                <w:b/>
                <w:bCs/>
                <w:lang w:val="en-GB"/>
              </w:rPr>
              <w:t>virtual disk</w:t>
            </w:r>
            <w:r w:rsidRPr="00A452F2">
              <w:rPr>
                <w:lang w:val="en-GB"/>
              </w:rPr>
              <w:t xml:space="preserve"> </w:t>
            </w:r>
            <w:r>
              <w:rPr>
                <w:lang w:val="en-GB"/>
              </w:rPr>
              <w:t>metrics to</w:t>
            </w:r>
            <w:r w:rsidRPr="00A452F2">
              <w:rPr>
                <w:lang w:val="en-GB"/>
              </w:rPr>
              <w:t xml:space="preserve"> see VMFS vmdk files, NFS vmdk files, and RDMs. However, you don’t get data below the virtual disk. For example, if the VM has snapshot, the data does not know about it. Also, a VM typically has multiple virtual disks (OS drive, swap drive, data drive), so you need to add them manually if you use vCenter. In vRealize Operations, you use the “</w:t>
            </w:r>
            <w:r w:rsidRPr="00AE3342">
              <w:rPr>
                <w:color w:val="00B0F0"/>
                <w:lang w:val="en-GB"/>
              </w:rPr>
              <w:t>aggregate of all instances</w:t>
            </w:r>
            <w:r w:rsidRPr="00A452F2">
              <w:rPr>
                <w:lang w:val="en-GB"/>
              </w:rPr>
              <w:t>”.</w:t>
            </w:r>
          </w:p>
        </w:tc>
      </w:tr>
      <w:tr w:rsidR="001406B1" w14:paraId="2A3286EA" w14:textId="77777777" w:rsidTr="00281329">
        <w:tc>
          <w:tcPr>
            <w:tcW w:w="1985" w:type="dxa"/>
            <w:shd w:val="clear" w:color="auto" w:fill="F2F2F2" w:themeFill="background1" w:themeFillShade="F2"/>
          </w:tcPr>
          <w:p w14:paraId="5CE2DBF5" w14:textId="77777777" w:rsidR="001406B1" w:rsidRDefault="001406B1" w:rsidP="00281329">
            <w:pPr>
              <w:pStyle w:val="Tablecontent"/>
              <w:rPr>
                <w:b/>
                <w:bCs/>
              </w:rPr>
            </w:pPr>
            <w:r>
              <w:rPr>
                <w:b/>
                <w:bCs/>
                <w:lang w:val="en-GB"/>
              </w:rPr>
              <w:t>D</w:t>
            </w:r>
            <w:r w:rsidRPr="003C1852">
              <w:rPr>
                <w:b/>
                <w:bCs/>
                <w:lang w:val="en-GB"/>
              </w:rPr>
              <w:t>atastore</w:t>
            </w:r>
          </w:p>
        </w:tc>
        <w:tc>
          <w:tcPr>
            <w:tcW w:w="8471" w:type="dxa"/>
          </w:tcPr>
          <w:p w14:paraId="061D3979" w14:textId="77777777" w:rsidR="001406B1" w:rsidRPr="00C24495" w:rsidRDefault="001406B1" w:rsidP="00281329">
            <w:pPr>
              <w:pStyle w:val="Tablecontent"/>
            </w:pPr>
            <w:r>
              <w:rPr>
                <w:lang w:val="en-GB"/>
              </w:rPr>
              <w:t xml:space="preserve">Use </w:t>
            </w:r>
            <w:r w:rsidRPr="00A452F2">
              <w:rPr>
                <w:lang w:val="en-GB"/>
              </w:rPr>
              <w:t xml:space="preserve">the </w:t>
            </w:r>
            <w:r>
              <w:rPr>
                <w:b/>
                <w:bCs/>
                <w:lang w:val="en-GB"/>
              </w:rPr>
              <w:t>d</w:t>
            </w:r>
            <w:r w:rsidRPr="003C1852">
              <w:rPr>
                <w:b/>
                <w:bCs/>
                <w:lang w:val="en-GB"/>
              </w:rPr>
              <w:t>atastore</w:t>
            </w:r>
            <w:r w:rsidRPr="00A452F2">
              <w:rPr>
                <w:lang w:val="en-GB"/>
              </w:rPr>
              <w:t xml:space="preserve"> </w:t>
            </w:r>
            <w:r>
              <w:rPr>
                <w:lang w:val="en-GB"/>
              </w:rPr>
              <w:t>metrics to</w:t>
            </w:r>
            <w:r w:rsidRPr="00A452F2">
              <w:rPr>
                <w:lang w:val="en-GB"/>
              </w:rPr>
              <w:t xml:space="preserve"> see VMFS and NFS, but not RDM. Because snapshots happen at Datastore level, the counter will include it. Datastore figures will be higher if your VM has a snapshot. You don’t have to add the data from each virtual disk together as the data presented is already at the VM level. It also has the Highest Latency counter, which is useful in tracking peak latency</w:t>
            </w:r>
          </w:p>
        </w:tc>
      </w:tr>
      <w:tr w:rsidR="001406B1" w14:paraId="57CAEE63" w14:textId="77777777" w:rsidTr="00281329">
        <w:tc>
          <w:tcPr>
            <w:tcW w:w="1985" w:type="dxa"/>
            <w:shd w:val="clear" w:color="auto" w:fill="F2F2F2" w:themeFill="background1" w:themeFillShade="F2"/>
          </w:tcPr>
          <w:p w14:paraId="6F6E7C12" w14:textId="77777777" w:rsidR="001406B1" w:rsidRDefault="001406B1" w:rsidP="00281329">
            <w:pPr>
              <w:pStyle w:val="Tablecontent"/>
              <w:rPr>
                <w:b/>
                <w:bCs/>
              </w:rPr>
            </w:pPr>
            <w:r>
              <w:rPr>
                <w:b/>
                <w:bCs/>
              </w:rPr>
              <w:t>Disk</w:t>
            </w:r>
          </w:p>
        </w:tc>
        <w:tc>
          <w:tcPr>
            <w:tcW w:w="8471" w:type="dxa"/>
          </w:tcPr>
          <w:p w14:paraId="7C9AC029" w14:textId="77777777" w:rsidR="001406B1" w:rsidRPr="00C24495" w:rsidRDefault="001406B1" w:rsidP="00281329">
            <w:pPr>
              <w:pStyle w:val="Tablecontent"/>
            </w:pPr>
            <w:r>
              <w:rPr>
                <w:lang w:val="en-GB"/>
              </w:rPr>
              <w:t xml:space="preserve">Use </w:t>
            </w:r>
            <w:r w:rsidRPr="00A452F2">
              <w:rPr>
                <w:lang w:val="en-GB"/>
              </w:rPr>
              <w:t xml:space="preserve">the </w:t>
            </w:r>
            <w:r>
              <w:rPr>
                <w:b/>
                <w:bCs/>
                <w:lang w:val="en-GB"/>
              </w:rPr>
              <w:t>d</w:t>
            </w:r>
            <w:r w:rsidRPr="003C1852">
              <w:rPr>
                <w:b/>
                <w:bCs/>
                <w:lang w:val="en-GB"/>
              </w:rPr>
              <w:t>isk</w:t>
            </w:r>
            <w:r w:rsidRPr="00A452F2">
              <w:rPr>
                <w:lang w:val="en-GB"/>
              </w:rPr>
              <w:t xml:space="preserve"> </w:t>
            </w:r>
            <w:r>
              <w:rPr>
                <w:lang w:val="en-GB"/>
              </w:rPr>
              <w:t>metrics to</w:t>
            </w:r>
            <w:r w:rsidRPr="00A452F2">
              <w:rPr>
                <w:lang w:val="en-GB"/>
              </w:rPr>
              <w:t xml:space="preserve"> see VMFS and RDM, but not NFS. The data at this level should be the same as at Datastore level because your blocks should be aligned; you should have a 1:1 mapping between Datastore and LUN, without extents. It also has the Highest Latency counter, which is useful in tracking peak latency</w:t>
            </w:r>
          </w:p>
        </w:tc>
      </w:tr>
    </w:tbl>
    <w:p w14:paraId="1F2831CB" w14:textId="77777777" w:rsidR="001406B1" w:rsidRDefault="001406B1" w:rsidP="001406B1">
      <w:r>
        <w:t>If all the virtual disks of a VM are residing in the same datastore, and that datastore is backed by 1 LUN, then all the metrics will be identical. The following VM has 2 virtual disks (not shown). Notice all 3 metrics are identical over time.</w:t>
      </w:r>
    </w:p>
    <w:p w14:paraId="640B0CD0" w14:textId="3DE05A60" w:rsidR="001406B1" w:rsidRDefault="001406B1" w:rsidP="001406B1">
      <w:r w:rsidRPr="007C1DA3">
        <w:rPr>
          <w:noProof/>
        </w:rPr>
        <w:lastRenderedPageBreak/>
        <w:drawing>
          <wp:inline distT="0" distB="0" distL="0" distR="0" wp14:anchorId="25ED43B4" wp14:editId="1A4B0AC3">
            <wp:extent cx="6645910" cy="1958340"/>
            <wp:effectExtent l="0" t="0" r="2540" b="3810"/>
            <wp:docPr id="1085195908" name="Picture 1085195908" descr="Graphical user interface, Excel&#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08" name="Picture 1085195908" descr="Graphical user interface, Excel&#10;&#10;Description automatically generated with medium confidence"/>
                    <pic:cNvPicPr/>
                  </pic:nvPicPr>
                  <pic:blipFill>
                    <a:blip r:embed="rId569"/>
                    <a:stretch>
                      <a:fillRect/>
                    </a:stretch>
                  </pic:blipFill>
                  <pic:spPr>
                    <a:xfrm>
                      <a:off x="0" y="0"/>
                      <a:ext cx="6645910" cy="1958340"/>
                    </a:xfrm>
                    <a:prstGeom prst="rect">
                      <a:avLst/>
                    </a:prstGeom>
                  </pic:spPr>
                </pic:pic>
              </a:graphicData>
            </a:graphic>
          </wp:inline>
        </w:drawing>
      </w:r>
    </w:p>
    <w:p w14:paraId="16F78020" w14:textId="77777777" w:rsidR="001406B1" w:rsidRDefault="001406B1" w:rsidP="00B90FCA">
      <w:pPr>
        <w:pStyle w:val="Heading4"/>
      </w:pPr>
      <w:r>
        <w:t>Virtual Disk</w:t>
      </w:r>
    </w:p>
    <w:p w14:paraId="4C97A8EB" w14:textId="7A72BFBB" w:rsidR="001406B1" w:rsidRDefault="001406B1" w:rsidP="001406B1">
      <w:pPr>
        <w:rPr>
          <w:lang w:val="en-GB"/>
        </w:rPr>
      </w:pPr>
      <w:r>
        <w:rPr>
          <w:lang w:val="en-GB"/>
        </w:rPr>
        <w:t xml:space="preserve">Take note that vSphere Client does not provide summary at VM level. Notice the target objects are individual scsiN:N, and there is no </w:t>
      </w:r>
      <w:r w:rsidR="00604F99">
        <w:rPr>
          <w:lang w:val="en-GB"/>
        </w:rPr>
        <w:t xml:space="preserve">aggregation at VM level </w:t>
      </w:r>
      <w:r>
        <w:rPr>
          <w:lang w:val="en-GB"/>
        </w:rPr>
        <w:t>as the option in Target Objects column below.</w:t>
      </w:r>
    </w:p>
    <w:p w14:paraId="71380DBE" w14:textId="77777777" w:rsidR="001406B1" w:rsidRDefault="001406B1" w:rsidP="001406B1">
      <w:pPr>
        <w:jc w:val="center"/>
        <w:rPr>
          <w:lang w:val="en-GB"/>
        </w:rPr>
      </w:pPr>
      <w:r w:rsidRPr="00516665">
        <w:rPr>
          <w:noProof/>
          <w:lang w:val="en-GB"/>
        </w:rPr>
        <w:drawing>
          <wp:inline distT="0" distB="0" distL="0" distR="0" wp14:anchorId="4BE8A16C" wp14:editId="36858A1F">
            <wp:extent cx="3950208" cy="1261872"/>
            <wp:effectExtent l="0" t="0" r="0" b="0"/>
            <wp:docPr id="750070360" name="Picture 750070360" descr="Application&#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60" name="Picture 750070360" descr="Application&#10;&#10;Description automatically generated with low confidence"/>
                    <pic:cNvPicPr/>
                  </pic:nvPicPr>
                  <pic:blipFill>
                    <a:blip r:embed="rId570"/>
                    <a:stretch>
                      <a:fillRect/>
                    </a:stretch>
                  </pic:blipFill>
                  <pic:spPr>
                    <a:xfrm>
                      <a:off x="0" y="0"/>
                      <a:ext cx="3950208" cy="1261872"/>
                    </a:xfrm>
                    <a:prstGeom prst="rect">
                      <a:avLst/>
                    </a:prstGeom>
                  </pic:spPr>
                </pic:pic>
              </a:graphicData>
            </a:graphic>
          </wp:inline>
        </w:drawing>
      </w:r>
    </w:p>
    <w:p w14:paraId="0E743214" w14:textId="6E22A1DC" w:rsidR="001406B1" w:rsidRDefault="004615D0" w:rsidP="00B90FCA">
      <w:pPr>
        <w:pStyle w:val="Heading5"/>
      </w:pPr>
      <w:r>
        <w:t>Latency</w:t>
      </w:r>
      <w:r w:rsidR="001406B1">
        <w:t xml:space="preserve"> metrics</w:t>
      </w:r>
    </w:p>
    <w:p w14:paraId="1AB1ED14" w14:textId="77777777" w:rsidR="001406B1" w:rsidRDefault="001406B1" w:rsidP="001406B1">
      <w:pPr>
        <w:rPr>
          <w:lang w:val="en-GB"/>
        </w:rPr>
      </w:pPr>
      <w:r>
        <w:rPr>
          <w:lang w:val="en-GB"/>
        </w:rPr>
        <w:t xml:space="preserve">The main metrics are latency. They are provided in both ms and microsecond. </w:t>
      </w:r>
    </w:p>
    <w:p w14:paraId="36E0DA81" w14:textId="77777777" w:rsidR="001406B1" w:rsidRDefault="001406B1" w:rsidP="001406B1">
      <w:pPr>
        <w:jc w:val="center"/>
        <w:rPr>
          <w:lang w:val="en-GB"/>
        </w:rPr>
      </w:pPr>
      <w:r>
        <w:rPr>
          <w:noProof/>
          <w:lang w:val="en-GB"/>
        </w:rPr>
        <w:drawing>
          <wp:inline distT="0" distB="0" distL="0" distR="0" wp14:anchorId="3C109197" wp14:editId="62AE2EE3">
            <wp:extent cx="5815584" cy="1078992"/>
            <wp:effectExtent l="0" t="0" r="0" b="6985"/>
            <wp:docPr id="534447546" name="Picture 534447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1">
                      <a:extLst>
                        <a:ext uri="{28A0092B-C50C-407E-A947-70E740481C1C}">
                          <a14:useLocalDpi xmlns:a14="http://schemas.microsoft.com/office/drawing/2010/main" val="0"/>
                        </a:ext>
                      </a:extLst>
                    </a:blip>
                    <a:srcRect/>
                    <a:stretch>
                      <a:fillRect/>
                    </a:stretch>
                  </pic:blipFill>
                  <pic:spPr bwMode="auto">
                    <a:xfrm>
                      <a:off x="0" y="0"/>
                      <a:ext cx="5815584" cy="1078992"/>
                    </a:xfrm>
                    <a:prstGeom prst="rect">
                      <a:avLst/>
                    </a:prstGeom>
                    <a:noFill/>
                    <a:ln>
                      <a:noFill/>
                    </a:ln>
                  </pic:spPr>
                </pic:pic>
              </a:graphicData>
            </a:graphic>
          </wp:inline>
        </w:drawing>
      </w:r>
    </w:p>
    <w:p w14:paraId="1DBBB34A" w14:textId="083A3152" w:rsidR="004615D0" w:rsidRDefault="004615D0" w:rsidP="004615D0">
      <w:pPr>
        <w:pStyle w:val="Heading5"/>
      </w:pPr>
      <w:r>
        <w:lastRenderedPageBreak/>
        <w:t>Outstanding IO</w:t>
      </w:r>
    </w:p>
    <w:p w14:paraId="6FF9C11E" w14:textId="5FDB1265" w:rsidR="00B90FCA" w:rsidRDefault="00B90FCA" w:rsidP="00B90FCA">
      <w:pPr>
        <w:rPr>
          <w:lang w:val="en-GB"/>
        </w:rPr>
      </w:pPr>
      <w:r>
        <w:rPr>
          <w:lang w:val="en-GB"/>
        </w:rPr>
        <w:t>vSphere</w:t>
      </w:r>
      <w:r w:rsidRPr="00087097">
        <w:rPr>
          <w:lang w:val="en-GB"/>
        </w:rPr>
        <w:t xml:space="preserve"> also provides information about the number of I/Os that have been issued, but not yet completed.</w:t>
      </w:r>
      <w:r>
        <w:rPr>
          <w:lang w:val="en-GB"/>
        </w:rPr>
        <w:t xml:space="preserve"> They are waiting in the queue, </w:t>
      </w:r>
      <w:r w:rsidR="004615D0">
        <w:rPr>
          <w:lang w:val="en-GB"/>
        </w:rPr>
        <w:t>indicating a bottleneck</w:t>
      </w:r>
    </w:p>
    <w:p w14:paraId="77B14783" w14:textId="77777777" w:rsidR="001406B1" w:rsidRDefault="001406B1" w:rsidP="001406B1">
      <w:pPr>
        <w:rPr>
          <w:lang w:val="en-GB"/>
        </w:rPr>
      </w:pPr>
      <w:r>
        <w:rPr>
          <w:noProof/>
          <w:lang w:val="en-GB"/>
        </w:rPr>
        <w:drawing>
          <wp:inline distT="0" distB="0" distL="0" distR="0" wp14:anchorId="4F499CEC" wp14:editId="5615D722">
            <wp:extent cx="6645910" cy="521335"/>
            <wp:effectExtent l="0" t="0" r="2540" b="0"/>
            <wp:docPr id="534447547" name="Picture 534447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2">
                      <a:extLst>
                        <a:ext uri="{28A0092B-C50C-407E-A947-70E740481C1C}">
                          <a14:useLocalDpi xmlns:a14="http://schemas.microsoft.com/office/drawing/2010/main" val="0"/>
                        </a:ext>
                      </a:extLst>
                    </a:blip>
                    <a:srcRect/>
                    <a:stretch>
                      <a:fillRect/>
                    </a:stretch>
                  </pic:blipFill>
                  <pic:spPr bwMode="auto">
                    <a:xfrm>
                      <a:off x="0" y="0"/>
                      <a:ext cx="6645910" cy="521335"/>
                    </a:xfrm>
                    <a:prstGeom prst="rect">
                      <a:avLst/>
                    </a:prstGeom>
                    <a:noFill/>
                    <a:ln>
                      <a:noFill/>
                    </a:ln>
                  </pic:spPr>
                </pic:pic>
              </a:graphicData>
            </a:graphic>
          </wp:inline>
        </w:drawing>
      </w:r>
    </w:p>
    <w:p w14:paraId="14F05051" w14:textId="77777777" w:rsidR="00B90FCA" w:rsidRDefault="00B90FCA" w:rsidP="00B90FCA">
      <w:pPr>
        <w:rPr>
          <w:lang w:val="en-GB"/>
        </w:rPr>
      </w:pPr>
      <w:r>
        <w:rPr>
          <w:lang w:val="en-GB"/>
        </w:rPr>
        <w:t xml:space="preserve">The formula is </w:t>
      </w:r>
    </w:p>
    <w:p w14:paraId="6245F643" w14:textId="77777777" w:rsidR="00B90FCA" w:rsidRDefault="00B90FCA" w:rsidP="00B90FCA">
      <w:pPr>
        <w:pStyle w:val="Code"/>
      </w:pPr>
      <w:r>
        <w:t>Outstanding IO = Latency x IOPS</w:t>
      </w:r>
    </w:p>
    <w:p w14:paraId="31054E95" w14:textId="77777777" w:rsidR="00B90FCA" w:rsidRDefault="00B90FCA" w:rsidP="00B90FCA">
      <w:pPr>
        <w:rPr>
          <w:rFonts w:eastAsiaTheme="minorEastAsia"/>
          <w:lang w:val="en-GB"/>
        </w:rPr>
      </w:pPr>
      <w:r>
        <w:rPr>
          <w:rFonts w:eastAsiaTheme="minorEastAsia"/>
          <w:lang w:val="en-GB"/>
        </w:rPr>
        <w:t xml:space="preserve">You can prove the above formula by plotting the latency metric. In the following example, this Windows 10 VM has good latency, constantly below 5 ms except for 1 occasion. </w:t>
      </w:r>
    </w:p>
    <w:p w14:paraId="33A46B05" w14:textId="77777777" w:rsidR="00B90FCA" w:rsidRDefault="00B90FCA" w:rsidP="00B90FCA">
      <w:pPr>
        <w:rPr>
          <w:rFonts w:eastAsiaTheme="minorEastAsia"/>
          <w:lang w:val="en-GB"/>
        </w:rPr>
      </w:pPr>
      <w:r w:rsidRPr="00501C5D">
        <w:rPr>
          <w:rFonts w:eastAsiaTheme="minorEastAsia"/>
          <w:noProof/>
          <w:lang w:val="en-GB"/>
        </w:rPr>
        <w:drawing>
          <wp:inline distT="0" distB="0" distL="0" distR="0" wp14:anchorId="11988EDD" wp14:editId="24AD66A4">
            <wp:extent cx="6645910" cy="1089025"/>
            <wp:effectExtent l="0" t="0" r="2540" b="0"/>
            <wp:docPr id="1042" name="Picture 1042"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2" name="Picture 1042" descr="Chart&#10;&#10;Description automatically generated with medium confidence"/>
                    <pic:cNvPicPr/>
                  </pic:nvPicPr>
                  <pic:blipFill>
                    <a:blip r:embed="rId573"/>
                    <a:stretch>
                      <a:fillRect/>
                    </a:stretch>
                  </pic:blipFill>
                  <pic:spPr>
                    <a:xfrm>
                      <a:off x="0" y="0"/>
                      <a:ext cx="6645910" cy="1089025"/>
                    </a:xfrm>
                    <a:prstGeom prst="rect">
                      <a:avLst/>
                    </a:prstGeom>
                  </pic:spPr>
                </pic:pic>
              </a:graphicData>
            </a:graphic>
          </wp:inline>
        </w:drawing>
      </w:r>
    </w:p>
    <w:p w14:paraId="45AA5DD5" w14:textId="77777777" w:rsidR="00B90FCA" w:rsidRDefault="00B90FCA" w:rsidP="00B90FCA">
      <w:pPr>
        <w:rPr>
          <w:rFonts w:eastAsiaTheme="minorEastAsia"/>
          <w:lang w:val="en-GB"/>
        </w:rPr>
      </w:pPr>
      <w:r>
        <w:rPr>
          <w:rFonts w:eastAsiaTheme="minorEastAsia"/>
          <w:lang w:val="en-GB"/>
        </w:rPr>
        <w:t xml:space="preserve">If we plot the IOPS, it reveals a different pattern. There is a regular spike, albeit the number is very low. There is a one time spike near the start of the chart. </w:t>
      </w:r>
    </w:p>
    <w:p w14:paraId="33DE8501" w14:textId="77777777" w:rsidR="00B90FCA" w:rsidRDefault="00B90FCA" w:rsidP="00B90FCA">
      <w:pPr>
        <w:rPr>
          <w:rFonts w:eastAsiaTheme="minorEastAsia"/>
          <w:lang w:val="en-GB"/>
        </w:rPr>
      </w:pPr>
      <w:r w:rsidRPr="00BD00CD">
        <w:rPr>
          <w:rFonts w:eastAsiaTheme="minorEastAsia"/>
          <w:noProof/>
          <w:lang w:val="en-GB"/>
        </w:rPr>
        <w:drawing>
          <wp:inline distT="0" distB="0" distL="0" distR="0" wp14:anchorId="2B475774" wp14:editId="6AF2C79E">
            <wp:extent cx="6645910" cy="1090295"/>
            <wp:effectExtent l="0" t="0" r="2540" b="0"/>
            <wp:docPr id="1043" name="Picture 104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3" name="Picture 1043" descr="A picture containing chart&#10;&#10;Description automatically generated"/>
                    <pic:cNvPicPr/>
                  </pic:nvPicPr>
                  <pic:blipFill>
                    <a:blip r:embed="rId574"/>
                    <a:stretch>
                      <a:fillRect/>
                    </a:stretch>
                  </pic:blipFill>
                  <pic:spPr>
                    <a:xfrm>
                      <a:off x="0" y="0"/>
                      <a:ext cx="6645910" cy="1090295"/>
                    </a:xfrm>
                    <a:prstGeom prst="rect">
                      <a:avLst/>
                    </a:prstGeom>
                  </pic:spPr>
                </pic:pic>
              </a:graphicData>
            </a:graphic>
          </wp:inline>
        </w:drawing>
      </w:r>
    </w:p>
    <w:p w14:paraId="7AA13BEB" w14:textId="77777777" w:rsidR="00B90FCA" w:rsidRDefault="00B90FCA" w:rsidP="00B90FCA">
      <w:pPr>
        <w:rPr>
          <w:rFonts w:eastAsiaTheme="minorEastAsia"/>
          <w:lang w:val="en-GB"/>
        </w:rPr>
      </w:pPr>
      <w:r>
        <w:rPr>
          <w:rFonts w:eastAsiaTheme="minorEastAsia"/>
          <w:lang w:val="en-GB"/>
        </w:rPr>
        <w:t>What do you expect the Outstanding IO chart to look like?</w:t>
      </w:r>
    </w:p>
    <w:p w14:paraId="1684AE4B" w14:textId="77777777" w:rsidR="00B90FCA" w:rsidRDefault="00B90FCA" w:rsidP="00B90FCA">
      <w:pPr>
        <w:rPr>
          <w:rFonts w:eastAsiaTheme="minorEastAsia"/>
          <w:lang w:val="en-GB"/>
        </w:rPr>
      </w:pPr>
      <w:r>
        <w:rPr>
          <w:rFonts w:eastAsiaTheme="minorEastAsia"/>
          <w:lang w:val="en-GB"/>
        </w:rPr>
        <w:t>Well, since we know the formula, we expect the chart to “combine” both latency and IOPS. And the following is exactly what we got:</w:t>
      </w:r>
    </w:p>
    <w:p w14:paraId="7B1F39E6" w14:textId="77777777" w:rsidR="00B90FCA" w:rsidRDefault="00B90FCA" w:rsidP="00B90FCA">
      <w:pPr>
        <w:rPr>
          <w:rFonts w:eastAsiaTheme="minorEastAsia"/>
          <w:lang w:val="en-GB"/>
        </w:rPr>
      </w:pPr>
      <w:r w:rsidRPr="00223EA9">
        <w:rPr>
          <w:rFonts w:eastAsiaTheme="minorEastAsia"/>
          <w:noProof/>
          <w:lang w:val="en-GB"/>
        </w:rPr>
        <w:drawing>
          <wp:inline distT="0" distB="0" distL="0" distR="0" wp14:anchorId="7EE0E75D" wp14:editId="1518DB71">
            <wp:extent cx="6645910" cy="1108710"/>
            <wp:effectExtent l="0" t="0" r="2540" b="0"/>
            <wp:docPr id="1044" name="Picture 1044"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 name="Picture 1044" descr="Chart&#10;&#10;Description automatically generated with medium confidence"/>
                    <pic:cNvPicPr/>
                  </pic:nvPicPr>
                  <pic:blipFill>
                    <a:blip r:embed="rId575"/>
                    <a:stretch>
                      <a:fillRect/>
                    </a:stretch>
                  </pic:blipFill>
                  <pic:spPr>
                    <a:xfrm>
                      <a:off x="0" y="0"/>
                      <a:ext cx="6645910" cy="1108710"/>
                    </a:xfrm>
                    <a:prstGeom prst="rect">
                      <a:avLst/>
                    </a:prstGeom>
                  </pic:spPr>
                </pic:pic>
              </a:graphicData>
            </a:graphic>
          </wp:inline>
        </w:drawing>
      </w:r>
    </w:p>
    <w:p w14:paraId="77FD37C5" w14:textId="77777777" w:rsidR="00B90FCA" w:rsidRDefault="00B90FCA" w:rsidP="00B90FCA">
      <w:pPr>
        <w:rPr>
          <w:rFonts w:eastAsiaTheme="minorEastAsia"/>
          <w:lang w:val="en-GB"/>
        </w:rPr>
      </w:pPr>
      <w:r w:rsidRPr="00A452F2">
        <w:rPr>
          <w:rFonts w:eastAsiaTheme="minorEastAsia"/>
          <w:lang w:val="en-GB"/>
        </w:rPr>
        <w:t>Outstanding IO should be seen in conjunction with latency. It can be acceptable to have high number of IO in the queue, so long the actual latency is low</w:t>
      </w:r>
      <w:r>
        <w:rPr>
          <w:rFonts w:eastAsiaTheme="minorEastAsia"/>
          <w:lang w:val="en-GB"/>
        </w:rPr>
        <w:t>.</w:t>
      </w:r>
    </w:p>
    <w:p w14:paraId="48516D4A" w14:textId="77777777" w:rsidR="00B90FCA" w:rsidRPr="002631FF" w:rsidRDefault="00B90FCA" w:rsidP="00B90FCA">
      <w:pPr>
        <w:rPr>
          <w:rFonts w:eastAsiaTheme="minorEastAsia"/>
          <w:lang w:val="en-GB"/>
        </w:rPr>
      </w:pPr>
      <w:r>
        <w:rPr>
          <w:rFonts w:eastAsiaTheme="minorEastAsia"/>
          <w:lang w:val="en-GB"/>
        </w:rPr>
        <w:t xml:space="preserve">Since your goal is maximum IOPS and minimum latency, the metric is less useful as its value is impacted by IOPS. See </w:t>
      </w:r>
      <w:hyperlink r:id="rId576" w:history="1">
        <w:r w:rsidRPr="00F0083D">
          <w:rPr>
            <w:rStyle w:val="Hyperlink"/>
            <w:rFonts w:eastAsiaTheme="minorEastAsia"/>
            <w:lang w:val="en-GB"/>
          </w:rPr>
          <w:t>this KB article</w:t>
        </w:r>
      </w:hyperlink>
      <w:r>
        <w:rPr>
          <w:rFonts w:eastAsiaTheme="minorEastAsia"/>
          <w:lang w:val="en-GB"/>
        </w:rPr>
        <w:t xml:space="preserve"> for VSAN specific recommendation on the expected value. </w:t>
      </w:r>
    </w:p>
    <w:p w14:paraId="76DA78EF" w14:textId="77777777" w:rsidR="00B90FCA" w:rsidRDefault="00B90FCA" w:rsidP="00B90FCA">
      <w:pPr>
        <w:rPr>
          <w:lang w:val="en-GB"/>
        </w:rPr>
      </w:pPr>
      <w:r>
        <w:rPr>
          <w:lang w:val="en-GB"/>
        </w:rPr>
        <w:t xml:space="preserve">What should be the threshold value? </w:t>
      </w:r>
    </w:p>
    <w:p w14:paraId="365E6CD9" w14:textId="77777777" w:rsidR="00B90FCA" w:rsidRDefault="00B90FCA" w:rsidP="00B90FCA">
      <w:pPr>
        <w:rPr>
          <w:lang w:val="en-GB"/>
        </w:rPr>
      </w:pPr>
      <w:r>
        <w:rPr>
          <w:lang w:val="en-GB"/>
        </w:rPr>
        <w:t xml:space="preserve">That depends on your storage, because the range varies widely. Use the profiling technique to establish the threshold that is suitable for your environment. </w:t>
      </w:r>
    </w:p>
    <w:p w14:paraId="5F829CC4" w14:textId="77777777" w:rsidR="00B90FCA" w:rsidRPr="00A91F5C" w:rsidRDefault="00B90FCA" w:rsidP="00B90FCA">
      <w:pPr>
        <w:rPr>
          <w:lang w:val="en-GB"/>
        </w:rPr>
      </w:pPr>
      <w:r>
        <w:rPr>
          <w:lang w:val="en-GB"/>
        </w:rPr>
        <w:lastRenderedPageBreak/>
        <w:t>In the following analysis, we take more than 63 million data points (2400 VM x 3 months worth of data). Using data like this, discuss with the storage vendor if that’s inline with what they sold you.</w:t>
      </w:r>
    </w:p>
    <w:p w14:paraId="30C50689" w14:textId="77777777" w:rsidR="00B90FCA" w:rsidRDefault="00B90FCA" w:rsidP="00B90FCA">
      <w:pPr>
        <w:rPr>
          <w:lang w:val="en-GB"/>
        </w:rPr>
      </w:pPr>
      <w:r>
        <w:rPr>
          <w:noProof/>
        </w:rPr>
        <w:drawing>
          <wp:inline distT="0" distB="0" distL="0" distR="0" wp14:anchorId="75A72CE1" wp14:editId="2971A1BC">
            <wp:extent cx="6639559" cy="2750185"/>
            <wp:effectExtent l="0" t="0" r="8890" b="0"/>
            <wp:docPr id="606394309" name="Picture 606394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09"/>
                    <pic:cNvPicPr/>
                  </pic:nvPicPr>
                  <pic:blipFill>
                    <a:blip r:embed="rId577">
                      <a:extLst>
                        <a:ext uri="{28A0092B-C50C-407E-A947-70E740481C1C}">
                          <a14:useLocalDpi xmlns:a14="http://schemas.microsoft.com/office/drawing/2010/main" val="0"/>
                        </a:ext>
                      </a:extLst>
                    </a:blip>
                    <a:stretch>
                      <a:fillRect/>
                    </a:stretch>
                  </pic:blipFill>
                  <pic:spPr>
                    <a:xfrm>
                      <a:off x="0" y="0"/>
                      <a:ext cx="6639559" cy="2750185"/>
                    </a:xfrm>
                    <a:prstGeom prst="rect">
                      <a:avLst/>
                    </a:prstGeom>
                  </pic:spPr>
                </pic:pic>
              </a:graphicData>
            </a:graphic>
          </wp:inline>
        </w:drawing>
      </w:r>
    </w:p>
    <w:p w14:paraId="67115E67" w14:textId="77777777" w:rsidR="001406B1" w:rsidRDefault="001406B1" w:rsidP="00B90FCA">
      <w:pPr>
        <w:pStyle w:val="Heading5"/>
      </w:pPr>
      <w:r>
        <w:t xml:space="preserve">Utilization metrics </w:t>
      </w:r>
    </w:p>
    <w:p w14:paraId="205F9253" w14:textId="77777777" w:rsidR="001406B1" w:rsidRDefault="001406B1" w:rsidP="001406B1">
      <w:pPr>
        <w:rPr>
          <w:lang w:val="en-GB"/>
        </w:rPr>
      </w:pPr>
      <w:r>
        <w:rPr>
          <w:lang w:val="en-GB"/>
        </w:rPr>
        <w:t xml:space="preserve">A typical suspect for high latency is high utilization. As you can expect, you’re given both IOPS and throughput metrics. </w:t>
      </w:r>
    </w:p>
    <w:p w14:paraId="0D7D4C21" w14:textId="77777777" w:rsidR="001406B1" w:rsidRDefault="001406B1" w:rsidP="001406B1">
      <w:pPr>
        <w:rPr>
          <w:lang w:val="en-GB"/>
        </w:rPr>
      </w:pPr>
      <w:r>
        <w:rPr>
          <w:noProof/>
          <w:lang w:val="en-GB"/>
        </w:rPr>
        <w:drawing>
          <wp:inline distT="0" distB="0" distL="0" distR="0" wp14:anchorId="1EEB258B" wp14:editId="3E0C1871">
            <wp:extent cx="6645910" cy="1237615"/>
            <wp:effectExtent l="0" t="0" r="2540" b="635"/>
            <wp:docPr id="534447548" name="Picture 534447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6645910" cy="1237615"/>
                    </a:xfrm>
                    <a:prstGeom prst="rect">
                      <a:avLst/>
                    </a:prstGeom>
                    <a:noFill/>
                    <a:ln>
                      <a:noFill/>
                    </a:ln>
                  </pic:spPr>
                </pic:pic>
              </a:graphicData>
            </a:graphic>
          </wp:inline>
        </w:drawing>
      </w:r>
    </w:p>
    <w:p w14:paraId="1ADE3687" w14:textId="77777777" w:rsidR="001406B1" w:rsidRDefault="001406B1" w:rsidP="001406B1">
      <w:pPr>
        <w:rPr>
          <w:lang w:val="en-GB"/>
        </w:rPr>
      </w:pPr>
      <w:r>
        <w:rPr>
          <w:lang w:val="en-GB"/>
        </w:rPr>
        <w:t>If the IOPS is low, but the throughput is high, then the block size is large. Compare this with your expected block size, as they should not deviate greatly from plan.</w:t>
      </w:r>
    </w:p>
    <w:p w14:paraId="59DE96C8" w14:textId="77777777" w:rsidR="001406B1" w:rsidRDefault="001406B1" w:rsidP="001406B1">
      <w:pPr>
        <w:jc w:val="center"/>
        <w:rPr>
          <w:lang w:val="en-GB"/>
        </w:rPr>
      </w:pPr>
      <w:r>
        <w:rPr>
          <w:noProof/>
          <w:lang w:val="en-GB"/>
        </w:rPr>
        <w:drawing>
          <wp:inline distT="0" distB="0" distL="0" distR="0" wp14:anchorId="711283CF" wp14:editId="6E579774">
            <wp:extent cx="4510800" cy="547200"/>
            <wp:effectExtent l="0" t="0" r="4445" b="5715"/>
            <wp:docPr id="534447549" name="Picture 534447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4510800" cy="547200"/>
                    </a:xfrm>
                    <a:prstGeom prst="rect">
                      <a:avLst/>
                    </a:prstGeom>
                    <a:noFill/>
                    <a:ln>
                      <a:noFill/>
                    </a:ln>
                  </pic:spPr>
                </pic:pic>
              </a:graphicData>
            </a:graphic>
          </wp:inline>
        </w:drawing>
      </w:r>
    </w:p>
    <w:p w14:paraId="0F1D4AAA" w14:textId="0FFB922B" w:rsidR="004615D0" w:rsidRDefault="004615D0" w:rsidP="004615D0">
      <w:pPr>
        <w:pStyle w:val="Heading6"/>
      </w:pPr>
      <w:r>
        <w:t>Real-World Profiling</w:t>
      </w:r>
    </w:p>
    <w:p w14:paraId="7797CE48" w14:textId="3795F679" w:rsidR="007A3A78" w:rsidRDefault="007A3A78" w:rsidP="007A3A78">
      <w:pPr>
        <w:rPr>
          <w:lang w:val="en-GB"/>
        </w:rPr>
      </w:pPr>
      <w:r>
        <w:rPr>
          <w:lang w:val="en-GB"/>
        </w:rPr>
        <w:t xml:space="preserve">VM Disk IOPS and throughput vary widely among workload. For a single workload or VM, it also depends on whether you measure during its busy time or quiet time. </w:t>
      </w:r>
    </w:p>
    <w:p w14:paraId="15D19832" w14:textId="77777777" w:rsidR="007A3A78" w:rsidRDefault="007A3A78" w:rsidP="007A3A78">
      <w:pPr>
        <w:rPr>
          <w:lang w:val="en-GB"/>
        </w:rPr>
      </w:pPr>
      <w:r>
        <w:rPr>
          <w:lang w:val="en-GB"/>
        </w:rPr>
        <w:t>In the following example, I plotted from a 3500 production VMs. They are sorted by the largest IOPS on any given 5 minute. What’s your take?</w:t>
      </w:r>
    </w:p>
    <w:p w14:paraId="24C86958" w14:textId="77777777" w:rsidR="007A3A78" w:rsidRDefault="007A3A78" w:rsidP="007A3A78">
      <w:pPr>
        <w:jc w:val="center"/>
        <w:rPr>
          <w:lang w:val="en-GB"/>
        </w:rPr>
      </w:pPr>
      <w:r w:rsidRPr="003201E9">
        <w:rPr>
          <w:noProof/>
          <w:lang w:val="en-GB"/>
        </w:rPr>
        <w:lastRenderedPageBreak/>
        <w:drawing>
          <wp:inline distT="0" distB="0" distL="0" distR="0" wp14:anchorId="4BD1A6DD" wp14:editId="44FB52DD">
            <wp:extent cx="4845600" cy="2430000"/>
            <wp:effectExtent l="0" t="0" r="0" b="8890"/>
            <wp:docPr id="918289611" name="Picture 918289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4845600" cy="2430000"/>
                    </a:xfrm>
                    <a:prstGeom prst="rect">
                      <a:avLst/>
                    </a:prstGeom>
                  </pic:spPr>
                </pic:pic>
              </a:graphicData>
            </a:graphic>
          </wp:inline>
        </w:drawing>
      </w:r>
    </w:p>
    <w:p w14:paraId="377E0AC5" w14:textId="77777777" w:rsidR="007A3A78" w:rsidRDefault="007A3A78" w:rsidP="007A3A78">
      <w:pPr>
        <w:rPr>
          <w:lang w:val="en-GB"/>
        </w:rPr>
      </w:pPr>
      <w:r>
        <w:rPr>
          <w:lang w:val="en-GB"/>
        </w:rPr>
        <w:t xml:space="preserve">I think those numbers are high. At 1000 IOPS averaged over 5 minutes, that means 300,000 total IO commands that need to be processed. So 10K IOPS translates into 3 millions commands, which must be completed within 300 seconds. </w:t>
      </w:r>
    </w:p>
    <w:p w14:paraId="796FEB13" w14:textId="77777777" w:rsidR="007A3A78" w:rsidRDefault="007A3A78" w:rsidP="007A3A78">
      <w:pPr>
        <w:rPr>
          <w:lang w:val="en-GB"/>
        </w:rPr>
      </w:pPr>
      <w:r>
        <w:rPr>
          <w:lang w:val="en-GB"/>
        </w:rPr>
        <w:t xml:space="preserve">A high IOPS can also impact the pipe bandwidth, as it’s shared by many VMs and VMkernel. If a single VM chews up 1 Gb/s, you just need a handful of them to saturate 10 Gb ethernet link. </w:t>
      </w:r>
    </w:p>
    <w:p w14:paraId="559A2AFE" w14:textId="77777777" w:rsidR="007A3A78" w:rsidRDefault="007A3A78" w:rsidP="007A3A78">
      <w:pPr>
        <w:rPr>
          <w:lang w:val="en-GB"/>
        </w:rPr>
      </w:pPr>
      <w:r>
        <w:rPr>
          <w:lang w:val="en-GB"/>
        </w:rPr>
        <w:t xml:space="preserve">There is another problem, which is sustained load. The longer the time, the higher the chance that other VMs are affected. </w:t>
      </w:r>
    </w:p>
    <w:p w14:paraId="16702C1E" w14:textId="77777777" w:rsidR="007A3A78" w:rsidRPr="00785895" w:rsidRDefault="007A3A78" w:rsidP="007A3A78">
      <w:pPr>
        <w:rPr>
          <w:lang w:val="en-GB"/>
        </w:rPr>
      </w:pPr>
      <w:r>
        <w:rPr>
          <w:lang w:val="en-GB"/>
        </w:rPr>
        <w:t xml:space="preserve">In the following example, it’s a burst IOPS. Regardless, discuss with the application team if it is higher than expected. What’s normal from one application may not be for another. </w:t>
      </w:r>
    </w:p>
    <w:p w14:paraId="68592634" w14:textId="77777777" w:rsidR="007A3A78" w:rsidRDefault="007A3A78" w:rsidP="007A3A78">
      <w:pPr>
        <w:rPr>
          <w:lang w:val="en-GB"/>
        </w:rPr>
      </w:pPr>
      <w:r w:rsidRPr="00261B4B">
        <w:rPr>
          <w:noProof/>
          <w:lang w:val="en-GB"/>
        </w:rPr>
        <w:drawing>
          <wp:inline distT="0" distB="0" distL="0" distR="0" wp14:anchorId="78A6B54F" wp14:editId="2E868D6A">
            <wp:extent cx="6645910" cy="2248535"/>
            <wp:effectExtent l="0" t="0" r="2540" b="0"/>
            <wp:docPr id="918289612" name="Picture 918289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6645910" cy="2248535"/>
                    </a:xfrm>
                    <a:prstGeom prst="rect">
                      <a:avLst/>
                    </a:prstGeom>
                  </pic:spPr>
                </pic:pic>
              </a:graphicData>
            </a:graphic>
          </wp:inline>
        </w:drawing>
      </w:r>
    </w:p>
    <w:p w14:paraId="3F1B98A5" w14:textId="77777777" w:rsidR="007A3A78" w:rsidRDefault="007A3A78" w:rsidP="007A3A78">
      <w:pPr>
        <w:rPr>
          <w:lang w:val="en-GB"/>
        </w:rPr>
      </w:pPr>
      <w:r>
        <w:rPr>
          <w:lang w:val="en-GB"/>
        </w:rPr>
        <w:t>While there is no such thing as normal distribution or range, you can analyse your environment so you get a sense. I plotted all the 3500 VMs and almost 85% did not exceed 1000 IOPS in the last 1 week. The ones hitting &gt;5K IOPS only form around 3%.</w:t>
      </w:r>
    </w:p>
    <w:p w14:paraId="20BBC02B" w14:textId="77777777" w:rsidR="007A3A78" w:rsidRDefault="007A3A78" w:rsidP="007A3A78">
      <w:pPr>
        <w:jc w:val="center"/>
        <w:rPr>
          <w:lang w:val="en-GB"/>
        </w:rPr>
      </w:pPr>
      <w:r w:rsidRPr="00794805">
        <w:rPr>
          <w:noProof/>
          <w:lang w:val="en-GB"/>
        </w:rPr>
        <w:lastRenderedPageBreak/>
        <w:drawing>
          <wp:inline distT="0" distB="0" distL="0" distR="0" wp14:anchorId="7AEBDCC4" wp14:editId="4581536C">
            <wp:extent cx="4222800" cy="1720800"/>
            <wp:effectExtent l="0" t="0" r="6350" b="0"/>
            <wp:docPr id="918289613" name="Picture 918289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4222800" cy="1720800"/>
                    </a:xfrm>
                    <a:prstGeom prst="rect">
                      <a:avLst/>
                    </a:prstGeom>
                  </pic:spPr>
                </pic:pic>
              </a:graphicData>
            </a:graphic>
          </wp:inline>
        </w:drawing>
      </w:r>
    </w:p>
    <w:p w14:paraId="0372999F" w14:textId="77777777" w:rsidR="007A3A78" w:rsidRDefault="007A3A78" w:rsidP="007A3A78">
      <w:pPr>
        <w:rPr>
          <w:lang w:val="en-GB"/>
        </w:rPr>
      </w:pPr>
      <w:bookmarkStart w:id="103" w:name="_IOPS_Limit"/>
      <w:bookmarkEnd w:id="103"/>
      <w:r>
        <w:rPr>
          <w:lang w:val="en-GB"/>
        </w:rPr>
        <w:t xml:space="preserve">Lastly, there are storage DRS metric and seek size. </w:t>
      </w:r>
    </w:p>
    <w:p w14:paraId="5E7C2334" w14:textId="77777777" w:rsidR="007A3A78" w:rsidRDefault="007A3A78" w:rsidP="007A3A78">
      <w:pPr>
        <w:rPr>
          <w:lang w:val="en-GB"/>
        </w:rPr>
      </w:pPr>
      <w:r>
        <w:rPr>
          <w:noProof/>
          <w:lang w:val="en-GB"/>
        </w:rPr>
        <w:drawing>
          <wp:inline distT="0" distB="0" distL="0" distR="0" wp14:anchorId="5B5F75CE" wp14:editId="78373999">
            <wp:extent cx="6645910" cy="1283970"/>
            <wp:effectExtent l="0" t="0" r="2540" b="0"/>
            <wp:docPr id="534447550" name="Picture 534447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83">
                      <a:extLst>
                        <a:ext uri="{28A0092B-C50C-407E-A947-70E740481C1C}">
                          <a14:useLocalDpi xmlns:a14="http://schemas.microsoft.com/office/drawing/2010/main" val="0"/>
                        </a:ext>
                      </a:extLst>
                    </a:blip>
                    <a:srcRect/>
                    <a:stretch>
                      <a:fillRect/>
                    </a:stretch>
                  </pic:blipFill>
                  <pic:spPr bwMode="auto">
                    <a:xfrm>
                      <a:off x="0" y="0"/>
                      <a:ext cx="6645910" cy="1283970"/>
                    </a:xfrm>
                    <a:prstGeom prst="rect">
                      <a:avLst/>
                    </a:prstGeom>
                    <a:noFill/>
                    <a:ln>
                      <a:noFill/>
                    </a:ln>
                  </pic:spPr>
                </pic:pic>
              </a:graphicData>
            </a:graphic>
          </wp:inline>
        </w:drawing>
      </w:r>
    </w:p>
    <w:p w14:paraId="5DC7FD5F" w14:textId="77777777" w:rsidR="007A3A78" w:rsidRDefault="007A3A78" w:rsidP="007A3A78">
      <w:pPr>
        <w:pStyle w:val="Heading6"/>
      </w:pPr>
      <w:r>
        <w:t>IOPS Limit</w:t>
      </w:r>
    </w:p>
    <w:p w14:paraId="5C5017DA" w14:textId="77777777" w:rsidR="007A3A78" w:rsidRDefault="007A3A78" w:rsidP="007A3A78">
      <w:pPr>
        <w:rPr>
          <w:lang w:val="en-GB"/>
        </w:rPr>
      </w:pPr>
      <w:r>
        <w:rPr>
          <w:lang w:val="en-GB"/>
        </w:rPr>
        <w:t>You can set the limit for a VM. Note that the limit is per virtual disk, not per VM.</w:t>
      </w:r>
    </w:p>
    <w:p w14:paraId="07AFE715" w14:textId="77777777" w:rsidR="007A3A78" w:rsidRDefault="007A3A78" w:rsidP="007A3A78">
      <w:pPr>
        <w:rPr>
          <w:lang w:val="en-GB"/>
        </w:rPr>
      </w:pPr>
      <w:r w:rsidRPr="00D27E7B">
        <w:rPr>
          <w:noProof/>
          <w:lang w:val="en-GB"/>
        </w:rPr>
        <w:drawing>
          <wp:inline distT="0" distB="0" distL="0" distR="0" wp14:anchorId="0D6A38C5" wp14:editId="3F108B93">
            <wp:extent cx="6645910" cy="1774825"/>
            <wp:effectExtent l="0" t="0" r="2540" b="0"/>
            <wp:docPr id="910169591" name="Picture 910169591"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91" name="Picture 910169591" descr="Graphical user interface, application, table&#10;&#10;Description automatically generated"/>
                    <pic:cNvPicPr/>
                  </pic:nvPicPr>
                  <pic:blipFill>
                    <a:blip r:embed="rId584"/>
                    <a:stretch>
                      <a:fillRect/>
                    </a:stretch>
                  </pic:blipFill>
                  <pic:spPr>
                    <a:xfrm>
                      <a:off x="0" y="0"/>
                      <a:ext cx="6645910" cy="1774825"/>
                    </a:xfrm>
                    <a:prstGeom prst="rect">
                      <a:avLst/>
                    </a:prstGeom>
                  </pic:spPr>
                </pic:pic>
              </a:graphicData>
            </a:graphic>
          </wp:inline>
        </w:drawing>
      </w:r>
    </w:p>
    <w:p w14:paraId="0240BECA" w14:textId="77777777" w:rsidR="007A3A78" w:rsidRPr="00D27E7B" w:rsidRDefault="007A3A78" w:rsidP="007A3A78">
      <w:pPr>
        <w:rPr>
          <w:lang w:val="en-GB"/>
        </w:rPr>
      </w:pPr>
      <w:r>
        <w:rPr>
          <w:lang w:val="en-GB"/>
        </w:rPr>
        <w:t xml:space="preserve">A few rows below, and you will see the following. </w:t>
      </w:r>
    </w:p>
    <w:p w14:paraId="08E3FAAB" w14:textId="77777777" w:rsidR="007A3A78" w:rsidRDefault="007A3A78" w:rsidP="007A3A78">
      <w:pPr>
        <w:rPr>
          <w:lang w:val="en-GB"/>
        </w:rPr>
      </w:pPr>
      <w:r w:rsidRPr="00D27E7B">
        <w:rPr>
          <w:noProof/>
          <w:lang w:val="en-GB"/>
        </w:rPr>
        <w:drawing>
          <wp:inline distT="0" distB="0" distL="0" distR="0" wp14:anchorId="78C74E1B" wp14:editId="110C5B7F">
            <wp:extent cx="6645910" cy="362585"/>
            <wp:effectExtent l="0" t="0" r="254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6645910" cy="362585"/>
                    </a:xfrm>
                    <a:prstGeom prst="rect">
                      <a:avLst/>
                    </a:prstGeom>
                  </pic:spPr>
                </pic:pic>
              </a:graphicData>
            </a:graphic>
          </wp:inline>
        </w:drawing>
      </w:r>
    </w:p>
    <w:p w14:paraId="2D1416D7" w14:textId="77777777" w:rsidR="007A3A78" w:rsidRDefault="007A3A78" w:rsidP="007A3A78">
      <w:pPr>
        <w:rPr>
          <w:lang w:val="en-GB"/>
        </w:rPr>
      </w:pPr>
      <w:r>
        <w:rPr>
          <w:lang w:val="en-GB"/>
        </w:rPr>
        <w:t>The default setting is no limit, which is what I recommend.</w:t>
      </w:r>
    </w:p>
    <w:p w14:paraId="76BD00B9" w14:textId="77777777" w:rsidR="007A3A78" w:rsidRDefault="007A3A78" w:rsidP="007A3A78">
      <w:pPr>
        <w:rPr>
          <w:lang w:val="en-GB"/>
        </w:rPr>
      </w:pPr>
      <w:r>
        <w:rPr>
          <w:lang w:val="en-GB"/>
        </w:rPr>
        <w:t>Take note that since the limit is applied at VM level, the metrics that will show high latency is at Guest OS levels. The VM metric will not show high latency, as the IO that were allowed to pass was not affected by this limit. This is no different to any problem at Guest OS layer. For example, if LSI Logic or PVSCSI driver is causing problem, the VM will not report anything as it’s below the Guest OS driver.</w:t>
      </w:r>
    </w:p>
    <w:p w14:paraId="742FF5DE" w14:textId="3681E591" w:rsidR="001214D2" w:rsidRDefault="001214D2" w:rsidP="007A3A78">
      <w:pPr>
        <w:rPr>
          <w:lang w:val="en-GB"/>
        </w:rPr>
      </w:pPr>
      <w:r>
        <w:rPr>
          <w:lang w:val="en-GB"/>
        </w:rPr>
        <w:t xml:space="preserve">Aria </w:t>
      </w:r>
      <w:r w:rsidR="007A3A78">
        <w:rPr>
          <w:lang w:val="en-GB"/>
        </w:rPr>
        <w:t xml:space="preserve">Operations </w:t>
      </w:r>
      <w:r>
        <w:rPr>
          <w:lang w:val="en-GB"/>
        </w:rPr>
        <w:t xml:space="preserve">have </w:t>
      </w:r>
      <w:r w:rsidR="007A3A78">
        <w:rPr>
          <w:lang w:val="en-GB"/>
        </w:rPr>
        <w:t xml:space="preserve">the </w:t>
      </w:r>
      <w:r>
        <w:rPr>
          <w:lang w:val="en-GB"/>
        </w:rPr>
        <w:t>following related data at each virtual disk</w:t>
      </w:r>
    </w:p>
    <w:p w14:paraId="76CB64AB" w14:textId="27773CBF" w:rsidR="001214D2" w:rsidRDefault="001214D2" w:rsidP="001214D2">
      <w:pPr>
        <w:pStyle w:val="Bullet"/>
        <w:rPr>
          <w:lang w:val="en-GB"/>
        </w:rPr>
      </w:pPr>
      <w:r>
        <w:rPr>
          <w:lang w:val="en-GB"/>
        </w:rPr>
        <w:t xml:space="preserve">IOPS Limit property. </w:t>
      </w:r>
    </w:p>
    <w:p w14:paraId="16A914F6" w14:textId="2DE868FB" w:rsidR="007A3A78" w:rsidRDefault="007A3A78" w:rsidP="001214D2">
      <w:pPr>
        <w:pStyle w:val="Bullet"/>
        <w:rPr>
          <w:lang w:val="en-GB"/>
        </w:rPr>
      </w:pPr>
      <w:r>
        <w:rPr>
          <w:lang w:val="en-GB"/>
        </w:rPr>
        <w:t>IOPS per GB</w:t>
      </w:r>
      <w:r w:rsidR="001214D2">
        <w:rPr>
          <w:lang w:val="en-GB"/>
        </w:rPr>
        <w:t xml:space="preserve"> metric. </w:t>
      </w:r>
    </w:p>
    <w:p w14:paraId="1FEEA666" w14:textId="77777777" w:rsidR="001406B1" w:rsidRDefault="001406B1" w:rsidP="00B90FCA">
      <w:pPr>
        <w:pStyle w:val="Heading4"/>
      </w:pPr>
      <w:r>
        <w:lastRenderedPageBreak/>
        <w:t>Disk</w:t>
      </w:r>
    </w:p>
    <w:p w14:paraId="217249C9" w14:textId="77777777" w:rsidR="001406B1" w:rsidRDefault="001406B1" w:rsidP="001406B1">
      <w:pPr>
        <w:rPr>
          <w:noProof/>
          <w:lang w:val="en-GB"/>
        </w:rPr>
      </w:pPr>
      <w:r>
        <w:rPr>
          <w:noProof/>
          <w:lang w:val="en-GB"/>
        </w:rPr>
        <w:t>I think this should be called Physical Disk or Device, as the terminology “</w:t>
      </w:r>
      <w:r w:rsidRPr="000B0E1B">
        <w:rPr>
          <w:noProof/>
          <w:color w:val="00B0F0"/>
          <w:lang w:val="en-GB"/>
        </w:rPr>
        <w:t>disk</w:t>
      </w:r>
      <w:r>
        <w:rPr>
          <w:noProof/>
          <w:lang w:val="en-GB"/>
        </w:rPr>
        <w:t>” sounds like a superset of virtual disk.</w:t>
      </w:r>
    </w:p>
    <w:p w14:paraId="3885565F" w14:textId="77777777" w:rsidR="001406B1" w:rsidRDefault="001406B1" w:rsidP="001406B1">
      <w:pPr>
        <w:rPr>
          <w:noProof/>
          <w:lang w:val="en-GB"/>
        </w:rPr>
      </w:pPr>
      <w:r>
        <w:rPr>
          <w:noProof/>
          <w:lang w:val="en-GB"/>
        </w:rPr>
        <w:t>Disk means device, so we’re measuring at LUN level or RDM level. It’s great to know that we can associate the metrics back to the VM. Notice we can’t associate it to specific virtual disk. This is one benefit of keeping all the VM files in 1 datastore.</w:t>
      </w:r>
    </w:p>
    <w:p w14:paraId="6E4F56BF" w14:textId="77777777" w:rsidR="001406B1" w:rsidRDefault="001406B1" w:rsidP="001406B1">
      <w:pPr>
        <w:jc w:val="center"/>
        <w:rPr>
          <w:noProof/>
          <w:lang w:val="en-GB"/>
        </w:rPr>
      </w:pPr>
      <w:r w:rsidRPr="00BF28F9">
        <w:rPr>
          <w:noProof/>
          <w:lang w:val="en-GB"/>
        </w:rPr>
        <w:drawing>
          <wp:inline distT="0" distB="0" distL="0" distR="0" wp14:anchorId="41955DFE" wp14:editId="1A43A388">
            <wp:extent cx="4254719" cy="1244664"/>
            <wp:effectExtent l="0" t="0" r="0" b="0"/>
            <wp:docPr id="750070361" name="Picture 75007036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61" name="Picture 750070361" descr="Graphical user interface, text, application, email&#10;&#10;Description automatically generated"/>
                    <pic:cNvPicPr/>
                  </pic:nvPicPr>
                  <pic:blipFill>
                    <a:blip r:embed="rId586"/>
                    <a:stretch>
                      <a:fillRect/>
                    </a:stretch>
                  </pic:blipFill>
                  <pic:spPr>
                    <a:xfrm>
                      <a:off x="0" y="0"/>
                      <a:ext cx="4254719" cy="1244664"/>
                    </a:xfrm>
                    <a:prstGeom prst="rect">
                      <a:avLst/>
                    </a:prstGeom>
                  </pic:spPr>
                </pic:pic>
              </a:graphicData>
            </a:graphic>
          </wp:inline>
        </w:drawing>
      </w:r>
    </w:p>
    <w:p w14:paraId="74BFCE3A" w14:textId="77777777" w:rsidR="001406B1" w:rsidRDefault="001406B1" w:rsidP="001406B1">
      <w:pPr>
        <w:rPr>
          <w:noProof/>
          <w:lang w:val="en-GB"/>
        </w:rPr>
      </w:pPr>
      <w:r>
        <w:rPr>
          <w:noProof/>
          <w:lang w:val="en-GB"/>
        </w:rPr>
        <w:t>Also, depending on the metric, the association is at the disk level. So I’m not 100% sure if the value is per VM or per disk (which typically has many VM).</w:t>
      </w:r>
    </w:p>
    <w:p w14:paraId="7D577630" w14:textId="77777777" w:rsidR="001406B1" w:rsidRDefault="001406B1" w:rsidP="001406B1">
      <w:pPr>
        <w:rPr>
          <w:noProof/>
          <w:lang w:val="en-GB"/>
        </w:rPr>
      </w:pPr>
      <w:r w:rsidRPr="00B12196">
        <w:rPr>
          <w:noProof/>
          <w:lang w:val="en-GB"/>
        </w:rPr>
        <w:drawing>
          <wp:inline distT="0" distB="0" distL="0" distR="0" wp14:anchorId="2FE54C1C" wp14:editId="0AA58E64">
            <wp:extent cx="6645910" cy="2728595"/>
            <wp:effectExtent l="0" t="0" r="2540" b="0"/>
            <wp:docPr id="1085195904" name="Picture 1085195904"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04" name="Picture 1085195904" descr="Graphical user interface, table&#10;&#10;Description automatically generated"/>
                    <pic:cNvPicPr/>
                  </pic:nvPicPr>
                  <pic:blipFill>
                    <a:blip r:embed="rId587"/>
                    <a:stretch>
                      <a:fillRect/>
                    </a:stretch>
                  </pic:blipFill>
                  <pic:spPr>
                    <a:xfrm>
                      <a:off x="0" y="0"/>
                      <a:ext cx="6645910" cy="2728595"/>
                    </a:xfrm>
                    <a:prstGeom prst="rect">
                      <a:avLst/>
                    </a:prstGeom>
                  </pic:spPr>
                </pic:pic>
              </a:graphicData>
            </a:graphic>
          </wp:inline>
        </w:drawing>
      </w:r>
    </w:p>
    <w:p w14:paraId="1F5DF7AA" w14:textId="77777777" w:rsidR="001406B1" w:rsidRDefault="001406B1" w:rsidP="001406B1">
      <w:pPr>
        <w:rPr>
          <w:noProof/>
          <w:lang w:val="en-GB"/>
        </w:rPr>
      </w:pPr>
      <w:r>
        <w:rPr>
          <w:noProof/>
          <w:lang w:val="en-GB"/>
        </w:rPr>
        <w:t>As usual, we start with error metrics before we look at latency.</w:t>
      </w:r>
    </w:p>
    <w:p w14:paraId="72F301B5" w14:textId="77777777" w:rsidR="001406B1" w:rsidRDefault="001406B1" w:rsidP="001406B1">
      <w:pPr>
        <w:rPr>
          <w:lang w:val="en-GB"/>
        </w:rPr>
      </w:pPr>
      <w:r>
        <w:rPr>
          <w:noProof/>
          <w:lang w:val="en-GB"/>
        </w:rPr>
        <w:drawing>
          <wp:inline distT="0" distB="0" distL="0" distR="0" wp14:anchorId="0C5438FF" wp14:editId="161B37A0">
            <wp:extent cx="6645910" cy="586740"/>
            <wp:effectExtent l="0" t="0" r="2540" b="3810"/>
            <wp:docPr id="750070356" name="Picture 750070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6645910" cy="586740"/>
                    </a:xfrm>
                    <a:prstGeom prst="rect">
                      <a:avLst/>
                    </a:prstGeom>
                    <a:noFill/>
                    <a:ln>
                      <a:noFill/>
                    </a:ln>
                  </pic:spPr>
                </pic:pic>
              </a:graphicData>
            </a:graphic>
          </wp:inline>
        </w:drawing>
      </w:r>
    </w:p>
    <w:p w14:paraId="6F956B7F" w14:textId="77777777" w:rsidR="001406B1" w:rsidRDefault="001406B1" w:rsidP="001406B1">
      <w:pPr>
        <w:rPr>
          <w:lang w:val="en-GB"/>
        </w:rPr>
      </w:pPr>
      <w:r>
        <w:rPr>
          <w:lang w:val="en-GB"/>
        </w:rPr>
        <w:t>For latency, there is no breakdown. It’s also the highest among all disks. Take note the roll-up is latest.</w:t>
      </w:r>
    </w:p>
    <w:p w14:paraId="5249D2F5" w14:textId="77777777" w:rsidR="001406B1" w:rsidRDefault="001406B1" w:rsidP="001406B1">
      <w:pPr>
        <w:rPr>
          <w:lang w:val="en-GB"/>
        </w:rPr>
      </w:pPr>
      <w:r>
        <w:rPr>
          <w:noProof/>
          <w:lang w:val="en-GB"/>
        </w:rPr>
        <w:drawing>
          <wp:inline distT="0" distB="0" distL="0" distR="0" wp14:anchorId="2D31B650" wp14:editId="672BF5F3">
            <wp:extent cx="6645910" cy="339725"/>
            <wp:effectExtent l="0" t="0" r="2540" b="3175"/>
            <wp:docPr id="750070357" name="Picture 750070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89">
                      <a:extLst>
                        <a:ext uri="{28A0092B-C50C-407E-A947-70E740481C1C}">
                          <a14:useLocalDpi xmlns:a14="http://schemas.microsoft.com/office/drawing/2010/main" val="0"/>
                        </a:ext>
                      </a:extLst>
                    </a:blip>
                    <a:srcRect/>
                    <a:stretch>
                      <a:fillRect/>
                    </a:stretch>
                  </pic:blipFill>
                  <pic:spPr bwMode="auto">
                    <a:xfrm>
                      <a:off x="0" y="0"/>
                      <a:ext cx="6645910" cy="339725"/>
                    </a:xfrm>
                    <a:prstGeom prst="rect">
                      <a:avLst/>
                    </a:prstGeom>
                    <a:noFill/>
                    <a:ln>
                      <a:noFill/>
                    </a:ln>
                  </pic:spPr>
                </pic:pic>
              </a:graphicData>
            </a:graphic>
          </wp:inline>
        </w:drawing>
      </w:r>
    </w:p>
    <w:p w14:paraId="752EE987" w14:textId="77777777" w:rsidR="001406B1" w:rsidRDefault="001406B1" w:rsidP="001406B1">
      <w:pPr>
        <w:rPr>
          <w:lang w:val="en-GB"/>
        </w:rPr>
      </w:pPr>
      <w:r>
        <w:rPr>
          <w:lang w:val="en-GB"/>
        </w:rPr>
        <w:t xml:space="preserve">There are 2 sets of metrics for IOPS. Both are basically the same. One if the total number of IO in the collection period, while the other one is average of 1 second. </w:t>
      </w:r>
    </w:p>
    <w:p w14:paraId="23C1C8CB" w14:textId="77777777" w:rsidR="001406B1" w:rsidRDefault="001406B1" w:rsidP="001406B1">
      <w:pPr>
        <w:rPr>
          <w:lang w:val="en-GB"/>
        </w:rPr>
      </w:pPr>
      <w:r>
        <w:rPr>
          <w:noProof/>
          <w:lang w:val="en-GB"/>
        </w:rPr>
        <w:lastRenderedPageBreak/>
        <w:drawing>
          <wp:inline distT="0" distB="0" distL="0" distR="0" wp14:anchorId="1C8751C8" wp14:editId="0E592BB8">
            <wp:extent cx="6645910" cy="1541780"/>
            <wp:effectExtent l="0" t="0" r="2540" b="1270"/>
            <wp:docPr id="750070358" name="Picture 75007035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58" name="Picture 750070358" descr="Table&#10;&#10;Description automatically generated"/>
                    <pic:cNvPicPr>
                      <a:picLocks noChangeAspect="1" noChangeArrowheads="1"/>
                    </pic:cNvPicPr>
                  </pic:nvPicPr>
                  <pic:blipFill>
                    <a:blip r:embed="rId590">
                      <a:extLst>
                        <a:ext uri="{28A0092B-C50C-407E-A947-70E740481C1C}">
                          <a14:useLocalDpi xmlns:a14="http://schemas.microsoft.com/office/drawing/2010/main" val="0"/>
                        </a:ext>
                      </a:extLst>
                    </a:blip>
                    <a:srcRect/>
                    <a:stretch>
                      <a:fillRect/>
                    </a:stretch>
                  </pic:blipFill>
                  <pic:spPr bwMode="auto">
                    <a:xfrm>
                      <a:off x="0" y="0"/>
                      <a:ext cx="6645910" cy="1541780"/>
                    </a:xfrm>
                    <a:prstGeom prst="rect">
                      <a:avLst/>
                    </a:prstGeom>
                    <a:noFill/>
                    <a:ln>
                      <a:noFill/>
                    </a:ln>
                  </pic:spPr>
                </pic:pic>
              </a:graphicData>
            </a:graphic>
          </wp:inline>
        </w:drawing>
      </w:r>
    </w:p>
    <w:p w14:paraId="5C40EB30" w14:textId="77777777" w:rsidR="001406B1" w:rsidRDefault="001406B1" w:rsidP="001406B1">
      <w:pPr>
        <w:rPr>
          <w:lang w:val="en-GB"/>
        </w:rPr>
      </w:pPr>
      <w:r>
        <w:rPr>
          <w:lang w:val="en-GB"/>
        </w:rPr>
        <w:t>There are the usual metrics for throughput.</w:t>
      </w:r>
    </w:p>
    <w:p w14:paraId="418B694D" w14:textId="77777777" w:rsidR="001406B1" w:rsidRDefault="001406B1" w:rsidP="001406B1">
      <w:pPr>
        <w:rPr>
          <w:lang w:val="en-GB"/>
        </w:rPr>
      </w:pPr>
      <w:r>
        <w:rPr>
          <w:noProof/>
          <w:lang w:val="en-GB"/>
        </w:rPr>
        <w:drawing>
          <wp:inline distT="0" distB="0" distL="0" distR="0" wp14:anchorId="0DEEDEF4" wp14:editId="1FEBF775">
            <wp:extent cx="6640830" cy="644525"/>
            <wp:effectExtent l="0" t="0" r="7620" b="3175"/>
            <wp:docPr id="750070359" name="Picture 750070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91">
                      <a:extLst>
                        <a:ext uri="{28A0092B-C50C-407E-A947-70E740481C1C}">
                          <a14:useLocalDpi xmlns:a14="http://schemas.microsoft.com/office/drawing/2010/main" val="0"/>
                        </a:ext>
                      </a:extLst>
                    </a:blip>
                    <a:srcRect/>
                    <a:stretch>
                      <a:fillRect/>
                    </a:stretch>
                  </pic:blipFill>
                  <pic:spPr bwMode="auto">
                    <a:xfrm>
                      <a:off x="0" y="0"/>
                      <a:ext cx="6640830" cy="644525"/>
                    </a:xfrm>
                    <a:prstGeom prst="rect">
                      <a:avLst/>
                    </a:prstGeom>
                    <a:noFill/>
                    <a:ln>
                      <a:noFill/>
                    </a:ln>
                  </pic:spPr>
                </pic:pic>
              </a:graphicData>
            </a:graphic>
          </wp:inline>
        </w:drawing>
      </w:r>
    </w:p>
    <w:p w14:paraId="1C539926" w14:textId="77777777" w:rsidR="001406B1" w:rsidRDefault="001406B1" w:rsidP="001406B1">
      <w:pPr>
        <w:rPr>
          <w:lang w:val="en-GB"/>
        </w:rPr>
      </w:pPr>
      <w:r>
        <w:rPr>
          <w:lang w:val="en-GB"/>
        </w:rPr>
        <w:t>It will be great to have block size, especially the maximum one during the collection period.</w:t>
      </w:r>
    </w:p>
    <w:p w14:paraId="4E27090A" w14:textId="77777777" w:rsidR="001406B1" w:rsidRDefault="001406B1" w:rsidP="00B90FCA">
      <w:pPr>
        <w:pStyle w:val="Heading4"/>
      </w:pPr>
      <w:r>
        <w:t>Datastore</w:t>
      </w:r>
    </w:p>
    <w:p w14:paraId="4A92B45A" w14:textId="77777777" w:rsidR="001406B1" w:rsidRDefault="001406B1" w:rsidP="001406B1">
      <w:pPr>
        <w:rPr>
          <w:lang w:val="en-GB"/>
        </w:rPr>
      </w:pPr>
      <w:r>
        <w:rPr>
          <w:lang w:val="en-GB"/>
        </w:rPr>
        <w:t>Just like LUN level, we lose the breakdown at virtual disk. The metric is only available at VM level.</w:t>
      </w:r>
    </w:p>
    <w:p w14:paraId="791DB3DD" w14:textId="77777777" w:rsidR="001406B1" w:rsidRDefault="001406B1" w:rsidP="001406B1">
      <w:pPr>
        <w:jc w:val="center"/>
        <w:rPr>
          <w:lang w:val="en-GB"/>
        </w:rPr>
      </w:pPr>
      <w:r w:rsidRPr="00BF28F9">
        <w:rPr>
          <w:noProof/>
          <w:lang w:val="en-GB"/>
        </w:rPr>
        <w:drawing>
          <wp:inline distT="0" distB="0" distL="0" distR="0" wp14:anchorId="3A80FB8D" wp14:editId="013F24F9">
            <wp:extent cx="4254719" cy="1244664"/>
            <wp:effectExtent l="0" t="0" r="0" b="0"/>
            <wp:docPr id="750070362" name="Picture 75007036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61" name="Picture 750070361" descr="Graphical user interface, text, application, email&#10;&#10;Description automatically generated"/>
                    <pic:cNvPicPr/>
                  </pic:nvPicPr>
                  <pic:blipFill>
                    <a:blip r:embed="rId586"/>
                    <a:stretch>
                      <a:fillRect/>
                    </a:stretch>
                  </pic:blipFill>
                  <pic:spPr>
                    <a:xfrm>
                      <a:off x="0" y="0"/>
                      <a:ext cx="4254719" cy="1244664"/>
                    </a:xfrm>
                    <a:prstGeom prst="rect">
                      <a:avLst/>
                    </a:prstGeom>
                  </pic:spPr>
                </pic:pic>
              </a:graphicData>
            </a:graphic>
          </wp:inline>
        </w:drawing>
      </w:r>
    </w:p>
    <w:p w14:paraId="038A16F5" w14:textId="77777777" w:rsidR="001406B1" w:rsidRDefault="001406B1" w:rsidP="001406B1">
      <w:pPr>
        <w:rPr>
          <w:lang w:val="en-GB"/>
        </w:rPr>
      </w:pPr>
      <w:r>
        <w:rPr>
          <w:lang w:val="en-GB"/>
        </w:rPr>
        <w:t>For contention, only latency is provided. There is no outstanding IO.</w:t>
      </w:r>
    </w:p>
    <w:p w14:paraId="639F573F" w14:textId="77777777" w:rsidR="001406B1" w:rsidRDefault="001406B1" w:rsidP="001406B1">
      <w:pPr>
        <w:jc w:val="center"/>
        <w:rPr>
          <w:lang w:val="en-GB"/>
        </w:rPr>
      </w:pPr>
      <w:r>
        <w:rPr>
          <w:noProof/>
          <w:lang w:val="en-GB"/>
        </w:rPr>
        <w:drawing>
          <wp:inline distT="0" distB="0" distL="0" distR="0" wp14:anchorId="6E7A0247" wp14:editId="59B642DF">
            <wp:extent cx="6645910" cy="1033780"/>
            <wp:effectExtent l="0" t="0" r="2540" b="0"/>
            <wp:docPr id="1085195909" name="Picture 1085195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2">
                      <a:extLst>
                        <a:ext uri="{28A0092B-C50C-407E-A947-70E740481C1C}">
                          <a14:useLocalDpi xmlns:a14="http://schemas.microsoft.com/office/drawing/2010/main" val="0"/>
                        </a:ext>
                      </a:extLst>
                    </a:blip>
                    <a:srcRect/>
                    <a:stretch>
                      <a:fillRect/>
                    </a:stretch>
                  </pic:blipFill>
                  <pic:spPr bwMode="auto">
                    <a:xfrm>
                      <a:off x="0" y="0"/>
                      <a:ext cx="6645910" cy="1033780"/>
                    </a:xfrm>
                    <a:prstGeom prst="rect">
                      <a:avLst/>
                    </a:prstGeom>
                    <a:noFill/>
                    <a:ln>
                      <a:noFill/>
                    </a:ln>
                  </pic:spPr>
                </pic:pic>
              </a:graphicData>
            </a:graphic>
          </wp:inline>
        </w:drawing>
      </w:r>
    </w:p>
    <w:p w14:paraId="72E2E619" w14:textId="77777777" w:rsidR="001406B1" w:rsidRDefault="001406B1" w:rsidP="001406B1">
      <w:pPr>
        <w:rPr>
          <w:lang w:val="en-GB"/>
        </w:rPr>
      </w:pPr>
      <w:r>
        <w:rPr>
          <w:lang w:val="en-GB"/>
        </w:rPr>
        <w:t xml:space="preserve">The highest latency is useful for VMs with multiple datastores. But take note the roll-up is </w:t>
      </w:r>
      <w:r w:rsidRPr="005438C1">
        <w:rPr>
          <w:color w:val="FF0000"/>
          <w:lang w:val="en-GB"/>
        </w:rPr>
        <w:t>Latest</w:t>
      </w:r>
      <w:r>
        <w:rPr>
          <w:lang w:val="en-GB"/>
        </w:rPr>
        <w:t xml:space="preserve">, not average. </w:t>
      </w:r>
    </w:p>
    <w:p w14:paraId="05A24199" w14:textId="77777777" w:rsidR="001406B1" w:rsidRDefault="001406B1" w:rsidP="001406B1">
      <w:pPr>
        <w:rPr>
          <w:lang w:val="en-GB"/>
        </w:rPr>
      </w:pPr>
      <w:r>
        <w:rPr>
          <w:lang w:val="en-GB"/>
        </w:rPr>
        <w:t xml:space="preserve">For the read and write latency, the value in vRealize Operations is a raw mapping to these values </w:t>
      </w:r>
      <w:r w:rsidRPr="00F20CE8">
        <w:rPr>
          <w:lang w:val="en-GB"/>
        </w:rPr>
        <w:t>datastore.totalReadLatency.average</w:t>
      </w:r>
      <w:r>
        <w:rPr>
          <w:lang w:val="en-GB"/>
        </w:rPr>
        <w:t xml:space="preserve"> and </w:t>
      </w:r>
      <w:r w:rsidRPr="00F20CE8">
        <w:rPr>
          <w:lang w:val="en-GB"/>
        </w:rPr>
        <w:t>datastore.totalWriteLatency.average</w:t>
      </w:r>
    </w:p>
    <w:p w14:paraId="3CBB4F71" w14:textId="77777777" w:rsidR="001406B1" w:rsidRDefault="001406B1" w:rsidP="001406B1">
      <w:pPr>
        <w:rPr>
          <w:lang w:val="en-GB"/>
        </w:rPr>
      </w:pPr>
      <w:r>
        <w:rPr>
          <w:lang w:val="en-GB"/>
        </w:rPr>
        <w:t xml:space="preserve">For utilization, both IOPS and throughput are provided. </w:t>
      </w:r>
    </w:p>
    <w:p w14:paraId="78E3791D" w14:textId="77777777" w:rsidR="001406B1" w:rsidRDefault="001406B1" w:rsidP="001406B1">
      <w:pPr>
        <w:rPr>
          <w:lang w:val="en-GB"/>
        </w:rPr>
      </w:pPr>
      <w:r>
        <w:rPr>
          <w:noProof/>
          <w:lang w:val="en-GB"/>
        </w:rPr>
        <w:lastRenderedPageBreak/>
        <w:drawing>
          <wp:inline distT="0" distB="0" distL="0" distR="0" wp14:anchorId="40304BBD" wp14:editId="17D66CA0">
            <wp:extent cx="6639560" cy="922655"/>
            <wp:effectExtent l="0" t="0" r="8890" b="0"/>
            <wp:docPr id="1085195910" name="Picture 1085195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3" cstate="print">
                      <a:extLst>
                        <a:ext uri="{28A0092B-C50C-407E-A947-70E740481C1C}">
                          <a14:useLocalDpi xmlns:a14="http://schemas.microsoft.com/office/drawing/2010/main" val="0"/>
                        </a:ext>
                      </a:extLst>
                    </a:blip>
                    <a:srcRect/>
                    <a:stretch>
                      <a:fillRect/>
                    </a:stretch>
                  </pic:blipFill>
                  <pic:spPr bwMode="auto">
                    <a:xfrm>
                      <a:off x="0" y="0"/>
                      <a:ext cx="6639560" cy="922655"/>
                    </a:xfrm>
                    <a:prstGeom prst="rect">
                      <a:avLst/>
                    </a:prstGeom>
                    <a:noFill/>
                    <a:ln>
                      <a:noFill/>
                    </a:ln>
                  </pic:spPr>
                </pic:pic>
              </a:graphicData>
            </a:graphic>
          </wp:inline>
        </w:drawing>
      </w:r>
    </w:p>
    <w:p w14:paraId="49AA5049" w14:textId="77777777" w:rsidR="001406B1" w:rsidRPr="00F20CE8" w:rsidRDefault="001406B1" w:rsidP="001406B1">
      <w:pPr>
        <w:rPr>
          <w:lang w:val="en-GB"/>
        </w:rPr>
      </w:pPr>
      <w:r>
        <w:rPr>
          <w:lang w:val="en-GB"/>
        </w:rPr>
        <w:t xml:space="preserve">For the IOPS, the value in vRealize Operations is a raw mapping to these values </w:t>
      </w:r>
      <w:r w:rsidRPr="00F20CE8">
        <w:rPr>
          <w:lang w:val="en-GB"/>
        </w:rPr>
        <w:t>datastore.numberReadAveraged.average</w:t>
      </w:r>
      <w:r>
        <w:rPr>
          <w:lang w:val="en-GB"/>
        </w:rPr>
        <w:t xml:space="preserve"> and </w:t>
      </w:r>
      <w:r w:rsidRPr="00F20CE8">
        <w:rPr>
          <w:lang w:val="en-GB"/>
        </w:rPr>
        <w:t>datastore.numberWriteAveraged.average</w:t>
      </w:r>
    </w:p>
    <w:p w14:paraId="25D6D903" w14:textId="77777777" w:rsidR="001406B1" w:rsidRDefault="001406B1" w:rsidP="001406B1">
      <w:pPr>
        <w:rPr>
          <w:lang w:val="en-GB"/>
        </w:rPr>
      </w:pPr>
      <w:r>
        <w:rPr>
          <w:lang w:val="en-GB"/>
        </w:rPr>
        <w:t xml:space="preserve">Review the following screenshot. Notice something strange among the 3 metrics? </w:t>
      </w:r>
    </w:p>
    <w:p w14:paraId="3E500F6C" w14:textId="77777777" w:rsidR="001406B1" w:rsidRDefault="001406B1" w:rsidP="001406B1">
      <w:pPr>
        <w:rPr>
          <w:lang w:val="en-GB"/>
        </w:rPr>
      </w:pPr>
      <w:r w:rsidRPr="00866ABC">
        <w:rPr>
          <w:noProof/>
          <w:lang w:val="en-GB"/>
        </w:rPr>
        <w:drawing>
          <wp:inline distT="0" distB="0" distL="0" distR="0" wp14:anchorId="1811FD3C" wp14:editId="052CA8BD">
            <wp:extent cx="6645910" cy="2533015"/>
            <wp:effectExtent l="0" t="0" r="2540" b="635"/>
            <wp:docPr id="1085195906" name="Picture 108519590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06" name="Picture 1085195906" descr="Chart&#10;&#10;Description automatically generated"/>
                    <pic:cNvPicPr/>
                  </pic:nvPicPr>
                  <pic:blipFill>
                    <a:blip r:embed="rId594"/>
                    <a:stretch>
                      <a:fillRect/>
                    </a:stretch>
                  </pic:blipFill>
                  <pic:spPr>
                    <a:xfrm>
                      <a:off x="0" y="0"/>
                      <a:ext cx="6645910" cy="2533015"/>
                    </a:xfrm>
                    <a:prstGeom prst="rect">
                      <a:avLst/>
                    </a:prstGeom>
                  </pic:spPr>
                </pic:pic>
              </a:graphicData>
            </a:graphic>
          </wp:inline>
        </w:drawing>
      </w:r>
    </w:p>
    <w:p w14:paraId="206C7914" w14:textId="77777777" w:rsidR="001406B1" w:rsidRDefault="001406B1" w:rsidP="001406B1">
      <w:pPr>
        <w:rPr>
          <w:lang w:val="en-GB"/>
        </w:rPr>
      </w:pPr>
      <w:r>
        <w:rPr>
          <w:lang w:val="en-GB"/>
        </w:rPr>
        <w:t xml:space="preserve">Yes, the total IOPS at datastore level is much lower than the IOPS at physical disk and virtual disk levels. The IOPS at physical disk and virtual disk are identical over the last 7 days. They are quite active. </w:t>
      </w:r>
    </w:p>
    <w:p w14:paraId="7C6DBBBE" w14:textId="77777777" w:rsidR="001406B1" w:rsidRPr="003E68B0" w:rsidRDefault="001406B1" w:rsidP="001406B1">
      <w:pPr>
        <w:rPr>
          <w:lang w:val="en-GB"/>
        </w:rPr>
      </w:pPr>
      <w:r>
        <w:rPr>
          <w:lang w:val="en-GB"/>
        </w:rPr>
        <w:t xml:space="preserve">The IOPS at datastore level is much lower, and only spike once a day. This VM is an Oracle EBS VM with 26 virtual disks. Majority of its disks are RDM, hence the IOPS hitting the datastore is much less. </w:t>
      </w:r>
    </w:p>
    <w:p w14:paraId="77D41A92" w14:textId="77777777" w:rsidR="001406B1" w:rsidRDefault="001406B1" w:rsidP="00B90FCA">
      <w:pPr>
        <w:pStyle w:val="Heading4"/>
      </w:pPr>
      <w:r>
        <w:t>Snapshot Impact</w:t>
      </w:r>
    </w:p>
    <w:p w14:paraId="1F0C599D" w14:textId="77777777" w:rsidR="001406B1" w:rsidRDefault="001406B1" w:rsidP="001406B1">
      <w:pPr>
        <w:rPr>
          <w:lang w:val="en-GB"/>
        </w:rPr>
      </w:pPr>
      <w:r>
        <w:rPr>
          <w:lang w:val="en-GB"/>
        </w:rPr>
        <w:t>Snapshot requires additional read operations, as the reads have to be performed on all the snapshots. The impact on write is less. I’m not sure why it goes up so high, but logically it should be because many files are involved. Based on the manual, a s</w:t>
      </w:r>
      <w:r w:rsidRPr="006D5063">
        <w:rPr>
          <w:lang w:val="en-GB"/>
        </w:rPr>
        <w:t>napshot operation creates .vmdk, -delta.vmdk, .vmsd, and .vmsn files</w:t>
      </w:r>
      <w:r>
        <w:rPr>
          <w:lang w:val="en-GB"/>
        </w:rPr>
        <w:t xml:space="preserve">. Read more </w:t>
      </w:r>
      <w:hyperlink r:id="rId595" w:history="1">
        <w:r w:rsidRPr="006D5063">
          <w:rPr>
            <w:rStyle w:val="Hyperlink"/>
            <w:lang w:val="en-GB"/>
          </w:rPr>
          <w:t>here</w:t>
        </w:r>
      </w:hyperlink>
      <w:r>
        <w:rPr>
          <w:lang w:val="en-GB"/>
        </w:rPr>
        <w:t xml:space="preserve">. </w:t>
      </w:r>
    </w:p>
    <w:p w14:paraId="37D69834" w14:textId="77777777" w:rsidR="001406B1" w:rsidRDefault="001406B1" w:rsidP="001406B1">
      <w:pPr>
        <w:rPr>
          <w:lang w:val="en-GB"/>
        </w:rPr>
      </w:pPr>
      <w:r>
        <w:rPr>
          <w:lang w:val="en-GB"/>
        </w:rPr>
        <w:t>For Write, ESXi just need to write into the newest file.</w:t>
      </w:r>
    </w:p>
    <w:p w14:paraId="3E99D743" w14:textId="77777777" w:rsidR="001406B1" w:rsidRDefault="001406B1" w:rsidP="001406B1">
      <w:pPr>
        <w:rPr>
          <w:lang w:val="en-GB"/>
        </w:rPr>
      </w:pPr>
      <w:r w:rsidRPr="00FA42E3">
        <w:rPr>
          <w:noProof/>
          <w:lang w:val="en-GB"/>
        </w:rPr>
        <w:lastRenderedPageBreak/>
        <w:drawing>
          <wp:inline distT="0" distB="0" distL="0" distR="0" wp14:anchorId="7C39CDCB" wp14:editId="5098D690">
            <wp:extent cx="6645910" cy="3334385"/>
            <wp:effectExtent l="0" t="0" r="254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6645910" cy="3334385"/>
                    </a:xfrm>
                    <a:prstGeom prst="rect">
                      <a:avLst/>
                    </a:prstGeom>
                  </pic:spPr>
                </pic:pic>
              </a:graphicData>
            </a:graphic>
          </wp:inline>
        </w:drawing>
      </w:r>
    </w:p>
    <w:p w14:paraId="2EE3ED0C" w14:textId="77777777" w:rsidR="001406B1" w:rsidRDefault="001406B1" w:rsidP="001406B1">
      <w:pPr>
        <w:rPr>
          <w:lang w:val="en-GB"/>
        </w:rPr>
      </w:pPr>
      <w:r>
        <w:rPr>
          <w:lang w:val="en-GB"/>
        </w:rPr>
        <w:t>The pattern is actually identical. I take one of the VM and show it over 7 days. Notice how similar the 2 trend charts in terms of pattern.</w:t>
      </w:r>
    </w:p>
    <w:p w14:paraId="7909B8AD" w14:textId="77777777" w:rsidR="001406B1" w:rsidRDefault="001406B1" w:rsidP="001406B1">
      <w:pPr>
        <w:jc w:val="center"/>
        <w:rPr>
          <w:lang w:val="en-GB"/>
        </w:rPr>
      </w:pPr>
      <w:r w:rsidRPr="00B82DB1">
        <w:rPr>
          <w:noProof/>
          <w:lang w:val="en-GB"/>
        </w:rPr>
        <w:drawing>
          <wp:inline distT="0" distB="0" distL="0" distR="0" wp14:anchorId="126C28DC" wp14:editId="5A682B87">
            <wp:extent cx="6156000" cy="3654000"/>
            <wp:effectExtent l="0" t="0" r="0" b="3810"/>
            <wp:docPr id="1293284848" name="Picture 1293284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6156000" cy="3654000"/>
                    </a:xfrm>
                    <a:prstGeom prst="rect">
                      <a:avLst/>
                    </a:prstGeom>
                  </pic:spPr>
                </pic:pic>
              </a:graphicData>
            </a:graphic>
          </wp:inline>
        </w:drawing>
      </w:r>
    </w:p>
    <w:p w14:paraId="04FEC474" w14:textId="77777777" w:rsidR="001406B1" w:rsidRDefault="001406B1" w:rsidP="001406B1">
      <w:pPr>
        <w:rPr>
          <w:lang w:val="en-GB"/>
        </w:rPr>
      </w:pPr>
      <w:r>
        <w:rPr>
          <w:lang w:val="en-GB"/>
        </w:rPr>
        <w:t xml:space="preserve">You can validate if snapshot causes the problem by comparing before and after snapshot. That’s exactly what I did below. Notice initially there was no snapshot. There was a snapshot briefly and you could see the effect immediately. When the snapshot was removed, the 2 lines overlaps 100% hence you only see 1 line. When we took the snapshot again, the read IOPS at datastore level is </w:t>
      </w:r>
      <w:r w:rsidRPr="006D5063">
        <w:rPr>
          <w:i/>
          <w:iCs/>
          <w:color w:val="FF0000"/>
          <w:lang w:val="en-GB"/>
        </w:rPr>
        <w:t>consistently</w:t>
      </w:r>
      <w:r w:rsidRPr="006D5063">
        <w:rPr>
          <w:color w:val="FF0000"/>
          <w:lang w:val="en-GB"/>
        </w:rPr>
        <w:t xml:space="preserve"> </w:t>
      </w:r>
      <w:r>
        <w:rPr>
          <w:lang w:val="en-GB"/>
        </w:rPr>
        <w:t>higher.</w:t>
      </w:r>
    </w:p>
    <w:p w14:paraId="3CC35681" w14:textId="77777777" w:rsidR="001406B1" w:rsidRDefault="001406B1" w:rsidP="001406B1">
      <w:pPr>
        <w:rPr>
          <w:lang w:val="en-GB"/>
        </w:rPr>
      </w:pPr>
      <w:r>
        <w:rPr>
          <w:noProof/>
          <w:lang w:val="en-GB"/>
        </w:rPr>
        <w:lastRenderedPageBreak/>
        <w:drawing>
          <wp:inline distT="0" distB="0" distL="0" distR="0" wp14:anchorId="695ACF4E" wp14:editId="5BCFC770">
            <wp:extent cx="6640830" cy="2918460"/>
            <wp:effectExtent l="0" t="0" r="7620" b="0"/>
            <wp:docPr id="357815363" name="Picture 357815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8" cstate="print">
                      <a:extLst>
                        <a:ext uri="{28A0092B-C50C-407E-A947-70E740481C1C}">
                          <a14:useLocalDpi xmlns:a14="http://schemas.microsoft.com/office/drawing/2010/main" val="0"/>
                        </a:ext>
                      </a:extLst>
                    </a:blip>
                    <a:srcRect/>
                    <a:stretch>
                      <a:fillRect/>
                    </a:stretch>
                  </pic:blipFill>
                  <pic:spPr bwMode="auto">
                    <a:xfrm>
                      <a:off x="0" y="0"/>
                      <a:ext cx="6640830" cy="2918460"/>
                    </a:xfrm>
                    <a:prstGeom prst="rect">
                      <a:avLst/>
                    </a:prstGeom>
                    <a:noFill/>
                    <a:ln>
                      <a:noFill/>
                    </a:ln>
                  </pic:spPr>
                </pic:pic>
              </a:graphicData>
            </a:graphic>
          </wp:inline>
        </w:drawing>
      </w:r>
    </w:p>
    <w:p w14:paraId="2CDA6DD4" w14:textId="77777777" w:rsidR="001406B1" w:rsidRDefault="001406B1" w:rsidP="001406B1">
      <w:pPr>
        <w:rPr>
          <w:lang w:val="en-GB"/>
        </w:rPr>
      </w:pPr>
      <w:r>
        <w:rPr>
          <w:lang w:val="en-GB"/>
        </w:rPr>
        <w:t>How I know that’s IOPS effect as the throughput is identical. The additional reads do not bring back any data. Using the same VM but at different time period, notice the throughput at both levels are identical.</w:t>
      </w:r>
    </w:p>
    <w:p w14:paraId="52B4251F" w14:textId="77777777" w:rsidR="001406B1" w:rsidRDefault="001406B1" w:rsidP="001406B1">
      <w:pPr>
        <w:rPr>
          <w:lang w:val="en-GB"/>
        </w:rPr>
      </w:pPr>
      <w:r w:rsidRPr="00D16AEC">
        <w:rPr>
          <w:noProof/>
          <w:lang w:val="en-GB"/>
        </w:rPr>
        <w:drawing>
          <wp:inline distT="0" distB="0" distL="0" distR="0" wp14:anchorId="4D23074D" wp14:editId="53DBF93A">
            <wp:extent cx="6645910" cy="1580515"/>
            <wp:effectExtent l="0" t="0" r="2540" b="635"/>
            <wp:docPr id="357815364" name="Picture 35781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stretch>
                      <a:fillRect/>
                    </a:stretch>
                  </pic:blipFill>
                  <pic:spPr>
                    <a:xfrm>
                      <a:off x="0" y="0"/>
                      <a:ext cx="6645910" cy="1580515"/>
                    </a:xfrm>
                    <a:prstGeom prst="rect">
                      <a:avLst/>
                    </a:prstGeom>
                  </pic:spPr>
                </pic:pic>
              </a:graphicData>
            </a:graphic>
          </wp:inline>
        </w:drawing>
      </w:r>
    </w:p>
    <w:p w14:paraId="6400FE8F" w14:textId="77777777" w:rsidR="001406B1" w:rsidRDefault="001406B1" w:rsidP="001406B1">
      <w:pPr>
        <w:rPr>
          <w:lang w:val="en-GB"/>
        </w:rPr>
      </w:pPr>
      <w:r>
        <w:rPr>
          <w:lang w:val="en-GB"/>
        </w:rPr>
        <w:t>And here is the IOPS on the same time period. Notice the value at datastore layer is consistently higher.</w:t>
      </w:r>
    </w:p>
    <w:p w14:paraId="1532AE29" w14:textId="77777777" w:rsidR="001406B1" w:rsidRDefault="001406B1" w:rsidP="001406B1">
      <w:pPr>
        <w:rPr>
          <w:lang w:val="en-GB"/>
        </w:rPr>
      </w:pPr>
      <w:r w:rsidRPr="00D16AEC">
        <w:rPr>
          <w:noProof/>
          <w:lang w:val="en-GB"/>
        </w:rPr>
        <w:drawing>
          <wp:inline distT="0" distB="0" distL="0" distR="0" wp14:anchorId="38F50142" wp14:editId="2A3E1CFD">
            <wp:extent cx="6645910" cy="1253490"/>
            <wp:effectExtent l="0" t="0" r="2540" b="3810"/>
            <wp:docPr id="357815366" name="Picture 357815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6645910" cy="1253490"/>
                    </a:xfrm>
                    <a:prstGeom prst="rect">
                      <a:avLst/>
                    </a:prstGeom>
                  </pic:spPr>
                </pic:pic>
              </a:graphicData>
            </a:graphic>
          </wp:inline>
        </w:drawing>
      </w:r>
    </w:p>
    <w:p w14:paraId="5450182F" w14:textId="77777777" w:rsidR="001406B1" w:rsidRDefault="001406B1" w:rsidP="001406B1">
      <w:pPr>
        <w:rPr>
          <w:lang w:val="en-GB"/>
        </w:rPr>
      </w:pPr>
      <w:r>
        <w:rPr>
          <w:lang w:val="en-GB"/>
        </w:rPr>
        <w:t xml:space="preserve">For further reading, </w:t>
      </w:r>
      <w:bookmarkStart w:id="104" w:name="&amp;lpos=apps_scodevmw_:_19"/>
      <w:r>
        <w:fldChar w:fldCharType="begin"/>
      </w:r>
      <w:r>
        <w:instrText xml:space="preserve"> HYPERLINK "https://blogs.vmware.com/performance/author/sreekanth_setty" </w:instrText>
      </w:r>
      <w:r>
        <w:fldChar w:fldCharType="separate"/>
      </w:r>
      <w:r>
        <w:rPr>
          <w:rStyle w:val="Hyperlink"/>
        </w:rPr>
        <w:t>Sreekanth Setty</w:t>
      </w:r>
      <w:r>
        <w:fldChar w:fldCharType="end"/>
      </w:r>
      <w:bookmarkEnd w:id="104"/>
      <w:r>
        <w:rPr>
          <w:lang w:val="en-GB"/>
        </w:rPr>
        <w:t xml:space="preserve"> has shared best practice </w:t>
      </w:r>
      <w:hyperlink r:id="rId601" w:history="1">
        <w:r w:rsidRPr="001060F4">
          <w:rPr>
            <w:rStyle w:val="Hyperlink"/>
            <w:lang w:val="en-GB"/>
          </w:rPr>
          <w:t>here</w:t>
        </w:r>
      </w:hyperlink>
      <w:r>
        <w:rPr>
          <w:lang w:val="en-GB"/>
        </w:rPr>
        <w:t xml:space="preserve">. </w:t>
      </w:r>
    </w:p>
    <w:p w14:paraId="1FBCB33F" w14:textId="77777777" w:rsidR="001406B1" w:rsidRDefault="001406B1" w:rsidP="001406B1">
      <w:pPr>
        <w:rPr>
          <w:lang w:val="en-GB"/>
        </w:rPr>
      </w:pPr>
      <w:r>
        <w:rPr>
          <w:lang w:val="en-GB"/>
        </w:rPr>
        <w:t xml:space="preserve">In addition of latency and IOPS, snapshot can also consume more than the actual space consumed by the virtual disk, especially if you are using thin and you take snapshot early while the disk is basically empty. The following VM has 3 virtual disks, where the snapshot file </w:t>
      </w:r>
      <w:r w:rsidRPr="00B30B91">
        <w:rPr>
          <w:color w:val="00B0F0"/>
          <w:lang w:val="en-GB"/>
        </w:rPr>
        <w:t>_1-00001.vmdk</w:t>
      </w:r>
      <w:r>
        <w:rPr>
          <w:lang w:val="en-GB"/>
        </w:rPr>
        <w:t xml:space="preserve"> is much larger than the corresponding vmdk. </w:t>
      </w:r>
    </w:p>
    <w:p w14:paraId="25352824" w14:textId="77777777" w:rsidR="001406B1" w:rsidRDefault="001406B1" w:rsidP="001406B1">
      <w:pPr>
        <w:jc w:val="center"/>
        <w:rPr>
          <w:lang w:val="en-GB"/>
        </w:rPr>
      </w:pPr>
      <w:r>
        <w:rPr>
          <w:noProof/>
        </w:rPr>
        <w:lastRenderedPageBreak/>
        <w:drawing>
          <wp:inline distT="0" distB="0" distL="0" distR="0" wp14:anchorId="2BEAF1D9" wp14:editId="689723C4">
            <wp:extent cx="4956048" cy="2715768"/>
            <wp:effectExtent l="0" t="0" r="0" b="8890"/>
            <wp:docPr id="1293284846" name="Picture 2">
              <a:extLst xmlns:a="http://schemas.openxmlformats.org/drawingml/2006/main">
                <a:ext uri="{FF2B5EF4-FFF2-40B4-BE49-F238E27FC236}">
                  <a16:creationId xmlns:a16="http://schemas.microsoft.com/office/drawing/2014/main" id="{293ADC6A-4082-4B98-A5C8-7CE8213243E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293ADC6A-4082-4B98-A5C8-7CE8213243EE}"/>
                        </a:ext>
                      </a:extLst>
                    </pic:cNvPr>
                    <pic:cNvPicPr>
                      <a:picLocks noChangeAspect="1"/>
                    </pic:cNvPicPr>
                  </pic:nvPicPr>
                  <pic:blipFill>
                    <a:blip r:embed="rId602"/>
                    <a:stretch>
                      <a:fillRect/>
                    </a:stretch>
                  </pic:blipFill>
                  <pic:spPr>
                    <a:xfrm>
                      <a:off x="0" y="0"/>
                      <a:ext cx="4956048" cy="2715768"/>
                    </a:xfrm>
                    <a:prstGeom prst="rect">
                      <a:avLst/>
                    </a:prstGeom>
                  </pic:spPr>
                </pic:pic>
              </a:graphicData>
            </a:graphic>
          </wp:inline>
        </w:drawing>
      </w:r>
    </w:p>
    <w:p w14:paraId="3C0508BC" w14:textId="77777777" w:rsidR="00D3250F" w:rsidRDefault="00D3250F" w:rsidP="00D3250F">
      <w:pPr>
        <w:pStyle w:val="Heading4"/>
      </w:pPr>
      <w:r>
        <w:t>Disk Space</w:t>
      </w:r>
    </w:p>
    <w:p w14:paraId="390EB958" w14:textId="77777777" w:rsidR="00FE0CF6" w:rsidRPr="00B223A4" w:rsidRDefault="00FE0CF6" w:rsidP="00FE0CF6">
      <w:pPr>
        <w:rPr>
          <w:lang w:val="en-GB"/>
        </w:rPr>
      </w:pPr>
      <w:r>
        <w:rPr>
          <w:lang w:val="en-GB"/>
        </w:rPr>
        <w:t xml:space="preserve">I’m splitting disk space separately as operationally you manage performance and capacity differently. </w:t>
      </w:r>
    </w:p>
    <w:p w14:paraId="282CE43F" w14:textId="77777777" w:rsidR="00D3250F" w:rsidRDefault="00D3250F" w:rsidP="00D3250F">
      <w:pPr>
        <w:pStyle w:val="Heading5"/>
      </w:pPr>
      <w:r>
        <w:t>Simple Example</w:t>
      </w:r>
    </w:p>
    <w:p w14:paraId="5D3D1775" w14:textId="77777777" w:rsidR="00D3250F" w:rsidRDefault="00D3250F" w:rsidP="00D3250F">
      <w:pPr>
        <w:rPr>
          <w:lang w:val="en-GB"/>
        </w:rPr>
      </w:pPr>
      <w:r>
        <w:rPr>
          <w:lang w:val="en-GB"/>
        </w:rPr>
        <w:t>Let’s start with a single virtual VMDK disk. Review the following diagram. What potential operational complexity do you see?</w:t>
      </w:r>
    </w:p>
    <w:p w14:paraId="0BB9C3CA" w14:textId="77777777" w:rsidR="00D3250F" w:rsidRDefault="00D3250F" w:rsidP="00D3250F">
      <w:pPr>
        <w:jc w:val="center"/>
        <w:rPr>
          <w:lang w:val="en-GB"/>
        </w:rPr>
      </w:pPr>
      <w:r w:rsidRPr="005C6F93">
        <w:rPr>
          <w:noProof/>
          <w:lang w:val="en-GB"/>
        </w:rPr>
        <w:drawing>
          <wp:inline distT="0" distB="0" distL="0" distR="0" wp14:anchorId="4D7C999C" wp14:editId="401DE324">
            <wp:extent cx="4992624" cy="2157984"/>
            <wp:effectExtent l="0" t="0" r="0" b="0"/>
            <wp:docPr id="1525330299" name="Picture 1525330299"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99" name="Picture 1525330299" descr="Timeline&#10;&#10;Description automatically generated"/>
                    <pic:cNvPicPr/>
                  </pic:nvPicPr>
                  <pic:blipFill>
                    <a:blip r:embed="rId603"/>
                    <a:stretch>
                      <a:fillRect/>
                    </a:stretch>
                  </pic:blipFill>
                  <pic:spPr>
                    <a:xfrm>
                      <a:off x="0" y="0"/>
                      <a:ext cx="4992624" cy="2157984"/>
                    </a:xfrm>
                    <a:prstGeom prst="rect">
                      <a:avLst/>
                    </a:prstGeom>
                  </pic:spPr>
                </pic:pic>
              </a:graphicData>
            </a:graphic>
          </wp:inline>
        </w:drawing>
      </w:r>
    </w:p>
    <w:p w14:paraId="7098DF84" w14:textId="77777777" w:rsidR="00D3250F" w:rsidRDefault="00D3250F" w:rsidP="00D3250F">
      <w:pPr>
        <w:rPr>
          <w:lang w:val="en-GB"/>
        </w:rPr>
      </w:pPr>
      <w:r>
        <w:rPr>
          <w:lang w:val="en-GB"/>
        </w:rPr>
        <w:t>The above disk is thin provisioned. It still has uncommitted space as it’s not yet fully used up.</w:t>
      </w:r>
    </w:p>
    <w:p w14:paraId="33C3C191" w14:textId="77777777" w:rsidR="00D3250F" w:rsidRDefault="00D3250F" w:rsidP="00D3250F">
      <w:pPr>
        <w:rPr>
          <w:lang w:val="en-GB"/>
        </w:rPr>
      </w:pPr>
      <w:r>
        <w:rPr>
          <w:lang w:val="en-GB"/>
        </w:rPr>
        <w:t xml:space="preserve">There are actually 4 types of consumption in Virtual Disk. </w:t>
      </w:r>
    </w:p>
    <w:p w14:paraId="77E59FD4" w14:textId="77777777" w:rsidR="00D3250F" w:rsidRDefault="00D3250F" w:rsidP="00D3250F">
      <w:pPr>
        <w:pStyle w:val="Bullet"/>
        <w:rPr>
          <w:lang w:val="en-GB"/>
        </w:rPr>
      </w:pPr>
      <w:r>
        <w:rPr>
          <w:lang w:val="en-GB"/>
        </w:rPr>
        <w:t>Actual used by Guest OS</w:t>
      </w:r>
    </w:p>
    <w:p w14:paraId="3F318525" w14:textId="77777777" w:rsidR="00D3250F" w:rsidRDefault="00D3250F" w:rsidP="00D3250F">
      <w:pPr>
        <w:pStyle w:val="Bullet"/>
        <w:rPr>
          <w:lang w:val="en-GB"/>
        </w:rPr>
      </w:pPr>
      <w:r>
        <w:rPr>
          <w:lang w:val="en-GB"/>
        </w:rPr>
        <w:lastRenderedPageBreak/>
        <w:t>Unmapped block</w:t>
      </w:r>
    </w:p>
    <w:p w14:paraId="69CDC377" w14:textId="77777777" w:rsidR="00D3250F" w:rsidRDefault="00D3250F" w:rsidP="00D3250F">
      <w:pPr>
        <w:pStyle w:val="Bullet"/>
        <w:rPr>
          <w:lang w:val="en-GB"/>
        </w:rPr>
      </w:pPr>
      <w:r>
        <w:rPr>
          <w:lang w:val="en-GB"/>
        </w:rPr>
        <w:t>vSAN protection (FTT)</w:t>
      </w:r>
    </w:p>
    <w:p w14:paraId="15D0A312" w14:textId="77777777" w:rsidR="00D3250F" w:rsidRDefault="00D3250F" w:rsidP="00D3250F">
      <w:pPr>
        <w:pStyle w:val="Bullet"/>
        <w:rPr>
          <w:lang w:val="en-GB"/>
        </w:rPr>
      </w:pPr>
      <w:r>
        <w:rPr>
          <w:lang w:val="en-GB"/>
        </w:rPr>
        <w:t xml:space="preserve">vSAN savings (dedupe and compressed). </w:t>
      </w:r>
    </w:p>
    <w:p w14:paraId="000CA02B" w14:textId="77777777" w:rsidR="00D3250F" w:rsidRDefault="00D3250F" w:rsidP="00D3250F">
      <w:pPr>
        <w:pStyle w:val="Heading5"/>
      </w:pPr>
      <w:r>
        <w:t>Advanced Example</w:t>
      </w:r>
    </w:p>
    <w:p w14:paraId="7F692EB1" w14:textId="77777777" w:rsidR="00D3250F" w:rsidRDefault="00D3250F" w:rsidP="00D3250F">
      <w:pPr>
        <w:rPr>
          <w:lang w:val="en-GB"/>
        </w:rPr>
      </w:pPr>
      <w:r>
        <w:rPr>
          <w:lang w:val="en-GB"/>
        </w:rPr>
        <w:t xml:space="preserve">Let’s take an example of a VM with 3 virtual disks, so we can cover all the combinations. </w:t>
      </w:r>
      <w:r>
        <w:t xml:space="preserve">We’re using </w:t>
      </w:r>
      <w:r w:rsidRPr="0042494D">
        <w:t>vSAN</w:t>
      </w:r>
      <w:r>
        <w:t xml:space="preserve"> so we can show the additional disk space consumed by vSAN.</w:t>
      </w:r>
    </w:p>
    <w:p w14:paraId="0131286E" w14:textId="77777777" w:rsidR="00D3250F" w:rsidRDefault="00D3250F" w:rsidP="00D3250F">
      <w:pPr>
        <w:rPr>
          <w:lang w:val="en-GB"/>
        </w:rPr>
      </w:pPr>
      <w:r w:rsidRPr="00BE2322">
        <w:rPr>
          <w:noProof/>
          <w:lang w:val="en-GB"/>
        </w:rPr>
        <w:drawing>
          <wp:inline distT="0" distB="0" distL="0" distR="0" wp14:anchorId="559FC461" wp14:editId="6D3D9115">
            <wp:extent cx="6645910" cy="2883535"/>
            <wp:effectExtent l="0" t="0" r="2540" b="0"/>
            <wp:docPr id="1525330297" name="Picture 1525330297"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97" name="Picture 1525330297" descr="Graphical user interface&#10;&#10;Description automatically generated with medium confidence"/>
                    <pic:cNvPicPr/>
                  </pic:nvPicPr>
                  <pic:blipFill>
                    <a:blip r:embed="rId604"/>
                    <a:stretch>
                      <a:fillRect/>
                    </a:stretch>
                  </pic:blipFill>
                  <pic:spPr>
                    <a:xfrm>
                      <a:off x="0" y="0"/>
                      <a:ext cx="6645910" cy="2883535"/>
                    </a:xfrm>
                    <a:prstGeom prst="rect">
                      <a:avLst/>
                    </a:prstGeom>
                  </pic:spPr>
                </pic:pic>
              </a:graphicData>
            </a:graphic>
          </wp:inline>
        </w:drawing>
      </w:r>
    </w:p>
    <w:p w14:paraId="55E8A2E8" w14:textId="77777777" w:rsidR="00D3250F" w:rsidRDefault="00D3250F" w:rsidP="00D3250F">
      <w:pPr>
        <w:rPr>
          <w:lang w:val="en-GB"/>
        </w:rPr>
      </w:pPr>
      <w:r>
        <w:rPr>
          <w:lang w:val="en-GB"/>
        </w:rPr>
        <w:t xml:space="preserve">The various vRealize Operations metrics are shown in </w:t>
      </w:r>
      <w:r w:rsidRPr="0042494D">
        <w:rPr>
          <w:rFonts w:ascii="Times New Roman" w:hAnsi="Times New Roman" w:cs="Times New Roman"/>
          <w:color w:val="0070C0"/>
          <w:sz w:val="20"/>
          <w:szCs w:val="20"/>
          <w:lang w:val="en-GB"/>
        </w:rPr>
        <w:t>Times New Roman</w:t>
      </w:r>
      <w:r w:rsidRPr="0042494D">
        <w:rPr>
          <w:color w:val="0070C0"/>
          <w:sz w:val="20"/>
          <w:szCs w:val="20"/>
          <w:lang w:val="en-GB"/>
        </w:rPr>
        <w:t xml:space="preserve"> </w:t>
      </w:r>
      <w:r>
        <w:rPr>
          <w:lang w:val="en-GB"/>
        </w:rPr>
        <w:t xml:space="preserve">font. </w:t>
      </w:r>
    </w:p>
    <w:p w14:paraId="58BE78CB" w14:textId="77777777" w:rsidR="00D3250F" w:rsidRDefault="00D3250F" w:rsidP="00D3250F">
      <w:pPr>
        <w:rPr>
          <w:lang w:val="en-GB"/>
        </w:rPr>
      </w:pPr>
      <w:r>
        <w:rPr>
          <w:lang w:val="en-GB"/>
        </w:rPr>
        <w:t xml:space="preserve">The boxes with blue line show the actual consumption at VM layer. Let’s go through each rectangle. </w:t>
      </w:r>
    </w:p>
    <w:p w14:paraId="1E2CF93C" w14:textId="77777777" w:rsidR="00D3250F" w:rsidRDefault="00D3250F" w:rsidP="00D3250F">
      <w:pPr>
        <w:pStyle w:val="BeforeTable"/>
        <w:rPr>
          <w:lang w:val="en-GB"/>
        </w:rPr>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418"/>
        <w:gridCol w:w="9038"/>
      </w:tblGrid>
      <w:tr w:rsidR="00D3250F" w14:paraId="4CF9B159" w14:textId="77777777" w:rsidTr="00281329">
        <w:tc>
          <w:tcPr>
            <w:tcW w:w="1418" w:type="dxa"/>
            <w:shd w:val="clear" w:color="auto" w:fill="F2F2F2" w:themeFill="background1" w:themeFillShade="F2"/>
          </w:tcPr>
          <w:p w14:paraId="3E624571" w14:textId="77777777" w:rsidR="00D3250F" w:rsidRDefault="00D3250F" w:rsidP="00281329">
            <w:pPr>
              <w:pStyle w:val="Tablecontent"/>
              <w:rPr>
                <w:b/>
                <w:bCs/>
              </w:rPr>
            </w:pPr>
            <w:r>
              <w:rPr>
                <w:b/>
                <w:bCs/>
              </w:rPr>
              <w:t>vDisk 1</w:t>
            </w:r>
          </w:p>
        </w:tc>
        <w:tc>
          <w:tcPr>
            <w:tcW w:w="9038" w:type="dxa"/>
          </w:tcPr>
          <w:p w14:paraId="5B0EE74D" w14:textId="77777777" w:rsidR="00D3250F" w:rsidRDefault="00D3250F" w:rsidP="00281329">
            <w:pPr>
              <w:pStyle w:val="Tablecontent"/>
              <w:rPr>
                <w:lang w:val="en-SG"/>
              </w:rPr>
            </w:pPr>
            <w:r>
              <w:rPr>
                <w:lang w:val="en-SG"/>
              </w:rPr>
              <w:t xml:space="preserve">RDM. </w:t>
            </w:r>
          </w:p>
          <w:p w14:paraId="65CC5A59" w14:textId="77777777" w:rsidR="00D3250F" w:rsidRDefault="00D3250F" w:rsidP="00281329">
            <w:pPr>
              <w:pStyle w:val="Tablecontent"/>
              <w:rPr>
                <w:lang w:val="en-SG"/>
              </w:rPr>
            </w:pPr>
            <w:r>
              <w:rPr>
                <w:lang w:val="en-SG"/>
              </w:rPr>
              <w:t>That’s why it’s not on vSAN as can’t be on a VMFS datastore. It’s mapped to a LUN backed by an external storage.</w:t>
            </w:r>
          </w:p>
          <w:p w14:paraId="6BB2FF51" w14:textId="77777777" w:rsidR="00D3250F" w:rsidRPr="00B7040A" w:rsidRDefault="00D3250F" w:rsidP="00281329">
            <w:pPr>
              <w:pStyle w:val="Tablecontent"/>
              <w:rPr>
                <w:lang w:val="en-SG"/>
              </w:rPr>
            </w:pPr>
            <w:r>
              <w:rPr>
                <w:lang w:val="en-SG"/>
              </w:rPr>
              <w:t>It’s always thick provisioned, regardless of what Windows or Linux uses. The LUN itself could be thin provisioned but that’s another issue and transparent to ESXi (hence VM).</w:t>
            </w:r>
          </w:p>
        </w:tc>
      </w:tr>
      <w:tr w:rsidR="00D3250F" w14:paraId="5CA06C03" w14:textId="77777777" w:rsidTr="00281329">
        <w:tc>
          <w:tcPr>
            <w:tcW w:w="1418" w:type="dxa"/>
            <w:shd w:val="clear" w:color="auto" w:fill="F2F2F2" w:themeFill="background1" w:themeFillShade="F2"/>
          </w:tcPr>
          <w:p w14:paraId="221584F7" w14:textId="77777777" w:rsidR="00D3250F" w:rsidRDefault="00D3250F" w:rsidP="00281329">
            <w:pPr>
              <w:pStyle w:val="Tablecontent"/>
              <w:rPr>
                <w:b/>
                <w:bCs/>
              </w:rPr>
            </w:pPr>
            <w:r>
              <w:rPr>
                <w:b/>
                <w:bCs/>
              </w:rPr>
              <w:t>vDisk 2</w:t>
            </w:r>
          </w:p>
        </w:tc>
        <w:tc>
          <w:tcPr>
            <w:tcW w:w="9038" w:type="dxa"/>
          </w:tcPr>
          <w:p w14:paraId="2E9AC535" w14:textId="77777777" w:rsidR="00D3250F" w:rsidRDefault="00D3250F" w:rsidP="00281329">
            <w:pPr>
              <w:pStyle w:val="Tablecontent"/>
              <w:rPr>
                <w:lang w:val="en-SG"/>
              </w:rPr>
            </w:pPr>
            <w:r w:rsidRPr="0042494D">
              <w:rPr>
                <w:lang w:val="en-SG"/>
              </w:rPr>
              <w:t xml:space="preserve">VMDK thin. </w:t>
            </w:r>
          </w:p>
          <w:p w14:paraId="028C550E" w14:textId="77777777" w:rsidR="00D3250F" w:rsidRDefault="00D3250F" w:rsidP="00281329">
            <w:pPr>
              <w:pStyle w:val="Tablecontent"/>
              <w:rPr>
                <w:lang w:val="en-SG"/>
              </w:rPr>
            </w:pPr>
            <w:r w:rsidRPr="001F53C9">
              <w:rPr>
                <w:lang w:val="en-SG"/>
              </w:rPr>
              <w:t xml:space="preserve">We blended vSAN protection </w:t>
            </w:r>
            <w:r>
              <w:rPr>
                <w:lang w:val="en-SG"/>
              </w:rPr>
              <w:t xml:space="preserve">into a single box </w:t>
            </w:r>
            <w:r w:rsidRPr="001F53C9">
              <w:rPr>
                <w:lang w:val="en-SG"/>
              </w:rPr>
              <w:t xml:space="preserve">as you can't see </w:t>
            </w:r>
            <w:r>
              <w:rPr>
                <w:lang w:val="en-SG"/>
              </w:rPr>
              <w:t>the breakdown</w:t>
            </w:r>
            <w:r w:rsidRPr="001F53C9">
              <w:rPr>
                <w:lang w:val="en-SG"/>
              </w:rPr>
              <w:t>. It's inside the same file (so there is only 1 file but inside there is actual data + vSAN protection - vSAN dedupe - vSAN compressed)</w:t>
            </w:r>
            <w:r>
              <w:rPr>
                <w:lang w:val="en-SG"/>
              </w:rPr>
              <w:t xml:space="preserve">. </w:t>
            </w:r>
          </w:p>
          <w:p w14:paraId="5CA7A28C" w14:textId="77777777" w:rsidR="00D3250F" w:rsidRDefault="00D3250F" w:rsidP="00281329">
            <w:pPr>
              <w:pStyle w:val="Tablecontent"/>
              <w:rPr>
                <w:lang w:val="en-SG"/>
              </w:rPr>
            </w:pPr>
            <w:r>
              <w:rPr>
                <w:lang w:val="en-SG"/>
              </w:rPr>
              <w:t>Thin Provisioned can accumulate unmapped block over time. You should reclaim them by running a trim operation.</w:t>
            </w:r>
          </w:p>
          <w:p w14:paraId="2613B200" w14:textId="77777777" w:rsidR="00D3250F" w:rsidRDefault="00D3250F" w:rsidP="00281329">
            <w:pPr>
              <w:pStyle w:val="Tablecontent"/>
              <w:rPr>
                <w:lang w:val="en-SG"/>
              </w:rPr>
            </w:pPr>
            <w:r>
              <w:rPr>
                <w:lang w:val="en-SG"/>
              </w:rPr>
              <w:t>Uncommitted space is the remaining amount that the VMDK can grow into. Since it’s not yet written, it does not have vSAN overhead yet.</w:t>
            </w:r>
          </w:p>
        </w:tc>
      </w:tr>
      <w:tr w:rsidR="00D3250F" w14:paraId="42E2CACD" w14:textId="77777777" w:rsidTr="00281329">
        <w:tc>
          <w:tcPr>
            <w:tcW w:w="1418" w:type="dxa"/>
            <w:shd w:val="clear" w:color="auto" w:fill="F2F2F2" w:themeFill="background1" w:themeFillShade="F2"/>
          </w:tcPr>
          <w:p w14:paraId="115C89E8" w14:textId="77777777" w:rsidR="00D3250F" w:rsidRDefault="00D3250F" w:rsidP="00281329">
            <w:pPr>
              <w:pStyle w:val="Tablecontent"/>
              <w:rPr>
                <w:b/>
                <w:bCs/>
              </w:rPr>
            </w:pPr>
            <w:r>
              <w:rPr>
                <w:b/>
                <w:bCs/>
              </w:rPr>
              <w:t>vDisk 3</w:t>
            </w:r>
          </w:p>
        </w:tc>
        <w:tc>
          <w:tcPr>
            <w:tcW w:w="9038" w:type="dxa"/>
          </w:tcPr>
          <w:p w14:paraId="26234274" w14:textId="77777777" w:rsidR="00D3250F" w:rsidRDefault="00D3250F" w:rsidP="00281329">
            <w:pPr>
              <w:pStyle w:val="Tablecontent"/>
              <w:rPr>
                <w:lang w:val="en-SG"/>
              </w:rPr>
            </w:pPr>
            <w:r w:rsidRPr="0042494D">
              <w:rPr>
                <w:lang w:val="en-SG"/>
              </w:rPr>
              <w:t xml:space="preserve">VMDK thick. </w:t>
            </w:r>
          </w:p>
          <w:p w14:paraId="31B92652" w14:textId="77777777" w:rsidR="00D3250F" w:rsidRDefault="00D3250F" w:rsidP="00281329">
            <w:pPr>
              <w:pStyle w:val="Tablecontent"/>
              <w:rPr>
                <w:lang w:val="en-SG"/>
              </w:rPr>
            </w:pPr>
            <w:r>
              <w:rPr>
                <w:lang w:val="en-SG"/>
              </w:rPr>
              <w:t>The Used size equals the configured size as it’s fully provisioned regardless of usage by Guest OS.</w:t>
            </w:r>
          </w:p>
          <w:p w14:paraId="26FFEAE3" w14:textId="77777777" w:rsidR="00D3250F" w:rsidRPr="0042494D" w:rsidRDefault="00D3250F" w:rsidP="00281329">
            <w:pPr>
              <w:pStyle w:val="Tablecontent"/>
              <w:rPr>
                <w:lang w:val="en-SG"/>
              </w:rPr>
            </w:pPr>
            <w:r>
              <w:rPr>
                <w:lang w:val="en-SG"/>
              </w:rPr>
              <w:lastRenderedPageBreak/>
              <w:t>I’m not sure the final of dedupe and compression. I expect it will be near 100% saving in both lazy zero and eager zero.</w:t>
            </w:r>
          </w:p>
        </w:tc>
      </w:tr>
    </w:tbl>
    <w:p w14:paraId="118AE721" w14:textId="713452B5" w:rsidR="00D3250F" w:rsidRDefault="00D3250F" w:rsidP="00D3250F">
      <w:pPr>
        <w:rPr>
          <w:lang w:val="en-GB"/>
        </w:rPr>
      </w:pPr>
      <w:r>
        <w:rPr>
          <w:lang w:val="en-GB"/>
        </w:rPr>
        <w:lastRenderedPageBreak/>
        <w:t xml:space="preserve">vSAN protection (Failure To Tolerate) is shown in </w:t>
      </w:r>
      <w:r w:rsidRPr="00786E5E">
        <w:rPr>
          <w:color w:val="7030A0"/>
          <w:lang w:val="en-GB"/>
        </w:rPr>
        <w:t>purple</w:t>
      </w:r>
      <w:r>
        <w:rPr>
          <w:lang w:val="en-GB"/>
        </w:rPr>
        <w:t>. It applies to every file in the datastore. Yes, even your snapshot and log files are protected if you choose so.</w:t>
      </w:r>
    </w:p>
    <w:p w14:paraId="18D18980" w14:textId="43A0748B" w:rsidR="00D3250F" w:rsidRDefault="00D3250F" w:rsidP="00D3250F">
      <w:pPr>
        <w:pStyle w:val="Heading5"/>
      </w:pPr>
      <w:r>
        <w:t>Metrics and Properties</w:t>
      </w:r>
    </w:p>
    <w:p w14:paraId="3994A2EE" w14:textId="77777777" w:rsidR="00D3250F" w:rsidRDefault="00D3250F" w:rsidP="00D3250F">
      <w:pPr>
        <w:rPr>
          <w:lang w:val="en-GB"/>
        </w:rPr>
      </w:pPr>
      <w:r>
        <w:rPr>
          <w:lang w:val="en-GB"/>
        </w:rPr>
        <w:t>These are the fundamental metrics you use to see the VM disk space consumption.</w:t>
      </w:r>
    </w:p>
    <w:p w14:paraId="163B5D7B" w14:textId="77777777" w:rsidR="00D3250F" w:rsidRPr="002C4037" w:rsidRDefault="00D3250F" w:rsidP="00D3250F">
      <w:pPr>
        <w:pStyle w:val="BeforeTable"/>
        <w:rPr>
          <w:lang w:val="en-GB"/>
        </w:rPr>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623"/>
        <w:gridCol w:w="7843"/>
      </w:tblGrid>
      <w:tr w:rsidR="00D3250F" w:rsidRPr="00E51A31" w14:paraId="5831C906" w14:textId="77777777" w:rsidTr="002813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23" w:type="dxa"/>
            <w:tcBorders>
              <w:bottom w:val="none" w:sz="0" w:space="0" w:color="auto"/>
            </w:tcBorders>
            <w:shd w:val="clear" w:color="auto" w:fill="F2F2F2" w:themeFill="background1" w:themeFillShade="F2"/>
          </w:tcPr>
          <w:p w14:paraId="7E7DE310" w14:textId="77777777" w:rsidR="00D3250F" w:rsidRPr="00D855F0" w:rsidRDefault="00D3250F" w:rsidP="00281329">
            <w:pPr>
              <w:pStyle w:val="Tableheading"/>
              <w:rPr>
                <w:b/>
                <w:bCs w:val="0"/>
              </w:rPr>
            </w:pPr>
            <w:r>
              <w:rPr>
                <w:b/>
                <w:bCs w:val="0"/>
              </w:rPr>
              <w:t>Metric</w:t>
            </w:r>
          </w:p>
        </w:tc>
        <w:tc>
          <w:tcPr>
            <w:tcW w:w="7843" w:type="dxa"/>
            <w:tcBorders>
              <w:bottom w:val="none" w:sz="0" w:space="0" w:color="auto"/>
            </w:tcBorders>
            <w:shd w:val="clear" w:color="auto" w:fill="F2F2F2" w:themeFill="background1" w:themeFillShade="F2"/>
          </w:tcPr>
          <w:p w14:paraId="3E7CE389" w14:textId="77777777" w:rsidR="00D3250F" w:rsidRPr="00D855F0" w:rsidRDefault="00D3250F" w:rsidP="00281329">
            <w:pPr>
              <w:pStyle w:val="Tableheading"/>
              <w:cnfStyle w:val="100000000000" w:firstRow="1" w:lastRow="0" w:firstColumn="0" w:lastColumn="0" w:oddVBand="0" w:evenVBand="0" w:oddHBand="0" w:evenHBand="0" w:firstRowFirstColumn="0" w:firstRowLastColumn="0" w:lastRowFirstColumn="0" w:lastRowLastColumn="0"/>
              <w:rPr>
                <w:b/>
                <w:bCs w:val="0"/>
              </w:rPr>
            </w:pPr>
            <w:r w:rsidRPr="00D855F0">
              <w:rPr>
                <w:b/>
                <w:bCs w:val="0"/>
              </w:rPr>
              <w:t>Description</w:t>
            </w:r>
          </w:p>
        </w:tc>
      </w:tr>
      <w:tr w:rsidR="00D3250F" w:rsidRPr="00E51A31" w14:paraId="2185B0E4" w14:textId="77777777" w:rsidTr="00281329">
        <w:tc>
          <w:tcPr>
            <w:cnfStyle w:val="001000000000" w:firstRow="0" w:lastRow="0" w:firstColumn="1" w:lastColumn="0" w:oddVBand="0" w:evenVBand="0" w:oddHBand="0" w:evenHBand="0" w:firstRowFirstColumn="0" w:firstRowLastColumn="0" w:lastRowFirstColumn="0" w:lastRowLastColumn="0"/>
            <w:tcW w:w="2623" w:type="dxa"/>
          </w:tcPr>
          <w:p w14:paraId="08F9C53F" w14:textId="77777777" w:rsidR="00D3250F" w:rsidRDefault="00D3250F" w:rsidP="00281329">
            <w:pPr>
              <w:pStyle w:val="Tablecontent"/>
              <w:rPr>
                <w:lang w:val="en-GB"/>
              </w:rPr>
            </w:pPr>
            <w:r w:rsidRPr="00CB27C4">
              <w:rPr>
                <w:lang w:val="en-SG"/>
              </w:rPr>
              <w:t xml:space="preserve">Disk Space | </w:t>
            </w:r>
            <w:r>
              <w:rPr>
                <w:lang w:val="en-GB"/>
              </w:rPr>
              <w:t>Virtual Disk Used (GB)</w:t>
            </w:r>
          </w:p>
        </w:tc>
        <w:tc>
          <w:tcPr>
            <w:tcW w:w="7843" w:type="dxa"/>
          </w:tcPr>
          <w:p w14:paraId="7110C219" w14:textId="77777777" w:rsidR="00D3250F" w:rsidRPr="009D2BDF" w:rsidRDefault="00D3250F"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9D2BDF">
              <w:rPr>
                <w:lang w:val="en-GB"/>
              </w:rPr>
              <w:t xml:space="preserve">The actual consumed size of the VMDK files + the configured size of the RDM files. It excludes other files such as snapshot files. Note: RDM actually appears as a VMDK in the datastore folder, when you browse files of a VM. </w:t>
            </w:r>
          </w:p>
          <w:p w14:paraId="2AF32C79" w14:textId="77777777" w:rsidR="00D3250F" w:rsidRPr="009D2BDF" w:rsidRDefault="00D3250F"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9D2BDF">
              <w:rPr>
                <w:lang w:val="en-GB"/>
              </w:rPr>
              <w:t xml:space="preserve">Note: For RDM the used space is the configured size of the RDM, unless the LUN is thin provisioned by the physical storage array. So its disk space consumption at VM level works like a thick provisioned disk. </w:t>
            </w:r>
          </w:p>
          <w:p w14:paraId="4DFDED4E" w14:textId="77777777" w:rsidR="00D3250F" w:rsidRDefault="00D3250F"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If this is higher than Guest OS used, and you’re using thin provisioned, then run unmap to trim the unmapped blocks.</w:t>
            </w:r>
          </w:p>
        </w:tc>
      </w:tr>
      <w:tr w:rsidR="00D3250F" w:rsidRPr="00E51A31" w14:paraId="24AAE3E8" w14:textId="77777777" w:rsidTr="00281329">
        <w:tc>
          <w:tcPr>
            <w:cnfStyle w:val="001000000000" w:firstRow="0" w:lastRow="0" w:firstColumn="1" w:lastColumn="0" w:oddVBand="0" w:evenVBand="0" w:oddHBand="0" w:evenHBand="0" w:firstRowFirstColumn="0" w:firstRowLastColumn="0" w:lastRowFirstColumn="0" w:lastRowLastColumn="0"/>
            <w:tcW w:w="2623" w:type="dxa"/>
          </w:tcPr>
          <w:p w14:paraId="20DFCF5B" w14:textId="77777777" w:rsidR="00D3250F" w:rsidRDefault="00D3250F" w:rsidP="00281329">
            <w:pPr>
              <w:pStyle w:val="Tablecontent"/>
              <w:rPr>
                <w:lang w:val="en-GB"/>
              </w:rPr>
            </w:pPr>
            <w:r w:rsidRPr="00CB27C4">
              <w:rPr>
                <w:lang w:val="en-SG"/>
              </w:rPr>
              <w:t xml:space="preserve">Disk Space | </w:t>
            </w:r>
            <w:r>
              <w:rPr>
                <w:lang w:val="en-GB"/>
              </w:rPr>
              <w:t>Virtual Machine Used (GB)</w:t>
            </w:r>
          </w:p>
        </w:tc>
        <w:tc>
          <w:tcPr>
            <w:tcW w:w="7843" w:type="dxa"/>
          </w:tcPr>
          <w:p w14:paraId="45229632" w14:textId="77777777" w:rsidR="00D3250F" w:rsidRPr="00CB27C4" w:rsidRDefault="00D3250F"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CB27C4">
              <w:rPr>
                <w:lang w:val="en-GB"/>
              </w:rPr>
              <w:t>Just like above, but includes non virtual disks. So this metric is always larger.</w:t>
            </w:r>
          </w:p>
          <w:p w14:paraId="5AE8E895" w14:textId="77777777" w:rsidR="00D3250F" w:rsidRDefault="00D3250F"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CB27C4">
              <w:rPr>
                <w:rFonts w:eastAsiaTheme="minorHAnsi"/>
                <w:lang w:val="en-GB" w:eastAsia="en-GB"/>
              </w:rPr>
              <w:t>The actual consumed size of the VM files + the configured size of the RDM files. It includes all files in the VM folder in the datastore(s).</w:t>
            </w:r>
          </w:p>
          <w:p w14:paraId="342F95F7" w14:textId="77777777" w:rsidR="00D3250F" w:rsidRDefault="00D3250F"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Formula:</w:t>
            </w:r>
          </w:p>
          <w:p w14:paraId="2098E58C" w14:textId="77777777" w:rsidR="00D3250F" w:rsidRDefault="00D3250F"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CB27C4">
              <w:rPr>
                <w:lang w:val="en-GB"/>
              </w:rPr>
              <w:t>Sum ( [layoutEx.file] uniqueSize != null ? uniqueSize : size) / (1024 * 1024 * 1024)</w:t>
            </w:r>
          </w:p>
        </w:tc>
      </w:tr>
      <w:tr w:rsidR="00D3250F" w:rsidRPr="00E51A31" w14:paraId="710FE4A5" w14:textId="77777777" w:rsidTr="00281329">
        <w:tc>
          <w:tcPr>
            <w:cnfStyle w:val="001000000000" w:firstRow="0" w:lastRow="0" w:firstColumn="1" w:lastColumn="0" w:oddVBand="0" w:evenVBand="0" w:oddHBand="0" w:evenHBand="0" w:firstRowFirstColumn="0" w:firstRowLastColumn="0" w:lastRowFirstColumn="0" w:lastRowLastColumn="0"/>
            <w:tcW w:w="2623" w:type="dxa"/>
          </w:tcPr>
          <w:p w14:paraId="4AF61006" w14:textId="77777777" w:rsidR="00D3250F" w:rsidRPr="00CB27C4" w:rsidRDefault="00D3250F" w:rsidP="00281329">
            <w:pPr>
              <w:pStyle w:val="Tablecontent"/>
              <w:rPr>
                <w:lang w:val="en-SG"/>
              </w:rPr>
            </w:pPr>
            <w:r w:rsidRPr="00CB27C4">
              <w:rPr>
                <w:lang w:val="en-SG"/>
              </w:rPr>
              <w:t>Disk Space | &lt;Datastore Name&gt; | Virtual Machine Used</w:t>
            </w:r>
            <w:r>
              <w:rPr>
                <w:lang w:val="en-SG"/>
              </w:rPr>
              <w:t xml:space="preserve"> (GB)</w:t>
            </w:r>
          </w:p>
        </w:tc>
        <w:tc>
          <w:tcPr>
            <w:tcW w:w="7843" w:type="dxa"/>
          </w:tcPr>
          <w:p w14:paraId="5CD1A0BA" w14:textId="77777777" w:rsidR="00D3250F" w:rsidRPr="00CB27C4" w:rsidRDefault="00D3250F"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CB27C4">
              <w:rPr>
                <w:lang w:val="en-GB"/>
              </w:rPr>
              <w:t>Just like above, but only includes files in that specific datastore only. For VM that only reside</w:t>
            </w:r>
            <w:r>
              <w:rPr>
                <w:lang w:val="en-GB"/>
              </w:rPr>
              <w:t>s</w:t>
            </w:r>
            <w:r w:rsidRPr="00CB27C4">
              <w:rPr>
                <w:lang w:val="en-GB"/>
              </w:rPr>
              <w:t xml:space="preserve"> in 1 datastore, the value will be identical to above.</w:t>
            </w:r>
          </w:p>
        </w:tc>
      </w:tr>
      <w:tr w:rsidR="00D3250F" w:rsidRPr="00E51A31" w14:paraId="54BD0A8A" w14:textId="77777777" w:rsidTr="00281329">
        <w:tc>
          <w:tcPr>
            <w:cnfStyle w:val="001000000000" w:firstRow="0" w:lastRow="0" w:firstColumn="1" w:lastColumn="0" w:oddVBand="0" w:evenVBand="0" w:oddHBand="0" w:evenHBand="0" w:firstRowFirstColumn="0" w:firstRowLastColumn="0" w:lastRowFirstColumn="0" w:lastRowLastColumn="0"/>
            <w:tcW w:w="2623" w:type="dxa"/>
          </w:tcPr>
          <w:p w14:paraId="09C38F6C" w14:textId="77777777" w:rsidR="00D3250F" w:rsidRPr="00A452F2" w:rsidRDefault="00D3250F" w:rsidP="00281329">
            <w:pPr>
              <w:pStyle w:val="Tablecontent"/>
              <w:rPr>
                <w:lang w:val="en-GB"/>
              </w:rPr>
            </w:pPr>
            <w:r w:rsidRPr="00CB27C4">
              <w:rPr>
                <w:lang w:val="en-GB"/>
              </w:rPr>
              <w:t>Disk Space |</w:t>
            </w:r>
            <w:r>
              <w:rPr>
                <w:lang w:val="en-GB"/>
              </w:rPr>
              <w:t xml:space="preserve"> Provisioned Space for VM</w:t>
            </w:r>
          </w:p>
        </w:tc>
        <w:tc>
          <w:tcPr>
            <w:tcW w:w="7843" w:type="dxa"/>
          </w:tcPr>
          <w:p w14:paraId="2E61D0EB" w14:textId="77777777" w:rsidR="00D3250F" w:rsidRDefault="00D3250F"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CB27C4">
              <w:rPr>
                <w:lang w:val="en-GB"/>
              </w:rPr>
              <w:t xml:space="preserve">Just like the </w:t>
            </w:r>
            <w:r w:rsidRPr="00F84E6A">
              <w:rPr>
                <w:color w:val="00B0F0"/>
                <w:lang w:val="en-GB"/>
              </w:rPr>
              <w:t>Disk Space | Virtual Machine Used (GB)</w:t>
            </w:r>
            <w:r w:rsidRPr="00CB27C4">
              <w:rPr>
                <w:lang w:val="en-GB"/>
              </w:rPr>
              <w:t>, but thin provisioned is based on configured not actual usage. So this metric will have higher value i</w:t>
            </w:r>
            <w:r>
              <w:rPr>
                <w:lang w:val="en-GB"/>
              </w:rPr>
              <w:t>f</w:t>
            </w:r>
            <w:r w:rsidRPr="00CB27C4">
              <w:rPr>
                <w:lang w:val="en-GB"/>
              </w:rPr>
              <w:t xml:space="preserve"> the thin provisioned is not fully used.</w:t>
            </w:r>
          </w:p>
          <w:p w14:paraId="79988110" w14:textId="77777777" w:rsidR="00D3250F" w:rsidRDefault="00D3250F"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This metric is useful at the datastore level. When you overcommit the space and want to know what the total space would be when all the VMs grow to the full size. </w:t>
            </w:r>
          </w:p>
          <w:p w14:paraId="6A9C3DC4" w14:textId="77777777" w:rsidR="00D3250F" w:rsidRDefault="00D3250F"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This metric is not useful for capacity as it mixes both allocation and utilization.</w:t>
            </w:r>
          </w:p>
          <w:p w14:paraId="06FA8B42" w14:textId="77777777" w:rsidR="00D3250F" w:rsidRPr="00A452F2" w:rsidRDefault="00D3250F"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BTW, there can be cased where the number here is rep</w:t>
            </w:r>
            <w:r>
              <w:t>orted as much higher number</w:t>
            </w:r>
            <w:r>
              <w:rPr>
                <w:lang w:val="en-GB"/>
              </w:rPr>
              <w:t xml:space="preserve">. See </w:t>
            </w:r>
            <w:hyperlink r:id="rId605" w:history="1">
              <w:r w:rsidRPr="00E6215C">
                <w:rPr>
                  <w:rStyle w:val="Hyperlink"/>
                  <w:lang w:val="en-GB"/>
                </w:rPr>
                <w:t>KB 83990</w:t>
              </w:r>
            </w:hyperlink>
            <w:r>
              <w:rPr>
                <w:lang w:val="en-GB"/>
              </w:rPr>
              <w:t xml:space="preserve">. This is fixed in </w:t>
            </w:r>
            <w:hyperlink r:id="rId606" w:history="1">
              <w:r w:rsidRPr="00583EAA">
                <w:rPr>
                  <w:rStyle w:val="Hyperlink"/>
                  <w:lang w:val="en-GB"/>
                </w:rPr>
                <w:t xml:space="preserve">7.0.2 P03 </w:t>
              </w:r>
              <w:r>
                <w:rPr>
                  <w:rStyle w:val="Hyperlink"/>
                  <w:lang w:val="en-GB"/>
                </w:rPr>
                <w:t>or</w:t>
              </w:r>
              <w:r w:rsidRPr="00583EAA">
                <w:rPr>
                  <w:rStyle w:val="Hyperlink"/>
                  <w:lang w:val="en-GB"/>
                </w:rPr>
                <w:t xml:space="preserve"> 7.0 U2c</w:t>
              </w:r>
            </w:hyperlink>
            <w:r>
              <w:rPr>
                <w:lang w:val="en-GB"/>
              </w:rPr>
              <w:t>, specifically in PR</w:t>
            </w:r>
            <w:r w:rsidRPr="00F828E1">
              <w:rPr>
                <w:lang w:val="en-GB"/>
              </w:rPr>
              <w:t xml:space="preserve"> 2725886</w:t>
            </w:r>
            <w:r>
              <w:rPr>
                <w:lang w:val="en-GB"/>
              </w:rPr>
              <w:t>.</w:t>
            </w:r>
          </w:p>
        </w:tc>
      </w:tr>
    </w:tbl>
    <w:p w14:paraId="734A265F" w14:textId="77777777" w:rsidR="00D3250F" w:rsidRDefault="00D3250F" w:rsidP="00D3250F">
      <w:pPr>
        <w:pStyle w:val="BeforeTable"/>
        <w:rPr>
          <w:lang w:val="en-GB"/>
        </w:rPr>
      </w:pPr>
    </w:p>
    <w:p w14:paraId="7EAF0D55" w14:textId="77777777" w:rsidR="00D3250F" w:rsidRDefault="00D3250F" w:rsidP="00D3250F">
      <w:pPr>
        <w:pStyle w:val="Heading6"/>
      </w:pPr>
      <w:r>
        <w:t>Snapshot</w:t>
      </w: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623"/>
        <w:gridCol w:w="7843"/>
      </w:tblGrid>
      <w:tr w:rsidR="00D3250F" w:rsidRPr="00E51A31" w14:paraId="13F666B5" w14:textId="77777777" w:rsidTr="00281329">
        <w:tc>
          <w:tcPr>
            <w:cnfStyle w:val="001000000000" w:firstRow="0" w:lastRow="0" w:firstColumn="1" w:lastColumn="0" w:oddVBand="0" w:evenVBand="0" w:oddHBand="0" w:evenHBand="0" w:firstRowFirstColumn="0" w:firstRowLastColumn="0" w:lastRowFirstColumn="0" w:lastRowLastColumn="0"/>
            <w:tcW w:w="2623" w:type="dxa"/>
          </w:tcPr>
          <w:p w14:paraId="1C9F7BC7" w14:textId="77777777" w:rsidR="00D3250F" w:rsidRPr="003902CF" w:rsidRDefault="00D3250F" w:rsidP="00281329">
            <w:pPr>
              <w:pStyle w:val="Tablecontent"/>
            </w:pPr>
            <w:r w:rsidRPr="003902CF">
              <w:t xml:space="preserve">Disk Space | </w:t>
            </w:r>
            <w:r w:rsidRPr="003902CF">
              <w:rPr>
                <w:lang w:val="en-SG"/>
              </w:rPr>
              <w:t>Snapshot | Virtual Machine Used (GB)</w:t>
            </w:r>
          </w:p>
        </w:tc>
        <w:tc>
          <w:tcPr>
            <w:tcW w:w="7843" w:type="dxa"/>
          </w:tcPr>
          <w:p w14:paraId="2D5C4B8C" w14:textId="77777777" w:rsidR="00D3250F" w:rsidRDefault="00D3250F"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3902CF">
              <w:rPr>
                <w:lang w:val="en-SG"/>
              </w:rPr>
              <w:t>Disk Space used by all files created by snapshot (vmdk and non vmdk). This is the total space that can be reclaimed if the snapshot is removed.</w:t>
            </w:r>
            <w:r>
              <w:rPr>
                <w:lang w:val="en-SG"/>
              </w:rPr>
              <w:t xml:space="preserve"> </w:t>
            </w:r>
            <w:r>
              <w:rPr>
                <w:lang w:val="en-GB"/>
              </w:rPr>
              <w:t>Use this to quickly determine which VMs have large snapshot.</w:t>
            </w:r>
          </w:p>
          <w:p w14:paraId="48CB13EC" w14:textId="77777777" w:rsidR="00D3250F" w:rsidRDefault="00D3250F"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lastRenderedPageBreak/>
              <w:t>Formula:</w:t>
            </w:r>
          </w:p>
          <w:p w14:paraId="31C82B50" w14:textId="77777777" w:rsidR="00D3250F" w:rsidRPr="003902CF" w:rsidRDefault="00D3250F" w:rsidP="00281329">
            <w:pPr>
              <w:pStyle w:val="Tablecontent"/>
              <w:cnfStyle w:val="000000000000" w:firstRow="0" w:lastRow="0" w:firstColumn="0" w:lastColumn="0" w:oddVBand="0" w:evenVBand="0" w:oddHBand="0" w:evenHBand="0" w:firstRowFirstColumn="0" w:firstRowLastColumn="0" w:lastRowFirstColumn="0" w:lastRowLastColumn="0"/>
            </w:pPr>
            <w:r w:rsidRPr="003902CF">
              <w:t>Sum of all files size / (1024 * 1024 * 1024) </w:t>
            </w:r>
          </w:p>
          <w:p w14:paraId="67326916" w14:textId="53BD47A7" w:rsidR="00D3250F" w:rsidRPr="003902CF" w:rsidRDefault="00D3250F" w:rsidP="00281329">
            <w:pPr>
              <w:pStyle w:val="Tablecontent"/>
              <w:cnfStyle w:val="000000000000" w:firstRow="0" w:lastRow="0" w:firstColumn="0" w:lastColumn="0" w:oddVBand="0" w:evenVBand="0" w:oddHBand="0" w:evenHBand="0" w:firstRowFirstColumn="0" w:firstRowLastColumn="0" w:lastRowFirstColumn="0" w:lastRowLastColumn="0"/>
            </w:pPr>
            <w:r w:rsidRPr="003902CF">
              <w:t xml:space="preserve">where aggregation is only done for snapshot files. A file is a snapshot file if its layoutEx file type </w:t>
            </w:r>
            <w:r w:rsidR="009C4B21" w:rsidRPr="003902CF">
              <w:t>equals</w:t>
            </w:r>
            <w:r w:rsidRPr="003902CF">
              <w:t xml:space="preserve"> to snapshotData, or snapshotList or snapshotMemory</w:t>
            </w:r>
          </w:p>
        </w:tc>
      </w:tr>
      <w:tr w:rsidR="00D3250F" w:rsidRPr="00E51A31" w14:paraId="18E6A544" w14:textId="77777777" w:rsidTr="00281329">
        <w:tc>
          <w:tcPr>
            <w:cnfStyle w:val="001000000000" w:firstRow="0" w:lastRow="0" w:firstColumn="1" w:lastColumn="0" w:oddVBand="0" w:evenVBand="0" w:oddHBand="0" w:evenHBand="0" w:firstRowFirstColumn="0" w:firstRowLastColumn="0" w:lastRowFirstColumn="0" w:lastRowLastColumn="0"/>
            <w:tcW w:w="2623" w:type="dxa"/>
          </w:tcPr>
          <w:p w14:paraId="6ECEEEF0" w14:textId="77777777" w:rsidR="00D3250F" w:rsidRDefault="00D3250F" w:rsidP="00281329">
            <w:pPr>
              <w:pStyle w:val="Tablecontent"/>
              <w:rPr>
                <w:lang w:val="en-GB"/>
              </w:rPr>
            </w:pPr>
            <w:r w:rsidRPr="00925EBF">
              <w:rPr>
                <w:lang w:val="en-GB"/>
              </w:rPr>
              <w:lastRenderedPageBreak/>
              <w:t>Disk Space | Snapshot | Access Time (ms)</w:t>
            </w:r>
          </w:p>
        </w:tc>
        <w:tc>
          <w:tcPr>
            <w:tcW w:w="7843" w:type="dxa"/>
          </w:tcPr>
          <w:p w14:paraId="13B16E71" w14:textId="77777777" w:rsidR="00D3250F" w:rsidRDefault="00D3250F"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925EBF">
              <w:rPr>
                <w:lang w:val="en-GB"/>
              </w:rPr>
              <w:t>The date and timestamp the snapshot was taken.</w:t>
            </w:r>
            <w:r>
              <w:rPr>
                <w:lang w:val="en-GB"/>
              </w:rPr>
              <w:t xml:space="preserve"> Note you need to format this.</w:t>
            </w:r>
          </w:p>
        </w:tc>
      </w:tr>
    </w:tbl>
    <w:p w14:paraId="635EEEBA" w14:textId="77777777" w:rsidR="00D3250F" w:rsidRDefault="00D3250F" w:rsidP="00D3250F">
      <w:pPr>
        <w:pStyle w:val="Heading6"/>
      </w:pPr>
      <w:r>
        <w:t xml:space="preserve">Multi Writer Disk </w:t>
      </w: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623"/>
        <w:gridCol w:w="7843"/>
      </w:tblGrid>
      <w:tr w:rsidR="00D3250F" w:rsidRPr="00E51A31" w14:paraId="1F242AA5" w14:textId="77777777" w:rsidTr="00281329">
        <w:tc>
          <w:tcPr>
            <w:cnfStyle w:val="001000000000" w:firstRow="0" w:lastRow="0" w:firstColumn="1" w:lastColumn="0" w:oddVBand="0" w:evenVBand="0" w:oddHBand="0" w:evenHBand="0" w:firstRowFirstColumn="0" w:firstRowLastColumn="0" w:lastRowFirstColumn="0" w:lastRowLastColumn="0"/>
            <w:tcW w:w="2623" w:type="dxa"/>
            <w:shd w:val="clear" w:color="auto" w:fill="F2F2F2" w:themeFill="background1" w:themeFillShade="F2"/>
          </w:tcPr>
          <w:p w14:paraId="4BF94B48" w14:textId="77777777" w:rsidR="00D3250F" w:rsidRPr="0047264B" w:rsidRDefault="00D3250F" w:rsidP="00281329">
            <w:pPr>
              <w:pStyle w:val="Tableheading"/>
              <w:rPr>
                <w:b/>
                <w:bCs w:val="0"/>
              </w:rPr>
            </w:pPr>
            <w:r w:rsidRPr="0047264B">
              <w:rPr>
                <w:b/>
                <w:bCs w:val="0"/>
              </w:rPr>
              <w:t>Name</w:t>
            </w:r>
          </w:p>
        </w:tc>
        <w:tc>
          <w:tcPr>
            <w:tcW w:w="7843" w:type="dxa"/>
            <w:shd w:val="clear" w:color="auto" w:fill="F2F2F2" w:themeFill="background1" w:themeFillShade="F2"/>
          </w:tcPr>
          <w:p w14:paraId="35C9F0B5" w14:textId="77777777" w:rsidR="00D3250F" w:rsidRDefault="00D3250F" w:rsidP="00281329">
            <w:pPr>
              <w:pStyle w:val="Tableheading"/>
              <w:cnfStyle w:val="000000000000" w:firstRow="0" w:lastRow="0" w:firstColumn="0" w:lastColumn="0" w:oddVBand="0" w:evenVBand="0" w:oddHBand="0" w:evenHBand="0" w:firstRowFirstColumn="0" w:firstRowLastColumn="0" w:lastRowFirstColumn="0" w:lastRowLastColumn="0"/>
            </w:pPr>
            <w:r>
              <w:t>Description</w:t>
            </w:r>
          </w:p>
        </w:tc>
      </w:tr>
      <w:tr w:rsidR="00D3250F" w:rsidRPr="00E51A31" w14:paraId="0F411A41" w14:textId="77777777" w:rsidTr="00281329">
        <w:tc>
          <w:tcPr>
            <w:cnfStyle w:val="001000000000" w:firstRow="0" w:lastRow="0" w:firstColumn="1" w:lastColumn="0" w:oddVBand="0" w:evenVBand="0" w:oddHBand="0" w:evenHBand="0" w:firstRowFirstColumn="0" w:firstRowLastColumn="0" w:lastRowFirstColumn="0" w:lastRowLastColumn="0"/>
            <w:tcW w:w="2623" w:type="dxa"/>
          </w:tcPr>
          <w:p w14:paraId="4984BC14" w14:textId="77777777" w:rsidR="00D3250F" w:rsidRPr="008D3A3F" w:rsidRDefault="00D3250F" w:rsidP="00281329">
            <w:pPr>
              <w:pStyle w:val="Tablecontent"/>
              <w:rPr>
                <w:b w:val="0"/>
                <w:bCs w:val="0"/>
                <w:lang w:val="en-GB"/>
              </w:rPr>
            </w:pPr>
            <w:r w:rsidRPr="008D3A3F">
              <w:rPr>
                <w:b w:val="0"/>
                <w:bCs w:val="0"/>
                <w:lang w:val="en-GB"/>
              </w:rPr>
              <w:t>Disk Space | Active Not Shared (GB)</w:t>
            </w:r>
          </w:p>
        </w:tc>
        <w:tc>
          <w:tcPr>
            <w:tcW w:w="7843" w:type="dxa"/>
          </w:tcPr>
          <w:p w14:paraId="043037B1" w14:textId="77777777" w:rsidR="00D3250F" w:rsidRPr="008D3A3F" w:rsidRDefault="00D3250F"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8D3A3F">
              <w:rPr>
                <w:lang w:val="en-GB"/>
              </w:rPr>
              <w:t xml:space="preserve">The </w:t>
            </w:r>
            <w:r>
              <w:rPr>
                <w:lang w:val="en-GB"/>
              </w:rPr>
              <w:t xml:space="preserve">total </w:t>
            </w:r>
            <w:r w:rsidRPr="008D3A3F">
              <w:rPr>
                <w:lang w:val="en-GB"/>
              </w:rPr>
              <w:t xml:space="preserve">amount of </w:t>
            </w:r>
            <w:r>
              <w:rPr>
                <w:lang w:val="en-GB"/>
              </w:rPr>
              <w:t>disk space from all the VMDK and RDM that are exclusively</w:t>
            </w:r>
            <w:r w:rsidRPr="008D3A3F">
              <w:rPr>
                <w:lang w:val="en-GB"/>
              </w:rPr>
              <w:t xml:space="preserve"> owned by this VM</w:t>
            </w:r>
            <w:r>
              <w:rPr>
                <w:lang w:val="en-GB"/>
              </w:rPr>
              <w:t xml:space="preserve">. </w:t>
            </w:r>
          </w:p>
          <w:p w14:paraId="48D52E68" w14:textId="77777777" w:rsidR="00D3250F" w:rsidRPr="008D3A3F" w:rsidRDefault="00D3250F"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8D3A3F">
              <w:rPr>
                <w:lang w:val="en-GB"/>
              </w:rPr>
              <w:t>Shared means the virtual disk is mounted by multiple VMs. So, this metric is useful only when we have multi-writer disks</w:t>
            </w:r>
            <w:r>
              <w:rPr>
                <w:lang w:val="en-GB"/>
              </w:rPr>
              <w:t>.</w:t>
            </w:r>
          </w:p>
          <w:p w14:paraId="356232F5" w14:textId="77777777" w:rsidR="00D3250F" w:rsidRDefault="00D3250F" w:rsidP="00281329">
            <w:pPr>
              <w:pStyle w:val="Tablecontent"/>
              <w:cnfStyle w:val="000000000000" w:firstRow="0" w:lastRow="0" w:firstColumn="0" w:lastColumn="0" w:oddVBand="0" w:evenVBand="0" w:oddHBand="0" w:evenHBand="0" w:firstRowFirstColumn="0" w:firstRowLastColumn="0" w:lastRowFirstColumn="0" w:lastRowLastColumn="0"/>
              <w:rPr>
                <w:rFonts w:eastAsiaTheme="minorHAnsi"/>
                <w:lang w:val="en-GB" w:eastAsia="en-GB"/>
              </w:rPr>
            </w:pPr>
            <w:r w:rsidRPr="008D3A3F">
              <w:rPr>
                <w:rFonts w:eastAsiaTheme="minorHAnsi"/>
                <w:lang w:val="en-GB" w:eastAsia="en-GB"/>
              </w:rPr>
              <w:t>Active means the disks minus snapshot. Snapshot is considered as non active.</w:t>
            </w:r>
          </w:p>
          <w:p w14:paraId="1349BF6B" w14:textId="77777777" w:rsidR="00D3250F" w:rsidRPr="008D3A3F" w:rsidRDefault="00D3250F"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eastAsia="en-GB"/>
              </w:rPr>
              <w:t xml:space="preserve">Formula: </w:t>
            </w:r>
            <w:r w:rsidRPr="008D3A3F">
              <w:rPr>
                <w:lang w:val="en-SG" w:eastAsia="en-GB"/>
              </w:rPr>
              <w:t>Disk Space|Not Shared (GB) - Disk Space|Snapshot Space (GB)</w:t>
            </w:r>
          </w:p>
        </w:tc>
      </w:tr>
    </w:tbl>
    <w:p w14:paraId="4F98F3CC" w14:textId="7EE8DE08" w:rsidR="00D3250F" w:rsidRDefault="00D3250F" w:rsidP="00D3250F">
      <w:pPr>
        <w:pStyle w:val="Heading6"/>
      </w:pPr>
      <w:r>
        <w:t>Virtual Disk</w:t>
      </w:r>
    </w:p>
    <w:p w14:paraId="469AE3D3" w14:textId="5A4BD244" w:rsidR="001214D2" w:rsidRDefault="001214D2" w:rsidP="001214D2">
      <w:pPr>
        <w:rPr>
          <w:lang w:val="en-GB"/>
        </w:rPr>
      </w:pPr>
      <w:r>
        <w:rPr>
          <w:lang w:val="en-GB"/>
        </w:rPr>
        <w:t>The following properties is available on each virtual disk:</w:t>
      </w:r>
    </w:p>
    <w:p w14:paraId="3BB64276" w14:textId="77777777" w:rsidR="001214D2" w:rsidRPr="001214D2" w:rsidRDefault="001214D2" w:rsidP="001214D2">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40"/>
        <w:gridCol w:w="8010"/>
      </w:tblGrid>
      <w:tr w:rsidR="00D3250F" w14:paraId="75028043" w14:textId="77777777" w:rsidTr="001214D2">
        <w:tc>
          <w:tcPr>
            <w:tcW w:w="2340" w:type="dxa"/>
            <w:shd w:val="clear" w:color="auto" w:fill="F2F2F2" w:themeFill="background1" w:themeFillShade="F2"/>
          </w:tcPr>
          <w:p w14:paraId="39CDBE30" w14:textId="77777777" w:rsidR="00D3250F" w:rsidRDefault="00D3250F" w:rsidP="00281329">
            <w:pPr>
              <w:pStyle w:val="Tableheading"/>
              <w:rPr>
                <w:color w:val="FF0000"/>
              </w:rPr>
            </w:pPr>
            <w:r w:rsidRPr="009018CD">
              <w:t>Property Name</w:t>
            </w:r>
          </w:p>
        </w:tc>
        <w:tc>
          <w:tcPr>
            <w:tcW w:w="8010" w:type="dxa"/>
            <w:shd w:val="clear" w:color="auto" w:fill="F2F2F2" w:themeFill="background1" w:themeFillShade="F2"/>
          </w:tcPr>
          <w:p w14:paraId="2506128D" w14:textId="77777777" w:rsidR="00D3250F" w:rsidRDefault="00D3250F" w:rsidP="00281329">
            <w:pPr>
              <w:pStyle w:val="Tableheading"/>
              <w:rPr>
                <w:color w:val="FF0000"/>
              </w:rPr>
            </w:pPr>
            <w:r w:rsidRPr="009018CD">
              <w:t>Values</w:t>
            </w:r>
          </w:p>
        </w:tc>
      </w:tr>
      <w:tr w:rsidR="00D3250F" w14:paraId="25B729D3" w14:textId="77777777" w:rsidTr="001214D2">
        <w:tc>
          <w:tcPr>
            <w:tcW w:w="2340" w:type="dxa"/>
          </w:tcPr>
          <w:p w14:paraId="09463CCD" w14:textId="2A3BF0EF" w:rsidR="00D3250F" w:rsidRPr="001214D2" w:rsidRDefault="001214D2" w:rsidP="001214D2">
            <w:pPr>
              <w:pStyle w:val="Tablecontent"/>
            </w:pPr>
            <w:r w:rsidRPr="001214D2">
              <w:t>Virtual Device Node</w:t>
            </w:r>
          </w:p>
        </w:tc>
        <w:tc>
          <w:tcPr>
            <w:tcW w:w="8010" w:type="dxa"/>
          </w:tcPr>
          <w:p w14:paraId="51DCFBDD" w14:textId="627080EE" w:rsidR="00D3250F" w:rsidRPr="001214D2" w:rsidRDefault="001214D2" w:rsidP="001214D2">
            <w:pPr>
              <w:pStyle w:val="Tablecontent"/>
            </w:pPr>
            <w:r w:rsidRPr="001214D2">
              <w:t>Virtual disks SCSI bus location. Virtual disks are enumerated starting with the first controller and moving along the bus.</w:t>
            </w:r>
          </w:p>
        </w:tc>
      </w:tr>
      <w:tr w:rsidR="00D3250F" w14:paraId="1D116006" w14:textId="77777777" w:rsidTr="001214D2">
        <w:tc>
          <w:tcPr>
            <w:tcW w:w="2340" w:type="dxa"/>
          </w:tcPr>
          <w:p w14:paraId="7ECC43A3" w14:textId="0ADCCEB7" w:rsidR="00D3250F" w:rsidRDefault="00D3250F" w:rsidP="00281329">
            <w:pPr>
              <w:pStyle w:val="Tablecontent"/>
              <w:rPr>
                <w:color w:val="FF0000"/>
              </w:rPr>
            </w:pPr>
            <w:r w:rsidRPr="009018CD">
              <w:t>Compatibility Mode</w:t>
            </w:r>
          </w:p>
        </w:tc>
        <w:tc>
          <w:tcPr>
            <w:tcW w:w="8010" w:type="dxa"/>
          </w:tcPr>
          <w:p w14:paraId="7D4BC90F" w14:textId="77777777" w:rsidR="00D3250F" w:rsidRPr="009018CD" w:rsidRDefault="00D3250F" w:rsidP="00281329">
            <w:pPr>
              <w:pStyle w:val="Tablecontent"/>
            </w:pPr>
            <w:r w:rsidRPr="009018CD">
              <w:t>Physical</w:t>
            </w:r>
          </w:p>
          <w:p w14:paraId="5F6D4699" w14:textId="77777777" w:rsidR="00D3250F" w:rsidRDefault="00D3250F" w:rsidP="00281329">
            <w:pPr>
              <w:pStyle w:val="Tablecontent"/>
            </w:pPr>
            <w:r w:rsidRPr="009018CD">
              <w:t>Virtual</w:t>
            </w:r>
          </w:p>
          <w:p w14:paraId="7E3A490C" w14:textId="77777777" w:rsidR="00D3250F" w:rsidRPr="0038024F" w:rsidRDefault="00D3250F" w:rsidP="00281329">
            <w:pPr>
              <w:pStyle w:val="Tablecontent"/>
            </w:pPr>
            <w:r w:rsidRPr="0038024F">
              <w:t>Virtual mode specifies full virtualization of the mapped device. Physical mode specifies minimal SCSI virtualization of the mapped device.</w:t>
            </w:r>
          </w:p>
        </w:tc>
      </w:tr>
      <w:tr w:rsidR="00D3250F" w14:paraId="1342A843" w14:textId="77777777" w:rsidTr="001214D2">
        <w:tc>
          <w:tcPr>
            <w:tcW w:w="2340" w:type="dxa"/>
          </w:tcPr>
          <w:p w14:paraId="3E9D9A06" w14:textId="3523F9F9" w:rsidR="00D3250F" w:rsidRDefault="00D3250F" w:rsidP="00281329">
            <w:pPr>
              <w:pStyle w:val="Tablecontent"/>
              <w:rPr>
                <w:color w:val="FF0000"/>
              </w:rPr>
            </w:pPr>
            <w:r w:rsidRPr="009018CD">
              <w:t>Disk Mode</w:t>
            </w:r>
          </w:p>
        </w:tc>
        <w:tc>
          <w:tcPr>
            <w:tcW w:w="8010" w:type="dxa"/>
          </w:tcPr>
          <w:p w14:paraId="3F2ABBD6" w14:textId="77777777" w:rsidR="00D3250F" w:rsidRPr="009018CD" w:rsidRDefault="00D3250F" w:rsidP="00281329">
            <w:pPr>
              <w:pStyle w:val="Tablecontent"/>
            </w:pPr>
            <w:r w:rsidRPr="009018CD">
              <w:t>Dependent</w:t>
            </w:r>
          </w:p>
          <w:p w14:paraId="6574CA8B" w14:textId="77777777" w:rsidR="00D3250F" w:rsidRPr="009018CD" w:rsidRDefault="00D3250F" w:rsidP="00281329">
            <w:pPr>
              <w:pStyle w:val="Tablecontent"/>
            </w:pPr>
            <w:r w:rsidRPr="009018CD">
              <w:t>Independent – Persistent</w:t>
            </w:r>
          </w:p>
          <w:p w14:paraId="4C8B337A" w14:textId="77777777" w:rsidR="00D3250F" w:rsidRDefault="00D3250F" w:rsidP="00281329">
            <w:pPr>
              <w:pStyle w:val="Tablecontent"/>
              <w:rPr>
                <w:color w:val="FF0000"/>
              </w:rPr>
            </w:pPr>
            <w:r w:rsidRPr="009018CD">
              <w:t>Independent – Nonpersistent</w:t>
            </w:r>
          </w:p>
        </w:tc>
      </w:tr>
      <w:tr w:rsidR="00D3250F" w14:paraId="12A5F2FA" w14:textId="77777777" w:rsidTr="001214D2">
        <w:tc>
          <w:tcPr>
            <w:tcW w:w="2340" w:type="dxa"/>
          </w:tcPr>
          <w:p w14:paraId="7F3DDD1D" w14:textId="4821D620" w:rsidR="00D3250F" w:rsidRDefault="00D3250F" w:rsidP="00281329">
            <w:pPr>
              <w:pStyle w:val="Tablecontent"/>
              <w:rPr>
                <w:color w:val="FF0000"/>
              </w:rPr>
            </w:pPr>
            <w:r w:rsidRPr="009018CD">
              <w:t>SCSI Bus Sharing</w:t>
            </w:r>
          </w:p>
        </w:tc>
        <w:tc>
          <w:tcPr>
            <w:tcW w:w="8010" w:type="dxa"/>
          </w:tcPr>
          <w:p w14:paraId="0358AC62" w14:textId="77777777" w:rsidR="00D3250F" w:rsidRPr="009018CD" w:rsidRDefault="00D3250F" w:rsidP="00281329">
            <w:pPr>
              <w:pStyle w:val="Tablecontent"/>
            </w:pPr>
            <w:r w:rsidRPr="009018CD">
              <w:t>None</w:t>
            </w:r>
          </w:p>
          <w:p w14:paraId="7BD9CF0A" w14:textId="77777777" w:rsidR="00D3250F" w:rsidRPr="009018CD" w:rsidRDefault="00D3250F" w:rsidP="00281329">
            <w:pPr>
              <w:pStyle w:val="Tablecontent"/>
            </w:pPr>
            <w:r w:rsidRPr="009018CD">
              <w:t>Physical</w:t>
            </w:r>
          </w:p>
          <w:p w14:paraId="6DE8AF9C" w14:textId="77777777" w:rsidR="00D3250F" w:rsidRDefault="00D3250F" w:rsidP="00281329">
            <w:pPr>
              <w:pStyle w:val="Tablecontent"/>
              <w:rPr>
                <w:color w:val="FF0000"/>
              </w:rPr>
            </w:pPr>
            <w:r w:rsidRPr="009018CD">
              <w:t>Virtual</w:t>
            </w:r>
          </w:p>
        </w:tc>
      </w:tr>
      <w:tr w:rsidR="00D3250F" w14:paraId="0AFB1A2D" w14:textId="77777777" w:rsidTr="001214D2">
        <w:tc>
          <w:tcPr>
            <w:tcW w:w="2340" w:type="dxa"/>
          </w:tcPr>
          <w:p w14:paraId="03672BAD" w14:textId="67DB7796" w:rsidR="00D3250F" w:rsidRDefault="00D3250F" w:rsidP="00281329">
            <w:pPr>
              <w:pStyle w:val="Tablecontent"/>
              <w:rPr>
                <w:color w:val="FF0000"/>
              </w:rPr>
            </w:pPr>
            <w:r w:rsidRPr="009018CD">
              <w:t>SCSI Controller Type</w:t>
            </w:r>
          </w:p>
        </w:tc>
        <w:tc>
          <w:tcPr>
            <w:tcW w:w="8010" w:type="dxa"/>
          </w:tcPr>
          <w:p w14:paraId="280350EF" w14:textId="77777777" w:rsidR="00D3250F" w:rsidRPr="009018CD" w:rsidRDefault="00D3250F" w:rsidP="00281329">
            <w:pPr>
              <w:pStyle w:val="Tablecontent"/>
            </w:pPr>
            <w:r w:rsidRPr="009018CD">
              <w:t>BusLogic Parallel</w:t>
            </w:r>
          </w:p>
          <w:p w14:paraId="2244A66F" w14:textId="77777777" w:rsidR="00D3250F" w:rsidRPr="009018CD" w:rsidRDefault="00D3250F" w:rsidP="00281329">
            <w:pPr>
              <w:pStyle w:val="Tablecontent"/>
            </w:pPr>
            <w:r w:rsidRPr="009018CD">
              <w:t>LSI Logic Parallel</w:t>
            </w:r>
          </w:p>
          <w:p w14:paraId="3EB1C059" w14:textId="77777777" w:rsidR="00D3250F" w:rsidRPr="009018CD" w:rsidRDefault="00D3250F" w:rsidP="00281329">
            <w:pPr>
              <w:pStyle w:val="Tablecontent"/>
            </w:pPr>
            <w:r w:rsidRPr="009018CD">
              <w:t>LSI Logic SAS</w:t>
            </w:r>
          </w:p>
          <w:p w14:paraId="442CEFDF" w14:textId="77777777" w:rsidR="00D3250F" w:rsidRDefault="00D3250F" w:rsidP="00281329">
            <w:pPr>
              <w:pStyle w:val="Tablecontent"/>
              <w:rPr>
                <w:color w:val="FF0000"/>
              </w:rPr>
            </w:pPr>
            <w:r w:rsidRPr="009018CD">
              <w:t>VMware Paravirtual</w:t>
            </w:r>
          </w:p>
        </w:tc>
      </w:tr>
      <w:tr w:rsidR="00D3250F" w14:paraId="41E33C13" w14:textId="77777777" w:rsidTr="001214D2">
        <w:tc>
          <w:tcPr>
            <w:tcW w:w="2340" w:type="dxa"/>
          </w:tcPr>
          <w:p w14:paraId="5E27F3DB" w14:textId="4846EFAF" w:rsidR="00D3250F" w:rsidRDefault="00D3250F" w:rsidP="00281329">
            <w:pPr>
              <w:pStyle w:val="Tablecontent"/>
              <w:rPr>
                <w:color w:val="FF0000"/>
              </w:rPr>
            </w:pPr>
            <w:r w:rsidRPr="009018CD">
              <w:t>Virtual Disk Sharing</w:t>
            </w:r>
          </w:p>
        </w:tc>
        <w:tc>
          <w:tcPr>
            <w:tcW w:w="8010" w:type="dxa"/>
          </w:tcPr>
          <w:p w14:paraId="3DC30BA6" w14:textId="77777777" w:rsidR="00D3250F" w:rsidRPr="009018CD" w:rsidRDefault="00D3250F" w:rsidP="00281329">
            <w:pPr>
              <w:pStyle w:val="Tablecontent"/>
            </w:pPr>
            <w:r w:rsidRPr="009018CD">
              <w:t>Unspecified</w:t>
            </w:r>
          </w:p>
          <w:p w14:paraId="7EA2B924" w14:textId="77777777" w:rsidR="00D3250F" w:rsidRPr="009018CD" w:rsidRDefault="00D3250F" w:rsidP="00281329">
            <w:pPr>
              <w:pStyle w:val="Tablecontent"/>
            </w:pPr>
            <w:r w:rsidRPr="009018CD">
              <w:t>No Sharing</w:t>
            </w:r>
          </w:p>
          <w:p w14:paraId="43A5921D" w14:textId="77777777" w:rsidR="00D3250F" w:rsidRDefault="00D3250F" w:rsidP="00281329">
            <w:pPr>
              <w:pStyle w:val="Tablecontent"/>
              <w:rPr>
                <w:color w:val="FF0000"/>
              </w:rPr>
            </w:pPr>
            <w:r w:rsidRPr="009018CD">
              <w:t>Multi-Writer</w:t>
            </w:r>
          </w:p>
        </w:tc>
      </w:tr>
      <w:tr w:rsidR="001214D2" w14:paraId="22E6183E" w14:textId="77777777" w:rsidTr="001214D2">
        <w:tc>
          <w:tcPr>
            <w:tcW w:w="2340" w:type="dxa"/>
          </w:tcPr>
          <w:p w14:paraId="4027312A" w14:textId="21358D41" w:rsidR="001214D2" w:rsidRPr="009018CD" w:rsidRDefault="001214D2" w:rsidP="00281329">
            <w:pPr>
              <w:pStyle w:val="Tablecontent"/>
            </w:pPr>
            <w:r w:rsidRPr="001214D2">
              <w:lastRenderedPageBreak/>
              <w:t>Encryption Status</w:t>
            </w:r>
          </w:p>
        </w:tc>
        <w:tc>
          <w:tcPr>
            <w:tcW w:w="8010" w:type="dxa"/>
          </w:tcPr>
          <w:p w14:paraId="3A95E104" w14:textId="77777777" w:rsidR="001214D2" w:rsidRPr="009018CD" w:rsidRDefault="001214D2" w:rsidP="00281329">
            <w:pPr>
              <w:pStyle w:val="Tablecontent"/>
            </w:pPr>
          </w:p>
        </w:tc>
      </w:tr>
      <w:tr w:rsidR="001214D2" w14:paraId="06E78B42" w14:textId="77777777" w:rsidTr="001214D2">
        <w:tc>
          <w:tcPr>
            <w:tcW w:w="2340" w:type="dxa"/>
          </w:tcPr>
          <w:p w14:paraId="41B8C7D1" w14:textId="08B017A9" w:rsidR="001214D2" w:rsidRPr="001214D2" w:rsidRDefault="001214D2" w:rsidP="001214D2">
            <w:pPr>
              <w:pStyle w:val="Tablecontent"/>
            </w:pPr>
            <w:r w:rsidRPr="009018CD">
              <w:t>Number of RDMs</w:t>
            </w:r>
          </w:p>
        </w:tc>
        <w:tc>
          <w:tcPr>
            <w:tcW w:w="8010" w:type="dxa"/>
          </w:tcPr>
          <w:p w14:paraId="0D6C8EE4" w14:textId="77777777" w:rsidR="001214D2" w:rsidRDefault="001214D2" w:rsidP="001214D2">
            <w:pPr>
              <w:pStyle w:val="Tablecontent"/>
            </w:pPr>
            <w:r w:rsidRPr="009018CD">
              <w:t>Number of RDMs attached to the VM</w:t>
            </w:r>
            <w:r>
              <w:t>.</w:t>
            </w:r>
          </w:p>
          <w:p w14:paraId="58F1BCD8" w14:textId="77777777" w:rsidR="0014273A" w:rsidRDefault="001214D2" w:rsidP="001214D2">
            <w:pPr>
              <w:pStyle w:val="Tablecontent"/>
            </w:pPr>
            <w:r>
              <w:t xml:space="preserve">Pro Tip: sum these for all the VMs in a single physical array. Compare the result with the number of LUNs carved out for RDM purpose. </w:t>
            </w:r>
          </w:p>
          <w:p w14:paraId="026EC785" w14:textId="6AF1DA9C" w:rsidR="0014273A" w:rsidRDefault="001214D2" w:rsidP="001214D2">
            <w:pPr>
              <w:pStyle w:val="Tablecontent"/>
            </w:pPr>
            <w:r>
              <w:t>If there are more LUNs than this number, you have unused RDM.</w:t>
            </w:r>
            <w:r w:rsidR="0014273A">
              <w:t xml:space="preserve"> You can’t have less </w:t>
            </w:r>
            <w:r w:rsidR="0014273A">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p>
          <w:p w14:paraId="68D678DC" w14:textId="494F82E1" w:rsidR="001214D2" w:rsidRPr="009018CD" w:rsidRDefault="0014273A" w:rsidP="001214D2">
            <w:pPr>
              <w:pStyle w:val="Tablecontent"/>
            </w:pPr>
            <w:r>
              <w:t>You need to do the above per physical array so you know which array needs attention.</w:t>
            </w:r>
          </w:p>
        </w:tc>
      </w:tr>
      <w:tr w:rsidR="00493AF7" w14:paraId="45C65778" w14:textId="77777777" w:rsidTr="001214D2">
        <w:tc>
          <w:tcPr>
            <w:tcW w:w="2340" w:type="dxa"/>
          </w:tcPr>
          <w:p w14:paraId="24E00F80" w14:textId="7B9C0BE8" w:rsidR="00493AF7" w:rsidRPr="009018CD" w:rsidRDefault="00493AF7" w:rsidP="001214D2">
            <w:pPr>
              <w:pStyle w:val="Tablecontent"/>
            </w:pPr>
            <w:r>
              <w:t>Number of VDMK</w:t>
            </w:r>
          </w:p>
        </w:tc>
        <w:tc>
          <w:tcPr>
            <w:tcW w:w="8010" w:type="dxa"/>
          </w:tcPr>
          <w:p w14:paraId="42BF73B2" w14:textId="6E18CB3E" w:rsidR="00493AF7" w:rsidRPr="009018CD" w:rsidRDefault="00493AF7" w:rsidP="001214D2">
            <w:pPr>
              <w:pStyle w:val="Tablecontent"/>
            </w:pPr>
            <w:r>
              <w:t xml:space="preserve">This excludes RDM. </w:t>
            </w:r>
          </w:p>
        </w:tc>
      </w:tr>
      <w:tr w:rsidR="001214D2" w14:paraId="71842A2F" w14:textId="77777777" w:rsidTr="001214D2">
        <w:tc>
          <w:tcPr>
            <w:tcW w:w="2340" w:type="dxa"/>
          </w:tcPr>
          <w:p w14:paraId="3E5FADC5" w14:textId="24364952" w:rsidR="001214D2" w:rsidRPr="009018CD" w:rsidRDefault="001214D2" w:rsidP="001214D2">
            <w:pPr>
              <w:pStyle w:val="Tablecontent"/>
            </w:pPr>
            <w:r w:rsidRPr="009018CD">
              <w:t>Is RDM</w:t>
            </w:r>
          </w:p>
        </w:tc>
        <w:tc>
          <w:tcPr>
            <w:tcW w:w="8010" w:type="dxa"/>
          </w:tcPr>
          <w:p w14:paraId="51A79033" w14:textId="77777777" w:rsidR="001214D2" w:rsidRPr="009018CD" w:rsidRDefault="001214D2" w:rsidP="001214D2">
            <w:pPr>
              <w:pStyle w:val="Tablecontent"/>
            </w:pPr>
            <w:r w:rsidRPr="009018CD">
              <w:t>true</w:t>
            </w:r>
          </w:p>
          <w:p w14:paraId="04D2E05F" w14:textId="77777777" w:rsidR="001214D2" w:rsidRDefault="001214D2" w:rsidP="001214D2">
            <w:pPr>
              <w:pStyle w:val="Tablecontent"/>
            </w:pPr>
            <w:r w:rsidRPr="009018CD">
              <w:t>false</w:t>
            </w:r>
          </w:p>
          <w:p w14:paraId="779A322F" w14:textId="4EB22BC7" w:rsidR="001214D2" w:rsidRPr="009018CD" w:rsidRDefault="001214D2" w:rsidP="001214D2">
            <w:pPr>
              <w:pStyle w:val="Tablecontent"/>
            </w:pPr>
            <w:r>
              <w:t>False means the virtual disk is a VDMK not RDM.</w:t>
            </w:r>
          </w:p>
        </w:tc>
      </w:tr>
    </w:tbl>
    <w:p w14:paraId="45848110" w14:textId="73179BBB" w:rsidR="00D3250F" w:rsidRDefault="00D3250F" w:rsidP="00D3250F">
      <w:pPr>
        <w:pStyle w:val="Heading6"/>
      </w:pPr>
      <w:r>
        <w:t xml:space="preserve">vSphere </w:t>
      </w:r>
      <w:r w:rsidR="00515264">
        <w:t xml:space="preserve">Client </w:t>
      </w:r>
      <w:r>
        <w:t>UI</w:t>
      </w:r>
    </w:p>
    <w:p w14:paraId="07582CB1" w14:textId="77777777" w:rsidR="00D3250F" w:rsidRPr="00D3250F" w:rsidRDefault="00D3250F" w:rsidP="00D3250F">
      <w:pPr>
        <w:rPr>
          <w:lang w:val="en-GB"/>
        </w:rPr>
      </w:pPr>
      <w:r>
        <w:rPr>
          <w:lang w:val="en-GB"/>
        </w:rPr>
        <w:t xml:space="preserve">I’m adding this just in case you got curious </w:t>
      </w:r>
      <w:r w:rsidRPr="00D3250F">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r>
        <w:rPr>
          <w:lang w:val="en-GB"/>
        </w:rPr>
        <w:t xml:space="preserve"> </w:t>
      </w:r>
    </w:p>
    <w:p w14:paraId="5CB728AA" w14:textId="77777777" w:rsidR="00D3250F" w:rsidRDefault="00D3250F" w:rsidP="00D3250F">
      <w:pPr>
        <w:rPr>
          <w:lang w:val="en-GB"/>
        </w:rPr>
      </w:pPr>
      <w:r>
        <w:rPr>
          <w:lang w:val="en-GB"/>
        </w:rPr>
        <w:t>Let’s start with the basic and progress quickly. In the following example, I would create a small VM from scratch, with 2 VMDK disk.</w:t>
      </w:r>
    </w:p>
    <w:p w14:paraId="799FDB98" w14:textId="77777777" w:rsidR="00D3250F" w:rsidRDefault="00D3250F" w:rsidP="00D3250F">
      <w:pPr>
        <w:rPr>
          <w:lang w:val="en-GB"/>
        </w:rPr>
      </w:pPr>
      <w:r w:rsidRPr="00754D3D">
        <w:rPr>
          <w:noProof/>
          <w:lang w:val="en-GB"/>
        </w:rPr>
        <w:drawing>
          <wp:inline distT="0" distB="0" distL="0" distR="0" wp14:anchorId="6DF3B648" wp14:editId="39A4D879">
            <wp:extent cx="6645910" cy="2947035"/>
            <wp:effectExtent l="0" t="0" r="2540" b="5715"/>
            <wp:docPr id="1525330295" name="Picture 152533029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95" name="Picture 1525330295" descr="Graphical user interface, text, application, email&#10;&#10;Description automatically generated"/>
                    <pic:cNvPicPr/>
                  </pic:nvPicPr>
                  <pic:blipFill>
                    <a:blip r:embed="rId607"/>
                    <a:stretch>
                      <a:fillRect/>
                    </a:stretch>
                  </pic:blipFill>
                  <pic:spPr>
                    <a:xfrm>
                      <a:off x="0" y="0"/>
                      <a:ext cx="6645910" cy="2947035"/>
                    </a:xfrm>
                    <a:prstGeom prst="rect">
                      <a:avLst/>
                    </a:prstGeom>
                  </pic:spPr>
                </pic:pic>
              </a:graphicData>
            </a:graphic>
          </wp:inline>
        </w:drawing>
      </w:r>
    </w:p>
    <w:p w14:paraId="04B84E42" w14:textId="77777777" w:rsidR="00D3250F" w:rsidRDefault="00D3250F" w:rsidP="00D3250F">
      <w:pPr>
        <w:rPr>
          <w:lang w:val="en-GB"/>
        </w:rPr>
      </w:pPr>
      <w:r>
        <w:rPr>
          <w:lang w:val="en-GB"/>
        </w:rPr>
        <w:t>Hard disk 1 is 10 GB. Thin Provisioned. On vSAN.</w:t>
      </w:r>
    </w:p>
    <w:p w14:paraId="2D9EED27" w14:textId="77777777" w:rsidR="00D3250F" w:rsidRDefault="00D3250F" w:rsidP="00D3250F">
      <w:pPr>
        <w:rPr>
          <w:lang w:val="en-GB"/>
        </w:rPr>
      </w:pPr>
      <w:r>
        <w:rPr>
          <w:lang w:val="en-GB"/>
        </w:rPr>
        <w:t>The VM is powered off. All other settings follow default setting.</w:t>
      </w:r>
    </w:p>
    <w:p w14:paraId="44FCCD54" w14:textId="77777777" w:rsidR="00D3250F" w:rsidRDefault="00D3250F" w:rsidP="00D3250F">
      <w:pPr>
        <w:rPr>
          <w:lang w:val="en-GB"/>
        </w:rPr>
      </w:pPr>
      <w:r>
        <w:rPr>
          <w:lang w:val="en-GB"/>
        </w:rPr>
        <w:t>I created the VM with just the first disk, to validate the metrics value that will be shown upon creation. What do you expect to see on the vCenter UI?</w:t>
      </w:r>
    </w:p>
    <w:p w14:paraId="315DF964" w14:textId="77777777" w:rsidR="00D3250F" w:rsidRDefault="00D3250F" w:rsidP="00D3250F">
      <w:pPr>
        <w:rPr>
          <w:lang w:val="en-GB"/>
        </w:rPr>
      </w:pPr>
      <w:r>
        <w:rPr>
          <w:lang w:val="en-GB"/>
        </w:rPr>
        <w:t>Here is what I got on vSphere 7.</w:t>
      </w:r>
    </w:p>
    <w:p w14:paraId="7D353E0D" w14:textId="77777777" w:rsidR="00D3250F" w:rsidRPr="00662174" w:rsidRDefault="00D3250F" w:rsidP="00D3250F">
      <w:pPr>
        <w:rPr>
          <w:lang w:val="en-GB"/>
        </w:rPr>
      </w:pPr>
      <w:r w:rsidRPr="006700B8">
        <w:rPr>
          <w:noProof/>
          <w:lang w:val="en-GB"/>
        </w:rPr>
        <w:lastRenderedPageBreak/>
        <w:drawing>
          <wp:inline distT="0" distB="0" distL="0" distR="0" wp14:anchorId="04117E97" wp14:editId="2E321829">
            <wp:extent cx="6645910" cy="3064510"/>
            <wp:effectExtent l="0" t="0" r="2540" b="2540"/>
            <wp:docPr id="1525330287" name="Picture 1525330287"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87" name="Picture 1525330287" descr="Graphical user interface, application&#10;&#10;Description automatically generated"/>
                    <pic:cNvPicPr/>
                  </pic:nvPicPr>
                  <pic:blipFill>
                    <a:blip r:embed="rId608"/>
                    <a:stretch>
                      <a:fillRect/>
                    </a:stretch>
                  </pic:blipFill>
                  <pic:spPr>
                    <a:xfrm>
                      <a:off x="0" y="0"/>
                      <a:ext cx="6645910" cy="3064510"/>
                    </a:xfrm>
                    <a:prstGeom prst="rect">
                      <a:avLst/>
                    </a:prstGeom>
                  </pic:spPr>
                </pic:pic>
              </a:graphicData>
            </a:graphic>
          </wp:inline>
        </w:drawing>
      </w:r>
    </w:p>
    <w:p w14:paraId="7E9A78EC" w14:textId="77777777" w:rsidR="00D3250F" w:rsidRPr="00754D3D" w:rsidRDefault="00D3250F" w:rsidP="00D3250F">
      <w:pPr>
        <w:rPr>
          <w:lang w:val="en-GB"/>
        </w:rPr>
      </w:pPr>
      <w:r>
        <w:rPr>
          <w:lang w:val="en-GB"/>
        </w:rPr>
        <w:t xml:space="preserve">You get 2 numbers, </w:t>
      </w:r>
      <w:r w:rsidRPr="00754D3D">
        <w:rPr>
          <w:color w:val="00B0F0"/>
          <w:lang w:val="en-GB"/>
        </w:rPr>
        <w:t>used</w:t>
      </w:r>
      <w:r>
        <w:rPr>
          <w:lang w:val="en-GB"/>
        </w:rPr>
        <w:t xml:space="preserve"> and </w:t>
      </w:r>
      <w:r w:rsidRPr="00754D3D">
        <w:rPr>
          <w:color w:val="00B0F0"/>
          <w:lang w:val="en-GB"/>
        </w:rPr>
        <w:t>allocated</w:t>
      </w:r>
      <w:r>
        <w:rPr>
          <w:lang w:val="en-GB"/>
        </w:rPr>
        <w:t xml:space="preserve">, as shown in the </w:t>
      </w:r>
      <w:r w:rsidRPr="00490BE5">
        <w:rPr>
          <w:color w:val="00B0F0"/>
          <w:lang w:val="en-GB"/>
        </w:rPr>
        <w:t xml:space="preserve">Capacity and Usage </w:t>
      </w:r>
      <w:r>
        <w:rPr>
          <w:lang w:val="en-GB"/>
        </w:rPr>
        <w:t xml:space="preserve">section. </w:t>
      </w:r>
    </w:p>
    <w:p w14:paraId="071DEDD9" w14:textId="77777777" w:rsidR="00D3250F" w:rsidRDefault="00D3250F" w:rsidP="00D3250F">
      <w:pPr>
        <w:rPr>
          <w:lang w:val="en-GB"/>
        </w:rPr>
      </w:pPr>
      <w:r w:rsidRPr="00490BE5">
        <w:rPr>
          <w:color w:val="00B0F0"/>
          <w:lang w:val="en-GB"/>
        </w:rPr>
        <w:t xml:space="preserve">Used </w:t>
      </w:r>
      <w:r>
        <w:rPr>
          <w:lang w:val="en-GB"/>
        </w:rPr>
        <w:t>is only 1.9 KB. This is expected as it’s thin provision and the VM is powered off. This is very low, so let’s check the next number….</w:t>
      </w:r>
    </w:p>
    <w:p w14:paraId="223A57E7" w14:textId="77777777" w:rsidR="00D3250F" w:rsidRDefault="00D3250F" w:rsidP="00D3250F">
      <w:pPr>
        <w:rPr>
          <w:lang w:val="en-GB"/>
        </w:rPr>
      </w:pPr>
      <w:r w:rsidRPr="00490BE5">
        <w:rPr>
          <w:color w:val="00B0F0"/>
          <w:lang w:val="en-GB"/>
        </w:rPr>
        <w:t xml:space="preserve">Allocated </w:t>
      </w:r>
      <w:r>
        <w:rPr>
          <w:lang w:val="en-GB"/>
        </w:rPr>
        <w:t xml:space="preserve">is 12.22 GB. This is 10 GB configured + 2.22 GB used. The </w:t>
      </w:r>
      <w:r w:rsidRPr="00EC3559">
        <w:rPr>
          <w:color w:val="00B0F0"/>
          <w:lang w:val="en-GB"/>
        </w:rPr>
        <w:t xml:space="preserve">hard disk 1 </w:t>
      </w:r>
      <w:r>
        <w:rPr>
          <w:lang w:val="en-GB"/>
        </w:rPr>
        <w:t>size shows 10 GB not 20 GB. This is what is being configured, and what Guest OS see. It is not impacted by vSAN as it’s not utilization.</w:t>
      </w:r>
    </w:p>
    <w:p w14:paraId="334B09FE" w14:textId="77777777" w:rsidR="00D3250F" w:rsidRDefault="00D3250F" w:rsidP="00D3250F">
      <w:pPr>
        <w:rPr>
          <w:lang w:val="en-GB"/>
        </w:rPr>
      </w:pPr>
      <w:r>
        <w:rPr>
          <w:lang w:val="en-GB"/>
        </w:rPr>
        <w:t>So you have 2 different numbers for the use portion: 1.9 KB and 2.22 GB.</w:t>
      </w:r>
    </w:p>
    <w:p w14:paraId="60CB1D47" w14:textId="77777777" w:rsidR="00D3250F" w:rsidRDefault="00D3250F" w:rsidP="00D3250F">
      <w:pPr>
        <w:rPr>
          <w:lang w:val="en-GB"/>
        </w:rPr>
      </w:pPr>
      <w:r>
        <w:rPr>
          <w:lang w:val="en-GB"/>
        </w:rPr>
        <w:t xml:space="preserve">Why 2 different values? </w:t>
      </w:r>
    </w:p>
    <w:p w14:paraId="6B2F1BFC" w14:textId="77777777" w:rsidR="00D3250F" w:rsidRDefault="00D3250F" w:rsidP="00D3250F">
      <w:pPr>
        <w:rPr>
          <w:lang w:val="en-GB"/>
        </w:rPr>
      </w:pPr>
      <w:r>
        <w:rPr>
          <w:lang w:val="en-GB"/>
        </w:rPr>
        <w:t>Let’s see what the files are. We can do this by browsing the datastore and find the VM folder.</w:t>
      </w:r>
    </w:p>
    <w:p w14:paraId="095181AB" w14:textId="77777777" w:rsidR="00D3250F" w:rsidRDefault="00D3250F" w:rsidP="00D3250F">
      <w:pPr>
        <w:rPr>
          <w:lang w:val="en-GB"/>
        </w:rPr>
      </w:pPr>
      <w:r w:rsidRPr="00F67447">
        <w:rPr>
          <w:noProof/>
          <w:lang w:val="en-GB"/>
        </w:rPr>
        <w:drawing>
          <wp:inline distT="0" distB="0" distL="0" distR="0" wp14:anchorId="52D5A44D" wp14:editId="690CFBC8">
            <wp:extent cx="6645910" cy="1585595"/>
            <wp:effectExtent l="0" t="0" r="2540" b="0"/>
            <wp:docPr id="2" name="Picture 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10;&#10;Description automatically generated"/>
                    <pic:cNvPicPr/>
                  </pic:nvPicPr>
                  <pic:blipFill>
                    <a:blip r:embed="rId609"/>
                    <a:stretch>
                      <a:fillRect/>
                    </a:stretch>
                  </pic:blipFill>
                  <pic:spPr>
                    <a:xfrm>
                      <a:off x="0" y="0"/>
                      <a:ext cx="6645910" cy="1585595"/>
                    </a:xfrm>
                    <a:prstGeom prst="rect">
                      <a:avLst/>
                    </a:prstGeom>
                  </pic:spPr>
                </pic:pic>
              </a:graphicData>
            </a:graphic>
          </wp:inline>
        </w:drawing>
      </w:r>
    </w:p>
    <w:p w14:paraId="16E83EFC" w14:textId="77777777" w:rsidR="00D3250F" w:rsidRDefault="00D3250F" w:rsidP="00D3250F">
      <w:pPr>
        <w:rPr>
          <w:lang w:val="en-GB"/>
        </w:rPr>
      </w:pPr>
      <w:r>
        <w:rPr>
          <w:lang w:val="en-GB"/>
        </w:rPr>
        <w:t>The total from the files above is 36 MB. This does not explain 1.9 KB nor 2.22 GB.</w:t>
      </w:r>
    </w:p>
    <w:p w14:paraId="66C5166C" w14:textId="77777777" w:rsidR="00D3250F" w:rsidRDefault="00D3250F" w:rsidP="00D3250F">
      <w:pPr>
        <w:rPr>
          <w:lang w:val="en-GB"/>
        </w:rPr>
      </w:pPr>
      <w:r>
        <w:rPr>
          <w:lang w:val="en-GB"/>
        </w:rPr>
        <w:t>Let’s continue the validation. This time I added Hard disk 2 and configure it with 20 GB. Unlike the first disk, this is Thick Provisioned so we can see the impact. It is also on vSAN.</w:t>
      </w:r>
    </w:p>
    <w:p w14:paraId="31FA1503" w14:textId="77777777" w:rsidR="00D3250F" w:rsidRPr="00D81F57" w:rsidRDefault="00D3250F" w:rsidP="00D3250F">
      <w:pPr>
        <w:jc w:val="center"/>
        <w:rPr>
          <w:lang w:val="en-GB"/>
        </w:rPr>
      </w:pPr>
      <w:r w:rsidRPr="00D81F57">
        <w:rPr>
          <w:noProof/>
          <w:lang w:val="en-GB"/>
        </w:rPr>
        <w:lastRenderedPageBreak/>
        <w:drawing>
          <wp:inline distT="0" distB="0" distL="0" distR="0" wp14:anchorId="32241162" wp14:editId="2CBB9B65">
            <wp:extent cx="6263640" cy="2450592"/>
            <wp:effectExtent l="0" t="0" r="3810" b="6985"/>
            <wp:docPr id="1525330293" name="Picture 152533029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93" name="Picture 1525330293" descr="Graphical user interface, application&#10;&#10;Description automatically generated"/>
                    <pic:cNvPicPr/>
                  </pic:nvPicPr>
                  <pic:blipFill>
                    <a:blip r:embed="rId610"/>
                    <a:stretch>
                      <a:fillRect/>
                    </a:stretch>
                  </pic:blipFill>
                  <pic:spPr>
                    <a:xfrm>
                      <a:off x="0" y="0"/>
                      <a:ext cx="6263640" cy="2450592"/>
                    </a:xfrm>
                    <a:prstGeom prst="rect">
                      <a:avLst/>
                    </a:prstGeom>
                  </pic:spPr>
                </pic:pic>
              </a:graphicData>
            </a:graphic>
          </wp:inline>
        </w:drawing>
      </w:r>
    </w:p>
    <w:p w14:paraId="6204DD85" w14:textId="44CB66D7" w:rsidR="00D3250F" w:rsidRDefault="00D3250F" w:rsidP="00D3250F">
      <w:pPr>
        <w:rPr>
          <w:lang w:val="en-GB"/>
        </w:rPr>
      </w:pPr>
      <w:r w:rsidRPr="005C4CF5">
        <w:rPr>
          <w:color w:val="00B0F0"/>
          <w:lang w:val="en-GB"/>
        </w:rPr>
        <w:t xml:space="preserve">Used </w:t>
      </w:r>
      <w:r>
        <w:rPr>
          <w:lang w:val="en-GB"/>
        </w:rPr>
        <w:t xml:space="preserve">has gone up from 1.9 KB to 760 MB. As this is on vSAN, it consists of 380 MB of vSphere + 380 MB of vSAN protection. The vSAN has no dedupe nor </w:t>
      </w:r>
      <w:r w:rsidR="001316C5">
        <w:rPr>
          <w:lang w:val="en-GB"/>
        </w:rPr>
        <w:t>compression</w:t>
      </w:r>
      <w:r>
        <w:rPr>
          <w:lang w:val="en-GB"/>
        </w:rPr>
        <w:t>, so it’s a simple 2x.</w:t>
      </w:r>
      <w:r w:rsidRPr="00F67447">
        <w:rPr>
          <w:lang w:val="en-GB"/>
        </w:rPr>
        <w:t xml:space="preserve"> </w:t>
      </w:r>
    </w:p>
    <w:p w14:paraId="6FB31174" w14:textId="77777777" w:rsidR="00D3250F" w:rsidRDefault="00D3250F" w:rsidP="00D3250F">
      <w:pPr>
        <w:rPr>
          <w:lang w:val="en-GB"/>
        </w:rPr>
      </w:pPr>
      <w:r>
        <w:rPr>
          <w:lang w:val="en-GB"/>
        </w:rPr>
        <w:t xml:space="preserve">Allocated is 32.93 GB as it consists of 30 GB configured and 2.93 GB. This 2.93 is half vSphere overhead + vSAN protection on the overhead. </w:t>
      </w:r>
    </w:p>
    <w:p w14:paraId="43B17CB0" w14:textId="5F493389" w:rsidR="00D3250F" w:rsidRDefault="00D3250F" w:rsidP="00D3250F">
      <w:pPr>
        <w:rPr>
          <w:lang w:val="en-GB"/>
        </w:rPr>
      </w:pPr>
      <w:r>
        <w:rPr>
          <w:lang w:val="en-GB"/>
        </w:rPr>
        <w:t xml:space="preserve">Looking at the datastore level, the second hard disk is showing 40.86 GB. </w:t>
      </w:r>
      <w:r w:rsidR="001B1783">
        <w:rPr>
          <w:lang w:val="en-GB"/>
        </w:rPr>
        <w:t>It maps to hard disk 2.</w:t>
      </w:r>
    </w:p>
    <w:p w14:paraId="0B0934FF" w14:textId="77777777" w:rsidR="00D3250F" w:rsidRDefault="00D3250F" w:rsidP="00D3250F">
      <w:pPr>
        <w:rPr>
          <w:lang w:val="en-GB"/>
        </w:rPr>
      </w:pPr>
      <w:r w:rsidRPr="00F67447">
        <w:rPr>
          <w:noProof/>
          <w:lang w:val="en-GB"/>
        </w:rPr>
        <w:drawing>
          <wp:inline distT="0" distB="0" distL="0" distR="0" wp14:anchorId="34452D69" wp14:editId="5CEBE611">
            <wp:extent cx="6254496" cy="1828800"/>
            <wp:effectExtent l="0" t="0" r="0" b="0"/>
            <wp:docPr id="1525330298" name="Picture 152533029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98" name="Picture 1525330298" descr="Graphical user interface, application&#10;&#10;Description automatically generated"/>
                    <pic:cNvPicPr/>
                  </pic:nvPicPr>
                  <pic:blipFill>
                    <a:blip r:embed="rId611"/>
                    <a:stretch>
                      <a:fillRect/>
                    </a:stretch>
                  </pic:blipFill>
                  <pic:spPr>
                    <a:xfrm>
                      <a:off x="0" y="0"/>
                      <a:ext cx="6254496" cy="1828800"/>
                    </a:xfrm>
                    <a:prstGeom prst="rect">
                      <a:avLst/>
                    </a:prstGeom>
                  </pic:spPr>
                </pic:pic>
              </a:graphicData>
            </a:graphic>
          </wp:inline>
        </w:drawing>
      </w:r>
    </w:p>
    <w:p w14:paraId="7B42D1EE" w14:textId="77777777" w:rsidR="00D3250F" w:rsidRDefault="00D3250F" w:rsidP="00D3250F">
      <w:pPr>
        <w:rPr>
          <w:lang w:val="en-GB"/>
        </w:rPr>
      </w:pPr>
      <w:r>
        <w:rPr>
          <w:lang w:val="en-GB"/>
        </w:rPr>
        <w:t xml:space="preserve">From this simple example, you can see that </w:t>
      </w:r>
      <w:r w:rsidRPr="00EC3559">
        <w:rPr>
          <w:color w:val="00B0F0"/>
          <w:lang w:val="en-GB"/>
        </w:rPr>
        <w:t xml:space="preserve">Allocated </w:t>
      </w:r>
      <w:r>
        <w:rPr>
          <w:lang w:val="en-GB"/>
        </w:rPr>
        <w:t xml:space="preserve">in vCenter UI actually contains used and allocated. By allocated it means the future potential used, which is up to the hard disk configured size. The used portion contains vSAN consumption if it’s on vSAN, while the unused portion does not (obviously since vSAN has not written any block). </w:t>
      </w:r>
    </w:p>
    <w:p w14:paraId="7A332D3F" w14:textId="69550D7F" w:rsidR="001406B1" w:rsidRDefault="001406B1" w:rsidP="001406B1">
      <w:pPr>
        <w:pStyle w:val="Heading3"/>
      </w:pPr>
      <w:r>
        <w:t>Network</w:t>
      </w:r>
    </w:p>
    <w:p w14:paraId="185BC526" w14:textId="77777777" w:rsidR="001406B1" w:rsidRPr="003B4E7B" w:rsidRDefault="001406B1" w:rsidP="001406B1">
      <w:pPr>
        <w:rPr>
          <w:lang w:val="en-GB"/>
        </w:rPr>
      </w:pPr>
      <w:r>
        <w:rPr>
          <w:lang w:val="en-GB"/>
        </w:rPr>
        <w:t>VM is not an Operating System, so it has far less networking metric than Windows or Linux.</w:t>
      </w:r>
    </w:p>
    <w:p w14:paraId="13A6EEA4" w14:textId="77777777" w:rsidR="001406B1" w:rsidRDefault="001406B1" w:rsidP="001406B1">
      <w:pPr>
        <w:pStyle w:val="Heading4"/>
      </w:pPr>
      <w:r>
        <w:lastRenderedPageBreak/>
        <w:t>Overview</w:t>
      </w:r>
    </w:p>
    <w:p w14:paraId="061DC706" w14:textId="77777777" w:rsidR="001406B1" w:rsidRDefault="001406B1" w:rsidP="001406B1">
      <w:r>
        <w:t>We will cover each metric in-depth, so let’s do an overview first.</w:t>
      </w:r>
    </w:p>
    <w:p w14:paraId="3F68E28F" w14:textId="77777777" w:rsidR="001406B1" w:rsidRDefault="001406B1" w:rsidP="001406B1">
      <w:r>
        <w:t>As usual, we start with contention. There is no latency metric</w:t>
      </w:r>
    </w:p>
    <w:p w14:paraId="35C85653" w14:textId="77777777" w:rsidR="001406B1" w:rsidRDefault="001406B1" w:rsidP="001406B1">
      <w:pPr>
        <w:jc w:val="center"/>
        <w:rPr>
          <w:lang w:val="en-GB"/>
        </w:rPr>
      </w:pPr>
      <w:r>
        <w:rPr>
          <w:noProof/>
          <w:lang w:val="en-GB"/>
        </w:rPr>
        <w:drawing>
          <wp:inline distT="0" distB="0" distL="0" distR="0" wp14:anchorId="5D6CCFFF" wp14:editId="32744952">
            <wp:extent cx="4730400" cy="885600"/>
            <wp:effectExtent l="0" t="0" r="0" b="0"/>
            <wp:docPr id="750070366" name="Picture 750070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4730400" cy="885600"/>
                    </a:xfrm>
                    <a:prstGeom prst="rect">
                      <a:avLst/>
                    </a:prstGeom>
                    <a:noFill/>
                    <a:ln>
                      <a:noFill/>
                    </a:ln>
                  </pic:spPr>
                </pic:pic>
              </a:graphicData>
            </a:graphic>
          </wp:inline>
        </w:drawing>
      </w:r>
    </w:p>
    <w:p w14:paraId="61A487D7" w14:textId="77777777" w:rsidR="001406B1" w:rsidRDefault="001406B1" w:rsidP="001406B1">
      <w:pPr>
        <w:rPr>
          <w:lang w:val="en-GB"/>
        </w:rPr>
      </w:pPr>
      <w:r>
        <w:rPr>
          <w:lang w:val="en-GB"/>
        </w:rPr>
        <w:t>Next, you check if there are unusual traffic. Your network should be mostly unicast, so it’s good to track the broadcast and multicast packets. They might explain why you have many dropped packets.</w:t>
      </w:r>
    </w:p>
    <w:p w14:paraId="7FFC2D33" w14:textId="77777777" w:rsidR="001406B1" w:rsidRDefault="001406B1" w:rsidP="001406B1">
      <w:pPr>
        <w:rPr>
          <w:lang w:val="en-GB"/>
        </w:rPr>
      </w:pPr>
      <w:r>
        <w:rPr>
          <w:noProof/>
          <w:lang w:val="en-GB"/>
        </w:rPr>
        <w:drawing>
          <wp:inline distT="0" distB="0" distL="0" distR="0" wp14:anchorId="322DA6E8" wp14:editId="1C68DD23">
            <wp:extent cx="6642100" cy="1079500"/>
            <wp:effectExtent l="0" t="0" r="6350" b="6350"/>
            <wp:docPr id="750070367" name="Picture 750070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6642100" cy="1079500"/>
                    </a:xfrm>
                    <a:prstGeom prst="rect">
                      <a:avLst/>
                    </a:prstGeom>
                    <a:noFill/>
                    <a:ln>
                      <a:noFill/>
                    </a:ln>
                  </pic:spPr>
                </pic:pic>
              </a:graphicData>
            </a:graphic>
          </wp:inline>
        </w:drawing>
      </w:r>
    </w:p>
    <w:p w14:paraId="085F0587" w14:textId="77777777" w:rsidR="001406B1" w:rsidRDefault="001406B1" w:rsidP="001406B1">
      <w:pPr>
        <w:rPr>
          <w:lang w:val="en-GB"/>
        </w:rPr>
      </w:pPr>
      <w:r>
        <w:rPr>
          <w:lang w:val="en-GB"/>
        </w:rPr>
        <w:t>Next you check utilization. There are 6 metrics, but I think they are triplicate.</w:t>
      </w:r>
    </w:p>
    <w:p w14:paraId="4063B33B" w14:textId="77777777" w:rsidR="001406B1" w:rsidRDefault="001406B1" w:rsidP="001406B1">
      <w:pPr>
        <w:rPr>
          <w:lang w:val="en-GB"/>
        </w:rPr>
      </w:pPr>
      <w:r>
        <w:rPr>
          <w:noProof/>
          <w:lang w:val="en-GB"/>
        </w:rPr>
        <w:drawing>
          <wp:inline distT="0" distB="0" distL="0" distR="0" wp14:anchorId="7DF84CCC" wp14:editId="39A71A15">
            <wp:extent cx="6642100" cy="1657350"/>
            <wp:effectExtent l="0" t="0" r="6350" b="0"/>
            <wp:docPr id="750070368" name="Picture 750070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14">
                      <a:extLst>
                        <a:ext uri="{28A0092B-C50C-407E-A947-70E740481C1C}">
                          <a14:useLocalDpi xmlns:a14="http://schemas.microsoft.com/office/drawing/2010/main" val="0"/>
                        </a:ext>
                      </a:extLst>
                    </a:blip>
                    <a:srcRect/>
                    <a:stretch>
                      <a:fillRect/>
                    </a:stretch>
                  </pic:blipFill>
                  <pic:spPr bwMode="auto">
                    <a:xfrm>
                      <a:off x="0" y="0"/>
                      <a:ext cx="6642100" cy="1657350"/>
                    </a:xfrm>
                    <a:prstGeom prst="rect">
                      <a:avLst/>
                    </a:prstGeom>
                    <a:noFill/>
                    <a:ln>
                      <a:noFill/>
                    </a:ln>
                  </pic:spPr>
                </pic:pic>
              </a:graphicData>
            </a:graphic>
          </wp:inline>
        </w:drawing>
      </w:r>
    </w:p>
    <w:p w14:paraId="4BDFB833" w14:textId="77777777" w:rsidR="001406B1" w:rsidRDefault="001406B1" w:rsidP="001406B1">
      <w:pPr>
        <w:rPr>
          <w:lang w:val="en-GB"/>
        </w:rPr>
      </w:pPr>
      <w:r>
        <w:rPr>
          <w:lang w:val="en-GB"/>
        </w:rPr>
        <w:t>Each packet takes up CPU for processing, so it’s good to check if the packet per second becomes too high</w:t>
      </w:r>
    </w:p>
    <w:p w14:paraId="60AA473B" w14:textId="77777777" w:rsidR="001406B1" w:rsidRDefault="001406B1" w:rsidP="001406B1">
      <w:pPr>
        <w:rPr>
          <w:lang w:val="en-GB"/>
        </w:rPr>
      </w:pPr>
      <w:r>
        <w:rPr>
          <w:noProof/>
          <w:lang w:val="en-GB"/>
        </w:rPr>
        <w:drawing>
          <wp:inline distT="0" distB="0" distL="0" distR="0" wp14:anchorId="5AA067BA" wp14:editId="56B82B14">
            <wp:extent cx="6229350" cy="603250"/>
            <wp:effectExtent l="0" t="0" r="0" b="6350"/>
            <wp:docPr id="750070369" name="Picture 750070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15">
                      <a:extLst>
                        <a:ext uri="{28A0092B-C50C-407E-A947-70E740481C1C}">
                          <a14:useLocalDpi xmlns:a14="http://schemas.microsoft.com/office/drawing/2010/main" val="0"/>
                        </a:ext>
                      </a:extLst>
                    </a:blip>
                    <a:srcRect/>
                    <a:stretch>
                      <a:fillRect/>
                    </a:stretch>
                  </pic:blipFill>
                  <pic:spPr bwMode="auto">
                    <a:xfrm>
                      <a:off x="0" y="0"/>
                      <a:ext cx="6229350" cy="603250"/>
                    </a:xfrm>
                    <a:prstGeom prst="rect">
                      <a:avLst/>
                    </a:prstGeom>
                    <a:noFill/>
                    <a:ln>
                      <a:noFill/>
                    </a:ln>
                  </pic:spPr>
                </pic:pic>
              </a:graphicData>
            </a:graphic>
          </wp:inline>
        </w:drawing>
      </w:r>
    </w:p>
    <w:p w14:paraId="7F7B7FF1" w14:textId="77777777" w:rsidR="001406B1" w:rsidRDefault="001406B1" w:rsidP="001406B1">
      <w:pPr>
        <w:rPr>
          <w:lang w:val="en-GB"/>
        </w:rPr>
      </w:pPr>
      <w:r w:rsidRPr="003533BD">
        <w:rPr>
          <w:lang w:val="en-GB"/>
        </w:rPr>
        <w:t xml:space="preserve">The </w:t>
      </w:r>
      <w:r>
        <w:rPr>
          <w:lang w:val="en-GB"/>
        </w:rPr>
        <w:t>metrics</w:t>
      </w:r>
      <w:r w:rsidRPr="003533BD">
        <w:rPr>
          <w:lang w:val="en-GB"/>
        </w:rPr>
        <w:t xml:space="preserve"> are available at each individual vNIC level and at the VM level. Most VMs </w:t>
      </w:r>
      <w:r>
        <w:rPr>
          <w:lang w:val="en-GB"/>
        </w:rPr>
        <w:t>should only</w:t>
      </w:r>
      <w:r w:rsidRPr="003533BD">
        <w:rPr>
          <w:lang w:val="en-GB"/>
        </w:rPr>
        <w:t xml:space="preserve"> have 1 vNIC, so the data at VM level and vNIC level will be identical. </w:t>
      </w:r>
    </w:p>
    <w:p w14:paraId="3FE834C4" w14:textId="77777777" w:rsidR="001406B1" w:rsidRDefault="001406B1" w:rsidP="001406B1">
      <w:pPr>
        <w:rPr>
          <w:lang w:val="en-GB"/>
        </w:rPr>
      </w:pPr>
      <w:r w:rsidRPr="003533BD">
        <w:rPr>
          <w:lang w:val="en-GB"/>
        </w:rPr>
        <w:t>The vNICs are named using the convention "400x". That means the first vNIC is 4000, the second vNIC is 4001, and so on.</w:t>
      </w:r>
      <w:r>
        <w:rPr>
          <w:lang w:val="en-GB"/>
        </w:rPr>
        <w:t xml:space="preserve"> The following is a vCenter VM. Notice it receives a few broadcast packets, but it’s not broadcasting (which is what you expect). It also does not participate in multicast, which is again expected.</w:t>
      </w:r>
    </w:p>
    <w:p w14:paraId="4A3D128D" w14:textId="77777777" w:rsidR="001406B1" w:rsidRDefault="001406B1" w:rsidP="001406B1">
      <w:pPr>
        <w:rPr>
          <w:lang w:val="en-GB"/>
        </w:rPr>
      </w:pPr>
      <w:r w:rsidRPr="00E75584">
        <w:rPr>
          <w:noProof/>
          <w:lang w:val="en-GB"/>
        </w:rPr>
        <w:lastRenderedPageBreak/>
        <w:drawing>
          <wp:inline distT="0" distB="0" distL="0" distR="0" wp14:anchorId="7259764E" wp14:editId="6D1C7895">
            <wp:extent cx="6645910" cy="3708400"/>
            <wp:effectExtent l="0" t="0" r="2540" b="6350"/>
            <wp:docPr id="1859674547" name="Picture 1859674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6645910" cy="3708400"/>
                    </a:xfrm>
                    <a:prstGeom prst="rect">
                      <a:avLst/>
                    </a:prstGeom>
                  </pic:spPr>
                </pic:pic>
              </a:graphicData>
            </a:graphic>
          </wp:inline>
        </w:drawing>
      </w:r>
    </w:p>
    <w:p w14:paraId="23FD92C7" w14:textId="77777777" w:rsidR="001406B1" w:rsidRDefault="001406B1" w:rsidP="001406B1">
      <w:pPr>
        <w:rPr>
          <w:lang w:val="en-GB"/>
        </w:rPr>
      </w:pPr>
      <w:r>
        <w:rPr>
          <w:lang w:val="en-GB"/>
        </w:rPr>
        <w:t xml:space="preserve">The metrics are grouped into 2: </w:t>
      </w:r>
    </w:p>
    <w:p w14:paraId="51F490D1" w14:textId="77777777" w:rsidR="001406B1" w:rsidRDefault="001406B1" w:rsidP="001406B1">
      <w:pPr>
        <w:pStyle w:val="Bullet"/>
        <w:rPr>
          <w:lang w:val="en-GB"/>
        </w:rPr>
      </w:pPr>
      <w:r>
        <w:rPr>
          <w:lang w:val="en-GB"/>
        </w:rPr>
        <w:t>Transmit for outgoing</w:t>
      </w:r>
    </w:p>
    <w:p w14:paraId="2E64886E" w14:textId="77777777" w:rsidR="001406B1" w:rsidRDefault="001406B1" w:rsidP="001406B1">
      <w:pPr>
        <w:pStyle w:val="Bullet"/>
        <w:rPr>
          <w:lang w:val="en-GB"/>
        </w:rPr>
      </w:pPr>
      <w:r>
        <w:rPr>
          <w:lang w:val="en-GB"/>
        </w:rPr>
        <w:t xml:space="preserve">Receive for incoming. </w:t>
      </w:r>
    </w:p>
    <w:p w14:paraId="61D2AA04" w14:textId="77777777" w:rsidR="001406B1" w:rsidRDefault="001406B1" w:rsidP="001406B1">
      <w:pPr>
        <w:rPr>
          <w:lang w:val="en-GB"/>
        </w:rPr>
      </w:pPr>
      <w:r>
        <w:rPr>
          <w:lang w:val="en-GB"/>
        </w:rPr>
        <w:t xml:space="preserve">For each group, the following metrics are provided: </w:t>
      </w:r>
    </w:p>
    <w:p w14:paraId="69D15549" w14:textId="77777777" w:rsidR="001406B1" w:rsidRPr="00A452F2" w:rsidRDefault="001406B1" w:rsidP="001406B1">
      <w:pPr>
        <w:pStyle w:val="BeforeTable"/>
        <w:rPr>
          <w:lang w:val="en-GB"/>
        </w:rPr>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694"/>
        <w:gridCol w:w="7796"/>
      </w:tblGrid>
      <w:tr w:rsidR="001406B1" w:rsidRPr="00E51A31" w14:paraId="7DB8F87C" w14:textId="77777777" w:rsidTr="00281329">
        <w:tc>
          <w:tcPr>
            <w:tcW w:w="2694" w:type="dxa"/>
            <w:shd w:val="clear" w:color="auto" w:fill="F2F2F2" w:themeFill="background1" w:themeFillShade="F2"/>
          </w:tcPr>
          <w:p w14:paraId="1EC1B8B3" w14:textId="77777777" w:rsidR="001406B1" w:rsidRDefault="001406B1" w:rsidP="00281329">
            <w:pPr>
              <w:pStyle w:val="Tablecontent"/>
              <w:rPr>
                <w:lang w:val="en-GB"/>
              </w:rPr>
            </w:pPr>
            <w:r>
              <w:rPr>
                <w:lang w:val="en-GB"/>
              </w:rPr>
              <w:t>Broadcast packets</w:t>
            </w:r>
          </w:p>
        </w:tc>
        <w:tc>
          <w:tcPr>
            <w:tcW w:w="7796" w:type="dxa"/>
            <w:vMerge w:val="restart"/>
          </w:tcPr>
          <w:p w14:paraId="08D76314" w14:textId="77777777" w:rsidR="001406B1" w:rsidRDefault="001406B1" w:rsidP="00281329">
            <w:pPr>
              <w:pStyle w:val="Tablecontent"/>
              <w:rPr>
                <w:lang w:val="en-GB"/>
              </w:rPr>
            </w:pPr>
            <w:r>
              <w:rPr>
                <w:lang w:val="en-GB"/>
              </w:rPr>
              <w:t xml:space="preserve">Count of packets. </w:t>
            </w:r>
          </w:p>
          <w:p w14:paraId="4A00A4A5" w14:textId="77777777" w:rsidR="001406B1" w:rsidRDefault="001406B1" w:rsidP="00281329">
            <w:pPr>
              <w:pStyle w:val="Tablecontent"/>
              <w:rPr>
                <w:lang w:val="en-GB"/>
              </w:rPr>
            </w:pPr>
            <w:r>
              <w:rPr>
                <w:lang w:val="en-GB"/>
              </w:rPr>
              <w:t>It is the sum during the sampling window, not the rate (which is packet/second).</w:t>
            </w:r>
          </w:p>
          <w:p w14:paraId="15B9387E" w14:textId="77777777" w:rsidR="001406B1" w:rsidRDefault="001406B1" w:rsidP="00281329">
            <w:pPr>
              <w:pStyle w:val="Tablecontent"/>
              <w:rPr>
                <w:lang w:val="en-GB"/>
              </w:rPr>
            </w:pPr>
            <w:r>
              <w:rPr>
                <w:lang w:val="en-GB"/>
              </w:rPr>
              <w:t>Multicast packet and broadcast packet are listed separately. This is handy as they are supposed to low for most VM. Understand the nature of the applications so you can check if the behaviour is normal or not.</w:t>
            </w:r>
          </w:p>
        </w:tc>
      </w:tr>
      <w:tr w:rsidR="001406B1" w:rsidRPr="00E51A31" w14:paraId="3E9ADC44" w14:textId="77777777" w:rsidTr="00281329">
        <w:tc>
          <w:tcPr>
            <w:tcW w:w="2694" w:type="dxa"/>
            <w:shd w:val="clear" w:color="auto" w:fill="F2F2F2" w:themeFill="background1" w:themeFillShade="F2"/>
          </w:tcPr>
          <w:p w14:paraId="3C21AE86" w14:textId="77777777" w:rsidR="001406B1" w:rsidRDefault="001406B1" w:rsidP="00281329">
            <w:pPr>
              <w:pStyle w:val="Tablecontent"/>
              <w:rPr>
                <w:lang w:val="en-GB"/>
              </w:rPr>
            </w:pPr>
            <w:r>
              <w:rPr>
                <w:lang w:val="en-GB"/>
              </w:rPr>
              <w:t>Multicast packets</w:t>
            </w:r>
          </w:p>
        </w:tc>
        <w:tc>
          <w:tcPr>
            <w:tcW w:w="7796" w:type="dxa"/>
            <w:vMerge/>
          </w:tcPr>
          <w:p w14:paraId="73311FB8" w14:textId="77777777" w:rsidR="001406B1" w:rsidRDefault="001406B1" w:rsidP="00281329">
            <w:pPr>
              <w:pStyle w:val="Tablecontent"/>
              <w:rPr>
                <w:lang w:val="en-GB"/>
              </w:rPr>
            </w:pPr>
          </w:p>
        </w:tc>
      </w:tr>
      <w:tr w:rsidR="001406B1" w:rsidRPr="00E51A31" w14:paraId="709B9E71" w14:textId="77777777" w:rsidTr="00281329">
        <w:tc>
          <w:tcPr>
            <w:tcW w:w="2694" w:type="dxa"/>
            <w:shd w:val="clear" w:color="auto" w:fill="F2F2F2" w:themeFill="background1" w:themeFillShade="F2"/>
          </w:tcPr>
          <w:p w14:paraId="5600F172" w14:textId="77777777" w:rsidR="001406B1" w:rsidRDefault="001406B1" w:rsidP="00281329">
            <w:pPr>
              <w:pStyle w:val="Tablecontent"/>
              <w:rPr>
                <w:lang w:val="en-GB"/>
              </w:rPr>
            </w:pPr>
            <w:r>
              <w:rPr>
                <w:lang w:val="en-GB"/>
              </w:rPr>
              <w:t>Packet dropped</w:t>
            </w:r>
          </w:p>
        </w:tc>
        <w:tc>
          <w:tcPr>
            <w:tcW w:w="7796" w:type="dxa"/>
            <w:vMerge/>
          </w:tcPr>
          <w:p w14:paraId="7D3B8CF5" w14:textId="77777777" w:rsidR="001406B1" w:rsidRDefault="001406B1" w:rsidP="00281329">
            <w:pPr>
              <w:pStyle w:val="Tablecontent"/>
              <w:rPr>
                <w:lang w:val="en-GB"/>
              </w:rPr>
            </w:pPr>
          </w:p>
        </w:tc>
      </w:tr>
      <w:tr w:rsidR="001406B1" w:rsidRPr="00E51A31" w14:paraId="41E7CBD0" w14:textId="77777777" w:rsidTr="00281329">
        <w:tc>
          <w:tcPr>
            <w:tcW w:w="2694" w:type="dxa"/>
            <w:shd w:val="clear" w:color="auto" w:fill="F2F2F2" w:themeFill="background1" w:themeFillShade="F2"/>
          </w:tcPr>
          <w:p w14:paraId="1D1A569B" w14:textId="77777777" w:rsidR="001406B1" w:rsidRDefault="001406B1" w:rsidP="00281329">
            <w:pPr>
              <w:pStyle w:val="Tablecontent"/>
              <w:rPr>
                <w:lang w:val="en-GB"/>
              </w:rPr>
            </w:pPr>
            <w:r>
              <w:rPr>
                <w:lang w:val="en-GB"/>
              </w:rPr>
              <w:t>Total packets</w:t>
            </w:r>
          </w:p>
        </w:tc>
        <w:tc>
          <w:tcPr>
            <w:tcW w:w="7796" w:type="dxa"/>
          </w:tcPr>
          <w:p w14:paraId="16792E09" w14:textId="77777777" w:rsidR="001406B1" w:rsidRDefault="001406B1" w:rsidP="00281329">
            <w:pPr>
              <w:pStyle w:val="Tablecontent"/>
              <w:rPr>
                <w:lang w:val="en-GB"/>
              </w:rPr>
            </w:pPr>
            <w:r>
              <w:rPr>
                <w:lang w:val="en-GB"/>
              </w:rPr>
              <w:t>The total includes the broadcast and multicast, but not the dropped ones.</w:t>
            </w:r>
          </w:p>
        </w:tc>
      </w:tr>
      <w:tr w:rsidR="001406B1" w:rsidRPr="00E51A31" w14:paraId="05A3F74B" w14:textId="77777777" w:rsidTr="00281329">
        <w:tc>
          <w:tcPr>
            <w:tcW w:w="2694" w:type="dxa"/>
            <w:shd w:val="clear" w:color="auto" w:fill="F2F2F2" w:themeFill="background1" w:themeFillShade="F2"/>
          </w:tcPr>
          <w:p w14:paraId="7482BB68" w14:textId="77777777" w:rsidR="001406B1" w:rsidRDefault="001406B1" w:rsidP="00281329">
            <w:pPr>
              <w:pStyle w:val="Tablecontent"/>
              <w:rPr>
                <w:lang w:val="en-GB"/>
              </w:rPr>
            </w:pPr>
            <w:r>
              <w:rPr>
                <w:lang w:val="en-GB"/>
              </w:rPr>
              <w:t>Throughput per second</w:t>
            </w:r>
          </w:p>
        </w:tc>
        <w:tc>
          <w:tcPr>
            <w:tcW w:w="7796" w:type="dxa"/>
          </w:tcPr>
          <w:p w14:paraId="565C849C" w14:textId="77777777" w:rsidR="001406B1" w:rsidRDefault="001406B1" w:rsidP="00281329">
            <w:pPr>
              <w:pStyle w:val="Tablecontent"/>
              <w:rPr>
                <w:lang w:val="en-GB"/>
              </w:rPr>
            </w:pPr>
            <w:r>
              <w:rPr>
                <w:lang w:val="en-GB"/>
              </w:rPr>
              <w:t xml:space="preserve">This is measured in kilobyte, as packet length is typically measured in bytes. While there are other packet size, the standard packet is 1500 bytes. </w:t>
            </w:r>
          </w:p>
          <w:p w14:paraId="36582A04" w14:textId="77777777" w:rsidR="001406B1" w:rsidRDefault="001406B1" w:rsidP="00281329">
            <w:pPr>
              <w:pStyle w:val="Tablecontent"/>
              <w:rPr>
                <w:lang w:val="en-GB"/>
              </w:rPr>
            </w:pPr>
            <w:r>
              <w:rPr>
                <w:lang w:val="en-GB"/>
              </w:rPr>
              <w:t>BTW, esxtop measures in megabit.</w:t>
            </w:r>
          </w:p>
          <w:p w14:paraId="6F50B105" w14:textId="77777777" w:rsidR="001406B1" w:rsidRDefault="001406B1" w:rsidP="00281329">
            <w:pPr>
              <w:pStyle w:val="Tablecontent"/>
              <w:rPr>
                <w:lang w:val="en-GB"/>
              </w:rPr>
            </w:pPr>
            <w:r>
              <w:rPr>
                <w:lang w:val="en-GB"/>
              </w:rPr>
              <w:t>I assume this includes broadcast and multicast, but not the dropped packet.</w:t>
            </w:r>
          </w:p>
        </w:tc>
      </w:tr>
    </w:tbl>
    <w:p w14:paraId="7E52B010" w14:textId="77777777" w:rsidR="001406B1" w:rsidRPr="002B683A" w:rsidRDefault="001406B1" w:rsidP="001406B1">
      <w:pPr>
        <w:pStyle w:val="BeforeTable"/>
      </w:pPr>
    </w:p>
    <w:p w14:paraId="45396261" w14:textId="77777777" w:rsidR="001406B1" w:rsidRDefault="001406B1" w:rsidP="001406B1">
      <w:pPr>
        <w:rPr>
          <w:lang w:val="en-GB"/>
        </w:rPr>
      </w:pPr>
      <w:r>
        <w:rPr>
          <w:lang w:val="en-GB"/>
        </w:rPr>
        <w:t>Guess what metrics are missing?</w:t>
      </w:r>
    </w:p>
    <w:p w14:paraId="457FF3C9" w14:textId="77777777" w:rsidR="001406B1" w:rsidRDefault="001406B1" w:rsidP="001406B1">
      <w:pPr>
        <w:pStyle w:val="Bullet"/>
        <w:rPr>
          <w:lang w:val="en-GB"/>
        </w:rPr>
      </w:pPr>
      <w:r>
        <w:rPr>
          <w:lang w:val="en-GB"/>
        </w:rPr>
        <w:t>Retransmit. This can be useful in troubleshooting TCP packet. It naturally does not apply to UDP traffic.</w:t>
      </w:r>
    </w:p>
    <w:p w14:paraId="58B849F9" w14:textId="77777777" w:rsidR="001406B1" w:rsidRDefault="001406B1" w:rsidP="001406B1">
      <w:pPr>
        <w:pStyle w:val="Bullet"/>
        <w:rPr>
          <w:lang w:val="en-GB"/>
        </w:rPr>
      </w:pPr>
      <w:r>
        <w:rPr>
          <w:lang w:val="en-GB"/>
        </w:rPr>
        <w:t>Latency. A normalized latency would help, especially if it’s broken into internal network and external network.</w:t>
      </w:r>
      <w:r w:rsidRPr="00EA30C5">
        <w:rPr>
          <w:lang w:val="en-GB"/>
        </w:rPr>
        <w:t xml:space="preserve"> </w:t>
      </w:r>
      <w:r w:rsidRPr="00F463AB">
        <w:rPr>
          <w:lang w:val="en-GB"/>
        </w:rPr>
        <w:t>Network latency could be impacted by CPU. CPU might not fast enough to process the packet. In VM, this could also be due to the VM having CPU c</w:t>
      </w:r>
      <w:r>
        <w:rPr>
          <w:lang w:val="en-GB"/>
        </w:rPr>
        <w:t>ontention.</w:t>
      </w:r>
    </w:p>
    <w:p w14:paraId="30FABB23" w14:textId="77777777" w:rsidR="001406B1" w:rsidRDefault="001406B1" w:rsidP="001406B1">
      <w:pPr>
        <w:pStyle w:val="Bullet"/>
        <w:rPr>
          <w:lang w:val="en-GB"/>
        </w:rPr>
      </w:pPr>
      <w:r>
        <w:rPr>
          <w:lang w:val="en-GB"/>
        </w:rPr>
        <w:t>Packets per second. This can be derived by packet count / sampling window. If you have 200 packets in 20 seconds, that means 10 packets per second.</w:t>
      </w:r>
    </w:p>
    <w:p w14:paraId="1DE9F3DA" w14:textId="77777777" w:rsidR="001406B1" w:rsidRPr="00565A87" w:rsidRDefault="001406B1" w:rsidP="001406B1">
      <w:pPr>
        <w:pStyle w:val="Bullet"/>
        <w:rPr>
          <w:lang w:val="en-GB"/>
        </w:rPr>
      </w:pPr>
      <w:r>
        <w:rPr>
          <w:lang w:val="en-GB"/>
        </w:rPr>
        <w:t>Packet size. This can be computed by throughput / packet count. Expect this to be around 1500 byte.</w:t>
      </w:r>
    </w:p>
    <w:p w14:paraId="333CA646" w14:textId="77777777" w:rsidR="001406B1" w:rsidRDefault="001406B1" w:rsidP="001406B1">
      <w:pPr>
        <w:rPr>
          <w:lang w:val="en-GB"/>
        </w:rPr>
      </w:pPr>
      <w:r>
        <w:rPr>
          <w:lang w:val="en-GB"/>
        </w:rPr>
        <w:lastRenderedPageBreak/>
        <w:t xml:space="preserve">BTW, if you see a pair of metric with identical name, but one of them is prefixed with “Total”, avoid the one without </w:t>
      </w:r>
      <w:r w:rsidRPr="00FF1F76">
        <w:rPr>
          <w:color w:val="00B0F0"/>
          <w:lang w:val="en-GB"/>
        </w:rPr>
        <w:t>Total</w:t>
      </w:r>
      <w:r>
        <w:rPr>
          <w:lang w:val="en-GB"/>
        </w:rPr>
        <w:t>. They are averaged over 15 data points, so their value is 15x lower.</w:t>
      </w:r>
    </w:p>
    <w:p w14:paraId="38C3881F" w14:textId="77777777" w:rsidR="001406B1" w:rsidRPr="00EF5C96" w:rsidRDefault="001406B1" w:rsidP="001406B1">
      <w:pPr>
        <w:jc w:val="center"/>
        <w:rPr>
          <w:lang w:val="en-GB"/>
        </w:rPr>
      </w:pPr>
      <w:r w:rsidRPr="00FF1F76">
        <w:rPr>
          <w:noProof/>
          <w:lang w:val="en-GB"/>
        </w:rPr>
        <w:drawing>
          <wp:inline distT="0" distB="0" distL="0" distR="0" wp14:anchorId="784ADBD8" wp14:editId="6AE0E713">
            <wp:extent cx="2296800" cy="540000"/>
            <wp:effectExtent l="0" t="0" r="8255" b="0"/>
            <wp:docPr id="910169568" name="Picture 91016956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68" name="Picture 910169568" descr="Graphical user interface, text, application&#10;&#10;Description automatically generated"/>
                    <pic:cNvPicPr/>
                  </pic:nvPicPr>
                  <pic:blipFill>
                    <a:blip r:embed="rId617"/>
                    <a:stretch>
                      <a:fillRect/>
                    </a:stretch>
                  </pic:blipFill>
                  <pic:spPr>
                    <a:xfrm>
                      <a:off x="0" y="0"/>
                      <a:ext cx="2296800" cy="540000"/>
                    </a:xfrm>
                    <a:prstGeom prst="rect">
                      <a:avLst/>
                    </a:prstGeom>
                  </pic:spPr>
                </pic:pic>
              </a:graphicData>
            </a:graphic>
          </wp:inline>
        </w:drawing>
      </w:r>
    </w:p>
    <w:p w14:paraId="2AE2BDDD" w14:textId="77777777" w:rsidR="00DE7943" w:rsidRDefault="00DE7943" w:rsidP="00DE7943">
      <w:pPr>
        <w:pStyle w:val="Heading4"/>
        <w:numPr>
          <w:ilvl w:val="0"/>
          <w:numId w:val="0"/>
        </w:numPr>
      </w:pPr>
      <w:r>
        <w:t>Dropped Packet</w:t>
      </w:r>
    </w:p>
    <w:p w14:paraId="579A9270" w14:textId="77777777" w:rsidR="00DE7943" w:rsidRDefault="00DE7943" w:rsidP="00DE7943">
      <w:pPr>
        <w:rPr>
          <w:lang w:val="en-GB"/>
        </w:rPr>
      </w:pPr>
      <w:r w:rsidRPr="00F463AB">
        <w:rPr>
          <w:lang w:val="en-GB"/>
        </w:rPr>
        <w:t xml:space="preserve">As usual, let’s approach the </w:t>
      </w:r>
      <w:r>
        <w:rPr>
          <w:lang w:val="en-GB"/>
        </w:rPr>
        <w:t>metrics</w:t>
      </w:r>
      <w:r w:rsidRPr="00F463AB">
        <w:rPr>
          <w:lang w:val="en-GB"/>
        </w:rPr>
        <w:t xml:space="preserve"> starting with Contention. There </w:t>
      </w:r>
      <w:r>
        <w:rPr>
          <w:lang w:val="en-GB"/>
        </w:rPr>
        <w:t>are</w:t>
      </w:r>
      <w:r w:rsidRPr="00F463AB">
        <w:rPr>
          <w:lang w:val="en-GB"/>
        </w:rPr>
        <w:t xml:space="preserve"> no </w:t>
      </w:r>
      <w:r w:rsidRPr="000715E5">
        <w:rPr>
          <w:color w:val="00B0F0"/>
          <w:lang w:val="en-GB"/>
        </w:rPr>
        <w:t xml:space="preserve">latency counter </w:t>
      </w:r>
      <w:r w:rsidRPr="000715E5">
        <w:t>nor</w:t>
      </w:r>
      <w:r>
        <w:rPr>
          <w:color w:val="00B0F0"/>
          <w:lang w:val="en-GB"/>
        </w:rPr>
        <w:t xml:space="preserve"> retransmit counter </w:t>
      </w:r>
      <w:r w:rsidRPr="00F463AB">
        <w:rPr>
          <w:lang w:val="en-GB"/>
        </w:rPr>
        <w:t xml:space="preserve">so you cannot track how long it takes for a packet to reach its destination. There are, however, </w:t>
      </w:r>
      <w:r>
        <w:rPr>
          <w:lang w:val="en-GB"/>
        </w:rPr>
        <w:t>metrics</w:t>
      </w:r>
      <w:r w:rsidRPr="00F463AB">
        <w:rPr>
          <w:lang w:val="en-GB"/>
        </w:rPr>
        <w:t xml:space="preserve"> that track packet</w:t>
      </w:r>
      <w:r>
        <w:rPr>
          <w:lang w:val="en-GB"/>
        </w:rPr>
        <w:t xml:space="preserve"> loss</w:t>
      </w:r>
      <w:r w:rsidRPr="00F463AB">
        <w:rPr>
          <w:lang w:val="en-GB"/>
        </w:rPr>
        <w:t xml:space="preserve">. </w:t>
      </w:r>
    </w:p>
    <w:p w14:paraId="5FF0B3A5" w14:textId="77777777" w:rsidR="00DE7943" w:rsidRDefault="00DE7943" w:rsidP="00DE7943">
      <w:pPr>
        <w:rPr>
          <w:lang w:val="en-GB"/>
        </w:rPr>
      </w:pPr>
      <w:r>
        <w:rPr>
          <w:lang w:val="en-GB"/>
        </w:rPr>
        <w:t>For TCP connection, d</w:t>
      </w:r>
      <w:r w:rsidRPr="00F463AB">
        <w:rPr>
          <w:lang w:val="en-GB"/>
        </w:rPr>
        <w:t xml:space="preserve">ropped packet needs to be retransmitted and therefore increases network latency from application point of view. </w:t>
      </w:r>
      <w:r>
        <w:rPr>
          <w:lang w:val="en-GB"/>
        </w:rPr>
        <w:t xml:space="preserve">The counter will </w:t>
      </w:r>
      <w:r w:rsidRPr="00FD772A">
        <w:rPr>
          <w:i/>
          <w:iCs/>
          <w:color w:val="FF0000"/>
          <w:lang w:val="en-GB"/>
        </w:rPr>
        <w:t>not</w:t>
      </w:r>
      <w:r w:rsidRPr="00FD772A">
        <w:rPr>
          <w:color w:val="FF0000"/>
          <w:lang w:val="en-GB"/>
        </w:rPr>
        <w:t xml:space="preserve"> </w:t>
      </w:r>
      <w:r>
        <w:rPr>
          <w:lang w:val="en-GB"/>
        </w:rPr>
        <w:t xml:space="preserve">match the values from Guest OS level as packets are dropped before it’s handed into Guest OS, or after it left the Guest OS. ESXi dropped the packet because it’s not for the Guest OS or it violates the security setting you set. </w:t>
      </w:r>
    </w:p>
    <w:p w14:paraId="30289C6E" w14:textId="77777777" w:rsidR="00DE7943" w:rsidRDefault="00DE7943" w:rsidP="00DE7943">
      <w:pPr>
        <w:rPr>
          <w:lang w:val="en-GB"/>
        </w:rPr>
      </w:pPr>
      <w:r>
        <w:rPr>
          <w:lang w:val="en-GB"/>
        </w:rPr>
        <w:t>The following summary proves that receive packet gets dropped many more times than transmit packet. This is based on 3938 VMs. Each shows the last 1 month, so approximately 35 million data points in total. The average of 35 million data points show that dropped RX is significantly higher than dropped TX. This is why it’s not in the SLA.</w:t>
      </w:r>
    </w:p>
    <w:p w14:paraId="2105F97C" w14:textId="77777777" w:rsidR="00DE7943" w:rsidRDefault="00DE7943" w:rsidP="00DE7943">
      <w:pPr>
        <w:rPr>
          <w:lang w:val="en-GB"/>
        </w:rPr>
      </w:pPr>
      <w:r w:rsidRPr="00CE230C">
        <w:rPr>
          <w:noProof/>
          <w:lang w:val="en-GB"/>
        </w:rPr>
        <w:drawing>
          <wp:inline distT="0" distB="0" distL="0" distR="0" wp14:anchorId="5377C7BC" wp14:editId="35364DFD">
            <wp:extent cx="6645910" cy="1783080"/>
            <wp:effectExtent l="0" t="0" r="2540" b="7620"/>
            <wp:docPr id="918289605" name="Picture 918289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6645910" cy="1783080"/>
                    </a:xfrm>
                    <a:prstGeom prst="rect">
                      <a:avLst/>
                    </a:prstGeom>
                  </pic:spPr>
                </pic:pic>
              </a:graphicData>
            </a:graphic>
          </wp:inline>
        </w:drawing>
      </w:r>
    </w:p>
    <w:p w14:paraId="7D40D57F" w14:textId="77777777" w:rsidR="00DE7943" w:rsidRDefault="00DE7943" w:rsidP="00DE7943">
      <w:pPr>
        <w:rPr>
          <w:lang w:val="en-GB"/>
        </w:rPr>
      </w:pPr>
      <w:r>
        <w:rPr>
          <w:lang w:val="en-GB"/>
        </w:rPr>
        <w:t>The following table shows that the drop is short and spiky, which is a good thing. The value at 99</w:t>
      </w:r>
      <w:r w:rsidRPr="00211751">
        <w:rPr>
          <w:vertAlign w:val="superscript"/>
          <w:lang w:val="en-GB"/>
        </w:rPr>
        <w:t>th</w:t>
      </w:r>
      <w:r>
        <w:rPr>
          <w:lang w:val="en-GB"/>
        </w:rPr>
        <w:t xml:space="preserve"> percentile is 35x smaller than the value at 100</w:t>
      </w:r>
      <w:r w:rsidRPr="00211751">
        <w:rPr>
          <w:vertAlign w:val="superscript"/>
          <w:lang w:val="en-GB"/>
        </w:rPr>
        <w:t>th</w:t>
      </w:r>
      <w:r>
        <w:rPr>
          <w:lang w:val="en-GB"/>
        </w:rPr>
        <w:t xml:space="preserve"> percentile. </w:t>
      </w:r>
    </w:p>
    <w:p w14:paraId="3B4B65F8" w14:textId="77777777" w:rsidR="00DE7943" w:rsidRDefault="00DE7943" w:rsidP="00DE7943">
      <w:pPr>
        <w:jc w:val="center"/>
        <w:rPr>
          <w:lang w:val="en-GB"/>
        </w:rPr>
      </w:pPr>
      <w:r w:rsidRPr="00D74EE1">
        <w:rPr>
          <w:noProof/>
          <w:lang w:val="en-GB"/>
        </w:rPr>
        <w:drawing>
          <wp:inline distT="0" distB="0" distL="0" distR="0" wp14:anchorId="7F5AC2D1" wp14:editId="57F0B8F2">
            <wp:extent cx="5544000" cy="1558800"/>
            <wp:effectExtent l="0" t="0" r="0" b="3810"/>
            <wp:docPr id="1859674522" name="Picture 1859674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5544000" cy="1558800"/>
                    </a:xfrm>
                    <a:prstGeom prst="rect">
                      <a:avLst/>
                    </a:prstGeom>
                  </pic:spPr>
                </pic:pic>
              </a:graphicData>
            </a:graphic>
          </wp:inline>
        </w:drawing>
      </w:r>
    </w:p>
    <w:p w14:paraId="5693A63F" w14:textId="77777777" w:rsidR="00DE7943" w:rsidRDefault="00DE7943" w:rsidP="00DE7943">
      <w:pPr>
        <w:rPr>
          <w:lang w:val="en-GB"/>
        </w:rPr>
      </w:pPr>
      <w:r>
        <w:rPr>
          <w:lang w:val="en-GB"/>
        </w:rPr>
        <w:t>The high value in receive can impact the overall packet dropped (%) counter, as it’s based on the following formula</w:t>
      </w:r>
    </w:p>
    <w:p w14:paraId="795D9FD7" w14:textId="77777777" w:rsidR="00DE7943" w:rsidRPr="00FC27EC" w:rsidRDefault="00DE7943" w:rsidP="00DE7943">
      <w:pPr>
        <w:pStyle w:val="Code"/>
      </w:pPr>
      <w:r w:rsidRPr="00FC27EC">
        <w:t>dropped = Network|Received Packets Dropped + Network|Transmitted Packets Dropped</w:t>
      </w:r>
    </w:p>
    <w:p w14:paraId="17C9FCF5" w14:textId="77777777" w:rsidR="00DE7943" w:rsidRPr="00FC27EC" w:rsidRDefault="00DE7943" w:rsidP="00DE7943">
      <w:pPr>
        <w:pStyle w:val="Code"/>
      </w:pPr>
      <w:r w:rsidRPr="00FC27EC">
        <w:lastRenderedPageBreak/>
        <w:t>total = Network|Packets Received + Network|Packets Transmitted</w:t>
      </w:r>
    </w:p>
    <w:p w14:paraId="3AFA149A" w14:textId="77777777" w:rsidR="00DE7943" w:rsidRDefault="00DE7943" w:rsidP="00DE7943">
      <w:pPr>
        <w:pStyle w:val="Code"/>
      </w:pPr>
      <w:r w:rsidRPr="00FC27EC">
        <w:t>Network|Packets Dropped (%) = dropped / total * 100</w:t>
      </w:r>
    </w:p>
    <w:p w14:paraId="26F52A5E" w14:textId="77777777" w:rsidR="00DE7943" w:rsidRDefault="00DE7943" w:rsidP="00DE7943">
      <w:pPr>
        <w:rPr>
          <w:lang w:val="en-GB"/>
        </w:rPr>
      </w:pPr>
      <w:r>
        <w:rPr>
          <w:lang w:val="en-GB"/>
        </w:rPr>
        <w:t>I’ve seen multiple occurrences where the packet dropped (%) jumps to well over 95%. That’s naturally worrying. They typically do not last beyond 15 minutes.</w:t>
      </w:r>
    </w:p>
    <w:p w14:paraId="26672A7F" w14:textId="77777777" w:rsidR="00DE7943" w:rsidRDefault="00DE7943" w:rsidP="00DE7943">
      <w:pPr>
        <w:jc w:val="center"/>
        <w:rPr>
          <w:lang w:val="en-GB"/>
        </w:rPr>
      </w:pPr>
      <w:r w:rsidRPr="00FC27EC">
        <w:rPr>
          <w:noProof/>
          <w:lang w:val="en-GB"/>
        </w:rPr>
        <w:drawing>
          <wp:inline distT="0" distB="0" distL="0" distR="0" wp14:anchorId="48F400D8" wp14:editId="53D12BA5">
            <wp:extent cx="4507200" cy="1252800"/>
            <wp:effectExtent l="0" t="0" r="0" b="5080"/>
            <wp:docPr id="357815374" name="Picture 35781537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74" name="Picture 357815374" descr="Chart, line chart&#10;&#10;Description automatically generated"/>
                    <pic:cNvPicPr/>
                  </pic:nvPicPr>
                  <pic:blipFill>
                    <a:blip r:embed="rId620"/>
                    <a:stretch>
                      <a:fillRect/>
                    </a:stretch>
                  </pic:blipFill>
                  <pic:spPr>
                    <a:xfrm>
                      <a:off x="0" y="0"/>
                      <a:ext cx="4507200" cy="1252800"/>
                    </a:xfrm>
                    <a:prstGeom prst="rect">
                      <a:avLst/>
                    </a:prstGeom>
                  </pic:spPr>
                </pic:pic>
              </a:graphicData>
            </a:graphic>
          </wp:inline>
        </w:drawing>
      </w:r>
    </w:p>
    <w:p w14:paraId="5ED61583" w14:textId="14305AB1" w:rsidR="00DE7943" w:rsidRDefault="00DE7943" w:rsidP="00DE7943">
      <w:pPr>
        <w:rPr>
          <w:lang w:val="en-GB"/>
        </w:rPr>
      </w:pPr>
      <w:r>
        <w:rPr>
          <w:lang w:val="en-GB"/>
        </w:rPr>
        <w:t xml:space="preserve">In this, plot the following 4 metrics. You will likely notice that the high spike is driven by </w:t>
      </w:r>
      <w:r w:rsidRPr="00526EAD">
        <w:rPr>
          <w:i/>
          <w:iCs/>
          <w:color w:val="00B0F0"/>
          <w:lang w:val="en-GB"/>
        </w:rPr>
        <w:t>low</w:t>
      </w:r>
      <w:r w:rsidRPr="00526EAD">
        <w:rPr>
          <w:color w:val="00B0F0"/>
          <w:lang w:val="en-GB"/>
        </w:rPr>
        <w:t xml:space="preserve"> </w:t>
      </w:r>
      <w:r>
        <w:rPr>
          <w:lang w:val="en-GB"/>
        </w:rPr>
        <w:t xml:space="preserve">network throughput and </w:t>
      </w:r>
      <w:r w:rsidRPr="00526EAD">
        <w:rPr>
          <w:i/>
          <w:iCs/>
          <w:color w:val="00B0F0"/>
          <w:lang w:val="en-GB"/>
        </w:rPr>
        <w:t>high</w:t>
      </w:r>
      <w:r w:rsidRPr="00526EAD">
        <w:rPr>
          <w:color w:val="00B0F0"/>
          <w:lang w:val="en-GB"/>
        </w:rPr>
        <w:t xml:space="preserve"> </w:t>
      </w:r>
      <w:r>
        <w:rPr>
          <w:lang w:val="en-GB"/>
        </w:rPr>
        <w:t xml:space="preserve">received packet dropped. </w:t>
      </w:r>
    </w:p>
    <w:p w14:paraId="56043873" w14:textId="77777777" w:rsidR="00DE7943" w:rsidRDefault="00DE7943" w:rsidP="00DE7943">
      <w:pPr>
        <w:jc w:val="center"/>
        <w:rPr>
          <w:lang w:val="en-GB"/>
        </w:rPr>
      </w:pPr>
      <w:r w:rsidRPr="00FC27EC">
        <w:rPr>
          <w:noProof/>
          <w:lang w:val="en-GB"/>
        </w:rPr>
        <w:lastRenderedPageBreak/>
        <w:drawing>
          <wp:inline distT="0" distB="0" distL="0" distR="0" wp14:anchorId="1A84363B" wp14:editId="5D212E61">
            <wp:extent cx="4406400" cy="6404400"/>
            <wp:effectExtent l="0" t="0" r="0" b="0"/>
            <wp:docPr id="534447515" name="Picture 53444751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15" name="Picture 534447515" descr="Graphical user interface, application&#10;&#10;Description automatically generated"/>
                    <pic:cNvPicPr/>
                  </pic:nvPicPr>
                  <pic:blipFill>
                    <a:blip r:embed="rId621"/>
                    <a:stretch>
                      <a:fillRect/>
                    </a:stretch>
                  </pic:blipFill>
                  <pic:spPr>
                    <a:xfrm>
                      <a:off x="0" y="0"/>
                      <a:ext cx="4406400" cy="6404400"/>
                    </a:xfrm>
                    <a:prstGeom prst="rect">
                      <a:avLst/>
                    </a:prstGeom>
                  </pic:spPr>
                </pic:pic>
              </a:graphicData>
            </a:graphic>
          </wp:inline>
        </w:drawing>
      </w:r>
    </w:p>
    <w:p w14:paraId="7AF68943" w14:textId="77777777" w:rsidR="00DE7943" w:rsidRDefault="00DE7943" w:rsidP="00DE7943">
      <w:pPr>
        <w:rPr>
          <w:lang w:val="en-GB"/>
        </w:rPr>
      </w:pPr>
      <w:r>
        <w:rPr>
          <w:lang w:val="en-GB"/>
        </w:rPr>
        <w:t xml:space="preserve">Because of the above problem, profile your VM dropped packets, focusing on the </w:t>
      </w:r>
      <w:r w:rsidRPr="00526EAD">
        <w:rPr>
          <w:color w:val="00B0F0"/>
          <w:lang w:val="en-GB"/>
        </w:rPr>
        <w:t xml:space="preserve">transmit </w:t>
      </w:r>
      <w:r>
        <w:rPr>
          <w:lang w:val="en-GB"/>
        </w:rPr>
        <w:t>packets. I notice in several customers production environment they exist, yet no one seem to complain. The following is one way to do it, giving surprising results like this:</w:t>
      </w:r>
    </w:p>
    <w:p w14:paraId="5EFCC859" w14:textId="77777777" w:rsidR="00DE7943" w:rsidRDefault="00DE7943" w:rsidP="00DE7943">
      <w:pPr>
        <w:jc w:val="center"/>
        <w:rPr>
          <w:lang w:val="en-GB"/>
        </w:rPr>
      </w:pPr>
      <w:r w:rsidRPr="00807AC5">
        <w:rPr>
          <w:noProof/>
          <w:lang w:val="en-GB"/>
        </w:rPr>
        <w:lastRenderedPageBreak/>
        <w:drawing>
          <wp:inline distT="0" distB="0" distL="0" distR="0" wp14:anchorId="5CFD1AE0" wp14:editId="74FCE2D5">
            <wp:extent cx="4237200" cy="3657600"/>
            <wp:effectExtent l="0" t="0" r="0" b="0"/>
            <wp:docPr id="1859674520" name="Picture 1859674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4237200" cy="3657600"/>
                    </a:xfrm>
                    <a:prstGeom prst="rect">
                      <a:avLst/>
                    </a:prstGeom>
                  </pic:spPr>
                </pic:pic>
              </a:graphicData>
            </a:graphic>
          </wp:inline>
        </w:drawing>
      </w:r>
    </w:p>
    <w:p w14:paraId="229EE5A9" w14:textId="77777777" w:rsidR="00DE7943" w:rsidRDefault="00DE7943" w:rsidP="00DE7943">
      <w:pPr>
        <w:rPr>
          <w:lang w:val="en-GB"/>
        </w:rPr>
      </w:pPr>
      <w:r>
        <w:rPr>
          <w:lang w:val="en-GB"/>
        </w:rPr>
        <w:t>The design of the preceding table is:</w:t>
      </w:r>
    </w:p>
    <w:p w14:paraId="44DD4A61" w14:textId="77777777" w:rsidR="00DE7943" w:rsidRDefault="00DE7943" w:rsidP="00DE7943">
      <w:pPr>
        <w:pStyle w:val="Bullet"/>
        <w:rPr>
          <w:lang w:val="en-GB"/>
        </w:rPr>
      </w:pPr>
      <w:r>
        <w:rPr>
          <w:lang w:val="en-GB"/>
        </w:rPr>
        <w:t>First column calculates the percentage packets dropped. I took 99</w:t>
      </w:r>
      <w:r w:rsidRPr="009536B9">
        <w:rPr>
          <w:vertAlign w:val="superscript"/>
          <w:lang w:val="en-GB"/>
        </w:rPr>
        <w:t>th</w:t>
      </w:r>
      <w:r>
        <w:rPr>
          <w:lang w:val="en-GB"/>
        </w:rPr>
        <w:t xml:space="preserve"> percentile else many of the results will be 100%. </w:t>
      </w:r>
    </w:p>
    <w:p w14:paraId="787B37BD" w14:textId="77777777" w:rsidR="00DE7943" w:rsidRDefault="00DE7943" w:rsidP="00DE7943">
      <w:pPr>
        <w:pStyle w:val="Bullet"/>
        <w:rPr>
          <w:lang w:val="en-GB"/>
        </w:rPr>
      </w:pPr>
      <w:r>
        <w:rPr>
          <w:lang w:val="en-GB"/>
        </w:rPr>
        <w:t xml:space="preserve">Second column sums all the transmitted dropped packets (actual packet counts). </w:t>
      </w:r>
    </w:p>
    <w:p w14:paraId="2A1638F6" w14:textId="77777777" w:rsidR="00DE7943" w:rsidRDefault="00DE7943" w:rsidP="00DE7943">
      <w:pPr>
        <w:pStyle w:val="Bullet"/>
        <w:rPr>
          <w:lang w:val="en-GB"/>
        </w:rPr>
      </w:pPr>
      <w:r>
        <w:rPr>
          <w:lang w:val="en-GB"/>
        </w:rPr>
        <w:t>Third column takes the 99</w:t>
      </w:r>
      <w:r w:rsidRPr="006B1793">
        <w:rPr>
          <w:vertAlign w:val="superscript"/>
          <w:lang w:val="en-GB"/>
        </w:rPr>
        <w:t>th</w:t>
      </w:r>
      <w:r>
        <w:rPr>
          <w:lang w:val="en-GB"/>
        </w:rPr>
        <w:t xml:space="preserve"> percentile maximum of dropped packet within any 300 seconds. Each network packet is typically 1500 bytes. Using 1.5 KB packet size, 1 thousand packets dropped = 1500 MB worth of packets within 300 seconds. </w:t>
      </w:r>
    </w:p>
    <w:p w14:paraId="3193ED0A" w14:textId="77777777" w:rsidR="00DE7943" w:rsidRDefault="00DE7943" w:rsidP="00DE7943">
      <w:pPr>
        <w:rPr>
          <w:lang w:val="en-GB"/>
        </w:rPr>
      </w:pPr>
      <w:r>
        <w:rPr>
          <w:lang w:val="en-GB"/>
        </w:rPr>
        <w:t xml:space="preserve">I don’t expect dropped packets in data center network, so to see millions of dropped packets over a month needs further investigation with network team. More over, those metrics are Transmit, not Received. So the VM sent them but they got dropped. </w:t>
      </w:r>
    </w:p>
    <w:p w14:paraId="12F970E7" w14:textId="77777777" w:rsidR="00DE7943" w:rsidRDefault="00DE7943" w:rsidP="00DE7943">
      <w:pPr>
        <w:rPr>
          <w:lang w:val="en-GB"/>
        </w:rPr>
      </w:pPr>
      <w:r>
        <w:rPr>
          <w:lang w:val="en-GB"/>
        </w:rPr>
        <w:t>What I typically notice is the spike rarely happens. They look like an outlier, especially when the number is very high. The following is an example. I only showed in the last 1 month as the rest of the 6 months had similar pattern. The jump is well cover 100 millions packets, and they were all dropped. Assuming each packet is 1 KB, since vRealize Operations reports every 5 minutes, that’s 333 MB per second sustained for 300 seconds.</w:t>
      </w:r>
    </w:p>
    <w:p w14:paraId="066D0059" w14:textId="77777777" w:rsidR="00DE7943" w:rsidRDefault="00DE7943" w:rsidP="00DE7943">
      <w:pPr>
        <w:rPr>
          <w:lang w:val="en-GB"/>
        </w:rPr>
      </w:pPr>
      <w:r w:rsidRPr="00854E06">
        <w:rPr>
          <w:noProof/>
          <w:lang w:val="en-GB"/>
        </w:rPr>
        <w:drawing>
          <wp:inline distT="0" distB="0" distL="0" distR="0" wp14:anchorId="2496EEF4" wp14:editId="4D59DDEE">
            <wp:extent cx="6645910" cy="2146300"/>
            <wp:effectExtent l="0" t="0" r="2540" b="6350"/>
            <wp:docPr id="910169586" name="Picture 910169586"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86" name="Picture 910169586" descr="Chart, scatter chart&#10;&#10;Description automatically generated"/>
                    <pic:cNvPicPr/>
                  </pic:nvPicPr>
                  <pic:blipFill>
                    <a:blip r:embed="rId623"/>
                    <a:stretch>
                      <a:fillRect/>
                    </a:stretch>
                  </pic:blipFill>
                  <pic:spPr>
                    <a:xfrm>
                      <a:off x="0" y="0"/>
                      <a:ext cx="6645910" cy="2146300"/>
                    </a:xfrm>
                    <a:prstGeom prst="rect">
                      <a:avLst/>
                    </a:prstGeom>
                  </pic:spPr>
                </pic:pic>
              </a:graphicData>
            </a:graphic>
          </wp:inline>
        </w:drawing>
      </w:r>
    </w:p>
    <w:p w14:paraId="1EB3132D" w14:textId="77777777" w:rsidR="00DE7943" w:rsidRDefault="00DE7943" w:rsidP="00DE7943">
      <w:pPr>
        <w:rPr>
          <w:lang w:val="en-GB"/>
        </w:rPr>
      </w:pPr>
      <w:r>
        <w:rPr>
          <w:lang w:val="en-GB"/>
        </w:rPr>
        <w:lastRenderedPageBreak/>
        <w:t>I also notice regular, predictable pattern like this. This is worth discussing with network team. It’s around 3800 packets each 5-minute, so it’s worth finding out.</w:t>
      </w:r>
    </w:p>
    <w:p w14:paraId="56F36BB4" w14:textId="5638ADAD" w:rsidR="00DE7943" w:rsidRDefault="00DE7943" w:rsidP="00DE7943">
      <w:pPr>
        <w:rPr>
          <w:lang w:val="en-GB"/>
        </w:rPr>
      </w:pPr>
      <w:r w:rsidRPr="00807AC5">
        <w:rPr>
          <w:noProof/>
          <w:lang w:val="en-GB"/>
        </w:rPr>
        <w:drawing>
          <wp:inline distT="0" distB="0" distL="0" distR="0" wp14:anchorId="0BA3E4C2" wp14:editId="298B8C2B">
            <wp:extent cx="6645910" cy="767715"/>
            <wp:effectExtent l="0" t="0" r="2540" b="0"/>
            <wp:docPr id="1859674518" name="Picture 1859674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6645910" cy="767715"/>
                    </a:xfrm>
                    <a:prstGeom prst="rect">
                      <a:avLst/>
                    </a:prstGeom>
                  </pic:spPr>
                </pic:pic>
              </a:graphicData>
            </a:graphic>
          </wp:inline>
        </w:drawing>
      </w:r>
    </w:p>
    <w:p w14:paraId="785BA0D3" w14:textId="77777777" w:rsidR="00AD037F" w:rsidRDefault="00000000" w:rsidP="00AD037F">
      <w:pPr>
        <w:rPr>
          <w:lang w:val="en-GB"/>
        </w:rPr>
      </w:pPr>
      <w:hyperlink r:id="rId625" w:history="1">
        <w:r w:rsidR="00AD037F" w:rsidRPr="00220496">
          <w:rPr>
            <w:rStyle w:val="Hyperlink"/>
            <w:lang w:val="en-GB"/>
          </w:rPr>
          <w:t>Packet los</w:t>
        </w:r>
        <w:r w:rsidR="00AD037F">
          <w:rPr>
            <w:rStyle w:val="Hyperlink"/>
            <w:lang w:val="en-GB"/>
          </w:rPr>
          <w:t xml:space="preserve">s </w:t>
        </w:r>
        <w:r w:rsidR="00AD037F" w:rsidRPr="00C46E33">
          <w:rPr>
            <w:rStyle w:val="Hyperlink"/>
            <w:lang w:val="en-GB"/>
          </w:rPr>
          <w:t xml:space="preserve">in </w:t>
        </w:r>
        <w:r w:rsidR="00AD037F">
          <w:rPr>
            <w:rStyle w:val="Hyperlink"/>
            <w:lang w:val="en-GB"/>
          </w:rPr>
          <w:t>G</w:t>
        </w:r>
        <w:r w:rsidR="00AD037F" w:rsidRPr="00C46E33">
          <w:rPr>
            <w:rStyle w:val="Hyperlink"/>
            <w:lang w:val="en-GB"/>
          </w:rPr>
          <w:t>uest OS using VMXNET3</w:t>
        </w:r>
      </w:hyperlink>
      <w:r w:rsidR="00AD037F">
        <w:rPr>
          <w:lang w:val="en-GB"/>
        </w:rPr>
        <w:t xml:space="preserve">: </w:t>
      </w:r>
      <w:r w:rsidR="00AD037F">
        <w:t>When using the VMXNET3 driver, you may see significant packet loss during periods of very high traffic bursts. The VM may even freeze entirely</w:t>
      </w:r>
      <w:r w:rsidR="00AD037F" w:rsidRPr="4CAB3972">
        <w:rPr>
          <w:lang w:val="en-GB"/>
        </w:rPr>
        <w:t>. This issue occurs when packets are dropped during high traffic bursts. This can occur due to a lack of receive and transmit buffer space or when receive traffic which is speed constrained.</w:t>
      </w:r>
    </w:p>
    <w:p w14:paraId="4049EC0C" w14:textId="33316AA9" w:rsidR="001406B1" w:rsidRDefault="00AE0F5A" w:rsidP="001406B1">
      <w:pPr>
        <w:pStyle w:val="Heading4"/>
        <w:numPr>
          <w:ilvl w:val="0"/>
          <w:numId w:val="0"/>
        </w:numPr>
      </w:pPr>
      <w:r>
        <w:t>Consumption</w:t>
      </w:r>
    </w:p>
    <w:p w14:paraId="6EF15994" w14:textId="77777777" w:rsidR="001406B1" w:rsidRDefault="001406B1" w:rsidP="001406B1">
      <w:pPr>
        <w:rPr>
          <w:lang w:val="en-GB"/>
        </w:rPr>
      </w:pPr>
      <w:r>
        <w:rPr>
          <w:lang w:val="en-GB"/>
        </w:rPr>
        <w:t>There are 2 main metrics to measure utilization: throughput and packets.</w:t>
      </w:r>
    </w:p>
    <w:p w14:paraId="3C067F12" w14:textId="475DA3A0" w:rsidR="001406B1" w:rsidRDefault="001406B1" w:rsidP="001406B1">
      <w:pPr>
        <w:rPr>
          <w:lang w:val="en-GB"/>
        </w:rPr>
      </w:pPr>
      <w:r>
        <w:rPr>
          <w:lang w:val="en-GB"/>
        </w:rPr>
        <w:t xml:space="preserve">Both matter as you may still have bandwidth but unable to process that many packets per second. </w:t>
      </w:r>
      <w:hyperlink r:id="rId626" w:history="1">
        <w:r w:rsidRPr="00E52A29">
          <w:rPr>
            <w:rStyle w:val="Hyperlink"/>
            <w:lang w:val="en-GB"/>
          </w:rPr>
          <w:t>This outage</w:t>
        </w:r>
      </w:hyperlink>
      <w:r>
        <w:rPr>
          <w:lang w:val="en-GB"/>
        </w:rPr>
        <w:t xml:space="preserve"> shows 700K packets per second that only consumes 800 Mbps as the packet is small. The broadcast packet is only 60 bytes long, instead of the usual 1500 bytes.</w:t>
      </w:r>
    </w:p>
    <w:p w14:paraId="6E5B1CA5" w14:textId="1C625246" w:rsidR="00D940D1" w:rsidRDefault="00D940D1" w:rsidP="001406B1">
      <w:pPr>
        <w:rPr>
          <w:lang w:val="en-GB"/>
        </w:rPr>
      </w:pPr>
      <w:r w:rsidRPr="00D940D1">
        <w:rPr>
          <w:noProof/>
          <w:lang w:val="en-GB"/>
        </w:rPr>
        <w:drawing>
          <wp:inline distT="0" distB="0" distL="0" distR="0" wp14:anchorId="02FB08B2" wp14:editId="623BC25F">
            <wp:extent cx="6645910" cy="993775"/>
            <wp:effectExtent l="0" t="0" r="2540" b="0"/>
            <wp:docPr id="1971069029" name="Picture 1971069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6645910" cy="993775"/>
                    </a:xfrm>
                    <a:prstGeom prst="rect">
                      <a:avLst/>
                    </a:prstGeom>
                  </pic:spPr>
                </pic:pic>
              </a:graphicData>
            </a:graphic>
          </wp:inline>
        </w:drawing>
      </w:r>
    </w:p>
    <w:p w14:paraId="41521FFB" w14:textId="07182F1F" w:rsidR="004615D0" w:rsidRDefault="004615D0" w:rsidP="004615D0">
      <w:pPr>
        <w:pStyle w:val="Heading3"/>
      </w:pPr>
      <w:r>
        <w:t>Performance</w:t>
      </w:r>
    </w:p>
    <w:p w14:paraId="2CDC58D7" w14:textId="4949C6C9" w:rsidR="00FE0CF6" w:rsidRDefault="00FE0CF6" w:rsidP="004615D0">
      <w:pPr>
        <w:rPr>
          <w:rStyle w:val="normaltextrun"/>
          <w:rFonts w:ascii="Calibri" w:hAnsi="Calibri" w:cs="Calibri"/>
          <w:lang w:val="en-GB"/>
        </w:rPr>
      </w:pPr>
      <w:bookmarkStart w:id="105" w:name="_Hlk133854961"/>
      <w:r>
        <w:rPr>
          <w:rStyle w:val="normaltextrun"/>
          <w:rFonts w:ascii="Calibri" w:hAnsi="Calibri" w:cs="Calibri"/>
          <w:lang w:val="en-GB"/>
        </w:rPr>
        <w:t>With so many metrics, how do you monitor at scale? Say you have 1000 VM and you want to monitor every 5 minutes and see the performance trend in the last 24 hours. That would be far too many trend charts.</w:t>
      </w:r>
    </w:p>
    <w:p w14:paraId="2DAE4B25" w14:textId="71F96BB7" w:rsidR="00FE0CF6" w:rsidRDefault="00FE0CF6" w:rsidP="004615D0">
      <w:pPr>
        <w:rPr>
          <w:rStyle w:val="normaltextrun"/>
          <w:rFonts w:ascii="Calibri" w:hAnsi="Calibri" w:cs="Calibri"/>
          <w:lang w:val="en-GB"/>
        </w:rPr>
      </w:pPr>
      <w:r>
        <w:rPr>
          <w:rStyle w:val="normaltextrun"/>
          <w:rFonts w:ascii="Calibri" w:hAnsi="Calibri" w:cs="Calibri"/>
          <w:lang w:val="en-GB"/>
        </w:rPr>
        <w:t>Enter Performance (%) metric.</w:t>
      </w:r>
    </w:p>
    <w:bookmarkEnd w:id="105"/>
    <w:p w14:paraId="06A1C125" w14:textId="0DA92425" w:rsidR="004615D0" w:rsidRDefault="004615D0" w:rsidP="004615D0">
      <w:pPr>
        <w:rPr>
          <w:rStyle w:val="normaltextrun"/>
          <w:rFonts w:ascii="Calibri" w:hAnsi="Calibri" w:cs="Calibri"/>
          <w:lang w:val="en-GB"/>
        </w:rPr>
      </w:pPr>
      <w:r>
        <w:rPr>
          <w:rStyle w:val="normaltextrun"/>
          <w:rFonts w:ascii="Calibri" w:hAnsi="Calibri" w:cs="Calibri"/>
          <w:lang w:val="en-GB"/>
        </w:rPr>
        <w:t>VM KPI includes Guest OS metrics as operationally we troubleshoot them as one</w:t>
      </w:r>
      <w:r w:rsidR="004414EA">
        <w:rPr>
          <w:rStyle w:val="normaltextrun"/>
          <w:rFonts w:ascii="Calibri" w:hAnsi="Calibri" w:cs="Calibri"/>
          <w:lang w:val="en-GB"/>
        </w:rPr>
        <w:t>, due to their 1:1 relationship.</w:t>
      </w:r>
    </w:p>
    <w:p w14:paraId="067B5D92" w14:textId="77777777" w:rsidR="004615D0" w:rsidRPr="00A452F2" w:rsidRDefault="004615D0" w:rsidP="004615D0">
      <w:pPr>
        <w:rPr>
          <w:lang w:val="en-GB"/>
        </w:rPr>
      </w:pPr>
      <w:r>
        <w:rPr>
          <w:rStyle w:val="normaltextrun"/>
          <w:rFonts w:ascii="Calibri" w:hAnsi="Calibri" w:cs="Calibri"/>
          <w:lang w:val="en-GB"/>
        </w:rPr>
        <w:t>Let’s now put together all the metrics from Guest OS and VM. For completeness, I added the utilization metrics to act as leading indicators.</w:t>
      </w:r>
    </w:p>
    <w:p w14:paraId="45C15533" w14:textId="77777777" w:rsidR="004615D0" w:rsidRPr="00A452F2" w:rsidRDefault="004615D0" w:rsidP="004615D0">
      <w:pPr>
        <w:pStyle w:val="paragraph"/>
        <w:rPr>
          <w:lang w:val="en-GB"/>
        </w:rPr>
      </w:pPr>
      <w:r>
        <w:rPr>
          <w:noProof/>
        </w:rPr>
        <w:lastRenderedPageBreak/>
        <w:drawing>
          <wp:inline distT="0" distB="0" distL="0" distR="0" wp14:anchorId="565ACA80" wp14:editId="741766AA">
            <wp:extent cx="6536798" cy="1961909"/>
            <wp:effectExtent l="0" t="0" r="0" b="635"/>
            <wp:docPr id="14" name="Picture 1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10;&#10;Description automatically generated"/>
                    <pic:cNvPicPr/>
                  </pic:nvPicPr>
                  <pic:blipFill>
                    <a:blip r:embed="rId628">
                      <a:extLst>
                        <a:ext uri="{28A0092B-C50C-407E-A947-70E740481C1C}">
                          <a14:useLocalDpi xmlns:a14="http://schemas.microsoft.com/office/drawing/2010/main" val="0"/>
                        </a:ext>
                      </a:extLst>
                    </a:blip>
                    <a:stretch>
                      <a:fillRect/>
                    </a:stretch>
                  </pic:blipFill>
                  <pic:spPr>
                    <a:xfrm>
                      <a:off x="0" y="0"/>
                      <a:ext cx="6536798" cy="1961909"/>
                    </a:xfrm>
                    <a:prstGeom prst="rect">
                      <a:avLst/>
                    </a:prstGeom>
                  </pic:spPr>
                </pic:pic>
              </a:graphicData>
            </a:graphic>
          </wp:inline>
        </w:drawing>
      </w:r>
    </w:p>
    <w:p w14:paraId="24EE50FB" w14:textId="77777777" w:rsidR="004615D0" w:rsidRDefault="004615D0" w:rsidP="004615D0">
      <w:pPr>
        <w:rPr>
          <w:lang w:val="en-GB"/>
        </w:rPr>
      </w:pPr>
      <w:r w:rsidRPr="4CAB3972">
        <w:rPr>
          <w:rStyle w:val="normaltextrun"/>
          <w:rFonts w:ascii="Calibri" w:hAnsi="Calibri" w:cs="Calibri"/>
          <w:lang w:val="en-GB"/>
        </w:rPr>
        <w:t xml:space="preserve">The KPI </w:t>
      </w:r>
      <w:r>
        <w:rPr>
          <w:rStyle w:val="normaltextrun"/>
          <w:rFonts w:ascii="Calibri" w:hAnsi="Calibri" w:cs="Calibri"/>
          <w:lang w:val="en-GB"/>
        </w:rPr>
        <w:t>metrics</w:t>
      </w:r>
      <w:r w:rsidRPr="4CAB3972">
        <w:rPr>
          <w:rStyle w:val="normaltextrun"/>
          <w:rFonts w:ascii="Calibri" w:hAnsi="Calibri" w:cs="Calibri"/>
          <w:lang w:val="en-GB"/>
        </w:rPr>
        <w:t xml:space="preserve"> maybe too technical for some users</w:t>
      </w:r>
      <w:r>
        <w:rPr>
          <w:rStyle w:val="normaltextrun"/>
          <w:rFonts w:ascii="Calibri" w:hAnsi="Calibri" w:cs="Calibri"/>
          <w:lang w:val="en-GB"/>
        </w:rPr>
        <w:t xml:space="preserve">. You also need to reduce them into a single metric so you can manage at scale. </w:t>
      </w:r>
      <w:r>
        <w:rPr>
          <w:lang w:val="en-GB"/>
        </w:rPr>
        <w:t xml:space="preserve">As each metric has their own units, we need to convert them into a </w:t>
      </w:r>
      <w:r w:rsidRPr="00E32884">
        <w:rPr>
          <w:i/>
          <w:iCs/>
          <w:color w:val="00B0F0"/>
          <w:lang w:val="en-GB"/>
        </w:rPr>
        <w:t>unit-less</w:t>
      </w:r>
      <w:r w:rsidRPr="00E32884">
        <w:rPr>
          <w:color w:val="00B0F0"/>
          <w:lang w:val="en-GB"/>
        </w:rPr>
        <w:t xml:space="preserve"> </w:t>
      </w:r>
      <w:r>
        <w:rPr>
          <w:lang w:val="en-GB"/>
        </w:rPr>
        <w:t xml:space="preserve">range. I picked 0 – 100 range as that’s easier to understand. </w:t>
      </w:r>
    </w:p>
    <w:p w14:paraId="65A583A6" w14:textId="77777777" w:rsidR="004615D0" w:rsidRDefault="004615D0" w:rsidP="004615D0">
      <w:r>
        <w:rPr>
          <w:rStyle w:val="normaltextrun"/>
          <w:rFonts w:ascii="Calibri" w:hAnsi="Calibri" w:cs="Calibri"/>
          <w:lang w:val="en-GB"/>
        </w:rPr>
        <w:t xml:space="preserve">Pick the metrics that’s relevant to your environment. Here is what I recommend, including their threshold. </w:t>
      </w:r>
    </w:p>
    <w:p w14:paraId="19B868AD" w14:textId="77777777" w:rsidR="004615D0" w:rsidRDefault="004615D0" w:rsidP="004615D0">
      <w:pPr>
        <w:pStyle w:val="Tablecontent"/>
        <w:rPr>
          <w:lang w:val="en-SG"/>
        </w:rPr>
      </w:pPr>
      <w:r w:rsidRPr="00193E64">
        <w:rPr>
          <w:noProof/>
          <w:lang w:val="en-SG"/>
        </w:rPr>
        <w:drawing>
          <wp:inline distT="0" distB="0" distL="0" distR="0" wp14:anchorId="40CA839D" wp14:editId="3428019E">
            <wp:extent cx="6645910" cy="3547745"/>
            <wp:effectExtent l="0" t="0" r="2540" b="0"/>
            <wp:docPr id="910169589" name="Picture 91016958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89" name="Picture 910169589" descr="Table&#10;&#10;Description automatically generated"/>
                    <pic:cNvPicPr/>
                  </pic:nvPicPr>
                  <pic:blipFill>
                    <a:blip r:embed="rId629"/>
                    <a:stretch>
                      <a:fillRect/>
                    </a:stretch>
                  </pic:blipFill>
                  <pic:spPr>
                    <a:xfrm>
                      <a:off x="0" y="0"/>
                      <a:ext cx="6645910" cy="3547745"/>
                    </a:xfrm>
                    <a:prstGeom prst="rect">
                      <a:avLst/>
                    </a:prstGeom>
                  </pic:spPr>
                </pic:pic>
              </a:graphicData>
            </a:graphic>
          </wp:inline>
        </w:drawing>
      </w:r>
    </w:p>
    <w:p w14:paraId="52946181" w14:textId="77777777" w:rsidR="004615D0" w:rsidRDefault="004615D0" w:rsidP="004615D0">
      <w:pPr>
        <w:pStyle w:val="Tablecontent"/>
        <w:rPr>
          <w:lang w:val="en-SG"/>
        </w:rPr>
      </w:pPr>
      <w:r w:rsidRPr="00990DB5">
        <w:rPr>
          <w:lang w:val="en-SG"/>
        </w:rPr>
        <w:t>Memory</w:t>
      </w:r>
      <w:r>
        <w:rPr>
          <w:lang w:val="en-SG"/>
        </w:rPr>
        <w:t xml:space="preserve"> </w:t>
      </w:r>
      <w:r w:rsidRPr="00990DB5">
        <w:rPr>
          <w:lang w:val="en-SG"/>
        </w:rPr>
        <w:t>Ballooned, Swapped, Compressed</w:t>
      </w:r>
      <w:r>
        <w:rPr>
          <w:lang w:val="en-SG"/>
        </w:rPr>
        <w:t xml:space="preserve"> are added even though their presence do not indicate real performance as they are leading indicators. Swapped and Compressed are combined as they are the result of the same action. Together they tell the complete picture.</w:t>
      </w:r>
    </w:p>
    <w:p w14:paraId="216D7598" w14:textId="77777777" w:rsidR="004615D0" w:rsidRDefault="004615D0" w:rsidP="004615D0">
      <w:pPr>
        <w:pStyle w:val="Tablecontent"/>
        <w:rPr>
          <w:lang w:val="en-SG"/>
        </w:rPr>
      </w:pPr>
      <w:r>
        <w:rPr>
          <w:lang w:val="en-SG"/>
        </w:rPr>
        <w:t xml:space="preserve">Do you know why we use CPU Run – Overlap as opposed to CPU Usage? Read Part 2 Chapter 2 CPU Metrics. </w:t>
      </w:r>
    </w:p>
    <w:p w14:paraId="7F4518FD" w14:textId="77777777" w:rsidR="004615D0" w:rsidRPr="00990DB5" w:rsidRDefault="004615D0" w:rsidP="004615D0">
      <w:pPr>
        <w:pStyle w:val="Tablecontent"/>
        <w:rPr>
          <w:lang w:val="en-SG"/>
        </w:rPr>
      </w:pPr>
      <w:r w:rsidRPr="00502465">
        <w:rPr>
          <w:lang w:val="en-SG"/>
        </w:rPr>
        <w:t>We can only put metric here if they can be quantified in to the 4 brackets. Else it might do a disservice. Hence majority of utilization metrics (e.g. disk IOPS</w:t>
      </w:r>
      <w:r>
        <w:rPr>
          <w:lang w:val="en-SG"/>
        </w:rPr>
        <w:t>, network throughput</w:t>
      </w:r>
      <w:r w:rsidRPr="00502465">
        <w:rPr>
          <w:lang w:val="en-SG"/>
        </w:rPr>
        <w:t>) are not here.</w:t>
      </w:r>
    </w:p>
    <w:p w14:paraId="18DC9AC6" w14:textId="33156690" w:rsidR="004615D0" w:rsidRDefault="004615D0" w:rsidP="004615D0">
      <w:pPr>
        <w:rPr>
          <w:lang w:val="en-GB"/>
        </w:rPr>
      </w:pPr>
      <w:r>
        <w:rPr>
          <w:lang w:val="en-GB"/>
        </w:rPr>
        <w:t>The threshold is designed to support p</w:t>
      </w:r>
      <w:r w:rsidRPr="0084772A">
        <w:rPr>
          <w:lang w:val="en-GB"/>
        </w:rPr>
        <w:t>roactive, not alert based</w:t>
      </w:r>
      <w:r>
        <w:rPr>
          <w:lang w:val="en-GB"/>
        </w:rPr>
        <w:t xml:space="preserve"> operations. Hence, the </w:t>
      </w:r>
      <w:r w:rsidR="00CF7D2C" w:rsidRPr="00CF7D2C">
        <w:rPr>
          <w:color w:val="FF0000"/>
          <w:lang w:val="en-GB"/>
        </w:rPr>
        <w:t>red</w:t>
      </w:r>
      <w:r w:rsidRPr="0071506B">
        <w:rPr>
          <w:lang w:val="en-GB"/>
        </w:rPr>
        <w:t xml:space="preserve"> </w:t>
      </w:r>
      <w:r>
        <w:rPr>
          <w:lang w:val="en-GB"/>
        </w:rPr>
        <w:t xml:space="preserve">range </w:t>
      </w:r>
      <w:r w:rsidRPr="0071506B">
        <w:rPr>
          <w:lang w:val="en-GB"/>
        </w:rPr>
        <w:t>does not mean emergency</w:t>
      </w:r>
      <w:r>
        <w:rPr>
          <w:lang w:val="en-GB"/>
        </w:rPr>
        <w:t xml:space="preserve"> and you must drop everything</w:t>
      </w:r>
      <w:r w:rsidRPr="0071506B">
        <w:rPr>
          <w:lang w:val="en-GB"/>
        </w:rPr>
        <w:t xml:space="preserve">. It means you need to take a look </w:t>
      </w:r>
      <w:r>
        <w:rPr>
          <w:lang w:val="en-GB"/>
        </w:rPr>
        <w:t xml:space="preserve">within the next 24 hours. This also gives you time to evaluate how many times it falls into the </w:t>
      </w:r>
      <w:r w:rsidR="00CF7D2C" w:rsidRPr="00CF7D2C">
        <w:rPr>
          <w:color w:val="FF0000"/>
          <w:lang w:val="en-GB"/>
        </w:rPr>
        <w:t>red</w:t>
      </w:r>
      <w:r>
        <w:rPr>
          <w:lang w:val="en-GB"/>
        </w:rPr>
        <w:t xml:space="preserve"> zone and the overall trend.</w:t>
      </w:r>
    </w:p>
    <w:p w14:paraId="7B90BD01" w14:textId="77777777" w:rsidR="004615D0" w:rsidRPr="00C12F50" w:rsidRDefault="004615D0" w:rsidP="004414EA">
      <w:pPr>
        <w:pStyle w:val="Heading4"/>
      </w:pPr>
      <w:bookmarkStart w:id="106" w:name="_Troubleshooting_metrics"/>
      <w:bookmarkEnd w:id="106"/>
      <w:r>
        <w:lastRenderedPageBreak/>
        <w:t>20-second Peak Metrics</w:t>
      </w:r>
    </w:p>
    <w:p w14:paraId="7AAFCB84" w14:textId="77777777" w:rsidR="004615D0" w:rsidRDefault="004615D0" w:rsidP="004615D0">
      <w:pPr>
        <w:rPr>
          <w:lang w:val="en-GB" w:eastAsia="en-SG"/>
        </w:rPr>
      </w:pPr>
      <w:r w:rsidRPr="4CAB3972">
        <w:rPr>
          <w:lang w:val="en-GB" w:eastAsia="en-SG"/>
        </w:rPr>
        <w:t xml:space="preserve">vRealize Operations collects and stores data every 5 minutes. This is good enough for </w:t>
      </w:r>
      <w:r w:rsidRPr="4CAB3972">
        <w:rPr>
          <w:i/>
          <w:iCs/>
          <w:lang w:val="en-GB" w:eastAsia="en-SG"/>
        </w:rPr>
        <w:t xml:space="preserve">monitoring </w:t>
      </w:r>
      <w:r w:rsidRPr="4CAB3972">
        <w:rPr>
          <w:lang w:val="en-GB" w:eastAsia="en-SG"/>
        </w:rPr>
        <w:t xml:space="preserve">use case, but not for troubleshooting. 300-second average is not granular enough, as performance problem may not be sustained that long. Even a performance issue that last </w:t>
      </w:r>
      <w:r>
        <w:rPr>
          <w:lang w:val="en-GB" w:eastAsia="en-SG"/>
        </w:rPr>
        <w:t>days</w:t>
      </w:r>
      <w:r w:rsidRPr="4CAB3972">
        <w:rPr>
          <w:lang w:val="en-GB" w:eastAsia="en-SG"/>
        </w:rPr>
        <w:t xml:space="preserve"> may consist of </w:t>
      </w:r>
      <w:r w:rsidRPr="00826558">
        <w:rPr>
          <w:i/>
          <w:iCs/>
          <w:color w:val="FF0000"/>
          <w:lang w:val="en-GB" w:eastAsia="en-SG"/>
        </w:rPr>
        <w:t xml:space="preserve">repeated </w:t>
      </w:r>
      <w:r>
        <w:rPr>
          <w:i/>
          <w:iCs/>
          <w:color w:val="FF0000"/>
          <w:lang w:val="en-GB" w:eastAsia="en-SG"/>
        </w:rPr>
        <w:t>microbursts</w:t>
      </w:r>
      <w:r w:rsidRPr="4CAB3972">
        <w:rPr>
          <w:lang w:val="en-GB" w:eastAsia="en-SG"/>
        </w:rPr>
        <w:t xml:space="preserve">. </w:t>
      </w:r>
      <w:r>
        <w:rPr>
          <w:lang w:val="en-GB" w:eastAsia="en-SG"/>
        </w:rPr>
        <w:t>I check if repeated burst exist by profiling a few thousand VMs. Here are some of the results. I compare 3 metrics (disk latency, network throughput and CPU context switch).</w:t>
      </w:r>
    </w:p>
    <w:p w14:paraId="451F8668" w14:textId="77777777" w:rsidR="004615D0" w:rsidRDefault="004615D0" w:rsidP="004615D0">
      <w:pPr>
        <w:rPr>
          <w:lang w:val="en-GB" w:eastAsia="en-SG"/>
        </w:rPr>
      </w:pPr>
      <w:r w:rsidRPr="00940A96">
        <w:rPr>
          <w:noProof/>
          <w:lang w:val="en-GB" w:eastAsia="en-SG"/>
        </w:rPr>
        <w:drawing>
          <wp:inline distT="0" distB="0" distL="0" distR="0" wp14:anchorId="7DD2CD3B" wp14:editId="1B18518A">
            <wp:extent cx="6645910" cy="3586480"/>
            <wp:effectExtent l="0" t="0" r="2540" b="0"/>
            <wp:docPr id="1293284838" name="Picture 1293284838"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38" name="Picture 1293284838" descr="Graphical user interface&#10;&#10;Description automatically generated with medium confidence"/>
                    <pic:cNvPicPr/>
                  </pic:nvPicPr>
                  <pic:blipFill>
                    <a:blip r:embed="rId630"/>
                    <a:stretch>
                      <a:fillRect/>
                    </a:stretch>
                  </pic:blipFill>
                  <pic:spPr>
                    <a:xfrm>
                      <a:off x="0" y="0"/>
                      <a:ext cx="6645910" cy="3586480"/>
                    </a:xfrm>
                    <a:prstGeom prst="rect">
                      <a:avLst/>
                    </a:prstGeom>
                  </pic:spPr>
                </pic:pic>
              </a:graphicData>
            </a:graphic>
          </wp:inline>
        </w:drawing>
      </w:r>
    </w:p>
    <w:p w14:paraId="65741C92" w14:textId="77777777" w:rsidR="004615D0" w:rsidRDefault="004615D0" w:rsidP="004615D0">
      <w:pPr>
        <w:rPr>
          <w:lang w:val="en-GB" w:eastAsia="en-SG"/>
        </w:rPr>
      </w:pPr>
      <w:r>
        <w:rPr>
          <w:lang w:val="en-GB" w:eastAsia="en-SG"/>
        </w:rPr>
        <w:t>The peak column is based on 20-second average. So it’s 15x sharper than the 300-second average. It gives better visibility into the microbursts. If the burst exists, you will see something like this, where the 20-second shows much worse value consistently.</w:t>
      </w:r>
    </w:p>
    <w:p w14:paraId="3278F03F" w14:textId="77777777" w:rsidR="004615D0" w:rsidRDefault="004615D0" w:rsidP="004615D0">
      <w:pPr>
        <w:rPr>
          <w:lang w:val="en-GB" w:eastAsia="en-SG"/>
        </w:rPr>
      </w:pPr>
      <w:r w:rsidRPr="00D7069B">
        <w:rPr>
          <w:noProof/>
          <w:lang w:val="en-GB" w:eastAsia="en-SG"/>
        </w:rPr>
        <w:drawing>
          <wp:inline distT="0" distB="0" distL="0" distR="0" wp14:anchorId="0EFCCD6A" wp14:editId="13610A6A">
            <wp:extent cx="6645910" cy="1490980"/>
            <wp:effectExtent l="0" t="0" r="2540" b="0"/>
            <wp:docPr id="1293284843" name="Picture 129328484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43" name="Picture 1293284843" descr="Graphical user interface, application&#10;&#10;Description automatically generated"/>
                    <pic:cNvPicPr/>
                  </pic:nvPicPr>
                  <pic:blipFill>
                    <a:blip r:embed="rId631"/>
                    <a:stretch>
                      <a:fillRect/>
                    </a:stretch>
                  </pic:blipFill>
                  <pic:spPr>
                    <a:xfrm>
                      <a:off x="0" y="0"/>
                      <a:ext cx="6645910" cy="1490980"/>
                    </a:xfrm>
                    <a:prstGeom prst="rect">
                      <a:avLst/>
                    </a:prstGeom>
                  </pic:spPr>
                </pic:pic>
              </a:graphicData>
            </a:graphic>
          </wp:inline>
        </w:drawing>
      </w:r>
    </w:p>
    <w:p w14:paraId="64A5673E" w14:textId="77777777" w:rsidR="004615D0" w:rsidRDefault="004615D0" w:rsidP="004615D0">
      <w:pPr>
        <w:rPr>
          <w:lang w:val="en-GB" w:eastAsia="en-SG"/>
        </w:rPr>
      </w:pPr>
      <w:r>
        <w:rPr>
          <w:lang w:val="en-GB" w:eastAsia="en-SG"/>
        </w:rPr>
        <w:t>Are you surprised to see that the 20-second peak is a lot worse than 15x worse? The preceding chart shows 10370 ms latency at 20-second vs 257 ms at 300 second.</w:t>
      </w:r>
    </w:p>
    <w:p w14:paraId="3876A4DE" w14:textId="77777777" w:rsidR="004615D0" w:rsidRDefault="004615D0" w:rsidP="004615D0">
      <w:pPr>
        <w:rPr>
          <w:lang w:val="en-GB" w:eastAsia="en-SG"/>
        </w:rPr>
      </w:pPr>
      <w:r>
        <w:rPr>
          <w:lang w:val="en-GB" w:eastAsia="en-SG"/>
        </w:rPr>
        <w:t>The huge gap is due to 2 things</w:t>
      </w:r>
    </w:p>
    <w:p w14:paraId="3A9FAF57" w14:textId="77777777" w:rsidR="004615D0" w:rsidRDefault="004615D0" w:rsidP="004615D0">
      <w:pPr>
        <w:pStyle w:val="Bullet"/>
        <w:rPr>
          <w:lang w:val="en-GB" w:eastAsia="en-SG"/>
        </w:rPr>
      </w:pPr>
      <w:r>
        <w:rPr>
          <w:lang w:val="en-GB" w:eastAsia="en-SG"/>
        </w:rPr>
        <w:t>There is only 1 or 2 microbursts, and it’s much higher than the average. This can happen on counter such as disk latency and CPU context switch, where the value can be astronomically high.</w:t>
      </w:r>
    </w:p>
    <w:p w14:paraId="1B167C84" w14:textId="77777777" w:rsidR="004615D0" w:rsidRDefault="004615D0" w:rsidP="004615D0">
      <w:pPr>
        <w:pStyle w:val="Bullet"/>
        <w:rPr>
          <w:lang w:val="en-GB" w:eastAsia="en-SG"/>
        </w:rPr>
      </w:pPr>
      <w:r>
        <w:rPr>
          <w:lang w:val="en-GB" w:eastAsia="en-SG"/>
        </w:rPr>
        <w:lastRenderedPageBreak/>
        <w:t>There are many sets. A VM can have many disks. For example, a database VM with 20 virtual disks will have 40 sets of metrics. Each set has 15 datapoints, giving a total of 600 metrics. The peak is reporting the highest of 600 metrics. If the remaining is much lower, then the gap will naturally be high.</w:t>
      </w:r>
    </w:p>
    <w:p w14:paraId="48B39A9C" w14:textId="77777777" w:rsidR="004615D0" w:rsidRPr="00A452F2" w:rsidRDefault="004615D0" w:rsidP="001A443B">
      <w:pPr>
        <w:pStyle w:val="Heading5"/>
      </w:pPr>
      <w:r>
        <w:t>H</w:t>
      </w:r>
      <w:r w:rsidRPr="4CAB3972">
        <w:t>ow are they chosen?</w:t>
      </w:r>
    </w:p>
    <w:p w14:paraId="177704A9" w14:textId="77777777" w:rsidR="004615D0" w:rsidRPr="00A452F2" w:rsidRDefault="004615D0" w:rsidP="004615D0">
      <w:pPr>
        <w:rPr>
          <w:lang w:val="en-GB" w:eastAsia="en-SG"/>
        </w:rPr>
      </w:pPr>
      <w:r w:rsidRPr="00A452F2">
        <w:rPr>
          <w:lang w:val="en-GB" w:eastAsia="en-SG"/>
        </w:rPr>
        <w:t xml:space="preserve">Take a look at the table below. It shows a VM with 2 virtual disks. Each disk has its own read latency and write latency, giving us a total of 4 </w:t>
      </w:r>
      <w:r>
        <w:rPr>
          <w:lang w:val="en-GB" w:eastAsia="en-SG"/>
        </w:rPr>
        <w:t>metrics</w:t>
      </w:r>
      <w:r w:rsidRPr="00A452F2">
        <w:rPr>
          <w:lang w:val="en-GB" w:eastAsia="en-SG"/>
        </w:rPr>
        <w:t xml:space="preserve">. </w:t>
      </w:r>
    </w:p>
    <w:p w14:paraId="4BFA7FF7" w14:textId="77777777" w:rsidR="004615D0" w:rsidRPr="00A452F2" w:rsidRDefault="004615D0" w:rsidP="004615D0">
      <w:pPr>
        <w:rPr>
          <w:lang w:val="en-GB" w:eastAsia="en-SG"/>
        </w:rPr>
      </w:pPr>
      <w:r>
        <w:rPr>
          <w:noProof/>
        </w:rPr>
        <w:drawing>
          <wp:inline distT="0" distB="0" distL="0" distR="0" wp14:anchorId="0CD9531C" wp14:editId="08562168">
            <wp:extent cx="6274124" cy="1358970"/>
            <wp:effectExtent l="0" t="0" r="0" b="0"/>
            <wp:docPr id="42" name="Picture 42"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Graphical user interface, table&#10;&#10;Description automatically generated"/>
                    <pic:cNvPicPr/>
                  </pic:nvPicPr>
                  <pic:blipFill>
                    <a:blip r:embed="rId632">
                      <a:extLst>
                        <a:ext uri="{28A0092B-C50C-407E-A947-70E740481C1C}">
                          <a14:useLocalDpi xmlns:a14="http://schemas.microsoft.com/office/drawing/2010/main" val="0"/>
                        </a:ext>
                      </a:extLst>
                    </a:blip>
                    <a:stretch>
                      <a:fillRect/>
                    </a:stretch>
                  </pic:blipFill>
                  <pic:spPr>
                    <a:xfrm>
                      <a:off x="0" y="0"/>
                      <a:ext cx="6274124" cy="1358970"/>
                    </a:xfrm>
                    <a:prstGeom prst="rect">
                      <a:avLst/>
                    </a:prstGeom>
                  </pic:spPr>
                </pic:pic>
              </a:graphicData>
            </a:graphic>
          </wp:inline>
        </w:drawing>
      </w:r>
      <w:r w:rsidRPr="1621D005">
        <w:rPr>
          <w:lang w:val="en-GB" w:eastAsia="en-SG"/>
        </w:rPr>
        <w:t xml:space="preserve"> </w:t>
      </w:r>
    </w:p>
    <w:p w14:paraId="640C05E3" w14:textId="77777777" w:rsidR="004615D0" w:rsidRPr="00A452F2" w:rsidRDefault="004615D0" w:rsidP="004615D0">
      <w:pPr>
        <w:rPr>
          <w:lang w:val="en-GB" w:eastAsia="en-SG"/>
        </w:rPr>
      </w:pPr>
      <w:r w:rsidRPr="00A452F2">
        <w:rPr>
          <w:lang w:val="en-GB" w:eastAsia="en-SG"/>
        </w:rPr>
        <w:t xml:space="preserve">What vRealize Operations 8.3 does is to add a new metric. It does not change the existing metric, because both have their own purpose. The 5-minute average is better for your SLA and performance guarantee claim. If you guarantee 10 ms disk latency for every single IOPS, you’d be hard pressed to deliver that service. These new </w:t>
      </w:r>
      <w:r>
        <w:rPr>
          <w:lang w:val="en-GB" w:eastAsia="en-SG"/>
        </w:rPr>
        <w:t>metrics</w:t>
      </w:r>
      <w:r w:rsidRPr="00A452F2">
        <w:rPr>
          <w:lang w:val="en-GB" w:eastAsia="en-SG"/>
        </w:rPr>
        <w:t xml:space="preserve"> act as early warning. It’s an internal threshold that you use to monitor if your 5-minute SLA is on the way to be breached.</w:t>
      </w:r>
    </w:p>
    <w:p w14:paraId="3C4AC988" w14:textId="77777777" w:rsidR="004615D0" w:rsidRPr="00A452F2" w:rsidRDefault="004615D0" w:rsidP="004615D0">
      <w:pPr>
        <w:rPr>
          <w:lang w:val="en-GB" w:eastAsia="en-SG"/>
        </w:rPr>
      </w:pPr>
      <w:r w:rsidRPr="00A452F2">
        <w:rPr>
          <w:lang w:val="en-GB" w:eastAsia="en-SG"/>
        </w:rPr>
        <w:t xml:space="preserve">vRealize Operations 8.3 takes the peak of these 15 data points, and stores </w:t>
      </w:r>
      <w:r>
        <w:rPr>
          <w:lang w:val="en-GB" w:eastAsia="en-SG"/>
        </w:rPr>
        <w:t>them</w:t>
      </w:r>
      <w:r w:rsidRPr="00A452F2">
        <w:rPr>
          <w:lang w:val="en-GB" w:eastAsia="en-SG"/>
        </w:rPr>
        <w:t xml:space="preserve"> every 5 minutes. It does </w:t>
      </w:r>
      <w:r w:rsidRPr="00E63FC7">
        <w:rPr>
          <w:i/>
          <w:iCs/>
          <w:color w:val="FF0000"/>
          <w:lang w:val="en-GB" w:eastAsia="en-SG"/>
        </w:rPr>
        <w:t>not</w:t>
      </w:r>
      <w:r w:rsidRPr="00E63FC7">
        <w:rPr>
          <w:color w:val="FF0000"/>
          <w:lang w:val="en-GB" w:eastAsia="en-SG"/>
        </w:rPr>
        <w:t xml:space="preserve"> </w:t>
      </w:r>
      <w:r w:rsidRPr="00A452F2">
        <w:rPr>
          <w:lang w:val="en-GB" w:eastAsia="en-SG"/>
        </w:rPr>
        <w:t>store all 15 data points, because that will create a lot more IOPS and consume more storage. It answers the question “</w:t>
      </w:r>
      <w:r w:rsidRPr="000A02EB">
        <w:rPr>
          <w:color w:val="00B0F0"/>
          <w:lang w:val="en-GB" w:eastAsia="en-SG"/>
        </w:rPr>
        <w:t>Does the VM or Guest OS experience any performance problem in any 20-second period?</w:t>
      </w:r>
      <w:r w:rsidRPr="00A452F2">
        <w:rPr>
          <w:lang w:val="en-GB" w:eastAsia="en-SG"/>
        </w:rPr>
        <w:t>”</w:t>
      </w:r>
    </w:p>
    <w:p w14:paraId="1C2227BF" w14:textId="77777777" w:rsidR="004615D0" w:rsidRPr="00A452F2" w:rsidRDefault="004615D0" w:rsidP="004615D0">
      <w:pPr>
        <w:rPr>
          <w:lang w:val="en-GB" w:eastAsia="en-SG"/>
        </w:rPr>
      </w:pPr>
      <w:r w:rsidRPr="00A452F2">
        <w:rPr>
          <w:lang w:val="en-GB" w:eastAsia="en-SG"/>
        </w:rPr>
        <w:t xml:space="preserve">Having all 20-second data points are more natural to us, as we’re used to 1 second in Windows and 20 second in vCenter performance charts. But how does that additional </w:t>
      </w:r>
      <w:r w:rsidRPr="00A452F2">
        <w:rPr>
          <w:b/>
          <w:bCs/>
          <w:lang w:val="en-GB" w:eastAsia="en-SG"/>
        </w:rPr>
        <w:t xml:space="preserve">14 </w:t>
      </w:r>
      <w:r w:rsidRPr="00A452F2">
        <w:rPr>
          <w:lang w:val="en-GB" w:eastAsia="en-SG"/>
        </w:rPr>
        <w:t>data points change the end remediation action? If the action you take to troubleshoot is the same (e.g. adjust the VM size), why pay the price of storing 15x more data points?</w:t>
      </w:r>
    </w:p>
    <w:p w14:paraId="655B8CD9" w14:textId="77777777" w:rsidR="004615D0" w:rsidRPr="00A452F2" w:rsidRDefault="004615D0" w:rsidP="004615D0">
      <w:pPr>
        <w:rPr>
          <w:lang w:val="en-GB" w:eastAsia="en-SG"/>
        </w:rPr>
      </w:pPr>
      <w:r w:rsidRPr="00A452F2">
        <w:rPr>
          <w:lang w:val="en-GB" w:eastAsia="en-SG"/>
        </w:rPr>
        <w:t>If you need to store them all, vRealize Operations Cloud does it for you. Note that it’s limited to 7 days, while this technique lets you store for 6 months as it’s just like any other regular metric.</w:t>
      </w:r>
    </w:p>
    <w:p w14:paraId="04373F19" w14:textId="77777777" w:rsidR="004615D0" w:rsidRDefault="004615D0" w:rsidP="004615D0">
      <w:pPr>
        <w:rPr>
          <w:lang w:val="en-GB" w:eastAsia="en-SG"/>
        </w:rPr>
      </w:pPr>
      <w:r w:rsidRPr="4CAB3972">
        <w:rPr>
          <w:lang w:val="en-GB" w:eastAsia="en-SG"/>
        </w:rPr>
        <w:t xml:space="preserve">In the case of virtual disk (as opposed to say memory), a VM can have many of them. A database VM with 20 virtual disks will have 40 peak </w:t>
      </w:r>
      <w:r>
        <w:rPr>
          <w:lang w:val="en-GB" w:eastAsia="en-SG"/>
        </w:rPr>
        <w:t>metrics</w:t>
      </w:r>
      <w:r w:rsidRPr="4CAB3972">
        <w:rPr>
          <w:lang w:val="en-GB" w:eastAsia="en-SG"/>
        </w:rPr>
        <w:t>. That also means you need to check each one by one. So vRealize Operations 8.3 takes the peak among all virtual disks read and writes. It does the same thing with vCPU. A monster VM with 64 vCPU will only have 1 metric, but this metric is the highest among 64 virtual CPU. There is no need to have visibility into each vCPU as the remediation action is the same. Whether it’s vCPU 7 or vCPU 63 that has the problem, it does not change the conclusion of troubleshooting in most cases.</w:t>
      </w:r>
    </w:p>
    <w:p w14:paraId="567C4286" w14:textId="77777777" w:rsidR="004615D0" w:rsidRDefault="004615D0" w:rsidP="004615D0">
      <w:pPr>
        <w:rPr>
          <w:lang w:val="en-GB" w:eastAsia="en-SG"/>
        </w:rPr>
      </w:pPr>
      <w:r>
        <w:rPr>
          <w:lang w:val="en-GB" w:eastAsia="en-SG"/>
        </w:rPr>
        <w:t xml:space="preserve">What’s the limitation? </w:t>
      </w:r>
    </w:p>
    <w:p w14:paraId="78110177" w14:textId="77777777" w:rsidR="004615D0" w:rsidRDefault="004615D0" w:rsidP="004615D0">
      <w:pPr>
        <w:pStyle w:val="Bullet"/>
        <w:rPr>
          <w:lang w:val="en-GB" w:eastAsia="en-SG"/>
        </w:rPr>
      </w:pPr>
      <w:r>
        <w:rPr>
          <w:lang w:val="en-GB" w:eastAsia="en-SG"/>
        </w:rPr>
        <w:t>You can’t see a pattern within the 300 seconds window as you only have 1 data point. This is largely mitigated by having the average counter also. If the delta between the maximum and average is high that means the maximum is likely a one-off occurrence. The pattern can also be seen over longer period of time.</w:t>
      </w:r>
    </w:p>
    <w:p w14:paraId="3F723CEC" w14:textId="77777777" w:rsidR="004615D0" w:rsidRDefault="004615D0" w:rsidP="004615D0">
      <w:pPr>
        <w:pStyle w:val="Bullet"/>
        <w:rPr>
          <w:lang w:val="en-GB" w:eastAsia="en-SG"/>
        </w:rPr>
      </w:pPr>
      <w:r>
        <w:rPr>
          <w:lang w:val="en-GB" w:eastAsia="en-SG"/>
        </w:rPr>
        <w:t>The peak can be from a different time period. That means you can’t associate that the contention is caused by high utilization as the 2 metrics can come from different time.</w:t>
      </w:r>
    </w:p>
    <w:p w14:paraId="1C980BF8" w14:textId="1D5899E0" w:rsidR="004615D0" w:rsidRPr="00BA0B1B" w:rsidRDefault="00E908EB" w:rsidP="001A443B">
      <w:pPr>
        <w:pStyle w:val="Heading5"/>
      </w:pPr>
      <w:r w:rsidRPr="00E908EB">
        <w:lastRenderedPageBreak/>
        <w:t xml:space="preserve">Metric </w:t>
      </w:r>
      <w:r w:rsidR="0014228A">
        <w:t>Used</w:t>
      </w: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68"/>
        <w:gridCol w:w="3094"/>
        <w:gridCol w:w="5504"/>
      </w:tblGrid>
      <w:tr w:rsidR="004615D0" w:rsidRPr="00E51A31" w14:paraId="5208C2C5" w14:textId="77777777" w:rsidTr="004414EA">
        <w:tc>
          <w:tcPr>
            <w:cnfStyle w:val="001000000000" w:firstRow="0" w:lastRow="0" w:firstColumn="1" w:lastColumn="0" w:oddVBand="0" w:evenVBand="0" w:oddHBand="0" w:evenHBand="0" w:firstRowFirstColumn="0" w:firstRowLastColumn="0" w:lastRowFirstColumn="0" w:lastRowLastColumn="0"/>
            <w:tcW w:w="1868" w:type="dxa"/>
            <w:shd w:val="clear" w:color="auto" w:fill="F2F2F2" w:themeFill="background1" w:themeFillShade="F2"/>
          </w:tcPr>
          <w:p w14:paraId="6F7C3C2E" w14:textId="77777777" w:rsidR="004615D0" w:rsidRPr="00AB3A08" w:rsidRDefault="004615D0" w:rsidP="00281329">
            <w:pPr>
              <w:pStyle w:val="Tableheading"/>
              <w:rPr>
                <w:b/>
              </w:rPr>
            </w:pPr>
          </w:p>
        </w:tc>
        <w:tc>
          <w:tcPr>
            <w:tcW w:w="3094" w:type="dxa"/>
            <w:shd w:val="clear" w:color="auto" w:fill="F2F2F2" w:themeFill="background1" w:themeFillShade="F2"/>
          </w:tcPr>
          <w:p w14:paraId="0C1D980A" w14:textId="77777777" w:rsidR="004615D0" w:rsidRPr="00A452F2" w:rsidRDefault="004615D0" w:rsidP="00281329">
            <w:pPr>
              <w:pStyle w:val="Tableheading"/>
              <w:cnfStyle w:val="000000000000" w:firstRow="0" w:lastRow="0" w:firstColumn="0" w:lastColumn="0" w:oddVBand="0" w:evenVBand="0" w:oddHBand="0" w:evenHBand="0" w:firstRowFirstColumn="0" w:firstRowLastColumn="0" w:lastRowFirstColumn="0" w:lastRowLastColumn="0"/>
              <w:rPr>
                <w:lang w:val="en-GB"/>
              </w:rPr>
            </w:pPr>
            <w:r>
              <w:rPr>
                <w:lang w:val="en-GB"/>
              </w:rPr>
              <w:t>5-minute Average</w:t>
            </w:r>
          </w:p>
        </w:tc>
        <w:tc>
          <w:tcPr>
            <w:tcW w:w="5504" w:type="dxa"/>
            <w:shd w:val="clear" w:color="auto" w:fill="F2F2F2" w:themeFill="background1" w:themeFillShade="F2"/>
          </w:tcPr>
          <w:p w14:paraId="665E7DB0" w14:textId="77777777" w:rsidR="004615D0" w:rsidRPr="00A452F2" w:rsidRDefault="004615D0" w:rsidP="00281329">
            <w:pPr>
              <w:pStyle w:val="Tableheading"/>
              <w:cnfStyle w:val="000000000000" w:firstRow="0" w:lastRow="0" w:firstColumn="0" w:lastColumn="0" w:oddVBand="0" w:evenVBand="0" w:oddHBand="0" w:evenHBand="0" w:firstRowFirstColumn="0" w:firstRowLastColumn="0" w:lastRowFirstColumn="0" w:lastRowLastColumn="0"/>
              <w:rPr>
                <w:lang w:val="en-GB"/>
              </w:rPr>
            </w:pPr>
            <w:r>
              <w:rPr>
                <w:lang w:val="en-GB"/>
              </w:rPr>
              <w:t>20-second Average</w:t>
            </w:r>
          </w:p>
        </w:tc>
      </w:tr>
      <w:tr w:rsidR="004615D0" w:rsidRPr="00E51A31" w14:paraId="05867EBA" w14:textId="77777777" w:rsidTr="00281329">
        <w:tc>
          <w:tcPr>
            <w:cnfStyle w:val="001000000000" w:firstRow="0" w:lastRow="0" w:firstColumn="1" w:lastColumn="0" w:oddVBand="0" w:evenVBand="0" w:oddHBand="0" w:evenHBand="0" w:firstRowFirstColumn="0" w:firstRowLastColumn="0" w:lastRowFirstColumn="0" w:lastRowLastColumn="0"/>
            <w:tcW w:w="1868" w:type="dxa"/>
            <w:vMerge w:val="restart"/>
            <w:shd w:val="clear" w:color="auto" w:fill="auto"/>
          </w:tcPr>
          <w:p w14:paraId="3524E6BE" w14:textId="77777777" w:rsidR="004615D0" w:rsidRPr="00AB3A08" w:rsidRDefault="004615D0" w:rsidP="00281329">
            <w:pPr>
              <w:pStyle w:val="Tablecontent"/>
            </w:pPr>
            <w:r>
              <w:t>Guest OS</w:t>
            </w:r>
          </w:p>
        </w:tc>
        <w:tc>
          <w:tcPr>
            <w:tcW w:w="3094" w:type="dxa"/>
            <w:shd w:val="clear" w:color="auto" w:fill="auto"/>
            <w:vAlign w:val="bottom"/>
          </w:tcPr>
          <w:p w14:paraId="63B4E56E" w14:textId="54BC887A" w:rsidR="004615D0" w:rsidRPr="00A452F2" w:rsidRDefault="00D07E2E"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rFonts w:ascii="Calibri" w:hAnsi="Calibri" w:cs="Calibri"/>
                <w:color w:val="000000"/>
              </w:rPr>
              <w:t>CPU</w:t>
            </w:r>
            <w:r w:rsidR="004615D0">
              <w:rPr>
                <w:rFonts w:ascii="Calibri" w:hAnsi="Calibri" w:cs="Calibri"/>
                <w:color w:val="000000"/>
              </w:rPr>
              <w:t xml:space="preserve"> Run Queue</w:t>
            </w:r>
          </w:p>
        </w:tc>
        <w:tc>
          <w:tcPr>
            <w:tcW w:w="5504" w:type="dxa"/>
            <w:shd w:val="clear" w:color="auto" w:fill="auto"/>
          </w:tcPr>
          <w:p w14:paraId="2DD2A812" w14:textId="77777777" w:rsidR="004615D0" w:rsidRPr="00A452F2"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Peak CPU </w:t>
            </w:r>
            <w:r>
              <w:rPr>
                <w:rFonts w:ascii="Calibri" w:hAnsi="Calibri" w:cs="Calibri"/>
                <w:color w:val="000000"/>
              </w:rPr>
              <w:t>Queue</w:t>
            </w:r>
            <w:r>
              <w:rPr>
                <w:lang w:val="en-GB"/>
              </w:rPr>
              <w:t xml:space="preserve"> within collection cycle</w:t>
            </w:r>
          </w:p>
        </w:tc>
      </w:tr>
      <w:tr w:rsidR="004615D0" w:rsidRPr="00E51A31" w14:paraId="21F35740" w14:textId="77777777" w:rsidTr="00281329">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13B8644A" w14:textId="77777777" w:rsidR="004615D0" w:rsidRPr="00AB3A08" w:rsidRDefault="004615D0" w:rsidP="00281329">
            <w:pPr>
              <w:pStyle w:val="Tablecontent"/>
            </w:pPr>
          </w:p>
        </w:tc>
        <w:tc>
          <w:tcPr>
            <w:tcW w:w="3094" w:type="dxa"/>
            <w:shd w:val="clear" w:color="auto" w:fill="auto"/>
            <w:vAlign w:val="bottom"/>
          </w:tcPr>
          <w:p w14:paraId="23EC1FA2" w14:textId="16544F2A" w:rsidR="004615D0" w:rsidRPr="00A452F2" w:rsidRDefault="00D07E2E"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rFonts w:ascii="Calibri" w:hAnsi="Calibri" w:cs="Calibri"/>
                <w:color w:val="000000"/>
              </w:rPr>
              <w:t xml:space="preserve">CPU </w:t>
            </w:r>
            <w:r w:rsidR="004615D0">
              <w:rPr>
                <w:rFonts w:ascii="Calibri" w:hAnsi="Calibri" w:cs="Calibri"/>
                <w:color w:val="000000"/>
              </w:rPr>
              <w:t>Context Switch</w:t>
            </w:r>
          </w:p>
        </w:tc>
        <w:tc>
          <w:tcPr>
            <w:tcW w:w="5504" w:type="dxa"/>
            <w:shd w:val="clear" w:color="auto" w:fill="auto"/>
          </w:tcPr>
          <w:p w14:paraId="34865EE5" w14:textId="77777777" w:rsidR="004615D0" w:rsidRPr="00A452F2"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Peak CPU </w:t>
            </w:r>
            <w:r>
              <w:rPr>
                <w:rFonts w:ascii="Calibri" w:hAnsi="Calibri" w:cs="Calibri"/>
                <w:color w:val="000000"/>
              </w:rPr>
              <w:t>Context Switch</w:t>
            </w:r>
            <w:r>
              <w:rPr>
                <w:lang w:val="en-GB"/>
              </w:rPr>
              <w:t xml:space="preserve"> within collection cycle</w:t>
            </w:r>
          </w:p>
        </w:tc>
      </w:tr>
      <w:tr w:rsidR="00D07E2E" w:rsidRPr="00E51A31" w14:paraId="5140B692" w14:textId="77777777" w:rsidTr="00281329">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569CD144" w14:textId="77777777" w:rsidR="00D07E2E" w:rsidRPr="00AB3A08" w:rsidRDefault="00D07E2E" w:rsidP="00281329">
            <w:pPr>
              <w:pStyle w:val="Tablecontent"/>
            </w:pPr>
          </w:p>
        </w:tc>
        <w:tc>
          <w:tcPr>
            <w:tcW w:w="3094" w:type="dxa"/>
            <w:shd w:val="clear" w:color="auto" w:fill="auto"/>
            <w:vAlign w:val="bottom"/>
          </w:tcPr>
          <w:p w14:paraId="5914F30C" w14:textId="3E5DA55D" w:rsidR="00D07E2E" w:rsidRDefault="00D07E2E" w:rsidP="00281329">
            <w:pPr>
              <w:pStyle w:val="Tablecontent"/>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Memory Page-out Rate</w:t>
            </w:r>
          </w:p>
        </w:tc>
        <w:tc>
          <w:tcPr>
            <w:tcW w:w="5504" w:type="dxa"/>
            <w:shd w:val="clear" w:color="auto" w:fill="auto"/>
          </w:tcPr>
          <w:p w14:paraId="13BCE8EE" w14:textId="41584A5B" w:rsidR="00D07E2E" w:rsidRDefault="00D07E2E"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Peak Guest OS Page-out Rate within collection cycle</w:t>
            </w:r>
          </w:p>
        </w:tc>
      </w:tr>
      <w:tr w:rsidR="004615D0" w:rsidRPr="00E51A31" w14:paraId="48B981EE" w14:textId="77777777" w:rsidTr="00281329">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0F6706D9" w14:textId="77777777" w:rsidR="004615D0" w:rsidRPr="00AB3A08" w:rsidRDefault="004615D0" w:rsidP="00281329">
            <w:pPr>
              <w:pStyle w:val="Tablecontent"/>
            </w:pPr>
          </w:p>
        </w:tc>
        <w:tc>
          <w:tcPr>
            <w:tcW w:w="3094" w:type="dxa"/>
            <w:shd w:val="clear" w:color="auto" w:fill="auto"/>
            <w:vAlign w:val="bottom"/>
          </w:tcPr>
          <w:p w14:paraId="7E7E6914" w14:textId="77777777" w:rsidR="004615D0" w:rsidRPr="00A452F2"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rFonts w:ascii="Calibri" w:hAnsi="Calibri" w:cs="Calibri"/>
                <w:color w:val="000000"/>
              </w:rPr>
              <w:t>Disk Queue Length</w:t>
            </w:r>
          </w:p>
        </w:tc>
        <w:tc>
          <w:tcPr>
            <w:tcW w:w="5504" w:type="dxa"/>
            <w:shd w:val="clear" w:color="auto" w:fill="auto"/>
          </w:tcPr>
          <w:p w14:paraId="52921196" w14:textId="77777777" w:rsidR="004615D0" w:rsidRPr="00A452F2"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Peak </w:t>
            </w:r>
            <w:r>
              <w:rPr>
                <w:rFonts w:ascii="Calibri" w:hAnsi="Calibri" w:cs="Calibri"/>
                <w:color w:val="000000"/>
              </w:rPr>
              <w:t xml:space="preserve">Disk Queue </w:t>
            </w:r>
            <w:r>
              <w:rPr>
                <w:lang w:val="en-GB"/>
              </w:rPr>
              <w:t>within collection cycle</w:t>
            </w:r>
          </w:p>
        </w:tc>
      </w:tr>
      <w:tr w:rsidR="004615D0" w:rsidRPr="00E51A31" w14:paraId="24F6D30C" w14:textId="77777777" w:rsidTr="00281329">
        <w:tc>
          <w:tcPr>
            <w:cnfStyle w:val="001000000000" w:firstRow="0" w:lastRow="0" w:firstColumn="1" w:lastColumn="0" w:oddVBand="0" w:evenVBand="0" w:oddHBand="0" w:evenHBand="0" w:firstRowFirstColumn="0" w:firstRowLastColumn="0" w:lastRowFirstColumn="0" w:lastRowLastColumn="0"/>
            <w:tcW w:w="1868" w:type="dxa"/>
            <w:vMerge w:val="restart"/>
            <w:shd w:val="clear" w:color="auto" w:fill="auto"/>
          </w:tcPr>
          <w:p w14:paraId="0FBA6A85" w14:textId="77777777" w:rsidR="004615D0" w:rsidRPr="00AB3A08" w:rsidRDefault="004615D0" w:rsidP="00281329">
            <w:pPr>
              <w:pStyle w:val="Tablecontent"/>
            </w:pPr>
            <w:r>
              <w:t>VM CPU</w:t>
            </w:r>
          </w:p>
        </w:tc>
        <w:tc>
          <w:tcPr>
            <w:tcW w:w="3094" w:type="dxa"/>
            <w:shd w:val="clear" w:color="auto" w:fill="auto"/>
            <w:vAlign w:val="bottom"/>
          </w:tcPr>
          <w:p w14:paraId="7D9528BC" w14:textId="77777777" w:rsidR="004615D0" w:rsidRPr="007624AD"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7624AD">
              <w:rPr>
                <w:rFonts w:ascii="Calibri" w:hAnsi="Calibri" w:cs="Calibri"/>
                <w:color w:val="000000"/>
              </w:rPr>
              <w:t>Ready</w:t>
            </w:r>
            <w:r>
              <w:rPr>
                <w:rFonts w:ascii="Calibri" w:hAnsi="Calibri" w:cs="Calibri"/>
                <w:color w:val="000000"/>
              </w:rPr>
              <w:t xml:space="preserve"> (%)</w:t>
            </w:r>
          </w:p>
        </w:tc>
        <w:tc>
          <w:tcPr>
            <w:tcW w:w="5504" w:type="dxa"/>
            <w:shd w:val="clear" w:color="auto" w:fill="auto"/>
          </w:tcPr>
          <w:p w14:paraId="5E48ABE2" w14:textId="77777777" w:rsidR="004615D0" w:rsidRPr="008A3040"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8A3040">
              <w:rPr>
                <w:lang w:val="en-GB"/>
              </w:rPr>
              <w:t>Peak vCPU Ready within collection cycle</w:t>
            </w:r>
          </w:p>
        </w:tc>
      </w:tr>
      <w:tr w:rsidR="004615D0" w:rsidRPr="00E51A31" w14:paraId="34490144" w14:textId="77777777" w:rsidTr="00281329">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2C0B33F3" w14:textId="77777777" w:rsidR="004615D0" w:rsidRPr="00AB3A08" w:rsidRDefault="004615D0" w:rsidP="00281329">
            <w:pPr>
              <w:pStyle w:val="Tablecontent"/>
            </w:pPr>
          </w:p>
        </w:tc>
        <w:tc>
          <w:tcPr>
            <w:tcW w:w="3094" w:type="dxa"/>
            <w:shd w:val="clear" w:color="auto" w:fill="auto"/>
            <w:vAlign w:val="bottom"/>
          </w:tcPr>
          <w:p w14:paraId="44D4BAC8" w14:textId="77777777" w:rsidR="004615D0" w:rsidRPr="007624AD"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7624AD">
              <w:rPr>
                <w:rFonts w:ascii="Calibri" w:hAnsi="Calibri" w:cs="Calibri"/>
                <w:color w:val="000000"/>
              </w:rPr>
              <w:t>Co-Stop</w:t>
            </w:r>
            <w:r>
              <w:rPr>
                <w:rFonts w:ascii="Calibri" w:hAnsi="Calibri" w:cs="Calibri"/>
                <w:color w:val="000000"/>
              </w:rPr>
              <w:t xml:space="preserve"> (%)</w:t>
            </w:r>
          </w:p>
        </w:tc>
        <w:tc>
          <w:tcPr>
            <w:tcW w:w="5504" w:type="dxa"/>
            <w:shd w:val="clear" w:color="auto" w:fill="auto"/>
          </w:tcPr>
          <w:p w14:paraId="300E6BC4" w14:textId="77777777" w:rsidR="004615D0" w:rsidRPr="008A3040"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8A3040">
              <w:rPr>
                <w:lang w:val="en-GB"/>
              </w:rPr>
              <w:t>Peak vCPU Co-Stop within collection cycle</w:t>
            </w:r>
          </w:p>
        </w:tc>
      </w:tr>
      <w:tr w:rsidR="004615D0" w:rsidRPr="00E51A31" w14:paraId="68907C5F" w14:textId="77777777" w:rsidTr="00281329">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6FC256FB" w14:textId="77777777" w:rsidR="004615D0" w:rsidRPr="00AB3A08" w:rsidRDefault="004615D0" w:rsidP="00281329">
            <w:pPr>
              <w:pStyle w:val="Tablecontent"/>
            </w:pPr>
          </w:p>
        </w:tc>
        <w:tc>
          <w:tcPr>
            <w:tcW w:w="3094" w:type="dxa"/>
            <w:shd w:val="clear" w:color="auto" w:fill="auto"/>
            <w:vAlign w:val="bottom"/>
          </w:tcPr>
          <w:p w14:paraId="0D8FCDC1" w14:textId="77777777" w:rsidR="004615D0" w:rsidRPr="007624AD"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7624AD">
              <w:rPr>
                <w:rFonts w:ascii="Calibri" w:hAnsi="Calibri" w:cs="Calibri"/>
                <w:color w:val="000000"/>
              </w:rPr>
              <w:t>IO Wait</w:t>
            </w:r>
            <w:r>
              <w:rPr>
                <w:rFonts w:ascii="Calibri" w:hAnsi="Calibri" w:cs="Calibri"/>
                <w:color w:val="000000"/>
              </w:rPr>
              <w:t xml:space="preserve"> (%)</w:t>
            </w:r>
          </w:p>
        </w:tc>
        <w:tc>
          <w:tcPr>
            <w:tcW w:w="5504" w:type="dxa"/>
            <w:shd w:val="clear" w:color="auto" w:fill="auto"/>
          </w:tcPr>
          <w:p w14:paraId="60D50E3F" w14:textId="77777777" w:rsidR="004615D0" w:rsidRPr="008A3040"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8A3040">
              <w:rPr>
                <w:lang w:val="en-GB"/>
              </w:rPr>
              <w:t xml:space="preserve">Peak vCPU </w:t>
            </w:r>
            <w:r w:rsidRPr="008A3040">
              <w:rPr>
                <w:rFonts w:ascii="Calibri" w:hAnsi="Calibri" w:cs="Calibri"/>
                <w:color w:val="000000"/>
              </w:rPr>
              <w:t>IO Wait</w:t>
            </w:r>
            <w:r w:rsidRPr="008A3040">
              <w:rPr>
                <w:lang w:val="en-GB"/>
              </w:rPr>
              <w:t xml:space="preserve"> within collection cycle</w:t>
            </w:r>
          </w:p>
        </w:tc>
      </w:tr>
      <w:tr w:rsidR="004615D0" w:rsidRPr="00E51A31" w14:paraId="07348BB6" w14:textId="77777777" w:rsidTr="00281329">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0A004186" w14:textId="77777777" w:rsidR="004615D0" w:rsidRPr="00AB3A08" w:rsidRDefault="004615D0" w:rsidP="00281329">
            <w:pPr>
              <w:pStyle w:val="Tablecontent"/>
            </w:pPr>
          </w:p>
        </w:tc>
        <w:tc>
          <w:tcPr>
            <w:tcW w:w="3094" w:type="dxa"/>
            <w:shd w:val="clear" w:color="auto" w:fill="auto"/>
            <w:vAlign w:val="bottom"/>
          </w:tcPr>
          <w:p w14:paraId="46DE7291" w14:textId="77777777" w:rsidR="004615D0" w:rsidRPr="007624AD"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7624AD">
              <w:rPr>
                <w:rFonts w:ascii="Calibri" w:hAnsi="Calibri" w:cs="Calibri"/>
                <w:color w:val="000000"/>
              </w:rPr>
              <w:t>Swap Wait</w:t>
            </w:r>
            <w:r>
              <w:rPr>
                <w:rFonts w:ascii="Calibri" w:hAnsi="Calibri" w:cs="Calibri"/>
                <w:color w:val="000000"/>
              </w:rPr>
              <w:t xml:space="preserve"> (%)</w:t>
            </w:r>
          </w:p>
        </w:tc>
        <w:tc>
          <w:tcPr>
            <w:tcW w:w="5504" w:type="dxa"/>
            <w:shd w:val="clear" w:color="auto" w:fill="auto"/>
          </w:tcPr>
          <w:p w14:paraId="5EDE0A0D" w14:textId="77777777" w:rsidR="004615D0" w:rsidRPr="008A3040"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8A3040">
              <w:rPr>
                <w:lang w:val="en-GB"/>
              </w:rPr>
              <w:t xml:space="preserve">Peak vCPU </w:t>
            </w:r>
            <w:r w:rsidRPr="008A3040">
              <w:rPr>
                <w:rFonts w:ascii="Calibri" w:hAnsi="Calibri" w:cs="Calibri"/>
                <w:color w:val="000000"/>
              </w:rPr>
              <w:t>Swap Wait</w:t>
            </w:r>
            <w:r w:rsidRPr="008A3040">
              <w:rPr>
                <w:lang w:val="en-GB"/>
              </w:rPr>
              <w:t xml:space="preserve"> within collection cycle</w:t>
            </w:r>
          </w:p>
        </w:tc>
      </w:tr>
      <w:tr w:rsidR="004615D0" w:rsidRPr="00E51A31" w14:paraId="4705C4CD" w14:textId="77777777" w:rsidTr="00281329">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05E089AE" w14:textId="77777777" w:rsidR="004615D0" w:rsidRPr="00AB3A08" w:rsidRDefault="004615D0" w:rsidP="00281329">
            <w:pPr>
              <w:pStyle w:val="Tablecontent"/>
            </w:pPr>
          </w:p>
        </w:tc>
        <w:tc>
          <w:tcPr>
            <w:tcW w:w="3094" w:type="dxa"/>
            <w:shd w:val="clear" w:color="auto" w:fill="auto"/>
            <w:vAlign w:val="bottom"/>
          </w:tcPr>
          <w:p w14:paraId="120E9368" w14:textId="77777777" w:rsidR="004615D0" w:rsidRPr="007624AD"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7624AD">
              <w:rPr>
                <w:rFonts w:ascii="Calibri" w:hAnsi="Calibri" w:cs="Calibri"/>
                <w:color w:val="000000"/>
              </w:rPr>
              <w:t>Overlap</w:t>
            </w:r>
            <w:r>
              <w:rPr>
                <w:rFonts w:ascii="Calibri" w:hAnsi="Calibri" w:cs="Calibri"/>
                <w:color w:val="000000"/>
              </w:rPr>
              <w:t xml:space="preserve"> (second)</w:t>
            </w:r>
          </w:p>
        </w:tc>
        <w:tc>
          <w:tcPr>
            <w:tcW w:w="5504" w:type="dxa"/>
            <w:shd w:val="clear" w:color="auto" w:fill="auto"/>
          </w:tcPr>
          <w:p w14:paraId="5439C34A" w14:textId="77777777" w:rsidR="004615D0" w:rsidRPr="008A3040"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8A3040">
              <w:rPr>
                <w:lang w:val="en-GB"/>
              </w:rPr>
              <w:t>Peak vCPU Overlap within collection cycle</w:t>
            </w:r>
          </w:p>
        </w:tc>
      </w:tr>
      <w:tr w:rsidR="004615D0" w:rsidRPr="00E51A31" w14:paraId="1886FC58" w14:textId="77777777" w:rsidTr="00281329">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435BBAEC" w14:textId="77777777" w:rsidR="004615D0" w:rsidRPr="00AB3A08" w:rsidRDefault="004615D0" w:rsidP="00281329">
            <w:pPr>
              <w:pStyle w:val="Tablecontent"/>
            </w:pPr>
          </w:p>
        </w:tc>
        <w:tc>
          <w:tcPr>
            <w:tcW w:w="3094" w:type="dxa"/>
            <w:shd w:val="clear" w:color="auto" w:fill="auto"/>
            <w:vAlign w:val="bottom"/>
          </w:tcPr>
          <w:p w14:paraId="311ED065" w14:textId="77777777" w:rsidR="004615D0" w:rsidRPr="007624AD"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7624AD">
              <w:rPr>
                <w:rFonts w:ascii="Calibri" w:hAnsi="Calibri" w:cs="Calibri"/>
                <w:color w:val="000000"/>
              </w:rPr>
              <w:t>System</w:t>
            </w:r>
            <w:r>
              <w:rPr>
                <w:rFonts w:ascii="Calibri" w:hAnsi="Calibri" w:cs="Calibri"/>
                <w:color w:val="000000"/>
              </w:rPr>
              <w:t xml:space="preserve"> (%)</w:t>
            </w:r>
          </w:p>
        </w:tc>
        <w:tc>
          <w:tcPr>
            <w:tcW w:w="5504" w:type="dxa"/>
            <w:shd w:val="clear" w:color="auto" w:fill="auto"/>
          </w:tcPr>
          <w:p w14:paraId="062D724F" w14:textId="77777777" w:rsidR="004615D0" w:rsidRPr="008A3040"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8A3040">
              <w:rPr>
                <w:lang w:val="en-GB"/>
              </w:rPr>
              <w:t xml:space="preserve">Peak CPU </w:t>
            </w:r>
            <w:r w:rsidRPr="008A3040">
              <w:rPr>
                <w:rFonts w:ascii="Calibri" w:hAnsi="Calibri" w:cs="Calibri"/>
                <w:color w:val="000000"/>
              </w:rPr>
              <w:t>System</w:t>
            </w:r>
            <w:r w:rsidRPr="008A3040">
              <w:rPr>
                <w:lang w:val="en-GB"/>
              </w:rPr>
              <w:t xml:space="preserve"> within collection cycle</w:t>
            </w:r>
          </w:p>
        </w:tc>
      </w:tr>
      <w:tr w:rsidR="004615D0" w:rsidRPr="00E51A31" w14:paraId="195B75A9" w14:textId="77777777" w:rsidTr="00281329">
        <w:tc>
          <w:tcPr>
            <w:cnfStyle w:val="001000000000" w:firstRow="0" w:lastRow="0" w:firstColumn="1" w:lastColumn="0" w:oddVBand="0" w:evenVBand="0" w:oddHBand="0" w:evenHBand="0" w:firstRowFirstColumn="0" w:firstRowLastColumn="0" w:lastRowFirstColumn="0" w:lastRowLastColumn="0"/>
            <w:tcW w:w="1868" w:type="dxa"/>
            <w:shd w:val="clear" w:color="auto" w:fill="auto"/>
          </w:tcPr>
          <w:p w14:paraId="0D8B85ED" w14:textId="77777777" w:rsidR="004615D0" w:rsidRPr="00AB3A08" w:rsidRDefault="004615D0" w:rsidP="00281329">
            <w:pPr>
              <w:pStyle w:val="Tablecontent"/>
            </w:pPr>
            <w:r>
              <w:t>VM Memory</w:t>
            </w:r>
          </w:p>
        </w:tc>
        <w:tc>
          <w:tcPr>
            <w:tcW w:w="3094" w:type="dxa"/>
            <w:shd w:val="clear" w:color="auto" w:fill="auto"/>
            <w:vAlign w:val="bottom"/>
          </w:tcPr>
          <w:p w14:paraId="3C9D934A" w14:textId="77777777" w:rsidR="004615D0" w:rsidRPr="007624AD"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7624AD">
              <w:rPr>
                <w:rFonts w:ascii="Calibri" w:hAnsi="Calibri" w:cs="Calibri"/>
                <w:color w:val="000000"/>
              </w:rPr>
              <w:t>Contention</w:t>
            </w:r>
            <w:r>
              <w:rPr>
                <w:rFonts w:ascii="Calibri" w:hAnsi="Calibri" w:cs="Calibri"/>
                <w:color w:val="000000"/>
              </w:rPr>
              <w:t xml:space="preserve"> (%)</w:t>
            </w:r>
          </w:p>
        </w:tc>
        <w:tc>
          <w:tcPr>
            <w:tcW w:w="5504" w:type="dxa"/>
            <w:shd w:val="clear" w:color="auto" w:fill="auto"/>
          </w:tcPr>
          <w:p w14:paraId="04284E96" w14:textId="77777777" w:rsidR="004615D0" w:rsidRPr="008A3040"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8A3040">
              <w:rPr>
                <w:lang w:val="en-GB"/>
              </w:rPr>
              <w:t>Peak Memory Contention within collection cycle</w:t>
            </w:r>
          </w:p>
        </w:tc>
      </w:tr>
      <w:tr w:rsidR="004615D0" w:rsidRPr="00E51A31" w14:paraId="6F2324B0" w14:textId="77777777" w:rsidTr="00281329">
        <w:tc>
          <w:tcPr>
            <w:cnfStyle w:val="001000000000" w:firstRow="0" w:lastRow="0" w:firstColumn="1" w:lastColumn="0" w:oddVBand="0" w:evenVBand="0" w:oddHBand="0" w:evenHBand="0" w:firstRowFirstColumn="0" w:firstRowLastColumn="0" w:lastRowFirstColumn="0" w:lastRowLastColumn="0"/>
            <w:tcW w:w="1868" w:type="dxa"/>
            <w:vMerge w:val="restart"/>
            <w:shd w:val="clear" w:color="auto" w:fill="auto"/>
          </w:tcPr>
          <w:p w14:paraId="64BD8B77" w14:textId="77777777" w:rsidR="004615D0" w:rsidRPr="00AB3A08" w:rsidRDefault="004615D0" w:rsidP="00281329">
            <w:pPr>
              <w:pStyle w:val="Tablecontent"/>
            </w:pPr>
            <w:r>
              <w:t>VM Disk</w:t>
            </w:r>
          </w:p>
        </w:tc>
        <w:tc>
          <w:tcPr>
            <w:tcW w:w="3094" w:type="dxa"/>
            <w:shd w:val="clear" w:color="auto" w:fill="auto"/>
            <w:vAlign w:val="bottom"/>
          </w:tcPr>
          <w:p w14:paraId="569C417A" w14:textId="77777777" w:rsidR="004615D0" w:rsidRPr="00A452F2"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rFonts w:ascii="Calibri" w:hAnsi="Calibri" w:cs="Calibri"/>
                <w:color w:val="000000"/>
              </w:rPr>
              <w:t>Read Latency (ms)</w:t>
            </w:r>
          </w:p>
        </w:tc>
        <w:tc>
          <w:tcPr>
            <w:tcW w:w="5504" w:type="dxa"/>
            <w:vMerge w:val="restart"/>
            <w:shd w:val="clear" w:color="auto" w:fill="auto"/>
            <w:vAlign w:val="center"/>
          </w:tcPr>
          <w:p w14:paraId="4388B8B7" w14:textId="77777777" w:rsidR="004615D0" w:rsidRPr="008A3040"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8A3040">
              <w:rPr>
                <w:lang w:val="en-GB"/>
              </w:rPr>
              <w:t xml:space="preserve">Peak </w:t>
            </w:r>
            <w:r w:rsidRPr="008A3040">
              <w:rPr>
                <w:rFonts w:ascii="Calibri" w:hAnsi="Calibri" w:cs="Calibri"/>
                <w:color w:val="000000"/>
              </w:rPr>
              <w:t>Latency</w:t>
            </w:r>
            <w:r w:rsidRPr="008A3040">
              <w:rPr>
                <w:lang w:val="en-GB"/>
              </w:rPr>
              <w:t xml:space="preserve"> within collection cycle</w:t>
            </w:r>
          </w:p>
        </w:tc>
      </w:tr>
      <w:tr w:rsidR="004615D0" w:rsidRPr="00E51A31" w14:paraId="4220F9E6" w14:textId="77777777" w:rsidTr="00281329">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32435678" w14:textId="77777777" w:rsidR="004615D0" w:rsidRPr="00AB3A08" w:rsidRDefault="004615D0" w:rsidP="00281329">
            <w:pPr>
              <w:pStyle w:val="Tablecontent"/>
            </w:pPr>
          </w:p>
        </w:tc>
        <w:tc>
          <w:tcPr>
            <w:tcW w:w="3094" w:type="dxa"/>
            <w:shd w:val="clear" w:color="auto" w:fill="auto"/>
            <w:vAlign w:val="bottom"/>
          </w:tcPr>
          <w:p w14:paraId="5C590E09" w14:textId="77777777" w:rsidR="004615D0" w:rsidRDefault="004615D0" w:rsidP="00281329">
            <w:pPr>
              <w:pStyle w:val="Tablecontent"/>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Write Latency (ms)</w:t>
            </w:r>
          </w:p>
        </w:tc>
        <w:tc>
          <w:tcPr>
            <w:tcW w:w="5504" w:type="dxa"/>
            <w:vMerge/>
            <w:shd w:val="clear" w:color="auto" w:fill="auto"/>
          </w:tcPr>
          <w:p w14:paraId="5F7C644E" w14:textId="77777777" w:rsidR="004615D0" w:rsidRPr="008A3040"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p>
        </w:tc>
      </w:tr>
      <w:tr w:rsidR="004615D0" w:rsidRPr="00E51A31" w14:paraId="7F2512F6" w14:textId="77777777" w:rsidTr="00281329">
        <w:tc>
          <w:tcPr>
            <w:cnfStyle w:val="001000000000" w:firstRow="0" w:lastRow="0" w:firstColumn="1" w:lastColumn="0" w:oddVBand="0" w:evenVBand="0" w:oddHBand="0" w:evenHBand="0" w:firstRowFirstColumn="0" w:firstRowLastColumn="0" w:lastRowFirstColumn="0" w:lastRowLastColumn="0"/>
            <w:tcW w:w="1868" w:type="dxa"/>
            <w:vMerge w:val="restart"/>
            <w:shd w:val="clear" w:color="auto" w:fill="auto"/>
          </w:tcPr>
          <w:p w14:paraId="061FC62C" w14:textId="77777777" w:rsidR="004615D0" w:rsidRPr="00625493" w:rsidRDefault="004615D0" w:rsidP="00281329">
            <w:pPr>
              <w:pStyle w:val="Tablecontent"/>
              <w:rPr>
                <w:lang w:val="en-SG"/>
              </w:rPr>
            </w:pPr>
            <w:r>
              <w:rPr>
                <w:lang w:val="en-SG"/>
              </w:rPr>
              <w:t>VM Network</w:t>
            </w:r>
          </w:p>
        </w:tc>
        <w:tc>
          <w:tcPr>
            <w:tcW w:w="3094" w:type="dxa"/>
            <w:shd w:val="clear" w:color="auto" w:fill="auto"/>
            <w:vAlign w:val="bottom"/>
          </w:tcPr>
          <w:p w14:paraId="0C0242C1" w14:textId="77777777" w:rsidR="004615D0" w:rsidRPr="00A452F2"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rFonts w:ascii="Calibri" w:hAnsi="Calibri" w:cs="Calibri"/>
                <w:color w:val="000000"/>
              </w:rPr>
              <w:t>Usage Rate (KB/s)</w:t>
            </w:r>
          </w:p>
        </w:tc>
        <w:tc>
          <w:tcPr>
            <w:tcW w:w="5504" w:type="dxa"/>
            <w:shd w:val="clear" w:color="auto" w:fill="auto"/>
          </w:tcPr>
          <w:p w14:paraId="4DC7A581" w14:textId="77777777" w:rsidR="004615D0" w:rsidRPr="008A3040"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8A3040">
              <w:rPr>
                <w:lang w:val="en-GB"/>
              </w:rPr>
              <w:t>Peak Usage Rate within collection cycle</w:t>
            </w:r>
          </w:p>
        </w:tc>
      </w:tr>
      <w:tr w:rsidR="004615D0" w:rsidRPr="00E51A31" w14:paraId="271597ED" w14:textId="77777777" w:rsidTr="00281329">
        <w:tc>
          <w:tcPr>
            <w:cnfStyle w:val="001000000000" w:firstRow="0" w:lastRow="0" w:firstColumn="1" w:lastColumn="0" w:oddVBand="0" w:evenVBand="0" w:oddHBand="0" w:evenHBand="0" w:firstRowFirstColumn="0" w:firstRowLastColumn="0" w:lastRowFirstColumn="0" w:lastRowLastColumn="0"/>
            <w:tcW w:w="1868" w:type="dxa"/>
            <w:vMerge/>
            <w:shd w:val="clear" w:color="auto" w:fill="auto"/>
          </w:tcPr>
          <w:p w14:paraId="4C55640C" w14:textId="77777777" w:rsidR="004615D0" w:rsidRDefault="004615D0" w:rsidP="00281329">
            <w:pPr>
              <w:pStyle w:val="Tablecontent"/>
              <w:rPr>
                <w:lang w:val="en-SG"/>
              </w:rPr>
            </w:pPr>
          </w:p>
        </w:tc>
        <w:tc>
          <w:tcPr>
            <w:tcW w:w="3094" w:type="dxa"/>
            <w:shd w:val="clear" w:color="auto" w:fill="auto"/>
            <w:vAlign w:val="bottom"/>
          </w:tcPr>
          <w:p w14:paraId="02EC03CB" w14:textId="77777777" w:rsidR="004615D0" w:rsidRDefault="004615D0" w:rsidP="00281329">
            <w:pPr>
              <w:pStyle w:val="Tablecontent"/>
              <w:cnfStyle w:val="000000000000" w:firstRow="0" w:lastRow="0" w:firstColumn="0" w:lastColumn="0" w:oddVBand="0" w:evenVBand="0" w:oddHBand="0" w:evenHBand="0" w:firstRowFirstColumn="0" w:firstRowLastColumn="0" w:lastRowFirstColumn="0" w:lastRowLastColumn="0"/>
              <w:rPr>
                <w:rFonts w:ascii="Calibri" w:hAnsi="Calibri" w:cs="Calibri"/>
                <w:color w:val="000000"/>
              </w:rPr>
            </w:pPr>
            <w:r>
              <w:rPr>
                <w:rFonts w:ascii="Calibri" w:hAnsi="Calibri" w:cs="Calibri"/>
                <w:color w:val="000000"/>
              </w:rPr>
              <w:t>Packet/sec</w:t>
            </w:r>
          </w:p>
        </w:tc>
        <w:tc>
          <w:tcPr>
            <w:tcW w:w="5504" w:type="dxa"/>
            <w:shd w:val="clear" w:color="auto" w:fill="auto"/>
          </w:tcPr>
          <w:p w14:paraId="335A37A6" w14:textId="77777777" w:rsidR="004615D0" w:rsidRPr="008A3040" w:rsidRDefault="004615D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Peak Network Packets/sec within collection cycle</w:t>
            </w:r>
          </w:p>
        </w:tc>
      </w:tr>
    </w:tbl>
    <w:p w14:paraId="0272278F" w14:textId="77777777" w:rsidR="004615D0" w:rsidRDefault="004615D0" w:rsidP="004615D0">
      <w:pPr>
        <w:pStyle w:val="BeforeTable"/>
        <w:rPr>
          <w:lang w:val="en-GB" w:eastAsia="en-SG"/>
        </w:rPr>
      </w:pPr>
    </w:p>
    <w:p w14:paraId="4F8B4040" w14:textId="77777777" w:rsidR="004615D0" w:rsidRDefault="004615D0" w:rsidP="004615D0">
      <w:pPr>
        <w:rPr>
          <w:lang w:val="en-GB" w:eastAsia="en-SG"/>
        </w:rPr>
      </w:pPr>
      <w:r>
        <w:rPr>
          <w:lang w:val="en-GB" w:eastAsia="en-SG"/>
        </w:rPr>
        <w:t xml:space="preserve">The VM network dropped packets is not included as seeing the number over 20 second or 5 minutes do not result in a different remediation action. </w:t>
      </w:r>
    </w:p>
    <w:p w14:paraId="2C2CA554" w14:textId="77777777" w:rsidR="004615D0" w:rsidRDefault="004615D0" w:rsidP="004615D0">
      <w:pPr>
        <w:rPr>
          <w:lang w:val="en-GB" w:eastAsia="en-SG"/>
        </w:rPr>
      </w:pPr>
      <w:r>
        <w:rPr>
          <w:lang w:val="en-GB" w:eastAsia="en-SG"/>
        </w:rPr>
        <w:t xml:space="preserve">Notice all of them </w:t>
      </w:r>
      <w:r w:rsidRPr="00A452F2">
        <w:rPr>
          <w:lang w:val="en-GB" w:eastAsia="en-SG"/>
        </w:rPr>
        <w:t xml:space="preserve">are VM </w:t>
      </w:r>
      <w:r>
        <w:rPr>
          <w:lang w:val="en-GB" w:eastAsia="en-SG"/>
        </w:rPr>
        <w:t>or Guest OS metrics</w:t>
      </w:r>
      <w:r w:rsidRPr="00A452F2">
        <w:rPr>
          <w:lang w:val="en-GB" w:eastAsia="en-SG"/>
        </w:rPr>
        <w:t xml:space="preserve">. No ESXi, Resource Pool, Datastore, Cluster, etc </w:t>
      </w:r>
      <w:r>
        <w:rPr>
          <w:lang w:val="en-GB" w:eastAsia="en-SG"/>
        </w:rPr>
        <w:t>metrics</w:t>
      </w:r>
      <w:r w:rsidRPr="00A452F2">
        <w:rPr>
          <w:lang w:val="en-GB" w:eastAsia="en-SG"/>
        </w:rPr>
        <w:t xml:space="preserve">. </w:t>
      </w:r>
      <w:r>
        <w:rPr>
          <w:lang w:val="en-GB" w:eastAsia="en-SG"/>
        </w:rPr>
        <w:t xml:space="preserve">Why? </w:t>
      </w:r>
    </w:p>
    <w:p w14:paraId="47CF4555" w14:textId="77777777" w:rsidR="004615D0" w:rsidRDefault="004615D0" w:rsidP="004615D0">
      <w:pPr>
        <w:rPr>
          <w:lang w:val="en-GB" w:eastAsia="en-SG"/>
        </w:rPr>
      </w:pPr>
      <w:r w:rsidRPr="00A452F2">
        <w:rPr>
          <w:lang w:val="en-GB" w:eastAsia="en-SG"/>
        </w:rPr>
        <w:t xml:space="preserve">The reason is the </w:t>
      </w:r>
      <w:r>
        <w:rPr>
          <w:lang w:val="en-GB" w:eastAsia="en-SG"/>
        </w:rPr>
        <w:t>metrics</w:t>
      </w:r>
      <w:r w:rsidRPr="00A452F2">
        <w:rPr>
          <w:lang w:val="en-GB" w:eastAsia="en-SG"/>
        </w:rPr>
        <w:t xml:space="preserve"> at these “</w:t>
      </w:r>
      <w:r w:rsidRPr="00A95015">
        <w:rPr>
          <w:color w:val="00B0F0"/>
          <w:lang w:val="en-GB" w:eastAsia="en-SG"/>
        </w:rPr>
        <w:t>higher-level</w:t>
      </w:r>
      <w:r w:rsidRPr="00A452F2">
        <w:rPr>
          <w:lang w:val="en-GB" w:eastAsia="en-SG"/>
        </w:rPr>
        <w:t xml:space="preserve">” objects are mathematically </w:t>
      </w:r>
      <w:r w:rsidRPr="00A452F2">
        <w:rPr>
          <w:i/>
          <w:iCs/>
          <w:lang w:val="en-GB" w:eastAsia="en-SG"/>
        </w:rPr>
        <w:t xml:space="preserve">an average </w:t>
      </w:r>
      <w:r w:rsidRPr="00A452F2">
        <w:rPr>
          <w:lang w:val="en-GB" w:eastAsia="en-SG"/>
        </w:rPr>
        <w:t>of the VMs in the object. A datastore with 10 ms disk latency represents a normalized</w:t>
      </w:r>
      <w:r>
        <w:rPr>
          <w:lang w:val="en-GB" w:eastAsia="en-SG"/>
        </w:rPr>
        <w:t>/weighted</w:t>
      </w:r>
      <w:r w:rsidRPr="00A452F2">
        <w:rPr>
          <w:lang w:val="en-GB" w:eastAsia="en-SG"/>
        </w:rPr>
        <w:t xml:space="preserve"> average of all the VMs in the datastore. Another word, these </w:t>
      </w:r>
      <w:r>
        <w:rPr>
          <w:lang w:val="en-GB" w:eastAsia="en-SG"/>
        </w:rPr>
        <w:t>metrics</w:t>
      </w:r>
      <w:r w:rsidRPr="00A452F2">
        <w:rPr>
          <w:lang w:val="en-GB" w:eastAsia="en-SG"/>
        </w:rPr>
        <w:t xml:space="preserve"> give less visibility than the 12 above, and they can be calculated from the 12. </w:t>
      </w:r>
    </w:p>
    <w:p w14:paraId="75A3A218" w14:textId="77777777" w:rsidR="004615D0" w:rsidRPr="00A452F2" w:rsidRDefault="004615D0" w:rsidP="004615D0">
      <w:pPr>
        <w:rPr>
          <w:lang w:val="en-GB" w:eastAsia="en-SG"/>
        </w:rPr>
      </w:pPr>
      <w:r w:rsidRPr="00A452F2">
        <w:rPr>
          <w:lang w:val="en-GB" w:eastAsia="en-SG"/>
        </w:rPr>
        <w:t xml:space="preserve">And 1 more reason: </w:t>
      </w:r>
    </w:p>
    <w:p w14:paraId="218E7938" w14:textId="77777777" w:rsidR="004615D0" w:rsidRDefault="004615D0" w:rsidP="004615D0">
      <w:pPr>
        <w:rPr>
          <w:lang w:val="en-GB"/>
        </w:rPr>
      </w:pPr>
      <w:r w:rsidRPr="00A452F2">
        <w:rPr>
          <w:lang w:val="en-GB"/>
        </w:rPr>
        <w:t xml:space="preserve">You troubleshoot VM, not infrastructure. If there is no VM, there is no problem </w:t>
      </w:r>
      <w:r w:rsidRPr="00A452F2">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71CD0E9D" w14:textId="77777777" w:rsidR="004615D0" w:rsidRPr="00A452F2" w:rsidRDefault="004615D0" w:rsidP="004615D0">
      <w:pPr>
        <w:rPr>
          <w:lang w:val="en-GB" w:eastAsia="en-SG"/>
        </w:rPr>
      </w:pPr>
      <w:r w:rsidRPr="00A452F2">
        <w:rPr>
          <w:lang w:val="en-GB" w:eastAsia="en-SG"/>
        </w:rPr>
        <w:t>The next question is naturally why we picked the above 12.</w:t>
      </w:r>
      <w:r>
        <w:rPr>
          <w:lang w:val="en-GB" w:eastAsia="en-SG"/>
        </w:rPr>
        <w:t xml:space="preserve"> </w:t>
      </w:r>
      <w:r w:rsidRPr="00A452F2">
        <w:rPr>
          <w:lang w:val="en-GB" w:eastAsia="en-SG"/>
        </w:rPr>
        <w:t xml:space="preserve">Among the 12 </w:t>
      </w:r>
      <w:r>
        <w:rPr>
          <w:lang w:val="en-GB" w:eastAsia="en-SG"/>
        </w:rPr>
        <w:t>metrics</w:t>
      </w:r>
      <w:r w:rsidRPr="00A452F2">
        <w:rPr>
          <w:lang w:val="en-GB" w:eastAsia="en-SG"/>
        </w:rPr>
        <w:t xml:space="preserve">, you notice only 1 counter tracks </w:t>
      </w:r>
      <w:r w:rsidRPr="00A452F2">
        <w:rPr>
          <w:i/>
          <w:iCs/>
          <w:color w:val="00B0F0"/>
          <w:lang w:val="en-GB" w:eastAsia="en-SG"/>
        </w:rPr>
        <w:t>utilization</w:t>
      </w:r>
      <w:r w:rsidRPr="00A452F2">
        <w:rPr>
          <w:lang w:val="en-GB" w:eastAsia="en-SG"/>
        </w:rPr>
        <w:t xml:space="preserve">. The other 11 tracks </w:t>
      </w:r>
      <w:r w:rsidRPr="00A452F2">
        <w:rPr>
          <w:i/>
          <w:iCs/>
          <w:color w:val="00B0F0"/>
          <w:lang w:val="en-GB" w:eastAsia="en-SG"/>
        </w:rPr>
        <w:t>contention</w:t>
      </w:r>
      <w:r w:rsidRPr="00A452F2">
        <w:rPr>
          <w:lang w:val="en-GB" w:eastAsia="en-SG"/>
        </w:rPr>
        <w:t xml:space="preserve">. </w:t>
      </w:r>
      <w:r>
        <w:rPr>
          <w:lang w:val="en-GB" w:eastAsia="en-SG"/>
        </w:rPr>
        <w:t xml:space="preserve">The reason is covered </w:t>
      </w:r>
      <w:hyperlink w:anchor="_Depth_vs_Breadth" w:history="1">
        <w:r w:rsidRPr="001D361D">
          <w:rPr>
            <w:rStyle w:val="Hyperlink"/>
            <w:lang w:val="en-GB" w:eastAsia="en-SG"/>
          </w:rPr>
          <w:t>here</w:t>
        </w:r>
      </w:hyperlink>
      <w:r>
        <w:rPr>
          <w:lang w:val="en-GB" w:eastAsia="en-SG"/>
        </w:rPr>
        <w:t xml:space="preserve">. </w:t>
      </w:r>
    </w:p>
    <w:p w14:paraId="62B6A2DB" w14:textId="77777777" w:rsidR="004615D0" w:rsidRDefault="004615D0" w:rsidP="004615D0">
      <w:pPr>
        <w:rPr>
          <w:lang w:val="en-GB" w:eastAsia="en-SG"/>
        </w:rPr>
      </w:pPr>
      <w:r w:rsidRPr="4CAB3972">
        <w:rPr>
          <w:lang w:val="en-GB" w:eastAsia="en-SG"/>
        </w:rPr>
        <w:t xml:space="preserve">Why are Guest OS level metrics provided? </w:t>
      </w:r>
    </w:p>
    <w:p w14:paraId="13929549" w14:textId="77777777" w:rsidR="004615D0" w:rsidRPr="00A452F2" w:rsidRDefault="004615D0" w:rsidP="004615D0">
      <w:pPr>
        <w:rPr>
          <w:lang w:val="en-GB" w:eastAsia="en-SG"/>
        </w:rPr>
      </w:pPr>
      <w:r w:rsidRPr="4CAB3972">
        <w:rPr>
          <w:lang w:val="en-GB" w:eastAsia="en-SG"/>
        </w:rPr>
        <w:t>Because they do not have VM equivalent, and they change the course of troubleshooting. If you have high CPU run queue, you look inside Windows and Linux, not at the underlying ESXi Host as it’s transparent to the host.</w:t>
      </w:r>
    </w:p>
    <w:p w14:paraId="7975D04E" w14:textId="77777777" w:rsidR="004615D0" w:rsidRPr="00A452F2" w:rsidRDefault="004615D0" w:rsidP="004615D0">
      <w:pPr>
        <w:rPr>
          <w:lang w:val="en-GB" w:eastAsia="en-SG"/>
        </w:rPr>
      </w:pPr>
      <w:r w:rsidRPr="00A452F2">
        <w:rPr>
          <w:lang w:val="en-GB" w:eastAsia="en-SG"/>
        </w:rPr>
        <w:t xml:space="preserve">For CPU, the complete set of contention is provided. There are 6 </w:t>
      </w:r>
      <w:r>
        <w:rPr>
          <w:lang w:val="en-GB" w:eastAsia="en-SG"/>
        </w:rPr>
        <w:t>metrics</w:t>
      </w:r>
      <w:r w:rsidRPr="00A452F2">
        <w:rPr>
          <w:lang w:val="en-GB" w:eastAsia="en-SG"/>
        </w:rPr>
        <w:t xml:space="preserve"> tracking the different type of contention or wait that CPU experiences.</w:t>
      </w:r>
    </w:p>
    <w:p w14:paraId="37C548C8" w14:textId="77777777" w:rsidR="004615D0" w:rsidRPr="00A452F2" w:rsidRDefault="004615D0" w:rsidP="004615D0">
      <w:pPr>
        <w:rPr>
          <w:lang w:val="en-GB" w:eastAsia="en-SG"/>
        </w:rPr>
      </w:pPr>
      <w:r w:rsidRPr="00A452F2">
        <w:rPr>
          <w:lang w:val="en-GB" w:eastAsia="en-SG"/>
        </w:rPr>
        <w:lastRenderedPageBreak/>
        <w:t xml:space="preserve">For Memory, popular metrics such as Consumed, Active, Balloon, Swap, Compress, Granted, etc are not shown as they do </w:t>
      </w:r>
      <w:r w:rsidRPr="009B3CB0">
        <w:rPr>
          <w:i/>
          <w:iCs/>
          <w:color w:val="FF0000"/>
          <w:lang w:val="en-GB" w:eastAsia="en-SG"/>
        </w:rPr>
        <w:t>not</w:t>
      </w:r>
      <w:r w:rsidRPr="009B3CB0">
        <w:rPr>
          <w:color w:val="FF0000"/>
          <w:lang w:val="en-GB" w:eastAsia="en-SG"/>
        </w:rPr>
        <w:t xml:space="preserve"> </w:t>
      </w:r>
      <w:r w:rsidRPr="00A452F2">
        <w:rPr>
          <w:lang w:val="en-GB" w:eastAsia="en-SG"/>
        </w:rPr>
        <w:t xml:space="preserve">indicate performance problem. Memory Contention is the </w:t>
      </w:r>
      <w:r w:rsidRPr="009B3CB0">
        <w:rPr>
          <w:i/>
          <w:iCs/>
          <w:color w:val="00B0F0"/>
          <w:lang w:val="en-GB" w:eastAsia="en-SG"/>
        </w:rPr>
        <w:t xml:space="preserve">only </w:t>
      </w:r>
      <w:r w:rsidRPr="00A452F2">
        <w:rPr>
          <w:lang w:val="en-GB" w:eastAsia="en-SG"/>
        </w:rPr>
        <w:t xml:space="preserve">counter tracking if the </w:t>
      </w:r>
      <w:r w:rsidRPr="009B3CB0">
        <w:rPr>
          <w:i/>
          <w:iCs/>
          <w:color w:val="00B0F0"/>
          <w:lang w:val="en-GB" w:eastAsia="en-SG"/>
        </w:rPr>
        <w:t xml:space="preserve">VM </w:t>
      </w:r>
      <w:r w:rsidRPr="00A452F2">
        <w:rPr>
          <w:lang w:val="en-GB" w:eastAsia="en-SG"/>
        </w:rPr>
        <w:t xml:space="preserve">has memory problem. VM and Guest OS can have memory problem independently. In future, we should add Guest OS memory performance </w:t>
      </w:r>
      <w:r>
        <w:rPr>
          <w:lang w:val="en-GB" w:eastAsia="en-SG"/>
        </w:rPr>
        <w:t>metrics</w:t>
      </w:r>
      <w:r w:rsidRPr="00A452F2">
        <w:rPr>
          <w:lang w:val="en-GB" w:eastAsia="en-SG"/>
        </w:rPr>
        <w:t>, if we find a good one. Linux and Windows do not track memory latency, only track memory disk space consumption, throughput and IOPS. These 2 OS</w:t>
      </w:r>
      <w:r>
        <w:rPr>
          <w:lang w:val="en-GB" w:eastAsia="en-SG"/>
        </w:rPr>
        <w:t>es</w:t>
      </w:r>
      <w:r w:rsidRPr="00A452F2">
        <w:rPr>
          <w:lang w:val="en-GB" w:eastAsia="en-SG"/>
        </w:rPr>
        <w:t xml:space="preserve"> do not track latency, which </w:t>
      </w:r>
      <w:r>
        <w:rPr>
          <w:lang w:val="en-GB" w:eastAsia="en-SG"/>
        </w:rPr>
        <w:t xml:space="preserve">unfortunately </w:t>
      </w:r>
      <w:r w:rsidRPr="00A452F2">
        <w:rPr>
          <w:lang w:val="en-GB" w:eastAsia="en-SG"/>
        </w:rPr>
        <w:t xml:space="preserve">is the main counter for performance. </w:t>
      </w:r>
    </w:p>
    <w:p w14:paraId="2685F1A8" w14:textId="77777777" w:rsidR="004615D0" w:rsidRPr="00A452F2" w:rsidRDefault="004615D0" w:rsidP="004615D0">
      <w:pPr>
        <w:rPr>
          <w:lang w:val="en-GB" w:eastAsia="en-SG"/>
        </w:rPr>
      </w:pPr>
      <w:r w:rsidRPr="00A452F2">
        <w:rPr>
          <w:lang w:val="en-GB" w:eastAsia="en-SG"/>
        </w:rPr>
        <w:t>For Network, vCenter does not have latency and re-transmit. It has dropped packet, but unfortunately this is subject to false positive. So we have to resort to utilization metric. In future, we should add packets per second.</w:t>
      </w:r>
    </w:p>
    <w:p w14:paraId="7B947B11" w14:textId="77777777" w:rsidR="004615D0" w:rsidRPr="00A452F2" w:rsidRDefault="004615D0" w:rsidP="004615D0">
      <w:pPr>
        <w:rPr>
          <w:lang w:val="en-GB"/>
        </w:rPr>
      </w:pPr>
      <w:r w:rsidRPr="4CAB3972">
        <w:rPr>
          <w:lang w:val="en-GB"/>
        </w:rPr>
        <w:t>Lastly, just in case you ask why we do not cover Availability (e.g. something goes down), it’s because this is better covered by events from Log Insight.</w:t>
      </w:r>
    </w:p>
    <w:p w14:paraId="0A422E7E" w14:textId="77777777" w:rsidR="004615D0" w:rsidRDefault="004615D0" w:rsidP="004615D0">
      <w:pPr>
        <w:keepLines w:val="0"/>
        <w:suppressAutoHyphens w:val="0"/>
        <w:spacing w:before="0" w:after="160"/>
        <w:rPr>
          <w:rFonts w:ascii="Calibri" w:eastAsia="Calibri" w:hAnsi="Calibri" w:cs="Calibri"/>
          <w:b/>
          <w:bCs/>
          <w:color w:val="833C0B" w:themeColor="accent2" w:themeShade="80"/>
          <w:sz w:val="44"/>
          <w:szCs w:val="44"/>
          <w:lang w:val="en-GB"/>
        </w:rPr>
      </w:pPr>
      <w:r>
        <w:rPr>
          <w:lang w:val="en-GB"/>
        </w:rPr>
        <w:br w:type="page"/>
      </w:r>
    </w:p>
    <w:p w14:paraId="46A400FF" w14:textId="77777777" w:rsidR="004414EA" w:rsidRDefault="004414EA" w:rsidP="001A443B">
      <w:pPr>
        <w:pStyle w:val="Heading5"/>
      </w:pPr>
      <w:bookmarkStart w:id="107" w:name="_esxtop"/>
      <w:bookmarkEnd w:id="107"/>
      <w:r>
        <w:lastRenderedPageBreak/>
        <w:t>Metrics Not Used</w:t>
      </w:r>
    </w:p>
    <w:p w14:paraId="1CC71AD1" w14:textId="77777777" w:rsidR="004414EA" w:rsidRDefault="004414EA" w:rsidP="004414EA">
      <w:pPr>
        <w:rPr>
          <w:lang w:val="en-GB"/>
        </w:rPr>
      </w:pPr>
      <w:r>
        <w:rPr>
          <w:lang w:val="en-GB"/>
        </w:rPr>
        <w:t xml:space="preserve">What metrics are missing from the tables? </w:t>
      </w:r>
    </w:p>
    <w:p w14:paraId="1D5C9826" w14:textId="77777777" w:rsidR="004414EA" w:rsidRDefault="004414EA" w:rsidP="004414EA">
      <w:pPr>
        <w:rPr>
          <w:lang w:val="en-GB"/>
        </w:rPr>
      </w:pPr>
      <w:r>
        <w:rPr>
          <w:lang w:val="en-GB"/>
        </w:rPr>
        <w:t>The following metrics are not included, along with the reason why:</w:t>
      </w:r>
    </w:p>
    <w:p w14:paraId="0445A394" w14:textId="77777777" w:rsidR="004414EA" w:rsidRDefault="004414EA" w:rsidP="004414EA">
      <w:pPr>
        <w:pStyle w:val="Bullet"/>
        <w:rPr>
          <w:lang w:val="en-GB"/>
        </w:rPr>
      </w:pPr>
      <w:r w:rsidRPr="00BF4AC0">
        <w:rPr>
          <w:lang w:val="en-GB"/>
        </w:rPr>
        <w:t>Guest OS IOPS : VM IOPS Ratio</w:t>
      </w:r>
      <w:r>
        <w:rPr>
          <w:lang w:val="en-GB"/>
        </w:rPr>
        <w:t xml:space="preserve">. </w:t>
      </w:r>
      <w:r w:rsidRPr="00BF4AC0">
        <w:rPr>
          <w:lang w:val="en-GB"/>
        </w:rPr>
        <w:t>They should be near 1 or a stable number</w:t>
      </w:r>
      <w:r>
        <w:rPr>
          <w:lang w:val="en-GB"/>
        </w:rPr>
        <w:t>, as the block size should be identical. The actual numbers may not match, as Guest OS tends to report the last value, while VM tends to report average value</w:t>
      </w:r>
      <w:r w:rsidRPr="00BF4AC0">
        <w:rPr>
          <w:lang w:val="en-GB"/>
        </w:rPr>
        <w:t>. If they fluctuate greatly, something amiss</w:t>
      </w:r>
      <w:r>
        <w:rPr>
          <w:lang w:val="en-GB"/>
        </w:rPr>
        <w:t>. I do not include as I do not have the data yet.</w:t>
      </w:r>
    </w:p>
    <w:p w14:paraId="7EA119F6" w14:textId="77777777" w:rsidR="004414EA" w:rsidRDefault="004414EA" w:rsidP="004414EA">
      <w:pPr>
        <w:pStyle w:val="Bullet"/>
        <w:rPr>
          <w:lang w:val="en-GB"/>
        </w:rPr>
      </w:pPr>
      <w:r w:rsidRPr="00AB3329">
        <w:rPr>
          <w:lang w:val="en-GB"/>
        </w:rPr>
        <w:t xml:space="preserve">Guest OS: </w:t>
      </w:r>
      <w:r>
        <w:rPr>
          <w:lang w:val="en-GB"/>
        </w:rPr>
        <w:t>No of d</w:t>
      </w:r>
      <w:r w:rsidRPr="00AB3329">
        <w:rPr>
          <w:lang w:val="en-GB"/>
        </w:rPr>
        <w:t xml:space="preserve">ead </w:t>
      </w:r>
      <w:r>
        <w:rPr>
          <w:lang w:val="en-GB"/>
        </w:rPr>
        <w:t>p</w:t>
      </w:r>
      <w:r w:rsidRPr="00AB3329">
        <w:rPr>
          <w:lang w:val="en-GB"/>
        </w:rPr>
        <w:t>rocess. Not sure what value to set</w:t>
      </w:r>
      <w:r>
        <w:rPr>
          <w:lang w:val="en-GB"/>
        </w:rPr>
        <w:t xml:space="preserve"> for each bracket</w:t>
      </w:r>
      <w:r w:rsidRPr="00AB3329">
        <w:rPr>
          <w:lang w:val="en-GB"/>
        </w:rPr>
        <w:t>, as we need to profile</w:t>
      </w:r>
      <w:r>
        <w:rPr>
          <w:lang w:val="en-GB"/>
        </w:rPr>
        <w:t xml:space="preserve"> first. </w:t>
      </w:r>
    </w:p>
    <w:p w14:paraId="056DF13A" w14:textId="77777777" w:rsidR="004414EA" w:rsidRDefault="004414EA" w:rsidP="004414EA">
      <w:pPr>
        <w:pStyle w:val="Bullet"/>
        <w:rPr>
          <w:lang w:val="en-GB"/>
        </w:rPr>
      </w:pPr>
      <w:r>
        <w:rPr>
          <w:lang w:val="en-GB"/>
        </w:rPr>
        <w:t>Guest OS: CPU Context Switch. The profiling shows this metrics has a very wide band.</w:t>
      </w:r>
    </w:p>
    <w:p w14:paraId="65CBDF1D" w14:textId="77777777" w:rsidR="004414EA" w:rsidRDefault="004414EA" w:rsidP="004414EA">
      <w:pPr>
        <w:pStyle w:val="Bullet"/>
        <w:rPr>
          <w:lang w:val="en-GB"/>
        </w:rPr>
      </w:pPr>
      <w:r>
        <w:rPr>
          <w:lang w:val="en-GB"/>
        </w:rPr>
        <w:t>Guest OS: Memory page-in. This could contain application binary, so its value could be over reported. Based on our profiling of 3300 production VM, the page-in is more volatile so I’m less confident of applying a threshold.</w:t>
      </w:r>
    </w:p>
    <w:p w14:paraId="593B3958" w14:textId="77777777" w:rsidR="004414EA" w:rsidRDefault="004414EA" w:rsidP="004414EA">
      <w:pPr>
        <w:pStyle w:val="Bullet"/>
        <w:rPr>
          <w:lang w:val="en-GB"/>
        </w:rPr>
      </w:pPr>
      <w:r>
        <w:rPr>
          <w:lang w:val="en-GB"/>
        </w:rPr>
        <w:t>Guest OS: Swapped File remaining size. Not sure if they impact performance.</w:t>
      </w:r>
    </w:p>
    <w:p w14:paraId="5013CEB1" w14:textId="77777777" w:rsidR="004414EA" w:rsidRDefault="004414EA" w:rsidP="004414EA">
      <w:pPr>
        <w:pStyle w:val="Bullet"/>
        <w:rPr>
          <w:lang w:val="en-GB"/>
        </w:rPr>
      </w:pPr>
      <w:r>
        <w:rPr>
          <w:lang w:val="en-GB"/>
        </w:rPr>
        <w:t xml:space="preserve">VM Balloon. We covered the reason </w:t>
      </w:r>
      <w:hyperlink w:anchor="_Ballooned" w:history="1">
        <w:r w:rsidRPr="00120E6E">
          <w:rPr>
            <w:rStyle w:val="Hyperlink"/>
            <w:lang w:val="en-GB"/>
          </w:rPr>
          <w:t>here</w:t>
        </w:r>
      </w:hyperlink>
      <w:r>
        <w:rPr>
          <w:lang w:val="en-GB"/>
        </w:rPr>
        <w:t xml:space="preserve">. </w:t>
      </w:r>
    </w:p>
    <w:p w14:paraId="22ED4175" w14:textId="77777777" w:rsidR="004414EA" w:rsidRDefault="004414EA" w:rsidP="004414EA">
      <w:pPr>
        <w:pStyle w:val="Bullet"/>
        <w:rPr>
          <w:lang w:val="en-GB"/>
        </w:rPr>
      </w:pPr>
      <w:r>
        <w:rPr>
          <w:lang w:val="en-GB"/>
        </w:rPr>
        <w:t>Outstanding IO. Adding it will be duplicating as it’s a function of IOPS x latency.</w:t>
      </w:r>
    </w:p>
    <w:p w14:paraId="02F4E13A" w14:textId="77777777" w:rsidR="004414EA" w:rsidRDefault="004414EA" w:rsidP="004414EA">
      <w:pPr>
        <w:pStyle w:val="Bullet"/>
        <w:rPr>
          <w:lang w:val="en-GB"/>
        </w:rPr>
      </w:pPr>
      <w:r>
        <w:rPr>
          <w:lang w:val="en-GB"/>
        </w:rPr>
        <w:t>vMotion. This is an event, not a metric. It does not happen regularly, in fact most of the time it does not happen.</w:t>
      </w:r>
    </w:p>
    <w:p w14:paraId="077118A2" w14:textId="2B8B7A23" w:rsidR="004414EA" w:rsidRDefault="004414EA" w:rsidP="004414EA">
      <w:pPr>
        <w:pStyle w:val="Bullet"/>
        <w:rPr>
          <w:lang w:val="en-GB"/>
        </w:rPr>
      </w:pPr>
      <w:r>
        <w:rPr>
          <w:lang w:val="en-GB"/>
        </w:rPr>
        <w:t xml:space="preserve">VM vMotion stunned time. I do not have enough data to decide the value to put for each range. It should be within 0.2 second for </w:t>
      </w:r>
      <w:r w:rsidR="0022569A" w:rsidRPr="0022569A">
        <w:rPr>
          <w:color w:val="00B050"/>
          <w:lang w:val="en-GB"/>
        </w:rPr>
        <w:t>Green</w:t>
      </w:r>
      <w:r>
        <w:rPr>
          <w:lang w:val="en-GB"/>
        </w:rPr>
        <w:t xml:space="preserve">, but what about </w:t>
      </w:r>
      <w:r w:rsidR="000F35C5" w:rsidRPr="009322C0">
        <w:rPr>
          <w:color w:val="000000" w:themeColor="text1"/>
          <w14:textFill>
            <w14:gradFill>
              <w14:gsLst>
                <w14:gs w14:pos="0">
                  <w14:schemeClr w14:val="tx1"/>
                </w14:gs>
                <w14:gs w14:pos="100000">
                  <w14:srgbClr w14:val="FFFF00"/>
                </w14:gs>
              </w14:gsLst>
              <w14:lin w14:ang="16200000" w14:scaled="0"/>
            </w14:gradFill>
          </w14:textFill>
        </w:rPr>
        <w:t>yellow</w:t>
      </w:r>
      <w:r>
        <w:rPr>
          <w:lang w:val="en-GB"/>
        </w:rPr>
        <w:t xml:space="preserve">? Typically, I used 2K – 4K VMs over 3 months to convince myself that the thresholds are representing real world. </w:t>
      </w:r>
    </w:p>
    <w:p w14:paraId="18CAB8ED" w14:textId="77777777" w:rsidR="004414EA" w:rsidRDefault="004414EA" w:rsidP="004414EA">
      <w:pPr>
        <w:pStyle w:val="Bullet"/>
        <w:rPr>
          <w:lang w:val="en-GB"/>
        </w:rPr>
      </w:pPr>
      <w:r>
        <w:rPr>
          <w:lang w:val="en-GB"/>
        </w:rPr>
        <w:t>Latency due to disk snapshot. The metric VM Wait already covers it, so no need to double count.</w:t>
      </w:r>
    </w:p>
    <w:p w14:paraId="34251DCD" w14:textId="77777777" w:rsidR="004414EA" w:rsidRDefault="004414EA" w:rsidP="004414EA">
      <w:pPr>
        <w:pStyle w:val="Bullet"/>
        <w:rPr>
          <w:lang w:val="en-GB"/>
        </w:rPr>
      </w:pPr>
      <w:r w:rsidRPr="00860A05">
        <w:rPr>
          <w:lang w:val="en-GB"/>
        </w:rPr>
        <w:t>Undesired network packets, such as broadcast and multicast. They do not actually cause performance.</w:t>
      </w:r>
    </w:p>
    <w:p w14:paraId="0EF51788" w14:textId="77777777" w:rsidR="004414EA" w:rsidRPr="000A77D5" w:rsidRDefault="004414EA" w:rsidP="004414EA">
      <w:pPr>
        <w:pStyle w:val="Bullet"/>
        <w:rPr>
          <w:lang w:val="en-GB"/>
        </w:rPr>
      </w:pPr>
      <w:r w:rsidRPr="00860A05">
        <w:t>Network RX Dropped Packets. Too many false positive.</w:t>
      </w:r>
    </w:p>
    <w:p w14:paraId="6B947443" w14:textId="77777777" w:rsidR="004414EA" w:rsidRPr="007778FA" w:rsidRDefault="004414EA" w:rsidP="004414EA">
      <w:pPr>
        <w:pStyle w:val="Bullet"/>
        <w:rPr>
          <w:lang w:val="en-GB"/>
        </w:rPr>
      </w:pPr>
      <w:r>
        <w:t xml:space="preserve">VM DRS Score. </w:t>
      </w:r>
      <w:hyperlink r:id="rId633" w:history="1">
        <w:r>
          <w:rPr>
            <w:rStyle w:val="Hyperlink"/>
          </w:rPr>
          <w:t>Niels Hagoort</w:t>
        </w:r>
      </w:hyperlink>
      <w:r>
        <w:t xml:space="preserve"> states </w:t>
      </w:r>
      <w:hyperlink r:id="rId634" w:history="1">
        <w:r w:rsidRPr="00396BD2">
          <w:rPr>
            <w:rStyle w:val="Hyperlink"/>
          </w:rPr>
          <w:t>here</w:t>
        </w:r>
      </w:hyperlink>
      <w:r>
        <w:t xml:space="preserve"> that “a VM running a lower score is not necessarily not running properly. It is about the execution efficiency, taking all the metrics/costs into consideration.” Reading the blog and other material, this metric is more about the cluster performance than the individual VM performance. Plus, it’s using metrics that are already included in the KPI, so it’s double counting.</w:t>
      </w:r>
    </w:p>
    <w:p w14:paraId="393D2B35" w14:textId="77777777" w:rsidR="004414EA" w:rsidRPr="007B260F" w:rsidRDefault="004414EA" w:rsidP="004414EA">
      <w:pPr>
        <w:rPr>
          <w:rFonts w:ascii="Calibri" w:hAnsi="Calibri" w:cs="Calibri"/>
          <w:lang w:val="en-GB"/>
        </w:rPr>
      </w:pPr>
      <w:r w:rsidRPr="007B260F">
        <w:rPr>
          <w:rFonts w:ascii="Calibri" w:hAnsi="Calibri" w:cs="Calibri"/>
          <w:lang w:val="en-GB"/>
        </w:rPr>
        <w:t>The threshold can be argued from 2 ways</w:t>
      </w:r>
    </w:p>
    <w:p w14:paraId="7AAF7208" w14:textId="77777777" w:rsidR="004414EA" w:rsidRPr="007B260F" w:rsidRDefault="004414EA" w:rsidP="004414EA">
      <w:pPr>
        <w:pStyle w:val="Bullet"/>
        <w:rPr>
          <w:lang w:val="en-GB"/>
        </w:rPr>
      </w:pPr>
      <w:r w:rsidRPr="007B260F">
        <w:rPr>
          <w:lang w:val="en-GB"/>
        </w:rPr>
        <w:t>Scientifically</w:t>
      </w:r>
    </w:p>
    <w:p w14:paraId="37B69EAF" w14:textId="77777777" w:rsidR="004414EA" w:rsidRPr="007B260F" w:rsidRDefault="004414EA" w:rsidP="004414EA">
      <w:pPr>
        <w:pStyle w:val="Bullet"/>
        <w:rPr>
          <w:lang w:val="en-GB"/>
        </w:rPr>
      </w:pPr>
      <w:r w:rsidRPr="007B260F">
        <w:rPr>
          <w:lang w:val="en-GB"/>
        </w:rPr>
        <w:t>“</w:t>
      </w:r>
      <w:r>
        <w:rPr>
          <w:lang w:val="en-GB"/>
        </w:rPr>
        <w:t>Practical</w:t>
      </w:r>
      <w:r w:rsidRPr="007B260F">
        <w:rPr>
          <w:lang w:val="en-GB"/>
        </w:rPr>
        <w:t>ly”</w:t>
      </w:r>
    </w:p>
    <w:p w14:paraId="73F26A20" w14:textId="77777777" w:rsidR="004414EA" w:rsidRDefault="004414EA" w:rsidP="004414EA">
      <w:pPr>
        <w:rPr>
          <w:rFonts w:ascii="Calibri" w:hAnsi="Calibri" w:cs="Calibri"/>
          <w:lang w:val="en-GB"/>
        </w:rPr>
      </w:pPr>
      <w:r w:rsidRPr="007B260F">
        <w:rPr>
          <w:rFonts w:ascii="Calibri" w:hAnsi="Calibri" w:cs="Calibri"/>
          <w:lang w:val="en-GB"/>
        </w:rPr>
        <w:t>Scientifically, a VM does not care what’s stopping it. Whether it’s Ready or Co-Stop or Overlap, the Guest OS does not know. Using this logic, you should set all the threshold the same way.</w:t>
      </w:r>
      <w:r>
        <w:rPr>
          <w:rFonts w:ascii="Calibri" w:hAnsi="Calibri" w:cs="Calibri"/>
          <w:lang w:val="en-GB"/>
        </w:rPr>
        <w:t xml:space="preserve"> </w:t>
      </w:r>
      <w:r w:rsidRPr="007B260F">
        <w:rPr>
          <w:rFonts w:ascii="Calibri" w:hAnsi="Calibri" w:cs="Calibri"/>
          <w:lang w:val="en-GB"/>
        </w:rPr>
        <w:t xml:space="preserve">On the other hand, you can follow what happens in production, in healthy environment. These </w:t>
      </w:r>
      <w:r>
        <w:rPr>
          <w:rFonts w:ascii="Calibri" w:hAnsi="Calibri" w:cs="Calibri"/>
          <w:lang w:val="en-GB"/>
        </w:rPr>
        <w:t>metrics</w:t>
      </w:r>
      <w:r w:rsidRPr="007B260F">
        <w:rPr>
          <w:rFonts w:ascii="Calibri" w:hAnsi="Calibri" w:cs="Calibri"/>
          <w:lang w:val="en-GB"/>
        </w:rPr>
        <w:t xml:space="preserve"> do not follow the same scale.</w:t>
      </w:r>
    </w:p>
    <w:p w14:paraId="35DE4390" w14:textId="77777777" w:rsidR="004414EA" w:rsidRDefault="004414EA" w:rsidP="004414EA">
      <w:pPr>
        <w:rPr>
          <w:rFonts w:ascii="Calibri" w:hAnsi="Calibri" w:cs="Calibri"/>
          <w:lang w:val="en-GB"/>
        </w:rPr>
      </w:pPr>
      <w:r>
        <w:rPr>
          <w:rFonts w:ascii="Calibri" w:hAnsi="Calibri" w:cs="Calibri"/>
          <w:lang w:val="en-GB"/>
        </w:rPr>
        <w:t xml:space="preserve">I take the lowest of the two, as the requirement is proactive monitoring. </w:t>
      </w:r>
    </w:p>
    <w:p w14:paraId="1F26EA2F" w14:textId="77777777" w:rsidR="004615D0" w:rsidRDefault="004615D0" w:rsidP="001A443B">
      <w:pPr>
        <w:pStyle w:val="Heading5"/>
      </w:pPr>
      <w:r>
        <w:t>Implementation</w:t>
      </w:r>
    </w:p>
    <w:p w14:paraId="32F2C473" w14:textId="77777777" w:rsidR="004615D0" w:rsidRDefault="004615D0" w:rsidP="001A443B">
      <w:pPr>
        <w:rPr>
          <w:lang w:val="en-GB"/>
        </w:rPr>
      </w:pPr>
      <w:r>
        <w:rPr>
          <w:lang w:val="en-GB"/>
        </w:rPr>
        <w:t>The following shows part of the formula. It shows the metrics used and the label I use to increase readability. I found label handy to shorten the overall length.</w:t>
      </w:r>
    </w:p>
    <w:p w14:paraId="26672C2C" w14:textId="77777777" w:rsidR="004615D0" w:rsidRPr="00D435D6" w:rsidRDefault="004615D0" w:rsidP="001A443B">
      <w:pPr>
        <w:rPr>
          <w:lang w:val="en-GB"/>
        </w:rPr>
      </w:pPr>
      <w:r>
        <w:rPr>
          <w:lang w:val="en-GB"/>
        </w:rPr>
        <w:lastRenderedPageBreak/>
        <w:t>I’ve copied into an external editor so I can show each metric as 1 line so you can see them more easily. I’ve rearranged the metrics so you can see the 20 second peak metrics first.</w:t>
      </w:r>
    </w:p>
    <w:p w14:paraId="5F1656E5" w14:textId="77777777" w:rsidR="004615D0" w:rsidRDefault="004615D0" w:rsidP="001A443B">
      <w:pPr>
        <w:jc w:val="center"/>
      </w:pPr>
      <w:r w:rsidRPr="00C371F2">
        <w:rPr>
          <w:noProof/>
        </w:rPr>
        <w:drawing>
          <wp:inline distT="0" distB="0" distL="0" distR="0" wp14:anchorId="6B4C4A27" wp14:editId="68C59CEC">
            <wp:extent cx="6248942" cy="2800593"/>
            <wp:effectExtent l="0" t="0" r="0" b="0"/>
            <wp:docPr id="1525330267" name="Picture 1525330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6248942" cy="2800593"/>
                    </a:xfrm>
                    <a:prstGeom prst="rect">
                      <a:avLst/>
                    </a:prstGeom>
                  </pic:spPr>
                </pic:pic>
              </a:graphicData>
            </a:graphic>
          </wp:inline>
        </w:drawing>
      </w:r>
    </w:p>
    <w:p w14:paraId="771070E5" w14:textId="77777777" w:rsidR="004615D0" w:rsidRDefault="004615D0" w:rsidP="001A443B">
      <w:r>
        <w:t>I have not included VM Transmit Packet Drop to avoid false positive.</w:t>
      </w:r>
    </w:p>
    <w:p w14:paraId="4CC7FC00" w14:textId="77777777" w:rsidR="004615D0" w:rsidRDefault="004615D0" w:rsidP="001A443B">
      <w:r>
        <w:t>I have not added Swapped + Compressed yet.</w:t>
      </w:r>
    </w:p>
    <w:p w14:paraId="2F1B5AC0" w14:textId="77777777" w:rsidR="004615D0" w:rsidRDefault="004615D0" w:rsidP="001A443B">
      <w:r>
        <w:t xml:space="preserve">I have not added Run – Overlap yet. </w:t>
      </w:r>
    </w:p>
    <w:p w14:paraId="47754DEB" w14:textId="45D2C20C" w:rsidR="004615D0" w:rsidRDefault="004615D0" w:rsidP="001A443B">
      <w:pPr>
        <w:pStyle w:val="Heading6"/>
      </w:pPr>
      <w:r>
        <w:t xml:space="preserve">The </w:t>
      </w:r>
      <w:r w:rsidR="0022569A" w:rsidRPr="0022569A">
        <w:rPr>
          <w:color w:val="00B050"/>
        </w:rPr>
        <w:t>Green</w:t>
      </w:r>
      <w:r>
        <w:t xml:space="preserve"> Range</w:t>
      </w:r>
    </w:p>
    <w:p w14:paraId="7A3B05DC" w14:textId="77777777" w:rsidR="004615D0" w:rsidRDefault="004615D0" w:rsidP="001A443B">
      <w:r>
        <w:t xml:space="preserve">To see the threshold more easily, I rearranged the metrics. The last row uses a threshold that goes from high to low, so the formula is different. Notice it uses </w:t>
      </w:r>
      <w:r w:rsidRPr="00454892">
        <w:rPr>
          <w:b/>
          <w:bCs/>
          <w:color w:val="00B0F0"/>
        </w:rPr>
        <w:t>&gt;</w:t>
      </w:r>
      <w:r>
        <w:t xml:space="preserve"> operator instead of </w:t>
      </w:r>
      <w:r w:rsidRPr="00454892">
        <w:rPr>
          <w:b/>
          <w:bCs/>
          <w:color w:val="00B0F0"/>
        </w:rPr>
        <w:t xml:space="preserve">&lt; </w:t>
      </w:r>
      <w:r>
        <w:t>operator.</w:t>
      </w:r>
    </w:p>
    <w:p w14:paraId="455CD2CA" w14:textId="77777777" w:rsidR="004615D0" w:rsidRDefault="004615D0" w:rsidP="001A443B">
      <w:pPr>
        <w:jc w:val="center"/>
      </w:pPr>
      <w:r w:rsidRPr="00D435D6">
        <w:rPr>
          <w:noProof/>
        </w:rPr>
        <w:drawing>
          <wp:inline distT="0" distB="0" distL="0" distR="0" wp14:anchorId="0021F32A" wp14:editId="317A352D">
            <wp:extent cx="5665961" cy="2008044"/>
            <wp:effectExtent l="0" t="0" r="0" b="0"/>
            <wp:docPr id="1525330281" name="Picture 1525330281"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81" name="Picture 1525330281" descr="Text&#10;&#10;Description automatically generated"/>
                    <pic:cNvPicPr/>
                  </pic:nvPicPr>
                  <pic:blipFill>
                    <a:blip r:embed="rId636"/>
                    <a:stretch>
                      <a:fillRect/>
                    </a:stretch>
                  </pic:blipFill>
                  <pic:spPr>
                    <a:xfrm>
                      <a:off x="0" y="0"/>
                      <a:ext cx="5665961" cy="2008044"/>
                    </a:xfrm>
                    <a:prstGeom prst="rect">
                      <a:avLst/>
                    </a:prstGeom>
                  </pic:spPr>
                </pic:pic>
              </a:graphicData>
            </a:graphic>
          </wp:inline>
        </w:drawing>
      </w:r>
    </w:p>
    <w:p w14:paraId="150F719E" w14:textId="77777777" w:rsidR="004615D0" w:rsidRDefault="004615D0" w:rsidP="001A443B">
      <w:r>
        <w:t>Let’s go through the first line. It basically checks if memory latency is &lt; 0.5% then it will translate its value within the 0% - 25% range. A value of 0% will translate into 100%, while the value near 0.5% will translate into near 75%.</w:t>
      </w:r>
    </w:p>
    <w:p w14:paraId="0C8672E6" w14:textId="000E6F52" w:rsidR="004615D0" w:rsidRDefault="004615D0" w:rsidP="001A443B">
      <w:r>
        <w:t xml:space="preserve">The </w:t>
      </w:r>
      <w:r w:rsidR="00C230E2" w:rsidRPr="00C230E2">
        <w:rPr>
          <w:b/>
          <w:bCs/>
          <w:color w:val="00B0F0"/>
        </w:rPr>
        <w:t>* 1</w:t>
      </w:r>
      <w:r>
        <w:t xml:space="preserve"> at the end is the weightage multiplier. </w:t>
      </w:r>
      <w:r w:rsidR="0022569A" w:rsidRPr="0022569A">
        <w:rPr>
          <w:color w:val="00B050"/>
        </w:rPr>
        <w:t>Green</w:t>
      </w:r>
      <w:r>
        <w:t xml:space="preserve"> is given a 1x weightage, while </w:t>
      </w:r>
      <w:r w:rsidR="000F35C5" w:rsidRPr="009322C0">
        <w:rPr>
          <w:color w:val="000000" w:themeColor="text1"/>
          <w14:textFill>
            <w14:gradFill>
              <w14:gsLst>
                <w14:gs w14:pos="0">
                  <w14:schemeClr w14:val="tx1"/>
                </w14:gs>
                <w14:gs w14:pos="100000">
                  <w14:srgbClr w14:val="FFFF00"/>
                </w14:gs>
              </w14:gsLst>
              <w14:lin w14:ang="16200000" w14:scaled="0"/>
            </w14:gradFill>
          </w14:textFill>
        </w:rPr>
        <w:t>yellow</w:t>
      </w:r>
      <w:r w:rsidR="000F35C5" w:rsidRPr="009322C0">
        <w:rPr>
          <w14:textFill>
            <w14:gradFill>
              <w14:gsLst>
                <w14:gs w14:pos="0">
                  <w14:schemeClr w14:val="tx1"/>
                </w14:gs>
                <w14:gs w14:pos="100000">
                  <w14:srgbClr w14:val="FFFF00"/>
                </w14:gs>
              </w14:gsLst>
              <w14:lin w14:ang="16200000" w14:scaled="0"/>
            </w14:gradFill>
          </w14:textFill>
        </w:rPr>
        <w:t xml:space="preserve"> </w:t>
      </w:r>
      <w:r>
        <w:t xml:space="preserve">is 2x, </w:t>
      </w:r>
      <w:r w:rsidR="00CF7D2C" w:rsidRPr="00CF7D2C">
        <w:rPr>
          <w:color w:val="ED7D31" w:themeColor="accent2"/>
        </w:rPr>
        <w:t>orange</w:t>
      </w:r>
      <w:r>
        <w:t xml:space="preserve"> is 4x and </w:t>
      </w:r>
      <w:r w:rsidR="00CF7D2C" w:rsidRPr="00CF7D2C">
        <w:rPr>
          <w:color w:val="FF0000"/>
        </w:rPr>
        <w:t>red</w:t>
      </w:r>
      <w:r>
        <w:t xml:space="preserve"> is 8x. The value is amplified, and then normalized again at a later portion (not shown in the screenshot)</w:t>
      </w:r>
    </w:p>
    <w:p w14:paraId="1CF29362" w14:textId="394E613E" w:rsidR="004615D0" w:rsidRDefault="004615D0" w:rsidP="001A443B">
      <w:r>
        <w:t>Let’s look at the 2</w:t>
      </w:r>
      <w:r w:rsidRPr="00BD59DC">
        <w:rPr>
          <w:vertAlign w:val="superscript"/>
        </w:rPr>
        <w:t>nd</w:t>
      </w:r>
      <w:r>
        <w:t xml:space="preserve"> last line. The CPU Overlap is in </w:t>
      </w:r>
      <w:r w:rsidR="00C230E2">
        <w:t>millisecond</w:t>
      </w:r>
      <w:r>
        <w:t xml:space="preserve">, where 20000 equates to 100%. To translate into a percentage, I need to divide by 200. BTW, I should also divide by the number of vCPU. But since the value is already very low, I think it’s better to be conservative. </w:t>
      </w:r>
    </w:p>
    <w:p w14:paraId="210CE86D" w14:textId="77777777" w:rsidR="004615D0" w:rsidRDefault="004615D0" w:rsidP="001A443B">
      <w:r>
        <w:lastRenderedPageBreak/>
        <w:t>Let’s look at the last line. We want the value of free memory &gt; 512 MB of RAM to translate into 100%. Since the formula returns 0% - 25%, I had to add 75.</w:t>
      </w:r>
    </w:p>
    <w:p w14:paraId="073D5E90" w14:textId="77777777" w:rsidR="004615D0" w:rsidRDefault="004615D0" w:rsidP="001A443B">
      <w:r>
        <w:t xml:space="preserve">BTW, I didn’t add the </w:t>
      </w:r>
      <w:bookmarkStart w:id="108" w:name="_Hlk135054848"/>
      <w:r w:rsidRPr="00C230E2">
        <w:rPr>
          <w:b/>
          <w:bCs/>
          <w:color w:val="00B0F0"/>
        </w:rPr>
        <w:t>* 1</w:t>
      </w:r>
      <w:r w:rsidRPr="00C230E2">
        <w:rPr>
          <w:color w:val="00B0F0"/>
        </w:rPr>
        <w:t xml:space="preserve"> </w:t>
      </w:r>
      <w:bookmarkEnd w:id="108"/>
      <w:r>
        <w:t>weightage multiplier at the end to keep the formula simpler.</w:t>
      </w:r>
    </w:p>
    <w:p w14:paraId="5861804B" w14:textId="102EF269" w:rsidR="004615D0" w:rsidRDefault="004615D0" w:rsidP="001A443B">
      <w:pPr>
        <w:pStyle w:val="Heading6"/>
      </w:pPr>
      <w:r>
        <w:t xml:space="preserve">The </w:t>
      </w:r>
      <w:r w:rsidR="00CF7D2C" w:rsidRPr="00922286">
        <w:t>Yellow</w:t>
      </w:r>
      <w:r>
        <w:t xml:space="preserve"> Range</w:t>
      </w:r>
    </w:p>
    <w:p w14:paraId="2F83B01D" w14:textId="494A8E6E" w:rsidR="004615D0" w:rsidRDefault="004615D0" w:rsidP="001A443B">
      <w:pPr>
        <w:rPr>
          <w:lang w:val="en-GB"/>
        </w:rPr>
      </w:pPr>
      <w:r>
        <w:rPr>
          <w:lang w:val="en-GB"/>
        </w:rPr>
        <w:t xml:space="preserve">When the metric value does not within </w:t>
      </w:r>
      <w:r w:rsidR="0022569A" w:rsidRPr="0022569A">
        <w:rPr>
          <w:color w:val="00B050"/>
          <w:lang w:val="en-GB"/>
        </w:rPr>
        <w:t>green</w:t>
      </w:r>
      <w:r>
        <w:rPr>
          <w:lang w:val="en-GB"/>
        </w:rPr>
        <w:t xml:space="preserve"> threshold, we compare </w:t>
      </w:r>
      <w:r w:rsidR="00922286">
        <w:rPr>
          <w:lang w:val="en-GB"/>
        </w:rPr>
        <w:t>against</w:t>
      </w:r>
      <w:r>
        <w:rPr>
          <w:lang w:val="en-GB"/>
        </w:rPr>
        <w:t xml:space="preserve"> </w:t>
      </w:r>
      <w:r w:rsidR="000F35C5" w:rsidRPr="009322C0">
        <w:rPr>
          <w:color w:val="000000" w:themeColor="text1"/>
          <w14:textFill>
            <w14:gradFill>
              <w14:gsLst>
                <w14:gs w14:pos="0">
                  <w14:schemeClr w14:val="tx1"/>
                </w14:gs>
                <w14:gs w14:pos="100000">
                  <w14:srgbClr w14:val="FFFF00"/>
                </w14:gs>
              </w14:gsLst>
              <w14:lin w14:ang="16200000" w14:scaled="0"/>
            </w14:gradFill>
          </w14:textFill>
        </w:rPr>
        <w:t>yellow</w:t>
      </w:r>
      <w:r>
        <w:rPr>
          <w:lang w:val="en-GB"/>
        </w:rPr>
        <w:t xml:space="preserve">. </w:t>
      </w:r>
    </w:p>
    <w:p w14:paraId="6A080D78" w14:textId="77777777" w:rsidR="004615D0" w:rsidRDefault="004615D0" w:rsidP="001A443B">
      <w:pPr>
        <w:rPr>
          <w:lang w:val="en-GB"/>
        </w:rPr>
      </w:pPr>
      <w:r>
        <w:rPr>
          <w:lang w:val="en-GB"/>
        </w:rPr>
        <w:t>The range is 50% - 75%, hence the formula deducts from 75.</w:t>
      </w:r>
    </w:p>
    <w:p w14:paraId="51F992A1" w14:textId="06DA0639" w:rsidR="004615D0" w:rsidRPr="004E5E48" w:rsidRDefault="004615D0" w:rsidP="001A443B">
      <w:pPr>
        <w:rPr>
          <w:lang w:val="en-GB"/>
        </w:rPr>
      </w:pPr>
      <w:r>
        <w:t xml:space="preserve">The </w:t>
      </w:r>
      <w:r w:rsidRPr="00454892">
        <w:rPr>
          <w:b/>
          <w:bCs/>
          <w:color w:val="00B0F0"/>
        </w:rPr>
        <w:t xml:space="preserve">* </w:t>
      </w:r>
      <w:r w:rsidRPr="00C230E2">
        <w:rPr>
          <w:b/>
          <w:bCs/>
          <w:color w:val="00B0F0"/>
        </w:rPr>
        <w:t>2</w:t>
      </w:r>
      <w:r>
        <w:t xml:space="preserve"> at the end is the weightage multiplier for </w:t>
      </w:r>
      <w:r w:rsidR="000F35C5" w:rsidRPr="009322C0">
        <w:rPr>
          <w:color w:val="000000" w:themeColor="text1"/>
          <w14:textFill>
            <w14:gradFill>
              <w14:gsLst>
                <w14:gs w14:pos="0">
                  <w14:schemeClr w14:val="tx1"/>
                </w14:gs>
                <w14:gs w14:pos="100000">
                  <w14:srgbClr w14:val="FFFF00"/>
                </w14:gs>
              </w14:gsLst>
              <w14:lin w14:ang="16200000" w14:scaled="0"/>
            </w14:gradFill>
          </w14:textFill>
        </w:rPr>
        <w:t>yellow</w:t>
      </w:r>
      <w:r>
        <w:t>.</w:t>
      </w:r>
    </w:p>
    <w:p w14:paraId="6E7B02C0" w14:textId="77777777" w:rsidR="004615D0" w:rsidRDefault="004615D0" w:rsidP="001A443B">
      <w:pPr>
        <w:jc w:val="center"/>
      </w:pPr>
      <w:r w:rsidRPr="004E5E48">
        <w:rPr>
          <w:noProof/>
        </w:rPr>
        <w:drawing>
          <wp:inline distT="0" distB="0" distL="0" distR="0" wp14:anchorId="3856CB8D" wp14:editId="74CBBE08">
            <wp:extent cx="4900085" cy="2076630"/>
            <wp:effectExtent l="0" t="0" r="0" b="0"/>
            <wp:docPr id="1525330283" name="Picture 1525330283"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83" name="Picture 1525330283" descr="Text&#10;&#10;Description automatically generated"/>
                    <pic:cNvPicPr/>
                  </pic:nvPicPr>
                  <pic:blipFill>
                    <a:blip r:embed="rId637"/>
                    <a:stretch>
                      <a:fillRect/>
                    </a:stretch>
                  </pic:blipFill>
                  <pic:spPr>
                    <a:xfrm>
                      <a:off x="0" y="0"/>
                      <a:ext cx="4900085" cy="2076630"/>
                    </a:xfrm>
                    <a:prstGeom prst="rect">
                      <a:avLst/>
                    </a:prstGeom>
                  </pic:spPr>
                </pic:pic>
              </a:graphicData>
            </a:graphic>
          </wp:inline>
        </w:drawing>
      </w:r>
    </w:p>
    <w:p w14:paraId="00257EE8" w14:textId="2C7A5C3F" w:rsidR="004615D0" w:rsidRDefault="004615D0" w:rsidP="001A443B">
      <w:r>
        <w:t>Let’s run through an example When the memory latency is 0.75%, it will return a value</w:t>
      </w:r>
      <w:r w:rsidR="00CF7D2C">
        <w:t xml:space="preserve"> </w:t>
      </w:r>
      <w:r>
        <w:t>of 0.5. This is then spread over 25, so we will get a value of 12.5. We then deduct it from 75, to get a value of 62.5%. Lastly, we multiply it by 2 to get 125.</w:t>
      </w:r>
    </w:p>
    <w:p w14:paraId="39824733" w14:textId="704669B9" w:rsidR="004615D0" w:rsidRPr="0022569A" w:rsidRDefault="004615D0" w:rsidP="001A443B">
      <w:pPr>
        <w:pStyle w:val="Heading6"/>
      </w:pPr>
      <w:r w:rsidRPr="0022569A">
        <w:t xml:space="preserve">The </w:t>
      </w:r>
      <w:r w:rsidR="00CF7D2C" w:rsidRPr="0022569A">
        <w:t>Orange</w:t>
      </w:r>
      <w:r w:rsidRPr="0022569A">
        <w:t xml:space="preserve"> Range and </w:t>
      </w:r>
      <w:r w:rsidR="00CF7D2C" w:rsidRPr="0022569A">
        <w:t>Red</w:t>
      </w:r>
      <w:r w:rsidRPr="0022569A">
        <w:t xml:space="preserve"> Range</w:t>
      </w:r>
    </w:p>
    <w:p w14:paraId="55F23CDB" w14:textId="7E679119" w:rsidR="004615D0" w:rsidRDefault="004615D0" w:rsidP="001A443B">
      <w:r>
        <w:t xml:space="preserve">I’m showing them together as it’s an IF THEN ELSE. Whatever not caught by the </w:t>
      </w:r>
      <w:r w:rsidR="00CF7D2C" w:rsidRPr="00CF7D2C">
        <w:rPr>
          <w:color w:val="ED7D31" w:themeColor="accent2"/>
        </w:rPr>
        <w:t>orange</w:t>
      </w:r>
      <w:r>
        <w:t xml:space="preserve"> is handled by </w:t>
      </w:r>
      <w:r w:rsidR="00CF7D2C" w:rsidRPr="00CF7D2C">
        <w:rPr>
          <w:color w:val="FF0000"/>
        </w:rPr>
        <w:t>red</w:t>
      </w:r>
      <w:r>
        <w:t>.</w:t>
      </w:r>
    </w:p>
    <w:p w14:paraId="491570CE" w14:textId="4F5B300F" w:rsidR="004615D0" w:rsidRDefault="004615D0" w:rsidP="001A443B">
      <w:bookmarkStart w:id="109" w:name="_Hlk135053474"/>
      <w:r>
        <w:t xml:space="preserve">The </w:t>
      </w:r>
      <w:r w:rsidRPr="001F2344">
        <w:rPr>
          <w:b/>
          <w:bCs/>
          <w:color w:val="00B0F0"/>
        </w:rPr>
        <w:t>50 –</w:t>
      </w:r>
      <w:r w:rsidRPr="001F2344">
        <w:rPr>
          <w:color w:val="00B0F0"/>
        </w:rPr>
        <w:t xml:space="preserve"> </w:t>
      </w:r>
      <w:r>
        <w:t xml:space="preserve">caps the value of </w:t>
      </w:r>
      <w:r w:rsidR="00CF7D2C" w:rsidRPr="00CF7D2C">
        <w:rPr>
          <w:color w:val="ED7D31" w:themeColor="accent2"/>
        </w:rPr>
        <w:t>Orange</w:t>
      </w:r>
      <w:r>
        <w:t xml:space="preserve"> at 50%, while the </w:t>
      </w:r>
      <w:r w:rsidR="00CF7D2C" w:rsidRPr="00CF7D2C">
        <w:rPr>
          <w:color w:val="FF0000"/>
        </w:rPr>
        <w:t>red</w:t>
      </w:r>
      <w:r>
        <w:t xml:space="preserve"> is capped at 25.</w:t>
      </w:r>
    </w:p>
    <w:p w14:paraId="5695611B" w14:textId="1EB74908" w:rsidR="004615D0" w:rsidRDefault="004615D0" w:rsidP="001A443B">
      <w:r>
        <w:t xml:space="preserve">The </w:t>
      </w:r>
      <w:r w:rsidRPr="001F2344">
        <w:rPr>
          <w:b/>
          <w:bCs/>
          <w:color w:val="00B0F0"/>
        </w:rPr>
        <w:t>* 4</w:t>
      </w:r>
      <w:r w:rsidRPr="001F2344">
        <w:rPr>
          <w:color w:val="00B0F0"/>
        </w:rPr>
        <w:t xml:space="preserve"> </w:t>
      </w:r>
      <w:r>
        <w:t xml:space="preserve">at the end is the weightage multiplier for </w:t>
      </w:r>
      <w:r w:rsidR="00CF7D2C" w:rsidRPr="00CF7D2C">
        <w:rPr>
          <w:color w:val="ED7D31" w:themeColor="accent2"/>
        </w:rPr>
        <w:t>orange</w:t>
      </w:r>
      <w:r>
        <w:t>.</w:t>
      </w:r>
    </w:p>
    <w:bookmarkEnd w:id="109"/>
    <w:p w14:paraId="3BBB3395" w14:textId="3AFE84B3" w:rsidR="004615D0" w:rsidRPr="00DE1A83" w:rsidRDefault="004615D0" w:rsidP="001A443B">
      <w:pPr>
        <w:rPr>
          <w:lang w:val="en-GB"/>
        </w:rPr>
      </w:pPr>
      <w:r>
        <w:t xml:space="preserve">The </w:t>
      </w:r>
      <w:r w:rsidR="00CF7D2C" w:rsidRPr="00CF7D2C">
        <w:rPr>
          <w:color w:val="FF0000"/>
        </w:rPr>
        <w:t>red</w:t>
      </w:r>
      <w:r>
        <w:t xml:space="preserve"> range needs to use a Min() logic as the requirement is a value above certain amount returns 0%. Using the memory latency, any value above 2% returns 0% already. </w:t>
      </w:r>
    </w:p>
    <w:p w14:paraId="17B6AEC0" w14:textId="77777777" w:rsidR="004615D0" w:rsidRDefault="004615D0" w:rsidP="001A443B">
      <w:pPr>
        <w:jc w:val="center"/>
      </w:pPr>
      <w:r w:rsidRPr="00DE1A83">
        <w:rPr>
          <w:noProof/>
        </w:rPr>
        <w:drawing>
          <wp:inline distT="0" distB="0" distL="0" distR="0" wp14:anchorId="474622A1" wp14:editId="68AB5FB7">
            <wp:extent cx="6645910" cy="1908810"/>
            <wp:effectExtent l="0" t="0" r="2540" b="0"/>
            <wp:docPr id="1525330284" name="Picture 1525330284"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84" name="Picture 1525330284" descr="Text&#10;&#10;Description automatically generated with medium confidence"/>
                    <pic:cNvPicPr/>
                  </pic:nvPicPr>
                  <pic:blipFill>
                    <a:blip r:embed="rId638"/>
                    <a:stretch>
                      <a:fillRect/>
                    </a:stretch>
                  </pic:blipFill>
                  <pic:spPr>
                    <a:xfrm>
                      <a:off x="0" y="0"/>
                      <a:ext cx="6645910" cy="1908810"/>
                    </a:xfrm>
                    <a:prstGeom prst="rect">
                      <a:avLst/>
                    </a:prstGeom>
                  </pic:spPr>
                </pic:pic>
              </a:graphicData>
            </a:graphic>
          </wp:inline>
        </w:drawing>
      </w:r>
    </w:p>
    <w:p w14:paraId="7C2EF0E1" w14:textId="6796EC03" w:rsidR="004414EA" w:rsidRPr="004414EA" w:rsidRDefault="004414EA" w:rsidP="001A443B">
      <w:pPr>
        <w:pStyle w:val="Heading6"/>
      </w:pPr>
      <w:r>
        <w:lastRenderedPageBreak/>
        <w:t>Metrics Keys</w:t>
      </w:r>
    </w:p>
    <w:tbl>
      <w:tblPr>
        <w:tblStyle w:val="PlainTable3"/>
        <w:tblW w:w="10466" w:type="dxa"/>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600" w:firstRow="0" w:lastRow="0" w:firstColumn="0" w:lastColumn="0" w:noHBand="1" w:noVBand="1"/>
      </w:tblPr>
      <w:tblGrid>
        <w:gridCol w:w="8222"/>
        <w:gridCol w:w="2244"/>
      </w:tblGrid>
      <w:tr w:rsidR="004414EA" w:rsidRPr="00DF3F7A" w14:paraId="467FE800" w14:textId="77777777" w:rsidTr="00281329">
        <w:trPr>
          <w:trHeight w:val="359"/>
        </w:trPr>
        <w:tc>
          <w:tcPr>
            <w:tcW w:w="8222" w:type="dxa"/>
            <w:shd w:val="clear" w:color="auto" w:fill="F2F2F2" w:themeFill="background1" w:themeFillShade="F2"/>
          </w:tcPr>
          <w:p w14:paraId="2FDBE94A" w14:textId="77777777" w:rsidR="004414EA" w:rsidRPr="00DF3F7A" w:rsidRDefault="004414EA" w:rsidP="00281329">
            <w:pPr>
              <w:pStyle w:val="Tableheading"/>
            </w:pPr>
            <w:r>
              <w:t>Metric Key</w:t>
            </w:r>
          </w:p>
        </w:tc>
        <w:tc>
          <w:tcPr>
            <w:tcW w:w="2244" w:type="dxa"/>
            <w:shd w:val="clear" w:color="auto" w:fill="F2F2F2" w:themeFill="background1" w:themeFillShade="F2"/>
          </w:tcPr>
          <w:p w14:paraId="229197F9" w14:textId="77777777" w:rsidR="004414EA" w:rsidRPr="00DF3F7A" w:rsidRDefault="004414EA" w:rsidP="00281329">
            <w:pPr>
              <w:pStyle w:val="Tableheading"/>
            </w:pPr>
            <w:r>
              <w:t>Remarks</w:t>
            </w:r>
          </w:p>
        </w:tc>
      </w:tr>
      <w:tr w:rsidR="004414EA" w:rsidRPr="00DF3F7A" w14:paraId="1EE636CE" w14:textId="77777777" w:rsidTr="00281329">
        <w:trPr>
          <w:trHeight w:val="359"/>
        </w:trPr>
        <w:tc>
          <w:tcPr>
            <w:tcW w:w="8222" w:type="dxa"/>
            <w:hideMark/>
          </w:tcPr>
          <w:p w14:paraId="33F418D9" w14:textId="77777777" w:rsidR="004414EA" w:rsidRPr="00DF3F7A" w:rsidRDefault="004414EA" w:rsidP="00281329">
            <w:pPr>
              <w:pStyle w:val="Tablecontent"/>
            </w:pPr>
            <w:r w:rsidRPr="00DF3F7A">
              <w:t>guest|20_sec_peak_cpu_queue / cpu|corecount_provisioned</w:t>
            </w:r>
          </w:p>
        </w:tc>
        <w:tc>
          <w:tcPr>
            <w:tcW w:w="2244" w:type="dxa"/>
          </w:tcPr>
          <w:p w14:paraId="366A164C" w14:textId="77777777" w:rsidR="004414EA" w:rsidRPr="00DF3F7A" w:rsidRDefault="004414EA" w:rsidP="00281329">
            <w:pPr>
              <w:pStyle w:val="Tablecontent"/>
            </w:pPr>
            <w:r>
              <w:t>Normalized to per vCPU</w:t>
            </w:r>
          </w:p>
        </w:tc>
      </w:tr>
      <w:tr w:rsidR="004414EA" w:rsidRPr="00DF3F7A" w14:paraId="666BD046" w14:textId="77777777" w:rsidTr="00281329">
        <w:trPr>
          <w:trHeight w:val="359"/>
        </w:trPr>
        <w:tc>
          <w:tcPr>
            <w:tcW w:w="8222" w:type="dxa"/>
            <w:hideMark/>
          </w:tcPr>
          <w:p w14:paraId="00D14479" w14:textId="77777777" w:rsidR="004414EA" w:rsidRPr="00DF3F7A" w:rsidRDefault="004414EA" w:rsidP="00281329">
            <w:pPr>
              <w:pStyle w:val="Tablecontent"/>
            </w:pPr>
            <w:r w:rsidRPr="00DF3F7A">
              <w:t xml:space="preserve">guest|20_sec_peak_disk_queue </w:t>
            </w:r>
          </w:p>
        </w:tc>
        <w:tc>
          <w:tcPr>
            <w:tcW w:w="2244" w:type="dxa"/>
          </w:tcPr>
          <w:p w14:paraId="773C7BF1" w14:textId="77777777" w:rsidR="004414EA" w:rsidRPr="00DF3F7A" w:rsidRDefault="004414EA" w:rsidP="00281329">
            <w:pPr>
              <w:pStyle w:val="Tablecontent"/>
            </w:pPr>
            <w:r>
              <w:t>Count of queue</w:t>
            </w:r>
          </w:p>
        </w:tc>
      </w:tr>
      <w:tr w:rsidR="004414EA" w:rsidRPr="00DF3F7A" w14:paraId="4EB07010" w14:textId="77777777" w:rsidTr="00281329">
        <w:trPr>
          <w:trHeight w:val="359"/>
        </w:trPr>
        <w:tc>
          <w:tcPr>
            <w:tcW w:w="8222" w:type="dxa"/>
            <w:hideMark/>
          </w:tcPr>
          <w:p w14:paraId="5121FF3F" w14:textId="77777777" w:rsidR="004414EA" w:rsidRPr="00DF3F7A" w:rsidRDefault="004414EA" w:rsidP="00281329">
            <w:pPr>
              <w:pStyle w:val="Tablecontent"/>
            </w:pPr>
            <w:r w:rsidRPr="00DF3F7A">
              <w:t>guest|mem.free_latest</w:t>
            </w:r>
          </w:p>
        </w:tc>
        <w:tc>
          <w:tcPr>
            <w:tcW w:w="2244" w:type="dxa"/>
          </w:tcPr>
          <w:p w14:paraId="2049EA5B" w14:textId="77777777" w:rsidR="004414EA" w:rsidRPr="00DF3F7A" w:rsidRDefault="004414EA" w:rsidP="00281329">
            <w:pPr>
              <w:pStyle w:val="Tablecontent"/>
            </w:pPr>
            <w:r>
              <w:t>In MB</w:t>
            </w:r>
          </w:p>
        </w:tc>
      </w:tr>
      <w:tr w:rsidR="004414EA" w:rsidRPr="00DF3F7A" w14:paraId="154F5DF3" w14:textId="77777777" w:rsidTr="00281329">
        <w:trPr>
          <w:trHeight w:val="359"/>
        </w:trPr>
        <w:tc>
          <w:tcPr>
            <w:tcW w:w="8222" w:type="dxa"/>
            <w:hideMark/>
          </w:tcPr>
          <w:p w14:paraId="61C7E8D5" w14:textId="77777777" w:rsidR="004414EA" w:rsidRPr="00DF3F7A" w:rsidRDefault="004414EA" w:rsidP="00281329">
            <w:pPr>
              <w:pStyle w:val="Tablecontent"/>
            </w:pPr>
            <w:r w:rsidRPr="00DF3F7A">
              <w:t xml:space="preserve">guest|page.outRate_latest </w:t>
            </w:r>
          </w:p>
        </w:tc>
        <w:tc>
          <w:tcPr>
            <w:tcW w:w="2244" w:type="dxa"/>
          </w:tcPr>
          <w:p w14:paraId="4D3C171C" w14:textId="77777777" w:rsidR="004414EA" w:rsidRPr="00DF3F7A" w:rsidRDefault="004414EA" w:rsidP="00281329">
            <w:pPr>
              <w:pStyle w:val="Tablecontent"/>
            </w:pPr>
            <w:r>
              <w:t>In pages/second</w:t>
            </w:r>
          </w:p>
        </w:tc>
      </w:tr>
      <w:tr w:rsidR="004414EA" w:rsidRPr="00DF3F7A" w14:paraId="459BAE20" w14:textId="77777777" w:rsidTr="00281329">
        <w:trPr>
          <w:trHeight w:val="359"/>
        </w:trPr>
        <w:tc>
          <w:tcPr>
            <w:tcW w:w="8222" w:type="dxa"/>
            <w:hideMark/>
          </w:tcPr>
          <w:p w14:paraId="20D3DF6A" w14:textId="77777777" w:rsidR="004414EA" w:rsidRPr="00DF3F7A" w:rsidRDefault="004414EA" w:rsidP="00281329">
            <w:pPr>
              <w:pStyle w:val="Tablecontent"/>
            </w:pPr>
            <w:r w:rsidRPr="00DF3F7A">
              <w:t>cpu|20_sec_peak_costopPct</w:t>
            </w:r>
          </w:p>
        </w:tc>
        <w:tc>
          <w:tcPr>
            <w:tcW w:w="2244" w:type="dxa"/>
          </w:tcPr>
          <w:p w14:paraId="7B2E9875" w14:textId="77777777" w:rsidR="004414EA" w:rsidRPr="00DF3F7A" w:rsidRDefault="004414EA" w:rsidP="00281329">
            <w:pPr>
              <w:pStyle w:val="Tablecontent"/>
            </w:pPr>
            <w:r>
              <w:t>In %</w:t>
            </w:r>
          </w:p>
        </w:tc>
      </w:tr>
      <w:tr w:rsidR="004414EA" w:rsidRPr="00DF3F7A" w14:paraId="6E4D1EBD" w14:textId="77777777" w:rsidTr="00281329">
        <w:trPr>
          <w:trHeight w:val="359"/>
        </w:trPr>
        <w:tc>
          <w:tcPr>
            <w:tcW w:w="8222" w:type="dxa"/>
            <w:hideMark/>
          </w:tcPr>
          <w:p w14:paraId="0073D194" w14:textId="77777777" w:rsidR="004414EA" w:rsidRPr="00DF3F7A" w:rsidRDefault="004414EA" w:rsidP="00281329">
            <w:pPr>
              <w:pStyle w:val="Tablecontent"/>
            </w:pPr>
            <w:r w:rsidRPr="00DF3F7A">
              <w:t>cpu|20_sec_peak_readyPct</w:t>
            </w:r>
          </w:p>
        </w:tc>
        <w:tc>
          <w:tcPr>
            <w:tcW w:w="2244" w:type="dxa"/>
          </w:tcPr>
          <w:p w14:paraId="763BC6F8" w14:textId="77777777" w:rsidR="004414EA" w:rsidRPr="00DF3F7A" w:rsidRDefault="004414EA" w:rsidP="00281329">
            <w:pPr>
              <w:pStyle w:val="Tablecontent"/>
            </w:pPr>
            <w:r>
              <w:t>In %</w:t>
            </w:r>
          </w:p>
        </w:tc>
      </w:tr>
      <w:tr w:rsidR="004414EA" w:rsidRPr="00DF3F7A" w14:paraId="2F960372" w14:textId="77777777" w:rsidTr="00281329">
        <w:trPr>
          <w:trHeight w:val="359"/>
        </w:trPr>
        <w:tc>
          <w:tcPr>
            <w:tcW w:w="8222" w:type="dxa"/>
            <w:hideMark/>
          </w:tcPr>
          <w:p w14:paraId="1FA12DC6" w14:textId="77777777" w:rsidR="004414EA" w:rsidRPr="00DF3F7A" w:rsidRDefault="004414EA" w:rsidP="00281329">
            <w:pPr>
              <w:pStyle w:val="Tablecontent"/>
            </w:pPr>
            <w:r w:rsidRPr="00DF3F7A">
              <w:t>cpu|20_sec_peak_iowaitPct</w:t>
            </w:r>
          </w:p>
        </w:tc>
        <w:tc>
          <w:tcPr>
            <w:tcW w:w="2244" w:type="dxa"/>
          </w:tcPr>
          <w:p w14:paraId="0565DB2D" w14:textId="77777777" w:rsidR="004414EA" w:rsidRPr="00DF3F7A" w:rsidRDefault="004414EA" w:rsidP="00281329">
            <w:pPr>
              <w:pStyle w:val="Tablecontent"/>
            </w:pPr>
            <w:r>
              <w:t>In %</w:t>
            </w:r>
          </w:p>
        </w:tc>
      </w:tr>
      <w:tr w:rsidR="004414EA" w:rsidRPr="00DF3F7A" w14:paraId="7A180ED1" w14:textId="77777777" w:rsidTr="00281329">
        <w:trPr>
          <w:trHeight w:val="359"/>
        </w:trPr>
        <w:tc>
          <w:tcPr>
            <w:tcW w:w="8222" w:type="dxa"/>
            <w:hideMark/>
          </w:tcPr>
          <w:p w14:paraId="290F0BCD" w14:textId="77777777" w:rsidR="004414EA" w:rsidRPr="00DF3F7A" w:rsidRDefault="004414EA" w:rsidP="00281329">
            <w:pPr>
              <w:pStyle w:val="Tablecontent"/>
            </w:pPr>
            <w:r w:rsidRPr="00DF3F7A">
              <w:t>cpu|20_sec_peak_overlap_summation / cpu|corecount_provisioned</w:t>
            </w:r>
          </w:p>
        </w:tc>
        <w:tc>
          <w:tcPr>
            <w:tcW w:w="2244" w:type="dxa"/>
          </w:tcPr>
          <w:p w14:paraId="414473B7" w14:textId="77777777" w:rsidR="004414EA" w:rsidRPr="00DF3F7A" w:rsidRDefault="004414EA" w:rsidP="00281329">
            <w:pPr>
              <w:pStyle w:val="Tablecontent"/>
            </w:pPr>
            <w:r>
              <w:t>Normalized to per vCPU</w:t>
            </w:r>
          </w:p>
        </w:tc>
      </w:tr>
      <w:tr w:rsidR="004414EA" w:rsidRPr="00DF3F7A" w14:paraId="179F9200" w14:textId="77777777" w:rsidTr="00281329">
        <w:trPr>
          <w:trHeight w:val="359"/>
        </w:trPr>
        <w:tc>
          <w:tcPr>
            <w:tcW w:w="8222" w:type="dxa"/>
            <w:hideMark/>
          </w:tcPr>
          <w:p w14:paraId="07FD51E1" w14:textId="77777777" w:rsidR="004414EA" w:rsidRPr="00DF3F7A" w:rsidRDefault="004414EA" w:rsidP="00281329">
            <w:pPr>
              <w:pStyle w:val="Tablecontent"/>
            </w:pPr>
            <w:r w:rsidRPr="00DF3F7A">
              <w:t xml:space="preserve">mem|20_sec_peak_host_contentionPct </w:t>
            </w:r>
          </w:p>
        </w:tc>
        <w:tc>
          <w:tcPr>
            <w:tcW w:w="2244" w:type="dxa"/>
          </w:tcPr>
          <w:p w14:paraId="1C3AD239" w14:textId="77777777" w:rsidR="004414EA" w:rsidRPr="00DF3F7A" w:rsidRDefault="004414EA" w:rsidP="00281329">
            <w:pPr>
              <w:pStyle w:val="Tablecontent"/>
            </w:pPr>
            <w:r>
              <w:t>In %</w:t>
            </w:r>
          </w:p>
        </w:tc>
      </w:tr>
      <w:tr w:rsidR="004414EA" w:rsidRPr="00DF3F7A" w14:paraId="1179A715" w14:textId="77777777" w:rsidTr="00281329">
        <w:trPr>
          <w:trHeight w:val="359"/>
        </w:trPr>
        <w:tc>
          <w:tcPr>
            <w:tcW w:w="8222" w:type="dxa"/>
            <w:hideMark/>
          </w:tcPr>
          <w:p w14:paraId="5FB0D3CE" w14:textId="77777777" w:rsidR="004414EA" w:rsidRPr="00DF3F7A" w:rsidRDefault="004414EA" w:rsidP="00281329">
            <w:pPr>
              <w:pStyle w:val="Tablecontent"/>
            </w:pPr>
            <w:r w:rsidRPr="00DF3F7A">
              <w:t xml:space="preserve">virtualDisk|20_sec_peak_totalLatency_average </w:t>
            </w:r>
          </w:p>
        </w:tc>
        <w:tc>
          <w:tcPr>
            <w:tcW w:w="2244" w:type="dxa"/>
          </w:tcPr>
          <w:p w14:paraId="1DBA5C75" w14:textId="77777777" w:rsidR="004414EA" w:rsidRPr="00DF3F7A" w:rsidRDefault="004414EA" w:rsidP="00281329">
            <w:pPr>
              <w:pStyle w:val="Tablecontent"/>
            </w:pPr>
            <w:r>
              <w:t>In ms</w:t>
            </w:r>
          </w:p>
        </w:tc>
      </w:tr>
      <w:tr w:rsidR="004414EA" w:rsidRPr="00DF3F7A" w14:paraId="4916D912" w14:textId="77777777" w:rsidTr="00281329">
        <w:trPr>
          <w:trHeight w:val="359"/>
        </w:trPr>
        <w:tc>
          <w:tcPr>
            <w:tcW w:w="8222" w:type="dxa"/>
            <w:hideMark/>
          </w:tcPr>
          <w:p w14:paraId="030B9B69" w14:textId="77777777" w:rsidR="004414EA" w:rsidRPr="00DF3F7A" w:rsidRDefault="004414EA" w:rsidP="00281329">
            <w:pPr>
              <w:pStyle w:val="Tablecontent"/>
            </w:pPr>
            <w:r w:rsidRPr="00DF3F7A">
              <w:t>virtualDisk|vDiskOIO</w:t>
            </w:r>
          </w:p>
        </w:tc>
        <w:tc>
          <w:tcPr>
            <w:tcW w:w="2244" w:type="dxa"/>
          </w:tcPr>
          <w:p w14:paraId="6F55C942" w14:textId="77777777" w:rsidR="004414EA" w:rsidRPr="00DF3F7A" w:rsidRDefault="004414EA" w:rsidP="00281329">
            <w:pPr>
              <w:pStyle w:val="Tablecontent"/>
            </w:pPr>
            <w:r>
              <w:t>Count of OIO</w:t>
            </w:r>
          </w:p>
        </w:tc>
      </w:tr>
      <w:tr w:rsidR="004414EA" w:rsidRPr="00DF3F7A" w14:paraId="6A55C43A" w14:textId="77777777" w:rsidTr="00281329">
        <w:trPr>
          <w:trHeight w:val="359"/>
        </w:trPr>
        <w:tc>
          <w:tcPr>
            <w:tcW w:w="8222" w:type="dxa"/>
            <w:hideMark/>
          </w:tcPr>
          <w:p w14:paraId="0C926E45" w14:textId="77777777" w:rsidR="004414EA" w:rsidRPr="00DF3F7A" w:rsidRDefault="004414EA" w:rsidP="00281329">
            <w:pPr>
              <w:pStyle w:val="Tablecontent"/>
            </w:pPr>
            <w:r w:rsidRPr="00DF3F7A">
              <w:t>Network|Total Transmitted Packets Dropped / Network|Total Packets Transmitted * 100</w:t>
            </w:r>
          </w:p>
        </w:tc>
        <w:tc>
          <w:tcPr>
            <w:tcW w:w="2244" w:type="dxa"/>
          </w:tcPr>
          <w:p w14:paraId="689D01AA" w14:textId="77777777" w:rsidR="004414EA" w:rsidRPr="00DF3F7A" w:rsidRDefault="004414EA" w:rsidP="00281329">
            <w:pPr>
              <w:pStyle w:val="Tablecontent"/>
            </w:pPr>
            <w:r>
              <w:t>In %</w:t>
            </w:r>
          </w:p>
        </w:tc>
      </w:tr>
      <w:tr w:rsidR="004414EA" w:rsidRPr="00DF3F7A" w14:paraId="76064BC9" w14:textId="77777777" w:rsidTr="00281329">
        <w:trPr>
          <w:trHeight w:val="359"/>
        </w:trPr>
        <w:tc>
          <w:tcPr>
            <w:tcW w:w="8222" w:type="dxa"/>
            <w:hideMark/>
          </w:tcPr>
          <w:p w14:paraId="7755CD5E" w14:textId="77777777" w:rsidR="004414EA" w:rsidRPr="00DF3F7A" w:rsidRDefault="004414EA" w:rsidP="00281329">
            <w:pPr>
              <w:pStyle w:val="Tablecontent"/>
            </w:pPr>
            <w:r w:rsidRPr="00DF3F7A">
              <w:t>(CPU|Run (ms) - CPU|Overlap (ms) ) / cpu|corecount_provisioned / 200</w:t>
            </w:r>
          </w:p>
        </w:tc>
        <w:tc>
          <w:tcPr>
            <w:tcW w:w="2244" w:type="dxa"/>
          </w:tcPr>
          <w:p w14:paraId="31B4895C" w14:textId="77777777" w:rsidR="004414EA" w:rsidRPr="00DF3F7A" w:rsidRDefault="004414EA" w:rsidP="00281329">
            <w:pPr>
              <w:pStyle w:val="Tablecontent"/>
            </w:pPr>
            <w:r>
              <w:t xml:space="preserve">Normalized to per vCPU and in % </w:t>
            </w:r>
          </w:p>
        </w:tc>
      </w:tr>
      <w:tr w:rsidR="004414EA" w:rsidRPr="00DF3F7A" w14:paraId="53B94F99" w14:textId="77777777" w:rsidTr="00281329">
        <w:trPr>
          <w:trHeight w:val="359"/>
        </w:trPr>
        <w:tc>
          <w:tcPr>
            <w:tcW w:w="8222" w:type="dxa"/>
            <w:hideMark/>
          </w:tcPr>
          <w:p w14:paraId="6A965527" w14:textId="77777777" w:rsidR="004414EA" w:rsidRPr="00DF3F7A" w:rsidRDefault="004414EA" w:rsidP="00281329">
            <w:pPr>
              <w:pStyle w:val="Tablecontent"/>
            </w:pPr>
            <w:r w:rsidRPr="00DF3F7A">
              <w:t xml:space="preserve">mem|balloonPct </w:t>
            </w:r>
          </w:p>
        </w:tc>
        <w:tc>
          <w:tcPr>
            <w:tcW w:w="2244" w:type="dxa"/>
          </w:tcPr>
          <w:p w14:paraId="244DB22E" w14:textId="77777777" w:rsidR="004414EA" w:rsidRPr="00DF3F7A" w:rsidRDefault="004414EA" w:rsidP="00281329">
            <w:pPr>
              <w:pStyle w:val="Tablecontent"/>
            </w:pPr>
            <w:r>
              <w:t>In %</w:t>
            </w:r>
          </w:p>
        </w:tc>
      </w:tr>
      <w:tr w:rsidR="004414EA" w:rsidRPr="00DF3F7A" w14:paraId="506D1AD5" w14:textId="77777777" w:rsidTr="00281329">
        <w:trPr>
          <w:trHeight w:val="359"/>
        </w:trPr>
        <w:tc>
          <w:tcPr>
            <w:tcW w:w="8222" w:type="dxa"/>
            <w:hideMark/>
          </w:tcPr>
          <w:p w14:paraId="072F85F7" w14:textId="77777777" w:rsidR="004414EA" w:rsidRPr="00DF3F7A" w:rsidRDefault="004414EA" w:rsidP="00281329">
            <w:pPr>
              <w:pStyle w:val="Tablecontent"/>
            </w:pPr>
            <w:r w:rsidRPr="00DF3F7A">
              <w:t>(Memory|Swapped (KB) + Memory|Compressed (KB) ) / Memory|Consumed (KB) * 100</w:t>
            </w:r>
          </w:p>
        </w:tc>
        <w:tc>
          <w:tcPr>
            <w:tcW w:w="2244" w:type="dxa"/>
          </w:tcPr>
          <w:p w14:paraId="4532FEFD" w14:textId="77777777" w:rsidR="004414EA" w:rsidRPr="00DF3F7A" w:rsidRDefault="004414EA" w:rsidP="00281329">
            <w:pPr>
              <w:pStyle w:val="Tablecontent"/>
            </w:pPr>
            <w:r>
              <w:t>In %</w:t>
            </w:r>
          </w:p>
        </w:tc>
      </w:tr>
    </w:tbl>
    <w:p w14:paraId="1B4D5A22" w14:textId="77777777" w:rsidR="001A443B" w:rsidRDefault="001A443B" w:rsidP="001A443B">
      <w:pPr>
        <w:pStyle w:val="Heading4"/>
      </w:pPr>
      <w:r>
        <w:t>Latency Sensitivity</w:t>
      </w:r>
    </w:p>
    <w:p w14:paraId="01878660" w14:textId="77777777" w:rsidR="001A443B" w:rsidRPr="001304C7" w:rsidRDefault="001A443B" w:rsidP="001A443B">
      <w:pPr>
        <w:rPr>
          <w:lang w:val="en-GB"/>
        </w:rPr>
      </w:pPr>
      <w:r>
        <w:rPr>
          <w:lang w:val="en-GB"/>
        </w:rPr>
        <w:t>You can reduce the latency and jitter caused by virtualization by essentially “</w:t>
      </w:r>
      <w:r w:rsidRPr="00046FE6">
        <w:rPr>
          <w:color w:val="00B0F0"/>
          <w:lang w:val="en-GB"/>
        </w:rPr>
        <w:t>reserving</w:t>
      </w:r>
      <w:r>
        <w:rPr>
          <w:lang w:val="en-GB"/>
        </w:rPr>
        <w:t xml:space="preserve">” the physical resource to a VM. In the vSphere Client UI, edit VM settings, and go to </w:t>
      </w:r>
      <w:r w:rsidRPr="00871FC7">
        <w:rPr>
          <w:color w:val="00B0F0"/>
          <w:lang w:val="en-GB"/>
        </w:rPr>
        <w:t xml:space="preserve">VM Options </w:t>
      </w:r>
      <w:r>
        <w:rPr>
          <w:lang w:val="en-GB"/>
        </w:rPr>
        <w:t xml:space="preserve">tab. </w:t>
      </w:r>
    </w:p>
    <w:p w14:paraId="473AB0F2" w14:textId="77777777" w:rsidR="001A443B" w:rsidRDefault="001A443B" w:rsidP="001A443B">
      <w:pPr>
        <w:rPr>
          <w:lang w:val="en-GB"/>
        </w:rPr>
      </w:pPr>
      <w:r w:rsidRPr="001304C7">
        <w:rPr>
          <w:noProof/>
          <w:lang w:val="en-GB"/>
        </w:rPr>
        <w:drawing>
          <wp:inline distT="0" distB="0" distL="0" distR="0" wp14:anchorId="78ABFF23" wp14:editId="7967CDC2">
            <wp:extent cx="6645910" cy="1413510"/>
            <wp:effectExtent l="0" t="0" r="2540" b="0"/>
            <wp:docPr id="357815373" name="Picture 35781537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73" name="Picture 357815373" descr="Graphical user interface, text, application, email&#10;&#10;Description automatically generated"/>
                    <pic:cNvPicPr/>
                  </pic:nvPicPr>
                  <pic:blipFill>
                    <a:blip r:embed="rId639"/>
                    <a:stretch>
                      <a:fillRect/>
                    </a:stretch>
                  </pic:blipFill>
                  <pic:spPr>
                    <a:xfrm>
                      <a:off x="0" y="0"/>
                      <a:ext cx="6645910" cy="1413510"/>
                    </a:xfrm>
                    <a:prstGeom prst="rect">
                      <a:avLst/>
                    </a:prstGeom>
                  </pic:spPr>
                </pic:pic>
              </a:graphicData>
            </a:graphic>
          </wp:inline>
        </w:drawing>
      </w:r>
    </w:p>
    <w:p w14:paraId="31A303DD" w14:textId="77777777" w:rsidR="001A443B" w:rsidRDefault="001A443B" w:rsidP="001A443B">
      <w:pPr>
        <w:rPr>
          <w:lang w:val="en-GB"/>
        </w:rPr>
      </w:pPr>
      <w:r>
        <w:rPr>
          <w:lang w:val="en-GB"/>
        </w:rPr>
        <w:t>Scroll down until you see this option.</w:t>
      </w:r>
    </w:p>
    <w:p w14:paraId="55D81352" w14:textId="77777777" w:rsidR="001A443B" w:rsidRDefault="001A443B" w:rsidP="001A443B">
      <w:pPr>
        <w:rPr>
          <w:lang w:val="en-GB"/>
        </w:rPr>
      </w:pPr>
      <w:r w:rsidRPr="001304C7">
        <w:rPr>
          <w:noProof/>
          <w:lang w:val="en-GB"/>
        </w:rPr>
        <w:lastRenderedPageBreak/>
        <w:drawing>
          <wp:inline distT="0" distB="0" distL="0" distR="0" wp14:anchorId="1E4D88FC" wp14:editId="1F8CE89E">
            <wp:extent cx="6645910" cy="1380490"/>
            <wp:effectExtent l="0" t="0" r="2540" b="0"/>
            <wp:docPr id="910169588" name="Picture 910169588"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88" name="Picture 910169588" descr="Graphical user interface, application&#10;&#10;Description automatically generated"/>
                    <pic:cNvPicPr/>
                  </pic:nvPicPr>
                  <pic:blipFill>
                    <a:blip r:embed="rId640"/>
                    <a:stretch>
                      <a:fillRect/>
                    </a:stretch>
                  </pic:blipFill>
                  <pic:spPr>
                    <a:xfrm>
                      <a:off x="0" y="0"/>
                      <a:ext cx="6645910" cy="1380490"/>
                    </a:xfrm>
                    <a:prstGeom prst="rect">
                      <a:avLst/>
                    </a:prstGeom>
                  </pic:spPr>
                </pic:pic>
              </a:graphicData>
            </a:graphic>
          </wp:inline>
        </w:drawing>
      </w:r>
    </w:p>
    <w:p w14:paraId="5D6A090E" w14:textId="77777777" w:rsidR="001A443B" w:rsidRDefault="001A443B" w:rsidP="001A443B">
      <w:pPr>
        <w:rPr>
          <w:lang w:val="en-GB"/>
        </w:rPr>
      </w:pPr>
      <w:r>
        <w:rPr>
          <w:lang w:val="en-GB"/>
        </w:rPr>
        <w:t>What happens to the metrics when you set Latency Sensitivity = High?</w:t>
      </w:r>
    </w:p>
    <w:p w14:paraId="47EA36E0" w14:textId="77777777" w:rsidR="001A443B" w:rsidRDefault="001A443B" w:rsidP="001A443B">
      <w:pPr>
        <w:pStyle w:val="Heading5"/>
      </w:pPr>
      <w:r>
        <w:t>CPU Impact</w:t>
      </w:r>
    </w:p>
    <w:p w14:paraId="7F481294" w14:textId="77777777" w:rsidR="001A443B" w:rsidRDefault="001A443B" w:rsidP="001A443B">
      <w:pPr>
        <w:rPr>
          <w:lang w:val="en-GB"/>
        </w:rPr>
      </w:pPr>
      <w:r>
        <w:rPr>
          <w:lang w:val="en-GB"/>
        </w:rPr>
        <w:t>The CPU “</w:t>
      </w:r>
      <w:r w:rsidRPr="00046FE6">
        <w:rPr>
          <w:color w:val="00B0F0"/>
          <w:lang w:val="en-GB"/>
        </w:rPr>
        <w:t>pipeline</w:t>
      </w:r>
      <w:r>
        <w:rPr>
          <w:lang w:val="en-GB"/>
        </w:rPr>
        <w:t xml:space="preserve">” has to be made available. In a sense, the CPU is </w:t>
      </w:r>
      <w:r w:rsidRPr="00871FC7">
        <w:rPr>
          <w:lang w:val="en-GB"/>
        </w:rPr>
        <w:t>scheduled 100% of the time</w:t>
      </w:r>
      <w:r>
        <w:rPr>
          <w:lang w:val="en-GB"/>
        </w:rPr>
        <w:t xml:space="preserve">. This </w:t>
      </w:r>
      <w:r w:rsidRPr="00871FC7">
        <w:rPr>
          <w:lang w:val="en-GB"/>
        </w:rPr>
        <w:t>prevent</w:t>
      </w:r>
      <w:r>
        <w:rPr>
          <w:lang w:val="en-GB"/>
        </w:rPr>
        <w:t>s</w:t>
      </w:r>
      <w:r w:rsidRPr="00871FC7">
        <w:rPr>
          <w:lang w:val="en-GB"/>
        </w:rPr>
        <w:t xml:space="preserve"> any wakeup </w:t>
      </w:r>
      <w:r>
        <w:rPr>
          <w:lang w:val="en-GB"/>
        </w:rPr>
        <w:t>or</w:t>
      </w:r>
      <w:r w:rsidRPr="00871FC7">
        <w:rPr>
          <w:lang w:val="en-GB"/>
        </w:rPr>
        <w:t xml:space="preserve"> scheduling latencies that result of having to schedule a vCPU when it wakes up in the first place. </w:t>
      </w:r>
      <w:r>
        <w:rPr>
          <w:lang w:val="en-GB"/>
        </w:rPr>
        <w:t>Yes, t</w:t>
      </w:r>
      <w:r w:rsidRPr="00871FC7">
        <w:rPr>
          <w:lang w:val="en-GB"/>
        </w:rPr>
        <w:t>he exclusive bit of exclusive affinity is literal</w:t>
      </w:r>
      <w:r>
        <w:rPr>
          <w:lang w:val="en-GB"/>
        </w:rPr>
        <w:t xml:space="preserve">. </w:t>
      </w:r>
    </w:p>
    <w:p w14:paraId="0AFDA47D" w14:textId="77777777" w:rsidR="001A443B" w:rsidRDefault="001A443B" w:rsidP="001A443B">
      <w:pPr>
        <w:rPr>
          <w:lang w:val="en-GB"/>
        </w:rPr>
      </w:pPr>
      <w:r>
        <w:rPr>
          <w:lang w:val="en-GB"/>
        </w:rPr>
        <w:t>Let’s see what it looks like in esxtop. I’ve removed unnecessary information so it’s easier to see. What do you notice?</w:t>
      </w:r>
    </w:p>
    <w:p w14:paraId="3F9C1877" w14:textId="77777777" w:rsidR="001A443B" w:rsidRPr="007A265F" w:rsidRDefault="001A443B" w:rsidP="001A443B">
      <w:pPr>
        <w:pStyle w:val="Code"/>
      </w:pPr>
      <w:r w:rsidRPr="007A265F">
        <w:t xml:space="preserve">     GID NAME                             %USED    %RUN    %SYS   %WAIT  %IDLE </w:t>
      </w:r>
    </w:p>
    <w:p w14:paraId="62636AE4" w14:textId="77777777" w:rsidR="001A443B" w:rsidRPr="007A265F" w:rsidRDefault="001A443B" w:rsidP="001A443B">
      <w:pPr>
        <w:pStyle w:val="Code"/>
      </w:pPr>
      <w:r w:rsidRPr="007A265F">
        <w:t xml:space="preserve">  153670 vmx                               0.03    0.03    0.00  100.00   0.00 </w:t>
      </w:r>
    </w:p>
    <w:p w14:paraId="1B08889E" w14:textId="77777777" w:rsidR="001A443B" w:rsidRPr="007A265F" w:rsidRDefault="001A443B" w:rsidP="001A443B">
      <w:pPr>
        <w:pStyle w:val="Code"/>
      </w:pPr>
      <w:r w:rsidRPr="007A265F">
        <w:t xml:space="preserve">  153670 NetWorld-VM-2127520               0.00    0.00    0.00  100.00   0.00 </w:t>
      </w:r>
    </w:p>
    <w:p w14:paraId="316DDC6F" w14:textId="77777777" w:rsidR="001A443B" w:rsidRPr="007A265F" w:rsidRDefault="001A443B" w:rsidP="001A443B">
      <w:pPr>
        <w:pStyle w:val="Code"/>
      </w:pPr>
      <w:r w:rsidRPr="007A265F">
        <w:t xml:space="preserve">  153670 NUMASchedRemapEpochInitialize     0.00    0.00    0.00  100.00   0.00 </w:t>
      </w:r>
    </w:p>
    <w:p w14:paraId="5EAE494B" w14:textId="77777777" w:rsidR="001A443B" w:rsidRPr="007A265F" w:rsidRDefault="001A443B" w:rsidP="001A443B">
      <w:pPr>
        <w:pStyle w:val="Code"/>
      </w:pPr>
      <w:r w:rsidRPr="007A265F">
        <w:t xml:space="preserve">  153670 vmast.2127520                     0.00    0.00    0.00  100.00   0.00 </w:t>
      </w:r>
    </w:p>
    <w:p w14:paraId="5F3E9A36" w14:textId="77777777" w:rsidR="001A443B" w:rsidRPr="007A265F" w:rsidRDefault="001A443B" w:rsidP="001A443B">
      <w:pPr>
        <w:pStyle w:val="Code"/>
      </w:pPr>
      <w:r w:rsidRPr="007A265F">
        <w:t xml:space="preserve">  153670 vmx-vthread-212                   0.00    0.00    0.00  100.00   0.00 </w:t>
      </w:r>
    </w:p>
    <w:p w14:paraId="7FAEECE5" w14:textId="77777777" w:rsidR="001A443B" w:rsidRPr="007A265F" w:rsidRDefault="001A443B" w:rsidP="001A443B">
      <w:pPr>
        <w:pStyle w:val="Code"/>
      </w:pPr>
      <w:r w:rsidRPr="007A265F">
        <w:t xml:space="preserve">  153670 vmx-filtPoll:WindowsTest          0.00    0.00    0.00  100.00   0.00 </w:t>
      </w:r>
    </w:p>
    <w:p w14:paraId="74C300E1" w14:textId="77777777" w:rsidR="001A443B" w:rsidRPr="007A265F" w:rsidRDefault="001A443B" w:rsidP="001A443B">
      <w:pPr>
        <w:pStyle w:val="Code"/>
      </w:pPr>
      <w:r w:rsidRPr="007A265F">
        <w:t xml:space="preserve">  153670 vmx-mks:WindowsTest               0.00    0.00    0.00  100.00   0.00 </w:t>
      </w:r>
    </w:p>
    <w:p w14:paraId="7805A2F5" w14:textId="77777777" w:rsidR="001A443B" w:rsidRPr="007A265F" w:rsidRDefault="001A443B" w:rsidP="001A443B">
      <w:pPr>
        <w:pStyle w:val="Code"/>
      </w:pPr>
      <w:r w:rsidRPr="007A265F">
        <w:t xml:space="preserve">  153670 vmx-svga:WindowsTest              0.00    0.00    0.00  100.00   0.00 </w:t>
      </w:r>
    </w:p>
    <w:p w14:paraId="0B498E83" w14:textId="77777777" w:rsidR="001A443B" w:rsidRPr="007A265F" w:rsidRDefault="001A443B" w:rsidP="001A443B">
      <w:pPr>
        <w:pStyle w:val="Code"/>
      </w:pPr>
      <w:r w:rsidRPr="007A265F">
        <w:t xml:space="preserve">  153670 vmx-vcpu-0:WindowsTest           </w:t>
      </w:r>
      <w:r w:rsidRPr="00F24C06">
        <w:rPr>
          <w:highlight w:val="yellow"/>
        </w:rPr>
        <w:t xml:space="preserve"> 0.31</w:t>
      </w:r>
      <w:r w:rsidRPr="007A265F">
        <w:t xml:space="preserve">  </w:t>
      </w:r>
      <w:r w:rsidRPr="00F24C06">
        <w:rPr>
          <w:highlight w:val="yellow"/>
        </w:rPr>
        <w:t>100.21</w:t>
      </w:r>
      <w:r w:rsidRPr="007A265F">
        <w:t xml:space="preserve">    0.00    </w:t>
      </w:r>
      <w:r w:rsidRPr="00F24C06">
        <w:rPr>
          <w:highlight w:val="yellow"/>
        </w:rPr>
        <w:t>0.00</w:t>
      </w:r>
      <w:r w:rsidRPr="007A265F">
        <w:t xml:space="preserve">   0.00 </w:t>
      </w:r>
    </w:p>
    <w:p w14:paraId="1FECF4A9" w14:textId="77777777" w:rsidR="001A443B" w:rsidRPr="007A265F" w:rsidRDefault="001A443B" w:rsidP="001A443B">
      <w:pPr>
        <w:pStyle w:val="Code"/>
      </w:pPr>
      <w:r w:rsidRPr="007A265F">
        <w:t xml:space="preserve">  153670 vmx-vcpu-1:WindowsTest           </w:t>
      </w:r>
      <w:r w:rsidRPr="00F24C06">
        <w:rPr>
          <w:highlight w:val="yellow"/>
        </w:rPr>
        <w:t xml:space="preserve"> 0.16</w:t>
      </w:r>
      <w:r w:rsidRPr="007A265F">
        <w:t xml:space="preserve">  </w:t>
      </w:r>
      <w:r w:rsidRPr="00F24C06">
        <w:rPr>
          <w:highlight w:val="yellow"/>
        </w:rPr>
        <w:t>100.21</w:t>
      </w:r>
      <w:r w:rsidRPr="007A265F">
        <w:t xml:space="preserve">    0.00   </w:t>
      </w:r>
      <w:r w:rsidRPr="00F24C06">
        <w:rPr>
          <w:highlight w:val="yellow"/>
        </w:rPr>
        <w:t xml:space="preserve"> 0.00</w:t>
      </w:r>
      <w:r w:rsidRPr="007A265F">
        <w:t xml:space="preserve">   0.00 </w:t>
      </w:r>
    </w:p>
    <w:p w14:paraId="6072AC4B" w14:textId="77777777" w:rsidR="001A443B" w:rsidRPr="007A265F" w:rsidRDefault="001A443B" w:rsidP="001A443B">
      <w:pPr>
        <w:pStyle w:val="Code"/>
      </w:pPr>
      <w:r w:rsidRPr="007A265F">
        <w:t xml:space="preserve">  153670 vmx-vcpu-2:WindowsTest           </w:t>
      </w:r>
      <w:r w:rsidRPr="00F24C06">
        <w:rPr>
          <w:highlight w:val="yellow"/>
        </w:rPr>
        <w:t xml:space="preserve"> 0.15</w:t>
      </w:r>
      <w:r w:rsidRPr="007A265F">
        <w:t xml:space="preserve">  </w:t>
      </w:r>
      <w:r w:rsidRPr="00F24C06">
        <w:rPr>
          <w:highlight w:val="yellow"/>
        </w:rPr>
        <w:t>100.21</w:t>
      </w:r>
      <w:r w:rsidRPr="007A265F">
        <w:t xml:space="preserve">    0.00   </w:t>
      </w:r>
      <w:r w:rsidRPr="00F24C06">
        <w:rPr>
          <w:highlight w:val="yellow"/>
        </w:rPr>
        <w:t xml:space="preserve"> 0.00</w:t>
      </w:r>
      <w:r w:rsidRPr="007A265F">
        <w:t xml:space="preserve">   0.00 </w:t>
      </w:r>
    </w:p>
    <w:p w14:paraId="2A489C3A" w14:textId="77777777" w:rsidR="001A443B" w:rsidRPr="007A265F" w:rsidRDefault="001A443B" w:rsidP="001A443B">
      <w:pPr>
        <w:pStyle w:val="Code"/>
      </w:pPr>
      <w:r w:rsidRPr="007A265F">
        <w:t xml:space="preserve">  153670 vmx-vcpu-3:WindowsTest           </w:t>
      </w:r>
      <w:r w:rsidRPr="00F24C06">
        <w:rPr>
          <w:highlight w:val="yellow"/>
        </w:rPr>
        <w:t xml:space="preserve"> 0.15</w:t>
      </w:r>
      <w:r w:rsidRPr="007A265F">
        <w:t xml:space="preserve">  </w:t>
      </w:r>
      <w:r w:rsidRPr="00F24C06">
        <w:rPr>
          <w:highlight w:val="yellow"/>
        </w:rPr>
        <w:t>100.21</w:t>
      </w:r>
      <w:r w:rsidRPr="007A265F">
        <w:t xml:space="preserve">    0.00   </w:t>
      </w:r>
      <w:r w:rsidRPr="00F24C06">
        <w:rPr>
          <w:highlight w:val="yellow"/>
        </w:rPr>
        <w:t xml:space="preserve"> 0.00</w:t>
      </w:r>
      <w:r w:rsidRPr="007A265F">
        <w:t xml:space="preserve">   0.00 </w:t>
      </w:r>
    </w:p>
    <w:p w14:paraId="3E9E34E3" w14:textId="77777777" w:rsidR="001A443B" w:rsidRPr="007A265F" w:rsidRDefault="001A443B" w:rsidP="001A443B">
      <w:pPr>
        <w:pStyle w:val="Code"/>
      </w:pPr>
      <w:r w:rsidRPr="007A265F">
        <w:t xml:space="preserve">  153670 LSI-2127520:0                     0.00    0.00    0.00  100.00   0.00 </w:t>
      </w:r>
    </w:p>
    <w:p w14:paraId="565FBDCF" w14:textId="77777777" w:rsidR="001A443B" w:rsidRPr="007A265F" w:rsidRDefault="001A443B" w:rsidP="001A443B">
      <w:pPr>
        <w:pStyle w:val="Code"/>
      </w:pPr>
      <w:r w:rsidRPr="007A265F">
        <w:t xml:space="preserve">  153670 vmx-vthread-212:WindowsTest       0.00    0.00    0.00  100.00   0.00 </w:t>
      </w:r>
    </w:p>
    <w:p w14:paraId="320183C5" w14:textId="77777777" w:rsidR="001A443B" w:rsidRPr="00F24C06" w:rsidRDefault="001A443B" w:rsidP="001A443B">
      <w:r>
        <w:t xml:space="preserve">We can see </w:t>
      </w:r>
      <w:r w:rsidRPr="00046FE6">
        <w:rPr>
          <w:color w:val="00B0F0"/>
        </w:rPr>
        <w:t xml:space="preserve">Run </w:t>
      </w:r>
      <w:r>
        <w:t xml:space="preserve">shot up to 100%. This means </w:t>
      </w:r>
      <w:r w:rsidRPr="00046FE6">
        <w:rPr>
          <w:color w:val="00B0F0"/>
        </w:rPr>
        <w:t xml:space="preserve">Wait </w:t>
      </w:r>
      <w:r>
        <w:t>has to go down to 0%.</w:t>
      </w:r>
    </w:p>
    <w:p w14:paraId="7F28E0AC" w14:textId="77777777" w:rsidR="001A443B" w:rsidRDefault="001A443B" w:rsidP="001A443B">
      <w:pPr>
        <w:rPr>
          <w:lang w:val="en-GB"/>
        </w:rPr>
      </w:pPr>
      <w:r>
        <w:rPr>
          <w:lang w:val="en-GB"/>
        </w:rPr>
        <w:t>Strangely, Used remains low, so we can expect that Usage remains low too. This means the formula that connect Run and Used do not apply in this extreme scenario. You’re basically cutting a physical core to the VM.</w:t>
      </w:r>
    </w:p>
    <w:p w14:paraId="5E402AF5" w14:textId="77777777" w:rsidR="001A443B" w:rsidRDefault="001A443B" w:rsidP="001A443B">
      <w:pPr>
        <w:rPr>
          <w:lang w:val="en-GB"/>
        </w:rPr>
      </w:pPr>
      <w:r>
        <w:rPr>
          <w:lang w:val="en-GB"/>
        </w:rPr>
        <w:t>But what about Demand?</w:t>
      </w:r>
    </w:p>
    <w:p w14:paraId="5EBCD83C" w14:textId="77777777" w:rsidR="001A443B" w:rsidRDefault="001A443B" w:rsidP="001A443B">
      <w:pPr>
        <w:rPr>
          <w:lang w:val="en-GB"/>
        </w:rPr>
      </w:pPr>
      <w:r>
        <w:rPr>
          <w:lang w:val="en-GB"/>
        </w:rPr>
        <w:t xml:space="preserve">Demand shot up to 100% flat out. </w:t>
      </w:r>
    </w:p>
    <w:p w14:paraId="0DC070D5" w14:textId="77777777" w:rsidR="001A443B" w:rsidRDefault="001A443B" w:rsidP="001A443B">
      <w:pPr>
        <w:rPr>
          <w:lang w:val="en-GB"/>
        </w:rPr>
      </w:pPr>
      <w:r w:rsidRPr="00740C5F">
        <w:rPr>
          <w:noProof/>
          <w:lang w:val="en-GB"/>
        </w:rPr>
        <w:lastRenderedPageBreak/>
        <w:drawing>
          <wp:inline distT="0" distB="0" distL="0" distR="0" wp14:anchorId="7BC4AA4B" wp14:editId="42C60897">
            <wp:extent cx="6645910" cy="4112895"/>
            <wp:effectExtent l="0" t="0" r="2540" b="1905"/>
            <wp:docPr id="1027" name="Picture 102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1027" descr="Chart&#10;&#10;Description automatically generated"/>
                    <pic:cNvPicPr/>
                  </pic:nvPicPr>
                  <pic:blipFill>
                    <a:blip r:embed="rId641"/>
                    <a:stretch>
                      <a:fillRect/>
                    </a:stretch>
                  </pic:blipFill>
                  <pic:spPr>
                    <a:xfrm>
                      <a:off x="0" y="0"/>
                      <a:ext cx="6645910" cy="4112895"/>
                    </a:xfrm>
                    <a:prstGeom prst="rect">
                      <a:avLst/>
                    </a:prstGeom>
                  </pic:spPr>
                </pic:pic>
              </a:graphicData>
            </a:graphic>
          </wp:inline>
        </w:drawing>
      </w:r>
    </w:p>
    <w:p w14:paraId="2AB55899" w14:textId="77777777" w:rsidR="001A443B" w:rsidRDefault="001A443B" w:rsidP="001A443B">
      <w:pPr>
        <w:rPr>
          <w:lang w:val="en-GB"/>
        </w:rPr>
      </w:pPr>
      <w:r>
        <w:rPr>
          <w:lang w:val="en-GB"/>
        </w:rPr>
        <w:t xml:space="preserve">So you have an interesting situation here. Demand is 100%, Usage is 0%, yet Contention is 0%. </w:t>
      </w:r>
    </w:p>
    <w:p w14:paraId="0A14A86C" w14:textId="77777777" w:rsidR="001A443B" w:rsidRDefault="001A443B" w:rsidP="001A443B">
      <w:pPr>
        <w:rPr>
          <w:lang w:val="en-GB"/>
        </w:rPr>
      </w:pPr>
      <w:r>
        <w:rPr>
          <w:lang w:val="en-GB"/>
        </w:rPr>
        <w:t>Now let’s plot what happened to Wait and Idle. Notice both went from 100% to 0%.</w:t>
      </w:r>
    </w:p>
    <w:p w14:paraId="558DEB9C" w14:textId="77777777" w:rsidR="001A443B" w:rsidRDefault="001A443B" w:rsidP="001A443B">
      <w:pPr>
        <w:rPr>
          <w:lang w:val="en-GB"/>
        </w:rPr>
      </w:pPr>
      <w:r w:rsidRPr="00F24C06">
        <w:rPr>
          <w:noProof/>
          <w:lang w:val="en-GB"/>
        </w:rPr>
        <w:lastRenderedPageBreak/>
        <w:drawing>
          <wp:inline distT="0" distB="0" distL="0" distR="0" wp14:anchorId="424460BF" wp14:editId="54405BB3">
            <wp:extent cx="6645910" cy="4611370"/>
            <wp:effectExtent l="0" t="0" r="2540" b="0"/>
            <wp:docPr id="1025" name="Picture 1025"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Picture 1025" descr="Graphical user interface, chart&#10;&#10;Description automatically generated"/>
                    <pic:cNvPicPr/>
                  </pic:nvPicPr>
                  <pic:blipFill>
                    <a:blip r:embed="rId642"/>
                    <a:stretch>
                      <a:fillRect/>
                    </a:stretch>
                  </pic:blipFill>
                  <pic:spPr>
                    <a:xfrm>
                      <a:off x="0" y="0"/>
                      <a:ext cx="6645910" cy="4611370"/>
                    </a:xfrm>
                    <a:prstGeom prst="rect">
                      <a:avLst/>
                    </a:prstGeom>
                  </pic:spPr>
                </pic:pic>
              </a:graphicData>
            </a:graphic>
          </wp:inline>
        </w:drawing>
      </w:r>
    </w:p>
    <w:p w14:paraId="4094983D" w14:textId="77777777" w:rsidR="001A443B" w:rsidRDefault="001A443B" w:rsidP="001A443B">
      <w:pPr>
        <w:rPr>
          <w:lang w:val="en-GB"/>
        </w:rPr>
      </w:pPr>
      <w:r>
        <w:rPr>
          <w:lang w:val="en-GB"/>
        </w:rPr>
        <w:t>So if you combine Run, Demand, Wait and Usage metrics, you can see basically Run and Demand shot up to 100% as Wait drops to 0%, while Usage is oblivious to the change.</w:t>
      </w:r>
    </w:p>
    <w:p w14:paraId="1FA12A76" w14:textId="77777777" w:rsidR="001A443B" w:rsidRDefault="001A443B" w:rsidP="001A443B">
      <w:pPr>
        <w:rPr>
          <w:lang w:val="en-GB"/>
        </w:rPr>
      </w:pPr>
      <w:r w:rsidRPr="00740C5F">
        <w:rPr>
          <w:noProof/>
          <w:lang w:val="en-GB"/>
        </w:rPr>
        <w:lastRenderedPageBreak/>
        <w:drawing>
          <wp:inline distT="0" distB="0" distL="0" distR="0" wp14:anchorId="440AB379" wp14:editId="699413CD">
            <wp:extent cx="6645910" cy="5770245"/>
            <wp:effectExtent l="0" t="0" r="2540" b="1905"/>
            <wp:docPr id="1029" name="Picture 102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Picture 1029" descr="Chart&#10;&#10;Description automatically generated"/>
                    <pic:cNvPicPr/>
                  </pic:nvPicPr>
                  <pic:blipFill>
                    <a:blip r:embed="rId643"/>
                    <a:stretch>
                      <a:fillRect/>
                    </a:stretch>
                  </pic:blipFill>
                  <pic:spPr>
                    <a:xfrm>
                      <a:off x="0" y="0"/>
                      <a:ext cx="6645910" cy="5770245"/>
                    </a:xfrm>
                    <a:prstGeom prst="rect">
                      <a:avLst/>
                    </a:prstGeom>
                  </pic:spPr>
                </pic:pic>
              </a:graphicData>
            </a:graphic>
          </wp:inline>
        </w:drawing>
      </w:r>
    </w:p>
    <w:p w14:paraId="04E6C398" w14:textId="77777777" w:rsidR="001A443B" w:rsidRDefault="001A443B" w:rsidP="001A443B">
      <w:pPr>
        <w:rPr>
          <w:lang w:val="en-GB"/>
        </w:rPr>
      </w:pPr>
      <w:r>
        <w:rPr>
          <w:lang w:val="en-GB"/>
        </w:rPr>
        <w:t xml:space="preserve">Just for documentation purpose, System and Ready are obviously not affected. </w:t>
      </w:r>
    </w:p>
    <w:p w14:paraId="23EA3FB7" w14:textId="77777777" w:rsidR="001A443B" w:rsidRDefault="001A443B" w:rsidP="001A443B">
      <w:pPr>
        <w:jc w:val="center"/>
        <w:rPr>
          <w:lang w:val="en-GB"/>
        </w:rPr>
      </w:pPr>
      <w:r w:rsidRPr="001304C7">
        <w:rPr>
          <w:noProof/>
          <w:lang w:val="en-GB"/>
        </w:rPr>
        <w:drawing>
          <wp:inline distT="0" distB="0" distL="0" distR="0" wp14:anchorId="70C8A06C" wp14:editId="5BBF403A">
            <wp:extent cx="5540400" cy="1479600"/>
            <wp:effectExtent l="0" t="0" r="3175" b="6350"/>
            <wp:docPr id="910169592" name="Picture 91016959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92" name="Picture 910169592" descr="Table&#10;&#10;Description automatically generated"/>
                    <pic:cNvPicPr/>
                  </pic:nvPicPr>
                  <pic:blipFill>
                    <a:blip r:embed="rId644"/>
                    <a:stretch>
                      <a:fillRect/>
                    </a:stretch>
                  </pic:blipFill>
                  <pic:spPr>
                    <a:xfrm>
                      <a:off x="0" y="0"/>
                      <a:ext cx="5540400" cy="1479600"/>
                    </a:xfrm>
                    <a:prstGeom prst="rect">
                      <a:avLst/>
                    </a:prstGeom>
                  </pic:spPr>
                </pic:pic>
              </a:graphicData>
            </a:graphic>
          </wp:inline>
        </w:drawing>
      </w:r>
    </w:p>
    <w:p w14:paraId="6C9B0A5F" w14:textId="77777777" w:rsidR="001A443B" w:rsidRDefault="001A443B" w:rsidP="001A443B">
      <w:pPr>
        <w:pStyle w:val="Heading5"/>
      </w:pPr>
      <w:r>
        <w:lastRenderedPageBreak/>
        <w:t>Memory Impact</w:t>
      </w:r>
    </w:p>
    <w:p w14:paraId="12E9D5E0" w14:textId="77777777" w:rsidR="001A443B" w:rsidRDefault="001A443B" w:rsidP="001A443B">
      <w:pPr>
        <w:rPr>
          <w:lang w:val="en-GB"/>
        </w:rPr>
      </w:pPr>
      <w:r>
        <w:rPr>
          <w:lang w:val="en-GB"/>
        </w:rPr>
        <w:t>Memory is fundamentally storage. So I do not expect any of the counters to go up. They will go up when the VM actually needs them.</w:t>
      </w:r>
    </w:p>
    <w:p w14:paraId="2FBEB37D" w14:textId="77777777" w:rsidR="001A443B" w:rsidRDefault="001A443B" w:rsidP="001A443B">
      <w:pPr>
        <w:rPr>
          <w:lang w:val="en-GB"/>
        </w:rPr>
      </w:pPr>
      <w:r w:rsidRPr="00871FC7">
        <w:rPr>
          <w:noProof/>
          <w:lang w:val="en-GB"/>
        </w:rPr>
        <w:drawing>
          <wp:inline distT="0" distB="0" distL="0" distR="0" wp14:anchorId="530FC79D" wp14:editId="1F69A402">
            <wp:extent cx="6645910" cy="2880360"/>
            <wp:effectExtent l="0" t="0" r="2540" b="0"/>
            <wp:docPr id="1024" name="Picture 1024"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 name="Picture 1024" descr="Graphical user interface, application, table&#10;&#10;Description automatically generated"/>
                    <pic:cNvPicPr/>
                  </pic:nvPicPr>
                  <pic:blipFill>
                    <a:blip r:embed="rId645"/>
                    <a:stretch>
                      <a:fillRect/>
                    </a:stretch>
                  </pic:blipFill>
                  <pic:spPr>
                    <a:xfrm>
                      <a:off x="0" y="0"/>
                      <a:ext cx="6645910" cy="2880360"/>
                    </a:xfrm>
                    <a:prstGeom prst="rect">
                      <a:avLst/>
                    </a:prstGeom>
                  </pic:spPr>
                </pic:pic>
              </a:graphicData>
            </a:graphic>
          </wp:inline>
        </w:drawing>
      </w:r>
    </w:p>
    <w:p w14:paraId="41F89654" w14:textId="77777777" w:rsidR="001A443B" w:rsidRDefault="001A443B" w:rsidP="001A443B">
      <w:pPr>
        <w:rPr>
          <w:lang w:val="en-GB"/>
        </w:rPr>
      </w:pPr>
      <w:r>
        <w:rPr>
          <w:lang w:val="en-GB"/>
        </w:rPr>
        <w:t xml:space="preserve">The above VM has 4 GB of RAM, fully reserved. But since it’s basically idle, there is no change on the counter. </w:t>
      </w:r>
    </w:p>
    <w:p w14:paraId="0913CE4C" w14:textId="0B13A3B5" w:rsidR="009E69E8" w:rsidRDefault="009E69E8" w:rsidP="007D48E7">
      <w:pPr>
        <w:pStyle w:val="Heading3"/>
      </w:pPr>
      <w:r>
        <w:t>Capacity</w:t>
      </w:r>
    </w:p>
    <w:p w14:paraId="56C3AAE7" w14:textId="77777777" w:rsidR="009E69E8" w:rsidRPr="00C17739" w:rsidRDefault="009E69E8" w:rsidP="009E69E8">
      <w:pPr>
        <w:pStyle w:val="Heading4"/>
      </w:pPr>
      <w:r>
        <w:t>2 Sides of the Formula</w:t>
      </w:r>
    </w:p>
    <w:p w14:paraId="2B805063" w14:textId="77777777" w:rsidR="009E69E8" w:rsidRDefault="009E69E8" w:rsidP="009E69E8">
      <w:pPr>
        <w:rPr>
          <w:lang w:eastAsia="en-SG"/>
        </w:rPr>
      </w:pPr>
      <w:r w:rsidRPr="70F05EAA">
        <w:rPr>
          <w:lang w:eastAsia="en-SG"/>
        </w:rPr>
        <w:t xml:space="preserve">VM right-sizing is a commonly misunderstood term because there are actually multiple use cases, with each use case having their own factors to consider. </w:t>
      </w:r>
      <w:r>
        <w:rPr>
          <w:lang w:eastAsia="en-SG"/>
        </w:rPr>
        <w:t>What does this mean?</w:t>
      </w:r>
    </w:p>
    <w:p w14:paraId="7498B217" w14:textId="77777777" w:rsidR="009E69E8" w:rsidRDefault="009E69E8" w:rsidP="009E69E8">
      <w:pPr>
        <w:rPr>
          <w:lang w:eastAsia="en-SG"/>
        </w:rPr>
      </w:pPr>
      <w:r w:rsidRPr="70F05EAA">
        <w:rPr>
          <w:lang w:eastAsia="en-SG"/>
        </w:rPr>
        <w:t xml:space="preserve">Different scenarios require different metrics. It is not a one size fits all, hence there are </w:t>
      </w:r>
      <w:r>
        <w:rPr>
          <w:lang w:eastAsia="en-SG"/>
        </w:rPr>
        <w:t>more than one</w:t>
      </w:r>
      <w:r w:rsidRPr="70F05EAA">
        <w:rPr>
          <w:lang w:eastAsia="en-SG"/>
        </w:rPr>
        <w:t xml:space="preserve"> formula. </w:t>
      </w:r>
    </w:p>
    <w:p w14:paraId="20F50B2D" w14:textId="77777777" w:rsidR="009E69E8" w:rsidRPr="00C17739" w:rsidRDefault="009E69E8" w:rsidP="009E69E8">
      <w:pPr>
        <w:rPr>
          <w:lang w:eastAsia="en-SG"/>
        </w:rPr>
      </w:pPr>
      <w:r w:rsidRPr="70F05EAA">
        <w:rPr>
          <w:lang w:eastAsia="en-SG"/>
        </w:rPr>
        <w:t>Here are some popular use cases:</w:t>
      </w:r>
    </w:p>
    <w:p w14:paraId="73BA89B2" w14:textId="77777777" w:rsidR="009E69E8" w:rsidRPr="00C17739" w:rsidRDefault="009E69E8" w:rsidP="009E69E8">
      <w:pPr>
        <w:pStyle w:val="Bullet"/>
        <w:rPr>
          <w:lang w:eastAsia="en-SG"/>
        </w:rPr>
      </w:pPr>
      <w:r w:rsidRPr="70F05EAA">
        <w:rPr>
          <w:lang w:eastAsia="en-SG"/>
        </w:rPr>
        <w:t xml:space="preserve">Your </w:t>
      </w:r>
      <w:r>
        <w:rPr>
          <w:lang w:eastAsia="en-SG"/>
        </w:rPr>
        <w:t>Application</w:t>
      </w:r>
      <w:r w:rsidRPr="70F05EAA">
        <w:rPr>
          <w:lang w:eastAsia="en-SG"/>
        </w:rPr>
        <w:t xml:space="preserve"> Team asks for extra vCPU. In this case, the hypervisor overhead is irrelevant. When you size NSX edge vCPU, you do not need to add extra vCPU for the overhead. It’s done outside of Linux.</w:t>
      </w:r>
    </w:p>
    <w:p w14:paraId="56417563" w14:textId="77777777" w:rsidR="009E69E8" w:rsidRPr="00C17739" w:rsidRDefault="009E69E8" w:rsidP="009E69E8">
      <w:pPr>
        <w:pStyle w:val="Bullet"/>
        <w:rPr>
          <w:lang w:eastAsia="en-SG"/>
        </w:rPr>
      </w:pPr>
      <w:r>
        <w:rPr>
          <w:lang w:eastAsia="en-SG"/>
        </w:rPr>
        <w:lastRenderedPageBreak/>
        <w:t>You are</w:t>
      </w:r>
      <w:r w:rsidRPr="00C17739">
        <w:rPr>
          <w:lang w:eastAsia="en-SG"/>
        </w:rPr>
        <w:t xml:space="preserve"> migrating a VM to a new ESXi with CPUs that are 2x the speed. For example, from a 2 GHz ESXi to 4 GHz. All else being equal, you can cut down the VM size by 2. A 16 vCPU becomes 8. But </w:t>
      </w:r>
      <w:r>
        <w:rPr>
          <w:lang w:eastAsia="en-SG"/>
        </w:rPr>
        <w:t>you are</w:t>
      </w:r>
      <w:r w:rsidRPr="00C17739">
        <w:rPr>
          <w:lang w:eastAsia="en-SG"/>
        </w:rPr>
        <w:t xml:space="preserve"> worried about causing queue inside the Guest OS as the application may expect 16 slow threads vs 8 fast ones. </w:t>
      </w:r>
      <w:r>
        <w:rPr>
          <w:lang w:eastAsia="en-SG"/>
        </w:rPr>
        <w:t>In this case, you need to look inside.</w:t>
      </w:r>
    </w:p>
    <w:p w14:paraId="28413D65" w14:textId="77777777" w:rsidR="009E69E8" w:rsidRPr="00C17739" w:rsidRDefault="009E69E8" w:rsidP="009E69E8">
      <w:pPr>
        <w:pStyle w:val="Bullet"/>
        <w:rPr>
          <w:lang w:eastAsia="en-SG"/>
        </w:rPr>
      </w:pPr>
      <w:r w:rsidRPr="70F05EAA">
        <w:rPr>
          <w:lang w:eastAsia="en-SG"/>
        </w:rPr>
        <w:t xml:space="preserve">Your boss asks you to properly charge customers, accounting for what they are actually demanding. </w:t>
      </w:r>
      <w:r>
        <w:rPr>
          <w:lang w:eastAsia="en-SG"/>
        </w:rPr>
        <w:t xml:space="preserve">Let’s say you have 2 VM with identical size. However, one is idle and the other is running hot. </w:t>
      </w:r>
      <w:r w:rsidRPr="70F05EAA">
        <w:rPr>
          <w:lang w:eastAsia="en-SG"/>
        </w:rPr>
        <w:t xml:space="preserve">Would you charge the </w:t>
      </w:r>
      <w:r>
        <w:rPr>
          <w:lang w:eastAsia="en-SG"/>
        </w:rPr>
        <w:t>two</w:t>
      </w:r>
      <w:r w:rsidRPr="70F05EAA">
        <w:rPr>
          <w:lang w:eastAsia="en-SG"/>
        </w:rPr>
        <w:t xml:space="preserve"> VMs above the same way? You might for practical reasons, quietly distribute the cost equally</w:t>
      </w:r>
      <w:r>
        <w:rPr>
          <w:lang w:eastAsia="en-SG"/>
        </w:rPr>
        <w:t xml:space="preserve"> as it’s just impractical to consider real utilization.</w:t>
      </w:r>
    </w:p>
    <w:p w14:paraId="69DD0AC7" w14:textId="77777777" w:rsidR="009E69E8" w:rsidRPr="00C17739" w:rsidRDefault="009E69E8" w:rsidP="009E69E8">
      <w:pPr>
        <w:rPr>
          <w:lang w:eastAsia="en-SG"/>
        </w:rPr>
      </w:pPr>
      <w:r w:rsidRPr="00C17739">
        <w:rPr>
          <w:lang w:eastAsia="en-SG"/>
        </w:rPr>
        <w:t xml:space="preserve">From the above </w:t>
      </w:r>
      <w:r>
        <w:rPr>
          <w:lang w:eastAsia="en-SG"/>
        </w:rPr>
        <w:t>3</w:t>
      </w:r>
      <w:r w:rsidRPr="00C17739">
        <w:rPr>
          <w:lang w:eastAsia="en-SG"/>
        </w:rPr>
        <w:t xml:space="preserve"> use cases, we need at least </w:t>
      </w:r>
      <w:r>
        <w:rPr>
          <w:lang w:eastAsia="en-SG"/>
        </w:rPr>
        <w:t>two</w:t>
      </w:r>
      <w:r w:rsidRPr="00C17739">
        <w:rPr>
          <w:lang w:eastAsia="en-SG"/>
        </w:rPr>
        <w:t xml:space="preserve"> different formula</w:t>
      </w:r>
      <w:r>
        <w:rPr>
          <w:lang w:eastAsia="en-SG"/>
        </w:rPr>
        <w:t>s</w:t>
      </w:r>
      <w:r w:rsidRPr="00C17739">
        <w:rPr>
          <w:lang w:eastAsia="en-SG"/>
        </w:rPr>
        <w:t>:</w:t>
      </w:r>
    </w:p>
    <w:p w14:paraId="5FF3723F" w14:textId="77777777" w:rsidR="009E69E8" w:rsidRPr="00C17739" w:rsidRDefault="009E69E8" w:rsidP="009E69E8">
      <w:pPr>
        <w:pStyle w:val="Bullet"/>
        <w:rPr>
          <w:lang w:eastAsia="en-SG"/>
        </w:rPr>
      </w:pPr>
      <w:r w:rsidRPr="00870251">
        <w:rPr>
          <w:b/>
          <w:bCs/>
          <w:lang w:eastAsia="en-SG"/>
        </w:rPr>
        <w:t>Guest OS Sizing</w:t>
      </w:r>
      <w:r w:rsidRPr="00C17739">
        <w:rPr>
          <w:lang w:eastAsia="en-SG"/>
        </w:rPr>
        <w:t>. Excludes VM overhead, includes Guest OS Queue</w:t>
      </w:r>
      <w:r>
        <w:rPr>
          <w:lang w:eastAsia="en-SG"/>
        </w:rPr>
        <w:t xml:space="preserve">. </w:t>
      </w:r>
    </w:p>
    <w:p w14:paraId="1972C1B1" w14:textId="77777777" w:rsidR="009E69E8" w:rsidRDefault="009E69E8" w:rsidP="009E69E8">
      <w:pPr>
        <w:pStyle w:val="Bullet"/>
        <w:rPr>
          <w:lang w:eastAsia="en-SG"/>
        </w:rPr>
      </w:pPr>
      <w:r w:rsidRPr="00870251">
        <w:rPr>
          <w:b/>
          <w:bCs/>
          <w:lang w:eastAsia="en-SG"/>
        </w:rPr>
        <w:t>VM Sizing</w:t>
      </w:r>
      <w:r w:rsidRPr="00C17739">
        <w:rPr>
          <w:lang w:eastAsia="en-SG"/>
        </w:rPr>
        <w:t>. Includes VM overhead, excludes Guest OS Queue</w:t>
      </w:r>
      <w:r>
        <w:rPr>
          <w:lang w:eastAsia="en-SG"/>
        </w:rPr>
        <w:t xml:space="preserve">. </w:t>
      </w:r>
    </w:p>
    <w:p w14:paraId="627D5EDE" w14:textId="77777777" w:rsidR="009E69E8" w:rsidRDefault="009E69E8" w:rsidP="009E69E8">
      <w:pPr>
        <w:rPr>
          <w:lang w:eastAsia="en-SG"/>
        </w:rPr>
      </w:pPr>
      <w:r>
        <w:rPr>
          <w:lang w:eastAsia="en-SG"/>
        </w:rPr>
        <w:t>The VM sizing is used for calculating the footprint of the VM on the underlying infrastructure. It’s not to size the VM per se. In fact, I’d argue that there is no such thing VM sizing. For example, there is no such thing as virtual disk rightsizing. What you have is Guest OS Partitions sizing. You have Guest OS sizing and “Impact on Infra” sizing.</w:t>
      </w:r>
    </w:p>
    <w:p w14:paraId="7EAD53FE" w14:textId="77777777" w:rsidR="009E69E8" w:rsidRPr="00C17739" w:rsidRDefault="009E69E8" w:rsidP="009E69E8">
      <w:pPr>
        <w:rPr>
          <w:lang w:eastAsia="en-SG"/>
        </w:rPr>
      </w:pPr>
      <w:r>
        <w:rPr>
          <w:lang w:eastAsia="en-SG"/>
        </w:rPr>
        <w:t>We might argue that queue or unmet demand within the Guest OS should be included for VM sizing. Reason is when you increase the Guest OS size, that unmet demand will translate into real demand. My recommendation is not to include it, as it’s not something that is a fact yet.</w:t>
      </w:r>
    </w:p>
    <w:p w14:paraId="5A7C464F" w14:textId="77777777" w:rsidR="009E69E8" w:rsidRPr="00C17739" w:rsidRDefault="009E69E8" w:rsidP="009E69E8">
      <w:pPr>
        <w:pStyle w:val="BeforeTable"/>
      </w:pPr>
    </w:p>
    <w:tbl>
      <w:tblPr>
        <w:tblStyle w:val="GridTable1Light-Accent1"/>
        <w:tblW w:w="0" w:type="auto"/>
        <w:tblBorders>
          <w:top w:val="single" w:sz="4" w:space="0" w:color="D9D9D9" w:themeColor="background1" w:themeShade="D9"/>
          <w:left w:val="none" w:sz="0" w:space="0" w:color="auto"/>
          <w:bottom w:val="single" w:sz="4" w:space="0" w:color="BFBFBF" w:themeColor="background1" w:themeShade="BF"/>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587"/>
        <w:gridCol w:w="7869"/>
      </w:tblGrid>
      <w:tr w:rsidR="009E69E8" w:rsidRPr="00571E6C" w14:paraId="12CC1306" w14:textId="77777777" w:rsidTr="00132C6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87" w:type="dxa"/>
            <w:shd w:val="clear" w:color="auto" w:fill="F2F2F2" w:themeFill="background1" w:themeFillShade="F2"/>
          </w:tcPr>
          <w:p w14:paraId="6CA23B75" w14:textId="77777777" w:rsidR="009E69E8" w:rsidRPr="00B32B72" w:rsidRDefault="009E69E8" w:rsidP="00132C6E">
            <w:pPr>
              <w:pStyle w:val="Tableheading"/>
              <w:rPr>
                <w:b/>
                <w:bCs w:val="0"/>
              </w:rPr>
            </w:pPr>
            <w:bookmarkStart w:id="110" w:name="_Hlk16092506"/>
            <w:r w:rsidRPr="00B32B72">
              <w:rPr>
                <w:b/>
                <w:bCs w:val="0"/>
              </w:rPr>
              <w:t>Rule</w:t>
            </w:r>
          </w:p>
        </w:tc>
        <w:tc>
          <w:tcPr>
            <w:tcW w:w="7869" w:type="dxa"/>
          </w:tcPr>
          <w:p w14:paraId="26CFF3E3" w14:textId="77777777" w:rsidR="009E69E8" w:rsidRPr="00B32B72" w:rsidRDefault="009E69E8" w:rsidP="00132C6E">
            <w:pPr>
              <w:pStyle w:val="Tableheading"/>
              <w:cnfStyle w:val="100000000000" w:firstRow="1" w:lastRow="0" w:firstColumn="0" w:lastColumn="0" w:oddVBand="0" w:evenVBand="0" w:oddHBand="0" w:evenHBand="0" w:firstRowFirstColumn="0" w:firstRowLastColumn="0" w:lastRowFirstColumn="0" w:lastRowLastColumn="0"/>
              <w:rPr>
                <w:b/>
                <w:bCs w:val="0"/>
              </w:rPr>
            </w:pPr>
            <w:r w:rsidRPr="00B32B72">
              <w:rPr>
                <w:b/>
                <w:bCs w:val="0"/>
              </w:rPr>
              <w:t>Description</w:t>
            </w:r>
          </w:p>
        </w:tc>
      </w:tr>
      <w:tr w:rsidR="009E69E8" w:rsidRPr="00E51A31" w14:paraId="73DC74A5" w14:textId="77777777" w:rsidTr="00132C6E">
        <w:tc>
          <w:tcPr>
            <w:cnfStyle w:val="001000000000" w:firstRow="0" w:lastRow="0" w:firstColumn="1" w:lastColumn="0" w:oddVBand="0" w:evenVBand="0" w:oddHBand="0" w:evenHBand="0" w:firstRowFirstColumn="0" w:firstRowLastColumn="0" w:lastRowFirstColumn="0" w:lastRowLastColumn="0"/>
            <w:tcW w:w="2587" w:type="dxa"/>
            <w:shd w:val="clear" w:color="auto" w:fill="F2F2F2" w:themeFill="background1" w:themeFillShade="F2"/>
          </w:tcPr>
          <w:p w14:paraId="3A029290" w14:textId="77777777" w:rsidR="009E69E8" w:rsidRPr="00571E6C" w:rsidRDefault="009E69E8" w:rsidP="00132C6E">
            <w:pPr>
              <w:pStyle w:val="Tablecontent"/>
              <w:rPr>
                <w:b w:val="0"/>
                <w:bCs w:val="0"/>
              </w:rPr>
            </w:pPr>
            <w:r w:rsidRPr="00571E6C">
              <w:rPr>
                <w:b w:val="0"/>
                <w:bCs w:val="0"/>
              </w:rPr>
              <w:t>It’s not just utilization</w:t>
            </w:r>
          </w:p>
        </w:tc>
        <w:tc>
          <w:tcPr>
            <w:tcW w:w="7869" w:type="dxa"/>
          </w:tcPr>
          <w:p w14:paraId="0FBD7FCC" w14:textId="77777777" w:rsidR="009E69E8" w:rsidRPr="00976850" w:rsidRDefault="009E69E8" w:rsidP="00132C6E">
            <w:pPr>
              <w:pStyle w:val="Tablecontent"/>
              <w:cnfStyle w:val="000000000000" w:firstRow="0" w:lastRow="0" w:firstColumn="0" w:lastColumn="0" w:oddVBand="0" w:evenVBand="0" w:oddHBand="0" w:evenHBand="0" w:firstRowFirstColumn="0" w:firstRowLastColumn="0" w:lastRowFirstColumn="0" w:lastRowLastColumn="0"/>
            </w:pPr>
            <w:r w:rsidRPr="00976850">
              <w:t>It needs to consider unmet demand. CPU wants to run, but it cannot. Memory has lots of page fault in Guest OS memory.</w:t>
            </w:r>
          </w:p>
        </w:tc>
      </w:tr>
      <w:tr w:rsidR="009E69E8" w:rsidRPr="00E51A31" w14:paraId="6C8AC753" w14:textId="77777777" w:rsidTr="00132C6E">
        <w:tc>
          <w:tcPr>
            <w:cnfStyle w:val="001000000000" w:firstRow="0" w:lastRow="0" w:firstColumn="1" w:lastColumn="0" w:oddVBand="0" w:evenVBand="0" w:oddHBand="0" w:evenHBand="0" w:firstRowFirstColumn="0" w:firstRowLastColumn="0" w:lastRowFirstColumn="0" w:lastRowLastColumn="0"/>
            <w:tcW w:w="2587" w:type="dxa"/>
            <w:shd w:val="clear" w:color="auto" w:fill="F2F2F2" w:themeFill="background1" w:themeFillShade="F2"/>
          </w:tcPr>
          <w:p w14:paraId="6B73DF57" w14:textId="77777777" w:rsidR="009E69E8" w:rsidRPr="00571E6C" w:rsidRDefault="009E69E8" w:rsidP="00132C6E">
            <w:pPr>
              <w:pStyle w:val="Tablecontent"/>
              <w:rPr>
                <w:b w:val="0"/>
                <w:bCs w:val="0"/>
              </w:rPr>
            </w:pPr>
            <w:r w:rsidRPr="00571E6C">
              <w:rPr>
                <w:b w:val="0"/>
                <w:bCs w:val="0"/>
              </w:rPr>
              <w:t>It’s not just demand</w:t>
            </w:r>
          </w:p>
        </w:tc>
        <w:tc>
          <w:tcPr>
            <w:tcW w:w="7869" w:type="dxa"/>
          </w:tcPr>
          <w:p w14:paraId="574C011E" w14:textId="77777777" w:rsidR="009E69E8" w:rsidRPr="00976850" w:rsidRDefault="009E69E8" w:rsidP="00132C6E">
            <w:pPr>
              <w:pStyle w:val="Tablecontent"/>
              <w:cnfStyle w:val="000000000000" w:firstRow="0" w:lastRow="0" w:firstColumn="0" w:lastColumn="0" w:oddVBand="0" w:evenVBand="0" w:oddHBand="0" w:evenHBand="0" w:firstRowFirstColumn="0" w:firstRowLastColumn="0" w:lastRowFirstColumn="0" w:lastRowLastColumn="0"/>
            </w:pPr>
            <w:r w:rsidRPr="00976850">
              <w:t>Size base on what the Guest OS needs to perform well, not just base on what it demands at present. Applicable for RAM, where Guest OS can’t operate optimally without buffer.</w:t>
            </w:r>
          </w:p>
          <w:p w14:paraId="19D3C720" w14:textId="77777777" w:rsidR="009E69E8" w:rsidRPr="00976850" w:rsidRDefault="009E69E8" w:rsidP="00132C6E">
            <w:pPr>
              <w:cnfStyle w:val="000000000000" w:firstRow="0" w:lastRow="0" w:firstColumn="0" w:lastColumn="0" w:oddVBand="0" w:evenVBand="0" w:oddHBand="0" w:evenHBand="0" w:firstRowFirstColumn="0" w:firstRowLastColumn="0" w:lastRowFirstColumn="0" w:lastRowLastColumn="0"/>
            </w:pPr>
            <w:r w:rsidRPr="00976850">
              <w:t>In capacity, we size not just for demand, but also for performance. While we can satisfy the demand for memory with just the In Use, it might come at the expense of performance. The only thing faster than memory is CPU. So make sure CPU is not waiting for data. This is done by caching as much as possible, as it's hard to predict what pieces of data is required by the program.</w:t>
            </w:r>
          </w:p>
        </w:tc>
      </w:tr>
      <w:tr w:rsidR="009E69E8" w:rsidRPr="00E51A31" w14:paraId="3430C67A" w14:textId="77777777" w:rsidTr="00132C6E">
        <w:tc>
          <w:tcPr>
            <w:cnfStyle w:val="001000000000" w:firstRow="0" w:lastRow="0" w:firstColumn="1" w:lastColumn="0" w:oddVBand="0" w:evenVBand="0" w:oddHBand="0" w:evenHBand="0" w:firstRowFirstColumn="0" w:firstRowLastColumn="0" w:lastRowFirstColumn="0" w:lastRowLastColumn="0"/>
            <w:tcW w:w="2587" w:type="dxa"/>
            <w:shd w:val="clear" w:color="auto" w:fill="F2F2F2" w:themeFill="background1" w:themeFillShade="F2"/>
          </w:tcPr>
          <w:p w14:paraId="230DBDE8" w14:textId="77777777" w:rsidR="009E69E8" w:rsidRPr="00571E6C" w:rsidRDefault="009E69E8" w:rsidP="00132C6E">
            <w:pPr>
              <w:pStyle w:val="Tablecontent"/>
              <w:rPr>
                <w:b w:val="0"/>
                <w:bCs w:val="0"/>
              </w:rPr>
            </w:pPr>
            <w:r w:rsidRPr="00571E6C">
              <w:rPr>
                <w:b w:val="0"/>
                <w:bCs w:val="0"/>
              </w:rPr>
              <w:t>Includes peak</w:t>
            </w:r>
          </w:p>
        </w:tc>
        <w:tc>
          <w:tcPr>
            <w:tcW w:w="7869" w:type="dxa"/>
          </w:tcPr>
          <w:p w14:paraId="613B1F68" w14:textId="77777777" w:rsidR="009E69E8" w:rsidRPr="00976850" w:rsidRDefault="009E69E8" w:rsidP="00132C6E">
            <w:pPr>
              <w:pStyle w:val="Tablecontent"/>
              <w:cnfStyle w:val="000000000000" w:firstRow="0" w:lastRow="0" w:firstColumn="0" w:lastColumn="0" w:oddVBand="0" w:evenVBand="0" w:oddHBand="0" w:evenHBand="0" w:firstRowFirstColumn="0" w:firstRowLastColumn="0" w:lastRowFirstColumn="0" w:lastRowLastColumn="0"/>
            </w:pPr>
            <w:r w:rsidRPr="00976850">
              <w:t>Consider the busy or peak period, because that’s when the VM needs to work the most</w:t>
            </w:r>
          </w:p>
        </w:tc>
      </w:tr>
      <w:tr w:rsidR="009E69E8" w:rsidRPr="00E51A31" w14:paraId="7DB8F66F" w14:textId="77777777" w:rsidTr="00132C6E">
        <w:tc>
          <w:tcPr>
            <w:cnfStyle w:val="001000000000" w:firstRow="0" w:lastRow="0" w:firstColumn="1" w:lastColumn="0" w:oddVBand="0" w:evenVBand="0" w:oddHBand="0" w:evenHBand="0" w:firstRowFirstColumn="0" w:firstRowLastColumn="0" w:lastRowFirstColumn="0" w:lastRowLastColumn="0"/>
            <w:tcW w:w="2587" w:type="dxa"/>
            <w:shd w:val="clear" w:color="auto" w:fill="F2F2F2" w:themeFill="background1" w:themeFillShade="F2"/>
          </w:tcPr>
          <w:p w14:paraId="4E3B0D29" w14:textId="77777777" w:rsidR="009E69E8" w:rsidRPr="00571E6C" w:rsidRDefault="009E69E8" w:rsidP="00132C6E">
            <w:pPr>
              <w:pStyle w:val="Tablecontent"/>
              <w:rPr>
                <w:b w:val="0"/>
                <w:bCs w:val="0"/>
              </w:rPr>
            </w:pPr>
            <w:r w:rsidRPr="00571E6C">
              <w:rPr>
                <w:b w:val="0"/>
                <w:bCs w:val="0"/>
              </w:rPr>
              <w:t>Consider big picture</w:t>
            </w:r>
          </w:p>
        </w:tc>
        <w:tc>
          <w:tcPr>
            <w:tcW w:w="7869" w:type="dxa"/>
          </w:tcPr>
          <w:p w14:paraId="4A74CBBD" w14:textId="77777777" w:rsidR="009E69E8" w:rsidRPr="00976850" w:rsidRDefault="009E69E8" w:rsidP="00132C6E">
            <w:pPr>
              <w:pStyle w:val="Tablecontent"/>
              <w:cnfStyle w:val="000000000000" w:firstRow="0" w:lastRow="0" w:firstColumn="0" w:lastColumn="0" w:oddVBand="0" w:evenVBand="0" w:oddHBand="0" w:evenHBand="0" w:firstRowFirstColumn="0" w:firstRowLastColumn="0" w:lastRowFirstColumn="0" w:lastRowLastColumn="0"/>
            </w:pPr>
            <w:r>
              <w:t>A single 5-minute burst is too short a timeframe to determine the entire next 3 months. Consider long term pattern. This alone makes sizing an art, as you need to know the nature of the workload.</w:t>
            </w:r>
          </w:p>
        </w:tc>
      </w:tr>
      <w:tr w:rsidR="009E69E8" w:rsidRPr="00E51A31" w14:paraId="22C7E613" w14:textId="77777777" w:rsidTr="00132C6E">
        <w:tc>
          <w:tcPr>
            <w:cnfStyle w:val="001000000000" w:firstRow="0" w:lastRow="0" w:firstColumn="1" w:lastColumn="0" w:oddVBand="0" w:evenVBand="0" w:oddHBand="0" w:evenHBand="0" w:firstRowFirstColumn="0" w:firstRowLastColumn="0" w:lastRowFirstColumn="0" w:lastRowLastColumn="0"/>
            <w:tcW w:w="2587" w:type="dxa"/>
            <w:shd w:val="clear" w:color="auto" w:fill="F2F2F2" w:themeFill="background1" w:themeFillShade="F2"/>
          </w:tcPr>
          <w:p w14:paraId="3BD30C4A" w14:textId="77777777" w:rsidR="009E69E8" w:rsidRPr="00571E6C" w:rsidRDefault="009E69E8" w:rsidP="00132C6E">
            <w:pPr>
              <w:pStyle w:val="Tablecontent"/>
              <w:rPr>
                <w:b w:val="0"/>
                <w:bCs w:val="0"/>
              </w:rPr>
            </w:pPr>
            <w:r w:rsidRPr="00571E6C">
              <w:rPr>
                <w:b w:val="0"/>
                <w:bCs w:val="0"/>
              </w:rPr>
              <w:t>Excludes IT load</w:t>
            </w:r>
          </w:p>
        </w:tc>
        <w:tc>
          <w:tcPr>
            <w:tcW w:w="7869" w:type="dxa"/>
          </w:tcPr>
          <w:p w14:paraId="2A8B586A" w14:textId="77777777" w:rsidR="009E69E8" w:rsidRPr="00976850" w:rsidRDefault="009E69E8" w:rsidP="00132C6E">
            <w:pPr>
              <w:pStyle w:val="Tablecontent"/>
              <w:cnfStyle w:val="000000000000" w:firstRow="0" w:lastRow="0" w:firstColumn="0" w:lastColumn="0" w:oddVBand="0" w:evenVBand="0" w:oddHBand="0" w:evenHBand="0" w:firstRowFirstColumn="0" w:firstRowLastColumn="0" w:lastRowFirstColumn="0" w:lastRowLastColumn="0"/>
            </w:pPr>
            <w:r>
              <w:t>Exclude the time when the Guest OS is not doing business workload. There are a few IT workloads that cause high utilization. Common ones are Guest OS reboot, Guest OS updates, anti-virus full scanning, agent-base full back up. So long as these tasks don’t prevent the Guest OS from doing useful work, you can exclude them. The exception is when your VM needs to run at these non-business hours too. So it depends on the VM.</w:t>
            </w:r>
          </w:p>
          <w:p w14:paraId="3ECB92B4" w14:textId="77777777" w:rsidR="009E69E8" w:rsidRPr="00976850" w:rsidRDefault="009E69E8" w:rsidP="00132C6E">
            <w:pPr>
              <w:pStyle w:val="Tablecontent"/>
              <w:cnfStyle w:val="000000000000" w:firstRow="0" w:lastRow="0" w:firstColumn="0" w:lastColumn="0" w:oddVBand="0" w:evenVBand="0" w:oddHBand="0" w:evenHBand="0" w:firstRowFirstColumn="0" w:firstRowLastColumn="0" w:lastRowFirstColumn="0" w:lastRowLastColumn="0"/>
            </w:pPr>
            <w:r w:rsidRPr="00976850">
              <w:t>This is the hard part, as it requires awareness of the footprint (read: process name)</w:t>
            </w:r>
          </w:p>
        </w:tc>
      </w:tr>
    </w:tbl>
    <w:bookmarkEnd w:id="110"/>
    <w:p w14:paraId="69D222D8" w14:textId="77777777" w:rsidR="009E69E8" w:rsidRPr="00976850" w:rsidRDefault="009E69E8" w:rsidP="009E69E8">
      <w:r w:rsidRPr="00976850">
        <w:t xml:space="preserve">Sizing upwards and downwards should have identical formula. </w:t>
      </w:r>
    </w:p>
    <w:p w14:paraId="3D8F9E4C" w14:textId="77777777" w:rsidR="009E69E8" w:rsidRPr="00976850" w:rsidRDefault="009E69E8" w:rsidP="009E69E8">
      <w:pPr>
        <w:pStyle w:val="Bullet"/>
      </w:pPr>
      <w:r>
        <w:t>The only difference is they have different boundaries. The lower boundary applies to downsizing, and the upper boundary applies to upsizing.</w:t>
      </w:r>
    </w:p>
    <w:p w14:paraId="49B89DAE" w14:textId="77777777" w:rsidR="009E69E8" w:rsidRPr="00976850" w:rsidRDefault="009E69E8" w:rsidP="009E69E8">
      <w:pPr>
        <w:pStyle w:val="Bullet"/>
      </w:pPr>
      <w:r w:rsidRPr="00976850">
        <w:lastRenderedPageBreak/>
        <w:t xml:space="preserve">For downsizing, Guest OS needs a minimum amount of RAM to operate. </w:t>
      </w:r>
    </w:p>
    <w:p w14:paraId="4A85EE68" w14:textId="77777777" w:rsidR="009E69E8" w:rsidRPr="00976850" w:rsidRDefault="009E69E8" w:rsidP="009E69E8">
      <w:pPr>
        <w:pStyle w:val="Bullet"/>
      </w:pPr>
      <w:r>
        <w:t xml:space="preserve">For upsizing, consider the NUMA boundary. Also, a VM should not be larger than the total number of logical processors on the ESXi Host, else it won’t even boot. In fact, it should be smaller as you want to account for the VMkernel overhead. </w:t>
      </w:r>
    </w:p>
    <w:p w14:paraId="0F17EF97" w14:textId="77777777" w:rsidR="009E69E8" w:rsidRPr="00976850" w:rsidRDefault="009E69E8" w:rsidP="009E69E8">
      <w:r>
        <w:t xml:space="preserve">As you can see from above, sizing is complicated. And the above is just Guest OS. We have not considered other things that need sizing such as Containers and Business Applications. </w:t>
      </w:r>
    </w:p>
    <w:p w14:paraId="244F253C" w14:textId="77777777" w:rsidR="009E69E8" w:rsidRPr="00976850" w:rsidRDefault="009E69E8" w:rsidP="009E69E8">
      <w:r w:rsidRPr="00976850">
        <w:t xml:space="preserve">The art of sizing has 2 parts: time and metric. </w:t>
      </w:r>
    </w:p>
    <w:p w14:paraId="0B543D2D" w14:textId="77777777" w:rsidR="009E69E8" w:rsidRPr="00976850" w:rsidRDefault="009E69E8" w:rsidP="009E69E8">
      <w:pPr>
        <w:pStyle w:val="Bullet"/>
      </w:pPr>
      <w:r w:rsidRPr="00976850">
        <w:t xml:space="preserve">First, we calculate the value for a given point in time. </w:t>
      </w:r>
      <w:r>
        <w:t xml:space="preserve">The correctness of the input value matters, else you have </w:t>
      </w:r>
      <w:hyperlink r:id="rId646" w:history="1">
        <w:r w:rsidRPr="00F745D1">
          <w:rPr>
            <w:rStyle w:val="Hyperlink"/>
          </w:rPr>
          <w:t>GIGO</w:t>
        </w:r>
      </w:hyperlink>
      <w:r>
        <w:t xml:space="preserve"> effect.</w:t>
      </w:r>
    </w:p>
    <w:p w14:paraId="39BB9AAD" w14:textId="77777777" w:rsidR="009E69E8" w:rsidRPr="00976850" w:rsidRDefault="009E69E8" w:rsidP="009E69E8">
      <w:pPr>
        <w:pStyle w:val="Bullet"/>
      </w:pPr>
      <w:r w:rsidRPr="00976850">
        <w:t>Second, we plot thousands of these values over time, and project it over time. The projection has to consider the peak cycle, meaning it has to be geared towards conservative sizing. It also has to consider the business cycle. If you have annual sales, then consider annual data.</w:t>
      </w:r>
    </w:p>
    <w:p w14:paraId="6D29A295" w14:textId="77777777" w:rsidR="009E69E8" w:rsidRPr="00976850" w:rsidRDefault="009E69E8" w:rsidP="009E69E8">
      <w:r w:rsidRPr="00976850">
        <w:t xml:space="preserve">You’ll see below that CPU and RAM require different approach. </w:t>
      </w:r>
    </w:p>
    <w:p w14:paraId="35E87BD3" w14:textId="77777777" w:rsidR="009E69E8" w:rsidRPr="00976850" w:rsidRDefault="009E69E8" w:rsidP="009E69E8">
      <w:pPr>
        <w:pStyle w:val="Heading4"/>
      </w:pPr>
      <w:r w:rsidRPr="00976850">
        <w:t xml:space="preserve">Guest OS </w:t>
      </w:r>
      <w:r>
        <w:t xml:space="preserve">CPU </w:t>
      </w:r>
      <w:r w:rsidRPr="00976850">
        <w:t xml:space="preserve">Sizing </w:t>
      </w:r>
    </w:p>
    <w:p w14:paraId="32E3143C" w14:textId="77777777" w:rsidR="009E69E8" w:rsidRDefault="009E69E8" w:rsidP="009E69E8">
      <w:r w:rsidRPr="00976850">
        <w:t xml:space="preserve">You exclude all the VM overhead, as it’s not used by the Guest OS. For example, all the IO overhead performed by the </w:t>
      </w:r>
      <w:r>
        <w:t>h</w:t>
      </w:r>
      <w:r w:rsidRPr="00976850">
        <w:t>ypervisor should not be included when determining how much CPU Windows or Linux should be configured with. For disk sizing, the snapshot is not part of your VMDK sizing.</w:t>
      </w:r>
    </w:p>
    <w:p w14:paraId="4C8C1FAE" w14:textId="77777777" w:rsidR="009E69E8" w:rsidRPr="00882BDF" w:rsidRDefault="009E69E8" w:rsidP="009E69E8">
      <w:pPr>
        <w:pStyle w:val="BeforeTable"/>
      </w:pPr>
    </w:p>
    <w:tbl>
      <w:tblPr>
        <w:tblStyle w:val="GridTable1Light-Accent1"/>
        <w:tblW w:w="0" w:type="auto"/>
        <w:tblBorders>
          <w:top w:val="single" w:sz="4" w:space="0" w:color="D9D9D9" w:themeColor="background1" w:themeShade="D9"/>
          <w:left w:val="none" w:sz="0" w:space="0" w:color="auto"/>
          <w:bottom w:val="single" w:sz="4" w:space="0" w:color="BFBFBF" w:themeColor="background1" w:themeShade="BF"/>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689"/>
        <w:gridCol w:w="7767"/>
      </w:tblGrid>
      <w:tr w:rsidR="009E69E8" w:rsidRPr="00E51A31" w14:paraId="67F308BB" w14:textId="77777777" w:rsidTr="0058316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36A846E7" w14:textId="77777777" w:rsidR="009E69E8" w:rsidRPr="00571E6C" w:rsidRDefault="009E69E8" w:rsidP="00583168">
            <w:pPr>
              <w:pStyle w:val="Tableheading"/>
              <w:rPr>
                <w:b/>
              </w:rPr>
            </w:pPr>
            <w:r w:rsidRPr="00571E6C">
              <w:rPr>
                <w:b/>
              </w:rPr>
              <w:t>Rule</w:t>
            </w:r>
          </w:p>
        </w:tc>
        <w:tc>
          <w:tcPr>
            <w:tcW w:w="7767" w:type="dxa"/>
          </w:tcPr>
          <w:p w14:paraId="70B4ECF3" w14:textId="77777777" w:rsidR="009E69E8" w:rsidRPr="00571E6C" w:rsidRDefault="009E69E8" w:rsidP="00583168">
            <w:pPr>
              <w:pStyle w:val="Tableheading"/>
              <w:cnfStyle w:val="100000000000" w:firstRow="1" w:lastRow="0" w:firstColumn="0" w:lastColumn="0" w:oddVBand="0" w:evenVBand="0" w:oddHBand="0" w:evenHBand="0" w:firstRowFirstColumn="0" w:firstRowLastColumn="0" w:lastRowFirstColumn="0" w:lastRowLastColumn="0"/>
              <w:rPr>
                <w:b/>
              </w:rPr>
            </w:pPr>
            <w:r w:rsidRPr="00571E6C">
              <w:rPr>
                <w:b/>
              </w:rPr>
              <w:t>Description</w:t>
            </w:r>
          </w:p>
        </w:tc>
      </w:tr>
      <w:tr w:rsidR="009E69E8" w:rsidRPr="00E51A31" w14:paraId="266298C6" w14:textId="77777777" w:rsidTr="00583168">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71A2E1D8" w14:textId="77777777" w:rsidR="009E69E8" w:rsidRPr="00571E6C" w:rsidRDefault="009E69E8" w:rsidP="00583168">
            <w:pPr>
              <w:pStyle w:val="Tablecontent"/>
              <w:rPr>
                <w:b w:val="0"/>
                <w:bCs w:val="0"/>
              </w:rPr>
            </w:pPr>
            <w:r w:rsidRPr="00571E6C">
              <w:rPr>
                <w:b w:val="0"/>
                <w:bCs w:val="0"/>
              </w:rPr>
              <w:t>Exclude Hyper-Threading</w:t>
            </w:r>
          </w:p>
        </w:tc>
        <w:tc>
          <w:tcPr>
            <w:tcW w:w="7767" w:type="dxa"/>
          </w:tcPr>
          <w:p w14:paraId="10BF1B99" w14:textId="77777777" w:rsidR="009E69E8" w:rsidRPr="00976850" w:rsidRDefault="009E69E8" w:rsidP="00583168">
            <w:pPr>
              <w:pStyle w:val="Tablecontent"/>
              <w:cnfStyle w:val="000000000000" w:firstRow="0" w:lastRow="0" w:firstColumn="0" w:lastColumn="0" w:oddVBand="0" w:evenVBand="0" w:oddHBand="0" w:evenHBand="0" w:firstRowFirstColumn="0" w:firstRowLastColumn="0" w:lastRowFirstColumn="0" w:lastRowLastColumn="0"/>
            </w:pPr>
            <w:r w:rsidRPr="00976850">
              <w:t>The Guest OS is running, regardless of speed and throughput. With lower efficiency, it will simply run longer. Instead of 40% for 5 minutes, it may run 90%. If it exceeds 100%, then queue will develop inside the Guest OS.</w:t>
            </w:r>
          </w:p>
          <w:p w14:paraId="0E928770" w14:textId="77777777" w:rsidR="009E69E8" w:rsidRPr="00976850" w:rsidRDefault="009E69E8" w:rsidP="00583168">
            <w:pPr>
              <w:pStyle w:val="Tablecontent"/>
              <w:cnfStyle w:val="000000000000" w:firstRow="0" w:lastRow="0" w:firstColumn="0" w:lastColumn="0" w:oddVBand="0" w:evenVBand="0" w:oddHBand="0" w:evenHBand="0" w:firstRowFirstColumn="0" w:firstRowLastColumn="0" w:lastRowFirstColumn="0" w:lastRowLastColumn="0"/>
            </w:pPr>
            <w:r w:rsidRPr="00976850">
              <w:t xml:space="preserve">The Demand and Usage </w:t>
            </w:r>
            <w:r>
              <w:t>metrics</w:t>
            </w:r>
            <w:r w:rsidRPr="00976850">
              <w:t xml:space="preserve"> are not suitable as their values are affected by CPU Frequency and HT</w:t>
            </w:r>
          </w:p>
        </w:tc>
      </w:tr>
      <w:tr w:rsidR="009E69E8" w:rsidRPr="00E51A31" w14:paraId="765E4F11" w14:textId="77777777" w:rsidTr="00583168">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2F8BA98A" w14:textId="77777777" w:rsidR="009E69E8" w:rsidRPr="00571E6C" w:rsidRDefault="009E69E8" w:rsidP="00583168">
            <w:pPr>
              <w:pStyle w:val="Tablecontent"/>
              <w:rPr>
                <w:b w:val="0"/>
                <w:bCs w:val="0"/>
              </w:rPr>
            </w:pPr>
            <w:r w:rsidRPr="00571E6C">
              <w:rPr>
                <w:b w:val="0"/>
                <w:bCs w:val="0"/>
              </w:rPr>
              <w:t>Exclude CPU Frequency</w:t>
            </w:r>
          </w:p>
        </w:tc>
        <w:tc>
          <w:tcPr>
            <w:tcW w:w="7767" w:type="dxa"/>
          </w:tcPr>
          <w:p w14:paraId="1BF3E329" w14:textId="77777777" w:rsidR="009E69E8" w:rsidRPr="00976850" w:rsidRDefault="009E69E8" w:rsidP="00583168">
            <w:pPr>
              <w:pStyle w:val="Tablecontent"/>
              <w:cnfStyle w:val="000000000000" w:firstRow="0" w:lastRow="0" w:firstColumn="0" w:lastColumn="0" w:oddVBand="0" w:evenVBand="0" w:oddHBand="0" w:evenHBand="0" w:firstRowFirstColumn="0" w:firstRowLastColumn="0" w:lastRowFirstColumn="0" w:lastRowLastColumn="0"/>
            </w:pPr>
            <w:r w:rsidRPr="00976850">
              <w:t xml:space="preserve">As above. </w:t>
            </w:r>
            <w:r>
              <w:t>The only exception here is the initial sizing, when the VM is not yet created. The application team may request 32 vCPU at 3 GHz. If what you have is 2 GHz, you need to provide more vCPU.</w:t>
            </w:r>
          </w:p>
        </w:tc>
      </w:tr>
      <w:tr w:rsidR="009E69E8" w:rsidRPr="00E51A31" w14:paraId="26287F63" w14:textId="77777777" w:rsidTr="00583168">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1B0C41B4" w14:textId="77777777" w:rsidR="009E69E8" w:rsidRPr="00571E6C" w:rsidRDefault="009E69E8" w:rsidP="00583168">
            <w:pPr>
              <w:pStyle w:val="Tablecontent"/>
              <w:rPr>
                <w:b w:val="0"/>
                <w:bCs w:val="0"/>
              </w:rPr>
            </w:pPr>
            <w:r w:rsidRPr="00571E6C">
              <w:rPr>
                <w:b w:val="0"/>
                <w:bCs w:val="0"/>
              </w:rPr>
              <w:t>Exclude idle time</w:t>
            </w:r>
          </w:p>
        </w:tc>
        <w:tc>
          <w:tcPr>
            <w:tcW w:w="7767" w:type="dxa"/>
          </w:tcPr>
          <w:p w14:paraId="40415A0D" w14:textId="77777777" w:rsidR="009E69E8" w:rsidRPr="00976850" w:rsidRDefault="009E69E8" w:rsidP="00583168">
            <w:pPr>
              <w:pStyle w:val="Tablecontent"/>
              <w:cnfStyle w:val="000000000000" w:firstRow="0" w:lastRow="0" w:firstColumn="0" w:lastColumn="0" w:oddVBand="0" w:evenVBand="0" w:oddHBand="0" w:evenHBand="0" w:firstRowFirstColumn="0" w:firstRowLastColumn="0" w:lastRowFirstColumn="0" w:lastRowLastColumn="0"/>
            </w:pPr>
            <w:r w:rsidRPr="00976850">
              <w:t>The CPU is not running. It does not matter whether it’s because the Guest OS CPU is waiting for Guest OS IO. The net result is the Guest OS is not running its CPU. While making the IO subsystem faster will result in higher CPU utilization, that’s a separate scope.</w:t>
            </w:r>
          </w:p>
        </w:tc>
      </w:tr>
      <w:tr w:rsidR="009E69E8" w:rsidRPr="00E51A31" w14:paraId="7538D351" w14:textId="77777777" w:rsidTr="00583168">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7AABCA8F" w14:textId="77777777" w:rsidR="009E69E8" w:rsidRPr="00571E6C" w:rsidRDefault="009E69E8" w:rsidP="00583168">
            <w:pPr>
              <w:pStyle w:val="Tablecontent"/>
              <w:rPr>
                <w:b w:val="0"/>
                <w:bCs w:val="0"/>
              </w:rPr>
            </w:pPr>
            <w:r w:rsidRPr="00571E6C">
              <w:rPr>
                <w:b w:val="0"/>
                <w:bCs w:val="0"/>
              </w:rPr>
              <w:t>Exclude CPU Context Switch</w:t>
            </w:r>
          </w:p>
        </w:tc>
        <w:tc>
          <w:tcPr>
            <w:tcW w:w="7767" w:type="dxa"/>
          </w:tcPr>
          <w:p w14:paraId="2B86C8BC" w14:textId="77777777" w:rsidR="009E69E8" w:rsidRPr="00976850" w:rsidRDefault="009E69E8" w:rsidP="00583168">
            <w:pPr>
              <w:pStyle w:val="Tablecontent"/>
              <w:cnfStyle w:val="000000000000" w:firstRow="0" w:lastRow="0" w:firstColumn="0" w:lastColumn="0" w:oddVBand="0" w:evenVBand="0" w:oddHBand="0" w:evenHBand="0" w:firstRowFirstColumn="0" w:firstRowLastColumn="0" w:lastRowFirstColumn="0" w:lastRowLastColumn="0"/>
            </w:pPr>
            <w:r>
              <w:t>It is n</w:t>
            </w:r>
            <w:r w:rsidRPr="00976850">
              <w:t xml:space="preserve">ot something </w:t>
            </w:r>
            <w:r>
              <w:t xml:space="preserve">you </w:t>
            </w:r>
            <w:r w:rsidRPr="00976850">
              <w:t xml:space="preserve">can control. </w:t>
            </w:r>
            <w:r>
              <w:t>Plus i</w:t>
            </w:r>
            <w:r w:rsidRPr="00976850">
              <w:t>t</w:t>
            </w:r>
            <w:r>
              <w:t xml:space="preserve"> i</w:t>
            </w:r>
            <w:r w:rsidRPr="00976850">
              <w:t xml:space="preserve">s impossible to translate its value into the </w:t>
            </w:r>
            <w:r>
              <w:t xml:space="preserve">right sizing </w:t>
            </w:r>
            <w:r w:rsidRPr="00976850">
              <w:t>formula. In addition, a high context switch could be caused by too many vCPU or IO. Guest OS is simply balancing among its vCPUs.</w:t>
            </w:r>
          </w:p>
          <w:p w14:paraId="6CCFA6A4" w14:textId="77777777" w:rsidR="009E69E8" w:rsidRPr="00976850" w:rsidRDefault="009E69E8" w:rsidP="00583168">
            <w:pPr>
              <w:pStyle w:val="Tablecontent"/>
              <w:cnfStyle w:val="000000000000" w:firstRow="0" w:lastRow="0" w:firstColumn="0" w:lastColumn="0" w:oddVBand="0" w:evenVBand="0" w:oddHBand="0" w:evenHBand="0" w:firstRowFirstColumn="0" w:firstRowLastColumn="0" w:lastRowFirstColumn="0" w:lastRowLastColumn="0"/>
            </w:pPr>
            <w:r w:rsidRPr="00976850">
              <w:t>The Utilization may be high, but if CPU is doing a lot of context switch, it’s less productive.</w:t>
            </w:r>
          </w:p>
        </w:tc>
      </w:tr>
      <w:tr w:rsidR="009E69E8" w:rsidRPr="00E51A31" w14:paraId="0938C710" w14:textId="77777777" w:rsidTr="00583168">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200FC071" w14:textId="57599005" w:rsidR="009E69E8" w:rsidRPr="00571E6C" w:rsidRDefault="009E69E8" w:rsidP="00583168">
            <w:pPr>
              <w:pStyle w:val="Tablecontent"/>
              <w:rPr>
                <w:b w:val="0"/>
                <w:bCs w:val="0"/>
              </w:rPr>
            </w:pPr>
            <w:r w:rsidRPr="00571E6C">
              <w:rPr>
                <w:b w:val="0"/>
                <w:bCs w:val="0"/>
              </w:rPr>
              <w:t xml:space="preserve">Include </w:t>
            </w:r>
            <w:r w:rsidR="00C730ED">
              <w:rPr>
                <w:b w:val="0"/>
                <w:bCs w:val="0"/>
              </w:rPr>
              <w:t>Co-stop</w:t>
            </w:r>
            <w:r w:rsidRPr="00571E6C">
              <w:rPr>
                <w:b w:val="0"/>
                <w:bCs w:val="0"/>
              </w:rPr>
              <w:t xml:space="preserve"> &amp; Ready</w:t>
            </w:r>
          </w:p>
        </w:tc>
        <w:tc>
          <w:tcPr>
            <w:tcW w:w="7767" w:type="dxa"/>
          </w:tcPr>
          <w:p w14:paraId="175665D4" w14:textId="77777777" w:rsidR="009E69E8" w:rsidRPr="00976850" w:rsidRDefault="009E69E8" w:rsidP="00583168">
            <w:pPr>
              <w:pStyle w:val="Tablecontent"/>
              <w:cnfStyle w:val="000000000000" w:firstRow="0" w:lastRow="0" w:firstColumn="0" w:lastColumn="0" w:oddVBand="0" w:evenVBand="0" w:oddHBand="0" w:evenHBand="0" w:firstRowFirstColumn="0" w:firstRowLastColumn="0" w:lastRowFirstColumn="0" w:lastRowLastColumn="0"/>
            </w:pPr>
            <w:r>
              <w:t xml:space="preserve">The Guest OS actually wants to run. Had there been no blockage, the CPU would have been utilized. Adding/Reducing CPU does not change the value of these waits, </w:t>
            </w:r>
            <w:r>
              <w:lastRenderedPageBreak/>
              <w:t>as this represents a bottleneck somewhere else. However, it does say that this is what the CPU needs, and we need to reflect that.</w:t>
            </w:r>
          </w:p>
          <w:p w14:paraId="688D2106" w14:textId="77777777" w:rsidR="009E69E8" w:rsidRPr="00976850" w:rsidRDefault="009E69E8" w:rsidP="00583168">
            <w:pPr>
              <w:pStyle w:val="Tablecontent"/>
              <w:cnfStyle w:val="000000000000" w:firstRow="0" w:lastRow="0" w:firstColumn="0" w:lastColumn="0" w:oddVBand="0" w:evenVBand="0" w:oddHBand="0" w:evenHBand="0" w:firstRowFirstColumn="0" w:firstRowLastColumn="0" w:lastRowFirstColumn="0" w:lastRowLastColumn="0"/>
            </w:pPr>
            <w:r>
              <w:t>Guest OS number will be inaccurate because there is no “no data”, due to its time being frozen.</w:t>
            </w:r>
          </w:p>
        </w:tc>
      </w:tr>
      <w:tr w:rsidR="009E69E8" w:rsidRPr="00E51A31" w14:paraId="1905CFDF" w14:textId="77777777" w:rsidTr="00583168">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62396928" w14:textId="77777777" w:rsidR="009E69E8" w:rsidRPr="00571E6C" w:rsidRDefault="009E69E8" w:rsidP="00583168">
            <w:pPr>
              <w:pStyle w:val="Tablecontent"/>
              <w:rPr>
                <w:b w:val="0"/>
                <w:bCs w:val="0"/>
              </w:rPr>
            </w:pPr>
            <w:r w:rsidRPr="00571E6C">
              <w:rPr>
                <w:b w:val="0"/>
                <w:bCs w:val="0"/>
              </w:rPr>
              <w:lastRenderedPageBreak/>
              <w:t>Include VM Wait, Swap Wait</w:t>
            </w:r>
          </w:p>
        </w:tc>
        <w:tc>
          <w:tcPr>
            <w:tcW w:w="7767" w:type="dxa"/>
          </w:tcPr>
          <w:p w14:paraId="4F841426" w14:textId="4DE9588B" w:rsidR="009E69E8" w:rsidRPr="00976850" w:rsidRDefault="009E69E8" w:rsidP="00583168">
            <w:pPr>
              <w:pStyle w:val="Tablecontent"/>
              <w:cnfStyle w:val="000000000000" w:firstRow="0" w:lastRow="0" w:firstColumn="0" w:lastColumn="0" w:oddVBand="0" w:evenVBand="0" w:oddHBand="0" w:evenHBand="0" w:firstRowFirstColumn="0" w:firstRowLastColumn="0" w:lastRowFirstColumn="0" w:lastRowLastColumn="0"/>
            </w:pPr>
            <w:r w:rsidRPr="00976850">
              <w:t xml:space="preserve">Guest OS becomes idle as CPU is waiting for RAM or IO (disk or network). So this is the same case with Ready and </w:t>
            </w:r>
            <w:r w:rsidR="00443625">
              <w:t>Co-stop</w:t>
            </w:r>
            <w:r w:rsidRPr="00976850">
              <w:t>.</w:t>
            </w:r>
          </w:p>
        </w:tc>
      </w:tr>
      <w:tr w:rsidR="009E69E8" w:rsidRPr="00E51A31" w14:paraId="4867226E" w14:textId="77777777" w:rsidTr="00583168">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0F045E3B" w14:textId="77777777" w:rsidR="009E69E8" w:rsidRPr="00571E6C" w:rsidRDefault="009E69E8" w:rsidP="00583168">
            <w:pPr>
              <w:pStyle w:val="Tablecontent"/>
              <w:rPr>
                <w:b w:val="0"/>
                <w:bCs w:val="0"/>
              </w:rPr>
            </w:pPr>
            <w:r w:rsidRPr="00571E6C">
              <w:rPr>
                <w:b w:val="0"/>
                <w:bCs w:val="0"/>
              </w:rPr>
              <w:t>Include Overlap</w:t>
            </w:r>
          </w:p>
        </w:tc>
        <w:tc>
          <w:tcPr>
            <w:tcW w:w="7767" w:type="dxa"/>
          </w:tcPr>
          <w:p w14:paraId="359FA419" w14:textId="77777777" w:rsidR="009E69E8" w:rsidRPr="00976850" w:rsidRDefault="009E69E8" w:rsidP="00583168">
            <w:pPr>
              <w:pStyle w:val="Tablecontent"/>
              <w:cnfStyle w:val="000000000000" w:firstRow="0" w:lastRow="0" w:firstColumn="0" w:lastColumn="0" w:oddVBand="0" w:evenVBand="0" w:oddHBand="0" w:evenHBand="0" w:firstRowFirstColumn="0" w:firstRowLastColumn="0" w:lastRowFirstColumn="0" w:lastRowLastColumn="0"/>
            </w:pPr>
            <w:r w:rsidRPr="00976850">
              <w:t xml:space="preserve">The Guest OS actually wants to run, but it’s interrupted by the </w:t>
            </w:r>
            <w:r>
              <w:t>VMkernel</w:t>
            </w:r>
            <w:r w:rsidRPr="00976850">
              <w:t>. Note that this is already a part of CPU Run, so mathematically is not required if we use CPU Run counter.</w:t>
            </w:r>
          </w:p>
        </w:tc>
      </w:tr>
      <w:tr w:rsidR="009E69E8" w:rsidRPr="00E51A31" w14:paraId="24119FD3" w14:textId="77777777" w:rsidTr="00583168">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37A0BD83" w14:textId="77777777" w:rsidR="009E69E8" w:rsidRPr="00571E6C" w:rsidRDefault="009E69E8" w:rsidP="00583168">
            <w:pPr>
              <w:pStyle w:val="Tablecontent"/>
              <w:rPr>
                <w:b w:val="0"/>
                <w:bCs w:val="0"/>
              </w:rPr>
            </w:pPr>
            <w:r w:rsidRPr="00571E6C">
              <w:rPr>
                <w:b w:val="0"/>
                <w:bCs w:val="0"/>
              </w:rPr>
              <w:t>Include Guest OS CPU Run Queue</w:t>
            </w:r>
          </w:p>
        </w:tc>
        <w:tc>
          <w:tcPr>
            <w:tcW w:w="7767" w:type="dxa"/>
          </w:tcPr>
          <w:p w14:paraId="2C93257B" w14:textId="77777777" w:rsidR="009E69E8" w:rsidRPr="00976850" w:rsidRDefault="009E69E8" w:rsidP="00583168">
            <w:pPr>
              <w:pStyle w:val="Tablecontent"/>
              <w:cnfStyle w:val="000000000000" w:firstRow="0" w:lastRow="0" w:firstColumn="0" w:lastColumn="0" w:oddVBand="0" w:evenVBand="0" w:oddHBand="0" w:evenHBand="0" w:firstRowFirstColumn="0" w:firstRowLastColumn="0" w:lastRowFirstColumn="0" w:lastRowLastColumn="0"/>
              <w:rPr>
                <w:highlight w:val="yellow"/>
              </w:rPr>
            </w:pPr>
            <w:r w:rsidRPr="00E734E6">
              <w:t>Th</w:t>
            </w:r>
            <w:r>
              <w:t>is is the primary counter tracking if Windows or Linux is unable to cope with the demand.</w:t>
            </w:r>
            <w:r w:rsidRPr="70F05EAA">
              <w:rPr>
                <w:highlight w:val="yellow"/>
              </w:rPr>
              <w:t xml:space="preserve"> </w:t>
            </w:r>
          </w:p>
        </w:tc>
      </w:tr>
      <w:tr w:rsidR="009E69E8" w:rsidRPr="00E51A31" w14:paraId="56B11F88" w14:textId="77777777" w:rsidTr="00583168">
        <w:tc>
          <w:tcPr>
            <w:cnfStyle w:val="001000000000" w:firstRow="0" w:lastRow="0" w:firstColumn="1" w:lastColumn="0" w:oddVBand="0" w:evenVBand="0" w:oddHBand="0" w:evenHBand="0" w:firstRowFirstColumn="0" w:firstRowLastColumn="0" w:lastRowFirstColumn="0" w:lastRowLastColumn="0"/>
            <w:tcW w:w="2689" w:type="dxa"/>
            <w:shd w:val="clear" w:color="auto" w:fill="F2F2F2" w:themeFill="background1" w:themeFillShade="F2"/>
          </w:tcPr>
          <w:p w14:paraId="532D27B6" w14:textId="77777777" w:rsidR="009E69E8" w:rsidRPr="00571E6C" w:rsidRDefault="009E69E8" w:rsidP="00583168">
            <w:pPr>
              <w:pStyle w:val="Tablecontent"/>
              <w:rPr>
                <w:b w:val="0"/>
                <w:bCs w:val="0"/>
              </w:rPr>
            </w:pPr>
            <w:r w:rsidRPr="00571E6C">
              <w:rPr>
                <w:b w:val="0"/>
                <w:bCs w:val="0"/>
              </w:rPr>
              <w:t>Exclude hypervisor overhead</w:t>
            </w:r>
          </w:p>
        </w:tc>
        <w:tc>
          <w:tcPr>
            <w:tcW w:w="7767" w:type="dxa"/>
          </w:tcPr>
          <w:p w14:paraId="06594497" w14:textId="77777777" w:rsidR="009E69E8" w:rsidRPr="00976850" w:rsidRDefault="009E69E8" w:rsidP="00583168">
            <w:pPr>
              <w:pStyle w:val="Tablecontent"/>
              <w:cnfStyle w:val="000000000000" w:firstRow="0" w:lastRow="0" w:firstColumn="0" w:lastColumn="0" w:oddVBand="0" w:evenVBand="0" w:oddHBand="0" w:evenHBand="0" w:firstRowFirstColumn="0" w:firstRowLastColumn="0" w:lastRowFirstColumn="0" w:lastRowLastColumn="0"/>
            </w:pPr>
            <w:r w:rsidRPr="00976850">
              <w:t>MKS, VMX, System. While it’s part of Demand, it’s not a demand coming from within the Guest.</w:t>
            </w:r>
          </w:p>
          <w:p w14:paraId="29A915AC" w14:textId="77777777" w:rsidR="009E69E8" w:rsidRPr="00976850" w:rsidRDefault="009E69E8" w:rsidP="00583168">
            <w:pPr>
              <w:pStyle w:val="Tablecontent"/>
              <w:cnfStyle w:val="000000000000" w:firstRow="0" w:lastRow="0" w:firstColumn="0" w:lastColumn="0" w:oddVBand="0" w:evenVBand="0" w:oddHBand="0" w:evenHBand="0" w:firstRowFirstColumn="0" w:firstRowLastColumn="0" w:lastRowFirstColumn="0" w:lastRowLastColumn="0"/>
            </w:pPr>
            <w:r w:rsidRPr="00976850">
              <w:t>The VM CPU Used, Demand, Usage counter include system time at VM level, hence they are not appropriate.</w:t>
            </w:r>
          </w:p>
        </w:tc>
      </w:tr>
    </w:tbl>
    <w:p w14:paraId="64137926" w14:textId="77777777" w:rsidR="009E69E8" w:rsidRPr="00976850" w:rsidRDefault="009E69E8" w:rsidP="009E69E8">
      <w:bookmarkStart w:id="111" w:name="_Hlk16092359"/>
      <w:r w:rsidRPr="00976850">
        <w:t xml:space="preserve">Based on all the above, the formula to size the Guest OS is: </w:t>
      </w:r>
    </w:p>
    <w:p w14:paraId="5A1B915A" w14:textId="2D802E11" w:rsidR="009E69E8" w:rsidRPr="00976850" w:rsidRDefault="009E69E8" w:rsidP="009E69E8">
      <w:pPr>
        <w:pStyle w:val="Code"/>
      </w:pPr>
      <w:bookmarkStart w:id="112" w:name="_Hlk16092340"/>
      <w:bookmarkEnd w:id="111"/>
      <w:r>
        <w:t xml:space="preserve">Guest OS CPU Needed (vCPU) = ( (Run + </w:t>
      </w:r>
      <w:r w:rsidR="00443625">
        <w:t>Co-stop</w:t>
      </w:r>
      <w:r>
        <w:t xml:space="preserve"> + Ready + Other Wait + Swap Wait) / 20000</w:t>
      </w:r>
      <w:bookmarkEnd w:id="112"/>
      <w:r>
        <w:t xml:space="preserve"> ) + CPU Run Queue factor</w:t>
      </w:r>
    </w:p>
    <w:p w14:paraId="6EA40EC5" w14:textId="77777777" w:rsidR="009E69E8" w:rsidRDefault="009E69E8" w:rsidP="009E69E8">
      <w:r w:rsidRPr="00976850">
        <w:t xml:space="preserve">The result is in the number of vCPU. It is not in % or GHz. We are sizing the Guest OS, not the VM. </w:t>
      </w:r>
    </w:p>
    <w:p w14:paraId="26D79D0B" w14:textId="77777777" w:rsidR="009E69E8" w:rsidRDefault="009E69E8" w:rsidP="009E69E8">
      <w:r>
        <w:t xml:space="preserve">We need to divide by 20000 because 20000 milliseconds represent 100% of a single vCPU. More about this unit is explained </w:t>
      </w:r>
      <w:hyperlink w:anchor="_Unit_&amp;_Roll" w:history="1">
        <w:r w:rsidRPr="00736DFC">
          <w:rPr>
            <w:rStyle w:val="Hyperlink"/>
          </w:rPr>
          <w:t>here</w:t>
        </w:r>
      </w:hyperlink>
      <w:r>
        <w:t xml:space="preserve">. </w:t>
      </w:r>
    </w:p>
    <w:p w14:paraId="38B0840A" w14:textId="77777777" w:rsidR="009E69E8" w:rsidRDefault="009E69E8" w:rsidP="009E69E8">
      <w:pPr>
        <w:pStyle w:val="Tablecontent"/>
        <w:rPr>
          <w:lang w:val="en-GB"/>
        </w:rPr>
      </w:pPr>
      <w:r>
        <w:rPr>
          <w:lang w:val="en-GB"/>
        </w:rPr>
        <w:t>Guest OS CPU Run Queue metric needs some conversion before it can be used. Let’s take an example:</w:t>
      </w:r>
    </w:p>
    <w:p w14:paraId="66C653B0" w14:textId="77777777" w:rsidR="009E69E8" w:rsidRPr="00A452F2" w:rsidRDefault="009E69E8" w:rsidP="009E69E8">
      <w:pPr>
        <w:pStyle w:val="Tablecontent"/>
        <w:numPr>
          <w:ilvl w:val="0"/>
          <w:numId w:val="17"/>
        </w:numPr>
        <w:rPr>
          <w:lang w:val="en-GB"/>
        </w:rPr>
      </w:pPr>
      <w:r w:rsidRPr="00A452F2">
        <w:rPr>
          <w:lang w:val="en-GB"/>
        </w:rPr>
        <w:t xml:space="preserve">VM has 8 vCPU. </w:t>
      </w:r>
    </w:p>
    <w:p w14:paraId="618581E5" w14:textId="77777777" w:rsidR="009E69E8" w:rsidRPr="00A452F2" w:rsidRDefault="009E69E8" w:rsidP="009E69E8">
      <w:pPr>
        <w:pStyle w:val="Tablecontent"/>
        <w:numPr>
          <w:ilvl w:val="0"/>
          <w:numId w:val="17"/>
        </w:numPr>
        <w:rPr>
          <w:lang w:val="en-GB"/>
        </w:rPr>
      </w:pPr>
      <w:r w:rsidRPr="00A452F2">
        <w:rPr>
          <w:lang w:val="en-GB"/>
        </w:rPr>
        <w:t>CPU Run Queue = 28 for the entire VM.</w:t>
      </w:r>
    </w:p>
    <w:p w14:paraId="59D50ACD" w14:textId="77777777" w:rsidR="009E69E8" w:rsidRDefault="009E69E8" w:rsidP="009E69E8">
      <w:pPr>
        <w:pStyle w:val="Tablecontent"/>
        <w:numPr>
          <w:ilvl w:val="0"/>
          <w:numId w:val="17"/>
        </w:numPr>
        <w:rPr>
          <w:lang w:val="en-GB"/>
        </w:rPr>
      </w:pPr>
      <w:r w:rsidRPr="00A452F2">
        <w:rPr>
          <w:lang w:val="en-GB"/>
        </w:rPr>
        <w:t>VM can handle 8 x 3 = 24 queues.</w:t>
      </w:r>
    </w:p>
    <w:p w14:paraId="5D0C47CB" w14:textId="77777777" w:rsidR="009E69E8" w:rsidRDefault="009E69E8" w:rsidP="009E69E8">
      <w:pPr>
        <w:pStyle w:val="Tablecontent"/>
        <w:numPr>
          <w:ilvl w:val="0"/>
          <w:numId w:val="17"/>
        </w:numPr>
        <w:rPr>
          <w:lang w:val="en-GB"/>
        </w:rPr>
      </w:pPr>
      <w:r>
        <w:rPr>
          <w:lang w:val="en-GB"/>
        </w:rPr>
        <w:t>There is a shortage of 28 – 24 = 4 queues.</w:t>
      </w:r>
    </w:p>
    <w:p w14:paraId="3B2B111C" w14:textId="77777777" w:rsidR="009E69E8" w:rsidRDefault="009E69E8" w:rsidP="009E69E8">
      <w:pPr>
        <w:pStyle w:val="Tablecontent"/>
        <w:numPr>
          <w:ilvl w:val="0"/>
          <w:numId w:val="17"/>
        </w:numPr>
        <w:rPr>
          <w:lang w:val="en-GB"/>
        </w:rPr>
      </w:pPr>
      <w:r>
        <w:rPr>
          <w:lang w:val="en-GB"/>
        </w:rPr>
        <w:t xml:space="preserve">Each additional vCPU can handle 1 process + 3 queues. </w:t>
      </w:r>
    </w:p>
    <w:p w14:paraId="7E3C3B41" w14:textId="77777777" w:rsidR="009E69E8" w:rsidRPr="000064FB" w:rsidRDefault="009E69E8" w:rsidP="009E69E8">
      <w:pPr>
        <w:pStyle w:val="Tablecontent"/>
        <w:numPr>
          <w:ilvl w:val="0"/>
          <w:numId w:val="17"/>
        </w:numPr>
        <w:rPr>
          <w:lang w:val="en-GB"/>
        </w:rPr>
      </w:pPr>
      <w:r w:rsidRPr="000064FB">
        <w:rPr>
          <w:lang w:val="en-GB"/>
        </w:rPr>
        <w:t>Conclusion: we add 1 vCPU.</w:t>
      </w:r>
    </w:p>
    <w:p w14:paraId="67BA35E1" w14:textId="77777777" w:rsidR="009E69E8" w:rsidRPr="00976850" w:rsidRDefault="009E69E8" w:rsidP="009E69E8">
      <w:r w:rsidRPr="00976850">
        <w:t xml:space="preserve">Compared with CPU Usage, Guest OS Needed without the CPU run queue </w:t>
      </w:r>
      <w:r>
        <w:t xml:space="preserve">factor </w:t>
      </w:r>
      <w:r w:rsidRPr="00976850">
        <w:t>tends to be within 10% difference. Usage is higher as it includes system time, and turbo boost. Usage would be lower in HT and CPU frequency clocked down case.</w:t>
      </w:r>
    </w:p>
    <w:p w14:paraId="6DB1EFF2" w14:textId="77777777" w:rsidR="009E69E8" w:rsidRPr="00976850" w:rsidRDefault="009E69E8" w:rsidP="009E69E8">
      <w:r w:rsidRPr="00976850">
        <w:t>Here is an example where Usage is higher.</w:t>
      </w:r>
    </w:p>
    <w:p w14:paraId="5E4F16BD" w14:textId="77777777" w:rsidR="009E69E8" w:rsidRPr="00976850" w:rsidRDefault="009E69E8" w:rsidP="009E69E8">
      <w:r>
        <w:rPr>
          <w:noProof/>
        </w:rPr>
        <w:drawing>
          <wp:inline distT="0" distB="0" distL="0" distR="0" wp14:anchorId="015CD0EE" wp14:editId="60C7E132">
            <wp:extent cx="6830220" cy="1691805"/>
            <wp:effectExtent l="0" t="0" r="889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pic:nvPicPr>
                  <pic:blipFill>
                    <a:blip r:embed="rId647">
                      <a:extLst>
                        <a:ext uri="{28A0092B-C50C-407E-A947-70E740481C1C}">
                          <a14:useLocalDpi xmlns:a14="http://schemas.microsoft.com/office/drawing/2010/main" val="0"/>
                        </a:ext>
                      </a:extLst>
                    </a:blip>
                    <a:stretch>
                      <a:fillRect/>
                    </a:stretch>
                  </pic:blipFill>
                  <pic:spPr>
                    <a:xfrm>
                      <a:off x="0" y="0"/>
                      <a:ext cx="6830220" cy="1691805"/>
                    </a:xfrm>
                    <a:prstGeom prst="rect">
                      <a:avLst/>
                    </a:prstGeom>
                  </pic:spPr>
                </pic:pic>
              </a:graphicData>
            </a:graphic>
          </wp:inline>
        </w:drawing>
      </w:r>
    </w:p>
    <w:p w14:paraId="1B284C5F" w14:textId="77777777" w:rsidR="009E69E8" w:rsidRPr="00976850" w:rsidRDefault="009E69E8" w:rsidP="009E69E8">
      <w:r w:rsidRPr="00976850">
        <w:t>Here is an example where Usage is lower.</w:t>
      </w:r>
    </w:p>
    <w:p w14:paraId="740687B7" w14:textId="77777777" w:rsidR="009E69E8" w:rsidRPr="00976850" w:rsidRDefault="009E69E8" w:rsidP="009E69E8">
      <w:r>
        <w:rPr>
          <w:noProof/>
        </w:rPr>
        <w:lastRenderedPageBreak/>
        <w:drawing>
          <wp:inline distT="0" distB="0" distL="0" distR="0" wp14:anchorId="6F1737D8" wp14:editId="68C6485C">
            <wp:extent cx="6851485" cy="1655557"/>
            <wp:effectExtent l="0" t="0" r="6985" b="19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pic:nvPicPr>
                  <pic:blipFill>
                    <a:blip r:embed="rId648">
                      <a:extLst>
                        <a:ext uri="{28A0092B-C50C-407E-A947-70E740481C1C}">
                          <a14:useLocalDpi xmlns:a14="http://schemas.microsoft.com/office/drawing/2010/main" val="0"/>
                        </a:ext>
                      </a:extLst>
                    </a:blip>
                    <a:stretch>
                      <a:fillRect/>
                    </a:stretch>
                  </pic:blipFill>
                  <pic:spPr>
                    <a:xfrm>
                      <a:off x="0" y="0"/>
                      <a:ext cx="6851485" cy="1655557"/>
                    </a:xfrm>
                    <a:prstGeom prst="rect">
                      <a:avLst/>
                    </a:prstGeom>
                  </pic:spPr>
                </pic:pic>
              </a:graphicData>
            </a:graphic>
          </wp:inline>
        </w:drawing>
      </w:r>
    </w:p>
    <w:p w14:paraId="399161F4" w14:textId="77777777" w:rsidR="009E69E8" w:rsidRPr="00976850" w:rsidRDefault="009E69E8" w:rsidP="009E69E8">
      <w:pPr>
        <w:pStyle w:val="Tablecontent"/>
      </w:pPr>
      <w:r w:rsidRPr="00976850">
        <w:t xml:space="preserve">Once we know what the Guest OS needs, we can then calculate the recommended size. This is a projection, taking lots of value. Ideally, the recommendation is </w:t>
      </w:r>
      <w:hyperlink r:id="rId649" w:history="1">
        <w:r w:rsidRPr="00976850">
          <w:rPr>
            <w:rStyle w:val="Hyperlink"/>
          </w:rPr>
          <w:t>NUMA aware</w:t>
        </w:r>
      </w:hyperlink>
      <w:r w:rsidRPr="00976850">
        <w:t xml:space="preserve">. It is applied </w:t>
      </w:r>
      <w:r w:rsidRPr="00976850">
        <w:rPr>
          <w:i/>
          <w:iCs/>
          <w:color w:val="00B0F0"/>
        </w:rPr>
        <w:t>after</w:t>
      </w:r>
      <w:r w:rsidRPr="00976850">
        <w:rPr>
          <w:color w:val="00B0F0"/>
        </w:rPr>
        <w:t xml:space="preserve"> </w:t>
      </w:r>
      <w:r w:rsidRPr="00976850">
        <w:t>the sizing is determined. You size, then adjust to account for NUMA. This adjustment depends on the ESXi Host. So it can vary from cluster to cluster, if your vSphere clusters are not identical.</w:t>
      </w:r>
    </w:p>
    <w:p w14:paraId="1967ABD4" w14:textId="77777777" w:rsidR="009E69E8" w:rsidRPr="00976850" w:rsidRDefault="009E69E8" w:rsidP="009E69E8">
      <w:pPr>
        <w:pStyle w:val="Code"/>
      </w:pPr>
      <w:r>
        <w:t>Guest OS Recommended Size (vCPU) = round up NUMA (projection (Guest OS Needed (vCPU))</w:t>
      </w:r>
    </w:p>
    <w:p w14:paraId="3937A3DB" w14:textId="77777777" w:rsidR="009E69E8" w:rsidRPr="00F037AA" w:rsidRDefault="009E69E8" w:rsidP="009E69E8">
      <w:pPr>
        <w:rPr>
          <w:lang w:val="en-US"/>
        </w:rPr>
      </w:pPr>
      <w:r>
        <w:rPr>
          <w:lang w:val="en-US"/>
        </w:rPr>
        <w:t>For basic NUMA compliant, use 1 socket many cores until you exceed the socket boundary. That means you use 2 vCore 1 vSocket instead of 2 vSockets with 1 vCore each.</w:t>
      </w:r>
    </w:p>
    <w:p w14:paraId="2695D91C" w14:textId="77777777" w:rsidR="009E69E8" w:rsidRDefault="009E69E8" w:rsidP="009E69E8">
      <w:r>
        <w:t xml:space="preserve">With the release of Windows 2008, switching the </w:t>
      </w:r>
      <w:hyperlink r:id="rId650" w:history="1">
        <w:r w:rsidRPr="003C5F0C">
          <w:rPr>
            <w:rStyle w:val="Hyperlink"/>
          </w:rPr>
          <w:t>Hardware Abstraction Layer</w:t>
        </w:r>
      </w:hyperlink>
      <w:r>
        <w:t xml:space="preserve"> (HAL) was handled automatically by the OS, and with the release of 64-bit Windows, there is no concept of a separate HAL for uniprocessor and multi-processor machines. That means one vCPU is a valid configuration and you shouldn’t be making two vCPU as the minimum.</w:t>
      </w:r>
    </w:p>
    <w:p w14:paraId="5DB6C4C3" w14:textId="77777777" w:rsidR="009E69E8" w:rsidRPr="00976850" w:rsidRDefault="009E69E8" w:rsidP="009E69E8">
      <w:r>
        <w:t>You should use the smallest NUMA node size across the entire cluster, if you have mixed ESXi with different NUMA node sizes in the cluster. For example, a 12-vCPU VM should be 2 socket x 6 cores and not 1 socket x 12 core as that fits better on both the dual socket 10 core and dual socket 12 core hosts. Take note that the amount of memory on the host and VM could change that recommendation, so this recommendation assumes memory is not a limiting factor in your scenario.</w:t>
      </w:r>
    </w:p>
    <w:p w14:paraId="47A75284" w14:textId="77777777" w:rsidR="009E69E8" w:rsidRDefault="009E69E8" w:rsidP="009E69E8">
      <w:r>
        <w:t>Notice the number is in vCPU, not GHz, not %. Reason is the adjustment is done at a whole vCPU. In fact in most case, it should be an even number, as odd numbers don’t work in NUMA when you cross the size of a CPU socket.</w:t>
      </w:r>
    </w:p>
    <w:p w14:paraId="79157E72" w14:textId="77777777" w:rsidR="009E69E8" w:rsidRPr="00A452F2" w:rsidRDefault="009E69E8" w:rsidP="009E69E8">
      <w:pPr>
        <w:rPr>
          <w:lang w:val="en-GB" w:eastAsia="en-SG"/>
        </w:rPr>
      </w:pPr>
      <w:r w:rsidRPr="00A452F2">
        <w:rPr>
          <w:lang w:val="en-GB" w:eastAsia="en-SG"/>
        </w:rPr>
        <w:t>Note that when you change the VM configuration, application setting may need to change. This is especially on applications that manage its own memory (e.g. database and JVM), and schedule fixed number of threa</w:t>
      </w:r>
      <w:r>
        <w:rPr>
          <w:lang w:val="en-GB" w:eastAsia="en-SG"/>
        </w:rPr>
        <w:t>d</w:t>
      </w:r>
      <w:r w:rsidRPr="00A452F2">
        <w:rPr>
          <w:lang w:val="en-GB" w:eastAsia="en-SG"/>
        </w:rPr>
        <w:t>s.</w:t>
      </w:r>
    </w:p>
    <w:p w14:paraId="48A0DC37" w14:textId="77777777" w:rsidR="009E69E8" w:rsidRPr="00A452F2" w:rsidRDefault="009E69E8" w:rsidP="009E69E8">
      <w:pPr>
        <w:rPr>
          <w:lang w:val="en-GB" w:eastAsia="en-SG"/>
        </w:rPr>
      </w:pPr>
      <w:r w:rsidRPr="00A452F2">
        <w:rPr>
          <w:lang w:val="en-GB" w:eastAsia="en-SG"/>
        </w:rPr>
        <w:t>You can enable Hot Add on VM, but take note of impact on NUMA.</w:t>
      </w:r>
    </w:p>
    <w:p w14:paraId="5E2D0D1C" w14:textId="77777777" w:rsidR="009E69E8" w:rsidRPr="000F2106" w:rsidRDefault="009E69E8" w:rsidP="009E69E8">
      <w:pPr>
        <w:rPr>
          <w:lang w:val="en-GB" w:eastAsia="en-SG"/>
        </w:rPr>
      </w:pPr>
      <w:r w:rsidRPr="00A452F2">
        <w:rPr>
          <w:lang w:val="en-GB" w:eastAsia="en-SG"/>
        </w:rPr>
        <w:t xml:space="preserve">Reference: </w:t>
      </w:r>
      <w:hyperlink r:id="rId651" w:history="1">
        <w:r w:rsidRPr="00A452F2">
          <w:rPr>
            <w:rStyle w:val="Hyperlink"/>
            <w:lang w:val="en-GB" w:eastAsia="en-SG"/>
          </w:rPr>
          <w:t>rightsizing</w:t>
        </w:r>
      </w:hyperlink>
      <w:r w:rsidRPr="00A452F2">
        <w:rPr>
          <w:lang w:val="en-GB" w:eastAsia="en-SG"/>
        </w:rPr>
        <w:t xml:space="preserve"> by Brandon Gordon.</w:t>
      </w:r>
    </w:p>
    <w:p w14:paraId="33663D22" w14:textId="77777777" w:rsidR="009E69E8" w:rsidRPr="00976850" w:rsidRDefault="009E69E8" w:rsidP="009E69E8">
      <w:pPr>
        <w:pStyle w:val="Heading4"/>
      </w:pPr>
      <w:r>
        <w:t xml:space="preserve">VM CPU </w:t>
      </w:r>
      <w:r w:rsidRPr="00976850">
        <w:t>Sizing</w:t>
      </w:r>
    </w:p>
    <w:p w14:paraId="7443FD97" w14:textId="77777777" w:rsidR="009E69E8" w:rsidRDefault="009E69E8" w:rsidP="009E69E8">
      <w:r>
        <w:t>Sizing the VM is required for the migration use case or chargeback use case.</w:t>
      </w:r>
    </w:p>
    <w:p w14:paraId="6F648B8E" w14:textId="77777777" w:rsidR="009E69E8" w:rsidRPr="00976850" w:rsidRDefault="009E69E8" w:rsidP="009E69E8">
      <w:pPr>
        <w:pStyle w:val="BeforeTable"/>
      </w:pPr>
    </w:p>
    <w:tbl>
      <w:tblPr>
        <w:tblStyle w:val="GridTable1Light-Accent1"/>
        <w:tblW w:w="0" w:type="auto"/>
        <w:tblBorders>
          <w:top w:val="single" w:sz="4" w:space="0" w:color="D9D9D9" w:themeColor="background1" w:themeShade="D9"/>
          <w:left w:val="none" w:sz="0" w:space="0" w:color="auto"/>
          <w:bottom w:val="single" w:sz="4" w:space="0" w:color="BFBFBF" w:themeColor="background1" w:themeShade="BF"/>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830"/>
        <w:gridCol w:w="7626"/>
      </w:tblGrid>
      <w:tr w:rsidR="009E69E8" w:rsidRPr="00571E6C" w14:paraId="3D9C33C9" w14:textId="77777777" w:rsidTr="00EC0A8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shd w:val="clear" w:color="auto" w:fill="F2F2F2" w:themeFill="background1" w:themeFillShade="F2"/>
          </w:tcPr>
          <w:p w14:paraId="7F4AB09B" w14:textId="77777777" w:rsidR="009E69E8" w:rsidRPr="00571E6C" w:rsidRDefault="009E69E8" w:rsidP="00EC0A8F">
            <w:pPr>
              <w:pStyle w:val="Tableheading"/>
              <w:rPr>
                <w:b/>
              </w:rPr>
            </w:pPr>
            <w:r w:rsidRPr="00571E6C">
              <w:rPr>
                <w:b/>
              </w:rPr>
              <w:t>Rule</w:t>
            </w:r>
          </w:p>
        </w:tc>
        <w:tc>
          <w:tcPr>
            <w:tcW w:w="7626" w:type="dxa"/>
          </w:tcPr>
          <w:p w14:paraId="6F662B68" w14:textId="77777777" w:rsidR="009E69E8" w:rsidRPr="00571E6C" w:rsidRDefault="009E69E8" w:rsidP="00EC0A8F">
            <w:pPr>
              <w:pStyle w:val="Tableheading"/>
              <w:cnfStyle w:val="100000000000" w:firstRow="1" w:lastRow="0" w:firstColumn="0" w:lastColumn="0" w:oddVBand="0" w:evenVBand="0" w:oddHBand="0" w:evenHBand="0" w:firstRowFirstColumn="0" w:firstRowLastColumn="0" w:lastRowFirstColumn="0" w:lastRowLastColumn="0"/>
              <w:rPr>
                <w:b/>
              </w:rPr>
            </w:pPr>
            <w:r w:rsidRPr="00571E6C">
              <w:rPr>
                <w:b/>
              </w:rPr>
              <w:t>Description</w:t>
            </w:r>
          </w:p>
        </w:tc>
      </w:tr>
      <w:tr w:rsidR="009E69E8" w:rsidRPr="00E51A31" w14:paraId="48D48B2B" w14:textId="77777777" w:rsidTr="00EC0A8F">
        <w:tc>
          <w:tcPr>
            <w:cnfStyle w:val="001000000000" w:firstRow="0" w:lastRow="0" w:firstColumn="1" w:lastColumn="0" w:oddVBand="0" w:evenVBand="0" w:oddHBand="0" w:evenHBand="0" w:firstRowFirstColumn="0" w:firstRowLastColumn="0" w:lastRowFirstColumn="0" w:lastRowLastColumn="0"/>
            <w:tcW w:w="2830" w:type="dxa"/>
            <w:shd w:val="clear" w:color="auto" w:fill="F2F2F2" w:themeFill="background1" w:themeFillShade="F2"/>
          </w:tcPr>
          <w:p w14:paraId="2C7B7B5D" w14:textId="77777777" w:rsidR="009E69E8" w:rsidRPr="00571E6C" w:rsidRDefault="009E69E8" w:rsidP="00EC0A8F">
            <w:pPr>
              <w:pStyle w:val="Tablecontent"/>
              <w:rPr>
                <w:b w:val="0"/>
                <w:bCs w:val="0"/>
              </w:rPr>
            </w:pPr>
            <w:r w:rsidRPr="00571E6C">
              <w:rPr>
                <w:b w:val="0"/>
                <w:bCs w:val="0"/>
              </w:rPr>
              <w:t>Include Hyper-Threading</w:t>
            </w:r>
          </w:p>
        </w:tc>
        <w:tc>
          <w:tcPr>
            <w:tcW w:w="7626" w:type="dxa"/>
          </w:tcPr>
          <w:p w14:paraId="1838745B" w14:textId="77777777" w:rsidR="009E69E8" w:rsidRPr="00FB4531" w:rsidRDefault="009E69E8" w:rsidP="00EC0A8F">
            <w:pPr>
              <w:pStyle w:val="Tablecontent"/>
              <w:cnfStyle w:val="000000000000" w:firstRow="0" w:lastRow="0" w:firstColumn="0" w:lastColumn="0" w:oddVBand="0" w:evenVBand="0" w:oddHBand="0" w:evenHBand="0" w:firstRowFirstColumn="0" w:firstRowLastColumn="0" w:lastRowFirstColumn="0" w:lastRowLastColumn="0"/>
            </w:pPr>
            <w:r w:rsidRPr="00FB4531">
              <w:t xml:space="preserve">When a VM runs on a thread that has a peer thread running, it’s getting less CPU cycle. </w:t>
            </w:r>
          </w:p>
        </w:tc>
      </w:tr>
      <w:tr w:rsidR="009E69E8" w:rsidRPr="00E51A31" w14:paraId="0927354B" w14:textId="77777777" w:rsidTr="00EC0A8F">
        <w:tc>
          <w:tcPr>
            <w:cnfStyle w:val="001000000000" w:firstRow="0" w:lastRow="0" w:firstColumn="1" w:lastColumn="0" w:oddVBand="0" w:evenVBand="0" w:oddHBand="0" w:evenHBand="0" w:firstRowFirstColumn="0" w:firstRowLastColumn="0" w:lastRowFirstColumn="0" w:lastRowLastColumn="0"/>
            <w:tcW w:w="2830" w:type="dxa"/>
            <w:shd w:val="clear" w:color="auto" w:fill="F2F2F2" w:themeFill="background1" w:themeFillShade="F2"/>
          </w:tcPr>
          <w:p w14:paraId="1CEBCEBC" w14:textId="77777777" w:rsidR="009E69E8" w:rsidRPr="00571E6C" w:rsidRDefault="009E69E8" w:rsidP="00EC0A8F">
            <w:pPr>
              <w:pStyle w:val="Tablecontent"/>
              <w:rPr>
                <w:b w:val="0"/>
                <w:bCs w:val="0"/>
              </w:rPr>
            </w:pPr>
            <w:r w:rsidRPr="00571E6C">
              <w:rPr>
                <w:b w:val="0"/>
                <w:bCs w:val="0"/>
              </w:rPr>
              <w:lastRenderedPageBreak/>
              <w:t>Include CPU Frequency</w:t>
            </w:r>
          </w:p>
        </w:tc>
        <w:tc>
          <w:tcPr>
            <w:tcW w:w="7626" w:type="dxa"/>
          </w:tcPr>
          <w:p w14:paraId="1D66BB2B" w14:textId="77777777" w:rsidR="009E69E8" w:rsidRPr="00FB4531" w:rsidRDefault="009E69E8" w:rsidP="00EC0A8F">
            <w:pPr>
              <w:pStyle w:val="Tablecontent"/>
              <w:cnfStyle w:val="000000000000" w:firstRow="0" w:lastRow="0" w:firstColumn="0" w:lastColumn="0" w:oddVBand="0" w:evenVBand="0" w:oddHBand="0" w:evenHBand="0" w:firstRowFirstColumn="0" w:firstRowLastColumn="0" w:lastRowFirstColumn="0" w:lastRowLastColumn="0"/>
            </w:pPr>
            <w:r>
              <w:t>Moving a VM to cluster with lower frequency may require more vCPU</w:t>
            </w:r>
          </w:p>
        </w:tc>
      </w:tr>
      <w:tr w:rsidR="009E69E8" w:rsidRPr="00E51A31" w14:paraId="7D4DF1E9" w14:textId="77777777" w:rsidTr="00EC0A8F">
        <w:tc>
          <w:tcPr>
            <w:cnfStyle w:val="001000000000" w:firstRow="0" w:lastRow="0" w:firstColumn="1" w:lastColumn="0" w:oddVBand="0" w:evenVBand="0" w:oddHBand="0" w:evenHBand="0" w:firstRowFirstColumn="0" w:firstRowLastColumn="0" w:lastRowFirstColumn="0" w:lastRowLastColumn="0"/>
            <w:tcW w:w="2830" w:type="dxa"/>
            <w:shd w:val="clear" w:color="auto" w:fill="F2F2F2" w:themeFill="background1" w:themeFillShade="F2"/>
          </w:tcPr>
          <w:p w14:paraId="40343B76" w14:textId="77777777" w:rsidR="009E69E8" w:rsidRPr="00571E6C" w:rsidRDefault="009E69E8" w:rsidP="00EC0A8F">
            <w:pPr>
              <w:pStyle w:val="Tablecontent"/>
              <w:rPr>
                <w:b w:val="0"/>
                <w:bCs w:val="0"/>
              </w:rPr>
            </w:pPr>
            <w:r w:rsidRPr="00571E6C">
              <w:rPr>
                <w:b w:val="0"/>
                <w:bCs w:val="0"/>
              </w:rPr>
              <w:t>Include VM overhead</w:t>
            </w:r>
          </w:p>
        </w:tc>
        <w:tc>
          <w:tcPr>
            <w:tcW w:w="7626" w:type="dxa"/>
          </w:tcPr>
          <w:p w14:paraId="2EDA0711" w14:textId="77777777" w:rsidR="009E69E8" w:rsidRPr="00FB4531" w:rsidRDefault="009E69E8" w:rsidP="00EC0A8F">
            <w:pPr>
              <w:pStyle w:val="Tablecontent"/>
              <w:cnfStyle w:val="000000000000" w:firstRow="0" w:lastRow="0" w:firstColumn="0" w:lastColumn="0" w:oddVBand="0" w:evenVBand="0" w:oddHBand="0" w:evenHBand="0" w:firstRowFirstColumn="0" w:firstRowLastColumn="0" w:lastRowFirstColumn="0" w:lastRowLastColumn="0"/>
            </w:pPr>
            <w:r>
              <w:t>Examples are Fault Tolerant. They need to be chargeback.</w:t>
            </w:r>
          </w:p>
        </w:tc>
      </w:tr>
      <w:tr w:rsidR="009E69E8" w:rsidRPr="00E51A31" w14:paraId="2AE392DB" w14:textId="77777777" w:rsidTr="00EC0A8F">
        <w:tc>
          <w:tcPr>
            <w:cnfStyle w:val="001000000000" w:firstRow="0" w:lastRow="0" w:firstColumn="1" w:lastColumn="0" w:oddVBand="0" w:evenVBand="0" w:oddHBand="0" w:evenHBand="0" w:firstRowFirstColumn="0" w:firstRowLastColumn="0" w:lastRowFirstColumn="0" w:lastRowLastColumn="0"/>
            <w:tcW w:w="2830" w:type="dxa"/>
            <w:shd w:val="clear" w:color="auto" w:fill="F2F2F2" w:themeFill="background1" w:themeFillShade="F2"/>
          </w:tcPr>
          <w:p w14:paraId="32467693" w14:textId="77777777" w:rsidR="009E69E8" w:rsidRPr="00571E6C" w:rsidRDefault="009E69E8" w:rsidP="00EC0A8F">
            <w:pPr>
              <w:pStyle w:val="Tablecontent"/>
              <w:rPr>
                <w:b w:val="0"/>
                <w:bCs w:val="0"/>
              </w:rPr>
            </w:pPr>
            <w:r w:rsidRPr="00571E6C">
              <w:rPr>
                <w:b w:val="0"/>
                <w:bCs w:val="0"/>
              </w:rPr>
              <w:t>Exclude Guest OS queue</w:t>
            </w:r>
          </w:p>
        </w:tc>
        <w:tc>
          <w:tcPr>
            <w:tcW w:w="7626" w:type="dxa"/>
          </w:tcPr>
          <w:p w14:paraId="543FB3DA" w14:textId="77777777" w:rsidR="009E69E8" w:rsidRPr="00FB4531" w:rsidRDefault="009E69E8" w:rsidP="00EC0A8F">
            <w:pPr>
              <w:pStyle w:val="Tablecontent"/>
              <w:cnfStyle w:val="000000000000" w:firstRow="0" w:lastRow="0" w:firstColumn="0" w:lastColumn="0" w:oddVBand="0" w:evenVBand="0" w:oddHBand="0" w:evenHBand="0" w:firstRowFirstColumn="0" w:firstRowLastColumn="0" w:lastRowFirstColumn="0" w:lastRowLastColumn="0"/>
            </w:pPr>
            <w:r>
              <w:t>It’s transparent to the VM</w:t>
            </w:r>
          </w:p>
        </w:tc>
      </w:tr>
    </w:tbl>
    <w:p w14:paraId="77859B2B" w14:textId="77777777" w:rsidR="009E69E8" w:rsidRPr="00FB4531" w:rsidRDefault="009E69E8" w:rsidP="009E69E8">
      <w:r w:rsidRPr="00FB4531">
        <w:t xml:space="preserve">Based on all the above, the formula to size the VM is: </w:t>
      </w:r>
    </w:p>
    <w:p w14:paraId="5B9EC8FD" w14:textId="65536874" w:rsidR="009E69E8" w:rsidRPr="00FB4531" w:rsidRDefault="009E69E8" w:rsidP="009E69E8">
      <w:pPr>
        <w:pStyle w:val="Code"/>
      </w:pPr>
      <w:r w:rsidRPr="00FB4531">
        <w:t xml:space="preserve">VM CPU </w:t>
      </w:r>
      <w:r>
        <w:t>Needed</w:t>
      </w:r>
      <w:r w:rsidRPr="00FB4531">
        <w:t xml:space="preserve"> = (Used + </w:t>
      </w:r>
      <w:r w:rsidR="00443625">
        <w:t>Co-stop</w:t>
      </w:r>
      <w:r w:rsidRPr="00FB4531">
        <w:t xml:space="preserve"> + Ready + </w:t>
      </w:r>
      <w:r>
        <w:t>Other Wait</w:t>
      </w:r>
      <w:r w:rsidRPr="00FB4531">
        <w:t xml:space="preserve"> + Swap Wait) + System / 20000 </w:t>
      </w:r>
    </w:p>
    <w:p w14:paraId="7591823A" w14:textId="77777777" w:rsidR="009E69E8" w:rsidRPr="00FB4531" w:rsidRDefault="009E69E8" w:rsidP="009E69E8">
      <w:r>
        <w:t xml:space="preserve">You express in GHz (utilization model) and vCPU (allocation model). The GHz is especially important when you need to migrate into another ESXi with different clock speed. To convert into GHz, we multiply the number by the nominal, static clock speed. You can also enhance this by considering </w:t>
      </w:r>
      <w:hyperlink r:id="rId652">
        <w:r w:rsidRPr="70F05EAA">
          <w:rPr>
            <w:rStyle w:val="Hyperlink"/>
          </w:rPr>
          <w:t>CPU generation and speed</w:t>
        </w:r>
      </w:hyperlink>
      <w:r>
        <w:t>, although this can introduce a new problem if not done properly. An application may perform poorly after the reduction in vCPU if it works better with many slow threads vs a few fast threads.</w:t>
      </w:r>
    </w:p>
    <w:p w14:paraId="6A3DCF9F" w14:textId="77777777" w:rsidR="009E69E8" w:rsidRPr="00FB4531" w:rsidRDefault="009E69E8" w:rsidP="009E69E8">
      <w:pPr>
        <w:rPr>
          <w:lang w:val="en-US"/>
        </w:rPr>
      </w:pPr>
      <w:r w:rsidRPr="00FB4531">
        <w:t>Once we know what the VM needs, we need to project and recommend. We apply the same technique we did for Guest OS.</w:t>
      </w:r>
    </w:p>
    <w:p w14:paraId="41FE48C8" w14:textId="77777777" w:rsidR="009E69E8" w:rsidRPr="00FB4531" w:rsidRDefault="009E69E8" w:rsidP="009E69E8">
      <w:pPr>
        <w:pStyle w:val="Heading4"/>
      </w:pPr>
      <w:r>
        <w:t xml:space="preserve">Guest OS </w:t>
      </w:r>
      <w:r w:rsidRPr="00FB4531">
        <w:t>Memory Sizing</w:t>
      </w:r>
    </w:p>
    <w:p w14:paraId="533AEC42" w14:textId="77777777" w:rsidR="009E69E8" w:rsidRDefault="009E69E8" w:rsidP="009E69E8">
      <w:r w:rsidRPr="00FB4531">
        <w:t>Accuracy of Guest OS memory has been a debate for a long time in virtualization world. Take a look at the following utilization diagram</w:t>
      </w:r>
      <w:r>
        <w:t>. It has two bars, showing memory utilization of 2 VMs. They use different set of thresholds.</w:t>
      </w:r>
    </w:p>
    <w:p w14:paraId="16868462" w14:textId="77777777" w:rsidR="009E69E8" w:rsidRPr="00FB4531" w:rsidRDefault="009E69E8" w:rsidP="009E69E8">
      <w:r>
        <w:t>Which one should you use for memory?</w:t>
      </w:r>
    </w:p>
    <w:p w14:paraId="4191665D" w14:textId="77777777" w:rsidR="009E69E8" w:rsidRPr="00C84414" w:rsidRDefault="009E69E8" w:rsidP="009E69E8">
      <w:pPr>
        <w:jc w:val="center"/>
      </w:pPr>
      <w:r w:rsidRPr="009102A3">
        <w:rPr>
          <w:noProof/>
        </w:rPr>
        <w:drawing>
          <wp:inline distT="0" distB="0" distL="0" distR="0" wp14:anchorId="310668FB" wp14:editId="5DF62073">
            <wp:extent cx="5367528" cy="1572768"/>
            <wp:effectExtent l="0" t="0" r="5080" b="8890"/>
            <wp:docPr id="1051" name="Picture 1051"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 name="Picture 1051" descr="Timeline&#10;&#10;Description automatically generated"/>
                    <pic:cNvPicPr/>
                  </pic:nvPicPr>
                  <pic:blipFill>
                    <a:blip r:embed="rId653"/>
                    <a:stretch>
                      <a:fillRect/>
                    </a:stretch>
                  </pic:blipFill>
                  <pic:spPr>
                    <a:xfrm>
                      <a:off x="0" y="0"/>
                      <a:ext cx="5367528" cy="1572768"/>
                    </a:xfrm>
                    <a:prstGeom prst="rect">
                      <a:avLst/>
                    </a:prstGeom>
                  </pic:spPr>
                </pic:pic>
              </a:graphicData>
            </a:graphic>
          </wp:inline>
        </w:drawing>
      </w:r>
    </w:p>
    <w:p w14:paraId="0210D18F" w14:textId="77777777" w:rsidR="009E69E8" w:rsidRDefault="009E69E8" w:rsidP="009E69E8">
      <w:r>
        <w:t xml:space="preserve">My recommendation is no 2. </w:t>
      </w:r>
    </w:p>
    <w:p w14:paraId="5A441145" w14:textId="77777777" w:rsidR="009E69E8" w:rsidRDefault="009E69E8" w:rsidP="009E69E8">
      <w:r>
        <w:t>The reason is memory is a form of cache. It stays even though it’s not actively used.</w:t>
      </w:r>
    </w:p>
    <w:p w14:paraId="0057785D" w14:textId="77777777" w:rsidR="009E69E8" w:rsidRDefault="009E69E8" w:rsidP="009E69E8">
      <w:r>
        <w:t>When you spend your money on infrastructure, you want to maximize its use, ideally at 100%. After all, you pay for the whole box. In the case of memory, it even makes sense to use the whole hardware as the very purpose of memory is just a cache for disk.</w:t>
      </w:r>
    </w:p>
    <w:p w14:paraId="36B1284E" w14:textId="77777777" w:rsidR="009E69E8" w:rsidRDefault="009E69E8" w:rsidP="009E69E8">
      <w:r>
        <w:t xml:space="preserve">The </w:t>
      </w:r>
      <w:r w:rsidRPr="0022569A">
        <w:rPr>
          <w:color w:val="00B050"/>
        </w:rPr>
        <w:t>green</w:t>
      </w:r>
      <w:r>
        <w:t xml:space="preserve"> range is where you want the utilization to fall. Below the </w:t>
      </w:r>
      <w:r w:rsidRPr="0022569A">
        <w:rPr>
          <w:color w:val="00B050"/>
        </w:rPr>
        <w:t>green</w:t>
      </w:r>
      <w:r>
        <w:t xml:space="preserve"> threshold lies a grey zone, symbolizing wastage. The company is wasting money if the utilization falls below 50%. So what lies beneath the </w:t>
      </w:r>
      <w:r w:rsidRPr="0022569A">
        <w:rPr>
          <w:color w:val="00B050"/>
        </w:rPr>
        <w:t>green</w:t>
      </w:r>
      <w:r>
        <w:t xml:space="preserve"> zone is not an even greener zone; it is a wastage zone. On the other hand, higher than 75% opens the risk that </w:t>
      </w:r>
      <w:hyperlink r:id="rId654">
        <w:r w:rsidRPr="70F05EAA">
          <w:rPr>
            <w:rStyle w:val="Hyperlink"/>
          </w:rPr>
          <w:t>performance</w:t>
        </w:r>
      </w:hyperlink>
      <w:r>
        <w:t xml:space="preserve"> may be impacted. Hence I put a </w:t>
      </w:r>
      <w:r w:rsidRPr="009322C0">
        <w:rPr>
          <w:color w:val="000000" w:themeColor="text1"/>
          <w14:textFill>
            <w14:gradFill>
              <w14:gsLst>
                <w14:gs w14:pos="0">
                  <w14:schemeClr w14:val="tx1"/>
                </w14:gs>
                <w14:gs w14:pos="100000">
                  <w14:srgbClr w14:val="FFFF00"/>
                </w14:gs>
              </w14:gsLst>
              <w14:lin w14:ang="16200000" w14:scaled="0"/>
            </w14:gradFill>
          </w14:textFill>
        </w:rPr>
        <w:t>yellow</w:t>
      </w:r>
      <w:r>
        <w:t xml:space="preserve">, </w:t>
      </w:r>
      <w:r w:rsidRPr="00CF7D2C">
        <w:rPr>
          <w:color w:val="ED7D31" w:themeColor="accent2"/>
        </w:rPr>
        <w:t>orange</w:t>
      </w:r>
      <w:r>
        <w:t xml:space="preserve"> and </w:t>
      </w:r>
      <w:r w:rsidRPr="00CF7D2C">
        <w:rPr>
          <w:color w:val="FF0000"/>
        </w:rPr>
        <w:t>red</w:t>
      </w:r>
      <w:r>
        <w:t xml:space="preserve"> threshold. The </w:t>
      </w:r>
      <w:r w:rsidRPr="0022569A">
        <w:rPr>
          <w:color w:val="00B050"/>
        </w:rPr>
        <w:t>green</w:t>
      </w:r>
      <w:r>
        <w:t xml:space="preserve"> zone is actually a relatively </w:t>
      </w:r>
      <w:r w:rsidRPr="70F05EAA">
        <w:rPr>
          <w:rStyle w:val="Strong"/>
        </w:rPr>
        <w:t>narrow</w:t>
      </w:r>
      <w:r>
        <w:t xml:space="preserve"> band.</w:t>
      </w:r>
    </w:p>
    <w:p w14:paraId="45640BBC" w14:textId="77777777" w:rsidR="009E69E8" w:rsidRDefault="009E69E8" w:rsidP="009E69E8">
      <w:r w:rsidRPr="00C84414">
        <w:lastRenderedPageBreak/>
        <w:t xml:space="preserve">In general, applications tend to work on a portion of its </w:t>
      </w:r>
      <w:hyperlink r:id="rId655" w:history="1">
        <w:r w:rsidRPr="003500AD">
          <w:rPr>
            <w:rStyle w:val="Hyperlink"/>
          </w:rPr>
          <w:t>Working Set</w:t>
        </w:r>
      </w:hyperlink>
      <w:r w:rsidRPr="00C84414">
        <w:t xml:space="preserve"> at any given time. The process is not touching all its memory all the time. As a result, the rest becomes cache. This is why it’s fine to have active + cache beyond 95%. If your ESXi is showing 98%, do not panic</w:t>
      </w:r>
      <w:r>
        <w:t xml:space="preserve">. In fact, ESXi will wait until it passes 99% before it triggers </w:t>
      </w:r>
      <w:hyperlink w:anchor="_ESXi_Memory_Metrics" w:history="1">
        <w:r w:rsidRPr="00E67D1C">
          <w:rPr>
            <w:rStyle w:val="Hyperlink"/>
          </w:rPr>
          <w:t>ballooning</w:t>
        </w:r>
      </w:hyperlink>
      <w:r>
        <w:t xml:space="preserve"> process</w:t>
      </w:r>
      <w:r w:rsidRPr="00C84414">
        <w:t>. Windows and Linux are doing this too. The modern-day OS is doing its job caching all those pages for you. So you want to keep the Free pages low.</w:t>
      </w:r>
    </w:p>
    <w:p w14:paraId="2A22F388" w14:textId="77777777" w:rsidR="009E69E8" w:rsidRPr="00C84414" w:rsidRDefault="009E69E8" w:rsidP="009E69E8">
      <w:pPr>
        <w:pStyle w:val="BeforeTable"/>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22"/>
        <w:gridCol w:w="8334"/>
      </w:tblGrid>
      <w:tr w:rsidR="009E69E8" w:rsidRPr="00571E6C" w14:paraId="5DAB0DA2" w14:textId="77777777" w:rsidTr="00FC5E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shd w:val="clear" w:color="auto" w:fill="F2F2F2" w:themeFill="background1" w:themeFillShade="F2"/>
          </w:tcPr>
          <w:p w14:paraId="19E55FC8" w14:textId="77777777" w:rsidR="009E69E8" w:rsidRPr="00571E6C" w:rsidRDefault="009E69E8" w:rsidP="00FC5E62">
            <w:pPr>
              <w:pStyle w:val="Tableheading"/>
              <w:rPr>
                <w:b/>
              </w:rPr>
            </w:pPr>
            <w:r w:rsidRPr="00571E6C">
              <w:rPr>
                <w:b/>
              </w:rPr>
              <w:t>Rule</w:t>
            </w:r>
          </w:p>
        </w:tc>
        <w:tc>
          <w:tcPr>
            <w:tcW w:w="8334" w:type="dxa"/>
          </w:tcPr>
          <w:p w14:paraId="0F98380D" w14:textId="77777777" w:rsidR="009E69E8" w:rsidRPr="00571E6C" w:rsidRDefault="009E69E8" w:rsidP="00FC5E62">
            <w:pPr>
              <w:pStyle w:val="Tableheading"/>
              <w:cnfStyle w:val="100000000000" w:firstRow="1" w:lastRow="0" w:firstColumn="0" w:lastColumn="0" w:oddVBand="0" w:evenVBand="0" w:oddHBand="0" w:evenHBand="0" w:firstRowFirstColumn="0" w:firstRowLastColumn="0" w:lastRowFirstColumn="0" w:lastRowLastColumn="0"/>
              <w:rPr>
                <w:b/>
              </w:rPr>
            </w:pPr>
            <w:r w:rsidRPr="00571E6C">
              <w:rPr>
                <w:b/>
              </w:rPr>
              <w:t>Description</w:t>
            </w:r>
          </w:p>
        </w:tc>
      </w:tr>
      <w:tr w:rsidR="009E69E8" w:rsidRPr="00E51A31" w14:paraId="6281A959" w14:textId="77777777" w:rsidTr="00FC5E62">
        <w:tc>
          <w:tcPr>
            <w:cnfStyle w:val="001000000000" w:firstRow="0" w:lastRow="0" w:firstColumn="1" w:lastColumn="0" w:oddVBand="0" w:evenVBand="0" w:oddHBand="0" w:evenHBand="0" w:firstRowFirstColumn="0" w:firstRowLastColumn="0" w:lastRowFirstColumn="0" w:lastRowLastColumn="0"/>
            <w:tcW w:w="2122" w:type="dxa"/>
            <w:shd w:val="clear" w:color="auto" w:fill="F2F2F2" w:themeFill="background1" w:themeFillShade="F2"/>
          </w:tcPr>
          <w:p w14:paraId="0636E190" w14:textId="77777777" w:rsidR="009E69E8" w:rsidRPr="00571E6C" w:rsidRDefault="009E69E8" w:rsidP="00FC5E62">
            <w:pPr>
              <w:pStyle w:val="Tablecontent"/>
              <w:rPr>
                <w:b w:val="0"/>
                <w:bCs w:val="0"/>
              </w:rPr>
            </w:pPr>
            <w:r w:rsidRPr="00571E6C">
              <w:rPr>
                <w:b w:val="0"/>
                <w:bCs w:val="0"/>
              </w:rPr>
              <w:t>Include cache</w:t>
            </w:r>
          </w:p>
        </w:tc>
        <w:tc>
          <w:tcPr>
            <w:tcW w:w="8334" w:type="dxa"/>
          </w:tcPr>
          <w:p w14:paraId="0277FF66" w14:textId="77777777" w:rsidR="009E69E8" w:rsidRDefault="009E69E8" w:rsidP="00FC5E62">
            <w:pPr>
              <w:pStyle w:val="Tablecontent"/>
              <w:cnfStyle w:val="000000000000" w:firstRow="0" w:lastRow="0" w:firstColumn="0" w:lastColumn="0" w:oddVBand="0" w:evenVBand="0" w:oddHBand="0" w:evenHBand="0" w:firstRowFirstColumn="0" w:firstRowLastColumn="0" w:lastRowFirstColumn="0" w:lastRowLastColumn="0"/>
            </w:pPr>
            <w:r>
              <w:t>Guest OS uses RAM as cache. If you size the OS based on what it actually uses, it will have neither cache nor free memory. It will start paging out to make room for Cache and Free, which can cause performance problems. As a result, the name of this proposed counter should not be called Demand as it contains more than unmet demand. It is what the OS needs to operate without heavy paging. Hence the counter name to use is Needed memory, not Memory Demand.</w:t>
            </w:r>
          </w:p>
          <w:p w14:paraId="508D945E" w14:textId="77777777" w:rsidR="009E69E8" w:rsidRPr="00AF71EC" w:rsidRDefault="009E69E8" w:rsidP="00FC5E62">
            <w:pPr>
              <w:pStyle w:val="Tablecontent"/>
              <w:cnfStyle w:val="000000000000" w:firstRow="0" w:lastRow="0" w:firstColumn="0" w:lastColumn="0" w:oddVBand="0" w:evenVBand="0" w:oddHBand="0" w:evenHBand="0" w:firstRowFirstColumn="0" w:firstRowLastColumn="0" w:lastRowFirstColumn="0" w:lastRowLastColumn="0"/>
            </w:pPr>
            <w:r>
              <w:t>The challenge here is how much cache do you want to include?</w:t>
            </w:r>
          </w:p>
        </w:tc>
      </w:tr>
      <w:tr w:rsidR="009E69E8" w:rsidRPr="00E51A31" w14:paraId="390FC31B" w14:textId="77777777" w:rsidTr="00FC5E62">
        <w:tc>
          <w:tcPr>
            <w:cnfStyle w:val="001000000000" w:firstRow="0" w:lastRow="0" w:firstColumn="1" w:lastColumn="0" w:oddVBand="0" w:evenVBand="0" w:oddHBand="0" w:evenHBand="0" w:firstRowFirstColumn="0" w:firstRowLastColumn="0" w:lastRowFirstColumn="0" w:lastRowLastColumn="0"/>
            <w:tcW w:w="2122" w:type="dxa"/>
            <w:shd w:val="clear" w:color="auto" w:fill="F2F2F2" w:themeFill="background1" w:themeFillShade="F2"/>
          </w:tcPr>
          <w:p w14:paraId="234AABF4" w14:textId="77777777" w:rsidR="009E69E8" w:rsidRPr="00571E6C" w:rsidRDefault="009E69E8" w:rsidP="00FC5E62">
            <w:pPr>
              <w:pStyle w:val="Tablecontent"/>
              <w:rPr>
                <w:b w:val="0"/>
                <w:bCs w:val="0"/>
              </w:rPr>
            </w:pPr>
            <w:r w:rsidRPr="00571E6C">
              <w:rPr>
                <w:b w:val="0"/>
                <w:bCs w:val="0"/>
              </w:rPr>
              <w:t>Exclude Page File</w:t>
            </w:r>
          </w:p>
        </w:tc>
        <w:tc>
          <w:tcPr>
            <w:tcW w:w="8334" w:type="dxa"/>
          </w:tcPr>
          <w:p w14:paraId="02B36358" w14:textId="77777777" w:rsidR="009E69E8" w:rsidRDefault="009E69E8" w:rsidP="00FC5E62">
            <w:pPr>
              <w:pStyle w:val="Tablecontent"/>
              <w:cnfStyle w:val="000000000000" w:firstRow="0" w:lastRow="0" w:firstColumn="0" w:lastColumn="0" w:oddVBand="0" w:evenVBand="0" w:oddHBand="0" w:evenHBand="0" w:firstRowFirstColumn="0" w:firstRowLastColumn="0" w:lastRowFirstColumn="0" w:lastRowLastColumn="0"/>
            </w:pPr>
            <w:r>
              <w:t>Including the pagefile will result in sizing that is too conservative as Windows and Linux already has cache even in their In Use counter.</w:t>
            </w:r>
          </w:p>
          <w:p w14:paraId="36F6E72F" w14:textId="77777777" w:rsidR="009E69E8" w:rsidRPr="00AF71EC" w:rsidRDefault="009E69E8" w:rsidP="00FC5E62">
            <w:pPr>
              <w:pStyle w:val="Tablecontent"/>
              <w:cnfStyle w:val="000000000000" w:firstRow="0" w:lastRow="0" w:firstColumn="0" w:lastColumn="0" w:oddVBand="0" w:evenVBand="0" w:oddHBand="0" w:evenHBand="0" w:firstRowFirstColumn="0" w:firstRowLastColumn="0" w:lastRowFirstColumn="0" w:lastRowLastColumn="0"/>
            </w:pPr>
            <w:r>
              <w:t>Guest OS uses virtual RAM and physical RAM together. They page-in proactively, prefetching pages when there is no real demand due to memory mapped files. This makes determining unmet demand impossible. A page vault does not distinguish between real need versus proactive need.</w:t>
            </w:r>
          </w:p>
        </w:tc>
      </w:tr>
      <w:tr w:rsidR="009E69E8" w:rsidRPr="00E51A31" w14:paraId="2E4084EF" w14:textId="77777777" w:rsidTr="00FC5E62">
        <w:tc>
          <w:tcPr>
            <w:cnfStyle w:val="001000000000" w:firstRow="0" w:lastRow="0" w:firstColumn="1" w:lastColumn="0" w:oddVBand="0" w:evenVBand="0" w:oddHBand="0" w:evenHBand="0" w:firstRowFirstColumn="0" w:firstRowLastColumn="0" w:lastRowFirstColumn="0" w:lastRowLastColumn="0"/>
            <w:tcW w:w="2122" w:type="dxa"/>
            <w:shd w:val="clear" w:color="auto" w:fill="F2F2F2" w:themeFill="background1" w:themeFillShade="F2"/>
          </w:tcPr>
          <w:p w14:paraId="2CBCA2CD" w14:textId="77777777" w:rsidR="009E69E8" w:rsidRPr="00571E6C" w:rsidRDefault="009E69E8" w:rsidP="00FC5E62">
            <w:pPr>
              <w:pStyle w:val="Tablecontent"/>
              <w:rPr>
                <w:b w:val="0"/>
                <w:bCs w:val="0"/>
              </w:rPr>
            </w:pPr>
            <w:r w:rsidRPr="00571E6C">
              <w:rPr>
                <w:b w:val="0"/>
                <w:bCs w:val="0"/>
              </w:rPr>
              <w:t>Don’t fallback to VM metric</w:t>
            </w:r>
          </w:p>
        </w:tc>
        <w:tc>
          <w:tcPr>
            <w:tcW w:w="8334" w:type="dxa"/>
          </w:tcPr>
          <w:p w14:paraId="5BBE4A98" w14:textId="77777777" w:rsidR="009E69E8" w:rsidRPr="00D11CF5" w:rsidRDefault="009E69E8" w:rsidP="00FC5E62">
            <w:pPr>
              <w:pStyle w:val="Tablecontent"/>
              <w:cnfStyle w:val="000000000000" w:firstRow="0" w:lastRow="0" w:firstColumn="0" w:lastColumn="0" w:oddVBand="0" w:evenVBand="0" w:oddHBand="0" w:evenHBand="0" w:firstRowFirstColumn="0" w:firstRowLastColumn="0" w:lastRowFirstColumn="0" w:lastRowLastColumn="0"/>
            </w:pPr>
            <w:r w:rsidRPr="00D11CF5">
              <w:t>Since we are sizing the Guest OS, we use Guest OS only. No falling back to VM as it’s inaccurate.</w:t>
            </w:r>
          </w:p>
        </w:tc>
      </w:tr>
      <w:tr w:rsidR="009E69E8" w:rsidRPr="00E51A31" w14:paraId="2FA4581D" w14:textId="77777777" w:rsidTr="00FC5E62">
        <w:tc>
          <w:tcPr>
            <w:cnfStyle w:val="001000000000" w:firstRow="0" w:lastRow="0" w:firstColumn="1" w:lastColumn="0" w:oddVBand="0" w:evenVBand="0" w:oddHBand="0" w:evenHBand="0" w:firstRowFirstColumn="0" w:firstRowLastColumn="0" w:lastRowFirstColumn="0" w:lastRowLastColumn="0"/>
            <w:tcW w:w="2122" w:type="dxa"/>
            <w:shd w:val="clear" w:color="auto" w:fill="F2F2F2" w:themeFill="background1" w:themeFillShade="F2"/>
          </w:tcPr>
          <w:p w14:paraId="7C3884E2" w14:textId="77777777" w:rsidR="009E69E8" w:rsidRPr="00571E6C" w:rsidRDefault="009E69E8" w:rsidP="00FC5E62">
            <w:pPr>
              <w:pStyle w:val="Tablecontent"/>
              <w:rPr>
                <w:b w:val="0"/>
                <w:bCs w:val="0"/>
              </w:rPr>
            </w:pPr>
            <w:r w:rsidRPr="00571E6C">
              <w:rPr>
                <w:b w:val="0"/>
                <w:bCs w:val="0"/>
              </w:rPr>
              <w:t>Exclude latency</w:t>
            </w:r>
          </w:p>
        </w:tc>
        <w:tc>
          <w:tcPr>
            <w:tcW w:w="8334" w:type="dxa"/>
          </w:tcPr>
          <w:p w14:paraId="1F4EDDEC" w14:textId="77777777" w:rsidR="009E69E8" w:rsidRPr="00D11CF5" w:rsidRDefault="009E69E8" w:rsidP="00FC5E62">
            <w:pPr>
              <w:pStyle w:val="Tablecontent"/>
              <w:cnfStyle w:val="000000000000" w:firstRow="0" w:lastRow="0" w:firstColumn="0" w:lastColumn="0" w:oddVBand="0" w:evenVBand="0" w:oddHBand="0" w:evenHBand="0" w:firstRowFirstColumn="0" w:firstRowLastColumn="0" w:lastRowFirstColumn="0" w:lastRowLastColumn="0"/>
            </w:pPr>
            <w:r w:rsidRPr="00D11CF5">
              <w:t>RAM contention measures latency, hence not applicable. We’re measuring the disk space, not latency. Space, not Speed. Utilization, not Performance.</w:t>
            </w:r>
          </w:p>
        </w:tc>
      </w:tr>
    </w:tbl>
    <w:p w14:paraId="4ED51EE9" w14:textId="77777777" w:rsidR="009E69E8" w:rsidRPr="00D11CF5" w:rsidRDefault="009E69E8" w:rsidP="009E69E8">
      <w:r w:rsidRPr="00D11CF5">
        <w:t>Unlike CPU, there are more difference between Windows and Linux when it comes to memory.</w:t>
      </w:r>
    </w:p>
    <w:p w14:paraId="610FAA55" w14:textId="77777777" w:rsidR="009E69E8" w:rsidRDefault="009E69E8" w:rsidP="009E69E8">
      <w:r w:rsidRPr="00D11CF5">
        <w:t>For vRealize Operations specific implementation, review</w:t>
      </w:r>
      <w:r>
        <w:t xml:space="preserve"> </w:t>
      </w:r>
      <w:hyperlink r:id="rId656" w:history="1">
        <w:r w:rsidRPr="003B10B9">
          <w:rPr>
            <w:rStyle w:val="Hyperlink"/>
          </w:rPr>
          <w:t>this</w:t>
        </w:r>
      </w:hyperlink>
      <w:r w:rsidRPr="00D11CF5">
        <w:t xml:space="preserve"> post by </w:t>
      </w:r>
      <w:hyperlink r:id="rId657" w:history="1">
        <w:r w:rsidRPr="00A774FC">
          <w:rPr>
            <w:rStyle w:val="Hyperlink"/>
          </w:rPr>
          <w:t>Brandon Gordon</w:t>
        </w:r>
      </w:hyperlink>
      <w:r w:rsidRPr="00D11CF5">
        <w:t>.</w:t>
      </w:r>
    </w:p>
    <w:p w14:paraId="64F200FD" w14:textId="77777777" w:rsidR="009E69E8" w:rsidRDefault="009E69E8" w:rsidP="009E69E8">
      <w:pPr>
        <w:pStyle w:val="Heading4"/>
      </w:pPr>
      <w:r>
        <w:t xml:space="preserve">VM </w:t>
      </w:r>
      <w:r w:rsidRPr="00FB4531">
        <w:t>Memory Sizing</w:t>
      </w:r>
    </w:p>
    <w:p w14:paraId="331CDBA7" w14:textId="77777777" w:rsidR="009E69E8" w:rsidRDefault="009E69E8" w:rsidP="009E69E8">
      <w:pPr>
        <w:rPr>
          <w:lang w:val="en-GB"/>
        </w:rPr>
      </w:pPr>
      <w:r>
        <w:rPr>
          <w:lang w:val="en-GB"/>
        </w:rPr>
        <w:t>Since the goal is to calculate the total footprint, you need to include all the pages associated to the VM.</w:t>
      </w:r>
    </w:p>
    <w:p w14:paraId="7523652A" w14:textId="77777777" w:rsidR="009E69E8" w:rsidRDefault="009E69E8" w:rsidP="009E69E8">
      <w:r>
        <w:rPr>
          <w:lang w:val="en-GB"/>
        </w:rPr>
        <w:t xml:space="preserve">= </w:t>
      </w:r>
      <w:r>
        <w:t>Consumed + Overhead + Swapped + Compressed + Ballooned</w:t>
      </w:r>
    </w:p>
    <w:p w14:paraId="69ECF1BE" w14:textId="77777777" w:rsidR="009E69E8" w:rsidRDefault="009E69E8" w:rsidP="009E69E8">
      <w:r>
        <w:t>The effect of Transparent Page Sharing should be included as that likely persist when you vMotion the VM.</w:t>
      </w:r>
    </w:p>
    <w:p w14:paraId="4202FF08" w14:textId="77777777" w:rsidR="009E69E8" w:rsidRPr="003214D1" w:rsidRDefault="009E69E8" w:rsidP="009E69E8">
      <w:r>
        <w:t>Memory contention is not included as that measures speed, not space.</w:t>
      </w:r>
    </w:p>
    <w:p w14:paraId="03102502" w14:textId="2E377F91" w:rsidR="00FF0111" w:rsidRDefault="007D48E7" w:rsidP="00B373E2">
      <w:pPr>
        <w:pStyle w:val="Heading2"/>
      </w:pPr>
      <w:r>
        <w:lastRenderedPageBreak/>
        <w:t xml:space="preserve">vSphere </w:t>
      </w:r>
      <w:r w:rsidR="00FF0111">
        <w:t>ESXi</w:t>
      </w:r>
    </w:p>
    <w:p w14:paraId="3F47D620" w14:textId="09682F15" w:rsidR="007D48E7" w:rsidRDefault="00DC7648" w:rsidP="007D48E7">
      <w:pPr>
        <w:pStyle w:val="AfterChapterTitle"/>
      </w:pPr>
      <w:r>
        <w:t>Now that you’ve read the VM metrics, it’s easier to understand the ESXi metrics. Be prepared to look at the metrics from physical viewpoint</w:t>
      </w:r>
      <w:r w:rsidR="007A6FCC">
        <mc:AlternateContent>
          <mc:Choice Requires="wps">
            <w:drawing>
              <wp:anchor distT="0" distB="0" distL="114300" distR="114300" simplePos="0" relativeHeight="251692032" behindDoc="0" locked="0" layoutInCell="1" allowOverlap="1" wp14:anchorId="6F5C0A47" wp14:editId="39034865">
                <wp:simplePos x="0" y="0"/>
                <wp:positionH relativeFrom="column">
                  <wp:posOffset>0</wp:posOffset>
                </wp:positionH>
                <wp:positionV relativeFrom="paragraph">
                  <wp:posOffset>0</wp:posOffset>
                </wp:positionV>
                <wp:extent cx="1828800" cy="1828800"/>
                <wp:effectExtent l="0" t="0" r="0" b="0"/>
                <wp:wrapNone/>
                <wp:docPr id="1971069049" name="Text Box 197106904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B8AFBE6" w14:textId="3E326DB7" w:rsidR="007A6FCC" w:rsidRPr="00C84219" w:rsidRDefault="007A6FCC" w:rsidP="007A6FCC">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2 Chapter </w:t>
                            </w:r>
                            <w:r w:rsidR="00487E8C">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6F5C0A47" id="Text Box 1971069049" o:spid="_x0000_s1035" type="#_x0000_t202" style="position:absolute;margin-left:0;margin-top:0;width:2in;height:2in;z-index:2516920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" filled="f" stroked="f">
                <v:textbox style="mso-fit-shape-to-text:t">
                  <w:txbxContent>
                    <w:p w14:paraId="3B8AFBE6" w14:textId="3E326DB7" w:rsidR="007A6FCC" w:rsidRPr="00C84219" w:rsidRDefault="007A6FCC" w:rsidP="007A6FCC">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2 Chapter </w:t>
                      </w:r>
                      <w:r w:rsidR="00487E8C">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5</w:t>
                      </w:r>
                    </w:p>
                  </w:txbxContent>
                </v:textbox>
              </v:shape>
            </w:pict>
          </mc:Fallback>
        </mc:AlternateContent>
      </w:r>
      <w:r w:rsidR="008125CF">
        <w:t>.</w:t>
      </w:r>
    </w:p>
    <w:p w14:paraId="0E3C164C" w14:textId="4B5E7F9B" w:rsidR="008125CF" w:rsidRDefault="008125CF" w:rsidP="00FF0111">
      <w:pPr>
        <w:pStyle w:val="Heading3"/>
      </w:pPr>
      <w:r w:rsidRPr="008125CF">
        <w:t xml:space="preserve">ESXi </w:t>
      </w:r>
      <w:bookmarkStart w:id="113" w:name="_Hlk134634746"/>
      <w:r w:rsidR="00590548">
        <w:rPr>
          <w:rFonts w:ascii="Times New Roman" w:hAnsi="Times New Roman" w:cs="Times New Roman"/>
        </w:rPr>
        <w:t>≠</w:t>
      </w:r>
      <w:bookmarkEnd w:id="113"/>
      <w:r w:rsidRPr="008125CF">
        <w:t xml:space="preserve"> VM + VMkernel</w:t>
      </w:r>
    </w:p>
    <w:p w14:paraId="07E54031" w14:textId="77777777" w:rsidR="008125CF" w:rsidRPr="008125CF" w:rsidRDefault="008125CF" w:rsidP="008125CF">
      <w:pPr>
        <w:rPr>
          <w:lang w:val="en-GB"/>
        </w:rPr>
      </w:pPr>
      <w:r w:rsidRPr="008125CF">
        <w:rPr>
          <w:lang w:val="en-GB"/>
        </w:rPr>
        <w:t>In theory, we can say that the consumption type of metrics at ESXi is the sum of its VMs + VMkernel, while the contention type of metrics is the sum of its VMs + non vSphere kernel modules (e.g. vSAN world and NSX world). The reason the 2 metric types are different is the VMkernel practically does not experience contention as it gets the highest priority.</w:t>
      </w:r>
    </w:p>
    <w:p w14:paraId="2907CE5D" w14:textId="3CAA9EDA" w:rsidR="008125CF" w:rsidRDefault="008125CF" w:rsidP="008125CF">
      <w:pPr>
        <w:rPr>
          <w:lang w:val="en-GB"/>
        </w:rPr>
      </w:pPr>
      <w:r w:rsidRPr="008125CF">
        <w:rPr>
          <w:lang w:val="en-GB"/>
        </w:rPr>
        <w:t>In practice, it is often easier to measure direct at ESXi level and avoid VM level counters altogether.</w:t>
      </w:r>
    </w:p>
    <w:p w14:paraId="0C490CE3" w14:textId="77777777" w:rsidR="00452E01" w:rsidRDefault="00452E01" w:rsidP="00452E01">
      <w:pPr>
        <w:pStyle w:val="Heading4"/>
      </w:pPr>
      <w:r>
        <w:t>VMkernel</w:t>
      </w:r>
    </w:p>
    <w:p w14:paraId="74BFF13C" w14:textId="24356FCE" w:rsidR="00452E01" w:rsidRPr="008C1CD8" w:rsidRDefault="000A4AD6" w:rsidP="00452E01">
      <w:pPr>
        <w:rPr>
          <w:lang w:val="en-GB"/>
        </w:rPr>
      </w:pPr>
      <w:r>
        <w:rPr>
          <w:lang w:val="en-GB"/>
        </w:rPr>
        <w:t xml:space="preserve">VMkernel </w:t>
      </w:r>
      <w:r w:rsidR="00452E01">
        <w:rPr>
          <w:lang w:val="en-GB"/>
        </w:rPr>
        <w:t>consumes its own resources in all aspects (CPU, memory, disk, and network). With vSAN and NSX, the consumption is no longer something you can ignore. BTW, metric VMkernel Usage does not include vSAN &amp; NSX.</w:t>
      </w:r>
    </w:p>
    <w:p w14:paraId="02966ED5" w14:textId="77777777" w:rsidR="00452E01" w:rsidRDefault="00452E01" w:rsidP="00452E01">
      <w:pPr>
        <w:rPr>
          <w:lang w:val="en-GB"/>
        </w:rPr>
      </w:pPr>
      <w:r>
        <w:rPr>
          <w:lang w:val="en-GB"/>
        </w:rPr>
        <w:t xml:space="preserve">All the processes that run in VMkernel belong to one these 4 </w:t>
      </w:r>
      <w:r w:rsidRPr="001501FD">
        <w:rPr>
          <w:color w:val="00B0F0"/>
          <w:lang w:val="en-GB"/>
        </w:rPr>
        <w:t xml:space="preserve">top-level </w:t>
      </w:r>
      <w:r>
        <w:rPr>
          <w:lang w:val="en-GB"/>
        </w:rPr>
        <w:t>resource groups:</w:t>
      </w:r>
    </w:p>
    <w:p w14:paraId="6026815F" w14:textId="77777777" w:rsidR="00452E01" w:rsidRDefault="00452E01" w:rsidP="00452E01">
      <w:pPr>
        <w:pStyle w:val="BeforeTable"/>
        <w:rPr>
          <w:lang w:val="en-GB"/>
        </w:rPr>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985"/>
        <w:gridCol w:w="8505"/>
      </w:tblGrid>
      <w:tr w:rsidR="00452E01" w:rsidRPr="00E51A31" w14:paraId="34255F7F" w14:textId="77777777" w:rsidTr="00566FB6">
        <w:tc>
          <w:tcPr>
            <w:tcW w:w="1985" w:type="dxa"/>
            <w:shd w:val="clear" w:color="auto" w:fill="F2F2F2" w:themeFill="background1" w:themeFillShade="F2"/>
          </w:tcPr>
          <w:p w14:paraId="403E08DC" w14:textId="77777777" w:rsidR="00452E01" w:rsidRDefault="00452E01" w:rsidP="00566FB6">
            <w:pPr>
              <w:pStyle w:val="Tablecontent"/>
              <w:rPr>
                <w:lang w:val="en-GB"/>
              </w:rPr>
            </w:pPr>
            <w:r w:rsidRPr="00AC0F17">
              <w:rPr>
                <w:b/>
                <w:bCs/>
              </w:rPr>
              <w:t>System</w:t>
            </w:r>
          </w:p>
        </w:tc>
        <w:tc>
          <w:tcPr>
            <w:tcW w:w="8505" w:type="dxa"/>
          </w:tcPr>
          <w:p w14:paraId="26E6A741" w14:textId="77777777" w:rsidR="00452E01" w:rsidRDefault="00452E01" w:rsidP="00566FB6">
            <w:pPr>
              <w:pStyle w:val="Tablecontent"/>
            </w:pPr>
            <w:r>
              <w:t xml:space="preserve">host/system resource pool for </w:t>
            </w:r>
            <w:r w:rsidRPr="00E606F8">
              <w:t>low-level kernel services and drivers</w:t>
            </w:r>
            <w:r>
              <w:t xml:space="preserve">. You will find world such as </w:t>
            </w:r>
            <w:r w:rsidRPr="008914A1">
              <w:t xml:space="preserve">minfree, kernel, helper, ft, vmotion, </w:t>
            </w:r>
            <w:r>
              <w:t xml:space="preserve">and </w:t>
            </w:r>
            <w:r w:rsidRPr="008914A1">
              <w:t>driver</w:t>
            </w:r>
            <w:r>
              <w:t xml:space="preserve">s. </w:t>
            </w:r>
          </w:p>
          <w:p w14:paraId="79AB3F74" w14:textId="77777777" w:rsidR="00452E01" w:rsidRDefault="00452E01" w:rsidP="00566FB6">
            <w:pPr>
              <w:pStyle w:val="Tablecontent"/>
            </w:pPr>
            <w:r>
              <w:t>The CPU reservation value for this world is surprisingly low. It’s below 1 GHz.</w:t>
            </w:r>
          </w:p>
          <w:p w14:paraId="39AE32FC" w14:textId="77777777" w:rsidR="00452E01" w:rsidRDefault="00452E01" w:rsidP="00566FB6">
            <w:pPr>
              <w:pStyle w:val="Tablecontent"/>
            </w:pPr>
            <w:r>
              <w:t>The memory reservation value for this world is high. It’s ~20 – 30 GB depending on the ESXi.</w:t>
            </w:r>
          </w:p>
          <w:p w14:paraId="6AE6D279" w14:textId="77777777" w:rsidR="00452E01" w:rsidRPr="00DD4DB0" w:rsidRDefault="00452E01" w:rsidP="00566FB6">
            <w:pPr>
              <w:pStyle w:val="Tablecontent"/>
            </w:pPr>
            <w:r>
              <w:t>Compared with the VIM resource, it tends to have much lower CPU reservation but much higher memory reservation</w:t>
            </w:r>
          </w:p>
        </w:tc>
      </w:tr>
      <w:tr w:rsidR="00452E01" w:rsidRPr="00E51A31" w14:paraId="4E0CB683" w14:textId="77777777" w:rsidTr="00566FB6">
        <w:tc>
          <w:tcPr>
            <w:tcW w:w="1985" w:type="dxa"/>
            <w:shd w:val="clear" w:color="auto" w:fill="F2F2F2" w:themeFill="background1" w:themeFillShade="F2"/>
          </w:tcPr>
          <w:p w14:paraId="18CD6893" w14:textId="77777777" w:rsidR="00452E01" w:rsidRPr="00AC0F17" w:rsidRDefault="00452E01" w:rsidP="00566FB6">
            <w:pPr>
              <w:pStyle w:val="Tablecontent"/>
              <w:rPr>
                <w:b/>
                <w:bCs/>
              </w:rPr>
            </w:pPr>
            <w:r w:rsidRPr="00AC0F17">
              <w:rPr>
                <w:b/>
                <w:bCs/>
              </w:rPr>
              <w:t>VIM</w:t>
            </w:r>
          </w:p>
        </w:tc>
        <w:tc>
          <w:tcPr>
            <w:tcW w:w="8505" w:type="dxa"/>
          </w:tcPr>
          <w:p w14:paraId="1B319649" w14:textId="77777777" w:rsidR="00452E01" w:rsidRDefault="00452E01" w:rsidP="00566FB6">
            <w:pPr>
              <w:pStyle w:val="Tablecontent"/>
            </w:pPr>
            <w:r>
              <w:t xml:space="preserve">host/vim resource pool for </w:t>
            </w:r>
            <w:r w:rsidRPr="00731B00">
              <w:t xml:space="preserve">host management process such as </w:t>
            </w:r>
            <w:r>
              <w:t xml:space="preserve">vpxa, </w:t>
            </w:r>
            <w:r w:rsidRPr="00731B00">
              <w:t xml:space="preserve">DCUI, </w:t>
            </w:r>
            <w:r>
              <w:t xml:space="preserve">and </w:t>
            </w:r>
            <w:r w:rsidRPr="00731B00">
              <w:t>hostd</w:t>
            </w:r>
          </w:p>
          <w:p w14:paraId="585F41EA" w14:textId="77777777" w:rsidR="00452E01" w:rsidRDefault="00452E01" w:rsidP="00566FB6">
            <w:pPr>
              <w:pStyle w:val="Tablecontent"/>
            </w:pPr>
            <w:r>
              <w:t>The CPU reservation value for this world is relatively high. I notice it’s around 4 – 12 GHz depending on the ESXi.</w:t>
            </w:r>
          </w:p>
          <w:p w14:paraId="59708E37" w14:textId="77777777" w:rsidR="00452E01" w:rsidRDefault="00452E01" w:rsidP="00566FB6">
            <w:pPr>
              <w:pStyle w:val="Tablecontent"/>
            </w:pPr>
            <w:r>
              <w:t>The memory reservation value is surprisingly low. It could be even 0 GB.</w:t>
            </w:r>
          </w:p>
        </w:tc>
      </w:tr>
      <w:tr w:rsidR="00452E01" w:rsidRPr="00E51A31" w14:paraId="33D16991" w14:textId="77777777" w:rsidTr="00566FB6">
        <w:tc>
          <w:tcPr>
            <w:tcW w:w="1985" w:type="dxa"/>
            <w:shd w:val="clear" w:color="auto" w:fill="F2F2F2" w:themeFill="background1" w:themeFillShade="F2"/>
          </w:tcPr>
          <w:p w14:paraId="58C293F5" w14:textId="77777777" w:rsidR="00452E01" w:rsidRPr="00AC0F17" w:rsidRDefault="00452E01" w:rsidP="00566FB6">
            <w:pPr>
              <w:pStyle w:val="Tablecontent"/>
              <w:rPr>
                <w:b/>
                <w:bCs/>
              </w:rPr>
            </w:pPr>
            <w:r w:rsidRPr="00AC0F17">
              <w:rPr>
                <w:b/>
                <w:bCs/>
              </w:rPr>
              <w:t>IO Filter</w:t>
            </w:r>
          </w:p>
        </w:tc>
        <w:tc>
          <w:tcPr>
            <w:tcW w:w="8505" w:type="dxa"/>
          </w:tcPr>
          <w:p w14:paraId="3BB30C13" w14:textId="77777777" w:rsidR="00452E01" w:rsidRDefault="00452E01" w:rsidP="00566FB6">
            <w:pPr>
              <w:pStyle w:val="Tablecontent"/>
            </w:pPr>
            <w:r>
              <w:t>host/iofilter resource pool</w:t>
            </w:r>
          </w:p>
          <w:p w14:paraId="5EE30839" w14:textId="77777777" w:rsidR="00452E01" w:rsidRDefault="00452E01" w:rsidP="00566FB6">
            <w:pPr>
              <w:pStyle w:val="Tablecontent"/>
            </w:pPr>
            <w:r>
              <w:t xml:space="preserve">The IO Filter processes are grouped here. </w:t>
            </w:r>
          </w:p>
          <w:p w14:paraId="46BF4BF2" w14:textId="77777777" w:rsidR="00452E01" w:rsidRDefault="00452E01" w:rsidP="00566FB6">
            <w:pPr>
              <w:pStyle w:val="Tablecontent"/>
            </w:pPr>
            <w:r>
              <w:t>vSphere Client UI does not display the CPU or memory reservation metrics.</w:t>
            </w:r>
          </w:p>
        </w:tc>
      </w:tr>
      <w:tr w:rsidR="00452E01" w:rsidRPr="00E51A31" w14:paraId="7EC940AE" w14:textId="77777777" w:rsidTr="00566FB6">
        <w:tc>
          <w:tcPr>
            <w:tcW w:w="1985" w:type="dxa"/>
            <w:shd w:val="clear" w:color="auto" w:fill="F2F2F2" w:themeFill="background1" w:themeFillShade="F2"/>
          </w:tcPr>
          <w:p w14:paraId="03CBB3AD" w14:textId="77777777" w:rsidR="00452E01" w:rsidRPr="00A77F32" w:rsidRDefault="00452E01" w:rsidP="00566FB6">
            <w:pPr>
              <w:pStyle w:val="Tablecontent"/>
              <w:rPr>
                <w:b/>
                <w:bCs/>
              </w:rPr>
            </w:pPr>
            <w:r w:rsidRPr="00A77F32">
              <w:rPr>
                <w:b/>
                <w:bCs/>
              </w:rPr>
              <w:t>User</w:t>
            </w:r>
          </w:p>
        </w:tc>
        <w:tc>
          <w:tcPr>
            <w:tcW w:w="8505" w:type="dxa"/>
          </w:tcPr>
          <w:p w14:paraId="38B898B7" w14:textId="77777777" w:rsidR="00452E01" w:rsidRDefault="00452E01" w:rsidP="00566FB6">
            <w:pPr>
              <w:pStyle w:val="Tablecontent"/>
            </w:pPr>
            <w:r>
              <w:t>host/user resource pool</w:t>
            </w:r>
          </w:p>
          <w:p w14:paraId="1CC7660C" w14:textId="77777777" w:rsidR="00452E01" w:rsidRDefault="00452E01" w:rsidP="00566FB6">
            <w:pPr>
              <w:pStyle w:val="Tablecontent"/>
            </w:pPr>
            <w:r>
              <w:t xml:space="preserve">All the running VMs are children of the </w:t>
            </w:r>
            <w:r w:rsidRPr="00484C6F">
              <w:rPr>
                <w:color w:val="00B0F0"/>
              </w:rPr>
              <w:t xml:space="preserve">User </w:t>
            </w:r>
            <w:r>
              <w:t>resource pool. This includes the VM overhead as it’s part of the VM.</w:t>
            </w:r>
          </w:p>
          <w:p w14:paraId="28A28B5D" w14:textId="77777777" w:rsidR="00452E01" w:rsidRDefault="00452E01" w:rsidP="00566FB6">
            <w:pPr>
              <w:pStyle w:val="Tablecontent"/>
            </w:pPr>
            <w:r>
              <w:t>vSphere Client UI does not display the CPU or memory reservation metrics.</w:t>
            </w:r>
          </w:p>
        </w:tc>
      </w:tr>
    </w:tbl>
    <w:p w14:paraId="09C34182" w14:textId="77777777" w:rsidR="00452E01" w:rsidRPr="006E5F67" w:rsidRDefault="00452E01" w:rsidP="00452E01">
      <w:pPr>
        <w:pStyle w:val="BeforeTable"/>
      </w:pPr>
    </w:p>
    <w:p w14:paraId="22B4DA17" w14:textId="77777777" w:rsidR="00452E01" w:rsidRDefault="00452E01" w:rsidP="00452E01">
      <w:pPr>
        <w:rPr>
          <w:lang w:val="en-GB"/>
        </w:rPr>
      </w:pPr>
      <w:r>
        <w:rPr>
          <w:lang w:val="en-GB"/>
        </w:rPr>
        <w:t xml:space="preserve">In the vSphere Client UI, you will see the list of resource grouping in the </w:t>
      </w:r>
      <w:r w:rsidRPr="009A406A">
        <w:rPr>
          <w:color w:val="00B0F0"/>
          <w:lang w:val="en-GB"/>
        </w:rPr>
        <w:t>Target Objects</w:t>
      </w:r>
      <w:r>
        <w:rPr>
          <w:lang w:val="en-GB"/>
        </w:rPr>
        <w:t xml:space="preserve"> section in the performance chart. I’ve highlighted them in the following screenshot:</w:t>
      </w:r>
    </w:p>
    <w:p w14:paraId="0F1F713C" w14:textId="77777777" w:rsidR="00452E01" w:rsidRDefault="00452E01" w:rsidP="00452E01">
      <w:pPr>
        <w:rPr>
          <w:lang w:val="en-GB"/>
        </w:rPr>
      </w:pPr>
      <w:r w:rsidRPr="006A20FA">
        <w:rPr>
          <w:noProof/>
          <w:lang w:val="en-GB"/>
        </w:rPr>
        <w:lastRenderedPageBreak/>
        <w:drawing>
          <wp:inline distT="0" distB="0" distL="0" distR="0" wp14:anchorId="3060CE4F" wp14:editId="0CD776CF">
            <wp:extent cx="6645910" cy="5561965"/>
            <wp:effectExtent l="0" t="0" r="2540" b="635"/>
            <wp:docPr id="1293284808" name="Picture 1293284808"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08" name="Picture 1293284808" descr="Graphical user interface, table&#10;&#10;Description automatically generated"/>
                    <pic:cNvPicPr/>
                  </pic:nvPicPr>
                  <pic:blipFill>
                    <a:blip r:embed="rId658"/>
                    <a:stretch>
                      <a:fillRect/>
                    </a:stretch>
                  </pic:blipFill>
                  <pic:spPr>
                    <a:xfrm>
                      <a:off x="0" y="0"/>
                      <a:ext cx="6645910" cy="5561965"/>
                    </a:xfrm>
                    <a:prstGeom prst="rect">
                      <a:avLst/>
                    </a:prstGeom>
                  </pic:spPr>
                </pic:pic>
              </a:graphicData>
            </a:graphic>
          </wp:inline>
        </w:drawing>
      </w:r>
    </w:p>
    <w:p w14:paraId="4447CC36" w14:textId="77777777" w:rsidR="00452E01" w:rsidRDefault="00452E01" w:rsidP="00452E01">
      <w:pPr>
        <w:rPr>
          <w:lang w:val="en-GB"/>
        </w:rPr>
      </w:pPr>
      <w:r>
        <w:rPr>
          <w:lang w:val="en-GB"/>
        </w:rPr>
        <w:t xml:space="preserve">The VMkernel scheduler uses share, limit and reservation to manage all the above. This is fairly complex, so let’s elaborate. </w:t>
      </w:r>
    </w:p>
    <w:p w14:paraId="1171FD0D" w14:textId="77777777" w:rsidR="00452E01" w:rsidRDefault="00452E01" w:rsidP="00452E01">
      <w:pPr>
        <w:rPr>
          <w:lang w:val="en-GB"/>
        </w:rPr>
      </w:pPr>
      <w:r>
        <w:rPr>
          <w:lang w:val="en-GB"/>
        </w:rPr>
        <w:t>There are 3 types of metrics:</w:t>
      </w:r>
    </w:p>
    <w:p w14:paraId="5D058F7F" w14:textId="77777777" w:rsidR="00452E01" w:rsidRPr="00BE4CC7" w:rsidRDefault="00452E01" w:rsidP="00452E01">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413"/>
        <w:gridCol w:w="9043"/>
      </w:tblGrid>
      <w:tr w:rsidR="00452E01" w:rsidRPr="00DC3A68" w14:paraId="77632067" w14:textId="77777777" w:rsidTr="00566FB6">
        <w:trPr>
          <w:trHeight w:val="61"/>
        </w:trPr>
        <w:tc>
          <w:tcPr>
            <w:tcW w:w="1413" w:type="dxa"/>
            <w:shd w:val="clear" w:color="auto" w:fill="F2F2F2" w:themeFill="background1" w:themeFillShade="F2"/>
          </w:tcPr>
          <w:p w14:paraId="395EE8AF" w14:textId="77777777" w:rsidR="00452E01" w:rsidRDefault="00452E01" w:rsidP="00566FB6">
            <w:pPr>
              <w:pStyle w:val="Tableheading"/>
            </w:pPr>
            <w:r>
              <w:t>Type</w:t>
            </w:r>
          </w:p>
        </w:tc>
        <w:tc>
          <w:tcPr>
            <w:tcW w:w="9043" w:type="dxa"/>
            <w:shd w:val="clear" w:color="auto" w:fill="F2F2F2" w:themeFill="background1" w:themeFillShade="F2"/>
          </w:tcPr>
          <w:p w14:paraId="09114A7C" w14:textId="77777777" w:rsidR="00452E01" w:rsidRPr="009542BF" w:rsidRDefault="00452E01" w:rsidP="00566FB6">
            <w:pPr>
              <w:pStyle w:val="Tableheading"/>
            </w:pPr>
            <w:r>
              <w:t>Analysis</w:t>
            </w:r>
          </w:p>
        </w:tc>
      </w:tr>
      <w:tr w:rsidR="00452E01" w:rsidRPr="00DC3A68" w14:paraId="31ECB72B" w14:textId="77777777" w:rsidTr="00566FB6">
        <w:trPr>
          <w:trHeight w:val="61"/>
        </w:trPr>
        <w:tc>
          <w:tcPr>
            <w:tcW w:w="1413" w:type="dxa"/>
            <w:shd w:val="clear" w:color="auto" w:fill="auto"/>
          </w:tcPr>
          <w:p w14:paraId="30DF19D0" w14:textId="77777777" w:rsidR="00452E01" w:rsidRPr="00BE4CC7" w:rsidRDefault="00452E01" w:rsidP="00566FB6">
            <w:pPr>
              <w:pStyle w:val="Tablecontent"/>
            </w:pPr>
            <w:r w:rsidRPr="00BE4CC7">
              <w:t>Utilization</w:t>
            </w:r>
          </w:p>
        </w:tc>
        <w:tc>
          <w:tcPr>
            <w:tcW w:w="9043" w:type="dxa"/>
          </w:tcPr>
          <w:p w14:paraId="79EE06EB" w14:textId="77777777" w:rsidR="00452E01" w:rsidRDefault="00452E01" w:rsidP="00566FB6">
            <w:pPr>
              <w:pStyle w:val="Tablecontent"/>
            </w:pPr>
            <w:r>
              <w:t xml:space="preserve">This is the actual, visible, consumption. </w:t>
            </w:r>
          </w:p>
          <w:p w14:paraId="3B8C54B7" w14:textId="77777777" w:rsidR="00452E01" w:rsidRPr="005A14CE" w:rsidRDefault="00452E01" w:rsidP="00566FB6">
            <w:pPr>
              <w:rPr>
                <w:lang w:val="en-GB"/>
              </w:rPr>
            </w:pPr>
            <w:r>
              <w:rPr>
                <w:lang w:val="en-GB"/>
              </w:rPr>
              <w:t>Utilization can be lower than reservation, but not higher than allocation.</w:t>
            </w:r>
          </w:p>
          <w:p w14:paraId="119AC753" w14:textId="77777777" w:rsidR="00452E01" w:rsidRDefault="00452E01" w:rsidP="00566FB6">
            <w:pPr>
              <w:pStyle w:val="Tablecontent"/>
            </w:pPr>
            <w:r>
              <w:t>Since you’ve already paid for the hardware, you want to drive ESXi utilization as high as possible so long there is no contention. Since VMkernel has higher priority than VM, we can safely assume we can use VM contention as the proxy for overall contention (assuming manual VM Limit is not set).</w:t>
            </w:r>
          </w:p>
          <w:p w14:paraId="79DD82A1" w14:textId="77777777" w:rsidR="00452E01" w:rsidRPr="009542BF" w:rsidRDefault="00452E01" w:rsidP="00566FB6">
            <w:pPr>
              <w:pStyle w:val="Tablecontent"/>
            </w:pPr>
            <w:r>
              <w:t>The ESXi utilization metric considers both VMkernel and VM. There is no need to separate VMkernel in this case. The only time we need to separate is when we’re migrating the VMs into another architecture.</w:t>
            </w:r>
          </w:p>
        </w:tc>
      </w:tr>
      <w:tr w:rsidR="00452E01" w:rsidRPr="00DC3A68" w14:paraId="273FE694" w14:textId="77777777" w:rsidTr="00566FB6">
        <w:tc>
          <w:tcPr>
            <w:tcW w:w="1413" w:type="dxa"/>
            <w:shd w:val="clear" w:color="auto" w:fill="auto"/>
          </w:tcPr>
          <w:p w14:paraId="613BB2C1" w14:textId="77777777" w:rsidR="00452E01" w:rsidRPr="00BE4CC7" w:rsidRDefault="00452E01" w:rsidP="00566FB6">
            <w:pPr>
              <w:pStyle w:val="Tablecontent"/>
            </w:pPr>
            <w:r>
              <w:lastRenderedPageBreak/>
              <w:t>Reservation</w:t>
            </w:r>
          </w:p>
        </w:tc>
        <w:tc>
          <w:tcPr>
            <w:tcW w:w="9043" w:type="dxa"/>
          </w:tcPr>
          <w:p w14:paraId="4A45708D" w14:textId="77777777" w:rsidR="00452E01" w:rsidRDefault="00452E01" w:rsidP="00566FB6">
            <w:pPr>
              <w:pStyle w:val="Tablecontent"/>
            </w:pPr>
            <w:r>
              <w:t xml:space="preserve">For VMkernel processes, the maximum amount is taken care of by allocation, while the minimum amount is by reservation. This is a safety mechanism to ensure VMkernel can still run when all the VMs want 100% resource. </w:t>
            </w:r>
          </w:p>
          <w:p w14:paraId="64FBB447" w14:textId="77777777" w:rsidR="00452E01" w:rsidRPr="009542BF" w:rsidRDefault="00452E01" w:rsidP="00566FB6">
            <w:pPr>
              <w:pStyle w:val="Tablecontent"/>
            </w:pPr>
            <w:r>
              <w:rPr>
                <w:lang w:val="en-GB"/>
              </w:rPr>
              <w:t>Processes that run at kernel level does not get its reserved memory up front. It’s granted on demand. CPU, being an instruction in nature, does not use the reserved amount unless it needs to run. If you plot in vSphere Client UI, you will see the value of utilization can be lower than reservation.</w:t>
            </w:r>
          </w:p>
        </w:tc>
      </w:tr>
      <w:tr w:rsidR="00452E01" w:rsidRPr="00DC3A68" w14:paraId="49FB384F" w14:textId="77777777" w:rsidTr="00566FB6">
        <w:tc>
          <w:tcPr>
            <w:tcW w:w="1413" w:type="dxa"/>
            <w:shd w:val="clear" w:color="auto" w:fill="auto"/>
          </w:tcPr>
          <w:p w14:paraId="597D8CFD" w14:textId="77777777" w:rsidR="00452E01" w:rsidRDefault="00452E01" w:rsidP="00566FB6">
            <w:pPr>
              <w:pStyle w:val="Tablecontent"/>
            </w:pPr>
            <w:r>
              <w:t>Allocation</w:t>
            </w:r>
          </w:p>
        </w:tc>
        <w:tc>
          <w:tcPr>
            <w:tcW w:w="9043" w:type="dxa"/>
          </w:tcPr>
          <w:p w14:paraId="40969BDA" w14:textId="77777777" w:rsidR="00452E01" w:rsidRDefault="00452E01" w:rsidP="00566FB6">
            <w:pPr>
              <w:pStyle w:val="Tablecontent"/>
            </w:pPr>
            <w:r>
              <w:t>For VM, allocation is useful as there is overcommit between virtual and physical.</w:t>
            </w:r>
          </w:p>
          <w:p w14:paraId="6CE5E125" w14:textId="77777777" w:rsidR="00452E01" w:rsidRDefault="00452E01" w:rsidP="00566FB6">
            <w:pPr>
              <w:pStyle w:val="Tablecontent"/>
            </w:pPr>
            <w:r>
              <w:t xml:space="preserve">For VMkernel, it is not useful since there is no overcommit because there is no virtual part. You notice that some VMkernel processes have no limit. If you plot them in vSphere Client UI, you will find their limits are either blank or 0. </w:t>
            </w:r>
          </w:p>
        </w:tc>
      </w:tr>
    </w:tbl>
    <w:p w14:paraId="45AC0FE2" w14:textId="77777777" w:rsidR="00452E01" w:rsidRDefault="00452E01" w:rsidP="00452E01">
      <w:pPr>
        <w:pStyle w:val="BeforeTable"/>
        <w:rPr>
          <w:lang w:val="en-GB"/>
        </w:rPr>
      </w:pPr>
    </w:p>
    <w:p w14:paraId="74EA1B21" w14:textId="77777777" w:rsidR="00452E01" w:rsidRDefault="00452E01" w:rsidP="00452E01">
      <w:pPr>
        <w:rPr>
          <w:lang w:val="en-GB"/>
        </w:rPr>
      </w:pPr>
      <w:r>
        <w:rPr>
          <w:lang w:val="en-GB"/>
        </w:rPr>
        <w:t xml:space="preserve">I recommend you plot the values across all your ESXi hosts. You will notice the values vary. Why is it hard to determine the size of the above 3 values up front? Taking from page 258 of </w:t>
      </w:r>
      <w:hyperlink r:id="rId659" w:history="1">
        <w:r w:rsidRPr="00312816">
          <w:rPr>
            <w:rStyle w:val="Hyperlink"/>
            <w:lang w:val="en-GB"/>
          </w:rPr>
          <w:t>Frank Denneman</w:t>
        </w:r>
      </w:hyperlink>
      <w:r w:rsidRPr="00A51733">
        <w:rPr>
          <w:lang w:val="en-GB"/>
        </w:rPr>
        <w:t xml:space="preserve"> and </w:t>
      </w:r>
      <w:hyperlink r:id="rId660" w:history="1">
        <w:r w:rsidRPr="00A5472B">
          <w:rPr>
            <w:rStyle w:val="Hyperlink"/>
            <w:lang w:val="en-GB"/>
          </w:rPr>
          <w:t>Niels Hagoort</w:t>
        </w:r>
      </w:hyperlink>
      <w:r>
        <w:rPr>
          <w:rStyle w:val="Hyperlink"/>
          <w:lang w:val="en-GB"/>
        </w:rPr>
        <w:t>’s</w:t>
      </w:r>
      <w:r>
        <w:rPr>
          <w:lang w:val="en-GB"/>
        </w:rPr>
        <w:t xml:space="preserve"> book, with my own addition:</w:t>
      </w:r>
    </w:p>
    <w:p w14:paraId="541FAC82" w14:textId="77777777" w:rsidR="00452E01" w:rsidRDefault="00452E01" w:rsidP="00452E01">
      <w:pPr>
        <w:pStyle w:val="Bullet"/>
        <w:rPr>
          <w:lang w:val="en-GB"/>
        </w:rPr>
      </w:pPr>
      <w:r w:rsidRPr="005B4FBC">
        <w:rPr>
          <w:lang w:val="en-GB"/>
        </w:rPr>
        <w:t xml:space="preserve">Some services </w:t>
      </w:r>
      <w:r>
        <w:rPr>
          <w:lang w:val="en-GB"/>
        </w:rPr>
        <w:t xml:space="preserve">have </w:t>
      </w:r>
      <w:r w:rsidRPr="005B4FBC">
        <w:rPr>
          <w:lang w:val="en-GB"/>
        </w:rPr>
        <w:t xml:space="preserve">static </w:t>
      </w:r>
      <w:r>
        <w:rPr>
          <w:lang w:val="en-GB"/>
        </w:rPr>
        <w:t>values</w:t>
      </w:r>
      <w:r w:rsidRPr="005B4FBC">
        <w:rPr>
          <w:lang w:val="en-GB"/>
        </w:rPr>
        <w:t xml:space="preserve"> </w:t>
      </w:r>
      <w:r>
        <w:rPr>
          <w:lang w:val="en-GB"/>
        </w:rPr>
        <w:t xml:space="preserve">(allocation and reservation) </w:t>
      </w:r>
      <w:r w:rsidRPr="005B4FBC">
        <w:rPr>
          <w:lang w:val="en-GB"/>
        </w:rPr>
        <w:t xml:space="preserve">regardless of the host configuration. </w:t>
      </w:r>
      <w:r>
        <w:rPr>
          <w:lang w:val="en-GB"/>
        </w:rPr>
        <w:t>Ok, this is the easy part.</w:t>
      </w:r>
    </w:p>
    <w:p w14:paraId="5E29EA3D" w14:textId="77777777" w:rsidR="00452E01" w:rsidRDefault="00452E01" w:rsidP="00452E01">
      <w:pPr>
        <w:pStyle w:val="Bullet"/>
        <w:rPr>
          <w:lang w:val="en-GB"/>
        </w:rPr>
      </w:pPr>
      <w:r>
        <w:rPr>
          <w:lang w:val="en-GB"/>
        </w:rPr>
        <w:t xml:space="preserve">Some </w:t>
      </w:r>
      <w:r w:rsidRPr="005B4FBC">
        <w:rPr>
          <w:lang w:val="en-GB"/>
        </w:rPr>
        <w:t xml:space="preserve">services </w:t>
      </w:r>
      <w:r>
        <w:rPr>
          <w:lang w:val="en-GB"/>
        </w:rPr>
        <w:t xml:space="preserve">have relative values. It </w:t>
      </w:r>
      <w:r w:rsidRPr="005B4FBC">
        <w:rPr>
          <w:lang w:val="en-GB"/>
        </w:rPr>
        <w:t xml:space="preserve">scales with the memory configuration of the host. </w:t>
      </w:r>
      <w:r>
        <w:rPr>
          <w:lang w:val="en-GB"/>
        </w:rPr>
        <w:t>Ok, that means you need to know the percentage for each.</w:t>
      </w:r>
    </w:p>
    <w:p w14:paraId="090C1F66" w14:textId="77777777" w:rsidR="00452E01" w:rsidRDefault="00452E01" w:rsidP="00452E01">
      <w:pPr>
        <w:pStyle w:val="Bullet"/>
        <w:rPr>
          <w:lang w:val="en-GB"/>
        </w:rPr>
      </w:pPr>
      <w:r w:rsidRPr="005B4FBC">
        <w:rPr>
          <w:lang w:val="en-GB"/>
        </w:rPr>
        <w:t xml:space="preserve">Some services </w:t>
      </w:r>
      <w:r>
        <w:rPr>
          <w:lang w:val="en-GB"/>
        </w:rPr>
        <w:t xml:space="preserve">have relative values that are tied </w:t>
      </w:r>
      <w:r w:rsidRPr="005B4FBC">
        <w:rPr>
          <w:lang w:val="en-GB"/>
        </w:rPr>
        <w:t xml:space="preserve">to the number of active VMs. </w:t>
      </w:r>
      <w:r>
        <w:rPr>
          <w:lang w:val="en-GB"/>
        </w:rPr>
        <w:t>Ok, that means you need to know how many VMs are active.</w:t>
      </w:r>
    </w:p>
    <w:p w14:paraId="311D3B7C" w14:textId="77777777" w:rsidR="00452E01" w:rsidRDefault="00452E01" w:rsidP="00452E01">
      <w:pPr>
        <w:pStyle w:val="Bullet"/>
        <w:rPr>
          <w:lang w:val="en-GB"/>
        </w:rPr>
      </w:pPr>
      <w:r>
        <w:rPr>
          <w:lang w:val="en-GB"/>
        </w:rPr>
        <w:t>Some services consume more when they do more work. Example is storage and networking stack.</w:t>
      </w:r>
    </w:p>
    <w:p w14:paraId="497FDD10" w14:textId="77777777" w:rsidR="00452E01" w:rsidRDefault="00452E01" w:rsidP="00452E01">
      <w:pPr>
        <w:pStyle w:val="Bullet"/>
        <w:rPr>
          <w:lang w:val="en-GB"/>
        </w:rPr>
      </w:pPr>
      <w:r>
        <w:rPr>
          <w:lang w:val="en-GB"/>
        </w:rPr>
        <w:t>Some services consume more depending on the configuration. For example, vSAN consumes more when you turn on dedupe and compression.</w:t>
      </w:r>
    </w:p>
    <w:p w14:paraId="4950808F" w14:textId="77777777" w:rsidR="00452E01" w:rsidRDefault="00452E01" w:rsidP="00452E01">
      <w:pPr>
        <w:rPr>
          <w:lang w:val="en-GB"/>
        </w:rPr>
      </w:pPr>
      <w:r>
        <w:rPr>
          <w:lang w:val="en-GB"/>
        </w:rPr>
        <w:t xml:space="preserve">Since an ESXi host has many services, </w:t>
      </w:r>
      <w:r w:rsidRPr="005B4FBC">
        <w:rPr>
          <w:lang w:val="en-GB"/>
        </w:rPr>
        <w:t xml:space="preserve">it is </w:t>
      </w:r>
      <w:r>
        <w:rPr>
          <w:lang w:val="en-GB"/>
        </w:rPr>
        <w:t xml:space="preserve">impossible </w:t>
      </w:r>
      <w:r w:rsidRPr="005B4FBC">
        <w:rPr>
          <w:lang w:val="en-GB"/>
        </w:rPr>
        <w:t xml:space="preserve">to predict </w:t>
      </w:r>
      <w:r>
        <w:rPr>
          <w:lang w:val="en-GB"/>
        </w:rPr>
        <w:t>the overall values of the above 3 metrics</w:t>
      </w:r>
      <w:r w:rsidRPr="005B4FBC">
        <w:rPr>
          <w:lang w:val="en-GB"/>
        </w:rPr>
        <w:t>.</w:t>
      </w:r>
    </w:p>
    <w:p w14:paraId="56D6343F" w14:textId="148B77AD" w:rsidR="000A4AD6" w:rsidRDefault="000A4AD6" w:rsidP="000A4AD6">
      <w:pPr>
        <w:pStyle w:val="Heading5"/>
      </w:pPr>
      <w:r>
        <w:t>VMkernel CPU</w:t>
      </w:r>
    </w:p>
    <w:p w14:paraId="729F3372" w14:textId="77777777" w:rsidR="000A4AD6" w:rsidRPr="0027613C" w:rsidRDefault="000A4AD6" w:rsidP="000A4AD6">
      <w:pPr>
        <w:rPr>
          <w:lang w:val="en-GB"/>
        </w:rPr>
      </w:pPr>
      <w:r>
        <w:rPr>
          <w:lang w:val="en-GB"/>
        </w:rPr>
        <w:t>The following screenshot shows the counter names used by vSphere Client UI</w:t>
      </w:r>
    </w:p>
    <w:p w14:paraId="60857F18" w14:textId="77777777" w:rsidR="000A4AD6" w:rsidRDefault="000A4AD6" w:rsidP="000A4AD6">
      <w:pPr>
        <w:rPr>
          <w:lang w:val="en-GB"/>
        </w:rPr>
      </w:pPr>
      <w:r>
        <w:rPr>
          <w:noProof/>
          <w:lang w:val="en-GB"/>
        </w:rPr>
        <w:drawing>
          <wp:inline distT="0" distB="0" distL="0" distR="0" wp14:anchorId="16FEFE1C" wp14:editId="0282920D">
            <wp:extent cx="6640830" cy="2318385"/>
            <wp:effectExtent l="0" t="0" r="7620" b="5715"/>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6640830" cy="2318385"/>
                    </a:xfrm>
                    <a:prstGeom prst="rect">
                      <a:avLst/>
                    </a:prstGeom>
                    <a:noFill/>
                    <a:ln>
                      <a:noFill/>
                    </a:ln>
                  </pic:spPr>
                </pic:pic>
              </a:graphicData>
            </a:graphic>
          </wp:inline>
        </w:drawing>
      </w:r>
    </w:p>
    <w:p w14:paraId="7C699E19" w14:textId="77777777" w:rsidR="000A4AD6" w:rsidRDefault="000A4AD6" w:rsidP="000A4AD6">
      <w:pPr>
        <w:pStyle w:val="BeforeTable"/>
        <w:rPr>
          <w:lang w:val="en-GB"/>
        </w:rPr>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985"/>
        <w:gridCol w:w="8505"/>
      </w:tblGrid>
      <w:tr w:rsidR="000A4AD6" w:rsidRPr="00E51A31" w14:paraId="36F5837D" w14:textId="77777777" w:rsidTr="006B31C7">
        <w:tc>
          <w:tcPr>
            <w:tcW w:w="1985" w:type="dxa"/>
            <w:shd w:val="clear" w:color="auto" w:fill="F2F2F2" w:themeFill="background1" w:themeFillShade="F2"/>
          </w:tcPr>
          <w:p w14:paraId="7AE311E0" w14:textId="77777777" w:rsidR="000A4AD6" w:rsidRPr="00AC0F17" w:rsidRDefault="000A4AD6" w:rsidP="000A4AD6">
            <w:pPr>
              <w:pStyle w:val="Tablecontent"/>
              <w:rPr>
                <w:b/>
                <w:bCs/>
              </w:rPr>
            </w:pPr>
            <w:r>
              <w:rPr>
                <w:b/>
                <w:bCs/>
              </w:rPr>
              <w:lastRenderedPageBreak/>
              <w:t>Active (1 minute)</w:t>
            </w:r>
          </w:p>
        </w:tc>
        <w:tc>
          <w:tcPr>
            <w:tcW w:w="8505" w:type="dxa"/>
          </w:tcPr>
          <w:p w14:paraId="7431B4AF" w14:textId="77777777" w:rsidR="000A4AD6" w:rsidRDefault="000A4AD6" w:rsidP="000A4AD6">
            <w:pPr>
              <w:pStyle w:val="Tablecontent"/>
            </w:pPr>
            <w:r>
              <w:t>My guess this maps to the Used metric. Reason is there are only 2 basic metrics at physical layer: Utilization and Used.</w:t>
            </w:r>
          </w:p>
          <w:p w14:paraId="31ED9696" w14:textId="77777777" w:rsidR="000A4AD6" w:rsidRDefault="000A4AD6" w:rsidP="000A4AD6">
            <w:pPr>
              <w:pStyle w:val="Tablecontent"/>
            </w:pPr>
            <w:r>
              <w:t xml:space="preserve">It’s an average over the last 1-minute. </w:t>
            </w:r>
          </w:p>
          <w:p w14:paraId="02B6B976" w14:textId="77777777" w:rsidR="000A4AD6" w:rsidRDefault="000A4AD6" w:rsidP="000A4AD6">
            <w:pPr>
              <w:pStyle w:val="Tablecontent"/>
            </w:pPr>
            <w:r>
              <w:t>Take note this is the latest amount, not the average. Since the collection interval is 20 seconds, that means it’s value at the 20</w:t>
            </w:r>
            <w:r w:rsidRPr="00A56A33">
              <w:rPr>
                <w:vertAlign w:val="superscript"/>
              </w:rPr>
              <w:t>th</w:t>
            </w:r>
            <w:r>
              <w:t xml:space="preserve"> second, not the average of all values in the entire 20 seconds period. Since the value itself is the average of the last 1 minute, you’re looking at the average taken every 20 second. So there is 40-second overlap</w:t>
            </w:r>
          </w:p>
        </w:tc>
      </w:tr>
      <w:tr w:rsidR="000A4AD6" w:rsidRPr="00E51A31" w14:paraId="3E3162E2" w14:textId="77777777" w:rsidTr="006B31C7">
        <w:tc>
          <w:tcPr>
            <w:tcW w:w="1985" w:type="dxa"/>
            <w:shd w:val="clear" w:color="auto" w:fill="F2F2F2" w:themeFill="background1" w:themeFillShade="F2"/>
          </w:tcPr>
          <w:p w14:paraId="03C21EEB" w14:textId="77777777" w:rsidR="000A4AD6" w:rsidRDefault="000A4AD6" w:rsidP="000A4AD6">
            <w:pPr>
              <w:pStyle w:val="Tablecontent"/>
              <w:rPr>
                <w:b/>
                <w:bCs/>
              </w:rPr>
            </w:pPr>
            <w:r>
              <w:rPr>
                <w:b/>
                <w:bCs/>
              </w:rPr>
              <w:t>Active (5 minute)</w:t>
            </w:r>
          </w:p>
        </w:tc>
        <w:tc>
          <w:tcPr>
            <w:tcW w:w="8505" w:type="dxa"/>
          </w:tcPr>
          <w:p w14:paraId="4928D2F2" w14:textId="77777777" w:rsidR="000A4AD6" w:rsidRDefault="000A4AD6" w:rsidP="000A4AD6">
            <w:pPr>
              <w:pStyle w:val="Tablecontent"/>
            </w:pPr>
            <w:r>
              <w:t xml:space="preserve">As above, but the overlap between each data point is 4:40 minutes. </w:t>
            </w:r>
          </w:p>
        </w:tc>
      </w:tr>
      <w:tr w:rsidR="000A4AD6" w:rsidRPr="00E51A31" w14:paraId="5FE5AD30" w14:textId="77777777" w:rsidTr="006B31C7">
        <w:tc>
          <w:tcPr>
            <w:tcW w:w="1985" w:type="dxa"/>
            <w:shd w:val="clear" w:color="auto" w:fill="F2F2F2" w:themeFill="background1" w:themeFillShade="F2"/>
          </w:tcPr>
          <w:p w14:paraId="07AB5132" w14:textId="77777777" w:rsidR="000A4AD6" w:rsidRDefault="000A4AD6" w:rsidP="000A4AD6">
            <w:pPr>
              <w:pStyle w:val="Tablecontent"/>
              <w:rPr>
                <w:b/>
                <w:bCs/>
              </w:rPr>
            </w:pPr>
            <w:r>
              <w:rPr>
                <w:b/>
                <w:bCs/>
              </w:rPr>
              <w:t>Running</w:t>
            </w:r>
          </w:p>
        </w:tc>
        <w:tc>
          <w:tcPr>
            <w:tcW w:w="8505" w:type="dxa"/>
          </w:tcPr>
          <w:p w14:paraId="52569D84" w14:textId="77777777" w:rsidR="000A4AD6" w:rsidRDefault="000A4AD6" w:rsidP="000A4AD6">
            <w:pPr>
              <w:pStyle w:val="Tablecontent"/>
            </w:pPr>
            <w:r>
              <w:t xml:space="preserve">My guess is this maps to the </w:t>
            </w:r>
            <w:r w:rsidRPr="00CB2C2E">
              <w:t>Utilization</w:t>
            </w:r>
            <w:r>
              <w:t xml:space="preserve"> metric</w:t>
            </w:r>
            <w:r w:rsidRPr="00CB2C2E">
              <w:t>. Reason is it's consistently</w:t>
            </w:r>
            <w:r>
              <w:t xml:space="preserve"> lower than Active</w:t>
            </w:r>
            <w:r w:rsidRPr="00CB2C2E">
              <w:t>. I also compare at ESXi Usage vs ESXi Utilization, and the comparison kinda match.</w:t>
            </w:r>
          </w:p>
        </w:tc>
      </w:tr>
      <w:tr w:rsidR="000A4AD6" w:rsidRPr="00E51A31" w14:paraId="6D87573C" w14:textId="77777777" w:rsidTr="006B31C7">
        <w:tc>
          <w:tcPr>
            <w:tcW w:w="1985" w:type="dxa"/>
            <w:shd w:val="clear" w:color="auto" w:fill="F2F2F2" w:themeFill="background1" w:themeFillShade="F2"/>
          </w:tcPr>
          <w:p w14:paraId="0931FB48" w14:textId="77777777" w:rsidR="000A4AD6" w:rsidRPr="007726F7" w:rsidRDefault="000A4AD6" w:rsidP="000A4AD6">
            <w:pPr>
              <w:pStyle w:val="Tablecontent"/>
              <w:rPr>
                <w:b/>
                <w:bCs/>
              </w:rPr>
            </w:pPr>
            <w:r w:rsidRPr="007726F7">
              <w:rPr>
                <w:b/>
                <w:bCs/>
                <w:lang w:val="en-GB"/>
              </w:rPr>
              <w:t>Allocation maximum</w:t>
            </w:r>
          </w:p>
        </w:tc>
        <w:tc>
          <w:tcPr>
            <w:tcW w:w="8505" w:type="dxa"/>
          </w:tcPr>
          <w:p w14:paraId="5D81C1C3" w14:textId="77777777" w:rsidR="000A4AD6" w:rsidRDefault="000A4AD6" w:rsidP="000A4AD6">
            <w:pPr>
              <w:pStyle w:val="Tablecontent"/>
              <w:rPr>
                <w:lang w:val="en-GB"/>
              </w:rPr>
            </w:pPr>
            <w:r>
              <w:rPr>
                <w:lang w:val="en-GB"/>
              </w:rPr>
              <w:t xml:space="preserve">Limit. That’s the upper limit as lower limit does not make sense in counters like utilization as it’s always 0. </w:t>
            </w:r>
          </w:p>
          <w:p w14:paraId="55F3300D" w14:textId="77777777" w:rsidR="000A4AD6" w:rsidRDefault="000A4AD6" w:rsidP="000A4AD6">
            <w:pPr>
              <w:pStyle w:val="Tablecontent"/>
            </w:pPr>
            <w:r>
              <w:rPr>
                <w:lang w:val="en-GB"/>
              </w:rPr>
              <w:t>For ease of use, let’s just call this allocation.</w:t>
            </w:r>
          </w:p>
        </w:tc>
      </w:tr>
      <w:tr w:rsidR="000A4AD6" w:rsidRPr="00E51A31" w14:paraId="61F73269" w14:textId="77777777" w:rsidTr="006B31C7">
        <w:tc>
          <w:tcPr>
            <w:tcW w:w="1985" w:type="dxa"/>
            <w:shd w:val="clear" w:color="auto" w:fill="F2F2F2" w:themeFill="background1" w:themeFillShade="F2"/>
          </w:tcPr>
          <w:p w14:paraId="7C2A83F1" w14:textId="77777777" w:rsidR="000A4AD6" w:rsidRPr="007726F7" w:rsidRDefault="000A4AD6" w:rsidP="000A4AD6">
            <w:pPr>
              <w:pStyle w:val="Tablecontent"/>
              <w:rPr>
                <w:b/>
                <w:bCs/>
                <w:lang w:val="en-GB"/>
              </w:rPr>
            </w:pPr>
            <w:r w:rsidRPr="007726F7">
              <w:rPr>
                <w:b/>
                <w:bCs/>
                <w:lang w:val="en-GB"/>
              </w:rPr>
              <w:t>Allocation minimum</w:t>
            </w:r>
          </w:p>
        </w:tc>
        <w:tc>
          <w:tcPr>
            <w:tcW w:w="8505" w:type="dxa"/>
          </w:tcPr>
          <w:p w14:paraId="0614AB2B" w14:textId="77777777" w:rsidR="000A4AD6" w:rsidRDefault="000A4AD6" w:rsidP="000A4AD6">
            <w:pPr>
              <w:pStyle w:val="Tablecontent"/>
              <w:rPr>
                <w:lang w:val="en-GB"/>
              </w:rPr>
            </w:pPr>
            <w:r>
              <w:rPr>
                <w:lang w:val="en-GB"/>
              </w:rPr>
              <w:t>This is reservation, which is the guaranteed minimum it will get when it asks for CPU cycles.</w:t>
            </w:r>
          </w:p>
        </w:tc>
      </w:tr>
      <w:tr w:rsidR="000A4AD6" w:rsidRPr="00E51A31" w14:paraId="62F26B06" w14:textId="77777777" w:rsidTr="006B31C7">
        <w:tc>
          <w:tcPr>
            <w:tcW w:w="1985" w:type="dxa"/>
            <w:shd w:val="clear" w:color="auto" w:fill="F2F2F2" w:themeFill="background1" w:themeFillShade="F2"/>
          </w:tcPr>
          <w:p w14:paraId="6355E346" w14:textId="77777777" w:rsidR="000A4AD6" w:rsidRPr="007726F7" w:rsidRDefault="000A4AD6" w:rsidP="000A4AD6">
            <w:pPr>
              <w:pStyle w:val="Tablecontent"/>
              <w:rPr>
                <w:b/>
                <w:bCs/>
                <w:lang w:val="en-GB"/>
              </w:rPr>
            </w:pPr>
            <w:r w:rsidRPr="007726F7">
              <w:rPr>
                <w:b/>
                <w:bCs/>
                <w:lang w:val="en-GB"/>
              </w:rPr>
              <w:t>Shares</w:t>
            </w:r>
          </w:p>
        </w:tc>
        <w:tc>
          <w:tcPr>
            <w:tcW w:w="8505" w:type="dxa"/>
          </w:tcPr>
          <w:p w14:paraId="70FCDB4E" w14:textId="77777777" w:rsidR="000A4AD6" w:rsidRDefault="000A4AD6" w:rsidP="000A4AD6">
            <w:pPr>
              <w:pStyle w:val="Tablecontent"/>
              <w:rPr>
                <w:lang w:val="en-GB"/>
              </w:rPr>
            </w:pPr>
            <w:r>
              <w:rPr>
                <w:lang w:val="en-GB"/>
              </w:rPr>
              <w:t>Relative shares of each VMkernel world.</w:t>
            </w:r>
          </w:p>
          <w:p w14:paraId="2F76283D" w14:textId="77777777" w:rsidR="000A4AD6" w:rsidRDefault="000A4AD6" w:rsidP="000A4AD6">
            <w:pPr>
              <w:pStyle w:val="Tablecontent"/>
              <w:rPr>
                <w:lang w:val="en-GB"/>
              </w:rPr>
            </w:pPr>
            <w:r>
              <w:rPr>
                <w:lang w:val="en-GB"/>
              </w:rPr>
              <w:t>This is VMkernel internal metric, not something vSphere Administrator should change</w:t>
            </w:r>
          </w:p>
        </w:tc>
      </w:tr>
      <w:tr w:rsidR="000A4AD6" w:rsidRPr="00E51A31" w14:paraId="0C49109C" w14:textId="77777777" w:rsidTr="006B31C7">
        <w:tc>
          <w:tcPr>
            <w:tcW w:w="1985" w:type="dxa"/>
            <w:shd w:val="clear" w:color="auto" w:fill="F2F2F2" w:themeFill="background1" w:themeFillShade="F2"/>
          </w:tcPr>
          <w:p w14:paraId="0900AE3C" w14:textId="77777777" w:rsidR="000A4AD6" w:rsidRPr="00772FAD" w:rsidRDefault="000A4AD6" w:rsidP="000A4AD6">
            <w:pPr>
              <w:pStyle w:val="Tablecontent"/>
              <w:rPr>
                <w:b/>
                <w:bCs/>
                <w:lang w:val="en-GB"/>
              </w:rPr>
            </w:pPr>
            <w:r w:rsidRPr="00772FAD">
              <w:rPr>
                <w:b/>
                <w:bCs/>
                <w:lang w:val="en-GB"/>
              </w:rPr>
              <w:t>Maximum Limited</w:t>
            </w:r>
          </w:p>
        </w:tc>
        <w:tc>
          <w:tcPr>
            <w:tcW w:w="8505" w:type="dxa"/>
          </w:tcPr>
          <w:p w14:paraId="7A28DA3B" w14:textId="77777777" w:rsidR="000A4AD6" w:rsidRDefault="000A4AD6" w:rsidP="000A4AD6">
            <w:pPr>
              <w:pStyle w:val="Tablecontent"/>
              <w:rPr>
                <w:lang w:val="en-GB"/>
              </w:rPr>
            </w:pPr>
            <w:r>
              <w:rPr>
                <w:lang w:val="en-GB"/>
              </w:rPr>
              <w:t>is the time limit was applied to throttle because usage wanted to exceed allocation. You should expect this to be 0 all the time</w:t>
            </w:r>
          </w:p>
        </w:tc>
      </w:tr>
      <w:tr w:rsidR="000A4AD6" w:rsidRPr="00E51A31" w14:paraId="6B33E6A4" w14:textId="77777777" w:rsidTr="006B31C7">
        <w:tc>
          <w:tcPr>
            <w:tcW w:w="1985" w:type="dxa"/>
            <w:shd w:val="clear" w:color="auto" w:fill="F2F2F2" w:themeFill="background1" w:themeFillShade="F2"/>
          </w:tcPr>
          <w:p w14:paraId="6A0ED7DB" w14:textId="77777777" w:rsidR="000A4AD6" w:rsidRPr="00772FAD" w:rsidRDefault="000A4AD6" w:rsidP="000A4AD6">
            <w:pPr>
              <w:pStyle w:val="Tablecontent"/>
              <w:rPr>
                <w:b/>
                <w:bCs/>
                <w:lang w:val="en-GB"/>
              </w:rPr>
            </w:pPr>
            <w:r>
              <w:rPr>
                <w:b/>
                <w:bCs/>
                <w:lang w:val="en-GB"/>
              </w:rPr>
              <w:t>Running</w:t>
            </w:r>
          </w:p>
        </w:tc>
        <w:tc>
          <w:tcPr>
            <w:tcW w:w="8505" w:type="dxa"/>
          </w:tcPr>
          <w:p w14:paraId="567BECAF" w14:textId="77777777" w:rsidR="000A4AD6" w:rsidRDefault="000A4AD6" w:rsidP="000A4AD6">
            <w:pPr>
              <w:pStyle w:val="Tablecontent"/>
              <w:rPr>
                <w:lang w:val="en-GB"/>
              </w:rPr>
            </w:pPr>
            <w:r>
              <w:rPr>
                <w:lang w:val="en-GB"/>
              </w:rPr>
              <w:t>I think this maps to the Utilization metric</w:t>
            </w:r>
          </w:p>
        </w:tc>
      </w:tr>
      <w:tr w:rsidR="000A4AD6" w:rsidRPr="00E51A31" w14:paraId="53023787" w14:textId="77777777" w:rsidTr="006B31C7">
        <w:tc>
          <w:tcPr>
            <w:tcW w:w="1985" w:type="dxa"/>
            <w:shd w:val="clear" w:color="auto" w:fill="F2F2F2" w:themeFill="background1" w:themeFillShade="F2"/>
          </w:tcPr>
          <w:p w14:paraId="4123FF17" w14:textId="77777777" w:rsidR="000A4AD6" w:rsidRDefault="000A4AD6" w:rsidP="000A4AD6">
            <w:pPr>
              <w:pStyle w:val="Tablecontent"/>
              <w:rPr>
                <w:b/>
                <w:bCs/>
                <w:lang w:val="en-GB"/>
              </w:rPr>
            </w:pPr>
            <w:r>
              <w:rPr>
                <w:b/>
                <w:bCs/>
                <w:lang w:val="en-GB"/>
              </w:rPr>
              <w:t>Usage</w:t>
            </w:r>
          </w:p>
        </w:tc>
        <w:tc>
          <w:tcPr>
            <w:tcW w:w="8505" w:type="dxa"/>
          </w:tcPr>
          <w:p w14:paraId="1CFDE335" w14:textId="77777777" w:rsidR="000A4AD6" w:rsidRDefault="000A4AD6" w:rsidP="000A4AD6">
            <w:pPr>
              <w:pStyle w:val="Tablecontent"/>
              <w:rPr>
                <w:lang w:val="en-GB"/>
              </w:rPr>
            </w:pPr>
            <w:r>
              <w:rPr>
                <w:lang w:val="en-GB"/>
              </w:rPr>
              <w:t xml:space="preserve">I think this maps to the Used metric. </w:t>
            </w:r>
          </w:p>
        </w:tc>
      </w:tr>
    </w:tbl>
    <w:p w14:paraId="171916A1" w14:textId="77777777" w:rsidR="000A4AD6" w:rsidRDefault="000A4AD6" w:rsidP="000A4AD6">
      <w:pPr>
        <w:pStyle w:val="Heading6"/>
      </w:pPr>
      <w:r>
        <w:t>Reservation</w:t>
      </w:r>
    </w:p>
    <w:p w14:paraId="3885D723" w14:textId="77777777" w:rsidR="000A4AD6" w:rsidRDefault="000A4AD6" w:rsidP="000A4AD6">
      <w:pPr>
        <w:rPr>
          <w:lang w:val="en-GB"/>
        </w:rPr>
      </w:pPr>
      <w:r>
        <w:rPr>
          <w:lang w:val="en-GB"/>
        </w:rPr>
        <w:t>Utilization is relatively much more volatile or dynamic, while reservation is stable. The following screenshot shows CPU Usage fluctuates every 20 seconds, while reservation remains perfectly constant.</w:t>
      </w:r>
    </w:p>
    <w:p w14:paraId="019B197C" w14:textId="77777777" w:rsidR="000A4AD6" w:rsidRDefault="000A4AD6" w:rsidP="000A4AD6">
      <w:pPr>
        <w:rPr>
          <w:lang w:val="en-GB"/>
        </w:rPr>
      </w:pPr>
      <w:r w:rsidRPr="00BB3A53">
        <w:rPr>
          <w:noProof/>
          <w:lang w:val="en-GB"/>
        </w:rPr>
        <w:lastRenderedPageBreak/>
        <w:drawing>
          <wp:inline distT="0" distB="0" distL="0" distR="0" wp14:anchorId="46527656" wp14:editId="6629B0CC">
            <wp:extent cx="6645910" cy="4326255"/>
            <wp:effectExtent l="0" t="0" r="2540" b="0"/>
            <wp:docPr id="534447491" name="Picture 53444749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491" name="Picture 534447491" descr="Graphical user interface&#10;&#10;Description automatically generated"/>
                    <pic:cNvPicPr/>
                  </pic:nvPicPr>
                  <pic:blipFill>
                    <a:blip r:embed="rId662"/>
                    <a:stretch>
                      <a:fillRect/>
                    </a:stretch>
                  </pic:blipFill>
                  <pic:spPr>
                    <a:xfrm>
                      <a:off x="0" y="0"/>
                      <a:ext cx="6645910" cy="4326255"/>
                    </a:xfrm>
                    <a:prstGeom prst="rect">
                      <a:avLst/>
                    </a:prstGeom>
                  </pic:spPr>
                </pic:pic>
              </a:graphicData>
            </a:graphic>
          </wp:inline>
        </w:drawing>
      </w:r>
    </w:p>
    <w:p w14:paraId="362D4D44" w14:textId="77777777" w:rsidR="000A4AD6" w:rsidRDefault="000A4AD6" w:rsidP="000A4AD6">
      <w:pPr>
        <w:rPr>
          <w:lang w:val="en-GB"/>
        </w:rPr>
      </w:pPr>
      <w:r>
        <w:rPr>
          <w:lang w:val="en-GB"/>
        </w:rPr>
        <w:t xml:space="preserve">Notice the </w:t>
      </w:r>
      <w:r w:rsidRPr="00772FAD">
        <w:rPr>
          <w:color w:val="00B0F0"/>
          <w:lang w:val="en-GB"/>
        </w:rPr>
        <w:t xml:space="preserve">maximum limited </w:t>
      </w:r>
      <w:r>
        <w:rPr>
          <w:lang w:val="en-GB"/>
        </w:rPr>
        <w:t>value is perfectly flat. That’s what you want.</w:t>
      </w:r>
    </w:p>
    <w:p w14:paraId="02F9EB6C" w14:textId="77777777" w:rsidR="000A4AD6" w:rsidRDefault="000A4AD6" w:rsidP="000A4AD6">
      <w:pPr>
        <w:rPr>
          <w:lang w:val="en-GB"/>
        </w:rPr>
      </w:pPr>
      <w:r>
        <w:rPr>
          <w:lang w:val="en-GB"/>
        </w:rPr>
        <w:t>The above is for host/system. The reservation is surprisingly low.</w:t>
      </w:r>
    </w:p>
    <w:p w14:paraId="48C93246" w14:textId="77777777" w:rsidR="000A4AD6" w:rsidRDefault="000A4AD6" w:rsidP="000A4AD6">
      <w:pPr>
        <w:rPr>
          <w:lang w:val="en-GB"/>
        </w:rPr>
      </w:pPr>
      <w:r>
        <w:rPr>
          <w:lang w:val="en-GB"/>
        </w:rPr>
        <w:t>Now let’s look at host/vim. What do you notice from the following screenshot?</w:t>
      </w:r>
    </w:p>
    <w:p w14:paraId="699A8F6E" w14:textId="77777777" w:rsidR="000A4AD6" w:rsidRDefault="000A4AD6" w:rsidP="000A4AD6">
      <w:pPr>
        <w:rPr>
          <w:lang w:val="en-GB"/>
        </w:rPr>
      </w:pPr>
      <w:r w:rsidRPr="00715018">
        <w:rPr>
          <w:noProof/>
          <w:lang w:val="en-GB"/>
        </w:rPr>
        <w:lastRenderedPageBreak/>
        <w:drawing>
          <wp:inline distT="0" distB="0" distL="0" distR="0" wp14:anchorId="66854F9C" wp14:editId="6870652A">
            <wp:extent cx="6645910" cy="4269105"/>
            <wp:effectExtent l="0" t="0" r="2540" b="0"/>
            <wp:docPr id="534447492" name="Picture 534447492"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492" name="Picture 534447492" descr="Graphical user interface, application, table, Excel&#10;&#10;Description automatically generated"/>
                    <pic:cNvPicPr/>
                  </pic:nvPicPr>
                  <pic:blipFill>
                    <a:blip r:embed="rId663"/>
                    <a:stretch>
                      <a:fillRect/>
                    </a:stretch>
                  </pic:blipFill>
                  <pic:spPr>
                    <a:xfrm>
                      <a:off x="0" y="0"/>
                      <a:ext cx="6645910" cy="4269105"/>
                    </a:xfrm>
                    <a:prstGeom prst="rect">
                      <a:avLst/>
                    </a:prstGeom>
                  </pic:spPr>
                </pic:pic>
              </a:graphicData>
            </a:graphic>
          </wp:inline>
        </w:drawing>
      </w:r>
    </w:p>
    <w:p w14:paraId="697D644C" w14:textId="77777777" w:rsidR="000A4AD6" w:rsidRDefault="000A4AD6" w:rsidP="000A4AD6">
      <w:pPr>
        <w:rPr>
          <w:lang w:val="en-GB"/>
        </w:rPr>
      </w:pPr>
      <w:r>
        <w:rPr>
          <w:lang w:val="en-GB"/>
        </w:rPr>
        <w:t>Surprisingly the reservation is not low. It’s around 6.6 GHz.</w:t>
      </w:r>
    </w:p>
    <w:p w14:paraId="0A7DA2AF" w14:textId="77777777" w:rsidR="000A4AD6" w:rsidRPr="00B0459F" w:rsidRDefault="000A4AD6" w:rsidP="000A4AD6">
      <w:pPr>
        <w:rPr>
          <w:lang w:val="en-GB"/>
        </w:rPr>
      </w:pPr>
      <w:r>
        <w:rPr>
          <w:lang w:val="en-GB"/>
        </w:rPr>
        <w:t xml:space="preserve">The above is from 1 ESXi. We need to plot for many to get a better understanding. The following diagram shows the distribution of VMkernel overhead based on a sample of almost 400 ESXi in production environment. </w:t>
      </w:r>
    </w:p>
    <w:p w14:paraId="10D6DCB5" w14:textId="77777777" w:rsidR="000A4AD6" w:rsidRDefault="000A4AD6" w:rsidP="000A4AD6">
      <w:pPr>
        <w:jc w:val="center"/>
        <w:rPr>
          <w:lang w:val="en-GB"/>
        </w:rPr>
      </w:pPr>
      <w:r>
        <w:rPr>
          <w:noProof/>
        </w:rPr>
        <w:drawing>
          <wp:inline distT="0" distB="0" distL="0" distR="0" wp14:anchorId="370B1C69" wp14:editId="3AE5F20C">
            <wp:extent cx="5461200" cy="2430000"/>
            <wp:effectExtent l="0" t="0" r="6350" b="8890"/>
            <wp:docPr id="750070386" name="Picture 750070386" descr="A graph of a number of peop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86" name="Picture 750070386" descr="A graph of a number of people&#10;&#10;Description automatically generated with medium confidence"/>
                    <pic:cNvPicPr/>
                  </pic:nvPicPr>
                  <pic:blipFill>
                    <a:blip r:embed="rId664" cstate="print">
                      <a:extLst>
                        <a:ext uri="{28A0092B-C50C-407E-A947-70E740481C1C}">
                          <a14:useLocalDpi xmlns:a14="http://schemas.microsoft.com/office/drawing/2010/main" val="0"/>
                        </a:ext>
                      </a:extLst>
                    </a:blip>
                    <a:stretch>
                      <a:fillRect/>
                    </a:stretch>
                  </pic:blipFill>
                  <pic:spPr>
                    <a:xfrm>
                      <a:off x="0" y="0"/>
                      <a:ext cx="5461200" cy="2430000"/>
                    </a:xfrm>
                    <a:prstGeom prst="rect">
                      <a:avLst/>
                    </a:prstGeom>
                  </pic:spPr>
                </pic:pic>
              </a:graphicData>
            </a:graphic>
          </wp:inline>
        </w:drawing>
      </w:r>
    </w:p>
    <w:p w14:paraId="1DDDCA06" w14:textId="77777777" w:rsidR="000A4AD6" w:rsidRDefault="000A4AD6" w:rsidP="000A4AD6">
      <w:pPr>
        <w:rPr>
          <w:lang w:val="en-GB"/>
        </w:rPr>
      </w:pPr>
      <w:r>
        <w:rPr>
          <w:lang w:val="en-GB"/>
        </w:rPr>
        <w:t>By far the majority of the values lie in 6 – 10 GHz.</w:t>
      </w:r>
    </w:p>
    <w:p w14:paraId="609BF97B" w14:textId="77777777" w:rsidR="000A4AD6" w:rsidRDefault="000A4AD6" w:rsidP="000A4AD6">
      <w:pPr>
        <w:rPr>
          <w:lang w:val="en-GB"/>
        </w:rPr>
      </w:pPr>
      <w:r>
        <w:rPr>
          <w:lang w:val="en-GB"/>
        </w:rPr>
        <w:t xml:space="preserve">Their values tend to be stable over days, although from time to time I see fluctuating metrics, which is reasonable as there are multiple factors impacting the reservation. </w:t>
      </w:r>
    </w:p>
    <w:p w14:paraId="5ABED174" w14:textId="77777777" w:rsidR="000A4AD6" w:rsidRDefault="000A4AD6" w:rsidP="000A4AD6">
      <w:pPr>
        <w:rPr>
          <w:lang w:val="en-GB"/>
        </w:rPr>
      </w:pPr>
      <w:r>
        <w:rPr>
          <w:lang w:val="en-GB"/>
        </w:rPr>
        <w:t>The following chart shows both the fluctuating pattern and steady pattern (most common). They are from 2 ESXi hosts.</w:t>
      </w:r>
    </w:p>
    <w:p w14:paraId="65762CF3" w14:textId="77777777" w:rsidR="000A4AD6" w:rsidRDefault="000A4AD6" w:rsidP="000A4AD6">
      <w:pPr>
        <w:rPr>
          <w:lang w:val="en-GB"/>
        </w:rPr>
      </w:pPr>
      <w:r>
        <w:rPr>
          <w:noProof/>
        </w:rPr>
        <w:lastRenderedPageBreak/>
        <w:drawing>
          <wp:inline distT="0" distB="0" distL="0" distR="0" wp14:anchorId="037C2230" wp14:editId="22837E84">
            <wp:extent cx="6645910" cy="2214245"/>
            <wp:effectExtent l="0" t="0" r="2540" b="0"/>
            <wp:docPr id="750070387" name="Picture 750070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53"/>
                    <pic:cNvPicPr/>
                  </pic:nvPicPr>
                  <pic:blipFill>
                    <a:blip r:embed="rId665" cstate="print">
                      <a:extLst>
                        <a:ext uri="{28A0092B-C50C-407E-A947-70E740481C1C}">
                          <a14:useLocalDpi xmlns:a14="http://schemas.microsoft.com/office/drawing/2010/main" val="0"/>
                        </a:ext>
                      </a:extLst>
                    </a:blip>
                    <a:stretch>
                      <a:fillRect/>
                    </a:stretch>
                  </pic:blipFill>
                  <pic:spPr>
                    <a:xfrm>
                      <a:off x="0" y="0"/>
                      <a:ext cx="6645910" cy="2214245"/>
                    </a:xfrm>
                    <a:prstGeom prst="rect">
                      <a:avLst/>
                    </a:prstGeom>
                  </pic:spPr>
                </pic:pic>
              </a:graphicData>
            </a:graphic>
          </wp:inline>
        </w:drawing>
      </w:r>
    </w:p>
    <w:p w14:paraId="01A75001" w14:textId="77777777" w:rsidR="000A4AD6" w:rsidRDefault="000A4AD6" w:rsidP="000A4AD6">
      <w:pPr>
        <w:rPr>
          <w:lang w:val="en-GB"/>
        </w:rPr>
      </w:pPr>
      <w:r w:rsidRPr="00A20A89">
        <w:rPr>
          <w:lang w:val="en-GB"/>
        </w:rPr>
        <w:t xml:space="preserve">ESXi CPU </w:t>
      </w:r>
      <w:r>
        <w:rPr>
          <w:lang w:val="en-GB"/>
        </w:rPr>
        <w:t xml:space="preserve">reservation </w:t>
      </w:r>
    </w:p>
    <w:p w14:paraId="0AB4F528" w14:textId="77777777" w:rsidR="000A4AD6" w:rsidRDefault="000A4AD6" w:rsidP="000A4AD6">
      <w:pPr>
        <w:rPr>
          <w:lang w:val="en-GB"/>
        </w:rPr>
      </w:pPr>
      <w:r w:rsidRPr="005A630A">
        <w:rPr>
          <w:lang w:val="en-GB"/>
        </w:rPr>
        <w:t xml:space="preserve">CPU|Reserved Capacity - The sum of the reservation properties of the (immediate) children of the host’s root resource pool. </w:t>
      </w:r>
    </w:p>
    <w:p w14:paraId="5B2DBB40" w14:textId="77777777" w:rsidR="000A4AD6" w:rsidRDefault="000A4AD6" w:rsidP="000A4AD6">
      <w:pPr>
        <w:rPr>
          <w:lang w:val="en-GB"/>
        </w:rPr>
      </w:pPr>
      <w:r w:rsidRPr="005A630A">
        <w:rPr>
          <w:lang w:val="en-GB"/>
        </w:rPr>
        <w:t>SUM([Host)“cpu|reservedCapacity_average”) which matches VC’s counter cpu.reservedCapacity.average</w:t>
      </w:r>
    </w:p>
    <w:p w14:paraId="047562AE" w14:textId="77777777" w:rsidR="000A4AD6" w:rsidRDefault="000A4AD6" w:rsidP="000A4AD6">
      <w:pPr>
        <w:rPr>
          <w:lang w:val="en-GB"/>
        </w:rPr>
      </w:pPr>
      <w:r>
        <w:rPr>
          <w:lang w:val="en-GB"/>
        </w:rPr>
        <w:t xml:space="preserve">This is different to the metric </w:t>
      </w:r>
      <w:r w:rsidRPr="00A20A89">
        <w:rPr>
          <w:lang w:val="en-GB"/>
        </w:rPr>
        <w:t>CPU \ Overhead (MHz)</w:t>
      </w:r>
      <w:r>
        <w:rPr>
          <w:lang w:val="en-GB"/>
        </w:rPr>
        <w:t>. I think the formula is</w:t>
      </w:r>
    </w:p>
    <w:p w14:paraId="26574F88" w14:textId="77777777" w:rsidR="000A4AD6" w:rsidRDefault="000A4AD6" w:rsidP="000A4AD6">
      <w:pPr>
        <w:rPr>
          <w:lang w:val="en-GB"/>
        </w:rPr>
      </w:pPr>
      <w:r>
        <w:rPr>
          <w:lang w:val="en-GB"/>
        </w:rPr>
        <w:t xml:space="preserve">CPU \ Overhead (MHz) = Number of CPU </w:t>
      </w:r>
      <w:r w:rsidRPr="0038305D">
        <w:rPr>
          <w:lang w:val="en-GB"/>
        </w:rPr>
        <w:t>Cores</w:t>
      </w:r>
      <w:r>
        <w:rPr>
          <w:lang w:val="en-GB"/>
        </w:rPr>
        <w:t xml:space="preserve"> </w:t>
      </w:r>
      <w:r w:rsidRPr="0038305D">
        <w:rPr>
          <w:lang w:val="en-GB"/>
        </w:rPr>
        <w:t>*</w:t>
      </w:r>
      <w:r>
        <w:rPr>
          <w:lang w:val="en-GB"/>
        </w:rPr>
        <w:t xml:space="preserve"> </w:t>
      </w:r>
      <w:r w:rsidRPr="0038305D">
        <w:rPr>
          <w:lang w:val="en-GB"/>
        </w:rPr>
        <w:t>(hardware|cpuInfo</w:t>
      </w:r>
      <w:r>
        <w:rPr>
          <w:lang w:val="en-GB"/>
        </w:rPr>
        <w:t xml:space="preserve"> GHz</w:t>
      </w:r>
      <w:r w:rsidRPr="0038305D">
        <w:rPr>
          <w:lang w:val="en-GB"/>
        </w:rPr>
        <w:t xml:space="preserve">) </w:t>
      </w:r>
      <w:r>
        <w:rPr>
          <w:lang w:val="en-GB"/>
        </w:rPr>
        <w:t>–</w:t>
      </w:r>
      <w:r w:rsidRPr="0038305D">
        <w:rPr>
          <w:lang w:val="en-GB"/>
        </w:rPr>
        <w:t xml:space="preserve"> </w:t>
      </w:r>
      <w:r>
        <w:rPr>
          <w:lang w:val="en-GB"/>
        </w:rPr>
        <w:t xml:space="preserve">CPU </w:t>
      </w:r>
      <w:r w:rsidRPr="0038305D">
        <w:rPr>
          <w:lang w:val="en-GB"/>
        </w:rPr>
        <w:t>|totalCapacity_average</w:t>
      </w:r>
    </w:p>
    <w:p w14:paraId="7E92CF39" w14:textId="77777777" w:rsidR="000A4AD6" w:rsidRPr="00E13E58" w:rsidRDefault="000A4AD6" w:rsidP="000A4AD6">
      <w:pPr>
        <w:rPr>
          <w:color w:val="FF0000"/>
          <w:lang w:val="en-GB"/>
        </w:rPr>
      </w:pPr>
      <w:r>
        <w:rPr>
          <w:color w:val="FF0000"/>
          <w:lang w:val="en-GB"/>
        </w:rPr>
        <w:t xml:space="preserve">[e1: </w:t>
      </w:r>
      <w:r w:rsidRPr="0038305D">
        <w:rPr>
          <w:color w:val="FF0000"/>
          <w:lang w:val="en-GB"/>
        </w:rPr>
        <w:t>Where Total Capacity is the capacity available to VM?</w:t>
      </w:r>
      <w:r>
        <w:rPr>
          <w:color w:val="FF0000"/>
          <w:lang w:val="en-GB"/>
        </w:rPr>
        <w:t xml:space="preserve"> But how is this metric derived?</w:t>
      </w:r>
      <w:r w:rsidRPr="0038305D">
        <w:rPr>
          <w:color w:val="FF0000"/>
          <w:lang w:val="en-GB"/>
        </w:rPr>
        <w:t xml:space="preserve"> </w:t>
      </w:r>
      <w:r>
        <w:rPr>
          <w:color w:val="FF0000"/>
          <w:lang w:val="en-GB"/>
        </w:rPr>
        <w:t>]</w:t>
      </w:r>
    </w:p>
    <w:p w14:paraId="6124AE19" w14:textId="77777777" w:rsidR="000A4AD6" w:rsidRDefault="000A4AD6" w:rsidP="000A4AD6">
      <w:pPr>
        <w:pStyle w:val="Heading6"/>
      </w:pPr>
      <w:r>
        <w:t>Utilization</w:t>
      </w:r>
    </w:p>
    <w:p w14:paraId="5737E09A" w14:textId="77777777" w:rsidR="000A4AD6" w:rsidRPr="00B0459F" w:rsidRDefault="000A4AD6" w:rsidP="000A4AD6">
      <w:pPr>
        <w:rPr>
          <w:lang w:val="en-GB"/>
        </w:rPr>
      </w:pPr>
      <w:r>
        <w:rPr>
          <w:lang w:val="en-GB"/>
        </w:rPr>
        <w:t xml:space="preserve">To see the actual usage, choose the metric Resource CPU Usage. </w:t>
      </w:r>
    </w:p>
    <w:p w14:paraId="15B066E3" w14:textId="77777777" w:rsidR="000A4AD6" w:rsidRDefault="000A4AD6" w:rsidP="000A4AD6">
      <w:pPr>
        <w:rPr>
          <w:lang w:val="en-GB"/>
        </w:rPr>
      </w:pPr>
      <w:r>
        <w:rPr>
          <w:noProof/>
        </w:rPr>
        <w:drawing>
          <wp:inline distT="0" distB="0" distL="0" distR="0" wp14:anchorId="22E9BEAB" wp14:editId="299964B9">
            <wp:extent cx="6645910" cy="3706495"/>
            <wp:effectExtent l="0" t="0" r="2540" b="8255"/>
            <wp:docPr id="750070388" name="Picture 750070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51"/>
                    <pic:cNvPicPr/>
                  </pic:nvPicPr>
                  <pic:blipFill>
                    <a:blip r:embed="rId666" cstate="print">
                      <a:extLst>
                        <a:ext uri="{28A0092B-C50C-407E-A947-70E740481C1C}">
                          <a14:useLocalDpi xmlns:a14="http://schemas.microsoft.com/office/drawing/2010/main" val="0"/>
                        </a:ext>
                      </a:extLst>
                    </a:blip>
                    <a:stretch>
                      <a:fillRect/>
                    </a:stretch>
                  </pic:blipFill>
                  <pic:spPr>
                    <a:xfrm>
                      <a:off x="0" y="0"/>
                      <a:ext cx="6645910" cy="3706495"/>
                    </a:xfrm>
                    <a:prstGeom prst="rect">
                      <a:avLst/>
                    </a:prstGeom>
                  </pic:spPr>
                </pic:pic>
              </a:graphicData>
            </a:graphic>
          </wp:inline>
        </w:drawing>
      </w:r>
    </w:p>
    <w:p w14:paraId="2B67DE5E" w14:textId="77777777" w:rsidR="000A4AD6" w:rsidRDefault="000A4AD6" w:rsidP="000A4AD6">
      <w:pPr>
        <w:rPr>
          <w:lang w:val="en-GB"/>
        </w:rPr>
      </w:pPr>
      <w:r>
        <w:rPr>
          <w:lang w:val="en-GB"/>
        </w:rPr>
        <w:lastRenderedPageBreak/>
        <w:t xml:space="preserve">You need to select </w:t>
      </w:r>
      <w:r w:rsidRPr="00086EBC">
        <w:rPr>
          <w:color w:val="00B0F0"/>
          <w:lang w:val="en-GB"/>
        </w:rPr>
        <w:t>host/iofilters</w:t>
      </w:r>
      <w:r>
        <w:rPr>
          <w:lang w:val="en-GB"/>
        </w:rPr>
        <w:t xml:space="preserve">, </w:t>
      </w:r>
      <w:r w:rsidRPr="00086EBC">
        <w:rPr>
          <w:color w:val="00B0F0"/>
          <w:lang w:val="en-GB"/>
        </w:rPr>
        <w:t>host/system</w:t>
      </w:r>
      <w:r>
        <w:rPr>
          <w:lang w:val="en-GB"/>
        </w:rPr>
        <w:t xml:space="preserve">, and </w:t>
      </w:r>
      <w:r w:rsidRPr="00086EBC">
        <w:rPr>
          <w:color w:val="00B0F0"/>
          <w:lang w:val="en-GB"/>
        </w:rPr>
        <w:t>host/vim</w:t>
      </w:r>
      <w:r>
        <w:rPr>
          <w:lang w:val="en-GB"/>
        </w:rPr>
        <w:t xml:space="preserve">. </w:t>
      </w:r>
    </w:p>
    <w:p w14:paraId="4ACA9610" w14:textId="77777777" w:rsidR="000A4AD6" w:rsidRDefault="000A4AD6" w:rsidP="000A4AD6">
      <w:pPr>
        <w:rPr>
          <w:lang w:val="en-GB"/>
        </w:rPr>
      </w:pPr>
      <w:r>
        <w:rPr>
          <w:lang w:val="en-GB"/>
        </w:rPr>
        <w:t xml:space="preserve">Everything else runs under one of the 3 resource pools above. You can plot their values in vCenter by stacking up their values, as shown below. </w:t>
      </w:r>
    </w:p>
    <w:p w14:paraId="58EBBC74" w14:textId="77777777" w:rsidR="000A4AD6" w:rsidRDefault="000A4AD6" w:rsidP="000A4AD6">
      <w:pPr>
        <w:rPr>
          <w:lang w:val="en-GB"/>
        </w:rPr>
      </w:pPr>
      <w:r>
        <w:rPr>
          <w:noProof/>
        </w:rPr>
        <w:drawing>
          <wp:inline distT="0" distB="0" distL="0" distR="0" wp14:anchorId="669E03B3" wp14:editId="7CB9CDB8">
            <wp:extent cx="6645910" cy="3626485"/>
            <wp:effectExtent l="0" t="0" r="2540" b="0"/>
            <wp:docPr id="750070389" name="Picture 750070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55"/>
                    <pic:cNvPicPr/>
                  </pic:nvPicPr>
                  <pic:blipFill>
                    <a:blip r:embed="rId667">
                      <a:extLst>
                        <a:ext uri="{28A0092B-C50C-407E-A947-70E740481C1C}">
                          <a14:useLocalDpi xmlns:a14="http://schemas.microsoft.com/office/drawing/2010/main" val="0"/>
                        </a:ext>
                      </a:extLst>
                    </a:blip>
                    <a:stretch>
                      <a:fillRect/>
                    </a:stretch>
                  </pic:blipFill>
                  <pic:spPr>
                    <a:xfrm>
                      <a:off x="0" y="0"/>
                      <a:ext cx="6645910" cy="3626485"/>
                    </a:xfrm>
                    <a:prstGeom prst="rect">
                      <a:avLst/>
                    </a:prstGeom>
                  </pic:spPr>
                </pic:pic>
              </a:graphicData>
            </a:graphic>
          </wp:inline>
        </w:drawing>
      </w:r>
    </w:p>
    <w:p w14:paraId="66A98368" w14:textId="77777777" w:rsidR="000A4AD6" w:rsidRDefault="000A4AD6" w:rsidP="000A4AD6">
      <w:pPr>
        <w:rPr>
          <w:lang w:val="en-GB"/>
        </w:rPr>
      </w:pPr>
      <w:r>
        <w:rPr>
          <w:lang w:val="en-GB"/>
        </w:rPr>
        <w:t xml:space="preserve">The above is for one ESXi Host. </w:t>
      </w:r>
    </w:p>
    <w:p w14:paraId="102321BF" w14:textId="77777777" w:rsidR="000A4AD6" w:rsidRDefault="000A4AD6" w:rsidP="000A4AD6">
      <w:pPr>
        <w:rPr>
          <w:lang w:val="en-GB"/>
        </w:rPr>
      </w:pPr>
      <w:r>
        <w:rPr>
          <w:lang w:val="en-GB"/>
        </w:rPr>
        <w:t xml:space="preserve">Here is a sample from ~400 ESXi hosts, where I sort the top 7 from highest System usage. </w:t>
      </w:r>
    </w:p>
    <w:p w14:paraId="2ED2649E" w14:textId="77777777" w:rsidR="000A4AD6" w:rsidRDefault="000A4AD6" w:rsidP="000A4AD6">
      <w:pPr>
        <w:rPr>
          <w:lang w:val="en-GB"/>
        </w:rPr>
      </w:pPr>
      <w:r>
        <w:rPr>
          <w:noProof/>
        </w:rPr>
        <w:drawing>
          <wp:inline distT="0" distB="0" distL="0" distR="0" wp14:anchorId="54CB5D48" wp14:editId="7F15F4BD">
            <wp:extent cx="6639559" cy="2449830"/>
            <wp:effectExtent l="0" t="0" r="8890" b="7620"/>
            <wp:docPr id="750070392" name="Picture 750070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57"/>
                    <pic:cNvPicPr/>
                  </pic:nvPicPr>
                  <pic:blipFill>
                    <a:blip r:embed="rId668">
                      <a:extLst>
                        <a:ext uri="{28A0092B-C50C-407E-A947-70E740481C1C}">
                          <a14:useLocalDpi xmlns:a14="http://schemas.microsoft.com/office/drawing/2010/main" val="0"/>
                        </a:ext>
                      </a:extLst>
                    </a:blip>
                    <a:stretch>
                      <a:fillRect/>
                    </a:stretch>
                  </pic:blipFill>
                  <pic:spPr>
                    <a:xfrm>
                      <a:off x="0" y="0"/>
                      <a:ext cx="6639559" cy="2449830"/>
                    </a:xfrm>
                    <a:prstGeom prst="rect">
                      <a:avLst/>
                    </a:prstGeom>
                  </pic:spPr>
                </pic:pic>
              </a:graphicData>
            </a:graphic>
          </wp:inline>
        </w:drawing>
      </w:r>
    </w:p>
    <w:p w14:paraId="586ADF22" w14:textId="77777777" w:rsidR="000A4AD6" w:rsidRDefault="000A4AD6" w:rsidP="000A4AD6">
      <w:pPr>
        <w:rPr>
          <w:lang w:val="en-GB"/>
        </w:rPr>
      </w:pPr>
      <w:r>
        <w:rPr>
          <w:lang w:val="en-GB"/>
        </w:rPr>
        <w:t>The bottom two rows show the summary. The first summary is the average among all the hosts, while the last row is the highest value.</w:t>
      </w:r>
    </w:p>
    <w:p w14:paraId="3612274C" w14:textId="1B56D518" w:rsidR="001A1AA5" w:rsidRDefault="001A1AA5" w:rsidP="001A1AA5">
      <w:pPr>
        <w:pStyle w:val="Heading5"/>
      </w:pPr>
      <w:r>
        <w:lastRenderedPageBreak/>
        <w:t>VMkernel Memory</w:t>
      </w:r>
    </w:p>
    <w:p w14:paraId="717A6B4B" w14:textId="77777777" w:rsidR="001A1AA5" w:rsidRPr="00A96626" w:rsidRDefault="001A1AA5" w:rsidP="001A1AA5">
      <w:pPr>
        <w:rPr>
          <w:lang w:val="en-GB"/>
        </w:rPr>
      </w:pPr>
      <w:r>
        <w:rPr>
          <w:lang w:val="en-GB"/>
        </w:rPr>
        <w:t>The following screenshot shows the counter names used by vSphere Client UI</w:t>
      </w:r>
    </w:p>
    <w:p w14:paraId="0073108A" w14:textId="77777777" w:rsidR="001A1AA5" w:rsidRDefault="001A1AA5" w:rsidP="001A1AA5">
      <w:pPr>
        <w:rPr>
          <w:lang w:val="en-GB"/>
        </w:rPr>
      </w:pPr>
      <w:r>
        <w:rPr>
          <w:noProof/>
          <w:lang w:val="en-GB"/>
        </w:rPr>
        <w:drawing>
          <wp:inline distT="0" distB="0" distL="0" distR="0" wp14:anchorId="3720D96F" wp14:editId="2DC4C047">
            <wp:extent cx="6644005" cy="2391410"/>
            <wp:effectExtent l="0" t="0" r="4445" b="8890"/>
            <wp:docPr id="1971069048" name="Picture 1971069048"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9048" name="Picture 1971069048" descr="A screenshot of a computer&#10;&#10;Description automatically generated"/>
                    <pic:cNvPicPr>
                      <a:picLocks noChangeAspect="1" noChangeArrowheads="1"/>
                    </pic:cNvPicPr>
                  </pic:nvPicPr>
                  <pic:blipFill>
                    <a:blip r:embed="rId669">
                      <a:extLst>
                        <a:ext uri="{28A0092B-C50C-407E-A947-70E740481C1C}">
                          <a14:useLocalDpi xmlns:a14="http://schemas.microsoft.com/office/drawing/2010/main" val="0"/>
                        </a:ext>
                      </a:extLst>
                    </a:blip>
                    <a:srcRect/>
                    <a:stretch>
                      <a:fillRect/>
                    </a:stretch>
                  </pic:blipFill>
                  <pic:spPr bwMode="auto">
                    <a:xfrm>
                      <a:off x="0" y="0"/>
                      <a:ext cx="6644005" cy="2391410"/>
                    </a:xfrm>
                    <a:prstGeom prst="rect">
                      <a:avLst/>
                    </a:prstGeom>
                    <a:noFill/>
                    <a:ln>
                      <a:noFill/>
                    </a:ln>
                  </pic:spPr>
                </pic:pic>
              </a:graphicData>
            </a:graphic>
          </wp:inline>
        </w:drawing>
      </w:r>
    </w:p>
    <w:p w14:paraId="594E2E03" w14:textId="77777777" w:rsidR="001A1AA5" w:rsidRDefault="001A1AA5" w:rsidP="001A1AA5">
      <w:pPr>
        <w:rPr>
          <w:lang w:val="en-GB"/>
        </w:rPr>
      </w:pPr>
      <w:r>
        <w:rPr>
          <w:lang w:val="en-GB"/>
        </w:rPr>
        <w:t xml:space="preserve">The </w:t>
      </w:r>
      <w:r>
        <w:rPr>
          <w:color w:val="00B0F0"/>
          <w:lang w:val="en-GB"/>
        </w:rPr>
        <w:t>R</w:t>
      </w:r>
      <w:r w:rsidRPr="00E26F03">
        <w:rPr>
          <w:color w:val="00B0F0"/>
          <w:lang w:val="en-GB"/>
        </w:rPr>
        <w:t xml:space="preserve">ollups </w:t>
      </w:r>
      <w:r w:rsidRPr="00E26F03">
        <w:rPr>
          <w:lang w:val="en-GB"/>
        </w:rPr>
        <w:t xml:space="preserve">column values </w:t>
      </w:r>
      <w:r>
        <w:rPr>
          <w:lang w:val="en-GB"/>
        </w:rPr>
        <w:t xml:space="preserve">are all </w:t>
      </w:r>
      <w:r w:rsidRPr="00E26F03">
        <w:rPr>
          <w:color w:val="00B0F0"/>
          <w:lang w:val="en-GB"/>
        </w:rPr>
        <w:t>Latest</w:t>
      </w:r>
      <w:r>
        <w:rPr>
          <w:lang w:val="en-GB"/>
        </w:rPr>
        <w:t xml:space="preserve">, and the </w:t>
      </w:r>
      <w:r w:rsidRPr="00E26F03">
        <w:rPr>
          <w:color w:val="00B0F0"/>
          <w:lang w:val="en-GB"/>
        </w:rPr>
        <w:t xml:space="preserve">Stat Types </w:t>
      </w:r>
      <w:r w:rsidRPr="00E26F03">
        <w:rPr>
          <w:lang w:val="en-GB"/>
        </w:rPr>
        <w:t xml:space="preserve">column values </w:t>
      </w:r>
      <w:r>
        <w:rPr>
          <w:lang w:val="en-GB"/>
        </w:rPr>
        <w:t xml:space="preserve">are all </w:t>
      </w:r>
      <w:r w:rsidRPr="00E26F03">
        <w:rPr>
          <w:color w:val="00B0F0"/>
          <w:lang w:val="en-GB"/>
        </w:rPr>
        <w:t>Absolute</w:t>
      </w:r>
      <w:r>
        <w:rPr>
          <w:lang w:val="en-GB"/>
        </w:rPr>
        <w:t xml:space="preserve">. </w:t>
      </w:r>
    </w:p>
    <w:p w14:paraId="2748058E" w14:textId="77777777" w:rsidR="001A1AA5" w:rsidRDefault="001A1AA5" w:rsidP="001A1AA5">
      <w:pPr>
        <w:pStyle w:val="BeforeTable"/>
        <w:rPr>
          <w:lang w:val="en-GB"/>
        </w:rPr>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985"/>
        <w:gridCol w:w="8505"/>
      </w:tblGrid>
      <w:tr w:rsidR="001A1AA5" w:rsidRPr="00E51A31" w14:paraId="30A5D5F1" w14:textId="77777777" w:rsidTr="000B32EB">
        <w:tc>
          <w:tcPr>
            <w:tcW w:w="1985" w:type="dxa"/>
            <w:shd w:val="clear" w:color="auto" w:fill="F2F2F2" w:themeFill="background1" w:themeFillShade="F2"/>
          </w:tcPr>
          <w:p w14:paraId="1109DD13" w14:textId="77777777" w:rsidR="001A1AA5" w:rsidRPr="007726F7" w:rsidRDefault="001A1AA5" w:rsidP="001A1AA5">
            <w:pPr>
              <w:pStyle w:val="Tablecontent"/>
              <w:rPr>
                <w:b/>
                <w:bCs/>
              </w:rPr>
            </w:pPr>
            <w:r w:rsidRPr="007726F7">
              <w:rPr>
                <w:b/>
                <w:bCs/>
                <w:lang w:val="en-GB"/>
              </w:rPr>
              <w:t>Allocation maximum</w:t>
            </w:r>
          </w:p>
        </w:tc>
        <w:tc>
          <w:tcPr>
            <w:tcW w:w="8505" w:type="dxa"/>
          </w:tcPr>
          <w:p w14:paraId="4272D621" w14:textId="77777777" w:rsidR="001A1AA5" w:rsidRDefault="001A1AA5" w:rsidP="001A1AA5">
            <w:pPr>
              <w:pStyle w:val="Tablecontent"/>
            </w:pPr>
            <w:r>
              <w:rPr>
                <w:lang w:val="en-GB"/>
              </w:rPr>
              <w:t xml:space="preserve">As per CPU, this is the limit. </w:t>
            </w:r>
          </w:p>
          <w:p w14:paraId="4A8D7A9E" w14:textId="77777777" w:rsidR="001A1AA5" w:rsidRDefault="001A1AA5" w:rsidP="001A1AA5">
            <w:pPr>
              <w:pStyle w:val="Tablecontent"/>
            </w:pPr>
          </w:p>
        </w:tc>
      </w:tr>
      <w:tr w:rsidR="001A1AA5" w:rsidRPr="00E51A31" w14:paraId="334B58DF" w14:textId="77777777" w:rsidTr="000B32EB">
        <w:tc>
          <w:tcPr>
            <w:tcW w:w="1985" w:type="dxa"/>
            <w:shd w:val="clear" w:color="auto" w:fill="F2F2F2" w:themeFill="background1" w:themeFillShade="F2"/>
          </w:tcPr>
          <w:p w14:paraId="650D5085" w14:textId="77777777" w:rsidR="001A1AA5" w:rsidRPr="007726F7" w:rsidRDefault="001A1AA5" w:rsidP="001A1AA5">
            <w:pPr>
              <w:pStyle w:val="Tablecontent"/>
              <w:rPr>
                <w:b/>
                <w:bCs/>
                <w:lang w:val="en-GB"/>
              </w:rPr>
            </w:pPr>
            <w:r w:rsidRPr="007726F7">
              <w:rPr>
                <w:b/>
                <w:bCs/>
                <w:lang w:val="en-GB"/>
              </w:rPr>
              <w:t>Allocation minimum</w:t>
            </w:r>
          </w:p>
        </w:tc>
        <w:tc>
          <w:tcPr>
            <w:tcW w:w="8505" w:type="dxa"/>
          </w:tcPr>
          <w:p w14:paraId="4AD6F394" w14:textId="77777777" w:rsidR="001A1AA5" w:rsidRDefault="001A1AA5" w:rsidP="001A1AA5">
            <w:pPr>
              <w:pStyle w:val="Tablecontent"/>
              <w:rPr>
                <w:lang w:val="en-GB"/>
              </w:rPr>
            </w:pPr>
            <w:r>
              <w:rPr>
                <w:lang w:val="en-GB"/>
              </w:rPr>
              <w:t>As per CPU, this is reservation.</w:t>
            </w:r>
          </w:p>
        </w:tc>
      </w:tr>
      <w:tr w:rsidR="001A1AA5" w:rsidRPr="00E51A31" w14:paraId="0268D98A" w14:textId="77777777" w:rsidTr="000B32EB">
        <w:tc>
          <w:tcPr>
            <w:tcW w:w="1985" w:type="dxa"/>
            <w:shd w:val="clear" w:color="auto" w:fill="F2F2F2" w:themeFill="background1" w:themeFillShade="F2"/>
          </w:tcPr>
          <w:p w14:paraId="6C9D3043" w14:textId="77777777" w:rsidR="001A1AA5" w:rsidRPr="007726F7" w:rsidRDefault="001A1AA5" w:rsidP="001A1AA5">
            <w:pPr>
              <w:pStyle w:val="Tablecontent"/>
              <w:rPr>
                <w:b/>
                <w:bCs/>
                <w:lang w:val="en-GB"/>
              </w:rPr>
            </w:pPr>
            <w:r w:rsidRPr="007726F7">
              <w:rPr>
                <w:b/>
                <w:bCs/>
                <w:lang w:val="en-GB"/>
              </w:rPr>
              <w:t>Shares</w:t>
            </w:r>
          </w:p>
        </w:tc>
        <w:tc>
          <w:tcPr>
            <w:tcW w:w="8505" w:type="dxa"/>
          </w:tcPr>
          <w:p w14:paraId="65515E98" w14:textId="77777777" w:rsidR="001A1AA5" w:rsidRDefault="001A1AA5" w:rsidP="001A1AA5">
            <w:pPr>
              <w:pStyle w:val="Tablecontent"/>
              <w:rPr>
                <w:lang w:val="en-GB"/>
              </w:rPr>
            </w:pPr>
            <w:r>
              <w:rPr>
                <w:lang w:val="en-GB"/>
              </w:rPr>
              <w:t>Relative shares of each VMkernel world.</w:t>
            </w:r>
          </w:p>
          <w:p w14:paraId="7DA6C88E" w14:textId="77777777" w:rsidR="001A1AA5" w:rsidRDefault="001A1AA5" w:rsidP="001A1AA5">
            <w:pPr>
              <w:pStyle w:val="Tablecontent"/>
              <w:rPr>
                <w:lang w:val="en-GB"/>
              </w:rPr>
            </w:pPr>
            <w:r>
              <w:rPr>
                <w:lang w:val="en-GB"/>
              </w:rPr>
              <w:t>This is VMkernel internal metric, not something vSphere Administrator should change</w:t>
            </w:r>
          </w:p>
        </w:tc>
      </w:tr>
      <w:tr w:rsidR="001A1AA5" w:rsidRPr="00E51A31" w14:paraId="782B38BF" w14:textId="77777777" w:rsidTr="000B32EB">
        <w:tc>
          <w:tcPr>
            <w:tcW w:w="1985" w:type="dxa"/>
            <w:shd w:val="clear" w:color="auto" w:fill="F2F2F2" w:themeFill="background1" w:themeFillShade="F2"/>
          </w:tcPr>
          <w:p w14:paraId="0B6E309E" w14:textId="77777777" w:rsidR="001A1AA5" w:rsidRPr="00772FAD" w:rsidRDefault="001A1AA5" w:rsidP="001A1AA5">
            <w:pPr>
              <w:pStyle w:val="Tablecontent"/>
              <w:rPr>
                <w:b/>
                <w:bCs/>
                <w:lang w:val="en-GB"/>
              </w:rPr>
            </w:pPr>
            <w:r>
              <w:rPr>
                <w:b/>
                <w:bCs/>
                <w:lang w:val="en-GB"/>
              </w:rPr>
              <w:t>Consumed</w:t>
            </w:r>
          </w:p>
        </w:tc>
        <w:tc>
          <w:tcPr>
            <w:tcW w:w="8505" w:type="dxa"/>
          </w:tcPr>
          <w:p w14:paraId="1D4BDAB2" w14:textId="77777777" w:rsidR="001A1AA5" w:rsidRDefault="001A1AA5" w:rsidP="001A1AA5">
            <w:pPr>
              <w:pStyle w:val="Tablecontent"/>
              <w:rPr>
                <w:lang w:val="en-GB"/>
              </w:rPr>
            </w:pPr>
            <w:r>
              <w:rPr>
                <w:lang w:val="en-GB"/>
              </w:rPr>
              <w:t>The actual consumption. Just like CPU, this can be lower than the reservation.</w:t>
            </w:r>
          </w:p>
          <w:p w14:paraId="0211991A" w14:textId="77777777" w:rsidR="001A1AA5" w:rsidRDefault="001A1AA5" w:rsidP="001A1AA5">
            <w:pPr>
              <w:pStyle w:val="Tablecontent"/>
              <w:rPr>
                <w:lang w:val="en-GB"/>
              </w:rPr>
            </w:pPr>
            <w:r>
              <w:rPr>
                <w:lang w:val="en-GB"/>
              </w:rPr>
              <w:t>The host/vim world has no reservation.</w:t>
            </w:r>
          </w:p>
        </w:tc>
      </w:tr>
      <w:tr w:rsidR="001A1AA5" w:rsidRPr="00E51A31" w14:paraId="7470AEBD" w14:textId="77777777" w:rsidTr="000B32EB">
        <w:tc>
          <w:tcPr>
            <w:tcW w:w="1985" w:type="dxa"/>
            <w:shd w:val="clear" w:color="auto" w:fill="F2F2F2" w:themeFill="background1" w:themeFillShade="F2"/>
          </w:tcPr>
          <w:p w14:paraId="2D2CE5B9" w14:textId="77777777" w:rsidR="001A1AA5" w:rsidRPr="00772FAD" w:rsidRDefault="001A1AA5" w:rsidP="001A1AA5">
            <w:pPr>
              <w:pStyle w:val="Tablecontent"/>
              <w:rPr>
                <w:b/>
                <w:bCs/>
                <w:lang w:val="en-GB"/>
              </w:rPr>
            </w:pPr>
            <w:r>
              <w:rPr>
                <w:b/>
                <w:bCs/>
                <w:lang w:val="en-GB"/>
              </w:rPr>
              <w:t>Mapped</w:t>
            </w:r>
          </w:p>
        </w:tc>
        <w:tc>
          <w:tcPr>
            <w:tcW w:w="8505" w:type="dxa"/>
          </w:tcPr>
          <w:p w14:paraId="2E75B36A" w14:textId="77777777" w:rsidR="001A1AA5" w:rsidRDefault="001A1AA5" w:rsidP="001A1AA5">
            <w:pPr>
              <w:pStyle w:val="Tablecontent"/>
              <w:rPr>
                <w:lang w:val="en-GB"/>
              </w:rPr>
            </w:pPr>
          </w:p>
        </w:tc>
      </w:tr>
      <w:tr w:rsidR="001A1AA5" w:rsidRPr="00E51A31" w14:paraId="58624C72" w14:textId="77777777" w:rsidTr="000B32EB">
        <w:tc>
          <w:tcPr>
            <w:tcW w:w="1985" w:type="dxa"/>
            <w:shd w:val="clear" w:color="auto" w:fill="F2F2F2" w:themeFill="background1" w:themeFillShade="F2"/>
          </w:tcPr>
          <w:p w14:paraId="21EC8292" w14:textId="77777777" w:rsidR="001A1AA5" w:rsidRDefault="001A1AA5" w:rsidP="001A1AA5">
            <w:pPr>
              <w:pStyle w:val="Tablecontent"/>
              <w:rPr>
                <w:b/>
                <w:bCs/>
                <w:lang w:val="en-GB"/>
              </w:rPr>
            </w:pPr>
            <w:r>
              <w:rPr>
                <w:b/>
                <w:bCs/>
                <w:lang w:val="en-GB"/>
              </w:rPr>
              <w:t>Overhead</w:t>
            </w:r>
          </w:p>
        </w:tc>
        <w:tc>
          <w:tcPr>
            <w:tcW w:w="8505" w:type="dxa"/>
          </w:tcPr>
          <w:p w14:paraId="0959E2E6" w14:textId="77777777" w:rsidR="001A1AA5" w:rsidRDefault="001A1AA5" w:rsidP="001A1AA5">
            <w:pPr>
              <w:pStyle w:val="Tablecontent"/>
              <w:rPr>
                <w:lang w:val="en-GB"/>
              </w:rPr>
            </w:pPr>
          </w:p>
        </w:tc>
      </w:tr>
      <w:tr w:rsidR="001A1AA5" w:rsidRPr="00E51A31" w14:paraId="6221D8D4" w14:textId="77777777" w:rsidTr="000B32EB">
        <w:tc>
          <w:tcPr>
            <w:tcW w:w="1985" w:type="dxa"/>
            <w:shd w:val="clear" w:color="auto" w:fill="F2F2F2" w:themeFill="background1" w:themeFillShade="F2"/>
          </w:tcPr>
          <w:p w14:paraId="4E1BA8C6" w14:textId="77777777" w:rsidR="001A1AA5" w:rsidRDefault="001A1AA5" w:rsidP="001A1AA5">
            <w:pPr>
              <w:pStyle w:val="Tablecontent"/>
              <w:rPr>
                <w:b/>
                <w:bCs/>
                <w:lang w:val="en-GB"/>
              </w:rPr>
            </w:pPr>
            <w:r>
              <w:rPr>
                <w:b/>
                <w:bCs/>
                <w:lang w:val="en-GB"/>
              </w:rPr>
              <w:t>Share Saved</w:t>
            </w:r>
          </w:p>
        </w:tc>
        <w:tc>
          <w:tcPr>
            <w:tcW w:w="8505" w:type="dxa"/>
          </w:tcPr>
          <w:p w14:paraId="16269B55" w14:textId="77777777" w:rsidR="001A1AA5" w:rsidRDefault="001A1AA5" w:rsidP="001A1AA5">
            <w:pPr>
              <w:pStyle w:val="Tablecontent"/>
              <w:rPr>
                <w:lang w:val="en-GB"/>
              </w:rPr>
            </w:pPr>
          </w:p>
        </w:tc>
      </w:tr>
      <w:tr w:rsidR="001A1AA5" w:rsidRPr="00E51A31" w14:paraId="7BB09551" w14:textId="77777777" w:rsidTr="000B32EB">
        <w:tc>
          <w:tcPr>
            <w:tcW w:w="1985" w:type="dxa"/>
            <w:shd w:val="clear" w:color="auto" w:fill="F2F2F2" w:themeFill="background1" w:themeFillShade="F2"/>
          </w:tcPr>
          <w:p w14:paraId="47882BC2" w14:textId="77777777" w:rsidR="001A1AA5" w:rsidRDefault="001A1AA5" w:rsidP="001A1AA5">
            <w:pPr>
              <w:pStyle w:val="Tablecontent"/>
              <w:rPr>
                <w:b/>
                <w:bCs/>
                <w:lang w:val="en-GB"/>
              </w:rPr>
            </w:pPr>
            <w:r>
              <w:rPr>
                <w:b/>
                <w:bCs/>
                <w:lang w:val="en-GB"/>
              </w:rPr>
              <w:t>Shared</w:t>
            </w:r>
          </w:p>
        </w:tc>
        <w:tc>
          <w:tcPr>
            <w:tcW w:w="8505" w:type="dxa"/>
          </w:tcPr>
          <w:p w14:paraId="4E039D26" w14:textId="77777777" w:rsidR="001A1AA5" w:rsidRDefault="001A1AA5" w:rsidP="001A1AA5">
            <w:pPr>
              <w:pStyle w:val="Tablecontent"/>
              <w:rPr>
                <w:lang w:val="en-GB"/>
              </w:rPr>
            </w:pPr>
          </w:p>
        </w:tc>
      </w:tr>
      <w:tr w:rsidR="001A1AA5" w:rsidRPr="00E51A31" w14:paraId="1271BC85" w14:textId="77777777" w:rsidTr="000B32EB">
        <w:tc>
          <w:tcPr>
            <w:tcW w:w="1985" w:type="dxa"/>
            <w:shd w:val="clear" w:color="auto" w:fill="F2F2F2" w:themeFill="background1" w:themeFillShade="F2"/>
          </w:tcPr>
          <w:p w14:paraId="405D2E73" w14:textId="77777777" w:rsidR="001A1AA5" w:rsidRDefault="001A1AA5" w:rsidP="001A1AA5">
            <w:pPr>
              <w:pStyle w:val="Tablecontent"/>
              <w:rPr>
                <w:b/>
                <w:bCs/>
                <w:lang w:val="en-GB"/>
              </w:rPr>
            </w:pPr>
            <w:r>
              <w:rPr>
                <w:b/>
                <w:bCs/>
                <w:lang w:val="en-GB"/>
              </w:rPr>
              <w:t>Swapped</w:t>
            </w:r>
          </w:p>
        </w:tc>
        <w:tc>
          <w:tcPr>
            <w:tcW w:w="8505" w:type="dxa"/>
          </w:tcPr>
          <w:p w14:paraId="51CBCC84" w14:textId="77777777" w:rsidR="001A1AA5" w:rsidRDefault="001A1AA5" w:rsidP="001A1AA5">
            <w:pPr>
              <w:pStyle w:val="Tablecontent"/>
              <w:rPr>
                <w:lang w:val="en-GB"/>
              </w:rPr>
            </w:pPr>
          </w:p>
        </w:tc>
      </w:tr>
      <w:tr w:rsidR="001A1AA5" w:rsidRPr="00E51A31" w14:paraId="48EC351E" w14:textId="77777777" w:rsidTr="000B32EB">
        <w:tc>
          <w:tcPr>
            <w:tcW w:w="1985" w:type="dxa"/>
            <w:shd w:val="clear" w:color="auto" w:fill="F2F2F2" w:themeFill="background1" w:themeFillShade="F2"/>
          </w:tcPr>
          <w:p w14:paraId="305A089E" w14:textId="77777777" w:rsidR="001A1AA5" w:rsidRDefault="001A1AA5" w:rsidP="001A1AA5">
            <w:pPr>
              <w:pStyle w:val="Tablecontent"/>
              <w:rPr>
                <w:b/>
                <w:bCs/>
                <w:lang w:val="en-GB"/>
              </w:rPr>
            </w:pPr>
            <w:r>
              <w:rPr>
                <w:b/>
                <w:bCs/>
                <w:lang w:val="en-GB"/>
              </w:rPr>
              <w:t>Touched</w:t>
            </w:r>
          </w:p>
        </w:tc>
        <w:tc>
          <w:tcPr>
            <w:tcW w:w="8505" w:type="dxa"/>
          </w:tcPr>
          <w:p w14:paraId="0909681F" w14:textId="77777777" w:rsidR="001A1AA5" w:rsidRDefault="001A1AA5" w:rsidP="001A1AA5">
            <w:pPr>
              <w:pStyle w:val="Tablecontent"/>
              <w:rPr>
                <w:lang w:val="en-GB"/>
              </w:rPr>
            </w:pPr>
          </w:p>
        </w:tc>
      </w:tr>
      <w:tr w:rsidR="001A1AA5" w:rsidRPr="00E51A31" w14:paraId="1539BE72" w14:textId="77777777" w:rsidTr="000B32EB">
        <w:tc>
          <w:tcPr>
            <w:tcW w:w="1985" w:type="dxa"/>
            <w:shd w:val="clear" w:color="auto" w:fill="F2F2F2" w:themeFill="background1" w:themeFillShade="F2"/>
          </w:tcPr>
          <w:p w14:paraId="28BEA128" w14:textId="77777777" w:rsidR="001A1AA5" w:rsidRDefault="001A1AA5" w:rsidP="001A1AA5">
            <w:pPr>
              <w:pStyle w:val="Tablecontent"/>
              <w:rPr>
                <w:b/>
                <w:bCs/>
                <w:lang w:val="en-GB"/>
              </w:rPr>
            </w:pPr>
            <w:r>
              <w:rPr>
                <w:b/>
                <w:bCs/>
                <w:lang w:val="en-GB"/>
              </w:rPr>
              <w:t>Zero</w:t>
            </w:r>
          </w:p>
        </w:tc>
        <w:tc>
          <w:tcPr>
            <w:tcW w:w="8505" w:type="dxa"/>
          </w:tcPr>
          <w:p w14:paraId="34394C88" w14:textId="77777777" w:rsidR="001A1AA5" w:rsidRDefault="001A1AA5" w:rsidP="001A1AA5">
            <w:pPr>
              <w:pStyle w:val="Tablecontent"/>
              <w:rPr>
                <w:lang w:val="en-GB"/>
              </w:rPr>
            </w:pPr>
            <w:r>
              <w:rPr>
                <w:lang w:val="en-GB"/>
              </w:rPr>
              <w:t>The entire block contains just a series of 0.</w:t>
            </w:r>
          </w:p>
        </w:tc>
      </w:tr>
    </w:tbl>
    <w:p w14:paraId="634BE85D" w14:textId="77777777" w:rsidR="001A1AA5" w:rsidRPr="00CD2C66" w:rsidRDefault="001A1AA5" w:rsidP="001A1AA5">
      <w:pPr>
        <w:pStyle w:val="Heading6"/>
        <w:rPr>
          <w:lang w:eastAsia="en-SG"/>
        </w:rPr>
      </w:pPr>
      <w:r>
        <w:rPr>
          <w:lang w:eastAsia="en-SG"/>
        </w:rPr>
        <w:t>Reservation</w:t>
      </w:r>
    </w:p>
    <w:p w14:paraId="721E2687" w14:textId="77777777" w:rsidR="001A1AA5" w:rsidRPr="00E13E58" w:rsidRDefault="001A1AA5" w:rsidP="001A1AA5">
      <w:pPr>
        <w:rPr>
          <w:color w:val="FF0000"/>
          <w:lang w:val="en-GB"/>
        </w:rPr>
      </w:pPr>
      <w:r w:rsidRPr="00E13E58">
        <w:rPr>
          <w:color w:val="FF0000"/>
          <w:lang w:val="en-GB"/>
        </w:rPr>
        <w:t>ESXi memory overhead</w:t>
      </w:r>
      <w:r w:rsidRPr="00E13E58">
        <w:rPr>
          <w:color w:val="FF0000"/>
          <w:lang w:val="en-GB"/>
        </w:rPr>
        <w:tab/>
        <w:t>= Memory \ ESX System Usage (KB)</w:t>
      </w:r>
    </w:p>
    <w:p w14:paraId="09B8F4B8" w14:textId="77777777" w:rsidR="001A1AA5" w:rsidRDefault="001A1AA5" w:rsidP="001A1AA5">
      <w:pPr>
        <w:rPr>
          <w:lang w:val="en-GB"/>
        </w:rPr>
      </w:pPr>
      <w:r w:rsidRPr="00A20A89">
        <w:rPr>
          <w:lang w:val="en-GB"/>
        </w:rPr>
        <w:t xml:space="preserve">This reservation is actually a raw counter from vCenter. </w:t>
      </w:r>
    </w:p>
    <w:p w14:paraId="1790EB12" w14:textId="77777777" w:rsidR="001A1AA5" w:rsidRPr="00C24E50" w:rsidRDefault="001A1AA5" w:rsidP="001A1AA5">
      <w:pPr>
        <w:pStyle w:val="Code"/>
      </w:pPr>
      <w:r w:rsidRPr="00C24E50">
        <w:t>Capacity Available to VMs</w:t>
      </w:r>
      <w:r>
        <w:t xml:space="preserve"> = </w:t>
      </w:r>
      <w:r w:rsidRPr="00C24E50">
        <w:t>Total Capacity –</w:t>
      </w:r>
      <w:r>
        <w:t xml:space="preserve"> ESX System Usage</w:t>
      </w:r>
    </w:p>
    <w:p w14:paraId="2D96DC2B" w14:textId="77777777" w:rsidR="001A1AA5" w:rsidRPr="0038305D" w:rsidRDefault="001A1AA5" w:rsidP="001A1AA5">
      <w:pPr>
        <w:rPr>
          <w:color w:val="FF0000"/>
          <w:lang w:val="en-GB"/>
        </w:rPr>
      </w:pPr>
      <w:r w:rsidRPr="0038305D">
        <w:rPr>
          <w:color w:val="FF0000"/>
        </w:rPr>
        <w:t>mem|memMachineProvisioned - mem|totalCapacity_average</w:t>
      </w:r>
    </w:p>
    <w:p w14:paraId="0F89342B" w14:textId="77777777" w:rsidR="001A1AA5" w:rsidRPr="00A20A89" w:rsidRDefault="001A1AA5" w:rsidP="001A1AA5">
      <w:pPr>
        <w:rPr>
          <w:lang w:val="en-GB"/>
        </w:rPr>
      </w:pPr>
      <w:r>
        <w:rPr>
          <w:lang w:val="en-GB"/>
        </w:rPr>
        <w:lastRenderedPageBreak/>
        <w:t>Where c</w:t>
      </w:r>
      <w:r w:rsidRPr="00C24E50">
        <w:rPr>
          <w:lang w:val="en-GB"/>
        </w:rPr>
        <w:t xml:space="preserve">apacity </w:t>
      </w:r>
      <w:r>
        <w:rPr>
          <w:lang w:val="en-GB"/>
        </w:rPr>
        <w:t>a</w:t>
      </w:r>
      <w:r w:rsidRPr="00C24E50">
        <w:rPr>
          <w:lang w:val="en-GB"/>
        </w:rPr>
        <w:t xml:space="preserve">vailable to VMs </w:t>
      </w:r>
      <w:r>
        <w:rPr>
          <w:lang w:val="en-GB"/>
        </w:rPr>
        <w:t xml:space="preserve">is the </w:t>
      </w:r>
      <w:r w:rsidRPr="00C24E50">
        <w:rPr>
          <w:lang w:val="en-GB"/>
        </w:rPr>
        <w:t xml:space="preserve">capacity reserved by and available for </w:t>
      </w:r>
      <w:r>
        <w:rPr>
          <w:lang w:val="en-GB"/>
        </w:rPr>
        <w:t xml:space="preserve">VMs. </w:t>
      </w:r>
    </w:p>
    <w:p w14:paraId="1DA3013B" w14:textId="77777777" w:rsidR="001A1AA5" w:rsidRPr="00E91D18" w:rsidRDefault="001A1AA5" w:rsidP="001A1AA5">
      <w:pPr>
        <w:rPr>
          <w:lang w:val="en-GB"/>
        </w:rPr>
      </w:pPr>
      <w:r w:rsidRPr="00ED07E5">
        <w:rPr>
          <w:noProof/>
          <w:lang w:val="en-GB"/>
        </w:rPr>
        <w:drawing>
          <wp:inline distT="0" distB="0" distL="0" distR="0" wp14:anchorId="424AEB4C" wp14:editId="70111EFC">
            <wp:extent cx="6645910" cy="4301490"/>
            <wp:effectExtent l="0" t="0" r="2540" b="3810"/>
            <wp:docPr id="1859674500" name="Picture 1859674500"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00" name="Picture 1859674500" descr="Graphical user interface, application, table, Excel&#10;&#10;Description automatically generated"/>
                    <pic:cNvPicPr/>
                  </pic:nvPicPr>
                  <pic:blipFill>
                    <a:blip r:embed="rId670"/>
                    <a:stretch>
                      <a:fillRect/>
                    </a:stretch>
                  </pic:blipFill>
                  <pic:spPr>
                    <a:xfrm>
                      <a:off x="0" y="0"/>
                      <a:ext cx="6645910" cy="4301490"/>
                    </a:xfrm>
                    <a:prstGeom prst="rect">
                      <a:avLst/>
                    </a:prstGeom>
                  </pic:spPr>
                </pic:pic>
              </a:graphicData>
            </a:graphic>
          </wp:inline>
        </w:drawing>
      </w:r>
    </w:p>
    <w:p w14:paraId="11730356" w14:textId="77777777" w:rsidR="001A1AA5" w:rsidRDefault="001A1AA5" w:rsidP="001A1AA5">
      <w:pPr>
        <w:rPr>
          <w:lang w:val="en-GB"/>
        </w:rPr>
      </w:pPr>
      <w:r>
        <w:rPr>
          <w:lang w:val="en-GB"/>
        </w:rPr>
        <w:t>For memory, based on 310 production ESXi, the reservation ranges from 6 GB to 88 GB. It’s a big range.</w:t>
      </w:r>
    </w:p>
    <w:p w14:paraId="0453B7FD" w14:textId="77777777" w:rsidR="001A1AA5" w:rsidRDefault="001A1AA5" w:rsidP="001A1AA5">
      <w:pPr>
        <w:rPr>
          <w:lang w:val="en-GB"/>
        </w:rPr>
      </w:pPr>
      <w:r w:rsidRPr="00366FA1">
        <w:rPr>
          <w:noProof/>
          <w:lang w:val="en-GB"/>
        </w:rPr>
        <w:drawing>
          <wp:inline distT="0" distB="0" distL="0" distR="0" wp14:anchorId="3B96E41C" wp14:editId="5BDE966B">
            <wp:extent cx="6645910" cy="3945255"/>
            <wp:effectExtent l="0" t="0" r="2540" b="0"/>
            <wp:docPr id="1606338689" name="Picture 1606338689"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38689" name="Picture 1606338689" descr="A screenshot of a computer&#10;&#10;Description automatically generated"/>
                    <pic:cNvPicPr/>
                  </pic:nvPicPr>
                  <pic:blipFill>
                    <a:blip r:embed="rId671"/>
                    <a:stretch>
                      <a:fillRect/>
                    </a:stretch>
                  </pic:blipFill>
                  <pic:spPr>
                    <a:xfrm>
                      <a:off x="0" y="0"/>
                      <a:ext cx="6645910" cy="3945255"/>
                    </a:xfrm>
                    <a:prstGeom prst="rect">
                      <a:avLst/>
                    </a:prstGeom>
                  </pic:spPr>
                </pic:pic>
              </a:graphicData>
            </a:graphic>
          </wp:inline>
        </w:drawing>
      </w:r>
    </w:p>
    <w:p w14:paraId="1AC60BCD" w14:textId="77777777" w:rsidR="001A1AA5" w:rsidRDefault="001A1AA5" w:rsidP="001A1AA5">
      <w:pPr>
        <w:rPr>
          <w:lang w:val="en-GB"/>
        </w:rPr>
      </w:pPr>
      <w:r>
        <w:rPr>
          <w:lang w:val="en-GB"/>
        </w:rPr>
        <w:lastRenderedPageBreak/>
        <w:t>The following is an ESXi 6.7 U3 host with 1.5 TB of memory. Notice the VMkernel values remains constant over a long period. The number of running VM eventually dropped to 0. While the Granted counter drops to 1.5 GB (not sure what it is since there is no running VM), the VMkernel did not drop. This makes sense as they are reservation and not the actual usage.</w:t>
      </w:r>
    </w:p>
    <w:p w14:paraId="3ABF755D" w14:textId="77777777" w:rsidR="001A1AA5" w:rsidRDefault="001A1AA5" w:rsidP="001A1AA5">
      <w:pPr>
        <w:rPr>
          <w:lang w:val="en-GB"/>
        </w:rPr>
      </w:pPr>
      <w:r w:rsidRPr="007C0F13">
        <w:rPr>
          <w:noProof/>
          <w:lang w:val="en-GB"/>
        </w:rPr>
        <w:drawing>
          <wp:inline distT="0" distB="0" distL="0" distR="0" wp14:anchorId="44497F76" wp14:editId="053D5DDE">
            <wp:extent cx="6645910" cy="1487805"/>
            <wp:effectExtent l="0" t="0" r="2540" b="0"/>
            <wp:docPr id="534447516" name="Picture 534447516"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16" name="Picture 534447516" descr="Graphical user interface&#10;&#10;Description automatically generated with medium confidence"/>
                    <pic:cNvPicPr/>
                  </pic:nvPicPr>
                  <pic:blipFill>
                    <a:blip r:embed="rId672"/>
                    <a:stretch>
                      <a:fillRect/>
                    </a:stretch>
                  </pic:blipFill>
                  <pic:spPr>
                    <a:xfrm>
                      <a:off x="0" y="0"/>
                      <a:ext cx="6645910" cy="1487805"/>
                    </a:xfrm>
                    <a:prstGeom prst="rect">
                      <a:avLst/>
                    </a:prstGeom>
                  </pic:spPr>
                </pic:pic>
              </a:graphicData>
            </a:graphic>
          </wp:inline>
        </w:drawing>
      </w:r>
    </w:p>
    <w:p w14:paraId="5E064BF9" w14:textId="77777777" w:rsidR="001A1AA5" w:rsidRDefault="001A1AA5" w:rsidP="001A1AA5">
      <w:pPr>
        <w:rPr>
          <w:lang w:val="en-GB"/>
        </w:rPr>
      </w:pPr>
      <w:r>
        <w:rPr>
          <w:lang w:val="en-GB"/>
        </w:rPr>
        <w:t xml:space="preserve">The metric </w:t>
      </w:r>
      <w:r w:rsidRPr="008B1394">
        <w:rPr>
          <w:color w:val="00B0F0"/>
          <w:lang w:val="en-GB"/>
        </w:rPr>
        <w:t xml:space="preserve">ESX System Usage </w:t>
      </w:r>
      <w:r>
        <w:rPr>
          <w:lang w:val="en-GB"/>
        </w:rPr>
        <w:t>measures VMkernel reservation</w:t>
      </w:r>
      <w:r w:rsidRPr="00866D0B">
        <w:rPr>
          <w:lang w:val="en-GB"/>
        </w:rPr>
        <w:t xml:space="preserve">, which </w:t>
      </w:r>
      <w:r>
        <w:rPr>
          <w:lang w:val="en-GB"/>
        </w:rPr>
        <w:t>varies from 2 GB to 64 GB. The following shows the distribution of values among 185 ESXi hosts:</w:t>
      </w:r>
    </w:p>
    <w:p w14:paraId="329D6B78" w14:textId="77777777" w:rsidR="001A1AA5" w:rsidRDefault="001A1AA5" w:rsidP="001A1AA5">
      <w:pPr>
        <w:jc w:val="center"/>
        <w:rPr>
          <w:lang w:val="en-GB"/>
        </w:rPr>
      </w:pPr>
      <w:r w:rsidRPr="00784DDD">
        <w:rPr>
          <w:noProof/>
          <w:lang w:val="en-GB"/>
        </w:rPr>
        <w:drawing>
          <wp:inline distT="0" distB="0" distL="0" distR="0" wp14:anchorId="1C82CBFA" wp14:editId="1E46BCB5">
            <wp:extent cx="6020109" cy="2552831"/>
            <wp:effectExtent l="0" t="0" r="0" b="0"/>
            <wp:docPr id="1079" name="Picture 1079" descr="A pie chart with numbers and a number of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 name="Picture 1079" descr="A pie chart with numbers and a number of data&#10;&#10;Description automatically generated"/>
                    <pic:cNvPicPr/>
                  </pic:nvPicPr>
                  <pic:blipFill>
                    <a:blip r:embed="rId673"/>
                    <a:stretch>
                      <a:fillRect/>
                    </a:stretch>
                  </pic:blipFill>
                  <pic:spPr>
                    <a:xfrm>
                      <a:off x="0" y="0"/>
                      <a:ext cx="6020109" cy="2552831"/>
                    </a:xfrm>
                    <a:prstGeom prst="rect">
                      <a:avLst/>
                    </a:prstGeom>
                  </pic:spPr>
                </pic:pic>
              </a:graphicData>
            </a:graphic>
          </wp:inline>
        </w:drawing>
      </w:r>
    </w:p>
    <w:p w14:paraId="5C30B688" w14:textId="77777777" w:rsidR="001A1AA5" w:rsidRDefault="001A1AA5" w:rsidP="001A1AA5">
      <w:pPr>
        <w:pStyle w:val="Heading6"/>
      </w:pPr>
      <w:r>
        <w:t>Utilization</w:t>
      </w:r>
    </w:p>
    <w:p w14:paraId="53D75460" w14:textId="77777777" w:rsidR="001A1AA5" w:rsidRDefault="001A1AA5" w:rsidP="001A1AA5">
      <w:pPr>
        <w:rPr>
          <w:lang w:val="en-GB"/>
        </w:rPr>
      </w:pPr>
      <w:r>
        <w:rPr>
          <w:lang w:val="en-GB"/>
        </w:rPr>
        <w:t>Utilization is typically lower than the reserved amount. It also does not always correspond to the reserved amount. The following chart shows the reservation remains steady when the actual drops by 90%, from 40 GB to single digit.</w:t>
      </w:r>
    </w:p>
    <w:p w14:paraId="06CCBFF8" w14:textId="77777777" w:rsidR="001A1AA5" w:rsidRDefault="001A1AA5" w:rsidP="001A1AA5">
      <w:pPr>
        <w:rPr>
          <w:lang w:val="en-GB"/>
        </w:rPr>
      </w:pPr>
      <w:r w:rsidRPr="001D7E7C">
        <w:rPr>
          <w:noProof/>
          <w:lang w:val="en-GB"/>
        </w:rPr>
        <w:drawing>
          <wp:inline distT="0" distB="0" distL="0" distR="0" wp14:anchorId="555D42F2" wp14:editId="1AC221EE">
            <wp:extent cx="6645910" cy="2120900"/>
            <wp:effectExtent l="0" t="0" r="2540" b="0"/>
            <wp:docPr id="1040" name="Picture 1040"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0" name="Picture 1040" descr="Chart&#10;&#10;Description automatically generated"/>
                    <pic:cNvPicPr/>
                  </pic:nvPicPr>
                  <pic:blipFill>
                    <a:blip r:embed="rId674"/>
                    <a:stretch>
                      <a:fillRect/>
                    </a:stretch>
                  </pic:blipFill>
                  <pic:spPr>
                    <a:xfrm>
                      <a:off x="0" y="0"/>
                      <a:ext cx="6645910" cy="2120900"/>
                    </a:xfrm>
                    <a:prstGeom prst="rect">
                      <a:avLst/>
                    </a:prstGeom>
                  </pic:spPr>
                </pic:pic>
              </a:graphicData>
            </a:graphic>
          </wp:inline>
        </w:drawing>
      </w:r>
    </w:p>
    <w:p w14:paraId="77ED3F71" w14:textId="77777777" w:rsidR="001A1AA5" w:rsidRDefault="001A1AA5" w:rsidP="001A1AA5">
      <w:pPr>
        <w:rPr>
          <w:lang w:val="en-GB"/>
        </w:rPr>
      </w:pPr>
      <w:r>
        <w:rPr>
          <w:lang w:val="en-GB"/>
        </w:rPr>
        <w:lastRenderedPageBreak/>
        <w:t xml:space="preserve">To see the actual usage, choose the metric </w:t>
      </w:r>
      <w:r w:rsidRPr="00CA308E">
        <w:rPr>
          <w:color w:val="00B0F0"/>
          <w:lang w:val="en-GB"/>
        </w:rPr>
        <w:t xml:space="preserve">Resource Memory Consumed </w:t>
      </w:r>
      <w:r>
        <w:rPr>
          <w:lang w:val="en-GB"/>
        </w:rPr>
        <w:t xml:space="preserve">metric from vSphere Client. Stack them, and you see something like this. The </w:t>
      </w:r>
      <w:r w:rsidRPr="00F75035">
        <w:rPr>
          <w:color w:val="00B0F0"/>
          <w:lang w:val="en-GB"/>
        </w:rPr>
        <w:t xml:space="preserve">system </w:t>
      </w:r>
      <w:r>
        <w:rPr>
          <w:lang w:val="en-GB"/>
        </w:rPr>
        <w:t>part typically dwarfs the other 2 resources.</w:t>
      </w:r>
    </w:p>
    <w:p w14:paraId="63A7D4A6" w14:textId="77777777" w:rsidR="001A1AA5" w:rsidRDefault="001A1AA5" w:rsidP="001A1AA5">
      <w:pPr>
        <w:rPr>
          <w:lang w:val="en-GB"/>
        </w:rPr>
      </w:pPr>
      <w:r w:rsidRPr="003573B8">
        <w:rPr>
          <w:noProof/>
          <w:lang w:val="en-GB"/>
        </w:rPr>
        <w:drawing>
          <wp:inline distT="0" distB="0" distL="0" distR="0" wp14:anchorId="65532C7F" wp14:editId="249C6774">
            <wp:extent cx="6645910" cy="4003040"/>
            <wp:effectExtent l="0" t="0" r="2540" b="0"/>
            <wp:docPr id="750070390" name="Picture 75007039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90" name="Picture 750070390" descr="A screenshot of a computer&#10;&#10;Description automatically generated"/>
                    <pic:cNvPicPr/>
                  </pic:nvPicPr>
                  <pic:blipFill>
                    <a:blip r:embed="rId675"/>
                    <a:stretch>
                      <a:fillRect/>
                    </a:stretch>
                  </pic:blipFill>
                  <pic:spPr>
                    <a:xfrm>
                      <a:off x="0" y="0"/>
                      <a:ext cx="6645910" cy="4003040"/>
                    </a:xfrm>
                    <a:prstGeom prst="rect">
                      <a:avLst/>
                    </a:prstGeom>
                  </pic:spPr>
                </pic:pic>
              </a:graphicData>
            </a:graphic>
          </wp:inline>
        </w:drawing>
      </w:r>
    </w:p>
    <w:p w14:paraId="3895D539" w14:textId="77777777" w:rsidR="001A1AA5" w:rsidRDefault="001A1AA5" w:rsidP="001A1AA5">
      <w:pPr>
        <w:rPr>
          <w:lang w:val="en-GB"/>
        </w:rPr>
      </w:pPr>
      <w:r>
        <w:rPr>
          <w:lang w:val="en-GB"/>
        </w:rPr>
        <w:t xml:space="preserve">Do not take the value from </w:t>
      </w:r>
      <w:r w:rsidRPr="006D7D86">
        <w:rPr>
          <w:color w:val="00B0F0"/>
          <w:lang w:val="en-GB"/>
        </w:rPr>
        <w:t>Memory \ VMkernel consumed</w:t>
      </w:r>
      <w:r w:rsidRPr="002E56C9">
        <w:rPr>
          <w:color w:val="00B0F0"/>
          <w:lang w:val="en-GB"/>
        </w:rPr>
        <w:t xml:space="preserve"> </w:t>
      </w:r>
      <w:r>
        <w:rPr>
          <w:lang w:val="en-GB"/>
        </w:rPr>
        <w:t xml:space="preserve">counter. That’s only the system resource. You can verify by plotting this and compare against host/system resource. You will get identical charts. </w:t>
      </w:r>
    </w:p>
    <w:p w14:paraId="6721BB47" w14:textId="77777777" w:rsidR="001A1AA5" w:rsidRDefault="001A1AA5" w:rsidP="001A1AA5">
      <w:pPr>
        <w:rPr>
          <w:lang w:val="en-GB"/>
        </w:rPr>
      </w:pPr>
      <w:r w:rsidRPr="00B36ECB">
        <w:rPr>
          <w:noProof/>
          <w:lang w:val="en-GB"/>
        </w:rPr>
        <w:drawing>
          <wp:inline distT="0" distB="0" distL="0" distR="0" wp14:anchorId="7F7A1D80" wp14:editId="1F398544">
            <wp:extent cx="6645910" cy="1574165"/>
            <wp:effectExtent l="0" t="0" r="2540" b="6985"/>
            <wp:docPr id="750070391" name="Picture 75007039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91" name="Picture 750070391" descr="A screenshot of a computer&#10;&#10;Description automatically generated"/>
                    <pic:cNvPicPr/>
                  </pic:nvPicPr>
                  <pic:blipFill>
                    <a:blip r:embed="rId676"/>
                    <a:stretch>
                      <a:fillRect/>
                    </a:stretch>
                  </pic:blipFill>
                  <pic:spPr>
                    <a:xfrm>
                      <a:off x="0" y="0"/>
                      <a:ext cx="6645910" cy="1574165"/>
                    </a:xfrm>
                    <a:prstGeom prst="rect">
                      <a:avLst/>
                    </a:prstGeom>
                  </pic:spPr>
                </pic:pic>
              </a:graphicData>
            </a:graphic>
          </wp:inline>
        </w:drawing>
      </w:r>
    </w:p>
    <w:p w14:paraId="141A8F40" w14:textId="77777777" w:rsidR="001A1AA5" w:rsidRDefault="001A1AA5" w:rsidP="001A1AA5">
      <w:pPr>
        <w:rPr>
          <w:lang w:val="en-GB"/>
        </w:rPr>
      </w:pPr>
      <w:r>
        <w:rPr>
          <w:lang w:val="en-GB"/>
        </w:rPr>
        <w:t xml:space="preserve">This value is for vSphere kernel modules. It does not include vSAN. </w:t>
      </w:r>
    </w:p>
    <w:p w14:paraId="59F658C6" w14:textId="77777777" w:rsidR="001A1AA5" w:rsidRDefault="001A1AA5" w:rsidP="001A1AA5">
      <w:pPr>
        <w:rPr>
          <w:lang w:val="en-GB"/>
        </w:rPr>
      </w:pPr>
      <w:r>
        <w:rPr>
          <w:lang w:val="en-GB"/>
        </w:rPr>
        <w:t>Based on the preceding 185 ESXi hosts, how do you think the actual VMkernel usage compare with their reservation?</w:t>
      </w:r>
    </w:p>
    <w:p w14:paraId="5AB88B8E" w14:textId="77777777" w:rsidR="001A1AA5" w:rsidRDefault="001A1AA5" w:rsidP="001A1AA5">
      <w:pPr>
        <w:rPr>
          <w:lang w:val="en-GB"/>
        </w:rPr>
      </w:pPr>
      <w:r>
        <w:rPr>
          <w:lang w:val="en-GB"/>
        </w:rPr>
        <w:t xml:space="preserve">It’s much lower. This means you should not confuse one for the other. </w:t>
      </w:r>
    </w:p>
    <w:p w14:paraId="74CEA870" w14:textId="77777777" w:rsidR="001A1AA5" w:rsidRDefault="001A1AA5" w:rsidP="001A1AA5">
      <w:pPr>
        <w:jc w:val="center"/>
        <w:rPr>
          <w:lang w:val="en-GB"/>
        </w:rPr>
      </w:pPr>
      <w:r w:rsidRPr="00784DDD">
        <w:rPr>
          <w:noProof/>
          <w:lang w:val="en-GB"/>
        </w:rPr>
        <w:lastRenderedPageBreak/>
        <w:drawing>
          <wp:inline distT="0" distB="0" distL="0" distR="0" wp14:anchorId="1CD6D313" wp14:editId="7CBA370C">
            <wp:extent cx="6255071" cy="2552831"/>
            <wp:effectExtent l="0" t="0" r="0" b="0"/>
            <wp:docPr id="1293284821" name="Picture 1293284821" descr="A blue and purple pi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21" name="Picture 1293284821" descr="A blue and purple pie chart&#10;&#10;Description automatically generated"/>
                    <pic:cNvPicPr/>
                  </pic:nvPicPr>
                  <pic:blipFill>
                    <a:blip r:embed="rId677"/>
                    <a:stretch>
                      <a:fillRect/>
                    </a:stretch>
                  </pic:blipFill>
                  <pic:spPr>
                    <a:xfrm>
                      <a:off x="0" y="0"/>
                      <a:ext cx="6255071" cy="2552831"/>
                    </a:xfrm>
                    <a:prstGeom prst="rect">
                      <a:avLst/>
                    </a:prstGeom>
                  </pic:spPr>
                </pic:pic>
              </a:graphicData>
            </a:graphic>
          </wp:inline>
        </w:drawing>
      </w:r>
    </w:p>
    <w:p w14:paraId="548A826A" w14:textId="77777777" w:rsidR="008125CF" w:rsidRDefault="008125CF" w:rsidP="008125CF">
      <w:pPr>
        <w:pStyle w:val="Heading4"/>
      </w:pPr>
      <w:r>
        <w:t>Compute</w:t>
      </w: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843"/>
        <w:gridCol w:w="8623"/>
      </w:tblGrid>
      <w:tr w:rsidR="008125CF" w14:paraId="5231C74B" w14:textId="77777777" w:rsidTr="00281329">
        <w:tc>
          <w:tcPr>
            <w:tcW w:w="1843" w:type="dxa"/>
            <w:shd w:val="clear" w:color="auto" w:fill="F2F2F2" w:themeFill="background1" w:themeFillShade="F2"/>
          </w:tcPr>
          <w:p w14:paraId="60BA0063" w14:textId="77777777" w:rsidR="008125CF" w:rsidRDefault="008125CF" w:rsidP="00281329">
            <w:pPr>
              <w:pStyle w:val="Tablecontent"/>
              <w:rPr>
                <w:b/>
                <w:bCs/>
              </w:rPr>
            </w:pPr>
            <w:r>
              <w:rPr>
                <w:b/>
                <w:bCs/>
              </w:rPr>
              <w:t>CPU Consumption</w:t>
            </w:r>
          </w:p>
        </w:tc>
        <w:tc>
          <w:tcPr>
            <w:tcW w:w="8623" w:type="dxa"/>
          </w:tcPr>
          <w:p w14:paraId="5AADB4AC" w14:textId="77777777" w:rsidR="008125CF" w:rsidRPr="00C21A51" w:rsidRDefault="008125CF" w:rsidP="00281329">
            <w:pPr>
              <w:pStyle w:val="Tablecontent"/>
              <w:rPr>
                <w:lang w:val="en-SG"/>
              </w:rPr>
            </w:pPr>
            <w:r>
              <w:rPr>
                <w:lang w:val="en-SG"/>
              </w:rPr>
              <w:t>I</w:t>
            </w:r>
            <w:r w:rsidRPr="00C21A51">
              <w:rPr>
                <w:lang w:val="en-SG"/>
              </w:rPr>
              <w:t xml:space="preserve">t’s </w:t>
            </w:r>
            <w:r>
              <w:rPr>
                <w:lang w:val="en-SG"/>
              </w:rPr>
              <w:t xml:space="preserve">simpler and faster </w:t>
            </w:r>
            <w:r w:rsidRPr="00C21A51">
              <w:rPr>
                <w:lang w:val="en-SG"/>
              </w:rPr>
              <w:t>to directly look at the physical cores and their thread. There is no need to view from VM level, and then sum them up. Whether a core is running a VMkernel or VM is irrelevant.</w:t>
            </w:r>
          </w:p>
          <w:p w14:paraId="54F91B1A" w14:textId="19E91E6A" w:rsidR="008125CF" w:rsidRDefault="008125CF" w:rsidP="00281329">
            <w:pPr>
              <w:pStyle w:val="Tablecontent"/>
              <w:rPr>
                <w:lang w:val="en-SG"/>
              </w:rPr>
            </w:pPr>
            <w:r w:rsidRPr="00C21A51">
              <w:rPr>
                <w:lang w:val="en-SG"/>
              </w:rPr>
              <w:t xml:space="preserve">At the physical core level, there is no such thing as Ready and </w:t>
            </w:r>
            <w:r w:rsidR="00443625">
              <w:rPr>
                <w:lang w:val="en-SG"/>
              </w:rPr>
              <w:t>Co-stop</w:t>
            </w:r>
            <w:r w:rsidRPr="00C21A51">
              <w:rPr>
                <w:lang w:val="en-SG"/>
              </w:rPr>
              <w:t>. A core either runs or idle.</w:t>
            </w:r>
          </w:p>
          <w:p w14:paraId="73918E82" w14:textId="77777777" w:rsidR="008125CF" w:rsidRDefault="008125CF" w:rsidP="00281329">
            <w:pPr>
              <w:pStyle w:val="Tablecontent"/>
              <w:rPr>
                <w:lang w:val="en-SG"/>
              </w:rPr>
            </w:pPr>
            <w:r>
              <w:rPr>
                <w:lang w:val="en-SG"/>
              </w:rPr>
              <w:t xml:space="preserve">As a result, ESXi CPU consumption is the sum of its cores. The VM metrics are not involved at tall. </w:t>
            </w:r>
          </w:p>
          <w:p w14:paraId="3214F7CE" w14:textId="77777777" w:rsidR="008125CF" w:rsidRDefault="008125CF" w:rsidP="00281329">
            <w:pPr>
              <w:pStyle w:val="Tablecontent"/>
              <w:rPr>
                <w:lang w:val="en-SG"/>
              </w:rPr>
            </w:pPr>
            <w:r>
              <w:rPr>
                <w:lang w:val="en-SG"/>
              </w:rPr>
              <w:t>Both types of consumption metrics are needed.</w:t>
            </w:r>
          </w:p>
          <w:p w14:paraId="697366EF" w14:textId="77777777" w:rsidR="008125CF" w:rsidRDefault="008125CF" w:rsidP="00281329">
            <w:pPr>
              <w:pStyle w:val="Bullet"/>
            </w:pPr>
            <w:r>
              <w:t>Is the core running or not?</w:t>
            </w:r>
          </w:p>
          <w:p w14:paraId="0B40DB82" w14:textId="77777777" w:rsidR="008125CF" w:rsidRPr="00B7040A" w:rsidRDefault="008125CF" w:rsidP="00281329">
            <w:pPr>
              <w:pStyle w:val="Bullet"/>
            </w:pPr>
            <w:r>
              <w:t>When it’s running, how fast and how efficient is the run?</w:t>
            </w:r>
          </w:p>
        </w:tc>
      </w:tr>
      <w:tr w:rsidR="008125CF" w14:paraId="3EDEAA12" w14:textId="77777777" w:rsidTr="00281329">
        <w:tc>
          <w:tcPr>
            <w:tcW w:w="1843" w:type="dxa"/>
            <w:shd w:val="clear" w:color="auto" w:fill="F2F2F2" w:themeFill="background1" w:themeFillShade="F2"/>
          </w:tcPr>
          <w:p w14:paraId="5AB76382" w14:textId="77777777" w:rsidR="008125CF" w:rsidRDefault="008125CF" w:rsidP="00281329">
            <w:pPr>
              <w:pStyle w:val="Tablecontent"/>
              <w:rPr>
                <w:b/>
                <w:bCs/>
              </w:rPr>
            </w:pPr>
            <w:r>
              <w:rPr>
                <w:b/>
                <w:bCs/>
              </w:rPr>
              <w:t>CPU Contention</w:t>
            </w:r>
          </w:p>
        </w:tc>
        <w:tc>
          <w:tcPr>
            <w:tcW w:w="8623" w:type="dxa"/>
          </w:tcPr>
          <w:p w14:paraId="48715535" w14:textId="77777777" w:rsidR="008125CF" w:rsidRPr="00C21A51" w:rsidRDefault="008125CF" w:rsidP="00281329">
            <w:pPr>
              <w:pStyle w:val="Tablecontent"/>
              <w:rPr>
                <w:lang w:val="en-SG"/>
              </w:rPr>
            </w:pPr>
            <w:r>
              <w:rPr>
                <w:lang w:val="en-SG"/>
              </w:rPr>
              <w:t>I think this is the normalized average of all the VMs + non vSphere kernel modules, as the VMkernel modules do not experience ready and co-stop.</w:t>
            </w:r>
          </w:p>
        </w:tc>
      </w:tr>
      <w:tr w:rsidR="008125CF" w14:paraId="276B7F12" w14:textId="77777777" w:rsidTr="00281329">
        <w:tc>
          <w:tcPr>
            <w:tcW w:w="1843" w:type="dxa"/>
            <w:shd w:val="clear" w:color="auto" w:fill="F2F2F2" w:themeFill="background1" w:themeFillShade="F2"/>
          </w:tcPr>
          <w:p w14:paraId="7F2F49E1" w14:textId="77777777" w:rsidR="008125CF" w:rsidRDefault="008125CF" w:rsidP="00281329">
            <w:pPr>
              <w:pStyle w:val="Tablecontent"/>
              <w:rPr>
                <w:b/>
                <w:bCs/>
              </w:rPr>
            </w:pPr>
            <w:r>
              <w:rPr>
                <w:b/>
                <w:bCs/>
              </w:rPr>
              <w:t>Memory Consumption</w:t>
            </w:r>
          </w:p>
        </w:tc>
        <w:tc>
          <w:tcPr>
            <w:tcW w:w="8623" w:type="dxa"/>
          </w:tcPr>
          <w:p w14:paraId="543238AB" w14:textId="77777777" w:rsidR="008125CF" w:rsidRDefault="008125CF" w:rsidP="00281329">
            <w:pPr>
              <w:pStyle w:val="Tablecontent"/>
              <w:rPr>
                <w:lang w:val="en-SG"/>
              </w:rPr>
            </w:pPr>
            <w:r>
              <w:rPr>
                <w:lang w:val="en-SG"/>
              </w:rPr>
              <w:t>Balloon should not be included as it happens at a different realm altogether.</w:t>
            </w:r>
          </w:p>
          <w:p w14:paraId="25B4E2BF" w14:textId="77777777" w:rsidR="008125CF" w:rsidRDefault="008125CF" w:rsidP="00281329">
            <w:pPr>
              <w:pStyle w:val="Tablecontent"/>
              <w:rPr>
                <w:lang w:val="en-SG"/>
              </w:rPr>
            </w:pPr>
            <w:r>
              <w:rPr>
                <w:lang w:val="en-SG"/>
              </w:rPr>
              <w:t>Just like CPU, it’s simpler to look at the physical DIMM. It’s also more accurate if there is memory savings across &gt;1 VM.</w:t>
            </w:r>
          </w:p>
        </w:tc>
      </w:tr>
      <w:tr w:rsidR="008125CF" w14:paraId="3FEA2530" w14:textId="77777777" w:rsidTr="00281329">
        <w:tc>
          <w:tcPr>
            <w:tcW w:w="1843" w:type="dxa"/>
            <w:shd w:val="clear" w:color="auto" w:fill="F2F2F2" w:themeFill="background1" w:themeFillShade="F2"/>
          </w:tcPr>
          <w:p w14:paraId="61F6AC87" w14:textId="77777777" w:rsidR="008125CF" w:rsidRDefault="008125CF" w:rsidP="00281329">
            <w:pPr>
              <w:pStyle w:val="Tablecontent"/>
              <w:rPr>
                <w:b/>
                <w:bCs/>
              </w:rPr>
            </w:pPr>
            <w:r>
              <w:rPr>
                <w:b/>
                <w:bCs/>
              </w:rPr>
              <w:t>Memory Contention</w:t>
            </w:r>
          </w:p>
        </w:tc>
        <w:tc>
          <w:tcPr>
            <w:tcW w:w="8623" w:type="dxa"/>
          </w:tcPr>
          <w:p w14:paraId="4F45B2D3" w14:textId="77777777" w:rsidR="008125CF" w:rsidRDefault="008125CF" w:rsidP="00281329">
            <w:pPr>
              <w:pStyle w:val="Tablecontent"/>
              <w:rPr>
                <w:lang w:val="en-SG"/>
              </w:rPr>
            </w:pPr>
            <w:r>
              <w:rPr>
                <w:lang w:val="en-SG"/>
              </w:rPr>
              <w:t>Similar to CPU, I think VMkernel modules do not experience swap or compression.</w:t>
            </w:r>
          </w:p>
        </w:tc>
      </w:tr>
    </w:tbl>
    <w:p w14:paraId="14A188CB" w14:textId="77777777" w:rsidR="008125CF" w:rsidRDefault="008125CF" w:rsidP="008125CF">
      <w:pPr>
        <w:pStyle w:val="Heading4"/>
      </w:pPr>
      <w:r>
        <w:lastRenderedPageBreak/>
        <w:t>Storage</w:t>
      </w:r>
    </w:p>
    <w:p w14:paraId="14098BDF" w14:textId="3557219E" w:rsidR="008125CF" w:rsidRDefault="008125CF" w:rsidP="008125CF">
      <w:pPr>
        <w:rPr>
          <w:lang w:val="en-GB"/>
        </w:rPr>
      </w:pPr>
      <w:r>
        <w:rPr>
          <w:lang w:val="en-GB"/>
        </w:rPr>
        <w:t>Disk</w:t>
      </w:r>
      <w:r w:rsidR="00590548">
        <w:rPr>
          <w:lang w:val="en-GB"/>
        </w:rPr>
        <w:t xml:space="preserve"> is</w:t>
      </w:r>
      <w:r>
        <w:rPr>
          <w:lang w:val="en-GB"/>
        </w:rPr>
        <w:t xml:space="preserve"> a little tricky as there are space and speed. </w:t>
      </w:r>
    </w:p>
    <w:p w14:paraId="4D479F5C" w14:textId="77777777" w:rsidR="008125CF" w:rsidRDefault="008125CF" w:rsidP="008125CF">
      <w:pPr>
        <w:rPr>
          <w:lang w:val="en-GB"/>
        </w:rPr>
      </w:pPr>
      <w:r>
        <w:rPr>
          <w:lang w:val="en-GB"/>
        </w:rPr>
        <w:t xml:space="preserve">For speed, you’re looking at IOPS and latency as storage adapter, storage path and disk device. For </w:t>
      </w:r>
    </w:p>
    <w:p w14:paraId="4FB972D9" w14:textId="77777777" w:rsidR="008125CF" w:rsidRDefault="008125CF" w:rsidP="008125CF">
      <w:pPr>
        <w:rPr>
          <w:lang w:val="en-GB"/>
        </w:rPr>
      </w:pPr>
      <w:r>
        <w:rPr>
          <w:lang w:val="en-GB"/>
        </w:rPr>
        <w:t>For space, you’re looking at disk space used at datastore level. RDM is not applicable as ESXi cannot see the used metric.</w:t>
      </w:r>
    </w:p>
    <w:p w14:paraId="1877D44A" w14:textId="77777777" w:rsidR="008125CF" w:rsidRDefault="008125CF" w:rsidP="008125CF">
      <w:pPr>
        <w:pStyle w:val="BeforeTable"/>
        <w:rPr>
          <w:lang w:val="en-GB"/>
        </w:rPr>
      </w:pPr>
    </w:p>
    <w:tbl>
      <w:tblPr>
        <w:tblW w:w="0" w:type="auto"/>
        <w:tblBorders>
          <w:top w:val="single" w:sz="4" w:space="0" w:color="BFBFBF" w:themeColor="background1" w:themeShade="BF"/>
          <w:bottom w:val="single" w:sz="4" w:space="0" w:color="BFBFBF" w:themeColor="background1" w:themeShade="BF"/>
          <w:insideH w:val="single" w:sz="4" w:space="0" w:color="BFBFBF" w:themeColor="background1" w:themeShade="BF"/>
        </w:tblBorders>
        <w:tblLook w:val="04A0" w:firstRow="1" w:lastRow="0" w:firstColumn="1" w:lastColumn="0" w:noHBand="0" w:noVBand="1"/>
      </w:tblPr>
      <w:tblGrid>
        <w:gridCol w:w="1843"/>
        <w:gridCol w:w="8623"/>
      </w:tblGrid>
      <w:tr w:rsidR="008125CF" w14:paraId="62718EBC" w14:textId="77777777" w:rsidTr="00281329">
        <w:tc>
          <w:tcPr>
            <w:tcW w:w="1843" w:type="dxa"/>
            <w:shd w:val="clear" w:color="auto" w:fill="F2F2F2" w:themeFill="background1" w:themeFillShade="F2"/>
          </w:tcPr>
          <w:p w14:paraId="4817CC1C" w14:textId="77777777" w:rsidR="008125CF" w:rsidRDefault="008125CF" w:rsidP="00281329">
            <w:pPr>
              <w:pStyle w:val="Tablecontent"/>
              <w:rPr>
                <w:b/>
                <w:bCs/>
              </w:rPr>
            </w:pPr>
            <w:r>
              <w:rPr>
                <w:b/>
                <w:bCs/>
              </w:rPr>
              <w:t>Disk Speed Consumption</w:t>
            </w:r>
          </w:p>
        </w:tc>
        <w:tc>
          <w:tcPr>
            <w:tcW w:w="8623" w:type="dxa"/>
          </w:tcPr>
          <w:p w14:paraId="53FE34F9" w14:textId="77777777" w:rsidR="008125CF" w:rsidRDefault="008125CF" w:rsidP="00281329">
            <w:pPr>
              <w:pStyle w:val="Tablecontent"/>
            </w:pPr>
            <w:r>
              <w:t>It’s simpler and faster to directly take the metrics from physical storage adapters and LUNs. There is no need work at the VM level and then sum all the VMs. Whether the HBA is serving IO from VMkernel or VM is irrelevant.</w:t>
            </w:r>
          </w:p>
          <w:p w14:paraId="5A431663" w14:textId="77777777" w:rsidR="008125CF" w:rsidRDefault="008125CF" w:rsidP="00281329">
            <w:pPr>
              <w:pStyle w:val="Tablecontent"/>
            </w:pPr>
            <w:r>
              <w:t>Overall, the total IOPS is the sum of all VM IOPS + VMkernel. The difference is sequential IO might become random due to IO blending effect.</w:t>
            </w:r>
          </w:p>
          <w:p w14:paraId="5ABEBD50" w14:textId="77777777" w:rsidR="008125CF" w:rsidRPr="00B7040A" w:rsidRDefault="008125CF" w:rsidP="00281329">
            <w:pPr>
              <w:pStyle w:val="Tablecontent"/>
            </w:pPr>
            <w:r>
              <w:t>Same approach applied for Storage Path and Storage Disk Device.</w:t>
            </w:r>
          </w:p>
        </w:tc>
      </w:tr>
      <w:tr w:rsidR="008125CF" w14:paraId="623A3E59" w14:textId="77777777" w:rsidTr="00281329">
        <w:tc>
          <w:tcPr>
            <w:tcW w:w="1843" w:type="dxa"/>
            <w:shd w:val="clear" w:color="auto" w:fill="F2F2F2" w:themeFill="background1" w:themeFillShade="F2"/>
          </w:tcPr>
          <w:p w14:paraId="397DB8FC" w14:textId="77777777" w:rsidR="008125CF" w:rsidRDefault="008125CF" w:rsidP="00281329">
            <w:pPr>
              <w:pStyle w:val="Tablecontent"/>
              <w:rPr>
                <w:b/>
                <w:bCs/>
              </w:rPr>
            </w:pPr>
            <w:r>
              <w:rPr>
                <w:b/>
                <w:bCs/>
              </w:rPr>
              <w:t>Disk Speed Contention</w:t>
            </w:r>
          </w:p>
        </w:tc>
        <w:tc>
          <w:tcPr>
            <w:tcW w:w="8623" w:type="dxa"/>
          </w:tcPr>
          <w:p w14:paraId="272E6A99" w14:textId="77777777" w:rsidR="008125CF" w:rsidRDefault="008125CF" w:rsidP="00281329">
            <w:pPr>
              <w:pStyle w:val="Tablecontent"/>
            </w:pPr>
            <w:r>
              <w:t>At the storage adapter level, there is no more association between an IO and VM. The physical card also has its own queue depth. As a result, you do not want to compute from the VM metrics.</w:t>
            </w:r>
          </w:p>
          <w:p w14:paraId="3ABC3B43" w14:textId="77777777" w:rsidR="008125CF" w:rsidRDefault="008125CF" w:rsidP="00281329">
            <w:pPr>
              <w:pStyle w:val="Tablecontent"/>
            </w:pPr>
            <w:r>
              <w:t>Same approach applied for Storage Path and Storage Disk Device.</w:t>
            </w:r>
          </w:p>
        </w:tc>
      </w:tr>
      <w:tr w:rsidR="008125CF" w14:paraId="7457B334" w14:textId="77777777" w:rsidTr="00281329">
        <w:tc>
          <w:tcPr>
            <w:tcW w:w="1843" w:type="dxa"/>
            <w:shd w:val="clear" w:color="auto" w:fill="F2F2F2" w:themeFill="background1" w:themeFillShade="F2"/>
          </w:tcPr>
          <w:p w14:paraId="6F76C155" w14:textId="77777777" w:rsidR="008125CF" w:rsidRDefault="008125CF" w:rsidP="00281329">
            <w:pPr>
              <w:pStyle w:val="Tablecontent"/>
              <w:rPr>
                <w:b/>
                <w:bCs/>
              </w:rPr>
            </w:pPr>
            <w:r>
              <w:rPr>
                <w:b/>
                <w:bCs/>
              </w:rPr>
              <w:t>Disk Space Consumption</w:t>
            </w:r>
          </w:p>
        </w:tc>
        <w:tc>
          <w:tcPr>
            <w:tcW w:w="8623" w:type="dxa"/>
          </w:tcPr>
          <w:p w14:paraId="39E3D463" w14:textId="77777777" w:rsidR="008125CF" w:rsidRPr="00B7040A" w:rsidRDefault="008125CF" w:rsidP="00281329">
            <w:pPr>
              <w:pStyle w:val="Tablecontent"/>
            </w:pPr>
            <w:r>
              <w:t>This is the sum of all VMs.</w:t>
            </w:r>
          </w:p>
        </w:tc>
      </w:tr>
      <w:tr w:rsidR="008125CF" w14:paraId="60C9ECBE" w14:textId="77777777" w:rsidTr="00281329">
        <w:tc>
          <w:tcPr>
            <w:tcW w:w="1843" w:type="dxa"/>
            <w:shd w:val="clear" w:color="auto" w:fill="F2F2F2" w:themeFill="background1" w:themeFillShade="F2"/>
          </w:tcPr>
          <w:p w14:paraId="6382B88A" w14:textId="77777777" w:rsidR="008125CF" w:rsidRDefault="008125CF" w:rsidP="00281329">
            <w:pPr>
              <w:pStyle w:val="Tablecontent"/>
              <w:rPr>
                <w:b/>
                <w:bCs/>
              </w:rPr>
            </w:pPr>
            <w:r>
              <w:rPr>
                <w:b/>
                <w:bCs/>
              </w:rPr>
              <w:t>Disk Space Contention</w:t>
            </w:r>
          </w:p>
        </w:tc>
        <w:tc>
          <w:tcPr>
            <w:tcW w:w="8623" w:type="dxa"/>
          </w:tcPr>
          <w:p w14:paraId="28EE80A4" w14:textId="77777777" w:rsidR="008125CF" w:rsidRDefault="008125CF" w:rsidP="00281329">
            <w:pPr>
              <w:pStyle w:val="Tablecontent"/>
            </w:pPr>
            <w:r>
              <w:t>This is not applicable as it’s basically overcommit (capacity model)</w:t>
            </w:r>
          </w:p>
        </w:tc>
      </w:tr>
    </w:tbl>
    <w:p w14:paraId="3D8C14B5" w14:textId="77777777" w:rsidR="008125CF" w:rsidRDefault="008125CF" w:rsidP="008125CF">
      <w:pPr>
        <w:pStyle w:val="Heading4"/>
      </w:pPr>
      <w:r>
        <w:t>Network</w:t>
      </w:r>
    </w:p>
    <w:p w14:paraId="4DCB27FE" w14:textId="77777777" w:rsidR="0057755F" w:rsidRPr="005B0AF6" w:rsidRDefault="0057755F" w:rsidP="0057755F">
      <w:pPr>
        <w:rPr>
          <w:lang w:val="en-GB"/>
        </w:rPr>
      </w:pPr>
      <w:r>
        <w:rPr>
          <w:lang w:val="en-GB"/>
        </w:rPr>
        <w:t xml:space="preserve">The </w:t>
      </w:r>
      <w:r w:rsidRPr="009C3FD9">
        <w:rPr>
          <w:color w:val="00B0F0"/>
          <w:lang w:val="en-GB"/>
        </w:rPr>
        <w:t xml:space="preserve">virtual network </w:t>
      </w:r>
      <w:r w:rsidRPr="005B0AF6">
        <w:rPr>
          <w:lang w:val="en-GB"/>
        </w:rPr>
        <w:t>consist</w:t>
      </w:r>
      <w:r>
        <w:rPr>
          <w:lang w:val="en-GB"/>
        </w:rPr>
        <w:t>s</w:t>
      </w:r>
      <w:r w:rsidRPr="005B0AF6">
        <w:rPr>
          <w:lang w:val="en-GB"/>
        </w:rPr>
        <w:t xml:space="preserve"> of VM and VMkernel (e.g. vMotion). If the traffic is a VM to VM traffic within the same ESXi, the packets does not reach the physical network, hence the vmnic metrics do not register it. </w:t>
      </w:r>
      <w:r w:rsidRPr="009C3FD9">
        <w:rPr>
          <w:lang w:val="en-GB"/>
        </w:rPr>
        <w:t>The virtual network does not have the limit that physical network does, if the traffic remains in the box. This makes it harder to use this metric as the 100% is not statically defined. So instead of just monitoring the throughput metric, you should also check the packet per second metric.</w:t>
      </w:r>
    </w:p>
    <w:p w14:paraId="05CA1E55" w14:textId="77777777" w:rsidR="0057755F" w:rsidRPr="00F41CFF" w:rsidRDefault="0057755F" w:rsidP="0057755F">
      <w:pPr>
        <w:rPr>
          <w:lang w:val="en-GB"/>
        </w:rPr>
      </w:pPr>
      <w:r w:rsidRPr="005B0AF6">
        <w:rPr>
          <w:lang w:val="en-GB"/>
        </w:rPr>
        <w:t xml:space="preserve">The </w:t>
      </w:r>
      <w:r w:rsidRPr="009C3FD9">
        <w:rPr>
          <w:color w:val="00B0F0"/>
          <w:lang w:val="en-GB"/>
        </w:rPr>
        <w:t xml:space="preserve">physical network </w:t>
      </w:r>
      <w:r w:rsidRPr="005B0AF6">
        <w:rPr>
          <w:lang w:val="en-GB"/>
        </w:rPr>
        <w:t xml:space="preserve">means traffic going through the physical network card. At this level it’s no longer aware of VM and VMkernel. </w:t>
      </w:r>
    </w:p>
    <w:p w14:paraId="00390915" w14:textId="5D5E85B3" w:rsidR="00FF0111" w:rsidRDefault="00FF0111" w:rsidP="00FF0111">
      <w:pPr>
        <w:pStyle w:val="Heading3"/>
      </w:pPr>
      <w:r>
        <w:lastRenderedPageBreak/>
        <w:t>CPU</w:t>
      </w:r>
    </w:p>
    <w:p w14:paraId="7ED86343" w14:textId="05149C8D" w:rsidR="007D05B4" w:rsidRDefault="007D05B4" w:rsidP="007D05B4">
      <w:pPr>
        <w:rPr>
          <w:lang w:val="en-GB"/>
        </w:rPr>
      </w:pPr>
      <w:r>
        <w:rPr>
          <w:lang w:val="en-GB"/>
        </w:rPr>
        <w:t xml:space="preserve">Throughout this book, I always cover the contention metrics first, then </w:t>
      </w:r>
      <w:r w:rsidR="00101DB6">
        <w:rPr>
          <w:lang w:val="en-GB"/>
        </w:rPr>
        <w:t>consumption</w:t>
      </w:r>
      <w:r>
        <w:rPr>
          <w:lang w:val="en-GB"/>
        </w:rPr>
        <w:t>. Why is it that I swap the order for ESXi Host?</w:t>
      </w:r>
    </w:p>
    <w:p w14:paraId="7D8B3DFF" w14:textId="4FFB97DC" w:rsidR="007D05B4" w:rsidRDefault="007D05B4" w:rsidP="007D05B4">
      <w:pPr>
        <w:rPr>
          <w:lang w:val="en-GB"/>
        </w:rPr>
      </w:pPr>
      <w:r>
        <w:rPr>
          <w:lang w:val="en-GB"/>
        </w:rPr>
        <w:t xml:space="preserve">The reason is your operations can’t wait until problem become serious. All the built-in metrics are averaged of all the running VMs. So by the time they are high, it’s time to prepare your resume and not start troubleshooting </w:t>
      </w:r>
      <w:r w:rsidRPr="007D05B4">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9"/>
          </mc:Choice>
          <mc:Fallback>
            <w:t>😉</w:t>
          </mc:Fallback>
        </mc:AlternateContent>
      </w:r>
      <w:r>
        <w:rPr>
          <w:lang w:val="en-GB"/>
        </w:rPr>
        <w:t xml:space="preserve"> </w:t>
      </w:r>
    </w:p>
    <w:p w14:paraId="01FDB515" w14:textId="79E8CA5A" w:rsidR="007D05B4" w:rsidRDefault="007D05B4" w:rsidP="007D05B4">
      <w:pPr>
        <w:rPr>
          <w:lang w:val="en-GB"/>
        </w:rPr>
      </w:pPr>
      <w:r>
        <w:rPr>
          <w:lang w:val="en-GB"/>
        </w:rPr>
        <w:t>I’d provide a set of leading indicators to replace them. In the meantime, let’s dive into the utilization metrics with a quiz</w:t>
      </w:r>
      <w:r w:rsidR="00101DB6">
        <w:rPr>
          <w:lang w:val="en-GB"/>
        </w:rPr>
        <w:t>.</w:t>
      </w:r>
    </w:p>
    <w:p w14:paraId="35140D40" w14:textId="7FA479BF" w:rsidR="007D05B4" w:rsidRDefault="007D05B4" w:rsidP="007D05B4">
      <w:pPr>
        <w:pStyle w:val="Heading4"/>
      </w:pPr>
      <w:r>
        <w:t>Quiz: 50% or 75% or 100%?!</w:t>
      </w:r>
    </w:p>
    <w:p w14:paraId="271E2B5E" w14:textId="4CBACB3F" w:rsidR="00FF0111" w:rsidRPr="00A452F2" w:rsidRDefault="00FF0111" w:rsidP="00FF0111">
      <w:pPr>
        <w:rPr>
          <w:lang w:val="en-GB"/>
        </w:rPr>
      </w:pPr>
      <w:r w:rsidRPr="00A452F2">
        <w:rPr>
          <w:lang w:val="en-GB"/>
        </w:rPr>
        <w:t xml:space="preserve">Hope you like the tour of VM CPU </w:t>
      </w:r>
      <w:r>
        <w:rPr>
          <w:lang w:val="en-GB"/>
        </w:rPr>
        <w:t>a</w:t>
      </w:r>
      <w:r w:rsidRPr="00A452F2">
        <w:rPr>
          <w:lang w:val="en-GB"/>
        </w:rPr>
        <w:t>ccounting. Can you apply that knowledge into ESXi and explain the following?</w:t>
      </w:r>
    </w:p>
    <w:p w14:paraId="4B728C97" w14:textId="77777777" w:rsidR="00FF0111" w:rsidRPr="00A452F2" w:rsidRDefault="00FF0111" w:rsidP="00FF0111">
      <w:pPr>
        <w:rPr>
          <w:lang w:val="en-GB"/>
        </w:rPr>
      </w:pPr>
      <w:r>
        <w:rPr>
          <w:noProof/>
        </w:rPr>
        <w:drawing>
          <wp:inline distT="0" distB="0" distL="0" distR="0" wp14:anchorId="75494659" wp14:editId="171CCC8E">
            <wp:extent cx="6635115" cy="1557020"/>
            <wp:effectExtent l="0" t="0" r="0" b="5080"/>
            <wp:docPr id="606394073" name="Picture 606394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73"/>
                    <pic:cNvPicPr/>
                  </pic:nvPicPr>
                  <pic:blipFill>
                    <a:blip r:embed="rId678" cstate="print">
                      <a:extLst>
                        <a:ext uri="{28A0092B-C50C-407E-A947-70E740481C1C}">
                          <a14:useLocalDpi xmlns:a14="http://schemas.microsoft.com/office/drawing/2010/main" val="0"/>
                        </a:ext>
                      </a:extLst>
                    </a:blip>
                    <a:stretch>
                      <a:fillRect/>
                    </a:stretch>
                  </pic:blipFill>
                  <pic:spPr>
                    <a:xfrm>
                      <a:off x="0" y="0"/>
                      <a:ext cx="6635115" cy="1557020"/>
                    </a:xfrm>
                    <a:prstGeom prst="rect">
                      <a:avLst/>
                    </a:prstGeom>
                  </pic:spPr>
                </pic:pic>
              </a:graphicData>
            </a:graphic>
          </wp:inline>
        </w:drawing>
      </w:r>
    </w:p>
    <w:p w14:paraId="0488641C" w14:textId="77777777" w:rsidR="00FF0111" w:rsidRDefault="00FF0111" w:rsidP="00FF0111">
      <w:pPr>
        <w:rPr>
          <w:lang w:val="en-GB"/>
        </w:rPr>
      </w:pPr>
      <w:r w:rsidRPr="00A452F2">
        <w:rPr>
          <w:lang w:val="en-GB"/>
        </w:rPr>
        <w:t xml:space="preserve">The above is an ESXi host, showing 3 types of utilization </w:t>
      </w:r>
      <w:r>
        <w:rPr>
          <w:lang w:val="en-GB"/>
        </w:rPr>
        <w:t>metrics</w:t>
      </w:r>
      <w:r w:rsidRPr="00A452F2">
        <w:rPr>
          <w:lang w:val="en-GB"/>
        </w:rPr>
        <w:t xml:space="preserve">. </w:t>
      </w:r>
    </w:p>
    <w:p w14:paraId="7F75452F" w14:textId="77777777" w:rsidR="00FF0111" w:rsidRDefault="00FF0111" w:rsidP="004A00DA">
      <w:pPr>
        <w:pStyle w:val="Bullet"/>
        <w:rPr>
          <w:lang w:val="en-GB"/>
        </w:rPr>
      </w:pPr>
      <w:r w:rsidRPr="009B6AB2">
        <w:rPr>
          <w:lang w:val="en-GB"/>
        </w:rPr>
        <w:t xml:space="preserve">One shows 50%, indicating you have capacity. </w:t>
      </w:r>
    </w:p>
    <w:p w14:paraId="50EC130F" w14:textId="77777777" w:rsidR="00FF0111" w:rsidRDefault="00FF0111" w:rsidP="004A00DA">
      <w:pPr>
        <w:pStyle w:val="Bullet"/>
        <w:rPr>
          <w:lang w:val="en-GB"/>
        </w:rPr>
      </w:pPr>
      <w:r>
        <w:rPr>
          <w:lang w:val="en-GB"/>
        </w:rPr>
        <w:t>T</w:t>
      </w:r>
      <w:r w:rsidRPr="009B6AB2">
        <w:rPr>
          <w:lang w:val="en-GB"/>
        </w:rPr>
        <w:t xml:space="preserve">he second one shows 100%, indicating you do not have capacity. </w:t>
      </w:r>
    </w:p>
    <w:p w14:paraId="0BA41160" w14:textId="77777777" w:rsidR="00FF0111" w:rsidRPr="009B6AB2" w:rsidRDefault="00FF0111" w:rsidP="004A00DA">
      <w:pPr>
        <w:pStyle w:val="Bullet"/>
        <w:rPr>
          <w:lang w:val="en-GB"/>
        </w:rPr>
      </w:pPr>
      <w:r>
        <w:rPr>
          <w:lang w:val="en-GB"/>
        </w:rPr>
        <w:t>T</w:t>
      </w:r>
      <w:r w:rsidRPr="009B6AB2">
        <w:rPr>
          <w:lang w:val="en-GB"/>
        </w:rPr>
        <w:t>he 3</w:t>
      </w:r>
      <w:r w:rsidRPr="009B6AB2">
        <w:rPr>
          <w:vertAlign w:val="superscript"/>
          <w:lang w:val="en-GB"/>
        </w:rPr>
        <w:t>rd</w:t>
      </w:r>
      <w:r w:rsidRPr="009B6AB2">
        <w:rPr>
          <w:lang w:val="en-GB"/>
        </w:rPr>
        <w:t xml:space="preserve"> shows 75%. </w:t>
      </w:r>
    </w:p>
    <w:p w14:paraId="303B4B12" w14:textId="77777777" w:rsidR="00FF0111" w:rsidRDefault="00FF0111" w:rsidP="00FF0111">
      <w:pPr>
        <w:rPr>
          <w:lang w:val="en-GB"/>
        </w:rPr>
      </w:pPr>
      <w:r w:rsidRPr="009B6AB2">
        <w:rPr>
          <w:lang w:val="en-GB"/>
        </w:rPr>
        <w:t xml:space="preserve">Which </w:t>
      </w:r>
      <w:r>
        <w:rPr>
          <w:lang w:val="en-GB"/>
        </w:rPr>
        <w:t>metrics</w:t>
      </w:r>
      <w:r w:rsidRPr="009B6AB2">
        <w:rPr>
          <w:lang w:val="en-GB"/>
        </w:rPr>
        <w:t xml:space="preserve"> do you take for the ESXi CPU “</w:t>
      </w:r>
      <w:r>
        <w:rPr>
          <w:color w:val="00B0F0"/>
          <w:lang w:val="en-GB"/>
        </w:rPr>
        <w:t>consumption</w:t>
      </w:r>
      <w:r w:rsidRPr="009B6AB2">
        <w:rPr>
          <w:lang w:val="en-GB"/>
        </w:rPr>
        <w:t xml:space="preserve">” then? </w:t>
      </w:r>
    </w:p>
    <w:p w14:paraId="6DBBB80B" w14:textId="77777777" w:rsidR="00FF0111" w:rsidRDefault="00FF0111" w:rsidP="00FF0111">
      <w:pPr>
        <w:rPr>
          <w:lang w:val="en-GB"/>
        </w:rPr>
      </w:pPr>
      <w:r>
        <w:rPr>
          <w:lang w:val="en-GB"/>
        </w:rPr>
        <w:t>Since the graph is a bit small, let’s zoom in</w:t>
      </w:r>
    </w:p>
    <w:p w14:paraId="55907B46" w14:textId="77777777" w:rsidR="00FF0111" w:rsidRPr="00A452F2" w:rsidRDefault="00FF0111" w:rsidP="00FF0111">
      <w:pPr>
        <w:jc w:val="center"/>
        <w:rPr>
          <w:lang w:val="en-GB"/>
        </w:rPr>
      </w:pPr>
      <w:r>
        <w:rPr>
          <w:noProof/>
        </w:rPr>
        <w:lastRenderedPageBreak/>
        <w:drawing>
          <wp:inline distT="0" distB="0" distL="0" distR="0" wp14:anchorId="46E01FC1" wp14:editId="1F2F037C">
            <wp:extent cx="5144400" cy="32004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9"/>
                    <a:stretch>
                      <a:fillRect/>
                    </a:stretch>
                  </pic:blipFill>
                  <pic:spPr>
                    <a:xfrm>
                      <a:off x="0" y="0"/>
                      <a:ext cx="5144400" cy="3200400"/>
                    </a:xfrm>
                    <a:prstGeom prst="rect">
                      <a:avLst/>
                    </a:prstGeom>
                  </pic:spPr>
                </pic:pic>
              </a:graphicData>
            </a:graphic>
          </wp:inline>
        </w:drawing>
      </w:r>
    </w:p>
    <w:p w14:paraId="22D6213F" w14:textId="77777777" w:rsidR="00FF0111" w:rsidRPr="00A452F2" w:rsidRDefault="00FF0111" w:rsidP="00FF0111">
      <w:pPr>
        <w:rPr>
          <w:lang w:val="en-GB"/>
        </w:rPr>
      </w:pPr>
      <w:r w:rsidRPr="00A452F2">
        <w:rPr>
          <w:lang w:val="en-GB"/>
        </w:rPr>
        <w:t xml:space="preserve">Notice they have similar pattern, but their </w:t>
      </w:r>
      <w:r w:rsidRPr="00450982">
        <w:rPr>
          <w:i/>
          <w:iCs/>
          <w:color w:val="FF0000"/>
          <w:lang w:val="en-GB"/>
        </w:rPr>
        <w:t>sensitivity</w:t>
      </w:r>
      <w:r w:rsidRPr="00A452F2">
        <w:rPr>
          <w:color w:val="FF0000"/>
          <w:lang w:val="en-GB"/>
        </w:rPr>
        <w:t xml:space="preserve"> </w:t>
      </w:r>
      <w:r w:rsidRPr="00A452F2">
        <w:rPr>
          <w:lang w:val="en-GB"/>
        </w:rPr>
        <w:t xml:space="preserve">differs. </w:t>
      </w:r>
    </w:p>
    <w:p w14:paraId="0BC6282F" w14:textId="77777777" w:rsidR="00FF0111" w:rsidRPr="004A00DA" w:rsidRDefault="00FF0111" w:rsidP="004A00DA">
      <w:pPr>
        <w:pStyle w:val="Bullet"/>
      </w:pPr>
      <w:r w:rsidRPr="004A00DA">
        <w:t>Why is Usage (%) = 100% when Utilization (%) is around 47%? The gap is more than double. What could be causing it?</w:t>
      </w:r>
    </w:p>
    <w:p w14:paraId="4C0052B0" w14:textId="77777777" w:rsidR="00FF0111" w:rsidRPr="004A00DA" w:rsidRDefault="00FF0111" w:rsidP="004A00DA">
      <w:pPr>
        <w:pStyle w:val="Bullet"/>
      </w:pPr>
      <w:r w:rsidRPr="004A00DA">
        <w:t>Why is Utilization (%) fluctuating yet Usage (%) remains constant? Notice both Utilization varies between 45% and 55% while Usage remains flat at 100%</w:t>
      </w:r>
    </w:p>
    <w:p w14:paraId="43710BF2" w14:textId="77777777" w:rsidR="00FF0111" w:rsidRPr="00A452F2" w:rsidRDefault="00FF0111" w:rsidP="004A00DA">
      <w:pPr>
        <w:pStyle w:val="Bullet"/>
        <w:rPr>
          <w:lang w:val="en-GB"/>
        </w:rPr>
      </w:pPr>
      <w:r w:rsidRPr="004A00DA">
        <w:t>W</w:t>
      </w:r>
      <w:r w:rsidRPr="00A452F2">
        <w:rPr>
          <w:lang w:val="en-GB"/>
        </w:rPr>
        <w:t>hy is Core Utilization (%) in the “middle”? What does it actually measure then?</w:t>
      </w:r>
    </w:p>
    <w:p w14:paraId="62E40CDE" w14:textId="274DB975" w:rsidR="00FF0111" w:rsidRPr="00A452F2" w:rsidRDefault="00FF0111" w:rsidP="00FF0111">
      <w:pPr>
        <w:rPr>
          <w:lang w:val="en-GB"/>
        </w:rPr>
      </w:pPr>
      <w:r w:rsidRPr="00A452F2">
        <w:rPr>
          <w:lang w:val="en-GB"/>
        </w:rPr>
        <w:t xml:space="preserve">To answer the above, we need to cover some fundamental. Note that we must take the vantage point of ESXi, not VM. </w:t>
      </w:r>
      <w:r w:rsidR="000C08F0">
        <w:rPr>
          <w:lang w:val="en-GB"/>
        </w:rPr>
        <w:t xml:space="preserve">I know </w:t>
      </w:r>
      <w:r w:rsidRPr="00A452F2">
        <w:rPr>
          <w:lang w:val="en-GB"/>
        </w:rPr>
        <w:t>they are similar so it’s easy to get mixed up. From ESXi physical threads viewpoint, things such as Ready and Co</w:t>
      </w:r>
      <w:r w:rsidR="000C08F0">
        <w:rPr>
          <w:lang w:val="en-GB"/>
        </w:rPr>
        <w:t>-</w:t>
      </w:r>
      <w:r w:rsidRPr="00A452F2">
        <w:rPr>
          <w:lang w:val="en-GB"/>
        </w:rPr>
        <w:t>Stop are not applicable as the physical threads are provider of resource.</w:t>
      </w:r>
    </w:p>
    <w:p w14:paraId="61CE8533" w14:textId="77777777" w:rsidR="00FF0111" w:rsidRPr="00A452F2" w:rsidRDefault="00FF0111" w:rsidP="00FF0111">
      <w:pPr>
        <w:rPr>
          <w:lang w:val="en-GB"/>
        </w:rPr>
      </w:pPr>
      <w:r w:rsidRPr="00A452F2">
        <w:rPr>
          <w:lang w:val="en-GB"/>
        </w:rPr>
        <w:t>Unlike RAM, CPU performance varies widely among different CPU models. Speed matters in CPU, whereas in RAM we can generally ignore it. DDR5 RAM is faster than DDR4 but for general monitoring reason it can be ignored. Because of this significant difference</w:t>
      </w:r>
      <w:r>
        <w:rPr>
          <w:lang w:val="en-GB"/>
        </w:rPr>
        <w:t xml:space="preserve"> in CPU</w:t>
      </w:r>
      <w:r w:rsidRPr="00A452F2">
        <w:rPr>
          <w:lang w:val="en-GB"/>
        </w:rPr>
        <w:t xml:space="preserve">, we need to have </w:t>
      </w:r>
      <w:r>
        <w:rPr>
          <w:lang w:val="en-GB"/>
        </w:rPr>
        <w:t>metrics</w:t>
      </w:r>
      <w:r w:rsidRPr="00A452F2">
        <w:rPr>
          <w:lang w:val="en-GB"/>
        </w:rPr>
        <w:t xml:space="preserve"> to account for:</w:t>
      </w:r>
    </w:p>
    <w:p w14:paraId="4AD8EC97" w14:textId="77777777" w:rsidR="00FF0111" w:rsidRPr="00A452F2" w:rsidRDefault="00FF0111" w:rsidP="00FF0111">
      <w:pPr>
        <w:pStyle w:val="Bullet"/>
        <w:rPr>
          <w:lang w:val="en-GB"/>
        </w:rPr>
      </w:pPr>
      <w:r w:rsidRPr="00A452F2">
        <w:rPr>
          <w:lang w:val="en-GB"/>
        </w:rPr>
        <w:t xml:space="preserve">How often it runs. How much the CPU runs in a time period. E.g. if it runs 60% of the time in the last 100 seconds, that means it runs for 60 seconds accumulatively in that period. That’s why you see many </w:t>
      </w:r>
      <w:r>
        <w:rPr>
          <w:lang w:val="en-GB"/>
        </w:rPr>
        <w:t>metrics</w:t>
      </w:r>
      <w:r w:rsidRPr="00A452F2">
        <w:rPr>
          <w:lang w:val="en-GB"/>
        </w:rPr>
        <w:t xml:space="preserve"> in millisecond. They track the </w:t>
      </w:r>
      <w:r>
        <w:rPr>
          <w:lang w:val="en-GB"/>
        </w:rPr>
        <w:t>consumption</w:t>
      </w:r>
      <w:r w:rsidRPr="00A452F2">
        <w:rPr>
          <w:lang w:val="en-GB"/>
        </w:rPr>
        <w:t xml:space="preserve"> over time. </w:t>
      </w:r>
    </w:p>
    <w:p w14:paraId="7EF92861" w14:textId="77777777" w:rsidR="00FF0111" w:rsidRPr="00A452F2" w:rsidRDefault="00FF0111" w:rsidP="00FF0111">
      <w:pPr>
        <w:pStyle w:val="Bullet"/>
        <w:rPr>
          <w:lang w:val="en-GB"/>
        </w:rPr>
      </w:pPr>
      <w:r w:rsidRPr="00A452F2">
        <w:rPr>
          <w:lang w:val="en-GB"/>
        </w:rPr>
        <w:t xml:space="preserve">How fast it runs. All else being equal, a 5 GHz CPU is 5x faster than a 1 GHz CPU. Throughput impacts utilization. The faster it can complete a task, the shorter it has to work. That’s why you see some </w:t>
      </w:r>
      <w:r>
        <w:rPr>
          <w:lang w:val="en-GB"/>
        </w:rPr>
        <w:t>metrics</w:t>
      </w:r>
      <w:r w:rsidRPr="00A452F2">
        <w:rPr>
          <w:lang w:val="en-GB"/>
        </w:rPr>
        <w:t xml:space="preserve"> in MHz.</w:t>
      </w:r>
    </w:p>
    <w:p w14:paraId="378F150A" w14:textId="77777777" w:rsidR="00FF0111" w:rsidRPr="00A452F2" w:rsidRDefault="00FF0111" w:rsidP="00FF0111">
      <w:pPr>
        <w:pStyle w:val="Bullet"/>
        <w:rPr>
          <w:lang w:val="en-GB"/>
        </w:rPr>
      </w:pPr>
      <w:r w:rsidRPr="00A452F2">
        <w:rPr>
          <w:lang w:val="en-GB"/>
        </w:rPr>
        <w:t xml:space="preserve">How efficient it runs. CPU SMP impacts the core efficiency. This is covered more </w:t>
      </w:r>
      <w:hyperlink w:anchor="_Simultaneous_Multithreading" w:history="1">
        <w:r w:rsidRPr="00A452F2">
          <w:rPr>
            <w:rStyle w:val="Hyperlink"/>
            <w:lang w:val="en-GB"/>
          </w:rPr>
          <w:t>here</w:t>
        </w:r>
      </w:hyperlink>
      <w:r w:rsidRPr="00A452F2">
        <w:rPr>
          <w:lang w:val="en-GB"/>
        </w:rPr>
        <w:t xml:space="preserve">. This efficiency is then translated into MHz, for ease of </w:t>
      </w:r>
      <w:r w:rsidRPr="00457AD4">
        <w:rPr>
          <w:i/>
          <w:iCs/>
          <w:color w:val="00B0F0"/>
          <w:lang w:val="en-GB"/>
        </w:rPr>
        <w:t>accounting</w:t>
      </w:r>
      <w:r w:rsidRPr="00A452F2">
        <w:rPr>
          <w:lang w:val="en-GB"/>
        </w:rPr>
        <w:t xml:space="preserve">. </w:t>
      </w:r>
      <w:r>
        <w:rPr>
          <w:lang w:val="en-GB"/>
        </w:rPr>
        <w:t>Unfortunately, this simplification creates confusion as HT and Power Management are not the same thing.</w:t>
      </w:r>
    </w:p>
    <w:p w14:paraId="0726E798" w14:textId="77777777" w:rsidR="00FF0111" w:rsidRPr="00A452F2" w:rsidRDefault="00FF0111" w:rsidP="00FF0111">
      <w:pPr>
        <w:rPr>
          <w:lang w:val="en-GB"/>
        </w:rPr>
      </w:pPr>
      <w:r w:rsidRPr="00A452F2">
        <w:rPr>
          <w:lang w:val="en-GB"/>
        </w:rPr>
        <w:t xml:space="preserve">These 3 dimensions of run are the reason why CPU </w:t>
      </w:r>
      <w:r>
        <w:rPr>
          <w:lang w:val="en-GB"/>
        </w:rPr>
        <w:t>consumption</w:t>
      </w:r>
      <w:r w:rsidRPr="00A452F2">
        <w:rPr>
          <w:lang w:val="en-GB"/>
        </w:rPr>
        <w:t xml:space="preserve"> is hard to measure. It becomes “</w:t>
      </w:r>
      <w:r w:rsidRPr="00AC213C">
        <w:rPr>
          <w:color w:val="0070C0"/>
          <w:lang w:val="en-GB"/>
        </w:rPr>
        <w:t>it depends on what you consider</w:t>
      </w:r>
      <w:r w:rsidRPr="00A452F2">
        <w:rPr>
          <w:lang w:val="en-GB"/>
        </w:rPr>
        <w:t xml:space="preserve">”. It can’t be a single number. Insisting that the CPU has a single, static, total capacity and use this as the only 100% </w:t>
      </w:r>
      <w:r>
        <w:rPr>
          <w:lang w:val="en-GB"/>
        </w:rPr>
        <w:t xml:space="preserve">for all use cases </w:t>
      </w:r>
      <w:r w:rsidRPr="00A452F2">
        <w:rPr>
          <w:lang w:val="en-GB"/>
        </w:rPr>
        <w:t>will result in confusion in “</w:t>
      </w:r>
      <w:r>
        <w:rPr>
          <w:lang w:val="en-GB"/>
        </w:rPr>
        <w:t>consumption</w:t>
      </w:r>
      <w:r w:rsidRPr="00A452F2">
        <w:rPr>
          <w:lang w:val="en-GB"/>
        </w:rPr>
        <w:t>” numbers.</w:t>
      </w:r>
    </w:p>
    <w:p w14:paraId="4C3AB4F1" w14:textId="50378B4E" w:rsidR="00FF0111" w:rsidRPr="00A452F2" w:rsidRDefault="00FF0111" w:rsidP="00FF0111">
      <w:pPr>
        <w:pStyle w:val="Heading4"/>
      </w:pPr>
      <w:bookmarkStart w:id="114" w:name="_Utilization_(%)_and"/>
      <w:bookmarkStart w:id="115" w:name="_Utilization_and_Core"/>
      <w:bookmarkEnd w:id="114"/>
      <w:bookmarkEnd w:id="115"/>
      <w:r w:rsidRPr="00A452F2">
        <w:lastRenderedPageBreak/>
        <w:t xml:space="preserve">Utilization </w:t>
      </w:r>
    </w:p>
    <w:p w14:paraId="14CFAF13" w14:textId="203149CB" w:rsidR="007E0B48" w:rsidRDefault="00FF0111" w:rsidP="00FF0111">
      <w:pPr>
        <w:rPr>
          <w:lang w:val="en-GB"/>
        </w:rPr>
      </w:pPr>
      <w:r>
        <w:rPr>
          <w:lang w:val="en-GB"/>
        </w:rPr>
        <w:t xml:space="preserve">Let’s dive into the first two </w:t>
      </w:r>
      <w:r w:rsidRPr="00A452F2">
        <w:rPr>
          <w:lang w:val="en-GB"/>
        </w:rPr>
        <w:t>fundamental</w:t>
      </w:r>
      <w:r>
        <w:rPr>
          <w:lang w:val="en-GB"/>
        </w:rPr>
        <w:t xml:space="preserve"> metrics</w:t>
      </w:r>
      <w:r w:rsidR="007E0B48">
        <w:rPr>
          <w:lang w:val="en-GB"/>
        </w:rPr>
        <w:t xml:space="preserve">: </w:t>
      </w:r>
      <w:r w:rsidR="007E0B48" w:rsidRPr="007E0B48">
        <w:rPr>
          <w:color w:val="00B0F0"/>
          <w:lang w:val="en-GB"/>
        </w:rPr>
        <w:t xml:space="preserve">Utilization </w:t>
      </w:r>
      <w:r w:rsidR="007E0B48" w:rsidRPr="00A452F2">
        <w:t xml:space="preserve">and </w:t>
      </w:r>
      <w:r w:rsidR="007E0B48" w:rsidRPr="007E0B48">
        <w:rPr>
          <w:color w:val="00B0F0"/>
        </w:rPr>
        <w:t>Core Utilization</w:t>
      </w:r>
      <w:r>
        <w:rPr>
          <w:lang w:val="en-GB"/>
        </w:rPr>
        <w:t xml:space="preserve">. </w:t>
      </w:r>
    </w:p>
    <w:p w14:paraId="033C595F" w14:textId="44C00013" w:rsidR="00FF0111" w:rsidRPr="00A452F2" w:rsidRDefault="00FF0111" w:rsidP="00FF0111">
      <w:pPr>
        <w:rPr>
          <w:lang w:val="en-GB"/>
        </w:rPr>
      </w:pPr>
      <w:r>
        <w:rPr>
          <w:lang w:val="en-GB"/>
        </w:rPr>
        <w:t>W</w:t>
      </w:r>
      <w:r w:rsidRPr="00A452F2">
        <w:rPr>
          <w:lang w:val="en-GB"/>
        </w:rPr>
        <w:t xml:space="preserve">e need to </w:t>
      </w:r>
      <w:r>
        <w:rPr>
          <w:lang w:val="en-GB"/>
        </w:rPr>
        <w:t xml:space="preserve">start at the fundamental, </w:t>
      </w:r>
      <w:r w:rsidRPr="00A452F2">
        <w:rPr>
          <w:lang w:val="en-GB"/>
        </w:rPr>
        <w:t>a single physical core</w:t>
      </w:r>
      <w:r>
        <w:rPr>
          <w:lang w:val="en-GB"/>
        </w:rPr>
        <w:t xml:space="preserve"> of a</w:t>
      </w:r>
      <w:r w:rsidRPr="00A452F2">
        <w:rPr>
          <w:lang w:val="en-GB"/>
        </w:rPr>
        <w:t xml:space="preserve"> socket. The socket can have many cores, we are just interested on 1 core only. It has 2 threads as it supports CPU SMT.</w:t>
      </w:r>
    </w:p>
    <w:p w14:paraId="3D3D407E" w14:textId="77777777" w:rsidR="00FF0111" w:rsidRPr="00A452F2" w:rsidRDefault="00FF0111" w:rsidP="00FF0111">
      <w:pPr>
        <w:rPr>
          <w:lang w:val="en-GB"/>
        </w:rPr>
      </w:pPr>
      <w:r w:rsidRPr="00A452F2">
        <w:rPr>
          <w:lang w:val="en-GB"/>
        </w:rPr>
        <w:t xml:space="preserve">In a time period of say </w:t>
      </w:r>
      <w:r>
        <w:rPr>
          <w:lang w:val="en-GB"/>
        </w:rPr>
        <w:t>20</w:t>
      </w:r>
      <w:r w:rsidRPr="00A452F2">
        <w:rPr>
          <w:lang w:val="en-GB"/>
        </w:rPr>
        <w:t xml:space="preserve"> seconds</w:t>
      </w:r>
      <w:r>
        <w:rPr>
          <w:rStyle w:val="FootnoteReference"/>
          <w:lang w:val="en-GB"/>
        </w:rPr>
        <w:footnoteReference w:id="23"/>
      </w:r>
      <w:r w:rsidRPr="00A452F2">
        <w:rPr>
          <w:lang w:val="en-GB"/>
        </w:rPr>
        <w:t>, this core had the following consumption:</w:t>
      </w:r>
    </w:p>
    <w:p w14:paraId="71DFF757" w14:textId="77777777" w:rsidR="00FF0111" w:rsidRPr="00A452F2" w:rsidRDefault="00FF0111" w:rsidP="00FF0111">
      <w:pPr>
        <w:jc w:val="center"/>
        <w:rPr>
          <w:lang w:val="en-GB"/>
        </w:rPr>
      </w:pPr>
      <w:r>
        <w:rPr>
          <w:noProof/>
        </w:rPr>
        <w:drawing>
          <wp:inline distT="0" distB="0" distL="0" distR="0" wp14:anchorId="69A573C0" wp14:editId="0B568670">
            <wp:extent cx="5748792" cy="2199877"/>
            <wp:effectExtent l="0" t="0" r="4445" b="0"/>
            <wp:docPr id="606394089" name="Picture 606394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89"/>
                    <pic:cNvPicPr/>
                  </pic:nvPicPr>
                  <pic:blipFill>
                    <a:blip r:embed="rId680">
                      <a:extLst>
                        <a:ext uri="{28A0092B-C50C-407E-A947-70E740481C1C}">
                          <a14:useLocalDpi xmlns:a14="http://schemas.microsoft.com/office/drawing/2010/main" val="0"/>
                        </a:ext>
                      </a:extLst>
                    </a:blip>
                    <a:stretch>
                      <a:fillRect/>
                    </a:stretch>
                  </pic:blipFill>
                  <pic:spPr>
                    <a:xfrm>
                      <a:off x="0" y="0"/>
                      <a:ext cx="5748792" cy="2199877"/>
                    </a:xfrm>
                    <a:prstGeom prst="rect">
                      <a:avLst/>
                    </a:prstGeom>
                  </pic:spPr>
                </pic:pic>
              </a:graphicData>
            </a:graphic>
          </wp:inline>
        </w:drawing>
      </w:r>
    </w:p>
    <w:p w14:paraId="3820C615" w14:textId="77777777" w:rsidR="00FF0111" w:rsidRDefault="00FF0111" w:rsidP="00FF0111">
      <w:pPr>
        <w:rPr>
          <w:lang w:val="en-GB"/>
        </w:rPr>
      </w:pPr>
      <w:r w:rsidRPr="00A452F2">
        <w:rPr>
          <w:lang w:val="en-GB"/>
        </w:rPr>
        <w:t xml:space="preserve">Looking at esxtop, you will see near the top the PCPU Used and PCPU Utilization </w:t>
      </w:r>
      <w:r>
        <w:rPr>
          <w:lang w:val="en-GB"/>
        </w:rPr>
        <w:t>metrics</w:t>
      </w:r>
      <w:r w:rsidRPr="00A452F2">
        <w:rPr>
          <w:lang w:val="en-GB"/>
        </w:rPr>
        <w:t xml:space="preserve">. </w:t>
      </w:r>
      <w:r>
        <w:rPr>
          <w:lang w:val="en-GB"/>
        </w:rPr>
        <w:t xml:space="preserve">Note that their values are in percentage, meaning you need to know what they use for 100%. </w:t>
      </w:r>
    </w:p>
    <w:p w14:paraId="5C5BE8AC" w14:textId="77777777" w:rsidR="00FF0111" w:rsidRDefault="00FF0111" w:rsidP="00FF0111">
      <w:pPr>
        <w:rPr>
          <w:lang w:val="en-GB"/>
        </w:rPr>
      </w:pPr>
      <w:r w:rsidRPr="00A452F2">
        <w:rPr>
          <w:lang w:val="en-GB"/>
        </w:rPr>
        <w:t xml:space="preserve">If you guess that they eventually map into vSphere Client </w:t>
      </w:r>
      <w:r>
        <w:rPr>
          <w:lang w:val="en-GB"/>
        </w:rPr>
        <w:t>metrics</w:t>
      </w:r>
      <w:r w:rsidRPr="00A452F2">
        <w:rPr>
          <w:lang w:val="en-GB"/>
        </w:rPr>
        <w:t xml:space="preserve"> Usage (%) and Utilization (%), respectively, you are right.</w:t>
      </w:r>
      <w:r>
        <w:rPr>
          <w:lang w:val="en-GB"/>
        </w:rPr>
        <w:t xml:space="preserve"> However, you need to know how they map.</w:t>
      </w:r>
    </w:p>
    <w:p w14:paraId="4CF9EE8B" w14:textId="77777777" w:rsidR="00FF0111" w:rsidRPr="00A452F2" w:rsidRDefault="00FF0111" w:rsidP="00FF0111">
      <w:pPr>
        <w:rPr>
          <w:lang w:val="en-GB"/>
        </w:rPr>
      </w:pPr>
      <w:r w:rsidRPr="00A452F2">
        <w:rPr>
          <w:lang w:val="en-GB"/>
        </w:rPr>
        <w:t>PCPU means a physical</w:t>
      </w:r>
      <w:r>
        <w:rPr>
          <w:lang w:val="en-GB"/>
        </w:rPr>
        <w:t>,</w:t>
      </w:r>
      <w:r w:rsidRPr="00A452F2">
        <w:rPr>
          <w:lang w:val="en-GB"/>
        </w:rPr>
        <w:t xml:space="preserve"> hardware execution context. That means it is a physical core if CPU SMT is disabled, or a physical thread inside a core if SMT is enabled. It does not mean CPU socket. A single socket with 10 cores and 20 threads will have 20 PCPU </w:t>
      </w:r>
      <w:r>
        <w:rPr>
          <w:lang w:val="en-GB"/>
        </w:rPr>
        <w:t>metrics</w:t>
      </w:r>
      <w:r w:rsidRPr="00A452F2">
        <w:rPr>
          <w:lang w:val="en-GB"/>
        </w:rPr>
        <w:t xml:space="preserve">. </w:t>
      </w:r>
    </w:p>
    <w:p w14:paraId="2B411F17" w14:textId="77777777" w:rsidR="00FF0111" w:rsidRPr="00A452F2" w:rsidRDefault="00FF0111" w:rsidP="00FF0111">
      <w:pPr>
        <w:rPr>
          <w:lang w:val="en-GB"/>
        </w:rPr>
      </w:pPr>
      <w:r w:rsidRPr="00A452F2">
        <w:rPr>
          <w:lang w:val="en-GB"/>
        </w:rPr>
        <w:t xml:space="preserve">PCPU Utilization (%) tracks is a physical thread is used or not over time. At any given moment, a thread is either running (unhalted) or not (halted). So it’s binary (0% or 100%). But over </w:t>
      </w:r>
      <w:r>
        <w:rPr>
          <w:lang w:val="en-GB"/>
        </w:rPr>
        <w:t>the 20 second period</w:t>
      </w:r>
      <w:r w:rsidRPr="00A452F2">
        <w:rPr>
          <w:lang w:val="en-GB"/>
        </w:rPr>
        <w:t>, the value is averaged. So when you see the number as 50%, it does not mean it’s running 100% at half the “speed”. It means it’s running half the time</w:t>
      </w:r>
      <w:r>
        <w:rPr>
          <w:lang w:val="en-GB"/>
        </w:rPr>
        <w:t>, for only 10 seconds</w:t>
      </w:r>
      <w:r w:rsidRPr="00A452F2">
        <w:rPr>
          <w:lang w:val="en-GB"/>
        </w:rPr>
        <w:t>. Using a human analogy, think of it as a person who</w:t>
      </w:r>
      <w:r>
        <w:rPr>
          <w:lang w:val="en-GB"/>
        </w:rPr>
        <w:t xml:space="preserve"> is</w:t>
      </w:r>
      <w:r w:rsidRPr="00A452F2">
        <w:rPr>
          <w:lang w:val="en-GB"/>
        </w:rPr>
        <w:t xml:space="preserve"> either running or standing, and never walking. It’s not considering CPU Frequency.</w:t>
      </w:r>
    </w:p>
    <w:p w14:paraId="7C5291F7" w14:textId="77777777" w:rsidR="00FF0111" w:rsidRDefault="00FF0111" w:rsidP="00FF0111">
      <w:pPr>
        <w:rPr>
          <w:lang w:val="en-GB"/>
        </w:rPr>
      </w:pPr>
      <w:r w:rsidRPr="00A452F2">
        <w:rPr>
          <w:lang w:val="en-GB"/>
        </w:rPr>
        <w:t>Core Util</w:t>
      </w:r>
      <w:r>
        <w:rPr>
          <w:lang w:val="en-GB"/>
        </w:rPr>
        <w:t>ization</w:t>
      </w:r>
      <w:r w:rsidRPr="00A452F2">
        <w:rPr>
          <w:lang w:val="en-GB"/>
        </w:rPr>
        <w:t xml:space="preserve"> (%) tracks at the core level. If one of the thread</w:t>
      </w:r>
      <w:r>
        <w:rPr>
          <w:lang w:val="en-GB"/>
        </w:rPr>
        <w:t>s</w:t>
      </w:r>
      <w:r w:rsidRPr="00A452F2">
        <w:rPr>
          <w:lang w:val="en-GB"/>
        </w:rPr>
        <w:t xml:space="preserve"> is running, then the value is 100%. At the core level, the average utilization in that entire </w:t>
      </w:r>
      <w:r>
        <w:rPr>
          <w:lang w:val="en-GB"/>
        </w:rPr>
        <w:t xml:space="preserve">period </w:t>
      </w:r>
      <w:r w:rsidRPr="00A452F2">
        <w:rPr>
          <w:lang w:val="en-GB"/>
        </w:rPr>
        <w:t>is 75%. In the last</w:t>
      </w:r>
      <w:r>
        <w:rPr>
          <w:lang w:val="en-GB"/>
        </w:rPr>
        <w:t xml:space="preserve"> portion</w:t>
      </w:r>
      <w:r w:rsidRPr="00A452F2">
        <w:rPr>
          <w:lang w:val="en-GB"/>
        </w:rPr>
        <w:t xml:space="preserve">, the core still runs at 100%. The CPU Utilization (%) tracks this. </w:t>
      </w:r>
      <w:r>
        <w:rPr>
          <w:lang w:val="en-GB"/>
        </w:rPr>
        <w:t xml:space="preserve">As a result, </w:t>
      </w:r>
      <w:r w:rsidRPr="00A452F2">
        <w:rPr>
          <w:lang w:val="en-GB"/>
        </w:rPr>
        <w:t xml:space="preserve">CPU Utilization (%) is only </w:t>
      </w:r>
      <w:r>
        <w:rPr>
          <w:lang w:val="en-GB"/>
        </w:rPr>
        <w:t xml:space="preserve">relevant </w:t>
      </w:r>
      <w:r w:rsidRPr="00A452F2">
        <w:rPr>
          <w:lang w:val="en-GB"/>
        </w:rPr>
        <w:t>when hyper-threading is enabled.</w:t>
      </w:r>
    </w:p>
    <w:p w14:paraId="06B69E0E" w14:textId="77777777" w:rsidR="00FF0111" w:rsidRPr="00A452F2" w:rsidRDefault="00FF0111" w:rsidP="00FF0111">
      <w:pPr>
        <w:rPr>
          <w:lang w:val="en-GB"/>
        </w:rPr>
      </w:pPr>
      <w:r w:rsidRPr="00A452F2">
        <w:rPr>
          <w:lang w:val="en-GB"/>
        </w:rPr>
        <w:t>Going back to our example, here are metrics reported</w:t>
      </w:r>
      <w:r>
        <w:rPr>
          <w:lang w:val="en-GB"/>
        </w:rPr>
        <w:t>:</w:t>
      </w:r>
    </w:p>
    <w:p w14:paraId="26DA332A" w14:textId="77777777" w:rsidR="00FF0111" w:rsidRPr="00A452F2" w:rsidRDefault="00FF0111" w:rsidP="00FF0111">
      <w:pPr>
        <w:pStyle w:val="Bullet"/>
        <w:rPr>
          <w:lang w:val="en-GB"/>
        </w:rPr>
      </w:pPr>
      <w:r w:rsidRPr="00A452F2">
        <w:rPr>
          <w:lang w:val="en-GB"/>
        </w:rPr>
        <w:t xml:space="preserve">PCPU </w:t>
      </w:r>
      <w:r>
        <w:rPr>
          <w:lang w:val="en-GB"/>
        </w:rPr>
        <w:t>Utilization</w:t>
      </w:r>
      <w:r w:rsidRPr="00A452F2">
        <w:rPr>
          <w:lang w:val="en-GB"/>
        </w:rPr>
        <w:t xml:space="preserve"> (%) for HT 0 = </w:t>
      </w:r>
      <w:r>
        <w:rPr>
          <w:lang w:val="en-GB"/>
        </w:rPr>
        <w:t xml:space="preserve">10 seconds / 20 seconds = </w:t>
      </w:r>
      <w:r w:rsidRPr="00A452F2">
        <w:rPr>
          <w:lang w:val="en-GB"/>
        </w:rPr>
        <w:t>50%</w:t>
      </w:r>
    </w:p>
    <w:p w14:paraId="1BE98EF4" w14:textId="77777777" w:rsidR="00FF0111" w:rsidRPr="00A452F2" w:rsidRDefault="00FF0111" w:rsidP="00FF0111">
      <w:pPr>
        <w:pStyle w:val="Bullet"/>
        <w:rPr>
          <w:lang w:val="en-GB"/>
        </w:rPr>
      </w:pPr>
      <w:r w:rsidRPr="00A452F2">
        <w:rPr>
          <w:lang w:val="en-GB"/>
        </w:rPr>
        <w:t xml:space="preserve">PCPU </w:t>
      </w:r>
      <w:r>
        <w:rPr>
          <w:lang w:val="en-GB"/>
        </w:rPr>
        <w:t>Utilization</w:t>
      </w:r>
      <w:r w:rsidRPr="00A452F2">
        <w:rPr>
          <w:lang w:val="en-GB"/>
        </w:rPr>
        <w:t xml:space="preserve"> (%) for HT 1 = </w:t>
      </w:r>
      <w:r>
        <w:rPr>
          <w:lang w:val="en-GB"/>
        </w:rPr>
        <w:t xml:space="preserve">10 seconds / 20 seconds = </w:t>
      </w:r>
      <w:r w:rsidRPr="00A452F2">
        <w:rPr>
          <w:lang w:val="en-GB"/>
        </w:rPr>
        <w:t>50%</w:t>
      </w:r>
    </w:p>
    <w:p w14:paraId="6A1DDF0F" w14:textId="77777777" w:rsidR="00FF0111" w:rsidRDefault="00FF0111" w:rsidP="00FF0111">
      <w:pPr>
        <w:pStyle w:val="Bullet"/>
        <w:rPr>
          <w:lang w:val="en-GB"/>
        </w:rPr>
      </w:pPr>
      <w:r w:rsidRPr="00A452F2">
        <w:rPr>
          <w:lang w:val="en-GB"/>
        </w:rPr>
        <w:t xml:space="preserve">Core Utilization (%) for entire core = </w:t>
      </w:r>
      <w:r>
        <w:rPr>
          <w:lang w:val="en-GB"/>
        </w:rPr>
        <w:t>15 seconds</w:t>
      </w:r>
      <w:r w:rsidRPr="00A452F2">
        <w:rPr>
          <w:lang w:val="en-GB"/>
        </w:rPr>
        <w:t xml:space="preserve"> </w:t>
      </w:r>
      <w:r>
        <w:rPr>
          <w:lang w:val="en-GB"/>
        </w:rPr>
        <w:t xml:space="preserve">/ 20 seconds </w:t>
      </w:r>
      <w:r w:rsidRPr="00A452F2">
        <w:rPr>
          <w:lang w:val="en-GB"/>
        </w:rPr>
        <w:t>= 75%</w:t>
      </w:r>
    </w:p>
    <w:p w14:paraId="17033A0A" w14:textId="77777777" w:rsidR="00FF0111" w:rsidRDefault="00FF0111" w:rsidP="00FF0111">
      <w:pPr>
        <w:rPr>
          <w:lang w:val="en-GB"/>
        </w:rPr>
      </w:pPr>
      <w:r>
        <w:rPr>
          <w:lang w:val="en-GB"/>
        </w:rPr>
        <w:t>BTW, in vSphere Client, you can’t choose a core if you enable HT. You choose PCPU, which is a thread. So what happens on the Core Utilization counter at thread level?</w:t>
      </w:r>
    </w:p>
    <w:p w14:paraId="71D64136" w14:textId="77777777" w:rsidR="00FF0111" w:rsidRDefault="00FF0111" w:rsidP="00FF0111">
      <w:pPr>
        <w:rPr>
          <w:lang w:val="en-GB"/>
        </w:rPr>
      </w:pPr>
      <w:r>
        <w:rPr>
          <w:lang w:val="en-GB"/>
        </w:rPr>
        <w:lastRenderedPageBreak/>
        <w:t>Does it get split into half?</w:t>
      </w:r>
    </w:p>
    <w:p w14:paraId="43909B92" w14:textId="77777777" w:rsidR="00FF0111" w:rsidRDefault="00FF0111" w:rsidP="00FF0111">
      <w:pPr>
        <w:rPr>
          <w:lang w:val="en-GB"/>
        </w:rPr>
      </w:pPr>
      <w:r>
        <w:rPr>
          <w:lang w:val="en-GB"/>
        </w:rPr>
        <w:t>As you can see below, no. The value is duplicated.</w:t>
      </w:r>
    </w:p>
    <w:p w14:paraId="1DACF9B2" w14:textId="77777777" w:rsidR="00FF0111" w:rsidRPr="00A452F2" w:rsidRDefault="00FF0111" w:rsidP="00FF0111">
      <w:pPr>
        <w:rPr>
          <w:lang w:val="en-GB"/>
        </w:rPr>
      </w:pPr>
      <w:r w:rsidRPr="003D7EB5">
        <w:rPr>
          <w:noProof/>
          <w:lang w:val="en-GB"/>
        </w:rPr>
        <w:drawing>
          <wp:inline distT="0" distB="0" distL="0" distR="0" wp14:anchorId="11702991" wp14:editId="16F75FF8">
            <wp:extent cx="6645910" cy="3023870"/>
            <wp:effectExtent l="0" t="0" r="2540" b="5080"/>
            <wp:docPr id="534447497" name="Picture 534447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1"/>
                    <a:stretch>
                      <a:fillRect/>
                    </a:stretch>
                  </pic:blipFill>
                  <pic:spPr>
                    <a:xfrm>
                      <a:off x="0" y="0"/>
                      <a:ext cx="6645910" cy="3023870"/>
                    </a:xfrm>
                    <a:prstGeom prst="rect">
                      <a:avLst/>
                    </a:prstGeom>
                  </pic:spPr>
                </pic:pic>
              </a:graphicData>
            </a:graphic>
          </wp:inline>
        </w:drawing>
      </w:r>
    </w:p>
    <w:p w14:paraId="0FF3EA59" w14:textId="77777777" w:rsidR="00FF0111" w:rsidRDefault="00FF0111" w:rsidP="00FF0111">
      <w:pPr>
        <w:rPr>
          <w:lang w:val="en-GB"/>
        </w:rPr>
      </w:pPr>
      <w:r>
        <w:rPr>
          <w:lang w:val="en-GB"/>
        </w:rPr>
        <w:t>Notice in the above chart, the 2 have identical value.</w:t>
      </w:r>
    </w:p>
    <w:p w14:paraId="1B721327" w14:textId="77777777" w:rsidR="00FF0111" w:rsidRDefault="00FF0111" w:rsidP="00FF0111">
      <w:pPr>
        <w:rPr>
          <w:lang w:val="en-GB"/>
        </w:rPr>
      </w:pPr>
      <w:r>
        <w:rPr>
          <w:lang w:val="en-GB"/>
        </w:rPr>
        <w:t xml:space="preserve">Utilization (%), on the other hand, will be different. Each thread has different value. </w:t>
      </w:r>
    </w:p>
    <w:p w14:paraId="02558934" w14:textId="77777777" w:rsidR="00FF0111" w:rsidRDefault="00FF0111" w:rsidP="00FF0111">
      <w:pPr>
        <w:rPr>
          <w:lang w:val="en-GB"/>
        </w:rPr>
      </w:pPr>
      <w:r w:rsidRPr="00BF6846">
        <w:rPr>
          <w:noProof/>
          <w:lang w:val="en-GB"/>
        </w:rPr>
        <w:drawing>
          <wp:inline distT="0" distB="0" distL="0" distR="0" wp14:anchorId="2B295ABA" wp14:editId="6C8A5CCC">
            <wp:extent cx="6645910" cy="2668270"/>
            <wp:effectExtent l="0" t="0" r="2540" b="0"/>
            <wp:docPr id="534447498" name="Picture 534447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2"/>
                    <a:stretch>
                      <a:fillRect/>
                    </a:stretch>
                  </pic:blipFill>
                  <pic:spPr>
                    <a:xfrm>
                      <a:off x="0" y="0"/>
                      <a:ext cx="6645910" cy="2668270"/>
                    </a:xfrm>
                    <a:prstGeom prst="rect">
                      <a:avLst/>
                    </a:prstGeom>
                  </pic:spPr>
                </pic:pic>
              </a:graphicData>
            </a:graphic>
          </wp:inline>
        </w:drawing>
      </w:r>
    </w:p>
    <w:p w14:paraId="267D2EB0" w14:textId="77777777" w:rsidR="00FF0111" w:rsidRDefault="00FF0111" w:rsidP="00FF0111">
      <w:pPr>
        <w:rPr>
          <w:lang w:val="en-GB"/>
        </w:rPr>
      </w:pPr>
      <w:r>
        <w:rPr>
          <w:lang w:val="en-GB"/>
        </w:rPr>
        <w:t>If you simply sum them up, you get more than 100%, so don’t!</w:t>
      </w:r>
    </w:p>
    <w:p w14:paraId="2B74E285" w14:textId="77777777" w:rsidR="00FF0111" w:rsidRDefault="00FF0111" w:rsidP="00FF0111">
      <w:pPr>
        <w:rPr>
          <w:lang w:val="en-GB"/>
        </w:rPr>
      </w:pPr>
      <w:r w:rsidRPr="008E7153">
        <w:rPr>
          <w:noProof/>
          <w:lang w:val="en-GB"/>
        </w:rPr>
        <w:lastRenderedPageBreak/>
        <w:drawing>
          <wp:inline distT="0" distB="0" distL="0" distR="0" wp14:anchorId="1316E60A" wp14:editId="7083BEB5">
            <wp:extent cx="6645910" cy="2880995"/>
            <wp:effectExtent l="0" t="0" r="2540" b="0"/>
            <wp:docPr id="534447499" name="Picture 534447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3"/>
                    <a:stretch>
                      <a:fillRect/>
                    </a:stretch>
                  </pic:blipFill>
                  <pic:spPr>
                    <a:xfrm>
                      <a:off x="0" y="0"/>
                      <a:ext cx="6645910" cy="2880995"/>
                    </a:xfrm>
                    <a:prstGeom prst="rect">
                      <a:avLst/>
                    </a:prstGeom>
                  </pic:spPr>
                </pic:pic>
              </a:graphicData>
            </a:graphic>
          </wp:inline>
        </w:drawing>
      </w:r>
    </w:p>
    <w:p w14:paraId="3E22C4DC" w14:textId="77777777" w:rsidR="00FF0111" w:rsidRPr="00A452F2" w:rsidRDefault="00FF0111" w:rsidP="00FF0111">
      <w:pPr>
        <w:rPr>
          <w:lang w:val="en-GB"/>
        </w:rPr>
      </w:pPr>
      <w:r w:rsidRPr="00A452F2">
        <w:rPr>
          <w:lang w:val="en-GB"/>
        </w:rPr>
        <w:t>Now let’s roll this up to the ESXi level. The following show a tiny ESXi with 2 cores, where each core has 2 threads.</w:t>
      </w:r>
    </w:p>
    <w:p w14:paraId="56E6FCC5" w14:textId="77777777" w:rsidR="00FF0111" w:rsidRPr="00A452F2" w:rsidRDefault="00FF0111" w:rsidP="00FF0111">
      <w:pPr>
        <w:jc w:val="center"/>
        <w:rPr>
          <w:lang w:val="en-GB"/>
        </w:rPr>
      </w:pPr>
      <w:r>
        <w:rPr>
          <w:noProof/>
        </w:rPr>
        <w:drawing>
          <wp:inline distT="0" distB="0" distL="0" distR="0" wp14:anchorId="093824FC" wp14:editId="49EF9B82">
            <wp:extent cx="4377600" cy="2286000"/>
            <wp:effectExtent l="0" t="0" r="4445" b="0"/>
            <wp:docPr id="606394091" name="Picture 606394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91"/>
                    <pic:cNvPicPr/>
                  </pic:nvPicPr>
                  <pic:blipFill>
                    <a:blip r:embed="rId684" cstate="print">
                      <a:extLst>
                        <a:ext uri="{28A0092B-C50C-407E-A947-70E740481C1C}">
                          <a14:useLocalDpi xmlns:a14="http://schemas.microsoft.com/office/drawing/2010/main" val="0"/>
                        </a:ext>
                      </a:extLst>
                    </a:blip>
                    <a:stretch>
                      <a:fillRect/>
                    </a:stretch>
                  </pic:blipFill>
                  <pic:spPr>
                    <a:xfrm>
                      <a:off x="0" y="0"/>
                      <a:ext cx="4377600" cy="2286000"/>
                    </a:xfrm>
                    <a:prstGeom prst="rect">
                      <a:avLst/>
                    </a:prstGeom>
                  </pic:spPr>
                </pic:pic>
              </a:graphicData>
            </a:graphic>
          </wp:inline>
        </w:drawing>
      </w:r>
    </w:p>
    <w:p w14:paraId="767BEB07" w14:textId="77777777" w:rsidR="00FF0111" w:rsidRPr="00A452F2" w:rsidRDefault="00FF0111" w:rsidP="00FF0111">
      <w:pPr>
        <w:rPr>
          <w:lang w:val="en-GB"/>
        </w:rPr>
      </w:pPr>
      <w:r w:rsidRPr="00A452F2">
        <w:rPr>
          <w:lang w:val="en-GB"/>
        </w:rPr>
        <w:t xml:space="preserve">The metrics at ESXi level is </w:t>
      </w:r>
    </w:p>
    <w:p w14:paraId="0AF4671A" w14:textId="77777777" w:rsidR="00FF0111" w:rsidRPr="00A452F2" w:rsidRDefault="00FF0111" w:rsidP="00FF0111">
      <w:pPr>
        <w:pStyle w:val="Bullet"/>
        <w:rPr>
          <w:lang w:val="en-GB"/>
        </w:rPr>
      </w:pPr>
      <w:r w:rsidRPr="00A452F2">
        <w:rPr>
          <w:lang w:val="en-GB"/>
        </w:rPr>
        <w:t xml:space="preserve">CPU Utilization (%) = </w:t>
      </w:r>
      <w:r>
        <w:rPr>
          <w:lang w:val="en-GB"/>
        </w:rPr>
        <w:t xml:space="preserve">40 seconds / </w:t>
      </w:r>
      <w:r w:rsidRPr="00512DAC">
        <w:rPr>
          <w:b/>
          <w:bCs/>
          <w:color w:val="00B0F0"/>
          <w:lang w:val="en-GB"/>
        </w:rPr>
        <w:t>80</w:t>
      </w:r>
      <w:r w:rsidRPr="00512DAC">
        <w:rPr>
          <w:color w:val="00B0F0"/>
          <w:lang w:val="en-GB"/>
        </w:rPr>
        <w:t xml:space="preserve"> </w:t>
      </w:r>
      <w:r>
        <w:rPr>
          <w:lang w:val="en-GB"/>
        </w:rPr>
        <w:t xml:space="preserve">seconds = </w:t>
      </w:r>
      <w:r w:rsidRPr="00A452F2">
        <w:rPr>
          <w:lang w:val="en-GB"/>
        </w:rPr>
        <w:t xml:space="preserve">50%. </w:t>
      </w:r>
    </w:p>
    <w:p w14:paraId="5D241826" w14:textId="77777777" w:rsidR="00FF0111" w:rsidRPr="00A452F2" w:rsidRDefault="00FF0111" w:rsidP="00FF0111">
      <w:pPr>
        <w:pStyle w:val="Bullet"/>
        <w:rPr>
          <w:lang w:val="en-GB"/>
        </w:rPr>
      </w:pPr>
      <w:r w:rsidRPr="00A452F2">
        <w:rPr>
          <w:lang w:val="en-GB"/>
        </w:rPr>
        <w:t xml:space="preserve">CPU Core Utilization (%) = </w:t>
      </w:r>
      <w:r>
        <w:rPr>
          <w:lang w:val="en-GB"/>
        </w:rPr>
        <w:t xml:space="preserve">30 seconds / </w:t>
      </w:r>
      <w:r w:rsidRPr="00512DAC">
        <w:rPr>
          <w:b/>
          <w:bCs/>
          <w:color w:val="00B0F0"/>
          <w:lang w:val="en-GB"/>
        </w:rPr>
        <w:t>40</w:t>
      </w:r>
      <w:r w:rsidRPr="00512DAC">
        <w:rPr>
          <w:color w:val="00B0F0"/>
          <w:lang w:val="en-GB"/>
        </w:rPr>
        <w:t xml:space="preserve"> </w:t>
      </w:r>
      <w:r>
        <w:rPr>
          <w:lang w:val="en-GB"/>
        </w:rPr>
        <w:t xml:space="preserve">seconds = </w:t>
      </w:r>
      <w:r w:rsidRPr="00A452F2">
        <w:rPr>
          <w:lang w:val="en-GB"/>
        </w:rPr>
        <w:t>75%</w:t>
      </w:r>
    </w:p>
    <w:p w14:paraId="4CBF637D" w14:textId="77777777" w:rsidR="00FF0111" w:rsidRDefault="00FF0111" w:rsidP="00FF0111">
      <w:pPr>
        <w:rPr>
          <w:lang w:val="en-GB"/>
        </w:rPr>
      </w:pPr>
      <w:r w:rsidRPr="00A452F2">
        <w:rPr>
          <w:lang w:val="en-GB"/>
        </w:rPr>
        <w:t>Utilization = 50% because each thread is counted independently. There are 4 threads in the preceding ESXi, each runs 50%, so the average at ESXi level is 50%. This counter basically disregards that HT does not deliver 2x the throughput.</w:t>
      </w:r>
      <w:r>
        <w:rPr>
          <w:lang w:val="en-GB"/>
        </w:rPr>
        <w:t xml:space="preserve"> </w:t>
      </w:r>
    </w:p>
    <w:p w14:paraId="65588BA6" w14:textId="77777777" w:rsidR="00FF0111" w:rsidRDefault="00FF0111" w:rsidP="00FF0111">
      <w:pPr>
        <w:rPr>
          <w:lang w:val="en-GB"/>
        </w:rPr>
      </w:pPr>
      <w:r>
        <w:rPr>
          <w:lang w:val="en-GB"/>
        </w:rPr>
        <w:t xml:space="preserve">This is why the Core Utilization (%) will tend to be consistently higher than Utilization (%). The following chart demonstrate that. </w:t>
      </w:r>
    </w:p>
    <w:p w14:paraId="10F245F6" w14:textId="77777777" w:rsidR="00FF0111" w:rsidRPr="00A452F2" w:rsidRDefault="00FF0111" w:rsidP="00FF0111">
      <w:pPr>
        <w:rPr>
          <w:lang w:val="en-GB"/>
        </w:rPr>
      </w:pPr>
      <w:r w:rsidRPr="00C85054">
        <w:rPr>
          <w:noProof/>
          <w:lang w:val="en-GB"/>
        </w:rPr>
        <w:lastRenderedPageBreak/>
        <w:drawing>
          <wp:inline distT="0" distB="0" distL="0" distR="0" wp14:anchorId="082D9A67" wp14:editId="58892288">
            <wp:extent cx="6645910" cy="2792095"/>
            <wp:effectExtent l="0" t="0" r="2540" b="8255"/>
            <wp:docPr id="534447500" name="Picture 534447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5"/>
                    <a:stretch>
                      <a:fillRect/>
                    </a:stretch>
                  </pic:blipFill>
                  <pic:spPr>
                    <a:xfrm>
                      <a:off x="0" y="0"/>
                      <a:ext cx="6645910" cy="2792095"/>
                    </a:xfrm>
                    <a:prstGeom prst="rect">
                      <a:avLst/>
                    </a:prstGeom>
                  </pic:spPr>
                </pic:pic>
              </a:graphicData>
            </a:graphic>
          </wp:inline>
        </w:drawing>
      </w:r>
    </w:p>
    <w:p w14:paraId="39729C00" w14:textId="77777777" w:rsidR="00FF0111" w:rsidRDefault="00FF0111" w:rsidP="00FF0111">
      <w:pPr>
        <w:rPr>
          <w:lang w:val="en-GB"/>
        </w:rPr>
      </w:pPr>
      <w:r w:rsidRPr="00A452F2">
        <w:rPr>
          <w:lang w:val="en-GB"/>
        </w:rPr>
        <w:t xml:space="preserve">Now let’s go back to the chart shown </w:t>
      </w:r>
      <w:hyperlink w:anchor="_ESXi_CPU_Accounting" w:history="1">
        <w:r w:rsidRPr="00A452F2">
          <w:rPr>
            <w:rStyle w:val="Hyperlink"/>
            <w:lang w:val="en-GB"/>
          </w:rPr>
          <w:t>earlier</w:t>
        </w:r>
      </w:hyperlink>
      <w:r w:rsidRPr="00A452F2">
        <w:rPr>
          <w:lang w:val="en-GB"/>
        </w:rPr>
        <w:t>. Can you now explain Utilization (%) and Core Utilization (%)?</w:t>
      </w:r>
    </w:p>
    <w:p w14:paraId="7CD7773A" w14:textId="77777777" w:rsidR="00FF0111" w:rsidRPr="00A452F2" w:rsidRDefault="00FF0111" w:rsidP="00FF0111">
      <w:pPr>
        <w:rPr>
          <w:lang w:val="en-GB"/>
        </w:rPr>
      </w:pPr>
      <w:r>
        <w:rPr>
          <w:lang w:val="en-GB"/>
        </w:rPr>
        <w:t>Great! Let’s move to the next one.</w:t>
      </w:r>
    </w:p>
    <w:p w14:paraId="7105D3FE" w14:textId="77777777" w:rsidR="00FF0111" w:rsidRDefault="00FF0111" w:rsidP="00FF0111">
      <w:pPr>
        <w:rPr>
          <w:lang w:val="en-GB"/>
        </w:rPr>
      </w:pPr>
      <w:r>
        <w:rPr>
          <w:lang w:val="en-GB"/>
        </w:rPr>
        <w:t>In the following example, this ESXi has no hyper-threading. What do you notice?</w:t>
      </w:r>
    </w:p>
    <w:p w14:paraId="07A2B515" w14:textId="77777777" w:rsidR="00FF0111" w:rsidRDefault="00FF0111" w:rsidP="00FF0111">
      <w:pPr>
        <w:rPr>
          <w:lang w:val="en-GB"/>
        </w:rPr>
      </w:pPr>
      <w:r>
        <w:rPr>
          <w:noProof/>
        </w:rPr>
        <w:drawing>
          <wp:inline distT="0" distB="0" distL="0" distR="0" wp14:anchorId="1FFE8F54" wp14:editId="03CD4DC8">
            <wp:extent cx="6645910" cy="3782695"/>
            <wp:effectExtent l="0" t="0" r="2540" b="8255"/>
            <wp:docPr id="606394302" name="Picture 606394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02"/>
                    <pic:cNvPicPr/>
                  </pic:nvPicPr>
                  <pic:blipFill>
                    <a:blip r:embed="rId686" cstate="print">
                      <a:extLst>
                        <a:ext uri="{28A0092B-C50C-407E-A947-70E740481C1C}">
                          <a14:useLocalDpi xmlns:a14="http://schemas.microsoft.com/office/drawing/2010/main" val="0"/>
                        </a:ext>
                      </a:extLst>
                    </a:blip>
                    <a:stretch>
                      <a:fillRect/>
                    </a:stretch>
                  </pic:blipFill>
                  <pic:spPr>
                    <a:xfrm>
                      <a:off x="0" y="0"/>
                      <a:ext cx="6645910" cy="3782695"/>
                    </a:xfrm>
                    <a:prstGeom prst="rect">
                      <a:avLst/>
                    </a:prstGeom>
                  </pic:spPr>
                </pic:pic>
              </a:graphicData>
            </a:graphic>
          </wp:inline>
        </w:drawing>
      </w:r>
    </w:p>
    <w:p w14:paraId="08099936" w14:textId="2A688FB1" w:rsidR="00FF0111" w:rsidRDefault="00FF0111" w:rsidP="00FF0111">
      <w:pPr>
        <w:rPr>
          <w:lang w:val="en-GB"/>
        </w:rPr>
      </w:pPr>
      <w:r>
        <w:rPr>
          <w:lang w:val="en-GB"/>
        </w:rPr>
        <w:t>Yup, the Core Utilization is identical with Utilization.</w:t>
      </w:r>
    </w:p>
    <w:p w14:paraId="085D321A" w14:textId="6CCD77C7" w:rsidR="007E0B48" w:rsidRPr="00900F2A" w:rsidRDefault="007E0B48" w:rsidP="00FF0111">
      <w:pPr>
        <w:rPr>
          <w:lang w:val="en-GB"/>
        </w:rPr>
      </w:pPr>
      <w:r>
        <w:t xml:space="preserve">I’d use Utilization (%) but </w:t>
      </w:r>
      <w:r>
        <w:rPr>
          <w:lang w:val="en-GB"/>
        </w:rPr>
        <w:t xml:space="preserve">will </w:t>
      </w:r>
      <w:r w:rsidR="00677510">
        <w:rPr>
          <w:lang w:val="en-GB"/>
        </w:rPr>
        <w:t xml:space="preserve">always </w:t>
      </w:r>
      <w:r>
        <w:rPr>
          <w:lang w:val="en-GB"/>
        </w:rPr>
        <w:t>accompany it with the contention metrics. Since it’s about performance troubleshooting, I’d set the threshold around 90% - 95%.</w:t>
      </w:r>
    </w:p>
    <w:p w14:paraId="2B20A369" w14:textId="77777777" w:rsidR="00677510" w:rsidRDefault="00677510" w:rsidP="00677510">
      <w:pPr>
        <w:pStyle w:val="Heading4"/>
      </w:pPr>
      <w:r w:rsidRPr="00A452F2">
        <w:lastRenderedPageBreak/>
        <w:t>Used</w:t>
      </w:r>
    </w:p>
    <w:p w14:paraId="0136B44F" w14:textId="77777777" w:rsidR="00677510" w:rsidRDefault="00677510" w:rsidP="00FF0111">
      <w:pPr>
        <w:rPr>
          <w:lang w:val="en-GB"/>
        </w:rPr>
      </w:pPr>
      <w:r>
        <w:rPr>
          <w:lang w:val="en-GB"/>
        </w:rPr>
        <w:t xml:space="preserve">Done reading the Utilization metric? </w:t>
      </w:r>
    </w:p>
    <w:p w14:paraId="73475108" w14:textId="27B4A6C0" w:rsidR="00FF0111" w:rsidRPr="00A452F2" w:rsidRDefault="00677510" w:rsidP="00FF0111">
      <w:pPr>
        <w:rPr>
          <w:lang w:val="en-GB"/>
        </w:rPr>
      </w:pPr>
      <w:r>
        <w:rPr>
          <w:lang w:val="en-GB"/>
        </w:rPr>
        <w:t xml:space="preserve">Great! </w:t>
      </w:r>
      <w:r w:rsidR="00FF0111">
        <w:rPr>
          <w:lang w:val="en-GB"/>
        </w:rPr>
        <w:t>You are</w:t>
      </w:r>
      <w:r w:rsidR="00FF0111" w:rsidRPr="00A452F2">
        <w:rPr>
          <w:lang w:val="en-GB"/>
        </w:rPr>
        <w:t xml:space="preserve"> now ready to tackle the next </w:t>
      </w:r>
      <w:r w:rsidR="00FF0111">
        <w:rPr>
          <w:lang w:val="en-GB"/>
        </w:rPr>
        <w:t>metrics</w:t>
      </w:r>
      <w:r w:rsidR="00FF0111" w:rsidRPr="00A452F2">
        <w:rPr>
          <w:lang w:val="en-GB"/>
        </w:rPr>
        <w:t>, which are Used</w:t>
      </w:r>
      <w:r w:rsidR="00FF0111">
        <w:rPr>
          <w:lang w:val="en-GB"/>
        </w:rPr>
        <w:t xml:space="preserve"> </w:t>
      </w:r>
      <w:r w:rsidR="00FF0111" w:rsidRPr="00A452F2">
        <w:rPr>
          <w:lang w:val="en-GB"/>
        </w:rPr>
        <w:t>(%)</w:t>
      </w:r>
      <w:r w:rsidR="00FF0111">
        <w:rPr>
          <w:lang w:val="en-GB"/>
        </w:rPr>
        <w:t xml:space="preserve"> and Used (ms). Used considers CPU frequency (both Turbo Boost and power saving). Used consider HT, although it assumes it delivers no benefit and halve its value to 50% instead of 62.5%.</w:t>
      </w:r>
    </w:p>
    <w:p w14:paraId="11FC8463" w14:textId="77777777" w:rsidR="00FF0111" w:rsidRDefault="00FF0111" w:rsidP="00FF0111">
      <w:pPr>
        <w:rPr>
          <w:lang w:val="en-GB"/>
        </w:rPr>
      </w:pPr>
      <w:r w:rsidRPr="00A452F2">
        <w:rPr>
          <w:lang w:val="en-GB"/>
        </w:rPr>
        <w:t xml:space="preserve">Here is how Utilization (%) and Used (%) are related at PCPU level: </w:t>
      </w:r>
    </w:p>
    <w:p w14:paraId="1F6F93C6" w14:textId="77777777" w:rsidR="00FF0111" w:rsidRPr="00A452F2" w:rsidRDefault="00FF0111" w:rsidP="00FF0111">
      <w:pPr>
        <w:jc w:val="center"/>
        <w:rPr>
          <w:lang w:val="en-GB"/>
        </w:rPr>
      </w:pPr>
      <w:r>
        <w:rPr>
          <w:noProof/>
        </w:rPr>
        <w:drawing>
          <wp:inline distT="0" distB="0" distL="0" distR="0" wp14:anchorId="762D90F9" wp14:editId="4D1F9DD0">
            <wp:extent cx="4129200" cy="2433600"/>
            <wp:effectExtent l="0" t="0" r="5080" b="5080"/>
            <wp:docPr id="534447524" name="Picture 53444752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4" name="Picture 534447524" descr="Chart&#10;&#10;Description automatically generated"/>
                    <pic:cNvPicPr/>
                  </pic:nvPicPr>
                  <pic:blipFill>
                    <a:blip r:embed="rId687"/>
                    <a:stretch>
                      <a:fillRect/>
                    </a:stretch>
                  </pic:blipFill>
                  <pic:spPr>
                    <a:xfrm>
                      <a:off x="0" y="0"/>
                      <a:ext cx="4129200" cy="2433600"/>
                    </a:xfrm>
                    <a:prstGeom prst="rect">
                      <a:avLst/>
                    </a:prstGeom>
                  </pic:spPr>
                </pic:pic>
              </a:graphicData>
            </a:graphic>
          </wp:inline>
        </w:drawing>
      </w:r>
    </w:p>
    <w:p w14:paraId="1684C330" w14:textId="77777777" w:rsidR="00FF0111" w:rsidRPr="009E286A" w:rsidRDefault="00FF0111" w:rsidP="00FF0111">
      <w:pPr>
        <w:rPr>
          <w:lang w:val="en-GB"/>
        </w:rPr>
      </w:pPr>
      <w:r w:rsidRPr="009E286A">
        <w:rPr>
          <w:lang w:val="en-GB"/>
        </w:rPr>
        <w:t>A physical Thread is either executing (running) or halted (idle).</w:t>
      </w:r>
      <w:r>
        <w:rPr>
          <w:lang w:val="en-GB"/>
        </w:rPr>
        <w:t xml:space="preserve"> </w:t>
      </w:r>
      <w:r w:rsidRPr="009E286A">
        <w:rPr>
          <w:lang w:val="en-GB"/>
        </w:rPr>
        <w:t>While it’s running, it can run at lower/higher CPU clock speed. CPU Used accounts for this.</w:t>
      </w:r>
    </w:p>
    <w:p w14:paraId="7E40BB03" w14:textId="77777777" w:rsidR="00FF0111" w:rsidRDefault="00FF0111" w:rsidP="00FF0111">
      <w:pPr>
        <w:rPr>
          <w:lang w:val="en-GB"/>
        </w:rPr>
      </w:pPr>
      <w:r w:rsidRPr="009E286A">
        <w:rPr>
          <w:lang w:val="en-GB"/>
        </w:rPr>
        <w:t>Its execution will be less efficient if its paired thread is also running at the same time. CPU Used accounts for both</w:t>
      </w:r>
      <w:r>
        <w:rPr>
          <w:lang w:val="en-GB"/>
        </w:rPr>
        <w:t xml:space="preserve">. </w:t>
      </w:r>
    </w:p>
    <w:p w14:paraId="1453533C" w14:textId="77777777" w:rsidR="00FF0111" w:rsidRPr="00A452F2" w:rsidRDefault="00FF0111" w:rsidP="00FF0111">
      <w:pPr>
        <w:rPr>
          <w:lang w:val="en-GB"/>
        </w:rPr>
      </w:pPr>
      <w:r w:rsidRPr="00A452F2">
        <w:rPr>
          <w:lang w:val="en-GB"/>
        </w:rPr>
        <w:t xml:space="preserve">CPU frequency scaling is caused by power management, so let’s dive into it. </w:t>
      </w:r>
    </w:p>
    <w:p w14:paraId="2E0B9A17" w14:textId="77777777" w:rsidR="00FF0111" w:rsidRDefault="00FF0111" w:rsidP="00FF0111">
      <w:pPr>
        <w:pStyle w:val="Heading5"/>
      </w:pPr>
      <w:bookmarkStart w:id="116" w:name="_Power_Management_1"/>
      <w:bookmarkStart w:id="117" w:name="_Used"/>
      <w:bookmarkEnd w:id="116"/>
      <w:bookmarkEnd w:id="117"/>
      <w:r>
        <w:t>Used (%)</w:t>
      </w:r>
    </w:p>
    <w:p w14:paraId="0E23422B" w14:textId="77777777" w:rsidR="00FF0111" w:rsidRPr="00A452F2" w:rsidRDefault="00FF0111" w:rsidP="00FF0111">
      <w:r w:rsidRPr="00A452F2">
        <w:t xml:space="preserve">Now that </w:t>
      </w:r>
      <w:r>
        <w:t>we have</w:t>
      </w:r>
      <w:r w:rsidRPr="00A452F2">
        <w:t xml:space="preserve"> covered CPU Clock Speed, we can add this dimension into the same scenario above. For that, we will go back to our tiny ESXi:</w:t>
      </w:r>
    </w:p>
    <w:p w14:paraId="79AE2EFA" w14:textId="77777777" w:rsidR="00FF0111" w:rsidRPr="00A452F2" w:rsidRDefault="00FF0111" w:rsidP="00FF0111">
      <w:pPr>
        <w:rPr>
          <w:lang w:val="en-GB"/>
        </w:rPr>
      </w:pPr>
      <w:r>
        <w:rPr>
          <w:noProof/>
        </w:rPr>
        <w:lastRenderedPageBreak/>
        <w:drawing>
          <wp:inline distT="0" distB="0" distL="0" distR="0" wp14:anchorId="50F60A0E" wp14:editId="09EC9E98">
            <wp:extent cx="6645910" cy="2685415"/>
            <wp:effectExtent l="0" t="0" r="2540" b="635"/>
            <wp:docPr id="606394160" name="Picture 606394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60"/>
                    <pic:cNvPicPr/>
                  </pic:nvPicPr>
                  <pic:blipFill>
                    <a:blip r:embed="rId688">
                      <a:extLst>
                        <a:ext uri="{28A0092B-C50C-407E-A947-70E740481C1C}">
                          <a14:useLocalDpi xmlns:a14="http://schemas.microsoft.com/office/drawing/2010/main" val="0"/>
                        </a:ext>
                      </a:extLst>
                    </a:blip>
                    <a:stretch>
                      <a:fillRect/>
                    </a:stretch>
                  </pic:blipFill>
                  <pic:spPr>
                    <a:xfrm>
                      <a:off x="0" y="0"/>
                      <a:ext cx="6645910" cy="2685415"/>
                    </a:xfrm>
                    <a:prstGeom prst="rect">
                      <a:avLst/>
                    </a:prstGeom>
                  </pic:spPr>
                </pic:pic>
              </a:graphicData>
            </a:graphic>
          </wp:inline>
        </w:drawing>
      </w:r>
    </w:p>
    <w:p w14:paraId="2A4D3857" w14:textId="77777777" w:rsidR="00FF0111" w:rsidRDefault="00FF0111" w:rsidP="00FF0111">
      <w:pPr>
        <w:rPr>
          <w:lang w:val="en-GB"/>
        </w:rPr>
      </w:pPr>
      <w:r w:rsidRPr="00A452F2">
        <w:rPr>
          <w:lang w:val="en-GB"/>
        </w:rPr>
        <w:t>In Core 0, the first thread was running at half the CPU frequency</w:t>
      </w:r>
      <w:r>
        <w:rPr>
          <w:lang w:val="en-GB"/>
        </w:rPr>
        <w:t xml:space="preserve"> in the first period</w:t>
      </w:r>
      <w:r w:rsidRPr="00A452F2">
        <w:rPr>
          <w:lang w:val="en-GB"/>
        </w:rPr>
        <w:t xml:space="preserve">. While Utilization (%) records this as 100% run, Used (%) is aware of this reduction and records 50% instead. </w:t>
      </w:r>
      <w:r>
        <w:rPr>
          <w:lang w:val="en-GB"/>
        </w:rPr>
        <w:t>The second thread wasn’t running so Used is not impacted.</w:t>
      </w:r>
    </w:p>
    <w:p w14:paraId="6F771D78" w14:textId="77777777" w:rsidR="00FF0111" w:rsidRPr="00A452F2" w:rsidRDefault="00FF0111" w:rsidP="00FF0111">
      <w:pPr>
        <w:rPr>
          <w:lang w:val="en-GB"/>
        </w:rPr>
      </w:pPr>
      <w:r w:rsidRPr="00A452F2">
        <w:rPr>
          <w:lang w:val="en-GB"/>
        </w:rPr>
        <w:t>In the 4</w:t>
      </w:r>
      <w:r w:rsidRPr="00A452F2">
        <w:rPr>
          <w:vertAlign w:val="superscript"/>
          <w:lang w:val="en-GB"/>
        </w:rPr>
        <w:t>th</w:t>
      </w:r>
      <w:r w:rsidRPr="00A452F2">
        <w:rPr>
          <w:lang w:val="en-GB"/>
        </w:rPr>
        <w:t xml:space="preserve"> </w:t>
      </w:r>
      <w:r>
        <w:rPr>
          <w:lang w:val="en-GB"/>
        </w:rPr>
        <w:t>period</w:t>
      </w:r>
      <w:r w:rsidRPr="00A452F2">
        <w:rPr>
          <w:lang w:val="en-GB"/>
        </w:rPr>
        <w:t xml:space="preserve">, the thread is competing with another thread. Used (%) recognises the drop in efficiency and register </w:t>
      </w:r>
      <w:r w:rsidRPr="00086E08">
        <w:rPr>
          <w:i/>
          <w:iCs/>
          <w:color w:val="FF0000"/>
          <w:lang w:val="en-GB"/>
        </w:rPr>
        <w:t xml:space="preserve">50% </w:t>
      </w:r>
      <w:r w:rsidRPr="00A452F2">
        <w:rPr>
          <w:lang w:val="en-GB"/>
        </w:rPr>
        <w:t xml:space="preserve">instead of 100%. </w:t>
      </w:r>
      <w:r>
        <w:rPr>
          <w:lang w:val="en-GB"/>
        </w:rPr>
        <w:t xml:space="preserve">Personally, I’d prefer this to register 62.5% as it’s caused by HT. This will also make it consistent with CPU Latency and VM CPU Demand, which applies 37.5% as HT penalty. </w:t>
      </w:r>
    </w:p>
    <w:p w14:paraId="47B289D1" w14:textId="77777777" w:rsidR="00FF0111" w:rsidRDefault="00FF0111" w:rsidP="00FF0111">
      <w:pPr>
        <w:rPr>
          <w:lang w:val="en-GB"/>
        </w:rPr>
      </w:pPr>
      <w:r w:rsidRPr="00A452F2">
        <w:rPr>
          <w:lang w:val="en-GB"/>
        </w:rPr>
        <w:t xml:space="preserve">On the other hand, when Turbo Boost </w:t>
      </w:r>
      <w:r>
        <w:rPr>
          <w:lang w:val="en-GB"/>
        </w:rPr>
        <w:t>increases the clock speed by 1.5x</w:t>
      </w:r>
      <w:r w:rsidRPr="00A452F2">
        <w:rPr>
          <w:lang w:val="en-GB"/>
        </w:rPr>
        <w:t xml:space="preserve"> on the 2</w:t>
      </w:r>
      <w:r w:rsidRPr="00A452F2">
        <w:rPr>
          <w:vertAlign w:val="superscript"/>
          <w:lang w:val="en-GB"/>
        </w:rPr>
        <w:t>nd</w:t>
      </w:r>
      <w:r w:rsidRPr="00A452F2">
        <w:rPr>
          <w:lang w:val="en-GB"/>
        </w:rPr>
        <w:t xml:space="preserve"> thread, Utilization (%) is unaware</w:t>
      </w:r>
      <w:r>
        <w:rPr>
          <w:lang w:val="en-GB"/>
        </w:rPr>
        <w:t xml:space="preserve"> and record 100%</w:t>
      </w:r>
      <w:r w:rsidRPr="00A452F2">
        <w:rPr>
          <w:lang w:val="en-GB"/>
        </w:rPr>
        <w:t xml:space="preserve">, but Used registered 150%. </w:t>
      </w:r>
    </w:p>
    <w:p w14:paraId="275DEF45" w14:textId="77777777" w:rsidR="00FF0111" w:rsidRDefault="00FF0111" w:rsidP="00FF0111">
      <w:pPr>
        <w:rPr>
          <w:lang w:val="en-GB"/>
        </w:rPr>
      </w:pPr>
      <w:r>
        <w:rPr>
          <w:lang w:val="en-GB"/>
        </w:rPr>
        <w:t>Here is all the possible permutation of a core. Take note that the frequency can be less than 1.</w:t>
      </w:r>
    </w:p>
    <w:p w14:paraId="59B0E376" w14:textId="77777777" w:rsidR="00FF0111" w:rsidRDefault="00FF0111" w:rsidP="00FF0111">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161"/>
        <w:gridCol w:w="1162"/>
        <w:gridCol w:w="1162"/>
        <w:gridCol w:w="1162"/>
        <w:gridCol w:w="1161"/>
        <w:gridCol w:w="1168"/>
        <w:gridCol w:w="1162"/>
        <w:gridCol w:w="1162"/>
        <w:gridCol w:w="1162"/>
      </w:tblGrid>
      <w:tr w:rsidR="00FF0111" w14:paraId="7722DB2B" w14:textId="77777777" w:rsidTr="00281329">
        <w:tc>
          <w:tcPr>
            <w:tcW w:w="1161" w:type="dxa"/>
            <w:shd w:val="clear" w:color="auto" w:fill="F2F2F2" w:themeFill="background1" w:themeFillShade="F2"/>
          </w:tcPr>
          <w:p w14:paraId="721304F3" w14:textId="77777777" w:rsidR="00FF0111" w:rsidRDefault="00FF0111" w:rsidP="00281329">
            <w:pPr>
              <w:pStyle w:val="Tableheading"/>
            </w:pPr>
            <w:r>
              <w:t>Thread 1</w:t>
            </w:r>
          </w:p>
        </w:tc>
        <w:tc>
          <w:tcPr>
            <w:tcW w:w="1162" w:type="dxa"/>
            <w:shd w:val="clear" w:color="auto" w:fill="F2F2F2" w:themeFill="background1" w:themeFillShade="F2"/>
          </w:tcPr>
          <w:p w14:paraId="5EB1CB5F" w14:textId="77777777" w:rsidR="00FF0111" w:rsidRDefault="00FF0111" w:rsidP="00281329">
            <w:pPr>
              <w:pStyle w:val="Tableheading"/>
            </w:pPr>
            <w:r>
              <w:t>Thread 2</w:t>
            </w:r>
          </w:p>
        </w:tc>
        <w:tc>
          <w:tcPr>
            <w:tcW w:w="1162" w:type="dxa"/>
            <w:shd w:val="clear" w:color="auto" w:fill="F2F2F2" w:themeFill="background1" w:themeFillShade="F2"/>
          </w:tcPr>
          <w:p w14:paraId="65D3E755" w14:textId="77777777" w:rsidR="00FF0111" w:rsidRDefault="00FF0111" w:rsidP="00281329">
            <w:pPr>
              <w:pStyle w:val="Tableheading"/>
            </w:pPr>
            <w:r>
              <w:t>Thread 1</w:t>
            </w:r>
          </w:p>
        </w:tc>
        <w:tc>
          <w:tcPr>
            <w:tcW w:w="1162" w:type="dxa"/>
            <w:shd w:val="clear" w:color="auto" w:fill="F2F2F2" w:themeFill="background1" w:themeFillShade="F2"/>
          </w:tcPr>
          <w:p w14:paraId="0D5E9055" w14:textId="77777777" w:rsidR="00FF0111" w:rsidRDefault="00FF0111" w:rsidP="00281329">
            <w:pPr>
              <w:pStyle w:val="Tableheading"/>
            </w:pPr>
            <w:r>
              <w:t>Thread 2</w:t>
            </w:r>
          </w:p>
        </w:tc>
        <w:tc>
          <w:tcPr>
            <w:tcW w:w="1161" w:type="dxa"/>
            <w:shd w:val="clear" w:color="auto" w:fill="F2F2F2" w:themeFill="background1" w:themeFillShade="F2"/>
          </w:tcPr>
          <w:p w14:paraId="7FD3C84B" w14:textId="77777777" w:rsidR="00FF0111" w:rsidRDefault="00FF0111" w:rsidP="00281329">
            <w:pPr>
              <w:pStyle w:val="Tableheading"/>
            </w:pPr>
            <w:r>
              <w:t xml:space="preserve">Core </w:t>
            </w:r>
          </w:p>
        </w:tc>
        <w:tc>
          <w:tcPr>
            <w:tcW w:w="1162" w:type="dxa"/>
            <w:shd w:val="clear" w:color="auto" w:fill="F2F2F2" w:themeFill="background1" w:themeFillShade="F2"/>
          </w:tcPr>
          <w:p w14:paraId="7AB7E705" w14:textId="77777777" w:rsidR="00FF0111" w:rsidRDefault="00FF0111" w:rsidP="00281329">
            <w:pPr>
              <w:pStyle w:val="Tableheading"/>
            </w:pPr>
            <w:r>
              <w:t>Frequency</w:t>
            </w:r>
          </w:p>
        </w:tc>
        <w:tc>
          <w:tcPr>
            <w:tcW w:w="1162" w:type="dxa"/>
            <w:shd w:val="clear" w:color="auto" w:fill="F2F2F2" w:themeFill="background1" w:themeFillShade="F2"/>
          </w:tcPr>
          <w:p w14:paraId="7C269BBB" w14:textId="77777777" w:rsidR="00FF0111" w:rsidRDefault="00FF0111" w:rsidP="00281329">
            <w:pPr>
              <w:pStyle w:val="Tableheading"/>
            </w:pPr>
            <w:r>
              <w:t>Thread 1</w:t>
            </w:r>
          </w:p>
        </w:tc>
        <w:tc>
          <w:tcPr>
            <w:tcW w:w="1162" w:type="dxa"/>
            <w:shd w:val="clear" w:color="auto" w:fill="F2F2F2" w:themeFill="background1" w:themeFillShade="F2"/>
          </w:tcPr>
          <w:p w14:paraId="70314AF1" w14:textId="77777777" w:rsidR="00FF0111" w:rsidRDefault="00FF0111" w:rsidP="00281329">
            <w:pPr>
              <w:pStyle w:val="Tableheading"/>
            </w:pPr>
            <w:r>
              <w:t>Thread 2</w:t>
            </w:r>
          </w:p>
        </w:tc>
        <w:tc>
          <w:tcPr>
            <w:tcW w:w="1162" w:type="dxa"/>
            <w:shd w:val="clear" w:color="auto" w:fill="F2F2F2" w:themeFill="background1" w:themeFillShade="F2"/>
          </w:tcPr>
          <w:p w14:paraId="2E15030D" w14:textId="77777777" w:rsidR="00FF0111" w:rsidRDefault="00FF0111" w:rsidP="00281329">
            <w:pPr>
              <w:pStyle w:val="Tableheading"/>
            </w:pPr>
            <w:r>
              <w:t xml:space="preserve">Core </w:t>
            </w:r>
          </w:p>
        </w:tc>
      </w:tr>
      <w:tr w:rsidR="00FF0111" w14:paraId="65E38BFC" w14:textId="77777777" w:rsidTr="00281329">
        <w:tc>
          <w:tcPr>
            <w:tcW w:w="1161" w:type="dxa"/>
          </w:tcPr>
          <w:p w14:paraId="0F3EEB79" w14:textId="77777777" w:rsidR="00FF0111" w:rsidRDefault="00FF0111" w:rsidP="00281329">
            <w:pPr>
              <w:pStyle w:val="Tablecontent"/>
            </w:pPr>
            <w:r>
              <w:t>Run</w:t>
            </w:r>
          </w:p>
        </w:tc>
        <w:tc>
          <w:tcPr>
            <w:tcW w:w="1162" w:type="dxa"/>
          </w:tcPr>
          <w:p w14:paraId="7BDC3554" w14:textId="77777777" w:rsidR="00FF0111" w:rsidRDefault="00FF0111" w:rsidP="00281329">
            <w:pPr>
              <w:pStyle w:val="Tablecontent"/>
            </w:pPr>
            <w:r>
              <w:t>Run</w:t>
            </w:r>
          </w:p>
        </w:tc>
        <w:tc>
          <w:tcPr>
            <w:tcW w:w="1162" w:type="dxa"/>
          </w:tcPr>
          <w:p w14:paraId="49F6D672" w14:textId="77777777" w:rsidR="00FF0111" w:rsidRDefault="00FF0111" w:rsidP="00281329">
            <w:pPr>
              <w:pStyle w:val="Tablecontent"/>
              <w:jc w:val="right"/>
            </w:pPr>
            <w:r w:rsidRPr="007645FB">
              <w:rPr>
                <w:color w:val="FF0000"/>
              </w:rPr>
              <w:t>50%</w:t>
            </w:r>
          </w:p>
        </w:tc>
        <w:tc>
          <w:tcPr>
            <w:tcW w:w="1162" w:type="dxa"/>
          </w:tcPr>
          <w:p w14:paraId="1D8DA1DE" w14:textId="77777777" w:rsidR="00FF0111" w:rsidRDefault="00FF0111" w:rsidP="00281329">
            <w:pPr>
              <w:pStyle w:val="Tablecontent"/>
              <w:jc w:val="right"/>
            </w:pPr>
            <w:r w:rsidRPr="003757C7">
              <w:rPr>
                <w:color w:val="FF0000"/>
              </w:rPr>
              <w:t>50%</w:t>
            </w:r>
          </w:p>
        </w:tc>
        <w:tc>
          <w:tcPr>
            <w:tcW w:w="1161" w:type="dxa"/>
          </w:tcPr>
          <w:p w14:paraId="5D877BF1" w14:textId="77777777" w:rsidR="00FF0111" w:rsidRDefault="00FF0111" w:rsidP="00281329">
            <w:pPr>
              <w:pStyle w:val="Tablecontent"/>
              <w:jc w:val="right"/>
            </w:pPr>
            <w:r>
              <w:t>100%</w:t>
            </w:r>
          </w:p>
        </w:tc>
        <w:tc>
          <w:tcPr>
            <w:tcW w:w="1162" w:type="dxa"/>
          </w:tcPr>
          <w:p w14:paraId="31AAB288" w14:textId="77777777" w:rsidR="00FF0111" w:rsidRDefault="00FF0111" w:rsidP="00281329">
            <w:pPr>
              <w:pStyle w:val="Tablecontent"/>
              <w:jc w:val="right"/>
            </w:pPr>
            <w:r>
              <w:t>1.3x</w:t>
            </w:r>
          </w:p>
        </w:tc>
        <w:tc>
          <w:tcPr>
            <w:tcW w:w="1162" w:type="dxa"/>
          </w:tcPr>
          <w:p w14:paraId="7C8FC70C" w14:textId="77777777" w:rsidR="00FF0111" w:rsidRDefault="00FF0111" w:rsidP="00281329">
            <w:pPr>
              <w:pStyle w:val="Tablecontent"/>
              <w:jc w:val="right"/>
            </w:pPr>
            <w:r>
              <w:t>65%</w:t>
            </w:r>
          </w:p>
        </w:tc>
        <w:tc>
          <w:tcPr>
            <w:tcW w:w="1162" w:type="dxa"/>
          </w:tcPr>
          <w:p w14:paraId="32D407AE" w14:textId="77777777" w:rsidR="00FF0111" w:rsidRDefault="00FF0111" w:rsidP="00281329">
            <w:pPr>
              <w:pStyle w:val="Tablecontent"/>
              <w:jc w:val="right"/>
            </w:pPr>
            <w:r>
              <w:t>65%</w:t>
            </w:r>
          </w:p>
        </w:tc>
        <w:tc>
          <w:tcPr>
            <w:tcW w:w="1162" w:type="dxa"/>
          </w:tcPr>
          <w:p w14:paraId="0B375C7B" w14:textId="77777777" w:rsidR="00FF0111" w:rsidRDefault="00FF0111" w:rsidP="00281329">
            <w:pPr>
              <w:pStyle w:val="Tablecontent"/>
              <w:jc w:val="right"/>
            </w:pPr>
            <w:r>
              <w:t>130%</w:t>
            </w:r>
          </w:p>
        </w:tc>
      </w:tr>
      <w:tr w:rsidR="00FF0111" w14:paraId="6D706F79" w14:textId="77777777" w:rsidTr="00281329">
        <w:tc>
          <w:tcPr>
            <w:tcW w:w="1161" w:type="dxa"/>
          </w:tcPr>
          <w:p w14:paraId="657E3051" w14:textId="77777777" w:rsidR="00FF0111" w:rsidRDefault="00FF0111" w:rsidP="00281329">
            <w:pPr>
              <w:pStyle w:val="Tablecontent"/>
            </w:pPr>
            <w:r>
              <w:t>Run</w:t>
            </w:r>
          </w:p>
        </w:tc>
        <w:tc>
          <w:tcPr>
            <w:tcW w:w="1162" w:type="dxa"/>
          </w:tcPr>
          <w:p w14:paraId="3510713D" w14:textId="77777777" w:rsidR="00FF0111" w:rsidRDefault="00FF0111" w:rsidP="00281329">
            <w:pPr>
              <w:pStyle w:val="Tablecontent"/>
            </w:pPr>
            <w:r>
              <w:t>Not Run</w:t>
            </w:r>
          </w:p>
        </w:tc>
        <w:tc>
          <w:tcPr>
            <w:tcW w:w="1162" w:type="dxa"/>
          </w:tcPr>
          <w:p w14:paraId="52D4F485" w14:textId="77777777" w:rsidR="00FF0111" w:rsidRDefault="00FF0111" w:rsidP="00281329">
            <w:pPr>
              <w:pStyle w:val="Tablecontent"/>
              <w:jc w:val="right"/>
            </w:pPr>
            <w:r>
              <w:t>100%</w:t>
            </w:r>
          </w:p>
        </w:tc>
        <w:tc>
          <w:tcPr>
            <w:tcW w:w="1162" w:type="dxa"/>
          </w:tcPr>
          <w:p w14:paraId="4EB57778" w14:textId="77777777" w:rsidR="00FF0111" w:rsidRDefault="00FF0111" w:rsidP="00281329">
            <w:pPr>
              <w:pStyle w:val="Tablecontent"/>
              <w:jc w:val="right"/>
            </w:pPr>
            <w:r>
              <w:t>0%</w:t>
            </w:r>
          </w:p>
        </w:tc>
        <w:tc>
          <w:tcPr>
            <w:tcW w:w="1161" w:type="dxa"/>
          </w:tcPr>
          <w:p w14:paraId="22B518AD" w14:textId="77777777" w:rsidR="00FF0111" w:rsidRDefault="00FF0111" w:rsidP="00281329">
            <w:pPr>
              <w:pStyle w:val="Tablecontent"/>
              <w:jc w:val="right"/>
            </w:pPr>
            <w:r>
              <w:t>100%</w:t>
            </w:r>
          </w:p>
        </w:tc>
        <w:tc>
          <w:tcPr>
            <w:tcW w:w="1162" w:type="dxa"/>
          </w:tcPr>
          <w:p w14:paraId="188075C6" w14:textId="77777777" w:rsidR="00FF0111" w:rsidRDefault="00FF0111" w:rsidP="00281329">
            <w:pPr>
              <w:pStyle w:val="Tablecontent"/>
              <w:jc w:val="right"/>
            </w:pPr>
            <w:r>
              <w:t>1.3x</w:t>
            </w:r>
          </w:p>
        </w:tc>
        <w:tc>
          <w:tcPr>
            <w:tcW w:w="1162" w:type="dxa"/>
          </w:tcPr>
          <w:p w14:paraId="1332E701" w14:textId="77777777" w:rsidR="00FF0111" w:rsidRDefault="00FF0111" w:rsidP="00281329">
            <w:pPr>
              <w:pStyle w:val="Tablecontent"/>
              <w:jc w:val="right"/>
            </w:pPr>
            <w:r>
              <w:t>130%</w:t>
            </w:r>
          </w:p>
        </w:tc>
        <w:tc>
          <w:tcPr>
            <w:tcW w:w="1162" w:type="dxa"/>
          </w:tcPr>
          <w:p w14:paraId="22D4BC13" w14:textId="77777777" w:rsidR="00FF0111" w:rsidRDefault="00FF0111" w:rsidP="00281329">
            <w:pPr>
              <w:pStyle w:val="Tablecontent"/>
              <w:jc w:val="right"/>
            </w:pPr>
            <w:r>
              <w:t>0%</w:t>
            </w:r>
          </w:p>
        </w:tc>
        <w:tc>
          <w:tcPr>
            <w:tcW w:w="1162" w:type="dxa"/>
          </w:tcPr>
          <w:p w14:paraId="563FECE8" w14:textId="77777777" w:rsidR="00FF0111" w:rsidRDefault="00FF0111" w:rsidP="00281329">
            <w:pPr>
              <w:pStyle w:val="Tablecontent"/>
              <w:jc w:val="right"/>
            </w:pPr>
            <w:r>
              <w:t>130%</w:t>
            </w:r>
          </w:p>
        </w:tc>
      </w:tr>
    </w:tbl>
    <w:p w14:paraId="0D716414" w14:textId="77777777" w:rsidR="00FF0111" w:rsidRDefault="00FF0111" w:rsidP="00FF0111">
      <w:pPr>
        <w:rPr>
          <w:lang w:val="en-GB"/>
        </w:rPr>
      </w:pPr>
      <w:r>
        <w:rPr>
          <w:lang w:val="en-GB"/>
        </w:rPr>
        <w:t>So when happens when the CPU frequency goes down?</w:t>
      </w:r>
    </w:p>
    <w:p w14:paraId="52191520" w14:textId="77777777" w:rsidR="00FF0111" w:rsidRDefault="00FF0111" w:rsidP="00FF0111">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161"/>
        <w:gridCol w:w="1162"/>
        <w:gridCol w:w="1162"/>
        <w:gridCol w:w="1162"/>
        <w:gridCol w:w="1161"/>
        <w:gridCol w:w="1168"/>
        <w:gridCol w:w="1162"/>
        <w:gridCol w:w="1162"/>
        <w:gridCol w:w="1162"/>
      </w:tblGrid>
      <w:tr w:rsidR="00FF0111" w14:paraId="4C066CDA" w14:textId="77777777" w:rsidTr="00281329">
        <w:tc>
          <w:tcPr>
            <w:tcW w:w="1161" w:type="dxa"/>
            <w:shd w:val="clear" w:color="auto" w:fill="F2F2F2" w:themeFill="background1" w:themeFillShade="F2"/>
          </w:tcPr>
          <w:p w14:paraId="274C5FDE" w14:textId="77777777" w:rsidR="00FF0111" w:rsidRDefault="00FF0111" w:rsidP="00281329">
            <w:pPr>
              <w:pStyle w:val="Tableheading"/>
            </w:pPr>
            <w:r>
              <w:t>Thread 1</w:t>
            </w:r>
          </w:p>
        </w:tc>
        <w:tc>
          <w:tcPr>
            <w:tcW w:w="1162" w:type="dxa"/>
            <w:shd w:val="clear" w:color="auto" w:fill="F2F2F2" w:themeFill="background1" w:themeFillShade="F2"/>
          </w:tcPr>
          <w:p w14:paraId="38068910" w14:textId="77777777" w:rsidR="00FF0111" w:rsidRDefault="00FF0111" w:rsidP="00281329">
            <w:pPr>
              <w:pStyle w:val="Tableheading"/>
            </w:pPr>
            <w:r>
              <w:t>Thread 2</w:t>
            </w:r>
          </w:p>
        </w:tc>
        <w:tc>
          <w:tcPr>
            <w:tcW w:w="1162" w:type="dxa"/>
            <w:shd w:val="clear" w:color="auto" w:fill="F2F2F2" w:themeFill="background1" w:themeFillShade="F2"/>
          </w:tcPr>
          <w:p w14:paraId="6DC4F43D" w14:textId="77777777" w:rsidR="00FF0111" w:rsidRDefault="00FF0111" w:rsidP="00281329">
            <w:pPr>
              <w:pStyle w:val="Tableheading"/>
            </w:pPr>
            <w:r>
              <w:t>Thread 1</w:t>
            </w:r>
          </w:p>
        </w:tc>
        <w:tc>
          <w:tcPr>
            <w:tcW w:w="1162" w:type="dxa"/>
            <w:shd w:val="clear" w:color="auto" w:fill="F2F2F2" w:themeFill="background1" w:themeFillShade="F2"/>
          </w:tcPr>
          <w:p w14:paraId="37DAC8AA" w14:textId="77777777" w:rsidR="00FF0111" w:rsidRDefault="00FF0111" w:rsidP="00281329">
            <w:pPr>
              <w:pStyle w:val="Tableheading"/>
            </w:pPr>
            <w:r>
              <w:t>Thread 2</w:t>
            </w:r>
          </w:p>
        </w:tc>
        <w:tc>
          <w:tcPr>
            <w:tcW w:w="1161" w:type="dxa"/>
            <w:shd w:val="clear" w:color="auto" w:fill="F2F2F2" w:themeFill="background1" w:themeFillShade="F2"/>
          </w:tcPr>
          <w:p w14:paraId="5F50E903" w14:textId="77777777" w:rsidR="00FF0111" w:rsidRDefault="00FF0111" w:rsidP="00281329">
            <w:pPr>
              <w:pStyle w:val="Tableheading"/>
            </w:pPr>
            <w:r>
              <w:t xml:space="preserve">Core </w:t>
            </w:r>
          </w:p>
        </w:tc>
        <w:tc>
          <w:tcPr>
            <w:tcW w:w="1162" w:type="dxa"/>
            <w:shd w:val="clear" w:color="auto" w:fill="F2F2F2" w:themeFill="background1" w:themeFillShade="F2"/>
          </w:tcPr>
          <w:p w14:paraId="3E080E54" w14:textId="77777777" w:rsidR="00FF0111" w:rsidRDefault="00FF0111" w:rsidP="00281329">
            <w:pPr>
              <w:pStyle w:val="Tableheading"/>
            </w:pPr>
            <w:r>
              <w:t>Frequency</w:t>
            </w:r>
          </w:p>
        </w:tc>
        <w:tc>
          <w:tcPr>
            <w:tcW w:w="1162" w:type="dxa"/>
            <w:shd w:val="clear" w:color="auto" w:fill="F2F2F2" w:themeFill="background1" w:themeFillShade="F2"/>
          </w:tcPr>
          <w:p w14:paraId="561A781E" w14:textId="77777777" w:rsidR="00FF0111" w:rsidRDefault="00FF0111" w:rsidP="00281329">
            <w:pPr>
              <w:pStyle w:val="Tableheading"/>
            </w:pPr>
            <w:r>
              <w:t>Thread 1</w:t>
            </w:r>
          </w:p>
        </w:tc>
        <w:tc>
          <w:tcPr>
            <w:tcW w:w="1162" w:type="dxa"/>
            <w:shd w:val="clear" w:color="auto" w:fill="F2F2F2" w:themeFill="background1" w:themeFillShade="F2"/>
          </w:tcPr>
          <w:p w14:paraId="507EFB4D" w14:textId="77777777" w:rsidR="00FF0111" w:rsidRDefault="00FF0111" w:rsidP="00281329">
            <w:pPr>
              <w:pStyle w:val="Tableheading"/>
            </w:pPr>
            <w:r>
              <w:t>Thread 2</w:t>
            </w:r>
          </w:p>
        </w:tc>
        <w:tc>
          <w:tcPr>
            <w:tcW w:w="1162" w:type="dxa"/>
            <w:shd w:val="clear" w:color="auto" w:fill="F2F2F2" w:themeFill="background1" w:themeFillShade="F2"/>
          </w:tcPr>
          <w:p w14:paraId="327BA219" w14:textId="77777777" w:rsidR="00FF0111" w:rsidRDefault="00FF0111" w:rsidP="00281329">
            <w:pPr>
              <w:pStyle w:val="Tableheading"/>
            </w:pPr>
            <w:r>
              <w:t xml:space="preserve">Core </w:t>
            </w:r>
          </w:p>
        </w:tc>
      </w:tr>
      <w:tr w:rsidR="00FF0111" w14:paraId="333F4824" w14:textId="77777777" w:rsidTr="00281329">
        <w:tc>
          <w:tcPr>
            <w:tcW w:w="1161" w:type="dxa"/>
          </w:tcPr>
          <w:p w14:paraId="2D8AC3E2" w14:textId="77777777" w:rsidR="00FF0111" w:rsidRDefault="00FF0111" w:rsidP="00281329">
            <w:pPr>
              <w:pStyle w:val="Tablecontent"/>
            </w:pPr>
            <w:r>
              <w:t>Run</w:t>
            </w:r>
          </w:p>
        </w:tc>
        <w:tc>
          <w:tcPr>
            <w:tcW w:w="1162" w:type="dxa"/>
          </w:tcPr>
          <w:p w14:paraId="3F898307" w14:textId="77777777" w:rsidR="00FF0111" w:rsidRDefault="00FF0111" w:rsidP="00281329">
            <w:pPr>
              <w:pStyle w:val="Tablecontent"/>
            </w:pPr>
            <w:r>
              <w:t>Run</w:t>
            </w:r>
          </w:p>
        </w:tc>
        <w:tc>
          <w:tcPr>
            <w:tcW w:w="1162" w:type="dxa"/>
          </w:tcPr>
          <w:p w14:paraId="197479CA" w14:textId="77777777" w:rsidR="00FF0111" w:rsidRPr="007C6874" w:rsidRDefault="00FF0111" w:rsidP="00281329">
            <w:pPr>
              <w:pStyle w:val="Tablecontent"/>
              <w:jc w:val="right"/>
            </w:pPr>
            <w:r w:rsidRPr="007C6874">
              <w:t>50%</w:t>
            </w:r>
          </w:p>
        </w:tc>
        <w:tc>
          <w:tcPr>
            <w:tcW w:w="1162" w:type="dxa"/>
          </w:tcPr>
          <w:p w14:paraId="2470F07C" w14:textId="77777777" w:rsidR="00FF0111" w:rsidRPr="007C6874" w:rsidRDefault="00FF0111" w:rsidP="00281329">
            <w:pPr>
              <w:pStyle w:val="Tablecontent"/>
              <w:jc w:val="right"/>
            </w:pPr>
            <w:r w:rsidRPr="007C6874">
              <w:t>50%</w:t>
            </w:r>
          </w:p>
        </w:tc>
        <w:tc>
          <w:tcPr>
            <w:tcW w:w="1161" w:type="dxa"/>
          </w:tcPr>
          <w:p w14:paraId="1BC67E12" w14:textId="77777777" w:rsidR="00FF0111" w:rsidRDefault="00FF0111" w:rsidP="00281329">
            <w:pPr>
              <w:pStyle w:val="Tablecontent"/>
              <w:jc w:val="right"/>
            </w:pPr>
            <w:r>
              <w:t>100%</w:t>
            </w:r>
          </w:p>
        </w:tc>
        <w:tc>
          <w:tcPr>
            <w:tcW w:w="1162" w:type="dxa"/>
          </w:tcPr>
          <w:p w14:paraId="28DF34C8" w14:textId="77777777" w:rsidR="00FF0111" w:rsidRDefault="00FF0111" w:rsidP="00281329">
            <w:pPr>
              <w:pStyle w:val="Tablecontent"/>
              <w:jc w:val="right"/>
            </w:pPr>
            <w:r>
              <w:t>0.5x</w:t>
            </w:r>
          </w:p>
        </w:tc>
        <w:tc>
          <w:tcPr>
            <w:tcW w:w="1162" w:type="dxa"/>
          </w:tcPr>
          <w:p w14:paraId="15F8B7FF" w14:textId="77777777" w:rsidR="00FF0111" w:rsidRPr="007C6874" w:rsidRDefault="00FF0111" w:rsidP="00281329">
            <w:pPr>
              <w:pStyle w:val="Tablecontent"/>
              <w:jc w:val="right"/>
              <w:rPr>
                <w:color w:val="FF0000"/>
              </w:rPr>
            </w:pPr>
            <w:r w:rsidRPr="007C6874">
              <w:rPr>
                <w:color w:val="FF0000"/>
              </w:rPr>
              <w:t>25%</w:t>
            </w:r>
          </w:p>
        </w:tc>
        <w:tc>
          <w:tcPr>
            <w:tcW w:w="1162" w:type="dxa"/>
          </w:tcPr>
          <w:p w14:paraId="01B7753A" w14:textId="77777777" w:rsidR="00FF0111" w:rsidRPr="007C6874" w:rsidRDefault="00FF0111" w:rsidP="00281329">
            <w:pPr>
              <w:pStyle w:val="Tablecontent"/>
              <w:jc w:val="right"/>
              <w:rPr>
                <w:color w:val="FF0000"/>
              </w:rPr>
            </w:pPr>
            <w:r w:rsidRPr="007C6874">
              <w:rPr>
                <w:color w:val="FF0000"/>
              </w:rPr>
              <w:t>25%</w:t>
            </w:r>
          </w:p>
        </w:tc>
        <w:tc>
          <w:tcPr>
            <w:tcW w:w="1162" w:type="dxa"/>
          </w:tcPr>
          <w:p w14:paraId="7618DF66" w14:textId="77777777" w:rsidR="00FF0111" w:rsidRDefault="00FF0111" w:rsidP="00281329">
            <w:pPr>
              <w:pStyle w:val="Tablecontent"/>
              <w:jc w:val="right"/>
            </w:pPr>
            <w:r>
              <w:t>50%</w:t>
            </w:r>
          </w:p>
        </w:tc>
      </w:tr>
      <w:tr w:rsidR="00FF0111" w14:paraId="12DC84E4" w14:textId="77777777" w:rsidTr="00281329">
        <w:tc>
          <w:tcPr>
            <w:tcW w:w="1161" w:type="dxa"/>
          </w:tcPr>
          <w:p w14:paraId="1DBF4FD7" w14:textId="77777777" w:rsidR="00FF0111" w:rsidRDefault="00FF0111" w:rsidP="00281329">
            <w:pPr>
              <w:pStyle w:val="Tablecontent"/>
            </w:pPr>
            <w:r>
              <w:t>Run</w:t>
            </w:r>
          </w:p>
        </w:tc>
        <w:tc>
          <w:tcPr>
            <w:tcW w:w="1162" w:type="dxa"/>
          </w:tcPr>
          <w:p w14:paraId="4F66BEE0" w14:textId="77777777" w:rsidR="00FF0111" w:rsidRDefault="00FF0111" w:rsidP="00281329">
            <w:pPr>
              <w:pStyle w:val="Tablecontent"/>
            </w:pPr>
            <w:r>
              <w:t>Not Run</w:t>
            </w:r>
          </w:p>
        </w:tc>
        <w:tc>
          <w:tcPr>
            <w:tcW w:w="1162" w:type="dxa"/>
          </w:tcPr>
          <w:p w14:paraId="33B57410" w14:textId="77777777" w:rsidR="00FF0111" w:rsidRDefault="00FF0111" w:rsidP="00281329">
            <w:pPr>
              <w:pStyle w:val="Tablecontent"/>
              <w:jc w:val="right"/>
            </w:pPr>
            <w:r>
              <w:t>100%</w:t>
            </w:r>
          </w:p>
        </w:tc>
        <w:tc>
          <w:tcPr>
            <w:tcW w:w="1162" w:type="dxa"/>
          </w:tcPr>
          <w:p w14:paraId="533257BD" w14:textId="77777777" w:rsidR="00FF0111" w:rsidRDefault="00FF0111" w:rsidP="00281329">
            <w:pPr>
              <w:pStyle w:val="Tablecontent"/>
              <w:jc w:val="right"/>
            </w:pPr>
            <w:r>
              <w:t>0%</w:t>
            </w:r>
          </w:p>
        </w:tc>
        <w:tc>
          <w:tcPr>
            <w:tcW w:w="1161" w:type="dxa"/>
          </w:tcPr>
          <w:p w14:paraId="4D5CC3E7" w14:textId="77777777" w:rsidR="00FF0111" w:rsidRDefault="00FF0111" w:rsidP="00281329">
            <w:pPr>
              <w:pStyle w:val="Tablecontent"/>
              <w:jc w:val="right"/>
            </w:pPr>
            <w:r>
              <w:t>100%</w:t>
            </w:r>
          </w:p>
        </w:tc>
        <w:tc>
          <w:tcPr>
            <w:tcW w:w="1162" w:type="dxa"/>
          </w:tcPr>
          <w:p w14:paraId="7AD45160" w14:textId="77777777" w:rsidR="00FF0111" w:rsidRDefault="00FF0111" w:rsidP="00281329">
            <w:pPr>
              <w:pStyle w:val="Tablecontent"/>
              <w:jc w:val="right"/>
            </w:pPr>
            <w:r>
              <w:t>0.5x</w:t>
            </w:r>
          </w:p>
        </w:tc>
        <w:tc>
          <w:tcPr>
            <w:tcW w:w="1162" w:type="dxa"/>
          </w:tcPr>
          <w:p w14:paraId="3E42D59F" w14:textId="77777777" w:rsidR="00FF0111" w:rsidRPr="007C6874" w:rsidRDefault="00FF0111" w:rsidP="00281329">
            <w:pPr>
              <w:pStyle w:val="Tablecontent"/>
              <w:jc w:val="right"/>
              <w:rPr>
                <w:color w:val="FF0000"/>
              </w:rPr>
            </w:pPr>
            <w:r w:rsidRPr="007C6874">
              <w:rPr>
                <w:color w:val="FF0000"/>
              </w:rPr>
              <w:t>50%</w:t>
            </w:r>
          </w:p>
        </w:tc>
        <w:tc>
          <w:tcPr>
            <w:tcW w:w="1162" w:type="dxa"/>
          </w:tcPr>
          <w:p w14:paraId="250A1772" w14:textId="77777777" w:rsidR="00FF0111" w:rsidRPr="007C6874" w:rsidRDefault="00FF0111" w:rsidP="00281329">
            <w:pPr>
              <w:pStyle w:val="Tablecontent"/>
              <w:jc w:val="right"/>
              <w:rPr>
                <w:color w:val="FF0000"/>
              </w:rPr>
            </w:pPr>
            <w:r w:rsidRPr="007C6874">
              <w:rPr>
                <w:color w:val="FF0000"/>
              </w:rPr>
              <w:t>0%</w:t>
            </w:r>
          </w:p>
        </w:tc>
        <w:tc>
          <w:tcPr>
            <w:tcW w:w="1162" w:type="dxa"/>
          </w:tcPr>
          <w:p w14:paraId="0F322C5C" w14:textId="77777777" w:rsidR="00FF0111" w:rsidRDefault="00FF0111" w:rsidP="00281329">
            <w:pPr>
              <w:pStyle w:val="Tablecontent"/>
              <w:jc w:val="right"/>
            </w:pPr>
            <w:r>
              <w:t>50%</w:t>
            </w:r>
          </w:p>
        </w:tc>
      </w:tr>
    </w:tbl>
    <w:p w14:paraId="30E2CC89" w14:textId="77777777" w:rsidR="00FF0111" w:rsidRDefault="00FF0111" w:rsidP="00FF0111">
      <w:pPr>
        <w:pStyle w:val="Heading5"/>
      </w:pPr>
      <w:r>
        <w:t>Used (ms)</w:t>
      </w:r>
    </w:p>
    <w:p w14:paraId="07CD75F8" w14:textId="77777777" w:rsidR="00FF0111" w:rsidRDefault="00FF0111" w:rsidP="00FF0111">
      <w:pPr>
        <w:rPr>
          <w:lang w:val="en-GB"/>
        </w:rPr>
      </w:pPr>
      <w:r>
        <w:rPr>
          <w:lang w:val="en-GB"/>
        </w:rPr>
        <w:t>The following is taken from an ESXi with 24 cores and 48 threads. I’m showing logical processor 46 and 47. They are from core no 24, meaning they share a physical core.</w:t>
      </w:r>
    </w:p>
    <w:p w14:paraId="70336888" w14:textId="77777777" w:rsidR="00FF0111" w:rsidRPr="00F45D57" w:rsidRDefault="00FF0111" w:rsidP="00FF0111">
      <w:pPr>
        <w:rPr>
          <w:lang w:val="en-GB"/>
        </w:rPr>
      </w:pPr>
      <w:r>
        <w:rPr>
          <w:lang w:val="en-GB"/>
        </w:rPr>
        <w:t>I stack the chart. Do you see something strange?</w:t>
      </w:r>
    </w:p>
    <w:p w14:paraId="7F3E2782" w14:textId="77777777" w:rsidR="00FF0111" w:rsidRPr="005D76B3" w:rsidRDefault="00FF0111" w:rsidP="00FF0111">
      <w:pPr>
        <w:rPr>
          <w:lang w:val="en-GB"/>
        </w:rPr>
      </w:pPr>
      <w:r w:rsidRPr="005D76B3">
        <w:rPr>
          <w:noProof/>
          <w:lang w:val="en-GB"/>
        </w:rPr>
        <w:lastRenderedPageBreak/>
        <w:drawing>
          <wp:inline distT="0" distB="0" distL="0" distR="0" wp14:anchorId="558CE916" wp14:editId="19D6CFDB">
            <wp:extent cx="6645910" cy="2642870"/>
            <wp:effectExtent l="0" t="0" r="2540" b="5080"/>
            <wp:docPr id="534447488" name="Picture 534447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9"/>
                    <a:stretch>
                      <a:fillRect/>
                    </a:stretch>
                  </pic:blipFill>
                  <pic:spPr>
                    <a:xfrm>
                      <a:off x="0" y="0"/>
                      <a:ext cx="6645910" cy="2642870"/>
                    </a:xfrm>
                    <a:prstGeom prst="rect">
                      <a:avLst/>
                    </a:prstGeom>
                  </pic:spPr>
                </pic:pic>
              </a:graphicData>
            </a:graphic>
          </wp:inline>
        </w:drawing>
      </w:r>
    </w:p>
    <w:p w14:paraId="0E7E9B0B" w14:textId="77777777" w:rsidR="00FF0111" w:rsidRDefault="00FF0111" w:rsidP="00FF0111">
      <w:pPr>
        <w:rPr>
          <w:lang w:val="en-GB"/>
        </w:rPr>
      </w:pPr>
      <w:r>
        <w:rPr>
          <w:lang w:val="en-GB"/>
        </w:rPr>
        <w:t xml:space="preserve">The total is exactly 20000. </w:t>
      </w:r>
    </w:p>
    <w:p w14:paraId="2A0EAF5E" w14:textId="77777777" w:rsidR="00FF0111" w:rsidRDefault="00FF0111" w:rsidP="00FF0111">
      <w:pPr>
        <w:rPr>
          <w:lang w:val="en-GB"/>
        </w:rPr>
      </w:pPr>
      <w:r>
        <w:rPr>
          <w:lang w:val="en-GB"/>
        </w:rPr>
        <w:t xml:space="preserve">Each thread is only given </w:t>
      </w:r>
      <w:r w:rsidRPr="00212E66">
        <w:rPr>
          <w:i/>
          <w:iCs/>
          <w:color w:val="FF0000"/>
          <w:lang w:val="en-GB"/>
        </w:rPr>
        <w:t>10000</w:t>
      </w:r>
      <w:r>
        <w:rPr>
          <w:lang w:val="en-GB"/>
        </w:rPr>
        <w:t xml:space="preserve">. This is not intuitive as the data is measured every 20000 ms. </w:t>
      </w:r>
    </w:p>
    <w:p w14:paraId="106A6FBC" w14:textId="77777777" w:rsidR="00FF0111" w:rsidRDefault="00FF0111" w:rsidP="00FF0111">
      <w:pPr>
        <w:rPr>
          <w:lang w:val="en-GB"/>
        </w:rPr>
      </w:pPr>
      <w:r>
        <w:rPr>
          <w:lang w:val="en-GB"/>
        </w:rPr>
        <w:t>Notice the maximum value for Idle is 10000, not 20000. You expect the total for 2 threads to be 40000 as there are 2 threads.</w:t>
      </w:r>
    </w:p>
    <w:p w14:paraId="5E4D36D1" w14:textId="77777777" w:rsidR="00FF0111" w:rsidRDefault="00FF0111" w:rsidP="00FF0111">
      <w:pPr>
        <w:rPr>
          <w:lang w:val="en-GB"/>
        </w:rPr>
      </w:pPr>
      <w:r>
        <w:rPr>
          <w:lang w:val="en-GB"/>
        </w:rPr>
        <w:t>BTW, this 10000 matches the 50% we covered earlier. So Used (ms) and Used (%) are consistent with each other.</w:t>
      </w:r>
    </w:p>
    <w:p w14:paraId="533CE09E" w14:textId="77777777" w:rsidR="00FF0111" w:rsidRDefault="00FF0111" w:rsidP="00FF0111">
      <w:pPr>
        <w:rPr>
          <w:lang w:val="en-GB"/>
        </w:rPr>
      </w:pPr>
      <w:r>
        <w:rPr>
          <w:lang w:val="en-GB"/>
        </w:rPr>
        <w:t xml:space="preserve">Any other thing you notice from the chart? </w:t>
      </w:r>
    </w:p>
    <w:p w14:paraId="6181EE6E" w14:textId="77777777" w:rsidR="00FF0111" w:rsidRDefault="00FF0111" w:rsidP="00FF0111">
      <w:pPr>
        <w:rPr>
          <w:lang w:val="en-GB"/>
        </w:rPr>
      </w:pPr>
      <w:r>
        <w:rPr>
          <w:lang w:val="en-GB"/>
        </w:rPr>
        <w:t>The sum of the 4 metrics is a perfect line.</w:t>
      </w:r>
    </w:p>
    <w:p w14:paraId="50A4D46B" w14:textId="77777777" w:rsidR="00FF0111" w:rsidRDefault="00FF0111" w:rsidP="00FF0111">
      <w:pPr>
        <w:rPr>
          <w:lang w:val="en-GB"/>
        </w:rPr>
      </w:pPr>
      <w:r w:rsidRPr="00A452F2">
        <w:rPr>
          <w:lang w:val="en-GB"/>
        </w:rPr>
        <w:t xml:space="preserve">CPU Idle (ms) + CPU Used (ms) = </w:t>
      </w:r>
      <w:r>
        <w:rPr>
          <w:lang w:val="en-GB"/>
        </w:rPr>
        <w:t>100%.</w:t>
      </w:r>
    </w:p>
    <w:p w14:paraId="5E75DA45" w14:textId="77777777" w:rsidR="00FF0111" w:rsidRDefault="00FF0111" w:rsidP="00FF0111">
      <w:pPr>
        <w:rPr>
          <w:lang w:val="en-GB"/>
        </w:rPr>
      </w:pPr>
      <w:r>
        <w:rPr>
          <w:lang w:val="en-GB"/>
        </w:rPr>
        <w:t>That’s a bit odd, because power saving brings down the value of Used. So Idle needs to be adjusted if the total has to remain 20000. This is a bit odd, as by definition idle means CPU is not doing work. It’s 0. So the frequency</w:t>
      </w:r>
    </w:p>
    <w:p w14:paraId="6A437B41" w14:textId="77777777" w:rsidR="00FF0111" w:rsidRDefault="00FF0111" w:rsidP="00FF0111">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161"/>
        <w:gridCol w:w="1162"/>
        <w:gridCol w:w="1168"/>
        <w:gridCol w:w="1162"/>
        <w:gridCol w:w="1162"/>
        <w:gridCol w:w="1162"/>
        <w:gridCol w:w="1162"/>
        <w:gridCol w:w="1162"/>
        <w:gridCol w:w="1161"/>
      </w:tblGrid>
      <w:tr w:rsidR="00FF0111" w14:paraId="45B9EA5C" w14:textId="77777777" w:rsidTr="00281329">
        <w:tc>
          <w:tcPr>
            <w:tcW w:w="1161" w:type="dxa"/>
            <w:shd w:val="clear" w:color="auto" w:fill="F2F2F2" w:themeFill="background1" w:themeFillShade="F2"/>
          </w:tcPr>
          <w:p w14:paraId="39DC65EC" w14:textId="77777777" w:rsidR="00FF0111" w:rsidRDefault="00FF0111" w:rsidP="00281329">
            <w:pPr>
              <w:pStyle w:val="Tableheading"/>
            </w:pPr>
            <w:r>
              <w:t>Thread 1</w:t>
            </w:r>
          </w:p>
        </w:tc>
        <w:tc>
          <w:tcPr>
            <w:tcW w:w="1162" w:type="dxa"/>
            <w:shd w:val="clear" w:color="auto" w:fill="F2F2F2" w:themeFill="background1" w:themeFillShade="F2"/>
          </w:tcPr>
          <w:p w14:paraId="573EEB7F" w14:textId="77777777" w:rsidR="00FF0111" w:rsidRDefault="00FF0111" w:rsidP="00281329">
            <w:pPr>
              <w:pStyle w:val="Tableheading"/>
            </w:pPr>
            <w:r>
              <w:t>Thread 2</w:t>
            </w:r>
          </w:p>
        </w:tc>
        <w:tc>
          <w:tcPr>
            <w:tcW w:w="1168" w:type="dxa"/>
            <w:shd w:val="clear" w:color="auto" w:fill="F2F2F2" w:themeFill="background1" w:themeFillShade="F2"/>
          </w:tcPr>
          <w:p w14:paraId="23DD3C08" w14:textId="77777777" w:rsidR="00FF0111" w:rsidRDefault="00FF0111" w:rsidP="00281329">
            <w:pPr>
              <w:pStyle w:val="Tableheading"/>
            </w:pPr>
            <w:r>
              <w:t>Frequency</w:t>
            </w:r>
          </w:p>
        </w:tc>
        <w:tc>
          <w:tcPr>
            <w:tcW w:w="1162" w:type="dxa"/>
            <w:shd w:val="clear" w:color="auto" w:fill="F2F2F2" w:themeFill="background1" w:themeFillShade="F2"/>
          </w:tcPr>
          <w:p w14:paraId="7954D106" w14:textId="77777777" w:rsidR="00FF0111" w:rsidRDefault="00FF0111" w:rsidP="00281329">
            <w:pPr>
              <w:pStyle w:val="Tableheading"/>
            </w:pPr>
            <w:r>
              <w:t>T1 Used</w:t>
            </w:r>
          </w:p>
        </w:tc>
        <w:tc>
          <w:tcPr>
            <w:tcW w:w="1162" w:type="dxa"/>
            <w:shd w:val="clear" w:color="auto" w:fill="F2F2F2" w:themeFill="background1" w:themeFillShade="F2"/>
          </w:tcPr>
          <w:p w14:paraId="45E3D661" w14:textId="77777777" w:rsidR="00FF0111" w:rsidRDefault="00FF0111" w:rsidP="00281329">
            <w:pPr>
              <w:pStyle w:val="Tableheading"/>
            </w:pPr>
            <w:r>
              <w:t>T2 Used</w:t>
            </w:r>
          </w:p>
        </w:tc>
        <w:tc>
          <w:tcPr>
            <w:tcW w:w="1162" w:type="dxa"/>
            <w:shd w:val="clear" w:color="auto" w:fill="F2F2F2" w:themeFill="background1" w:themeFillShade="F2"/>
          </w:tcPr>
          <w:p w14:paraId="50A4232D" w14:textId="77777777" w:rsidR="00FF0111" w:rsidRDefault="00FF0111" w:rsidP="00281329">
            <w:pPr>
              <w:pStyle w:val="Tableheading"/>
            </w:pPr>
            <w:r>
              <w:t>Core Used</w:t>
            </w:r>
          </w:p>
        </w:tc>
        <w:tc>
          <w:tcPr>
            <w:tcW w:w="1162" w:type="dxa"/>
            <w:shd w:val="clear" w:color="auto" w:fill="F2F2F2" w:themeFill="background1" w:themeFillShade="F2"/>
          </w:tcPr>
          <w:p w14:paraId="43E64A51" w14:textId="77777777" w:rsidR="00FF0111" w:rsidRDefault="00FF0111" w:rsidP="00281329">
            <w:pPr>
              <w:pStyle w:val="Tableheading"/>
            </w:pPr>
            <w:r>
              <w:t>T1 Idle</w:t>
            </w:r>
          </w:p>
        </w:tc>
        <w:tc>
          <w:tcPr>
            <w:tcW w:w="1162" w:type="dxa"/>
            <w:shd w:val="clear" w:color="auto" w:fill="F2F2F2" w:themeFill="background1" w:themeFillShade="F2"/>
          </w:tcPr>
          <w:p w14:paraId="74BDDE83" w14:textId="77777777" w:rsidR="00FF0111" w:rsidRDefault="00FF0111" w:rsidP="00281329">
            <w:pPr>
              <w:pStyle w:val="Tableheading"/>
            </w:pPr>
            <w:r>
              <w:t>T2 Idle</w:t>
            </w:r>
          </w:p>
        </w:tc>
        <w:tc>
          <w:tcPr>
            <w:tcW w:w="1161" w:type="dxa"/>
            <w:shd w:val="clear" w:color="auto" w:fill="F2F2F2" w:themeFill="background1" w:themeFillShade="F2"/>
          </w:tcPr>
          <w:p w14:paraId="330E46AB" w14:textId="77777777" w:rsidR="00FF0111" w:rsidRDefault="00FF0111" w:rsidP="00281329">
            <w:pPr>
              <w:pStyle w:val="Tableheading"/>
            </w:pPr>
            <w:r>
              <w:t>Core Idle</w:t>
            </w:r>
          </w:p>
        </w:tc>
      </w:tr>
      <w:tr w:rsidR="00FF0111" w14:paraId="678D10EE" w14:textId="77777777" w:rsidTr="00281329">
        <w:tc>
          <w:tcPr>
            <w:tcW w:w="1161" w:type="dxa"/>
          </w:tcPr>
          <w:p w14:paraId="086095E8" w14:textId="77777777" w:rsidR="00FF0111" w:rsidRDefault="00FF0111" w:rsidP="00281329">
            <w:pPr>
              <w:pStyle w:val="Tablecontent"/>
            </w:pPr>
            <w:r>
              <w:t>Run</w:t>
            </w:r>
          </w:p>
        </w:tc>
        <w:tc>
          <w:tcPr>
            <w:tcW w:w="1162" w:type="dxa"/>
          </w:tcPr>
          <w:p w14:paraId="7C638785" w14:textId="77777777" w:rsidR="00FF0111" w:rsidRDefault="00FF0111" w:rsidP="00281329">
            <w:pPr>
              <w:pStyle w:val="Tablecontent"/>
            </w:pPr>
            <w:r>
              <w:t>Run</w:t>
            </w:r>
          </w:p>
        </w:tc>
        <w:tc>
          <w:tcPr>
            <w:tcW w:w="1168" w:type="dxa"/>
          </w:tcPr>
          <w:p w14:paraId="1152F9E6" w14:textId="77777777" w:rsidR="00FF0111" w:rsidRPr="007C6874" w:rsidRDefault="00FF0111" w:rsidP="00281329">
            <w:pPr>
              <w:pStyle w:val="Tablecontent"/>
              <w:jc w:val="right"/>
            </w:pPr>
            <w:r>
              <w:t>0.5x</w:t>
            </w:r>
          </w:p>
        </w:tc>
        <w:tc>
          <w:tcPr>
            <w:tcW w:w="1162" w:type="dxa"/>
          </w:tcPr>
          <w:p w14:paraId="37499458" w14:textId="77777777" w:rsidR="00FF0111" w:rsidRPr="007C6874" w:rsidRDefault="00FF0111" w:rsidP="00281329">
            <w:pPr>
              <w:pStyle w:val="Tablecontent"/>
              <w:jc w:val="right"/>
            </w:pPr>
            <w:r>
              <w:t>5000</w:t>
            </w:r>
          </w:p>
        </w:tc>
        <w:tc>
          <w:tcPr>
            <w:tcW w:w="1162" w:type="dxa"/>
          </w:tcPr>
          <w:p w14:paraId="1CCCB8C1" w14:textId="77777777" w:rsidR="00FF0111" w:rsidRPr="00270D97" w:rsidRDefault="00FF0111" w:rsidP="00281329">
            <w:pPr>
              <w:pStyle w:val="Tablecontent"/>
              <w:jc w:val="right"/>
            </w:pPr>
            <w:r w:rsidRPr="00270D97">
              <w:t>5000</w:t>
            </w:r>
          </w:p>
        </w:tc>
        <w:tc>
          <w:tcPr>
            <w:tcW w:w="1162" w:type="dxa"/>
          </w:tcPr>
          <w:p w14:paraId="74D89435" w14:textId="77777777" w:rsidR="00FF0111" w:rsidRPr="007C6874" w:rsidRDefault="00FF0111" w:rsidP="00281329">
            <w:pPr>
              <w:pStyle w:val="Tablecontent"/>
              <w:jc w:val="right"/>
            </w:pPr>
            <w:r>
              <w:t>10000</w:t>
            </w:r>
          </w:p>
        </w:tc>
        <w:tc>
          <w:tcPr>
            <w:tcW w:w="1162" w:type="dxa"/>
          </w:tcPr>
          <w:p w14:paraId="33BABC20" w14:textId="77777777" w:rsidR="00FF0111" w:rsidRPr="007C6874" w:rsidRDefault="00FF0111" w:rsidP="00281329">
            <w:pPr>
              <w:pStyle w:val="Tablecontent"/>
              <w:jc w:val="right"/>
            </w:pPr>
            <w:r w:rsidRPr="00270D97">
              <w:rPr>
                <w:color w:val="FF0000"/>
              </w:rPr>
              <w:t>5000</w:t>
            </w:r>
          </w:p>
        </w:tc>
        <w:tc>
          <w:tcPr>
            <w:tcW w:w="1162" w:type="dxa"/>
          </w:tcPr>
          <w:p w14:paraId="1DCFEFAB" w14:textId="77777777" w:rsidR="00FF0111" w:rsidRPr="007C6874" w:rsidRDefault="00FF0111" w:rsidP="00281329">
            <w:pPr>
              <w:pStyle w:val="Tablecontent"/>
              <w:jc w:val="right"/>
            </w:pPr>
            <w:r>
              <w:rPr>
                <w:color w:val="FF0000"/>
              </w:rPr>
              <w:t>5000</w:t>
            </w:r>
          </w:p>
        </w:tc>
        <w:tc>
          <w:tcPr>
            <w:tcW w:w="1161" w:type="dxa"/>
          </w:tcPr>
          <w:p w14:paraId="4D2A3701" w14:textId="77777777" w:rsidR="00FF0111" w:rsidRDefault="00FF0111" w:rsidP="00281329">
            <w:pPr>
              <w:pStyle w:val="Tablecontent"/>
              <w:jc w:val="right"/>
            </w:pPr>
            <w:r>
              <w:t>10000</w:t>
            </w:r>
          </w:p>
        </w:tc>
      </w:tr>
      <w:tr w:rsidR="00FF0111" w14:paraId="62F382F2" w14:textId="77777777" w:rsidTr="00281329">
        <w:tc>
          <w:tcPr>
            <w:tcW w:w="1161" w:type="dxa"/>
          </w:tcPr>
          <w:p w14:paraId="29CF660F" w14:textId="77777777" w:rsidR="00FF0111" w:rsidRDefault="00FF0111" w:rsidP="00281329">
            <w:pPr>
              <w:pStyle w:val="Tablecontent"/>
            </w:pPr>
            <w:r>
              <w:t>Run</w:t>
            </w:r>
          </w:p>
        </w:tc>
        <w:tc>
          <w:tcPr>
            <w:tcW w:w="1162" w:type="dxa"/>
          </w:tcPr>
          <w:p w14:paraId="148B20FF" w14:textId="77777777" w:rsidR="00FF0111" w:rsidRDefault="00FF0111" w:rsidP="00281329">
            <w:pPr>
              <w:pStyle w:val="Tablecontent"/>
            </w:pPr>
            <w:r>
              <w:t>Not Run</w:t>
            </w:r>
          </w:p>
        </w:tc>
        <w:tc>
          <w:tcPr>
            <w:tcW w:w="1168" w:type="dxa"/>
          </w:tcPr>
          <w:p w14:paraId="387D9E6B" w14:textId="77777777" w:rsidR="00FF0111" w:rsidRDefault="00FF0111" w:rsidP="00281329">
            <w:pPr>
              <w:pStyle w:val="Tablecontent"/>
              <w:jc w:val="right"/>
            </w:pPr>
            <w:r>
              <w:t>0.5x</w:t>
            </w:r>
          </w:p>
        </w:tc>
        <w:tc>
          <w:tcPr>
            <w:tcW w:w="1162" w:type="dxa"/>
          </w:tcPr>
          <w:p w14:paraId="46334929" w14:textId="77777777" w:rsidR="00FF0111" w:rsidRDefault="00FF0111" w:rsidP="00281329">
            <w:pPr>
              <w:pStyle w:val="Tablecontent"/>
              <w:jc w:val="right"/>
            </w:pPr>
            <w:r>
              <w:t>10000</w:t>
            </w:r>
          </w:p>
        </w:tc>
        <w:tc>
          <w:tcPr>
            <w:tcW w:w="1162" w:type="dxa"/>
          </w:tcPr>
          <w:p w14:paraId="388A7F04" w14:textId="77777777" w:rsidR="00FF0111" w:rsidRPr="00270D97" w:rsidRDefault="00FF0111" w:rsidP="00281329">
            <w:pPr>
              <w:pStyle w:val="Tablecontent"/>
              <w:jc w:val="right"/>
            </w:pPr>
            <w:r w:rsidRPr="00270D97">
              <w:t>0</w:t>
            </w:r>
          </w:p>
        </w:tc>
        <w:tc>
          <w:tcPr>
            <w:tcW w:w="1162" w:type="dxa"/>
          </w:tcPr>
          <w:p w14:paraId="34377D1E" w14:textId="77777777" w:rsidR="00FF0111" w:rsidRDefault="00FF0111" w:rsidP="00281329">
            <w:pPr>
              <w:pStyle w:val="Tablecontent"/>
              <w:jc w:val="right"/>
            </w:pPr>
            <w:r>
              <w:t>10000</w:t>
            </w:r>
          </w:p>
        </w:tc>
        <w:tc>
          <w:tcPr>
            <w:tcW w:w="1162" w:type="dxa"/>
          </w:tcPr>
          <w:p w14:paraId="4FC7B85F" w14:textId="77777777" w:rsidR="00FF0111" w:rsidRDefault="00FF0111" w:rsidP="00281329">
            <w:pPr>
              <w:pStyle w:val="Tablecontent"/>
              <w:jc w:val="right"/>
            </w:pPr>
            <w:r>
              <w:t>0</w:t>
            </w:r>
          </w:p>
        </w:tc>
        <w:tc>
          <w:tcPr>
            <w:tcW w:w="1162" w:type="dxa"/>
          </w:tcPr>
          <w:p w14:paraId="3BF8F180" w14:textId="77777777" w:rsidR="00FF0111" w:rsidRDefault="00FF0111" w:rsidP="00281329">
            <w:pPr>
              <w:pStyle w:val="Tablecontent"/>
              <w:jc w:val="right"/>
            </w:pPr>
            <w:r>
              <w:t>10000</w:t>
            </w:r>
          </w:p>
        </w:tc>
        <w:tc>
          <w:tcPr>
            <w:tcW w:w="1161" w:type="dxa"/>
          </w:tcPr>
          <w:p w14:paraId="58557EEF" w14:textId="77777777" w:rsidR="00FF0111" w:rsidRDefault="00FF0111" w:rsidP="00281329">
            <w:pPr>
              <w:pStyle w:val="Tablecontent"/>
              <w:jc w:val="right"/>
            </w:pPr>
            <w:r>
              <w:t>10000</w:t>
            </w:r>
          </w:p>
        </w:tc>
      </w:tr>
    </w:tbl>
    <w:p w14:paraId="32F35BE0" w14:textId="77777777" w:rsidR="00FF0111" w:rsidRDefault="00FF0111" w:rsidP="00FF0111">
      <w:pPr>
        <w:rPr>
          <w:lang w:val="en-GB"/>
        </w:rPr>
      </w:pPr>
      <w:r>
        <w:rPr>
          <w:lang w:val="en-GB"/>
        </w:rPr>
        <w:t>You can see the peak where Used (ms) shot well above 10000 multiple times.</w:t>
      </w:r>
    </w:p>
    <w:p w14:paraId="3D1871AC" w14:textId="77777777" w:rsidR="00FF0111" w:rsidRDefault="00FF0111" w:rsidP="00FF0111">
      <w:pPr>
        <w:rPr>
          <w:lang w:val="en-GB"/>
        </w:rPr>
      </w:pPr>
      <w:r w:rsidRPr="00451009">
        <w:rPr>
          <w:noProof/>
          <w:lang w:val="en-GB"/>
        </w:rPr>
        <w:lastRenderedPageBreak/>
        <w:drawing>
          <wp:inline distT="0" distB="0" distL="0" distR="0" wp14:anchorId="60F0B662" wp14:editId="0D91C5CA">
            <wp:extent cx="6645910" cy="3067685"/>
            <wp:effectExtent l="0" t="0" r="2540" b="0"/>
            <wp:docPr id="534447501" name="Picture 534447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0"/>
                    <a:stretch>
                      <a:fillRect/>
                    </a:stretch>
                  </pic:blipFill>
                  <pic:spPr>
                    <a:xfrm>
                      <a:off x="0" y="0"/>
                      <a:ext cx="6645910" cy="3067685"/>
                    </a:xfrm>
                    <a:prstGeom prst="rect">
                      <a:avLst/>
                    </a:prstGeom>
                  </pic:spPr>
                </pic:pic>
              </a:graphicData>
            </a:graphic>
          </wp:inline>
        </w:drawing>
      </w:r>
    </w:p>
    <w:p w14:paraId="6DCDB065" w14:textId="77777777" w:rsidR="00FF0111" w:rsidRPr="00A452F2" w:rsidRDefault="00FF0111" w:rsidP="00FF0111">
      <w:pPr>
        <w:rPr>
          <w:lang w:val="en-GB"/>
        </w:rPr>
      </w:pPr>
      <w:r w:rsidRPr="00A452F2">
        <w:rPr>
          <w:lang w:val="en-GB"/>
        </w:rPr>
        <w:t xml:space="preserve">Can you guess how many physical cores the </w:t>
      </w:r>
      <w:r>
        <w:rPr>
          <w:lang w:val="en-GB"/>
        </w:rPr>
        <w:t>following</w:t>
      </w:r>
      <w:r w:rsidRPr="00A452F2">
        <w:rPr>
          <w:lang w:val="en-GB"/>
        </w:rPr>
        <w:t xml:space="preserve"> ESXi has? </w:t>
      </w:r>
    </w:p>
    <w:p w14:paraId="06F4F587" w14:textId="77777777" w:rsidR="00FF0111" w:rsidRPr="00A452F2" w:rsidRDefault="00FF0111" w:rsidP="00FF0111">
      <w:pPr>
        <w:rPr>
          <w:lang w:val="en-GB"/>
        </w:rPr>
      </w:pPr>
      <w:r>
        <w:rPr>
          <w:noProof/>
        </w:rPr>
        <w:drawing>
          <wp:inline distT="0" distB="0" distL="0" distR="0" wp14:anchorId="2C5D9759" wp14:editId="1D83F751">
            <wp:extent cx="6645910" cy="2175510"/>
            <wp:effectExtent l="0" t="0" r="2540" b="0"/>
            <wp:docPr id="606394158" name="Picture 60639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58"/>
                    <pic:cNvPicPr/>
                  </pic:nvPicPr>
                  <pic:blipFill>
                    <a:blip r:embed="rId691" cstate="print">
                      <a:extLst>
                        <a:ext uri="{28A0092B-C50C-407E-A947-70E740481C1C}">
                          <a14:useLocalDpi xmlns:a14="http://schemas.microsoft.com/office/drawing/2010/main" val="0"/>
                        </a:ext>
                      </a:extLst>
                    </a:blip>
                    <a:stretch>
                      <a:fillRect/>
                    </a:stretch>
                  </pic:blipFill>
                  <pic:spPr>
                    <a:xfrm>
                      <a:off x="0" y="0"/>
                      <a:ext cx="6645910" cy="2175510"/>
                    </a:xfrm>
                    <a:prstGeom prst="rect">
                      <a:avLst/>
                    </a:prstGeom>
                  </pic:spPr>
                </pic:pic>
              </a:graphicData>
            </a:graphic>
          </wp:inline>
        </w:drawing>
      </w:r>
    </w:p>
    <w:p w14:paraId="7E7BDFA1" w14:textId="77777777" w:rsidR="00FF0111" w:rsidRDefault="00FF0111" w:rsidP="00FF0111">
      <w:pPr>
        <w:rPr>
          <w:lang w:val="en-GB"/>
        </w:rPr>
      </w:pPr>
      <w:r>
        <w:rPr>
          <w:lang w:val="en-GB"/>
        </w:rPr>
        <w:t xml:space="preserve">Answer: </w:t>
      </w:r>
      <w:r w:rsidRPr="00A452F2">
        <w:rPr>
          <w:lang w:val="en-GB"/>
        </w:rPr>
        <w:t xml:space="preserve">20 cores, 40 threads. </w:t>
      </w:r>
    </w:p>
    <w:p w14:paraId="713F2E67" w14:textId="77777777" w:rsidR="00FF0111" w:rsidRDefault="00FF0111" w:rsidP="00FF0111">
      <w:pPr>
        <w:rPr>
          <w:lang w:val="en-GB"/>
        </w:rPr>
      </w:pPr>
      <w:r w:rsidRPr="00A452F2">
        <w:rPr>
          <w:lang w:val="en-GB"/>
        </w:rPr>
        <w:t xml:space="preserve">Notice the total sum is constant at 400K ms. Divide this by 20K ms and you get 20 cores. While the graph </w:t>
      </w:r>
      <w:r>
        <w:rPr>
          <w:lang w:val="en-GB"/>
        </w:rPr>
        <w:t xml:space="preserve">visually </w:t>
      </w:r>
      <w:r w:rsidRPr="00A452F2">
        <w:rPr>
          <w:lang w:val="en-GB"/>
        </w:rPr>
        <w:t>shows the line is slightly above 400K, the sum of the 2 values shown is actually 400,000.01 ms.</w:t>
      </w:r>
    </w:p>
    <w:p w14:paraId="1FE41CA2" w14:textId="77777777" w:rsidR="00FF0111" w:rsidRDefault="00FF0111" w:rsidP="00FF0111">
      <w:pPr>
        <w:rPr>
          <w:lang w:val="en-GB"/>
        </w:rPr>
      </w:pPr>
      <w:r>
        <w:rPr>
          <w:lang w:val="en-GB"/>
        </w:rPr>
        <w:t xml:space="preserve">If you want to verify with vCenter, the following ESXi host has 24 cores 48 threads. Notice the sum is 480,000 ms, not 960,000 ms. </w:t>
      </w:r>
    </w:p>
    <w:p w14:paraId="0D2B2608" w14:textId="3BFDE2A6" w:rsidR="00FF0111" w:rsidRDefault="00FF0111" w:rsidP="00FF0111">
      <w:pPr>
        <w:rPr>
          <w:lang w:val="en-GB"/>
        </w:rPr>
      </w:pPr>
      <w:r w:rsidRPr="00EC2307">
        <w:rPr>
          <w:noProof/>
          <w:lang w:val="en-GB"/>
        </w:rPr>
        <w:lastRenderedPageBreak/>
        <w:drawing>
          <wp:inline distT="0" distB="0" distL="0" distR="0" wp14:anchorId="6AB3AAED" wp14:editId="09B13166">
            <wp:extent cx="6645910" cy="2842260"/>
            <wp:effectExtent l="0" t="0" r="2540" b="0"/>
            <wp:docPr id="1859674535" name="Picture 1859674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a:stretch>
                      <a:fillRect/>
                    </a:stretch>
                  </pic:blipFill>
                  <pic:spPr>
                    <a:xfrm>
                      <a:off x="0" y="0"/>
                      <a:ext cx="6645910" cy="2842260"/>
                    </a:xfrm>
                    <a:prstGeom prst="rect">
                      <a:avLst/>
                    </a:prstGeom>
                  </pic:spPr>
                </pic:pic>
              </a:graphicData>
            </a:graphic>
          </wp:inline>
        </w:drawing>
      </w:r>
    </w:p>
    <w:p w14:paraId="320E3A79" w14:textId="595F6576" w:rsidR="00677510" w:rsidRDefault="00677510" w:rsidP="00677510">
      <w:pPr>
        <w:rPr>
          <w:lang w:val="en-GB"/>
        </w:rPr>
      </w:pPr>
      <w:r>
        <w:rPr>
          <w:lang w:val="en-GB"/>
        </w:rPr>
        <w:t>The</w:t>
      </w:r>
      <w:r w:rsidRPr="00A452F2">
        <w:rPr>
          <w:lang w:val="en-GB"/>
        </w:rPr>
        <w:t xml:space="preserve"> vCenter counter </w:t>
      </w:r>
      <w:r>
        <w:rPr>
          <w:lang w:val="en-GB"/>
        </w:rPr>
        <w:t xml:space="preserve">Used (ms) </w:t>
      </w:r>
      <w:r w:rsidRPr="00A452F2">
        <w:rPr>
          <w:lang w:val="en-GB"/>
        </w:rPr>
        <w:t xml:space="preserve">maps to PCPU Used (%) counter in esxtop. </w:t>
      </w:r>
    </w:p>
    <w:p w14:paraId="4B5EB6B4" w14:textId="77777777" w:rsidR="00FF0111" w:rsidRPr="00A452F2" w:rsidRDefault="00FF0111" w:rsidP="00FF0111">
      <w:pPr>
        <w:pStyle w:val="Heading4"/>
      </w:pPr>
      <w:r w:rsidRPr="00A452F2">
        <w:t>Usage</w:t>
      </w:r>
    </w:p>
    <w:p w14:paraId="0B940145" w14:textId="77777777" w:rsidR="00FF0111" w:rsidRDefault="00FF0111" w:rsidP="00FF0111">
      <w:pPr>
        <w:rPr>
          <w:lang w:val="en-GB"/>
        </w:rPr>
      </w:pPr>
      <w:r w:rsidRPr="00A452F2">
        <w:rPr>
          <w:lang w:val="en-GB"/>
        </w:rPr>
        <w:t xml:space="preserve">vCenter adds this counter, meaning it does not exist at ESXi level. </w:t>
      </w:r>
      <w:r>
        <w:rPr>
          <w:lang w:val="en-GB"/>
        </w:rPr>
        <w:t>In some parts of the UI, vCenter uses the name Used instead of Usage. But in the metrics chart, it uses Usage. I’m going to assume that Used (MHz) = Usage (MHz) as vCenter does not have Used in MHz.</w:t>
      </w:r>
    </w:p>
    <w:p w14:paraId="48015A6E" w14:textId="77777777" w:rsidR="00FF0111" w:rsidRDefault="00FF0111" w:rsidP="00FF0111">
      <w:pPr>
        <w:rPr>
          <w:lang w:val="en-GB"/>
        </w:rPr>
      </w:pPr>
      <w:r>
        <w:rPr>
          <w:lang w:val="en-GB"/>
        </w:rPr>
        <w:t xml:space="preserve">If you see in esxtop, you will find Used (%) and Utilization (%) but not Usage. Usage basically maps to Used, but showing in MHz and use 20000 as opposed to 10000. </w:t>
      </w:r>
    </w:p>
    <w:p w14:paraId="76F707CC" w14:textId="77777777" w:rsidR="00FF0111" w:rsidRDefault="00FF0111" w:rsidP="00FF0111">
      <w:pPr>
        <w:rPr>
          <w:lang w:val="en-GB"/>
        </w:rPr>
      </w:pPr>
      <w:r w:rsidRPr="009D7F19">
        <w:rPr>
          <w:noProof/>
          <w:lang w:val="en-GB"/>
        </w:rPr>
        <w:drawing>
          <wp:inline distT="0" distB="0" distL="0" distR="0" wp14:anchorId="6DC0CDB9" wp14:editId="18A130D7">
            <wp:extent cx="6645910" cy="3148330"/>
            <wp:effectExtent l="0" t="0" r="2540" b="0"/>
            <wp:docPr id="534447502" name="Picture 534447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3"/>
                    <a:stretch>
                      <a:fillRect/>
                    </a:stretch>
                  </pic:blipFill>
                  <pic:spPr>
                    <a:xfrm>
                      <a:off x="0" y="0"/>
                      <a:ext cx="6645910" cy="3148330"/>
                    </a:xfrm>
                    <a:prstGeom prst="rect">
                      <a:avLst/>
                    </a:prstGeom>
                  </pic:spPr>
                </pic:pic>
              </a:graphicData>
            </a:graphic>
          </wp:inline>
        </w:drawing>
      </w:r>
    </w:p>
    <w:p w14:paraId="7DF31524" w14:textId="77777777" w:rsidR="00FF0111" w:rsidRDefault="00FF0111" w:rsidP="00FF0111">
      <w:pPr>
        <w:rPr>
          <w:lang w:val="en-GB"/>
        </w:rPr>
      </w:pPr>
      <w:r>
        <w:rPr>
          <w:lang w:val="en-GB"/>
        </w:rPr>
        <w:lastRenderedPageBreak/>
        <w:t xml:space="preserve">This is great as using </w:t>
      </w:r>
      <w:r w:rsidRPr="00A452F2">
        <w:rPr>
          <w:lang w:val="en-GB"/>
        </w:rPr>
        <w:t>m</w:t>
      </w:r>
      <w:r>
        <w:rPr>
          <w:lang w:val="en-GB"/>
        </w:rPr>
        <w:t>illi</w:t>
      </w:r>
      <w:r w:rsidRPr="00A452F2">
        <w:rPr>
          <w:lang w:val="en-GB"/>
        </w:rPr>
        <w:t>s</w:t>
      </w:r>
      <w:r>
        <w:rPr>
          <w:lang w:val="en-GB"/>
        </w:rPr>
        <w:t xml:space="preserve">econd is hard to </w:t>
      </w:r>
      <w:r w:rsidRPr="00A452F2">
        <w:rPr>
          <w:lang w:val="en-GB"/>
        </w:rPr>
        <w:t>account for “</w:t>
      </w:r>
      <w:r w:rsidRPr="00D2294F">
        <w:rPr>
          <w:color w:val="00B0F0"/>
          <w:lang w:val="en-GB"/>
        </w:rPr>
        <w:t>how fast you run</w:t>
      </w:r>
      <w:r w:rsidRPr="00A452F2">
        <w:rPr>
          <w:lang w:val="en-GB"/>
        </w:rPr>
        <w:t>” and “</w:t>
      </w:r>
      <w:r w:rsidRPr="00D2294F">
        <w:rPr>
          <w:color w:val="00B0F0"/>
          <w:lang w:val="en-GB"/>
        </w:rPr>
        <w:t>how efficient you run</w:t>
      </w:r>
      <w:r w:rsidRPr="00A452F2">
        <w:rPr>
          <w:lang w:val="en-GB"/>
        </w:rPr>
        <w:t>”</w:t>
      </w:r>
      <w:r>
        <w:rPr>
          <w:lang w:val="en-GB"/>
        </w:rPr>
        <w:t>. With MHz, we can plot the value across time.</w:t>
      </w:r>
    </w:p>
    <w:p w14:paraId="717F05FA" w14:textId="77777777" w:rsidR="00FF0111" w:rsidRDefault="00FF0111" w:rsidP="00FF0111">
      <w:pPr>
        <w:rPr>
          <w:lang w:val="en-GB"/>
        </w:rPr>
      </w:pPr>
      <w:r>
        <w:rPr>
          <w:lang w:val="en-GB"/>
        </w:rPr>
        <w:t>With this knowledge, now the screen on vCenter client UI will be clearer.</w:t>
      </w:r>
    </w:p>
    <w:p w14:paraId="31154A6C" w14:textId="77777777" w:rsidR="00FF0111" w:rsidRDefault="00FF0111" w:rsidP="00FF0111">
      <w:pPr>
        <w:rPr>
          <w:lang w:val="en-GB"/>
        </w:rPr>
      </w:pPr>
      <w:r>
        <w:rPr>
          <w:lang w:val="en-GB"/>
        </w:rPr>
        <w:t xml:space="preserve">You see both the Capacity of 35.18 GHz and Used of 11.3 GHz. There is no concept of </w:t>
      </w:r>
      <w:r w:rsidRPr="00CC2C04">
        <w:rPr>
          <w:color w:val="00B0F0"/>
          <w:lang w:val="en-GB"/>
        </w:rPr>
        <w:t xml:space="preserve">Usable Capacity </w:t>
      </w:r>
      <w:r>
        <w:rPr>
          <w:lang w:val="en-GB"/>
        </w:rPr>
        <w:t>in vSphere, so the Free amount is basically Capacity – Used.</w:t>
      </w:r>
    </w:p>
    <w:p w14:paraId="18D4DBCA" w14:textId="77777777" w:rsidR="00FF0111" w:rsidRPr="00A452F2" w:rsidRDefault="00FF0111" w:rsidP="00FF0111">
      <w:pPr>
        <w:rPr>
          <w:lang w:val="en-GB"/>
        </w:rPr>
      </w:pPr>
      <w:r>
        <w:rPr>
          <w:noProof/>
        </w:rPr>
        <w:drawing>
          <wp:inline distT="0" distB="0" distL="0" distR="0" wp14:anchorId="7ADB5AAE" wp14:editId="4C32B65A">
            <wp:extent cx="6645910" cy="2322830"/>
            <wp:effectExtent l="0" t="0" r="2540" b="1270"/>
            <wp:docPr id="606394204" name="Picture 6063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04"/>
                    <pic:cNvPicPr/>
                  </pic:nvPicPr>
                  <pic:blipFill>
                    <a:blip r:embed="rId694">
                      <a:extLst>
                        <a:ext uri="{28A0092B-C50C-407E-A947-70E740481C1C}">
                          <a14:useLocalDpi xmlns:a14="http://schemas.microsoft.com/office/drawing/2010/main" val="0"/>
                        </a:ext>
                      </a:extLst>
                    </a:blip>
                    <a:stretch>
                      <a:fillRect/>
                    </a:stretch>
                  </pic:blipFill>
                  <pic:spPr>
                    <a:xfrm>
                      <a:off x="0" y="0"/>
                      <a:ext cx="6645910" cy="2322830"/>
                    </a:xfrm>
                    <a:prstGeom prst="rect">
                      <a:avLst/>
                    </a:prstGeom>
                  </pic:spPr>
                </pic:pic>
              </a:graphicData>
            </a:graphic>
          </wp:inline>
        </w:drawing>
      </w:r>
    </w:p>
    <w:p w14:paraId="3900A3F5" w14:textId="571CEB5C" w:rsidR="00FF0111" w:rsidRPr="00724ACE" w:rsidRDefault="00FF0111" w:rsidP="00FF0111">
      <w:pPr>
        <w:rPr>
          <w:lang w:val="en-GB"/>
        </w:rPr>
      </w:pPr>
      <w:r>
        <w:rPr>
          <w:lang w:val="en-GB"/>
        </w:rPr>
        <w:t xml:space="preserve">vCenter shows </w:t>
      </w:r>
      <w:r w:rsidRPr="00CC2C04">
        <w:rPr>
          <w:color w:val="00B0F0"/>
          <w:lang w:val="en-GB"/>
        </w:rPr>
        <w:t xml:space="preserve">Used </w:t>
      </w:r>
      <w:r>
        <w:rPr>
          <w:lang w:val="en-GB"/>
        </w:rPr>
        <w:t>in GHz. The value is actually</w:t>
      </w:r>
      <w:r w:rsidR="00CC2C04">
        <w:rPr>
          <w:lang w:val="en-GB"/>
        </w:rPr>
        <w:t xml:space="preserve"> the value of</w:t>
      </w:r>
      <w:r>
        <w:rPr>
          <w:lang w:val="en-GB"/>
        </w:rPr>
        <w:t xml:space="preserve"> </w:t>
      </w:r>
      <w:r w:rsidRPr="00CC2C04">
        <w:rPr>
          <w:color w:val="00B0F0"/>
          <w:lang w:val="en-GB"/>
        </w:rPr>
        <w:t>Usage</w:t>
      </w:r>
      <w:r w:rsidR="00CC2C04">
        <w:rPr>
          <w:lang w:val="en-GB"/>
        </w:rPr>
        <w:t xml:space="preserve"> metric, </w:t>
      </w:r>
      <w:r>
        <w:rPr>
          <w:lang w:val="en-GB"/>
        </w:rPr>
        <w:t xml:space="preserve"> as the Used counter is percentage or millisecond. </w:t>
      </w:r>
    </w:p>
    <w:p w14:paraId="689EC418" w14:textId="77777777" w:rsidR="00FF0111" w:rsidRPr="00724ACE" w:rsidRDefault="00FF0111" w:rsidP="00FF0111">
      <w:pPr>
        <w:rPr>
          <w:lang w:val="en-GB"/>
        </w:rPr>
      </w:pPr>
      <w:r w:rsidRPr="00724ACE">
        <w:rPr>
          <w:lang w:val="en-GB"/>
        </w:rPr>
        <w:t xml:space="preserve">The Used CPU is </w:t>
      </w:r>
      <w:r w:rsidRPr="00F2048D">
        <w:rPr>
          <w:color w:val="00B0F0"/>
          <w:lang w:val="en-GB"/>
        </w:rPr>
        <w:t>summary.quickStats.overallCpuUsage</w:t>
      </w:r>
      <w:r>
        <w:rPr>
          <w:lang w:val="en-GB"/>
        </w:rPr>
        <w:t>.</w:t>
      </w:r>
    </w:p>
    <w:p w14:paraId="2DD5C19C" w14:textId="77777777" w:rsidR="00FF0111" w:rsidRDefault="00FF0111" w:rsidP="00FF0111">
      <w:pPr>
        <w:jc w:val="center"/>
        <w:rPr>
          <w:lang w:val="en-GB"/>
        </w:rPr>
      </w:pPr>
      <w:r>
        <w:rPr>
          <w:noProof/>
        </w:rPr>
        <w:drawing>
          <wp:inline distT="0" distB="0" distL="0" distR="0" wp14:anchorId="508A7F53" wp14:editId="6C436AD1">
            <wp:extent cx="5659678" cy="3467947"/>
            <wp:effectExtent l="0" t="0" r="0" b="0"/>
            <wp:docPr id="606394205" name="Picture 6063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05"/>
                    <pic:cNvPicPr/>
                  </pic:nvPicPr>
                  <pic:blipFill>
                    <a:blip r:embed="rId695">
                      <a:extLst>
                        <a:ext uri="{28A0092B-C50C-407E-A947-70E740481C1C}">
                          <a14:useLocalDpi xmlns:a14="http://schemas.microsoft.com/office/drawing/2010/main" val="0"/>
                        </a:ext>
                      </a:extLst>
                    </a:blip>
                    <a:stretch>
                      <a:fillRect/>
                    </a:stretch>
                  </pic:blipFill>
                  <pic:spPr>
                    <a:xfrm>
                      <a:off x="0" y="0"/>
                      <a:ext cx="5659678" cy="3467947"/>
                    </a:xfrm>
                    <a:prstGeom prst="rect">
                      <a:avLst/>
                    </a:prstGeom>
                  </pic:spPr>
                </pic:pic>
              </a:graphicData>
            </a:graphic>
          </wp:inline>
        </w:drawing>
      </w:r>
    </w:p>
    <w:p w14:paraId="7C713EEE" w14:textId="77777777" w:rsidR="00FF0111" w:rsidRDefault="00FF0111" w:rsidP="00FF0111">
      <w:pPr>
        <w:rPr>
          <w:lang w:val="en-GB"/>
        </w:rPr>
      </w:pPr>
      <w:r>
        <w:rPr>
          <w:lang w:val="en-GB"/>
        </w:rPr>
        <w:t>The value above is likely some average of say 5 minutes as it remains static for a while and it does not exactly match the number below as the roll up period is not the same.</w:t>
      </w:r>
    </w:p>
    <w:p w14:paraId="1F8838AF" w14:textId="77777777" w:rsidR="00FF0111" w:rsidRDefault="00FF0111" w:rsidP="00FF0111">
      <w:pPr>
        <w:rPr>
          <w:lang w:val="en-GB"/>
        </w:rPr>
      </w:pPr>
      <w:r w:rsidRPr="00C4472E">
        <w:rPr>
          <w:noProof/>
          <w:lang w:val="en-GB"/>
        </w:rPr>
        <w:lastRenderedPageBreak/>
        <w:drawing>
          <wp:inline distT="0" distB="0" distL="0" distR="0" wp14:anchorId="7165C1B1" wp14:editId="67C4A78C">
            <wp:extent cx="6645910" cy="2959735"/>
            <wp:effectExtent l="0" t="0" r="2540" b="0"/>
            <wp:docPr id="534447495" name="Picture 534447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6"/>
                    <a:stretch>
                      <a:fillRect/>
                    </a:stretch>
                  </pic:blipFill>
                  <pic:spPr>
                    <a:xfrm>
                      <a:off x="0" y="0"/>
                      <a:ext cx="6645910" cy="2959735"/>
                    </a:xfrm>
                    <a:prstGeom prst="rect">
                      <a:avLst/>
                    </a:prstGeom>
                  </pic:spPr>
                </pic:pic>
              </a:graphicData>
            </a:graphic>
          </wp:inline>
        </w:drawing>
      </w:r>
    </w:p>
    <w:p w14:paraId="47F34DBE" w14:textId="77777777" w:rsidR="00FF0111" w:rsidRDefault="00FF0111" w:rsidP="00FF0111">
      <w:pPr>
        <w:rPr>
          <w:lang w:val="en-GB"/>
        </w:rPr>
      </w:pPr>
      <w:r>
        <w:rPr>
          <w:lang w:val="en-GB"/>
        </w:rPr>
        <w:t>Usage is capped at 100%, even at the thread level.</w:t>
      </w:r>
    </w:p>
    <w:p w14:paraId="5BFA4664" w14:textId="77777777" w:rsidR="00FF0111" w:rsidRDefault="00FF0111" w:rsidP="00FF0111">
      <w:pPr>
        <w:rPr>
          <w:lang w:val="en-GB"/>
        </w:rPr>
      </w:pPr>
      <w:r w:rsidRPr="00D94C53">
        <w:rPr>
          <w:noProof/>
          <w:lang w:val="en-GB"/>
        </w:rPr>
        <w:drawing>
          <wp:inline distT="0" distB="0" distL="0" distR="0" wp14:anchorId="7E5C969F" wp14:editId="410B6020">
            <wp:extent cx="6645910" cy="2725420"/>
            <wp:effectExtent l="0" t="0" r="2540" b="0"/>
            <wp:docPr id="534447494" name="Picture 534447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7"/>
                    <a:stretch>
                      <a:fillRect/>
                    </a:stretch>
                  </pic:blipFill>
                  <pic:spPr>
                    <a:xfrm>
                      <a:off x="0" y="0"/>
                      <a:ext cx="6645910" cy="2725420"/>
                    </a:xfrm>
                    <a:prstGeom prst="rect">
                      <a:avLst/>
                    </a:prstGeom>
                  </pic:spPr>
                </pic:pic>
              </a:graphicData>
            </a:graphic>
          </wp:inline>
        </w:drawing>
      </w:r>
    </w:p>
    <w:p w14:paraId="2B6B5866" w14:textId="77777777" w:rsidR="00FF0111" w:rsidRDefault="00FF0111" w:rsidP="00FF0111">
      <w:pPr>
        <w:pStyle w:val="BeforeTable"/>
        <w:rPr>
          <w:lang w:val="en-GB"/>
        </w:rPr>
      </w:pPr>
    </w:p>
    <w:p w14:paraId="502B1460" w14:textId="77777777" w:rsidR="00FF0111" w:rsidRDefault="00FF0111" w:rsidP="00FF0111">
      <w:pPr>
        <w:pStyle w:val="BeforeTable"/>
        <w:rPr>
          <w:lang w:val="en-GB"/>
        </w:rPr>
      </w:pPr>
      <w:r w:rsidRPr="00047A6F">
        <w:rPr>
          <w:noProof/>
          <w:lang w:val="en-GB"/>
        </w:rPr>
        <w:lastRenderedPageBreak/>
        <w:drawing>
          <wp:anchor distT="0" distB="0" distL="114300" distR="114300" simplePos="0" relativeHeight="251683840" behindDoc="0" locked="0" layoutInCell="1" allowOverlap="1" wp14:anchorId="6C7389F5" wp14:editId="27807025">
            <wp:simplePos x="460587" y="460587"/>
            <wp:positionH relativeFrom="column">
              <wp:align>left</wp:align>
            </wp:positionH>
            <wp:positionV relativeFrom="paragraph">
              <wp:align>top</wp:align>
            </wp:positionV>
            <wp:extent cx="6645910" cy="2953385"/>
            <wp:effectExtent l="0" t="0" r="2540" b="0"/>
            <wp:wrapSquare wrapText="bothSides"/>
            <wp:docPr id="606394208" name="Picture 606394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8" cstate="print">
                      <a:extLst>
                        <a:ext uri="{28A0092B-C50C-407E-A947-70E740481C1C}">
                          <a14:useLocalDpi xmlns:a14="http://schemas.microsoft.com/office/drawing/2010/main" val="0"/>
                        </a:ext>
                      </a:extLst>
                    </a:blip>
                    <a:stretch>
                      <a:fillRect/>
                    </a:stretch>
                  </pic:blipFill>
                  <pic:spPr>
                    <a:xfrm>
                      <a:off x="0" y="0"/>
                      <a:ext cx="6645910" cy="2953385"/>
                    </a:xfrm>
                    <a:prstGeom prst="rect">
                      <a:avLst/>
                    </a:prstGeom>
                  </pic:spPr>
                </pic:pic>
              </a:graphicData>
            </a:graphic>
          </wp:anchor>
        </w:drawing>
      </w:r>
    </w:p>
    <w:p w14:paraId="1FB9801E" w14:textId="77777777" w:rsidR="00FF0111" w:rsidRDefault="00FF0111" w:rsidP="00FF0111">
      <w:pPr>
        <w:rPr>
          <w:lang w:val="en-GB"/>
        </w:rPr>
      </w:pPr>
      <w:r>
        <w:rPr>
          <w:lang w:val="en-GB"/>
        </w:rPr>
        <w:t>Let’s see if Used (ms) = Usage (MHz).</w:t>
      </w:r>
    </w:p>
    <w:p w14:paraId="2A74BF30" w14:textId="77777777" w:rsidR="00FF0111" w:rsidRDefault="00FF0111" w:rsidP="00FF0111">
      <w:pPr>
        <w:rPr>
          <w:lang w:val="en-GB"/>
        </w:rPr>
      </w:pPr>
      <w:r>
        <w:rPr>
          <w:lang w:val="en-GB"/>
        </w:rPr>
        <w:t>To prove it, we plot 180 data points from each, and compare the average. For completeness, let’s compare the latest value too.</w:t>
      </w:r>
    </w:p>
    <w:p w14:paraId="5BD7686E" w14:textId="77777777" w:rsidR="00FF0111" w:rsidRDefault="00FF0111" w:rsidP="00FF0111">
      <w:pPr>
        <w:rPr>
          <w:lang w:val="en-GB"/>
        </w:rPr>
      </w:pPr>
      <w:r>
        <w:rPr>
          <w:noProof/>
        </w:rPr>
        <w:drawing>
          <wp:inline distT="0" distB="0" distL="0" distR="0" wp14:anchorId="055B03E7" wp14:editId="0FB15AD6">
            <wp:extent cx="6645910" cy="2915285"/>
            <wp:effectExtent l="0" t="0" r="2540" b="0"/>
            <wp:docPr id="606394209" name="Picture 606394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09"/>
                    <pic:cNvPicPr/>
                  </pic:nvPicPr>
                  <pic:blipFill>
                    <a:blip r:embed="rId699" cstate="print">
                      <a:extLst>
                        <a:ext uri="{28A0092B-C50C-407E-A947-70E740481C1C}">
                          <a14:useLocalDpi xmlns:a14="http://schemas.microsoft.com/office/drawing/2010/main" val="0"/>
                        </a:ext>
                      </a:extLst>
                    </a:blip>
                    <a:stretch>
                      <a:fillRect/>
                    </a:stretch>
                  </pic:blipFill>
                  <pic:spPr>
                    <a:xfrm>
                      <a:off x="0" y="0"/>
                      <a:ext cx="6645910" cy="2915285"/>
                    </a:xfrm>
                    <a:prstGeom prst="rect">
                      <a:avLst/>
                    </a:prstGeom>
                  </pic:spPr>
                </pic:pic>
              </a:graphicData>
            </a:graphic>
          </wp:inline>
        </w:drawing>
      </w:r>
    </w:p>
    <w:p w14:paraId="71CE358D" w14:textId="77777777" w:rsidR="00FF0111" w:rsidRDefault="00FF0111" w:rsidP="00FF0111">
      <w:pPr>
        <w:rPr>
          <w:lang w:val="en-GB"/>
        </w:rPr>
      </w:pPr>
      <w:r>
        <w:rPr>
          <w:lang w:val="en-GB"/>
        </w:rPr>
        <w:t>Let’s compare the above value to prove the formula. We need to translate them into a common unit for comparison.</w:t>
      </w:r>
    </w:p>
    <w:p w14:paraId="0EE94A27" w14:textId="77777777" w:rsidR="00FF0111" w:rsidRDefault="00FF0111" w:rsidP="00FF0111">
      <w:pPr>
        <w:jc w:val="center"/>
        <w:rPr>
          <w:lang w:val="en-GB"/>
        </w:rPr>
      </w:pPr>
      <w:r>
        <w:rPr>
          <w:noProof/>
        </w:rPr>
        <w:drawing>
          <wp:inline distT="0" distB="0" distL="0" distR="0" wp14:anchorId="21F673C6" wp14:editId="06C436F8">
            <wp:extent cx="5226317" cy="806491"/>
            <wp:effectExtent l="0" t="0" r="0" b="0"/>
            <wp:docPr id="606394210" name="Picture 606394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10"/>
                    <pic:cNvPicPr/>
                  </pic:nvPicPr>
                  <pic:blipFill>
                    <a:blip r:embed="rId700">
                      <a:extLst>
                        <a:ext uri="{28A0092B-C50C-407E-A947-70E740481C1C}">
                          <a14:useLocalDpi xmlns:a14="http://schemas.microsoft.com/office/drawing/2010/main" val="0"/>
                        </a:ext>
                      </a:extLst>
                    </a:blip>
                    <a:stretch>
                      <a:fillRect/>
                    </a:stretch>
                  </pic:blipFill>
                  <pic:spPr>
                    <a:xfrm>
                      <a:off x="0" y="0"/>
                      <a:ext cx="5226317" cy="806491"/>
                    </a:xfrm>
                    <a:prstGeom prst="rect">
                      <a:avLst/>
                    </a:prstGeom>
                  </pic:spPr>
                </pic:pic>
              </a:graphicData>
            </a:graphic>
          </wp:inline>
        </w:drawing>
      </w:r>
    </w:p>
    <w:p w14:paraId="26CE6B3F" w14:textId="77777777" w:rsidR="00FF0111" w:rsidRDefault="00FF0111" w:rsidP="00FF0111">
      <w:pPr>
        <w:rPr>
          <w:lang w:val="en-GB"/>
        </w:rPr>
      </w:pPr>
      <w:r>
        <w:rPr>
          <w:lang w:val="en-GB"/>
        </w:rPr>
        <w:t>Bingo!</w:t>
      </w:r>
    </w:p>
    <w:p w14:paraId="57F528C0" w14:textId="77777777" w:rsidR="00FF0111" w:rsidRDefault="00FF0111" w:rsidP="00FF0111">
      <w:pPr>
        <w:rPr>
          <w:lang w:val="en-GB"/>
        </w:rPr>
      </w:pPr>
      <w:r>
        <w:rPr>
          <w:lang w:val="en-GB"/>
        </w:rPr>
        <w:t>Both the average values and the latest values match.</w:t>
      </w:r>
    </w:p>
    <w:p w14:paraId="732937EC" w14:textId="77777777" w:rsidR="00FF0111" w:rsidRDefault="00FF0111" w:rsidP="00FF0111">
      <w:pPr>
        <w:rPr>
          <w:lang w:val="en-GB"/>
        </w:rPr>
      </w:pPr>
      <w:r>
        <w:rPr>
          <w:lang w:val="en-GB"/>
        </w:rPr>
        <w:lastRenderedPageBreak/>
        <w:t xml:space="preserve">Just like Used, </w:t>
      </w:r>
      <w:r w:rsidRPr="00A452F2">
        <w:rPr>
          <w:lang w:val="en-GB"/>
        </w:rPr>
        <w:t>Usage tops out at 100% when all cores run at least one thread at nominal frequency, even if there is still "headroom" for Turbo Boost or scheduling "capacity" on other thread</w:t>
      </w:r>
      <w:r>
        <w:rPr>
          <w:lang w:val="en-GB"/>
        </w:rPr>
        <w:t>s. This is why its value will be lower than Core Utilization if there is power savings, as shown below.</w:t>
      </w:r>
    </w:p>
    <w:p w14:paraId="0F534156" w14:textId="77777777" w:rsidR="00FF0111" w:rsidRDefault="00FF0111" w:rsidP="00FF0111">
      <w:pPr>
        <w:rPr>
          <w:color w:val="FF0000"/>
          <w:lang w:val="en-GB"/>
        </w:rPr>
      </w:pPr>
      <w:r>
        <w:rPr>
          <w:noProof/>
        </w:rPr>
        <w:drawing>
          <wp:inline distT="0" distB="0" distL="0" distR="0" wp14:anchorId="307D78E0" wp14:editId="5892E65E">
            <wp:extent cx="6645910" cy="3893820"/>
            <wp:effectExtent l="0" t="0" r="2540" b="0"/>
            <wp:docPr id="606394312" name="Picture 606394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12"/>
                    <pic:cNvPicPr/>
                  </pic:nvPicPr>
                  <pic:blipFill>
                    <a:blip r:embed="rId701" cstate="print">
                      <a:extLst>
                        <a:ext uri="{28A0092B-C50C-407E-A947-70E740481C1C}">
                          <a14:useLocalDpi xmlns:a14="http://schemas.microsoft.com/office/drawing/2010/main" val="0"/>
                        </a:ext>
                      </a:extLst>
                    </a:blip>
                    <a:stretch>
                      <a:fillRect/>
                    </a:stretch>
                  </pic:blipFill>
                  <pic:spPr>
                    <a:xfrm>
                      <a:off x="0" y="0"/>
                      <a:ext cx="6645910" cy="3893820"/>
                    </a:xfrm>
                    <a:prstGeom prst="rect">
                      <a:avLst/>
                    </a:prstGeom>
                  </pic:spPr>
                </pic:pic>
              </a:graphicData>
            </a:graphic>
          </wp:inline>
        </w:drawing>
      </w:r>
    </w:p>
    <w:p w14:paraId="07FE499A" w14:textId="77777777" w:rsidR="00FF0111" w:rsidRDefault="00FF0111" w:rsidP="00FF0111">
      <w:pPr>
        <w:rPr>
          <w:lang w:val="en-GB"/>
        </w:rPr>
      </w:pPr>
      <w:r w:rsidRPr="00A452F2">
        <w:rPr>
          <w:lang w:val="en-GB"/>
        </w:rPr>
        <w:t>ESXi CPU Usage (%) = CPU Usage (MHz) / CPU Total Capacity (MHz)</w:t>
      </w:r>
      <w:r>
        <w:rPr>
          <w:lang w:val="en-GB"/>
        </w:rPr>
        <w:t xml:space="preserve">, where </w:t>
      </w:r>
      <w:r w:rsidRPr="00A452F2">
        <w:rPr>
          <w:lang w:val="en-GB"/>
        </w:rPr>
        <w:t>Total Capacity = total cores x nominal clock speed. It does not consider hyper threading.</w:t>
      </w:r>
      <w:r>
        <w:rPr>
          <w:lang w:val="en-GB"/>
        </w:rPr>
        <w:t xml:space="preserve"> This accounting technique of removing hyperthreading is consistent with Used.</w:t>
      </w:r>
    </w:p>
    <w:p w14:paraId="415A45C1" w14:textId="77777777" w:rsidR="00FF0111" w:rsidRPr="00A452F2" w:rsidRDefault="00FF0111" w:rsidP="00FF0111">
      <w:pPr>
        <w:rPr>
          <w:lang w:val="en-GB"/>
        </w:rPr>
      </w:pPr>
      <w:r>
        <w:rPr>
          <w:lang w:val="en-GB"/>
        </w:rPr>
        <w:t>The following chart prove the above equation.</w:t>
      </w:r>
    </w:p>
    <w:p w14:paraId="3F32C86B" w14:textId="77777777" w:rsidR="00FF0111" w:rsidRPr="00A452F2" w:rsidRDefault="00FF0111" w:rsidP="00FF0111">
      <w:pPr>
        <w:rPr>
          <w:lang w:val="en-GB"/>
        </w:rPr>
      </w:pPr>
      <w:r>
        <w:rPr>
          <w:noProof/>
        </w:rPr>
        <w:drawing>
          <wp:inline distT="0" distB="0" distL="0" distR="0" wp14:anchorId="169C7872" wp14:editId="0BC56E28">
            <wp:extent cx="6645910" cy="3221990"/>
            <wp:effectExtent l="0" t="0" r="2540" b="0"/>
            <wp:docPr id="606394159" name="Picture 60639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59"/>
                    <pic:cNvPicPr/>
                  </pic:nvPicPr>
                  <pic:blipFill>
                    <a:blip r:embed="rId702">
                      <a:extLst>
                        <a:ext uri="{28A0092B-C50C-407E-A947-70E740481C1C}">
                          <a14:useLocalDpi xmlns:a14="http://schemas.microsoft.com/office/drawing/2010/main" val="0"/>
                        </a:ext>
                      </a:extLst>
                    </a:blip>
                    <a:stretch>
                      <a:fillRect/>
                    </a:stretch>
                  </pic:blipFill>
                  <pic:spPr>
                    <a:xfrm>
                      <a:off x="0" y="0"/>
                      <a:ext cx="6645910" cy="3221990"/>
                    </a:xfrm>
                    <a:prstGeom prst="rect">
                      <a:avLst/>
                    </a:prstGeom>
                  </pic:spPr>
                </pic:pic>
              </a:graphicData>
            </a:graphic>
          </wp:inline>
        </w:drawing>
      </w:r>
    </w:p>
    <w:p w14:paraId="1A3F7968" w14:textId="77777777" w:rsidR="00FF0111" w:rsidRPr="00A452F2" w:rsidRDefault="00FF0111" w:rsidP="00FF0111">
      <w:pPr>
        <w:rPr>
          <w:lang w:val="en-GB"/>
        </w:rPr>
      </w:pPr>
      <w:r w:rsidRPr="00A452F2">
        <w:rPr>
          <w:lang w:val="en-GB"/>
        </w:rPr>
        <w:lastRenderedPageBreak/>
        <w:t xml:space="preserve">When is Usage (%) higher than </w:t>
      </w:r>
      <w:r>
        <w:rPr>
          <w:lang w:val="en-GB"/>
        </w:rPr>
        <w:t xml:space="preserve">Core </w:t>
      </w:r>
      <w:r w:rsidRPr="00A452F2">
        <w:rPr>
          <w:lang w:val="en-GB"/>
        </w:rPr>
        <w:t>Utilization (%)?</w:t>
      </w:r>
    </w:p>
    <w:p w14:paraId="102137AB" w14:textId="77777777" w:rsidR="00FF0111" w:rsidRPr="00A452F2" w:rsidRDefault="00FF0111" w:rsidP="00FF0111">
      <w:pPr>
        <w:rPr>
          <w:lang w:val="en-GB"/>
        </w:rPr>
      </w:pPr>
      <w:r w:rsidRPr="00A452F2">
        <w:rPr>
          <w:lang w:val="en-GB"/>
        </w:rPr>
        <w:t xml:space="preserve">The answer has to be Turbo Boost. The following shows an ESXi where Usage is consistently higher than </w:t>
      </w:r>
      <w:r>
        <w:rPr>
          <w:lang w:val="en-GB"/>
        </w:rPr>
        <w:t xml:space="preserve">Core </w:t>
      </w:r>
      <w:r w:rsidRPr="00A452F2">
        <w:rPr>
          <w:lang w:val="en-GB"/>
        </w:rPr>
        <w:t xml:space="preserve">Utilization (%) in the last 24 hours. </w:t>
      </w:r>
      <w:r>
        <w:rPr>
          <w:lang w:val="en-GB"/>
        </w:rPr>
        <w:t xml:space="preserve">Notice that the value of Usage was capped at 100%. It did not breach 100% </w:t>
      </w:r>
    </w:p>
    <w:p w14:paraId="65614707" w14:textId="77777777" w:rsidR="00FF0111" w:rsidRPr="00A452F2" w:rsidRDefault="00FF0111" w:rsidP="00FF0111">
      <w:pPr>
        <w:rPr>
          <w:lang w:val="en-GB"/>
        </w:rPr>
      </w:pPr>
      <w:r>
        <w:rPr>
          <w:noProof/>
        </w:rPr>
        <w:drawing>
          <wp:inline distT="0" distB="0" distL="0" distR="0" wp14:anchorId="301FA59C" wp14:editId="49212A89">
            <wp:extent cx="6645910" cy="2142490"/>
            <wp:effectExtent l="0" t="0" r="2540" b="0"/>
            <wp:docPr id="606394334" name="Picture 606394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34"/>
                    <pic:cNvPicPr/>
                  </pic:nvPicPr>
                  <pic:blipFill>
                    <a:blip r:embed="rId703" cstate="print">
                      <a:extLst>
                        <a:ext uri="{28A0092B-C50C-407E-A947-70E740481C1C}">
                          <a14:useLocalDpi xmlns:a14="http://schemas.microsoft.com/office/drawing/2010/main" val="0"/>
                        </a:ext>
                      </a:extLst>
                    </a:blip>
                    <a:stretch>
                      <a:fillRect/>
                    </a:stretch>
                  </pic:blipFill>
                  <pic:spPr>
                    <a:xfrm>
                      <a:off x="0" y="0"/>
                      <a:ext cx="6645910" cy="2142490"/>
                    </a:xfrm>
                    <a:prstGeom prst="rect">
                      <a:avLst/>
                    </a:prstGeom>
                  </pic:spPr>
                </pic:pic>
              </a:graphicData>
            </a:graphic>
          </wp:inline>
        </w:drawing>
      </w:r>
    </w:p>
    <w:p w14:paraId="5FEEC250" w14:textId="12634B12" w:rsidR="00FF0111" w:rsidRDefault="00FF0111" w:rsidP="00FF0111">
      <w:pPr>
        <w:rPr>
          <w:lang w:val="en-GB"/>
        </w:rPr>
      </w:pPr>
      <w:r>
        <w:rPr>
          <w:lang w:val="en-GB"/>
        </w:rPr>
        <w:t xml:space="preserve">I’ve marked some areas of the above chart with </w:t>
      </w:r>
      <w:r w:rsidR="00CF7D2C" w:rsidRPr="00CF7D2C">
        <w:rPr>
          <w:color w:val="FF0000"/>
          <w:lang w:val="en-GB"/>
        </w:rPr>
        <w:t>red</w:t>
      </w:r>
      <w:r>
        <w:rPr>
          <w:lang w:val="en-GB"/>
        </w:rPr>
        <w:t xml:space="preserve"> dot</w:t>
      </w:r>
      <w:r w:rsidRPr="00A452F2">
        <w:rPr>
          <w:lang w:val="en-GB"/>
        </w:rPr>
        <w:t>.</w:t>
      </w:r>
      <w:r>
        <w:rPr>
          <w:lang w:val="en-GB"/>
        </w:rPr>
        <w:t xml:space="preserve"> Those areas is where Usage turns out to be lower than Core Utilization.</w:t>
      </w:r>
    </w:p>
    <w:p w14:paraId="65A1710B" w14:textId="77777777" w:rsidR="00FF0111" w:rsidRDefault="00FF0111" w:rsidP="00FF0111">
      <w:pPr>
        <w:rPr>
          <w:lang w:val="en-GB"/>
        </w:rPr>
      </w:pPr>
      <w:r>
        <w:rPr>
          <w:lang w:val="en-GB"/>
        </w:rPr>
        <w:t xml:space="preserve">Why? </w:t>
      </w:r>
    </w:p>
    <w:p w14:paraId="7D7AA81B" w14:textId="77777777" w:rsidR="00FF0111" w:rsidRPr="00A452F2" w:rsidRDefault="00FF0111" w:rsidP="00FF0111">
      <w:pPr>
        <w:rPr>
          <w:lang w:val="en-GB"/>
        </w:rPr>
      </w:pPr>
      <w:r>
        <w:rPr>
          <w:lang w:val="en-GB"/>
        </w:rPr>
        <w:t>The answer is power saving, which typically happens on low utilization. In an aggressive power savings, Usage can even be lower than Utilization, as shown below. This makes sense, as the idles cores consumes are run at lower frequency, hence the average at ESXi level is low.</w:t>
      </w:r>
    </w:p>
    <w:p w14:paraId="65901056" w14:textId="77777777" w:rsidR="00FF0111" w:rsidRPr="00A452F2" w:rsidRDefault="00FF0111" w:rsidP="00FF0111">
      <w:pPr>
        <w:rPr>
          <w:lang w:val="en-GB"/>
        </w:rPr>
      </w:pPr>
      <w:r>
        <w:rPr>
          <w:noProof/>
        </w:rPr>
        <w:drawing>
          <wp:inline distT="0" distB="0" distL="0" distR="0" wp14:anchorId="1869B3F2" wp14:editId="2A290D27">
            <wp:extent cx="6645910" cy="2287905"/>
            <wp:effectExtent l="0" t="0" r="254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pic:nvPicPr>
                  <pic:blipFill>
                    <a:blip r:embed="rId704">
                      <a:extLst>
                        <a:ext uri="{28A0092B-C50C-407E-A947-70E740481C1C}">
                          <a14:useLocalDpi xmlns:a14="http://schemas.microsoft.com/office/drawing/2010/main" val="0"/>
                        </a:ext>
                      </a:extLst>
                    </a:blip>
                    <a:stretch>
                      <a:fillRect/>
                    </a:stretch>
                  </pic:blipFill>
                  <pic:spPr>
                    <a:xfrm>
                      <a:off x="0" y="0"/>
                      <a:ext cx="6645910" cy="2287905"/>
                    </a:xfrm>
                    <a:prstGeom prst="rect">
                      <a:avLst/>
                    </a:prstGeom>
                  </pic:spPr>
                </pic:pic>
              </a:graphicData>
            </a:graphic>
          </wp:inline>
        </w:drawing>
      </w:r>
    </w:p>
    <w:p w14:paraId="62CFAF3F" w14:textId="4AF73B37" w:rsidR="00FF0111" w:rsidRDefault="00FF0111" w:rsidP="00FF0111">
      <w:pPr>
        <w:pStyle w:val="Heading4"/>
      </w:pPr>
      <w:bookmarkStart w:id="118" w:name="_ESXi_“Utilization”_counters"/>
      <w:bookmarkEnd w:id="118"/>
      <w:r w:rsidRPr="00A452F2">
        <w:t>Demand</w:t>
      </w:r>
    </w:p>
    <w:p w14:paraId="09A7773D" w14:textId="5893BCD6" w:rsidR="007B0873" w:rsidRPr="007B0873" w:rsidRDefault="007B0873" w:rsidP="007B0873">
      <w:pPr>
        <w:rPr>
          <w:lang w:val="en-GB" w:eastAsia="en-SG"/>
        </w:rPr>
      </w:pPr>
      <w:r>
        <w:rPr>
          <w:lang w:val="en-GB" w:eastAsia="en-SG"/>
        </w:rPr>
        <w:t>This is actually an internal counter. It’s for VMkernel CPU scheduler to optimize the running of VM as the kernel is aware that hyper-threading has performance impact. So it’s not a capacity counter.</w:t>
      </w:r>
    </w:p>
    <w:p w14:paraId="5482F554" w14:textId="77777777" w:rsidR="00FF0111" w:rsidRDefault="00FF0111" w:rsidP="00FF0111">
      <w:pPr>
        <w:rPr>
          <w:lang w:val="en-GB"/>
        </w:rPr>
      </w:pPr>
      <w:r>
        <w:rPr>
          <w:lang w:val="en-GB"/>
        </w:rPr>
        <w:lastRenderedPageBreak/>
        <w:t xml:space="preserve">Demand looks at different </w:t>
      </w:r>
      <w:r w:rsidRPr="007B0873">
        <w:rPr>
          <w:i/>
          <w:iCs/>
          <w:color w:val="FF0000"/>
          <w:lang w:val="en-GB"/>
        </w:rPr>
        <w:t>context</w:t>
      </w:r>
      <w:r w:rsidRPr="007B0873">
        <w:rPr>
          <w:color w:val="FF0000"/>
          <w:lang w:val="en-GB"/>
        </w:rPr>
        <w:t xml:space="preserve"> </w:t>
      </w:r>
      <w:r>
        <w:rPr>
          <w:lang w:val="en-GB"/>
        </w:rPr>
        <w:t>than Utilization/Used/Usage. It looks at the VM world, not the physical cores. That’s why it’s not available at per core or thread level. The value you see at ESXi is the summation of all the VMs, not logical CPU.</w:t>
      </w:r>
    </w:p>
    <w:p w14:paraId="3F0A7181" w14:textId="77777777" w:rsidR="00FF0111" w:rsidRDefault="00FF0111" w:rsidP="00FF0111">
      <w:pPr>
        <w:rPr>
          <w:lang w:val="en-GB"/>
        </w:rPr>
      </w:pPr>
      <w:r>
        <w:rPr>
          <w:lang w:val="en-GB"/>
        </w:rPr>
        <w:t>Because Demand considers all types of contention, as a result, its value tends to be higher than all the other metrics. It does not include the VMkernel load, so at lowly utilization, Demand will be lower than Usage.</w:t>
      </w:r>
    </w:p>
    <w:p w14:paraId="0EB1417A" w14:textId="77777777" w:rsidR="00FF0111" w:rsidRDefault="00FF0111" w:rsidP="00FF0111">
      <w:pPr>
        <w:rPr>
          <w:lang w:val="en-GB"/>
        </w:rPr>
      </w:pPr>
      <w:r>
        <w:rPr>
          <w:noProof/>
        </w:rPr>
        <w:drawing>
          <wp:inline distT="0" distB="0" distL="0" distR="0" wp14:anchorId="03EA5A87" wp14:editId="509F99D9">
            <wp:extent cx="6645910" cy="3598545"/>
            <wp:effectExtent l="0" t="0" r="2540" b="1905"/>
            <wp:docPr id="606394286" name="Picture 606394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86"/>
                    <pic:cNvPicPr/>
                  </pic:nvPicPr>
                  <pic:blipFill>
                    <a:blip r:embed="rId705" cstate="print">
                      <a:extLst>
                        <a:ext uri="{28A0092B-C50C-407E-A947-70E740481C1C}">
                          <a14:useLocalDpi xmlns:a14="http://schemas.microsoft.com/office/drawing/2010/main" val="0"/>
                        </a:ext>
                      </a:extLst>
                    </a:blip>
                    <a:stretch>
                      <a:fillRect/>
                    </a:stretch>
                  </pic:blipFill>
                  <pic:spPr>
                    <a:xfrm>
                      <a:off x="0" y="0"/>
                      <a:ext cx="6645910" cy="3598545"/>
                    </a:xfrm>
                    <a:prstGeom prst="rect">
                      <a:avLst/>
                    </a:prstGeom>
                  </pic:spPr>
                </pic:pic>
              </a:graphicData>
            </a:graphic>
          </wp:inline>
        </w:drawing>
      </w:r>
    </w:p>
    <w:p w14:paraId="4129901B" w14:textId="77777777" w:rsidR="00FF0111" w:rsidRDefault="00FF0111" w:rsidP="00FF0111">
      <w:pPr>
        <w:rPr>
          <w:lang w:val="en-GB"/>
        </w:rPr>
      </w:pPr>
      <w:r>
        <w:rPr>
          <w:lang w:val="en-GB"/>
        </w:rPr>
        <w:t>One good thing about Demand metric is it can go above 100%. All the other metrics are capped at 100%. Demands lets you see how high above 100% the demand. It does not mean the VM is experiencing performance, as there is Turbo Boost and Hyperthreading to assist.</w:t>
      </w:r>
    </w:p>
    <w:p w14:paraId="728A2AC8" w14:textId="77777777" w:rsidR="00FF0111" w:rsidRPr="00A452F2" w:rsidRDefault="00FF0111" w:rsidP="00FF0111">
      <w:pPr>
        <w:rPr>
          <w:lang w:val="en-GB"/>
        </w:rPr>
      </w:pPr>
      <w:r w:rsidRPr="00A452F2">
        <w:rPr>
          <w:lang w:val="en-GB"/>
        </w:rPr>
        <w:t>In older release of vRealize Operations, this counter used to be computed as Sum</w:t>
      </w:r>
      <w:r>
        <w:rPr>
          <w:lang w:val="en-GB"/>
        </w:rPr>
        <w:t xml:space="preserve"> </w:t>
      </w:r>
      <w:r w:rsidRPr="00A452F2">
        <w:rPr>
          <w:lang w:val="en-GB"/>
        </w:rPr>
        <w:t>(</w:t>
      </w:r>
      <w:r>
        <w:rPr>
          <w:lang w:val="en-GB"/>
        </w:rPr>
        <w:t xml:space="preserve"> </w:t>
      </w:r>
      <w:r w:rsidRPr="00A452F2">
        <w:rPr>
          <w:lang w:val="en-GB"/>
        </w:rPr>
        <w:t>VM</w:t>
      </w:r>
      <w:r>
        <w:rPr>
          <w:lang w:val="en-GB"/>
        </w:rPr>
        <w:t xml:space="preserve"> </w:t>
      </w:r>
      <w:r w:rsidRPr="00A452F2">
        <w:rPr>
          <w:lang w:val="en-GB"/>
        </w:rPr>
        <w:t>CPU</w:t>
      </w:r>
      <w:r>
        <w:rPr>
          <w:lang w:val="en-GB"/>
        </w:rPr>
        <w:t xml:space="preserve"> \ </w:t>
      </w:r>
      <w:r w:rsidRPr="00A452F2">
        <w:rPr>
          <w:lang w:val="en-GB"/>
        </w:rPr>
        <w:t>Host Demand for Aggregation</w:t>
      </w:r>
      <w:r>
        <w:rPr>
          <w:lang w:val="en-GB"/>
        </w:rPr>
        <w:t xml:space="preserve"> </w:t>
      </w:r>
      <w:r w:rsidRPr="00A452F2">
        <w:rPr>
          <w:lang w:val="en-GB"/>
        </w:rPr>
        <w:t>) + CPU</w:t>
      </w:r>
      <w:r>
        <w:rPr>
          <w:lang w:val="en-GB"/>
        </w:rPr>
        <w:t xml:space="preserve"> </w:t>
      </w:r>
      <w:r w:rsidRPr="00A452F2">
        <w:rPr>
          <w:lang w:val="en-GB"/>
        </w:rPr>
        <w:t>Overhead. This is no longer the case as vRealize Operations now simply maps to vCenter metric.</w:t>
      </w:r>
    </w:p>
    <w:p w14:paraId="27DE03D1" w14:textId="3323FF65" w:rsidR="00FF0111" w:rsidRPr="00A452F2" w:rsidRDefault="00DC35BE" w:rsidP="00FF0111">
      <w:pPr>
        <w:pStyle w:val="Heading4"/>
      </w:pPr>
      <w:bookmarkStart w:id="119" w:name="_Power_Management"/>
      <w:bookmarkStart w:id="120" w:name="_Simultaneous_Multithreading"/>
      <w:bookmarkStart w:id="121" w:name="_Contention_Metrics"/>
      <w:bookmarkEnd w:id="119"/>
      <w:bookmarkEnd w:id="120"/>
      <w:bookmarkEnd w:id="121"/>
      <w:r>
        <w:t>Consumption</w:t>
      </w:r>
      <w:r w:rsidR="00FF0111" w:rsidRPr="00A452F2">
        <w:t xml:space="preserve"> </w:t>
      </w:r>
      <w:r>
        <w:t>M</w:t>
      </w:r>
      <w:r w:rsidR="00FF0111">
        <w:t>etrics</w:t>
      </w:r>
    </w:p>
    <w:p w14:paraId="0B452EB0" w14:textId="77777777" w:rsidR="00FF0111" w:rsidRPr="00A452F2" w:rsidRDefault="00FF0111" w:rsidP="00FF0111">
      <w:pPr>
        <w:rPr>
          <w:lang w:val="en-GB"/>
        </w:rPr>
      </w:pPr>
      <w:r w:rsidRPr="00A452F2">
        <w:rPr>
          <w:lang w:val="en-GB"/>
        </w:rPr>
        <w:t xml:space="preserve">Let’s summarise the </w:t>
      </w:r>
      <w:r>
        <w:rPr>
          <w:lang w:val="en-GB"/>
        </w:rPr>
        <w:t>metrics</w:t>
      </w:r>
      <w:r w:rsidRPr="00A452F2">
        <w:rPr>
          <w:lang w:val="en-GB"/>
        </w:rPr>
        <w:t xml:space="preserve"> </w:t>
      </w:r>
      <w:r>
        <w:rPr>
          <w:lang w:val="en-GB"/>
        </w:rPr>
        <w:t>we have</w:t>
      </w:r>
      <w:r w:rsidRPr="00A452F2">
        <w:rPr>
          <w:lang w:val="en-GB"/>
        </w:rPr>
        <w:t xml:space="preserve"> covered so far. vCenter provides 6 </w:t>
      </w:r>
      <w:r>
        <w:rPr>
          <w:lang w:val="en-GB"/>
        </w:rPr>
        <w:t>metrics</w:t>
      </w:r>
      <w:r w:rsidRPr="00A452F2">
        <w:rPr>
          <w:lang w:val="en-GB"/>
        </w:rPr>
        <w:t xml:space="preserve"> to account for the utilization of ESXi CPU. </w:t>
      </w:r>
      <w:r>
        <w:rPr>
          <w:lang w:val="en-GB"/>
        </w:rPr>
        <w:t>Since esxtop uses the Used (%) metric but ESXi uses the Used (ms) metric in the vCenter client, I’m including both.</w:t>
      </w:r>
    </w:p>
    <w:p w14:paraId="781CCD88" w14:textId="77777777" w:rsidR="00FF0111" w:rsidRPr="00A452F2" w:rsidRDefault="00FF0111" w:rsidP="00FF0111">
      <w:pPr>
        <w:pStyle w:val="BeforeTable"/>
        <w:rPr>
          <w:lang w:val="en-GB"/>
        </w:rPr>
      </w:pPr>
    </w:p>
    <w:tbl>
      <w:tblPr>
        <w:tblStyle w:val="GridTable1Light-Accent1"/>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696"/>
        <w:gridCol w:w="1985"/>
        <w:gridCol w:w="1135"/>
        <w:gridCol w:w="1700"/>
        <w:gridCol w:w="1276"/>
        <w:gridCol w:w="1276"/>
      </w:tblGrid>
      <w:tr w:rsidR="00FF0111" w:rsidRPr="00E51A31" w14:paraId="2E3E9285" w14:textId="77777777" w:rsidTr="00281329">
        <w:trPr>
          <w:cnfStyle w:val="100000000000" w:firstRow="1" w:lastRow="0" w:firstColumn="0" w:lastColumn="0" w:oddVBand="0" w:evenVBand="0" w:oddHBand="0" w:evenHBand="0" w:firstRowFirstColumn="0" w:firstRowLastColumn="0" w:lastRowFirstColumn="0" w:lastRowLastColumn="0"/>
          <w:trHeight w:val="223"/>
          <w:jc w:val="center"/>
        </w:trPr>
        <w:tc>
          <w:tcPr>
            <w:cnfStyle w:val="001000000000" w:firstRow="0" w:lastRow="0" w:firstColumn="1" w:lastColumn="0" w:oddVBand="0" w:evenVBand="0" w:oddHBand="0" w:evenHBand="0" w:firstRowFirstColumn="0" w:firstRowLastColumn="0" w:lastRowFirstColumn="0" w:lastRowLastColumn="0"/>
            <w:tcW w:w="1696" w:type="dxa"/>
          </w:tcPr>
          <w:p w14:paraId="0405D212" w14:textId="77777777" w:rsidR="00FF0111" w:rsidRPr="00AE52FC" w:rsidRDefault="00FF0111" w:rsidP="00281329">
            <w:pPr>
              <w:pStyle w:val="Tableheading"/>
              <w:jc w:val="left"/>
            </w:pPr>
          </w:p>
        </w:tc>
        <w:tc>
          <w:tcPr>
            <w:tcW w:w="1985" w:type="dxa"/>
          </w:tcPr>
          <w:p w14:paraId="6E58B329" w14:textId="77777777" w:rsidR="00FF0111" w:rsidRPr="00AE52FC" w:rsidRDefault="00FF0111" w:rsidP="00281329">
            <w:pPr>
              <w:pStyle w:val="Tableheading"/>
              <w:cnfStyle w:val="100000000000" w:firstRow="1" w:lastRow="0" w:firstColumn="0" w:lastColumn="0" w:oddVBand="0" w:evenVBand="0" w:oddHBand="0" w:evenHBand="0" w:firstRowFirstColumn="0" w:firstRowLastColumn="0" w:lastRowFirstColumn="0" w:lastRowLastColumn="0"/>
            </w:pPr>
            <w:r w:rsidRPr="00AE52FC">
              <w:t>Available at</w:t>
            </w:r>
          </w:p>
        </w:tc>
        <w:tc>
          <w:tcPr>
            <w:tcW w:w="1135" w:type="dxa"/>
          </w:tcPr>
          <w:p w14:paraId="5BDE15B1" w14:textId="77777777" w:rsidR="00FF0111" w:rsidRPr="00AE52FC" w:rsidRDefault="00FF0111" w:rsidP="00281329">
            <w:pPr>
              <w:pStyle w:val="Tableheading"/>
              <w:cnfStyle w:val="100000000000" w:firstRow="1" w:lastRow="0" w:firstColumn="0" w:lastColumn="0" w:oddVBand="0" w:evenVBand="0" w:oddHBand="0" w:evenHBand="0" w:firstRowFirstColumn="0" w:firstRowLastColumn="0" w:lastRowFirstColumn="0" w:lastRowLastColumn="0"/>
            </w:pPr>
            <w:r w:rsidRPr="00AE52FC">
              <w:t>Unit</w:t>
            </w:r>
          </w:p>
        </w:tc>
        <w:tc>
          <w:tcPr>
            <w:tcW w:w="1700" w:type="dxa"/>
          </w:tcPr>
          <w:p w14:paraId="71F3136B" w14:textId="77777777" w:rsidR="00FF0111" w:rsidRPr="00AE52FC" w:rsidRDefault="00FF0111" w:rsidP="00281329">
            <w:pPr>
              <w:pStyle w:val="Tableheading"/>
              <w:cnfStyle w:val="100000000000" w:firstRow="1" w:lastRow="0" w:firstColumn="0" w:lastColumn="0" w:oddVBand="0" w:evenVBand="0" w:oddHBand="0" w:evenHBand="0" w:firstRowFirstColumn="0" w:firstRowLastColumn="0" w:lastRowFirstColumn="0" w:lastRowLastColumn="0"/>
            </w:pPr>
            <w:r w:rsidRPr="00AE52FC">
              <w:t>Source</w:t>
            </w:r>
          </w:p>
        </w:tc>
        <w:tc>
          <w:tcPr>
            <w:tcW w:w="1276" w:type="dxa"/>
          </w:tcPr>
          <w:p w14:paraId="153CF433" w14:textId="77777777" w:rsidR="00FF0111" w:rsidRPr="00AE52FC" w:rsidRDefault="00FF0111" w:rsidP="00281329">
            <w:pPr>
              <w:pStyle w:val="Tableheading"/>
              <w:cnfStyle w:val="100000000000" w:firstRow="1" w:lastRow="0" w:firstColumn="0" w:lastColumn="0" w:oddVBand="0" w:evenVBand="0" w:oddHBand="0" w:evenHBand="0" w:firstRowFirstColumn="0" w:firstRowLastColumn="0" w:lastRowFirstColumn="0" w:lastRowLastColumn="0"/>
            </w:pPr>
            <w:r>
              <w:t>HT</w:t>
            </w:r>
          </w:p>
        </w:tc>
        <w:tc>
          <w:tcPr>
            <w:tcW w:w="1276" w:type="dxa"/>
          </w:tcPr>
          <w:p w14:paraId="5E70F39C" w14:textId="77777777" w:rsidR="00FF0111" w:rsidRPr="00AE52FC" w:rsidRDefault="00FF0111" w:rsidP="00281329">
            <w:pPr>
              <w:pStyle w:val="Tableheading"/>
              <w:cnfStyle w:val="100000000000" w:firstRow="1" w:lastRow="0" w:firstColumn="0" w:lastColumn="0" w:oddVBand="0" w:evenVBand="0" w:oddHBand="0" w:evenHBand="0" w:firstRowFirstColumn="0" w:firstRowLastColumn="0" w:lastRowFirstColumn="0" w:lastRowLastColumn="0"/>
            </w:pPr>
            <w:r w:rsidRPr="00AE52FC">
              <w:t>CPU Speed</w:t>
            </w:r>
          </w:p>
        </w:tc>
      </w:tr>
      <w:tr w:rsidR="00FF0111" w:rsidRPr="00E51A31" w14:paraId="3A6E8FB2" w14:textId="77777777" w:rsidTr="00281329">
        <w:trPr>
          <w:jc w:val="center"/>
        </w:trPr>
        <w:tc>
          <w:tcPr>
            <w:cnfStyle w:val="001000000000" w:firstRow="0" w:lastRow="0" w:firstColumn="1" w:lastColumn="0" w:oddVBand="0" w:evenVBand="0" w:oddHBand="0" w:evenHBand="0" w:firstRowFirstColumn="0" w:firstRowLastColumn="0" w:lastRowFirstColumn="0" w:lastRowLastColumn="0"/>
            <w:tcW w:w="1696" w:type="dxa"/>
          </w:tcPr>
          <w:p w14:paraId="3187D2E8" w14:textId="77777777" w:rsidR="00FF0111" w:rsidRPr="00A452F2" w:rsidRDefault="00FF0111" w:rsidP="00281329">
            <w:pPr>
              <w:pStyle w:val="Tablecontent"/>
              <w:rPr>
                <w:lang w:val="en-GB"/>
              </w:rPr>
            </w:pPr>
            <w:r w:rsidRPr="00A452F2">
              <w:rPr>
                <w:lang w:val="en-GB"/>
              </w:rPr>
              <w:t>Utilization</w:t>
            </w:r>
          </w:p>
        </w:tc>
        <w:tc>
          <w:tcPr>
            <w:tcW w:w="1985" w:type="dxa"/>
          </w:tcPr>
          <w:p w14:paraId="42B2D8E9"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Thread level</w:t>
            </w:r>
          </w:p>
        </w:tc>
        <w:tc>
          <w:tcPr>
            <w:tcW w:w="1135" w:type="dxa"/>
          </w:tcPr>
          <w:p w14:paraId="6238392F"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w:t>
            </w:r>
          </w:p>
        </w:tc>
        <w:tc>
          <w:tcPr>
            <w:tcW w:w="1700" w:type="dxa"/>
          </w:tcPr>
          <w:p w14:paraId="21F6B869"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ESXi</w:t>
            </w:r>
          </w:p>
        </w:tc>
        <w:tc>
          <w:tcPr>
            <w:tcW w:w="1276" w:type="dxa"/>
          </w:tcPr>
          <w:p w14:paraId="110D630C" w14:textId="77777777" w:rsidR="00FF0111" w:rsidRPr="00A452F2" w:rsidRDefault="00FF0111" w:rsidP="00281329">
            <w:pPr>
              <w:pStyle w:val="Tablecontent"/>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2x</w:t>
            </w:r>
          </w:p>
        </w:tc>
        <w:tc>
          <w:tcPr>
            <w:tcW w:w="1276" w:type="dxa"/>
          </w:tcPr>
          <w:p w14:paraId="499D811A"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No</w:t>
            </w:r>
          </w:p>
        </w:tc>
      </w:tr>
      <w:tr w:rsidR="00FF0111" w:rsidRPr="00E51A31" w14:paraId="48BA80BE" w14:textId="77777777" w:rsidTr="00281329">
        <w:trPr>
          <w:jc w:val="center"/>
        </w:trPr>
        <w:tc>
          <w:tcPr>
            <w:cnfStyle w:val="001000000000" w:firstRow="0" w:lastRow="0" w:firstColumn="1" w:lastColumn="0" w:oddVBand="0" w:evenVBand="0" w:oddHBand="0" w:evenHBand="0" w:firstRowFirstColumn="0" w:firstRowLastColumn="0" w:lastRowFirstColumn="0" w:lastRowLastColumn="0"/>
            <w:tcW w:w="1696" w:type="dxa"/>
          </w:tcPr>
          <w:p w14:paraId="3E8B83EB" w14:textId="77777777" w:rsidR="00FF0111" w:rsidRPr="00A452F2" w:rsidRDefault="00FF0111" w:rsidP="00281329">
            <w:pPr>
              <w:pStyle w:val="Tablecontent"/>
              <w:rPr>
                <w:lang w:val="en-GB"/>
              </w:rPr>
            </w:pPr>
            <w:r w:rsidRPr="00A452F2">
              <w:rPr>
                <w:lang w:val="en-GB"/>
              </w:rPr>
              <w:t>Used</w:t>
            </w:r>
          </w:p>
        </w:tc>
        <w:tc>
          <w:tcPr>
            <w:tcW w:w="1985" w:type="dxa"/>
          </w:tcPr>
          <w:p w14:paraId="0950A990"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Thread level</w:t>
            </w:r>
          </w:p>
        </w:tc>
        <w:tc>
          <w:tcPr>
            <w:tcW w:w="1135" w:type="dxa"/>
          </w:tcPr>
          <w:p w14:paraId="7685AEF5"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ms</w:t>
            </w:r>
          </w:p>
        </w:tc>
        <w:tc>
          <w:tcPr>
            <w:tcW w:w="1700" w:type="dxa"/>
          </w:tcPr>
          <w:p w14:paraId="0195EF4F"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vCenter</w:t>
            </w:r>
          </w:p>
        </w:tc>
        <w:tc>
          <w:tcPr>
            <w:tcW w:w="1276" w:type="dxa"/>
          </w:tcPr>
          <w:p w14:paraId="700A5860" w14:textId="77777777" w:rsidR="00FF0111" w:rsidRDefault="00FF0111" w:rsidP="00281329">
            <w:pPr>
              <w:pStyle w:val="Tablecontent"/>
              <w:jc w:val="center"/>
              <w:cnfStyle w:val="000000000000" w:firstRow="0" w:lastRow="0" w:firstColumn="0" w:lastColumn="0" w:oddVBand="0" w:evenVBand="0" w:oddHBand="0" w:evenHBand="0" w:firstRowFirstColumn="0" w:firstRowLastColumn="0" w:lastRowFirstColumn="0" w:lastRowLastColumn="0"/>
              <w:rPr>
                <w:lang w:val="en-GB"/>
              </w:rPr>
            </w:pPr>
          </w:p>
        </w:tc>
        <w:tc>
          <w:tcPr>
            <w:tcW w:w="1276" w:type="dxa"/>
          </w:tcPr>
          <w:p w14:paraId="57ED614C"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E4268C">
              <w:rPr>
                <w:color w:val="FF0000"/>
                <w:lang w:val="en-GB"/>
              </w:rPr>
              <w:t>No</w:t>
            </w:r>
          </w:p>
        </w:tc>
      </w:tr>
      <w:tr w:rsidR="00FF0111" w:rsidRPr="00E51A31" w14:paraId="22AA7362" w14:textId="77777777" w:rsidTr="00281329">
        <w:trPr>
          <w:jc w:val="center"/>
        </w:trPr>
        <w:tc>
          <w:tcPr>
            <w:cnfStyle w:val="001000000000" w:firstRow="0" w:lastRow="0" w:firstColumn="1" w:lastColumn="0" w:oddVBand="0" w:evenVBand="0" w:oddHBand="0" w:evenHBand="0" w:firstRowFirstColumn="0" w:firstRowLastColumn="0" w:lastRowFirstColumn="0" w:lastRowLastColumn="0"/>
            <w:tcW w:w="1696" w:type="dxa"/>
          </w:tcPr>
          <w:p w14:paraId="35E9D496" w14:textId="77777777" w:rsidR="00FF0111" w:rsidRPr="00A452F2" w:rsidRDefault="00FF0111" w:rsidP="00281329">
            <w:pPr>
              <w:pStyle w:val="Tablecontent"/>
              <w:rPr>
                <w:lang w:val="en-GB"/>
              </w:rPr>
            </w:pPr>
            <w:r>
              <w:rPr>
                <w:lang w:val="en-GB"/>
              </w:rPr>
              <w:lastRenderedPageBreak/>
              <w:t>Used</w:t>
            </w:r>
          </w:p>
        </w:tc>
        <w:tc>
          <w:tcPr>
            <w:tcW w:w="1985" w:type="dxa"/>
          </w:tcPr>
          <w:p w14:paraId="668D56FB"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Thread level</w:t>
            </w:r>
          </w:p>
        </w:tc>
        <w:tc>
          <w:tcPr>
            <w:tcW w:w="1135" w:type="dxa"/>
          </w:tcPr>
          <w:p w14:paraId="574EC8E1"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w:t>
            </w:r>
          </w:p>
        </w:tc>
        <w:tc>
          <w:tcPr>
            <w:tcW w:w="1700" w:type="dxa"/>
          </w:tcPr>
          <w:p w14:paraId="047D3696"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esxtop only</w:t>
            </w:r>
          </w:p>
        </w:tc>
        <w:tc>
          <w:tcPr>
            <w:tcW w:w="1276" w:type="dxa"/>
          </w:tcPr>
          <w:p w14:paraId="52A3B99C" w14:textId="77777777" w:rsidR="00FF0111" w:rsidRDefault="00FF0111" w:rsidP="00281329">
            <w:pPr>
              <w:pStyle w:val="Tablecontent"/>
              <w:tabs>
                <w:tab w:val="left" w:pos="291"/>
              </w:tabs>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2x</w:t>
            </w:r>
          </w:p>
        </w:tc>
        <w:tc>
          <w:tcPr>
            <w:tcW w:w="1276" w:type="dxa"/>
          </w:tcPr>
          <w:p w14:paraId="6E147A73" w14:textId="77777777" w:rsidR="00FF0111" w:rsidRPr="00A452F2" w:rsidRDefault="00FF0111" w:rsidP="00281329">
            <w:pPr>
              <w:pStyle w:val="Tablecontent"/>
              <w:tabs>
                <w:tab w:val="left" w:pos="291"/>
              </w:tabs>
              <w:cnfStyle w:val="000000000000" w:firstRow="0" w:lastRow="0" w:firstColumn="0" w:lastColumn="0" w:oddVBand="0" w:evenVBand="0" w:oddHBand="0" w:evenHBand="0" w:firstRowFirstColumn="0" w:firstRowLastColumn="0" w:lastRowFirstColumn="0" w:lastRowLastColumn="0"/>
              <w:rPr>
                <w:lang w:val="en-GB"/>
              </w:rPr>
            </w:pPr>
            <w:r>
              <w:rPr>
                <w:lang w:val="en-GB"/>
              </w:rPr>
              <w:t>Yes</w:t>
            </w:r>
          </w:p>
        </w:tc>
      </w:tr>
      <w:tr w:rsidR="00FF0111" w:rsidRPr="00E51A31" w14:paraId="224F54FB" w14:textId="77777777" w:rsidTr="00281329">
        <w:trPr>
          <w:jc w:val="center"/>
        </w:trPr>
        <w:tc>
          <w:tcPr>
            <w:cnfStyle w:val="001000000000" w:firstRow="0" w:lastRow="0" w:firstColumn="1" w:lastColumn="0" w:oddVBand="0" w:evenVBand="0" w:oddHBand="0" w:evenHBand="0" w:firstRowFirstColumn="0" w:firstRowLastColumn="0" w:lastRowFirstColumn="0" w:lastRowLastColumn="0"/>
            <w:tcW w:w="1696" w:type="dxa"/>
          </w:tcPr>
          <w:p w14:paraId="001935C5" w14:textId="77777777" w:rsidR="00FF0111" w:rsidRPr="00A452F2" w:rsidRDefault="00FF0111" w:rsidP="00281329">
            <w:pPr>
              <w:pStyle w:val="Tablecontent"/>
              <w:rPr>
                <w:lang w:val="en-GB"/>
              </w:rPr>
            </w:pPr>
            <w:r w:rsidRPr="00A452F2">
              <w:rPr>
                <w:lang w:val="en-GB"/>
              </w:rPr>
              <w:t>Core Utilization</w:t>
            </w:r>
          </w:p>
        </w:tc>
        <w:tc>
          <w:tcPr>
            <w:tcW w:w="1985" w:type="dxa"/>
          </w:tcPr>
          <w:p w14:paraId="62307EC3"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Core </w:t>
            </w:r>
            <w:r w:rsidRPr="00A452F2">
              <w:rPr>
                <w:lang w:val="en-GB"/>
              </w:rPr>
              <w:t>level</w:t>
            </w:r>
          </w:p>
        </w:tc>
        <w:tc>
          <w:tcPr>
            <w:tcW w:w="1135" w:type="dxa"/>
          </w:tcPr>
          <w:p w14:paraId="797BE185"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w:t>
            </w:r>
          </w:p>
        </w:tc>
        <w:tc>
          <w:tcPr>
            <w:tcW w:w="1700" w:type="dxa"/>
          </w:tcPr>
          <w:p w14:paraId="20879B43"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ESXi</w:t>
            </w:r>
          </w:p>
        </w:tc>
        <w:tc>
          <w:tcPr>
            <w:tcW w:w="1276" w:type="dxa"/>
          </w:tcPr>
          <w:p w14:paraId="0D5C1B35" w14:textId="77777777" w:rsidR="00FF0111" w:rsidRPr="00A452F2" w:rsidRDefault="00FF0111" w:rsidP="00281329">
            <w:pPr>
              <w:pStyle w:val="Tablecontent"/>
              <w:jc w:val="center"/>
              <w:cnfStyle w:val="000000000000" w:firstRow="0" w:lastRow="0" w:firstColumn="0" w:lastColumn="0" w:oddVBand="0" w:evenVBand="0" w:oddHBand="0" w:evenHBand="0" w:firstRowFirstColumn="0" w:firstRowLastColumn="0" w:lastRowFirstColumn="0" w:lastRowLastColumn="0"/>
              <w:rPr>
                <w:lang w:val="en-GB"/>
              </w:rPr>
            </w:pPr>
            <w:r>
              <w:rPr>
                <w:lang w:val="en-GB"/>
              </w:rPr>
              <w:t>Any</w:t>
            </w:r>
          </w:p>
        </w:tc>
        <w:tc>
          <w:tcPr>
            <w:tcW w:w="1276" w:type="dxa"/>
          </w:tcPr>
          <w:p w14:paraId="218C66C5"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No</w:t>
            </w:r>
          </w:p>
        </w:tc>
      </w:tr>
      <w:tr w:rsidR="00FF0111" w:rsidRPr="00E51A31" w14:paraId="73410A01" w14:textId="77777777" w:rsidTr="00281329">
        <w:trPr>
          <w:jc w:val="center"/>
        </w:trPr>
        <w:tc>
          <w:tcPr>
            <w:cnfStyle w:val="001000000000" w:firstRow="0" w:lastRow="0" w:firstColumn="1" w:lastColumn="0" w:oddVBand="0" w:evenVBand="0" w:oddHBand="0" w:evenHBand="0" w:firstRowFirstColumn="0" w:firstRowLastColumn="0" w:lastRowFirstColumn="0" w:lastRowLastColumn="0"/>
            <w:tcW w:w="1696" w:type="dxa"/>
          </w:tcPr>
          <w:p w14:paraId="587BEA9D" w14:textId="77777777" w:rsidR="00FF0111" w:rsidRPr="00A452F2" w:rsidRDefault="00FF0111" w:rsidP="00281329">
            <w:pPr>
              <w:pStyle w:val="Tablecontent"/>
              <w:rPr>
                <w:lang w:val="en-GB"/>
              </w:rPr>
            </w:pPr>
            <w:r w:rsidRPr="00A452F2">
              <w:rPr>
                <w:lang w:val="en-GB"/>
              </w:rPr>
              <w:t>Usage</w:t>
            </w:r>
          </w:p>
        </w:tc>
        <w:tc>
          <w:tcPr>
            <w:tcW w:w="1985" w:type="dxa"/>
          </w:tcPr>
          <w:p w14:paraId="24E4632D"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Thread level</w:t>
            </w:r>
          </w:p>
        </w:tc>
        <w:tc>
          <w:tcPr>
            <w:tcW w:w="1135" w:type="dxa"/>
          </w:tcPr>
          <w:p w14:paraId="68BD7C87"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w:t>
            </w:r>
          </w:p>
        </w:tc>
        <w:tc>
          <w:tcPr>
            <w:tcW w:w="1700" w:type="dxa"/>
          </w:tcPr>
          <w:p w14:paraId="485F3650"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vCenter</w:t>
            </w:r>
          </w:p>
        </w:tc>
        <w:tc>
          <w:tcPr>
            <w:tcW w:w="1276" w:type="dxa"/>
          </w:tcPr>
          <w:p w14:paraId="07B36ACA" w14:textId="77777777" w:rsidR="00FF0111" w:rsidRPr="00A452F2" w:rsidRDefault="00FF0111" w:rsidP="00281329">
            <w:pPr>
              <w:pStyle w:val="Tablecontent"/>
              <w:jc w:val="center"/>
              <w:cnfStyle w:val="000000000000" w:firstRow="0" w:lastRow="0" w:firstColumn="0" w:lastColumn="0" w:oddVBand="0" w:evenVBand="0" w:oddHBand="0" w:evenHBand="0" w:firstRowFirstColumn="0" w:firstRowLastColumn="0" w:lastRowFirstColumn="0" w:lastRowLastColumn="0"/>
              <w:rPr>
                <w:lang w:val="en-GB"/>
              </w:rPr>
            </w:pPr>
          </w:p>
        </w:tc>
        <w:tc>
          <w:tcPr>
            <w:tcW w:w="1276" w:type="dxa"/>
          </w:tcPr>
          <w:p w14:paraId="0914850D"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Yes</w:t>
            </w:r>
          </w:p>
        </w:tc>
      </w:tr>
      <w:tr w:rsidR="00FF0111" w:rsidRPr="00E51A31" w14:paraId="7FD20031" w14:textId="77777777" w:rsidTr="00281329">
        <w:trPr>
          <w:jc w:val="center"/>
        </w:trPr>
        <w:tc>
          <w:tcPr>
            <w:cnfStyle w:val="001000000000" w:firstRow="0" w:lastRow="0" w:firstColumn="1" w:lastColumn="0" w:oddVBand="0" w:evenVBand="0" w:oddHBand="0" w:evenHBand="0" w:firstRowFirstColumn="0" w:firstRowLastColumn="0" w:lastRowFirstColumn="0" w:lastRowLastColumn="0"/>
            <w:tcW w:w="1696" w:type="dxa"/>
          </w:tcPr>
          <w:p w14:paraId="2129B0BE" w14:textId="77777777" w:rsidR="00FF0111" w:rsidRPr="00A452F2" w:rsidRDefault="00FF0111" w:rsidP="00281329">
            <w:pPr>
              <w:pStyle w:val="Tablecontent"/>
              <w:rPr>
                <w:lang w:val="en-GB"/>
              </w:rPr>
            </w:pPr>
            <w:r w:rsidRPr="00A452F2">
              <w:rPr>
                <w:lang w:val="en-GB"/>
              </w:rPr>
              <w:t>Usage in MHz</w:t>
            </w:r>
          </w:p>
        </w:tc>
        <w:tc>
          <w:tcPr>
            <w:tcW w:w="1985" w:type="dxa"/>
          </w:tcPr>
          <w:p w14:paraId="576E1D8C"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Host level</w:t>
            </w:r>
          </w:p>
        </w:tc>
        <w:tc>
          <w:tcPr>
            <w:tcW w:w="1135" w:type="dxa"/>
          </w:tcPr>
          <w:p w14:paraId="36706A5D"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MHz</w:t>
            </w:r>
          </w:p>
        </w:tc>
        <w:tc>
          <w:tcPr>
            <w:tcW w:w="1700" w:type="dxa"/>
          </w:tcPr>
          <w:p w14:paraId="11AD37D9"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vCenter</w:t>
            </w:r>
          </w:p>
        </w:tc>
        <w:tc>
          <w:tcPr>
            <w:tcW w:w="1276" w:type="dxa"/>
          </w:tcPr>
          <w:p w14:paraId="3D442CF0" w14:textId="77777777" w:rsidR="00FF0111" w:rsidRDefault="00FF0111" w:rsidP="00281329">
            <w:pPr>
              <w:pStyle w:val="Tablecontent"/>
              <w:jc w:val="center"/>
              <w:cnfStyle w:val="000000000000" w:firstRow="0" w:lastRow="0" w:firstColumn="0" w:lastColumn="0" w:oddVBand="0" w:evenVBand="0" w:oddHBand="0" w:evenHBand="0" w:firstRowFirstColumn="0" w:firstRowLastColumn="0" w:lastRowFirstColumn="0" w:lastRowLastColumn="0"/>
              <w:rPr>
                <w:lang w:val="en-GB"/>
              </w:rPr>
            </w:pPr>
          </w:p>
        </w:tc>
        <w:tc>
          <w:tcPr>
            <w:tcW w:w="1276" w:type="dxa"/>
          </w:tcPr>
          <w:p w14:paraId="7B7CDA5C"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Yes</w:t>
            </w:r>
          </w:p>
        </w:tc>
      </w:tr>
      <w:tr w:rsidR="00FF0111" w:rsidRPr="00E51A31" w14:paraId="3DF2A8BF" w14:textId="77777777" w:rsidTr="00281329">
        <w:trPr>
          <w:jc w:val="center"/>
        </w:trPr>
        <w:tc>
          <w:tcPr>
            <w:cnfStyle w:val="001000000000" w:firstRow="0" w:lastRow="0" w:firstColumn="1" w:lastColumn="0" w:oddVBand="0" w:evenVBand="0" w:oddHBand="0" w:evenHBand="0" w:firstRowFirstColumn="0" w:firstRowLastColumn="0" w:lastRowFirstColumn="0" w:lastRowLastColumn="0"/>
            <w:tcW w:w="1696" w:type="dxa"/>
          </w:tcPr>
          <w:p w14:paraId="365E52E9" w14:textId="77777777" w:rsidR="00FF0111" w:rsidRPr="00A452F2" w:rsidRDefault="00FF0111" w:rsidP="00281329">
            <w:pPr>
              <w:pStyle w:val="Tablecontent"/>
              <w:rPr>
                <w:lang w:val="en-GB"/>
              </w:rPr>
            </w:pPr>
            <w:r w:rsidRPr="00A452F2">
              <w:rPr>
                <w:lang w:val="en-GB"/>
              </w:rPr>
              <w:t>Demand</w:t>
            </w:r>
          </w:p>
        </w:tc>
        <w:tc>
          <w:tcPr>
            <w:tcW w:w="1985" w:type="dxa"/>
          </w:tcPr>
          <w:p w14:paraId="5B9F78E7"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Host level</w:t>
            </w:r>
          </w:p>
        </w:tc>
        <w:tc>
          <w:tcPr>
            <w:tcW w:w="1135" w:type="dxa"/>
          </w:tcPr>
          <w:p w14:paraId="0FEE21F8"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MHz</w:t>
            </w:r>
          </w:p>
        </w:tc>
        <w:tc>
          <w:tcPr>
            <w:tcW w:w="1700" w:type="dxa"/>
          </w:tcPr>
          <w:p w14:paraId="3D99D7B9"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ESXi</w:t>
            </w:r>
          </w:p>
        </w:tc>
        <w:tc>
          <w:tcPr>
            <w:tcW w:w="1276" w:type="dxa"/>
          </w:tcPr>
          <w:p w14:paraId="51F5A9A0" w14:textId="77777777" w:rsidR="00FF0111" w:rsidRDefault="00FF0111" w:rsidP="00281329">
            <w:pPr>
              <w:pStyle w:val="Tablecontent"/>
              <w:jc w:val="center"/>
              <w:cnfStyle w:val="000000000000" w:firstRow="0" w:lastRow="0" w:firstColumn="0" w:lastColumn="0" w:oddVBand="0" w:evenVBand="0" w:oddHBand="0" w:evenHBand="0" w:firstRowFirstColumn="0" w:firstRowLastColumn="0" w:lastRowFirstColumn="0" w:lastRowLastColumn="0"/>
              <w:rPr>
                <w:lang w:val="en-GB"/>
              </w:rPr>
            </w:pPr>
          </w:p>
        </w:tc>
        <w:tc>
          <w:tcPr>
            <w:tcW w:w="1276" w:type="dxa"/>
          </w:tcPr>
          <w:p w14:paraId="58793BA9" w14:textId="77777777" w:rsidR="00FF0111" w:rsidRPr="00A452F2" w:rsidRDefault="00FF011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Yes</w:t>
            </w:r>
          </w:p>
        </w:tc>
      </w:tr>
    </w:tbl>
    <w:p w14:paraId="214085E0" w14:textId="77777777" w:rsidR="00FF0111" w:rsidRDefault="00FF0111" w:rsidP="00FF0111">
      <w:pPr>
        <w:rPr>
          <w:lang w:val="en-GB"/>
        </w:rPr>
      </w:pPr>
      <w:r>
        <w:rPr>
          <w:lang w:val="en-GB"/>
        </w:rPr>
        <w:t>The column HT indicates how the counter treats HT. 2x means it doubles the number of capacity. I put “</w:t>
      </w:r>
      <w:r w:rsidRPr="005C4BA3">
        <w:rPr>
          <w:color w:val="00B0F0"/>
          <w:lang w:val="en-GB"/>
        </w:rPr>
        <w:t>Any</w:t>
      </w:r>
      <w:r>
        <w:rPr>
          <w:lang w:val="en-GB"/>
        </w:rPr>
        <w:t>” for Core Utilization because if any of the thread runs, the counter goes up to 100%. If both run, it’s still 100%.</w:t>
      </w:r>
    </w:p>
    <w:p w14:paraId="435C97B9" w14:textId="77777777" w:rsidR="00FF0111" w:rsidRPr="00A452F2" w:rsidRDefault="00FF0111" w:rsidP="00FF0111">
      <w:pPr>
        <w:rPr>
          <w:lang w:val="en-GB"/>
        </w:rPr>
      </w:pPr>
      <w:r w:rsidRPr="00A452F2">
        <w:rPr>
          <w:lang w:val="en-GB"/>
        </w:rPr>
        <w:t xml:space="preserve">You know that </w:t>
      </w:r>
      <w:r w:rsidRPr="003D4CF8">
        <w:rPr>
          <w:color w:val="00B0F0"/>
          <w:lang w:val="en-GB"/>
        </w:rPr>
        <w:t xml:space="preserve">only </w:t>
      </w:r>
      <w:r w:rsidRPr="00A452F2">
        <w:rPr>
          <w:lang w:val="en-GB"/>
        </w:rPr>
        <w:t>Utilization (%) and Used (%) exist at the thread level because they are the only one you see at esxtop</w:t>
      </w:r>
      <w:r w:rsidRPr="00A452F2">
        <w:rPr>
          <w:rStyle w:val="FootnoteReference"/>
          <w:lang w:val="en-GB"/>
        </w:rPr>
        <w:footnoteReference w:id="24"/>
      </w:r>
      <w:r>
        <w:rPr>
          <w:lang w:val="en-GB"/>
        </w:rPr>
        <w:t>, as shown below</w:t>
      </w:r>
      <w:r w:rsidRPr="00A452F2">
        <w:rPr>
          <w:lang w:val="en-GB"/>
        </w:rPr>
        <w:t xml:space="preserve">. </w:t>
      </w:r>
    </w:p>
    <w:p w14:paraId="52357AA2" w14:textId="77777777" w:rsidR="00FF0111" w:rsidRDefault="00FF0111" w:rsidP="00FF0111">
      <w:pPr>
        <w:jc w:val="center"/>
        <w:rPr>
          <w:lang w:val="en-GB"/>
        </w:rPr>
      </w:pPr>
      <w:r>
        <w:rPr>
          <w:noProof/>
        </w:rPr>
        <w:drawing>
          <wp:inline distT="0" distB="0" distL="0" distR="0" wp14:anchorId="02CA6428" wp14:editId="2970FE71">
            <wp:extent cx="5416828" cy="1530429"/>
            <wp:effectExtent l="0" t="0" r="0" b="0"/>
            <wp:docPr id="606394133" name="Picture 606394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33"/>
                    <pic:cNvPicPr/>
                  </pic:nvPicPr>
                  <pic:blipFill>
                    <a:blip r:embed="rId706">
                      <a:extLst>
                        <a:ext uri="{28A0092B-C50C-407E-A947-70E740481C1C}">
                          <a14:useLocalDpi xmlns:a14="http://schemas.microsoft.com/office/drawing/2010/main" val="0"/>
                        </a:ext>
                      </a:extLst>
                    </a:blip>
                    <a:stretch>
                      <a:fillRect/>
                    </a:stretch>
                  </pic:blipFill>
                  <pic:spPr>
                    <a:xfrm>
                      <a:off x="0" y="0"/>
                      <a:ext cx="5416828" cy="1530429"/>
                    </a:xfrm>
                    <a:prstGeom prst="rect">
                      <a:avLst/>
                    </a:prstGeom>
                  </pic:spPr>
                </pic:pic>
              </a:graphicData>
            </a:graphic>
          </wp:inline>
        </w:drawing>
      </w:r>
    </w:p>
    <w:p w14:paraId="68AE7E4D" w14:textId="77777777" w:rsidR="00FF0111" w:rsidRDefault="00FF0111" w:rsidP="00FF0111">
      <w:pPr>
        <w:rPr>
          <w:lang w:val="en-GB"/>
        </w:rPr>
      </w:pPr>
      <w:r>
        <w:rPr>
          <w:lang w:val="en-GB"/>
        </w:rPr>
        <w:t>With so many metrics, which one should you choose?</w:t>
      </w:r>
    </w:p>
    <w:p w14:paraId="09304DEE" w14:textId="77777777" w:rsidR="00FF0111" w:rsidRDefault="00FF0111" w:rsidP="00FF0111">
      <w:pPr>
        <w:rPr>
          <w:lang w:val="en-GB"/>
        </w:rPr>
      </w:pPr>
      <w:r>
        <w:rPr>
          <w:lang w:val="en-GB"/>
        </w:rPr>
        <w:t>Let’s now evaluate all the possible scenarios so you can compare the values returned by the metrics. We will use a simple ESXi with 2 cores. Each core has 2 threads. In each of the scenario, a thread is either running or not running. There is no partial run within a thread as that’s mathematically covered in our scenarios.</w:t>
      </w:r>
    </w:p>
    <w:p w14:paraId="1D2A63E7" w14:textId="77777777" w:rsidR="00FF0111" w:rsidRDefault="00FF0111" w:rsidP="00FF0111">
      <w:pPr>
        <w:rPr>
          <w:lang w:val="en-GB"/>
        </w:rPr>
      </w:pPr>
      <w:r>
        <w:rPr>
          <w:lang w:val="en-GB"/>
        </w:rPr>
        <w:t xml:space="preserve">I will also use 20000 ms as that’s more familiar. The following table shows an ESXi with 2 cores. There are 6 possible permutations in their utilization. </w:t>
      </w:r>
    </w:p>
    <w:p w14:paraId="7E47507C" w14:textId="77777777" w:rsidR="00FF0111" w:rsidRDefault="00FF0111" w:rsidP="00FF0111">
      <w:pPr>
        <w:rPr>
          <w:lang w:val="en-GB"/>
        </w:rPr>
      </w:pPr>
      <w:r>
        <w:rPr>
          <w:noProof/>
        </w:rPr>
        <w:drawing>
          <wp:inline distT="0" distB="0" distL="0" distR="0" wp14:anchorId="6EDE1075" wp14:editId="582A41C7">
            <wp:extent cx="6645910" cy="2596515"/>
            <wp:effectExtent l="0" t="0" r="2540" b="0"/>
            <wp:docPr id="606394308" name="Picture 606394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08"/>
                    <pic:cNvPicPr/>
                  </pic:nvPicPr>
                  <pic:blipFill>
                    <a:blip r:embed="rId707">
                      <a:extLst>
                        <a:ext uri="{28A0092B-C50C-407E-A947-70E740481C1C}">
                          <a14:useLocalDpi xmlns:a14="http://schemas.microsoft.com/office/drawing/2010/main" val="0"/>
                        </a:ext>
                      </a:extLst>
                    </a:blip>
                    <a:stretch>
                      <a:fillRect/>
                    </a:stretch>
                  </pic:blipFill>
                  <pic:spPr>
                    <a:xfrm>
                      <a:off x="0" y="0"/>
                      <a:ext cx="6645910" cy="2596515"/>
                    </a:xfrm>
                    <a:prstGeom prst="rect">
                      <a:avLst/>
                    </a:prstGeom>
                  </pic:spPr>
                </pic:pic>
              </a:graphicData>
            </a:graphic>
          </wp:inline>
        </w:drawing>
      </w:r>
    </w:p>
    <w:p w14:paraId="10E78E66" w14:textId="77777777" w:rsidR="00FF0111" w:rsidRDefault="00FF0111" w:rsidP="00FF0111">
      <w:pPr>
        <w:rPr>
          <w:lang w:val="en-GB"/>
        </w:rPr>
      </w:pPr>
      <w:r>
        <w:rPr>
          <w:lang w:val="en-GB"/>
        </w:rPr>
        <w:t xml:space="preserve">The table shows clearly that </w:t>
      </w:r>
      <w:r w:rsidRPr="00124A71">
        <w:rPr>
          <w:color w:val="00B0F0"/>
          <w:lang w:val="en-GB"/>
        </w:rPr>
        <w:t xml:space="preserve">Used </w:t>
      </w:r>
      <w:r>
        <w:rPr>
          <w:lang w:val="en-GB"/>
        </w:rPr>
        <w:t xml:space="preserve">splits the Utilization into 2 when both threads are running. </w:t>
      </w:r>
    </w:p>
    <w:p w14:paraId="1E4EA185" w14:textId="77777777" w:rsidR="00FF0111" w:rsidRDefault="00FF0111" w:rsidP="00FF0111">
      <w:pPr>
        <w:rPr>
          <w:lang w:val="en-GB"/>
        </w:rPr>
      </w:pPr>
      <w:r>
        <w:rPr>
          <w:lang w:val="en-GB"/>
        </w:rPr>
        <w:lastRenderedPageBreak/>
        <w:t xml:space="preserve">Look at scenario 1. While Utilization charges 20000 ms to each thread, Used charges 10000. This is not intuitive as ESXi considers HT to deliver 1.25x. Personally I find 12500 easier to understand. The good news is this number is normalized back when it is rolled up to the ESXi host level. </w:t>
      </w:r>
    </w:p>
    <w:p w14:paraId="49972336" w14:textId="77777777" w:rsidR="00FF0111" w:rsidRDefault="00FF0111" w:rsidP="00FF0111">
      <w:pPr>
        <w:rPr>
          <w:lang w:val="en-GB"/>
        </w:rPr>
      </w:pPr>
      <w:r>
        <w:rPr>
          <w:lang w:val="en-GB"/>
        </w:rPr>
        <w:t xml:space="preserve">How will those scenarios roll up at the ESXi level? </w:t>
      </w:r>
    </w:p>
    <w:p w14:paraId="462EBBCA" w14:textId="77777777" w:rsidR="00FF0111" w:rsidRDefault="00FF0111" w:rsidP="00FF0111">
      <w:pPr>
        <w:rPr>
          <w:lang w:val="en-GB"/>
        </w:rPr>
      </w:pPr>
      <w:r>
        <w:rPr>
          <w:lang w:val="en-GB"/>
        </w:rPr>
        <w:t>The following table shows the 4 metrics (Utilization, Used, Core Utilization, Usage). I have expressed each in % so it’s easier to compare.</w:t>
      </w:r>
    </w:p>
    <w:p w14:paraId="09E700D0" w14:textId="77777777" w:rsidR="00FF0111" w:rsidRDefault="00FF0111" w:rsidP="00FF0111">
      <w:pPr>
        <w:rPr>
          <w:lang w:val="en-GB"/>
        </w:rPr>
      </w:pPr>
      <w:r>
        <w:rPr>
          <w:lang w:val="en-GB"/>
        </w:rPr>
        <w:t xml:space="preserve">There are 6 different scenarios, so logically there should be 6 different values. But they are not, so I added my personal take on what I like them to show. I’m keen to hear your thought. </w:t>
      </w:r>
    </w:p>
    <w:p w14:paraId="7E16E986" w14:textId="77777777" w:rsidR="00FF0111" w:rsidRDefault="00FF0111" w:rsidP="00FF0111">
      <w:pPr>
        <w:jc w:val="center"/>
        <w:rPr>
          <w:lang w:val="en-GB"/>
        </w:rPr>
      </w:pPr>
      <w:r>
        <w:rPr>
          <w:noProof/>
        </w:rPr>
        <w:drawing>
          <wp:inline distT="0" distB="0" distL="0" distR="0" wp14:anchorId="682A5112" wp14:editId="3A752151">
            <wp:extent cx="6645910" cy="2017395"/>
            <wp:effectExtent l="0" t="0" r="2540" b="1905"/>
            <wp:docPr id="357815386" name="Picture 357815386"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86" name="Picture 357815386" descr="Table&#10;&#10;Description automatically generated with low confidence"/>
                    <pic:cNvPicPr/>
                  </pic:nvPicPr>
                  <pic:blipFill>
                    <a:blip r:embed="rId708"/>
                    <a:stretch>
                      <a:fillRect/>
                    </a:stretch>
                  </pic:blipFill>
                  <pic:spPr>
                    <a:xfrm>
                      <a:off x="0" y="0"/>
                      <a:ext cx="6645910" cy="2017395"/>
                    </a:xfrm>
                    <a:prstGeom prst="rect">
                      <a:avLst/>
                    </a:prstGeom>
                  </pic:spPr>
                </pic:pic>
              </a:graphicData>
            </a:graphic>
          </wp:inline>
        </w:drawing>
      </w:r>
    </w:p>
    <w:p w14:paraId="5009C233" w14:textId="77777777" w:rsidR="00FF0111" w:rsidRDefault="00FF0111" w:rsidP="00FF0111">
      <w:pPr>
        <w:rPr>
          <w:lang w:val="en-GB"/>
        </w:rPr>
      </w:pPr>
      <w:r>
        <w:rPr>
          <w:lang w:val="en-GB"/>
        </w:rPr>
        <w:t xml:space="preserve">What’s causing the difference? </w:t>
      </w:r>
    </w:p>
    <w:p w14:paraId="216BF692" w14:textId="77777777" w:rsidR="00FF0111" w:rsidRDefault="00FF0111" w:rsidP="00FF0111">
      <w:pPr>
        <w:rPr>
          <w:lang w:val="en-GB"/>
        </w:rPr>
      </w:pPr>
      <w:r>
        <w:rPr>
          <w:lang w:val="en-GB"/>
        </w:rPr>
        <w:t xml:space="preserve">Yup. Hyper Threading. </w:t>
      </w:r>
    </w:p>
    <w:p w14:paraId="45DF02ED" w14:textId="77777777" w:rsidR="00FF0111" w:rsidRDefault="00FF0111" w:rsidP="00FF0111">
      <w:pPr>
        <w:rPr>
          <w:lang w:val="en-GB"/>
        </w:rPr>
      </w:pPr>
      <w:r>
        <w:rPr>
          <w:lang w:val="en-GB"/>
        </w:rPr>
        <w:t xml:space="preserve">Why do I choose 125% instead of 100%? </w:t>
      </w:r>
    </w:p>
    <w:p w14:paraId="1780074E" w14:textId="77777777" w:rsidR="00FF0111" w:rsidRDefault="00FF0111" w:rsidP="00FF0111">
      <w:pPr>
        <w:rPr>
          <w:lang w:val="en-GB"/>
        </w:rPr>
      </w:pPr>
      <w:r>
        <w:rPr>
          <w:lang w:val="en-GB"/>
        </w:rPr>
        <w:t>To me, the 1.25x bonus factor has to be shown. Without HT, it’s 100%. HT is a bonus. While it provides 1.25x overall throughput, each thread pays an expensive price, as each suffers 37.5% penalty.</w:t>
      </w:r>
    </w:p>
    <w:p w14:paraId="25A50092" w14:textId="77777777" w:rsidR="00FF0111" w:rsidRDefault="00FF0111" w:rsidP="00FF0111">
      <w:pPr>
        <w:rPr>
          <w:lang w:val="en-GB"/>
        </w:rPr>
      </w:pPr>
      <w:r>
        <w:rPr>
          <w:lang w:val="en-GB"/>
        </w:rPr>
        <w:t>The other reason is why I choose 125% as the upper limit is it’s easier when thinking in GHz.</w:t>
      </w:r>
    </w:p>
    <w:p w14:paraId="4613B496" w14:textId="77777777" w:rsidR="00FF0111" w:rsidRDefault="00FF0111" w:rsidP="00FF0111">
      <w:pPr>
        <w:rPr>
          <w:lang w:val="en-GB"/>
        </w:rPr>
      </w:pPr>
      <w:r>
        <w:rPr>
          <w:lang w:val="en-GB"/>
        </w:rPr>
        <w:t>Example: say the CPU specification is 3 GHz for its nominal frequency. It has HT enabled, and power management disabled.</w:t>
      </w:r>
    </w:p>
    <w:p w14:paraId="7D03A645" w14:textId="77777777" w:rsidR="00FF0111" w:rsidRDefault="00FF0111" w:rsidP="00FF0111">
      <w:pPr>
        <w:rPr>
          <w:lang w:val="en-GB"/>
        </w:rPr>
      </w:pPr>
      <w:r>
        <w:rPr>
          <w:lang w:val="en-GB"/>
        </w:rPr>
        <w:t>What’s the CPU Capacity?</w:t>
      </w:r>
    </w:p>
    <w:p w14:paraId="100EA5B9" w14:textId="77777777" w:rsidR="00FF0111" w:rsidRDefault="00FF0111" w:rsidP="00FF0111">
      <w:pPr>
        <w:rPr>
          <w:lang w:val="en-GB"/>
        </w:rPr>
      </w:pPr>
      <w:r>
        <w:rPr>
          <w:lang w:val="en-GB"/>
        </w:rPr>
        <w:t xml:space="preserve">To me, 3 GHz is easier to explain than 3.75 GHz. It’s also more correct, as the CPU does not actually run at 3.75 GHz. It runs 2 threads at 3 GHz each, but at 62.5% efficiency, so accounting wise it’s </w:t>
      </w:r>
    </w:p>
    <w:p w14:paraId="1CF8590A" w14:textId="77777777" w:rsidR="00FF0111" w:rsidRDefault="00FF0111" w:rsidP="00FF0111">
      <w:pPr>
        <w:rPr>
          <w:lang w:val="en-GB"/>
        </w:rPr>
      </w:pPr>
      <w:r>
        <w:rPr>
          <w:lang w:val="en-GB"/>
        </w:rPr>
        <w:t>= 3 GHz x 62.5% + 3 GHz x 62.5%</w:t>
      </w:r>
    </w:p>
    <w:p w14:paraId="7E7C9C43" w14:textId="77777777" w:rsidR="00FF0111" w:rsidRDefault="00FF0111" w:rsidP="00FF0111">
      <w:pPr>
        <w:rPr>
          <w:lang w:val="en-GB"/>
        </w:rPr>
      </w:pPr>
      <w:r>
        <w:rPr>
          <w:lang w:val="en-GB"/>
        </w:rPr>
        <w:t>= 3.75 GHz, which is 125% of 3 GHz</w:t>
      </w:r>
    </w:p>
    <w:p w14:paraId="0D83A90F" w14:textId="77777777" w:rsidR="00FF0111" w:rsidRDefault="00FF0111" w:rsidP="00FF0111">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413"/>
        <w:gridCol w:w="9043"/>
      </w:tblGrid>
      <w:tr w:rsidR="00FF0111" w14:paraId="158B69B6" w14:textId="77777777" w:rsidTr="00281329">
        <w:tc>
          <w:tcPr>
            <w:tcW w:w="1413" w:type="dxa"/>
            <w:shd w:val="clear" w:color="auto" w:fill="F2F2F2" w:themeFill="background1" w:themeFillShade="F2"/>
          </w:tcPr>
          <w:p w14:paraId="0EF95B86" w14:textId="77777777" w:rsidR="00FF0111" w:rsidRDefault="00FF0111" w:rsidP="00281329">
            <w:pPr>
              <w:pStyle w:val="Tableheading"/>
            </w:pPr>
            <w:r>
              <w:t>Scenario</w:t>
            </w:r>
          </w:p>
        </w:tc>
        <w:tc>
          <w:tcPr>
            <w:tcW w:w="9043" w:type="dxa"/>
          </w:tcPr>
          <w:p w14:paraId="0F38EA91" w14:textId="77777777" w:rsidR="00FF0111" w:rsidRDefault="00FF0111" w:rsidP="00281329">
            <w:pPr>
              <w:pStyle w:val="Tableheading"/>
            </w:pPr>
            <w:r>
              <w:t>Analysis</w:t>
            </w:r>
          </w:p>
        </w:tc>
      </w:tr>
      <w:tr w:rsidR="00FF0111" w14:paraId="04F6F329" w14:textId="77777777" w:rsidTr="00281329">
        <w:tc>
          <w:tcPr>
            <w:tcW w:w="1413" w:type="dxa"/>
            <w:shd w:val="clear" w:color="auto" w:fill="F2F2F2" w:themeFill="background1" w:themeFillShade="F2"/>
          </w:tcPr>
          <w:p w14:paraId="206324F7" w14:textId="77777777" w:rsidR="00FF0111" w:rsidRDefault="00FF0111" w:rsidP="00281329">
            <w:pPr>
              <w:pStyle w:val="Tablecontent"/>
              <w:jc w:val="center"/>
            </w:pPr>
            <w:r>
              <w:t>1</w:t>
            </w:r>
          </w:p>
        </w:tc>
        <w:tc>
          <w:tcPr>
            <w:tcW w:w="9043" w:type="dxa"/>
          </w:tcPr>
          <w:p w14:paraId="168DD3E7" w14:textId="77777777" w:rsidR="00FF0111" w:rsidRDefault="00FF0111" w:rsidP="00281329">
            <w:pPr>
              <w:pStyle w:val="Tablecontent"/>
            </w:pPr>
            <w:r>
              <w:t>Do you notice something strange with the value of Used (%)?</w:t>
            </w:r>
          </w:p>
          <w:p w14:paraId="5A06F2EC" w14:textId="77777777" w:rsidR="00FF0111" w:rsidRDefault="00FF0111" w:rsidP="00281329">
            <w:pPr>
              <w:pStyle w:val="Tablecontent"/>
            </w:pPr>
            <w:r>
              <w:t>Yes, it’s no longer 50%. It’s 100%. The average of 50% is 100%</w:t>
            </w:r>
          </w:p>
          <w:p w14:paraId="57A235CE" w14:textId="77777777" w:rsidR="00FF0111" w:rsidRDefault="00FF0111" w:rsidP="00281329">
            <w:pPr>
              <w:pStyle w:val="Tablecontent"/>
            </w:pPr>
            <w:r>
              <w:t>The reason is the accounting does not count each thread as 20000. Each core has 20000 and not 40000. If you say that is similar behaviour to Core Utilization, you’re right.</w:t>
            </w:r>
          </w:p>
        </w:tc>
      </w:tr>
      <w:tr w:rsidR="00FF0111" w14:paraId="0FE18ED6" w14:textId="77777777" w:rsidTr="00281329">
        <w:tc>
          <w:tcPr>
            <w:tcW w:w="1413" w:type="dxa"/>
            <w:shd w:val="clear" w:color="auto" w:fill="F2F2F2" w:themeFill="background1" w:themeFillShade="F2"/>
          </w:tcPr>
          <w:p w14:paraId="10DB1EC6" w14:textId="77777777" w:rsidR="00FF0111" w:rsidRDefault="00FF0111" w:rsidP="00281329">
            <w:pPr>
              <w:pStyle w:val="Tablecontent"/>
              <w:jc w:val="center"/>
            </w:pPr>
            <w:r>
              <w:t>3</w:t>
            </w:r>
          </w:p>
        </w:tc>
        <w:tc>
          <w:tcPr>
            <w:tcW w:w="9043" w:type="dxa"/>
          </w:tcPr>
          <w:p w14:paraId="41385238" w14:textId="77777777" w:rsidR="00FF0111" w:rsidRDefault="00FF0111" w:rsidP="00281329">
            <w:pPr>
              <w:pStyle w:val="Tablecontent"/>
            </w:pPr>
            <w:r w:rsidRPr="00A548DF">
              <w:t xml:space="preserve">Utilization is only showing 50% when both cores are utilized. </w:t>
            </w:r>
            <w:r>
              <w:t>I prefer</w:t>
            </w:r>
            <w:r w:rsidRPr="00A548DF">
              <w:t xml:space="preserve"> this </w:t>
            </w:r>
            <w:r>
              <w:t>to</w:t>
            </w:r>
            <w:r w:rsidRPr="00A548DF">
              <w:t xml:space="preserve"> show 80% as HT only delivers 1.25x</w:t>
            </w:r>
            <w:r>
              <w:t>,</w:t>
            </w:r>
            <w:r w:rsidRPr="00A548DF">
              <w:t xml:space="preserve"> not 2x</w:t>
            </w:r>
            <w:r>
              <w:t>.</w:t>
            </w:r>
          </w:p>
          <w:p w14:paraId="28B70257" w14:textId="77777777" w:rsidR="00FF0111" w:rsidRDefault="00FF0111" w:rsidP="00281329">
            <w:pPr>
              <w:pStyle w:val="Tablecontent"/>
            </w:pPr>
            <w:r>
              <w:lastRenderedPageBreak/>
              <w:t xml:space="preserve">On the other hand, </w:t>
            </w:r>
            <w:r w:rsidRPr="00A548DF">
              <w:rPr>
                <w:lang w:val="en-GB"/>
              </w:rPr>
              <w:t>Usage goes up too fast. It's already showing 100% when there is still 25% room left</w:t>
            </w:r>
            <w:r>
              <w:rPr>
                <w:lang w:val="en-GB"/>
              </w:rPr>
              <w:t>.</w:t>
            </w:r>
          </w:p>
        </w:tc>
      </w:tr>
      <w:tr w:rsidR="00FF0111" w14:paraId="026B474B" w14:textId="77777777" w:rsidTr="00281329">
        <w:tc>
          <w:tcPr>
            <w:tcW w:w="1413" w:type="dxa"/>
            <w:shd w:val="clear" w:color="auto" w:fill="F2F2F2" w:themeFill="background1" w:themeFillShade="F2"/>
          </w:tcPr>
          <w:p w14:paraId="5B31694E" w14:textId="77777777" w:rsidR="00FF0111" w:rsidRDefault="00FF0111" w:rsidP="00281329">
            <w:pPr>
              <w:pStyle w:val="Tablecontent"/>
              <w:jc w:val="center"/>
            </w:pPr>
            <w:r>
              <w:lastRenderedPageBreak/>
              <w:t>5</w:t>
            </w:r>
          </w:p>
        </w:tc>
        <w:tc>
          <w:tcPr>
            <w:tcW w:w="9043" w:type="dxa"/>
          </w:tcPr>
          <w:p w14:paraId="11A1ACB5" w14:textId="77777777" w:rsidR="00FF0111" w:rsidRPr="00A548DF" w:rsidRDefault="00FF0111" w:rsidP="00281329">
            <w:pPr>
              <w:pStyle w:val="Tablecontent"/>
            </w:pPr>
            <w:r>
              <w:t>Utilization is again showing too low a value, and Usage too high a value.</w:t>
            </w:r>
          </w:p>
        </w:tc>
      </w:tr>
    </w:tbl>
    <w:p w14:paraId="689AA9D0" w14:textId="77777777" w:rsidR="00FF0111" w:rsidRDefault="00FF0111" w:rsidP="00FF0111">
      <w:pPr>
        <w:rPr>
          <w:lang w:val="en-GB"/>
        </w:rPr>
      </w:pPr>
      <w:r>
        <w:rPr>
          <w:lang w:val="en-GB"/>
        </w:rPr>
        <w:t>Now let’s add CPU clock speed. What happens when there is power management?</w:t>
      </w:r>
    </w:p>
    <w:p w14:paraId="107178CB" w14:textId="77777777" w:rsidR="00FF0111" w:rsidRDefault="00FF0111" w:rsidP="00FF0111">
      <w:pPr>
        <w:rPr>
          <w:lang w:val="en-GB"/>
        </w:rPr>
      </w:pPr>
      <w:r>
        <w:rPr>
          <w:lang w:val="en-GB"/>
        </w:rPr>
        <w:t xml:space="preserve">I’d focus on just Used and Usage to highlight the difference. </w:t>
      </w:r>
    </w:p>
    <w:p w14:paraId="6C33C143" w14:textId="77777777" w:rsidR="00FF0111" w:rsidRDefault="00FF0111" w:rsidP="00FF0111">
      <w:pPr>
        <w:rPr>
          <w:lang w:val="en-GB"/>
        </w:rPr>
      </w:pPr>
      <w:r>
        <w:rPr>
          <w:lang w:val="en-GB"/>
        </w:rPr>
        <w:t xml:space="preserve">What do you notice from the table below? </w:t>
      </w:r>
    </w:p>
    <w:p w14:paraId="188A060D" w14:textId="77777777" w:rsidR="00FF0111" w:rsidRDefault="00FF0111" w:rsidP="00FF0111">
      <w:pPr>
        <w:jc w:val="center"/>
        <w:rPr>
          <w:lang w:val="en-GB"/>
        </w:rPr>
      </w:pPr>
      <w:r>
        <w:rPr>
          <w:noProof/>
        </w:rPr>
        <w:drawing>
          <wp:inline distT="0" distB="0" distL="0" distR="0" wp14:anchorId="3A8BEAFB" wp14:editId="24C26EC2">
            <wp:extent cx="5292000" cy="1681200"/>
            <wp:effectExtent l="0" t="0" r="4445" b="0"/>
            <wp:docPr id="1709717436" name="Picture 170971743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9717436" name="Picture 1709717436" descr="Table&#10;&#10;Description automatically generated"/>
                    <pic:cNvPicPr/>
                  </pic:nvPicPr>
                  <pic:blipFill>
                    <a:blip r:embed="rId709"/>
                    <a:stretch>
                      <a:fillRect/>
                    </a:stretch>
                  </pic:blipFill>
                  <pic:spPr>
                    <a:xfrm>
                      <a:off x="0" y="0"/>
                      <a:ext cx="5292000" cy="1681200"/>
                    </a:xfrm>
                    <a:prstGeom prst="rect">
                      <a:avLst/>
                    </a:prstGeom>
                  </pic:spPr>
                </pic:pic>
              </a:graphicData>
            </a:graphic>
          </wp:inline>
        </w:drawing>
      </w:r>
    </w:p>
    <w:p w14:paraId="0216EAFB" w14:textId="77777777" w:rsidR="00FF0111" w:rsidRDefault="00FF0111" w:rsidP="00FF0111">
      <w:pPr>
        <w:rPr>
          <w:lang w:val="en-GB"/>
        </w:rPr>
      </w:pPr>
      <w:r>
        <w:rPr>
          <w:lang w:val="en-GB"/>
        </w:rPr>
        <w:t xml:space="preserve">Both Used and </w:t>
      </w:r>
      <w:r w:rsidRPr="00A548DF">
        <w:rPr>
          <w:lang w:val="en-GB"/>
        </w:rPr>
        <w:t>Usage</w:t>
      </w:r>
      <w:r>
        <w:rPr>
          <w:lang w:val="en-GB"/>
        </w:rPr>
        <w:t xml:space="preserve"> are </w:t>
      </w:r>
      <w:r w:rsidRPr="00A548DF">
        <w:rPr>
          <w:lang w:val="en-GB"/>
        </w:rPr>
        <w:t xml:space="preserve">capped at 100%. </w:t>
      </w:r>
      <w:r>
        <w:rPr>
          <w:lang w:val="en-GB"/>
        </w:rPr>
        <w:t>I prefer</w:t>
      </w:r>
      <w:r w:rsidRPr="00A548DF">
        <w:rPr>
          <w:lang w:val="en-GB"/>
        </w:rPr>
        <w:t xml:space="preserve"> this </w:t>
      </w:r>
      <w:r>
        <w:rPr>
          <w:lang w:val="en-GB"/>
        </w:rPr>
        <w:t>not to be capped</w:t>
      </w:r>
      <w:r w:rsidRPr="00A548DF">
        <w:rPr>
          <w:lang w:val="en-GB"/>
        </w:rPr>
        <w:t>, to distinguish it from the other 100%</w:t>
      </w:r>
      <w:r>
        <w:rPr>
          <w:lang w:val="en-GB"/>
        </w:rPr>
        <w:t>. The good part is Demand metric is not.</w:t>
      </w:r>
    </w:p>
    <w:p w14:paraId="444152E2" w14:textId="77777777" w:rsidR="00FF0111" w:rsidRDefault="00FF0111" w:rsidP="00FF0111">
      <w:pPr>
        <w:rPr>
          <w:lang w:val="en-GB"/>
        </w:rPr>
      </w:pPr>
      <w:r>
        <w:rPr>
          <w:lang w:val="en-GB"/>
        </w:rPr>
        <w:t>For comparison, I put forth what I think the counter should be.</w:t>
      </w:r>
    </w:p>
    <w:p w14:paraId="19158EAF" w14:textId="77777777" w:rsidR="00FF0111" w:rsidRDefault="00FF0111" w:rsidP="00FF0111">
      <w:pPr>
        <w:rPr>
          <w:lang w:val="en-GB"/>
        </w:rPr>
      </w:pPr>
      <w:r>
        <w:rPr>
          <w:lang w:val="en-GB"/>
        </w:rPr>
        <w:t>Let’s take some ESXi hosts running production workload to see how the values compare in real world. Each row represents an ESXi host. What’s your conclusion from reviewing the following table?</w:t>
      </w:r>
    </w:p>
    <w:p w14:paraId="6B0F8D3D" w14:textId="77777777" w:rsidR="00FF0111" w:rsidRDefault="00FF0111" w:rsidP="00FF0111">
      <w:pPr>
        <w:jc w:val="center"/>
        <w:rPr>
          <w:lang w:val="en-GB"/>
        </w:rPr>
      </w:pPr>
      <w:r>
        <w:rPr>
          <w:noProof/>
        </w:rPr>
        <w:drawing>
          <wp:inline distT="0" distB="0" distL="0" distR="0" wp14:anchorId="521FDE92" wp14:editId="2BAA5591">
            <wp:extent cx="6134400" cy="3294000"/>
            <wp:effectExtent l="0" t="0" r="0" b="1905"/>
            <wp:docPr id="606394333" name="Picture 606394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33"/>
                    <pic:cNvPicPr/>
                  </pic:nvPicPr>
                  <pic:blipFill>
                    <a:blip r:embed="rId710" cstate="print">
                      <a:extLst>
                        <a:ext uri="{28A0092B-C50C-407E-A947-70E740481C1C}">
                          <a14:useLocalDpi xmlns:a14="http://schemas.microsoft.com/office/drawing/2010/main" val="0"/>
                        </a:ext>
                      </a:extLst>
                    </a:blip>
                    <a:stretch>
                      <a:fillRect/>
                    </a:stretch>
                  </pic:blipFill>
                  <pic:spPr>
                    <a:xfrm>
                      <a:off x="0" y="0"/>
                      <a:ext cx="6134400" cy="3294000"/>
                    </a:xfrm>
                    <a:prstGeom prst="rect">
                      <a:avLst/>
                    </a:prstGeom>
                  </pic:spPr>
                </pic:pic>
              </a:graphicData>
            </a:graphic>
          </wp:inline>
        </w:drawing>
      </w:r>
    </w:p>
    <w:p w14:paraId="4EAA49CE" w14:textId="6FD01193" w:rsidR="00FF0111" w:rsidRDefault="00FF0111" w:rsidP="00FF0111">
      <w:pPr>
        <w:tabs>
          <w:tab w:val="right" w:pos="10466"/>
        </w:tabs>
        <w:rPr>
          <w:lang w:val="en-GB"/>
        </w:rPr>
      </w:pPr>
      <w:r>
        <w:rPr>
          <w:lang w:val="en-GB"/>
        </w:rPr>
        <w:t xml:space="preserve">I’ve marked two of the rows with a </w:t>
      </w:r>
      <w:r w:rsidR="00CF7D2C" w:rsidRPr="00CF7D2C">
        <w:rPr>
          <w:color w:val="FF0000"/>
          <w:lang w:val="en-GB"/>
        </w:rPr>
        <w:t>red</w:t>
      </w:r>
      <w:r w:rsidRPr="00227CE3">
        <w:rPr>
          <w:color w:val="FF0000"/>
          <w:lang w:val="en-GB"/>
        </w:rPr>
        <w:t xml:space="preserve"> dot</w:t>
      </w:r>
      <w:r>
        <w:rPr>
          <w:lang w:val="en-GB"/>
        </w:rPr>
        <w:t xml:space="preserve">. </w:t>
      </w:r>
    </w:p>
    <w:p w14:paraId="75DE4C5C" w14:textId="77777777" w:rsidR="00FF0111" w:rsidRDefault="00FF0111" w:rsidP="00FF0111">
      <w:pPr>
        <w:pStyle w:val="Bullet"/>
        <w:rPr>
          <w:lang w:val="en-GB"/>
        </w:rPr>
      </w:pPr>
      <w:r>
        <w:rPr>
          <w:lang w:val="en-GB"/>
        </w:rPr>
        <w:t>The first one happens because of CPU scaling. Not all cores are busy, since Core Utilization shows 72%. The busy ones were dynamically boosted by VMkernel by an average of 21%, hence the Usage counter registers 88%</w:t>
      </w:r>
    </w:p>
    <w:p w14:paraId="6C244E2B" w14:textId="77777777" w:rsidR="00FF0111" w:rsidRDefault="00FF0111" w:rsidP="00FF0111">
      <w:pPr>
        <w:pStyle w:val="Bullet"/>
        <w:rPr>
          <w:lang w:val="en-GB"/>
        </w:rPr>
      </w:pPr>
      <w:r>
        <w:rPr>
          <w:lang w:val="en-GB"/>
        </w:rPr>
        <w:lastRenderedPageBreak/>
        <w:t>The second example is the opposite. This ESXi is not even 50% utilized, as the core utilization shows 48.88%. VMkernel decides that it could complete the job with less power, and clocks down by an average of 43%.</w:t>
      </w:r>
    </w:p>
    <w:p w14:paraId="47D7C56D" w14:textId="77777777" w:rsidR="00FF0111" w:rsidRDefault="00FF0111" w:rsidP="00FF0111">
      <w:pPr>
        <w:tabs>
          <w:tab w:val="right" w:pos="10466"/>
        </w:tabs>
        <w:rPr>
          <w:lang w:val="en-GB"/>
        </w:rPr>
      </w:pPr>
      <w:r>
        <w:rPr>
          <w:lang w:val="en-GB"/>
        </w:rPr>
        <w:t xml:space="preserve">Notice that Usage (%) does not count the hyperthreading. The Total Capacity metric is simply based on cores x nominal speed. </w:t>
      </w:r>
    </w:p>
    <w:p w14:paraId="3BBDBF8A" w14:textId="77777777" w:rsidR="00FF0111" w:rsidRDefault="00FF0111" w:rsidP="00FF0111">
      <w:pPr>
        <w:tabs>
          <w:tab w:val="right" w:pos="10466"/>
        </w:tabs>
        <w:rPr>
          <w:lang w:val="en-GB"/>
        </w:rPr>
      </w:pPr>
      <w:r>
        <w:rPr>
          <w:lang w:val="en-GB"/>
        </w:rPr>
        <w:t xml:space="preserve">Now that we know more about the metrics, which ones should we use and how? </w:t>
      </w:r>
    </w:p>
    <w:p w14:paraId="7969DBE8" w14:textId="77777777" w:rsidR="00FF0111" w:rsidRDefault="00FF0111" w:rsidP="00FF0111">
      <w:pPr>
        <w:tabs>
          <w:tab w:val="right" w:pos="10466"/>
        </w:tabs>
        <w:rPr>
          <w:lang w:val="en-GB"/>
        </w:rPr>
      </w:pPr>
      <w:r>
        <w:rPr>
          <w:lang w:val="en-GB"/>
        </w:rPr>
        <w:t>To answer that, we need to first determine the “</w:t>
      </w:r>
      <w:r w:rsidRPr="00573619">
        <w:rPr>
          <w:color w:val="00B0F0"/>
          <w:lang w:val="en-GB"/>
        </w:rPr>
        <w:t>100%</w:t>
      </w:r>
      <w:r>
        <w:rPr>
          <w:lang w:val="en-GB"/>
        </w:rPr>
        <w:t xml:space="preserve">”. That’s the ceiling, the total capacity. </w:t>
      </w:r>
    </w:p>
    <w:p w14:paraId="4AF783A7" w14:textId="3210719C" w:rsidR="00FF0111" w:rsidRDefault="00FF0111" w:rsidP="00FF0111">
      <w:pPr>
        <w:pStyle w:val="Heading4"/>
      </w:pPr>
      <w:r>
        <w:t>Consumed</w:t>
      </w:r>
    </w:p>
    <w:p w14:paraId="7231EF9B" w14:textId="77777777" w:rsidR="00677510" w:rsidRDefault="00677510" w:rsidP="00FF0111">
      <w:pPr>
        <w:rPr>
          <w:lang w:val="en-GB"/>
        </w:rPr>
      </w:pPr>
      <w:r>
        <w:rPr>
          <w:lang w:val="en-GB"/>
        </w:rPr>
        <w:t xml:space="preserve">vSphere Client introduces a new counter: Consumed. </w:t>
      </w:r>
    </w:p>
    <w:p w14:paraId="14826B4C" w14:textId="0F20D985" w:rsidR="00FF0111" w:rsidRPr="004D1E0C" w:rsidRDefault="00677510" w:rsidP="00FF0111">
      <w:pPr>
        <w:rPr>
          <w:lang w:val="en-GB"/>
        </w:rPr>
      </w:pPr>
      <w:r>
        <w:rPr>
          <w:lang w:val="en-GB"/>
        </w:rPr>
        <w:t xml:space="preserve">What does it map to? </w:t>
      </w:r>
    </w:p>
    <w:p w14:paraId="46B95B77" w14:textId="77777777" w:rsidR="00677510" w:rsidRDefault="00677510" w:rsidP="00677510">
      <w:pPr>
        <w:rPr>
          <w:lang w:val="en-GB"/>
        </w:rPr>
      </w:pPr>
      <w:r>
        <w:rPr>
          <w:lang w:val="en-GB"/>
        </w:rPr>
        <w:t>When vSphere UI lists ESXi Hosts, it typically includes the present utilization. It lists the metrics as Consumed CPU (%) and Consumed Memory (%).</w:t>
      </w:r>
    </w:p>
    <w:p w14:paraId="6A5AFCFA" w14:textId="77777777" w:rsidR="00FF0111" w:rsidRDefault="00FF0111" w:rsidP="00FF0111">
      <w:pPr>
        <w:rPr>
          <w:lang w:val="en-GB"/>
        </w:rPr>
      </w:pPr>
      <w:r w:rsidRPr="0042732E">
        <w:rPr>
          <w:noProof/>
          <w:lang w:val="en-GB"/>
        </w:rPr>
        <w:drawing>
          <wp:inline distT="0" distB="0" distL="0" distR="0" wp14:anchorId="3FA09961" wp14:editId="0F28E4AD">
            <wp:extent cx="6645910" cy="1443355"/>
            <wp:effectExtent l="0" t="0" r="2540" b="4445"/>
            <wp:docPr id="31" name="Picture 3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Graphical user interface, application&#10;&#10;Description automatically generated"/>
                    <pic:cNvPicPr/>
                  </pic:nvPicPr>
                  <pic:blipFill>
                    <a:blip r:embed="rId711"/>
                    <a:stretch>
                      <a:fillRect/>
                    </a:stretch>
                  </pic:blipFill>
                  <pic:spPr>
                    <a:xfrm>
                      <a:off x="0" y="0"/>
                      <a:ext cx="6645910" cy="1443355"/>
                    </a:xfrm>
                    <a:prstGeom prst="rect">
                      <a:avLst/>
                    </a:prstGeom>
                  </pic:spPr>
                </pic:pic>
              </a:graphicData>
            </a:graphic>
          </wp:inline>
        </w:drawing>
      </w:r>
    </w:p>
    <w:p w14:paraId="3FA7EFC4" w14:textId="3140044D" w:rsidR="00FF0111" w:rsidRDefault="00FF0111" w:rsidP="00FF0111">
      <w:pPr>
        <w:rPr>
          <w:lang w:val="en-GB"/>
        </w:rPr>
      </w:pPr>
      <w:r>
        <w:rPr>
          <w:lang w:val="en-GB"/>
        </w:rPr>
        <w:t>Consumed CPU maps to CPU Usage (%). Consumed Memory (%) maps to Memory Consumed (KB).</w:t>
      </w:r>
    </w:p>
    <w:p w14:paraId="28A61017" w14:textId="77777777" w:rsidR="00FF0111" w:rsidRDefault="00FF0111" w:rsidP="00FF0111">
      <w:pPr>
        <w:rPr>
          <w:lang w:val="en-GB"/>
        </w:rPr>
      </w:pPr>
      <w:r>
        <w:rPr>
          <w:lang w:val="en-GB"/>
        </w:rPr>
        <w:t>To confirm it, simply plot CPU Usage value. The last value is what you see at the table.</w:t>
      </w:r>
    </w:p>
    <w:p w14:paraId="05C40CB0" w14:textId="77777777" w:rsidR="00FF0111" w:rsidRDefault="00FF0111" w:rsidP="00FF0111">
      <w:pPr>
        <w:jc w:val="center"/>
        <w:rPr>
          <w:lang w:val="en-GB"/>
        </w:rPr>
      </w:pPr>
      <w:r w:rsidRPr="00AE3826">
        <w:rPr>
          <w:noProof/>
          <w:lang w:val="en-GB"/>
        </w:rPr>
        <w:drawing>
          <wp:inline distT="0" distB="0" distL="0" distR="0" wp14:anchorId="2ED96A6F" wp14:editId="65D4F6E5">
            <wp:extent cx="5410800" cy="2545200"/>
            <wp:effectExtent l="0" t="0" r="0" b="7620"/>
            <wp:docPr id="43" name="Picture 43"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Graphical user interface, application, table&#10;&#10;Description automatically generated"/>
                    <pic:cNvPicPr/>
                  </pic:nvPicPr>
                  <pic:blipFill>
                    <a:blip r:embed="rId712"/>
                    <a:stretch>
                      <a:fillRect/>
                    </a:stretch>
                  </pic:blipFill>
                  <pic:spPr>
                    <a:xfrm>
                      <a:off x="0" y="0"/>
                      <a:ext cx="5410800" cy="2545200"/>
                    </a:xfrm>
                    <a:prstGeom prst="rect">
                      <a:avLst/>
                    </a:prstGeom>
                  </pic:spPr>
                </pic:pic>
              </a:graphicData>
            </a:graphic>
          </wp:inline>
        </w:drawing>
      </w:r>
    </w:p>
    <w:p w14:paraId="08DF2D2A" w14:textId="0F467E9E" w:rsidR="000429D2" w:rsidRDefault="000429D2" w:rsidP="009D6D02">
      <w:pPr>
        <w:rPr>
          <w:lang w:val="en-GB"/>
        </w:rPr>
      </w:pPr>
      <w:r>
        <w:rPr>
          <w:lang w:val="en-GB"/>
        </w:rPr>
        <w:t>You also see them in vSphere Host Client</w:t>
      </w:r>
      <w:r w:rsidR="009D6D02">
        <w:rPr>
          <w:lang w:val="en-GB"/>
        </w:rPr>
        <w:t xml:space="preserve">. </w:t>
      </w:r>
    </w:p>
    <w:p w14:paraId="119F4469" w14:textId="549C3AFE" w:rsidR="000429D2" w:rsidRDefault="000429D2" w:rsidP="00FF0111">
      <w:pPr>
        <w:jc w:val="center"/>
        <w:rPr>
          <w:lang w:val="en-GB"/>
        </w:rPr>
      </w:pPr>
      <w:r w:rsidRPr="000429D2">
        <w:rPr>
          <w:noProof/>
          <w:lang w:val="en-GB"/>
        </w:rPr>
        <w:lastRenderedPageBreak/>
        <w:drawing>
          <wp:inline distT="0" distB="0" distL="0" distR="0" wp14:anchorId="0890179D" wp14:editId="57058DCB">
            <wp:extent cx="6645910" cy="3803650"/>
            <wp:effectExtent l="0" t="0" r="254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3"/>
                    <a:stretch>
                      <a:fillRect/>
                    </a:stretch>
                  </pic:blipFill>
                  <pic:spPr>
                    <a:xfrm>
                      <a:off x="0" y="0"/>
                      <a:ext cx="6645910" cy="3803650"/>
                    </a:xfrm>
                    <a:prstGeom prst="rect">
                      <a:avLst/>
                    </a:prstGeom>
                  </pic:spPr>
                </pic:pic>
              </a:graphicData>
            </a:graphic>
          </wp:inline>
        </w:drawing>
      </w:r>
    </w:p>
    <w:p w14:paraId="69C35355" w14:textId="2CE837F5" w:rsidR="009D6D02" w:rsidRPr="0042732E" w:rsidRDefault="009D6D02" w:rsidP="009D6D02">
      <w:pPr>
        <w:rPr>
          <w:lang w:val="en-GB"/>
        </w:rPr>
      </w:pPr>
      <w:r>
        <w:rPr>
          <w:lang w:val="en-GB"/>
        </w:rPr>
        <w:t>As a bonus, you get the breakdown by CPU package.</w:t>
      </w:r>
    </w:p>
    <w:p w14:paraId="6B6AF85D" w14:textId="15602E72" w:rsidR="00FF0111" w:rsidRPr="00A452F2" w:rsidRDefault="00FF0111" w:rsidP="00FF0111">
      <w:pPr>
        <w:pStyle w:val="Heading4"/>
      </w:pPr>
      <w:r w:rsidRPr="00A452F2">
        <w:t>Peak Core CPU Usage</w:t>
      </w:r>
    </w:p>
    <w:p w14:paraId="01C6E6E0" w14:textId="77777777" w:rsidR="00FF0111" w:rsidRPr="00A452F2" w:rsidRDefault="00FF0111" w:rsidP="00FF0111">
      <w:pPr>
        <w:rPr>
          <w:lang w:val="en-GB"/>
        </w:rPr>
      </w:pPr>
      <w:r w:rsidRPr="00A452F2">
        <w:rPr>
          <w:lang w:val="en-GB"/>
        </w:rPr>
        <w:t>Is any of the physical threads running hot?</w:t>
      </w:r>
    </w:p>
    <w:p w14:paraId="4693BFD2" w14:textId="77777777" w:rsidR="00FF0111" w:rsidRPr="00A452F2" w:rsidRDefault="00FF0111" w:rsidP="00FF0111">
      <w:pPr>
        <w:rPr>
          <w:lang w:val="en-GB"/>
        </w:rPr>
      </w:pPr>
      <w:r w:rsidRPr="00A452F2">
        <w:rPr>
          <w:lang w:val="en-GB"/>
        </w:rPr>
        <w:t>An ESXi with 72 CPU cores will have 144 logical processor</w:t>
      </w:r>
      <w:r>
        <w:rPr>
          <w:lang w:val="en-GB"/>
        </w:rPr>
        <w:t>s</w:t>
      </w:r>
      <w:r w:rsidRPr="00A452F2">
        <w:rPr>
          <w:lang w:val="en-GB"/>
        </w:rPr>
        <w:t xml:space="preserve">. Hence it’s possible that </w:t>
      </w:r>
      <w:r>
        <w:rPr>
          <w:lang w:val="en-GB"/>
        </w:rPr>
        <w:t>one</w:t>
      </w:r>
      <w:r w:rsidRPr="00A452F2">
        <w:rPr>
          <w:lang w:val="en-GB"/>
        </w:rPr>
        <w:t xml:space="preserve"> of them is running hot, while the rest is not. You will not be able to see that </w:t>
      </w:r>
      <w:r>
        <w:rPr>
          <w:lang w:val="en-GB"/>
        </w:rPr>
        <w:t xml:space="preserve">single </w:t>
      </w:r>
      <w:r w:rsidRPr="00A452F2">
        <w:rPr>
          <w:lang w:val="en-GB"/>
        </w:rPr>
        <w:t xml:space="preserve">core peak at ESXi Host level as it’s the </w:t>
      </w:r>
      <w:r w:rsidRPr="00A452F2">
        <w:rPr>
          <w:color w:val="FF0000"/>
          <w:lang w:val="en-GB"/>
        </w:rPr>
        <w:t xml:space="preserve">average </w:t>
      </w:r>
      <w:r w:rsidRPr="00A452F2">
        <w:rPr>
          <w:lang w:val="en-GB"/>
        </w:rPr>
        <w:t>of 144 metrics. If you are concerned that any of them is running hot, you need to track the peak among them.</w:t>
      </w:r>
    </w:p>
    <w:p w14:paraId="2D32A7B8" w14:textId="77777777" w:rsidR="00FF0111" w:rsidRPr="00A452F2" w:rsidRDefault="00FF0111" w:rsidP="00FF0111">
      <w:pPr>
        <w:rPr>
          <w:lang w:val="en-GB"/>
        </w:rPr>
      </w:pPr>
      <w:r w:rsidRPr="00A452F2">
        <w:rPr>
          <w:lang w:val="en-GB"/>
        </w:rPr>
        <w:t>Peak CPU Core Usage (%)</w:t>
      </w:r>
      <w:r>
        <w:rPr>
          <w:lang w:val="en-GB"/>
        </w:rPr>
        <w:t xml:space="preserve"> </w:t>
      </w:r>
      <w:r w:rsidRPr="00A452F2">
        <w:rPr>
          <w:lang w:val="en-GB"/>
        </w:rPr>
        <w:t>tracks the highest CPU Usage among the CPU core</w:t>
      </w:r>
      <w:r>
        <w:rPr>
          <w:lang w:val="en-GB"/>
        </w:rPr>
        <w:t>s</w:t>
      </w:r>
      <w:r w:rsidRPr="00A452F2">
        <w:rPr>
          <w:lang w:val="en-GB"/>
        </w:rPr>
        <w:t>. A constantly high number indicates that one or more of the physical cores has high utilization. So long the highest among any cores at any given time is low, it does not matter which one at a specific point in time. They can take turn to be hot, it does not change the conclusion of troubleshooting. Max() is used instead of 95</w:t>
      </w:r>
      <w:r w:rsidRPr="00A452F2">
        <w:rPr>
          <w:vertAlign w:val="superscript"/>
          <w:lang w:val="en-GB"/>
        </w:rPr>
        <w:t>th</w:t>
      </w:r>
      <w:r>
        <w:rPr>
          <w:lang w:val="en-GB"/>
        </w:rPr>
        <w:t>percentile</w:t>
      </w:r>
      <w:r w:rsidRPr="00A452F2">
        <w:rPr>
          <w:lang w:val="en-GB"/>
        </w:rPr>
        <w:t xml:space="preserve"> as both result in the same remediation action, and Max() can give better early warning.</w:t>
      </w:r>
    </w:p>
    <w:p w14:paraId="0B5912D1" w14:textId="77777777" w:rsidR="00FF0111" w:rsidRPr="00A452F2" w:rsidRDefault="00FF0111" w:rsidP="00FF0111">
      <w:pPr>
        <w:rPr>
          <w:lang w:val="en-GB"/>
        </w:rPr>
      </w:pPr>
      <w:r>
        <w:rPr>
          <w:lang w:val="en-GB"/>
        </w:rPr>
        <w:t>The imbalance</w:t>
      </w:r>
      <w:r w:rsidRPr="00A452F2">
        <w:rPr>
          <w:lang w:val="en-GB"/>
        </w:rPr>
        <w:t xml:space="preserve"> </w:t>
      </w:r>
      <w:r>
        <w:rPr>
          <w:lang w:val="en-GB"/>
        </w:rPr>
        <w:t xml:space="preserve">value </w:t>
      </w:r>
      <w:r w:rsidRPr="00A452F2">
        <w:rPr>
          <w:lang w:val="en-GB"/>
        </w:rPr>
        <w:t xml:space="preserve">among the cores is not needed because </w:t>
      </w:r>
      <w:r>
        <w:rPr>
          <w:lang w:val="en-GB"/>
        </w:rPr>
        <w:t>it</w:t>
      </w:r>
      <w:r w:rsidRPr="00A452F2">
        <w:rPr>
          <w:lang w:val="en-GB"/>
        </w:rPr>
        <w:t xml:space="preserve"> is expected when utilization is not high. When a VM runs, it runs on a few cores, not spread out to all ESXi cores. It’s more efficient to </w:t>
      </w:r>
      <w:r>
        <w:rPr>
          <w:lang w:val="en-GB"/>
        </w:rPr>
        <w:t xml:space="preserve">schedule that way, as will requires less </w:t>
      </w:r>
      <w:r w:rsidRPr="00A452F2">
        <w:rPr>
          <w:lang w:val="en-GB"/>
        </w:rPr>
        <w:t>conte</w:t>
      </w:r>
      <w:r>
        <w:rPr>
          <w:lang w:val="en-GB"/>
        </w:rPr>
        <w:t>x</w:t>
      </w:r>
      <w:r w:rsidRPr="00A452F2">
        <w:rPr>
          <w:lang w:val="en-GB"/>
        </w:rPr>
        <w:t xml:space="preserve">t switches. </w:t>
      </w:r>
    </w:p>
    <w:p w14:paraId="1463C775" w14:textId="6BAC0D62" w:rsidR="000C08F0" w:rsidRPr="00A452F2" w:rsidRDefault="000C08F0" w:rsidP="000C08F0">
      <w:pPr>
        <w:pStyle w:val="Heading4"/>
      </w:pPr>
      <w:r w:rsidRPr="00A452F2">
        <w:lastRenderedPageBreak/>
        <w:t>Contention</w:t>
      </w:r>
      <w:r>
        <w:t xml:space="preserve"> Metrics</w:t>
      </w:r>
    </w:p>
    <w:p w14:paraId="52E78CD3" w14:textId="6B622C57" w:rsidR="000C08F0" w:rsidRPr="00A452F2" w:rsidRDefault="004A00DA" w:rsidP="000C08F0">
      <w:pPr>
        <w:rPr>
          <w:lang w:val="en-GB"/>
        </w:rPr>
      </w:pPr>
      <w:r>
        <w:rPr>
          <w:lang w:val="en-GB"/>
        </w:rPr>
        <w:t xml:space="preserve">The nature of average is also one reason why </w:t>
      </w:r>
      <w:r w:rsidR="000C08F0" w:rsidRPr="00A452F2">
        <w:rPr>
          <w:lang w:val="en-GB"/>
        </w:rPr>
        <w:t>ESXi “</w:t>
      </w:r>
      <w:r w:rsidR="000C08F0">
        <w:rPr>
          <w:color w:val="00B0F0"/>
          <w:lang w:val="en-GB"/>
        </w:rPr>
        <w:t>consumption</w:t>
      </w:r>
      <w:r w:rsidR="000C08F0" w:rsidRPr="00A452F2">
        <w:rPr>
          <w:lang w:val="en-GB"/>
        </w:rPr>
        <w:t>” does not correlate to ESXi “</w:t>
      </w:r>
      <w:r w:rsidR="000C08F0" w:rsidRPr="00097271">
        <w:rPr>
          <w:color w:val="00B0F0"/>
          <w:lang w:val="en-GB"/>
        </w:rPr>
        <w:t>contention</w:t>
      </w:r>
      <w:r w:rsidR="000C08F0" w:rsidRPr="00A452F2">
        <w:rPr>
          <w:lang w:val="en-GB"/>
        </w:rPr>
        <w:t>”. The 4 highlighted area are examples where the metrics don’t correlate, even go the opposite way in some of them. Can you guess why?</w:t>
      </w:r>
    </w:p>
    <w:p w14:paraId="181252C5" w14:textId="77777777" w:rsidR="000C08F0" w:rsidRDefault="000C08F0" w:rsidP="000C08F0">
      <w:pPr>
        <w:rPr>
          <w:lang w:val="en-GB"/>
        </w:rPr>
      </w:pPr>
      <w:r>
        <w:rPr>
          <w:noProof/>
        </w:rPr>
        <w:drawing>
          <wp:inline distT="0" distB="0" distL="0" distR="0" wp14:anchorId="7A519250" wp14:editId="26670744">
            <wp:extent cx="6645910" cy="2604770"/>
            <wp:effectExtent l="0" t="0" r="2540" b="5080"/>
            <wp:docPr id="39" name="Picture 39" descr="Graphical user interface, 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descr="Graphical user interface, chart, line chart&#10;&#10;Description automatically generated"/>
                    <pic:cNvPicPr/>
                  </pic:nvPicPr>
                  <pic:blipFill>
                    <a:blip r:embed="rId714">
                      <a:extLst>
                        <a:ext uri="{28A0092B-C50C-407E-A947-70E740481C1C}">
                          <a14:useLocalDpi xmlns:a14="http://schemas.microsoft.com/office/drawing/2010/main" val="0"/>
                        </a:ext>
                      </a:extLst>
                    </a:blip>
                    <a:stretch>
                      <a:fillRect/>
                    </a:stretch>
                  </pic:blipFill>
                  <pic:spPr>
                    <a:xfrm>
                      <a:off x="0" y="0"/>
                      <a:ext cx="6645910" cy="2604770"/>
                    </a:xfrm>
                    <a:prstGeom prst="rect">
                      <a:avLst/>
                    </a:prstGeom>
                  </pic:spPr>
                </pic:pic>
              </a:graphicData>
            </a:graphic>
          </wp:inline>
        </w:drawing>
      </w:r>
    </w:p>
    <w:p w14:paraId="11FE1A6C" w14:textId="77777777" w:rsidR="000C08F0" w:rsidRPr="00A452F2" w:rsidRDefault="000C08F0" w:rsidP="000C08F0">
      <w:pPr>
        <w:rPr>
          <w:lang w:val="en-GB"/>
        </w:rPr>
      </w:pPr>
      <w:r>
        <w:rPr>
          <w:lang w:val="en-GB"/>
        </w:rPr>
        <w:t xml:space="preserve">These are the </w:t>
      </w:r>
      <w:r w:rsidRPr="00A452F2">
        <w:rPr>
          <w:lang w:val="en-GB"/>
        </w:rPr>
        <w:t>reasons why they don’t match</w:t>
      </w:r>
      <w:r>
        <w:rPr>
          <w:lang w:val="en-GB"/>
        </w:rPr>
        <w:t>:</w:t>
      </w:r>
    </w:p>
    <w:p w14:paraId="5C486651" w14:textId="77777777" w:rsidR="000C08F0" w:rsidRDefault="000C08F0" w:rsidP="000C08F0">
      <w:pPr>
        <w:pStyle w:val="Bullet"/>
      </w:pPr>
      <w:r w:rsidRPr="001F0E0D">
        <w:t>One looks at physical CPU, the other the virtual CPU. One looks at ESXi, while the other looks at VM.</w:t>
      </w:r>
      <w:r>
        <w:t xml:space="preserve"> </w:t>
      </w:r>
    </w:p>
    <w:p w14:paraId="608A1D65" w14:textId="77777777" w:rsidR="000C08F0" w:rsidRPr="001F0E0D" w:rsidRDefault="000C08F0" w:rsidP="000C08F0">
      <w:pPr>
        <w:pStyle w:val="Bullet"/>
      </w:pPr>
      <w:r>
        <w:t xml:space="preserve">Hyperthreading and Power Management. </w:t>
      </w:r>
    </w:p>
    <w:p w14:paraId="2D96A214" w14:textId="77777777" w:rsidR="000C08F0" w:rsidRPr="009B0753" w:rsidRDefault="000C08F0" w:rsidP="000C08F0">
      <w:pPr>
        <w:pStyle w:val="Bullet"/>
        <w:rPr>
          <w:lang w:val="en-GB"/>
        </w:rPr>
      </w:pPr>
      <w:r w:rsidRPr="001F0E0D">
        <w:t>Imbalance</w:t>
      </w:r>
      <w:r>
        <w:rPr>
          <w:lang w:val="en-GB"/>
        </w:rPr>
        <w:t xml:space="preserve"> utilization. </w:t>
      </w:r>
      <w:r w:rsidRPr="00A452F2">
        <w:rPr>
          <w:lang w:val="en-GB"/>
        </w:rPr>
        <w:t>There are many VMs in this host. Their experience will not be identical.</w:t>
      </w:r>
    </w:p>
    <w:p w14:paraId="06D4B2CF" w14:textId="77777777" w:rsidR="000C08F0" w:rsidRPr="001F0E0D" w:rsidRDefault="000C08F0" w:rsidP="000C08F0">
      <w:pPr>
        <w:pStyle w:val="Bullet"/>
      </w:pPr>
      <w:r w:rsidRPr="001F0E0D">
        <w:t>Limit may impact the VM, either directly or via resource pool</w:t>
      </w:r>
      <w:r>
        <w:t>.</w:t>
      </w:r>
    </w:p>
    <w:p w14:paraId="28DC6500" w14:textId="77777777" w:rsidR="000C08F0" w:rsidRDefault="000C08F0" w:rsidP="000C08F0">
      <w:pPr>
        <w:pStyle w:val="Bullet"/>
      </w:pPr>
      <w:r w:rsidRPr="001F0E0D">
        <w:t>CPU pinning, although this is rarely happen</w:t>
      </w:r>
      <w:r>
        <w:t>.</w:t>
      </w:r>
    </w:p>
    <w:p w14:paraId="0CCF1CB7" w14:textId="77777777" w:rsidR="004A00DA" w:rsidRDefault="004A00DA" w:rsidP="004A00DA">
      <w:pPr>
        <w:rPr>
          <w:lang w:val="en-GB"/>
        </w:rPr>
      </w:pPr>
      <w:r>
        <w:rPr>
          <w:lang w:val="en-GB"/>
        </w:rPr>
        <w:t xml:space="preserve">So what metrics should you use? </w:t>
      </w:r>
    </w:p>
    <w:p w14:paraId="008D570D" w14:textId="40E6765D" w:rsidR="004A00DA" w:rsidRDefault="004A00DA" w:rsidP="004A00DA">
      <w:pPr>
        <w:rPr>
          <w:lang w:val="en-GB"/>
        </w:rPr>
      </w:pPr>
      <w:r>
        <w:rPr>
          <w:lang w:val="en-GB"/>
        </w:rPr>
        <w:t xml:space="preserve">The </w:t>
      </w:r>
      <w:r w:rsidRPr="00677510">
        <w:rPr>
          <w:color w:val="00B0F0"/>
          <w:lang w:val="en-GB"/>
        </w:rPr>
        <w:t xml:space="preserve">Performance (%) </w:t>
      </w:r>
      <w:r>
        <w:rPr>
          <w:lang w:val="en-GB"/>
        </w:rPr>
        <w:t>metrics. We will cover them in later part of the book. In the meantime, here are the latency metrics provided by vSphere Client.</w:t>
      </w:r>
    </w:p>
    <w:p w14:paraId="556B06B0" w14:textId="77777777" w:rsidR="004A00DA" w:rsidRPr="00B0459F" w:rsidRDefault="004A00DA" w:rsidP="004A00DA">
      <w:pPr>
        <w:rPr>
          <w:lang w:val="en-GB"/>
        </w:rPr>
      </w:pPr>
      <w:r>
        <w:rPr>
          <w:noProof/>
          <w:lang w:val="en-GB"/>
        </w:rPr>
        <w:drawing>
          <wp:inline distT="0" distB="0" distL="0" distR="0" wp14:anchorId="05EC830E" wp14:editId="5D6C5FE4">
            <wp:extent cx="6645910" cy="1564005"/>
            <wp:effectExtent l="0" t="0" r="2540" b="0"/>
            <wp:docPr id="357815399" name="Picture 357815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15">
                      <a:extLst>
                        <a:ext uri="{28A0092B-C50C-407E-A947-70E740481C1C}">
                          <a14:useLocalDpi xmlns:a14="http://schemas.microsoft.com/office/drawing/2010/main" val="0"/>
                        </a:ext>
                      </a:extLst>
                    </a:blip>
                    <a:srcRect/>
                    <a:stretch>
                      <a:fillRect/>
                    </a:stretch>
                  </pic:blipFill>
                  <pic:spPr bwMode="auto">
                    <a:xfrm>
                      <a:off x="0" y="0"/>
                      <a:ext cx="6645910" cy="1564005"/>
                    </a:xfrm>
                    <a:prstGeom prst="rect">
                      <a:avLst/>
                    </a:prstGeom>
                    <a:noFill/>
                    <a:ln>
                      <a:noFill/>
                    </a:ln>
                  </pic:spPr>
                </pic:pic>
              </a:graphicData>
            </a:graphic>
          </wp:inline>
        </w:drawing>
      </w:r>
    </w:p>
    <w:p w14:paraId="56D406E2" w14:textId="1DF0F5C0" w:rsidR="001406B1" w:rsidRDefault="001406B1" w:rsidP="001406B1">
      <w:pPr>
        <w:pStyle w:val="Heading3"/>
      </w:pPr>
      <w:r>
        <w:lastRenderedPageBreak/>
        <w:t>Memory</w:t>
      </w:r>
    </w:p>
    <w:p w14:paraId="1F18F467" w14:textId="77777777" w:rsidR="001406B1" w:rsidRDefault="001406B1" w:rsidP="001406B1">
      <w:pPr>
        <w:rPr>
          <w:lang w:val="en-GB"/>
        </w:rPr>
      </w:pPr>
      <w:r w:rsidRPr="008B6E70">
        <w:rPr>
          <w:lang w:val="en-GB"/>
        </w:rPr>
        <w:t xml:space="preserve">vCenter provides even more </w:t>
      </w:r>
      <w:r>
        <w:rPr>
          <w:lang w:val="en-GB"/>
        </w:rPr>
        <w:t>metrics</w:t>
      </w:r>
      <w:r w:rsidRPr="008B6E70">
        <w:rPr>
          <w:lang w:val="en-GB"/>
        </w:rPr>
        <w:t xml:space="preserve"> at ESXi level: 38 </w:t>
      </w:r>
      <w:r>
        <w:rPr>
          <w:lang w:val="en-GB"/>
        </w:rPr>
        <w:t>metrics</w:t>
      </w:r>
      <w:r w:rsidRPr="008B6E70">
        <w:rPr>
          <w:lang w:val="en-GB"/>
        </w:rPr>
        <w:t xml:space="preserve"> for RAM plus 11 for </w:t>
      </w:r>
      <w:r>
        <w:rPr>
          <w:lang w:val="en-GB"/>
        </w:rPr>
        <w:t>VMkernel</w:t>
      </w:r>
      <w:r w:rsidRPr="008B6E70">
        <w:rPr>
          <w:lang w:val="en-GB"/>
        </w:rPr>
        <w:t xml:space="preserve"> RAM. </w:t>
      </w:r>
      <w:r>
        <w:rPr>
          <w:lang w:val="en-GB"/>
        </w:rPr>
        <w:t>VMkernel</w:t>
      </w:r>
      <w:r w:rsidRPr="008B6E70">
        <w:rPr>
          <w:lang w:val="en-GB"/>
        </w:rPr>
        <w:t xml:space="preserve"> has around 50 processes that are tracked. As a result, a cluster of 8 ESXi can have &gt; 800 </w:t>
      </w:r>
      <w:r>
        <w:rPr>
          <w:lang w:val="en-GB"/>
        </w:rPr>
        <w:t>metrics</w:t>
      </w:r>
      <w:r w:rsidRPr="008B6E70">
        <w:rPr>
          <w:lang w:val="en-GB"/>
        </w:rPr>
        <w:t xml:space="preserve"> just for ESXi RAM! Most of them are not shown as a percentage, making it </w:t>
      </w:r>
      <w:r>
        <w:rPr>
          <w:lang w:val="en-GB"/>
        </w:rPr>
        <w:t>challenging</w:t>
      </w:r>
      <w:r w:rsidRPr="008B6E70">
        <w:rPr>
          <w:lang w:val="en-GB"/>
        </w:rPr>
        <w:t xml:space="preserve"> to compare across ESXi </w:t>
      </w:r>
      <w:r>
        <w:rPr>
          <w:lang w:val="en-GB"/>
        </w:rPr>
        <w:t xml:space="preserve">hosts </w:t>
      </w:r>
      <w:r w:rsidRPr="008B6E70">
        <w:rPr>
          <w:lang w:val="en-GB"/>
        </w:rPr>
        <w:t>with different memory sizes.</w:t>
      </w:r>
    </w:p>
    <w:p w14:paraId="0C39813B" w14:textId="77777777" w:rsidR="000D3D6A" w:rsidRDefault="000D3D6A" w:rsidP="000D3D6A">
      <w:r>
        <w:t>We will cover each metric in-depth, so let’s do an overview first.</w:t>
      </w:r>
    </w:p>
    <w:p w14:paraId="1B64E744" w14:textId="77777777" w:rsidR="001406B1" w:rsidRDefault="001406B1" w:rsidP="001406B1">
      <w:pPr>
        <w:pStyle w:val="Heading4"/>
      </w:pPr>
      <w:r>
        <w:t>Overview</w:t>
      </w:r>
    </w:p>
    <w:p w14:paraId="33797871" w14:textId="77777777" w:rsidR="001406B1" w:rsidRDefault="001406B1" w:rsidP="001406B1">
      <w:pPr>
        <w:rPr>
          <w:lang w:val="en-GB"/>
        </w:rPr>
      </w:pPr>
      <w:r>
        <w:rPr>
          <w:lang w:val="en-GB"/>
        </w:rPr>
        <w:t xml:space="preserve">Just like the case for VM, the primary counter for tracking performance is Page-fault Latency. Take note this is normalized average, so use the Max VM Memory Contention instead. </w:t>
      </w:r>
    </w:p>
    <w:p w14:paraId="560E5DAB" w14:textId="77777777" w:rsidR="001406B1" w:rsidRDefault="001406B1" w:rsidP="001406B1">
      <w:pPr>
        <w:rPr>
          <w:lang w:val="en-GB"/>
        </w:rPr>
      </w:pPr>
      <w:r w:rsidRPr="00A7771F">
        <w:rPr>
          <w:noProof/>
          <w:lang w:val="en-GB"/>
        </w:rPr>
        <w:drawing>
          <wp:inline distT="0" distB="0" distL="0" distR="0" wp14:anchorId="5193976E" wp14:editId="262526FC">
            <wp:extent cx="6645910" cy="758190"/>
            <wp:effectExtent l="0" t="0" r="2540" b="3810"/>
            <wp:docPr id="750070341" name="Picture 750070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6"/>
                    <a:stretch>
                      <a:fillRect/>
                    </a:stretch>
                  </pic:blipFill>
                  <pic:spPr>
                    <a:xfrm>
                      <a:off x="0" y="0"/>
                      <a:ext cx="6645910" cy="758190"/>
                    </a:xfrm>
                    <a:prstGeom prst="rect">
                      <a:avLst/>
                    </a:prstGeom>
                  </pic:spPr>
                </pic:pic>
              </a:graphicData>
            </a:graphic>
          </wp:inline>
        </w:drawing>
      </w:r>
    </w:p>
    <w:p w14:paraId="002C4211" w14:textId="77777777" w:rsidR="001406B1" w:rsidRDefault="001406B1" w:rsidP="001406B1">
      <w:pPr>
        <w:rPr>
          <w:lang w:val="en-GB"/>
        </w:rPr>
      </w:pPr>
      <w:r>
        <w:rPr>
          <w:lang w:val="en-GB"/>
        </w:rPr>
        <w:t>The contention could be caused by swapping in the past. You’ve got only 5, not 6 metrics for swap. Which counter is missing?</w:t>
      </w:r>
    </w:p>
    <w:p w14:paraId="3CEF2A97" w14:textId="77777777" w:rsidR="001406B1" w:rsidRDefault="001406B1" w:rsidP="001406B1">
      <w:pPr>
        <w:rPr>
          <w:lang w:val="en-GB"/>
        </w:rPr>
      </w:pPr>
      <w:r>
        <w:rPr>
          <w:noProof/>
          <w:lang w:val="en-GB"/>
        </w:rPr>
        <w:drawing>
          <wp:inline distT="0" distB="0" distL="0" distR="0" wp14:anchorId="7A556B15" wp14:editId="39FA0728">
            <wp:extent cx="6645910" cy="1266190"/>
            <wp:effectExtent l="0" t="0" r="2540" b="0"/>
            <wp:docPr id="750070342" name="Picture 750070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7">
                      <a:extLst>
                        <a:ext uri="{28A0092B-C50C-407E-A947-70E740481C1C}">
                          <a14:useLocalDpi xmlns:a14="http://schemas.microsoft.com/office/drawing/2010/main" val="0"/>
                        </a:ext>
                      </a:extLst>
                    </a:blip>
                    <a:srcRect/>
                    <a:stretch>
                      <a:fillRect/>
                    </a:stretch>
                  </pic:blipFill>
                  <pic:spPr bwMode="auto">
                    <a:xfrm>
                      <a:off x="0" y="0"/>
                      <a:ext cx="6645910" cy="1266190"/>
                    </a:xfrm>
                    <a:prstGeom prst="rect">
                      <a:avLst/>
                    </a:prstGeom>
                    <a:noFill/>
                    <a:ln>
                      <a:noFill/>
                    </a:ln>
                  </pic:spPr>
                </pic:pic>
              </a:graphicData>
            </a:graphic>
          </wp:inline>
        </w:drawing>
      </w:r>
    </w:p>
    <w:p w14:paraId="3E41C756" w14:textId="77777777" w:rsidR="001406B1" w:rsidRDefault="001406B1" w:rsidP="001406B1">
      <w:pPr>
        <w:rPr>
          <w:lang w:val="en-GB"/>
        </w:rPr>
      </w:pPr>
      <w:r>
        <w:rPr>
          <w:lang w:val="en-GB"/>
        </w:rPr>
        <w:t>Swap target is missing. It can be handy to see the total target at ESXi level.</w:t>
      </w:r>
    </w:p>
    <w:p w14:paraId="20B0E70D" w14:textId="77777777" w:rsidR="0067679D" w:rsidRDefault="0067679D" w:rsidP="0067679D">
      <w:pPr>
        <w:rPr>
          <w:lang w:val="en-GB"/>
        </w:rPr>
      </w:pPr>
      <w:r>
        <w:rPr>
          <w:lang w:val="en-GB"/>
        </w:rPr>
        <w:t>Swap and Compress go hand in hand, so we should check both together. Here are the compressed metrics.</w:t>
      </w:r>
    </w:p>
    <w:p w14:paraId="2FC5C247" w14:textId="77777777" w:rsidR="001406B1" w:rsidRDefault="001406B1" w:rsidP="001406B1">
      <w:pPr>
        <w:rPr>
          <w:lang w:val="en-GB"/>
        </w:rPr>
      </w:pPr>
      <w:r>
        <w:rPr>
          <w:noProof/>
          <w:lang w:val="en-GB"/>
        </w:rPr>
        <w:drawing>
          <wp:inline distT="0" distB="0" distL="0" distR="0" wp14:anchorId="47F14D31" wp14:editId="0F2B2B78">
            <wp:extent cx="6640830" cy="808990"/>
            <wp:effectExtent l="0" t="0" r="7620" b="0"/>
            <wp:docPr id="750070343" name="Picture 75007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18">
                      <a:extLst>
                        <a:ext uri="{28A0092B-C50C-407E-A947-70E740481C1C}">
                          <a14:useLocalDpi xmlns:a14="http://schemas.microsoft.com/office/drawing/2010/main" val="0"/>
                        </a:ext>
                      </a:extLst>
                    </a:blip>
                    <a:srcRect/>
                    <a:stretch>
                      <a:fillRect/>
                    </a:stretch>
                  </pic:blipFill>
                  <pic:spPr bwMode="auto">
                    <a:xfrm>
                      <a:off x="0" y="0"/>
                      <a:ext cx="6640830" cy="808990"/>
                    </a:xfrm>
                    <a:prstGeom prst="rect">
                      <a:avLst/>
                    </a:prstGeom>
                    <a:noFill/>
                    <a:ln>
                      <a:noFill/>
                    </a:ln>
                  </pic:spPr>
                </pic:pic>
              </a:graphicData>
            </a:graphic>
          </wp:inline>
        </w:drawing>
      </w:r>
    </w:p>
    <w:p w14:paraId="50BAE2F3" w14:textId="77777777" w:rsidR="001406B1" w:rsidRDefault="001406B1" w:rsidP="001406B1">
      <w:pPr>
        <w:rPr>
          <w:lang w:val="en-GB"/>
        </w:rPr>
      </w:pPr>
      <w:r>
        <w:rPr>
          <w:lang w:val="en-GB"/>
        </w:rPr>
        <w:t>Lastly, the performance could be caused by memory being read from the Host Cache. While they are faster than disk, they are still slower than physical memory.</w:t>
      </w:r>
    </w:p>
    <w:p w14:paraId="2CA17738" w14:textId="77777777" w:rsidR="001406B1" w:rsidRDefault="001406B1" w:rsidP="001406B1">
      <w:pPr>
        <w:rPr>
          <w:lang w:val="en-GB"/>
        </w:rPr>
      </w:pPr>
      <w:r>
        <w:rPr>
          <w:noProof/>
          <w:lang w:val="en-GB"/>
        </w:rPr>
        <w:lastRenderedPageBreak/>
        <w:drawing>
          <wp:inline distT="0" distB="0" distL="0" distR="0" wp14:anchorId="062F45D5" wp14:editId="5E96A86F">
            <wp:extent cx="6645910" cy="1237615"/>
            <wp:effectExtent l="0" t="0" r="2540" b="635"/>
            <wp:docPr id="750070346" name="Picture 750070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19">
                      <a:extLst>
                        <a:ext uri="{28A0092B-C50C-407E-A947-70E740481C1C}">
                          <a14:useLocalDpi xmlns:a14="http://schemas.microsoft.com/office/drawing/2010/main" val="0"/>
                        </a:ext>
                      </a:extLst>
                    </a:blip>
                    <a:srcRect/>
                    <a:stretch>
                      <a:fillRect/>
                    </a:stretch>
                  </pic:blipFill>
                  <pic:spPr bwMode="auto">
                    <a:xfrm>
                      <a:off x="0" y="0"/>
                      <a:ext cx="6645910" cy="1237615"/>
                    </a:xfrm>
                    <a:prstGeom prst="rect">
                      <a:avLst/>
                    </a:prstGeom>
                    <a:noFill/>
                    <a:ln>
                      <a:noFill/>
                    </a:ln>
                  </pic:spPr>
                </pic:pic>
              </a:graphicData>
            </a:graphic>
          </wp:inline>
        </w:drawing>
      </w:r>
    </w:p>
    <w:p w14:paraId="49676B3F" w14:textId="77777777" w:rsidR="001406B1" w:rsidRDefault="001406B1" w:rsidP="001406B1">
      <w:pPr>
        <w:rPr>
          <w:lang w:val="en-GB"/>
        </w:rPr>
      </w:pPr>
      <w:r>
        <w:rPr>
          <w:lang w:val="en-GB"/>
        </w:rPr>
        <w:t xml:space="preserve">Wait! What about Balloon? </w:t>
      </w:r>
    </w:p>
    <w:p w14:paraId="1F8A29CE" w14:textId="77777777" w:rsidR="001406B1" w:rsidRDefault="001406B1" w:rsidP="001406B1">
      <w:pPr>
        <w:rPr>
          <w:lang w:val="en-GB"/>
        </w:rPr>
      </w:pPr>
      <w:r>
        <w:rPr>
          <w:lang w:val="en-GB"/>
        </w:rPr>
        <w:t>As will cover in-depth shortly, that’s more of capacity than performance metrics. One can even say that other than Page-fault Latency, the rest of the metrics are actually for capacity not performance.</w:t>
      </w:r>
    </w:p>
    <w:p w14:paraId="1272761E" w14:textId="77777777" w:rsidR="001406B1" w:rsidRDefault="001406B1" w:rsidP="001406B1">
      <w:pPr>
        <w:rPr>
          <w:lang w:val="en-GB"/>
        </w:rPr>
      </w:pPr>
      <w:r>
        <w:rPr>
          <w:lang w:val="en-GB"/>
        </w:rPr>
        <w:t>The famous balloon is a warning of capacity, assuming you do not play with limit.</w:t>
      </w:r>
    </w:p>
    <w:p w14:paraId="4C2A0BCE" w14:textId="77777777" w:rsidR="001406B1" w:rsidRDefault="001406B1" w:rsidP="001406B1">
      <w:pPr>
        <w:rPr>
          <w:lang w:val="en-GB"/>
        </w:rPr>
      </w:pPr>
      <w:r>
        <w:rPr>
          <w:noProof/>
          <w:lang w:val="en-GB"/>
        </w:rPr>
        <w:drawing>
          <wp:inline distT="0" distB="0" distL="0" distR="0" wp14:anchorId="54C8A308" wp14:editId="30235BA6">
            <wp:extent cx="6640830" cy="275590"/>
            <wp:effectExtent l="0" t="0" r="7620" b="0"/>
            <wp:docPr id="750070347" name="Picture 750070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20">
                      <a:extLst>
                        <a:ext uri="{28A0092B-C50C-407E-A947-70E740481C1C}">
                          <a14:useLocalDpi xmlns:a14="http://schemas.microsoft.com/office/drawing/2010/main" val="0"/>
                        </a:ext>
                      </a:extLst>
                    </a:blip>
                    <a:srcRect/>
                    <a:stretch>
                      <a:fillRect/>
                    </a:stretch>
                  </pic:blipFill>
                  <pic:spPr bwMode="auto">
                    <a:xfrm>
                      <a:off x="0" y="0"/>
                      <a:ext cx="6640830" cy="275590"/>
                    </a:xfrm>
                    <a:prstGeom prst="rect">
                      <a:avLst/>
                    </a:prstGeom>
                    <a:noFill/>
                    <a:ln>
                      <a:noFill/>
                    </a:ln>
                  </pic:spPr>
                </pic:pic>
              </a:graphicData>
            </a:graphic>
          </wp:inline>
        </w:drawing>
      </w:r>
    </w:p>
    <w:p w14:paraId="0413AC71" w14:textId="77777777" w:rsidR="001406B1" w:rsidRDefault="001406B1" w:rsidP="001406B1">
      <w:pPr>
        <w:rPr>
          <w:lang w:val="en-GB"/>
        </w:rPr>
      </w:pPr>
      <w:r>
        <w:rPr>
          <w:lang w:val="en-GB"/>
        </w:rPr>
        <w:t>When will ballooning kick in? There is a counter for that!</w:t>
      </w:r>
    </w:p>
    <w:p w14:paraId="01CB0CEC" w14:textId="77777777" w:rsidR="001406B1" w:rsidRDefault="001406B1" w:rsidP="001406B1">
      <w:pPr>
        <w:rPr>
          <w:lang w:val="en-GB"/>
        </w:rPr>
      </w:pPr>
      <w:r>
        <w:rPr>
          <w:noProof/>
          <w:lang w:val="en-GB"/>
        </w:rPr>
        <w:drawing>
          <wp:inline distT="0" distB="0" distL="0" distR="0" wp14:anchorId="577FBECD" wp14:editId="5AC7B3F5">
            <wp:extent cx="6645910" cy="281305"/>
            <wp:effectExtent l="0" t="0" r="2540" b="4445"/>
            <wp:docPr id="750070348" name="Picture 750070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6645910" cy="281305"/>
                    </a:xfrm>
                    <a:prstGeom prst="rect">
                      <a:avLst/>
                    </a:prstGeom>
                    <a:noFill/>
                    <a:ln>
                      <a:noFill/>
                    </a:ln>
                  </pic:spPr>
                </pic:pic>
              </a:graphicData>
            </a:graphic>
          </wp:inline>
        </w:drawing>
      </w:r>
    </w:p>
    <w:p w14:paraId="65BB711B" w14:textId="77777777" w:rsidR="001406B1" w:rsidRDefault="001406B1" w:rsidP="001406B1">
      <w:pPr>
        <w:rPr>
          <w:lang w:val="en-GB"/>
        </w:rPr>
      </w:pPr>
      <w:r>
        <w:rPr>
          <w:lang w:val="en-GB"/>
        </w:rPr>
        <w:t>The memory state level shows one of the 5 possible states. You want to keep this at Clear state or High state.</w:t>
      </w:r>
    </w:p>
    <w:p w14:paraId="62EEFB91" w14:textId="77777777" w:rsidR="001406B1" w:rsidRDefault="001406B1" w:rsidP="001406B1">
      <w:pPr>
        <w:rPr>
          <w:lang w:val="en-GB"/>
        </w:rPr>
      </w:pPr>
      <w:r>
        <w:rPr>
          <w:noProof/>
          <w:lang w:val="en-GB"/>
        </w:rPr>
        <w:drawing>
          <wp:inline distT="0" distB="0" distL="0" distR="0" wp14:anchorId="3A4FB704" wp14:editId="1F2CD558">
            <wp:extent cx="6640830" cy="257810"/>
            <wp:effectExtent l="0" t="0" r="7620" b="8890"/>
            <wp:docPr id="750070349" name="Picture 750070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2">
                      <a:extLst>
                        <a:ext uri="{28A0092B-C50C-407E-A947-70E740481C1C}">
                          <a14:useLocalDpi xmlns:a14="http://schemas.microsoft.com/office/drawing/2010/main" val="0"/>
                        </a:ext>
                      </a:extLst>
                    </a:blip>
                    <a:srcRect/>
                    <a:stretch>
                      <a:fillRect/>
                    </a:stretch>
                  </pic:blipFill>
                  <pic:spPr bwMode="auto">
                    <a:xfrm>
                      <a:off x="0" y="0"/>
                      <a:ext cx="6640830" cy="257810"/>
                    </a:xfrm>
                    <a:prstGeom prst="rect">
                      <a:avLst/>
                    </a:prstGeom>
                    <a:noFill/>
                    <a:ln>
                      <a:noFill/>
                    </a:ln>
                  </pic:spPr>
                </pic:pic>
              </a:graphicData>
            </a:graphic>
          </wp:inline>
        </w:drawing>
      </w:r>
    </w:p>
    <w:p w14:paraId="0535C398" w14:textId="77777777" w:rsidR="001406B1" w:rsidRDefault="001406B1" w:rsidP="001406B1">
      <w:pPr>
        <w:rPr>
          <w:lang w:val="en-GB"/>
        </w:rPr>
      </w:pPr>
      <w:r>
        <w:rPr>
          <w:lang w:val="en-GB"/>
        </w:rPr>
        <w:t>For environment where performance matters more than cost, you want Balloon to be 0. That means Consume becomes your main counter for capacity. It is related to Granted and Shared.</w:t>
      </w:r>
    </w:p>
    <w:p w14:paraId="7A9D507E" w14:textId="77777777" w:rsidR="001406B1" w:rsidRDefault="001406B1" w:rsidP="001406B1">
      <w:pPr>
        <w:rPr>
          <w:lang w:val="en-GB"/>
        </w:rPr>
      </w:pPr>
      <w:r>
        <w:rPr>
          <w:noProof/>
          <w:lang w:val="en-GB"/>
        </w:rPr>
        <w:drawing>
          <wp:inline distT="0" distB="0" distL="0" distR="0" wp14:anchorId="16014FFD" wp14:editId="4B66472B">
            <wp:extent cx="6640830" cy="1119505"/>
            <wp:effectExtent l="0" t="0" r="7620" b="4445"/>
            <wp:docPr id="750070351" name="Picture 750070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23">
                      <a:extLst>
                        <a:ext uri="{28A0092B-C50C-407E-A947-70E740481C1C}">
                          <a14:useLocalDpi xmlns:a14="http://schemas.microsoft.com/office/drawing/2010/main" val="0"/>
                        </a:ext>
                      </a:extLst>
                    </a:blip>
                    <a:srcRect/>
                    <a:stretch>
                      <a:fillRect/>
                    </a:stretch>
                  </pic:blipFill>
                  <pic:spPr bwMode="auto">
                    <a:xfrm>
                      <a:off x="0" y="0"/>
                      <a:ext cx="6640830" cy="1119505"/>
                    </a:xfrm>
                    <a:prstGeom prst="rect">
                      <a:avLst/>
                    </a:prstGeom>
                    <a:noFill/>
                    <a:ln>
                      <a:noFill/>
                    </a:ln>
                  </pic:spPr>
                </pic:pic>
              </a:graphicData>
            </a:graphic>
          </wp:inline>
        </w:drawing>
      </w:r>
    </w:p>
    <w:p w14:paraId="0025ED69" w14:textId="77777777" w:rsidR="001406B1" w:rsidRDefault="001406B1" w:rsidP="001406B1">
      <w:pPr>
        <w:rPr>
          <w:lang w:val="en-GB"/>
        </w:rPr>
      </w:pPr>
      <w:r>
        <w:rPr>
          <w:lang w:val="en-GB"/>
        </w:rPr>
        <w:t xml:space="preserve">Reservation plays a big part in capacity management as it cannot be overcommitted. </w:t>
      </w:r>
    </w:p>
    <w:p w14:paraId="4A117D88" w14:textId="77777777" w:rsidR="001406B1" w:rsidRDefault="001406B1" w:rsidP="001406B1">
      <w:pPr>
        <w:rPr>
          <w:lang w:val="en-GB"/>
        </w:rPr>
      </w:pPr>
      <w:r>
        <w:rPr>
          <w:noProof/>
          <w:lang w:val="en-GB"/>
        </w:rPr>
        <w:drawing>
          <wp:inline distT="0" distB="0" distL="0" distR="0" wp14:anchorId="2DC5278C" wp14:editId="7F8AE10D">
            <wp:extent cx="6645910" cy="781685"/>
            <wp:effectExtent l="0" t="0" r="2540" b="0"/>
            <wp:docPr id="750070352" name="Picture 750070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24">
                      <a:extLst>
                        <a:ext uri="{28A0092B-C50C-407E-A947-70E740481C1C}">
                          <a14:useLocalDpi xmlns:a14="http://schemas.microsoft.com/office/drawing/2010/main" val="0"/>
                        </a:ext>
                      </a:extLst>
                    </a:blip>
                    <a:srcRect/>
                    <a:stretch>
                      <a:fillRect/>
                    </a:stretch>
                  </pic:blipFill>
                  <pic:spPr bwMode="auto">
                    <a:xfrm>
                      <a:off x="0" y="0"/>
                      <a:ext cx="6645910" cy="781685"/>
                    </a:xfrm>
                    <a:prstGeom prst="rect">
                      <a:avLst/>
                    </a:prstGeom>
                    <a:noFill/>
                    <a:ln>
                      <a:noFill/>
                    </a:ln>
                  </pic:spPr>
                </pic:pic>
              </a:graphicData>
            </a:graphic>
          </wp:inline>
        </w:drawing>
      </w:r>
    </w:p>
    <w:p w14:paraId="1C09A094" w14:textId="77777777" w:rsidR="001406B1" w:rsidRDefault="001406B1" w:rsidP="001406B1">
      <w:pPr>
        <w:rPr>
          <w:lang w:val="en-GB"/>
        </w:rPr>
      </w:pPr>
      <w:r>
        <w:rPr>
          <w:lang w:val="en-GB"/>
        </w:rPr>
        <w:t>Active is not a counter for capacity or performance. It’s for VMkernel memory allocation.</w:t>
      </w:r>
    </w:p>
    <w:p w14:paraId="38620B48" w14:textId="77777777" w:rsidR="001406B1" w:rsidRDefault="001406B1" w:rsidP="001406B1">
      <w:pPr>
        <w:rPr>
          <w:lang w:val="en-GB"/>
        </w:rPr>
      </w:pPr>
      <w:r>
        <w:rPr>
          <w:noProof/>
          <w:lang w:val="en-GB"/>
        </w:rPr>
        <w:drawing>
          <wp:inline distT="0" distB="0" distL="0" distR="0" wp14:anchorId="0DE89C99" wp14:editId="2FCC4A36">
            <wp:extent cx="6640830" cy="509905"/>
            <wp:effectExtent l="0" t="0" r="7620" b="4445"/>
            <wp:docPr id="750070353" name="Picture 750070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25">
                      <a:extLst>
                        <a:ext uri="{28A0092B-C50C-407E-A947-70E740481C1C}">
                          <a14:useLocalDpi xmlns:a14="http://schemas.microsoft.com/office/drawing/2010/main" val="0"/>
                        </a:ext>
                      </a:extLst>
                    </a:blip>
                    <a:srcRect/>
                    <a:stretch>
                      <a:fillRect/>
                    </a:stretch>
                  </pic:blipFill>
                  <pic:spPr bwMode="auto">
                    <a:xfrm>
                      <a:off x="0" y="0"/>
                      <a:ext cx="6640830" cy="509905"/>
                    </a:xfrm>
                    <a:prstGeom prst="rect">
                      <a:avLst/>
                    </a:prstGeom>
                    <a:noFill/>
                    <a:ln>
                      <a:noFill/>
                    </a:ln>
                  </pic:spPr>
                </pic:pic>
              </a:graphicData>
            </a:graphic>
          </wp:inline>
        </w:drawing>
      </w:r>
    </w:p>
    <w:p w14:paraId="2457A7DE" w14:textId="77777777" w:rsidR="001406B1" w:rsidRDefault="001406B1" w:rsidP="001406B1">
      <w:pPr>
        <w:rPr>
          <w:lang w:val="en-GB"/>
        </w:rPr>
      </w:pPr>
      <w:r>
        <w:rPr>
          <w:lang w:val="en-GB"/>
        </w:rPr>
        <w:t xml:space="preserve">There are a few metrics covering 0 pages and overhead. </w:t>
      </w:r>
    </w:p>
    <w:p w14:paraId="51CFB9E7" w14:textId="77777777" w:rsidR="001406B1" w:rsidRDefault="001406B1" w:rsidP="001406B1">
      <w:pPr>
        <w:rPr>
          <w:lang w:val="en-GB"/>
        </w:rPr>
      </w:pPr>
      <w:r>
        <w:rPr>
          <w:noProof/>
          <w:lang w:val="en-GB"/>
        </w:rPr>
        <w:lastRenderedPageBreak/>
        <w:drawing>
          <wp:inline distT="0" distB="0" distL="0" distR="0" wp14:anchorId="4B47CF09" wp14:editId="1CDE68CF">
            <wp:extent cx="6640830" cy="1160780"/>
            <wp:effectExtent l="0" t="0" r="7620" b="1270"/>
            <wp:docPr id="750070354" name="Picture 750070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6">
                      <a:extLst>
                        <a:ext uri="{28A0092B-C50C-407E-A947-70E740481C1C}">
                          <a14:useLocalDpi xmlns:a14="http://schemas.microsoft.com/office/drawing/2010/main" val="0"/>
                        </a:ext>
                      </a:extLst>
                    </a:blip>
                    <a:srcRect/>
                    <a:stretch>
                      <a:fillRect/>
                    </a:stretch>
                  </pic:blipFill>
                  <pic:spPr bwMode="auto">
                    <a:xfrm>
                      <a:off x="0" y="0"/>
                      <a:ext cx="6640830" cy="1160780"/>
                    </a:xfrm>
                    <a:prstGeom prst="rect">
                      <a:avLst/>
                    </a:prstGeom>
                    <a:noFill/>
                    <a:ln>
                      <a:noFill/>
                    </a:ln>
                  </pic:spPr>
                </pic:pic>
              </a:graphicData>
            </a:graphic>
          </wp:inline>
        </w:drawing>
      </w:r>
    </w:p>
    <w:p w14:paraId="291BACFC" w14:textId="77777777" w:rsidR="001406B1" w:rsidRDefault="001406B1" w:rsidP="001406B1">
      <w:pPr>
        <w:rPr>
          <w:lang w:val="en-GB"/>
        </w:rPr>
      </w:pPr>
      <w:r>
        <w:rPr>
          <w:lang w:val="en-GB"/>
        </w:rPr>
        <w:t>Persistent Memory</w:t>
      </w:r>
    </w:p>
    <w:p w14:paraId="25C7FFC3" w14:textId="77777777" w:rsidR="001406B1" w:rsidRDefault="001406B1" w:rsidP="001406B1">
      <w:pPr>
        <w:rPr>
          <w:lang w:val="en-GB"/>
        </w:rPr>
      </w:pPr>
      <w:r>
        <w:rPr>
          <w:noProof/>
          <w:lang w:val="en-GB"/>
        </w:rPr>
        <w:drawing>
          <wp:inline distT="0" distB="0" distL="0" distR="0" wp14:anchorId="1B678D31" wp14:editId="6EA048EB">
            <wp:extent cx="6645910" cy="586740"/>
            <wp:effectExtent l="0" t="0" r="2540" b="3810"/>
            <wp:docPr id="1971069044" name="Picture 1971069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7">
                      <a:extLst>
                        <a:ext uri="{28A0092B-C50C-407E-A947-70E740481C1C}">
                          <a14:useLocalDpi xmlns:a14="http://schemas.microsoft.com/office/drawing/2010/main" val="0"/>
                        </a:ext>
                      </a:extLst>
                    </a:blip>
                    <a:srcRect/>
                    <a:stretch>
                      <a:fillRect/>
                    </a:stretch>
                  </pic:blipFill>
                  <pic:spPr bwMode="auto">
                    <a:xfrm>
                      <a:off x="0" y="0"/>
                      <a:ext cx="6645910" cy="586740"/>
                    </a:xfrm>
                    <a:prstGeom prst="rect">
                      <a:avLst/>
                    </a:prstGeom>
                    <a:noFill/>
                    <a:ln>
                      <a:noFill/>
                    </a:ln>
                  </pic:spPr>
                </pic:pic>
              </a:graphicData>
            </a:graphic>
          </wp:inline>
        </w:drawing>
      </w:r>
    </w:p>
    <w:p w14:paraId="04ABA8DF" w14:textId="77777777" w:rsidR="001406B1" w:rsidRDefault="001406B1" w:rsidP="001406B1">
      <w:pPr>
        <w:rPr>
          <w:lang w:val="en-GB"/>
        </w:rPr>
      </w:pPr>
      <w:r>
        <w:rPr>
          <w:lang w:val="en-GB"/>
        </w:rPr>
        <w:t>Lastly, there are a few metrics for VMFS. I think they are internal, only used by VMkernel. Let me know if you have a real world use case them.</w:t>
      </w:r>
    </w:p>
    <w:p w14:paraId="487A1BFF" w14:textId="77777777" w:rsidR="001406B1" w:rsidRDefault="001406B1" w:rsidP="001406B1">
      <w:r>
        <w:rPr>
          <w:noProof/>
        </w:rPr>
        <w:drawing>
          <wp:inline distT="0" distB="0" distL="0" distR="0" wp14:anchorId="161A6173" wp14:editId="0D1938D8">
            <wp:extent cx="6640830" cy="1242695"/>
            <wp:effectExtent l="0" t="0" r="7620" b="0"/>
            <wp:docPr id="750070350" name="Picture 7500703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50" name="Picture 750070350" descr="Table&#10;&#10;Description automatically generated"/>
                    <pic:cNvPicPr>
                      <a:picLocks noChangeAspect="1" noChangeArrowheads="1"/>
                    </pic:cNvPicPr>
                  </pic:nvPicPr>
                  <pic:blipFill>
                    <a:blip r:embed="rId728">
                      <a:extLst>
                        <a:ext uri="{28A0092B-C50C-407E-A947-70E740481C1C}">
                          <a14:useLocalDpi xmlns:a14="http://schemas.microsoft.com/office/drawing/2010/main" val="0"/>
                        </a:ext>
                      </a:extLst>
                    </a:blip>
                    <a:srcRect/>
                    <a:stretch>
                      <a:fillRect/>
                    </a:stretch>
                  </pic:blipFill>
                  <pic:spPr bwMode="auto">
                    <a:xfrm>
                      <a:off x="0" y="0"/>
                      <a:ext cx="6640830" cy="1242695"/>
                    </a:xfrm>
                    <a:prstGeom prst="rect">
                      <a:avLst/>
                    </a:prstGeom>
                    <a:noFill/>
                    <a:ln>
                      <a:noFill/>
                    </a:ln>
                  </pic:spPr>
                </pic:pic>
              </a:graphicData>
            </a:graphic>
          </wp:inline>
        </w:drawing>
      </w:r>
    </w:p>
    <w:p w14:paraId="18772E2C" w14:textId="10ED1E12" w:rsidR="008C1CD8" w:rsidRDefault="008C1CD8" w:rsidP="001406B1">
      <w:pPr>
        <w:pStyle w:val="Heading4"/>
      </w:pPr>
      <w:bookmarkStart w:id="122" w:name="_Ballooned"/>
      <w:bookmarkEnd w:id="122"/>
      <w:r>
        <w:t>“Contention” Metrics</w:t>
      </w:r>
    </w:p>
    <w:p w14:paraId="07AD29C1" w14:textId="07B85576" w:rsidR="0067679D" w:rsidRDefault="0067679D" w:rsidP="0067679D">
      <w:pPr>
        <w:rPr>
          <w:lang w:val="en-GB"/>
        </w:rPr>
      </w:pPr>
      <w:r>
        <w:rPr>
          <w:lang w:val="en-GB"/>
        </w:rPr>
        <w:t xml:space="preserve">I put the title in “quote” as none of these counters actually measure contention. </w:t>
      </w:r>
    </w:p>
    <w:p w14:paraId="45B34B36" w14:textId="34B408AC" w:rsidR="0067679D" w:rsidRPr="00FA4792" w:rsidRDefault="0067679D" w:rsidP="0067679D">
      <w:pPr>
        <w:rPr>
          <w:lang w:val="en-GB"/>
        </w:rPr>
      </w:pPr>
      <w:bookmarkStart w:id="123" w:name="_Hlk133665196"/>
      <w:r>
        <w:rPr>
          <w:lang w:val="en-GB"/>
        </w:rPr>
        <w:t xml:space="preserve">I do not cover the Latency metric as that’s basically a normalized average of all the running VMs on the host. </w:t>
      </w:r>
    </w:p>
    <w:bookmarkEnd w:id="123"/>
    <w:p w14:paraId="0F90ED31" w14:textId="27CDCFD5" w:rsidR="001406B1" w:rsidRDefault="001406B1" w:rsidP="008C1CD8">
      <w:pPr>
        <w:pStyle w:val="Heading5"/>
      </w:pPr>
      <w:r>
        <w:t>Balloon</w:t>
      </w:r>
    </w:p>
    <w:p w14:paraId="45E82553" w14:textId="77777777" w:rsidR="001406B1" w:rsidRDefault="001406B1" w:rsidP="001406B1">
      <w:pPr>
        <w:rPr>
          <w:lang w:val="en-GB"/>
        </w:rPr>
      </w:pPr>
      <w:r>
        <w:rPr>
          <w:lang w:val="en-GB"/>
        </w:rPr>
        <w:t>Balloon is a leading indicator that an ESXi is under memory pressure, hence it’s one of the primary metrics you should use in capacity. Assuming you’re not using Limit to artificially cap the resource, you should ensure that the balloon amount does not cause VM to experience contention.</w:t>
      </w:r>
    </w:p>
    <w:p w14:paraId="75ECC7A7" w14:textId="77777777" w:rsidR="001406B1" w:rsidRDefault="001406B1" w:rsidP="001406B1">
      <w:pPr>
        <w:rPr>
          <w:lang w:val="en-GB"/>
        </w:rPr>
      </w:pPr>
      <w:r w:rsidRPr="00EC2C54">
        <w:rPr>
          <w:lang w:val="en-GB"/>
        </w:rPr>
        <w:t>We know that contention happens at hypervisor level, not at VM level. The VM is feeling the side effects of the contention, and the degree of contention depends on each VM's shares, reservation and utilization. ESXi begins taking action if it is running low on free memory. This is tracked by a counter called State. The State counter has five states</w:t>
      </w:r>
      <w:r>
        <w:rPr>
          <w:lang w:val="en-GB"/>
        </w:rPr>
        <w:t>, corresponding to the Free Memory Minimum (%) value</w:t>
      </w:r>
    </w:p>
    <w:p w14:paraId="17B43E18" w14:textId="77777777" w:rsidR="001406B1" w:rsidRDefault="001406B1" w:rsidP="001406B1">
      <w:pPr>
        <w:pStyle w:val="BeforeTable"/>
        <w:rPr>
          <w:lang w:val="en-GB"/>
        </w:rPr>
      </w:pPr>
    </w:p>
    <w:tbl>
      <w:tblPr>
        <w:tblStyle w:val="GridTable1Light"/>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413"/>
        <w:gridCol w:w="1276"/>
        <w:gridCol w:w="3597"/>
        <w:gridCol w:w="4170"/>
      </w:tblGrid>
      <w:tr w:rsidR="001406B1" w:rsidRPr="00D517BC" w14:paraId="39B6304E" w14:textId="77777777" w:rsidTr="002813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Borders>
              <w:bottom w:val="none" w:sz="0" w:space="0" w:color="auto"/>
            </w:tcBorders>
            <w:shd w:val="clear" w:color="auto" w:fill="F2F2F2" w:themeFill="background1" w:themeFillShade="F2"/>
          </w:tcPr>
          <w:p w14:paraId="78BECBE6" w14:textId="77777777" w:rsidR="001406B1" w:rsidRPr="00D517BC" w:rsidRDefault="001406B1" w:rsidP="00281329">
            <w:pPr>
              <w:pStyle w:val="Tableheading"/>
              <w:rPr>
                <w:b/>
              </w:rPr>
            </w:pPr>
            <w:r w:rsidRPr="00D517BC">
              <w:rPr>
                <w:b/>
              </w:rPr>
              <w:t>ESXi State</w:t>
            </w:r>
          </w:p>
        </w:tc>
        <w:tc>
          <w:tcPr>
            <w:tcW w:w="1276" w:type="dxa"/>
            <w:tcBorders>
              <w:bottom w:val="none" w:sz="0" w:space="0" w:color="auto"/>
            </w:tcBorders>
            <w:shd w:val="clear" w:color="auto" w:fill="F2F2F2" w:themeFill="background1" w:themeFillShade="F2"/>
          </w:tcPr>
          <w:p w14:paraId="4AA124B3" w14:textId="77777777" w:rsidR="001406B1" w:rsidRPr="00D517BC" w:rsidRDefault="001406B1" w:rsidP="00281329">
            <w:pPr>
              <w:pStyle w:val="Tableheading"/>
              <w:cnfStyle w:val="100000000000" w:firstRow="1" w:lastRow="0" w:firstColumn="0" w:lastColumn="0" w:oddVBand="0" w:evenVBand="0" w:oddHBand="0" w:evenHBand="0" w:firstRowFirstColumn="0" w:firstRowLastColumn="0" w:lastRowFirstColumn="0" w:lastRowLastColumn="0"/>
              <w:rPr>
                <w:b/>
              </w:rPr>
            </w:pPr>
            <w:r w:rsidRPr="00D517BC">
              <w:rPr>
                <w:b/>
              </w:rPr>
              <w:t>Threshold</w:t>
            </w:r>
          </w:p>
        </w:tc>
        <w:tc>
          <w:tcPr>
            <w:tcW w:w="3597" w:type="dxa"/>
            <w:tcBorders>
              <w:bottom w:val="none" w:sz="0" w:space="0" w:color="auto"/>
            </w:tcBorders>
            <w:shd w:val="clear" w:color="auto" w:fill="F2F2F2" w:themeFill="background1" w:themeFillShade="F2"/>
          </w:tcPr>
          <w:p w14:paraId="2309C178" w14:textId="77777777" w:rsidR="001406B1" w:rsidRPr="00524436" w:rsidRDefault="001406B1" w:rsidP="00281329">
            <w:pPr>
              <w:pStyle w:val="Tableheading"/>
              <w:cnfStyle w:val="100000000000" w:firstRow="1" w:lastRow="0" w:firstColumn="0" w:lastColumn="0" w:oddVBand="0" w:evenVBand="0" w:oddHBand="0" w:evenHBand="0" w:firstRowFirstColumn="0" w:firstRowLastColumn="0" w:lastRowFirstColumn="0" w:lastRowLastColumn="0"/>
              <w:rPr>
                <w:b/>
              </w:rPr>
            </w:pPr>
            <w:r w:rsidRPr="00524436">
              <w:rPr>
                <w:b/>
              </w:rPr>
              <w:t>1 TB ESXi</w:t>
            </w:r>
          </w:p>
        </w:tc>
        <w:tc>
          <w:tcPr>
            <w:tcW w:w="4170" w:type="dxa"/>
            <w:tcBorders>
              <w:bottom w:val="none" w:sz="0" w:space="0" w:color="auto"/>
            </w:tcBorders>
            <w:shd w:val="clear" w:color="auto" w:fill="F2F2F2" w:themeFill="background1" w:themeFillShade="F2"/>
          </w:tcPr>
          <w:p w14:paraId="484FD549" w14:textId="77777777" w:rsidR="001406B1" w:rsidRPr="00D517BC" w:rsidRDefault="001406B1" w:rsidP="00281329">
            <w:pPr>
              <w:pStyle w:val="Tableheading"/>
              <w:cnfStyle w:val="100000000000" w:firstRow="1" w:lastRow="0" w:firstColumn="0" w:lastColumn="0" w:oddVBand="0" w:evenVBand="0" w:oddHBand="0" w:evenHBand="0" w:firstRowFirstColumn="0" w:firstRowLastColumn="0" w:lastRowFirstColumn="0" w:lastRowLastColumn="0"/>
              <w:rPr>
                <w:b/>
              </w:rPr>
            </w:pPr>
            <w:r w:rsidRPr="00D517BC">
              <w:rPr>
                <w:b/>
              </w:rPr>
              <w:t>Example based on ESXi with 1 TB RAM</w:t>
            </w:r>
          </w:p>
        </w:tc>
      </w:tr>
      <w:tr w:rsidR="001406B1" w14:paraId="63FD8E6C" w14:textId="77777777" w:rsidTr="00281329">
        <w:tc>
          <w:tcPr>
            <w:cnfStyle w:val="001000000000" w:firstRow="0" w:lastRow="0" w:firstColumn="1" w:lastColumn="0" w:oddVBand="0" w:evenVBand="0" w:oddHBand="0" w:evenHBand="0" w:firstRowFirstColumn="0" w:firstRowLastColumn="0" w:lastRowFirstColumn="0" w:lastRowLastColumn="0"/>
            <w:tcW w:w="1413" w:type="dxa"/>
          </w:tcPr>
          <w:p w14:paraId="1D67F190" w14:textId="77777777" w:rsidR="001406B1" w:rsidRDefault="001406B1" w:rsidP="00281329">
            <w:pPr>
              <w:pStyle w:val="Tablecontent"/>
            </w:pPr>
            <w:r>
              <w:t>High</w:t>
            </w:r>
          </w:p>
        </w:tc>
        <w:tc>
          <w:tcPr>
            <w:tcW w:w="1276" w:type="dxa"/>
          </w:tcPr>
          <w:p w14:paraId="37AAD0E5" w14:textId="77777777" w:rsidR="001406B1" w:rsidRDefault="001406B1" w:rsidP="00281329">
            <w:pPr>
              <w:pStyle w:val="Tablecontent"/>
              <w:cnfStyle w:val="000000000000" w:firstRow="0" w:lastRow="0" w:firstColumn="0" w:lastColumn="0" w:oddVBand="0" w:evenVBand="0" w:oddHBand="0" w:evenHBand="0" w:firstRowFirstColumn="0" w:firstRowLastColumn="0" w:lastRowFirstColumn="0" w:lastRowLastColumn="0"/>
            </w:pPr>
            <w:r>
              <w:t>300%</w:t>
            </w:r>
          </w:p>
        </w:tc>
        <w:tc>
          <w:tcPr>
            <w:tcW w:w="3597" w:type="dxa"/>
          </w:tcPr>
          <w:p w14:paraId="2F1CA1C8" w14:textId="77777777" w:rsidR="001406B1" w:rsidRDefault="001406B1" w:rsidP="00281329">
            <w:pPr>
              <w:pStyle w:val="Tablecontent"/>
              <w:cnfStyle w:val="000000000000" w:firstRow="0" w:lastRow="0" w:firstColumn="0" w:lastColumn="0" w:oddVBand="0" w:evenVBand="0" w:oddHBand="0" w:evenHBand="0" w:firstRowFirstColumn="0" w:firstRowLastColumn="0" w:lastRowFirstColumn="0" w:lastRowLastColumn="0"/>
            </w:pPr>
            <w:r>
              <w:t>32.4 GB</w:t>
            </w:r>
          </w:p>
        </w:tc>
        <w:tc>
          <w:tcPr>
            <w:tcW w:w="4170" w:type="dxa"/>
            <w:vMerge w:val="restart"/>
          </w:tcPr>
          <w:p w14:paraId="78773F28" w14:textId="77777777" w:rsidR="001406B1" w:rsidRDefault="001406B1" w:rsidP="00281329">
            <w:pPr>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First, we calculate the Free Memory Minimum value. There is many website to help you with this, such as </w:t>
            </w:r>
            <w:hyperlink r:id="rId729" w:history="1">
              <w:r w:rsidRPr="00AB5031">
                <w:rPr>
                  <w:rStyle w:val="Hyperlink"/>
                  <w:lang w:val="en-GB"/>
                </w:rPr>
                <w:t>this</w:t>
              </w:r>
            </w:hyperlink>
            <w:r>
              <w:rPr>
                <w:lang w:val="en-GB"/>
              </w:rPr>
              <w:t xml:space="preserve">. </w:t>
            </w:r>
          </w:p>
          <w:p w14:paraId="11BEE901" w14:textId="77777777" w:rsidR="001406B1" w:rsidRDefault="001406B1" w:rsidP="00281329">
            <w:pPr>
              <w:cnfStyle w:val="000000000000" w:firstRow="0" w:lastRow="0" w:firstColumn="0" w:lastColumn="0" w:oddVBand="0" w:evenVBand="0" w:oddHBand="0" w:evenHBand="0" w:firstRowFirstColumn="0" w:firstRowLastColumn="0" w:lastRowFirstColumn="0" w:lastRowLastColumn="0"/>
              <w:rPr>
                <w:lang w:val="en-GB"/>
              </w:rPr>
            </w:pPr>
            <w:r>
              <w:rPr>
                <w:lang w:val="en-GB"/>
              </w:rPr>
              <w:t>For 1 TB, the value is 10.8 GB.</w:t>
            </w:r>
          </w:p>
        </w:tc>
      </w:tr>
      <w:tr w:rsidR="001406B1" w14:paraId="3868A297" w14:textId="77777777" w:rsidTr="00281329">
        <w:tc>
          <w:tcPr>
            <w:cnfStyle w:val="001000000000" w:firstRow="0" w:lastRow="0" w:firstColumn="1" w:lastColumn="0" w:oddVBand="0" w:evenVBand="0" w:oddHBand="0" w:evenHBand="0" w:firstRowFirstColumn="0" w:firstRowLastColumn="0" w:lastRowFirstColumn="0" w:lastRowLastColumn="0"/>
            <w:tcW w:w="1413" w:type="dxa"/>
          </w:tcPr>
          <w:p w14:paraId="114DB4E1" w14:textId="77777777" w:rsidR="001406B1" w:rsidRDefault="001406B1" w:rsidP="00281329">
            <w:pPr>
              <w:pStyle w:val="Tablecontent"/>
            </w:pPr>
            <w:r>
              <w:lastRenderedPageBreak/>
              <w:t>Clear</w:t>
            </w:r>
          </w:p>
        </w:tc>
        <w:tc>
          <w:tcPr>
            <w:tcW w:w="1276" w:type="dxa"/>
          </w:tcPr>
          <w:p w14:paraId="6D20E7F0" w14:textId="77777777" w:rsidR="001406B1" w:rsidRDefault="001406B1" w:rsidP="00281329">
            <w:pPr>
              <w:pStyle w:val="Tablecontent"/>
              <w:cnfStyle w:val="000000000000" w:firstRow="0" w:lastRow="0" w:firstColumn="0" w:lastColumn="0" w:oddVBand="0" w:evenVBand="0" w:oddHBand="0" w:evenHBand="0" w:firstRowFirstColumn="0" w:firstRowLastColumn="0" w:lastRowFirstColumn="0" w:lastRowLastColumn="0"/>
            </w:pPr>
            <w:r>
              <w:t>100%</w:t>
            </w:r>
          </w:p>
        </w:tc>
        <w:tc>
          <w:tcPr>
            <w:tcW w:w="3597" w:type="dxa"/>
          </w:tcPr>
          <w:p w14:paraId="226ED7FA" w14:textId="77777777" w:rsidR="001406B1" w:rsidRDefault="001406B1" w:rsidP="00281329">
            <w:pPr>
              <w:pStyle w:val="Tablecontent"/>
              <w:cnfStyle w:val="000000000000" w:firstRow="0" w:lastRow="0" w:firstColumn="0" w:lastColumn="0" w:oddVBand="0" w:evenVBand="0" w:oddHBand="0" w:evenHBand="0" w:firstRowFirstColumn="0" w:firstRowLastColumn="0" w:lastRowFirstColumn="0" w:lastRowLastColumn="0"/>
            </w:pPr>
            <w:r>
              <w:t>10.8 GB</w:t>
            </w:r>
          </w:p>
        </w:tc>
        <w:tc>
          <w:tcPr>
            <w:tcW w:w="4170" w:type="dxa"/>
            <w:vMerge/>
          </w:tcPr>
          <w:p w14:paraId="116059FB" w14:textId="77777777" w:rsidR="001406B1" w:rsidRDefault="001406B1" w:rsidP="00281329">
            <w:pPr>
              <w:cnfStyle w:val="000000000000" w:firstRow="0" w:lastRow="0" w:firstColumn="0" w:lastColumn="0" w:oddVBand="0" w:evenVBand="0" w:oddHBand="0" w:evenHBand="0" w:firstRowFirstColumn="0" w:firstRowLastColumn="0" w:lastRowFirstColumn="0" w:lastRowLastColumn="0"/>
              <w:rPr>
                <w:lang w:val="en-GB"/>
              </w:rPr>
            </w:pPr>
          </w:p>
        </w:tc>
      </w:tr>
      <w:tr w:rsidR="001406B1" w14:paraId="5962B74C" w14:textId="77777777" w:rsidTr="00281329">
        <w:tc>
          <w:tcPr>
            <w:cnfStyle w:val="001000000000" w:firstRow="0" w:lastRow="0" w:firstColumn="1" w:lastColumn="0" w:oddVBand="0" w:evenVBand="0" w:oddHBand="0" w:evenHBand="0" w:firstRowFirstColumn="0" w:firstRowLastColumn="0" w:lastRowFirstColumn="0" w:lastRowLastColumn="0"/>
            <w:tcW w:w="1413" w:type="dxa"/>
          </w:tcPr>
          <w:p w14:paraId="21323B5F" w14:textId="77777777" w:rsidR="001406B1" w:rsidRDefault="001406B1" w:rsidP="00281329">
            <w:pPr>
              <w:pStyle w:val="Tablecontent"/>
            </w:pPr>
            <w:r>
              <w:t>Soft</w:t>
            </w:r>
          </w:p>
        </w:tc>
        <w:tc>
          <w:tcPr>
            <w:tcW w:w="1276" w:type="dxa"/>
          </w:tcPr>
          <w:p w14:paraId="1F1C6E0D" w14:textId="77777777" w:rsidR="001406B1" w:rsidRDefault="001406B1" w:rsidP="00281329">
            <w:pPr>
              <w:pStyle w:val="Tablecontent"/>
              <w:cnfStyle w:val="000000000000" w:firstRow="0" w:lastRow="0" w:firstColumn="0" w:lastColumn="0" w:oddVBand="0" w:evenVBand="0" w:oddHBand="0" w:evenHBand="0" w:firstRowFirstColumn="0" w:firstRowLastColumn="0" w:lastRowFirstColumn="0" w:lastRowLastColumn="0"/>
            </w:pPr>
            <w:r>
              <w:t>64%</w:t>
            </w:r>
          </w:p>
        </w:tc>
        <w:tc>
          <w:tcPr>
            <w:tcW w:w="3597" w:type="dxa"/>
          </w:tcPr>
          <w:p w14:paraId="20B6A797" w14:textId="77777777" w:rsidR="001406B1" w:rsidRDefault="001406B1" w:rsidP="00281329">
            <w:pPr>
              <w:pStyle w:val="Tablecontent"/>
              <w:cnfStyle w:val="000000000000" w:firstRow="0" w:lastRow="0" w:firstColumn="0" w:lastColumn="0" w:oddVBand="0" w:evenVBand="0" w:oddHBand="0" w:evenHBand="0" w:firstRowFirstColumn="0" w:firstRowLastColumn="0" w:lastRowFirstColumn="0" w:lastRowLastColumn="0"/>
            </w:pPr>
            <w:r>
              <w:t>6.9 GB. Balloon starts here</w:t>
            </w:r>
          </w:p>
        </w:tc>
        <w:tc>
          <w:tcPr>
            <w:tcW w:w="4170" w:type="dxa"/>
            <w:vMerge/>
          </w:tcPr>
          <w:p w14:paraId="1A480E8B" w14:textId="77777777" w:rsidR="001406B1" w:rsidRDefault="001406B1" w:rsidP="00281329">
            <w:pPr>
              <w:cnfStyle w:val="000000000000" w:firstRow="0" w:lastRow="0" w:firstColumn="0" w:lastColumn="0" w:oddVBand="0" w:evenVBand="0" w:oddHBand="0" w:evenHBand="0" w:firstRowFirstColumn="0" w:firstRowLastColumn="0" w:lastRowFirstColumn="0" w:lastRowLastColumn="0"/>
              <w:rPr>
                <w:lang w:val="en-GB"/>
              </w:rPr>
            </w:pPr>
          </w:p>
        </w:tc>
      </w:tr>
      <w:tr w:rsidR="001406B1" w14:paraId="38ED66E7" w14:textId="77777777" w:rsidTr="00281329">
        <w:tc>
          <w:tcPr>
            <w:cnfStyle w:val="001000000000" w:firstRow="0" w:lastRow="0" w:firstColumn="1" w:lastColumn="0" w:oddVBand="0" w:evenVBand="0" w:oddHBand="0" w:evenHBand="0" w:firstRowFirstColumn="0" w:firstRowLastColumn="0" w:lastRowFirstColumn="0" w:lastRowLastColumn="0"/>
            <w:tcW w:w="1413" w:type="dxa"/>
          </w:tcPr>
          <w:p w14:paraId="3B1EBF6B" w14:textId="77777777" w:rsidR="001406B1" w:rsidRDefault="001406B1" w:rsidP="00281329">
            <w:pPr>
              <w:pStyle w:val="Tablecontent"/>
            </w:pPr>
            <w:r>
              <w:t>Hard</w:t>
            </w:r>
          </w:p>
        </w:tc>
        <w:tc>
          <w:tcPr>
            <w:tcW w:w="1276" w:type="dxa"/>
          </w:tcPr>
          <w:p w14:paraId="25A2396C" w14:textId="77777777" w:rsidR="001406B1" w:rsidRDefault="001406B1" w:rsidP="00281329">
            <w:pPr>
              <w:pStyle w:val="Tablecontent"/>
              <w:cnfStyle w:val="000000000000" w:firstRow="0" w:lastRow="0" w:firstColumn="0" w:lastColumn="0" w:oddVBand="0" w:evenVBand="0" w:oddHBand="0" w:evenHBand="0" w:firstRowFirstColumn="0" w:firstRowLastColumn="0" w:lastRowFirstColumn="0" w:lastRowLastColumn="0"/>
            </w:pPr>
            <w:r>
              <w:t>32%</w:t>
            </w:r>
          </w:p>
        </w:tc>
        <w:tc>
          <w:tcPr>
            <w:tcW w:w="3597" w:type="dxa"/>
          </w:tcPr>
          <w:p w14:paraId="5B81BDFF" w14:textId="77777777" w:rsidR="001406B1" w:rsidRDefault="001406B1" w:rsidP="00281329">
            <w:pPr>
              <w:pStyle w:val="Tablecontent"/>
              <w:cnfStyle w:val="000000000000" w:firstRow="0" w:lastRow="0" w:firstColumn="0" w:lastColumn="0" w:oddVBand="0" w:evenVBand="0" w:oddHBand="0" w:evenHBand="0" w:firstRowFirstColumn="0" w:firstRowLastColumn="0" w:lastRowFirstColumn="0" w:lastRowLastColumn="0"/>
            </w:pPr>
            <w:r>
              <w:t>3.5 GB. Compress/Swap starts here</w:t>
            </w:r>
          </w:p>
        </w:tc>
        <w:tc>
          <w:tcPr>
            <w:tcW w:w="4170" w:type="dxa"/>
            <w:vMerge/>
          </w:tcPr>
          <w:p w14:paraId="1B62D0B5" w14:textId="77777777" w:rsidR="001406B1" w:rsidRDefault="001406B1" w:rsidP="00281329">
            <w:pPr>
              <w:cnfStyle w:val="000000000000" w:firstRow="0" w:lastRow="0" w:firstColumn="0" w:lastColumn="0" w:oddVBand="0" w:evenVBand="0" w:oddHBand="0" w:evenHBand="0" w:firstRowFirstColumn="0" w:firstRowLastColumn="0" w:lastRowFirstColumn="0" w:lastRowLastColumn="0"/>
              <w:rPr>
                <w:lang w:val="en-GB"/>
              </w:rPr>
            </w:pPr>
          </w:p>
        </w:tc>
      </w:tr>
      <w:tr w:rsidR="001406B1" w14:paraId="2EACF50B" w14:textId="77777777" w:rsidTr="00281329">
        <w:tc>
          <w:tcPr>
            <w:cnfStyle w:val="001000000000" w:firstRow="0" w:lastRow="0" w:firstColumn="1" w:lastColumn="0" w:oddVBand="0" w:evenVBand="0" w:oddHBand="0" w:evenHBand="0" w:firstRowFirstColumn="0" w:firstRowLastColumn="0" w:lastRowFirstColumn="0" w:lastRowLastColumn="0"/>
            <w:tcW w:w="1413" w:type="dxa"/>
          </w:tcPr>
          <w:p w14:paraId="069179C6" w14:textId="77777777" w:rsidR="001406B1" w:rsidRDefault="001406B1" w:rsidP="00281329">
            <w:pPr>
              <w:pStyle w:val="Tablecontent"/>
            </w:pPr>
            <w:r>
              <w:t>Low</w:t>
            </w:r>
          </w:p>
        </w:tc>
        <w:tc>
          <w:tcPr>
            <w:tcW w:w="1276" w:type="dxa"/>
          </w:tcPr>
          <w:p w14:paraId="15F949D8" w14:textId="77777777" w:rsidR="001406B1" w:rsidRDefault="001406B1" w:rsidP="00281329">
            <w:pPr>
              <w:pStyle w:val="Tablecontent"/>
              <w:cnfStyle w:val="000000000000" w:firstRow="0" w:lastRow="0" w:firstColumn="0" w:lastColumn="0" w:oddVBand="0" w:evenVBand="0" w:oddHBand="0" w:evenHBand="0" w:firstRowFirstColumn="0" w:firstRowLastColumn="0" w:lastRowFirstColumn="0" w:lastRowLastColumn="0"/>
            </w:pPr>
            <w:r>
              <w:t>16%</w:t>
            </w:r>
          </w:p>
        </w:tc>
        <w:tc>
          <w:tcPr>
            <w:tcW w:w="3597" w:type="dxa"/>
          </w:tcPr>
          <w:p w14:paraId="17929DB1" w14:textId="77777777" w:rsidR="001406B1" w:rsidRDefault="001406B1" w:rsidP="00281329">
            <w:pPr>
              <w:pStyle w:val="Tablecontent"/>
              <w:cnfStyle w:val="000000000000" w:firstRow="0" w:lastRow="0" w:firstColumn="0" w:lastColumn="0" w:oddVBand="0" w:evenVBand="0" w:oddHBand="0" w:evenHBand="0" w:firstRowFirstColumn="0" w:firstRowLastColumn="0" w:lastRowFirstColumn="0" w:lastRowLastColumn="0"/>
            </w:pPr>
            <w:r>
              <w:t>1.7 GB. Block execution</w:t>
            </w:r>
          </w:p>
        </w:tc>
        <w:tc>
          <w:tcPr>
            <w:tcW w:w="4170" w:type="dxa"/>
            <w:vMerge/>
          </w:tcPr>
          <w:p w14:paraId="6EB847F2" w14:textId="77777777" w:rsidR="001406B1" w:rsidRDefault="001406B1" w:rsidP="00281329">
            <w:pPr>
              <w:cnfStyle w:val="000000000000" w:firstRow="0" w:lastRow="0" w:firstColumn="0" w:lastColumn="0" w:oddVBand="0" w:evenVBand="0" w:oddHBand="0" w:evenHBand="0" w:firstRowFirstColumn="0" w:firstRowLastColumn="0" w:lastRowFirstColumn="0" w:lastRowLastColumn="0"/>
              <w:rPr>
                <w:lang w:val="en-GB"/>
              </w:rPr>
            </w:pPr>
          </w:p>
        </w:tc>
      </w:tr>
    </w:tbl>
    <w:p w14:paraId="3C4170A7" w14:textId="77777777" w:rsidR="001406B1" w:rsidRDefault="001406B1" w:rsidP="001406B1">
      <w:pPr>
        <w:rPr>
          <w:lang w:val="en-GB"/>
        </w:rPr>
      </w:pPr>
      <w:bookmarkStart w:id="124" w:name="_Hlk133665282"/>
      <w:r>
        <w:rPr>
          <w:lang w:val="en-GB"/>
        </w:rPr>
        <w:t xml:space="preserve">Using the example above, let’s see at which point of utilization does ESXi triggers balloon process. </w:t>
      </w:r>
    </w:p>
    <w:p w14:paraId="358B7F59" w14:textId="77777777" w:rsidR="001406B1" w:rsidRDefault="001406B1" w:rsidP="001406B1">
      <w:pPr>
        <w:pStyle w:val="BeforeTable"/>
        <w:rPr>
          <w:lang w:val="en-GB"/>
        </w:rPr>
      </w:pPr>
    </w:p>
    <w:tbl>
      <w:tblPr>
        <w:tblStyle w:val="GridTable1Light"/>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22"/>
        <w:gridCol w:w="1984"/>
        <w:gridCol w:w="2180"/>
        <w:gridCol w:w="2180"/>
      </w:tblGrid>
      <w:tr w:rsidR="001406B1" w:rsidRPr="00D517BC" w14:paraId="64925BC8" w14:textId="77777777" w:rsidTr="0028132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122" w:type="dxa"/>
            <w:tcBorders>
              <w:bottom w:val="none" w:sz="0" w:space="0" w:color="auto"/>
            </w:tcBorders>
            <w:shd w:val="clear" w:color="auto" w:fill="F2F2F2" w:themeFill="background1" w:themeFillShade="F2"/>
          </w:tcPr>
          <w:p w14:paraId="43A15A84" w14:textId="77777777" w:rsidR="001406B1" w:rsidRPr="00D517BC" w:rsidRDefault="001406B1" w:rsidP="00281329">
            <w:pPr>
              <w:pStyle w:val="Tableheading"/>
              <w:rPr>
                <w:b/>
              </w:rPr>
            </w:pPr>
            <w:r w:rsidRPr="00D517BC">
              <w:rPr>
                <w:b/>
              </w:rPr>
              <w:t>ESXi State</w:t>
            </w:r>
          </w:p>
        </w:tc>
        <w:tc>
          <w:tcPr>
            <w:tcW w:w="1984" w:type="dxa"/>
            <w:tcBorders>
              <w:bottom w:val="none" w:sz="0" w:space="0" w:color="auto"/>
            </w:tcBorders>
            <w:shd w:val="clear" w:color="auto" w:fill="F2F2F2" w:themeFill="background1" w:themeFillShade="F2"/>
          </w:tcPr>
          <w:p w14:paraId="201A43FC" w14:textId="77777777" w:rsidR="001406B1" w:rsidRPr="00D517BC" w:rsidRDefault="001406B1" w:rsidP="00281329">
            <w:pPr>
              <w:pStyle w:val="Tableheading"/>
              <w:cnfStyle w:val="100000000000" w:firstRow="1" w:lastRow="0" w:firstColumn="0" w:lastColumn="0" w:oddVBand="0" w:evenVBand="0" w:oddHBand="0" w:evenHBand="0" w:firstRowFirstColumn="0" w:firstRowLastColumn="0" w:lastRowFirstColumn="0" w:lastRowLastColumn="0"/>
              <w:rPr>
                <w:b/>
              </w:rPr>
            </w:pPr>
            <w:r>
              <w:rPr>
                <w:b/>
              </w:rPr>
              <w:t>512 GB ESXi</w:t>
            </w:r>
          </w:p>
        </w:tc>
        <w:tc>
          <w:tcPr>
            <w:tcW w:w="2180" w:type="dxa"/>
            <w:tcBorders>
              <w:bottom w:val="none" w:sz="0" w:space="0" w:color="auto"/>
            </w:tcBorders>
            <w:shd w:val="clear" w:color="auto" w:fill="F2F2F2" w:themeFill="background1" w:themeFillShade="F2"/>
          </w:tcPr>
          <w:p w14:paraId="2AAEDFB5" w14:textId="77777777" w:rsidR="001406B1" w:rsidRPr="00524436" w:rsidRDefault="001406B1" w:rsidP="00281329">
            <w:pPr>
              <w:pStyle w:val="Tableheading"/>
              <w:cnfStyle w:val="100000000000" w:firstRow="1" w:lastRow="0" w:firstColumn="0" w:lastColumn="0" w:oddVBand="0" w:evenVBand="0" w:oddHBand="0" w:evenHBand="0" w:firstRowFirstColumn="0" w:firstRowLastColumn="0" w:lastRowFirstColumn="0" w:lastRowLastColumn="0"/>
              <w:rPr>
                <w:b/>
              </w:rPr>
            </w:pPr>
            <w:r w:rsidRPr="00524436">
              <w:rPr>
                <w:b/>
              </w:rPr>
              <w:t>1 TB ESXi</w:t>
            </w:r>
          </w:p>
        </w:tc>
        <w:tc>
          <w:tcPr>
            <w:tcW w:w="2180" w:type="dxa"/>
            <w:tcBorders>
              <w:bottom w:val="none" w:sz="0" w:space="0" w:color="auto"/>
            </w:tcBorders>
            <w:shd w:val="clear" w:color="auto" w:fill="F2F2F2" w:themeFill="background1" w:themeFillShade="F2"/>
          </w:tcPr>
          <w:p w14:paraId="11C8EF55" w14:textId="77777777" w:rsidR="001406B1" w:rsidRPr="00524436" w:rsidRDefault="001406B1" w:rsidP="00281329">
            <w:pPr>
              <w:pStyle w:val="Tableheading"/>
              <w:cnfStyle w:val="100000000000" w:firstRow="1" w:lastRow="0" w:firstColumn="0" w:lastColumn="0" w:oddVBand="0" w:evenVBand="0" w:oddHBand="0" w:evenHBand="0" w:firstRowFirstColumn="0" w:firstRowLastColumn="0" w:lastRowFirstColumn="0" w:lastRowLastColumn="0"/>
              <w:rPr>
                <w:b/>
              </w:rPr>
            </w:pPr>
            <w:r>
              <w:rPr>
                <w:b/>
              </w:rPr>
              <w:t>1.5 TB ESXi</w:t>
            </w:r>
          </w:p>
        </w:tc>
      </w:tr>
      <w:tr w:rsidR="001406B1" w14:paraId="774E57BF" w14:textId="77777777" w:rsidTr="00281329">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5DD7E192" w14:textId="77777777" w:rsidR="001406B1" w:rsidRDefault="001406B1" w:rsidP="00281329">
            <w:pPr>
              <w:pStyle w:val="Tablecontent"/>
            </w:pPr>
            <w:r>
              <w:t>Balloon Threshold</w:t>
            </w:r>
          </w:p>
        </w:tc>
        <w:tc>
          <w:tcPr>
            <w:tcW w:w="1984" w:type="dxa"/>
          </w:tcPr>
          <w:p w14:paraId="3DF576AE" w14:textId="77777777" w:rsidR="001406B1" w:rsidRDefault="001406B1" w:rsidP="0067679D">
            <w:pPr>
              <w:pStyle w:val="Tablecontent"/>
              <w:tabs>
                <w:tab w:val="decimal" w:pos="877"/>
              </w:tabs>
              <w:cnfStyle w:val="000000000000" w:firstRow="0" w:lastRow="0" w:firstColumn="0" w:lastColumn="0" w:oddVBand="0" w:evenVBand="0" w:oddHBand="0" w:evenHBand="0" w:firstRowFirstColumn="0" w:firstRowLastColumn="0" w:lastRowFirstColumn="0" w:lastRowLastColumn="0"/>
            </w:pPr>
            <w:r>
              <w:t>3.7 GB</w:t>
            </w:r>
          </w:p>
        </w:tc>
        <w:tc>
          <w:tcPr>
            <w:tcW w:w="2180" w:type="dxa"/>
          </w:tcPr>
          <w:p w14:paraId="0CD6C67C" w14:textId="77777777" w:rsidR="001406B1" w:rsidRDefault="001406B1" w:rsidP="0067679D">
            <w:pPr>
              <w:pStyle w:val="Tablecontent"/>
              <w:tabs>
                <w:tab w:val="decimal" w:pos="914"/>
              </w:tabs>
              <w:cnfStyle w:val="000000000000" w:firstRow="0" w:lastRow="0" w:firstColumn="0" w:lastColumn="0" w:oddVBand="0" w:evenVBand="0" w:oddHBand="0" w:evenHBand="0" w:firstRowFirstColumn="0" w:firstRowLastColumn="0" w:lastRowFirstColumn="0" w:lastRowLastColumn="0"/>
            </w:pPr>
            <w:r>
              <w:t>6.9 GB</w:t>
            </w:r>
          </w:p>
        </w:tc>
        <w:tc>
          <w:tcPr>
            <w:tcW w:w="2180" w:type="dxa"/>
          </w:tcPr>
          <w:p w14:paraId="26892B49" w14:textId="77777777" w:rsidR="001406B1" w:rsidRDefault="001406B1" w:rsidP="0067679D">
            <w:pPr>
              <w:pStyle w:val="Tablecontent"/>
              <w:tabs>
                <w:tab w:val="decimal" w:pos="989"/>
              </w:tabs>
              <w:cnfStyle w:val="000000000000" w:firstRow="0" w:lastRow="0" w:firstColumn="0" w:lastColumn="0" w:oddVBand="0" w:evenVBand="0" w:oddHBand="0" w:evenHBand="0" w:firstRowFirstColumn="0" w:firstRowLastColumn="0" w:lastRowFirstColumn="0" w:lastRowLastColumn="0"/>
            </w:pPr>
            <w:r>
              <w:t>10.2 GB</w:t>
            </w:r>
          </w:p>
        </w:tc>
      </w:tr>
      <w:tr w:rsidR="001406B1" w14:paraId="6C47F45D" w14:textId="77777777" w:rsidTr="00281329">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13893E7D" w14:textId="77777777" w:rsidR="001406B1" w:rsidRDefault="001406B1" w:rsidP="00281329">
            <w:pPr>
              <w:pStyle w:val="Tablecontent"/>
            </w:pPr>
            <w:r>
              <w:t>Threshold</w:t>
            </w:r>
          </w:p>
        </w:tc>
        <w:tc>
          <w:tcPr>
            <w:tcW w:w="1984" w:type="dxa"/>
          </w:tcPr>
          <w:p w14:paraId="132EFDE1" w14:textId="77777777" w:rsidR="001406B1" w:rsidRDefault="001406B1" w:rsidP="0067679D">
            <w:pPr>
              <w:pStyle w:val="Tablecontent"/>
              <w:tabs>
                <w:tab w:val="decimal" w:pos="877"/>
              </w:tabs>
              <w:cnfStyle w:val="000000000000" w:firstRow="0" w:lastRow="0" w:firstColumn="0" w:lastColumn="0" w:oddVBand="0" w:evenVBand="0" w:oddHBand="0" w:evenHBand="0" w:firstRowFirstColumn="0" w:firstRowLastColumn="0" w:lastRowFirstColumn="0" w:lastRowLastColumn="0"/>
            </w:pPr>
            <w:r>
              <w:t>508.3 GB</w:t>
            </w:r>
          </w:p>
        </w:tc>
        <w:tc>
          <w:tcPr>
            <w:tcW w:w="2180" w:type="dxa"/>
          </w:tcPr>
          <w:p w14:paraId="0CCE6A9F" w14:textId="77777777" w:rsidR="001406B1" w:rsidRDefault="001406B1" w:rsidP="0067679D">
            <w:pPr>
              <w:pStyle w:val="Tablecontent"/>
              <w:tabs>
                <w:tab w:val="decimal" w:pos="914"/>
              </w:tabs>
              <w:cnfStyle w:val="000000000000" w:firstRow="0" w:lastRow="0" w:firstColumn="0" w:lastColumn="0" w:oddVBand="0" w:evenVBand="0" w:oddHBand="0" w:evenHBand="0" w:firstRowFirstColumn="0" w:firstRowLastColumn="0" w:lastRowFirstColumn="0" w:lastRowLastColumn="0"/>
            </w:pPr>
            <w:r>
              <w:t>0.99 TB</w:t>
            </w:r>
          </w:p>
        </w:tc>
        <w:tc>
          <w:tcPr>
            <w:tcW w:w="2180" w:type="dxa"/>
          </w:tcPr>
          <w:p w14:paraId="65DD0CFB" w14:textId="77777777" w:rsidR="001406B1" w:rsidRDefault="001406B1" w:rsidP="0067679D">
            <w:pPr>
              <w:pStyle w:val="Tablecontent"/>
              <w:tabs>
                <w:tab w:val="decimal" w:pos="989"/>
              </w:tabs>
              <w:cnfStyle w:val="000000000000" w:firstRow="0" w:lastRow="0" w:firstColumn="0" w:lastColumn="0" w:oddVBand="0" w:evenVBand="0" w:oddHBand="0" w:evenHBand="0" w:firstRowFirstColumn="0" w:firstRowLastColumn="0" w:lastRowFirstColumn="0" w:lastRowLastColumn="0"/>
            </w:pPr>
            <w:r>
              <w:t>1.49 TB</w:t>
            </w:r>
          </w:p>
        </w:tc>
      </w:tr>
      <w:tr w:rsidR="001406B1" w14:paraId="2BF55722" w14:textId="77777777" w:rsidTr="00281329">
        <w:trPr>
          <w:jc w:val="center"/>
        </w:trPr>
        <w:tc>
          <w:tcPr>
            <w:cnfStyle w:val="001000000000" w:firstRow="0" w:lastRow="0" w:firstColumn="1" w:lastColumn="0" w:oddVBand="0" w:evenVBand="0" w:oddHBand="0" w:evenHBand="0" w:firstRowFirstColumn="0" w:firstRowLastColumn="0" w:lastRowFirstColumn="0" w:lastRowLastColumn="0"/>
            <w:tcW w:w="2122" w:type="dxa"/>
          </w:tcPr>
          <w:p w14:paraId="1F76854E" w14:textId="77777777" w:rsidR="001406B1" w:rsidRDefault="001406B1" w:rsidP="00281329">
            <w:pPr>
              <w:pStyle w:val="Tablecontent"/>
            </w:pPr>
            <w:r>
              <w:t>Threshold in %</w:t>
            </w:r>
          </w:p>
        </w:tc>
        <w:tc>
          <w:tcPr>
            <w:tcW w:w="1984" w:type="dxa"/>
          </w:tcPr>
          <w:p w14:paraId="20E4BC02" w14:textId="77777777" w:rsidR="001406B1" w:rsidRPr="00E25AFB" w:rsidRDefault="001406B1" w:rsidP="0067679D">
            <w:pPr>
              <w:pStyle w:val="Tablecontent"/>
              <w:tabs>
                <w:tab w:val="decimal" w:pos="877"/>
              </w:tabs>
              <w:cnfStyle w:val="000000000000" w:firstRow="0" w:lastRow="0" w:firstColumn="0" w:lastColumn="0" w:oddVBand="0" w:evenVBand="0" w:oddHBand="0" w:evenHBand="0" w:firstRowFirstColumn="0" w:firstRowLastColumn="0" w:lastRowFirstColumn="0" w:lastRowLastColumn="0"/>
              <w:rPr>
                <w:color w:val="FF0000"/>
              </w:rPr>
            </w:pPr>
            <w:r w:rsidRPr="00E25AFB">
              <w:rPr>
                <w:color w:val="FF0000"/>
              </w:rPr>
              <w:t>99.3%</w:t>
            </w:r>
          </w:p>
        </w:tc>
        <w:tc>
          <w:tcPr>
            <w:tcW w:w="2180" w:type="dxa"/>
          </w:tcPr>
          <w:p w14:paraId="020D54D3" w14:textId="77777777" w:rsidR="001406B1" w:rsidRPr="00E25AFB" w:rsidRDefault="001406B1" w:rsidP="0067679D">
            <w:pPr>
              <w:pStyle w:val="Tablecontent"/>
              <w:tabs>
                <w:tab w:val="decimal" w:pos="914"/>
              </w:tabs>
              <w:cnfStyle w:val="000000000000" w:firstRow="0" w:lastRow="0" w:firstColumn="0" w:lastColumn="0" w:oddVBand="0" w:evenVBand="0" w:oddHBand="0" w:evenHBand="0" w:firstRowFirstColumn="0" w:firstRowLastColumn="0" w:lastRowFirstColumn="0" w:lastRowLastColumn="0"/>
              <w:rPr>
                <w:color w:val="FF0000"/>
              </w:rPr>
            </w:pPr>
            <w:r w:rsidRPr="00E25AFB">
              <w:rPr>
                <w:color w:val="FF0000"/>
              </w:rPr>
              <w:t>99.3%</w:t>
            </w:r>
          </w:p>
        </w:tc>
        <w:tc>
          <w:tcPr>
            <w:tcW w:w="2180" w:type="dxa"/>
          </w:tcPr>
          <w:p w14:paraId="547BC9B0" w14:textId="77777777" w:rsidR="001406B1" w:rsidRPr="00E25AFB" w:rsidRDefault="001406B1" w:rsidP="0067679D">
            <w:pPr>
              <w:pStyle w:val="Tablecontent"/>
              <w:tabs>
                <w:tab w:val="decimal" w:pos="989"/>
              </w:tabs>
              <w:cnfStyle w:val="000000000000" w:firstRow="0" w:lastRow="0" w:firstColumn="0" w:lastColumn="0" w:oddVBand="0" w:evenVBand="0" w:oddHBand="0" w:evenHBand="0" w:firstRowFirstColumn="0" w:firstRowLastColumn="0" w:lastRowFirstColumn="0" w:lastRowLastColumn="0"/>
              <w:rPr>
                <w:color w:val="FF0000"/>
              </w:rPr>
            </w:pPr>
            <w:r w:rsidRPr="00E25AFB">
              <w:rPr>
                <w:color w:val="FF0000"/>
              </w:rPr>
              <w:t>99.3%</w:t>
            </w:r>
          </w:p>
        </w:tc>
      </w:tr>
    </w:tbl>
    <w:p w14:paraId="7E1C76EF" w14:textId="77777777" w:rsidR="001406B1" w:rsidRDefault="001406B1" w:rsidP="001406B1">
      <w:pPr>
        <w:rPr>
          <w:lang w:val="en-GB"/>
        </w:rPr>
      </w:pPr>
      <w:r>
        <w:rPr>
          <w:lang w:val="en-GB"/>
        </w:rPr>
        <w:t xml:space="preserve">As you can see from all the 3 ESXi, balloon only happens after at least 99% of the memory it utilized. It’s a very high threshold. </w:t>
      </w:r>
      <w:r w:rsidRPr="00EC2C54">
        <w:rPr>
          <w:lang w:val="en-GB"/>
        </w:rPr>
        <w:t xml:space="preserve">Unless you are deliberately aiming for high utilization, all the ESXi should be in the </w:t>
      </w:r>
      <w:r>
        <w:rPr>
          <w:b/>
          <w:bCs/>
          <w:color w:val="00B0F0"/>
          <w:lang w:val="en-GB"/>
        </w:rPr>
        <w:t>H</w:t>
      </w:r>
      <w:r w:rsidRPr="00CD69CB">
        <w:rPr>
          <w:b/>
          <w:bCs/>
          <w:color w:val="00B0F0"/>
          <w:lang w:val="en-GB"/>
        </w:rPr>
        <w:t>igh</w:t>
      </w:r>
      <w:r w:rsidRPr="00CD69CB">
        <w:rPr>
          <w:color w:val="00B0F0"/>
          <w:lang w:val="en-GB"/>
        </w:rPr>
        <w:t xml:space="preserve"> </w:t>
      </w:r>
      <w:r w:rsidRPr="00EC2C54">
        <w:rPr>
          <w:lang w:val="en-GB"/>
        </w:rPr>
        <w:t xml:space="preserve">state. </w:t>
      </w:r>
    </w:p>
    <w:bookmarkEnd w:id="124"/>
    <w:p w14:paraId="250BA8E2" w14:textId="77777777" w:rsidR="001406B1" w:rsidRDefault="001406B1" w:rsidP="001406B1">
      <w:pPr>
        <w:rPr>
          <w:lang w:val="en-GB"/>
        </w:rPr>
      </w:pPr>
      <w:r>
        <w:rPr>
          <w:lang w:val="en-GB"/>
        </w:rPr>
        <w:t>In addition, t</w:t>
      </w:r>
      <w:r w:rsidRPr="00EC2C54">
        <w:rPr>
          <w:lang w:val="en-GB"/>
        </w:rPr>
        <w:t>he spare host you add to cater for HA or maintenance mode will help in lowering the overall ESXi</w:t>
      </w:r>
      <w:r>
        <w:rPr>
          <w:lang w:val="en-GB"/>
        </w:rPr>
        <w:t xml:space="preserve"> </w:t>
      </w:r>
      <w:r w:rsidRPr="00407C08">
        <w:rPr>
          <w:lang w:val="en-GB"/>
        </w:rPr>
        <w:t>utilization</w:t>
      </w:r>
      <w:r>
        <w:rPr>
          <w:lang w:val="en-GB"/>
        </w:rPr>
        <w:t>. Let’s use example to illustrate</w:t>
      </w:r>
    </w:p>
    <w:p w14:paraId="4B5ABBE5" w14:textId="77777777" w:rsidR="001406B1" w:rsidRPr="00DF209A" w:rsidRDefault="001406B1" w:rsidP="001406B1">
      <w:pPr>
        <w:pStyle w:val="Bullet"/>
        <w:rPr>
          <w:lang w:val="en-GB"/>
        </w:rPr>
      </w:pPr>
      <w:r w:rsidRPr="00DF209A">
        <w:rPr>
          <w:lang w:val="en-GB"/>
        </w:rPr>
        <w:t>No of ESXi in a cluster = 12</w:t>
      </w:r>
    </w:p>
    <w:p w14:paraId="72E71934" w14:textId="77777777" w:rsidR="001406B1" w:rsidRPr="00DF209A" w:rsidRDefault="001406B1" w:rsidP="001406B1">
      <w:pPr>
        <w:pStyle w:val="Bullet"/>
        <w:rPr>
          <w:lang w:val="en-GB"/>
        </w:rPr>
      </w:pPr>
      <w:r w:rsidRPr="00DF209A">
        <w:rPr>
          <w:lang w:val="en-GB"/>
        </w:rPr>
        <w:t>Provisioned for HA = 11</w:t>
      </w:r>
    </w:p>
    <w:p w14:paraId="26BED801" w14:textId="77777777" w:rsidR="001406B1" w:rsidRPr="00DF209A" w:rsidRDefault="001406B1" w:rsidP="001406B1">
      <w:pPr>
        <w:pStyle w:val="Bullet"/>
        <w:rPr>
          <w:lang w:val="en-GB"/>
        </w:rPr>
      </w:pPr>
      <w:r w:rsidRPr="00DF209A">
        <w:rPr>
          <w:lang w:val="en-GB"/>
        </w:rPr>
        <w:t>Target ESXi memory utilization = 99% (when HA happens or planned maintenance)</w:t>
      </w:r>
    </w:p>
    <w:p w14:paraId="02715870" w14:textId="77777777" w:rsidR="001406B1" w:rsidRPr="00DF209A" w:rsidRDefault="001406B1" w:rsidP="001406B1">
      <w:pPr>
        <w:pStyle w:val="Bullet"/>
        <w:rPr>
          <w:lang w:val="en-GB"/>
        </w:rPr>
      </w:pPr>
      <w:r w:rsidRPr="00DF209A">
        <w:rPr>
          <w:lang w:val="en-GB"/>
        </w:rPr>
        <w:t>Target ESXi memory utilization = 99% x 11 / 12 = 90.75% (during normal operations)</w:t>
      </w:r>
    </w:p>
    <w:p w14:paraId="515A6B65" w14:textId="77777777" w:rsidR="001406B1" w:rsidRDefault="001406B1" w:rsidP="001406B1">
      <w:pPr>
        <w:rPr>
          <w:lang w:val="en-GB"/>
        </w:rPr>
      </w:pPr>
      <w:r>
        <w:rPr>
          <w:lang w:val="en-GB"/>
        </w:rPr>
        <w:t>Using the above, you will not have any VM memory swapped as you won’t even hit the ballooned stage. If you actually see balloon, that means there is limit imposed.</w:t>
      </w:r>
    </w:p>
    <w:p w14:paraId="14D6F011" w14:textId="77777777" w:rsidR="001406B1" w:rsidRPr="00A452F2" w:rsidRDefault="001406B1" w:rsidP="001406B1">
      <w:pPr>
        <w:rPr>
          <w:lang w:val="en-GB"/>
        </w:rPr>
      </w:pPr>
      <w:r w:rsidRPr="00FA6D13">
        <w:rPr>
          <w:lang w:val="en-GB"/>
        </w:rPr>
        <w:t xml:space="preserve">The </w:t>
      </w:r>
      <w:r w:rsidRPr="00125498">
        <w:rPr>
          <w:b/>
          <w:bCs/>
          <w:lang w:val="en-GB"/>
        </w:rPr>
        <w:t>Low Free Threshold</w:t>
      </w:r>
      <w:r w:rsidRPr="00FA6D13">
        <w:rPr>
          <w:lang w:val="en-GB"/>
        </w:rPr>
        <w:t xml:space="preserve"> (KB) counter provides information on the actual level below which ESXi will begin reclaiming memory from VM. This value varies in hosts with different RAM configurations. Check this value only if you suspect ESXi triggers ballooning too early.</w:t>
      </w:r>
      <w:r>
        <w:rPr>
          <w:lang w:val="en-GB"/>
        </w:rPr>
        <w:t xml:space="preserve"> </w:t>
      </w:r>
    </w:p>
    <w:p w14:paraId="14C475A6" w14:textId="77777777" w:rsidR="001406B1" w:rsidRPr="00A452F2" w:rsidRDefault="001406B1" w:rsidP="001406B1">
      <w:pPr>
        <w:rPr>
          <w:lang w:val="en-GB"/>
        </w:rPr>
      </w:pPr>
      <w:r w:rsidRPr="00A452F2">
        <w:rPr>
          <w:lang w:val="en-GB"/>
        </w:rPr>
        <w:t xml:space="preserve">ESXi memory region can be divided into </w:t>
      </w:r>
      <w:r>
        <w:rPr>
          <w:lang w:val="en-GB"/>
        </w:rPr>
        <w:t>three</w:t>
      </w:r>
      <w:r w:rsidRPr="00A452F2">
        <w:rPr>
          <w:lang w:val="en-GB"/>
        </w:rPr>
        <w:t>: Used, Cached and Free</w:t>
      </w:r>
    </w:p>
    <w:p w14:paraId="4FE220FE" w14:textId="77777777" w:rsidR="001406B1" w:rsidRPr="00A452F2" w:rsidRDefault="001406B1" w:rsidP="001406B1">
      <w:pPr>
        <w:pStyle w:val="Bullet"/>
        <w:rPr>
          <w:lang w:val="en-GB"/>
        </w:rPr>
      </w:pPr>
      <w:r w:rsidRPr="00A452F2">
        <w:rPr>
          <w:lang w:val="en-GB"/>
        </w:rPr>
        <w:t>Used is tracked by Active. Active is an estimate of recently touched pages.</w:t>
      </w:r>
      <w:r>
        <w:rPr>
          <w:lang w:val="en-GB"/>
        </w:rPr>
        <w:t xml:space="preserve"> </w:t>
      </w:r>
    </w:p>
    <w:p w14:paraId="31189940" w14:textId="77777777" w:rsidR="001406B1" w:rsidRPr="00A452F2" w:rsidRDefault="001406B1" w:rsidP="001406B1">
      <w:pPr>
        <w:pStyle w:val="Bullet"/>
        <w:rPr>
          <w:lang w:val="en-GB"/>
        </w:rPr>
      </w:pPr>
      <w:r w:rsidRPr="00A452F2">
        <w:rPr>
          <w:lang w:val="en-GB"/>
        </w:rPr>
        <w:t>Cached = Consumed - Active. Consumed contains pages that were touched in the past, but no longer active. I'm not sure Ballooned pages are accounted in Consumed, although logically it should not. It should go to Free so it can be reused.</w:t>
      </w:r>
    </w:p>
    <w:p w14:paraId="17BBF216" w14:textId="77777777" w:rsidR="001406B1" w:rsidRPr="00A452F2" w:rsidRDefault="001406B1" w:rsidP="001406B1">
      <w:pPr>
        <w:pStyle w:val="Bullet"/>
        <w:rPr>
          <w:lang w:val="en-GB"/>
        </w:rPr>
      </w:pPr>
      <w:r w:rsidRPr="00A452F2">
        <w:rPr>
          <w:lang w:val="en-GB"/>
        </w:rPr>
        <w:t>Free = Total Capacity - Consumed.</w:t>
      </w:r>
    </w:p>
    <w:p w14:paraId="2042F48F" w14:textId="77777777" w:rsidR="001406B1" w:rsidRDefault="001406B1" w:rsidP="001406B1">
      <w:pPr>
        <w:rPr>
          <w:lang w:val="en-GB"/>
        </w:rPr>
      </w:pPr>
      <w:r>
        <w:rPr>
          <w:lang w:val="en-GB"/>
        </w:rPr>
        <w:t>The nature of memory as cache means the active part is far lower than the non-active part. It’s also more volatile. The following shows an ESXi with low memory usage, both active and consumed, in the last 3 months.</w:t>
      </w:r>
    </w:p>
    <w:p w14:paraId="43ACDF20" w14:textId="77777777" w:rsidR="001406B1" w:rsidRDefault="001406B1" w:rsidP="001406B1">
      <w:pPr>
        <w:rPr>
          <w:lang w:val="en-GB"/>
        </w:rPr>
      </w:pPr>
      <w:r>
        <w:rPr>
          <w:noProof/>
        </w:rPr>
        <w:drawing>
          <wp:inline distT="0" distB="0" distL="0" distR="0" wp14:anchorId="1BA67590" wp14:editId="5BF8C68A">
            <wp:extent cx="6645910" cy="1456690"/>
            <wp:effectExtent l="0" t="0" r="2540" b="0"/>
            <wp:docPr id="606394281" name="Picture 606394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81"/>
                    <pic:cNvPicPr/>
                  </pic:nvPicPr>
                  <pic:blipFill>
                    <a:blip r:embed="rId730">
                      <a:extLst>
                        <a:ext uri="{28A0092B-C50C-407E-A947-70E740481C1C}">
                          <a14:useLocalDpi xmlns:a14="http://schemas.microsoft.com/office/drawing/2010/main" val="0"/>
                        </a:ext>
                      </a:extLst>
                    </a:blip>
                    <a:stretch>
                      <a:fillRect/>
                    </a:stretch>
                  </pic:blipFill>
                  <pic:spPr>
                    <a:xfrm>
                      <a:off x="0" y="0"/>
                      <a:ext cx="6645910" cy="1456690"/>
                    </a:xfrm>
                    <a:prstGeom prst="rect">
                      <a:avLst/>
                    </a:prstGeom>
                  </pic:spPr>
                </pic:pic>
              </a:graphicData>
            </a:graphic>
          </wp:inline>
        </w:drawing>
      </w:r>
    </w:p>
    <w:p w14:paraId="59F8ABE9" w14:textId="77777777" w:rsidR="001406B1" w:rsidRDefault="001406B1" w:rsidP="001406B1">
      <w:pPr>
        <w:rPr>
          <w:lang w:val="en-GB"/>
        </w:rPr>
      </w:pPr>
      <w:r>
        <w:rPr>
          <w:lang w:val="en-GB"/>
        </w:rPr>
        <w:lastRenderedPageBreak/>
        <w:t>Let’s look at an opposite scenario. The following ESXi is running at 100%. It has granted more memory than what it physically has. Initially, since the pages are inactive, there is no ballooning. When the active rise up, the consumed counter goes up and the balloon process kicks in. When the VM is no longer using the pages, the active counter reflects that and ESXi begin deflating the balloon and giving the pages back.</w:t>
      </w:r>
    </w:p>
    <w:p w14:paraId="33E7E8F4" w14:textId="77777777" w:rsidR="001406B1" w:rsidRDefault="001406B1" w:rsidP="001406B1">
      <w:pPr>
        <w:rPr>
          <w:lang w:val="en-GB"/>
        </w:rPr>
      </w:pPr>
      <w:r>
        <w:rPr>
          <w:noProof/>
        </w:rPr>
        <w:drawing>
          <wp:inline distT="0" distB="0" distL="0" distR="0" wp14:anchorId="71E582EF" wp14:editId="0CDCECC2">
            <wp:extent cx="6645910" cy="1591945"/>
            <wp:effectExtent l="0" t="0" r="2540" b="8255"/>
            <wp:docPr id="606394306" name="Picture 606394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06"/>
                    <pic:cNvPicPr/>
                  </pic:nvPicPr>
                  <pic:blipFill>
                    <a:blip r:embed="rId731">
                      <a:extLst>
                        <a:ext uri="{28A0092B-C50C-407E-A947-70E740481C1C}">
                          <a14:useLocalDpi xmlns:a14="http://schemas.microsoft.com/office/drawing/2010/main" val="0"/>
                        </a:ext>
                      </a:extLst>
                    </a:blip>
                    <a:stretch>
                      <a:fillRect/>
                    </a:stretch>
                  </pic:blipFill>
                  <pic:spPr>
                    <a:xfrm>
                      <a:off x="0" y="0"/>
                      <a:ext cx="6645910" cy="1591945"/>
                    </a:xfrm>
                    <a:prstGeom prst="rect">
                      <a:avLst/>
                    </a:prstGeom>
                  </pic:spPr>
                </pic:pic>
              </a:graphicData>
            </a:graphic>
          </wp:inline>
        </w:drawing>
      </w:r>
    </w:p>
    <w:p w14:paraId="62E0B447" w14:textId="77777777" w:rsidR="001406B1" w:rsidRDefault="001406B1" w:rsidP="001406B1">
      <w:pPr>
        <w:rPr>
          <w:lang w:val="en-GB"/>
        </w:rPr>
      </w:pPr>
      <w:r>
        <w:rPr>
          <w:lang w:val="en-GB"/>
        </w:rPr>
        <w:t>I shared in the VM memory counter that just because a VM has balloon, does not mean it experiences contention. You can see the same situation at ESXi level. The following ESXi shows a constant and significant balloon lasting at least 7 days. Yes the worst contention experienced by any VM is not even 1%, and majority of its 19 VMs were not experiencing contention at all.</w:t>
      </w:r>
    </w:p>
    <w:p w14:paraId="6170E740" w14:textId="77777777" w:rsidR="001406B1" w:rsidRDefault="001406B1" w:rsidP="001406B1">
      <w:pPr>
        <w:rPr>
          <w:lang w:val="en-GB"/>
        </w:rPr>
      </w:pPr>
      <w:r>
        <w:rPr>
          <w:noProof/>
        </w:rPr>
        <w:drawing>
          <wp:inline distT="0" distB="0" distL="0" distR="0" wp14:anchorId="1273918A" wp14:editId="76A32469">
            <wp:extent cx="6645910" cy="4164330"/>
            <wp:effectExtent l="0" t="0" r="2540" b="7620"/>
            <wp:docPr id="606394369" name="Picture 606394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69"/>
                    <pic:cNvPicPr/>
                  </pic:nvPicPr>
                  <pic:blipFill>
                    <a:blip r:embed="rId732" cstate="print">
                      <a:extLst>
                        <a:ext uri="{28A0092B-C50C-407E-A947-70E740481C1C}">
                          <a14:useLocalDpi xmlns:a14="http://schemas.microsoft.com/office/drawing/2010/main" val="0"/>
                        </a:ext>
                      </a:extLst>
                    </a:blip>
                    <a:stretch>
                      <a:fillRect/>
                    </a:stretch>
                  </pic:blipFill>
                  <pic:spPr>
                    <a:xfrm>
                      <a:off x="0" y="0"/>
                      <a:ext cx="6645910" cy="4164330"/>
                    </a:xfrm>
                    <a:prstGeom prst="rect">
                      <a:avLst/>
                    </a:prstGeom>
                  </pic:spPr>
                </pic:pic>
              </a:graphicData>
            </a:graphic>
          </wp:inline>
        </w:drawing>
      </w:r>
    </w:p>
    <w:p w14:paraId="032AD009" w14:textId="1582AD2F" w:rsidR="00CA74F7" w:rsidRDefault="00CA74F7" w:rsidP="008C1CD8">
      <w:pPr>
        <w:pStyle w:val="Heading5"/>
      </w:pPr>
      <w:r>
        <w:t>Swap &amp; Compress</w:t>
      </w:r>
    </w:p>
    <w:p w14:paraId="513AA423" w14:textId="31CD7388" w:rsidR="00ED16D2" w:rsidRPr="00ED16D2" w:rsidRDefault="00ED16D2" w:rsidP="00ED16D2">
      <w:pPr>
        <w:rPr>
          <w:lang w:val="en-GB"/>
        </w:rPr>
      </w:pPr>
      <w:bookmarkStart w:id="125" w:name="_Hlk133667138"/>
      <w:r>
        <w:rPr>
          <w:lang w:val="en-GB"/>
        </w:rPr>
        <w:t xml:space="preserve">The metrics are essentially the summation of running VMs and VMkernel services. </w:t>
      </w:r>
    </w:p>
    <w:p w14:paraId="4F89426B" w14:textId="77777777" w:rsidR="00CA74F7" w:rsidRPr="00CD2C66" w:rsidRDefault="00CA74F7" w:rsidP="00CA74F7">
      <w:pPr>
        <w:pStyle w:val="BeforeTable"/>
        <w:rPr>
          <w:lang w:val="en-GB" w:eastAsia="en-SG"/>
        </w:rPr>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247"/>
        <w:gridCol w:w="8219"/>
      </w:tblGrid>
      <w:tr w:rsidR="00CA74F7" w:rsidRPr="00A452F2" w14:paraId="108E6A15" w14:textId="77777777" w:rsidTr="002813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7" w:type="dxa"/>
          </w:tcPr>
          <w:p w14:paraId="5FC5EE51" w14:textId="77777777" w:rsidR="00CA74F7" w:rsidRPr="00A452F2" w:rsidRDefault="00CA74F7" w:rsidP="00281329">
            <w:pPr>
              <w:pStyle w:val="Tablecontent"/>
              <w:rPr>
                <w:lang w:val="en-GB"/>
              </w:rPr>
            </w:pPr>
            <w:r>
              <w:rPr>
                <w:bCs w:val="0"/>
              </w:rPr>
              <w:lastRenderedPageBreak/>
              <w:t>Metrics</w:t>
            </w:r>
          </w:p>
        </w:tc>
        <w:tc>
          <w:tcPr>
            <w:tcW w:w="8219" w:type="dxa"/>
          </w:tcPr>
          <w:p w14:paraId="47548566" w14:textId="77777777" w:rsidR="00CA74F7" w:rsidRPr="00A452F2" w:rsidRDefault="00CA74F7" w:rsidP="00281329">
            <w:pPr>
              <w:pStyle w:val="Tablecontent"/>
              <w:cnfStyle w:val="100000000000" w:firstRow="1" w:lastRow="0" w:firstColumn="0" w:lastColumn="0" w:oddVBand="0" w:evenVBand="0" w:oddHBand="0" w:evenHBand="0" w:firstRowFirstColumn="0" w:firstRowLastColumn="0" w:lastRowFirstColumn="0" w:lastRowLastColumn="0"/>
              <w:rPr>
                <w:lang w:val="en-GB"/>
              </w:rPr>
            </w:pPr>
            <w:r w:rsidRPr="00D855F0">
              <w:rPr>
                <w:bCs w:val="0"/>
              </w:rPr>
              <w:t>Description</w:t>
            </w:r>
          </w:p>
        </w:tc>
      </w:tr>
      <w:tr w:rsidR="0067679D" w:rsidRPr="00A452F2" w14:paraId="31734FD4" w14:textId="77777777" w:rsidTr="00281329">
        <w:tc>
          <w:tcPr>
            <w:cnfStyle w:val="001000000000" w:firstRow="0" w:lastRow="0" w:firstColumn="1" w:lastColumn="0" w:oddVBand="0" w:evenVBand="0" w:oddHBand="0" w:evenHBand="0" w:firstRowFirstColumn="0" w:firstRowLastColumn="0" w:lastRowFirstColumn="0" w:lastRowLastColumn="0"/>
            <w:tcW w:w="2247" w:type="dxa"/>
          </w:tcPr>
          <w:p w14:paraId="2A435D03" w14:textId="07956D8D" w:rsidR="0067679D" w:rsidRDefault="0067679D" w:rsidP="00281329">
            <w:pPr>
              <w:pStyle w:val="Tablecontent"/>
              <w:rPr>
                <w:lang w:val="en-GB"/>
              </w:rPr>
            </w:pPr>
            <w:r>
              <w:rPr>
                <w:lang w:val="en-GB"/>
              </w:rPr>
              <w:t xml:space="preserve">Swap </w:t>
            </w:r>
            <w:r w:rsidR="00642742">
              <w:rPr>
                <w:lang w:val="en-GB"/>
              </w:rPr>
              <w:t>Consumed</w:t>
            </w:r>
          </w:p>
        </w:tc>
        <w:tc>
          <w:tcPr>
            <w:tcW w:w="8219" w:type="dxa"/>
          </w:tcPr>
          <w:p w14:paraId="604DCE66" w14:textId="77777777" w:rsidR="0067679D" w:rsidRDefault="0067679D"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Sum of memory swapped of all powered on VMs and vSphere services on the host.</w:t>
            </w:r>
            <w:r>
              <w:rPr>
                <w:lang w:val="en-GB"/>
              </w:rPr>
              <w:t xml:space="preserve"> This number will reduce if pages are swapped back into the DIMM.</w:t>
            </w:r>
          </w:p>
          <w:p w14:paraId="7553F88E" w14:textId="334AFA91" w:rsidR="00642742" w:rsidRPr="00A452F2" w:rsidRDefault="00642742"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I think this is swapped out – swapped in.</w:t>
            </w:r>
          </w:p>
        </w:tc>
      </w:tr>
      <w:tr w:rsidR="00CA74F7" w:rsidRPr="00A452F2" w14:paraId="05325C84" w14:textId="77777777" w:rsidTr="00281329">
        <w:tc>
          <w:tcPr>
            <w:cnfStyle w:val="001000000000" w:firstRow="0" w:lastRow="0" w:firstColumn="1" w:lastColumn="0" w:oddVBand="0" w:evenVBand="0" w:oddHBand="0" w:evenHBand="0" w:firstRowFirstColumn="0" w:firstRowLastColumn="0" w:lastRowFirstColumn="0" w:lastRowLastColumn="0"/>
            <w:tcW w:w="2247" w:type="dxa"/>
          </w:tcPr>
          <w:p w14:paraId="42885ACE" w14:textId="77777777" w:rsidR="00CA74F7" w:rsidRPr="00A452F2" w:rsidRDefault="00CA74F7" w:rsidP="00281329">
            <w:pPr>
              <w:pStyle w:val="Tablecontent"/>
              <w:rPr>
                <w:lang w:val="en-GB"/>
              </w:rPr>
            </w:pPr>
            <w:r w:rsidRPr="00A452F2">
              <w:rPr>
                <w:lang w:val="en-GB"/>
              </w:rPr>
              <w:t>Swap In</w:t>
            </w:r>
          </w:p>
        </w:tc>
        <w:tc>
          <w:tcPr>
            <w:tcW w:w="8219" w:type="dxa"/>
          </w:tcPr>
          <w:p w14:paraId="04106D00" w14:textId="6D59B685" w:rsidR="00CA74F7" w:rsidRPr="00A452F2" w:rsidRDefault="00270F33"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The total amount of memory that have been swapped in to date. </w:t>
            </w:r>
          </w:p>
        </w:tc>
      </w:tr>
      <w:tr w:rsidR="00270F33" w:rsidRPr="00A452F2" w14:paraId="6268879A" w14:textId="77777777" w:rsidTr="00281329">
        <w:tc>
          <w:tcPr>
            <w:cnfStyle w:val="001000000000" w:firstRow="0" w:lastRow="0" w:firstColumn="1" w:lastColumn="0" w:oddVBand="0" w:evenVBand="0" w:oddHBand="0" w:evenHBand="0" w:firstRowFirstColumn="0" w:firstRowLastColumn="0" w:lastRowFirstColumn="0" w:lastRowLastColumn="0"/>
            <w:tcW w:w="2247" w:type="dxa"/>
          </w:tcPr>
          <w:p w14:paraId="58CDE409" w14:textId="77777777" w:rsidR="00270F33" w:rsidRPr="00A452F2" w:rsidRDefault="00270F33" w:rsidP="00281329">
            <w:pPr>
              <w:pStyle w:val="Tablecontent"/>
              <w:rPr>
                <w:lang w:val="en-GB"/>
              </w:rPr>
            </w:pPr>
            <w:r w:rsidRPr="00A452F2">
              <w:rPr>
                <w:lang w:val="en-GB"/>
              </w:rPr>
              <w:t xml:space="preserve">Swap </w:t>
            </w:r>
            <w:r>
              <w:rPr>
                <w:lang w:val="en-GB"/>
              </w:rPr>
              <w:t>Out</w:t>
            </w:r>
          </w:p>
        </w:tc>
        <w:tc>
          <w:tcPr>
            <w:tcW w:w="8219" w:type="dxa"/>
          </w:tcPr>
          <w:p w14:paraId="6DB20B4D" w14:textId="696B9215" w:rsidR="00270F33" w:rsidRPr="00A452F2" w:rsidRDefault="0067679D"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As above, but for swapped out pages.</w:t>
            </w:r>
          </w:p>
        </w:tc>
      </w:tr>
      <w:tr w:rsidR="0067679D" w:rsidRPr="00A452F2" w14:paraId="3E411573" w14:textId="77777777" w:rsidTr="00281329">
        <w:tc>
          <w:tcPr>
            <w:cnfStyle w:val="001000000000" w:firstRow="0" w:lastRow="0" w:firstColumn="1" w:lastColumn="0" w:oddVBand="0" w:evenVBand="0" w:oddHBand="0" w:evenHBand="0" w:firstRowFirstColumn="0" w:firstRowLastColumn="0" w:lastRowFirstColumn="0" w:lastRowLastColumn="0"/>
            <w:tcW w:w="2247" w:type="dxa"/>
          </w:tcPr>
          <w:p w14:paraId="7813DA50" w14:textId="77777777" w:rsidR="0067679D" w:rsidRPr="00A452F2" w:rsidRDefault="0067679D" w:rsidP="00281329">
            <w:pPr>
              <w:pStyle w:val="Tablecontent"/>
              <w:rPr>
                <w:lang w:val="en-GB"/>
              </w:rPr>
            </w:pPr>
            <w:r w:rsidRPr="00A452F2">
              <w:rPr>
                <w:lang w:val="en-GB"/>
              </w:rPr>
              <w:t>Swap In Rate</w:t>
            </w:r>
          </w:p>
        </w:tc>
        <w:tc>
          <w:tcPr>
            <w:tcW w:w="8219" w:type="dxa"/>
            <w:vMerge w:val="restart"/>
          </w:tcPr>
          <w:p w14:paraId="2CAB2F44" w14:textId="39593699" w:rsidR="0067679D" w:rsidRPr="00A452F2" w:rsidRDefault="0067679D"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I think this includes compressed, not just swapped, but I’m not 100% sure as I can’t find a proof yet.</w:t>
            </w:r>
          </w:p>
        </w:tc>
      </w:tr>
      <w:tr w:rsidR="0067679D" w:rsidRPr="00A452F2" w14:paraId="58A5CA23" w14:textId="77777777" w:rsidTr="00281329">
        <w:tc>
          <w:tcPr>
            <w:cnfStyle w:val="001000000000" w:firstRow="0" w:lastRow="0" w:firstColumn="1" w:lastColumn="0" w:oddVBand="0" w:evenVBand="0" w:oddHBand="0" w:evenHBand="0" w:firstRowFirstColumn="0" w:firstRowLastColumn="0" w:lastRowFirstColumn="0" w:lastRowLastColumn="0"/>
            <w:tcW w:w="2247" w:type="dxa"/>
          </w:tcPr>
          <w:p w14:paraId="59657E53" w14:textId="77777777" w:rsidR="0067679D" w:rsidRPr="00A452F2" w:rsidRDefault="0067679D" w:rsidP="00281329">
            <w:pPr>
              <w:pStyle w:val="Tablecontent"/>
              <w:rPr>
                <w:lang w:val="en-GB"/>
              </w:rPr>
            </w:pPr>
            <w:r>
              <w:rPr>
                <w:lang w:val="en-GB"/>
              </w:rPr>
              <w:t>Swap Out Rate</w:t>
            </w:r>
          </w:p>
        </w:tc>
        <w:tc>
          <w:tcPr>
            <w:tcW w:w="8219" w:type="dxa"/>
            <w:vMerge/>
          </w:tcPr>
          <w:p w14:paraId="25AC28CB" w14:textId="77777777" w:rsidR="0067679D" w:rsidRPr="00A452F2" w:rsidRDefault="0067679D"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p>
        </w:tc>
      </w:tr>
    </w:tbl>
    <w:p w14:paraId="1244AD0F" w14:textId="4AF527A0" w:rsidR="00CA74F7" w:rsidRDefault="008911F9" w:rsidP="00CA74F7">
      <w:pPr>
        <w:rPr>
          <w:lang w:val="en-GB" w:eastAsia="en-SG"/>
        </w:rPr>
      </w:pPr>
      <w:r>
        <w:rPr>
          <w:lang w:val="en-GB" w:eastAsia="en-SG"/>
        </w:rPr>
        <w:t xml:space="preserve">Pages can and will remain </w:t>
      </w:r>
      <w:r w:rsidR="008F6548">
        <w:rPr>
          <w:lang w:val="en-GB" w:eastAsia="en-SG"/>
        </w:rPr>
        <w:t xml:space="preserve">in compressed or swapped stage. The following screenshot shows compressed remains around 5 GB for around 1 year. </w:t>
      </w:r>
    </w:p>
    <w:p w14:paraId="28AB13ED" w14:textId="75578D22" w:rsidR="008911F9" w:rsidRDefault="008911F9" w:rsidP="00CA74F7">
      <w:pPr>
        <w:rPr>
          <w:lang w:val="en-GB" w:eastAsia="en-SG"/>
        </w:rPr>
      </w:pPr>
      <w:r w:rsidRPr="008911F9">
        <w:rPr>
          <w:noProof/>
          <w:lang w:val="en-GB" w:eastAsia="en-SG"/>
        </w:rPr>
        <w:drawing>
          <wp:inline distT="0" distB="0" distL="0" distR="0" wp14:anchorId="3FCDF786" wp14:editId="29C54289">
            <wp:extent cx="6645910" cy="2108200"/>
            <wp:effectExtent l="0" t="0" r="2540" b="6350"/>
            <wp:docPr id="1606338708" name="Picture 1606338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3"/>
                    <a:stretch>
                      <a:fillRect/>
                    </a:stretch>
                  </pic:blipFill>
                  <pic:spPr>
                    <a:xfrm>
                      <a:off x="0" y="0"/>
                      <a:ext cx="6645910" cy="2108200"/>
                    </a:xfrm>
                    <a:prstGeom prst="rect">
                      <a:avLst/>
                    </a:prstGeom>
                  </pic:spPr>
                </pic:pic>
              </a:graphicData>
            </a:graphic>
          </wp:inline>
        </w:drawing>
      </w:r>
    </w:p>
    <w:p w14:paraId="26C24EBF" w14:textId="052A899B" w:rsidR="008F6548" w:rsidRDefault="008F6548" w:rsidP="00CA74F7">
      <w:pPr>
        <w:rPr>
          <w:lang w:val="en-GB" w:eastAsia="en-SG"/>
        </w:rPr>
      </w:pPr>
      <w:r>
        <w:rPr>
          <w:lang w:val="en-GB" w:eastAsia="en-SG"/>
        </w:rPr>
        <w:t>The above happened because there was no need to bring back those pages. Notice ballooning was flat 0, indicating the ESX host was not under memory pressure.</w:t>
      </w:r>
    </w:p>
    <w:p w14:paraId="3ACE4C62" w14:textId="1143C501" w:rsidR="0067679D" w:rsidRDefault="008F6548" w:rsidP="00CA74F7">
      <w:pPr>
        <w:rPr>
          <w:lang w:val="en-GB" w:eastAsia="en-SG"/>
        </w:rPr>
      </w:pPr>
      <w:r>
        <w:rPr>
          <w:lang w:val="en-GB" w:eastAsia="en-SG"/>
        </w:rPr>
        <w:t xml:space="preserve">The following screenshot is why I think Swap Out is simply an accumulative counter. Notice the value did not reduce even though there was swapped in and there was no swapped out. I suspect because the pages that were swapped in were not the pages in the swapped file. </w:t>
      </w:r>
    </w:p>
    <w:p w14:paraId="30E6DB00" w14:textId="71D8633C" w:rsidR="0067679D" w:rsidRPr="00CD2C66" w:rsidRDefault="0067679D" w:rsidP="0067679D">
      <w:pPr>
        <w:jc w:val="center"/>
        <w:rPr>
          <w:lang w:val="en-GB" w:eastAsia="en-SG"/>
        </w:rPr>
      </w:pPr>
      <w:r w:rsidRPr="0067679D">
        <w:rPr>
          <w:noProof/>
          <w:lang w:val="en-GB" w:eastAsia="en-SG"/>
        </w:rPr>
        <w:lastRenderedPageBreak/>
        <w:drawing>
          <wp:inline distT="0" distB="0" distL="0" distR="0" wp14:anchorId="1563F766" wp14:editId="612D46B8">
            <wp:extent cx="4809744" cy="4974336"/>
            <wp:effectExtent l="0" t="0" r="0" b="0"/>
            <wp:docPr id="1606338709" name="Picture 1606338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4809744" cy="4974336"/>
                    </a:xfrm>
                    <a:prstGeom prst="rect">
                      <a:avLst/>
                    </a:prstGeom>
                  </pic:spPr>
                </pic:pic>
              </a:graphicData>
            </a:graphic>
          </wp:inline>
        </w:drawing>
      </w:r>
    </w:p>
    <w:bookmarkEnd w:id="125"/>
    <w:p w14:paraId="280FDD9E" w14:textId="3E5E4836" w:rsidR="008C1CD8" w:rsidRDefault="00DE7943" w:rsidP="001406B1">
      <w:pPr>
        <w:pStyle w:val="Heading4"/>
      </w:pPr>
      <w:r>
        <w:t>Consumption</w:t>
      </w:r>
      <w:r w:rsidR="008C1CD8">
        <w:t xml:space="preserve"> Metrics</w:t>
      </w:r>
    </w:p>
    <w:p w14:paraId="289513CC" w14:textId="77777777" w:rsidR="00D940D1" w:rsidRPr="00DE7943" w:rsidRDefault="00D940D1" w:rsidP="00D940D1">
      <w:pPr>
        <w:rPr>
          <w:lang w:val="en-GB" w:eastAsia="en-SG"/>
        </w:rPr>
      </w:pPr>
      <w:r>
        <w:rPr>
          <w:lang w:val="en-GB" w:eastAsia="en-SG"/>
        </w:rPr>
        <w:t xml:space="preserve">Consumption covers utilization, reservation and allocation. </w:t>
      </w:r>
    </w:p>
    <w:p w14:paraId="43646BD3" w14:textId="340E6A46" w:rsidR="001406B1" w:rsidRDefault="001406B1" w:rsidP="008C1CD8">
      <w:pPr>
        <w:pStyle w:val="Heading5"/>
      </w:pPr>
      <w:r>
        <w:lastRenderedPageBreak/>
        <w:t xml:space="preserve">Consumed </w:t>
      </w:r>
    </w:p>
    <w:p w14:paraId="4CD44C53" w14:textId="77777777" w:rsidR="007A0A29" w:rsidRDefault="007A0A29" w:rsidP="008C1CD8">
      <w:pPr>
        <w:keepLines w:val="0"/>
        <w:suppressAutoHyphens w:val="0"/>
        <w:spacing w:before="0" w:after="160"/>
        <w:rPr>
          <w:lang w:val="en-GB" w:eastAsia="en-SG"/>
        </w:rPr>
      </w:pPr>
      <w:r w:rsidRPr="007A0A29">
        <w:rPr>
          <w:noProof/>
          <w:lang w:val="en-GB" w:eastAsia="en-SG"/>
        </w:rPr>
        <w:drawing>
          <wp:inline distT="0" distB="0" distL="0" distR="0" wp14:anchorId="1258F268" wp14:editId="7B938412">
            <wp:extent cx="6645910" cy="1812290"/>
            <wp:effectExtent l="0" t="0" r="2540" b="0"/>
            <wp:docPr id="1606338690" name="Picture 1606338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5"/>
                    <a:stretch>
                      <a:fillRect/>
                    </a:stretch>
                  </pic:blipFill>
                  <pic:spPr>
                    <a:xfrm>
                      <a:off x="0" y="0"/>
                      <a:ext cx="6645910" cy="1812290"/>
                    </a:xfrm>
                    <a:prstGeom prst="rect">
                      <a:avLst/>
                    </a:prstGeom>
                  </pic:spPr>
                </pic:pic>
              </a:graphicData>
            </a:graphic>
          </wp:inline>
        </w:drawing>
      </w:r>
    </w:p>
    <w:p w14:paraId="6B233148" w14:textId="6D28B2C3" w:rsidR="007A0A29" w:rsidRPr="007A0A29" w:rsidRDefault="007A0A29" w:rsidP="008C1CD8">
      <w:pPr>
        <w:keepLines w:val="0"/>
        <w:suppressAutoHyphens w:val="0"/>
        <w:spacing w:before="0" w:after="160"/>
        <w:rPr>
          <w:lang w:val="en-GB" w:eastAsia="en-SG"/>
        </w:rPr>
      </w:pPr>
      <w:r>
        <w:rPr>
          <w:lang w:val="en-GB" w:eastAsia="en-SG"/>
        </w:rPr>
        <w:t xml:space="preserve">I find eliminating the components that make up a metric helps in validating their value. So let’s compare when there is no running VM. </w:t>
      </w:r>
    </w:p>
    <w:p w14:paraId="59A28D2E" w14:textId="1E653E2F" w:rsidR="007A0A29" w:rsidRDefault="007A0A29" w:rsidP="008C1CD8">
      <w:pPr>
        <w:rPr>
          <w:lang w:val="en-GB" w:eastAsia="en-SG"/>
        </w:rPr>
      </w:pPr>
      <w:r w:rsidRPr="007A0A29">
        <w:rPr>
          <w:noProof/>
          <w:lang w:val="en-GB" w:eastAsia="en-SG"/>
        </w:rPr>
        <w:drawing>
          <wp:inline distT="0" distB="0" distL="0" distR="0" wp14:anchorId="2D0F4766" wp14:editId="1A5FF8D6">
            <wp:extent cx="6645910" cy="1361440"/>
            <wp:effectExtent l="0" t="0" r="2540" b="0"/>
            <wp:docPr id="1606338692" name="Picture 1606338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a:stretch>
                      <a:fillRect/>
                    </a:stretch>
                  </pic:blipFill>
                  <pic:spPr>
                    <a:xfrm>
                      <a:off x="0" y="0"/>
                      <a:ext cx="6645910" cy="1361440"/>
                    </a:xfrm>
                    <a:prstGeom prst="rect">
                      <a:avLst/>
                    </a:prstGeom>
                  </pic:spPr>
                </pic:pic>
              </a:graphicData>
            </a:graphic>
          </wp:inline>
        </w:drawing>
      </w:r>
    </w:p>
    <w:p w14:paraId="5FFE1105" w14:textId="77777777" w:rsidR="001406B1" w:rsidRDefault="001406B1" w:rsidP="008C1CD8">
      <w:pPr>
        <w:rPr>
          <w:lang w:val="en-GB"/>
        </w:rPr>
      </w:pPr>
      <w:r>
        <w:rPr>
          <w:lang w:val="en-GB"/>
        </w:rPr>
        <w:t>Consumed = VMkernel utilization (not reservation) + Granted to VM</w:t>
      </w:r>
    </w:p>
    <w:p w14:paraId="30DFD5B8" w14:textId="77777777" w:rsidR="001406B1" w:rsidRDefault="001406B1" w:rsidP="008C1CD8">
      <w:pPr>
        <w:rPr>
          <w:lang w:val="en-GB"/>
        </w:rPr>
      </w:pPr>
      <w:r>
        <w:rPr>
          <w:lang w:val="en-GB"/>
        </w:rPr>
        <w:t>Let’s take a look! This ESXi has 130693 MB, as vCenter use 1024 to convert from GB to MB.</w:t>
      </w:r>
    </w:p>
    <w:p w14:paraId="1616B2B6" w14:textId="77777777" w:rsidR="001406B1" w:rsidRDefault="001406B1" w:rsidP="008C1CD8">
      <w:pPr>
        <w:jc w:val="center"/>
        <w:rPr>
          <w:lang w:val="en-GB"/>
        </w:rPr>
      </w:pPr>
      <w:r w:rsidRPr="003B5B47">
        <w:rPr>
          <w:noProof/>
          <w:lang w:val="en-GB"/>
        </w:rPr>
        <w:drawing>
          <wp:inline distT="0" distB="0" distL="0" distR="0" wp14:anchorId="6BB8C2B5" wp14:editId="2A128F9E">
            <wp:extent cx="4302000" cy="1965600"/>
            <wp:effectExtent l="0" t="0" r="3810" b="0"/>
            <wp:docPr id="918289653" name="Picture 918289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a:stretch>
                      <a:fillRect/>
                    </a:stretch>
                  </pic:blipFill>
                  <pic:spPr>
                    <a:xfrm>
                      <a:off x="0" y="0"/>
                      <a:ext cx="4302000" cy="1965600"/>
                    </a:xfrm>
                    <a:prstGeom prst="rect">
                      <a:avLst/>
                    </a:prstGeom>
                  </pic:spPr>
                </pic:pic>
              </a:graphicData>
            </a:graphic>
          </wp:inline>
        </w:drawing>
      </w:r>
    </w:p>
    <w:p w14:paraId="7FD2B2CD" w14:textId="77777777" w:rsidR="001406B1" w:rsidRDefault="001406B1" w:rsidP="008C1CD8">
      <w:pPr>
        <w:rPr>
          <w:lang w:val="en-GB"/>
        </w:rPr>
      </w:pPr>
      <w:r>
        <w:rPr>
          <w:lang w:val="en-GB"/>
        </w:rPr>
        <w:t xml:space="preserve">The box has 3 running VMs. One of them does not have VMware Tools. </w:t>
      </w:r>
    </w:p>
    <w:p w14:paraId="512255A3" w14:textId="77777777" w:rsidR="001406B1" w:rsidRDefault="001406B1" w:rsidP="008C1CD8">
      <w:pPr>
        <w:rPr>
          <w:lang w:val="en-GB"/>
        </w:rPr>
      </w:pPr>
      <w:r w:rsidRPr="00375253">
        <w:rPr>
          <w:noProof/>
          <w:lang w:val="en-GB"/>
        </w:rPr>
        <w:drawing>
          <wp:inline distT="0" distB="0" distL="0" distR="0" wp14:anchorId="251C6F9A" wp14:editId="4EF21A32">
            <wp:extent cx="6645910" cy="826135"/>
            <wp:effectExtent l="0" t="0" r="2540" b="0"/>
            <wp:docPr id="918289661" name="Picture 918289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8"/>
                    <a:stretch>
                      <a:fillRect/>
                    </a:stretch>
                  </pic:blipFill>
                  <pic:spPr>
                    <a:xfrm>
                      <a:off x="0" y="0"/>
                      <a:ext cx="6645910" cy="826135"/>
                    </a:xfrm>
                    <a:prstGeom prst="rect">
                      <a:avLst/>
                    </a:prstGeom>
                  </pic:spPr>
                </pic:pic>
              </a:graphicData>
            </a:graphic>
          </wp:inline>
        </w:drawing>
      </w:r>
    </w:p>
    <w:p w14:paraId="2D3C2F19" w14:textId="77777777" w:rsidR="001406B1" w:rsidRDefault="001406B1" w:rsidP="008C1CD8">
      <w:pPr>
        <w:rPr>
          <w:lang w:val="en-GB"/>
        </w:rPr>
      </w:pPr>
      <w:r>
        <w:rPr>
          <w:lang w:val="en-GB"/>
        </w:rPr>
        <w:t>As we’re interested in ESXi level, look at the number under Host Mem column. They add up to 27876 MB.</w:t>
      </w:r>
    </w:p>
    <w:p w14:paraId="78E7A699" w14:textId="77777777" w:rsidR="001406B1" w:rsidRDefault="001406B1" w:rsidP="008C1CD8">
      <w:pPr>
        <w:rPr>
          <w:lang w:val="en-GB"/>
        </w:rPr>
      </w:pPr>
      <w:r>
        <w:rPr>
          <w:lang w:val="en-GB"/>
        </w:rPr>
        <w:t xml:space="preserve">I’m not 100% what the number under Guest Mem is. Need to validate if it’s based on Tools or not. </w:t>
      </w:r>
    </w:p>
    <w:p w14:paraId="69EF3796" w14:textId="77777777" w:rsidR="001406B1" w:rsidRDefault="001406B1" w:rsidP="008C1CD8">
      <w:pPr>
        <w:rPr>
          <w:lang w:val="en-GB"/>
        </w:rPr>
      </w:pPr>
      <w:r>
        <w:rPr>
          <w:lang w:val="en-GB"/>
        </w:rPr>
        <w:t>Now let’s see what ESX consume reports.</w:t>
      </w:r>
    </w:p>
    <w:p w14:paraId="19346703" w14:textId="77777777" w:rsidR="001406B1" w:rsidRDefault="001406B1" w:rsidP="008C1CD8">
      <w:pPr>
        <w:rPr>
          <w:lang w:val="en-GB"/>
        </w:rPr>
      </w:pPr>
      <w:r w:rsidRPr="00023F81">
        <w:rPr>
          <w:noProof/>
          <w:lang w:val="en-GB"/>
        </w:rPr>
        <w:lastRenderedPageBreak/>
        <w:drawing>
          <wp:inline distT="0" distB="0" distL="0" distR="0" wp14:anchorId="38E3D34C" wp14:editId="172DCA00">
            <wp:extent cx="6645910" cy="3247390"/>
            <wp:effectExtent l="0" t="0" r="2540" b="0"/>
            <wp:docPr id="918289656" name="Picture 918289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9"/>
                    <a:stretch>
                      <a:fillRect/>
                    </a:stretch>
                  </pic:blipFill>
                  <pic:spPr>
                    <a:xfrm>
                      <a:off x="0" y="0"/>
                      <a:ext cx="6645910" cy="3247390"/>
                    </a:xfrm>
                    <a:prstGeom prst="rect">
                      <a:avLst/>
                    </a:prstGeom>
                  </pic:spPr>
                </pic:pic>
              </a:graphicData>
            </a:graphic>
          </wp:inline>
        </w:drawing>
      </w:r>
    </w:p>
    <w:p w14:paraId="0A6098B0" w14:textId="77777777" w:rsidR="001406B1" w:rsidRDefault="001406B1" w:rsidP="008C1CD8">
      <w:pPr>
        <w:rPr>
          <w:lang w:val="en-GB"/>
        </w:rPr>
      </w:pPr>
      <w:r>
        <w:rPr>
          <w:lang w:val="en-GB"/>
        </w:rPr>
        <w:t>It reports 31744 MB. That means there is 3876 MB unaccounted. That should be VMkernel.</w:t>
      </w:r>
    </w:p>
    <w:p w14:paraId="36CE4D10" w14:textId="77777777" w:rsidR="001406B1" w:rsidRDefault="001406B1" w:rsidP="008C1CD8">
      <w:pPr>
        <w:rPr>
          <w:lang w:val="en-GB"/>
        </w:rPr>
      </w:pPr>
      <w:r>
        <w:rPr>
          <w:lang w:val="en-GB"/>
        </w:rPr>
        <w:t xml:space="preserve">vCenter reports VMkernel is only consuming 2426. So there is 1441 MB unaccounted. </w:t>
      </w:r>
    </w:p>
    <w:p w14:paraId="236F3056" w14:textId="77777777" w:rsidR="001406B1" w:rsidRDefault="001406B1" w:rsidP="008C1CD8">
      <w:pPr>
        <w:rPr>
          <w:lang w:val="en-GB"/>
        </w:rPr>
      </w:pPr>
      <w:r>
        <w:rPr>
          <w:lang w:val="en-GB"/>
        </w:rPr>
        <w:t>Regardless, it shows that Consumes includes VMkernel already.</w:t>
      </w:r>
    </w:p>
    <w:p w14:paraId="7B9E1EB1" w14:textId="77777777" w:rsidR="001406B1" w:rsidRDefault="001406B1" w:rsidP="008C1CD8">
      <w:pPr>
        <w:rPr>
          <w:lang w:val="en-GB"/>
        </w:rPr>
      </w:pPr>
      <w:r>
        <w:rPr>
          <w:lang w:val="en-GB"/>
        </w:rPr>
        <w:t>You can also check at esxtop also match. See the PMEM total value. VMkernel consumes 2370 MB, and while VMs consumes 28245 MB. Free is 100076, which is 130692 – 2370 – 28245.</w:t>
      </w:r>
    </w:p>
    <w:p w14:paraId="7C0C6921" w14:textId="77777777" w:rsidR="001406B1" w:rsidRDefault="001406B1" w:rsidP="008C1CD8">
      <w:pPr>
        <w:jc w:val="center"/>
        <w:rPr>
          <w:lang w:val="en-GB"/>
        </w:rPr>
      </w:pPr>
      <w:r w:rsidRPr="001A27A6">
        <w:rPr>
          <w:noProof/>
          <w:lang w:val="en-GB"/>
        </w:rPr>
        <w:drawing>
          <wp:inline distT="0" distB="0" distL="0" distR="0" wp14:anchorId="52AB2F1A" wp14:editId="0C3ACEC4">
            <wp:extent cx="5733288" cy="2057400"/>
            <wp:effectExtent l="0" t="0" r="1270" b="0"/>
            <wp:docPr id="918289659" name="Picture 918289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0"/>
                    <a:stretch>
                      <a:fillRect/>
                    </a:stretch>
                  </pic:blipFill>
                  <pic:spPr>
                    <a:xfrm>
                      <a:off x="0" y="0"/>
                      <a:ext cx="5733288" cy="2057400"/>
                    </a:xfrm>
                    <a:prstGeom prst="rect">
                      <a:avLst/>
                    </a:prstGeom>
                  </pic:spPr>
                </pic:pic>
              </a:graphicData>
            </a:graphic>
          </wp:inline>
        </w:drawing>
      </w:r>
    </w:p>
    <w:p w14:paraId="032A0882" w14:textId="77777777" w:rsidR="001406B1" w:rsidRDefault="001406B1" w:rsidP="008C1CD8">
      <w:pPr>
        <w:rPr>
          <w:lang w:val="en-GB"/>
        </w:rPr>
      </w:pPr>
      <w:r>
        <w:rPr>
          <w:lang w:val="en-GB"/>
        </w:rPr>
        <w:t>The ESXi runs 3 VM, shown above as the first 3 lines. If you sum them up, you get 28245.</w:t>
      </w:r>
    </w:p>
    <w:p w14:paraId="7E951DE4" w14:textId="77777777" w:rsidR="001406B1" w:rsidRDefault="001406B1" w:rsidP="008C1CD8">
      <w:pPr>
        <w:rPr>
          <w:lang w:val="en-GB"/>
        </w:rPr>
      </w:pPr>
      <w:r>
        <w:rPr>
          <w:lang w:val="en-GB"/>
        </w:rPr>
        <w:t>What’s interesting is the numbers between esxtop and vCenter UI do not perfectly tally. I need to run more tests to figure it out.</w:t>
      </w:r>
    </w:p>
    <w:p w14:paraId="39A8BCA6" w14:textId="1ED4B3D7" w:rsidR="001406B1" w:rsidRDefault="001406B1" w:rsidP="008C1CD8">
      <w:pPr>
        <w:rPr>
          <w:lang w:val="en-GB"/>
        </w:rPr>
      </w:pPr>
      <w:r>
        <w:rPr>
          <w:lang w:val="en-GB"/>
        </w:rPr>
        <w:t xml:space="preserve">Consumed does not include </w:t>
      </w:r>
      <w:r w:rsidR="00D466D0">
        <w:rPr>
          <w:lang w:val="en-GB"/>
        </w:rPr>
        <w:t>Ballooned</w:t>
      </w:r>
      <w:r>
        <w:rPr>
          <w:lang w:val="en-GB"/>
        </w:rPr>
        <w:t>. This makes sense as the pages no longer backed by physical pages.</w:t>
      </w:r>
    </w:p>
    <w:p w14:paraId="195A10C9" w14:textId="77777777" w:rsidR="001406B1" w:rsidRDefault="001406B1" w:rsidP="008C1CD8">
      <w:pPr>
        <w:rPr>
          <w:lang w:val="en-GB"/>
        </w:rPr>
      </w:pPr>
      <w:r w:rsidRPr="00E339EF">
        <w:rPr>
          <w:noProof/>
          <w:lang w:val="en-GB"/>
        </w:rPr>
        <w:lastRenderedPageBreak/>
        <w:drawing>
          <wp:inline distT="0" distB="0" distL="0" distR="0" wp14:anchorId="471AF245" wp14:editId="6FCD1C54">
            <wp:extent cx="6645910" cy="2944495"/>
            <wp:effectExtent l="0" t="0" r="2540" b="8255"/>
            <wp:docPr id="1034" name="Picture 10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Picture 1034" descr="Graphical user interface, application&#10;&#10;Description automatically generated"/>
                    <pic:cNvPicPr/>
                  </pic:nvPicPr>
                  <pic:blipFill>
                    <a:blip r:embed="rId741"/>
                    <a:stretch>
                      <a:fillRect/>
                    </a:stretch>
                  </pic:blipFill>
                  <pic:spPr>
                    <a:xfrm>
                      <a:off x="0" y="0"/>
                      <a:ext cx="6645910" cy="2944495"/>
                    </a:xfrm>
                    <a:prstGeom prst="rect">
                      <a:avLst/>
                    </a:prstGeom>
                  </pic:spPr>
                </pic:pic>
              </a:graphicData>
            </a:graphic>
          </wp:inline>
        </w:drawing>
      </w:r>
    </w:p>
    <w:p w14:paraId="2F42B8C0" w14:textId="77777777" w:rsidR="001406B1" w:rsidRDefault="001406B1" w:rsidP="008C1CD8">
      <w:pPr>
        <w:rPr>
          <w:lang w:val="en-GB"/>
        </w:rPr>
      </w:pPr>
      <w:r>
        <w:rPr>
          <w:lang w:val="en-GB"/>
        </w:rPr>
        <w:t>Consumed does not include swapped. This makes sense as the page are no longer in the physical memory.</w:t>
      </w:r>
    </w:p>
    <w:p w14:paraId="2DB66D66" w14:textId="77777777" w:rsidR="001406B1" w:rsidRDefault="001406B1" w:rsidP="008C1CD8">
      <w:pPr>
        <w:rPr>
          <w:lang w:val="en-GB"/>
        </w:rPr>
      </w:pPr>
      <w:r w:rsidRPr="0091477A">
        <w:rPr>
          <w:noProof/>
          <w:lang w:val="en-GB"/>
        </w:rPr>
        <w:drawing>
          <wp:inline distT="0" distB="0" distL="0" distR="0" wp14:anchorId="2AC4A57F" wp14:editId="550DD107">
            <wp:extent cx="6645910" cy="2160270"/>
            <wp:effectExtent l="0" t="0" r="2540" b="0"/>
            <wp:docPr id="1038" name="Picture 1038"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Picture 1038" descr="Graphical user interface&#10;&#10;Description automatically generated"/>
                    <pic:cNvPicPr/>
                  </pic:nvPicPr>
                  <pic:blipFill>
                    <a:blip r:embed="rId742"/>
                    <a:stretch>
                      <a:fillRect/>
                    </a:stretch>
                  </pic:blipFill>
                  <pic:spPr>
                    <a:xfrm>
                      <a:off x="0" y="0"/>
                      <a:ext cx="6645910" cy="2160270"/>
                    </a:xfrm>
                    <a:prstGeom prst="rect">
                      <a:avLst/>
                    </a:prstGeom>
                  </pic:spPr>
                </pic:pic>
              </a:graphicData>
            </a:graphic>
          </wp:inline>
        </w:drawing>
      </w:r>
    </w:p>
    <w:p w14:paraId="4A8FBF1E" w14:textId="77777777" w:rsidR="001406B1" w:rsidRDefault="001406B1" w:rsidP="008C1CD8">
      <w:pPr>
        <w:rPr>
          <w:lang w:val="en-GB"/>
        </w:rPr>
      </w:pPr>
      <w:r>
        <w:rPr>
          <w:lang w:val="en-GB"/>
        </w:rPr>
        <w:t>Consumed seems to include compressed. This seems logical as the pages still consumed the physical memory (it’s in the DIMM).</w:t>
      </w:r>
    </w:p>
    <w:p w14:paraId="07A3AC4E" w14:textId="77777777" w:rsidR="001406B1" w:rsidRDefault="001406B1" w:rsidP="008C1CD8">
      <w:pPr>
        <w:rPr>
          <w:lang w:val="en-GB"/>
        </w:rPr>
      </w:pPr>
      <w:r w:rsidRPr="00EC460A">
        <w:rPr>
          <w:noProof/>
          <w:lang w:val="en-GB"/>
        </w:rPr>
        <w:drawing>
          <wp:inline distT="0" distB="0" distL="0" distR="0" wp14:anchorId="0E18D5DC" wp14:editId="69D10401">
            <wp:extent cx="6645910" cy="2095500"/>
            <wp:effectExtent l="0" t="0" r="2540" b="0"/>
            <wp:docPr id="1037" name="Picture 1037" descr="Graphical user interface,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Picture 1037" descr="Graphical user interface, application, Word&#10;&#10;Description automatically generated"/>
                    <pic:cNvPicPr/>
                  </pic:nvPicPr>
                  <pic:blipFill>
                    <a:blip r:embed="rId743"/>
                    <a:stretch>
                      <a:fillRect/>
                    </a:stretch>
                  </pic:blipFill>
                  <pic:spPr>
                    <a:xfrm>
                      <a:off x="0" y="0"/>
                      <a:ext cx="6645910" cy="2095500"/>
                    </a:xfrm>
                    <a:prstGeom prst="rect">
                      <a:avLst/>
                    </a:prstGeom>
                  </pic:spPr>
                </pic:pic>
              </a:graphicData>
            </a:graphic>
          </wp:inline>
        </w:drawing>
      </w:r>
    </w:p>
    <w:p w14:paraId="2C4FBEE4" w14:textId="77777777" w:rsidR="00A54879" w:rsidRDefault="00A54879" w:rsidP="008C1CD8">
      <w:pPr>
        <w:pStyle w:val="Heading6"/>
      </w:pPr>
      <w:r>
        <w:lastRenderedPageBreak/>
        <w:t>VMkernel</w:t>
      </w:r>
    </w:p>
    <w:p w14:paraId="0A5AEFB2" w14:textId="192D2415" w:rsidR="00A54879" w:rsidRDefault="00A54879" w:rsidP="00A54879">
      <w:pPr>
        <w:rPr>
          <w:lang w:val="en-GB"/>
        </w:rPr>
      </w:pPr>
      <w:r>
        <w:rPr>
          <w:lang w:val="en-GB"/>
        </w:rPr>
        <w:t xml:space="preserve">The other part of Consumed is </w:t>
      </w:r>
      <w:r w:rsidR="00725A6C">
        <w:rPr>
          <w:lang w:val="en-GB"/>
        </w:rPr>
        <w:t>non VM. This means VMkernel, vSAN, NSX and whatever else running on the hypervisor</w:t>
      </w:r>
      <w:r>
        <w:rPr>
          <w:lang w:val="en-GB"/>
        </w:rPr>
        <w:t xml:space="preserve">. Because ESXi Consumed includes </w:t>
      </w:r>
      <w:r w:rsidR="00725A6C">
        <w:rPr>
          <w:lang w:val="en-GB"/>
        </w:rPr>
        <w:t>non VM</w:t>
      </w:r>
      <w:r>
        <w:rPr>
          <w:lang w:val="en-GB"/>
        </w:rPr>
        <w:t>, it can be more than what’s allocated to all running VMs, as shown below.</w:t>
      </w:r>
    </w:p>
    <w:p w14:paraId="5DAA4259" w14:textId="77777777" w:rsidR="00A54879" w:rsidRDefault="00A54879" w:rsidP="00A54879">
      <w:pPr>
        <w:rPr>
          <w:lang w:val="en-GB"/>
        </w:rPr>
      </w:pPr>
      <w:r w:rsidRPr="00C91877">
        <w:rPr>
          <w:noProof/>
          <w:lang w:val="en-GB"/>
        </w:rPr>
        <w:drawing>
          <wp:inline distT="0" distB="0" distL="0" distR="0" wp14:anchorId="6A1C9ABF" wp14:editId="66698719">
            <wp:extent cx="6645910" cy="935990"/>
            <wp:effectExtent l="0" t="0" r="2540" b="0"/>
            <wp:docPr id="1859674519" name="Picture 1859674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4"/>
                    <a:stretch>
                      <a:fillRect/>
                    </a:stretch>
                  </pic:blipFill>
                  <pic:spPr>
                    <a:xfrm>
                      <a:off x="0" y="0"/>
                      <a:ext cx="6645910" cy="935990"/>
                    </a:xfrm>
                    <a:prstGeom prst="rect">
                      <a:avLst/>
                    </a:prstGeom>
                  </pic:spPr>
                </pic:pic>
              </a:graphicData>
            </a:graphic>
          </wp:inline>
        </w:drawing>
      </w:r>
    </w:p>
    <w:p w14:paraId="67C0437F" w14:textId="77777777" w:rsidR="00A54879" w:rsidRDefault="00A54879" w:rsidP="00A54879">
      <w:pPr>
        <w:rPr>
          <w:lang w:val="en-GB"/>
        </w:rPr>
      </w:pPr>
      <w:r>
        <w:rPr>
          <w:lang w:val="en-GB"/>
        </w:rPr>
        <w:t>Take note that Consumed includes the actual consumption, not the reservation. The following ESXi has 0 running VM, so the Consumed is just made of VMkernel. You can see the utilization is much lower than the reservation.</w:t>
      </w:r>
    </w:p>
    <w:p w14:paraId="55EA3FF1" w14:textId="77777777" w:rsidR="00A54879" w:rsidRDefault="00A54879" w:rsidP="00A54879">
      <w:pPr>
        <w:rPr>
          <w:lang w:val="en-GB"/>
        </w:rPr>
      </w:pPr>
      <w:r w:rsidRPr="00E26C01">
        <w:rPr>
          <w:noProof/>
          <w:lang w:val="en-GB"/>
        </w:rPr>
        <w:drawing>
          <wp:inline distT="0" distB="0" distL="0" distR="0" wp14:anchorId="7970B1A1" wp14:editId="735B6EBD">
            <wp:extent cx="6645910" cy="2775585"/>
            <wp:effectExtent l="0" t="0" r="2540" b="5715"/>
            <wp:docPr id="1041" name="Picture 104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 name="Picture 1041" descr="Chart&#10;&#10;Description automatically generated"/>
                    <pic:cNvPicPr/>
                  </pic:nvPicPr>
                  <pic:blipFill>
                    <a:blip r:embed="rId745"/>
                    <a:stretch>
                      <a:fillRect/>
                    </a:stretch>
                  </pic:blipFill>
                  <pic:spPr>
                    <a:xfrm>
                      <a:off x="0" y="0"/>
                      <a:ext cx="6645910" cy="2775585"/>
                    </a:xfrm>
                    <a:prstGeom prst="rect">
                      <a:avLst/>
                    </a:prstGeom>
                  </pic:spPr>
                </pic:pic>
              </a:graphicData>
            </a:graphic>
          </wp:inline>
        </w:drawing>
      </w:r>
    </w:p>
    <w:p w14:paraId="08DFE79D" w14:textId="27422D29" w:rsidR="00725A6C" w:rsidRDefault="00725A6C" w:rsidP="00A54879">
      <w:pPr>
        <w:rPr>
          <w:lang w:val="en-GB"/>
        </w:rPr>
      </w:pPr>
      <w:r>
        <w:rPr>
          <w:lang w:val="en-GB"/>
        </w:rPr>
        <w:t xml:space="preserve">If you’re wondering </w:t>
      </w:r>
      <w:r w:rsidR="003E2CE8">
        <w:rPr>
          <w:lang w:val="en-GB"/>
        </w:rPr>
        <w:t xml:space="preserve">why it’s consuming 17 GB when there is 0 VM, the likely answer is vSAN. Just because there is no VM does not mean vSAN should stop running. </w:t>
      </w:r>
    </w:p>
    <w:p w14:paraId="16A3F478" w14:textId="61800F82" w:rsidR="00A54879" w:rsidRDefault="00A54879" w:rsidP="00A54879">
      <w:pPr>
        <w:rPr>
          <w:lang w:val="en-GB"/>
        </w:rPr>
      </w:pPr>
      <w:r w:rsidRPr="00A452F2">
        <w:rPr>
          <w:lang w:val="en-GB"/>
        </w:rPr>
        <w:t xml:space="preserve">Just like any other modern-day OS, </w:t>
      </w:r>
      <w:r>
        <w:rPr>
          <w:lang w:val="en-GB"/>
        </w:rPr>
        <w:t>VMkernel</w:t>
      </w:r>
      <w:r w:rsidRPr="00A452F2">
        <w:rPr>
          <w:lang w:val="en-GB"/>
        </w:rPr>
        <w:t xml:space="preserve"> uses RAM as cache as it's faster than disk. So the Consumed counter will be near 100% in overcommit environment. This is a healthy utilization. </w:t>
      </w:r>
    </w:p>
    <w:p w14:paraId="2D15EDF9" w14:textId="77777777" w:rsidR="001406B1" w:rsidRDefault="001406B1" w:rsidP="008C1CD8">
      <w:pPr>
        <w:pStyle w:val="Heading5"/>
      </w:pPr>
      <w:r>
        <w:t>Granted</w:t>
      </w:r>
    </w:p>
    <w:p w14:paraId="3D5747CB" w14:textId="77777777" w:rsidR="001406B1" w:rsidRDefault="001406B1" w:rsidP="001406B1">
      <w:pPr>
        <w:rPr>
          <w:lang w:val="en-GB"/>
        </w:rPr>
      </w:pPr>
      <w:r>
        <w:rPr>
          <w:lang w:val="en-GB"/>
        </w:rPr>
        <w:t>The following example shows ESXi hosts with no running VM, so the Consumed counter is mostly made up of VMkernel. From the table, you can see that Consumed = VMkernel Consumed + Granted to VM.</w:t>
      </w:r>
    </w:p>
    <w:p w14:paraId="586A0485" w14:textId="77777777" w:rsidR="001406B1" w:rsidRDefault="001406B1" w:rsidP="001406B1">
      <w:pPr>
        <w:rPr>
          <w:lang w:val="en-GB"/>
        </w:rPr>
      </w:pPr>
      <w:r>
        <w:rPr>
          <w:lang w:val="en-GB"/>
        </w:rPr>
        <w:t xml:space="preserve">I’ve sorted them by the </w:t>
      </w:r>
      <w:r w:rsidRPr="00BC2685">
        <w:rPr>
          <w:b/>
          <w:bCs/>
          <w:color w:val="00B0F0"/>
          <w:lang w:val="en-GB"/>
        </w:rPr>
        <w:t>Granted</w:t>
      </w:r>
      <w:r w:rsidRPr="00BC2685">
        <w:rPr>
          <w:color w:val="00B0F0"/>
          <w:lang w:val="en-GB"/>
        </w:rPr>
        <w:t xml:space="preserve"> </w:t>
      </w:r>
      <w:r>
        <w:rPr>
          <w:lang w:val="en-GB"/>
        </w:rPr>
        <w:t xml:space="preserve">counter, as I’m not expecting it to have any values. </w:t>
      </w:r>
      <w:r w:rsidRPr="006E757E">
        <w:rPr>
          <w:lang w:val="en-GB"/>
        </w:rPr>
        <w:t xml:space="preserve">Granted at the host is the total of the granted </w:t>
      </w:r>
      <w:r>
        <w:rPr>
          <w:lang w:val="en-GB"/>
        </w:rPr>
        <w:t>metrics</w:t>
      </w:r>
      <w:r w:rsidRPr="006E757E">
        <w:rPr>
          <w:lang w:val="en-GB"/>
        </w:rPr>
        <w:t xml:space="preserve"> of VMs running on the host</w:t>
      </w:r>
      <w:r>
        <w:rPr>
          <w:lang w:val="en-GB"/>
        </w:rPr>
        <w:t>, so it should be 0 in this case</w:t>
      </w:r>
      <w:r w:rsidRPr="006E757E">
        <w:rPr>
          <w:lang w:val="en-GB"/>
        </w:rPr>
        <w:t>. It includes the shared memory.</w:t>
      </w:r>
      <w:r w:rsidRPr="00957575">
        <w:rPr>
          <w:lang w:val="en-GB"/>
        </w:rPr>
        <w:t xml:space="preserve"> </w:t>
      </w:r>
      <w:r>
        <w:rPr>
          <w:lang w:val="en-GB"/>
        </w:rPr>
        <w:t>My guess the extra memory is for non-VM user world process.</w:t>
      </w:r>
    </w:p>
    <w:p w14:paraId="763C50FC" w14:textId="77777777" w:rsidR="001406B1" w:rsidRDefault="001406B1" w:rsidP="001406B1">
      <w:pPr>
        <w:jc w:val="center"/>
        <w:rPr>
          <w:lang w:val="en-GB"/>
        </w:rPr>
      </w:pPr>
      <w:r>
        <w:rPr>
          <w:noProof/>
        </w:rPr>
        <w:lastRenderedPageBreak/>
        <w:drawing>
          <wp:inline distT="0" distB="0" distL="0" distR="0" wp14:anchorId="12938537" wp14:editId="406A4335">
            <wp:extent cx="4823556" cy="3430321"/>
            <wp:effectExtent l="0" t="0" r="0" b="0"/>
            <wp:docPr id="606394397" name="Picture 606394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97"/>
                    <pic:cNvPicPr/>
                  </pic:nvPicPr>
                  <pic:blipFill>
                    <a:blip r:embed="rId746" cstate="print">
                      <a:extLst>
                        <a:ext uri="{28A0092B-C50C-407E-A947-70E740481C1C}">
                          <a14:useLocalDpi xmlns:a14="http://schemas.microsoft.com/office/drawing/2010/main" val="0"/>
                        </a:ext>
                      </a:extLst>
                    </a:blip>
                    <a:stretch>
                      <a:fillRect/>
                    </a:stretch>
                  </pic:blipFill>
                  <pic:spPr>
                    <a:xfrm>
                      <a:off x="0" y="0"/>
                      <a:ext cx="4823556" cy="3430321"/>
                    </a:xfrm>
                    <a:prstGeom prst="rect">
                      <a:avLst/>
                    </a:prstGeom>
                  </pic:spPr>
                </pic:pic>
              </a:graphicData>
            </a:graphic>
          </wp:inline>
        </w:drawing>
      </w:r>
    </w:p>
    <w:p w14:paraId="02FBB841" w14:textId="77777777" w:rsidR="001406B1" w:rsidRDefault="001406B1" w:rsidP="001406B1">
      <w:pPr>
        <w:rPr>
          <w:lang w:val="en-GB"/>
        </w:rPr>
      </w:pPr>
      <w:r>
        <w:rPr>
          <w:lang w:val="en-GB"/>
        </w:rPr>
        <w:t>Let’s take one of the ESXi to see the value over time. This time around, let’s use vCenter instead.</w:t>
      </w:r>
    </w:p>
    <w:p w14:paraId="0DD84DE3" w14:textId="77777777" w:rsidR="001406B1" w:rsidRDefault="001406B1" w:rsidP="001406B1">
      <w:pPr>
        <w:rPr>
          <w:lang w:val="en-GB"/>
        </w:rPr>
      </w:pPr>
      <w:r>
        <w:rPr>
          <w:noProof/>
        </w:rPr>
        <w:drawing>
          <wp:inline distT="0" distB="0" distL="0" distR="0" wp14:anchorId="47A112E2" wp14:editId="095E3EA6">
            <wp:extent cx="6645910" cy="3503295"/>
            <wp:effectExtent l="0" t="0" r="2540" b="1905"/>
            <wp:docPr id="606394394" name="Picture 606394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94"/>
                    <pic:cNvPicPr/>
                  </pic:nvPicPr>
                  <pic:blipFill>
                    <a:blip r:embed="rId747">
                      <a:extLst>
                        <a:ext uri="{28A0092B-C50C-407E-A947-70E740481C1C}">
                          <a14:useLocalDpi xmlns:a14="http://schemas.microsoft.com/office/drawing/2010/main" val="0"/>
                        </a:ext>
                      </a:extLst>
                    </a:blip>
                    <a:stretch>
                      <a:fillRect/>
                    </a:stretch>
                  </pic:blipFill>
                  <pic:spPr>
                    <a:xfrm>
                      <a:off x="0" y="0"/>
                      <a:ext cx="6645910" cy="3503295"/>
                    </a:xfrm>
                    <a:prstGeom prst="rect">
                      <a:avLst/>
                    </a:prstGeom>
                  </pic:spPr>
                </pic:pic>
              </a:graphicData>
            </a:graphic>
          </wp:inline>
        </w:drawing>
      </w:r>
    </w:p>
    <w:p w14:paraId="3E30C0C1" w14:textId="77777777" w:rsidR="001406B1" w:rsidRDefault="001406B1" w:rsidP="001406B1">
      <w:pPr>
        <w:rPr>
          <w:lang w:val="en-GB"/>
        </w:rPr>
      </w:pPr>
      <w:r>
        <w:rPr>
          <w:lang w:val="en-GB"/>
        </w:rPr>
        <w:t>You can verify that ESXi Consumed includes its running VMs Consumes by taking an ESXi with a single running VM. The ESXi below has 255 GB of total capacity but only 229 GB is consumed. The 229 GB is split into 191 GB consumed by VM and 36 GB consumed by VMkernel.</w:t>
      </w:r>
    </w:p>
    <w:p w14:paraId="6F5F7AEF" w14:textId="77777777" w:rsidR="001406B1" w:rsidRDefault="001406B1" w:rsidP="001406B1">
      <w:pPr>
        <w:rPr>
          <w:lang w:val="en-GB"/>
        </w:rPr>
      </w:pPr>
      <w:r>
        <w:rPr>
          <w:noProof/>
        </w:rPr>
        <w:lastRenderedPageBreak/>
        <w:drawing>
          <wp:inline distT="0" distB="0" distL="0" distR="0" wp14:anchorId="7F9611E9" wp14:editId="3B3A0CE8">
            <wp:extent cx="6645910" cy="1971040"/>
            <wp:effectExtent l="0" t="0" r="2540" b="0"/>
            <wp:docPr id="606394395" name="Picture 606394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95"/>
                    <pic:cNvPicPr/>
                  </pic:nvPicPr>
                  <pic:blipFill>
                    <a:blip r:embed="rId748">
                      <a:extLst>
                        <a:ext uri="{28A0092B-C50C-407E-A947-70E740481C1C}">
                          <a14:useLocalDpi xmlns:a14="http://schemas.microsoft.com/office/drawing/2010/main" val="0"/>
                        </a:ext>
                      </a:extLst>
                    </a:blip>
                    <a:stretch>
                      <a:fillRect/>
                    </a:stretch>
                  </pic:blipFill>
                  <pic:spPr>
                    <a:xfrm>
                      <a:off x="0" y="0"/>
                      <a:ext cx="6645910" cy="1971040"/>
                    </a:xfrm>
                    <a:prstGeom prst="rect">
                      <a:avLst/>
                    </a:prstGeom>
                  </pic:spPr>
                </pic:pic>
              </a:graphicData>
            </a:graphic>
          </wp:inline>
        </w:drawing>
      </w:r>
    </w:p>
    <w:p w14:paraId="3CFC2653" w14:textId="77777777" w:rsidR="001406B1" w:rsidRDefault="001406B1" w:rsidP="001406B1">
      <w:pPr>
        <w:rPr>
          <w:lang w:val="en-GB"/>
        </w:rPr>
      </w:pPr>
      <w:r>
        <w:rPr>
          <w:lang w:val="en-GB"/>
        </w:rPr>
        <w:t>The VMkernel consumption is the sum of the following three resource pools.</w:t>
      </w:r>
    </w:p>
    <w:p w14:paraId="30570F9A" w14:textId="77777777" w:rsidR="001406B1" w:rsidRDefault="001406B1" w:rsidP="001406B1">
      <w:pPr>
        <w:rPr>
          <w:lang w:val="en-GB"/>
        </w:rPr>
      </w:pPr>
      <w:r>
        <w:rPr>
          <w:noProof/>
        </w:rPr>
        <w:drawing>
          <wp:inline distT="0" distB="0" distL="0" distR="0" wp14:anchorId="3D0E0476" wp14:editId="5DCDF716">
            <wp:extent cx="6645910" cy="3665855"/>
            <wp:effectExtent l="0" t="0" r="2540" b="0"/>
            <wp:docPr id="606394393" name="Picture 606394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93"/>
                    <pic:cNvPicPr/>
                  </pic:nvPicPr>
                  <pic:blipFill>
                    <a:blip r:embed="rId749">
                      <a:extLst>
                        <a:ext uri="{28A0092B-C50C-407E-A947-70E740481C1C}">
                          <a14:useLocalDpi xmlns:a14="http://schemas.microsoft.com/office/drawing/2010/main" val="0"/>
                        </a:ext>
                      </a:extLst>
                    </a:blip>
                    <a:stretch>
                      <a:fillRect/>
                    </a:stretch>
                  </pic:blipFill>
                  <pic:spPr>
                    <a:xfrm>
                      <a:off x="0" y="0"/>
                      <a:ext cx="6645910" cy="3665855"/>
                    </a:xfrm>
                    <a:prstGeom prst="rect">
                      <a:avLst/>
                    </a:prstGeom>
                  </pic:spPr>
                </pic:pic>
              </a:graphicData>
            </a:graphic>
          </wp:inline>
        </w:drawing>
      </w:r>
    </w:p>
    <w:p w14:paraId="16FE4B6F" w14:textId="77777777" w:rsidR="001406B1" w:rsidRDefault="001406B1" w:rsidP="001406B1">
      <w:pPr>
        <w:pStyle w:val="BeforeTable"/>
        <w:rPr>
          <w:lang w:val="en-GB"/>
        </w:rPr>
      </w:pPr>
    </w:p>
    <w:p w14:paraId="2B875D43" w14:textId="0BD7BC2B" w:rsidR="00CD2C66" w:rsidRDefault="00CD2C66" w:rsidP="008C1CD8">
      <w:pPr>
        <w:pStyle w:val="Heading5"/>
      </w:pPr>
      <w:bookmarkStart w:id="126" w:name="_Hlk133669949"/>
      <w:r>
        <w:lastRenderedPageBreak/>
        <w:t>Shared</w:t>
      </w: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247"/>
        <w:gridCol w:w="8219"/>
      </w:tblGrid>
      <w:tr w:rsidR="00937B99" w:rsidRPr="00D855F0" w14:paraId="0164DFE4" w14:textId="77777777" w:rsidTr="002813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47" w:type="dxa"/>
            <w:tcBorders>
              <w:bottom w:val="none" w:sz="0" w:space="0" w:color="auto"/>
            </w:tcBorders>
            <w:shd w:val="clear" w:color="auto" w:fill="F2F2F2" w:themeFill="background1" w:themeFillShade="F2"/>
          </w:tcPr>
          <w:p w14:paraId="4DA8D2C3" w14:textId="77777777" w:rsidR="00937B99" w:rsidRPr="00D855F0" w:rsidRDefault="00937B99" w:rsidP="00281329">
            <w:pPr>
              <w:pStyle w:val="Tableheading"/>
              <w:rPr>
                <w:b/>
                <w:bCs w:val="0"/>
              </w:rPr>
            </w:pPr>
            <w:r>
              <w:rPr>
                <w:b/>
                <w:bCs w:val="0"/>
              </w:rPr>
              <w:t>Metrics</w:t>
            </w:r>
          </w:p>
        </w:tc>
        <w:tc>
          <w:tcPr>
            <w:tcW w:w="8219" w:type="dxa"/>
            <w:tcBorders>
              <w:bottom w:val="none" w:sz="0" w:space="0" w:color="auto"/>
            </w:tcBorders>
            <w:shd w:val="clear" w:color="auto" w:fill="F2F2F2" w:themeFill="background1" w:themeFillShade="F2"/>
          </w:tcPr>
          <w:p w14:paraId="60AA53FC" w14:textId="77777777" w:rsidR="00937B99" w:rsidRPr="00D855F0" w:rsidRDefault="00937B99" w:rsidP="00281329">
            <w:pPr>
              <w:pStyle w:val="Tableheading"/>
              <w:cnfStyle w:val="100000000000" w:firstRow="1" w:lastRow="0" w:firstColumn="0" w:lastColumn="0" w:oddVBand="0" w:evenVBand="0" w:oddHBand="0" w:evenHBand="0" w:firstRowFirstColumn="0" w:firstRowLastColumn="0" w:lastRowFirstColumn="0" w:lastRowLastColumn="0"/>
              <w:rPr>
                <w:b/>
                <w:bCs w:val="0"/>
              </w:rPr>
            </w:pPr>
            <w:r w:rsidRPr="00D855F0">
              <w:rPr>
                <w:b/>
                <w:bCs w:val="0"/>
              </w:rPr>
              <w:t>Description</w:t>
            </w:r>
          </w:p>
        </w:tc>
      </w:tr>
      <w:tr w:rsidR="00937B99" w:rsidRPr="00A452F2" w14:paraId="56CA7521" w14:textId="77777777" w:rsidTr="00281329">
        <w:tc>
          <w:tcPr>
            <w:cnfStyle w:val="001000000000" w:firstRow="0" w:lastRow="0" w:firstColumn="1" w:lastColumn="0" w:oddVBand="0" w:evenVBand="0" w:oddHBand="0" w:evenHBand="0" w:firstRowFirstColumn="0" w:firstRowLastColumn="0" w:lastRowFirstColumn="0" w:lastRowLastColumn="0"/>
            <w:tcW w:w="2247" w:type="dxa"/>
          </w:tcPr>
          <w:p w14:paraId="15EDCC2D" w14:textId="77777777" w:rsidR="00937B99" w:rsidRPr="00A452F2" w:rsidRDefault="00937B99" w:rsidP="00281329">
            <w:pPr>
              <w:pStyle w:val="Tablecontent"/>
              <w:rPr>
                <w:lang w:val="en-GB"/>
              </w:rPr>
            </w:pPr>
            <w:r w:rsidRPr="00A452F2">
              <w:rPr>
                <w:lang w:val="en-GB"/>
              </w:rPr>
              <w:t>Shared</w:t>
            </w:r>
          </w:p>
        </w:tc>
        <w:tc>
          <w:tcPr>
            <w:tcW w:w="8219" w:type="dxa"/>
          </w:tcPr>
          <w:p w14:paraId="5EBEA37A" w14:textId="53FEE9D2" w:rsidR="00937B99" w:rsidRDefault="00867CB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T</w:t>
            </w:r>
            <w:r w:rsidRPr="003A2DF0">
              <w:rPr>
                <w:lang w:val="en-GB"/>
              </w:rPr>
              <w:t xml:space="preserve">he sum of all the VM memory pages </w:t>
            </w:r>
            <w:r>
              <w:rPr>
                <w:lang w:val="en-GB"/>
              </w:rPr>
              <w:t xml:space="preserve">&amp; VMkernel services </w:t>
            </w:r>
            <w:r w:rsidRPr="003A2DF0">
              <w:rPr>
                <w:lang w:val="en-GB"/>
              </w:rPr>
              <w:t xml:space="preserve">that are pointing to a shared page. </w:t>
            </w:r>
            <w:r>
              <w:rPr>
                <w:lang w:val="en-GB"/>
              </w:rPr>
              <w:t xml:space="preserve">In short, it’s </w:t>
            </w:r>
            <w:r w:rsidR="00937B99" w:rsidRPr="00A452F2">
              <w:rPr>
                <w:lang w:val="en-GB"/>
              </w:rPr>
              <w:t xml:space="preserve">Sum of VM Shared + </w:t>
            </w:r>
            <w:r w:rsidR="00937B99">
              <w:rPr>
                <w:lang w:val="en-GB"/>
              </w:rPr>
              <w:t>VMkernel</w:t>
            </w:r>
            <w:r w:rsidR="00937B99" w:rsidRPr="00A452F2">
              <w:rPr>
                <w:lang w:val="en-GB"/>
              </w:rPr>
              <w:t xml:space="preserve"> Shared</w:t>
            </w:r>
            <w:r>
              <w:rPr>
                <w:lang w:val="en-GB"/>
              </w:rPr>
              <w:t>.</w:t>
            </w:r>
          </w:p>
          <w:p w14:paraId="52926F73" w14:textId="3BD7014F" w:rsidR="00937B99" w:rsidRPr="00A452F2" w:rsidRDefault="00937B99"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 xml:space="preserve">If </w:t>
            </w:r>
            <w:r w:rsidR="00BD5E7B">
              <w:rPr>
                <w:lang w:val="en-GB"/>
              </w:rPr>
              <w:t>3</w:t>
            </w:r>
            <w:r w:rsidRPr="00A452F2">
              <w:rPr>
                <w:lang w:val="en-GB"/>
              </w:rPr>
              <w:t xml:space="preserve"> VMs each have </w:t>
            </w:r>
            <w:r w:rsidR="00BD5E7B">
              <w:rPr>
                <w:lang w:val="en-GB"/>
              </w:rPr>
              <w:t>2</w:t>
            </w:r>
            <w:r w:rsidRPr="00A452F2">
              <w:rPr>
                <w:lang w:val="en-GB"/>
              </w:rPr>
              <w:t xml:space="preserve"> M</w:t>
            </w:r>
            <w:r>
              <w:rPr>
                <w:lang w:val="en-GB"/>
              </w:rPr>
              <w:t>B</w:t>
            </w:r>
            <w:r w:rsidRPr="00A452F2">
              <w:rPr>
                <w:lang w:val="en-GB"/>
              </w:rPr>
              <w:t xml:space="preserve"> of identical memory, the shared memory is </w:t>
            </w:r>
            <w:r w:rsidR="00BD5E7B">
              <w:rPr>
                <w:lang w:val="en-GB"/>
              </w:rPr>
              <w:t>6</w:t>
            </w:r>
            <w:r w:rsidRPr="00A452F2">
              <w:rPr>
                <w:lang w:val="en-GB"/>
              </w:rPr>
              <w:t xml:space="preserve"> </w:t>
            </w:r>
            <w:r w:rsidR="00BD5E7B">
              <w:rPr>
                <w:lang w:val="en-GB"/>
              </w:rPr>
              <w:t>M</w:t>
            </w:r>
            <w:r w:rsidRPr="00A452F2">
              <w:rPr>
                <w:lang w:val="en-GB"/>
              </w:rPr>
              <w:t>B.</w:t>
            </w:r>
          </w:p>
        </w:tc>
      </w:tr>
      <w:tr w:rsidR="00937B99" w:rsidRPr="00A452F2" w14:paraId="72DF088C" w14:textId="77777777" w:rsidTr="00281329">
        <w:tc>
          <w:tcPr>
            <w:cnfStyle w:val="001000000000" w:firstRow="0" w:lastRow="0" w:firstColumn="1" w:lastColumn="0" w:oddVBand="0" w:evenVBand="0" w:oddHBand="0" w:evenHBand="0" w:firstRowFirstColumn="0" w:firstRowLastColumn="0" w:lastRowFirstColumn="0" w:lastRowLastColumn="0"/>
            <w:tcW w:w="2247" w:type="dxa"/>
          </w:tcPr>
          <w:p w14:paraId="2FFC5179" w14:textId="77777777" w:rsidR="00937B99" w:rsidRPr="00A452F2" w:rsidRDefault="00937B99" w:rsidP="00281329">
            <w:pPr>
              <w:pStyle w:val="Tablecontent"/>
              <w:rPr>
                <w:lang w:val="en-GB"/>
              </w:rPr>
            </w:pPr>
            <w:r w:rsidRPr="00A452F2">
              <w:rPr>
                <w:lang w:val="en-GB"/>
              </w:rPr>
              <w:t>Shared</w:t>
            </w:r>
            <w:r>
              <w:rPr>
                <w:lang w:val="en-GB"/>
              </w:rPr>
              <w:t xml:space="preserve"> Common</w:t>
            </w:r>
          </w:p>
        </w:tc>
        <w:tc>
          <w:tcPr>
            <w:tcW w:w="8219" w:type="dxa"/>
          </w:tcPr>
          <w:p w14:paraId="52A6AE99" w14:textId="19757969" w:rsidR="00867CB1" w:rsidRDefault="00867CB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T</w:t>
            </w:r>
            <w:r w:rsidRPr="003A2DF0">
              <w:rPr>
                <w:lang w:val="en-GB"/>
              </w:rPr>
              <w:t>he sum of all the shared pages</w:t>
            </w:r>
            <w:r>
              <w:rPr>
                <w:lang w:val="en-GB"/>
              </w:rPr>
              <w:t>.</w:t>
            </w:r>
          </w:p>
          <w:p w14:paraId="7DCE6AAA" w14:textId="6FAAFA4F" w:rsidR="00937B99" w:rsidRPr="00A452F2" w:rsidRDefault="00540F2F"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 xml:space="preserve">You can determine the amount of </w:t>
            </w:r>
            <w:r w:rsidR="00AE167A">
              <w:rPr>
                <w:lang w:val="en-GB"/>
              </w:rPr>
              <w:t xml:space="preserve">ESXi </w:t>
            </w:r>
            <w:r w:rsidR="00937B99" w:rsidRPr="00A452F2">
              <w:rPr>
                <w:lang w:val="en-GB"/>
              </w:rPr>
              <w:t xml:space="preserve">host memory savings </w:t>
            </w:r>
            <w:r>
              <w:rPr>
                <w:lang w:val="en-GB"/>
              </w:rPr>
              <w:t>by calculating Shared (KB) - Shared Common</w:t>
            </w:r>
            <w:r w:rsidR="00937B99">
              <w:rPr>
                <w:lang w:val="en-GB"/>
              </w:rPr>
              <w:t xml:space="preserve"> </w:t>
            </w:r>
            <w:r>
              <w:rPr>
                <w:lang w:val="en-GB"/>
              </w:rPr>
              <w:t>(KB)</w:t>
            </w:r>
          </w:p>
        </w:tc>
      </w:tr>
    </w:tbl>
    <w:p w14:paraId="7158B454" w14:textId="4D6C6F7A" w:rsidR="00937B99" w:rsidRDefault="00867CB1" w:rsidP="00CD2C66">
      <w:pPr>
        <w:rPr>
          <w:lang w:val="en-GB"/>
        </w:rPr>
      </w:pPr>
      <w:r>
        <w:rPr>
          <w:lang w:val="en-GB"/>
        </w:rPr>
        <w:t>M</w:t>
      </w:r>
      <w:r w:rsidR="00CD2C66" w:rsidRPr="003A2DF0">
        <w:rPr>
          <w:lang w:val="en-GB"/>
        </w:rPr>
        <w:t xml:space="preserve">emory shared common is at most half the value of Memory shared, as sharing means at least </w:t>
      </w:r>
      <w:r w:rsidR="00937B99">
        <w:rPr>
          <w:lang w:val="en-GB"/>
        </w:rPr>
        <w:t>2</w:t>
      </w:r>
      <w:r w:rsidR="00CD2C66" w:rsidRPr="003A2DF0">
        <w:rPr>
          <w:lang w:val="en-GB"/>
        </w:rPr>
        <w:t xml:space="preserve"> blocks are pointing to the shared page. If the value is a lot less than half, then you are saving a lot. </w:t>
      </w:r>
    </w:p>
    <w:p w14:paraId="2539033C" w14:textId="74F1DB21" w:rsidR="00937B99" w:rsidRDefault="00937B99" w:rsidP="00CD2C66">
      <w:pPr>
        <w:rPr>
          <w:lang w:val="en-GB"/>
        </w:rPr>
      </w:pPr>
      <w:r>
        <w:rPr>
          <w:lang w:val="en-GB"/>
        </w:rPr>
        <w:t xml:space="preserve">I typically validate the theory with actual values. The following shows the shared common exceeding half many times in the last 7 days. </w:t>
      </w:r>
    </w:p>
    <w:p w14:paraId="14A75389" w14:textId="46657191" w:rsidR="00937B99" w:rsidRDefault="00937B99" w:rsidP="00CD2C66">
      <w:pPr>
        <w:rPr>
          <w:lang w:val="en-GB"/>
        </w:rPr>
      </w:pPr>
      <w:r w:rsidRPr="00937B99">
        <w:rPr>
          <w:noProof/>
          <w:lang w:val="en-GB"/>
        </w:rPr>
        <w:drawing>
          <wp:inline distT="0" distB="0" distL="0" distR="0" wp14:anchorId="3CC2AFAD" wp14:editId="41754834">
            <wp:extent cx="6645910" cy="1974850"/>
            <wp:effectExtent l="0" t="0" r="2540" b="6350"/>
            <wp:docPr id="1606338713" name="Picture 1606338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0"/>
                    <a:stretch>
                      <a:fillRect/>
                    </a:stretch>
                  </pic:blipFill>
                  <pic:spPr>
                    <a:xfrm>
                      <a:off x="0" y="0"/>
                      <a:ext cx="6645910" cy="1974850"/>
                    </a:xfrm>
                    <a:prstGeom prst="rect">
                      <a:avLst/>
                    </a:prstGeom>
                  </pic:spPr>
                </pic:pic>
              </a:graphicData>
            </a:graphic>
          </wp:inline>
        </w:drawing>
      </w:r>
    </w:p>
    <w:p w14:paraId="3516E7AD" w14:textId="46CCD08C" w:rsidR="00937B99" w:rsidRDefault="00937B99" w:rsidP="00CD2C66">
      <w:pPr>
        <w:rPr>
          <w:lang w:val="en-GB"/>
        </w:rPr>
      </w:pPr>
      <w:r>
        <w:rPr>
          <w:lang w:val="en-GB"/>
        </w:rPr>
        <w:t xml:space="preserve">I’m not sure why. My wild guess is large pages are involved. </w:t>
      </w:r>
      <w:r w:rsidR="00CD2C66" w:rsidRPr="003A2DF0">
        <w:rPr>
          <w:lang w:val="en-GB"/>
        </w:rPr>
        <w:t xml:space="preserve">ESXi hosts sport the hardware-assisted memory virtualization from Intel or AMD. With this technology, </w:t>
      </w:r>
      <w:r w:rsidR="00CD2C66">
        <w:rPr>
          <w:lang w:val="en-GB"/>
        </w:rPr>
        <w:t>VMkernel</w:t>
      </w:r>
      <w:r w:rsidR="00CD2C66" w:rsidRPr="003A2DF0">
        <w:rPr>
          <w:lang w:val="en-GB"/>
        </w:rPr>
        <w:t xml:space="preserve"> uses large pages to back the VM memory. As a result, the possibility of shared memory is low, unless the host memory is highly utilized. In this </w:t>
      </w:r>
      <w:r>
        <w:rPr>
          <w:lang w:val="en-GB"/>
        </w:rPr>
        <w:t xml:space="preserve">high consumed </w:t>
      </w:r>
      <w:r w:rsidR="00CD2C66" w:rsidRPr="003A2DF0">
        <w:rPr>
          <w:lang w:val="en-GB"/>
        </w:rPr>
        <w:t xml:space="preserve">state, the large pages are broken down into small, shareable pages. </w:t>
      </w:r>
      <w:r>
        <w:rPr>
          <w:lang w:val="en-GB"/>
        </w:rPr>
        <w:t xml:space="preserve">The smaller pages get reflected in the shared common. Do let me know if my wild guess is correct. </w:t>
      </w:r>
    </w:p>
    <w:p w14:paraId="24D520FC" w14:textId="48F603A6" w:rsidR="00CD2C66" w:rsidRPr="003A2DF0" w:rsidRDefault="00937B99" w:rsidP="00CD2C66">
      <w:pPr>
        <w:rPr>
          <w:lang w:val="en-GB"/>
        </w:rPr>
      </w:pPr>
      <w:r>
        <w:rPr>
          <w:lang w:val="en-GB"/>
        </w:rPr>
        <w:t>Y</w:t>
      </w:r>
      <w:r w:rsidRPr="003A2DF0">
        <w:rPr>
          <w:lang w:val="en-GB"/>
        </w:rPr>
        <w:t xml:space="preserve">ou can also use the Memory shared common counter </w:t>
      </w:r>
      <w:r w:rsidR="00AE167A">
        <w:rPr>
          <w:lang w:val="en-GB"/>
        </w:rPr>
        <w:t xml:space="preserve">as leading indicator </w:t>
      </w:r>
      <w:r w:rsidRPr="003A2DF0">
        <w:rPr>
          <w:lang w:val="en-GB"/>
        </w:rPr>
        <w:t xml:space="preserve">of host </w:t>
      </w:r>
      <w:r w:rsidR="00AE167A">
        <w:rPr>
          <w:lang w:val="en-GB"/>
        </w:rPr>
        <w:t xml:space="preserve">breaking </w:t>
      </w:r>
      <w:r w:rsidR="00C230E2">
        <w:rPr>
          <w:lang w:val="en-GB"/>
        </w:rPr>
        <w:t>large</w:t>
      </w:r>
      <w:r w:rsidR="00AE167A">
        <w:rPr>
          <w:lang w:val="en-GB"/>
        </w:rPr>
        <w:t xml:space="preserve"> page into 4K</w:t>
      </w:r>
      <w:r w:rsidRPr="003A2DF0">
        <w:rPr>
          <w:lang w:val="en-GB"/>
        </w:rPr>
        <w:t>.</w:t>
      </w:r>
      <w:r>
        <w:rPr>
          <w:lang w:val="en-GB"/>
        </w:rPr>
        <w:t xml:space="preserve"> For that, you need to compare the value over time, as the absolute value may be normal for that host. The following table shows 11 ESXi hosts with various level of shared pages. Notice none of them is under memory pressure as balloon is 0. That’s why you use them as leading indicator.</w:t>
      </w:r>
    </w:p>
    <w:p w14:paraId="19134FA4" w14:textId="6F5DC4CA" w:rsidR="00017075" w:rsidRDefault="00017075" w:rsidP="00017075">
      <w:r w:rsidRPr="00017075">
        <w:rPr>
          <w:noProof/>
        </w:rPr>
        <w:lastRenderedPageBreak/>
        <w:drawing>
          <wp:inline distT="0" distB="0" distL="0" distR="0" wp14:anchorId="4D5700F7" wp14:editId="11ADF8A3">
            <wp:extent cx="6645910" cy="3501390"/>
            <wp:effectExtent l="0" t="0" r="2540" b="3810"/>
            <wp:docPr id="1606338711" name="Picture 1606338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6645910" cy="3501390"/>
                    </a:xfrm>
                    <a:prstGeom prst="rect">
                      <a:avLst/>
                    </a:prstGeom>
                  </pic:spPr>
                </pic:pic>
              </a:graphicData>
            </a:graphic>
          </wp:inline>
        </w:drawing>
      </w:r>
    </w:p>
    <w:p w14:paraId="62DDC07C" w14:textId="35A869DC" w:rsidR="00540F2F" w:rsidRDefault="00AE167A" w:rsidP="00AE167A">
      <w:pPr>
        <w:rPr>
          <w:lang w:val="en-GB"/>
        </w:rPr>
      </w:pPr>
      <w:r>
        <w:rPr>
          <w:lang w:val="en-GB"/>
        </w:rPr>
        <w:t xml:space="preserve">With Transparent Page Sharing limited to within a VM, shared pages should become much smaller in value. </w:t>
      </w:r>
      <w:r w:rsidR="00540F2F">
        <w:rPr>
          <w:lang w:val="en-GB"/>
        </w:rPr>
        <w:t>I’m not sure if salting helps address the issue. From the vSphere manual, “</w:t>
      </w:r>
      <w:r w:rsidR="00540F2F" w:rsidRPr="00540F2F">
        <w:rPr>
          <w:lang w:val="en-GB"/>
        </w:rPr>
        <w:t>With the new salting settings, virtual machines can share pages only if the salt value and contents of the pages are identical</w:t>
      </w:r>
      <w:r w:rsidR="00540F2F">
        <w:rPr>
          <w:lang w:val="en-GB"/>
        </w:rPr>
        <w:t xml:space="preserve">”. </w:t>
      </w:r>
    </w:p>
    <w:p w14:paraId="1F75ABB4" w14:textId="565BAFE5" w:rsidR="00AE167A" w:rsidRPr="000420F4" w:rsidRDefault="00AE167A" w:rsidP="00AE167A">
      <w:pPr>
        <w:rPr>
          <w:lang w:val="en-GB"/>
        </w:rPr>
      </w:pPr>
      <w:r>
        <w:rPr>
          <w:lang w:val="en-GB"/>
        </w:rPr>
        <w:t xml:space="preserve">I’m unsure if the above environment has the </w:t>
      </w:r>
      <w:r w:rsidR="00540F2F">
        <w:rPr>
          <w:lang w:val="en-GB"/>
        </w:rPr>
        <w:t>salting enabled or not</w:t>
      </w:r>
      <w:r>
        <w:rPr>
          <w:lang w:val="en-GB"/>
        </w:rPr>
        <w:t xml:space="preserve">. Let me know what </w:t>
      </w:r>
      <w:r w:rsidR="00540F2F">
        <w:rPr>
          <w:lang w:val="en-GB"/>
        </w:rPr>
        <w:t xml:space="preserve">level of sharing </w:t>
      </w:r>
      <w:r>
        <w:rPr>
          <w:lang w:val="en-GB"/>
        </w:rPr>
        <w:t xml:space="preserve">in </w:t>
      </w:r>
      <w:r w:rsidR="00540F2F">
        <w:rPr>
          <w:lang w:val="en-GB"/>
        </w:rPr>
        <w:t>y</w:t>
      </w:r>
      <w:r>
        <w:rPr>
          <w:lang w:val="en-GB"/>
        </w:rPr>
        <w:t>our environment</w:t>
      </w:r>
      <w:r w:rsidR="00540F2F">
        <w:rPr>
          <w:lang w:val="en-GB"/>
        </w:rPr>
        <w:t>, especially after you disable TPS.</w:t>
      </w:r>
    </w:p>
    <w:bookmarkEnd w:id="126"/>
    <w:p w14:paraId="1915FF79" w14:textId="2A7301A8" w:rsidR="000F10E1" w:rsidRDefault="000F10E1" w:rsidP="00DE7943">
      <w:pPr>
        <w:pStyle w:val="Heading5"/>
      </w:pPr>
      <w:r>
        <w:t>Reservation</w:t>
      </w:r>
    </w:p>
    <w:p w14:paraId="7BF690EE" w14:textId="1F0B1971" w:rsidR="000F10E1" w:rsidRDefault="008B1394" w:rsidP="000F10E1">
      <w:pPr>
        <w:rPr>
          <w:lang w:val="en-GB"/>
        </w:rPr>
      </w:pPr>
      <w:r>
        <w:rPr>
          <w:lang w:val="en-GB"/>
        </w:rPr>
        <w:t xml:space="preserve">The metric </w:t>
      </w:r>
      <w:r w:rsidR="000F10E1" w:rsidRPr="008B1394">
        <w:rPr>
          <w:color w:val="00B0F0"/>
          <w:lang w:val="en-GB"/>
        </w:rPr>
        <w:t>Reserved Capacity (MB)</w:t>
      </w:r>
      <w:r>
        <w:rPr>
          <w:lang w:val="en-GB"/>
        </w:rPr>
        <w:t xml:space="preserve"> metric</w:t>
      </w:r>
      <w:r w:rsidR="000F10E1" w:rsidRPr="00866D0B">
        <w:rPr>
          <w:lang w:val="en-GB"/>
        </w:rPr>
        <w:t xml:space="preserve"> only counts reservation</w:t>
      </w:r>
      <w:r w:rsidR="000F10E1">
        <w:rPr>
          <w:lang w:val="en-GB"/>
        </w:rPr>
        <w:t xml:space="preserve"> by powered on VM</w:t>
      </w:r>
      <w:r w:rsidR="000F10E1" w:rsidRPr="00866D0B">
        <w:rPr>
          <w:lang w:val="en-GB"/>
        </w:rPr>
        <w:t xml:space="preserve">. </w:t>
      </w:r>
      <w:r>
        <w:rPr>
          <w:lang w:val="en-GB"/>
        </w:rPr>
        <w:t xml:space="preserve">It does not include </w:t>
      </w:r>
      <w:r w:rsidR="00164BBC">
        <w:rPr>
          <w:lang w:val="en-GB"/>
        </w:rPr>
        <w:t xml:space="preserve">powered off VM and </w:t>
      </w:r>
      <w:r>
        <w:rPr>
          <w:lang w:val="en-GB"/>
        </w:rPr>
        <w:t xml:space="preserve">VMkernel reservation. Aim for this value to be low, as you should use reservation only if you mix VM with different class of service. </w:t>
      </w:r>
    </w:p>
    <w:p w14:paraId="7157CF46" w14:textId="406956A0" w:rsidR="008B1394" w:rsidRPr="00CB2C2E" w:rsidRDefault="008B1394" w:rsidP="008B1394">
      <w:pPr>
        <w:rPr>
          <w:lang w:val="en-GB" w:eastAsia="en-SG"/>
        </w:rPr>
      </w:pPr>
      <w:r>
        <w:rPr>
          <w:lang w:val="en-GB" w:eastAsia="en-SG"/>
        </w:rPr>
        <w:t>The following screenshot shows an ESXi where the CPU reservation was flat 0 MHz. I then set one of its VM reservation to 888 MHz. Notice the immediate yet constant change.</w:t>
      </w:r>
    </w:p>
    <w:p w14:paraId="50B7A9AA" w14:textId="77777777" w:rsidR="008B1394" w:rsidRPr="00CB2C2E" w:rsidRDefault="008B1394" w:rsidP="008B1394">
      <w:pPr>
        <w:rPr>
          <w:lang w:val="en-GB" w:eastAsia="en-SG"/>
        </w:rPr>
      </w:pPr>
      <w:r w:rsidRPr="00CB2C2E">
        <w:rPr>
          <w:noProof/>
          <w:lang w:val="en-GB" w:eastAsia="en-SG"/>
        </w:rPr>
        <w:lastRenderedPageBreak/>
        <w:drawing>
          <wp:inline distT="0" distB="0" distL="0" distR="0" wp14:anchorId="30F4B4B4" wp14:editId="36C51DFB">
            <wp:extent cx="6645910" cy="3630295"/>
            <wp:effectExtent l="0" t="0" r="2540" b="8255"/>
            <wp:docPr id="1971069011" name="Picture 1971069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2"/>
                    <a:stretch>
                      <a:fillRect/>
                    </a:stretch>
                  </pic:blipFill>
                  <pic:spPr>
                    <a:xfrm>
                      <a:off x="0" y="0"/>
                      <a:ext cx="6645910" cy="3630295"/>
                    </a:xfrm>
                    <a:prstGeom prst="rect">
                      <a:avLst/>
                    </a:prstGeom>
                  </pic:spPr>
                </pic:pic>
              </a:graphicData>
            </a:graphic>
          </wp:inline>
        </w:drawing>
      </w:r>
    </w:p>
    <w:p w14:paraId="39EB8B68" w14:textId="1C77AC73" w:rsidR="00495C9F" w:rsidRDefault="00495C9F" w:rsidP="00495C9F">
      <w:pPr>
        <w:pStyle w:val="Heading5"/>
      </w:pPr>
      <w:r>
        <w:t>Utilization</w:t>
      </w:r>
    </w:p>
    <w:p w14:paraId="361F69FB" w14:textId="3A97BDCD" w:rsidR="00495C9F" w:rsidRDefault="00495C9F" w:rsidP="00495C9F">
      <w:pPr>
        <w:rPr>
          <w:lang w:val="en-GB" w:eastAsia="en-SG"/>
        </w:rPr>
      </w:pPr>
      <w:r>
        <w:rPr>
          <w:lang w:val="en-GB" w:eastAsia="en-SG"/>
        </w:rPr>
        <w:t xml:space="preserve">We’ve seen that Consumed is too conservative as mostly cache and Active is too aggressive as it’s not even designed for memory sizing. </w:t>
      </w:r>
    </w:p>
    <w:p w14:paraId="6A59402E" w14:textId="34EAED49" w:rsidR="00495C9F" w:rsidRDefault="00495C9F" w:rsidP="00495C9F">
      <w:pPr>
        <w:rPr>
          <w:lang w:val="en-GB" w:eastAsia="en-SG"/>
        </w:rPr>
      </w:pPr>
      <w:r>
        <w:rPr>
          <w:lang w:val="en-GB" w:eastAsia="en-SG"/>
        </w:rPr>
        <w:t>This calls for a metric in the middle. This is where Utilization comes in.</w:t>
      </w:r>
    </w:p>
    <w:p w14:paraId="339DDA25" w14:textId="7BF8ED6D" w:rsidR="00495C9F" w:rsidRDefault="00495C9F" w:rsidP="00495C9F">
      <w:pPr>
        <w:rPr>
          <w:lang w:val="en-GB" w:eastAsia="en-SG"/>
        </w:rPr>
      </w:pPr>
      <w:r>
        <w:rPr>
          <w:lang w:val="en-GB" w:eastAsia="en-SG"/>
        </w:rPr>
        <w:t xml:space="preserve">It’s the sum of running VM Utilization metrics + VMkernel reservation. </w:t>
      </w:r>
    </w:p>
    <w:p w14:paraId="6112E9F4" w14:textId="39B17BBF" w:rsidR="00495C9F" w:rsidRDefault="00495C9F" w:rsidP="00495C9F">
      <w:pPr>
        <w:rPr>
          <w:lang w:val="en-GB" w:eastAsia="en-SG"/>
        </w:rPr>
      </w:pPr>
      <w:r>
        <w:rPr>
          <w:lang w:val="en-GB" w:eastAsia="en-SG"/>
        </w:rPr>
        <w:t>I plotted from 192 ESXi. I averaged the data to remove outlier. Based on 6840 running VMs, the Utilization counter is lower than Consumed</w:t>
      </w:r>
      <w:r w:rsidR="00F673AD">
        <w:rPr>
          <w:lang w:val="en-GB" w:eastAsia="en-SG"/>
        </w:rPr>
        <w:t xml:space="preserve"> by 122 GB. If you include Shared Common, your savings goes up to 152 GB on average. </w:t>
      </w:r>
    </w:p>
    <w:p w14:paraId="17B95720" w14:textId="7402BCAB" w:rsidR="00495C9F" w:rsidRDefault="00495C9F" w:rsidP="00495C9F">
      <w:pPr>
        <w:rPr>
          <w:lang w:val="en-GB" w:eastAsia="en-SG"/>
        </w:rPr>
      </w:pPr>
      <w:r w:rsidRPr="00495C9F">
        <w:rPr>
          <w:noProof/>
          <w:lang w:val="en-GB" w:eastAsia="en-SG"/>
        </w:rPr>
        <w:drawing>
          <wp:inline distT="0" distB="0" distL="0" distR="0" wp14:anchorId="2E872367" wp14:editId="6295B085">
            <wp:extent cx="6645910" cy="2379345"/>
            <wp:effectExtent l="0" t="0" r="2540" b="1905"/>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6645910" cy="2379345"/>
                    </a:xfrm>
                    <a:prstGeom prst="rect">
                      <a:avLst/>
                    </a:prstGeom>
                  </pic:spPr>
                </pic:pic>
              </a:graphicData>
            </a:graphic>
          </wp:inline>
        </w:drawing>
      </w:r>
    </w:p>
    <w:p w14:paraId="280CDE3D" w14:textId="3C04C0C4" w:rsidR="00F673AD" w:rsidRPr="00495C9F" w:rsidRDefault="00F673AD" w:rsidP="00495C9F">
      <w:pPr>
        <w:rPr>
          <w:lang w:val="en-GB" w:eastAsia="en-SG"/>
        </w:rPr>
      </w:pPr>
      <w:r>
        <w:rPr>
          <w:lang w:val="en-GB" w:eastAsia="en-SG"/>
        </w:rPr>
        <w:lastRenderedPageBreak/>
        <w:t>Utilization uses the reservation amount for VMkernel, instead of the actual utilization. This is technically not accurate but operationally wise as it gives you buffer.</w:t>
      </w:r>
    </w:p>
    <w:p w14:paraId="29FAC8FE" w14:textId="77777777" w:rsidR="00C22EEE" w:rsidRDefault="00C22EEE" w:rsidP="00C22EEE">
      <w:pPr>
        <w:pStyle w:val="Heading4"/>
      </w:pPr>
      <w:r>
        <w:t>Validation</w:t>
      </w:r>
    </w:p>
    <w:p w14:paraId="14FD8FB8" w14:textId="77777777" w:rsidR="00C22EEE" w:rsidRPr="00366FA1" w:rsidRDefault="00C22EEE" w:rsidP="00C22EEE">
      <w:pPr>
        <w:rPr>
          <w:lang w:val="en-GB" w:eastAsia="en-SG"/>
        </w:rPr>
      </w:pPr>
      <w:r>
        <w:rPr>
          <w:lang w:val="en-GB" w:eastAsia="en-SG"/>
        </w:rPr>
        <w:t>The following screenshot shows that ESXi had all its VM evacuated. Not a single VM left, regardless of power on/off status.</w:t>
      </w:r>
    </w:p>
    <w:p w14:paraId="5E7F3858" w14:textId="77777777" w:rsidR="00C22EEE" w:rsidRDefault="00C22EEE" w:rsidP="00C22EEE">
      <w:pPr>
        <w:rPr>
          <w:lang w:val="en-GB"/>
        </w:rPr>
      </w:pPr>
      <w:r w:rsidRPr="00895C2D">
        <w:rPr>
          <w:noProof/>
          <w:lang w:val="en-GB"/>
        </w:rPr>
        <w:drawing>
          <wp:inline distT="0" distB="0" distL="0" distR="0" wp14:anchorId="3B5EF109" wp14:editId="4451C727">
            <wp:extent cx="6645910" cy="1432560"/>
            <wp:effectExtent l="0" t="0" r="2540" b="0"/>
            <wp:docPr id="1606338691" name="Picture 1606338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4"/>
                    <a:stretch>
                      <a:fillRect/>
                    </a:stretch>
                  </pic:blipFill>
                  <pic:spPr>
                    <a:xfrm>
                      <a:off x="0" y="0"/>
                      <a:ext cx="6645910" cy="1432560"/>
                    </a:xfrm>
                    <a:prstGeom prst="rect">
                      <a:avLst/>
                    </a:prstGeom>
                  </pic:spPr>
                </pic:pic>
              </a:graphicData>
            </a:graphic>
          </wp:inline>
        </w:drawing>
      </w:r>
    </w:p>
    <w:p w14:paraId="021F40F8" w14:textId="3C50C418" w:rsidR="00164BBC" w:rsidRDefault="00164BBC" w:rsidP="00C22EEE">
      <w:pPr>
        <w:rPr>
          <w:lang w:val="en-GB"/>
        </w:rPr>
      </w:pPr>
      <w:r>
        <w:rPr>
          <w:lang w:val="en-GB"/>
        </w:rPr>
        <w:t xml:space="preserve">In the preceding chart, we could see the metric </w:t>
      </w:r>
      <w:r w:rsidRPr="00164BBC">
        <w:rPr>
          <w:color w:val="00B0F0"/>
          <w:lang w:val="en-GB"/>
        </w:rPr>
        <w:t xml:space="preserve">Memory Allocated on All Consumers </w:t>
      </w:r>
      <w:r>
        <w:rPr>
          <w:lang w:val="en-GB"/>
        </w:rPr>
        <w:t xml:space="preserve">dropped from 452 GB to 0 GB, and it remained flat after that. </w:t>
      </w:r>
    </w:p>
    <w:p w14:paraId="51A17224" w14:textId="5471EC4A" w:rsidR="00C22EEE" w:rsidRDefault="00C22EEE" w:rsidP="00C22EEE">
      <w:pPr>
        <w:rPr>
          <w:lang w:val="en-GB"/>
        </w:rPr>
      </w:pPr>
      <w:r>
        <w:rPr>
          <w:lang w:val="en-GB"/>
        </w:rPr>
        <w:t>Checking the Reserved Capacity metric, we can see it dropped to 0. This is expected.</w:t>
      </w:r>
    </w:p>
    <w:p w14:paraId="39A4B7AE" w14:textId="77777777" w:rsidR="00C22EEE" w:rsidRDefault="00C22EEE" w:rsidP="00C22EEE">
      <w:pPr>
        <w:rPr>
          <w:lang w:val="en-GB"/>
        </w:rPr>
      </w:pPr>
      <w:r w:rsidRPr="00895C2D">
        <w:rPr>
          <w:noProof/>
          <w:lang w:val="en-GB"/>
        </w:rPr>
        <w:drawing>
          <wp:inline distT="0" distB="0" distL="0" distR="0" wp14:anchorId="1051F7B1" wp14:editId="3397F095">
            <wp:extent cx="6645910" cy="1370330"/>
            <wp:effectExtent l="0" t="0" r="2540" b="1270"/>
            <wp:docPr id="1606338693" name="Picture 1606338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5"/>
                    <a:stretch>
                      <a:fillRect/>
                    </a:stretch>
                  </pic:blipFill>
                  <pic:spPr>
                    <a:xfrm>
                      <a:off x="0" y="0"/>
                      <a:ext cx="6645910" cy="1370330"/>
                    </a:xfrm>
                    <a:prstGeom prst="rect">
                      <a:avLst/>
                    </a:prstGeom>
                  </pic:spPr>
                </pic:pic>
              </a:graphicData>
            </a:graphic>
          </wp:inline>
        </w:drawing>
      </w:r>
    </w:p>
    <w:p w14:paraId="4AFA20E3" w14:textId="08CF5382" w:rsidR="0016541E" w:rsidRDefault="0016541E" w:rsidP="00C22EEE">
      <w:pPr>
        <w:rPr>
          <w:lang w:val="en-GB"/>
        </w:rPr>
      </w:pPr>
      <w:r>
        <w:rPr>
          <w:lang w:val="en-GB"/>
        </w:rPr>
        <w:t xml:space="preserve">How about </w:t>
      </w:r>
      <w:r w:rsidRPr="0016541E">
        <w:rPr>
          <w:color w:val="00B0F0"/>
          <w:lang w:val="en-GB"/>
        </w:rPr>
        <w:t>Consumed</w:t>
      </w:r>
      <w:r>
        <w:rPr>
          <w:lang w:val="en-GB"/>
        </w:rPr>
        <w:t xml:space="preserve">? </w:t>
      </w:r>
    </w:p>
    <w:p w14:paraId="61C6D848" w14:textId="77777777" w:rsidR="00C22EEE" w:rsidRDefault="00C22EEE" w:rsidP="00C22EEE">
      <w:pPr>
        <w:rPr>
          <w:lang w:val="en-GB"/>
        </w:rPr>
      </w:pPr>
      <w:r w:rsidRPr="00895C2D">
        <w:rPr>
          <w:noProof/>
          <w:lang w:val="en-GB"/>
        </w:rPr>
        <w:drawing>
          <wp:inline distT="0" distB="0" distL="0" distR="0" wp14:anchorId="66F54F34" wp14:editId="6BEC7E3E">
            <wp:extent cx="6645910" cy="1376045"/>
            <wp:effectExtent l="0" t="0" r="2540" b="0"/>
            <wp:docPr id="1606338694" name="Picture 1606338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6"/>
                    <a:stretch>
                      <a:fillRect/>
                    </a:stretch>
                  </pic:blipFill>
                  <pic:spPr>
                    <a:xfrm>
                      <a:off x="0" y="0"/>
                      <a:ext cx="6645910" cy="1376045"/>
                    </a:xfrm>
                    <a:prstGeom prst="rect">
                      <a:avLst/>
                    </a:prstGeom>
                  </pic:spPr>
                </pic:pic>
              </a:graphicData>
            </a:graphic>
          </wp:inline>
        </w:drawing>
      </w:r>
    </w:p>
    <w:p w14:paraId="319A7914" w14:textId="378F9AA9" w:rsidR="0016541E" w:rsidRDefault="0016541E" w:rsidP="0016541E">
      <w:pPr>
        <w:rPr>
          <w:lang w:val="en-GB"/>
        </w:rPr>
      </w:pPr>
      <w:r>
        <w:rPr>
          <w:lang w:val="en-GB"/>
        </w:rPr>
        <w:t xml:space="preserve">Memory Consumed also dropped. The value was 400 GB, less than 452 GB of allocated to all VM. This indicated some VM had not used the memory, which could happen. </w:t>
      </w:r>
    </w:p>
    <w:p w14:paraId="0E23CBEF" w14:textId="79876A43" w:rsidR="0016541E" w:rsidRDefault="0016541E" w:rsidP="0016541E">
      <w:pPr>
        <w:rPr>
          <w:lang w:val="en-GB"/>
        </w:rPr>
      </w:pPr>
      <w:r>
        <w:rPr>
          <w:lang w:val="en-GB"/>
        </w:rPr>
        <w:t>The value dropped to 32 GB, not 0 GB. This is expected as Consumed includes</w:t>
      </w:r>
      <w:r w:rsidR="00FC12FB">
        <w:rPr>
          <w:lang w:val="en-GB"/>
        </w:rPr>
        <w:t xml:space="preserve"> every other process that runs. In this case, it is majority vSAN, which run in the kernel.</w:t>
      </w:r>
      <w:r>
        <w:rPr>
          <w:lang w:val="en-GB"/>
        </w:rPr>
        <w:t xml:space="preserve"> </w:t>
      </w:r>
    </w:p>
    <w:p w14:paraId="2BA4A392" w14:textId="7BC8E71A" w:rsidR="0016541E" w:rsidRDefault="0016541E" w:rsidP="0016541E">
      <w:pPr>
        <w:rPr>
          <w:lang w:val="en-GB"/>
        </w:rPr>
      </w:pPr>
      <w:r>
        <w:rPr>
          <w:lang w:val="en-GB"/>
        </w:rPr>
        <w:t>Let’s check VMkernel utilization.</w:t>
      </w:r>
    </w:p>
    <w:p w14:paraId="34D13AEA" w14:textId="77777777" w:rsidR="00C22EEE" w:rsidRDefault="00C22EEE" w:rsidP="00C22EEE">
      <w:pPr>
        <w:rPr>
          <w:lang w:val="en-GB"/>
        </w:rPr>
      </w:pPr>
      <w:r w:rsidRPr="00895C2D">
        <w:rPr>
          <w:noProof/>
          <w:lang w:val="en-GB"/>
        </w:rPr>
        <w:lastRenderedPageBreak/>
        <w:drawing>
          <wp:inline distT="0" distB="0" distL="0" distR="0" wp14:anchorId="6AB3F021" wp14:editId="14101980">
            <wp:extent cx="6645910" cy="1403350"/>
            <wp:effectExtent l="0" t="0" r="2540" b="6350"/>
            <wp:docPr id="1606338695" name="Picture 1606338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7"/>
                    <a:stretch>
                      <a:fillRect/>
                    </a:stretch>
                  </pic:blipFill>
                  <pic:spPr>
                    <a:xfrm>
                      <a:off x="0" y="0"/>
                      <a:ext cx="6645910" cy="1403350"/>
                    </a:xfrm>
                    <a:prstGeom prst="rect">
                      <a:avLst/>
                    </a:prstGeom>
                  </pic:spPr>
                </pic:pic>
              </a:graphicData>
            </a:graphic>
          </wp:inline>
        </w:drawing>
      </w:r>
    </w:p>
    <w:p w14:paraId="3F7FEF6B" w14:textId="154052B0" w:rsidR="0016541E" w:rsidRDefault="0016541E" w:rsidP="0016541E">
      <w:pPr>
        <w:rPr>
          <w:lang w:val="en-GB"/>
        </w:rPr>
      </w:pPr>
      <w:r>
        <w:rPr>
          <w:lang w:val="en-GB"/>
        </w:rPr>
        <w:t>Notice it’s a bit smaller than Consumed, indicating Consumed has other thing. I suspect it’s BIOS and the console in vSphere Client UI.</w:t>
      </w:r>
    </w:p>
    <w:p w14:paraId="59CDF607" w14:textId="77777777" w:rsidR="00C22EEE" w:rsidRDefault="00C22EEE" w:rsidP="00C22EEE">
      <w:pPr>
        <w:rPr>
          <w:lang w:val="en-GB"/>
        </w:rPr>
      </w:pPr>
      <w:r>
        <w:rPr>
          <w:lang w:val="en-GB"/>
        </w:rPr>
        <w:t>How come the value didn’t change much? I kinda expect some changes, based on the theory that some kernel modules memory footprint depends on the number of running VM. If you know, let me know!</w:t>
      </w:r>
    </w:p>
    <w:p w14:paraId="6B773162" w14:textId="6130A499" w:rsidR="00C22EEE" w:rsidRDefault="00C22EEE" w:rsidP="00C22EEE">
      <w:pPr>
        <w:rPr>
          <w:lang w:val="en-GB"/>
        </w:rPr>
      </w:pPr>
      <w:r>
        <w:rPr>
          <w:lang w:val="en-GB"/>
        </w:rPr>
        <w:t>How about VMkernel reservation? What do we expect the value to change?</w:t>
      </w:r>
    </w:p>
    <w:p w14:paraId="56AE7C47" w14:textId="77777777" w:rsidR="00C22EEE" w:rsidRDefault="00C22EEE" w:rsidP="00C22EEE">
      <w:pPr>
        <w:rPr>
          <w:lang w:val="en-GB"/>
        </w:rPr>
      </w:pPr>
      <w:r w:rsidRPr="00895C2D">
        <w:rPr>
          <w:noProof/>
          <w:lang w:val="en-GB"/>
        </w:rPr>
        <w:drawing>
          <wp:inline distT="0" distB="0" distL="0" distR="0" wp14:anchorId="48AF1279" wp14:editId="7F649707">
            <wp:extent cx="6645910" cy="1443355"/>
            <wp:effectExtent l="0" t="0" r="2540" b="4445"/>
            <wp:docPr id="1606338697" name="Picture 1606338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8"/>
                    <a:stretch>
                      <a:fillRect/>
                    </a:stretch>
                  </pic:blipFill>
                  <pic:spPr>
                    <a:xfrm>
                      <a:off x="0" y="0"/>
                      <a:ext cx="6645910" cy="1443355"/>
                    </a:xfrm>
                    <a:prstGeom prst="rect">
                      <a:avLst/>
                    </a:prstGeom>
                  </pic:spPr>
                </pic:pic>
              </a:graphicData>
            </a:graphic>
          </wp:inline>
        </w:drawing>
      </w:r>
    </w:p>
    <w:p w14:paraId="2E98E58B" w14:textId="77777777" w:rsidR="0016541E" w:rsidRDefault="0016541E" w:rsidP="0016541E">
      <w:pPr>
        <w:rPr>
          <w:lang w:val="en-GB"/>
        </w:rPr>
      </w:pPr>
      <w:r>
        <w:rPr>
          <w:lang w:val="en-GB"/>
        </w:rPr>
        <w:t xml:space="preserve">Well, it won’t since the actual usage does not change. </w:t>
      </w:r>
    </w:p>
    <w:p w14:paraId="3233E495" w14:textId="4072D200" w:rsidR="00C22EEE" w:rsidRDefault="00C22EEE" w:rsidP="00C22EEE">
      <w:pPr>
        <w:pStyle w:val="Heading5"/>
      </w:pPr>
      <w:r>
        <w:t>Analysis</w:t>
      </w:r>
    </w:p>
    <w:p w14:paraId="0FEF0E0A" w14:textId="5FE6DA31" w:rsidR="00C22EEE" w:rsidRDefault="00C22EEE" w:rsidP="00C22EEE">
      <w:r>
        <w:t xml:space="preserve">I compare 185 production ESXi hosts to understand the behaviour of </w:t>
      </w:r>
      <w:r w:rsidR="009F5E85">
        <w:t>the metrics. I average</w:t>
      </w:r>
      <w:r w:rsidR="00CA74F7">
        <w:t>d</w:t>
      </w:r>
      <w:r w:rsidR="009F5E85">
        <w:t xml:space="preserve"> their results</w:t>
      </w:r>
      <w:r w:rsidR="004E4397">
        <w:t xml:space="preserve"> to eliminate outlier. </w:t>
      </w:r>
    </w:p>
    <w:p w14:paraId="0BD507D1" w14:textId="2E15B6F1" w:rsidR="00C22EEE" w:rsidRDefault="00C22EEE" w:rsidP="00C22EEE">
      <w:pPr>
        <w:jc w:val="center"/>
        <w:rPr>
          <w:lang w:val="en-GB"/>
        </w:rPr>
      </w:pPr>
      <w:r w:rsidRPr="008E150E">
        <w:rPr>
          <w:noProof/>
          <w:lang w:val="en-GB"/>
        </w:rPr>
        <w:lastRenderedPageBreak/>
        <w:drawing>
          <wp:inline distT="0" distB="0" distL="0" distR="0" wp14:anchorId="3C3045A0" wp14:editId="394350A6">
            <wp:extent cx="4270248" cy="3392424"/>
            <wp:effectExtent l="0" t="0" r="0" b="0"/>
            <wp:docPr id="1606338699" name="Picture 1606338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9"/>
                    <a:stretch>
                      <a:fillRect/>
                    </a:stretch>
                  </pic:blipFill>
                  <pic:spPr>
                    <a:xfrm>
                      <a:off x="0" y="0"/>
                      <a:ext cx="4270248" cy="3392424"/>
                    </a:xfrm>
                    <a:prstGeom prst="rect">
                      <a:avLst/>
                    </a:prstGeom>
                  </pic:spPr>
                </pic:pic>
              </a:graphicData>
            </a:graphic>
          </wp:inline>
        </w:drawing>
      </w:r>
    </w:p>
    <w:p w14:paraId="12180369" w14:textId="289AA925" w:rsidR="004E4397" w:rsidRDefault="004E4397" w:rsidP="004E4397">
      <w:pPr>
        <w:rPr>
          <w:lang w:val="en-GB"/>
        </w:rPr>
      </w:pPr>
      <w:r>
        <w:rPr>
          <w:lang w:val="en-GB"/>
        </w:rPr>
        <w:t xml:space="preserve">The average </w:t>
      </w:r>
      <w:r w:rsidR="00CA74F7">
        <w:rPr>
          <w:lang w:val="en-GB"/>
        </w:rPr>
        <w:t xml:space="preserve">of all the 185 ESXi hosts have </w:t>
      </w:r>
      <w:r>
        <w:rPr>
          <w:lang w:val="en-GB"/>
        </w:rPr>
        <w:t xml:space="preserve">total capacity </w:t>
      </w:r>
      <w:r w:rsidR="00CA74F7">
        <w:rPr>
          <w:lang w:val="en-GB"/>
        </w:rPr>
        <w:t xml:space="preserve">of </w:t>
      </w:r>
      <w:r>
        <w:rPr>
          <w:lang w:val="en-GB"/>
        </w:rPr>
        <w:t>737 GB. This is the physical configured memory.</w:t>
      </w:r>
    </w:p>
    <w:p w14:paraId="06998EAF" w14:textId="59E49791" w:rsidR="00C22EEE" w:rsidRDefault="004E4397" w:rsidP="00C22EEE">
      <w:pPr>
        <w:rPr>
          <w:lang w:val="en-GB"/>
        </w:rPr>
      </w:pPr>
      <w:r>
        <w:rPr>
          <w:lang w:val="en-GB"/>
        </w:rPr>
        <w:t xml:space="preserve">The metric </w:t>
      </w:r>
      <w:r w:rsidR="00C22EEE" w:rsidRPr="004E4397">
        <w:rPr>
          <w:color w:val="00B0F0"/>
          <w:lang w:val="en-GB"/>
        </w:rPr>
        <w:t>Memory \ Usable Memory</w:t>
      </w:r>
      <w:r w:rsidR="00C22EEE" w:rsidRPr="005C15E5">
        <w:rPr>
          <w:lang w:val="en-GB"/>
        </w:rPr>
        <w:t xml:space="preserve"> is </w:t>
      </w:r>
      <w:r w:rsidR="00C22EEE">
        <w:rPr>
          <w:lang w:val="en-GB"/>
        </w:rPr>
        <w:t>72</w:t>
      </w:r>
      <w:r>
        <w:rPr>
          <w:lang w:val="en-GB"/>
        </w:rPr>
        <w:t>9</w:t>
      </w:r>
      <w:r w:rsidR="00C22EEE">
        <w:rPr>
          <w:lang w:val="en-GB"/>
        </w:rPr>
        <w:t xml:space="preserve"> GB</w:t>
      </w:r>
      <w:r>
        <w:rPr>
          <w:lang w:val="en-GB"/>
        </w:rPr>
        <w:t xml:space="preserve"> (not shown in above table)</w:t>
      </w:r>
      <w:r w:rsidR="00C22EEE">
        <w:rPr>
          <w:lang w:val="en-GB"/>
        </w:rPr>
        <w:t xml:space="preserve">. It’s </w:t>
      </w:r>
      <w:r w:rsidR="00C22EEE" w:rsidRPr="005C15E5">
        <w:rPr>
          <w:lang w:val="en-GB"/>
        </w:rPr>
        <w:t>1% less or 8 GB than Total Capacity</w:t>
      </w:r>
      <w:r>
        <w:rPr>
          <w:lang w:val="en-GB"/>
        </w:rPr>
        <w:t xml:space="preserve">. I suspect this maps to </w:t>
      </w:r>
      <w:r w:rsidRPr="004E4397">
        <w:rPr>
          <w:color w:val="00B0F0"/>
          <w:lang w:val="en-GB"/>
        </w:rPr>
        <w:t xml:space="preserve">Managed </w:t>
      </w:r>
      <w:r>
        <w:rPr>
          <w:lang w:val="en-GB"/>
        </w:rPr>
        <w:t xml:space="preserve">metric in vCenter. It is </w:t>
      </w:r>
      <w:r w:rsidRPr="006B532B">
        <w:rPr>
          <w:lang w:val="en-GB"/>
        </w:rPr>
        <w:t xml:space="preserve">the total amount of machine memory managed by </w:t>
      </w:r>
      <w:r>
        <w:rPr>
          <w:lang w:val="en-GB"/>
        </w:rPr>
        <w:t>VMkernel</w:t>
      </w:r>
      <w:r w:rsidRPr="006B532B">
        <w:rPr>
          <w:lang w:val="en-GB"/>
        </w:rPr>
        <w:t xml:space="preserve">. </w:t>
      </w:r>
      <w:r>
        <w:rPr>
          <w:lang w:val="en-GB"/>
        </w:rPr>
        <w:t>VMkernel</w:t>
      </w:r>
      <w:r w:rsidRPr="006B532B">
        <w:rPr>
          <w:lang w:val="en-GB"/>
        </w:rPr>
        <w:t xml:space="preserve"> "</w:t>
      </w:r>
      <w:r w:rsidRPr="001A6CB5">
        <w:rPr>
          <w:color w:val="00B0F0"/>
          <w:lang w:val="en-GB"/>
        </w:rPr>
        <w:t>managed</w:t>
      </w:r>
      <w:r w:rsidRPr="006B532B">
        <w:rPr>
          <w:lang w:val="en-GB"/>
        </w:rPr>
        <w:t xml:space="preserve">" memory can be dynamically allocated for VM, </w:t>
      </w:r>
      <w:r>
        <w:rPr>
          <w:lang w:val="en-GB"/>
        </w:rPr>
        <w:t>VMkernel</w:t>
      </w:r>
      <w:r w:rsidRPr="006B532B">
        <w:rPr>
          <w:lang w:val="en-GB"/>
        </w:rPr>
        <w:t>, and User Worlds.</w:t>
      </w:r>
      <w:r>
        <w:rPr>
          <w:lang w:val="en-GB"/>
        </w:rPr>
        <w:t xml:space="preserve"> I need to check what exactly this is as I don’t see a use case for it.</w:t>
      </w:r>
    </w:p>
    <w:p w14:paraId="4C037410" w14:textId="788AAF47" w:rsidR="00C22EEE" w:rsidRDefault="004E4397" w:rsidP="00C22EEE">
      <w:pPr>
        <w:rPr>
          <w:lang w:val="en-GB"/>
        </w:rPr>
      </w:pPr>
      <w:r>
        <w:rPr>
          <w:lang w:val="en-GB"/>
        </w:rPr>
        <w:t xml:space="preserve">The metric </w:t>
      </w:r>
      <w:r w:rsidR="00C22EEE" w:rsidRPr="004E4397">
        <w:rPr>
          <w:color w:val="00B0F0"/>
          <w:lang w:val="en-GB"/>
        </w:rPr>
        <w:t xml:space="preserve">Memory \ VMKernel Usage </w:t>
      </w:r>
      <w:r w:rsidR="00C22EEE" w:rsidRPr="005C15E5">
        <w:rPr>
          <w:lang w:val="en-GB"/>
        </w:rPr>
        <w:t>is 7.</w:t>
      </w:r>
      <w:r w:rsidR="00C22EEE">
        <w:rPr>
          <w:lang w:val="en-GB"/>
        </w:rPr>
        <w:t>6</w:t>
      </w:r>
      <w:r w:rsidR="00C22EEE" w:rsidRPr="005C15E5">
        <w:rPr>
          <w:lang w:val="en-GB"/>
        </w:rPr>
        <w:t xml:space="preserve"> GB</w:t>
      </w:r>
      <w:r>
        <w:rPr>
          <w:lang w:val="en-GB"/>
        </w:rPr>
        <w:t xml:space="preserve"> (not shown in above table)</w:t>
      </w:r>
      <w:r w:rsidR="00C22EEE" w:rsidRPr="005C15E5">
        <w:rPr>
          <w:lang w:val="en-GB"/>
        </w:rPr>
        <w:t>.</w:t>
      </w:r>
      <w:r w:rsidR="00C22EEE">
        <w:rPr>
          <w:lang w:val="en-GB"/>
        </w:rPr>
        <w:t xml:space="preserve"> </w:t>
      </w:r>
      <w:r w:rsidR="00CD2C66">
        <w:rPr>
          <w:lang w:val="en-GB"/>
        </w:rPr>
        <w:t>This is much lower than the reservation, which is 51.6 GB.</w:t>
      </w:r>
    </w:p>
    <w:p w14:paraId="4794603B" w14:textId="3C4BDDE5" w:rsidR="00E674AB" w:rsidRDefault="00C22EEE" w:rsidP="00C22EEE">
      <w:pPr>
        <w:rPr>
          <w:lang w:val="en-GB"/>
        </w:rPr>
      </w:pPr>
      <w:r>
        <w:rPr>
          <w:lang w:val="en-GB"/>
        </w:rPr>
        <w:t xml:space="preserve">Consumed is </w:t>
      </w:r>
      <w:r w:rsidR="00BD5E7B">
        <w:rPr>
          <w:lang w:val="en-GB"/>
        </w:rPr>
        <w:t xml:space="preserve">generally </w:t>
      </w:r>
      <w:r>
        <w:rPr>
          <w:lang w:val="en-GB"/>
        </w:rPr>
        <w:t xml:space="preserve">higher than the other 3 metrics. </w:t>
      </w:r>
      <w:r w:rsidR="00BD5E7B">
        <w:rPr>
          <w:lang w:val="en-GB"/>
        </w:rPr>
        <w:t xml:space="preserve">The only time it’s lower is when there is a lot of savings from shared pages. </w:t>
      </w:r>
    </w:p>
    <w:p w14:paraId="7D0750F2" w14:textId="0782FF9A" w:rsidR="00C22EEE" w:rsidRDefault="00C22EEE" w:rsidP="00C22EEE">
      <w:pPr>
        <w:rPr>
          <w:lang w:val="en-GB"/>
        </w:rPr>
      </w:pPr>
      <w:r>
        <w:rPr>
          <w:lang w:val="en-GB"/>
        </w:rPr>
        <w:t>What are these?</w:t>
      </w:r>
    </w:p>
    <w:p w14:paraId="1CB94A4E" w14:textId="129F4687" w:rsidR="00C22EEE" w:rsidRDefault="00C22EEE" w:rsidP="00C22EEE">
      <w:pPr>
        <w:pStyle w:val="Bullet"/>
        <w:rPr>
          <w:lang w:val="en-GB"/>
        </w:rPr>
      </w:pPr>
      <w:r>
        <w:rPr>
          <w:lang w:val="en-GB"/>
        </w:rPr>
        <w:t>Host Usag</w:t>
      </w:r>
      <w:r w:rsidR="00995B33">
        <w:rPr>
          <w:lang w:val="en-GB"/>
        </w:rPr>
        <w:t xml:space="preserve">e. </w:t>
      </w:r>
      <w:r w:rsidR="000D332D">
        <w:rPr>
          <w:lang w:val="en-GB"/>
        </w:rPr>
        <w:t xml:space="preserve">Sum of VM Consumed. </w:t>
      </w:r>
      <w:r w:rsidR="00E674AB" w:rsidRPr="0040373F">
        <w:rPr>
          <w:lang w:val="en-GB"/>
        </w:rPr>
        <w:t>ESX System Usage</w:t>
      </w:r>
      <w:r w:rsidR="00E674AB">
        <w:rPr>
          <w:lang w:val="en-GB"/>
        </w:rPr>
        <w:t xml:space="preserve"> is not included. Use case is only for migration, where we don’t want the ESXi consumption.</w:t>
      </w:r>
    </w:p>
    <w:p w14:paraId="0B644584" w14:textId="3A34705D" w:rsidR="00C22EEE" w:rsidRDefault="00C22EEE" w:rsidP="00C22EEE">
      <w:pPr>
        <w:pStyle w:val="Bullet"/>
        <w:rPr>
          <w:lang w:val="en-GB"/>
        </w:rPr>
      </w:pPr>
      <w:r>
        <w:rPr>
          <w:lang w:val="en-GB"/>
        </w:rPr>
        <w:t xml:space="preserve">Machine Demand. </w:t>
      </w:r>
      <w:r w:rsidR="0040373F">
        <w:rPr>
          <w:lang w:val="en-GB"/>
        </w:rPr>
        <w:t>The sum of VM Utilization</w:t>
      </w:r>
    </w:p>
    <w:p w14:paraId="20CB8EC1" w14:textId="36CABD78" w:rsidR="00C22EEE" w:rsidRDefault="00C22EEE" w:rsidP="00C22EEE">
      <w:pPr>
        <w:pStyle w:val="Bullet"/>
        <w:rPr>
          <w:lang w:val="en-GB"/>
        </w:rPr>
      </w:pPr>
      <w:r>
        <w:rPr>
          <w:lang w:val="en-GB"/>
        </w:rPr>
        <w:t xml:space="preserve">Utilization. </w:t>
      </w:r>
      <w:r w:rsidR="000D332D">
        <w:rPr>
          <w:lang w:val="en-GB"/>
        </w:rPr>
        <w:t xml:space="preserve">Machine Demand + </w:t>
      </w:r>
      <w:r w:rsidR="000D332D" w:rsidRPr="0040373F">
        <w:rPr>
          <w:lang w:val="en-GB"/>
        </w:rPr>
        <w:t>ESX System Usage</w:t>
      </w:r>
      <w:r w:rsidR="00E674AB">
        <w:rPr>
          <w:lang w:val="en-GB"/>
        </w:rPr>
        <w:t>. You can see that the value equats ESX System Usage when there is 0 running VM.</w:t>
      </w:r>
    </w:p>
    <w:p w14:paraId="7FB0A015" w14:textId="4D951F8B" w:rsidR="000D332D" w:rsidRDefault="000D332D" w:rsidP="00C22EEE">
      <w:pPr>
        <w:pStyle w:val="Bullet"/>
        <w:rPr>
          <w:lang w:val="en-GB"/>
        </w:rPr>
      </w:pPr>
      <w:r>
        <w:rPr>
          <w:lang w:val="en-GB"/>
        </w:rPr>
        <w:t>Workload = Utilization against Usable</w:t>
      </w:r>
    </w:p>
    <w:p w14:paraId="2C87A2B7" w14:textId="189E3D1C" w:rsidR="007D48E7" w:rsidRDefault="007D48E7" w:rsidP="007D48E7">
      <w:pPr>
        <w:pStyle w:val="Heading3"/>
      </w:pPr>
      <w:r>
        <w:lastRenderedPageBreak/>
        <w:t>Storage</w:t>
      </w:r>
    </w:p>
    <w:p w14:paraId="0667497E" w14:textId="287E911B" w:rsidR="007D48E7" w:rsidRDefault="00F041A6" w:rsidP="00101777">
      <w:pPr>
        <w:rPr>
          <w:lang w:val="en-US"/>
        </w:rPr>
      </w:pPr>
      <w:bookmarkStart w:id="127" w:name="_Hlk133747037"/>
      <w:r>
        <w:rPr>
          <w:lang w:val="en-US"/>
        </w:rPr>
        <w:t xml:space="preserve">The following screenshot shows </w:t>
      </w:r>
      <w:r w:rsidR="007D48E7" w:rsidRPr="4CAB3972">
        <w:rPr>
          <w:lang w:val="en-US"/>
        </w:rPr>
        <w:t xml:space="preserve">the ESXi metric groups for storage in the vCenter performance chart. </w:t>
      </w:r>
    </w:p>
    <w:p w14:paraId="437B227E" w14:textId="4D49D49B" w:rsidR="007D48E7" w:rsidRPr="00AB3A08" w:rsidRDefault="00F041A6" w:rsidP="007D48E7">
      <w:pPr>
        <w:rPr>
          <w:lang w:val="en-GB"/>
        </w:rPr>
      </w:pPr>
      <w:r w:rsidRPr="00F041A6">
        <w:rPr>
          <w:noProof/>
          <w:lang w:val="en-GB"/>
        </w:rPr>
        <w:drawing>
          <wp:inline distT="0" distB="0" distL="0" distR="0" wp14:anchorId="246E2B1B" wp14:editId="03016594">
            <wp:extent cx="5239512" cy="3712464"/>
            <wp:effectExtent l="0" t="0" r="0" b="2540"/>
            <wp:docPr id="1525330277" name="Picture 1525330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0"/>
                    <a:stretch>
                      <a:fillRect/>
                    </a:stretch>
                  </pic:blipFill>
                  <pic:spPr>
                    <a:xfrm>
                      <a:off x="0" y="0"/>
                      <a:ext cx="5239512" cy="3712464"/>
                    </a:xfrm>
                    <a:prstGeom prst="rect">
                      <a:avLst/>
                    </a:prstGeom>
                  </pic:spPr>
                </pic:pic>
              </a:graphicData>
            </a:graphic>
          </wp:inline>
        </w:drawing>
      </w:r>
    </w:p>
    <w:p w14:paraId="45BF7168" w14:textId="1B2B0763" w:rsidR="00F041A6" w:rsidRDefault="00101777" w:rsidP="00101777">
      <w:pPr>
        <w:rPr>
          <w:lang w:val="en-US"/>
        </w:rPr>
      </w:pPr>
      <w:r w:rsidRPr="4CAB3972">
        <w:rPr>
          <w:lang w:val="en-US"/>
        </w:rPr>
        <w:t>There are 4 metrics groups</w:t>
      </w:r>
      <w:r w:rsidR="00F041A6">
        <w:rPr>
          <w:lang w:val="en-US"/>
        </w:rPr>
        <w:t>: datastore, disk, storage adapter and storage path.</w:t>
      </w:r>
    </w:p>
    <w:p w14:paraId="02C4C134" w14:textId="0D6F8245" w:rsidR="007D48E7" w:rsidRPr="00F041A6" w:rsidRDefault="00101777" w:rsidP="00365F19">
      <w:pPr>
        <w:rPr>
          <w:lang w:val="en-US"/>
        </w:rPr>
      </w:pPr>
      <w:r>
        <w:rPr>
          <w:lang w:val="en-US"/>
        </w:rPr>
        <w:t xml:space="preserve">We’ve covered in the previous chapter how </w:t>
      </w:r>
      <w:r w:rsidR="00F041A6">
        <w:rPr>
          <w:lang w:val="en-US"/>
        </w:rPr>
        <w:t xml:space="preserve">they </w:t>
      </w:r>
      <w:r w:rsidR="00927992">
        <w:rPr>
          <w:lang w:val="en-US"/>
        </w:rPr>
        <w:t xml:space="preserve">work </w:t>
      </w:r>
      <w:r>
        <w:rPr>
          <w:lang w:val="en-US"/>
        </w:rPr>
        <w:t xml:space="preserve">together. We also covered how vSAN impacts them. </w:t>
      </w:r>
    </w:p>
    <w:p w14:paraId="71ECCD30" w14:textId="7BB028E5" w:rsidR="007D48E7" w:rsidRDefault="003E0C03" w:rsidP="002B244B">
      <w:pPr>
        <w:pStyle w:val="Heading4"/>
      </w:pPr>
      <w:r>
        <w:t>Storage Adapter</w:t>
      </w:r>
      <w:r w:rsidR="002B244B">
        <w:t xml:space="preserve"> &amp; Path</w:t>
      </w:r>
    </w:p>
    <w:p w14:paraId="301DDC04" w14:textId="41CB6A2A" w:rsidR="002B244B" w:rsidRDefault="002B244B" w:rsidP="002B244B">
      <w:pPr>
        <w:rPr>
          <w:lang w:val="en-GB" w:eastAsia="en-SG"/>
        </w:rPr>
      </w:pPr>
      <w:r>
        <w:rPr>
          <w:lang w:val="en-GB" w:eastAsia="en-SG"/>
        </w:rPr>
        <w:t xml:space="preserve">They have identical set of counters. I was hoping adapter to have more metrics such as adapter buffer, queue and utilization. </w:t>
      </w:r>
    </w:p>
    <w:p w14:paraId="33B49ABC" w14:textId="1F6C08BE" w:rsidR="00F041A6" w:rsidRDefault="00F041A6" w:rsidP="00F041A6">
      <w:pPr>
        <w:jc w:val="center"/>
        <w:rPr>
          <w:lang w:val="en-GB" w:eastAsia="en-SG"/>
        </w:rPr>
      </w:pPr>
      <w:r>
        <w:rPr>
          <w:noProof/>
          <w:lang w:val="en-GB" w:eastAsia="en-SG"/>
        </w:rPr>
        <w:lastRenderedPageBreak/>
        <w:drawing>
          <wp:inline distT="0" distB="0" distL="0" distR="0" wp14:anchorId="1A17D6A5" wp14:editId="56BAF1F0">
            <wp:extent cx="4626864" cy="2130552"/>
            <wp:effectExtent l="0" t="0" r="2540" b="3175"/>
            <wp:docPr id="1606338705" name="Picture 1606338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1">
                      <a:extLst>
                        <a:ext uri="{28A0092B-C50C-407E-A947-70E740481C1C}">
                          <a14:useLocalDpi xmlns:a14="http://schemas.microsoft.com/office/drawing/2010/main" val="0"/>
                        </a:ext>
                      </a:extLst>
                    </a:blip>
                    <a:srcRect/>
                    <a:stretch>
                      <a:fillRect/>
                    </a:stretch>
                  </pic:blipFill>
                  <pic:spPr bwMode="auto">
                    <a:xfrm>
                      <a:off x="0" y="0"/>
                      <a:ext cx="4626864" cy="2130552"/>
                    </a:xfrm>
                    <a:prstGeom prst="rect">
                      <a:avLst/>
                    </a:prstGeom>
                    <a:noFill/>
                    <a:ln>
                      <a:noFill/>
                    </a:ln>
                  </pic:spPr>
                </pic:pic>
              </a:graphicData>
            </a:graphic>
          </wp:inline>
        </w:drawing>
      </w:r>
    </w:p>
    <w:p w14:paraId="0E982403" w14:textId="6EA1E7D9" w:rsidR="004B5DB8" w:rsidRPr="004B5DB8" w:rsidRDefault="004B5DB8" w:rsidP="004B5DB8">
      <w:r>
        <w:t>What metrics are missing from the above? I’d like to see block size. Average block size, largest block size, minimum block size. Those will help in troubleshooting.</w:t>
      </w:r>
    </w:p>
    <w:p w14:paraId="30AF022E" w14:textId="1FBD4B91" w:rsidR="00F041A6" w:rsidRDefault="00F041A6" w:rsidP="00365F19">
      <w:pPr>
        <w:rPr>
          <w:lang w:val="en-GB"/>
        </w:rPr>
      </w:pPr>
      <w:r>
        <w:rPr>
          <w:lang w:val="en-GB"/>
        </w:rPr>
        <w:t xml:space="preserve">The highest latency metric takes the worst value among all the adapters or the paths. This can be handy compared to tracking each of them one by one. </w:t>
      </w:r>
      <w:r w:rsidR="004B24A9">
        <w:rPr>
          <w:lang w:val="en-GB"/>
        </w:rPr>
        <w:t xml:space="preserve">However, it averages each adapter first, so it’s not the highest read or write. </w:t>
      </w:r>
      <w:r w:rsidR="004B5DB8">
        <w:rPr>
          <w:lang w:val="en-GB"/>
        </w:rPr>
        <w:t xml:space="preserve">You can see from the following screenshot that its value is lower than the read latency or vmhba0. </w:t>
      </w:r>
      <w:r w:rsidR="004B24A9">
        <w:rPr>
          <w:lang w:val="en-GB"/>
        </w:rPr>
        <w:t xml:space="preserve">What you want is the highest read or write among all the adapters or paths. </w:t>
      </w:r>
    </w:p>
    <w:p w14:paraId="7708F0A2" w14:textId="5ADBC214" w:rsidR="004B24A9" w:rsidRDefault="004B5DB8" w:rsidP="00365F19">
      <w:pPr>
        <w:rPr>
          <w:lang w:val="en-GB"/>
        </w:rPr>
      </w:pPr>
      <w:r w:rsidRPr="004B5DB8">
        <w:rPr>
          <w:noProof/>
          <w:lang w:val="en-GB"/>
        </w:rPr>
        <w:drawing>
          <wp:inline distT="0" distB="0" distL="0" distR="0" wp14:anchorId="6A29322A" wp14:editId="08B3CD8B">
            <wp:extent cx="6645910" cy="3297555"/>
            <wp:effectExtent l="0" t="0" r="2540" b="0"/>
            <wp:docPr id="1606338706" name="Picture 1606338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2"/>
                    <a:stretch>
                      <a:fillRect/>
                    </a:stretch>
                  </pic:blipFill>
                  <pic:spPr>
                    <a:xfrm>
                      <a:off x="0" y="0"/>
                      <a:ext cx="6645910" cy="3297555"/>
                    </a:xfrm>
                    <a:prstGeom prst="rect">
                      <a:avLst/>
                    </a:prstGeom>
                  </pic:spPr>
                </pic:pic>
              </a:graphicData>
            </a:graphic>
          </wp:inline>
        </w:drawing>
      </w:r>
    </w:p>
    <w:p w14:paraId="3BB1623E" w14:textId="5B6608D7" w:rsidR="00705C11" w:rsidRDefault="00705C11" w:rsidP="00365F19">
      <w:pPr>
        <w:rPr>
          <w:lang w:val="en-GB"/>
        </w:rPr>
      </w:pPr>
      <w:r>
        <w:rPr>
          <w:lang w:val="en-GB"/>
        </w:rPr>
        <w:t>I plotted 19</w:t>
      </w:r>
      <w:r w:rsidR="000C37F4">
        <w:rPr>
          <w:lang w:val="en-GB"/>
        </w:rPr>
        <w:t>2</w:t>
      </w:r>
      <w:r>
        <w:rPr>
          <w:lang w:val="en-GB"/>
        </w:rPr>
        <w:t xml:space="preserve"> ESXi host </w:t>
      </w:r>
      <w:r w:rsidR="000C37F4">
        <w:rPr>
          <w:lang w:val="en-GB"/>
        </w:rPr>
        <w:t>and checked the highest read latency and highest write latency among all their adapters. As the data was returning mostly &lt; 1 ms, I extended to 1 week and took the worst in that entire week. You can see that the absolute worst of write latency was a staggering 250 ms. But plotting the 95</w:t>
      </w:r>
      <w:r w:rsidR="000C37F4" w:rsidRPr="000C37F4">
        <w:rPr>
          <w:vertAlign w:val="superscript"/>
          <w:lang w:val="en-GB"/>
        </w:rPr>
        <w:t>th</w:t>
      </w:r>
      <w:r w:rsidR="000C37F4">
        <w:rPr>
          <w:lang w:val="en-GB"/>
        </w:rPr>
        <w:t xml:space="preserve"> percentile value shows 0.33 ms, indicating it’s a one off occurrence in that week. The 250 ms is also likely an outlier as the rest of the 191 ESXi shows maximum 5 ms, and with much lower value at 95</w:t>
      </w:r>
      <w:r w:rsidR="000C37F4" w:rsidRPr="000C37F4">
        <w:rPr>
          <w:vertAlign w:val="superscript"/>
          <w:lang w:val="en-GB"/>
        </w:rPr>
        <w:t>th</w:t>
      </w:r>
      <w:r w:rsidR="000C37F4">
        <w:rPr>
          <w:lang w:val="en-GB"/>
        </w:rPr>
        <w:t xml:space="preserve"> percentile.</w:t>
      </w:r>
    </w:p>
    <w:p w14:paraId="0001723C" w14:textId="58990BFF" w:rsidR="00705C11" w:rsidRDefault="00705C11" w:rsidP="000C37F4">
      <w:pPr>
        <w:jc w:val="center"/>
        <w:rPr>
          <w:lang w:val="en-GB"/>
        </w:rPr>
      </w:pPr>
      <w:r w:rsidRPr="00705C11">
        <w:rPr>
          <w:noProof/>
          <w:lang w:val="en-GB"/>
        </w:rPr>
        <w:lastRenderedPageBreak/>
        <w:drawing>
          <wp:inline distT="0" distB="0" distL="0" distR="0" wp14:anchorId="026E08BC" wp14:editId="060890F9">
            <wp:extent cx="5065776" cy="3749040"/>
            <wp:effectExtent l="0" t="0" r="1905" b="3810"/>
            <wp:docPr id="1606338707" name="Picture 1606338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3"/>
                    <a:stretch>
                      <a:fillRect/>
                    </a:stretch>
                  </pic:blipFill>
                  <pic:spPr>
                    <a:xfrm>
                      <a:off x="0" y="0"/>
                      <a:ext cx="5065776" cy="3749040"/>
                    </a:xfrm>
                    <a:prstGeom prst="rect">
                      <a:avLst/>
                    </a:prstGeom>
                  </pic:spPr>
                </pic:pic>
              </a:graphicData>
            </a:graphic>
          </wp:inline>
        </w:drawing>
      </w:r>
    </w:p>
    <w:p w14:paraId="58346096" w14:textId="6FFB7FEE" w:rsidR="000C37F4" w:rsidRDefault="000C37F4" w:rsidP="00365F19">
      <w:pPr>
        <w:rPr>
          <w:lang w:val="en-GB"/>
        </w:rPr>
      </w:pPr>
      <w:r>
        <w:rPr>
          <w:lang w:val="en-GB"/>
        </w:rPr>
        <w:t>Plotting the value of the first ESXi over 7 days confirmed the theory that it’s a one off, likely an outlier.</w:t>
      </w:r>
    </w:p>
    <w:p w14:paraId="1E67B730" w14:textId="332AE70B" w:rsidR="000C37F4" w:rsidRDefault="000C37F4" w:rsidP="00365F19">
      <w:pPr>
        <w:rPr>
          <w:lang w:val="en-GB"/>
        </w:rPr>
      </w:pPr>
      <w:r w:rsidRPr="000C37F4">
        <w:rPr>
          <w:noProof/>
          <w:lang w:val="en-GB"/>
        </w:rPr>
        <w:drawing>
          <wp:inline distT="0" distB="0" distL="0" distR="0" wp14:anchorId="0A27607A" wp14:editId="5BB5B3E2">
            <wp:extent cx="6645910" cy="3964305"/>
            <wp:effectExtent l="0" t="0" r="2540" b="0"/>
            <wp:docPr id="1606338710" name="Picture 1606338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4"/>
                    <a:stretch>
                      <a:fillRect/>
                    </a:stretch>
                  </pic:blipFill>
                  <pic:spPr>
                    <a:xfrm>
                      <a:off x="0" y="0"/>
                      <a:ext cx="6645910" cy="3964305"/>
                    </a:xfrm>
                    <a:prstGeom prst="rect">
                      <a:avLst/>
                    </a:prstGeom>
                  </pic:spPr>
                </pic:pic>
              </a:graphicData>
            </a:graphic>
          </wp:inline>
        </w:drawing>
      </w:r>
    </w:p>
    <w:p w14:paraId="0FEE7015" w14:textId="5D1D6145" w:rsidR="00B01BBF" w:rsidRDefault="00B01BBF" w:rsidP="00365F19">
      <w:pPr>
        <w:rPr>
          <w:lang w:val="en-GB"/>
        </w:rPr>
      </w:pPr>
      <w:r>
        <w:rPr>
          <w:lang w:val="en-GB"/>
        </w:rPr>
        <w:t xml:space="preserve">Does it mean there is no issue with the remaining of the 191 ESXi hosts? </w:t>
      </w:r>
    </w:p>
    <w:p w14:paraId="61EC0260" w14:textId="77777777" w:rsidR="008C739D" w:rsidRDefault="00B01BBF" w:rsidP="00365F19">
      <w:pPr>
        <w:rPr>
          <w:lang w:val="en-GB"/>
        </w:rPr>
      </w:pPr>
      <w:r>
        <w:rPr>
          <w:lang w:val="en-GB"/>
        </w:rPr>
        <w:t>Nope. The values at 95</w:t>
      </w:r>
      <w:r w:rsidRPr="00B01BBF">
        <w:rPr>
          <w:vertAlign w:val="superscript"/>
          <w:lang w:val="en-GB"/>
        </w:rPr>
        <w:t>th</w:t>
      </w:r>
      <w:r>
        <w:rPr>
          <w:lang w:val="en-GB"/>
        </w:rPr>
        <w:t xml:space="preserve"> percentile is too high for some of them. </w:t>
      </w:r>
    </w:p>
    <w:p w14:paraId="4B2978D8" w14:textId="63E633F6" w:rsidR="00B01BBF" w:rsidRDefault="008C739D" w:rsidP="00365F19">
      <w:pPr>
        <w:rPr>
          <w:lang w:val="en-GB"/>
        </w:rPr>
      </w:pPr>
      <w:r>
        <w:rPr>
          <w:lang w:val="en-GB"/>
        </w:rPr>
        <w:lastRenderedPageBreak/>
        <w:t>I modified the table by changing Maximum with 99</w:t>
      </w:r>
      <w:r w:rsidRPr="008C739D">
        <w:rPr>
          <w:vertAlign w:val="superscript"/>
          <w:lang w:val="en-GB"/>
        </w:rPr>
        <w:t>th</w:t>
      </w:r>
      <w:r>
        <w:rPr>
          <w:lang w:val="en-GB"/>
        </w:rPr>
        <w:t xml:space="preserve"> percentile to eliminate an outlier. I also reduced the threshold so I can see better. </w:t>
      </w:r>
      <w:r w:rsidR="00B01BBF">
        <w:rPr>
          <w:lang w:val="en-GB"/>
        </w:rPr>
        <w:t>The following table shows the values, sorted by the write latency.</w:t>
      </w:r>
    </w:p>
    <w:p w14:paraId="4DE1BE53" w14:textId="210EEC0F" w:rsidR="000C37F4" w:rsidRDefault="00634ED2" w:rsidP="008C739D">
      <w:pPr>
        <w:jc w:val="center"/>
        <w:rPr>
          <w:lang w:val="en-GB"/>
        </w:rPr>
      </w:pPr>
      <w:r w:rsidRPr="00634ED2">
        <w:rPr>
          <w:noProof/>
          <w:lang w:val="en-GB"/>
        </w:rPr>
        <w:drawing>
          <wp:inline distT="0" distB="0" distL="0" distR="0" wp14:anchorId="014B54A3" wp14:editId="1DF0264D">
            <wp:extent cx="5541264" cy="4370832"/>
            <wp:effectExtent l="0" t="0" r="2540" b="0"/>
            <wp:docPr id="1606338715" name="Picture 1606338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5"/>
                    <a:stretch>
                      <a:fillRect/>
                    </a:stretch>
                  </pic:blipFill>
                  <pic:spPr>
                    <a:xfrm>
                      <a:off x="0" y="0"/>
                      <a:ext cx="5541264" cy="4370832"/>
                    </a:xfrm>
                    <a:prstGeom prst="rect">
                      <a:avLst/>
                    </a:prstGeom>
                  </pic:spPr>
                </pic:pic>
              </a:graphicData>
            </a:graphic>
          </wp:inline>
        </w:drawing>
      </w:r>
    </w:p>
    <w:p w14:paraId="5482BB23" w14:textId="3D71F294" w:rsidR="008C739D" w:rsidRDefault="008C739D" w:rsidP="008C739D">
      <w:pPr>
        <w:rPr>
          <w:lang w:val="en-GB"/>
        </w:rPr>
      </w:pPr>
      <w:r>
        <w:rPr>
          <w:lang w:val="en-GB"/>
        </w:rPr>
        <w:t xml:space="preserve">The table revealed that there are indeed latency problem. I plotted one of the </w:t>
      </w:r>
      <w:r w:rsidR="00E904C9">
        <w:rPr>
          <w:lang w:val="en-GB"/>
        </w:rPr>
        <w:t>ESXi and saw the following.</w:t>
      </w:r>
    </w:p>
    <w:p w14:paraId="26E89FDE" w14:textId="2B5DEEFF" w:rsidR="00B01BBF" w:rsidRDefault="00E904C9" w:rsidP="00365F19">
      <w:pPr>
        <w:rPr>
          <w:lang w:val="en-GB"/>
        </w:rPr>
      </w:pPr>
      <w:r w:rsidRPr="00E904C9">
        <w:rPr>
          <w:noProof/>
          <w:lang w:val="en-GB"/>
        </w:rPr>
        <w:drawing>
          <wp:inline distT="0" distB="0" distL="0" distR="0" wp14:anchorId="4DA682BB" wp14:editId="36391E00">
            <wp:extent cx="6645910" cy="3187700"/>
            <wp:effectExtent l="0" t="0" r="2540" b="0"/>
            <wp:docPr id="1606338716" name="Picture 1606338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6"/>
                    <a:stretch>
                      <a:fillRect/>
                    </a:stretch>
                  </pic:blipFill>
                  <pic:spPr>
                    <a:xfrm>
                      <a:off x="0" y="0"/>
                      <a:ext cx="6645910" cy="3187700"/>
                    </a:xfrm>
                    <a:prstGeom prst="rect">
                      <a:avLst/>
                    </a:prstGeom>
                  </pic:spPr>
                </pic:pic>
              </a:graphicData>
            </a:graphic>
          </wp:inline>
        </w:drawing>
      </w:r>
    </w:p>
    <w:p w14:paraId="4A809306" w14:textId="78B6FC1C" w:rsidR="00E904C9" w:rsidRDefault="00E904C9" w:rsidP="00365F19">
      <w:pPr>
        <w:rPr>
          <w:lang w:val="en-GB"/>
        </w:rPr>
      </w:pPr>
      <w:r>
        <w:rPr>
          <w:lang w:val="en-GB"/>
        </w:rPr>
        <w:t>From here, you need to drill down to each adapter to find out which one.</w:t>
      </w:r>
    </w:p>
    <w:p w14:paraId="73643F63" w14:textId="393BE9AE" w:rsidR="007D48E7" w:rsidRDefault="007D48E7" w:rsidP="00365F19">
      <w:r>
        <w:rPr>
          <w:lang w:val="en-GB"/>
        </w:rPr>
        <w:lastRenderedPageBreak/>
        <w:t xml:space="preserve">vRealize Operations provide the </w:t>
      </w:r>
      <w:r w:rsidRPr="00B92ECA">
        <w:rPr>
          <w:color w:val="00B0F0"/>
        </w:rPr>
        <w:t xml:space="preserve">Storage Adapter|Outstanding Requests </w:t>
      </w:r>
      <w:r>
        <w:t xml:space="preserve">metric, which is required to track if the adapter is struggling to meet demands. </w:t>
      </w:r>
    </w:p>
    <w:p w14:paraId="2834BB33" w14:textId="4B25F14B" w:rsidR="009E737A" w:rsidRDefault="009E737A" w:rsidP="00365F19">
      <w:pPr>
        <w:rPr>
          <w:lang w:val="en-GB"/>
        </w:rPr>
      </w:pPr>
      <w:r>
        <w:t>[e1: useful???!!!</w:t>
      </w:r>
    </w:p>
    <w:p w14:paraId="7738A6C6" w14:textId="4167C172" w:rsidR="007D48E7" w:rsidRDefault="002B244B" w:rsidP="002B244B">
      <w:pPr>
        <w:pStyle w:val="Heading4"/>
      </w:pPr>
      <w:r>
        <w:t>Disk</w:t>
      </w:r>
      <w:r w:rsidR="00D34CD1">
        <w:t xml:space="preserve"> </w:t>
      </w:r>
      <w:r>
        <w:t>or Device</w:t>
      </w:r>
    </w:p>
    <w:p w14:paraId="079198F5" w14:textId="23C0311B" w:rsidR="000A12F0" w:rsidRDefault="007D48E7" w:rsidP="000A12F0">
      <w:pPr>
        <w:rPr>
          <w:lang w:val="en-GB"/>
        </w:rPr>
      </w:pPr>
      <w:r>
        <w:rPr>
          <w:lang w:val="en-GB"/>
        </w:rPr>
        <w:t>Compared with Adapter or Path, you get a lot more metrics</w:t>
      </w:r>
      <w:r w:rsidR="00D34CD1">
        <w:rPr>
          <w:lang w:val="en-GB"/>
        </w:rPr>
        <w:t xml:space="preserve"> for </w:t>
      </w:r>
      <w:r w:rsidR="002B244B">
        <w:rPr>
          <w:lang w:val="en-GB"/>
        </w:rPr>
        <w:t>disk or device</w:t>
      </w:r>
      <w:r w:rsidR="00E4254C">
        <w:rPr>
          <w:lang w:val="en-GB"/>
        </w:rPr>
        <w:t xml:space="preserve">. </w:t>
      </w:r>
      <w:r w:rsidR="000A12F0">
        <w:rPr>
          <w:lang w:val="en-GB"/>
        </w:rPr>
        <w:t xml:space="preserve">However, there is no breakdown as </w:t>
      </w:r>
      <w:r w:rsidR="000A12F0">
        <w:t>VMkernel cannot actually see anything in between the HBA and the device. So no metrics such as number of hops as it’s not even aware of the fabric topology</w:t>
      </w:r>
      <w:r w:rsidR="000A12F0">
        <w:rPr>
          <w:lang w:val="en-GB"/>
        </w:rPr>
        <w:t xml:space="preserve">. </w:t>
      </w:r>
    </w:p>
    <w:p w14:paraId="0B3F0215" w14:textId="152D24ED" w:rsidR="000A12F0" w:rsidRDefault="000A12F0" w:rsidP="000A12F0">
      <w:r>
        <w:t xml:space="preserve">From </w:t>
      </w:r>
      <w:r w:rsidR="0052529C">
        <w:t>ESXi viewpoint</w:t>
      </w:r>
      <w:r>
        <w:t xml:space="preserve">, there are </w:t>
      </w:r>
      <w:r w:rsidR="0052529C">
        <w:t>3</w:t>
      </w:r>
      <w:r>
        <w:t xml:space="preserve"> major layers in the VMFS storage stack:</w:t>
      </w:r>
    </w:p>
    <w:p w14:paraId="21918765" w14:textId="17EC30C4" w:rsidR="0052529C" w:rsidRDefault="0052529C" w:rsidP="000A12F0">
      <w:pPr>
        <w:pStyle w:val="Bullet"/>
      </w:pPr>
      <w:r>
        <w:t xml:space="preserve">VM. This </w:t>
      </w:r>
    </w:p>
    <w:p w14:paraId="0B3F83D3" w14:textId="61EECF3F" w:rsidR="000A12F0" w:rsidRDefault="000A12F0" w:rsidP="000A12F0">
      <w:pPr>
        <w:pStyle w:val="Bullet"/>
      </w:pPr>
      <w:r>
        <w:t>VMkernel. This is measured by the KAVG counter and QAVG counter.</w:t>
      </w:r>
    </w:p>
    <w:p w14:paraId="1EB0DEDE" w14:textId="77777777" w:rsidR="000A12F0" w:rsidRDefault="000A12F0" w:rsidP="000A12F0">
      <w:pPr>
        <w:pStyle w:val="Bullet"/>
      </w:pPr>
      <w:r>
        <w:t xml:space="preserve">Device. </w:t>
      </w:r>
    </w:p>
    <w:p w14:paraId="536145F1" w14:textId="3EED72EA" w:rsidR="00EE0DA0" w:rsidRDefault="00EE0DA0" w:rsidP="00EE0DA0">
      <w:pPr>
        <w:pStyle w:val="Heading5"/>
      </w:pPr>
      <w:r>
        <w:t>Contention Counters</w:t>
      </w:r>
    </w:p>
    <w:p w14:paraId="1BC949C4" w14:textId="0C629DEC" w:rsidR="000A12F0" w:rsidRDefault="00000000" w:rsidP="000A12F0">
      <w:hyperlink r:id="rId767" w:history="1">
        <w:r w:rsidR="000A12F0" w:rsidRPr="00312816">
          <w:rPr>
            <w:rStyle w:val="Hyperlink"/>
            <w:lang w:val="en-GB"/>
          </w:rPr>
          <w:t>Frank Denneman</w:t>
        </w:r>
      </w:hyperlink>
      <w:r w:rsidR="000A12F0">
        <w:t xml:space="preserve">, whose blog and book are great references, shows the relationship </w:t>
      </w:r>
      <w:r w:rsidR="007C0BA1">
        <w:t xml:space="preserve">among the counters using the </w:t>
      </w:r>
      <w:r w:rsidR="000A12F0">
        <w:t xml:space="preserve">following diagram: </w:t>
      </w:r>
    </w:p>
    <w:p w14:paraId="141FA579" w14:textId="249B189A" w:rsidR="000A12F0" w:rsidRDefault="000A12F0" w:rsidP="000A12F0">
      <w:pPr>
        <w:jc w:val="center"/>
      </w:pPr>
      <w:r>
        <w:rPr>
          <w:noProof/>
        </w:rPr>
        <w:drawing>
          <wp:inline distT="0" distB="0" distL="0" distR="0" wp14:anchorId="74A58628" wp14:editId="0D1890F0">
            <wp:extent cx="3535200" cy="3153600"/>
            <wp:effectExtent l="0" t="0" r="8255" b="8890"/>
            <wp:docPr id="567723346" name="Picture 567723346"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63" name="Picture 750070363" descr="Chart&#10;&#10;Description automatically generated"/>
                    <pic:cNvPicPr>
                      <a:picLocks noChangeAspect="1" noChangeArrowheads="1"/>
                    </pic:cNvPicPr>
                  </pic:nvPicPr>
                  <pic:blipFill>
                    <a:blip r:embed="rId768">
                      <a:extLst>
                        <a:ext uri="{28A0092B-C50C-407E-A947-70E740481C1C}">
                          <a14:useLocalDpi xmlns:a14="http://schemas.microsoft.com/office/drawing/2010/main" val="0"/>
                        </a:ext>
                      </a:extLst>
                    </a:blip>
                    <a:srcRect/>
                    <a:stretch>
                      <a:fillRect/>
                    </a:stretch>
                  </pic:blipFill>
                  <pic:spPr bwMode="auto">
                    <a:xfrm>
                      <a:off x="0" y="0"/>
                      <a:ext cx="3535200" cy="3153600"/>
                    </a:xfrm>
                    <a:prstGeom prst="rect">
                      <a:avLst/>
                    </a:prstGeom>
                    <a:noFill/>
                    <a:ln>
                      <a:noFill/>
                    </a:ln>
                  </pic:spPr>
                </pic:pic>
              </a:graphicData>
            </a:graphic>
          </wp:inline>
        </w:drawing>
      </w:r>
    </w:p>
    <w:p w14:paraId="6D0BA40F" w14:textId="67F883BF" w:rsidR="003A79B5" w:rsidRDefault="003A79B5" w:rsidP="003A79B5">
      <w:r>
        <w:t xml:space="preserve">For further reading, review </w:t>
      </w:r>
      <w:hyperlink r:id="rId769" w:history="1">
        <w:r w:rsidRPr="00CD1E30">
          <w:rPr>
            <w:rStyle w:val="Hyperlink"/>
          </w:rPr>
          <w:t>this</w:t>
        </w:r>
      </w:hyperlink>
      <w:r>
        <w:t xml:space="preserve"> explanation by Frank, as that’s where I got the preceding diagram from.</w:t>
      </w:r>
    </w:p>
    <w:p w14:paraId="43E31D6A" w14:textId="77777777" w:rsidR="003A79B5" w:rsidRDefault="003A79B5" w:rsidP="003A79B5">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890"/>
        <w:gridCol w:w="990"/>
        <w:gridCol w:w="7586"/>
      </w:tblGrid>
      <w:tr w:rsidR="0052529C" w14:paraId="5FF55E6D" w14:textId="77777777" w:rsidTr="0052529C">
        <w:tc>
          <w:tcPr>
            <w:tcW w:w="1890" w:type="dxa"/>
            <w:shd w:val="clear" w:color="auto" w:fill="F2F2F2" w:themeFill="background1" w:themeFillShade="F2"/>
          </w:tcPr>
          <w:p w14:paraId="2C90A6F1" w14:textId="2FB4642F" w:rsidR="0052529C" w:rsidRDefault="0052529C" w:rsidP="00281329">
            <w:pPr>
              <w:pStyle w:val="Tablecontent"/>
            </w:pPr>
            <w:r>
              <w:lastRenderedPageBreak/>
              <w:t>Guest Average</w:t>
            </w:r>
          </w:p>
        </w:tc>
        <w:tc>
          <w:tcPr>
            <w:tcW w:w="990" w:type="dxa"/>
          </w:tcPr>
          <w:p w14:paraId="7F494224" w14:textId="42ADA256" w:rsidR="0052529C" w:rsidRPr="0052529C" w:rsidRDefault="0052529C" w:rsidP="00281329">
            <w:pPr>
              <w:pStyle w:val="Tablecontent"/>
              <w:rPr>
                <w:b/>
                <w:bCs/>
              </w:rPr>
            </w:pPr>
            <w:r w:rsidRPr="0052529C">
              <w:rPr>
                <w:b/>
                <w:bCs/>
              </w:rPr>
              <w:t>GAVG</w:t>
            </w:r>
          </w:p>
        </w:tc>
        <w:tc>
          <w:tcPr>
            <w:tcW w:w="7586" w:type="dxa"/>
            <w:tcBorders>
              <w:right w:val="nil"/>
            </w:tcBorders>
          </w:tcPr>
          <w:p w14:paraId="4461332F" w14:textId="5384EC5C" w:rsidR="0052529C" w:rsidRDefault="0052529C" w:rsidP="00281329">
            <w:pPr>
              <w:pStyle w:val="Tablecontent"/>
            </w:pPr>
            <w:r>
              <w:t>Guest here means VM, not Guest OS as the counter starts from VMM layer not Windows or Linux.</w:t>
            </w:r>
          </w:p>
        </w:tc>
      </w:tr>
      <w:tr w:rsidR="0052529C" w14:paraId="59DAA745" w14:textId="77777777" w:rsidTr="0052529C">
        <w:tc>
          <w:tcPr>
            <w:tcW w:w="1890" w:type="dxa"/>
            <w:shd w:val="clear" w:color="auto" w:fill="F2F2F2" w:themeFill="background1" w:themeFillShade="F2"/>
          </w:tcPr>
          <w:p w14:paraId="23BB937A" w14:textId="0CC775E0" w:rsidR="0052529C" w:rsidRDefault="0052529C" w:rsidP="00281329">
            <w:pPr>
              <w:pStyle w:val="Tablecontent"/>
            </w:pPr>
            <w:r>
              <w:t>Kernel Average</w:t>
            </w:r>
          </w:p>
        </w:tc>
        <w:tc>
          <w:tcPr>
            <w:tcW w:w="990" w:type="dxa"/>
          </w:tcPr>
          <w:p w14:paraId="6E157740" w14:textId="69B4F40A" w:rsidR="0052529C" w:rsidRPr="0052529C" w:rsidRDefault="0052529C" w:rsidP="00281329">
            <w:pPr>
              <w:pStyle w:val="Tablecontent"/>
              <w:rPr>
                <w:b/>
                <w:bCs/>
              </w:rPr>
            </w:pPr>
            <w:r w:rsidRPr="0052529C">
              <w:rPr>
                <w:b/>
                <w:bCs/>
              </w:rPr>
              <w:t>KAVG</w:t>
            </w:r>
          </w:p>
        </w:tc>
        <w:tc>
          <w:tcPr>
            <w:tcW w:w="7586" w:type="dxa"/>
            <w:tcBorders>
              <w:right w:val="nil"/>
            </w:tcBorders>
          </w:tcPr>
          <w:p w14:paraId="488CBA7A" w14:textId="794EDDEE" w:rsidR="0052529C" w:rsidRDefault="0052529C" w:rsidP="00281329">
            <w:pPr>
              <w:pStyle w:val="Tablecontent"/>
            </w:pPr>
            <w:r>
              <w:t>ESXi is good in optimizing the IO, so in a healthy environment, the value of Q Latency should be within 0.5 ms</w:t>
            </w:r>
          </w:p>
        </w:tc>
      </w:tr>
      <w:tr w:rsidR="0052529C" w14:paraId="5346BBCC" w14:textId="77777777" w:rsidTr="0052529C">
        <w:tc>
          <w:tcPr>
            <w:tcW w:w="1890" w:type="dxa"/>
            <w:shd w:val="clear" w:color="auto" w:fill="F2F2F2" w:themeFill="background1" w:themeFillShade="F2"/>
          </w:tcPr>
          <w:p w14:paraId="14180392" w14:textId="77777777" w:rsidR="0052529C" w:rsidRDefault="0052529C" w:rsidP="00281329">
            <w:pPr>
              <w:pStyle w:val="Tablecontent"/>
            </w:pPr>
          </w:p>
        </w:tc>
        <w:tc>
          <w:tcPr>
            <w:tcW w:w="990" w:type="dxa"/>
          </w:tcPr>
          <w:p w14:paraId="784DAE0F" w14:textId="2BC8C01D" w:rsidR="0052529C" w:rsidRPr="0052529C" w:rsidRDefault="0052529C" w:rsidP="00281329">
            <w:pPr>
              <w:pStyle w:val="Tablecontent"/>
              <w:rPr>
                <w:b/>
                <w:bCs/>
              </w:rPr>
            </w:pPr>
            <w:r w:rsidRPr="0052529C">
              <w:rPr>
                <w:b/>
                <w:bCs/>
              </w:rPr>
              <w:t>QAVG</w:t>
            </w:r>
          </w:p>
        </w:tc>
        <w:tc>
          <w:tcPr>
            <w:tcW w:w="7586" w:type="dxa"/>
            <w:tcBorders>
              <w:right w:val="nil"/>
            </w:tcBorders>
          </w:tcPr>
          <w:p w14:paraId="571B743A" w14:textId="048750FC" w:rsidR="0052529C" w:rsidRDefault="0052529C" w:rsidP="00281329">
            <w:pPr>
              <w:pStyle w:val="Tablecontent"/>
            </w:pPr>
            <w:r>
              <w:t xml:space="preserve">QAVG, which is queue in the kernel, is part of KAVG. If QAVG is high, check the queue depths at each level of the storage stack. </w:t>
            </w:r>
            <w:hyperlink r:id="rId770" w:history="1">
              <w:r w:rsidRPr="005E041C">
                <w:rPr>
                  <w:rStyle w:val="Hyperlink"/>
                </w:rPr>
                <w:t>Cody</w:t>
              </w:r>
            </w:hyperlink>
            <w:r>
              <w:t xml:space="preserve"> explains why QAVG can be higher than KAVG </w:t>
            </w:r>
            <w:hyperlink r:id="rId771" w:history="1">
              <w:r w:rsidRPr="00C322C5">
                <w:rPr>
                  <w:rStyle w:val="Hyperlink"/>
                </w:rPr>
                <w:t>here</w:t>
              </w:r>
            </w:hyperlink>
            <w:r>
              <w:t>.</w:t>
            </w:r>
          </w:p>
        </w:tc>
      </w:tr>
      <w:tr w:rsidR="0052529C" w14:paraId="05574B36" w14:textId="77777777" w:rsidTr="0052529C">
        <w:tc>
          <w:tcPr>
            <w:tcW w:w="1890" w:type="dxa"/>
            <w:shd w:val="clear" w:color="auto" w:fill="F2F2F2" w:themeFill="background1" w:themeFillShade="F2"/>
          </w:tcPr>
          <w:p w14:paraId="323AFF5F" w14:textId="16D9760E" w:rsidR="0052529C" w:rsidRDefault="0052529C" w:rsidP="00281329">
            <w:pPr>
              <w:pStyle w:val="Tablecontent"/>
            </w:pPr>
            <w:r>
              <w:t>Device Average</w:t>
            </w:r>
          </w:p>
        </w:tc>
        <w:tc>
          <w:tcPr>
            <w:tcW w:w="990" w:type="dxa"/>
          </w:tcPr>
          <w:p w14:paraId="1C63B4C8" w14:textId="530D9F99" w:rsidR="0052529C" w:rsidRPr="0052529C" w:rsidRDefault="0052529C" w:rsidP="00281329">
            <w:pPr>
              <w:pStyle w:val="Tablecontent"/>
              <w:rPr>
                <w:b/>
                <w:bCs/>
              </w:rPr>
            </w:pPr>
            <w:r w:rsidRPr="0052529C">
              <w:rPr>
                <w:b/>
                <w:bCs/>
              </w:rPr>
              <w:t>DAVG</w:t>
            </w:r>
          </w:p>
        </w:tc>
        <w:tc>
          <w:tcPr>
            <w:tcW w:w="7586" w:type="dxa"/>
            <w:tcBorders>
              <w:right w:val="nil"/>
            </w:tcBorders>
          </w:tcPr>
          <w:p w14:paraId="479B766F" w14:textId="77777777" w:rsidR="0052529C" w:rsidRDefault="0052529C" w:rsidP="00281329">
            <w:pPr>
              <w:pStyle w:val="Tablecontent"/>
            </w:pPr>
            <w:r>
              <w:t>The average time from ESXi physical card to the array and back. Typically, there is a storage fabric in the middle. The array typically starts with its frontend ports, then CPU, then cache, backend ports, and physical spindles. So if DAVG is high, it could be the fabric or the array. If the array is reporting low value, then it’s the fabric of the HBA configuration.</w:t>
            </w:r>
          </w:p>
          <w:p w14:paraId="381B2B42" w14:textId="3DC5226A" w:rsidR="0052529C" w:rsidRDefault="0052529C" w:rsidP="00281329">
            <w:pPr>
              <w:pStyle w:val="Tablecontent"/>
            </w:pPr>
            <w:r>
              <w:t>I’m unsure what DAVG measures when it’s vSAN and the data happens to be local.</w:t>
            </w:r>
          </w:p>
        </w:tc>
      </w:tr>
    </w:tbl>
    <w:p w14:paraId="0366C7B6" w14:textId="77777777" w:rsidR="007C0BA1" w:rsidRDefault="007C0BA1" w:rsidP="007C0BA1">
      <w:pPr>
        <w:pStyle w:val="BeforeTable"/>
      </w:pPr>
    </w:p>
    <w:p w14:paraId="0360FAEC" w14:textId="24C5B35A" w:rsidR="0052529C" w:rsidRDefault="0052529C" w:rsidP="000A12F0">
      <w:r>
        <w:t>For each of the above 4 sets, you expect read latency, write latency and the combined latency. That means 12 counters and here are what they are called in vSphere Client UI:</w:t>
      </w:r>
    </w:p>
    <w:p w14:paraId="4F7E53DE" w14:textId="77777777" w:rsidR="007C0BA1" w:rsidRDefault="007C0BA1" w:rsidP="007C0BA1">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890"/>
        <w:gridCol w:w="7586"/>
      </w:tblGrid>
      <w:tr w:rsidR="0052529C" w14:paraId="41437BEB" w14:textId="77777777" w:rsidTr="00281329">
        <w:tc>
          <w:tcPr>
            <w:tcW w:w="1890" w:type="dxa"/>
            <w:shd w:val="clear" w:color="auto" w:fill="F2F2F2" w:themeFill="background1" w:themeFillShade="F2"/>
          </w:tcPr>
          <w:p w14:paraId="5D4D4A8A" w14:textId="145FDDCA" w:rsidR="0052529C" w:rsidRDefault="0052529C" w:rsidP="00281329">
            <w:pPr>
              <w:pStyle w:val="Tablecontent"/>
            </w:pPr>
            <w:r>
              <w:t xml:space="preserve">Device </w:t>
            </w:r>
          </w:p>
        </w:tc>
        <w:tc>
          <w:tcPr>
            <w:tcW w:w="7586" w:type="dxa"/>
            <w:tcBorders>
              <w:right w:val="nil"/>
            </w:tcBorders>
          </w:tcPr>
          <w:p w14:paraId="372C8051" w14:textId="7251416F" w:rsidR="0052529C" w:rsidRDefault="003A79B5" w:rsidP="00281329">
            <w:pPr>
              <w:pStyle w:val="Tablecontent"/>
            </w:pPr>
            <w:r w:rsidRPr="003A79B5">
              <w:rPr>
                <w:noProof/>
              </w:rPr>
              <w:drawing>
                <wp:inline distT="0" distB="0" distL="0" distR="0" wp14:anchorId="32482CB8" wp14:editId="15E8702E">
                  <wp:extent cx="3587934" cy="749339"/>
                  <wp:effectExtent l="0" t="0" r="0" b="0"/>
                  <wp:docPr id="1606338722" name="Picture 1606338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2"/>
                          <a:stretch>
                            <a:fillRect/>
                          </a:stretch>
                        </pic:blipFill>
                        <pic:spPr>
                          <a:xfrm>
                            <a:off x="0" y="0"/>
                            <a:ext cx="3587934" cy="749339"/>
                          </a:xfrm>
                          <a:prstGeom prst="rect">
                            <a:avLst/>
                          </a:prstGeom>
                        </pic:spPr>
                      </pic:pic>
                    </a:graphicData>
                  </a:graphic>
                </wp:inline>
              </w:drawing>
            </w:r>
          </w:p>
        </w:tc>
      </w:tr>
      <w:tr w:rsidR="0052529C" w14:paraId="7309F45F" w14:textId="77777777" w:rsidTr="00281329">
        <w:tc>
          <w:tcPr>
            <w:tcW w:w="1890" w:type="dxa"/>
            <w:shd w:val="clear" w:color="auto" w:fill="F2F2F2" w:themeFill="background1" w:themeFillShade="F2"/>
          </w:tcPr>
          <w:p w14:paraId="542888E5" w14:textId="68E37BE5" w:rsidR="0052529C" w:rsidRDefault="003A79B5" w:rsidP="00281329">
            <w:pPr>
              <w:pStyle w:val="Tablecontent"/>
            </w:pPr>
            <w:r>
              <w:t>Kernel</w:t>
            </w:r>
          </w:p>
        </w:tc>
        <w:tc>
          <w:tcPr>
            <w:tcW w:w="7586" w:type="dxa"/>
            <w:tcBorders>
              <w:right w:val="nil"/>
            </w:tcBorders>
          </w:tcPr>
          <w:p w14:paraId="32188DF0" w14:textId="5AAEC7F0" w:rsidR="0052529C" w:rsidRDefault="003A79B5" w:rsidP="00281329">
            <w:pPr>
              <w:pStyle w:val="Tablecontent"/>
            </w:pPr>
            <w:r w:rsidRPr="003A79B5">
              <w:rPr>
                <w:noProof/>
              </w:rPr>
              <w:drawing>
                <wp:inline distT="0" distB="0" distL="0" distR="0" wp14:anchorId="7E392FCE" wp14:editId="72EBE812">
                  <wp:extent cx="2933851" cy="749339"/>
                  <wp:effectExtent l="0" t="0" r="0" b="0"/>
                  <wp:docPr id="1606338720" name="Picture 1606338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3"/>
                          <a:stretch>
                            <a:fillRect/>
                          </a:stretch>
                        </pic:blipFill>
                        <pic:spPr>
                          <a:xfrm>
                            <a:off x="0" y="0"/>
                            <a:ext cx="2933851" cy="749339"/>
                          </a:xfrm>
                          <a:prstGeom prst="rect">
                            <a:avLst/>
                          </a:prstGeom>
                        </pic:spPr>
                      </pic:pic>
                    </a:graphicData>
                  </a:graphic>
                </wp:inline>
              </w:drawing>
            </w:r>
          </w:p>
        </w:tc>
      </w:tr>
      <w:tr w:rsidR="003A79B5" w14:paraId="54F392B4" w14:textId="77777777" w:rsidTr="00281329">
        <w:tc>
          <w:tcPr>
            <w:tcW w:w="1890" w:type="dxa"/>
            <w:shd w:val="clear" w:color="auto" w:fill="F2F2F2" w:themeFill="background1" w:themeFillShade="F2"/>
          </w:tcPr>
          <w:p w14:paraId="10AC0FFE" w14:textId="46AEBF9D" w:rsidR="003A79B5" w:rsidRDefault="003A79B5" w:rsidP="00281329">
            <w:pPr>
              <w:pStyle w:val="Tablecontent"/>
            </w:pPr>
            <w:r>
              <w:t>Queue</w:t>
            </w:r>
          </w:p>
        </w:tc>
        <w:tc>
          <w:tcPr>
            <w:tcW w:w="7586" w:type="dxa"/>
            <w:tcBorders>
              <w:right w:val="nil"/>
            </w:tcBorders>
          </w:tcPr>
          <w:p w14:paraId="33EE3853" w14:textId="57D0BEEA" w:rsidR="003A79B5" w:rsidRPr="003A79B5" w:rsidRDefault="003A79B5" w:rsidP="00281329">
            <w:pPr>
              <w:pStyle w:val="Tablecontent"/>
            </w:pPr>
            <w:r w:rsidRPr="003A79B5">
              <w:rPr>
                <w:noProof/>
              </w:rPr>
              <w:drawing>
                <wp:inline distT="0" distB="0" distL="0" distR="0" wp14:anchorId="7E390440" wp14:editId="6C650502">
                  <wp:extent cx="3105310" cy="742988"/>
                  <wp:effectExtent l="0" t="0" r="0" b="0"/>
                  <wp:docPr id="1606338721" name="Picture 1606338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4"/>
                          <a:stretch>
                            <a:fillRect/>
                          </a:stretch>
                        </pic:blipFill>
                        <pic:spPr>
                          <a:xfrm>
                            <a:off x="0" y="0"/>
                            <a:ext cx="3105310" cy="742988"/>
                          </a:xfrm>
                          <a:prstGeom prst="rect">
                            <a:avLst/>
                          </a:prstGeom>
                        </pic:spPr>
                      </pic:pic>
                    </a:graphicData>
                  </a:graphic>
                </wp:inline>
              </w:drawing>
            </w:r>
          </w:p>
        </w:tc>
      </w:tr>
      <w:tr w:rsidR="003A79B5" w14:paraId="3E322A12" w14:textId="77777777" w:rsidTr="00281329">
        <w:tc>
          <w:tcPr>
            <w:tcW w:w="1890" w:type="dxa"/>
            <w:shd w:val="clear" w:color="auto" w:fill="F2F2F2" w:themeFill="background1" w:themeFillShade="F2"/>
          </w:tcPr>
          <w:p w14:paraId="4B6E7FB4" w14:textId="77777777" w:rsidR="003A79B5" w:rsidRDefault="003A79B5" w:rsidP="00281329">
            <w:pPr>
              <w:pStyle w:val="Tablecontent"/>
            </w:pPr>
            <w:r>
              <w:t>Guest</w:t>
            </w:r>
          </w:p>
        </w:tc>
        <w:tc>
          <w:tcPr>
            <w:tcW w:w="7586" w:type="dxa"/>
            <w:tcBorders>
              <w:right w:val="nil"/>
            </w:tcBorders>
          </w:tcPr>
          <w:p w14:paraId="50269498" w14:textId="566BDEE6" w:rsidR="003A79B5" w:rsidRDefault="003A79B5" w:rsidP="00281329">
            <w:pPr>
              <w:pStyle w:val="Tablecontent"/>
            </w:pPr>
            <w:r>
              <w:t xml:space="preserve">The counters are not prefixed with Guest, so they are simply called: </w:t>
            </w:r>
          </w:p>
          <w:p w14:paraId="6925FED8" w14:textId="3076945E" w:rsidR="003A79B5" w:rsidRDefault="003A79B5">
            <w:pPr>
              <w:pStyle w:val="Tablecontent"/>
              <w:numPr>
                <w:ilvl w:val="0"/>
                <w:numId w:val="76"/>
              </w:numPr>
            </w:pPr>
            <w:r>
              <w:t>Command Latency</w:t>
            </w:r>
          </w:p>
          <w:p w14:paraId="71AE983B" w14:textId="77777777" w:rsidR="003A79B5" w:rsidRDefault="003A79B5">
            <w:pPr>
              <w:pStyle w:val="Tablecontent"/>
              <w:numPr>
                <w:ilvl w:val="0"/>
                <w:numId w:val="76"/>
              </w:numPr>
            </w:pPr>
            <w:r>
              <w:t>Write Latency</w:t>
            </w:r>
          </w:p>
          <w:p w14:paraId="521301A0" w14:textId="77777777" w:rsidR="003A79B5" w:rsidRDefault="003A79B5">
            <w:pPr>
              <w:pStyle w:val="Tablecontent"/>
              <w:numPr>
                <w:ilvl w:val="0"/>
                <w:numId w:val="76"/>
              </w:numPr>
            </w:pPr>
            <w:r>
              <w:t>Ready Latency</w:t>
            </w:r>
          </w:p>
        </w:tc>
      </w:tr>
    </w:tbl>
    <w:p w14:paraId="19051FE6" w14:textId="2BF2293A" w:rsidR="000A12F0" w:rsidRDefault="000A12F0" w:rsidP="003A79B5">
      <w:pPr>
        <w:pStyle w:val="BeforeTable"/>
      </w:pPr>
      <w:r>
        <w:t xml:space="preserve"> </w:t>
      </w:r>
    </w:p>
    <w:p w14:paraId="7DF7DA02" w14:textId="40F97864" w:rsidR="00C6208B" w:rsidRDefault="000A12F0" w:rsidP="002B244B">
      <w:pPr>
        <w:rPr>
          <w:lang w:val="en-GB"/>
        </w:rPr>
      </w:pPr>
      <w:r>
        <w:rPr>
          <w:lang w:val="en-GB"/>
        </w:rPr>
        <w:t>With the above understanding, let’s validate with real world values.</w:t>
      </w:r>
    </w:p>
    <w:p w14:paraId="5DB081F3" w14:textId="55FC1A75" w:rsidR="00C6208B" w:rsidRDefault="000A12F0" w:rsidP="002B244B">
      <w:pPr>
        <w:rPr>
          <w:lang w:val="en-GB"/>
        </w:rPr>
      </w:pPr>
      <w:r w:rsidRPr="000A12F0">
        <w:rPr>
          <w:noProof/>
          <w:lang w:val="en-GB"/>
        </w:rPr>
        <w:lastRenderedPageBreak/>
        <w:drawing>
          <wp:inline distT="0" distB="0" distL="0" distR="0" wp14:anchorId="438FD218" wp14:editId="5759B557">
            <wp:extent cx="6645910" cy="3436620"/>
            <wp:effectExtent l="0" t="0" r="2540" b="0"/>
            <wp:docPr id="1606338718" name="Picture 1606338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5"/>
                    <a:stretch>
                      <a:fillRect/>
                    </a:stretch>
                  </pic:blipFill>
                  <pic:spPr>
                    <a:xfrm>
                      <a:off x="0" y="0"/>
                      <a:ext cx="6645910" cy="3436620"/>
                    </a:xfrm>
                    <a:prstGeom prst="rect">
                      <a:avLst/>
                    </a:prstGeom>
                  </pic:spPr>
                </pic:pic>
              </a:graphicData>
            </a:graphic>
          </wp:inline>
        </w:drawing>
      </w:r>
    </w:p>
    <w:p w14:paraId="177AB039" w14:textId="7DEFBD2E" w:rsidR="00F041A6" w:rsidRDefault="00EE0DA0" w:rsidP="002B244B">
      <w:r>
        <w:t xml:space="preserve">I </w:t>
      </w:r>
      <w:r w:rsidR="007C0BA1">
        <w:t xml:space="preserve">chose </w:t>
      </w:r>
      <w:r>
        <w:t>the last ESXi since that’s the one with worst latency.</w:t>
      </w:r>
    </w:p>
    <w:p w14:paraId="78E4DD50" w14:textId="6A8D7200" w:rsidR="00EE0DA0" w:rsidRDefault="00EE0DA0" w:rsidP="002B244B">
      <w:r>
        <w:t xml:space="preserve">I </w:t>
      </w:r>
      <w:r w:rsidR="007C0BA1">
        <w:t xml:space="preserve">plotted </w:t>
      </w:r>
      <w:r>
        <w:t xml:space="preserve">Kernel vs </w:t>
      </w:r>
      <w:r w:rsidR="007C0BA1">
        <w:t>Device</w:t>
      </w:r>
      <w:r>
        <w:t xml:space="preserve">. </w:t>
      </w:r>
    </w:p>
    <w:p w14:paraId="1188900E" w14:textId="2D322C93" w:rsidR="00EE0DA0" w:rsidRDefault="00EE0DA0" w:rsidP="002B244B">
      <w:r>
        <w:t>What do you notice? Can you determine which is which?</w:t>
      </w:r>
    </w:p>
    <w:p w14:paraId="2E818C25" w14:textId="1772E680" w:rsidR="00EE0DA0" w:rsidRDefault="00EE0DA0" w:rsidP="002B244B">
      <w:r w:rsidRPr="00EE0DA0">
        <w:rPr>
          <w:noProof/>
        </w:rPr>
        <w:drawing>
          <wp:inline distT="0" distB="0" distL="0" distR="0" wp14:anchorId="084B4746" wp14:editId="59FECAF3">
            <wp:extent cx="6645910" cy="2910840"/>
            <wp:effectExtent l="0" t="0" r="2540" b="3810"/>
            <wp:docPr id="1606338725" name="Picture 1606338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6"/>
                    <a:stretch>
                      <a:fillRect/>
                    </a:stretch>
                  </pic:blipFill>
                  <pic:spPr>
                    <a:xfrm>
                      <a:off x="0" y="0"/>
                      <a:ext cx="6645910" cy="2910840"/>
                    </a:xfrm>
                    <a:prstGeom prst="rect">
                      <a:avLst/>
                    </a:prstGeom>
                  </pic:spPr>
                </pic:pic>
              </a:graphicData>
            </a:graphic>
          </wp:inline>
        </w:drawing>
      </w:r>
    </w:p>
    <w:p w14:paraId="2E017E70" w14:textId="482CA22F" w:rsidR="00EE0DA0" w:rsidRDefault="007C0BA1" w:rsidP="002B244B">
      <w:r>
        <w:t>T</w:t>
      </w:r>
      <w:r w:rsidR="00EE0DA0">
        <w:t>hey don’t correlate. This is expected since both have reasonably good value (my expectation is below 0.5 ms).</w:t>
      </w:r>
    </w:p>
    <w:p w14:paraId="4FB8FBBB" w14:textId="77777777" w:rsidR="007C0BA1" w:rsidRDefault="007C0BA1" w:rsidP="007C0BA1">
      <w:pPr>
        <w:rPr>
          <w:lang w:val="en-GB"/>
        </w:rPr>
      </w:pPr>
      <w:r>
        <w:rPr>
          <w:lang w:val="en-GB"/>
        </w:rPr>
        <w:t xml:space="preserve">The bulk of the latency should come from the Device. In a healthy environment, it should be well within 5 ms. With SSD, it should be even lower. As you can see below, it’s below 1.75 ms. Notice the kernel latency is 0.2 ms at all times except in 1 spike. </w:t>
      </w:r>
    </w:p>
    <w:p w14:paraId="069E0915" w14:textId="77777777" w:rsidR="007C0BA1" w:rsidRPr="00A235B0" w:rsidRDefault="007C0BA1" w:rsidP="007C0BA1">
      <w:pPr>
        <w:rPr>
          <w:lang w:val="en-GB"/>
        </w:rPr>
      </w:pPr>
      <w:r w:rsidRPr="00A1670D">
        <w:rPr>
          <w:noProof/>
          <w:lang w:val="en-GB"/>
        </w:rPr>
        <w:lastRenderedPageBreak/>
        <w:drawing>
          <wp:inline distT="0" distB="0" distL="0" distR="0" wp14:anchorId="77CF1D6D" wp14:editId="5FA8E4A5">
            <wp:extent cx="6645910" cy="1754505"/>
            <wp:effectExtent l="0" t="0" r="2540" b="0"/>
            <wp:docPr id="1859674530" name="Picture 1859674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7"/>
                    <a:stretch>
                      <a:fillRect/>
                    </a:stretch>
                  </pic:blipFill>
                  <pic:spPr>
                    <a:xfrm>
                      <a:off x="0" y="0"/>
                      <a:ext cx="6645910" cy="1754505"/>
                    </a:xfrm>
                    <a:prstGeom prst="rect">
                      <a:avLst/>
                    </a:prstGeom>
                  </pic:spPr>
                </pic:pic>
              </a:graphicData>
            </a:graphic>
          </wp:inline>
        </w:drawing>
      </w:r>
    </w:p>
    <w:p w14:paraId="086EE5DA" w14:textId="06A4FEEA" w:rsidR="00EE0DA0" w:rsidRPr="00EE0DA0" w:rsidRDefault="007C0BA1" w:rsidP="002B244B">
      <w:pPr>
        <w:rPr>
          <w:lang w:val="en-GB"/>
        </w:rPr>
      </w:pPr>
      <w:r>
        <w:rPr>
          <w:lang w:val="en-GB"/>
        </w:rPr>
        <w:t>What about the Queue latency? It’s part of th</w:t>
      </w:r>
      <w:r w:rsidR="00EE0DA0">
        <w:rPr>
          <w:lang w:val="en-GB"/>
        </w:rPr>
        <w:t>e kernel latency</w:t>
      </w:r>
      <w:r>
        <w:rPr>
          <w:lang w:val="en-GB"/>
        </w:rPr>
        <w:t>, so it will be 100% within it. When the kernel latency value is in the healthy range, the 2</w:t>
      </w:r>
      <w:r w:rsidR="00EE0DA0">
        <w:rPr>
          <w:lang w:val="en-GB"/>
        </w:rPr>
        <w:t xml:space="preserve"> </w:t>
      </w:r>
      <w:r>
        <w:rPr>
          <w:lang w:val="en-GB"/>
        </w:rPr>
        <w:t xml:space="preserve">values </w:t>
      </w:r>
      <w:r w:rsidR="00EE0DA0">
        <w:rPr>
          <w:lang w:val="en-GB"/>
        </w:rPr>
        <w:t>should</w:t>
      </w:r>
      <w:r>
        <w:rPr>
          <w:lang w:val="en-GB"/>
        </w:rPr>
        <w:t xml:space="preserve"> correlate</w:t>
      </w:r>
      <w:r w:rsidR="00EE0DA0">
        <w:rPr>
          <w:lang w:val="en-GB"/>
        </w:rPr>
        <w:t xml:space="preserve">, as the value is largely dominated by the Queue. Notice the pattern below is basically identical. </w:t>
      </w:r>
    </w:p>
    <w:p w14:paraId="6D36106B" w14:textId="77777777" w:rsidR="002B244B" w:rsidRDefault="002B244B" w:rsidP="002B244B">
      <w:pPr>
        <w:rPr>
          <w:lang w:val="en-GB"/>
        </w:rPr>
      </w:pPr>
      <w:r w:rsidRPr="006D1F2A">
        <w:rPr>
          <w:noProof/>
          <w:lang w:val="en-GB"/>
        </w:rPr>
        <w:drawing>
          <wp:inline distT="0" distB="0" distL="0" distR="0" wp14:anchorId="2E4AC944" wp14:editId="0618008F">
            <wp:extent cx="6645910" cy="1969770"/>
            <wp:effectExtent l="0" t="0" r="2540" b="0"/>
            <wp:docPr id="1859674528" name="Picture 1859674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8"/>
                    <a:stretch>
                      <a:fillRect/>
                    </a:stretch>
                  </pic:blipFill>
                  <pic:spPr>
                    <a:xfrm>
                      <a:off x="0" y="0"/>
                      <a:ext cx="6645910" cy="1969770"/>
                    </a:xfrm>
                    <a:prstGeom prst="rect">
                      <a:avLst/>
                    </a:prstGeom>
                  </pic:spPr>
                </pic:pic>
              </a:graphicData>
            </a:graphic>
          </wp:inline>
        </w:drawing>
      </w:r>
    </w:p>
    <w:p w14:paraId="59210E85" w14:textId="77777777" w:rsidR="002B244B" w:rsidRDefault="002B244B" w:rsidP="002B244B">
      <w:pPr>
        <w:rPr>
          <w:lang w:val="en-GB"/>
        </w:rPr>
      </w:pPr>
      <w:r w:rsidRPr="00E96220">
        <w:rPr>
          <w:noProof/>
          <w:lang w:val="en-GB"/>
        </w:rPr>
        <w:drawing>
          <wp:inline distT="0" distB="0" distL="0" distR="0" wp14:anchorId="61DA3308" wp14:editId="0AE4A5E2">
            <wp:extent cx="6645910" cy="1475105"/>
            <wp:effectExtent l="0" t="0" r="2540" b="0"/>
            <wp:docPr id="1859674529" name="Picture 1859674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9"/>
                    <a:stretch>
                      <a:fillRect/>
                    </a:stretch>
                  </pic:blipFill>
                  <pic:spPr>
                    <a:xfrm>
                      <a:off x="0" y="0"/>
                      <a:ext cx="6645910" cy="1475105"/>
                    </a:xfrm>
                    <a:prstGeom prst="rect">
                      <a:avLst/>
                    </a:prstGeom>
                  </pic:spPr>
                </pic:pic>
              </a:graphicData>
            </a:graphic>
          </wp:inline>
        </w:drawing>
      </w:r>
    </w:p>
    <w:p w14:paraId="60F36EAD" w14:textId="77777777" w:rsidR="002B244B" w:rsidRDefault="002B244B" w:rsidP="002B244B">
      <w:pPr>
        <w:rPr>
          <w:lang w:val="en-GB"/>
        </w:rPr>
      </w:pPr>
    </w:p>
    <w:p w14:paraId="158D6E69" w14:textId="0265120E" w:rsidR="007D48E7" w:rsidRDefault="00642D50" w:rsidP="00C6208B">
      <w:pPr>
        <w:pStyle w:val="Heading6"/>
      </w:pPr>
      <w:r>
        <w:t>Other Counters</w:t>
      </w:r>
    </w:p>
    <w:p w14:paraId="7A724E8B" w14:textId="3617CC6D" w:rsidR="00642D50" w:rsidRPr="00642D50" w:rsidRDefault="00642D50" w:rsidP="00642D50">
      <w:pPr>
        <w:rPr>
          <w:lang w:val="en-GB"/>
        </w:rPr>
      </w:pPr>
      <w:r>
        <w:rPr>
          <w:lang w:val="en-GB"/>
        </w:rPr>
        <w:t>I find the value of Bus Resets and Commands Aborted are always 0</w:t>
      </w:r>
    </w:p>
    <w:p w14:paraId="3EE9C3B7" w14:textId="6846B0BF" w:rsidR="00642D50" w:rsidRDefault="00642D50" w:rsidP="002B244B">
      <w:pPr>
        <w:jc w:val="center"/>
      </w:pPr>
      <w:r w:rsidRPr="00642D50">
        <w:rPr>
          <w:noProof/>
        </w:rPr>
        <w:drawing>
          <wp:inline distT="0" distB="0" distL="0" distR="0" wp14:anchorId="161B1C50" wp14:editId="598F4613">
            <wp:extent cx="6645910" cy="1274445"/>
            <wp:effectExtent l="0" t="0" r="2540" b="1905"/>
            <wp:docPr id="750070379" name="Picture 750070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0"/>
                    <a:stretch>
                      <a:fillRect/>
                    </a:stretch>
                  </pic:blipFill>
                  <pic:spPr>
                    <a:xfrm>
                      <a:off x="0" y="0"/>
                      <a:ext cx="6645910" cy="1274445"/>
                    </a:xfrm>
                    <a:prstGeom prst="rect">
                      <a:avLst/>
                    </a:prstGeom>
                  </pic:spPr>
                </pic:pic>
              </a:graphicData>
            </a:graphic>
          </wp:inline>
        </w:drawing>
      </w:r>
    </w:p>
    <w:p w14:paraId="7AF78BC4" w14:textId="5F3C733C" w:rsidR="00642D50" w:rsidRPr="008C644A" w:rsidRDefault="00642D50" w:rsidP="00642D50">
      <w:r>
        <w:t>If you’ve seen a non zero let me know.</w:t>
      </w:r>
    </w:p>
    <w:p w14:paraId="169415CB" w14:textId="09609B41" w:rsidR="007C0BA1" w:rsidRDefault="007D48E7" w:rsidP="00642D50">
      <w:pPr>
        <w:jc w:val="center"/>
        <w:rPr>
          <w:lang w:val="en-GB"/>
        </w:rPr>
      </w:pPr>
      <w:r>
        <w:rPr>
          <w:noProof/>
          <w:lang w:val="en-GB"/>
        </w:rPr>
        <w:lastRenderedPageBreak/>
        <w:drawing>
          <wp:inline distT="0" distB="0" distL="0" distR="0" wp14:anchorId="50370F80" wp14:editId="6B5A75A4">
            <wp:extent cx="4424400" cy="478800"/>
            <wp:effectExtent l="0" t="0" r="0" b="0"/>
            <wp:docPr id="750070384" name="Picture 750070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81">
                      <a:extLst>
                        <a:ext uri="{28A0092B-C50C-407E-A947-70E740481C1C}">
                          <a14:useLocalDpi xmlns:a14="http://schemas.microsoft.com/office/drawing/2010/main" val="0"/>
                        </a:ext>
                      </a:extLst>
                    </a:blip>
                    <a:srcRect/>
                    <a:stretch>
                      <a:fillRect/>
                    </a:stretch>
                  </pic:blipFill>
                  <pic:spPr bwMode="auto">
                    <a:xfrm>
                      <a:off x="0" y="0"/>
                      <a:ext cx="4424400" cy="478800"/>
                    </a:xfrm>
                    <a:prstGeom prst="rect">
                      <a:avLst/>
                    </a:prstGeom>
                    <a:noFill/>
                    <a:ln>
                      <a:noFill/>
                    </a:ln>
                  </pic:spPr>
                </pic:pic>
              </a:graphicData>
            </a:graphic>
          </wp:inline>
        </w:drawing>
      </w:r>
    </w:p>
    <w:p w14:paraId="155FD3FB" w14:textId="1EACACCE" w:rsidR="00E904C9" w:rsidRDefault="00642D50" w:rsidP="00E904C9">
      <w:pPr>
        <w:rPr>
          <w:lang w:val="en-GB"/>
        </w:rPr>
      </w:pPr>
      <w:r>
        <w:rPr>
          <w:lang w:val="en-GB"/>
        </w:rPr>
        <w:t>I’m n</w:t>
      </w:r>
      <w:r w:rsidR="00E904C9">
        <w:rPr>
          <w:lang w:val="en-GB"/>
        </w:rPr>
        <w:t>ot sure what highest latency refers to (Guest, Kernel, or Device)</w:t>
      </w:r>
      <w:r w:rsidR="006F7767">
        <w:rPr>
          <w:lang w:val="en-GB"/>
        </w:rPr>
        <w:t>.</w:t>
      </w:r>
    </w:p>
    <w:p w14:paraId="498E5723" w14:textId="13006636" w:rsidR="007C0BA1" w:rsidRDefault="007C0BA1" w:rsidP="00E904C9">
      <w:pPr>
        <w:rPr>
          <w:lang w:val="en-GB"/>
        </w:rPr>
      </w:pPr>
      <w:r>
        <w:rPr>
          <w:lang w:val="en-GB"/>
        </w:rPr>
        <w:t>Maximum Queue Depth is more of a property than a metric, as it’s a setting.</w:t>
      </w:r>
      <w:r w:rsidR="006F7767">
        <w:rPr>
          <w:lang w:val="en-GB"/>
        </w:rPr>
        <w:t xml:space="preserve"> </w:t>
      </w:r>
    </w:p>
    <w:p w14:paraId="704AE4A6" w14:textId="17F56495" w:rsidR="007C0BA1" w:rsidRDefault="007C0BA1" w:rsidP="00E904C9">
      <w:pPr>
        <w:rPr>
          <w:lang w:val="en-GB"/>
        </w:rPr>
      </w:pPr>
      <w:r w:rsidRPr="007C0BA1">
        <w:rPr>
          <w:noProof/>
          <w:lang w:val="en-GB"/>
        </w:rPr>
        <w:drawing>
          <wp:inline distT="0" distB="0" distL="0" distR="0" wp14:anchorId="3C206A84" wp14:editId="2B81DFAC">
            <wp:extent cx="6645910" cy="916305"/>
            <wp:effectExtent l="0" t="0" r="2540" b="0"/>
            <wp:docPr id="750070375" name="Picture 750070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2"/>
                    <a:stretch>
                      <a:fillRect/>
                    </a:stretch>
                  </pic:blipFill>
                  <pic:spPr>
                    <a:xfrm>
                      <a:off x="0" y="0"/>
                      <a:ext cx="6645910" cy="916305"/>
                    </a:xfrm>
                    <a:prstGeom prst="rect">
                      <a:avLst/>
                    </a:prstGeom>
                  </pic:spPr>
                </pic:pic>
              </a:graphicData>
            </a:graphic>
          </wp:inline>
        </w:drawing>
      </w:r>
    </w:p>
    <w:p w14:paraId="42428D21" w14:textId="5AF2E76D" w:rsidR="00EE0DA0" w:rsidRDefault="0014228A" w:rsidP="00EE0DA0">
      <w:pPr>
        <w:pStyle w:val="Heading5"/>
      </w:pPr>
      <w:r>
        <w:t xml:space="preserve">Consumption </w:t>
      </w:r>
      <w:r w:rsidR="00EE0DA0">
        <w:t xml:space="preserve">Counters </w:t>
      </w:r>
    </w:p>
    <w:p w14:paraId="17C61CF9" w14:textId="153F8173" w:rsidR="00EE0DA0" w:rsidRDefault="00EE0DA0" w:rsidP="00EE0DA0">
      <w:pPr>
        <w:rPr>
          <w:lang w:val="en-GB"/>
        </w:rPr>
      </w:pPr>
      <w:r>
        <w:rPr>
          <w:lang w:val="en-GB"/>
        </w:rPr>
        <w:t xml:space="preserve">You get the standard IOPS and Throughput metrics. </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890"/>
        <w:gridCol w:w="7586"/>
      </w:tblGrid>
      <w:tr w:rsidR="00EE0DA0" w14:paraId="1BEED1E0" w14:textId="77777777" w:rsidTr="00281329">
        <w:tc>
          <w:tcPr>
            <w:tcW w:w="1890" w:type="dxa"/>
            <w:shd w:val="clear" w:color="auto" w:fill="F2F2F2" w:themeFill="background1" w:themeFillShade="F2"/>
          </w:tcPr>
          <w:p w14:paraId="60EA9ECB" w14:textId="4B22BDBB" w:rsidR="00EE0DA0" w:rsidRDefault="00EE0DA0" w:rsidP="00281329">
            <w:pPr>
              <w:pStyle w:val="Tablecontent"/>
            </w:pPr>
            <w:r>
              <w:t>IOPS</w:t>
            </w:r>
          </w:p>
        </w:tc>
        <w:tc>
          <w:tcPr>
            <w:tcW w:w="7586" w:type="dxa"/>
            <w:tcBorders>
              <w:right w:val="nil"/>
            </w:tcBorders>
          </w:tcPr>
          <w:p w14:paraId="23DACCC8" w14:textId="3313A290" w:rsidR="00EE0DA0" w:rsidRDefault="00D0221F" w:rsidP="00281329">
            <w:pPr>
              <w:pStyle w:val="Tablecontent"/>
            </w:pPr>
            <w:r w:rsidRPr="00D0221F">
              <w:rPr>
                <w:noProof/>
              </w:rPr>
              <w:drawing>
                <wp:inline distT="0" distB="0" distL="0" distR="0" wp14:anchorId="13503A98" wp14:editId="07E48940">
                  <wp:extent cx="4076910" cy="723937"/>
                  <wp:effectExtent l="0" t="0" r="0" b="0"/>
                  <wp:docPr id="1606338727" name="Picture 160633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3"/>
                          <a:stretch>
                            <a:fillRect/>
                          </a:stretch>
                        </pic:blipFill>
                        <pic:spPr>
                          <a:xfrm>
                            <a:off x="0" y="0"/>
                            <a:ext cx="4076910" cy="723937"/>
                          </a:xfrm>
                          <a:prstGeom prst="rect">
                            <a:avLst/>
                          </a:prstGeom>
                        </pic:spPr>
                      </pic:pic>
                    </a:graphicData>
                  </a:graphic>
                </wp:inline>
              </w:drawing>
            </w:r>
          </w:p>
        </w:tc>
      </w:tr>
      <w:tr w:rsidR="00EE0DA0" w14:paraId="62FFFF5B" w14:textId="77777777" w:rsidTr="00281329">
        <w:tc>
          <w:tcPr>
            <w:tcW w:w="1890" w:type="dxa"/>
            <w:shd w:val="clear" w:color="auto" w:fill="F2F2F2" w:themeFill="background1" w:themeFillShade="F2"/>
          </w:tcPr>
          <w:p w14:paraId="090ED104" w14:textId="27B9DDAF" w:rsidR="00EE0DA0" w:rsidRDefault="00EE0DA0" w:rsidP="00281329">
            <w:pPr>
              <w:pStyle w:val="Tablecontent"/>
            </w:pPr>
            <w:r>
              <w:t>Throughput</w:t>
            </w:r>
          </w:p>
        </w:tc>
        <w:tc>
          <w:tcPr>
            <w:tcW w:w="7586" w:type="dxa"/>
            <w:tcBorders>
              <w:right w:val="nil"/>
            </w:tcBorders>
          </w:tcPr>
          <w:p w14:paraId="738A547E" w14:textId="77777777" w:rsidR="00EE0DA0" w:rsidRDefault="00D0221F" w:rsidP="00281329">
            <w:pPr>
              <w:pStyle w:val="Tablecontent"/>
            </w:pPr>
            <w:r>
              <w:t>The counters names are</w:t>
            </w:r>
          </w:p>
          <w:p w14:paraId="7262B5DA" w14:textId="77777777" w:rsidR="00D0221F" w:rsidRDefault="00D0221F">
            <w:pPr>
              <w:pStyle w:val="Tablecontent"/>
              <w:numPr>
                <w:ilvl w:val="0"/>
                <w:numId w:val="77"/>
              </w:numPr>
            </w:pPr>
            <w:r>
              <w:t>Read Rate</w:t>
            </w:r>
          </w:p>
          <w:p w14:paraId="7E5ACF02" w14:textId="77777777" w:rsidR="00D0221F" w:rsidRDefault="00D0221F">
            <w:pPr>
              <w:pStyle w:val="Tablecontent"/>
              <w:numPr>
                <w:ilvl w:val="0"/>
                <w:numId w:val="77"/>
              </w:numPr>
            </w:pPr>
            <w:r>
              <w:t>Write Rate</w:t>
            </w:r>
          </w:p>
          <w:p w14:paraId="548D64DD" w14:textId="77777777" w:rsidR="00D0221F" w:rsidRDefault="00D0221F">
            <w:pPr>
              <w:pStyle w:val="Tablecontent"/>
              <w:numPr>
                <w:ilvl w:val="0"/>
                <w:numId w:val="77"/>
              </w:numPr>
            </w:pPr>
            <w:r>
              <w:t>Usage</w:t>
            </w:r>
          </w:p>
          <w:p w14:paraId="187531B1" w14:textId="2407D255" w:rsidR="00D0221F" w:rsidRPr="00D0221F" w:rsidRDefault="00D0221F" w:rsidP="00D0221F">
            <w:pPr>
              <w:pStyle w:val="Tablecontent"/>
            </w:pPr>
            <w:r>
              <w:t>All their units are in KB/s</w:t>
            </w:r>
          </w:p>
        </w:tc>
      </w:tr>
      <w:tr w:rsidR="00EE0DA0" w14:paraId="54BF57BA" w14:textId="77777777" w:rsidTr="00281329">
        <w:tc>
          <w:tcPr>
            <w:tcW w:w="1890" w:type="dxa"/>
            <w:shd w:val="clear" w:color="auto" w:fill="F2F2F2" w:themeFill="background1" w:themeFillShade="F2"/>
          </w:tcPr>
          <w:p w14:paraId="2D6E2233" w14:textId="5844AE17" w:rsidR="00EE0DA0" w:rsidRDefault="00EE0DA0" w:rsidP="00281329">
            <w:pPr>
              <w:pStyle w:val="Tablecontent"/>
            </w:pPr>
            <w:r>
              <w:t xml:space="preserve">Total IO </w:t>
            </w:r>
          </w:p>
        </w:tc>
        <w:tc>
          <w:tcPr>
            <w:tcW w:w="7586" w:type="dxa"/>
            <w:tcBorders>
              <w:right w:val="nil"/>
            </w:tcBorders>
          </w:tcPr>
          <w:p w14:paraId="3EAAE541" w14:textId="39870E25" w:rsidR="00EE0DA0" w:rsidRDefault="00EE0DA0" w:rsidP="00281329">
            <w:pPr>
              <w:pStyle w:val="Tablecontent"/>
            </w:pPr>
            <w:r>
              <w:t xml:space="preserve">This is just the number of Read or </w:t>
            </w:r>
            <w:r w:rsidR="00C230E2">
              <w:t>Write</w:t>
            </w:r>
            <w:r>
              <w:t xml:space="preserve"> in the time interval.</w:t>
            </w:r>
          </w:p>
          <w:p w14:paraId="1D596359" w14:textId="77777777" w:rsidR="00D0221F" w:rsidRDefault="00D0221F" w:rsidP="00D0221F">
            <w:pPr>
              <w:pStyle w:val="Tablecontent"/>
            </w:pPr>
            <w:r>
              <w:t>The counters names are</w:t>
            </w:r>
          </w:p>
          <w:p w14:paraId="0945163E" w14:textId="16ABC1CA" w:rsidR="00D0221F" w:rsidRDefault="00D0221F">
            <w:pPr>
              <w:pStyle w:val="Tablecontent"/>
              <w:numPr>
                <w:ilvl w:val="0"/>
                <w:numId w:val="77"/>
              </w:numPr>
            </w:pPr>
            <w:r>
              <w:t>Read Requests</w:t>
            </w:r>
          </w:p>
          <w:p w14:paraId="3A72F1E2" w14:textId="158EC66C" w:rsidR="00D0221F" w:rsidRDefault="00D0221F">
            <w:pPr>
              <w:pStyle w:val="Tablecontent"/>
              <w:numPr>
                <w:ilvl w:val="0"/>
                <w:numId w:val="77"/>
              </w:numPr>
            </w:pPr>
            <w:r>
              <w:t>Write Requests</w:t>
            </w:r>
          </w:p>
          <w:p w14:paraId="7522D7D7" w14:textId="20F3CD10" w:rsidR="00EE0DA0" w:rsidRDefault="00D0221F" w:rsidP="006F7767">
            <w:pPr>
              <w:pStyle w:val="Tablecontent"/>
              <w:numPr>
                <w:ilvl w:val="0"/>
                <w:numId w:val="77"/>
              </w:numPr>
            </w:pPr>
            <w:r>
              <w:t>Commands Issued</w:t>
            </w:r>
          </w:p>
        </w:tc>
      </w:tr>
    </w:tbl>
    <w:bookmarkEnd w:id="127"/>
    <w:p w14:paraId="68408201" w14:textId="5675BD24" w:rsidR="007D48E7" w:rsidRDefault="007D48E7" w:rsidP="00365F19">
      <w:pPr>
        <w:pStyle w:val="Heading4"/>
      </w:pPr>
      <w:r>
        <w:t>Datastore</w:t>
      </w:r>
    </w:p>
    <w:p w14:paraId="0DC85661" w14:textId="77777777" w:rsidR="007D48E7" w:rsidRPr="00A35AD2" w:rsidRDefault="007D48E7" w:rsidP="00365F19">
      <w:pPr>
        <w:rPr>
          <w:lang w:val="en-GB"/>
        </w:rPr>
      </w:pPr>
      <w:bookmarkStart w:id="128" w:name="_Hlk133746879"/>
      <w:r>
        <w:rPr>
          <w:lang w:val="en-GB"/>
        </w:rPr>
        <w:t>For shared datastore, the metrics do not show the same value with the one at datastore object. All these metrics are only reporting from this ESXi viewpoint, not the sum from all ESXi mounting the same datastore.</w:t>
      </w:r>
    </w:p>
    <w:p w14:paraId="59A67DEF" w14:textId="21390735" w:rsidR="007D48E7" w:rsidRDefault="007D48E7" w:rsidP="00365F19">
      <w:pPr>
        <w:pStyle w:val="Heading5"/>
      </w:pPr>
      <w:r>
        <w:lastRenderedPageBreak/>
        <w:t>General metrics</w:t>
      </w:r>
    </w:p>
    <w:p w14:paraId="23D642D7" w14:textId="2C8E4670" w:rsidR="006F7767" w:rsidRPr="006F7767" w:rsidRDefault="006F7767" w:rsidP="006F7767">
      <w:pPr>
        <w:rPr>
          <w:lang w:val="en-GB"/>
        </w:rPr>
      </w:pPr>
      <w:r>
        <w:rPr>
          <w:lang w:val="en-GB"/>
        </w:rPr>
        <w:t>For each datastore, you get the usual IOPS, throughput and latency. They are split into read and write, so you have 3 x 2 = 6 metrics in total. These are the actual names:</w:t>
      </w:r>
    </w:p>
    <w:p w14:paraId="633A2A97" w14:textId="49B68F98" w:rsidR="007D48E7" w:rsidRDefault="007D48E7" w:rsidP="00365F19">
      <w:pPr>
        <w:rPr>
          <w:lang w:val="en-GB"/>
        </w:rPr>
      </w:pPr>
      <w:r>
        <w:rPr>
          <w:noProof/>
          <w:lang w:val="en-GB"/>
        </w:rPr>
        <w:drawing>
          <wp:inline distT="0" distB="0" distL="0" distR="0" wp14:anchorId="2712CC11" wp14:editId="172B66BE">
            <wp:extent cx="6637655" cy="2201545"/>
            <wp:effectExtent l="0" t="0" r="0" b="8255"/>
            <wp:docPr id="534447540" name="Picture 534447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84">
                      <a:extLst>
                        <a:ext uri="{28A0092B-C50C-407E-A947-70E740481C1C}">
                          <a14:useLocalDpi xmlns:a14="http://schemas.microsoft.com/office/drawing/2010/main" val="0"/>
                        </a:ext>
                      </a:extLst>
                    </a:blip>
                    <a:srcRect/>
                    <a:stretch>
                      <a:fillRect/>
                    </a:stretch>
                  </pic:blipFill>
                  <pic:spPr bwMode="auto">
                    <a:xfrm>
                      <a:off x="0" y="0"/>
                      <a:ext cx="6637655" cy="2201545"/>
                    </a:xfrm>
                    <a:prstGeom prst="rect">
                      <a:avLst/>
                    </a:prstGeom>
                    <a:noFill/>
                    <a:ln>
                      <a:noFill/>
                    </a:ln>
                  </pic:spPr>
                </pic:pic>
              </a:graphicData>
            </a:graphic>
          </wp:inline>
        </w:drawing>
      </w:r>
    </w:p>
    <w:p w14:paraId="7BAFA7C3" w14:textId="609EA1FA" w:rsidR="006F7767" w:rsidRDefault="006F7767" w:rsidP="00365F19">
      <w:pPr>
        <w:rPr>
          <w:lang w:val="en-GB"/>
        </w:rPr>
      </w:pPr>
      <w:r>
        <w:rPr>
          <w:lang w:val="en-GB"/>
        </w:rPr>
        <w:t>You also get 2 additional counters:</w:t>
      </w:r>
    </w:p>
    <w:p w14:paraId="4171893C" w14:textId="26C7A1F6" w:rsidR="006F7767" w:rsidRDefault="006F7767" w:rsidP="006F7767">
      <w:pPr>
        <w:pStyle w:val="Bullet"/>
        <w:rPr>
          <w:lang w:val="en-GB"/>
        </w:rPr>
      </w:pPr>
      <w:r>
        <w:rPr>
          <w:lang w:val="en-GB"/>
        </w:rPr>
        <w:t>Datastore latency observed by VMs</w:t>
      </w:r>
    </w:p>
    <w:p w14:paraId="539D224C" w14:textId="6318AD75" w:rsidR="006F7767" w:rsidRDefault="006F7767" w:rsidP="006F7767">
      <w:pPr>
        <w:pStyle w:val="Bullet"/>
        <w:rPr>
          <w:lang w:val="en-GB"/>
        </w:rPr>
      </w:pPr>
      <w:r>
        <w:rPr>
          <w:lang w:val="en-GB"/>
        </w:rPr>
        <w:t>Highest latency.</w:t>
      </w:r>
    </w:p>
    <w:p w14:paraId="44C34CCD" w14:textId="13BB4522" w:rsidR="006F7767" w:rsidRDefault="006F7767" w:rsidP="006F7767">
      <w:pPr>
        <w:rPr>
          <w:lang w:val="en-GB"/>
        </w:rPr>
      </w:pPr>
      <w:r>
        <w:rPr>
          <w:lang w:val="en-GB"/>
        </w:rPr>
        <w:t xml:space="preserve">I plotted their values and to my surprise the metric </w:t>
      </w:r>
      <w:r w:rsidRPr="006F7767">
        <w:rPr>
          <w:color w:val="00B0F0"/>
          <w:lang w:val="en-GB"/>
        </w:rPr>
        <w:t xml:space="preserve">Datastore latency observed by VMs </w:t>
      </w:r>
      <w:r>
        <w:rPr>
          <w:lang w:val="en-GB"/>
        </w:rPr>
        <w:t>is much higher. You can see the blue line below. It makes me wonder what the gap is as there is only VMkernel in between.</w:t>
      </w:r>
    </w:p>
    <w:p w14:paraId="66C085FB" w14:textId="7C306176" w:rsidR="00642D50" w:rsidRDefault="00642D50" w:rsidP="00365F19">
      <w:pPr>
        <w:rPr>
          <w:lang w:val="en-GB"/>
        </w:rPr>
      </w:pPr>
      <w:r w:rsidRPr="00642D50">
        <w:rPr>
          <w:noProof/>
          <w:lang w:val="en-GB"/>
        </w:rPr>
        <w:drawing>
          <wp:inline distT="0" distB="0" distL="0" distR="0" wp14:anchorId="1D1E148F" wp14:editId="73F7FCB8">
            <wp:extent cx="6645910" cy="3244850"/>
            <wp:effectExtent l="0" t="0" r="2540" b="0"/>
            <wp:docPr id="750070380" name="Picture 750070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5"/>
                    <a:stretch>
                      <a:fillRect/>
                    </a:stretch>
                  </pic:blipFill>
                  <pic:spPr>
                    <a:xfrm>
                      <a:off x="0" y="0"/>
                      <a:ext cx="6645910" cy="3244850"/>
                    </a:xfrm>
                    <a:prstGeom prst="rect">
                      <a:avLst/>
                    </a:prstGeom>
                  </pic:spPr>
                </pic:pic>
              </a:graphicData>
            </a:graphic>
          </wp:inline>
        </w:drawing>
      </w:r>
    </w:p>
    <w:p w14:paraId="6717E76C" w14:textId="2FFAB9BF" w:rsidR="006F7767" w:rsidRDefault="006F7767" w:rsidP="00365F19">
      <w:pPr>
        <w:rPr>
          <w:lang w:val="en-GB"/>
        </w:rPr>
      </w:pPr>
      <w:r>
        <w:rPr>
          <w:lang w:val="en-GB"/>
        </w:rPr>
        <w:t xml:space="preserve">The metric </w:t>
      </w:r>
      <w:r w:rsidRPr="006F7767">
        <w:rPr>
          <w:color w:val="00B0F0"/>
          <w:lang w:val="en-GB"/>
        </w:rPr>
        <w:t xml:space="preserve">Highest Latency </w:t>
      </w:r>
      <w:r>
        <w:rPr>
          <w:lang w:val="en-GB"/>
        </w:rPr>
        <w:t>is a normalized averaged of read and write, hence it can be lower.</w:t>
      </w:r>
    </w:p>
    <w:p w14:paraId="40B4A2FD" w14:textId="72FFF254" w:rsidR="006F7767" w:rsidRDefault="006F7767" w:rsidP="00365F19">
      <w:pPr>
        <w:rPr>
          <w:lang w:val="en-GB"/>
        </w:rPr>
      </w:pPr>
      <w:r>
        <w:rPr>
          <w:lang w:val="en-GB"/>
        </w:rPr>
        <w:t>There is no block size but you can derive it by dividing Throughput with IOPS.</w:t>
      </w:r>
    </w:p>
    <w:p w14:paraId="600082F7" w14:textId="1E4F36A1" w:rsidR="000C7A74" w:rsidRDefault="000C7A74" w:rsidP="000C7A74">
      <w:pPr>
        <w:pStyle w:val="Heading6"/>
      </w:pPr>
      <w:r>
        <w:lastRenderedPageBreak/>
        <w:t>Outstanding IO</w:t>
      </w:r>
    </w:p>
    <w:p w14:paraId="2AC54EEE" w14:textId="10E4FBCC" w:rsidR="00A11E51" w:rsidRDefault="00A11E51" w:rsidP="00365F19">
      <w:pPr>
        <w:rPr>
          <w:lang w:val="en-GB"/>
        </w:rPr>
      </w:pPr>
      <w:r>
        <w:rPr>
          <w:lang w:val="en-GB"/>
        </w:rPr>
        <w:t>You can derive the outstanding IO metric from latency and IOPS. I think latency counter is more insightful. For example, the following screenshot shows hardly any IO being in the queue:</w:t>
      </w:r>
    </w:p>
    <w:p w14:paraId="0E1311D2" w14:textId="4EED6EF9" w:rsidR="00A11E51" w:rsidRDefault="00A11E51" w:rsidP="00365F19">
      <w:pPr>
        <w:rPr>
          <w:lang w:val="en-GB"/>
        </w:rPr>
      </w:pPr>
      <w:r w:rsidRPr="00A11E51">
        <w:rPr>
          <w:noProof/>
          <w:lang w:val="en-GB"/>
        </w:rPr>
        <w:drawing>
          <wp:inline distT="0" distB="0" distL="0" distR="0" wp14:anchorId="7F768267" wp14:editId="3A2338CB">
            <wp:extent cx="6645910" cy="1007110"/>
            <wp:effectExtent l="0" t="0" r="2540" b="2540"/>
            <wp:docPr id="534447531" name="Picture 534447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6"/>
                    <a:stretch>
                      <a:fillRect/>
                    </a:stretch>
                  </pic:blipFill>
                  <pic:spPr>
                    <a:xfrm>
                      <a:off x="0" y="0"/>
                      <a:ext cx="6645910" cy="1007110"/>
                    </a:xfrm>
                    <a:prstGeom prst="rect">
                      <a:avLst/>
                    </a:prstGeom>
                  </pic:spPr>
                </pic:pic>
              </a:graphicData>
            </a:graphic>
          </wp:inline>
        </w:drawing>
      </w:r>
    </w:p>
    <w:p w14:paraId="05C7265E" w14:textId="62A4A3F4" w:rsidR="00A11E51" w:rsidRDefault="00A11E51" w:rsidP="00365F19">
      <w:pPr>
        <w:rPr>
          <w:lang w:val="en-GB"/>
        </w:rPr>
      </w:pPr>
      <w:r>
        <w:rPr>
          <w:lang w:val="en-GB"/>
        </w:rPr>
        <w:t>However, if you plot latency, you get same pattern of line chart but with higher value.</w:t>
      </w:r>
    </w:p>
    <w:p w14:paraId="6132AFDD" w14:textId="62235C63" w:rsidR="00A11E51" w:rsidRDefault="00A11E51" w:rsidP="00365F19">
      <w:pPr>
        <w:rPr>
          <w:lang w:val="en-GB"/>
        </w:rPr>
      </w:pPr>
      <w:r w:rsidRPr="00A11E51">
        <w:rPr>
          <w:noProof/>
          <w:lang w:val="en-GB"/>
        </w:rPr>
        <w:drawing>
          <wp:inline distT="0" distB="0" distL="0" distR="0" wp14:anchorId="6D2A5A92" wp14:editId="06D546AA">
            <wp:extent cx="6645910" cy="974725"/>
            <wp:effectExtent l="0" t="0" r="2540" b="0"/>
            <wp:docPr id="750070377" name="Picture 75007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7"/>
                    <a:stretch>
                      <a:fillRect/>
                    </a:stretch>
                  </pic:blipFill>
                  <pic:spPr>
                    <a:xfrm>
                      <a:off x="0" y="0"/>
                      <a:ext cx="6645910" cy="974725"/>
                    </a:xfrm>
                    <a:prstGeom prst="rect">
                      <a:avLst/>
                    </a:prstGeom>
                  </pic:spPr>
                </pic:pic>
              </a:graphicData>
            </a:graphic>
          </wp:inline>
        </w:drawing>
      </w:r>
    </w:p>
    <w:p w14:paraId="019C234D" w14:textId="2D6E0FB0" w:rsidR="00A11E51" w:rsidRDefault="00A11E51" w:rsidP="00365F19">
      <w:pPr>
        <w:rPr>
          <w:lang w:val="en-GB"/>
        </w:rPr>
      </w:pPr>
      <w:r>
        <w:rPr>
          <w:lang w:val="en-GB"/>
        </w:rPr>
        <w:t xml:space="preserve">You can check </w:t>
      </w:r>
      <w:r w:rsidR="00C230E2">
        <w:rPr>
          <w:lang w:val="en-GB"/>
        </w:rPr>
        <w:t>whether</w:t>
      </w:r>
      <w:r>
        <w:rPr>
          <w:lang w:val="en-GB"/>
        </w:rPr>
        <w:t xml:space="preserve"> it’s read or write by plotting each.</w:t>
      </w:r>
    </w:p>
    <w:p w14:paraId="12F90033" w14:textId="040177B7" w:rsidR="00A11E51" w:rsidRDefault="00A11E51" w:rsidP="00365F19">
      <w:pPr>
        <w:rPr>
          <w:lang w:val="en-GB"/>
        </w:rPr>
      </w:pPr>
      <w:r>
        <w:rPr>
          <w:lang w:val="en-GB"/>
        </w:rPr>
        <w:t>The following screenshot shows it’s caused by write latency. It’s expected if your read is mostly served by cache.</w:t>
      </w:r>
    </w:p>
    <w:p w14:paraId="104383CB" w14:textId="7842C62F" w:rsidR="00A11E51" w:rsidRDefault="00A11E51" w:rsidP="00365F19">
      <w:pPr>
        <w:rPr>
          <w:lang w:val="en-GB"/>
        </w:rPr>
      </w:pPr>
      <w:r w:rsidRPr="00A11E51">
        <w:rPr>
          <w:noProof/>
          <w:lang w:val="en-GB"/>
        </w:rPr>
        <w:drawing>
          <wp:inline distT="0" distB="0" distL="0" distR="0" wp14:anchorId="7A21B948" wp14:editId="38BBC018">
            <wp:extent cx="6645910" cy="2449830"/>
            <wp:effectExtent l="0" t="0" r="2540" b="7620"/>
            <wp:docPr id="750070378" name="Picture 750070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8"/>
                    <a:stretch>
                      <a:fillRect/>
                    </a:stretch>
                  </pic:blipFill>
                  <pic:spPr>
                    <a:xfrm>
                      <a:off x="0" y="0"/>
                      <a:ext cx="6645910" cy="2449830"/>
                    </a:xfrm>
                    <a:prstGeom prst="rect">
                      <a:avLst/>
                    </a:prstGeom>
                  </pic:spPr>
                </pic:pic>
              </a:graphicData>
            </a:graphic>
          </wp:inline>
        </w:drawing>
      </w:r>
    </w:p>
    <w:p w14:paraId="53D6C514" w14:textId="067404C8" w:rsidR="000C7A74" w:rsidRDefault="000C7A74" w:rsidP="004606AB">
      <w:pPr>
        <w:pStyle w:val="Heading5"/>
      </w:pPr>
      <w:r>
        <w:t>Queue Depth</w:t>
      </w:r>
    </w:p>
    <w:p w14:paraId="34BA02B8" w14:textId="0F5D8BDE" w:rsidR="000C7A74" w:rsidRDefault="000C7A74" w:rsidP="00365F19">
      <w:pPr>
        <w:rPr>
          <w:lang w:val="en-GB"/>
        </w:rPr>
      </w:pPr>
      <w:r>
        <w:rPr>
          <w:lang w:val="en-GB"/>
        </w:rPr>
        <w:t xml:space="preserve">You can also see the queue depth for each datastores. Ensure that the settings are </w:t>
      </w:r>
      <w:r w:rsidR="00CC351A">
        <w:rPr>
          <w:lang w:val="en-GB"/>
        </w:rPr>
        <w:t xml:space="preserve">matching your expectation and are consistent. You can list them per cluster and see their values. </w:t>
      </w:r>
    </w:p>
    <w:p w14:paraId="08973DC5" w14:textId="1EBFEDD0" w:rsidR="000C7A74" w:rsidRDefault="000C7A74" w:rsidP="000C7A74">
      <w:pPr>
        <w:jc w:val="center"/>
        <w:rPr>
          <w:lang w:val="en-GB"/>
        </w:rPr>
      </w:pPr>
      <w:r w:rsidRPr="000C7A74">
        <w:rPr>
          <w:noProof/>
          <w:lang w:val="en-GB"/>
        </w:rPr>
        <w:lastRenderedPageBreak/>
        <w:drawing>
          <wp:inline distT="0" distB="0" distL="0" distR="0" wp14:anchorId="44131483" wp14:editId="3DEDE485">
            <wp:extent cx="4718304" cy="3300984"/>
            <wp:effectExtent l="0" t="0" r="6350" b="0"/>
            <wp:docPr id="750070382" name="Picture 750070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9"/>
                    <a:stretch>
                      <a:fillRect/>
                    </a:stretch>
                  </pic:blipFill>
                  <pic:spPr>
                    <a:xfrm>
                      <a:off x="0" y="0"/>
                      <a:ext cx="4718304" cy="3300984"/>
                    </a:xfrm>
                    <a:prstGeom prst="rect">
                      <a:avLst/>
                    </a:prstGeom>
                  </pic:spPr>
                </pic:pic>
              </a:graphicData>
            </a:graphic>
          </wp:inline>
        </w:drawing>
      </w:r>
    </w:p>
    <w:p w14:paraId="4980CADB" w14:textId="77777777" w:rsidR="007D48E7" w:rsidRDefault="007D48E7" w:rsidP="00365F19">
      <w:pPr>
        <w:pStyle w:val="Heading5"/>
      </w:pPr>
      <w:r>
        <w:t xml:space="preserve">Unmapped </w:t>
      </w:r>
    </w:p>
    <w:p w14:paraId="31293510" w14:textId="2BFA0C9C" w:rsidR="00642D50" w:rsidRDefault="00642D50" w:rsidP="00365F19">
      <w:pPr>
        <w:rPr>
          <w:lang w:val="en-GB"/>
        </w:rPr>
      </w:pPr>
      <w:r>
        <w:rPr>
          <w:lang w:val="en-GB"/>
        </w:rPr>
        <w:t>vSphere 7 provides observability into unmap.</w:t>
      </w:r>
    </w:p>
    <w:p w14:paraId="6CF311E4" w14:textId="3C700980" w:rsidR="007D48E7" w:rsidRPr="00572B7D" w:rsidRDefault="007D48E7" w:rsidP="00365F19">
      <w:pPr>
        <w:rPr>
          <w:lang w:val="en-GB"/>
        </w:rPr>
      </w:pPr>
      <w:r>
        <w:rPr>
          <w:lang w:val="en-GB"/>
        </w:rPr>
        <w:t xml:space="preserve">They do not measure the potential amount to be reclaimed. They measure the unmap operations, both the IOPS generated by unmap operations and the amount being unmapped. </w:t>
      </w:r>
    </w:p>
    <w:p w14:paraId="44024BF8" w14:textId="6FF64ACD" w:rsidR="007D48E7" w:rsidRDefault="007D48E7" w:rsidP="00365F19">
      <w:pPr>
        <w:jc w:val="center"/>
        <w:rPr>
          <w:lang w:val="en-GB"/>
        </w:rPr>
      </w:pPr>
      <w:r w:rsidRPr="00D21F20">
        <w:rPr>
          <w:noProof/>
          <w:lang w:val="en-GB"/>
        </w:rPr>
        <w:drawing>
          <wp:inline distT="0" distB="0" distL="0" distR="0" wp14:anchorId="77115432" wp14:editId="6ED805CF">
            <wp:extent cx="5526000" cy="540000"/>
            <wp:effectExtent l="0" t="0" r="0" b="0"/>
            <wp:docPr id="534447541" name="Picture 534447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0"/>
                    <a:stretch>
                      <a:fillRect/>
                    </a:stretch>
                  </pic:blipFill>
                  <pic:spPr>
                    <a:xfrm>
                      <a:off x="0" y="0"/>
                      <a:ext cx="5526000" cy="540000"/>
                    </a:xfrm>
                    <a:prstGeom prst="rect">
                      <a:avLst/>
                    </a:prstGeom>
                  </pic:spPr>
                </pic:pic>
              </a:graphicData>
            </a:graphic>
          </wp:inline>
        </w:drawing>
      </w:r>
    </w:p>
    <w:p w14:paraId="56A08864" w14:textId="752DBABD" w:rsidR="00F07527" w:rsidRDefault="00F07527" w:rsidP="00F07527">
      <w:pPr>
        <w:rPr>
          <w:lang w:val="en-GB"/>
        </w:rPr>
      </w:pPr>
      <w:r>
        <w:rPr>
          <w:lang w:val="en-GB"/>
        </w:rPr>
        <w:t xml:space="preserve">BTW, the counters are not available for vSAN datastore. The ESXi below is part of vSAN but the </w:t>
      </w:r>
      <w:r w:rsidRPr="00F07527">
        <w:rPr>
          <w:color w:val="00B0F0"/>
          <w:lang w:val="en-GB"/>
        </w:rPr>
        <w:t xml:space="preserve">Target Objects </w:t>
      </w:r>
      <w:r>
        <w:rPr>
          <w:lang w:val="en-GB"/>
        </w:rPr>
        <w:t>only list non vSAN.</w:t>
      </w:r>
    </w:p>
    <w:p w14:paraId="724C6180" w14:textId="366F5CB5" w:rsidR="00F07527" w:rsidRDefault="00F07527" w:rsidP="00F07527">
      <w:pPr>
        <w:rPr>
          <w:lang w:val="en-GB"/>
        </w:rPr>
      </w:pPr>
      <w:r w:rsidRPr="00F07527">
        <w:rPr>
          <w:noProof/>
          <w:lang w:val="en-GB"/>
        </w:rPr>
        <w:drawing>
          <wp:inline distT="0" distB="0" distL="0" distR="0" wp14:anchorId="69446B23" wp14:editId="3F89B499">
            <wp:extent cx="6645910" cy="2068195"/>
            <wp:effectExtent l="0" t="0" r="2540" b="8255"/>
            <wp:docPr id="750070381" name="Picture 750070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1"/>
                    <a:stretch>
                      <a:fillRect/>
                    </a:stretch>
                  </pic:blipFill>
                  <pic:spPr>
                    <a:xfrm>
                      <a:off x="0" y="0"/>
                      <a:ext cx="6645910" cy="2068195"/>
                    </a:xfrm>
                    <a:prstGeom prst="rect">
                      <a:avLst/>
                    </a:prstGeom>
                  </pic:spPr>
                </pic:pic>
              </a:graphicData>
            </a:graphic>
          </wp:inline>
        </w:drawing>
      </w:r>
    </w:p>
    <w:p w14:paraId="725EBA7F" w14:textId="50CDE857" w:rsidR="007D48E7" w:rsidRDefault="007D48E7" w:rsidP="00365F19">
      <w:pPr>
        <w:pStyle w:val="Heading5"/>
      </w:pPr>
      <w:r>
        <w:lastRenderedPageBreak/>
        <w:t>Storage DRS</w:t>
      </w:r>
    </w:p>
    <w:p w14:paraId="1AC8AC95" w14:textId="6F9E81D3" w:rsidR="006F7767" w:rsidRPr="006F7767" w:rsidRDefault="006F7767" w:rsidP="006F7767">
      <w:pPr>
        <w:rPr>
          <w:lang w:val="en-GB"/>
        </w:rPr>
      </w:pPr>
      <w:r>
        <w:rPr>
          <w:lang w:val="en-GB"/>
        </w:rPr>
        <w:t>vSphere Client also provides 10 metrics for storage DRS</w:t>
      </w:r>
      <w:r w:rsidR="00CC351A">
        <w:rPr>
          <w:lang w:val="en-GB"/>
        </w:rPr>
        <w:t xml:space="preserve">. </w:t>
      </w:r>
    </w:p>
    <w:p w14:paraId="372596E5" w14:textId="49CD6146" w:rsidR="007D48E7" w:rsidRDefault="007D48E7" w:rsidP="00365F19">
      <w:pPr>
        <w:rPr>
          <w:lang w:val="en-GB"/>
        </w:rPr>
      </w:pPr>
      <w:r w:rsidRPr="00A54162">
        <w:rPr>
          <w:noProof/>
          <w:lang w:val="en-GB"/>
        </w:rPr>
        <w:drawing>
          <wp:inline distT="0" distB="0" distL="0" distR="0" wp14:anchorId="7063DBF2" wp14:editId="41F9B598">
            <wp:extent cx="6645910" cy="2640330"/>
            <wp:effectExtent l="0" t="0" r="2540" b="7620"/>
            <wp:docPr id="534447537" name="Picture 53444753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37" name="Picture 534447537" descr="Table&#10;&#10;Description automatically generated"/>
                    <pic:cNvPicPr/>
                  </pic:nvPicPr>
                  <pic:blipFill>
                    <a:blip r:embed="rId792"/>
                    <a:stretch>
                      <a:fillRect/>
                    </a:stretch>
                  </pic:blipFill>
                  <pic:spPr>
                    <a:xfrm>
                      <a:off x="0" y="0"/>
                      <a:ext cx="6645910" cy="2640330"/>
                    </a:xfrm>
                    <a:prstGeom prst="rect">
                      <a:avLst/>
                    </a:prstGeom>
                  </pic:spPr>
                </pic:pic>
              </a:graphicData>
            </a:graphic>
          </wp:inline>
        </w:drawing>
      </w:r>
    </w:p>
    <w:p w14:paraId="67198AD3" w14:textId="77777777" w:rsidR="00E318FA" w:rsidRDefault="00E318FA" w:rsidP="00365F19">
      <w:pPr>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890"/>
        <w:gridCol w:w="7586"/>
      </w:tblGrid>
      <w:tr w:rsidR="00DD1C23" w14:paraId="6CA1DEF9" w14:textId="77777777" w:rsidTr="00281329">
        <w:tc>
          <w:tcPr>
            <w:tcW w:w="1890" w:type="dxa"/>
            <w:shd w:val="clear" w:color="auto" w:fill="F2F2F2" w:themeFill="background1" w:themeFillShade="F2"/>
          </w:tcPr>
          <w:p w14:paraId="1A35B4D7" w14:textId="0F7CAF60" w:rsidR="00DD1C23" w:rsidRDefault="00DD1C23" w:rsidP="00281329">
            <w:pPr>
              <w:pStyle w:val="Tablecontent"/>
            </w:pPr>
            <w:r>
              <w:t>Read latency</w:t>
            </w:r>
          </w:p>
        </w:tc>
        <w:tc>
          <w:tcPr>
            <w:tcW w:w="7586" w:type="dxa"/>
            <w:tcBorders>
              <w:right w:val="nil"/>
            </w:tcBorders>
          </w:tcPr>
          <w:p w14:paraId="4857D562" w14:textId="1ED26FEA" w:rsidR="00DD1C23" w:rsidRPr="00D0221F" w:rsidRDefault="00DD1C23" w:rsidP="00281329">
            <w:pPr>
              <w:pStyle w:val="Tablecontent"/>
            </w:pPr>
            <w:r>
              <w:t>Name: Datastore normalized read latency</w:t>
            </w:r>
          </w:p>
        </w:tc>
      </w:tr>
      <w:tr w:rsidR="00DD1C23" w14:paraId="31833894" w14:textId="77777777" w:rsidTr="00281329">
        <w:tc>
          <w:tcPr>
            <w:tcW w:w="1890" w:type="dxa"/>
            <w:shd w:val="clear" w:color="auto" w:fill="F2F2F2" w:themeFill="background1" w:themeFillShade="F2"/>
          </w:tcPr>
          <w:p w14:paraId="27CB07B2" w14:textId="7EDACC0B" w:rsidR="00DD1C23" w:rsidRDefault="00DD1C23" w:rsidP="00281329">
            <w:pPr>
              <w:pStyle w:val="Tablecontent"/>
            </w:pPr>
            <w:r>
              <w:t>Write latency</w:t>
            </w:r>
          </w:p>
        </w:tc>
        <w:tc>
          <w:tcPr>
            <w:tcW w:w="7586" w:type="dxa"/>
            <w:tcBorders>
              <w:right w:val="nil"/>
            </w:tcBorders>
          </w:tcPr>
          <w:p w14:paraId="32F30E95" w14:textId="6DB53641" w:rsidR="00DD1C23" w:rsidRDefault="00DD1C23" w:rsidP="00281329">
            <w:pPr>
              <w:pStyle w:val="Tablecontent"/>
            </w:pPr>
            <w:r>
              <w:t>Name: Datastore normalized write latency</w:t>
            </w:r>
          </w:p>
        </w:tc>
      </w:tr>
      <w:tr w:rsidR="00DD1C23" w14:paraId="6D5DC065" w14:textId="77777777" w:rsidTr="00281329">
        <w:tc>
          <w:tcPr>
            <w:tcW w:w="1890" w:type="dxa"/>
            <w:shd w:val="clear" w:color="auto" w:fill="F2F2F2" w:themeFill="background1" w:themeFillShade="F2"/>
          </w:tcPr>
          <w:p w14:paraId="2F92222C" w14:textId="5E53CF40" w:rsidR="00DD1C23" w:rsidRDefault="00DD1C23" w:rsidP="00281329">
            <w:pPr>
              <w:pStyle w:val="Tablecontent"/>
            </w:pPr>
            <w:r>
              <w:t>Read IOPS</w:t>
            </w:r>
          </w:p>
        </w:tc>
        <w:tc>
          <w:tcPr>
            <w:tcW w:w="7586" w:type="dxa"/>
            <w:tcBorders>
              <w:right w:val="nil"/>
            </w:tcBorders>
          </w:tcPr>
          <w:p w14:paraId="1435C1F0" w14:textId="6883647C" w:rsidR="00DD1C23" w:rsidRDefault="00DD1C23" w:rsidP="00281329">
            <w:pPr>
              <w:pStyle w:val="Tablecontent"/>
            </w:pPr>
            <w:r>
              <w:t>Name: Datastore read I/O rate</w:t>
            </w:r>
          </w:p>
        </w:tc>
      </w:tr>
      <w:tr w:rsidR="00DD1C23" w14:paraId="2BC439AB" w14:textId="77777777" w:rsidTr="00281329">
        <w:tc>
          <w:tcPr>
            <w:tcW w:w="1890" w:type="dxa"/>
            <w:shd w:val="clear" w:color="auto" w:fill="F2F2F2" w:themeFill="background1" w:themeFillShade="F2"/>
          </w:tcPr>
          <w:p w14:paraId="3586B33A" w14:textId="4A619FDD" w:rsidR="00DD1C23" w:rsidRDefault="00DD1C23" w:rsidP="00281329">
            <w:pPr>
              <w:pStyle w:val="Tablecontent"/>
            </w:pPr>
            <w:r>
              <w:t>Write IOPS</w:t>
            </w:r>
          </w:p>
        </w:tc>
        <w:tc>
          <w:tcPr>
            <w:tcW w:w="7586" w:type="dxa"/>
            <w:tcBorders>
              <w:right w:val="nil"/>
            </w:tcBorders>
          </w:tcPr>
          <w:p w14:paraId="0B969AFB" w14:textId="025AF406" w:rsidR="00DD1C23" w:rsidRDefault="00DD1C23" w:rsidP="00281329">
            <w:pPr>
              <w:pStyle w:val="Tablecontent"/>
            </w:pPr>
            <w:r>
              <w:t>Name: Datastore write I/O rate</w:t>
            </w:r>
          </w:p>
        </w:tc>
      </w:tr>
      <w:tr w:rsidR="00DD1C23" w14:paraId="03DB2F2B" w14:textId="77777777" w:rsidTr="00281329">
        <w:tc>
          <w:tcPr>
            <w:tcW w:w="1890" w:type="dxa"/>
            <w:shd w:val="clear" w:color="auto" w:fill="F2F2F2" w:themeFill="background1" w:themeFillShade="F2"/>
          </w:tcPr>
          <w:p w14:paraId="230A2346" w14:textId="0A9DBB75" w:rsidR="00DD1C23" w:rsidRDefault="00E318FA" w:rsidP="00281329">
            <w:pPr>
              <w:pStyle w:val="Tablecontent"/>
            </w:pPr>
            <w:r>
              <w:t>Read OIO</w:t>
            </w:r>
          </w:p>
        </w:tc>
        <w:tc>
          <w:tcPr>
            <w:tcW w:w="7586" w:type="dxa"/>
            <w:tcBorders>
              <w:right w:val="nil"/>
            </w:tcBorders>
          </w:tcPr>
          <w:p w14:paraId="56F804C0" w14:textId="7BFA0154" w:rsidR="00DD1C23" w:rsidRDefault="00DD1C23" w:rsidP="00281329">
            <w:pPr>
              <w:pStyle w:val="Tablecontent"/>
            </w:pPr>
            <w:r>
              <w:t>Name: Datastore</w:t>
            </w:r>
            <w:r w:rsidR="00E318FA">
              <w:t xml:space="preserve"> outstanding read requests</w:t>
            </w:r>
          </w:p>
        </w:tc>
      </w:tr>
      <w:tr w:rsidR="00DD1C23" w14:paraId="1C7E68CB" w14:textId="77777777" w:rsidTr="00281329">
        <w:tc>
          <w:tcPr>
            <w:tcW w:w="1890" w:type="dxa"/>
            <w:shd w:val="clear" w:color="auto" w:fill="F2F2F2" w:themeFill="background1" w:themeFillShade="F2"/>
          </w:tcPr>
          <w:p w14:paraId="4527DA55" w14:textId="7D416332" w:rsidR="00DD1C23" w:rsidRDefault="00E318FA" w:rsidP="00281329">
            <w:pPr>
              <w:pStyle w:val="Tablecontent"/>
            </w:pPr>
            <w:r>
              <w:t>Write OIO</w:t>
            </w:r>
          </w:p>
        </w:tc>
        <w:tc>
          <w:tcPr>
            <w:tcW w:w="7586" w:type="dxa"/>
            <w:tcBorders>
              <w:right w:val="nil"/>
            </w:tcBorders>
          </w:tcPr>
          <w:p w14:paraId="24EFBEFB" w14:textId="33A0B0F9" w:rsidR="00DD1C23" w:rsidRDefault="00DD1C23" w:rsidP="00281329">
            <w:pPr>
              <w:pStyle w:val="Tablecontent"/>
            </w:pPr>
            <w:r>
              <w:t>Name: Datastore</w:t>
            </w:r>
            <w:r w:rsidR="00E318FA">
              <w:t xml:space="preserve"> outstanding write requests</w:t>
            </w:r>
          </w:p>
        </w:tc>
      </w:tr>
    </w:tbl>
    <w:p w14:paraId="26E69629" w14:textId="73CB9AAE" w:rsidR="00DD1C23" w:rsidRDefault="00DD1C23" w:rsidP="00365F19">
      <w:pPr>
        <w:rPr>
          <w:lang w:val="en-GB"/>
        </w:rPr>
      </w:pPr>
      <w:r>
        <w:rPr>
          <w:lang w:val="en-GB"/>
        </w:rPr>
        <w:t>There is no throughput metric. Notice none of the units are in per-second. They are all count of something (unitless).</w:t>
      </w:r>
    </w:p>
    <w:p w14:paraId="64F9F574" w14:textId="46FC0E74" w:rsidR="00E318FA" w:rsidRDefault="00E318FA" w:rsidP="00365F19">
      <w:pPr>
        <w:rPr>
          <w:lang w:val="en-GB"/>
        </w:rPr>
      </w:pPr>
      <w:r>
        <w:rPr>
          <w:lang w:val="en-GB"/>
        </w:rPr>
        <w:t>You also get total bytes read and written. If you divide this by the collection period, you get the throughput metric.</w:t>
      </w:r>
    </w:p>
    <w:p w14:paraId="4EC34A69" w14:textId="7C52ECD5" w:rsidR="00E318FA" w:rsidRDefault="00E318FA" w:rsidP="00365F19">
      <w:pPr>
        <w:rPr>
          <w:lang w:val="en-GB"/>
        </w:rPr>
      </w:pPr>
      <w:r>
        <w:rPr>
          <w:lang w:val="en-GB"/>
        </w:rPr>
        <w:t xml:space="preserve">I’m not sure what </w:t>
      </w:r>
      <w:r w:rsidRPr="00E318FA">
        <w:rPr>
          <w:color w:val="00B0F0"/>
          <w:lang w:val="en-GB"/>
        </w:rPr>
        <w:t>workload metrics</w:t>
      </w:r>
      <w:r>
        <w:rPr>
          <w:lang w:val="en-GB"/>
        </w:rPr>
        <w:t xml:space="preserve"> are. Is it in percentage? If yes, what is the 100% and how is it determined as that depends on many factors.</w:t>
      </w:r>
    </w:p>
    <w:p w14:paraId="381A934D" w14:textId="2C0F4C8E" w:rsidR="007D48E7" w:rsidRDefault="007D48E7" w:rsidP="00365F19">
      <w:pPr>
        <w:pStyle w:val="Heading5"/>
      </w:pPr>
      <w:r>
        <w:t>Storage IO Control</w:t>
      </w:r>
    </w:p>
    <w:p w14:paraId="6E91CF14" w14:textId="22B5A6FF" w:rsidR="007D48E7" w:rsidRDefault="007D48E7" w:rsidP="00365F19">
      <w:pPr>
        <w:rPr>
          <w:lang w:val="en-GB"/>
        </w:rPr>
      </w:pPr>
      <w:r w:rsidRPr="00387700">
        <w:rPr>
          <w:noProof/>
          <w:lang w:val="en-GB"/>
        </w:rPr>
        <w:drawing>
          <wp:inline distT="0" distB="0" distL="0" distR="0" wp14:anchorId="23B86A9A" wp14:editId="74DE5C60">
            <wp:extent cx="6645910" cy="978535"/>
            <wp:effectExtent l="0" t="0" r="2540" b="0"/>
            <wp:docPr id="534447538" name="Picture 53444753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38" name="Picture 534447538" descr="Table&#10;&#10;Description automatically generated"/>
                    <pic:cNvPicPr/>
                  </pic:nvPicPr>
                  <pic:blipFill>
                    <a:blip r:embed="rId793"/>
                    <a:stretch>
                      <a:fillRect/>
                    </a:stretch>
                  </pic:blipFill>
                  <pic:spPr>
                    <a:xfrm>
                      <a:off x="0" y="0"/>
                      <a:ext cx="6645910" cy="978535"/>
                    </a:xfrm>
                    <a:prstGeom prst="rect">
                      <a:avLst/>
                    </a:prstGeom>
                  </pic:spPr>
                </pic:pic>
              </a:graphicData>
            </a:graphic>
          </wp:inline>
        </w:drawing>
      </w:r>
    </w:p>
    <w:p w14:paraId="65190411" w14:textId="43E95F09" w:rsidR="00000019" w:rsidRDefault="00000019" w:rsidP="00365F19">
      <w:pPr>
        <w:rPr>
          <w:lang w:val="en-GB"/>
        </w:rPr>
      </w:pPr>
      <w:r>
        <w:rPr>
          <w:lang w:val="en-GB"/>
        </w:rPr>
        <w:t>I profiled 47 ESXi and found they consistently doing ~18 IOPS when measured at 5 minute interval.</w:t>
      </w:r>
    </w:p>
    <w:p w14:paraId="6AEFB608" w14:textId="4CE44CD4" w:rsidR="00000019" w:rsidRDefault="00000019" w:rsidP="00365F19">
      <w:pPr>
        <w:rPr>
          <w:lang w:val="en-GB"/>
        </w:rPr>
      </w:pPr>
      <w:r>
        <w:rPr>
          <w:lang w:val="en-GB"/>
        </w:rPr>
        <w:t xml:space="preserve">Take note the value for latency in wrongly shown as millisecond. </w:t>
      </w:r>
    </w:p>
    <w:bookmarkEnd w:id="128"/>
    <w:p w14:paraId="245D86DA" w14:textId="77C45C07" w:rsidR="007D48E7" w:rsidRDefault="007D48E7" w:rsidP="007D48E7">
      <w:pPr>
        <w:pStyle w:val="Heading3"/>
      </w:pPr>
      <w:r>
        <w:lastRenderedPageBreak/>
        <w:t>Network</w:t>
      </w:r>
    </w:p>
    <w:p w14:paraId="402486C0" w14:textId="2B6710B3" w:rsidR="001F6437" w:rsidRDefault="007D48E7" w:rsidP="007D48E7">
      <w:pPr>
        <w:rPr>
          <w:lang w:val="en-GB"/>
        </w:rPr>
      </w:pPr>
      <w:r>
        <w:rPr>
          <w:lang w:val="en-GB"/>
        </w:rPr>
        <w:t xml:space="preserve">Just like the case for CPU, memory and disk, there are also 2 layers of networking. </w:t>
      </w:r>
      <w:r w:rsidR="001F6437">
        <w:rPr>
          <w:lang w:val="en-GB"/>
        </w:rPr>
        <w:t xml:space="preserve">The virtual network does not have the limit that physical network does, if the traffic remains in the box. This makes it harder to use this metric as the 100% is not statically defined. So instead of just monitoring the throughput metric, you should also check the packet per second metric. </w:t>
      </w:r>
    </w:p>
    <w:p w14:paraId="330B2E3D" w14:textId="3CC08113" w:rsidR="007D48E7" w:rsidRPr="00AF3A27" w:rsidRDefault="007D48E7" w:rsidP="007D48E7">
      <w:pPr>
        <w:rPr>
          <w:lang w:val="en-GB"/>
        </w:rPr>
      </w:pPr>
      <w:r>
        <w:rPr>
          <w:lang w:val="en-GB"/>
        </w:rPr>
        <w:t xml:space="preserve">vSphere Client shows the 2 layers side by side (personally I prefer up and down, with the physical layer placed below). </w:t>
      </w:r>
    </w:p>
    <w:p w14:paraId="4EF9BA38" w14:textId="77777777" w:rsidR="007D48E7" w:rsidRDefault="007D48E7" w:rsidP="007D48E7">
      <w:pPr>
        <w:rPr>
          <w:lang w:val="en-GB"/>
        </w:rPr>
      </w:pPr>
      <w:r w:rsidRPr="00DC1304">
        <w:rPr>
          <w:noProof/>
          <w:lang w:val="en-GB"/>
        </w:rPr>
        <w:drawing>
          <wp:inline distT="0" distB="0" distL="0" distR="0" wp14:anchorId="63B2CF3E" wp14:editId="5DC572A3">
            <wp:extent cx="6645910" cy="3551555"/>
            <wp:effectExtent l="0" t="0" r="2540" b="0"/>
            <wp:docPr id="910169574" name="Picture 91016957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74" name="Picture 910169574" descr="Graphical user interface&#10;&#10;Description automatically generated"/>
                    <pic:cNvPicPr/>
                  </pic:nvPicPr>
                  <pic:blipFill>
                    <a:blip r:embed="rId794"/>
                    <a:stretch>
                      <a:fillRect/>
                    </a:stretch>
                  </pic:blipFill>
                  <pic:spPr>
                    <a:xfrm>
                      <a:off x="0" y="0"/>
                      <a:ext cx="6645910" cy="3551555"/>
                    </a:xfrm>
                    <a:prstGeom prst="rect">
                      <a:avLst/>
                    </a:prstGeom>
                  </pic:spPr>
                </pic:pic>
              </a:graphicData>
            </a:graphic>
          </wp:inline>
        </w:drawing>
      </w:r>
    </w:p>
    <w:p w14:paraId="5D69CAF0" w14:textId="77777777" w:rsidR="007D48E7" w:rsidRDefault="007D48E7" w:rsidP="007D48E7">
      <w:pPr>
        <w:rPr>
          <w:lang w:val="en-GB"/>
        </w:rPr>
      </w:pPr>
      <w:r>
        <w:rPr>
          <w:lang w:val="en-GB"/>
        </w:rPr>
        <w:t>The 2 layers are the physical network and the virtual network:</w:t>
      </w:r>
    </w:p>
    <w:p w14:paraId="3E9B35CD" w14:textId="77777777" w:rsidR="007D48E7" w:rsidRDefault="007D48E7" w:rsidP="007D48E7">
      <w:pPr>
        <w:pStyle w:val="Bullet"/>
        <w:rPr>
          <w:lang w:val="en-GB"/>
        </w:rPr>
      </w:pPr>
      <w:r>
        <w:rPr>
          <w:lang w:val="en-GB"/>
        </w:rPr>
        <w:t xml:space="preserve">Virtual is the port groups. </w:t>
      </w:r>
      <w:r>
        <w:rPr>
          <w:lang w:val="en-GB"/>
        </w:rPr>
        <w:br/>
        <w:t xml:space="preserve">There are 2 types: VMkernel and VM. </w:t>
      </w:r>
      <w:r>
        <w:rPr>
          <w:lang w:val="en-GB"/>
        </w:rPr>
        <w:br/>
        <w:t>They do not mix, for security reason.</w:t>
      </w:r>
      <w:r>
        <w:rPr>
          <w:lang w:val="en-GB"/>
        </w:rPr>
        <w:br/>
        <w:t>The VMkernel port group runs specific traffic, such as vMotion and vSAN.</w:t>
      </w:r>
      <w:r>
        <w:rPr>
          <w:lang w:val="en-GB"/>
        </w:rPr>
        <w:br/>
        <w:t xml:space="preserve">The VM port group runs VM. </w:t>
      </w:r>
    </w:p>
    <w:p w14:paraId="636BC06E" w14:textId="77777777" w:rsidR="007D48E7" w:rsidRPr="00AF3A27" w:rsidRDefault="007D48E7" w:rsidP="007D48E7">
      <w:pPr>
        <w:pStyle w:val="Bullet"/>
        <w:rPr>
          <w:lang w:val="en-GB"/>
        </w:rPr>
      </w:pPr>
      <w:r w:rsidRPr="00AF3A27">
        <w:rPr>
          <w:lang w:val="en-GB"/>
        </w:rPr>
        <w:t xml:space="preserve">Physical is the physical network card, although they are called vmnic. Metrics at this level do not have per-VM breakdown, or per VMkernel interface breakdown. </w:t>
      </w:r>
    </w:p>
    <w:p w14:paraId="37C21653" w14:textId="77777777" w:rsidR="007D48E7" w:rsidRDefault="007D48E7" w:rsidP="007D48E7">
      <w:pPr>
        <w:rPr>
          <w:lang w:val="en-GB"/>
        </w:rPr>
      </w:pPr>
      <w:r>
        <w:rPr>
          <w:lang w:val="en-GB"/>
        </w:rPr>
        <w:t>In vSphere Client, you can’t see the virtual network traffic. The following shows that you can only see the physical network card.</w:t>
      </w:r>
    </w:p>
    <w:p w14:paraId="2BDF4A3E" w14:textId="77777777" w:rsidR="007D48E7" w:rsidRDefault="007D48E7" w:rsidP="007D48E7">
      <w:pPr>
        <w:jc w:val="center"/>
        <w:rPr>
          <w:lang w:val="en-GB"/>
        </w:rPr>
      </w:pPr>
      <w:r w:rsidRPr="002F4709">
        <w:rPr>
          <w:noProof/>
          <w:lang w:val="en-GB"/>
        </w:rPr>
        <w:lastRenderedPageBreak/>
        <w:drawing>
          <wp:inline distT="0" distB="0" distL="0" distR="0" wp14:anchorId="7ACBAD61" wp14:editId="72C75E18">
            <wp:extent cx="4240800" cy="1846800"/>
            <wp:effectExtent l="0" t="0" r="7620" b="1270"/>
            <wp:docPr id="1293284803" name="Picture 1293284803"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03" name="Picture 1293284803" descr="Table&#10;&#10;Description automatically generated with low confidence"/>
                    <pic:cNvPicPr/>
                  </pic:nvPicPr>
                  <pic:blipFill>
                    <a:blip r:embed="rId795"/>
                    <a:stretch>
                      <a:fillRect/>
                    </a:stretch>
                  </pic:blipFill>
                  <pic:spPr>
                    <a:xfrm>
                      <a:off x="0" y="0"/>
                      <a:ext cx="4240800" cy="1846800"/>
                    </a:xfrm>
                    <a:prstGeom prst="rect">
                      <a:avLst/>
                    </a:prstGeom>
                  </pic:spPr>
                </pic:pic>
              </a:graphicData>
            </a:graphic>
          </wp:inline>
        </w:drawing>
      </w:r>
    </w:p>
    <w:p w14:paraId="302FE911" w14:textId="77777777" w:rsidR="007D48E7" w:rsidRDefault="007D48E7" w:rsidP="007D48E7">
      <w:pPr>
        <w:rPr>
          <w:lang w:val="en-GB"/>
        </w:rPr>
      </w:pPr>
      <w:r>
        <w:rPr>
          <w:lang w:val="en-GB"/>
        </w:rPr>
        <w:t xml:space="preserve">The metrics are provided at both physical NIC card and ESXi level. The counter at host level is basically the sum of all the vmnic instances. There could be small variance, which should be negligible. </w:t>
      </w:r>
    </w:p>
    <w:p w14:paraId="390D0206" w14:textId="77777777" w:rsidR="007D48E7" w:rsidRDefault="007D48E7" w:rsidP="007D48E7">
      <w:pPr>
        <w:rPr>
          <w:lang w:val="en-GB"/>
        </w:rPr>
      </w:pPr>
      <w:r w:rsidRPr="0068461A">
        <w:rPr>
          <w:noProof/>
          <w:lang w:val="en-GB"/>
        </w:rPr>
        <w:drawing>
          <wp:inline distT="0" distB="0" distL="0" distR="0" wp14:anchorId="6571A24C" wp14:editId="536C26E2">
            <wp:extent cx="6645910" cy="737870"/>
            <wp:effectExtent l="0" t="0" r="2540" b="5080"/>
            <wp:docPr id="918289602" name="Picture 918289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6"/>
                    <a:stretch>
                      <a:fillRect/>
                    </a:stretch>
                  </pic:blipFill>
                  <pic:spPr>
                    <a:xfrm>
                      <a:off x="0" y="0"/>
                      <a:ext cx="6645910" cy="737870"/>
                    </a:xfrm>
                    <a:prstGeom prst="rect">
                      <a:avLst/>
                    </a:prstGeom>
                  </pic:spPr>
                </pic:pic>
              </a:graphicData>
            </a:graphic>
          </wp:inline>
        </w:drawing>
      </w:r>
    </w:p>
    <w:p w14:paraId="710889CF" w14:textId="779E4903" w:rsidR="00F07527" w:rsidRPr="00425EBF" w:rsidRDefault="00425EBF" w:rsidP="00425EBF">
      <w:pPr>
        <w:rPr>
          <w:color w:val="FF0000"/>
        </w:rPr>
      </w:pPr>
      <w:r w:rsidRPr="00425EBF">
        <w:rPr>
          <w:color w:val="FF0000"/>
        </w:rPr>
        <w:t>[e1 Aria Operations ?????</w:t>
      </w:r>
    </w:p>
    <w:p w14:paraId="431379A5" w14:textId="41BFAACE" w:rsidR="007D48E7" w:rsidRDefault="007D48E7" w:rsidP="007D48E7">
      <w:pPr>
        <w:pStyle w:val="Heading4"/>
      </w:pPr>
      <w:r>
        <w:t>Bad Packets</w:t>
      </w:r>
    </w:p>
    <w:p w14:paraId="5D2E8422" w14:textId="77777777" w:rsidR="007D48E7" w:rsidRDefault="007D48E7" w:rsidP="007D48E7">
      <w:pPr>
        <w:rPr>
          <w:lang w:val="en-GB"/>
        </w:rPr>
      </w:pPr>
      <w:r>
        <w:rPr>
          <w:lang w:val="en-GB"/>
        </w:rPr>
        <w:t xml:space="preserve">As usual, the first thing to check if there is anything wrong. Compare with VM metrics, </w:t>
      </w:r>
      <w:r w:rsidRPr="00F463AB">
        <w:rPr>
          <w:lang w:val="en-GB"/>
        </w:rPr>
        <w:t xml:space="preserve">vCenter </w:t>
      </w:r>
      <w:r>
        <w:rPr>
          <w:lang w:val="en-GB"/>
        </w:rPr>
        <w:t xml:space="preserve">UI </w:t>
      </w:r>
      <w:r w:rsidRPr="00F463AB">
        <w:rPr>
          <w:lang w:val="en-GB"/>
        </w:rPr>
        <w:t xml:space="preserve">provides three additional </w:t>
      </w:r>
      <w:r>
        <w:rPr>
          <w:lang w:val="en-GB"/>
        </w:rPr>
        <w:t>metrics</w:t>
      </w:r>
      <w:r w:rsidRPr="00F463AB">
        <w:rPr>
          <w:lang w:val="en-GB"/>
        </w:rPr>
        <w:t xml:space="preserve"> </w:t>
      </w:r>
      <w:r>
        <w:rPr>
          <w:lang w:val="en-GB"/>
        </w:rPr>
        <w:t>for ESXi</w:t>
      </w:r>
      <w:r w:rsidRPr="00F463AB">
        <w:rPr>
          <w:lang w:val="en-GB"/>
        </w:rPr>
        <w:t>. It can track Packet receive errors, Packet transmit errors, and Unknown protocol frames</w:t>
      </w:r>
      <w:r>
        <w:rPr>
          <w:lang w:val="en-GB"/>
        </w:rPr>
        <w:t>.</w:t>
      </w:r>
    </w:p>
    <w:p w14:paraId="5C8FFA58" w14:textId="77777777" w:rsidR="007D48E7" w:rsidRDefault="007D48E7" w:rsidP="007D48E7">
      <w:pPr>
        <w:rPr>
          <w:lang w:val="en-GB"/>
        </w:rPr>
      </w:pPr>
      <w:r>
        <w:rPr>
          <w:noProof/>
          <w:lang w:val="en-GB"/>
        </w:rPr>
        <w:drawing>
          <wp:inline distT="0" distB="0" distL="0" distR="0" wp14:anchorId="771C8DCE" wp14:editId="1D7912A5">
            <wp:extent cx="6641465" cy="897890"/>
            <wp:effectExtent l="0" t="0" r="6985" b="0"/>
            <wp:docPr id="1859674546" name="Picture 1859674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7">
                      <a:extLst>
                        <a:ext uri="{28A0092B-C50C-407E-A947-70E740481C1C}">
                          <a14:useLocalDpi xmlns:a14="http://schemas.microsoft.com/office/drawing/2010/main" val="0"/>
                        </a:ext>
                      </a:extLst>
                    </a:blip>
                    <a:srcRect/>
                    <a:stretch>
                      <a:fillRect/>
                    </a:stretch>
                  </pic:blipFill>
                  <pic:spPr bwMode="auto">
                    <a:xfrm>
                      <a:off x="0" y="0"/>
                      <a:ext cx="6641465" cy="897890"/>
                    </a:xfrm>
                    <a:prstGeom prst="rect">
                      <a:avLst/>
                    </a:prstGeom>
                    <a:noFill/>
                    <a:ln>
                      <a:noFill/>
                    </a:ln>
                  </pic:spPr>
                </pic:pic>
              </a:graphicData>
            </a:graphic>
          </wp:inline>
        </w:drawing>
      </w:r>
      <w:r>
        <w:rPr>
          <w:lang w:val="en-GB"/>
        </w:rPr>
        <w:t xml:space="preserve"> </w:t>
      </w:r>
    </w:p>
    <w:p w14:paraId="1A83F4B0" w14:textId="77777777" w:rsidR="007D48E7" w:rsidRDefault="007D48E7" w:rsidP="007D48E7">
      <w:pPr>
        <w:rPr>
          <w:lang w:val="en-GB"/>
        </w:rPr>
      </w:pPr>
      <w:r w:rsidRPr="00F463AB">
        <w:rPr>
          <w:lang w:val="en-GB"/>
        </w:rPr>
        <w:t>A packet is considered unknown if ESXi is unable to decode it and hence does not know what type of packet it is.</w:t>
      </w:r>
      <w:r>
        <w:rPr>
          <w:lang w:val="en-GB"/>
        </w:rPr>
        <w:t xml:space="preserve"> You need to enable this metric in vRealize Operations as it’s disabled by default.</w:t>
      </w:r>
    </w:p>
    <w:p w14:paraId="534EBAEF" w14:textId="77777777" w:rsidR="007D48E7" w:rsidRDefault="007D48E7" w:rsidP="007D48E7">
      <w:pPr>
        <w:rPr>
          <w:lang w:val="en-GB"/>
        </w:rPr>
      </w:pPr>
      <w:r>
        <w:rPr>
          <w:lang w:val="en-GB"/>
        </w:rPr>
        <w:t>Expect these error packets, unknown packets and dropped packets to be 0 at all times. The following shows from a single ESX:</w:t>
      </w:r>
    </w:p>
    <w:p w14:paraId="0E66491B" w14:textId="77777777" w:rsidR="007D48E7" w:rsidRDefault="007D48E7" w:rsidP="007D48E7">
      <w:pPr>
        <w:rPr>
          <w:lang w:val="en-GB"/>
        </w:rPr>
      </w:pPr>
      <w:r w:rsidRPr="00425C4B">
        <w:rPr>
          <w:noProof/>
          <w:lang w:val="en-GB"/>
        </w:rPr>
        <w:drawing>
          <wp:inline distT="0" distB="0" distL="0" distR="0" wp14:anchorId="48CD12B1" wp14:editId="7E52E677">
            <wp:extent cx="6645910" cy="1059815"/>
            <wp:effectExtent l="0" t="0" r="2540" b="6985"/>
            <wp:docPr id="918289603" name="Picture 918289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8"/>
                    <a:stretch>
                      <a:fillRect/>
                    </a:stretch>
                  </pic:blipFill>
                  <pic:spPr>
                    <a:xfrm>
                      <a:off x="0" y="0"/>
                      <a:ext cx="6645910" cy="1059815"/>
                    </a:xfrm>
                    <a:prstGeom prst="rect">
                      <a:avLst/>
                    </a:prstGeom>
                  </pic:spPr>
                </pic:pic>
              </a:graphicData>
            </a:graphic>
          </wp:inline>
        </w:drawing>
      </w:r>
    </w:p>
    <w:p w14:paraId="050F41F7" w14:textId="77777777" w:rsidR="007D48E7" w:rsidRDefault="007D48E7" w:rsidP="007D48E7">
      <w:pPr>
        <w:rPr>
          <w:lang w:val="en-GB"/>
        </w:rPr>
      </w:pPr>
      <w:r>
        <w:rPr>
          <w:lang w:val="en-GB"/>
        </w:rPr>
        <w:t>To see from all your ESXi, use the view “</w:t>
      </w:r>
      <w:r w:rsidRPr="005F05EA">
        <w:rPr>
          <w:color w:val="00B0F0"/>
          <w:lang w:val="en-GB"/>
        </w:rPr>
        <w:t>vSphere \ ESXi Bad Network Packets</w:t>
      </w:r>
      <w:r>
        <w:rPr>
          <w:lang w:val="en-GB"/>
        </w:rPr>
        <w:t xml:space="preserve">”. </w:t>
      </w:r>
    </w:p>
    <w:p w14:paraId="35625A34" w14:textId="77777777" w:rsidR="007D48E7" w:rsidRDefault="007D48E7" w:rsidP="007D48E7">
      <w:pPr>
        <w:rPr>
          <w:lang w:val="en-GB"/>
        </w:rPr>
      </w:pPr>
      <w:r w:rsidRPr="00B604A4">
        <w:rPr>
          <w:noProof/>
          <w:lang w:val="en-GB"/>
        </w:rPr>
        <w:lastRenderedPageBreak/>
        <w:drawing>
          <wp:inline distT="0" distB="0" distL="0" distR="0" wp14:anchorId="4D605F16" wp14:editId="052CB293">
            <wp:extent cx="6645910" cy="5375910"/>
            <wp:effectExtent l="0" t="0" r="2540" b="0"/>
            <wp:docPr id="1067" name="Picture 1067"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7" name="Picture 1067" descr="Graphical user interface, application, table, Excel&#10;&#10;Description automatically generated"/>
                    <pic:cNvPicPr/>
                  </pic:nvPicPr>
                  <pic:blipFill>
                    <a:blip r:embed="rId799"/>
                    <a:stretch>
                      <a:fillRect/>
                    </a:stretch>
                  </pic:blipFill>
                  <pic:spPr>
                    <a:xfrm>
                      <a:off x="0" y="0"/>
                      <a:ext cx="6645910" cy="5375910"/>
                    </a:xfrm>
                    <a:prstGeom prst="rect">
                      <a:avLst/>
                    </a:prstGeom>
                  </pic:spPr>
                </pic:pic>
              </a:graphicData>
            </a:graphic>
          </wp:inline>
        </w:drawing>
      </w:r>
    </w:p>
    <w:p w14:paraId="192B3C95" w14:textId="77777777" w:rsidR="007D48E7" w:rsidRDefault="007D48E7" w:rsidP="007D48E7">
      <w:pPr>
        <w:rPr>
          <w:lang w:val="en-GB"/>
        </w:rPr>
      </w:pPr>
      <w:r w:rsidRPr="006D70BF">
        <w:rPr>
          <w:lang w:val="en-GB"/>
        </w:rPr>
        <w:t>The hosts with error RX spans across different clusters, different hardware models and different ESXi build number. I can’t check if they belong to the same network</w:t>
      </w:r>
      <w:r>
        <w:rPr>
          <w:lang w:val="en-GB"/>
        </w:rPr>
        <w:t>.</w:t>
      </w:r>
    </w:p>
    <w:p w14:paraId="2ABFE2BE" w14:textId="77777777" w:rsidR="007D48E7" w:rsidRDefault="007D48E7" w:rsidP="007D48E7">
      <w:pPr>
        <w:rPr>
          <w:lang w:val="en-GB"/>
        </w:rPr>
      </w:pPr>
      <w:r>
        <w:rPr>
          <w:lang w:val="en-GB"/>
        </w:rPr>
        <w:t>If you see a value, drill down to see if there is any correlation with other types of packets. In the following example, I do not see any correlation</w:t>
      </w:r>
    </w:p>
    <w:p w14:paraId="1E6A58DC" w14:textId="77777777" w:rsidR="007D48E7" w:rsidRDefault="007D48E7" w:rsidP="007D48E7">
      <w:pPr>
        <w:rPr>
          <w:lang w:val="en-GB"/>
        </w:rPr>
      </w:pPr>
      <w:r w:rsidRPr="00C319F7">
        <w:rPr>
          <w:noProof/>
          <w:lang w:val="en-GB"/>
        </w:rPr>
        <w:lastRenderedPageBreak/>
        <w:drawing>
          <wp:inline distT="0" distB="0" distL="0" distR="0" wp14:anchorId="1ECB743E" wp14:editId="7E3722E5">
            <wp:extent cx="6645910" cy="3617595"/>
            <wp:effectExtent l="0" t="0" r="2540" b="1905"/>
            <wp:docPr id="1087" name="Picture 1087"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Picture 1087" descr="A picture containing graphical user interface&#10;&#10;Description automatically generated"/>
                    <pic:cNvPicPr/>
                  </pic:nvPicPr>
                  <pic:blipFill>
                    <a:blip r:embed="rId800"/>
                    <a:stretch>
                      <a:fillRect/>
                    </a:stretch>
                  </pic:blipFill>
                  <pic:spPr>
                    <a:xfrm>
                      <a:off x="0" y="0"/>
                      <a:ext cx="6645910" cy="3617595"/>
                    </a:xfrm>
                    <a:prstGeom prst="rect">
                      <a:avLst/>
                    </a:prstGeom>
                  </pic:spPr>
                </pic:pic>
              </a:graphicData>
            </a:graphic>
          </wp:inline>
        </w:drawing>
      </w:r>
    </w:p>
    <w:p w14:paraId="70DFAE7C" w14:textId="3DC9A78A" w:rsidR="007D48E7" w:rsidRDefault="007D48E7" w:rsidP="007D48E7">
      <w:pPr>
        <w:rPr>
          <w:lang w:val="en-GB"/>
        </w:rPr>
      </w:pPr>
      <w:r>
        <w:rPr>
          <w:lang w:val="en-GB"/>
        </w:rPr>
        <w:t xml:space="preserve">What I see though, is a lot of irregular collection. I marked with </w:t>
      </w:r>
      <w:r w:rsidR="00CF7D2C" w:rsidRPr="00CF7D2C">
        <w:rPr>
          <w:color w:val="FF0000"/>
          <w:lang w:val="en-GB"/>
        </w:rPr>
        <w:t>red</w:t>
      </w:r>
      <w:r>
        <w:rPr>
          <w:lang w:val="en-GB"/>
        </w:rPr>
        <w:t xml:space="preserve"> dots some of the data collection.</w:t>
      </w:r>
    </w:p>
    <w:p w14:paraId="5035BE96" w14:textId="77777777" w:rsidR="007D48E7" w:rsidRDefault="007D48E7" w:rsidP="007D48E7">
      <w:pPr>
        <w:rPr>
          <w:lang w:val="en-GB"/>
        </w:rPr>
      </w:pPr>
      <w:r w:rsidRPr="00015CD9">
        <w:rPr>
          <w:noProof/>
          <w:lang w:val="en-GB"/>
        </w:rPr>
        <w:drawing>
          <wp:inline distT="0" distB="0" distL="0" distR="0" wp14:anchorId="2442AA1F" wp14:editId="2C8535B7">
            <wp:extent cx="6645910" cy="1082040"/>
            <wp:effectExtent l="0" t="0" r="2540" b="3810"/>
            <wp:docPr id="1085195928" name="Picture 108519592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28" name="Picture 1085195928" descr="Chart, line chart&#10;&#10;Description automatically generated"/>
                    <pic:cNvPicPr/>
                  </pic:nvPicPr>
                  <pic:blipFill>
                    <a:blip r:embed="rId801"/>
                    <a:stretch>
                      <a:fillRect/>
                    </a:stretch>
                  </pic:blipFill>
                  <pic:spPr>
                    <a:xfrm>
                      <a:off x="0" y="0"/>
                      <a:ext cx="6645910" cy="1082040"/>
                    </a:xfrm>
                    <a:prstGeom prst="rect">
                      <a:avLst/>
                    </a:prstGeom>
                  </pic:spPr>
                </pic:pic>
              </a:graphicData>
            </a:graphic>
          </wp:inline>
        </w:drawing>
      </w:r>
    </w:p>
    <w:p w14:paraId="38DD5DEE" w14:textId="77777777" w:rsidR="007D48E7" w:rsidRDefault="007D48E7" w:rsidP="007D48E7">
      <w:pPr>
        <w:rPr>
          <w:lang w:val="en-GB"/>
        </w:rPr>
      </w:pPr>
      <w:r>
        <w:rPr>
          <w:lang w:val="en-GB"/>
        </w:rPr>
        <w:t>You can see they are irregular. Compare it with the Error Packet Transmit counter, which shows a regular collection.</w:t>
      </w:r>
    </w:p>
    <w:p w14:paraId="1F693A58" w14:textId="77777777" w:rsidR="007D48E7" w:rsidRDefault="007D48E7" w:rsidP="007D48E7">
      <w:pPr>
        <w:rPr>
          <w:lang w:val="en-GB"/>
        </w:rPr>
      </w:pPr>
      <w:r w:rsidRPr="00CF0A4E">
        <w:rPr>
          <w:noProof/>
          <w:lang w:val="en-GB"/>
        </w:rPr>
        <w:drawing>
          <wp:inline distT="0" distB="0" distL="0" distR="0" wp14:anchorId="0D6A67C7" wp14:editId="461BFCE8">
            <wp:extent cx="6645910" cy="777240"/>
            <wp:effectExtent l="0" t="0" r="2540" b="3810"/>
            <wp:docPr id="910169590" name="Picture 910169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2"/>
                    <a:stretch>
                      <a:fillRect/>
                    </a:stretch>
                  </pic:blipFill>
                  <pic:spPr>
                    <a:xfrm>
                      <a:off x="0" y="0"/>
                      <a:ext cx="6645910" cy="777240"/>
                    </a:xfrm>
                    <a:prstGeom prst="rect">
                      <a:avLst/>
                    </a:prstGeom>
                  </pic:spPr>
                </pic:pic>
              </a:graphicData>
            </a:graphic>
          </wp:inline>
        </w:drawing>
      </w:r>
    </w:p>
    <w:p w14:paraId="22F0155E" w14:textId="32288C1F" w:rsidR="007D48E7" w:rsidRDefault="007D48E7" w:rsidP="007D48E7">
      <w:pPr>
        <w:pStyle w:val="Heading4"/>
      </w:pPr>
      <w:r>
        <w:t>Dropped Packet</w:t>
      </w:r>
    </w:p>
    <w:p w14:paraId="6F7070FE" w14:textId="77777777" w:rsidR="007D48E7" w:rsidRDefault="007D48E7" w:rsidP="007D48E7">
      <w:pPr>
        <w:jc w:val="center"/>
        <w:rPr>
          <w:lang w:val="en-GB"/>
        </w:rPr>
      </w:pPr>
      <w:r>
        <w:rPr>
          <w:noProof/>
          <w:lang w:val="en-GB"/>
        </w:rPr>
        <w:drawing>
          <wp:inline distT="0" distB="0" distL="0" distR="0" wp14:anchorId="3AC2324A" wp14:editId="47100AD6">
            <wp:extent cx="4377600" cy="561600"/>
            <wp:effectExtent l="0" t="0" r="4445" b="0"/>
            <wp:docPr id="750070370" name="Picture 750070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3">
                      <a:extLst>
                        <a:ext uri="{28A0092B-C50C-407E-A947-70E740481C1C}">
                          <a14:useLocalDpi xmlns:a14="http://schemas.microsoft.com/office/drawing/2010/main" val="0"/>
                        </a:ext>
                      </a:extLst>
                    </a:blip>
                    <a:srcRect/>
                    <a:stretch>
                      <a:fillRect/>
                    </a:stretch>
                  </pic:blipFill>
                  <pic:spPr bwMode="auto">
                    <a:xfrm>
                      <a:off x="0" y="0"/>
                      <a:ext cx="4377600" cy="561600"/>
                    </a:xfrm>
                    <a:prstGeom prst="rect">
                      <a:avLst/>
                    </a:prstGeom>
                    <a:noFill/>
                    <a:ln>
                      <a:noFill/>
                    </a:ln>
                  </pic:spPr>
                </pic:pic>
              </a:graphicData>
            </a:graphic>
          </wp:inline>
        </w:drawing>
      </w:r>
    </w:p>
    <w:p w14:paraId="47ABA2CE" w14:textId="16198721" w:rsidR="007D48E7" w:rsidRDefault="007D48E7" w:rsidP="007D48E7">
      <w:pPr>
        <w:rPr>
          <w:lang w:val="en-GB"/>
        </w:rPr>
      </w:pPr>
      <w:r>
        <w:rPr>
          <w:lang w:val="en-GB"/>
        </w:rPr>
        <w:t xml:space="preserve">You’ve seen the dropped packet situation at VM. That’s a virtual layer, </w:t>
      </w:r>
      <w:r w:rsidR="001A443B">
        <w:rPr>
          <w:lang w:val="en-GB"/>
        </w:rPr>
        <w:t>above</w:t>
      </w:r>
      <w:r>
        <w:rPr>
          <w:lang w:val="en-GB"/>
        </w:rPr>
        <w:t xml:space="preserve"> the ESXi. What do you expect to see at ESXi layer, as it’s physically cabled to the physical top of rack switches?</w:t>
      </w:r>
    </w:p>
    <w:p w14:paraId="1E918D48" w14:textId="77777777" w:rsidR="007D48E7" w:rsidRPr="00CD5071" w:rsidRDefault="007D48E7" w:rsidP="007D48E7">
      <w:pPr>
        <w:rPr>
          <w:lang w:val="en-GB"/>
        </w:rPr>
      </w:pPr>
      <w:r>
        <w:rPr>
          <w:lang w:val="en-GB"/>
        </w:rPr>
        <w:lastRenderedPageBreak/>
        <w:t>I plotted 319 production ESXi hosts, and here is what I got for Transmit. What do you think?</w:t>
      </w:r>
    </w:p>
    <w:p w14:paraId="50E5D1D5" w14:textId="77777777" w:rsidR="007D48E7" w:rsidRDefault="007D48E7" w:rsidP="007D48E7">
      <w:pPr>
        <w:jc w:val="center"/>
        <w:rPr>
          <w:lang w:val="en-GB"/>
        </w:rPr>
      </w:pPr>
      <w:r w:rsidRPr="004B4C69">
        <w:rPr>
          <w:noProof/>
          <w:lang w:val="en-GB"/>
        </w:rPr>
        <w:drawing>
          <wp:inline distT="0" distB="0" distL="0" distR="0" wp14:anchorId="4D7C984C" wp14:editId="3FEB6C4F">
            <wp:extent cx="4795200" cy="3844800"/>
            <wp:effectExtent l="0" t="0" r="5715" b="3810"/>
            <wp:docPr id="918289607" name="Picture 918289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4"/>
                    <a:stretch>
                      <a:fillRect/>
                    </a:stretch>
                  </pic:blipFill>
                  <pic:spPr>
                    <a:xfrm>
                      <a:off x="0" y="0"/>
                      <a:ext cx="4795200" cy="3844800"/>
                    </a:xfrm>
                    <a:prstGeom prst="rect">
                      <a:avLst/>
                    </a:prstGeom>
                  </pic:spPr>
                </pic:pic>
              </a:graphicData>
            </a:graphic>
          </wp:inline>
        </w:drawing>
      </w:r>
    </w:p>
    <w:p w14:paraId="1BAFA795" w14:textId="77777777" w:rsidR="007D48E7" w:rsidRDefault="007D48E7" w:rsidP="007D48E7">
      <w:pPr>
        <w:rPr>
          <w:lang w:val="en-GB"/>
        </w:rPr>
      </w:pPr>
      <w:r>
        <w:rPr>
          <w:lang w:val="en-GB"/>
        </w:rPr>
        <w:t xml:space="preserve">There are packet drops, although they are very minimal. Among 319 hosts, one has 362 dropped transmit packet in the last 3 months. That host was doing 0.6 Gbps on average and peaked at 8.38 Gbps. </w:t>
      </w:r>
    </w:p>
    <w:p w14:paraId="3CBCB261" w14:textId="77777777" w:rsidR="007D48E7" w:rsidRDefault="007D48E7" w:rsidP="007D48E7">
      <w:pPr>
        <w:rPr>
          <w:lang w:val="en-GB"/>
        </w:rPr>
      </w:pPr>
      <w:r>
        <w:rPr>
          <w:lang w:val="en-GB"/>
        </w:rPr>
        <w:t>As expected, the dropped packet rarely happened. At 99</w:t>
      </w:r>
      <w:r w:rsidRPr="00F43D34">
        <w:rPr>
          <w:vertAlign w:val="superscript"/>
          <w:lang w:val="en-GB"/>
        </w:rPr>
        <w:t>th</w:t>
      </w:r>
      <w:r>
        <w:rPr>
          <w:lang w:val="en-GB"/>
        </w:rPr>
        <w:t xml:space="preserve"> percentile, the value is perfectly 0.</w:t>
      </w:r>
    </w:p>
    <w:p w14:paraId="2E14165F" w14:textId="77777777" w:rsidR="007D48E7" w:rsidRDefault="007D48E7" w:rsidP="007D48E7">
      <w:pPr>
        <w:rPr>
          <w:lang w:val="en-GB"/>
        </w:rPr>
      </w:pPr>
      <w:r>
        <w:rPr>
          <w:lang w:val="en-GB"/>
        </w:rPr>
        <w:t xml:space="preserve">I tested with another set of ESXi hosts. Out of 123 servers, none of them has any dropped TX packet in the last 6 months. That’s in line with my expectation. However, a few of them experienced rather high dropped RX packets. </w:t>
      </w:r>
    </w:p>
    <w:p w14:paraId="53AAF9E6" w14:textId="77777777" w:rsidR="007D48E7" w:rsidRDefault="007D48E7" w:rsidP="007D48E7">
      <w:pPr>
        <w:jc w:val="center"/>
        <w:rPr>
          <w:lang w:val="en-GB"/>
        </w:rPr>
      </w:pPr>
      <w:r w:rsidRPr="00A84F79">
        <w:rPr>
          <w:noProof/>
          <w:lang w:val="en-GB"/>
        </w:rPr>
        <w:drawing>
          <wp:inline distT="0" distB="0" distL="0" distR="0" wp14:anchorId="45A6DE3A" wp14:editId="2DA83482">
            <wp:extent cx="3666744" cy="3145536"/>
            <wp:effectExtent l="0" t="0" r="0" b="0"/>
            <wp:docPr id="53" name="Picture 5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descr="Table&#10;&#10;Description automatically generated"/>
                    <pic:cNvPicPr/>
                  </pic:nvPicPr>
                  <pic:blipFill>
                    <a:blip r:embed="rId805"/>
                    <a:stretch>
                      <a:fillRect/>
                    </a:stretch>
                  </pic:blipFill>
                  <pic:spPr>
                    <a:xfrm>
                      <a:off x="0" y="0"/>
                      <a:ext cx="3666744" cy="3145536"/>
                    </a:xfrm>
                    <a:prstGeom prst="rect">
                      <a:avLst/>
                    </a:prstGeom>
                  </pic:spPr>
                </pic:pic>
              </a:graphicData>
            </a:graphic>
          </wp:inline>
        </w:drawing>
      </w:r>
    </w:p>
    <w:p w14:paraId="6141E004" w14:textId="77777777" w:rsidR="007D48E7" w:rsidRDefault="007D48E7" w:rsidP="007D48E7">
      <w:pPr>
        <w:jc w:val="center"/>
        <w:rPr>
          <w:lang w:val="en-GB"/>
        </w:rPr>
      </w:pPr>
      <w:r w:rsidRPr="00E6129D">
        <w:rPr>
          <w:noProof/>
          <w:lang w:val="en-GB"/>
        </w:rPr>
        <w:lastRenderedPageBreak/>
        <w:drawing>
          <wp:inline distT="0" distB="0" distL="0" distR="0" wp14:anchorId="28F3261C" wp14:editId="1309D392">
            <wp:extent cx="6645910" cy="909955"/>
            <wp:effectExtent l="0" t="0" r="2540" b="4445"/>
            <wp:docPr id="1293284836" name="Picture 129328483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36" name="Picture 1293284836" descr="Graphical user interface, application&#10;&#10;Description automatically generated"/>
                    <pic:cNvPicPr/>
                  </pic:nvPicPr>
                  <pic:blipFill>
                    <a:blip r:embed="rId806"/>
                    <a:stretch>
                      <a:fillRect/>
                    </a:stretch>
                  </pic:blipFill>
                  <pic:spPr>
                    <a:xfrm>
                      <a:off x="0" y="0"/>
                      <a:ext cx="6645910" cy="909955"/>
                    </a:xfrm>
                    <a:prstGeom prst="rect">
                      <a:avLst/>
                    </a:prstGeom>
                  </pic:spPr>
                </pic:pic>
              </a:graphicData>
            </a:graphic>
          </wp:inline>
        </w:drawing>
      </w:r>
    </w:p>
    <w:p w14:paraId="373BF622" w14:textId="77777777" w:rsidR="007D48E7" w:rsidRDefault="007D48E7" w:rsidP="007D48E7">
      <w:pPr>
        <w:rPr>
          <w:lang w:val="en-GB"/>
        </w:rPr>
      </w:pPr>
      <w:r>
        <w:rPr>
          <w:lang w:val="en-GB"/>
        </w:rPr>
        <w:t>The dropped only happened since the ESXi had an increased load</w:t>
      </w:r>
    </w:p>
    <w:p w14:paraId="125E59C9" w14:textId="77777777" w:rsidR="007D48E7" w:rsidRDefault="007D48E7" w:rsidP="007D48E7">
      <w:pPr>
        <w:jc w:val="center"/>
        <w:rPr>
          <w:lang w:val="en-GB"/>
        </w:rPr>
      </w:pPr>
      <w:r w:rsidRPr="005664F4">
        <w:rPr>
          <w:noProof/>
          <w:lang w:val="en-GB"/>
        </w:rPr>
        <w:drawing>
          <wp:inline distT="0" distB="0" distL="0" distR="0" wp14:anchorId="7B0641E1" wp14:editId="3A1A5DA2">
            <wp:extent cx="6645910" cy="1265555"/>
            <wp:effectExtent l="0" t="0" r="2540" b="0"/>
            <wp:docPr id="1085195913" name="Picture 1085195913"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13" name="Picture 1085195913" descr="Graphical user interface, chart&#10;&#10;Description automatically generated"/>
                    <pic:cNvPicPr/>
                  </pic:nvPicPr>
                  <pic:blipFill>
                    <a:blip r:embed="rId807"/>
                    <a:stretch>
                      <a:fillRect/>
                    </a:stretch>
                  </pic:blipFill>
                  <pic:spPr>
                    <a:xfrm>
                      <a:off x="0" y="0"/>
                      <a:ext cx="6645910" cy="1265555"/>
                    </a:xfrm>
                    <a:prstGeom prst="rect">
                      <a:avLst/>
                    </a:prstGeom>
                  </pic:spPr>
                </pic:pic>
              </a:graphicData>
            </a:graphic>
          </wp:inline>
        </w:drawing>
      </w:r>
    </w:p>
    <w:p w14:paraId="48A728EB" w14:textId="77777777" w:rsidR="007D48E7" w:rsidRDefault="007D48E7" w:rsidP="007D48E7">
      <w:pPr>
        <w:rPr>
          <w:lang w:val="en-GB"/>
        </w:rPr>
      </w:pPr>
      <w:r>
        <w:rPr>
          <w:lang w:val="en-GB"/>
        </w:rPr>
        <w:t>If you see something like this, you should investigate which physical NIC card is dropping packet, and which VMK interface is experiencing it.</w:t>
      </w:r>
    </w:p>
    <w:p w14:paraId="4FD9A25A" w14:textId="77777777" w:rsidR="007D48E7" w:rsidRDefault="007D48E7" w:rsidP="007D48E7">
      <w:pPr>
        <w:rPr>
          <w:lang w:val="en-GB"/>
        </w:rPr>
      </w:pPr>
      <w:r>
        <w:rPr>
          <w:lang w:val="en-GB"/>
        </w:rPr>
        <w:t xml:space="preserve">While the number is very low, many hosts have packet drops, so my take is I should discuss with network team as I expect datacenter network should be free of dropped packets. </w:t>
      </w:r>
    </w:p>
    <w:p w14:paraId="6B362E82" w14:textId="77777777" w:rsidR="007D48E7" w:rsidRDefault="007D48E7" w:rsidP="007D48E7">
      <w:pPr>
        <w:pStyle w:val="Heading5"/>
      </w:pPr>
      <w:r>
        <w:t>Received</w:t>
      </w:r>
    </w:p>
    <w:p w14:paraId="18A32CF0" w14:textId="77777777" w:rsidR="007D48E7" w:rsidRDefault="007D48E7" w:rsidP="007D48E7">
      <w:pPr>
        <w:rPr>
          <w:lang w:val="en-GB"/>
        </w:rPr>
      </w:pPr>
      <w:r>
        <w:rPr>
          <w:lang w:val="en-GB"/>
        </w:rPr>
        <w:t xml:space="preserve">What do you think you will see for Received? </w:t>
      </w:r>
    </w:p>
    <w:p w14:paraId="46FFA278" w14:textId="77777777" w:rsidR="007D48E7" w:rsidRDefault="007D48E7" w:rsidP="007D48E7">
      <w:pPr>
        <w:rPr>
          <w:lang w:val="en-GB"/>
        </w:rPr>
      </w:pPr>
      <w:r>
        <w:rPr>
          <w:lang w:val="en-GB"/>
        </w:rPr>
        <w:t>Remember how VM RX is much worse than VM TX? Here is what I got:</w:t>
      </w:r>
    </w:p>
    <w:p w14:paraId="5808A0AC" w14:textId="77777777" w:rsidR="007D48E7" w:rsidRDefault="007D48E7" w:rsidP="007D48E7">
      <w:pPr>
        <w:jc w:val="center"/>
        <w:rPr>
          <w:lang w:val="en-GB"/>
        </w:rPr>
      </w:pPr>
      <w:r w:rsidRPr="000323A6">
        <w:rPr>
          <w:noProof/>
          <w:lang w:val="en-GB"/>
        </w:rPr>
        <w:drawing>
          <wp:inline distT="0" distB="0" distL="0" distR="0" wp14:anchorId="2086E44C" wp14:editId="71F10648">
            <wp:extent cx="5752800" cy="3722400"/>
            <wp:effectExtent l="0" t="0" r="635" b="0"/>
            <wp:docPr id="918289608" name="Picture 918289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8"/>
                    <a:stretch>
                      <a:fillRect/>
                    </a:stretch>
                  </pic:blipFill>
                  <pic:spPr>
                    <a:xfrm>
                      <a:off x="0" y="0"/>
                      <a:ext cx="5752800" cy="3722400"/>
                    </a:xfrm>
                    <a:prstGeom prst="rect">
                      <a:avLst/>
                    </a:prstGeom>
                  </pic:spPr>
                </pic:pic>
              </a:graphicData>
            </a:graphic>
          </wp:inline>
        </w:drawing>
      </w:r>
    </w:p>
    <w:p w14:paraId="5E08C079" w14:textId="77777777" w:rsidR="007D48E7" w:rsidRDefault="007D48E7" w:rsidP="007D48E7">
      <w:pPr>
        <w:rPr>
          <w:lang w:val="en-GB"/>
        </w:rPr>
      </w:pPr>
      <w:r>
        <w:rPr>
          <w:lang w:val="en-GB"/>
        </w:rPr>
        <w:lastRenderedPageBreak/>
        <w:t>Surprisingly, the situation is the same for ESXi.</w:t>
      </w:r>
    </w:p>
    <w:p w14:paraId="10CCC192" w14:textId="77777777" w:rsidR="007D48E7" w:rsidRDefault="007D48E7" w:rsidP="007D48E7">
      <w:pPr>
        <w:rPr>
          <w:lang w:val="en-GB"/>
        </w:rPr>
      </w:pPr>
      <w:r>
        <w:rPr>
          <w:lang w:val="en-GB"/>
        </w:rPr>
        <w:t>Some of them have &gt;1 millions packet dropped in 5 minute. Within these set of ESXi, some have regular packet dropped, as the value at 99</w:t>
      </w:r>
      <w:r w:rsidRPr="005F6128">
        <w:rPr>
          <w:vertAlign w:val="superscript"/>
          <w:lang w:val="en-GB"/>
        </w:rPr>
        <w:t>th</w:t>
      </w:r>
      <w:r>
        <w:rPr>
          <w:lang w:val="en-GB"/>
        </w:rPr>
        <w:t xml:space="preserve"> percentile is still very high. Notice none of the ESXi is dropping any TX packet. </w:t>
      </w:r>
    </w:p>
    <w:p w14:paraId="1A2AA8D3" w14:textId="77777777" w:rsidR="007D48E7" w:rsidRDefault="007D48E7" w:rsidP="007D48E7">
      <w:pPr>
        <w:rPr>
          <w:lang w:val="en-GB"/>
        </w:rPr>
      </w:pPr>
      <w:r>
        <w:rPr>
          <w:lang w:val="en-GB"/>
        </w:rPr>
        <w:t>I plotted the 2</w:t>
      </w:r>
      <w:r w:rsidRPr="00762B76">
        <w:rPr>
          <w:vertAlign w:val="superscript"/>
          <w:lang w:val="en-GB"/>
        </w:rPr>
        <w:t>nd</w:t>
      </w:r>
      <w:r>
        <w:rPr>
          <w:lang w:val="en-GB"/>
        </w:rPr>
        <w:t xml:space="preserve"> ESXi from the table, as it has high value at 99</w:t>
      </w:r>
      <w:r w:rsidRPr="00762B76">
        <w:rPr>
          <w:vertAlign w:val="superscript"/>
          <w:lang w:val="en-GB"/>
        </w:rPr>
        <w:t>th</w:t>
      </w:r>
      <w:r>
        <w:rPr>
          <w:lang w:val="en-GB"/>
        </w:rPr>
        <w:t xml:space="preserve"> percentile. As expected, it has sustained packet dropped lasting 24 hours. I marked the highest packet drop time, as it mapped to the lowest packets received. </w:t>
      </w:r>
    </w:p>
    <w:p w14:paraId="719B75A0" w14:textId="77777777" w:rsidR="007D48E7" w:rsidRDefault="007D48E7" w:rsidP="007D48E7">
      <w:pPr>
        <w:rPr>
          <w:lang w:val="en-GB"/>
        </w:rPr>
      </w:pPr>
      <w:r w:rsidRPr="00F85E61">
        <w:rPr>
          <w:noProof/>
          <w:lang w:val="en-GB"/>
        </w:rPr>
        <w:drawing>
          <wp:inline distT="0" distB="0" distL="0" distR="0" wp14:anchorId="468AEDB8" wp14:editId="5ACE8588">
            <wp:extent cx="6645910" cy="1537335"/>
            <wp:effectExtent l="0" t="0" r="2540" b="5715"/>
            <wp:docPr id="918289609" name="Picture 918289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9"/>
                    <a:stretch>
                      <a:fillRect/>
                    </a:stretch>
                  </pic:blipFill>
                  <pic:spPr>
                    <a:xfrm>
                      <a:off x="0" y="0"/>
                      <a:ext cx="6645910" cy="1537335"/>
                    </a:xfrm>
                    <a:prstGeom prst="rect">
                      <a:avLst/>
                    </a:prstGeom>
                  </pic:spPr>
                </pic:pic>
              </a:graphicData>
            </a:graphic>
          </wp:inline>
        </w:drawing>
      </w:r>
    </w:p>
    <w:p w14:paraId="73FC6632" w14:textId="77777777" w:rsidR="007D48E7" w:rsidRDefault="007D48E7" w:rsidP="007D48E7">
      <w:pPr>
        <w:pStyle w:val="Heading5"/>
      </w:pPr>
      <w:r>
        <w:t>vsish</w:t>
      </w:r>
    </w:p>
    <w:p w14:paraId="34E97BBC" w14:textId="77777777" w:rsidR="007D48E7" w:rsidRDefault="007D48E7" w:rsidP="007D48E7">
      <w:pPr>
        <w:rPr>
          <w:lang w:val="en-GB"/>
        </w:rPr>
      </w:pPr>
      <w:r>
        <w:rPr>
          <w:lang w:val="en-GB"/>
        </w:rPr>
        <w:t xml:space="preserve">vsish provides more information that is not available in vSphere Client UI and vRealize Operations. </w:t>
      </w:r>
    </w:p>
    <w:p w14:paraId="7C3CA09A" w14:textId="77777777" w:rsidR="007D48E7" w:rsidRPr="00F933C7" w:rsidRDefault="007D48E7" w:rsidP="007D48E7">
      <w:pPr>
        <w:pStyle w:val="Code"/>
      </w:pPr>
      <w:r w:rsidRPr="00F933C7">
        <w:t xml:space="preserve">vsish -e get /net/portsets/DvsPortset-0/ports/67109026/clientStats   </w:t>
      </w:r>
    </w:p>
    <w:p w14:paraId="3CEA34D3" w14:textId="77777777" w:rsidR="007D48E7" w:rsidRPr="00F933C7" w:rsidRDefault="007D48E7" w:rsidP="007D48E7">
      <w:pPr>
        <w:pStyle w:val="Code"/>
      </w:pPr>
      <w:r w:rsidRPr="00F933C7">
        <w:t>port client stats {</w:t>
      </w:r>
    </w:p>
    <w:p w14:paraId="7FF9464F" w14:textId="77777777" w:rsidR="007D48E7" w:rsidRPr="00F933C7" w:rsidRDefault="007D48E7" w:rsidP="007D48E7">
      <w:pPr>
        <w:pStyle w:val="Code"/>
      </w:pPr>
      <w:r w:rsidRPr="00F933C7">
        <w:t xml:space="preserve">   pktsTxOK:154121</w:t>
      </w:r>
    </w:p>
    <w:p w14:paraId="190B45BA" w14:textId="77777777" w:rsidR="007D48E7" w:rsidRPr="00F933C7" w:rsidRDefault="007D48E7" w:rsidP="007D48E7">
      <w:pPr>
        <w:pStyle w:val="Code"/>
      </w:pPr>
      <w:r w:rsidRPr="00F933C7">
        <w:t xml:space="preserve">   bytesTxOK:63326625</w:t>
      </w:r>
    </w:p>
    <w:p w14:paraId="607EC251" w14:textId="77777777" w:rsidR="007D48E7" w:rsidRPr="00F933C7" w:rsidRDefault="007D48E7" w:rsidP="007D48E7">
      <w:pPr>
        <w:pStyle w:val="Code"/>
      </w:pPr>
      <w:r w:rsidRPr="00F933C7">
        <w:t xml:space="preserve">   droppedTx:0</w:t>
      </w:r>
    </w:p>
    <w:p w14:paraId="79F17DC8" w14:textId="77777777" w:rsidR="007D48E7" w:rsidRPr="00F933C7" w:rsidRDefault="007D48E7" w:rsidP="007D48E7">
      <w:pPr>
        <w:pStyle w:val="Code"/>
      </w:pPr>
      <w:r w:rsidRPr="00F933C7">
        <w:t xml:space="preserve">   pktsTsoTxOK:0</w:t>
      </w:r>
    </w:p>
    <w:p w14:paraId="40735220" w14:textId="77777777" w:rsidR="007D48E7" w:rsidRPr="00F933C7" w:rsidRDefault="007D48E7" w:rsidP="007D48E7">
      <w:pPr>
        <w:pStyle w:val="Code"/>
      </w:pPr>
      <w:r w:rsidRPr="00F933C7">
        <w:t xml:space="preserve">   bytesTsoTxOK:0</w:t>
      </w:r>
    </w:p>
    <w:p w14:paraId="232261D4" w14:textId="77777777" w:rsidR="007D48E7" w:rsidRPr="00F933C7" w:rsidRDefault="007D48E7" w:rsidP="007D48E7">
      <w:pPr>
        <w:pStyle w:val="Code"/>
      </w:pPr>
      <w:r w:rsidRPr="00F933C7">
        <w:t xml:space="preserve">   droppedTsoTx:0</w:t>
      </w:r>
    </w:p>
    <w:p w14:paraId="790FD170" w14:textId="77777777" w:rsidR="007D48E7" w:rsidRPr="00F933C7" w:rsidRDefault="007D48E7" w:rsidP="007D48E7">
      <w:pPr>
        <w:pStyle w:val="Code"/>
      </w:pPr>
      <w:r w:rsidRPr="00F933C7">
        <w:t xml:space="preserve">   pktsSwTsoTx:0</w:t>
      </w:r>
    </w:p>
    <w:p w14:paraId="6EE2A434" w14:textId="77777777" w:rsidR="007D48E7" w:rsidRPr="00F933C7" w:rsidRDefault="007D48E7" w:rsidP="007D48E7">
      <w:pPr>
        <w:pStyle w:val="Code"/>
      </w:pPr>
      <w:r w:rsidRPr="00F933C7">
        <w:t xml:space="preserve">   droppedSwTsoTx:0</w:t>
      </w:r>
    </w:p>
    <w:p w14:paraId="07C25C19" w14:textId="77777777" w:rsidR="007D48E7" w:rsidRPr="00F933C7" w:rsidRDefault="007D48E7" w:rsidP="007D48E7">
      <w:pPr>
        <w:pStyle w:val="Code"/>
      </w:pPr>
      <w:r w:rsidRPr="00F933C7">
        <w:t xml:space="preserve">   pktsZerocopyTxOK:45817</w:t>
      </w:r>
    </w:p>
    <w:p w14:paraId="4653F2A3" w14:textId="77777777" w:rsidR="007D48E7" w:rsidRPr="00F933C7" w:rsidRDefault="007D48E7" w:rsidP="007D48E7">
      <w:pPr>
        <w:pStyle w:val="Code"/>
      </w:pPr>
      <w:r w:rsidRPr="00F933C7">
        <w:t xml:space="preserve">   droppedTxExceedMTU:0</w:t>
      </w:r>
    </w:p>
    <w:p w14:paraId="1D9042F7" w14:textId="77777777" w:rsidR="007D48E7" w:rsidRPr="00F933C7" w:rsidRDefault="007D48E7" w:rsidP="007D48E7">
      <w:pPr>
        <w:pStyle w:val="Code"/>
      </w:pPr>
      <w:r w:rsidRPr="00F933C7">
        <w:t xml:space="preserve">   pktsRxOK:339700</w:t>
      </w:r>
    </w:p>
    <w:p w14:paraId="4265B8D9" w14:textId="77777777" w:rsidR="007D48E7" w:rsidRPr="00F933C7" w:rsidRDefault="007D48E7" w:rsidP="007D48E7">
      <w:pPr>
        <w:pStyle w:val="Code"/>
      </w:pPr>
      <w:r w:rsidRPr="00F933C7">
        <w:t xml:space="preserve">   bytesRxOK:257901191</w:t>
      </w:r>
    </w:p>
    <w:p w14:paraId="537142BC" w14:textId="77777777" w:rsidR="007D48E7" w:rsidRPr="00F933C7" w:rsidRDefault="007D48E7" w:rsidP="007D48E7">
      <w:pPr>
        <w:pStyle w:val="Code"/>
      </w:pPr>
      <w:r w:rsidRPr="00F933C7">
        <w:t xml:space="preserve">   </w:t>
      </w:r>
      <w:r w:rsidRPr="00930299">
        <w:rPr>
          <w:highlight w:val="yellow"/>
        </w:rPr>
        <w:t>droppedRx:2620</w:t>
      </w:r>
      <w:r>
        <w:rPr>
          <w:highlight w:val="yellow"/>
        </w:rPr>
        <w:t xml:space="preserve"> </w:t>
      </w:r>
      <w:r w:rsidRPr="00930299">
        <w:rPr>
          <w:rFonts w:asciiTheme="minorHAnsi" w:hAnsiTheme="minorHAnsi" w:cstheme="minorHAnsi"/>
          <w:sz w:val="20"/>
          <w:szCs w:val="20"/>
          <w:highlight w:val="yellow"/>
        </w:rPr>
        <w:sym w:font="Wingdings" w:char="F0DF"/>
      </w:r>
      <w:r w:rsidRPr="00930299">
        <w:rPr>
          <w:rFonts w:asciiTheme="minorHAnsi" w:hAnsiTheme="minorHAnsi" w:cstheme="minorHAnsi"/>
          <w:sz w:val="20"/>
          <w:szCs w:val="20"/>
          <w:highlight w:val="yellow"/>
        </w:rPr>
        <w:t xml:space="preserve"> th</w:t>
      </w:r>
      <w:r>
        <w:rPr>
          <w:rFonts w:asciiTheme="minorHAnsi" w:hAnsiTheme="minorHAnsi" w:cstheme="minorHAnsi"/>
          <w:sz w:val="20"/>
          <w:szCs w:val="20"/>
          <w:highlight w:val="yellow"/>
        </w:rPr>
        <w:t xml:space="preserve">e </w:t>
      </w:r>
      <w:r w:rsidRPr="002A7F27">
        <w:rPr>
          <w:rFonts w:asciiTheme="minorHAnsi" w:hAnsiTheme="minorHAnsi" w:cstheme="minorHAnsi"/>
          <w:sz w:val="20"/>
          <w:szCs w:val="20"/>
          <w:highlight w:val="yellow"/>
        </w:rPr>
        <w:t>reason will appear on the next output below</w:t>
      </w:r>
    </w:p>
    <w:p w14:paraId="3B1A0156" w14:textId="77777777" w:rsidR="007D48E7" w:rsidRPr="00F933C7" w:rsidRDefault="007D48E7" w:rsidP="007D48E7">
      <w:pPr>
        <w:pStyle w:val="Code"/>
      </w:pPr>
      <w:r w:rsidRPr="00F933C7">
        <w:t xml:space="preserve">   pktsSwTsoRx:0</w:t>
      </w:r>
    </w:p>
    <w:p w14:paraId="6FB20E51" w14:textId="77777777" w:rsidR="007D48E7" w:rsidRPr="00F933C7" w:rsidRDefault="007D48E7" w:rsidP="007D48E7">
      <w:pPr>
        <w:pStyle w:val="Code"/>
      </w:pPr>
      <w:r w:rsidRPr="00F933C7">
        <w:t xml:space="preserve">   droppedSwTsoRx:0</w:t>
      </w:r>
    </w:p>
    <w:p w14:paraId="1CDC1D9B" w14:textId="77777777" w:rsidR="007D48E7" w:rsidRPr="00F933C7" w:rsidRDefault="007D48E7" w:rsidP="007D48E7">
      <w:pPr>
        <w:pStyle w:val="Code"/>
      </w:pPr>
      <w:r w:rsidRPr="00F933C7">
        <w:t xml:space="preserve">   actions:0</w:t>
      </w:r>
    </w:p>
    <w:p w14:paraId="4368979A" w14:textId="77777777" w:rsidR="007D48E7" w:rsidRPr="00F933C7" w:rsidRDefault="007D48E7" w:rsidP="007D48E7">
      <w:pPr>
        <w:pStyle w:val="Code"/>
      </w:pPr>
      <w:r w:rsidRPr="00F933C7">
        <w:t xml:space="preserve">   uplinkRxPkts:0</w:t>
      </w:r>
    </w:p>
    <w:p w14:paraId="1E8CD60D" w14:textId="77777777" w:rsidR="007D48E7" w:rsidRPr="00F933C7" w:rsidRDefault="007D48E7" w:rsidP="007D48E7">
      <w:pPr>
        <w:pStyle w:val="Code"/>
      </w:pPr>
      <w:r w:rsidRPr="00F933C7">
        <w:t xml:space="preserve">   clonedRxPkts:0</w:t>
      </w:r>
    </w:p>
    <w:p w14:paraId="1BFC61CE" w14:textId="77777777" w:rsidR="007D48E7" w:rsidRPr="00F933C7" w:rsidRDefault="007D48E7" w:rsidP="007D48E7">
      <w:pPr>
        <w:pStyle w:val="Code"/>
      </w:pPr>
      <w:r w:rsidRPr="00F933C7">
        <w:t xml:space="preserve">   pksBilled:0</w:t>
      </w:r>
    </w:p>
    <w:p w14:paraId="3C40CE57" w14:textId="77777777" w:rsidR="007D48E7" w:rsidRPr="00F933C7" w:rsidRDefault="007D48E7" w:rsidP="007D48E7">
      <w:pPr>
        <w:pStyle w:val="Code"/>
      </w:pPr>
      <w:r w:rsidRPr="00F933C7">
        <w:t xml:space="preserve">   droppedRxDueToPageAbsent:0</w:t>
      </w:r>
    </w:p>
    <w:p w14:paraId="1D38A36B" w14:textId="77777777" w:rsidR="007D48E7" w:rsidRPr="00F933C7" w:rsidRDefault="007D48E7" w:rsidP="007D48E7">
      <w:pPr>
        <w:pStyle w:val="Code"/>
      </w:pPr>
      <w:r w:rsidRPr="00F933C7">
        <w:t xml:space="preserve">   droppedTxDueToPageAbsent:0</w:t>
      </w:r>
    </w:p>
    <w:p w14:paraId="20E2021C" w14:textId="77777777" w:rsidR="007D48E7" w:rsidRDefault="007D48E7" w:rsidP="007D48E7">
      <w:pPr>
        <w:pStyle w:val="Code"/>
      </w:pPr>
      <w:r w:rsidRPr="00F933C7">
        <w:t>}</w:t>
      </w:r>
    </w:p>
    <w:p w14:paraId="1977B588" w14:textId="77777777" w:rsidR="007D48E7" w:rsidRPr="00F933C7" w:rsidRDefault="007D48E7" w:rsidP="007D48E7">
      <w:pPr>
        <w:rPr>
          <w:lang w:val="en-GB"/>
        </w:rPr>
      </w:pPr>
      <w:r>
        <w:rPr>
          <w:lang w:val="en-GB"/>
        </w:rPr>
        <w:t>We saw dropped packets, so we probe deeper for the reason</w:t>
      </w:r>
    </w:p>
    <w:p w14:paraId="207BCF37" w14:textId="77777777" w:rsidR="007D48E7" w:rsidRPr="00F933C7" w:rsidRDefault="007D48E7" w:rsidP="007D48E7">
      <w:pPr>
        <w:pStyle w:val="Code"/>
      </w:pPr>
      <w:r w:rsidRPr="00F933C7">
        <w:lastRenderedPageBreak/>
        <w:t xml:space="preserve">vsish -e get /net/portsets/DvsPortset-0/ports/67109026/vmxnet3/rxSummary   </w:t>
      </w:r>
    </w:p>
    <w:p w14:paraId="48C93C48" w14:textId="77777777" w:rsidR="007D48E7" w:rsidRPr="00F933C7" w:rsidRDefault="007D48E7" w:rsidP="007D48E7">
      <w:pPr>
        <w:pStyle w:val="Code"/>
      </w:pPr>
      <w:r w:rsidRPr="00F933C7">
        <w:t>stats of a vmxnet3 vNIC rx queue {</w:t>
      </w:r>
    </w:p>
    <w:p w14:paraId="6B1A850C" w14:textId="77777777" w:rsidR="007D48E7" w:rsidRPr="00F933C7" w:rsidRDefault="007D48E7" w:rsidP="007D48E7">
      <w:pPr>
        <w:pStyle w:val="Code"/>
      </w:pPr>
      <w:r w:rsidRPr="00F933C7">
        <w:t xml:space="preserve">   LRO pkts rx ok:0</w:t>
      </w:r>
    </w:p>
    <w:p w14:paraId="736F16F7" w14:textId="77777777" w:rsidR="007D48E7" w:rsidRPr="00F933C7" w:rsidRDefault="007D48E7" w:rsidP="007D48E7">
      <w:pPr>
        <w:pStyle w:val="Code"/>
      </w:pPr>
      <w:r w:rsidRPr="00F933C7">
        <w:t xml:space="preserve">   LRO bytes rx ok:0</w:t>
      </w:r>
    </w:p>
    <w:p w14:paraId="07D0FA72" w14:textId="77777777" w:rsidR="007D48E7" w:rsidRPr="00F933C7" w:rsidRDefault="007D48E7" w:rsidP="007D48E7">
      <w:pPr>
        <w:pStyle w:val="Code"/>
      </w:pPr>
      <w:r w:rsidRPr="00F933C7">
        <w:t xml:space="preserve">   pkts rx ok:340093</w:t>
      </w:r>
    </w:p>
    <w:p w14:paraId="77248C80" w14:textId="77777777" w:rsidR="007D48E7" w:rsidRPr="00F933C7" w:rsidRDefault="007D48E7" w:rsidP="007D48E7">
      <w:pPr>
        <w:pStyle w:val="Code"/>
      </w:pPr>
      <w:r w:rsidRPr="00F933C7">
        <w:t xml:space="preserve">   bytes rx ok:257984247</w:t>
      </w:r>
    </w:p>
    <w:p w14:paraId="502F0754" w14:textId="77777777" w:rsidR="007D48E7" w:rsidRPr="00F933C7" w:rsidRDefault="007D48E7" w:rsidP="007D48E7">
      <w:pPr>
        <w:pStyle w:val="Code"/>
      </w:pPr>
      <w:r w:rsidRPr="00F933C7">
        <w:t xml:space="preserve">   unicast pkts rx ok:253678</w:t>
      </w:r>
    </w:p>
    <w:p w14:paraId="37391308" w14:textId="77777777" w:rsidR="007D48E7" w:rsidRPr="00F933C7" w:rsidRDefault="007D48E7" w:rsidP="007D48E7">
      <w:pPr>
        <w:pStyle w:val="Code"/>
      </w:pPr>
      <w:r w:rsidRPr="00F933C7">
        <w:t xml:space="preserve">   unicast bytes rx ok:245663220</w:t>
      </w:r>
    </w:p>
    <w:p w14:paraId="239BFADE" w14:textId="77777777" w:rsidR="007D48E7" w:rsidRPr="00F933C7" w:rsidRDefault="007D48E7" w:rsidP="007D48E7">
      <w:pPr>
        <w:pStyle w:val="Code"/>
      </w:pPr>
      <w:r w:rsidRPr="00F933C7">
        <w:t xml:space="preserve">   multicast pkts rx ok:42220</w:t>
      </w:r>
    </w:p>
    <w:p w14:paraId="31F3CBC6" w14:textId="77777777" w:rsidR="007D48E7" w:rsidRPr="00F933C7" w:rsidRDefault="007D48E7" w:rsidP="007D48E7">
      <w:pPr>
        <w:pStyle w:val="Code"/>
      </w:pPr>
      <w:r w:rsidRPr="00F933C7">
        <w:t xml:space="preserve">   multicast bytes rx ok:7497292</w:t>
      </w:r>
    </w:p>
    <w:p w14:paraId="70DD3C73" w14:textId="77777777" w:rsidR="007D48E7" w:rsidRPr="00F933C7" w:rsidRDefault="007D48E7" w:rsidP="007D48E7">
      <w:pPr>
        <w:pStyle w:val="Code"/>
      </w:pPr>
      <w:r w:rsidRPr="00F933C7">
        <w:t xml:space="preserve">   broadcast pkts rx ok:44195</w:t>
      </w:r>
    </w:p>
    <w:p w14:paraId="7264F997" w14:textId="77777777" w:rsidR="007D48E7" w:rsidRPr="00F933C7" w:rsidRDefault="007D48E7" w:rsidP="007D48E7">
      <w:pPr>
        <w:pStyle w:val="Code"/>
      </w:pPr>
      <w:r w:rsidRPr="00F933C7">
        <w:t xml:space="preserve">   broadcast bytes rx ok:4823735</w:t>
      </w:r>
    </w:p>
    <w:p w14:paraId="26C812C3" w14:textId="77777777" w:rsidR="007D48E7" w:rsidRPr="00F933C7" w:rsidRDefault="007D48E7" w:rsidP="007D48E7">
      <w:pPr>
        <w:pStyle w:val="Code"/>
      </w:pPr>
      <w:r w:rsidRPr="00F933C7">
        <w:t xml:space="preserve">   running out of buffers:2620</w:t>
      </w:r>
      <w:r w:rsidRPr="00930299">
        <w:t xml:space="preserve">   </w:t>
      </w:r>
      <w:r w:rsidRPr="00930299">
        <w:rPr>
          <w:rFonts w:asciiTheme="minorHAnsi" w:hAnsiTheme="minorHAnsi" w:cstheme="minorHAnsi"/>
          <w:sz w:val="20"/>
          <w:szCs w:val="20"/>
          <w:highlight w:val="yellow"/>
        </w:rPr>
        <w:sym w:font="Wingdings" w:char="F0DF"/>
      </w:r>
      <w:r w:rsidRPr="00930299">
        <w:rPr>
          <w:rFonts w:asciiTheme="minorHAnsi" w:hAnsiTheme="minorHAnsi" w:cstheme="minorHAnsi"/>
          <w:sz w:val="20"/>
          <w:szCs w:val="20"/>
          <w:highlight w:val="yellow"/>
        </w:rPr>
        <w:t xml:space="preserve"> th</w:t>
      </w:r>
      <w:r>
        <w:rPr>
          <w:rFonts w:asciiTheme="minorHAnsi" w:hAnsiTheme="minorHAnsi" w:cstheme="minorHAnsi"/>
          <w:sz w:val="20"/>
          <w:szCs w:val="20"/>
          <w:highlight w:val="yellow"/>
        </w:rPr>
        <w:t xml:space="preserve">e reason for 2620 packets dropped </w:t>
      </w:r>
    </w:p>
    <w:p w14:paraId="648494E2" w14:textId="77777777" w:rsidR="007D48E7" w:rsidRPr="00F933C7" w:rsidRDefault="007D48E7" w:rsidP="007D48E7">
      <w:pPr>
        <w:pStyle w:val="Code"/>
      </w:pPr>
      <w:r w:rsidRPr="00F933C7">
        <w:t xml:space="preserve">   pkts receive error:0</w:t>
      </w:r>
    </w:p>
    <w:p w14:paraId="4D509E55" w14:textId="77777777" w:rsidR="007D48E7" w:rsidRPr="00930299" w:rsidRDefault="007D48E7" w:rsidP="007D48E7">
      <w:pPr>
        <w:pStyle w:val="Code"/>
      </w:pPr>
      <w:r w:rsidRPr="00F933C7">
        <w:t xml:space="preserve">   </w:t>
      </w:r>
      <w:r w:rsidRPr="00930299">
        <w:t>1st ring size:512</w:t>
      </w:r>
    </w:p>
    <w:p w14:paraId="28D702DD" w14:textId="77777777" w:rsidR="007D48E7" w:rsidRPr="00930299" w:rsidRDefault="007D48E7" w:rsidP="007D48E7">
      <w:pPr>
        <w:pStyle w:val="Code"/>
      </w:pPr>
      <w:r w:rsidRPr="00930299">
        <w:t xml:space="preserve">   2nd ring size:512</w:t>
      </w:r>
      <w:r>
        <w:t xml:space="preserve"> </w:t>
      </w:r>
      <w:r w:rsidRPr="00930299">
        <w:t xml:space="preserve"> </w:t>
      </w:r>
      <w:r w:rsidRPr="00930299">
        <w:rPr>
          <w:rFonts w:asciiTheme="minorHAnsi" w:hAnsiTheme="minorHAnsi" w:cstheme="minorHAnsi"/>
          <w:sz w:val="20"/>
          <w:szCs w:val="20"/>
          <w:highlight w:val="yellow"/>
        </w:rPr>
        <w:sym w:font="Wingdings" w:char="F0DF"/>
      </w:r>
      <w:r w:rsidRPr="00930299">
        <w:rPr>
          <w:rFonts w:asciiTheme="minorHAnsi" w:hAnsiTheme="minorHAnsi" w:cstheme="minorHAnsi"/>
          <w:sz w:val="20"/>
          <w:szCs w:val="20"/>
          <w:highlight w:val="yellow"/>
        </w:rPr>
        <w:t xml:space="preserve"> </w:t>
      </w:r>
      <w:r w:rsidRPr="002A7F27">
        <w:rPr>
          <w:rFonts w:asciiTheme="minorHAnsi" w:hAnsiTheme="minorHAnsi" w:cstheme="minorHAnsi"/>
          <w:sz w:val="20"/>
          <w:szCs w:val="20"/>
          <w:highlight w:val="yellow"/>
        </w:rPr>
        <w:t>the ring size is on the small si</w:t>
      </w:r>
      <w:r>
        <w:rPr>
          <w:rFonts w:asciiTheme="minorHAnsi" w:hAnsiTheme="minorHAnsi" w:cstheme="minorHAnsi"/>
          <w:sz w:val="20"/>
          <w:szCs w:val="20"/>
          <w:highlight w:val="yellow"/>
        </w:rPr>
        <w:t>d</w:t>
      </w:r>
      <w:r w:rsidRPr="002A7F27">
        <w:rPr>
          <w:rFonts w:asciiTheme="minorHAnsi" w:hAnsiTheme="minorHAnsi" w:cstheme="minorHAnsi"/>
          <w:sz w:val="20"/>
          <w:szCs w:val="20"/>
          <w:highlight w:val="yellow"/>
        </w:rPr>
        <w:t>e. I’d say set to 2K.</w:t>
      </w:r>
    </w:p>
    <w:p w14:paraId="5B95A5E9" w14:textId="77777777" w:rsidR="007D48E7" w:rsidRPr="00930299" w:rsidRDefault="007D48E7" w:rsidP="007D48E7">
      <w:pPr>
        <w:pStyle w:val="Code"/>
        <w:rPr>
          <w:sz w:val="20"/>
          <w:szCs w:val="20"/>
        </w:rPr>
      </w:pPr>
      <w:r w:rsidRPr="00930299">
        <w:t xml:space="preserve">   # of times the 1st ring is full:354   </w:t>
      </w:r>
      <w:r w:rsidRPr="00930299">
        <w:rPr>
          <w:rFonts w:asciiTheme="minorHAnsi" w:hAnsiTheme="minorHAnsi" w:cstheme="minorHAnsi"/>
          <w:sz w:val="20"/>
          <w:szCs w:val="20"/>
          <w:highlight w:val="yellow"/>
        </w:rPr>
        <w:sym w:font="Wingdings" w:char="F0DF"/>
      </w:r>
      <w:r w:rsidRPr="00930299">
        <w:rPr>
          <w:rFonts w:asciiTheme="minorHAnsi" w:hAnsiTheme="minorHAnsi" w:cstheme="minorHAnsi"/>
          <w:sz w:val="20"/>
          <w:szCs w:val="20"/>
          <w:highlight w:val="yellow"/>
        </w:rPr>
        <w:t xml:space="preserve"> this line shows the first ring is full 354x</w:t>
      </w:r>
    </w:p>
    <w:p w14:paraId="170ABC61" w14:textId="77777777" w:rsidR="007D48E7" w:rsidRPr="00930299" w:rsidRDefault="007D48E7" w:rsidP="007D48E7">
      <w:pPr>
        <w:pStyle w:val="Code"/>
      </w:pPr>
      <w:r w:rsidRPr="00930299">
        <w:t xml:space="preserve">   # of times the 2nd ring is full:0</w:t>
      </w:r>
    </w:p>
    <w:p w14:paraId="11E99BD3" w14:textId="77777777" w:rsidR="007D48E7" w:rsidRPr="00930299" w:rsidRDefault="007D48E7" w:rsidP="007D48E7">
      <w:pPr>
        <w:pStyle w:val="Code"/>
      </w:pPr>
      <w:r w:rsidRPr="00930299">
        <w:t xml:space="preserve">   fail to map a rx buffer:0</w:t>
      </w:r>
      <w:r>
        <w:t xml:space="preserve">    </w:t>
      </w:r>
      <w:r w:rsidRPr="00930299">
        <w:t xml:space="preserve">   </w:t>
      </w:r>
      <w:r w:rsidRPr="00930299">
        <w:rPr>
          <w:rFonts w:asciiTheme="minorHAnsi" w:hAnsiTheme="minorHAnsi" w:cstheme="minorHAnsi"/>
          <w:sz w:val="20"/>
          <w:szCs w:val="20"/>
          <w:highlight w:val="yellow"/>
        </w:rPr>
        <w:sym w:font="Wingdings" w:char="F0DF"/>
      </w:r>
      <w:r w:rsidRPr="00930299">
        <w:rPr>
          <w:rFonts w:asciiTheme="minorHAnsi" w:hAnsiTheme="minorHAnsi" w:cstheme="minorHAnsi"/>
          <w:sz w:val="20"/>
          <w:szCs w:val="20"/>
          <w:highlight w:val="yellow"/>
        </w:rPr>
        <w:t xml:space="preserve"> </w:t>
      </w:r>
      <w:r>
        <w:rPr>
          <w:rFonts w:asciiTheme="minorHAnsi" w:hAnsiTheme="minorHAnsi" w:cstheme="minorHAnsi"/>
          <w:sz w:val="20"/>
          <w:szCs w:val="20"/>
          <w:highlight w:val="yellow"/>
        </w:rPr>
        <w:t>other reasons look good</w:t>
      </w:r>
    </w:p>
    <w:p w14:paraId="4A0BA52D" w14:textId="77777777" w:rsidR="007D48E7" w:rsidRPr="00930299" w:rsidRDefault="007D48E7" w:rsidP="007D48E7">
      <w:pPr>
        <w:pStyle w:val="Code"/>
      </w:pPr>
      <w:r w:rsidRPr="00930299">
        <w:t xml:space="preserve">   request to page in a buffer:0</w:t>
      </w:r>
    </w:p>
    <w:p w14:paraId="3BCC79AD" w14:textId="77777777" w:rsidR="007D48E7" w:rsidRPr="00930299" w:rsidRDefault="007D48E7" w:rsidP="007D48E7">
      <w:pPr>
        <w:pStyle w:val="Code"/>
      </w:pPr>
      <w:r w:rsidRPr="00930299">
        <w:t xml:space="preserve">   # of times rx queue is stopped:0</w:t>
      </w:r>
      <w:r>
        <w:t xml:space="preserve">     </w:t>
      </w:r>
      <w:r w:rsidRPr="00930299">
        <w:rPr>
          <w:rFonts w:asciiTheme="minorHAnsi" w:hAnsiTheme="minorHAnsi" w:cstheme="minorHAnsi"/>
          <w:sz w:val="20"/>
          <w:szCs w:val="20"/>
          <w:highlight w:val="yellow"/>
        </w:rPr>
        <w:sym w:font="Wingdings" w:char="F0DF"/>
      </w:r>
      <w:r w:rsidRPr="00930299">
        <w:rPr>
          <w:rFonts w:asciiTheme="minorHAnsi" w:hAnsiTheme="minorHAnsi" w:cstheme="minorHAnsi"/>
          <w:sz w:val="20"/>
          <w:szCs w:val="20"/>
          <w:highlight w:val="yellow"/>
        </w:rPr>
        <w:t xml:space="preserve"> </w:t>
      </w:r>
      <w:r>
        <w:rPr>
          <w:rFonts w:asciiTheme="minorHAnsi" w:hAnsiTheme="minorHAnsi" w:cstheme="minorHAnsi"/>
          <w:sz w:val="20"/>
          <w:szCs w:val="20"/>
          <w:highlight w:val="yellow"/>
        </w:rPr>
        <w:t>other reasons look good</w:t>
      </w:r>
    </w:p>
    <w:p w14:paraId="2E64C2E2" w14:textId="77777777" w:rsidR="007D48E7" w:rsidRPr="00930299" w:rsidRDefault="007D48E7" w:rsidP="007D48E7">
      <w:pPr>
        <w:pStyle w:val="Code"/>
      </w:pPr>
      <w:r w:rsidRPr="00930299">
        <w:t xml:space="preserve">   failed when copying into the guest buffer:0</w:t>
      </w:r>
      <w:r>
        <w:t xml:space="preserve">    </w:t>
      </w:r>
      <w:r w:rsidRPr="00930299">
        <w:rPr>
          <w:rFonts w:asciiTheme="minorHAnsi" w:hAnsiTheme="minorHAnsi" w:cstheme="minorHAnsi"/>
          <w:sz w:val="20"/>
          <w:szCs w:val="20"/>
          <w:highlight w:val="yellow"/>
        </w:rPr>
        <w:sym w:font="Wingdings" w:char="F0DF"/>
      </w:r>
      <w:r w:rsidRPr="00930299">
        <w:rPr>
          <w:rFonts w:asciiTheme="minorHAnsi" w:hAnsiTheme="minorHAnsi" w:cstheme="minorHAnsi"/>
          <w:sz w:val="20"/>
          <w:szCs w:val="20"/>
          <w:highlight w:val="yellow"/>
        </w:rPr>
        <w:t xml:space="preserve"> </w:t>
      </w:r>
      <w:r>
        <w:rPr>
          <w:rFonts w:asciiTheme="minorHAnsi" w:hAnsiTheme="minorHAnsi" w:cstheme="minorHAnsi"/>
          <w:sz w:val="20"/>
          <w:szCs w:val="20"/>
          <w:highlight w:val="yellow"/>
        </w:rPr>
        <w:t>other reasons look good</w:t>
      </w:r>
    </w:p>
    <w:p w14:paraId="6A951431" w14:textId="77777777" w:rsidR="007D48E7" w:rsidRPr="00930299" w:rsidRDefault="007D48E7" w:rsidP="007D48E7">
      <w:pPr>
        <w:pStyle w:val="Code"/>
      </w:pPr>
      <w:r w:rsidRPr="00930299">
        <w:t xml:space="preserve">   # of pkts dropped due to large hdrs:0</w:t>
      </w:r>
    </w:p>
    <w:p w14:paraId="74348F90" w14:textId="77777777" w:rsidR="007D48E7" w:rsidRPr="00F933C7" w:rsidRDefault="007D48E7" w:rsidP="007D48E7">
      <w:pPr>
        <w:pStyle w:val="Code"/>
      </w:pPr>
      <w:r w:rsidRPr="00930299">
        <w:t xml:space="preserve">   # of pkts dropped due to max number of SG limits:0</w:t>
      </w:r>
    </w:p>
    <w:p w14:paraId="1F747981" w14:textId="77777777" w:rsidR="007D48E7" w:rsidRPr="00F933C7" w:rsidRDefault="007D48E7" w:rsidP="007D48E7">
      <w:pPr>
        <w:pStyle w:val="Code"/>
      </w:pPr>
      <w:r w:rsidRPr="00F933C7">
        <w:t xml:space="preserve">   pkts rx via data ring ok:0</w:t>
      </w:r>
    </w:p>
    <w:p w14:paraId="52661CCF" w14:textId="77777777" w:rsidR="007D48E7" w:rsidRPr="00F933C7" w:rsidRDefault="007D48E7" w:rsidP="007D48E7">
      <w:pPr>
        <w:pStyle w:val="Code"/>
      </w:pPr>
      <w:r w:rsidRPr="00F933C7">
        <w:t xml:space="preserve">   bytes rx via data ring ok:0</w:t>
      </w:r>
    </w:p>
    <w:p w14:paraId="326C0DF6" w14:textId="77777777" w:rsidR="007D48E7" w:rsidRPr="00F933C7" w:rsidRDefault="007D48E7" w:rsidP="007D48E7">
      <w:pPr>
        <w:pStyle w:val="Code"/>
      </w:pPr>
      <w:r w:rsidRPr="00F933C7">
        <w:t xml:space="preserve">   Whether rx burst queuing is enabled:0</w:t>
      </w:r>
    </w:p>
    <w:p w14:paraId="76606B42" w14:textId="77777777" w:rsidR="007D48E7" w:rsidRPr="00F933C7" w:rsidRDefault="007D48E7" w:rsidP="007D48E7">
      <w:pPr>
        <w:pStyle w:val="Code"/>
      </w:pPr>
      <w:r w:rsidRPr="00F933C7">
        <w:t xml:space="preserve">   current backend burst queue length:0</w:t>
      </w:r>
    </w:p>
    <w:p w14:paraId="6BFFBB75" w14:textId="77777777" w:rsidR="007D48E7" w:rsidRPr="00F933C7" w:rsidRDefault="007D48E7" w:rsidP="007D48E7">
      <w:pPr>
        <w:pStyle w:val="Code"/>
      </w:pPr>
      <w:r w:rsidRPr="00F933C7">
        <w:t xml:space="preserve">   maximum backend burst queue length so far:0</w:t>
      </w:r>
    </w:p>
    <w:p w14:paraId="4CC77AB4" w14:textId="77777777" w:rsidR="007D48E7" w:rsidRPr="00835D8C" w:rsidRDefault="007D48E7" w:rsidP="007D48E7">
      <w:pPr>
        <w:pStyle w:val="Code"/>
        <w:rPr>
          <w:color w:val="FF0000"/>
        </w:rPr>
      </w:pPr>
      <w:r w:rsidRPr="00835D8C">
        <w:rPr>
          <w:color w:val="FF0000"/>
        </w:rPr>
        <w:t xml:space="preserve">   aggregate number of times packets are requeued:0</w:t>
      </w:r>
    </w:p>
    <w:p w14:paraId="1BBB2755" w14:textId="77777777" w:rsidR="007D48E7" w:rsidRPr="00835D8C" w:rsidRDefault="007D48E7" w:rsidP="007D48E7">
      <w:pPr>
        <w:pStyle w:val="Code"/>
        <w:rPr>
          <w:color w:val="FF0000"/>
        </w:rPr>
      </w:pPr>
      <w:r w:rsidRPr="00835D8C">
        <w:rPr>
          <w:color w:val="FF0000"/>
        </w:rPr>
        <w:t xml:space="preserve">   aggregate number of times packets are dropped by PktAgingList:0</w:t>
      </w:r>
    </w:p>
    <w:p w14:paraId="75E0967B" w14:textId="77777777" w:rsidR="007D48E7" w:rsidRPr="00835D8C" w:rsidRDefault="007D48E7" w:rsidP="007D48E7">
      <w:pPr>
        <w:pStyle w:val="Code"/>
        <w:rPr>
          <w:color w:val="FF0000"/>
        </w:rPr>
      </w:pPr>
      <w:r w:rsidRPr="00835D8C">
        <w:rPr>
          <w:color w:val="FF0000"/>
        </w:rPr>
        <w:t xml:space="preserve">   # of pkts dropped due to large inner (encap) hdrs:0</w:t>
      </w:r>
    </w:p>
    <w:p w14:paraId="43F9EC23" w14:textId="77777777" w:rsidR="007D48E7" w:rsidRPr="00835D8C" w:rsidRDefault="007D48E7" w:rsidP="007D48E7">
      <w:pPr>
        <w:pStyle w:val="Code"/>
        <w:rPr>
          <w:color w:val="FF0000"/>
        </w:rPr>
      </w:pPr>
      <w:r w:rsidRPr="00835D8C">
        <w:rPr>
          <w:color w:val="FF0000"/>
        </w:rPr>
        <w:t xml:space="preserve">   number of times packets are dropped by burst queue:0</w:t>
      </w:r>
    </w:p>
    <w:p w14:paraId="65E4D381" w14:textId="77777777" w:rsidR="007D48E7" w:rsidRPr="00835D8C" w:rsidRDefault="007D48E7" w:rsidP="007D48E7">
      <w:pPr>
        <w:pStyle w:val="Code"/>
        <w:rPr>
          <w:color w:val="FF0000"/>
        </w:rPr>
      </w:pPr>
      <w:r w:rsidRPr="00835D8C">
        <w:rPr>
          <w:color w:val="FF0000"/>
        </w:rPr>
        <w:t xml:space="preserve">   number of times packets are dropped by rx try lock queueing:0</w:t>
      </w:r>
    </w:p>
    <w:p w14:paraId="1692DF12" w14:textId="77777777" w:rsidR="007D48E7" w:rsidRPr="00F933C7" w:rsidRDefault="007D48E7" w:rsidP="007D48E7">
      <w:pPr>
        <w:pStyle w:val="Code"/>
      </w:pPr>
      <w:r w:rsidRPr="00F933C7">
        <w:t xml:space="preserve">   number of packets delivered by burst queue:0</w:t>
      </w:r>
    </w:p>
    <w:p w14:paraId="1B847BE6" w14:textId="77777777" w:rsidR="007D48E7" w:rsidRPr="00835D8C" w:rsidRDefault="007D48E7" w:rsidP="007D48E7">
      <w:pPr>
        <w:pStyle w:val="Code"/>
        <w:rPr>
          <w:color w:val="FF0000"/>
        </w:rPr>
      </w:pPr>
      <w:r w:rsidRPr="00835D8C">
        <w:rPr>
          <w:color w:val="FF0000"/>
        </w:rPr>
        <w:t xml:space="preserve">   number of packets dropped by packet steering:0</w:t>
      </w:r>
    </w:p>
    <w:p w14:paraId="4491EF89" w14:textId="77777777" w:rsidR="007D48E7" w:rsidRPr="00F933C7" w:rsidRDefault="007D48E7" w:rsidP="007D48E7">
      <w:pPr>
        <w:pStyle w:val="Code"/>
      </w:pPr>
      <w:r w:rsidRPr="00F933C7">
        <w:t xml:space="preserve">   number of memory region lookup pass in Rx.:0</w:t>
      </w:r>
    </w:p>
    <w:p w14:paraId="2D9F3177" w14:textId="77777777" w:rsidR="007D48E7" w:rsidRPr="00835D8C" w:rsidRDefault="007D48E7" w:rsidP="007D48E7">
      <w:pPr>
        <w:pStyle w:val="Code"/>
        <w:rPr>
          <w:color w:val="FF0000"/>
        </w:rPr>
      </w:pPr>
      <w:r w:rsidRPr="00835D8C">
        <w:rPr>
          <w:color w:val="FF0000"/>
        </w:rPr>
        <w:t xml:space="preserve">   number of packets dropped due to pkt length exceeds vNic mtu:0</w:t>
      </w:r>
    </w:p>
    <w:p w14:paraId="4F395BC6" w14:textId="77777777" w:rsidR="007D48E7" w:rsidRPr="00835D8C" w:rsidRDefault="007D48E7" w:rsidP="007D48E7">
      <w:pPr>
        <w:pStyle w:val="Code"/>
        <w:rPr>
          <w:color w:val="FF0000"/>
        </w:rPr>
      </w:pPr>
      <w:r w:rsidRPr="00835D8C">
        <w:rPr>
          <w:color w:val="FF0000"/>
        </w:rPr>
        <w:t xml:space="preserve">   number of packets dropped due to pkt truncation:0</w:t>
      </w:r>
    </w:p>
    <w:p w14:paraId="6682A7F3" w14:textId="77777777" w:rsidR="007D48E7" w:rsidRDefault="007D48E7" w:rsidP="007D48E7">
      <w:pPr>
        <w:pStyle w:val="Code"/>
      </w:pPr>
      <w:r w:rsidRPr="00F933C7">
        <w:t>}</w:t>
      </w:r>
    </w:p>
    <w:p w14:paraId="3D71FA22" w14:textId="77777777" w:rsidR="007D48E7" w:rsidRPr="00F933C7" w:rsidRDefault="007D48E7" w:rsidP="007D48E7">
      <w:r>
        <w:t xml:space="preserve">Networking </w:t>
      </w:r>
      <w:r w:rsidRPr="001006AF">
        <w:t>VMs</w:t>
      </w:r>
      <w:r>
        <w:t xml:space="preserve">, </w:t>
      </w:r>
      <w:r w:rsidRPr="001006AF">
        <w:t xml:space="preserve">such as </w:t>
      </w:r>
      <w:r>
        <w:t xml:space="preserve">firewall and routers, </w:t>
      </w:r>
      <w:r w:rsidRPr="001006AF">
        <w:t xml:space="preserve">or any high VMs expecting high packet rates, </w:t>
      </w:r>
      <w:r>
        <w:t xml:space="preserve">check if </w:t>
      </w:r>
      <w:r w:rsidRPr="001006AF">
        <w:t>the VM is requesting NetQ RSS</w:t>
      </w:r>
      <w:r>
        <w:t xml:space="preserve">. </w:t>
      </w:r>
    </w:p>
    <w:p w14:paraId="5895B08F" w14:textId="77777777" w:rsidR="007D48E7" w:rsidRPr="003E394A" w:rsidRDefault="007D48E7" w:rsidP="007D48E7">
      <w:pPr>
        <w:pStyle w:val="Heading4"/>
      </w:pPr>
      <w:r>
        <w:lastRenderedPageBreak/>
        <w:t>Unusual Packets</w:t>
      </w:r>
    </w:p>
    <w:p w14:paraId="01A33F5C" w14:textId="77777777" w:rsidR="007D48E7" w:rsidRDefault="007D48E7" w:rsidP="007D48E7">
      <w:pPr>
        <w:rPr>
          <w:lang w:val="en-GB"/>
        </w:rPr>
      </w:pPr>
      <w:r>
        <w:rPr>
          <w:noProof/>
          <w:lang w:val="en-GB"/>
        </w:rPr>
        <w:drawing>
          <wp:inline distT="0" distB="0" distL="0" distR="0" wp14:anchorId="3FE59C81" wp14:editId="66B1E27E">
            <wp:extent cx="6641465" cy="1226185"/>
            <wp:effectExtent l="0" t="0" r="6985" b="0"/>
            <wp:docPr id="750070371" name="Picture 750070371" descr="Graphical user interface, tex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71" name="Picture 750070371" descr="Graphical user interface, text, application&#10;&#10;Description automatically generated with medium confidence"/>
                    <pic:cNvPicPr>
                      <a:picLocks noChangeAspect="1" noChangeArrowheads="1"/>
                    </pic:cNvPicPr>
                  </pic:nvPicPr>
                  <pic:blipFill>
                    <a:blip r:embed="rId810">
                      <a:extLst>
                        <a:ext uri="{28A0092B-C50C-407E-A947-70E740481C1C}">
                          <a14:useLocalDpi xmlns:a14="http://schemas.microsoft.com/office/drawing/2010/main" val="0"/>
                        </a:ext>
                      </a:extLst>
                    </a:blip>
                    <a:srcRect/>
                    <a:stretch>
                      <a:fillRect/>
                    </a:stretch>
                  </pic:blipFill>
                  <pic:spPr bwMode="auto">
                    <a:xfrm>
                      <a:off x="0" y="0"/>
                      <a:ext cx="6641465" cy="1226185"/>
                    </a:xfrm>
                    <a:prstGeom prst="rect">
                      <a:avLst/>
                    </a:prstGeom>
                    <a:noFill/>
                    <a:ln>
                      <a:noFill/>
                    </a:ln>
                  </pic:spPr>
                </pic:pic>
              </a:graphicData>
            </a:graphic>
          </wp:inline>
        </w:drawing>
      </w:r>
    </w:p>
    <w:p w14:paraId="6EC264FD" w14:textId="77777777" w:rsidR="007D48E7" w:rsidRDefault="007D48E7" w:rsidP="007D48E7">
      <w:pPr>
        <w:rPr>
          <w:lang w:val="en-GB"/>
        </w:rPr>
      </w:pPr>
      <w:r>
        <w:rPr>
          <w:lang w:val="en-GB"/>
        </w:rPr>
        <w:t xml:space="preserve">Your VM network should be mostly unicast traffic. So check that broadcast and multicast are within your expectation. Your ESXi Hosts should also have minimal broadcast and multicast packets. </w:t>
      </w:r>
    </w:p>
    <w:p w14:paraId="32A9436F" w14:textId="77777777" w:rsidR="007D48E7" w:rsidRDefault="007D48E7" w:rsidP="007D48E7">
      <w:pPr>
        <w:rPr>
          <w:lang w:val="en-GB"/>
        </w:rPr>
      </w:pPr>
      <w:r w:rsidRPr="003B006C">
        <w:rPr>
          <w:noProof/>
          <w:lang w:val="en-GB"/>
        </w:rPr>
        <w:drawing>
          <wp:inline distT="0" distB="0" distL="0" distR="0" wp14:anchorId="514AEF9D" wp14:editId="42D72CD5">
            <wp:extent cx="6645910" cy="3763010"/>
            <wp:effectExtent l="0" t="0" r="2540" b="8890"/>
            <wp:docPr id="918289604" name="Picture 918289604"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04" name="Picture 918289604" descr="Chart&#10;&#10;Description automatically generated with medium confidence"/>
                    <pic:cNvPicPr/>
                  </pic:nvPicPr>
                  <pic:blipFill>
                    <a:blip r:embed="rId811"/>
                    <a:stretch>
                      <a:fillRect/>
                    </a:stretch>
                  </pic:blipFill>
                  <pic:spPr>
                    <a:xfrm>
                      <a:off x="0" y="0"/>
                      <a:ext cx="6645910" cy="3763010"/>
                    </a:xfrm>
                    <a:prstGeom prst="rect">
                      <a:avLst/>
                    </a:prstGeom>
                  </pic:spPr>
                </pic:pic>
              </a:graphicData>
            </a:graphic>
          </wp:inline>
        </w:drawing>
      </w:r>
    </w:p>
    <w:p w14:paraId="228CD291" w14:textId="1F558BC0" w:rsidR="007D48E7" w:rsidRDefault="00AE0F5A" w:rsidP="007D48E7">
      <w:pPr>
        <w:pStyle w:val="Heading4"/>
      </w:pPr>
      <w:r w:rsidRPr="00AE0F5A">
        <w:t>Consumption Metrics</w:t>
      </w:r>
    </w:p>
    <w:p w14:paraId="5A6F0BB9" w14:textId="77777777" w:rsidR="007D48E7" w:rsidRDefault="007D48E7" w:rsidP="007D48E7">
      <w:pPr>
        <w:rPr>
          <w:lang w:val="en-GB"/>
        </w:rPr>
      </w:pPr>
      <w:r>
        <w:rPr>
          <w:lang w:val="en-GB"/>
        </w:rPr>
        <w:t xml:space="preserve">The throughput (bandwidth consumption) metrics are: </w:t>
      </w:r>
    </w:p>
    <w:p w14:paraId="7121A9CC" w14:textId="77777777" w:rsidR="007D48E7" w:rsidRDefault="007D48E7" w:rsidP="007D48E7">
      <w:pPr>
        <w:rPr>
          <w:lang w:val="en-GB"/>
        </w:rPr>
      </w:pPr>
      <w:r>
        <w:rPr>
          <w:noProof/>
          <w:lang w:val="en-GB"/>
        </w:rPr>
        <w:lastRenderedPageBreak/>
        <w:drawing>
          <wp:inline distT="0" distB="0" distL="0" distR="0" wp14:anchorId="53DFB634" wp14:editId="485DC607">
            <wp:extent cx="6641465" cy="1532890"/>
            <wp:effectExtent l="0" t="0" r="6985" b="0"/>
            <wp:docPr id="750070372" name="Picture 750070372" descr="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72" name="Picture 750070372" descr="Text&#10;&#10;Description automatically generated with medium confidence"/>
                    <pic:cNvPicPr>
                      <a:picLocks noChangeAspect="1" noChangeArrowheads="1"/>
                    </pic:cNvPicPr>
                  </pic:nvPicPr>
                  <pic:blipFill>
                    <a:blip r:embed="rId812">
                      <a:extLst>
                        <a:ext uri="{28A0092B-C50C-407E-A947-70E740481C1C}">
                          <a14:useLocalDpi xmlns:a14="http://schemas.microsoft.com/office/drawing/2010/main" val="0"/>
                        </a:ext>
                      </a:extLst>
                    </a:blip>
                    <a:srcRect/>
                    <a:stretch>
                      <a:fillRect/>
                    </a:stretch>
                  </pic:blipFill>
                  <pic:spPr bwMode="auto">
                    <a:xfrm>
                      <a:off x="0" y="0"/>
                      <a:ext cx="6641465" cy="1532890"/>
                    </a:xfrm>
                    <a:prstGeom prst="rect">
                      <a:avLst/>
                    </a:prstGeom>
                    <a:noFill/>
                    <a:ln>
                      <a:noFill/>
                    </a:ln>
                  </pic:spPr>
                </pic:pic>
              </a:graphicData>
            </a:graphic>
          </wp:inline>
        </w:drawing>
      </w:r>
    </w:p>
    <w:p w14:paraId="337BDF09" w14:textId="77777777" w:rsidR="007D48E7" w:rsidRDefault="007D48E7" w:rsidP="007D48E7">
      <w:pPr>
        <w:rPr>
          <w:lang w:val="en-GB"/>
        </w:rPr>
      </w:pPr>
      <w:r>
        <w:rPr>
          <w:lang w:val="en-GB"/>
        </w:rPr>
        <w:t>I’m unsure why there are duplicates metrics.</w:t>
      </w:r>
    </w:p>
    <w:p w14:paraId="322833B6" w14:textId="77777777" w:rsidR="007D48E7" w:rsidRDefault="007D48E7" w:rsidP="007D48E7">
      <w:pPr>
        <w:rPr>
          <w:lang w:val="en-GB"/>
        </w:rPr>
      </w:pPr>
      <w:r>
        <w:rPr>
          <w:lang w:val="en-GB"/>
        </w:rPr>
        <w:t>The packet per second metrics are:</w:t>
      </w:r>
    </w:p>
    <w:p w14:paraId="4B54A5FB" w14:textId="77777777" w:rsidR="007D48E7" w:rsidRDefault="007D48E7" w:rsidP="007D48E7">
      <w:pPr>
        <w:rPr>
          <w:lang w:val="en-GB"/>
        </w:rPr>
      </w:pPr>
      <w:r>
        <w:rPr>
          <w:noProof/>
          <w:lang w:val="en-GB"/>
        </w:rPr>
        <w:drawing>
          <wp:inline distT="0" distB="0" distL="0" distR="0" wp14:anchorId="5082CBEA" wp14:editId="44D5B3E3">
            <wp:extent cx="5770880" cy="624205"/>
            <wp:effectExtent l="0" t="0" r="1270" b="4445"/>
            <wp:docPr id="750070373" name="Picture 750070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3">
                      <a:extLst>
                        <a:ext uri="{28A0092B-C50C-407E-A947-70E740481C1C}">
                          <a14:useLocalDpi xmlns:a14="http://schemas.microsoft.com/office/drawing/2010/main" val="0"/>
                        </a:ext>
                      </a:extLst>
                    </a:blip>
                    <a:srcRect/>
                    <a:stretch>
                      <a:fillRect/>
                    </a:stretch>
                  </pic:blipFill>
                  <pic:spPr bwMode="auto">
                    <a:xfrm>
                      <a:off x="0" y="0"/>
                      <a:ext cx="5770880" cy="624205"/>
                    </a:xfrm>
                    <a:prstGeom prst="rect">
                      <a:avLst/>
                    </a:prstGeom>
                    <a:noFill/>
                    <a:ln>
                      <a:noFill/>
                    </a:ln>
                  </pic:spPr>
                </pic:pic>
              </a:graphicData>
            </a:graphic>
          </wp:inline>
        </w:drawing>
      </w:r>
    </w:p>
    <w:p w14:paraId="0970785C" w14:textId="77777777" w:rsidR="007D48E7" w:rsidRPr="002E2DE9" w:rsidRDefault="007D48E7" w:rsidP="007D48E7">
      <w:pPr>
        <w:rPr>
          <w:lang w:val="en-GB"/>
        </w:rPr>
      </w:pPr>
    </w:p>
    <w:p w14:paraId="53D2EA73" w14:textId="1B2FE635" w:rsidR="007A6FCC" w:rsidRDefault="007A6FCC" w:rsidP="007D48E7">
      <w:pPr>
        <w:pStyle w:val="Heading3"/>
      </w:pPr>
      <w:r>
        <w:t>esxtop</w:t>
      </w:r>
    </w:p>
    <w:p w14:paraId="76CC5F22" w14:textId="45FCF6EC" w:rsidR="00011AB4" w:rsidRDefault="00011AB4" w:rsidP="007A6FCC">
      <w:r>
        <w:t>I put esxtop under ESXi as it is about a</w:t>
      </w:r>
      <w:r w:rsidR="00CC403E">
        <w:t xml:space="preserve"> single</w:t>
      </w:r>
      <w:r>
        <w:t xml:space="preserve"> ESXi at a time. The metric covers </w:t>
      </w:r>
      <w:r w:rsidR="00CC403E">
        <w:t xml:space="preserve">both the ESXi and </w:t>
      </w:r>
      <w:r>
        <w:t>its running VMs.</w:t>
      </w:r>
      <w:r w:rsidR="00906444" w:rsidRPr="00906444">
        <w:t xml:space="preserve"> </w:t>
      </w:r>
      <w:r w:rsidR="00906444">
        <w:t>While the manual uses the term Guest, esxtop does not actually have any Guest OS metrics. You should distinguish between Guest OS and VM.</w:t>
      </w:r>
    </w:p>
    <w:p w14:paraId="103FA89B" w14:textId="5FB2BDE3" w:rsidR="00862216" w:rsidRDefault="00862216" w:rsidP="00862216">
      <w:pPr>
        <w:rPr>
          <w:lang w:val="en-GB"/>
        </w:rPr>
      </w:pPr>
      <w:r>
        <w:t xml:space="preserve">The view from a VM (consumer) and the view from ESXi (provider) are different. vCPU is construct of a VM, while core and thread are construct seen by ESXi. I hope future version of esxtop segregates this better. </w:t>
      </w:r>
      <w:r>
        <w:rPr>
          <w:lang w:val="en-GB"/>
        </w:rPr>
        <w:t xml:space="preserve">You get to see both VM level and ESXi level objects at the same time. It is confusing for newbie, but convenient for power user, and if you’re looking at esxtop, you are a power user </w:t>
      </w:r>
      <w:r w:rsidRPr="00250B18">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028409DF" w14:textId="04D07DFB" w:rsidR="007A6FCC" w:rsidRDefault="007A6FCC" w:rsidP="007A6FCC">
      <w:r>
        <w:t>Now that we have covered many of the metrics, the esxtop output would be easier to understand</w:t>
      </w:r>
      <w:r w:rsidR="00862216">
        <w:t>.</w:t>
      </w:r>
      <w:r w:rsidR="00862216" w:rsidRPr="00862216">
        <w:t xml:space="preserve"> </w:t>
      </w:r>
      <w:r w:rsidR="00862216">
        <w:t>This documentation is not about how to use esxtop, but about what the metrics mean and their relevance in operations management.</w:t>
      </w:r>
    </w:p>
    <w:p w14:paraId="06CAA5D0" w14:textId="77777777" w:rsidR="00786E5E" w:rsidRDefault="00786E5E" w:rsidP="00786E5E">
      <w:r>
        <w:t>The nature of esxtop meant it is excellent for performance troubleshooting, especially real time and live situation where you know the specific ESXi Host. The tool is not so suitable for capacity management, where you need to look at long term (often weeks or months). As a result, I cover the contention metrics first, followed by consumption.</w:t>
      </w:r>
    </w:p>
    <w:p w14:paraId="1E7B70FA" w14:textId="77777777" w:rsidR="007A6FCC" w:rsidRPr="005F2130" w:rsidRDefault="007A6FCC" w:rsidP="007A6FCC">
      <w:pPr>
        <w:rPr>
          <w:lang w:val="en-GB"/>
        </w:rPr>
      </w:pPr>
      <w:r>
        <w:rPr>
          <w:lang w:val="en-GB"/>
        </w:rPr>
        <w:t>I have not had the need to use some of the metrics, hence I don’t have much guidance on them. If you do, let’s collaborate.</w:t>
      </w:r>
    </w:p>
    <w:p w14:paraId="00A9ECCF" w14:textId="7AA955BF" w:rsidR="007A6FCC" w:rsidRDefault="0049506F" w:rsidP="007A6FCC">
      <w:pPr>
        <w:pStyle w:val="Heading4"/>
      </w:pPr>
      <w:r>
        <w:lastRenderedPageBreak/>
        <w:t>Grouping</w:t>
      </w:r>
    </w:p>
    <w:p w14:paraId="1B15E096" w14:textId="6DB382B3" w:rsidR="0049506F" w:rsidRDefault="0049506F" w:rsidP="0049506F">
      <w:r>
        <w:t>The esxtop screen groups the metrics into 10, as shown below:</w:t>
      </w:r>
    </w:p>
    <w:p w14:paraId="7DDCDA00" w14:textId="232E0124" w:rsidR="0049506F" w:rsidRDefault="0049506F" w:rsidP="0049506F">
      <w:pPr>
        <w:jc w:val="center"/>
      </w:pPr>
      <w:r w:rsidRPr="00BD6AC6">
        <w:rPr>
          <w:noProof/>
        </w:rPr>
        <w:drawing>
          <wp:inline distT="0" distB="0" distL="0" distR="0" wp14:anchorId="36EE837E" wp14:editId="77374233">
            <wp:extent cx="5391427" cy="1047804"/>
            <wp:effectExtent l="0" t="0" r="0" b="0"/>
            <wp:docPr id="567723364" name="Picture 567723364"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64" name="Picture 567723364" descr="A screenshot of a computer&#10;&#10;Description automatically generated with medium confidence"/>
                    <pic:cNvPicPr/>
                  </pic:nvPicPr>
                  <pic:blipFill>
                    <a:blip r:embed="rId814"/>
                    <a:stretch>
                      <a:fillRect/>
                    </a:stretch>
                  </pic:blipFill>
                  <pic:spPr>
                    <a:xfrm>
                      <a:off x="0" y="0"/>
                      <a:ext cx="5391427" cy="1047804"/>
                    </a:xfrm>
                    <a:prstGeom prst="rect">
                      <a:avLst/>
                    </a:prstGeom>
                  </pic:spPr>
                </pic:pic>
              </a:graphicData>
            </a:graphic>
          </wp:inline>
        </w:drawing>
      </w:r>
    </w:p>
    <w:p w14:paraId="6CC15148" w14:textId="39C5098D" w:rsidR="007A6FCC" w:rsidRPr="00BD6AC6" w:rsidRDefault="0049506F" w:rsidP="0049506F">
      <w:r>
        <w:t xml:space="preserve">There are relationships among </w:t>
      </w:r>
      <w:r w:rsidRPr="00463D13">
        <w:rPr>
          <w:i/>
          <w:iCs/>
          <w:color w:val="FF0000"/>
        </w:rPr>
        <w:t>some</w:t>
      </w:r>
      <w:r w:rsidRPr="00463D13">
        <w:rPr>
          <w:color w:val="FF0000"/>
        </w:rPr>
        <w:t xml:space="preserve"> </w:t>
      </w:r>
      <w:r>
        <w:t xml:space="preserve">of the 10 panels, but they are not obvious as the UI simply presents them as a list. To facilitate understanding of the metrics, we need to </w:t>
      </w:r>
      <w:r w:rsidRPr="0049506F">
        <w:t xml:space="preserve">group them differently. </w:t>
      </w:r>
    </w:p>
    <w:p w14:paraId="491C72EA" w14:textId="05F5518F" w:rsidR="007A6FCC" w:rsidRDefault="007A6FCC" w:rsidP="007A6FCC">
      <w:r>
        <w:t xml:space="preserve">So instead of documenting the 10 panels, I’d group them into </w:t>
      </w:r>
      <w:r w:rsidR="0049506F">
        <w:t>4</w:t>
      </w:r>
      <w:r>
        <w:t>.</w:t>
      </w:r>
    </w:p>
    <w:p w14:paraId="63714602" w14:textId="77777777" w:rsidR="007A6FCC" w:rsidRDefault="007A6FCC" w:rsidP="007A6FCC">
      <w:pPr>
        <w:pStyle w:val="BeforeTable"/>
      </w:pPr>
    </w:p>
    <w:tbl>
      <w:tblPr>
        <w:tblStyle w:val="TableGridLight"/>
        <w:tblW w:w="5000" w:type="pct"/>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134"/>
        <w:gridCol w:w="1275"/>
        <w:gridCol w:w="1419"/>
        <w:gridCol w:w="6638"/>
      </w:tblGrid>
      <w:tr w:rsidR="007A6FCC" w:rsidRPr="00E51A31" w14:paraId="6CFD1E6C" w14:textId="77777777" w:rsidTr="00281329">
        <w:tc>
          <w:tcPr>
            <w:tcW w:w="542" w:type="pct"/>
            <w:shd w:val="clear" w:color="auto" w:fill="F2F2F2" w:themeFill="background1" w:themeFillShade="F2"/>
          </w:tcPr>
          <w:p w14:paraId="0B97B41D" w14:textId="77777777" w:rsidR="007A6FCC" w:rsidRPr="00D457AB" w:rsidRDefault="007A6FCC" w:rsidP="00281329">
            <w:pPr>
              <w:pStyle w:val="Tablecontent"/>
              <w:rPr>
                <w:b/>
                <w:bCs/>
                <w:lang w:val="en-GB"/>
              </w:rPr>
            </w:pPr>
            <w:r>
              <w:rPr>
                <w:b/>
                <w:bCs/>
                <w:lang w:val="en-GB"/>
              </w:rPr>
              <w:t>Group</w:t>
            </w:r>
          </w:p>
        </w:tc>
        <w:tc>
          <w:tcPr>
            <w:tcW w:w="609" w:type="pct"/>
            <w:shd w:val="clear" w:color="auto" w:fill="F2F2F2" w:themeFill="background1" w:themeFillShade="F2"/>
          </w:tcPr>
          <w:p w14:paraId="55E579E7" w14:textId="77777777" w:rsidR="007A6FCC" w:rsidRPr="00D457AB" w:rsidRDefault="007A6FCC" w:rsidP="00281329">
            <w:pPr>
              <w:pStyle w:val="Tablecontent"/>
              <w:rPr>
                <w:b/>
                <w:bCs/>
                <w:lang w:val="en-GB"/>
              </w:rPr>
            </w:pPr>
            <w:r>
              <w:rPr>
                <w:b/>
                <w:bCs/>
                <w:lang w:val="en-GB"/>
              </w:rPr>
              <w:t>Consumer</w:t>
            </w:r>
          </w:p>
        </w:tc>
        <w:tc>
          <w:tcPr>
            <w:tcW w:w="678" w:type="pct"/>
            <w:shd w:val="clear" w:color="auto" w:fill="F2F2F2" w:themeFill="background1" w:themeFillShade="F2"/>
          </w:tcPr>
          <w:p w14:paraId="5F8263B0" w14:textId="77777777" w:rsidR="007A6FCC" w:rsidRPr="00D457AB" w:rsidRDefault="007A6FCC" w:rsidP="00281329">
            <w:pPr>
              <w:pStyle w:val="Tablecontent"/>
              <w:rPr>
                <w:b/>
                <w:bCs/>
                <w:lang w:val="en-GB"/>
              </w:rPr>
            </w:pPr>
            <w:r>
              <w:rPr>
                <w:b/>
                <w:bCs/>
                <w:lang w:val="en-GB"/>
              </w:rPr>
              <w:t>Provider</w:t>
            </w:r>
          </w:p>
        </w:tc>
        <w:tc>
          <w:tcPr>
            <w:tcW w:w="3171" w:type="pct"/>
            <w:shd w:val="clear" w:color="auto" w:fill="F2F2F2" w:themeFill="background1" w:themeFillShade="F2"/>
          </w:tcPr>
          <w:p w14:paraId="28374FCC" w14:textId="77777777" w:rsidR="007A6FCC" w:rsidRPr="00240669" w:rsidRDefault="007A6FCC" w:rsidP="00281329">
            <w:pPr>
              <w:pStyle w:val="Tablecontent"/>
              <w:rPr>
                <w:b/>
                <w:bCs/>
                <w:lang w:val="en-GB"/>
              </w:rPr>
            </w:pPr>
            <w:r w:rsidRPr="00240669">
              <w:rPr>
                <w:b/>
                <w:bCs/>
                <w:lang w:val="en-GB"/>
              </w:rPr>
              <w:t>Remarks</w:t>
            </w:r>
          </w:p>
        </w:tc>
      </w:tr>
      <w:tr w:rsidR="007A6FCC" w:rsidRPr="00E51A31" w14:paraId="06B93CDD" w14:textId="77777777" w:rsidTr="00281329">
        <w:tc>
          <w:tcPr>
            <w:tcW w:w="542" w:type="pct"/>
            <w:shd w:val="clear" w:color="auto" w:fill="auto"/>
          </w:tcPr>
          <w:p w14:paraId="458502DB" w14:textId="77777777" w:rsidR="007A6FCC" w:rsidRPr="00642EDD" w:rsidRDefault="007A6FCC" w:rsidP="00281329">
            <w:pPr>
              <w:pStyle w:val="Tablecontent"/>
              <w:rPr>
                <w:lang w:val="en-GB"/>
              </w:rPr>
            </w:pPr>
            <w:r w:rsidRPr="00642EDD">
              <w:rPr>
                <w:lang w:val="en-GB"/>
              </w:rPr>
              <w:t>CPU</w:t>
            </w:r>
          </w:p>
        </w:tc>
        <w:tc>
          <w:tcPr>
            <w:tcW w:w="609" w:type="pct"/>
            <w:shd w:val="clear" w:color="auto" w:fill="auto"/>
          </w:tcPr>
          <w:p w14:paraId="1ACB5B82" w14:textId="77777777" w:rsidR="007A6FCC" w:rsidRPr="00642EDD" w:rsidRDefault="007A6FCC" w:rsidP="00281329">
            <w:pPr>
              <w:pStyle w:val="Tablecontent"/>
              <w:rPr>
                <w:lang w:val="en-GB"/>
              </w:rPr>
            </w:pPr>
            <w:r w:rsidRPr="00642EDD">
              <w:rPr>
                <w:lang w:val="en-GB"/>
              </w:rPr>
              <w:t>Y</w:t>
            </w:r>
            <w:r>
              <w:rPr>
                <w:lang w:val="en-GB"/>
              </w:rPr>
              <w:t>es</w:t>
            </w:r>
          </w:p>
        </w:tc>
        <w:tc>
          <w:tcPr>
            <w:tcW w:w="678" w:type="pct"/>
            <w:shd w:val="clear" w:color="auto" w:fill="auto"/>
          </w:tcPr>
          <w:p w14:paraId="06825CCD" w14:textId="77777777" w:rsidR="007A6FCC" w:rsidRPr="00642EDD" w:rsidRDefault="007A6FCC" w:rsidP="00281329">
            <w:pPr>
              <w:pStyle w:val="Tablecontent"/>
              <w:rPr>
                <w:lang w:val="en-GB"/>
              </w:rPr>
            </w:pPr>
            <w:r>
              <w:rPr>
                <w:lang w:val="en-GB"/>
              </w:rPr>
              <w:t>Sort of</w:t>
            </w:r>
          </w:p>
        </w:tc>
        <w:tc>
          <w:tcPr>
            <w:tcW w:w="3171" w:type="pct"/>
          </w:tcPr>
          <w:p w14:paraId="522EDE64" w14:textId="77777777" w:rsidR="007A6FCC" w:rsidRDefault="007A6FCC" w:rsidP="00281329">
            <w:pPr>
              <w:pStyle w:val="Tablecontent"/>
              <w:rPr>
                <w:lang w:val="en-GB"/>
              </w:rPr>
            </w:pPr>
            <w:r>
              <w:rPr>
                <w:lang w:val="en-GB"/>
              </w:rPr>
              <w:t xml:space="preserve">The CPU panel has a 4 line summary that provides the provider’s viewpoint. </w:t>
            </w:r>
          </w:p>
          <w:p w14:paraId="27550E42" w14:textId="16C477C9" w:rsidR="007A6FCC" w:rsidRDefault="007A6FCC" w:rsidP="00281329">
            <w:pPr>
              <w:pStyle w:val="Tablecontent"/>
              <w:rPr>
                <w:lang w:val="en-GB"/>
              </w:rPr>
            </w:pPr>
            <w:r>
              <w:rPr>
                <w:lang w:val="en-GB"/>
              </w:rPr>
              <w:t xml:space="preserve">I moved </w:t>
            </w:r>
            <w:r w:rsidRPr="00642EDD">
              <w:rPr>
                <w:color w:val="00B0F0"/>
                <w:lang w:val="en-GB"/>
              </w:rPr>
              <w:t xml:space="preserve">Power Management </w:t>
            </w:r>
            <w:r>
              <w:rPr>
                <w:lang w:val="en-GB"/>
              </w:rPr>
              <w:t xml:space="preserve">panel here as it only covers CPU. It does not cover memory, disk, network and other parts of the box (e.g. fan, motherboard). </w:t>
            </w:r>
            <w:r w:rsidR="0049506F">
              <w:rPr>
                <w:lang w:val="en-GB"/>
              </w:rPr>
              <w:t xml:space="preserve">It </w:t>
            </w:r>
            <w:r>
              <w:rPr>
                <w:lang w:val="en-GB"/>
              </w:rPr>
              <w:t>complement</w:t>
            </w:r>
            <w:r w:rsidR="0049506F">
              <w:rPr>
                <w:lang w:val="en-GB"/>
              </w:rPr>
              <w:t>s</w:t>
            </w:r>
            <w:r>
              <w:rPr>
                <w:lang w:val="en-GB"/>
              </w:rPr>
              <w:t xml:space="preserve"> the CPU panel as it covers the provider’s viewpoint. Take note that it does not show at socket level. And if you enable HT, it does not show at core level.</w:t>
            </w:r>
          </w:p>
          <w:p w14:paraId="5AFF1443" w14:textId="3C0C2F10" w:rsidR="005C13EA" w:rsidRPr="00642EDD" w:rsidRDefault="005C13EA" w:rsidP="00281329">
            <w:pPr>
              <w:pStyle w:val="Tablecontent"/>
              <w:rPr>
                <w:lang w:val="en-GB"/>
              </w:rPr>
            </w:pPr>
            <w:r>
              <w:rPr>
                <w:lang w:val="en-GB"/>
              </w:rPr>
              <w:t xml:space="preserve">I </w:t>
            </w:r>
            <w:r w:rsidR="0049506F">
              <w:rPr>
                <w:lang w:val="en-GB"/>
              </w:rPr>
              <w:t xml:space="preserve">moved </w:t>
            </w:r>
            <w:r w:rsidRPr="0049506F">
              <w:rPr>
                <w:color w:val="00B0F0"/>
                <w:lang w:val="en-GB"/>
              </w:rPr>
              <w:t xml:space="preserve">interrupt </w:t>
            </w:r>
            <w:r>
              <w:rPr>
                <w:lang w:val="en-GB"/>
              </w:rPr>
              <w:t>panel here as it’s about CPU.</w:t>
            </w:r>
          </w:p>
        </w:tc>
      </w:tr>
      <w:tr w:rsidR="007A6FCC" w:rsidRPr="00E51A31" w14:paraId="2ED0D019" w14:textId="77777777" w:rsidTr="00281329">
        <w:tc>
          <w:tcPr>
            <w:tcW w:w="542" w:type="pct"/>
            <w:shd w:val="clear" w:color="auto" w:fill="auto"/>
          </w:tcPr>
          <w:p w14:paraId="0B609AB1" w14:textId="77777777" w:rsidR="007A6FCC" w:rsidRPr="00642EDD" w:rsidRDefault="007A6FCC" w:rsidP="00281329">
            <w:pPr>
              <w:pStyle w:val="Tablecontent"/>
              <w:rPr>
                <w:lang w:val="en-GB"/>
              </w:rPr>
            </w:pPr>
            <w:r w:rsidRPr="00642EDD">
              <w:t xml:space="preserve">Memory </w:t>
            </w:r>
          </w:p>
        </w:tc>
        <w:tc>
          <w:tcPr>
            <w:tcW w:w="1287" w:type="pct"/>
            <w:gridSpan w:val="2"/>
            <w:shd w:val="clear" w:color="auto" w:fill="auto"/>
          </w:tcPr>
          <w:p w14:paraId="141B38D1" w14:textId="77777777" w:rsidR="007A6FCC" w:rsidRPr="00642EDD" w:rsidRDefault="007A6FCC" w:rsidP="00281329">
            <w:pPr>
              <w:pStyle w:val="Tablecontent"/>
              <w:rPr>
                <w:lang w:val="en-GB"/>
              </w:rPr>
            </w:pPr>
            <w:r>
              <w:rPr>
                <w:lang w:val="en-GB"/>
              </w:rPr>
              <w:t>1 shared panel for both</w:t>
            </w:r>
          </w:p>
        </w:tc>
        <w:tc>
          <w:tcPr>
            <w:tcW w:w="3171" w:type="pct"/>
          </w:tcPr>
          <w:p w14:paraId="735F6C76" w14:textId="77777777" w:rsidR="007A6FCC" w:rsidRPr="00642EDD" w:rsidRDefault="007A6FCC" w:rsidP="00281329">
            <w:pPr>
              <w:pStyle w:val="Tablecontent"/>
              <w:rPr>
                <w:lang w:val="en-GB"/>
              </w:rPr>
            </w:pPr>
            <w:r>
              <w:rPr>
                <w:lang w:val="en-GB"/>
              </w:rPr>
              <w:t>Provider and Consumer are shown in 1 panel</w:t>
            </w:r>
            <w:r>
              <w:t>. The panel has a summary at the top, which cover the provider’s viewpoint</w:t>
            </w:r>
          </w:p>
        </w:tc>
      </w:tr>
      <w:tr w:rsidR="007A6FCC" w:rsidRPr="00E51A31" w14:paraId="04F3E7ED" w14:textId="77777777" w:rsidTr="00281329">
        <w:tc>
          <w:tcPr>
            <w:tcW w:w="542" w:type="pct"/>
            <w:shd w:val="clear" w:color="auto" w:fill="auto"/>
          </w:tcPr>
          <w:p w14:paraId="1BCC11D8" w14:textId="77777777" w:rsidR="007A6FCC" w:rsidRPr="00642EDD" w:rsidRDefault="007A6FCC" w:rsidP="00281329">
            <w:pPr>
              <w:pStyle w:val="Tablecontent"/>
              <w:rPr>
                <w:lang w:val="en-GB"/>
              </w:rPr>
            </w:pPr>
            <w:r>
              <w:t>Storage</w:t>
            </w:r>
          </w:p>
        </w:tc>
        <w:tc>
          <w:tcPr>
            <w:tcW w:w="609" w:type="pct"/>
            <w:shd w:val="clear" w:color="auto" w:fill="auto"/>
          </w:tcPr>
          <w:p w14:paraId="7ED55F3C" w14:textId="77777777" w:rsidR="007A6FCC" w:rsidRPr="00642EDD" w:rsidRDefault="007A6FCC" w:rsidP="00281329">
            <w:pPr>
              <w:pStyle w:val="Tablecontent"/>
              <w:rPr>
                <w:lang w:val="en-GB"/>
              </w:rPr>
            </w:pPr>
            <w:r>
              <w:rPr>
                <w:lang w:val="en-GB"/>
              </w:rPr>
              <w:t xml:space="preserve">Yes </w:t>
            </w:r>
          </w:p>
        </w:tc>
        <w:tc>
          <w:tcPr>
            <w:tcW w:w="678" w:type="pct"/>
            <w:shd w:val="clear" w:color="auto" w:fill="auto"/>
          </w:tcPr>
          <w:p w14:paraId="5AB383D8" w14:textId="77777777" w:rsidR="007A6FCC" w:rsidRPr="00642EDD" w:rsidRDefault="007A6FCC" w:rsidP="00281329">
            <w:pPr>
              <w:pStyle w:val="Tablecontent"/>
              <w:rPr>
                <w:lang w:val="en-GB"/>
              </w:rPr>
            </w:pPr>
            <w:r>
              <w:rPr>
                <w:lang w:val="en-GB"/>
              </w:rPr>
              <w:t>Almost</w:t>
            </w:r>
          </w:p>
        </w:tc>
        <w:tc>
          <w:tcPr>
            <w:tcW w:w="3171" w:type="pct"/>
          </w:tcPr>
          <w:p w14:paraId="33D5E9D5" w14:textId="77777777" w:rsidR="007A6FCC" w:rsidRDefault="007A6FCC" w:rsidP="00281329">
            <w:pPr>
              <w:pStyle w:val="Tablecontent"/>
            </w:pPr>
            <w:r>
              <w:t xml:space="preserve">The </w:t>
            </w:r>
            <w:r w:rsidRPr="002A21E4">
              <w:rPr>
                <w:color w:val="00B0F0"/>
              </w:rPr>
              <w:t xml:space="preserve">Disk VM </w:t>
            </w:r>
            <w:r>
              <w:t>panel covers from consumer’s viewpoint.</w:t>
            </w:r>
          </w:p>
          <w:p w14:paraId="6F3F002C" w14:textId="77777777" w:rsidR="0049506F" w:rsidRDefault="007A6FCC" w:rsidP="00281329">
            <w:pPr>
              <w:pStyle w:val="Tablecontent"/>
            </w:pPr>
            <w:r>
              <w:t xml:space="preserve">The </w:t>
            </w:r>
            <w:r w:rsidRPr="00DD2CAA">
              <w:rPr>
                <w:color w:val="00B0F0"/>
              </w:rPr>
              <w:t xml:space="preserve">Disk Adapter </w:t>
            </w:r>
            <w:r>
              <w:t xml:space="preserve">panel and </w:t>
            </w:r>
            <w:r w:rsidRPr="00DD2CAA">
              <w:rPr>
                <w:color w:val="00B0F0"/>
              </w:rPr>
              <w:t xml:space="preserve">Disk Device </w:t>
            </w:r>
            <w:r>
              <w:t xml:space="preserve">panel cover from provider’s viewpoint, and are best to be analyzed together. </w:t>
            </w:r>
          </w:p>
          <w:p w14:paraId="30786D97" w14:textId="186000E2" w:rsidR="007A6FCC" w:rsidRDefault="0049506F" w:rsidP="00281329">
            <w:pPr>
              <w:pStyle w:val="Tablecontent"/>
            </w:pPr>
            <w:r>
              <w:t>BTW, do you notice t</w:t>
            </w:r>
            <w:r w:rsidR="007A6FCC">
              <w:t xml:space="preserve">he </w:t>
            </w:r>
            <w:r w:rsidR="007A6FCC" w:rsidRPr="00961FB1">
              <w:rPr>
                <w:color w:val="00B0F0"/>
              </w:rPr>
              <w:t xml:space="preserve">Path </w:t>
            </w:r>
            <w:r w:rsidR="007A6FCC">
              <w:t>panel is missing</w:t>
            </w:r>
            <w:r>
              <w:t xml:space="preserve">? </w:t>
            </w:r>
          </w:p>
          <w:p w14:paraId="17111233" w14:textId="0C186851" w:rsidR="007A6FCC" w:rsidRPr="00642EDD" w:rsidRDefault="007A6FCC" w:rsidP="00281329">
            <w:pPr>
              <w:pStyle w:val="Tablecontent"/>
              <w:rPr>
                <w:lang w:val="en-GB"/>
              </w:rPr>
            </w:pPr>
            <w:r>
              <w:t xml:space="preserve">I moved </w:t>
            </w:r>
            <w:r w:rsidRPr="0049506F">
              <w:rPr>
                <w:color w:val="00B0F0"/>
              </w:rPr>
              <w:t xml:space="preserve">vSAN </w:t>
            </w:r>
            <w:r w:rsidR="0049506F">
              <w:t xml:space="preserve">panel </w:t>
            </w:r>
            <w:r>
              <w:t>here as all the metrics are disk metrics. There is no vSAN network and CPU counter, but you can see them in the respective network and CPU panel.</w:t>
            </w:r>
          </w:p>
        </w:tc>
      </w:tr>
      <w:tr w:rsidR="007A6FCC" w:rsidRPr="00E51A31" w14:paraId="2FA0AEBE" w14:textId="77777777" w:rsidTr="00281329">
        <w:tc>
          <w:tcPr>
            <w:tcW w:w="542" w:type="pct"/>
            <w:shd w:val="clear" w:color="auto" w:fill="auto"/>
          </w:tcPr>
          <w:p w14:paraId="1C1527D2" w14:textId="77777777" w:rsidR="007A6FCC" w:rsidRPr="00642EDD" w:rsidRDefault="007A6FCC" w:rsidP="00281329">
            <w:pPr>
              <w:pStyle w:val="Tablecontent"/>
              <w:rPr>
                <w:lang w:val="en-GB"/>
              </w:rPr>
            </w:pPr>
            <w:r w:rsidRPr="00642EDD">
              <w:t>Network</w:t>
            </w:r>
          </w:p>
        </w:tc>
        <w:tc>
          <w:tcPr>
            <w:tcW w:w="1287" w:type="pct"/>
            <w:gridSpan w:val="2"/>
            <w:shd w:val="clear" w:color="auto" w:fill="auto"/>
          </w:tcPr>
          <w:p w14:paraId="72A56A05" w14:textId="77777777" w:rsidR="007A6FCC" w:rsidRPr="00642EDD" w:rsidRDefault="007A6FCC" w:rsidP="00281329">
            <w:pPr>
              <w:pStyle w:val="Tablecontent"/>
              <w:rPr>
                <w:lang w:val="en-GB"/>
              </w:rPr>
            </w:pPr>
            <w:r>
              <w:rPr>
                <w:lang w:val="en-GB"/>
              </w:rPr>
              <w:t>1 shared panel for both</w:t>
            </w:r>
          </w:p>
        </w:tc>
        <w:tc>
          <w:tcPr>
            <w:tcW w:w="3171" w:type="pct"/>
          </w:tcPr>
          <w:p w14:paraId="0FB93645" w14:textId="77777777" w:rsidR="007A6FCC" w:rsidRDefault="007A6FCC" w:rsidP="00281329">
            <w:pPr>
              <w:pStyle w:val="Tablecontent"/>
              <w:rPr>
                <w:lang w:val="en-GB"/>
              </w:rPr>
            </w:pPr>
            <w:r>
              <w:rPr>
                <w:lang w:val="en-GB"/>
              </w:rPr>
              <w:t>Provider and Consumer are shown in 1 panel</w:t>
            </w:r>
          </w:p>
          <w:p w14:paraId="4EE12DA3" w14:textId="45D7EBCE" w:rsidR="005C13EA" w:rsidRPr="00642EDD" w:rsidRDefault="005C13EA" w:rsidP="00281329">
            <w:pPr>
              <w:pStyle w:val="Tablecontent"/>
              <w:rPr>
                <w:lang w:val="en-GB"/>
              </w:rPr>
            </w:pPr>
            <w:r>
              <w:rPr>
                <w:lang w:val="en-GB"/>
              </w:rPr>
              <w:t xml:space="preserve">I </w:t>
            </w:r>
            <w:r w:rsidR="0049506F">
              <w:rPr>
                <w:lang w:val="en-GB"/>
              </w:rPr>
              <w:t xml:space="preserve">moved </w:t>
            </w:r>
            <w:r w:rsidRPr="0049506F">
              <w:rPr>
                <w:color w:val="00B0F0"/>
                <w:lang w:val="en-GB"/>
              </w:rPr>
              <w:t>RDMA device</w:t>
            </w:r>
            <w:r>
              <w:rPr>
                <w:lang w:val="en-GB"/>
              </w:rPr>
              <w:t xml:space="preserve"> here as it’s about network card</w:t>
            </w:r>
          </w:p>
        </w:tc>
      </w:tr>
    </w:tbl>
    <w:p w14:paraId="67192D9A" w14:textId="77777777" w:rsidR="007A6FCC" w:rsidRDefault="007A6FCC" w:rsidP="007A6FCC">
      <w:pPr>
        <w:pStyle w:val="Heading4"/>
      </w:pPr>
      <w:r>
        <w:t>CPU</w:t>
      </w:r>
    </w:p>
    <w:p w14:paraId="4BF758B1" w14:textId="77777777" w:rsidR="007A6FCC" w:rsidRPr="00731FB6" w:rsidRDefault="007A6FCC" w:rsidP="007A6FCC">
      <w:pPr>
        <w:rPr>
          <w:lang w:val="en-GB"/>
        </w:rPr>
      </w:pPr>
      <w:r>
        <w:rPr>
          <w:lang w:val="en-GB"/>
        </w:rPr>
        <w:t xml:space="preserve">The CPU panel begins with a summary of the load average in the last 1 minute, 5 minute and 15 minutes, respectively. As shared, utilization is a secondary counter, supporting contention. So focus on contention first before looking at these 3 numbers. In addition, in a large ESXi with many cores, an </w:t>
      </w:r>
      <w:r w:rsidRPr="00F02B99">
        <w:rPr>
          <w:color w:val="FF0000"/>
          <w:lang w:val="en-GB"/>
        </w:rPr>
        <w:t xml:space="preserve">imbalance </w:t>
      </w:r>
      <w:r>
        <w:rPr>
          <w:lang w:val="en-GB"/>
        </w:rPr>
        <w:t>can mask out a busy core.</w:t>
      </w:r>
    </w:p>
    <w:p w14:paraId="6B125FC8" w14:textId="77777777" w:rsidR="007A6FCC" w:rsidRPr="006B07D0" w:rsidRDefault="007A6FCC" w:rsidP="007A6FCC">
      <w:r>
        <w:rPr>
          <w:noProof/>
        </w:rPr>
        <w:lastRenderedPageBreak/>
        <w:drawing>
          <wp:inline distT="0" distB="0" distL="0" distR="0" wp14:anchorId="4ED5686C" wp14:editId="6C13E7C6">
            <wp:extent cx="6642100" cy="482600"/>
            <wp:effectExtent l="0" t="0" r="6350" b="0"/>
            <wp:docPr id="750070393" name="Picture 750070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15">
                      <a:extLst>
                        <a:ext uri="{28A0092B-C50C-407E-A947-70E740481C1C}">
                          <a14:useLocalDpi xmlns:a14="http://schemas.microsoft.com/office/drawing/2010/main" val="0"/>
                        </a:ext>
                      </a:extLst>
                    </a:blip>
                    <a:srcRect/>
                    <a:stretch>
                      <a:fillRect/>
                    </a:stretch>
                  </pic:blipFill>
                  <pic:spPr bwMode="auto">
                    <a:xfrm>
                      <a:off x="0" y="0"/>
                      <a:ext cx="6642100" cy="482600"/>
                    </a:xfrm>
                    <a:prstGeom prst="rect">
                      <a:avLst/>
                    </a:prstGeom>
                    <a:noFill/>
                    <a:ln>
                      <a:noFill/>
                    </a:ln>
                  </pic:spPr>
                </pic:pic>
              </a:graphicData>
            </a:graphic>
          </wp:inline>
        </w:drawing>
      </w:r>
    </w:p>
    <w:p w14:paraId="3AF1618F" w14:textId="77777777" w:rsidR="007A6FCC" w:rsidRDefault="007A6FCC" w:rsidP="007A6FCC">
      <w:r>
        <w:t xml:space="preserve">The next 3 lines covers </w:t>
      </w:r>
      <w:hyperlink w:anchor="_Used" w:history="1">
        <w:r w:rsidRPr="00CC47E2">
          <w:rPr>
            <w:rStyle w:val="Hyperlink"/>
          </w:rPr>
          <w:t>Used (%)</w:t>
        </w:r>
      </w:hyperlink>
      <w:r>
        <w:t xml:space="preserve">, </w:t>
      </w:r>
      <w:hyperlink w:anchor="_Utilization_and_Core" w:history="1">
        <w:r w:rsidRPr="00306540">
          <w:rPr>
            <w:rStyle w:val="Hyperlink"/>
          </w:rPr>
          <w:t>Utilization (%)</w:t>
        </w:r>
      </w:hyperlink>
      <w:r>
        <w:t xml:space="preserve"> and </w:t>
      </w:r>
      <w:hyperlink w:anchor="_Utilization_and_Core" w:history="1">
        <w:r w:rsidRPr="00306540">
          <w:rPr>
            <w:rStyle w:val="Hyperlink"/>
          </w:rPr>
          <w:t>Core Utilization (%)</w:t>
        </w:r>
      </w:hyperlink>
      <w:r>
        <w:t xml:space="preserve">. The reason why I swapped the order in the book is Used (%) is built upon Utilization, and it’s a more complex counter. </w:t>
      </w:r>
    </w:p>
    <w:p w14:paraId="593885FC" w14:textId="77777777" w:rsidR="007A6FCC" w:rsidRDefault="007A6FCC" w:rsidP="007A6FCC">
      <w:r>
        <w:t xml:space="preserve">The white vertical line shows where I cut the screenshot, as the text became too small and unreadable if I were to include all of them. Anyway, it’s just repeating for each CPU thread. </w:t>
      </w:r>
    </w:p>
    <w:p w14:paraId="687908FC" w14:textId="77777777" w:rsidR="007A6FCC" w:rsidRPr="006D4CF8" w:rsidRDefault="007A6FCC" w:rsidP="007A6FCC">
      <w:r w:rsidRPr="006D4CF8">
        <w:t>At the end</w:t>
      </w:r>
      <w:r>
        <w:t xml:space="preserve"> of each 3 lines (after the white line in preceding screenshot), there are NUMA information. It shows the average value across each NUMA node (hence there are 2 numbers as my ESXi has 2 NUMA nodes). The number after </w:t>
      </w:r>
      <w:r w:rsidRPr="00195A41">
        <w:rPr>
          <w:b/>
          <w:bCs/>
          <w:color w:val="00B0F0"/>
        </w:rPr>
        <w:t>AVG</w:t>
      </w:r>
      <w:r>
        <w:t xml:space="preserve"> is the whole box, system wide average. The per NUMA node metric values are useful to easily identify if a particular NUMA node is overloaded.</w:t>
      </w:r>
    </w:p>
    <w:p w14:paraId="065A8FBB" w14:textId="77777777" w:rsidR="007A6FCC" w:rsidRDefault="007A6FCC" w:rsidP="007A6FCC">
      <w:pPr>
        <w:rPr>
          <w:lang w:val="en-GB"/>
        </w:rPr>
      </w:pPr>
      <w:r>
        <w:rPr>
          <w:lang w:val="en-GB"/>
        </w:rPr>
        <w:t xml:space="preserve">Take a look at the panel below. It mixes VM and non VM processes in a single table. </w:t>
      </w:r>
    </w:p>
    <w:p w14:paraId="5B48A6CA" w14:textId="77777777" w:rsidR="007A6FCC" w:rsidRDefault="007A6FCC" w:rsidP="007A6FCC">
      <w:r w:rsidRPr="004F53EF">
        <w:rPr>
          <w:noProof/>
        </w:rPr>
        <w:drawing>
          <wp:inline distT="0" distB="0" distL="0" distR="0" wp14:anchorId="52AF9063" wp14:editId="344310BD">
            <wp:extent cx="6645910" cy="1331595"/>
            <wp:effectExtent l="0" t="0" r="2540" b="1905"/>
            <wp:docPr id="750070394" name="Picture 750070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6"/>
                    <a:stretch>
                      <a:fillRect/>
                    </a:stretch>
                  </pic:blipFill>
                  <pic:spPr>
                    <a:xfrm>
                      <a:off x="0" y="0"/>
                      <a:ext cx="6645910" cy="1331595"/>
                    </a:xfrm>
                    <a:prstGeom prst="rect">
                      <a:avLst/>
                    </a:prstGeom>
                  </pic:spPr>
                </pic:pic>
              </a:graphicData>
            </a:graphic>
          </wp:inline>
        </w:drawing>
      </w:r>
    </w:p>
    <w:p w14:paraId="0D337385" w14:textId="77777777" w:rsidR="007A6FCC" w:rsidRDefault="007A6FCC" w:rsidP="007A6FCC">
      <w:r>
        <w:t xml:space="preserve">If you want to only show VMs, just type the capital letter </w:t>
      </w:r>
      <w:r w:rsidRPr="009F16F8">
        <w:rPr>
          <w:b/>
          <w:bCs/>
          <w:color w:val="00B0F0"/>
        </w:rPr>
        <w:t>V</w:t>
      </w:r>
      <w:r>
        <w:t xml:space="preserve">. </w:t>
      </w:r>
    </w:p>
    <w:p w14:paraId="09E36A85" w14:textId="77777777" w:rsidR="007A6FCC" w:rsidRDefault="007A6FCC" w:rsidP="007A6FCC">
      <w:pPr>
        <w:pStyle w:val="Bullet"/>
      </w:pPr>
      <w:r>
        <w:t xml:space="preserve">Name based filtering allows </w:t>
      </w:r>
      <w:hyperlink r:id="rId817" w:history="1">
        <w:r w:rsidRPr="00723DC4">
          <w:rPr>
            <w:rStyle w:val="Hyperlink"/>
          </w:rPr>
          <w:t>regular expression</w:t>
        </w:r>
      </w:hyperlink>
      <w:r>
        <w:t xml:space="preserve"> based filtering for groups and worlds.</w:t>
      </w:r>
    </w:p>
    <w:p w14:paraId="747A2271" w14:textId="3C0D614E" w:rsidR="007A6FCC" w:rsidRDefault="007A6FCC" w:rsidP="007A6FCC">
      <w:pPr>
        <w:pStyle w:val="Bullet"/>
      </w:pPr>
      <w:r>
        <w:t xml:space="preserve">Type the capital letter </w:t>
      </w:r>
      <w:r>
        <w:rPr>
          <w:b/>
          <w:bCs/>
          <w:color w:val="00B0F0"/>
        </w:rPr>
        <w:t>G</w:t>
      </w:r>
      <w:r>
        <w:t xml:space="preserve"> to only show groups that match given string. This </w:t>
      </w:r>
      <w:r w:rsidR="001939D4">
        <w:t>is</w:t>
      </w:r>
      <w:r>
        <w:t xml:space="preserve"> useful when a host has large number of VMs and you want to focus on a single or set of interesting VMs.</w:t>
      </w:r>
    </w:p>
    <w:p w14:paraId="0C8836C0" w14:textId="77777777" w:rsidR="007A6FCC" w:rsidRDefault="007A6FCC" w:rsidP="007A6FCC">
      <w:pPr>
        <w:pStyle w:val="Bullet"/>
      </w:pPr>
      <w:r>
        <w:t xml:space="preserve">Once a group is expanded you can type the small letter </w:t>
      </w:r>
      <w:r w:rsidRPr="0091281B">
        <w:rPr>
          <w:b/>
          <w:bCs/>
          <w:color w:val="00B0F0"/>
        </w:rPr>
        <w:t>g</w:t>
      </w:r>
      <w:r>
        <w:t xml:space="preserve"> to show only the worlds that match the given string. This is useful when running a VM with many vCPUs and you want to focus on specific worlds like storage worlds or network worlds.</w:t>
      </w:r>
    </w:p>
    <w:p w14:paraId="60A9143A" w14:textId="77777777" w:rsidR="007A6FCC" w:rsidRDefault="007A6FCC" w:rsidP="007A6FCC">
      <w:r>
        <w:t>If you want to see all, h</w:t>
      </w:r>
      <w:r>
        <w:rPr>
          <w:lang w:val="en-GB"/>
        </w:rPr>
        <w:t xml:space="preserve">ow to tell which ones are VM? </w:t>
      </w:r>
      <w:r>
        <w:t xml:space="preserve">I use </w:t>
      </w:r>
      <w:r>
        <w:rPr>
          <w:color w:val="00B0F0"/>
        </w:rPr>
        <w:t>%V</w:t>
      </w:r>
      <w:r w:rsidRPr="00EC7AB4">
        <w:rPr>
          <w:color w:val="00B0F0"/>
        </w:rPr>
        <w:t>MWAIT</w:t>
      </w:r>
      <w:r>
        <w:t xml:space="preserve"> column. This tracks the various waits that VM world gets, so it does not apply to non VM. </w:t>
      </w:r>
    </w:p>
    <w:p w14:paraId="5179E2EA" w14:textId="6BDB79B5" w:rsidR="007A6FCC" w:rsidRDefault="007A6FCC" w:rsidP="007A6FCC">
      <w:r>
        <w:t xml:space="preserve">Notice the </w:t>
      </w:r>
      <w:r w:rsidR="00CF7D2C" w:rsidRPr="00CF7D2C">
        <w:rPr>
          <w:color w:val="FF0000"/>
        </w:rPr>
        <w:t>red</w:t>
      </w:r>
      <w:r>
        <w:t xml:space="preserve"> dot in the picture. Why the Ready time is so high for </w:t>
      </w:r>
      <w:r w:rsidRPr="008D3811">
        <w:rPr>
          <w:color w:val="00B0F0"/>
        </w:rPr>
        <w:t xml:space="preserve">system </w:t>
      </w:r>
      <w:r>
        <w:t>process?</w:t>
      </w:r>
    </w:p>
    <w:p w14:paraId="4C030FC9" w14:textId="77777777" w:rsidR="007A6FCC" w:rsidRDefault="007A6FCC" w:rsidP="007A6FCC">
      <w:r>
        <w:t xml:space="preserve">Because this group includes the idle thread. Expand the GID and you will see </w:t>
      </w:r>
      <w:r w:rsidRPr="00B66099">
        <w:rPr>
          <w:color w:val="00B0F0"/>
        </w:rPr>
        <w:t xml:space="preserve">Idle </w:t>
      </w:r>
      <w:r>
        <w:t>listed.</w:t>
      </w:r>
    </w:p>
    <w:p w14:paraId="2C8177A0" w14:textId="77777777" w:rsidR="007A6FCC" w:rsidRDefault="007A6FCC" w:rsidP="007A6FCC">
      <w:r>
        <w:t xml:space="preserve">There are many columns, as shown below. The most useful one is the </w:t>
      </w:r>
      <w:r w:rsidRPr="008E2163">
        <w:rPr>
          <w:color w:val="00B0F0"/>
        </w:rPr>
        <w:t>%State Times</w:t>
      </w:r>
      <w:r w:rsidRPr="00830815">
        <w:rPr>
          <w:color w:val="000000" w:themeColor="text1"/>
        </w:rPr>
        <w:t xml:space="preserve">, which you get by pressing </w:t>
      </w:r>
      <w:r w:rsidRPr="00830815">
        <w:rPr>
          <w:b/>
          <w:bCs/>
          <w:color w:val="00B0F0"/>
        </w:rPr>
        <w:t>F</w:t>
      </w:r>
      <w:r>
        <w:t xml:space="preserve">. </w:t>
      </w:r>
    </w:p>
    <w:p w14:paraId="7DD6F449" w14:textId="77777777" w:rsidR="007A6FCC" w:rsidRDefault="007A6FCC" w:rsidP="007A6FCC">
      <w:pPr>
        <w:jc w:val="center"/>
      </w:pPr>
      <w:r w:rsidRPr="003B17EA">
        <w:rPr>
          <w:noProof/>
        </w:rPr>
        <w:drawing>
          <wp:inline distT="0" distB="0" distL="0" distR="0" wp14:anchorId="0BE5F649" wp14:editId="1025F6E9">
            <wp:extent cx="3968954" cy="1739989"/>
            <wp:effectExtent l="0" t="0" r="0" b="0"/>
            <wp:docPr id="750070395" name="Picture 75007039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39" name="Picture 750070339" descr="Text&#10;&#10;Description automatically generated"/>
                    <pic:cNvPicPr/>
                  </pic:nvPicPr>
                  <pic:blipFill>
                    <a:blip r:embed="rId818"/>
                    <a:stretch>
                      <a:fillRect/>
                    </a:stretch>
                  </pic:blipFill>
                  <pic:spPr>
                    <a:xfrm>
                      <a:off x="0" y="0"/>
                      <a:ext cx="3968954" cy="1739989"/>
                    </a:xfrm>
                    <a:prstGeom prst="rect">
                      <a:avLst/>
                    </a:prstGeom>
                  </pic:spPr>
                </pic:pic>
              </a:graphicData>
            </a:graphic>
          </wp:inline>
        </w:drawing>
      </w:r>
    </w:p>
    <w:p w14:paraId="3A669971" w14:textId="77777777" w:rsidR="007A6FCC" w:rsidRDefault="007A6FCC" w:rsidP="007A6FCC">
      <w:r>
        <w:t xml:space="preserve">The rest of the information are relatively static or do not require sub-20 second granularity. </w:t>
      </w:r>
    </w:p>
    <w:p w14:paraId="0D1966E2" w14:textId="77777777" w:rsidR="007A6FCC" w:rsidRDefault="007A6FCC" w:rsidP="007A6FCC">
      <w:pPr>
        <w:pStyle w:val="Heading5"/>
      </w:pPr>
      <w:r>
        <w:lastRenderedPageBreak/>
        <w:t>CPU State</w:t>
      </w:r>
    </w:p>
    <w:p w14:paraId="228CB5FC" w14:textId="77777777" w:rsidR="007A6FCC" w:rsidRDefault="007A6FCC" w:rsidP="007A6FCC">
      <w:r>
        <w:rPr>
          <w:lang w:val="en-GB" w:eastAsia="en-SG"/>
        </w:rPr>
        <w:t xml:space="preserve">We covered earlier in the CPU Metric that there are only 4 states. But </w:t>
      </w:r>
      <w:r>
        <w:t xml:space="preserve">esxtop shows a lot more metrics. </w:t>
      </w:r>
    </w:p>
    <w:p w14:paraId="0B2E3BC6" w14:textId="77777777" w:rsidR="007A6FCC" w:rsidRDefault="007A6FCC" w:rsidP="007A6FCC">
      <w:r w:rsidRPr="006D0CB9">
        <w:rPr>
          <w:noProof/>
        </w:rPr>
        <w:drawing>
          <wp:inline distT="0" distB="0" distL="0" distR="0" wp14:anchorId="1B7DF874" wp14:editId="4AB12945">
            <wp:extent cx="6645910" cy="906145"/>
            <wp:effectExtent l="0" t="0" r="2540" b="8255"/>
            <wp:docPr id="1583707940" name="Picture 158370794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40" name="Picture 1583707940" descr="A screenshot of a computer&#10;&#10;Description automatically generated with medium confidence"/>
                    <pic:cNvPicPr/>
                  </pic:nvPicPr>
                  <pic:blipFill>
                    <a:blip r:embed="rId819"/>
                    <a:stretch>
                      <a:fillRect/>
                    </a:stretch>
                  </pic:blipFill>
                  <pic:spPr>
                    <a:xfrm>
                      <a:off x="0" y="0"/>
                      <a:ext cx="6645910" cy="906145"/>
                    </a:xfrm>
                    <a:prstGeom prst="rect">
                      <a:avLst/>
                    </a:prstGeom>
                  </pic:spPr>
                </pic:pic>
              </a:graphicData>
            </a:graphic>
          </wp:inline>
        </w:drawing>
      </w:r>
    </w:p>
    <w:p w14:paraId="07B7C964" w14:textId="77777777" w:rsidR="007A6FCC" w:rsidRDefault="007A6FCC" w:rsidP="007A6FCC">
      <w:r>
        <w:t>So what does it mean? How come there are more than 4 states?</w:t>
      </w:r>
    </w:p>
    <w:p w14:paraId="30B5A61F" w14:textId="77777777" w:rsidR="007A6FCC" w:rsidRDefault="007A6FCC" w:rsidP="007A6FCC">
      <w:r>
        <w:t xml:space="preserve">The answer is below. Some of these metrics are included in the other metrics. </w:t>
      </w:r>
    </w:p>
    <w:p w14:paraId="43B2ADDB" w14:textId="77777777" w:rsidR="007A6FCC" w:rsidRDefault="007A6FCC" w:rsidP="007A6FCC">
      <w:pPr>
        <w:jc w:val="center"/>
      </w:pPr>
      <w:r w:rsidRPr="00A4502F">
        <w:rPr>
          <w:noProof/>
        </w:rPr>
        <w:drawing>
          <wp:inline distT="0" distB="0" distL="0" distR="0" wp14:anchorId="09891F93" wp14:editId="6C8D0645">
            <wp:extent cx="5047200" cy="1188000"/>
            <wp:effectExtent l="0" t="0" r="1270" b="0"/>
            <wp:docPr id="918289625" name="Picture 918289625"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25" name="Picture 918289625" descr="Chart, waterfall chart&#10;&#10;Description automatically generated"/>
                    <pic:cNvPicPr/>
                  </pic:nvPicPr>
                  <pic:blipFill>
                    <a:blip r:embed="rId820"/>
                    <a:stretch>
                      <a:fillRect/>
                    </a:stretch>
                  </pic:blipFill>
                  <pic:spPr>
                    <a:xfrm>
                      <a:off x="0" y="0"/>
                      <a:ext cx="5047200" cy="1188000"/>
                    </a:xfrm>
                    <a:prstGeom prst="rect">
                      <a:avLst/>
                    </a:prstGeom>
                  </pic:spPr>
                </pic:pic>
              </a:graphicData>
            </a:graphic>
          </wp:inline>
        </w:drawing>
      </w:r>
    </w:p>
    <w:p w14:paraId="38C4860C" w14:textId="77777777" w:rsidR="007A6FCC" w:rsidRDefault="007A6FCC" w:rsidP="007A6FCC">
      <w:r>
        <w:t xml:space="preserve">Review the metrics below, starting with </w:t>
      </w:r>
      <w:r w:rsidRPr="00F95FDC">
        <w:rPr>
          <w:color w:val="00B0F0"/>
        </w:rPr>
        <w:t>%USED</w:t>
      </w:r>
      <w:r>
        <w:t xml:space="preserve">. Which one does </w:t>
      </w:r>
      <w:r w:rsidRPr="00414147">
        <w:rPr>
          <w:i/>
          <w:iCs/>
          <w:color w:val="FF0000"/>
        </w:rPr>
        <w:t>not</w:t>
      </w:r>
      <w:r w:rsidRPr="00414147">
        <w:rPr>
          <w:color w:val="FF0000"/>
        </w:rPr>
        <w:t xml:space="preserve"> </w:t>
      </w:r>
      <w:r>
        <w:t>actually belong to a CPU state, meaning it’s not something you mix with the rest?</w:t>
      </w:r>
    </w:p>
    <w:p w14:paraId="66574BE1" w14:textId="77777777" w:rsidR="007A6FCC" w:rsidRDefault="007A6FCC" w:rsidP="007A6FCC">
      <w:r w:rsidRPr="001A62BF">
        <w:rPr>
          <w:noProof/>
        </w:rPr>
        <w:drawing>
          <wp:inline distT="0" distB="0" distL="0" distR="0" wp14:anchorId="793663EC" wp14:editId="36A45370">
            <wp:extent cx="6645910" cy="1156970"/>
            <wp:effectExtent l="0" t="0" r="2540" b="5080"/>
            <wp:docPr id="750070396" name="Picture 750070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1"/>
                    <a:stretch>
                      <a:fillRect/>
                    </a:stretch>
                  </pic:blipFill>
                  <pic:spPr>
                    <a:xfrm>
                      <a:off x="0" y="0"/>
                      <a:ext cx="6645910" cy="1156970"/>
                    </a:xfrm>
                    <a:prstGeom prst="rect">
                      <a:avLst/>
                    </a:prstGeom>
                  </pic:spPr>
                </pic:pic>
              </a:graphicData>
            </a:graphic>
          </wp:inline>
        </w:drawing>
      </w:r>
    </w:p>
    <w:p w14:paraId="3E06E88E" w14:textId="77777777" w:rsidR="007A6FCC" w:rsidRDefault="007A6FCC" w:rsidP="007A6FCC">
      <w:r>
        <w:t xml:space="preserve">That’s right, it’s </w:t>
      </w:r>
      <w:r w:rsidRPr="00086EBC">
        <w:rPr>
          <w:color w:val="00B0F0"/>
        </w:rPr>
        <w:t>%USED</w:t>
      </w:r>
      <w:r>
        <w:t xml:space="preserve">. </w:t>
      </w:r>
    </w:p>
    <w:p w14:paraId="2A14660E" w14:textId="77777777" w:rsidR="007A6FCC" w:rsidRDefault="007A6FCC" w:rsidP="007A6FCC">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418"/>
        <w:gridCol w:w="9038"/>
      </w:tblGrid>
      <w:tr w:rsidR="007A6FCC" w14:paraId="075D599C" w14:textId="77777777" w:rsidTr="0052529C">
        <w:tc>
          <w:tcPr>
            <w:tcW w:w="1418" w:type="dxa"/>
            <w:shd w:val="clear" w:color="auto" w:fill="F2F2F2" w:themeFill="background1" w:themeFillShade="F2"/>
          </w:tcPr>
          <w:p w14:paraId="6B9BF216" w14:textId="77777777" w:rsidR="007A6FCC" w:rsidRDefault="007A6FCC" w:rsidP="00281329">
            <w:pPr>
              <w:pStyle w:val="Tablecontent"/>
            </w:pPr>
            <w:r>
              <w:t>%</w:t>
            </w:r>
            <w:r w:rsidRPr="00846A7A">
              <w:t>USED</w:t>
            </w:r>
          </w:p>
        </w:tc>
        <w:tc>
          <w:tcPr>
            <w:tcW w:w="9038" w:type="dxa"/>
            <w:tcBorders>
              <w:right w:val="nil"/>
            </w:tcBorders>
          </w:tcPr>
          <w:p w14:paraId="58A32F60" w14:textId="77777777" w:rsidR="007A6FCC" w:rsidRDefault="007A6FCC" w:rsidP="00281329">
            <w:pPr>
              <w:pStyle w:val="Tablecontent"/>
            </w:pPr>
            <w:r>
              <w:t xml:space="preserve">It should be excluded from this panel as it is influenced by power management and hyperthreading. We explained the reason why in CPU Metric chapter. That’s why it’s necessary to review the </w:t>
            </w:r>
            <w:hyperlink w:anchor="_State_of_a" w:history="1">
              <w:r w:rsidRPr="00FC5326">
                <w:rPr>
                  <w:rStyle w:val="Hyperlink"/>
                </w:rPr>
                <w:t>VM CPU states</w:t>
              </w:r>
            </w:hyperlink>
            <w:r>
              <w:t xml:space="preserve"> before reading each esxtop metric.</w:t>
            </w:r>
          </w:p>
        </w:tc>
      </w:tr>
      <w:tr w:rsidR="007A6FCC" w14:paraId="5C751CF0" w14:textId="77777777" w:rsidTr="0052529C">
        <w:tc>
          <w:tcPr>
            <w:tcW w:w="1418" w:type="dxa"/>
            <w:shd w:val="clear" w:color="auto" w:fill="F2F2F2" w:themeFill="background1" w:themeFillShade="F2"/>
          </w:tcPr>
          <w:p w14:paraId="23436015" w14:textId="77777777" w:rsidR="007A6FCC" w:rsidRPr="007E1B5A" w:rsidRDefault="007A6FCC" w:rsidP="00281329">
            <w:pPr>
              <w:pStyle w:val="Tablecontent"/>
            </w:pPr>
            <w:r>
              <w:t>%</w:t>
            </w:r>
            <w:r w:rsidRPr="00846A7A">
              <w:t>RUN</w:t>
            </w:r>
          </w:p>
        </w:tc>
        <w:tc>
          <w:tcPr>
            <w:tcW w:w="9038" w:type="dxa"/>
            <w:tcBorders>
              <w:right w:val="nil"/>
            </w:tcBorders>
          </w:tcPr>
          <w:p w14:paraId="6AC9D81F" w14:textId="77777777" w:rsidR="007A6FCC" w:rsidRDefault="007A6FCC" w:rsidP="00281329">
            <w:pPr>
              <w:pStyle w:val="Tablecontent"/>
            </w:pPr>
            <w:r>
              <w:t xml:space="preserve">Run is covered in-depth </w:t>
            </w:r>
            <w:hyperlink w:anchor="_Run" w:history="1">
              <w:r w:rsidRPr="00073223">
                <w:rPr>
                  <w:rStyle w:val="Hyperlink"/>
                </w:rPr>
                <w:t>here</w:t>
              </w:r>
            </w:hyperlink>
            <w:r>
              <w:t xml:space="preserve"> under VM CPU Metrics. </w:t>
            </w:r>
          </w:p>
        </w:tc>
      </w:tr>
      <w:tr w:rsidR="007A6FCC" w14:paraId="697A9581" w14:textId="77777777" w:rsidTr="0052529C">
        <w:tc>
          <w:tcPr>
            <w:tcW w:w="1418" w:type="dxa"/>
            <w:shd w:val="clear" w:color="auto" w:fill="F2F2F2" w:themeFill="background1" w:themeFillShade="F2"/>
          </w:tcPr>
          <w:p w14:paraId="13E410D0" w14:textId="77777777" w:rsidR="007A6FCC" w:rsidRPr="007E1B5A" w:rsidRDefault="007A6FCC" w:rsidP="00281329">
            <w:pPr>
              <w:pStyle w:val="Tablecontent"/>
            </w:pPr>
            <w:r>
              <w:t>%</w:t>
            </w:r>
            <w:r w:rsidRPr="00846A7A">
              <w:t>SYS</w:t>
            </w:r>
          </w:p>
        </w:tc>
        <w:tc>
          <w:tcPr>
            <w:tcW w:w="9038" w:type="dxa"/>
            <w:tcBorders>
              <w:right w:val="nil"/>
            </w:tcBorders>
          </w:tcPr>
          <w:p w14:paraId="2F65A513" w14:textId="77777777" w:rsidR="007A6FCC" w:rsidRDefault="007A6FCC" w:rsidP="00281329">
            <w:pPr>
              <w:pStyle w:val="Tablecontent"/>
            </w:pPr>
            <w:r>
              <w:t xml:space="preserve">System time is covered in-depth </w:t>
            </w:r>
            <w:hyperlink w:anchor="_System" w:history="1">
              <w:r w:rsidRPr="00073223">
                <w:rPr>
                  <w:rStyle w:val="Hyperlink"/>
                </w:rPr>
                <w:t>here</w:t>
              </w:r>
            </w:hyperlink>
            <w:r>
              <w:t xml:space="preserve"> under VM CPU Metrics.</w:t>
            </w:r>
          </w:p>
        </w:tc>
      </w:tr>
      <w:tr w:rsidR="007A6FCC" w14:paraId="50B596B5" w14:textId="77777777" w:rsidTr="0052529C">
        <w:tc>
          <w:tcPr>
            <w:tcW w:w="1418" w:type="dxa"/>
            <w:shd w:val="clear" w:color="auto" w:fill="F2F2F2" w:themeFill="background1" w:themeFillShade="F2"/>
          </w:tcPr>
          <w:p w14:paraId="1EC65A45" w14:textId="77777777" w:rsidR="007A6FCC" w:rsidRPr="007E1B5A" w:rsidRDefault="007A6FCC" w:rsidP="00281329">
            <w:pPr>
              <w:pStyle w:val="Tablecontent"/>
            </w:pPr>
            <w:r>
              <w:t>%</w:t>
            </w:r>
            <w:r w:rsidRPr="00846A7A">
              <w:t>WAIT</w:t>
            </w:r>
          </w:p>
        </w:tc>
        <w:tc>
          <w:tcPr>
            <w:tcW w:w="9038" w:type="dxa"/>
            <w:vMerge w:val="restart"/>
            <w:tcBorders>
              <w:right w:val="nil"/>
            </w:tcBorders>
            <w:vAlign w:val="center"/>
          </w:tcPr>
          <w:p w14:paraId="3A81CBD4" w14:textId="77777777" w:rsidR="007A6FCC" w:rsidRDefault="007A6FCC" w:rsidP="00281329">
            <w:pPr>
              <w:pStyle w:val="Tablecontent"/>
            </w:pPr>
            <w:r>
              <w:t xml:space="preserve">The wait counter and its components are covered in-depth </w:t>
            </w:r>
            <w:hyperlink w:anchor="_Wait" w:history="1">
              <w:r w:rsidRPr="00073223">
                <w:rPr>
                  <w:rStyle w:val="Hyperlink"/>
                </w:rPr>
                <w:t>here</w:t>
              </w:r>
            </w:hyperlink>
            <w:r>
              <w:t xml:space="preserve"> under VM CPU Metrics.</w:t>
            </w:r>
          </w:p>
          <w:p w14:paraId="207557CA" w14:textId="77777777" w:rsidR="007A6FCC" w:rsidRDefault="007A6FCC" w:rsidP="00281329">
            <w:pPr>
              <w:pStyle w:val="Tablecontent"/>
            </w:pPr>
            <w:r>
              <w:t xml:space="preserve">VMWAIT includes SWPWT. vRealize Operations does not show VM Wait and uses a </w:t>
            </w:r>
            <w:r w:rsidRPr="00F83237">
              <w:rPr>
                <w:color w:val="00B0F0"/>
              </w:rPr>
              <w:t xml:space="preserve">new counter </w:t>
            </w:r>
            <w:r>
              <w:t>that excludes Swap Wait. The reason is the remediation action is different. You’re welcome.</w:t>
            </w:r>
          </w:p>
        </w:tc>
      </w:tr>
      <w:tr w:rsidR="007A6FCC" w14:paraId="70E4E699" w14:textId="77777777" w:rsidTr="0052529C">
        <w:tc>
          <w:tcPr>
            <w:tcW w:w="1418" w:type="dxa"/>
            <w:shd w:val="clear" w:color="auto" w:fill="F2F2F2" w:themeFill="background1" w:themeFillShade="F2"/>
          </w:tcPr>
          <w:p w14:paraId="61636BAD" w14:textId="77777777" w:rsidR="007A6FCC" w:rsidRPr="007E1B5A" w:rsidRDefault="007A6FCC" w:rsidP="00281329">
            <w:pPr>
              <w:pStyle w:val="Tablecontent"/>
            </w:pPr>
            <w:r>
              <w:t>%</w:t>
            </w:r>
            <w:r w:rsidRPr="00846A7A">
              <w:t>VMWAIT</w:t>
            </w:r>
          </w:p>
        </w:tc>
        <w:tc>
          <w:tcPr>
            <w:tcW w:w="9038" w:type="dxa"/>
            <w:vMerge/>
            <w:tcBorders>
              <w:right w:val="nil"/>
            </w:tcBorders>
          </w:tcPr>
          <w:p w14:paraId="3E26C874" w14:textId="77777777" w:rsidR="007A6FCC" w:rsidRDefault="007A6FCC" w:rsidP="00281329">
            <w:pPr>
              <w:pStyle w:val="Tablecontent"/>
            </w:pPr>
          </w:p>
        </w:tc>
      </w:tr>
      <w:tr w:rsidR="007A6FCC" w14:paraId="7C149E77" w14:textId="77777777" w:rsidTr="0052529C">
        <w:tc>
          <w:tcPr>
            <w:tcW w:w="1418" w:type="dxa"/>
            <w:shd w:val="clear" w:color="auto" w:fill="F2F2F2" w:themeFill="background1" w:themeFillShade="F2"/>
          </w:tcPr>
          <w:p w14:paraId="186F8155" w14:textId="77777777" w:rsidR="007A6FCC" w:rsidRPr="00846A7A" w:rsidRDefault="007A6FCC" w:rsidP="00281329">
            <w:pPr>
              <w:pStyle w:val="Tablecontent"/>
            </w:pPr>
            <w:r>
              <w:t>%</w:t>
            </w:r>
            <w:r w:rsidRPr="00846A7A">
              <w:t xml:space="preserve">SWPWT </w:t>
            </w:r>
          </w:p>
        </w:tc>
        <w:tc>
          <w:tcPr>
            <w:tcW w:w="9038" w:type="dxa"/>
            <w:vMerge/>
            <w:tcBorders>
              <w:right w:val="nil"/>
            </w:tcBorders>
          </w:tcPr>
          <w:p w14:paraId="08C15633" w14:textId="77777777" w:rsidR="007A6FCC" w:rsidRDefault="007A6FCC" w:rsidP="00281329">
            <w:pPr>
              <w:pStyle w:val="Tablecontent"/>
            </w:pPr>
          </w:p>
        </w:tc>
      </w:tr>
      <w:tr w:rsidR="007A6FCC" w14:paraId="7B4A3866" w14:textId="77777777" w:rsidTr="0052529C">
        <w:tc>
          <w:tcPr>
            <w:tcW w:w="1418" w:type="dxa"/>
            <w:shd w:val="clear" w:color="auto" w:fill="F2F2F2" w:themeFill="background1" w:themeFillShade="F2"/>
          </w:tcPr>
          <w:p w14:paraId="3E10476C" w14:textId="77777777" w:rsidR="007A6FCC" w:rsidRPr="007E1B5A" w:rsidRDefault="007A6FCC" w:rsidP="00281329">
            <w:pPr>
              <w:pStyle w:val="Tablecontent"/>
            </w:pPr>
            <w:r>
              <w:t>%</w:t>
            </w:r>
            <w:r w:rsidRPr="00846A7A">
              <w:t>IDLE</w:t>
            </w:r>
          </w:p>
        </w:tc>
        <w:tc>
          <w:tcPr>
            <w:tcW w:w="9038" w:type="dxa"/>
            <w:vMerge/>
            <w:tcBorders>
              <w:right w:val="nil"/>
            </w:tcBorders>
          </w:tcPr>
          <w:p w14:paraId="1190CE62" w14:textId="77777777" w:rsidR="007A6FCC" w:rsidRDefault="007A6FCC" w:rsidP="00281329">
            <w:pPr>
              <w:pStyle w:val="Tablecontent"/>
            </w:pPr>
          </w:p>
        </w:tc>
      </w:tr>
      <w:tr w:rsidR="007A6FCC" w14:paraId="1908070A" w14:textId="77777777" w:rsidTr="0052529C">
        <w:tc>
          <w:tcPr>
            <w:tcW w:w="1418" w:type="dxa"/>
            <w:shd w:val="clear" w:color="auto" w:fill="F2F2F2" w:themeFill="background1" w:themeFillShade="F2"/>
          </w:tcPr>
          <w:p w14:paraId="6962A719" w14:textId="77777777" w:rsidR="007A6FCC" w:rsidRPr="007E1B5A" w:rsidRDefault="007A6FCC" w:rsidP="00281329">
            <w:pPr>
              <w:pStyle w:val="Tablecontent"/>
            </w:pPr>
            <w:r>
              <w:t>%</w:t>
            </w:r>
            <w:r w:rsidRPr="00846A7A">
              <w:t>RDY</w:t>
            </w:r>
          </w:p>
        </w:tc>
        <w:tc>
          <w:tcPr>
            <w:tcW w:w="9038" w:type="dxa"/>
            <w:tcBorders>
              <w:right w:val="nil"/>
            </w:tcBorders>
          </w:tcPr>
          <w:p w14:paraId="08B168A4" w14:textId="77777777" w:rsidR="007A6FCC" w:rsidRDefault="007A6FCC" w:rsidP="00281329">
            <w:pPr>
              <w:pStyle w:val="Tablecontent"/>
            </w:pPr>
            <w:r>
              <w:t xml:space="preserve">Ready is covered in-depth </w:t>
            </w:r>
            <w:hyperlink w:anchor="_Ready" w:history="1">
              <w:r w:rsidRPr="00073223">
                <w:rPr>
                  <w:rStyle w:val="Hyperlink"/>
                </w:rPr>
                <w:t>here</w:t>
              </w:r>
            </w:hyperlink>
            <w:r>
              <w:t xml:space="preserve"> under VM CPU Metrics. As discussed in the CPU scheduling, each vCPU has its own ready time. In the case of esxtop, the metric is simply summed up, so it can go &gt;100% in theory.</w:t>
            </w:r>
          </w:p>
        </w:tc>
      </w:tr>
      <w:tr w:rsidR="007A6FCC" w14:paraId="4EBCF12D" w14:textId="77777777" w:rsidTr="0052529C">
        <w:tc>
          <w:tcPr>
            <w:tcW w:w="1418" w:type="dxa"/>
            <w:shd w:val="clear" w:color="auto" w:fill="F2F2F2" w:themeFill="background1" w:themeFillShade="F2"/>
          </w:tcPr>
          <w:p w14:paraId="6402CB98" w14:textId="77777777" w:rsidR="007A6FCC" w:rsidRPr="007E1B5A" w:rsidRDefault="007A6FCC" w:rsidP="00281329">
            <w:pPr>
              <w:pStyle w:val="Tablecontent"/>
            </w:pPr>
            <w:r>
              <w:t>%</w:t>
            </w:r>
            <w:r w:rsidRPr="00846A7A">
              <w:t>CSTP</w:t>
            </w:r>
          </w:p>
        </w:tc>
        <w:tc>
          <w:tcPr>
            <w:tcW w:w="9038" w:type="dxa"/>
            <w:tcBorders>
              <w:right w:val="nil"/>
            </w:tcBorders>
          </w:tcPr>
          <w:p w14:paraId="5A497290" w14:textId="77777777" w:rsidR="007A6FCC" w:rsidRDefault="007A6FCC" w:rsidP="00281329">
            <w:pPr>
              <w:pStyle w:val="Tablecontent"/>
            </w:pPr>
            <w:r>
              <w:t xml:space="preserve">Co-Stop is covered in-depth </w:t>
            </w:r>
            <w:hyperlink w:anchor="_CoStop" w:history="1">
              <w:r w:rsidRPr="00073223">
                <w:rPr>
                  <w:rStyle w:val="Hyperlink"/>
                </w:rPr>
                <w:t>here</w:t>
              </w:r>
            </w:hyperlink>
            <w:r>
              <w:t xml:space="preserve"> under VM CPU Metrics. This is also 100% per vCPU. </w:t>
            </w:r>
          </w:p>
        </w:tc>
      </w:tr>
      <w:tr w:rsidR="007A6FCC" w14:paraId="32719016" w14:textId="77777777" w:rsidTr="0052529C">
        <w:tc>
          <w:tcPr>
            <w:tcW w:w="1418" w:type="dxa"/>
            <w:shd w:val="clear" w:color="auto" w:fill="F2F2F2" w:themeFill="background1" w:themeFillShade="F2"/>
          </w:tcPr>
          <w:p w14:paraId="417D36A5" w14:textId="77777777" w:rsidR="007A6FCC" w:rsidRPr="007E1B5A" w:rsidRDefault="007A6FCC" w:rsidP="00281329">
            <w:pPr>
              <w:pStyle w:val="Tablecontent"/>
            </w:pPr>
            <w:r>
              <w:t>%</w:t>
            </w:r>
            <w:r w:rsidRPr="00846A7A">
              <w:t>OVRLP</w:t>
            </w:r>
          </w:p>
        </w:tc>
        <w:tc>
          <w:tcPr>
            <w:tcW w:w="9038" w:type="dxa"/>
            <w:tcBorders>
              <w:right w:val="nil"/>
            </w:tcBorders>
          </w:tcPr>
          <w:p w14:paraId="7BA635F9" w14:textId="77777777" w:rsidR="007A6FCC" w:rsidRDefault="007A6FCC" w:rsidP="00281329">
            <w:pPr>
              <w:pStyle w:val="Tablecontent"/>
            </w:pPr>
            <w:r>
              <w:t xml:space="preserve">Overlap is covered in-depth </w:t>
            </w:r>
            <w:hyperlink w:anchor="_Overlap" w:history="1">
              <w:r w:rsidRPr="00073223">
                <w:rPr>
                  <w:rStyle w:val="Hyperlink"/>
                </w:rPr>
                <w:t>here</w:t>
              </w:r>
            </w:hyperlink>
            <w:r>
              <w:t xml:space="preserve"> under VM CPU Metrics.</w:t>
            </w:r>
          </w:p>
        </w:tc>
      </w:tr>
      <w:tr w:rsidR="007A6FCC" w14:paraId="1DC65B6D" w14:textId="77777777" w:rsidTr="0052529C">
        <w:tc>
          <w:tcPr>
            <w:tcW w:w="1418" w:type="dxa"/>
            <w:shd w:val="clear" w:color="auto" w:fill="F2F2F2" w:themeFill="background1" w:themeFillShade="F2"/>
          </w:tcPr>
          <w:p w14:paraId="49B174EF" w14:textId="77777777" w:rsidR="007A6FCC" w:rsidRPr="007E1B5A" w:rsidRDefault="007A6FCC" w:rsidP="00281329">
            <w:pPr>
              <w:pStyle w:val="Tablecontent"/>
            </w:pPr>
            <w:r>
              <w:lastRenderedPageBreak/>
              <w:t>%</w:t>
            </w:r>
            <w:r w:rsidRPr="00846A7A">
              <w:t>MLMTD</w:t>
            </w:r>
          </w:p>
        </w:tc>
        <w:tc>
          <w:tcPr>
            <w:tcW w:w="9038" w:type="dxa"/>
            <w:tcBorders>
              <w:right w:val="nil"/>
            </w:tcBorders>
          </w:tcPr>
          <w:p w14:paraId="37DFBF9A" w14:textId="77777777" w:rsidR="007A6FCC" w:rsidRDefault="007A6FCC" w:rsidP="00281329">
            <w:pPr>
              <w:pStyle w:val="Tablecontent"/>
            </w:pPr>
            <w:r>
              <w:t xml:space="preserve">MLMTD is Max Limited, not some Multi Level Marketing scam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t xml:space="preserve">. It measures the time the VM was halted due to manual limit, as opposed to VMkernel has no CPU resource. </w:t>
            </w:r>
          </w:p>
        </w:tc>
      </w:tr>
    </w:tbl>
    <w:p w14:paraId="5DAE2E53" w14:textId="531131BC" w:rsidR="007A6FCC" w:rsidRDefault="007A6FCC" w:rsidP="007A6FCC">
      <w:pPr>
        <w:pStyle w:val="Heading5"/>
      </w:pPr>
      <w:r>
        <w:t xml:space="preserve">CPU Event Count </w:t>
      </w:r>
    </w:p>
    <w:p w14:paraId="30295452" w14:textId="77777777" w:rsidR="007A6FCC" w:rsidRDefault="007A6FCC" w:rsidP="007A6FCC">
      <w:pPr>
        <w:jc w:val="center"/>
      </w:pPr>
      <w:r>
        <w:rPr>
          <w:noProof/>
        </w:rPr>
        <w:drawing>
          <wp:inline distT="0" distB="0" distL="0" distR="0" wp14:anchorId="5921CF85" wp14:editId="0123075F">
            <wp:extent cx="3243600" cy="982800"/>
            <wp:effectExtent l="0" t="0" r="0" b="8255"/>
            <wp:docPr id="750070397" name="Picture 750070397" descr="Calenda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31" name="Picture 918289631" descr="Calendar&#10;&#10;Description automatically generated with medium confidence"/>
                    <pic:cNvPicPr>
                      <a:picLocks noChangeAspect="1" noChangeArrowheads="1"/>
                    </pic:cNvPicPr>
                  </pic:nvPicPr>
                  <pic:blipFill>
                    <a:blip r:embed="rId822">
                      <a:extLst>
                        <a:ext uri="{28A0092B-C50C-407E-A947-70E740481C1C}">
                          <a14:useLocalDpi xmlns:a14="http://schemas.microsoft.com/office/drawing/2010/main" val="0"/>
                        </a:ext>
                      </a:extLst>
                    </a:blip>
                    <a:srcRect/>
                    <a:stretch>
                      <a:fillRect/>
                    </a:stretch>
                  </pic:blipFill>
                  <pic:spPr bwMode="auto">
                    <a:xfrm>
                      <a:off x="0" y="0"/>
                      <a:ext cx="3243600" cy="982800"/>
                    </a:xfrm>
                    <a:prstGeom prst="rect">
                      <a:avLst/>
                    </a:prstGeom>
                    <a:noFill/>
                    <a:ln>
                      <a:noFill/>
                    </a:ln>
                  </pic:spPr>
                </pic:pic>
              </a:graphicData>
            </a:graphic>
          </wp:inline>
        </w:drawing>
      </w:r>
    </w:p>
    <w:p w14:paraId="3C949858" w14:textId="77777777" w:rsidR="007A6FCC" w:rsidRDefault="007A6FCC" w:rsidP="007A6FCC">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418"/>
        <w:gridCol w:w="9038"/>
      </w:tblGrid>
      <w:tr w:rsidR="007A6FCC" w14:paraId="799750DC" w14:textId="77777777" w:rsidTr="00281329">
        <w:tc>
          <w:tcPr>
            <w:tcW w:w="1418" w:type="dxa"/>
            <w:shd w:val="clear" w:color="auto" w:fill="F2F2F2" w:themeFill="background1" w:themeFillShade="F2"/>
          </w:tcPr>
          <w:p w14:paraId="2BA5378B" w14:textId="77777777" w:rsidR="007A6FCC" w:rsidRPr="007E1B5A" w:rsidRDefault="007A6FCC" w:rsidP="00281329">
            <w:pPr>
              <w:pStyle w:val="Tablecontent"/>
            </w:pPr>
            <w:r>
              <w:t>SWTCH/s</w:t>
            </w:r>
          </w:p>
        </w:tc>
        <w:tc>
          <w:tcPr>
            <w:tcW w:w="9038" w:type="dxa"/>
          </w:tcPr>
          <w:p w14:paraId="7C50A596" w14:textId="77777777" w:rsidR="007A6FCC" w:rsidRDefault="007A6FCC" w:rsidP="00281329">
            <w:pPr>
              <w:pStyle w:val="Tablecontent"/>
            </w:pPr>
            <w:r>
              <w:t xml:space="preserve">Number of world switches per second, the lower the better. I guess this number correlates with the overcommit ratio, the number of VM and how busy they are. </w:t>
            </w:r>
          </w:p>
          <w:p w14:paraId="3CED6061" w14:textId="77777777" w:rsidR="007A6FCC" w:rsidRDefault="007A6FCC" w:rsidP="00281329">
            <w:pPr>
              <w:pStyle w:val="Tablecontent"/>
            </w:pPr>
            <w:r>
              <w:t>What number will be a good threshold and why?</w:t>
            </w:r>
          </w:p>
        </w:tc>
      </w:tr>
      <w:tr w:rsidR="007A6FCC" w14:paraId="7AE4900A" w14:textId="77777777" w:rsidTr="00281329">
        <w:tc>
          <w:tcPr>
            <w:tcW w:w="1418" w:type="dxa"/>
            <w:shd w:val="clear" w:color="auto" w:fill="F2F2F2" w:themeFill="background1" w:themeFillShade="F2"/>
          </w:tcPr>
          <w:p w14:paraId="3D061024" w14:textId="77777777" w:rsidR="007A6FCC" w:rsidRDefault="007A6FCC" w:rsidP="00281329">
            <w:pPr>
              <w:pStyle w:val="Tablecontent"/>
            </w:pPr>
            <w:r>
              <w:t>MIG/s</w:t>
            </w:r>
          </w:p>
        </w:tc>
        <w:tc>
          <w:tcPr>
            <w:tcW w:w="9038" w:type="dxa"/>
          </w:tcPr>
          <w:p w14:paraId="2CA6179C" w14:textId="77777777" w:rsidR="007A6FCC" w:rsidRDefault="007A6FCC" w:rsidP="00281329">
            <w:pPr>
              <w:pStyle w:val="Tablecontent"/>
            </w:pPr>
            <w:r>
              <w:t>Number of NUMA and core migrations per second. It will be interesting to compare 2 VM, where 1 is the size of a single socket, and the other is just a bit larger. Would the larger one experience a lot more switches?</w:t>
            </w:r>
          </w:p>
        </w:tc>
      </w:tr>
      <w:tr w:rsidR="007A6FCC" w14:paraId="3FAB803A" w14:textId="77777777" w:rsidTr="00281329">
        <w:tc>
          <w:tcPr>
            <w:tcW w:w="1418" w:type="dxa"/>
            <w:shd w:val="clear" w:color="auto" w:fill="F2F2F2" w:themeFill="background1" w:themeFillShade="F2"/>
          </w:tcPr>
          <w:p w14:paraId="2D76BDB4" w14:textId="77777777" w:rsidR="007A6FCC" w:rsidRDefault="007A6FCC" w:rsidP="00281329">
            <w:pPr>
              <w:pStyle w:val="Tablecontent"/>
            </w:pPr>
            <w:r>
              <w:t>WAKE/s</w:t>
            </w:r>
          </w:p>
        </w:tc>
        <w:tc>
          <w:tcPr>
            <w:tcW w:w="9038" w:type="dxa"/>
          </w:tcPr>
          <w:p w14:paraId="3F5875C9" w14:textId="77777777" w:rsidR="007A6FCC" w:rsidRDefault="007A6FCC" w:rsidP="00281329">
            <w:pPr>
              <w:pStyle w:val="Tablecontent"/>
            </w:pPr>
            <w:r w:rsidRPr="00AB7778">
              <w:t xml:space="preserve">Number of </w:t>
            </w:r>
            <w:r>
              <w:t xml:space="preserve">time the </w:t>
            </w:r>
            <w:r w:rsidRPr="00AB7778">
              <w:t>world wakeups per second. A world wakes up when its state is changes from WAIT to READY</w:t>
            </w:r>
            <w:r>
              <w:t xml:space="preserve">. A high number can impact performance. </w:t>
            </w:r>
          </w:p>
        </w:tc>
      </w:tr>
    </w:tbl>
    <w:p w14:paraId="3163139A" w14:textId="55E495AE" w:rsidR="007A6FCC" w:rsidRDefault="007A6FCC" w:rsidP="007A6FCC">
      <w:r>
        <w:t xml:space="preserve">The metric </w:t>
      </w:r>
      <w:r w:rsidRPr="00AB7778">
        <w:t>QEXP/s</w:t>
      </w:r>
      <w:r>
        <w:t xml:space="preserve"> (</w:t>
      </w:r>
      <w:r w:rsidRPr="00AB7778">
        <w:t>Quantum Expirations per second</w:t>
      </w:r>
      <w:r>
        <w:t>) has been deprecated from ESXi 6.5 i</w:t>
      </w:r>
      <w:r w:rsidRPr="00AB7778">
        <w:t>n an effort to improve vCPU switch time</w:t>
      </w:r>
      <w:r>
        <w:t>.</w:t>
      </w:r>
    </w:p>
    <w:p w14:paraId="2C231B79" w14:textId="77777777" w:rsidR="00BA3D9B" w:rsidRDefault="00BA3D9B" w:rsidP="00BA3D9B">
      <w:r>
        <w:t>In rare case where the application has a lot of micro bursts, CPU Ready can be relatively higher to its CPU Run. This is due to the CPU scheduling cost. While each scheduling is negligible, having too many of them may register on the counter. If you suspect that, check esxtop, as shown below:</w:t>
      </w:r>
    </w:p>
    <w:p w14:paraId="3D4F2341" w14:textId="5A61C04B" w:rsidR="00BA3D9B" w:rsidRDefault="00BA3D9B" w:rsidP="007A6FCC">
      <w:r>
        <w:rPr>
          <w:noProof/>
        </w:rPr>
        <w:drawing>
          <wp:inline distT="0" distB="0" distL="0" distR="0" wp14:anchorId="466A2311" wp14:editId="70D012BF">
            <wp:extent cx="6645910" cy="1082040"/>
            <wp:effectExtent l="0" t="0" r="2540" b="3810"/>
            <wp:docPr id="606394341" name="Picture 606394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41"/>
                    <pic:cNvPicPr/>
                  </pic:nvPicPr>
                  <pic:blipFill>
                    <a:blip r:embed="rId823">
                      <a:extLst>
                        <a:ext uri="{28A0092B-C50C-407E-A947-70E740481C1C}">
                          <a14:useLocalDpi xmlns:a14="http://schemas.microsoft.com/office/drawing/2010/main" val="0"/>
                        </a:ext>
                      </a:extLst>
                    </a:blip>
                    <a:stretch>
                      <a:fillRect/>
                    </a:stretch>
                  </pic:blipFill>
                  <pic:spPr>
                    <a:xfrm>
                      <a:off x="0" y="0"/>
                      <a:ext cx="6645910" cy="1082040"/>
                    </a:xfrm>
                    <a:prstGeom prst="rect">
                      <a:avLst/>
                    </a:prstGeom>
                  </pic:spPr>
                </pic:pic>
              </a:graphicData>
            </a:graphic>
          </wp:inline>
        </w:drawing>
      </w:r>
    </w:p>
    <w:p w14:paraId="40F3CF51" w14:textId="77777777" w:rsidR="007A6FCC" w:rsidRDefault="007A6FCC" w:rsidP="007A6FCC">
      <w:pPr>
        <w:pStyle w:val="Heading5"/>
      </w:pPr>
      <w:r>
        <w:t>Power Stats</w:t>
      </w:r>
    </w:p>
    <w:p w14:paraId="64651E21" w14:textId="77777777" w:rsidR="007A6FCC" w:rsidRPr="006C0E79" w:rsidRDefault="007A6FCC" w:rsidP="007A6FCC">
      <w:pPr>
        <w:rPr>
          <w:lang w:val="en-GB"/>
        </w:rPr>
      </w:pPr>
      <w:r>
        <w:rPr>
          <w:lang w:val="en-GB"/>
        </w:rPr>
        <w:t>This complements the power management panel as it lists per VM and kernel module, while the power panel lists per ESXi logical CPU.</w:t>
      </w:r>
    </w:p>
    <w:p w14:paraId="1641D1AD" w14:textId="77777777" w:rsidR="007A6FCC" w:rsidRDefault="007A6FCC" w:rsidP="007A6FCC">
      <w:pPr>
        <w:jc w:val="center"/>
      </w:pPr>
      <w:r>
        <w:rPr>
          <w:noProof/>
        </w:rPr>
        <w:lastRenderedPageBreak/>
        <w:drawing>
          <wp:inline distT="0" distB="0" distL="0" distR="0" wp14:anchorId="37DE8A20" wp14:editId="6F65B375">
            <wp:extent cx="2242800" cy="1317600"/>
            <wp:effectExtent l="0" t="0" r="5715" b="0"/>
            <wp:docPr id="750070398" name="Picture 75007039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33" name="Picture 918289633" descr="Text&#10;&#10;Description automatically generated"/>
                    <pic:cNvPicPr>
                      <a:picLocks noChangeAspect="1" noChangeArrowheads="1"/>
                    </pic:cNvPicPr>
                  </pic:nvPicPr>
                  <pic:blipFill>
                    <a:blip r:embed="rId824">
                      <a:extLst>
                        <a:ext uri="{28A0092B-C50C-407E-A947-70E740481C1C}">
                          <a14:useLocalDpi xmlns:a14="http://schemas.microsoft.com/office/drawing/2010/main" val="0"/>
                        </a:ext>
                      </a:extLst>
                    </a:blip>
                    <a:srcRect/>
                    <a:stretch>
                      <a:fillRect/>
                    </a:stretch>
                  </pic:blipFill>
                  <pic:spPr bwMode="auto">
                    <a:xfrm>
                      <a:off x="0" y="0"/>
                      <a:ext cx="2242800" cy="1317600"/>
                    </a:xfrm>
                    <a:prstGeom prst="rect">
                      <a:avLst/>
                    </a:prstGeom>
                    <a:noFill/>
                    <a:ln>
                      <a:noFill/>
                    </a:ln>
                  </pic:spPr>
                </pic:pic>
              </a:graphicData>
            </a:graphic>
          </wp:inline>
        </w:drawing>
      </w:r>
    </w:p>
    <w:p w14:paraId="76158CB9" w14:textId="77777777" w:rsidR="007A6FCC" w:rsidRDefault="007A6FCC" w:rsidP="007A6FCC">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418"/>
        <w:gridCol w:w="9038"/>
      </w:tblGrid>
      <w:tr w:rsidR="007A6FCC" w14:paraId="400E1457" w14:textId="77777777" w:rsidTr="00281329">
        <w:tc>
          <w:tcPr>
            <w:tcW w:w="1418" w:type="dxa"/>
            <w:shd w:val="clear" w:color="auto" w:fill="F2F2F2" w:themeFill="background1" w:themeFillShade="F2"/>
          </w:tcPr>
          <w:p w14:paraId="33C47BDC" w14:textId="77777777" w:rsidR="007A6FCC" w:rsidRPr="007E1B5A" w:rsidRDefault="007A6FCC" w:rsidP="00281329">
            <w:pPr>
              <w:pStyle w:val="Tablecontent"/>
            </w:pPr>
            <w:r>
              <w:t>POWER</w:t>
            </w:r>
          </w:p>
        </w:tc>
        <w:tc>
          <w:tcPr>
            <w:tcW w:w="9038" w:type="dxa"/>
          </w:tcPr>
          <w:p w14:paraId="13D07B12" w14:textId="77777777" w:rsidR="007A6FCC" w:rsidRDefault="007A6FCC" w:rsidP="00281329">
            <w:pPr>
              <w:pStyle w:val="Tablecontent"/>
            </w:pPr>
            <w:r>
              <w:t xml:space="preserve">Current CPU Power consumption in Watts. So it does not include memory, disk, etc. </w:t>
            </w:r>
          </w:p>
        </w:tc>
      </w:tr>
    </w:tbl>
    <w:p w14:paraId="772F2D49" w14:textId="77777777" w:rsidR="007A6FCC" w:rsidRDefault="007A6FCC" w:rsidP="007A6FCC">
      <w:pPr>
        <w:pStyle w:val="Heading5"/>
      </w:pPr>
      <w:r>
        <w:t>Summary Stats</w:t>
      </w:r>
    </w:p>
    <w:p w14:paraId="67E947FF" w14:textId="77777777" w:rsidR="007A6FCC" w:rsidRDefault="007A6FCC" w:rsidP="007A6FCC">
      <w:pPr>
        <w:jc w:val="center"/>
      </w:pPr>
      <w:r>
        <w:rPr>
          <w:noProof/>
        </w:rPr>
        <w:drawing>
          <wp:inline distT="0" distB="0" distL="0" distR="0" wp14:anchorId="2BA27FE6" wp14:editId="14115FB7">
            <wp:extent cx="5799600" cy="990000"/>
            <wp:effectExtent l="0" t="0" r="0" b="635"/>
            <wp:docPr id="750070399" name="Picture 750070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25">
                      <a:extLst>
                        <a:ext uri="{28A0092B-C50C-407E-A947-70E740481C1C}">
                          <a14:useLocalDpi xmlns:a14="http://schemas.microsoft.com/office/drawing/2010/main" val="0"/>
                        </a:ext>
                      </a:extLst>
                    </a:blip>
                    <a:srcRect/>
                    <a:stretch>
                      <a:fillRect/>
                    </a:stretch>
                  </pic:blipFill>
                  <pic:spPr bwMode="auto">
                    <a:xfrm>
                      <a:off x="0" y="0"/>
                      <a:ext cx="5799600" cy="990000"/>
                    </a:xfrm>
                    <a:prstGeom prst="rect">
                      <a:avLst/>
                    </a:prstGeom>
                    <a:noFill/>
                    <a:ln>
                      <a:noFill/>
                    </a:ln>
                  </pic:spPr>
                </pic:pic>
              </a:graphicData>
            </a:graphic>
          </wp:inline>
        </w:drawing>
      </w:r>
    </w:p>
    <w:p w14:paraId="7B7BF2DA" w14:textId="4CEF1105" w:rsidR="007A6FCC" w:rsidRDefault="007A6FCC" w:rsidP="007A6FCC">
      <w:r>
        <w:t>Other than the first 3 (which I’m unsure why they are duplicated here as they are shown in the CPU State already</w:t>
      </w:r>
      <w:r w:rsidR="004606AB">
        <w:t>)</w:t>
      </w:r>
      <w:r>
        <w:t>, the other metrics do not exist in vSphere Client UI and vRealize Operations.</w:t>
      </w:r>
    </w:p>
    <w:p w14:paraId="5D2080A4" w14:textId="77777777" w:rsidR="007A6FCC" w:rsidRDefault="007A6FCC" w:rsidP="007A6FCC">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985"/>
        <w:gridCol w:w="8471"/>
      </w:tblGrid>
      <w:tr w:rsidR="007A6FCC" w14:paraId="5293E235" w14:textId="77777777" w:rsidTr="00281329">
        <w:tc>
          <w:tcPr>
            <w:tcW w:w="1985" w:type="dxa"/>
            <w:shd w:val="clear" w:color="auto" w:fill="F2F2F2" w:themeFill="background1" w:themeFillShade="F2"/>
          </w:tcPr>
          <w:p w14:paraId="42F3FFB3" w14:textId="77777777" w:rsidR="007A6FCC" w:rsidRDefault="007A6FCC" w:rsidP="00281329">
            <w:pPr>
              <w:pStyle w:val="Tablecontent"/>
              <w:rPr>
                <w:lang w:val="en-SG"/>
              </w:rPr>
            </w:pPr>
            <w:r>
              <w:t>%LAT_C</w:t>
            </w:r>
          </w:p>
        </w:tc>
        <w:tc>
          <w:tcPr>
            <w:tcW w:w="8471" w:type="dxa"/>
          </w:tcPr>
          <w:p w14:paraId="25A553FD" w14:textId="77777777" w:rsidR="007A6FCC" w:rsidRPr="00641757" w:rsidRDefault="007A6FCC" w:rsidP="00281329">
            <w:pPr>
              <w:pStyle w:val="Tablecontent"/>
            </w:pPr>
            <w:r>
              <w:t xml:space="preserve">This is covered in-depth here: </w:t>
            </w:r>
            <w:hyperlink w:anchor="_Contention" w:history="1">
              <w:r w:rsidRPr="00717B32">
                <w:rPr>
                  <w:rStyle w:val="Hyperlink"/>
                </w:rPr>
                <w:t>CPU Contention</w:t>
              </w:r>
            </w:hyperlink>
          </w:p>
        </w:tc>
      </w:tr>
      <w:tr w:rsidR="007A6FCC" w14:paraId="06BB1A3D" w14:textId="77777777" w:rsidTr="00281329">
        <w:tc>
          <w:tcPr>
            <w:tcW w:w="1985" w:type="dxa"/>
            <w:shd w:val="clear" w:color="auto" w:fill="F2F2F2" w:themeFill="background1" w:themeFillShade="F2"/>
          </w:tcPr>
          <w:p w14:paraId="0E59E82B" w14:textId="77777777" w:rsidR="007A6FCC" w:rsidRDefault="007A6FCC" w:rsidP="00281329">
            <w:pPr>
              <w:pStyle w:val="Tablecontent"/>
              <w:rPr>
                <w:lang w:val="en-SG"/>
              </w:rPr>
            </w:pPr>
            <w:r>
              <w:t>%LAT_M</w:t>
            </w:r>
          </w:p>
        </w:tc>
        <w:tc>
          <w:tcPr>
            <w:tcW w:w="8471" w:type="dxa"/>
          </w:tcPr>
          <w:p w14:paraId="2A2C7617" w14:textId="77777777" w:rsidR="007A6FCC" w:rsidRPr="00641757" w:rsidRDefault="007A6FCC" w:rsidP="00281329">
            <w:pPr>
              <w:pStyle w:val="Tablecontent"/>
            </w:pPr>
            <w:r>
              <w:t xml:space="preserve">This is covered in-depth here: </w:t>
            </w:r>
            <w:hyperlink w:anchor="_Contention_1" w:history="1">
              <w:r>
                <w:rPr>
                  <w:rStyle w:val="Hyperlink"/>
                </w:rPr>
                <w:t>Me</w:t>
              </w:r>
              <w:r w:rsidRPr="00717B32">
                <w:rPr>
                  <w:rStyle w:val="Hyperlink"/>
                </w:rPr>
                <w:t>mory contention</w:t>
              </w:r>
            </w:hyperlink>
          </w:p>
        </w:tc>
      </w:tr>
      <w:tr w:rsidR="007A6FCC" w14:paraId="11836364" w14:textId="77777777" w:rsidTr="00281329">
        <w:tc>
          <w:tcPr>
            <w:tcW w:w="1985" w:type="dxa"/>
            <w:shd w:val="clear" w:color="auto" w:fill="F2F2F2" w:themeFill="background1" w:themeFillShade="F2"/>
          </w:tcPr>
          <w:p w14:paraId="52EA4D62" w14:textId="77777777" w:rsidR="007A6FCC" w:rsidRPr="00CD2D9F" w:rsidRDefault="007A6FCC" w:rsidP="00281329">
            <w:pPr>
              <w:pStyle w:val="Tablecontent"/>
              <w:rPr>
                <w:lang w:val="en-SG"/>
              </w:rPr>
            </w:pPr>
            <w:r>
              <w:rPr>
                <w:lang w:val="en-SG"/>
              </w:rPr>
              <w:t>%DMD</w:t>
            </w:r>
          </w:p>
        </w:tc>
        <w:tc>
          <w:tcPr>
            <w:tcW w:w="8471" w:type="dxa"/>
          </w:tcPr>
          <w:p w14:paraId="01A77D6D" w14:textId="77777777" w:rsidR="007A6FCC" w:rsidRDefault="007A6FCC" w:rsidP="00281329">
            <w:pPr>
              <w:pStyle w:val="Tablecontent"/>
            </w:pPr>
            <w:r>
              <w:t xml:space="preserve">This is covered in-depth here: </w:t>
            </w:r>
            <w:hyperlink w:anchor="_Demand" w:history="1">
              <w:r w:rsidRPr="00526DA4">
                <w:rPr>
                  <w:rStyle w:val="Hyperlink"/>
                </w:rPr>
                <w:t>CPU Demand</w:t>
              </w:r>
            </w:hyperlink>
          </w:p>
        </w:tc>
      </w:tr>
      <w:tr w:rsidR="007A6FCC" w14:paraId="43D2227D" w14:textId="77777777" w:rsidTr="00281329">
        <w:tc>
          <w:tcPr>
            <w:tcW w:w="1985" w:type="dxa"/>
            <w:shd w:val="clear" w:color="auto" w:fill="F2F2F2" w:themeFill="background1" w:themeFillShade="F2"/>
          </w:tcPr>
          <w:p w14:paraId="7888ADEC" w14:textId="77777777" w:rsidR="007A6FCC" w:rsidRDefault="007A6FCC" w:rsidP="00281329">
            <w:pPr>
              <w:pStyle w:val="Tablecontent"/>
            </w:pPr>
            <w:r>
              <w:t>EMIN</w:t>
            </w:r>
          </w:p>
        </w:tc>
        <w:tc>
          <w:tcPr>
            <w:tcW w:w="8471" w:type="dxa"/>
          </w:tcPr>
          <w:p w14:paraId="2E851DBA" w14:textId="1461749A" w:rsidR="007A6FCC" w:rsidRDefault="00141027" w:rsidP="00281329">
            <w:pPr>
              <w:pStyle w:val="Tablecontent"/>
            </w:pPr>
            <w:r w:rsidRPr="00D85847">
              <w:t xml:space="preserve">This is the </w:t>
            </w:r>
            <w:r>
              <w:t xml:space="preserve">minimum </w:t>
            </w:r>
            <w:r w:rsidRPr="00D85847">
              <w:t xml:space="preserve">amount of </w:t>
            </w:r>
            <w:r>
              <w:t xml:space="preserve">CPU in </w:t>
            </w:r>
            <w:r w:rsidRPr="00D85847">
              <w:t xml:space="preserve">MHz </w:t>
            </w:r>
            <w:r>
              <w:t xml:space="preserve">that </w:t>
            </w:r>
            <w:r w:rsidRPr="00D85847">
              <w:t xml:space="preserve">the world will </w:t>
            </w:r>
            <w:r>
              <w:t xml:space="preserve">get </w:t>
            </w:r>
            <w:r w:rsidRPr="00D85847">
              <w:t xml:space="preserve">when </w:t>
            </w:r>
            <w:r>
              <w:t>there is not enough for everyone.</w:t>
            </w:r>
          </w:p>
        </w:tc>
      </w:tr>
      <w:tr w:rsidR="007A6FCC" w14:paraId="18B8195A" w14:textId="77777777" w:rsidTr="00281329">
        <w:tc>
          <w:tcPr>
            <w:tcW w:w="1985" w:type="dxa"/>
            <w:shd w:val="clear" w:color="auto" w:fill="F2F2F2" w:themeFill="background1" w:themeFillShade="F2"/>
          </w:tcPr>
          <w:p w14:paraId="6F81FEE8" w14:textId="77777777" w:rsidR="007A6FCC" w:rsidRDefault="007A6FCC" w:rsidP="00281329">
            <w:pPr>
              <w:pStyle w:val="Tablecontent"/>
            </w:pPr>
            <w:r>
              <w:t>TIMER/s</w:t>
            </w:r>
          </w:p>
        </w:tc>
        <w:tc>
          <w:tcPr>
            <w:tcW w:w="8471" w:type="dxa"/>
          </w:tcPr>
          <w:p w14:paraId="691D00E4" w14:textId="77777777" w:rsidR="007A6FCC" w:rsidRDefault="007A6FCC" w:rsidP="00281329">
            <w:pPr>
              <w:pStyle w:val="Tablecontent"/>
            </w:pPr>
            <w:r w:rsidRPr="00641757">
              <w:t>Timer rate for this world</w:t>
            </w:r>
          </w:p>
        </w:tc>
      </w:tr>
      <w:tr w:rsidR="007A6FCC" w14:paraId="70B91D25" w14:textId="77777777" w:rsidTr="00281329">
        <w:tc>
          <w:tcPr>
            <w:tcW w:w="1985" w:type="dxa"/>
            <w:shd w:val="clear" w:color="auto" w:fill="F2F2F2" w:themeFill="background1" w:themeFillShade="F2"/>
          </w:tcPr>
          <w:p w14:paraId="69B14219" w14:textId="77777777" w:rsidR="007A6FCC" w:rsidRDefault="007A6FCC" w:rsidP="00281329">
            <w:pPr>
              <w:pStyle w:val="Tablecontent"/>
            </w:pPr>
            <w:r>
              <w:t>AFFINITY BIT MASK</w:t>
            </w:r>
          </w:p>
        </w:tc>
        <w:tc>
          <w:tcPr>
            <w:tcW w:w="8471" w:type="dxa"/>
          </w:tcPr>
          <w:p w14:paraId="50419FF5" w14:textId="77777777" w:rsidR="007A6FCC" w:rsidRDefault="007A6FCC" w:rsidP="00281329">
            <w:pPr>
              <w:pStyle w:val="Tablecontent"/>
            </w:pPr>
            <w:r w:rsidRPr="00FA327B">
              <w:t>Bit mask showing the current scheduling affinity for the world.</w:t>
            </w:r>
          </w:p>
          <w:p w14:paraId="00A262E8" w14:textId="77777777" w:rsidR="007A6FCC" w:rsidRDefault="007A6FCC" w:rsidP="00281329">
            <w:pPr>
              <w:pStyle w:val="Tablecontent"/>
            </w:pPr>
            <w:r>
              <w:t>N</w:t>
            </w:r>
            <w:r w:rsidRPr="0035599D">
              <w:t>ot set for Latency Sensitive = High VMs</w:t>
            </w:r>
          </w:p>
        </w:tc>
      </w:tr>
      <w:tr w:rsidR="007A6FCC" w14:paraId="519A6F4B" w14:textId="77777777" w:rsidTr="00281329">
        <w:tc>
          <w:tcPr>
            <w:tcW w:w="1985" w:type="dxa"/>
            <w:shd w:val="clear" w:color="auto" w:fill="F2F2F2" w:themeFill="background1" w:themeFillShade="F2"/>
          </w:tcPr>
          <w:p w14:paraId="089FFD7F" w14:textId="77777777" w:rsidR="007A6FCC" w:rsidRDefault="007A6FCC" w:rsidP="00281329">
            <w:pPr>
              <w:pStyle w:val="Tablecontent"/>
            </w:pPr>
            <w:r>
              <w:t>CPU</w:t>
            </w:r>
          </w:p>
        </w:tc>
        <w:tc>
          <w:tcPr>
            <w:tcW w:w="8471" w:type="dxa"/>
          </w:tcPr>
          <w:p w14:paraId="7CCCA31C" w14:textId="435C216C" w:rsidR="007A6FCC" w:rsidRDefault="007A6FCC" w:rsidP="00281329">
            <w:pPr>
              <w:pStyle w:val="Tablecontent"/>
            </w:pPr>
            <w:r w:rsidRPr="00E73231">
              <w:t>The physical or logical processor on which the world was running when esxtop</w:t>
            </w:r>
            <w:r>
              <w:t xml:space="preserve"> </w:t>
            </w:r>
            <w:r w:rsidRPr="00E73231">
              <w:t>obtained this information</w:t>
            </w:r>
            <w:r>
              <w:t xml:space="preserve">. </w:t>
            </w:r>
            <w:r w:rsidRPr="00E81208">
              <w:rPr>
                <w:color w:val="FF0000"/>
              </w:rPr>
              <w:t xml:space="preserve">I’m </w:t>
            </w:r>
            <w:r>
              <w:rPr>
                <w:color w:val="FF0000"/>
              </w:rPr>
              <w:t xml:space="preserve">not 100% </w:t>
            </w:r>
            <w:r w:rsidRPr="00E81208">
              <w:rPr>
                <w:color w:val="FF0000"/>
              </w:rPr>
              <w:t>as this is always blank</w:t>
            </w:r>
            <w:r>
              <w:rPr>
                <w:color w:val="FF0000"/>
              </w:rPr>
              <w:t xml:space="preserve"> for me</w:t>
            </w:r>
          </w:p>
        </w:tc>
      </w:tr>
      <w:tr w:rsidR="007A6FCC" w14:paraId="4BBDDE46" w14:textId="77777777" w:rsidTr="00281329">
        <w:tc>
          <w:tcPr>
            <w:tcW w:w="1985" w:type="dxa"/>
            <w:shd w:val="clear" w:color="auto" w:fill="F2F2F2" w:themeFill="background1" w:themeFillShade="F2"/>
          </w:tcPr>
          <w:p w14:paraId="2CAC6F7B" w14:textId="77777777" w:rsidR="007A6FCC" w:rsidRDefault="007A6FCC" w:rsidP="00281329">
            <w:pPr>
              <w:pStyle w:val="Tablecontent"/>
            </w:pPr>
            <w:r>
              <w:t>EXC_AF</w:t>
            </w:r>
          </w:p>
        </w:tc>
        <w:tc>
          <w:tcPr>
            <w:tcW w:w="8471" w:type="dxa"/>
          </w:tcPr>
          <w:p w14:paraId="6E3D965A" w14:textId="77777777" w:rsidR="007A6FCC" w:rsidRDefault="007A6FCC" w:rsidP="00281329">
            <w:pPr>
              <w:pStyle w:val="Tablecontent"/>
            </w:pPr>
            <w:r>
              <w:t xml:space="preserve">Yes means the VM has </w:t>
            </w:r>
            <w:r w:rsidRPr="00D906BC">
              <w:t>exclusive affinity</w:t>
            </w:r>
            <w:r>
              <w:t xml:space="preserve">. This happens when you enabled </w:t>
            </w:r>
            <w:r w:rsidRPr="00D906BC">
              <w:t xml:space="preserve">the </w:t>
            </w:r>
            <w:r w:rsidRPr="00D906BC">
              <w:rPr>
                <w:color w:val="00B0F0"/>
              </w:rPr>
              <w:t>Latency Sensitivity</w:t>
            </w:r>
            <w:r w:rsidRPr="00D906BC">
              <w:t xml:space="preserve"> setting</w:t>
            </w:r>
            <w:r>
              <w:t>. Use this feature very carefully.</w:t>
            </w:r>
          </w:p>
        </w:tc>
      </w:tr>
    </w:tbl>
    <w:p w14:paraId="4E050CB4" w14:textId="6E43DF9A" w:rsidR="007A6FCC" w:rsidRDefault="007A6FCC" w:rsidP="007A6FCC">
      <w:r>
        <w:t xml:space="preserve">The column HTQ is no longer shown in ESXi 7.0. In earlier release, this indicates </w:t>
      </w:r>
      <w:r w:rsidRPr="003E47AF">
        <w:t xml:space="preserve">whether the world is quarantined or not. </w:t>
      </w:r>
      <w:r w:rsidR="00194CEE" w:rsidRPr="00194CEE">
        <w:rPr>
          <w:color w:val="00B0F0"/>
        </w:rPr>
        <w:t>‘N’</w:t>
      </w:r>
      <w:r w:rsidRPr="003E47AF">
        <w:t xml:space="preserve"> means no and </w:t>
      </w:r>
      <w:r w:rsidR="00194CEE" w:rsidRPr="00194CEE">
        <w:rPr>
          <w:color w:val="00B0F0"/>
        </w:rPr>
        <w:t>‘Y’</w:t>
      </w:r>
      <w:r w:rsidRPr="003E47AF">
        <w:t xml:space="preserve"> means yes</w:t>
      </w:r>
      <w:r>
        <w:t>.</w:t>
      </w:r>
    </w:p>
    <w:p w14:paraId="32C53719" w14:textId="77777777" w:rsidR="007A6FCC" w:rsidRDefault="007A6FCC" w:rsidP="007A6FCC">
      <w:pPr>
        <w:pStyle w:val="Heading5"/>
      </w:pPr>
      <w:r>
        <w:lastRenderedPageBreak/>
        <w:t>CPU Allocation</w:t>
      </w:r>
    </w:p>
    <w:p w14:paraId="52DF8E87" w14:textId="77777777" w:rsidR="007A6FCC" w:rsidRDefault="007A6FCC" w:rsidP="007A6FCC">
      <w:pPr>
        <w:jc w:val="center"/>
      </w:pPr>
      <w:r>
        <w:rPr>
          <w:noProof/>
        </w:rPr>
        <w:drawing>
          <wp:inline distT="0" distB="0" distL="0" distR="0" wp14:anchorId="7991BC0E" wp14:editId="66E85759">
            <wp:extent cx="4888800" cy="950400"/>
            <wp:effectExtent l="0" t="0" r="7620" b="2540"/>
            <wp:docPr id="567723328" name="Picture 56772332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30" name="Picture 918289630" descr="A screenshot of a computer&#10;&#10;Description automatically generated with medium confidence"/>
                    <pic:cNvPicPr>
                      <a:picLocks noChangeAspect="1" noChangeArrowheads="1"/>
                    </pic:cNvPicPr>
                  </pic:nvPicPr>
                  <pic:blipFill>
                    <a:blip r:embed="rId826">
                      <a:extLst>
                        <a:ext uri="{28A0092B-C50C-407E-A947-70E740481C1C}">
                          <a14:useLocalDpi xmlns:a14="http://schemas.microsoft.com/office/drawing/2010/main" val="0"/>
                        </a:ext>
                      </a:extLst>
                    </a:blip>
                    <a:srcRect/>
                    <a:stretch>
                      <a:fillRect/>
                    </a:stretch>
                  </pic:blipFill>
                  <pic:spPr bwMode="auto">
                    <a:xfrm>
                      <a:off x="0" y="0"/>
                      <a:ext cx="4888800" cy="950400"/>
                    </a:xfrm>
                    <a:prstGeom prst="rect">
                      <a:avLst/>
                    </a:prstGeom>
                    <a:noFill/>
                    <a:ln>
                      <a:noFill/>
                    </a:ln>
                  </pic:spPr>
                </pic:pic>
              </a:graphicData>
            </a:graphic>
          </wp:inline>
        </w:drawing>
      </w:r>
    </w:p>
    <w:p w14:paraId="656B9FB7" w14:textId="77777777" w:rsidR="007A6FCC" w:rsidRDefault="007A6FCC" w:rsidP="007A6FCC">
      <w:pPr>
        <w:pStyle w:val="BeforeTable"/>
      </w:pPr>
    </w:p>
    <w:tbl>
      <w:tblPr>
        <w:tblStyle w:val="TableGrid"/>
        <w:tblW w:w="10456" w:type="dxa"/>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1418"/>
        <w:gridCol w:w="9038"/>
      </w:tblGrid>
      <w:tr w:rsidR="004606AB" w14:paraId="73A373CD" w14:textId="77777777" w:rsidTr="004606AB">
        <w:tc>
          <w:tcPr>
            <w:tcW w:w="1418" w:type="dxa"/>
            <w:shd w:val="clear" w:color="auto" w:fill="F2F2F2" w:themeFill="background1" w:themeFillShade="F2"/>
          </w:tcPr>
          <w:p w14:paraId="6CDB250A" w14:textId="77777777" w:rsidR="004606AB" w:rsidRDefault="004606AB" w:rsidP="004606AB">
            <w:pPr>
              <w:pStyle w:val="Tablecontent"/>
            </w:pPr>
            <w:r>
              <w:t>AMIN</w:t>
            </w:r>
          </w:p>
        </w:tc>
        <w:tc>
          <w:tcPr>
            <w:tcW w:w="9038" w:type="dxa"/>
            <w:tcBorders>
              <w:right w:val="nil"/>
            </w:tcBorders>
          </w:tcPr>
          <w:p w14:paraId="19448960" w14:textId="0688B45D" w:rsidR="004606AB" w:rsidRDefault="004606AB" w:rsidP="004606AB">
            <w:pPr>
              <w:pStyle w:val="Tablecontent"/>
            </w:pPr>
            <w:r>
              <w:t>Allocation</w:t>
            </w:r>
            <w:r w:rsidRPr="000E3A5F">
              <w:t xml:space="preserve"> </w:t>
            </w:r>
            <w:r>
              <w:t>Minimum. Basically, the r</w:t>
            </w:r>
            <w:r w:rsidRPr="000E3A5F">
              <w:t>eservation</w:t>
            </w:r>
          </w:p>
        </w:tc>
      </w:tr>
      <w:tr w:rsidR="004606AB" w14:paraId="4A8A410B" w14:textId="77777777" w:rsidTr="004606AB">
        <w:tc>
          <w:tcPr>
            <w:tcW w:w="1418" w:type="dxa"/>
            <w:shd w:val="clear" w:color="auto" w:fill="F2F2F2" w:themeFill="background1" w:themeFillShade="F2"/>
          </w:tcPr>
          <w:p w14:paraId="609E6539" w14:textId="77777777" w:rsidR="004606AB" w:rsidRPr="007E1B5A" w:rsidRDefault="004606AB" w:rsidP="004606AB">
            <w:pPr>
              <w:pStyle w:val="Tablecontent"/>
            </w:pPr>
            <w:r>
              <w:t>AMAX</w:t>
            </w:r>
          </w:p>
        </w:tc>
        <w:tc>
          <w:tcPr>
            <w:tcW w:w="9038" w:type="dxa"/>
            <w:tcBorders>
              <w:right w:val="nil"/>
            </w:tcBorders>
          </w:tcPr>
          <w:p w14:paraId="1FDF20BB" w14:textId="457C0982" w:rsidR="004606AB" w:rsidRDefault="004606AB" w:rsidP="004606AB">
            <w:pPr>
              <w:pStyle w:val="Tablecontent"/>
            </w:pPr>
            <w:r>
              <w:t xml:space="preserve">Allocation Maximum. Basically, the limit. </w:t>
            </w:r>
          </w:p>
        </w:tc>
      </w:tr>
      <w:tr w:rsidR="004606AB" w14:paraId="22B0A0EE" w14:textId="77777777" w:rsidTr="004606AB">
        <w:tc>
          <w:tcPr>
            <w:tcW w:w="1418" w:type="dxa"/>
            <w:shd w:val="clear" w:color="auto" w:fill="F2F2F2" w:themeFill="background1" w:themeFillShade="F2"/>
          </w:tcPr>
          <w:p w14:paraId="34EE1E2F" w14:textId="77777777" w:rsidR="004606AB" w:rsidRDefault="004606AB" w:rsidP="004606AB">
            <w:pPr>
              <w:pStyle w:val="Tablecontent"/>
            </w:pPr>
            <w:r>
              <w:t>ASHRS</w:t>
            </w:r>
          </w:p>
        </w:tc>
        <w:tc>
          <w:tcPr>
            <w:tcW w:w="9038" w:type="dxa"/>
            <w:tcBorders>
              <w:right w:val="nil"/>
            </w:tcBorders>
          </w:tcPr>
          <w:p w14:paraId="29ABAF16" w14:textId="4285A322" w:rsidR="004606AB" w:rsidRDefault="004606AB" w:rsidP="004606AB">
            <w:pPr>
              <w:pStyle w:val="Tablecontent"/>
            </w:pPr>
            <w:r>
              <w:t>Allocation shares</w:t>
            </w:r>
          </w:p>
        </w:tc>
      </w:tr>
      <w:tr w:rsidR="004606AB" w14:paraId="419E8383" w14:textId="77777777" w:rsidTr="004606AB">
        <w:tc>
          <w:tcPr>
            <w:tcW w:w="1418" w:type="dxa"/>
            <w:shd w:val="clear" w:color="auto" w:fill="F2F2F2" w:themeFill="background1" w:themeFillShade="F2"/>
          </w:tcPr>
          <w:p w14:paraId="6D1A9F6D" w14:textId="77777777" w:rsidR="004606AB" w:rsidRDefault="004606AB" w:rsidP="004606AB">
            <w:pPr>
              <w:pStyle w:val="Tablecontent"/>
            </w:pPr>
            <w:r>
              <w:t>AMLMT</w:t>
            </w:r>
          </w:p>
        </w:tc>
        <w:tc>
          <w:tcPr>
            <w:tcW w:w="9038" w:type="dxa"/>
            <w:tcBorders>
              <w:right w:val="nil"/>
            </w:tcBorders>
          </w:tcPr>
          <w:p w14:paraId="5EA453C2" w14:textId="1BD02034" w:rsidR="004606AB" w:rsidRPr="00334828" w:rsidRDefault="004606AB" w:rsidP="004606AB">
            <w:pPr>
              <w:pStyle w:val="Tablecontent"/>
              <w:rPr>
                <w:color w:val="FF0000"/>
              </w:rPr>
            </w:pPr>
            <w:r>
              <w:rPr>
                <w:color w:val="FF0000"/>
              </w:rPr>
              <w:t>Max Limited. I’m unsure if this is when it’s applied or not.</w:t>
            </w:r>
          </w:p>
        </w:tc>
      </w:tr>
      <w:tr w:rsidR="004606AB" w14:paraId="4A59EFA6" w14:textId="77777777" w:rsidTr="004606AB">
        <w:tc>
          <w:tcPr>
            <w:tcW w:w="1418" w:type="dxa"/>
            <w:shd w:val="clear" w:color="auto" w:fill="F2F2F2" w:themeFill="background1" w:themeFillShade="F2"/>
          </w:tcPr>
          <w:p w14:paraId="79281BCB" w14:textId="77777777" w:rsidR="004606AB" w:rsidRDefault="004606AB" w:rsidP="004606AB">
            <w:pPr>
              <w:pStyle w:val="Tablecontent"/>
            </w:pPr>
            <w:r>
              <w:t>AUNITS</w:t>
            </w:r>
          </w:p>
        </w:tc>
        <w:tc>
          <w:tcPr>
            <w:tcW w:w="9038" w:type="dxa"/>
            <w:tcBorders>
              <w:right w:val="nil"/>
            </w:tcBorders>
          </w:tcPr>
          <w:p w14:paraId="3F2961CA" w14:textId="1A701DFF" w:rsidR="004606AB" w:rsidRDefault="004606AB" w:rsidP="004606AB">
            <w:pPr>
              <w:pStyle w:val="Tablecontent"/>
            </w:pPr>
            <w:r>
              <w:t xml:space="preserve">Units. For VM, this is in MHz. For VMkernel module, this is in percentage. </w:t>
            </w:r>
          </w:p>
        </w:tc>
      </w:tr>
    </w:tbl>
    <w:p w14:paraId="774B90F6" w14:textId="77777777" w:rsidR="007A6FCC" w:rsidRDefault="007A6FCC" w:rsidP="007A6FCC">
      <w:pPr>
        <w:pStyle w:val="Heading5"/>
      </w:pPr>
      <w:r>
        <w:t>Power Consumption</w:t>
      </w:r>
    </w:p>
    <w:p w14:paraId="29052F85" w14:textId="77777777" w:rsidR="007A6FCC" w:rsidRPr="00E62F2A" w:rsidRDefault="007A6FCC" w:rsidP="007A6FCC">
      <w:pPr>
        <w:rPr>
          <w:lang w:val="en-GB"/>
        </w:rPr>
      </w:pPr>
      <w:r>
        <w:rPr>
          <w:lang w:val="en-GB"/>
        </w:rPr>
        <w:t>Power management is given its own panel. This measures the power consumption of each physical thread. If you disable hyper-threading, then it measures at physical core</w:t>
      </w:r>
    </w:p>
    <w:p w14:paraId="46FCC86C" w14:textId="77777777" w:rsidR="007A6FCC" w:rsidRDefault="007A6FCC" w:rsidP="007A6FCC">
      <w:pPr>
        <w:rPr>
          <w:lang w:val="en-GB"/>
        </w:rPr>
      </w:pPr>
      <w:r w:rsidRPr="00C43BF7">
        <w:rPr>
          <w:noProof/>
          <w:lang w:val="en-GB"/>
        </w:rPr>
        <w:drawing>
          <wp:inline distT="0" distB="0" distL="0" distR="0" wp14:anchorId="7A6BF1AE" wp14:editId="1A23A62F">
            <wp:extent cx="6645910" cy="2303145"/>
            <wp:effectExtent l="0" t="0" r="2540" b="1905"/>
            <wp:docPr id="567723360" name="Picture 56772336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60" name="Picture 567723360" descr="A picture containing graphical user interface&#10;&#10;Description automatically generated"/>
                    <pic:cNvPicPr/>
                  </pic:nvPicPr>
                  <pic:blipFill>
                    <a:blip r:embed="rId827"/>
                    <a:stretch>
                      <a:fillRect/>
                    </a:stretch>
                  </pic:blipFill>
                  <pic:spPr>
                    <a:xfrm>
                      <a:off x="0" y="0"/>
                      <a:ext cx="6645910" cy="2303145"/>
                    </a:xfrm>
                    <a:prstGeom prst="rect">
                      <a:avLst/>
                    </a:prstGeom>
                  </pic:spPr>
                </pic:pic>
              </a:graphicData>
            </a:graphic>
          </wp:inline>
        </w:drawing>
      </w:r>
    </w:p>
    <w:p w14:paraId="6AA1BF88" w14:textId="77777777" w:rsidR="007A6FCC" w:rsidRDefault="007A6FCC" w:rsidP="007A6FCC">
      <w:pPr>
        <w:rPr>
          <w:lang w:val="en-GB"/>
        </w:rPr>
      </w:pPr>
      <w:r>
        <w:rPr>
          <w:lang w:val="en-GB"/>
        </w:rPr>
        <w:t xml:space="preserve">The </w:t>
      </w:r>
      <w:r w:rsidRPr="00832768">
        <w:rPr>
          <w:color w:val="00B0F0"/>
          <w:lang w:val="en-GB"/>
        </w:rPr>
        <w:t xml:space="preserve">Power Usage </w:t>
      </w:r>
      <w:r>
        <w:rPr>
          <w:lang w:val="en-GB"/>
        </w:rPr>
        <w:t>line tracks the c</w:t>
      </w:r>
      <w:r w:rsidRPr="00701A52">
        <w:rPr>
          <w:lang w:val="en-GB"/>
        </w:rPr>
        <w:t>urrent total power usage (in Watts</w:t>
      </w:r>
      <w:r>
        <w:rPr>
          <w:lang w:val="en-GB"/>
        </w:rPr>
        <w:t xml:space="preserve">). Compare this with what the hardware specification. Power Cap shows the limit applied. You only do this hard limit when there is insufficient power supply from the rack. </w:t>
      </w:r>
    </w:p>
    <w:p w14:paraId="5A3DBE9D" w14:textId="77777777" w:rsidR="007A6FCC" w:rsidRDefault="007A6FCC" w:rsidP="007A6FCC">
      <w:pPr>
        <w:rPr>
          <w:lang w:val="en-GB"/>
        </w:rPr>
      </w:pPr>
      <w:r>
        <w:rPr>
          <w:lang w:val="en-GB"/>
        </w:rPr>
        <w:t xml:space="preserve">The </w:t>
      </w:r>
      <w:r w:rsidRPr="00832768">
        <w:rPr>
          <w:color w:val="00B0F0"/>
          <w:lang w:val="en-GB"/>
        </w:rPr>
        <w:t xml:space="preserve">PSTATE MHZ </w:t>
      </w:r>
      <w:r>
        <w:rPr>
          <w:lang w:val="en-GB"/>
        </w:rPr>
        <w:t>line tracks the CPU c</w:t>
      </w:r>
      <w:r w:rsidRPr="00C50C81">
        <w:rPr>
          <w:lang w:val="en-GB"/>
        </w:rPr>
        <w:t xml:space="preserve">lock frequency </w:t>
      </w:r>
      <w:r>
        <w:rPr>
          <w:lang w:val="en-GB"/>
        </w:rPr>
        <w:t xml:space="preserve">for each </w:t>
      </w:r>
      <w:r w:rsidRPr="00C50C81">
        <w:rPr>
          <w:lang w:val="en-GB"/>
        </w:rPr>
        <w:t>state</w:t>
      </w:r>
      <w:r>
        <w:rPr>
          <w:lang w:val="en-GB"/>
        </w:rPr>
        <w:t>.</w:t>
      </w:r>
    </w:p>
    <w:p w14:paraId="0DC670B1" w14:textId="77777777" w:rsidR="007A6FCC" w:rsidRPr="00C43BF7" w:rsidRDefault="007A6FCC" w:rsidP="007A6FCC">
      <w:pPr>
        <w:rPr>
          <w:lang w:val="en-GB"/>
        </w:rPr>
      </w:pPr>
      <w:r>
        <w:rPr>
          <w:lang w:val="en-GB"/>
        </w:rPr>
        <w:t>Now let’s go into the table. It lists all the physical core (or thread if you enable HT). Note it does not group them by socket.</w:t>
      </w:r>
    </w:p>
    <w:p w14:paraId="10DE001C"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6300A0E9" w14:textId="77777777" w:rsidTr="00281329">
        <w:tc>
          <w:tcPr>
            <w:tcW w:w="1843" w:type="dxa"/>
            <w:shd w:val="clear" w:color="auto" w:fill="F2F2F2" w:themeFill="background1" w:themeFillShade="F2"/>
          </w:tcPr>
          <w:p w14:paraId="2FB6E26D" w14:textId="77777777" w:rsidR="007A6FCC" w:rsidRDefault="007A6FCC" w:rsidP="00281329">
            <w:pPr>
              <w:pStyle w:val="Tablecontent"/>
            </w:pPr>
            <w:r>
              <w:t>%USED</w:t>
            </w:r>
          </w:p>
        </w:tc>
        <w:tc>
          <w:tcPr>
            <w:tcW w:w="8647" w:type="dxa"/>
          </w:tcPr>
          <w:p w14:paraId="1619488A" w14:textId="77777777" w:rsidR="007A6FCC" w:rsidRDefault="007A6FCC" w:rsidP="00281329">
            <w:pPr>
              <w:pStyle w:val="Tablecontent"/>
            </w:pPr>
            <w:r>
              <w:t xml:space="preserve">Used (%) metric is covered in-depth </w:t>
            </w:r>
            <w:hyperlink w:anchor="_Used" w:history="1">
              <w:r w:rsidRPr="0003557E">
                <w:rPr>
                  <w:rStyle w:val="Hyperlink"/>
                </w:rPr>
                <w:t>here</w:t>
              </w:r>
            </w:hyperlink>
            <w:r>
              <w:t xml:space="preserve"> under ESXi CPU metric section. </w:t>
            </w:r>
          </w:p>
        </w:tc>
      </w:tr>
      <w:tr w:rsidR="007A6FCC" w:rsidRPr="00E51A31" w14:paraId="6DFB3AB4" w14:textId="77777777" w:rsidTr="00281329">
        <w:tc>
          <w:tcPr>
            <w:tcW w:w="1843" w:type="dxa"/>
            <w:shd w:val="clear" w:color="auto" w:fill="F2F2F2" w:themeFill="background1" w:themeFillShade="F2"/>
          </w:tcPr>
          <w:p w14:paraId="2A29EF20" w14:textId="77777777" w:rsidR="007A6FCC" w:rsidRDefault="007A6FCC" w:rsidP="00281329">
            <w:pPr>
              <w:pStyle w:val="Tablecontent"/>
            </w:pPr>
            <w:r>
              <w:t>%UTIL</w:t>
            </w:r>
          </w:p>
        </w:tc>
        <w:tc>
          <w:tcPr>
            <w:tcW w:w="8647" w:type="dxa"/>
          </w:tcPr>
          <w:p w14:paraId="25C7685B" w14:textId="77777777" w:rsidR="007A6FCC" w:rsidRDefault="007A6FCC" w:rsidP="00281329">
            <w:pPr>
              <w:pStyle w:val="Tablecontent"/>
            </w:pPr>
            <w:r>
              <w:t xml:space="preserve">Utilization (%) metric is covered in-depth </w:t>
            </w:r>
            <w:hyperlink w:anchor="_Utilization_and_Core" w:history="1">
              <w:r w:rsidRPr="0003557E">
                <w:rPr>
                  <w:rStyle w:val="Hyperlink"/>
                </w:rPr>
                <w:t>here</w:t>
              </w:r>
            </w:hyperlink>
            <w:r>
              <w:t xml:space="preserve"> under ESXi CPU metric section.</w:t>
            </w:r>
          </w:p>
        </w:tc>
      </w:tr>
      <w:tr w:rsidR="007A6FCC" w:rsidRPr="00E51A31" w14:paraId="7A0A8211" w14:textId="77777777" w:rsidTr="00281329">
        <w:tc>
          <w:tcPr>
            <w:tcW w:w="1843" w:type="dxa"/>
            <w:shd w:val="clear" w:color="auto" w:fill="F2F2F2" w:themeFill="background1" w:themeFillShade="F2"/>
          </w:tcPr>
          <w:p w14:paraId="5A080ED0" w14:textId="77777777" w:rsidR="007A6FCC" w:rsidRPr="002510F4" w:rsidRDefault="007A6FCC" w:rsidP="00281329">
            <w:pPr>
              <w:pStyle w:val="Tablecontent"/>
            </w:pPr>
            <w:r>
              <w:t>%CState</w:t>
            </w:r>
          </w:p>
        </w:tc>
        <w:tc>
          <w:tcPr>
            <w:tcW w:w="8647" w:type="dxa"/>
            <w:vMerge w:val="restart"/>
          </w:tcPr>
          <w:p w14:paraId="022D327C" w14:textId="77777777" w:rsidR="007A6FCC" w:rsidRDefault="007A6FCC" w:rsidP="00281329">
            <w:pPr>
              <w:pStyle w:val="Tablecontent"/>
            </w:pPr>
            <w:r>
              <w:t>Percentage of time spent in a C-State, P-State and T-State.</w:t>
            </w:r>
          </w:p>
          <w:p w14:paraId="1AF66843" w14:textId="77777777" w:rsidR="007A6FCC" w:rsidRPr="002510F4" w:rsidRDefault="007A6FCC" w:rsidP="00281329">
            <w:pPr>
              <w:pStyle w:val="Tablecontent"/>
            </w:pPr>
            <w:r>
              <w:lastRenderedPageBreak/>
              <w:t xml:space="preserve">Power management is covered </w:t>
            </w:r>
            <w:hyperlink w:anchor="_Power_Management_1" w:history="1">
              <w:r w:rsidRPr="00F1504E">
                <w:rPr>
                  <w:rStyle w:val="Hyperlink"/>
                </w:rPr>
                <w:t>here</w:t>
              </w:r>
            </w:hyperlink>
            <w:r>
              <w:t xml:space="preserve"> under ESXi CPU metric section.</w:t>
            </w:r>
          </w:p>
        </w:tc>
      </w:tr>
      <w:tr w:rsidR="007A6FCC" w:rsidRPr="00E51A31" w14:paraId="21BC52DA" w14:textId="77777777" w:rsidTr="00281329">
        <w:tc>
          <w:tcPr>
            <w:tcW w:w="1843" w:type="dxa"/>
            <w:shd w:val="clear" w:color="auto" w:fill="F2F2F2" w:themeFill="background1" w:themeFillShade="F2"/>
          </w:tcPr>
          <w:p w14:paraId="002CD212" w14:textId="77777777" w:rsidR="007A6FCC" w:rsidRPr="002510F4" w:rsidRDefault="007A6FCC" w:rsidP="00281329">
            <w:pPr>
              <w:pStyle w:val="Tablecontent"/>
            </w:pPr>
            <w:r>
              <w:lastRenderedPageBreak/>
              <w:t>%TState</w:t>
            </w:r>
          </w:p>
        </w:tc>
        <w:tc>
          <w:tcPr>
            <w:tcW w:w="8647" w:type="dxa"/>
            <w:vMerge/>
          </w:tcPr>
          <w:p w14:paraId="5283B4CF" w14:textId="77777777" w:rsidR="007A6FCC" w:rsidRPr="002510F4" w:rsidRDefault="007A6FCC" w:rsidP="00281329">
            <w:pPr>
              <w:pStyle w:val="Tablecontent"/>
            </w:pPr>
          </w:p>
        </w:tc>
      </w:tr>
      <w:tr w:rsidR="007A6FCC" w:rsidRPr="00E51A31" w14:paraId="392DE096" w14:textId="77777777" w:rsidTr="00281329">
        <w:tc>
          <w:tcPr>
            <w:tcW w:w="1843" w:type="dxa"/>
            <w:shd w:val="clear" w:color="auto" w:fill="F2F2F2" w:themeFill="background1" w:themeFillShade="F2"/>
          </w:tcPr>
          <w:p w14:paraId="50C33B67" w14:textId="77777777" w:rsidR="007A6FCC" w:rsidRPr="002510F4" w:rsidRDefault="007A6FCC" w:rsidP="00281329">
            <w:pPr>
              <w:pStyle w:val="Tablecontent"/>
            </w:pPr>
            <w:r>
              <w:t>%A/</w:t>
            </w:r>
            <w:r w:rsidRPr="005078EF">
              <w:rPr>
                <w:caps/>
              </w:rPr>
              <w:t>Mperf</w:t>
            </w:r>
          </w:p>
        </w:tc>
        <w:tc>
          <w:tcPr>
            <w:tcW w:w="8647" w:type="dxa"/>
          </w:tcPr>
          <w:p w14:paraId="6CCABFD3" w14:textId="77777777" w:rsidR="007A6FCC" w:rsidRPr="002510F4" w:rsidRDefault="007A6FCC" w:rsidP="00281329">
            <w:pPr>
              <w:pStyle w:val="Tablecontent"/>
            </w:pPr>
            <w:r>
              <w:t xml:space="preserve">Actual / Measured Performance, expressed in percentage. The word </w:t>
            </w:r>
            <w:r w:rsidRPr="00C103BA">
              <w:rPr>
                <w:color w:val="00B0F0"/>
              </w:rPr>
              <w:t xml:space="preserve">measured </w:t>
            </w:r>
            <w:r>
              <w:t>in this case means the nominal or static value. So a value above 100% means Turbo, while a value below 100% means power saving kicked in. If this number is not what you are expecting, check the power policy settings in BIOS and ESXi</w:t>
            </w:r>
          </w:p>
        </w:tc>
      </w:tr>
    </w:tbl>
    <w:p w14:paraId="5918D400" w14:textId="77777777" w:rsidR="002975D5" w:rsidRDefault="002975D5" w:rsidP="002975D5">
      <w:pPr>
        <w:rPr>
          <w:lang w:val="en-GB"/>
        </w:rPr>
      </w:pPr>
      <w:bookmarkStart w:id="129" w:name="_Hlk134992428"/>
      <w:r w:rsidRPr="00A452F2">
        <w:rPr>
          <w:lang w:val="en-GB"/>
        </w:rPr>
        <w:t xml:space="preserve">The following screenshot shows ESXi with 14 P-States, where P0 is represented as 2401 MHz. Each row is a </w:t>
      </w:r>
      <w:r>
        <w:rPr>
          <w:lang w:val="en-GB"/>
        </w:rPr>
        <w:t>physical thread as HT is enabled.</w:t>
      </w:r>
    </w:p>
    <w:p w14:paraId="2889F7FE" w14:textId="77777777" w:rsidR="002975D5" w:rsidRPr="00A452F2" w:rsidRDefault="002975D5" w:rsidP="002975D5">
      <w:pPr>
        <w:rPr>
          <w:lang w:val="en-GB"/>
        </w:rPr>
      </w:pPr>
      <w:r w:rsidRPr="00A452F2">
        <w:rPr>
          <w:lang w:val="en-GB"/>
        </w:rPr>
        <w:t xml:space="preserve">See </w:t>
      </w:r>
      <w:r>
        <w:rPr>
          <w:lang w:val="en-GB"/>
        </w:rPr>
        <w:t>P</w:t>
      </w:r>
      <w:r w:rsidRPr="00A452F2">
        <w:rPr>
          <w:lang w:val="en-GB"/>
        </w:rPr>
        <w:t>CPU 10 and 11</w:t>
      </w:r>
      <w:r>
        <w:rPr>
          <w:lang w:val="en-GB"/>
        </w:rPr>
        <w:t xml:space="preserve"> (they share core 6)</w:t>
      </w:r>
      <w:r w:rsidRPr="00A452F2">
        <w:rPr>
          <w:lang w:val="en-GB"/>
        </w:rPr>
        <w:t xml:space="preserve">. </w:t>
      </w:r>
      <w:r>
        <w:rPr>
          <w:lang w:val="en-GB"/>
        </w:rPr>
        <w:t>What do you notice?</w:t>
      </w:r>
    </w:p>
    <w:p w14:paraId="4FFB85A4" w14:textId="77777777" w:rsidR="002975D5" w:rsidRPr="00A452F2" w:rsidRDefault="002975D5" w:rsidP="002975D5">
      <w:pPr>
        <w:jc w:val="center"/>
        <w:rPr>
          <w:lang w:val="en-GB"/>
        </w:rPr>
      </w:pPr>
      <w:r>
        <w:rPr>
          <w:noProof/>
        </w:rPr>
        <w:drawing>
          <wp:inline distT="0" distB="0" distL="0" distR="0" wp14:anchorId="6ADFC768" wp14:editId="25F1CF9A">
            <wp:extent cx="6516000" cy="3085200"/>
            <wp:effectExtent l="0" t="0" r="0" b="1270"/>
            <wp:docPr id="606394058" name="Picture 60639405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6394058" name="Picture 606394058" descr="Table&#10;&#10;Description automatically generated"/>
                    <pic:cNvPicPr/>
                  </pic:nvPicPr>
                  <pic:blipFill>
                    <a:blip r:embed="rId828">
                      <a:extLst>
                        <a:ext uri="{28A0092B-C50C-407E-A947-70E740481C1C}">
                          <a14:useLocalDpi xmlns:a14="http://schemas.microsoft.com/office/drawing/2010/main" val="0"/>
                        </a:ext>
                      </a:extLst>
                    </a:blip>
                    <a:stretch>
                      <a:fillRect/>
                    </a:stretch>
                  </pic:blipFill>
                  <pic:spPr>
                    <a:xfrm>
                      <a:off x="0" y="0"/>
                      <a:ext cx="6516000" cy="3085200"/>
                    </a:xfrm>
                    <a:prstGeom prst="rect">
                      <a:avLst/>
                    </a:prstGeom>
                  </pic:spPr>
                </pic:pic>
              </a:graphicData>
            </a:graphic>
          </wp:inline>
        </w:drawing>
      </w:r>
    </w:p>
    <w:p w14:paraId="7F42D185" w14:textId="77777777" w:rsidR="002975D5" w:rsidRDefault="002975D5" w:rsidP="002975D5">
      <w:pPr>
        <w:rPr>
          <w:lang w:val="en-GB"/>
        </w:rPr>
      </w:pPr>
      <w:r>
        <w:rPr>
          <w:lang w:val="en-GB"/>
        </w:rPr>
        <w:t xml:space="preserve">Utilization (%) shows </w:t>
      </w:r>
      <w:r w:rsidRPr="00A452F2">
        <w:rPr>
          <w:lang w:val="en-GB"/>
        </w:rPr>
        <w:t>100%</w:t>
      </w:r>
      <w:r>
        <w:rPr>
          <w:lang w:val="en-GB"/>
        </w:rPr>
        <w:t xml:space="preserve"> for both. This means both threads run, hence competing. </w:t>
      </w:r>
    </w:p>
    <w:p w14:paraId="416CDF91" w14:textId="77777777" w:rsidR="002975D5" w:rsidRPr="00A452F2" w:rsidRDefault="002975D5" w:rsidP="002975D5">
      <w:pPr>
        <w:rPr>
          <w:lang w:val="en-GB"/>
        </w:rPr>
      </w:pPr>
      <w:r>
        <w:rPr>
          <w:lang w:val="en-GB"/>
        </w:rPr>
        <w:t xml:space="preserve">The core is </w:t>
      </w:r>
      <w:r w:rsidRPr="00A452F2">
        <w:rPr>
          <w:lang w:val="en-GB"/>
        </w:rPr>
        <w:t xml:space="preserve">in Turbo Boost. The %A/MPERF shows </w:t>
      </w:r>
      <w:r>
        <w:rPr>
          <w:lang w:val="en-GB"/>
        </w:rPr>
        <w:t>frequency increase of 30% above nominal</w:t>
      </w:r>
      <w:r w:rsidRPr="00A452F2">
        <w:rPr>
          <w:lang w:val="en-GB"/>
        </w:rPr>
        <w:t>.</w:t>
      </w:r>
      <w:r>
        <w:rPr>
          <w:lang w:val="en-GB"/>
        </w:rPr>
        <w:t xml:space="preserve"> The core is in C0 state and P0 state. </w:t>
      </w:r>
      <w:hyperlink r:id="rId829" w:history="1">
        <w:r w:rsidRPr="00272EBC">
          <w:rPr>
            <w:rStyle w:val="Hyperlink"/>
            <w:lang w:val="en-GB"/>
          </w:rPr>
          <w:t>This</w:t>
        </w:r>
      </w:hyperlink>
      <w:r>
        <w:rPr>
          <w:lang w:val="en-GB"/>
        </w:rPr>
        <w:t xml:space="preserve"> counter was introduced in ESXi 6.5. No they are not in vSphere Client UI.</w:t>
      </w:r>
    </w:p>
    <w:p w14:paraId="08C98815" w14:textId="77777777" w:rsidR="002975D5" w:rsidRDefault="002975D5" w:rsidP="002975D5">
      <w:pPr>
        <w:rPr>
          <w:lang w:val="en-GB"/>
        </w:rPr>
      </w:pPr>
      <w:r>
        <w:rPr>
          <w:lang w:val="en-GB"/>
        </w:rPr>
        <w:t>Why is Used (%) for PCPU 10 and 11 are showing ~63% and 62.9%?</w:t>
      </w:r>
    </w:p>
    <w:p w14:paraId="36764F44" w14:textId="77777777" w:rsidR="002975D5" w:rsidRDefault="002975D5" w:rsidP="002975D5">
      <w:pPr>
        <w:rPr>
          <w:lang w:val="en-GB"/>
        </w:rPr>
      </w:pPr>
      <w:r>
        <w:rPr>
          <w:lang w:val="en-GB"/>
        </w:rPr>
        <w:t>Unlike Utilization (%) which adds up to 200%, Used (%) adds up to 100%. So each thread is maximum 50%</w:t>
      </w:r>
    </w:p>
    <w:p w14:paraId="73CBC209" w14:textId="77777777" w:rsidR="002975D5" w:rsidRPr="00521F4D" w:rsidRDefault="002975D5" w:rsidP="002975D5">
      <w:pPr>
        <w:rPr>
          <w:lang w:val="en-GB"/>
        </w:rPr>
      </w:pPr>
      <w:r>
        <w:rPr>
          <w:lang w:val="en-GB"/>
        </w:rPr>
        <w:t xml:space="preserve">But Used (%) considers frequency scaling. So 50% x 130% = 65%. Pretty close to the numbers shown there. </w:t>
      </w:r>
    </w:p>
    <w:bookmarkEnd w:id="129"/>
    <w:p w14:paraId="0C745BF6" w14:textId="77777777" w:rsidR="005C13EA" w:rsidRDefault="005C13EA" w:rsidP="005C13EA">
      <w:pPr>
        <w:pStyle w:val="Heading5"/>
      </w:pPr>
      <w:r>
        <w:t>Interrupt</w:t>
      </w:r>
    </w:p>
    <w:p w14:paraId="66F8B4F8" w14:textId="77777777" w:rsidR="005C13EA" w:rsidRPr="00250B18" w:rsidRDefault="005C13EA" w:rsidP="005C13EA">
      <w:pPr>
        <w:rPr>
          <w:lang w:val="en-GB"/>
        </w:rPr>
      </w:pPr>
      <w:r>
        <w:rPr>
          <w:lang w:val="en-GB"/>
        </w:rPr>
        <w:t xml:space="preserve">This panel captures the </w:t>
      </w:r>
      <w:r w:rsidRPr="00B1711C">
        <w:rPr>
          <w:lang w:val="en-GB"/>
        </w:rPr>
        <w:t>interrupt vectors</w:t>
      </w:r>
      <w:r>
        <w:rPr>
          <w:lang w:val="en-GB"/>
        </w:rPr>
        <w:t>. In the following screenshot, I’ve added 2 vertical white lines to show where I cropped the screenshot. It’s showing the value of each CPU thread, so the column became too wide.</w:t>
      </w:r>
    </w:p>
    <w:p w14:paraId="6E438EAB" w14:textId="77777777" w:rsidR="005C13EA" w:rsidRDefault="005C13EA" w:rsidP="005C13EA">
      <w:pPr>
        <w:rPr>
          <w:lang w:val="en-GB"/>
        </w:rPr>
      </w:pPr>
      <w:r>
        <w:rPr>
          <w:noProof/>
          <w:lang w:val="en-GB"/>
        </w:rPr>
        <w:lastRenderedPageBreak/>
        <w:drawing>
          <wp:inline distT="0" distB="0" distL="0" distR="0" wp14:anchorId="680BF5C2" wp14:editId="2DDFFA48">
            <wp:extent cx="6640830" cy="1824990"/>
            <wp:effectExtent l="0" t="0" r="7620" b="3810"/>
            <wp:docPr id="567723361" name="Picture 567723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0">
                      <a:extLst>
                        <a:ext uri="{28A0092B-C50C-407E-A947-70E740481C1C}">
                          <a14:useLocalDpi xmlns:a14="http://schemas.microsoft.com/office/drawing/2010/main" val="0"/>
                        </a:ext>
                      </a:extLst>
                    </a:blip>
                    <a:srcRect/>
                    <a:stretch>
                      <a:fillRect/>
                    </a:stretch>
                  </pic:blipFill>
                  <pic:spPr bwMode="auto">
                    <a:xfrm>
                      <a:off x="0" y="0"/>
                      <a:ext cx="6640830" cy="1824990"/>
                    </a:xfrm>
                    <a:prstGeom prst="rect">
                      <a:avLst/>
                    </a:prstGeom>
                    <a:noFill/>
                    <a:ln>
                      <a:noFill/>
                    </a:ln>
                  </pic:spPr>
                </pic:pic>
              </a:graphicData>
            </a:graphic>
          </wp:inline>
        </w:drawing>
      </w:r>
    </w:p>
    <w:p w14:paraId="30C52AA3" w14:textId="77777777" w:rsidR="005C13EA" w:rsidRDefault="005C13EA" w:rsidP="005C13EA">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5C13EA" w:rsidRPr="00E51A31" w14:paraId="72A6AD7A" w14:textId="77777777" w:rsidTr="00281329">
        <w:tc>
          <w:tcPr>
            <w:tcW w:w="1843" w:type="dxa"/>
            <w:shd w:val="clear" w:color="auto" w:fill="F2F2F2" w:themeFill="background1" w:themeFillShade="F2"/>
          </w:tcPr>
          <w:p w14:paraId="17017414" w14:textId="77777777" w:rsidR="005C13EA" w:rsidRPr="002510F4" w:rsidRDefault="005C13EA" w:rsidP="00281329">
            <w:pPr>
              <w:pStyle w:val="Tablecontent"/>
            </w:pPr>
            <w:r w:rsidRPr="00D90719">
              <w:rPr>
                <w:lang w:val="en-GB"/>
              </w:rPr>
              <w:t>COUNT/s</w:t>
            </w:r>
          </w:p>
        </w:tc>
        <w:tc>
          <w:tcPr>
            <w:tcW w:w="8647" w:type="dxa"/>
          </w:tcPr>
          <w:p w14:paraId="2DCED3F8" w14:textId="77777777" w:rsidR="005C13EA" w:rsidRPr="002510F4" w:rsidRDefault="005C13EA" w:rsidP="00281329">
            <w:pPr>
              <w:pStyle w:val="Tablecontent"/>
            </w:pPr>
            <w:r w:rsidRPr="00D90719">
              <w:rPr>
                <w:lang w:val="en-GB"/>
              </w:rPr>
              <w:t>Total number of interrupts per second. This value is cumulative of the count for every CPU.</w:t>
            </w:r>
          </w:p>
        </w:tc>
      </w:tr>
      <w:tr w:rsidR="005C13EA" w:rsidRPr="00E51A31" w14:paraId="67EB7F3C" w14:textId="77777777" w:rsidTr="00281329">
        <w:tc>
          <w:tcPr>
            <w:tcW w:w="1843" w:type="dxa"/>
            <w:shd w:val="clear" w:color="auto" w:fill="F2F2F2" w:themeFill="background1" w:themeFillShade="F2"/>
          </w:tcPr>
          <w:p w14:paraId="7F5A2018" w14:textId="77777777" w:rsidR="005C13EA" w:rsidRPr="002510F4" w:rsidRDefault="005C13EA" w:rsidP="00281329">
            <w:pPr>
              <w:pStyle w:val="Tablecontent"/>
            </w:pPr>
            <w:r w:rsidRPr="00D90719">
              <w:rPr>
                <w:lang w:val="en-GB"/>
              </w:rPr>
              <w:t>COUNT_x</w:t>
            </w:r>
          </w:p>
        </w:tc>
        <w:tc>
          <w:tcPr>
            <w:tcW w:w="8647" w:type="dxa"/>
          </w:tcPr>
          <w:p w14:paraId="3F8E45CF" w14:textId="77777777" w:rsidR="005C13EA" w:rsidRDefault="005C13EA" w:rsidP="00281329">
            <w:pPr>
              <w:pStyle w:val="Tablecontent"/>
              <w:rPr>
                <w:lang w:val="en-GB"/>
              </w:rPr>
            </w:pPr>
            <w:r>
              <w:rPr>
                <w:lang w:val="en-GB"/>
              </w:rPr>
              <w:t>Count 0, Count 1, etc.</w:t>
            </w:r>
          </w:p>
          <w:p w14:paraId="5018F13D" w14:textId="77777777" w:rsidR="005C13EA" w:rsidRPr="002510F4" w:rsidRDefault="005C13EA" w:rsidP="00281329">
            <w:pPr>
              <w:pStyle w:val="Tablecontent"/>
            </w:pPr>
            <w:r w:rsidRPr="00D90719">
              <w:rPr>
                <w:lang w:val="en-GB"/>
              </w:rPr>
              <w:t>Interrupts per second on CPU x.</w:t>
            </w:r>
            <w:r>
              <w:rPr>
                <w:lang w:val="en-GB"/>
              </w:rPr>
              <w:t xml:space="preserve"> My guess is CPU 0 is the first thread in the first core in the first socket.</w:t>
            </w:r>
          </w:p>
        </w:tc>
      </w:tr>
      <w:tr w:rsidR="005C13EA" w:rsidRPr="00E51A31" w14:paraId="0BE9B4C5" w14:textId="77777777" w:rsidTr="00281329">
        <w:tc>
          <w:tcPr>
            <w:tcW w:w="1843" w:type="dxa"/>
            <w:shd w:val="clear" w:color="auto" w:fill="F2F2F2" w:themeFill="background1" w:themeFillShade="F2"/>
          </w:tcPr>
          <w:p w14:paraId="507D04FA" w14:textId="77777777" w:rsidR="005C13EA" w:rsidRPr="002510F4" w:rsidRDefault="005C13EA" w:rsidP="00281329">
            <w:pPr>
              <w:pStyle w:val="Tablecontent"/>
            </w:pPr>
            <w:r w:rsidRPr="00D90719">
              <w:rPr>
                <w:lang w:val="en-GB"/>
              </w:rPr>
              <w:t>TIME/int</w:t>
            </w:r>
          </w:p>
        </w:tc>
        <w:tc>
          <w:tcPr>
            <w:tcW w:w="8647" w:type="dxa"/>
          </w:tcPr>
          <w:p w14:paraId="6734BF0A" w14:textId="77777777" w:rsidR="005C13EA" w:rsidRDefault="005C13EA" w:rsidP="00281329">
            <w:pPr>
              <w:pStyle w:val="Tablecontent"/>
              <w:rPr>
                <w:lang w:val="en-GB"/>
              </w:rPr>
            </w:pPr>
            <w:r w:rsidRPr="00D90719">
              <w:rPr>
                <w:lang w:val="en-GB"/>
              </w:rPr>
              <w:t>Average processing time per interrupt (in microseconds).</w:t>
            </w:r>
          </w:p>
          <w:p w14:paraId="6D91C2C3" w14:textId="1DE185BD" w:rsidR="005C13EA" w:rsidRPr="00932297" w:rsidRDefault="005C13EA" w:rsidP="00281329">
            <w:pPr>
              <w:pStyle w:val="Tablecontent"/>
            </w:pPr>
            <w:r>
              <w:t>It will be interesting to profile this for each type of interrupt</w:t>
            </w:r>
            <w:r w:rsidR="00E4254C">
              <w:t xml:space="preserve">. </w:t>
            </w:r>
          </w:p>
        </w:tc>
      </w:tr>
      <w:tr w:rsidR="005C13EA" w:rsidRPr="00E51A31" w14:paraId="6F14E1A5" w14:textId="77777777" w:rsidTr="00281329">
        <w:tc>
          <w:tcPr>
            <w:tcW w:w="1843" w:type="dxa"/>
            <w:shd w:val="clear" w:color="auto" w:fill="F2F2F2" w:themeFill="background1" w:themeFillShade="F2"/>
          </w:tcPr>
          <w:p w14:paraId="1FC89BD8" w14:textId="77777777" w:rsidR="005C13EA" w:rsidRPr="002510F4" w:rsidRDefault="005C13EA" w:rsidP="00281329">
            <w:pPr>
              <w:pStyle w:val="Tablecontent"/>
            </w:pPr>
            <w:r w:rsidRPr="00D90719">
              <w:rPr>
                <w:lang w:val="en-GB"/>
              </w:rPr>
              <w:t>TIME_x</w:t>
            </w:r>
          </w:p>
        </w:tc>
        <w:tc>
          <w:tcPr>
            <w:tcW w:w="8647" w:type="dxa"/>
          </w:tcPr>
          <w:p w14:paraId="6E0F82BC" w14:textId="77777777" w:rsidR="005C13EA" w:rsidRDefault="005C13EA" w:rsidP="00281329">
            <w:pPr>
              <w:pStyle w:val="Tablecontent"/>
              <w:rPr>
                <w:lang w:val="en-GB"/>
              </w:rPr>
            </w:pPr>
            <w:r>
              <w:rPr>
                <w:lang w:val="en-GB"/>
              </w:rPr>
              <w:t xml:space="preserve">Time 0, Time 2, etc. </w:t>
            </w:r>
          </w:p>
          <w:p w14:paraId="64175B42" w14:textId="77777777" w:rsidR="005C13EA" w:rsidRPr="002510F4" w:rsidRDefault="005C13EA" w:rsidP="00281329">
            <w:pPr>
              <w:pStyle w:val="Tablecontent"/>
            </w:pPr>
            <w:r w:rsidRPr="00D90719">
              <w:rPr>
                <w:lang w:val="en-GB"/>
              </w:rPr>
              <w:t>Average processing time per interrupt on CPU x (in microseconds).</w:t>
            </w:r>
          </w:p>
        </w:tc>
      </w:tr>
      <w:tr w:rsidR="005C13EA" w:rsidRPr="00E51A31" w14:paraId="72BA9C0C" w14:textId="77777777" w:rsidTr="00281329">
        <w:tc>
          <w:tcPr>
            <w:tcW w:w="1843" w:type="dxa"/>
            <w:shd w:val="clear" w:color="auto" w:fill="F2F2F2" w:themeFill="background1" w:themeFillShade="F2"/>
          </w:tcPr>
          <w:p w14:paraId="0F215BA6" w14:textId="77777777" w:rsidR="005C13EA" w:rsidRPr="002510F4" w:rsidRDefault="005C13EA" w:rsidP="00281329">
            <w:pPr>
              <w:pStyle w:val="Tablecontent"/>
            </w:pPr>
            <w:r w:rsidRPr="00D90719">
              <w:rPr>
                <w:lang w:val="en-GB"/>
              </w:rPr>
              <w:t>DEVICES</w:t>
            </w:r>
          </w:p>
        </w:tc>
        <w:tc>
          <w:tcPr>
            <w:tcW w:w="8647" w:type="dxa"/>
          </w:tcPr>
          <w:p w14:paraId="0DC5A794" w14:textId="77777777" w:rsidR="005C13EA" w:rsidRPr="002510F4" w:rsidRDefault="005C13EA" w:rsidP="00281329">
            <w:pPr>
              <w:pStyle w:val="Tablecontent"/>
            </w:pPr>
            <w:r w:rsidRPr="00D90719">
              <w:rPr>
                <w:lang w:val="en-GB"/>
              </w:rPr>
              <w:t>Devices that use the interrupt vector. If the interrupt vector is not enabled for the device, its name is enclosed in angle brackets (&lt; and &gt;).</w:t>
            </w:r>
          </w:p>
        </w:tc>
      </w:tr>
    </w:tbl>
    <w:p w14:paraId="7C017CE7" w14:textId="77777777" w:rsidR="005C13EA" w:rsidRDefault="005C13EA" w:rsidP="005C13EA">
      <w:pPr>
        <w:pStyle w:val="BeforeTable"/>
        <w:rPr>
          <w:lang w:val="en-GB"/>
        </w:rPr>
      </w:pPr>
    </w:p>
    <w:p w14:paraId="6021B68F" w14:textId="77777777" w:rsidR="005C13EA" w:rsidRDefault="005C13EA" w:rsidP="005C13EA">
      <w:pPr>
        <w:rPr>
          <w:lang w:val="en-GB"/>
        </w:rPr>
      </w:pPr>
      <w:r>
        <w:rPr>
          <w:lang w:val="en-GB"/>
        </w:rPr>
        <w:t xml:space="preserve">To see the list of devices, issue the command at ESXi console: </w:t>
      </w:r>
      <w:r w:rsidRPr="00141027">
        <w:rPr>
          <w:color w:val="00B0F0"/>
          <w:lang w:val="en-GB"/>
        </w:rPr>
        <w:t>sched-stats -t sys-service-stats</w:t>
      </w:r>
      <w:r>
        <w:rPr>
          <w:lang w:val="en-GB"/>
        </w:rPr>
        <w:t>. You will get something like this:</w:t>
      </w:r>
    </w:p>
    <w:p w14:paraId="0865638B" w14:textId="77777777" w:rsidR="005C13EA" w:rsidRPr="00B90DC0" w:rsidRDefault="005C13EA" w:rsidP="005C13EA">
      <w:pPr>
        <w:pStyle w:val="Code"/>
      </w:pPr>
      <w:r w:rsidRPr="00B90DC0">
        <w:t>service      count       time maxElapsed maxService   name</w:t>
      </w:r>
    </w:p>
    <w:p w14:paraId="34A88BEF" w14:textId="77777777" w:rsidR="005C13EA" w:rsidRPr="00B90DC0" w:rsidRDefault="005C13EA" w:rsidP="005C13EA">
      <w:pPr>
        <w:pStyle w:val="Code"/>
      </w:pPr>
      <w:r w:rsidRPr="00B90DC0">
        <w:t xml:space="preserve">     32   98973493    171.267      0.000      0.000   VMK-lsi_msgpt3_0</w:t>
      </w:r>
    </w:p>
    <w:p w14:paraId="410D31C1" w14:textId="77777777" w:rsidR="005C13EA" w:rsidRPr="00B90DC0" w:rsidRDefault="005C13EA" w:rsidP="005C13EA">
      <w:pPr>
        <w:pStyle w:val="Code"/>
      </w:pPr>
      <w:r w:rsidRPr="00B90DC0">
        <w:t xml:space="preserve">     33   93243036    153.993      0.000      0.000   VMK-lsi_msgpt3_0</w:t>
      </w:r>
    </w:p>
    <w:p w14:paraId="323AA277" w14:textId="77777777" w:rsidR="005C13EA" w:rsidRPr="00B90DC0" w:rsidRDefault="005C13EA" w:rsidP="005C13EA">
      <w:pPr>
        <w:pStyle w:val="Code"/>
      </w:pPr>
      <w:r w:rsidRPr="00B90DC0">
        <w:t xml:space="preserve">     34 1783955246   1841.025      0.000      0.000   VMK-igbn-rxq0</w:t>
      </w:r>
    </w:p>
    <w:p w14:paraId="0E77718C" w14:textId="77777777" w:rsidR="005C13EA" w:rsidRPr="00B90DC0" w:rsidRDefault="005C13EA" w:rsidP="005C13EA">
      <w:pPr>
        <w:pStyle w:val="Code"/>
      </w:pPr>
      <w:r w:rsidRPr="00B90DC0">
        <w:t xml:space="preserve">     36          4      0.000      0.000      0.000   VMK-Event</w:t>
      </w:r>
    </w:p>
    <w:p w14:paraId="174BB1D2" w14:textId="77777777" w:rsidR="005C13EA" w:rsidRPr="00B90DC0" w:rsidRDefault="005C13EA" w:rsidP="005C13EA">
      <w:pPr>
        <w:pStyle w:val="Code"/>
      </w:pPr>
      <w:r w:rsidRPr="00B90DC0">
        <w:t xml:space="preserve">     37  167025903    418.733      0.000      0.000   VMK-xhci0-intr</w:t>
      </w:r>
    </w:p>
    <w:p w14:paraId="4DF19456" w14:textId="77777777" w:rsidR="005C13EA" w:rsidRPr="00B90DC0" w:rsidRDefault="005C13EA" w:rsidP="005C13EA">
      <w:pPr>
        <w:pStyle w:val="Code"/>
      </w:pPr>
      <w:r w:rsidRPr="00B90DC0">
        <w:t xml:space="preserve">     51  242318260    792.014      0.000      0.000   VMK-0000:19:00.1-TxRx-0</w:t>
      </w:r>
    </w:p>
    <w:p w14:paraId="47D49948" w14:textId="77777777" w:rsidR="005C13EA" w:rsidRPr="00B90DC0" w:rsidRDefault="005C13EA" w:rsidP="005C13EA">
      <w:pPr>
        <w:pStyle w:val="Code"/>
      </w:pPr>
      <w:r w:rsidRPr="00B90DC0">
        <w:t xml:space="preserve">     60   21281764     80.125      0.000      0.000   VMK-vmw_ahci_00003b000</w:t>
      </w:r>
    </w:p>
    <w:p w14:paraId="42094A87" w14:textId="77777777" w:rsidR="005C13EA" w:rsidRPr="00B90DC0" w:rsidRDefault="005C13EA" w:rsidP="005C13EA">
      <w:pPr>
        <w:pStyle w:val="Code"/>
      </w:pPr>
      <w:r w:rsidRPr="00B90DC0">
        <w:t xml:space="preserve">    244     176227      0.090      0.000      0.000   VMK-timer-ipi</w:t>
      </w:r>
    </w:p>
    <w:p w14:paraId="797D020B" w14:textId="77777777" w:rsidR="005C13EA" w:rsidRPr="00B90DC0" w:rsidRDefault="005C13EA" w:rsidP="005C13EA">
      <w:pPr>
        <w:pStyle w:val="Code"/>
      </w:pPr>
      <w:r w:rsidRPr="00B90DC0">
        <w:t xml:space="preserve">    245    1250405      0.163      0.000      0.000   VMK-monitor</w:t>
      </w:r>
    </w:p>
    <w:p w14:paraId="4BC45A81" w14:textId="77777777" w:rsidR="005C13EA" w:rsidRPr="00B90DC0" w:rsidRDefault="005C13EA" w:rsidP="005C13EA">
      <w:pPr>
        <w:pStyle w:val="Code"/>
      </w:pPr>
      <w:r w:rsidRPr="00B90DC0">
        <w:t xml:space="preserve">    246 1868139923    340.709      0.000      0.000   VMK-resched</w:t>
      </w:r>
    </w:p>
    <w:p w14:paraId="46D0E01A" w14:textId="77777777" w:rsidR="005C13EA" w:rsidRPr="00B90DC0" w:rsidRDefault="005C13EA" w:rsidP="005C13EA">
      <w:pPr>
        <w:pStyle w:val="Code"/>
      </w:pPr>
      <w:r w:rsidRPr="00B90DC0">
        <w:t xml:space="preserve">    248  414047027    189.255      0.000      0.000   VMK-tlb</w:t>
      </w:r>
    </w:p>
    <w:p w14:paraId="56322C19" w14:textId="77777777" w:rsidR="005C13EA" w:rsidRPr="00B90DC0" w:rsidRDefault="005C13EA" w:rsidP="005C13EA">
      <w:pPr>
        <w:pStyle w:val="Code"/>
      </w:pPr>
      <w:r w:rsidRPr="00B90DC0">
        <w:t xml:space="preserve">   4096 3193917027   1321.416      0.000      0.000   0_2nd-level-intr-handler</w:t>
      </w:r>
    </w:p>
    <w:p w14:paraId="5DD28F13" w14:textId="77777777" w:rsidR="005C13EA" w:rsidRPr="00B90DC0" w:rsidRDefault="005C13EA" w:rsidP="005C13EA">
      <w:pPr>
        <w:pStyle w:val="Code"/>
      </w:pPr>
      <w:r w:rsidRPr="00B90DC0">
        <w:t xml:space="preserve">   4097  304258696    193.711      0.000      0.000   1_smpcall</w:t>
      </w:r>
    </w:p>
    <w:p w14:paraId="71C7BD7E" w14:textId="77777777" w:rsidR="005C13EA" w:rsidRPr="00B90DC0" w:rsidRDefault="005C13EA" w:rsidP="005C13EA">
      <w:pPr>
        <w:pStyle w:val="Code"/>
      </w:pPr>
      <w:r w:rsidRPr="00B90DC0">
        <w:t xml:space="preserve">   4099        246      0.003      0.000      0.000   3_VOB-Wakeup</w:t>
      </w:r>
    </w:p>
    <w:p w14:paraId="16BD72B4" w14:textId="77777777" w:rsidR="005C13EA" w:rsidRPr="00B90DC0" w:rsidRDefault="005C13EA" w:rsidP="005C13EA">
      <w:pPr>
        <w:pStyle w:val="Code"/>
      </w:pPr>
      <w:r w:rsidRPr="00B90DC0">
        <w:t xml:space="preserve">   4100   35706272      6.186      0.000      0.000   4_TimerBH</w:t>
      </w:r>
    </w:p>
    <w:p w14:paraId="7CE61477" w14:textId="77777777" w:rsidR="005C13EA" w:rsidRPr="00B90DC0" w:rsidRDefault="005C13EA" w:rsidP="005C13EA">
      <w:pPr>
        <w:pStyle w:val="Code"/>
      </w:pPr>
      <w:r w:rsidRPr="00B90DC0">
        <w:t xml:space="preserve">   4101  399313616  10339.744      0.000      0.000   5_fastSlab</w:t>
      </w:r>
    </w:p>
    <w:p w14:paraId="21AC1876" w14:textId="77777777" w:rsidR="005C13EA" w:rsidRPr="00B90DC0" w:rsidRDefault="005C13EA" w:rsidP="005C13EA">
      <w:pPr>
        <w:pStyle w:val="Code"/>
      </w:pPr>
      <w:r w:rsidRPr="00B90DC0">
        <w:t xml:space="preserve">   4104     859208      7.851      0.000      0.000   8_logEvent</w:t>
      </w:r>
    </w:p>
    <w:p w14:paraId="62332AD3" w14:textId="77777777" w:rsidR="005C13EA" w:rsidRPr="00B90DC0" w:rsidRDefault="005C13EA" w:rsidP="005C13EA">
      <w:pPr>
        <w:pStyle w:val="Code"/>
      </w:pPr>
      <w:r w:rsidRPr="00B90DC0">
        <w:t xml:space="preserve">   4105  109560008    158.914      0.000      0.000   9_netTxComp</w:t>
      </w:r>
    </w:p>
    <w:p w14:paraId="5FFED730" w14:textId="77777777" w:rsidR="005C13EA" w:rsidRPr="00B90DC0" w:rsidRDefault="005C13EA" w:rsidP="005C13EA">
      <w:pPr>
        <w:pStyle w:val="Code"/>
      </w:pPr>
      <w:r w:rsidRPr="00B90DC0">
        <w:t xml:space="preserve">   4106         26      0.197      0.196      0.196   10_keyboard</w:t>
      </w:r>
    </w:p>
    <w:p w14:paraId="4E9233EA" w14:textId="77777777" w:rsidR="005C13EA" w:rsidRPr="00B90DC0" w:rsidRDefault="005C13EA" w:rsidP="005C13EA">
      <w:pPr>
        <w:pStyle w:val="Code"/>
      </w:pPr>
      <w:r w:rsidRPr="00B90DC0">
        <w:t xml:space="preserve">   4107         56      0.001      0.000      0.000   11_SMIEnableCountPCPU-bh</w:t>
      </w:r>
    </w:p>
    <w:p w14:paraId="59DE6BED" w14:textId="77777777" w:rsidR="005C13EA" w:rsidRPr="00B90DC0" w:rsidRDefault="005C13EA" w:rsidP="005C13EA">
      <w:pPr>
        <w:pStyle w:val="Code"/>
      </w:pPr>
      <w:r w:rsidRPr="00B90DC0">
        <w:lastRenderedPageBreak/>
        <w:t xml:space="preserve">   4165  365305096   2433.530      0.001      0.001   TCPIPRX</w:t>
      </w:r>
    </w:p>
    <w:p w14:paraId="44DF4DB8" w14:textId="77777777" w:rsidR="005C13EA" w:rsidRPr="00B90DC0" w:rsidRDefault="005C13EA" w:rsidP="005C13EA">
      <w:pPr>
        <w:pStyle w:val="Code"/>
      </w:pPr>
      <w:r w:rsidRPr="00B90DC0">
        <w:t xml:space="preserve">   4167   54024607     55.359      0.000      0.000   SCSI</w:t>
      </w:r>
    </w:p>
    <w:p w14:paraId="45B577E4" w14:textId="77777777" w:rsidR="005C13EA" w:rsidRPr="00B90DC0" w:rsidRDefault="005C13EA" w:rsidP="005C13EA">
      <w:pPr>
        <w:pStyle w:val="Code"/>
      </w:pPr>
      <w:r w:rsidRPr="00B90DC0">
        <w:t xml:space="preserve">   4171   54520415    124.983      0.000      0.000   START-PATH-CMDS</w:t>
      </w:r>
    </w:p>
    <w:p w14:paraId="5DC53CD2" w14:textId="77777777" w:rsidR="005C13EA" w:rsidRPr="00B90DC0" w:rsidRDefault="005C13EA" w:rsidP="005C13EA">
      <w:pPr>
        <w:pStyle w:val="Code"/>
      </w:pPr>
      <w:r w:rsidRPr="00B90DC0">
        <w:t xml:space="preserve">   4173   55109136    254.927      0.000      0.000   COMPL.-ADAPTER-CMD</w:t>
      </w:r>
    </w:p>
    <w:p w14:paraId="72BB19B4" w14:textId="77777777" w:rsidR="005C13EA" w:rsidRPr="00B90DC0" w:rsidRDefault="005C13EA" w:rsidP="005C13EA">
      <w:pPr>
        <w:pStyle w:val="Code"/>
      </w:pPr>
      <w:r w:rsidRPr="00B90DC0">
        <w:t xml:space="preserve">   4174   55102189     85.804      0.000      0.000   START-ADAPTER-CMDS</w:t>
      </w:r>
    </w:p>
    <w:p w14:paraId="0ED6114B" w14:textId="77777777" w:rsidR="005C13EA" w:rsidRPr="00B90DC0" w:rsidRDefault="005C13EA" w:rsidP="005C13EA">
      <w:pPr>
        <w:pStyle w:val="Code"/>
      </w:pPr>
      <w:r w:rsidRPr="00B90DC0">
        <w:t xml:space="preserve">   4180 5254928064  13877.461      0.001      0.001   Netpoll</w:t>
      </w:r>
    </w:p>
    <w:p w14:paraId="45622A4F" w14:textId="77777777" w:rsidR="005C13EA" w:rsidRDefault="005C13EA" w:rsidP="005C13EA">
      <w:pPr>
        <w:pStyle w:val="BeforeTable"/>
        <w:rPr>
          <w:lang w:val="en-GB"/>
        </w:rPr>
      </w:pPr>
    </w:p>
    <w:p w14:paraId="61FDFE26" w14:textId="77777777" w:rsidR="005C13EA" w:rsidRDefault="005C13EA" w:rsidP="005C13EA">
      <w:pPr>
        <w:keepLines w:val="0"/>
        <w:suppressAutoHyphens w:val="0"/>
        <w:spacing w:before="0" w:after="160"/>
      </w:pPr>
      <w:r>
        <w:rPr>
          <w:lang w:val="en-GB"/>
        </w:rPr>
        <w:t xml:space="preserve">BTW, some services maybe combined and reported under VMK-timer. For example, </w:t>
      </w:r>
      <w:r w:rsidRPr="001035EB">
        <w:rPr>
          <w:lang w:val="en-GB"/>
        </w:rPr>
        <w:t xml:space="preserve">IOChain </w:t>
      </w:r>
      <w:r>
        <w:rPr>
          <w:lang w:val="en-GB"/>
        </w:rPr>
        <w:t>from vSphere Distributed Switch does not appear on its own.</w:t>
      </w:r>
    </w:p>
    <w:p w14:paraId="300DB9BA" w14:textId="77777777" w:rsidR="007A6FCC" w:rsidRDefault="007A6FCC" w:rsidP="007A6FCC">
      <w:pPr>
        <w:pStyle w:val="Heading4"/>
      </w:pPr>
      <w:r>
        <w:t>Memory</w:t>
      </w:r>
    </w:p>
    <w:p w14:paraId="199AE93E" w14:textId="77777777" w:rsidR="007A6FCC" w:rsidRPr="00AE3884" w:rsidRDefault="007A6FCC" w:rsidP="007A6FCC">
      <w:pPr>
        <w:rPr>
          <w:lang w:val="en-GB"/>
        </w:rPr>
      </w:pPr>
      <w:r>
        <w:rPr>
          <w:lang w:val="en-GB"/>
        </w:rPr>
        <w:t xml:space="preserve">The top part of the screen provides summary at ESXi level. They are handy in seeing overall picture, before diving into each VM or VMkernel modules. </w:t>
      </w:r>
    </w:p>
    <w:p w14:paraId="66F2ACBD" w14:textId="77777777" w:rsidR="007A6FCC" w:rsidRDefault="007A6FCC" w:rsidP="007A6FCC">
      <w:r w:rsidRPr="006B07D0">
        <w:rPr>
          <w:noProof/>
        </w:rPr>
        <w:drawing>
          <wp:inline distT="0" distB="0" distL="0" distR="0" wp14:anchorId="64AB2A38" wp14:editId="157F9BAF">
            <wp:extent cx="6645910" cy="1103630"/>
            <wp:effectExtent l="0" t="0" r="2540" b="1270"/>
            <wp:docPr id="567723329" name="Picture 567723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1"/>
                    <a:stretch>
                      <a:fillRect/>
                    </a:stretch>
                  </pic:blipFill>
                  <pic:spPr>
                    <a:xfrm>
                      <a:off x="0" y="0"/>
                      <a:ext cx="6645910" cy="1103630"/>
                    </a:xfrm>
                    <a:prstGeom prst="rect">
                      <a:avLst/>
                    </a:prstGeom>
                  </pic:spPr>
                </pic:pic>
              </a:graphicData>
            </a:graphic>
          </wp:inline>
        </w:drawing>
      </w:r>
    </w:p>
    <w:p w14:paraId="06D9B7DD" w14:textId="77777777" w:rsidR="007A6FCC" w:rsidRDefault="007A6FCC" w:rsidP="007A6FCC">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2410"/>
        <w:gridCol w:w="8046"/>
      </w:tblGrid>
      <w:tr w:rsidR="007A6FCC" w14:paraId="5F5A9B9D" w14:textId="77777777" w:rsidTr="00281329">
        <w:tc>
          <w:tcPr>
            <w:tcW w:w="2410" w:type="dxa"/>
            <w:shd w:val="clear" w:color="auto" w:fill="F2F2F2" w:themeFill="background1" w:themeFillShade="F2"/>
          </w:tcPr>
          <w:p w14:paraId="696F4DA8" w14:textId="77777777" w:rsidR="007A6FCC" w:rsidRPr="007E1B5A" w:rsidRDefault="007A6FCC" w:rsidP="00281329">
            <w:pPr>
              <w:pStyle w:val="Tablecontent"/>
              <w:rPr>
                <w:b/>
                <w:bCs/>
              </w:rPr>
            </w:pPr>
            <w:r w:rsidRPr="007E1B5A">
              <w:rPr>
                <w:rStyle w:val="Strong"/>
                <w:b w:val="0"/>
                <w:bCs w:val="0"/>
              </w:rPr>
              <w:t>MEM overcommit avg</w:t>
            </w:r>
          </w:p>
        </w:tc>
        <w:tc>
          <w:tcPr>
            <w:tcW w:w="8046" w:type="dxa"/>
          </w:tcPr>
          <w:p w14:paraId="6E0324F5" w14:textId="77777777" w:rsidR="007A6FCC" w:rsidRDefault="007A6FCC" w:rsidP="00281329">
            <w:pPr>
              <w:pStyle w:val="Tablecontent"/>
              <w:rPr>
                <w:rStyle w:val="Emphasis"/>
                <w:i w:val="0"/>
                <w:iCs w:val="0"/>
              </w:rPr>
            </w:pPr>
            <w:r>
              <w:t xml:space="preserve">Average memory overcommit level in the last 1-minute, 5-minute, and 15-minute, respectively. Calculation is done with </w:t>
            </w:r>
            <w:hyperlink r:id="rId832" w:history="1">
              <w:r w:rsidRPr="00200B09">
                <w:rPr>
                  <w:rStyle w:val="Hyperlink"/>
                </w:rPr>
                <w:t>Exponentially Weighted Moving Average</w:t>
              </w:r>
            </w:hyperlink>
            <w:r w:rsidRPr="00200B09">
              <w:rPr>
                <w:rStyle w:val="Emphasis"/>
                <w:i w:val="0"/>
                <w:iCs w:val="0"/>
              </w:rPr>
              <w:t>.</w:t>
            </w:r>
            <w:r>
              <w:rPr>
                <w:rStyle w:val="Emphasis"/>
                <w:i w:val="0"/>
                <w:iCs w:val="0"/>
              </w:rPr>
              <w:t xml:space="preserve"> </w:t>
            </w:r>
          </w:p>
          <w:p w14:paraId="09ADBFAC" w14:textId="77777777" w:rsidR="007A6FCC" w:rsidRDefault="007A6FCC" w:rsidP="00281329">
            <w:pPr>
              <w:pStyle w:val="Tablecontent"/>
            </w:pPr>
            <w:r>
              <w:t xml:space="preserve">Memory overcommit is the ratio of total requested memory and the "managed memory" minus 1. According to </w:t>
            </w:r>
            <w:hyperlink r:id="rId833" w:history="1">
              <w:r w:rsidRPr="009E2942">
                <w:rPr>
                  <w:rStyle w:val="Hyperlink"/>
                </w:rPr>
                <w:t>this</w:t>
              </w:r>
            </w:hyperlink>
            <w:r>
              <w:t xml:space="preserve">, VMKernel computes the total requested memory as a sum of the following components: </w:t>
            </w:r>
          </w:p>
          <w:p w14:paraId="699ED5EA" w14:textId="77777777" w:rsidR="007A6FCC" w:rsidRDefault="007A6FCC">
            <w:pPr>
              <w:pStyle w:val="Tablecontent"/>
              <w:numPr>
                <w:ilvl w:val="0"/>
                <w:numId w:val="51"/>
              </w:numPr>
            </w:pPr>
            <w:r>
              <w:t xml:space="preserve">VM configured memory (or memory limit setting if set), </w:t>
            </w:r>
          </w:p>
          <w:p w14:paraId="0D816733" w14:textId="77777777" w:rsidR="007A6FCC" w:rsidRDefault="007A6FCC">
            <w:pPr>
              <w:pStyle w:val="Tablecontent"/>
              <w:numPr>
                <w:ilvl w:val="0"/>
                <w:numId w:val="51"/>
              </w:numPr>
            </w:pPr>
            <w:r>
              <w:t xml:space="preserve">the user world memory, </w:t>
            </w:r>
          </w:p>
          <w:p w14:paraId="3860C64D" w14:textId="77777777" w:rsidR="007A6FCC" w:rsidRDefault="007A6FCC">
            <w:pPr>
              <w:pStyle w:val="Tablecontent"/>
              <w:numPr>
                <w:ilvl w:val="0"/>
                <w:numId w:val="51"/>
              </w:numPr>
            </w:pPr>
            <w:r>
              <w:t xml:space="preserve">the reserved overhead memory. </w:t>
            </w:r>
          </w:p>
          <w:p w14:paraId="73A44958" w14:textId="77777777" w:rsidR="007A6FCC" w:rsidRDefault="007A6FCC" w:rsidP="00281329">
            <w:pPr>
              <w:pStyle w:val="Tablecontent"/>
            </w:pPr>
            <w:r>
              <w:t>If the ratio is &gt; 1, i</w:t>
            </w:r>
            <w:r w:rsidRPr="00434339">
              <w:t xml:space="preserve">t means that total requested </w:t>
            </w:r>
            <w:r>
              <w:t>VM</w:t>
            </w:r>
            <w:r w:rsidRPr="00434339">
              <w:t xml:space="preserve"> memory is more than the </w:t>
            </w:r>
            <w:r>
              <w:t xml:space="preserve">physical </w:t>
            </w:r>
            <w:r w:rsidRPr="00434339">
              <w:t>memory available. This is fine, because ballooning and page sharing allows memory overcommit</w:t>
            </w:r>
            <w:r>
              <w:t>.</w:t>
            </w:r>
          </w:p>
          <w:p w14:paraId="009E98DA" w14:textId="213481A7" w:rsidR="007A6FCC" w:rsidRDefault="007A6FCC" w:rsidP="00281329">
            <w:pPr>
              <w:pStyle w:val="Tablecontent"/>
            </w:pPr>
            <w:r>
              <w:t xml:space="preserve">I’m puzzled why we mix allocation and utilization. No 1 and no 3 make sense, but what exactly is no 2? My recommendation is you </w:t>
            </w:r>
            <w:r w:rsidR="00141027">
              <w:t>simply</w:t>
            </w:r>
            <w:r>
              <w:t xml:space="preserve"> take the configured VM memory and ignore everything else. While it’s less accurate, since the purpose is capacity and not performance, it’s more than good enough and it’s easier to explain to management. There is no need to get other details.</w:t>
            </w:r>
          </w:p>
        </w:tc>
      </w:tr>
      <w:tr w:rsidR="007A6FCC" w14:paraId="22062F21" w14:textId="77777777" w:rsidTr="00281329">
        <w:tc>
          <w:tcPr>
            <w:tcW w:w="2410" w:type="dxa"/>
            <w:shd w:val="clear" w:color="auto" w:fill="F2F2F2" w:themeFill="background1" w:themeFillShade="F2"/>
          </w:tcPr>
          <w:p w14:paraId="3210CDA0" w14:textId="77777777" w:rsidR="007A6FCC" w:rsidRPr="007E1B5A" w:rsidRDefault="007A6FCC" w:rsidP="00281329">
            <w:pPr>
              <w:pStyle w:val="Tablecontent"/>
            </w:pPr>
            <w:r>
              <w:t>PMEM</w:t>
            </w:r>
          </w:p>
        </w:tc>
        <w:tc>
          <w:tcPr>
            <w:tcW w:w="8046" w:type="dxa"/>
          </w:tcPr>
          <w:p w14:paraId="49AD2E2B" w14:textId="77777777" w:rsidR="007A6FCC" w:rsidRDefault="007A6FCC" w:rsidP="00281329">
            <w:pPr>
              <w:pStyle w:val="Tablecontent"/>
            </w:pPr>
            <w:r>
              <w:t xml:space="preserve">Physical Memory. </w:t>
            </w:r>
          </w:p>
          <w:p w14:paraId="13D1068F" w14:textId="77777777" w:rsidR="007A6FCC" w:rsidRDefault="007A6FCC" w:rsidP="00281329">
            <w:pPr>
              <w:pStyle w:val="Tablecontent"/>
            </w:pPr>
            <w:r>
              <w:t>Total = vmk + Other + Free</w:t>
            </w:r>
          </w:p>
          <w:p w14:paraId="54F554BE" w14:textId="77777777" w:rsidR="007A6FCC" w:rsidRDefault="007A6FCC" w:rsidP="00281329">
            <w:pPr>
              <w:pStyle w:val="Tablecontent"/>
            </w:pPr>
            <w:r>
              <w:t xml:space="preserve">Total is what is reported by BIOS. </w:t>
            </w:r>
          </w:p>
          <w:p w14:paraId="62C0F116" w14:textId="77777777" w:rsidR="007A6FCC" w:rsidRDefault="007A6FCC" w:rsidP="00281329">
            <w:pPr>
              <w:pStyle w:val="Tablecontent"/>
            </w:pPr>
            <w:r>
              <w:t>vmk is ESXi VMkernel consumption. This includes kernel code section, kernel data and heap, and other VMKernel management memory.</w:t>
            </w:r>
          </w:p>
          <w:p w14:paraId="1EEDC0B2" w14:textId="77777777" w:rsidR="007A6FCC" w:rsidRDefault="007A6FCC" w:rsidP="00281329">
            <w:pPr>
              <w:pStyle w:val="Tablecontent"/>
            </w:pPr>
            <w:r>
              <w:lastRenderedPageBreak/>
              <w:t>Other is memory consumed by VM and non VM (user-level process that runs directly on the kernel)</w:t>
            </w:r>
          </w:p>
        </w:tc>
      </w:tr>
      <w:tr w:rsidR="007A6FCC" w14:paraId="30E621C6" w14:textId="77777777" w:rsidTr="00281329">
        <w:tc>
          <w:tcPr>
            <w:tcW w:w="2410" w:type="dxa"/>
            <w:shd w:val="clear" w:color="auto" w:fill="F2F2F2" w:themeFill="background1" w:themeFillShade="F2"/>
          </w:tcPr>
          <w:p w14:paraId="624ABCE2" w14:textId="77777777" w:rsidR="007A6FCC" w:rsidRPr="007E1B5A" w:rsidRDefault="007A6FCC" w:rsidP="00281329">
            <w:pPr>
              <w:pStyle w:val="Tablecontent"/>
            </w:pPr>
            <w:r>
              <w:lastRenderedPageBreak/>
              <w:t>VMKMEM</w:t>
            </w:r>
          </w:p>
        </w:tc>
        <w:tc>
          <w:tcPr>
            <w:tcW w:w="8046" w:type="dxa"/>
          </w:tcPr>
          <w:p w14:paraId="683D1745" w14:textId="77777777" w:rsidR="007A6FCC" w:rsidRDefault="007A6FCC" w:rsidP="00281329">
            <w:pPr>
              <w:pStyle w:val="Tablecontent"/>
            </w:pPr>
            <w:r>
              <w:t xml:space="preserve">VMkernel memory. The following </w:t>
            </w:r>
            <w:r w:rsidRPr="003B5C35">
              <w:t>metrics</w:t>
            </w:r>
            <w:r>
              <w:t xml:space="preserve"> are shown:</w:t>
            </w:r>
          </w:p>
          <w:p w14:paraId="0AB2A4DC" w14:textId="77777777" w:rsidR="007A6FCC" w:rsidRDefault="007A6FCC" w:rsidP="00281329">
            <w:pPr>
              <w:pStyle w:val="Bullet"/>
            </w:pPr>
            <w:r w:rsidRPr="000064EF">
              <w:rPr>
                <w:color w:val="00B0F0"/>
              </w:rPr>
              <w:t>Managed</w:t>
            </w:r>
            <w:r>
              <w:t xml:space="preserve">. The memory space that ESXi manage. Typically this is slightly smaller than the total physical memory, as it does not contain all the components of vmk metric. It can be allocated to VM, non VM user world, or the kernel itself. </w:t>
            </w:r>
          </w:p>
          <w:p w14:paraId="026B49E4" w14:textId="1A22736A" w:rsidR="007A6FCC" w:rsidRDefault="007A6FCC" w:rsidP="00281329">
            <w:pPr>
              <w:pStyle w:val="Bullet"/>
            </w:pPr>
            <w:r w:rsidRPr="000064EF">
              <w:rPr>
                <w:color w:val="00B0F0"/>
              </w:rPr>
              <w:t>Minfree</w:t>
            </w:r>
            <w:r>
              <w:t>. T</w:t>
            </w:r>
            <w:r w:rsidRPr="00D707C5">
              <w:t>he minimum amount of machine memory that VMKernel would like to keep free. VMKernel needs to keep some amount of free memory for critical uses</w:t>
            </w:r>
            <w:r>
              <w:t>. Note that minfree is included in Free memory, but the value tends to be negligible.</w:t>
            </w:r>
          </w:p>
          <w:p w14:paraId="68FE6B9E" w14:textId="77777777" w:rsidR="007A6FCC" w:rsidRDefault="007A6FCC" w:rsidP="00281329">
            <w:pPr>
              <w:pStyle w:val="Bullet"/>
            </w:pPr>
            <w:r w:rsidRPr="000064EF">
              <w:rPr>
                <w:color w:val="00B0F0"/>
              </w:rPr>
              <w:t>Reserved</w:t>
            </w:r>
            <w:r>
              <w:t>. T</w:t>
            </w:r>
            <w:r w:rsidRPr="00747ABB">
              <w:t>he sum of the reservation setting of the groups</w:t>
            </w:r>
            <w:r>
              <w:t xml:space="preserve"> +</w:t>
            </w:r>
            <w:r w:rsidRPr="00747ABB">
              <w:t xml:space="preserve"> the overhead reservation of the groups</w:t>
            </w:r>
            <w:r>
              <w:t xml:space="preserve"> + </w:t>
            </w:r>
            <w:r w:rsidRPr="00747ABB">
              <w:t>minfree.</w:t>
            </w:r>
            <w:r>
              <w:t xml:space="preserve"> I think by group it means the world or resource pool.</w:t>
            </w:r>
          </w:p>
          <w:p w14:paraId="03738AA9" w14:textId="77777777" w:rsidR="007A6FCC" w:rsidRDefault="007A6FCC" w:rsidP="00281329">
            <w:pPr>
              <w:pStyle w:val="Bullet"/>
            </w:pPr>
            <w:r w:rsidRPr="000064EF">
              <w:rPr>
                <w:color w:val="00B0F0"/>
              </w:rPr>
              <w:t>Unreserved</w:t>
            </w:r>
            <w:r>
              <w:t>. It is the memory available for reservation.</w:t>
            </w:r>
          </w:p>
          <w:p w14:paraId="029B1BFD" w14:textId="77777777" w:rsidR="007A6FCC" w:rsidRDefault="007A6FCC" w:rsidP="00281329">
            <w:pPr>
              <w:pStyle w:val="Tablecontent"/>
            </w:pPr>
            <w:r>
              <w:t>I have not found a practical use case for the above 4 metrics. If you do, let me know!</w:t>
            </w:r>
          </w:p>
          <w:p w14:paraId="138D5AEE" w14:textId="77777777" w:rsidR="007A6FCC" w:rsidRDefault="007A6FCC" w:rsidP="00281329">
            <w:pPr>
              <w:pStyle w:val="Tablecontent"/>
            </w:pPr>
            <w:r>
              <w:t>State is the memory state. You want this to be on high state.</w:t>
            </w:r>
          </w:p>
        </w:tc>
      </w:tr>
      <w:tr w:rsidR="007A6FCC" w14:paraId="26DA77B9" w14:textId="77777777" w:rsidTr="00281329">
        <w:tc>
          <w:tcPr>
            <w:tcW w:w="2410" w:type="dxa"/>
            <w:shd w:val="clear" w:color="auto" w:fill="F2F2F2" w:themeFill="background1" w:themeFillShade="F2"/>
          </w:tcPr>
          <w:p w14:paraId="07AA7416" w14:textId="77777777" w:rsidR="007A6FCC" w:rsidRDefault="007A6FCC" w:rsidP="00281329">
            <w:pPr>
              <w:pStyle w:val="Tablecontent"/>
            </w:pPr>
            <w:r>
              <w:t>NUMA</w:t>
            </w:r>
          </w:p>
        </w:tc>
        <w:tc>
          <w:tcPr>
            <w:tcW w:w="8046" w:type="dxa"/>
          </w:tcPr>
          <w:p w14:paraId="31342A96" w14:textId="77777777" w:rsidR="007A6FCC" w:rsidRDefault="007A6FCC" w:rsidP="00281329">
            <w:pPr>
              <w:pStyle w:val="Tablecontent"/>
            </w:pPr>
            <w:r>
              <w:t xml:space="preserve">In the preceding screenshot, there are 2 NUMA nodes. </w:t>
            </w:r>
          </w:p>
          <w:p w14:paraId="395297FB" w14:textId="141CCCE2" w:rsidR="007A6FCC" w:rsidRDefault="007A6FCC" w:rsidP="00281329">
            <w:pPr>
              <w:pStyle w:val="Tablecontent"/>
            </w:pPr>
            <w:r w:rsidRPr="00665FB0">
              <w:t xml:space="preserve">For each node there are </w:t>
            </w:r>
            <w:r w:rsidR="001939D4">
              <w:t>2</w:t>
            </w:r>
            <w:r w:rsidRPr="00665FB0">
              <w:t xml:space="preserve"> </w:t>
            </w:r>
            <w:r>
              <w:t>metric</w:t>
            </w:r>
            <w:r w:rsidR="001939D4">
              <w:t>s</w:t>
            </w:r>
            <w:r w:rsidRPr="00665FB0">
              <w:t>: the total amount</w:t>
            </w:r>
            <w:r>
              <w:t xml:space="preserve"> and </w:t>
            </w:r>
            <w:r w:rsidRPr="00665FB0">
              <w:t>the free</w:t>
            </w:r>
            <w:r>
              <w:t xml:space="preserve"> amount</w:t>
            </w:r>
            <w:r w:rsidRPr="00665FB0">
              <w:t>.</w:t>
            </w:r>
          </w:p>
          <w:p w14:paraId="309D49B5" w14:textId="77777777" w:rsidR="007A6FCC" w:rsidRDefault="007A6FCC" w:rsidP="00281329">
            <w:pPr>
              <w:pStyle w:val="Tablecontent"/>
            </w:pPr>
            <w:r>
              <w:t>Note that the sum of all NUMA nodes will again be slightly smaller than total, for the same reason why VMkernel managed is less than total.</w:t>
            </w:r>
          </w:p>
          <w:p w14:paraId="1D217036" w14:textId="77777777" w:rsidR="007A6FCC" w:rsidRDefault="007A6FCC" w:rsidP="00281329">
            <w:pPr>
              <w:pStyle w:val="Tablecontent"/>
            </w:pPr>
            <w:r>
              <w:t xml:space="preserve">If you enable </w:t>
            </w:r>
            <w:r>
              <w:rPr>
                <w:rStyle w:val="cb-itemprop"/>
              </w:rPr>
              <w:t xml:space="preserve">Cluster-on-Die feature in Intel Xeon, you will see 2x the amount of nodes. For details, see </w:t>
            </w:r>
            <w:hyperlink r:id="rId834" w:history="1">
              <w:r w:rsidRPr="00D14595">
                <w:rPr>
                  <w:rStyle w:val="Hyperlink"/>
                </w:rPr>
                <w:t>this</w:t>
              </w:r>
            </w:hyperlink>
            <w:r>
              <w:rPr>
                <w:rStyle w:val="cb-itemprop"/>
              </w:rPr>
              <w:t xml:space="preserve"> by Frank </w:t>
            </w:r>
            <w:r>
              <w:t>Denneman</w:t>
            </w:r>
            <w:r>
              <w:rPr>
                <w:rStyle w:val="cb-itemprop"/>
              </w:rPr>
              <w:t xml:space="preserve">. </w:t>
            </w:r>
          </w:p>
        </w:tc>
      </w:tr>
      <w:tr w:rsidR="007A6FCC" w14:paraId="505BC76F" w14:textId="77777777" w:rsidTr="00281329">
        <w:tc>
          <w:tcPr>
            <w:tcW w:w="2410" w:type="dxa"/>
            <w:shd w:val="clear" w:color="auto" w:fill="F2F2F2" w:themeFill="background1" w:themeFillShade="F2"/>
          </w:tcPr>
          <w:p w14:paraId="262FBF36" w14:textId="77777777" w:rsidR="007A6FCC" w:rsidRDefault="007A6FCC" w:rsidP="00281329">
            <w:pPr>
              <w:pStyle w:val="Tablecontent"/>
            </w:pPr>
            <w:r>
              <w:t>PSHARE</w:t>
            </w:r>
          </w:p>
        </w:tc>
        <w:tc>
          <w:tcPr>
            <w:tcW w:w="8046" w:type="dxa"/>
          </w:tcPr>
          <w:p w14:paraId="10C74DA4" w14:textId="77777777" w:rsidR="007A6FCC" w:rsidRDefault="007A6FCC" w:rsidP="00281329">
            <w:pPr>
              <w:pStyle w:val="Tablecontent"/>
            </w:pPr>
            <w:r w:rsidRPr="00882020">
              <w:rPr>
                <w:b/>
                <w:bCs/>
                <w:color w:val="00B0F0"/>
              </w:rPr>
              <w:t>shared</w:t>
            </w:r>
            <w:r>
              <w:t>: the amount of VM physical memory that is being shared.</w:t>
            </w:r>
          </w:p>
          <w:p w14:paraId="48FA49F2" w14:textId="77777777" w:rsidR="007A6FCC" w:rsidRDefault="007A6FCC" w:rsidP="00281329">
            <w:pPr>
              <w:pStyle w:val="Tablecontent"/>
            </w:pPr>
            <w:r w:rsidRPr="00882020">
              <w:rPr>
                <w:b/>
                <w:bCs/>
                <w:color w:val="00B0F0"/>
              </w:rPr>
              <w:t>common</w:t>
            </w:r>
            <w:r>
              <w:t>: the amount of machine memory that is common across Worlds.</w:t>
            </w:r>
          </w:p>
          <w:p w14:paraId="44F399B0" w14:textId="77777777" w:rsidR="007A6FCC" w:rsidRDefault="007A6FCC" w:rsidP="00281329">
            <w:pPr>
              <w:pStyle w:val="Tablecontent"/>
            </w:pPr>
            <w:r w:rsidRPr="00882020">
              <w:rPr>
                <w:b/>
                <w:bCs/>
                <w:color w:val="00B0F0"/>
              </w:rPr>
              <w:t>saving</w:t>
            </w:r>
            <w:r>
              <w:t>: the amount of machine memory that is saved due to page-sharing.</w:t>
            </w:r>
          </w:p>
        </w:tc>
      </w:tr>
      <w:tr w:rsidR="007A6FCC" w14:paraId="064A9DE0" w14:textId="77777777" w:rsidTr="00281329">
        <w:tc>
          <w:tcPr>
            <w:tcW w:w="2410" w:type="dxa"/>
            <w:shd w:val="clear" w:color="auto" w:fill="F2F2F2" w:themeFill="background1" w:themeFillShade="F2"/>
          </w:tcPr>
          <w:p w14:paraId="6BFEC6A3" w14:textId="77777777" w:rsidR="007A6FCC" w:rsidRDefault="007A6FCC" w:rsidP="00281329">
            <w:pPr>
              <w:pStyle w:val="Tablecontent"/>
            </w:pPr>
            <w:r>
              <w:t>SWAP</w:t>
            </w:r>
          </w:p>
        </w:tc>
        <w:tc>
          <w:tcPr>
            <w:tcW w:w="8046" w:type="dxa"/>
          </w:tcPr>
          <w:p w14:paraId="281748D6" w14:textId="77777777" w:rsidR="007A6FCC" w:rsidRDefault="007A6FCC" w:rsidP="00281329">
            <w:pPr>
              <w:pStyle w:val="Tablecontent"/>
            </w:pPr>
            <w:r>
              <w:t xml:space="preserve">Swapped counter is covered </w:t>
            </w:r>
            <w:hyperlink w:anchor="_Compressed_or_Swapped" w:history="1">
              <w:r w:rsidRPr="00C964EB">
                <w:rPr>
                  <w:rStyle w:val="Hyperlink"/>
                </w:rPr>
                <w:t>here</w:t>
              </w:r>
            </w:hyperlink>
            <w:r>
              <w:t xml:space="preserve"> under VM memory. What “cannot” be zipped is swapped. What you see on this line is sum of all the VMs.</w:t>
            </w:r>
          </w:p>
          <w:p w14:paraId="205209B1" w14:textId="77777777" w:rsidR="007A6FCC" w:rsidRDefault="007A6FCC" w:rsidP="00281329">
            <w:pPr>
              <w:pStyle w:val="Tablecontent"/>
            </w:pPr>
            <w:r>
              <w:t xml:space="preserve">The metric </w:t>
            </w:r>
            <w:r w:rsidRPr="00C964EB">
              <w:rPr>
                <w:color w:val="00B0F0"/>
              </w:rPr>
              <w:t xml:space="preserve">rclmtgt </w:t>
            </w:r>
            <w:r>
              <w:t>shows the target size in MB that ESXi aims to swap.</w:t>
            </w:r>
          </w:p>
        </w:tc>
      </w:tr>
      <w:tr w:rsidR="007A6FCC" w14:paraId="536831A2" w14:textId="77777777" w:rsidTr="00281329">
        <w:tc>
          <w:tcPr>
            <w:tcW w:w="2410" w:type="dxa"/>
            <w:shd w:val="clear" w:color="auto" w:fill="F2F2F2" w:themeFill="background1" w:themeFillShade="F2"/>
          </w:tcPr>
          <w:p w14:paraId="7797544B" w14:textId="77777777" w:rsidR="007A6FCC" w:rsidRDefault="007A6FCC" w:rsidP="00281329">
            <w:pPr>
              <w:pStyle w:val="Tablecontent"/>
            </w:pPr>
            <w:r>
              <w:t>ZIP</w:t>
            </w:r>
          </w:p>
        </w:tc>
        <w:tc>
          <w:tcPr>
            <w:tcW w:w="8046" w:type="dxa"/>
          </w:tcPr>
          <w:p w14:paraId="0389AAC0" w14:textId="77777777" w:rsidR="007A6FCC" w:rsidRDefault="007A6FCC" w:rsidP="00281329">
            <w:pPr>
              <w:pStyle w:val="Tablecontent"/>
            </w:pPr>
            <w:r>
              <w:t xml:space="preserve">Zipped counter is covered </w:t>
            </w:r>
            <w:hyperlink w:anchor="_Compressed_or_Swapped" w:history="1">
              <w:r w:rsidRPr="00C964EB">
                <w:rPr>
                  <w:rStyle w:val="Hyperlink"/>
                </w:rPr>
                <w:t>here</w:t>
              </w:r>
            </w:hyperlink>
            <w:r>
              <w:t xml:space="preserve"> under VM memory. What you see on this line is sum of all the VMs.</w:t>
            </w:r>
          </w:p>
        </w:tc>
      </w:tr>
      <w:tr w:rsidR="007A6FCC" w14:paraId="482199C7" w14:textId="77777777" w:rsidTr="00281329">
        <w:tc>
          <w:tcPr>
            <w:tcW w:w="2410" w:type="dxa"/>
            <w:shd w:val="clear" w:color="auto" w:fill="F2F2F2" w:themeFill="background1" w:themeFillShade="F2"/>
          </w:tcPr>
          <w:p w14:paraId="5F45024B" w14:textId="77777777" w:rsidR="007A6FCC" w:rsidRDefault="007A6FCC" w:rsidP="00281329">
            <w:pPr>
              <w:pStyle w:val="Tablecontent"/>
            </w:pPr>
            <w:r>
              <w:t>MEMCTL</w:t>
            </w:r>
          </w:p>
        </w:tc>
        <w:tc>
          <w:tcPr>
            <w:tcW w:w="8046" w:type="dxa"/>
          </w:tcPr>
          <w:p w14:paraId="7575ED68" w14:textId="77777777" w:rsidR="007A6FCC" w:rsidRDefault="007A6FCC" w:rsidP="00281329">
            <w:pPr>
              <w:pStyle w:val="Tablecontent"/>
            </w:pPr>
            <w:r>
              <w:t xml:space="preserve">Memory Control, also known as ballooning is covered </w:t>
            </w:r>
            <w:hyperlink w:anchor="_Balloon" w:history="1">
              <w:r w:rsidRPr="00C964EB">
                <w:rPr>
                  <w:rStyle w:val="Hyperlink"/>
                </w:rPr>
                <w:t>here</w:t>
              </w:r>
            </w:hyperlink>
            <w:r>
              <w:t xml:space="preserve"> under VM memory. What you see on this line is sum of all the VMs.</w:t>
            </w:r>
          </w:p>
        </w:tc>
      </w:tr>
    </w:tbl>
    <w:p w14:paraId="4C154FD1" w14:textId="77777777" w:rsidR="007A6FCC" w:rsidRDefault="007A6FCC" w:rsidP="007A6FCC">
      <w:pPr>
        <w:pStyle w:val="BeforeTable"/>
      </w:pPr>
    </w:p>
    <w:p w14:paraId="68A3EDAC" w14:textId="77777777" w:rsidR="007A6FCC" w:rsidRDefault="007A6FCC" w:rsidP="007A6FCC">
      <w:r>
        <w:t>There are a lot of metrics in many panels. It’s easier to understand if we group them functionally.</w:t>
      </w:r>
    </w:p>
    <w:p w14:paraId="73E1DD23" w14:textId="77777777" w:rsidR="007A6FCC" w:rsidRDefault="007A6FCC" w:rsidP="007A6FCC">
      <w:pPr>
        <w:pStyle w:val="Heading5"/>
      </w:pPr>
      <w:r>
        <w:t>Contention</w:t>
      </w:r>
    </w:p>
    <w:p w14:paraId="3AED7902" w14:textId="77777777" w:rsidR="007A6FCC" w:rsidRDefault="007A6FCC" w:rsidP="007A6FCC">
      <w:r>
        <w:t>As usual, we start with the contention-type of metrics.</w:t>
      </w:r>
    </w:p>
    <w:p w14:paraId="43480DC7" w14:textId="77777777" w:rsidR="007A6FCC" w:rsidRDefault="007A6FCC" w:rsidP="007A6FCC">
      <w:pPr>
        <w:pStyle w:val="Heading6"/>
      </w:pPr>
      <w:r>
        <w:lastRenderedPageBreak/>
        <w:t>Balloon</w:t>
      </w:r>
    </w:p>
    <w:p w14:paraId="3E457325" w14:textId="77777777" w:rsidR="007A6FCC" w:rsidRPr="00E56D46" w:rsidRDefault="007A6FCC" w:rsidP="007A6FCC">
      <w:r>
        <w:t xml:space="preserve">I start with Balloon as this is the first level of warning. Technically, this is not a contention. Operationally, you want to start watching as Balloon only happens at 99% utilization. So it’s high considering you have HA enabled in the cluster. </w:t>
      </w:r>
    </w:p>
    <w:p w14:paraId="095F22D8" w14:textId="77777777" w:rsidR="007A6FCC" w:rsidRDefault="007A6FCC" w:rsidP="007A6FCC">
      <w:pPr>
        <w:jc w:val="center"/>
      </w:pPr>
      <w:r w:rsidRPr="00DC5F96">
        <w:rPr>
          <w:noProof/>
        </w:rPr>
        <w:drawing>
          <wp:inline distT="0" distB="0" distL="0" distR="0" wp14:anchorId="5B844D48" wp14:editId="7D95B2A5">
            <wp:extent cx="3829247" cy="939848"/>
            <wp:effectExtent l="0" t="0" r="0" b="0"/>
            <wp:docPr id="567723330" name="Picture 567723330"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40" name="Picture 918289640" descr="Text&#10;&#10;Description automatically generated"/>
                    <pic:cNvPicPr/>
                  </pic:nvPicPr>
                  <pic:blipFill>
                    <a:blip r:embed="rId835"/>
                    <a:stretch>
                      <a:fillRect/>
                    </a:stretch>
                  </pic:blipFill>
                  <pic:spPr>
                    <a:xfrm>
                      <a:off x="0" y="0"/>
                      <a:ext cx="3829247" cy="939848"/>
                    </a:xfrm>
                    <a:prstGeom prst="rect">
                      <a:avLst/>
                    </a:prstGeom>
                  </pic:spPr>
                </pic:pic>
              </a:graphicData>
            </a:graphic>
          </wp:inline>
        </w:drawing>
      </w:r>
    </w:p>
    <w:p w14:paraId="21C86820"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3BAE6CFC" w14:textId="77777777" w:rsidTr="00281329">
        <w:tc>
          <w:tcPr>
            <w:tcW w:w="1843" w:type="dxa"/>
            <w:shd w:val="clear" w:color="auto" w:fill="F2F2F2" w:themeFill="background1" w:themeFillShade="F2"/>
          </w:tcPr>
          <w:p w14:paraId="204F5B2F" w14:textId="77777777" w:rsidR="007A6FCC" w:rsidRPr="002510F4" w:rsidRDefault="007A6FCC" w:rsidP="00281329">
            <w:pPr>
              <w:pStyle w:val="Tablecontent"/>
            </w:pPr>
            <w:r>
              <w:t>MCTL?</w:t>
            </w:r>
          </w:p>
        </w:tc>
        <w:tc>
          <w:tcPr>
            <w:tcW w:w="8647" w:type="dxa"/>
          </w:tcPr>
          <w:p w14:paraId="1F69DF76" w14:textId="6B5EFB98" w:rsidR="007A6FCC" w:rsidRPr="002510F4" w:rsidRDefault="00194CEE" w:rsidP="00281329">
            <w:pPr>
              <w:pStyle w:val="Tablecontent"/>
            </w:pPr>
            <w:r w:rsidRPr="00194CEE">
              <w:rPr>
                <w:color w:val="00B0F0"/>
              </w:rPr>
              <w:t>‘Y’</w:t>
            </w:r>
            <w:r w:rsidR="007A6FCC">
              <w:t xml:space="preserve"> means the line is a VM, as VMkernel processes is not subjected to ballooning.</w:t>
            </w:r>
          </w:p>
        </w:tc>
      </w:tr>
      <w:tr w:rsidR="007A6FCC" w:rsidRPr="00E51A31" w14:paraId="37B1EB00" w14:textId="77777777" w:rsidTr="00281329">
        <w:tc>
          <w:tcPr>
            <w:tcW w:w="1843" w:type="dxa"/>
            <w:shd w:val="clear" w:color="auto" w:fill="F2F2F2" w:themeFill="background1" w:themeFillShade="F2"/>
          </w:tcPr>
          <w:p w14:paraId="2D97E573" w14:textId="77777777" w:rsidR="007A6FCC" w:rsidRPr="00874E8F" w:rsidRDefault="007A6FCC" w:rsidP="00281329">
            <w:pPr>
              <w:pStyle w:val="Tablecontent"/>
            </w:pPr>
            <w:r w:rsidRPr="00AD2370">
              <w:t>MCTLSZ</w:t>
            </w:r>
            <w:r>
              <w:t xml:space="preserve"> (MB)</w:t>
            </w:r>
          </w:p>
        </w:tc>
        <w:tc>
          <w:tcPr>
            <w:tcW w:w="8647" w:type="dxa"/>
          </w:tcPr>
          <w:p w14:paraId="374A47D1" w14:textId="77777777" w:rsidR="007A6FCC" w:rsidRPr="002510F4" w:rsidRDefault="007A6FCC" w:rsidP="00281329">
            <w:pPr>
              <w:pStyle w:val="Tablecontent"/>
            </w:pPr>
            <w:r>
              <w:t xml:space="preserve">Memory Control Size is the present size of memory control (balloon driver). </w:t>
            </w:r>
            <w:r w:rsidRPr="00AD2370">
              <w:t>If larger than 0 hosts is forcing VMs to inflate balloon driver to reclaim memory as host is overcommitted</w:t>
            </w:r>
          </w:p>
        </w:tc>
      </w:tr>
      <w:tr w:rsidR="007A6FCC" w:rsidRPr="00E51A31" w14:paraId="032EFD99" w14:textId="77777777" w:rsidTr="00281329">
        <w:tc>
          <w:tcPr>
            <w:tcW w:w="1843" w:type="dxa"/>
            <w:shd w:val="clear" w:color="auto" w:fill="F2F2F2" w:themeFill="background1" w:themeFillShade="F2"/>
            <w:vAlign w:val="center"/>
          </w:tcPr>
          <w:p w14:paraId="3F91432E" w14:textId="77777777" w:rsidR="007A6FCC" w:rsidRPr="00874E8F" w:rsidRDefault="007A6FCC" w:rsidP="00281329">
            <w:pPr>
              <w:pStyle w:val="Tablecontent"/>
            </w:pPr>
            <w:r>
              <w:t xml:space="preserve">MCTLTGT (MB) </w:t>
            </w:r>
          </w:p>
        </w:tc>
        <w:tc>
          <w:tcPr>
            <w:tcW w:w="8647" w:type="dxa"/>
            <w:vAlign w:val="center"/>
          </w:tcPr>
          <w:p w14:paraId="42CB0FEE" w14:textId="77777777" w:rsidR="007A6FCC" w:rsidRPr="002510F4" w:rsidRDefault="007A6FCC" w:rsidP="00281329">
            <w:pPr>
              <w:pStyle w:val="Tablecontent"/>
            </w:pPr>
            <w:r>
              <w:t xml:space="preserve">Amount of physical memory the </w:t>
            </w:r>
            <w:r>
              <w:rPr>
                <w:rStyle w:val="ph"/>
              </w:rPr>
              <w:t>ESXi</w:t>
            </w:r>
            <w:r>
              <w:t xml:space="preserve"> system attempts to reclaim from the resource pool or VM by way of ballooning. If this is not 0 that means the VM can experience ballooning. </w:t>
            </w:r>
          </w:p>
        </w:tc>
      </w:tr>
      <w:tr w:rsidR="007A6FCC" w:rsidRPr="00E51A31" w14:paraId="1CCDA024" w14:textId="77777777" w:rsidTr="00281329">
        <w:tc>
          <w:tcPr>
            <w:tcW w:w="1843" w:type="dxa"/>
            <w:shd w:val="clear" w:color="auto" w:fill="F2F2F2" w:themeFill="background1" w:themeFillShade="F2"/>
            <w:vAlign w:val="center"/>
          </w:tcPr>
          <w:p w14:paraId="3CC38BC8" w14:textId="77777777" w:rsidR="007A6FCC" w:rsidRPr="00874E8F" w:rsidRDefault="007A6FCC" w:rsidP="00281329">
            <w:pPr>
              <w:pStyle w:val="Tablecontent"/>
            </w:pPr>
            <w:r>
              <w:t xml:space="preserve">MCTLMAX (MB) </w:t>
            </w:r>
          </w:p>
        </w:tc>
        <w:tc>
          <w:tcPr>
            <w:tcW w:w="8647" w:type="dxa"/>
            <w:vAlign w:val="center"/>
          </w:tcPr>
          <w:p w14:paraId="34D65026" w14:textId="77777777" w:rsidR="007A6FCC" w:rsidRPr="002510F4" w:rsidRDefault="007A6FCC" w:rsidP="00281329">
            <w:pPr>
              <w:pStyle w:val="Tablecontent"/>
            </w:pPr>
            <w:r>
              <w:t xml:space="preserve">Maximum amount of physical memory the </w:t>
            </w:r>
            <w:r>
              <w:rPr>
                <w:rStyle w:val="ph"/>
              </w:rPr>
              <w:t>ESXi</w:t>
            </w:r>
            <w:r>
              <w:t xml:space="preserve"> system can reclaim from the resource pool or VM by way of ballooning. This maximum depends on the type of Guest OS.</w:t>
            </w:r>
          </w:p>
        </w:tc>
      </w:tr>
    </w:tbl>
    <w:p w14:paraId="178552DB" w14:textId="41C82647" w:rsidR="007A6FCC" w:rsidRDefault="007A6FCC" w:rsidP="007A6FCC">
      <w:pPr>
        <w:pStyle w:val="Heading6"/>
      </w:pPr>
      <w:r>
        <w:t>Compressed</w:t>
      </w:r>
      <w:r w:rsidR="000F042F">
        <w:t xml:space="preserve"> &amp; Swapped</w:t>
      </w:r>
    </w:p>
    <w:p w14:paraId="70C863DD" w14:textId="619ABCD5" w:rsidR="007A6FCC" w:rsidRDefault="007A6FCC" w:rsidP="007A6FCC">
      <w:pPr>
        <w:rPr>
          <w:lang w:val="en-GB"/>
        </w:rPr>
      </w:pPr>
      <w:bookmarkStart w:id="130" w:name="_Hlk133663117"/>
      <w:r>
        <w:rPr>
          <w:lang w:val="en-GB"/>
        </w:rPr>
        <w:t xml:space="preserve">I think that Swap and Compressed should be shown together as what can’t be compressed is swapped. </w:t>
      </w:r>
    </w:p>
    <w:bookmarkEnd w:id="130"/>
    <w:p w14:paraId="52ABF9FD" w14:textId="77777777" w:rsidR="007A6FCC" w:rsidRDefault="007A6FCC" w:rsidP="007A6FCC">
      <w:pPr>
        <w:rPr>
          <w:lang w:val="en-GB"/>
        </w:rPr>
      </w:pPr>
      <w:r>
        <w:rPr>
          <w:lang w:val="en-GB"/>
        </w:rPr>
        <w:t xml:space="preserve">Why am I showing Compressed first? </w:t>
      </w:r>
    </w:p>
    <w:p w14:paraId="2AA23D8C" w14:textId="77777777" w:rsidR="007A6FCC" w:rsidRPr="009C408D" w:rsidRDefault="007A6FCC" w:rsidP="007A6FCC">
      <w:pPr>
        <w:rPr>
          <w:lang w:val="en-GB"/>
        </w:rPr>
      </w:pPr>
      <w:r>
        <w:rPr>
          <w:lang w:val="en-GB"/>
        </w:rPr>
        <w:t>Because it’s faster than swapped.</w:t>
      </w:r>
    </w:p>
    <w:p w14:paraId="2D1FE725" w14:textId="77777777" w:rsidR="007A6FCC" w:rsidRDefault="007A6FCC" w:rsidP="007A6FCC">
      <w:pPr>
        <w:jc w:val="center"/>
      </w:pPr>
      <w:r w:rsidRPr="002F7B47">
        <w:rPr>
          <w:noProof/>
        </w:rPr>
        <w:drawing>
          <wp:inline distT="0" distB="0" distL="0" distR="0" wp14:anchorId="72F36EEE" wp14:editId="7FF39E90">
            <wp:extent cx="4007056" cy="920797"/>
            <wp:effectExtent l="0" t="0" r="0" b="0"/>
            <wp:docPr id="567723332" name="Picture 567723332"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45" name="Picture 918289645" descr="Text&#10;&#10;Description automatically generated"/>
                    <pic:cNvPicPr/>
                  </pic:nvPicPr>
                  <pic:blipFill>
                    <a:blip r:embed="rId836"/>
                    <a:stretch>
                      <a:fillRect/>
                    </a:stretch>
                  </pic:blipFill>
                  <pic:spPr>
                    <a:xfrm>
                      <a:off x="0" y="0"/>
                      <a:ext cx="4007056" cy="920797"/>
                    </a:xfrm>
                    <a:prstGeom prst="rect">
                      <a:avLst/>
                    </a:prstGeom>
                  </pic:spPr>
                </pic:pic>
              </a:graphicData>
            </a:graphic>
          </wp:inline>
        </w:drawing>
      </w:r>
    </w:p>
    <w:p w14:paraId="3BF354A0"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634838C4" w14:textId="77777777" w:rsidTr="00281329">
        <w:tc>
          <w:tcPr>
            <w:tcW w:w="1843" w:type="dxa"/>
            <w:shd w:val="clear" w:color="auto" w:fill="F2F2F2" w:themeFill="background1" w:themeFillShade="F2"/>
          </w:tcPr>
          <w:p w14:paraId="01026455" w14:textId="77777777" w:rsidR="007A6FCC" w:rsidRPr="00355333" w:rsidRDefault="007A6FCC" w:rsidP="00281329">
            <w:pPr>
              <w:pStyle w:val="Tablecontent"/>
            </w:pPr>
            <w:r w:rsidRPr="006B74E8">
              <w:t>CACHESZ (MB)</w:t>
            </w:r>
          </w:p>
        </w:tc>
        <w:tc>
          <w:tcPr>
            <w:tcW w:w="8647" w:type="dxa"/>
          </w:tcPr>
          <w:p w14:paraId="53CFBB10" w14:textId="77777777" w:rsidR="007A6FCC" w:rsidRPr="00355333" w:rsidRDefault="007A6FCC" w:rsidP="00281329">
            <w:pPr>
              <w:pStyle w:val="Tablecontent"/>
            </w:pPr>
            <w:r w:rsidRPr="006B74E8">
              <w:t>Compression memory cache size.</w:t>
            </w:r>
          </w:p>
        </w:tc>
      </w:tr>
      <w:tr w:rsidR="007A6FCC" w:rsidRPr="00E51A31" w14:paraId="18013182" w14:textId="77777777" w:rsidTr="00281329">
        <w:tc>
          <w:tcPr>
            <w:tcW w:w="1843" w:type="dxa"/>
            <w:shd w:val="clear" w:color="auto" w:fill="F2F2F2" w:themeFill="background1" w:themeFillShade="F2"/>
          </w:tcPr>
          <w:p w14:paraId="64B6A858" w14:textId="77777777" w:rsidR="007A6FCC" w:rsidRPr="002510F4" w:rsidRDefault="007A6FCC" w:rsidP="00281329">
            <w:pPr>
              <w:pStyle w:val="Tablecontent"/>
            </w:pPr>
            <w:r w:rsidRPr="006B74E8">
              <w:t>CACHEUSD (MB)</w:t>
            </w:r>
          </w:p>
        </w:tc>
        <w:tc>
          <w:tcPr>
            <w:tcW w:w="8647" w:type="dxa"/>
          </w:tcPr>
          <w:p w14:paraId="4E651C72" w14:textId="77777777" w:rsidR="007A6FCC" w:rsidRPr="002510F4" w:rsidRDefault="007A6FCC" w:rsidP="00281329">
            <w:pPr>
              <w:pStyle w:val="Tablecontent"/>
            </w:pPr>
            <w:r w:rsidRPr="006B74E8">
              <w:t>Used compression memory cache</w:t>
            </w:r>
          </w:p>
        </w:tc>
      </w:tr>
      <w:tr w:rsidR="007A6FCC" w:rsidRPr="00E51A31" w14:paraId="6DF0C78A" w14:textId="77777777" w:rsidTr="00281329">
        <w:tc>
          <w:tcPr>
            <w:tcW w:w="1843" w:type="dxa"/>
            <w:shd w:val="clear" w:color="auto" w:fill="F2F2F2" w:themeFill="background1" w:themeFillShade="F2"/>
          </w:tcPr>
          <w:p w14:paraId="00D517E1" w14:textId="77777777" w:rsidR="007A6FCC" w:rsidRPr="002510F4" w:rsidRDefault="007A6FCC" w:rsidP="00281329">
            <w:pPr>
              <w:pStyle w:val="Tablecontent"/>
            </w:pPr>
            <w:r w:rsidRPr="006B74E8">
              <w:t>ZIP/s (MB/s)</w:t>
            </w:r>
          </w:p>
        </w:tc>
        <w:tc>
          <w:tcPr>
            <w:tcW w:w="8647" w:type="dxa"/>
          </w:tcPr>
          <w:p w14:paraId="0A01C971" w14:textId="77777777" w:rsidR="007A6FCC" w:rsidRDefault="007A6FCC" w:rsidP="00281329">
            <w:pPr>
              <w:pStyle w:val="Tablecontent"/>
            </w:pPr>
            <w:r>
              <w:t>The rate at which memory pages are being zipped. Once zipped, it’s not immediately available for the VM.</w:t>
            </w:r>
          </w:p>
          <w:p w14:paraId="01999819" w14:textId="77777777" w:rsidR="007A6FCC" w:rsidRDefault="007A6FCC" w:rsidP="00281329">
            <w:pPr>
              <w:pStyle w:val="Tablecontent"/>
            </w:pPr>
            <w:r>
              <w:t>This is a capacity problem. Your ESXi needs more RAM. If the pages being zipped is unused, the VMs will not experience memory contention.</w:t>
            </w:r>
          </w:p>
          <w:p w14:paraId="7C6C9DDB" w14:textId="77777777" w:rsidR="007A6FCC" w:rsidRPr="002510F4" w:rsidRDefault="007A6FCC" w:rsidP="00281329">
            <w:pPr>
              <w:pStyle w:val="Tablecontent"/>
            </w:pPr>
            <w:r>
              <w:t>Keep this number 0. See Capacity chapter for details.</w:t>
            </w:r>
          </w:p>
        </w:tc>
      </w:tr>
      <w:tr w:rsidR="007A6FCC" w:rsidRPr="00E51A31" w14:paraId="503C13C4" w14:textId="77777777" w:rsidTr="00281329">
        <w:tc>
          <w:tcPr>
            <w:tcW w:w="1843" w:type="dxa"/>
            <w:shd w:val="clear" w:color="auto" w:fill="F2F2F2" w:themeFill="background1" w:themeFillShade="F2"/>
          </w:tcPr>
          <w:p w14:paraId="4923F92F" w14:textId="77777777" w:rsidR="007A6FCC" w:rsidRPr="002510F4" w:rsidRDefault="007A6FCC" w:rsidP="00281329">
            <w:pPr>
              <w:pStyle w:val="Tablecontent"/>
            </w:pPr>
            <w:r w:rsidRPr="006B74E8">
              <w:t>UNZIP/s (MB/s)</w:t>
            </w:r>
          </w:p>
        </w:tc>
        <w:tc>
          <w:tcPr>
            <w:tcW w:w="8647" w:type="dxa"/>
          </w:tcPr>
          <w:p w14:paraId="041B6A40" w14:textId="77777777" w:rsidR="007A6FCC" w:rsidRDefault="007A6FCC" w:rsidP="00281329">
            <w:pPr>
              <w:pStyle w:val="Tablecontent"/>
            </w:pPr>
            <w:r>
              <w:t>The rate at which memory pages are being unzipped so it can be used by VM.</w:t>
            </w:r>
          </w:p>
          <w:p w14:paraId="2AC7DB7D" w14:textId="77777777" w:rsidR="007A6FCC" w:rsidRPr="002510F4" w:rsidRDefault="007A6FCC" w:rsidP="00281329">
            <w:pPr>
              <w:pStyle w:val="Tablecontent"/>
            </w:pPr>
            <w:r>
              <w:t>This is a performance problem. The pages are being asked. The VM CPU is waiting for the data. If you check the VM memory contention counter, it will not be 0%. Make sure that number is within your SLA or KPI.</w:t>
            </w:r>
          </w:p>
        </w:tc>
      </w:tr>
    </w:tbl>
    <w:p w14:paraId="2BCF1960" w14:textId="7D60C389" w:rsidR="007A6FCC" w:rsidRDefault="007A6FCC" w:rsidP="007A6FCC">
      <w:pPr>
        <w:pStyle w:val="Heading6"/>
      </w:pPr>
      <w:r>
        <w:lastRenderedPageBreak/>
        <w:t>Swap</w:t>
      </w:r>
      <w:r w:rsidR="000F042F">
        <w:t>ped</w:t>
      </w:r>
      <w:r>
        <w:t xml:space="preserve"> </w:t>
      </w:r>
    </w:p>
    <w:p w14:paraId="430D432E" w14:textId="77777777" w:rsidR="007A6FCC" w:rsidRDefault="007A6FCC" w:rsidP="007A6FCC">
      <w:pPr>
        <w:jc w:val="center"/>
      </w:pPr>
      <w:r w:rsidRPr="00295ACC">
        <w:rPr>
          <w:noProof/>
        </w:rPr>
        <w:drawing>
          <wp:inline distT="0" distB="0" distL="0" distR="0" wp14:anchorId="4016EF20" wp14:editId="4AE07F5B">
            <wp:extent cx="5296172" cy="1035103"/>
            <wp:effectExtent l="0" t="0" r="0" b="0"/>
            <wp:docPr id="567723331" name="Picture 567723331" descr="A screenshot of a compute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41" name="Picture 918289641" descr="A screenshot of a computer&#10;&#10;Description automatically generated with low confidence"/>
                    <pic:cNvPicPr/>
                  </pic:nvPicPr>
                  <pic:blipFill>
                    <a:blip r:embed="rId837"/>
                    <a:stretch>
                      <a:fillRect/>
                    </a:stretch>
                  </pic:blipFill>
                  <pic:spPr>
                    <a:xfrm>
                      <a:off x="0" y="0"/>
                      <a:ext cx="5296172" cy="1035103"/>
                    </a:xfrm>
                    <a:prstGeom prst="rect">
                      <a:avLst/>
                    </a:prstGeom>
                  </pic:spPr>
                </pic:pic>
              </a:graphicData>
            </a:graphic>
          </wp:inline>
        </w:drawing>
      </w:r>
    </w:p>
    <w:p w14:paraId="6ED7043D"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6E945062" w14:textId="77777777" w:rsidTr="00281329">
        <w:tc>
          <w:tcPr>
            <w:tcW w:w="1843" w:type="dxa"/>
            <w:shd w:val="clear" w:color="auto" w:fill="F2F2F2" w:themeFill="background1" w:themeFillShade="F2"/>
          </w:tcPr>
          <w:p w14:paraId="49CA91C5" w14:textId="77777777" w:rsidR="007A6FCC" w:rsidRPr="002510F4" w:rsidRDefault="007A6FCC" w:rsidP="00281329">
            <w:pPr>
              <w:pStyle w:val="Tablecontent"/>
            </w:pPr>
            <w:r>
              <w:t>SWCUR (MB)</w:t>
            </w:r>
          </w:p>
        </w:tc>
        <w:tc>
          <w:tcPr>
            <w:tcW w:w="8647" w:type="dxa"/>
          </w:tcPr>
          <w:p w14:paraId="7B4704E9" w14:textId="77777777" w:rsidR="007A6FCC" w:rsidRPr="002510F4" w:rsidRDefault="007A6FCC" w:rsidP="00281329">
            <w:pPr>
              <w:pStyle w:val="Tablecontent"/>
            </w:pPr>
            <w:r>
              <w:t>Swapped Current is the present size of memory on swapped. It typically contains inactive pages.</w:t>
            </w:r>
          </w:p>
        </w:tc>
      </w:tr>
      <w:tr w:rsidR="007A6FCC" w:rsidRPr="00E51A31" w14:paraId="220EDA5C" w14:textId="77777777" w:rsidTr="00281329">
        <w:tc>
          <w:tcPr>
            <w:tcW w:w="1843" w:type="dxa"/>
            <w:shd w:val="clear" w:color="auto" w:fill="F2F2F2" w:themeFill="background1" w:themeFillShade="F2"/>
          </w:tcPr>
          <w:p w14:paraId="4ADCB59D" w14:textId="77777777" w:rsidR="007A6FCC" w:rsidRPr="002510F4" w:rsidRDefault="007A6FCC" w:rsidP="00281329">
            <w:pPr>
              <w:pStyle w:val="Tablecontent"/>
            </w:pPr>
            <w:r w:rsidRPr="00874E8F">
              <w:t>SWTGT (MB)</w:t>
            </w:r>
          </w:p>
        </w:tc>
        <w:tc>
          <w:tcPr>
            <w:tcW w:w="8647" w:type="dxa"/>
          </w:tcPr>
          <w:p w14:paraId="1030252D" w14:textId="77777777" w:rsidR="007A6FCC" w:rsidRPr="002510F4" w:rsidRDefault="007A6FCC" w:rsidP="00281329">
            <w:pPr>
              <w:pStyle w:val="Tablecontent"/>
            </w:pPr>
            <w:r>
              <w:t xml:space="preserve">The target size the </w:t>
            </w:r>
            <w:r>
              <w:rPr>
                <w:rStyle w:val="ph"/>
              </w:rPr>
              <w:t>ESXi</w:t>
            </w:r>
            <w:r>
              <w:t xml:space="preserve"> host expects the swap usage by the resource pool or VM to be. This is an estimate.</w:t>
            </w:r>
          </w:p>
        </w:tc>
      </w:tr>
      <w:tr w:rsidR="007A6FCC" w:rsidRPr="00E51A31" w14:paraId="04E61AD0" w14:textId="77777777" w:rsidTr="00281329">
        <w:tc>
          <w:tcPr>
            <w:tcW w:w="1843" w:type="dxa"/>
            <w:shd w:val="clear" w:color="auto" w:fill="F2F2F2" w:themeFill="background1" w:themeFillShade="F2"/>
          </w:tcPr>
          <w:p w14:paraId="2EDBB8F0" w14:textId="77777777" w:rsidR="007A6FCC" w:rsidRPr="002510F4" w:rsidRDefault="007A6FCC" w:rsidP="00281329">
            <w:pPr>
              <w:pStyle w:val="Tablecontent"/>
            </w:pPr>
            <w:r w:rsidRPr="00760021">
              <w:t>SWR/s</w:t>
            </w:r>
            <w:r>
              <w:t xml:space="preserve"> (MB)</w:t>
            </w:r>
          </w:p>
        </w:tc>
        <w:tc>
          <w:tcPr>
            <w:tcW w:w="8647" w:type="dxa"/>
            <w:vMerge w:val="restart"/>
          </w:tcPr>
          <w:p w14:paraId="3E52ADE6" w14:textId="77777777" w:rsidR="007A6FCC" w:rsidRPr="002510F4" w:rsidRDefault="007A6FCC" w:rsidP="00281329">
            <w:pPr>
              <w:pStyle w:val="Tablecontent"/>
            </w:pPr>
            <w:r>
              <w:t>Swapped Read per second and Swapped Write per second. The amount of memory in megabyte that is being brought back to memory or being moved to disk</w:t>
            </w:r>
          </w:p>
        </w:tc>
      </w:tr>
      <w:tr w:rsidR="007A6FCC" w:rsidRPr="00E51A31" w14:paraId="3F08CD66" w14:textId="77777777" w:rsidTr="00281329">
        <w:tc>
          <w:tcPr>
            <w:tcW w:w="1843" w:type="dxa"/>
            <w:shd w:val="clear" w:color="auto" w:fill="F2F2F2" w:themeFill="background1" w:themeFillShade="F2"/>
          </w:tcPr>
          <w:p w14:paraId="0A9F5144" w14:textId="77777777" w:rsidR="007A6FCC" w:rsidRPr="002510F4" w:rsidRDefault="007A6FCC" w:rsidP="00281329">
            <w:pPr>
              <w:pStyle w:val="Tablecontent"/>
            </w:pPr>
            <w:r>
              <w:t>SWW/s (MB)</w:t>
            </w:r>
          </w:p>
        </w:tc>
        <w:tc>
          <w:tcPr>
            <w:tcW w:w="8647" w:type="dxa"/>
            <w:vMerge/>
          </w:tcPr>
          <w:p w14:paraId="1CFD5DEB" w14:textId="77777777" w:rsidR="007A6FCC" w:rsidRPr="002510F4" w:rsidRDefault="007A6FCC" w:rsidP="00281329">
            <w:pPr>
              <w:pStyle w:val="Tablecontent"/>
            </w:pPr>
          </w:p>
        </w:tc>
      </w:tr>
      <w:tr w:rsidR="007A6FCC" w:rsidRPr="00E51A31" w14:paraId="6332EFFE" w14:textId="77777777" w:rsidTr="00281329">
        <w:tc>
          <w:tcPr>
            <w:tcW w:w="1843" w:type="dxa"/>
            <w:shd w:val="clear" w:color="auto" w:fill="F2F2F2" w:themeFill="background1" w:themeFillShade="F2"/>
          </w:tcPr>
          <w:p w14:paraId="4FBC9167" w14:textId="77777777" w:rsidR="007A6FCC" w:rsidRDefault="007A6FCC" w:rsidP="00281329">
            <w:pPr>
              <w:pStyle w:val="Tablecontent"/>
            </w:pPr>
            <w:r>
              <w:t>LLSWR/s (MB)</w:t>
            </w:r>
          </w:p>
        </w:tc>
        <w:tc>
          <w:tcPr>
            <w:tcW w:w="8647" w:type="dxa"/>
            <w:vMerge w:val="restart"/>
          </w:tcPr>
          <w:p w14:paraId="102303F9" w14:textId="77777777" w:rsidR="007A6FCC" w:rsidRDefault="007A6FCC" w:rsidP="00281329">
            <w:r>
              <w:t>These are similar to SW</w:t>
            </w:r>
            <w:r w:rsidRPr="00D84F3E">
              <w:t>R</w:t>
            </w:r>
            <w:r>
              <w:t>/s but is about host cache instead of disk. It is the r</w:t>
            </w:r>
            <w:r w:rsidRPr="00D84F3E">
              <w:t>ate at which memory is read from the host cache. The reads and writes are attributed to the VMM group only</w:t>
            </w:r>
            <w:r>
              <w:t xml:space="preserve">, so they are not displayed for VM. </w:t>
            </w:r>
          </w:p>
          <w:p w14:paraId="2A5C1BFC" w14:textId="77777777" w:rsidR="007A6FCC" w:rsidRDefault="007A6FCC" w:rsidP="00281329">
            <w:r w:rsidRPr="00431B72">
              <w:rPr>
                <w:b/>
                <w:bCs/>
                <w:color w:val="00B0F0"/>
              </w:rPr>
              <w:t>LL</w:t>
            </w:r>
            <w:r w:rsidRPr="00431B72">
              <w:rPr>
                <w:color w:val="00B0F0"/>
              </w:rPr>
              <w:t xml:space="preserve"> </w:t>
            </w:r>
            <w:r>
              <w:t xml:space="preserve">stands for Low Latency as host cache is meant to be faster (lower latency) than physical disk. </w:t>
            </w:r>
          </w:p>
          <w:p w14:paraId="2AAA52B0" w14:textId="77777777" w:rsidR="007A6FCC" w:rsidRPr="002510F4" w:rsidRDefault="007A6FCC" w:rsidP="00281329">
            <w:pPr>
              <w:pStyle w:val="Tablecontent"/>
            </w:pPr>
            <w:r>
              <w:t>Memory to host cache can be written from both the physical DIMM and disk. So the counter LLSWW/s covers all these sources, and not just from physical DIMM.</w:t>
            </w:r>
          </w:p>
        </w:tc>
      </w:tr>
      <w:tr w:rsidR="007A6FCC" w:rsidRPr="00E51A31" w14:paraId="2B7210F5" w14:textId="77777777" w:rsidTr="00281329">
        <w:tc>
          <w:tcPr>
            <w:tcW w:w="1843" w:type="dxa"/>
            <w:shd w:val="clear" w:color="auto" w:fill="F2F2F2" w:themeFill="background1" w:themeFillShade="F2"/>
          </w:tcPr>
          <w:p w14:paraId="342DDD1C" w14:textId="77777777" w:rsidR="007A6FCC" w:rsidRDefault="007A6FCC" w:rsidP="00281329">
            <w:pPr>
              <w:pStyle w:val="Tablecontent"/>
            </w:pPr>
            <w:r w:rsidRPr="000725E3">
              <w:t>LLSWW/s (MB)</w:t>
            </w:r>
          </w:p>
        </w:tc>
        <w:tc>
          <w:tcPr>
            <w:tcW w:w="8647" w:type="dxa"/>
            <w:vMerge/>
          </w:tcPr>
          <w:p w14:paraId="5E883BFC" w14:textId="77777777" w:rsidR="007A6FCC" w:rsidRPr="002510F4" w:rsidRDefault="007A6FCC" w:rsidP="00281329">
            <w:pPr>
              <w:pStyle w:val="Tablecontent"/>
            </w:pPr>
          </w:p>
        </w:tc>
      </w:tr>
    </w:tbl>
    <w:p w14:paraId="068B41C1" w14:textId="77777777" w:rsidR="00515B14" w:rsidRDefault="00515B14" w:rsidP="00515B14">
      <w:pPr>
        <w:pStyle w:val="Heading6"/>
      </w:pPr>
      <w:r>
        <w:t>NUMA</w:t>
      </w:r>
      <w:r w:rsidRPr="008914A1">
        <w:t xml:space="preserve"> </w:t>
      </w:r>
    </w:p>
    <w:p w14:paraId="3A4C5BB7" w14:textId="5AA607E7" w:rsidR="00E81669" w:rsidRPr="00E81669" w:rsidRDefault="00E81669" w:rsidP="00E81669">
      <w:pPr>
        <w:rPr>
          <w:lang w:val="en-GB"/>
        </w:rPr>
      </w:pPr>
      <w:r>
        <w:t>Logically, this statistic is applicable only on NUMA systems.</w:t>
      </w:r>
    </w:p>
    <w:p w14:paraId="15D9596E" w14:textId="77777777" w:rsidR="00515B14" w:rsidRDefault="00515B14" w:rsidP="00515B14">
      <w:r>
        <w:rPr>
          <w:noProof/>
        </w:rPr>
        <w:drawing>
          <wp:inline distT="0" distB="0" distL="0" distR="0" wp14:anchorId="488E986D" wp14:editId="217A62CB">
            <wp:extent cx="6637655" cy="846455"/>
            <wp:effectExtent l="0" t="0" r="0" b="0"/>
            <wp:docPr id="567723338" name="Picture 56772333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37" name="Picture 918289637" descr="A screenshot of a computer&#10;&#10;Description automatically generated with medium confidence"/>
                    <pic:cNvPicPr>
                      <a:picLocks noChangeAspect="1" noChangeArrowheads="1"/>
                    </pic:cNvPicPr>
                  </pic:nvPicPr>
                  <pic:blipFill>
                    <a:blip r:embed="rId838">
                      <a:extLst>
                        <a:ext uri="{28A0092B-C50C-407E-A947-70E740481C1C}">
                          <a14:useLocalDpi xmlns:a14="http://schemas.microsoft.com/office/drawing/2010/main" val="0"/>
                        </a:ext>
                      </a:extLst>
                    </a:blip>
                    <a:srcRect/>
                    <a:stretch>
                      <a:fillRect/>
                    </a:stretch>
                  </pic:blipFill>
                  <pic:spPr bwMode="auto">
                    <a:xfrm>
                      <a:off x="0" y="0"/>
                      <a:ext cx="6637655" cy="846455"/>
                    </a:xfrm>
                    <a:prstGeom prst="rect">
                      <a:avLst/>
                    </a:prstGeom>
                    <a:noFill/>
                    <a:ln>
                      <a:noFill/>
                    </a:ln>
                  </pic:spPr>
                </pic:pic>
              </a:graphicData>
            </a:graphic>
          </wp:inline>
        </w:drawing>
      </w:r>
    </w:p>
    <w:p w14:paraId="4E48912D" w14:textId="77777777" w:rsidR="00515B14" w:rsidRDefault="00515B14" w:rsidP="00515B14">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515B14" w:rsidRPr="00E51A31" w14:paraId="63A082DD" w14:textId="77777777" w:rsidTr="00281329">
        <w:tc>
          <w:tcPr>
            <w:tcW w:w="1843" w:type="dxa"/>
            <w:shd w:val="clear" w:color="auto" w:fill="F2F2F2" w:themeFill="background1" w:themeFillShade="F2"/>
            <w:vAlign w:val="center"/>
          </w:tcPr>
          <w:p w14:paraId="50F63860" w14:textId="77777777" w:rsidR="00515B14" w:rsidRPr="002510F4" w:rsidRDefault="00515B14" w:rsidP="00281329">
            <w:pPr>
              <w:pStyle w:val="Tablecontent"/>
            </w:pPr>
            <w:r>
              <w:t xml:space="preserve">NHN </w:t>
            </w:r>
          </w:p>
        </w:tc>
        <w:tc>
          <w:tcPr>
            <w:tcW w:w="8647" w:type="dxa"/>
            <w:vAlign w:val="center"/>
          </w:tcPr>
          <w:p w14:paraId="10DD8A3A" w14:textId="2BAC8775" w:rsidR="00515B14" w:rsidRDefault="00E81669" w:rsidP="00281329">
            <w:pPr>
              <w:pStyle w:val="Tablecontent"/>
            </w:pPr>
            <w:r>
              <w:t>The count of NUMA Home Node</w:t>
            </w:r>
            <w:r w:rsidR="00515B14">
              <w:t xml:space="preserve"> for the resource pool or VM. If the VM has no home node, a dash (-) appears. </w:t>
            </w:r>
            <w:r>
              <w:t xml:space="preserve">You want to see If you see the number </w:t>
            </w:r>
            <w:r w:rsidRPr="00E81669">
              <w:rPr>
                <w:color w:val="FF0000"/>
              </w:rPr>
              <w:t>2</w:t>
            </w:r>
            <w:r>
              <w:t>, that means the VM is split into multiple nodes, which could impact performance.</w:t>
            </w:r>
          </w:p>
          <w:p w14:paraId="1E0C9443" w14:textId="61D3559C" w:rsidR="00515B14" w:rsidRPr="002510F4" w:rsidRDefault="00515B14" w:rsidP="00281329">
            <w:pPr>
              <w:pStyle w:val="Tablecontent"/>
            </w:pPr>
            <w:r>
              <w:t>When you enable CPU Hot Add, esxtop will report multiple home node</w:t>
            </w:r>
            <w:r w:rsidR="00E81669">
              <w:t>s as NUMA is disabled</w:t>
            </w:r>
            <w:r>
              <w:t xml:space="preserve">. It also does not distinguish remote and local memory as memory is interleaved. For more information, see </w:t>
            </w:r>
            <w:hyperlink r:id="rId839" w:history="1">
              <w:r w:rsidRPr="00D14595">
                <w:rPr>
                  <w:rStyle w:val="Hyperlink"/>
                </w:rPr>
                <w:t>this</w:t>
              </w:r>
            </w:hyperlink>
            <w:r>
              <w:t xml:space="preserve"> by Frank.</w:t>
            </w:r>
          </w:p>
        </w:tc>
      </w:tr>
      <w:tr w:rsidR="00515B14" w:rsidRPr="00E51A31" w14:paraId="2205287F" w14:textId="77777777" w:rsidTr="00281329">
        <w:tc>
          <w:tcPr>
            <w:tcW w:w="1843" w:type="dxa"/>
            <w:shd w:val="clear" w:color="auto" w:fill="F2F2F2" w:themeFill="background1" w:themeFillShade="F2"/>
            <w:vAlign w:val="center"/>
          </w:tcPr>
          <w:p w14:paraId="1FC93ECA" w14:textId="77777777" w:rsidR="00515B14" w:rsidRDefault="00515B14" w:rsidP="00281329">
            <w:pPr>
              <w:pStyle w:val="Tablecontent"/>
            </w:pPr>
            <w:r>
              <w:t>NMIG</w:t>
            </w:r>
          </w:p>
        </w:tc>
        <w:tc>
          <w:tcPr>
            <w:tcW w:w="8647" w:type="dxa"/>
            <w:vAlign w:val="center"/>
          </w:tcPr>
          <w:p w14:paraId="067A9172" w14:textId="7BD70183" w:rsidR="00515B14" w:rsidRDefault="00515B14" w:rsidP="00281329">
            <w:pPr>
              <w:pStyle w:val="Tablecontent"/>
            </w:pPr>
            <w:r w:rsidRPr="00040488">
              <w:t>Number of NUMA migrations</w:t>
            </w:r>
            <w:r>
              <w:t xml:space="preserve">. It gets reset upon </w:t>
            </w:r>
            <w:r w:rsidR="00E81669">
              <w:t xml:space="preserve">VM </w:t>
            </w:r>
            <w:r>
              <w:t>power cycle</w:t>
            </w:r>
            <w:r w:rsidR="00734ED6">
              <w:t xml:space="preserve">, meaning this counter is accumulative. Be careful as you could be looking at past data. Use Log Insight to plot the event over time. </w:t>
            </w:r>
          </w:p>
          <w:p w14:paraId="272A6F86" w14:textId="7E179E3A" w:rsidR="00515B14" w:rsidRDefault="00515B14" w:rsidP="00281329">
            <w:pPr>
              <w:pStyle w:val="Tablecontent"/>
            </w:pPr>
            <w:r>
              <w:t>Migration is costly as all pages need to be remapped. Local memory starts at 0% again and grow overtime. Copying memory pages across NUMA boundaries cost memory bandwidth</w:t>
            </w:r>
            <w:r w:rsidR="00451178">
              <w:t>.</w:t>
            </w:r>
          </w:p>
        </w:tc>
      </w:tr>
      <w:tr w:rsidR="00515B14" w:rsidRPr="00E51A31" w14:paraId="0A85C77A" w14:textId="77777777" w:rsidTr="00281329">
        <w:tc>
          <w:tcPr>
            <w:tcW w:w="1843" w:type="dxa"/>
            <w:shd w:val="clear" w:color="auto" w:fill="F2F2F2" w:themeFill="background1" w:themeFillShade="F2"/>
            <w:vAlign w:val="center"/>
          </w:tcPr>
          <w:p w14:paraId="3AEF482F" w14:textId="77777777" w:rsidR="00515B14" w:rsidRPr="002510F4" w:rsidRDefault="00515B14" w:rsidP="00281329">
            <w:pPr>
              <w:pStyle w:val="Tablecontent"/>
            </w:pPr>
            <w:r>
              <w:t xml:space="preserve">NRMEM (MB) </w:t>
            </w:r>
          </w:p>
        </w:tc>
        <w:tc>
          <w:tcPr>
            <w:tcW w:w="8647" w:type="dxa"/>
            <w:vAlign w:val="center"/>
          </w:tcPr>
          <w:p w14:paraId="6AA323E1" w14:textId="74A070EC" w:rsidR="00E81669" w:rsidRDefault="00515B14" w:rsidP="00281329">
            <w:pPr>
              <w:pStyle w:val="Tablecontent"/>
            </w:pPr>
            <w:r>
              <w:t>Current amount of remote memory allocated to the VM or resource pool. I</w:t>
            </w:r>
            <w:r w:rsidRPr="003D016E">
              <w:t>deally this amount is 0</w:t>
            </w:r>
            <w:r w:rsidR="00734ED6">
              <w:t xml:space="preserve"> or a tiny percentage.</w:t>
            </w:r>
          </w:p>
          <w:p w14:paraId="08B107D2" w14:textId="7B0DB881" w:rsidR="00515B14" w:rsidRPr="002510F4" w:rsidRDefault="00515B14" w:rsidP="00281329">
            <w:pPr>
              <w:pStyle w:val="Tablecontent"/>
            </w:pPr>
            <w:r w:rsidRPr="003D016E">
              <w:lastRenderedPageBreak/>
              <w:t xml:space="preserve">You </w:t>
            </w:r>
            <w:r w:rsidR="00E81669">
              <w:t>de</w:t>
            </w:r>
            <w:r w:rsidRPr="003D016E">
              <w:t xml:space="preserve">crease the chance by </w:t>
            </w:r>
            <w:r w:rsidR="00E81669">
              <w:t xml:space="preserve">decreasing </w:t>
            </w:r>
            <w:r w:rsidRPr="003D016E">
              <w:t xml:space="preserve">the </w:t>
            </w:r>
            <w:r w:rsidR="00E81669">
              <w:t>VM c</w:t>
            </w:r>
            <w:r w:rsidRPr="003D016E">
              <w:t>onfigured RAM</w:t>
            </w:r>
            <w:r w:rsidR="00E81669">
              <w:t xml:space="preserve">. </w:t>
            </w:r>
            <w:r w:rsidRPr="003D016E">
              <w:t xml:space="preserve">A VM whose configured memory is larger than the ESXi RAM attached to a </w:t>
            </w:r>
            <w:r w:rsidR="00E81669">
              <w:t xml:space="preserve">single CPU </w:t>
            </w:r>
            <w:r w:rsidRPr="003D016E">
              <w:t>socket have higher chance of having remote memory.</w:t>
            </w:r>
          </w:p>
        </w:tc>
      </w:tr>
      <w:tr w:rsidR="00515B14" w:rsidRPr="00E51A31" w14:paraId="64A2FBFF" w14:textId="77777777" w:rsidTr="00281329">
        <w:tc>
          <w:tcPr>
            <w:tcW w:w="1843" w:type="dxa"/>
            <w:shd w:val="clear" w:color="auto" w:fill="F2F2F2" w:themeFill="background1" w:themeFillShade="F2"/>
            <w:vAlign w:val="center"/>
          </w:tcPr>
          <w:p w14:paraId="49425209" w14:textId="77777777" w:rsidR="00515B14" w:rsidRPr="002510F4" w:rsidRDefault="00515B14" w:rsidP="00281329">
            <w:pPr>
              <w:pStyle w:val="Tablecontent"/>
            </w:pPr>
            <w:r>
              <w:lastRenderedPageBreak/>
              <w:t xml:space="preserve">N%L </w:t>
            </w:r>
          </w:p>
        </w:tc>
        <w:tc>
          <w:tcPr>
            <w:tcW w:w="8647" w:type="dxa"/>
            <w:vAlign w:val="center"/>
          </w:tcPr>
          <w:p w14:paraId="1051FE63" w14:textId="77777777" w:rsidR="00515B14" w:rsidRDefault="00515B14" w:rsidP="00281329">
            <w:pPr>
              <w:pStyle w:val="Tablecontent"/>
            </w:pPr>
            <w:r>
              <w:t xml:space="preserve">Current percentage of memory allocated to the VM or resource pool that is local. </w:t>
            </w:r>
          </w:p>
          <w:p w14:paraId="3498CAA5" w14:textId="77777777" w:rsidR="00515B14" w:rsidRPr="002510F4" w:rsidRDefault="00515B14" w:rsidP="00281329">
            <w:pPr>
              <w:pStyle w:val="Tablecontent"/>
            </w:pPr>
            <w:r>
              <w:t>Anything less than 100% is not ideal.</w:t>
            </w:r>
          </w:p>
        </w:tc>
      </w:tr>
      <w:tr w:rsidR="00515B14" w:rsidRPr="00E51A31" w14:paraId="5D68429B" w14:textId="77777777" w:rsidTr="00281329">
        <w:tc>
          <w:tcPr>
            <w:tcW w:w="1843" w:type="dxa"/>
            <w:shd w:val="clear" w:color="auto" w:fill="F2F2F2" w:themeFill="background1" w:themeFillShade="F2"/>
            <w:vAlign w:val="center"/>
          </w:tcPr>
          <w:p w14:paraId="5BAA6098" w14:textId="77777777" w:rsidR="00515B14" w:rsidRPr="002510F4" w:rsidRDefault="00515B14" w:rsidP="00281329">
            <w:pPr>
              <w:pStyle w:val="Tablecontent"/>
            </w:pPr>
            <w:r>
              <w:t>GST_ND</w:t>
            </w:r>
            <w:r w:rsidRPr="00E81669">
              <w:rPr>
                <w:color w:val="00B0F0"/>
              </w:rPr>
              <w:t>x</w:t>
            </w:r>
            <w:r>
              <w:t xml:space="preserve"> (MB) </w:t>
            </w:r>
          </w:p>
        </w:tc>
        <w:tc>
          <w:tcPr>
            <w:tcW w:w="8647" w:type="dxa"/>
            <w:vAlign w:val="center"/>
          </w:tcPr>
          <w:p w14:paraId="324883D5" w14:textId="4CFB97EB" w:rsidR="00515B14" w:rsidRDefault="00515B14" w:rsidP="00281329">
            <w:pPr>
              <w:pStyle w:val="Tablecontent"/>
            </w:pPr>
            <w:r>
              <w:t xml:space="preserve">Guest memory allocated for a resource pool on NUMA node </w:t>
            </w:r>
            <w:r w:rsidRPr="00E81669">
              <w:rPr>
                <w:color w:val="00B0F0"/>
              </w:rPr>
              <w:t>x</w:t>
            </w:r>
            <w:r>
              <w:t xml:space="preserve">, where GST_ND0 means the first node. The following screenshot shows the </w:t>
            </w:r>
            <w:r w:rsidRPr="00526DA4">
              <w:rPr>
                <w:color w:val="00B0F0"/>
              </w:rPr>
              <w:t xml:space="preserve">VMware vCenter </w:t>
            </w:r>
            <w:r>
              <w:t xml:space="preserve">VM runs on node 2 while the </w:t>
            </w:r>
            <w:r w:rsidRPr="00526DA4">
              <w:rPr>
                <w:color w:val="00B0F0"/>
              </w:rPr>
              <w:t xml:space="preserve">vRealize-Operat </w:t>
            </w:r>
            <w:r>
              <w:t>VM runs on node 1</w:t>
            </w:r>
            <w:r w:rsidR="00E81669">
              <w:t>.</w:t>
            </w:r>
          </w:p>
          <w:p w14:paraId="22F64957" w14:textId="77777777" w:rsidR="00515B14" w:rsidRPr="002510F4" w:rsidRDefault="00515B14" w:rsidP="00281329">
            <w:pPr>
              <w:pStyle w:val="Tablecontent"/>
            </w:pPr>
            <w:r>
              <w:object w:dxaOrig="6030" w:dyaOrig="1860" w14:anchorId="7EEA88B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2.75pt;height:81.25pt" o:ole="">
                  <v:imagedata r:id="rId840" o:title=""/>
                </v:shape>
                <o:OLEObject Type="Embed" ProgID="PBrush" ShapeID="_x0000_i1025" DrawAspect="Content" ObjectID="_1754070031" r:id="rId841"/>
              </w:object>
            </w:r>
          </w:p>
        </w:tc>
      </w:tr>
      <w:tr w:rsidR="00515B14" w:rsidRPr="00E51A31" w14:paraId="273C1F6E" w14:textId="77777777" w:rsidTr="00281329">
        <w:tc>
          <w:tcPr>
            <w:tcW w:w="1843" w:type="dxa"/>
            <w:shd w:val="clear" w:color="auto" w:fill="F2F2F2" w:themeFill="background1" w:themeFillShade="F2"/>
            <w:vAlign w:val="center"/>
          </w:tcPr>
          <w:p w14:paraId="03D01066" w14:textId="77777777" w:rsidR="00515B14" w:rsidRPr="002510F4" w:rsidRDefault="00515B14" w:rsidP="00281329">
            <w:pPr>
              <w:pStyle w:val="Tablecontent"/>
            </w:pPr>
            <w:r>
              <w:t>OVD_ND</w:t>
            </w:r>
            <w:r w:rsidRPr="00E81669">
              <w:rPr>
                <w:color w:val="00B0F0"/>
              </w:rPr>
              <w:t>x</w:t>
            </w:r>
            <w:r>
              <w:t xml:space="preserve"> (MB) </w:t>
            </w:r>
          </w:p>
        </w:tc>
        <w:tc>
          <w:tcPr>
            <w:tcW w:w="8647" w:type="dxa"/>
            <w:vAlign w:val="center"/>
          </w:tcPr>
          <w:p w14:paraId="6011D598" w14:textId="77777777" w:rsidR="00515B14" w:rsidRPr="002510F4" w:rsidRDefault="00515B14" w:rsidP="00281329">
            <w:pPr>
              <w:pStyle w:val="Tablecontent"/>
            </w:pPr>
            <w:r>
              <w:t xml:space="preserve">VMM overhead memory allocated for a resource pool on NUMA node x, where x starts with 0 for the first node. </w:t>
            </w:r>
          </w:p>
        </w:tc>
      </w:tr>
    </w:tbl>
    <w:p w14:paraId="52015BBF" w14:textId="4A5601EE" w:rsidR="007A6FCC" w:rsidRDefault="001939D4" w:rsidP="007A6FCC">
      <w:pPr>
        <w:pStyle w:val="Heading5"/>
      </w:pPr>
      <w:r>
        <w:t>Consumption</w:t>
      </w:r>
    </w:p>
    <w:p w14:paraId="209B7261" w14:textId="77777777" w:rsidR="001939D4" w:rsidRPr="00D62AAF" w:rsidRDefault="001939D4" w:rsidP="001939D4">
      <w:pPr>
        <w:rPr>
          <w:lang w:val="en-GB"/>
        </w:rPr>
      </w:pPr>
      <w:r>
        <w:rPr>
          <w:lang w:val="en-GB"/>
        </w:rPr>
        <w:t>I group metrics such as consumed, granted, and overhead under utilization as they measure how much the VM or VMkernel module consumes.</w:t>
      </w:r>
    </w:p>
    <w:p w14:paraId="6BDCEDE6" w14:textId="77777777" w:rsidR="007A6FCC" w:rsidRDefault="007A6FCC" w:rsidP="007A6FCC">
      <w:pPr>
        <w:pStyle w:val="Heading6"/>
      </w:pPr>
      <w:r>
        <w:t>Consumed</w:t>
      </w:r>
    </w:p>
    <w:p w14:paraId="159F9209" w14:textId="77777777" w:rsidR="007A6FCC" w:rsidRPr="000064EF" w:rsidRDefault="007A6FCC" w:rsidP="007A6FCC">
      <w:pPr>
        <w:rPr>
          <w:lang w:val="en-GB"/>
        </w:rPr>
      </w:pPr>
      <w:r>
        <w:rPr>
          <w:lang w:val="en-GB"/>
        </w:rPr>
        <w:t xml:space="preserve">What are the use cases where you actually need these metrics? I think it’s quite rare. Review this </w:t>
      </w:r>
      <w:hyperlink w:anchor="_Rightsizing" w:history="1">
        <w:r w:rsidRPr="000064EF">
          <w:rPr>
            <w:rStyle w:val="Hyperlink"/>
            <w:lang w:val="en-GB"/>
          </w:rPr>
          <w:t>rightsizing</w:t>
        </w:r>
      </w:hyperlink>
      <w:r>
        <w:rPr>
          <w:lang w:val="en-GB"/>
        </w:rPr>
        <w:t xml:space="preserve"> and </w:t>
      </w:r>
      <w:hyperlink w:anchor="_Reclamation" w:history="1">
        <w:r w:rsidRPr="000064EF">
          <w:rPr>
            <w:rStyle w:val="Hyperlink"/>
            <w:lang w:val="en-GB"/>
          </w:rPr>
          <w:t>reclamation</w:t>
        </w:r>
      </w:hyperlink>
      <w:r>
        <w:rPr>
          <w:lang w:val="en-GB"/>
        </w:rPr>
        <w:t xml:space="preserve">, as the answers might surprise you </w:t>
      </w:r>
      <w:r w:rsidRPr="000064EF">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9"/>
          </mc:Choice>
          <mc:Fallback>
            <w:t>😉</w:t>
          </mc:Fallback>
        </mc:AlternateContent>
      </w:r>
      <w:r>
        <w:rPr>
          <w:lang w:val="en-GB"/>
        </w:rPr>
        <w:t xml:space="preserve"> </w:t>
      </w:r>
    </w:p>
    <w:p w14:paraId="25B211F4" w14:textId="77777777" w:rsidR="007A6FCC" w:rsidRDefault="007A6FCC" w:rsidP="007A6FCC">
      <w:pPr>
        <w:jc w:val="center"/>
      </w:pPr>
      <w:r w:rsidRPr="00161428">
        <w:rPr>
          <w:noProof/>
        </w:rPr>
        <w:drawing>
          <wp:inline distT="0" distB="0" distL="0" distR="0" wp14:anchorId="2182B302" wp14:editId="2E1A0B40">
            <wp:extent cx="4874400" cy="961200"/>
            <wp:effectExtent l="0" t="0" r="2540" b="0"/>
            <wp:docPr id="567723333" name="Picture 567723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2"/>
                    <a:stretch>
                      <a:fillRect/>
                    </a:stretch>
                  </pic:blipFill>
                  <pic:spPr>
                    <a:xfrm>
                      <a:off x="0" y="0"/>
                      <a:ext cx="4874400" cy="961200"/>
                    </a:xfrm>
                    <a:prstGeom prst="rect">
                      <a:avLst/>
                    </a:prstGeom>
                  </pic:spPr>
                </pic:pic>
              </a:graphicData>
            </a:graphic>
          </wp:inline>
        </w:drawing>
      </w:r>
    </w:p>
    <w:p w14:paraId="3B677756"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67308DD1" w14:textId="77777777" w:rsidTr="00281329">
        <w:tc>
          <w:tcPr>
            <w:tcW w:w="1843" w:type="dxa"/>
            <w:shd w:val="clear" w:color="auto" w:fill="F2F2F2" w:themeFill="background1" w:themeFillShade="F2"/>
            <w:vAlign w:val="center"/>
          </w:tcPr>
          <w:p w14:paraId="0B59F2D7" w14:textId="77777777" w:rsidR="007A6FCC" w:rsidRPr="002510F4" w:rsidRDefault="007A6FCC" w:rsidP="00281329">
            <w:pPr>
              <w:pStyle w:val="Tablecontent"/>
            </w:pPr>
            <w:r>
              <w:t xml:space="preserve">MEMSZ (MB) </w:t>
            </w:r>
          </w:p>
        </w:tc>
        <w:tc>
          <w:tcPr>
            <w:tcW w:w="8647" w:type="dxa"/>
            <w:vAlign w:val="center"/>
          </w:tcPr>
          <w:p w14:paraId="14C5D85B" w14:textId="77777777" w:rsidR="007A6FCC" w:rsidRDefault="007A6FCC" w:rsidP="00281329">
            <w:pPr>
              <w:pStyle w:val="Tablecontent"/>
            </w:pPr>
            <w:r>
              <w:t xml:space="preserve">Amount of physical memory allocated to a resource pool or VM. The values are the same for the VMM and VMX groups. </w:t>
            </w:r>
          </w:p>
          <w:p w14:paraId="0509E205" w14:textId="77777777" w:rsidR="007A6FCC" w:rsidRPr="002510F4" w:rsidRDefault="007A6FCC" w:rsidP="00281329">
            <w:pPr>
              <w:pStyle w:val="Tablecontent"/>
            </w:pPr>
            <w:r>
              <w:t xml:space="preserve">MEMSZ = GRANT + MCTLSZ + SWCUR + "never touched" </w:t>
            </w:r>
          </w:p>
        </w:tc>
      </w:tr>
      <w:tr w:rsidR="007A6FCC" w:rsidRPr="00E51A31" w14:paraId="5869C77C" w14:textId="77777777" w:rsidTr="00281329">
        <w:tc>
          <w:tcPr>
            <w:tcW w:w="1843" w:type="dxa"/>
            <w:shd w:val="clear" w:color="auto" w:fill="F2F2F2" w:themeFill="background1" w:themeFillShade="F2"/>
            <w:vAlign w:val="center"/>
          </w:tcPr>
          <w:p w14:paraId="4CBD6703" w14:textId="77777777" w:rsidR="007A6FCC" w:rsidRPr="002510F4" w:rsidRDefault="007A6FCC" w:rsidP="00281329">
            <w:pPr>
              <w:pStyle w:val="Tablecontent"/>
            </w:pPr>
            <w:r>
              <w:t xml:space="preserve">GRANT (MB) </w:t>
            </w:r>
          </w:p>
        </w:tc>
        <w:tc>
          <w:tcPr>
            <w:tcW w:w="8647" w:type="dxa"/>
            <w:vAlign w:val="center"/>
          </w:tcPr>
          <w:p w14:paraId="1925C0FF" w14:textId="77777777" w:rsidR="007A6FCC" w:rsidRPr="002510F4" w:rsidRDefault="007A6FCC" w:rsidP="00281329">
            <w:pPr>
              <w:pStyle w:val="Tablecontent"/>
            </w:pPr>
            <w:r>
              <w:t xml:space="preserve">Granted is covered </w:t>
            </w:r>
            <w:hyperlink w:anchor="_Granted" w:history="1">
              <w:r w:rsidRPr="000420F4">
                <w:rPr>
                  <w:rStyle w:val="Hyperlink"/>
                </w:rPr>
                <w:t>here</w:t>
              </w:r>
            </w:hyperlink>
            <w:r>
              <w:t>. Do not confuse it with Consumed.</w:t>
            </w:r>
          </w:p>
        </w:tc>
      </w:tr>
      <w:tr w:rsidR="007A6FCC" w:rsidRPr="00E51A31" w14:paraId="3BE605BA" w14:textId="77777777" w:rsidTr="00281329">
        <w:tc>
          <w:tcPr>
            <w:tcW w:w="1843" w:type="dxa"/>
            <w:shd w:val="clear" w:color="auto" w:fill="F2F2F2" w:themeFill="background1" w:themeFillShade="F2"/>
            <w:vAlign w:val="center"/>
          </w:tcPr>
          <w:p w14:paraId="6D16B982" w14:textId="77777777" w:rsidR="007A6FCC" w:rsidRPr="002510F4" w:rsidRDefault="007A6FCC" w:rsidP="00281329">
            <w:pPr>
              <w:pStyle w:val="Tablecontent"/>
            </w:pPr>
            <w:r>
              <w:t xml:space="preserve">CNSM </w:t>
            </w:r>
          </w:p>
        </w:tc>
        <w:tc>
          <w:tcPr>
            <w:tcW w:w="8647" w:type="dxa"/>
            <w:vAlign w:val="center"/>
          </w:tcPr>
          <w:p w14:paraId="1BD7ABC9" w14:textId="77777777" w:rsidR="007A6FCC" w:rsidRPr="002510F4" w:rsidRDefault="007A6FCC" w:rsidP="00281329">
            <w:pPr>
              <w:pStyle w:val="Tablecontent"/>
            </w:pPr>
            <w:r>
              <w:t xml:space="preserve">Yup, this is that legendary </w:t>
            </w:r>
            <w:hyperlink w:anchor="_Consumed" w:history="1">
              <w:r w:rsidRPr="000420F4">
                <w:rPr>
                  <w:rStyle w:val="Hyperlink"/>
                </w:rPr>
                <w:t>Consumed</w:t>
              </w:r>
            </w:hyperlink>
            <w:r>
              <w:t xml:space="preserve"> metric.</w:t>
            </w:r>
          </w:p>
        </w:tc>
      </w:tr>
      <w:tr w:rsidR="007A6FCC" w:rsidRPr="00E51A31" w14:paraId="603BCD03" w14:textId="77777777" w:rsidTr="00281329">
        <w:tc>
          <w:tcPr>
            <w:tcW w:w="1843" w:type="dxa"/>
            <w:shd w:val="clear" w:color="auto" w:fill="F2F2F2" w:themeFill="background1" w:themeFillShade="F2"/>
            <w:vAlign w:val="center"/>
          </w:tcPr>
          <w:p w14:paraId="027683E5" w14:textId="77777777" w:rsidR="007A6FCC" w:rsidRPr="002510F4" w:rsidRDefault="007A6FCC" w:rsidP="00281329">
            <w:pPr>
              <w:pStyle w:val="Tablecontent"/>
            </w:pPr>
            <w:r>
              <w:t xml:space="preserve">SZTGT (MB) </w:t>
            </w:r>
          </w:p>
        </w:tc>
        <w:tc>
          <w:tcPr>
            <w:tcW w:w="8647" w:type="dxa"/>
            <w:vAlign w:val="center"/>
          </w:tcPr>
          <w:p w14:paraId="17AE9B12" w14:textId="77777777" w:rsidR="007A6FCC" w:rsidRDefault="007A6FCC" w:rsidP="00281329">
            <w:pPr>
              <w:pStyle w:val="Tablecontent"/>
            </w:pPr>
            <w:r>
              <w:t>Size Target in MB.</w:t>
            </w:r>
          </w:p>
          <w:p w14:paraId="207FC1D5" w14:textId="77777777" w:rsidR="007A6FCC" w:rsidRPr="002510F4" w:rsidRDefault="007A6FCC" w:rsidP="00281329">
            <w:pPr>
              <w:pStyle w:val="Tablecontent"/>
            </w:pPr>
            <w:r>
              <w:t xml:space="preserve">Amount of machine memory the </w:t>
            </w:r>
            <w:r>
              <w:rPr>
                <w:rStyle w:val="ph"/>
              </w:rPr>
              <w:t>ESXi</w:t>
            </w:r>
            <w:r>
              <w:t xml:space="preserve"> VMkernel wants to allocate to a resource pool or VM. The values are the same for the VMM and VMX groups. </w:t>
            </w:r>
          </w:p>
        </w:tc>
      </w:tr>
      <w:tr w:rsidR="007A6FCC" w:rsidRPr="00E51A31" w14:paraId="187430BC" w14:textId="77777777" w:rsidTr="00281329">
        <w:tc>
          <w:tcPr>
            <w:tcW w:w="1843" w:type="dxa"/>
            <w:shd w:val="clear" w:color="auto" w:fill="F2F2F2" w:themeFill="background1" w:themeFillShade="F2"/>
            <w:vAlign w:val="center"/>
          </w:tcPr>
          <w:p w14:paraId="7134D49D" w14:textId="77777777" w:rsidR="007A6FCC" w:rsidRPr="002510F4" w:rsidRDefault="007A6FCC" w:rsidP="00281329">
            <w:pPr>
              <w:pStyle w:val="Tablecontent"/>
            </w:pPr>
            <w:r>
              <w:t xml:space="preserve">TCHD (MB) </w:t>
            </w:r>
          </w:p>
        </w:tc>
        <w:tc>
          <w:tcPr>
            <w:tcW w:w="8647" w:type="dxa"/>
            <w:vAlign w:val="center"/>
          </w:tcPr>
          <w:p w14:paraId="12CD73CA" w14:textId="22C3AEAF" w:rsidR="007A6FCC" w:rsidRDefault="007A6FCC" w:rsidP="00281329">
            <w:pPr>
              <w:pStyle w:val="Tablecontent"/>
            </w:pPr>
            <w:r>
              <w:t xml:space="preserve">Amount of </w:t>
            </w:r>
            <w:r w:rsidR="00714B45">
              <w:t>t</w:t>
            </w:r>
            <w:r>
              <w:t>ouched pages in MB</w:t>
            </w:r>
          </w:p>
          <w:p w14:paraId="6EDFBD75" w14:textId="77777777" w:rsidR="007A6FCC" w:rsidRPr="002510F4" w:rsidRDefault="007A6FCC" w:rsidP="00281329">
            <w:pPr>
              <w:pStyle w:val="Tablecontent"/>
            </w:pPr>
            <w:r>
              <w:lastRenderedPageBreak/>
              <w:t xml:space="preserve">Working set estimate for the resource pool or VM. The values are the same for the VMM and VMX groups. </w:t>
            </w:r>
          </w:p>
        </w:tc>
      </w:tr>
      <w:tr w:rsidR="007A6FCC" w:rsidRPr="00E51A31" w14:paraId="3D235D48" w14:textId="77777777" w:rsidTr="00281329">
        <w:tc>
          <w:tcPr>
            <w:tcW w:w="1843" w:type="dxa"/>
            <w:shd w:val="clear" w:color="auto" w:fill="F2F2F2" w:themeFill="background1" w:themeFillShade="F2"/>
            <w:vAlign w:val="center"/>
          </w:tcPr>
          <w:p w14:paraId="3C7E6042" w14:textId="77777777" w:rsidR="007A6FCC" w:rsidRDefault="007A6FCC" w:rsidP="00281329">
            <w:pPr>
              <w:pStyle w:val="Tablecontent"/>
            </w:pPr>
            <w:r>
              <w:lastRenderedPageBreak/>
              <w:t>TCHD_W</w:t>
            </w:r>
          </w:p>
        </w:tc>
        <w:tc>
          <w:tcPr>
            <w:tcW w:w="8647" w:type="dxa"/>
            <w:vAlign w:val="center"/>
          </w:tcPr>
          <w:p w14:paraId="573F9426" w14:textId="0C9CC6DE" w:rsidR="007A6FCC" w:rsidRDefault="00861111" w:rsidP="00281329">
            <w:pPr>
              <w:pStyle w:val="Tablecontent"/>
            </w:pPr>
            <w:r>
              <w:t>As per above, but only for the write operations. A relatively much lower value compared to TCHD means the activities are mostly read.</w:t>
            </w:r>
          </w:p>
        </w:tc>
      </w:tr>
    </w:tbl>
    <w:p w14:paraId="10BE6714" w14:textId="77777777" w:rsidR="007A6FCC" w:rsidRDefault="007A6FCC" w:rsidP="007A6FCC">
      <w:pPr>
        <w:pStyle w:val="Heading6"/>
      </w:pPr>
      <w:r>
        <w:t>Overhead</w:t>
      </w:r>
    </w:p>
    <w:p w14:paraId="73852E86" w14:textId="77777777" w:rsidR="007A6FCC" w:rsidRPr="000420F4" w:rsidRDefault="007A6FCC" w:rsidP="007A6FCC">
      <w:pPr>
        <w:rPr>
          <w:lang w:val="en-GB"/>
        </w:rPr>
      </w:pPr>
      <w:r>
        <w:rPr>
          <w:lang w:val="en-GB"/>
        </w:rPr>
        <w:t xml:space="preserve">I find overhead is a small amount that is practically negligible, considering ESXi nowadays sports a large amount of RAM. Let me know the use case where you find otherwise. </w:t>
      </w:r>
    </w:p>
    <w:p w14:paraId="5756B6BA" w14:textId="77777777" w:rsidR="007A6FCC" w:rsidRDefault="007A6FCC" w:rsidP="007A6FCC">
      <w:pPr>
        <w:jc w:val="center"/>
      </w:pPr>
      <w:r w:rsidRPr="00293C55">
        <w:rPr>
          <w:noProof/>
        </w:rPr>
        <w:drawing>
          <wp:inline distT="0" distB="0" distL="0" distR="0" wp14:anchorId="382E6094" wp14:editId="663BEECC">
            <wp:extent cx="3070800" cy="810000"/>
            <wp:effectExtent l="0" t="0" r="0" b="9525"/>
            <wp:docPr id="567723334" name="Picture 567723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3"/>
                    <a:stretch>
                      <a:fillRect/>
                    </a:stretch>
                  </pic:blipFill>
                  <pic:spPr>
                    <a:xfrm>
                      <a:off x="0" y="0"/>
                      <a:ext cx="3070800" cy="810000"/>
                    </a:xfrm>
                    <a:prstGeom prst="rect">
                      <a:avLst/>
                    </a:prstGeom>
                  </pic:spPr>
                </pic:pic>
              </a:graphicData>
            </a:graphic>
          </wp:inline>
        </w:drawing>
      </w:r>
    </w:p>
    <w:p w14:paraId="34ACD4B7"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66A73159" w14:textId="77777777" w:rsidTr="00281329">
        <w:tc>
          <w:tcPr>
            <w:tcW w:w="1843" w:type="dxa"/>
            <w:shd w:val="clear" w:color="auto" w:fill="F2F2F2" w:themeFill="background1" w:themeFillShade="F2"/>
            <w:vAlign w:val="center"/>
          </w:tcPr>
          <w:p w14:paraId="65692D78" w14:textId="77777777" w:rsidR="007A6FCC" w:rsidRPr="002510F4" w:rsidRDefault="007A6FCC" w:rsidP="00281329">
            <w:pPr>
              <w:pStyle w:val="Tablecontent"/>
            </w:pPr>
            <w:r>
              <w:t xml:space="preserve">OVHD (MB) </w:t>
            </w:r>
          </w:p>
        </w:tc>
        <w:tc>
          <w:tcPr>
            <w:tcW w:w="8647" w:type="dxa"/>
            <w:vAlign w:val="center"/>
          </w:tcPr>
          <w:p w14:paraId="0F024F41" w14:textId="77777777" w:rsidR="007A6FCC" w:rsidRPr="002510F4" w:rsidRDefault="007A6FCC" w:rsidP="00281329">
            <w:pPr>
              <w:pStyle w:val="Tablecontent"/>
            </w:pPr>
            <w:r>
              <w:t xml:space="preserve">Current space overhead for resource pool. </w:t>
            </w:r>
          </w:p>
        </w:tc>
      </w:tr>
      <w:tr w:rsidR="007A6FCC" w:rsidRPr="00E51A31" w14:paraId="065B5BF1" w14:textId="77777777" w:rsidTr="00281329">
        <w:tc>
          <w:tcPr>
            <w:tcW w:w="1843" w:type="dxa"/>
            <w:shd w:val="clear" w:color="auto" w:fill="F2F2F2" w:themeFill="background1" w:themeFillShade="F2"/>
            <w:vAlign w:val="center"/>
          </w:tcPr>
          <w:p w14:paraId="371D2123" w14:textId="77777777" w:rsidR="007A6FCC" w:rsidRPr="002510F4" w:rsidRDefault="007A6FCC" w:rsidP="00281329">
            <w:pPr>
              <w:pStyle w:val="Tablecontent"/>
            </w:pPr>
            <w:r>
              <w:t xml:space="preserve">OVHDMAX (MB) </w:t>
            </w:r>
          </w:p>
        </w:tc>
        <w:tc>
          <w:tcPr>
            <w:tcW w:w="8647" w:type="dxa"/>
            <w:vAlign w:val="center"/>
          </w:tcPr>
          <w:p w14:paraId="738D1494" w14:textId="77777777" w:rsidR="007A6FCC" w:rsidRPr="002510F4" w:rsidRDefault="007A6FCC" w:rsidP="00281329">
            <w:pPr>
              <w:pStyle w:val="Tablecontent"/>
            </w:pPr>
            <w:r>
              <w:t xml:space="preserve">Maximum space overhead that might be incurred by resource pool or VM. </w:t>
            </w:r>
          </w:p>
        </w:tc>
      </w:tr>
      <w:tr w:rsidR="007A6FCC" w:rsidRPr="00E51A31" w14:paraId="1B0A83B9" w14:textId="77777777" w:rsidTr="00281329">
        <w:tc>
          <w:tcPr>
            <w:tcW w:w="1843" w:type="dxa"/>
            <w:shd w:val="clear" w:color="auto" w:fill="F2F2F2" w:themeFill="background1" w:themeFillShade="F2"/>
            <w:vAlign w:val="center"/>
          </w:tcPr>
          <w:p w14:paraId="79E2EEDC" w14:textId="77777777" w:rsidR="007A6FCC" w:rsidRPr="002510F4" w:rsidRDefault="007A6FCC" w:rsidP="00281329">
            <w:pPr>
              <w:pStyle w:val="Tablecontent"/>
            </w:pPr>
            <w:r>
              <w:t xml:space="preserve">OVHDUW (MB) </w:t>
            </w:r>
          </w:p>
        </w:tc>
        <w:tc>
          <w:tcPr>
            <w:tcW w:w="8647" w:type="dxa"/>
            <w:vAlign w:val="center"/>
          </w:tcPr>
          <w:p w14:paraId="11F2649D" w14:textId="77777777" w:rsidR="007A6FCC" w:rsidRPr="002510F4" w:rsidRDefault="007A6FCC" w:rsidP="00281329">
            <w:pPr>
              <w:pStyle w:val="Tablecontent"/>
            </w:pPr>
            <w:r>
              <w:t>Current space overhead for a user world. It is intended for VMware use only.</w:t>
            </w:r>
          </w:p>
        </w:tc>
      </w:tr>
    </w:tbl>
    <w:p w14:paraId="7D6C1BE2" w14:textId="77777777" w:rsidR="007A6FCC" w:rsidRDefault="007A6FCC" w:rsidP="007A6FCC">
      <w:pPr>
        <w:pStyle w:val="Heading6"/>
      </w:pPr>
      <w:r>
        <w:t>Shared</w:t>
      </w:r>
    </w:p>
    <w:p w14:paraId="5BC43F09" w14:textId="77777777" w:rsidR="007A6FCC" w:rsidRDefault="007A6FCC" w:rsidP="007A6FCC">
      <w:pPr>
        <w:jc w:val="center"/>
      </w:pPr>
      <w:r w:rsidRPr="00267D66">
        <w:rPr>
          <w:noProof/>
        </w:rPr>
        <w:drawing>
          <wp:inline distT="0" distB="0" distL="0" distR="0" wp14:anchorId="2444EA91" wp14:editId="02E78A15">
            <wp:extent cx="4550400" cy="1065600"/>
            <wp:effectExtent l="0" t="0" r="3175" b="1270"/>
            <wp:docPr id="567723335" name="Picture 567723335"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38" name="Picture 750070338" descr="A screenshot of a computer&#10;&#10;Description automatically generated with medium confidence"/>
                    <pic:cNvPicPr/>
                  </pic:nvPicPr>
                  <pic:blipFill>
                    <a:blip r:embed="rId844"/>
                    <a:stretch>
                      <a:fillRect/>
                    </a:stretch>
                  </pic:blipFill>
                  <pic:spPr>
                    <a:xfrm>
                      <a:off x="0" y="0"/>
                      <a:ext cx="4550400" cy="1065600"/>
                    </a:xfrm>
                    <a:prstGeom prst="rect">
                      <a:avLst/>
                    </a:prstGeom>
                  </pic:spPr>
                </pic:pic>
              </a:graphicData>
            </a:graphic>
          </wp:inline>
        </w:drawing>
      </w:r>
    </w:p>
    <w:p w14:paraId="12B31763"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5E17DDBE" w14:textId="77777777" w:rsidTr="00281329">
        <w:tc>
          <w:tcPr>
            <w:tcW w:w="1843" w:type="dxa"/>
            <w:shd w:val="clear" w:color="auto" w:fill="F2F2F2" w:themeFill="background1" w:themeFillShade="F2"/>
          </w:tcPr>
          <w:p w14:paraId="7B94DFA4" w14:textId="77777777" w:rsidR="007A6FCC" w:rsidRPr="00355333" w:rsidRDefault="007A6FCC" w:rsidP="00281329">
            <w:pPr>
              <w:pStyle w:val="Tablecontent"/>
            </w:pPr>
            <w:r w:rsidRPr="002510F4">
              <w:t>ZERO (MB)</w:t>
            </w:r>
          </w:p>
        </w:tc>
        <w:tc>
          <w:tcPr>
            <w:tcW w:w="8647" w:type="dxa"/>
          </w:tcPr>
          <w:p w14:paraId="19549D01" w14:textId="77777777" w:rsidR="007A6FCC" w:rsidRPr="00355333" w:rsidRDefault="007A6FCC" w:rsidP="00281329">
            <w:pPr>
              <w:pStyle w:val="Tablecontent"/>
            </w:pPr>
            <w:r w:rsidRPr="002510F4">
              <w:t xml:space="preserve">Resource pool or </w:t>
            </w:r>
            <w:r>
              <w:t>VM</w:t>
            </w:r>
            <w:r w:rsidRPr="002510F4">
              <w:t xml:space="preserve"> physical pages that are zeroed.</w:t>
            </w:r>
          </w:p>
        </w:tc>
      </w:tr>
      <w:tr w:rsidR="007A6FCC" w:rsidRPr="00E51A31" w14:paraId="00CC5404" w14:textId="77777777" w:rsidTr="00281329">
        <w:tc>
          <w:tcPr>
            <w:tcW w:w="1843" w:type="dxa"/>
            <w:shd w:val="clear" w:color="auto" w:fill="F2F2F2" w:themeFill="background1" w:themeFillShade="F2"/>
          </w:tcPr>
          <w:p w14:paraId="54A2AC92" w14:textId="77777777" w:rsidR="007A6FCC" w:rsidRPr="00355333" w:rsidRDefault="007A6FCC" w:rsidP="00281329">
            <w:pPr>
              <w:pStyle w:val="Tablecontent"/>
            </w:pPr>
            <w:r w:rsidRPr="002510F4">
              <w:t>SHRD (MB)</w:t>
            </w:r>
          </w:p>
        </w:tc>
        <w:tc>
          <w:tcPr>
            <w:tcW w:w="8647" w:type="dxa"/>
          </w:tcPr>
          <w:p w14:paraId="7FC3421D" w14:textId="77777777" w:rsidR="007A6FCC" w:rsidRPr="00355333" w:rsidRDefault="007A6FCC" w:rsidP="00281329">
            <w:pPr>
              <w:pStyle w:val="Tablecontent"/>
            </w:pPr>
            <w:r w:rsidRPr="002510F4">
              <w:t xml:space="preserve">Resource pool or </w:t>
            </w:r>
            <w:r>
              <w:t>VM</w:t>
            </w:r>
            <w:r w:rsidRPr="002510F4">
              <w:t xml:space="preserve"> physical pages that are shared.</w:t>
            </w:r>
          </w:p>
        </w:tc>
      </w:tr>
      <w:tr w:rsidR="007A6FCC" w:rsidRPr="00E51A31" w14:paraId="40A6E034" w14:textId="77777777" w:rsidTr="00281329">
        <w:tc>
          <w:tcPr>
            <w:tcW w:w="1843" w:type="dxa"/>
            <w:shd w:val="clear" w:color="auto" w:fill="F2F2F2" w:themeFill="background1" w:themeFillShade="F2"/>
          </w:tcPr>
          <w:p w14:paraId="39BFCC22" w14:textId="77777777" w:rsidR="007A6FCC" w:rsidRPr="00355333" w:rsidRDefault="007A6FCC" w:rsidP="00281329">
            <w:pPr>
              <w:pStyle w:val="Tablecontent"/>
            </w:pPr>
            <w:r w:rsidRPr="002510F4">
              <w:t>SHRDSVD (MB)</w:t>
            </w:r>
          </w:p>
        </w:tc>
        <w:tc>
          <w:tcPr>
            <w:tcW w:w="8647" w:type="dxa"/>
          </w:tcPr>
          <w:p w14:paraId="0E07146A" w14:textId="77777777" w:rsidR="007A6FCC" w:rsidRPr="00355333" w:rsidRDefault="007A6FCC" w:rsidP="00281329">
            <w:pPr>
              <w:pStyle w:val="Tablecontent"/>
            </w:pPr>
            <w:r w:rsidRPr="002510F4">
              <w:t xml:space="preserve">Machine pages that are saved because of resource pool or </w:t>
            </w:r>
            <w:r>
              <w:t>VM</w:t>
            </w:r>
            <w:r w:rsidRPr="002510F4">
              <w:t xml:space="preserve"> shared pages</w:t>
            </w:r>
          </w:p>
        </w:tc>
      </w:tr>
      <w:tr w:rsidR="007A6FCC" w:rsidRPr="00E51A31" w14:paraId="002E5E5B" w14:textId="77777777" w:rsidTr="00281329">
        <w:tc>
          <w:tcPr>
            <w:tcW w:w="1843" w:type="dxa"/>
            <w:shd w:val="clear" w:color="auto" w:fill="F2F2F2" w:themeFill="background1" w:themeFillShade="F2"/>
          </w:tcPr>
          <w:p w14:paraId="5CF3FF7C" w14:textId="77777777" w:rsidR="007A6FCC" w:rsidRPr="002510F4" w:rsidRDefault="007A6FCC" w:rsidP="00281329">
            <w:pPr>
              <w:pStyle w:val="Tablecontent"/>
            </w:pPr>
            <w:r w:rsidRPr="00355333">
              <w:t>COWH (MB)</w:t>
            </w:r>
          </w:p>
        </w:tc>
        <w:tc>
          <w:tcPr>
            <w:tcW w:w="8647" w:type="dxa"/>
          </w:tcPr>
          <w:p w14:paraId="179D14A9" w14:textId="77777777" w:rsidR="007A6FCC" w:rsidRPr="002510F4" w:rsidRDefault="007A6FCC" w:rsidP="00281329">
            <w:pPr>
              <w:pStyle w:val="Tablecontent"/>
            </w:pPr>
            <w:r w:rsidRPr="00355333">
              <w:t>Copy on Write Hint. An estimate of the amount of Guest OS pages for TPS purpose.</w:t>
            </w:r>
          </w:p>
        </w:tc>
      </w:tr>
    </w:tbl>
    <w:p w14:paraId="0DE67D10" w14:textId="77777777" w:rsidR="007A6FCC" w:rsidRDefault="007A6FCC" w:rsidP="007A6FCC">
      <w:pPr>
        <w:pStyle w:val="Heading6"/>
      </w:pPr>
      <w:r>
        <w:t>Active</w:t>
      </w:r>
    </w:p>
    <w:p w14:paraId="5E588489" w14:textId="2B72AD13" w:rsidR="007A6FCC" w:rsidRPr="00054429" w:rsidRDefault="007A6FCC" w:rsidP="007A6FCC">
      <w:pPr>
        <w:rPr>
          <w:lang w:val="en-GB"/>
        </w:rPr>
      </w:pPr>
      <w:r>
        <w:rPr>
          <w:lang w:val="en-GB"/>
        </w:rPr>
        <w:t>The manual uses the word Guest to refer to VM. I distinguish between VM and Guest. Guest is an OS, while a VM is just a collection of processes. Guest has its own memory management that is completely invisible to the hypervisor.</w:t>
      </w:r>
    </w:p>
    <w:p w14:paraId="04E16D0C" w14:textId="77777777" w:rsidR="007A6FCC" w:rsidRDefault="007A6FCC" w:rsidP="007A6FCC">
      <w:pPr>
        <w:jc w:val="center"/>
      </w:pPr>
      <w:r w:rsidRPr="00FD3681">
        <w:rPr>
          <w:noProof/>
        </w:rPr>
        <w:drawing>
          <wp:inline distT="0" distB="0" distL="0" distR="0" wp14:anchorId="07A8ED19" wp14:editId="769C84AA">
            <wp:extent cx="3314870" cy="920797"/>
            <wp:effectExtent l="0" t="0" r="0" b="0"/>
            <wp:docPr id="567723336" name="Picture 567723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5"/>
                    <a:stretch>
                      <a:fillRect/>
                    </a:stretch>
                  </pic:blipFill>
                  <pic:spPr>
                    <a:xfrm>
                      <a:off x="0" y="0"/>
                      <a:ext cx="3314870" cy="920797"/>
                    </a:xfrm>
                    <a:prstGeom prst="rect">
                      <a:avLst/>
                    </a:prstGeom>
                  </pic:spPr>
                </pic:pic>
              </a:graphicData>
            </a:graphic>
          </wp:inline>
        </w:drawing>
      </w:r>
    </w:p>
    <w:p w14:paraId="572112EA"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610F27C2" w14:textId="77777777" w:rsidTr="00281329">
        <w:tc>
          <w:tcPr>
            <w:tcW w:w="1843" w:type="dxa"/>
            <w:shd w:val="clear" w:color="auto" w:fill="F2F2F2" w:themeFill="background1" w:themeFillShade="F2"/>
            <w:vAlign w:val="center"/>
          </w:tcPr>
          <w:p w14:paraId="2ADF85A2" w14:textId="77777777" w:rsidR="007A6FCC" w:rsidRPr="002510F4" w:rsidRDefault="007A6FCC" w:rsidP="00281329">
            <w:pPr>
              <w:pStyle w:val="Tablecontent"/>
            </w:pPr>
            <w:r>
              <w:lastRenderedPageBreak/>
              <w:t xml:space="preserve">%ACTV </w:t>
            </w:r>
          </w:p>
        </w:tc>
        <w:tc>
          <w:tcPr>
            <w:tcW w:w="8647" w:type="dxa"/>
            <w:vAlign w:val="center"/>
          </w:tcPr>
          <w:p w14:paraId="5C165D89" w14:textId="77777777" w:rsidR="007A6FCC" w:rsidRPr="002510F4" w:rsidRDefault="007A6FCC" w:rsidP="00281329">
            <w:pPr>
              <w:pStyle w:val="Tablecontent"/>
            </w:pPr>
            <w:r>
              <w:t xml:space="preserve">Active is covered in-depth </w:t>
            </w:r>
            <w:hyperlink w:anchor="_Active" w:history="1">
              <w:r w:rsidRPr="00882020">
                <w:rPr>
                  <w:rStyle w:val="Hyperlink"/>
                </w:rPr>
                <w:t>here</w:t>
              </w:r>
            </w:hyperlink>
            <w:r>
              <w:t>.</w:t>
            </w:r>
          </w:p>
        </w:tc>
      </w:tr>
      <w:tr w:rsidR="007A6FCC" w:rsidRPr="00E51A31" w14:paraId="2E8B08FC" w14:textId="77777777" w:rsidTr="00281329">
        <w:tc>
          <w:tcPr>
            <w:tcW w:w="1843" w:type="dxa"/>
            <w:shd w:val="clear" w:color="auto" w:fill="F2F2F2" w:themeFill="background1" w:themeFillShade="F2"/>
            <w:vAlign w:val="center"/>
          </w:tcPr>
          <w:p w14:paraId="1D753943" w14:textId="77777777" w:rsidR="007A6FCC" w:rsidRPr="002510F4" w:rsidRDefault="007A6FCC" w:rsidP="00281329">
            <w:pPr>
              <w:pStyle w:val="Tablecontent"/>
            </w:pPr>
            <w:r>
              <w:t xml:space="preserve">%ACTVS </w:t>
            </w:r>
          </w:p>
        </w:tc>
        <w:tc>
          <w:tcPr>
            <w:tcW w:w="8647" w:type="dxa"/>
            <w:vMerge w:val="restart"/>
            <w:vAlign w:val="center"/>
          </w:tcPr>
          <w:p w14:paraId="35227584" w14:textId="77777777" w:rsidR="007A6FCC" w:rsidRDefault="007A6FCC" w:rsidP="00281329">
            <w:pPr>
              <w:pStyle w:val="Tablecontent"/>
            </w:pPr>
            <w:r>
              <w:t>Percentage Active Slow and Percentage Active Fast.</w:t>
            </w:r>
          </w:p>
          <w:p w14:paraId="060308F2" w14:textId="77777777" w:rsidR="007A6FCC" w:rsidRPr="002510F4" w:rsidRDefault="007A6FCC" w:rsidP="00281329">
            <w:pPr>
              <w:pStyle w:val="Tablecontent"/>
            </w:pPr>
            <w:r>
              <w:t>Slow is the slow moving average, taking longer period. Longer is more accurate.</w:t>
            </w:r>
          </w:p>
          <w:p w14:paraId="3D7AE409" w14:textId="77777777" w:rsidR="007A6FCC" w:rsidRPr="002510F4" w:rsidRDefault="007A6FCC" w:rsidP="00281329">
            <w:pPr>
              <w:pStyle w:val="Tablecontent"/>
            </w:pPr>
            <w:r>
              <w:t xml:space="preserve">I don’t have a use case for the fast moving average. </w:t>
            </w:r>
          </w:p>
        </w:tc>
      </w:tr>
      <w:tr w:rsidR="007A6FCC" w:rsidRPr="00E51A31" w14:paraId="5AFA1437" w14:textId="77777777" w:rsidTr="00281329">
        <w:tc>
          <w:tcPr>
            <w:tcW w:w="1843" w:type="dxa"/>
            <w:shd w:val="clear" w:color="auto" w:fill="F2F2F2" w:themeFill="background1" w:themeFillShade="F2"/>
            <w:vAlign w:val="center"/>
          </w:tcPr>
          <w:p w14:paraId="26E46B9D" w14:textId="77777777" w:rsidR="007A6FCC" w:rsidRPr="002510F4" w:rsidRDefault="007A6FCC" w:rsidP="00281329">
            <w:pPr>
              <w:pStyle w:val="Tablecontent"/>
            </w:pPr>
            <w:r>
              <w:t xml:space="preserve">%ACTVF </w:t>
            </w:r>
          </w:p>
        </w:tc>
        <w:tc>
          <w:tcPr>
            <w:tcW w:w="8647" w:type="dxa"/>
            <w:vMerge/>
            <w:vAlign w:val="center"/>
          </w:tcPr>
          <w:p w14:paraId="24012520" w14:textId="77777777" w:rsidR="007A6FCC" w:rsidRPr="002510F4" w:rsidRDefault="007A6FCC" w:rsidP="00281329">
            <w:pPr>
              <w:pStyle w:val="Tablecontent"/>
            </w:pPr>
          </w:p>
        </w:tc>
      </w:tr>
      <w:tr w:rsidR="007A6FCC" w:rsidRPr="00E51A31" w14:paraId="33C03DD8" w14:textId="77777777" w:rsidTr="00281329">
        <w:tc>
          <w:tcPr>
            <w:tcW w:w="1843" w:type="dxa"/>
            <w:shd w:val="clear" w:color="auto" w:fill="F2F2F2" w:themeFill="background1" w:themeFillShade="F2"/>
            <w:vAlign w:val="center"/>
          </w:tcPr>
          <w:p w14:paraId="46E668C8" w14:textId="77777777" w:rsidR="007A6FCC" w:rsidRPr="002510F4" w:rsidRDefault="007A6FCC" w:rsidP="00281329">
            <w:pPr>
              <w:pStyle w:val="Tablecontent"/>
            </w:pPr>
            <w:r>
              <w:t xml:space="preserve">%ACTVN </w:t>
            </w:r>
          </w:p>
        </w:tc>
        <w:tc>
          <w:tcPr>
            <w:tcW w:w="8647" w:type="dxa"/>
            <w:vAlign w:val="center"/>
          </w:tcPr>
          <w:p w14:paraId="104EA297" w14:textId="77777777" w:rsidR="007A6FCC" w:rsidRPr="002510F4" w:rsidRDefault="007A6FCC" w:rsidP="00281329">
            <w:pPr>
              <w:pStyle w:val="Tablecontent"/>
            </w:pPr>
            <w:r>
              <w:t>Percentage Active Next. It predicts of what %ACTVF will be at next sample estimation. It is intended for VMware use only.</w:t>
            </w:r>
          </w:p>
        </w:tc>
      </w:tr>
    </w:tbl>
    <w:p w14:paraId="711149C7" w14:textId="36E1F1BE" w:rsidR="007A6FCC" w:rsidRDefault="007A6FCC" w:rsidP="007A6FCC">
      <w:pPr>
        <w:pStyle w:val="Heading6"/>
      </w:pPr>
      <w:r>
        <w:t>Committed</w:t>
      </w:r>
    </w:p>
    <w:p w14:paraId="4E8B754D" w14:textId="77777777" w:rsidR="00425EBF" w:rsidRDefault="00425EBF" w:rsidP="00425EBF">
      <w:r>
        <w:t>Committed page means the page has been reserved for that process. Commit is a counter for utilization but it’s not really used, especially for VM.</w:t>
      </w:r>
    </w:p>
    <w:p w14:paraId="571FEA94" w14:textId="77777777" w:rsidR="00425EBF" w:rsidRDefault="00425EBF" w:rsidP="00425EBF">
      <w:r w:rsidRPr="001C6620">
        <w:t>Note</w:t>
      </w:r>
      <w:r>
        <w:t>:</w:t>
      </w:r>
      <w:r w:rsidRPr="001C6620">
        <w:t xml:space="preserve"> none of </w:t>
      </w:r>
      <w:r>
        <w:t>these</w:t>
      </w:r>
      <w:r w:rsidRPr="001C6620">
        <w:t xml:space="preserve"> </w:t>
      </w:r>
      <w:r>
        <w:t>metrics</w:t>
      </w:r>
      <w:r w:rsidRPr="001C6620">
        <w:t xml:space="preserve"> exist in vSphere Client and vRealize Operations</w:t>
      </w:r>
      <w:r>
        <w:t>, as they are meant for internal use.</w:t>
      </w:r>
    </w:p>
    <w:p w14:paraId="53E4653B" w14:textId="77777777" w:rsidR="007A6FCC" w:rsidRDefault="007A6FCC" w:rsidP="007A6FCC">
      <w:pPr>
        <w:jc w:val="center"/>
      </w:pPr>
      <w:r w:rsidRPr="00D6506B">
        <w:rPr>
          <w:noProof/>
        </w:rPr>
        <w:drawing>
          <wp:inline distT="0" distB="0" distL="0" distR="0" wp14:anchorId="6D9A6183" wp14:editId="569BC192">
            <wp:extent cx="3186000" cy="867600"/>
            <wp:effectExtent l="0" t="0" r="0" b="8890"/>
            <wp:docPr id="567723337" name="Picture 56772333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37" name="Picture 567723337" descr="Text&#10;&#10;Description automatically generated"/>
                    <pic:cNvPicPr/>
                  </pic:nvPicPr>
                  <pic:blipFill>
                    <a:blip r:embed="rId846"/>
                    <a:stretch>
                      <a:fillRect/>
                    </a:stretch>
                  </pic:blipFill>
                  <pic:spPr>
                    <a:xfrm>
                      <a:off x="0" y="0"/>
                      <a:ext cx="3186000" cy="867600"/>
                    </a:xfrm>
                    <a:prstGeom prst="rect">
                      <a:avLst/>
                    </a:prstGeom>
                  </pic:spPr>
                </pic:pic>
              </a:graphicData>
            </a:graphic>
          </wp:inline>
        </w:drawing>
      </w:r>
    </w:p>
    <w:p w14:paraId="7C0C7A79"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602FE854" w14:textId="77777777" w:rsidTr="00281329">
        <w:tc>
          <w:tcPr>
            <w:tcW w:w="1843" w:type="dxa"/>
            <w:shd w:val="clear" w:color="auto" w:fill="F2F2F2" w:themeFill="background1" w:themeFillShade="F2"/>
          </w:tcPr>
          <w:p w14:paraId="05C35F55" w14:textId="77777777" w:rsidR="007A6FCC" w:rsidRPr="002510F4" w:rsidRDefault="007A6FCC" w:rsidP="00281329">
            <w:pPr>
              <w:pStyle w:val="Tablecontent"/>
            </w:pPr>
            <w:r w:rsidRPr="001F0964">
              <w:t>MCMTTGT</w:t>
            </w:r>
          </w:p>
        </w:tc>
        <w:tc>
          <w:tcPr>
            <w:tcW w:w="8647" w:type="dxa"/>
          </w:tcPr>
          <w:p w14:paraId="332CFE98" w14:textId="77777777" w:rsidR="007A6FCC" w:rsidRPr="002510F4" w:rsidRDefault="007A6FCC" w:rsidP="00281329">
            <w:pPr>
              <w:pStyle w:val="Tablecontent"/>
            </w:pPr>
            <w:r>
              <w:t>Minimum Commit Target in MB. I think this value is not 0 when there is reservation, but I’m not sure.</w:t>
            </w:r>
          </w:p>
        </w:tc>
      </w:tr>
      <w:tr w:rsidR="007A6FCC" w:rsidRPr="00E51A31" w14:paraId="010ECA58" w14:textId="77777777" w:rsidTr="00281329">
        <w:tc>
          <w:tcPr>
            <w:tcW w:w="1843" w:type="dxa"/>
            <w:shd w:val="clear" w:color="auto" w:fill="F2F2F2" w:themeFill="background1" w:themeFillShade="F2"/>
          </w:tcPr>
          <w:p w14:paraId="28F0D9ED" w14:textId="77777777" w:rsidR="007A6FCC" w:rsidRPr="002510F4" w:rsidRDefault="007A6FCC" w:rsidP="00281329">
            <w:pPr>
              <w:pStyle w:val="Tablecontent"/>
            </w:pPr>
            <w:r w:rsidRPr="001F0964">
              <w:t xml:space="preserve">CMTTGT  </w:t>
            </w:r>
          </w:p>
        </w:tc>
        <w:tc>
          <w:tcPr>
            <w:tcW w:w="8647" w:type="dxa"/>
          </w:tcPr>
          <w:p w14:paraId="3AE512CB" w14:textId="77777777" w:rsidR="007A6FCC" w:rsidRPr="002510F4" w:rsidRDefault="007A6FCC" w:rsidP="00281329">
            <w:pPr>
              <w:pStyle w:val="Tablecontent"/>
            </w:pPr>
            <w:r>
              <w:t xml:space="preserve">Commit Target in MB. </w:t>
            </w:r>
          </w:p>
        </w:tc>
      </w:tr>
      <w:tr w:rsidR="007A6FCC" w:rsidRPr="00E51A31" w14:paraId="276896D7" w14:textId="77777777" w:rsidTr="00281329">
        <w:tc>
          <w:tcPr>
            <w:tcW w:w="1843" w:type="dxa"/>
            <w:shd w:val="clear" w:color="auto" w:fill="F2F2F2" w:themeFill="background1" w:themeFillShade="F2"/>
          </w:tcPr>
          <w:p w14:paraId="2F754838" w14:textId="77777777" w:rsidR="007A6FCC" w:rsidRPr="002510F4" w:rsidRDefault="007A6FCC" w:rsidP="00281329">
            <w:pPr>
              <w:pStyle w:val="Tablecontent"/>
            </w:pPr>
            <w:r w:rsidRPr="001F0964">
              <w:t>CMTCHRG</w:t>
            </w:r>
          </w:p>
        </w:tc>
        <w:tc>
          <w:tcPr>
            <w:tcW w:w="8647" w:type="dxa"/>
          </w:tcPr>
          <w:p w14:paraId="4160534D" w14:textId="77777777" w:rsidR="007A6FCC" w:rsidRPr="002510F4" w:rsidRDefault="007A6FCC" w:rsidP="00281329">
            <w:pPr>
              <w:pStyle w:val="Tablecontent"/>
            </w:pPr>
            <w:r>
              <w:t xml:space="preserve">Commit Charged in MB. I think this is the actual committed page. </w:t>
            </w:r>
          </w:p>
        </w:tc>
      </w:tr>
      <w:tr w:rsidR="007A6FCC" w:rsidRPr="00E51A31" w14:paraId="0B4F8557" w14:textId="77777777" w:rsidTr="00281329">
        <w:tc>
          <w:tcPr>
            <w:tcW w:w="1843" w:type="dxa"/>
            <w:shd w:val="clear" w:color="auto" w:fill="F2F2F2" w:themeFill="background1" w:themeFillShade="F2"/>
          </w:tcPr>
          <w:p w14:paraId="726F7A70" w14:textId="77777777" w:rsidR="007A6FCC" w:rsidRPr="002510F4" w:rsidRDefault="007A6FCC" w:rsidP="00281329">
            <w:pPr>
              <w:pStyle w:val="Tablecontent"/>
            </w:pPr>
            <w:r w:rsidRPr="001F0964">
              <w:t>CMTPPS</w:t>
            </w:r>
          </w:p>
        </w:tc>
        <w:tc>
          <w:tcPr>
            <w:tcW w:w="8647" w:type="dxa"/>
          </w:tcPr>
          <w:p w14:paraId="39B90DB4" w14:textId="77777777" w:rsidR="007A6FCC" w:rsidRPr="002510F4" w:rsidRDefault="007A6FCC" w:rsidP="00281329">
            <w:pPr>
              <w:pStyle w:val="Tablecontent"/>
            </w:pPr>
            <w:r w:rsidRPr="00D020B8">
              <w:t>Commit Pages Per Share</w:t>
            </w:r>
            <w:r>
              <w:t xml:space="preserve"> in MB</w:t>
            </w:r>
          </w:p>
        </w:tc>
      </w:tr>
    </w:tbl>
    <w:p w14:paraId="7D79242B" w14:textId="42A9D775" w:rsidR="00515B14" w:rsidRDefault="00515B14" w:rsidP="00515B14">
      <w:pPr>
        <w:pStyle w:val="Heading5"/>
      </w:pPr>
      <w:r>
        <w:t>Allocation &amp; Reservation</w:t>
      </w:r>
    </w:p>
    <w:p w14:paraId="08BB7EFF" w14:textId="25C22184" w:rsidR="00515B14" w:rsidRPr="00515B14" w:rsidRDefault="00515B14" w:rsidP="00515B14">
      <w:pPr>
        <w:rPr>
          <w:lang w:val="en-GB"/>
        </w:rPr>
      </w:pPr>
      <w:r>
        <w:rPr>
          <w:lang w:val="en-GB"/>
        </w:rPr>
        <w:t>I’m not placing them under utilization as they are not actual consumption.</w:t>
      </w:r>
    </w:p>
    <w:p w14:paraId="2B6D78DD" w14:textId="77777777" w:rsidR="00515B14" w:rsidRDefault="00515B14" w:rsidP="00515B14">
      <w:pPr>
        <w:jc w:val="center"/>
      </w:pPr>
      <w:r w:rsidRPr="008E6172">
        <w:rPr>
          <w:noProof/>
        </w:rPr>
        <w:drawing>
          <wp:inline distT="0" distB="0" distL="0" distR="0" wp14:anchorId="6ECD6A9F" wp14:editId="59804FBE">
            <wp:extent cx="5924854" cy="1339919"/>
            <wp:effectExtent l="0" t="0" r="0" b="0"/>
            <wp:docPr id="567723339" name="Picture 56772333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36" name="Picture 918289636" descr="Text&#10;&#10;Description automatically generated"/>
                    <pic:cNvPicPr/>
                  </pic:nvPicPr>
                  <pic:blipFill>
                    <a:blip r:embed="rId847"/>
                    <a:stretch>
                      <a:fillRect/>
                    </a:stretch>
                  </pic:blipFill>
                  <pic:spPr>
                    <a:xfrm>
                      <a:off x="0" y="0"/>
                      <a:ext cx="5924854" cy="1339919"/>
                    </a:xfrm>
                    <a:prstGeom prst="rect">
                      <a:avLst/>
                    </a:prstGeom>
                  </pic:spPr>
                </pic:pic>
              </a:graphicData>
            </a:graphic>
          </wp:inline>
        </w:drawing>
      </w:r>
    </w:p>
    <w:p w14:paraId="21C277D9" w14:textId="77777777" w:rsidR="00515B14" w:rsidRDefault="00515B14" w:rsidP="00515B14">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515B14" w:rsidRPr="00E51A31" w14:paraId="1D5D8A88" w14:textId="77777777" w:rsidTr="00281329">
        <w:tc>
          <w:tcPr>
            <w:tcW w:w="1843" w:type="dxa"/>
            <w:shd w:val="clear" w:color="auto" w:fill="F2F2F2" w:themeFill="background1" w:themeFillShade="F2"/>
            <w:vAlign w:val="center"/>
          </w:tcPr>
          <w:p w14:paraId="3C7C9733" w14:textId="77777777" w:rsidR="00515B14" w:rsidRPr="002510F4" w:rsidRDefault="00515B14" w:rsidP="00281329">
            <w:pPr>
              <w:pStyle w:val="Tablecontent"/>
            </w:pPr>
            <w:r>
              <w:t xml:space="preserve">AMIN </w:t>
            </w:r>
          </w:p>
        </w:tc>
        <w:tc>
          <w:tcPr>
            <w:tcW w:w="8647" w:type="dxa"/>
            <w:vAlign w:val="center"/>
          </w:tcPr>
          <w:p w14:paraId="569B3B62" w14:textId="1FA10DB0" w:rsidR="00515B14" w:rsidRDefault="00515B14" w:rsidP="00281329">
            <w:pPr>
              <w:pStyle w:val="Tablecontent"/>
            </w:pPr>
            <w:r>
              <w:t>Allocation minimum.</w:t>
            </w:r>
          </w:p>
          <w:p w14:paraId="12C1516D" w14:textId="6E4C927E" w:rsidR="00515B14" w:rsidRPr="002510F4" w:rsidRDefault="00515B14" w:rsidP="00281329">
            <w:pPr>
              <w:pStyle w:val="Tablecontent"/>
            </w:pPr>
            <w:r>
              <w:t>This is the term esxtop uses for memory reservation for this resource pool or VM. A value of 0 means no reservation, which is what you should set for most VM. Reservation for VMkernel modules should be left as it is.</w:t>
            </w:r>
          </w:p>
        </w:tc>
      </w:tr>
      <w:tr w:rsidR="00515B14" w:rsidRPr="00E51A31" w14:paraId="2749E954" w14:textId="77777777" w:rsidTr="00281329">
        <w:tc>
          <w:tcPr>
            <w:tcW w:w="1843" w:type="dxa"/>
            <w:shd w:val="clear" w:color="auto" w:fill="F2F2F2" w:themeFill="background1" w:themeFillShade="F2"/>
            <w:vAlign w:val="center"/>
          </w:tcPr>
          <w:p w14:paraId="28984545" w14:textId="77777777" w:rsidR="00515B14" w:rsidRPr="002510F4" w:rsidRDefault="00515B14" w:rsidP="00281329">
            <w:pPr>
              <w:pStyle w:val="Tablecontent"/>
            </w:pPr>
            <w:r>
              <w:t xml:space="preserve">AMAX </w:t>
            </w:r>
          </w:p>
        </w:tc>
        <w:tc>
          <w:tcPr>
            <w:tcW w:w="8647" w:type="dxa"/>
            <w:vAlign w:val="center"/>
          </w:tcPr>
          <w:p w14:paraId="547CCC13" w14:textId="5546E1DE" w:rsidR="00515B14" w:rsidRDefault="00515B14" w:rsidP="00281329">
            <w:pPr>
              <w:pStyle w:val="Tablecontent"/>
            </w:pPr>
            <w:r>
              <w:t>Allocation maximum.</w:t>
            </w:r>
          </w:p>
          <w:p w14:paraId="0E7E1856" w14:textId="77777777" w:rsidR="00515B14" w:rsidRDefault="00515B14" w:rsidP="00281329">
            <w:pPr>
              <w:pStyle w:val="Tablecontent"/>
            </w:pPr>
            <w:r>
              <w:lastRenderedPageBreak/>
              <w:t xml:space="preserve">This is the term esxtop uses for memory limit for this resource pool or VM. A value of -1 means Unlimited. </w:t>
            </w:r>
          </w:p>
          <w:p w14:paraId="74A634F1" w14:textId="0D0AB5DD" w:rsidR="00515B14" w:rsidRPr="002510F4" w:rsidRDefault="00515B14" w:rsidP="00281329">
            <w:pPr>
              <w:pStyle w:val="Tablecontent"/>
            </w:pPr>
            <w:r>
              <w:t>Limit for VMkernel modules should be left as it is.</w:t>
            </w:r>
          </w:p>
        </w:tc>
      </w:tr>
      <w:tr w:rsidR="006615AF" w:rsidRPr="00E51A31" w14:paraId="58186B2E" w14:textId="77777777" w:rsidTr="00281329">
        <w:tc>
          <w:tcPr>
            <w:tcW w:w="1843" w:type="dxa"/>
            <w:shd w:val="clear" w:color="auto" w:fill="F2F2F2" w:themeFill="background1" w:themeFillShade="F2"/>
          </w:tcPr>
          <w:p w14:paraId="022968D0" w14:textId="77777777" w:rsidR="006615AF" w:rsidRPr="002510F4" w:rsidRDefault="006615AF" w:rsidP="00281329">
            <w:pPr>
              <w:pStyle w:val="Tablecontent"/>
            </w:pPr>
            <w:r>
              <w:lastRenderedPageBreak/>
              <w:t>AMLMT</w:t>
            </w:r>
          </w:p>
        </w:tc>
        <w:tc>
          <w:tcPr>
            <w:tcW w:w="8647" w:type="dxa"/>
          </w:tcPr>
          <w:p w14:paraId="45311ACE" w14:textId="77777777" w:rsidR="006615AF" w:rsidRDefault="006615AF" w:rsidP="00281329">
            <w:pPr>
              <w:pStyle w:val="Tablecontent"/>
            </w:pPr>
            <w:r>
              <w:t>Limit. You should expect the value -1, means no limit assigned.</w:t>
            </w:r>
          </w:p>
          <w:p w14:paraId="09A69E6D" w14:textId="2F71C5F7" w:rsidR="006615AF" w:rsidRPr="002510F4" w:rsidRDefault="006615AF" w:rsidP="00281329">
            <w:pPr>
              <w:pStyle w:val="Tablecontent"/>
            </w:pPr>
            <w:r>
              <w:t>I’m not sure how this differs to AMAX.</w:t>
            </w:r>
          </w:p>
        </w:tc>
      </w:tr>
      <w:tr w:rsidR="00515B14" w:rsidRPr="00E51A31" w14:paraId="25295429" w14:textId="77777777" w:rsidTr="00281329">
        <w:tc>
          <w:tcPr>
            <w:tcW w:w="1843" w:type="dxa"/>
            <w:shd w:val="clear" w:color="auto" w:fill="F2F2F2" w:themeFill="background1" w:themeFillShade="F2"/>
            <w:vAlign w:val="center"/>
          </w:tcPr>
          <w:p w14:paraId="59890505" w14:textId="77777777" w:rsidR="00515B14" w:rsidRPr="002510F4" w:rsidRDefault="00515B14" w:rsidP="00281329">
            <w:pPr>
              <w:pStyle w:val="Tablecontent"/>
            </w:pPr>
            <w:r>
              <w:t xml:space="preserve">ASHRS </w:t>
            </w:r>
          </w:p>
        </w:tc>
        <w:tc>
          <w:tcPr>
            <w:tcW w:w="8647" w:type="dxa"/>
            <w:vAlign w:val="center"/>
          </w:tcPr>
          <w:p w14:paraId="789271EC" w14:textId="77777777" w:rsidR="00515B14" w:rsidRPr="002510F4" w:rsidRDefault="00515B14" w:rsidP="00281329">
            <w:pPr>
              <w:pStyle w:val="Tablecontent"/>
            </w:pPr>
            <w:r>
              <w:t xml:space="preserve">Memory shares for this resource pool or VM. </w:t>
            </w:r>
          </w:p>
        </w:tc>
      </w:tr>
      <w:tr w:rsidR="00515B14" w:rsidRPr="00E51A31" w14:paraId="62338DA2" w14:textId="77777777" w:rsidTr="00281329">
        <w:tc>
          <w:tcPr>
            <w:tcW w:w="1843" w:type="dxa"/>
            <w:shd w:val="clear" w:color="auto" w:fill="F2F2F2" w:themeFill="background1" w:themeFillShade="F2"/>
          </w:tcPr>
          <w:p w14:paraId="1B77BCAA" w14:textId="2D4B03B9" w:rsidR="00515B14" w:rsidRDefault="00515B14" w:rsidP="00281329">
            <w:pPr>
              <w:pStyle w:val="Tablecontent"/>
            </w:pPr>
            <w:r>
              <w:t>AUNITS</w:t>
            </w:r>
          </w:p>
        </w:tc>
        <w:tc>
          <w:tcPr>
            <w:tcW w:w="8647" w:type="dxa"/>
          </w:tcPr>
          <w:p w14:paraId="5B8D9900" w14:textId="3CED9805" w:rsidR="00515B14" w:rsidRDefault="006615AF" w:rsidP="00281329">
            <w:pPr>
              <w:pStyle w:val="Tablecontent"/>
            </w:pPr>
            <w:r>
              <w:t>Th</w:t>
            </w:r>
            <w:r w:rsidR="004606AB">
              <w:t xml:space="preserve">is is just displaying the </w:t>
            </w:r>
            <w:r>
              <w:t>units of allocations counters</w:t>
            </w:r>
          </w:p>
        </w:tc>
      </w:tr>
    </w:tbl>
    <w:p w14:paraId="37F55688" w14:textId="2022B639" w:rsidR="007A6FCC" w:rsidRDefault="007A6FCC" w:rsidP="00515B14">
      <w:pPr>
        <w:pStyle w:val="Heading5"/>
      </w:pPr>
      <w:r>
        <w:t>Checkpoint</w:t>
      </w:r>
    </w:p>
    <w:p w14:paraId="5A0569BC" w14:textId="3B14DBF9" w:rsidR="007A6FCC" w:rsidRDefault="007A6FCC" w:rsidP="007A6FCC">
      <w:r>
        <w:t xml:space="preserve">Checkpoint is required in snapshot or VM suspension. You can </w:t>
      </w:r>
      <w:r w:rsidRPr="00AE2E95">
        <w:t xml:space="preserve">convert a </w:t>
      </w:r>
      <w:r>
        <w:t xml:space="preserve">VM </w:t>
      </w:r>
      <w:r w:rsidRPr="00AE2E95">
        <w:t>checkpoint into a core dump file</w:t>
      </w:r>
      <w:r>
        <w:t xml:space="preserve">, </w:t>
      </w:r>
      <w:r w:rsidRPr="00AE2E95">
        <w:t xml:space="preserve">to debug </w:t>
      </w:r>
      <w:r>
        <w:t>the G</w:t>
      </w:r>
      <w:r w:rsidRPr="00AE2E95">
        <w:t xml:space="preserve">uest </w:t>
      </w:r>
      <w:r>
        <w:t xml:space="preserve">OS </w:t>
      </w:r>
      <w:r w:rsidRPr="00AE2E95">
        <w:t>and applications</w:t>
      </w:r>
      <w:r>
        <w:t>.</w:t>
      </w:r>
    </w:p>
    <w:p w14:paraId="2A47B1BB" w14:textId="77777777" w:rsidR="005C13EA" w:rsidRPr="00A304C3" w:rsidRDefault="005C13EA" w:rsidP="005C13EA">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1739F7DC" w14:textId="77777777" w:rsidTr="00281329">
        <w:tc>
          <w:tcPr>
            <w:tcW w:w="1843" w:type="dxa"/>
            <w:shd w:val="clear" w:color="auto" w:fill="F2F2F2" w:themeFill="background1" w:themeFillShade="F2"/>
          </w:tcPr>
          <w:p w14:paraId="1CB63255" w14:textId="77777777" w:rsidR="007A6FCC" w:rsidRPr="00D33803" w:rsidRDefault="007A6FCC" w:rsidP="00281329">
            <w:pPr>
              <w:pStyle w:val="Tablecontent"/>
              <w:rPr>
                <w:lang w:val="en-SG"/>
              </w:rPr>
            </w:pPr>
            <w:r w:rsidRPr="002510F4">
              <w:t>CPTRD (MB)</w:t>
            </w:r>
          </w:p>
        </w:tc>
        <w:tc>
          <w:tcPr>
            <w:tcW w:w="8647" w:type="dxa"/>
          </w:tcPr>
          <w:p w14:paraId="14B5A2F9" w14:textId="77777777" w:rsidR="007A6FCC" w:rsidRPr="00355333" w:rsidRDefault="007A6FCC" w:rsidP="00281329">
            <w:pPr>
              <w:pStyle w:val="Tablecontent"/>
            </w:pPr>
            <w:r>
              <w:t xml:space="preserve">Checkpoint Read. </w:t>
            </w:r>
            <w:r w:rsidRPr="002510F4">
              <w:t>Amount of data read from checkpoint file.</w:t>
            </w:r>
            <w:r>
              <w:t xml:space="preserve"> A large amount can impact the VM performance. </w:t>
            </w:r>
          </w:p>
        </w:tc>
      </w:tr>
      <w:tr w:rsidR="007A6FCC" w:rsidRPr="00E51A31" w14:paraId="71A0BD7D" w14:textId="77777777" w:rsidTr="00281329">
        <w:tc>
          <w:tcPr>
            <w:tcW w:w="1843" w:type="dxa"/>
            <w:shd w:val="clear" w:color="auto" w:fill="F2F2F2" w:themeFill="background1" w:themeFillShade="F2"/>
          </w:tcPr>
          <w:p w14:paraId="25E67EC0" w14:textId="77777777" w:rsidR="007A6FCC" w:rsidRPr="00355333" w:rsidRDefault="007A6FCC" w:rsidP="00281329">
            <w:pPr>
              <w:pStyle w:val="Tablecontent"/>
            </w:pPr>
            <w:r w:rsidRPr="002510F4">
              <w:t>CPTTGT (MB)</w:t>
            </w:r>
          </w:p>
        </w:tc>
        <w:tc>
          <w:tcPr>
            <w:tcW w:w="8647" w:type="dxa"/>
          </w:tcPr>
          <w:p w14:paraId="16995EB3" w14:textId="77777777" w:rsidR="007A6FCC" w:rsidRDefault="007A6FCC" w:rsidP="00281329">
            <w:pPr>
              <w:pStyle w:val="Tablecontent"/>
            </w:pPr>
            <w:r>
              <w:t>Checkpoint Target. The target s</w:t>
            </w:r>
            <w:r w:rsidRPr="002510F4">
              <w:t>ize of checkpoint file</w:t>
            </w:r>
            <w:r>
              <w:t xml:space="preserve"> that VMkernel is aiming for.</w:t>
            </w:r>
          </w:p>
          <w:p w14:paraId="14D2AF6E" w14:textId="77777777" w:rsidR="007A6FCC" w:rsidRPr="00355333" w:rsidRDefault="007A6FCC" w:rsidP="00281329">
            <w:pPr>
              <w:pStyle w:val="Tablecontent"/>
            </w:pPr>
            <w:r>
              <w:t xml:space="preserve">I’m unsure why it needs to have a target, unless this is just an estimate of the final size and not a limit. </w:t>
            </w:r>
          </w:p>
        </w:tc>
      </w:tr>
    </w:tbl>
    <w:p w14:paraId="3E925CE5" w14:textId="77777777" w:rsidR="007A6FCC" w:rsidRDefault="007A6FCC" w:rsidP="007A6FCC">
      <w:pPr>
        <w:pStyle w:val="Heading4"/>
      </w:pPr>
      <w:r>
        <w:t>Storage</w:t>
      </w:r>
    </w:p>
    <w:p w14:paraId="10029A08" w14:textId="77777777" w:rsidR="007A6FCC" w:rsidRDefault="007A6FCC" w:rsidP="007A6FCC">
      <w:pPr>
        <w:rPr>
          <w:lang w:val="en-GB"/>
        </w:rPr>
      </w:pPr>
      <w:r>
        <w:rPr>
          <w:lang w:val="en-GB"/>
        </w:rPr>
        <w:t>The Storage monitoring sports 3 panels:</w:t>
      </w:r>
    </w:p>
    <w:p w14:paraId="4EDBDA68" w14:textId="77777777" w:rsidR="007A6FCC" w:rsidRDefault="007A6FCC" w:rsidP="007A6FCC">
      <w:pPr>
        <w:pStyle w:val="Bullet"/>
        <w:rPr>
          <w:lang w:val="en-GB"/>
        </w:rPr>
      </w:pPr>
      <w:r>
        <w:rPr>
          <w:lang w:val="en-GB"/>
        </w:rPr>
        <w:t>VM</w:t>
      </w:r>
    </w:p>
    <w:p w14:paraId="635695C8" w14:textId="77777777" w:rsidR="007A6FCC" w:rsidRDefault="007A6FCC" w:rsidP="007A6FCC">
      <w:pPr>
        <w:pStyle w:val="Bullet"/>
        <w:rPr>
          <w:lang w:val="en-GB"/>
        </w:rPr>
      </w:pPr>
      <w:r>
        <w:rPr>
          <w:lang w:val="en-GB"/>
        </w:rPr>
        <w:t>Adapter</w:t>
      </w:r>
    </w:p>
    <w:p w14:paraId="0BBCF6DF" w14:textId="77777777" w:rsidR="007A6FCC" w:rsidRDefault="007A6FCC" w:rsidP="007A6FCC">
      <w:pPr>
        <w:pStyle w:val="Bullet"/>
        <w:rPr>
          <w:lang w:val="en-GB"/>
        </w:rPr>
      </w:pPr>
      <w:r>
        <w:rPr>
          <w:lang w:val="en-GB"/>
        </w:rPr>
        <w:t>Device</w:t>
      </w:r>
    </w:p>
    <w:p w14:paraId="6B577AFD" w14:textId="62061623" w:rsidR="007A6FCC" w:rsidRDefault="007A6FCC" w:rsidP="007A6FCC">
      <w:r>
        <w:t xml:space="preserve">We covered in Part 2 that an ESXi host has adapter, path and devices. I’m unsure why esxtop does not have a panel for path. It would be convenient to check dead path or inactive path as the value will be all 0. If your design is active/active, it can be useful to compare if their throughput is not lopsided. </w:t>
      </w:r>
    </w:p>
    <w:p w14:paraId="16161BAC" w14:textId="77777777" w:rsidR="007A6FCC" w:rsidRDefault="007A6FCC" w:rsidP="007A6FCC">
      <w:r>
        <w:t xml:space="preserve">Datastore is also missing. While VMFS can be covered with Device (if you do 1:1 mapping and not using extent), NFS is not covered. </w:t>
      </w:r>
    </w:p>
    <w:p w14:paraId="69304E5A" w14:textId="77777777" w:rsidR="007A6FCC" w:rsidRDefault="007A6FCC" w:rsidP="007A6FCC">
      <w:r>
        <w:t>On the other hand, esxtop does provide metrics that vSphere Client does not. I will highlight those.</w:t>
      </w:r>
    </w:p>
    <w:p w14:paraId="7D3ACDB9" w14:textId="73242359" w:rsidR="007A6FCC" w:rsidRDefault="007A6FCC" w:rsidP="007A6FCC">
      <w:r>
        <w:t xml:space="preserve">ESXi uses adapter to connect to device. As a result, their main contention and utilization metrics are largely similar. I’ve put them side by side here, and highlight the similar metric </w:t>
      </w:r>
      <w:r w:rsidRPr="002024D7">
        <w:rPr>
          <w:i/>
          <w:iCs/>
          <w:color w:val="FF0000"/>
        </w:rPr>
        <w:t>groups</w:t>
      </w:r>
      <w:r>
        <w:t xml:space="preserve"> with vertical </w:t>
      </w:r>
      <w:r w:rsidR="0022569A" w:rsidRPr="0022569A">
        <w:rPr>
          <w:color w:val="00B050"/>
        </w:rPr>
        <w:t>green</w:t>
      </w:r>
      <w:r>
        <w:t xml:space="preserve"> bar. I highlighted the word group, as the group name may be identical, but the actual metrics within the group differ.</w:t>
      </w:r>
    </w:p>
    <w:p w14:paraId="53F33C26" w14:textId="77777777" w:rsidR="007A6FCC" w:rsidRDefault="007A6FCC" w:rsidP="007A6FCC">
      <w:pPr>
        <w:jc w:val="center"/>
      </w:pPr>
      <w:r>
        <w:rPr>
          <w:noProof/>
        </w:rPr>
        <w:lastRenderedPageBreak/>
        <w:drawing>
          <wp:inline distT="0" distB="0" distL="0" distR="0" wp14:anchorId="371734CC" wp14:editId="105140BE">
            <wp:extent cx="6231600" cy="2296800"/>
            <wp:effectExtent l="0" t="0" r="0" b="8255"/>
            <wp:docPr id="567723340" name="Picture 5677233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48">
                      <a:extLst>
                        <a:ext uri="{28A0092B-C50C-407E-A947-70E740481C1C}">
                          <a14:useLocalDpi xmlns:a14="http://schemas.microsoft.com/office/drawing/2010/main" val="0"/>
                        </a:ext>
                      </a:extLst>
                    </a:blip>
                    <a:srcRect/>
                    <a:stretch>
                      <a:fillRect/>
                    </a:stretch>
                  </pic:blipFill>
                  <pic:spPr bwMode="auto">
                    <a:xfrm>
                      <a:off x="0" y="0"/>
                      <a:ext cx="6231600" cy="2296800"/>
                    </a:xfrm>
                    <a:prstGeom prst="rect">
                      <a:avLst/>
                    </a:prstGeom>
                    <a:noFill/>
                    <a:ln>
                      <a:noFill/>
                    </a:ln>
                  </pic:spPr>
                </pic:pic>
              </a:graphicData>
            </a:graphic>
          </wp:inline>
        </w:drawing>
      </w:r>
    </w:p>
    <w:p w14:paraId="35576714" w14:textId="77777777" w:rsidR="007A6FCC" w:rsidRDefault="007A6FCC" w:rsidP="007A6FCC">
      <w:pPr>
        <w:pStyle w:val="Heading5"/>
      </w:pPr>
      <w:r>
        <w:t>Disk VM panel</w:t>
      </w:r>
    </w:p>
    <w:p w14:paraId="751A4BF8" w14:textId="77777777" w:rsidR="007A6FCC" w:rsidRDefault="007A6FCC" w:rsidP="007A6FCC">
      <w:pPr>
        <w:rPr>
          <w:lang w:val="en-GB"/>
        </w:rPr>
      </w:pPr>
      <w:r>
        <w:rPr>
          <w:lang w:val="en-GB"/>
        </w:rPr>
        <w:t xml:space="preserve">We begin with VM as that’s the most important one. It complements vSphere Client by providing unmap and IO Filter metrics. </w:t>
      </w:r>
    </w:p>
    <w:p w14:paraId="0CE163E8" w14:textId="77777777" w:rsidR="007A6FCC" w:rsidRDefault="007A6FCC" w:rsidP="007A6FCC">
      <w:pPr>
        <w:rPr>
          <w:lang w:val="en-GB"/>
        </w:rPr>
      </w:pPr>
      <w:r>
        <w:rPr>
          <w:lang w:val="en-GB"/>
        </w:rPr>
        <w:t>You can see at VM level, or virtual disk level. In the following screenshot, I’ve expanded one of the VM.</w:t>
      </w:r>
    </w:p>
    <w:p w14:paraId="3DC263AB" w14:textId="77777777" w:rsidR="007A6FCC" w:rsidRDefault="007A6FCC" w:rsidP="007A6FCC">
      <w:pPr>
        <w:rPr>
          <w:lang w:val="en-GB"/>
        </w:rPr>
      </w:pPr>
      <w:r w:rsidRPr="00E82D2D">
        <w:rPr>
          <w:noProof/>
          <w:lang w:val="en-GB"/>
        </w:rPr>
        <w:drawing>
          <wp:inline distT="0" distB="0" distL="0" distR="0" wp14:anchorId="182D6935" wp14:editId="2129C1DD">
            <wp:extent cx="6645910" cy="833755"/>
            <wp:effectExtent l="0" t="0" r="2540" b="4445"/>
            <wp:docPr id="567723341" name="Picture 56772334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45" name="Picture 534447545" descr="A screenshot of a computer&#10;&#10;Description automatically generated"/>
                    <pic:cNvPicPr/>
                  </pic:nvPicPr>
                  <pic:blipFill>
                    <a:blip r:embed="rId849"/>
                    <a:stretch>
                      <a:fillRect/>
                    </a:stretch>
                  </pic:blipFill>
                  <pic:spPr>
                    <a:xfrm>
                      <a:off x="0" y="0"/>
                      <a:ext cx="6645910" cy="833755"/>
                    </a:xfrm>
                    <a:prstGeom prst="rect">
                      <a:avLst/>
                    </a:prstGeom>
                  </pic:spPr>
                </pic:pic>
              </a:graphicData>
            </a:graphic>
          </wp:inline>
        </w:drawing>
      </w:r>
    </w:p>
    <w:p w14:paraId="65766D49" w14:textId="77777777" w:rsidR="007A6FCC" w:rsidRDefault="007A6FCC" w:rsidP="007A6FCC">
      <w:pPr>
        <w:pStyle w:val="Heading6"/>
      </w:pPr>
      <w:r>
        <w:t>Contention</w:t>
      </w:r>
    </w:p>
    <w:p w14:paraId="0B4B8561" w14:textId="77777777" w:rsidR="007A6FCC" w:rsidRPr="00B34F75" w:rsidRDefault="007A6FCC" w:rsidP="007A6FCC">
      <w:pPr>
        <w:rPr>
          <w:lang w:val="en-GB"/>
        </w:rPr>
      </w:pPr>
      <w:r>
        <w:rPr>
          <w:lang w:val="en-GB"/>
        </w:rPr>
        <w:t>There are only 2 metrics. There is no outstanding IO metric.</w:t>
      </w:r>
    </w:p>
    <w:p w14:paraId="6B489761"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289B4234" w14:textId="77777777" w:rsidTr="00281329">
        <w:tc>
          <w:tcPr>
            <w:tcW w:w="1843" w:type="dxa"/>
            <w:shd w:val="clear" w:color="auto" w:fill="F2F2F2" w:themeFill="background1" w:themeFillShade="F2"/>
            <w:vAlign w:val="center"/>
          </w:tcPr>
          <w:p w14:paraId="5AE44678" w14:textId="77777777" w:rsidR="007A6FCC" w:rsidRPr="00811AC4" w:rsidRDefault="007A6FCC" w:rsidP="00281329">
            <w:pPr>
              <w:pStyle w:val="Tablecontent"/>
            </w:pPr>
            <w:r w:rsidRPr="005566D2">
              <w:t xml:space="preserve">LAT/rd </w:t>
            </w:r>
          </w:p>
        </w:tc>
        <w:tc>
          <w:tcPr>
            <w:tcW w:w="8647" w:type="dxa"/>
            <w:vAlign w:val="center"/>
          </w:tcPr>
          <w:p w14:paraId="02704888" w14:textId="77777777" w:rsidR="007A6FCC" w:rsidRPr="00811AC4" w:rsidRDefault="007A6FCC" w:rsidP="00281329">
            <w:pPr>
              <w:pStyle w:val="Tablecontent"/>
            </w:pPr>
            <w:r w:rsidRPr="005566D2">
              <w:t xml:space="preserve">Average latency (in milliseconds) per read. </w:t>
            </w:r>
          </w:p>
        </w:tc>
      </w:tr>
      <w:tr w:rsidR="007A6FCC" w:rsidRPr="00E51A31" w14:paraId="1CA8B2B6" w14:textId="77777777" w:rsidTr="00281329">
        <w:tc>
          <w:tcPr>
            <w:tcW w:w="1843" w:type="dxa"/>
            <w:shd w:val="clear" w:color="auto" w:fill="F2F2F2" w:themeFill="background1" w:themeFillShade="F2"/>
            <w:vAlign w:val="center"/>
          </w:tcPr>
          <w:p w14:paraId="67479297" w14:textId="77777777" w:rsidR="007A6FCC" w:rsidRPr="00811AC4" w:rsidRDefault="007A6FCC" w:rsidP="00281329">
            <w:pPr>
              <w:pStyle w:val="Tablecontent"/>
            </w:pPr>
            <w:r w:rsidRPr="005566D2">
              <w:t xml:space="preserve">LAT/wr </w:t>
            </w:r>
          </w:p>
        </w:tc>
        <w:tc>
          <w:tcPr>
            <w:tcW w:w="8647" w:type="dxa"/>
            <w:vAlign w:val="center"/>
          </w:tcPr>
          <w:p w14:paraId="3FCFA98F" w14:textId="77777777" w:rsidR="007A6FCC" w:rsidRPr="00811AC4" w:rsidRDefault="007A6FCC" w:rsidP="00281329">
            <w:pPr>
              <w:pStyle w:val="Tablecontent"/>
            </w:pPr>
            <w:r w:rsidRPr="005566D2">
              <w:t xml:space="preserve">Average latency (in milliseconds) per write. </w:t>
            </w:r>
          </w:p>
        </w:tc>
      </w:tr>
    </w:tbl>
    <w:p w14:paraId="0EDCA8D7" w14:textId="77777777" w:rsidR="007A6FCC" w:rsidRDefault="007A6FCC" w:rsidP="007A6FCC">
      <w:pPr>
        <w:pStyle w:val="Heading6"/>
      </w:pPr>
      <w:r>
        <w:t>Utilization</w:t>
      </w:r>
    </w:p>
    <w:p w14:paraId="424606D7" w14:textId="77777777" w:rsidR="007A6FCC" w:rsidRDefault="007A6FCC" w:rsidP="007A6FCC">
      <w:pPr>
        <w:rPr>
          <w:lang w:val="en-GB"/>
        </w:rPr>
      </w:pPr>
      <w:r w:rsidRPr="00F207A8">
        <w:rPr>
          <w:noProof/>
          <w:lang w:val="en-GB"/>
        </w:rPr>
        <w:drawing>
          <wp:inline distT="0" distB="0" distL="0" distR="0" wp14:anchorId="59FF0A2F" wp14:editId="2836912E">
            <wp:extent cx="6102664" cy="692186"/>
            <wp:effectExtent l="0" t="0" r="0" b="0"/>
            <wp:docPr id="567723344" name="Picture 567723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0"/>
                    <a:stretch>
                      <a:fillRect/>
                    </a:stretch>
                  </pic:blipFill>
                  <pic:spPr>
                    <a:xfrm>
                      <a:off x="0" y="0"/>
                      <a:ext cx="6102664" cy="692186"/>
                    </a:xfrm>
                    <a:prstGeom prst="rect">
                      <a:avLst/>
                    </a:prstGeom>
                  </pic:spPr>
                </pic:pic>
              </a:graphicData>
            </a:graphic>
          </wp:inline>
        </w:drawing>
      </w:r>
    </w:p>
    <w:p w14:paraId="13812B91"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B13CDD" w14:paraId="29EF0CE7" w14:textId="77777777" w:rsidTr="00281329">
        <w:tc>
          <w:tcPr>
            <w:tcW w:w="1843" w:type="dxa"/>
            <w:shd w:val="clear" w:color="auto" w:fill="F2F2F2" w:themeFill="background1" w:themeFillShade="F2"/>
            <w:vAlign w:val="center"/>
          </w:tcPr>
          <w:p w14:paraId="5D711BC3" w14:textId="77777777" w:rsidR="007A6FCC" w:rsidRPr="00B13CDD" w:rsidRDefault="007A6FCC" w:rsidP="00281329">
            <w:pPr>
              <w:pStyle w:val="Tablecontent"/>
            </w:pPr>
            <w:r w:rsidRPr="005566D2">
              <w:t xml:space="preserve">CMDS/s </w:t>
            </w:r>
          </w:p>
        </w:tc>
        <w:tc>
          <w:tcPr>
            <w:tcW w:w="8647" w:type="dxa"/>
            <w:vMerge w:val="restart"/>
            <w:vAlign w:val="center"/>
          </w:tcPr>
          <w:p w14:paraId="5742E99F" w14:textId="77777777" w:rsidR="007A6FCC" w:rsidRPr="00B13CDD" w:rsidRDefault="007A6FCC" w:rsidP="00281329">
            <w:pPr>
              <w:pStyle w:val="Tablecontent"/>
            </w:pPr>
            <w:r>
              <w:t xml:space="preserve">Count of disk IO </w:t>
            </w:r>
            <w:r w:rsidRPr="005566D2">
              <w:t xml:space="preserve">commands issued per second. </w:t>
            </w:r>
            <w:r>
              <w:t>This is basically IOPS.</w:t>
            </w:r>
          </w:p>
          <w:p w14:paraId="3D09542D" w14:textId="77777777" w:rsidR="007A6FCC" w:rsidRPr="00B13CDD" w:rsidRDefault="007A6FCC" w:rsidP="00281329">
            <w:pPr>
              <w:pStyle w:val="Tablecontent"/>
            </w:pPr>
            <w:r>
              <w:t>Both the Read IOPS and Write IOPS are provided.</w:t>
            </w:r>
          </w:p>
        </w:tc>
      </w:tr>
      <w:tr w:rsidR="007A6FCC" w:rsidRPr="00B13CDD" w14:paraId="509E5F2C" w14:textId="77777777" w:rsidTr="00281329">
        <w:tc>
          <w:tcPr>
            <w:tcW w:w="1843" w:type="dxa"/>
            <w:shd w:val="clear" w:color="auto" w:fill="F2F2F2" w:themeFill="background1" w:themeFillShade="F2"/>
            <w:vAlign w:val="center"/>
          </w:tcPr>
          <w:p w14:paraId="52CEC97E" w14:textId="77777777" w:rsidR="007A6FCC" w:rsidRPr="00B13CDD" w:rsidRDefault="007A6FCC" w:rsidP="00281329">
            <w:pPr>
              <w:pStyle w:val="Tablecontent"/>
            </w:pPr>
            <w:r w:rsidRPr="005566D2">
              <w:t xml:space="preserve">READS/s </w:t>
            </w:r>
          </w:p>
        </w:tc>
        <w:tc>
          <w:tcPr>
            <w:tcW w:w="8647" w:type="dxa"/>
            <w:vMerge/>
            <w:vAlign w:val="center"/>
          </w:tcPr>
          <w:p w14:paraId="6214BCDD" w14:textId="77777777" w:rsidR="007A6FCC" w:rsidRPr="00B13CDD" w:rsidRDefault="007A6FCC" w:rsidP="00281329">
            <w:pPr>
              <w:pStyle w:val="Tablecontent"/>
            </w:pPr>
          </w:p>
        </w:tc>
      </w:tr>
      <w:tr w:rsidR="007A6FCC" w:rsidRPr="00B13CDD" w14:paraId="5B7AA96C" w14:textId="77777777" w:rsidTr="00281329">
        <w:tc>
          <w:tcPr>
            <w:tcW w:w="1843" w:type="dxa"/>
            <w:shd w:val="clear" w:color="auto" w:fill="F2F2F2" w:themeFill="background1" w:themeFillShade="F2"/>
            <w:vAlign w:val="center"/>
          </w:tcPr>
          <w:p w14:paraId="66B6029C" w14:textId="77777777" w:rsidR="007A6FCC" w:rsidRPr="00B13CDD" w:rsidRDefault="007A6FCC" w:rsidP="00281329">
            <w:pPr>
              <w:pStyle w:val="Tablecontent"/>
            </w:pPr>
            <w:r w:rsidRPr="005566D2">
              <w:t xml:space="preserve">WRITES/s </w:t>
            </w:r>
          </w:p>
        </w:tc>
        <w:tc>
          <w:tcPr>
            <w:tcW w:w="8647" w:type="dxa"/>
            <w:vMerge/>
            <w:vAlign w:val="center"/>
          </w:tcPr>
          <w:p w14:paraId="6F8EFC87" w14:textId="77777777" w:rsidR="007A6FCC" w:rsidRPr="00B13CDD" w:rsidRDefault="007A6FCC" w:rsidP="00281329">
            <w:pPr>
              <w:pStyle w:val="Tablecontent"/>
            </w:pPr>
          </w:p>
        </w:tc>
      </w:tr>
      <w:tr w:rsidR="007A6FCC" w:rsidRPr="00B13CDD" w14:paraId="5A58CD79" w14:textId="77777777" w:rsidTr="00281329">
        <w:tc>
          <w:tcPr>
            <w:tcW w:w="1843" w:type="dxa"/>
            <w:shd w:val="clear" w:color="auto" w:fill="F2F2F2" w:themeFill="background1" w:themeFillShade="F2"/>
            <w:vAlign w:val="center"/>
          </w:tcPr>
          <w:p w14:paraId="0BC2811C" w14:textId="77777777" w:rsidR="007A6FCC" w:rsidRPr="00B13CDD" w:rsidRDefault="007A6FCC" w:rsidP="00281329">
            <w:pPr>
              <w:pStyle w:val="Tablecontent"/>
            </w:pPr>
            <w:r w:rsidRPr="005566D2">
              <w:lastRenderedPageBreak/>
              <w:t xml:space="preserve">MBREAD/s </w:t>
            </w:r>
          </w:p>
        </w:tc>
        <w:tc>
          <w:tcPr>
            <w:tcW w:w="8647" w:type="dxa"/>
            <w:vMerge w:val="restart"/>
            <w:vAlign w:val="center"/>
          </w:tcPr>
          <w:p w14:paraId="3FDFBFBA" w14:textId="77777777" w:rsidR="007A6FCC" w:rsidRPr="00B13CDD" w:rsidRDefault="007A6FCC" w:rsidP="00281329">
            <w:pPr>
              <w:pStyle w:val="Tablecontent"/>
            </w:pPr>
            <w:r>
              <w:t xml:space="preserve">Total disk amount transferred </w:t>
            </w:r>
            <w:r w:rsidRPr="005566D2">
              <w:t>per second</w:t>
            </w:r>
            <w:r>
              <w:t xml:space="preserve"> in MB. This is basically throughput.</w:t>
            </w:r>
          </w:p>
          <w:p w14:paraId="05CB1106" w14:textId="77777777" w:rsidR="007A6FCC" w:rsidRPr="00B13CDD" w:rsidRDefault="007A6FCC" w:rsidP="00281329">
            <w:pPr>
              <w:pStyle w:val="Tablecontent"/>
            </w:pPr>
            <w:r>
              <w:t>Both the read throughput and write throughput are provided</w:t>
            </w:r>
            <w:r w:rsidRPr="005566D2">
              <w:t xml:space="preserve">. </w:t>
            </w:r>
          </w:p>
        </w:tc>
      </w:tr>
      <w:tr w:rsidR="007A6FCC" w:rsidRPr="00B13CDD" w14:paraId="3DB4DF55" w14:textId="77777777" w:rsidTr="00281329">
        <w:tc>
          <w:tcPr>
            <w:tcW w:w="1843" w:type="dxa"/>
            <w:shd w:val="clear" w:color="auto" w:fill="F2F2F2" w:themeFill="background1" w:themeFillShade="F2"/>
            <w:vAlign w:val="center"/>
          </w:tcPr>
          <w:p w14:paraId="1BCF80F0" w14:textId="77777777" w:rsidR="007A6FCC" w:rsidRPr="00B13CDD" w:rsidRDefault="007A6FCC" w:rsidP="00281329">
            <w:pPr>
              <w:pStyle w:val="Tablecontent"/>
            </w:pPr>
            <w:r w:rsidRPr="005566D2">
              <w:t xml:space="preserve">MBWRTN/s </w:t>
            </w:r>
          </w:p>
        </w:tc>
        <w:tc>
          <w:tcPr>
            <w:tcW w:w="8647" w:type="dxa"/>
            <w:vMerge/>
            <w:vAlign w:val="center"/>
          </w:tcPr>
          <w:p w14:paraId="029232D6" w14:textId="77777777" w:rsidR="007A6FCC" w:rsidRPr="00B13CDD" w:rsidRDefault="007A6FCC" w:rsidP="00281329">
            <w:pPr>
              <w:pStyle w:val="Tablecontent"/>
            </w:pPr>
          </w:p>
        </w:tc>
      </w:tr>
    </w:tbl>
    <w:p w14:paraId="5EE8A46F" w14:textId="77777777" w:rsidR="007A6FCC" w:rsidRDefault="007A6FCC" w:rsidP="007A6FCC">
      <w:pPr>
        <w:pStyle w:val="Heading6"/>
      </w:pPr>
      <w:r>
        <w:t>Unmap</w:t>
      </w:r>
    </w:p>
    <w:p w14:paraId="1DF91E07" w14:textId="77777777" w:rsidR="007A6FCC" w:rsidRDefault="007A6FCC" w:rsidP="007A6FCC">
      <w:r>
        <w:t>It has unmap statistics. This can be useful that there is no such information at vSphere Client. In the UI, you can only see at ESXi level.</w:t>
      </w:r>
    </w:p>
    <w:p w14:paraId="7901B500" w14:textId="77777777" w:rsidR="007A6FCC" w:rsidRDefault="007A6FCC" w:rsidP="007A6FCC">
      <w:pPr>
        <w:jc w:val="center"/>
        <w:rPr>
          <w:lang w:val="en-GB"/>
        </w:rPr>
      </w:pPr>
      <w:r w:rsidRPr="00781901">
        <w:rPr>
          <w:noProof/>
          <w:lang w:val="en-GB"/>
        </w:rPr>
        <w:drawing>
          <wp:inline distT="0" distB="0" distL="0" distR="0" wp14:anchorId="506C5EF6" wp14:editId="6883E79E">
            <wp:extent cx="6293173" cy="615982"/>
            <wp:effectExtent l="0" t="0" r="0" b="0"/>
            <wp:docPr id="567723342" name="Picture 567723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1"/>
                    <a:stretch>
                      <a:fillRect/>
                    </a:stretch>
                  </pic:blipFill>
                  <pic:spPr>
                    <a:xfrm>
                      <a:off x="0" y="0"/>
                      <a:ext cx="6293173" cy="615982"/>
                    </a:xfrm>
                    <a:prstGeom prst="rect">
                      <a:avLst/>
                    </a:prstGeom>
                  </pic:spPr>
                </pic:pic>
              </a:graphicData>
            </a:graphic>
          </wp:inline>
        </w:drawing>
      </w:r>
    </w:p>
    <w:p w14:paraId="5189C59F"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4CB13954" w14:textId="77777777" w:rsidTr="00281329">
        <w:tc>
          <w:tcPr>
            <w:tcW w:w="1843" w:type="dxa"/>
            <w:shd w:val="clear" w:color="auto" w:fill="F2F2F2" w:themeFill="background1" w:themeFillShade="F2"/>
          </w:tcPr>
          <w:p w14:paraId="2D6F5215" w14:textId="77777777" w:rsidR="007A6FCC" w:rsidRPr="002510F4" w:rsidRDefault="007A6FCC" w:rsidP="00281329">
            <w:pPr>
              <w:pStyle w:val="Tablecontent"/>
            </w:pPr>
            <w:r w:rsidRPr="00B2168E">
              <w:t>SC_UMP/s</w:t>
            </w:r>
          </w:p>
        </w:tc>
        <w:tc>
          <w:tcPr>
            <w:tcW w:w="8647" w:type="dxa"/>
            <w:vMerge w:val="restart"/>
          </w:tcPr>
          <w:p w14:paraId="22ACC9FF" w14:textId="77777777" w:rsidR="007A6FCC" w:rsidRDefault="007A6FCC" w:rsidP="00281329">
            <w:pPr>
              <w:pStyle w:val="Tablecontent"/>
            </w:pPr>
            <w:r>
              <w:t xml:space="preserve">Successful, Failed and Total Unmaps per second. </w:t>
            </w:r>
          </w:p>
          <w:p w14:paraId="59CDF15C" w14:textId="77777777" w:rsidR="007A6FCC" w:rsidRPr="002510F4" w:rsidRDefault="007A6FCC" w:rsidP="00281329">
            <w:pPr>
              <w:pStyle w:val="Tablecontent"/>
            </w:pPr>
            <w:r>
              <w:t xml:space="preserve">Unmap can fail for a variety of reason. One example that was addressed in </w:t>
            </w:r>
            <w:r w:rsidRPr="00F376AC">
              <w:t>vSphere 6.7 Patch ESXi670-202008001</w:t>
            </w:r>
            <w:r>
              <w:t xml:space="preserve"> and documented in in KB is Guest </w:t>
            </w:r>
            <w:r w:rsidRPr="00B105AE">
              <w:t>OS do</w:t>
            </w:r>
            <w:r>
              <w:t>es no</w:t>
            </w:r>
            <w:r w:rsidRPr="00B105AE">
              <w:t xml:space="preserve">t refresh unmap granularities and keep sending unmap based on older value. </w:t>
            </w:r>
            <w:r>
              <w:t>Eventually limit is reached and the operation fail.</w:t>
            </w:r>
          </w:p>
        </w:tc>
      </w:tr>
      <w:tr w:rsidR="007A6FCC" w:rsidRPr="00E51A31" w14:paraId="3DA26D72" w14:textId="77777777" w:rsidTr="00281329">
        <w:tc>
          <w:tcPr>
            <w:tcW w:w="1843" w:type="dxa"/>
            <w:shd w:val="clear" w:color="auto" w:fill="F2F2F2" w:themeFill="background1" w:themeFillShade="F2"/>
          </w:tcPr>
          <w:p w14:paraId="45F11C5D" w14:textId="77777777" w:rsidR="007A6FCC" w:rsidRPr="00F92E06" w:rsidRDefault="007A6FCC" w:rsidP="00281329">
            <w:pPr>
              <w:pStyle w:val="Tablecontent"/>
              <w:rPr>
                <w:lang w:val="en-SG"/>
              </w:rPr>
            </w:pPr>
            <w:r w:rsidRPr="00B2168E">
              <w:t>FL_UMP/s</w:t>
            </w:r>
          </w:p>
        </w:tc>
        <w:tc>
          <w:tcPr>
            <w:tcW w:w="8647" w:type="dxa"/>
            <w:vMerge/>
          </w:tcPr>
          <w:p w14:paraId="4DD9F540" w14:textId="77777777" w:rsidR="007A6FCC" w:rsidRPr="002510F4" w:rsidRDefault="007A6FCC" w:rsidP="00281329">
            <w:pPr>
              <w:pStyle w:val="Tablecontent"/>
            </w:pPr>
          </w:p>
        </w:tc>
      </w:tr>
      <w:tr w:rsidR="007A6FCC" w:rsidRPr="00E51A31" w14:paraId="43F5017A" w14:textId="77777777" w:rsidTr="00281329">
        <w:tc>
          <w:tcPr>
            <w:tcW w:w="1843" w:type="dxa"/>
            <w:shd w:val="clear" w:color="auto" w:fill="F2F2F2" w:themeFill="background1" w:themeFillShade="F2"/>
          </w:tcPr>
          <w:p w14:paraId="1B4D760C" w14:textId="77777777" w:rsidR="007A6FCC" w:rsidRPr="002510F4" w:rsidRDefault="007A6FCC" w:rsidP="00281329">
            <w:pPr>
              <w:pStyle w:val="Tablecontent"/>
            </w:pPr>
            <w:r w:rsidRPr="00B2168E">
              <w:t>UMP/s</w:t>
            </w:r>
          </w:p>
        </w:tc>
        <w:tc>
          <w:tcPr>
            <w:tcW w:w="8647" w:type="dxa"/>
            <w:vMerge/>
          </w:tcPr>
          <w:p w14:paraId="05B676B7" w14:textId="77777777" w:rsidR="007A6FCC" w:rsidRPr="002510F4" w:rsidRDefault="007A6FCC" w:rsidP="00281329">
            <w:pPr>
              <w:pStyle w:val="Tablecontent"/>
            </w:pPr>
          </w:p>
        </w:tc>
      </w:tr>
      <w:tr w:rsidR="007A6FCC" w:rsidRPr="00E51A31" w14:paraId="784F52EA" w14:textId="77777777" w:rsidTr="00281329">
        <w:tc>
          <w:tcPr>
            <w:tcW w:w="1843" w:type="dxa"/>
            <w:shd w:val="clear" w:color="auto" w:fill="F2F2F2" w:themeFill="background1" w:themeFillShade="F2"/>
          </w:tcPr>
          <w:p w14:paraId="29468B99" w14:textId="77777777" w:rsidR="007A6FCC" w:rsidRPr="00B2168E" w:rsidRDefault="007A6FCC" w:rsidP="00281329">
            <w:pPr>
              <w:pStyle w:val="Tablecontent"/>
            </w:pPr>
            <w:r w:rsidRPr="00B2168E">
              <w:t>SC_UMP_MBS/s</w:t>
            </w:r>
          </w:p>
        </w:tc>
        <w:tc>
          <w:tcPr>
            <w:tcW w:w="8647" w:type="dxa"/>
            <w:vMerge w:val="restart"/>
          </w:tcPr>
          <w:p w14:paraId="1266441A" w14:textId="77777777" w:rsidR="007A6FCC" w:rsidRPr="002510F4" w:rsidRDefault="007A6FCC" w:rsidP="00281329">
            <w:pPr>
              <w:pStyle w:val="Tablecontent"/>
            </w:pPr>
            <w:r>
              <w:t>As above, but in MB/second.</w:t>
            </w:r>
          </w:p>
        </w:tc>
      </w:tr>
      <w:tr w:rsidR="007A6FCC" w:rsidRPr="00E51A31" w14:paraId="2234EC2D" w14:textId="77777777" w:rsidTr="00281329">
        <w:tc>
          <w:tcPr>
            <w:tcW w:w="1843" w:type="dxa"/>
            <w:shd w:val="clear" w:color="auto" w:fill="F2F2F2" w:themeFill="background1" w:themeFillShade="F2"/>
          </w:tcPr>
          <w:p w14:paraId="162CC110" w14:textId="77777777" w:rsidR="007A6FCC" w:rsidRPr="002510F4" w:rsidRDefault="007A6FCC" w:rsidP="00281329">
            <w:pPr>
              <w:pStyle w:val="Tablecontent"/>
            </w:pPr>
            <w:r w:rsidRPr="00B2168E">
              <w:t>FL_UMP_MBS/s</w:t>
            </w:r>
          </w:p>
        </w:tc>
        <w:tc>
          <w:tcPr>
            <w:tcW w:w="8647" w:type="dxa"/>
            <w:vMerge/>
          </w:tcPr>
          <w:p w14:paraId="4DF74593" w14:textId="77777777" w:rsidR="007A6FCC" w:rsidRPr="002510F4" w:rsidRDefault="007A6FCC" w:rsidP="00281329">
            <w:pPr>
              <w:pStyle w:val="Tablecontent"/>
            </w:pPr>
          </w:p>
        </w:tc>
      </w:tr>
    </w:tbl>
    <w:p w14:paraId="635530AB" w14:textId="77777777" w:rsidR="007A6FCC" w:rsidRDefault="007A6FCC" w:rsidP="007A6FCC">
      <w:pPr>
        <w:pStyle w:val="Heading6"/>
      </w:pPr>
      <w:r>
        <w:t>IO Filter</w:t>
      </w:r>
    </w:p>
    <w:p w14:paraId="56390469" w14:textId="77777777" w:rsidR="007A6FCC" w:rsidRDefault="007A6FCC" w:rsidP="007A6FCC">
      <w:pPr>
        <w:rPr>
          <w:lang w:val="en-GB"/>
        </w:rPr>
      </w:pPr>
      <w:r w:rsidRPr="00B93D92">
        <w:rPr>
          <w:lang w:val="en-GB"/>
        </w:rPr>
        <w:t xml:space="preserve">I/O </w:t>
      </w:r>
      <w:r>
        <w:rPr>
          <w:lang w:val="en-GB"/>
        </w:rPr>
        <w:t>F</w:t>
      </w:r>
      <w:r w:rsidRPr="00B93D92">
        <w:rPr>
          <w:lang w:val="en-GB"/>
        </w:rPr>
        <w:t xml:space="preserve">ilter </w:t>
      </w:r>
      <w:r>
        <w:rPr>
          <w:lang w:val="en-GB"/>
        </w:rPr>
        <w:t>in ESXi enable VMkernel to manipulate the IO sent by Guest OS before processing it. This obviously opens up many use cases, such as r</w:t>
      </w:r>
      <w:r w:rsidRPr="00954446">
        <w:rPr>
          <w:lang w:val="en-GB"/>
        </w:rPr>
        <w:t>eplication</w:t>
      </w:r>
      <w:r>
        <w:rPr>
          <w:lang w:val="en-GB"/>
        </w:rPr>
        <w:t>,</w:t>
      </w:r>
      <w:r w:rsidRPr="00954446">
        <w:rPr>
          <w:lang w:val="en-GB"/>
        </w:rPr>
        <w:t xml:space="preserve"> </w:t>
      </w:r>
      <w:r>
        <w:rPr>
          <w:lang w:val="en-GB"/>
        </w:rPr>
        <w:t>c</w:t>
      </w:r>
      <w:r w:rsidRPr="00954446">
        <w:rPr>
          <w:lang w:val="en-GB"/>
        </w:rPr>
        <w:t>aching</w:t>
      </w:r>
      <w:r>
        <w:rPr>
          <w:lang w:val="en-GB"/>
        </w:rPr>
        <w:t>,</w:t>
      </w:r>
      <w:r w:rsidRPr="00954446">
        <w:rPr>
          <w:lang w:val="en-GB"/>
        </w:rPr>
        <w:t xml:space="preserve"> Quality of </w:t>
      </w:r>
      <w:r>
        <w:rPr>
          <w:lang w:val="en-GB"/>
        </w:rPr>
        <w:t>S</w:t>
      </w:r>
      <w:r w:rsidRPr="00954446">
        <w:rPr>
          <w:lang w:val="en-GB"/>
        </w:rPr>
        <w:t>ervic</w:t>
      </w:r>
      <w:r>
        <w:rPr>
          <w:lang w:val="en-GB"/>
        </w:rPr>
        <w:t>e, e</w:t>
      </w:r>
      <w:r w:rsidRPr="00954446">
        <w:rPr>
          <w:lang w:val="en-GB"/>
        </w:rPr>
        <w:t>ncryption</w:t>
      </w:r>
      <w:r>
        <w:rPr>
          <w:lang w:val="en-GB"/>
        </w:rPr>
        <w:t>.</w:t>
      </w:r>
      <w:r w:rsidRPr="00954446">
        <w:rPr>
          <w:lang w:val="en-GB"/>
        </w:rPr>
        <w:t xml:space="preserve"> </w:t>
      </w:r>
    </w:p>
    <w:p w14:paraId="646B0663" w14:textId="77777777" w:rsidR="007A6FCC" w:rsidRPr="006170F4" w:rsidRDefault="007A6FCC" w:rsidP="007A6FCC">
      <w:pPr>
        <w:rPr>
          <w:lang w:val="en-GB"/>
        </w:rPr>
      </w:pPr>
      <w:r>
        <w:t>There is no such metric at vSphere Client. You will not find IO Filter metrics at both VM object and ESXi object.</w:t>
      </w:r>
    </w:p>
    <w:p w14:paraId="78E0E06C" w14:textId="77777777" w:rsidR="007A6FCC" w:rsidRDefault="007A6FCC" w:rsidP="007A6FCC">
      <w:pPr>
        <w:jc w:val="center"/>
        <w:rPr>
          <w:lang w:val="en-GB"/>
        </w:rPr>
      </w:pPr>
      <w:r w:rsidRPr="00177140">
        <w:rPr>
          <w:noProof/>
          <w:lang w:val="en-GB"/>
        </w:rPr>
        <w:drawing>
          <wp:inline distT="0" distB="0" distL="0" distR="0" wp14:anchorId="275999F4" wp14:editId="3373DB4A">
            <wp:extent cx="5258070" cy="704886"/>
            <wp:effectExtent l="0" t="0" r="0" b="0"/>
            <wp:docPr id="567723343" name="Picture 567723343"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55" name="Picture 918289655" descr="A screenshot of a computer&#10;&#10;Description automatically generated"/>
                    <pic:cNvPicPr/>
                  </pic:nvPicPr>
                  <pic:blipFill>
                    <a:blip r:embed="rId852"/>
                    <a:stretch>
                      <a:fillRect/>
                    </a:stretch>
                  </pic:blipFill>
                  <pic:spPr>
                    <a:xfrm>
                      <a:off x="0" y="0"/>
                      <a:ext cx="5258070" cy="704886"/>
                    </a:xfrm>
                    <a:prstGeom prst="rect">
                      <a:avLst/>
                    </a:prstGeom>
                  </pic:spPr>
                </pic:pic>
              </a:graphicData>
            </a:graphic>
          </wp:inline>
        </w:drawing>
      </w:r>
    </w:p>
    <w:p w14:paraId="660E94FB"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C2776A" w14:paraId="102B21B0" w14:textId="77777777" w:rsidTr="00281329">
        <w:tc>
          <w:tcPr>
            <w:tcW w:w="1843" w:type="dxa"/>
            <w:shd w:val="clear" w:color="auto" w:fill="F2F2F2" w:themeFill="background1" w:themeFillShade="F2"/>
          </w:tcPr>
          <w:p w14:paraId="587643DD" w14:textId="77777777" w:rsidR="007A6FCC" w:rsidRPr="00C2776A" w:rsidRDefault="007A6FCC" w:rsidP="00281329">
            <w:pPr>
              <w:pStyle w:val="Tablecontent"/>
            </w:pPr>
            <w:r w:rsidRPr="00C2776A">
              <w:t>NUMIOFILTERS</w:t>
            </w:r>
          </w:p>
        </w:tc>
        <w:tc>
          <w:tcPr>
            <w:tcW w:w="8647" w:type="dxa"/>
          </w:tcPr>
          <w:p w14:paraId="4C165797" w14:textId="77777777" w:rsidR="007A6FCC" w:rsidRPr="00C2776A" w:rsidRDefault="007A6FCC" w:rsidP="00281329">
            <w:pPr>
              <w:pStyle w:val="Tablecontent"/>
            </w:pPr>
            <w:r>
              <w:t>Number of IO Filters</w:t>
            </w:r>
          </w:p>
        </w:tc>
      </w:tr>
      <w:tr w:rsidR="007A6FCC" w:rsidRPr="00C2776A" w14:paraId="195FD886" w14:textId="77777777" w:rsidTr="00281329">
        <w:tc>
          <w:tcPr>
            <w:tcW w:w="1843" w:type="dxa"/>
            <w:shd w:val="clear" w:color="auto" w:fill="F2F2F2" w:themeFill="background1" w:themeFillShade="F2"/>
          </w:tcPr>
          <w:p w14:paraId="61B80AA4" w14:textId="77777777" w:rsidR="007A6FCC" w:rsidRPr="00C2776A" w:rsidRDefault="007A6FCC" w:rsidP="00281329">
            <w:pPr>
              <w:pStyle w:val="Tablecontent"/>
            </w:pPr>
            <w:r w:rsidRPr="00C2776A">
              <w:t>IOFILTERCLASS</w:t>
            </w:r>
          </w:p>
        </w:tc>
        <w:tc>
          <w:tcPr>
            <w:tcW w:w="8647" w:type="dxa"/>
          </w:tcPr>
          <w:p w14:paraId="6C7D2E23" w14:textId="77777777" w:rsidR="007A6FCC" w:rsidRPr="00C2776A" w:rsidRDefault="007A6FCC" w:rsidP="00281329">
            <w:pPr>
              <w:pStyle w:val="Tablecontent"/>
            </w:pPr>
            <w:r>
              <w:t>Type of IO Filter Class</w:t>
            </w:r>
          </w:p>
        </w:tc>
      </w:tr>
      <w:tr w:rsidR="007A6FCC" w:rsidRPr="00C2776A" w14:paraId="4C1ADF57" w14:textId="77777777" w:rsidTr="00281329">
        <w:tc>
          <w:tcPr>
            <w:tcW w:w="1843" w:type="dxa"/>
            <w:shd w:val="clear" w:color="auto" w:fill="F2F2F2" w:themeFill="background1" w:themeFillShade="F2"/>
          </w:tcPr>
          <w:p w14:paraId="0D023E10" w14:textId="77777777" w:rsidR="007A6FCC" w:rsidRPr="00C2776A" w:rsidRDefault="007A6FCC" w:rsidP="00281329">
            <w:pPr>
              <w:pStyle w:val="Tablecontent"/>
            </w:pPr>
            <w:r w:rsidRPr="00C2776A">
              <w:t>FAILEDIO</w:t>
            </w:r>
          </w:p>
        </w:tc>
        <w:tc>
          <w:tcPr>
            <w:tcW w:w="8647" w:type="dxa"/>
            <w:vMerge w:val="restart"/>
          </w:tcPr>
          <w:p w14:paraId="2A1393D3" w14:textId="77777777" w:rsidR="007A6FCC" w:rsidRPr="00C2776A" w:rsidRDefault="007A6FCC" w:rsidP="00281329">
            <w:pPr>
              <w:pStyle w:val="Tablecontent"/>
            </w:pPr>
            <w:r>
              <w:t xml:space="preserve">I think Failed IO should be 0 at all times. </w:t>
            </w:r>
          </w:p>
        </w:tc>
      </w:tr>
      <w:tr w:rsidR="007A6FCC" w:rsidRPr="00C2776A" w14:paraId="678F68A7" w14:textId="77777777" w:rsidTr="00281329">
        <w:tc>
          <w:tcPr>
            <w:tcW w:w="1843" w:type="dxa"/>
            <w:shd w:val="clear" w:color="auto" w:fill="F2F2F2" w:themeFill="background1" w:themeFillShade="F2"/>
          </w:tcPr>
          <w:p w14:paraId="3DF6F6B4" w14:textId="77777777" w:rsidR="007A6FCC" w:rsidRPr="00C2776A" w:rsidRDefault="007A6FCC" w:rsidP="00281329">
            <w:pPr>
              <w:pStyle w:val="Tablecontent"/>
            </w:pPr>
            <w:r w:rsidRPr="00C2776A">
              <w:t>TOTALIO</w:t>
            </w:r>
          </w:p>
        </w:tc>
        <w:tc>
          <w:tcPr>
            <w:tcW w:w="8647" w:type="dxa"/>
            <w:vMerge/>
          </w:tcPr>
          <w:p w14:paraId="46633906" w14:textId="77777777" w:rsidR="007A6FCC" w:rsidRPr="00C2776A" w:rsidRDefault="007A6FCC" w:rsidP="00281329">
            <w:pPr>
              <w:pStyle w:val="Tablecontent"/>
            </w:pPr>
          </w:p>
        </w:tc>
      </w:tr>
      <w:tr w:rsidR="007A6FCC" w:rsidRPr="00C2776A" w14:paraId="7E55BB3D" w14:textId="77777777" w:rsidTr="00281329">
        <w:tc>
          <w:tcPr>
            <w:tcW w:w="1843" w:type="dxa"/>
            <w:shd w:val="clear" w:color="auto" w:fill="F2F2F2" w:themeFill="background1" w:themeFillShade="F2"/>
          </w:tcPr>
          <w:p w14:paraId="03AEC7D5" w14:textId="77777777" w:rsidR="007A6FCC" w:rsidRPr="00C2776A" w:rsidRDefault="007A6FCC" w:rsidP="00281329">
            <w:pPr>
              <w:pStyle w:val="Tablecontent"/>
            </w:pPr>
            <w:r w:rsidRPr="00C2776A">
              <w:t>LATENCY</w:t>
            </w:r>
          </w:p>
        </w:tc>
        <w:tc>
          <w:tcPr>
            <w:tcW w:w="8647" w:type="dxa"/>
          </w:tcPr>
          <w:p w14:paraId="6334DED7" w14:textId="77777777" w:rsidR="007A6FCC" w:rsidRPr="00C2776A" w:rsidRDefault="007A6FCC" w:rsidP="00281329">
            <w:pPr>
              <w:pStyle w:val="Tablecontent"/>
            </w:pPr>
            <w:r>
              <w:t>I’m unsure if this latency measures the additional overhead introduced by IO Filter, or the total latency as seen by the VM.</w:t>
            </w:r>
          </w:p>
        </w:tc>
      </w:tr>
    </w:tbl>
    <w:p w14:paraId="39FD0AE5" w14:textId="77777777" w:rsidR="007A6FCC" w:rsidRDefault="007A6FCC" w:rsidP="007A6FCC">
      <w:pPr>
        <w:pStyle w:val="Heading6"/>
      </w:pPr>
      <w:r>
        <w:lastRenderedPageBreak/>
        <w:t>Configuration</w:t>
      </w:r>
    </w:p>
    <w:p w14:paraId="3B97D739" w14:textId="77777777" w:rsidR="007A6FCC" w:rsidRDefault="007A6FCC" w:rsidP="007A6FCC">
      <w:pPr>
        <w:jc w:val="center"/>
        <w:rPr>
          <w:lang w:val="en-GB"/>
        </w:rPr>
      </w:pPr>
      <w:r w:rsidRPr="00562D73">
        <w:rPr>
          <w:noProof/>
          <w:lang w:val="en-GB"/>
        </w:rPr>
        <w:drawing>
          <wp:inline distT="0" distB="0" distL="0" distR="0" wp14:anchorId="7EB081D1" wp14:editId="54712A42">
            <wp:extent cx="4045158" cy="749339"/>
            <wp:effectExtent l="0" t="0" r="0" b="0"/>
            <wp:docPr id="567723345" name="Picture 56772334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49" name="Picture 1859674549" descr="Text&#10;&#10;Description automatically generated"/>
                    <pic:cNvPicPr/>
                  </pic:nvPicPr>
                  <pic:blipFill>
                    <a:blip r:embed="rId853"/>
                    <a:stretch>
                      <a:fillRect/>
                    </a:stretch>
                  </pic:blipFill>
                  <pic:spPr>
                    <a:xfrm>
                      <a:off x="0" y="0"/>
                      <a:ext cx="4045158" cy="749339"/>
                    </a:xfrm>
                    <a:prstGeom prst="rect">
                      <a:avLst/>
                    </a:prstGeom>
                  </pic:spPr>
                </pic:pic>
              </a:graphicData>
            </a:graphic>
          </wp:inline>
        </w:drawing>
      </w:r>
    </w:p>
    <w:p w14:paraId="4B286BFD"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4533546A" w14:textId="77777777" w:rsidTr="00281329">
        <w:tc>
          <w:tcPr>
            <w:tcW w:w="1843" w:type="dxa"/>
            <w:shd w:val="clear" w:color="auto" w:fill="F2F2F2" w:themeFill="background1" w:themeFillShade="F2"/>
            <w:vAlign w:val="center"/>
          </w:tcPr>
          <w:p w14:paraId="68C3B148" w14:textId="77777777" w:rsidR="007A6FCC" w:rsidRPr="001610E5" w:rsidRDefault="007A6FCC" w:rsidP="00281329">
            <w:pPr>
              <w:pStyle w:val="Tablecontent"/>
            </w:pPr>
            <w:r w:rsidRPr="005566D2">
              <w:t xml:space="preserve">ID </w:t>
            </w:r>
          </w:p>
        </w:tc>
        <w:tc>
          <w:tcPr>
            <w:tcW w:w="8647" w:type="dxa"/>
            <w:vAlign w:val="center"/>
          </w:tcPr>
          <w:p w14:paraId="36751855" w14:textId="77777777" w:rsidR="007A6FCC" w:rsidRPr="001610E5" w:rsidRDefault="007A6FCC" w:rsidP="00281329">
            <w:pPr>
              <w:pStyle w:val="Tablecontent"/>
            </w:pPr>
            <w:r w:rsidRPr="005566D2">
              <w:t xml:space="preserve">Resource pool ID or VSCSI ID of VSCSI device. </w:t>
            </w:r>
          </w:p>
        </w:tc>
      </w:tr>
      <w:tr w:rsidR="007A6FCC" w:rsidRPr="00E51A31" w14:paraId="41FD549B" w14:textId="77777777" w:rsidTr="00281329">
        <w:tc>
          <w:tcPr>
            <w:tcW w:w="1843" w:type="dxa"/>
            <w:shd w:val="clear" w:color="auto" w:fill="F2F2F2" w:themeFill="background1" w:themeFillShade="F2"/>
            <w:vAlign w:val="center"/>
          </w:tcPr>
          <w:p w14:paraId="5D3A30AF" w14:textId="77777777" w:rsidR="007A6FCC" w:rsidRPr="001610E5" w:rsidRDefault="007A6FCC" w:rsidP="00281329">
            <w:pPr>
              <w:pStyle w:val="Tablecontent"/>
            </w:pPr>
            <w:r w:rsidRPr="005566D2">
              <w:t xml:space="preserve">GID </w:t>
            </w:r>
          </w:p>
        </w:tc>
        <w:tc>
          <w:tcPr>
            <w:tcW w:w="8647" w:type="dxa"/>
            <w:vAlign w:val="center"/>
          </w:tcPr>
          <w:p w14:paraId="1C6AA309" w14:textId="77777777" w:rsidR="007A6FCC" w:rsidRPr="001610E5" w:rsidRDefault="007A6FCC" w:rsidP="00281329">
            <w:pPr>
              <w:pStyle w:val="Tablecontent"/>
            </w:pPr>
            <w:r w:rsidRPr="005566D2">
              <w:t xml:space="preserve">Resource pool ID. </w:t>
            </w:r>
          </w:p>
        </w:tc>
      </w:tr>
      <w:tr w:rsidR="007A6FCC" w:rsidRPr="00E51A31" w14:paraId="2D8C43F4" w14:textId="77777777" w:rsidTr="00281329">
        <w:tc>
          <w:tcPr>
            <w:tcW w:w="1843" w:type="dxa"/>
            <w:shd w:val="clear" w:color="auto" w:fill="F2F2F2" w:themeFill="background1" w:themeFillShade="F2"/>
            <w:vAlign w:val="center"/>
          </w:tcPr>
          <w:p w14:paraId="2EA38AF6" w14:textId="77777777" w:rsidR="007A6FCC" w:rsidRPr="001610E5" w:rsidRDefault="007A6FCC" w:rsidP="00281329">
            <w:pPr>
              <w:pStyle w:val="Tablecontent"/>
            </w:pPr>
            <w:r w:rsidRPr="005566D2">
              <w:t xml:space="preserve">VMNAME </w:t>
            </w:r>
          </w:p>
        </w:tc>
        <w:tc>
          <w:tcPr>
            <w:tcW w:w="8647" w:type="dxa"/>
            <w:vAlign w:val="center"/>
          </w:tcPr>
          <w:p w14:paraId="5316D23D" w14:textId="77777777" w:rsidR="007A6FCC" w:rsidRPr="001610E5" w:rsidRDefault="007A6FCC" w:rsidP="00281329">
            <w:pPr>
              <w:pStyle w:val="Tablecontent"/>
            </w:pPr>
            <w:r w:rsidRPr="005566D2">
              <w:t xml:space="preserve">Name of the resource pool. </w:t>
            </w:r>
          </w:p>
        </w:tc>
      </w:tr>
      <w:tr w:rsidR="007A6FCC" w:rsidRPr="00E51A31" w14:paraId="7811B8B9" w14:textId="77777777" w:rsidTr="00281329">
        <w:tc>
          <w:tcPr>
            <w:tcW w:w="1843" w:type="dxa"/>
            <w:shd w:val="clear" w:color="auto" w:fill="F2F2F2" w:themeFill="background1" w:themeFillShade="F2"/>
            <w:vAlign w:val="center"/>
          </w:tcPr>
          <w:p w14:paraId="7917C0A7" w14:textId="77777777" w:rsidR="007A6FCC" w:rsidRPr="001610E5" w:rsidRDefault="007A6FCC" w:rsidP="00281329">
            <w:pPr>
              <w:pStyle w:val="Tablecontent"/>
            </w:pPr>
            <w:r w:rsidRPr="005566D2">
              <w:t xml:space="preserve">VSCSINAME </w:t>
            </w:r>
          </w:p>
        </w:tc>
        <w:tc>
          <w:tcPr>
            <w:tcW w:w="8647" w:type="dxa"/>
            <w:vAlign w:val="center"/>
          </w:tcPr>
          <w:p w14:paraId="1F46BEC8" w14:textId="77777777" w:rsidR="007A6FCC" w:rsidRPr="001610E5" w:rsidRDefault="007A6FCC" w:rsidP="00281329">
            <w:pPr>
              <w:pStyle w:val="Tablecontent"/>
            </w:pPr>
            <w:r w:rsidRPr="005566D2">
              <w:t xml:space="preserve">Name of the VSCSI device. </w:t>
            </w:r>
          </w:p>
        </w:tc>
      </w:tr>
      <w:tr w:rsidR="007A6FCC" w:rsidRPr="00E51A31" w14:paraId="0DF797DA" w14:textId="77777777" w:rsidTr="00281329">
        <w:tc>
          <w:tcPr>
            <w:tcW w:w="1843" w:type="dxa"/>
            <w:shd w:val="clear" w:color="auto" w:fill="F2F2F2" w:themeFill="background1" w:themeFillShade="F2"/>
            <w:vAlign w:val="center"/>
          </w:tcPr>
          <w:p w14:paraId="5AE888A4" w14:textId="77777777" w:rsidR="007A6FCC" w:rsidRPr="001610E5" w:rsidRDefault="007A6FCC" w:rsidP="00281329">
            <w:pPr>
              <w:pStyle w:val="Tablecontent"/>
            </w:pPr>
            <w:r w:rsidRPr="005566D2">
              <w:t xml:space="preserve">NDK </w:t>
            </w:r>
          </w:p>
        </w:tc>
        <w:tc>
          <w:tcPr>
            <w:tcW w:w="8647" w:type="dxa"/>
            <w:vAlign w:val="center"/>
          </w:tcPr>
          <w:p w14:paraId="25CEEA19" w14:textId="77777777" w:rsidR="007A6FCC" w:rsidRPr="001610E5" w:rsidRDefault="007A6FCC" w:rsidP="00281329">
            <w:pPr>
              <w:pStyle w:val="Tablecontent"/>
            </w:pPr>
            <w:r w:rsidRPr="005566D2">
              <w:t xml:space="preserve">Number of VSCSI devices </w:t>
            </w:r>
          </w:p>
        </w:tc>
      </w:tr>
    </w:tbl>
    <w:p w14:paraId="6E8946B5" w14:textId="77777777" w:rsidR="007A6FCC" w:rsidRDefault="007A6FCC" w:rsidP="007A6FCC">
      <w:pPr>
        <w:pStyle w:val="Heading5"/>
      </w:pPr>
      <w:r w:rsidRPr="00BE2A74">
        <w:t>Disk Adapter</w:t>
      </w:r>
    </w:p>
    <w:p w14:paraId="236A76A8" w14:textId="77777777" w:rsidR="007A6FCC" w:rsidRPr="005F7A26" w:rsidRDefault="007A6FCC" w:rsidP="007A6FCC">
      <w:pPr>
        <w:rPr>
          <w:lang w:val="en-GB"/>
        </w:rPr>
      </w:pPr>
      <w:r>
        <w:rPr>
          <w:lang w:val="en-GB"/>
        </w:rPr>
        <w:t xml:space="preserve">ESXi uses adapter to connect to device, so let’s begin with adapter, then device. </w:t>
      </w:r>
    </w:p>
    <w:p w14:paraId="4656C9E5" w14:textId="77777777" w:rsidR="007A6FCC" w:rsidRDefault="007A6FCC" w:rsidP="007A6FCC">
      <w:pPr>
        <w:rPr>
          <w:lang w:val="en-GB"/>
        </w:rPr>
      </w:pPr>
      <w:r>
        <w:rPr>
          <w:lang w:val="en-GB"/>
        </w:rPr>
        <w:t>The panel has a lot of metrics and properties, so let’s group them for ease of understanding.</w:t>
      </w:r>
    </w:p>
    <w:p w14:paraId="0A8C3F3F" w14:textId="77777777" w:rsidR="007A6FCC" w:rsidRPr="008A3813" w:rsidRDefault="007A6FCC" w:rsidP="007A6FCC">
      <w:pPr>
        <w:pStyle w:val="Heading6"/>
      </w:pPr>
      <w:r w:rsidRPr="008A3813">
        <w:t>Errors</w:t>
      </w:r>
    </w:p>
    <w:p w14:paraId="61977CF2" w14:textId="703B1119" w:rsidR="00BA3B51" w:rsidRDefault="00BA3B51" w:rsidP="00BA3B51">
      <w:r>
        <w:t xml:space="preserve">Since you check availability before performance, let’s check the errors first. </w:t>
      </w:r>
      <w:bookmarkStart w:id="131" w:name="_Hlk135141174"/>
      <w:r w:rsidRPr="00B73F52">
        <w:t>This type of problem is best monitored as accumulation within the reporting period as any value other than 0 should be investigated.</w:t>
      </w:r>
      <w:bookmarkEnd w:id="131"/>
    </w:p>
    <w:p w14:paraId="0D2A22F7" w14:textId="77777777" w:rsidR="007A6FCC" w:rsidRDefault="007A6FCC" w:rsidP="007A6FCC">
      <w:r>
        <w:t>BTW, none of these metrics are available at vSphere Client UI.</w:t>
      </w:r>
    </w:p>
    <w:p w14:paraId="248C04EC"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552DF26A" w14:textId="77777777" w:rsidTr="00281329">
        <w:tc>
          <w:tcPr>
            <w:tcW w:w="1843" w:type="dxa"/>
            <w:shd w:val="clear" w:color="auto" w:fill="F2F2F2" w:themeFill="background1" w:themeFillShade="F2"/>
            <w:vAlign w:val="center"/>
          </w:tcPr>
          <w:p w14:paraId="2AA58523" w14:textId="77777777" w:rsidR="007A6FCC" w:rsidRPr="00B73F52" w:rsidRDefault="007A6FCC" w:rsidP="00281329">
            <w:pPr>
              <w:pStyle w:val="Tablecontent"/>
            </w:pPr>
            <w:r w:rsidRPr="003225DD">
              <w:t>FCMDS/s</w:t>
            </w:r>
          </w:p>
        </w:tc>
        <w:tc>
          <w:tcPr>
            <w:tcW w:w="8647" w:type="dxa"/>
            <w:vMerge w:val="restart"/>
            <w:vAlign w:val="center"/>
          </w:tcPr>
          <w:p w14:paraId="2AF15A6C" w14:textId="3D12AE1A" w:rsidR="007A6FCC" w:rsidRPr="00B73F52" w:rsidRDefault="007A6FCC" w:rsidP="00281329">
            <w:pPr>
              <w:pStyle w:val="Tablecontent"/>
            </w:pPr>
            <w:r w:rsidRPr="003225DD">
              <w:t>Number of failed commands issued per second.</w:t>
            </w:r>
            <w:r>
              <w:rPr>
                <w:lang w:val="en-GB"/>
              </w:rPr>
              <w:t xml:space="preserve"> How does this differ to Reset and Aborted? </w:t>
            </w:r>
          </w:p>
          <w:p w14:paraId="08269863" w14:textId="77777777" w:rsidR="007A6FCC" w:rsidRPr="00B73F52" w:rsidRDefault="007A6FCC" w:rsidP="00281329">
            <w:pPr>
              <w:pStyle w:val="Tablecontent"/>
            </w:pPr>
            <w:r w:rsidRPr="003225DD">
              <w:t>Number of failed read commands issued per second.</w:t>
            </w:r>
          </w:p>
          <w:p w14:paraId="4BB0B574" w14:textId="77777777" w:rsidR="007A6FCC" w:rsidRPr="00B73F52" w:rsidRDefault="007A6FCC" w:rsidP="00281329">
            <w:pPr>
              <w:pStyle w:val="Tablecontent"/>
            </w:pPr>
            <w:r w:rsidRPr="003225DD">
              <w:t>Number of failed write commands issued per second.</w:t>
            </w:r>
          </w:p>
        </w:tc>
      </w:tr>
      <w:tr w:rsidR="007A6FCC" w:rsidRPr="00E51A31" w14:paraId="639017E9" w14:textId="77777777" w:rsidTr="00281329">
        <w:tc>
          <w:tcPr>
            <w:tcW w:w="1843" w:type="dxa"/>
            <w:shd w:val="clear" w:color="auto" w:fill="F2F2F2" w:themeFill="background1" w:themeFillShade="F2"/>
            <w:vAlign w:val="center"/>
          </w:tcPr>
          <w:p w14:paraId="5EB9AD17" w14:textId="77777777" w:rsidR="007A6FCC" w:rsidRPr="00B73F52" w:rsidRDefault="007A6FCC" w:rsidP="00281329">
            <w:pPr>
              <w:pStyle w:val="Tablecontent"/>
            </w:pPr>
            <w:r w:rsidRPr="003225DD">
              <w:t>FREAD/s</w:t>
            </w:r>
          </w:p>
        </w:tc>
        <w:tc>
          <w:tcPr>
            <w:tcW w:w="8647" w:type="dxa"/>
            <w:vMerge/>
            <w:vAlign w:val="center"/>
          </w:tcPr>
          <w:p w14:paraId="14322A5E" w14:textId="77777777" w:rsidR="007A6FCC" w:rsidRPr="00B73F52" w:rsidRDefault="007A6FCC" w:rsidP="00281329">
            <w:pPr>
              <w:pStyle w:val="Tablecontent"/>
            </w:pPr>
          </w:p>
        </w:tc>
      </w:tr>
      <w:tr w:rsidR="007A6FCC" w:rsidRPr="00E51A31" w14:paraId="02D5D6FC" w14:textId="77777777" w:rsidTr="00281329">
        <w:tc>
          <w:tcPr>
            <w:tcW w:w="1843" w:type="dxa"/>
            <w:shd w:val="clear" w:color="auto" w:fill="F2F2F2" w:themeFill="background1" w:themeFillShade="F2"/>
            <w:vAlign w:val="center"/>
          </w:tcPr>
          <w:p w14:paraId="29F23597" w14:textId="77777777" w:rsidR="007A6FCC" w:rsidRPr="00B73F52" w:rsidRDefault="007A6FCC" w:rsidP="00281329">
            <w:pPr>
              <w:pStyle w:val="Tablecontent"/>
            </w:pPr>
            <w:r w:rsidRPr="003225DD">
              <w:t>FWRITE/s</w:t>
            </w:r>
          </w:p>
        </w:tc>
        <w:tc>
          <w:tcPr>
            <w:tcW w:w="8647" w:type="dxa"/>
            <w:vMerge/>
            <w:vAlign w:val="center"/>
          </w:tcPr>
          <w:p w14:paraId="4BFEA391" w14:textId="77777777" w:rsidR="007A6FCC" w:rsidRPr="00B73F52" w:rsidRDefault="007A6FCC" w:rsidP="00281329">
            <w:pPr>
              <w:pStyle w:val="Tablecontent"/>
            </w:pPr>
          </w:p>
        </w:tc>
      </w:tr>
      <w:tr w:rsidR="007A6FCC" w:rsidRPr="00E51A31" w14:paraId="01D4C139" w14:textId="77777777" w:rsidTr="00281329">
        <w:tc>
          <w:tcPr>
            <w:tcW w:w="1843" w:type="dxa"/>
            <w:shd w:val="clear" w:color="auto" w:fill="F2F2F2" w:themeFill="background1" w:themeFillShade="F2"/>
            <w:vAlign w:val="center"/>
          </w:tcPr>
          <w:p w14:paraId="60A524D6" w14:textId="77777777" w:rsidR="007A6FCC" w:rsidRPr="00B73F52" w:rsidRDefault="007A6FCC" w:rsidP="00281329">
            <w:pPr>
              <w:pStyle w:val="Tablecontent"/>
            </w:pPr>
            <w:r w:rsidRPr="003225DD">
              <w:t>FMBRD/s</w:t>
            </w:r>
          </w:p>
        </w:tc>
        <w:tc>
          <w:tcPr>
            <w:tcW w:w="8647" w:type="dxa"/>
            <w:vMerge w:val="restart"/>
            <w:vAlign w:val="center"/>
          </w:tcPr>
          <w:p w14:paraId="3A8314CA" w14:textId="77777777" w:rsidR="007A6FCC" w:rsidRPr="00B73F52" w:rsidRDefault="007A6FCC" w:rsidP="00281329">
            <w:pPr>
              <w:pStyle w:val="Tablecontent"/>
            </w:pPr>
            <w:r w:rsidRPr="003225DD">
              <w:t>Megabytes of failed read operations per second.</w:t>
            </w:r>
          </w:p>
          <w:p w14:paraId="51C15B34" w14:textId="77777777" w:rsidR="007A6FCC" w:rsidRPr="00B73F52" w:rsidRDefault="007A6FCC" w:rsidP="00281329">
            <w:pPr>
              <w:pStyle w:val="Tablecontent"/>
            </w:pPr>
            <w:r w:rsidRPr="003225DD">
              <w:t>Megabytes of failed write operations per second.</w:t>
            </w:r>
          </w:p>
        </w:tc>
      </w:tr>
      <w:tr w:rsidR="007A6FCC" w:rsidRPr="00E51A31" w14:paraId="448851C1" w14:textId="77777777" w:rsidTr="00281329">
        <w:tc>
          <w:tcPr>
            <w:tcW w:w="1843" w:type="dxa"/>
            <w:shd w:val="clear" w:color="auto" w:fill="F2F2F2" w:themeFill="background1" w:themeFillShade="F2"/>
            <w:vAlign w:val="center"/>
          </w:tcPr>
          <w:p w14:paraId="5A054753" w14:textId="77777777" w:rsidR="007A6FCC" w:rsidRPr="00B73F52" w:rsidRDefault="007A6FCC" w:rsidP="00281329">
            <w:pPr>
              <w:pStyle w:val="Tablecontent"/>
            </w:pPr>
            <w:r w:rsidRPr="003225DD">
              <w:t>FMBWR/s</w:t>
            </w:r>
          </w:p>
        </w:tc>
        <w:tc>
          <w:tcPr>
            <w:tcW w:w="8647" w:type="dxa"/>
            <w:vMerge/>
            <w:vAlign w:val="center"/>
          </w:tcPr>
          <w:p w14:paraId="178E2E06" w14:textId="77777777" w:rsidR="007A6FCC" w:rsidRPr="00B73F52" w:rsidRDefault="007A6FCC" w:rsidP="00281329">
            <w:pPr>
              <w:pStyle w:val="Tablecontent"/>
            </w:pPr>
          </w:p>
        </w:tc>
      </w:tr>
      <w:tr w:rsidR="007A6FCC" w:rsidRPr="00E51A31" w14:paraId="216C64EB" w14:textId="77777777" w:rsidTr="00281329">
        <w:tc>
          <w:tcPr>
            <w:tcW w:w="1843" w:type="dxa"/>
            <w:shd w:val="clear" w:color="auto" w:fill="F2F2F2" w:themeFill="background1" w:themeFillShade="F2"/>
            <w:vAlign w:val="center"/>
          </w:tcPr>
          <w:p w14:paraId="3CB52E15" w14:textId="77777777" w:rsidR="007A6FCC" w:rsidRPr="003225DD" w:rsidRDefault="007A6FCC" w:rsidP="00281329">
            <w:pPr>
              <w:pStyle w:val="Tablecontent"/>
            </w:pPr>
            <w:r w:rsidRPr="003225DD">
              <w:t>CONS/s</w:t>
            </w:r>
          </w:p>
        </w:tc>
        <w:tc>
          <w:tcPr>
            <w:tcW w:w="8647" w:type="dxa"/>
            <w:vMerge w:val="restart"/>
            <w:vAlign w:val="center"/>
          </w:tcPr>
          <w:p w14:paraId="0DB5B4B9" w14:textId="77777777" w:rsidR="007A6FCC" w:rsidRPr="00B73F52" w:rsidRDefault="007A6FCC" w:rsidP="00281329">
            <w:pPr>
              <w:pStyle w:val="Tablecontent"/>
            </w:pPr>
            <w:r w:rsidRPr="003225DD">
              <w:t>Number of SCSI reservation conflicts per second.</w:t>
            </w:r>
            <w:r>
              <w:t xml:space="preserve"> This number should stay 0? </w:t>
            </w:r>
          </w:p>
          <w:p w14:paraId="0EE2CF90" w14:textId="77777777" w:rsidR="007A6FCC" w:rsidRDefault="007A6FCC" w:rsidP="00281329">
            <w:pPr>
              <w:pStyle w:val="Tablecontent"/>
            </w:pPr>
            <w:r w:rsidRPr="003225DD">
              <w:t>Number of failed SCSI reservations per second</w:t>
            </w:r>
            <w:r>
              <w:t>, if the conflict can’t be solved timely.</w:t>
            </w:r>
          </w:p>
          <w:p w14:paraId="2E417D30" w14:textId="77777777" w:rsidR="007A6FCC" w:rsidRPr="00B73F52" w:rsidRDefault="007A6FCC" w:rsidP="00281329">
            <w:pPr>
              <w:pStyle w:val="Tablecontent"/>
            </w:pPr>
            <w:r>
              <w:t>N</w:t>
            </w:r>
            <w:r w:rsidRPr="003225DD">
              <w:t>umber of SCSI reservations per second.</w:t>
            </w:r>
            <w:r>
              <w:t xml:space="preserve"> This number should stay within the limit, but how to know what the limit is?</w:t>
            </w:r>
          </w:p>
        </w:tc>
      </w:tr>
      <w:tr w:rsidR="007A6FCC" w:rsidRPr="00E51A31" w14:paraId="3E8BBF6C" w14:textId="77777777" w:rsidTr="00281329">
        <w:tc>
          <w:tcPr>
            <w:tcW w:w="1843" w:type="dxa"/>
            <w:shd w:val="clear" w:color="auto" w:fill="F2F2F2" w:themeFill="background1" w:themeFillShade="F2"/>
            <w:vAlign w:val="center"/>
          </w:tcPr>
          <w:p w14:paraId="566853FA" w14:textId="77777777" w:rsidR="007A6FCC" w:rsidRPr="00B73F52" w:rsidRDefault="007A6FCC" w:rsidP="00281329">
            <w:pPr>
              <w:pStyle w:val="Tablecontent"/>
            </w:pPr>
            <w:r w:rsidRPr="003225DD">
              <w:t>FRESV/s</w:t>
            </w:r>
          </w:p>
        </w:tc>
        <w:tc>
          <w:tcPr>
            <w:tcW w:w="8647" w:type="dxa"/>
            <w:vMerge/>
            <w:vAlign w:val="center"/>
          </w:tcPr>
          <w:p w14:paraId="7B6A7808" w14:textId="77777777" w:rsidR="007A6FCC" w:rsidRPr="00B73F52" w:rsidRDefault="007A6FCC" w:rsidP="00281329">
            <w:pPr>
              <w:pStyle w:val="Tablecontent"/>
            </w:pPr>
          </w:p>
        </w:tc>
      </w:tr>
      <w:tr w:rsidR="007A6FCC" w:rsidRPr="00E51A31" w14:paraId="696F9D67" w14:textId="77777777" w:rsidTr="00281329">
        <w:tc>
          <w:tcPr>
            <w:tcW w:w="1843" w:type="dxa"/>
            <w:shd w:val="clear" w:color="auto" w:fill="F2F2F2" w:themeFill="background1" w:themeFillShade="F2"/>
            <w:vAlign w:val="center"/>
          </w:tcPr>
          <w:p w14:paraId="123B5719" w14:textId="77777777" w:rsidR="007A6FCC" w:rsidRPr="003225DD" w:rsidRDefault="007A6FCC" w:rsidP="00281329">
            <w:pPr>
              <w:pStyle w:val="Tablecontent"/>
            </w:pPr>
            <w:r w:rsidRPr="003225DD">
              <w:t>RESV/s</w:t>
            </w:r>
          </w:p>
        </w:tc>
        <w:tc>
          <w:tcPr>
            <w:tcW w:w="8647" w:type="dxa"/>
            <w:vMerge/>
            <w:vAlign w:val="center"/>
          </w:tcPr>
          <w:p w14:paraId="09890ACA" w14:textId="77777777" w:rsidR="007A6FCC" w:rsidRPr="003225DD" w:rsidRDefault="007A6FCC" w:rsidP="00281329">
            <w:pPr>
              <w:pStyle w:val="Tablecontent"/>
            </w:pPr>
          </w:p>
        </w:tc>
      </w:tr>
      <w:tr w:rsidR="007A6FCC" w:rsidRPr="00E51A31" w14:paraId="79CDC8DD" w14:textId="77777777" w:rsidTr="00281329">
        <w:tc>
          <w:tcPr>
            <w:tcW w:w="1843" w:type="dxa"/>
            <w:shd w:val="clear" w:color="auto" w:fill="F2F2F2" w:themeFill="background1" w:themeFillShade="F2"/>
            <w:vAlign w:val="center"/>
          </w:tcPr>
          <w:p w14:paraId="79F67732" w14:textId="77777777" w:rsidR="007A6FCC" w:rsidRPr="00B73F52" w:rsidRDefault="007A6FCC" w:rsidP="00281329">
            <w:pPr>
              <w:pStyle w:val="Tablecontent"/>
            </w:pPr>
            <w:r w:rsidRPr="003225DD">
              <w:t>ABRTS/s</w:t>
            </w:r>
          </w:p>
        </w:tc>
        <w:tc>
          <w:tcPr>
            <w:tcW w:w="8647" w:type="dxa"/>
            <w:vAlign w:val="center"/>
          </w:tcPr>
          <w:p w14:paraId="7F479FE3" w14:textId="16685BFB" w:rsidR="007A6FCC" w:rsidRPr="00B73F52" w:rsidRDefault="007A6FCC" w:rsidP="00281329">
            <w:pPr>
              <w:pStyle w:val="Tablecontent"/>
            </w:pPr>
            <w:r w:rsidRPr="003225DD">
              <w:t>Number of commands cancelled per second.</w:t>
            </w:r>
            <w:r>
              <w:t xml:space="preserve"> </w:t>
            </w:r>
          </w:p>
        </w:tc>
      </w:tr>
      <w:tr w:rsidR="007A6FCC" w:rsidRPr="00E51A31" w14:paraId="342F06F2" w14:textId="77777777" w:rsidTr="00281329">
        <w:tc>
          <w:tcPr>
            <w:tcW w:w="1843" w:type="dxa"/>
            <w:shd w:val="clear" w:color="auto" w:fill="F2F2F2" w:themeFill="background1" w:themeFillShade="F2"/>
            <w:vAlign w:val="center"/>
          </w:tcPr>
          <w:p w14:paraId="669FBACC" w14:textId="77777777" w:rsidR="007A6FCC" w:rsidRPr="00B73F52" w:rsidRDefault="007A6FCC" w:rsidP="00281329">
            <w:pPr>
              <w:pStyle w:val="Tablecontent"/>
            </w:pPr>
            <w:r w:rsidRPr="003225DD">
              <w:t>RESETS/s</w:t>
            </w:r>
          </w:p>
        </w:tc>
        <w:tc>
          <w:tcPr>
            <w:tcW w:w="8647" w:type="dxa"/>
            <w:vAlign w:val="center"/>
          </w:tcPr>
          <w:p w14:paraId="18CE0F56" w14:textId="37FF7FDE" w:rsidR="007A6FCC" w:rsidRPr="00B73F52" w:rsidRDefault="007A6FCC" w:rsidP="00281329">
            <w:pPr>
              <w:pStyle w:val="Tablecontent"/>
            </w:pPr>
            <w:r w:rsidRPr="00B73F52">
              <w:t xml:space="preserve">Count of disk </w:t>
            </w:r>
            <w:r w:rsidRPr="003225DD">
              <w:t>commands reset per second.</w:t>
            </w:r>
            <w:r w:rsidRPr="00B73F52">
              <w:t xml:space="preserve"> </w:t>
            </w:r>
          </w:p>
        </w:tc>
      </w:tr>
    </w:tbl>
    <w:p w14:paraId="0B2A4E4E" w14:textId="77777777" w:rsidR="007A6FCC" w:rsidRPr="0061154C" w:rsidRDefault="007A6FCC" w:rsidP="007A6FCC">
      <w:pPr>
        <w:pStyle w:val="Heading6"/>
      </w:pPr>
      <w:r w:rsidRPr="0061154C">
        <w:lastRenderedPageBreak/>
        <w:t>Queue</w:t>
      </w:r>
    </w:p>
    <w:p w14:paraId="710AB863" w14:textId="70BB2E3F" w:rsidR="007A6FCC" w:rsidRDefault="007A6FCC" w:rsidP="007A6FCC">
      <w:r>
        <w:t>For storage, the queue gives insight into performance problem. It’s an important counter so I was hoping there will be more</w:t>
      </w:r>
      <w:r w:rsidR="00BA3B51">
        <w:t>, such as the actual queue.</w:t>
      </w:r>
    </w:p>
    <w:p w14:paraId="435094B1"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DF6AE8" w14:paraId="23D4138D" w14:textId="77777777" w:rsidTr="00281329">
        <w:tc>
          <w:tcPr>
            <w:tcW w:w="1843" w:type="dxa"/>
            <w:shd w:val="clear" w:color="auto" w:fill="F2F2F2" w:themeFill="background1" w:themeFillShade="F2"/>
            <w:vAlign w:val="center"/>
          </w:tcPr>
          <w:p w14:paraId="05652558" w14:textId="77777777" w:rsidR="007A6FCC" w:rsidRPr="008F29E5" w:rsidRDefault="007A6FCC" w:rsidP="00281329">
            <w:pPr>
              <w:pStyle w:val="Tablecontent"/>
            </w:pPr>
            <w:r w:rsidRPr="003225DD">
              <w:t>AQLEN</w:t>
            </w:r>
          </w:p>
        </w:tc>
        <w:tc>
          <w:tcPr>
            <w:tcW w:w="8647" w:type="dxa"/>
            <w:vAlign w:val="center"/>
          </w:tcPr>
          <w:p w14:paraId="145648AF" w14:textId="77777777" w:rsidR="007A6FCC" w:rsidRDefault="007A6FCC" w:rsidP="00281329">
            <w:pPr>
              <w:pStyle w:val="Tablecontent"/>
            </w:pPr>
            <w:r w:rsidRPr="003225DD">
              <w:t xml:space="preserve">Current queue depth of the storage adapter. </w:t>
            </w:r>
            <w:r w:rsidRPr="00696E70">
              <w:t>The storage adapter queue depth. This is the maximum number of ESX Server VMkernel active commands that the adapter driver is configured to support</w:t>
            </w:r>
          </w:p>
          <w:p w14:paraId="4D2F1F64" w14:textId="77777777" w:rsidR="007A6FCC" w:rsidRPr="008F29E5" w:rsidRDefault="007A6FCC" w:rsidP="00281329">
            <w:pPr>
              <w:pStyle w:val="Tablecontent"/>
            </w:pPr>
            <w:r>
              <w:t>This counter is not available in vSphere Client UI</w:t>
            </w:r>
          </w:p>
        </w:tc>
      </w:tr>
    </w:tbl>
    <w:p w14:paraId="19FEC1FF" w14:textId="77777777" w:rsidR="007A6FCC" w:rsidRPr="00676BDF" w:rsidRDefault="007A6FCC" w:rsidP="007A6FCC">
      <w:pPr>
        <w:pStyle w:val="Heading6"/>
      </w:pPr>
      <w:r w:rsidRPr="00676BDF">
        <w:t>Contention</w:t>
      </w:r>
    </w:p>
    <w:p w14:paraId="063C3FD8" w14:textId="4BFD7219" w:rsidR="007A6FCC" w:rsidRDefault="000A12F0" w:rsidP="007A6FCC">
      <w:r>
        <w:t>Y</w:t>
      </w:r>
      <w:r w:rsidR="007A6FCC">
        <w:t>ou expect to get 4 sets</w:t>
      </w:r>
      <w:r>
        <w:t xml:space="preserve"> (Device, Kernel, Guest, Queue)</w:t>
      </w:r>
      <w:r w:rsidR="007A6FCC">
        <w:t>. For each set, you expect read, write, and total. 12 metrics, and that’s exactly what you got below.</w:t>
      </w:r>
    </w:p>
    <w:p w14:paraId="5069EF2D"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3B3C80" w14:paraId="470F6853" w14:textId="77777777" w:rsidTr="00281329">
        <w:tc>
          <w:tcPr>
            <w:tcW w:w="1843" w:type="dxa"/>
            <w:shd w:val="clear" w:color="auto" w:fill="F2F2F2" w:themeFill="background1" w:themeFillShade="F2"/>
            <w:vAlign w:val="center"/>
          </w:tcPr>
          <w:p w14:paraId="0B09638C" w14:textId="77777777" w:rsidR="007A6FCC" w:rsidRPr="003B3C80" w:rsidRDefault="007A6FCC" w:rsidP="00281329">
            <w:pPr>
              <w:pStyle w:val="Tablecontent"/>
            </w:pPr>
            <w:r w:rsidRPr="000E5940">
              <w:t>DAVG/cmd</w:t>
            </w:r>
          </w:p>
        </w:tc>
        <w:tc>
          <w:tcPr>
            <w:tcW w:w="8647" w:type="dxa"/>
            <w:vMerge w:val="restart"/>
            <w:vAlign w:val="center"/>
          </w:tcPr>
          <w:p w14:paraId="023CAF4E" w14:textId="77777777" w:rsidR="007A6FCC" w:rsidRDefault="007A6FCC" w:rsidP="00281329">
            <w:pPr>
              <w:pStyle w:val="Tablecontent"/>
            </w:pPr>
            <w:r w:rsidRPr="000E5940">
              <w:t>Average latency per command in milliseconds.</w:t>
            </w:r>
          </w:p>
          <w:p w14:paraId="6D1DF4B6" w14:textId="77777777" w:rsidR="007A6FCC" w:rsidRDefault="007A6FCC" w:rsidP="00281329">
            <w:pPr>
              <w:pStyle w:val="Tablecontent"/>
            </w:pPr>
            <w:r>
              <w:t>It’s an average number, not the last number in the reporting period. If you have 1000 IOPS, that means 5K IOPS over the 5 second reporting period.</w:t>
            </w:r>
          </w:p>
          <w:p w14:paraId="3141DEDC" w14:textId="77777777" w:rsidR="007A6FCC" w:rsidRPr="003B3C80" w:rsidRDefault="007A6FCC" w:rsidP="00281329">
            <w:pPr>
              <w:pStyle w:val="Tablecontent"/>
            </w:pPr>
            <w:r>
              <w:t>It’s a weighted average between read and write. If the IO commands are mostly read, then high latency from write could be masked out.</w:t>
            </w:r>
          </w:p>
        </w:tc>
      </w:tr>
      <w:tr w:rsidR="007A6FCC" w:rsidRPr="003B3C80" w14:paraId="015B60A5" w14:textId="77777777" w:rsidTr="00281329">
        <w:tc>
          <w:tcPr>
            <w:tcW w:w="1843" w:type="dxa"/>
            <w:shd w:val="clear" w:color="auto" w:fill="F2F2F2" w:themeFill="background1" w:themeFillShade="F2"/>
            <w:vAlign w:val="center"/>
          </w:tcPr>
          <w:p w14:paraId="35222027" w14:textId="77777777" w:rsidR="007A6FCC" w:rsidRPr="003B3C80" w:rsidRDefault="007A6FCC" w:rsidP="00281329">
            <w:pPr>
              <w:pStyle w:val="Tablecontent"/>
            </w:pPr>
            <w:r w:rsidRPr="000E5940">
              <w:t>KAVG/cmd</w:t>
            </w:r>
          </w:p>
        </w:tc>
        <w:tc>
          <w:tcPr>
            <w:tcW w:w="8647" w:type="dxa"/>
            <w:vMerge/>
            <w:vAlign w:val="center"/>
          </w:tcPr>
          <w:p w14:paraId="79385680" w14:textId="77777777" w:rsidR="007A6FCC" w:rsidRPr="003B3C80" w:rsidRDefault="007A6FCC" w:rsidP="00281329">
            <w:pPr>
              <w:pStyle w:val="Tablecontent"/>
            </w:pPr>
          </w:p>
        </w:tc>
      </w:tr>
      <w:tr w:rsidR="007A6FCC" w:rsidRPr="003B3C80" w14:paraId="1BCD69C1" w14:textId="77777777" w:rsidTr="00281329">
        <w:tc>
          <w:tcPr>
            <w:tcW w:w="1843" w:type="dxa"/>
            <w:shd w:val="clear" w:color="auto" w:fill="F2F2F2" w:themeFill="background1" w:themeFillShade="F2"/>
            <w:vAlign w:val="center"/>
          </w:tcPr>
          <w:p w14:paraId="29973C09" w14:textId="77777777" w:rsidR="007A6FCC" w:rsidRPr="003B3C80" w:rsidRDefault="007A6FCC" w:rsidP="00281329">
            <w:pPr>
              <w:pStyle w:val="Tablecontent"/>
            </w:pPr>
            <w:r w:rsidRPr="000E5940">
              <w:t>GAVG/cmd</w:t>
            </w:r>
          </w:p>
        </w:tc>
        <w:tc>
          <w:tcPr>
            <w:tcW w:w="8647" w:type="dxa"/>
            <w:vMerge/>
            <w:vAlign w:val="center"/>
          </w:tcPr>
          <w:p w14:paraId="29E6F18D" w14:textId="77777777" w:rsidR="007A6FCC" w:rsidRPr="003B3C80" w:rsidRDefault="007A6FCC" w:rsidP="00281329">
            <w:pPr>
              <w:pStyle w:val="Tablecontent"/>
            </w:pPr>
          </w:p>
        </w:tc>
      </w:tr>
      <w:tr w:rsidR="007A6FCC" w:rsidRPr="003B3C80" w14:paraId="6298A9E4" w14:textId="77777777" w:rsidTr="00281329">
        <w:tc>
          <w:tcPr>
            <w:tcW w:w="1843" w:type="dxa"/>
            <w:shd w:val="clear" w:color="auto" w:fill="F2F2F2" w:themeFill="background1" w:themeFillShade="F2"/>
            <w:vAlign w:val="center"/>
          </w:tcPr>
          <w:p w14:paraId="325EE3CC" w14:textId="77777777" w:rsidR="007A6FCC" w:rsidRPr="003B3C80" w:rsidRDefault="007A6FCC" w:rsidP="00281329">
            <w:pPr>
              <w:pStyle w:val="Tablecontent"/>
            </w:pPr>
            <w:r w:rsidRPr="000E5940">
              <w:t>QAVG/cmd</w:t>
            </w:r>
          </w:p>
        </w:tc>
        <w:tc>
          <w:tcPr>
            <w:tcW w:w="8647" w:type="dxa"/>
            <w:vMerge/>
            <w:vAlign w:val="center"/>
          </w:tcPr>
          <w:p w14:paraId="7D55E0A9" w14:textId="77777777" w:rsidR="007A6FCC" w:rsidRPr="003B3C80" w:rsidRDefault="007A6FCC" w:rsidP="00281329">
            <w:pPr>
              <w:pStyle w:val="Tablecontent"/>
            </w:pPr>
          </w:p>
        </w:tc>
      </w:tr>
      <w:tr w:rsidR="007A6FCC" w:rsidRPr="003B3C80" w14:paraId="0E2AB36E" w14:textId="77777777" w:rsidTr="00281329">
        <w:tc>
          <w:tcPr>
            <w:tcW w:w="1843" w:type="dxa"/>
            <w:shd w:val="clear" w:color="auto" w:fill="F2F2F2" w:themeFill="background1" w:themeFillShade="F2"/>
            <w:vAlign w:val="center"/>
          </w:tcPr>
          <w:p w14:paraId="15BA870B" w14:textId="77777777" w:rsidR="007A6FCC" w:rsidRPr="003B3C80" w:rsidRDefault="007A6FCC" w:rsidP="00281329">
            <w:pPr>
              <w:pStyle w:val="Tablecontent"/>
            </w:pPr>
            <w:r w:rsidRPr="000E5940">
              <w:t>DAVG/rd</w:t>
            </w:r>
          </w:p>
        </w:tc>
        <w:tc>
          <w:tcPr>
            <w:tcW w:w="8647" w:type="dxa"/>
            <w:vMerge w:val="restart"/>
            <w:vAlign w:val="center"/>
          </w:tcPr>
          <w:p w14:paraId="2FDB6419" w14:textId="77777777" w:rsidR="007A6FCC" w:rsidRDefault="007A6FCC" w:rsidP="00281329">
            <w:pPr>
              <w:pStyle w:val="Tablecontent"/>
            </w:pPr>
            <w:r w:rsidRPr="000E5940">
              <w:t>Average read latency per read operation in milliseconds.</w:t>
            </w:r>
            <w:r>
              <w:t xml:space="preserve"> The same set of metrics as above, except it only counts the reads. </w:t>
            </w:r>
          </w:p>
          <w:p w14:paraId="0E9BE847" w14:textId="77777777" w:rsidR="007A6FCC" w:rsidRPr="003B3C80" w:rsidRDefault="007A6FCC" w:rsidP="00281329">
            <w:pPr>
              <w:pStyle w:val="Tablecontent"/>
            </w:pPr>
            <w:r>
              <w:t xml:space="preserve">It’s useful to see read and write separately as the numbers tend to be different. More importantly, the remediation action is different. </w:t>
            </w:r>
          </w:p>
        </w:tc>
      </w:tr>
      <w:tr w:rsidR="007A6FCC" w:rsidRPr="003B3C80" w14:paraId="627F867D" w14:textId="77777777" w:rsidTr="00281329">
        <w:tc>
          <w:tcPr>
            <w:tcW w:w="1843" w:type="dxa"/>
            <w:shd w:val="clear" w:color="auto" w:fill="F2F2F2" w:themeFill="background1" w:themeFillShade="F2"/>
            <w:vAlign w:val="center"/>
          </w:tcPr>
          <w:p w14:paraId="173228F4" w14:textId="77777777" w:rsidR="007A6FCC" w:rsidRPr="003B3C80" w:rsidRDefault="007A6FCC" w:rsidP="00281329">
            <w:pPr>
              <w:pStyle w:val="Tablecontent"/>
            </w:pPr>
            <w:r w:rsidRPr="000E5940">
              <w:t>KAVG/rd</w:t>
            </w:r>
          </w:p>
        </w:tc>
        <w:tc>
          <w:tcPr>
            <w:tcW w:w="8647" w:type="dxa"/>
            <w:vMerge/>
            <w:vAlign w:val="center"/>
          </w:tcPr>
          <w:p w14:paraId="7A59CFA2" w14:textId="77777777" w:rsidR="007A6FCC" w:rsidRPr="003B3C80" w:rsidRDefault="007A6FCC" w:rsidP="00281329">
            <w:pPr>
              <w:pStyle w:val="Tablecontent"/>
            </w:pPr>
          </w:p>
        </w:tc>
      </w:tr>
      <w:tr w:rsidR="007A6FCC" w:rsidRPr="003B3C80" w14:paraId="2D51F96D" w14:textId="77777777" w:rsidTr="00281329">
        <w:tc>
          <w:tcPr>
            <w:tcW w:w="1843" w:type="dxa"/>
            <w:shd w:val="clear" w:color="auto" w:fill="F2F2F2" w:themeFill="background1" w:themeFillShade="F2"/>
            <w:vAlign w:val="center"/>
          </w:tcPr>
          <w:p w14:paraId="5157675D" w14:textId="77777777" w:rsidR="007A6FCC" w:rsidRPr="003B3C80" w:rsidRDefault="007A6FCC" w:rsidP="00281329">
            <w:pPr>
              <w:pStyle w:val="Tablecontent"/>
            </w:pPr>
            <w:r w:rsidRPr="000E5940">
              <w:t>GAVG/rd</w:t>
            </w:r>
          </w:p>
        </w:tc>
        <w:tc>
          <w:tcPr>
            <w:tcW w:w="8647" w:type="dxa"/>
            <w:vMerge/>
            <w:vAlign w:val="center"/>
          </w:tcPr>
          <w:p w14:paraId="21254197" w14:textId="77777777" w:rsidR="007A6FCC" w:rsidRPr="003B3C80" w:rsidRDefault="007A6FCC" w:rsidP="00281329">
            <w:pPr>
              <w:pStyle w:val="Tablecontent"/>
            </w:pPr>
          </w:p>
        </w:tc>
      </w:tr>
      <w:tr w:rsidR="007A6FCC" w:rsidRPr="003B3C80" w14:paraId="0692302A" w14:textId="77777777" w:rsidTr="00281329">
        <w:tc>
          <w:tcPr>
            <w:tcW w:w="1843" w:type="dxa"/>
            <w:shd w:val="clear" w:color="auto" w:fill="F2F2F2" w:themeFill="background1" w:themeFillShade="F2"/>
            <w:vAlign w:val="center"/>
          </w:tcPr>
          <w:p w14:paraId="3CDA8D96" w14:textId="77777777" w:rsidR="007A6FCC" w:rsidRPr="003B3C80" w:rsidRDefault="007A6FCC" w:rsidP="00281329">
            <w:pPr>
              <w:pStyle w:val="Tablecontent"/>
            </w:pPr>
            <w:r w:rsidRPr="000E5940">
              <w:t>QAVG/rd</w:t>
            </w:r>
          </w:p>
        </w:tc>
        <w:tc>
          <w:tcPr>
            <w:tcW w:w="8647" w:type="dxa"/>
            <w:vMerge/>
            <w:vAlign w:val="center"/>
          </w:tcPr>
          <w:p w14:paraId="277675CE" w14:textId="77777777" w:rsidR="007A6FCC" w:rsidRPr="003B3C80" w:rsidRDefault="007A6FCC" w:rsidP="00281329">
            <w:pPr>
              <w:pStyle w:val="Tablecontent"/>
            </w:pPr>
          </w:p>
        </w:tc>
      </w:tr>
      <w:tr w:rsidR="007A6FCC" w:rsidRPr="003B3C80" w14:paraId="36D2BA3B" w14:textId="77777777" w:rsidTr="00281329">
        <w:tc>
          <w:tcPr>
            <w:tcW w:w="1843" w:type="dxa"/>
            <w:shd w:val="clear" w:color="auto" w:fill="F2F2F2" w:themeFill="background1" w:themeFillShade="F2"/>
            <w:vAlign w:val="center"/>
          </w:tcPr>
          <w:p w14:paraId="314E63F2" w14:textId="77777777" w:rsidR="007A6FCC" w:rsidRPr="003B3C80" w:rsidRDefault="007A6FCC" w:rsidP="00281329">
            <w:pPr>
              <w:pStyle w:val="Tablecontent"/>
            </w:pPr>
            <w:r w:rsidRPr="000E5940">
              <w:t>DAVG/wr</w:t>
            </w:r>
          </w:p>
        </w:tc>
        <w:tc>
          <w:tcPr>
            <w:tcW w:w="8647" w:type="dxa"/>
            <w:vMerge w:val="restart"/>
            <w:vAlign w:val="center"/>
          </w:tcPr>
          <w:p w14:paraId="275D0698" w14:textId="77777777" w:rsidR="007A6FCC" w:rsidRPr="003B3C80" w:rsidRDefault="007A6FCC" w:rsidP="00281329">
            <w:pPr>
              <w:pStyle w:val="Tablecontent"/>
            </w:pPr>
            <w:r>
              <w:t>The same set of metrics as above, except it only counts the writes.</w:t>
            </w:r>
          </w:p>
        </w:tc>
      </w:tr>
      <w:tr w:rsidR="007A6FCC" w:rsidRPr="003B3C80" w14:paraId="628CE686" w14:textId="77777777" w:rsidTr="00281329">
        <w:tc>
          <w:tcPr>
            <w:tcW w:w="1843" w:type="dxa"/>
            <w:shd w:val="clear" w:color="auto" w:fill="F2F2F2" w:themeFill="background1" w:themeFillShade="F2"/>
            <w:vAlign w:val="center"/>
          </w:tcPr>
          <w:p w14:paraId="4D3F2813" w14:textId="77777777" w:rsidR="007A6FCC" w:rsidRPr="003B3C80" w:rsidRDefault="007A6FCC" w:rsidP="00281329">
            <w:pPr>
              <w:pStyle w:val="Tablecontent"/>
            </w:pPr>
            <w:r w:rsidRPr="000E5940">
              <w:t>KAVG/wr</w:t>
            </w:r>
          </w:p>
        </w:tc>
        <w:tc>
          <w:tcPr>
            <w:tcW w:w="8647" w:type="dxa"/>
            <w:vMerge/>
            <w:vAlign w:val="center"/>
          </w:tcPr>
          <w:p w14:paraId="0AF1350D" w14:textId="77777777" w:rsidR="007A6FCC" w:rsidRPr="003B3C80" w:rsidRDefault="007A6FCC" w:rsidP="00281329">
            <w:pPr>
              <w:pStyle w:val="Tablecontent"/>
            </w:pPr>
          </w:p>
        </w:tc>
      </w:tr>
      <w:tr w:rsidR="007A6FCC" w:rsidRPr="003B3C80" w14:paraId="2CE7C5C6" w14:textId="77777777" w:rsidTr="00281329">
        <w:tc>
          <w:tcPr>
            <w:tcW w:w="1843" w:type="dxa"/>
            <w:shd w:val="clear" w:color="auto" w:fill="F2F2F2" w:themeFill="background1" w:themeFillShade="F2"/>
            <w:vAlign w:val="center"/>
          </w:tcPr>
          <w:p w14:paraId="5274825D" w14:textId="77777777" w:rsidR="007A6FCC" w:rsidRPr="003B3C80" w:rsidRDefault="007A6FCC" w:rsidP="00281329">
            <w:pPr>
              <w:pStyle w:val="Tablecontent"/>
            </w:pPr>
            <w:r w:rsidRPr="000E5940">
              <w:t>AVG/wr</w:t>
            </w:r>
          </w:p>
        </w:tc>
        <w:tc>
          <w:tcPr>
            <w:tcW w:w="8647" w:type="dxa"/>
            <w:vMerge/>
            <w:vAlign w:val="center"/>
          </w:tcPr>
          <w:p w14:paraId="5ABA01E6" w14:textId="77777777" w:rsidR="007A6FCC" w:rsidRPr="003B3C80" w:rsidRDefault="007A6FCC" w:rsidP="00281329">
            <w:pPr>
              <w:pStyle w:val="Tablecontent"/>
            </w:pPr>
          </w:p>
        </w:tc>
      </w:tr>
      <w:tr w:rsidR="007A6FCC" w:rsidRPr="003B3C80" w14:paraId="35334AD6" w14:textId="77777777" w:rsidTr="00281329">
        <w:tc>
          <w:tcPr>
            <w:tcW w:w="1843" w:type="dxa"/>
            <w:shd w:val="clear" w:color="auto" w:fill="F2F2F2" w:themeFill="background1" w:themeFillShade="F2"/>
            <w:vAlign w:val="center"/>
          </w:tcPr>
          <w:p w14:paraId="529B0203" w14:textId="77777777" w:rsidR="007A6FCC" w:rsidRPr="003B3C80" w:rsidRDefault="007A6FCC" w:rsidP="00281329">
            <w:pPr>
              <w:pStyle w:val="Tablecontent"/>
            </w:pPr>
            <w:r w:rsidRPr="000E5940">
              <w:t>QAVG/wr</w:t>
            </w:r>
          </w:p>
        </w:tc>
        <w:tc>
          <w:tcPr>
            <w:tcW w:w="8647" w:type="dxa"/>
            <w:vMerge/>
            <w:vAlign w:val="center"/>
          </w:tcPr>
          <w:p w14:paraId="1FA91910" w14:textId="77777777" w:rsidR="007A6FCC" w:rsidRPr="003B3C80" w:rsidRDefault="007A6FCC" w:rsidP="00281329">
            <w:pPr>
              <w:pStyle w:val="Tablecontent"/>
            </w:pPr>
          </w:p>
        </w:tc>
      </w:tr>
    </w:tbl>
    <w:p w14:paraId="0BCACD49" w14:textId="77777777" w:rsidR="007A6FCC" w:rsidRPr="00C27364" w:rsidRDefault="007A6FCC" w:rsidP="007A6FCC">
      <w:pPr>
        <w:pStyle w:val="Heading6"/>
      </w:pPr>
      <w:r w:rsidRPr="00C27364">
        <w:t>Utilization</w:t>
      </w:r>
    </w:p>
    <w:p w14:paraId="7E321F51" w14:textId="77777777" w:rsidR="007A6FCC" w:rsidRDefault="007A6FCC" w:rsidP="007A6FCC">
      <w:r>
        <w:t>Now that we get the more important metrics (errors, queue, and contention) done, you then check utilization counter. In this way you have better context.</w:t>
      </w:r>
    </w:p>
    <w:p w14:paraId="63E8504C"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3B0C7B62" w14:textId="77777777" w:rsidTr="00281329">
        <w:tc>
          <w:tcPr>
            <w:tcW w:w="1843" w:type="dxa"/>
            <w:shd w:val="clear" w:color="auto" w:fill="F2F2F2" w:themeFill="background1" w:themeFillShade="F2"/>
            <w:vAlign w:val="center"/>
          </w:tcPr>
          <w:p w14:paraId="625D66C6" w14:textId="77777777" w:rsidR="007A6FCC" w:rsidRPr="00356373" w:rsidRDefault="007A6FCC" w:rsidP="00281329">
            <w:pPr>
              <w:pStyle w:val="Tablecontent"/>
            </w:pPr>
            <w:r w:rsidRPr="000E5940">
              <w:t>ACTV</w:t>
            </w:r>
          </w:p>
        </w:tc>
        <w:tc>
          <w:tcPr>
            <w:tcW w:w="8647" w:type="dxa"/>
            <w:vAlign w:val="center"/>
          </w:tcPr>
          <w:p w14:paraId="343C9ABD" w14:textId="77777777" w:rsidR="007A6FCC" w:rsidRDefault="007A6FCC" w:rsidP="00281329">
            <w:pPr>
              <w:pStyle w:val="Tablecontent"/>
            </w:pPr>
            <w:r>
              <w:t xml:space="preserve">The definition is “ </w:t>
            </w:r>
            <w:r w:rsidRPr="000E5940">
              <w:t>Number of commands that are currently active</w:t>
            </w:r>
            <w:r>
              <w:t>”. I don’t know how it differs to IOPS, and what does the word “active” exactly mean here.</w:t>
            </w:r>
          </w:p>
          <w:p w14:paraId="14091237" w14:textId="77777777" w:rsidR="007A6FCC" w:rsidRPr="00356373" w:rsidRDefault="007A6FCC" w:rsidP="00281329">
            <w:pPr>
              <w:pStyle w:val="Tablecontent"/>
            </w:pPr>
            <w:r>
              <w:t>This is worth profiling.</w:t>
            </w:r>
          </w:p>
        </w:tc>
      </w:tr>
      <w:tr w:rsidR="007A6FCC" w:rsidRPr="00E51A31" w14:paraId="7801BCAE" w14:textId="77777777" w:rsidTr="00281329">
        <w:tc>
          <w:tcPr>
            <w:tcW w:w="1843" w:type="dxa"/>
            <w:shd w:val="clear" w:color="auto" w:fill="F2F2F2" w:themeFill="background1" w:themeFillShade="F2"/>
            <w:vAlign w:val="center"/>
          </w:tcPr>
          <w:p w14:paraId="68E6294E" w14:textId="77777777" w:rsidR="007A6FCC" w:rsidRPr="00356373" w:rsidRDefault="007A6FCC" w:rsidP="00281329">
            <w:pPr>
              <w:pStyle w:val="Tablecontent"/>
            </w:pPr>
            <w:r w:rsidRPr="000E5940">
              <w:t>CMDS/s</w:t>
            </w:r>
          </w:p>
        </w:tc>
        <w:tc>
          <w:tcPr>
            <w:tcW w:w="8647" w:type="dxa"/>
            <w:vMerge w:val="restart"/>
            <w:vAlign w:val="center"/>
          </w:tcPr>
          <w:p w14:paraId="60CB72D8" w14:textId="77777777" w:rsidR="007A6FCC" w:rsidRPr="00356373" w:rsidRDefault="007A6FCC" w:rsidP="00281329">
            <w:pPr>
              <w:pStyle w:val="Tablecontent"/>
            </w:pPr>
            <w:r>
              <w:t>I combine these 3 metrics as they are basically IOPS. Total IOPS, read IOPS and write IOPS.</w:t>
            </w:r>
          </w:p>
        </w:tc>
      </w:tr>
      <w:tr w:rsidR="007A6FCC" w:rsidRPr="00E51A31" w14:paraId="79142654" w14:textId="77777777" w:rsidTr="00281329">
        <w:tc>
          <w:tcPr>
            <w:tcW w:w="1843" w:type="dxa"/>
            <w:shd w:val="clear" w:color="auto" w:fill="F2F2F2" w:themeFill="background1" w:themeFillShade="F2"/>
            <w:vAlign w:val="center"/>
          </w:tcPr>
          <w:p w14:paraId="75B054D8" w14:textId="77777777" w:rsidR="007A6FCC" w:rsidRPr="00356373" w:rsidRDefault="007A6FCC" w:rsidP="00281329">
            <w:pPr>
              <w:pStyle w:val="Tablecontent"/>
            </w:pPr>
            <w:r w:rsidRPr="000E5940">
              <w:t>READS/s</w:t>
            </w:r>
          </w:p>
        </w:tc>
        <w:tc>
          <w:tcPr>
            <w:tcW w:w="8647" w:type="dxa"/>
            <w:vMerge/>
            <w:vAlign w:val="center"/>
          </w:tcPr>
          <w:p w14:paraId="08B3E991" w14:textId="77777777" w:rsidR="007A6FCC" w:rsidRPr="00356373" w:rsidRDefault="007A6FCC" w:rsidP="00281329">
            <w:pPr>
              <w:pStyle w:val="Tablecontent"/>
            </w:pPr>
          </w:p>
        </w:tc>
      </w:tr>
      <w:tr w:rsidR="007A6FCC" w:rsidRPr="00E51A31" w14:paraId="4C030703" w14:textId="77777777" w:rsidTr="00281329">
        <w:tc>
          <w:tcPr>
            <w:tcW w:w="1843" w:type="dxa"/>
            <w:shd w:val="clear" w:color="auto" w:fill="F2F2F2" w:themeFill="background1" w:themeFillShade="F2"/>
            <w:vAlign w:val="center"/>
          </w:tcPr>
          <w:p w14:paraId="150F6FBC" w14:textId="77777777" w:rsidR="007A6FCC" w:rsidRPr="00356373" w:rsidRDefault="007A6FCC" w:rsidP="00281329">
            <w:pPr>
              <w:pStyle w:val="Tablecontent"/>
            </w:pPr>
            <w:r w:rsidRPr="000E5940">
              <w:t>WRITES/s</w:t>
            </w:r>
          </w:p>
        </w:tc>
        <w:tc>
          <w:tcPr>
            <w:tcW w:w="8647" w:type="dxa"/>
            <w:vMerge/>
            <w:vAlign w:val="center"/>
          </w:tcPr>
          <w:p w14:paraId="0C3E45A8" w14:textId="77777777" w:rsidR="007A6FCC" w:rsidRPr="00356373" w:rsidRDefault="007A6FCC" w:rsidP="00281329">
            <w:pPr>
              <w:pStyle w:val="Tablecontent"/>
            </w:pPr>
          </w:p>
        </w:tc>
      </w:tr>
      <w:tr w:rsidR="007A6FCC" w:rsidRPr="00E51A31" w14:paraId="6D783ABB" w14:textId="77777777" w:rsidTr="00281329">
        <w:tc>
          <w:tcPr>
            <w:tcW w:w="1843" w:type="dxa"/>
            <w:shd w:val="clear" w:color="auto" w:fill="F2F2F2" w:themeFill="background1" w:themeFillShade="F2"/>
            <w:vAlign w:val="center"/>
          </w:tcPr>
          <w:p w14:paraId="2B30D4C9" w14:textId="77777777" w:rsidR="007A6FCC" w:rsidRPr="00356373" w:rsidRDefault="007A6FCC" w:rsidP="00281329">
            <w:pPr>
              <w:pStyle w:val="Tablecontent"/>
            </w:pPr>
            <w:r w:rsidRPr="000E5940">
              <w:t>MBREAD/s</w:t>
            </w:r>
          </w:p>
        </w:tc>
        <w:tc>
          <w:tcPr>
            <w:tcW w:w="8647" w:type="dxa"/>
            <w:vMerge w:val="restart"/>
            <w:vAlign w:val="center"/>
          </w:tcPr>
          <w:p w14:paraId="0B5FDC91" w14:textId="77777777" w:rsidR="007A6FCC" w:rsidRDefault="007A6FCC" w:rsidP="00281329">
            <w:pPr>
              <w:pStyle w:val="Tablecontent"/>
            </w:pPr>
            <w:r>
              <w:t>I combine them as they measure throughput. Interestingly, there is no total throughput metric, but you can simply sum them up.</w:t>
            </w:r>
          </w:p>
          <w:p w14:paraId="779D6D55" w14:textId="77777777" w:rsidR="007A6FCC" w:rsidRPr="00356373" w:rsidRDefault="007A6FCC" w:rsidP="00281329">
            <w:pPr>
              <w:pStyle w:val="Tablecontent"/>
            </w:pPr>
            <w:r>
              <w:t xml:space="preserve">Read the string </w:t>
            </w:r>
            <w:r w:rsidRPr="000E5940">
              <w:t>MBWRTN</w:t>
            </w:r>
            <w:r>
              <w:t xml:space="preserve"> as MB Written.</w:t>
            </w:r>
          </w:p>
        </w:tc>
      </w:tr>
      <w:tr w:rsidR="007A6FCC" w:rsidRPr="00E51A31" w14:paraId="14D7ABA8" w14:textId="77777777" w:rsidTr="00281329">
        <w:tc>
          <w:tcPr>
            <w:tcW w:w="1843" w:type="dxa"/>
            <w:shd w:val="clear" w:color="auto" w:fill="F2F2F2" w:themeFill="background1" w:themeFillShade="F2"/>
            <w:vAlign w:val="center"/>
          </w:tcPr>
          <w:p w14:paraId="387204A8" w14:textId="77777777" w:rsidR="007A6FCC" w:rsidRPr="00356373" w:rsidRDefault="007A6FCC" w:rsidP="00281329">
            <w:pPr>
              <w:pStyle w:val="Tablecontent"/>
            </w:pPr>
            <w:r w:rsidRPr="000E5940">
              <w:lastRenderedPageBreak/>
              <w:t>MBWRTN/s</w:t>
            </w:r>
          </w:p>
        </w:tc>
        <w:tc>
          <w:tcPr>
            <w:tcW w:w="8647" w:type="dxa"/>
            <w:vMerge/>
            <w:vAlign w:val="center"/>
          </w:tcPr>
          <w:p w14:paraId="09296A17" w14:textId="77777777" w:rsidR="007A6FCC" w:rsidRPr="00356373" w:rsidRDefault="007A6FCC" w:rsidP="00281329">
            <w:pPr>
              <w:pStyle w:val="Tablecontent"/>
            </w:pPr>
          </w:p>
        </w:tc>
      </w:tr>
    </w:tbl>
    <w:p w14:paraId="30E10175" w14:textId="77777777" w:rsidR="007A6FCC" w:rsidRDefault="007A6FCC" w:rsidP="007A6FCC">
      <w:pPr>
        <w:pStyle w:val="Heading6"/>
      </w:pPr>
      <w:r>
        <w:t>PAE and Split</w:t>
      </w: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600AC3EC" w14:textId="77777777" w:rsidTr="00281329">
        <w:tc>
          <w:tcPr>
            <w:tcW w:w="1843" w:type="dxa"/>
            <w:shd w:val="clear" w:color="auto" w:fill="F2F2F2" w:themeFill="background1" w:themeFillShade="F2"/>
            <w:vAlign w:val="center"/>
          </w:tcPr>
          <w:p w14:paraId="4301AC89" w14:textId="77777777" w:rsidR="007A6FCC" w:rsidRPr="00B25DD9" w:rsidRDefault="007A6FCC" w:rsidP="00281329">
            <w:pPr>
              <w:pStyle w:val="Tablecontent"/>
            </w:pPr>
            <w:r w:rsidRPr="000E5940">
              <w:t>PAECMD/s</w:t>
            </w:r>
          </w:p>
        </w:tc>
        <w:tc>
          <w:tcPr>
            <w:tcW w:w="8647" w:type="dxa"/>
            <w:vMerge w:val="restart"/>
            <w:vAlign w:val="center"/>
          </w:tcPr>
          <w:p w14:paraId="3244E51A" w14:textId="77777777" w:rsidR="007A6FCC" w:rsidRDefault="007A6FCC" w:rsidP="00281329">
            <w:pPr>
              <w:pStyle w:val="Tablecontent"/>
            </w:pPr>
            <w:r>
              <w:t>PAE Command per second and PAE Copy per second.</w:t>
            </w:r>
          </w:p>
          <w:p w14:paraId="1815EE6A" w14:textId="77777777" w:rsidR="007A6FCC" w:rsidRDefault="007A6FCC" w:rsidP="00281329">
            <w:pPr>
              <w:pStyle w:val="Tablecontent"/>
            </w:pPr>
            <w:r>
              <w:t xml:space="preserve">I think </w:t>
            </w:r>
            <w:r w:rsidRPr="00DA19BC">
              <w:t xml:space="preserve">PAE </w:t>
            </w:r>
            <w:r>
              <w:t>(</w:t>
            </w:r>
            <w:r w:rsidRPr="003225DD">
              <w:t>Physical Address Extension</w:t>
            </w:r>
            <w:r>
              <w:t>)</w:t>
            </w:r>
            <w:r w:rsidRPr="00DA19BC">
              <w:t xml:space="preserve"> </w:t>
            </w:r>
            <w:r>
              <w:t>no longer applicable in 64-bit and modern drivers/firmware/OS, as the size is big enough. Copy operations here refer to VMkernel copies the data from high region (beyond what the adapter can reach) to low region.</w:t>
            </w:r>
          </w:p>
          <w:p w14:paraId="1C68156D" w14:textId="77777777" w:rsidR="007A6FCC" w:rsidRPr="00DA19BC" w:rsidRDefault="007A6FCC" w:rsidP="00281329">
            <w:pPr>
              <w:pStyle w:val="Tablecontent"/>
            </w:pPr>
            <w:r w:rsidRPr="00DA19BC">
              <w:t>This statistic applies to only paths.</w:t>
            </w:r>
          </w:p>
        </w:tc>
      </w:tr>
      <w:tr w:rsidR="007A6FCC" w:rsidRPr="00E51A31" w14:paraId="0EC27BEE" w14:textId="77777777" w:rsidTr="00281329">
        <w:tc>
          <w:tcPr>
            <w:tcW w:w="1843" w:type="dxa"/>
            <w:shd w:val="clear" w:color="auto" w:fill="F2F2F2" w:themeFill="background1" w:themeFillShade="F2"/>
            <w:vAlign w:val="center"/>
          </w:tcPr>
          <w:p w14:paraId="180B1FF6" w14:textId="77777777" w:rsidR="007A6FCC" w:rsidRPr="00B25DD9" w:rsidRDefault="007A6FCC" w:rsidP="00281329">
            <w:pPr>
              <w:pStyle w:val="Tablecontent"/>
            </w:pPr>
            <w:r w:rsidRPr="000E5940">
              <w:t>PAECP/s</w:t>
            </w:r>
          </w:p>
        </w:tc>
        <w:tc>
          <w:tcPr>
            <w:tcW w:w="8647" w:type="dxa"/>
            <w:vMerge/>
            <w:vAlign w:val="center"/>
          </w:tcPr>
          <w:p w14:paraId="7DD5D111" w14:textId="77777777" w:rsidR="007A6FCC" w:rsidRPr="00DA19BC" w:rsidRDefault="007A6FCC" w:rsidP="00281329">
            <w:pPr>
              <w:pStyle w:val="Tablecontent"/>
            </w:pPr>
          </w:p>
        </w:tc>
      </w:tr>
      <w:tr w:rsidR="007A6FCC" w:rsidRPr="00E51A31" w14:paraId="453858A3" w14:textId="77777777" w:rsidTr="00281329">
        <w:tc>
          <w:tcPr>
            <w:tcW w:w="1843" w:type="dxa"/>
            <w:shd w:val="clear" w:color="auto" w:fill="F2F2F2" w:themeFill="background1" w:themeFillShade="F2"/>
            <w:vAlign w:val="center"/>
          </w:tcPr>
          <w:p w14:paraId="56190B96" w14:textId="77777777" w:rsidR="007A6FCC" w:rsidRPr="00B25DD9" w:rsidRDefault="007A6FCC" w:rsidP="00281329">
            <w:pPr>
              <w:pStyle w:val="Tablecontent"/>
            </w:pPr>
            <w:r w:rsidRPr="000E5940">
              <w:t>SPLTCMD/s</w:t>
            </w:r>
          </w:p>
        </w:tc>
        <w:tc>
          <w:tcPr>
            <w:tcW w:w="8647" w:type="dxa"/>
            <w:vAlign w:val="center"/>
          </w:tcPr>
          <w:p w14:paraId="19DE6731" w14:textId="44A93D2A" w:rsidR="007A6FCC" w:rsidRDefault="007A6FCC" w:rsidP="00281329">
            <w:pPr>
              <w:pStyle w:val="Tablecontent"/>
            </w:pPr>
            <w:r>
              <w:t>Spl</w:t>
            </w:r>
            <w:r w:rsidR="00CC351A">
              <w:t>i</w:t>
            </w:r>
            <w:r>
              <w:t>t C</w:t>
            </w:r>
            <w:r w:rsidR="00CC351A">
              <w:t>ommands</w:t>
            </w:r>
            <w:r>
              <w:t xml:space="preserve"> </w:t>
            </w:r>
            <w:r w:rsidRPr="00DA19BC">
              <w:t>per second</w:t>
            </w:r>
            <w:r>
              <w:t xml:space="preserve">. </w:t>
            </w:r>
          </w:p>
          <w:p w14:paraId="04297349" w14:textId="09FBC491" w:rsidR="007A6FCC" w:rsidRPr="00DA19BC" w:rsidRDefault="007A6FCC" w:rsidP="00281329">
            <w:pPr>
              <w:pStyle w:val="Tablecontent"/>
            </w:pPr>
            <w:r>
              <w:t xml:space="preserve">Disk IO </w:t>
            </w:r>
            <w:r w:rsidRPr="00DA19BC">
              <w:t xml:space="preserve">commands </w:t>
            </w:r>
            <w:r>
              <w:t>with large block size have to be split by the VMkernel</w:t>
            </w:r>
            <w:r w:rsidRPr="00DA19BC">
              <w:t xml:space="preserve">. </w:t>
            </w:r>
            <w:r>
              <w:t>This can impact the performance as experience</w:t>
            </w:r>
            <w:r w:rsidR="00CC351A">
              <w:t>s</w:t>
            </w:r>
            <w:r>
              <w:t xml:space="preserve"> by the Guest OS.</w:t>
            </w:r>
          </w:p>
        </w:tc>
      </w:tr>
      <w:tr w:rsidR="007A6FCC" w:rsidRPr="00E51A31" w14:paraId="4002C8E7" w14:textId="77777777" w:rsidTr="00281329">
        <w:tc>
          <w:tcPr>
            <w:tcW w:w="1843" w:type="dxa"/>
            <w:shd w:val="clear" w:color="auto" w:fill="F2F2F2" w:themeFill="background1" w:themeFillShade="F2"/>
            <w:vAlign w:val="center"/>
          </w:tcPr>
          <w:p w14:paraId="1DAD49FF" w14:textId="77777777" w:rsidR="007A6FCC" w:rsidRPr="00B25DD9" w:rsidRDefault="007A6FCC" w:rsidP="00281329">
            <w:pPr>
              <w:pStyle w:val="Tablecontent"/>
            </w:pPr>
            <w:r w:rsidRPr="000E5940">
              <w:t>SPLTCP/s</w:t>
            </w:r>
          </w:p>
        </w:tc>
        <w:tc>
          <w:tcPr>
            <w:tcW w:w="8647" w:type="dxa"/>
            <w:vAlign w:val="center"/>
          </w:tcPr>
          <w:p w14:paraId="1BFC7AE1" w14:textId="500B7CA8" w:rsidR="007A6FCC" w:rsidRPr="00DA19BC" w:rsidRDefault="007A6FCC" w:rsidP="00281329">
            <w:pPr>
              <w:pStyle w:val="Tablecontent"/>
            </w:pPr>
            <w:r w:rsidRPr="00DA19BC">
              <w:t xml:space="preserve">Number of split copies per second. </w:t>
            </w:r>
            <w:r w:rsidR="00CC351A">
              <w:t>A higher number means lower performance</w:t>
            </w:r>
          </w:p>
        </w:tc>
      </w:tr>
    </w:tbl>
    <w:p w14:paraId="45E2247A" w14:textId="77777777" w:rsidR="007A6FCC" w:rsidRPr="00163917" w:rsidRDefault="007A6FCC" w:rsidP="007A6FCC">
      <w:pPr>
        <w:pStyle w:val="Heading6"/>
      </w:pPr>
      <w:r w:rsidRPr="00163917">
        <w:t>Configuration</w:t>
      </w:r>
    </w:p>
    <w:p w14:paraId="0F9E3F01" w14:textId="77777777" w:rsidR="007A6FCC" w:rsidRDefault="007A6FCC" w:rsidP="007A6FCC">
      <w:r>
        <w:t>The panel provides basic configuration. I use vSphere Client as it provides a lot more information, and I can take action on them. The following is just some of the settings available.</w:t>
      </w:r>
    </w:p>
    <w:p w14:paraId="44E3C54E" w14:textId="77777777" w:rsidR="007A6FCC" w:rsidRDefault="007A6FCC" w:rsidP="007A6FCC">
      <w:r w:rsidRPr="00567F04">
        <w:rPr>
          <w:noProof/>
        </w:rPr>
        <w:drawing>
          <wp:inline distT="0" distB="0" distL="0" distR="0" wp14:anchorId="539465D8" wp14:editId="7F14010F">
            <wp:extent cx="6645910" cy="1550670"/>
            <wp:effectExtent l="0" t="0" r="2540" b="0"/>
            <wp:docPr id="567723347" name="Picture 56772334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43" name="Picture 534447543" descr="Graphical user interface, text, application, email&#10;&#10;Description automatically generated"/>
                    <pic:cNvPicPr/>
                  </pic:nvPicPr>
                  <pic:blipFill>
                    <a:blip r:embed="rId854"/>
                    <a:stretch>
                      <a:fillRect/>
                    </a:stretch>
                  </pic:blipFill>
                  <pic:spPr>
                    <a:xfrm>
                      <a:off x="0" y="0"/>
                      <a:ext cx="6645910" cy="1550670"/>
                    </a:xfrm>
                    <a:prstGeom prst="rect">
                      <a:avLst/>
                    </a:prstGeom>
                  </pic:spPr>
                </pic:pic>
              </a:graphicData>
            </a:graphic>
          </wp:inline>
        </w:drawing>
      </w:r>
    </w:p>
    <w:p w14:paraId="71152729" w14:textId="77777777" w:rsidR="007A6FCC" w:rsidRDefault="007A6FCC" w:rsidP="007A6FCC">
      <w:r>
        <w:t>Compare the above with what esxtop provides, which is the following:</w:t>
      </w:r>
    </w:p>
    <w:p w14:paraId="538C4A54" w14:textId="77777777" w:rsidR="007A6FCC" w:rsidRDefault="007A6FCC" w:rsidP="007A6FCC">
      <w:pPr>
        <w:jc w:val="center"/>
      </w:pPr>
      <w:r w:rsidRPr="003518FC">
        <w:rPr>
          <w:noProof/>
        </w:rPr>
        <w:drawing>
          <wp:inline distT="0" distB="0" distL="0" distR="0" wp14:anchorId="3D798FD7" wp14:editId="7B8FFA74">
            <wp:extent cx="3702240" cy="1358970"/>
            <wp:effectExtent l="0" t="0" r="0" b="0"/>
            <wp:docPr id="567723348" name="Picture 567723348"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42" name="Picture 534447542" descr="Text&#10;&#10;Description automatically generated"/>
                    <pic:cNvPicPr/>
                  </pic:nvPicPr>
                  <pic:blipFill>
                    <a:blip r:embed="rId855"/>
                    <a:stretch>
                      <a:fillRect/>
                    </a:stretch>
                  </pic:blipFill>
                  <pic:spPr>
                    <a:xfrm>
                      <a:off x="0" y="0"/>
                      <a:ext cx="3702240" cy="1358970"/>
                    </a:xfrm>
                    <a:prstGeom prst="rect">
                      <a:avLst/>
                    </a:prstGeom>
                  </pic:spPr>
                </pic:pic>
              </a:graphicData>
            </a:graphic>
          </wp:inline>
        </w:drawing>
      </w:r>
    </w:p>
    <w:p w14:paraId="480C4ADD" w14:textId="77777777" w:rsidR="007A6FCC" w:rsidRDefault="007A6FCC" w:rsidP="007A6FCC">
      <w:pPr>
        <w:pStyle w:val="BeforeTable"/>
        <w:rPr>
          <w:lang w:val="en-GB"/>
        </w:rPr>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39F39B1A" w14:textId="77777777" w:rsidTr="00281329">
        <w:tc>
          <w:tcPr>
            <w:tcW w:w="1843" w:type="dxa"/>
            <w:shd w:val="clear" w:color="auto" w:fill="F2F2F2" w:themeFill="background1" w:themeFillShade="F2"/>
            <w:vAlign w:val="center"/>
          </w:tcPr>
          <w:p w14:paraId="1AA0CBAA" w14:textId="77777777" w:rsidR="007A6FCC" w:rsidRPr="00B73F52" w:rsidRDefault="007A6FCC" w:rsidP="00281329">
            <w:pPr>
              <w:pStyle w:val="Tablecontent"/>
            </w:pPr>
            <w:r>
              <w:rPr>
                <w:lang w:val="en-GB"/>
              </w:rPr>
              <w:t>NPTH</w:t>
            </w:r>
          </w:p>
        </w:tc>
        <w:tc>
          <w:tcPr>
            <w:tcW w:w="8647" w:type="dxa"/>
            <w:vAlign w:val="center"/>
          </w:tcPr>
          <w:p w14:paraId="25B20842" w14:textId="77777777" w:rsidR="007A6FCC" w:rsidRPr="00B73F52" w:rsidRDefault="007A6FCC" w:rsidP="00281329">
            <w:pPr>
              <w:pStyle w:val="Tablecontent"/>
            </w:pPr>
            <w:r>
              <w:rPr>
                <w:lang w:val="en-GB"/>
              </w:rPr>
              <w:t>Number of path. This should match your design. An adapter typically has more than 1 path, which is why I said it would be awesome to have a panel for path</w:t>
            </w:r>
          </w:p>
        </w:tc>
      </w:tr>
    </w:tbl>
    <w:p w14:paraId="51920717" w14:textId="77777777" w:rsidR="007A6FCC" w:rsidRDefault="007A6FCC" w:rsidP="007A6FCC">
      <w:pPr>
        <w:pStyle w:val="Heading5"/>
      </w:pPr>
      <w:r w:rsidRPr="00F37012">
        <w:lastRenderedPageBreak/>
        <w:t>Disk Device panel</w:t>
      </w:r>
    </w:p>
    <w:p w14:paraId="6A26E49B" w14:textId="77777777" w:rsidR="007A6FCC" w:rsidRDefault="007A6FCC" w:rsidP="007A6FCC">
      <w:pPr>
        <w:rPr>
          <w:lang w:val="en-GB"/>
        </w:rPr>
      </w:pPr>
      <w:r>
        <w:rPr>
          <w:lang w:val="en-GB"/>
        </w:rPr>
        <w:t>The device panel has a lot of metrics and properties, so let’s group them for ease of understanding.</w:t>
      </w:r>
    </w:p>
    <w:p w14:paraId="711CF3AF" w14:textId="77777777" w:rsidR="007A6FCC" w:rsidRPr="008A3813" w:rsidRDefault="007A6FCC" w:rsidP="007A6FCC">
      <w:pPr>
        <w:pStyle w:val="Heading6"/>
      </w:pPr>
      <w:r w:rsidRPr="008A3813">
        <w:t>Errors</w:t>
      </w:r>
    </w:p>
    <w:p w14:paraId="7EBD778F" w14:textId="77777777" w:rsidR="007A6FCC" w:rsidRDefault="007A6FCC" w:rsidP="007A6FCC">
      <w:r>
        <w:t xml:space="preserve">I’m always interested in errors first, before I check for contention and utilization. </w:t>
      </w:r>
    </w:p>
    <w:p w14:paraId="45A093DF"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3B3971AB" w14:textId="77777777" w:rsidTr="00281329">
        <w:tc>
          <w:tcPr>
            <w:tcW w:w="1843" w:type="dxa"/>
            <w:shd w:val="clear" w:color="auto" w:fill="F2F2F2" w:themeFill="background1" w:themeFillShade="F2"/>
            <w:vAlign w:val="center"/>
          </w:tcPr>
          <w:p w14:paraId="3C55B3A5" w14:textId="77777777" w:rsidR="007A6FCC" w:rsidRPr="00187160" w:rsidRDefault="007A6FCC" w:rsidP="00281329">
            <w:pPr>
              <w:pStyle w:val="Tablecontent"/>
            </w:pPr>
            <w:r w:rsidRPr="000E5940">
              <w:t>ABRTS/s</w:t>
            </w:r>
          </w:p>
        </w:tc>
        <w:tc>
          <w:tcPr>
            <w:tcW w:w="8647" w:type="dxa"/>
            <w:vAlign w:val="center"/>
          </w:tcPr>
          <w:p w14:paraId="3ED98E6B" w14:textId="77777777" w:rsidR="007A6FCC" w:rsidRPr="00187160" w:rsidRDefault="007A6FCC" w:rsidP="00281329">
            <w:pPr>
              <w:pStyle w:val="Tablecontent"/>
            </w:pPr>
            <w:r w:rsidRPr="000E5940">
              <w:t>Number of commands cancelled per second.</w:t>
            </w:r>
            <w:r>
              <w:t xml:space="preserve"> Expect this to be 0 at all times.</w:t>
            </w:r>
          </w:p>
        </w:tc>
      </w:tr>
      <w:tr w:rsidR="007A6FCC" w:rsidRPr="00E51A31" w14:paraId="34975419" w14:textId="77777777" w:rsidTr="00281329">
        <w:tc>
          <w:tcPr>
            <w:tcW w:w="1843" w:type="dxa"/>
            <w:shd w:val="clear" w:color="auto" w:fill="F2F2F2" w:themeFill="background1" w:themeFillShade="F2"/>
            <w:vAlign w:val="center"/>
          </w:tcPr>
          <w:p w14:paraId="25CA7BF3" w14:textId="77777777" w:rsidR="007A6FCC" w:rsidRPr="00187160" w:rsidRDefault="007A6FCC" w:rsidP="00281329">
            <w:pPr>
              <w:pStyle w:val="Tablecontent"/>
            </w:pPr>
            <w:r w:rsidRPr="000E5940">
              <w:t>RESETS/s</w:t>
            </w:r>
          </w:p>
        </w:tc>
        <w:tc>
          <w:tcPr>
            <w:tcW w:w="8647" w:type="dxa"/>
            <w:vAlign w:val="center"/>
          </w:tcPr>
          <w:p w14:paraId="6401D00C" w14:textId="77777777" w:rsidR="007A6FCC" w:rsidRPr="00187160" w:rsidRDefault="007A6FCC" w:rsidP="00281329">
            <w:pPr>
              <w:pStyle w:val="Tablecontent"/>
            </w:pPr>
            <w:r w:rsidRPr="000E5940">
              <w:t>Number of commands reset per second.</w:t>
            </w:r>
            <w:r>
              <w:t xml:space="preserve"> Expect this to be 0 at all times.</w:t>
            </w:r>
          </w:p>
        </w:tc>
      </w:tr>
    </w:tbl>
    <w:p w14:paraId="2C82009A" w14:textId="77777777" w:rsidR="007A6FCC" w:rsidRPr="0061154C" w:rsidRDefault="007A6FCC" w:rsidP="007A6FCC">
      <w:pPr>
        <w:pStyle w:val="Heading6"/>
      </w:pPr>
      <w:r w:rsidRPr="0061154C">
        <w:t>Queue</w:t>
      </w:r>
    </w:p>
    <w:p w14:paraId="125DCC4B" w14:textId="77777777" w:rsidR="007A6FCC" w:rsidRDefault="007A6FCC" w:rsidP="007A6FCC">
      <w:r>
        <w:t>You’ve seen that there is only 1 counter for queue in Disk Adapter. How many do you expect for Disk Device?</w:t>
      </w:r>
    </w:p>
    <w:p w14:paraId="33732380" w14:textId="77777777" w:rsidR="007A6FCC" w:rsidRDefault="007A6FCC" w:rsidP="007A6FCC">
      <w:r>
        <w:t>Interestingly, there are 6 metrics for queue, as shown below.</w:t>
      </w:r>
    </w:p>
    <w:p w14:paraId="6325BF90" w14:textId="77777777" w:rsidR="007A6FCC" w:rsidRDefault="007A6FCC" w:rsidP="007A6FCC">
      <w:pPr>
        <w:jc w:val="center"/>
      </w:pPr>
      <w:r w:rsidRPr="00D96040">
        <w:rPr>
          <w:noProof/>
        </w:rPr>
        <w:drawing>
          <wp:inline distT="0" distB="0" distL="0" distR="0" wp14:anchorId="5D881BB1" wp14:editId="499B3057">
            <wp:extent cx="5505733" cy="882695"/>
            <wp:effectExtent l="0" t="0" r="0" b="0"/>
            <wp:docPr id="567723349" name="Picture 567723349" descr="Graphical user interfac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44" name="Picture 534447544" descr="Graphical user interface&#10;&#10;Description automatically generated with low confidence"/>
                    <pic:cNvPicPr/>
                  </pic:nvPicPr>
                  <pic:blipFill>
                    <a:blip r:embed="rId856"/>
                    <a:stretch>
                      <a:fillRect/>
                    </a:stretch>
                  </pic:blipFill>
                  <pic:spPr>
                    <a:xfrm>
                      <a:off x="0" y="0"/>
                      <a:ext cx="5505733" cy="882695"/>
                    </a:xfrm>
                    <a:prstGeom prst="rect">
                      <a:avLst/>
                    </a:prstGeom>
                  </pic:spPr>
                </pic:pic>
              </a:graphicData>
            </a:graphic>
          </wp:inline>
        </w:drawing>
      </w:r>
    </w:p>
    <w:p w14:paraId="3A32DDE4"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DF6AE8" w14:paraId="336AA835" w14:textId="77777777" w:rsidTr="00281329">
        <w:tc>
          <w:tcPr>
            <w:tcW w:w="1843" w:type="dxa"/>
            <w:shd w:val="clear" w:color="auto" w:fill="F2F2F2" w:themeFill="background1" w:themeFillShade="F2"/>
            <w:vAlign w:val="center"/>
          </w:tcPr>
          <w:p w14:paraId="4C7740DB" w14:textId="77777777" w:rsidR="007A6FCC" w:rsidRPr="000E5940" w:rsidRDefault="007A6FCC" w:rsidP="00281329">
            <w:pPr>
              <w:pStyle w:val="Tablecontent"/>
            </w:pPr>
            <w:r w:rsidRPr="00DF6AE8">
              <w:t>LOAD</w:t>
            </w:r>
          </w:p>
        </w:tc>
        <w:tc>
          <w:tcPr>
            <w:tcW w:w="8647" w:type="dxa"/>
            <w:vAlign w:val="center"/>
          </w:tcPr>
          <w:p w14:paraId="15FFE0E9" w14:textId="77777777" w:rsidR="007A6FCC" w:rsidRDefault="007A6FCC" w:rsidP="00281329">
            <w:pPr>
              <w:pStyle w:val="Tablecontent"/>
            </w:pPr>
            <w:r>
              <w:t>The formula is</w:t>
            </w:r>
          </w:p>
          <w:p w14:paraId="14640BD6" w14:textId="77777777" w:rsidR="007A6FCC" w:rsidRDefault="007A6FCC" w:rsidP="00281329">
            <w:pPr>
              <w:pStyle w:val="Tablecontent"/>
            </w:pPr>
            <w:r>
              <w:t>(</w:t>
            </w:r>
            <w:r w:rsidRPr="00DF6AE8">
              <w:t xml:space="preserve">active commands </w:t>
            </w:r>
            <w:r>
              <w:t xml:space="preserve">+ </w:t>
            </w:r>
            <w:r w:rsidRPr="00DF6AE8">
              <w:t>ESXi VMkernel queued commands</w:t>
            </w:r>
            <w:r>
              <w:t xml:space="preserve">) / </w:t>
            </w:r>
            <w:r w:rsidRPr="00DF6AE8">
              <w:t xml:space="preserve">queue depth. </w:t>
            </w:r>
          </w:p>
          <w:p w14:paraId="5D26C544" w14:textId="77777777" w:rsidR="007A6FCC" w:rsidRDefault="007A6FCC" w:rsidP="00281329">
            <w:pPr>
              <w:pStyle w:val="Tablecontent"/>
            </w:pPr>
            <w:r w:rsidRPr="00AE2177">
              <w:t>If LOAD &gt; 1, check the value of the QUED counter</w:t>
            </w:r>
            <w:r>
              <w:t xml:space="preserve">. </w:t>
            </w:r>
          </w:p>
        </w:tc>
      </w:tr>
      <w:tr w:rsidR="007A6FCC" w:rsidRPr="00DF6AE8" w14:paraId="05B8CF96" w14:textId="77777777" w:rsidTr="00281329">
        <w:tc>
          <w:tcPr>
            <w:tcW w:w="1843" w:type="dxa"/>
            <w:shd w:val="clear" w:color="auto" w:fill="F2F2F2" w:themeFill="background1" w:themeFillShade="F2"/>
            <w:vAlign w:val="center"/>
          </w:tcPr>
          <w:p w14:paraId="1DC3BF50" w14:textId="77777777" w:rsidR="007A6FCC" w:rsidRPr="000E5940" w:rsidRDefault="007A6FCC" w:rsidP="00281329">
            <w:pPr>
              <w:pStyle w:val="Tablecontent"/>
            </w:pPr>
            <w:r w:rsidRPr="00DF6AE8">
              <w:t>QUED</w:t>
            </w:r>
          </w:p>
        </w:tc>
        <w:tc>
          <w:tcPr>
            <w:tcW w:w="8647" w:type="dxa"/>
            <w:vAlign w:val="center"/>
          </w:tcPr>
          <w:p w14:paraId="798F3388" w14:textId="77777777" w:rsidR="007A6FCC" w:rsidRDefault="007A6FCC" w:rsidP="00281329">
            <w:pPr>
              <w:pStyle w:val="Tablecontent"/>
            </w:pPr>
            <w:r w:rsidRPr="00DF6AE8">
              <w:t xml:space="preserve">Number of commands in the ESXi VMkernel that are currently queued. </w:t>
            </w:r>
            <w:r>
              <w:t>You want this to be as low as possible, well below the queue depth.</w:t>
            </w:r>
          </w:p>
        </w:tc>
      </w:tr>
      <w:tr w:rsidR="007A6FCC" w:rsidRPr="00DF6AE8" w14:paraId="38848A0B" w14:textId="77777777" w:rsidTr="00281329">
        <w:tc>
          <w:tcPr>
            <w:tcW w:w="1843" w:type="dxa"/>
            <w:shd w:val="clear" w:color="auto" w:fill="F2F2F2" w:themeFill="background1" w:themeFillShade="F2"/>
            <w:vAlign w:val="center"/>
          </w:tcPr>
          <w:p w14:paraId="1E00659E" w14:textId="77777777" w:rsidR="007A6FCC" w:rsidRPr="00DF6AE8" w:rsidRDefault="007A6FCC" w:rsidP="00281329">
            <w:pPr>
              <w:pStyle w:val="Tablecontent"/>
            </w:pPr>
            <w:r w:rsidRPr="00DF6AE8">
              <w:t>%USD</w:t>
            </w:r>
          </w:p>
        </w:tc>
        <w:tc>
          <w:tcPr>
            <w:tcW w:w="8647" w:type="dxa"/>
            <w:vAlign w:val="center"/>
          </w:tcPr>
          <w:p w14:paraId="104713C0" w14:textId="77777777" w:rsidR="007A6FCC" w:rsidRDefault="007A6FCC" w:rsidP="00281329">
            <w:r>
              <w:t>USD (%) = ACTV / QLEN</w:t>
            </w:r>
          </w:p>
          <w:p w14:paraId="11CD6CD1" w14:textId="77777777" w:rsidR="007A6FCC" w:rsidRDefault="007A6FCC" w:rsidP="00281329">
            <w:pPr>
              <w:pStyle w:val="Tablecontent"/>
            </w:pPr>
            <w:r w:rsidRPr="00603817">
              <w:t xml:space="preserve">For world stats, </w:t>
            </w:r>
            <w:r>
              <w:t xml:space="preserve">QLEN is </w:t>
            </w:r>
            <w:r w:rsidRPr="00603817">
              <w:t xml:space="preserve">WQLEN. For LUN (aka device) stats, </w:t>
            </w:r>
            <w:r>
              <w:t>QLEN is D</w:t>
            </w:r>
            <w:r w:rsidRPr="00603817">
              <w:t>QLEN</w:t>
            </w:r>
            <w:r>
              <w:t>.</w:t>
            </w:r>
          </w:p>
          <w:p w14:paraId="10D44D05" w14:textId="77777777" w:rsidR="007A6FCC" w:rsidRDefault="007A6FCC" w:rsidP="00281329">
            <w:pPr>
              <w:pStyle w:val="Tablecontent"/>
            </w:pPr>
            <w:r w:rsidRPr="00DF6AE8">
              <w:t xml:space="preserve">Percentage of the queue depth used by ESXi VMkernel active commands. </w:t>
            </w:r>
          </w:p>
          <w:p w14:paraId="3B9B6A0B" w14:textId="77777777" w:rsidR="007A6FCC" w:rsidRDefault="007A6FCC" w:rsidP="00281329">
            <w:pPr>
              <w:pStyle w:val="Tablecontent"/>
            </w:pPr>
            <w:r>
              <w:t xml:space="preserve">So this does not include the queued command? Does it mean that if this number is not 100%, then there is nothing in the queue, as queue should only develop when it’s 100% used? </w:t>
            </w:r>
          </w:p>
          <w:p w14:paraId="54400ECC" w14:textId="77777777" w:rsidR="007A6FCC" w:rsidRPr="00DF6AE8" w:rsidRDefault="007A6FCC" w:rsidP="00281329">
            <w:pPr>
              <w:pStyle w:val="Tablecontent"/>
            </w:pPr>
            <w:r>
              <w:t>Obviously when Used = 100% it means the queue is full. That will introduce outstanding IO, which in turn will increase latency</w:t>
            </w:r>
          </w:p>
        </w:tc>
      </w:tr>
      <w:tr w:rsidR="007A6FCC" w:rsidRPr="00DF6AE8" w14:paraId="10C4F0DE" w14:textId="77777777" w:rsidTr="00281329">
        <w:tc>
          <w:tcPr>
            <w:tcW w:w="1843" w:type="dxa"/>
            <w:shd w:val="clear" w:color="auto" w:fill="F2F2F2" w:themeFill="background1" w:themeFillShade="F2"/>
            <w:vAlign w:val="center"/>
          </w:tcPr>
          <w:p w14:paraId="4FB08AFB" w14:textId="77777777" w:rsidR="007A6FCC" w:rsidRPr="00DF6AE8" w:rsidRDefault="007A6FCC" w:rsidP="00281329">
            <w:pPr>
              <w:pStyle w:val="Tablecontent"/>
            </w:pPr>
            <w:r w:rsidRPr="000E5940">
              <w:t>DQLEN</w:t>
            </w:r>
          </w:p>
        </w:tc>
        <w:tc>
          <w:tcPr>
            <w:tcW w:w="8647" w:type="dxa"/>
            <w:vMerge w:val="restart"/>
            <w:vAlign w:val="center"/>
          </w:tcPr>
          <w:p w14:paraId="42D0A7DC" w14:textId="77777777" w:rsidR="007A6FCC" w:rsidRDefault="007A6FCC" w:rsidP="00281329">
            <w:pPr>
              <w:pStyle w:val="Tablecontent"/>
            </w:pPr>
            <w:r>
              <w:t>I combine this together as a device can have 1 or more world, and there is a per-device maximum.</w:t>
            </w:r>
          </w:p>
          <w:p w14:paraId="59C4733E" w14:textId="77777777" w:rsidR="007A6FCC" w:rsidRDefault="007A6FCC" w:rsidP="00281329">
            <w:pPr>
              <w:pStyle w:val="Tablecontent"/>
            </w:pPr>
            <w:r>
              <w:t xml:space="preserve">DQLEN is the </w:t>
            </w:r>
            <w:r w:rsidRPr="000E5940">
              <w:t xml:space="preserve">device </w:t>
            </w:r>
            <w:r>
              <w:t>configured queue length. The corresponding counter for adapter is called AQLEN</w:t>
            </w:r>
          </w:p>
          <w:p w14:paraId="608606EF" w14:textId="77777777" w:rsidR="007A6FCC" w:rsidRPr="00DF6AE8" w:rsidRDefault="007A6FCC" w:rsidP="00281329">
            <w:pPr>
              <w:pStyle w:val="Tablecontent"/>
            </w:pPr>
            <w:r>
              <w:t>WQLEN is the w</w:t>
            </w:r>
            <w:r w:rsidRPr="000E5940">
              <w:t xml:space="preserve">orld queue depth. </w:t>
            </w:r>
            <w:r>
              <w:t xml:space="preserve">The manual states “This is the maximum number of </w:t>
            </w:r>
            <w:r>
              <w:rPr>
                <w:rStyle w:val="ph"/>
              </w:rPr>
              <w:t>ESXi</w:t>
            </w:r>
            <w:r>
              <w:t xml:space="preserve"> VMkernel active commands that the world is allowed to have”. So it does not look like a present number. I am confused why we show max for world, and present for device.</w:t>
            </w:r>
          </w:p>
        </w:tc>
      </w:tr>
      <w:tr w:rsidR="007A6FCC" w:rsidRPr="00DF6AE8" w14:paraId="28B1786A" w14:textId="77777777" w:rsidTr="00281329">
        <w:tc>
          <w:tcPr>
            <w:tcW w:w="1843" w:type="dxa"/>
            <w:shd w:val="clear" w:color="auto" w:fill="F2F2F2" w:themeFill="background1" w:themeFillShade="F2"/>
            <w:vAlign w:val="center"/>
          </w:tcPr>
          <w:p w14:paraId="6E5939A8" w14:textId="77777777" w:rsidR="007A6FCC" w:rsidRPr="00DF6AE8" w:rsidRDefault="007A6FCC" w:rsidP="00281329">
            <w:pPr>
              <w:pStyle w:val="Tablecontent"/>
            </w:pPr>
            <w:r w:rsidRPr="000E5940">
              <w:t>WQLEN</w:t>
            </w:r>
          </w:p>
        </w:tc>
        <w:tc>
          <w:tcPr>
            <w:tcW w:w="8647" w:type="dxa"/>
            <w:vMerge/>
            <w:vAlign w:val="center"/>
          </w:tcPr>
          <w:p w14:paraId="7005C708" w14:textId="77777777" w:rsidR="007A6FCC" w:rsidRPr="00DF6AE8" w:rsidRDefault="007A6FCC" w:rsidP="00281329">
            <w:pPr>
              <w:pStyle w:val="Tablecontent"/>
            </w:pPr>
          </w:p>
        </w:tc>
      </w:tr>
      <w:tr w:rsidR="007A6FCC" w:rsidRPr="00DF6AE8" w14:paraId="00DD2CA2" w14:textId="77777777" w:rsidTr="00281329">
        <w:tc>
          <w:tcPr>
            <w:tcW w:w="1843" w:type="dxa"/>
            <w:shd w:val="clear" w:color="auto" w:fill="F2F2F2" w:themeFill="background1" w:themeFillShade="F2"/>
            <w:vAlign w:val="center"/>
          </w:tcPr>
          <w:p w14:paraId="3B6553BF" w14:textId="77777777" w:rsidR="007A6FCC" w:rsidRPr="00DF6AE8" w:rsidRDefault="007A6FCC" w:rsidP="00281329">
            <w:pPr>
              <w:pStyle w:val="Tablecontent"/>
            </w:pPr>
            <w:r w:rsidRPr="000E5940">
              <w:t>ACTV</w:t>
            </w:r>
          </w:p>
        </w:tc>
        <w:tc>
          <w:tcPr>
            <w:tcW w:w="8647" w:type="dxa"/>
            <w:vAlign w:val="center"/>
          </w:tcPr>
          <w:p w14:paraId="394AAD0A" w14:textId="77777777" w:rsidR="007A6FCC" w:rsidRPr="00DF6AE8" w:rsidRDefault="007A6FCC" w:rsidP="00281329">
            <w:pPr>
              <w:pStyle w:val="Tablecontent"/>
            </w:pPr>
            <w:r>
              <w:t>The definition is “</w:t>
            </w:r>
            <w:r w:rsidRPr="000E5940">
              <w:t>Number of commands that are currently active</w:t>
            </w:r>
            <w:r>
              <w:t>”. I think this means the IO in flight, which makes it an interesting counter. This is worth profiling and I expect it to be small most of the time.</w:t>
            </w:r>
          </w:p>
        </w:tc>
      </w:tr>
    </w:tbl>
    <w:p w14:paraId="4005E7B7" w14:textId="77777777" w:rsidR="007A6FCC" w:rsidRDefault="007A6FCC" w:rsidP="007A6FCC">
      <w:pPr>
        <w:pStyle w:val="Heading6"/>
      </w:pPr>
      <w:r w:rsidRPr="00676BDF">
        <w:lastRenderedPageBreak/>
        <w:t>Contention</w:t>
      </w:r>
    </w:p>
    <w:p w14:paraId="3D973F68" w14:textId="77777777" w:rsidR="007A6FCC" w:rsidRPr="004E3B8D" w:rsidRDefault="007A6FCC" w:rsidP="007A6FCC">
      <w:r>
        <w:t>See Disk Adapter as both sport the same 12 metrics.</w:t>
      </w:r>
    </w:p>
    <w:p w14:paraId="6E685B9C" w14:textId="77777777" w:rsidR="007A6FCC" w:rsidRPr="00C27364" w:rsidRDefault="007A6FCC" w:rsidP="007A6FCC">
      <w:pPr>
        <w:pStyle w:val="Heading6"/>
      </w:pPr>
      <w:r w:rsidRPr="00C27364">
        <w:t>Utilization</w:t>
      </w:r>
    </w:p>
    <w:p w14:paraId="348F5FEA" w14:textId="77777777" w:rsidR="007A6FCC" w:rsidRDefault="007A6FCC" w:rsidP="007A6FCC">
      <w:r>
        <w:t>See Disk Adapter as both sport the same 5 metrics.</w:t>
      </w:r>
    </w:p>
    <w:p w14:paraId="7B5F71BD" w14:textId="77777777" w:rsidR="007A6FCC" w:rsidRDefault="007A6FCC" w:rsidP="007A6FCC">
      <w:pPr>
        <w:pStyle w:val="Heading6"/>
      </w:pPr>
      <w:r>
        <w:t>PAE and Split</w:t>
      </w:r>
    </w:p>
    <w:p w14:paraId="179B68C8" w14:textId="77777777" w:rsidR="007A6FCC" w:rsidRDefault="007A6FCC" w:rsidP="007A6FCC">
      <w:r>
        <w:t>See Disk Adapter as both sport the same 4 metrics.</w:t>
      </w:r>
    </w:p>
    <w:p w14:paraId="400F83B8" w14:textId="77777777" w:rsidR="007A6FCC" w:rsidRDefault="007A6FCC" w:rsidP="007A6FCC">
      <w:pPr>
        <w:pStyle w:val="Heading6"/>
      </w:pPr>
      <w:r>
        <w:t>Configuration</w:t>
      </w:r>
    </w:p>
    <w:p w14:paraId="2E3CF320" w14:textId="77777777" w:rsidR="007A6FCC" w:rsidRPr="00014ACB" w:rsidRDefault="007A6FCC" w:rsidP="007A6FCC">
      <w:pPr>
        <w:rPr>
          <w:lang w:val="en-GB"/>
        </w:rPr>
      </w:pPr>
      <w:r>
        <w:t>As you can expect, esxtop provides minimal configuration information. They are shown below.</w:t>
      </w:r>
    </w:p>
    <w:p w14:paraId="7347DED3" w14:textId="77777777" w:rsidR="007A6FCC" w:rsidRPr="004641B9" w:rsidRDefault="007A6FCC" w:rsidP="007A6FCC">
      <w:pPr>
        <w:rPr>
          <w:lang w:val="en-GB"/>
        </w:rPr>
      </w:pPr>
      <w:r w:rsidRPr="004641B9">
        <w:rPr>
          <w:noProof/>
          <w:lang w:val="en-GB"/>
        </w:rPr>
        <w:drawing>
          <wp:inline distT="0" distB="0" distL="0" distR="0" wp14:anchorId="619A47AE" wp14:editId="76BCC263">
            <wp:extent cx="6645910" cy="956310"/>
            <wp:effectExtent l="0" t="0" r="2540" b="0"/>
            <wp:docPr id="567723350" name="Picture 567723350"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54" name="Picture 1859674554" descr="A screenshot of a computer&#10;&#10;Description automatically generated"/>
                    <pic:cNvPicPr/>
                  </pic:nvPicPr>
                  <pic:blipFill>
                    <a:blip r:embed="rId857"/>
                    <a:stretch>
                      <a:fillRect/>
                    </a:stretch>
                  </pic:blipFill>
                  <pic:spPr>
                    <a:xfrm>
                      <a:off x="0" y="0"/>
                      <a:ext cx="6645910" cy="956310"/>
                    </a:xfrm>
                    <a:prstGeom prst="rect">
                      <a:avLst/>
                    </a:prstGeom>
                  </pic:spPr>
                </pic:pic>
              </a:graphicData>
            </a:graphic>
          </wp:inline>
        </w:drawing>
      </w:r>
    </w:p>
    <w:p w14:paraId="273C3A71" w14:textId="77777777" w:rsidR="007A6FCC" w:rsidRDefault="007A6FCC" w:rsidP="007A6FCC">
      <w:pPr>
        <w:pStyle w:val="Heading7"/>
      </w:pPr>
      <w:r>
        <w:t>Path/World/Partition</w:t>
      </w:r>
    </w:p>
    <w:p w14:paraId="4C9AC935" w14:textId="77777777" w:rsidR="007A6FCC" w:rsidRDefault="007A6FCC" w:rsidP="007A6FCC">
      <w:r>
        <w:t>They are grouped as 1 column, and you can only see one at a time.</w:t>
      </w:r>
    </w:p>
    <w:p w14:paraId="6925CD05" w14:textId="77777777" w:rsidR="007A6FCC" w:rsidRDefault="007A6FCC" w:rsidP="007A6FCC">
      <w:r>
        <w:t xml:space="preserve">By default, none of them is shown. To bring up one of them, type the corresponding code. In the following screenshot, I’ve type the letter </w:t>
      </w:r>
      <w:r w:rsidRPr="00687D8B">
        <w:rPr>
          <w:b/>
          <w:bCs/>
          <w:color w:val="00B0F0"/>
        </w:rPr>
        <w:t>e</w:t>
      </w:r>
      <w:r>
        <w:t xml:space="preserve">, which them prompted me to enter one of the device. </w:t>
      </w:r>
    </w:p>
    <w:p w14:paraId="6A371FB1" w14:textId="77777777" w:rsidR="007A6FCC" w:rsidRDefault="007A6FCC" w:rsidP="007A6FCC">
      <w:pPr>
        <w:pStyle w:val="Tablecontent"/>
        <w:jc w:val="center"/>
      </w:pPr>
      <w:r w:rsidRPr="00CD4A98">
        <w:rPr>
          <w:noProof/>
        </w:rPr>
        <w:drawing>
          <wp:inline distT="0" distB="0" distL="0" distR="0" wp14:anchorId="427A4A8C" wp14:editId="688ABCFD">
            <wp:extent cx="4369025" cy="1092256"/>
            <wp:effectExtent l="0" t="0" r="0" b="0"/>
            <wp:docPr id="567723351" name="Picture 567723351"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8" name="Picture 534447528" descr="A picture containing website&#10;&#10;Description automatically generated"/>
                    <pic:cNvPicPr/>
                  </pic:nvPicPr>
                  <pic:blipFill>
                    <a:blip r:embed="rId858"/>
                    <a:stretch>
                      <a:fillRect/>
                    </a:stretch>
                  </pic:blipFill>
                  <pic:spPr>
                    <a:xfrm>
                      <a:off x="0" y="0"/>
                      <a:ext cx="4369025" cy="1092256"/>
                    </a:xfrm>
                    <a:prstGeom prst="rect">
                      <a:avLst/>
                    </a:prstGeom>
                  </pic:spPr>
                </pic:pic>
              </a:graphicData>
            </a:graphic>
          </wp:inline>
        </w:drawing>
      </w:r>
    </w:p>
    <w:p w14:paraId="5FC7B233" w14:textId="77777777" w:rsidR="007A6FCC" w:rsidRDefault="007A6FCC" w:rsidP="007A6FCC">
      <w:r w:rsidRPr="000E5940">
        <w:t xml:space="preserve">Path </w:t>
      </w:r>
      <w:r>
        <w:t xml:space="preserve">is obviously the path </w:t>
      </w:r>
      <w:r w:rsidRPr="000E5940">
        <w:t>name</w:t>
      </w:r>
      <w:r>
        <w:t xml:space="preserve">, such as </w:t>
      </w:r>
      <w:r w:rsidRPr="00A1239A">
        <w:t>vmhba0:C0:T0:L0</w:t>
      </w:r>
      <w:r w:rsidRPr="000E5940">
        <w:t xml:space="preserve">. </w:t>
      </w:r>
    </w:p>
    <w:p w14:paraId="0B0C33C2" w14:textId="77777777" w:rsidR="007A6FCC" w:rsidRDefault="007A6FCC" w:rsidP="007A6FCC">
      <w:r>
        <w:t>A disk device can have &gt;1 world, which I’m unsure why. You can see each world ID, and you get the statistics per world.</w:t>
      </w:r>
    </w:p>
    <w:p w14:paraId="6E2A5C29" w14:textId="77777777" w:rsidR="007A6FCC" w:rsidRDefault="007A6FCC" w:rsidP="007A6FCC">
      <w:pPr>
        <w:jc w:val="center"/>
      </w:pPr>
      <w:r w:rsidRPr="00511503">
        <w:rPr>
          <w:noProof/>
        </w:rPr>
        <w:drawing>
          <wp:inline distT="0" distB="0" distL="0" distR="0" wp14:anchorId="2D8137D6" wp14:editId="5147E53B">
            <wp:extent cx="5429529" cy="1759040"/>
            <wp:effectExtent l="0" t="0" r="0" b="0"/>
            <wp:docPr id="567723352" name="Picture 567723352"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5" name="Picture 534447525" descr="A screenshot of a computer&#10;&#10;Description automatically generated with medium confidence"/>
                    <pic:cNvPicPr/>
                  </pic:nvPicPr>
                  <pic:blipFill>
                    <a:blip r:embed="rId859"/>
                    <a:stretch>
                      <a:fillRect/>
                    </a:stretch>
                  </pic:blipFill>
                  <pic:spPr>
                    <a:xfrm>
                      <a:off x="0" y="0"/>
                      <a:ext cx="5429529" cy="1759040"/>
                    </a:xfrm>
                    <a:prstGeom prst="rect">
                      <a:avLst/>
                    </a:prstGeom>
                  </pic:spPr>
                </pic:pic>
              </a:graphicData>
            </a:graphic>
          </wp:inline>
        </w:drawing>
      </w:r>
    </w:p>
    <w:p w14:paraId="6A1E840F" w14:textId="77777777" w:rsidR="007A6FCC" w:rsidRDefault="007A6FCC" w:rsidP="007A6FCC">
      <w:r w:rsidRPr="000E5940">
        <w:lastRenderedPageBreak/>
        <w:t xml:space="preserve">Partition </w:t>
      </w:r>
      <w:r>
        <w:t xml:space="preserve">shows the partition </w:t>
      </w:r>
      <w:r w:rsidRPr="000E5940">
        <w:t xml:space="preserve">ID. </w:t>
      </w:r>
      <w:r>
        <w:t>Typically this is a simple number, such as 1 for the first partition. vSphere Client provides the following, which is more details yet easier.</w:t>
      </w:r>
    </w:p>
    <w:p w14:paraId="2FBD1455" w14:textId="77777777" w:rsidR="007A6FCC" w:rsidRDefault="007A6FCC" w:rsidP="007A6FCC">
      <w:pPr>
        <w:jc w:val="center"/>
      </w:pPr>
      <w:r w:rsidRPr="00AA5E3C">
        <w:rPr>
          <w:noProof/>
        </w:rPr>
        <w:drawing>
          <wp:inline distT="0" distB="0" distL="0" distR="0" wp14:anchorId="4E31F621" wp14:editId="6DBC26D4">
            <wp:extent cx="3150000" cy="2224800"/>
            <wp:effectExtent l="0" t="0" r="0" b="4445"/>
            <wp:docPr id="567723354" name="Picture 56772335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30" name="Picture 534447530" descr="Table&#10;&#10;Description automatically generated"/>
                    <pic:cNvPicPr/>
                  </pic:nvPicPr>
                  <pic:blipFill>
                    <a:blip r:embed="rId860"/>
                    <a:stretch>
                      <a:fillRect/>
                    </a:stretch>
                  </pic:blipFill>
                  <pic:spPr>
                    <a:xfrm>
                      <a:off x="0" y="0"/>
                      <a:ext cx="3150000" cy="2224800"/>
                    </a:xfrm>
                    <a:prstGeom prst="rect">
                      <a:avLst/>
                    </a:prstGeom>
                  </pic:spPr>
                </pic:pic>
              </a:graphicData>
            </a:graphic>
          </wp:inline>
        </w:drawing>
      </w:r>
    </w:p>
    <w:p w14:paraId="03C1D567" w14:textId="77777777" w:rsidR="007A6FCC" w:rsidRDefault="007A6FCC" w:rsidP="007A6FCC">
      <w:pPr>
        <w:pStyle w:val="Heading7"/>
      </w:pPr>
      <w:r>
        <w:t>Others</w:t>
      </w:r>
    </w:p>
    <w:p w14:paraId="3E247FB3" w14:textId="77777777" w:rsidR="007A6FCC" w:rsidRDefault="007A6FCC" w:rsidP="007A6FCC">
      <w:r>
        <w:t>Let’s cover the rest of the metrics.</w:t>
      </w:r>
    </w:p>
    <w:p w14:paraId="1943C11C" w14:textId="77777777" w:rsidR="007A6FCC" w:rsidRPr="005B6FF7"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724"/>
        <w:gridCol w:w="8766"/>
      </w:tblGrid>
      <w:tr w:rsidR="007A6FCC" w:rsidRPr="00E51A31" w14:paraId="012602FF" w14:textId="77777777" w:rsidTr="00281329">
        <w:tc>
          <w:tcPr>
            <w:tcW w:w="1724" w:type="dxa"/>
            <w:shd w:val="clear" w:color="auto" w:fill="F2F2F2" w:themeFill="background1" w:themeFillShade="F2"/>
            <w:vAlign w:val="center"/>
          </w:tcPr>
          <w:p w14:paraId="575402CC" w14:textId="77777777" w:rsidR="007A6FCC" w:rsidRPr="008720B3" w:rsidRDefault="007A6FCC" w:rsidP="00281329">
            <w:pPr>
              <w:pStyle w:val="Tablecontent"/>
            </w:pPr>
            <w:r w:rsidRPr="000E5940">
              <w:t>NPH</w:t>
            </w:r>
          </w:p>
        </w:tc>
        <w:tc>
          <w:tcPr>
            <w:tcW w:w="8766" w:type="dxa"/>
            <w:vAlign w:val="center"/>
          </w:tcPr>
          <w:p w14:paraId="4CFC2BB8" w14:textId="77777777" w:rsidR="007A6FCC" w:rsidRPr="008720B3" w:rsidRDefault="007A6FCC" w:rsidP="00281329">
            <w:pPr>
              <w:pStyle w:val="Tablecontent"/>
            </w:pPr>
            <w:r w:rsidRPr="000E5940">
              <w:t>Number of paths.</w:t>
            </w:r>
            <w:r>
              <w:t xml:space="preserve"> This should not be 1 as that means a single point of failure.</w:t>
            </w:r>
          </w:p>
        </w:tc>
      </w:tr>
      <w:tr w:rsidR="007A6FCC" w:rsidRPr="00E51A31" w14:paraId="6BB4E1FF" w14:textId="77777777" w:rsidTr="00281329">
        <w:tc>
          <w:tcPr>
            <w:tcW w:w="1724" w:type="dxa"/>
            <w:shd w:val="clear" w:color="auto" w:fill="F2F2F2" w:themeFill="background1" w:themeFillShade="F2"/>
            <w:vAlign w:val="center"/>
          </w:tcPr>
          <w:p w14:paraId="2A4D9940" w14:textId="77777777" w:rsidR="007A6FCC" w:rsidRPr="008720B3" w:rsidRDefault="007A6FCC" w:rsidP="00281329">
            <w:pPr>
              <w:pStyle w:val="Tablecontent"/>
            </w:pPr>
            <w:r w:rsidRPr="000E5940">
              <w:t>NWD</w:t>
            </w:r>
          </w:p>
        </w:tc>
        <w:tc>
          <w:tcPr>
            <w:tcW w:w="8766" w:type="dxa"/>
            <w:vAlign w:val="center"/>
          </w:tcPr>
          <w:p w14:paraId="7DFCF0F5" w14:textId="77777777" w:rsidR="007A6FCC" w:rsidRPr="008720B3" w:rsidRDefault="007A6FCC" w:rsidP="00281329">
            <w:pPr>
              <w:pStyle w:val="Tablecontent"/>
            </w:pPr>
            <w:r w:rsidRPr="000E5940">
              <w:t>Number of worlds.</w:t>
            </w:r>
            <w:r>
              <w:t xml:space="preserve"> If you know the significance of this in troubleshooting, let me know.</w:t>
            </w:r>
          </w:p>
        </w:tc>
      </w:tr>
      <w:tr w:rsidR="007A6FCC" w:rsidRPr="00E51A31" w14:paraId="63F4765B" w14:textId="77777777" w:rsidTr="00281329">
        <w:tc>
          <w:tcPr>
            <w:tcW w:w="1724" w:type="dxa"/>
            <w:shd w:val="clear" w:color="auto" w:fill="F2F2F2" w:themeFill="background1" w:themeFillShade="F2"/>
            <w:vAlign w:val="center"/>
          </w:tcPr>
          <w:p w14:paraId="154EE6F4" w14:textId="77777777" w:rsidR="007A6FCC" w:rsidRPr="008720B3" w:rsidRDefault="007A6FCC" w:rsidP="00281329">
            <w:pPr>
              <w:pStyle w:val="Tablecontent"/>
            </w:pPr>
            <w:r w:rsidRPr="000E5940">
              <w:t>NPN</w:t>
            </w:r>
          </w:p>
        </w:tc>
        <w:tc>
          <w:tcPr>
            <w:tcW w:w="8766" w:type="dxa"/>
            <w:vAlign w:val="center"/>
          </w:tcPr>
          <w:p w14:paraId="0EFEE719" w14:textId="77777777" w:rsidR="007A6FCC" w:rsidRPr="008720B3" w:rsidRDefault="007A6FCC" w:rsidP="00281329">
            <w:pPr>
              <w:pStyle w:val="Tablecontent"/>
            </w:pPr>
            <w:r w:rsidRPr="000E5940">
              <w:t>Number of partitions.</w:t>
            </w:r>
            <w:r>
              <w:t xml:space="preserve"> Expect this to be 1 for VMFS</w:t>
            </w:r>
          </w:p>
        </w:tc>
      </w:tr>
      <w:tr w:rsidR="007A6FCC" w:rsidRPr="00E51A31" w14:paraId="7FCFB094" w14:textId="77777777" w:rsidTr="00281329">
        <w:tc>
          <w:tcPr>
            <w:tcW w:w="1724" w:type="dxa"/>
            <w:shd w:val="clear" w:color="auto" w:fill="F2F2F2" w:themeFill="background1" w:themeFillShade="F2"/>
            <w:vAlign w:val="center"/>
          </w:tcPr>
          <w:p w14:paraId="346D7DD1" w14:textId="77777777" w:rsidR="007A6FCC" w:rsidRPr="000E5940" w:rsidRDefault="007A6FCC" w:rsidP="00281329">
            <w:pPr>
              <w:pStyle w:val="Tablecontent"/>
            </w:pPr>
            <w:r w:rsidRPr="000E5940">
              <w:t>SHARES</w:t>
            </w:r>
          </w:p>
        </w:tc>
        <w:tc>
          <w:tcPr>
            <w:tcW w:w="8766" w:type="dxa"/>
            <w:vAlign w:val="center"/>
          </w:tcPr>
          <w:p w14:paraId="67807EF5" w14:textId="77777777" w:rsidR="007A6FCC" w:rsidRDefault="007A6FCC" w:rsidP="00281329">
            <w:pPr>
              <w:pStyle w:val="Tablecontent"/>
            </w:pPr>
            <w:r w:rsidRPr="000E5940">
              <w:t>Number of shares. This statistic is applicable only to worlds.</w:t>
            </w:r>
            <w:r>
              <w:t xml:space="preserve"> </w:t>
            </w:r>
          </w:p>
          <w:p w14:paraId="47937A82" w14:textId="77777777" w:rsidR="007A6FCC" w:rsidRPr="000E5940" w:rsidRDefault="007A6FCC" w:rsidP="00281329">
            <w:pPr>
              <w:pStyle w:val="Tablecontent"/>
            </w:pPr>
            <w:r>
              <w:t>This is interesting, as that means each world can have their own share? Where do we set them then?</w:t>
            </w:r>
          </w:p>
        </w:tc>
      </w:tr>
      <w:tr w:rsidR="007A6FCC" w:rsidRPr="00E51A31" w14:paraId="7BDF9D0F" w14:textId="77777777" w:rsidTr="00281329">
        <w:tc>
          <w:tcPr>
            <w:tcW w:w="1724" w:type="dxa"/>
            <w:shd w:val="clear" w:color="auto" w:fill="F2F2F2" w:themeFill="background1" w:themeFillShade="F2"/>
            <w:vAlign w:val="center"/>
          </w:tcPr>
          <w:p w14:paraId="5DB6186C" w14:textId="77777777" w:rsidR="007A6FCC" w:rsidRPr="000E5940" w:rsidRDefault="007A6FCC" w:rsidP="00281329">
            <w:pPr>
              <w:pStyle w:val="Tablecontent"/>
            </w:pPr>
            <w:r w:rsidRPr="000E5940">
              <w:t>BLKSZ</w:t>
            </w:r>
          </w:p>
        </w:tc>
        <w:tc>
          <w:tcPr>
            <w:tcW w:w="8766" w:type="dxa"/>
            <w:vAlign w:val="center"/>
          </w:tcPr>
          <w:p w14:paraId="2DD3CE69" w14:textId="77777777" w:rsidR="007A6FCC" w:rsidRDefault="007A6FCC" w:rsidP="00281329">
            <w:pPr>
              <w:pStyle w:val="Tablecontent"/>
            </w:pPr>
            <w:r w:rsidRPr="000E5940">
              <w:t>Block size in bytes.</w:t>
            </w:r>
            <w:r>
              <w:t xml:space="preserve"> </w:t>
            </w:r>
          </w:p>
          <w:p w14:paraId="31A2708E" w14:textId="77777777" w:rsidR="007A6FCC" w:rsidRDefault="007A6FCC" w:rsidP="00281329">
            <w:pPr>
              <w:pStyle w:val="Tablecontent"/>
            </w:pPr>
            <w:r>
              <w:t xml:space="preserve">I prefer to call this sector format. </w:t>
            </w:r>
            <w:r w:rsidRPr="00602B19">
              <w:t>International Disk Drive Equipment and Materials Association (IDEMA</w:t>
            </w:r>
            <w:r>
              <w:t xml:space="preserve">) increased the sector size from 512 bytes to 4096 bytes (4 KB). </w:t>
            </w:r>
          </w:p>
          <w:p w14:paraId="3FC4CC55" w14:textId="77777777" w:rsidR="007A6FCC" w:rsidRPr="000E5940" w:rsidRDefault="007A6FCC" w:rsidP="00281329">
            <w:pPr>
              <w:pStyle w:val="Tablecontent"/>
            </w:pPr>
            <w:r>
              <w:t>This is important, and you want them to be in 4K (</w:t>
            </w:r>
            <w:hyperlink r:id="rId861" w:history="1">
              <w:r w:rsidRPr="00F63825">
                <w:rPr>
                  <w:rStyle w:val="Hyperlink"/>
                </w:rPr>
                <w:t>Advanced Format</w:t>
              </w:r>
            </w:hyperlink>
            <w:r>
              <w:t xml:space="preserve">) or at least 512e (e stands for emulation). Microsoft provides additional information </w:t>
            </w:r>
            <w:hyperlink r:id="rId862" w:history="1">
              <w:r w:rsidRPr="00185377">
                <w:rPr>
                  <w:rStyle w:val="Hyperlink"/>
                </w:rPr>
                <w:t>here</w:t>
              </w:r>
            </w:hyperlink>
            <w:r>
              <w:t xml:space="preserve">. </w:t>
            </w:r>
          </w:p>
        </w:tc>
      </w:tr>
      <w:tr w:rsidR="007A6FCC" w:rsidRPr="00E51A31" w14:paraId="39AFCE77" w14:textId="77777777" w:rsidTr="00281329">
        <w:tc>
          <w:tcPr>
            <w:tcW w:w="1724" w:type="dxa"/>
            <w:shd w:val="clear" w:color="auto" w:fill="F2F2F2" w:themeFill="background1" w:themeFillShade="F2"/>
            <w:vAlign w:val="center"/>
          </w:tcPr>
          <w:p w14:paraId="4C9953E4" w14:textId="77777777" w:rsidR="007A6FCC" w:rsidRPr="000E5940" w:rsidRDefault="007A6FCC" w:rsidP="00281329">
            <w:pPr>
              <w:pStyle w:val="Tablecontent"/>
            </w:pPr>
            <w:r w:rsidRPr="000E5940">
              <w:t>NUMBLKS</w:t>
            </w:r>
          </w:p>
        </w:tc>
        <w:tc>
          <w:tcPr>
            <w:tcW w:w="8766" w:type="dxa"/>
            <w:vAlign w:val="center"/>
          </w:tcPr>
          <w:p w14:paraId="31342D04" w14:textId="77777777" w:rsidR="007A6FCC" w:rsidRPr="000E5940" w:rsidRDefault="007A6FCC" w:rsidP="00281329">
            <w:pPr>
              <w:pStyle w:val="Tablecontent"/>
            </w:pPr>
            <w:r w:rsidRPr="000E5940">
              <w:t>Number of blocks of the device.</w:t>
            </w:r>
            <w:r>
              <w:t xml:space="preserve"> Multiply this with the block size and you get the total capacity. In vSphere UI, you get the capacity, which I think it’s more relevant.</w:t>
            </w:r>
          </w:p>
        </w:tc>
      </w:tr>
    </w:tbl>
    <w:p w14:paraId="2890872B" w14:textId="77777777" w:rsidR="007A6FCC" w:rsidRDefault="007A6FCC" w:rsidP="007A6FCC">
      <w:r>
        <w:t>For configuration, I use vSphere Client as it provides a lot more information, and I can take action on them. The following is just some of the settings available. More at Part 2 Chapter 4 Storage Metrics.</w:t>
      </w:r>
    </w:p>
    <w:p w14:paraId="4B9E5197" w14:textId="77777777" w:rsidR="007A6FCC" w:rsidRDefault="007A6FCC" w:rsidP="007A6FCC">
      <w:r w:rsidRPr="00820A0F">
        <w:rPr>
          <w:noProof/>
        </w:rPr>
        <w:drawing>
          <wp:inline distT="0" distB="0" distL="0" distR="0" wp14:anchorId="662A80DC" wp14:editId="079E5CDB">
            <wp:extent cx="6645910" cy="1230630"/>
            <wp:effectExtent l="0" t="0" r="2540" b="7620"/>
            <wp:docPr id="567723355" name="Picture 567723355"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32" name="Picture 534447532" descr="A screenshot of a computer&#10;&#10;Description automatically generated"/>
                    <pic:cNvPicPr/>
                  </pic:nvPicPr>
                  <pic:blipFill>
                    <a:blip r:embed="rId863"/>
                    <a:stretch>
                      <a:fillRect/>
                    </a:stretch>
                  </pic:blipFill>
                  <pic:spPr>
                    <a:xfrm>
                      <a:off x="0" y="0"/>
                      <a:ext cx="6645910" cy="1230630"/>
                    </a:xfrm>
                    <a:prstGeom prst="rect">
                      <a:avLst/>
                    </a:prstGeom>
                  </pic:spPr>
                </pic:pic>
              </a:graphicData>
            </a:graphic>
          </wp:inline>
        </w:drawing>
      </w:r>
    </w:p>
    <w:p w14:paraId="13ACE6F3" w14:textId="77777777" w:rsidR="007A6FCC" w:rsidRPr="000523B7" w:rsidRDefault="007A6FCC" w:rsidP="007A6FCC">
      <w:pPr>
        <w:pStyle w:val="Heading6"/>
      </w:pPr>
      <w:r w:rsidRPr="000523B7">
        <w:lastRenderedPageBreak/>
        <w:t>VAAI</w:t>
      </w:r>
    </w:p>
    <w:p w14:paraId="6B24AAA0" w14:textId="77777777" w:rsidR="007A6FCC" w:rsidRDefault="007A6FCC" w:rsidP="007A6FCC">
      <w:r w:rsidRPr="0022663C">
        <w:t>VMware vSphere Storage APIs - Array Integration (</w:t>
      </w:r>
      <w:hyperlink r:id="rId864" w:history="1">
        <w:r w:rsidRPr="008F5DD2">
          <w:rPr>
            <w:rStyle w:val="Hyperlink"/>
          </w:rPr>
          <w:t>VAAI</w:t>
        </w:r>
      </w:hyperlink>
      <w:r>
        <w:t xml:space="preserve">) offloads storage processing to the array, hence improving performance or reducing overhead. This is obviously vendor-dependant. There is no VAAI counter at adapter level or path level, as the implementation is at back-end array. </w:t>
      </w:r>
    </w:p>
    <w:p w14:paraId="78B2BEB9" w14:textId="77777777" w:rsidR="007A6FCC" w:rsidRDefault="007A6FCC" w:rsidP="007A6FCC">
      <w:r>
        <w:t xml:space="preserve">The VAAI has a lot of metrics. They are grouped into 2 (non latency and latency metrics). I find it more logical to group by function, which is also what </w:t>
      </w:r>
      <w:hyperlink r:id="rId865" w:history="1">
        <w:r w:rsidRPr="00BF356C">
          <w:rPr>
            <w:rStyle w:val="Hyperlink"/>
          </w:rPr>
          <w:t>this</w:t>
        </w:r>
      </w:hyperlink>
      <w:r>
        <w:t xml:space="preserve"> KB article does. It’s last updated on 14 May 2017 and does not cover vSphere 7.0, so I’m following up. </w:t>
      </w:r>
    </w:p>
    <w:p w14:paraId="7C4BB01F" w14:textId="77777777" w:rsidR="007A6FCC" w:rsidRDefault="007A6FCC" w:rsidP="007A6FCC">
      <w:r>
        <w:t>As with metrics, check for contention type of metrics first. There are metrics that track failed operations, such as CLONE_F, ATSF and ZERO_F.</w:t>
      </w:r>
    </w:p>
    <w:p w14:paraId="7EB08B45" w14:textId="77777777" w:rsidR="007A6FCC" w:rsidRPr="0005502C" w:rsidRDefault="007A6FCC" w:rsidP="007A6FCC">
      <w:pPr>
        <w:rPr>
          <w:rFonts w:cstheme="minorHAnsi"/>
        </w:rPr>
      </w:pPr>
      <w:r w:rsidRPr="0005502C">
        <w:rPr>
          <w:rFonts w:cstheme="minorHAnsi"/>
        </w:rPr>
        <w:t xml:space="preserve">I saw this note from </w:t>
      </w:r>
      <w:r w:rsidRPr="0005502C">
        <w:rPr>
          <w:rFonts w:cstheme="minorHAnsi"/>
          <w:color w:val="00B0F0"/>
        </w:rPr>
        <w:t>VMware vSphere Storage APIs – Array Integration (VAAI)</w:t>
      </w:r>
      <w:r w:rsidRPr="0005502C">
        <w:rPr>
          <w:rFonts w:cstheme="minorHAnsi"/>
        </w:rPr>
        <w:t xml:space="preserve"> document by Cormac Hogan, which I think it’s worth mentioning. Because the nature of VAAI as an offloads, you will see higher latency value of KAVG metric. </w:t>
      </w:r>
      <w:r>
        <w:rPr>
          <w:rFonts w:cstheme="minorHAnsi"/>
        </w:rPr>
        <w:t xml:space="preserve">Other latency metrics are not affected, so there is no issue unless there are other </w:t>
      </w:r>
      <w:r>
        <w:t>symptoms present.</w:t>
      </w:r>
    </w:p>
    <w:p w14:paraId="55DBD991" w14:textId="77777777" w:rsidR="007A6FCC" w:rsidRDefault="007A6FCC" w:rsidP="007A6FCC">
      <w:r>
        <w:t>At this moment, I have not found the need to document them further. So what you get here is mostly from the KB article above.</w:t>
      </w:r>
      <w:r w:rsidRPr="00243C9A">
        <w:t xml:space="preserve"> </w:t>
      </w:r>
      <w:hyperlink r:id="rId866" w:history="1">
        <w:r w:rsidRPr="00162131">
          <w:rPr>
            <w:rStyle w:val="Hyperlink"/>
          </w:rPr>
          <w:t>Andre</w:t>
        </w:r>
        <w:r>
          <w:rPr>
            <w:rStyle w:val="Hyperlink"/>
          </w:rPr>
          <w:t xml:space="preserve">as </w:t>
        </w:r>
        <w:r w:rsidRPr="001F246E">
          <w:rPr>
            <w:rStyle w:val="Hyperlink"/>
          </w:rPr>
          <w:t>Lesslhumer</w:t>
        </w:r>
      </w:hyperlink>
      <w:r>
        <w:t xml:space="preserve"> also has useful information in </w:t>
      </w:r>
      <w:hyperlink r:id="rId867" w:history="1">
        <w:r w:rsidRPr="00162131">
          <w:rPr>
            <w:rStyle w:val="Hyperlink"/>
          </w:rPr>
          <w:t>this</w:t>
        </w:r>
      </w:hyperlink>
      <w:r>
        <w:t xml:space="preserve"> blog article. </w:t>
      </w:r>
    </w:p>
    <w:p w14:paraId="6E36611F" w14:textId="77777777" w:rsidR="007A6FCC" w:rsidRPr="00332867" w:rsidRDefault="007A6FCC" w:rsidP="007A6FCC">
      <w:pPr>
        <w:pStyle w:val="Heading7"/>
      </w:pPr>
      <w:r w:rsidRPr="00332867">
        <w:t>Extended Copy</w:t>
      </w:r>
    </w:p>
    <w:p w14:paraId="3738CD1C" w14:textId="77777777" w:rsidR="007A6FCC" w:rsidRDefault="007A6FCC" w:rsidP="007A6FCC">
      <w:r>
        <w:t>Hardware Accelerated Move (the SCSI opcode for XCOPY is 0x83)</w:t>
      </w:r>
    </w:p>
    <w:p w14:paraId="192185EA"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313E889F" w14:textId="77777777" w:rsidTr="00281329">
        <w:tc>
          <w:tcPr>
            <w:tcW w:w="1843" w:type="dxa"/>
            <w:shd w:val="clear" w:color="auto" w:fill="F2F2F2" w:themeFill="background1" w:themeFillShade="F2"/>
          </w:tcPr>
          <w:p w14:paraId="361B1436" w14:textId="77777777" w:rsidR="007A6FCC" w:rsidRPr="00177DD1" w:rsidRDefault="007A6FCC" w:rsidP="00281329">
            <w:pPr>
              <w:pStyle w:val="Tablecontent"/>
              <w:rPr>
                <w:caps/>
              </w:rPr>
            </w:pPr>
            <w:r w:rsidRPr="00177DD1">
              <w:rPr>
                <w:caps/>
              </w:rPr>
              <w:t xml:space="preserve">Clone_RD </w:t>
            </w:r>
          </w:p>
        </w:tc>
        <w:tc>
          <w:tcPr>
            <w:tcW w:w="8647" w:type="dxa"/>
            <w:vMerge w:val="restart"/>
          </w:tcPr>
          <w:p w14:paraId="47E329EB" w14:textId="77777777" w:rsidR="007A6FCC" w:rsidRDefault="007A6FCC" w:rsidP="00281329">
            <w:pPr>
              <w:pStyle w:val="Tablecontent"/>
            </w:pPr>
            <w:r>
              <w:t xml:space="preserve">RD stands for reader. </w:t>
            </w:r>
          </w:p>
          <w:p w14:paraId="70CBEF17" w14:textId="77777777" w:rsidR="007A6FCC" w:rsidRPr="00B25DD9" w:rsidRDefault="007A6FCC" w:rsidP="00281329">
            <w:pPr>
              <w:pStyle w:val="Tablecontent"/>
            </w:pPr>
            <w:r w:rsidRPr="005F5251">
              <w:t>The number of CLONE commands successfully completed where this device was a source.</w:t>
            </w:r>
          </w:p>
          <w:p w14:paraId="5AA03393" w14:textId="77777777" w:rsidR="007A6FCC" w:rsidRDefault="007A6FCC" w:rsidP="00281329">
            <w:pPr>
              <w:pStyle w:val="Tablecontent"/>
            </w:pPr>
            <w:r>
              <w:t>WR stands for writer.</w:t>
            </w:r>
          </w:p>
          <w:p w14:paraId="4EE76FBC" w14:textId="77777777" w:rsidR="007A6FCC" w:rsidRPr="00B25DD9" w:rsidRDefault="007A6FCC" w:rsidP="00281329">
            <w:pPr>
              <w:pStyle w:val="Tablecontent"/>
            </w:pPr>
            <w:r w:rsidRPr="005F5251">
              <w:t>The number of CLONE commands successfully completed where this device was a destination</w:t>
            </w:r>
          </w:p>
          <w:p w14:paraId="1FB65744" w14:textId="77777777" w:rsidR="007A6FCC" w:rsidRPr="00B25DD9" w:rsidRDefault="007A6FCC" w:rsidP="00281329">
            <w:pPr>
              <w:pStyle w:val="Tablecontent"/>
            </w:pPr>
            <w:r w:rsidRPr="005F5251">
              <w:t>The number of failed CLONE commands</w:t>
            </w:r>
          </w:p>
        </w:tc>
      </w:tr>
      <w:tr w:rsidR="007A6FCC" w:rsidRPr="00E51A31" w14:paraId="3A3B210C" w14:textId="77777777" w:rsidTr="00281329">
        <w:tc>
          <w:tcPr>
            <w:tcW w:w="1843" w:type="dxa"/>
            <w:shd w:val="clear" w:color="auto" w:fill="F2F2F2" w:themeFill="background1" w:themeFillShade="F2"/>
          </w:tcPr>
          <w:p w14:paraId="470C0916" w14:textId="77777777" w:rsidR="007A6FCC" w:rsidRPr="00177DD1" w:rsidRDefault="007A6FCC" w:rsidP="00281329">
            <w:pPr>
              <w:pStyle w:val="Tablecontent"/>
              <w:rPr>
                <w:caps/>
              </w:rPr>
            </w:pPr>
            <w:r w:rsidRPr="00177DD1">
              <w:rPr>
                <w:caps/>
              </w:rPr>
              <w:t xml:space="preserve">Clone_WR </w:t>
            </w:r>
          </w:p>
        </w:tc>
        <w:tc>
          <w:tcPr>
            <w:tcW w:w="8647" w:type="dxa"/>
            <w:vMerge/>
          </w:tcPr>
          <w:p w14:paraId="33C57C37" w14:textId="77777777" w:rsidR="007A6FCC" w:rsidRPr="00B25DD9" w:rsidRDefault="007A6FCC" w:rsidP="00281329">
            <w:pPr>
              <w:pStyle w:val="Tablecontent"/>
            </w:pPr>
          </w:p>
        </w:tc>
      </w:tr>
      <w:tr w:rsidR="007A6FCC" w:rsidRPr="00E51A31" w14:paraId="115F6734" w14:textId="77777777" w:rsidTr="00281329">
        <w:tc>
          <w:tcPr>
            <w:tcW w:w="1843" w:type="dxa"/>
            <w:shd w:val="clear" w:color="auto" w:fill="F2F2F2" w:themeFill="background1" w:themeFillShade="F2"/>
          </w:tcPr>
          <w:p w14:paraId="096FA5C0" w14:textId="77777777" w:rsidR="007A6FCC" w:rsidRPr="00177DD1" w:rsidRDefault="007A6FCC" w:rsidP="00281329">
            <w:pPr>
              <w:pStyle w:val="Tablecontent"/>
              <w:rPr>
                <w:caps/>
              </w:rPr>
            </w:pPr>
            <w:r w:rsidRPr="00177DD1">
              <w:rPr>
                <w:caps/>
              </w:rPr>
              <w:t xml:space="preserve">Clone_F </w:t>
            </w:r>
          </w:p>
        </w:tc>
        <w:tc>
          <w:tcPr>
            <w:tcW w:w="8647" w:type="dxa"/>
            <w:vMerge/>
          </w:tcPr>
          <w:p w14:paraId="1B3668CE" w14:textId="77777777" w:rsidR="007A6FCC" w:rsidRPr="00B25DD9" w:rsidRDefault="007A6FCC" w:rsidP="00281329">
            <w:pPr>
              <w:pStyle w:val="Tablecontent"/>
            </w:pPr>
          </w:p>
        </w:tc>
      </w:tr>
      <w:tr w:rsidR="007A6FCC" w:rsidRPr="00E51A31" w14:paraId="12CE620B" w14:textId="77777777" w:rsidTr="00281329">
        <w:tc>
          <w:tcPr>
            <w:tcW w:w="1843" w:type="dxa"/>
            <w:shd w:val="clear" w:color="auto" w:fill="F2F2F2" w:themeFill="background1" w:themeFillShade="F2"/>
          </w:tcPr>
          <w:p w14:paraId="1406EA7E" w14:textId="77777777" w:rsidR="007A6FCC" w:rsidRPr="00B5522F" w:rsidRDefault="007A6FCC" w:rsidP="00281329">
            <w:pPr>
              <w:pStyle w:val="Tablecontent"/>
            </w:pPr>
            <w:r w:rsidRPr="00AF5C8D">
              <w:t>LCLONE_RD</w:t>
            </w:r>
          </w:p>
        </w:tc>
        <w:tc>
          <w:tcPr>
            <w:tcW w:w="8647" w:type="dxa"/>
            <w:vMerge w:val="restart"/>
          </w:tcPr>
          <w:p w14:paraId="685EAAE1" w14:textId="77777777" w:rsidR="007A6FCC" w:rsidRPr="005F5251" w:rsidRDefault="007A6FCC" w:rsidP="00281329">
            <w:pPr>
              <w:pStyle w:val="Tablecontent"/>
            </w:pPr>
            <w:r>
              <w:t xml:space="preserve">The same set of 3 metrics, except for Linked Clone. </w:t>
            </w:r>
          </w:p>
        </w:tc>
      </w:tr>
      <w:tr w:rsidR="007A6FCC" w:rsidRPr="00E51A31" w14:paraId="3504F4A0" w14:textId="77777777" w:rsidTr="00281329">
        <w:tc>
          <w:tcPr>
            <w:tcW w:w="1843" w:type="dxa"/>
            <w:shd w:val="clear" w:color="auto" w:fill="F2F2F2" w:themeFill="background1" w:themeFillShade="F2"/>
          </w:tcPr>
          <w:p w14:paraId="1293ED7B" w14:textId="77777777" w:rsidR="007A6FCC" w:rsidRPr="00AF5C8D" w:rsidRDefault="007A6FCC" w:rsidP="00281329">
            <w:pPr>
              <w:pStyle w:val="Tablecontent"/>
            </w:pPr>
            <w:r w:rsidRPr="00AF5C8D">
              <w:t>LCLONE_WR</w:t>
            </w:r>
          </w:p>
        </w:tc>
        <w:tc>
          <w:tcPr>
            <w:tcW w:w="8647" w:type="dxa"/>
            <w:vMerge/>
          </w:tcPr>
          <w:p w14:paraId="500A44F9" w14:textId="77777777" w:rsidR="007A6FCC" w:rsidRPr="005F5251" w:rsidRDefault="007A6FCC" w:rsidP="00281329">
            <w:pPr>
              <w:pStyle w:val="Tablecontent"/>
            </w:pPr>
          </w:p>
        </w:tc>
      </w:tr>
      <w:tr w:rsidR="007A6FCC" w:rsidRPr="00E51A31" w14:paraId="4C6A4F82" w14:textId="77777777" w:rsidTr="00281329">
        <w:tc>
          <w:tcPr>
            <w:tcW w:w="1843" w:type="dxa"/>
            <w:shd w:val="clear" w:color="auto" w:fill="F2F2F2" w:themeFill="background1" w:themeFillShade="F2"/>
          </w:tcPr>
          <w:p w14:paraId="1A2974BF" w14:textId="77777777" w:rsidR="007A6FCC" w:rsidRPr="00AF5C8D" w:rsidRDefault="007A6FCC" w:rsidP="00281329">
            <w:pPr>
              <w:pStyle w:val="Tablecontent"/>
            </w:pPr>
            <w:r w:rsidRPr="00AF5C8D">
              <w:t>LCLONE_F</w:t>
            </w:r>
          </w:p>
        </w:tc>
        <w:tc>
          <w:tcPr>
            <w:tcW w:w="8647" w:type="dxa"/>
            <w:vMerge/>
          </w:tcPr>
          <w:p w14:paraId="437075F7" w14:textId="77777777" w:rsidR="007A6FCC" w:rsidRPr="005F5251" w:rsidRDefault="007A6FCC" w:rsidP="00281329">
            <w:pPr>
              <w:pStyle w:val="Tablecontent"/>
            </w:pPr>
          </w:p>
        </w:tc>
      </w:tr>
      <w:tr w:rsidR="007A6FCC" w:rsidRPr="00E51A31" w14:paraId="662F28B9" w14:textId="77777777" w:rsidTr="00281329">
        <w:tc>
          <w:tcPr>
            <w:tcW w:w="1843" w:type="dxa"/>
            <w:shd w:val="clear" w:color="auto" w:fill="F2F2F2" w:themeFill="background1" w:themeFillShade="F2"/>
          </w:tcPr>
          <w:p w14:paraId="257912B5" w14:textId="77777777" w:rsidR="007A6FCC" w:rsidRPr="00B25DD9" w:rsidRDefault="007A6FCC" w:rsidP="00281329">
            <w:pPr>
              <w:pStyle w:val="Tablecontent"/>
            </w:pPr>
            <w:r w:rsidRPr="005F5251">
              <w:t xml:space="preserve">MBC_RD/s </w:t>
            </w:r>
          </w:p>
        </w:tc>
        <w:tc>
          <w:tcPr>
            <w:tcW w:w="8647" w:type="dxa"/>
            <w:vMerge w:val="restart"/>
          </w:tcPr>
          <w:p w14:paraId="30CF737C" w14:textId="77777777" w:rsidR="007A6FCC" w:rsidRDefault="007A6FCC" w:rsidP="00281329">
            <w:pPr>
              <w:pStyle w:val="Tablecontent"/>
            </w:pPr>
            <w:r>
              <w:t xml:space="preserve">MBC = </w:t>
            </w:r>
            <w:r w:rsidRPr="005F5251">
              <w:t>megabytes of clone data</w:t>
            </w:r>
            <w:r>
              <w:t>.</w:t>
            </w:r>
          </w:p>
          <w:p w14:paraId="218E2BB3" w14:textId="77777777" w:rsidR="007A6FCC" w:rsidRPr="00B25DD9" w:rsidRDefault="007A6FCC" w:rsidP="00281329">
            <w:pPr>
              <w:pStyle w:val="Tablecontent"/>
            </w:pPr>
            <w:r>
              <w:t xml:space="preserve">RD/s is </w:t>
            </w:r>
            <w:r w:rsidRPr="005F5251">
              <w:t>read per second</w:t>
            </w:r>
            <w:r>
              <w:t xml:space="preserve">, and WR/s is </w:t>
            </w:r>
            <w:r w:rsidRPr="005F5251">
              <w:t>written per second</w:t>
            </w:r>
          </w:p>
        </w:tc>
      </w:tr>
      <w:tr w:rsidR="007A6FCC" w:rsidRPr="00E51A31" w14:paraId="2D8A37D7" w14:textId="77777777" w:rsidTr="00281329">
        <w:tc>
          <w:tcPr>
            <w:tcW w:w="1843" w:type="dxa"/>
            <w:shd w:val="clear" w:color="auto" w:fill="F2F2F2" w:themeFill="background1" w:themeFillShade="F2"/>
          </w:tcPr>
          <w:p w14:paraId="3A3A31FA" w14:textId="77777777" w:rsidR="007A6FCC" w:rsidRPr="005F5251" w:rsidRDefault="007A6FCC" w:rsidP="00281329">
            <w:pPr>
              <w:pStyle w:val="Tablecontent"/>
            </w:pPr>
            <w:r w:rsidRPr="005F5251">
              <w:t xml:space="preserve">MBC_WR/s </w:t>
            </w:r>
          </w:p>
        </w:tc>
        <w:tc>
          <w:tcPr>
            <w:tcW w:w="8647" w:type="dxa"/>
            <w:vMerge/>
          </w:tcPr>
          <w:p w14:paraId="659C0575" w14:textId="77777777" w:rsidR="007A6FCC" w:rsidRPr="005F5251" w:rsidRDefault="007A6FCC" w:rsidP="00281329">
            <w:pPr>
              <w:pStyle w:val="Tablecontent"/>
            </w:pPr>
          </w:p>
        </w:tc>
      </w:tr>
      <w:tr w:rsidR="007A6FCC" w:rsidRPr="00E51A31" w14:paraId="4D831BAE" w14:textId="77777777" w:rsidTr="00281329">
        <w:tc>
          <w:tcPr>
            <w:tcW w:w="1843" w:type="dxa"/>
            <w:shd w:val="clear" w:color="auto" w:fill="F2F2F2" w:themeFill="background1" w:themeFillShade="F2"/>
          </w:tcPr>
          <w:p w14:paraId="2A8D00E2" w14:textId="77777777" w:rsidR="007A6FCC" w:rsidRPr="005F5251" w:rsidRDefault="007A6FCC" w:rsidP="00281329">
            <w:pPr>
              <w:pStyle w:val="Tablecontent"/>
            </w:pPr>
            <w:r w:rsidRPr="005F5251">
              <w:t xml:space="preserve">AVAG/suc </w:t>
            </w:r>
          </w:p>
        </w:tc>
        <w:tc>
          <w:tcPr>
            <w:tcW w:w="8647" w:type="dxa"/>
            <w:vMerge w:val="restart"/>
          </w:tcPr>
          <w:p w14:paraId="7E67A667" w14:textId="77777777" w:rsidR="007A6FCC" w:rsidRPr="005F5251" w:rsidRDefault="007A6FCC" w:rsidP="00281329">
            <w:pPr>
              <w:pStyle w:val="Tablecontent"/>
            </w:pPr>
            <w:r w:rsidRPr="005F5251">
              <w:t>The average clone latency per successful command</w:t>
            </w:r>
          </w:p>
          <w:p w14:paraId="6967C87C" w14:textId="77777777" w:rsidR="007A6FCC" w:rsidRPr="005F5251" w:rsidRDefault="007A6FCC" w:rsidP="00281329">
            <w:pPr>
              <w:pStyle w:val="Tablecontent"/>
            </w:pPr>
            <w:r w:rsidRPr="005F5251">
              <w:t>The average clone latency per failed command</w:t>
            </w:r>
          </w:p>
        </w:tc>
      </w:tr>
      <w:tr w:rsidR="007A6FCC" w:rsidRPr="00E51A31" w14:paraId="17CB1303" w14:textId="77777777" w:rsidTr="00281329">
        <w:tc>
          <w:tcPr>
            <w:tcW w:w="1843" w:type="dxa"/>
            <w:shd w:val="clear" w:color="auto" w:fill="F2F2F2" w:themeFill="background1" w:themeFillShade="F2"/>
          </w:tcPr>
          <w:p w14:paraId="39C9CBDC" w14:textId="77777777" w:rsidR="007A6FCC" w:rsidRPr="005F5251" w:rsidRDefault="007A6FCC" w:rsidP="00281329">
            <w:pPr>
              <w:pStyle w:val="Tablecontent"/>
            </w:pPr>
            <w:r w:rsidRPr="005F5251">
              <w:t xml:space="preserve">AVAG/f </w:t>
            </w:r>
          </w:p>
        </w:tc>
        <w:tc>
          <w:tcPr>
            <w:tcW w:w="8647" w:type="dxa"/>
            <w:vMerge/>
          </w:tcPr>
          <w:p w14:paraId="0D9E951C" w14:textId="77777777" w:rsidR="007A6FCC" w:rsidRPr="005F5251" w:rsidRDefault="007A6FCC" w:rsidP="00281329">
            <w:pPr>
              <w:pStyle w:val="Tablecontent"/>
            </w:pPr>
          </w:p>
        </w:tc>
      </w:tr>
    </w:tbl>
    <w:p w14:paraId="64A52AA3" w14:textId="77777777" w:rsidR="007A6FCC" w:rsidRDefault="007A6FCC" w:rsidP="007A6FCC">
      <w:pPr>
        <w:pStyle w:val="Heading7"/>
      </w:pPr>
      <w:r w:rsidRPr="00480F74">
        <w:t>Atomic Test &amp; Set</w:t>
      </w:r>
    </w:p>
    <w:p w14:paraId="2F61932C" w14:textId="77777777" w:rsidR="007A6FCC" w:rsidRDefault="007A6FCC" w:rsidP="007A6FCC">
      <w:r>
        <w:t>Hardware Accelerated Locking on Single Extent Datastore or on Multi Extent Datastore (SCSI code 0x89)</w:t>
      </w:r>
    </w:p>
    <w:p w14:paraId="4D57BE4C"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04AB67F2" w14:textId="77777777" w:rsidTr="00281329">
        <w:tc>
          <w:tcPr>
            <w:tcW w:w="1843" w:type="dxa"/>
            <w:shd w:val="clear" w:color="auto" w:fill="F2F2F2" w:themeFill="background1" w:themeFillShade="F2"/>
          </w:tcPr>
          <w:p w14:paraId="3A2C561B" w14:textId="77777777" w:rsidR="007A6FCC" w:rsidRPr="00A306E7" w:rsidRDefault="007A6FCC" w:rsidP="00281329">
            <w:pPr>
              <w:pStyle w:val="Tablecontent"/>
            </w:pPr>
            <w:r w:rsidRPr="00A306E7">
              <w:t xml:space="preserve">ATS </w:t>
            </w:r>
          </w:p>
        </w:tc>
        <w:tc>
          <w:tcPr>
            <w:tcW w:w="8647" w:type="dxa"/>
          </w:tcPr>
          <w:p w14:paraId="51F0243F" w14:textId="77777777" w:rsidR="007A6FCC" w:rsidRPr="00B25DD9" w:rsidRDefault="007A6FCC" w:rsidP="00281329">
            <w:pPr>
              <w:pStyle w:val="Tablecontent"/>
            </w:pPr>
            <w:r w:rsidRPr="005F5251">
              <w:t xml:space="preserve">The number of </w:t>
            </w:r>
            <w:r w:rsidRPr="00480F74">
              <w:t>Atomic Test &amp; Set</w:t>
            </w:r>
            <w:r>
              <w:t xml:space="preserve"> (ATS)</w:t>
            </w:r>
            <w:r w:rsidRPr="005F5251">
              <w:t xml:space="preserve"> commands successfully completed</w:t>
            </w:r>
          </w:p>
        </w:tc>
      </w:tr>
      <w:tr w:rsidR="007A6FCC" w:rsidRPr="00E51A31" w14:paraId="307FEE2D" w14:textId="77777777" w:rsidTr="00281329">
        <w:tc>
          <w:tcPr>
            <w:tcW w:w="1843" w:type="dxa"/>
            <w:shd w:val="clear" w:color="auto" w:fill="F2F2F2" w:themeFill="background1" w:themeFillShade="F2"/>
          </w:tcPr>
          <w:p w14:paraId="3EBF6756" w14:textId="77777777" w:rsidR="007A6FCC" w:rsidRPr="00A306E7" w:rsidRDefault="007A6FCC" w:rsidP="00281329">
            <w:pPr>
              <w:pStyle w:val="Tablecontent"/>
            </w:pPr>
            <w:r w:rsidRPr="00A306E7">
              <w:t xml:space="preserve">ATSF </w:t>
            </w:r>
          </w:p>
        </w:tc>
        <w:tc>
          <w:tcPr>
            <w:tcW w:w="8647" w:type="dxa"/>
          </w:tcPr>
          <w:p w14:paraId="4FEC1F77" w14:textId="77777777" w:rsidR="007A6FCC" w:rsidRPr="00B25DD9" w:rsidRDefault="007A6FCC" w:rsidP="00281329">
            <w:pPr>
              <w:pStyle w:val="Tablecontent"/>
            </w:pPr>
            <w:r w:rsidRPr="005F5251">
              <w:t>The number of ATS commands failed</w:t>
            </w:r>
            <w:r>
              <w:t>. Expect this to be 0?</w:t>
            </w:r>
          </w:p>
        </w:tc>
      </w:tr>
      <w:tr w:rsidR="007A6FCC" w:rsidRPr="00E51A31" w14:paraId="6F20BB68" w14:textId="77777777" w:rsidTr="00281329">
        <w:tc>
          <w:tcPr>
            <w:tcW w:w="1843" w:type="dxa"/>
            <w:shd w:val="clear" w:color="auto" w:fill="F2F2F2" w:themeFill="background1" w:themeFillShade="F2"/>
          </w:tcPr>
          <w:p w14:paraId="36E0F4F0" w14:textId="77777777" w:rsidR="007A6FCC" w:rsidRPr="00A306E7" w:rsidRDefault="007A6FCC" w:rsidP="00281329">
            <w:pPr>
              <w:pStyle w:val="Tablecontent"/>
            </w:pPr>
            <w:r w:rsidRPr="00A306E7">
              <w:t xml:space="preserve">AAVG/suc </w:t>
            </w:r>
          </w:p>
        </w:tc>
        <w:tc>
          <w:tcPr>
            <w:tcW w:w="8647" w:type="dxa"/>
          </w:tcPr>
          <w:p w14:paraId="6F2164B1" w14:textId="77777777" w:rsidR="007A6FCC" w:rsidRPr="00B25DD9" w:rsidRDefault="007A6FCC" w:rsidP="00281329">
            <w:pPr>
              <w:pStyle w:val="Tablecontent"/>
            </w:pPr>
            <w:r w:rsidRPr="005F5251">
              <w:t>The Average ATS latency per successful command</w:t>
            </w:r>
          </w:p>
        </w:tc>
      </w:tr>
      <w:tr w:rsidR="007A6FCC" w:rsidRPr="00E51A31" w14:paraId="782623D7" w14:textId="77777777" w:rsidTr="00281329">
        <w:tc>
          <w:tcPr>
            <w:tcW w:w="1843" w:type="dxa"/>
            <w:shd w:val="clear" w:color="auto" w:fill="F2F2F2" w:themeFill="background1" w:themeFillShade="F2"/>
          </w:tcPr>
          <w:p w14:paraId="55C26E34" w14:textId="77777777" w:rsidR="007A6FCC" w:rsidRPr="00A306E7" w:rsidRDefault="007A6FCC" w:rsidP="00281329">
            <w:pPr>
              <w:pStyle w:val="Tablecontent"/>
            </w:pPr>
            <w:r w:rsidRPr="00A306E7">
              <w:t xml:space="preserve">AAVG/f </w:t>
            </w:r>
          </w:p>
        </w:tc>
        <w:tc>
          <w:tcPr>
            <w:tcW w:w="8647" w:type="dxa"/>
          </w:tcPr>
          <w:p w14:paraId="1F0AB09C" w14:textId="77777777" w:rsidR="007A6FCC" w:rsidRPr="00B25DD9" w:rsidRDefault="007A6FCC" w:rsidP="00281329">
            <w:pPr>
              <w:pStyle w:val="Tablecontent"/>
            </w:pPr>
            <w:r w:rsidRPr="005F5251">
              <w:t>The Average ATS latency per failed command</w:t>
            </w:r>
          </w:p>
        </w:tc>
      </w:tr>
    </w:tbl>
    <w:p w14:paraId="6A39E0C5" w14:textId="77777777" w:rsidR="007A6FCC" w:rsidRDefault="007A6FCC" w:rsidP="007A6FCC">
      <w:pPr>
        <w:pStyle w:val="Heading7"/>
      </w:pPr>
      <w:r w:rsidRPr="00480F74">
        <w:lastRenderedPageBreak/>
        <w:t>Write Same</w:t>
      </w:r>
    </w:p>
    <w:p w14:paraId="4970D489" w14:textId="77777777" w:rsidR="007A6FCC" w:rsidRDefault="007A6FCC" w:rsidP="007A6FCC">
      <w:r>
        <w:t>Hardware Accelerated Initialize or Zeroed out blocks (SCSI code 0x93 or 0x41)</w:t>
      </w:r>
    </w:p>
    <w:p w14:paraId="089665FD"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2090A8AA" w14:textId="77777777" w:rsidTr="00281329">
        <w:tc>
          <w:tcPr>
            <w:tcW w:w="1843" w:type="dxa"/>
            <w:shd w:val="clear" w:color="auto" w:fill="F2F2F2" w:themeFill="background1" w:themeFillShade="F2"/>
          </w:tcPr>
          <w:p w14:paraId="0CD342B3" w14:textId="77777777" w:rsidR="007A6FCC" w:rsidRPr="00A306E7" w:rsidRDefault="007A6FCC" w:rsidP="00281329">
            <w:pPr>
              <w:pStyle w:val="Tablecontent"/>
              <w:tabs>
                <w:tab w:val="left" w:pos="1127"/>
              </w:tabs>
            </w:pPr>
            <w:r w:rsidRPr="00177DD1">
              <w:t>ZERO</w:t>
            </w:r>
          </w:p>
        </w:tc>
        <w:tc>
          <w:tcPr>
            <w:tcW w:w="8647" w:type="dxa"/>
          </w:tcPr>
          <w:p w14:paraId="1FB291D0" w14:textId="77777777" w:rsidR="007A6FCC" w:rsidRPr="00B25DD9" w:rsidRDefault="007A6FCC" w:rsidP="00281329">
            <w:pPr>
              <w:pStyle w:val="Tablecontent"/>
            </w:pPr>
            <w:r w:rsidRPr="005F5251">
              <w:t>The number of ZERO commands successfully completed</w:t>
            </w:r>
          </w:p>
        </w:tc>
      </w:tr>
      <w:tr w:rsidR="007A6FCC" w:rsidRPr="00E51A31" w14:paraId="36857541" w14:textId="77777777" w:rsidTr="00281329">
        <w:tc>
          <w:tcPr>
            <w:tcW w:w="1843" w:type="dxa"/>
            <w:shd w:val="clear" w:color="auto" w:fill="F2F2F2" w:themeFill="background1" w:themeFillShade="F2"/>
          </w:tcPr>
          <w:p w14:paraId="68A33BE6" w14:textId="77777777" w:rsidR="007A6FCC" w:rsidRPr="00A306E7" w:rsidRDefault="007A6FCC" w:rsidP="00281329">
            <w:pPr>
              <w:pStyle w:val="Tablecontent"/>
            </w:pPr>
            <w:r w:rsidRPr="00177DD1">
              <w:t>ZERO_F</w:t>
            </w:r>
          </w:p>
        </w:tc>
        <w:tc>
          <w:tcPr>
            <w:tcW w:w="8647" w:type="dxa"/>
          </w:tcPr>
          <w:p w14:paraId="593DE4F5" w14:textId="77777777" w:rsidR="007A6FCC" w:rsidRPr="00B25DD9" w:rsidRDefault="007A6FCC" w:rsidP="00281329">
            <w:pPr>
              <w:pStyle w:val="Tablecontent"/>
            </w:pPr>
            <w:r w:rsidRPr="005F5251">
              <w:t>The number of ZERO commands failed</w:t>
            </w:r>
          </w:p>
        </w:tc>
      </w:tr>
      <w:tr w:rsidR="007A6FCC" w:rsidRPr="00E51A31" w14:paraId="2DE1903A" w14:textId="77777777" w:rsidTr="00281329">
        <w:tc>
          <w:tcPr>
            <w:tcW w:w="1843" w:type="dxa"/>
            <w:shd w:val="clear" w:color="auto" w:fill="F2F2F2" w:themeFill="background1" w:themeFillShade="F2"/>
          </w:tcPr>
          <w:p w14:paraId="38F007D2" w14:textId="77777777" w:rsidR="007A6FCC" w:rsidRPr="00A306E7" w:rsidRDefault="007A6FCC" w:rsidP="00281329">
            <w:pPr>
              <w:pStyle w:val="Tablecontent"/>
            </w:pPr>
            <w:r w:rsidRPr="00A306E7">
              <w:t xml:space="preserve">MBZERO/s </w:t>
            </w:r>
          </w:p>
        </w:tc>
        <w:tc>
          <w:tcPr>
            <w:tcW w:w="8647" w:type="dxa"/>
          </w:tcPr>
          <w:p w14:paraId="6B68C885" w14:textId="77777777" w:rsidR="007A6FCC" w:rsidRPr="00B25DD9" w:rsidRDefault="007A6FCC" w:rsidP="00281329">
            <w:pPr>
              <w:pStyle w:val="Tablecontent"/>
            </w:pPr>
            <w:r w:rsidRPr="005F5251">
              <w:t>The megabytes zeroed per second</w:t>
            </w:r>
          </w:p>
        </w:tc>
      </w:tr>
      <w:tr w:rsidR="007A6FCC" w:rsidRPr="00E51A31" w14:paraId="1E082D0F" w14:textId="77777777" w:rsidTr="00281329">
        <w:tc>
          <w:tcPr>
            <w:tcW w:w="1843" w:type="dxa"/>
            <w:shd w:val="clear" w:color="auto" w:fill="F2F2F2" w:themeFill="background1" w:themeFillShade="F2"/>
          </w:tcPr>
          <w:p w14:paraId="4166C8ED" w14:textId="77777777" w:rsidR="007A6FCC" w:rsidRPr="00A306E7" w:rsidRDefault="007A6FCC" w:rsidP="00281329">
            <w:pPr>
              <w:pStyle w:val="Tablecontent"/>
            </w:pPr>
            <w:r w:rsidRPr="00A306E7">
              <w:t xml:space="preserve">ZAVG/suc </w:t>
            </w:r>
          </w:p>
        </w:tc>
        <w:tc>
          <w:tcPr>
            <w:tcW w:w="8647" w:type="dxa"/>
          </w:tcPr>
          <w:p w14:paraId="1F370D5B" w14:textId="77777777" w:rsidR="007A6FCC" w:rsidRPr="00B25DD9" w:rsidRDefault="007A6FCC" w:rsidP="00281329">
            <w:pPr>
              <w:pStyle w:val="Tablecontent"/>
            </w:pPr>
            <w:r w:rsidRPr="005F5251">
              <w:t>The average zero latency per successful command</w:t>
            </w:r>
          </w:p>
        </w:tc>
      </w:tr>
      <w:tr w:rsidR="007A6FCC" w:rsidRPr="00E51A31" w14:paraId="05D7012B" w14:textId="77777777" w:rsidTr="00281329">
        <w:tc>
          <w:tcPr>
            <w:tcW w:w="1843" w:type="dxa"/>
            <w:shd w:val="clear" w:color="auto" w:fill="F2F2F2" w:themeFill="background1" w:themeFillShade="F2"/>
          </w:tcPr>
          <w:p w14:paraId="3AB5597D" w14:textId="77777777" w:rsidR="007A6FCC" w:rsidRPr="00A306E7" w:rsidRDefault="007A6FCC" w:rsidP="00281329">
            <w:pPr>
              <w:pStyle w:val="Tablecontent"/>
            </w:pPr>
            <w:r w:rsidRPr="00A306E7">
              <w:t xml:space="preserve">ZAVG/f </w:t>
            </w:r>
          </w:p>
        </w:tc>
        <w:tc>
          <w:tcPr>
            <w:tcW w:w="8647" w:type="dxa"/>
          </w:tcPr>
          <w:p w14:paraId="5A36DD5C" w14:textId="77777777" w:rsidR="007A6FCC" w:rsidRPr="005F5251" w:rsidRDefault="007A6FCC" w:rsidP="00281329">
            <w:pPr>
              <w:pStyle w:val="Tablecontent"/>
            </w:pPr>
            <w:r w:rsidRPr="005F5251">
              <w:t>The average zero latency per failed command</w:t>
            </w:r>
          </w:p>
        </w:tc>
      </w:tr>
    </w:tbl>
    <w:p w14:paraId="245493EF" w14:textId="77777777" w:rsidR="007A6FCC" w:rsidRPr="00480F74" w:rsidRDefault="007A6FCC" w:rsidP="007A6FCC">
      <w:pPr>
        <w:pStyle w:val="Heading7"/>
      </w:pPr>
      <w:r w:rsidRPr="003C73C8">
        <w:t>U</w:t>
      </w:r>
      <w:r>
        <w:t>nmapped</w:t>
      </w:r>
    </w:p>
    <w:p w14:paraId="5BBBEBF9" w14:textId="77777777" w:rsidR="007A6FCC" w:rsidRDefault="007A6FCC" w:rsidP="007A6FCC">
      <w:r>
        <w:t>Unmapped b</w:t>
      </w:r>
      <w:r w:rsidRPr="003C73C8">
        <w:t xml:space="preserve">lock </w:t>
      </w:r>
      <w:r>
        <w:t>d</w:t>
      </w:r>
      <w:r w:rsidRPr="003C73C8">
        <w:t>elet</w:t>
      </w:r>
      <w:r>
        <w:t>ion (SCSI code 0x42). We discussed unmapped block (TRIM) in Part 1 Chapter 3 Capacity Management.</w:t>
      </w:r>
    </w:p>
    <w:p w14:paraId="5358997B"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268"/>
        <w:gridCol w:w="8222"/>
      </w:tblGrid>
      <w:tr w:rsidR="007A6FCC" w:rsidRPr="00E51A31" w14:paraId="2432F5E2" w14:textId="77777777" w:rsidTr="00281329">
        <w:tc>
          <w:tcPr>
            <w:tcW w:w="2268" w:type="dxa"/>
            <w:shd w:val="clear" w:color="auto" w:fill="F2F2F2" w:themeFill="background1" w:themeFillShade="F2"/>
          </w:tcPr>
          <w:p w14:paraId="0904DE5A" w14:textId="77777777" w:rsidR="007A6FCC" w:rsidRPr="00A306E7" w:rsidRDefault="007A6FCC" w:rsidP="00281329">
            <w:pPr>
              <w:pStyle w:val="Tablecontent"/>
            </w:pPr>
            <w:r w:rsidRPr="00177DD1">
              <w:t>DELETE</w:t>
            </w:r>
          </w:p>
        </w:tc>
        <w:tc>
          <w:tcPr>
            <w:tcW w:w="8222" w:type="dxa"/>
          </w:tcPr>
          <w:p w14:paraId="1AD2CDEE" w14:textId="77777777" w:rsidR="007A6FCC" w:rsidRPr="00B25DD9" w:rsidRDefault="007A6FCC" w:rsidP="00281329">
            <w:pPr>
              <w:pStyle w:val="Tablecontent"/>
            </w:pPr>
            <w:r w:rsidRPr="005F5251">
              <w:t>The number of successful DELETE commands</w:t>
            </w:r>
          </w:p>
        </w:tc>
      </w:tr>
      <w:tr w:rsidR="007A6FCC" w:rsidRPr="00E51A31" w14:paraId="7D045207" w14:textId="77777777" w:rsidTr="00281329">
        <w:tc>
          <w:tcPr>
            <w:tcW w:w="2268" w:type="dxa"/>
            <w:shd w:val="clear" w:color="auto" w:fill="F2F2F2" w:themeFill="background1" w:themeFillShade="F2"/>
          </w:tcPr>
          <w:p w14:paraId="520FB172" w14:textId="77777777" w:rsidR="007A6FCC" w:rsidRPr="00A306E7" w:rsidRDefault="007A6FCC" w:rsidP="00281329">
            <w:pPr>
              <w:pStyle w:val="Tablecontent"/>
            </w:pPr>
            <w:r w:rsidRPr="00177DD1">
              <w:t>DELETE_F</w:t>
            </w:r>
          </w:p>
        </w:tc>
        <w:tc>
          <w:tcPr>
            <w:tcW w:w="8222" w:type="dxa"/>
          </w:tcPr>
          <w:p w14:paraId="3F175428" w14:textId="77777777" w:rsidR="007A6FCC" w:rsidRPr="00B25DD9" w:rsidRDefault="007A6FCC" w:rsidP="00281329">
            <w:pPr>
              <w:pStyle w:val="Tablecontent"/>
            </w:pPr>
            <w:r w:rsidRPr="00247A1B">
              <w:t>The number of failed UNMAP commands, this value should be 0</w:t>
            </w:r>
          </w:p>
        </w:tc>
      </w:tr>
      <w:tr w:rsidR="007A6FCC" w:rsidRPr="00E51A31" w14:paraId="7E970578" w14:textId="77777777" w:rsidTr="00281329">
        <w:tc>
          <w:tcPr>
            <w:tcW w:w="2268" w:type="dxa"/>
            <w:shd w:val="clear" w:color="auto" w:fill="F2F2F2" w:themeFill="background1" w:themeFillShade="F2"/>
          </w:tcPr>
          <w:p w14:paraId="29CBCC08" w14:textId="77777777" w:rsidR="007A6FCC" w:rsidRPr="00A306E7" w:rsidRDefault="007A6FCC" w:rsidP="00281329">
            <w:pPr>
              <w:pStyle w:val="Tablecontent"/>
            </w:pPr>
            <w:r w:rsidRPr="00A306E7">
              <w:t xml:space="preserve">MBDEL/s </w:t>
            </w:r>
            <w:r>
              <w:t>(MB/s)</w:t>
            </w:r>
          </w:p>
        </w:tc>
        <w:tc>
          <w:tcPr>
            <w:tcW w:w="8222" w:type="dxa"/>
          </w:tcPr>
          <w:p w14:paraId="0A5F218E" w14:textId="77777777" w:rsidR="007A6FCC" w:rsidRPr="00B25DD9" w:rsidRDefault="007A6FCC" w:rsidP="00281329">
            <w:pPr>
              <w:pStyle w:val="Tablecontent"/>
            </w:pPr>
            <w:r w:rsidRPr="005F5251">
              <w:t>The rate at which the DELETE command getting processed</w:t>
            </w:r>
            <w:r>
              <w:t>. M</w:t>
            </w:r>
            <w:r w:rsidRPr="005F5251">
              <w:t>easured in Megabytes per second</w:t>
            </w:r>
          </w:p>
        </w:tc>
      </w:tr>
    </w:tbl>
    <w:p w14:paraId="02B9D857" w14:textId="77777777" w:rsidR="007A6FCC" w:rsidRDefault="007A6FCC" w:rsidP="007A6FCC">
      <w:pPr>
        <w:pStyle w:val="Heading7"/>
      </w:pPr>
      <w:r>
        <w:t>Others</w:t>
      </w:r>
    </w:p>
    <w:p w14:paraId="2EAD2BF1" w14:textId="77777777" w:rsidR="007A6FCC" w:rsidRDefault="007A6FCC" w:rsidP="007A6FCC">
      <w:pPr>
        <w:pStyle w:val="BeforeTable"/>
        <w:rPr>
          <w:lang w:val="en-GB"/>
        </w:rPr>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23BFD11D" w14:textId="77777777" w:rsidTr="00281329">
        <w:tc>
          <w:tcPr>
            <w:tcW w:w="1843" w:type="dxa"/>
            <w:shd w:val="clear" w:color="auto" w:fill="F2F2F2" w:themeFill="background1" w:themeFillShade="F2"/>
          </w:tcPr>
          <w:p w14:paraId="447B8815" w14:textId="77777777" w:rsidR="007A6FCC" w:rsidRPr="002510F4" w:rsidRDefault="007A6FCC" w:rsidP="00281329">
            <w:pPr>
              <w:pStyle w:val="Tablecontent"/>
            </w:pPr>
            <w:r w:rsidRPr="00E914F2">
              <w:rPr>
                <w:lang w:val="en-GB"/>
              </w:rPr>
              <w:t>RESSPACE</w:t>
            </w:r>
          </w:p>
        </w:tc>
        <w:tc>
          <w:tcPr>
            <w:tcW w:w="8647" w:type="dxa"/>
            <w:vMerge w:val="restart"/>
          </w:tcPr>
          <w:p w14:paraId="52205BB4" w14:textId="77777777" w:rsidR="007A6FCC" w:rsidRDefault="007A6FCC" w:rsidP="00281329">
            <w:pPr>
              <w:pStyle w:val="Tablecontent"/>
            </w:pPr>
            <w:r>
              <w:t>Reservation Space.</w:t>
            </w:r>
          </w:p>
          <w:p w14:paraId="3E6AEC92" w14:textId="77777777" w:rsidR="007A6FCC" w:rsidRDefault="007A6FCC" w:rsidP="00281329">
            <w:pPr>
              <w:pStyle w:val="Tablecontent"/>
            </w:pPr>
            <w:r>
              <w:t>T</w:t>
            </w:r>
            <w:r w:rsidRPr="00623299">
              <w:t>he number of commands which were successful while doing space reservation for a VMDK file in thick Provisioning format</w:t>
            </w:r>
            <w:r>
              <w:t>.</w:t>
            </w:r>
          </w:p>
          <w:p w14:paraId="27027143" w14:textId="77777777" w:rsidR="007A6FCC" w:rsidRPr="002510F4" w:rsidRDefault="007A6FCC" w:rsidP="00281329">
            <w:pPr>
              <w:pStyle w:val="Tablecontent"/>
            </w:pPr>
            <w:r w:rsidRPr="00E914F2">
              <w:rPr>
                <w:lang w:val="en-GB"/>
              </w:rPr>
              <w:t>RESSPACE_F</w:t>
            </w:r>
            <w:r>
              <w:rPr>
                <w:lang w:val="en-GB"/>
              </w:rPr>
              <w:t xml:space="preserve"> captures the failure. </w:t>
            </w:r>
          </w:p>
        </w:tc>
      </w:tr>
      <w:tr w:rsidR="007A6FCC" w:rsidRPr="00E51A31" w14:paraId="6AACCAB6" w14:textId="77777777" w:rsidTr="00281329">
        <w:tc>
          <w:tcPr>
            <w:tcW w:w="1843" w:type="dxa"/>
            <w:shd w:val="clear" w:color="auto" w:fill="F2F2F2" w:themeFill="background1" w:themeFillShade="F2"/>
          </w:tcPr>
          <w:p w14:paraId="10C5FABD" w14:textId="77777777" w:rsidR="007A6FCC" w:rsidRPr="002510F4" w:rsidRDefault="007A6FCC" w:rsidP="00281329">
            <w:pPr>
              <w:pStyle w:val="Tablecontent"/>
            </w:pPr>
            <w:r w:rsidRPr="00E914F2">
              <w:rPr>
                <w:lang w:val="en-GB"/>
              </w:rPr>
              <w:t>RESSPACE_F</w:t>
            </w:r>
          </w:p>
        </w:tc>
        <w:tc>
          <w:tcPr>
            <w:tcW w:w="8647" w:type="dxa"/>
            <w:vMerge/>
          </w:tcPr>
          <w:p w14:paraId="1630D6CA" w14:textId="77777777" w:rsidR="007A6FCC" w:rsidRPr="002510F4" w:rsidRDefault="007A6FCC" w:rsidP="00281329">
            <w:pPr>
              <w:pStyle w:val="Tablecontent"/>
            </w:pPr>
          </w:p>
        </w:tc>
      </w:tr>
      <w:tr w:rsidR="007A6FCC" w:rsidRPr="00E51A31" w14:paraId="1060892F" w14:textId="77777777" w:rsidTr="00281329">
        <w:tc>
          <w:tcPr>
            <w:tcW w:w="1843" w:type="dxa"/>
            <w:shd w:val="clear" w:color="auto" w:fill="F2F2F2" w:themeFill="background1" w:themeFillShade="F2"/>
          </w:tcPr>
          <w:p w14:paraId="01E9A554" w14:textId="77777777" w:rsidR="007A6FCC" w:rsidRPr="002510F4" w:rsidRDefault="007A6FCC" w:rsidP="00281329">
            <w:pPr>
              <w:pStyle w:val="Tablecontent"/>
            </w:pPr>
            <w:r w:rsidRPr="007012B2">
              <w:rPr>
                <w:lang w:val="en-GB"/>
              </w:rPr>
              <w:t>EXTSTATS</w:t>
            </w:r>
          </w:p>
        </w:tc>
        <w:tc>
          <w:tcPr>
            <w:tcW w:w="8647" w:type="dxa"/>
            <w:vMerge w:val="restart"/>
          </w:tcPr>
          <w:p w14:paraId="7B7828A1" w14:textId="77777777" w:rsidR="007A6FCC" w:rsidRDefault="007A6FCC" w:rsidP="00281329">
            <w:pPr>
              <w:pStyle w:val="Tablecontent"/>
            </w:pPr>
            <w:r>
              <w:t>Extended Statistics</w:t>
            </w:r>
          </w:p>
          <w:p w14:paraId="4BBBB3A2" w14:textId="77777777" w:rsidR="007A6FCC" w:rsidRDefault="007A6FCC" w:rsidP="00281329">
            <w:pPr>
              <w:pStyle w:val="Tablecontent"/>
            </w:pPr>
            <w:r>
              <w:t>T</w:t>
            </w:r>
            <w:r w:rsidRPr="00623299">
              <w:t>he number of commands which were successful in reporting extended stat</w:t>
            </w:r>
            <w:r>
              <w:t>istic</w:t>
            </w:r>
            <w:r w:rsidRPr="00623299">
              <w:t>s of a clone after the cloning process had been completed.</w:t>
            </w:r>
          </w:p>
          <w:p w14:paraId="7AE72417" w14:textId="77777777" w:rsidR="007A6FCC" w:rsidRPr="002510F4" w:rsidRDefault="007A6FCC" w:rsidP="00281329">
            <w:pPr>
              <w:pStyle w:val="Tablecontent"/>
            </w:pPr>
            <w:r w:rsidRPr="007012B2">
              <w:rPr>
                <w:lang w:val="en-GB"/>
              </w:rPr>
              <w:t>EXTSTATS_F</w:t>
            </w:r>
            <w:r>
              <w:rPr>
                <w:lang w:val="en-GB"/>
              </w:rPr>
              <w:t xml:space="preserve"> captures the failure</w:t>
            </w:r>
          </w:p>
        </w:tc>
      </w:tr>
      <w:tr w:rsidR="007A6FCC" w:rsidRPr="00E51A31" w14:paraId="7D085F45" w14:textId="77777777" w:rsidTr="00281329">
        <w:tc>
          <w:tcPr>
            <w:tcW w:w="1843" w:type="dxa"/>
            <w:shd w:val="clear" w:color="auto" w:fill="F2F2F2" w:themeFill="background1" w:themeFillShade="F2"/>
          </w:tcPr>
          <w:p w14:paraId="627B893E" w14:textId="77777777" w:rsidR="007A6FCC" w:rsidRPr="002510F4" w:rsidRDefault="007A6FCC" w:rsidP="00281329">
            <w:pPr>
              <w:pStyle w:val="Tablecontent"/>
            </w:pPr>
            <w:r w:rsidRPr="007012B2">
              <w:rPr>
                <w:lang w:val="en-GB"/>
              </w:rPr>
              <w:t>EXTSTATS_F</w:t>
            </w:r>
          </w:p>
        </w:tc>
        <w:tc>
          <w:tcPr>
            <w:tcW w:w="8647" w:type="dxa"/>
            <w:vMerge/>
          </w:tcPr>
          <w:p w14:paraId="384D0011" w14:textId="77777777" w:rsidR="007A6FCC" w:rsidRPr="002510F4" w:rsidRDefault="007A6FCC" w:rsidP="00281329">
            <w:pPr>
              <w:pStyle w:val="Tablecontent"/>
            </w:pPr>
          </w:p>
        </w:tc>
      </w:tr>
      <w:tr w:rsidR="007A6FCC" w:rsidRPr="00E51A31" w14:paraId="632F7CC1" w14:textId="77777777" w:rsidTr="00281329">
        <w:tc>
          <w:tcPr>
            <w:tcW w:w="1843" w:type="dxa"/>
            <w:shd w:val="clear" w:color="auto" w:fill="F2F2F2" w:themeFill="background1" w:themeFillShade="F2"/>
          </w:tcPr>
          <w:p w14:paraId="453BC4C4" w14:textId="77777777" w:rsidR="007A6FCC" w:rsidRPr="007012B2" w:rsidRDefault="007A6FCC" w:rsidP="00281329">
            <w:pPr>
              <w:pStyle w:val="Tablecontent"/>
              <w:rPr>
                <w:lang w:val="en-GB"/>
              </w:rPr>
            </w:pPr>
            <w:r w:rsidRPr="002F5B6E">
              <w:rPr>
                <w:lang w:val="en-GB"/>
              </w:rPr>
              <w:t>CAVG/suc</w:t>
            </w:r>
          </w:p>
        </w:tc>
        <w:tc>
          <w:tcPr>
            <w:tcW w:w="8647" w:type="dxa"/>
            <w:vMerge w:val="restart"/>
          </w:tcPr>
          <w:p w14:paraId="20F85FDB" w14:textId="77777777" w:rsidR="007A6FCC" w:rsidRDefault="007A6FCC" w:rsidP="00281329">
            <w:pPr>
              <w:pStyle w:val="Tablecontent"/>
            </w:pPr>
            <w:r w:rsidRPr="00623299">
              <w:t>The average clone latency per successful command.</w:t>
            </w:r>
            <w:r>
              <w:t xml:space="preserve"> Unit is millisecond per clone. </w:t>
            </w:r>
          </w:p>
          <w:p w14:paraId="7382276D" w14:textId="77777777" w:rsidR="007A6FCC" w:rsidRPr="002510F4" w:rsidRDefault="007A6FCC" w:rsidP="00281329">
            <w:pPr>
              <w:pStyle w:val="Tablecontent"/>
            </w:pPr>
            <w:r>
              <w:t>CAVG/f captures the failures.</w:t>
            </w:r>
          </w:p>
        </w:tc>
      </w:tr>
      <w:tr w:rsidR="007A6FCC" w:rsidRPr="00E51A31" w14:paraId="63DF668B" w14:textId="77777777" w:rsidTr="00281329">
        <w:tc>
          <w:tcPr>
            <w:tcW w:w="1843" w:type="dxa"/>
            <w:shd w:val="clear" w:color="auto" w:fill="F2F2F2" w:themeFill="background1" w:themeFillShade="F2"/>
          </w:tcPr>
          <w:p w14:paraId="2FD1D134" w14:textId="77777777" w:rsidR="007A6FCC" w:rsidRPr="007012B2" w:rsidRDefault="007A6FCC" w:rsidP="00281329">
            <w:pPr>
              <w:pStyle w:val="Tablecontent"/>
              <w:rPr>
                <w:lang w:val="en-GB"/>
              </w:rPr>
            </w:pPr>
            <w:r w:rsidRPr="002F5B6E">
              <w:rPr>
                <w:lang w:val="en-GB"/>
              </w:rPr>
              <w:t>CAVG/f</w:t>
            </w:r>
          </w:p>
        </w:tc>
        <w:tc>
          <w:tcPr>
            <w:tcW w:w="8647" w:type="dxa"/>
            <w:vMerge/>
          </w:tcPr>
          <w:p w14:paraId="1F53909C" w14:textId="77777777" w:rsidR="007A6FCC" w:rsidRPr="002510F4" w:rsidRDefault="007A6FCC" w:rsidP="00281329">
            <w:pPr>
              <w:pStyle w:val="Tablecontent"/>
            </w:pPr>
          </w:p>
        </w:tc>
      </w:tr>
      <w:tr w:rsidR="007A6FCC" w:rsidRPr="00E51A31" w14:paraId="0CA3E6D6" w14:textId="77777777" w:rsidTr="00281329">
        <w:tc>
          <w:tcPr>
            <w:tcW w:w="1843" w:type="dxa"/>
            <w:shd w:val="clear" w:color="auto" w:fill="F2F2F2" w:themeFill="background1" w:themeFillShade="F2"/>
          </w:tcPr>
          <w:p w14:paraId="0C6DD357" w14:textId="77777777" w:rsidR="007A6FCC" w:rsidRPr="007012B2" w:rsidRDefault="007A6FCC" w:rsidP="00281329">
            <w:pPr>
              <w:pStyle w:val="Tablecontent"/>
              <w:rPr>
                <w:lang w:val="en-GB"/>
              </w:rPr>
            </w:pPr>
            <w:r w:rsidRPr="008734B5">
              <w:rPr>
                <w:lang w:val="en-GB"/>
              </w:rPr>
              <w:t>LCAVG/suc</w:t>
            </w:r>
          </w:p>
        </w:tc>
        <w:tc>
          <w:tcPr>
            <w:tcW w:w="8647" w:type="dxa"/>
            <w:vMerge w:val="restart"/>
          </w:tcPr>
          <w:p w14:paraId="6C517935" w14:textId="77777777" w:rsidR="007A6FCC" w:rsidRPr="002510F4" w:rsidRDefault="007A6FCC" w:rsidP="00281329">
            <w:pPr>
              <w:pStyle w:val="Tablecontent"/>
            </w:pPr>
            <w:r>
              <w:t>As per above, but for Linked Clone.</w:t>
            </w:r>
          </w:p>
        </w:tc>
      </w:tr>
      <w:tr w:rsidR="007A6FCC" w:rsidRPr="00E51A31" w14:paraId="2058B4E7" w14:textId="77777777" w:rsidTr="00281329">
        <w:tc>
          <w:tcPr>
            <w:tcW w:w="1843" w:type="dxa"/>
            <w:shd w:val="clear" w:color="auto" w:fill="F2F2F2" w:themeFill="background1" w:themeFillShade="F2"/>
          </w:tcPr>
          <w:p w14:paraId="06DB4788" w14:textId="77777777" w:rsidR="007A6FCC" w:rsidRPr="007012B2" w:rsidRDefault="007A6FCC" w:rsidP="00281329">
            <w:pPr>
              <w:pStyle w:val="Tablecontent"/>
              <w:rPr>
                <w:lang w:val="en-GB"/>
              </w:rPr>
            </w:pPr>
            <w:r w:rsidRPr="008734B5">
              <w:rPr>
                <w:lang w:val="en-GB"/>
              </w:rPr>
              <w:t>LCAVG/f</w:t>
            </w:r>
          </w:p>
        </w:tc>
        <w:tc>
          <w:tcPr>
            <w:tcW w:w="8647" w:type="dxa"/>
            <w:vMerge/>
          </w:tcPr>
          <w:p w14:paraId="2553F131" w14:textId="77777777" w:rsidR="007A6FCC" w:rsidRPr="002510F4" w:rsidRDefault="007A6FCC" w:rsidP="00281329">
            <w:pPr>
              <w:pStyle w:val="Tablecontent"/>
            </w:pPr>
          </w:p>
        </w:tc>
      </w:tr>
      <w:tr w:rsidR="007A6FCC" w:rsidRPr="00E51A31" w14:paraId="664E909E" w14:textId="77777777" w:rsidTr="00281329">
        <w:tc>
          <w:tcPr>
            <w:tcW w:w="1843" w:type="dxa"/>
            <w:shd w:val="clear" w:color="auto" w:fill="F2F2F2" w:themeFill="background1" w:themeFillShade="F2"/>
          </w:tcPr>
          <w:p w14:paraId="0620BC11" w14:textId="77777777" w:rsidR="007A6FCC" w:rsidRPr="008734B5" w:rsidRDefault="007A6FCC" w:rsidP="00281329">
            <w:pPr>
              <w:pStyle w:val="Tablecontent"/>
              <w:rPr>
                <w:lang w:val="en-GB"/>
              </w:rPr>
            </w:pPr>
            <w:r w:rsidRPr="00D73737">
              <w:rPr>
                <w:lang w:val="en-GB"/>
              </w:rPr>
              <w:t>RAVG/suc</w:t>
            </w:r>
          </w:p>
        </w:tc>
        <w:tc>
          <w:tcPr>
            <w:tcW w:w="8647" w:type="dxa"/>
            <w:vMerge w:val="restart"/>
          </w:tcPr>
          <w:p w14:paraId="30DB89DB" w14:textId="77777777" w:rsidR="007A6FCC" w:rsidRDefault="007A6FCC" w:rsidP="00281329">
            <w:pPr>
              <w:pStyle w:val="Tablecontent"/>
            </w:pPr>
            <w:r w:rsidRPr="00623299">
              <w:t xml:space="preserve">The average latency </w:t>
            </w:r>
            <w:r>
              <w:t xml:space="preserve">(in ms) </w:t>
            </w:r>
            <w:r w:rsidRPr="00623299">
              <w:t>per successful VAAI Space Reservation command</w:t>
            </w:r>
            <w:r>
              <w:t>.</w:t>
            </w:r>
          </w:p>
          <w:p w14:paraId="71445A71" w14:textId="77777777" w:rsidR="007A6FCC" w:rsidRPr="002510F4" w:rsidRDefault="007A6FCC" w:rsidP="00281329">
            <w:pPr>
              <w:pStyle w:val="Tablecontent"/>
            </w:pPr>
            <w:r>
              <w:t>RAVG/f captures the failures</w:t>
            </w:r>
          </w:p>
        </w:tc>
      </w:tr>
      <w:tr w:rsidR="007A6FCC" w:rsidRPr="00E51A31" w14:paraId="4A5D06BF" w14:textId="77777777" w:rsidTr="00281329">
        <w:tc>
          <w:tcPr>
            <w:tcW w:w="1843" w:type="dxa"/>
            <w:shd w:val="clear" w:color="auto" w:fill="F2F2F2" w:themeFill="background1" w:themeFillShade="F2"/>
          </w:tcPr>
          <w:p w14:paraId="6F0EE911" w14:textId="77777777" w:rsidR="007A6FCC" w:rsidRPr="008734B5" w:rsidRDefault="007A6FCC" w:rsidP="00281329">
            <w:pPr>
              <w:pStyle w:val="Tablecontent"/>
              <w:rPr>
                <w:lang w:val="en-GB"/>
              </w:rPr>
            </w:pPr>
            <w:r w:rsidRPr="00D73737">
              <w:rPr>
                <w:lang w:val="en-GB"/>
              </w:rPr>
              <w:t>RAVG/f</w:t>
            </w:r>
          </w:p>
        </w:tc>
        <w:tc>
          <w:tcPr>
            <w:tcW w:w="8647" w:type="dxa"/>
            <w:vMerge/>
          </w:tcPr>
          <w:p w14:paraId="2A10320E" w14:textId="77777777" w:rsidR="007A6FCC" w:rsidRPr="002510F4" w:rsidRDefault="007A6FCC" w:rsidP="00281329">
            <w:pPr>
              <w:pStyle w:val="Tablecontent"/>
            </w:pPr>
          </w:p>
        </w:tc>
      </w:tr>
      <w:tr w:rsidR="007A6FCC" w:rsidRPr="00E51A31" w14:paraId="2BB23849" w14:textId="77777777" w:rsidTr="00281329">
        <w:tc>
          <w:tcPr>
            <w:tcW w:w="1843" w:type="dxa"/>
            <w:shd w:val="clear" w:color="auto" w:fill="F2F2F2" w:themeFill="background1" w:themeFillShade="F2"/>
          </w:tcPr>
          <w:p w14:paraId="6DD8A80C" w14:textId="77777777" w:rsidR="007A6FCC" w:rsidRPr="008734B5" w:rsidRDefault="007A6FCC" w:rsidP="00281329">
            <w:pPr>
              <w:pStyle w:val="Tablecontent"/>
              <w:rPr>
                <w:lang w:val="en-GB"/>
              </w:rPr>
            </w:pPr>
            <w:r w:rsidRPr="00C959FF">
              <w:rPr>
                <w:lang w:val="en-GB"/>
              </w:rPr>
              <w:t>ESAVG/suc</w:t>
            </w:r>
          </w:p>
        </w:tc>
        <w:tc>
          <w:tcPr>
            <w:tcW w:w="8647" w:type="dxa"/>
            <w:vMerge w:val="restart"/>
          </w:tcPr>
          <w:p w14:paraId="2BB3CC52" w14:textId="77777777" w:rsidR="007A6FCC" w:rsidRPr="002510F4" w:rsidRDefault="007A6FCC" w:rsidP="00281329">
            <w:pPr>
              <w:pStyle w:val="Tablecontent"/>
            </w:pPr>
            <w:r>
              <w:t>As per above, but for Extended Statistics</w:t>
            </w:r>
          </w:p>
        </w:tc>
      </w:tr>
      <w:tr w:rsidR="007A6FCC" w:rsidRPr="00E51A31" w14:paraId="2CDA8DF3" w14:textId="77777777" w:rsidTr="00281329">
        <w:tc>
          <w:tcPr>
            <w:tcW w:w="1843" w:type="dxa"/>
            <w:shd w:val="clear" w:color="auto" w:fill="F2F2F2" w:themeFill="background1" w:themeFillShade="F2"/>
          </w:tcPr>
          <w:p w14:paraId="6F2621D5" w14:textId="77777777" w:rsidR="007A6FCC" w:rsidRPr="008734B5" w:rsidRDefault="007A6FCC" w:rsidP="00281329">
            <w:pPr>
              <w:pStyle w:val="Tablecontent"/>
              <w:rPr>
                <w:lang w:val="en-GB"/>
              </w:rPr>
            </w:pPr>
            <w:r w:rsidRPr="00C959FF">
              <w:rPr>
                <w:lang w:val="en-GB"/>
              </w:rPr>
              <w:t>ESAVG/f</w:t>
            </w:r>
          </w:p>
        </w:tc>
        <w:tc>
          <w:tcPr>
            <w:tcW w:w="8647" w:type="dxa"/>
            <w:vMerge/>
          </w:tcPr>
          <w:p w14:paraId="24ECD600" w14:textId="77777777" w:rsidR="007A6FCC" w:rsidRPr="002510F4" w:rsidRDefault="007A6FCC" w:rsidP="00281329">
            <w:pPr>
              <w:pStyle w:val="Tablecontent"/>
            </w:pPr>
          </w:p>
        </w:tc>
      </w:tr>
    </w:tbl>
    <w:p w14:paraId="578475D9" w14:textId="77777777" w:rsidR="007A6FCC" w:rsidRDefault="007A6FCC" w:rsidP="007A6FCC">
      <w:pPr>
        <w:pStyle w:val="Heading5"/>
      </w:pPr>
      <w:r>
        <w:lastRenderedPageBreak/>
        <w:t>vSAN</w:t>
      </w:r>
    </w:p>
    <w:p w14:paraId="0FA9E61E" w14:textId="317696F3" w:rsidR="007A6FCC" w:rsidRPr="00952BBA" w:rsidRDefault="007A6FCC" w:rsidP="007A6FCC">
      <w:pPr>
        <w:rPr>
          <w:lang w:val="en-GB"/>
        </w:rPr>
      </w:pPr>
      <w:bookmarkStart w:id="132" w:name="_Hlk133744816"/>
      <w:r>
        <w:rPr>
          <w:lang w:val="en-GB"/>
        </w:rPr>
        <w:t xml:space="preserve">I group the vSAN panel under Disk as </w:t>
      </w:r>
      <w:r w:rsidR="00CC351A">
        <w:rPr>
          <w:lang w:val="en-GB"/>
        </w:rPr>
        <w:t>esxtop</w:t>
      </w:r>
      <w:r>
        <w:rPr>
          <w:lang w:val="en-GB"/>
        </w:rPr>
        <w:t xml:space="preserve"> only covers storage related information. </w:t>
      </w:r>
      <w:r w:rsidR="00CC351A">
        <w:rPr>
          <w:lang w:val="en-GB"/>
        </w:rPr>
        <w:t>There is no network or compute (vSAN kernel modules).</w:t>
      </w:r>
    </w:p>
    <w:bookmarkEnd w:id="132"/>
    <w:p w14:paraId="03EDD00A" w14:textId="77777777" w:rsidR="007A6FCC" w:rsidRDefault="007A6FCC" w:rsidP="007A6FCC">
      <w:r w:rsidRPr="00BD6AC6">
        <w:rPr>
          <w:noProof/>
          <w:lang w:val="en-GB"/>
        </w:rPr>
        <w:drawing>
          <wp:inline distT="0" distB="0" distL="0" distR="0" wp14:anchorId="615CE45F" wp14:editId="43B1EDCC">
            <wp:extent cx="6645910" cy="753745"/>
            <wp:effectExtent l="0" t="0" r="2540" b="8255"/>
            <wp:docPr id="567723363" name="Picture 567723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8"/>
                    <a:stretch>
                      <a:fillRect/>
                    </a:stretch>
                  </pic:blipFill>
                  <pic:spPr>
                    <a:xfrm>
                      <a:off x="0" y="0"/>
                      <a:ext cx="6645910" cy="753745"/>
                    </a:xfrm>
                    <a:prstGeom prst="rect">
                      <a:avLst/>
                    </a:prstGeom>
                  </pic:spPr>
                </pic:pic>
              </a:graphicData>
            </a:graphic>
          </wp:inline>
        </w:drawing>
      </w:r>
    </w:p>
    <w:p w14:paraId="5552B984" w14:textId="29EE3C95" w:rsidR="007A6FCC" w:rsidRDefault="00CC351A" w:rsidP="007A6FCC">
      <w:r>
        <w:t xml:space="preserve">The panel </w:t>
      </w:r>
      <w:r w:rsidR="007A6FCC">
        <w:t xml:space="preserve">provides visibility into 5 types of IO operations: </w:t>
      </w:r>
    </w:p>
    <w:p w14:paraId="61A3EB65" w14:textId="77777777" w:rsidR="007A6FCC" w:rsidRDefault="007A6FCC" w:rsidP="007A6FCC">
      <w:pPr>
        <w:pStyle w:val="Bullet"/>
      </w:pPr>
      <w:r>
        <w:t>Read</w:t>
      </w:r>
    </w:p>
    <w:p w14:paraId="688A77DA" w14:textId="77777777" w:rsidR="007A6FCC" w:rsidRDefault="007A6FCC" w:rsidP="007A6FCC">
      <w:pPr>
        <w:pStyle w:val="Bullet"/>
      </w:pPr>
      <w:r>
        <w:t>Write</w:t>
      </w:r>
    </w:p>
    <w:p w14:paraId="2324D132" w14:textId="77777777" w:rsidR="007A6FCC" w:rsidRDefault="007A6FCC" w:rsidP="007A6FCC">
      <w:pPr>
        <w:pStyle w:val="Bullet"/>
      </w:pPr>
      <w:r>
        <w:t>Recovery Write</w:t>
      </w:r>
    </w:p>
    <w:p w14:paraId="567A2D53" w14:textId="77777777" w:rsidR="007A6FCC" w:rsidRDefault="007A6FCC" w:rsidP="007A6FCC">
      <w:pPr>
        <w:pStyle w:val="Bullet"/>
      </w:pPr>
      <w:r>
        <w:t>Unmap</w:t>
      </w:r>
    </w:p>
    <w:p w14:paraId="2829B1E7" w14:textId="77777777" w:rsidR="007A6FCC" w:rsidRPr="00BD6AC6" w:rsidRDefault="007A6FCC" w:rsidP="007A6FCC">
      <w:pPr>
        <w:pStyle w:val="Bullet"/>
      </w:pPr>
      <w:r>
        <w:t>Recovery Unmap</w:t>
      </w:r>
    </w:p>
    <w:p w14:paraId="629AC235" w14:textId="77777777" w:rsidR="007A6FCC" w:rsidRPr="00236037" w:rsidRDefault="007A6FCC" w:rsidP="007A6FCC">
      <w:pPr>
        <w:rPr>
          <w:lang w:val="en-GB"/>
        </w:rPr>
      </w:pPr>
      <w:r>
        <w:rPr>
          <w:lang w:val="en-GB"/>
        </w:rPr>
        <w:t xml:space="preserve">For each, it provides the </w:t>
      </w:r>
      <w:r w:rsidRPr="00BD6AC6">
        <w:rPr>
          <w:lang w:val="en-GB"/>
        </w:rPr>
        <w:t xml:space="preserve">IOPS, bandwidth, average </w:t>
      </w:r>
      <w:r>
        <w:rPr>
          <w:lang w:val="en-GB"/>
        </w:rPr>
        <w:t xml:space="preserve">latency (ms) </w:t>
      </w:r>
      <w:r w:rsidRPr="00BD6AC6">
        <w:rPr>
          <w:lang w:val="en-GB"/>
        </w:rPr>
        <w:t>and standard deviation latency (ms)</w:t>
      </w:r>
      <w:r>
        <w:rPr>
          <w:lang w:val="en-GB"/>
        </w:rPr>
        <w:t xml:space="preserve">. Take note that some use MB, while others use GB. </w:t>
      </w:r>
    </w:p>
    <w:p w14:paraId="66195C8B"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2DBC64B0" w14:textId="77777777" w:rsidTr="00281329">
        <w:tc>
          <w:tcPr>
            <w:tcW w:w="1843" w:type="dxa"/>
            <w:shd w:val="clear" w:color="auto" w:fill="F2F2F2" w:themeFill="background1" w:themeFillShade="F2"/>
          </w:tcPr>
          <w:p w14:paraId="760032E9" w14:textId="77777777" w:rsidR="007A6FCC" w:rsidRPr="00247A1B" w:rsidRDefault="007A6FCC" w:rsidP="00281329">
            <w:pPr>
              <w:pStyle w:val="Tablecontent"/>
            </w:pPr>
            <w:r>
              <w:t>ROLE</w:t>
            </w:r>
          </w:p>
        </w:tc>
        <w:tc>
          <w:tcPr>
            <w:tcW w:w="8647" w:type="dxa"/>
          </w:tcPr>
          <w:p w14:paraId="00ADFC80" w14:textId="77777777" w:rsidR="007A6FCC" w:rsidRDefault="007A6FCC" w:rsidP="00281329">
            <w:pPr>
              <w:pStyle w:val="Tablecontent"/>
            </w:pPr>
            <w:r>
              <w:t>The Distributed Object Manager (DOM) role of that component, such as client, owner, and component manager.</w:t>
            </w:r>
          </w:p>
        </w:tc>
      </w:tr>
      <w:tr w:rsidR="007A6FCC" w:rsidRPr="00E51A31" w14:paraId="5F734ED1" w14:textId="77777777" w:rsidTr="00281329">
        <w:tc>
          <w:tcPr>
            <w:tcW w:w="1843" w:type="dxa"/>
            <w:shd w:val="clear" w:color="auto" w:fill="F2F2F2" w:themeFill="background1" w:themeFillShade="F2"/>
          </w:tcPr>
          <w:p w14:paraId="2F6F7188" w14:textId="77777777" w:rsidR="007A6FCC" w:rsidRDefault="007A6FCC" w:rsidP="00281329">
            <w:pPr>
              <w:pStyle w:val="Tablecontent"/>
            </w:pPr>
            <w:r w:rsidRPr="00247A1B">
              <w:t xml:space="preserve">READS/s   </w:t>
            </w:r>
          </w:p>
          <w:p w14:paraId="61633938" w14:textId="77777777" w:rsidR="007A6FCC" w:rsidRDefault="007A6FCC" w:rsidP="00281329">
            <w:pPr>
              <w:pStyle w:val="Tablecontent"/>
            </w:pPr>
            <w:r w:rsidRPr="00247A1B">
              <w:t xml:space="preserve">MBREAD/s </w:t>
            </w:r>
          </w:p>
          <w:p w14:paraId="3697147D" w14:textId="77777777" w:rsidR="007A6FCC" w:rsidRDefault="007A6FCC" w:rsidP="00281329">
            <w:pPr>
              <w:pStyle w:val="Tablecontent"/>
            </w:pPr>
            <w:r w:rsidRPr="00247A1B">
              <w:t>AVGLAT</w:t>
            </w:r>
          </w:p>
          <w:p w14:paraId="5CF9DA39" w14:textId="77777777" w:rsidR="007A6FCC" w:rsidRPr="002510F4" w:rsidRDefault="007A6FCC" w:rsidP="00281329">
            <w:pPr>
              <w:pStyle w:val="Tablecontent"/>
            </w:pPr>
            <w:r w:rsidRPr="00247A1B">
              <w:t xml:space="preserve">SDLAT  </w:t>
            </w:r>
          </w:p>
        </w:tc>
        <w:tc>
          <w:tcPr>
            <w:tcW w:w="8647" w:type="dxa"/>
          </w:tcPr>
          <w:p w14:paraId="78359C3D" w14:textId="77777777" w:rsidR="007A6FCC" w:rsidRDefault="007A6FCC" w:rsidP="00281329">
            <w:pPr>
              <w:pStyle w:val="Tablecontent"/>
            </w:pPr>
            <w:r>
              <w:t>Reads/second is the number of reads operations. This is IOPS.</w:t>
            </w:r>
          </w:p>
          <w:p w14:paraId="3BB7C0B4" w14:textId="77777777" w:rsidR="007A6FCC" w:rsidRDefault="007A6FCC" w:rsidP="00281329">
            <w:pPr>
              <w:pStyle w:val="Tablecontent"/>
            </w:pPr>
            <w:r w:rsidRPr="00247A1B">
              <w:t>MBR</w:t>
            </w:r>
            <w:r>
              <w:t>eads</w:t>
            </w:r>
            <w:r w:rsidRPr="00247A1B">
              <w:t>/s</w:t>
            </w:r>
            <w:r>
              <w:t xml:space="preserve"> is read throughput in Megabytes/second. </w:t>
            </w:r>
          </w:p>
          <w:p w14:paraId="13688CA4" w14:textId="77777777" w:rsidR="007A6FCC" w:rsidRDefault="007A6FCC" w:rsidP="00281329">
            <w:pPr>
              <w:pStyle w:val="Tablecontent"/>
            </w:pPr>
            <w:r>
              <w:t>AvgLat is the average latency.</w:t>
            </w:r>
          </w:p>
          <w:p w14:paraId="2CE81B7D" w14:textId="77777777" w:rsidR="007A6FCC" w:rsidRPr="002510F4" w:rsidRDefault="007A6FCC" w:rsidP="00281329">
            <w:pPr>
              <w:pStyle w:val="Tablecontent"/>
            </w:pPr>
            <w:r w:rsidRPr="00247A1B">
              <w:t>Standard deviation of latency, when above 10ms latency</w:t>
            </w:r>
            <w:r>
              <w:t>.</w:t>
            </w:r>
          </w:p>
        </w:tc>
      </w:tr>
      <w:tr w:rsidR="007A6FCC" w:rsidRPr="00E51A31" w14:paraId="539D2652" w14:textId="77777777" w:rsidTr="00281329">
        <w:tc>
          <w:tcPr>
            <w:tcW w:w="1843" w:type="dxa"/>
            <w:shd w:val="clear" w:color="auto" w:fill="F2F2F2" w:themeFill="background1" w:themeFillShade="F2"/>
          </w:tcPr>
          <w:p w14:paraId="65A3A1E8" w14:textId="77777777" w:rsidR="007A6FCC" w:rsidRDefault="007A6FCC" w:rsidP="00281329">
            <w:pPr>
              <w:pStyle w:val="Tablecontent"/>
            </w:pPr>
            <w:r w:rsidRPr="00247A1B">
              <w:t xml:space="preserve">WRITES/s  </w:t>
            </w:r>
          </w:p>
          <w:p w14:paraId="51873665" w14:textId="77777777" w:rsidR="007A6FCC" w:rsidRDefault="007A6FCC" w:rsidP="00281329">
            <w:pPr>
              <w:pStyle w:val="Tablecontent"/>
            </w:pPr>
            <w:r w:rsidRPr="00247A1B">
              <w:t xml:space="preserve">MBWRITE/s </w:t>
            </w:r>
          </w:p>
          <w:p w14:paraId="4B3E96DC" w14:textId="77777777" w:rsidR="007A6FCC" w:rsidRDefault="007A6FCC" w:rsidP="00281329">
            <w:pPr>
              <w:pStyle w:val="Tablecontent"/>
            </w:pPr>
            <w:r w:rsidRPr="00247A1B">
              <w:t xml:space="preserve">AVGLAT </w:t>
            </w:r>
          </w:p>
          <w:p w14:paraId="3B2E4B6A" w14:textId="77777777" w:rsidR="007A6FCC" w:rsidRPr="002510F4" w:rsidRDefault="007A6FCC" w:rsidP="00281329">
            <w:pPr>
              <w:pStyle w:val="Tablecontent"/>
            </w:pPr>
            <w:r w:rsidRPr="00247A1B">
              <w:t>SDLAT</w:t>
            </w:r>
          </w:p>
        </w:tc>
        <w:tc>
          <w:tcPr>
            <w:tcW w:w="8647" w:type="dxa"/>
          </w:tcPr>
          <w:p w14:paraId="7A100502" w14:textId="77777777" w:rsidR="007A6FCC" w:rsidRPr="002510F4" w:rsidRDefault="007A6FCC" w:rsidP="00281329">
            <w:pPr>
              <w:pStyle w:val="Tablecontent"/>
            </w:pPr>
            <w:r>
              <w:t>Same set of metrics, like above, but for write</w:t>
            </w:r>
          </w:p>
        </w:tc>
      </w:tr>
      <w:tr w:rsidR="007A6FCC" w:rsidRPr="00E51A31" w14:paraId="19007B79" w14:textId="77777777" w:rsidTr="00281329">
        <w:tc>
          <w:tcPr>
            <w:tcW w:w="1843" w:type="dxa"/>
            <w:shd w:val="clear" w:color="auto" w:fill="F2F2F2" w:themeFill="background1" w:themeFillShade="F2"/>
          </w:tcPr>
          <w:p w14:paraId="4ED3F6B9" w14:textId="77777777" w:rsidR="007A6FCC" w:rsidRDefault="007A6FCC" w:rsidP="00281329">
            <w:pPr>
              <w:pStyle w:val="Tablecontent"/>
            </w:pPr>
            <w:r w:rsidRPr="00247A1B">
              <w:t xml:space="preserve">RECOWR/s </w:t>
            </w:r>
          </w:p>
          <w:p w14:paraId="34ACF65E" w14:textId="77777777" w:rsidR="007A6FCC" w:rsidRDefault="007A6FCC" w:rsidP="00281329">
            <w:pPr>
              <w:pStyle w:val="Tablecontent"/>
            </w:pPr>
            <w:r w:rsidRPr="00247A1B">
              <w:t xml:space="preserve">MBRECOWR/s </w:t>
            </w:r>
          </w:p>
          <w:p w14:paraId="6A7441D9" w14:textId="77777777" w:rsidR="007A6FCC" w:rsidRDefault="007A6FCC" w:rsidP="00281329">
            <w:pPr>
              <w:pStyle w:val="Tablecontent"/>
            </w:pPr>
            <w:r w:rsidRPr="00247A1B">
              <w:t xml:space="preserve">AVGLAT </w:t>
            </w:r>
          </w:p>
          <w:p w14:paraId="090F0989" w14:textId="77777777" w:rsidR="007A6FCC" w:rsidRPr="002510F4" w:rsidRDefault="007A6FCC" w:rsidP="00281329">
            <w:pPr>
              <w:pStyle w:val="Tablecontent"/>
            </w:pPr>
            <w:r w:rsidRPr="00247A1B">
              <w:t>SDLAT</w:t>
            </w:r>
          </w:p>
        </w:tc>
        <w:tc>
          <w:tcPr>
            <w:tcW w:w="8647" w:type="dxa"/>
          </w:tcPr>
          <w:p w14:paraId="20ED8F3C" w14:textId="77777777" w:rsidR="007A6FCC" w:rsidRDefault="007A6FCC" w:rsidP="00281329">
            <w:pPr>
              <w:pStyle w:val="Tablecontent"/>
            </w:pPr>
            <w:r>
              <w:t>Same set of metrics, like above, but for Recovery Write. Recovery covers component rebuild task (e.g. from disk failure).</w:t>
            </w:r>
          </w:p>
          <w:p w14:paraId="549CA8B1" w14:textId="77777777" w:rsidR="007A6FCC" w:rsidRPr="002510F4" w:rsidRDefault="007A6FCC" w:rsidP="00281329">
            <w:pPr>
              <w:pStyle w:val="Tablecontent"/>
            </w:pPr>
            <w:r>
              <w:rPr>
                <w:lang w:val="en-SG"/>
              </w:rPr>
              <w:t xml:space="preserve">Read the string </w:t>
            </w:r>
            <w:r w:rsidRPr="00247A1B">
              <w:t>MBRECOWR</w:t>
            </w:r>
            <w:r>
              <w:t xml:space="preserve"> as MB Reco Wr.</w:t>
            </w:r>
          </w:p>
        </w:tc>
      </w:tr>
      <w:tr w:rsidR="007A6FCC" w:rsidRPr="00E51A31" w14:paraId="209A8B1C" w14:textId="77777777" w:rsidTr="00281329">
        <w:tc>
          <w:tcPr>
            <w:tcW w:w="1843" w:type="dxa"/>
            <w:shd w:val="clear" w:color="auto" w:fill="F2F2F2" w:themeFill="background1" w:themeFillShade="F2"/>
          </w:tcPr>
          <w:p w14:paraId="428D9D62" w14:textId="77777777" w:rsidR="007A6FCC" w:rsidRDefault="007A6FCC" w:rsidP="00281329">
            <w:pPr>
              <w:pStyle w:val="Tablecontent"/>
              <w:rPr>
                <w:lang w:val="en-SG"/>
              </w:rPr>
            </w:pPr>
            <w:r w:rsidRPr="00247A1B">
              <w:rPr>
                <w:lang w:val="en-SG"/>
              </w:rPr>
              <w:t xml:space="preserve">UNMAPS/s  </w:t>
            </w:r>
          </w:p>
          <w:p w14:paraId="4DDB9CEE" w14:textId="77777777" w:rsidR="007A6FCC" w:rsidRDefault="007A6FCC" w:rsidP="00281329">
            <w:pPr>
              <w:pStyle w:val="Tablecontent"/>
              <w:rPr>
                <w:lang w:val="en-SG"/>
              </w:rPr>
            </w:pPr>
            <w:r w:rsidRPr="00247A1B">
              <w:rPr>
                <w:lang w:val="en-SG"/>
              </w:rPr>
              <w:t xml:space="preserve">GBUNMAP/s </w:t>
            </w:r>
          </w:p>
          <w:p w14:paraId="7D20389D" w14:textId="77777777" w:rsidR="007A6FCC" w:rsidRDefault="007A6FCC" w:rsidP="00281329">
            <w:pPr>
              <w:pStyle w:val="Tablecontent"/>
              <w:rPr>
                <w:lang w:val="en-SG"/>
              </w:rPr>
            </w:pPr>
            <w:r w:rsidRPr="00247A1B">
              <w:rPr>
                <w:lang w:val="en-SG"/>
              </w:rPr>
              <w:t xml:space="preserve">AVGLAT </w:t>
            </w:r>
          </w:p>
          <w:p w14:paraId="5828DD4A" w14:textId="77777777" w:rsidR="007A6FCC" w:rsidRPr="00247A1B" w:rsidRDefault="007A6FCC" w:rsidP="00281329">
            <w:pPr>
              <w:pStyle w:val="Tablecontent"/>
              <w:rPr>
                <w:lang w:val="en-SG"/>
              </w:rPr>
            </w:pPr>
            <w:r w:rsidRPr="00247A1B">
              <w:rPr>
                <w:lang w:val="en-SG"/>
              </w:rPr>
              <w:t>SDLAT</w:t>
            </w:r>
          </w:p>
        </w:tc>
        <w:tc>
          <w:tcPr>
            <w:tcW w:w="8647" w:type="dxa"/>
          </w:tcPr>
          <w:p w14:paraId="32BE3C45" w14:textId="77777777" w:rsidR="007A6FCC" w:rsidRDefault="007A6FCC" w:rsidP="00281329">
            <w:pPr>
              <w:pStyle w:val="Tablecontent"/>
            </w:pPr>
            <w:r>
              <w:t xml:space="preserve">Same set of metrics, like above, but for unmap operations. I think this number should be within your expectation, as excessive unmap can impact performance. </w:t>
            </w:r>
          </w:p>
          <w:p w14:paraId="471AFB7B" w14:textId="77777777" w:rsidR="007A6FCC" w:rsidRDefault="007A6FCC" w:rsidP="00281329">
            <w:pPr>
              <w:pStyle w:val="Tablecontent"/>
              <w:rPr>
                <w:lang w:val="en-SG"/>
              </w:rPr>
            </w:pPr>
            <w:r w:rsidRPr="00247A1B">
              <w:rPr>
                <w:lang w:val="en-SG"/>
              </w:rPr>
              <w:t>GBUNMAP/s</w:t>
            </w:r>
            <w:r>
              <w:rPr>
                <w:lang w:val="en-SG"/>
              </w:rPr>
              <w:t xml:space="preserve"> = Unmapped rates in Gigabytes/second</w:t>
            </w:r>
          </w:p>
          <w:p w14:paraId="712E8468" w14:textId="77777777" w:rsidR="007A6FCC" w:rsidRPr="002510F4" w:rsidRDefault="007A6FCC" w:rsidP="00281329">
            <w:pPr>
              <w:pStyle w:val="Tablecontent"/>
            </w:pPr>
            <w:r>
              <w:rPr>
                <w:lang w:val="en-SG"/>
              </w:rPr>
              <w:t xml:space="preserve">Read the string </w:t>
            </w:r>
            <w:r w:rsidRPr="00247A1B">
              <w:rPr>
                <w:lang w:val="en-SG"/>
              </w:rPr>
              <w:t>GBUNMAP</w:t>
            </w:r>
            <w:r>
              <w:rPr>
                <w:lang w:val="en-SG"/>
              </w:rPr>
              <w:t xml:space="preserve"> as GB Unmap</w:t>
            </w:r>
          </w:p>
        </w:tc>
      </w:tr>
      <w:tr w:rsidR="007A6FCC" w:rsidRPr="00E51A31" w14:paraId="2CF01B73" w14:textId="77777777" w:rsidTr="00281329">
        <w:tc>
          <w:tcPr>
            <w:tcW w:w="1843" w:type="dxa"/>
            <w:shd w:val="clear" w:color="auto" w:fill="F2F2F2" w:themeFill="background1" w:themeFillShade="F2"/>
          </w:tcPr>
          <w:p w14:paraId="63D7786D" w14:textId="77777777" w:rsidR="007A6FCC" w:rsidRDefault="007A6FCC" w:rsidP="00281329">
            <w:pPr>
              <w:pStyle w:val="Tablecontent"/>
              <w:rPr>
                <w:lang w:val="en-SG"/>
              </w:rPr>
            </w:pPr>
            <w:r w:rsidRPr="00247A1B">
              <w:rPr>
                <w:lang w:val="en-SG"/>
              </w:rPr>
              <w:t xml:space="preserve">RECOUN/s </w:t>
            </w:r>
          </w:p>
          <w:p w14:paraId="5C33E3D5" w14:textId="77777777" w:rsidR="007A6FCC" w:rsidRDefault="007A6FCC" w:rsidP="00281329">
            <w:pPr>
              <w:pStyle w:val="Tablecontent"/>
              <w:rPr>
                <w:lang w:val="en-SG"/>
              </w:rPr>
            </w:pPr>
            <w:r w:rsidRPr="00247A1B">
              <w:rPr>
                <w:lang w:val="en-SG"/>
              </w:rPr>
              <w:t xml:space="preserve">GBRECOUN/s </w:t>
            </w:r>
          </w:p>
          <w:p w14:paraId="4DB85458" w14:textId="77777777" w:rsidR="007A6FCC" w:rsidRDefault="007A6FCC" w:rsidP="00281329">
            <w:pPr>
              <w:pStyle w:val="Tablecontent"/>
              <w:rPr>
                <w:lang w:val="en-SG"/>
              </w:rPr>
            </w:pPr>
            <w:r w:rsidRPr="00247A1B">
              <w:rPr>
                <w:lang w:val="en-SG"/>
              </w:rPr>
              <w:t xml:space="preserve">AVGLAT </w:t>
            </w:r>
          </w:p>
          <w:p w14:paraId="33889860" w14:textId="77777777" w:rsidR="007A6FCC" w:rsidRPr="00247A1B" w:rsidRDefault="007A6FCC" w:rsidP="00281329">
            <w:pPr>
              <w:pStyle w:val="Tablecontent"/>
              <w:rPr>
                <w:lang w:val="en-SG"/>
              </w:rPr>
            </w:pPr>
            <w:r w:rsidRPr="00247A1B">
              <w:rPr>
                <w:lang w:val="en-SG"/>
              </w:rPr>
              <w:t>SDLAT</w:t>
            </w:r>
          </w:p>
        </w:tc>
        <w:tc>
          <w:tcPr>
            <w:tcW w:w="8647" w:type="dxa"/>
          </w:tcPr>
          <w:p w14:paraId="1A4A5DA4" w14:textId="77777777" w:rsidR="007A6FCC" w:rsidRDefault="007A6FCC" w:rsidP="00281329">
            <w:pPr>
              <w:pStyle w:val="Tablecontent"/>
            </w:pPr>
            <w:r>
              <w:t xml:space="preserve">Same set of metrics, but for Recovery Unmap operations. </w:t>
            </w:r>
          </w:p>
          <w:p w14:paraId="31F709FC" w14:textId="77777777" w:rsidR="007A6FCC" w:rsidRDefault="007A6FCC" w:rsidP="00281329">
            <w:pPr>
              <w:pStyle w:val="Tablecontent"/>
            </w:pPr>
            <w:r>
              <w:t xml:space="preserve">Read the string </w:t>
            </w:r>
            <w:r w:rsidRPr="00247A1B">
              <w:rPr>
                <w:lang w:val="en-SG"/>
              </w:rPr>
              <w:t>GBRECOUN</w:t>
            </w:r>
            <w:r>
              <w:rPr>
                <w:lang w:val="en-SG"/>
              </w:rPr>
              <w:t xml:space="preserve"> as GB Reco Un. </w:t>
            </w:r>
          </w:p>
          <w:p w14:paraId="6D46E53B" w14:textId="77777777" w:rsidR="007A6FCC" w:rsidRDefault="007A6FCC" w:rsidP="00281329">
            <w:pPr>
              <w:pStyle w:val="Tablecontent"/>
              <w:rPr>
                <w:lang w:val="en-SG"/>
              </w:rPr>
            </w:pPr>
            <w:r w:rsidRPr="00247A1B">
              <w:rPr>
                <w:lang w:val="en-SG"/>
              </w:rPr>
              <w:t>R</w:t>
            </w:r>
            <w:r>
              <w:rPr>
                <w:lang w:val="en-SG"/>
              </w:rPr>
              <w:t>eco</w:t>
            </w:r>
            <w:r w:rsidRPr="00247A1B">
              <w:rPr>
                <w:lang w:val="en-SG"/>
              </w:rPr>
              <w:t>U</w:t>
            </w:r>
            <w:r>
              <w:rPr>
                <w:lang w:val="en-SG"/>
              </w:rPr>
              <w:t>n</w:t>
            </w:r>
            <w:r w:rsidRPr="00247A1B">
              <w:rPr>
                <w:lang w:val="en-SG"/>
              </w:rPr>
              <w:t>/s</w:t>
            </w:r>
            <w:r>
              <w:rPr>
                <w:lang w:val="en-SG"/>
              </w:rPr>
              <w:t xml:space="preserve"> is the number of recovery unmapped operations per second. </w:t>
            </w:r>
          </w:p>
          <w:p w14:paraId="53D4FCB9" w14:textId="77777777" w:rsidR="007A6FCC" w:rsidRDefault="007A6FCC" w:rsidP="00281329">
            <w:pPr>
              <w:pStyle w:val="Tablecontent"/>
            </w:pPr>
            <w:r w:rsidRPr="00247A1B">
              <w:rPr>
                <w:lang w:val="en-SG"/>
              </w:rPr>
              <w:t>GBR</w:t>
            </w:r>
            <w:r>
              <w:rPr>
                <w:lang w:val="en-SG"/>
              </w:rPr>
              <w:t>eco</w:t>
            </w:r>
            <w:r w:rsidRPr="00247A1B">
              <w:rPr>
                <w:lang w:val="en-SG"/>
              </w:rPr>
              <w:t>U</w:t>
            </w:r>
            <w:r>
              <w:rPr>
                <w:lang w:val="en-SG"/>
              </w:rPr>
              <w:t>n</w:t>
            </w:r>
            <w:r w:rsidRPr="00247A1B">
              <w:rPr>
                <w:lang w:val="en-SG"/>
              </w:rPr>
              <w:t>/s</w:t>
            </w:r>
            <w:r>
              <w:rPr>
                <w:lang w:val="en-SG"/>
              </w:rPr>
              <w:t xml:space="preserve"> is the amount of disk space in GB/second by Recovery Unmapped.</w:t>
            </w:r>
          </w:p>
        </w:tc>
      </w:tr>
    </w:tbl>
    <w:p w14:paraId="1259E73E" w14:textId="77777777" w:rsidR="007A6FCC" w:rsidRPr="00F76534" w:rsidRDefault="007A6FCC" w:rsidP="007A6FCC">
      <w:pPr>
        <w:pStyle w:val="Heading4"/>
      </w:pPr>
      <w:r>
        <w:lastRenderedPageBreak/>
        <w:t>Network</w:t>
      </w:r>
    </w:p>
    <w:p w14:paraId="1E08EE8C" w14:textId="77777777" w:rsidR="007A6FCC" w:rsidRPr="004B32F8" w:rsidRDefault="007A6FCC" w:rsidP="007A6FCC">
      <w:pPr>
        <w:rPr>
          <w:lang w:val="en-GB"/>
        </w:rPr>
      </w:pPr>
      <w:r>
        <w:rPr>
          <w:lang w:val="en-GB"/>
        </w:rPr>
        <w:t xml:space="preserve">There are 2 levels of network due to virtualization, and their utilization logically do not match. There is virtual network and physical network. Virtual network consist of VM and VMK ports. If the traffic is just a VM to VM traffic, within the same ESXi, the packets does not reach the physical network, hence the metrics do not register it. </w:t>
      </w:r>
    </w:p>
    <w:p w14:paraId="57B42D1A" w14:textId="77777777" w:rsidR="007A6FCC" w:rsidRDefault="007A6FCC" w:rsidP="007A6FCC">
      <w:pPr>
        <w:rPr>
          <w:lang w:val="en-GB"/>
        </w:rPr>
      </w:pPr>
      <w:r>
        <w:rPr>
          <w:lang w:val="en-GB"/>
        </w:rPr>
        <w:t xml:space="preserve">Network traffic are grouped into 2 by their direction: </w:t>
      </w:r>
    </w:p>
    <w:p w14:paraId="363319C9" w14:textId="77777777" w:rsidR="007A6FCC" w:rsidRDefault="007A6FCC" w:rsidP="007A6FCC">
      <w:pPr>
        <w:pStyle w:val="Bullet"/>
        <w:rPr>
          <w:lang w:val="en-GB"/>
        </w:rPr>
      </w:pPr>
      <w:r>
        <w:rPr>
          <w:lang w:val="en-GB"/>
        </w:rPr>
        <w:t xml:space="preserve">TX for outgoing (sent) and </w:t>
      </w:r>
    </w:p>
    <w:p w14:paraId="6170F79A" w14:textId="77777777" w:rsidR="007A6FCC" w:rsidRPr="00A452F2" w:rsidRDefault="007A6FCC" w:rsidP="007A6FCC">
      <w:pPr>
        <w:pStyle w:val="Bullet"/>
        <w:rPr>
          <w:lang w:val="en-GB"/>
        </w:rPr>
      </w:pPr>
      <w:r>
        <w:rPr>
          <w:lang w:val="en-GB"/>
        </w:rPr>
        <w:t xml:space="preserve">RX for incoming (received). </w:t>
      </w:r>
    </w:p>
    <w:p w14:paraId="66A5D00A" w14:textId="0DAC156C" w:rsidR="00AD037F" w:rsidRPr="00AD037F" w:rsidRDefault="007A6FCC" w:rsidP="00AD037F">
      <w:pPr>
        <w:pStyle w:val="Heading5"/>
      </w:pPr>
      <w:r w:rsidRPr="00676BDF">
        <w:t>Contention</w:t>
      </w:r>
    </w:p>
    <w:p w14:paraId="02470116" w14:textId="77777777" w:rsidR="007A6FCC" w:rsidRPr="00952BBA" w:rsidRDefault="007A6FCC" w:rsidP="007A6FCC">
      <w:pPr>
        <w:rPr>
          <w:lang w:val="en-GB"/>
        </w:rPr>
      </w:pPr>
      <w:r>
        <w:rPr>
          <w:lang w:val="en-GB"/>
        </w:rPr>
        <w:t xml:space="preserve">As usual, we check contention first. There is no network latency and packet retransmit metric. </w:t>
      </w:r>
    </w:p>
    <w:p w14:paraId="790154AC" w14:textId="77777777" w:rsidR="007A6FCC" w:rsidRPr="004E3B8D" w:rsidRDefault="007A6FCC" w:rsidP="007A6FCC">
      <w:pPr>
        <w:jc w:val="center"/>
      </w:pPr>
      <w:r w:rsidRPr="00B44E5A">
        <w:rPr>
          <w:noProof/>
        </w:rPr>
        <w:drawing>
          <wp:inline distT="0" distB="0" distL="0" distR="0" wp14:anchorId="1BFC8A6C" wp14:editId="42570682">
            <wp:extent cx="3438000" cy="1195200"/>
            <wp:effectExtent l="0" t="0" r="0" b="5080"/>
            <wp:docPr id="567723357" name="Picture 56772335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37" name="Picture 750070337" descr="Text&#10;&#10;Description automatically generated"/>
                    <pic:cNvPicPr/>
                  </pic:nvPicPr>
                  <pic:blipFill>
                    <a:blip r:embed="rId869"/>
                    <a:stretch>
                      <a:fillRect/>
                    </a:stretch>
                  </pic:blipFill>
                  <pic:spPr>
                    <a:xfrm>
                      <a:off x="0" y="0"/>
                      <a:ext cx="3438000" cy="1195200"/>
                    </a:xfrm>
                    <a:prstGeom prst="rect">
                      <a:avLst/>
                    </a:prstGeom>
                  </pic:spPr>
                </pic:pic>
              </a:graphicData>
            </a:graphic>
          </wp:inline>
        </w:drawing>
      </w:r>
    </w:p>
    <w:p w14:paraId="431A46B8"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3B839DB4" w14:textId="77777777" w:rsidTr="00281329">
        <w:tc>
          <w:tcPr>
            <w:tcW w:w="1843" w:type="dxa"/>
            <w:shd w:val="clear" w:color="auto" w:fill="F2F2F2" w:themeFill="background1" w:themeFillShade="F2"/>
            <w:vAlign w:val="center"/>
          </w:tcPr>
          <w:p w14:paraId="6217D18A" w14:textId="77777777" w:rsidR="007A6FCC" w:rsidRPr="002510F4" w:rsidRDefault="007A6FCC" w:rsidP="00281329">
            <w:pPr>
              <w:pStyle w:val="Tablecontent"/>
            </w:pPr>
            <w:r>
              <w:t xml:space="preserve">%DRPTX </w:t>
            </w:r>
          </w:p>
        </w:tc>
        <w:tc>
          <w:tcPr>
            <w:tcW w:w="8647" w:type="dxa"/>
            <w:vMerge w:val="restart"/>
            <w:vAlign w:val="center"/>
          </w:tcPr>
          <w:p w14:paraId="46CE8D06" w14:textId="77777777" w:rsidR="007A6FCC" w:rsidRDefault="007A6FCC" w:rsidP="00281329">
            <w:pPr>
              <w:pStyle w:val="Tablecontent"/>
              <w:rPr>
                <w:lang w:val="en-GB"/>
              </w:rPr>
            </w:pPr>
            <w:r>
              <w:rPr>
                <w:lang w:val="en-GB"/>
              </w:rPr>
              <w:t>Percentage of Dropped Packet.</w:t>
            </w:r>
          </w:p>
          <w:p w14:paraId="7D04FC9D" w14:textId="77777777" w:rsidR="007A6FCC" w:rsidRDefault="007A6FCC" w:rsidP="00281329">
            <w:pPr>
              <w:pStyle w:val="Tablecontent"/>
              <w:rPr>
                <w:lang w:val="en-GB"/>
              </w:rPr>
            </w:pPr>
            <w:r>
              <w:rPr>
                <w:lang w:val="en-GB"/>
              </w:rPr>
              <w:t>Expressed in percentage, which makes it easier as you expect this not to exceed 0.x%. In dedicated network such as vSAN and vMotion, this should be flat 0% non stop for every single ESXi.</w:t>
            </w:r>
          </w:p>
          <w:p w14:paraId="36B10CAB" w14:textId="3A1234B6" w:rsidR="007A6FCC" w:rsidRDefault="007A6FCC" w:rsidP="00281329">
            <w:pPr>
              <w:pStyle w:val="Tablecontent"/>
            </w:pPr>
            <w:r>
              <w:rPr>
                <w:lang w:val="en-GB"/>
              </w:rPr>
              <w:t>Transmit and Receive have different nature. A high drop in transmit means your physical NIC card or uplink switch is unable to cope. A high drop in receive means your ESXi or VM may not have enough CPU to process the packet, or the ring buffer size is too small.</w:t>
            </w:r>
            <w:r>
              <w:t xml:space="preserve"> </w:t>
            </w:r>
          </w:p>
          <w:p w14:paraId="435C0048" w14:textId="58CFEADC" w:rsidR="00AD037F" w:rsidRPr="00AD037F" w:rsidRDefault="00000000" w:rsidP="00281329">
            <w:pPr>
              <w:pStyle w:val="Tablecontent"/>
              <w:rPr>
                <w:lang w:val="en-GB"/>
              </w:rPr>
            </w:pPr>
            <w:hyperlink r:id="rId870" w:history="1">
              <w:r w:rsidR="00AD037F" w:rsidRPr="00D45E32">
                <w:rPr>
                  <w:rStyle w:val="Hyperlink"/>
                </w:rPr>
                <w:t>esxtop show dropped packets</w:t>
              </w:r>
            </w:hyperlink>
            <w:r w:rsidR="00AD037F">
              <w:t>:</w:t>
            </w:r>
            <w:r w:rsidR="00AD037F" w:rsidRPr="4CAB3972">
              <w:rPr>
                <w:lang w:val="en-GB"/>
              </w:rPr>
              <w:t xml:space="preserve"> </w:t>
            </w:r>
            <w:r w:rsidR="00AD037F">
              <w:t>The screen output show dropped receive packets at the virtual switch port. They are actually dropped between the virtual switch and the guest OS driver. The dropped packets can be reduced by increasing the Rx buffers for the virtual network driver.</w:t>
            </w:r>
          </w:p>
        </w:tc>
      </w:tr>
      <w:tr w:rsidR="007A6FCC" w:rsidRPr="00E51A31" w14:paraId="6201568C" w14:textId="77777777" w:rsidTr="00281329">
        <w:tc>
          <w:tcPr>
            <w:tcW w:w="1843" w:type="dxa"/>
            <w:shd w:val="clear" w:color="auto" w:fill="F2F2F2" w:themeFill="background1" w:themeFillShade="F2"/>
            <w:vAlign w:val="center"/>
          </w:tcPr>
          <w:p w14:paraId="4345CA2C" w14:textId="77777777" w:rsidR="007A6FCC" w:rsidRPr="002510F4" w:rsidRDefault="007A6FCC" w:rsidP="00281329">
            <w:pPr>
              <w:pStyle w:val="Tablecontent"/>
            </w:pPr>
            <w:r>
              <w:t xml:space="preserve">%DRPRX </w:t>
            </w:r>
          </w:p>
        </w:tc>
        <w:tc>
          <w:tcPr>
            <w:tcW w:w="8647" w:type="dxa"/>
            <w:vMerge/>
            <w:vAlign w:val="center"/>
          </w:tcPr>
          <w:p w14:paraId="6769D445" w14:textId="77777777" w:rsidR="007A6FCC" w:rsidRPr="002510F4" w:rsidRDefault="007A6FCC" w:rsidP="00281329">
            <w:pPr>
              <w:pStyle w:val="Tablecontent"/>
            </w:pPr>
          </w:p>
        </w:tc>
      </w:tr>
    </w:tbl>
    <w:p w14:paraId="68621FE2" w14:textId="77777777" w:rsidR="007A6FCC" w:rsidRDefault="007A6FCC" w:rsidP="007A6FCC">
      <w:pPr>
        <w:pStyle w:val="Heading5"/>
      </w:pPr>
      <w:r w:rsidRPr="00C27364">
        <w:t>Utilization</w:t>
      </w:r>
    </w:p>
    <w:p w14:paraId="070410E7" w14:textId="53E542FC" w:rsidR="00535E2A" w:rsidRPr="00535E2A" w:rsidRDefault="00535E2A" w:rsidP="00535E2A">
      <w:pPr>
        <w:rPr>
          <w:lang w:val="en-GB"/>
        </w:rPr>
      </w:pPr>
      <w:r>
        <w:rPr>
          <w:lang w:val="en-GB"/>
        </w:rPr>
        <w:t>As usual, check the non-unicast packets first.</w:t>
      </w:r>
    </w:p>
    <w:p w14:paraId="545FA8C7" w14:textId="59230782" w:rsidR="007A6FCC" w:rsidRDefault="007A6FCC" w:rsidP="007A6FCC">
      <w:pPr>
        <w:pStyle w:val="Heading6"/>
      </w:pPr>
      <w:r>
        <w:t>Non-Unicast Packets</w:t>
      </w: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409B6B4A" w14:textId="77777777" w:rsidTr="00281329">
        <w:tc>
          <w:tcPr>
            <w:tcW w:w="1843" w:type="dxa"/>
            <w:shd w:val="clear" w:color="auto" w:fill="F2F2F2" w:themeFill="background1" w:themeFillShade="F2"/>
            <w:vAlign w:val="center"/>
          </w:tcPr>
          <w:p w14:paraId="74DAB840" w14:textId="77777777" w:rsidR="007A6FCC" w:rsidRPr="002510F4" w:rsidRDefault="007A6FCC" w:rsidP="00281329">
            <w:pPr>
              <w:pStyle w:val="Tablecontent"/>
            </w:pPr>
            <w:r>
              <w:t xml:space="preserve">PKTTXMUL/s </w:t>
            </w:r>
          </w:p>
        </w:tc>
        <w:tc>
          <w:tcPr>
            <w:tcW w:w="8647" w:type="dxa"/>
            <w:vMerge w:val="restart"/>
            <w:vAlign w:val="center"/>
          </w:tcPr>
          <w:p w14:paraId="05DB66EA" w14:textId="77777777" w:rsidR="007A6FCC" w:rsidRPr="002510F4" w:rsidRDefault="007A6FCC" w:rsidP="00281329">
            <w:pPr>
              <w:pStyle w:val="Tablecontent"/>
            </w:pPr>
            <w:r>
              <w:t xml:space="preserve">Number of multicast packets transmitted or received per second. </w:t>
            </w:r>
          </w:p>
          <w:p w14:paraId="4D07D5A1" w14:textId="77777777" w:rsidR="007A6FCC" w:rsidRPr="002510F4" w:rsidRDefault="007A6FCC" w:rsidP="00281329">
            <w:pPr>
              <w:pStyle w:val="Tablecontent"/>
            </w:pPr>
            <w:r>
              <w:lastRenderedPageBreak/>
              <w:t>Read the string PKTTXMUL as Pkt Tx Mul, which is Packet TX Multicast. Same with PKTRXMUL.</w:t>
            </w:r>
          </w:p>
        </w:tc>
      </w:tr>
      <w:tr w:rsidR="007A6FCC" w:rsidRPr="00E51A31" w14:paraId="6D4A5F6D" w14:textId="77777777" w:rsidTr="00281329">
        <w:tc>
          <w:tcPr>
            <w:tcW w:w="1843" w:type="dxa"/>
            <w:shd w:val="clear" w:color="auto" w:fill="F2F2F2" w:themeFill="background1" w:themeFillShade="F2"/>
            <w:vAlign w:val="center"/>
          </w:tcPr>
          <w:p w14:paraId="256FBBA5" w14:textId="77777777" w:rsidR="007A6FCC" w:rsidRPr="002510F4" w:rsidRDefault="007A6FCC" w:rsidP="00281329">
            <w:pPr>
              <w:pStyle w:val="Tablecontent"/>
            </w:pPr>
            <w:r>
              <w:lastRenderedPageBreak/>
              <w:t xml:space="preserve">PKTRXMUL/s </w:t>
            </w:r>
          </w:p>
        </w:tc>
        <w:tc>
          <w:tcPr>
            <w:tcW w:w="8647" w:type="dxa"/>
            <w:vMerge/>
            <w:vAlign w:val="center"/>
          </w:tcPr>
          <w:p w14:paraId="4A7E608A" w14:textId="77777777" w:rsidR="007A6FCC" w:rsidRPr="002510F4" w:rsidRDefault="007A6FCC" w:rsidP="00281329">
            <w:pPr>
              <w:pStyle w:val="Tablecontent"/>
            </w:pPr>
          </w:p>
        </w:tc>
      </w:tr>
      <w:tr w:rsidR="007A6FCC" w:rsidRPr="00E51A31" w14:paraId="29E877EB" w14:textId="77777777" w:rsidTr="00281329">
        <w:tc>
          <w:tcPr>
            <w:tcW w:w="1843" w:type="dxa"/>
            <w:shd w:val="clear" w:color="auto" w:fill="F2F2F2" w:themeFill="background1" w:themeFillShade="F2"/>
            <w:vAlign w:val="center"/>
          </w:tcPr>
          <w:p w14:paraId="593BDBDF" w14:textId="77777777" w:rsidR="007A6FCC" w:rsidRPr="002510F4" w:rsidRDefault="007A6FCC" w:rsidP="00281329">
            <w:pPr>
              <w:pStyle w:val="Tablecontent"/>
            </w:pPr>
            <w:r>
              <w:t xml:space="preserve">PKTTXBRD/s </w:t>
            </w:r>
          </w:p>
        </w:tc>
        <w:tc>
          <w:tcPr>
            <w:tcW w:w="8647" w:type="dxa"/>
            <w:vMerge w:val="restart"/>
            <w:vAlign w:val="center"/>
          </w:tcPr>
          <w:p w14:paraId="686EDCD7" w14:textId="77777777" w:rsidR="007A6FCC" w:rsidRPr="002510F4" w:rsidRDefault="007A6FCC" w:rsidP="00281329">
            <w:pPr>
              <w:pStyle w:val="Tablecontent"/>
            </w:pPr>
            <w:r>
              <w:t xml:space="preserve">Number of broadcast packets transmitted or received per second. </w:t>
            </w:r>
          </w:p>
          <w:p w14:paraId="001B145A" w14:textId="77777777" w:rsidR="007A6FCC" w:rsidRPr="002510F4" w:rsidRDefault="007A6FCC" w:rsidP="00281329">
            <w:pPr>
              <w:pStyle w:val="Tablecontent"/>
            </w:pPr>
            <w:r>
              <w:t>Read the string PKTTXBRD as Pkt Tx Brd, which is Packet TX Broadcast. Same with PKTRXBRD</w:t>
            </w:r>
          </w:p>
        </w:tc>
      </w:tr>
      <w:tr w:rsidR="007A6FCC" w:rsidRPr="00E51A31" w14:paraId="39CD71C5" w14:textId="77777777" w:rsidTr="00281329">
        <w:tc>
          <w:tcPr>
            <w:tcW w:w="1843" w:type="dxa"/>
            <w:shd w:val="clear" w:color="auto" w:fill="F2F2F2" w:themeFill="background1" w:themeFillShade="F2"/>
            <w:vAlign w:val="center"/>
          </w:tcPr>
          <w:p w14:paraId="564D4731" w14:textId="77777777" w:rsidR="007A6FCC" w:rsidRPr="002510F4" w:rsidRDefault="007A6FCC" w:rsidP="00281329">
            <w:pPr>
              <w:pStyle w:val="Tablecontent"/>
            </w:pPr>
            <w:r>
              <w:t xml:space="preserve">PKTRXBRD/s </w:t>
            </w:r>
          </w:p>
        </w:tc>
        <w:tc>
          <w:tcPr>
            <w:tcW w:w="8647" w:type="dxa"/>
            <w:vMerge/>
            <w:vAlign w:val="center"/>
          </w:tcPr>
          <w:p w14:paraId="6DB0FC56" w14:textId="77777777" w:rsidR="007A6FCC" w:rsidRPr="002510F4" w:rsidRDefault="007A6FCC" w:rsidP="00281329">
            <w:pPr>
              <w:pStyle w:val="Tablecontent"/>
            </w:pPr>
          </w:p>
        </w:tc>
      </w:tr>
    </w:tbl>
    <w:p w14:paraId="1992563B" w14:textId="3AA4F298" w:rsidR="007A6FCC" w:rsidRPr="00C27364" w:rsidRDefault="00535E2A" w:rsidP="007A6FCC">
      <w:pPr>
        <w:pStyle w:val="Heading6"/>
      </w:pPr>
      <w:r>
        <w:t>All Packets</w:t>
      </w:r>
    </w:p>
    <w:p w14:paraId="1E02C9BC" w14:textId="77777777" w:rsidR="007A6FCC" w:rsidRDefault="007A6FCC" w:rsidP="007A6FCC">
      <w:r w:rsidRPr="0059063C">
        <w:rPr>
          <w:noProof/>
        </w:rPr>
        <w:drawing>
          <wp:inline distT="0" distB="0" distL="0" distR="0" wp14:anchorId="1FA188B0" wp14:editId="13058B27">
            <wp:extent cx="6645910" cy="1341755"/>
            <wp:effectExtent l="0" t="0" r="2540" b="0"/>
            <wp:docPr id="567723358" name="Picture 567723358"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36" name="Picture 750070336" descr="A screenshot of a computer&#10;&#10;Description automatically generated with medium confidence"/>
                    <pic:cNvPicPr/>
                  </pic:nvPicPr>
                  <pic:blipFill>
                    <a:blip r:embed="rId871"/>
                    <a:stretch>
                      <a:fillRect/>
                    </a:stretch>
                  </pic:blipFill>
                  <pic:spPr>
                    <a:xfrm>
                      <a:off x="0" y="0"/>
                      <a:ext cx="6645910" cy="1341755"/>
                    </a:xfrm>
                    <a:prstGeom prst="rect">
                      <a:avLst/>
                    </a:prstGeom>
                  </pic:spPr>
                </pic:pic>
              </a:graphicData>
            </a:graphic>
          </wp:inline>
        </w:drawing>
      </w:r>
    </w:p>
    <w:p w14:paraId="6C0202E4"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053DF0B0" w14:textId="77777777" w:rsidTr="00281329">
        <w:tc>
          <w:tcPr>
            <w:tcW w:w="1843" w:type="dxa"/>
            <w:shd w:val="clear" w:color="auto" w:fill="F2F2F2" w:themeFill="background1" w:themeFillShade="F2"/>
            <w:vAlign w:val="center"/>
          </w:tcPr>
          <w:p w14:paraId="2435DD9D" w14:textId="77777777" w:rsidR="007A6FCC" w:rsidRPr="002510F4" w:rsidRDefault="007A6FCC" w:rsidP="00281329">
            <w:pPr>
              <w:pStyle w:val="Tablecontent"/>
            </w:pPr>
            <w:r>
              <w:t xml:space="preserve">PKTTX/s </w:t>
            </w:r>
          </w:p>
        </w:tc>
        <w:tc>
          <w:tcPr>
            <w:tcW w:w="8647" w:type="dxa"/>
            <w:vMerge w:val="restart"/>
            <w:vAlign w:val="center"/>
          </w:tcPr>
          <w:p w14:paraId="4183A262" w14:textId="77777777" w:rsidR="007A6FCC" w:rsidRDefault="007A6FCC" w:rsidP="00281329">
            <w:pPr>
              <w:pStyle w:val="Tablecontent"/>
              <w:rPr>
                <w:lang w:val="en-GB"/>
              </w:rPr>
            </w:pPr>
            <w:r>
              <w:rPr>
                <w:lang w:val="en-GB"/>
              </w:rPr>
              <w:t>This is the total packets, so it includes multicast packet and broadcast packet.</w:t>
            </w:r>
          </w:p>
          <w:p w14:paraId="71F954FA" w14:textId="77777777" w:rsidR="007A6FCC" w:rsidRPr="002510F4" w:rsidRDefault="007A6FCC" w:rsidP="00281329">
            <w:pPr>
              <w:pStyle w:val="Tablecontent"/>
            </w:pPr>
            <w:r>
              <w:rPr>
                <w:lang w:val="en-GB"/>
              </w:rPr>
              <w:t>Multicast packet and broadcast packet are listed separately. This is handy as they are supposed to low most of the time.</w:t>
            </w:r>
          </w:p>
        </w:tc>
      </w:tr>
      <w:tr w:rsidR="007A6FCC" w:rsidRPr="00E51A31" w14:paraId="319500A1" w14:textId="77777777" w:rsidTr="00281329">
        <w:tc>
          <w:tcPr>
            <w:tcW w:w="1843" w:type="dxa"/>
            <w:shd w:val="clear" w:color="auto" w:fill="F2F2F2" w:themeFill="background1" w:themeFillShade="F2"/>
            <w:vAlign w:val="center"/>
          </w:tcPr>
          <w:p w14:paraId="344738C6" w14:textId="77777777" w:rsidR="007A6FCC" w:rsidRPr="002510F4" w:rsidRDefault="007A6FCC" w:rsidP="00281329">
            <w:pPr>
              <w:pStyle w:val="Tablecontent"/>
            </w:pPr>
            <w:r>
              <w:t xml:space="preserve">PKTRX/s </w:t>
            </w:r>
          </w:p>
        </w:tc>
        <w:tc>
          <w:tcPr>
            <w:tcW w:w="8647" w:type="dxa"/>
            <w:vMerge/>
            <w:vAlign w:val="center"/>
          </w:tcPr>
          <w:p w14:paraId="2B59DD8C" w14:textId="77777777" w:rsidR="007A6FCC" w:rsidRPr="002510F4" w:rsidRDefault="007A6FCC" w:rsidP="00281329">
            <w:pPr>
              <w:pStyle w:val="Tablecontent"/>
            </w:pPr>
          </w:p>
        </w:tc>
      </w:tr>
      <w:tr w:rsidR="007A6FCC" w:rsidRPr="00E51A31" w14:paraId="2DE48006" w14:textId="77777777" w:rsidTr="00281329">
        <w:tc>
          <w:tcPr>
            <w:tcW w:w="1843" w:type="dxa"/>
            <w:shd w:val="clear" w:color="auto" w:fill="F2F2F2" w:themeFill="background1" w:themeFillShade="F2"/>
            <w:vAlign w:val="center"/>
          </w:tcPr>
          <w:p w14:paraId="3C45DFE1" w14:textId="77777777" w:rsidR="007A6FCC" w:rsidRPr="002510F4" w:rsidRDefault="007A6FCC" w:rsidP="00281329">
            <w:pPr>
              <w:pStyle w:val="Tablecontent"/>
            </w:pPr>
            <w:r>
              <w:t xml:space="preserve">MbTX/s </w:t>
            </w:r>
          </w:p>
        </w:tc>
        <w:tc>
          <w:tcPr>
            <w:tcW w:w="8647" w:type="dxa"/>
            <w:vMerge w:val="restart"/>
            <w:vAlign w:val="center"/>
          </w:tcPr>
          <w:p w14:paraId="5FAA87D6" w14:textId="77777777" w:rsidR="007A6FCC" w:rsidRDefault="007A6FCC" w:rsidP="00281329">
            <w:pPr>
              <w:pStyle w:val="Tablecontent"/>
              <w:rPr>
                <w:lang w:val="en-GB"/>
              </w:rPr>
            </w:pPr>
            <w:r>
              <w:rPr>
                <w:lang w:val="en-GB"/>
              </w:rPr>
              <w:t xml:space="preserve">This is measured in bit, unlike vCenter Client UI which shows in byte. </w:t>
            </w:r>
          </w:p>
          <w:p w14:paraId="2C2A196D" w14:textId="77777777" w:rsidR="007A6FCC" w:rsidRDefault="007A6FCC" w:rsidP="00281329">
            <w:pPr>
              <w:pStyle w:val="Tablecontent"/>
              <w:rPr>
                <w:lang w:val="en-GB"/>
              </w:rPr>
            </w:pPr>
            <w:r>
              <w:rPr>
                <w:lang w:val="en-GB"/>
              </w:rPr>
              <w:t xml:space="preserve">Packet length is typically measured in bytes. A standard packet is 1500 bytes, so a 10 Gb NIC would theoretically max out at 833,333 packets on each direction. </w:t>
            </w:r>
          </w:p>
          <w:p w14:paraId="661E27AA" w14:textId="77777777" w:rsidR="007A6FCC" w:rsidRPr="002510F4" w:rsidRDefault="007A6FCC" w:rsidP="00281329">
            <w:pPr>
              <w:pStyle w:val="Tablecontent"/>
            </w:pPr>
            <w:r>
              <w:rPr>
                <w:lang w:val="en-GB"/>
              </w:rPr>
              <w:t>Compare this with your ESXi physical network card.</w:t>
            </w:r>
          </w:p>
        </w:tc>
      </w:tr>
      <w:tr w:rsidR="007A6FCC" w:rsidRPr="00E51A31" w14:paraId="01503072" w14:textId="77777777" w:rsidTr="00281329">
        <w:tc>
          <w:tcPr>
            <w:tcW w:w="1843" w:type="dxa"/>
            <w:shd w:val="clear" w:color="auto" w:fill="F2F2F2" w:themeFill="background1" w:themeFillShade="F2"/>
            <w:vAlign w:val="center"/>
          </w:tcPr>
          <w:p w14:paraId="321022CC" w14:textId="77777777" w:rsidR="007A6FCC" w:rsidRPr="002510F4" w:rsidRDefault="007A6FCC" w:rsidP="00281329">
            <w:pPr>
              <w:pStyle w:val="Tablecontent"/>
            </w:pPr>
            <w:r>
              <w:t xml:space="preserve">MbRX/s </w:t>
            </w:r>
          </w:p>
        </w:tc>
        <w:tc>
          <w:tcPr>
            <w:tcW w:w="8647" w:type="dxa"/>
            <w:vMerge/>
            <w:vAlign w:val="center"/>
          </w:tcPr>
          <w:p w14:paraId="3013C3ED" w14:textId="77777777" w:rsidR="007A6FCC" w:rsidRPr="002510F4" w:rsidRDefault="007A6FCC" w:rsidP="00281329">
            <w:pPr>
              <w:pStyle w:val="Tablecontent"/>
            </w:pPr>
          </w:p>
        </w:tc>
      </w:tr>
      <w:tr w:rsidR="007A6FCC" w:rsidRPr="00E51A31" w14:paraId="220703BD" w14:textId="77777777" w:rsidTr="00281329">
        <w:tc>
          <w:tcPr>
            <w:tcW w:w="1843" w:type="dxa"/>
            <w:shd w:val="clear" w:color="auto" w:fill="F2F2F2" w:themeFill="background1" w:themeFillShade="F2"/>
            <w:vAlign w:val="center"/>
          </w:tcPr>
          <w:p w14:paraId="7C5F349E" w14:textId="77777777" w:rsidR="007A6FCC" w:rsidRDefault="007A6FCC" w:rsidP="00281329">
            <w:pPr>
              <w:pStyle w:val="Tablecontent"/>
            </w:pPr>
            <w:r w:rsidRPr="00456024">
              <w:t xml:space="preserve">PSZTX   </w:t>
            </w:r>
          </w:p>
        </w:tc>
        <w:tc>
          <w:tcPr>
            <w:tcW w:w="8647" w:type="dxa"/>
            <w:vMerge w:val="restart"/>
            <w:vAlign w:val="center"/>
          </w:tcPr>
          <w:p w14:paraId="6B727BDF" w14:textId="77777777" w:rsidR="007A6FCC" w:rsidRDefault="007A6FCC" w:rsidP="00281329">
            <w:pPr>
              <w:pStyle w:val="Tablecontent"/>
            </w:pPr>
            <w:r>
              <w:rPr>
                <w:lang w:val="en-GB"/>
              </w:rPr>
              <w:t>This is convenient. If you see a number far lower than 1500, it’s worth discussing with network team.</w:t>
            </w:r>
          </w:p>
        </w:tc>
      </w:tr>
      <w:tr w:rsidR="007A6FCC" w:rsidRPr="00E51A31" w14:paraId="4CF923BD" w14:textId="77777777" w:rsidTr="00281329">
        <w:tc>
          <w:tcPr>
            <w:tcW w:w="1843" w:type="dxa"/>
            <w:shd w:val="clear" w:color="auto" w:fill="F2F2F2" w:themeFill="background1" w:themeFillShade="F2"/>
            <w:vAlign w:val="center"/>
          </w:tcPr>
          <w:p w14:paraId="02272887" w14:textId="77777777" w:rsidR="007A6FCC" w:rsidRDefault="007A6FCC" w:rsidP="00281329">
            <w:pPr>
              <w:pStyle w:val="Tablecontent"/>
            </w:pPr>
            <w:r w:rsidRPr="00456024">
              <w:t>PSZRX</w:t>
            </w:r>
          </w:p>
        </w:tc>
        <w:tc>
          <w:tcPr>
            <w:tcW w:w="8647" w:type="dxa"/>
            <w:vMerge/>
            <w:vAlign w:val="center"/>
          </w:tcPr>
          <w:p w14:paraId="334A85BB" w14:textId="77777777" w:rsidR="007A6FCC" w:rsidRDefault="007A6FCC" w:rsidP="00281329">
            <w:pPr>
              <w:pStyle w:val="Tablecontent"/>
            </w:pPr>
          </w:p>
        </w:tc>
      </w:tr>
    </w:tbl>
    <w:p w14:paraId="0CDCDB1C" w14:textId="7BEDC09C" w:rsidR="007A6FCC" w:rsidRDefault="007A6FCC" w:rsidP="007A6FCC">
      <w:r>
        <w:t xml:space="preserve">There is another metric </w:t>
      </w:r>
      <w:r w:rsidRPr="0035173F">
        <w:rPr>
          <w:rStyle w:val="Strong"/>
          <w:color w:val="00B0F0"/>
        </w:rPr>
        <w:t>ACTN/s</w:t>
      </w:r>
      <w:r w:rsidRPr="0035173F">
        <w:rPr>
          <w:rStyle w:val="Strong"/>
          <w:b w:val="0"/>
          <w:bCs w:val="0"/>
        </w:rPr>
        <w:t>, which is the n</w:t>
      </w:r>
      <w:r>
        <w:t xml:space="preserve">umber of actions per second. The actions here are VMkernel actions. It is an internal counter, not relevant </w:t>
      </w:r>
      <w:r w:rsidR="0083534A">
        <w:t>to</w:t>
      </w:r>
      <w:r>
        <w:t xml:space="preserve"> day to day operations.</w:t>
      </w:r>
    </w:p>
    <w:p w14:paraId="0FCE85A9" w14:textId="77777777" w:rsidR="007A6FCC" w:rsidRDefault="007A6FCC" w:rsidP="007A6FCC">
      <w:pPr>
        <w:pStyle w:val="Heading5"/>
      </w:pPr>
      <w:r>
        <w:t>Configuration</w:t>
      </w:r>
    </w:p>
    <w:p w14:paraId="00EA58A0" w14:textId="77777777" w:rsidR="007A6FCC" w:rsidRPr="00FF6F15" w:rsidRDefault="007A6FCC" w:rsidP="007A6FCC">
      <w:pPr>
        <w:rPr>
          <w:lang w:val="en-GB"/>
        </w:rPr>
      </w:pPr>
      <w:r>
        <w:rPr>
          <w:lang w:val="en-GB"/>
        </w:rPr>
        <w:t>This panel mixes physical and virtual. For virtual, it shows both the VMkernel network and VM network. I find it easier to use the information in vSphere Client.</w:t>
      </w:r>
    </w:p>
    <w:p w14:paraId="39569664" w14:textId="77777777" w:rsidR="007A6FCC" w:rsidRDefault="007A6FCC" w:rsidP="007A6FCC">
      <w:pPr>
        <w:jc w:val="center"/>
        <w:rPr>
          <w:lang w:val="en-GB"/>
        </w:rPr>
      </w:pPr>
      <w:r w:rsidRPr="00D62C0D">
        <w:rPr>
          <w:noProof/>
          <w:lang w:val="en-GB"/>
        </w:rPr>
        <w:drawing>
          <wp:inline distT="0" distB="0" distL="0" distR="0" wp14:anchorId="56B80805" wp14:editId="6D189223">
            <wp:extent cx="5968800" cy="1353600"/>
            <wp:effectExtent l="0" t="0" r="0" b="0"/>
            <wp:docPr id="567723359" name="Picture 567723359"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51" name="Picture 534447551" descr="Text&#10;&#10;Description automatically generated"/>
                    <pic:cNvPicPr/>
                  </pic:nvPicPr>
                  <pic:blipFill>
                    <a:blip r:embed="rId872"/>
                    <a:stretch>
                      <a:fillRect/>
                    </a:stretch>
                  </pic:blipFill>
                  <pic:spPr>
                    <a:xfrm>
                      <a:off x="0" y="0"/>
                      <a:ext cx="5968800" cy="1353600"/>
                    </a:xfrm>
                    <a:prstGeom prst="rect">
                      <a:avLst/>
                    </a:prstGeom>
                  </pic:spPr>
                </pic:pic>
              </a:graphicData>
            </a:graphic>
          </wp:inline>
        </w:drawing>
      </w:r>
    </w:p>
    <w:p w14:paraId="49D450DF" w14:textId="77777777" w:rsidR="007A6FCC" w:rsidRDefault="007A6FCC" w:rsidP="007A6FCC">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7A6FCC" w:rsidRPr="00E51A31" w14:paraId="637CF8F0" w14:textId="77777777" w:rsidTr="00281329">
        <w:tc>
          <w:tcPr>
            <w:tcW w:w="1843" w:type="dxa"/>
            <w:shd w:val="clear" w:color="auto" w:fill="F2F2F2" w:themeFill="background1" w:themeFillShade="F2"/>
            <w:vAlign w:val="center"/>
          </w:tcPr>
          <w:p w14:paraId="712F5872" w14:textId="77777777" w:rsidR="007A6FCC" w:rsidRPr="002510F4" w:rsidRDefault="007A6FCC" w:rsidP="00281329">
            <w:pPr>
              <w:pStyle w:val="Tablecontent"/>
            </w:pPr>
            <w:r>
              <w:t xml:space="preserve">PORT-ID </w:t>
            </w:r>
          </w:p>
        </w:tc>
        <w:tc>
          <w:tcPr>
            <w:tcW w:w="8647" w:type="dxa"/>
            <w:vAlign w:val="center"/>
          </w:tcPr>
          <w:p w14:paraId="4060FAA9" w14:textId="77777777" w:rsidR="007A6FCC" w:rsidRPr="002510F4" w:rsidRDefault="007A6FCC" w:rsidP="00281329">
            <w:pPr>
              <w:pStyle w:val="Tablecontent"/>
            </w:pPr>
            <w:r>
              <w:t xml:space="preserve">Virtual network device port ID. </w:t>
            </w:r>
          </w:p>
        </w:tc>
      </w:tr>
      <w:tr w:rsidR="007A6FCC" w:rsidRPr="00E51A31" w14:paraId="086EC6BE" w14:textId="77777777" w:rsidTr="00281329">
        <w:tc>
          <w:tcPr>
            <w:tcW w:w="1843" w:type="dxa"/>
            <w:shd w:val="clear" w:color="auto" w:fill="F2F2F2" w:themeFill="background1" w:themeFillShade="F2"/>
            <w:vAlign w:val="center"/>
          </w:tcPr>
          <w:p w14:paraId="4C66FD55" w14:textId="77777777" w:rsidR="007A6FCC" w:rsidRPr="002510F4" w:rsidRDefault="007A6FCC" w:rsidP="00281329">
            <w:pPr>
              <w:pStyle w:val="Tablecontent"/>
            </w:pPr>
            <w:r>
              <w:lastRenderedPageBreak/>
              <w:t xml:space="preserve">UPLINK </w:t>
            </w:r>
          </w:p>
        </w:tc>
        <w:tc>
          <w:tcPr>
            <w:tcW w:w="8647" w:type="dxa"/>
            <w:vAlign w:val="center"/>
          </w:tcPr>
          <w:p w14:paraId="2611802B" w14:textId="1BA73F3A" w:rsidR="007A6FCC" w:rsidRPr="002510F4" w:rsidRDefault="00194CEE" w:rsidP="00281329">
            <w:pPr>
              <w:pStyle w:val="Tablecontent"/>
            </w:pPr>
            <w:r w:rsidRPr="00194CEE">
              <w:rPr>
                <w:color w:val="00B0F0"/>
              </w:rPr>
              <w:t>‘Y’</w:t>
            </w:r>
            <w:r w:rsidR="007A6FCC">
              <w:t xml:space="preserve"> means that the corresponding port is an uplink. </w:t>
            </w:r>
            <w:r w:rsidRPr="00194CEE">
              <w:rPr>
                <w:color w:val="00B0F0"/>
              </w:rPr>
              <w:t>‘N’</w:t>
            </w:r>
            <w:r w:rsidR="007A6FCC">
              <w:t xml:space="preserve"> means it is not. The physical NIC cards (vmnic0, vmnic1, etc.) serve as the uplink</w:t>
            </w:r>
          </w:p>
        </w:tc>
      </w:tr>
      <w:tr w:rsidR="007A6FCC" w:rsidRPr="00E51A31" w14:paraId="79C5A821" w14:textId="77777777" w:rsidTr="00281329">
        <w:tc>
          <w:tcPr>
            <w:tcW w:w="1843" w:type="dxa"/>
            <w:shd w:val="clear" w:color="auto" w:fill="F2F2F2" w:themeFill="background1" w:themeFillShade="F2"/>
            <w:vAlign w:val="center"/>
          </w:tcPr>
          <w:p w14:paraId="1CCB27B0" w14:textId="77777777" w:rsidR="007A6FCC" w:rsidRPr="002510F4" w:rsidRDefault="007A6FCC" w:rsidP="00281329">
            <w:pPr>
              <w:pStyle w:val="Tablecontent"/>
            </w:pPr>
            <w:r>
              <w:t xml:space="preserve">UP </w:t>
            </w:r>
          </w:p>
        </w:tc>
        <w:tc>
          <w:tcPr>
            <w:tcW w:w="8647" w:type="dxa"/>
            <w:vAlign w:val="center"/>
          </w:tcPr>
          <w:p w14:paraId="38BE5B69" w14:textId="233E8825" w:rsidR="007A6FCC" w:rsidRPr="002510F4" w:rsidRDefault="00194CEE" w:rsidP="00281329">
            <w:pPr>
              <w:pStyle w:val="Tablecontent"/>
            </w:pPr>
            <w:r w:rsidRPr="00194CEE">
              <w:rPr>
                <w:color w:val="00B0F0"/>
              </w:rPr>
              <w:t>‘Y’</w:t>
            </w:r>
            <w:r w:rsidR="007A6FCC">
              <w:t xml:space="preserve"> means that the corresponding link is up. </w:t>
            </w:r>
            <w:r w:rsidRPr="00194CEE">
              <w:rPr>
                <w:color w:val="00B0F0"/>
              </w:rPr>
              <w:t>‘N’</w:t>
            </w:r>
            <w:r w:rsidR="007A6FCC">
              <w:t xml:space="preserve"> means it is not. </w:t>
            </w:r>
          </w:p>
        </w:tc>
      </w:tr>
      <w:tr w:rsidR="007A6FCC" w:rsidRPr="00E51A31" w14:paraId="76277D09" w14:textId="77777777" w:rsidTr="00281329">
        <w:tc>
          <w:tcPr>
            <w:tcW w:w="1843" w:type="dxa"/>
            <w:shd w:val="clear" w:color="auto" w:fill="F2F2F2" w:themeFill="background1" w:themeFillShade="F2"/>
            <w:vAlign w:val="center"/>
          </w:tcPr>
          <w:p w14:paraId="2ECFE3CA" w14:textId="77777777" w:rsidR="007A6FCC" w:rsidRPr="002510F4" w:rsidRDefault="007A6FCC" w:rsidP="00281329">
            <w:pPr>
              <w:pStyle w:val="Tablecontent"/>
            </w:pPr>
            <w:r>
              <w:t xml:space="preserve">SPEED </w:t>
            </w:r>
          </w:p>
        </w:tc>
        <w:tc>
          <w:tcPr>
            <w:tcW w:w="8647" w:type="dxa"/>
            <w:vAlign w:val="center"/>
          </w:tcPr>
          <w:p w14:paraId="78628223" w14:textId="77777777" w:rsidR="007A6FCC" w:rsidRPr="002510F4" w:rsidRDefault="007A6FCC" w:rsidP="00281329">
            <w:pPr>
              <w:pStyle w:val="Tablecontent"/>
            </w:pPr>
            <w:r>
              <w:t xml:space="preserve">Link speed in Megabits per second. </w:t>
            </w:r>
          </w:p>
        </w:tc>
      </w:tr>
      <w:tr w:rsidR="007A6FCC" w:rsidRPr="00E51A31" w14:paraId="3B101EFF" w14:textId="77777777" w:rsidTr="00281329">
        <w:tc>
          <w:tcPr>
            <w:tcW w:w="1843" w:type="dxa"/>
            <w:shd w:val="clear" w:color="auto" w:fill="F2F2F2" w:themeFill="background1" w:themeFillShade="F2"/>
            <w:vAlign w:val="center"/>
          </w:tcPr>
          <w:p w14:paraId="63F4BA14" w14:textId="77777777" w:rsidR="007A6FCC" w:rsidRPr="002510F4" w:rsidRDefault="007A6FCC" w:rsidP="00281329">
            <w:pPr>
              <w:pStyle w:val="Tablecontent"/>
            </w:pPr>
            <w:r>
              <w:t xml:space="preserve">FDUPLX </w:t>
            </w:r>
          </w:p>
        </w:tc>
        <w:tc>
          <w:tcPr>
            <w:tcW w:w="8647" w:type="dxa"/>
            <w:vAlign w:val="center"/>
          </w:tcPr>
          <w:p w14:paraId="3E937C30" w14:textId="554C5DBC" w:rsidR="007A6FCC" w:rsidRPr="002510F4" w:rsidRDefault="00194CEE" w:rsidP="00281329">
            <w:pPr>
              <w:pStyle w:val="Tablecontent"/>
            </w:pPr>
            <w:r w:rsidRPr="00194CEE">
              <w:rPr>
                <w:color w:val="00B0F0"/>
              </w:rPr>
              <w:t>‘Y’</w:t>
            </w:r>
            <w:r w:rsidR="007A6FCC">
              <w:t xml:space="preserve"> means the corresponding link is operating at full duplex. </w:t>
            </w:r>
            <w:r w:rsidRPr="00194CEE">
              <w:rPr>
                <w:color w:val="00B0F0"/>
              </w:rPr>
              <w:t>‘N’</w:t>
            </w:r>
            <w:r w:rsidR="007A6FCC">
              <w:t xml:space="preserve"> means it is not, which is a problem.</w:t>
            </w:r>
          </w:p>
        </w:tc>
      </w:tr>
      <w:tr w:rsidR="007A6FCC" w:rsidRPr="00E51A31" w14:paraId="66E66CDF" w14:textId="77777777" w:rsidTr="00281329">
        <w:tc>
          <w:tcPr>
            <w:tcW w:w="1843" w:type="dxa"/>
            <w:shd w:val="clear" w:color="auto" w:fill="F2F2F2" w:themeFill="background1" w:themeFillShade="F2"/>
            <w:vAlign w:val="center"/>
          </w:tcPr>
          <w:p w14:paraId="7481E324" w14:textId="77777777" w:rsidR="007A6FCC" w:rsidRPr="002510F4" w:rsidRDefault="007A6FCC" w:rsidP="00281329">
            <w:pPr>
              <w:pStyle w:val="Tablecontent"/>
            </w:pPr>
            <w:r>
              <w:t xml:space="preserve">USED-BY </w:t>
            </w:r>
          </w:p>
        </w:tc>
        <w:tc>
          <w:tcPr>
            <w:tcW w:w="8647" w:type="dxa"/>
            <w:vAlign w:val="center"/>
          </w:tcPr>
          <w:p w14:paraId="35F3D95C" w14:textId="77777777" w:rsidR="007A6FCC" w:rsidRPr="002510F4" w:rsidRDefault="007A6FCC" w:rsidP="00281329">
            <w:pPr>
              <w:pStyle w:val="Tablecontent"/>
            </w:pPr>
            <w:r>
              <w:t xml:space="preserve">Virtual network device port user. </w:t>
            </w:r>
          </w:p>
        </w:tc>
      </w:tr>
      <w:tr w:rsidR="007A6FCC" w:rsidRPr="00E51A31" w14:paraId="348B4E17" w14:textId="77777777" w:rsidTr="00281329">
        <w:tc>
          <w:tcPr>
            <w:tcW w:w="1843" w:type="dxa"/>
            <w:shd w:val="clear" w:color="auto" w:fill="F2F2F2" w:themeFill="background1" w:themeFillShade="F2"/>
            <w:vAlign w:val="center"/>
          </w:tcPr>
          <w:p w14:paraId="30EB87AC" w14:textId="77777777" w:rsidR="007A6FCC" w:rsidRPr="002510F4" w:rsidRDefault="007A6FCC" w:rsidP="00281329">
            <w:pPr>
              <w:pStyle w:val="Tablecontent"/>
            </w:pPr>
            <w:r>
              <w:t xml:space="preserve">DNAME </w:t>
            </w:r>
          </w:p>
        </w:tc>
        <w:tc>
          <w:tcPr>
            <w:tcW w:w="8647" w:type="dxa"/>
            <w:vAlign w:val="center"/>
          </w:tcPr>
          <w:p w14:paraId="56C09119" w14:textId="77777777" w:rsidR="007A6FCC" w:rsidRPr="002510F4" w:rsidRDefault="007A6FCC" w:rsidP="00281329">
            <w:pPr>
              <w:pStyle w:val="Tablecontent"/>
            </w:pPr>
            <w:r>
              <w:t xml:space="preserve">Virtual network device name. </w:t>
            </w:r>
          </w:p>
        </w:tc>
      </w:tr>
    </w:tbl>
    <w:p w14:paraId="5F3F924F" w14:textId="77777777" w:rsidR="007A6FCC" w:rsidRDefault="007A6FCC" w:rsidP="007A6FCC">
      <w:r>
        <w:t xml:space="preserve">The metric DTYP (Virtual network device type, where </w:t>
      </w:r>
      <w:r w:rsidRPr="00B32618">
        <w:rPr>
          <w:color w:val="00B0F0"/>
        </w:rPr>
        <w:t>H</w:t>
      </w:r>
      <w:r>
        <w:t xml:space="preserve"> means Hub and </w:t>
      </w:r>
      <w:r w:rsidRPr="00B32618">
        <w:rPr>
          <w:color w:val="00B0F0"/>
        </w:rPr>
        <w:t>S</w:t>
      </w:r>
      <w:r>
        <w:t xml:space="preserve"> means switch) does not seem to be available anymore.</w:t>
      </w:r>
    </w:p>
    <w:p w14:paraId="24DCC541" w14:textId="77777777" w:rsidR="007A6FCC" w:rsidRDefault="007A6FCC" w:rsidP="007A6FCC">
      <w:r>
        <w:t xml:space="preserve">vSphere Client separates the components. You can see the virtual switches, VMkernel network and physical cards. The level of details is more comprehensive. </w:t>
      </w:r>
    </w:p>
    <w:p w14:paraId="44881F50" w14:textId="77777777" w:rsidR="007A6FCC" w:rsidRDefault="007A6FCC" w:rsidP="007A6FCC">
      <w:r>
        <w:rPr>
          <w:noProof/>
        </w:rPr>
        <w:drawing>
          <wp:inline distT="0" distB="0" distL="0" distR="0" wp14:anchorId="62AB3F40" wp14:editId="5EA661E0">
            <wp:extent cx="6645910" cy="1219200"/>
            <wp:effectExtent l="0" t="0" r="2540" b="0"/>
            <wp:docPr id="918289660" name="Picture 91828966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60" name="Picture 918289660" descr="Graphical user interface, text, application&#10;&#10;Description automatically generated"/>
                    <pic:cNvPicPr>
                      <a:picLocks noChangeAspect="1" noChangeArrowheads="1"/>
                    </pic:cNvPicPr>
                  </pic:nvPicPr>
                  <pic:blipFill>
                    <a:blip r:embed="rId873" cstate="print">
                      <a:extLst>
                        <a:ext uri="{28A0092B-C50C-407E-A947-70E740481C1C}">
                          <a14:useLocalDpi xmlns:a14="http://schemas.microsoft.com/office/drawing/2010/main" val="0"/>
                        </a:ext>
                      </a:extLst>
                    </a:blip>
                    <a:srcRect/>
                    <a:stretch>
                      <a:fillRect/>
                    </a:stretch>
                  </pic:blipFill>
                  <pic:spPr bwMode="auto">
                    <a:xfrm>
                      <a:off x="0" y="0"/>
                      <a:ext cx="6645910" cy="1219200"/>
                    </a:xfrm>
                    <a:prstGeom prst="rect">
                      <a:avLst/>
                    </a:prstGeom>
                    <a:noFill/>
                    <a:ln>
                      <a:noFill/>
                    </a:ln>
                  </pic:spPr>
                </pic:pic>
              </a:graphicData>
            </a:graphic>
          </wp:inline>
        </w:drawing>
      </w:r>
    </w:p>
    <w:p w14:paraId="35AA4878" w14:textId="77777777" w:rsidR="005C13EA" w:rsidRDefault="005C13EA" w:rsidP="005C13EA">
      <w:pPr>
        <w:pStyle w:val="Heading5"/>
      </w:pPr>
      <w:r>
        <w:t>RDMA Device</w:t>
      </w:r>
    </w:p>
    <w:p w14:paraId="60AAFCAF" w14:textId="77777777" w:rsidR="005C13EA" w:rsidRDefault="005C13EA" w:rsidP="005C13EA">
      <w:pPr>
        <w:rPr>
          <w:lang w:val="en-GB"/>
        </w:rPr>
      </w:pPr>
      <w:r>
        <w:rPr>
          <w:lang w:val="en-GB"/>
        </w:rPr>
        <w:t>R</w:t>
      </w:r>
      <w:r w:rsidRPr="00AC1396">
        <w:rPr>
          <w:lang w:val="en-GB"/>
        </w:rPr>
        <w:t xml:space="preserve">emote </w:t>
      </w:r>
      <w:r>
        <w:rPr>
          <w:lang w:val="en-GB"/>
        </w:rPr>
        <w:t>D</w:t>
      </w:r>
      <w:r w:rsidRPr="00AC1396">
        <w:rPr>
          <w:lang w:val="en-GB"/>
        </w:rPr>
        <w:t xml:space="preserve">irect </w:t>
      </w:r>
      <w:r>
        <w:rPr>
          <w:lang w:val="en-GB"/>
        </w:rPr>
        <w:t>M</w:t>
      </w:r>
      <w:r w:rsidRPr="00AC1396">
        <w:rPr>
          <w:lang w:val="en-GB"/>
        </w:rPr>
        <w:t xml:space="preserve">emory </w:t>
      </w:r>
      <w:r>
        <w:rPr>
          <w:lang w:val="en-GB"/>
        </w:rPr>
        <w:t>A</w:t>
      </w:r>
      <w:r w:rsidRPr="00AC1396">
        <w:rPr>
          <w:lang w:val="en-GB"/>
        </w:rPr>
        <w:t>ccess (</w:t>
      </w:r>
      <w:hyperlink r:id="rId874" w:history="1">
        <w:r w:rsidRPr="00AC1396">
          <w:rPr>
            <w:rStyle w:val="Hyperlink"/>
            <w:lang w:val="en-GB"/>
          </w:rPr>
          <w:t>RDMA</w:t>
        </w:r>
      </w:hyperlink>
      <w:r>
        <w:rPr>
          <w:lang w:val="en-GB"/>
        </w:rPr>
        <w:t xml:space="preserve">) enable direct access to the physical network card, bypassing the OS overhead. The following screenshot, taken from </w:t>
      </w:r>
      <w:hyperlink r:id="rId875" w:anchor="section1" w:history="1">
        <w:r w:rsidRPr="00266341">
          <w:rPr>
            <w:rStyle w:val="Hyperlink"/>
            <w:lang w:val="en-GB"/>
          </w:rPr>
          <w:t>here</w:t>
        </w:r>
      </w:hyperlink>
      <w:r>
        <w:rPr>
          <w:lang w:val="en-GB"/>
        </w:rPr>
        <w:t xml:space="preserve">, shows 2 types of access from application (that lives inside a VM. The VMs are not shown). </w:t>
      </w:r>
    </w:p>
    <w:p w14:paraId="1AAC9E4B" w14:textId="77777777" w:rsidR="005C13EA" w:rsidRPr="00AC1396" w:rsidRDefault="005C13EA" w:rsidP="005C13EA">
      <w:pPr>
        <w:jc w:val="center"/>
        <w:rPr>
          <w:lang w:val="en-GB"/>
        </w:rPr>
      </w:pPr>
      <w:r>
        <w:rPr>
          <w:noProof/>
        </w:rPr>
        <w:drawing>
          <wp:inline distT="0" distB="0" distL="0" distR="0" wp14:anchorId="49FF118B" wp14:editId="5950D963">
            <wp:extent cx="4546800" cy="2761200"/>
            <wp:effectExtent l="0" t="0" r="6350" b="1270"/>
            <wp:docPr id="357815412" name="Picture 357815412"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412" name="Picture 357815412" descr="Timeline&#10;&#10;Description automatically generated"/>
                    <pic:cNvPicPr>
                      <a:picLocks noChangeAspect="1" noChangeArrowheads="1"/>
                    </pic:cNvPicPr>
                  </pic:nvPicPr>
                  <pic:blipFill>
                    <a:blip r:embed="rId876">
                      <a:extLst>
                        <a:ext uri="{28A0092B-C50C-407E-A947-70E740481C1C}">
                          <a14:useLocalDpi xmlns:a14="http://schemas.microsoft.com/office/drawing/2010/main" val="0"/>
                        </a:ext>
                      </a:extLst>
                    </a:blip>
                    <a:srcRect/>
                    <a:stretch>
                      <a:fillRect/>
                    </a:stretch>
                  </pic:blipFill>
                  <pic:spPr bwMode="auto">
                    <a:xfrm>
                      <a:off x="0" y="0"/>
                      <a:ext cx="4546800" cy="2761200"/>
                    </a:xfrm>
                    <a:prstGeom prst="rect">
                      <a:avLst/>
                    </a:prstGeom>
                    <a:noFill/>
                    <a:ln>
                      <a:noFill/>
                    </a:ln>
                  </pic:spPr>
                </pic:pic>
              </a:graphicData>
            </a:graphic>
          </wp:inline>
        </w:drawing>
      </w:r>
    </w:p>
    <w:p w14:paraId="6B41591E" w14:textId="77777777" w:rsidR="005C13EA" w:rsidRDefault="005C13EA" w:rsidP="005C13EA">
      <w:pPr>
        <w:pStyle w:val="Heading6"/>
      </w:pPr>
      <w:r>
        <w:lastRenderedPageBreak/>
        <w:t>Usage</w:t>
      </w:r>
    </w:p>
    <w:p w14:paraId="4504C4BE" w14:textId="77777777" w:rsidR="005C13EA" w:rsidRDefault="005C13EA" w:rsidP="005C13EA">
      <w:pPr>
        <w:rPr>
          <w:lang w:val="en-GB"/>
        </w:rPr>
      </w:pPr>
      <w:r>
        <w:rPr>
          <w:lang w:val="en-GB"/>
        </w:rPr>
        <w:t xml:space="preserve">Since it’s about network, you get both the TX (transmit or sent) and RX (received or incoming). </w:t>
      </w:r>
    </w:p>
    <w:p w14:paraId="62FC75C7" w14:textId="77777777" w:rsidR="005C13EA" w:rsidRDefault="005C13EA" w:rsidP="005C13EA">
      <w:pPr>
        <w:rPr>
          <w:lang w:val="en-GB"/>
        </w:rPr>
      </w:pPr>
      <w:r>
        <w:rPr>
          <w:lang w:val="en-GB"/>
        </w:rPr>
        <w:t>For contention, there is only packet dropped. There is no packet retransmit or latency. The metrics are:</w:t>
      </w:r>
    </w:p>
    <w:p w14:paraId="0A3F3B72" w14:textId="77777777" w:rsidR="005C13EA" w:rsidRPr="00266341" w:rsidRDefault="005C13EA" w:rsidP="005C13EA">
      <w:pPr>
        <w:pStyle w:val="BeforeTable"/>
        <w:rPr>
          <w:lang w:val="en-GB"/>
        </w:rPr>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5C13EA" w:rsidRPr="00E51A31" w14:paraId="25A183FF" w14:textId="77777777" w:rsidTr="00281329">
        <w:tc>
          <w:tcPr>
            <w:tcW w:w="1843" w:type="dxa"/>
            <w:shd w:val="clear" w:color="auto" w:fill="F2F2F2" w:themeFill="background1" w:themeFillShade="F2"/>
          </w:tcPr>
          <w:p w14:paraId="36D84A53" w14:textId="77777777" w:rsidR="005C13EA" w:rsidRPr="00FE361A" w:rsidRDefault="005C13EA" w:rsidP="00281329">
            <w:pPr>
              <w:pStyle w:val="Tablecontent"/>
            </w:pPr>
            <w:r w:rsidRPr="009C045A">
              <w:t>%PKTDTX</w:t>
            </w:r>
          </w:p>
        </w:tc>
        <w:tc>
          <w:tcPr>
            <w:tcW w:w="8647" w:type="dxa"/>
            <w:vMerge w:val="restart"/>
            <w:vAlign w:val="center"/>
          </w:tcPr>
          <w:p w14:paraId="22A817B0" w14:textId="77777777" w:rsidR="005C13EA" w:rsidRPr="002510F4" w:rsidRDefault="005C13EA" w:rsidP="00281329">
            <w:pPr>
              <w:pStyle w:val="Tablecontent"/>
            </w:pPr>
            <w:r>
              <w:t>Percentage of packet dropped relative to number of packets sent.</w:t>
            </w:r>
          </w:p>
        </w:tc>
      </w:tr>
      <w:tr w:rsidR="005C13EA" w:rsidRPr="00E51A31" w14:paraId="5FCF6E11" w14:textId="77777777" w:rsidTr="00281329">
        <w:tc>
          <w:tcPr>
            <w:tcW w:w="1843" w:type="dxa"/>
            <w:shd w:val="clear" w:color="auto" w:fill="F2F2F2" w:themeFill="background1" w:themeFillShade="F2"/>
          </w:tcPr>
          <w:p w14:paraId="405184EF" w14:textId="77777777" w:rsidR="005C13EA" w:rsidRPr="00FE361A" w:rsidRDefault="005C13EA" w:rsidP="00281329">
            <w:pPr>
              <w:pStyle w:val="Tablecontent"/>
            </w:pPr>
            <w:r w:rsidRPr="009C045A">
              <w:t>%PKTDRX</w:t>
            </w:r>
          </w:p>
        </w:tc>
        <w:tc>
          <w:tcPr>
            <w:tcW w:w="8647" w:type="dxa"/>
            <w:vMerge/>
            <w:vAlign w:val="center"/>
          </w:tcPr>
          <w:p w14:paraId="1265A09D" w14:textId="77777777" w:rsidR="005C13EA" w:rsidRPr="002510F4" w:rsidRDefault="005C13EA" w:rsidP="00281329">
            <w:pPr>
              <w:pStyle w:val="Tablecontent"/>
            </w:pPr>
          </w:p>
        </w:tc>
      </w:tr>
    </w:tbl>
    <w:p w14:paraId="33BE6382" w14:textId="77777777" w:rsidR="005C13EA" w:rsidRDefault="005C13EA" w:rsidP="005C13EA">
      <w:pPr>
        <w:rPr>
          <w:lang w:val="en-GB"/>
        </w:rPr>
      </w:pPr>
      <w:r>
        <w:rPr>
          <w:lang w:val="en-GB"/>
        </w:rPr>
        <w:t>For utilization, you get them in both amount of data, and number of packets. Both are important metrics. There is no breakdown on the type of packets (broadcast, multicast, unicast).</w:t>
      </w:r>
    </w:p>
    <w:p w14:paraId="29FC4A32" w14:textId="77777777" w:rsidR="005C13EA" w:rsidRDefault="005C13EA" w:rsidP="005C13EA">
      <w:pPr>
        <w:pStyle w:val="BeforeTable"/>
        <w:rPr>
          <w:lang w:val="en-GB"/>
        </w:rPr>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5C13EA" w:rsidRPr="00E51A31" w14:paraId="66D4375A" w14:textId="77777777" w:rsidTr="00281329">
        <w:tc>
          <w:tcPr>
            <w:tcW w:w="1843" w:type="dxa"/>
            <w:shd w:val="clear" w:color="auto" w:fill="F2F2F2" w:themeFill="background1" w:themeFillShade="F2"/>
          </w:tcPr>
          <w:p w14:paraId="4EB71D15" w14:textId="77777777" w:rsidR="005C13EA" w:rsidRPr="002510F4" w:rsidRDefault="005C13EA" w:rsidP="00281329">
            <w:pPr>
              <w:pStyle w:val="Tablecontent"/>
            </w:pPr>
            <w:r w:rsidRPr="009C045A">
              <w:t>PKTTX/s</w:t>
            </w:r>
          </w:p>
        </w:tc>
        <w:tc>
          <w:tcPr>
            <w:tcW w:w="8647" w:type="dxa"/>
            <w:vMerge w:val="restart"/>
            <w:vAlign w:val="center"/>
          </w:tcPr>
          <w:p w14:paraId="61E37BF4" w14:textId="77777777" w:rsidR="005C13EA" w:rsidRDefault="005C13EA" w:rsidP="00281329">
            <w:pPr>
              <w:pStyle w:val="Tablecontent"/>
            </w:pPr>
            <w:r>
              <w:t xml:space="preserve">Packets per second. </w:t>
            </w:r>
          </w:p>
          <w:p w14:paraId="6F172ADC" w14:textId="77777777" w:rsidR="005C13EA" w:rsidRPr="00083677" w:rsidRDefault="005C13EA" w:rsidP="00281329">
            <w:pPr>
              <w:pStyle w:val="Tablecontent"/>
              <w:rPr>
                <w:lang w:val="en-GB"/>
              </w:rPr>
            </w:pPr>
            <w:r>
              <w:t>C</w:t>
            </w:r>
            <w:r>
              <w:rPr>
                <w:lang w:val="en-GB"/>
              </w:rPr>
              <w:t>heck the limit for packet per second in your specific card.</w:t>
            </w:r>
          </w:p>
        </w:tc>
      </w:tr>
      <w:tr w:rsidR="005C13EA" w:rsidRPr="00E51A31" w14:paraId="70A09AA7" w14:textId="77777777" w:rsidTr="00281329">
        <w:tc>
          <w:tcPr>
            <w:tcW w:w="1843" w:type="dxa"/>
            <w:shd w:val="clear" w:color="auto" w:fill="F2F2F2" w:themeFill="background1" w:themeFillShade="F2"/>
          </w:tcPr>
          <w:p w14:paraId="765C543B" w14:textId="77777777" w:rsidR="005C13EA" w:rsidRPr="002510F4" w:rsidRDefault="005C13EA" w:rsidP="00281329">
            <w:pPr>
              <w:pStyle w:val="Tablecontent"/>
            </w:pPr>
            <w:r w:rsidRPr="009C045A">
              <w:t>PKTRX/s</w:t>
            </w:r>
          </w:p>
        </w:tc>
        <w:tc>
          <w:tcPr>
            <w:tcW w:w="8647" w:type="dxa"/>
            <w:vMerge/>
            <w:vAlign w:val="center"/>
          </w:tcPr>
          <w:p w14:paraId="4F1841C9" w14:textId="77777777" w:rsidR="005C13EA" w:rsidRPr="002510F4" w:rsidRDefault="005C13EA" w:rsidP="00281329">
            <w:pPr>
              <w:pStyle w:val="Tablecontent"/>
            </w:pPr>
          </w:p>
        </w:tc>
      </w:tr>
      <w:tr w:rsidR="005C13EA" w:rsidRPr="00E51A31" w14:paraId="25D1D59E" w14:textId="77777777" w:rsidTr="00281329">
        <w:tc>
          <w:tcPr>
            <w:tcW w:w="1843" w:type="dxa"/>
            <w:shd w:val="clear" w:color="auto" w:fill="F2F2F2" w:themeFill="background1" w:themeFillShade="F2"/>
          </w:tcPr>
          <w:p w14:paraId="5C59E251" w14:textId="77777777" w:rsidR="005C13EA" w:rsidRPr="002510F4" w:rsidRDefault="005C13EA" w:rsidP="00281329">
            <w:pPr>
              <w:pStyle w:val="Tablecontent"/>
            </w:pPr>
            <w:r w:rsidRPr="009C045A">
              <w:t>MbTX/s</w:t>
            </w:r>
          </w:p>
        </w:tc>
        <w:tc>
          <w:tcPr>
            <w:tcW w:w="8647" w:type="dxa"/>
            <w:vMerge w:val="restart"/>
            <w:vAlign w:val="center"/>
          </w:tcPr>
          <w:p w14:paraId="7F4C1BC2" w14:textId="77777777" w:rsidR="005C13EA" w:rsidRPr="002510F4" w:rsidRDefault="005C13EA" w:rsidP="00281329">
            <w:pPr>
              <w:pStyle w:val="Tablecontent"/>
            </w:pPr>
            <w:r>
              <w:t xml:space="preserve">Network throughput in Megabit/second. </w:t>
            </w:r>
          </w:p>
        </w:tc>
      </w:tr>
      <w:tr w:rsidR="005C13EA" w:rsidRPr="00E51A31" w14:paraId="7F8EF748" w14:textId="77777777" w:rsidTr="00281329">
        <w:tc>
          <w:tcPr>
            <w:tcW w:w="1843" w:type="dxa"/>
            <w:shd w:val="clear" w:color="auto" w:fill="F2F2F2" w:themeFill="background1" w:themeFillShade="F2"/>
          </w:tcPr>
          <w:p w14:paraId="7DFCD6DA" w14:textId="77777777" w:rsidR="005C13EA" w:rsidRPr="002510F4" w:rsidRDefault="005C13EA" w:rsidP="00281329">
            <w:pPr>
              <w:pStyle w:val="Tablecontent"/>
            </w:pPr>
            <w:r w:rsidRPr="009C045A">
              <w:t>MbRX/s</w:t>
            </w:r>
          </w:p>
        </w:tc>
        <w:tc>
          <w:tcPr>
            <w:tcW w:w="8647" w:type="dxa"/>
            <w:vMerge/>
            <w:vAlign w:val="center"/>
          </w:tcPr>
          <w:p w14:paraId="67CB5BD5" w14:textId="77777777" w:rsidR="005C13EA" w:rsidRPr="002510F4" w:rsidRDefault="005C13EA" w:rsidP="00281329">
            <w:pPr>
              <w:pStyle w:val="Tablecontent"/>
            </w:pPr>
          </w:p>
        </w:tc>
      </w:tr>
    </w:tbl>
    <w:p w14:paraId="2AB17D7E" w14:textId="77777777" w:rsidR="005C13EA" w:rsidRDefault="005C13EA" w:rsidP="005C13EA">
      <w:pPr>
        <w:rPr>
          <w:lang w:val="en-GB"/>
        </w:rPr>
      </w:pPr>
      <w:r>
        <w:rPr>
          <w:lang w:val="en-GB"/>
        </w:rPr>
        <w:t>There is no packet size. This can be handy to determine if they are much smaller or larger than you expect. For example, if you expect jumbo frame but the reality is much smaller.</w:t>
      </w:r>
    </w:p>
    <w:p w14:paraId="762819D2" w14:textId="77777777" w:rsidR="005C13EA" w:rsidRDefault="005C13EA" w:rsidP="005C13EA">
      <w:pPr>
        <w:rPr>
          <w:lang w:val="en-GB"/>
        </w:rPr>
      </w:pPr>
      <w:r>
        <w:rPr>
          <w:lang w:val="en-GB"/>
        </w:rPr>
        <w:t xml:space="preserve">These metrics are not available in vSphere Client UI, so you need to use esxtop to get the visibility. Just in case you’re wondering where I got the following screenshot from, they are courtesy of </w:t>
      </w:r>
      <w:hyperlink r:id="rId877" w:history="1">
        <w:r w:rsidRPr="00B44F02">
          <w:rPr>
            <w:rStyle w:val="Hyperlink"/>
            <w:lang w:val="en-GB"/>
          </w:rPr>
          <w:t>Shoby Cherian</w:t>
        </w:r>
      </w:hyperlink>
      <w:r w:rsidRPr="003A3B87">
        <w:rPr>
          <w:lang w:val="en-GB"/>
        </w:rPr>
        <w:t xml:space="preserve"> </w:t>
      </w:r>
      <w:r>
        <w:rPr>
          <w:lang w:val="en-GB"/>
        </w:rPr>
        <w:t xml:space="preserve">and </w:t>
      </w:r>
      <w:hyperlink r:id="rId878" w:history="1">
        <w:r w:rsidRPr="008C0EAA">
          <w:rPr>
            <w:rStyle w:val="Hyperlink"/>
            <w:lang w:val="en-GB"/>
          </w:rPr>
          <w:t>Aditya Kiran Pentyala</w:t>
        </w:r>
      </w:hyperlink>
      <w:r>
        <w:rPr>
          <w:lang w:val="en-GB"/>
        </w:rPr>
        <w:t>.</w:t>
      </w:r>
    </w:p>
    <w:p w14:paraId="7B737F54" w14:textId="77777777" w:rsidR="005C13EA" w:rsidRPr="006757E0" w:rsidRDefault="005C13EA" w:rsidP="005C13EA">
      <w:pPr>
        <w:rPr>
          <w:lang w:val="en-GB"/>
        </w:rPr>
      </w:pPr>
      <w:r>
        <w:rPr>
          <w:noProof/>
          <w:lang w:val="en-GB"/>
        </w:rPr>
        <w:drawing>
          <wp:inline distT="0" distB="0" distL="0" distR="0" wp14:anchorId="0DB08748" wp14:editId="4842803D">
            <wp:extent cx="6645910" cy="876300"/>
            <wp:effectExtent l="0" t="0" r="2540" b="0"/>
            <wp:docPr id="357815405" name="Picture 35781540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405" name="Picture 357815405" descr="Text&#10;&#10;Description automatically generated"/>
                    <pic:cNvPicPr/>
                  </pic:nvPicPr>
                  <pic:blipFill>
                    <a:blip r:embed="rId879" cstate="print">
                      <a:extLst>
                        <a:ext uri="{28A0092B-C50C-407E-A947-70E740481C1C}">
                          <a14:useLocalDpi xmlns:a14="http://schemas.microsoft.com/office/drawing/2010/main" val="0"/>
                        </a:ext>
                      </a:extLst>
                    </a:blip>
                    <a:stretch>
                      <a:fillRect/>
                    </a:stretch>
                  </pic:blipFill>
                  <pic:spPr>
                    <a:xfrm>
                      <a:off x="0" y="0"/>
                      <a:ext cx="6645910" cy="876300"/>
                    </a:xfrm>
                    <a:prstGeom prst="rect">
                      <a:avLst/>
                    </a:prstGeom>
                  </pic:spPr>
                </pic:pic>
              </a:graphicData>
            </a:graphic>
          </wp:inline>
        </w:drawing>
      </w:r>
    </w:p>
    <w:p w14:paraId="18E8A50A" w14:textId="77777777" w:rsidR="005C13EA" w:rsidRDefault="005C13EA" w:rsidP="005C13EA">
      <w:r>
        <w:t xml:space="preserve">You also get the queue usage information. </w:t>
      </w:r>
    </w:p>
    <w:p w14:paraId="30103D49" w14:textId="77777777" w:rsidR="005C13EA" w:rsidRDefault="005C13EA" w:rsidP="005C13EA">
      <w:pPr>
        <w:pStyle w:val="BeforeTable"/>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5C13EA" w:rsidRPr="00E51A31" w14:paraId="40A69969" w14:textId="77777777" w:rsidTr="00281329">
        <w:tc>
          <w:tcPr>
            <w:tcW w:w="1843" w:type="dxa"/>
            <w:shd w:val="clear" w:color="auto" w:fill="F2F2F2" w:themeFill="background1" w:themeFillShade="F2"/>
          </w:tcPr>
          <w:p w14:paraId="7A0BEC63" w14:textId="77777777" w:rsidR="005C13EA" w:rsidRPr="002510F4" w:rsidRDefault="005C13EA" w:rsidP="00281329">
            <w:pPr>
              <w:pStyle w:val="Tablecontent"/>
            </w:pPr>
            <w:r w:rsidRPr="00DB2709">
              <w:t>QP</w:t>
            </w:r>
          </w:p>
        </w:tc>
        <w:tc>
          <w:tcPr>
            <w:tcW w:w="8647" w:type="dxa"/>
            <w:vMerge w:val="restart"/>
            <w:vAlign w:val="center"/>
          </w:tcPr>
          <w:p w14:paraId="36788E1F" w14:textId="77777777" w:rsidR="005C13EA" w:rsidRDefault="005C13EA" w:rsidP="00281329">
            <w:pPr>
              <w:pStyle w:val="Tablecontent"/>
            </w:pPr>
            <w:r>
              <w:t>Number of Queue Pairs Allocated and Completion Queue Pairs Allocated.</w:t>
            </w:r>
          </w:p>
          <w:p w14:paraId="49F1145A" w14:textId="77777777" w:rsidR="005C13EA" w:rsidRPr="002510F4" w:rsidRDefault="005C13EA" w:rsidP="00281329">
            <w:pPr>
              <w:pStyle w:val="Tablecontent"/>
            </w:pPr>
            <w:r>
              <w:t>RDMA uses these queues for communication.</w:t>
            </w:r>
          </w:p>
        </w:tc>
      </w:tr>
      <w:tr w:rsidR="005C13EA" w:rsidRPr="00E51A31" w14:paraId="5B9B953C" w14:textId="77777777" w:rsidTr="00281329">
        <w:tc>
          <w:tcPr>
            <w:tcW w:w="1843" w:type="dxa"/>
            <w:shd w:val="clear" w:color="auto" w:fill="F2F2F2" w:themeFill="background1" w:themeFillShade="F2"/>
          </w:tcPr>
          <w:p w14:paraId="52582D61" w14:textId="77777777" w:rsidR="005C13EA" w:rsidRPr="002510F4" w:rsidRDefault="005C13EA" w:rsidP="00281329">
            <w:pPr>
              <w:pStyle w:val="Tablecontent"/>
            </w:pPr>
            <w:r w:rsidRPr="00DB2709">
              <w:t>CQ</w:t>
            </w:r>
          </w:p>
        </w:tc>
        <w:tc>
          <w:tcPr>
            <w:tcW w:w="8647" w:type="dxa"/>
            <w:vMerge/>
            <w:vAlign w:val="center"/>
          </w:tcPr>
          <w:p w14:paraId="1BD1D315" w14:textId="77777777" w:rsidR="005C13EA" w:rsidRPr="002510F4" w:rsidRDefault="005C13EA" w:rsidP="00281329">
            <w:pPr>
              <w:pStyle w:val="Tablecontent"/>
            </w:pPr>
          </w:p>
        </w:tc>
      </w:tr>
      <w:tr w:rsidR="005C13EA" w:rsidRPr="00E51A31" w14:paraId="60E2DFAB" w14:textId="77777777" w:rsidTr="00281329">
        <w:tc>
          <w:tcPr>
            <w:tcW w:w="1843" w:type="dxa"/>
            <w:shd w:val="clear" w:color="auto" w:fill="F2F2F2" w:themeFill="background1" w:themeFillShade="F2"/>
          </w:tcPr>
          <w:p w14:paraId="7AB8F902" w14:textId="77777777" w:rsidR="005C13EA" w:rsidRPr="002510F4" w:rsidRDefault="005C13EA" w:rsidP="00281329">
            <w:pPr>
              <w:pStyle w:val="Tablecontent"/>
            </w:pPr>
            <w:r w:rsidRPr="00DB2709">
              <w:t>SRQ</w:t>
            </w:r>
          </w:p>
        </w:tc>
        <w:tc>
          <w:tcPr>
            <w:tcW w:w="8647" w:type="dxa"/>
            <w:vAlign w:val="center"/>
          </w:tcPr>
          <w:p w14:paraId="2535B63E" w14:textId="77777777" w:rsidR="005C13EA" w:rsidRDefault="005C13EA" w:rsidP="00281329">
            <w:pPr>
              <w:pStyle w:val="Tablecontent"/>
            </w:pPr>
            <w:r>
              <w:t>Number of Shared Receive Queues Allocated</w:t>
            </w:r>
          </w:p>
          <w:p w14:paraId="189D2D63" w14:textId="77777777" w:rsidR="005C13EA" w:rsidRPr="002510F4" w:rsidRDefault="005C13EA" w:rsidP="00281329">
            <w:pPr>
              <w:pStyle w:val="Tablecontent"/>
            </w:pPr>
            <w:r>
              <w:t>I think this is required in virtualization as the physical NIC card can be shared.</w:t>
            </w:r>
          </w:p>
        </w:tc>
      </w:tr>
      <w:tr w:rsidR="005C13EA" w:rsidRPr="00E51A31" w14:paraId="2C0B834D" w14:textId="77777777" w:rsidTr="00281329">
        <w:tc>
          <w:tcPr>
            <w:tcW w:w="1843" w:type="dxa"/>
            <w:shd w:val="clear" w:color="auto" w:fill="F2F2F2" w:themeFill="background1" w:themeFillShade="F2"/>
          </w:tcPr>
          <w:p w14:paraId="7AAB7F81" w14:textId="77777777" w:rsidR="005C13EA" w:rsidRPr="002510F4" w:rsidRDefault="005C13EA" w:rsidP="00281329">
            <w:pPr>
              <w:pStyle w:val="Tablecontent"/>
            </w:pPr>
            <w:r w:rsidRPr="00DB2709">
              <w:t>MR</w:t>
            </w:r>
          </w:p>
        </w:tc>
        <w:tc>
          <w:tcPr>
            <w:tcW w:w="8647" w:type="dxa"/>
            <w:vAlign w:val="center"/>
          </w:tcPr>
          <w:p w14:paraId="204776A5" w14:textId="77777777" w:rsidR="005C13EA" w:rsidRDefault="005C13EA" w:rsidP="00281329">
            <w:pPr>
              <w:pStyle w:val="Tablecontent"/>
            </w:pPr>
            <w:r>
              <w:t>Memory Regions Allocated.</w:t>
            </w:r>
          </w:p>
          <w:p w14:paraId="709F584D" w14:textId="77777777" w:rsidR="005C13EA" w:rsidRPr="002510F4" w:rsidRDefault="005C13EA" w:rsidP="00281329">
            <w:pPr>
              <w:pStyle w:val="Tablecontent"/>
            </w:pPr>
            <w:r>
              <w:t>Check that this is inline with your expectation.</w:t>
            </w:r>
          </w:p>
        </w:tc>
      </w:tr>
    </w:tbl>
    <w:p w14:paraId="50B8E83B" w14:textId="77777777" w:rsidR="005C13EA" w:rsidRDefault="005C13EA" w:rsidP="005C13EA">
      <w:r>
        <w:t xml:space="preserve">For more reading on RDMA, I found </w:t>
      </w:r>
      <w:hyperlink r:id="rId880" w:history="1">
        <w:r w:rsidRPr="008B2941">
          <w:rPr>
            <w:rStyle w:val="Hyperlink"/>
          </w:rPr>
          <w:t>this</w:t>
        </w:r>
      </w:hyperlink>
      <w:r>
        <w:t xml:space="preserve"> academic paper, title “</w:t>
      </w:r>
      <w:r w:rsidRPr="00AD13DB">
        <w:rPr>
          <w:color w:val="00B0F0"/>
        </w:rPr>
        <w:t>Understanding the concepts and mechanisms of RDMA</w:t>
      </w:r>
      <w:r>
        <w:t xml:space="preserve">” useful. </w:t>
      </w:r>
    </w:p>
    <w:p w14:paraId="60B1EF4E" w14:textId="77777777" w:rsidR="005C13EA" w:rsidRDefault="005C13EA" w:rsidP="005C13EA">
      <w:pPr>
        <w:pStyle w:val="Heading6"/>
      </w:pPr>
      <w:r>
        <w:t>Configuration</w:t>
      </w:r>
    </w:p>
    <w:p w14:paraId="2536754E" w14:textId="77777777" w:rsidR="005C13EA" w:rsidRPr="004B48ED" w:rsidRDefault="005C13EA" w:rsidP="005C13EA">
      <w:pPr>
        <w:rPr>
          <w:lang w:val="en-GB"/>
        </w:rPr>
      </w:pPr>
      <w:r>
        <w:rPr>
          <w:lang w:val="en-GB"/>
        </w:rPr>
        <w:t>vSphere Client provides the following information. You get the first 4 columns in esxtop.</w:t>
      </w:r>
    </w:p>
    <w:p w14:paraId="353EEF61" w14:textId="77777777" w:rsidR="005C13EA" w:rsidRPr="000266A3" w:rsidRDefault="005C13EA" w:rsidP="005C13EA">
      <w:pPr>
        <w:rPr>
          <w:lang w:val="en-GB"/>
        </w:rPr>
      </w:pPr>
      <w:r>
        <w:rPr>
          <w:noProof/>
          <w:lang w:val="en-GB"/>
        </w:rPr>
        <w:lastRenderedPageBreak/>
        <w:drawing>
          <wp:inline distT="0" distB="0" distL="0" distR="0" wp14:anchorId="3A3E8F02" wp14:editId="0D011A51">
            <wp:extent cx="6645910" cy="2923540"/>
            <wp:effectExtent l="0" t="0" r="2540" b="0"/>
            <wp:docPr id="1583707905" name="Picture 158370790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05" name="Picture 1583707905" descr="Graphical user interface, text, application, email&#10;&#10;Description automatically generated"/>
                    <pic:cNvPicPr/>
                  </pic:nvPicPr>
                  <pic:blipFill>
                    <a:blip r:embed="rId881">
                      <a:extLst>
                        <a:ext uri="{28A0092B-C50C-407E-A947-70E740481C1C}">
                          <a14:useLocalDpi xmlns:a14="http://schemas.microsoft.com/office/drawing/2010/main" val="0"/>
                        </a:ext>
                      </a:extLst>
                    </a:blip>
                    <a:stretch>
                      <a:fillRect/>
                    </a:stretch>
                  </pic:blipFill>
                  <pic:spPr>
                    <a:xfrm>
                      <a:off x="0" y="0"/>
                      <a:ext cx="6645910" cy="2923540"/>
                    </a:xfrm>
                    <a:prstGeom prst="rect">
                      <a:avLst/>
                    </a:prstGeom>
                  </pic:spPr>
                </pic:pic>
              </a:graphicData>
            </a:graphic>
          </wp:inline>
        </w:drawing>
      </w:r>
    </w:p>
    <w:p w14:paraId="4A721F00" w14:textId="77777777" w:rsidR="005C13EA" w:rsidRDefault="005C13EA" w:rsidP="005C13EA">
      <w:pPr>
        <w:rPr>
          <w:lang w:val="en-GB"/>
        </w:rPr>
      </w:pPr>
      <w:r>
        <w:rPr>
          <w:lang w:val="en-GB"/>
        </w:rPr>
        <w:t>The information you get in esxtop covers the first 4 columns in the preceding screenshot. They are:</w:t>
      </w:r>
    </w:p>
    <w:p w14:paraId="171C16C6" w14:textId="77777777" w:rsidR="005C13EA" w:rsidRPr="00A83F31" w:rsidRDefault="005C13EA" w:rsidP="005C13EA">
      <w:pPr>
        <w:pStyle w:val="BeforeTable"/>
        <w:rPr>
          <w:lang w:val="en-GB"/>
        </w:rPr>
      </w:pPr>
    </w:p>
    <w:tbl>
      <w:tblPr>
        <w:tblStyle w:val="TableGridLight"/>
        <w:tblW w:w="1049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1843"/>
        <w:gridCol w:w="8647"/>
      </w:tblGrid>
      <w:tr w:rsidR="005C13EA" w:rsidRPr="00E51A31" w14:paraId="0E516361" w14:textId="77777777" w:rsidTr="00281329">
        <w:tc>
          <w:tcPr>
            <w:tcW w:w="1843" w:type="dxa"/>
            <w:shd w:val="clear" w:color="auto" w:fill="F2F2F2" w:themeFill="background1" w:themeFillShade="F2"/>
          </w:tcPr>
          <w:p w14:paraId="2BA26041" w14:textId="77777777" w:rsidR="005C13EA" w:rsidRPr="002510F4" w:rsidRDefault="005C13EA" w:rsidP="00281329">
            <w:pPr>
              <w:pStyle w:val="Tablecontent"/>
            </w:pPr>
            <w:r w:rsidRPr="00FE361A">
              <w:t>NAME</w:t>
            </w:r>
          </w:p>
        </w:tc>
        <w:tc>
          <w:tcPr>
            <w:tcW w:w="8647" w:type="dxa"/>
            <w:vAlign w:val="center"/>
          </w:tcPr>
          <w:p w14:paraId="0F536B8B" w14:textId="77777777" w:rsidR="005C13EA" w:rsidRPr="002510F4" w:rsidRDefault="005C13EA" w:rsidP="00281329">
            <w:pPr>
              <w:pStyle w:val="Tablecontent"/>
            </w:pPr>
            <w:r>
              <w:t>Name of the device</w:t>
            </w:r>
          </w:p>
        </w:tc>
      </w:tr>
      <w:tr w:rsidR="005C13EA" w:rsidRPr="00E51A31" w14:paraId="2322BCBC" w14:textId="77777777" w:rsidTr="00281329">
        <w:tc>
          <w:tcPr>
            <w:tcW w:w="1843" w:type="dxa"/>
            <w:shd w:val="clear" w:color="auto" w:fill="F2F2F2" w:themeFill="background1" w:themeFillShade="F2"/>
          </w:tcPr>
          <w:p w14:paraId="635E3656" w14:textId="77777777" w:rsidR="005C13EA" w:rsidRPr="002510F4" w:rsidRDefault="005C13EA" w:rsidP="00281329">
            <w:pPr>
              <w:pStyle w:val="Tablecontent"/>
            </w:pPr>
            <w:r w:rsidRPr="00FE361A">
              <w:t>DRIVER</w:t>
            </w:r>
          </w:p>
        </w:tc>
        <w:tc>
          <w:tcPr>
            <w:tcW w:w="8647" w:type="dxa"/>
            <w:vAlign w:val="center"/>
          </w:tcPr>
          <w:p w14:paraId="305760A1" w14:textId="77777777" w:rsidR="005C13EA" w:rsidRPr="002510F4" w:rsidRDefault="005C13EA" w:rsidP="00281329">
            <w:pPr>
              <w:pStyle w:val="Tablecontent"/>
            </w:pPr>
            <w:r>
              <w:t>Name of the driver</w:t>
            </w:r>
          </w:p>
        </w:tc>
      </w:tr>
      <w:tr w:rsidR="005C13EA" w:rsidRPr="00E51A31" w14:paraId="0CE95F27" w14:textId="77777777" w:rsidTr="00281329">
        <w:tc>
          <w:tcPr>
            <w:tcW w:w="1843" w:type="dxa"/>
            <w:shd w:val="clear" w:color="auto" w:fill="F2F2F2" w:themeFill="background1" w:themeFillShade="F2"/>
          </w:tcPr>
          <w:p w14:paraId="06AF2D46" w14:textId="77777777" w:rsidR="005C13EA" w:rsidRPr="002510F4" w:rsidRDefault="005C13EA" w:rsidP="00281329">
            <w:pPr>
              <w:pStyle w:val="Tablecontent"/>
            </w:pPr>
            <w:r w:rsidRPr="00FE361A">
              <w:t>STATE</w:t>
            </w:r>
          </w:p>
        </w:tc>
        <w:tc>
          <w:tcPr>
            <w:tcW w:w="8647" w:type="dxa"/>
            <w:vAlign w:val="center"/>
          </w:tcPr>
          <w:p w14:paraId="09689A05" w14:textId="77777777" w:rsidR="005C13EA" w:rsidRPr="002510F4" w:rsidRDefault="005C13EA" w:rsidP="00281329">
            <w:pPr>
              <w:pStyle w:val="Tablecontent"/>
            </w:pPr>
            <w:r>
              <w:t>Active or down</w:t>
            </w:r>
          </w:p>
        </w:tc>
      </w:tr>
      <w:tr w:rsidR="005C13EA" w:rsidRPr="00E51A31" w14:paraId="603E1D83" w14:textId="77777777" w:rsidTr="00281329">
        <w:tc>
          <w:tcPr>
            <w:tcW w:w="1843" w:type="dxa"/>
            <w:shd w:val="clear" w:color="auto" w:fill="F2F2F2" w:themeFill="background1" w:themeFillShade="F2"/>
          </w:tcPr>
          <w:p w14:paraId="6FF40A85" w14:textId="77777777" w:rsidR="005C13EA" w:rsidRPr="002510F4" w:rsidRDefault="005C13EA" w:rsidP="00281329">
            <w:pPr>
              <w:pStyle w:val="Tablecontent"/>
            </w:pPr>
            <w:r w:rsidRPr="00FE361A">
              <w:t>TEAM-PNIC</w:t>
            </w:r>
          </w:p>
        </w:tc>
        <w:tc>
          <w:tcPr>
            <w:tcW w:w="8647" w:type="dxa"/>
            <w:vAlign w:val="center"/>
          </w:tcPr>
          <w:p w14:paraId="004488BB" w14:textId="77777777" w:rsidR="005C13EA" w:rsidRPr="002510F4" w:rsidRDefault="005C13EA" w:rsidP="00281329">
            <w:pPr>
              <w:pStyle w:val="Tablecontent"/>
            </w:pPr>
            <w:r>
              <w:t>The physical Network Interface Card that the RDMA adapter is paired with.</w:t>
            </w:r>
          </w:p>
        </w:tc>
      </w:tr>
    </w:tbl>
    <w:p w14:paraId="4D8736C4" w14:textId="559A6BC0" w:rsidR="00366FA1" w:rsidRPr="00366FA1" w:rsidRDefault="00637F97" w:rsidP="00366FA1">
      <w:pPr>
        <w:pStyle w:val="Heading3"/>
      </w:pPr>
      <w:r>
        <w:t>Capacit</w:t>
      </w:r>
      <w:r w:rsidR="00EF1489">
        <w:t>y</w:t>
      </w:r>
    </w:p>
    <w:p w14:paraId="78C01BA7" w14:textId="6560A1AA" w:rsidR="004F522E" w:rsidRDefault="00677510" w:rsidP="00677510">
      <w:pPr>
        <w:rPr>
          <w:lang w:val="en-GB"/>
        </w:rPr>
      </w:pPr>
      <w:r>
        <w:rPr>
          <w:lang w:val="en-GB"/>
        </w:rPr>
        <w:t xml:space="preserve">This is often misunderstood. Both the supply side and the demand side are </w:t>
      </w:r>
      <w:r w:rsidR="00A108E0">
        <w:rPr>
          <w:lang w:val="en-GB"/>
        </w:rPr>
        <w:t>complex</w:t>
      </w:r>
      <w:r w:rsidR="004F522E">
        <w:rPr>
          <w:lang w:val="en-GB"/>
        </w:rPr>
        <w:t>.</w:t>
      </w:r>
      <w:r w:rsidR="00A108E0">
        <w:rPr>
          <w:lang w:val="en-GB"/>
        </w:rPr>
        <w:t xml:space="preserve"> </w:t>
      </w:r>
      <w:r w:rsidR="004F522E">
        <w:rPr>
          <w:lang w:val="en-GB"/>
        </w:rPr>
        <w:t>CPU and memory also ha</w:t>
      </w:r>
      <w:r w:rsidR="00A108E0">
        <w:rPr>
          <w:lang w:val="en-GB"/>
        </w:rPr>
        <w:t>ve</w:t>
      </w:r>
      <w:r w:rsidR="004F522E">
        <w:rPr>
          <w:lang w:val="en-GB"/>
        </w:rPr>
        <w:t xml:space="preserve"> different formula</w:t>
      </w:r>
      <w:r w:rsidR="00A108E0">
        <w:rPr>
          <w:lang w:val="en-GB"/>
        </w:rPr>
        <w:t>.</w:t>
      </w:r>
      <w:r w:rsidR="004C74D0">
        <w:rPr>
          <w:lang w:val="en-GB"/>
        </w:rPr>
        <w:t xml:space="preserve"> The</w:t>
      </w:r>
      <w:r w:rsidR="005C0FA9">
        <w:rPr>
          <w:lang w:val="en-GB"/>
        </w:rPr>
        <w:t xml:space="preserve">re are actually </w:t>
      </w:r>
      <w:r w:rsidR="004C74D0">
        <w:rPr>
          <w:lang w:val="en-GB"/>
        </w:rPr>
        <w:t>12 different metrics</w:t>
      </w:r>
      <w:r w:rsidR="00515264">
        <w:rPr>
          <w:lang w:val="en-GB"/>
        </w:rPr>
        <w:t>.</w:t>
      </w:r>
    </w:p>
    <w:p w14:paraId="0F023600" w14:textId="77777777" w:rsidR="004C74D0" w:rsidRDefault="004C74D0" w:rsidP="004C74D0">
      <w:pPr>
        <w:pStyle w:val="BeforeTable"/>
        <w:rPr>
          <w:lang w:val="en-GB"/>
        </w:rPr>
      </w:pPr>
    </w:p>
    <w:tbl>
      <w:tblPr>
        <w:tblStyle w:val="TableGrid"/>
        <w:tblW w:w="10571"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260"/>
        <w:gridCol w:w="1800"/>
        <w:gridCol w:w="3330"/>
        <w:gridCol w:w="4181"/>
      </w:tblGrid>
      <w:tr w:rsidR="003313B7" w14:paraId="34AA6328" w14:textId="77777777" w:rsidTr="003313B7">
        <w:tc>
          <w:tcPr>
            <w:tcW w:w="1260" w:type="dxa"/>
            <w:shd w:val="clear" w:color="auto" w:fill="F2F2F2" w:themeFill="background1" w:themeFillShade="F2"/>
          </w:tcPr>
          <w:p w14:paraId="6F2B28F2" w14:textId="77777777" w:rsidR="003313B7" w:rsidRDefault="003313B7" w:rsidP="004C74D0">
            <w:pPr>
              <w:pStyle w:val="Tableheading"/>
            </w:pPr>
          </w:p>
        </w:tc>
        <w:tc>
          <w:tcPr>
            <w:tcW w:w="1800" w:type="dxa"/>
            <w:shd w:val="clear" w:color="auto" w:fill="F2F2F2" w:themeFill="background1" w:themeFillShade="F2"/>
          </w:tcPr>
          <w:p w14:paraId="022DB3DE" w14:textId="1CF7F2D2" w:rsidR="003313B7" w:rsidRDefault="003313B7" w:rsidP="004C74D0">
            <w:pPr>
              <w:pStyle w:val="Tableheading"/>
            </w:pPr>
          </w:p>
        </w:tc>
        <w:tc>
          <w:tcPr>
            <w:tcW w:w="3330" w:type="dxa"/>
            <w:shd w:val="clear" w:color="auto" w:fill="F2F2F2" w:themeFill="background1" w:themeFillShade="F2"/>
          </w:tcPr>
          <w:p w14:paraId="2E59F77C" w14:textId="5BE25D68" w:rsidR="003313B7" w:rsidRDefault="005C0FA9" w:rsidP="004C74D0">
            <w:pPr>
              <w:pStyle w:val="Tableheading"/>
            </w:pPr>
            <w:r>
              <w:t>Demand</w:t>
            </w:r>
          </w:p>
        </w:tc>
        <w:tc>
          <w:tcPr>
            <w:tcW w:w="4181" w:type="dxa"/>
            <w:shd w:val="clear" w:color="auto" w:fill="F2F2F2" w:themeFill="background1" w:themeFillShade="F2"/>
          </w:tcPr>
          <w:p w14:paraId="4C780D7D" w14:textId="765773BF" w:rsidR="003313B7" w:rsidRDefault="003313B7" w:rsidP="004C74D0">
            <w:pPr>
              <w:pStyle w:val="Tableheading"/>
            </w:pPr>
            <w:r>
              <w:t>Allocation</w:t>
            </w:r>
          </w:p>
        </w:tc>
      </w:tr>
      <w:tr w:rsidR="003313B7" w14:paraId="4624A8E6" w14:textId="77777777" w:rsidTr="003313B7">
        <w:tc>
          <w:tcPr>
            <w:tcW w:w="1260" w:type="dxa"/>
            <w:vMerge w:val="restart"/>
          </w:tcPr>
          <w:p w14:paraId="45603BED" w14:textId="67EE16A1" w:rsidR="003313B7" w:rsidRPr="003313B7" w:rsidRDefault="003313B7" w:rsidP="004C74D0">
            <w:pPr>
              <w:pStyle w:val="Tablecontent"/>
              <w:rPr>
                <w:b/>
                <w:bCs/>
              </w:rPr>
            </w:pPr>
            <w:r w:rsidRPr="003313B7">
              <w:rPr>
                <w:b/>
                <w:bCs/>
              </w:rPr>
              <w:t>CPU</w:t>
            </w:r>
          </w:p>
        </w:tc>
        <w:tc>
          <w:tcPr>
            <w:tcW w:w="1800" w:type="dxa"/>
          </w:tcPr>
          <w:p w14:paraId="07AABAD8" w14:textId="45BB1C48" w:rsidR="003313B7" w:rsidRDefault="003313B7" w:rsidP="004C74D0">
            <w:pPr>
              <w:pStyle w:val="Tablecontent"/>
            </w:pPr>
            <w:r>
              <w:t xml:space="preserve">Total Capacity </w:t>
            </w:r>
          </w:p>
        </w:tc>
        <w:tc>
          <w:tcPr>
            <w:tcW w:w="3330" w:type="dxa"/>
          </w:tcPr>
          <w:p w14:paraId="3BCEA49F" w14:textId="66EB98FF" w:rsidR="003313B7" w:rsidRDefault="003313B7" w:rsidP="004C74D0">
            <w:pPr>
              <w:pStyle w:val="Tablecontent"/>
            </w:pPr>
            <w:r>
              <w:t>Unit is GHz</w:t>
            </w:r>
          </w:p>
        </w:tc>
        <w:tc>
          <w:tcPr>
            <w:tcW w:w="4181" w:type="dxa"/>
          </w:tcPr>
          <w:p w14:paraId="018E2B6D" w14:textId="31C2A4AB" w:rsidR="003313B7" w:rsidRDefault="003313B7" w:rsidP="004C74D0">
            <w:pPr>
              <w:pStyle w:val="Tablecontent"/>
            </w:pPr>
            <w:r>
              <w:t xml:space="preserve">Unit is </w:t>
            </w:r>
            <w:r w:rsidR="00394C56">
              <w:t xml:space="preserve">physical </w:t>
            </w:r>
            <w:r>
              <w:t>core (not thread)</w:t>
            </w:r>
          </w:p>
        </w:tc>
      </w:tr>
      <w:tr w:rsidR="005C0FA9" w14:paraId="5D237488" w14:textId="77777777" w:rsidTr="003313B7">
        <w:tc>
          <w:tcPr>
            <w:tcW w:w="1260" w:type="dxa"/>
            <w:vMerge/>
          </w:tcPr>
          <w:p w14:paraId="616A9EDF" w14:textId="77777777" w:rsidR="005C0FA9" w:rsidRPr="003313B7" w:rsidRDefault="005C0FA9" w:rsidP="00281329">
            <w:pPr>
              <w:pStyle w:val="Tablecontent"/>
              <w:rPr>
                <w:b/>
                <w:bCs/>
              </w:rPr>
            </w:pPr>
          </w:p>
        </w:tc>
        <w:tc>
          <w:tcPr>
            <w:tcW w:w="1800" w:type="dxa"/>
          </w:tcPr>
          <w:p w14:paraId="525DB7AA" w14:textId="570F70D0" w:rsidR="005C0FA9" w:rsidRDefault="005C0FA9" w:rsidP="00281329">
            <w:pPr>
              <w:pStyle w:val="Tablecontent"/>
            </w:pPr>
            <w:r>
              <w:t>Overhead</w:t>
            </w:r>
          </w:p>
        </w:tc>
        <w:tc>
          <w:tcPr>
            <w:tcW w:w="3330" w:type="dxa"/>
          </w:tcPr>
          <w:p w14:paraId="705BC8C0" w14:textId="7C52F140" w:rsidR="005C0FA9" w:rsidRDefault="005C0FA9" w:rsidP="00281329">
            <w:pPr>
              <w:pStyle w:val="Tablecontent"/>
            </w:pPr>
            <w:r>
              <w:t>= VMkernel reservation</w:t>
            </w:r>
          </w:p>
        </w:tc>
        <w:tc>
          <w:tcPr>
            <w:tcW w:w="4181" w:type="dxa"/>
          </w:tcPr>
          <w:p w14:paraId="0C315F58" w14:textId="77777777" w:rsidR="005C0FA9" w:rsidRDefault="005C0FA9" w:rsidP="00281329">
            <w:pPr>
              <w:pStyle w:val="Tablecontent"/>
            </w:pPr>
          </w:p>
        </w:tc>
      </w:tr>
      <w:tr w:rsidR="00394C56" w14:paraId="26B9D9C4" w14:textId="77777777" w:rsidTr="003313B7">
        <w:tc>
          <w:tcPr>
            <w:tcW w:w="1260" w:type="dxa"/>
            <w:vMerge/>
          </w:tcPr>
          <w:p w14:paraId="1CF3AC09" w14:textId="77777777" w:rsidR="00394C56" w:rsidRPr="003313B7" w:rsidRDefault="00394C56" w:rsidP="00281329">
            <w:pPr>
              <w:pStyle w:val="Tablecontent"/>
              <w:rPr>
                <w:b/>
                <w:bCs/>
              </w:rPr>
            </w:pPr>
          </w:p>
        </w:tc>
        <w:tc>
          <w:tcPr>
            <w:tcW w:w="1800" w:type="dxa"/>
          </w:tcPr>
          <w:p w14:paraId="4B1B927C" w14:textId="7AE7959C" w:rsidR="00394C56" w:rsidRDefault="00394C56" w:rsidP="00281329">
            <w:pPr>
              <w:pStyle w:val="Tablecontent"/>
            </w:pPr>
            <w:r>
              <w:t>Buffer</w:t>
            </w:r>
          </w:p>
        </w:tc>
        <w:tc>
          <w:tcPr>
            <w:tcW w:w="3330" w:type="dxa"/>
          </w:tcPr>
          <w:p w14:paraId="7BCF883E" w14:textId="77777777" w:rsidR="00394C56" w:rsidRDefault="00394C56" w:rsidP="00281329">
            <w:pPr>
              <w:pStyle w:val="Tablecontent"/>
            </w:pPr>
          </w:p>
        </w:tc>
        <w:tc>
          <w:tcPr>
            <w:tcW w:w="4181" w:type="dxa"/>
          </w:tcPr>
          <w:p w14:paraId="63AAB39F" w14:textId="1F11665E" w:rsidR="00394C56" w:rsidRDefault="00394C56" w:rsidP="00281329">
            <w:pPr>
              <w:pStyle w:val="Tablecontent"/>
            </w:pPr>
          </w:p>
        </w:tc>
      </w:tr>
      <w:tr w:rsidR="003313B7" w14:paraId="03EAAF80" w14:textId="77777777" w:rsidTr="003313B7">
        <w:tc>
          <w:tcPr>
            <w:tcW w:w="1260" w:type="dxa"/>
            <w:vMerge/>
          </w:tcPr>
          <w:p w14:paraId="302721F5" w14:textId="77777777" w:rsidR="003313B7" w:rsidRPr="003313B7" w:rsidRDefault="003313B7" w:rsidP="00281329">
            <w:pPr>
              <w:pStyle w:val="Tablecontent"/>
              <w:rPr>
                <w:b/>
                <w:bCs/>
              </w:rPr>
            </w:pPr>
          </w:p>
        </w:tc>
        <w:tc>
          <w:tcPr>
            <w:tcW w:w="1800" w:type="dxa"/>
          </w:tcPr>
          <w:p w14:paraId="05F63E49" w14:textId="4CE41735" w:rsidR="003313B7" w:rsidRDefault="003313B7" w:rsidP="00281329">
            <w:pPr>
              <w:pStyle w:val="Tablecontent"/>
            </w:pPr>
            <w:r>
              <w:t xml:space="preserve">Usable Capacity </w:t>
            </w:r>
          </w:p>
        </w:tc>
        <w:tc>
          <w:tcPr>
            <w:tcW w:w="3330" w:type="dxa"/>
          </w:tcPr>
          <w:p w14:paraId="52C02859" w14:textId="27A1D880" w:rsidR="003313B7" w:rsidRDefault="003313B7" w:rsidP="00281329">
            <w:pPr>
              <w:pStyle w:val="Tablecontent"/>
            </w:pPr>
          </w:p>
        </w:tc>
        <w:tc>
          <w:tcPr>
            <w:tcW w:w="4181" w:type="dxa"/>
          </w:tcPr>
          <w:p w14:paraId="30D8B028" w14:textId="24D21506" w:rsidR="003313B7" w:rsidRDefault="003313B7" w:rsidP="00281329">
            <w:pPr>
              <w:pStyle w:val="Tablecontent"/>
            </w:pPr>
            <w:r>
              <w:t>Manual sizing of vSAN + NSX + VMkernel</w:t>
            </w:r>
          </w:p>
        </w:tc>
      </w:tr>
      <w:tr w:rsidR="003313B7" w14:paraId="5758367D" w14:textId="77777777" w:rsidTr="003313B7">
        <w:tc>
          <w:tcPr>
            <w:tcW w:w="1260" w:type="dxa"/>
            <w:vMerge/>
          </w:tcPr>
          <w:p w14:paraId="302361EA" w14:textId="77777777" w:rsidR="003313B7" w:rsidRPr="003313B7" w:rsidRDefault="003313B7" w:rsidP="00281329">
            <w:pPr>
              <w:pStyle w:val="Tablecontent"/>
              <w:rPr>
                <w:b/>
                <w:bCs/>
              </w:rPr>
            </w:pPr>
          </w:p>
        </w:tc>
        <w:tc>
          <w:tcPr>
            <w:tcW w:w="1800" w:type="dxa"/>
          </w:tcPr>
          <w:p w14:paraId="587008AD" w14:textId="58A1711E" w:rsidR="003313B7" w:rsidRDefault="004421B2" w:rsidP="00281329">
            <w:pPr>
              <w:pStyle w:val="Tablecontent"/>
            </w:pPr>
            <w:r>
              <w:t>Consumption</w:t>
            </w:r>
            <w:r w:rsidR="003313B7">
              <w:t xml:space="preserve"> </w:t>
            </w:r>
          </w:p>
        </w:tc>
        <w:tc>
          <w:tcPr>
            <w:tcW w:w="3330" w:type="dxa"/>
          </w:tcPr>
          <w:p w14:paraId="5D09B74D" w14:textId="77777777" w:rsidR="003313B7" w:rsidRDefault="003313B7" w:rsidP="00281329">
            <w:pPr>
              <w:pStyle w:val="Tablecontent"/>
            </w:pPr>
          </w:p>
        </w:tc>
        <w:tc>
          <w:tcPr>
            <w:tcW w:w="4181" w:type="dxa"/>
          </w:tcPr>
          <w:p w14:paraId="58C9F8BC" w14:textId="77777777" w:rsidR="003313B7" w:rsidRDefault="003313B7" w:rsidP="00281329">
            <w:pPr>
              <w:pStyle w:val="Tablecontent"/>
            </w:pPr>
            <w:r>
              <w:t>Configured VM vCPU</w:t>
            </w:r>
          </w:p>
        </w:tc>
      </w:tr>
      <w:tr w:rsidR="003313B7" w14:paraId="28BFB58B" w14:textId="77777777" w:rsidTr="003313B7">
        <w:tc>
          <w:tcPr>
            <w:tcW w:w="1260" w:type="dxa"/>
            <w:vMerge w:val="restart"/>
          </w:tcPr>
          <w:p w14:paraId="298D3EAB" w14:textId="6EB1B9F3" w:rsidR="003313B7" w:rsidRPr="003313B7" w:rsidRDefault="003313B7" w:rsidP="004C74D0">
            <w:pPr>
              <w:pStyle w:val="Tablecontent"/>
              <w:rPr>
                <w:b/>
                <w:bCs/>
              </w:rPr>
            </w:pPr>
            <w:r w:rsidRPr="003313B7">
              <w:rPr>
                <w:b/>
                <w:bCs/>
              </w:rPr>
              <w:t>Memory</w:t>
            </w:r>
          </w:p>
        </w:tc>
        <w:tc>
          <w:tcPr>
            <w:tcW w:w="1800" w:type="dxa"/>
          </w:tcPr>
          <w:p w14:paraId="07705128" w14:textId="426EBDB7" w:rsidR="003313B7" w:rsidRDefault="003313B7" w:rsidP="004C74D0">
            <w:pPr>
              <w:pStyle w:val="Tablecontent"/>
            </w:pPr>
            <w:r>
              <w:t xml:space="preserve">Total Capacity </w:t>
            </w:r>
          </w:p>
        </w:tc>
        <w:tc>
          <w:tcPr>
            <w:tcW w:w="7511" w:type="dxa"/>
            <w:gridSpan w:val="2"/>
          </w:tcPr>
          <w:p w14:paraId="69DB9A6A" w14:textId="5A8E7930" w:rsidR="003313B7" w:rsidRDefault="003313B7" w:rsidP="004C74D0">
            <w:pPr>
              <w:pStyle w:val="Tablecontent"/>
            </w:pPr>
            <w:r>
              <w:t>Same unit for both models, and we can and should use 1 metric only.</w:t>
            </w:r>
          </w:p>
        </w:tc>
      </w:tr>
      <w:tr w:rsidR="004421B2" w14:paraId="26CE6896" w14:textId="77777777" w:rsidTr="003313B7">
        <w:tc>
          <w:tcPr>
            <w:tcW w:w="1260" w:type="dxa"/>
            <w:vMerge/>
          </w:tcPr>
          <w:p w14:paraId="4128F8AF" w14:textId="77777777" w:rsidR="004421B2" w:rsidRPr="003313B7" w:rsidRDefault="004421B2" w:rsidP="004C74D0">
            <w:pPr>
              <w:pStyle w:val="Tablecontent"/>
              <w:rPr>
                <w:b/>
                <w:bCs/>
              </w:rPr>
            </w:pPr>
          </w:p>
        </w:tc>
        <w:tc>
          <w:tcPr>
            <w:tcW w:w="1800" w:type="dxa"/>
          </w:tcPr>
          <w:p w14:paraId="5BD92D23" w14:textId="7D32F6AE" w:rsidR="004421B2" w:rsidRDefault="004421B2" w:rsidP="004C74D0">
            <w:pPr>
              <w:pStyle w:val="Tablecontent"/>
            </w:pPr>
            <w:r>
              <w:t>Overhead</w:t>
            </w:r>
          </w:p>
        </w:tc>
        <w:tc>
          <w:tcPr>
            <w:tcW w:w="7511" w:type="dxa"/>
            <w:gridSpan w:val="2"/>
          </w:tcPr>
          <w:p w14:paraId="35A57035" w14:textId="29833CEC" w:rsidR="004421B2" w:rsidRDefault="00394C56" w:rsidP="004C74D0">
            <w:pPr>
              <w:pStyle w:val="Tablecontent"/>
            </w:pPr>
            <w:r>
              <w:t>= VMkernel reservation</w:t>
            </w:r>
          </w:p>
        </w:tc>
      </w:tr>
      <w:tr w:rsidR="003313B7" w14:paraId="53C5FF31" w14:textId="77777777" w:rsidTr="003313B7">
        <w:tc>
          <w:tcPr>
            <w:tcW w:w="1260" w:type="dxa"/>
            <w:vMerge/>
          </w:tcPr>
          <w:p w14:paraId="52B4213E" w14:textId="55490E2D" w:rsidR="003313B7" w:rsidRDefault="003313B7" w:rsidP="004C74D0">
            <w:pPr>
              <w:pStyle w:val="Tablecontent"/>
            </w:pPr>
          </w:p>
        </w:tc>
        <w:tc>
          <w:tcPr>
            <w:tcW w:w="1800" w:type="dxa"/>
          </w:tcPr>
          <w:p w14:paraId="1AB0D07F" w14:textId="35CA7403" w:rsidR="003313B7" w:rsidRDefault="003313B7" w:rsidP="004C74D0">
            <w:pPr>
              <w:pStyle w:val="Tablecontent"/>
            </w:pPr>
            <w:r>
              <w:t xml:space="preserve">Usable Capacity </w:t>
            </w:r>
          </w:p>
        </w:tc>
        <w:tc>
          <w:tcPr>
            <w:tcW w:w="3330" w:type="dxa"/>
          </w:tcPr>
          <w:p w14:paraId="0C3B4DA4" w14:textId="0B11AFD2" w:rsidR="003313B7" w:rsidRDefault="003313B7" w:rsidP="004C74D0">
            <w:pPr>
              <w:pStyle w:val="Tablecontent"/>
            </w:pPr>
          </w:p>
        </w:tc>
        <w:tc>
          <w:tcPr>
            <w:tcW w:w="4181" w:type="dxa"/>
          </w:tcPr>
          <w:p w14:paraId="5A1E3437" w14:textId="774312E6" w:rsidR="003313B7" w:rsidRDefault="003313B7" w:rsidP="004C74D0">
            <w:pPr>
              <w:pStyle w:val="Tablecontent"/>
            </w:pPr>
            <w:r>
              <w:t>Same, assuming it reflects vSAN and NSX</w:t>
            </w:r>
          </w:p>
        </w:tc>
      </w:tr>
      <w:tr w:rsidR="003313B7" w14:paraId="6B70A819" w14:textId="77777777" w:rsidTr="003313B7">
        <w:tc>
          <w:tcPr>
            <w:tcW w:w="1260" w:type="dxa"/>
            <w:vMerge/>
          </w:tcPr>
          <w:p w14:paraId="6A1D2EE5" w14:textId="77777777" w:rsidR="003313B7" w:rsidRDefault="003313B7" w:rsidP="004C74D0">
            <w:pPr>
              <w:pStyle w:val="Tablecontent"/>
            </w:pPr>
          </w:p>
        </w:tc>
        <w:tc>
          <w:tcPr>
            <w:tcW w:w="1800" w:type="dxa"/>
          </w:tcPr>
          <w:p w14:paraId="61D6E4FD" w14:textId="2FC64B55" w:rsidR="003313B7" w:rsidRDefault="004421B2" w:rsidP="004C74D0">
            <w:pPr>
              <w:pStyle w:val="Tablecontent"/>
            </w:pPr>
            <w:r>
              <w:t>Consumption</w:t>
            </w:r>
          </w:p>
        </w:tc>
        <w:tc>
          <w:tcPr>
            <w:tcW w:w="3330" w:type="dxa"/>
          </w:tcPr>
          <w:p w14:paraId="0C1BA730" w14:textId="528D5D07" w:rsidR="003313B7" w:rsidRDefault="003313B7" w:rsidP="004C74D0">
            <w:pPr>
              <w:pStyle w:val="Tablecontent"/>
            </w:pPr>
            <w:r>
              <w:t>Complex, see details below for formula</w:t>
            </w:r>
          </w:p>
        </w:tc>
        <w:tc>
          <w:tcPr>
            <w:tcW w:w="4181" w:type="dxa"/>
          </w:tcPr>
          <w:p w14:paraId="1BE997C9" w14:textId="19D7C9E5" w:rsidR="003313B7" w:rsidRDefault="003313B7" w:rsidP="004C74D0">
            <w:pPr>
              <w:pStyle w:val="Tablecontent"/>
            </w:pPr>
            <w:r>
              <w:t>Configured VM memory</w:t>
            </w:r>
          </w:p>
        </w:tc>
      </w:tr>
    </w:tbl>
    <w:p w14:paraId="078D93CD" w14:textId="77777777" w:rsidR="00760398" w:rsidRDefault="00760398" w:rsidP="00760398">
      <w:pPr>
        <w:pStyle w:val="Heading4"/>
      </w:pPr>
      <w:r>
        <w:t>CPU</w:t>
      </w:r>
    </w:p>
    <w:p w14:paraId="5D6BE53B" w14:textId="77777777" w:rsidR="00760398" w:rsidRDefault="00760398" w:rsidP="00760398">
      <w:pPr>
        <w:rPr>
          <w:lang w:val="en-GB"/>
        </w:rPr>
      </w:pPr>
      <w:r>
        <w:rPr>
          <w:lang w:val="en-GB"/>
        </w:rPr>
        <w:t xml:space="preserve">When you buy a CPU, what </w:t>
      </w:r>
      <w:r w:rsidRPr="00A54879">
        <w:rPr>
          <w:i/>
          <w:iCs/>
          <w:color w:val="FF0000"/>
          <w:lang w:val="en-GB"/>
        </w:rPr>
        <w:t>exactly</w:t>
      </w:r>
      <w:r w:rsidRPr="00A54879">
        <w:rPr>
          <w:color w:val="FF0000"/>
          <w:lang w:val="en-GB"/>
        </w:rPr>
        <w:t xml:space="preserve"> </w:t>
      </w:r>
      <w:r>
        <w:rPr>
          <w:lang w:val="en-GB"/>
        </w:rPr>
        <w:t>is the capacity?</w:t>
      </w:r>
    </w:p>
    <w:p w14:paraId="6C94AED1" w14:textId="77777777" w:rsidR="006C6326" w:rsidRDefault="006C6326" w:rsidP="006C6326">
      <w:pPr>
        <w:rPr>
          <w:lang w:val="en-GB"/>
        </w:rPr>
      </w:pPr>
      <w:r>
        <w:rPr>
          <w:lang w:val="en-GB"/>
        </w:rPr>
        <w:t>It is tricky as there are 3 factors to consider:</w:t>
      </w:r>
    </w:p>
    <w:p w14:paraId="33BD1EB5" w14:textId="77777777" w:rsidR="006C6326" w:rsidRDefault="006C6326" w:rsidP="006C6326">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80" w:firstRow="0" w:lastRow="0" w:firstColumn="1" w:lastColumn="0" w:noHBand="0" w:noVBand="1"/>
      </w:tblPr>
      <w:tblGrid>
        <w:gridCol w:w="1621"/>
        <w:gridCol w:w="4096"/>
        <w:gridCol w:w="4097"/>
      </w:tblGrid>
      <w:tr w:rsidR="006C6326" w14:paraId="39349B0D" w14:textId="77777777" w:rsidTr="001C73CF">
        <w:tc>
          <w:tcPr>
            <w:tcW w:w="1620" w:type="dxa"/>
            <w:shd w:val="clear" w:color="auto" w:fill="F2F2F2" w:themeFill="background1" w:themeFillShade="F2"/>
          </w:tcPr>
          <w:p w14:paraId="22F863C6" w14:textId="16E578FA" w:rsidR="006C6326" w:rsidRDefault="006C6326" w:rsidP="00DC031E">
            <w:pPr>
              <w:pStyle w:val="Tableheading"/>
            </w:pPr>
          </w:p>
        </w:tc>
        <w:tc>
          <w:tcPr>
            <w:tcW w:w="4096" w:type="dxa"/>
            <w:shd w:val="clear" w:color="auto" w:fill="F2F2F2" w:themeFill="background1" w:themeFillShade="F2"/>
          </w:tcPr>
          <w:p w14:paraId="2E185E46" w14:textId="5A01A941" w:rsidR="006C6326" w:rsidRDefault="001C73CF" w:rsidP="006C6326">
            <w:pPr>
              <w:pStyle w:val="Tableheading"/>
              <w:jc w:val="left"/>
            </w:pPr>
            <w:r>
              <w:t>Demand</w:t>
            </w:r>
            <w:r w:rsidR="006C6326">
              <w:t xml:space="preserve"> Model</w:t>
            </w:r>
          </w:p>
        </w:tc>
        <w:tc>
          <w:tcPr>
            <w:tcW w:w="4097" w:type="dxa"/>
            <w:tcBorders>
              <w:right w:val="nil"/>
            </w:tcBorders>
            <w:shd w:val="clear" w:color="auto" w:fill="F2F2F2" w:themeFill="background1" w:themeFillShade="F2"/>
          </w:tcPr>
          <w:p w14:paraId="77E577DF" w14:textId="446CA6B8" w:rsidR="006C6326" w:rsidRDefault="006C6326" w:rsidP="006C6326">
            <w:pPr>
              <w:pStyle w:val="Tableheading"/>
              <w:jc w:val="left"/>
            </w:pPr>
            <w:r>
              <w:t>Allocation Model</w:t>
            </w:r>
          </w:p>
        </w:tc>
      </w:tr>
      <w:tr w:rsidR="006C6326" w14:paraId="388B6907" w14:textId="77777777" w:rsidTr="001C73CF">
        <w:tc>
          <w:tcPr>
            <w:tcW w:w="1620" w:type="dxa"/>
          </w:tcPr>
          <w:p w14:paraId="322D1113" w14:textId="28554C5B" w:rsidR="006C6326" w:rsidRDefault="006C6326" w:rsidP="00DC031E">
            <w:pPr>
              <w:pStyle w:val="Tablecontent"/>
            </w:pPr>
            <w:r>
              <w:t>Unit</w:t>
            </w:r>
          </w:p>
        </w:tc>
        <w:tc>
          <w:tcPr>
            <w:tcW w:w="4096" w:type="dxa"/>
          </w:tcPr>
          <w:p w14:paraId="5CD41394" w14:textId="77777777" w:rsidR="006C6326" w:rsidRDefault="006C6326" w:rsidP="006C6326">
            <w:pPr>
              <w:pStyle w:val="Tablecontent"/>
            </w:pPr>
            <w:r>
              <w:t>GHz.</w:t>
            </w:r>
          </w:p>
          <w:p w14:paraId="05F4C718" w14:textId="101DCF97" w:rsidR="006C6326" w:rsidRDefault="006C6326" w:rsidP="006C6326">
            <w:pPr>
              <w:pStyle w:val="Tablecontent"/>
            </w:pPr>
            <w:r>
              <w:t>It brings complexity as a CPU with 28 cores at 1 GHz is not the same with a CPU with 14 cores at 2 GHz. You can’t run a 16 vCPU VM on a 14-core (assuming it has no HT). On the other hand, a CPU intensive application will prefer faster CPU.</w:t>
            </w:r>
          </w:p>
        </w:tc>
        <w:tc>
          <w:tcPr>
            <w:tcW w:w="4097" w:type="dxa"/>
            <w:tcBorders>
              <w:right w:val="nil"/>
            </w:tcBorders>
          </w:tcPr>
          <w:p w14:paraId="6D98802C" w14:textId="77777777" w:rsidR="006C6326" w:rsidRDefault="006C6326" w:rsidP="00DC031E">
            <w:pPr>
              <w:pStyle w:val="Tablecontent"/>
            </w:pPr>
            <w:r>
              <w:t>Cores.</w:t>
            </w:r>
          </w:p>
          <w:p w14:paraId="1A86983F" w14:textId="5D9D3D21" w:rsidR="006C6326" w:rsidRDefault="006C6326" w:rsidP="00DC031E">
            <w:pPr>
              <w:pStyle w:val="Tablecontent"/>
            </w:pPr>
            <w:r>
              <w:t>The speed is irrelevant.</w:t>
            </w:r>
          </w:p>
        </w:tc>
      </w:tr>
      <w:tr w:rsidR="006C6326" w14:paraId="72F4936E" w14:textId="77777777" w:rsidTr="001C73CF">
        <w:tc>
          <w:tcPr>
            <w:tcW w:w="1620" w:type="dxa"/>
          </w:tcPr>
          <w:p w14:paraId="78FF1255" w14:textId="48D970F1" w:rsidR="006C6326" w:rsidRDefault="006C6326" w:rsidP="00DC031E">
            <w:pPr>
              <w:pStyle w:val="Tablecontent"/>
            </w:pPr>
            <w:r>
              <w:rPr>
                <w:lang w:val="en-GB"/>
              </w:rPr>
              <w:t>Hyperthreading (HT)</w:t>
            </w:r>
          </w:p>
        </w:tc>
        <w:tc>
          <w:tcPr>
            <w:tcW w:w="4096" w:type="dxa"/>
          </w:tcPr>
          <w:p w14:paraId="6C6F42E2" w14:textId="722CCB2B" w:rsidR="006C6326" w:rsidRDefault="001C73CF" w:rsidP="006C6326">
            <w:pPr>
              <w:pStyle w:val="Tablecontent"/>
            </w:pPr>
            <w:r>
              <w:t>Add 25% to total capacity</w:t>
            </w:r>
            <w:r w:rsidR="00563A0E">
              <w:t>, but take note of performance impact.</w:t>
            </w:r>
          </w:p>
        </w:tc>
        <w:tc>
          <w:tcPr>
            <w:tcW w:w="4097" w:type="dxa"/>
            <w:tcBorders>
              <w:right w:val="nil"/>
            </w:tcBorders>
          </w:tcPr>
          <w:p w14:paraId="0365C99F" w14:textId="0A0295E7" w:rsidR="006C6326" w:rsidRDefault="00563A0E" w:rsidP="00DC031E">
            <w:pPr>
              <w:pStyle w:val="Tablecontent"/>
            </w:pPr>
            <w:r>
              <w:t>C</w:t>
            </w:r>
            <w:r w:rsidR="006C6326">
              <w:t>ount the threads</w:t>
            </w:r>
            <w:r>
              <w:t xml:space="preserve"> but take note of performance impact. HT </w:t>
            </w:r>
            <w:r>
              <w:rPr>
                <w:lang w:val="en-GB"/>
              </w:rPr>
              <w:t>provides 2x the number of logical processors, but it comes at a high cost. As the core is split into 2, each thread only runs at 62.5% of its potential. That’s 37.5% reduction</w:t>
            </w:r>
          </w:p>
        </w:tc>
      </w:tr>
      <w:tr w:rsidR="006C6326" w14:paraId="47B3DB6B" w14:textId="77777777" w:rsidTr="001C73CF">
        <w:tc>
          <w:tcPr>
            <w:tcW w:w="1620" w:type="dxa"/>
          </w:tcPr>
          <w:p w14:paraId="0FAA9786" w14:textId="1BDD0E29" w:rsidR="006C6326" w:rsidRDefault="003B4031" w:rsidP="00DC031E">
            <w:pPr>
              <w:pStyle w:val="Tablecontent"/>
              <w:rPr>
                <w:lang w:val="en-GB"/>
              </w:rPr>
            </w:pPr>
            <w:r>
              <w:rPr>
                <w:lang w:val="en-GB"/>
              </w:rPr>
              <w:t>Power Management</w:t>
            </w:r>
          </w:p>
        </w:tc>
        <w:tc>
          <w:tcPr>
            <w:tcW w:w="4096" w:type="dxa"/>
          </w:tcPr>
          <w:p w14:paraId="1E83BBBC" w14:textId="5CA3D907" w:rsidR="006C6326" w:rsidRDefault="003B4031" w:rsidP="006C6326">
            <w:pPr>
              <w:pStyle w:val="Tablecontent"/>
            </w:pPr>
            <w:r>
              <w:rPr>
                <w:lang w:val="en-GB"/>
              </w:rPr>
              <w:t xml:space="preserve">It dynamically increases or decreases individual cores speed. It does this in basically real time, and it varies per core. </w:t>
            </w:r>
            <w:r w:rsidRPr="00A452F2">
              <w:rPr>
                <w:lang w:val="en-GB"/>
              </w:rPr>
              <w:t>I recommend you ignore it so the Total Capacity does not become a variable</w:t>
            </w:r>
            <w:r>
              <w:rPr>
                <w:lang w:val="en-GB"/>
              </w:rPr>
              <w:t xml:space="preserve">. By fixing your capacity, </w:t>
            </w:r>
            <w:r w:rsidRPr="00A452F2">
              <w:rPr>
                <w:lang w:val="en-GB"/>
              </w:rPr>
              <w:t xml:space="preserve">you </w:t>
            </w:r>
            <w:r>
              <w:rPr>
                <w:lang w:val="en-GB"/>
              </w:rPr>
              <w:t xml:space="preserve">can </w:t>
            </w:r>
            <w:r w:rsidRPr="00A452F2">
              <w:rPr>
                <w:lang w:val="en-GB"/>
              </w:rPr>
              <w:t xml:space="preserve">see if the CPU is on Turbo Boost. The limitation of this </w:t>
            </w:r>
            <w:r>
              <w:rPr>
                <w:lang w:val="en-GB"/>
              </w:rPr>
              <w:t xml:space="preserve">approach </w:t>
            </w:r>
            <w:r w:rsidRPr="00A452F2">
              <w:rPr>
                <w:lang w:val="en-GB"/>
              </w:rPr>
              <w:t xml:space="preserve">is your demand metric </w:t>
            </w:r>
            <w:r>
              <w:rPr>
                <w:lang w:val="en-GB"/>
              </w:rPr>
              <w:t xml:space="preserve">likely </w:t>
            </w:r>
            <w:r w:rsidRPr="00A452F2">
              <w:rPr>
                <w:lang w:val="en-GB"/>
              </w:rPr>
              <w:t>exceed 100% when Turbo Boost kicks in.</w:t>
            </w:r>
            <w:r>
              <w:rPr>
                <w:lang w:val="en-GB"/>
              </w:rPr>
              <w:t xml:space="preserve"> So where do you consider this actual speed? You should consider it in cost, performance and sustainability management</w:t>
            </w:r>
          </w:p>
        </w:tc>
        <w:tc>
          <w:tcPr>
            <w:tcW w:w="4097" w:type="dxa"/>
            <w:tcBorders>
              <w:right w:val="nil"/>
            </w:tcBorders>
          </w:tcPr>
          <w:p w14:paraId="3EC5DCC9" w14:textId="1D2D722D" w:rsidR="006C6326" w:rsidRDefault="003B4031" w:rsidP="00DC031E">
            <w:pPr>
              <w:pStyle w:val="Tablecontent"/>
            </w:pPr>
            <w:r>
              <w:t>Not relevant</w:t>
            </w:r>
          </w:p>
        </w:tc>
      </w:tr>
    </w:tbl>
    <w:p w14:paraId="59524F00" w14:textId="77777777" w:rsidR="00760398" w:rsidRDefault="00760398" w:rsidP="00760398">
      <w:pPr>
        <w:pStyle w:val="Heading5"/>
      </w:pPr>
      <w:r>
        <w:t>Total Capacity</w:t>
      </w:r>
    </w:p>
    <w:p w14:paraId="45ADAAE3" w14:textId="77777777" w:rsidR="00760398" w:rsidRDefault="00760398" w:rsidP="00760398">
      <w:pPr>
        <w:rPr>
          <w:lang w:val="en-GB"/>
        </w:rPr>
      </w:pPr>
      <w:bookmarkStart w:id="133" w:name="_Hlk134350277"/>
      <w:r>
        <w:rPr>
          <w:lang w:val="en-GB"/>
        </w:rPr>
        <w:t xml:space="preserve">The good part is the above 3 factors do not alter the fact that the CPU comes with a certain </w:t>
      </w:r>
      <w:r w:rsidRPr="007E0B48">
        <w:rPr>
          <w:i/>
          <w:iCs/>
          <w:color w:val="FF0000"/>
          <w:lang w:val="en-GB"/>
        </w:rPr>
        <w:t>nominal</w:t>
      </w:r>
      <w:r w:rsidRPr="007E0B48">
        <w:rPr>
          <w:color w:val="FF0000"/>
          <w:lang w:val="en-GB"/>
        </w:rPr>
        <w:t xml:space="preserve"> </w:t>
      </w:r>
      <w:r>
        <w:rPr>
          <w:lang w:val="en-GB"/>
        </w:rPr>
        <w:t>frequency. As total capacity should be a steady number, we will take this static frequency and ignore power management.</w:t>
      </w:r>
    </w:p>
    <w:p w14:paraId="328191EB" w14:textId="77777777" w:rsidR="00760398" w:rsidRDefault="00760398" w:rsidP="00760398">
      <w:pPr>
        <w:rPr>
          <w:lang w:val="en-GB"/>
        </w:rPr>
      </w:pPr>
      <w:r>
        <w:rPr>
          <w:lang w:val="en-GB"/>
        </w:rPr>
        <w:t xml:space="preserve">Let’s take a simple example. The CPU has 4 cores, sports hyperthreading, and has 1 GHz nominal frequency (the rated speed as per specification). </w:t>
      </w:r>
    </w:p>
    <w:p w14:paraId="2FC7BAD7" w14:textId="0B968781" w:rsidR="00760398" w:rsidRDefault="00760398" w:rsidP="00760398">
      <w:pPr>
        <w:pStyle w:val="Bullet"/>
        <w:rPr>
          <w:lang w:val="en-GB"/>
        </w:rPr>
      </w:pPr>
      <w:r>
        <w:rPr>
          <w:lang w:val="en-GB"/>
        </w:rPr>
        <w:t>Each core runs at 1 GHz. If you enable HT, each core can run 2 threads, at 0.625 GHz, accounting wise. I said accounting wise as each thread actually runs at 1 GHz but at 62.5% efficiency. So you get better throughput at the expense of single thread performance.</w:t>
      </w:r>
    </w:p>
    <w:p w14:paraId="28D91E21" w14:textId="3C183752" w:rsidR="00732E7F" w:rsidRPr="00732E7F" w:rsidRDefault="00732E7F" w:rsidP="00732E7F">
      <w:pPr>
        <w:pStyle w:val="Bullet"/>
        <w:rPr>
          <w:lang w:val="en-GB"/>
        </w:rPr>
      </w:pPr>
      <w:r>
        <w:rPr>
          <w:lang w:val="en-GB"/>
        </w:rPr>
        <w:t>Each core has 1.25 GHz total capacity if you enable HT, and 1 GHz if you disable.</w:t>
      </w:r>
    </w:p>
    <w:p w14:paraId="1C57951C" w14:textId="23246FA3" w:rsidR="00760398" w:rsidRDefault="00760398" w:rsidP="00760398">
      <w:pPr>
        <w:pStyle w:val="Bullet"/>
        <w:rPr>
          <w:lang w:val="en-GB"/>
        </w:rPr>
      </w:pPr>
      <w:r>
        <w:rPr>
          <w:lang w:val="en-GB"/>
        </w:rPr>
        <w:t>It’s easier to express the above in percentage. Your 100% is 1</w:t>
      </w:r>
      <w:r w:rsidR="005459F4">
        <w:rPr>
          <w:lang w:val="en-GB"/>
        </w:rPr>
        <w:t>.25</w:t>
      </w:r>
      <w:r>
        <w:rPr>
          <w:lang w:val="en-GB"/>
        </w:rPr>
        <w:t xml:space="preserve"> GHz</w:t>
      </w:r>
      <w:r w:rsidR="005459F4">
        <w:rPr>
          <w:lang w:val="en-GB"/>
        </w:rPr>
        <w:t>. This is where it gets complex as you need to decouple capacity (space) and performance (speed)</w:t>
      </w:r>
      <w:r>
        <w:rPr>
          <w:lang w:val="en-GB"/>
        </w:rPr>
        <w:t xml:space="preserve">, because you do not have a 1.25 GHz CPU. It’s not able to run at that speed. An application expecting 1.25 GHz will not have its expectation met. </w:t>
      </w:r>
    </w:p>
    <w:p w14:paraId="67002631" w14:textId="4D61CA02" w:rsidR="00760398" w:rsidRDefault="00760398" w:rsidP="00760398">
      <w:pPr>
        <w:pStyle w:val="Bullet"/>
        <w:rPr>
          <w:lang w:val="en-GB"/>
        </w:rPr>
      </w:pPr>
      <w:r>
        <w:rPr>
          <w:lang w:val="en-GB"/>
        </w:rPr>
        <w:t xml:space="preserve">You can </w:t>
      </w:r>
      <w:r w:rsidR="005459F4">
        <w:rPr>
          <w:lang w:val="en-GB"/>
        </w:rPr>
        <w:t>run at 100% utilization</w:t>
      </w:r>
      <w:r>
        <w:rPr>
          <w:lang w:val="en-GB"/>
        </w:rPr>
        <w:t>, but at a</w:t>
      </w:r>
      <w:r w:rsidR="005459F4">
        <w:rPr>
          <w:lang w:val="en-GB"/>
        </w:rPr>
        <w:t xml:space="preserve"> high performance penalty</w:t>
      </w:r>
      <w:r>
        <w:rPr>
          <w:lang w:val="en-GB"/>
        </w:rPr>
        <w:t xml:space="preserve">. For workload where performance is highly sensitive, stop at </w:t>
      </w:r>
      <w:r w:rsidR="005459F4">
        <w:rPr>
          <w:lang w:val="en-GB"/>
        </w:rPr>
        <w:t>8</w:t>
      </w:r>
      <w:r>
        <w:rPr>
          <w:lang w:val="en-GB"/>
        </w:rPr>
        <w:t>0% (better still, track the CPU Latency counter).</w:t>
      </w:r>
    </w:p>
    <w:p w14:paraId="4768772E" w14:textId="77777777" w:rsidR="00760398" w:rsidRDefault="00760398" w:rsidP="00760398">
      <w:pPr>
        <w:rPr>
          <w:lang w:val="en-GB"/>
        </w:rPr>
      </w:pPr>
      <w:r>
        <w:rPr>
          <w:lang w:val="en-GB"/>
        </w:rPr>
        <w:lastRenderedPageBreak/>
        <w:t xml:space="preserve">So far so good? </w:t>
      </w:r>
    </w:p>
    <w:p w14:paraId="0DB0F236" w14:textId="4B8C1F52" w:rsidR="00760398" w:rsidRDefault="00760398" w:rsidP="00760398">
      <w:pPr>
        <w:rPr>
          <w:lang w:val="en-GB"/>
        </w:rPr>
      </w:pPr>
      <w:r>
        <w:rPr>
          <w:lang w:val="en-GB"/>
        </w:rPr>
        <w:t>Great, now let’s talk about</w:t>
      </w:r>
      <w:r w:rsidR="00732E7F">
        <w:rPr>
          <w:lang w:val="en-GB"/>
        </w:rPr>
        <w:t xml:space="preserve"> allocation model</w:t>
      </w:r>
      <w:r>
        <w:rPr>
          <w:lang w:val="en-GB"/>
        </w:rPr>
        <w:t>.</w:t>
      </w:r>
    </w:p>
    <w:p w14:paraId="5848B491" w14:textId="77777777" w:rsidR="00760398" w:rsidRDefault="00760398" w:rsidP="00760398">
      <w:pPr>
        <w:pStyle w:val="Bullet"/>
        <w:rPr>
          <w:lang w:val="en-GB"/>
        </w:rPr>
      </w:pPr>
      <w:r>
        <w:rPr>
          <w:lang w:val="en-GB"/>
        </w:rPr>
        <w:t xml:space="preserve">You have 4 cores, 8 threads. What’s the capacity? 4 logical CPU or 8 logical CPU? </w:t>
      </w:r>
    </w:p>
    <w:p w14:paraId="78440C4B" w14:textId="77777777" w:rsidR="00760398" w:rsidRDefault="00760398" w:rsidP="00760398">
      <w:pPr>
        <w:pStyle w:val="Bullet"/>
        <w:rPr>
          <w:lang w:val="en-GB"/>
        </w:rPr>
      </w:pPr>
      <w:r>
        <w:rPr>
          <w:lang w:val="en-GB"/>
        </w:rPr>
        <w:t>The CPU can run 8 vCPU worth of VMs concurrently. By that definition, that means you do not overcommit when you run 8 vCPU. This approach works with dual-threading core. In core with 4 or more threads, this model will not work as each thread becomes too small.</w:t>
      </w:r>
    </w:p>
    <w:p w14:paraId="65988F7B" w14:textId="77777777" w:rsidR="00760398" w:rsidRPr="0089709A" w:rsidRDefault="00760398" w:rsidP="00760398">
      <w:pPr>
        <w:pStyle w:val="Bullet"/>
        <w:rPr>
          <w:lang w:val="en-GB"/>
        </w:rPr>
      </w:pPr>
      <w:r w:rsidRPr="0089709A">
        <w:rPr>
          <w:lang w:val="en-GB"/>
        </w:rPr>
        <w:t xml:space="preserve">The VMs won’t experience CPU Ready. Sure, they will run slower but that’s a performance, and not capacity question. </w:t>
      </w:r>
      <w:r>
        <w:rPr>
          <w:lang w:val="en-GB"/>
        </w:rPr>
        <w:t xml:space="preserve">The effect </w:t>
      </w:r>
      <w:r w:rsidRPr="0089709A">
        <w:rPr>
          <w:lang w:val="en-GB"/>
        </w:rPr>
        <w:t>would be the same as having a slower hardware, as the VMs are not put in ready state.</w:t>
      </w:r>
      <w:r>
        <w:rPr>
          <w:lang w:val="en-GB"/>
        </w:rPr>
        <w:t xml:space="preserve"> </w:t>
      </w:r>
    </w:p>
    <w:p w14:paraId="28C553CD" w14:textId="77777777" w:rsidR="00760398" w:rsidRDefault="00760398" w:rsidP="00760398">
      <w:pPr>
        <w:pStyle w:val="Bullet"/>
        <w:rPr>
          <w:lang w:val="en-GB"/>
        </w:rPr>
      </w:pPr>
      <w:r>
        <w:rPr>
          <w:lang w:val="en-GB"/>
        </w:rPr>
        <w:t>Core and thread are useful in Allocation Model, where you do not care about clock speed. If you care about clock speed, you would change the VM vCPU depending on the ESXi clock speed. For example, if a 8 vCPU VM is migrated from a 1 GHz ESXi to 4 GHz ESXi, you would change the VM to 2 vCPU. You obviously don’t do this as that’s not the same thing.</w:t>
      </w:r>
    </w:p>
    <w:p w14:paraId="352CAB73" w14:textId="77777777" w:rsidR="00760398" w:rsidRDefault="00760398" w:rsidP="00760398">
      <w:pPr>
        <w:rPr>
          <w:lang w:val="en-GB"/>
        </w:rPr>
      </w:pPr>
      <w:r>
        <w:rPr>
          <w:lang w:val="en-GB"/>
        </w:rPr>
        <w:t>Recall that the CPU has 4 cores, 1 GHz nominal clock speed and sports HT.</w:t>
      </w:r>
    </w:p>
    <w:p w14:paraId="0DBA3BAA" w14:textId="77777777" w:rsidR="00760398" w:rsidRPr="00861999" w:rsidRDefault="00760398" w:rsidP="00760398">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2263"/>
        <w:gridCol w:w="1843"/>
        <w:gridCol w:w="6350"/>
      </w:tblGrid>
      <w:tr w:rsidR="00760398" w14:paraId="6253EA86" w14:textId="77777777" w:rsidTr="00281329">
        <w:tc>
          <w:tcPr>
            <w:tcW w:w="2263" w:type="dxa"/>
            <w:shd w:val="clear" w:color="auto" w:fill="F2F2F2" w:themeFill="background1" w:themeFillShade="F2"/>
          </w:tcPr>
          <w:p w14:paraId="3C8F96EA" w14:textId="77777777" w:rsidR="00760398" w:rsidRDefault="00760398" w:rsidP="00281329">
            <w:pPr>
              <w:pStyle w:val="Tableheading"/>
            </w:pPr>
            <w:r>
              <w:t>Capacity Model</w:t>
            </w:r>
          </w:p>
        </w:tc>
        <w:tc>
          <w:tcPr>
            <w:tcW w:w="1843" w:type="dxa"/>
            <w:shd w:val="clear" w:color="auto" w:fill="F2F2F2" w:themeFill="background1" w:themeFillShade="F2"/>
          </w:tcPr>
          <w:p w14:paraId="6B9D64A6" w14:textId="77777777" w:rsidR="00760398" w:rsidRDefault="00760398" w:rsidP="00281329">
            <w:pPr>
              <w:pStyle w:val="Tableheading"/>
            </w:pPr>
            <w:r>
              <w:t>100% is</w:t>
            </w:r>
          </w:p>
        </w:tc>
        <w:tc>
          <w:tcPr>
            <w:tcW w:w="6350" w:type="dxa"/>
            <w:shd w:val="clear" w:color="auto" w:fill="F2F2F2" w:themeFill="background1" w:themeFillShade="F2"/>
          </w:tcPr>
          <w:p w14:paraId="102B25C0" w14:textId="77777777" w:rsidR="00760398" w:rsidRDefault="00760398" w:rsidP="00281329">
            <w:pPr>
              <w:pStyle w:val="Tableheading"/>
            </w:pPr>
            <w:r>
              <w:t>Things to note</w:t>
            </w:r>
          </w:p>
        </w:tc>
      </w:tr>
      <w:tr w:rsidR="00760398" w14:paraId="18D73B87" w14:textId="77777777" w:rsidTr="00281329">
        <w:tc>
          <w:tcPr>
            <w:tcW w:w="2263" w:type="dxa"/>
          </w:tcPr>
          <w:p w14:paraId="4859043A" w14:textId="77777777" w:rsidR="00760398" w:rsidRDefault="00760398" w:rsidP="00281329">
            <w:pPr>
              <w:pStyle w:val="Tablecontent"/>
            </w:pPr>
            <w:r>
              <w:t>Demand-based</w:t>
            </w:r>
          </w:p>
        </w:tc>
        <w:tc>
          <w:tcPr>
            <w:tcW w:w="1843" w:type="dxa"/>
          </w:tcPr>
          <w:p w14:paraId="1A03EDFA" w14:textId="5E7748FD" w:rsidR="00760398" w:rsidRDefault="00563A0E" w:rsidP="00281329">
            <w:pPr>
              <w:pStyle w:val="Tablecontent"/>
              <w:jc w:val="right"/>
            </w:pPr>
            <w:r>
              <w:t>5</w:t>
            </w:r>
            <w:r w:rsidR="00760398">
              <w:t xml:space="preserve"> GHz</w:t>
            </w:r>
          </w:p>
        </w:tc>
        <w:tc>
          <w:tcPr>
            <w:tcW w:w="6350" w:type="dxa"/>
          </w:tcPr>
          <w:p w14:paraId="15938731" w14:textId="3FD4EB8E" w:rsidR="001C73CF" w:rsidRDefault="00760398" w:rsidP="00281329">
            <w:pPr>
              <w:pStyle w:val="Tablecontent"/>
            </w:pPr>
            <w:r>
              <w:t xml:space="preserve">Running both threads means </w:t>
            </w:r>
            <w:r w:rsidR="005459F4">
              <w:t>1</w:t>
            </w:r>
            <w:r w:rsidR="00563A0E">
              <w:t>00</w:t>
            </w:r>
            <w:r w:rsidR="005459F4">
              <w:t xml:space="preserve">% </w:t>
            </w:r>
          </w:p>
          <w:p w14:paraId="23CD5F8C" w14:textId="3BBAB80B" w:rsidR="00760398" w:rsidRDefault="00760398" w:rsidP="00281329">
            <w:pPr>
              <w:pStyle w:val="Tablecontent"/>
            </w:pPr>
            <w:r>
              <w:t xml:space="preserve">Running </w:t>
            </w:r>
            <w:r w:rsidR="005459F4">
              <w:t xml:space="preserve">at </w:t>
            </w:r>
            <w:r w:rsidR="00563A0E">
              <w:t>8</w:t>
            </w:r>
            <w:r w:rsidR="005459F4">
              <w:t>0</w:t>
            </w:r>
            <w:r>
              <w:t xml:space="preserve">% means one of the thread is </w:t>
            </w:r>
            <w:r w:rsidR="001C73CF">
              <w:t xml:space="preserve">likely </w:t>
            </w:r>
            <w:r>
              <w:t xml:space="preserve">fully saturated while the other is </w:t>
            </w:r>
            <w:r w:rsidR="001C73CF">
              <w:t xml:space="preserve">likely </w:t>
            </w:r>
            <w:r>
              <w:t xml:space="preserve">idle. </w:t>
            </w:r>
          </w:p>
        </w:tc>
      </w:tr>
      <w:tr w:rsidR="00760398" w14:paraId="399754E6" w14:textId="77777777" w:rsidTr="00281329">
        <w:tc>
          <w:tcPr>
            <w:tcW w:w="2263" w:type="dxa"/>
          </w:tcPr>
          <w:p w14:paraId="14137054" w14:textId="77777777" w:rsidR="00760398" w:rsidRDefault="00760398" w:rsidP="00281329">
            <w:pPr>
              <w:pStyle w:val="Tablecontent"/>
            </w:pPr>
            <w:r>
              <w:t>Allocation-based</w:t>
            </w:r>
          </w:p>
        </w:tc>
        <w:tc>
          <w:tcPr>
            <w:tcW w:w="1843" w:type="dxa"/>
          </w:tcPr>
          <w:p w14:paraId="48C90887" w14:textId="77777777" w:rsidR="00760398" w:rsidRDefault="00760398" w:rsidP="00281329">
            <w:pPr>
              <w:pStyle w:val="Tablecontent"/>
              <w:jc w:val="right"/>
            </w:pPr>
            <w:r>
              <w:t>8 Logical CPU</w:t>
            </w:r>
          </w:p>
        </w:tc>
        <w:tc>
          <w:tcPr>
            <w:tcW w:w="6350" w:type="dxa"/>
          </w:tcPr>
          <w:p w14:paraId="6358FDDB" w14:textId="77777777" w:rsidR="00760398" w:rsidRDefault="00760398" w:rsidP="00281329">
            <w:pPr>
              <w:pStyle w:val="Tablecontent"/>
              <w:rPr>
                <w:lang w:val="en-GB"/>
              </w:rPr>
            </w:pPr>
            <w:r>
              <w:t>Running 8 vCPU means it’s 1:1 overcommit.</w:t>
            </w:r>
            <w:r>
              <w:rPr>
                <w:lang w:val="en-GB"/>
              </w:rPr>
              <w:t xml:space="preserve"> </w:t>
            </w:r>
          </w:p>
          <w:p w14:paraId="680F9A17" w14:textId="3A03CA41" w:rsidR="00760398" w:rsidRDefault="00760398" w:rsidP="00281329">
            <w:pPr>
              <w:pStyle w:val="Tablecontent"/>
            </w:pPr>
            <w:r>
              <w:rPr>
                <w:lang w:val="en-GB"/>
              </w:rPr>
              <w:t>BTW, this is what AWS uses. Yes, they use allocation model and not utilization model.</w:t>
            </w:r>
          </w:p>
        </w:tc>
      </w:tr>
    </w:tbl>
    <w:p w14:paraId="7DA0CEA6" w14:textId="77777777" w:rsidR="00760398" w:rsidRDefault="00760398" w:rsidP="00760398">
      <w:pPr>
        <w:pStyle w:val="BeforeTable"/>
        <w:rPr>
          <w:lang w:val="en-US"/>
        </w:rPr>
      </w:pPr>
    </w:p>
    <w:bookmarkEnd w:id="133"/>
    <w:p w14:paraId="1D24A101" w14:textId="77777777" w:rsidR="00760398" w:rsidRPr="0052140C" w:rsidRDefault="00760398" w:rsidP="00760398">
      <w:pPr>
        <w:rPr>
          <w:lang w:val="en-GB"/>
        </w:rPr>
      </w:pPr>
      <w:r>
        <w:rPr>
          <w:lang w:val="en-GB"/>
        </w:rPr>
        <w:t>You might be curious. What does vSphere Client use?</w:t>
      </w:r>
    </w:p>
    <w:p w14:paraId="21417004" w14:textId="77777777" w:rsidR="00760398" w:rsidRDefault="00760398" w:rsidP="00760398">
      <w:pPr>
        <w:rPr>
          <w:lang w:val="en-GB"/>
        </w:rPr>
      </w:pPr>
      <w:r w:rsidRPr="0052140C">
        <w:rPr>
          <w:noProof/>
          <w:lang w:val="en-GB"/>
        </w:rPr>
        <w:drawing>
          <wp:inline distT="0" distB="0" distL="0" distR="0" wp14:anchorId="7C7F08CF" wp14:editId="3081F1F9">
            <wp:extent cx="6645910" cy="1812290"/>
            <wp:effectExtent l="0" t="0" r="2540" b="0"/>
            <wp:docPr id="357815397" name="Picture 357815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2"/>
                    <a:stretch>
                      <a:fillRect/>
                    </a:stretch>
                  </pic:blipFill>
                  <pic:spPr>
                    <a:xfrm>
                      <a:off x="0" y="0"/>
                      <a:ext cx="6645910" cy="1812290"/>
                    </a:xfrm>
                    <a:prstGeom prst="rect">
                      <a:avLst/>
                    </a:prstGeom>
                  </pic:spPr>
                </pic:pic>
              </a:graphicData>
            </a:graphic>
          </wp:inline>
        </w:drawing>
      </w:r>
    </w:p>
    <w:p w14:paraId="66731C52" w14:textId="79C3963B" w:rsidR="00760398" w:rsidRDefault="00760398" w:rsidP="00760398">
      <w:pPr>
        <w:tabs>
          <w:tab w:val="right" w:pos="10466"/>
        </w:tabs>
        <w:rPr>
          <w:lang w:val="en-GB"/>
        </w:rPr>
      </w:pPr>
      <w:r>
        <w:rPr>
          <w:lang w:val="en-GB"/>
        </w:rPr>
        <w:t xml:space="preserve">If you divide 52.68 GHz by 2.2 GHz, you get 24. The box has 24 cores. It </w:t>
      </w:r>
      <w:r w:rsidR="00563A0E">
        <w:rPr>
          <w:lang w:val="en-GB"/>
        </w:rPr>
        <w:t>consists</w:t>
      </w:r>
      <w:r>
        <w:rPr>
          <w:lang w:val="en-GB"/>
        </w:rPr>
        <w:t xml:space="preserve"> of 2 sockets x 12 cores per socket</w:t>
      </w:r>
    </w:p>
    <w:p w14:paraId="691271F1" w14:textId="77777777" w:rsidR="00760398" w:rsidRDefault="00760398" w:rsidP="00760398">
      <w:pPr>
        <w:tabs>
          <w:tab w:val="right" w:pos="10466"/>
        </w:tabs>
        <w:rPr>
          <w:lang w:val="en-GB"/>
        </w:rPr>
      </w:pPr>
      <w:r>
        <w:rPr>
          <w:lang w:val="en-GB"/>
        </w:rPr>
        <w:t xml:space="preserve">The ESXi above has 48 logical processor, because HT is enabled. </w:t>
      </w:r>
    </w:p>
    <w:p w14:paraId="03AA29EF" w14:textId="77777777" w:rsidR="00760398" w:rsidRDefault="00760398" w:rsidP="00760398">
      <w:pPr>
        <w:tabs>
          <w:tab w:val="right" w:pos="10466"/>
        </w:tabs>
        <w:jc w:val="center"/>
        <w:rPr>
          <w:lang w:val="en-GB"/>
        </w:rPr>
      </w:pPr>
      <w:r w:rsidRPr="00EC5826">
        <w:rPr>
          <w:noProof/>
          <w:lang w:val="en-GB"/>
        </w:rPr>
        <w:lastRenderedPageBreak/>
        <w:drawing>
          <wp:inline distT="0" distB="0" distL="0" distR="0" wp14:anchorId="042CB234" wp14:editId="41BD3913">
            <wp:extent cx="3135600" cy="2289600"/>
            <wp:effectExtent l="0" t="0" r="8255" b="0"/>
            <wp:docPr id="357815419" name="Picture 357815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3"/>
                    <a:stretch>
                      <a:fillRect/>
                    </a:stretch>
                  </pic:blipFill>
                  <pic:spPr>
                    <a:xfrm>
                      <a:off x="0" y="0"/>
                      <a:ext cx="3135600" cy="2289600"/>
                    </a:xfrm>
                    <a:prstGeom prst="rect">
                      <a:avLst/>
                    </a:prstGeom>
                  </pic:spPr>
                </pic:pic>
              </a:graphicData>
            </a:graphic>
          </wp:inline>
        </w:drawing>
      </w:r>
    </w:p>
    <w:p w14:paraId="32176135" w14:textId="77777777" w:rsidR="00760398" w:rsidRDefault="00760398" w:rsidP="00760398">
      <w:pPr>
        <w:tabs>
          <w:tab w:val="right" w:pos="10466"/>
        </w:tabs>
        <w:rPr>
          <w:lang w:val="en-GB"/>
        </w:rPr>
      </w:pPr>
      <w:r>
        <w:rPr>
          <w:lang w:val="en-GB"/>
        </w:rPr>
        <w:t>In the vSphere API, t</w:t>
      </w:r>
      <w:r w:rsidRPr="00724ACE">
        <w:rPr>
          <w:lang w:val="en-GB"/>
        </w:rPr>
        <w:t xml:space="preserve">he </w:t>
      </w:r>
      <w:r>
        <w:rPr>
          <w:lang w:val="en-GB"/>
        </w:rPr>
        <w:t xml:space="preserve">metric for </w:t>
      </w:r>
      <w:r w:rsidRPr="00724ACE">
        <w:rPr>
          <w:lang w:val="en-GB"/>
        </w:rPr>
        <w:t xml:space="preserve">CPU capacity </w:t>
      </w:r>
      <w:r>
        <w:rPr>
          <w:lang w:val="en-GB"/>
        </w:rPr>
        <w:t xml:space="preserve">is derived from </w:t>
      </w:r>
      <w:r w:rsidRPr="00F2048D">
        <w:rPr>
          <w:color w:val="00B0F0"/>
          <w:lang w:val="en-GB"/>
        </w:rPr>
        <w:t xml:space="preserve">summary.hardware.numCpuCores </w:t>
      </w:r>
      <w:r>
        <w:rPr>
          <w:lang w:val="en-GB"/>
        </w:rPr>
        <w:t>x</w:t>
      </w:r>
      <w:r w:rsidRPr="00724ACE">
        <w:rPr>
          <w:lang w:val="en-GB"/>
        </w:rPr>
        <w:t xml:space="preserve"> </w:t>
      </w:r>
      <w:r w:rsidRPr="00F2048D">
        <w:rPr>
          <w:color w:val="00B0F0"/>
          <w:lang w:val="en-GB"/>
        </w:rPr>
        <w:t>summary.hardware.cpuMhz</w:t>
      </w:r>
      <w:r w:rsidRPr="00724ACE">
        <w:rPr>
          <w:lang w:val="en-GB"/>
        </w:rPr>
        <w:t>.</w:t>
      </w:r>
    </w:p>
    <w:p w14:paraId="45F90E9D" w14:textId="77777777" w:rsidR="00760398" w:rsidRDefault="00760398" w:rsidP="00760398">
      <w:pPr>
        <w:pStyle w:val="Heading5"/>
      </w:pPr>
      <w:r>
        <w:t>Usable Capacity</w:t>
      </w:r>
    </w:p>
    <w:p w14:paraId="7EB26723" w14:textId="76A892DA" w:rsidR="00760398" w:rsidRDefault="00760398" w:rsidP="00760398">
      <w:pPr>
        <w:rPr>
          <w:lang w:val="en-GB"/>
        </w:rPr>
      </w:pPr>
      <w:r>
        <w:rPr>
          <w:lang w:val="en-GB"/>
        </w:rPr>
        <w:t xml:space="preserve">Since we have 2 different models for total capacity, we have to have 2 </w:t>
      </w:r>
      <w:r w:rsidR="006C6326">
        <w:rPr>
          <w:lang w:val="en-GB"/>
        </w:rPr>
        <w:t>answers</w:t>
      </w:r>
      <w:r>
        <w:rPr>
          <w:lang w:val="en-GB"/>
        </w:rPr>
        <w:t xml:space="preserve"> for usable capacity.</w:t>
      </w:r>
    </w:p>
    <w:p w14:paraId="1D2B9C35" w14:textId="77777777" w:rsidR="00760398" w:rsidRPr="00861999" w:rsidRDefault="00760398" w:rsidP="00760398">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single" w:sz="4" w:space="0" w:color="D9D9D9" w:themeColor="background1" w:themeShade="D9"/>
          <w:insideH w:val="single" w:sz="4" w:space="0" w:color="D9D9D9" w:themeColor="background1" w:themeShade="D9"/>
          <w:insideV w:val="none" w:sz="0" w:space="0" w:color="auto"/>
        </w:tblBorders>
        <w:tblLook w:val="04A0" w:firstRow="1" w:lastRow="0" w:firstColumn="1" w:lastColumn="0" w:noHBand="0" w:noVBand="1"/>
      </w:tblPr>
      <w:tblGrid>
        <w:gridCol w:w="2263"/>
        <w:gridCol w:w="6350"/>
      </w:tblGrid>
      <w:tr w:rsidR="00760398" w14:paraId="39EAD016" w14:textId="77777777" w:rsidTr="00281329">
        <w:tc>
          <w:tcPr>
            <w:tcW w:w="2263" w:type="dxa"/>
            <w:shd w:val="clear" w:color="auto" w:fill="F2F2F2" w:themeFill="background1" w:themeFillShade="F2"/>
          </w:tcPr>
          <w:p w14:paraId="2D1465B6" w14:textId="77777777" w:rsidR="00760398" w:rsidRDefault="00760398" w:rsidP="00281329">
            <w:pPr>
              <w:pStyle w:val="Tableheading"/>
            </w:pPr>
            <w:r>
              <w:t>Capacity Model</w:t>
            </w:r>
          </w:p>
        </w:tc>
        <w:tc>
          <w:tcPr>
            <w:tcW w:w="6350" w:type="dxa"/>
            <w:shd w:val="clear" w:color="auto" w:fill="F2F2F2" w:themeFill="background1" w:themeFillShade="F2"/>
          </w:tcPr>
          <w:p w14:paraId="028EC366" w14:textId="77777777" w:rsidR="00760398" w:rsidRDefault="00760398" w:rsidP="00281329">
            <w:pPr>
              <w:pStyle w:val="Tableheading"/>
            </w:pPr>
            <w:r>
              <w:t>Formula</w:t>
            </w:r>
          </w:p>
        </w:tc>
      </w:tr>
      <w:tr w:rsidR="00760398" w14:paraId="66B11093" w14:textId="77777777" w:rsidTr="00281329">
        <w:tc>
          <w:tcPr>
            <w:tcW w:w="2263" w:type="dxa"/>
          </w:tcPr>
          <w:p w14:paraId="003DA009" w14:textId="77777777" w:rsidR="00760398" w:rsidRDefault="00760398" w:rsidP="00281329">
            <w:pPr>
              <w:pStyle w:val="Tablecontent"/>
            </w:pPr>
            <w:r>
              <w:t>Demand-based</w:t>
            </w:r>
          </w:p>
        </w:tc>
        <w:tc>
          <w:tcPr>
            <w:tcW w:w="6350" w:type="dxa"/>
          </w:tcPr>
          <w:p w14:paraId="57311AB0" w14:textId="0B12D41F" w:rsidR="00760398" w:rsidRDefault="00760398" w:rsidP="00281329">
            <w:pPr>
              <w:pStyle w:val="Tablecontent"/>
            </w:pPr>
            <w:r>
              <w:t xml:space="preserve">Take out </w:t>
            </w:r>
            <w:r w:rsidR="006C6326">
              <w:t>h</w:t>
            </w:r>
            <w:r>
              <w:t xml:space="preserve">ighest of VMkernel reservation and utilization. </w:t>
            </w:r>
          </w:p>
          <w:p w14:paraId="11D9AC3B" w14:textId="01526320" w:rsidR="00760398" w:rsidRDefault="00760398" w:rsidP="00281329">
            <w:pPr>
              <w:pStyle w:val="Tablecontent"/>
            </w:pPr>
            <w:r>
              <w:t>This is consistent with memory</w:t>
            </w:r>
            <w:r w:rsidR="006C6326">
              <w:t xml:space="preserve">. </w:t>
            </w:r>
          </w:p>
        </w:tc>
      </w:tr>
      <w:tr w:rsidR="00760398" w14:paraId="6C87D04E" w14:textId="77777777" w:rsidTr="00281329">
        <w:tc>
          <w:tcPr>
            <w:tcW w:w="2263" w:type="dxa"/>
          </w:tcPr>
          <w:p w14:paraId="31D5B9A2" w14:textId="77777777" w:rsidR="00760398" w:rsidRDefault="00760398" w:rsidP="00281329">
            <w:pPr>
              <w:pStyle w:val="Tablecontent"/>
            </w:pPr>
            <w:r>
              <w:t>Allocation-based</w:t>
            </w:r>
          </w:p>
        </w:tc>
        <w:tc>
          <w:tcPr>
            <w:tcW w:w="6350" w:type="dxa"/>
          </w:tcPr>
          <w:p w14:paraId="6F3F5AB5" w14:textId="77777777" w:rsidR="00760398" w:rsidRDefault="00760398" w:rsidP="00281329">
            <w:pPr>
              <w:pStyle w:val="Tablecontent"/>
            </w:pPr>
            <w:r>
              <w:t xml:space="preserve">2 – 4 cores? It all depends on the number of cores you think VMkernel + vSAN + NSX will consume. </w:t>
            </w:r>
          </w:p>
        </w:tc>
      </w:tr>
    </w:tbl>
    <w:p w14:paraId="314F3899" w14:textId="21DDBC57" w:rsidR="00760398" w:rsidRDefault="005C0FA9" w:rsidP="00760398">
      <w:pPr>
        <w:pStyle w:val="Heading5"/>
      </w:pPr>
      <w:r>
        <w:t>Demand</w:t>
      </w:r>
    </w:p>
    <w:p w14:paraId="473B0D97" w14:textId="77777777" w:rsidR="00760398" w:rsidRDefault="00760398" w:rsidP="00760398">
      <w:pPr>
        <w:rPr>
          <w:lang w:val="en-GB"/>
        </w:rPr>
      </w:pPr>
      <w:r>
        <w:rPr>
          <w:lang w:val="en-GB"/>
        </w:rPr>
        <w:t>Compare with the Demand (%) counter to see how high above 100%. The following shows it exceeds 100% but only marginally and momentarily. When Demand passes 100% it means the CPU is running hot (high power consumption) and both threads are busy. Buying more cores or higher frequency could result in the VMs running faster, assuming CPU is the gating factor.</w:t>
      </w:r>
    </w:p>
    <w:p w14:paraId="3F8522B0" w14:textId="77777777" w:rsidR="00760398" w:rsidRDefault="00760398" w:rsidP="00760398">
      <w:pPr>
        <w:rPr>
          <w:lang w:val="en-GB"/>
        </w:rPr>
      </w:pPr>
      <w:r>
        <w:rPr>
          <w:noProof/>
        </w:rPr>
        <w:lastRenderedPageBreak/>
        <w:drawing>
          <wp:inline distT="0" distB="0" distL="0" distR="0" wp14:anchorId="134372FC" wp14:editId="1D9EE24C">
            <wp:extent cx="6645910" cy="3550920"/>
            <wp:effectExtent l="0" t="0" r="2540" b="0"/>
            <wp:docPr id="606394156" name="Picture 60639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56"/>
                    <pic:cNvPicPr/>
                  </pic:nvPicPr>
                  <pic:blipFill>
                    <a:blip r:embed="rId884" cstate="print">
                      <a:extLst>
                        <a:ext uri="{28A0092B-C50C-407E-A947-70E740481C1C}">
                          <a14:useLocalDpi xmlns:a14="http://schemas.microsoft.com/office/drawing/2010/main" val="0"/>
                        </a:ext>
                      </a:extLst>
                    </a:blip>
                    <a:stretch>
                      <a:fillRect/>
                    </a:stretch>
                  </pic:blipFill>
                  <pic:spPr>
                    <a:xfrm>
                      <a:off x="0" y="0"/>
                      <a:ext cx="6645910" cy="3550920"/>
                    </a:xfrm>
                    <a:prstGeom prst="rect">
                      <a:avLst/>
                    </a:prstGeom>
                  </pic:spPr>
                </pic:pic>
              </a:graphicData>
            </a:graphic>
          </wp:inline>
        </w:drawing>
      </w:r>
    </w:p>
    <w:p w14:paraId="719082B1" w14:textId="77777777" w:rsidR="00760398" w:rsidRDefault="00760398" w:rsidP="00760398">
      <w:pPr>
        <w:pStyle w:val="Tablecontent"/>
      </w:pPr>
      <w:r>
        <w:t>I’d use Utilization (%) for aggressive and Core Utilization (%) for conservative. Frequency scaling is not relevant; hence I do not use Usage. Usage will also inflate the numbers as VMkernel will take advantage of turbo boost. The drawback of this approach is you may see a different number to what vCenter uses as it uses Usage.</w:t>
      </w:r>
    </w:p>
    <w:p w14:paraId="4FF2A873" w14:textId="77777777" w:rsidR="00760398" w:rsidRDefault="00760398" w:rsidP="00760398">
      <w:pPr>
        <w:pStyle w:val="Tablecontent"/>
      </w:pPr>
      <w:r>
        <w:t>If Core Utilization is not yet 100% or Utilization is not yet 50% then there is still physical cores available. You can go ahead deploy new VMs.</w:t>
      </w:r>
    </w:p>
    <w:p w14:paraId="2B353033" w14:textId="77777777" w:rsidR="00760398" w:rsidRDefault="00760398" w:rsidP="00760398">
      <w:pPr>
        <w:pStyle w:val="Tablecontent"/>
      </w:pPr>
      <w:r>
        <w:t>If Core Utilization = 100% (meaning Utilization is at least 50%) then review Utilization and ensure it’s not passing your threshold. I’d keep it around 80% - 90% per ESXi, meaning the level at cluster level will be lower as we have HA host.</w:t>
      </w:r>
    </w:p>
    <w:p w14:paraId="3286E800" w14:textId="77777777" w:rsidR="00760398" w:rsidRDefault="00760398" w:rsidP="00760398">
      <w:pPr>
        <w:rPr>
          <w:lang w:val="en-GB"/>
        </w:rPr>
      </w:pPr>
      <w:r>
        <w:t xml:space="preserve">If you want to see the number in GHz, then use Usage and Total Capacity. Just don’t be alarm if Usage hits 100%. Check the contention metrics, as always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t xml:space="preserve"> </w:t>
      </w:r>
    </w:p>
    <w:p w14:paraId="6313BC36" w14:textId="6EE0B2B3" w:rsidR="007B0873" w:rsidRDefault="007B0873" w:rsidP="00366FA1">
      <w:pPr>
        <w:pStyle w:val="Heading4"/>
      </w:pPr>
      <w:r>
        <w:t>Memory</w:t>
      </w:r>
    </w:p>
    <w:p w14:paraId="3D347969" w14:textId="688769D6" w:rsidR="004F522E" w:rsidRPr="004F522E" w:rsidRDefault="004F522E" w:rsidP="004F522E">
      <w:pPr>
        <w:rPr>
          <w:lang w:val="en-GB" w:eastAsia="en-SG"/>
        </w:rPr>
      </w:pPr>
      <w:r>
        <w:rPr>
          <w:lang w:val="en-GB" w:eastAsia="en-SG"/>
        </w:rPr>
        <w:t>In theory, the memory counter should be as simple as this:</w:t>
      </w:r>
    </w:p>
    <w:p w14:paraId="6B872973" w14:textId="77777777" w:rsidR="007B0873" w:rsidRPr="006B532B" w:rsidRDefault="007B0873" w:rsidP="007B0873">
      <w:pPr>
        <w:rPr>
          <w:lang w:val="en-GB"/>
        </w:rPr>
      </w:pPr>
      <w:r w:rsidRPr="006B532B">
        <w:rPr>
          <w:lang w:val="en-GB"/>
        </w:rPr>
        <w:t xml:space="preserve">Total = </w:t>
      </w:r>
      <w:r>
        <w:rPr>
          <w:lang w:val="en-GB"/>
        </w:rPr>
        <w:t xml:space="preserve">VMkernel </w:t>
      </w:r>
      <w:r w:rsidRPr="006B532B">
        <w:rPr>
          <w:lang w:val="en-GB"/>
        </w:rPr>
        <w:t>+ VM + Overhead + Free</w:t>
      </w:r>
      <w:r>
        <w:rPr>
          <w:lang w:val="en-GB"/>
        </w:rPr>
        <w:t>, where</w:t>
      </w:r>
    </w:p>
    <w:p w14:paraId="3B4E0C26" w14:textId="08E0D19F" w:rsidR="007B0873" w:rsidRDefault="007B0873" w:rsidP="007B0873">
      <w:pPr>
        <w:pStyle w:val="Bullet"/>
        <w:rPr>
          <w:lang w:val="en-GB"/>
        </w:rPr>
      </w:pPr>
      <w:r w:rsidRPr="006B532B">
        <w:rPr>
          <w:lang w:val="en-GB"/>
        </w:rPr>
        <w:t xml:space="preserve">Total is the </w:t>
      </w:r>
      <w:r>
        <w:rPr>
          <w:lang w:val="en-GB"/>
        </w:rPr>
        <w:t xml:space="preserve">hardware </w:t>
      </w:r>
      <w:r w:rsidRPr="006B532B">
        <w:rPr>
          <w:lang w:val="en-GB"/>
        </w:rPr>
        <w:t xml:space="preserve">memory </w:t>
      </w:r>
      <w:r>
        <w:rPr>
          <w:lang w:val="en-GB"/>
        </w:rPr>
        <w:t xml:space="preserve">as </w:t>
      </w:r>
      <w:r w:rsidRPr="006B532B">
        <w:rPr>
          <w:lang w:val="en-GB"/>
        </w:rPr>
        <w:t>reported by BIOS</w:t>
      </w:r>
      <w:r>
        <w:rPr>
          <w:lang w:val="en-GB"/>
        </w:rPr>
        <w:t xml:space="preserve"> to ESXi</w:t>
      </w:r>
      <w:r w:rsidR="004F522E">
        <w:rPr>
          <w:lang w:val="en-GB"/>
        </w:rPr>
        <w:t>. This is basically the physical configured memory.</w:t>
      </w:r>
    </w:p>
    <w:p w14:paraId="3C34F2E2" w14:textId="38B9965E" w:rsidR="007B0873" w:rsidRDefault="007B0873" w:rsidP="007B0873">
      <w:pPr>
        <w:pStyle w:val="Bullet"/>
        <w:rPr>
          <w:lang w:val="en-GB"/>
        </w:rPr>
      </w:pPr>
      <w:r>
        <w:rPr>
          <w:lang w:val="en-GB"/>
        </w:rPr>
        <w:t>VMkernel is the memory used by VMkernel and its loadable modules such as vSAN</w:t>
      </w:r>
      <w:r w:rsidR="004F522E">
        <w:rPr>
          <w:lang w:val="en-GB"/>
        </w:rPr>
        <w:t xml:space="preserve"> and NSX.</w:t>
      </w:r>
    </w:p>
    <w:p w14:paraId="5656A337" w14:textId="77777777" w:rsidR="007B0873" w:rsidRDefault="007B0873" w:rsidP="007B0873">
      <w:pPr>
        <w:pStyle w:val="Bullet"/>
        <w:rPr>
          <w:lang w:val="en-GB"/>
        </w:rPr>
      </w:pPr>
      <w:r>
        <w:rPr>
          <w:lang w:val="en-GB"/>
        </w:rPr>
        <w:t>VM is the memory used by VM</w:t>
      </w:r>
    </w:p>
    <w:p w14:paraId="0CBF95D2" w14:textId="7C55A45D" w:rsidR="007B0873" w:rsidRDefault="007B0873" w:rsidP="007B0873">
      <w:pPr>
        <w:pStyle w:val="Bullet"/>
        <w:rPr>
          <w:lang w:val="en-GB"/>
        </w:rPr>
      </w:pPr>
      <w:r>
        <w:rPr>
          <w:lang w:val="en-GB"/>
        </w:rPr>
        <w:t>Overhead is the hypervisor virtualization overhead on each VM. This is typically negligible.</w:t>
      </w:r>
    </w:p>
    <w:p w14:paraId="7C8F7C31" w14:textId="29B75510" w:rsidR="004F522E" w:rsidRDefault="004F522E" w:rsidP="007B0873">
      <w:pPr>
        <w:pStyle w:val="Bullet"/>
        <w:rPr>
          <w:lang w:val="en-GB"/>
        </w:rPr>
      </w:pPr>
      <w:r>
        <w:rPr>
          <w:lang w:val="en-GB"/>
        </w:rPr>
        <w:t>Free is not yet used.</w:t>
      </w:r>
    </w:p>
    <w:p w14:paraId="6E1A9478" w14:textId="5D021EED" w:rsidR="000F10E1" w:rsidRDefault="000F10E1" w:rsidP="000F10E1">
      <w:pPr>
        <w:pStyle w:val="Heading5"/>
      </w:pPr>
      <w:r>
        <w:lastRenderedPageBreak/>
        <w:t>Capacity</w:t>
      </w:r>
    </w:p>
    <w:p w14:paraId="18CEAB19" w14:textId="18FCB1AB" w:rsidR="004C74D0" w:rsidRDefault="004C74D0" w:rsidP="000F10E1">
      <w:pPr>
        <w:rPr>
          <w:lang w:val="en-GB"/>
        </w:rPr>
      </w:pPr>
      <w:r>
        <w:rPr>
          <w:lang w:val="en-GB"/>
        </w:rPr>
        <w:t xml:space="preserve">The </w:t>
      </w:r>
      <w:r w:rsidRPr="00AC125F">
        <w:rPr>
          <w:color w:val="00B0F0"/>
          <w:lang w:val="en-GB"/>
        </w:rPr>
        <w:t>total capacity</w:t>
      </w:r>
      <w:r>
        <w:rPr>
          <w:lang w:val="en-GB"/>
        </w:rPr>
        <w:t xml:space="preserve"> is the configured memory. You can use this number for both </w:t>
      </w:r>
      <w:r w:rsidR="00760398">
        <w:rPr>
          <w:lang w:val="en-GB"/>
        </w:rPr>
        <w:t>utilization model</w:t>
      </w:r>
      <w:r>
        <w:rPr>
          <w:lang w:val="en-GB"/>
        </w:rPr>
        <w:t xml:space="preserve"> and allocation model. </w:t>
      </w:r>
    </w:p>
    <w:p w14:paraId="1D05EB91" w14:textId="28C0E8E6" w:rsidR="00AC125F" w:rsidRDefault="00AC125F" w:rsidP="000F10E1">
      <w:pPr>
        <w:rPr>
          <w:lang w:val="en-GB"/>
        </w:rPr>
      </w:pPr>
      <w:r>
        <w:rPr>
          <w:lang w:val="en-GB"/>
        </w:rPr>
        <w:t xml:space="preserve">The </w:t>
      </w:r>
      <w:r w:rsidRPr="00AC125F">
        <w:rPr>
          <w:color w:val="00B0F0"/>
          <w:lang w:val="en-GB"/>
        </w:rPr>
        <w:t xml:space="preserve">usable capacity </w:t>
      </w:r>
      <w:r>
        <w:rPr>
          <w:lang w:val="en-GB"/>
        </w:rPr>
        <w:t xml:space="preserve">though, is tricky. </w:t>
      </w:r>
    </w:p>
    <w:p w14:paraId="0CBEBAB4" w14:textId="114ED85A" w:rsidR="000F10E1" w:rsidRPr="00973F35" w:rsidRDefault="000F10E1" w:rsidP="000F10E1">
      <w:pPr>
        <w:rPr>
          <w:lang w:val="en-GB"/>
        </w:rPr>
      </w:pPr>
      <w:r>
        <w:rPr>
          <w:lang w:val="en-GB"/>
        </w:rPr>
        <w:t>You can’t ignore VMkernel as it does consume resources. It’s also you size your ESXi especially when you plan to have vSAN and NSX.</w:t>
      </w:r>
    </w:p>
    <w:p w14:paraId="0C0D4FA7" w14:textId="77777777" w:rsidR="000F10E1" w:rsidRDefault="000F10E1" w:rsidP="000F10E1">
      <w:pPr>
        <w:pStyle w:val="Code"/>
      </w:pPr>
      <w:r>
        <w:t>ESXi Usable Capacity = Total physical capacity – VMkernel reservation</w:t>
      </w:r>
    </w:p>
    <w:p w14:paraId="5BE3ECFC" w14:textId="434C356D" w:rsidR="00364A41" w:rsidRDefault="00364A41" w:rsidP="000F10E1">
      <w:r>
        <w:t>Using the actual metrics name in Aria Operations:</w:t>
      </w:r>
    </w:p>
    <w:p w14:paraId="5BC6CCDD" w14:textId="6D7A2503" w:rsidR="00364A41" w:rsidRDefault="00364A41" w:rsidP="00364A41">
      <w:pPr>
        <w:pStyle w:val="Code"/>
      </w:pPr>
      <w:r>
        <w:t>Capacity Available to VMs = Total Capacity - ESX System Usage</w:t>
      </w:r>
    </w:p>
    <w:p w14:paraId="6834751A" w14:textId="169C3D62" w:rsidR="00364A41" w:rsidRDefault="00364A41" w:rsidP="00364A41">
      <w:pPr>
        <w:rPr>
          <w:lang w:val="en-GB"/>
        </w:rPr>
      </w:pPr>
      <w:r>
        <w:rPr>
          <w:lang w:val="en-GB"/>
        </w:rPr>
        <w:t>Ju</w:t>
      </w:r>
      <w:r w:rsidR="0005267C">
        <w:rPr>
          <w:lang w:val="en-GB"/>
        </w:rPr>
        <w:t>st in case you’re wondering, t</w:t>
      </w:r>
      <w:r>
        <w:rPr>
          <w:lang w:val="en-GB"/>
        </w:rPr>
        <w:t>he name ESX System Usage is a legacy name</w:t>
      </w:r>
      <w:r w:rsidR="0005267C">
        <w:rPr>
          <w:lang w:val="en-GB"/>
        </w:rPr>
        <w:t xml:space="preserve"> </w:t>
      </w:r>
      <w:r w:rsidR="0005267C" w:rsidRPr="0005267C">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r w:rsidR="0005267C">
        <w:rPr>
          <w:lang w:val="en-GB"/>
        </w:rPr>
        <w:t xml:space="preserve"> </w:t>
      </w:r>
    </w:p>
    <w:p w14:paraId="45D75D24" w14:textId="402B658F" w:rsidR="0090493F" w:rsidRDefault="000F10E1" w:rsidP="000F10E1">
      <w:r>
        <w:t xml:space="preserve">Since you take the VMkernel reservation from the usable capacity, you need to take it out from the demand side to prevent double deduction. </w:t>
      </w:r>
    </w:p>
    <w:p w14:paraId="75B57F59" w14:textId="02EE0DD9" w:rsidR="000F10E1" w:rsidRDefault="0090493F" w:rsidP="000F10E1">
      <w:r>
        <w:t>W</w:t>
      </w:r>
      <w:r w:rsidR="000F10E1">
        <w:t xml:space="preserve">hat if the usage exceeds reservation? We need to account for this extra. </w:t>
      </w:r>
      <w:r>
        <w:t>This is a rare occurrence. Since usable capacity metric should be stable for ease of planning, we will account for this in the demand metric. It’s also the right thing to place as when usage is higher than reservation, you want to show a higher demand.</w:t>
      </w:r>
    </w:p>
    <w:p w14:paraId="634FFA5B" w14:textId="2032C006" w:rsidR="000F10E1" w:rsidRDefault="00DC35BE" w:rsidP="000F10E1">
      <w:pPr>
        <w:pStyle w:val="Heading5"/>
      </w:pPr>
      <w:r>
        <w:t>Demand</w:t>
      </w:r>
    </w:p>
    <w:p w14:paraId="2F1891BF" w14:textId="2B6853B5" w:rsidR="000F10E1" w:rsidRDefault="000F10E1" w:rsidP="000F10E1">
      <w:pPr>
        <w:rPr>
          <w:lang w:val="en-GB"/>
        </w:rPr>
      </w:pPr>
      <w:r>
        <w:rPr>
          <w:lang w:val="en-GB"/>
        </w:rPr>
        <w:t xml:space="preserve">Unlike CPU, there is no metric for memory demand from vSphere that you can use right away. </w:t>
      </w:r>
    </w:p>
    <w:p w14:paraId="6308C316" w14:textId="223D04A7" w:rsidR="000F10E1" w:rsidRDefault="000F10E1" w:rsidP="000F10E1">
      <w:pPr>
        <w:rPr>
          <w:lang w:val="en-GB"/>
        </w:rPr>
      </w:pPr>
      <w:r>
        <w:rPr>
          <w:lang w:val="en-GB"/>
        </w:rPr>
        <w:t>Reservation has to be considered. You can have memory not used but if there are reservation from existing powered on VMs, you should not deploy new VM. As different VM can have different reservation and utilization, this means the total demands has to be based on Sum of Max of (VM Reservation, VM Consumption)</w:t>
      </w:r>
      <w:r w:rsidR="00D25F7D">
        <w:rPr>
          <w:lang w:val="en-GB"/>
        </w:rPr>
        <w:t>.</w:t>
      </w:r>
    </w:p>
    <w:p w14:paraId="46249C61" w14:textId="57D4FED8" w:rsidR="0090493F" w:rsidRDefault="0090493F" w:rsidP="0090493F">
      <w:pPr>
        <w:pStyle w:val="Heading6"/>
      </w:pPr>
      <w:r>
        <w:t>VM Demand</w:t>
      </w:r>
    </w:p>
    <w:p w14:paraId="32B1A6AF" w14:textId="71618B29" w:rsidR="000F10E1" w:rsidRDefault="000F10E1" w:rsidP="000F10E1">
      <w:pPr>
        <w:rPr>
          <w:lang w:val="en-GB"/>
        </w:rPr>
      </w:pPr>
      <w:r>
        <w:rPr>
          <w:lang w:val="en-GB"/>
        </w:rPr>
        <w:t xml:space="preserve">First, we need to calculate the demand from each VM. </w:t>
      </w:r>
    </w:p>
    <w:p w14:paraId="6454440A" w14:textId="77777777" w:rsidR="000F10E1" w:rsidRDefault="000F10E1" w:rsidP="000F10E1">
      <w:pPr>
        <w:pStyle w:val="Code"/>
      </w:pPr>
      <w:r>
        <w:t>Demand = Highest of VM Reservation and VM Utilization</w:t>
      </w:r>
    </w:p>
    <w:p w14:paraId="0FC323E1" w14:textId="6A743BAA" w:rsidR="000F10E1" w:rsidRDefault="000F10E1" w:rsidP="000F10E1">
      <w:pPr>
        <w:rPr>
          <w:lang w:val="en-GB"/>
        </w:rPr>
      </w:pPr>
      <w:r>
        <w:rPr>
          <w:lang w:val="en-GB"/>
        </w:rPr>
        <w:t xml:space="preserve">Do we include the powered off VM? </w:t>
      </w:r>
    </w:p>
    <w:p w14:paraId="4C4425F6" w14:textId="77777777" w:rsidR="000F10E1" w:rsidRDefault="000F10E1" w:rsidP="000F10E1">
      <w:pPr>
        <w:rPr>
          <w:lang w:val="en-GB"/>
        </w:rPr>
      </w:pPr>
      <w:r>
        <w:rPr>
          <w:lang w:val="en-GB"/>
        </w:rPr>
        <w:t>This is not so straight forward as the VM is already provisioned and can be turned on anytime. However, since vSphere does not consider it, then I recommend we do not for consistency.</w:t>
      </w:r>
    </w:p>
    <w:p w14:paraId="6D71232F" w14:textId="143C5AA0" w:rsidR="000F10E1" w:rsidRDefault="000F10E1" w:rsidP="000F10E1">
      <w:pPr>
        <w:rPr>
          <w:lang w:val="en-GB"/>
        </w:rPr>
      </w:pPr>
      <w:r>
        <w:rPr>
          <w:lang w:val="en-GB"/>
        </w:rPr>
        <w:t xml:space="preserve">We then sum all the powered on VMs. </w:t>
      </w:r>
    </w:p>
    <w:p w14:paraId="285FB398" w14:textId="544E1756" w:rsidR="000F10E1" w:rsidRDefault="000F10E1" w:rsidP="000F10E1">
      <w:pPr>
        <w:pStyle w:val="Code"/>
      </w:pPr>
      <w:r>
        <w:t>Total VM Demand = Sum of ( Max (VM Reservation, VM Consum</w:t>
      </w:r>
      <w:r w:rsidR="00DC35BE">
        <w:t>ption</w:t>
      </w:r>
      <w:r>
        <w:t>) )</w:t>
      </w:r>
    </w:p>
    <w:p w14:paraId="4FFA7606" w14:textId="277066AA" w:rsidR="00D25F7D" w:rsidRDefault="00D25F7D" w:rsidP="00D25F7D">
      <w:r>
        <w:t>BTW</w:t>
      </w:r>
    </w:p>
    <w:p w14:paraId="1E1F5337" w14:textId="4A32DF43" w:rsidR="00D25F7D" w:rsidRDefault="00D25F7D" w:rsidP="00D25F7D">
      <w:r>
        <w:rPr>
          <w:lang w:val="en-GB"/>
        </w:rPr>
        <w:t xml:space="preserve">Memory Workload (%) = </w:t>
      </w:r>
      <w:r w:rsidR="001E78F2" w:rsidRPr="001E78F2">
        <w:t>sum of Memory|Utilization (KB) of all VMs / Memory|Demand|Usable Capacity after HA and Buffer (KB).</w:t>
      </w:r>
    </w:p>
    <w:p w14:paraId="7A7988E2" w14:textId="2B301B8A" w:rsidR="000F10E1" w:rsidRDefault="0090493F" w:rsidP="000F10E1">
      <w:pPr>
        <w:pStyle w:val="Heading6"/>
      </w:pPr>
      <w:r>
        <w:lastRenderedPageBreak/>
        <w:t>VMkernel Demand</w:t>
      </w:r>
    </w:p>
    <w:p w14:paraId="1D3E9A4C" w14:textId="77777777" w:rsidR="0090493F" w:rsidRDefault="0090493F" w:rsidP="0090493F">
      <w:pPr>
        <w:rPr>
          <w:lang w:val="en-GB"/>
        </w:rPr>
      </w:pPr>
      <w:r>
        <w:rPr>
          <w:lang w:val="en-GB"/>
        </w:rPr>
        <w:t xml:space="preserve">Remember the corner case where VMkernel usage exceeds its reservation? </w:t>
      </w:r>
    </w:p>
    <w:p w14:paraId="6F9D5505" w14:textId="6F9E9CFF" w:rsidR="0090493F" w:rsidRPr="0090493F" w:rsidRDefault="0090493F" w:rsidP="0090493F">
      <w:pPr>
        <w:rPr>
          <w:lang w:val="en-GB"/>
        </w:rPr>
      </w:pPr>
      <w:r>
        <w:rPr>
          <w:lang w:val="en-GB"/>
        </w:rPr>
        <w:t>This is how we take care of it.</w:t>
      </w:r>
    </w:p>
    <w:p w14:paraId="23854EEC" w14:textId="194402BB" w:rsidR="000F10E1" w:rsidRPr="00BD3F18" w:rsidRDefault="000F10E1" w:rsidP="000F10E1">
      <w:pPr>
        <w:pStyle w:val="Code"/>
      </w:pPr>
      <w:r>
        <w:t xml:space="preserve">ESXi </w:t>
      </w:r>
      <w:r w:rsidR="0090493F">
        <w:t xml:space="preserve">VMkernel </w:t>
      </w:r>
      <w:r>
        <w:t>Demand = Max (VMkernel Reservation, VMkernel Usage – VMkernel Reservation)</w:t>
      </w:r>
    </w:p>
    <w:p w14:paraId="56C61C6D" w14:textId="109B0AA4" w:rsidR="000F10E1" w:rsidRDefault="0090493F" w:rsidP="0090493F">
      <w:pPr>
        <w:pStyle w:val="Heading6"/>
      </w:pPr>
      <w:r>
        <w:t>Unmet Demand</w:t>
      </w:r>
    </w:p>
    <w:p w14:paraId="7E0CB04E" w14:textId="65FFDDEE" w:rsidR="000F10E1" w:rsidRDefault="000F10E1" w:rsidP="000F10E1">
      <w:pPr>
        <w:rPr>
          <w:lang w:val="en-GB"/>
        </w:rPr>
      </w:pPr>
      <w:r w:rsidRPr="00A452F2">
        <w:rPr>
          <w:lang w:val="en-GB"/>
        </w:rPr>
        <w:t>ESXi uses 3 levels to manage</w:t>
      </w:r>
      <w:r w:rsidR="0090493F">
        <w:rPr>
          <w:lang w:val="en-GB"/>
        </w:rPr>
        <w:t xml:space="preserve"> memory</w:t>
      </w:r>
      <w:r w:rsidRPr="00A452F2">
        <w:rPr>
          <w:lang w:val="en-GB"/>
        </w:rPr>
        <w:t>:</w:t>
      </w:r>
    </w:p>
    <w:p w14:paraId="47D4A855" w14:textId="77777777" w:rsidR="000F10E1" w:rsidRDefault="000F10E1" w:rsidP="000F10E1">
      <w:pPr>
        <w:pStyle w:val="BeforeTable"/>
        <w:rPr>
          <w:lang w:val="en-GB"/>
        </w:rPr>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985"/>
        <w:gridCol w:w="8481"/>
      </w:tblGrid>
      <w:tr w:rsidR="000F10E1" w:rsidRPr="00AC1369" w14:paraId="69C52D46" w14:textId="77777777" w:rsidTr="002813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5" w:type="dxa"/>
            <w:tcBorders>
              <w:bottom w:val="none" w:sz="0" w:space="0" w:color="auto"/>
            </w:tcBorders>
          </w:tcPr>
          <w:p w14:paraId="444A926E" w14:textId="77777777" w:rsidR="000F10E1" w:rsidRPr="00AC1369" w:rsidRDefault="000F10E1" w:rsidP="00281329">
            <w:pPr>
              <w:pStyle w:val="Tablecontent"/>
            </w:pPr>
            <w:r w:rsidRPr="00A452F2">
              <w:rPr>
                <w:lang w:val="en-GB"/>
              </w:rPr>
              <w:t>TPS</w:t>
            </w:r>
          </w:p>
        </w:tc>
        <w:tc>
          <w:tcPr>
            <w:tcW w:w="8481" w:type="dxa"/>
            <w:tcBorders>
              <w:bottom w:val="none" w:sz="0" w:space="0" w:color="auto"/>
            </w:tcBorders>
          </w:tcPr>
          <w:p w14:paraId="7BE05FB9" w14:textId="77777777" w:rsidR="000F10E1" w:rsidRPr="00AC1369" w:rsidRDefault="000F10E1" w:rsidP="00281329">
            <w:pPr>
              <w:pStyle w:val="Tablecontent"/>
              <w:cnfStyle w:val="100000000000" w:firstRow="1" w:lastRow="0" w:firstColumn="0" w:lastColumn="0" w:oddVBand="0" w:evenVBand="0" w:oddHBand="0" w:evenHBand="0" w:firstRowFirstColumn="0" w:firstRowLastColumn="0" w:lastRowFirstColumn="0" w:lastRowLastColumn="0"/>
              <w:rPr>
                <w:b w:val="0"/>
                <w:bCs w:val="0"/>
              </w:rPr>
            </w:pPr>
            <w:r>
              <w:rPr>
                <w:b w:val="0"/>
                <w:bCs w:val="0"/>
              </w:rPr>
              <w:t>T</w:t>
            </w:r>
            <w:r w:rsidRPr="00AC1369">
              <w:rPr>
                <w:b w:val="0"/>
                <w:bCs w:val="0"/>
              </w:rPr>
              <w:t>his happens automatically even if ESXi has plenty of RAM as it makes sense to do so. It’s not an indicative of unmet demand. Sharing the same page is the right thing to do, and not something that should be started only when physical pages are running low</w:t>
            </w:r>
          </w:p>
        </w:tc>
      </w:tr>
      <w:tr w:rsidR="000F10E1" w:rsidRPr="00E51A31" w14:paraId="08D39296" w14:textId="77777777" w:rsidTr="00281329">
        <w:tc>
          <w:tcPr>
            <w:cnfStyle w:val="001000000000" w:firstRow="0" w:lastRow="0" w:firstColumn="1" w:lastColumn="0" w:oddVBand="0" w:evenVBand="0" w:oddHBand="0" w:evenHBand="0" w:firstRowFirstColumn="0" w:firstRowLastColumn="0" w:lastRowFirstColumn="0" w:lastRowLastColumn="0"/>
            <w:tcW w:w="1985" w:type="dxa"/>
          </w:tcPr>
          <w:p w14:paraId="4C66B404" w14:textId="77777777" w:rsidR="000F10E1" w:rsidRPr="00A452F2" w:rsidRDefault="000F10E1" w:rsidP="00281329">
            <w:pPr>
              <w:pStyle w:val="Tablecontent"/>
              <w:rPr>
                <w:lang w:val="en-GB"/>
              </w:rPr>
            </w:pPr>
            <w:r w:rsidRPr="00A452F2">
              <w:rPr>
                <w:lang w:val="en-GB"/>
              </w:rPr>
              <w:t>Balloon</w:t>
            </w:r>
          </w:p>
        </w:tc>
        <w:tc>
          <w:tcPr>
            <w:tcW w:w="8481" w:type="dxa"/>
          </w:tcPr>
          <w:p w14:paraId="1B14D246" w14:textId="51945EF8" w:rsidR="000F10E1" w:rsidRPr="00AC1369" w:rsidRDefault="000F10E1" w:rsidP="00281329">
            <w:pPr>
              <w:pStyle w:val="Tablecontent"/>
              <w:cnfStyle w:val="000000000000" w:firstRow="0" w:lastRow="0" w:firstColumn="0" w:lastColumn="0" w:oddVBand="0" w:evenVBand="0" w:oddHBand="0" w:evenHBand="0" w:firstRowFirstColumn="0" w:firstRowLastColumn="0" w:lastRowFirstColumn="0" w:lastRowLastColumn="0"/>
            </w:pPr>
            <w:r>
              <w:rPr>
                <w:lang w:val="en-GB"/>
              </w:rPr>
              <w:t>T</w:t>
            </w:r>
            <w:r w:rsidRPr="00A452F2">
              <w:rPr>
                <w:lang w:val="en-GB"/>
              </w:rPr>
              <w:t>he first sign of unmet demand. It happens proactively, before ESXi is unable to meet Demand. Ballooning reduces cache. It does not mean ESXi unable to meet Demand. Demand is not met when Contention happen. That</w:t>
            </w:r>
            <w:r w:rsidR="00364A41">
              <w:rPr>
                <w:lang w:val="en-GB"/>
              </w:rPr>
              <w:t>’</w:t>
            </w:r>
            <w:r w:rsidRPr="00A452F2">
              <w:rPr>
                <w:lang w:val="en-GB"/>
              </w:rPr>
              <w:t>s the only time it is not met</w:t>
            </w:r>
            <w:r>
              <w:rPr>
                <w:lang w:val="en-GB"/>
              </w:rPr>
              <w:t xml:space="preserve">. </w:t>
            </w:r>
          </w:p>
        </w:tc>
      </w:tr>
      <w:tr w:rsidR="000F10E1" w:rsidRPr="00E51A31" w14:paraId="2AF8D6B5" w14:textId="77777777" w:rsidTr="00281329">
        <w:tc>
          <w:tcPr>
            <w:cnfStyle w:val="001000000000" w:firstRow="0" w:lastRow="0" w:firstColumn="1" w:lastColumn="0" w:oddVBand="0" w:evenVBand="0" w:oddHBand="0" w:evenHBand="0" w:firstRowFirstColumn="0" w:firstRowLastColumn="0" w:lastRowFirstColumn="0" w:lastRowLastColumn="0"/>
            <w:tcW w:w="1985" w:type="dxa"/>
          </w:tcPr>
          <w:p w14:paraId="37AB3F16" w14:textId="77777777" w:rsidR="000F10E1" w:rsidRPr="00A452F2" w:rsidRDefault="000F10E1" w:rsidP="00281329">
            <w:pPr>
              <w:pStyle w:val="Tablecontent"/>
              <w:rPr>
                <w:lang w:val="en-GB"/>
              </w:rPr>
            </w:pPr>
            <w:r w:rsidRPr="00A452F2">
              <w:rPr>
                <w:lang w:val="en-GB"/>
              </w:rPr>
              <w:t>Compress/Swap</w:t>
            </w:r>
          </w:p>
        </w:tc>
        <w:tc>
          <w:tcPr>
            <w:tcW w:w="8481" w:type="dxa"/>
          </w:tcPr>
          <w:p w14:paraId="3FA00A7B" w14:textId="77777777" w:rsidR="000F10E1" w:rsidRDefault="000F10E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T</w:t>
            </w:r>
            <w:r w:rsidRPr="00A452F2">
              <w:rPr>
                <w:lang w:val="en-GB"/>
              </w:rPr>
              <w:t xml:space="preserve">his happens proactively too. </w:t>
            </w:r>
          </w:p>
          <w:p w14:paraId="79BEE234" w14:textId="77777777" w:rsidR="000F10E1" w:rsidRPr="00A452F2" w:rsidRDefault="000F10E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It does not mean VMs were contending for RAM. It merely means ESXi Consumed is very high. That Consumed can contain a lot of cache</w:t>
            </w:r>
          </w:p>
        </w:tc>
      </w:tr>
    </w:tbl>
    <w:p w14:paraId="2751B44C" w14:textId="77777777" w:rsidR="000F10E1" w:rsidRPr="00AC1369" w:rsidRDefault="000F10E1" w:rsidP="000F10E1">
      <w:pPr>
        <w:pStyle w:val="BeforeTable"/>
      </w:pPr>
    </w:p>
    <w:p w14:paraId="047E9996" w14:textId="77777777" w:rsidR="000F10E1" w:rsidRDefault="000F10E1" w:rsidP="000F10E1">
      <w:r>
        <w:t>Based on the above, my recommendation if you need to calculate demand is</w:t>
      </w:r>
    </w:p>
    <w:p w14:paraId="07D6B808" w14:textId="2D5D7843" w:rsidR="000F10E1" w:rsidRDefault="0090493F" w:rsidP="000F10E1">
      <w:pPr>
        <w:pStyle w:val="Code"/>
      </w:pPr>
      <w:r>
        <w:t xml:space="preserve">Unmet </w:t>
      </w:r>
      <w:r w:rsidR="000F10E1" w:rsidRPr="00A452F2">
        <w:t>Demand = Balloon</w:t>
      </w:r>
      <w:r w:rsidR="000F10E1">
        <w:t>ed</w:t>
      </w:r>
      <w:r w:rsidR="000F10E1" w:rsidRPr="00A452F2">
        <w:t xml:space="preserve"> + Compress</w:t>
      </w:r>
      <w:r w:rsidR="000F10E1">
        <w:t>ed</w:t>
      </w:r>
      <w:r w:rsidR="000F10E1" w:rsidRPr="00A452F2">
        <w:t xml:space="preserve"> + Swap</w:t>
      </w:r>
      <w:r w:rsidR="000F10E1">
        <w:t>ped + Swapped to Host Cache</w:t>
      </w:r>
    </w:p>
    <w:p w14:paraId="535EC8A5" w14:textId="77777777" w:rsidR="000F10E1" w:rsidRDefault="000F10E1" w:rsidP="000F10E1">
      <w:r>
        <w:t>Practically, I think consumed is good enough. It’s operationally hard for it to reach 99%, so in most cases the other 4 metrics are near 0.</w:t>
      </w:r>
    </w:p>
    <w:p w14:paraId="7644558E" w14:textId="77777777" w:rsidR="000F10E1" w:rsidRDefault="000F10E1" w:rsidP="000F10E1">
      <w:r>
        <w:t>Why is memory latency not included? Because that’s about speed, which is not relevant in this context.</w:t>
      </w:r>
    </w:p>
    <w:p w14:paraId="36930CD7" w14:textId="5F518DD4" w:rsidR="000F10E1" w:rsidRDefault="0090493F" w:rsidP="0090493F">
      <w:pPr>
        <w:pStyle w:val="Heading6"/>
      </w:pPr>
      <w:r>
        <w:t>Total Demand</w:t>
      </w:r>
    </w:p>
    <w:p w14:paraId="56BAED0F" w14:textId="70E45E3A" w:rsidR="0090493F" w:rsidRDefault="0090493F" w:rsidP="0090493F">
      <w:pPr>
        <w:pStyle w:val="Code"/>
      </w:pPr>
      <w:r>
        <w:t>Total ESXi Demand = Total VM Demand + VMkernel Demand + Unmet Demand</w:t>
      </w:r>
    </w:p>
    <w:p w14:paraId="416664C4" w14:textId="77CA7216" w:rsidR="00171E80" w:rsidRDefault="001406B1" w:rsidP="00B373E2">
      <w:pPr>
        <w:pStyle w:val="Heading2"/>
        <w:rPr>
          <w:lang w:val="en-GB"/>
        </w:rPr>
      </w:pPr>
      <w:r>
        <w:rPr>
          <w:lang w:val="en-GB"/>
        </w:rPr>
        <w:lastRenderedPageBreak/>
        <w:t>vSphere Cluster</w:t>
      </w:r>
    </w:p>
    <w:p w14:paraId="6B2B46A9" w14:textId="3BECEDA5" w:rsidR="004D4D3A" w:rsidRPr="004D4D3A" w:rsidRDefault="00071082" w:rsidP="00071082">
      <w:pPr>
        <w:pStyle w:val="AfterChapterTitle"/>
        <w:rPr>
          <w:lang w:val="en-GB"/>
        </w:rPr>
      </w:pPr>
      <w:r>
        <w:rPr>
          <w:lang w:val="en-GB"/>
        </w:rPr>
        <w:t xml:space="preserve">While a cluster focuses on compute, it is where VM runs and consumes network and storage. </w:t>
      </w:r>
      <w:r w:rsidR="007A6FCC">
        <mc:AlternateContent>
          <mc:Choice Requires="wps">
            <w:drawing>
              <wp:anchor distT="0" distB="0" distL="114300" distR="114300" simplePos="0" relativeHeight="251694080" behindDoc="0" locked="0" layoutInCell="1" allowOverlap="1" wp14:anchorId="3F12649D" wp14:editId="3FAAA883">
                <wp:simplePos x="0" y="0"/>
                <wp:positionH relativeFrom="column">
                  <wp:posOffset>0</wp:posOffset>
                </wp:positionH>
                <wp:positionV relativeFrom="paragraph">
                  <wp:posOffset>0</wp:posOffset>
                </wp:positionV>
                <wp:extent cx="1828800" cy="1828800"/>
                <wp:effectExtent l="0" t="0" r="0" b="0"/>
                <wp:wrapNone/>
                <wp:docPr id="1971069050" name="Text Box 197106905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11017BE" w14:textId="0D406E6D" w:rsidR="007A6FCC" w:rsidRPr="00C84219" w:rsidRDefault="007A6FCC" w:rsidP="007A6FCC">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2 Chapter </w:t>
                            </w:r>
                            <w:r w:rsidR="00487E8C">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3F12649D" id="Text Box 1971069050" o:spid="_x0000_s1036" type="#_x0000_t202" style="position:absolute;margin-left:0;margin-top:0;width:2in;height:2in;z-index:2516940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" filled="f" stroked="f">
                <v:textbox style="mso-fit-shape-to-text:t">
                  <w:txbxContent>
                    <w:p w14:paraId="411017BE" w14:textId="0D406E6D" w:rsidR="007A6FCC" w:rsidRPr="00C84219" w:rsidRDefault="007A6FCC" w:rsidP="007A6FCC">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2 Chapter </w:t>
                      </w:r>
                      <w:r w:rsidR="00487E8C">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6</w:t>
                      </w:r>
                    </w:p>
                  </w:txbxContent>
                </v:textbox>
              </v:shape>
            </w:pict>
          </mc:Fallback>
        </mc:AlternateContent>
      </w:r>
      <w:r>
        <w:rPr>
          <w:lang w:val="en-GB"/>
        </w:rPr>
        <w:t>This is why I</w:t>
      </w:r>
      <w:r w:rsidR="006A1380">
        <w:rPr>
          <w:lang w:val="en-GB"/>
        </w:rPr>
        <w:t xml:space="preserve"> see vSphere Cluster as the </w:t>
      </w:r>
      <w:r w:rsidR="001406B1">
        <w:rPr>
          <w:lang w:val="en-GB"/>
        </w:rPr>
        <w:t>smallest logical building block</w:t>
      </w:r>
      <w:r w:rsidR="006A1380">
        <w:rPr>
          <w:lang w:val="en-GB"/>
        </w:rPr>
        <w:t xml:space="preserve">. From operations management, it’s basically a single computer. </w:t>
      </w:r>
    </w:p>
    <w:p w14:paraId="61FCED21" w14:textId="7DE8FB1E" w:rsidR="00071082" w:rsidRDefault="00071082" w:rsidP="00071082">
      <w:pPr>
        <w:rPr>
          <w:lang w:val="en-GB"/>
        </w:rPr>
      </w:pPr>
      <w:r>
        <w:rPr>
          <w:lang w:val="en-GB"/>
        </w:rPr>
        <w:t>But it’s a huge and complex machine. From monitoring point of view, a cluster is more than just a group of ESXi hosts. Features such as stretched cluster, Host-VM Affinity, and resource pools complicate its capacity and performance management. Capacity adds a HA, Buffer, and allocation model, which must be accounted for in capacity management.</w:t>
      </w:r>
    </w:p>
    <w:p w14:paraId="3F21FB4E" w14:textId="7C215CB0" w:rsidR="00071082" w:rsidRDefault="00071082" w:rsidP="00071082">
      <w:pPr>
        <w:rPr>
          <w:lang w:val="en-GB"/>
        </w:rPr>
      </w:pPr>
      <w:r>
        <w:rPr>
          <w:lang w:val="en-GB"/>
        </w:rPr>
        <w:t xml:space="preserve">The above makes simple metrics such as utilization more challenging. </w:t>
      </w:r>
    </w:p>
    <w:p w14:paraId="15B2C3E5" w14:textId="77777777" w:rsidR="00071082" w:rsidRDefault="00071082" w:rsidP="00071082">
      <w:pPr>
        <w:pStyle w:val="Bullet"/>
        <w:rPr>
          <w:lang w:val="en-GB"/>
        </w:rPr>
      </w:pPr>
      <w:r>
        <w:rPr>
          <w:lang w:val="en-GB"/>
        </w:rPr>
        <w:t>Is cluster utilization simply the average of all its hosts? What if there is imbalanced? It will get buried if the cluster has many hosts.</w:t>
      </w:r>
    </w:p>
    <w:p w14:paraId="0611D288" w14:textId="77777777" w:rsidR="00071082" w:rsidRDefault="00071082" w:rsidP="00071082">
      <w:pPr>
        <w:pStyle w:val="Bullet"/>
        <w:rPr>
          <w:lang w:val="en-GB"/>
        </w:rPr>
      </w:pPr>
      <w:r>
        <w:rPr>
          <w:lang w:val="en-GB"/>
        </w:rPr>
        <w:t>What about stretched cluster? The utilization of the 2 physical sites may be intentionally unbalanced, because one acts as primary site while the other as DR site.</w:t>
      </w:r>
    </w:p>
    <w:p w14:paraId="74C65091" w14:textId="1D1EDA07" w:rsidR="00071082" w:rsidRDefault="00071082" w:rsidP="00071082">
      <w:pPr>
        <w:rPr>
          <w:lang w:val="en-GB"/>
        </w:rPr>
      </w:pPr>
      <w:r>
        <w:rPr>
          <w:lang w:val="en-GB"/>
        </w:rPr>
        <w:t xml:space="preserve">That’s why I advocate purpose-based metrics. </w:t>
      </w:r>
      <w:r w:rsidR="00E13E58">
        <w:rPr>
          <w:lang w:val="en-GB"/>
        </w:rPr>
        <w:t xml:space="preserve">They map to </w:t>
      </w:r>
      <w:r>
        <w:rPr>
          <w:lang w:val="en-GB"/>
        </w:rPr>
        <w:t xml:space="preserve">the context </w:t>
      </w:r>
      <w:r w:rsidR="00E13E58">
        <w:rPr>
          <w:lang w:val="en-GB"/>
        </w:rPr>
        <w:t xml:space="preserve">better. Use </w:t>
      </w:r>
      <w:r>
        <w:rPr>
          <w:lang w:val="en-GB"/>
        </w:rPr>
        <w:t xml:space="preserve">super metrics </w:t>
      </w:r>
      <w:r w:rsidR="00E13E58">
        <w:rPr>
          <w:lang w:val="en-GB"/>
        </w:rPr>
        <w:t xml:space="preserve">and create </w:t>
      </w:r>
      <w:r>
        <w:rPr>
          <w:lang w:val="en-GB"/>
        </w:rPr>
        <w:t xml:space="preserve">your own dashboard. </w:t>
      </w:r>
    </w:p>
    <w:p w14:paraId="453BA63F" w14:textId="68A4A681" w:rsidR="00071082" w:rsidRDefault="00071082" w:rsidP="00071082">
      <w:pPr>
        <w:pStyle w:val="Heading3"/>
      </w:pPr>
      <w:r>
        <w:lastRenderedPageBreak/>
        <w:t>Bas</w:t>
      </w:r>
      <w:r w:rsidR="00A15C40">
        <w:t>ic</w:t>
      </w:r>
      <w:r>
        <w:t xml:space="preserve"> Metrics </w:t>
      </w:r>
    </w:p>
    <w:p w14:paraId="0F12343A" w14:textId="77777777" w:rsidR="00071082" w:rsidRPr="00071082" w:rsidRDefault="00071082" w:rsidP="00071082">
      <w:pPr>
        <w:pStyle w:val="Heading4"/>
        <w:rPr>
          <w:lang w:eastAsia="en-GB"/>
        </w:rPr>
      </w:pPr>
      <w:bookmarkStart w:id="134" w:name="_Hlk133658888"/>
      <w:r>
        <w:t>HA Metrics</w:t>
      </w: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830"/>
        <w:gridCol w:w="7626"/>
      </w:tblGrid>
      <w:tr w:rsidR="00071082" w14:paraId="6602D206" w14:textId="77777777" w:rsidTr="00281329">
        <w:tc>
          <w:tcPr>
            <w:tcW w:w="2830" w:type="dxa"/>
            <w:shd w:val="clear" w:color="auto" w:fill="F2F2F2" w:themeFill="background1" w:themeFillShade="F2"/>
          </w:tcPr>
          <w:p w14:paraId="486A3F7B" w14:textId="77777777" w:rsidR="00071082" w:rsidRDefault="00071082" w:rsidP="00281329">
            <w:pPr>
              <w:pStyle w:val="Tableheading"/>
            </w:pPr>
            <w:bookmarkStart w:id="135" w:name="_Hlk133658868"/>
            <w:r>
              <w:t>Name</w:t>
            </w:r>
          </w:p>
        </w:tc>
        <w:tc>
          <w:tcPr>
            <w:tcW w:w="7626" w:type="dxa"/>
            <w:shd w:val="clear" w:color="auto" w:fill="F2F2F2" w:themeFill="background1" w:themeFillShade="F2"/>
          </w:tcPr>
          <w:p w14:paraId="2F12242E" w14:textId="77777777" w:rsidR="00071082" w:rsidRDefault="00071082" w:rsidP="00281329">
            <w:pPr>
              <w:pStyle w:val="Tableheading"/>
            </w:pPr>
            <w:r>
              <w:t>Description</w:t>
            </w:r>
          </w:p>
        </w:tc>
      </w:tr>
      <w:tr w:rsidR="00BF0E40" w14:paraId="15BEBE51" w14:textId="77777777" w:rsidTr="00281329">
        <w:tc>
          <w:tcPr>
            <w:tcW w:w="2830" w:type="dxa"/>
          </w:tcPr>
          <w:p w14:paraId="68F965D7" w14:textId="77777777" w:rsidR="00BF0E40" w:rsidRDefault="00BF0E40" w:rsidP="00281329">
            <w:pPr>
              <w:pStyle w:val="Tablecontent"/>
              <w:rPr>
                <w:lang w:val="en-GB"/>
              </w:rPr>
            </w:pPr>
            <w:r>
              <w:rPr>
                <w:lang w:val="en-GB"/>
              </w:rPr>
              <w:t>HA Enabled</w:t>
            </w:r>
          </w:p>
        </w:tc>
        <w:tc>
          <w:tcPr>
            <w:tcW w:w="7626" w:type="dxa"/>
          </w:tcPr>
          <w:p w14:paraId="42C4DF7E" w14:textId="07C39817" w:rsidR="00BF0E40" w:rsidRDefault="00BF0E40" w:rsidP="00281329">
            <w:pPr>
              <w:pStyle w:val="Tablecontent"/>
            </w:pPr>
            <w:r>
              <w:t>The most basic setting to begin HA configuration</w:t>
            </w:r>
            <w:r w:rsidR="00373919">
              <w:t>. Without this, there is no HA at all.</w:t>
            </w:r>
          </w:p>
        </w:tc>
      </w:tr>
      <w:tr w:rsidR="00373919" w14:paraId="653D2A3C" w14:textId="77777777" w:rsidTr="00281329">
        <w:tc>
          <w:tcPr>
            <w:tcW w:w="2830" w:type="dxa"/>
          </w:tcPr>
          <w:p w14:paraId="2B043097" w14:textId="77777777" w:rsidR="00373919" w:rsidRDefault="00373919" w:rsidP="00281329">
            <w:pPr>
              <w:pStyle w:val="Tablecontent"/>
              <w:rPr>
                <w:lang w:val="en-GB"/>
              </w:rPr>
            </w:pPr>
            <w:r>
              <w:rPr>
                <w:lang w:val="en-GB"/>
              </w:rPr>
              <w:t>Admission Controlled Enabled</w:t>
            </w:r>
          </w:p>
        </w:tc>
        <w:tc>
          <w:tcPr>
            <w:tcW w:w="7626" w:type="dxa"/>
          </w:tcPr>
          <w:p w14:paraId="5AC8D26B" w14:textId="674BD31E" w:rsidR="00373919" w:rsidRDefault="00373919" w:rsidP="00373919">
            <w:pPr>
              <w:pStyle w:val="Tablecontent"/>
            </w:pPr>
            <w:r>
              <w:t>The next setting, but equally important. If this is disabled, then Usable Capacity will no longer consider HA buffer. This impacts the capacity calculation.</w:t>
            </w:r>
          </w:p>
        </w:tc>
      </w:tr>
      <w:tr w:rsidR="00071082" w14:paraId="65373B82" w14:textId="77777777" w:rsidTr="00281329">
        <w:tc>
          <w:tcPr>
            <w:tcW w:w="2830" w:type="dxa"/>
          </w:tcPr>
          <w:p w14:paraId="15401DCD" w14:textId="77777777" w:rsidR="00071082" w:rsidRPr="00D93058" w:rsidRDefault="00071082" w:rsidP="00281329">
            <w:pPr>
              <w:pStyle w:val="Tablecontent"/>
            </w:pPr>
            <w:r>
              <w:rPr>
                <w:lang w:val="en-GB"/>
              </w:rPr>
              <w:t>HA Admission Control Policy</w:t>
            </w:r>
          </w:p>
        </w:tc>
        <w:tc>
          <w:tcPr>
            <w:tcW w:w="7626" w:type="dxa"/>
          </w:tcPr>
          <w:p w14:paraId="57C41158" w14:textId="37FECC32" w:rsidR="00071082" w:rsidRDefault="00071082" w:rsidP="00281329">
            <w:pPr>
              <w:pStyle w:val="Tablecontent"/>
            </w:pPr>
            <w:r>
              <w:t xml:space="preserve">The mapping between code to name is </w:t>
            </w:r>
          </w:p>
          <w:p w14:paraId="17DA4EF0" w14:textId="77777777" w:rsidR="00071082" w:rsidRDefault="00071082" w:rsidP="00281329">
            <w:pPr>
              <w:pStyle w:val="Tablecontent"/>
            </w:pPr>
            <w:r>
              <w:t>-1 = Disabled</w:t>
            </w:r>
          </w:p>
          <w:p w14:paraId="2D130B3B" w14:textId="77777777" w:rsidR="00071082" w:rsidRDefault="00071082" w:rsidP="00281329">
            <w:pPr>
              <w:pStyle w:val="Tablecontent"/>
            </w:pPr>
            <w:r>
              <w:t>0 = Cluster Resource percentage</w:t>
            </w:r>
          </w:p>
          <w:p w14:paraId="4EA29932" w14:textId="77777777" w:rsidR="00071082" w:rsidRDefault="00071082" w:rsidP="00281329">
            <w:pPr>
              <w:pStyle w:val="Tablecontent"/>
            </w:pPr>
            <w:r>
              <w:t>1 = Slot Policy (Powered-on VMs)</w:t>
            </w:r>
          </w:p>
          <w:p w14:paraId="4EDBE6EF" w14:textId="77777777" w:rsidR="00071082" w:rsidRDefault="00071082" w:rsidP="00281329">
            <w:pPr>
              <w:pStyle w:val="Tablecontent"/>
            </w:pPr>
            <w:r>
              <w:t>2 = Dedicated Failover Hosts</w:t>
            </w:r>
          </w:p>
        </w:tc>
      </w:tr>
      <w:tr w:rsidR="00071082" w14:paraId="1DF80EA1" w14:textId="77777777" w:rsidTr="00281329">
        <w:tc>
          <w:tcPr>
            <w:tcW w:w="2830" w:type="dxa"/>
          </w:tcPr>
          <w:p w14:paraId="12F2DE85" w14:textId="77777777" w:rsidR="00071082" w:rsidRDefault="00071082" w:rsidP="00281329">
            <w:pPr>
              <w:pStyle w:val="Tablecontent"/>
              <w:rPr>
                <w:lang w:val="en-GB"/>
              </w:rPr>
            </w:pPr>
            <w:r>
              <w:rPr>
                <w:lang w:val="en-GB"/>
              </w:rPr>
              <w:t>HA CPU Failover (%)</w:t>
            </w:r>
          </w:p>
        </w:tc>
        <w:tc>
          <w:tcPr>
            <w:tcW w:w="7626" w:type="dxa"/>
            <w:vMerge w:val="restart"/>
          </w:tcPr>
          <w:p w14:paraId="0A4F4433" w14:textId="68444930" w:rsidR="00071082" w:rsidRDefault="00071082" w:rsidP="00281329">
            <w:pPr>
              <w:pStyle w:val="Tablecontent"/>
            </w:pPr>
            <w:r>
              <w:t>These 2 metrics are auto-calculated to match the number of hosts</w:t>
            </w:r>
            <w:r w:rsidR="00BF0E40">
              <w:t xml:space="preserve">. It requires </w:t>
            </w:r>
            <w:r w:rsidR="00BF0E40">
              <w:rPr>
                <w:lang w:val="en-GB"/>
              </w:rPr>
              <w:t>Admission Controlled to be enabled.</w:t>
            </w:r>
          </w:p>
        </w:tc>
      </w:tr>
      <w:tr w:rsidR="00071082" w14:paraId="19A836B8" w14:textId="77777777" w:rsidTr="00281329">
        <w:tc>
          <w:tcPr>
            <w:tcW w:w="2830" w:type="dxa"/>
          </w:tcPr>
          <w:p w14:paraId="5055EF82" w14:textId="77777777" w:rsidR="00071082" w:rsidRDefault="00071082" w:rsidP="00281329">
            <w:pPr>
              <w:pStyle w:val="Tablecontent"/>
              <w:rPr>
                <w:lang w:val="en-GB"/>
              </w:rPr>
            </w:pPr>
            <w:r>
              <w:rPr>
                <w:lang w:val="en-GB"/>
              </w:rPr>
              <w:t>HA Memory Failover (%)</w:t>
            </w:r>
          </w:p>
        </w:tc>
        <w:tc>
          <w:tcPr>
            <w:tcW w:w="7626" w:type="dxa"/>
            <w:vMerge/>
          </w:tcPr>
          <w:p w14:paraId="0BD230D6" w14:textId="77777777" w:rsidR="00071082" w:rsidRDefault="00071082" w:rsidP="00281329">
            <w:pPr>
              <w:pStyle w:val="Tablecontent"/>
            </w:pPr>
          </w:p>
        </w:tc>
      </w:tr>
      <w:tr w:rsidR="00071082" w14:paraId="140E61E6" w14:textId="77777777" w:rsidTr="00281329">
        <w:tc>
          <w:tcPr>
            <w:tcW w:w="2830" w:type="dxa"/>
          </w:tcPr>
          <w:p w14:paraId="3CA8BF5A" w14:textId="77777777" w:rsidR="00071082" w:rsidRDefault="00071082" w:rsidP="00281329">
            <w:pPr>
              <w:pStyle w:val="Tablecontent"/>
              <w:rPr>
                <w:lang w:val="en-GB"/>
              </w:rPr>
            </w:pPr>
            <w:r>
              <w:rPr>
                <w:lang w:val="en-GB"/>
              </w:rPr>
              <w:t>HA Default CPU Reservation</w:t>
            </w:r>
          </w:p>
        </w:tc>
        <w:tc>
          <w:tcPr>
            <w:tcW w:w="7626" w:type="dxa"/>
          </w:tcPr>
          <w:p w14:paraId="6915E0DE" w14:textId="77777777" w:rsidR="00BF0E40" w:rsidRDefault="00BF0E40" w:rsidP="00BF0E40">
            <w:pPr>
              <w:pStyle w:val="Tablecontent"/>
            </w:pPr>
            <w:r>
              <w:t xml:space="preserve">This is ignored if </w:t>
            </w:r>
            <w:r>
              <w:rPr>
                <w:lang w:val="en-GB"/>
              </w:rPr>
              <w:t>Admission Controlled is disabled even though HA is enabled.</w:t>
            </w:r>
          </w:p>
          <w:p w14:paraId="30C1C0CE" w14:textId="77777777" w:rsidR="00071082" w:rsidRDefault="00071082" w:rsidP="00281329">
            <w:pPr>
              <w:pStyle w:val="Tablecontent"/>
            </w:pPr>
            <w:r>
              <w:t xml:space="preserve">There is no equivalent metric for memory </w:t>
            </w:r>
          </w:p>
        </w:tc>
      </w:tr>
      <w:tr w:rsidR="00071082" w14:paraId="30B48157" w14:textId="77777777" w:rsidTr="00281329">
        <w:tc>
          <w:tcPr>
            <w:tcW w:w="2830" w:type="dxa"/>
          </w:tcPr>
          <w:p w14:paraId="06CE7DD7" w14:textId="77777777" w:rsidR="00071082" w:rsidRDefault="00071082" w:rsidP="00281329">
            <w:pPr>
              <w:pStyle w:val="Tablecontent"/>
              <w:rPr>
                <w:lang w:val="en-GB"/>
              </w:rPr>
            </w:pPr>
            <w:r>
              <w:rPr>
                <w:lang w:val="en-GB"/>
              </w:rPr>
              <w:t>HA Max CPU Slot Size</w:t>
            </w:r>
          </w:p>
        </w:tc>
        <w:tc>
          <w:tcPr>
            <w:tcW w:w="7626" w:type="dxa"/>
          </w:tcPr>
          <w:p w14:paraId="3ABE46F2" w14:textId="77777777" w:rsidR="00071082" w:rsidRDefault="00071082" w:rsidP="00281329">
            <w:pPr>
              <w:pStyle w:val="Tablecontent"/>
            </w:pPr>
          </w:p>
        </w:tc>
      </w:tr>
      <w:tr w:rsidR="00071082" w14:paraId="4886322F" w14:textId="77777777" w:rsidTr="00281329">
        <w:tc>
          <w:tcPr>
            <w:tcW w:w="2830" w:type="dxa"/>
          </w:tcPr>
          <w:p w14:paraId="17D2AEC4" w14:textId="77777777" w:rsidR="00071082" w:rsidRDefault="00071082" w:rsidP="00281329">
            <w:pPr>
              <w:pStyle w:val="Tablecontent"/>
              <w:rPr>
                <w:lang w:val="en-GB"/>
              </w:rPr>
            </w:pPr>
            <w:r>
              <w:rPr>
                <w:lang w:val="en-GB"/>
              </w:rPr>
              <w:t>HA Max Memory Slot size</w:t>
            </w:r>
          </w:p>
        </w:tc>
        <w:tc>
          <w:tcPr>
            <w:tcW w:w="7626" w:type="dxa"/>
          </w:tcPr>
          <w:p w14:paraId="0887459C" w14:textId="77777777" w:rsidR="00071082" w:rsidRDefault="00071082" w:rsidP="00281329">
            <w:pPr>
              <w:pStyle w:val="Tablecontent"/>
            </w:pPr>
          </w:p>
        </w:tc>
      </w:tr>
      <w:tr w:rsidR="00071082" w14:paraId="320228A0" w14:textId="77777777" w:rsidTr="00281329">
        <w:tc>
          <w:tcPr>
            <w:tcW w:w="2830" w:type="dxa"/>
          </w:tcPr>
          <w:p w14:paraId="5F401DF9" w14:textId="77777777" w:rsidR="00071082" w:rsidRDefault="00071082" w:rsidP="00281329">
            <w:pPr>
              <w:pStyle w:val="Tablecontent"/>
              <w:rPr>
                <w:lang w:val="en-GB"/>
              </w:rPr>
            </w:pPr>
            <w:r>
              <w:rPr>
                <w:lang w:val="en-GB"/>
              </w:rPr>
              <w:t>HA Fixed CPU Slot Size</w:t>
            </w:r>
          </w:p>
        </w:tc>
        <w:tc>
          <w:tcPr>
            <w:tcW w:w="7626" w:type="dxa"/>
          </w:tcPr>
          <w:p w14:paraId="39CABEB0" w14:textId="77777777" w:rsidR="00071082" w:rsidRDefault="00071082" w:rsidP="00281329">
            <w:pPr>
              <w:pStyle w:val="Tablecontent"/>
            </w:pPr>
          </w:p>
        </w:tc>
      </w:tr>
      <w:tr w:rsidR="00071082" w14:paraId="7BF423D4" w14:textId="77777777" w:rsidTr="00281329">
        <w:tc>
          <w:tcPr>
            <w:tcW w:w="2830" w:type="dxa"/>
          </w:tcPr>
          <w:p w14:paraId="17DD4EEE" w14:textId="77777777" w:rsidR="00071082" w:rsidRDefault="00071082" w:rsidP="00281329">
            <w:pPr>
              <w:pStyle w:val="Tablecontent"/>
              <w:rPr>
                <w:lang w:val="en-GB"/>
              </w:rPr>
            </w:pPr>
            <w:r>
              <w:rPr>
                <w:lang w:val="en-GB"/>
              </w:rPr>
              <w:t>HA Fixed Memory Slot Size</w:t>
            </w:r>
          </w:p>
        </w:tc>
        <w:tc>
          <w:tcPr>
            <w:tcW w:w="7626" w:type="dxa"/>
          </w:tcPr>
          <w:p w14:paraId="2029BAE8" w14:textId="77777777" w:rsidR="00071082" w:rsidRDefault="00071082" w:rsidP="00281329">
            <w:pPr>
              <w:pStyle w:val="Tablecontent"/>
            </w:pPr>
          </w:p>
        </w:tc>
      </w:tr>
    </w:tbl>
    <w:bookmarkEnd w:id="135"/>
    <w:p w14:paraId="600F7C24" w14:textId="77777777" w:rsidR="00071082" w:rsidRDefault="00071082" w:rsidP="00071082">
      <w:pPr>
        <w:pStyle w:val="Heading4"/>
      </w:pPr>
      <w:r>
        <w:t>Event Metrics</w:t>
      </w:r>
    </w:p>
    <w:bookmarkEnd w:id="134"/>
    <w:p w14:paraId="4D1A624B" w14:textId="77777777" w:rsidR="00071082" w:rsidRDefault="00071082" w:rsidP="00071082">
      <w:pPr>
        <w:rPr>
          <w:lang w:val="en-GB"/>
        </w:rPr>
      </w:pPr>
      <w:r>
        <w:rPr>
          <w:lang w:val="en-GB"/>
        </w:rPr>
        <w:t xml:space="preserve">vSphere Cluster, being the main object where VM runs, has a set of event metrics. They count the number of times an event, such as a VM gets deleted, happens. This provides insight into the dynamics of the environment. </w:t>
      </w:r>
    </w:p>
    <w:p w14:paraId="0839C2B2" w14:textId="77777777" w:rsidR="00071082" w:rsidRDefault="00071082" w:rsidP="00071082">
      <w:pPr>
        <w:rPr>
          <w:lang w:val="en-GB"/>
        </w:rPr>
      </w:pPr>
      <w:r>
        <w:rPr>
          <w:lang w:val="en-GB"/>
        </w:rPr>
        <w:t xml:space="preserve">You will find them in vSphere Client UI under the group </w:t>
      </w:r>
      <w:r w:rsidRPr="00686292">
        <w:rPr>
          <w:color w:val="00B0F0"/>
          <w:lang w:val="en-GB"/>
        </w:rPr>
        <w:t>VM Operations</w:t>
      </w:r>
      <w:r>
        <w:rPr>
          <w:lang w:val="en-GB"/>
        </w:rPr>
        <w:t xml:space="preserve">. </w:t>
      </w:r>
    </w:p>
    <w:p w14:paraId="7E88A02D" w14:textId="77777777" w:rsidR="00373919" w:rsidRDefault="00373919" w:rsidP="00373919">
      <w:pPr>
        <w:rPr>
          <w:lang w:val="en-GB"/>
        </w:rPr>
      </w:pPr>
      <w:r>
        <w:rPr>
          <w:lang w:val="en-GB"/>
        </w:rPr>
        <w:t>Take note that the metric is accumulative. So it starts since the day the cluster was created. Aria Operations converts into rate, and also make them available at higher level objects (Data Center, vCenter and vSphere World).</w:t>
      </w:r>
    </w:p>
    <w:p w14:paraId="2AEB0974" w14:textId="77777777" w:rsidR="00071082" w:rsidRPr="00C3661A" w:rsidRDefault="00071082" w:rsidP="00071082">
      <w:pPr>
        <w:pStyle w:val="BeforeTable"/>
        <w:rPr>
          <w:lang w:val="en-GB"/>
        </w:rPr>
      </w:pPr>
    </w:p>
    <w:tbl>
      <w:tblPr>
        <w:tblStyle w:val="TableGridLight"/>
        <w:tblW w:w="1070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22"/>
        <w:gridCol w:w="3548"/>
        <w:gridCol w:w="5030"/>
      </w:tblGrid>
      <w:tr w:rsidR="00071082" w:rsidRPr="00723FEE" w14:paraId="5DD197B1" w14:textId="77777777" w:rsidTr="00281329">
        <w:trPr>
          <w:trHeight w:val="300"/>
        </w:trPr>
        <w:tc>
          <w:tcPr>
            <w:tcW w:w="2122" w:type="dxa"/>
            <w:shd w:val="clear" w:color="auto" w:fill="F2F2F2" w:themeFill="background1" w:themeFillShade="F2"/>
            <w:noWrap/>
          </w:tcPr>
          <w:p w14:paraId="15D680AF" w14:textId="77777777" w:rsidR="00071082" w:rsidRPr="00A22F8B" w:rsidRDefault="00071082" w:rsidP="00281329">
            <w:pPr>
              <w:pStyle w:val="Tableheading"/>
            </w:pPr>
            <w:r>
              <w:lastRenderedPageBreak/>
              <w:t>Category</w:t>
            </w:r>
          </w:p>
        </w:tc>
        <w:tc>
          <w:tcPr>
            <w:tcW w:w="3548" w:type="dxa"/>
          </w:tcPr>
          <w:p w14:paraId="61136F5F" w14:textId="77777777" w:rsidR="00071082" w:rsidRPr="00D93058" w:rsidRDefault="00071082" w:rsidP="00281329">
            <w:pPr>
              <w:pStyle w:val="Tableheading"/>
            </w:pPr>
            <w:r>
              <w:t>Metric Name</w:t>
            </w:r>
          </w:p>
        </w:tc>
        <w:tc>
          <w:tcPr>
            <w:tcW w:w="5030" w:type="dxa"/>
          </w:tcPr>
          <w:p w14:paraId="41A47963" w14:textId="77777777" w:rsidR="00071082" w:rsidRPr="00723FEE" w:rsidRDefault="00071082" w:rsidP="00281329">
            <w:pPr>
              <w:pStyle w:val="Tableheading"/>
            </w:pPr>
            <w:r>
              <w:t>Description</w:t>
            </w:r>
          </w:p>
        </w:tc>
      </w:tr>
      <w:tr w:rsidR="00071082" w:rsidRPr="00723FEE" w14:paraId="5A97834D" w14:textId="77777777" w:rsidTr="00281329">
        <w:trPr>
          <w:trHeight w:val="300"/>
        </w:trPr>
        <w:tc>
          <w:tcPr>
            <w:tcW w:w="2122" w:type="dxa"/>
            <w:vMerge w:val="restart"/>
            <w:shd w:val="clear" w:color="auto" w:fill="F2F2F2" w:themeFill="background1" w:themeFillShade="F2"/>
            <w:noWrap/>
          </w:tcPr>
          <w:p w14:paraId="4CB53B24" w14:textId="77777777" w:rsidR="00071082" w:rsidRPr="00A22F8B" w:rsidRDefault="00071082" w:rsidP="00281329">
            <w:pPr>
              <w:pStyle w:val="Tablecontent"/>
              <w:rPr>
                <w:b/>
                <w:bCs/>
              </w:rPr>
            </w:pPr>
            <w:r w:rsidRPr="00A22F8B">
              <w:rPr>
                <w:b/>
                <w:bCs/>
              </w:rPr>
              <w:t>Change of State</w:t>
            </w:r>
          </w:p>
        </w:tc>
        <w:tc>
          <w:tcPr>
            <w:tcW w:w="3548" w:type="dxa"/>
          </w:tcPr>
          <w:p w14:paraId="5FAAA5C0" w14:textId="77777777" w:rsidR="00071082" w:rsidRPr="00723FEE" w:rsidRDefault="00071082" w:rsidP="00281329">
            <w:pPr>
              <w:pStyle w:val="Tablecontent"/>
            </w:pPr>
            <w:r w:rsidRPr="00D93058">
              <w:t>VM guest reboot count</w:t>
            </w:r>
          </w:p>
        </w:tc>
        <w:tc>
          <w:tcPr>
            <w:tcW w:w="5030" w:type="dxa"/>
          </w:tcPr>
          <w:p w14:paraId="30A59024" w14:textId="77777777" w:rsidR="00071082" w:rsidRPr="00723FEE" w:rsidRDefault="00071082" w:rsidP="00281329">
            <w:pPr>
              <w:pStyle w:val="Tablecontent"/>
            </w:pPr>
          </w:p>
        </w:tc>
      </w:tr>
      <w:tr w:rsidR="00071082" w:rsidRPr="00723FEE" w14:paraId="680E2ED2" w14:textId="77777777" w:rsidTr="00281329">
        <w:trPr>
          <w:trHeight w:val="300"/>
        </w:trPr>
        <w:tc>
          <w:tcPr>
            <w:tcW w:w="2122" w:type="dxa"/>
            <w:vMerge/>
            <w:shd w:val="clear" w:color="auto" w:fill="F2F2F2" w:themeFill="background1" w:themeFillShade="F2"/>
            <w:noWrap/>
          </w:tcPr>
          <w:p w14:paraId="01951318" w14:textId="77777777" w:rsidR="00071082" w:rsidRPr="00A22F8B" w:rsidRDefault="00071082" w:rsidP="00281329">
            <w:pPr>
              <w:pStyle w:val="Tablecontent"/>
              <w:rPr>
                <w:b/>
                <w:bCs/>
              </w:rPr>
            </w:pPr>
          </w:p>
        </w:tc>
        <w:tc>
          <w:tcPr>
            <w:tcW w:w="3548" w:type="dxa"/>
          </w:tcPr>
          <w:p w14:paraId="4F0A2555" w14:textId="77777777" w:rsidR="00071082" w:rsidRPr="00723FEE" w:rsidRDefault="00071082" w:rsidP="00281329">
            <w:pPr>
              <w:pStyle w:val="Tablecontent"/>
            </w:pPr>
            <w:r w:rsidRPr="00D93058">
              <w:t>VM guest shutdown count</w:t>
            </w:r>
          </w:p>
        </w:tc>
        <w:tc>
          <w:tcPr>
            <w:tcW w:w="5030" w:type="dxa"/>
          </w:tcPr>
          <w:p w14:paraId="53470EC3" w14:textId="77777777" w:rsidR="00071082" w:rsidRPr="00723FEE" w:rsidRDefault="00071082" w:rsidP="00281329">
            <w:pPr>
              <w:pStyle w:val="Tablecontent"/>
            </w:pPr>
            <w:r>
              <w:t>I think this triggers VM Power Off too.</w:t>
            </w:r>
          </w:p>
        </w:tc>
      </w:tr>
      <w:tr w:rsidR="00071082" w:rsidRPr="00723FEE" w14:paraId="22869A04" w14:textId="77777777" w:rsidTr="00281329">
        <w:trPr>
          <w:trHeight w:val="300"/>
        </w:trPr>
        <w:tc>
          <w:tcPr>
            <w:tcW w:w="2122" w:type="dxa"/>
            <w:vMerge/>
            <w:shd w:val="clear" w:color="auto" w:fill="F2F2F2" w:themeFill="background1" w:themeFillShade="F2"/>
            <w:noWrap/>
          </w:tcPr>
          <w:p w14:paraId="03272248" w14:textId="77777777" w:rsidR="00071082" w:rsidRPr="00A22F8B" w:rsidRDefault="00071082" w:rsidP="00281329">
            <w:pPr>
              <w:pStyle w:val="Tablecontent"/>
              <w:rPr>
                <w:b/>
                <w:bCs/>
              </w:rPr>
            </w:pPr>
          </w:p>
        </w:tc>
        <w:tc>
          <w:tcPr>
            <w:tcW w:w="3548" w:type="dxa"/>
          </w:tcPr>
          <w:p w14:paraId="0F5ADE87" w14:textId="77777777" w:rsidR="00071082" w:rsidRPr="00D93058" w:rsidRDefault="00071082" w:rsidP="00281329">
            <w:pPr>
              <w:pStyle w:val="Tablecontent"/>
            </w:pPr>
            <w:r w:rsidRPr="00D93058">
              <w:t>VM standby guest count</w:t>
            </w:r>
          </w:p>
        </w:tc>
        <w:tc>
          <w:tcPr>
            <w:tcW w:w="5030" w:type="dxa"/>
          </w:tcPr>
          <w:p w14:paraId="2C17A7A1" w14:textId="77777777" w:rsidR="00071082" w:rsidRPr="00723FEE" w:rsidRDefault="00071082" w:rsidP="00281329">
            <w:pPr>
              <w:pStyle w:val="Tablecontent"/>
            </w:pPr>
          </w:p>
        </w:tc>
      </w:tr>
      <w:tr w:rsidR="00071082" w:rsidRPr="00723FEE" w14:paraId="48670B8F" w14:textId="77777777" w:rsidTr="00281329">
        <w:trPr>
          <w:trHeight w:val="300"/>
        </w:trPr>
        <w:tc>
          <w:tcPr>
            <w:tcW w:w="2122" w:type="dxa"/>
            <w:vMerge/>
            <w:shd w:val="clear" w:color="auto" w:fill="F2F2F2" w:themeFill="background1" w:themeFillShade="F2"/>
            <w:noWrap/>
          </w:tcPr>
          <w:p w14:paraId="20CF4CB8" w14:textId="77777777" w:rsidR="00071082" w:rsidRPr="00A22F8B" w:rsidRDefault="00071082" w:rsidP="00281329">
            <w:pPr>
              <w:pStyle w:val="Tablecontent"/>
              <w:rPr>
                <w:b/>
                <w:bCs/>
              </w:rPr>
            </w:pPr>
          </w:p>
        </w:tc>
        <w:tc>
          <w:tcPr>
            <w:tcW w:w="3548" w:type="dxa"/>
          </w:tcPr>
          <w:p w14:paraId="4BBEEA56" w14:textId="77777777" w:rsidR="00071082" w:rsidRPr="00723FEE" w:rsidRDefault="00071082" w:rsidP="00281329">
            <w:pPr>
              <w:pStyle w:val="Tablecontent"/>
            </w:pPr>
            <w:r w:rsidRPr="00D93058">
              <w:t>VM power off count</w:t>
            </w:r>
          </w:p>
        </w:tc>
        <w:tc>
          <w:tcPr>
            <w:tcW w:w="5030" w:type="dxa"/>
          </w:tcPr>
          <w:p w14:paraId="7630C79F" w14:textId="77777777" w:rsidR="00071082" w:rsidRPr="00723FEE" w:rsidRDefault="00071082" w:rsidP="00281329">
            <w:pPr>
              <w:pStyle w:val="Tablecontent"/>
            </w:pPr>
            <w:r>
              <w:t>I think this is direct, abrupt power off. It does not include Guest OS metrics.</w:t>
            </w:r>
          </w:p>
        </w:tc>
      </w:tr>
      <w:tr w:rsidR="00071082" w:rsidRPr="00723FEE" w14:paraId="07A012C9" w14:textId="77777777" w:rsidTr="00281329">
        <w:trPr>
          <w:trHeight w:val="300"/>
        </w:trPr>
        <w:tc>
          <w:tcPr>
            <w:tcW w:w="2122" w:type="dxa"/>
            <w:vMerge/>
            <w:shd w:val="clear" w:color="auto" w:fill="F2F2F2" w:themeFill="background1" w:themeFillShade="F2"/>
            <w:noWrap/>
          </w:tcPr>
          <w:p w14:paraId="34333CE6" w14:textId="77777777" w:rsidR="00071082" w:rsidRPr="00A22F8B" w:rsidRDefault="00071082" w:rsidP="00281329">
            <w:pPr>
              <w:pStyle w:val="Tablecontent"/>
              <w:rPr>
                <w:b/>
                <w:bCs/>
              </w:rPr>
            </w:pPr>
          </w:p>
        </w:tc>
        <w:tc>
          <w:tcPr>
            <w:tcW w:w="3548" w:type="dxa"/>
          </w:tcPr>
          <w:p w14:paraId="2CB41621" w14:textId="77777777" w:rsidR="00071082" w:rsidRPr="00723FEE" w:rsidRDefault="00071082" w:rsidP="00281329">
            <w:pPr>
              <w:pStyle w:val="Tablecontent"/>
            </w:pPr>
            <w:r w:rsidRPr="00D93058">
              <w:t>VM power on count</w:t>
            </w:r>
          </w:p>
        </w:tc>
        <w:tc>
          <w:tcPr>
            <w:tcW w:w="5030" w:type="dxa"/>
          </w:tcPr>
          <w:p w14:paraId="13C1A9E9" w14:textId="77777777" w:rsidR="00071082" w:rsidRPr="00723FEE" w:rsidRDefault="00071082" w:rsidP="00281329">
            <w:pPr>
              <w:pStyle w:val="Tablecontent"/>
            </w:pPr>
          </w:p>
        </w:tc>
      </w:tr>
      <w:tr w:rsidR="00071082" w:rsidRPr="00723FEE" w14:paraId="7FE82833" w14:textId="77777777" w:rsidTr="00281329">
        <w:trPr>
          <w:trHeight w:val="300"/>
        </w:trPr>
        <w:tc>
          <w:tcPr>
            <w:tcW w:w="2122" w:type="dxa"/>
            <w:vMerge/>
            <w:shd w:val="clear" w:color="auto" w:fill="F2F2F2" w:themeFill="background1" w:themeFillShade="F2"/>
            <w:noWrap/>
          </w:tcPr>
          <w:p w14:paraId="22FD52E8" w14:textId="77777777" w:rsidR="00071082" w:rsidRPr="00A22F8B" w:rsidRDefault="00071082" w:rsidP="00281329">
            <w:pPr>
              <w:pStyle w:val="Tablecontent"/>
              <w:rPr>
                <w:b/>
                <w:bCs/>
              </w:rPr>
            </w:pPr>
          </w:p>
        </w:tc>
        <w:tc>
          <w:tcPr>
            <w:tcW w:w="3548" w:type="dxa"/>
          </w:tcPr>
          <w:p w14:paraId="6B62565C" w14:textId="77777777" w:rsidR="00071082" w:rsidRPr="00723FEE" w:rsidRDefault="00071082" w:rsidP="00281329">
            <w:pPr>
              <w:pStyle w:val="Tablecontent"/>
            </w:pPr>
            <w:r w:rsidRPr="00D93058">
              <w:t>VM reset count</w:t>
            </w:r>
          </w:p>
        </w:tc>
        <w:tc>
          <w:tcPr>
            <w:tcW w:w="5030" w:type="dxa"/>
          </w:tcPr>
          <w:p w14:paraId="3697FD96" w14:textId="77777777" w:rsidR="00071082" w:rsidRPr="00723FEE" w:rsidRDefault="00071082" w:rsidP="00281329">
            <w:pPr>
              <w:pStyle w:val="Tablecontent"/>
            </w:pPr>
            <w:r>
              <w:t>Power cycle, different to Guest OS restart.</w:t>
            </w:r>
          </w:p>
        </w:tc>
      </w:tr>
      <w:tr w:rsidR="00071082" w:rsidRPr="00723FEE" w14:paraId="7D8E5608" w14:textId="77777777" w:rsidTr="00281329">
        <w:trPr>
          <w:trHeight w:val="300"/>
        </w:trPr>
        <w:tc>
          <w:tcPr>
            <w:tcW w:w="2122" w:type="dxa"/>
            <w:vMerge/>
            <w:shd w:val="clear" w:color="auto" w:fill="F2F2F2" w:themeFill="background1" w:themeFillShade="F2"/>
            <w:noWrap/>
          </w:tcPr>
          <w:p w14:paraId="085B1C06" w14:textId="77777777" w:rsidR="00071082" w:rsidRPr="00A22F8B" w:rsidRDefault="00071082" w:rsidP="00281329">
            <w:pPr>
              <w:pStyle w:val="Tablecontent"/>
              <w:rPr>
                <w:b/>
                <w:bCs/>
              </w:rPr>
            </w:pPr>
          </w:p>
        </w:tc>
        <w:tc>
          <w:tcPr>
            <w:tcW w:w="3548" w:type="dxa"/>
          </w:tcPr>
          <w:p w14:paraId="2A4ED072" w14:textId="77777777" w:rsidR="00071082" w:rsidRPr="00723FEE" w:rsidRDefault="00071082" w:rsidP="00281329">
            <w:pPr>
              <w:pStyle w:val="Tablecontent"/>
            </w:pPr>
            <w:r w:rsidRPr="00D93058">
              <w:t>VM suspend count</w:t>
            </w:r>
          </w:p>
        </w:tc>
        <w:tc>
          <w:tcPr>
            <w:tcW w:w="5030" w:type="dxa"/>
          </w:tcPr>
          <w:p w14:paraId="2C9F7D15" w14:textId="77777777" w:rsidR="00071082" w:rsidRPr="00723FEE" w:rsidRDefault="00071082" w:rsidP="00281329">
            <w:pPr>
              <w:pStyle w:val="Tablecontent"/>
            </w:pPr>
            <w:r>
              <w:t>Deeper than Guest OS Standby. Is this like hibernate in Windows?</w:t>
            </w:r>
          </w:p>
        </w:tc>
      </w:tr>
      <w:tr w:rsidR="00071082" w:rsidRPr="00723FEE" w14:paraId="1A10EBE5" w14:textId="77777777" w:rsidTr="00281329">
        <w:trPr>
          <w:trHeight w:val="300"/>
        </w:trPr>
        <w:tc>
          <w:tcPr>
            <w:tcW w:w="2122" w:type="dxa"/>
            <w:vMerge w:val="restart"/>
            <w:shd w:val="clear" w:color="auto" w:fill="F2F2F2" w:themeFill="background1" w:themeFillShade="F2"/>
            <w:noWrap/>
          </w:tcPr>
          <w:p w14:paraId="58877514" w14:textId="77777777" w:rsidR="00071082" w:rsidRPr="00A22F8B" w:rsidRDefault="00071082" w:rsidP="00281329">
            <w:pPr>
              <w:pStyle w:val="Tablecontent"/>
              <w:rPr>
                <w:b/>
                <w:bCs/>
              </w:rPr>
            </w:pPr>
            <w:r w:rsidRPr="00A22F8B">
              <w:rPr>
                <w:b/>
                <w:bCs/>
              </w:rPr>
              <w:t>Change of Inventory</w:t>
            </w:r>
          </w:p>
        </w:tc>
        <w:tc>
          <w:tcPr>
            <w:tcW w:w="3548" w:type="dxa"/>
          </w:tcPr>
          <w:p w14:paraId="5FA369FD" w14:textId="77777777" w:rsidR="00071082" w:rsidRPr="00723FEE" w:rsidRDefault="00071082" w:rsidP="00281329">
            <w:pPr>
              <w:pStyle w:val="Tablecontent"/>
            </w:pPr>
            <w:r w:rsidRPr="00D93058">
              <w:t>VM create count</w:t>
            </w:r>
          </w:p>
        </w:tc>
        <w:tc>
          <w:tcPr>
            <w:tcW w:w="5030" w:type="dxa"/>
          </w:tcPr>
          <w:p w14:paraId="1B25F411" w14:textId="77777777" w:rsidR="00071082" w:rsidRPr="00723FEE" w:rsidRDefault="00071082" w:rsidP="00281329">
            <w:pPr>
              <w:pStyle w:val="Tablecontent"/>
            </w:pPr>
            <w:r>
              <w:t>All creation, be it from template, direct, or cloning. So this is the total amount.</w:t>
            </w:r>
          </w:p>
        </w:tc>
      </w:tr>
      <w:tr w:rsidR="00071082" w:rsidRPr="00723FEE" w14:paraId="7D32E5A0" w14:textId="77777777" w:rsidTr="00281329">
        <w:trPr>
          <w:trHeight w:val="300"/>
        </w:trPr>
        <w:tc>
          <w:tcPr>
            <w:tcW w:w="2122" w:type="dxa"/>
            <w:vMerge/>
            <w:shd w:val="clear" w:color="auto" w:fill="F2F2F2" w:themeFill="background1" w:themeFillShade="F2"/>
            <w:noWrap/>
          </w:tcPr>
          <w:p w14:paraId="1636811E" w14:textId="77777777" w:rsidR="00071082" w:rsidRPr="00A22F8B" w:rsidRDefault="00071082" w:rsidP="00281329">
            <w:pPr>
              <w:pStyle w:val="Tablecontent"/>
              <w:rPr>
                <w:b/>
                <w:bCs/>
              </w:rPr>
            </w:pPr>
          </w:p>
        </w:tc>
        <w:tc>
          <w:tcPr>
            <w:tcW w:w="3548" w:type="dxa"/>
          </w:tcPr>
          <w:p w14:paraId="440415F8" w14:textId="77777777" w:rsidR="00071082" w:rsidRPr="00723FEE" w:rsidRDefault="00071082" w:rsidP="00281329">
            <w:pPr>
              <w:pStyle w:val="Tablecontent"/>
            </w:pPr>
            <w:r w:rsidRPr="00D93058">
              <w:t xml:space="preserve">VM clone count </w:t>
            </w:r>
          </w:p>
        </w:tc>
        <w:tc>
          <w:tcPr>
            <w:tcW w:w="5030" w:type="dxa"/>
          </w:tcPr>
          <w:p w14:paraId="6BCB9C2A" w14:textId="77777777" w:rsidR="00071082" w:rsidRPr="00723FEE" w:rsidRDefault="00071082" w:rsidP="00281329">
            <w:pPr>
              <w:pStyle w:val="Tablecontent"/>
            </w:pPr>
            <w:r>
              <w:t>Creation via cloning only.</w:t>
            </w:r>
          </w:p>
        </w:tc>
      </w:tr>
      <w:tr w:rsidR="00071082" w:rsidRPr="00723FEE" w14:paraId="5A4B504E" w14:textId="77777777" w:rsidTr="00281329">
        <w:trPr>
          <w:trHeight w:val="300"/>
        </w:trPr>
        <w:tc>
          <w:tcPr>
            <w:tcW w:w="2122" w:type="dxa"/>
            <w:vMerge/>
            <w:shd w:val="clear" w:color="auto" w:fill="F2F2F2" w:themeFill="background1" w:themeFillShade="F2"/>
            <w:noWrap/>
          </w:tcPr>
          <w:p w14:paraId="24A01A65" w14:textId="77777777" w:rsidR="00071082" w:rsidRPr="00A22F8B" w:rsidRDefault="00071082" w:rsidP="00281329">
            <w:pPr>
              <w:pStyle w:val="Tablecontent"/>
              <w:rPr>
                <w:b/>
                <w:bCs/>
              </w:rPr>
            </w:pPr>
          </w:p>
        </w:tc>
        <w:tc>
          <w:tcPr>
            <w:tcW w:w="3548" w:type="dxa"/>
          </w:tcPr>
          <w:p w14:paraId="2D21647E" w14:textId="77777777" w:rsidR="00071082" w:rsidRPr="00D93058" w:rsidRDefault="00071082" w:rsidP="00281329">
            <w:pPr>
              <w:pStyle w:val="Tablecontent"/>
            </w:pPr>
            <w:r w:rsidRPr="00D93058">
              <w:t>VM template deploy count</w:t>
            </w:r>
          </w:p>
        </w:tc>
        <w:tc>
          <w:tcPr>
            <w:tcW w:w="5030" w:type="dxa"/>
          </w:tcPr>
          <w:p w14:paraId="7518FA68" w14:textId="77777777" w:rsidR="00071082" w:rsidRPr="00723FEE" w:rsidRDefault="00071082" w:rsidP="00281329">
            <w:pPr>
              <w:pStyle w:val="Tablecontent"/>
            </w:pPr>
            <w:r>
              <w:t>Creating v</w:t>
            </w:r>
          </w:p>
        </w:tc>
      </w:tr>
      <w:tr w:rsidR="00071082" w:rsidRPr="00723FEE" w14:paraId="20FD0F09" w14:textId="77777777" w:rsidTr="00281329">
        <w:trPr>
          <w:trHeight w:val="300"/>
        </w:trPr>
        <w:tc>
          <w:tcPr>
            <w:tcW w:w="2122" w:type="dxa"/>
            <w:vMerge/>
            <w:shd w:val="clear" w:color="auto" w:fill="F2F2F2" w:themeFill="background1" w:themeFillShade="F2"/>
            <w:noWrap/>
          </w:tcPr>
          <w:p w14:paraId="1654A92A" w14:textId="77777777" w:rsidR="00071082" w:rsidRPr="00A22F8B" w:rsidRDefault="00071082" w:rsidP="00281329">
            <w:pPr>
              <w:pStyle w:val="Tablecontent"/>
              <w:rPr>
                <w:b/>
                <w:bCs/>
              </w:rPr>
            </w:pPr>
          </w:p>
        </w:tc>
        <w:tc>
          <w:tcPr>
            <w:tcW w:w="3548" w:type="dxa"/>
          </w:tcPr>
          <w:p w14:paraId="48EA6827" w14:textId="77777777" w:rsidR="00071082" w:rsidRPr="00723FEE" w:rsidRDefault="00071082" w:rsidP="00281329">
            <w:pPr>
              <w:pStyle w:val="Tablecontent"/>
            </w:pPr>
            <w:r w:rsidRPr="00D93058">
              <w:t>VM reconfigure count</w:t>
            </w:r>
          </w:p>
        </w:tc>
        <w:tc>
          <w:tcPr>
            <w:tcW w:w="5030" w:type="dxa"/>
          </w:tcPr>
          <w:p w14:paraId="63AA8D56" w14:textId="77777777" w:rsidR="00071082" w:rsidRPr="00723FEE" w:rsidRDefault="00071082" w:rsidP="00281329">
            <w:pPr>
              <w:pStyle w:val="Tablecontent"/>
            </w:pPr>
            <w:r>
              <w:t>Log Insight tracks the actual changes.</w:t>
            </w:r>
          </w:p>
        </w:tc>
      </w:tr>
      <w:tr w:rsidR="00071082" w:rsidRPr="00723FEE" w14:paraId="3A33CECB" w14:textId="77777777" w:rsidTr="00281329">
        <w:trPr>
          <w:trHeight w:val="300"/>
        </w:trPr>
        <w:tc>
          <w:tcPr>
            <w:tcW w:w="2122" w:type="dxa"/>
            <w:vMerge/>
            <w:shd w:val="clear" w:color="auto" w:fill="F2F2F2" w:themeFill="background1" w:themeFillShade="F2"/>
            <w:noWrap/>
          </w:tcPr>
          <w:p w14:paraId="27368A3D" w14:textId="77777777" w:rsidR="00071082" w:rsidRPr="00A22F8B" w:rsidRDefault="00071082" w:rsidP="00281329">
            <w:pPr>
              <w:pStyle w:val="Tablecontent"/>
              <w:rPr>
                <w:b/>
                <w:bCs/>
              </w:rPr>
            </w:pPr>
          </w:p>
        </w:tc>
        <w:tc>
          <w:tcPr>
            <w:tcW w:w="3548" w:type="dxa"/>
          </w:tcPr>
          <w:p w14:paraId="726201F3" w14:textId="77777777" w:rsidR="00071082" w:rsidRPr="00723FEE" w:rsidRDefault="00071082" w:rsidP="00281329">
            <w:pPr>
              <w:pStyle w:val="Tablecontent"/>
            </w:pPr>
            <w:r w:rsidRPr="00D93058">
              <w:t>VM register count</w:t>
            </w:r>
          </w:p>
        </w:tc>
        <w:tc>
          <w:tcPr>
            <w:tcW w:w="5030" w:type="dxa"/>
          </w:tcPr>
          <w:p w14:paraId="34F1C588" w14:textId="77777777" w:rsidR="00071082" w:rsidRPr="00723FEE" w:rsidRDefault="00071082" w:rsidP="00281329">
            <w:pPr>
              <w:pStyle w:val="Tablecontent"/>
            </w:pPr>
            <w:r>
              <w:t>Add into vSphere inventory</w:t>
            </w:r>
          </w:p>
        </w:tc>
      </w:tr>
      <w:tr w:rsidR="00071082" w:rsidRPr="00723FEE" w14:paraId="6C8AE18C" w14:textId="77777777" w:rsidTr="00281329">
        <w:trPr>
          <w:trHeight w:val="300"/>
        </w:trPr>
        <w:tc>
          <w:tcPr>
            <w:tcW w:w="2122" w:type="dxa"/>
            <w:vMerge/>
            <w:shd w:val="clear" w:color="auto" w:fill="F2F2F2" w:themeFill="background1" w:themeFillShade="F2"/>
            <w:noWrap/>
          </w:tcPr>
          <w:p w14:paraId="70911A29" w14:textId="77777777" w:rsidR="00071082" w:rsidRPr="00A22F8B" w:rsidRDefault="00071082" w:rsidP="00281329">
            <w:pPr>
              <w:pStyle w:val="Tablecontent"/>
              <w:rPr>
                <w:b/>
                <w:bCs/>
              </w:rPr>
            </w:pPr>
          </w:p>
        </w:tc>
        <w:tc>
          <w:tcPr>
            <w:tcW w:w="3548" w:type="dxa"/>
          </w:tcPr>
          <w:p w14:paraId="09A57DA0" w14:textId="77777777" w:rsidR="00071082" w:rsidRPr="00723FEE" w:rsidRDefault="00071082" w:rsidP="00281329">
            <w:pPr>
              <w:pStyle w:val="Tablecontent"/>
            </w:pPr>
            <w:r w:rsidRPr="00D93058">
              <w:t>VM unregister count</w:t>
            </w:r>
          </w:p>
        </w:tc>
        <w:tc>
          <w:tcPr>
            <w:tcW w:w="5030" w:type="dxa"/>
          </w:tcPr>
          <w:p w14:paraId="2CD117CD" w14:textId="77777777" w:rsidR="00071082" w:rsidRPr="00723FEE" w:rsidRDefault="00071082" w:rsidP="00281329">
            <w:pPr>
              <w:pStyle w:val="Tablecontent"/>
            </w:pPr>
            <w:r>
              <w:t>Take note the VM file can still exist in datastore and LUN</w:t>
            </w:r>
          </w:p>
        </w:tc>
      </w:tr>
      <w:tr w:rsidR="00071082" w:rsidRPr="00723FEE" w14:paraId="52DD91F8" w14:textId="77777777" w:rsidTr="00281329">
        <w:trPr>
          <w:trHeight w:val="300"/>
        </w:trPr>
        <w:tc>
          <w:tcPr>
            <w:tcW w:w="2122" w:type="dxa"/>
            <w:vMerge/>
            <w:shd w:val="clear" w:color="auto" w:fill="F2F2F2" w:themeFill="background1" w:themeFillShade="F2"/>
            <w:noWrap/>
          </w:tcPr>
          <w:p w14:paraId="26FB9C0A" w14:textId="77777777" w:rsidR="00071082" w:rsidRPr="00A22F8B" w:rsidRDefault="00071082" w:rsidP="00281329">
            <w:pPr>
              <w:pStyle w:val="Tablecontent"/>
              <w:rPr>
                <w:b/>
                <w:bCs/>
              </w:rPr>
            </w:pPr>
          </w:p>
        </w:tc>
        <w:tc>
          <w:tcPr>
            <w:tcW w:w="3548" w:type="dxa"/>
          </w:tcPr>
          <w:p w14:paraId="1D9DFFEE" w14:textId="77777777" w:rsidR="00071082" w:rsidRPr="00723FEE" w:rsidRDefault="00071082" w:rsidP="00281329">
            <w:pPr>
              <w:pStyle w:val="Tablecontent"/>
            </w:pPr>
            <w:r w:rsidRPr="00D93058">
              <w:t>VM delete count</w:t>
            </w:r>
          </w:p>
        </w:tc>
        <w:tc>
          <w:tcPr>
            <w:tcW w:w="5030" w:type="dxa"/>
          </w:tcPr>
          <w:p w14:paraId="51700E33" w14:textId="77777777" w:rsidR="00071082" w:rsidRPr="00723FEE" w:rsidRDefault="00071082" w:rsidP="00281329">
            <w:pPr>
              <w:pStyle w:val="Tablecontent"/>
            </w:pPr>
            <w:r>
              <w:t>All deletion, be it API or UI.</w:t>
            </w:r>
          </w:p>
        </w:tc>
      </w:tr>
      <w:tr w:rsidR="00071082" w:rsidRPr="00723FEE" w14:paraId="249155A2" w14:textId="77777777" w:rsidTr="00281329">
        <w:trPr>
          <w:trHeight w:val="300"/>
        </w:trPr>
        <w:tc>
          <w:tcPr>
            <w:tcW w:w="2122" w:type="dxa"/>
            <w:vMerge w:val="restart"/>
            <w:shd w:val="clear" w:color="auto" w:fill="F2F2F2" w:themeFill="background1" w:themeFillShade="F2"/>
            <w:noWrap/>
          </w:tcPr>
          <w:p w14:paraId="1935AFF6" w14:textId="77777777" w:rsidR="00071082" w:rsidRPr="00A22F8B" w:rsidRDefault="00071082" w:rsidP="00281329">
            <w:pPr>
              <w:pStyle w:val="Tablecontent"/>
              <w:rPr>
                <w:b/>
                <w:bCs/>
              </w:rPr>
            </w:pPr>
            <w:r w:rsidRPr="00A22F8B">
              <w:rPr>
                <w:b/>
                <w:bCs/>
              </w:rPr>
              <w:t>Change of Location</w:t>
            </w:r>
          </w:p>
        </w:tc>
        <w:tc>
          <w:tcPr>
            <w:tcW w:w="3548" w:type="dxa"/>
          </w:tcPr>
          <w:p w14:paraId="3BAC342E" w14:textId="77777777" w:rsidR="00071082" w:rsidRPr="00723FEE" w:rsidRDefault="00071082" w:rsidP="00281329">
            <w:pPr>
              <w:pStyle w:val="Tablecontent"/>
            </w:pPr>
            <w:r>
              <w:t>v</w:t>
            </w:r>
            <w:r w:rsidRPr="00D93058">
              <w:t>Motion count</w:t>
            </w:r>
          </w:p>
        </w:tc>
        <w:tc>
          <w:tcPr>
            <w:tcW w:w="5030" w:type="dxa"/>
          </w:tcPr>
          <w:p w14:paraId="585A8AF2" w14:textId="77777777" w:rsidR="00071082" w:rsidRPr="00723FEE" w:rsidRDefault="00071082" w:rsidP="00281329">
            <w:pPr>
              <w:pStyle w:val="Tablecontent"/>
            </w:pPr>
            <w:r>
              <w:t>Change of ESXi host only</w:t>
            </w:r>
          </w:p>
        </w:tc>
      </w:tr>
      <w:tr w:rsidR="00071082" w:rsidRPr="00723FEE" w14:paraId="6BA889E1" w14:textId="77777777" w:rsidTr="00281329">
        <w:trPr>
          <w:trHeight w:val="300"/>
        </w:trPr>
        <w:tc>
          <w:tcPr>
            <w:tcW w:w="2122" w:type="dxa"/>
            <w:vMerge/>
            <w:shd w:val="clear" w:color="auto" w:fill="F2F2F2" w:themeFill="background1" w:themeFillShade="F2"/>
            <w:noWrap/>
          </w:tcPr>
          <w:p w14:paraId="768EFB05" w14:textId="77777777" w:rsidR="00071082" w:rsidRDefault="00071082" w:rsidP="00281329">
            <w:pPr>
              <w:pStyle w:val="Tablecontent"/>
            </w:pPr>
          </w:p>
        </w:tc>
        <w:tc>
          <w:tcPr>
            <w:tcW w:w="3548" w:type="dxa"/>
          </w:tcPr>
          <w:p w14:paraId="6640E07B" w14:textId="77777777" w:rsidR="00071082" w:rsidRPr="00D93058" w:rsidRDefault="00071082" w:rsidP="00281329">
            <w:pPr>
              <w:pStyle w:val="Tablecontent"/>
            </w:pPr>
            <w:r w:rsidRPr="00691E6F">
              <w:t>Storage Motion count</w:t>
            </w:r>
          </w:p>
        </w:tc>
        <w:tc>
          <w:tcPr>
            <w:tcW w:w="5030" w:type="dxa"/>
          </w:tcPr>
          <w:p w14:paraId="61F0BDA7" w14:textId="77777777" w:rsidR="00071082" w:rsidRPr="00723FEE" w:rsidRDefault="00071082" w:rsidP="00281329">
            <w:pPr>
              <w:pStyle w:val="Tablecontent"/>
            </w:pPr>
            <w:r>
              <w:t>Change of datastore only.</w:t>
            </w:r>
          </w:p>
        </w:tc>
      </w:tr>
      <w:tr w:rsidR="00071082" w:rsidRPr="00723FEE" w14:paraId="04EA7E92" w14:textId="77777777" w:rsidTr="00281329">
        <w:trPr>
          <w:trHeight w:val="300"/>
        </w:trPr>
        <w:tc>
          <w:tcPr>
            <w:tcW w:w="2122" w:type="dxa"/>
            <w:vMerge/>
            <w:shd w:val="clear" w:color="auto" w:fill="F2F2F2" w:themeFill="background1" w:themeFillShade="F2"/>
            <w:noWrap/>
          </w:tcPr>
          <w:p w14:paraId="3BBE7141" w14:textId="77777777" w:rsidR="00071082" w:rsidRDefault="00071082" w:rsidP="00281329">
            <w:pPr>
              <w:pStyle w:val="Tablecontent"/>
            </w:pPr>
          </w:p>
        </w:tc>
        <w:tc>
          <w:tcPr>
            <w:tcW w:w="3548" w:type="dxa"/>
          </w:tcPr>
          <w:p w14:paraId="140B8F7A" w14:textId="77777777" w:rsidR="00071082" w:rsidRPr="00691E6F" w:rsidRDefault="00071082" w:rsidP="00281329">
            <w:pPr>
              <w:pStyle w:val="Tablecontent"/>
            </w:pPr>
            <w:r w:rsidRPr="00691E6F">
              <w:t xml:space="preserve">VM host and datastore change count </w:t>
            </w:r>
          </w:p>
        </w:tc>
        <w:tc>
          <w:tcPr>
            <w:tcW w:w="5030" w:type="dxa"/>
          </w:tcPr>
          <w:p w14:paraId="1A8BEC07" w14:textId="77777777" w:rsidR="00071082" w:rsidRDefault="00071082" w:rsidP="00281329">
            <w:pPr>
              <w:pStyle w:val="Tablecontent"/>
            </w:pPr>
            <w:r>
              <w:t>Both change in one event. P</w:t>
            </w:r>
            <w:r w:rsidRPr="00691E6F">
              <w:t>owered-o</w:t>
            </w:r>
            <w:r>
              <w:t>n</w:t>
            </w:r>
            <w:r w:rsidRPr="00691E6F">
              <w:t xml:space="preserve"> VMs</w:t>
            </w:r>
            <w:r>
              <w:t xml:space="preserve"> only</w:t>
            </w:r>
          </w:p>
        </w:tc>
      </w:tr>
      <w:tr w:rsidR="00071082" w:rsidRPr="00723FEE" w14:paraId="58262C53" w14:textId="77777777" w:rsidTr="00281329">
        <w:trPr>
          <w:trHeight w:val="300"/>
        </w:trPr>
        <w:tc>
          <w:tcPr>
            <w:tcW w:w="2122" w:type="dxa"/>
            <w:vMerge/>
            <w:shd w:val="clear" w:color="auto" w:fill="F2F2F2" w:themeFill="background1" w:themeFillShade="F2"/>
            <w:noWrap/>
          </w:tcPr>
          <w:p w14:paraId="33065918" w14:textId="77777777" w:rsidR="00071082" w:rsidRDefault="00071082" w:rsidP="00281329">
            <w:pPr>
              <w:pStyle w:val="Tablecontent"/>
            </w:pPr>
          </w:p>
        </w:tc>
        <w:tc>
          <w:tcPr>
            <w:tcW w:w="3548" w:type="dxa"/>
          </w:tcPr>
          <w:p w14:paraId="1594AE16" w14:textId="77777777" w:rsidR="00071082" w:rsidRPr="00D93058" w:rsidRDefault="00071082" w:rsidP="00281329">
            <w:pPr>
              <w:pStyle w:val="Tablecontent"/>
            </w:pPr>
            <w:r w:rsidRPr="00691E6F">
              <w:t>VM datastore change count</w:t>
            </w:r>
          </w:p>
        </w:tc>
        <w:tc>
          <w:tcPr>
            <w:tcW w:w="5030" w:type="dxa"/>
          </w:tcPr>
          <w:p w14:paraId="03E73699" w14:textId="77777777" w:rsidR="00071082" w:rsidRPr="00723FEE" w:rsidRDefault="00071082" w:rsidP="00281329">
            <w:pPr>
              <w:pStyle w:val="Tablecontent"/>
            </w:pPr>
            <w:r>
              <w:t>Only for p</w:t>
            </w:r>
            <w:r w:rsidRPr="00691E6F">
              <w:t>owered-o</w:t>
            </w:r>
            <w:r>
              <w:t>ff</w:t>
            </w:r>
            <w:r w:rsidRPr="00691E6F">
              <w:t xml:space="preserve"> VMs</w:t>
            </w:r>
          </w:p>
        </w:tc>
      </w:tr>
      <w:tr w:rsidR="00071082" w:rsidRPr="00723FEE" w14:paraId="533A80D8" w14:textId="77777777" w:rsidTr="00281329">
        <w:trPr>
          <w:trHeight w:val="300"/>
        </w:trPr>
        <w:tc>
          <w:tcPr>
            <w:tcW w:w="2122" w:type="dxa"/>
            <w:vMerge/>
            <w:shd w:val="clear" w:color="auto" w:fill="F2F2F2" w:themeFill="background1" w:themeFillShade="F2"/>
            <w:noWrap/>
          </w:tcPr>
          <w:p w14:paraId="4B7F5474" w14:textId="77777777" w:rsidR="00071082" w:rsidRDefault="00071082" w:rsidP="00281329">
            <w:pPr>
              <w:pStyle w:val="Tablecontent"/>
            </w:pPr>
          </w:p>
        </w:tc>
        <w:tc>
          <w:tcPr>
            <w:tcW w:w="3548" w:type="dxa"/>
          </w:tcPr>
          <w:p w14:paraId="6ED7B9FC" w14:textId="77777777" w:rsidR="00071082" w:rsidRPr="00D93058" w:rsidRDefault="00071082" w:rsidP="00281329">
            <w:pPr>
              <w:pStyle w:val="Tablecontent"/>
            </w:pPr>
            <w:r w:rsidRPr="00691E6F">
              <w:t>VM host and datastore change count</w:t>
            </w:r>
          </w:p>
        </w:tc>
        <w:tc>
          <w:tcPr>
            <w:tcW w:w="5030" w:type="dxa"/>
          </w:tcPr>
          <w:p w14:paraId="6506DC33" w14:textId="77777777" w:rsidR="00071082" w:rsidRPr="00723FEE" w:rsidRDefault="00071082" w:rsidP="00281329">
            <w:pPr>
              <w:pStyle w:val="Tablecontent"/>
            </w:pPr>
            <w:r>
              <w:t>Only for p</w:t>
            </w:r>
            <w:r w:rsidRPr="00691E6F">
              <w:t>owered-o</w:t>
            </w:r>
            <w:r>
              <w:t>ff</w:t>
            </w:r>
            <w:r w:rsidRPr="00691E6F">
              <w:t xml:space="preserve"> VMs</w:t>
            </w:r>
          </w:p>
        </w:tc>
      </w:tr>
      <w:tr w:rsidR="00071082" w:rsidRPr="00723FEE" w14:paraId="230D5A24" w14:textId="77777777" w:rsidTr="00281329">
        <w:trPr>
          <w:trHeight w:val="300"/>
        </w:trPr>
        <w:tc>
          <w:tcPr>
            <w:tcW w:w="2122" w:type="dxa"/>
            <w:vMerge/>
            <w:shd w:val="clear" w:color="auto" w:fill="F2F2F2" w:themeFill="background1" w:themeFillShade="F2"/>
            <w:noWrap/>
          </w:tcPr>
          <w:p w14:paraId="066DC307" w14:textId="77777777" w:rsidR="00071082" w:rsidRDefault="00071082" w:rsidP="00281329">
            <w:pPr>
              <w:pStyle w:val="Tablecontent"/>
            </w:pPr>
          </w:p>
        </w:tc>
        <w:tc>
          <w:tcPr>
            <w:tcW w:w="3548" w:type="dxa"/>
          </w:tcPr>
          <w:p w14:paraId="3BDF8DE1" w14:textId="77777777" w:rsidR="00071082" w:rsidRPr="00D93058" w:rsidRDefault="00071082" w:rsidP="00281329">
            <w:pPr>
              <w:pStyle w:val="Tablecontent"/>
            </w:pPr>
            <w:r w:rsidRPr="00691E6F">
              <w:t>VM host change count</w:t>
            </w:r>
          </w:p>
        </w:tc>
        <w:tc>
          <w:tcPr>
            <w:tcW w:w="5030" w:type="dxa"/>
          </w:tcPr>
          <w:p w14:paraId="0A52BC45" w14:textId="77777777" w:rsidR="00071082" w:rsidRPr="00723FEE" w:rsidRDefault="00071082" w:rsidP="00281329">
            <w:pPr>
              <w:pStyle w:val="Tablecontent"/>
            </w:pPr>
            <w:r>
              <w:t>Only for p</w:t>
            </w:r>
            <w:r w:rsidRPr="00691E6F">
              <w:t>owered-o</w:t>
            </w:r>
            <w:r>
              <w:t>ff</w:t>
            </w:r>
            <w:r w:rsidRPr="00691E6F">
              <w:t xml:space="preserve"> VMs</w:t>
            </w:r>
          </w:p>
        </w:tc>
      </w:tr>
    </w:tbl>
    <w:p w14:paraId="2A1AF9C4" w14:textId="410FA23A" w:rsidR="00071082" w:rsidRDefault="00071082" w:rsidP="00071082">
      <w:r>
        <w:t xml:space="preserve">You certainly have some expectation on the dynamics of your environment. Does the reality match your expectation? </w:t>
      </w:r>
    </w:p>
    <w:p w14:paraId="19BA45CE" w14:textId="0BDE72DA" w:rsidR="00373919" w:rsidRDefault="00373919" w:rsidP="00373919">
      <w:r>
        <w:t xml:space="preserve">In production environment, these numbers should be low. Some numbers such as shutdown should also match the change request and happens during the </w:t>
      </w:r>
      <w:r w:rsidR="0022569A" w:rsidRPr="0022569A">
        <w:rPr>
          <w:color w:val="00B050"/>
        </w:rPr>
        <w:t>green</w:t>
      </w:r>
      <w:r>
        <w:t xml:space="preserve"> zone.</w:t>
      </w:r>
    </w:p>
    <w:p w14:paraId="1A14A483" w14:textId="77777777" w:rsidR="00373919" w:rsidRDefault="00373919" w:rsidP="00373919">
      <w:r>
        <w:t>Unless it’s VDI, and you include scheduled reboot as part of your architecture.</w:t>
      </w:r>
      <w:r>
        <w:tab/>
      </w:r>
    </w:p>
    <w:p w14:paraId="194D4868" w14:textId="77777777" w:rsidR="00373919" w:rsidRDefault="00373919" w:rsidP="00373919">
      <w:pPr>
        <w:pStyle w:val="Heading4"/>
      </w:pPr>
      <w:r>
        <w:lastRenderedPageBreak/>
        <w:t>Storage Metrics</w:t>
      </w:r>
    </w:p>
    <w:p w14:paraId="44DF7F91" w14:textId="77777777" w:rsidR="00373919" w:rsidRPr="006A1380" w:rsidRDefault="00373919" w:rsidP="00373919">
      <w:pPr>
        <w:rPr>
          <w:lang w:val="en-GB"/>
        </w:rPr>
      </w:pPr>
      <w:r>
        <w:rPr>
          <w:lang w:val="en-GB"/>
        </w:rPr>
        <w:t xml:space="preserve">Typically, all the memver ESXi hosts share the same set of datastores, although there can be complication such as non-uniformed cluster and stretched cluster. </w:t>
      </w:r>
    </w:p>
    <w:p w14:paraId="4D2DC9F2" w14:textId="77777777" w:rsidR="00373919" w:rsidRDefault="00373919" w:rsidP="00373919">
      <w:pPr>
        <w:rPr>
          <w:lang w:val="en-GB"/>
        </w:rPr>
      </w:pPr>
      <w:r w:rsidRPr="00E548BB">
        <w:rPr>
          <w:noProof/>
          <w:lang w:val="en-GB"/>
        </w:rPr>
        <w:drawing>
          <wp:inline distT="0" distB="0" distL="0" distR="0" wp14:anchorId="7FB771EB" wp14:editId="3B9A4A1E">
            <wp:extent cx="6645910" cy="1463040"/>
            <wp:effectExtent l="0" t="0" r="2540" b="3810"/>
            <wp:docPr id="1085195905" name="Picture 1085195905"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05" name="Picture 1085195905" descr="Graphical user interface, text, application, email&#10;&#10;Description automatically generated"/>
                    <pic:cNvPicPr/>
                  </pic:nvPicPr>
                  <pic:blipFill>
                    <a:blip r:embed="rId885"/>
                    <a:stretch>
                      <a:fillRect/>
                    </a:stretch>
                  </pic:blipFill>
                  <pic:spPr>
                    <a:xfrm>
                      <a:off x="0" y="0"/>
                      <a:ext cx="6645910" cy="1463040"/>
                    </a:xfrm>
                    <a:prstGeom prst="rect">
                      <a:avLst/>
                    </a:prstGeom>
                  </pic:spPr>
                </pic:pic>
              </a:graphicData>
            </a:graphic>
          </wp:inline>
        </w:drawing>
      </w:r>
    </w:p>
    <w:p w14:paraId="70A934CF" w14:textId="77777777" w:rsidR="00373919" w:rsidRPr="00B63C15" w:rsidRDefault="00373919" w:rsidP="00373919">
      <w:pPr>
        <w:rPr>
          <w:lang w:val="en-GB"/>
        </w:rPr>
      </w:pPr>
      <w:r>
        <w:rPr>
          <w:lang w:val="en-GB"/>
        </w:rPr>
        <w:t xml:space="preserve">Cluster can have a many to many relationship with datastores. So the roll up has to be done via VM. </w:t>
      </w:r>
    </w:p>
    <w:p w14:paraId="265BD89F" w14:textId="77777777" w:rsidR="00373919" w:rsidRDefault="00373919" w:rsidP="00373919">
      <w:pPr>
        <w:rPr>
          <w:color w:val="FF0000"/>
        </w:rPr>
      </w:pPr>
      <w:r w:rsidRPr="004223C1">
        <w:rPr>
          <w:color w:val="FF0000"/>
        </w:rPr>
        <w:t>Custer Compute Resource</w:t>
      </w:r>
      <w:r w:rsidRPr="004223C1">
        <w:rPr>
          <w:color w:val="FF0000"/>
        </w:rPr>
        <w:br/>
        <w:t>Disk Space|Virtual Machine used (GB) = Sum([VM] Disk Space|Virtual Machine used)</w:t>
      </w:r>
    </w:p>
    <w:p w14:paraId="2C920323" w14:textId="77777777" w:rsidR="00373919" w:rsidRPr="00A452F2" w:rsidRDefault="00373919" w:rsidP="00373919">
      <w:pPr>
        <w:rPr>
          <w:lang w:val="en-GB"/>
        </w:rPr>
      </w:pPr>
      <w:r>
        <w:rPr>
          <w:lang w:val="en-GB"/>
        </w:rPr>
        <w:t xml:space="preserve">In the </w:t>
      </w:r>
      <w:r w:rsidRPr="00A452F2">
        <w:rPr>
          <w:lang w:val="en-GB"/>
        </w:rPr>
        <w:t>What If</w:t>
      </w:r>
      <w:r>
        <w:rPr>
          <w:lang w:val="en-GB"/>
        </w:rPr>
        <w:t xml:space="preserve"> scenario </w:t>
      </w:r>
    </w:p>
    <w:p w14:paraId="788F121B" w14:textId="77777777" w:rsidR="00373919" w:rsidRDefault="00373919" w:rsidP="00373919">
      <w:pPr>
        <w:pStyle w:val="Bullet"/>
        <w:rPr>
          <w:lang w:val="en-GB"/>
        </w:rPr>
      </w:pPr>
      <w:r w:rsidRPr="00A452F2">
        <w:rPr>
          <w:lang w:val="en-GB"/>
        </w:rPr>
        <w:t>Guest File System | Utilization is the metric used to determine VM consumption (without the vSAN overhead due to FTT)</w:t>
      </w:r>
    </w:p>
    <w:p w14:paraId="23B67F16" w14:textId="77777777" w:rsidR="00373919" w:rsidRDefault="00373919" w:rsidP="00373919">
      <w:pPr>
        <w:rPr>
          <w:lang w:val="en-GB"/>
        </w:rPr>
      </w:pPr>
    </w:p>
    <w:p w14:paraId="2B362A69" w14:textId="77777777" w:rsidR="00373919" w:rsidRDefault="00373919" w:rsidP="00373919">
      <w:pPr>
        <w:pStyle w:val="BeforeTable"/>
        <w:rPr>
          <w:lang w:val="en-GB"/>
        </w:rPr>
      </w:pPr>
    </w:p>
    <w:p w14:paraId="5805D98E" w14:textId="77777777" w:rsidR="00373919" w:rsidRDefault="00373919" w:rsidP="00373919">
      <w:pPr>
        <w:jc w:val="center"/>
        <w:rPr>
          <w:lang w:val="en-GB"/>
        </w:rPr>
      </w:pPr>
      <w:r w:rsidRPr="00644699">
        <w:rPr>
          <w:noProof/>
          <w:lang w:val="en-GB"/>
        </w:rPr>
        <w:drawing>
          <wp:inline distT="0" distB="0" distL="0" distR="0" wp14:anchorId="291A4395" wp14:editId="6F9F6712">
            <wp:extent cx="6592824" cy="2103120"/>
            <wp:effectExtent l="0" t="0" r="0" b="0"/>
            <wp:docPr id="1525330289" name="Picture 152533028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49" name="Picture 1293284849" descr="Graphical user interface, application&#10;&#10;Description automatically generated"/>
                    <pic:cNvPicPr/>
                  </pic:nvPicPr>
                  <pic:blipFill rotWithShape="1">
                    <a:blip r:embed="rId886"/>
                    <a:srcRect r="17905"/>
                    <a:stretch/>
                  </pic:blipFill>
                  <pic:spPr bwMode="auto">
                    <a:xfrm>
                      <a:off x="0" y="0"/>
                      <a:ext cx="6592824" cy="2103120"/>
                    </a:xfrm>
                    <a:prstGeom prst="rect">
                      <a:avLst/>
                    </a:prstGeom>
                    <a:ln>
                      <a:noFill/>
                    </a:ln>
                    <a:extLst>
                      <a:ext uri="{53640926-AAD7-44D8-BBD7-CCE9431645EC}">
                        <a14:shadowObscured xmlns:a14="http://schemas.microsoft.com/office/drawing/2010/main"/>
                      </a:ext>
                    </a:extLst>
                  </pic:spPr>
                </pic:pic>
              </a:graphicData>
            </a:graphic>
          </wp:inline>
        </w:drawing>
      </w:r>
    </w:p>
    <w:p w14:paraId="73780D80" w14:textId="77777777" w:rsidR="00373919" w:rsidRDefault="00373919" w:rsidP="00373919">
      <w:pPr>
        <w:rPr>
          <w:lang w:val="en-GB"/>
        </w:rPr>
      </w:pPr>
      <w:r>
        <w:rPr>
          <w:lang w:val="en-GB"/>
        </w:rPr>
        <w:t xml:space="preserve">Thin Provisioned Disk = </w:t>
      </w:r>
      <w:r w:rsidRPr="002274F5">
        <w:rPr>
          <w:color w:val="00B0F0"/>
          <w:lang w:val="en-GB"/>
        </w:rPr>
        <w:t>true</w:t>
      </w:r>
      <w:r>
        <w:rPr>
          <w:color w:val="00B0F0"/>
          <w:lang w:val="en-GB"/>
        </w:rPr>
        <w:t xml:space="preserve"> </w:t>
      </w:r>
      <w:r>
        <w:rPr>
          <w:lang w:val="en-GB"/>
        </w:rPr>
        <w:t>if any of the virtual disk is thin provisioned. Note that a VM can have mix thin and thick.</w:t>
      </w:r>
    </w:p>
    <w:p w14:paraId="5FAADD6F" w14:textId="77777777" w:rsidR="00373919" w:rsidRDefault="00373919" w:rsidP="00373919">
      <w:pPr>
        <w:rPr>
          <w:color w:val="FF0000"/>
        </w:rPr>
      </w:pPr>
      <w:r w:rsidRPr="004223C1">
        <w:rPr>
          <w:color w:val="FF0000"/>
        </w:rPr>
        <w:t xml:space="preserve">Disk Space|Virtual Machine used (GB) = The size of files of a </w:t>
      </w:r>
      <w:r>
        <w:rPr>
          <w:color w:val="FF0000"/>
        </w:rPr>
        <w:t>VM</w:t>
      </w:r>
      <w:r w:rsidRPr="004223C1">
        <w:rPr>
          <w:color w:val="FF0000"/>
        </w:rPr>
        <w:t>s.</w:t>
      </w:r>
      <w:r w:rsidRPr="004223C1">
        <w:rPr>
          <w:color w:val="FF0000"/>
        </w:rPr>
        <w:br/>
        <w:t xml:space="preserve">Note: For the file size we take the value of uniqueSize property if it is not null, otherwise we take size property. </w:t>
      </w:r>
    </w:p>
    <w:p w14:paraId="38FDE7EE" w14:textId="77777777" w:rsidR="00373919" w:rsidRPr="00A15C40" w:rsidRDefault="00373919" w:rsidP="00373919">
      <w:pPr>
        <w:rPr>
          <w:lang w:val="en-GB" w:eastAsia="en-SG"/>
        </w:rPr>
      </w:pPr>
    </w:p>
    <w:p w14:paraId="62D82C5A" w14:textId="77777777" w:rsidR="00373919" w:rsidRDefault="00373919" w:rsidP="00373919">
      <w:pPr>
        <w:pStyle w:val="Heading4"/>
      </w:pPr>
      <w:r>
        <w:lastRenderedPageBreak/>
        <w:t>Network Metrics</w:t>
      </w:r>
    </w:p>
    <w:p w14:paraId="1A2A718F" w14:textId="77777777" w:rsidR="00373919" w:rsidRDefault="00373919" w:rsidP="00373919">
      <w:pPr>
        <w:rPr>
          <w:lang w:val="en-GB"/>
        </w:rPr>
      </w:pPr>
      <w:r>
        <w:rPr>
          <w:lang w:val="en-GB"/>
        </w:rPr>
        <w:t>In vCenter, there is no networking metric. The UI has metrics for CPU, memory, cluster services and VM operations.</w:t>
      </w:r>
    </w:p>
    <w:p w14:paraId="69532DE6" w14:textId="77777777" w:rsidR="00373919" w:rsidRDefault="00373919" w:rsidP="00373919">
      <w:pPr>
        <w:rPr>
          <w:lang w:val="en-GB"/>
        </w:rPr>
      </w:pPr>
      <w:r w:rsidRPr="007130A6">
        <w:rPr>
          <w:noProof/>
          <w:lang w:val="en-GB"/>
        </w:rPr>
        <w:drawing>
          <wp:inline distT="0" distB="0" distL="0" distR="0" wp14:anchorId="5AAD5554" wp14:editId="46AF6C8E">
            <wp:extent cx="6645910" cy="2034540"/>
            <wp:effectExtent l="0" t="0" r="2540" b="3810"/>
            <wp:docPr id="918289606" name="Picture 918289606"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06" name="Picture 918289606" descr="Graphical user interface, text, application&#10;&#10;Description automatically generated"/>
                    <pic:cNvPicPr/>
                  </pic:nvPicPr>
                  <pic:blipFill>
                    <a:blip r:embed="rId887"/>
                    <a:stretch>
                      <a:fillRect/>
                    </a:stretch>
                  </pic:blipFill>
                  <pic:spPr>
                    <a:xfrm>
                      <a:off x="0" y="0"/>
                      <a:ext cx="6645910" cy="2034540"/>
                    </a:xfrm>
                    <a:prstGeom prst="rect">
                      <a:avLst/>
                    </a:prstGeom>
                  </pic:spPr>
                </pic:pic>
              </a:graphicData>
            </a:graphic>
          </wp:inline>
        </w:drawing>
      </w:r>
    </w:p>
    <w:p w14:paraId="3714BE2D" w14:textId="77777777" w:rsidR="00373919" w:rsidRDefault="00373919" w:rsidP="00373919">
      <w:pPr>
        <w:pStyle w:val="BeforeTable"/>
        <w:rPr>
          <w:lang w:val="en-GB"/>
        </w:rPr>
      </w:pPr>
    </w:p>
    <w:p w14:paraId="31D09439" w14:textId="77777777" w:rsidR="00373919" w:rsidRDefault="00373919" w:rsidP="00373919">
      <w:pPr>
        <w:rPr>
          <w:lang w:val="en-GB"/>
        </w:rPr>
      </w:pPr>
      <w:r>
        <w:rPr>
          <w:lang w:val="en-GB"/>
        </w:rPr>
        <w:t>Use vRealize Operations to analyze at cluster level. There are 2 levels of network traffic:</w:t>
      </w:r>
    </w:p>
    <w:p w14:paraId="29D31A50" w14:textId="77777777" w:rsidR="00373919" w:rsidRDefault="00373919" w:rsidP="00373919">
      <w:pPr>
        <w:pStyle w:val="BeforeTable"/>
        <w:rPr>
          <w:lang w:val="en-GB"/>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418"/>
        <w:gridCol w:w="9038"/>
      </w:tblGrid>
      <w:tr w:rsidR="00373919" w:rsidRPr="000D69D1" w14:paraId="4728E4E3" w14:textId="77777777" w:rsidTr="00281329">
        <w:tc>
          <w:tcPr>
            <w:tcW w:w="1418" w:type="dxa"/>
            <w:shd w:val="clear" w:color="auto" w:fill="F2F2F2" w:themeFill="background1" w:themeFillShade="F2"/>
          </w:tcPr>
          <w:p w14:paraId="22A52D1B" w14:textId="77777777" w:rsidR="00373919" w:rsidRPr="0017210E" w:rsidRDefault="00373919" w:rsidP="00281329">
            <w:pPr>
              <w:pStyle w:val="Tablecontent"/>
              <w:rPr>
                <w:b/>
                <w:bCs/>
              </w:rPr>
            </w:pPr>
            <w:r w:rsidRPr="0017210E">
              <w:rPr>
                <w:b/>
                <w:bCs/>
                <w:lang w:val="en-GB"/>
              </w:rPr>
              <w:t>VM level</w:t>
            </w:r>
          </w:p>
        </w:tc>
        <w:tc>
          <w:tcPr>
            <w:tcW w:w="9038" w:type="dxa"/>
          </w:tcPr>
          <w:p w14:paraId="35C02792" w14:textId="77777777" w:rsidR="00373919" w:rsidRDefault="00373919" w:rsidP="00281329">
            <w:pPr>
              <w:pStyle w:val="Tablecontent"/>
              <w:rPr>
                <w:lang w:val="en-GB"/>
              </w:rPr>
            </w:pPr>
            <w:r>
              <w:rPr>
                <w:lang w:val="en-GB"/>
              </w:rPr>
              <w:t xml:space="preserve">Sum of traffic from each VM. </w:t>
            </w:r>
          </w:p>
          <w:p w14:paraId="27BADFD0" w14:textId="77777777" w:rsidR="00373919" w:rsidRPr="000D69D1" w:rsidRDefault="00373919" w:rsidP="00281329">
            <w:pPr>
              <w:pStyle w:val="Tablecontent"/>
            </w:pPr>
            <w:r>
              <w:rPr>
                <w:lang w:val="en-GB"/>
              </w:rPr>
              <w:t>This includes VM to VM communication within the ESXi. If both are on the same port group, then the packets do not travel down to the physical NIC. This makes sense as the physical NIC is actually “</w:t>
            </w:r>
            <w:r w:rsidRPr="003F2FF8">
              <w:rPr>
                <w:color w:val="00B0F0"/>
                <w:lang w:val="en-GB"/>
              </w:rPr>
              <w:t xml:space="preserve">at the other </w:t>
            </w:r>
            <w:r>
              <w:rPr>
                <w:color w:val="00B0F0"/>
                <w:lang w:val="en-GB"/>
              </w:rPr>
              <w:t>side</w:t>
            </w:r>
            <w:r>
              <w:rPr>
                <w:lang w:val="en-GB"/>
              </w:rPr>
              <w:t>” of the virtual switch as it’s an uplink</w:t>
            </w:r>
          </w:p>
        </w:tc>
      </w:tr>
      <w:tr w:rsidR="00373919" w:rsidRPr="000D69D1" w14:paraId="302E7EC9" w14:textId="77777777" w:rsidTr="00281329">
        <w:tc>
          <w:tcPr>
            <w:tcW w:w="1418" w:type="dxa"/>
            <w:shd w:val="clear" w:color="auto" w:fill="F2F2F2" w:themeFill="background1" w:themeFillShade="F2"/>
          </w:tcPr>
          <w:p w14:paraId="06E1A665" w14:textId="77777777" w:rsidR="00373919" w:rsidRPr="0017210E" w:rsidRDefault="00373919" w:rsidP="00281329">
            <w:pPr>
              <w:pStyle w:val="Tablecontent"/>
              <w:rPr>
                <w:b/>
                <w:bCs/>
              </w:rPr>
            </w:pPr>
            <w:r w:rsidRPr="0017210E">
              <w:rPr>
                <w:b/>
                <w:bCs/>
                <w:lang w:val="en-GB"/>
              </w:rPr>
              <w:t>ESXi level</w:t>
            </w:r>
          </w:p>
        </w:tc>
        <w:tc>
          <w:tcPr>
            <w:tcW w:w="9038" w:type="dxa"/>
          </w:tcPr>
          <w:p w14:paraId="19B92093" w14:textId="77777777" w:rsidR="00373919" w:rsidRDefault="00373919" w:rsidP="00281329">
            <w:pPr>
              <w:pStyle w:val="Tablecontent"/>
              <w:rPr>
                <w:lang w:val="en-GB"/>
              </w:rPr>
            </w:pPr>
            <w:r>
              <w:rPr>
                <w:lang w:val="en-GB"/>
              </w:rPr>
              <w:t>Sum of traffic from each ESXi.</w:t>
            </w:r>
          </w:p>
          <w:p w14:paraId="6E235D80" w14:textId="77777777" w:rsidR="00373919" w:rsidRDefault="00373919" w:rsidP="00281329">
            <w:pPr>
              <w:pStyle w:val="Tablecontent"/>
              <w:rPr>
                <w:lang w:val="en-GB"/>
              </w:rPr>
            </w:pPr>
            <w:r>
              <w:rPr>
                <w:lang w:val="en-GB"/>
              </w:rPr>
              <w:t>This takes the metrics from each physical network card. At this level, the metrics do not distinguish each VM but includes all traffic from VM and VMkernel.</w:t>
            </w:r>
          </w:p>
          <w:p w14:paraId="5DC6D6E2" w14:textId="77777777" w:rsidR="00373919" w:rsidRPr="000D69D1" w:rsidRDefault="00373919" w:rsidP="00281329">
            <w:pPr>
              <w:pStyle w:val="Tablecontent"/>
            </w:pPr>
            <w:r>
              <w:rPr>
                <w:lang w:val="en-GB"/>
              </w:rPr>
              <w:t>vRealize Operations report on each VMK interface (e.g. vMotion, Management, vSphere Replication)</w:t>
            </w:r>
          </w:p>
        </w:tc>
      </w:tr>
    </w:tbl>
    <w:p w14:paraId="02C2A0F7" w14:textId="77777777" w:rsidR="00373919" w:rsidRDefault="00373919" w:rsidP="00373919">
      <w:pPr>
        <w:rPr>
          <w:lang w:val="en-GB"/>
        </w:rPr>
      </w:pPr>
      <w:r>
        <w:rPr>
          <w:lang w:val="en-GB"/>
        </w:rPr>
        <w:t>Which level do you think have more traffic?</w:t>
      </w:r>
    </w:p>
    <w:p w14:paraId="7FA5E331" w14:textId="77777777" w:rsidR="00373919" w:rsidRDefault="00373919" w:rsidP="00373919">
      <w:pPr>
        <w:rPr>
          <w:lang w:val="en-GB"/>
        </w:rPr>
      </w:pPr>
      <w:r>
        <w:rPr>
          <w:lang w:val="en-GB"/>
        </w:rPr>
        <w:t>I compare 50 clusters and the physical is clearly more. This is expected as it has VM + VMkernel.</w:t>
      </w:r>
    </w:p>
    <w:p w14:paraId="1A09C93D" w14:textId="77777777" w:rsidR="00373919" w:rsidRDefault="00373919" w:rsidP="00373919">
      <w:pPr>
        <w:jc w:val="center"/>
        <w:rPr>
          <w:lang w:val="en-GB"/>
        </w:rPr>
      </w:pPr>
      <w:r w:rsidRPr="009F3919">
        <w:rPr>
          <w:noProof/>
          <w:lang w:val="en-GB"/>
        </w:rPr>
        <w:lastRenderedPageBreak/>
        <w:drawing>
          <wp:inline distT="0" distB="0" distL="0" distR="0" wp14:anchorId="52E452C9" wp14:editId="1C48C2A3">
            <wp:extent cx="4503600" cy="3207600"/>
            <wp:effectExtent l="0" t="0" r="0" b="0"/>
            <wp:docPr id="918289614" name="Picture 91828961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14" name="Picture 918289614" descr="Table&#10;&#10;Description automatically generated"/>
                    <pic:cNvPicPr/>
                  </pic:nvPicPr>
                  <pic:blipFill>
                    <a:blip r:embed="rId888"/>
                    <a:stretch>
                      <a:fillRect/>
                    </a:stretch>
                  </pic:blipFill>
                  <pic:spPr>
                    <a:xfrm>
                      <a:off x="0" y="0"/>
                      <a:ext cx="4503600" cy="3207600"/>
                    </a:xfrm>
                    <a:prstGeom prst="rect">
                      <a:avLst/>
                    </a:prstGeom>
                  </pic:spPr>
                </pic:pic>
              </a:graphicData>
            </a:graphic>
          </wp:inline>
        </w:drawing>
      </w:r>
    </w:p>
    <w:p w14:paraId="0479EC13" w14:textId="77777777" w:rsidR="00373919" w:rsidRDefault="00373919" w:rsidP="00373919">
      <w:pPr>
        <w:rPr>
          <w:lang w:val="en-GB"/>
        </w:rPr>
      </w:pPr>
      <w:r>
        <w:rPr>
          <w:lang w:val="en-GB"/>
        </w:rPr>
        <w:t>Within a cluster, if you plot the virtual versus physical, you get to see the VMkernel network such as vSAN and vMotion. It’s quite interesting to see their absolute amount.</w:t>
      </w:r>
    </w:p>
    <w:p w14:paraId="5462503F" w14:textId="77777777" w:rsidR="00373919" w:rsidRDefault="00373919" w:rsidP="00373919">
      <w:pPr>
        <w:rPr>
          <w:lang w:val="en-GB"/>
        </w:rPr>
      </w:pPr>
      <w:r w:rsidRPr="00696B5F">
        <w:rPr>
          <w:noProof/>
          <w:lang w:val="en-GB"/>
        </w:rPr>
        <w:drawing>
          <wp:inline distT="0" distB="0" distL="0" distR="0" wp14:anchorId="2E5FA3FC" wp14:editId="2622B9F0">
            <wp:extent cx="6645910" cy="1494155"/>
            <wp:effectExtent l="0" t="0" r="2540" b="0"/>
            <wp:docPr id="918289615" name="Picture 918289615" descr="Graphical user interfac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15" name="Picture 918289615" descr="Graphical user interface, chart, histogram&#10;&#10;Description automatically generated"/>
                    <pic:cNvPicPr/>
                  </pic:nvPicPr>
                  <pic:blipFill>
                    <a:blip r:embed="rId889"/>
                    <a:stretch>
                      <a:fillRect/>
                    </a:stretch>
                  </pic:blipFill>
                  <pic:spPr>
                    <a:xfrm>
                      <a:off x="0" y="0"/>
                      <a:ext cx="6645910" cy="1494155"/>
                    </a:xfrm>
                    <a:prstGeom prst="rect">
                      <a:avLst/>
                    </a:prstGeom>
                  </pic:spPr>
                </pic:pic>
              </a:graphicData>
            </a:graphic>
          </wp:inline>
        </w:drawing>
      </w:r>
    </w:p>
    <w:p w14:paraId="28C073AB" w14:textId="47B0310D" w:rsidR="007D48E7" w:rsidRDefault="006A1380" w:rsidP="006A1380">
      <w:pPr>
        <w:pStyle w:val="Heading3"/>
      </w:pPr>
      <w:r>
        <w:t>Performance</w:t>
      </w:r>
    </w:p>
    <w:p w14:paraId="7A2226F5" w14:textId="77777777" w:rsidR="007D48E7" w:rsidRDefault="007D48E7" w:rsidP="007D48E7">
      <w:pPr>
        <w:rPr>
          <w:lang w:val="en-GB"/>
        </w:rPr>
      </w:pPr>
      <w:r>
        <w:rPr>
          <w:lang w:val="en-GB"/>
        </w:rPr>
        <w:t xml:space="preserve">Operationally, you manage at cluster level, not at Resource Pool, ESXi host, or data center level. It’s the sweet spot for starting your monitoring and troubleshooting. As usual, we start with the contention metric, followed by the utilization metric. </w:t>
      </w:r>
    </w:p>
    <w:p w14:paraId="50C7A409" w14:textId="1E1F5337" w:rsidR="007D48E7" w:rsidRDefault="007D48E7" w:rsidP="007D48E7">
      <w:pPr>
        <w:rPr>
          <w:lang w:val="en-GB"/>
        </w:rPr>
      </w:pPr>
      <w:r>
        <w:rPr>
          <w:lang w:val="en-GB"/>
        </w:rPr>
        <w:t>B</w:t>
      </w:r>
      <w:r w:rsidRPr="4CAB3972">
        <w:rPr>
          <w:lang w:val="en-GB"/>
        </w:rPr>
        <w:t>y definition</w:t>
      </w:r>
      <w:r>
        <w:rPr>
          <w:lang w:val="en-GB"/>
        </w:rPr>
        <w:t>,</w:t>
      </w:r>
      <w:r w:rsidRPr="4CAB3972">
        <w:rPr>
          <w:lang w:val="en-GB"/>
        </w:rPr>
        <w:t xml:space="preserve"> the metrics are </w:t>
      </w:r>
      <w:r w:rsidRPr="00934635">
        <w:rPr>
          <w:i/>
          <w:iCs/>
          <w:color w:val="FF0000"/>
          <w:lang w:val="en-GB"/>
        </w:rPr>
        <w:t>average</w:t>
      </w:r>
      <w:r w:rsidRPr="00934635">
        <w:rPr>
          <w:color w:val="FF0000"/>
          <w:lang w:val="en-GB"/>
        </w:rPr>
        <w:t xml:space="preserve"> </w:t>
      </w:r>
      <w:r w:rsidRPr="4CAB3972">
        <w:rPr>
          <w:lang w:val="en-GB"/>
        </w:rPr>
        <w:t xml:space="preserve">numbers. So be careful as there can be VM that has issue but obscured in the cluster wide average. Even the so-called total or summation is mathematically an average. For example, the </w:t>
      </w:r>
      <w:r w:rsidRPr="00917E02">
        <w:rPr>
          <w:color w:val="00B0F0"/>
          <w:lang w:val="en-GB"/>
        </w:rPr>
        <w:t xml:space="preserve">Total CPU Wait </w:t>
      </w:r>
      <w:r w:rsidRPr="4CAB3972">
        <w:rPr>
          <w:lang w:val="en-GB"/>
        </w:rPr>
        <w:t xml:space="preserve">counter is the sum of all ESXi CPU Wait </w:t>
      </w:r>
      <w:r>
        <w:rPr>
          <w:lang w:val="en-GB"/>
        </w:rPr>
        <w:t>metrics</w:t>
      </w:r>
      <w:r w:rsidRPr="4CAB3972">
        <w:rPr>
          <w:lang w:val="en-GB"/>
        </w:rPr>
        <w:t xml:space="preserve">, which in turn is the sum of all the VMs. At the end you get a large number, which you need to normalize and convert into average. Since you divide it against the cluster total, you get average. </w:t>
      </w:r>
    </w:p>
    <w:p w14:paraId="15ECD9EB" w14:textId="77777777" w:rsidR="007D48E7" w:rsidRDefault="007D48E7" w:rsidP="006A1380">
      <w:pPr>
        <w:pStyle w:val="Heading4"/>
      </w:pPr>
      <w:r>
        <w:lastRenderedPageBreak/>
        <w:t>Utilization vs Contention</w:t>
      </w:r>
    </w:p>
    <w:p w14:paraId="3A70CE62" w14:textId="77777777" w:rsidR="007D48E7" w:rsidRDefault="007D48E7" w:rsidP="007D48E7">
      <w:pPr>
        <w:rPr>
          <w:lang w:val="en-GB"/>
        </w:rPr>
      </w:pPr>
      <w:r w:rsidRPr="4CAB3972">
        <w:rPr>
          <w:lang w:val="en-GB"/>
        </w:rPr>
        <w:t>There is a common misconception that you cannot have performance issue when cluster has low utilization.</w:t>
      </w:r>
      <w:r>
        <w:rPr>
          <w:lang w:val="en-GB"/>
        </w:rPr>
        <w:t xml:space="preserve"> </w:t>
      </w:r>
      <w:r w:rsidRPr="4CAB3972">
        <w:rPr>
          <w:lang w:val="en-GB"/>
        </w:rPr>
        <w:t xml:space="preserve">We introduced that problem </w:t>
      </w:r>
      <w:r>
        <w:rPr>
          <w:lang w:val="en-GB"/>
        </w:rPr>
        <w:t xml:space="preserve">as a story earlier </w:t>
      </w:r>
      <w:hyperlink w:anchor="_Contention_vs_Utilization_1">
        <w:r w:rsidRPr="4CAB3972">
          <w:rPr>
            <w:rStyle w:val="Hyperlink"/>
            <w:lang w:val="en-GB"/>
          </w:rPr>
          <w:t>here</w:t>
        </w:r>
      </w:hyperlink>
      <w:r w:rsidRPr="4CAB3972">
        <w:rPr>
          <w:lang w:val="en-GB"/>
        </w:rPr>
        <w:t xml:space="preserve">. </w:t>
      </w:r>
    </w:p>
    <w:p w14:paraId="14AA606B" w14:textId="77777777" w:rsidR="007D48E7" w:rsidRDefault="007D48E7" w:rsidP="007D48E7">
      <w:r>
        <w:t xml:space="preserve">Is there corelation between cluster utilization and cluster contention? </w:t>
      </w:r>
    </w:p>
    <w:p w14:paraId="6741A20A" w14:textId="77777777" w:rsidR="007D48E7" w:rsidRDefault="007D48E7" w:rsidP="007D48E7">
      <w:r>
        <w:t>I’ll show 2 opposite examples.</w:t>
      </w:r>
    </w:p>
    <w:p w14:paraId="5BF24A2C" w14:textId="77777777" w:rsidR="007D48E7" w:rsidRDefault="007D48E7" w:rsidP="006A1380">
      <w:pPr>
        <w:pStyle w:val="Heading5"/>
      </w:pPr>
      <w:r>
        <w:t xml:space="preserve">Example showing Correlation </w:t>
      </w:r>
    </w:p>
    <w:p w14:paraId="79147371" w14:textId="77777777" w:rsidR="007D48E7" w:rsidRDefault="007D48E7" w:rsidP="007D48E7">
      <w:r>
        <w:t>If every VM is given the same treatment by the cluster, then yes.</w:t>
      </w:r>
    </w:p>
    <w:p w14:paraId="209DA0C0" w14:textId="77777777" w:rsidR="007D48E7" w:rsidRDefault="007D48E7" w:rsidP="007D48E7">
      <w:r>
        <w:t>Here is a cluster experiencing regular high utilization in the last 7 days. You can clearly see the peak. The cluster has 14 ESXi Hosts.</w:t>
      </w:r>
    </w:p>
    <w:p w14:paraId="5A2CB266" w14:textId="77777777" w:rsidR="007D48E7" w:rsidRDefault="007D48E7" w:rsidP="007D48E7">
      <w:r w:rsidRPr="00BF3268">
        <w:rPr>
          <w:noProof/>
        </w:rPr>
        <w:drawing>
          <wp:inline distT="0" distB="0" distL="0" distR="0" wp14:anchorId="537768CD" wp14:editId="26FC5897">
            <wp:extent cx="6645910" cy="1732280"/>
            <wp:effectExtent l="0" t="0" r="2540" b="1270"/>
            <wp:docPr id="534447510" name="Picture 534447510" descr="Graphical user interface, 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10" name="Picture 534447510" descr="Graphical user interface, chart, histogram&#10;&#10;Description automatically generated"/>
                    <pic:cNvPicPr/>
                  </pic:nvPicPr>
                  <pic:blipFill>
                    <a:blip r:embed="rId890"/>
                    <a:stretch>
                      <a:fillRect/>
                    </a:stretch>
                  </pic:blipFill>
                  <pic:spPr>
                    <a:xfrm>
                      <a:off x="0" y="0"/>
                      <a:ext cx="6645910" cy="1732280"/>
                    </a:xfrm>
                    <a:prstGeom prst="rect">
                      <a:avLst/>
                    </a:prstGeom>
                  </pic:spPr>
                </pic:pic>
              </a:graphicData>
            </a:graphic>
          </wp:inline>
        </w:drawing>
      </w:r>
    </w:p>
    <w:p w14:paraId="7FC4EC49" w14:textId="77777777" w:rsidR="007D48E7" w:rsidRDefault="007D48E7" w:rsidP="007D48E7">
      <w:r>
        <w:t>A logical question here would be what’s the impact on VM performance? Are they getting the CPU they asked? The cluster has 550 running VM.</w:t>
      </w:r>
    </w:p>
    <w:p w14:paraId="40A9A8AD" w14:textId="77777777" w:rsidR="007D48E7" w:rsidRDefault="007D48E7" w:rsidP="007D48E7">
      <w:r>
        <w:t xml:space="preserve">This is where the contention metrics come in. One tracks the depth of the problem, the other the breadth of the problem. </w:t>
      </w:r>
    </w:p>
    <w:p w14:paraId="47B8CDF0" w14:textId="77777777" w:rsidR="007D48E7" w:rsidRDefault="007D48E7" w:rsidP="007D48E7">
      <w:r>
        <w:t>The counter Percentage of VMs facing CPU Ready &gt; 1% shows a nearly identical pattern. We can see that a big percentage of the VM population is affected.</w:t>
      </w:r>
    </w:p>
    <w:p w14:paraId="17C148E8" w14:textId="77777777" w:rsidR="007D48E7" w:rsidRDefault="007D48E7" w:rsidP="007D48E7">
      <w:r w:rsidRPr="00BF7852">
        <w:rPr>
          <w:noProof/>
        </w:rPr>
        <w:drawing>
          <wp:inline distT="0" distB="0" distL="0" distR="0" wp14:anchorId="39DF63B6" wp14:editId="4A010233">
            <wp:extent cx="6645910" cy="1560195"/>
            <wp:effectExtent l="0" t="0" r="2540" b="1905"/>
            <wp:docPr id="534447511" name="Picture 534447511"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11" name="Picture 534447511" descr="Graphical user interface, chart&#10;&#10;Description automatically generated"/>
                    <pic:cNvPicPr/>
                  </pic:nvPicPr>
                  <pic:blipFill>
                    <a:blip r:embed="rId891"/>
                    <a:stretch>
                      <a:fillRect/>
                    </a:stretch>
                  </pic:blipFill>
                  <pic:spPr>
                    <a:xfrm>
                      <a:off x="0" y="0"/>
                      <a:ext cx="6645910" cy="1560195"/>
                    </a:xfrm>
                    <a:prstGeom prst="rect">
                      <a:avLst/>
                    </a:prstGeom>
                  </pic:spPr>
                </pic:pic>
              </a:graphicData>
            </a:graphic>
          </wp:inline>
        </w:drawing>
      </w:r>
    </w:p>
    <w:p w14:paraId="6D16A227" w14:textId="77777777" w:rsidR="007D48E7" w:rsidRDefault="007D48E7" w:rsidP="007D48E7">
      <w:r>
        <w:t xml:space="preserve">The second counter tracks the depth, giving the absolute worst CPU Ready value experienced by any VM in the cluster. </w:t>
      </w:r>
    </w:p>
    <w:p w14:paraId="1857A303" w14:textId="77777777" w:rsidR="007D48E7" w:rsidRPr="008B64A4" w:rsidRDefault="007D48E7" w:rsidP="007D48E7">
      <w:r w:rsidRPr="00163D7C">
        <w:rPr>
          <w:noProof/>
        </w:rPr>
        <w:lastRenderedPageBreak/>
        <w:drawing>
          <wp:inline distT="0" distB="0" distL="0" distR="0" wp14:anchorId="23BE4A80" wp14:editId="563CE086">
            <wp:extent cx="6645910" cy="1838960"/>
            <wp:effectExtent l="0" t="0" r="2540" b="8890"/>
            <wp:docPr id="534447512" name="Picture 53444751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12" name="Picture 534447512" descr="Graphical user interface&#10;&#10;Description automatically generated"/>
                    <pic:cNvPicPr/>
                  </pic:nvPicPr>
                  <pic:blipFill>
                    <a:blip r:embed="rId892"/>
                    <a:stretch>
                      <a:fillRect/>
                    </a:stretch>
                  </pic:blipFill>
                  <pic:spPr>
                    <a:xfrm>
                      <a:off x="0" y="0"/>
                      <a:ext cx="6645910" cy="1838960"/>
                    </a:xfrm>
                    <a:prstGeom prst="rect">
                      <a:avLst/>
                    </a:prstGeom>
                  </pic:spPr>
                </pic:pic>
              </a:graphicData>
            </a:graphic>
          </wp:inline>
        </w:drawing>
      </w:r>
    </w:p>
    <w:p w14:paraId="751572D8" w14:textId="77777777" w:rsidR="007D48E7" w:rsidRDefault="007D48E7" w:rsidP="006A1380">
      <w:pPr>
        <w:pStyle w:val="Heading5"/>
      </w:pPr>
      <w:r>
        <w:t>Example showing no Correlation</w:t>
      </w:r>
    </w:p>
    <w:p w14:paraId="52E3B09E" w14:textId="77777777" w:rsidR="007D48E7" w:rsidRPr="00A452F2" w:rsidRDefault="007D48E7" w:rsidP="007D48E7">
      <w:pPr>
        <w:rPr>
          <w:lang w:val="en-GB"/>
        </w:rPr>
      </w:pPr>
      <w:r w:rsidRPr="00A452F2">
        <w:rPr>
          <w:lang w:val="en-GB"/>
        </w:rPr>
        <w:t>Performance is unmet demand. VM 0</w:t>
      </w:r>
      <w:r>
        <w:rPr>
          <w:lang w:val="en-GB"/>
        </w:rPr>
        <w:t>07</w:t>
      </w:r>
      <w:r w:rsidRPr="00A452F2">
        <w:rPr>
          <w:lang w:val="en-GB"/>
        </w:rPr>
        <w:t xml:space="preserve"> can face very high contention when all other VMs on the same cluster face no contention. </w:t>
      </w:r>
    </w:p>
    <w:p w14:paraId="03FB89D3" w14:textId="77777777" w:rsidR="007D48E7" w:rsidRDefault="007D48E7" w:rsidP="007D48E7">
      <w:pPr>
        <w:rPr>
          <w:lang w:val="en-GB"/>
        </w:rPr>
      </w:pPr>
      <w:r w:rsidRPr="00A452F2">
        <w:rPr>
          <w:lang w:val="en-GB"/>
        </w:rPr>
        <w:t xml:space="preserve">It is possible for VMs in the cluster to suffer from poor performance, while the cluster utilization is low. One main reason is cluster utilization looks at the provider layer (ESXi), while performance looks at individual consumer (VM). </w:t>
      </w:r>
    </w:p>
    <w:p w14:paraId="63E310C2" w14:textId="77777777" w:rsidR="007D48E7" w:rsidRPr="00A452F2" w:rsidRDefault="007D48E7" w:rsidP="007D48E7">
      <w:pPr>
        <w:rPr>
          <w:lang w:val="en-GB"/>
        </w:rPr>
      </w:pPr>
      <w:r w:rsidRPr="00A452F2">
        <w:rPr>
          <w:lang w:val="en-GB"/>
        </w:rPr>
        <w:t xml:space="preserve">The following cluster has 32 ESXi supporting 2357 VM. The average demand across the cluster is &lt;40%. Since it has 32 ESXi and 2357 VM, we can retire 8 ESXi or add 1K VM. </w:t>
      </w:r>
    </w:p>
    <w:p w14:paraId="1906C9A8" w14:textId="77777777" w:rsidR="007D48E7" w:rsidRPr="00A452F2" w:rsidRDefault="007D48E7" w:rsidP="007D48E7">
      <w:pPr>
        <w:rPr>
          <w:lang w:val="en-GB"/>
        </w:rPr>
      </w:pPr>
      <w:r>
        <w:rPr>
          <w:noProof/>
        </w:rPr>
        <w:drawing>
          <wp:inline distT="0" distB="0" distL="0" distR="0" wp14:anchorId="787E4E37" wp14:editId="208B9682">
            <wp:extent cx="6645910" cy="1886585"/>
            <wp:effectExtent l="0" t="0" r="2540" b="0"/>
            <wp:docPr id="51" name="Picture 4" descr="Graphical user interfac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4" descr="Graphical user interface, chart, scatter chart&#10;&#10;Description automatically generated"/>
                    <pic:cNvPicPr/>
                  </pic:nvPicPr>
                  <pic:blipFill>
                    <a:blip r:embed="rId893">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3DDA5CE5-BF48-4696-9A00-5836D7C5EB60}"/>
                        </a:ext>
                      </a:extLst>
                    </a:blip>
                    <a:stretch>
                      <a:fillRect/>
                    </a:stretch>
                  </pic:blipFill>
                  <pic:spPr>
                    <a:xfrm>
                      <a:off x="0" y="0"/>
                      <a:ext cx="6645910" cy="1886585"/>
                    </a:xfrm>
                    <a:prstGeom prst="rect">
                      <a:avLst/>
                    </a:prstGeom>
                  </pic:spPr>
                </pic:pic>
              </a:graphicData>
            </a:graphic>
          </wp:inline>
        </w:drawing>
      </w:r>
    </w:p>
    <w:p w14:paraId="3472EA14" w14:textId="092FA553" w:rsidR="007D48E7" w:rsidRPr="00A452F2" w:rsidRDefault="007D48E7" w:rsidP="007D48E7">
      <w:pPr>
        <w:rPr>
          <w:lang w:val="en-GB"/>
        </w:rPr>
      </w:pPr>
      <w:r w:rsidRPr="00A452F2">
        <w:rPr>
          <w:lang w:val="en-GB"/>
        </w:rPr>
        <w:t xml:space="preserve">And yet the VMs in the clusters are facing contention. Both VM CPU Ready and CPU </w:t>
      </w:r>
      <w:r w:rsidR="00443625">
        <w:rPr>
          <w:lang w:val="en-GB"/>
        </w:rPr>
        <w:t>Co-stop</w:t>
      </w:r>
      <w:r w:rsidRPr="00A452F2">
        <w:rPr>
          <w:lang w:val="en-GB"/>
        </w:rPr>
        <w:t xml:space="preserve"> are high.</w:t>
      </w:r>
    </w:p>
    <w:p w14:paraId="378AD603" w14:textId="77777777" w:rsidR="007D48E7" w:rsidRDefault="007D48E7" w:rsidP="007D48E7">
      <w:pPr>
        <w:rPr>
          <w:lang w:val="en-GB"/>
        </w:rPr>
      </w:pPr>
      <w:r>
        <w:rPr>
          <w:noProof/>
        </w:rPr>
        <w:drawing>
          <wp:inline distT="0" distB="0" distL="0" distR="0" wp14:anchorId="2619BCE4" wp14:editId="44702B21">
            <wp:extent cx="6645910" cy="2098675"/>
            <wp:effectExtent l="0" t="0" r="2540" b="0"/>
            <wp:docPr id="52" name="Picture 5"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 descr="Graphical user interface, chart&#10;&#10;Description automatically generated"/>
                    <pic:cNvPicPr/>
                  </pic:nvPicPr>
                  <pic:blipFill>
                    <a:blip r:embed="rId894">
                      <a:extLst>
                        <a:ext uri="{FF2B5EF4-FFF2-40B4-BE49-F238E27FC236}">
                          <a16:creationId xmlns="" xmlns:o="urn:schemas-microsoft-com:office:office" xmlns:v="urn:schemas-microsoft-com:vml" xmlns:w10="urn:schemas-microsoft-com:office:word" xmlns:w="http://schemas.openxmlformats.org/wordprocessingml/2006/main" xmlns:a14="http://schemas.microsoft.com/office/drawing/2010/main" xmlns:a16="http://schemas.microsoft.com/office/drawing/2014/main" xmlns:arto="http://schemas.microsoft.com/office/word/2006/arto" id="{43D6BA5F-0A97-4DA3-9BDD-6D4C22F29FB2}"/>
                        </a:ext>
                      </a:extLst>
                    </a:blip>
                    <a:stretch>
                      <a:fillRect/>
                    </a:stretch>
                  </pic:blipFill>
                  <pic:spPr>
                    <a:xfrm>
                      <a:off x="0" y="0"/>
                      <a:ext cx="6645910" cy="2098675"/>
                    </a:xfrm>
                    <a:prstGeom prst="rect">
                      <a:avLst/>
                    </a:prstGeom>
                  </pic:spPr>
                </pic:pic>
              </a:graphicData>
            </a:graphic>
          </wp:inline>
        </w:drawing>
      </w:r>
    </w:p>
    <w:p w14:paraId="6440F546" w14:textId="77777777" w:rsidR="007D48E7" w:rsidRDefault="007D48E7" w:rsidP="007D48E7">
      <w:pPr>
        <w:rPr>
          <w:lang w:val="en-GB"/>
        </w:rPr>
      </w:pPr>
      <w:r>
        <w:rPr>
          <w:lang w:val="en-GB"/>
        </w:rPr>
        <w:lastRenderedPageBreak/>
        <w:t>Let me take another example, where you can see the corelation between cluster utilization and VM contention in the cluster. My apology that the picture is not sharp. You can see the cluster has 774 running VM at the start. One month later it has dropped to 629, a drop of 145 VM or 19%. The second line chart reveals the number of running vCPU dropped from 3019 to 1980, a whopping 1039 vCPU or 34%. That indicates the big VMs were moved out.</w:t>
      </w:r>
    </w:p>
    <w:p w14:paraId="2B0E6382" w14:textId="77777777" w:rsidR="007D48E7" w:rsidRDefault="007D48E7" w:rsidP="007D48E7">
      <w:pPr>
        <w:rPr>
          <w:lang w:val="en-GB"/>
        </w:rPr>
      </w:pPr>
      <w:r>
        <w:rPr>
          <w:lang w:val="en-GB"/>
        </w:rPr>
        <w:t xml:space="preserve">This cluster was running mission critical VMs. What’s going on?! What caused the mass evacuation. </w:t>
      </w:r>
    </w:p>
    <w:p w14:paraId="620C4D56" w14:textId="77777777" w:rsidR="007D48E7" w:rsidRDefault="007D48E7" w:rsidP="007D48E7">
      <w:pPr>
        <w:rPr>
          <w:lang w:val="en-GB"/>
        </w:rPr>
      </w:pPr>
      <w:r>
        <w:rPr>
          <w:lang w:val="en-GB"/>
        </w:rPr>
        <w:t xml:space="preserve">Notice the mass evacuation happened multiple times, so it’s not accidental. </w:t>
      </w:r>
    </w:p>
    <w:p w14:paraId="0CFFD7A7" w14:textId="77777777" w:rsidR="007D48E7" w:rsidRDefault="007D48E7" w:rsidP="007D48E7">
      <w:pPr>
        <w:rPr>
          <w:lang w:val="en-GB"/>
        </w:rPr>
      </w:pPr>
      <w:r>
        <w:rPr>
          <w:lang w:val="en-GB"/>
        </w:rPr>
        <w:t>Looking at the last chart. It has 2 line. Maroon showing utilization, blue showing contention. Can you figure out what happened?</w:t>
      </w:r>
    </w:p>
    <w:p w14:paraId="4E00DB5D" w14:textId="77777777" w:rsidR="007D48E7" w:rsidRDefault="007D48E7" w:rsidP="007D48E7">
      <w:pPr>
        <w:rPr>
          <w:lang w:val="en-GB"/>
        </w:rPr>
      </w:pPr>
      <w:r>
        <w:rPr>
          <w:noProof/>
          <w:lang w:val="en-GB"/>
        </w:rPr>
        <w:drawing>
          <wp:inline distT="0" distB="0" distL="0" distR="0" wp14:anchorId="1E336296" wp14:editId="3459E6EA">
            <wp:extent cx="6669874" cy="4502150"/>
            <wp:effectExtent l="0" t="0" r="0" b="0"/>
            <wp:docPr id="1859674517" name="Picture 185967451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17" name="Picture 1859674517" descr="Graphical user interface&#10;&#10;Description automatically generated"/>
                    <pic:cNvPicPr>
                      <a:picLocks noChangeAspect="1" noChangeArrowheads="1"/>
                    </pic:cNvPicPr>
                  </pic:nvPicPr>
                  <pic:blipFill>
                    <a:blip r:embed="rId895">
                      <a:extLst>
                        <a:ext uri="{28A0092B-C50C-407E-A947-70E740481C1C}">
                          <a14:useLocalDpi xmlns:a14="http://schemas.microsoft.com/office/drawing/2010/main" val="0"/>
                        </a:ext>
                      </a:extLst>
                    </a:blip>
                    <a:srcRect/>
                    <a:stretch>
                      <a:fillRect/>
                    </a:stretch>
                  </pic:blipFill>
                  <pic:spPr bwMode="auto">
                    <a:xfrm>
                      <a:off x="0" y="0"/>
                      <a:ext cx="6674024" cy="4504951"/>
                    </a:xfrm>
                    <a:prstGeom prst="rect">
                      <a:avLst/>
                    </a:prstGeom>
                    <a:noFill/>
                  </pic:spPr>
                </pic:pic>
              </a:graphicData>
            </a:graphic>
          </wp:inline>
        </w:drawing>
      </w:r>
    </w:p>
    <w:p w14:paraId="11EC5362" w14:textId="77777777" w:rsidR="007D48E7" w:rsidRDefault="007D48E7" w:rsidP="007D48E7">
      <w:pPr>
        <w:rPr>
          <w:lang w:val="en-GB"/>
        </w:rPr>
      </w:pPr>
      <w:r>
        <w:rPr>
          <w:lang w:val="en-GB"/>
        </w:rPr>
        <w:t xml:space="preserve">The cluster utilization was hovering around 50%. In that entire month, it barely moved. This cluster was probably 16 nodes, so 50% utilization means you can easily take out a few ESXi hosts actually. </w:t>
      </w:r>
    </w:p>
    <w:p w14:paraId="32478CDA" w14:textId="77777777" w:rsidR="007D48E7" w:rsidRDefault="007D48E7" w:rsidP="007D48E7">
      <w:pPr>
        <w:rPr>
          <w:lang w:val="en-GB"/>
        </w:rPr>
      </w:pPr>
      <w:r>
        <w:rPr>
          <w:lang w:val="en-GB"/>
        </w:rPr>
        <w:t xml:space="preserve">The </w:t>
      </w:r>
      <w:r w:rsidRPr="00B27025">
        <w:rPr>
          <w:color w:val="00B0F0"/>
          <w:lang w:val="en-GB"/>
        </w:rPr>
        <w:t>Max VM CPU Contention</w:t>
      </w:r>
      <w:r>
        <w:rPr>
          <w:lang w:val="en-GB"/>
        </w:rPr>
        <w:t xml:space="preserve"> told a different story. Notice it spiked well above 75%. That impacted at least 1 VM. There were multiple spikes, leading to multiple complaints, and eventually infrastructure was forced to evacuate the cluster to fix the performance problem. Notice the counter dropped gradually in November, despite utilization remains fairly stable. </w:t>
      </w:r>
    </w:p>
    <w:p w14:paraId="7DF34E26" w14:textId="77777777" w:rsidR="007D48E7" w:rsidRDefault="007D48E7" w:rsidP="006A1380">
      <w:pPr>
        <w:pStyle w:val="Heading5"/>
      </w:pPr>
      <w:r>
        <w:lastRenderedPageBreak/>
        <w:t xml:space="preserve">Example for Memory </w:t>
      </w:r>
    </w:p>
    <w:p w14:paraId="7A0A0887" w14:textId="77777777" w:rsidR="007D48E7" w:rsidRDefault="007D48E7" w:rsidP="007D48E7">
      <w:pPr>
        <w:rPr>
          <w:lang w:val="en-GB"/>
        </w:rPr>
      </w:pPr>
      <w:r>
        <w:rPr>
          <w:lang w:val="en-GB"/>
        </w:rPr>
        <w:t>We covered 2 examples for CPU. What about memory, since it’s a form storage. It’s just a disk space basically, so can VM experience contention when Cluster consume metric is not high?</w:t>
      </w:r>
    </w:p>
    <w:p w14:paraId="6DF625A4" w14:textId="77777777" w:rsidR="007D48E7" w:rsidRDefault="007D48E7" w:rsidP="007D48E7">
      <w:pPr>
        <w:rPr>
          <w:lang w:val="en-GB"/>
        </w:rPr>
      </w:pPr>
      <w:r>
        <w:rPr>
          <w:lang w:val="en-GB"/>
        </w:rPr>
        <w:t>I’d zoom into ESXi, so it’s easier to see. What do you deduce from this ESXi? This chart shows 1 month worth of data.</w:t>
      </w:r>
    </w:p>
    <w:p w14:paraId="170EF57F" w14:textId="77777777" w:rsidR="007D48E7" w:rsidRDefault="007D48E7" w:rsidP="007D48E7">
      <w:pPr>
        <w:rPr>
          <w:lang w:val="en-GB"/>
        </w:rPr>
      </w:pPr>
      <w:r w:rsidRPr="006C4699">
        <w:rPr>
          <w:noProof/>
          <w:lang w:val="en-GB"/>
        </w:rPr>
        <w:drawing>
          <wp:inline distT="0" distB="0" distL="0" distR="0" wp14:anchorId="77FC715A" wp14:editId="2A957B70">
            <wp:extent cx="6645910" cy="1542415"/>
            <wp:effectExtent l="0" t="0" r="2540" b="635"/>
            <wp:docPr id="3" name="Picture 3"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10;&#10;Description automatically generated with medium confidence"/>
                    <pic:cNvPicPr/>
                  </pic:nvPicPr>
                  <pic:blipFill>
                    <a:blip r:embed="rId896"/>
                    <a:stretch>
                      <a:fillRect/>
                    </a:stretch>
                  </pic:blipFill>
                  <pic:spPr>
                    <a:xfrm>
                      <a:off x="0" y="0"/>
                      <a:ext cx="6645910" cy="1542415"/>
                    </a:xfrm>
                    <a:prstGeom prst="rect">
                      <a:avLst/>
                    </a:prstGeom>
                  </pic:spPr>
                </pic:pic>
              </a:graphicData>
            </a:graphic>
          </wp:inline>
        </w:drawing>
      </w:r>
    </w:p>
    <w:p w14:paraId="33ECD8C9" w14:textId="77777777" w:rsidR="007D48E7" w:rsidRDefault="007D48E7" w:rsidP="007D48E7">
      <w:pPr>
        <w:rPr>
          <w:lang w:val="en-GB"/>
        </w:rPr>
      </w:pPr>
      <w:r>
        <w:rPr>
          <w:lang w:val="en-GB"/>
        </w:rPr>
        <w:t>It has 759 GB of usable memory. All the powered on VM has 444 GB configured, out of which only 413 GB is mapped to physical DIMM. So there is plenty of memory left.</w:t>
      </w:r>
    </w:p>
    <w:p w14:paraId="20457415" w14:textId="77777777" w:rsidR="007D48E7" w:rsidRDefault="007D48E7" w:rsidP="007D48E7">
      <w:pPr>
        <w:rPr>
          <w:lang w:val="en-GB"/>
        </w:rPr>
      </w:pPr>
      <w:r>
        <w:rPr>
          <w:lang w:val="en-GB"/>
        </w:rPr>
        <w:t>To confirm that it has plenty of memory, let’s plot Balloon. What do you expect?</w:t>
      </w:r>
    </w:p>
    <w:p w14:paraId="23831409" w14:textId="77777777" w:rsidR="007D48E7" w:rsidRDefault="007D48E7" w:rsidP="007D48E7">
      <w:pPr>
        <w:rPr>
          <w:lang w:val="en-GB"/>
        </w:rPr>
      </w:pPr>
      <w:r w:rsidRPr="006C4699">
        <w:rPr>
          <w:noProof/>
          <w:lang w:val="en-GB"/>
        </w:rPr>
        <w:drawing>
          <wp:inline distT="0" distB="0" distL="0" distR="0" wp14:anchorId="43AD4756" wp14:editId="69968B4D">
            <wp:extent cx="6645910" cy="911225"/>
            <wp:effectExtent l="0" t="0" r="2540" b="3175"/>
            <wp:docPr id="1293284801" name="Picture 129328480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01" name="Picture 1293284801" descr="Table&#10;&#10;Description automatically generated"/>
                    <pic:cNvPicPr/>
                  </pic:nvPicPr>
                  <pic:blipFill>
                    <a:blip r:embed="rId897"/>
                    <a:stretch>
                      <a:fillRect/>
                    </a:stretch>
                  </pic:blipFill>
                  <pic:spPr>
                    <a:xfrm>
                      <a:off x="0" y="0"/>
                      <a:ext cx="6645910" cy="911225"/>
                    </a:xfrm>
                    <a:prstGeom prst="rect">
                      <a:avLst/>
                    </a:prstGeom>
                  </pic:spPr>
                </pic:pic>
              </a:graphicData>
            </a:graphic>
          </wp:inline>
        </w:drawing>
      </w:r>
    </w:p>
    <w:p w14:paraId="76A45EE7" w14:textId="77777777" w:rsidR="007D48E7" w:rsidRDefault="007D48E7" w:rsidP="007D48E7">
      <w:pPr>
        <w:rPr>
          <w:lang w:val="en-GB"/>
        </w:rPr>
      </w:pPr>
      <w:r>
        <w:rPr>
          <w:lang w:val="en-GB"/>
        </w:rPr>
        <w:t>There is no ballooning. ESXi was under no memory pressure whatsoever.</w:t>
      </w:r>
    </w:p>
    <w:p w14:paraId="1AD9C89E" w14:textId="77777777" w:rsidR="007D48E7" w:rsidRDefault="007D48E7" w:rsidP="007D48E7">
      <w:pPr>
        <w:rPr>
          <w:lang w:val="en-GB"/>
        </w:rPr>
      </w:pPr>
      <w:r>
        <w:rPr>
          <w:lang w:val="en-GB"/>
        </w:rPr>
        <w:t>So that’s the situation at provider level. How about consumer level?</w:t>
      </w:r>
    </w:p>
    <w:p w14:paraId="2FF22340" w14:textId="77777777" w:rsidR="007D48E7" w:rsidRDefault="007D48E7" w:rsidP="007D48E7">
      <w:pPr>
        <w:rPr>
          <w:lang w:val="en-GB"/>
        </w:rPr>
      </w:pPr>
      <w:r>
        <w:rPr>
          <w:lang w:val="en-GB"/>
        </w:rPr>
        <w:t>vRealize Operations has a metric that tracks the highest memory contention experienced by any VM in the host. This is a good leading indicator as all it takes is 1 VM, it matters not which VM.</w:t>
      </w:r>
    </w:p>
    <w:p w14:paraId="773F1D85" w14:textId="77777777" w:rsidR="007D48E7" w:rsidRDefault="007D48E7" w:rsidP="007D48E7">
      <w:pPr>
        <w:rPr>
          <w:lang w:val="en-GB"/>
        </w:rPr>
      </w:pPr>
      <w:r>
        <w:rPr>
          <w:lang w:val="en-GB"/>
        </w:rPr>
        <w:t>As we can see here, there is a problem.</w:t>
      </w:r>
    </w:p>
    <w:p w14:paraId="4B5C7E43" w14:textId="77777777" w:rsidR="007D48E7" w:rsidRDefault="007D48E7" w:rsidP="007D48E7">
      <w:pPr>
        <w:rPr>
          <w:lang w:val="en-GB"/>
        </w:rPr>
      </w:pPr>
      <w:r w:rsidRPr="00A0051A">
        <w:rPr>
          <w:noProof/>
          <w:lang w:val="en-GB"/>
        </w:rPr>
        <w:drawing>
          <wp:inline distT="0" distB="0" distL="0" distR="0" wp14:anchorId="4F6AF9BD" wp14:editId="55FBAFA9">
            <wp:extent cx="6645910" cy="2950210"/>
            <wp:effectExtent l="0" t="0" r="2540" b="2540"/>
            <wp:docPr id="1293284802" name="Picture 129328480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02" name="Picture 1293284802" descr="Chart&#10;&#10;Description automatically generated"/>
                    <pic:cNvPicPr/>
                  </pic:nvPicPr>
                  <pic:blipFill>
                    <a:blip r:embed="rId898"/>
                    <a:stretch>
                      <a:fillRect/>
                    </a:stretch>
                  </pic:blipFill>
                  <pic:spPr>
                    <a:xfrm>
                      <a:off x="0" y="0"/>
                      <a:ext cx="6645910" cy="2950210"/>
                    </a:xfrm>
                    <a:prstGeom prst="rect">
                      <a:avLst/>
                    </a:prstGeom>
                  </pic:spPr>
                </pic:pic>
              </a:graphicData>
            </a:graphic>
          </wp:inline>
        </w:drawing>
      </w:r>
    </w:p>
    <w:p w14:paraId="3664AF6D" w14:textId="77777777" w:rsidR="007D48E7" w:rsidRDefault="007D48E7" w:rsidP="007D48E7">
      <w:pPr>
        <w:rPr>
          <w:lang w:val="en-GB"/>
        </w:rPr>
      </w:pPr>
      <w:r>
        <w:rPr>
          <w:lang w:val="en-GB"/>
        </w:rPr>
        <w:lastRenderedPageBreak/>
        <w:t>Can you explain why?</w:t>
      </w:r>
    </w:p>
    <w:p w14:paraId="4FAAAF54" w14:textId="77777777" w:rsidR="007D48E7" w:rsidRDefault="007D48E7" w:rsidP="007D48E7">
      <w:pPr>
        <w:rPr>
          <w:lang w:val="en-GB"/>
        </w:rPr>
      </w:pPr>
      <w:r>
        <w:rPr>
          <w:lang w:val="en-GB"/>
        </w:rPr>
        <w:t>A VM experiences contention when the page is not in the DIMM. It was compressed or swapped out. Checking the compressed metric, it reveals that pages had to be brought it. Notice the swap metric lagged a bit, which makes sense.</w:t>
      </w:r>
    </w:p>
    <w:p w14:paraId="62151556" w14:textId="77777777" w:rsidR="007D48E7" w:rsidRDefault="007D48E7" w:rsidP="007D48E7">
      <w:pPr>
        <w:rPr>
          <w:lang w:val="en-GB"/>
        </w:rPr>
      </w:pPr>
      <w:r w:rsidRPr="000F6B12">
        <w:rPr>
          <w:noProof/>
          <w:lang w:val="en-GB"/>
        </w:rPr>
        <w:drawing>
          <wp:inline distT="0" distB="0" distL="0" distR="0" wp14:anchorId="338EC4BB" wp14:editId="071E07B7">
            <wp:extent cx="6645910" cy="2145030"/>
            <wp:effectExtent l="0" t="0" r="2540" b="7620"/>
            <wp:docPr id="1859674515" name="Picture 1859674515"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15" name="Picture 1859674515" descr="A picture containing graphical user interface&#10;&#10;Description automatically generated"/>
                    <pic:cNvPicPr/>
                  </pic:nvPicPr>
                  <pic:blipFill>
                    <a:blip r:embed="rId899"/>
                    <a:stretch>
                      <a:fillRect/>
                    </a:stretch>
                  </pic:blipFill>
                  <pic:spPr>
                    <a:xfrm>
                      <a:off x="0" y="0"/>
                      <a:ext cx="6645910" cy="2145030"/>
                    </a:xfrm>
                    <a:prstGeom prst="rect">
                      <a:avLst/>
                    </a:prstGeom>
                  </pic:spPr>
                </pic:pic>
              </a:graphicData>
            </a:graphic>
          </wp:inline>
        </w:drawing>
      </w:r>
    </w:p>
    <w:p w14:paraId="5DE06CB1" w14:textId="67D2BD1E" w:rsidR="007D48E7" w:rsidRDefault="007D48E7" w:rsidP="007D48E7">
      <w:pPr>
        <w:rPr>
          <w:lang w:val="en-GB"/>
        </w:rPr>
      </w:pPr>
      <w:r>
        <w:rPr>
          <w:lang w:val="en-GB"/>
        </w:rPr>
        <w:t xml:space="preserve">I am not able to explain the earlier dropped, the one in </w:t>
      </w:r>
      <w:r w:rsidR="00CF7D2C" w:rsidRPr="00CF7D2C">
        <w:rPr>
          <w:color w:val="FF0000"/>
          <w:lang w:val="en-GB"/>
        </w:rPr>
        <w:t>red</w:t>
      </w:r>
      <w:r>
        <w:rPr>
          <w:lang w:val="en-GB"/>
        </w:rPr>
        <w:t xml:space="preserve"> circle. If you can drop me a note.</w:t>
      </w:r>
    </w:p>
    <w:p w14:paraId="05B6A416" w14:textId="77777777" w:rsidR="007D48E7" w:rsidRDefault="007D48E7" w:rsidP="007D48E7">
      <w:pPr>
        <w:rPr>
          <w:lang w:val="en-GB"/>
        </w:rPr>
      </w:pPr>
      <w:r>
        <w:rPr>
          <w:lang w:val="en-GB"/>
        </w:rPr>
        <w:t>Let’s complete by plotting Swapped. I’m plotting all the way to the beginning of tracking.</w:t>
      </w:r>
    </w:p>
    <w:p w14:paraId="4AC1950B" w14:textId="77777777" w:rsidR="007D48E7" w:rsidRDefault="007D48E7" w:rsidP="007D48E7">
      <w:pPr>
        <w:rPr>
          <w:lang w:val="en-GB"/>
        </w:rPr>
      </w:pPr>
      <w:r>
        <w:rPr>
          <w:lang w:val="en-GB"/>
        </w:rPr>
        <w:t>It’s all 0. What happened?</w:t>
      </w:r>
    </w:p>
    <w:p w14:paraId="7F7F918C" w14:textId="77777777" w:rsidR="007D48E7" w:rsidRDefault="007D48E7" w:rsidP="007D48E7">
      <w:pPr>
        <w:rPr>
          <w:lang w:val="en-GB"/>
        </w:rPr>
      </w:pPr>
      <w:r>
        <w:rPr>
          <w:lang w:val="en-GB"/>
        </w:rPr>
        <w:t>That means all the pages could be compressed, so ESXi decided to compress instead of putting them into swapped file.</w:t>
      </w:r>
    </w:p>
    <w:p w14:paraId="5BFF9DCC" w14:textId="77777777" w:rsidR="007D48E7" w:rsidRDefault="007D48E7" w:rsidP="007D48E7">
      <w:pPr>
        <w:rPr>
          <w:lang w:val="en-GB"/>
        </w:rPr>
      </w:pPr>
      <w:r>
        <w:rPr>
          <w:lang w:val="en-GB"/>
        </w:rPr>
        <w:t>Now that we know it’s due to compression, we know the contention on 5 September was caused by compression. When was that page compressed, no one knows. Plotting back, the compression started around 2 August.</w:t>
      </w:r>
    </w:p>
    <w:p w14:paraId="78557159" w14:textId="77777777" w:rsidR="007D48E7" w:rsidRDefault="007D48E7" w:rsidP="007D48E7">
      <w:pPr>
        <w:rPr>
          <w:lang w:val="en-GB"/>
        </w:rPr>
      </w:pPr>
      <w:r w:rsidRPr="00D0702B">
        <w:rPr>
          <w:noProof/>
          <w:lang w:val="en-GB"/>
        </w:rPr>
        <w:drawing>
          <wp:inline distT="0" distB="0" distL="0" distR="0" wp14:anchorId="261A996D" wp14:editId="657CA8F0">
            <wp:extent cx="6645910" cy="916940"/>
            <wp:effectExtent l="0" t="0" r="2540" b="0"/>
            <wp:docPr id="1859674516" name="Picture 1859674516" descr="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16" name="Picture 1859674516" descr="Application&#10;&#10;Description automatically generated with medium confidence"/>
                    <pic:cNvPicPr/>
                  </pic:nvPicPr>
                  <pic:blipFill>
                    <a:blip r:embed="rId900"/>
                    <a:stretch>
                      <a:fillRect/>
                    </a:stretch>
                  </pic:blipFill>
                  <pic:spPr>
                    <a:xfrm>
                      <a:off x="0" y="0"/>
                      <a:ext cx="6645910" cy="916940"/>
                    </a:xfrm>
                    <a:prstGeom prst="rect">
                      <a:avLst/>
                    </a:prstGeom>
                  </pic:spPr>
                </pic:pic>
              </a:graphicData>
            </a:graphic>
          </wp:inline>
        </w:drawing>
      </w:r>
    </w:p>
    <w:p w14:paraId="00EA6629" w14:textId="77777777" w:rsidR="007D48E7" w:rsidRDefault="007D48E7" w:rsidP="007D48E7">
      <w:pPr>
        <w:rPr>
          <w:lang w:val="en-GB"/>
        </w:rPr>
      </w:pPr>
      <w:r>
        <w:rPr>
          <w:lang w:val="en-GB"/>
        </w:rPr>
        <w:t>The compression was only 342 MB. Not even 0.1% of consumed memory. But if you are unlucky, it was the active VM that got hit, as in the case here.</w:t>
      </w:r>
    </w:p>
    <w:p w14:paraId="3B5DEC11" w14:textId="77777777" w:rsidR="007D48E7" w:rsidRPr="00A452F2" w:rsidRDefault="007D48E7" w:rsidP="007D48E7">
      <w:pPr>
        <w:rPr>
          <w:lang w:val="en-GB"/>
        </w:rPr>
      </w:pPr>
      <w:r>
        <w:rPr>
          <w:lang w:val="en-GB"/>
        </w:rPr>
        <w:t>The past is harder to debug, as we lack the ability to travel back in time and see the environment as it was. My guess here is the VM had limit, be it indirectly via resource pool or directly.</w:t>
      </w:r>
    </w:p>
    <w:p w14:paraId="7EFD7B6A" w14:textId="77777777" w:rsidR="006A1380" w:rsidRDefault="006A1380" w:rsidP="006A1380">
      <w:pPr>
        <w:pStyle w:val="Heading4"/>
      </w:pPr>
      <w:r>
        <w:t>Cluster Performance (%)</w:t>
      </w:r>
    </w:p>
    <w:p w14:paraId="5D74A065" w14:textId="77777777" w:rsidR="006A1380" w:rsidRDefault="006A1380" w:rsidP="006A1380">
      <w:pPr>
        <w:rPr>
          <w:lang w:val="en-GB"/>
        </w:rPr>
      </w:pPr>
      <w:r>
        <w:rPr>
          <w:lang w:val="en-GB"/>
        </w:rPr>
        <w:t xml:space="preserve">Now that we can quantify the KPI of a single VM, we are in a position to define the cluster performance. How would you represent all the VMs in the cluster? Do you simply average the VM KPI (%)? </w:t>
      </w:r>
    </w:p>
    <w:p w14:paraId="5E3A2B84" w14:textId="77777777" w:rsidR="006A1380" w:rsidRDefault="006A1380" w:rsidP="006A1380">
      <w:pPr>
        <w:rPr>
          <w:lang w:val="en-GB"/>
        </w:rPr>
      </w:pPr>
      <w:r>
        <w:rPr>
          <w:lang w:val="en-GB"/>
        </w:rPr>
        <w:lastRenderedPageBreak/>
        <w:t xml:space="preserve">The answer is </w:t>
      </w:r>
      <w:r w:rsidRPr="00980BBE">
        <w:rPr>
          <w:color w:val="FF0000"/>
          <w:lang w:val="en-GB"/>
        </w:rPr>
        <w:t>no</w:t>
      </w:r>
      <w:r>
        <w:rPr>
          <w:lang w:val="en-GB"/>
        </w:rPr>
        <w:t>. A cluster has a different purpose to a VM, so we need to see it from cluster point of view. For examples:</w:t>
      </w:r>
    </w:p>
    <w:p w14:paraId="78A44536" w14:textId="77777777" w:rsidR="006A1380" w:rsidRDefault="006A1380" w:rsidP="006A1380">
      <w:pPr>
        <w:pStyle w:val="Bullet"/>
        <w:rPr>
          <w:lang w:val="en-GB"/>
        </w:rPr>
      </w:pPr>
      <w:r w:rsidRPr="002A27DC">
        <w:rPr>
          <w:lang w:val="en-GB"/>
        </w:rPr>
        <w:t>Contention within the VMs</w:t>
      </w:r>
      <w:r>
        <w:rPr>
          <w:lang w:val="en-GB"/>
        </w:rPr>
        <w:t xml:space="preserve"> (e.g. in Windows or Linux) is not a good indicator of cluster performance. </w:t>
      </w:r>
    </w:p>
    <w:p w14:paraId="510015C9" w14:textId="77777777" w:rsidR="006A1380" w:rsidRPr="002A27DC" w:rsidRDefault="006A1380" w:rsidP="006A1380">
      <w:pPr>
        <w:pStyle w:val="Bullet"/>
        <w:rPr>
          <w:lang w:val="en-GB"/>
        </w:rPr>
      </w:pPr>
      <w:r>
        <w:rPr>
          <w:lang w:val="en-GB"/>
        </w:rPr>
        <w:t>Slow vMotion impacts the VM performance. At cluster level, this is not necessarily explaining that the cluster is struggling. It could be DRS is set to aggressive. This is a secondary KPI to the cluster, not primary.</w:t>
      </w:r>
    </w:p>
    <w:p w14:paraId="0B50B2E3" w14:textId="77777777" w:rsidR="006A1380" w:rsidRDefault="006A1380" w:rsidP="006A1380">
      <w:pPr>
        <w:rPr>
          <w:lang w:val="en-GB"/>
        </w:rPr>
      </w:pPr>
      <w:r>
        <w:rPr>
          <w:lang w:val="en-GB"/>
        </w:rPr>
        <w:t xml:space="preserve">Review the following metrics carefully. What do you notice? </w:t>
      </w:r>
    </w:p>
    <w:p w14:paraId="31EB7366" w14:textId="77777777" w:rsidR="006A1380" w:rsidRDefault="006A1380" w:rsidP="006A1380">
      <w:pPr>
        <w:rPr>
          <w:lang w:val="en-GB"/>
        </w:rPr>
      </w:pPr>
      <w:r w:rsidRPr="00E42CBE">
        <w:rPr>
          <w:noProof/>
          <w:lang w:val="en-GB"/>
        </w:rPr>
        <w:drawing>
          <wp:inline distT="0" distB="0" distL="0" distR="0" wp14:anchorId="143557EB" wp14:editId="5D7A8BB1">
            <wp:extent cx="6645910" cy="3082290"/>
            <wp:effectExtent l="0" t="0" r="2540" b="3810"/>
            <wp:docPr id="1525330286" name="Picture 152533028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86" name="Picture 1525330286" descr="Table&#10;&#10;Description automatically generated"/>
                    <pic:cNvPicPr/>
                  </pic:nvPicPr>
                  <pic:blipFill>
                    <a:blip r:embed="rId901"/>
                    <a:stretch>
                      <a:fillRect/>
                    </a:stretch>
                  </pic:blipFill>
                  <pic:spPr>
                    <a:xfrm>
                      <a:off x="0" y="0"/>
                      <a:ext cx="6645910" cy="3082290"/>
                    </a:xfrm>
                    <a:prstGeom prst="rect">
                      <a:avLst/>
                    </a:prstGeom>
                  </pic:spPr>
                </pic:pic>
              </a:graphicData>
            </a:graphic>
          </wp:inline>
        </w:drawing>
      </w:r>
    </w:p>
    <w:p w14:paraId="30B6EE17" w14:textId="77777777" w:rsidR="006A1380" w:rsidRDefault="006A1380" w:rsidP="006A1380">
      <w:pPr>
        <w:rPr>
          <w:lang w:val="en-GB"/>
        </w:rPr>
      </w:pPr>
      <w:r>
        <w:rPr>
          <w:lang w:val="en-GB"/>
        </w:rPr>
        <w:t xml:space="preserve">The metrics are grouped into 2: breadth and depth. We cover why we need both </w:t>
      </w:r>
      <w:hyperlink w:anchor="_Depth_vs_Breadth_2" w:history="1">
        <w:r w:rsidRPr="005C40A3">
          <w:rPr>
            <w:rStyle w:val="Hyperlink"/>
            <w:lang w:val="en-GB"/>
          </w:rPr>
          <w:t>earlier</w:t>
        </w:r>
      </w:hyperlink>
      <w:r>
        <w:rPr>
          <w:lang w:val="en-GB"/>
        </w:rPr>
        <w:t xml:space="preserve"> in Part 1 Performance Management chapter. </w:t>
      </w:r>
    </w:p>
    <w:p w14:paraId="7B6A7DDC" w14:textId="40B14332" w:rsidR="008D10AB" w:rsidRPr="00A873F7" w:rsidRDefault="008D10AB" w:rsidP="006A1380">
      <w:pPr>
        <w:rPr>
          <w:lang w:val="en-GB"/>
        </w:rPr>
      </w:pPr>
      <w:r>
        <w:rPr>
          <w:lang w:val="en-GB"/>
        </w:rPr>
        <w:t>If you think average is too late, use 95</w:t>
      </w:r>
      <w:r w:rsidRPr="008D10AB">
        <w:rPr>
          <w:vertAlign w:val="superscript"/>
          <w:lang w:val="en-GB"/>
        </w:rPr>
        <w:t>th</w:t>
      </w:r>
      <w:r>
        <w:rPr>
          <w:lang w:val="en-GB"/>
        </w:rPr>
        <w:t xml:space="preserve"> percentile instead.</w:t>
      </w:r>
    </w:p>
    <w:p w14:paraId="74D8C09E" w14:textId="77777777" w:rsidR="006A1380" w:rsidRDefault="006A1380" w:rsidP="006A1380">
      <w:pPr>
        <w:pStyle w:val="Heading5"/>
      </w:pPr>
      <w:r>
        <w:t>Big Data</w:t>
      </w:r>
    </w:p>
    <w:p w14:paraId="3A626C8D" w14:textId="77777777" w:rsidR="006A1380" w:rsidRDefault="006A1380" w:rsidP="006A1380">
      <w:pPr>
        <w:rPr>
          <w:lang w:val="en-GB"/>
        </w:rPr>
      </w:pPr>
      <w:r>
        <w:rPr>
          <w:lang w:val="en-GB"/>
        </w:rPr>
        <w:t xml:space="preserve">Notice the sheer number of metrics involved to properly represent the cluster performance. It is important to provide complete coverage. </w:t>
      </w:r>
    </w:p>
    <w:p w14:paraId="6CEB4080" w14:textId="77777777" w:rsidR="006A1380" w:rsidRDefault="006A1380" w:rsidP="006A1380">
      <w:pPr>
        <w:rPr>
          <w:lang w:val="en-GB"/>
        </w:rPr>
      </w:pPr>
      <w:r>
        <w:rPr>
          <w:lang w:val="en-GB"/>
        </w:rPr>
        <w:t xml:space="preserve">Say you have a cluster with 1000 VM and 20 ESXi hosts. The average VM size is 4 vCPU. </w:t>
      </w:r>
    </w:p>
    <w:p w14:paraId="18166231" w14:textId="77777777" w:rsidR="006A1380" w:rsidRDefault="006A1380" w:rsidP="006A1380">
      <w:pPr>
        <w:rPr>
          <w:lang w:val="en-GB"/>
        </w:rPr>
      </w:pPr>
      <w:r>
        <w:rPr>
          <w:lang w:val="en-GB"/>
        </w:rPr>
        <w:t>The first counter in the preceding table is “</w:t>
      </w:r>
      <w:r w:rsidRPr="00871F42">
        <w:rPr>
          <w:color w:val="00B0F0"/>
          <w:lang w:val="en-GB"/>
        </w:rPr>
        <w:t>Worst vCPU Ready among all VMs</w:t>
      </w:r>
      <w:r>
        <w:rPr>
          <w:lang w:val="en-GB"/>
        </w:rPr>
        <w:t>”.</w:t>
      </w:r>
    </w:p>
    <w:p w14:paraId="2DC1B6A9" w14:textId="77777777" w:rsidR="006A1380" w:rsidRDefault="006A1380" w:rsidP="006A1380">
      <w:pPr>
        <w:pStyle w:val="Bullet"/>
        <w:rPr>
          <w:lang w:val="en-GB"/>
        </w:rPr>
      </w:pPr>
      <w:r>
        <w:rPr>
          <w:lang w:val="en-GB"/>
        </w:rPr>
        <w:t xml:space="preserve">Based on average VM size of 4 vCPU, we can roughly say that each VM contributes 4 metrics, 1 for each vCPU. From this counter, we take the maximum value and derive a new metric. This means each VM has 5 metrics (4 details + 1 worst). </w:t>
      </w:r>
    </w:p>
    <w:p w14:paraId="7B894875" w14:textId="77777777" w:rsidR="006A1380" w:rsidRDefault="006A1380" w:rsidP="006A1380">
      <w:pPr>
        <w:pStyle w:val="Bullet"/>
        <w:rPr>
          <w:lang w:val="en-GB"/>
        </w:rPr>
      </w:pPr>
      <w:r>
        <w:rPr>
          <w:lang w:val="en-GB"/>
        </w:rPr>
        <w:t>There are 1000 VMs in the cluster. So there are 1000 x 5 = 5000 metrics required just to give you the first counter.</w:t>
      </w:r>
    </w:p>
    <w:p w14:paraId="5CADB341" w14:textId="77777777" w:rsidR="006A1380" w:rsidRDefault="006A1380" w:rsidP="006A1380">
      <w:pPr>
        <w:rPr>
          <w:lang w:val="en-GB"/>
        </w:rPr>
      </w:pPr>
      <w:r>
        <w:rPr>
          <w:lang w:val="en-GB"/>
        </w:rPr>
        <w:t>The second counter in the preceding table is “</w:t>
      </w:r>
      <w:r w:rsidRPr="00871F42">
        <w:rPr>
          <w:color w:val="00B0F0"/>
          <w:lang w:val="en-GB"/>
        </w:rPr>
        <w:t xml:space="preserve">Worst vCPU </w:t>
      </w:r>
      <w:r>
        <w:rPr>
          <w:color w:val="00B0F0"/>
          <w:lang w:val="en-GB"/>
        </w:rPr>
        <w:t xml:space="preserve">Co-Stop </w:t>
      </w:r>
      <w:r w:rsidRPr="00871F42">
        <w:rPr>
          <w:color w:val="00B0F0"/>
          <w:lang w:val="en-GB"/>
        </w:rPr>
        <w:t>among all VMs</w:t>
      </w:r>
      <w:r>
        <w:rPr>
          <w:lang w:val="en-GB"/>
        </w:rPr>
        <w:t>”.</w:t>
      </w:r>
    </w:p>
    <w:p w14:paraId="0EC29D1B" w14:textId="77777777" w:rsidR="006A1380" w:rsidRDefault="006A1380" w:rsidP="006A1380">
      <w:pPr>
        <w:pStyle w:val="Bullet"/>
        <w:rPr>
          <w:lang w:val="en-GB"/>
        </w:rPr>
      </w:pPr>
      <w:r>
        <w:rPr>
          <w:lang w:val="en-GB"/>
        </w:rPr>
        <w:t xml:space="preserve">Just like the first counter, there are 5000 metrics required. </w:t>
      </w:r>
    </w:p>
    <w:p w14:paraId="5B11DC24" w14:textId="77777777" w:rsidR="006A1380" w:rsidRDefault="006A1380" w:rsidP="006A1380">
      <w:pPr>
        <w:pStyle w:val="Bullet"/>
        <w:rPr>
          <w:lang w:val="en-GB"/>
        </w:rPr>
      </w:pPr>
      <w:r>
        <w:rPr>
          <w:lang w:val="en-GB"/>
        </w:rPr>
        <w:t>This brings the total to 10K metrics from the first 2 metrics.</w:t>
      </w:r>
    </w:p>
    <w:p w14:paraId="573727EB" w14:textId="77777777" w:rsidR="006A1380" w:rsidRDefault="006A1380" w:rsidP="006A1380">
      <w:pPr>
        <w:rPr>
          <w:lang w:val="en-GB"/>
        </w:rPr>
      </w:pPr>
      <w:r>
        <w:rPr>
          <w:lang w:val="en-GB"/>
        </w:rPr>
        <w:lastRenderedPageBreak/>
        <w:t>The 3</w:t>
      </w:r>
      <w:r w:rsidRPr="003D2F57">
        <w:rPr>
          <w:vertAlign w:val="superscript"/>
          <w:lang w:val="en-GB"/>
        </w:rPr>
        <w:t>rd</w:t>
      </w:r>
      <w:r>
        <w:rPr>
          <w:lang w:val="en-GB"/>
        </w:rPr>
        <w:t xml:space="preserve"> counter also requires 5K metrics. </w:t>
      </w:r>
    </w:p>
    <w:p w14:paraId="7A035036" w14:textId="1CDE5127" w:rsidR="006A1380" w:rsidRDefault="006A1380" w:rsidP="006A1380">
      <w:pPr>
        <w:rPr>
          <w:lang w:val="en-GB"/>
        </w:rPr>
      </w:pPr>
      <w:r>
        <w:rPr>
          <w:lang w:val="en-GB"/>
        </w:rPr>
        <w:t>The 4</w:t>
      </w:r>
      <w:r w:rsidRPr="003D2F57">
        <w:rPr>
          <w:vertAlign w:val="superscript"/>
          <w:lang w:val="en-GB"/>
        </w:rPr>
        <w:t>th</w:t>
      </w:r>
      <w:r>
        <w:rPr>
          <w:lang w:val="en-GB"/>
        </w:rPr>
        <w:t xml:space="preserve"> and 5</w:t>
      </w:r>
      <w:r w:rsidRPr="003D2F57">
        <w:rPr>
          <w:vertAlign w:val="superscript"/>
          <w:lang w:val="en-GB"/>
        </w:rPr>
        <w:t>th</w:t>
      </w:r>
      <w:r>
        <w:rPr>
          <w:lang w:val="en-GB"/>
        </w:rPr>
        <w:t xml:space="preserve"> metric bring 1K metric each. </w:t>
      </w:r>
    </w:p>
    <w:p w14:paraId="6C2932C2" w14:textId="77777777" w:rsidR="006A1380" w:rsidRDefault="006A1380" w:rsidP="006A1380">
      <w:pPr>
        <w:rPr>
          <w:lang w:val="en-GB"/>
        </w:rPr>
      </w:pPr>
      <w:r>
        <w:rPr>
          <w:lang w:val="en-GB"/>
        </w:rPr>
        <w:t xml:space="preserve">By now you get the point. The metric is easily made of thousands of raw metrics. </w:t>
      </w:r>
    </w:p>
    <w:p w14:paraId="038D2229" w14:textId="77777777" w:rsidR="006A1380" w:rsidRDefault="006A1380" w:rsidP="006A1380">
      <w:pPr>
        <w:pStyle w:val="Heading5"/>
      </w:pPr>
      <w:r>
        <w:t>Metrics</w:t>
      </w:r>
    </w:p>
    <w:p w14:paraId="58641EBD" w14:textId="77777777" w:rsidR="006A1380" w:rsidRDefault="006A1380" w:rsidP="006A1380">
      <w:pPr>
        <w:rPr>
          <w:lang w:val="en-GB"/>
        </w:rPr>
      </w:pPr>
      <w:r>
        <w:rPr>
          <w:lang w:val="en-GB"/>
        </w:rPr>
        <w:t xml:space="preserve">Go back to the table and review the list of metrics. Do they match your expectation? Why are some metrics included and others are not? </w:t>
      </w:r>
    </w:p>
    <w:p w14:paraId="13FC1A12" w14:textId="4A4A9EED" w:rsidR="006A1380" w:rsidRDefault="006A1380" w:rsidP="006A1380">
      <w:pPr>
        <w:rPr>
          <w:lang w:val="en-GB"/>
        </w:rPr>
      </w:pPr>
      <w:r>
        <w:rPr>
          <w:lang w:val="en-GB"/>
        </w:rPr>
        <w:t>vMotion is included as it does impact the VM performance (although the end users may not notice in most cases) and it’s a leading indicator that the cluster is struggling to serve the load hence it has to shuffle the VMs around</w:t>
      </w:r>
      <w:r w:rsidR="00E4254C">
        <w:rPr>
          <w:lang w:val="en-GB"/>
        </w:rPr>
        <w:t xml:space="preserve">. </w:t>
      </w:r>
    </w:p>
    <w:p w14:paraId="4980DD1C" w14:textId="77777777" w:rsidR="006A1380" w:rsidRDefault="006A1380" w:rsidP="006A1380">
      <w:pPr>
        <w:rPr>
          <w:lang w:val="en-GB"/>
        </w:rPr>
      </w:pPr>
      <w:r>
        <w:rPr>
          <w:lang w:val="en-GB"/>
        </w:rPr>
        <w:t xml:space="preserve">Take a look at this cluster. It has 488 running VMs on 16 ESXi host. Notice the percentage of VM being vMotion jumped to 5.3%, as 26 VMs were vMotion. </w:t>
      </w:r>
    </w:p>
    <w:p w14:paraId="6FAF5A54" w14:textId="77777777" w:rsidR="006A1380" w:rsidRDefault="006A1380" w:rsidP="006A1380">
      <w:pPr>
        <w:rPr>
          <w:lang w:val="en-GB"/>
        </w:rPr>
      </w:pPr>
      <w:r w:rsidRPr="001E78C4">
        <w:rPr>
          <w:noProof/>
          <w:lang w:val="en-GB"/>
        </w:rPr>
        <w:drawing>
          <wp:inline distT="0" distB="0" distL="0" distR="0" wp14:anchorId="414DDD6B" wp14:editId="63341CB9">
            <wp:extent cx="6645910" cy="881380"/>
            <wp:effectExtent l="0" t="0" r="2540" b="0"/>
            <wp:docPr id="34" name="Picture 3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Graphical user interface, application&#10;&#10;Description automatically generated"/>
                    <pic:cNvPicPr/>
                  </pic:nvPicPr>
                  <pic:blipFill>
                    <a:blip r:embed="rId902"/>
                    <a:stretch>
                      <a:fillRect/>
                    </a:stretch>
                  </pic:blipFill>
                  <pic:spPr>
                    <a:xfrm>
                      <a:off x="0" y="0"/>
                      <a:ext cx="6645910" cy="881380"/>
                    </a:xfrm>
                    <a:prstGeom prst="rect">
                      <a:avLst/>
                    </a:prstGeom>
                  </pic:spPr>
                </pic:pic>
              </a:graphicData>
            </a:graphic>
          </wp:inline>
        </w:drawing>
      </w:r>
    </w:p>
    <w:p w14:paraId="35293C95" w14:textId="77777777" w:rsidR="006A1380" w:rsidRDefault="006A1380" w:rsidP="006A1380">
      <w:pPr>
        <w:rPr>
          <w:lang w:val="en-GB"/>
        </w:rPr>
      </w:pPr>
      <w:r>
        <w:rPr>
          <w:lang w:val="en-GB"/>
        </w:rPr>
        <w:t xml:space="preserve">What do you think will happen to the VM CPU Ready and CPU Co-stop? </w:t>
      </w:r>
      <w:r w:rsidRPr="00447D94">
        <w:rPr>
          <w:noProof/>
          <w:lang w:val="en-GB"/>
        </w:rPr>
        <w:drawing>
          <wp:inline distT="0" distB="0" distL="0" distR="0" wp14:anchorId="613ED0A7" wp14:editId="41D782A4">
            <wp:extent cx="6645910" cy="1998345"/>
            <wp:effectExtent l="0" t="0" r="2540" b="1905"/>
            <wp:docPr id="54" name="Picture 5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Graphical user interface, application&#10;&#10;Description automatically generated"/>
                    <pic:cNvPicPr/>
                  </pic:nvPicPr>
                  <pic:blipFill>
                    <a:blip r:embed="rId903"/>
                    <a:stretch>
                      <a:fillRect/>
                    </a:stretch>
                  </pic:blipFill>
                  <pic:spPr>
                    <a:xfrm>
                      <a:off x="0" y="0"/>
                      <a:ext cx="6645910" cy="1998345"/>
                    </a:xfrm>
                    <a:prstGeom prst="rect">
                      <a:avLst/>
                    </a:prstGeom>
                  </pic:spPr>
                </pic:pic>
              </a:graphicData>
            </a:graphic>
          </wp:inline>
        </w:drawing>
      </w:r>
    </w:p>
    <w:p w14:paraId="0A05E18C" w14:textId="77777777" w:rsidR="006A1380" w:rsidRDefault="006A1380" w:rsidP="006A1380">
      <w:pPr>
        <w:rPr>
          <w:lang w:val="en-GB"/>
        </w:rPr>
      </w:pPr>
      <w:r>
        <w:rPr>
          <w:lang w:val="en-GB"/>
        </w:rPr>
        <w:t xml:space="preserve">They rose. Since only 5% was impacted, the rise will be minimal. </w:t>
      </w:r>
    </w:p>
    <w:p w14:paraId="1EAA5AEE" w14:textId="77777777" w:rsidR="006A1380" w:rsidRDefault="006A1380" w:rsidP="006A1380">
      <w:r>
        <w:t>The threshold should reflect reality. For examples:</w:t>
      </w:r>
    </w:p>
    <w:p w14:paraId="086F103D" w14:textId="1145C806" w:rsidR="006A1380" w:rsidRDefault="006A1380" w:rsidP="006A1380">
      <w:pPr>
        <w:pStyle w:val="Bullet"/>
        <w:rPr>
          <w:lang w:val="en-US"/>
        </w:rPr>
      </w:pPr>
      <w:r>
        <w:t>W</w:t>
      </w:r>
      <w:r w:rsidRPr="00086666">
        <w:t xml:space="preserve">hile the impact on VMs are the same with Ready, using the same range </w:t>
      </w:r>
      <w:r>
        <w:t xml:space="preserve">for CPU </w:t>
      </w:r>
      <w:r w:rsidR="00443625">
        <w:t>Co-stop</w:t>
      </w:r>
      <w:r>
        <w:t xml:space="preserve">, CPU Overlap and CPU Other Wait </w:t>
      </w:r>
      <w:r w:rsidRPr="00086666">
        <w:t xml:space="preserve">will elevate the </w:t>
      </w:r>
      <w:r>
        <w:t xml:space="preserve">KPI </w:t>
      </w:r>
      <w:r w:rsidRPr="00086666">
        <w:t>score, as practically these 3 have lower score</w:t>
      </w:r>
      <w:r>
        <w:rPr>
          <w:lang w:val="en-US"/>
        </w:rPr>
        <w:t xml:space="preserve">. </w:t>
      </w:r>
    </w:p>
    <w:p w14:paraId="27CEBB58" w14:textId="508C9E79" w:rsidR="006A1380" w:rsidRPr="009768F1" w:rsidRDefault="006A1380" w:rsidP="006A1380">
      <w:pPr>
        <w:pStyle w:val="Bullet"/>
        <w:rPr>
          <w:lang w:val="en-US"/>
        </w:rPr>
      </w:pPr>
      <w:r>
        <w:t xml:space="preserve">Dropped packet and error packets are very rare. Instead of summing them up, which will result in a average, I took the worst among ESXi host. Since many ESXi sports 25 Gb NIC, I set the threshold to be very low. On the other hand, I did not set </w:t>
      </w:r>
      <w:r w:rsidR="0022569A" w:rsidRPr="0022569A">
        <w:rPr>
          <w:color w:val="00B050"/>
        </w:rPr>
        <w:t>green</w:t>
      </w:r>
      <w:r>
        <w:t xml:space="preserve"> = 0, so the KPI do tolerates some issue.</w:t>
      </w:r>
    </w:p>
    <w:p w14:paraId="40F5E7E0" w14:textId="77777777" w:rsidR="006A1380" w:rsidRPr="009768F1" w:rsidRDefault="006A1380" w:rsidP="006A1380">
      <w:pPr>
        <w:pStyle w:val="Bullet"/>
        <w:rPr>
          <w:lang w:val="en-US"/>
        </w:rPr>
      </w:pPr>
      <w:r>
        <w:t xml:space="preserve">Ballooning does not actually impact performance. But since many </w:t>
      </w:r>
      <w:r w:rsidRPr="00591B01">
        <w:t xml:space="preserve">clusters </w:t>
      </w:r>
      <w:r>
        <w:t xml:space="preserve">sport </w:t>
      </w:r>
      <w:r w:rsidRPr="00591B01">
        <w:t xml:space="preserve">2 TB of RAM, </w:t>
      </w:r>
      <w:r>
        <w:t xml:space="preserve">I set the threshold low as </w:t>
      </w:r>
      <w:r w:rsidRPr="00591B01">
        <w:t xml:space="preserve">1% is 20 GB. </w:t>
      </w:r>
    </w:p>
    <w:p w14:paraId="34CD4C1A" w14:textId="77777777" w:rsidR="006A1380" w:rsidRDefault="006A1380" w:rsidP="006A1380">
      <w:pPr>
        <w:pStyle w:val="Heading5"/>
      </w:pPr>
      <w:r>
        <w:lastRenderedPageBreak/>
        <w:t>Metrics Not Used</w:t>
      </w:r>
    </w:p>
    <w:p w14:paraId="42ED3F1D" w14:textId="77777777" w:rsidR="006A1380" w:rsidRDefault="006A1380" w:rsidP="006A1380">
      <w:pPr>
        <w:rPr>
          <w:lang w:val="en-GB"/>
        </w:rPr>
      </w:pPr>
      <w:r>
        <w:rPr>
          <w:lang w:val="en-GB"/>
        </w:rPr>
        <w:t>The following metrics are not included:</w:t>
      </w:r>
    </w:p>
    <w:p w14:paraId="6A32D602" w14:textId="77777777" w:rsidR="008D10AB" w:rsidRDefault="008D10AB" w:rsidP="008D10AB">
      <w:pPr>
        <w:pStyle w:val="Bullet"/>
      </w:pPr>
      <w:r>
        <w:t>“</w:t>
      </w:r>
      <w:r w:rsidRPr="00282D7E">
        <w:t>Percentage of VM population experience CPU Ready &gt; 1%” and “Percentage of VM population experience Memory Contention &gt; 0%” as they measure the same purpose with the average.</w:t>
      </w:r>
    </w:p>
    <w:p w14:paraId="229B01D2" w14:textId="77777777" w:rsidR="006A1380" w:rsidRDefault="006A1380" w:rsidP="006A1380">
      <w:pPr>
        <w:pStyle w:val="Bullet"/>
        <w:rPr>
          <w:lang w:val="en-GB"/>
        </w:rPr>
      </w:pPr>
      <w:r>
        <w:rPr>
          <w:lang w:val="en-GB"/>
        </w:rPr>
        <w:t xml:space="preserve">VM utilization. They are irrelevant. Use the metrics at ESXi level instead. </w:t>
      </w:r>
    </w:p>
    <w:p w14:paraId="2FA1974D" w14:textId="77777777" w:rsidR="006A1380" w:rsidRDefault="006A1380" w:rsidP="006A1380">
      <w:pPr>
        <w:pStyle w:val="Bullet"/>
        <w:rPr>
          <w:lang w:val="en-GB"/>
        </w:rPr>
      </w:pPr>
      <w:r>
        <w:rPr>
          <w:lang w:val="en-GB"/>
        </w:rPr>
        <w:t>ESXi Consumed. The higher the consumed, the better the performance. We use balloon, swapped and compressed metrics instead. Since they do not directly impact performance, we put as secondary KPI.</w:t>
      </w:r>
    </w:p>
    <w:p w14:paraId="65363FC9" w14:textId="300FB878" w:rsidR="006A1380" w:rsidRDefault="006A1380" w:rsidP="006A1380">
      <w:pPr>
        <w:pStyle w:val="Bullet"/>
        <w:rPr>
          <w:lang w:val="en-GB"/>
        </w:rPr>
      </w:pPr>
      <w:r>
        <w:rPr>
          <w:lang w:val="en-GB"/>
        </w:rPr>
        <w:t xml:space="preserve">ESXi CPU Usage. I do not include them yet, as they do not </w:t>
      </w:r>
      <w:r w:rsidR="008D10AB">
        <w:rPr>
          <w:lang w:val="en-GB"/>
        </w:rPr>
        <w:t>actually</w:t>
      </w:r>
      <w:r>
        <w:rPr>
          <w:lang w:val="en-GB"/>
        </w:rPr>
        <w:t xml:space="preserve"> impact performance. If you plan to include them, take the highest among ESXi instead of cluster wide </w:t>
      </w:r>
      <w:r w:rsidR="008D10AB">
        <w:rPr>
          <w:lang w:val="en-GB"/>
        </w:rPr>
        <w:t>average, as average is too late.</w:t>
      </w:r>
    </w:p>
    <w:p w14:paraId="6D39E18D" w14:textId="77777777" w:rsidR="006A1380" w:rsidRPr="00086666" w:rsidRDefault="006A1380" w:rsidP="006A1380">
      <w:pPr>
        <w:pStyle w:val="Bullet"/>
        <w:rPr>
          <w:lang w:val="en-GB"/>
        </w:rPr>
      </w:pPr>
      <w:r>
        <w:rPr>
          <w:lang w:val="en-GB"/>
        </w:rPr>
        <w:t xml:space="preserve">VM DRS Score. </w:t>
      </w:r>
      <w:r>
        <w:t>It’s using metrics that are already included in the KPI, so it’s double counting.</w:t>
      </w:r>
    </w:p>
    <w:p w14:paraId="608ECEC3" w14:textId="77777777" w:rsidR="006A1380" w:rsidRDefault="006A1380" w:rsidP="006A1380">
      <w:pPr>
        <w:pStyle w:val="Bullet"/>
      </w:pPr>
      <w:r w:rsidRPr="00086666">
        <w:rPr>
          <w:lang w:val="en-GB"/>
        </w:rPr>
        <w:t xml:space="preserve">Disk latency. </w:t>
      </w:r>
      <w:r>
        <w:t xml:space="preserve">Storage troubleshooting differs to compute troubleshooting. The exception here is Hyperconverged Infrastructure, as the compute and storage are integrated. </w:t>
      </w:r>
    </w:p>
    <w:p w14:paraId="2D13F60D" w14:textId="77777777" w:rsidR="006A1380" w:rsidRDefault="006A1380" w:rsidP="006A1380">
      <w:pPr>
        <w:pStyle w:val="Bullet"/>
      </w:pPr>
      <w:r w:rsidRPr="00CB0721">
        <w:t xml:space="preserve">Percentage of VMs facing </w:t>
      </w:r>
      <w:r>
        <w:t>Disk Latency. It should be part of datastore KPI, not the cluster. The reason is if there is a population problem, you troubleshoot the datastore not the cluster(s) mounting it.</w:t>
      </w:r>
    </w:p>
    <w:p w14:paraId="71D31521" w14:textId="77777777" w:rsidR="006A1380" w:rsidRPr="00BD1810" w:rsidRDefault="006A1380" w:rsidP="006A1380">
      <w:pPr>
        <w:pStyle w:val="Heading5"/>
      </w:pPr>
      <w:r>
        <w:t>Implementation</w:t>
      </w:r>
    </w:p>
    <w:p w14:paraId="49DE8CF9" w14:textId="77777777" w:rsidR="006A1380" w:rsidRDefault="006A1380" w:rsidP="006A1380">
      <w:pPr>
        <w:jc w:val="center"/>
        <w:rPr>
          <w:lang w:val="en-GB"/>
        </w:rPr>
      </w:pPr>
      <w:r w:rsidRPr="00DA51ED">
        <w:rPr>
          <w:noProof/>
          <w:lang w:val="en-GB"/>
        </w:rPr>
        <w:drawing>
          <wp:inline distT="0" distB="0" distL="0" distR="0" wp14:anchorId="03BB9D9B" wp14:editId="4F99F67C">
            <wp:extent cx="5886960" cy="1817528"/>
            <wp:effectExtent l="0" t="0" r="0" b="0"/>
            <wp:docPr id="1525330285" name="Picture 1525330285"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85" name="Picture 1525330285" descr="Text&#10;&#10;Description automatically generated"/>
                    <pic:cNvPicPr/>
                  </pic:nvPicPr>
                  <pic:blipFill>
                    <a:blip r:embed="rId904"/>
                    <a:stretch>
                      <a:fillRect/>
                    </a:stretch>
                  </pic:blipFill>
                  <pic:spPr>
                    <a:xfrm>
                      <a:off x="0" y="0"/>
                      <a:ext cx="5886960" cy="1817528"/>
                    </a:xfrm>
                    <a:prstGeom prst="rect">
                      <a:avLst/>
                    </a:prstGeom>
                  </pic:spPr>
                </pic:pic>
              </a:graphicData>
            </a:graphic>
          </wp:inline>
        </w:drawing>
      </w:r>
    </w:p>
    <w:p w14:paraId="79D2FB34" w14:textId="77777777" w:rsidR="006A1380" w:rsidRDefault="006A1380" w:rsidP="006A1380">
      <w:pPr>
        <w:rPr>
          <w:lang w:val="en-GB"/>
        </w:rPr>
      </w:pPr>
      <w:r>
        <w:rPr>
          <w:lang w:val="en-GB"/>
        </w:rPr>
        <w:t>I have not implemented CPU Other Wait and CPU Overlap. Reason is I find their values to be very low that they might mask out problems.</w:t>
      </w:r>
    </w:p>
    <w:p w14:paraId="2DFBF66C" w14:textId="77777777" w:rsidR="006A1380" w:rsidRDefault="006A1380" w:rsidP="006A1380">
      <w:r w:rsidRPr="00127A56">
        <w:t>Future enhancement</w:t>
      </w:r>
      <w:r>
        <w:t>s</w:t>
      </w:r>
      <w:r w:rsidRPr="00127A56">
        <w:t xml:space="preserve">: </w:t>
      </w:r>
    </w:p>
    <w:p w14:paraId="362962E1" w14:textId="77777777" w:rsidR="006A1380" w:rsidRDefault="006A1380" w:rsidP="006A1380">
      <w:pPr>
        <w:pStyle w:val="Bullet"/>
      </w:pPr>
      <w:r>
        <w:t xml:space="preserve">Add </w:t>
      </w:r>
      <w:r w:rsidRPr="00127A56">
        <w:t>90</w:t>
      </w:r>
      <w:r w:rsidRPr="00127A56">
        <w:rPr>
          <w:vertAlign w:val="superscript"/>
        </w:rPr>
        <w:t>th</w:t>
      </w:r>
      <w:r w:rsidRPr="00127A56">
        <w:t xml:space="preserve"> percentile </w:t>
      </w:r>
      <w:r>
        <w:t xml:space="preserve">metrics to </w:t>
      </w:r>
      <w:r w:rsidRPr="00127A56">
        <w:t>complement Worst and Average</w:t>
      </w:r>
      <w:r>
        <w:t>. This helps you capture at 3 diffferent points</w:t>
      </w:r>
      <w:r w:rsidRPr="00127A56">
        <w:t xml:space="preserve">. </w:t>
      </w:r>
      <w:r>
        <w:t xml:space="preserve">Notice I set the thresholds for worst to be 4x the average. </w:t>
      </w:r>
      <w:r w:rsidRPr="00127A56">
        <w:t xml:space="preserve">We </w:t>
      </w:r>
      <w:r>
        <w:t xml:space="preserve">will set </w:t>
      </w:r>
      <w:r w:rsidRPr="00127A56">
        <w:t xml:space="preserve">threshold for </w:t>
      </w:r>
      <w:r>
        <w:t>90</w:t>
      </w:r>
      <w:r w:rsidRPr="003132E1">
        <w:rPr>
          <w:vertAlign w:val="superscript"/>
        </w:rPr>
        <w:t>th</w:t>
      </w:r>
      <w:r>
        <w:t xml:space="preserve"> percentile at 2x average. </w:t>
      </w:r>
    </w:p>
    <w:p w14:paraId="6CC31CD0" w14:textId="77777777" w:rsidR="006A1380" w:rsidRPr="009768F1" w:rsidRDefault="006A1380" w:rsidP="006A1380">
      <w:pPr>
        <w:pStyle w:val="Bullet"/>
      </w:pPr>
      <w:r w:rsidRPr="009768F1">
        <w:t xml:space="preserve">There are </w:t>
      </w:r>
      <w:r>
        <w:t>metrics</w:t>
      </w:r>
      <w:r w:rsidRPr="009768F1">
        <w:t xml:space="preserve"> that are only available in esxtop. They are not available in vCenter REST API, so they are not retrieveable. Examples are </w:t>
      </w:r>
      <w:r w:rsidRPr="009768F1">
        <w:rPr>
          <w:color w:val="00B0F0"/>
        </w:rPr>
        <w:t xml:space="preserve">Local:Remote memory ratio </w:t>
      </w:r>
      <w:r w:rsidRPr="009768F1">
        <w:t>for VM.</w:t>
      </w:r>
    </w:p>
    <w:p w14:paraId="728968CA" w14:textId="77777777" w:rsidR="006A1380" w:rsidRDefault="006A1380" w:rsidP="006A1380">
      <w:pPr>
        <w:pStyle w:val="Heading4"/>
      </w:pPr>
      <w:r>
        <w:lastRenderedPageBreak/>
        <w:t>Service Level Metrics</w:t>
      </w:r>
    </w:p>
    <w:p w14:paraId="1C860B57" w14:textId="77777777" w:rsidR="006A1380" w:rsidRDefault="006A1380" w:rsidP="006A1380">
      <w:pPr>
        <w:rPr>
          <w:lang w:val="en-GB" w:eastAsia="en-SG"/>
        </w:rPr>
      </w:pPr>
      <w:r>
        <w:rPr>
          <w:lang w:val="en-GB" w:eastAsia="en-SG"/>
        </w:rPr>
        <w:t>There are only 2 metrics (SLI and SLA) as covered in Part 1.</w:t>
      </w:r>
    </w:p>
    <w:p w14:paraId="5D6DC91E" w14:textId="77777777" w:rsidR="006A1380" w:rsidRDefault="006A1380" w:rsidP="006A1380">
      <w:pPr>
        <w:pStyle w:val="Heading5"/>
        <w:numPr>
          <w:ilvl w:val="0"/>
          <w:numId w:val="0"/>
        </w:numPr>
      </w:pPr>
      <w:r>
        <w:t>Cluster SLA</w:t>
      </w:r>
    </w:p>
    <w:p w14:paraId="57C96CCC" w14:textId="77777777" w:rsidR="006A1380" w:rsidRDefault="006A1380" w:rsidP="006A1380">
      <w:r>
        <w:t xml:space="preserve">How to roll up the VM SLA into total SLA for the whole environment? Your CIO likely wants to see this number over time. </w:t>
      </w:r>
    </w:p>
    <w:p w14:paraId="655FB356" w14:textId="77777777" w:rsidR="006A1380" w:rsidRDefault="006A1380" w:rsidP="006A1380">
      <w:r>
        <w:t xml:space="preserve">Calculating SLA per vSphere cluster also makes management easier. You know which cluster to attend to. The problem is SLA is a lagging indicator. It is based on the last 30 days or the last month. </w:t>
      </w:r>
    </w:p>
    <w:p w14:paraId="236FD34B" w14:textId="75962DD3" w:rsidR="006A1380" w:rsidRDefault="006A1380" w:rsidP="006A1380">
      <w:r>
        <w:t xml:space="preserve">Cluster SLA is derived from the VM SLA. It is simply the percentage of VMs that fail the SLA. How bad each VM fails the SLA, or how comfortable it exceeds the SLA, is </w:t>
      </w:r>
      <w:r w:rsidRPr="008D7D21">
        <w:rPr>
          <w:i/>
          <w:iCs/>
          <w:color w:val="FF0000"/>
        </w:rPr>
        <w:t>irrelevant</w:t>
      </w:r>
      <w:r w:rsidRPr="008D7D21">
        <w:rPr>
          <w:color w:val="FF0000"/>
        </w:rPr>
        <w:t xml:space="preserve"> </w:t>
      </w:r>
      <w:r>
        <w:t>at this stage. At the cluster level, you care about pass/fail first</w:t>
      </w:r>
      <w:r w:rsidR="00E4254C">
        <w:t xml:space="preserve">. </w:t>
      </w:r>
    </w:p>
    <w:p w14:paraId="1409B10D" w14:textId="77777777" w:rsidR="006A1380" w:rsidRDefault="006A1380" w:rsidP="006A1380">
      <w:r>
        <w:t>That means the Cluster SLA is not the average of its VM SLA. Doing an average can be too late unless your SLA is 100%.</w:t>
      </w:r>
    </w:p>
    <w:p w14:paraId="52D9FA2A" w14:textId="77777777" w:rsidR="006A1380" w:rsidRPr="00F04DF3" w:rsidRDefault="006A1380" w:rsidP="006A1380">
      <w:r>
        <w:t>Once you know how many VM fails, you want to know who the VMs are and troubleshoot if there is a common reason.</w:t>
      </w:r>
    </w:p>
    <w:p w14:paraId="0F5F112D" w14:textId="77777777" w:rsidR="006A1380" w:rsidRDefault="006A1380" w:rsidP="006A1380">
      <w:pPr>
        <w:pStyle w:val="Heading5"/>
      </w:pPr>
      <w:r>
        <w:t>Cluster SLI</w:t>
      </w:r>
    </w:p>
    <w:p w14:paraId="4D229EBF" w14:textId="77777777" w:rsidR="006A1380" w:rsidRPr="00D97049" w:rsidRDefault="006A1380" w:rsidP="006A1380">
      <w:pPr>
        <w:rPr>
          <w:lang w:val="en-GB"/>
        </w:rPr>
      </w:pPr>
      <w:r>
        <w:rPr>
          <w:lang w:val="en-GB"/>
        </w:rPr>
        <w:t xml:space="preserve">SLA is a 30-day counter. You can’t wait that long before you do something. This is where SLI comes in. It’s an indicator, and not mentioned in the SLA contract. </w:t>
      </w:r>
    </w:p>
    <w:p w14:paraId="4430F674" w14:textId="77777777" w:rsidR="006A1380" w:rsidRDefault="006A1380" w:rsidP="006A1380">
      <w:pPr>
        <w:rPr>
          <w:lang w:val="en-GB"/>
        </w:rPr>
      </w:pPr>
      <w:r>
        <w:rPr>
          <w:lang w:val="en-GB"/>
        </w:rPr>
        <w:t xml:space="preserve">Let’s take an example of a cluster with 500 VM. Each VM consumes 4 IaaS </w:t>
      </w:r>
      <w:r w:rsidRPr="0073343E">
        <w:rPr>
          <w:lang w:val="en-GB"/>
        </w:rPr>
        <w:t>resource (CPU, Memory, Disk, Network</w:t>
      </w:r>
      <w:r>
        <w:rPr>
          <w:lang w:val="en-GB"/>
        </w:rPr>
        <w:t>). It must pass all else it’s counted as 1 SLI fails.</w:t>
      </w:r>
    </w:p>
    <w:p w14:paraId="256B9DA7" w14:textId="393C6A83" w:rsidR="006A1380" w:rsidRDefault="006A1380" w:rsidP="006A1380">
      <w:pPr>
        <w:rPr>
          <w:lang w:val="en-GB"/>
        </w:rPr>
      </w:pPr>
      <w:r>
        <w:rPr>
          <w:lang w:val="en-GB"/>
        </w:rPr>
        <w:t>The Cluster SLI (%) is simply the percentage of VM that fails the SLI. As a recap, this is the single threshold we use for all classes of service:</w:t>
      </w:r>
    </w:p>
    <w:p w14:paraId="2C8BDD85" w14:textId="77777777" w:rsidR="006A1380" w:rsidRDefault="006A1380" w:rsidP="006A1380">
      <w:pPr>
        <w:jc w:val="center"/>
        <w:rPr>
          <w:lang w:val="en-GB"/>
        </w:rPr>
      </w:pPr>
      <w:r w:rsidRPr="00575B44">
        <w:rPr>
          <w:noProof/>
        </w:rPr>
        <w:drawing>
          <wp:inline distT="0" distB="0" distL="0" distR="0" wp14:anchorId="284EEB56" wp14:editId="76A71C87">
            <wp:extent cx="3355848" cy="1581912"/>
            <wp:effectExtent l="0" t="0" r="0" b="0"/>
            <wp:docPr id="1971068994" name="Picture 1971068994"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8994" name="Picture 1971068994" descr="Graphical user interface, application&#10;&#10;Description automatically generated with medium confidence"/>
                    <pic:cNvPicPr/>
                  </pic:nvPicPr>
                  <pic:blipFill>
                    <a:blip r:embed="rId69"/>
                    <a:stretch>
                      <a:fillRect/>
                    </a:stretch>
                  </pic:blipFill>
                  <pic:spPr>
                    <a:xfrm>
                      <a:off x="0" y="0"/>
                      <a:ext cx="3355848" cy="1581912"/>
                    </a:xfrm>
                    <a:prstGeom prst="rect">
                      <a:avLst/>
                    </a:prstGeom>
                  </pic:spPr>
                </pic:pic>
              </a:graphicData>
            </a:graphic>
          </wp:inline>
        </w:drawing>
      </w:r>
    </w:p>
    <w:p w14:paraId="0CBE0698" w14:textId="77777777" w:rsidR="006A1380" w:rsidRDefault="006A1380" w:rsidP="006A1380">
      <w:r>
        <w:t xml:space="preserve">It’s a normalized average of the VM SLI, taking into account the actual SLI failures. That means it will give a lower number if the VMs are experiencing worse SLI individually. 1 VM experiencing 4 SLI failure will result in the same value as 4 VM experiencing 1 SLI value each. </w:t>
      </w:r>
    </w:p>
    <w:p w14:paraId="710FAF6F" w14:textId="77777777" w:rsidR="006A1380" w:rsidRDefault="006A1380" w:rsidP="006A1380">
      <w:r>
        <w:lastRenderedPageBreak/>
        <w:t>The formula is</w:t>
      </w:r>
    </w:p>
    <w:p w14:paraId="01CA3AB3" w14:textId="77777777" w:rsidR="006A1380" w:rsidRDefault="006A1380" w:rsidP="006A1380">
      <w:pPr>
        <w:pStyle w:val="Code"/>
      </w:pPr>
      <w:r w:rsidRPr="009A6014">
        <w:t xml:space="preserve">100 </w:t>
      </w:r>
      <w:r>
        <w:t>–</w:t>
      </w:r>
      <w:r w:rsidRPr="009A6014">
        <w:t xml:space="preserve"> </w:t>
      </w:r>
    </w:p>
    <w:p w14:paraId="463AA4CB" w14:textId="77777777" w:rsidR="006A1380" w:rsidRDefault="006A1380" w:rsidP="006A1380">
      <w:pPr>
        <w:pStyle w:val="Code"/>
      </w:pPr>
      <w:r w:rsidRPr="009A6014">
        <w:t>(</w:t>
      </w:r>
      <w:r>
        <w:t xml:space="preserve"> </w:t>
      </w:r>
    </w:p>
    <w:p w14:paraId="52D0C954" w14:textId="77777777" w:rsidR="006A1380" w:rsidRDefault="006A1380" w:rsidP="006A1380">
      <w:pPr>
        <w:pStyle w:val="Code"/>
      </w:pPr>
      <w:r>
        <w:t xml:space="preserve">  </w:t>
      </w:r>
      <w:r w:rsidRPr="009A6014">
        <w:t>(</w:t>
      </w:r>
      <w:r>
        <w:t xml:space="preserve"> </w:t>
      </w:r>
      <w:r w:rsidRPr="009A6014">
        <w:t>Sum([VM]Performance|Number of KPIs Breached) + Sum([Pod]Performance|Number of KPIs Breached</w:t>
      </w:r>
      <w:r>
        <w:t xml:space="preserve"> </w:t>
      </w:r>
      <w:r w:rsidRPr="009A6014">
        <w:t>)</w:t>
      </w:r>
      <w:r>
        <w:t xml:space="preserve"> </w:t>
      </w:r>
      <w:r w:rsidRPr="009A6014">
        <w:t xml:space="preserve">) </w:t>
      </w:r>
    </w:p>
    <w:p w14:paraId="2EC8743B" w14:textId="77777777" w:rsidR="006A1380" w:rsidRDefault="006A1380" w:rsidP="006A1380">
      <w:pPr>
        <w:pStyle w:val="Code"/>
      </w:pPr>
      <w:r>
        <w:t xml:space="preserve">  </w:t>
      </w:r>
      <w:r w:rsidRPr="009A6014">
        <w:t xml:space="preserve">/ </w:t>
      </w:r>
    </w:p>
    <w:p w14:paraId="5B1FD7AB" w14:textId="77777777" w:rsidR="006A1380" w:rsidRDefault="006A1380" w:rsidP="006A1380">
      <w:pPr>
        <w:pStyle w:val="Code"/>
      </w:pPr>
      <w:r>
        <w:t xml:space="preserve">  </w:t>
      </w:r>
      <w:r w:rsidRPr="009A6014">
        <w:t>(</w:t>
      </w:r>
      <w:r>
        <w:t xml:space="preserve"> </w:t>
      </w:r>
      <w:r w:rsidRPr="009A6014">
        <w:t>Summary|Number of Running VMs + Summary|Number of Pods</w:t>
      </w:r>
      <w:r>
        <w:t xml:space="preserve"> </w:t>
      </w:r>
      <w:r w:rsidRPr="009A6014">
        <w:t>)</w:t>
      </w:r>
      <w:r>
        <w:t xml:space="preserve">   </w:t>
      </w:r>
      <w:r w:rsidRPr="009A6014">
        <w:t xml:space="preserve"> * 100 / 4</w:t>
      </w:r>
    </w:p>
    <w:p w14:paraId="6FA1ABF6" w14:textId="77777777" w:rsidR="006A1380" w:rsidRDefault="006A1380" w:rsidP="006A1380">
      <w:pPr>
        <w:pStyle w:val="Code"/>
      </w:pPr>
      <w:r w:rsidRPr="009A6014">
        <w:t>)</w:t>
      </w:r>
    </w:p>
    <w:p w14:paraId="3BF73BB4" w14:textId="06B6C0AE" w:rsidR="007D48E7" w:rsidRDefault="007D48E7" w:rsidP="006A1380">
      <w:pPr>
        <w:pStyle w:val="Heading3"/>
      </w:pPr>
      <w:r>
        <w:t>Capacit</w:t>
      </w:r>
      <w:r w:rsidR="00EF1489">
        <w:t>y</w:t>
      </w:r>
    </w:p>
    <w:p w14:paraId="16BA3F3C" w14:textId="3352D8B7" w:rsidR="007D48E7" w:rsidRDefault="007D48E7" w:rsidP="007D48E7">
      <w:pPr>
        <w:rPr>
          <w:lang w:val="en-GB"/>
        </w:rPr>
      </w:pPr>
      <w:r>
        <w:rPr>
          <w:lang w:val="en-GB"/>
        </w:rPr>
        <w:t>CPU and memory metrics have different nature.</w:t>
      </w:r>
    </w:p>
    <w:p w14:paraId="0218A848" w14:textId="783CD402" w:rsidR="007D48E7" w:rsidRDefault="007D48E7" w:rsidP="007D48E7">
      <w:pPr>
        <w:pStyle w:val="Bullet"/>
        <w:rPr>
          <w:lang w:val="en-GB"/>
        </w:rPr>
      </w:pPr>
      <w:r>
        <w:rPr>
          <w:lang w:val="en-GB"/>
        </w:rPr>
        <w:t xml:space="preserve">For memory, I’d not be worried so long high utilization metrics such as balloon, swapped and compressed are all 0. There are enough inactive pages at ESXi level to not worry about high consumed value. </w:t>
      </w:r>
      <w:r w:rsidR="00FD1A9D">
        <w:rPr>
          <w:lang w:val="en-GB"/>
        </w:rPr>
        <w:t xml:space="preserve">However, </w:t>
      </w:r>
      <w:r w:rsidR="00FD1A9D" w:rsidRPr="00FD1A9D">
        <w:rPr>
          <w:lang w:val="en-GB"/>
        </w:rPr>
        <w:t>Balloon happens at 99.3% consumed</w:t>
      </w:r>
      <w:r w:rsidR="00FD1A9D">
        <w:rPr>
          <w:lang w:val="en-GB"/>
        </w:rPr>
        <w:t xml:space="preserve"> and it </w:t>
      </w:r>
      <w:r w:rsidR="00FD1A9D" w:rsidRPr="00FD1A9D">
        <w:rPr>
          <w:lang w:val="en-GB"/>
        </w:rPr>
        <w:t>ignor</w:t>
      </w:r>
      <w:r w:rsidR="00FD1A9D">
        <w:rPr>
          <w:lang w:val="en-GB"/>
        </w:rPr>
        <w:t>es</w:t>
      </w:r>
      <w:r w:rsidR="00FD1A9D" w:rsidRPr="00FD1A9D">
        <w:rPr>
          <w:lang w:val="en-GB"/>
        </w:rPr>
        <w:t xml:space="preserve"> HA and buffer. So when Balloon happens and there is no limit, you’ve exceeded 100% of usable capacity</w:t>
      </w:r>
    </w:p>
    <w:p w14:paraId="06FC9093" w14:textId="77777777" w:rsidR="007D48E7" w:rsidRPr="009B5F48" w:rsidRDefault="007D48E7" w:rsidP="007D48E7">
      <w:pPr>
        <w:pStyle w:val="Bullet"/>
        <w:rPr>
          <w:lang w:val="en-GB"/>
        </w:rPr>
      </w:pPr>
      <w:r>
        <w:rPr>
          <w:lang w:val="en-GB"/>
        </w:rPr>
        <w:t xml:space="preserve">For CPU, my answer depends on my HA setting. For example, if it’s 9+1, then cluster average utilization at 100% means each host is averaging 90%. </w:t>
      </w:r>
    </w:p>
    <w:p w14:paraId="224316A5" w14:textId="77777777" w:rsidR="007D48E7" w:rsidRDefault="007D48E7" w:rsidP="007D48E7">
      <w:pPr>
        <w:rPr>
          <w:lang w:val="en-GB"/>
        </w:rPr>
      </w:pPr>
      <w:r w:rsidRPr="000D69D1">
        <w:t>Long Term Forecast = Forecast of (Usage and Contention (aka Demand) + Overhead (if applicable).</w:t>
      </w:r>
    </w:p>
    <w:p w14:paraId="02C88E1B" w14:textId="77777777" w:rsidR="007D48E7" w:rsidRPr="00A452F2" w:rsidRDefault="007D48E7" w:rsidP="007D48E7">
      <w:pPr>
        <w:rPr>
          <w:lang w:val="en-GB"/>
        </w:rPr>
      </w:pPr>
      <w:r w:rsidRPr="00A452F2">
        <w:rPr>
          <w:lang w:val="en-GB"/>
        </w:rPr>
        <w:t>Usable Capacity = Total Capacity - (vSphere HA reservation + capacity buffer).</w:t>
      </w:r>
    </w:p>
    <w:p w14:paraId="630041B0" w14:textId="77777777" w:rsidR="007D48E7" w:rsidRDefault="007D48E7" w:rsidP="007D48E7">
      <w:pPr>
        <w:rPr>
          <w:lang w:val="en-GB"/>
        </w:rPr>
      </w:pPr>
      <w:r>
        <w:rPr>
          <w:lang w:val="en-GB"/>
        </w:rPr>
        <w:t>C</w:t>
      </w:r>
      <w:r w:rsidRPr="00A452F2">
        <w:rPr>
          <w:lang w:val="en-GB"/>
        </w:rPr>
        <w:t>apacity buffers defined in vR</w:t>
      </w:r>
      <w:r>
        <w:rPr>
          <w:lang w:val="en-GB"/>
        </w:rPr>
        <w:t>ealize Operations</w:t>
      </w:r>
      <w:r w:rsidRPr="00A452F2">
        <w:rPr>
          <w:lang w:val="en-GB"/>
        </w:rPr>
        <w:t xml:space="preserve"> policy (default 0%)</w:t>
      </w:r>
      <w:r>
        <w:rPr>
          <w:lang w:val="en-GB"/>
        </w:rPr>
        <w:t>.</w:t>
      </w:r>
    </w:p>
    <w:p w14:paraId="399854C0" w14:textId="77777777" w:rsidR="007D48E7" w:rsidRPr="00C24E50" w:rsidRDefault="007D48E7" w:rsidP="007D48E7">
      <w:pPr>
        <w:rPr>
          <w:lang w:val="en-GB"/>
        </w:rPr>
      </w:pPr>
      <w:r>
        <w:rPr>
          <w:lang w:val="en-GB"/>
        </w:rPr>
        <w:t xml:space="preserve">Since it is just a reservation (allocation), the value can exceed Consumed. It is not included in the calculation of the parent cluster usable capacity. </w:t>
      </w:r>
    </w:p>
    <w:p w14:paraId="23F8095E" w14:textId="77777777" w:rsidR="007D48E7" w:rsidRDefault="007D48E7" w:rsidP="007D48E7">
      <w:pPr>
        <w:jc w:val="center"/>
        <w:rPr>
          <w:lang w:val="en-GB"/>
        </w:rPr>
      </w:pPr>
      <w:r>
        <w:rPr>
          <w:noProof/>
        </w:rPr>
        <w:drawing>
          <wp:inline distT="0" distB="0" distL="0" distR="0" wp14:anchorId="57F4A8D0" wp14:editId="5FFD2A2C">
            <wp:extent cx="5752532" cy="2006186"/>
            <wp:effectExtent l="0" t="0" r="635" b="0"/>
            <wp:docPr id="750070385" name="Picture 750070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54"/>
                    <pic:cNvPicPr/>
                  </pic:nvPicPr>
                  <pic:blipFill>
                    <a:blip r:embed="rId905" cstate="print">
                      <a:extLst>
                        <a:ext uri="{28A0092B-C50C-407E-A947-70E740481C1C}">
                          <a14:useLocalDpi xmlns:a14="http://schemas.microsoft.com/office/drawing/2010/main" val="0"/>
                        </a:ext>
                      </a:extLst>
                    </a:blip>
                    <a:stretch>
                      <a:fillRect/>
                    </a:stretch>
                  </pic:blipFill>
                  <pic:spPr>
                    <a:xfrm>
                      <a:off x="0" y="0"/>
                      <a:ext cx="5752532" cy="2006186"/>
                    </a:xfrm>
                    <a:prstGeom prst="rect">
                      <a:avLst/>
                    </a:prstGeom>
                  </pic:spPr>
                </pic:pic>
              </a:graphicData>
            </a:graphic>
          </wp:inline>
        </w:drawing>
      </w:r>
    </w:p>
    <w:p w14:paraId="22E2AFA7" w14:textId="171451D6" w:rsidR="00462148" w:rsidRDefault="00462148" w:rsidP="00462148">
      <w:pPr>
        <w:rPr>
          <w:lang w:val="en-GB"/>
        </w:rPr>
      </w:pPr>
      <w:r>
        <w:rPr>
          <w:lang w:val="en-GB"/>
        </w:rPr>
        <w:t>Let’s take an example</w:t>
      </w:r>
      <w:r w:rsidR="0083236D">
        <w:rPr>
          <w:lang w:val="en-GB"/>
        </w:rPr>
        <w:t>.</w:t>
      </w:r>
    </w:p>
    <w:p w14:paraId="3135AC41" w14:textId="77777777" w:rsidR="006867F6" w:rsidRDefault="006867F6" w:rsidP="00462148">
      <w:pPr>
        <w:rPr>
          <w:lang w:val="en-GB"/>
        </w:rPr>
      </w:pPr>
    </w:p>
    <w:p w14:paraId="5BE3772F" w14:textId="67793D68" w:rsidR="00462148" w:rsidRPr="00A97E0E" w:rsidRDefault="00462148" w:rsidP="00462148">
      <w:pPr>
        <w:rPr>
          <w:lang w:val="en-GB"/>
        </w:rPr>
      </w:pPr>
      <w:r w:rsidRPr="00A97E0E">
        <w:rPr>
          <w:lang w:val="en-GB"/>
        </w:rPr>
        <w:t>Assuming 10 hosts in a cluster, with N+1 HA</w:t>
      </w:r>
      <w:r w:rsidR="0083236D">
        <w:rPr>
          <w:lang w:val="en-GB"/>
        </w:rPr>
        <w:t xml:space="preserve"> setting</w:t>
      </w:r>
      <w:r w:rsidRPr="00A97E0E">
        <w:rPr>
          <w:lang w:val="en-GB"/>
        </w:rPr>
        <w:t xml:space="preserve">, and Buffer is </w:t>
      </w:r>
      <w:r w:rsidR="0083236D">
        <w:rPr>
          <w:lang w:val="en-GB"/>
        </w:rPr>
        <w:t xml:space="preserve">set to </w:t>
      </w:r>
      <w:r w:rsidRPr="00A97E0E">
        <w:rPr>
          <w:lang w:val="en-GB"/>
        </w:rPr>
        <w:t>0%</w:t>
      </w:r>
      <w:r w:rsidR="0083236D">
        <w:rPr>
          <w:lang w:val="en-GB"/>
        </w:rPr>
        <w:t>.</w:t>
      </w:r>
    </w:p>
    <w:p w14:paraId="457845DE" w14:textId="2DAE574D" w:rsidR="00462148" w:rsidRDefault="00462148" w:rsidP="00462148">
      <w:pPr>
        <w:rPr>
          <w:lang w:val="en-GB"/>
        </w:rPr>
      </w:pPr>
      <w:r w:rsidRPr="00A97E0E">
        <w:rPr>
          <w:lang w:val="en-GB"/>
        </w:rPr>
        <w:lastRenderedPageBreak/>
        <w:t>Usable Capacity is 9 hosts</w:t>
      </w:r>
      <w:r w:rsidR="0083236D">
        <w:rPr>
          <w:lang w:val="en-GB"/>
        </w:rPr>
        <w:t xml:space="preserve">, so </w:t>
      </w:r>
      <w:r w:rsidRPr="00A97E0E">
        <w:rPr>
          <w:lang w:val="en-GB"/>
        </w:rPr>
        <w:t>9 is the 100%</w:t>
      </w:r>
      <w:r w:rsidR="005047B0">
        <w:rPr>
          <w:lang w:val="en-GB"/>
        </w:rPr>
        <w:t xml:space="preserve"> operationally. SLA is also based on 9. </w:t>
      </w:r>
    </w:p>
    <w:p w14:paraId="0BAE269F" w14:textId="4AECD114" w:rsidR="005047B0" w:rsidRDefault="005047B0" w:rsidP="00462148">
      <w:pPr>
        <w:rPr>
          <w:lang w:val="en-GB"/>
        </w:rPr>
      </w:pPr>
      <w:r>
        <w:rPr>
          <w:lang w:val="en-GB"/>
        </w:rPr>
        <w:t>From here, if a host is out, the calculation depends on what actually caused it. There are 3 different scenarios</w:t>
      </w:r>
      <w:r w:rsidR="001457E3">
        <w:rPr>
          <w:lang w:val="en-GB"/>
        </w:rPr>
        <w:t>:</w:t>
      </w:r>
    </w:p>
    <w:p w14:paraId="7A1DC1D5" w14:textId="77777777" w:rsidR="00AB0A9E" w:rsidRDefault="00AB0A9E" w:rsidP="00AB0A9E">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65"/>
        <w:gridCol w:w="2075"/>
        <w:gridCol w:w="1890"/>
        <w:gridCol w:w="4320"/>
      </w:tblGrid>
      <w:tr w:rsidR="001319A9" w14:paraId="719DB5AD" w14:textId="77777777" w:rsidTr="001319A9">
        <w:tc>
          <w:tcPr>
            <w:tcW w:w="2065" w:type="dxa"/>
            <w:shd w:val="clear" w:color="auto" w:fill="F2F2F2" w:themeFill="background1" w:themeFillShade="F2"/>
          </w:tcPr>
          <w:p w14:paraId="4969E7F9" w14:textId="77777777" w:rsidR="001319A9" w:rsidRDefault="001319A9" w:rsidP="00281329">
            <w:pPr>
              <w:pStyle w:val="Tableheading"/>
            </w:pPr>
          </w:p>
        </w:tc>
        <w:tc>
          <w:tcPr>
            <w:tcW w:w="2075" w:type="dxa"/>
            <w:shd w:val="clear" w:color="auto" w:fill="F2F2F2" w:themeFill="background1" w:themeFillShade="F2"/>
          </w:tcPr>
          <w:p w14:paraId="7EF526FA" w14:textId="7DB8F299" w:rsidR="001319A9" w:rsidRDefault="001319A9" w:rsidP="00281329">
            <w:pPr>
              <w:pStyle w:val="Tableheading"/>
            </w:pPr>
            <w:r>
              <w:t>Intentional?</w:t>
            </w:r>
          </w:p>
        </w:tc>
        <w:tc>
          <w:tcPr>
            <w:tcW w:w="1890" w:type="dxa"/>
            <w:shd w:val="clear" w:color="auto" w:fill="F2F2F2" w:themeFill="background1" w:themeFillShade="F2"/>
          </w:tcPr>
          <w:p w14:paraId="1DE537C3" w14:textId="32C693E2" w:rsidR="001319A9" w:rsidRDefault="001319A9" w:rsidP="00281329">
            <w:pPr>
              <w:pStyle w:val="Tableheading"/>
            </w:pPr>
            <w:r>
              <w:t>Desired</w:t>
            </w:r>
          </w:p>
        </w:tc>
        <w:tc>
          <w:tcPr>
            <w:tcW w:w="4320" w:type="dxa"/>
            <w:shd w:val="clear" w:color="auto" w:fill="F2F2F2" w:themeFill="background1" w:themeFillShade="F2"/>
          </w:tcPr>
          <w:p w14:paraId="7D98FFE3" w14:textId="67660F54" w:rsidR="001319A9" w:rsidRDefault="00AB0A9E" w:rsidP="00281329">
            <w:pPr>
              <w:pStyle w:val="Tableheading"/>
            </w:pPr>
            <w:r>
              <w:t>Impact</w:t>
            </w:r>
          </w:p>
        </w:tc>
      </w:tr>
      <w:tr w:rsidR="001319A9" w14:paraId="2DFAF7AF" w14:textId="77777777" w:rsidTr="001319A9">
        <w:tc>
          <w:tcPr>
            <w:tcW w:w="2065" w:type="dxa"/>
          </w:tcPr>
          <w:p w14:paraId="4A4FA4C2" w14:textId="19127AF8" w:rsidR="001319A9" w:rsidRPr="001319A9" w:rsidRDefault="001319A9" w:rsidP="001319A9">
            <w:pPr>
              <w:pStyle w:val="Tablecontent"/>
            </w:pPr>
            <w:r w:rsidRPr="001319A9">
              <w:t>vSphere DPM</w:t>
            </w:r>
          </w:p>
        </w:tc>
        <w:tc>
          <w:tcPr>
            <w:tcW w:w="2075" w:type="dxa"/>
          </w:tcPr>
          <w:p w14:paraId="347E6383" w14:textId="675DE458" w:rsidR="001319A9" w:rsidRPr="001319A9" w:rsidRDefault="001319A9" w:rsidP="001319A9">
            <w:pPr>
              <w:pStyle w:val="Tablecontent"/>
              <w:jc w:val="center"/>
            </w:pPr>
            <w:r>
              <w:t>Yes</w:t>
            </w:r>
          </w:p>
        </w:tc>
        <w:tc>
          <w:tcPr>
            <w:tcW w:w="1890" w:type="dxa"/>
          </w:tcPr>
          <w:p w14:paraId="27F26080" w14:textId="0C91D159" w:rsidR="001319A9" w:rsidRPr="001319A9" w:rsidRDefault="001319A9" w:rsidP="001319A9">
            <w:pPr>
              <w:pStyle w:val="Tablecontent"/>
              <w:jc w:val="center"/>
            </w:pPr>
            <w:r>
              <w:t>Yes</w:t>
            </w:r>
          </w:p>
        </w:tc>
        <w:tc>
          <w:tcPr>
            <w:tcW w:w="4320" w:type="dxa"/>
          </w:tcPr>
          <w:p w14:paraId="24BE276B" w14:textId="404A2819" w:rsidR="001319A9" w:rsidRPr="001319A9" w:rsidRDefault="00AB0A9E" w:rsidP="001319A9">
            <w:pPr>
              <w:pStyle w:val="Tablecontent"/>
            </w:pPr>
            <w:r>
              <w:t>Total Capacity</w:t>
            </w:r>
          </w:p>
        </w:tc>
      </w:tr>
      <w:tr w:rsidR="001319A9" w14:paraId="0729581E" w14:textId="77777777" w:rsidTr="001319A9">
        <w:tc>
          <w:tcPr>
            <w:tcW w:w="2065" w:type="dxa"/>
          </w:tcPr>
          <w:p w14:paraId="59E45AE9" w14:textId="0914A131" w:rsidR="001319A9" w:rsidRPr="001319A9" w:rsidRDefault="001319A9" w:rsidP="001319A9">
            <w:pPr>
              <w:pStyle w:val="Tablecontent"/>
            </w:pPr>
            <w:r w:rsidRPr="001319A9">
              <w:t>Maintenance Mode</w:t>
            </w:r>
          </w:p>
        </w:tc>
        <w:tc>
          <w:tcPr>
            <w:tcW w:w="2075" w:type="dxa"/>
          </w:tcPr>
          <w:p w14:paraId="2880719E" w14:textId="61AC204A" w:rsidR="001319A9" w:rsidRPr="001319A9" w:rsidRDefault="001319A9" w:rsidP="001319A9">
            <w:pPr>
              <w:pStyle w:val="Tablecontent"/>
              <w:jc w:val="center"/>
            </w:pPr>
            <w:r>
              <w:t>Yes</w:t>
            </w:r>
          </w:p>
        </w:tc>
        <w:tc>
          <w:tcPr>
            <w:tcW w:w="1890" w:type="dxa"/>
          </w:tcPr>
          <w:p w14:paraId="62937896" w14:textId="3CD99A36" w:rsidR="001319A9" w:rsidRPr="001319A9" w:rsidRDefault="001319A9" w:rsidP="001319A9">
            <w:pPr>
              <w:pStyle w:val="Tablecontent"/>
              <w:jc w:val="center"/>
            </w:pPr>
            <w:r>
              <w:t>No</w:t>
            </w:r>
          </w:p>
        </w:tc>
        <w:tc>
          <w:tcPr>
            <w:tcW w:w="4320" w:type="dxa"/>
          </w:tcPr>
          <w:p w14:paraId="4E86098D" w14:textId="63A7D2BD" w:rsidR="001319A9" w:rsidRPr="001319A9" w:rsidRDefault="00AB0A9E" w:rsidP="001319A9">
            <w:pPr>
              <w:pStyle w:val="Tablecontent"/>
            </w:pPr>
            <w:r>
              <w:t>Usable Capacity</w:t>
            </w:r>
          </w:p>
        </w:tc>
      </w:tr>
      <w:tr w:rsidR="001319A9" w14:paraId="4AC7B4CE" w14:textId="77777777" w:rsidTr="001319A9">
        <w:tc>
          <w:tcPr>
            <w:tcW w:w="2065" w:type="dxa"/>
          </w:tcPr>
          <w:p w14:paraId="292FA43A" w14:textId="4CEE86CB" w:rsidR="001319A9" w:rsidRPr="001319A9" w:rsidRDefault="001319A9" w:rsidP="001319A9">
            <w:pPr>
              <w:pStyle w:val="Tablecontent"/>
            </w:pPr>
            <w:r w:rsidRPr="001319A9">
              <w:t>HA happen</w:t>
            </w:r>
          </w:p>
        </w:tc>
        <w:tc>
          <w:tcPr>
            <w:tcW w:w="2075" w:type="dxa"/>
          </w:tcPr>
          <w:p w14:paraId="23BC158C" w14:textId="5C2C8770" w:rsidR="001319A9" w:rsidRPr="001319A9" w:rsidRDefault="001319A9" w:rsidP="001319A9">
            <w:pPr>
              <w:pStyle w:val="Tablecontent"/>
              <w:jc w:val="center"/>
            </w:pPr>
            <w:r>
              <w:t>No</w:t>
            </w:r>
          </w:p>
        </w:tc>
        <w:tc>
          <w:tcPr>
            <w:tcW w:w="1890" w:type="dxa"/>
          </w:tcPr>
          <w:p w14:paraId="0193527C" w14:textId="385C1641" w:rsidR="001319A9" w:rsidRPr="001319A9" w:rsidRDefault="006867F6" w:rsidP="001319A9">
            <w:pPr>
              <w:pStyle w:val="Tablecontent"/>
              <w:jc w:val="center"/>
            </w:pPr>
            <w:r>
              <w:t>No!</w:t>
            </w:r>
          </w:p>
        </w:tc>
        <w:tc>
          <w:tcPr>
            <w:tcW w:w="4320" w:type="dxa"/>
          </w:tcPr>
          <w:p w14:paraId="0BD0227C" w14:textId="5236C836" w:rsidR="001319A9" w:rsidRPr="001319A9" w:rsidRDefault="00AB0A9E" w:rsidP="001319A9">
            <w:pPr>
              <w:pStyle w:val="Tablecontent"/>
            </w:pPr>
            <w:r>
              <w:t>Usable Capacity</w:t>
            </w:r>
          </w:p>
        </w:tc>
      </w:tr>
    </w:tbl>
    <w:p w14:paraId="67A95876" w14:textId="23EC122B" w:rsidR="00AB0A9E" w:rsidRDefault="00AB0A9E" w:rsidP="00462148">
      <w:pPr>
        <w:rPr>
          <w:lang w:val="en-GB"/>
        </w:rPr>
      </w:pPr>
      <w:r>
        <w:rPr>
          <w:lang w:val="en-GB"/>
        </w:rPr>
        <w:t xml:space="preserve">Intentional means it’s something you knowingly execute. In the case of vSphere DPM, it’s also something you want to happen. In the case of Maintenance Mode, you intentionally do it but it’s not something you want. So the 2 have different impact. vSphere DPM does not </w:t>
      </w:r>
      <w:r w:rsidR="006867F6">
        <w:rPr>
          <w:lang w:val="en-GB"/>
        </w:rPr>
        <w:t xml:space="preserve">impact your HA as you still want HA even though you take out host(s). The length of DPM can be as long as there is no request for extra host. The length of maintenance mode should be as short as possible, hence the name maintenance. </w:t>
      </w:r>
    </w:p>
    <w:p w14:paraId="636DC9D8" w14:textId="6E217335" w:rsidR="006867F6" w:rsidRDefault="006867F6" w:rsidP="00462148">
      <w:pPr>
        <w:rPr>
          <w:lang w:val="en-GB"/>
        </w:rPr>
      </w:pPr>
      <w:r>
        <w:rPr>
          <w:lang w:val="en-GB"/>
        </w:rPr>
        <w:t>HA events is an outage. It is obviously not something desired.</w:t>
      </w:r>
    </w:p>
    <w:p w14:paraId="144DACEC" w14:textId="278990F2" w:rsidR="006867F6" w:rsidRDefault="006867F6" w:rsidP="00462148">
      <w:pPr>
        <w:rPr>
          <w:lang w:val="en-GB"/>
        </w:rPr>
      </w:pPr>
      <w:r>
        <w:rPr>
          <w:lang w:val="en-GB"/>
        </w:rPr>
        <w:t>Undesired event impacts usable capacity and not total capacity.</w:t>
      </w:r>
    </w:p>
    <w:p w14:paraId="31866728" w14:textId="77777777" w:rsidR="005047B0" w:rsidRDefault="005047B0" w:rsidP="001457E3">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65"/>
        <w:gridCol w:w="2797"/>
        <w:gridCol w:w="2797"/>
        <w:gridCol w:w="2797"/>
      </w:tblGrid>
      <w:tr w:rsidR="001457E3" w14:paraId="008B6E97" w14:textId="77777777" w:rsidTr="001457E3">
        <w:tc>
          <w:tcPr>
            <w:tcW w:w="2065" w:type="dxa"/>
            <w:shd w:val="clear" w:color="auto" w:fill="F2F2F2" w:themeFill="background1" w:themeFillShade="F2"/>
          </w:tcPr>
          <w:p w14:paraId="277E8FFE" w14:textId="77777777" w:rsidR="005047B0" w:rsidRDefault="005047B0" w:rsidP="00281329">
            <w:pPr>
              <w:pStyle w:val="Tableheading"/>
            </w:pPr>
          </w:p>
        </w:tc>
        <w:tc>
          <w:tcPr>
            <w:tcW w:w="2797" w:type="dxa"/>
            <w:shd w:val="clear" w:color="auto" w:fill="F2F2F2" w:themeFill="background1" w:themeFillShade="F2"/>
          </w:tcPr>
          <w:p w14:paraId="3D66BD1E" w14:textId="77777777" w:rsidR="005047B0" w:rsidRDefault="005047B0" w:rsidP="00281329">
            <w:pPr>
              <w:pStyle w:val="Tableheading"/>
            </w:pPr>
            <w:r>
              <w:t>DPM event</w:t>
            </w:r>
          </w:p>
        </w:tc>
        <w:tc>
          <w:tcPr>
            <w:tcW w:w="2797" w:type="dxa"/>
            <w:shd w:val="clear" w:color="auto" w:fill="F2F2F2" w:themeFill="background1" w:themeFillShade="F2"/>
          </w:tcPr>
          <w:p w14:paraId="29720A6E" w14:textId="77777777" w:rsidR="005047B0" w:rsidRDefault="005047B0" w:rsidP="00281329">
            <w:pPr>
              <w:pStyle w:val="Tableheading"/>
            </w:pPr>
            <w:r>
              <w:t>Maintenance Mode</w:t>
            </w:r>
          </w:p>
        </w:tc>
        <w:tc>
          <w:tcPr>
            <w:tcW w:w="2797" w:type="dxa"/>
            <w:shd w:val="clear" w:color="auto" w:fill="F2F2F2" w:themeFill="background1" w:themeFillShade="F2"/>
          </w:tcPr>
          <w:p w14:paraId="1706F255" w14:textId="77777777" w:rsidR="005047B0" w:rsidRDefault="005047B0" w:rsidP="00281329">
            <w:pPr>
              <w:pStyle w:val="Tableheading"/>
            </w:pPr>
            <w:r>
              <w:t>HA event</w:t>
            </w:r>
          </w:p>
        </w:tc>
      </w:tr>
      <w:tr w:rsidR="005047B0" w14:paraId="7027F8A1" w14:textId="77777777" w:rsidTr="001457E3">
        <w:tc>
          <w:tcPr>
            <w:tcW w:w="2065" w:type="dxa"/>
          </w:tcPr>
          <w:p w14:paraId="001E43D1" w14:textId="77777777" w:rsidR="005047B0" w:rsidRDefault="005047B0" w:rsidP="00281329">
            <w:pPr>
              <w:pStyle w:val="Tablecontent"/>
            </w:pPr>
            <w:r>
              <w:t>Total Capacity</w:t>
            </w:r>
          </w:p>
        </w:tc>
        <w:tc>
          <w:tcPr>
            <w:tcW w:w="2797" w:type="dxa"/>
          </w:tcPr>
          <w:p w14:paraId="6EFAB99F" w14:textId="4084331F" w:rsidR="005047B0" w:rsidRDefault="005047B0" w:rsidP="00AB0A9E">
            <w:pPr>
              <w:pStyle w:val="Tablecontent"/>
              <w:jc w:val="center"/>
            </w:pPr>
            <w:r>
              <w:t>9</w:t>
            </w:r>
          </w:p>
        </w:tc>
        <w:tc>
          <w:tcPr>
            <w:tcW w:w="2797" w:type="dxa"/>
          </w:tcPr>
          <w:p w14:paraId="31A2B0EF" w14:textId="30E31E2F" w:rsidR="005047B0" w:rsidRDefault="005047B0" w:rsidP="00AB0A9E">
            <w:pPr>
              <w:pStyle w:val="Tablecontent"/>
              <w:jc w:val="center"/>
            </w:pPr>
            <w:r>
              <w:t>10</w:t>
            </w:r>
          </w:p>
        </w:tc>
        <w:tc>
          <w:tcPr>
            <w:tcW w:w="2797" w:type="dxa"/>
          </w:tcPr>
          <w:p w14:paraId="153011CF" w14:textId="522E4A99" w:rsidR="005047B0" w:rsidRDefault="005047B0" w:rsidP="00AB0A9E">
            <w:pPr>
              <w:pStyle w:val="Tablecontent"/>
              <w:jc w:val="center"/>
            </w:pPr>
            <w:r>
              <w:t>10</w:t>
            </w:r>
          </w:p>
        </w:tc>
      </w:tr>
      <w:tr w:rsidR="005047B0" w14:paraId="7DAAAE2E" w14:textId="77777777" w:rsidTr="001457E3">
        <w:tc>
          <w:tcPr>
            <w:tcW w:w="2065" w:type="dxa"/>
          </w:tcPr>
          <w:p w14:paraId="487A2ECD" w14:textId="77777777" w:rsidR="005047B0" w:rsidRDefault="005047B0" w:rsidP="00281329">
            <w:pPr>
              <w:pStyle w:val="Tablecontent"/>
            </w:pPr>
            <w:r w:rsidRPr="00A97E0E">
              <w:rPr>
                <w:lang w:val="en-GB"/>
              </w:rPr>
              <w:t>Usable Capacity</w:t>
            </w:r>
          </w:p>
        </w:tc>
        <w:tc>
          <w:tcPr>
            <w:tcW w:w="2797" w:type="dxa"/>
          </w:tcPr>
          <w:p w14:paraId="10E9D779" w14:textId="629074A6" w:rsidR="005047B0" w:rsidRDefault="005047B0" w:rsidP="00AB0A9E">
            <w:pPr>
              <w:pStyle w:val="Tablecontent"/>
              <w:jc w:val="center"/>
            </w:pPr>
            <w:r>
              <w:t>8</w:t>
            </w:r>
          </w:p>
        </w:tc>
        <w:tc>
          <w:tcPr>
            <w:tcW w:w="5594" w:type="dxa"/>
            <w:gridSpan w:val="2"/>
          </w:tcPr>
          <w:p w14:paraId="5E690326" w14:textId="6BABB719" w:rsidR="005047B0" w:rsidRDefault="001457E3" w:rsidP="00AB0A9E">
            <w:pPr>
              <w:pStyle w:val="Tablecontent"/>
              <w:jc w:val="center"/>
            </w:pPr>
            <w:r>
              <w:t>9</w:t>
            </w:r>
          </w:p>
        </w:tc>
      </w:tr>
      <w:tr w:rsidR="005047B0" w14:paraId="7BF5093A" w14:textId="77777777" w:rsidTr="001457E3">
        <w:tc>
          <w:tcPr>
            <w:tcW w:w="2065" w:type="dxa"/>
          </w:tcPr>
          <w:p w14:paraId="17E911B3" w14:textId="77777777" w:rsidR="005047B0" w:rsidRDefault="005047B0" w:rsidP="00281329">
            <w:pPr>
              <w:pStyle w:val="Tablecontent"/>
            </w:pPr>
            <w:r w:rsidRPr="00A97E0E">
              <w:rPr>
                <w:lang w:val="en-GB"/>
              </w:rPr>
              <w:t>Actual Availability</w:t>
            </w:r>
          </w:p>
        </w:tc>
        <w:tc>
          <w:tcPr>
            <w:tcW w:w="2797" w:type="dxa"/>
          </w:tcPr>
          <w:p w14:paraId="6358C496" w14:textId="77777777" w:rsidR="005047B0" w:rsidRDefault="005047B0" w:rsidP="00281329">
            <w:pPr>
              <w:pStyle w:val="Tablecontent"/>
              <w:jc w:val="center"/>
            </w:pPr>
            <w:r>
              <w:t>9/9 = 100%</w:t>
            </w:r>
          </w:p>
        </w:tc>
        <w:tc>
          <w:tcPr>
            <w:tcW w:w="5594" w:type="dxa"/>
            <w:gridSpan w:val="2"/>
          </w:tcPr>
          <w:p w14:paraId="5F7A900C" w14:textId="3670D663" w:rsidR="005047B0" w:rsidRDefault="001457E3" w:rsidP="00281329">
            <w:pPr>
              <w:pStyle w:val="Tablecontent"/>
              <w:jc w:val="center"/>
            </w:pPr>
            <w:r>
              <w:t>9</w:t>
            </w:r>
            <w:r w:rsidR="005047B0">
              <w:t xml:space="preserve"> / 10 = </w:t>
            </w:r>
            <w:r>
              <w:t>9</w:t>
            </w:r>
            <w:r w:rsidR="005047B0">
              <w:t>0%</w:t>
            </w:r>
          </w:p>
        </w:tc>
      </w:tr>
      <w:tr w:rsidR="001457E3" w14:paraId="268430C1" w14:textId="77777777" w:rsidTr="00281329">
        <w:tc>
          <w:tcPr>
            <w:tcW w:w="2065" w:type="dxa"/>
          </w:tcPr>
          <w:p w14:paraId="026FF35B" w14:textId="77777777" w:rsidR="001457E3" w:rsidRPr="00A97E0E" w:rsidRDefault="001457E3" w:rsidP="00281329">
            <w:pPr>
              <w:pStyle w:val="Tablecontent"/>
              <w:rPr>
                <w:lang w:val="en-GB"/>
              </w:rPr>
            </w:pPr>
            <w:r>
              <w:rPr>
                <w:lang w:val="en-GB"/>
              </w:rPr>
              <w:t>Operational Availability</w:t>
            </w:r>
          </w:p>
        </w:tc>
        <w:tc>
          <w:tcPr>
            <w:tcW w:w="2797" w:type="dxa"/>
          </w:tcPr>
          <w:p w14:paraId="1BD79226" w14:textId="114AEDD1" w:rsidR="001457E3" w:rsidRDefault="001457E3" w:rsidP="00281329">
            <w:pPr>
              <w:pStyle w:val="Tablecontent"/>
              <w:jc w:val="center"/>
            </w:pPr>
            <w:r>
              <w:t xml:space="preserve">9 / 8 = 100% </w:t>
            </w:r>
            <w:r>
              <w:br/>
              <w:t>(capped)</w:t>
            </w:r>
          </w:p>
        </w:tc>
        <w:tc>
          <w:tcPr>
            <w:tcW w:w="5594" w:type="dxa"/>
            <w:gridSpan w:val="2"/>
          </w:tcPr>
          <w:p w14:paraId="1DD59A11" w14:textId="0A9F191E" w:rsidR="001457E3" w:rsidRDefault="001457E3" w:rsidP="00281329">
            <w:pPr>
              <w:pStyle w:val="Tablecontent"/>
              <w:jc w:val="center"/>
            </w:pPr>
            <w:r>
              <w:t>9 / 9 = 100%</w:t>
            </w:r>
          </w:p>
        </w:tc>
      </w:tr>
    </w:tbl>
    <w:p w14:paraId="3AD41802" w14:textId="1DE1639F" w:rsidR="005047B0" w:rsidRDefault="001457E3" w:rsidP="00462148">
      <w:pPr>
        <w:rPr>
          <w:lang w:val="en-GB"/>
        </w:rPr>
      </w:pPr>
      <w:r>
        <w:rPr>
          <w:lang w:val="en-GB"/>
        </w:rPr>
        <w:t>For completeness, let’s follow with a 2</w:t>
      </w:r>
      <w:r w:rsidRPr="001457E3">
        <w:rPr>
          <w:vertAlign w:val="superscript"/>
          <w:lang w:val="en-GB"/>
        </w:rPr>
        <w:t>nd</w:t>
      </w:r>
      <w:r>
        <w:rPr>
          <w:lang w:val="en-GB"/>
        </w:rPr>
        <w:t xml:space="preserve"> host out</w:t>
      </w:r>
    </w:p>
    <w:p w14:paraId="7D76C5B9" w14:textId="77777777" w:rsidR="001457E3" w:rsidRDefault="001457E3" w:rsidP="001457E3">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65"/>
        <w:gridCol w:w="2797"/>
        <w:gridCol w:w="2797"/>
        <w:gridCol w:w="2797"/>
      </w:tblGrid>
      <w:tr w:rsidR="001457E3" w14:paraId="3A5462FE" w14:textId="77777777" w:rsidTr="00281329">
        <w:tc>
          <w:tcPr>
            <w:tcW w:w="2065" w:type="dxa"/>
            <w:shd w:val="clear" w:color="auto" w:fill="F2F2F2" w:themeFill="background1" w:themeFillShade="F2"/>
          </w:tcPr>
          <w:p w14:paraId="508C3D72" w14:textId="77777777" w:rsidR="001457E3" w:rsidRDefault="001457E3" w:rsidP="00281329">
            <w:pPr>
              <w:pStyle w:val="Tableheading"/>
            </w:pPr>
          </w:p>
        </w:tc>
        <w:tc>
          <w:tcPr>
            <w:tcW w:w="2797" w:type="dxa"/>
            <w:shd w:val="clear" w:color="auto" w:fill="F2F2F2" w:themeFill="background1" w:themeFillShade="F2"/>
          </w:tcPr>
          <w:p w14:paraId="2F1E2657" w14:textId="77777777" w:rsidR="001457E3" w:rsidRDefault="001457E3" w:rsidP="00281329">
            <w:pPr>
              <w:pStyle w:val="Tableheading"/>
            </w:pPr>
            <w:r>
              <w:t>DPM event</w:t>
            </w:r>
          </w:p>
        </w:tc>
        <w:tc>
          <w:tcPr>
            <w:tcW w:w="2797" w:type="dxa"/>
            <w:shd w:val="clear" w:color="auto" w:fill="F2F2F2" w:themeFill="background1" w:themeFillShade="F2"/>
          </w:tcPr>
          <w:p w14:paraId="32B1AEF9" w14:textId="77777777" w:rsidR="001457E3" w:rsidRDefault="001457E3" w:rsidP="00281329">
            <w:pPr>
              <w:pStyle w:val="Tableheading"/>
            </w:pPr>
            <w:r>
              <w:t>Maintenance Mode</w:t>
            </w:r>
          </w:p>
        </w:tc>
        <w:tc>
          <w:tcPr>
            <w:tcW w:w="2797" w:type="dxa"/>
            <w:shd w:val="clear" w:color="auto" w:fill="F2F2F2" w:themeFill="background1" w:themeFillShade="F2"/>
          </w:tcPr>
          <w:p w14:paraId="6592585A" w14:textId="77777777" w:rsidR="001457E3" w:rsidRDefault="001457E3" w:rsidP="00281329">
            <w:pPr>
              <w:pStyle w:val="Tableheading"/>
            </w:pPr>
            <w:r>
              <w:t>HA event</w:t>
            </w:r>
          </w:p>
        </w:tc>
      </w:tr>
      <w:tr w:rsidR="001457E3" w14:paraId="5D76CBD3" w14:textId="77777777" w:rsidTr="00281329">
        <w:tc>
          <w:tcPr>
            <w:tcW w:w="2065" w:type="dxa"/>
          </w:tcPr>
          <w:p w14:paraId="52666C22" w14:textId="77777777" w:rsidR="001457E3" w:rsidRDefault="001457E3" w:rsidP="00281329">
            <w:pPr>
              <w:pStyle w:val="Tablecontent"/>
            </w:pPr>
            <w:r>
              <w:t>Total Capacity</w:t>
            </w:r>
          </w:p>
        </w:tc>
        <w:tc>
          <w:tcPr>
            <w:tcW w:w="2797" w:type="dxa"/>
          </w:tcPr>
          <w:p w14:paraId="027A53A3" w14:textId="216A41D9" w:rsidR="001457E3" w:rsidRDefault="001457E3" w:rsidP="001457E3">
            <w:pPr>
              <w:pStyle w:val="Tablecontent"/>
              <w:jc w:val="center"/>
            </w:pPr>
            <w:r>
              <w:t>8</w:t>
            </w:r>
          </w:p>
        </w:tc>
        <w:tc>
          <w:tcPr>
            <w:tcW w:w="2797" w:type="dxa"/>
          </w:tcPr>
          <w:p w14:paraId="26409F4D" w14:textId="2E8AB6F4" w:rsidR="001457E3" w:rsidRDefault="001457E3" w:rsidP="001457E3">
            <w:pPr>
              <w:pStyle w:val="Tablecontent"/>
              <w:jc w:val="center"/>
            </w:pPr>
            <w:r>
              <w:t>10</w:t>
            </w:r>
          </w:p>
        </w:tc>
        <w:tc>
          <w:tcPr>
            <w:tcW w:w="2797" w:type="dxa"/>
          </w:tcPr>
          <w:p w14:paraId="6BC0C5F2" w14:textId="15113541" w:rsidR="001457E3" w:rsidRDefault="001457E3" w:rsidP="001457E3">
            <w:pPr>
              <w:pStyle w:val="Tablecontent"/>
              <w:jc w:val="center"/>
            </w:pPr>
            <w:r>
              <w:t>10</w:t>
            </w:r>
          </w:p>
        </w:tc>
      </w:tr>
      <w:tr w:rsidR="001457E3" w14:paraId="248567EE" w14:textId="77777777" w:rsidTr="00281329">
        <w:tc>
          <w:tcPr>
            <w:tcW w:w="2065" w:type="dxa"/>
          </w:tcPr>
          <w:p w14:paraId="317641AF" w14:textId="77777777" w:rsidR="001457E3" w:rsidRDefault="001457E3" w:rsidP="00281329">
            <w:pPr>
              <w:pStyle w:val="Tablecontent"/>
            </w:pPr>
            <w:r w:rsidRPr="00A97E0E">
              <w:rPr>
                <w:lang w:val="en-GB"/>
              </w:rPr>
              <w:t>Usable Capacity</w:t>
            </w:r>
          </w:p>
        </w:tc>
        <w:tc>
          <w:tcPr>
            <w:tcW w:w="2797" w:type="dxa"/>
          </w:tcPr>
          <w:p w14:paraId="650865EF" w14:textId="2F7D8DFA" w:rsidR="001457E3" w:rsidRDefault="001457E3" w:rsidP="001457E3">
            <w:pPr>
              <w:pStyle w:val="Tablecontent"/>
              <w:jc w:val="center"/>
            </w:pPr>
            <w:r>
              <w:t>7</w:t>
            </w:r>
          </w:p>
        </w:tc>
        <w:tc>
          <w:tcPr>
            <w:tcW w:w="5594" w:type="dxa"/>
            <w:gridSpan w:val="2"/>
          </w:tcPr>
          <w:p w14:paraId="165DB8C0" w14:textId="5555B1D7" w:rsidR="001457E3" w:rsidRDefault="001457E3" w:rsidP="001457E3">
            <w:pPr>
              <w:pStyle w:val="Tablecontent"/>
              <w:jc w:val="center"/>
            </w:pPr>
            <w:r>
              <w:t>8</w:t>
            </w:r>
          </w:p>
        </w:tc>
      </w:tr>
      <w:tr w:rsidR="001457E3" w14:paraId="2178DDDB" w14:textId="77777777" w:rsidTr="00281329">
        <w:tc>
          <w:tcPr>
            <w:tcW w:w="2065" w:type="dxa"/>
          </w:tcPr>
          <w:p w14:paraId="2CF0E88F" w14:textId="77777777" w:rsidR="001457E3" w:rsidRDefault="001457E3" w:rsidP="00281329">
            <w:pPr>
              <w:pStyle w:val="Tablecontent"/>
            </w:pPr>
            <w:r w:rsidRPr="00A97E0E">
              <w:rPr>
                <w:lang w:val="en-GB"/>
              </w:rPr>
              <w:t>Actual Availability</w:t>
            </w:r>
          </w:p>
        </w:tc>
        <w:tc>
          <w:tcPr>
            <w:tcW w:w="2797" w:type="dxa"/>
          </w:tcPr>
          <w:p w14:paraId="31167A49" w14:textId="17001C95" w:rsidR="001457E3" w:rsidRDefault="001457E3" w:rsidP="00281329">
            <w:pPr>
              <w:pStyle w:val="Tablecontent"/>
              <w:jc w:val="center"/>
            </w:pPr>
            <w:r>
              <w:t>8 / 8 = 100%</w:t>
            </w:r>
          </w:p>
        </w:tc>
        <w:tc>
          <w:tcPr>
            <w:tcW w:w="5594" w:type="dxa"/>
            <w:gridSpan w:val="2"/>
          </w:tcPr>
          <w:p w14:paraId="465E0F2C" w14:textId="656A73F0" w:rsidR="001457E3" w:rsidRDefault="001457E3" w:rsidP="00281329">
            <w:pPr>
              <w:pStyle w:val="Tablecontent"/>
              <w:jc w:val="center"/>
            </w:pPr>
            <w:r>
              <w:t>8 / 10 = 80%</w:t>
            </w:r>
          </w:p>
        </w:tc>
      </w:tr>
      <w:tr w:rsidR="001457E3" w14:paraId="6F96720B" w14:textId="77777777" w:rsidTr="00281329">
        <w:tc>
          <w:tcPr>
            <w:tcW w:w="2065" w:type="dxa"/>
          </w:tcPr>
          <w:p w14:paraId="34E3F05A" w14:textId="77777777" w:rsidR="001457E3" w:rsidRPr="00A97E0E" w:rsidRDefault="001457E3" w:rsidP="00281329">
            <w:pPr>
              <w:pStyle w:val="Tablecontent"/>
              <w:rPr>
                <w:lang w:val="en-GB"/>
              </w:rPr>
            </w:pPr>
            <w:r>
              <w:rPr>
                <w:lang w:val="en-GB"/>
              </w:rPr>
              <w:t>Operational Availability</w:t>
            </w:r>
          </w:p>
        </w:tc>
        <w:tc>
          <w:tcPr>
            <w:tcW w:w="2797" w:type="dxa"/>
          </w:tcPr>
          <w:p w14:paraId="278885B6" w14:textId="792E438D" w:rsidR="001457E3" w:rsidRDefault="001457E3" w:rsidP="00281329">
            <w:pPr>
              <w:pStyle w:val="Tablecontent"/>
              <w:jc w:val="center"/>
            </w:pPr>
            <w:r>
              <w:t xml:space="preserve">8 / 7 = 100% </w:t>
            </w:r>
          </w:p>
        </w:tc>
        <w:tc>
          <w:tcPr>
            <w:tcW w:w="5594" w:type="dxa"/>
            <w:gridSpan w:val="2"/>
          </w:tcPr>
          <w:p w14:paraId="7B89C6A4" w14:textId="14B257F0" w:rsidR="001457E3" w:rsidRDefault="001457E3" w:rsidP="00281329">
            <w:pPr>
              <w:pStyle w:val="Tablecontent"/>
              <w:jc w:val="center"/>
            </w:pPr>
            <w:r>
              <w:t>8 / 9 = 89%</w:t>
            </w:r>
          </w:p>
        </w:tc>
      </w:tr>
    </w:tbl>
    <w:p w14:paraId="06A7A29A" w14:textId="77777777" w:rsidR="006867F6" w:rsidRDefault="006867F6" w:rsidP="006867F6">
      <w:pPr>
        <w:pStyle w:val="BeforeTable"/>
        <w:rPr>
          <w:lang w:val="en-GB"/>
        </w:rPr>
      </w:pPr>
    </w:p>
    <w:p w14:paraId="364759A0" w14:textId="130A212E" w:rsidR="0083236D" w:rsidRDefault="0083236D" w:rsidP="0083236D">
      <w:pPr>
        <w:rPr>
          <w:lang w:val="en-GB"/>
        </w:rPr>
      </w:pPr>
      <w:r>
        <w:rPr>
          <w:lang w:val="en-GB"/>
        </w:rPr>
        <w:t xml:space="preserve">The metric </w:t>
      </w:r>
      <w:r w:rsidRPr="00366880">
        <w:rPr>
          <w:color w:val="00B0F0"/>
          <w:lang w:val="en-GB"/>
        </w:rPr>
        <w:t xml:space="preserve">Total Capacity </w:t>
      </w:r>
      <w:r>
        <w:rPr>
          <w:lang w:val="en-GB"/>
        </w:rPr>
        <w:t xml:space="preserve">only counts those ESXi hosts that are connected. If a host is connection state = disconnected, its values becomes blank, so the Total Capacity is affected. </w:t>
      </w:r>
    </w:p>
    <w:p w14:paraId="073B0572" w14:textId="25B35F83" w:rsidR="0083236D" w:rsidRPr="00C0070B" w:rsidRDefault="0083236D" w:rsidP="0083236D">
      <w:pPr>
        <w:jc w:val="center"/>
        <w:rPr>
          <w:lang w:val="en-GB"/>
        </w:rPr>
      </w:pPr>
      <w:r w:rsidRPr="00B301A5">
        <w:rPr>
          <w:noProof/>
          <w:lang w:val="en-GB"/>
        </w:rPr>
        <w:lastRenderedPageBreak/>
        <w:drawing>
          <wp:inline distT="0" distB="0" distL="0" distR="0" wp14:anchorId="2133D6AE" wp14:editId="5CBF941F">
            <wp:extent cx="6035040" cy="3986784"/>
            <wp:effectExtent l="0" t="0" r="381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6"/>
                    <a:stretch>
                      <a:fillRect/>
                    </a:stretch>
                  </pic:blipFill>
                  <pic:spPr>
                    <a:xfrm>
                      <a:off x="0" y="0"/>
                      <a:ext cx="6035040" cy="3986784"/>
                    </a:xfrm>
                    <a:prstGeom prst="rect">
                      <a:avLst/>
                    </a:prstGeom>
                  </pic:spPr>
                </pic:pic>
              </a:graphicData>
            </a:graphic>
          </wp:inline>
        </w:drawing>
      </w:r>
    </w:p>
    <w:p w14:paraId="58AEE42C" w14:textId="77777777" w:rsidR="007D48E7" w:rsidRPr="001240AD" w:rsidRDefault="007D48E7" w:rsidP="006A1380">
      <w:pPr>
        <w:pStyle w:val="Heading4"/>
      </w:pPr>
      <w:r>
        <w:t>CPU</w:t>
      </w:r>
    </w:p>
    <w:tbl>
      <w:tblPr>
        <w:tblStyle w:val="GridTable1Light-Accent1"/>
        <w:tblW w:w="971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875"/>
        <w:gridCol w:w="6840"/>
      </w:tblGrid>
      <w:tr w:rsidR="007D48E7" w:rsidRPr="003E0D7A" w14:paraId="0BA9C02C" w14:textId="77777777" w:rsidTr="00281329">
        <w:tc>
          <w:tcPr>
            <w:cnfStyle w:val="001000000000" w:firstRow="0" w:lastRow="0" w:firstColumn="1" w:lastColumn="0" w:oddVBand="0" w:evenVBand="0" w:oddHBand="0" w:evenHBand="0" w:firstRowFirstColumn="0" w:firstRowLastColumn="0" w:lastRowFirstColumn="0" w:lastRowLastColumn="0"/>
            <w:tcW w:w="2875" w:type="dxa"/>
            <w:shd w:val="clear" w:color="auto" w:fill="F2F2F2" w:themeFill="background1" w:themeFillShade="F2"/>
          </w:tcPr>
          <w:p w14:paraId="32482310" w14:textId="77777777" w:rsidR="007D48E7" w:rsidRPr="00BF18F6" w:rsidRDefault="007D48E7" w:rsidP="00281329">
            <w:pPr>
              <w:pStyle w:val="Tableheading"/>
              <w:rPr>
                <w:b/>
                <w:bCs w:val="0"/>
              </w:rPr>
            </w:pPr>
            <w:r w:rsidRPr="00BF18F6">
              <w:rPr>
                <w:b/>
                <w:bCs w:val="0"/>
              </w:rPr>
              <w:t>Metric Name</w:t>
            </w:r>
          </w:p>
        </w:tc>
        <w:tc>
          <w:tcPr>
            <w:tcW w:w="6840" w:type="dxa"/>
            <w:shd w:val="clear" w:color="auto" w:fill="F2F2F2" w:themeFill="background1" w:themeFillShade="F2"/>
          </w:tcPr>
          <w:p w14:paraId="1475F0F6" w14:textId="77777777" w:rsidR="007D48E7" w:rsidRPr="00BF18F6" w:rsidRDefault="007D48E7" w:rsidP="00281329">
            <w:pPr>
              <w:pStyle w:val="Tableheading"/>
              <w:cnfStyle w:val="000000000000" w:firstRow="0" w:lastRow="0" w:firstColumn="0" w:lastColumn="0" w:oddVBand="0" w:evenVBand="0" w:oddHBand="0" w:evenHBand="0" w:firstRowFirstColumn="0" w:firstRowLastColumn="0" w:lastRowFirstColumn="0" w:lastRowLastColumn="0"/>
            </w:pPr>
            <w:r w:rsidRPr="00BF18F6">
              <w:t>Formula</w:t>
            </w:r>
          </w:p>
        </w:tc>
      </w:tr>
      <w:tr w:rsidR="007D48E7" w:rsidRPr="0090417B" w14:paraId="237FEDFF" w14:textId="77777777" w:rsidTr="00281329">
        <w:tc>
          <w:tcPr>
            <w:cnfStyle w:val="001000000000" w:firstRow="0" w:lastRow="0" w:firstColumn="1" w:lastColumn="0" w:oddVBand="0" w:evenVBand="0" w:oddHBand="0" w:evenHBand="0" w:firstRowFirstColumn="0" w:firstRowLastColumn="0" w:lastRowFirstColumn="0" w:lastRowLastColumn="0"/>
            <w:tcW w:w="2875" w:type="dxa"/>
          </w:tcPr>
          <w:p w14:paraId="0A3E114F" w14:textId="77777777" w:rsidR="007D48E7" w:rsidRPr="0090417B" w:rsidRDefault="007D48E7" w:rsidP="00281329">
            <w:pPr>
              <w:pStyle w:val="Tablecontent"/>
              <w:rPr>
                <w:b w:val="0"/>
                <w:bCs w:val="0"/>
              </w:rPr>
            </w:pPr>
            <w:r w:rsidRPr="00BF18F6">
              <w:rPr>
                <w:b w:val="0"/>
                <w:bCs w:val="0"/>
              </w:rPr>
              <w:t>Total Capacity (MHz)</w:t>
            </w:r>
          </w:p>
        </w:tc>
        <w:tc>
          <w:tcPr>
            <w:tcW w:w="6840" w:type="dxa"/>
          </w:tcPr>
          <w:p w14:paraId="45669713" w14:textId="77777777" w:rsidR="00D41F7A" w:rsidRDefault="007D48E7" w:rsidP="00D41F7A">
            <w:pPr>
              <w:pStyle w:val="Tablecontent"/>
              <w:cnfStyle w:val="000000000000" w:firstRow="0" w:lastRow="0" w:firstColumn="0" w:lastColumn="0" w:oddVBand="0" w:evenVBand="0" w:oddHBand="0" w:evenHBand="0" w:firstRowFirstColumn="0" w:firstRowLastColumn="0" w:lastRowFirstColumn="0" w:lastRowLastColumn="0"/>
            </w:pPr>
            <w:r w:rsidRPr="00A452F2">
              <w:t xml:space="preserve">The sum of all the physical cores in MHz. </w:t>
            </w:r>
          </w:p>
          <w:p w14:paraId="366DFBDC" w14:textId="77777777" w:rsidR="00D41F7A" w:rsidRDefault="007D48E7" w:rsidP="00D41F7A">
            <w:pPr>
              <w:pStyle w:val="Tablecontent"/>
              <w:cnfStyle w:val="000000000000" w:firstRow="0" w:lastRow="0" w:firstColumn="0" w:lastColumn="0" w:oddVBand="0" w:evenVBand="0" w:oddHBand="0" w:evenHBand="0" w:firstRowFirstColumn="0" w:firstRowLastColumn="0" w:lastRowFirstColumn="0" w:lastRowLastColumn="0"/>
            </w:pPr>
            <w:r w:rsidRPr="00D95AE3">
              <w:t>It does not consider Hyper-Threading</w:t>
            </w:r>
            <w:r>
              <w:t>, meaning turning in on does not increase the value</w:t>
            </w:r>
            <w:r w:rsidRPr="00D95AE3">
              <w:t xml:space="preserve">. </w:t>
            </w:r>
          </w:p>
          <w:p w14:paraId="0A2AB575" w14:textId="2B7D226B" w:rsidR="007D48E7" w:rsidRPr="00F073A1" w:rsidRDefault="007D48E7" w:rsidP="00D41F7A">
            <w:pPr>
              <w:pStyle w:val="Tablecontent"/>
              <w:cnfStyle w:val="000000000000" w:firstRow="0" w:lastRow="0" w:firstColumn="0" w:lastColumn="0" w:oddVBand="0" w:evenVBand="0" w:oddHBand="0" w:evenHBand="0" w:firstRowFirstColumn="0" w:firstRowLastColumn="0" w:lastRowFirstColumn="0" w:lastRowLastColumn="0"/>
            </w:pPr>
            <w:r w:rsidRPr="00A452F2">
              <w:t>It does not consider CPU power Management</w:t>
            </w:r>
            <w:r w:rsidR="00D41F7A">
              <w:t>, as it would be confusing to have volatile total capaciy.</w:t>
            </w:r>
          </w:p>
        </w:tc>
      </w:tr>
      <w:tr w:rsidR="007D48E7" w:rsidRPr="003E0D7A" w14:paraId="773AC42D" w14:textId="77777777" w:rsidTr="00281329">
        <w:tc>
          <w:tcPr>
            <w:cnfStyle w:val="001000000000" w:firstRow="0" w:lastRow="0" w:firstColumn="1" w:lastColumn="0" w:oddVBand="0" w:evenVBand="0" w:oddHBand="0" w:evenHBand="0" w:firstRowFirstColumn="0" w:firstRowLastColumn="0" w:lastRowFirstColumn="0" w:lastRowLastColumn="0"/>
            <w:tcW w:w="2875" w:type="dxa"/>
            <w:hideMark/>
          </w:tcPr>
          <w:p w14:paraId="7DDA14B8" w14:textId="77777777" w:rsidR="007D48E7" w:rsidRPr="00BF18F6" w:rsidRDefault="007D48E7" w:rsidP="00281329">
            <w:pPr>
              <w:pStyle w:val="Tablecontent"/>
              <w:rPr>
                <w:b w:val="0"/>
                <w:bCs w:val="0"/>
              </w:rPr>
            </w:pPr>
            <w:r w:rsidRPr="00BF18F6">
              <w:rPr>
                <w:b w:val="0"/>
                <w:bCs w:val="0"/>
              </w:rPr>
              <w:t>Usable Capacity (MHz)</w:t>
            </w:r>
          </w:p>
        </w:tc>
        <w:tc>
          <w:tcPr>
            <w:tcW w:w="6840" w:type="dxa"/>
            <w:hideMark/>
          </w:tcPr>
          <w:p w14:paraId="3259C2D1" w14:textId="77777777" w:rsidR="007D48E7" w:rsidRDefault="007D48E7" w:rsidP="00281329">
            <w:pPr>
              <w:pStyle w:val="Tablecontent"/>
              <w:cnfStyle w:val="000000000000" w:firstRow="0" w:lastRow="0" w:firstColumn="0" w:lastColumn="0" w:oddVBand="0" w:evenVBand="0" w:oddHBand="0" w:evenHBand="0" w:firstRowFirstColumn="0" w:firstRowLastColumn="0" w:lastRowFirstColumn="0" w:lastRowLastColumn="0"/>
            </w:pPr>
            <w:r>
              <w:t>U</w:t>
            </w:r>
            <w:r w:rsidRPr="003E0D7A">
              <w:t xml:space="preserve">sable CPU resources after </w:t>
            </w:r>
            <w:r>
              <w:t xml:space="preserve">deducting </w:t>
            </w:r>
            <w:r w:rsidRPr="003E0D7A">
              <w:t xml:space="preserve">vSphere </w:t>
            </w:r>
            <w:r>
              <w:t xml:space="preserve">Cluster </w:t>
            </w:r>
            <w:r w:rsidRPr="003E0D7A">
              <w:t>HA</w:t>
            </w:r>
            <w:r>
              <w:t xml:space="preserve"> and vRealize Operations buffer field.</w:t>
            </w:r>
          </w:p>
          <w:p w14:paraId="38939C06" w14:textId="77777777" w:rsidR="007D48E7" w:rsidRDefault="007D48E7" w:rsidP="00281329">
            <w:pPr>
              <w:pStyle w:val="Tablecontent"/>
              <w:cnfStyle w:val="000000000000" w:firstRow="0" w:lastRow="0" w:firstColumn="0" w:lastColumn="0" w:oddVBand="0" w:evenVBand="0" w:oddHBand="0" w:evenHBand="0" w:firstRowFirstColumn="0" w:firstRowLastColumn="0" w:lastRowFirstColumn="0" w:lastRowLastColumn="0"/>
            </w:pPr>
            <w:r w:rsidRPr="003E0D7A">
              <w:t>If HA is not enabled</w:t>
            </w:r>
            <w:r>
              <w:t xml:space="preserve">, then it takes </w:t>
            </w:r>
            <w:r w:rsidRPr="003E0D7A">
              <w:t>CPU</w:t>
            </w:r>
            <w:r>
              <w:t xml:space="preserve"> \ </w:t>
            </w:r>
            <w:r w:rsidRPr="003E0D7A">
              <w:t xml:space="preserve">Total Capacity </w:t>
            </w:r>
            <w:r>
              <w:t>value</w:t>
            </w:r>
          </w:p>
          <w:p w14:paraId="11D572B1" w14:textId="77777777" w:rsidR="007D48E7" w:rsidRDefault="007D48E7" w:rsidP="00281329">
            <w:pPr>
              <w:pStyle w:val="Tablecontent"/>
              <w:cnfStyle w:val="000000000000" w:firstRow="0" w:lastRow="0" w:firstColumn="0" w:lastColumn="0" w:oddVBand="0" w:evenVBand="0" w:oddHBand="0" w:evenHBand="0" w:firstRowFirstColumn="0" w:firstRowLastColumn="0" w:lastRowFirstColumn="0" w:lastRowLastColumn="0"/>
            </w:pPr>
            <w:r>
              <w:t xml:space="preserve">It considers the 3 types of </w:t>
            </w:r>
            <w:r w:rsidRPr="003E0D7A">
              <w:t>Admission</w:t>
            </w:r>
            <w:r>
              <w:t xml:space="preserve"> </w:t>
            </w:r>
            <w:r w:rsidRPr="003E0D7A">
              <w:t>Control</w:t>
            </w:r>
            <w:r>
              <w:t xml:space="preserve"> p</w:t>
            </w:r>
            <w:r w:rsidRPr="003E0D7A">
              <w:t>olic</w:t>
            </w:r>
            <w:r>
              <w:t>ies: slot size, resource percent, and failover host.</w:t>
            </w:r>
          </w:p>
          <w:p w14:paraId="449DA1FA" w14:textId="77777777" w:rsidR="007D48E7" w:rsidRPr="00A452F2" w:rsidRDefault="007D48E7" w:rsidP="00281329">
            <w:pPr>
              <w:cnfStyle w:val="000000000000" w:firstRow="0" w:lastRow="0" w:firstColumn="0" w:lastColumn="0" w:oddVBand="0" w:evenVBand="0" w:oddHBand="0" w:evenHBand="0" w:firstRowFirstColumn="0" w:firstRowLastColumn="0" w:lastRowFirstColumn="0" w:lastRowLastColumn="0"/>
              <w:rPr>
                <w:lang w:val="en-GB"/>
              </w:rPr>
            </w:pPr>
            <w:r>
              <w:rPr>
                <w:lang w:val="en-GB"/>
              </w:rPr>
              <w:t>CPU Usable Capacity</w:t>
            </w:r>
          </w:p>
          <w:p w14:paraId="6E5BDE11" w14:textId="77777777" w:rsidR="007D48E7" w:rsidRPr="00A452F2" w:rsidRDefault="007D48E7"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 CPU</w:t>
            </w:r>
            <w:r>
              <w:rPr>
                <w:lang w:val="en-GB"/>
              </w:rPr>
              <w:t xml:space="preserve"> </w:t>
            </w:r>
            <w:r w:rsidRPr="00A452F2">
              <w:rPr>
                <w:lang w:val="en-GB"/>
              </w:rPr>
              <w:t>\ Demand</w:t>
            </w:r>
            <w:r>
              <w:rPr>
                <w:lang w:val="en-GB"/>
              </w:rPr>
              <w:t xml:space="preserve"> </w:t>
            </w:r>
            <w:r w:rsidRPr="00A452F2">
              <w:rPr>
                <w:lang w:val="en-GB"/>
              </w:rPr>
              <w:t xml:space="preserve">\ Usable Capacity after HA and Buffer (GHz) </w:t>
            </w:r>
          </w:p>
          <w:p w14:paraId="571261B2" w14:textId="3A88F91F" w:rsidR="007D48E7" w:rsidRPr="003C63DF" w:rsidRDefault="007D48E7"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 Sum ( ESXi CPU</w:t>
            </w:r>
            <w:r>
              <w:rPr>
                <w:lang w:val="en-GB"/>
              </w:rPr>
              <w:t xml:space="preserve"> </w:t>
            </w:r>
            <w:r w:rsidRPr="00A452F2">
              <w:rPr>
                <w:lang w:val="en-GB"/>
              </w:rPr>
              <w:t>\ Capacity Available to VMs ) *</w:t>
            </w:r>
            <w:r>
              <w:rPr>
                <w:lang w:val="en-GB"/>
              </w:rPr>
              <w:t xml:space="preserve"> </w:t>
            </w:r>
            <w:r w:rsidRPr="00A452F2">
              <w:rPr>
                <w:lang w:val="en-GB"/>
              </w:rPr>
              <w:t xml:space="preserve">( 100 – Cluster HA CPU Failover ) % </w:t>
            </w:r>
          </w:p>
        </w:tc>
      </w:tr>
      <w:tr w:rsidR="007D48E7" w:rsidRPr="003E0D7A" w14:paraId="0E84CE3B" w14:textId="77777777" w:rsidTr="00281329">
        <w:tc>
          <w:tcPr>
            <w:cnfStyle w:val="001000000000" w:firstRow="0" w:lastRow="0" w:firstColumn="1" w:lastColumn="0" w:oddVBand="0" w:evenVBand="0" w:oddHBand="0" w:evenHBand="0" w:firstRowFirstColumn="0" w:firstRowLastColumn="0" w:lastRowFirstColumn="0" w:lastRowLastColumn="0"/>
            <w:tcW w:w="2875" w:type="dxa"/>
            <w:hideMark/>
          </w:tcPr>
          <w:p w14:paraId="2484DC60" w14:textId="77777777" w:rsidR="007D48E7" w:rsidRPr="00BF18F6" w:rsidRDefault="007D48E7" w:rsidP="00281329">
            <w:pPr>
              <w:pStyle w:val="Tablecontent"/>
              <w:rPr>
                <w:b w:val="0"/>
                <w:bCs w:val="0"/>
              </w:rPr>
            </w:pPr>
            <w:r w:rsidRPr="00BF18F6">
              <w:rPr>
                <w:b w:val="0"/>
                <w:bCs w:val="0"/>
              </w:rPr>
              <w:t>Usage (MHz)</w:t>
            </w:r>
          </w:p>
        </w:tc>
        <w:tc>
          <w:tcPr>
            <w:tcW w:w="6840" w:type="dxa"/>
          </w:tcPr>
          <w:p w14:paraId="18070341" w14:textId="77777777" w:rsidR="007D48E7" w:rsidRDefault="007D48E7" w:rsidP="00281329">
            <w:pPr>
              <w:pStyle w:val="Tablecontent"/>
              <w:cnfStyle w:val="000000000000" w:firstRow="0" w:lastRow="0" w:firstColumn="0" w:lastColumn="0" w:oddVBand="0" w:evenVBand="0" w:oddHBand="0" w:evenHBand="0" w:firstRowFirstColumn="0" w:firstRowLastColumn="0" w:lastRowFirstColumn="0" w:lastRowLastColumn="0"/>
            </w:pPr>
            <w:r w:rsidRPr="003E0D7A">
              <w:t>Sum</w:t>
            </w:r>
            <w:r>
              <w:t xml:space="preserve"> of all the ESXi </w:t>
            </w:r>
            <w:r w:rsidRPr="003E0D7A">
              <w:t>Host CPU</w:t>
            </w:r>
            <w:r>
              <w:t xml:space="preserve"> \ </w:t>
            </w:r>
            <w:r w:rsidRPr="003E0D7A">
              <w:t>Usage</w:t>
            </w:r>
          </w:p>
          <w:p w14:paraId="601486D0" w14:textId="77777777" w:rsidR="007D48E7" w:rsidRPr="003E0D7A" w:rsidRDefault="007D48E7" w:rsidP="00281329">
            <w:pPr>
              <w:pStyle w:val="Tablecontent"/>
              <w:cnfStyle w:val="000000000000" w:firstRow="0" w:lastRow="0" w:firstColumn="0" w:lastColumn="0" w:oddVBand="0" w:evenVBand="0" w:oddHBand="0" w:evenHBand="0" w:firstRowFirstColumn="0" w:firstRowLastColumn="0" w:lastRowFirstColumn="0" w:lastRowLastColumn="0"/>
            </w:pPr>
            <w:r>
              <w:lastRenderedPageBreak/>
              <w:t>This includes the overhead (e.g. vSAN, NSX, VMkernel)</w:t>
            </w:r>
          </w:p>
        </w:tc>
      </w:tr>
      <w:tr w:rsidR="007D48E7" w:rsidRPr="003E0D7A" w14:paraId="6C2664E3" w14:textId="77777777" w:rsidTr="00281329">
        <w:tc>
          <w:tcPr>
            <w:cnfStyle w:val="001000000000" w:firstRow="0" w:lastRow="0" w:firstColumn="1" w:lastColumn="0" w:oddVBand="0" w:evenVBand="0" w:oddHBand="0" w:evenHBand="0" w:firstRowFirstColumn="0" w:firstRowLastColumn="0" w:lastRowFirstColumn="0" w:lastRowLastColumn="0"/>
            <w:tcW w:w="2875" w:type="dxa"/>
          </w:tcPr>
          <w:p w14:paraId="17E859CB" w14:textId="77777777" w:rsidR="007D48E7" w:rsidRPr="00BF18F6" w:rsidRDefault="007D48E7" w:rsidP="00281329">
            <w:pPr>
              <w:pStyle w:val="Tablecontent"/>
              <w:rPr>
                <w:b w:val="0"/>
                <w:bCs w:val="0"/>
              </w:rPr>
            </w:pPr>
          </w:p>
        </w:tc>
        <w:tc>
          <w:tcPr>
            <w:tcW w:w="6840" w:type="dxa"/>
          </w:tcPr>
          <w:p w14:paraId="47C9889A" w14:textId="77777777" w:rsidR="007D48E7" w:rsidRDefault="007D48E7" w:rsidP="00281329">
            <w:pPr>
              <w:pStyle w:val="Tablecontent"/>
              <w:cnfStyle w:val="000000000000" w:firstRow="0" w:lastRow="0" w:firstColumn="0" w:lastColumn="0" w:oddVBand="0" w:evenVBand="0" w:oddHBand="0" w:evenHBand="0" w:firstRowFirstColumn="0" w:firstRowLastColumn="0" w:lastRowFirstColumn="0" w:lastRowLastColumn="0"/>
            </w:pPr>
            <w:r>
              <w:t>Sum of all the VM CPU Demand</w:t>
            </w:r>
          </w:p>
          <w:p w14:paraId="198A5D34" w14:textId="77777777" w:rsidR="007D48E7" w:rsidRPr="003E0D7A" w:rsidRDefault="007D48E7" w:rsidP="00281329">
            <w:pPr>
              <w:pStyle w:val="Tablecontent"/>
              <w:cnfStyle w:val="000000000000" w:firstRow="0" w:lastRow="0" w:firstColumn="0" w:lastColumn="0" w:oddVBand="0" w:evenVBand="0" w:oddHBand="0" w:evenHBand="0" w:firstRowFirstColumn="0" w:firstRowLastColumn="0" w:lastRowFirstColumn="0" w:lastRowLastColumn="0"/>
            </w:pPr>
            <w:r>
              <w:t>This is useful in the migration use case. The metric used is Demand, not Usage, as it should be based on the ideal that the VM does not shared the core.</w:t>
            </w:r>
          </w:p>
        </w:tc>
      </w:tr>
      <w:tr w:rsidR="007D48E7" w:rsidRPr="003E0D7A" w14:paraId="289B8054" w14:textId="77777777" w:rsidTr="00281329">
        <w:tc>
          <w:tcPr>
            <w:cnfStyle w:val="001000000000" w:firstRow="0" w:lastRow="0" w:firstColumn="1" w:lastColumn="0" w:oddVBand="0" w:evenVBand="0" w:oddHBand="0" w:evenHBand="0" w:firstRowFirstColumn="0" w:firstRowLastColumn="0" w:lastRowFirstColumn="0" w:lastRowLastColumn="0"/>
            <w:tcW w:w="2875" w:type="dxa"/>
          </w:tcPr>
          <w:p w14:paraId="17F93FDE" w14:textId="77777777" w:rsidR="007D48E7" w:rsidRPr="00BB7322" w:rsidRDefault="007D48E7" w:rsidP="00281329">
            <w:pPr>
              <w:pStyle w:val="Tablecontent"/>
              <w:rPr>
                <w:b w:val="0"/>
                <w:bCs w:val="0"/>
              </w:rPr>
            </w:pPr>
            <w:r w:rsidRPr="00BB7322">
              <w:rPr>
                <w:b w:val="0"/>
                <w:bCs w:val="0"/>
              </w:rPr>
              <w:t>Cluster Demand</w:t>
            </w:r>
          </w:p>
        </w:tc>
        <w:tc>
          <w:tcPr>
            <w:tcW w:w="6840" w:type="dxa"/>
          </w:tcPr>
          <w:p w14:paraId="5013F499" w14:textId="3F80EDB7" w:rsidR="007D48E7" w:rsidRDefault="007D48E7" w:rsidP="00281329">
            <w:pPr>
              <w:pStyle w:val="Tablecontent"/>
              <w:cnfStyle w:val="000000000000" w:firstRow="0" w:lastRow="0" w:firstColumn="0" w:lastColumn="0" w:oddVBand="0" w:evenVBand="0" w:oddHBand="0" w:evenHBand="0" w:firstRowFirstColumn="0" w:firstRowLastColumn="0" w:lastRowFirstColumn="0" w:lastRowLastColumn="0"/>
            </w:pPr>
            <w:r>
              <w:t>Cluster CPU Demand contain only limits, CPU Reservation is excluded as it’s on demand.</w:t>
            </w:r>
          </w:p>
        </w:tc>
      </w:tr>
      <w:tr w:rsidR="007D48E7" w:rsidRPr="003E0D7A" w14:paraId="4C3A2DD2" w14:textId="77777777" w:rsidTr="00281329">
        <w:tc>
          <w:tcPr>
            <w:cnfStyle w:val="001000000000" w:firstRow="0" w:lastRow="0" w:firstColumn="1" w:lastColumn="0" w:oddVBand="0" w:evenVBand="0" w:oddHBand="0" w:evenHBand="0" w:firstRowFirstColumn="0" w:firstRowLastColumn="0" w:lastRowFirstColumn="0" w:lastRowLastColumn="0"/>
            <w:tcW w:w="2875" w:type="dxa"/>
            <w:hideMark/>
          </w:tcPr>
          <w:p w14:paraId="7096DBD2" w14:textId="77777777" w:rsidR="007D48E7" w:rsidRPr="00BF18F6" w:rsidRDefault="007D48E7" w:rsidP="00281329">
            <w:pPr>
              <w:pStyle w:val="Tablecontent"/>
              <w:rPr>
                <w:b w:val="0"/>
                <w:bCs w:val="0"/>
              </w:rPr>
            </w:pPr>
            <w:r w:rsidRPr="00BF18F6">
              <w:rPr>
                <w:b w:val="0"/>
                <w:bCs w:val="0"/>
              </w:rPr>
              <w:t>Capacity Usage (%)</w:t>
            </w:r>
          </w:p>
        </w:tc>
        <w:tc>
          <w:tcPr>
            <w:tcW w:w="6840" w:type="dxa"/>
            <w:hideMark/>
          </w:tcPr>
          <w:p w14:paraId="667C082A" w14:textId="77777777" w:rsidR="007D48E7" w:rsidRDefault="007D48E7" w:rsidP="00281329">
            <w:pPr>
              <w:pStyle w:val="Tablecontent"/>
              <w:cnfStyle w:val="000000000000" w:firstRow="0" w:lastRow="0" w:firstColumn="0" w:lastColumn="0" w:oddVBand="0" w:evenVBand="0" w:oddHBand="0" w:evenHBand="0" w:firstRowFirstColumn="0" w:firstRowLastColumn="0" w:lastRowFirstColumn="0" w:lastRowLastColumn="0"/>
            </w:pPr>
            <w:r w:rsidRPr="003E0D7A">
              <w:t>CPU</w:t>
            </w:r>
            <w:r>
              <w:t xml:space="preserve"> \ </w:t>
            </w:r>
            <w:r w:rsidRPr="003E0D7A">
              <w:t xml:space="preserve">Usage </w:t>
            </w:r>
            <w:r>
              <w:t>divided by</w:t>
            </w:r>
            <w:r w:rsidRPr="003E0D7A">
              <w:t> CPU</w:t>
            </w:r>
            <w:r>
              <w:t xml:space="preserve"> \ </w:t>
            </w:r>
            <w:r w:rsidRPr="003E0D7A">
              <w:t>Total Capacity</w:t>
            </w:r>
          </w:p>
          <w:p w14:paraId="3F521D48" w14:textId="77777777" w:rsidR="007D48E7" w:rsidRPr="003E0D7A" w:rsidRDefault="007D48E7" w:rsidP="00281329">
            <w:pPr>
              <w:pStyle w:val="Tablecontent"/>
              <w:cnfStyle w:val="000000000000" w:firstRow="0" w:lastRow="0" w:firstColumn="0" w:lastColumn="0" w:oddVBand="0" w:evenVBand="0" w:oddHBand="0" w:evenHBand="0" w:firstRowFirstColumn="0" w:firstRowLastColumn="0" w:lastRowFirstColumn="0" w:lastRowLastColumn="0"/>
            </w:pPr>
            <w:r>
              <w:t xml:space="preserve">Value is then </w:t>
            </w:r>
            <w:r w:rsidRPr="003E0D7A">
              <w:t>* 100</w:t>
            </w:r>
            <w:r>
              <w:t xml:space="preserve"> as it’s percentage.</w:t>
            </w:r>
          </w:p>
        </w:tc>
      </w:tr>
    </w:tbl>
    <w:p w14:paraId="6EFCA2E2" w14:textId="77777777" w:rsidR="007D48E7" w:rsidRDefault="007D48E7" w:rsidP="006A1380">
      <w:pPr>
        <w:pStyle w:val="Heading4"/>
      </w:pPr>
      <w:r>
        <w:t>Memory</w:t>
      </w:r>
    </w:p>
    <w:p w14:paraId="6D01B0E2" w14:textId="77777777" w:rsidR="007D48E7" w:rsidRDefault="007D48E7" w:rsidP="007D48E7">
      <w:pPr>
        <w:rPr>
          <w:lang w:val="en-GB"/>
        </w:rPr>
      </w:pPr>
      <w:r>
        <w:rPr>
          <w:lang w:val="en-GB"/>
        </w:rPr>
        <w:t>Memory is tricky as the primary metric (Consumed) does not account for memory pressure. So it does not reflect unmet demand. This is technically correct as those pages that were ballooned, swapped, and compressed are no longer backed by physical pages.</w:t>
      </w:r>
    </w:p>
    <w:p w14:paraId="74EBC6CF" w14:textId="77777777" w:rsidR="007D48E7" w:rsidRPr="00954715" w:rsidRDefault="007D48E7" w:rsidP="007D48E7">
      <w:pPr>
        <w:pStyle w:val="BeforeTable"/>
        <w:rPr>
          <w:lang w:val="en-GB"/>
        </w:rPr>
      </w:pPr>
    </w:p>
    <w:tbl>
      <w:tblPr>
        <w:tblStyle w:val="GridTable1Light-Accent1"/>
        <w:tblW w:w="971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875"/>
        <w:gridCol w:w="6840"/>
      </w:tblGrid>
      <w:tr w:rsidR="007D48E7" w:rsidRPr="003E0D7A" w14:paraId="2EB9289C" w14:textId="77777777" w:rsidTr="00281329">
        <w:tc>
          <w:tcPr>
            <w:cnfStyle w:val="001000000000" w:firstRow="0" w:lastRow="0" w:firstColumn="1" w:lastColumn="0" w:oddVBand="0" w:evenVBand="0" w:oddHBand="0" w:evenHBand="0" w:firstRowFirstColumn="0" w:firstRowLastColumn="0" w:lastRowFirstColumn="0" w:lastRowLastColumn="0"/>
            <w:tcW w:w="2875" w:type="dxa"/>
            <w:shd w:val="clear" w:color="auto" w:fill="F2F2F2" w:themeFill="background1" w:themeFillShade="F2"/>
          </w:tcPr>
          <w:p w14:paraId="1436E505" w14:textId="77777777" w:rsidR="007D48E7" w:rsidRPr="00BF18F6" w:rsidRDefault="007D48E7" w:rsidP="00281329">
            <w:pPr>
              <w:pStyle w:val="Tableheading"/>
              <w:rPr>
                <w:b/>
                <w:bCs w:val="0"/>
              </w:rPr>
            </w:pPr>
            <w:r w:rsidRPr="00BF18F6">
              <w:rPr>
                <w:b/>
                <w:bCs w:val="0"/>
              </w:rPr>
              <w:t>Metric Name</w:t>
            </w:r>
          </w:p>
        </w:tc>
        <w:tc>
          <w:tcPr>
            <w:tcW w:w="6840" w:type="dxa"/>
            <w:shd w:val="clear" w:color="auto" w:fill="F2F2F2" w:themeFill="background1" w:themeFillShade="F2"/>
          </w:tcPr>
          <w:p w14:paraId="18FCA0FF" w14:textId="77777777" w:rsidR="007D48E7" w:rsidRPr="00BF18F6" w:rsidRDefault="007D48E7" w:rsidP="00281329">
            <w:pPr>
              <w:pStyle w:val="Tableheading"/>
              <w:cnfStyle w:val="000000000000" w:firstRow="0" w:lastRow="0" w:firstColumn="0" w:lastColumn="0" w:oddVBand="0" w:evenVBand="0" w:oddHBand="0" w:evenHBand="0" w:firstRowFirstColumn="0" w:firstRowLastColumn="0" w:lastRowFirstColumn="0" w:lastRowLastColumn="0"/>
            </w:pPr>
            <w:r w:rsidRPr="00BF18F6">
              <w:t>Formula</w:t>
            </w:r>
          </w:p>
        </w:tc>
      </w:tr>
      <w:tr w:rsidR="007D48E7" w:rsidRPr="003E0D7A" w14:paraId="3FEB98B1" w14:textId="77777777" w:rsidTr="00281329">
        <w:tc>
          <w:tcPr>
            <w:cnfStyle w:val="001000000000" w:firstRow="0" w:lastRow="0" w:firstColumn="1" w:lastColumn="0" w:oddVBand="0" w:evenVBand="0" w:oddHBand="0" w:evenHBand="0" w:firstRowFirstColumn="0" w:firstRowLastColumn="0" w:lastRowFirstColumn="0" w:lastRowLastColumn="0"/>
            <w:tcW w:w="2875" w:type="dxa"/>
            <w:shd w:val="clear" w:color="auto" w:fill="auto"/>
          </w:tcPr>
          <w:p w14:paraId="1057B793" w14:textId="77777777" w:rsidR="007D48E7" w:rsidRPr="0089439A" w:rsidRDefault="007D48E7" w:rsidP="00281329">
            <w:pPr>
              <w:pStyle w:val="Tablecontent"/>
              <w:rPr>
                <w:b w:val="0"/>
                <w:bCs w:val="0"/>
              </w:rPr>
            </w:pPr>
            <w:r w:rsidRPr="0089439A">
              <w:rPr>
                <w:b w:val="0"/>
                <w:bCs w:val="0"/>
              </w:rPr>
              <w:t xml:space="preserve">Total Capacity </w:t>
            </w:r>
          </w:p>
        </w:tc>
        <w:tc>
          <w:tcPr>
            <w:tcW w:w="6840" w:type="dxa"/>
            <w:shd w:val="clear" w:color="auto" w:fill="auto"/>
          </w:tcPr>
          <w:p w14:paraId="102A4026" w14:textId="77777777" w:rsidR="007D48E7" w:rsidRPr="0089439A" w:rsidRDefault="007D48E7" w:rsidP="00281329">
            <w:pPr>
              <w:pStyle w:val="Tablecontent"/>
              <w:cnfStyle w:val="000000000000" w:firstRow="0" w:lastRow="0" w:firstColumn="0" w:lastColumn="0" w:oddVBand="0" w:evenVBand="0" w:oddHBand="0" w:evenHBand="0" w:firstRowFirstColumn="0" w:firstRowLastColumn="0" w:lastRowFirstColumn="0" w:lastRowLastColumn="0"/>
            </w:pPr>
          </w:p>
        </w:tc>
      </w:tr>
      <w:tr w:rsidR="007D48E7" w:rsidRPr="003E0D7A" w14:paraId="58EA9254" w14:textId="77777777" w:rsidTr="00281329">
        <w:tc>
          <w:tcPr>
            <w:cnfStyle w:val="001000000000" w:firstRow="0" w:lastRow="0" w:firstColumn="1" w:lastColumn="0" w:oddVBand="0" w:evenVBand="0" w:oddHBand="0" w:evenHBand="0" w:firstRowFirstColumn="0" w:firstRowLastColumn="0" w:lastRowFirstColumn="0" w:lastRowLastColumn="0"/>
            <w:tcW w:w="2875" w:type="dxa"/>
            <w:shd w:val="clear" w:color="auto" w:fill="auto"/>
          </w:tcPr>
          <w:p w14:paraId="4C4DA28E" w14:textId="77777777" w:rsidR="007D48E7" w:rsidRPr="0089439A" w:rsidRDefault="007D48E7" w:rsidP="00281329">
            <w:pPr>
              <w:pStyle w:val="Tablecontent"/>
              <w:rPr>
                <w:b w:val="0"/>
                <w:bCs w:val="0"/>
              </w:rPr>
            </w:pPr>
            <w:r w:rsidRPr="0089439A">
              <w:rPr>
                <w:b w:val="0"/>
                <w:bCs w:val="0"/>
              </w:rPr>
              <w:t>Usable Capacity</w:t>
            </w:r>
          </w:p>
        </w:tc>
        <w:tc>
          <w:tcPr>
            <w:tcW w:w="6840" w:type="dxa"/>
            <w:shd w:val="clear" w:color="auto" w:fill="auto"/>
          </w:tcPr>
          <w:p w14:paraId="5961FCC6" w14:textId="77777777" w:rsidR="007D48E7" w:rsidRDefault="007D48E7" w:rsidP="00281329">
            <w:pPr>
              <w:pStyle w:val="Tablecontent"/>
              <w:cnfStyle w:val="000000000000" w:firstRow="0" w:lastRow="0" w:firstColumn="0" w:lastColumn="0" w:oddVBand="0" w:evenVBand="0" w:oddHBand="0" w:evenHBand="0" w:firstRowFirstColumn="0" w:firstRowLastColumn="0" w:lastRowFirstColumn="0" w:lastRowLastColumn="0"/>
            </w:pPr>
            <w:r>
              <w:t>For cluster:</w:t>
            </w:r>
          </w:p>
          <w:p w14:paraId="1F2B13F2" w14:textId="77777777" w:rsidR="007D48E7" w:rsidRPr="00A452F2" w:rsidRDefault="007D48E7"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 Memory</w:t>
            </w:r>
            <w:r>
              <w:rPr>
                <w:lang w:val="en-GB"/>
              </w:rPr>
              <w:t xml:space="preserve"> </w:t>
            </w:r>
            <w:r w:rsidRPr="00A452F2">
              <w:rPr>
                <w:lang w:val="en-GB"/>
              </w:rPr>
              <w:t>\ Demand</w:t>
            </w:r>
            <w:r>
              <w:rPr>
                <w:lang w:val="en-GB"/>
              </w:rPr>
              <w:t xml:space="preserve"> </w:t>
            </w:r>
            <w:r w:rsidRPr="00A452F2">
              <w:rPr>
                <w:lang w:val="en-GB"/>
              </w:rPr>
              <w:t>\ Usable Capacity after HA and Buffer (GB)</w:t>
            </w:r>
          </w:p>
          <w:p w14:paraId="33B8F061" w14:textId="1D53CD1A" w:rsidR="007D48E7" w:rsidRPr="003C63DF" w:rsidRDefault="007D48E7"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A452F2">
              <w:rPr>
                <w:lang w:val="en-GB"/>
              </w:rPr>
              <w:t xml:space="preserve">= ( Sum ESXi Memory </w:t>
            </w:r>
            <w:r>
              <w:rPr>
                <w:lang w:val="en-GB"/>
              </w:rPr>
              <w:t>\</w:t>
            </w:r>
            <w:r w:rsidRPr="00A452F2">
              <w:rPr>
                <w:lang w:val="en-GB"/>
              </w:rPr>
              <w:t xml:space="preserve"> Capacity Available to VMs ) *</w:t>
            </w:r>
            <w:r>
              <w:rPr>
                <w:lang w:val="en-GB"/>
              </w:rPr>
              <w:t xml:space="preserve"> </w:t>
            </w:r>
            <w:r w:rsidRPr="00A452F2">
              <w:rPr>
                <w:lang w:val="en-GB"/>
              </w:rPr>
              <w:t xml:space="preserve">( 100 - Cluster HA Memory Failover) % </w:t>
            </w:r>
          </w:p>
        </w:tc>
      </w:tr>
      <w:tr w:rsidR="007D48E7" w:rsidRPr="003E0D7A" w14:paraId="5E2A98F6" w14:textId="77777777" w:rsidTr="00281329">
        <w:tc>
          <w:tcPr>
            <w:cnfStyle w:val="001000000000" w:firstRow="0" w:lastRow="0" w:firstColumn="1" w:lastColumn="0" w:oddVBand="0" w:evenVBand="0" w:oddHBand="0" w:evenHBand="0" w:firstRowFirstColumn="0" w:firstRowLastColumn="0" w:lastRowFirstColumn="0" w:lastRowLastColumn="0"/>
            <w:tcW w:w="2875" w:type="dxa"/>
          </w:tcPr>
          <w:p w14:paraId="39FC793B" w14:textId="77777777" w:rsidR="007D48E7" w:rsidRPr="00BF18F6" w:rsidRDefault="007D48E7" w:rsidP="00281329">
            <w:pPr>
              <w:pStyle w:val="Tablecontent"/>
              <w:rPr>
                <w:b w:val="0"/>
                <w:bCs w:val="0"/>
              </w:rPr>
            </w:pPr>
          </w:p>
        </w:tc>
        <w:tc>
          <w:tcPr>
            <w:tcW w:w="6840" w:type="dxa"/>
          </w:tcPr>
          <w:p w14:paraId="25C3A8AC" w14:textId="77777777" w:rsidR="007D48E7" w:rsidRPr="003E0D7A" w:rsidRDefault="007D48E7" w:rsidP="00281329">
            <w:pPr>
              <w:pStyle w:val="Tablecontent"/>
              <w:cnfStyle w:val="000000000000" w:firstRow="0" w:lastRow="0" w:firstColumn="0" w:lastColumn="0" w:oddVBand="0" w:evenVBand="0" w:oddHBand="0" w:evenHBand="0" w:firstRowFirstColumn="0" w:firstRowLastColumn="0" w:lastRowFirstColumn="0" w:lastRowLastColumn="0"/>
            </w:pPr>
            <w:r>
              <w:t>Highest ESXi Consumed among all the hosts in the cluster</w:t>
            </w:r>
          </w:p>
        </w:tc>
      </w:tr>
      <w:tr w:rsidR="007D48E7" w:rsidRPr="003E0D7A" w14:paraId="7CD023A7" w14:textId="77777777" w:rsidTr="00281329">
        <w:tc>
          <w:tcPr>
            <w:cnfStyle w:val="001000000000" w:firstRow="0" w:lastRow="0" w:firstColumn="1" w:lastColumn="0" w:oddVBand="0" w:evenVBand="0" w:oddHBand="0" w:evenHBand="0" w:firstRowFirstColumn="0" w:firstRowLastColumn="0" w:lastRowFirstColumn="0" w:lastRowLastColumn="0"/>
            <w:tcW w:w="2875" w:type="dxa"/>
          </w:tcPr>
          <w:p w14:paraId="233B0457" w14:textId="77777777" w:rsidR="007D48E7" w:rsidRPr="00BF18F6" w:rsidRDefault="007D48E7" w:rsidP="00281329">
            <w:pPr>
              <w:pStyle w:val="Tablecontent"/>
              <w:rPr>
                <w:b w:val="0"/>
                <w:bCs w:val="0"/>
              </w:rPr>
            </w:pPr>
          </w:p>
        </w:tc>
        <w:tc>
          <w:tcPr>
            <w:tcW w:w="6840" w:type="dxa"/>
          </w:tcPr>
          <w:p w14:paraId="2A223175" w14:textId="77777777" w:rsidR="007D48E7" w:rsidRDefault="007D48E7" w:rsidP="00281329">
            <w:pPr>
              <w:pStyle w:val="Tablecontent"/>
              <w:cnfStyle w:val="000000000000" w:firstRow="0" w:lastRow="0" w:firstColumn="0" w:lastColumn="0" w:oddVBand="0" w:evenVBand="0" w:oddHBand="0" w:evenHBand="0" w:firstRowFirstColumn="0" w:firstRowLastColumn="0" w:lastRowFirstColumn="0" w:lastRowLastColumn="0"/>
            </w:pPr>
            <w:r>
              <w:t>Normalized average of ESXi Consumed among all the hosts in the cluster</w:t>
            </w:r>
          </w:p>
        </w:tc>
      </w:tr>
      <w:tr w:rsidR="00D25F7D" w:rsidRPr="003E0D7A" w14:paraId="29AF7D80" w14:textId="77777777" w:rsidTr="00281329">
        <w:tc>
          <w:tcPr>
            <w:cnfStyle w:val="001000000000" w:firstRow="0" w:lastRow="0" w:firstColumn="1" w:lastColumn="0" w:oddVBand="0" w:evenVBand="0" w:oddHBand="0" w:evenHBand="0" w:firstRowFirstColumn="0" w:firstRowLastColumn="0" w:lastRowFirstColumn="0" w:lastRowLastColumn="0"/>
            <w:tcW w:w="2875" w:type="dxa"/>
          </w:tcPr>
          <w:p w14:paraId="37398B0C" w14:textId="767EA504" w:rsidR="00D25F7D" w:rsidRPr="00BF18F6" w:rsidRDefault="00D25F7D" w:rsidP="00281329">
            <w:pPr>
              <w:pStyle w:val="Tablecontent"/>
              <w:rPr>
                <w:b w:val="0"/>
                <w:bCs w:val="0"/>
              </w:rPr>
            </w:pPr>
            <w:r>
              <w:rPr>
                <w:b w:val="0"/>
                <w:bCs w:val="0"/>
              </w:rPr>
              <w:t>Usage (%)</w:t>
            </w:r>
          </w:p>
        </w:tc>
        <w:tc>
          <w:tcPr>
            <w:tcW w:w="6840" w:type="dxa"/>
          </w:tcPr>
          <w:p w14:paraId="7B2A4DE2" w14:textId="77777777" w:rsidR="00D25F7D" w:rsidRDefault="00D25F7D" w:rsidP="00281329">
            <w:pPr>
              <w:pStyle w:val="Tablecontent"/>
              <w:cnfStyle w:val="000000000000" w:firstRow="0" w:lastRow="0" w:firstColumn="0" w:lastColumn="0" w:oddVBand="0" w:evenVBand="0" w:oddHBand="0" w:evenHBand="0" w:firstRowFirstColumn="0" w:firstRowLastColumn="0" w:lastRowFirstColumn="0" w:lastRowLastColumn="0"/>
            </w:pPr>
            <w:r>
              <w:t>Memory Consumed in %</w:t>
            </w:r>
          </w:p>
          <w:p w14:paraId="3E37F65E" w14:textId="77777777" w:rsidR="00D25F7D" w:rsidRDefault="00D25F7D" w:rsidP="00D25F7D">
            <w:pPr>
              <w:pStyle w:val="Tablecontent"/>
              <w:cnfStyle w:val="000000000000" w:firstRow="0" w:lastRow="0" w:firstColumn="0" w:lastColumn="0" w:oddVBand="0" w:evenVBand="0" w:oddHBand="0" w:evenHBand="0" w:firstRowFirstColumn="0" w:firstRowLastColumn="0" w:lastRowFirstColumn="0" w:lastRowLastColumn="0"/>
            </w:pPr>
            <w:r>
              <w:t xml:space="preserve">( Sum[HostSystem](Memory|Consumed) / </w:t>
            </w:r>
          </w:p>
          <w:p w14:paraId="35982AD2" w14:textId="03F356E8" w:rsidR="00D25F7D" w:rsidRDefault="00D25F7D" w:rsidP="00D25F7D">
            <w:pPr>
              <w:pStyle w:val="Tablecontent"/>
              <w:cnfStyle w:val="000000000000" w:firstRow="0" w:lastRow="0" w:firstColumn="0" w:lastColumn="0" w:oddVBand="0" w:evenVBand="0" w:oddHBand="0" w:evenHBand="0" w:firstRowFirstColumn="0" w:firstRowLastColumn="0" w:lastRowFirstColumn="0" w:lastRowLastColumn="0"/>
            </w:pPr>
            <w:r>
              <w:t>Sum[HostSystem](Memory|Total Capacity) ) * 100</w:t>
            </w:r>
          </w:p>
        </w:tc>
      </w:tr>
      <w:tr w:rsidR="00794764" w:rsidRPr="003E0D7A" w14:paraId="1180B83A" w14:textId="77777777" w:rsidTr="00281329">
        <w:tc>
          <w:tcPr>
            <w:cnfStyle w:val="001000000000" w:firstRow="0" w:lastRow="0" w:firstColumn="1" w:lastColumn="0" w:oddVBand="0" w:evenVBand="0" w:oddHBand="0" w:evenHBand="0" w:firstRowFirstColumn="0" w:firstRowLastColumn="0" w:lastRowFirstColumn="0" w:lastRowLastColumn="0"/>
            <w:tcW w:w="2875" w:type="dxa"/>
          </w:tcPr>
          <w:p w14:paraId="401922DE" w14:textId="77777777" w:rsidR="00794764" w:rsidRDefault="00794764" w:rsidP="00281329">
            <w:pPr>
              <w:pStyle w:val="Tablecontent"/>
            </w:pPr>
          </w:p>
        </w:tc>
        <w:tc>
          <w:tcPr>
            <w:tcW w:w="6840" w:type="dxa"/>
          </w:tcPr>
          <w:p w14:paraId="1F5B6D67" w14:textId="502C5DF8" w:rsidR="00794764" w:rsidRDefault="00794764" w:rsidP="00281329">
            <w:pPr>
              <w:pStyle w:val="Tablecontent"/>
              <w:cnfStyle w:val="000000000000" w:firstRow="0" w:lastRow="0" w:firstColumn="0" w:lastColumn="0" w:oddVBand="0" w:evenVBand="0" w:oddHBand="0" w:evenHBand="0" w:firstRowFirstColumn="0" w:firstRowLastColumn="0" w:lastRowFirstColumn="0" w:lastRowLastColumn="0"/>
            </w:pPr>
            <w:r>
              <w:t>Memory utilization contains limits and reservations.</w:t>
            </w:r>
          </w:p>
        </w:tc>
      </w:tr>
    </w:tbl>
    <w:p w14:paraId="5DF4C191" w14:textId="54B681B1" w:rsidR="00490EF5" w:rsidRDefault="007A6FCC" w:rsidP="00B373E2">
      <w:pPr>
        <w:pStyle w:val="Heading2"/>
        <w:rPr>
          <w:lang w:val="en-GB"/>
        </w:rPr>
      </w:pPr>
      <w:r>
        <w:rPr>
          <w:lang w:val="en-GB"/>
        </w:rPr>
        <w:lastRenderedPageBreak/>
        <w:t>Storage</w:t>
      </w:r>
    </w:p>
    <w:p w14:paraId="65D57959" w14:textId="5181210F" w:rsidR="00173887" w:rsidRPr="00173887" w:rsidRDefault="00173887" w:rsidP="00173887">
      <w:pPr>
        <w:rPr>
          <w:lang w:val="en-GB"/>
        </w:rPr>
      </w:pPr>
      <w:r>
        <w:rPr>
          <w:noProof/>
        </w:rPr>
        <mc:AlternateContent>
          <mc:Choice Requires="wps">
            <w:drawing>
              <wp:anchor distT="0" distB="0" distL="114300" distR="114300" simplePos="0" relativeHeight="251665408" behindDoc="0" locked="0" layoutInCell="1" allowOverlap="1" wp14:anchorId="61DE1E74" wp14:editId="2B921FFF">
                <wp:simplePos x="0" y="0"/>
                <wp:positionH relativeFrom="column">
                  <wp:posOffset>0</wp:posOffset>
                </wp:positionH>
                <wp:positionV relativeFrom="paragraph">
                  <wp:posOffset>0</wp:posOffset>
                </wp:positionV>
                <wp:extent cx="1828800" cy="1828800"/>
                <wp:effectExtent l="0" t="0" r="0" b="0"/>
                <wp:wrapNone/>
                <wp:docPr id="606394176" name="Text Box 60639417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99D4025" w14:textId="564DE673" w:rsidR="00E66F24" w:rsidRPr="00C84219" w:rsidRDefault="00E66F24" w:rsidP="00173887">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2 Chapter </w:t>
                            </w:r>
                            <w:r w:rsidR="00893FC3">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61DE1E74" id="Text Box 606394176" o:spid="_x0000_s1037" type="#_x0000_t202" style="position:absolute;margin-left:0;margin-top:0;width:2in;height:2in;z-index:251665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" filled="f" stroked="f">
                <v:textbox style="mso-fit-shape-to-text:t">
                  <w:txbxContent>
                    <w:p w14:paraId="499D4025" w14:textId="564DE673" w:rsidR="00E66F24" w:rsidRPr="00C84219" w:rsidRDefault="00E66F24" w:rsidP="00173887">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2 Chapter </w:t>
                      </w:r>
                      <w:r w:rsidR="00893FC3">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7</w:t>
                      </w:r>
                    </w:p>
                  </w:txbxContent>
                </v:textbox>
              </v:shape>
            </w:pict>
          </mc:Fallback>
        </mc:AlternateContent>
      </w:r>
    </w:p>
    <w:p w14:paraId="344E961C" w14:textId="01A66D71" w:rsidR="005D7A30" w:rsidRPr="005D7A30" w:rsidRDefault="007A6FCC" w:rsidP="006A1380">
      <w:pPr>
        <w:pStyle w:val="AfterChapterTitle"/>
        <w:rPr>
          <w:lang w:val="en-GB"/>
        </w:rPr>
      </w:pPr>
      <w:r>
        <w:rPr>
          <w:lang w:val="en-GB"/>
        </w:rPr>
        <w:t>We will cover vSAN, vSphere and physical</w:t>
      </w:r>
      <w:r w:rsidR="006A1380">
        <w:rPr>
          <w:lang w:val="en-GB"/>
        </w:rPr>
        <w:t xml:space="preserve"> as they are closely related. </w:t>
      </w:r>
    </w:p>
    <w:p w14:paraId="746DA635" w14:textId="24D13E88" w:rsidR="00B43BE6" w:rsidRDefault="00487E8C" w:rsidP="00540F68">
      <w:pPr>
        <w:pStyle w:val="Heading3"/>
      </w:pPr>
      <w:r>
        <w:t>Datastore</w:t>
      </w:r>
    </w:p>
    <w:p w14:paraId="2B6AF5D1" w14:textId="77777777" w:rsidR="00875673" w:rsidRDefault="00875673" w:rsidP="00875673">
      <w:pPr>
        <w:rPr>
          <w:lang w:val="en-GB"/>
        </w:rPr>
      </w:pPr>
      <w:r>
        <w:rPr>
          <w:lang w:val="en-GB"/>
        </w:rPr>
        <w:t xml:space="preserve">The metrics value at datastore exclude VMDK that is </w:t>
      </w:r>
      <w:r w:rsidRPr="00FE75AB">
        <w:rPr>
          <w:i/>
          <w:iCs/>
          <w:color w:val="FF0000"/>
          <w:lang w:val="en-GB"/>
        </w:rPr>
        <w:t>not</w:t>
      </w:r>
      <w:r w:rsidRPr="00FE75AB">
        <w:rPr>
          <w:color w:val="FF0000"/>
          <w:lang w:val="en-GB"/>
        </w:rPr>
        <w:t xml:space="preserve"> </w:t>
      </w:r>
      <w:r>
        <w:rPr>
          <w:lang w:val="en-GB"/>
        </w:rPr>
        <w:t>on the datastore. It also excludes RDM.</w:t>
      </w:r>
    </w:p>
    <w:p w14:paraId="6096A284" w14:textId="41D2F67E" w:rsidR="00A514AE" w:rsidRPr="00A514AE" w:rsidRDefault="00A514AE" w:rsidP="00A514AE">
      <w:pPr>
        <w:rPr>
          <w:lang w:val="en-GB"/>
        </w:rPr>
      </w:pPr>
      <w:r>
        <w:rPr>
          <w:lang w:val="en-GB"/>
        </w:rPr>
        <w:t>Just like Part 1 of the book, we begin with performance, then capacity, and closing it with configuration.</w:t>
      </w:r>
    </w:p>
    <w:p w14:paraId="7323C926" w14:textId="77777777" w:rsidR="00CA61CE" w:rsidRDefault="00CA61CE" w:rsidP="00B43BE6">
      <w:pPr>
        <w:jc w:val="center"/>
        <w:rPr>
          <w:lang w:val="en-GB"/>
        </w:rPr>
      </w:pPr>
      <w:r>
        <w:rPr>
          <w:noProof/>
        </w:rPr>
        <w:drawing>
          <wp:inline distT="0" distB="0" distL="0" distR="0" wp14:anchorId="398B2095" wp14:editId="3D930172">
            <wp:extent cx="4698814" cy="2233127"/>
            <wp:effectExtent l="0" t="0" r="6985" b="0"/>
            <wp:docPr id="606394141" name="Picture 60639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41"/>
                    <pic:cNvPicPr/>
                  </pic:nvPicPr>
                  <pic:blipFill>
                    <a:blip r:embed="rId907">
                      <a:extLst>
                        <a:ext uri="{28A0092B-C50C-407E-A947-70E740481C1C}">
                          <a14:useLocalDpi xmlns:a14="http://schemas.microsoft.com/office/drawing/2010/main" val="0"/>
                        </a:ext>
                      </a:extLst>
                    </a:blip>
                    <a:stretch>
                      <a:fillRect/>
                    </a:stretch>
                  </pic:blipFill>
                  <pic:spPr>
                    <a:xfrm>
                      <a:off x="0" y="0"/>
                      <a:ext cx="4698814" cy="2233127"/>
                    </a:xfrm>
                    <a:prstGeom prst="rect">
                      <a:avLst/>
                    </a:prstGeom>
                  </pic:spPr>
                </pic:pic>
              </a:graphicData>
            </a:graphic>
          </wp:inline>
        </w:drawing>
      </w:r>
    </w:p>
    <w:p w14:paraId="63E67B30" w14:textId="4F930CCA" w:rsidR="00A15C40" w:rsidRDefault="00A15C40" w:rsidP="00A15C40">
      <w:pPr>
        <w:pStyle w:val="Heading4"/>
      </w:pPr>
      <w:r>
        <w:lastRenderedPageBreak/>
        <w:t xml:space="preserve">Performance </w:t>
      </w:r>
    </w:p>
    <w:p w14:paraId="3EE89BA9" w14:textId="57C2B6AA" w:rsidR="00CA61CE" w:rsidRPr="00A452F2" w:rsidRDefault="00CA61CE" w:rsidP="00B43BE6">
      <w:pPr>
        <w:rPr>
          <w:lang w:val="en-GB"/>
        </w:rPr>
      </w:pPr>
      <w:r w:rsidRPr="00A452F2">
        <w:rPr>
          <w:lang w:val="en-GB"/>
        </w:rPr>
        <w:t>Take note that datastores that share the same underlying physical array can experience problem at the same time. The underlying array can experience a hot spot on its own, as it is made of independent magnetic disks or SSD.</w:t>
      </w:r>
    </w:p>
    <w:p w14:paraId="7CA868C0" w14:textId="77777777" w:rsidR="00CA61CE" w:rsidRDefault="00CA61CE" w:rsidP="00B43BE6">
      <w:pPr>
        <w:rPr>
          <w:lang w:val="en-GB"/>
        </w:rPr>
      </w:pPr>
      <w:r>
        <w:rPr>
          <w:lang w:val="en-GB"/>
        </w:rPr>
        <w:t xml:space="preserve">VMs in the same datastores can experience different latency. The following heat map shows all the VMs in a single VMFS datastore, backed by ExtremeIO. Notice two of the VMs experience latency above 10 ms, while many other VMs experience less than 1 millisecond. </w:t>
      </w:r>
    </w:p>
    <w:p w14:paraId="63C77D17" w14:textId="09F46857" w:rsidR="00CA61CE" w:rsidRDefault="00CA61CE" w:rsidP="00B43BE6">
      <w:pPr>
        <w:rPr>
          <w:lang w:val="en-GB"/>
        </w:rPr>
      </w:pPr>
      <w:r>
        <w:rPr>
          <w:noProof/>
        </w:rPr>
        <w:drawing>
          <wp:inline distT="0" distB="0" distL="0" distR="0" wp14:anchorId="73BFFD8F" wp14:editId="4BAB57A4">
            <wp:extent cx="6645910" cy="3547110"/>
            <wp:effectExtent l="0" t="0" r="2540" b="0"/>
            <wp:docPr id="606394310" name="Picture 606394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10"/>
                    <pic:cNvPicPr/>
                  </pic:nvPicPr>
                  <pic:blipFill>
                    <a:blip r:embed="rId908" cstate="print">
                      <a:extLst>
                        <a:ext uri="{28A0092B-C50C-407E-A947-70E740481C1C}">
                          <a14:useLocalDpi xmlns:a14="http://schemas.microsoft.com/office/drawing/2010/main" val="0"/>
                        </a:ext>
                      </a:extLst>
                    </a:blip>
                    <a:stretch>
                      <a:fillRect/>
                    </a:stretch>
                  </pic:blipFill>
                  <pic:spPr>
                    <a:xfrm>
                      <a:off x="0" y="0"/>
                      <a:ext cx="6645910" cy="3547110"/>
                    </a:xfrm>
                    <a:prstGeom prst="rect">
                      <a:avLst/>
                    </a:prstGeom>
                  </pic:spPr>
                </pic:pic>
              </a:graphicData>
            </a:graphic>
          </wp:inline>
        </w:drawing>
      </w:r>
    </w:p>
    <w:p w14:paraId="73728F36" w14:textId="4AAB6516" w:rsidR="00AF5E48" w:rsidRDefault="00AF5E48" w:rsidP="00B43BE6">
      <w:pPr>
        <w:rPr>
          <w:lang w:val="en-GB"/>
        </w:rPr>
      </w:pPr>
      <w:r>
        <w:rPr>
          <w:lang w:val="en-GB"/>
        </w:rPr>
        <w:t xml:space="preserve">There are more </w:t>
      </w:r>
      <w:r w:rsidR="008D3A3F">
        <w:rPr>
          <w:lang w:val="en-GB"/>
        </w:rPr>
        <w:t>metrics</w:t>
      </w:r>
      <w:r>
        <w:rPr>
          <w:lang w:val="en-GB"/>
        </w:rPr>
        <w:t xml:space="preserve"> available via vCenter API than what’s presented in the UI. </w:t>
      </w:r>
      <w:r w:rsidR="00800AF4">
        <w:rPr>
          <w:lang w:val="en-GB"/>
        </w:rPr>
        <w:t>Just to recap, this is what you get in the UI.</w:t>
      </w:r>
    </w:p>
    <w:p w14:paraId="2DB64C7C" w14:textId="48111B53" w:rsidR="00AF5E48" w:rsidRDefault="00AF5E48" w:rsidP="00B43BE6">
      <w:pPr>
        <w:rPr>
          <w:lang w:val="en-GB"/>
        </w:rPr>
      </w:pPr>
      <w:r>
        <w:rPr>
          <w:noProof/>
        </w:rPr>
        <w:drawing>
          <wp:inline distT="0" distB="0" distL="0" distR="0" wp14:anchorId="5352267A" wp14:editId="074E17A2">
            <wp:extent cx="6645910" cy="2117090"/>
            <wp:effectExtent l="0" t="0" r="2540" b="0"/>
            <wp:docPr id="910169543" name="Picture 910169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43"/>
                    <pic:cNvPicPr/>
                  </pic:nvPicPr>
                  <pic:blipFill>
                    <a:blip r:embed="rId909">
                      <a:extLst>
                        <a:ext uri="{28A0092B-C50C-407E-A947-70E740481C1C}">
                          <a14:useLocalDpi xmlns:a14="http://schemas.microsoft.com/office/drawing/2010/main" val="0"/>
                        </a:ext>
                      </a:extLst>
                    </a:blip>
                    <a:stretch>
                      <a:fillRect/>
                    </a:stretch>
                  </pic:blipFill>
                  <pic:spPr>
                    <a:xfrm>
                      <a:off x="0" y="0"/>
                      <a:ext cx="6645910" cy="2117090"/>
                    </a:xfrm>
                    <a:prstGeom prst="rect">
                      <a:avLst/>
                    </a:prstGeom>
                  </pic:spPr>
                </pic:pic>
              </a:graphicData>
            </a:graphic>
          </wp:inline>
        </w:drawing>
      </w:r>
    </w:p>
    <w:p w14:paraId="1914E39C" w14:textId="5AF077F2" w:rsidR="002D6BCE" w:rsidRPr="002D6BCE" w:rsidRDefault="008D3A3F" w:rsidP="00B43BE6">
      <w:pPr>
        <w:rPr>
          <w:lang w:val="en-GB"/>
        </w:rPr>
      </w:pPr>
      <w:r>
        <w:rPr>
          <w:lang w:val="en-GB"/>
        </w:rPr>
        <w:t>Metrics</w:t>
      </w:r>
      <w:r w:rsidR="00800AF4">
        <w:rPr>
          <w:lang w:val="en-GB"/>
        </w:rPr>
        <w:t xml:space="preserve"> such as </w:t>
      </w:r>
      <w:r w:rsidR="002D6BCE" w:rsidRPr="002C6C5D">
        <w:rPr>
          <w:color w:val="00B0F0"/>
          <w:lang w:val="en-GB"/>
        </w:rPr>
        <w:t>Datastore \ Outstanding Read Requests</w:t>
      </w:r>
      <w:r w:rsidR="004733EA" w:rsidRPr="002C6C5D">
        <w:rPr>
          <w:color w:val="00B0F0"/>
          <w:lang w:val="en-GB"/>
        </w:rPr>
        <w:t xml:space="preserve"> </w:t>
      </w:r>
      <w:r w:rsidR="004733EA">
        <w:rPr>
          <w:lang w:val="en-GB"/>
        </w:rPr>
        <w:t xml:space="preserve">and </w:t>
      </w:r>
      <w:r w:rsidR="004733EA" w:rsidRPr="002C6C5D">
        <w:rPr>
          <w:color w:val="00B0F0"/>
          <w:lang w:val="en-GB"/>
        </w:rPr>
        <w:t>Datastore \ Outstanding Write Requests</w:t>
      </w:r>
      <w:r w:rsidR="00800AF4" w:rsidRPr="002C6C5D">
        <w:rPr>
          <w:color w:val="00B0F0"/>
          <w:lang w:val="en-GB"/>
        </w:rPr>
        <w:t xml:space="preserve"> </w:t>
      </w:r>
      <w:r w:rsidR="00800AF4">
        <w:rPr>
          <w:lang w:val="en-GB"/>
        </w:rPr>
        <w:t xml:space="preserve">are available only in the API. They are </w:t>
      </w:r>
      <w:r w:rsidR="003C3A7F">
        <w:rPr>
          <w:lang w:val="en-GB"/>
        </w:rPr>
        <w:t xml:space="preserve">required for performance troubleshooting and capacity monitoring. </w:t>
      </w:r>
    </w:p>
    <w:p w14:paraId="30AE88AE" w14:textId="1FE3BC1E" w:rsidR="000847AE" w:rsidRDefault="00875673" w:rsidP="00875673">
      <w:pPr>
        <w:pStyle w:val="Heading4"/>
      </w:pPr>
      <w:r>
        <w:lastRenderedPageBreak/>
        <w:t>Capacity</w:t>
      </w:r>
    </w:p>
    <w:p w14:paraId="041361EB" w14:textId="77777777" w:rsidR="00875673" w:rsidRDefault="00875673" w:rsidP="00875673">
      <w:pPr>
        <w:rPr>
          <w:lang w:val="en-GB"/>
        </w:rPr>
      </w:pPr>
      <w:r>
        <w:rPr>
          <w:lang w:val="en-GB"/>
        </w:rPr>
        <w:t>There are 2 types of capacity metrics</w:t>
      </w:r>
    </w:p>
    <w:p w14:paraId="76A039C0" w14:textId="77777777" w:rsidR="00875673" w:rsidRDefault="00875673" w:rsidP="00875673">
      <w:pPr>
        <w:pStyle w:val="Bullet"/>
        <w:rPr>
          <w:lang w:val="en-GB"/>
        </w:rPr>
      </w:pPr>
      <w:r>
        <w:rPr>
          <w:lang w:val="en-GB"/>
        </w:rPr>
        <w:t xml:space="preserve">Allocation </w:t>
      </w:r>
    </w:p>
    <w:p w14:paraId="7BD48297" w14:textId="77777777" w:rsidR="00875673" w:rsidRDefault="00875673" w:rsidP="00875673">
      <w:pPr>
        <w:pStyle w:val="Bullet"/>
        <w:rPr>
          <w:lang w:val="en-GB"/>
        </w:rPr>
      </w:pPr>
      <w:r>
        <w:rPr>
          <w:lang w:val="en-GB"/>
        </w:rPr>
        <w:t>Utilization</w:t>
      </w:r>
    </w:p>
    <w:p w14:paraId="22A2E733" w14:textId="77777777" w:rsidR="00875673" w:rsidRDefault="00875673" w:rsidP="00875673">
      <w:pPr>
        <w:rPr>
          <w:lang w:val="en-GB"/>
        </w:rPr>
      </w:pPr>
      <w:r>
        <w:rPr>
          <w:lang w:val="en-GB"/>
        </w:rPr>
        <w:t>Utilization can be greater than allocation because there are other files beside virtual disk, such as snapshot. For virtual disk, utilization can be greater if you use vSAN.</w:t>
      </w:r>
    </w:p>
    <w:p w14:paraId="5E8C4B3E" w14:textId="77777777" w:rsidR="00875673" w:rsidRDefault="00875673" w:rsidP="00875673">
      <w:pPr>
        <w:rPr>
          <w:lang w:val="en-GB"/>
        </w:rPr>
      </w:pPr>
      <w:r>
        <w:rPr>
          <w:lang w:val="en-GB"/>
        </w:rPr>
        <w:t xml:space="preserve">When you create a virtual disk, you have to define the size. This is called the configured size. If this is thin provisioned, then the actual consumption will be less at the time of creation. As Guest OS starts using it, writing and deleting in its filesystem, the underlying VMDK file size will grow as it contains both mapped block and unmapped block. </w:t>
      </w:r>
    </w:p>
    <w:p w14:paraId="47CF1E7B" w14:textId="77777777" w:rsidR="00A15C40" w:rsidRDefault="00A15C40" w:rsidP="00A15C40">
      <w:pPr>
        <w:rPr>
          <w:lang w:val="en-GB"/>
        </w:rPr>
      </w:pPr>
      <w:r w:rsidRPr="00216C5D">
        <w:rPr>
          <w:lang w:val="en-GB"/>
        </w:rPr>
        <w:t>There are 2 types of numbers</w:t>
      </w:r>
      <w:r>
        <w:rPr>
          <w:lang w:val="en-GB"/>
        </w:rPr>
        <w:t>:</w:t>
      </w:r>
    </w:p>
    <w:p w14:paraId="6FD1224F" w14:textId="77777777" w:rsidR="00A15C40" w:rsidRDefault="00A15C40" w:rsidP="00A15C40">
      <w:pPr>
        <w:pStyle w:val="BeforeTable"/>
        <w:rPr>
          <w:lang w:val="en-GB"/>
        </w:rPr>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700"/>
        <w:gridCol w:w="7766"/>
      </w:tblGrid>
      <w:tr w:rsidR="00A15C40" w:rsidRPr="00C75D56" w14:paraId="6D707CD7" w14:textId="77777777" w:rsidTr="00281329">
        <w:tc>
          <w:tcPr>
            <w:cnfStyle w:val="001000000000" w:firstRow="0" w:lastRow="0" w:firstColumn="1" w:lastColumn="0" w:oddVBand="0" w:evenVBand="0" w:oddHBand="0" w:evenHBand="0" w:firstRowFirstColumn="0" w:firstRowLastColumn="0" w:lastRowFirstColumn="0" w:lastRowLastColumn="0"/>
            <w:tcW w:w="2700" w:type="dxa"/>
          </w:tcPr>
          <w:p w14:paraId="451E116F" w14:textId="77777777" w:rsidR="00A15C40" w:rsidRPr="005F6AD8" w:rsidRDefault="00A15C40" w:rsidP="00281329">
            <w:pPr>
              <w:pStyle w:val="Tablecontent"/>
              <w:rPr>
                <w:b w:val="0"/>
                <w:bCs w:val="0"/>
                <w:color w:val="FF0000"/>
              </w:rPr>
            </w:pPr>
            <w:r w:rsidRPr="00216C5D">
              <w:t>Real numbers</w:t>
            </w:r>
          </w:p>
        </w:tc>
        <w:tc>
          <w:tcPr>
            <w:tcW w:w="7766" w:type="dxa"/>
          </w:tcPr>
          <w:p w14:paraId="2D8F95FC" w14:textId="77777777" w:rsidR="00A15C40" w:rsidRPr="00216C5D"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rsidRPr="00216C5D">
              <w:t>Based on actual usage and total capacity. Useful for day to day operations. If free space = 0 then VMs will hang. If free space is low, then avoid taking snapshots.</w:t>
            </w:r>
          </w:p>
          <w:p w14:paraId="7879A309" w14:textId="77777777" w:rsidR="00A15C40" w:rsidRPr="00F14E31"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rsidRPr="00216C5D">
              <w:t>Key metrics: Total Capacity, Used (and its breakdown), Free</w:t>
            </w:r>
          </w:p>
        </w:tc>
      </w:tr>
      <w:tr w:rsidR="00A15C40" w:rsidRPr="00C75D56" w14:paraId="0FF13FE7" w14:textId="77777777" w:rsidTr="00281329">
        <w:tc>
          <w:tcPr>
            <w:cnfStyle w:val="001000000000" w:firstRow="0" w:lastRow="0" w:firstColumn="1" w:lastColumn="0" w:oddVBand="0" w:evenVBand="0" w:oddHBand="0" w:evenHBand="0" w:firstRowFirstColumn="0" w:firstRowLastColumn="0" w:lastRowFirstColumn="0" w:lastRowLastColumn="0"/>
            <w:tcW w:w="2700" w:type="dxa"/>
          </w:tcPr>
          <w:p w14:paraId="0F722597" w14:textId="77777777" w:rsidR="00A15C40" w:rsidRPr="00216C5D" w:rsidRDefault="00A15C40" w:rsidP="00281329">
            <w:pPr>
              <w:pStyle w:val="Tablecontent"/>
            </w:pPr>
            <w:r w:rsidRPr="00216C5D">
              <w:t>Capacity-management numbers</w:t>
            </w:r>
          </w:p>
        </w:tc>
        <w:tc>
          <w:tcPr>
            <w:tcW w:w="7766" w:type="dxa"/>
          </w:tcPr>
          <w:p w14:paraId="2918D179" w14:textId="77777777" w:rsidR="00A15C40" w:rsidRPr="00216C5D"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rsidRPr="00216C5D">
              <w:t>Based on imaginary usage, numbers that do not exist in actual. Only useful for capacity monitoring. If usage = 100% there is no impact on availability as there is still buffer.</w:t>
            </w:r>
          </w:p>
          <w:p w14:paraId="3828CA9A" w14:textId="77777777" w:rsidR="00A15C40" w:rsidRPr="00216C5D"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rsidRPr="00216C5D">
              <w:t>Key metrics: Usable Capacity, Usage against Usable, Uncommitted Space, Overcommit ratio</w:t>
            </w:r>
          </w:p>
        </w:tc>
      </w:tr>
    </w:tbl>
    <w:p w14:paraId="16B8FD1D" w14:textId="77777777" w:rsidR="00875673" w:rsidRPr="00B22EA9" w:rsidRDefault="00875673" w:rsidP="00875673">
      <w:pPr>
        <w:rPr>
          <w:lang w:val="en-GB"/>
        </w:rPr>
      </w:pPr>
      <w:r>
        <w:t xml:space="preserve">For Datastore Cluster, the capacity and reclamation metrics are the sum of its </w:t>
      </w:r>
      <w:r>
        <w:rPr>
          <w:lang w:val="en-GB"/>
        </w:rPr>
        <w:t>datastores.</w:t>
      </w:r>
    </w:p>
    <w:p w14:paraId="1FB1678B" w14:textId="77777777" w:rsidR="00A15C40" w:rsidRDefault="00A15C40" w:rsidP="00A15C40">
      <w:pPr>
        <w:pStyle w:val="Heading5"/>
      </w:pPr>
      <w:r>
        <w:t>Total Capacity</w:t>
      </w: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430"/>
        <w:gridCol w:w="8036"/>
      </w:tblGrid>
      <w:tr w:rsidR="00A15C40" w:rsidRPr="00C75D56" w14:paraId="7D750247" w14:textId="77777777" w:rsidTr="00281329">
        <w:tc>
          <w:tcPr>
            <w:cnfStyle w:val="001000000000" w:firstRow="0" w:lastRow="0" w:firstColumn="1" w:lastColumn="0" w:oddVBand="0" w:evenVBand="0" w:oddHBand="0" w:evenHBand="0" w:firstRowFirstColumn="0" w:firstRowLastColumn="0" w:lastRowFirstColumn="0" w:lastRowLastColumn="0"/>
            <w:tcW w:w="2430" w:type="dxa"/>
          </w:tcPr>
          <w:p w14:paraId="73DDF691" w14:textId="77777777" w:rsidR="00A15C40" w:rsidRPr="00942FF7" w:rsidRDefault="00A15C40" w:rsidP="00281329">
            <w:pPr>
              <w:pStyle w:val="Tablecontent"/>
            </w:pPr>
            <w:r w:rsidRPr="00942FF7">
              <w:t>Metric Name</w:t>
            </w:r>
          </w:p>
        </w:tc>
        <w:tc>
          <w:tcPr>
            <w:tcW w:w="8036" w:type="dxa"/>
          </w:tcPr>
          <w:p w14:paraId="254905EC" w14:textId="77777777" w:rsidR="00A15C40" w:rsidRPr="00942FF7"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rsidRPr="00942FF7">
              <w:t>Disk Space \ Total Capacity</w:t>
            </w:r>
          </w:p>
        </w:tc>
      </w:tr>
      <w:tr w:rsidR="00A15C40" w:rsidRPr="00C75D56" w14:paraId="184DAD2F" w14:textId="77777777" w:rsidTr="00281329">
        <w:tc>
          <w:tcPr>
            <w:cnfStyle w:val="001000000000" w:firstRow="0" w:lastRow="0" w:firstColumn="1" w:lastColumn="0" w:oddVBand="0" w:evenVBand="0" w:oddHBand="0" w:evenHBand="0" w:firstRowFirstColumn="0" w:firstRowLastColumn="0" w:lastRowFirstColumn="0" w:lastRowLastColumn="0"/>
            <w:tcW w:w="2430" w:type="dxa"/>
          </w:tcPr>
          <w:p w14:paraId="0CE54BF1" w14:textId="77777777" w:rsidR="00A15C40" w:rsidRPr="00942FF7" w:rsidRDefault="00A15C40" w:rsidP="00281329">
            <w:pPr>
              <w:pStyle w:val="Tablecontent"/>
            </w:pPr>
          </w:p>
        </w:tc>
        <w:tc>
          <w:tcPr>
            <w:tcW w:w="8036" w:type="dxa"/>
          </w:tcPr>
          <w:p w14:paraId="539F10A0" w14:textId="77777777" w:rsidR="00A15C40" w:rsidRPr="00942FF7"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rsidRPr="00942FF7">
              <w:t>This is the total capacity of a datastore. It’s a raw metric from vCenter, not a computed metric by vRealize Operations</w:t>
            </w:r>
          </w:p>
        </w:tc>
      </w:tr>
      <w:tr w:rsidR="00A15C40" w:rsidRPr="00C75D56" w14:paraId="4609F05D" w14:textId="77777777" w:rsidTr="00281329">
        <w:tc>
          <w:tcPr>
            <w:cnfStyle w:val="001000000000" w:firstRow="0" w:lastRow="0" w:firstColumn="1" w:lastColumn="0" w:oddVBand="0" w:evenVBand="0" w:oddHBand="0" w:evenHBand="0" w:firstRowFirstColumn="0" w:firstRowLastColumn="0" w:lastRowFirstColumn="0" w:lastRowLastColumn="0"/>
            <w:tcW w:w="2430" w:type="dxa"/>
          </w:tcPr>
          <w:p w14:paraId="76F99C7E" w14:textId="77777777" w:rsidR="00A15C40" w:rsidRPr="00942FF7" w:rsidRDefault="00A15C40" w:rsidP="00281329">
            <w:pPr>
              <w:pStyle w:val="Tablecontent"/>
            </w:pPr>
            <w:r w:rsidRPr="00942FF7">
              <w:t>Formula</w:t>
            </w:r>
          </w:p>
        </w:tc>
        <w:tc>
          <w:tcPr>
            <w:tcW w:w="8036" w:type="dxa"/>
          </w:tcPr>
          <w:p w14:paraId="60F5855B" w14:textId="77777777" w:rsidR="00A15C40" w:rsidRPr="00942FF7"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rsidRPr="00942FF7">
              <w:t>summary.capacity / 1024 * 1024 * 1024</w:t>
            </w:r>
          </w:p>
        </w:tc>
      </w:tr>
    </w:tbl>
    <w:p w14:paraId="065706BE" w14:textId="77777777" w:rsidR="00A15C40" w:rsidRPr="00942FF7" w:rsidRDefault="00A15C40" w:rsidP="00A15C40">
      <w:pPr>
        <w:rPr>
          <w:lang w:val="en-GB"/>
        </w:rPr>
      </w:pPr>
      <w:r>
        <w:rPr>
          <w:lang w:val="en-GB"/>
        </w:rPr>
        <w:t>Note there is no metric for Buffer. See the values from vRealize Operations policy.</w:t>
      </w:r>
    </w:p>
    <w:p w14:paraId="53AA4A2A" w14:textId="77777777" w:rsidR="00A15C40" w:rsidRDefault="00A15C40" w:rsidP="00A15C40">
      <w:pPr>
        <w:pStyle w:val="Heading5"/>
      </w:pPr>
      <w:r>
        <w:t>Basic Utilization</w:t>
      </w:r>
    </w:p>
    <w:p w14:paraId="46EC0E5D" w14:textId="77777777" w:rsidR="00A15C40" w:rsidRDefault="00A15C40" w:rsidP="00A15C40">
      <w:pPr>
        <w:rPr>
          <w:lang w:val="en-GB"/>
        </w:rPr>
      </w:pPr>
      <w:r>
        <w:rPr>
          <w:lang w:val="en-GB"/>
        </w:rPr>
        <w:t>Basic means the one you use the mos. All customers will use them as they are fundamental to operations.</w:t>
      </w:r>
    </w:p>
    <w:p w14:paraId="68EFEF35" w14:textId="77777777" w:rsidR="00A15C40" w:rsidRPr="00942FF7" w:rsidRDefault="00A15C40" w:rsidP="00A15C40">
      <w:pPr>
        <w:pStyle w:val="BeforeTable"/>
        <w:rPr>
          <w:lang w:val="en-GB"/>
        </w:rPr>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119"/>
        <w:gridCol w:w="7347"/>
      </w:tblGrid>
      <w:tr w:rsidR="00A15C40" w:rsidRPr="005F6AD8" w14:paraId="4872C3E6" w14:textId="77777777" w:rsidTr="002813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bottom w:val="none" w:sz="0" w:space="0" w:color="auto"/>
            </w:tcBorders>
            <w:shd w:val="clear" w:color="auto" w:fill="F2F2F2" w:themeFill="background1" w:themeFillShade="F2"/>
          </w:tcPr>
          <w:p w14:paraId="57B8B3E5" w14:textId="77777777" w:rsidR="00A15C40" w:rsidRPr="005F6AD8" w:rsidRDefault="00A15C40" w:rsidP="00281329">
            <w:pPr>
              <w:pStyle w:val="Tableheading"/>
              <w:rPr>
                <w:b/>
                <w:bCs w:val="0"/>
              </w:rPr>
            </w:pPr>
            <w:r>
              <w:rPr>
                <w:b/>
                <w:bCs w:val="0"/>
              </w:rPr>
              <w:lastRenderedPageBreak/>
              <w:t>Metric</w:t>
            </w:r>
          </w:p>
        </w:tc>
        <w:tc>
          <w:tcPr>
            <w:tcW w:w="7347" w:type="dxa"/>
            <w:tcBorders>
              <w:bottom w:val="none" w:sz="0" w:space="0" w:color="auto"/>
            </w:tcBorders>
            <w:shd w:val="clear" w:color="auto" w:fill="F2F2F2" w:themeFill="background1" w:themeFillShade="F2"/>
          </w:tcPr>
          <w:p w14:paraId="63DA4AC1" w14:textId="77777777" w:rsidR="00A15C40" w:rsidRPr="005F6AD8" w:rsidRDefault="00A15C40" w:rsidP="00281329">
            <w:pPr>
              <w:pStyle w:val="Tableheading"/>
              <w:cnfStyle w:val="100000000000" w:firstRow="1" w:lastRow="0" w:firstColumn="0" w:lastColumn="0" w:oddVBand="0" w:evenVBand="0" w:oddHBand="0" w:evenHBand="0" w:firstRowFirstColumn="0" w:firstRowLastColumn="0" w:lastRowFirstColumn="0" w:lastRowLastColumn="0"/>
              <w:rPr>
                <w:b/>
                <w:bCs w:val="0"/>
              </w:rPr>
            </w:pPr>
            <w:r w:rsidRPr="005F6AD8">
              <w:rPr>
                <w:b/>
                <w:bCs w:val="0"/>
              </w:rPr>
              <w:t>Description</w:t>
            </w:r>
          </w:p>
        </w:tc>
      </w:tr>
      <w:tr w:rsidR="00A15C40" w:rsidRPr="00C75D56" w14:paraId="751A08D5" w14:textId="77777777" w:rsidTr="00281329">
        <w:tc>
          <w:tcPr>
            <w:cnfStyle w:val="001000000000" w:firstRow="0" w:lastRow="0" w:firstColumn="1" w:lastColumn="0" w:oddVBand="0" w:evenVBand="0" w:oddHBand="0" w:evenHBand="0" w:firstRowFirstColumn="0" w:firstRowLastColumn="0" w:lastRowFirstColumn="0" w:lastRowLastColumn="0"/>
            <w:tcW w:w="3119" w:type="dxa"/>
          </w:tcPr>
          <w:p w14:paraId="75D23D12" w14:textId="77777777" w:rsidR="00A15C40" w:rsidRPr="00C77D38" w:rsidRDefault="00A15C40" w:rsidP="00281329">
            <w:pPr>
              <w:pStyle w:val="Tablecontent"/>
              <w:rPr>
                <w:b w:val="0"/>
                <w:bCs w:val="0"/>
              </w:rPr>
            </w:pPr>
            <w:r w:rsidRPr="00C77D38">
              <w:rPr>
                <w:b w:val="0"/>
                <w:bCs w:val="0"/>
              </w:rPr>
              <w:t>Disk Space | Virtual Machine Used (GB)</w:t>
            </w:r>
          </w:p>
        </w:tc>
        <w:tc>
          <w:tcPr>
            <w:tcW w:w="7347" w:type="dxa"/>
          </w:tcPr>
          <w:p w14:paraId="1D7DD8AC" w14:textId="77777777" w:rsidR="00A15C40" w:rsidRPr="00C77D38" w:rsidRDefault="00A15C4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Actual d</w:t>
            </w:r>
            <w:r w:rsidRPr="00C77D38">
              <w:rPr>
                <w:lang w:val="en-GB"/>
              </w:rPr>
              <w:t xml:space="preserve">isk space used by all the files in the VM folder in the datastore. </w:t>
            </w:r>
            <w:r>
              <w:rPr>
                <w:lang w:val="en-GB"/>
              </w:rPr>
              <w:t>Logically, i</w:t>
            </w:r>
            <w:r w:rsidRPr="00FD2232">
              <w:rPr>
                <w:lang w:val="en-SG"/>
              </w:rPr>
              <w:t>t includes unmapped block overhead.</w:t>
            </w:r>
          </w:p>
          <w:p w14:paraId="7FEDFF25" w14:textId="77777777" w:rsidR="00A15C40" w:rsidRPr="00C77D38" w:rsidRDefault="00A15C4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C77D38">
              <w:rPr>
                <w:lang w:val="en-GB"/>
              </w:rPr>
              <w:t xml:space="preserve">VMDK files that are shared by multiple virtual machines are not calculated twice, as there is only 1 file </w:t>
            </w:r>
            <w:r>
              <w:rPr>
                <w:lang w:val="en-GB"/>
              </w:rPr>
              <w:t>in the datastore folder. Th</w:t>
            </w:r>
            <w:r w:rsidRPr="00C77D38">
              <w:rPr>
                <w:lang w:val="en-GB"/>
              </w:rPr>
              <w:t xml:space="preserve">e other </w:t>
            </w:r>
            <w:r>
              <w:rPr>
                <w:lang w:val="en-GB"/>
              </w:rPr>
              <w:t>file in other VMs is</w:t>
            </w:r>
            <w:r w:rsidRPr="00C77D38">
              <w:rPr>
                <w:lang w:val="en-GB"/>
              </w:rPr>
              <w:t xml:space="preserve"> just a link (pointer)</w:t>
            </w:r>
            <w:r>
              <w:rPr>
                <w:lang w:val="en-GB"/>
              </w:rPr>
              <w:t>.</w:t>
            </w:r>
          </w:p>
          <w:p w14:paraId="68622547" w14:textId="77777777" w:rsidR="00A15C40" w:rsidRDefault="00A15C40" w:rsidP="00281329">
            <w:pPr>
              <w:pStyle w:val="Tablecontent"/>
              <w:cnfStyle w:val="000000000000" w:firstRow="0" w:lastRow="0" w:firstColumn="0" w:lastColumn="0" w:oddVBand="0" w:evenVBand="0" w:oddHBand="0" w:evenHBand="0" w:firstRowFirstColumn="0" w:firstRowLastColumn="0" w:lastRowFirstColumn="0" w:lastRowLastColumn="0"/>
              <w:rPr>
                <w:lang w:val="en-GB" w:eastAsia="en-GB"/>
              </w:rPr>
            </w:pPr>
            <w:r>
              <w:rPr>
                <w:lang w:val="en-GB" w:eastAsia="en-GB"/>
              </w:rPr>
              <w:t>Formula:</w:t>
            </w:r>
          </w:p>
          <w:p w14:paraId="183CF1EE" w14:textId="77777777" w:rsidR="00A15C40" w:rsidRPr="00D013A4"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rsidRPr="00D013A4">
              <w:t>Sum([layoutEx.file] uniqueSize != null ? uniqueSize : size) / (1024 * 1024 * 1024) where aggregation is done for VM files on that datastore only</w:t>
            </w:r>
            <w:r>
              <w:t xml:space="preserve"> as VM can have files in other datastores</w:t>
            </w:r>
          </w:p>
        </w:tc>
      </w:tr>
      <w:tr w:rsidR="00A15C40" w:rsidRPr="00C75D56" w14:paraId="4C23C55C" w14:textId="77777777" w:rsidTr="00281329">
        <w:tc>
          <w:tcPr>
            <w:cnfStyle w:val="001000000000" w:firstRow="0" w:lastRow="0" w:firstColumn="1" w:lastColumn="0" w:oddVBand="0" w:evenVBand="0" w:oddHBand="0" w:evenHBand="0" w:firstRowFirstColumn="0" w:firstRowLastColumn="0" w:lastRowFirstColumn="0" w:lastRowLastColumn="0"/>
            <w:tcW w:w="3119" w:type="dxa"/>
          </w:tcPr>
          <w:p w14:paraId="02D1B743" w14:textId="77777777" w:rsidR="00A15C40" w:rsidRPr="00C77D38" w:rsidRDefault="00A15C40" w:rsidP="00281329">
            <w:pPr>
              <w:pStyle w:val="Tablecontent"/>
              <w:rPr>
                <w:b w:val="0"/>
                <w:bCs w:val="0"/>
              </w:rPr>
            </w:pPr>
            <w:r w:rsidRPr="00942FF7">
              <w:rPr>
                <w:b w:val="0"/>
                <w:bCs w:val="0"/>
              </w:rPr>
              <w:t>Capacity | Used Space (%)</w:t>
            </w:r>
          </w:p>
        </w:tc>
        <w:tc>
          <w:tcPr>
            <w:tcW w:w="7347" w:type="dxa"/>
          </w:tcPr>
          <w:p w14:paraId="42703DC3" w14:textId="77777777" w:rsidR="00A15C40" w:rsidRDefault="00A15C4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942FF7">
              <w:rPr>
                <w:lang w:val="en-GB"/>
              </w:rPr>
              <w:t>Percentage of space used in the datastore.</w:t>
            </w:r>
          </w:p>
          <w:p w14:paraId="66FE3310" w14:textId="77777777" w:rsidR="00A15C40" w:rsidRDefault="00A15C4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Formula:</w:t>
            </w:r>
          </w:p>
          <w:p w14:paraId="40F9D9C2" w14:textId="77777777" w:rsidR="00A15C40" w:rsidRPr="00C77D38" w:rsidRDefault="00A15C4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942FF7">
              <w:rPr>
                <w:lang w:val="en-GB"/>
              </w:rPr>
              <w:t>Capacity|Used Space (GB) / Capacity|Total Capacity (GB) * 100</w:t>
            </w:r>
          </w:p>
        </w:tc>
      </w:tr>
      <w:tr w:rsidR="00A15C40" w:rsidRPr="00C75D56" w14:paraId="580D85F1" w14:textId="77777777" w:rsidTr="00281329">
        <w:tc>
          <w:tcPr>
            <w:cnfStyle w:val="001000000000" w:firstRow="0" w:lastRow="0" w:firstColumn="1" w:lastColumn="0" w:oddVBand="0" w:evenVBand="0" w:oddHBand="0" w:evenHBand="0" w:firstRowFirstColumn="0" w:firstRowLastColumn="0" w:lastRowFirstColumn="0" w:lastRowLastColumn="0"/>
            <w:tcW w:w="3119" w:type="dxa"/>
          </w:tcPr>
          <w:p w14:paraId="13574B1E" w14:textId="77777777" w:rsidR="00A15C40" w:rsidRPr="00FD2232" w:rsidRDefault="00A15C40" w:rsidP="00281329">
            <w:pPr>
              <w:pStyle w:val="Tablecontent"/>
              <w:rPr>
                <w:b w:val="0"/>
                <w:bCs w:val="0"/>
              </w:rPr>
            </w:pPr>
            <w:r w:rsidRPr="00FD2232">
              <w:rPr>
                <w:b w:val="0"/>
                <w:bCs w:val="0"/>
              </w:rPr>
              <w:t>Disk Space | Freespace (GB)</w:t>
            </w:r>
          </w:p>
        </w:tc>
        <w:tc>
          <w:tcPr>
            <w:tcW w:w="7347" w:type="dxa"/>
          </w:tcPr>
          <w:p w14:paraId="16E97892" w14:textId="77777777" w:rsidR="00A15C40" w:rsidRDefault="00A15C4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FD2232">
              <w:rPr>
                <w:lang w:val="en-GB"/>
              </w:rPr>
              <w:t>The actual disk space available in datastore. It’s unaware of thin provisioned (provisioned but not yet used) as it simply measures what’s actually available.</w:t>
            </w:r>
          </w:p>
          <w:p w14:paraId="15C33522" w14:textId="77777777" w:rsidR="00A15C40" w:rsidRDefault="00A15C4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Formula:</w:t>
            </w:r>
          </w:p>
          <w:p w14:paraId="7CDA26C0" w14:textId="77777777" w:rsidR="00A15C40" w:rsidRPr="00942FF7" w:rsidRDefault="00A15C40"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sidRPr="00FD2232">
              <w:rPr>
                <w:lang w:val="en-GB"/>
              </w:rPr>
              <w:t>summary.freeSpace / 1024 * 1024 * 1024</w:t>
            </w:r>
          </w:p>
        </w:tc>
      </w:tr>
    </w:tbl>
    <w:p w14:paraId="19D84180" w14:textId="77777777" w:rsidR="00A15C40" w:rsidRDefault="00A15C40" w:rsidP="00A15C40">
      <w:pPr>
        <w:pStyle w:val="Heading5"/>
      </w:pPr>
      <w:r>
        <w:t>Specific Utilization</w:t>
      </w:r>
    </w:p>
    <w:p w14:paraId="185581E7" w14:textId="77777777" w:rsidR="00A15C40" w:rsidRDefault="00A15C40" w:rsidP="00A15C40">
      <w:pPr>
        <w:rPr>
          <w:lang w:val="en-GB"/>
        </w:rPr>
      </w:pPr>
      <w:r>
        <w:rPr>
          <w:lang w:val="en-GB"/>
        </w:rPr>
        <w:t>Specific means additional metrics that measures a specific area. Not all customers may use them.</w:t>
      </w:r>
    </w:p>
    <w:p w14:paraId="23652973" w14:textId="77777777" w:rsidR="00A15C40" w:rsidRPr="00942FF7" w:rsidRDefault="00A15C40" w:rsidP="00A15C40">
      <w:pPr>
        <w:pStyle w:val="BeforeTable"/>
        <w:rPr>
          <w:lang w:val="en-GB"/>
        </w:rPr>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3119"/>
        <w:gridCol w:w="7347"/>
      </w:tblGrid>
      <w:tr w:rsidR="00A15C40" w:rsidRPr="00C75D56" w14:paraId="32F85E44" w14:textId="77777777" w:rsidTr="00281329">
        <w:tc>
          <w:tcPr>
            <w:cnfStyle w:val="001000000000" w:firstRow="0" w:lastRow="0" w:firstColumn="1" w:lastColumn="0" w:oddVBand="0" w:evenVBand="0" w:oddHBand="0" w:evenHBand="0" w:firstRowFirstColumn="0" w:firstRowLastColumn="0" w:lastRowFirstColumn="0" w:lastRowLastColumn="0"/>
            <w:tcW w:w="3119" w:type="dxa"/>
          </w:tcPr>
          <w:p w14:paraId="7AF3F2E5" w14:textId="77777777" w:rsidR="00A15C40" w:rsidRPr="005F6AD8" w:rsidRDefault="00A15C40" w:rsidP="00281329">
            <w:pPr>
              <w:pStyle w:val="Tablecontent"/>
              <w:rPr>
                <w:b w:val="0"/>
                <w:bCs w:val="0"/>
                <w:color w:val="FF0000"/>
                <w:lang w:val="en-GB"/>
              </w:rPr>
            </w:pPr>
            <w:r>
              <w:rPr>
                <w:b w:val="0"/>
                <w:bCs w:val="0"/>
              </w:rPr>
              <w:t>Disk Space</w:t>
            </w:r>
            <w:r w:rsidRPr="005F6AD8">
              <w:rPr>
                <w:b w:val="0"/>
                <w:bCs w:val="0"/>
              </w:rPr>
              <w:t xml:space="preserve"> </w:t>
            </w:r>
            <w:r>
              <w:rPr>
                <w:b w:val="0"/>
                <w:bCs w:val="0"/>
              </w:rPr>
              <w:t>\ Virtual Disk Used</w:t>
            </w:r>
          </w:p>
        </w:tc>
        <w:tc>
          <w:tcPr>
            <w:tcW w:w="7347" w:type="dxa"/>
          </w:tcPr>
          <w:p w14:paraId="7BBA3E63" w14:textId="77777777" w:rsidR="00A15C40" w:rsidRPr="00DB024C"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rsidRPr="00DB024C">
              <w:t>Sum of all the VM metric Disk Space \ Virtual Disk Used</w:t>
            </w:r>
          </w:p>
        </w:tc>
      </w:tr>
      <w:tr w:rsidR="00A15C40" w:rsidRPr="00C75D56" w14:paraId="09F67915" w14:textId="77777777" w:rsidTr="00281329">
        <w:tc>
          <w:tcPr>
            <w:cnfStyle w:val="001000000000" w:firstRow="0" w:lastRow="0" w:firstColumn="1" w:lastColumn="0" w:oddVBand="0" w:evenVBand="0" w:oddHBand="0" w:evenHBand="0" w:firstRowFirstColumn="0" w:firstRowLastColumn="0" w:lastRowFirstColumn="0" w:lastRowLastColumn="0"/>
            <w:tcW w:w="3119" w:type="dxa"/>
          </w:tcPr>
          <w:p w14:paraId="7D452BBE" w14:textId="77777777" w:rsidR="00A15C40" w:rsidRDefault="00A15C40" w:rsidP="00281329">
            <w:pPr>
              <w:pStyle w:val="Tablecontent"/>
              <w:rPr>
                <w:b w:val="0"/>
                <w:bCs w:val="0"/>
              </w:rPr>
            </w:pPr>
            <w:r>
              <w:rPr>
                <w:b w:val="0"/>
                <w:bCs w:val="0"/>
              </w:rPr>
              <w:t>Disk Space</w:t>
            </w:r>
            <w:r w:rsidRPr="005F6AD8">
              <w:rPr>
                <w:b w:val="0"/>
                <w:bCs w:val="0"/>
              </w:rPr>
              <w:t xml:space="preserve"> </w:t>
            </w:r>
            <w:r>
              <w:rPr>
                <w:b w:val="0"/>
                <w:bCs w:val="0"/>
              </w:rPr>
              <w:t>\ Snapshot Space</w:t>
            </w:r>
          </w:p>
        </w:tc>
        <w:tc>
          <w:tcPr>
            <w:tcW w:w="7347" w:type="dxa"/>
          </w:tcPr>
          <w:p w14:paraId="61AC1E71" w14:textId="77777777" w:rsidR="00A15C40" w:rsidRPr="00DB024C"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rsidRPr="00DB024C">
              <w:t>Sum of all the VM metric Disk Space \ Snapshot Space</w:t>
            </w:r>
          </w:p>
          <w:p w14:paraId="2318D029" w14:textId="77777777" w:rsidR="00A15C40" w:rsidRPr="00DB024C"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t>Use this to find which datastores are plagued by huge amount of snapshot.</w:t>
            </w:r>
          </w:p>
        </w:tc>
      </w:tr>
      <w:tr w:rsidR="00A15C40" w:rsidRPr="00C75D56" w14:paraId="4FF9588B" w14:textId="77777777" w:rsidTr="00281329">
        <w:tc>
          <w:tcPr>
            <w:cnfStyle w:val="001000000000" w:firstRow="0" w:lastRow="0" w:firstColumn="1" w:lastColumn="0" w:oddVBand="0" w:evenVBand="0" w:oddHBand="0" w:evenHBand="0" w:firstRowFirstColumn="0" w:firstRowLastColumn="0" w:lastRowFirstColumn="0" w:lastRowLastColumn="0"/>
            <w:tcW w:w="3119" w:type="dxa"/>
          </w:tcPr>
          <w:p w14:paraId="4F8FD958" w14:textId="77777777" w:rsidR="00A15C40" w:rsidRDefault="00A15C40" w:rsidP="00281329">
            <w:pPr>
              <w:pStyle w:val="Tablecontent"/>
              <w:rPr>
                <w:b w:val="0"/>
                <w:bCs w:val="0"/>
              </w:rPr>
            </w:pPr>
            <w:r>
              <w:rPr>
                <w:b w:val="0"/>
                <w:bCs w:val="0"/>
              </w:rPr>
              <w:t>Disk Space</w:t>
            </w:r>
            <w:r w:rsidRPr="005F6AD8">
              <w:rPr>
                <w:b w:val="0"/>
                <w:bCs w:val="0"/>
              </w:rPr>
              <w:t xml:space="preserve"> </w:t>
            </w:r>
            <w:r>
              <w:rPr>
                <w:b w:val="0"/>
                <w:bCs w:val="0"/>
              </w:rPr>
              <w:t>\ Other VM Space</w:t>
            </w:r>
          </w:p>
        </w:tc>
        <w:tc>
          <w:tcPr>
            <w:tcW w:w="7347" w:type="dxa"/>
          </w:tcPr>
          <w:p w14:paraId="5C91E015" w14:textId="77777777" w:rsidR="00A15C40" w:rsidRPr="00DB024C"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rsidRPr="00DB024C">
              <w:t>Calculated internally by summing all the VM files that do not belong to virtual disk, snapshot and swap file.</w:t>
            </w:r>
          </w:p>
          <w:p w14:paraId="634E5AAC" w14:textId="77777777" w:rsidR="00A15C40" w:rsidRPr="00DB024C"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t>Use this to find which datastores have potentially unused files</w:t>
            </w:r>
          </w:p>
        </w:tc>
      </w:tr>
      <w:tr w:rsidR="00A15C40" w:rsidRPr="00C75D56" w14:paraId="1D05BD2A" w14:textId="77777777" w:rsidTr="00281329">
        <w:tc>
          <w:tcPr>
            <w:cnfStyle w:val="001000000000" w:firstRow="0" w:lastRow="0" w:firstColumn="1" w:lastColumn="0" w:oddVBand="0" w:evenVBand="0" w:oddHBand="0" w:evenHBand="0" w:firstRowFirstColumn="0" w:firstRowLastColumn="0" w:lastRowFirstColumn="0" w:lastRowLastColumn="0"/>
            <w:tcW w:w="3119" w:type="dxa"/>
          </w:tcPr>
          <w:p w14:paraId="2BC6A117" w14:textId="77777777" w:rsidR="00A15C40" w:rsidRPr="005F6AD8" w:rsidRDefault="00A15C40" w:rsidP="00281329">
            <w:pPr>
              <w:pStyle w:val="Tablecontent"/>
              <w:rPr>
                <w:b w:val="0"/>
                <w:bCs w:val="0"/>
                <w:color w:val="FF0000"/>
                <w:lang w:val="en-GB"/>
              </w:rPr>
            </w:pPr>
            <w:r>
              <w:rPr>
                <w:b w:val="0"/>
                <w:bCs w:val="0"/>
              </w:rPr>
              <w:t>Disk Space</w:t>
            </w:r>
            <w:r w:rsidRPr="005F6AD8">
              <w:rPr>
                <w:b w:val="0"/>
                <w:bCs w:val="0"/>
              </w:rPr>
              <w:t xml:space="preserve"> </w:t>
            </w:r>
            <w:r>
              <w:rPr>
                <w:b w:val="0"/>
                <w:bCs w:val="0"/>
              </w:rPr>
              <w:t>\ Swap File Space</w:t>
            </w:r>
          </w:p>
        </w:tc>
        <w:tc>
          <w:tcPr>
            <w:tcW w:w="7347" w:type="dxa"/>
          </w:tcPr>
          <w:p w14:paraId="7E1ECBF7" w14:textId="77777777" w:rsidR="00A15C40" w:rsidRPr="00DB024C"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rsidRPr="00DB024C">
              <w:t xml:space="preserve">Calculated internally by summing all the VM swap file. </w:t>
            </w:r>
          </w:p>
          <w:p w14:paraId="7E83B00C" w14:textId="77777777" w:rsidR="00A15C40" w:rsidRPr="00DB024C"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t xml:space="preserve">BTW, </w:t>
            </w:r>
            <w:r w:rsidRPr="00DB024C">
              <w:t>I fail to see a purpose of this metric.</w:t>
            </w:r>
            <w:r>
              <w:t xml:space="preserve"> If you have let me know.</w:t>
            </w:r>
          </w:p>
        </w:tc>
      </w:tr>
      <w:tr w:rsidR="00A15C40" w:rsidRPr="00C75D56" w14:paraId="333449CD" w14:textId="77777777" w:rsidTr="00281329">
        <w:tc>
          <w:tcPr>
            <w:cnfStyle w:val="001000000000" w:firstRow="0" w:lastRow="0" w:firstColumn="1" w:lastColumn="0" w:oddVBand="0" w:evenVBand="0" w:oddHBand="0" w:evenHBand="0" w:firstRowFirstColumn="0" w:firstRowLastColumn="0" w:lastRowFirstColumn="0" w:lastRowLastColumn="0"/>
            <w:tcW w:w="3119" w:type="dxa"/>
          </w:tcPr>
          <w:p w14:paraId="0036B107" w14:textId="77777777" w:rsidR="00A15C40" w:rsidRPr="008C7060" w:rsidRDefault="00A15C40" w:rsidP="00281329">
            <w:pPr>
              <w:pStyle w:val="Tablecontent"/>
              <w:rPr>
                <w:b w:val="0"/>
                <w:bCs w:val="0"/>
              </w:rPr>
            </w:pPr>
            <w:r w:rsidRPr="008C7060">
              <w:rPr>
                <w:b w:val="0"/>
                <w:bCs w:val="0"/>
              </w:rPr>
              <w:t>Disk Space \ Overhead</w:t>
            </w:r>
          </w:p>
        </w:tc>
        <w:tc>
          <w:tcPr>
            <w:tcW w:w="7347" w:type="dxa"/>
          </w:tcPr>
          <w:p w14:paraId="4D3218EF" w14:textId="77777777" w:rsidR="00A15C40" w:rsidRPr="008C7060"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rsidRPr="008C7060">
              <w:t xml:space="preserve">Amount of VM disk space other than the virtual disk. Includes files such as memory swap, snapshot and logs. </w:t>
            </w:r>
          </w:p>
          <w:p w14:paraId="15F355EE" w14:textId="77777777" w:rsidR="00A15C40" w:rsidRPr="00DB024C"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rsidRPr="008C7060">
              <w:rPr>
                <w:rFonts w:eastAsiaTheme="minorHAnsi"/>
                <w:lang w:val="en-SG" w:eastAsia="en-GB"/>
              </w:rPr>
              <w:t>This is a computed metric and not available in vSphere UI.</w:t>
            </w:r>
          </w:p>
        </w:tc>
      </w:tr>
      <w:tr w:rsidR="00A15C40" w:rsidRPr="00C75D56" w14:paraId="388B3268" w14:textId="77777777" w:rsidTr="00281329">
        <w:tc>
          <w:tcPr>
            <w:cnfStyle w:val="001000000000" w:firstRow="0" w:lastRow="0" w:firstColumn="1" w:lastColumn="0" w:oddVBand="0" w:evenVBand="0" w:oddHBand="0" w:evenHBand="0" w:firstRowFirstColumn="0" w:firstRowLastColumn="0" w:lastRowFirstColumn="0" w:lastRowLastColumn="0"/>
            <w:tcW w:w="3119" w:type="dxa"/>
          </w:tcPr>
          <w:p w14:paraId="78001C1B" w14:textId="77777777" w:rsidR="00A15C40" w:rsidRPr="008C7060" w:rsidRDefault="00A15C40" w:rsidP="00281329">
            <w:pPr>
              <w:pStyle w:val="Tablecontent"/>
              <w:rPr>
                <w:b w:val="0"/>
                <w:bCs w:val="0"/>
              </w:rPr>
            </w:pPr>
            <w:r w:rsidRPr="008C7060">
              <w:rPr>
                <w:b w:val="0"/>
                <w:bCs w:val="0"/>
              </w:rPr>
              <w:t>Disk Space | Total Provisioned Disk Space With Overhead (GB)</w:t>
            </w:r>
          </w:p>
        </w:tc>
        <w:tc>
          <w:tcPr>
            <w:tcW w:w="7347" w:type="dxa"/>
          </w:tcPr>
          <w:p w14:paraId="37432175" w14:textId="77777777" w:rsidR="00A15C40"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t xml:space="preserve">The </w:t>
            </w:r>
            <w:r w:rsidRPr="008C7060">
              <w:t>theoretical</w:t>
            </w:r>
            <w:r>
              <w:t xml:space="preserve"> amount of total consumption that would happen if all the VMs fully use the allocated virtual disk in the datastore.</w:t>
            </w:r>
          </w:p>
          <w:p w14:paraId="256763D7" w14:textId="77777777" w:rsidR="00A15C40"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t>Formula:</w:t>
            </w:r>
          </w:p>
          <w:p w14:paraId="0A6DFCE2" w14:textId="77777777" w:rsidR="00A15C40" w:rsidRPr="00DB024C"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rsidRPr="008C7060">
              <w:t xml:space="preserve">Capacity| Total Capacity (GB) </w:t>
            </w:r>
            <w:r>
              <w:t>-</w:t>
            </w:r>
            <w:r w:rsidRPr="008C7060">
              <w:t> Capacity| Available Space (GB) + Capacity| Uncommited Space (GB)</w:t>
            </w:r>
          </w:p>
        </w:tc>
      </w:tr>
      <w:tr w:rsidR="00A15C40" w:rsidRPr="00C75D56" w14:paraId="2FDDD6A4" w14:textId="77777777" w:rsidTr="00281329">
        <w:tc>
          <w:tcPr>
            <w:cnfStyle w:val="001000000000" w:firstRow="0" w:lastRow="0" w:firstColumn="1" w:lastColumn="0" w:oddVBand="0" w:evenVBand="0" w:oddHBand="0" w:evenHBand="0" w:firstRowFirstColumn="0" w:firstRowLastColumn="0" w:lastRowFirstColumn="0" w:lastRowLastColumn="0"/>
            <w:tcW w:w="3119" w:type="dxa"/>
          </w:tcPr>
          <w:p w14:paraId="4F19A47C" w14:textId="77777777" w:rsidR="00A15C40" w:rsidRPr="008C7060" w:rsidRDefault="00A15C40" w:rsidP="00281329">
            <w:pPr>
              <w:pStyle w:val="Tablecontent"/>
              <w:rPr>
                <w:b w:val="0"/>
                <w:bCs w:val="0"/>
              </w:rPr>
            </w:pPr>
            <w:r w:rsidRPr="005F6AD8">
              <w:rPr>
                <w:b w:val="0"/>
                <w:bCs w:val="0"/>
              </w:rPr>
              <w:t xml:space="preserve">Capacity </w:t>
            </w:r>
            <w:r>
              <w:rPr>
                <w:b w:val="0"/>
                <w:bCs w:val="0"/>
              </w:rPr>
              <w:t>\</w:t>
            </w:r>
            <w:r w:rsidRPr="005F6AD8">
              <w:rPr>
                <w:b w:val="0"/>
                <w:bCs w:val="0"/>
              </w:rPr>
              <w:t xml:space="preserve"> Total Provisioned Consumer Space</w:t>
            </w:r>
          </w:p>
        </w:tc>
        <w:tc>
          <w:tcPr>
            <w:tcW w:w="7347" w:type="dxa"/>
          </w:tcPr>
          <w:p w14:paraId="25C807AF" w14:textId="77777777" w:rsidR="00A15C40"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t>As above, but only for the virtual disk file.</w:t>
            </w:r>
          </w:p>
          <w:p w14:paraId="05DB87DD" w14:textId="77777777" w:rsidR="00A15C40"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t>Formula:</w:t>
            </w:r>
          </w:p>
          <w:p w14:paraId="51F7E11B" w14:textId="77777777" w:rsidR="00A15C40" w:rsidRPr="008C7060"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rsidRPr="008C7060">
              <w:lastRenderedPageBreak/>
              <w:t>Sum([VM]virtualDisk.capacityInKB / 1024 * 1024)</w:t>
            </w:r>
          </w:p>
          <w:p w14:paraId="2D83AF03" w14:textId="77777777" w:rsidR="00A15C40" w:rsidRPr="008C7060" w:rsidRDefault="00A15C40" w:rsidP="00281329">
            <w:pPr>
              <w:pStyle w:val="Tablecontent"/>
              <w:cnfStyle w:val="000000000000" w:firstRow="0" w:lastRow="0" w:firstColumn="0" w:lastColumn="0" w:oddVBand="0" w:evenVBand="0" w:oddHBand="0" w:evenHBand="0" w:firstRowFirstColumn="0" w:firstRowLastColumn="0" w:lastRowFirstColumn="0" w:lastRowLastColumn="0"/>
              <w:rPr>
                <w:rFonts w:eastAsiaTheme="minorHAnsi"/>
                <w:lang w:val="en-SG" w:eastAsia="en-GB"/>
              </w:rPr>
            </w:pPr>
            <w:r w:rsidRPr="008C7060">
              <w:t>where aggregation is done for each virtual disk which is residing on this datastore</w:t>
            </w:r>
            <w:r>
              <w:t>.</w:t>
            </w:r>
          </w:p>
        </w:tc>
      </w:tr>
    </w:tbl>
    <w:p w14:paraId="6C800F2B" w14:textId="77777777" w:rsidR="00A15C40" w:rsidRPr="00FD2232" w:rsidRDefault="00A15C40" w:rsidP="00A15C40">
      <w:pPr>
        <w:rPr>
          <w:lang w:val="en-GB"/>
        </w:rPr>
      </w:pPr>
      <w:r>
        <w:rPr>
          <w:lang w:val="en-GB"/>
        </w:rPr>
        <w:lastRenderedPageBreak/>
        <w:t xml:space="preserve">The following table shows examples. Note the </w:t>
      </w:r>
      <w:r>
        <w:t xml:space="preserve">value of the last metric is </w:t>
      </w:r>
      <w:r>
        <w:rPr>
          <w:lang w:val="en-GB"/>
        </w:rPr>
        <w:t>blank if there is no VM in the datastore</w:t>
      </w:r>
    </w:p>
    <w:p w14:paraId="3CA7B22E" w14:textId="77777777" w:rsidR="00A15C40" w:rsidRPr="00C75D56" w:rsidRDefault="00A15C40" w:rsidP="00A15C40">
      <w:pPr>
        <w:jc w:val="center"/>
      </w:pPr>
      <w:r w:rsidRPr="008F260C">
        <w:rPr>
          <w:noProof/>
          <w:lang w:val="en-GB"/>
        </w:rPr>
        <w:drawing>
          <wp:inline distT="0" distB="0" distL="0" distR="0" wp14:anchorId="354A07CA" wp14:editId="74199324">
            <wp:extent cx="5484239" cy="2124018"/>
            <wp:effectExtent l="0" t="0" r="2540" b="0"/>
            <wp:docPr id="1525330291" name="Picture 152533029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91" name="Picture 1525330291" descr="Table&#10;&#10;Description automatically generated"/>
                    <pic:cNvPicPr/>
                  </pic:nvPicPr>
                  <pic:blipFill>
                    <a:blip r:embed="rId910"/>
                    <a:stretch>
                      <a:fillRect/>
                    </a:stretch>
                  </pic:blipFill>
                  <pic:spPr>
                    <a:xfrm>
                      <a:off x="0" y="0"/>
                      <a:ext cx="5486628" cy="2124943"/>
                    </a:xfrm>
                    <a:prstGeom prst="rect">
                      <a:avLst/>
                    </a:prstGeom>
                  </pic:spPr>
                </pic:pic>
              </a:graphicData>
            </a:graphic>
          </wp:inline>
        </w:drawing>
      </w:r>
    </w:p>
    <w:p w14:paraId="086B701F" w14:textId="77777777" w:rsidR="00A15C40" w:rsidRDefault="00A15C40" w:rsidP="00A15C40">
      <w:pPr>
        <w:pStyle w:val="Heading5"/>
      </w:pPr>
      <w:r>
        <w:t>Capacity Model</w:t>
      </w:r>
    </w:p>
    <w:p w14:paraId="1CB90DD6" w14:textId="77777777" w:rsidR="00A15C40" w:rsidRDefault="00A15C40" w:rsidP="00A15C40">
      <w:pPr>
        <w:rPr>
          <w:lang w:val="en-GB"/>
        </w:rPr>
      </w:pPr>
      <w:r>
        <w:rPr>
          <w:lang w:val="en-GB"/>
        </w:rPr>
        <w:t>Avoid mixing the metrics of utilization model and allocation model. Use both models and take the lowest capacity remaining number.</w:t>
      </w:r>
    </w:p>
    <w:p w14:paraId="0254838B" w14:textId="77777777" w:rsidR="00A15C40" w:rsidRDefault="00A15C40" w:rsidP="00A15C40">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340"/>
        <w:gridCol w:w="4058"/>
        <w:gridCol w:w="572"/>
        <w:gridCol w:w="3486"/>
      </w:tblGrid>
      <w:tr w:rsidR="00A15C40" w14:paraId="0328F5C9" w14:textId="77777777" w:rsidTr="00281329">
        <w:tc>
          <w:tcPr>
            <w:tcW w:w="2340" w:type="dxa"/>
            <w:shd w:val="clear" w:color="auto" w:fill="F2F2F2" w:themeFill="background1" w:themeFillShade="F2"/>
          </w:tcPr>
          <w:p w14:paraId="7F4712D4" w14:textId="77777777" w:rsidR="00A15C40" w:rsidRDefault="00A15C40" w:rsidP="00281329">
            <w:pPr>
              <w:pStyle w:val="Tableheading"/>
            </w:pPr>
          </w:p>
        </w:tc>
        <w:tc>
          <w:tcPr>
            <w:tcW w:w="4058" w:type="dxa"/>
            <w:shd w:val="clear" w:color="auto" w:fill="F2F2F2" w:themeFill="background1" w:themeFillShade="F2"/>
          </w:tcPr>
          <w:p w14:paraId="64AA5D15" w14:textId="77777777" w:rsidR="00A15C40" w:rsidRDefault="00A15C40" w:rsidP="00281329">
            <w:pPr>
              <w:pStyle w:val="Tableheading"/>
            </w:pPr>
            <w:r>
              <w:t>Allocation Model</w:t>
            </w:r>
          </w:p>
        </w:tc>
        <w:tc>
          <w:tcPr>
            <w:tcW w:w="4058" w:type="dxa"/>
            <w:gridSpan w:val="2"/>
            <w:shd w:val="clear" w:color="auto" w:fill="F2F2F2" w:themeFill="background1" w:themeFillShade="F2"/>
          </w:tcPr>
          <w:p w14:paraId="76C1C82A" w14:textId="77777777" w:rsidR="00A15C40" w:rsidRDefault="00A15C40" w:rsidP="00281329">
            <w:pPr>
              <w:pStyle w:val="Tableheading"/>
            </w:pPr>
            <w:r>
              <w:t xml:space="preserve">Utilization Model </w:t>
            </w:r>
          </w:p>
        </w:tc>
      </w:tr>
      <w:tr w:rsidR="00A15C40" w14:paraId="593ACDF9" w14:textId="77777777" w:rsidTr="00281329">
        <w:tc>
          <w:tcPr>
            <w:tcW w:w="2340" w:type="dxa"/>
          </w:tcPr>
          <w:p w14:paraId="5569E3AE" w14:textId="77777777" w:rsidR="00A15C40" w:rsidRDefault="00A15C40" w:rsidP="00281329">
            <w:pPr>
              <w:pStyle w:val="Tablecontent"/>
            </w:pPr>
            <w:r>
              <w:t>Total capacity</w:t>
            </w:r>
          </w:p>
        </w:tc>
        <w:tc>
          <w:tcPr>
            <w:tcW w:w="8116" w:type="dxa"/>
            <w:gridSpan w:val="3"/>
          </w:tcPr>
          <w:p w14:paraId="5A5064E0" w14:textId="77777777" w:rsidR="00A15C40" w:rsidRDefault="00A15C40" w:rsidP="00281329">
            <w:pPr>
              <w:pStyle w:val="Tablecontent"/>
            </w:pPr>
            <w:r w:rsidRPr="00942FF7">
              <w:t>Disk Space \ Total Capacity</w:t>
            </w:r>
            <w:r>
              <w:t>. Same for both models</w:t>
            </w:r>
          </w:p>
        </w:tc>
      </w:tr>
      <w:tr w:rsidR="00A15C40" w14:paraId="31C4A79F" w14:textId="77777777" w:rsidTr="00281329">
        <w:tc>
          <w:tcPr>
            <w:tcW w:w="2340" w:type="dxa"/>
          </w:tcPr>
          <w:p w14:paraId="3FFCB92D" w14:textId="77777777" w:rsidR="00A15C40" w:rsidRDefault="00A15C40" w:rsidP="00281329">
            <w:pPr>
              <w:pStyle w:val="Tablecontent"/>
            </w:pPr>
            <w:r>
              <w:t>Buffer</w:t>
            </w:r>
          </w:p>
        </w:tc>
        <w:tc>
          <w:tcPr>
            <w:tcW w:w="8116" w:type="dxa"/>
            <w:gridSpan w:val="3"/>
          </w:tcPr>
          <w:p w14:paraId="5D58C684" w14:textId="77777777" w:rsidR="00A15C40" w:rsidRDefault="00A15C40" w:rsidP="00281329">
            <w:pPr>
              <w:pStyle w:val="Tablecontent"/>
            </w:pPr>
            <w:r>
              <w:t>Information not available as metric. See the value in policy</w:t>
            </w:r>
          </w:p>
        </w:tc>
      </w:tr>
      <w:tr w:rsidR="00A15C40" w14:paraId="7A53E7C4" w14:textId="77777777" w:rsidTr="00281329">
        <w:tc>
          <w:tcPr>
            <w:tcW w:w="2340" w:type="dxa"/>
          </w:tcPr>
          <w:p w14:paraId="605F474A" w14:textId="77777777" w:rsidR="00A15C40" w:rsidRDefault="00A15C40" w:rsidP="00281329">
            <w:pPr>
              <w:pStyle w:val="Tablecontent"/>
            </w:pPr>
            <w:r>
              <w:t>Usable Capacity</w:t>
            </w:r>
          </w:p>
        </w:tc>
        <w:tc>
          <w:tcPr>
            <w:tcW w:w="4630" w:type="dxa"/>
            <w:gridSpan w:val="2"/>
          </w:tcPr>
          <w:p w14:paraId="423EDB7E" w14:textId="77777777" w:rsidR="00A15C40" w:rsidRDefault="00A15C40" w:rsidP="00281329">
            <w:pPr>
              <w:pStyle w:val="Tablecontent"/>
            </w:pPr>
          </w:p>
        </w:tc>
        <w:tc>
          <w:tcPr>
            <w:tcW w:w="3486" w:type="dxa"/>
          </w:tcPr>
          <w:p w14:paraId="0077430D" w14:textId="77777777" w:rsidR="00A15C40" w:rsidRDefault="00A15C40" w:rsidP="00281329">
            <w:pPr>
              <w:pStyle w:val="Tablecontent"/>
            </w:pPr>
          </w:p>
        </w:tc>
      </w:tr>
      <w:tr w:rsidR="00A15C40" w14:paraId="405381D6" w14:textId="77777777" w:rsidTr="00281329">
        <w:tc>
          <w:tcPr>
            <w:tcW w:w="2340" w:type="dxa"/>
          </w:tcPr>
          <w:p w14:paraId="7FEF442F" w14:textId="77777777" w:rsidR="00A15C40" w:rsidRDefault="00A15C40" w:rsidP="00281329">
            <w:pPr>
              <w:pStyle w:val="Tablecontent"/>
            </w:pPr>
            <w:r>
              <w:t xml:space="preserve">Utilization </w:t>
            </w:r>
            <w:r>
              <w:br/>
              <w:t>(always against usable, not total)</w:t>
            </w:r>
          </w:p>
        </w:tc>
        <w:tc>
          <w:tcPr>
            <w:tcW w:w="4058" w:type="dxa"/>
          </w:tcPr>
          <w:p w14:paraId="1917BFBB" w14:textId="77777777" w:rsidR="00A15C40" w:rsidRDefault="00A15C40" w:rsidP="00281329">
            <w:pPr>
              <w:pStyle w:val="Tablecontent"/>
            </w:pPr>
          </w:p>
        </w:tc>
        <w:tc>
          <w:tcPr>
            <w:tcW w:w="4058" w:type="dxa"/>
            <w:gridSpan w:val="2"/>
          </w:tcPr>
          <w:p w14:paraId="3F2317C4" w14:textId="77777777" w:rsidR="00A15C40" w:rsidRDefault="00A15C40" w:rsidP="00281329">
            <w:pPr>
              <w:pStyle w:val="Tablecontent"/>
            </w:pPr>
            <w:r>
              <w:t>For overcommit ratio, use ___</w:t>
            </w:r>
          </w:p>
        </w:tc>
      </w:tr>
      <w:tr w:rsidR="00A15C40" w14:paraId="09542A04" w14:textId="77777777" w:rsidTr="00281329">
        <w:tc>
          <w:tcPr>
            <w:tcW w:w="2340" w:type="dxa"/>
          </w:tcPr>
          <w:p w14:paraId="5EA8BB18" w14:textId="77777777" w:rsidR="00A15C40" w:rsidRDefault="00A15C40" w:rsidP="00281329">
            <w:pPr>
              <w:pStyle w:val="Tablecontent"/>
            </w:pPr>
          </w:p>
        </w:tc>
        <w:tc>
          <w:tcPr>
            <w:tcW w:w="4058" w:type="dxa"/>
          </w:tcPr>
          <w:p w14:paraId="0A1E6515" w14:textId="77777777" w:rsidR="00A15C40" w:rsidRDefault="00A15C40" w:rsidP="00281329">
            <w:pPr>
              <w:pStyle w:val="Tablecontent"/>
            </w:pPr>
          </w:p>
        </w:tc>
        <w:tc>
          <w:tcPr>
            <w:tcW w:w="4058" w:type="dxa"/>
            <w:gridSpan w:val="2"/>
          </w:tcPr>
          <w:p w14:paraId="4B18968B" w14:textId="77777777" w:rsidR="00A15C40" w:rsidRDefault="00A15C40" w:rsidP="00281329">
            <w:pPr>
              <w:pStyle w:val="Tablecontent"/>
            </w:pPr>
            <w:r>
              <w:t>For uncommitted space, use ___</w:t>
            </w:r>
          </w:p>
        </w:tc>
      </w:tr>
    </w:tbl>
    <w:p w14:paraId="62BDCCA0" w14:textId="38E1C213" w:rsidR="00A15C40" w:rsidRDefault="00A15C40" w:rsidP="00A15C40">
      <w:pPr>
        <w:pStyle w:val="Heading4"/>
      </w:pPr>
      <w:r>
        <w:t>Properties</w:t>
      </w: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430"/>
        <w:gridCol w:w="8036"/>
      </w:tblGrid>
      <w:tr w:rsidR="00A15C40" w:rsidRPr="00C75D56" w14:paraId="073A3E14" w14:textId="77777777" w:rsidTr="00281329">
        <w:tc>
          <w:tcPr>
            <w:cnfStyle w:val="001000000000" w:firstRow="0" w:lastRow="0" w:firstColumn="1" w:lastColumn="0" w:oddVBand="0" w:evenVBand="0" w:oddHBand="0" w:evenHBand="0" w:firstRowFirstColumn="0" w:firstRowLastColumn="0" w:lastRowFirstColumn="0" w:lastRowLastColumn="0"/>
            <w:tcW w:w="2430" w:type="dxa"/>
            <w:shd w:val="clear" w:color="auto" w:fill="F2F2F2" w:themeFill="background1" w:themeFillShade="F2"/>
          </w:tcPr>
          <w:p w14:paraId="266012BC" w14:textId="77777777" w:rsidR="00A15C40" w:rsidRPr="005F6AD8" w:rsidRDefault="00A15C40" w:rsidP="00281329">
            <w:pPr>
              <w:pStyle w:val="Tableheading"/>
              <w:rPr>
                <w:b/>
              </w:rPr>
            </w:pPr>
            <w:r>
              <w:rPr>
                <w:b/>
              </w:rPr>
              <w:t>Property</w:t>
            </w:r>
          </w:p>
        </w:tc>
        <w:tc>
          <w:tcPr>
            <w:tcW w:w="8036" w:type="dxa"/>
            <w:shd w:val="clear" w:color="auto" w:fill="F2F2F2" w:themeFill="background1" w:themeFillShade="F2"/>
          </w:tcPr>
          <w:p w14:paraId="4EBB6C65" w14:textId="77777777" w:rsidR="00A15C40" w:rsidRPr="00DB024C" w:rsidRDefault="00A15C40" w:rsidP="00281329">
            <w:pPr>
              <w:pStyle w:val="Tableheading"/>
              <w:cnfStyle w:val="000000000000" w:firstRow="0" w:lastRow="0" w:firstColumn="0" w:lastColumn="0" w:oddVBand="0" w:evenVBand="0" w:oddHBand="0" w:evenHBand="0" w:firstRowFirstColumn="0" w:firstRowLastColumn="0" w:lastRowFirstColumn="0" w:lastRowLastColumn="0"/>
            </w:pPr>
            <w:r>
              <w:t>Description</w:t>
            </w:r>
          </w:p>
        </w:tc>
      </w:tr>
      <w:tr w:rsidR="00A15C40" w:rsidRPr="00C75D56" w14:paraId="62A1C542" w14:textId="77777777" w:rsidTr="00281329">
        <w:tc>
          <w:tcPr>
            <w:cnfStyle w:val="001000000000" w:firstRow="0" w:lastRow="0" w:firstColumn="1" w:lastColumn="0" w:oddVBand="0" w:evenVBand="0" w:oddHBand="0" w:evenHBand="0" w:firstRowFirstColumn="0" w:firstRowLastColumn="0" w:lastRowFirstColumn="0" w:lastRowLastColumn="0"/>
            <w:tcW w:w="2430" w:type="dxa"/>
          </w:tcPr>
          <w:p w14:paraId="606C4182" w14:textId="77777777" w:rsidR="00A15C40" w:rsidRPr="006E30D5" w:rsidRDefault="00A15C40" w:rsidP="00281329">
            <w:pPr>
              <w:pStyle w:val="Tablecontent"/>
              <w:rPr>
                <w:b w:val="0"/>
                <w:bCs w:val="0"/>
              </w:rPr>
            </w:pPr>
            <w:r w:rsidRPr="006E30D5">
              <w:rPr>
                <w:b w:val="0"/>
                <w:bCs w:val="0"/>
              </w:rPr>
              <w:t>Datastore Accessible</w:t>
            </w:r>
          </w:p>
        </w:tc>
        <w:tc>
          <w:tcPr>
            <w:tcW w:w="8036" w:type="dxa"/>
          </w:tcPr>
          <w:p w14:paraId="148B256E" w14:textId="77777777" w:rsidR="00A15C40"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t>Possible values: PoweredOff, PoweredOn</w:t>
            </w:r>
          </w:p>
          <w:p w14:paraId="3419F391" w14:textId="57A37E05" w:rsidR="008C063D" w:rsidRPr="00DB024C" w:rsidRDefault="008C063D" w:rsidP="00281329">
            <w:pPr>
              <w:pStyle w:val="Tablecontent"/>
              <w:cnfStyle w:val="000000000000" w:firstRow="0" w:lastRow="0" w:firstColumn="0" w:lastColumn="0" w:oddVBand="0" w:evenVBand="0" w:oddHBand="0" w:evenHBand="0" w:firstRowFirstColumn="0" w:firstRowLastColumn="0" w:lastRowFirstColumn="0" w:lastRowLastColumn="0"/>
            </w:pPr>
            <w:r>
              <w:t>Powered Off =  datastore is</w:t>
            </w:r>
            <w:r w:rsidRPr="008C063D">
              <w:t xml:space="preserve"> completely inaccessible</w:t>
            </w:r>
            <w:r>
              <w:t xml:space="preserve"> by any ESXi.</w:t>
            </w:r>
          </w:p>
        </w:tc>
      </w:tr>
      <w:tr w:rsidR="00A15C40" w:rsidRPr="00C75D56" w14:paraId="367E892F" w14:textId="77777777" w:rsidTr="00281329">
        <w:tc>
          <w:tcPr>
            <w:cnfStyle w:val="001000000000" w:firstRow="0" w:lastRow="0" w:firstColumn="1" w:lastColumn="0" w:oddVBand="0" w:evenVBand="0" w:oddHBand="0" w:evenHBand="0" w:firstRowFirstColumn="0" w:firstRowLastColumn="0" w:lastRowFirstColumn="0" w:lastRowLastColumn="0"/>
            <w:tcW w:w="2430" w:type="dxa"/>
          </w:tcPr>
          <w:p w14:paraId="73196F08" w14:textId="77777777" w:rsidR="00A15C40" w:rsidRPr="009403A6" w:rsidRDefault="00A15C40" w:rsidP="00281329">
            <w:pPr>
              <w:pStyle w:val="Tablecontent"/>
              <w:rPr>
                <w:b w:val="0"/>
                <w:bCs w:val="0"/>
              </w:rPr>
            </w:pPr>
            <w:r w:rsidRPr="009403A6">
              <w:rPr>
                <w:b w:val="0"/>
                <w:bCs w:val="0"/>
              </w:rPr>
              <w:lastRenderedPageBreak/>
              <w:t>Maintenance Mode</w:t>
            </w:r>
          </w:p>
        </w:tc>
        <w:tc>
          <w:tcPr>
            <w:tcW w:w="8036" w:type="dxa"/>
          </w:tcPr>
          <w:p w14:paraId="6F25E3A1" w14:textId="77777777" w:rsidR="008C063D" w:rsidRDefault="008C063D" w:rsidP="00281329">
            <w:pPr>
              <w:pStyle w:val="Tablecontent"/>
              <w:cnfStyle w:val="000000000000" w:firstRow="0" w:lastRow="0" w:firstColumn="0" w:lastColumn="0" w:oddVBand="0" w:evenVBand="0" w:oddHBand="0" w:evenHBand="0" w:firstRowFirstColumn="0" w:firstRowLastColumn="0" w:lastRowFirstColumn="0" w:lastRowLastColumn="0"/>
            </w:pPr>
            <w:r>
              <w:t>Datastore i</w:t>
            </w:r>
            <w:r w:rsidRPr="008C063D">
              <w:t xml:space="preserve">n maintenance mode </w:t>
            </w:r>
            <w:r>
              <w:t>is still powered on and accessible. Y</w:t>
            </w:r>
            <w:r w:rsidRPr="008C063D">
              <w:t xml:space="preserve">ou can view files on it but cannot write anything to it. </w:t>
            </w:r>
          </w:p>
          <w:p w14:paraId="59BE616A" w14:textId="22877615" w:rsidR="008C063D" w:rsidRDefault="008C063D" w:rsidP="00281329">
            <w:pPr>
              <w:pStyle w:val="Tablecontent"/>
              <w:cnfStyle w:val="000000000000" w:firstRow="0" w:lastRow="0" w:firstColumn="0" w:lastColumn="0" w:oddVBand="0" w:evenVBand="0" w:oddHBand="0" w:evenHBand="0" w:firstRowFirstColumn="0" w:firstRowLastColumn="0" w:lastRowFirstColumn="0" w:lastRowLastColumn="0"/>
            </w:pPr>
            <w:r>
              <w:t>E</w:t>
            </w:r>
            <w:r w:rsidRPr="008C063D">
              <w:t xml:space="preserve">ntering maintenance mode is a quick process however in case of </w:t>
            </w:r>
            <w:r>
              <w:t xml:space="preserve">widely shared </w:t>
            </w:r>
            <w:r w:rsidRPr="008C063D">
              <w:t xml:space="preserve">datastores like NFS it might take time as that is shared among hosts. The datastore cannot be stuck for hours in entering maintenance mode. </w:t>
            </w:r>
            <w:r>
              <w:t xml:space="preserve">Trigger the alert if that’s the case. </w:t>
            </w:r>
          </w:p>
          <w:p w14:paraId="31C581FD" w14:textId="15AAEFCE" w:rsidR="00A15C40"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t xml:space="preserve">Possible values: </w:t>
            </w:r>
          </w:p>
          <w:p w14:paraId="011898F6" w14:textId="77777777" w:rsidR="00A15C40" w:rsidRDefault="00A15C40">
            <w:pPr>
              <w:pStyle w:val="Tablecontent"/>
              <w:numPr>
                <w:ilvl w:val="0"/>
                <w:numId w:val="74"/>
              </w:numPr>
              <w:cnfStyle w:val="000000000000" w:firstRow="0" w:lastRow="0" w:firstColumn="0" w:lastColumn="0" w:oddVBand="0" w:evenVBand="0" w:oddHBand="0" w:evenHBand="0" w:firstRowFirstColumn="0" w:firstRowLastColumn="0" w:lastRowFirstColumn="0" w:lastRowLastColumn="0"/>
            </w:pPr>
            <w:r>
              <w:t xml:space="preserve">Entering Maintenance Mode. </w:t>
            </w:r>
          </w:p>
          <w:p w14:paraId="27B0C4E0" w14:textId="77777777" w:rsidR="00A15C40" w:rsidRDefault="00A15C40">
            <w:pPr>
              <w:pStyle w:val="Tablecontent"/>
              <w:numPr>
                <w:ilvl w:val="0"/>
                <w:numId w:val="74"/>
              </w:numPr>
              <w:cnfStyle w:val="000000000000" w:firstRow="0" w:lastRow="0" w:firstColumn="0" w:lastColumn="0" w:oddVBand="0" w:evenVBand="0" w:oddHBand="0" w:evenHBand="0" w:firstRowFirstColumn="0" w:firstRowLastColumn="0" w:lastRowFirstColumn="0" w:lastRowLastColumn="0"/>
            </w:pPr>
            <w:r>
              <w:t>In Maintenance Mode</w:t>
            </w:r>
          </w:p>
          <w:p w14:paraId="437D7EFF" w14:textId="77777777" w:rsidR="00A15C40" w:rsidRDefault="00A15C40">
            <w:pPr>
              <w:pStyle w:val="Tablecontent"/>
              <w:numPr>
                <w:ilvl w:val="0"/>
                <w:numId w:val="74"/>
              </w:numPr>
              <w:cnfStyle w:val="000000000000" w:firstRow="0" w:lastRow="0" w:firstColumn="0" w:lastColumn="0" w:oddVBand="0" w:evenVBand="0" w:oddHBand="0" w:evenHBand="0" w:firstRowFirstColumn="0" w:firstRowLastColumn="0" w:lastRowFirstColumn="0" w:lastRowLastColumn="0"/>
            </w:pPr>
            <w:r>
              <w:t>Normal Mode</w:t>
            </w:r>
          </w:p>
          <w:p w14:paraId="407DD5C4" w14:textId="77777777" w:rsidR="00A15C40" w:rsidRPr="009403A6"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rsidRPr="009403A6">
              <w:t xml:space="preserve">Newly added in </w:t>
            </w:r>
            <w:r>
              <w:t>Aria Operations</w:t>
            </w:r>
          </w:p>
        </w:tc>
      </w:tr>
      <w:tr w:rsidR="00A15C40" w:rsidRPr="00C75D56" w14:paraId="63FD5831" w14:textId="77777777" w:rsidTr="00281329">
        <w:tc>
          <w:tcPr>
            <w:cnfStyle w:val="001000000000" w:firstRow="0" w:lastRow="0" w:firstColumn="1" w:lastColumn="0" w:oddVBand="0" w:evenVBand="0" w:oddHBand="0" w:evenHBand="0" w:firstRowFirstColumn="0" w:firstRowLastColumn="0" w:lastRowFirstColumn="0" w:lastRowLastColumn="0"/>
            <w:tcW w:w="2430" w:type="dxa"/>
          </w:tcPr>
          <w:p w14:paraId="2F61A6C5" w14:textId="77777777" w:rsidR="00A15C40" w:rsidRPr="006E30D5" w:rsidRDefault="00A15C40" w:rsidP="00281329">
            <w:pPr>
              <w:pStyle w:val="Tablecontent"/>
              <w:rPr>
                <w:b w:val="0"/>
                <w:bCs w:val="0"/>
              </w:rPr>
            </w:pPr>
            <w:r>
              <w:rPr>
                <w:b w:val="0"/>
                <w:bCs w:val="0"/>
              </w:rPr>
              <w:t>Type</w:t>
            </w:r>
          </w:p>
        </w:tc>
        <w:tc>
          <w:tcPr>
            <w:tcW w:w="8036" w:type="dxa"/>
          </w:tcPr>
          <w:p w14:paraId="50478D1C" w14:textId="77777777" w:rsidR="00A15C40"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t>Possible values: VMFS, NFS, vsan</w:t>
            </w:r>
          </w:p>
        </w:tc>
      </w:tr>
      <w:tr w:rsidR="00A15C40" w:rsidRPr="00C75D56" w14:paraId="79D32090" w14:textId="77777777" w:rsidTr="00281329">
        <w:tc>
          <w:tcPr>
            <w:cnfStyle w:val="001000000000" w:firstRow="0" w:lastRow="0" w:firstColumn="1" w:lastColumn="0" w:oddVBand="0" w:evenVBand="0" w:oddHBand="0" w:evenHBand="0" w:firstRowFirstColumn="0" w:firstRowLastColumn="0" w:lastRowFirstColumn="0" w:lastRowLastColumn="0"/>
            <w:tcW w:w="2430" w:type="dxa"/>
          </w:tcPr>
          <w:p w14:paraId="092D34A8" w14:textId="77777777" w:rsidR="00A15C40" w:rsidRDefault="00A15C40" w:rsidP="00281329">
            <w:pPr>
              <w:pStyle w:val="Tablecontent"/>
              <w:rPr>
                <w:b w:val="0"/>
                <w:bCs w:val="0"/>
              </w:rPr>
            </w:pPr>
            <w:r>
              <w:rPr>
                <w:b w:val="0"/>
                <w:bCs w:val="0"/>
              </w:rPr>
              <w:t>Path</w:t>
            </w:r>
          </w:p>
        </w:tc>
        <w:tc>
          <w:tcPr>
            <w:tcW w:w="8036" w:type="dxa"/>
          </w:tcPr>
          <w:p w14:paraId="2649D73E" w14:textId="77777777" w:rsidR="00A15C40" w:rsidRDefault="00A15C40" w:rsidP="00281329">
            <w:pPr>
              <w:pStyle w:val="Tablecontent"/>
              <w:cnfStyle w:val="000000000000" w:firstRow="0" w:lastRow="0" w:firstColumn="0" w:lastColumn="0" w:oddVBand="0" w:evenVBand="0" w:oddHBand="0" w:evenHBand="0" w:firstRowFirstColumn="0" w:firstRowLastColumn="0" w:lastRowFirstColumn="0" w:lastRowLastColumn="0"/>
            </w:pPr>
            <w:r>
              <w:t>Typically it begins with ds:///vmfs/volumes / regardless of the type. NFS has shorter path name compared with VMFS and vSAN</w:t>
            </w:r>
          </w:p>
        </w:tc>
      </w:tr>
      <w:tr w:rsidR="00875673" w:rsidRPr="00C75D56" w14:paraId="50948049" w14:textId="77777777" w:rsidTr="00281329">
        <w:tc>
          <w:tcPr>
            <w:cnfStyle w:val="001000000000" w:firstRow="0" w:lastRow="0" w:firstColumn="1" w:lastColumn="0" w:oddVBand="0" w:evenVBand="0" w:oddHBand="0" w:evenHBand="0" w:firstRowFirstColumn="0" w:firstRowLastColumn="0" w:lastRowFirstColumn="0" w:lastRowLastColumn="0"/>
            <w:tcW w:w="2430" w:type="dxa"/>
          </w:tcPr>
          <w:p w14:paraId="0972D5F0" w14:textId="1D1897B8" w:rsidR="00875673" w:rsidRPr="00875673" w:rsidRDefault="00875673" w:rsidP="00281329">
            <w:pPr>
              <w:pStyle w:val="Tablecontent"/>
              <w:rPr>
                <w:b w:val="0"/>
                <w:bCs w:val="0"/>
              </w:rPr>
            </w:pPr>
            <w:r w:rsidRPr="00875673">
              <w:rPr>
                <w:b w:val="0"/>
                <w:bCs w:val="0"/>
              </w:rPr>
              <w:t>VMFS version</w:t>
            </w:r>
          </w:p>
        </w:tc>
        <w:tc>
          <w:tcPr>
            <w:tcW w:w="8036" w:type="dxa"/>
          </w:tcPr>
          <w:p w14:paraId="1585FF01" w14:textId="53CE8C3F" w:rsidR="00875673" w:rsidRDefault="00875673" w:rsidP="00281329">
            <w:pPr>
              <w:pStyle w:val="Tablecontent"/>
              <w:cnfStyle w:val="000000000000" w:firstRow="0" w:lastRow="0" w:firstColumn="0" w:lastColumn="0" w:oddVBand="0" w:evenVBand="0" w:oddHBand="0" w:evenHBand="0" w:firstRowFirstColumn="0" w:firstRowLastColumn="0" w:lastRowFirstColumn="0" w:lastRowLastColumn="0"/>
            </w:pPr>
            <w:r>
              <w:t>Possible values: VMFS 6</w:t>
            </w:r>
          </w:p>
        </w:tc>
      </w:tr>
    </w:tbl>
    <w:p w14:paraId="55DC3A29" w14:textId="5AEC6228" w:rsidR="004A1D68" w:rsidRDefault="004A1D68" w:rsidP="000847AE">
      <w:pPr>
        <w:pStyle w:val="Heading3"/>
      </w:pPr>
      <w:r w:rsidRPr="00A452F2">
        <w:t>vSAN</w:t>
      </w:r>
    </w:p>
    <w:p w14:paraId="397E91B1" w14:textId="27213529" w:rsidR="0086240C" w:rsidRDefault="0086240C" w:rsidP="00B43BE6">
      <w:pPr>
        <w:rPr>
          <w:lang w:val="en-GB"/>
        </w:rPr>
      </w:pPr>
      <w:r>
        <w:rPr>
          <w:lang w:val="en-GB"/>
        </w:rPr>
        <w:t>There are 2 characteristics of vSAN that makes its operations management differs to physical array.</w:t>
      </w:r>
    </w:p>
    <w:p w14:paraId="4001256F" w14:textId="3BA59D44" w:rsidR="004758AE" w:rsidRDefault="004758AE" w:rsidP="00B43BE6">
      <w:pPr>
        <w:pStyle w:val="Bullet"/>
        <w:rPr>
          <w:lang w:val="en-GB"/>
        </w:rPr>
      </w:pPr>
      <w:r>
        <w:rPr>
          <w:lang w:val="en-GB"/>
        </w:rPr>
        <w:t>Distributed. T</w:t>
      </w:r>
      <w:r w:rsidRPr="004758AE">
        <w:rPr>
          <w:lang w:val="en-GB"/>
        </w:rPr>
        <w:t>he actual disks are spread across many physical gears, which are typically ESXi servers.</w:t>
      </w:r>
      <w:r>
        <w:rPr>
          <w:lang w:val="en-GB"/>
        </w:rPr>
        <w:t xml:space="preserve"> From monitoring and troubleshooting viewpoint, not all distributed storage are equal. vSAN runs as a kernel module in VMkernel, which results in a different context than if vSAN were running as a VM. The metrics are different because the architecture is different.</w:t>
      </w:r>
    </w:p>
    <w:p w14:paraId="7E13BB56" w14:textId="0574820B" w:rsidR="00712FCC" w:rsidRPr="004758AE" w:rsidRDefault="004758AE" w:rsidP="00B43BE6">
      <w:pPr>
        <w:pStyle w:val="Bullet"/>
        <w:rPr>
          <w:lang w:val="en-GB"/>
        </w:rPr>
      </w:pPr>
      <w:r>
        <w:rPr>
          <w:lang w:val="en-GB"/>
        </w:rPr>
        <w:t>Software-defined. The availability protection for the VM disks is done above the VMFS layer, not below the LUN. That turns capacity planning &amp; availability management upside down. The datastore consumption is much higher, often 2x depending on the vSAN storage policy, due to the need to protect the VM data from disk failure.</w:t>
      </w:r>
    </w:p>
    <w:p w14:paraId="7F3B5DB4" w14:textId="44E32671" w:rsidR="00D71725" w:rsidRPr="0078437A" w:rsidRDefault="00D71725" w:rsidP="00B43BE6">
      <w:pPr>
        <w:rPr>
          <w:lang w:val="en-GB"/>
        </w:rPr>
      </w:pPr>
      <w:r>
        <w:rPr>
          <w:lang w:val="en-GB"/>
        </w:rPr>
        <w:t>In vSAN, you need to know where VM storage is located. So a VM now has 1 Compute Host and &gt;1 Storage Hosts. The storage host</w:t>
      </w:r>
      <w:r w:rsidR="004D5C1A">
        <w:rPr>
          <w:lang w:val="en-GB"/>
        </w:rPr>
        <w:t xml:space="preserve">s vary, depending on which part of the disks are being accessed. </w:t>
      </w:r>
    </w:p>
    <w:p w14:paraId="7A272204" w14:textId="4DD752BD" w:rsidR="00500705" w:rsidRDefault="00500705" w:rsidP="00875673">
      <w:pPr>
        <w:pStyle w:val="Heading4"/>
      </w:pPr>
      <w:r>
        <w:lastRenderedPageBreak/>
        <w:t xml:space="preserve">Performance </w:t>
      </w:r>
    </w:p>
    <w:p w14:paraId="7CB02962" w14:textId="61D63248" w:rsidR="004A1D68" w:rsidRPr="00A452F2" w:rsidRDefault="004A1D68" w:rsidP="00B43BE6">
      <w:pPr>
        <w:rPr>
          <w:lang w:val="en-GB"/>
        </w:rPr>
      </w:pPr>
      <w:r w:rsidRPr="00A452F2">
        <w:rPr>
          <w:lang w:val="en-GB"/>
        </w:rPr>
        <w:t xml:space="preserve">While vSAN provide storage service, network </w:t>
      </w:r>
      <w:r w:rsidR="00C81705">
        <w:rPr>
          <w:lang w:val="en-GB"/>
        </w:rPr>
        <w:t>is a mandatory component of vSAN</w:t>
      </w:r>
      <w:r w:rsidRPr="00A452F2">
        <w:rPr>
          <w:lang w:val="en-GB"/>
        </w:rPr>
        <w:t xml:space="preserve">. So we need to look at both storage and network in analysis. </w:t>
      </w:r>
      <w:r w:rsidR="00C81705">
        <w:rPr>
          <w:lang w:val="en-GB"/>
        </w:rPr>
        <w:t xml:space="preserve">Since </w:t>
      </w:r>
      <w:r w:rsidRPr="00A452F2">
        <w:rPr>
          <w:lang w:val="en-GB"/>
        </w:rPr>
        <w:t xml:space="preserve">vSAN </w:t>
      </w:r>
      <w:r w:rsidR="00C81705">
        <w:rPr>
          <w:lang w:val="en-GB"/>
        </w:rPr>
        <w:t xml:space="preserve">run inside </w:t>
      </w:r>
      <w:r w:rsidRPr="00A452F2">
        <w:rPr>
          <w:lang w:val="en-GB"/>
        </w:rPr>
        <w:t>ESXi Host, so we need to consider compute metrics also.</w:t>
      </w:r>
    </w:p>
    <w:p w14:paraId="0D30836D" w14:textId="77777777" w:rsidR="004A1D68" w:rsidRPr="00A452F2" w:rsidRDefault="004A1D68" w:rsidP="00B43BE6">
      <w:pPr>
        <w:rPr>
          <w:lang w:val="en-GB"/>
        </w:rPr>
      </w:pPr>
      <w:r w:rsidRPr="00A452F2">
        <w:rPr>
          <w:lang w:val="en-GB"/>
        </w:rPr>
        <w:t>A large vSAN cluster can have many components. Each of these components can have multiple performance metrics. The total number of KPI can reach hundreds of metrics. Take the following example, which is a 10 node cluster.</w:t>
      </w:r>
    </w:p>
    <w:p w14:paraId="192E9297" w14:textId="77777777" w:rsidR="004A1D68" w:rsidRPr="00A452F2" w:rsidRDefault="004A1D68" w:rsidP="00B43BE6">
      <w:pPr>
        <w:jc w:val="center"/>
        <w:rPr>
          <w:lang w:val="en-GB"/>
        </w:rPr>
      </w:pPr>
      <w:r>
        <w:rPr>
          <w:noProof/>
        </w:rPr>
        <w:drawing>
          <wp:inline distT="0" distB="0" distL="0" distR="0" wp14:anchorId="2C06BDBF" wp14:editId="7EFB1FB0">
            <wp:extent cx="3887266" cy="3164114"/>
            <wp:effectExtent l="0" t="0" r="0" b="0"/>
            <wp:docPr id="606394050" name="Picture 606394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50"/>
                    <pic:cNvPicPr/>
                  </pic:nvPicPr>
                  <pic:blipFill>
                    <a:blip r:embed="rId911">
                      <a:extLst>
                        <a:ext uri="{28A0092B-C50C-407E-A947-70E740481C1C}">
                          <a14:useLocalDpi xmlns:a14="http://schemas.microsoft.com/office/drawing/2010/main" val="0"/>
                        </a:ext>
                      </a:extLst>
                    </a:blip>
                    <a:stretch>
                      <a:fillRect/>
                    </a:stretch>
                  </pic:blipFill>
                  <pic:spPr>
                    <a:xfrm>
                      <a:off x="0" y="0"/>
                      <a:ext cx="3887266" cy="3164114"/>
                    </a:xfrm>
                    <a:prstGeom prst="rect">
                      <a:avLst/>
                    </a:prstGeom>
                  </pic:spPr>
                </pic:pic>
              </a:graphicData>
            </a:graphic>
          </wp:inline>
        </w:drawing>
      </w:r>
    </w:p>
    <w:p w14:paraId="2ABA61DB" w14:textId="0E8CF674" w:rsidR="004A1D68" w:rsidRPr="00A452F2" w:rsidRDefault="004A1D68" w:rsidP="00B43BE6">
      <w:pPr>
        <w:rPr>
          <w:lang w:val="en-GB"/>
        </w:rPr>
      </w:pPr>
      <w:r w:rsidRPr="4CAB3972">
        <w:rPr>
          <w:lang w:val="en-GB"/>
        </w:rPr>
        <w:t xml:space="preserve">Here are some of the questions you want to ask in </w:t>
      </w:r>
      <w:r w:rsidR="7849C042" w:rsidRPr="4CAB3972">
        <w:rPr>
          <w:lang w:val="en-GB"/>
        </w:rPr>
        <w:t>day-to-day</w:t>
      </w:r>
      <w:r w:rsidRPr="4CAB3972">
        <w:rPr>
          <w:lang w:val="en-GB"/>
        </w:rPr>
        <w:t xml:space="preserve"> operations:</w:t>
      </w:r>
    </w:p>
    <w:p w14:paraId="4B48CE79" w14:textId="02371334" w:rsidR="004A1D68" w:rsidRPr="00A452F2" w:rsidRDefault="004A1D68" w:rsidP="00B43BE6">
      <w:pPr>
        <w:pStyle w:val="Bullet"/>
        <w:rPr>
          <w:lang w:val="en-GB"/>
        </w:rPr>
      </w:pPr>
      <w:r w:rsidRPr="4CAB3972">
        <w:rPr>
          <w:lang w:val="en-GB"/>
        </w:rPr>
        <w:t xml:space="preserve">Is any of the ESXi </w:t>
      </w:r>
      <w:r w:rsidR="00621657">
        <w:rPr>
          <w:lang w:val="en-GB"/>
        </w:rPr>
        <w:t xml:space="preserve">hosts in the cluster </w:t>
      </w:r>
      <w:r w:rsidRPr="4CAB3972">
        <w:rPr>
          <w:lang w:val="en-GB"/>
        </w:rPr>
        <w:t>running high CPU utilization?</w:t>
      </w:r>
    </w:p>
    <w:p w14:paraId="4325CF79" w14:textId="3BC0C192" w:rsidR="004A1D68" w:rsidRPr="00A452F2" w:rsidRDefault="004A1D68" w:rsidP="00B43BE6">
      <w:pPr>
        <w:pStyle w:val="Bullet"/>
        <w:rPr>
          <w:lang w:val="en-GB"/>
        </w:rPr>
      </w:pPr>
      <w:r w:rsidRPr="4CAB3972">
        <w:rPr>
          <w:lang w:val="en-GB"/>
        </w:rPr>
        <w:t xml:space="preserve">Is any of the ESXi </w:t>
      </w:r>
      <w:r w:rsidR="00621657">
        <w:rPr>
          <w:lang w:val="en-GB"/>
        </w:rPr>
        <w:t xml:space="preserve">hosts </w:t>
      </w:r>
      <w:r w:rsidRPr="4CAB3972">
        <w:rPr>
          <w:lang w:val="en-GB"/>
        </w:rPr>
        <w:t>running high Memory utilization?</w:t>
      </w:r>
    </w:p>
    <w:p w14:paraId="1C9534CB" w14:textId="400274BD" w:rsidR="004A1D68" w:rsidRPr="00A452F2" w:rsidRDefault="004A1D68" w:rsidP="00B43BE6">
      <w:pPr>
        <w:pStyle w:val="Bullet"/>
        <w:rPr>
          <w:lang w:val="en-GB"/>
        </w:rPr>
      </w:pPr>
      <w:r w:rsidRPr="4CAB3972">
        <w:rPr>
          <w:lang w:val="en-GB"/>
        </w:rPr>
        <w:t xml:space="preserve">Is any of the NIC </w:t>
      </w:r>
      <w:r w:rsidR="00621657">
        <w:rPr>
          <w:lang w:val="en-GB"/>
        </w:rPr>
        <w:t xml:space="preserve">cards in any of the ESXi hosts </w:t>
      </w:r>
      <w:r w:rsidRPr="4CAB3972">
        <w:rPr>
          <w:lang w:val="en-GB"/>
        </w:rPr>
        <w:t xml:space="preserve">running high utilization? </w:t>
      </w:r>
      <w:r w:rsidR="00A55FF7">
        <w:rPr>
          <w:lang w:val="en-GB"/>
        </w:rPr>
        <w:br/>
        <w:t>In the above example, w</w:t>
      </w:r>
      <w:r w:rsidRPr="4CAB3972">
        <w:rPr>
          <w:lang w:val="en-GB"/>
        </w:rPr>
        <w:t xml:space="preserve">ith 4 NIC </w:t>
      </w:r>
      <w:r w:rsidR="00A55FF7">
        <w:rPr>
          <w:lang w:val="en-GB"/>
        </w:rPr>
        <w:t xml:space="preserve">cards </w:t>
      </w:r>
      <w:r w:rsidRPr="4CAB3972">
        <w:rPr>
          <w:lang w:val="en-GB"/>
        </w:rPr>
        <w:t>per ESXi, you have 40 TX + 40 RX metrics.</w:t>
      </w:r>
    </w:p>
    <w:p w14:paraId="23170F70" w14:textId="556C8CB3" w:rsidR="004A1D68" w:rsidRPr="00A452F2" w:rsidRDefault="004A1D68" w:rsidP="00B43BE6">
      <w:pPr>
        <w:pStyle w:val="Bullet"/>
        <w:rPr>
          <w:lang w:val="en-GB"/>
        </w:rPr>
      </w:pPr>
      <w:r w:rsidRPr="4CAB3972">
        <w:rPr>
          <w:lang w:val="en-GB"/>
        </w:rPr>
        <w:t xml:space="preserve">Is </w:t>
      </w:r>
      <w:r w:rsidR="5B2FF9CC" w:rsidRPr="4CAB3972">
        <w:rPr>
          <w:lang w:val="en-GB"/>
        </w:rPr>
        <w:t xml:space="preserve">the </w:t>
      </w:r>
      <w:r w:rsidRPr="4CAB3972">
        <w:rPr>
          <w:lang w:val="en-GB"/>
        </w:rPr>
        <w:t xml:space="preserve">vSAN </w:t>
      </w:r>
      <w:r w:rsidR="00FD5A65">
        <w:rPr>
          <w:lang w:val="en-GB"/>
        </w:rPr>
        <w:t>VMkernel</w:t>
      </w:r>
      <w:r w:rsidRPr="4CAB3972">
        <w:rPr>
          <w:lang w:val="en-GB"/>
        </w:rPr>
        <w:t xml:space="preserve"> network </w:t>
      </w:r>
      <w:r w:rsidR="00A55FF7">
        <w:rPr>
          <w:lang w:val="en-GB"/>
        </w:rPr>
        <w:t xml:space="preserve">on any of the ESXi hosts </w:t>
      </w:r>
      <w:r w:rsidRPr="4CAB3972">
        <w:rPr>
          <w:lang w:val="en-GB"/>
        </w:rPr>
        <w:t>congested?</w:t>
      </w:r>
    </w:p>
    <w:p w14:paraId="46B7FE4C" w14:textId="36D770E5" w:rsidR="004A1D68" w:rsidRPr="00A452F2" w:rsidRDefault="004A1D68" w:rsidP="00B43BE6">
      <w:pPr>
        <w:pStyle w:val="Bullet"/>
        <w:rPr>
          <w:lang w:val="en-GB"/>
        </w:rPr>
      </w:pPr>
      <w:r w:rsidRPr="00A452F2">
        <w:rPr>
          <w:lang w:val="en-GB"/>
        </w:rPr>
        <w:t xml:space="preserve">Is the Read Cache </w:t>
      </w:r>
      <w:r w:rsidR="0066523E">
        <w:rPr>
          <w:lang w:val="en-GB"/>
        </w:rPr>
        <w:t xml:space="preserve">on any of the Disk </w:t>
      </w:r>
      <w:r w:rsidR="0097569D">
        <w:rPr>
          <w:lang w:val="en-GB"/>
        </w:rPr>
        <w:t>Groups</w:t>
      </w:r>
      <w:r w:rsidR="0066523E">
        <w:rPr>
          <w:lang w:val="en-GB"/>
        </w:rPr>
        <w:t xml:space="preserve"> </w:t>
      </w:r>
      <w:r w:rsidR="00C4742B">
        <w:rPr>
          <w:lang w:val="en-GB"/>
        </w:rPr>
        <w:t>sufficient</w:t>
      </w:r>
      <w:r w:rsidRPr="00A452F2">
        <w:rPr>
          <w:lang w:val="en-GB"/>
        </w:rPr>
        <w:t>?</w:t>
      </w:r>
      <w:r w:rsidR="00C4742B">
        <w:rPr>
          <w:lang w:val="en-GB"/>
        </w:rPr>
        <w:t xml:space="preserve"> If you have a lot of cache miss, it can impact performance.</w:t>
      </w:r>
    </w:p>
    <w:p w14:paraId="1BA395CF" w14:textId="2F760A99" w:rsidR="004A1D68" w:rsidRPr="00A452F2" w:rsidRDefault="004A1D68" w:rsidP="00B43BE6">
      <w:pPr>
        <w:pStyle w:val="Bullet"/>
        <w:rPr>
          <w:lang w:val="en-GB"/>
        </w:rPr>
      </w:pPr>
      <w:r w:rsidRPr="00A452F2">
        <w:rPr>
          <w:lang w:val="en-GB"/>
        </w:rPr>
        <w:t>Is the Write Buffer</w:t>
      </w:r>
      <w:r w:rsidR="0066523E">
        <w:rPr>
          <w:lang w:val="en-GB"/>
        </w:rPr>
        <w:t xml:space="preserve"> on any of the Disk </w:t>
      </w:r>
      <w:r w:rsidR="0097569D">
        <w:rPr>
          <w:lang w:val="en-GB"/>
        </w:rPr>
        <w:t>Groups</w:t>
      </w:r>
      <w:r w:rsidRPr="00A452F2">
        <w:rPr>
          <w:lang w:val="en-GB"/>
        </w:rPr>
        <w:t xml:space="preserve"> sufficient?</w:t>
      </w:r>
    </w:p>
    <w:p w14:paraId="6DB6E4C3" w14:textId="624089F3" w:rsidR="004A1D68" w:rsidRPr="00A452F2" w:rsidRDefault="004A1D68" w:rsidP="00B43BE6">
      <w:pPr>
        <w:pStyle w:val="Bullet"/>
        <w:rPr>
          <w:lang w:val="en-GB"/>
        </w:rPr>
      </w:pPr>
      <w:r w:rsidRPr="00A452F2">
        <w:rPr>
          <w:lang w:val="en-GB"/>
        </w:rPr>
        <w:t xml:space="preserve">Is the Cache Tier performing fast? Each disk has 4 metrics: Read Cache Read Latency, Read Cache Write Latency, Write Buffer Write Latency, Write Buffer Read Latency. Since there are 20 disks, you need to check 80 </w:t>
      </w:r>
      <w:r w:rsidR="008D3A3F">
        <w:rPr>
          <w:lang w:val="en-GB"/>
        </w:rPr>
        <w:t>metrics</w:t>
      </w:r>
    </w:p>
    <w:p w14:paraId="1C730062" w14:textId="5111ED41" w:rsidR="004A1D68" w:rsidRPr="00A452F2" w:rsidRDefault="121DEEBE" w:rsidP="00B43BE6">
      <w:pPr>
        <w:pStyle w:val="Bullet"/>
        <w:rPr>
          <w:lang w:val="en-GB"/>
        </w:rPr>
      </w:pPr>
      <w:r w:rsidRPr="4CAB3972">
        <w:rPr>
          <w:lang w:val="en-GB"/>
        </w:rPr>
        <w:t>Are</w:t>
      </w:r>
      <w:r w:rsidR="004A1D68" w:rsidRPr="4CAB3972">
        <w:rPr>
          <w:lang w:val="en-GB"/>
        </w:rPr>
        <w:t xml:space="preserve"> the Capacity Disks performing fast? Check both Read and Write latency</w:t>
      </w:r>
      <w:r w:rsidR="004F4F76">
        <w:rPr>
          <w:lang w:val="en-GB"/>
        </w:rPr>
        <w:t xml:space="preserve"> as they typically have different results.</w:t>
      </w:r>
      <w:r w:rsidR="004F4F76">
        <w:rPr>
          <w:lang w:val="en-GB"/>
        </w:rPr>
        <w:br/>
        <w:t xml:space="preserve">In our example above, there are </w:t>
      </w:r>
      <w:r w:rsidR="004A1D68" w:rsidRPr="4CAB3972">
        <w:rPr>
          <w:lang w:val="en-GB"/>
        </w:rPr>
        <w:t xml:space="preserve">120 x 2 = 240 </w:t>
      </w:r>
      <w:r w:rsidR="008D3A3F">
        <w:rPr>
          <w:lang w:val="en-GB"/>
        </w:rPr>
        <w:t>metrics</w:t>
      </w:r>
      <w:r w:rsidR="004A1D68" w:rsidRPr="4CAB3972">
        <w:rPr>
          <w:lang w:val="en-GB"/>
        </w:rPr>
        <w:t>.</w:t>
      </w:r>
    </w:p>
    <w:p w14:paraId="02E266AE" w14:textId="4D52E361" w:rsidR="004A1D68" w:rsidRPr="00A452F2" w:rsidRDefault="004A1D68" w:rsidP="00B43BE6">
      <w:pPr>
        <w:pStyle w:val="Bullet"/>
        <w:rPr>
          <w:lang w:val="en-GB"/>
        </w:rPr>
      </w:pPr>
      <w:r w:rsidRPr="4CAB3972">
        <w:rPr>
          <w:lang w:val="en-GB"/>
        </w:rPr>
        <w:t>Is any of the Disk Group</w:t>
      </w:r>
      <w:r w:rsidR="004F4F76">
        <w:rPr>
          <w:lang w:val="en-GB"/>
        </w:rPr>
        <w:t>s</w:t>
      </w:r>
      <w:r w:rsidRPr="4CAB3972">
        <w:rPr>
          <w:lang w:val="en-GB"/>
        </w:rPr>
        <w:t xml:space="preserve"> running low on space?</w:t>
      </w:r>
    </w:p>
    <w:p w14:paraId="4289C1BB" w14:textId="021F8B72" w:rsidR="004A1D68" w:rsidRPr="00A452F2" w:rsidRDefault="004A1D68" w:rsidP="00B43BE6">
      <w:pPr>
        <w:pStyle w:val="Bullet"/>
        <w:rPr>
          <w:lang w:val="en-GB"/>
        </w:rPr>
      </w:pPr>
      <w:r w:rsidRPr="4CAB3972">
        <w:rPr>
          <w:lang w:val="en-GB"/>
        </w:rPr>
        <w:t>Is any of the Disk Group</w:t>
      </w:r>
      <w:r w:rsidR="004F4F76">
        <w:rPr>
          <w:lang w:val="en-GB"/>
        </w:rPr>
        <w:t>s</w:t>
      </w:r>
      <w:r w:rsidRPr="4CAB3972">
        <w:rPr>
          <w:lang w:val="en-GB"/>
        </w:rPr>
        <w:t xml:space="preserve"> facing congestion? You want to check both the max and count the number of occurrences &gt; </w:t>
      </w:r>
      <w:r w:rsidR="00C01886">
        <w:rPr>
          <w:lang w:val="en-GB"/>
        </w:rPr>
        <w:t>5</w:t>
      </w:r>
      <w:r w:rsidRPr="4CAB3972">
        <w:rPr>
          <w:lang w:val="en-GB"/>
        </w:rPr>
        <w:t>0</w:t>
      </w:r>
      <w:r w:rsidR="00C01886">
        <w:rPr>
          <w:lang w:val="en-GB"/>
        </w:rPr>
        <w:t xml:space="preserve"> or 60</w:t>
      </w:r>
      <w:r w:rsidRPr="4CAB3972">
        <w:rPr>
          <w:lang w:val="en-GB"/>
        </w:rPr>
        <w:t>.</w:t>
      </w:r>
      <w:r w:rsidR="0092320A">
        <w:rPr>
          <w:lang w:val="en-GB"/>
        </w:rPr>
        <w:t xml:space="preserve"> Congestion is an internal vSAN </w:t>
      </w:r>
      <w:r w:rsidR="008D3A3F">
        <w:rPr>
          <w:lang w:val="en-GB"/>
        </w:rPr>
        <w:t>metrics</w:t>
      </w:r>
      <w:r w:rsidR="0092320A">
        <w:rPr>
          <w:lang w:val="en-GB"/>
        </w:rPr>
        <w:t xml:space="preserve">. </w:t>
      </w:r>
      <w:r w:rsidR="00620896">
        <w:rPr>
          <w:lang w:val="en-GB"/>
        </w:rPr>
        <w:t xml:space="preserve">Congestion can happen at relatively low IOPS if the </w:t>
      </w:r>
      <w:r w:rsidR="0092320A">
        <w:rPr>
          <w:lang w:val="en-GB"/>
        </w:rPr>
        <w:t>throughput</w:t>
      </w:r>
      <w:r w:rsidR="00620896">
        <w:rPr>
          <w:lang w:val="en-GB"/>
        </w:rPr>
        <w:t xml:space="preserve"> is high (due to large block size).</w:t>
      </w:r>
    </w:p>
    <w:p w14:paraId="39D9F655" w14:textId="77777777" w:rsidR="004A1D68" w:rsidRPr="00A452F2" w:rsidRDefault="004A1D68" w:rsidP="00B43BE6">
      <w:pPr>
        <w:pStyle w:val="Bullet"/>
        <w:rPr>
          <w:lang w:val="en-GB"/>
        </w:rPr>
      </w:pPr>
      <w:r w:rsidRPr="00A452F2">
        <w:rPr>
          <w:lang w:val="en-GB"/>
        </w:rPr>
        <w:t>Is there outstanding IO on any of the Disk Group?</w:t>
      </w:r>
    </w:p>
    <w:p w14:paraId="0EC60E71" w14:textId="284E55BC" w:rsidR="009C019C" w:rsidRDefault="004A1D68" w:rsidP="00B43BE6">
      <w:pPr>
        <w:rPr>
          <w:lang w:val="en-GB"/>
        </w:rPr>
      </w:pPr>
      <w:r w:rsidRPr="4CAB3972">
        <w:rPr>
          <w:lang w:val="en-GB"/>
        </w:rPr>
        <w:lastRenderedPageBreak/>
        <w:t xml:space="preserve">If you add them </w:t>
      </w:r>
      <w:r w:rsidR="52694178" w:rsidRPr="4CAB3972">
        <w:rPr>
          <w:lang w:val="en-GB"/>
        </w:rPr>
        <w:t>up</w:t>
      </w:r>
      <w:r w:rsidRPr="4CAB3972">
        <w:rPr>
          <w:lang w:val="en-GB"/>
        </w:rPr>
        <w:t xml:space="preserve">, you are looking at 530 metrics for this vSAN cluster. And that’s just 1 point in time. </w:t>
      </w:r>
      <w:r w:rsidR="009C019C" w:rsidRPr="4CAB3972">
        <w:rPr>
          <w:lang w:val="en-GB"/>
        </w:rPr>
        <w:t xml:space="preserve">It will be difficult to show hundreds of datapoint on a screen, even if you can </w:t>
      </w:r>
      <w:r w:rsidRPr="4CAB3972">
        <w:rPr>
          <w:lang w:val="en-GB"/>
        </w:rPr>
        <w:t>color</w:t>
      </w:r>
      <w:r w:rsidR="009C019C" w:rsidRPr="4CAB3972">
        <w:rPr>
          <w:lang w:val="en-GB"/>
        </w:rPr>
        <w:t xml:space="preserve"> code them all. We need a way to zoom in on the early warning.</w:t>
      </w:r>
    </w:p>
    <w:p w14:paraId="79CBEBB9" w14:textId="38220C13" w:rsidR="004A1D68" w:rsidRPr="00A452F2" w:rsidRDefault="009C019C" w:rsidP="00B43BE6">
      <w:pPr>
        <w:rPr>
          <w:lang w:val="en-GB"/>
        </w:rPr>
      </w:pPr>
      <w:r>
        <w:rPr>
          <w:lang w:val="en-GB"/>
        </w:rPr>
        <w:t xml:space="preserve">The above is just a point in time. What if you want to see the trend </w:t>
      </w:r>
      <w:r w:rsidRPr="003E26CE">
        <w:rPr>
          <w:i/>
          <w:iCs/>
          <w:color w:val="00B0F0"/>
          <w:lang w:val="en-GB"/>
        </w:rPr>
        <w:t>over time</w:t>
      </w:r>
      <w:r>
        <w:rPr>
          <w:lang w:val="en-GB"/>
        </w:rPr>
        <w:t xml:space="preserve">? </w:t>
      </w:r>
      <w:r w:rsidR="004A1D68" w:rsidRPr="00A452F2">
        <w:rPr>
          <w:lang w:val="en-GB"/>
        </w:rPr>
        <w:t xml:space="preserve">In 1 </w:t>
      </w:r>
      <w:r w:rsidR="003E26CE" w:rsidRPr="00A452F2">
        <w:rPr>
          <w:lang w:val="en-GB"/>
        </w:rPr>
        <w:t>month,</w:t>
      </w:r>
      <w:r w:rsidR="004A1D68" w:rsidRPr="00A452F2">
        <w:rPr>
          <w:lang w:val="en-GB"/>
        </w:rPr>
        <w:t xml:space="preserve"> </w:t>
      </w:r>
      <w:r w:rsidR="004A1D68">
        <w:rPr>
          <w:lang w:val="en-GB"/>
        </w:rPr>
        <w:t>you are</w:t>
      </w:r>
      <w:r w:rsidR="004A1D68" w:rsidRPr="00A452F2">
        <w:rPr>
          <w:lang w:val="en-GB"/>
        </w:rPr>
        <w:t xml:space="preserve"> looking at 530 x 8766 = 4.6+ million data points</w:t>
      </w:r>
      <w:r>
        <w:rPr>
          <w:lang w:val="en-GB"/>
        </w:rPr>
        <w:t>. And that’s just</w:t>
      </w:r>
      <w:r w:rsidR="00331F5A">
        <w:rPr>
          <w:lang w:val="en-GB"/>
        </w:rPr>
        <w:t xml:space="preserve"> for</w:t>
      </w:r>
      <w:r>
        <w:rPr>
          <w:lang w:val="en-GB"/>
        </w:rPr>
        <w:t xml:space="preserve"> 1 cluster. So there is a need for a better technique.</w:t>
      </w:r>
    </w:p>
    <w:p w14:paraId="5640EA9A" w14:textId="5503488E" w:rsidR="004A1D68" w:rsidRPr="00A452F2" w:rsidRDefault="009C019C" w:rsidP="00B43BE6">
      <w:pPr>
        <w:rPr>
          <w:lang w:val="en-GB"/>
        </w:rPr>
      </w:pPr>
      <w:r w:rsidRPr="4CAB3972">
        <w:rPr>
          <w:lang w:val="en-GB"/>
        </w:rPr>
        <w:t xml:space="preserve">vRealize Operations use the formula </w:t>
      </w:r>
      <w:r w:rsidR="004A1D68" w:rsidRPr="4CAB3972">
        <w:rPr>
          <w:lang w:val="en-GB"/>
        </w:rPr>
        <w:t>Min</w:t>
      </w:r>
      <w:r w:rsidRPr="4CAB3972">
        <w:rPr>
          <w:lang w:val="en-GB"/>
        </w:rPr>
        <w:t>()</w:t>
      </w:r>
      <w:r w:rsidR="004A1D68" w:rsidRPr="4CAB3972">
        <w:rPr>
          <w:lang w:val="en-GB"/>
        </w:rPr>
        <w:t>, Max</w:t>
      </w:r>
      <w:r w:rsidRPr="4CAB3972">
        <w:rPr>
          <w:lang w:val="en-GB"/>
        </w:rPr>
        <w:t>()</w:t>
      </w:r>
      <w:r w:rsidR="004A1D68" w:rsidRPr="4CAB3972">
        <w:rPr>
          <w:lang w:val="en-GB"/>
        </w:rPr>
        <w:t xml:space="preserve">, </w:t>
      </w:r>
      <w:r w:rsidRPr="4CAB3972">
        <w:rPr>
          <w:lang w:val="en-GB"/>
        </w:rPr>
        <w:t xml:space="preserve">and </w:t>
      </w:r>
      <w:r w:rsidR="004A1D68" w:rsidRPr="4CAB3972">
        <w:rPr>
          <w:lang w:val="en-GB"/>
        </w:rPr>
        <w:t>Count</w:t>
      </w:r>
      <w:r w:rsidRPr="4CAB3972">
        <w:rPr>
          <w:lang w:val="en-GB"/>
        </w:rPr>
        <w:t xml:space="preserve">() to </w:t>
      </w:r>
      <w:r w:rsidR="004A1D68" w:rsidRPr="4CAB3972">
        <w:rPr>
          <w:lang w:val="en-GB"/>
        </w:rPr>
        <w:t xml:space="preserve">pick the early warning. This was covered earlier in </w:t>
      </w:r>
      <w:hyperlink w:anchor="_Depth_vs_Breadth">
        <w:r w:rsidR="004A1D68" w:rsidRPr="4CAB3972">
          <w:rPr>
            <w:rStyle w:val="Hyperlink"/>
            <w:lang w:val="en-GB"/>
          </w:rPr>
          <w:t>this section</w:t>
        </w:r>
      </w:hyperlink>
      <w:r w:rsidR="004A1D68" w:rsidRPr="4CAB3972">
        <w:rPr>
          <w:lang w:val="en-GB"/>
        </w:rPr>
        <w:t xml:space="preserve">. </w:t>
      </w:r>
      <w:r w:rsidRPr="4CAB3972">
        <w:rPr>
          <w:lang w:val="en-GB"/>
        </w:rPr>
        <w:t xml:space="preserve">It combines the key metrics into a set of KPI. With </w:t>
      </w:r>
      <w:r w:rsidR="52913EFC" w:rsidRPr="4CAB3972">
        <w:rPr>
          <w:lang w:val="en-GB"/>
        </w:rPr>
        <w:t xml:space="preserve">these </w:t>
      </w:r>
      <w:r w:rsidRPr="4CAB3972">
        <w:rPr>
          <w:lang w:val="en-GB"/>
        </w:rPr>
        <w:t>vSAN KPI</w:t>
      </w:r>
      <w:r w:rsidR="26BA2CAA" w:rsidRPr="4CAB3972">
        <w:rPr>
          <w:lang w:val="en-GB"/>
        </w:rPr>
        <w:t>s</w:t>
      </w:r>
      <w:r w:rsidRPr="4CAB3972">
        <w:rPr>
          <w:lang w:val="en-GB"/>
        </w:rPr>
        <w:t xml:space="preserve">, </w:t>
      </w:r>
      <w:r w:rsidR="004A1D68" w:rsidRPr="4CAB3972">
        <w:rPr>
          <w:lang w:val="en-GB"/>
        </w:rPr>
        <w:t>you only have 12 metrics to check instead of 530, without losing any insight. In fact, you get better early warning, as we hide the average. Early Warning is critical as buying hardware is more than a trip to local DIY hardware store.</w:t>
      </w:r>
    </w:p>
    <w:p w14:paraId="1375006C" w14:textId="3C9DD17F" w:rsidR="004A1D68" w:rsidRDefault="004A1D68" w:rsidP="00B43BE6">
      <w:pPr>
        <w:rPr>
          <w:lang w:val="en-GB"/>
        </w:rPr>
      </w:pPr>
      <w:r w:rsidRPr="00A452F2">
        <w:rPr>
          <w:lang w:val="en-GB"/>
        </w:rPr>
        <w:t xml:space="preserve">The following tables show the KPIs and their formula. </w:t>
      </w:r>
    </w:p>
    <w:p w14:paraId="0D7AD725" w14:textId="77777777" w:rsidR="005F45EE" w:rsidRDefault="005F45EE" w:rsidP="00B43BE6">
      <w:pPr>
        <w:pStyle w:val="BeforeTable"/>
        <w:rPr>
          <w:lang w:val="en-GB"/>
        </w:rPr>
      </w:pPr>
    </w:p>
    <w:tbl>
      <w:tblPr>
        <w:tblStyle w:val="GridTable1Light-Accent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119"/>
        <w:gridCol w:w="7347"/>
      </w:tblGrid>
      <w:tr w:rsidR="005F45EE" w:rsidRPr="00C75D56" w14:paraId="568A38E8" w14:textId="77777777" w:rsidTr="00331F5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9" w:type="dxa"/>
            <w:tcBorders>
              <w:bottom w:val="none" w:sz="0" w:space="0" w:color="auto"/>
            </w:tcBorders>
            <w:shd w:val="clear" w:color="auto" w:fill="F2F2F2" w:themeFill="background1" w:themeFillShade="F2"/>
          </w:tcPr>
          <w:p w14:paraId="48CCB137" w14:textId="6A8EA068" w:rsidR="005F45EE" w:rsidRPr="005F45EE" w:rsidRDefault="005F45EE" w:rsidP="00B43BE6">
            <w:pPr>
              <w:pStyle w:val="Tablecontent"/>
            </w:pPr>
            <w:r w:rsidRPr="005F45EE">
              <w:t>Name</w:t>
            </w:r>
          </w:p>
        </w:tc>
        <w:tc>
          <w:tcPr>
            <w:tcW w:w="7347" w:type="dxa"/>
            <w:tcBorders>
              <w:bottom w:val="none" w:sz="0" w:space="0" w:color="auto"/>
            </w:tcBorders>
            <w:shd w:val="clear" w:color="auto" w:fill="F2F2F2" w:themeFill="background1" w:themeFillShade="F2"/>
          </w:tcPr>
          <w:p w14:paraId="6A5B95AF" w14:textId="7CAC94F0" w:rsidR="005F45EE" w:rsidRPr="005F45EE" w:rsidRDefault="005F45EE" w:rsidP="00B43BE6">
            <w:pPr>
              <w:pStyle w:val="Tablecontent"/>
              <w:cnfStyle w:val="100000000000" w:firstRow="1" w:lastRow="0" w:firstColumn="0" w:lastColumn="0" w:oddVBand="0" w:evenVBand="0" w:oddHBand="0" w:evenHBand="0" w:firstRowFirstColumn="0" w:firstRowLastColumn="0" w:lastRowFirstColumn="0" w:lastRowLastColumn="0"/>
            </w:pPr>
            <w:r w:rsidRPr="005F45EE">
              <w:t>What it is</w:t>
            </w:r>
          </w:p>
        </w:tc>
      </w:tr>
      <w:tr w:rsidR="005F45EE" w:rsidRPr="00C75D56" w14:paraId="6B21DE82" w14:textId="77777777" w:rsidTr="00E440AB">
        <w:tc>
          <w:tcPr>
            <w:cnfStyle w:val="001000000000" w:firstRow="0" w:lastRow="0" w:firstColumn="1" w:lastColumn="0" w:oddVBand="0" w:evenVBand="0" w:oddHBand="0" w:evenHBand="0" w:firstRowFirstColumn="0" w:firstRowLastColumn="0" w:lastRowFirstColumn="0" w:lastRowLastColumn="0"/>
            <w:tcW w:w="3119" w:type="dxa"/>
          </w:tcPr>
          <w:p w14:paraId="79A32A65" w14:textId="03DAAF41" w:rsidR="005F45EE" w:rsidRPr="005F45EE" w:rsidRDefault="005F45EE" w:rsidP="00B43BE6">
            <w:pPr>
              <w:pStyle w:val="Tablecontent"/>
              <w:rPr>
                <w:b w:val="0"/>
                <w:bCs w:val="0"/>
              </w:rPr>
            </w:pPr>
            <w:r w:rsidRPr="005F45EE">
              <w:rPr>
                <w:b w:val="0"/>
                <w:bCs w:val="0"/>
              </w:rPr>
              <w:t>Max Capacity Disk Latency (ms)</w:t>
            </w:r>
          </w:p>
        </w:tc>
        <w:tc>
          <w:tcPr>
            <w:tcW w:w="7347" w:type="dxa"/>
          </w:tcPr>
          <w:p w14:paraId="039E4DF8" w14:textId="77821206" w:rsidR="005F45EE" w:rsidRPr="005F45EE" w:rsidRDefault="005F45EE" w:rsidP="00B43BE6">
            <w:pPr>
              <w:pStyle w:val="Tablecontent"/>
              <w:cnfStyle w:val="000000000000" w:firstRow="0" w:lastRow="0" w:firstColumn="0" w:lastColumn="0" w:oddVBand="0" w:evenVBand="0" w:oddHBand="0" w:evenHBand="0" w:firstRowFirstColumn="0" w:firstRowLastColumn="0" w:lastRowFirstColumn="0" w:lastRowLastColumn="0"/>
            </w:pPr>
            <w:r w:rsidRPr="005F45EE">
              <w:t>Highest Latency among all Capacity Disks. We take the worst, not average, as the latency in a single Capacity Disk is already an average of all its VMs. If there are 50 VMs on the disk, and 30 are issuing IO on it, then it’s a average among 30.</w:t>
            </w:r>
          </w:p>
        </w:tc>
      </w:tr>
      <w:tr w:rsidR="005F45EE" w:rsidRPr="00C75D56" w14:paraId="155F0AD0" w14:textId="77777777" w:rsidTr="00E440AB">
        <w:tc>
          <w:tcPr>
            <w:cnfStyle w:val="001000000000" w:firstRow="0" w:lastRow="0" w:firstColumn="1" w:lastColumn="0" w:oddVBand="0" w:evenVBand="0" w:oddHBand="0" w:evenHBand="0" w:firstRowFirstColumn="0" w:firstRowLastColumn="0" w:lastRowFirstColumn="0" w:lastRowLastColumn="0"/>
            <w:tcW w:w="3119" w:type="dxa"/>
          </w:tcPr>
          <w:p w14:paraId="45C41E0D" w14:textId="53FA5FF9" w:rsidR="005F45EE" w:rsidRPr="005F45EE" w:rsidRDefault="005F45EE" w:rsidP="00B43BE6">
            <w:pPr>
              <w:pStyle w:val="Tablecontent"/>
              <w:rPr>
                <w:b w:val="0"/>
                <w:bCs w:val="0"/>
              </w:rPr>
            </w:pPr>
            <w:r w:rsidRPr="005F45EE">
              <w:rPr>
                <w:b w:val="0"/>
                <w:bCs w:val="0"/>
              </w:rPr>
              <w:t>Min Disk Group Write Buffer Free (%)</w:t>
            </w:r>
          </w:p>
        </w:tc>
        <w:tc>
          <w:tcPr>
            <w:tcW w:w="7347" w:type="dxa"/>
          </w:tcPr>
          <w:p w14:paraId="0FC1B590" w14:textId="4740AD98" w:rsidR="005F45EE" w:rsidRPr="005F45EE" w:rsidRDefault="005F45EE" w:rsidP="00B43BE6">
            <w:pPr>
              <w:pStyle w:val="Tablecontent"/>
              <w:cnfStyle w:val="000000000000" w:firstRow="0" w:lastRow="0" w:firstColumn="0" w:lastColumn="0" w:oddVBand="0" w:evenVBand="0" w:oddHBand="0" w:evenHBand="0" w:firstRowFirstColumn="0" w:firstRowLastColumn="0" w:lastRowFirstColumn="0" w:lastRowLastColumn="0"/>
            </w:pPr>
            <w:r w:rsidRPr="005F45EE">
              <w:t>Lowest free capacity among all the Disk Group Write Buffers. If this number is low, one of your buffer is not enough. While you want to maximize your cache, a low number is an early warning for capacity management.</w:t>
            </w:r>
          </w:p>
        </w:tc>
      </w:tr>
      <w:tr w:rsidR="005F45EE" w:rsidRPr="00C75D56" w14:paraId="1C968178" w14:textId="77777777" w:rsidTr="00E440AB">
        <w:tc>
          <w:tcPr>
            <w:cnfStyle w:val="001000000000" w:firstRow="0" w:lastRow="0" w:firstColumn="1" w:lastColumn="0" w:oddVBand="0" w:evenVBand="0" w:oddHBand="0" w:evenHBand="0" w:firstRowFirstColumn="0" w:firstRowLastColumn="0" w:lastRowFirstColumn="0" w:lastRowLastColumn="0"/>
            <w:tcW w:w="3119" w:type="dxa"/>
          </w:tcPr>
          <w:p w14:paraId="7D523627" w14:textId="17508DC4" w:rsidR="005F45EE" w:rsidRPr="005F45EE" w:rsidRDefault="005F45EE" w:rsidP="00B43BE6">
            <w:pPr>
              <w:pStyle w:val="Tablecontent"/>
              <w:rPr>
                <w:b w:val="0"/>
                <w:bCs w:val="0"/>
              </w:rPr>
            </w:pPr>
            <w:r w:rsidRPr="005F45EE">
              <w:rPr>
                <w:b w:val="0"/>
                <w:bCs w:val="0"/>
              </w:rPr>
              <w:t>Max Disk Group Read Cache/Write Buffer Latency (ms)</w:t>
            </w:r>
          </w:p>
        </w:tc>
        <w:tc>
          <w:tcPr>
            <w:tcW w:w="7347" w:type="dxa"/>
          </w:tcPr>
          <w:p w14:paraId="55F46A15" w14:textId="12243841" w:rsidR="005F45EE" w:rsidRPr="005F45EE" w:rsidRDefault="005F45EE" w:rsidP="00B43BE6">
            <w:pPr>
              <w:pStyle w:val="Tablecontent"/>
              <w:cnfStyle w:val="000000000000" w:firstRow="0" w:lastRow="0" w:firstColumn="0" w:lastColumn="0" w:oddVBand="0" w:evenVBand="0" w:oddHBand="0" w:evenHBand="0" w:firstRowFirstColumn="0" w:firstRowLastColumn="0" w:lastRowFirstColumn="0" w:lastRowLastColumn="0"/>
            </w:pPr>
            <w:r w:rsidRPr="005F45EE">
              <w:t>Each disk has Read Cache Read Latency, Read Cache Write Latency (for writing into cache), Write Buffer Write Latency, Write Buffer Read Latency (for de</w:t>
            </w:r>
            <w:r w:rsidR="002B0800">
              <w:t>-</w:t>
            </w:r>
            <w:r w:rsidRPr="005F45EE">
              <w:t>staging purpose). This takes the highest among these 4 numbers, then the highest among all disk groups. It’s the Max of Max, because each of 4 datapoint is average of all the VMs on it.</w:t>
            </w:r>
          </w:p>
        </w:tc>
      </w:tr>
      <w:tr w:rsidR="005F45EE" w:rsidRPr="00C75D56" w14:paraId="0B8245D2" w14:textId="77777777" w:rsidTr="00E440AB">
        <w:tc>
          <w:tcPr>
            <w:cnfStyle w:val="001000000000" w:firstRow="0" w:lastRow="0" w:firstColumn="1" w:lastColumn="0" w:oddVBand="0" w:evenVBand="0" w:oddHBand="0" w:evenHBand="0" w:firstRowFirstColumn="0" w:firstRowLastColumn="0" w:lastRowFirstColumn="0" w:lastRowLastColumn="0"/>
            <w:tcW w:w="3119" w:type="dxa"/>
          </w:tcPr>
          <w:p w14:paraId="07229BDC" w14:textId="34A93EE6" w:rsidR="005F45EE" w:rsidRPr="005F45EE" w:rsidRDefault="005F45EE" w:rsidP="00B43BE6">
            <w:pPr>
              <w:pStyle w:val="Tablecontent"/>
              <w:rPr>
                <w:b w:val="0"/>
                <w:bCs w:val="0"/>
              </w:rPr>
            </w:pPr>
            <w:r w:rsidRPr="005F45EE">
              <w:rPr>
                <w:b w:val="0"/>
                <w:bCs w:val="0"/>
              </w:rPr>
              <w:t>Sum Disk Group Errors</w:t>
            </w:r>
          </w:p>
        </w:tc>
        <w:tc>
          <w:tcPr>
            <w:tcW w:w="7347" w:type="dxa"/>
          </w:tcPr>
          <w:p w14:paraId="55C1EBDC" w14:textId="5BDEBB38" w:rsidR="005F45EE" w:rsidRPr="005F45EE" w:rsidRDefault="005F45EE" w:rsidP="00B43BE6">
            <w:pPr>
              <w:pStyle w:val="Tablecontent"/>
              <w:cnfStyle w:val="000000000000" w:firstRow="0" w:lastRow="0" w:firstColumn="0" w:lastColumn="0" w:oddVBand="0" w:evenVBand="0" w:oddHBand="0" w:evenHBand="0" w:firstRowFirstColumn="0" w:firstRowLastColumn="0" w:lastRowFirstColumn="0" w:lastRowLastColumn="0"/>
            </w:pPr>
            <w:r w:rsidRPr="005F45EE">
              <w:t xml:space="preserve">Sum of Bus Reset + Sum of Commands Aborted among all the Disk Groups. We sum, not get the max, as each member should return 0. </w:t>
            </w:r>
          </w:p>
        </w:tc>
      </w:tr>
      <w:tr w:rsidR="005F45EE" w:rsidRPr="00C75D56" w14:paraId="239F463E" w14:textId="77777777" w:rsidTr="00E440AB">
        <w:tc>
          <w:tcPr>
            <w:cnfStyle w:val="001000000000" w:firstRow="0" w:lastRow="0" w:firstColumn="1" w:lastColumn="0" w:oddVBand="0" w:evenVBand="0" w:oddHBand="0" w:evenHBand="0" w:firstRowFirstColumn="0" w:firstRowLastColumn="0" w:lastRowFirstColumn="0" w:lastRowLastColumn="0"/>
            <w:tcW w:w="3119" w:type="dxa"/>
          </w:tcPr>
          <w:p w14:paraId="0532C85A" w14:textId="0AC13FFE" w:rsidR="005F45EE" w:rsidRPr="005F45EE" w:rsidRDefault="005F45EE" w:rsidP="00B43BE6">
            <w:pPr>
              <w:pStyle w:val="Tablecontent"/>
              <w:rPr>
                <w:b w:val="0"/>
                <w:bCs w:val="0"/>
              </w:rPr>
            </w:pPr>
            <w:r w:rsidRPr="005F45EE">
              <w:rPr>
                <w:b w:val="0"/>
                <w:bCs w:val="0"/>
              </w:rPr>
              <w:t>Count Disk Group Congestion Above 60</w:t>
            </w:r>
          </w:p>
        </w:tc>
        <w:tc>
          <w:tcPr>
            <w:tcW w:w="7347" w:type="dxa"/>
          </w:tcPr>
          <w:p w14:paraId="083CE80F" w14:textId="5532AB49" w:rsidR="005F45EE" w:rsidRPr="005F45EE" w:rsidRDefault="005F45EE" w:rsidP="00B43BE6">
            <w:pPr>
              <w:pStyle w:val="Tablecontent"/>
              <w:cnfStyle w:val="000000000000" w:firstRow="0" w:lastRow="0" w:firstColumn="0" w:lastColumn="0" w:oddVBand="0" w:evenVBand="0" w:oddHBand="0" w:evenHBand="0" w:firstRowFirstColumn="0" w:firstRowLastColumn="0" w:lastRowFirstColumn="0" w:lastRowLastColumn="0"/>
            </w:pPr>
            <w:r w:rsidRPr="005F45EE">
              <w:t xml:space="preserve">The number of Disk Group congestion greater than 60. 60 is hardcoded in the MP as it’s good starting point. As any congestion above 60 serves as early warning, we count how many of such </w:t>
            </w:r>
            <w:r w:rsidR="008201EF" w:rsidRPr="005F45EE">
              <w:t>occurrence</w:t>
            </w:r>
            <w:r w:rsidRPr="005F45EE">
              <w:t xml:space="preserve"> happens.</w:t>
            </w:r>
          </w:p>
        </w:tc>
      </w:tr>
      <w:tr w:rsidR="005F45EE" w:rsidRPr="00C75D56" w14:paraId="71814AC2" w14:textId="77777777" w:rsidTr="00E440AB">
        <w:tc>
          <w:tcPr>
            <w:cnfStyle w:val="001000000000" w:firstRow="0" w:lastRow="0" w:firstColumn="1" w:lastColumn="0" w:oddVBand="0" w:evenVBand="0" w:oddHBand="0" w:evenHBand="0" w:firstRowFirstColumn="0" w:firstRowLastColumn="0" w:lastRowFirstColumn="0" w:lastRowLastColumn="0"/>
            <w:tcW w:w="3119" w:type="dxa"/>
          </w:tcPr>
          <w:p w14:paraId="724F99F1" w14:textId="25F78C56" w:rsidR="005F45EE" w:rsidRPr="005F45EE" w:rsidRDefault="005F45EE" w:rsidP="00B43BE6">
            <w:pPr>
              <w:pStyle w:val="Tablecontent"/>
              <w:rPr>
                <w:b w:val="0"/>
                <w:bCs w:val="0"/>
              </w:rPr>
            </w:pPr>
            <w:r w:rsidRPr="005F45EE">
              <w:rPr>
                <w:b w:val="0"/>
                <w:bCs w:val="0"/>
              </w:rPr>
              <w:t>Max Disk Group Congestion</w:t>
            </w:r>
          </w:p>
        </w:tc>
        <w:tc>
          <w:tcPr>
            <w:tcW w:w="7347" w:type="dxa"/>
          </w:tcPr>
          <w:p w14:paraId="72D1B107" w14:textId="4FC31B51" w:rsidR="005F45EE" w:rsidRPr="005F45EE" w:rsidRDefault="005F45EE" w:rsidP="00B43BE6">
            <w:pPr>
              <w:pStyle w:val="Tablecontent"/>
              <w:cnfStyle w:val="000000000000" w:firstRow="0" w:lastRow="0" w:firstColumn="0" w:lastColumn="0" w:oddVBand="0" w:evenVBand="0" w:oddHBand="0" w:evenHBand="0" w:firstRowFirstColumn="0" w:firstRowLastColumn="0" w:lastRowFirstColumn="0" w:lastRowLastColumn="0"/>
            </w:pPr>
            <w:r w:rsidRPr="005F45EE">
              <w:t>The highest congestion among all the disk groups. A high number indicates at least 1 Disk Group is not performing</w:t>
            </w:r>
            <w:r w:rsidR="00AA4B29">
              <w:t xml:space="preserve">. See </w:t>
            </w:r>
            <w:hyperlink r:id="rId912" w:history="1">
              <w:r w:rsidR="00C01886" w:rsidRPr="00C01886">
                <w:rPr>
                  <w:rStyle w:val="Hyperlink"/>
                </w:rPr>
                <w:t>this KB</w:t>
              </w:r>
            </w:hyperlink>
            <w:r w:rsidR="00C01886">
              <w:t xml:space="preserve"> for details.</w:t>
            </w:r>
          </w:p>
        </w:tc>
      </w:tr>
      <w:tr w:rsidR="005F45EE" w:rsidRPr="00C75D56" w14:paraId="2B45FC2E" w14:textId="77777777" w:rsidTr="00E440AB">
        <w:tc>
          <w:tcPr>
            <w:cnfStyle w:val="001000000000" w:firstRow="0" w:lastRow="0" w:firstColumn="1" w:lastColumn="0" w:oddVBand="0" w:evenVBand="0" w:oddHBand="0" w:evenHBand="0" w:firstRowFirstColumn="0" w:firstRowLastColumn="0" w:lastRowFirstColumn="0" w:lastRowLastColumn="0"/>
            <w:tcW w:w="3119" w:type="dxa"/>
          </w:tcPr>
          <w:p w14:paraId="4534496C" w14:textId="464B44B0" w:rsidR="005F45EE" w:rsidRPr="005F45EE" w:rsidRDefault="005F45EE" w:rsidP="00B43BE6">
            <w:pPr>
              <w:pStyle w:val="Tablecontent"/>
              <w:rPr>
                <w:b w:val="0"/>
                <w:bCs w:val="0"/>
              </w:rPr>
            </w:pPr>
            <w:r w:rsidRPr="005F45EE">
              <w:rPr>
                <w:b w:val="0"/>
                <w:bCs w:val="0"/>
              </w:rPr>
              <w:t>Min Disk Group Capacity Free (%)</w:t>
            </w:r>
          </w:p>
        </w:tc>
        <w:tc>
          <w:tcPr>
            <w:tcW w:w="7347" w:type="dxa"/>
          </w:tcPr>
          <w:p w14:paraId="01F190A0" w14:textId="5096E708" w:rsidR="005F45EE" w:rsidRPr="005F45EE" w:rsidRDefault="005F45EE" w:rsidP="00B43BE6">
            <w:pPr>
              <w:pStyle w:val="Tablecontent"/>
              <w:cnfStyle w:val="000000000000" w:firstRow="0" w:lastRow="0" w:firstColumn="0" w:lastColumn="0" w:oddVBand="0" w:evenVBand="0" w:oddHBand="0" w:evenHBand="0" w:firstRowFirstColumn="0" w:firstRowLastColumn="0" w:lastRowFirstColumn="0" w:lastRowLastColumn="0"/>
            </w:pPr>
            <w:r w:rsidRPr="005F45EE">
              <w:t xml:space="preserve">The lowest free capacity among all disk groups. A low space will trigger rebalance. </w:t>
            </w:r>
          </w:p>
        </w:tc>
      </w:tr>
      <w:tr w:rsidR="005F45EE" w:rsidRPr="00C75D56" w14:paraId="06F452F6" w14:textId="77777777" w:rsidTr="00E440AB">
        <w:tc>
          <w:tcPr>
            <w:cnfStyle w:val="001000000000" w:firstRow="0" w:lastRow="0" w:firstColumn="1" w:lastColumn="0" w:oddVBand="0" w:evenVBand="0" w:oddHBand="0" w:evenHBand="0" w:firstRowFirstColumn="0" w:firstRowLastColumn="0" w:lastRowFirstColumn="0" w:lastRowLastColumn="0"/>
            <w:tcW w:w="3119" w:type="dxa"/>
          </w:tcPr>
          <w:p w14:paraId="7718928A" w14:textId="482A089B" w:rsidR="005F45EE" w:rsidRPr="005F45EE" w:rsidRDefault="005F45EE" w:rsidP="00B43BE6">
            <w:pPr>
              <w:pStyle w:val="Tablecontent"/>
              <w:rPr>
                <w:b w:val="0"/>
                <w:bCs w:val="0"/>
              </w:rPr>
            </w:pPr>
            <w:r w:rsidRPr="005F45EE">
              <w:rPr>
                <w:b w:val="0"/>
                <w:bCs w:val="0"/>
              </w:rPr>
              <w:t>Min Disk Group Read Cache Hit Rate (%)</w:t>
            </w:r>
          </w:p>
        </w:tc>
        <w:tc>
          <w:tcPr>
            <w:tcW w:w="7347" w:type="dxa"/>
          </w:tcPr>
          <w:p w14:paraId="04BAA263" w14:textId="0F98EEF7" w:rsidR="005F45EE" w:rsidRPr="005F45EE" w:rsidRDefault="005F45EE" w:rsidP="00B43BE6">
            <w:pPr>
              <w:pStyle w:val="Tablecontent"/>
              <w:cnfStyle w:val="000000000000" w:firstRow="0" w:lastRow="0" w:firstColumn="0" w:lastColumn="0" w:oddVBand="0" w:evenVBand="0" w:oddHBand="0" w:evenHBand="0" w:firstRowFirstColumn="0" w:firstRowLastColumn="0" w:lastRowFirstColumn="0" w:lastRowLastColumn="0"/>
            </w:pPr>
            <w:r w:rsidRPr="005F45EE">
              <w:t>The lowest hit rate among the disk group read cache. Ensure this number is high, indicating read is served by cache.</w:t>
            </w:r>
          </w:p>
        </w:tc>
      </w:tr>
      <w:tr w:rsidR="005F45EE" w:rsidRPr="00C75D56" w14:paraId="08B86D5B" w14:textId="77777777" w:rsidTr="00E440AB">
        <w:tc>
          <w:tcPr>
            <w:cnfStyle w:val="001000000000" w:firstRow="0" w:lastRow="0" w:firstColumn="1" w:lastColumn="0" w:oddVBand="0" w:evenVBand="0" w:oddHBand="0" w:evenHBand="0" w:firstRowFirstColumn="0" w:firstRowLastColumn="0" w:lastRowFirstColumn="0" w:lastRowLastColumn="0"/>
            <w:tcW w:w="3119" w:type="dxa"/>
          </w:tcPr>
          <w:p w14:paraId="524F8654" w14:textId="428DA540" w:rsidR="005F45EE" w:rsidRPr="005F45EE" w:rsidRDefault="005F45EE" w:rsidP="00B43BE6">
            <w:pPr>
              <w:pStyle w:val="Tablecontent"/>
              <w:rPr>
                <w:b w:val="0"/>
                <w:bCs w:val="0"/>
              </w:rPr>
            </w:pPr>
            <w:r w:rsidRPr="005F45EE">
              <w:rPr>
                <w:b w:val="0"/>
                <w:bCs w:val="0"/>
              </w:rPr>
              <w:t xml:space="preserve">Sum vSAN </w:t>
            </w:r>
            <w:r w:rsidR="002F7564" w:rsidRPr="005F45EE">
              <w:rPr>
                <w:b w:val="0"/>
                <w:bCs w:val="0"/>
              </w:rPr>
              <w:t>Port Group</w:t>
            </w:r>
            <w:r w:rsidRPr="005F45EE">
              <w:rPr>
                <w:b w:val="0"/>
                <w:bCs w:val="0"/>
              </w:rPr>
              <w:t xml:space="preserve"> Packets Dropped (%)</w:t>
            </w:r>
          </w:p>
        </w:tc>
        <w:tc>
          <w:tcPr>
            <w:tcW w:w="7347" w:type="dxa"/>
          </w:tcPr>
          <w:p w14:paraId="20682A9C" w14:textId="05B29E74" w:rsidR="008201EF" w:rsidRDefault="005F45EE" w:rsidP="00B43BE6">
            <w:pPr>
              <w:pStyle w:val="Tablecontent"/>
              <w:cnfStyle w:val="000000000000" w:firstRow="0" w:lastRow="0" w:firstColumn="0" w:lastColumn="0" w:oddVBand="0" w:evenVBand="0" w:oddHBand="0" w:evenHBand="0" w:firstRowFirstColumn="0" w:firstRowLastColumn="0" w:lastRowFirstColumn="0" w:lastRowLastColumn="0"/>
            </w:pPr>
            <w:r w:rsidRPr="005F45EE">
              <w:t xml:space="preserve">Sum of all vSAN </w:t>
            </w:r>
            <w:r w:rsidR="00FD5A65">
              <w:t>VMkernel</w:t>
            </w:r>
            <w:r w:rsidRPr="005F45EE">
              <w:t xml:space="preserve"> port RX Dropped Packet + TX Dropped Packet. </w:t>
            </w:r>
          </w:p>
          <w:p w14:paraId="4FE11390" w14:textId="139D9BA1" w:rsidR="005F45EE" w:rsidRPr="005F45EE" w:rsidRDefault="005F45EE" w:rsidP="00B43BE6">
            <w:pPr>
              <w:pStyle w:val="Tablecontent"/>
              <w:cnfStyle w:val="000000000000" w:firstRow="0" w:lastRow="0" w:firstColumn="0" w:lastColumn="0" w:oddVBand="0" w:evenVBand="0" w:oddHBand="0" w:evenHBand="0" w:firstRowFirstColumn="0" w:firstRowLastColumn="0" w:lastRowFirstColumn="0" w:lastRowLastColumn="0"/>
            </w:pPr>
            <w:r w:rsidRPr="005F45EE">
              <w:t>You should expect no dropped packet in your vSAN network</w:t>
            </w:r>
          </w:p>
        </w:tc>
      </w:tr>
    </w:tbl>
    <w:p w14:paraId="3E8E60DE" w14:textId="77777777" w:rsidR="008201EF" w:rsidRDefault="008201EF" w:rsidP="00B43BE6">
      <w:pPr>
        <w:pStyle w:val="BeforeTable"/>
      </w:pPr>
    </w:p>
    <w:p w14:paraId="1EA52CC3" w14:textId="37727F67" w:rsidR="009F356F" w:rsidRDefault="000D72C1" w:rsidP="00B43BE6">
      <w:pPr>
        <w:rPr>
          <w:lang w:val="en-GB"/>
        </w:rPr>
      </w:pPr>
      <w:r>
        <w:rPr>
          <w:lang w:val="en-GB"/>
        </w:rPr>
        <w:t xml:space="preserve">From the above, </w:t>
      </w:r>
      <w:r w:rsidR="00AE4D31">
        <w:rPr>
          <w:lang w:val="en-GB"/>
        </w:rPr>
        <w:t xml:space="preserve">we </w:t>
      </w:r>
      <w:r>
        <w:rPr>
          <w:lang w:val="en-GB"/>
        </w:rPr>
        <w:t>need to reduce it to a single metric</w:t>
      </w:r>
      <w:r w:rsidR="00AE4D31">
        <w:rPr>
          <w:lang w:val="en-GB"/>
        </w:rPr>
        <w:t xml:space="preserve"> so we can report many vSAN clusters. The following diagram shows why.</w:t>
      </w:r>
    </w:p>
    <w:p w14:paraId="4846768B" w14:textId="5C8EE8B4" w:rsidR="006A4BF6" w:rsidRDefault="00024B40" w:rsidP="00B43BE6">
      <w:pPr>
        <w:jc w:val="center"/>
        <w:rPr>
          <w:lang w:val="en-GB"/>
        </w:rPr>
      </w:pPr>
      <w:r w:rsidRPr="00024B40">
        <w:rPr>
          <w:noProof/>
          <w:lang w:val="en-GB"/>
        </w:rPr>
        <w:lastRenderedPageBreak/>
        <w:drawing>
          <wp:inline distT="0" distB="0" distL="0" distR="0" wp14:anchorId="31A9DD78" wp14:editId="02FB96DB">
            <wp:extent cx="6125534" cy="2178995"/>
            <wp:effectExtent l="0" t="0" r="8890" b="0"/>
            <wp:docPr id="1293284853" name="Picture 1293284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3"/>
                    <a:stretch>
                      <a:fillRect/>
                    </a:stretch>
                  </pic:blipFill>
                  <pic:spPr>
                    <a:xfrm>
                      <a:off x="0" y="0"/>
                      <a:ext cx="6130078" cy="2180611"/>
                    </a:xfrm>
                    <a:prstGeom prst="rect">
                      <a:avLst/>
                    </a:prstGeom>
                  </pic:spPr>
                </pic:pic>
              </a:graphicData>
            </a:graphic>
          </wp:inline>
        </w:drawing>
      </w:r>
    </w:p>
    <w:p w14:paraId="4C153149" w14:textId="77777777" w:rsidR="00C01886" w:rsidRDefault="00C01886" w:rsidP="00B43BE6">
      <w:pPr>
        <w:rPr>
          <w:lang w:val="en-GB"/>
        </w:rPr>
      </w:pPr>
    </w:p>
    <w:p w14:paraId="48E6D8D1" w14:textId="7B814F74" w:rsidR="00EB6B1D" w:rsidRDefault="00EB6B1D" w:rsidP="00875673">
      <w:pPr>
        <w:pStyle w:val="Heading5"/>
      </w:pPr>
      <w:r>
        <w:t>Congestion</w:t>
      </w:r>
    </w:p>
    <w:p w14:paraId="1084D6DD" w14:textId="77777777" w:rsidR="009476AF" w:rsidRDefault="009476AF" w:rsidP="00B43BE6">
      <w:pPr>
        <w:rPr>
          <w:rFonts w:eastAsiaTheme="minorEastAsia"/>
          <w:lang w:val="en-GB"/>
        </w:rPr>
      </w:pPr>
      <w:r>
        <w:rPr>
          <w:rFonts w:eastAsiaTheme="minorEastAsia"/>
          <w:lang w:val="en-GB"/>
        </w:rPr>
        <w:t xml:space="preserve">If you’re experiencing slowness, </w:t>
      </w:r>
      <w:hyperlink r:id="rId914" w:history="1">
        <w:r w:rsidRPr="008330C0">
          <w:rPr>
            <w:rStyle w:val="Hyperlink"/>
            <w:rFonts w:eastAsiaTheme="minorEastAsia"/>
            <w:lang w:val="en-GB"/>
          </w:rPr>
          <w:t>this KB article</w:t>
        </w:r>
      </w:hyperlink>
      <w:r>
        <w:rPr>
          <w:rFonts w:eastAsiaTheme="minorEastAsia"/>
          <w:lang w:val="en-GB"/>
        </w:rPr>
        <w:t xml:space="preserve"> provides more details on what to look. </w:t>
      </w:r>
    </w:p>
    <w:p w14:paraId="31BFCD8F" w14:textId="3276BEDC" w:rsidR="00A535B0" w:rsidRDefault="005A5290" w:rsidP="00B43BE6">
      <w:pPr>
        <w:rPr>
          <w:lang w:val="en-GB"/>
        </w:rPr>
      </w:pPr>
      <w:r w:rsidRPr="005A5290">
        <w:rPr>
          <w:lang w:val="en-GB"/>
        </w:rPr>
        <w:t xml:space="preserve">Congestion is a feedback mechanism to reduce the rate of incoming IO requests from the vSAN DOM client layer to a level that the vSAN disk groups can service. This reduction of the incoming IO request rate is done by introducing an IO delay that is equivalent to the delay the IO would have occurred due to the bottleneck at the lower layer. Thus, it is an effective way to shift latency from the lower layers to the ingress without changing the overall throughput of the system. This avoids unnecessary queuing and tail dropped queues in the vSAN LSOM layer and therefore avoids a lot of wasted CPU cycles in processing IO requests that might eventually be dropped. </w:t>
      </w:r>
    </w:p>
    <w:p w14:paraId="170AEEF3" w14:textId="3418AD5E" w:rsidR="00EB6B1D" w:rsidRDefault="005A5290" w:rsidP="00B43BE6">
      <w:pPr>
        <w:rPr>
          <w:lang w:val="en-GB"/>
        </w:rPr>
      </w:pPr>
      <w:r w:rsidRPr="005A5290">
        <w:rPr>
          <w:lang w:val="en-GB"/>
        </w:rPr>
        <w:t>Hence, regardless of the type of congestion, temporary and small values of congestion are usually OK, and not beneficial to the system performance. However, sustained and large values of congestion may lead to higher latency and lower throughput than desired, and therefore warrant attention and resolution in order to get a better benchmark performance.</w:t>
      </w:r>
    </w:p>
    <w:p w14:paraId="0E572B00" w14:textId="748ABE47" w:rsidR="00500705" w:rsidRDefault="00500705" w:rsidP="00B43BE6">
      <w:pPr>
        <w:pStyle w:val="Heading5"/>
      </w:pPr>
      <w:r>
        <w:t>Performance Troubleshooting</w:t>
      </w:r>
    </w:p>
    <w:p w14:paraId="5D9C023F" w14:textId="1F7D0E0D" w:rsidR="005B54B4" w:rsidRDefault="00500705" w:rsidP="00B43BE6">
      <w:pPr>
        <w:rPr>
          <w:lang w:val="en-GB"/>
        </w:rPr>
      </w:pPr>
      <w:r>
        <w:rPr>
          <w:lang w:val="en-GB"/>
        </w:rPr>
        <w:t xml:space="preserve">The above KPI metrics are good enough for monitoring. It tells you if there is a problem. To know what’s causing the problem, you need to deeper. The first step is to recognise that there are two broad layers: VM layer and back end layer. </w:t>
      </w:r>
    </w:p>
    <w:p w14:paraId="411946B6" w14:textId="042C26AA" w:rsidR="00500705" w:rsidRPr="00500705" w:rsidRDefault="00500705" w:rsidP="00B43BE6">
      <w:pPr>
        <w:rPr>
          <w:lang w:val="en-GB"/>
        </w:rPr>
      </w:pPr>
      <w:r>
        <w:rPr>
          <w:lang w:val="en-GB"/>
        </w:rPr>
        <w:t>I’ve put the two screens side by side for ease of comparison. What do you notice?</w:t>
      </w:r>
    </w:p>
    <w:p w14:paraId="01BA984D" w14:textId="2CD3FE9B" w:rsidR="00500705" w:rsidRDefault="00500705" w:rsidP="00B43BE6">
      <w:pPr>
        <w:rPr>
          <w:lang w:val="en-GB"/>
        </w:rPr>
      </w:pPr>
      <w:r>
        <w:rPr>
          <w:noProof/>
        </w:rPr>
        <w:lastRenderedPageBreak/>
        <w:drawing>
          <wp:inline distT="0" distB="0" distL="0" distR="0" wp14:anchorId="6E716FD4" wp14:editId="08D7030A">
            <wp:extent cx="6639559" cy="4155440"/>
            <wp:effectExtent l="0" t="0" r="8890" b="0"/>
            <wp:docPr id="606394359" name="Picture 606394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59"/>
                    <pic:cNvPicPr/>
                  </pic:nvPicPr>
                  <pic:blipFill>
                    <a:blip r:embed="rId915">
                      <a:extLst>
                        <a:ext uri="{28A0092B-C50C-407E-A947-70E740481C1C}">
                          <a14:useLocalDpi xmlns:a14="http://schemas.microsoft.com/office/drawing/2010/main" val="0"/>
                        </a:ext>
                      </a:extLst>
                    </a:blip>
                    <a:stretch>
                      <a:fillRect/>
                    </a:stretch>
                  </pic:blipFill>
                  <pic:spPr>
                    <a:xfrm>
                      <a:off x="0" y="0"/>
                      <a:ext cx="6639559" cy="4155440"/>
                    </a:xfrm>
                    <a:prstGeom prst="rect">
                      <a:avLst/>
                    </a:prstGeom>
                  </pic:spPr>
                </pic:pic>
              </a:graphicData>
            </a:graphic>
          </wp:inline>
        </w:drawing>
      </w:r>
    </w:p>
    <w:p w14:paraId="697C1567" w14:textId="218767CD" w:rsidR="00500705" w:rsidRDefault="00500705" w:rsidP="00B43BE6">
      <w:pPr>
        <w:rPr>
          <w:lang w:val="en-GB"/>
        </w:rPr>
      </w:pPr>
      <w:r>
        <w:rPr>
          <w:lang w:val="en-GB"/>
        </w:rPr>
        <w:t>Just like other storage subsystems, you will expect the latency &amp; outstanding IO at the backend layer to be lower. This is because it’s a subset of the entire path taken by the IO command of the VM.</w:t>
      </w:r>
    </w:p>
    <w:p w14:paraId="280C5F51" w14:textId="0BF3D1E9" w:rsidR="00FF2BA5" w:rsidRDefault="005B54B4" w:rsidP="00B43BE6">
      <w:pPr>
        <w:rPr>
          <w:lang w:val="en-GB"/>
        </w:rPr>
      </w:pPr>
      <w:r>
        <w:rPr>
          <w:lang w:val="en-GB"/>
        </w:rPr>
        <w:t xml:space="preserve">Let’s dive deeper to peel the layer. The following diagram </w:t>
      </w:r>
      <w:r w:rsidR="00FF2BA5">
        <w:rPr>
          <w:lang w:val="en-GB"/>
        </w:rPr>
        <w:t xml:space="preserve">shows the key components and how the latency </w:t>
      </w:r>
      <w:r w:rsidR="008D3A3F">
        <w:rPr>
          <w:lang w:val="en-GB"/>
        </w:rPr>
        <w:t>metrics</w:t>
      </w:r>
      <w:r w:rsidR="00FF2BA5">
        <w:rPr>
          <w:lang w:val="en-GB"/>
        </w:rPr>
        <w:t xml:space="preserve"> are measured. It visualizes the hardware and software component using different box style.</w:t>
      </w:r>
    </w:p>
    <w:p w14:paraId="6364CC43" w14:textId="0A2A020A" w:rsidR="00FF2BA5" w:rsidRDefault="00FF2BA5" w:rsidP="00B43BE6">
      <w:pPr>
        <w:pStyle w:val="Bullet"/>
        <w:rPr>
          <w:lang w:val="en-GB"/>
        </w:rPr>
      </w:pPr>
      <w:r>
        <w:rPr>
          <w:lang w:val="en-GB"/>
        </w:rPr>
        <w:t>Software: VM, vSAN software and Network kernel loadable module</w:t>
      </w:r>
    </w:p>
    <w:p w14:paraId="2C61BCE2" w14:textId="2E252073" w:rsidR="00FF2BA5" w:rsidRDefault="00FF2BA5" w:rsidP="00B43BE6">
      <w:pPr>
        <w:pStyle w:val="Bullet"/>
        <w:rPr>
          <w:lang w:val="en-GB"/>
        </w:rPr>
      </w:pPr>
      <w:r>
        <w:rPr>
          <w:lang w:val="en-GB"/>
        </w:rPr>
        <w:t xml:space="preserve">Hardware: IO Controller Card, Cache Disk, Capacity Disk, and Network Card </w:t>
      </w:r>
    </w:p>
    <w:p w14:paraId="62A5DB5E" w14:textId="7B9560B8" w:rsidR="005B54B4" w:rsidRDefault="00FF2BA5" w:rsidP="00B43BE6">
      <w:pPr>
        <w:rPr>
          <w:lang w:val="en-GB"/>
        </w:rPr>
      </w:pPr>
      <w:r>
        <w:rPr>
          <w:lang w:val="en-GB"/>
        </w:rPr>
        <w:t xml:space="preserve">The white arrows show a single Write command, and the </w:t>
      </w:r>
      <w:r w:rsidR="00CF7D2C" w:rsidRPr="00CF7D2C">
        <w:rPr>
          <w:color w:val="FFFF00"/>
          <w:lang w:val="en-GB"/>
        </w:rPr>
        <w:t>yellow</w:t>
      </w:r>
      <w:r>
        <w:rPr>
          <w:lang w:val="en-GB"/>
        </w:rPr>
        <w:t xml:space="preserve"> arrow show a single read command. Both have double arrows to show the acknowledgement when the command has been completed. </w:t>
      </w:r>
    </w:p>
    <w:p w14:paraId="093C86EE" w14:textId="5538B950" w:rsidR="00FF2BA5" w:rsidRDefault="00FF2BA5" w:rsidP="00B43BE6">
      <w:pPr>
        <w:pStyle w:val="Bullet"/>
        <w:rPr>
          <w:lang w:val="en-GB"/>
        </w:rPr>
      </w:pPr>
      <w:r>
        <w:rPr>
          <w:lang w:val="en-GB"/>
        </w:rPr>
        <w:t>The write request is written to the cache disk, and acknowledged. The de</w:t>
      </w:r>
      <w:r w:rsidR="002B0800">
        <w:rPr>
          <w:lang w:val="en-GB"/>
        </w:rPr>
        <w:t>-</w:t>
      </w:r>
      <w:r>
        <w:rPr>
          <w:lang w:val="en-GB"/>
        </w:rPr>
        <w:t>staging to capacity disk is done post acknowledgement, hence it’s not part of the VM disk latency. In this example, we are showing that the writing happens to be on local ESXi host.</w:t>
      </w:r>
    </w:p>
    <w:p w14:paraId="179DF09F" w14:textId="0A1AF057" w:rsidR="00FF2BA5" w:rsidRDefault="00FF2BA5" w:rsidP="00B43BE6">
      <w:pPr>
        <w:pStyle w:val="Bullet"/>
        <w:rPr>
          <w:lang w:val="en-GB"/>
        </w:rPr>
      </w:pPr>
      <w:r>
        <w:rPr>
          <w:lang w:val="en-GB"/>
        </w:rPr>
        <w:t>The read request is shown as remote so we can cover both local and remote scenarios. Notice the read does not touch the local IO Controller Card. It goes into the network subsystem, which drives the physical network card.</w:t>
      </w:r>
      <w:r w:rsidR="00E31C98">
        <w:rPr>
          <w:lang w:val="en-GB"/>
        </w:rPr>
        <w:t xml:space="preserve"> On the destination host, the vSAN software will first read from the cache. If there is a miss, it will read from the capacity disk.</w:t>
      </w:r>
    </w:p>
    <w:p w14:paraId="26C2AC47" w14:textId="2893FA6C" w:rsidR="005B54B4" w:rsidRDefault="005B54B4" w:rsidP="00B43BE6">
      <w:pPr>
        <w:rPr>
          <w:lang w:val="en-GB"/>
        </w:rPr>
      </w:pPr>
      <w:r w:rsidRPr="009F356F">
        <w:rPr>
          <w:noProof/>
          <w:lang w:val="en-GB"/>
        </w:rPr>
        <w:lastRenderedPageBreak/>
        <w:drawing>
          <wp:inline distT="0" distB="0" distL="0" distR="0" wp14:anchorId="5A574FBA" wp14:editId="3B9C41F2">
            <wp:extent cx="6645910" cy="2592705"/>
            <wp:effectExtent l="0" t="0" r="2540" b="0"/>
            <wp:docPr id="1293284800" name="Picture 1293284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6"/>
                    <a:stretch>
                      <a:fillRect/>
                    </a:stretch>
                  </pic:blipFill>
                  <pic:spPr>
                    <a:xfrm>
                      <a:off x="0" y="0"/>
                      <a:ext cx="6645910" cy="2592705"/>
                    </a:xfrm>
                    <a:prstGeom prst="rect">
                      <a:avLst/>
                    </a:prstGeom>
                  </pic:spPr>
                </pic:pic>
              </a:graphicData>
            </a:graphic>
          </wp:inline>
        </w:drawing>
      </w:r>
    </w:p>
    <w:p w14:paraId="4FFAD647" w14:textId="5C326EAF" w:rsidR="002B0800" w:rsidRDefault="00000000" w:rsidP="00B43BE6">
      <w:pPr>
        <w:rPr>
          <w:lang w:val="en-GB"/>
        </w:rPr>
      </w:pPr>
      <w:hyperlink r:id="rId917" w:history="1">
        <w:r w:rsidR="002B0800" w:rsidRPr="002B0800">
          <w:rPr>
            <w:rStyle w:val="Hyperlink"/>
            <w:lang w:val="en-GB"/>
          </w:rPr>
          <w:t>Pete Kohler</w:t>
        </w:r>
      </w:hyperlink>
      <w:r w:rsidR="002B0800">
        <w:rPr>
          <w:lang w:val="en-GB"/>
        </w:rPr>
        <w:t xml:space="preserve"> shares the following diagram in </w:t>
      </w:r>
      <w:hyperlink r:id="rId918" w:history="1">
        <w:r w:rsidR="002B0800" w:rsidRPr="002B0800">
          <w:rPr>
            <w:rStyle w:val="Hyperlink"/>
            <w:lang w:val="en-GB"/>
          </w:rPr>
          <w:t>this</w:t>
        </w:r>
      </w:hyperlink>
      <w:r w:rsidR="002B0800">
        <w:rPr>
          <w:lang w:val="en-GB"/>
        </w:rPr>
        <w:t xml:space="preserve"> blog. I recommend you read it.</w:t>
      </w:r>
    </w:p>
    <w:p w14:paraId="2A014EC0" w14:textId="3DFC43AD" w:rsidR="002B0800" w:rsidRDefault="002B0800" w:rsidP="00B43BE6">
      <w:pPr>
        <w:rPr>
          <w:lang w:val="en-GB"/>
        </w:rPr>
      </w:pPr>
      <w:r>
        <w:rPr>
          <w:noProof/>
        </w:rPr>
        <w:drawing>
          <wp:inline distT="0" distB="0" distL="0" distR="0" wp14:anchorId="31D75D3D" wp14:editId="23D8C2C0">
            <wp:extent cx="6645910" cy="4128135"/>
            <wp:effectExtent l="0" t="0" r="2540" b="5715"/>
            <wp:docPr id="750070374" name="Picture 75007037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74" name="Picture 750070374" descr="Diagram&#10;&#10;Description automatically generated"/>
                    <pic:cNvPicPr>
                      <a:picLocks noChangeAspect="1" noChangeArrowheads="1"/>
                    </pic:cNvPicPr>
                  </pic:nvPicPr>
                  <pic:blipFill>
                    <a:blip r:embed="rId919">
                      <a:extLst>
                        <a:ext uri="{28A0092B-C50C-407E-A947-70E740481C1C}">
                          <a14:useLocalDpi xmlns:a14="http://schemas.microsoft.com/office/drawing/2010/main" val="0"/>
                        </a:ext>
                      </a:extLst>
                    </a:blip>
                    <a:srcRect/>
                    <a:stretch>
                      <a:fillRect/>
                    </a:stretch>
                  </pic:blipFill>
                  <pic:spPr bwMode="auto">
                    <a:xfrm>
                      <a:off x="0" y="0"/>
                      <a:ext cx="6645910" cy="4128135"/>
                    </a:xfrm>
                    <a:prstGeom prst="rect">
                      <a:avLst/>
                    </a:prstGeom>
                    <a:noFill/>
                    <a:ln>
                      <a:noFill/>
                    </a:ln>
                  </pic:spPr>
                </pic:pic>
              </a:graphicData>
            </a:graphic>
          </wp:inline>
        </w:drawing>
      </w:r>
    </w:p>
    <w:p w14:paraId="6578FFC0" w14:textId="0A3C283D" w:rsidR="00A15C40" w:rsidRDefault="00875673" w:rsidP="00A15C40">
      <w:pPr>
        <w:pStyle w:val="Heading4"/>
      </w:pPr>
      <w:r>
        <w:lastRenderedPageBreak/>
        <w:t>Capacity</w:t>
      </w:r>
    </w:p>
    <w:p w14:paraId="6DF853BF" w14:textId="77777777" w:rsidR="00A15C40" w:rsidRDefault="00A15C40" w:rsidP="00A15C40">
      <w:pPr>
        <w:rPr>
          <w:lang w:val="en-GB" w:eastAsia="en-SG"/>
        </w:rPr>
      </w:pPr>
      <w:r>
        <w:rPr>
          <w:lang w:val="en-GB" w:eastAsia="en-SG"/>
        </w:rPr>
        <w:t>Certain things are so obvious that we overlook its ramification. I had to draw this diagram to remind myself that vSAN, being a software defined storage, does not have a layer “</w:t>
      </w:r>
      <w:r w:rsidRPr="001A321F">
        <w:rPr>
          <w:color w:val="00B0F0"/>
          <w:lang w:val="en-GB" w:eastAsia="en-SG"/>
        </w:rPr>
        <w:t>below the LUN</w:t>
      </w:r>
      <w:r>
        <w:rPr>
          <w:lang w:val="en-GB" w:eastAsia="en-SG"/>
        </w:rPr>
        <w:t xml:space="preserve">”. It provides the storage services (availability, compression, deduplication) within the VMFS datastore. </w:t>
      </w:r>
    </w:p>
    <w:p w14:paraId="6AB1AEE9" w14:textId="77777777" w:rsidR="00A15C40" w:rsidRPr="00564C15" w:rsidRDefault="00A15C40" w:rsidP="00A15C40">
      <w:pPr>
        <w:jc w:val="center"/>
        <w:rPr>
          <w:lang w:val="en-GB" w:eastAsia="en-SG"/>
        </w:rPr>
      </w:pPr>
      <w:r w:rsidRPr="001A321F">
        <w:rPr>
          <w:noProof/>
          <w:lang w:val="en-GB" w:eastAsia="en-SG"/>
        </w:rPr>
        <w:drawing>
          <wp:inline distT="0" distB="0" distL="0" distR="0" wp14:anchorId="45095D3F" wp14:editId="134B1634">
            <wp:extent cx="4224528" cy="1828800"/>
            <wp:effectExtent l="0" t="0" r="5080" b="0"/>
            <wp:docPr id="1971069003" name="Picture 1971069003" descr="Graphical user interface, diagram,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9003" name="Picture 1971069003" descr="Graphical user interface, diagram, application&#10;&#10;Description automatically generated with medium confidence"/>
                    <pic:cNvPicPr/>
                  </pic:nvPicPr>
                  <pic:blipFill>
                    <a:blip r:embed="rId920"/>
                    <a:stretch>
                      <a:fillRect/>
                    </a:stretch>
                  </pic:blipFill>
                  <pic:spPr>
                    <a:xfrm>
                      <a:off x="0" y="0"/>
                      <a:ext cx="4224528" cy="1828800"/>
                    </a:xfrm>
                    <a:prstGeom prst="rect">
                      <a:avLst/>
                    </a:prstGeom>
                  </pic:spPr>
                </pic:pic>
              </a:graphicData>
            </a:graphic>
          </wp:inline>
        </w:drawing>
      </w:r>
    </w:p>
    <w:p w14:paraId="76942CC3" w14:textId="03E36CA5" w:rsidR="00875673" w:rsidRPr="00875673" w:rsidRDefault="00A15C40" w:rsidP="00875673">
      <w:pPr>
        <w:pStyle w:val="Tablecontent"/>
        <w:rPr>
          <w:rFonts w:eastAsiaTheme="minorHAnsi"/>
          <w:lang w:val="en-GB" w:eastAsia="en-GB"/>
        </w:rPr>
      </w:pPr>
      <w:r>
        <w:rPr>
          <w:lang w:val="en-GB" w:eastAsia="en-SG"/>
        </w:rPr>
        <w:t>This shifts the complexity of storage management into vSphere. vSphere metrics now combine data from vSAN.</w:t>
      </w:r>
      <w:r w:rsidR="00875673">
        <w:rPr>
          <w:lang w:val="en-GB" w:eastAsia="en-SG"/>
        </w:rPr>
        <w:t xml:space="preserve"> T</w:t>
      </w:r>
      <w:r w:rsidR="00875673" w:rsidRPr="00C77D38">
        <w:rPr>
          <w:rFonts w:eastAsiaTheme="minorHAnsi"/>
          <w:lang w:val="en-GB" w:eastAsia="en-GB"/>
        </w:rPr>
        <w:t>the consumed space includes the amount used by the availability protection (the exact amount depends on the vSAN FTT policy of that virtual disk)</w:t>
      </w:r>
      <w:r w:rsidR="00875673">
        <w:rPr>
          <w:rFonts w:eastAsiaTheme="minorHAnsi"/>
          <w:lang w:val="en-GB" w:eastAsia="en-GB"/>
        </w:rPr>
        <w:t xml:space="preserve"> minus the amount saved by vSAN compression and deduplication.</w:t>
      </w:r>
    </w:p>
    <w:p w14:paraId="3D900978" w14:textId="6C14D74A" w:rsidR="00A15C40" w:rsidRDefault="00A15C40" w:rsidP="00A15C40">
      <w:pPr>
        <w:rPr>
          <w:lang w:val="en-GB" w:eastAsia="en-SG"/>
        </w:rPr>
      </w:pPr>
      <w:r>
        <w:rPr>
          <w:lang w:val="en-GB" w:eastAsia="en-SG"/>
        </w:rPr>
        <w:t xml:space="preserve">Let’s take an example to illustrate. I provisioned a simple VM with 1 </w:t>
      </w:r>
      <w:r w:rsidRPr="00CE5F11">
        <w:rPr>
          <w:color w:val="00B0F0"/>
          <w:lang w:val="en-GB" w:eastAsia="en-SG"/>
        </w:rPr>
        <w:t xml:space="preserve">thick </w:t>
      </w:r>
      <w:r>
        <w:rPr>
          <w:lang w:val="en-GB" w:eastAsia="en-SG"/>
        </w:rPr>
        <w:t>provisioned hard disk. The size is 10 GB.</w:t>
      </w:r>
    </w:p>
    <w:p w14:paraId="59C81EDA" w14:textId="77777777" w:rsidR="00A15C40" w:rsidRDefault="00A15C40" w:rsidP="00A15C40">
      <w:pPr>
        <w:rPr>
          <w:lang w:val="en-GB" w:eastAsia="en-SG"/>
        </w:rPr>
      </w:pPr>
      <w:r>
        <w:rPr>
          <w:lang w:val="en-GB" w:eastAsia="en-SG"/>
        </w:rPr>
        <w:t>vSphere shows used 10 GB and allocated 20 GB.</w:t>
      </w:r>
    </w:p>
    <w:p w14:paraId="6D547E5D" w14:textId="77777777" w:rsidR="00A15C40" w:rsidRDefault="00A15C40" w:rsidP="00A15C40">
      <w:pPr>
        <w:rPr>
          <w:lang w:val="en-GB" w:eastAsia="en-SG"/>
        </w:rPr>
      </w:pPr>
      <w:r w:rsidRPr="00CE5F11">
        <w:rPr>
          <w:noProof/>
          <w:lang w:val="en-GB" w:eastAsia="en-SG"/>
        </w:rPr>
        <w:drawing>
          <wp:inline distT="0" distB="0" distL="0" distR="0" wp14:anchorId="429F73F9" wp14:editId="7A31024D">
            <wp:extent cx="6645910" cy="2577465"/>
            <wp:effectExtent l="0" t="0" r="2540" b="0"/>
            <wp:docPr id="1971069004" name="Picture 1971069004"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9004" name="Picture 1971069004" descr="Graphical user interface, application&#10;&#10;Description automatically generated"/>
                    <pic:cNvPicPr/>
                  </pic:nvPicPr>
                  <pic:blipFill>
                    <a:blip r:embed="rId921"/>
                    <a:stretch>
                      <a:fillRect/>
                    </a:stretch>
                  </pic:blipFill>
                  <pic:spPr>
                    <a:xfrm>
                      <a:off x="0" y="0"/>
                      <a:ext cx="6645910" cy="2577465"/>
                    </a:xfrm>
                    <a:prstGeom prst="rect">
                      <a:avLst/>
                    </a:prstGeom>
                  </pic:spPr>
                </pic:pic>
              </a:graphicData>
            </a:graphic>
          </wp:inline>
        </w:drawing>
      </w:r>
    </w:p>
    <w:p w14:paraId="5D80A893" w14:textId="77777777" w:rsidR="00A15C40" w:rsidRDefault="00A15C40" w:rsidP="00A15C40">
      <w:pPr>
        <w:rPr>
          <w:lang w:val="en-GB" w:eastAsia="en-SG"/>
        </w:rPr>
      </w:pPr>
      <w:r>
        <w:rPr>
          <w:lang w:val="en-GB" w:eastAsia="en-SG"/>
        </w:rPr>
        <w:t xml:space="preserve">What do you get when you browse the datastore? </w:t>
      </w:r>
    </w:p>
    <w:p w14:paraId="2BCFF3BC" w14:textId="77777777" w:rsidR="00A15C40" w:rsidRDefault="00A15C40" w:rsidP="00A15C40">
      <w:pPr>
        <w:rPr>
          <w:b/>
          <w:bCs/>
          <w:lang w:val="en-GB" w:eastAsia="en-SG"/>
        </w:rPr>
      </w:pPr>
      <w:r w:rsidRPr="00CE5F11">
        <w:rPr>
          <w:b/>
          <w:bCs/>
          <w:noProof/>
          <w:lang w:val="en-GB" w:eastAsia="en-SG"/>
        </w:rPr>
        <w:lastRenderedPageBreak/>
        <w:drawing>
          <wp:inline distT="0" distB="0" distL="0" distR="0" wp14:anchorId="453244ED" wp14:editId="348B02CD">
            <wp:extent cx="6645910" cy="2644775"/>
            <wp:effectExtent l="0" t="0" r="2540" b="3175"/>
            <wp:docPr id="1971069005" name="Picture 1971069005"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9005" name="Picture 1971069005" descr="Graphical user interface, text, application&#10;&#10;Description automatically generated"/>
                    <pic:cNvPicPr/>
                  </pic:nvPicPr>
                  <pic:blipFill>
                    <a:blip r:embed="rId922"/>
                    <a:stretch>
                      <a:fillRect/>
                    </a:stretch>
                  </pic:blipFill>
                  <pic:spPr>
                    <a:xfrm>
                      <a:off x="0" y="0"/>
                      <a:ext cx="6645910" cy="2644775"/>
                    </a:xfrm>
                    <a:prstGeom prst="rect">
                      <a:avLst/>
                    </a:prstGeom>
                  </pic:spPr>
                </pic:pic>
              </a:graphicData>
            </a:graphic>
          </wp:inline>
        </w:drawing>
      </w:r>
    </w:p>
    <w:p w14:paraId="63C62F16" w14:textId="77777777" w:rsidR="00A15C40" w:rsidRPr="00CE5F11" w:rsidRDefault="00A15C40" w:rsidP="00A15C40">
      <w:pPr>
        <w:rPr>
          <w:lang w:val="en-GB" w:eastAsia="en-SG"/>
        </w:rPr>
      </w:pPr>
      <w:r>
        <w:rPr>
          <w:lang w:val="en-GB" w:eastAsia="en-SG"/>
        </w:rPr>
        <w:t xml:space="preserve">You see only 1 file, not 2. The file contains both vSphere and vSAN “parts”. In this case, you know they are 10 GB each. But if you use thin provision, enabled dedupe and compress, and have unmapped blocks, then you won’t know the breakdown anymore. </w:t>
      </w:r>
    </w:p>
    <w:p w14:paraId="7B80CAFD" w14:textId="2FBEFDF8" w:rsidR="005A6D90" w:rsidRDefault="005A6D90" w:rsidP="00B373E2">
      <w:pPr>
        <w:pStyle w:val="Heading2"/>
        <w:rPr>
          <w:lang w:val="en-GB"/>
        </w:rPr>
      </w:pPr>
      <w:bookmarkStart w:id="136" w:name="_Network_Metrics"/>
      <w:bookmarkEnd w:id="136"/>
      <w:r w:rsidRPr="4CAB3972">
        <w:rPr>
          <w:lang w:val="en-GB"/>
        </w:rPr>
        <w:lastRenderedPageBreak/>
        <w:t>Network</w:t>
      </w:r>
    </w:p>
    <w:p w14:paraId="5EB57818" w14:textId="22AF92EF" w:rsidR="00173887" w:rsidRPr="00173887" w:rsidRDefault="00173887" w:rsidP="00173887">
      <w:pPr>
        <w:rPr>
          <w:lang w:val="en-GB"/>
        </w:rPr>
      </w:pPr>
      <w:r>
        <w:rPr>
          <w:noProof/>
        </w:rPr>
        <mc:AlternateContent>
          <mc:Choice Requires="wps">
            <w:drawing>
              <wp:anchor distT="0" distB="0" distL="114300" distR="114300" simplePos="0" relativeHeight="251667456" behindDoc="0" locked="0" layoutInCell="1" allowOverlap="1" wp14:anchorId="44A4A980" wp14:editId="749AAAEE">
                <wp:simplePos x="0" y="0"/>
                <wp:positionH relativeFrom="column">
                  <wp:posOffset>0</wp:posOffset>
                </wp:positionH>
                <wp:positionV relativeFrom="paragraph">
                  <wp:posOffset>0</wp:posOffset>
                </wp:positionV>
                <wp:extent cx="1828800" cy="1828800"/>
                <wp:effectExtent l="0" t="0" r="0" b="0"/>
                <wp:wrapNone/>
                <wp:docPr id="606394177" name="Text Box 60639417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2CD10ED" w14:textId="3F666EF4" w:rsidR="00E66F24" w:rsidRPr="00C84219" w:rsidRDefault="00E66F24" w:rsidP="00173887">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2 Chapter </w:t>
                            </w:r>
                            <w:r w:rsidR="00893FC3">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44A4A980" id="Text Box 606394177" o:spid="_x0000_s1038" type="#_x0000_t202" style="position:absolute;margin-left:0;margin-top:0;width:2in;height:2in;z-index:25166745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" filled="f" stroked="f">
                <v:textbox style="mso-fit-shape-to-text:t">
                  <w:txbxContent>
                    <w:p w14:paraId="72CD10ED" w14:textId="3F666EF4" w:rsidR="00E66F24" w:rsidRPr="00C84219" w:rsidRDefault="00E66F24" w:rsidP="00173887">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2 Chapter </w:t>
                      </w:r>
                      <w:r w:rsidR="00893FC3">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8</w:t>
                      </w:r>
                    </w:p>
                  </w:txbxContent>
                </v:textbox>
              </v:shape>
            </w:pict>
          </mc:Fallback>
        </mc:AlternateContent>
      </w:r>
    </w:p>
    <w:p w14:paraId="4F620757" w14:textId="5EC5FDD9" w:rsidR="00D810B5" w:rsidRPr="00A452F2" w:rsidRDefault="006A1380" w:rsidP="003F097B">
      <w:pPr>
        <w:pStyle w:val="AfterChapterTitle"/>
        <w:rPr>
          <w:lang w:val="en-GB"/>
        </w:rPr>
      </w:pPr>
      <w:r>
        <w:rPr>
          <w:lang w:val="en-GB"/>
        </w:rPr>
        <w:t>We will cover NSX, vSphere and physical as they are closely related.</w:t>
      </w:r>
    </w:p>
    <w:p w14:paraId="68B1E8BB" w14:textId="40F8D7AE" w:rsidR="00F463AB" w:rsidRDefault="00D810B5" w:rsidP="00540F68">
      <w:pPr>
        <w:pStyle w:val="Heading3"/>
      </w:pPr>
      <w:bookmarkStart w:id="137" w:name="_Why_Network_Monitoring"/>
      <w:bookmarkEnd w:id="137"/>
      <w:r w:rsidRPr="00A452F2">
        <w:t>Distributed Switch</w:t>
      </w:r>
    </w:p>
    <w:p w14:paraId="69DD9CE7" w14:textId="4F3DB7E6" w:rsidR="00425C4B" w:rsidRPr="00F463AB" w:rsidRDefault="00425C4B" w:rsidP="00425C4B">
      <w:pPr>
        <w:rPr>
          <w:lang w:val="en-GB"/>
        </w:rPr>
      </w:pPr>
      <w:r w:rsidRPr="4CAB3972">
        <w:rPr>
          <w:lang w:val="en-GB"/>
        </w:rPr>
        <w:t xml:space="preserve">Just like vCenter, vRealize Operations also does not provide the </w:t>
      </w:r>
      <w:r w:rsidR="008D3A3F">
        <w:rPr>
          <w:lang w:val="en-GB"/>
        </w:rPr>
        <w:t>metrics</w:t>
      </w:r>
      <w:r w:rsidRPr="4CAB3972">
        <w:rPr>
          <w:lang w:val="en-GB"/>
        </w:rPr>
        <w:t xml:space="preserve"> at the Standard Switch </w:t>
      </w:r>
      <w:r w:rsidR="00DC1304">
        <w:rPr>
          <w:lang w:val="en-GB"/>
        </w:rPr>
        <w:t xml:space="preserve">and its </w:t>
      </w:r>
      <w:r w:rsidRPr="4CAB3972">
        <w:rPr>
          <w:lang w:val="en-GB"/>
        </w:rPr>
        <w:t>port group</w:t>
      </w:r>
      <w:r w:rsidR="00DC1304">
        <w:rPr>
          <w:lang w:val="en-GB"/>
        </w:rPr>
        <w:t>s</w:t>
      </w:r>
      <w:r w:rsidRPr="4CAB3972">
        <w:rPr>
          <w:lang w:val="en-GB"/>
        </w:rPr>
        <w:t xml:space="preserve">. This means you cannot aggregate or </w:t>
      </w:r>
      <w:r>
        <w:rPr>
          <w:lang w:val="en-GB"/>
        </w:rPr>
        <w:t>analyze</w:t>
      </w:r>
      <w:r w:rsidRPr="4CAB3972">
        <w:rPr>
          <w:lang w:val="en-GB"/>
        </w:rPr>
        <w:t xml:space="preserve"> the data from these network objects point of view. </w:t>
      </w:r>
      <w:r w:rsidR="00DC1304">
        <w:rPr>
          <w:lang w:val="en-GB"/>
        </w:rPr>
        <w:t xml:space="preserve">You need to look at the parent ESXi one by one. </w:t>
      </w:r>
      <w:r w:rsidRPr="4CAB3972">
        <w:rPr>
          <w:lang w:val="en-GB"/>
        </w:rPr>
        <w:t>This is one reason why you should use Distributed Switch. It simply has a richer monitoring capability.</w:t>
      </w:r>
    </w:p>
    <w:p w14:paraId="204A73B2" w14:textId="04A3E97A" w:rsidR="00425C4B" w:rsidRPr="00425C4B" w:rsidRDefault="00DC1304" w:rsidP="00425C4B">
      <w:pPr>
        <w:rPr>
          <w:lang w:val="en-GB"/>
        </w:rPr>
      </w:pPr>
      <w:r>
        <w:rPr>
          <w:lang w:val="en-GB"/>
        </w:rPr>
        <w:t>Distributed switch is a virtual object that spans across ESXi</w:t>
      </w:r>
      <w:r w:rsidR="00425C4B" w:rsidRPr="00F463AB">
        <w:rPr>
          <w:lang w:val="en-GB"/>
        </w:rPr>
        <w:t>.</w:t>
      </w:r>
      <w:r>
        <w:rPr>
          <w:lang w:val="en-GB"/>
        </w:rPr>
        <w:t xml:space="preserve"> From the following screenshot, you can see that there is a logical network (VLAN or VXLAN) and physical network (ESXi uplinks). </w:t>
      </w:r>
    </w:p>
    <w:p w14:paraId="70B0D359" w14:textId="350E3D99" w:rsidR="008C7D1E" w:rsidRPr="008C7D1E" w:rsidRDefault="35D5C3F9" w:rsidP="008C7D1E">
      <w:pPr>
        <w:rPr>
          <w:lang w:val="en-GB"/>
        </w:rPr>
      </w:pPr>
      <w:r>
        <w:rPr>
          <w:noProof/>
        </w:rPr>
        <w:lastRenderedPageBreak/>
        <w:drawing>
          <wp:inline distT="0" distB="0" distL="0" distR="0" wp14:anchorId="7E5DDBD0" wp14:editId="4D4A0C42">
            <wp:extent cx="6645910" cy="4184015"/>
            <wp:effectExtent l="0" t="0" r="2540" b="6985"/>
            <wp:docPr id="606394150" name="Picture 60639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50"/>
                    <pic:cNvPicPr/>
                  </pic:nvPicPr>
                  <pic:blipFill>
                    <a:blip r:embed="rId923" cstate="print">
                      <a:extLst>
                        <a:ext uri="{28A0092B-C50C-407E-A947-70E740481C1C}">
                          <a14:useLocalDpi xmlns:a14="http://schemas.microsoft.com/office/drawing/2010/main" val="0"/>
                        </a:ext>
                      </a:extLst>
                    </a:blip>
                    <a:stretch>
                      <a:fillRect/>
                    </a:stretch>
                  </pic:blipFill>
                  <pic:spPr>
                    <a:xfrm>
                      <a:off x="0" y="0"/>
                      <a:ext cx="6645910" cy="4184015"/>
                    </a:xfrm>
                    <a:prstGeom prst="rect">
                      <a:avLst/>
                    </a:prstGeom>
                  </pic:spPr>
                </pic:pic>
              </a:graphicData>
            </a:graphic>
          </wp:inline>
        </w:drawing>
      </w:r>
    </w:p>
    <w:p w14:paraId="0BEC976F" w14:textId="5A183EB7" w:rsidR="000E016B" w:rsidRDefault="000E016B" w:rsidP="000E016B">
      <w:pPr>
        <w:rPr>
          <w:lang w:val="en-GB"/>
        </w:rPr>
      </w:pPr>
      <w:r w:rsidRPr="00A452F2">
        <w:rPr>
          <w:rStyle w:val="ph"/>
          <w:lang w:val="en-GB"/>
        </w:rPr>
        <w:t>vSphere</w:t>
      </w:r>
      <w:r w:rsidRPr="00A452F2">
        <w:rPr>
          <w:lang w:val="en-GB"/>
        </w:rPr>
        <w:t xml:space="preserve"> network is by nature distributed. Each ESXi contributes to the physical NIC. This represents the physical capacity</w:t>
      </w:r>
      <w:r w:rsidR="008C7D1E">
        <w:rPr>
          <w:lang w:val="en-GB"/>
        </w:rPr>
        <w:t xml:space="preserve"> as each NIC cards have a limit, such as 25 Gbps full duplex</w:t>
      </w:r>
      <w:r w:rsidRPr="00A452F2">
        <w:rPr>
          <w:lang w:val="en-GB"/>
        </w:rPr>
        <w:t>. Distributed switch and its port groups span across these independent network cards</w:t>
      </w:r>
      <w:r w:rsidR="008C7D1E">
        <w:rPr>
          <w:lang w:val="en-GB"/>
        </w:rPr>
        <w:t>, and dynamically share the cards</w:t>
      </w:r>
      <w:r w:rsidRPr="00A452F2">
        <w:rPr>
          <w:lang w:val="en-GB"/>
        </w:rPr>
        <w:t xml:space="preserve">. This </w:t>
      </w:r>
      <w:r w:rsidR="008C7D1E">
        <w:rPr>
          <w:lang w:val="en-GB"/>
        </w:rPr>
        <w:t xml:space="preserve">distributed and dynamic nature </w:t>
      </w:r>
      <w:r w:rsidRPr="00A452F2">
        <w:rPr>
          <w:lang w:val="en-GB"/>
        </w:rPr>
        <w:t xml:space="preserve">makes it </w:t>
      </w:r>
      <w:r w:rsidR="008C7D1E">
        <w:rPr>
          <w:lang w:val="en-GB"/>
        </w:rPr>
        <w:t xml:space="preserve">practically impossible </w:t>
      </w:r>
      <w:r w:rsidRPr="00A452F2">
        <w:rPr>
          <w:lang w:val="en-GB"/>
        </w:rPr>
        <w:t xml:space="preserve">to define and measure </w:t>
      </w:r>
      <w:r w:rsidR="008C7D1E">
        <w:rPr>
          <w:lang w:val="en-GB"/>
        </w:rPr>
        <w:t xml:space="preserve">network capacity and </w:t>
      </w:r>
      <w:r w:rsidRPr="00A452F2">
        <w:rPr>
          <w:lang w:val="en-GB"/>
        </w:rPr>
        <w:t xml:space="preserve">performance. </w:t>
      </w:r>
      <w:r w:rsidR="00654EA3">
        <w:rPr>
          <w:lang w:val="en-GB"/>
        </w:rPr>
        <w:t>Imbalance</w:t>
      </w:r>
      <w:r w:rsidRPr="00A452F2">
        <w:rPr>
          <w:lang w:val="en-GB"/>
        </w:rPr>
        <w:t xml:space="preserve"> can happen among ESXi or physical NIC. In a sense, it’s like distributed storage (e.g. vSAN). </w:t>
      </w:r>
    </w:p>
    <w:p w14:paraId="7809B369" w14:textId="537D1DDE" w:rsidR="00F463AB" w:rsidRPr="00F463AB" w:rsidRDefault="00F463AB" w:rsidP="00F463AB">
      <w:pPr>
        <w:rPr>
          <w:lang w:val="en-GB"/>
        </w:rPr>
      </w:pPr>
      <w:r w:rsidRPr="00F463AB">
        <w:rPr>
          <w:lang w:val="en-GB"/>
        </w:rPr>
        <w:t>vCenter does not provide information at</w:t>
      </w:r>
      <w:r w:rsidR="008C7D1E">
        <w:rPr>
          <w:lang w:val="en-GB"/>
        </w:rPr>
        <w:t xml:space="preserve"> the individual port group level</w:t>
      </w:r>
      <w:r w:rsidRPr="00F463AB">
        <w:rPr>
          <w:lang w:val="en-GB"/>
        </w:rPr>
        <w:t xml:space="preserve">. This makes monitoring difficult, as you cannot slice the data from the switch point of view. vRealize Operations addresses that by providing the necessary </w:t>
      </w:r>
      <w:r w:rsidR="008D3A3F">
        <w:rPr>
          <w:lang w:val="en-GB"/>
        </w:rPr>
        <w:t>metrics</w:t>
      </w:r>
      <w:r w:rsidRPr="00F463AB">
        <w:rPr>
          <w:lang w:val="en-GB"/>
        </w:rPr>
        <w:t xml:space="preserve"> at the Distributed Switch level and its Port Groups.</w:t>
      </w:r>
      <w:r w:rsidR="00226389">
        <w:rPr>
          <w:lang w:val="en-GB"/>
        </w:rPr>
        <w:t xml:space="preserve"> It shows a relationship between ESXi, the port group and the switch</w:t>
      </w:r>
      <w:r w:rsidR="008C7D1E">
        <w:rPr>
          <w:lang w:val="en-GB"/>
        </w:rPr>
        <w:t>.</w:t>
      </w:r>
    </w:p>
    <w:p w14:paraId="35D54E98" w14:textId="4A1B2341" w:rsidR="00226389" w:rsidRDefault="00226389" w:rsidP="006D741A">
      <w:pPr>
        <w:rPr>
          <w:lang w:val="en-GB"/>
        </w:rPr>
      </w:pPr>
      <w:r>
        <w:rPr>
          <w:noProof/>
        </w:rPr>
        <w:drawing>
          <wp:inline distT="0" distB="0" distL="0" distR="0" wp14:anchorId="0E244E15" wp14:editId="2CC512A0">
            <wp:extent cx="6645910" cy="1319530"/>
            <wp:effectExtent l="0" t="0" r="2540" b="0"/>
            <wp:docPr id="606394317" name="Picture 60639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17"/>
                    <pic:cNvPicPr/>
                  </pic:nvPicPr>
                  <pic:blipFill>
                    <a:blip r:embed="rId924">
                      <a:extLst>
                        <a:ext uri="{28A0092B-C50C-407E-A947-70E740481C1C}">
                          <a14:useLocalDpi xmlns:a14="http://schemas.microsoft.com/office/drawing/2010/main" val="0"/>
                        </a:ext>
                      </a:extLst>
                    </a:blip>
                    <a:stretch>
                      <a:fillRect/>
                    </a:stretch>
                  </pic:blipFill>
                  <pic:spPr>
                    <a:xfrm>
                      <a:off x="0" y="0"/>
                      <a:ext cx="6645910" cy="1319530"/>
                    </a:xfrm>
                    <a:prstGeom prst="rect">
                      <a:avLst/>
                    </a:prstGeom>
                  </pic:spPr>
                </pic:pic>
              </a:graphicData>
            </a:graphic>
          </wp:inline>
        </w:drawing>
      </w:r>
    </w:p>
    <w:p w14:paraId="5C8A264D" w14:textId="15A0D65C" w:rsidR="000E016B" w:rsidRDefault="000E016B" w:rsidP="00226389">
      <w:pPr>
        <w:rPr>
          <w:rStyle w:val="ph"/>
          <w:lang w:val="en-GB"/>
        </w:rPr>
      </w:pPr>
      <w:r>
        <w:rPr>
          <w:rStyle w:val="ph"/>
          <w:lang w:val="en-GB"/>
        </w:rPr>
        <w:t>You can drill down into a port group, and see the VMs connected to that port group</w:t>
      </w:r>
    </w:p>
    <w:p w14:paraId="5C85F3AD" w14:textId="077EC223" w:rsidR="000E016B" w:rsidRDefault="000E016B" w:rsidP="000E016B">
      <w:pPr>
        <w:jc w:val="center"/>
        <w:rPr>
          <w:rStyle w:val="ph"/>
          <w:lang w:val="en-GB"/>
        </w:rPr>
      </w:pPr>
      <w:r>
        <w:rPr>
          <w:noProof/>
        </w:rPr>
        <w:lastRenderedPageBreak/>
        <w:drawing>
          <wp:inline distT="0" distB="0" distL="0" distR="0" wp14:anchorId="24EA6A65" wp14:editId="1F684504">
            <wp:extent cx="5444196" cy="2386063"/>
            <wp:effectExtent l="0" t="0" r="4445" b="0"/>
            <wp:docPr id="606394318" name="Picture 606394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18"/>
                    <pic:cNvPicPr/>
                  </pic:nvPicPr>
                  <pic:blipFill>
                    <a:blip r:embed="rId925">
                      <a:extLst>
                        <a:ext uri="{28A0092B-C50C-407E-A947-70E740481C1C}">
                          <a14:useLocalDpi xmlns:a14="http://schemas.microsoft.com/office/drawing/2010/main" val="0"/>
                        </a:ext>
                      </a:extLst>
                    </a:blip>
                    <a:stretch>
                      <a:fillRect/>
                    </a:stretch>
                  </pic:blipFill>
                  <pic:spPr>
                    <a:xfrm>
                      <a:off x="0" y="0"/>
                      <a:ext cx="5444196" cy="2386063"/>
                    </a:xfrm>
                    <a:prstGeom prst="rect">
                      <a:avLst/>
                    </a:prstGeom>
                  </pic:spPr>
                </pic:pic>
              </a:graphicData>
            </a:graphic>
          </wp:inline>
        </w:drawing>
      </w:r>
    </w:p>
    <w:p w14:paraId="4CFC1A70" w14:textId="40FE18BB" w:rsidR="00BC1B28" w:rsidRDefault="009747E4" w:rsidP="00E32B5B">
      <w:r>
        <w:t>For each distributed virtual switch, you get the following metrics</w:t>
      </w:r>
      <w:r w:rsidR="005E3B3E">
        <w:t xml:space="preserve">. All the metrics are </w:t>
      </w:r>
    </w:p>
    <w:p w14:paraId="31F4AD01" w14:textId="77777777" w:rsidR="009747E4" w:rsidRDefault="009747E4" w:rsidP="009747E4">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993"/>
        <w:gridCol w:w="4911"/>
        <w:gridCol w:w="4562"/>
      </w:tblGrid>
      <w:tr w:rsidR="00EF46F1" w14:paraId="0A156130" w14:textId="77777777" w:rsidTr="009747E4">
        <w:tc>
          <w:tcPr>
            <w:tcW w:w="993" w:type="dxa"/>
            <w:shd w:val="clear" w:color="auto" w:fill="F2F2F2" w:themeFill="background1" w:themeFillShade="F2"/>
          </w:tcPr>
          <w:p w14:paraId="6519D923" w14:textId="77777777" w:rsidR="00EF46F1" w:rsidRPr="00A57596" w:rsidRDefault="00EF46F1" w:rsidP="00EF46F1">
            <w:pPr>
              <w:pStyle w:val="Tableheading"/>
            </w:pPr>
          </w:p>
        </w:tc>
        <w:tc>
          <w:tcPr>
            <w:tcW w:w="4911" w:type="dxa"/>
            <w:shd w:val="clear" w:color="auto" w:fill="F2F2F2" w:themeFill="background1" w:themeFillShade="F2"/>
            <w:vAlign w:val="center"/>
          </w:tcPr>
          <w:p w14:paraId="31FFC8F0" w14:textId="6593EE91" w:rsidR="00EF46F1" w:rsidRDefault="00EF46F1" w:rsidP="00EF46F1">
            <w:pPr>
              <w:pStyle w:val="Tableheading"/>
            </w:pPr>
            <w:r w:rsidRPr="00A57596">
              <w:t>Port Statistics</w:t>
            </w:r>
            <w:r>
              <w:t xml:space="preserve"> </w:t>
            </w:r>
            <w:r w:rsidR="008D3A3F">
              <w:t>metrics</w:t>
            </w:r>
            <w:r>
              <w:t xml:space="preserve"> </w:t>
            </w:r>
          </w:p>
        </w:tc>
        <w:tc>
          <w:tcPr>
            <w:tcW w:w="4562" w:type="dxa"/>
            <w:shd w:val="clear" w:color="auto" w:fill="F2F2F2" w:themeFill="background1" w:themeFillShade="F2"/>
          </w:tcPr>
          <w:p w14:paraId="3CCC70EF" w14:textId="77777777" w:rsidR="00EF46F1" w:rsidRDefault="00EF46F1" w:rsidP="00EF46F1">
            <w:pPr>
              <w:pStyle w:val="Tableheading"/>
            </w:pPr>
          </w:p>
        </w:tc>
      </w:tr>
      <w:tr w:rsidR="009747E4" w14:paraId="087A1291" w14:textId="77777777" w:rsidTr="009747E4">
        <w:tc>
          <w:tcPr>
            <w:tcW w:w="993" w:type="dxa"/>
            <w:vMerge w:val="restart"/>
          </w:tcPr>
          <w:p w14:paraId="277749C1" w14:textId="00B34022" w:rsidR="009747E4" w:rsidRPr="00A57596" w:rsidRDefault="009747E4" w:rsidP="00EF46F1">
            <w:pPr>
              <w:pStyle w:val="Tablecontent"/>
            </w:pPr>
            <w:r w:rsidRPr="00A57596">
              <w:t>Egress</w:t>
            </w:r>
          </w:p>
        </w:tc>
        <w:tc>
          <w:tcPr>
            <w:tcW w:w="4911" w:type="dxa"/>
            <w:vAlign w:val="center"/>
          </w:tcPr>
          <w:p w14:paraId="713E122D" w14:textId="163C416D" w:rsidR="009747E4" w:rsidRDefault="005E3B3E" w:rsidP="00EF46F1">
            <w:pPr>
              <w:pStyle w:val="Tablecontent"/>
            </w:pPr>
            <w:r w:rsidRPr="00A57596">
              <w:t>Dropped Packets per second</w:t>
            </w:r>
          </w:p>
        </w:tc>
        <w:tc>
          <w:tcPr>
            <w:tcW w:w="4562" w:type="dxa"/>
          </w:tcPr>
          <w:p w14:paraId="754C3AD6" w14:textId="65F23362" w:rsidR="009747E4" w:rsidRDefault="005E3B3E" w:rsidP="00EF46F1">
            <w:pPr>
              <w:pStyle w:val="Tablecontent"/>
            </w:pPr>
            <w:r>
              <w:t>Primary counter for performance.</w:t>
            </w:r>
          </w:p>
        </w:tc>
      </w:tr>
      <w:tr w:rsidR="005E3B3E" w14:paraId="5638BA2D" w14:textId="77777777" w:rsidTr="009747E4">
        <w:tc>
          <w:tcPr>
            <w:tcW w:w="993" w:type="dxa"/>
            <w:vMerge/>
          </w:tcPr>
          <w:p w14:paraId="3E205656" w14:textId="77777777" w:rsidR="005E3B3E" w:rsidRPr="00A57596" w:rsidRDefault="005E3B3E" w:rsidP="00EF46F1">
            <w:pPr>
              <w:pStyle w:val="Tablecontent"/>
            </w:pPr>
          </w:p>
        </w:tc>
        <w:tc>
          <w:tcPr>
            <w:tcW w:w="4911" w:type="dxa"/>
            <w:vAlign w:val="center"/>
          </w:tcPr>
          <w:p w14:paraId="4E26EAAA" w14:textId="6784F879" w:rsidR="005E3B3E" w:rsidRDefault="005E3B3E" w:rsidP="00EF46F1">
            <w:pPr>
              <w:pStyle w:val="Tablecontent"/>
            </w:pPr>
            <w:r w:rsidRPr="00A57596">
              <w:t>Broadcast Packets per second</w:t>
            </w:r>
          </w:p>
        </w:tc>
        <w:tc>
          <w:tcPr>
            <w:tcW w:w="4562" w:type="dxa"/>
            <w:vMerge w:val="restart"/>
          </w:tcPr>
          <w:p w14:paraId="4605591E" w14:textId="293307C3" w:rsidR="005E3B3E" w:rsidRDefault="005E3B3E" w:rsidP="00EF46F1">
            <w:pPr>
              <w:pStyle w:val="Tablecontent"/>
            </w:pPr>
            <w:r>
              <w:t>Undesired type of packets, as most packets are supposed to be unicast. Make sure they are within your expectations</w:t>
            </w:r>
          </w:p>
        </w:tc>
      </w:tr>
      <w:tr w:rsidR="005E3B3E" w14:paraId="7F4749F2" w14:textId="77777777" w:rsidTr="009747E4">
        <w:tc>
          <w:tcPr>
            <w:tcW w:w="993" w:type="dxa"/>
            <w:vMerge/>
          </w:tcPr>
          <w:p w14:paraId="5C7F6C3A" w14:textId="77777777" w:rsidR="005E3B3E" w:rsidRPr="00A57596" w:rsidRDefault="005E3B3E" w:rsidP="00EF46F1">
            <w:pPr>
              <w:pStyle w:val="Tablecontent"/>
            </w:pPr>
          </w:p>
        </w:tc>
        <w:tc>
          <w:tcPr>
            <w:tcW w:w="4911" w:type="dxa"/>
            <w:vAlign w:val="center"/>
          </w:tcPr>
          <w:p w14:paraId="594B27DD" w14:textId="1CA0F260" w:rsidR="005E3B3E" w:rsidRDefault="005E3B3E" w:rsidP="00EF46F1">
            <w:pPr>
              <w:pStyle w:val="Tablecontent"/>
            </w:pPr>
            <w:r w:rsidRPr="00A57596">
              <w:t>Multicast Packets per second</w:t>
            </w:r>
          </w:p>
        </w:tc>
        <w:tc>
          <w:tcPr>
            <w:tcW w:w="4562" w:type="dxa"/>
            <w:vMerge/>
          </w:tcPr>
          <w:p w14:paraId="3345291F" w14:textId="77777777" w:rsidR="005E3B3E" w:rsidRDefault="005E3B3E" w:rsidP="00EF46F1">
            <w:pPr>
              <w:pStyle w:val="Tablecontent"/>
            </w:pPr>
          </w:p>
        </w:tc>
      </w:tr>
      <w:tr w:rsidR="005E3B3E" w14:paraId="13462074" w14:textId="77777777" w:rsidTr="009747E4">
        <w:tc>
          <w:tcPr>
            <w:tcW w:w="993" w:type="dxa"/>
            <w:vMerge/>
          </w:tcPr>
          <w:p w14:paraId="6D156F70" w14:textId="77777777" w:rsidR="005E3B3E" w:rsidRPr="00A57596" w:rsidRDefault="005E3B3E" w:rsidP="00EF46F1">
            <w:pPr>
              <w:pStyle w:val="Tablecontent"/>
            </w:pPr>
          </w:p>
        </w:tc>
        <w:tc>
          <w:tcPr>
            <w:tcW w:w="4911" w:type="dxa"/>
            <w:vAlign w:val="center"/>
          </w:tcPr>
          <w:p w14:paraId="28272BE8" w14:textId="28E16A8D" w:rsidR="005E3B3E" w:rsidRDefault="005E3B3E" w:rsidP="00EF46F1">
            <w:pPr>
              <w:pStyle w:val="Tablecontent"/>
            </w:pPr>
            <w:r w:rsidRPr="00A57596">
              <w:t>Unicast Packets per second</w:t>
            </w:r>
          </w:p>
        </w:tc>
        <w:tc>
          <w:tcPr>
            <w:tcW w:w="4562" w:type="dxa"/>
          </w:tcPr>
          <w:p w14:paraId="4EA312B5" w14:textId="77777777" w:rsidR="005E3B3E" w:rsidRDefault="005E3B3E" w:rsidP="00EF46F1">
            <w:pPr>
              <w:pStyle w:val="Tablecontent"/>
            </w:pPr>
            <w:r>
              <w:t xml:space="preserve">Note this is not a raw counter. </w:t>
            </w:r>
          </w:p>
          <w:p w14:paraId="01CC3CD3" w14:textId="49369947" w:rsidR="005E3B3E" w:rsidRDefault="005E3B3E" w:rsidP="00EF46F1">
            <w:pPr>
              <w:pStyle w:val="Tablecontent"/>
            </w:pPr>
            <w:r>
              <w:t>Formula is Total – Broadcast - Multicast</w:t>
            </w:r>
          </w:p>
        </w:tc>
      </w:tr>
      <w:tr w:rsidR="005E3B3E" w14:paraId="637AA5D8" w14:textId="77777777" w:rsidTr="009747E4">
        <w:tc>
          <w:tcPr>
            <w:tcW w:w="993" w:type="dxa"/>
            <w:vMerge/>
          </w:tcPr>
          <w:p w14:paraId="465B96CD" w14:textId="77777777" w:rsidR="005E3B3E" w:rsidRPr="00A57596" w:rsidRDefault="005E3B3E" w:rsidP="00EF46F1">
            <w:pPr>
              <w:pStyle w:val="Tablecontent"/>
            </w:pPr>
          </w:p>
        </w:tc>
        <w:tc>
          <w:tcPr>
            <w:tcW w:w="4911" w:type="dxa"/>
            <w:vAlign w:val="center"/>
          </w:tcPr>
          <w:p w14:paraId="42B5170E" w14:textId="6F4EA5BD" w:rsidR="005E3B3E" w:rsidRPr="00A57596" w:rsidRDefault="005E3B3E" w:rsidP="00EF46F1">
            <w:pPr>
              <w:pStyle w:val="Tablecontent"/>
            </w:pPr>
            <w:r w:rsidRPr="00A57596">
              <w:t>Traffic (KBps)</w:t>
            </w:r>
          </w:p>
        </w:tc>
        <w:tc>
          <w:tcPr>
            <w:tcW w:w="4562" w:type="dxa"/>
            <w:vMerge w:val="restart"/>
          </w:tcPr>
          <w:p w14:paraId="38425319" w14:textId="256CD122" w:rsidR="005E3B3E" w:rsidRDefault="008D3A3F" w:rsidP="00EF46F1">
            <w:pPr>
              <w:pStyle w:val="Tablecontent"/>
            </w:pPr>
            <w:r>
              <w:t>Metrics</w:t>
            </w:r>
            <w:r w:rsidR="005E3B3E">
              <w:t xml:space="preserve"> for utilization. Both are useful as there is a limit for both.</w:t>
            </w:r>
          </w:p>
        </w:tc>
      </w:tr>
      <w:tr w:rsidR="005E3B3E" w14:paraId="35348577" w14:textId="77777777" w:rsidTr="009747E4">
        <w:tc>
          <w:tcPr>
            <w:tcW w:w="993" w:type="dxa"/>
            <w:vMerge/>
          </w:tcPr>
          <w:p w14:paraId="42BFA832" w14:textId="77777777" w:rsidR="005E3B3E" w:rsidRPr="00A57596" w:rsidRDefault="005E3B3E" w:rsidP="00E440AB">
            <w:pPr>
              <w:pStyle w:val="Tablecontent"/>
            </w:pPr>
          </w:p>
        </w:tc>
        <w:tc>
          <w:tcPr>
            <w:tcW w:w="4911" w:type="dxa"/>
            <w:vAlign w:val="center"/>
          </w:tcPr>
          <w:p w14:paraId="4DA4531D" w14:textId="77777777" w:rsidR="005E3B3E" w:rsidRDefault="005E3B3E" w:rsidP="00E440AB">
            <w:pPr>
              <w:pStyle w:val="Tablecontent"/>
            </w:pPr>
            <w:r w:rsidRPr="00A57596">
              <w:t>Total Packets per second</w:t>
            </w:r>
          </w:p>
        </w:tc>
        <w:tc>
          <w:tcPr>
            <w:tcW w:w="4562" w:type="dxa"/>
            <w:vMerge/>
          </w:tcPr>
          <w:p w14:paraId="34156E48" w14:textId="77777777" w:rsidR="005E3B3E" w:rsidRDefault="005E3B3E" w:rsidP="00E440AB">
            <w:pPr>
              <w:pStyle w:val="Tablecontent"/>
            </w:pPr>
          </w:p>
        </w:tc>
      </w:tr>
      <w:tr w:rsidR="009747E4" w14:paraId="616B39F9" w14:textId="77777777" w:rsidTr="009747E4">
        <w:tc>
          <w:tcPr>
            <w:tcW w:w="993" w:type="dxa"/>
            <w:vMerge w:val="restart"/>
          </w:tcPr>
          <w:p w14:paraId="2FB18B76" w14:textId="0C39378E" w:rsidR="009747E4" w:rsidRPr="00A57596" w:rsidRDefault="009747E4" w:rsidP="00EF46F1">
            <w:pPr>
              <w:pStyle w:val="Tablecontent"/>
            </w:pPr>
            <w:r w:rsidRPr="00A57596">
              <w:t>Ingress</w:t>
            </w:r>
          </w:p>
        </w:tc>
        <w:tc>
          <w:tcPr>
            <w:tcW w:w="4911" w:type="dxa"/>
            <w:vAlign w:val="center"/>
          </w:tcPr>
          <w:p w14:paraId="3DF01491" w14:textId="123752C8" w:rsidR="009747E4" w:rsidRDefault="009747E4" w:rsidP="00EF46F1">
            <w:pPr>
              <w:pStyle w:val="Tablecontent"/>
            </w:pPr>
            <w:r w:rsidRPr="00A57596">
              <w:t>Broadcast Packets per second</w:t>
            </w:r>
          </w:p>
        </w:tc>
        <w:tc>
          <w:tcPr>
            <w:tcW w:w="4562" w:type="dxa"/>
            <w:vMerge w:val="restart"/>
          </w:tcPr>
          <w:p w14:paraId="3E51C123" w14:textId="6D216133" w:rsidR="009747E4" w:rsidRDefault="009747E4" w:rsidP="00EF46F1">
            <w:pPr>
              <w:pStyle w:val="Tablecontent"/>
            </w:pPr>
            <w:r>
              <w:t xml:space="preserve">As per above, except from traffic entering the switch from outside world. </w:t>
            </w:r>
          </w:p>
        </w:tc>
      </w:tr>
      <w:tr w:rsidR="009747E4" w14:paraId="61CDDD9F" w14:textId="77777777" w:rsidTr="009747E4">
        <w:tc>
          <w:tcPr>
            <w:tcW w:w="993" w:type="dxa"/>
            <w:vMerge/>
          </w:tcPr>
          <w:p w14:paraId="775898A4" w14:textId="77777777" w:rsidR="009747E4" w:rsidRPr="00A57596" w:rsidRDefault="009747E4" w:rsidP="00EF46F1">
            <w:pPr>
              <w:pStyle w:val="Tablecontent"/>
            </w:pPr>
          </w:p>
        </w:tc>
        <w:tc>
          <w:tcPr>
            <w:tcW w:w="4911" w:type="dxa"/>
            <w:vAlign w:val="center"/>
          </w:tcPr>
          <w:p w14:paraId="14F3BBCF" w14:textId="19DAAC5B" w:rsidR="009747E4" w:rsidRDefault="009747E4" w:rsidP="00EF46F1">
            <w:pPr>
              <w:pStyle w:val="Tablecontent"/>
            </w:pPr>
            <w:r w:rsidRPr="00A57596">
              <w:t>Dropped Packets per second</w:t>
            </w:r>
          </w:p>
        </w:tc>
        <w:tc>
          <w:tcPr>
            <w:tcW w:w="4562" w:type="dxa"/>
            <w:vMerge/>
          </w:tcPr>
          <w:p w14:paraId="6578AE91" w14:textId="77777777" w:rsidR="009747E4" w:rsidRDefault="009747E4" w:rsidP="00EF46F1">
            <w:pPr>
              <w:pStyle w:val="Tablecontent"/>
            </w:pPr>
          </w:p>
        </w:tc>
      </w:tr>
      <w:tr w:rsidR="009747E4" w14:paraId="43E3A54D" w14:textId="77777777" w:rsidTr="009747E4">
        <w:tc>
          <w:tcPr>
            <w:tcW w:w="993" w:type="dxa"/>
            <w:vMerge/>
          </w:tcPr>
          <w:p w14:paraId="414A7C17" w14:textId="77777777" w:rsidR="009747E4" w:rsidRPr="00A57596" w:rsidRDefault="009747E4" w:rsidP="00EF46F1">
            <w:pPr>
              <w:pStyle w:val="Tablecontent"/>
            </w:pPr>
          </w:p>
        </w:tc>
        <w:tc>
          <w:tcPr>
            <w:tcW w:w="4911" w:type="dxa"/>
            <w:vAlign w:val="center"/>
          </w:tcPr>
          <w:p w14:paraId="4C8D8426" w14:textId="6C151CEB" w:rsidR="009747E4" w:rsidRPr="00A57596" w:rsidRDefault="009747E4" w:rsidP="00EF46F1">
            <w:pPr>
              <w:pStyle w:val="Tablecontent"/>
            </w:pPr>
            <w:r w:rsidRPr="00A57596">
              <w:t>Multicast Packets per second</w:t>
            </w:r>
          </w:p>
        </w:tc>
        <w:tc>
          <w:tcPr>
            <w:tcW w:w="4562" w:type="dxa"/>
            <w:vMerge/>
          </w:tcPr>
          <w:p w14:paraId="6C138509" w14:textId="77777777" w:rsidR="009747E4" w:rsidRDefault="009747E4" w:rsidP="00EF46F1">
            <w:pPr>
              <w:pStyle w:val="Tablecontent"/>
            </w:pPr>
          </w:p>
        </w:tc>
      </w:tr>
      <w:tr w:rsidR="009747E4" w14:paraId="4DC182EE" w14:textId="77777777" w:rsidTr="009747E4">
        <w:tc>
          <w:tcPr>
            <w:tcW w:w="993" w:type="dxa"/>
            <w:vMerge/>
          </w:tcPr>
          <w:p w14:paraId="241EB609" w14:textId="77777777" w:rsidR="009747E4" w:rsidRPr="00A57596" w:rsidRDefault="009747E4" w:rsidP="00EF46F1">
            <w:pPr>
              <w:pStyle w:val="Tablecontent"/>
            </w:pPr>
          </w:p>
        </w:tc>
        <w:tc>
          <w:tcPr>
            <w:tcW w:w="4911" w:type="dxa"/>
            <w:vAlign w:val="center"/>
          </w:tcPr>
          <w:p w14:paraId="2B9C9FB1" w14:textId="233534A3" w:rsidR="009747E4" w:rsidRPr="00A57596" w:rsidRDefault="009747E4" w:rsidP="00EF46F1">
            <w:pPr>
              <w:pStyle w:val="Tablecontent"/>
            </w:pPr>
            <w:r w:rsidRPr="00A57596">
              <w:t>Unicast Packets per second</w:t>
            </w:r>
          </w:p>
        </w:tc>
        <w:tc>
          <w:tcPr>
            <w:tcW w:w="4562" w:type="dxa"/>
            <w:vMerge/>
          </w:tcPr>
          <w:p w14:paraId="32A70D99" w14:textId="77777777" w:rsidR="009747E4" w:rsidRDefault="009747E4" w:rsidP="00EF46F1">
            <w:pPr>
              <w:pStyle w:val="Tablecontent"/>
            </w:pPr>
          </w:p>
        </w:tc>
      </w:tr>
      <w:tr w:rsidR="009747E4" w14:paraId="52DE8FDA" w14:textId="77777777" w:rsidTr="009747E4">
        <w:tc>
          <w:tcPr>
            <w:tcW w:w="993" w:type="dxa"/>
            <w:vMerge/>
          </w:tcPr>
          <w:p w14:paraId="5F033C0C" w14:textId="77777777" w:rsidR="009747E4" w:rsidRPr="00A57596" w:rsidRDefault="009747E4" w:rsidP="00E440AB">
            <w:pPr>
              <w:pStyle w:val="Tablecontent"/>
            </w:pPr>
          </w:p>
        </w:tc>
        <w:tc>
          <w:tcPr>
            <w:tcW w:w="4911" w:type="dxa"/>
            <w:vAlign w:val="center"/>
          </w:tcPr>
          <w:p w14:paraId="1A239066" w14:textId="7CCF8BA1" w:rsidR="009747E4" w:rsidRPr="00A57596" w:rsidRDefault="009747E4" w:rsidP="00E440AB">
            <w:pPr>
              <w:pStyle w:val="Tablecontent"/>
            </w:pPr>
            <w:r w:rsidRPr="00A57596">
              <w:t>Traffic (KBps)</w:t>
            </w:r>
          </w:p>
        </w:tc>
        <w:tc>
          <w:tcPr>
            <w:tcW w:w="4562" w:type="dxa"/>
            <w:vMerge/>
          </w:tcPr>
          <w:p w14:paraId="61674C14" w14:textId="77777777" w:rsidR="009747E4" w:rsidRDefault="009747E4" w:rsidP="00E440AB">
            <w:pPr>
              <w:pStyle w:val="Tablecontent"/>
            </w:pPr>
          </w:p>
        </w:tc>
      </w:tr>
      <w:tr w:rsidR="009747E4" w14:paraId="51CB9253" w14:textId="77777777" w:rsidTr="009747E4">
        <w:tc>
          <w:tcPr>
            <w:tcW w:w="993" w:type="dxa"/>
            <w:vMerge/>
          </w:tcPr>
          <w:p w14:paraId="476CCEE3" w14:textId="77777777" w:rsidR="009747E4" w:rsidRPr="00A57596" w:rsidRDefault="009747E4" w:rsidP="00E440AB">
            <w:pPr>
              <w:pStyle w:val="Tablecontent"/>
            </w:pPr>
          </w:p>
        </w:tc>
        <w:tc>
          <w:tcPr>
            <w:tcW w:w="4911" w:type="dxa"/>
            <w:vAlign w:val="center"/>
          </w:tcPr>
          <w:p w14:paraId="3449C1DE" w14:textId="109C2D13" w:rsidR="009747E4" w:rsidRPr="00A57596" w:rsidRDefault="009747E4" w:rsidP="00E440AB">
            <w:pPr>
              <w:pStyle w:val="Tablecontent"/>
            </w:pPr>
            <w:r w:rsidRPr="00A57596">
              <w:t>Total Packets per second</w:t>
            </w:r>
          </w:p>
        </w:tc>
        <w:tc>
          <w:tcPr>
            <w:tcW w:w="4562" w:type="dxa"/>
            <w:vMerge/>
          </w:tcPr>
          <w:p w14:paraId="0C9F2E9A" w14:textId="77777777" w:rsidR="009747E4" w:rsidRDefault="009747E4" w:rsidP="00E440AB">
            <w:pPr>
              <w:pStyle w:val="Tablecontent"/>
            </w:pPr>
          </w:p>
        </w:tc>
      </w:tr>
      <w:tr w:rsidR="009747E4" w14:paraId="2155A4A9" w14:textId="77777777" w:rsidTr="009747E4">
        <w:tc>
          <w:tcPr>
            <w:tcW w:w="993" w:type="dxa"/>
            <w:vMerge w:val="restart"/>
          </w:tcPr>
          <w:p w14:paraId="1A5C4BD2" w14:textId="23DC12E7" w:rsidR="009747E4" w:rsidRPr="00A57596" w:rsidRDefault="009747E4" w:rsidP="00EF46F1">
            <w:pPr>
              <w:pStyle w:val="Tablecontent"/>
            </w:pPr>
            <w:r>
              <w:t>Total</w:t>
            </w:r>
          </w:p>
        </w:tc>
        <w:tc>
          <w:tcPr>
            <w:tcW w:w="4911" w:type="dxa"/>
            <w:vAlign w:val="center"/>
          </w:tcPr>
          <w:p w14:paraId="2B143F2E" w14:textId="0FB383AE" w:rsidR="009747E4" w:rsidRPr="00A57596" w:rsidRDefault="009747E4" w:rsidP="00EF46F1">
            <w:pPr>
              <w:pStyle w:val="Tablecontent"/>
            </w:pPr>
            <w:r w:rsidRPr="00A57596">
              <w:t>Dropped Packets per second</w:t>
            </w:r>
          </w:p>
        </w:tc>
        <w:tc>
          <w:tcPr>
            <w:tcW w:w="4562" w:type="dxa"/>
          </w:tcPr>
          <w:p w14:paraId="42C882FB" w14:textId="77777777" w:rsidR="009747E4" w:rsidRDefault="009747E4" w:rsidP="00EF46F1">
            <w:pPr>
              <w:pStyle w:val="Tablecontent"/>
            </w:pPr>
          </w:p>
        </w:tc>
      </w:tr>
      <w:tr w:rsidR="009747E4" w14:paraId="1DE67ACD" w14:textId="77777777" w:rsidTr="009747E4">
        <w:tc>
          <w:tcPr>
            <w:tcW w:w="993" w:type="dxa"/>
            <w:vMerge/>
          </w:tcPr>
          <w:p w14:paraId="7B75E8A2" w14:textId="77777777" w:rsidR="009747E4" w:rsidRPr="00A57596" w:rsidRDefault="009747E4" w:rsidP="00EF46F1">
            <w:pPr>
              <w:pStyle w:val="Tablecontent"/>
            </w:pPr>
          </w:p>
        </w:tc>
        <w:tc>
          <w:tcPr>
            <w:tcW w:w="4911" w:type="dxa"/>
            <w:vAlign w:val="center"/>
          </w:tcPr>
          <w:p w14:paraId="507F07CB" w14:textId="5C8528AA" w:rsidR="009747E4" w:rsidRPr="00A57596" w:rsidRDefault="009747E4" w:rsidP="00EF46F1">
            <w:pPr>
              <w:pStyle w:val="Tablecontent"/>
            </w:pPr>
            <w:r w:rsidRPr="00A57596">
              <w:t>Utilization (KBps)</w:t>
            </w:r>
          </w:p>
        </w:tc>
        <w:tc>
          <w:tcPr>
            <w:tcW w:w="4562" w:type="dxa"/>
          </w:tcPr>
          <w:p w14:paraId="345AE3EB" w14:textId="77777777" w:rsidR="009747E4" w:rsidRDefault="009747E4" w:rsidP="00EF46F1">
            <w:pPr>
              <w:pStyle w:val="Tablecontent"/>
            </w:pPr>
          </w:p>
        </w:tc>
      </w:tr>
    </w:tbl>
    <w:p w14:paraId="2E44E915" w14:textId="14D534A4" w:rsidR="009747E4" w:rsidRDefault="009747E4" w:rsidP="009747E4">
      <w:r>
        <w:t xml:space="preserve">For each distributed </w:t>
      </w:r>
      <w:r w:rsidR="005E3B3E">
        <w:t>port group</w:t>
      </w:r>
      <w:r>
        <w:t>, you get the following metrics:</w:t>
      </w:r>
    </w:p>
    <w:p w14:paraId="24AE97CF" w14:textId="77777777" w:rsidR="009747E4" w:rsidRDefault="009747E4" w:rsidP="009747E4">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993"/>
        <w:gridCol w:w="3118"/>
        <w:gridCol w:w="6355"/>
      </w:tblGrid>
      <w:tr w:rsidR="002038C4" w14:paraId="09D9869D" w14:textId="77777777" w:rsidTr="002038C4">
        <w:tc>
          <w:tcPr>
            <w:tcW w:w="993" w:type="dxa"/>
          </w:tcPr>
          <w:p w14:paraId="41525953" w14:textId="77777777" w:rsidR="002038C4" w:rsidRDefault="002038C4" w:rsidP="002038C4">
            <w:pPr>
              <w:pStyle w:val="Tableheading"/>
            </w:pPr>
          </w:p>
        </w:tc>
        <w:tc>
          <w:tcPr>
            <w:tcW w:w="3118" w:type="dxa"/>
            <w:vAlign w:val="center"/>
          </w:tcPr>
          <w:p w14:paraId="0F398FB6" w14:textId="77777777" w:rsidR="002038C4" w:rsidRDefault="002038C4" w:rsidP="002038C4">
            <w:pPr>
              <w:pStyle w:val="Tableheading"/>
            </w:pPr>
          </w:p>
        </w:tc>
        <w:tc>
          <w:tcPr>
            <w:tcW w:w="6355" w:type="dxa"/>
            <w:vAlign w:val="center"/>
          </w:tcPr>
          <w:p w14:paraId="2E4AE254" w14:textId="52A96BF5" w:rsidR="002038C4" w:rsidRPr="00611E83" w:rsidRDefault="002038C4" w:rsidP="002038C4">
            <w:pPr>
              <w:pStyle w:val="Tableheading"/>
            </w:pPr>
            <w:r>
              <w:t>vCenter API Metric Key</w:t>
            </w:r>
          </w:p>
        </w:tc>
      </w:tr>
      <w:tr w:rsidR="002038C4" w14:paraId="140173BC" w14:textId="77777777" w:rsidTr="002038C4">
        <w:tc>
          <w:tcPr>
            <w:tcW w:w="993" w:type="dxa"/>
            <w:vMerge w:val="restart"/>
          </w:tcPr>
          <w:p w14:paraId="1B7AA224" w14:textId="479AE3A4" w:rsidR="002038C4" w:rsidRPr="00A57596" w:rsidRDefault="002038C4" w:rsidP="002038C4">
            <w:pPr>
              <w:pStyle w:val="Tablecontent"/>
            </w:pPr>
            <w:r>
              <w:t>Egress</w:t>
            </w:r>
          </w:p>
        </w:tc>
        <w:tc>
          <w:tcPr>
            <w:tcW w:w="3118" w:type="dxa"/>
            <w:vAlign w:val="center"/>
          </w:tcPr>
          <w:p w14:paraId="4AAB0210" w14:textId="063041A8" w:rsidR="002038C4" w:rsidRPr="00A57596" w:rsidRDefault="002038C4" w:rsidP="002038C4">
            <w:pPr>
              <w:pStyle w:val="Tablecontent"/>
            </w:pPr>
            <w:r>
              <w:t>Broadcast Packets per second</w:t>
            </w:r>
          </w:p>
        </w:tc>
        <w:tc>
          <w:tcPr>
            <w:tcW w:w="6355" w:type="dxa"/>
            <w:vAlign w:val="center"/>
          </w:tcPr>
          <w:p w14:paraId="1D7B087D" w14:textId="7E9F619A" w:rsidR="002038C4" w:rsidRPr="002038C4" w:rsidRDefault="002038C4" w:rsidP="002038C4">
            <w:pPr>
              <w:pStyle w:val="Tablecontent"/>
            </w:pPr>
            <w:r>
              <w:t xml:space="preserve">Sum of ESXi hosts </w:t>
            </w:r>
            <w:r w:rsidRPr="00611E83">
              <w:t>net.throughput.vds.pktsTxBcast.average</w:t>
            </w:r>
            <w:r>
              <w:t xml:space="preserve"> </w:t>
            </w:r>
          </w:p>
        </w:tc>
      </w:tr>
      <w:tr w:rsidR="002038C4" w14:paraId="2277F00E" w14:textId="77777777" w:rsidTr="002038C4">
        <w:tc>
          <w:tcPr>
            <w:tcW w:w="993" w:type="dxa"/>
            <w:vMerge/>
          </w:tcPr>
          <w:p w14:paraId="329E1228" w14:textId="77777777" w:rsidR="002038C4" w:rsidRDefault="002038C4" w:rsidP="002038C4">
            <w:pPr>
              <w:pStyle w:val="Tablecontent"/>
            </w:pPr>
          </w:p>
        </w:tc>
        <w:tc>
          <w:tcPr>
            <w:tcW w:w="3118" w:type="dxa"/>
            <w:vAlign w:val="center"/>
          </w:tcPr>
          <w:p w14:paraId="752B5BD9" w14:textId="6FA39951" w:rsidR="002038C4" w:rsidRDefault="002038C4" w:rsidP="002038C4">
            <w:pPr>
              <w:pStyle w:val="Tablecontent"/>
            </w:pPr>
            <w:r>
              <w:t>Dropped Packets per second</w:t>
            </w:r>
          </w:p>
        </w:tc>
        <w:tc>
          <w:tcPr>
            <w:tcW w:w="6355" w:type="dxa"/>
            <w:vAlign w:val="center"/>
          </w:tcPr>
          <w:p w14:paraId="1B6F9370" w14:textId="7D57B65D" w:rsidR="002038C4" w:rsidRPr="002038C4" w:rsidRDefault="002038C4" w:rsidP="002038C4">
            <w:pPr>
              <w:pStyle w:val="Tablecontent"/>
            </w:pPr>
            <w:r>
              <w:t xml:space="preserve">Sum of ESXi hosts </w:t>
            </w:r>
            <w:r w:rsidRPr="00611E83">
              <w:t>net.throughput.vds.droppedTx.average</w:t>
            </w:r>
          </w:p>
        </w:tc>
      </w:tr>
      <w:tr w:rsidR="002038C4" w14:paraId="144A445C" w14:textId="77777777" w:rsidTr="002038C4">
        <w:tc>
          <w:tcPr>
            <w:tcW w:w="993" w:type="dxa"/>
            <w:vMerge/>
          </w:tcPr>
          <w:p w14:paraId="0E5E9355" w14:textId="77777777" w:rsidR="002038C4" w:rsidRDefault="002038C4" w:rsidP="002038C4">
            <w:pPr>
              <w:pStyle w:val="Tablecontent"/>
            </w:pPr>
          </w:p>
        </w:tc>
        <w:tc>
          <w:tcPr>
            <w:tcW w:w="3118" w:type="dxa"/>
            <w:vAlign w:val="center"/>
          </w:tcPr>
          <w:p w14:paraId="5D46D8B4" w14:textId="0DE8412D" w:rsidR="002038C4" w:rsidRDefault="002038C4" w:rsidP="002038C4">
            <w:pPr>
              <w:pStyle w:val="Tablecontent"/>
            </w:pPr>
            <w:r>
              <w:t>Multicast Packets per second</w:t>
            </w:r>
          </w:p>
        </w:tc>
        <w:tc>
          <w:tcPr>
            <w:tcW w:w="6355" w:type="dxa"/>
            <w:vAlign w:val="center"/>
          </w:tcPr>
          <w:p w14:paraId="01F44D68" w14:textId="4955A2E2" w:rsidR="002038C4" w:rsidRPr="002038C4" w:rsidRDefault="002038C4" w:rsidP="002038C4">
            <w:pPr>
              <w:pStyle w:val="Tablecontent"/>
            </w:pPr>
            <w:r>
              <w:t xml:space="preserve">Sum of ESXi hosts </w:t>
            </w:r>
            <w:r w:rsidRPr="00611E83">
              <w:t>net.throughput.vds.pktsTxMcast.average</w:t>
            </w:r>
          </w:p>
        </w:tc>
      </w:tr>
      <w:tr w:rsidR="002038C4" w14:paraId="62BDB36D" w14:textId="77777777" w:rsidTr="002038C4">
        <w:tc>
          <w:tcPr>
            <w:tcW w:w="993" w:type="dxa"/>
            <w:vMerge/>
          </w:tcPr>
          <w:p w14:paraId="194F4B72" w14:textId="77777777" w:rsidR="002038C4" w:rsidRDefault="002038C4" w:rsidP="002038C4">
            <w:pPr>
              <w:pStyle w:val="Tablecontent"/>
            </w:pPr>
          </w:p>
        </w:tc>
        <w:tc>
          <w:tcPr>
            <w:tcW w:w="3118" w:type="dxa"/>
            <w:vAlign w:val="center"/>
          </w:tcPr>
          <w:p w14:paraId="120E153B" w14:textId="47323B03" w:rsidR="002038C4" w:rsidRPr="002038C4" w:rsidRDefault="002038C4" w:rsidP="002038C4">
            <w:pPr>
              <w:pStyle w:val="Tablecontent"/>
            </w:pPr>
            <w:r w:rsidRPr="00611E83">
              <w:t>Packets per second</w:t>
            </w:r>
          </w:p>
        </w:tc>
        <w:tc>
          <w:tcPr>
            <w:tcW w:w="6355" w:type="dxa"/>
            <w:vAlign w:val="center"/>
          </w:tcPr>
          <w:p w14:paraId="4151307B" w14:textId="379018B3" w:rsidR="002038C4" w:rsidRPr="00611E83" w:rsidRDefault="002038C4" w:rsidP="002038C4">
            <w:pPr>
              <w:pStyle w:val="Tablecontent"/>
            </w:pPr>
            <w:r w:rsidRPr="002038C4">
              <w:t>net.throughput.vds.pktsTx.average</w:t>
            </w:r>
          </w:p>
        </w:tc>
      </w:tr>
      <w:tr w:rsidR="002038C4" w14:paraId="427E3612" w14:textId="77777777" w:rsidTr="002038C4">
        <w:tc>
          <w:tcPr>
            <w:tcW w:w="993" w:type="dxa"/>
            <w:vMerge/>
          </w:tcPr>
          <w:p w14:paraId="318869B8" w14:textId="77777777" w:rsidR="002038C4" w:rsidRDefault="002038C4" w:rsidP="002038C4">
            <w:pPr>
              <w:pStyle w:val="Tablecontent"/>
            </w:pPr>
          </w:p>
        </w:tc>
        <w:tc>
          <w:tcPr>
            <w:tcW w:w="3118" w:type="dxa"/>
            <w:vAlign w:val="center"/>
          </w:tcPr>
          <w:p w14:paraId="594C8DB6" w14:textId="48969164" w:rsidR="002038C4" w:rsidRPr="002038C4" w:rsidRDefault="002038C4" w:rsidP="002038C4">
            <w:pPr>
              <w:pStyle w:val="Tablecontent"/>
            </w:pPr>
            <w:r w:rsidRPr="00611E83">
              <w:t>Unicast Packets per second</w:t>
            </w:r>
          </w:p>
        </w:tc>
        <w:tc>
          <w:tcPr>
            <w:tcW w:w="6355" w:type="dxa"/>
            <w:vAlign w:val="center"/>
          </w:tcPr>
          <w:p w14:paraId="0F7BE26E" w14:textId="77777777" w:rsidR="002038C4" w:rsidRDefault="002038C4" w:rsidP="002038C4">
            <w:pPr>
              <w:pStyle w:val="Tablecontent"/>
            </w:pPr>
            <w:r>
              <w:t xml:space="preserve">Note this is not a raw counter. </w:t>
            </w:r>
          </w:p>
          <w:p w14:paraId="68E55F19" w14:textId="7CB66400" w:rsidR="002038C4" w:rsidRPr="002038C4" w:rsidRDefault="002038C4" w:rsidP="002038C4">
            <w:pPr>
              <w:pStyle w:val="Tablecontent"/>
            </w:pPr>
            <w:r>
              <w:lastRenderedPageBreak/>
              <w:t>Formula is Total – Broadcast – Multicast</w:t>
            </w:r>
          </w:p>
        </w:tc>
      </w:tr>
      <w:tr w:rsidR="002038C4" w14:paraId="663E6BCC" w14:textId="77777777" w:rsidTr="002038C4">
        <w:tc>
          <w:tcPr>
            <w:tcW w:w="993" w:type="dxa"/>
            <w:vMerge w:val="restart"/>
          </w:tcPr>
          <w:p w14:paraId="1E3CFAC7" w14:textId="786881B9" w:rsidR="002038C4" w:rsidRPr="002038C4" w:rsidRDefault="002038C4" w:rsidP="002038C4">
            <w:pPr>
              <w:pStyle w:val="Tablecontent"/>
              <w:rPr>
                <w:lang w:val="en-SG"/>
              </w:rPr>
            </w:pPr>
            <w:r>
              <w:rPr>
                <w:lang w:val="en-SG"/>
              </w:rPr>
              <w:lastRenderedPageBreak/>
              <w:t>Ingress</w:t>
            </w:r>
          </w:p>
        </w:tc>
        <w:tc>
          <w:tcPr>
            <w:tcW w:w="3118" w:type="dxa"/>
            <w:vAlign w:val="center"/>
          </w:tcPr>
          <w:p w14:paraId="246D6569" w14:textId="589FACD4" w:rsidR="002038C4" w:rsidRPr="00611E83" w:rsidRDefault="002038C4" w:rsidP="002038C4">
            <w:pPr>
              <w:pStyle w:val="Tablecontent"/>
            </w:pPr>
            <w:r>
              <w:t>Broadcast Packets per second</w:t>
            </w:r>
          </w:p>
        </w:tc>
        <w:tc>
          <w:tcPr>
            <w:tcW w:w="6355" w:type="dxa"/>
            <w:vMerge w:val="restart"/>
            <w:vAlign w:val="center"/>
          </w:tcPr>
          <w:p w14:paraId="13D82635" w14:textId="004A63A3" w:rsidR="002038C4" w:rsidRDefault="002038C4" w:rsidP="002038C4">
            <w:pPr>
              <w:pStyle w:val="Tablecontent"/>
            </w:pPr>
            <w:r>
              <w:t>As per above, except from traffic entering the switch from outside world.</w:t>
            </w:r>
          </w:p>
        </w:tc>
      </w:tr>
      <w:tr w:rsidR="002038C4" w14:paraId="24EE3F92" w14:textId="77777777" w:rsidTr="002038C4">
        <w:tc>
          <w:tcPr>
            <w:tcW w:w="993" w:type="dxa"/>
            <w:vMerge/>
          </w:tcPr>
          <w:p w14:paraId="159025B5" w14:textId="77777777" w:rsidR="002038C4" w:rsidRDefault="002038C4" w:rsidP="002038C4">
            <w:pPr>
              <w:pStyle w:val="Tablecontent"/>
              <w:rPr>
                <w:lang w:val="en-SG"/>
              </w:rPr>
            </w:pPr>
          </w:p>
        </w:tc>
        <w:tc>
          <w:tcPr>
            <w:tcW w:w="3118" w:type="dxa"/>
            <w:vAlign w:val="center"/>
          </w:tcPr>
          <w:p w14:paraId="56035D54" w14:textId="00B62E31" w:rsidR="002038C4" w:rsidRPr="00611E83" w:rsidRDefault="002038C4" w:rsidP="002038C4">
            <w:pPr>
              <w:pStyle w:val="Tablecontent"/>
            </w:pPr>
            <w:r>
              <w:t>Dropped Packets per second</w:t>
            </w:r>
          </w:p>
        </w:tc>
        <w:tc>
          <w:tcPr>
            <w:tcW w:w="6355" w:type="dxa"/>
            <w:vMerge/>
            <w:vAlign w:val="center"/>
          </w:tcPr>
          <w:p w14:paraId="5A2051C8" w14:textId="77777777" w:rsidR="002038C4" w:rsidRDefault="002038C4" w:rsidP="002038C4">
            <w:pPr>
              <w:pStyle w:val="Tablecontent"/>
            </w:pPr>
          </w:p>
        </w:tc>
      </w:tr>
      <w:tr w:rsidR="002038C4" w14:paraId="7BC49EFC" w14:textId="77777777" w:rsidTr="002038C4">
        <w:tc>
          <w:tcPr>
            <w:tcW w:w="993" w:type="dxa"/>
            <w:vMerge/>
          </w:tcPr>
          <w:p w14:paraId="13B52A79" w14:textId="77777777" w:rsidR="002038C4" w:rsidRDefault="002038C4" w:rsidP="002038C4">
            <w:pPr>
              <w:pStyle w:val="Tablecontent"/>
              <w:rPr>
                <w:lang w:val="en-SG"/>
              </w:rPr>
            </w:pPr>
          </w:p>
        </w:tc>
        <w:tc>
          <w:tcPr>
            <w:tcW w:w="3118" w:type="dxa"/>
            <w:vAlign w:val="center"/>
          </w:tcPr>
          <w:p w14:paraId="282B2898" w14:textId="6816B3DD" w:rsidR="002038C4" w:rsidRPr="00611E83" w:rsidRDefault="002038C4" w:rsidP="002038C4">
            <w:pPr>
              <w:pStyle w:val="Tablecontent"/>
            </w:pPr>
            <w:r>
              <w:t>Multicast Packets per second</w:t>
            </w:r>
          </w:p>
        </w:tc>
        <w:tc>
          <w:tcPr>
            <w:tcW w:w="6355" w:type="dxa"/>
            <w:vMerge/>
            <w:vAlign w:val="center"/>
          </w:tcPr>
          <w:p w14:paraId="1AC11162" w14:textId="77777777" w:rsidR="002038C4" w:rsidRDefault="002038C4" w:rsidP="002038C4">
            <w:pPr>
              <w:pStyle w:val="Tablecontent"/>
            </w:pPr>
          </w:p>
        </w:tc>
      </w:tr>
      <w:tr w:rsidR="002038C4" w14:paraId="5D81A50F" w14:textId="77777777" w:rsidTr="002038C4">
        <w:tc>
          <w:tcPr>
            <w:tcW w:w="993" w:type="dxa"/>
            <w:vMerge/>
          </w:tcPr>
          <w:p w14:paraId="620B9561" w14:textId="77777777" w:rsidR="002038C4" w:rsidRDefault="002038C4" w:rsidP="002038C4">
            <w:pPr>
              <w:pStyle w:val="Tablecontent"/>
              <w:rPr>
                <w:lang w:val="en-SG"/>
              </w:rPr>
            </w:pPr>
          </w:p>
        </w:tc>
        <w:tc>
          <w:tcPr>
            <w:tcW w:w="3118" w:type="dxa"/>
            <w:vAlign w:val="center"/>
          </w:tcPr>
          <w:p w14:paraId="716EA1E5" w14:textId="49FF099D" w:rsidR="002038C4" w:rsidRPr="00611E83" w:rsidRDefault="002038C4" w:rsidP="002038C4">
            <w:pPr>
              <w:pStyle w:val="Tablecontent"/>
            </w:pPr>
            <w:r w:rsidRPr="00611E83">
              <w:t>Packets per second</w:t>
            </w:r>
          </w:p>
        </w:tc>
        <w:tc>
          <w:tcPr>
            <w:tcW w:w="6355" w:type="dxa"/>
            <w:vMerge/>
            <w:vAlign w:val="center"/>
          </w:tcPr>
          <w:p w14:paraId="3C45D177" w14:textId="77777777" w:rsidR="002038C4" w:rsidRDefault="002038C4" w:rsidP="002038C4">
            <w:pPr>
              <w:pStyle w:val="Tablecontent"/>
            </w:pPr>
          </w:p>
        </w:tc>
      </w:tr>
      <w:tr w:rsidR="002038C4" w14:paraId="5A221DFD" w14:textId="77777777" w:rsidTr="002038C4">
        <w:tc>
          <w:tcPr>
            <w:tcW w:w="993" w:type="dxa"/>
            <w:vMerge/>
          </w:tcPr>
          <w:p w14:paraId="2EBA2E95" w14:textId="77777777" w:rsidR="002038C4" w:rsidRDefault="002038C4" w:rsidP="002038C4">
            <w:pPr>
              <w:pStyle w:val="Tablecontent"/>
              <w:rPr>
                <w:lang w:val="en-SG"/>
              </w:rPr>
            </w:pPr>
          </w:p>
        </w:tc>
        <w:tc>
          <w:tcPr>
            <w:tcW w:w="3118" w:type="dxa"/>
            <w:vAlign w:val="center"/>
          </w:tcPr>
          <w:p w14:paraId="3799D3EF" w14:textId="69E5640D" w:rsidR="002038C4" w:rsidRPr="00611E83" w:rsidRDefault="002038C4" w:rsidP="002038C4">
            <w:pPr>
              <w:pStyle w:val="Tablecontent"/>
            </w:pPr>
            <w:r w:rsidRPr="00611E83">
              <w:t>Unicast Packets per second</w:t>
            </w:r>
          </w:p>
        </w:tc>
        <w:tc>
          <w:tcPr>
            <w:tcW w:w="6355" w:type="dxa"/>
            <w:vMerge/>
            <w:vAlign w:val="center"/>
          </w:tcPr>
          <w:p w14:paraId="23644E72" w14:textId="77777777" w:rsidR="002038C4" w:rsidRDefault="002038C4" w:rsidP="002038C4">
            <w:pPr>
              <w:pStyle w:val="Tablecontent"/>
            </w:pPr>
          </w:p>
        </w:tc>
      </w:tr>
      <w:tr w:rsidR="00BD223D" w14:paraId="0291B61D" w14:textId="77777777" w:rsidTr="002038C4">
        <w:tc>
          <w:tcPr>
            <w:tcW w:w="993" w:type="dxa"/>
            <w:vMerge w:val="restart"/>
          </w:tcPr>
          <w:p w14:paraId="723D0913" w14:textId="0DB59F1B" w:rsidR="00BD223D" w:rsidRPr="00BD223D" w:rsidRDefault="00BD223D" w:rsidP="00BD223D">
            <w:pPr>
              <w:pStyle w:val="Tablecontent"/>
            </w:pPr>
            <w:r>
              <w:t>VM</w:t>
            </w:r>
          </w:p>
        </w:tc>
        <w:tc>
          <w:tcPr>
            <w:tcW w:w="3118" w:type="dxa"/>
            <w:vAlign w:val="center"/>
          </w:tcPr>
          <w:p w14:paraId="2A9217BD" w14:textId="777A5166" w:rsidR="00BD223D" w:rsidRPr="00BD223D" w:rsidRDefault="00BD223D" w:rsidP="00BD223D">
            <w:pPr>
              <w:pStyle w:val="Tablecontent"/>
            </w:pPr>
            <w:r w:rsidRPr="00611E83">
              <w:t>Egress Traffic (KBps)</w:t>
            </w:r>
          </w:p>
        </w:tc>
        <w:tc>
          <w:tcPr>
            <w:tcW w:w="6355" w:type="dxa"/>
            <w:vAlign w:val="center"/>
          </w:tcPr>
          <w:p w14:paraId="41A56EA0" w14:textId="07B5335E" w:rsidR="00BD223D" w:rsidRPr="00BD223D" w:rsidRDefault="00BD223D" w:rsidP="00BD223D">
            <w:pPr>
              <w:pStyle w:val="Tablecontent"/>
            </w:pPr>
            <w:r w:rsidRPr="00BD223D">
              <w:t xml:space="preserve">Sum of VM vNIC </w:t>
            </w:r>
            <w:r w:rsidRPr="00611E83">
              <w:t>net.received.average</w:t>
            </w:r>
            <w:r w:rsidRPr="00BD223D">
              <w:t xml:space="preserve"> metric, only if it’s backed by distributed port group. </w:t>
            </w:r>
          </w:p>
        </w:tc>
      </w:tr>
      <w:tr w:rsidR="00BD223D" w14:paraId="5E441F0B" w14:textId="77777777" w:rsidTr="002038C4">
        <w:tc>
          <w:tcPr>
            <w:tcW w:w="993" w:type="dxa"/>
            <w:vMerge/>
          </w:tcPr>
          <w:p w14:paraId="08B4B687" w14:textId="77777777" w:rsidR="00BD223D" w:rsidRPr="00BD223D" w:rsidRDefault="00BD223D" w:rsidP="00BD223D">
            <w:pPr>
              <w:pStyle w:val="Tablecontent"/>
            </w:pPr>
          </w:p>
        </w:tc>
        <w:tc>
          <w:tcPr>
            <w:tcW w:w="3118" w:type="dxa"/>
            <w:vAlign w:val="center"/>
          </w:tcPr>
          <w:p w14:paraId="17CB1DD4" w14:textId="2A91A912" w:rsidR="00BD223D" w:rsidRPr="00BD223D" w:rsidRDefault="00BD223D" w:rsidP="00BD223D">
            <w:pPr>
              <w:pStyle w:val="Tablecontent"/>
            </w:pPr>
            <w:r w:rsidRPr="00611E83">
              <w:t>Ingress Traffic (KBps)</w:t>
            </w:r>
          </w:p>
        </w:tc>
        <w:tc>
          <w:tcPr>
            <w:tcW w:w="6355" w:type="dxa"/>
            <w:vAlign w:val="center"/>
          </w:tcPr>
          <w:p w14:paraId="66441E1D" w14:textId="2AA0CFF0" w:rsidR="00BD223D" w:rsidRPr="00BD223D" w:rsidRDefault="00BD223D" w:rsidP="00BD223D">
            <w:pPr>
              <w:pStyle w:val="Tablecontent"/>
            </w:pPr>
            <w:r>
              <w:t xml:space="preserve">As above, but using the </w:t>
            </w:r>
            <w:r w:rsidRPr="00611E83">
              <w:t>net.transmitted.average</w:t>
            </w:r>
            <w:r>
              <w:t xml:space="preserve"> metric.</w:t>
            </w:r>
          </w:p>
        </w:tc>
      </w:tr>
      <w:tr w:rsidR="00BD223D" w14:paraId="474635E8" w14:textId="77777777" w:rsidTr="002038C4">
        <w:tc>
          <w:tcPr>
            <w:tcW w:w="993" w:type="dxa"/>
            <w:vMerge/>
          </w:tcPr>
          <w:p w14:paraId="35E32F89" w14:textId="77777777" w:rsidR="00BD223D" w:rsidRPr="00BD223D" w:rsidRDefault="00BD223D" w:rsidP="00BD223D">
            <w:pPr>
              <w:pStyle w:val="Tablecontent"/>
            </w:pPr>
          </w:p>
        </w:tc>
        <w:tc>
          <w:tcPr>
            <w:tcW w:w="3118" w:type="dxa"/>
            <w:vAlign w:val="center"/>
          </w:tcPr>
          <w:p w14:paraId="67A3743B" w14:textId="1E1B101C" w:rsidR="00BD223D" w:rsidRPr="00BD223D" w:rsidRDefault="00BD223D" w:rsidP="00BD223D">
            <w:pPr>
              <w:pStyle w:val="Tablecontent"/>
            </w:pPr>
            <w:r w:rsidRPr="00611E83">
              <w:t>Utilization (KBps)</w:t>
            </w:r>
          </w:p>
        </w:tc>
        <w:tc>
          <w:tcPr>
            <w:tcW w:w="6355" w:type="dxa"/>
            <w:vAlign w:val="center"/>
          </w:tcPr>
          <w:p w14:paraId="04AEF6FF" w14:textId="213F55F4" w:rsidR="00BD223D" w:rsidRPr="00BD223D" w:rsidRDefault="00BD223D" w:rsidP="00BD223D">
            <w:pPr>
              <w:pStyle w:val="Tablecontent"/>
            </w:pPr>
            <w:r>
              <w:t>From vRealize Operations Egress + Ingress metrics</w:t>
            </w:r>
          </w:p>
        </w:tc>
      </w:tr>
    </w:tbl>
    <w:p w14:paraId="53FBE56F" w14:textId="2D706C6B" w:rsidR="00173EBC" w:rsidRDefault="00D810B5" w:rsidP="00E32B5B">
      <w:pPr>
        <w:rPr>
          <w:lang w:val="en-GB"/>
        </w:rPr>
      </w:pPr>
      <w:r w:rsidRPr="00A452F2">
        <w:rPr>
          <w:lang w:val="en-GB"/>
        </w:rPr>
        <w:t xml:space="preserve">Capacity management does not apply to a port group, since its upper limit (also known as the physical capacity) can vary by even a minute. </w:t>
      </w:r>
      <w:r w:rsidR="00BE4173">
        <w:rPr>
          <w:lang w:val="en-GB"/>
        </w:rPr>
        <w:t xml:space="preserve">You can use </w:t>
      </w:r>
      <w:r w:rsidR="006D741A" w:rsidRPr="00A452F2">
        <w:rPr>
          <w:lang w:val="en-GB"/>
        </w:rPr>
        <w:t>static binding</w:t>
      </w:r>
      <w:r w:rsidR="00BE4173">
        <w:rPr>
          <w:lang w:val="en-GB"/>
        </w:rPr>
        <w:t xml:space="preserve"> if that helps in capacity and performance management.</w:t>
      </w:r>
    </w:p>
    <w:p w14:paraId="16CBD4CA" w14:textId="54AE4886" w:rsidR="00470456" w:rsidRPr="00470456" w:rsidRDefault="00A67DBB" w:rsidP="00470456">
      <w:pPr>
        <w:rPr>
          <w:lang w:val="en-GB"/>
        </w:rPr>
      </w:pPr>
      <w:r>
        <w:rPr>
          <w:lang w:val="en-GB"/>
        </w:rPr>
        <w:t>At the physical layer, you need to use adapter to gain visibility</w:t>
      </w:r>
      <w:r w:rsidR="00D23A4D">
        <w:rPr>
          <w:lang w:val="en-GB"/>
        </w:rPr>
        <w:t xml:space="preserve">. This gets you interesting metric such as CRC errors, </w:t>
      </w:r>
      <w:r w:rsidR="00470456" w:rsidRPr="00470456">
        <w:rPr>
          <w:lang w:val="en-GB"/>
        </w:rPr>
        <w:t>input drop</w:t>
      </w:r>
      <w:r w:rsidR="00C72915">
        <w:rPr>
          <w:lang w:val="en-GB"/>
        </w:rPr>
        <w:t xml:space="preserve"> (</w:t>
      </w:r>
      <w:r w:rsidR="007F134A">
        <w:rPr>
          <w:lang w:val="en-GB"/>
        </w:rPr>
        <w:t>system unable to cope with incoming packets</w:t>
      </w:r>
      <w:r w:rsidR="00C72915">
        <w:rPr>
          <w:lang w:val="en-GB"/>
        </w:rPr>
        <w:t>)</w:t>
      </w:r>
      <w:r w:rsidR="00470456" w:rsidRPr="00470456">
        <w:rPr>
          <w:lang w:val="en-GB"/>
        </w:rPr>
        <w:t>, input error</w:t>
      </w:r>
      <w:r w:rsidR="005D5875">
        <w:rPr>
          <w:lang w:val="en-GB"/>
        </w:rPr>
        <w:t xml:space="preserve"> (likely due to </w:t>
      </w:r>
      <w:r w:rsidR="00BF070B" w:rsidRPr="00470456">
        <w:rPr>
          <w:lang w:val="en-GB"/>
        </w:rPr>
        <w:t xml:space="preserve">physical layer issues, </w:t>
      </w:r>
      <w:r w:rsidR="007F134A">
        <w:rPr>
          <w:lang w:val="en-GB"/>
        </w:rPr>
        <w:t xml:space="preserve">such as </w:t>
      </w:r>
      <w:r w:rsidR="00BF070B" w:rsidRPr="00470456">
        <w:rPr>
          <w:lang w:val="en-GB"/>
        </w:rPr>
        <w:t xml:space="preserve">bad hardware, a noisy line, a bad connection, or incorrect </w:t>
      </w:r>
      <w:r w:rsidR="00BF070B">
        <w:rPr>
          <w:lang w:val="en-GB"/>
        </w:rPr>
        <w:t>data conversion)</w:t>
      </w:r>
      <w:r w:rsidR="00470456" w:rsidRPr="00470456">
        <w:rPr>
          <w:lang w:val="en-GB"/>
        </w:rPr>
        <w:t>, interface reset</w:t>
      </w:r>
      <w:r w:rsidR="00D85FC6">
        <w:rPr>
          <w:lang w:val="en-GB"/>
        </w:rPr>
        <w:t xml:space="preserve"> (due to issues such as congestion </w:t>
      </w:r>
      <w:r w:rsidR="00E34986">
        <w:rPr>
          <w:lang w:val="en-GB"/>
        </w:rPr>
        <w:t>on the line)</w:t>
      </w:r>
      <w:r w:rsidR="004009D2">
        <w:rPr>
          <w:lang w:val="en-GB"/>
        </w:rPr>
        <w:t>, output drop</w:t>
      </w:r>
      <w:r w:rsidR="00CC6FBB">
        <w:rPr>
          <w:lang w:val="en-GB"/>
        </w:rPr>
        <w:t xml:space="preserve"> (</w:t>
      </w:r>
      <w:r w:rsidR="00CC6FBB" w:rsidRPr="00470456">
        <w:rPr>
          <w:lang w:val="en-GB"/>
        </w:rPr>
        <w:t xml:space="preserve">system </w:t>
      </w:r>
      <w:r w:rsidR="00B247E5">
        <w:rPr>
          <w:lang w:val="en-GB"/>
        </w:rPr>
        <w:t xml:space="preserve">tries </w:t>
      </w:r>
      <w:r w:rsidR="00CC6FBB" w:rsidRPr="00470456">
        <w:rPr>
          <w:lang w:val="en-GB"/>
        </w:rPr>
        <w:t xml:space="preserve">to hand off a packet to a transmit buffer but </w:t>
      </w:r>
      <w:r w:rsidR="00B247E5">
        <w:rPr>
          <w:lang w:val="en-GB"/>
        </w:rPr>
        <w:t xml:space="preserve">it has </w:t>
      </w:r>
      <w:r w:rsidR="00CC6FBB" w:rsidRPr="00470456">
        <w:rPr>
          <w:lang w:val="en-GB"/>
        </w:rPr>
        <w:t xml:space="preserve">no </w:t>
      </w:r>
      <w:r w:rsidR="00B247E5">
        <w:rPr>
          <w:lang w:val="en-GB"/>
        </w:rPr>
        <w:t xml:space="preserve">more </w:t>
      </w:r>
      <w:r w:rsidR="00CC6FBB" w:rsidRPr="00470456">
        <w:rPr>
          <w:lang w:val="en-GB"/>
        </w:rPr>
        <w:t>buffers</w:t>
      </w:r>
      <w:r w:rsidR="00CC6FBB">
        <w:rPr>
          <w:lang w:val="en-GB"/>
        </w:rPr>
        <w:t>)</w:t>
      </w:r>
      <w:r w:rsidR="004009D2">
        <w:rPr>
          <w:lang w:val="en-GB"/>
        </w:rPr>
        <w:t xml:space="preserve">. More is covered </w:t>
      </w:r>
      <w:hyperlink r:id="rId926" w:history="1">
        <w:r w:rsidR="004009D2" w:rsidRPr="00CC6FBB">
          <w:rPr>
            <w:rStyle w:val="Hyperlink"/>
            <w:lang w:val="en-GB"/>
          </w:rPr>
          <w:t>here</w:t>
        </w:r>
      </w:hyperlink>
      <w:r w:rsidR="004009D2">
        <w:rPr>
          <w:lang w:val="en-GB"/>
        </w:rPr>
        <w:t xml:space="preserve">. </w:t>
      </w:r>
    </w:p>
    <w:p w14:paraId="425F5ACC" w14:textId="77777777" w:rsidR="009C7B64" w:rsidRDefault="00D00795" w:rsidP="00470456">
      <w:pPr>
        <w:rPr>
          <w:lang w:val="en-GB"/>
        </w:rPr>
      </w:pPr>
      <w:r>
        <w:rPr>
          <w:lang w:val="en-GB"/>
        </w:rPr>
        <w:t xml:space="preserve">You should expect error to be 0 or </w:t>
      </w:r>
      <w:r w:rsidR="00D85FC6">
        <w:rPr>
          <w:lang w:val="en-GB"/>
        </w:rPr>
        <w:t>below 1%.</w:t>
      </w:r>
    </w:p>
    <w:p w14:paraId="482E8834" w14:textId="77777777" w:rsidR="00487E8C" w:rsidRDefault="00487E8C" w:rsidP="00487E8C">
      <w:pPr>
        <w:pStyle w:val="Heading2"/>
        <w:rPr>
          <w:lang w:val="en-GB"/>
        </w:rPr>
      </w:pPr>
      <w:r>
        <w:rPr>
          <w:lang w:val="en-GB"/>
        </w:rPr>
        <w:lastRenderedPageBreak/>
        <w:t>Horizon</w:t>
      </w:r>
    </w:p>
    <w:p w14:paraId="3C2C02D8" w14:textId="77777777" w:rsidR="00487E8C" w:rsidRPr="00487E8C" w:rsidRDefault="00487E8C" w:rsidP="00487E8C">
      <w:pPr>
        <w:pStyle w:val="AfterChapterTitle"/>
        <w:tabs>
          <w:tab w:val="left" w:pos="1410"/>
        </w:tabs>
        <w:rPr>
          <w:lang w:val="en-GB"/>
        </w:rPr>
      </w:pPr>
      <w:r>
        <mc:AlternateContent>
          <mc:Choice Requires="wps">
            <w:drawing>
              <wp:anchor distT="0" distB="0" distL="114300" distR="114300" simplePos="0" relativeHeight="251700224" behindDoc="0" locked="0" layoutInCell="1" allowOverlap="1" wp14:anchorId="6779796D" wp14:editId="3A3434EC">
                <wp:simplePos x="0" y="0"/>
                <wp:positionH relativeFrom="column">
                  <wp:posOffset>0</wp:posOffset>
                </wp:positionH>
                <wp:positionV relativeFrom="paragraph">
                  <wp:posOffset>0</wp:posOffset>
                </wp:positionV>
                <wp:extent cx="1828800" cy="1828800"/>
                <wp:effectExtent l="0" t="0" r="0" b="0"/>
                <wp:wrapNone/>
                <wp:docPr id="1971069053" name="Text Box 197106905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2BA828A" w14:textId="1D318EB5" w:rsidR="00487E8C" w:rsidRPr="00C84219" w:rsidRDefault="00487E8C" w:rsidP="00487E8C">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2 Chapter </w:t>
                            </w:r>
                            <w:r w:rsidR="00893FC3">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6779796D" id="Text Box 1971069053" o:spid="_x0000_s1039" type="#_x0000_t202" style="position:absolute;margin-left:0;margin-top:0;width:2in;height:2in;z-index:2517002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" filled="f" stroked="f">
                <v:textbox style="mso-fit-shape-to-text:t">
                  <w:txbxContent>
                    <w:p w14:paraId="02BA828A" w14:textId="1D318EB5" w:rsidR="00487E8C" w:rsidRPr="00C84219" w:rsidRDefault="00487E8C" w:rsidP="00487E8C">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2 Chapter </w:t>
                      </w:r>
                      <w:r w:rsidR="00893FC3">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9</w:t>
                      </w:r>
                    </w:p>
                  </w:txbxContent>
                </v:textbox>
              </v:shape>
            </w:pict>
          </mc:Fallback>
        </mc:AlternateContent>
      </w:r>
      <w:r>
        <w:rPr>
          <w:lang w:val="en-GB"/>
        </w:rPr>
        <w:tab/>
      </w:r>
    </w:p>
    <w:p w14:paraId="7F75DBAD" w14:textId="77777777" w:rsidR="00487E8C" w:rsidRPr="00487E8C" w:rsidRDefault="00487E8C" w:rsidP="00487E8C">
      <w:pPr>
        <w:rPr>
          <w:lang w:val="en-GB"/>
        </w:rPr>
      </w:pPr>
    </w:p>
    <w:p w14:paraId="5926F0C3" w14:textId="77777777" w:rsidR="00E55491" w:rsidRDefault="00E55491" w:rsidP="00E55491">
      <w:pPr>
        <w:pStyle w:val="Heading3"/>
      </w:pPr>
      <w:r>
        <w:t>RDS vs VDI</w:t>
      </w:r>
    </w:p>
    <w:p w14:paraId="45EF48BF" w14:textId="77777777" w:rsidR="00E55491" w:rsidRDefault="00E55491" w:rsidP="00E55491">
      <w:pPr>
        <w:rPr>
          <w:lang w:val="en-GB"/>
        </w:rPr>
      </w:pPr>
      <w:r>
        <w:rPr>
          <w:lang w:val="en-GB"/>
        </w:rPr>
        <w:t>At the end of the day, users just wants to access their desktops (e.g. to organise their files) and use their applications (e.g. browser, spreadsheet). There are 2 competing architecture to deliver the above (desktop and application):</w:t>
      </w:r>
    </w:p>
    <w:p w14:paraId="07C6B469" w14:textId="77777777" w:rsidR="00E55491" w:rsidRDefault="00E55491" w:rsidP="00E55491">
      <w:pPr>
        <w:pStyle w:val="Bullet"/>
        <w:rPr>
          <w:lang w:val="en-GB"/>
        </w:rPr>
      </w:pPr>
      <w:r>
        <w:rPr>
          <w:lang w:val="en-GB"/>
        </w:rPr>
        <w:t xml:space="preserve">Shared Windows. This is typically Windows Server. </w:t>
      </w:r>
    </w:p>
    <w:p w14:paraId="6D03DEA2" w14:textId="77777777" w:rsidR="00E55491" w:rsidRDefault="00E55491" w:rsidP="00E55491">
      <w:pPr>
        <w:pStyle w:val="Bullet"/>
        <w:rPr>
          <w:lang w:val="en-GB"/>
        </w:rPr>
      </w:pPr>
      <w:r>
        <w:rPr>
          <w:lang w:val="en-GB"/>
        </w:rPr>
        <w:t>Dedicated Windows. This is almost always Windows 10</w:t>
      </w:r>
    </w:p>
    <w:p w14:paraId="4880D96C" w14:textId="77777777" w:rsidR="00E55491" w:rsidRDefault="00E55491" w:rsidP="00E55491">
      <w:pPr>
        <w:rPr>
          <w:lang w:val="en-GB"/>
        </w:rPr>
      </w:pPr>
      <w:r>
        <w:rPr>
          <w:lang w:val="en-GB"/>
        </w:rPr>
        <w:t xml:space="preserve">The shared architecture is called RDS and the dedicated architecture is called VDI. As you can guess, the shared is cheaper as it has less overhead, but harder to troubleshoot. Shared technology also carries higher availability risk. When the application or Windows crash, more than 1 user are affected. Windows 2019 also does not have concept of shares, limit and reservation. All the sessions compete freely for its resources. </w:t>
      </w:r>
    </w:p>
    <w:p w14:paraId="1221E5B8" w14:textId="77777777" w:rsidR="00E55491" w:rsidRDefault="00E55491" w:rsidP="00E55491">
      <w:pPr>
        <w:rPr>
          <w:lang w:val="en-GB"/>
        </w:rPr>
      </w:pPr>
      <w:r>
        <w:rPr>
          <w:lang w:val="en-GB"/>
        </w:rPr>
        <w:t>Another complication for RDS is user to host mapping is not deterministic. It’s a many to many relationship and it can change even on one user over time. As a result, it</w:t>
      </w:r>
      <w:r w:rsidRPr="00B92622">
        <w:rPr>
          <w:lang w:val="en-GB"/>
        </w:rPr>
        <w:t xml:space="preserve">’s meaningless to include BLAST/PCoIP data </w:t>
      </w:r>
      <w:r>
        <w:rPr>
          <w:lang w:val="en-GB"/>
        </w:rPr>
        <w:t>in RDS Host monitoring</w:t>
      </w:r>
      <w:r w:rsidRPr="00B92622">
        <w:rPr>
          <w:lang w:val="en-GB"/>
        </w:rPr>
        <w:t>. This relationship changes</w:t>
      </w:r>
      <w:r>
        <w:rPr>
          <w:lang w:val="en-GB"/>
        </w:rPr>
        <w:t xml:space="preserve"> frequently that </w:t>
      </w:r>
      <w:r w:rsidRPr="00B92622">
        <w:rPr>
          <w:lang w:val="en-GB"/>
        </w:rPr>
        <w:t>there is no point to do pattern analysis.</w:t>
      </w:r>
    </w:p>
    <w:p w14:paraId="39768362" w14:textId="77777777" w:rsidR="00E55491" w:rsidRDefault="00000000" w:rsidP="00E55491">
      <w:hyperlink r:id="rId927" w:history="1">
        <w:r w:rsidR="00E55491" w:rsidRPr="00627EEF">
          <w:rPr>
            <w:rStyle w:val="Hyperlink"/>
            <w:lang w:val="en-GB"/>
          </w:rPr>
          <w:t>Hilko Lantiga</w:t>
        </w:r>
      </w:hyperlink>
      <w:r w:rsidR="00E55491">
        <w:rPr>
          <w:lang w:val="en-GB"/>
        </w:rPr>
        <w:t xml:space="preserve"> shares another limitation of RDS is the load balancer does not balance based on actual load. It’s simply distributing the session based on initial placement. The initial placement can consider any metrics, but there is no “session vMotion” subsequently within the RDS Farm. </w:t>
      </w:r>
      <w:r w:rsidR="00E55491">
        <w:t xml:space="preserve">If you are unlucky all the heavy users could end up on the same RDS session host. That’s why vRealize Operations introduces the Usage Disparity metrics. </w:t>
      </w:r>
      <w:r w:rsidR="00E55491" w:rsidRPr="001C1470">
        <w:rPr>
          <w:noProof/>
          <w:lang w:val="en-GB"/>
        </w:rPr>
        <w:drawing>
          <wp:inline distT="0" distB="0" distL="0" distR="0" wp14:anchorId="416822E3" wp14:editId="530F487D">
            <wp:extent cx="6645910" cy="1795780"/>
            <wp:effectExtent l="0" t="0" r="2540" b="0"/>
            <wp:docPr id="357815403" name="Picture 357815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8"/>
                    <a:stretch>
                      <a:fillRect/>
                    </a:stretch>
                  </pic:blipFill>
                  <pic:spPr>
                    <a:xfrm>
                      <a:off x="0" y="0"/>
                      <a:ext cx="6645910" cy="1795780"/>
                    </a:xfrm>
                    <a:prstGeom prst="rect">
                      <a:avLst/>
                    </a:prstGeom>
                  </pic:spPr>
                </pic:pic>
              </a:graphicData>
            </a:graphic>
          </wp:inline>
        </w:drawing>
      </w:r>
    </w:p>
    <w:p w14:paraId="129B21A4" w14:textId="77777777" w:rsidR="00E55491" w:rsidRDefault="00E55491" w:rsidP="00E55491">
      <w:r>
        <w:t xml:space="preserve">Horizon Admin UI shows both VDI desktop pool and RDS desktop pool in a combined list. The following screenshot shows both types. </w:t>
      </w:r>
    </w:p>
    <w:p w14:paraId="64665EA7" w14:textId="77777777" w:rsidR="00E55491" w:rsidRPr="00006F22" w:rsidRDefault="00E55491" w:rsidP="00E55491">
      <w:pPr>
        <w:rPr>
          <w:lang w:val="en-GB"/>
        </w:rPr>
      </w:pPr>
      <w:r w:rsidRPr="0060526D">
        <w:rPr>
          <w:noProof/>
          <w:lang w:val="en-GB"/>
        </w:rPr>
        <w:drawing>
          <wp:inline distT="0" distB="0" distL="0" distR="0" wp14:anchorId="0C5CBE14" wp14:editId="5CF4B07F">
            <wp:extent cx="6645910" cy="2537460"/>
            <wp:effectExtent l="0" t="0" r="2540" b="0"/>
            <wp:docPr id="567723381" name="Picture 567723381"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81" name="Picture 567723381" descr="Graphical user interface&#10;&#10;Description automatically generated"/>
                    <pic:cNvPicPr/>
                  </pic:nvPicPr>
                  <pic:blipFill>
                    <a:blip r:embed="rId929"/>
                    <a:stretch>
                      <a:fillRect/>
                    </a:stretch>
                  </pic:blipFill>
                  <pic:spPr>
                    <a:xfrm>
                      <a:off x="0" y="0"/>
                      <a:ext cx="6645910" cy="2537460"/>
                    </a:xfrm>
                    <a:prstGeom prst="rect">
                      <a:avLst/>
                    </a:prstGeom>
                  </pic:spPr>
                </pic:pic>
              </a:graphicData>
            </a:graphic>
          </wp:inline>
        </w:drawing>
      </w:r>
    </w:p>
    <w:p w14:paraId="464A10D9" w14:textId="77777777" w:rsidR="00E55491" w:rsidRDefault="00E55491" w:rsidP="00E55491">
      <w:r>
        <w:t>VDI can be used to deliver application session. It’s not common as the overhead is the same with giving entire desktop. The primary use case is usability. If you’re delivering Windows applications to Mac users, showing them a Windows desktop will be more confusing than simply showing them the individual applications. Showing the individual application will make them feel like an Apple Mac application.</w:t>
      </w:r>
    </w:p>
    <w:p w14:paraId="2275290E" w14:textId="77777777" w:rsidR="00E55491" w:rsidRPr="00C24DFC" w:rsidRDefault="00E55491" w:rsidP="00E55491">
      <w:r>
        <w:rPr>
          <w:lang w:val="en-GB"/>
        </w:rPr>
        <w:t xml:space="preserve">RDS presents another challenge as </w:t>
      </w:r>
      <w:r>
        <w:t>it</w:t>
      </w:r>
      <w:r w:rsidRPr="00667B7C">
        <w:t xml:space="preserve"> introduces Farm and Host concept. </w:t>
      </w:r>
      <w:r>
        <w:t>A farm can have many hosts and many pools, and</w:t>
      </w:r>
      <w:r w:rsidRPr="00667B7C">
        <w:t xml:space="preserve"> pool has M:N relationship to </w:t>
      </w:r>
      <w:r>
        <w:t>h</w:t>
      </w:r>
      <w:r w:rsidRPr="00667B7C">
        <w:t>ost</w:t>
      </w:r>
      <w:r>
        <w:t>. A</w:t>
      </w:r>
      <w:r>
        <w:rPr>
          <w:lang w:val="en-GB"/>
        </w:rPr>
        <w:t xml:space="preserve"> session connects to a pool, and runs on the host. So a session has 2 parents: pool and host. To keep it simpler operationally, limit to 1 pool per RDS farm. But this results in smaller farms and more farms. </w:t>
      </w:r>
    </w:p>
    <w:p w14:paraId="03B4B7DC" w14:textId="77777777" w:rsidR="00E55491" w:rsidRDefault="00E55491" w:rsidP="00E55491">
      <w:pPr>
        <w:jc w:val="center"/>
      </w:pPr>
      <w:r w:rsidRPr="006B683D">
        <w:rPr>
          <w:noProof/>
        </w:rPr>
        <w:lastRenderedPageBreak/>
        <w:drawing>
          <wp:inline distT="0" distB="0" distL="0" distR="0" wp14:anchorId="3223F0EC" wp14:editId="27DE6015">
            <wp:extent cx="4330923" cy="2152761"/>
            <wp:effectExtent l="0" t="0" r="0" b="0"/>
            <wp:docPr id="357815406" name="Picture 357815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0"/>
                    <a:stretch>
                      <a:fillRect/>
                    </a:stretch>
                  </pic:blipFill>
                  <pic:spPr>
                    <a:xfrm>
                      <a:off x="0" y="0"/>
                      <a:ext cx="4330923" cy="2152761"/>
                    </a:xfrm>
                    <a:prstGeom prst="rect">
                      <a:avLst/>
                    </a:prstGeom>
                  </pic:spPr>
                </pic:pic>
              </a:graphicData>
            </a:graphic>
          </wp:inline>
        </w:drawing>
      </w:r>
    </w:p>
    <w:p w14:paraId="46FE281F" w14:textId="77777777" w:rsidR="00E55491" w:rsidRDefault="00E55491" w:rsidP="00E55491">
      <w:r>
        <w:t>In terms of monitoring and troubleshooting, VDI provides more metrics, as it’s just a VM. RDSH provides limited metrics, as they are just a collection of processes. For example, process level contention (be it CPU, memory, disk and network) are not exposed. At present, RDS only provides the following</w:t>
      </w:r>
    </w:p>
    <w:p w14:paraId="1F5605C1" w14:textId="77777777" w:rsidR="00E55491" w:rsidRDefault="00E55491" w:rsidP="00E55491">
      <w:pPr>
        <w:pStyle w:val="Bullet"/>
      </w:pPr>
      <w:r>
        <w:t>CPU Usage (%).</w:t>
      </w:r>
    </w:p>
    <w:p w14:paraId="42278472" w14:textId="77777777" w:rsidR="00E55491" w:rsidRDefault="00E55491" w:rsidP="00E55491">
      <w:pPr>
        <w:pStyle w:val="Bullet"/>
      </w:pPr>
      <w:r>
        <w:t>Disk IOPS</w:t>
      </w:r>
    </w:p>
    <w:p w14:paraId="0110E043" w14:textId="77777777" w:rsidR="00E55491" w:rsidRDefault="00E55491" w:rsidP="00E55491">
      <w:pPr>
        <w:pStyle w:val="Bullet"/>
      </w:pPr>
      <w:r>
        <w:t>Memory Usage (%)</w:t>
      </w:r>
    </w:p>
    <w:p w14:paraId="7F780B74" w14:textId="77777777" w:rsidR="00E55491" w:rsidRDefault="00E55491" w:rsidP="00E55491">
      <w:r>
        <w:t xml:space="preserve">You might notice that the above 3 metrics matches what you see at Horizon console. </w:t>
      </w:r>
    </w:p>
    <w:p w14:paraId="3B5C6C49" w14:textId="77777777" w:rsidR="00E55491" w:rsidRDefault="00E55491" w:rsidP="00E55491">
      <w:r>
        <w:t>The following diagram shows the possible permutation that you can give to a user. Let’s start with RDS first.</w:t>
      </w:r>
    </w:p>
    <w:p w14:paraId="63B2F75F" w14:textId="77777777" w:rsidR="00E55491" w:rsidRDefault="00E55491" w:rsidP="00E55491">
      <w:r w:rsidRPr="00FB4F0E">
        <w:rPr>
          <w:noProof/>
        </w:rPr>
        <w:drawing>
          <wp:inline distT="0" distB="0" distL="0" distR="0" wp14:anchorId="1918D102" wp14:editId="68170939">
            <wp:extent cx="6645910" cy="2420620"/>
            <wp:effectExtent l="0" t="0" r="2540" b="0"/>
            <wp:docPr id="357815410" name="Picture 357815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1"/>
                    <a:stretch>
                      <a:fillRect/>
                    </a:stretch>
                  </pic:blipFill>
                  <pic:spPr>
                    <a:xfrm>
                      <a:off x="0" y="0"/>
                      <a:ext cx="6645910" cy="2420620"/>
                    </a:xfrm>
                    <a:prstGeom prst="rect">
                      <a:avLst/>
                    </a:prstGeom>
                  </pic:spPr>
                </pic:pic>
              </a:graphicData>
            </a:graphic>
          </wp:inline>
        </w:drawing>
      </w:r>
    </w:p>
    <w:p w14:paraId="63C8E2F5" w14:textId="77777777" w:rsidR="00E55491" w:rsidRDefault="00E55491" w:rsidP="00E55491">
      <w:pPr>
        <w:tabs>
          <w:tab w:val="right" w:pos="10466"/>
        </w:tabs>
      </w:pPr>
      <w:r>
        <w:t xml:space="preserve">For VDI, this is what the connection looks like. The pool </w:t>
      </w:r>
      <w:r w:rsidRPr="00834F71">
        <w:rPr>
          <w:color w:val="FF0000"/>
        </w:rPr>
        <w:t xml:space="preserve">cannot </w:t>
      </w:r>
      <w:r>
        <w:t xml:space="preserve">be both desktop pool and application pool. </w:t>
      </w:r>
      <w:r>
        <w:tab/>
      </w:r>
    </w:p>
    <w:p w14:paraId="2CB7BCFA" w14:textId="77777777" w:rsidR="00E55491" w:rsidRDefault="00E55491" w:rsidP="00E55491">
      <w:r w:rsidRPr="00F21980">
        <w:rPr>
          <w:noProof/>
        </w:rPr>
        <w:drawing>
          <wp:inline distT="0" distB="0" distL="0" distR="0" wp14:anchorId="56C9C532" wp14:editId="159EE1D0">
            <wp:extent cx="6645910" cy="1762125"/>
            <wp:effectExtent l="0" t="0" r="2540" b="9525"/>
            <wp:docPr id="357815411" name="Picture 357815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2"/>
                    <a:stretch>
                      <a:fillRect/>
                    </a:stretch>
                  </pic:blipFill>
                  <pic:spPr>
                    <a:xfrm>
                      <a:off x="0" y="0"/>
                      <a:ext cx="6645910" cy="1762125"/>
                    </a:xfrm>
                    <a:prstGeom prst="rect">
                      <a:avLst/>
                    </a:prstGeom>
                  </pic:spPr>
                </pic:pic>
              </a:graphicData>
            </a:graphic>
          </wp:inline>
        </w:drawing>
      </w:r>
    </w:p>
    <w:p w14:paraId="1FD992D9" w14:textId="77777777" w:rsidR="00E55491" w:rsidRDefault="00E55491" w:rsidP="00E55491">
      <w:r>
        <w:lastRenderedPageBreak/>
        <w:t>I did not draw the permutation where a user accesses all 4 types of sessions. You can certainly have it. When you design, think of complexity in operations. Flexibility can reduce cost but often comes at the price of complexity. A few human errors in a year can negate the benefit of cost savings, or reduce customer satisfaction.</w:t>
      </w:r>
    </w:p>
    <w:p w14:paraId="78E34201" w14:textId="77777777" w:rsidR="00E55491" w:rsidRPr="00BD7C8B" w:rsidRDefault="00E55491" w:rsidP="00E55491">
      <w:r>
        <w:t>Horizon sessions are ephemeral objects. In solution such as Instant Clone, the vSphere VM is also a temporary object that gets destroyed after usage. This means the historical data will be lost too. To enable troubleshooting past data, we keep a copy of the data in the User object.</w:t>
      </w:r>
    </w:p>
    <w:p w14:paraId="239D8B14" w14:textId="77777777" w:rsidR="00E55491" w:rsidRDefault="00E55491" w:rsidP="00E55491">
      <w:pPr>
        <w:pStyle w:val="Heading3"/>
      </w:pPr>
      <w:r>
        <w:t>Object Model</w:t>
      </w:r>
    </w:p>
    <w:p w14:paraId="6DED47D8" w14:textId="77777777" w:rsidR="00E55491" w:rsidRDefault="00E55491" w:rsidP="00E55491">
      <w:pPr>
        <w:rPr>
          <w:lang w:val="en-GB"/>
        </w:rPr>
      </w:pPr>
      <w:r>
        <w:rPr>
          <w:lang w:val="en-GB"/>
        </w:rPr>
        <w:t>A critical foundation in managing a mission critical VDI is the object model. This means the objects and relationship among the objects. It will be impossible to roll up if the correct hierarchy is not in place. The object model also plays a critical role in navigating the structure of a large Horizon set up. It complements the tabular presentation by showing relationship and hierarchy clearly.</w:t>
      </w:r>
    </w:p>
    <w:p w14:paraId="42EA118B" w14:textId="77777777" w:rsidR="00E55491" w:rsidRDefault="00E55491" w:rsidP="00E55491">
      <w:pPr>
        <w:rPr>
          <w:lang w:val="en-GB"/>
        </w:rPr>
      </w:pPr>
      <w:r w:rsidRPr="00A12672">
        <w:rPr>
          <w:noProof/>
          <w:lang w:val="en-GB"/>
        </w:rPr>
        <w:drawing>
          <wp:inline distT="0" distB="0" distL="0" distR="0" wp14:anchorId="288A5DD0" wp14:editId="5F3DBA3F">
            <wp:extent cx="6645910" cy="2515870"/>
            <wp:effectExtent l="0" t="0" r="2540" b="0"/>
            <wp:docPr id="1583707916" name="Picture 1583707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3"/>
                    <a:stretch>
                      <a:fillRect/>
                    </a:stretch>
                  </pic:blipFill>
                  <pic:spPr>
                    <a:xfrm>
                      <a:off x="0" y="0"/>
                      <a:ext cx="6645910" cy="2515870"/>
                    </a:xfrm>
                    <a:prstGeom prst="rect">
                      <a:avLst/>
                    </a:prstGeom>
                  </pic:spPr>
                </pic:pic>
              </a:graphicData>
            </a:graphic>
          </wp:inline>
        </w:drawing>
      </w:r>
    </w:p>
    <w:p w14:paraId="28AFE6E0" w14:textId="77777777" w:rsidR="00E55491" w:rsidRDefault="00E55491" w:rsidP="00E55491">
      <w:pPr>
        <w:rPr>
          <w:lang w:val="en-GB"/>
        </w:rPr>
      </w:pPr>
      <w:r>
        <w:rPr>
          <w:lang w:val="en-GB"/>
        </w:rPr>
        <w:t>vRealize Operations 8.4 sports a new adapter, replacing the previous adapter (called V4H). It sports a revamped object model, blending vSphere and Horizon objects as one traversal path, as shown in the following diagram.</w:t>
      </w:r>
    </w:p>
    <w:p w14:paraId="7F38EFFF" w14:textId="77777777" w:rsidR="00E55491" w:rsidRDefault="00E55491" w:rsidP="00E55491">
      <w:pPr>
        <w:rPr>
          <w:lang w:val="en-GB"/>
        </w:rPr>
      </w:pPr>
      <w:r w:rsidRPr="009C231F">
        <w:rPr>
          <w:noProof/>
          <w:lang w:val="en-GB"/>
        </w:rPr>
        <w:lastRenderedPageBreak/>
        <w:drawing>
          <wp:inline distT="0" distB="0" distL="0" distR="0" wp14:anchorId="5E1EF0E1" wp14:editId="640BDA74">
            <wp:extent cx="6645910" cy="3200400"/>
            <wp:effectExtent l="0" t="0" r="2540" b="0"/>
            <wp:docPr id="357815368" name="Picture 357815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4"/>
                    <a:stretch>
                      <a:fillRect/>
                    </a:stretch>
                  </pic:blipFill>
                  <pic:spPr>
                    <a:xfrm>
                      <a:off x="0" y="0"/>
                      <a:ext cx="6645910" cy="3200400"/>
                    </a:xfrm>
                    <a:prstGeom prst="rect">
                      <a:avLst/>
                    </a:prstGeom>
                  </pic:spPr>
                </pic:pic>
              </a:graphicData>
            </a:graphic>
          </wp:inline>
        </w:drawing>
      </w:r>
    </w:p>
    <w:p w14:paraId="465BF48F" w14:textId="77777777" w:rsidR="00E55491" w:rsidRDefault="00E55491" w:rsidP="00E55491">
      <w:pPr>
        <w:rPr>
          <w:lang w:val="en-GB"/>
        </w:rPr>
      </w:pPr>
      <w:r>
        <w:rPr>
          <w:lang w:val="en-GB"/>
        </w:rPr>
        <w:t xml:space="preserve">The object model introduces a new super parent object called </w:t>
      </w:r>
      <w:r w:rsidRPr="004C65E3">
        <w:rPr>
          <w:color w:val="00B0F0"/>
          <w:lang w:val="en-GB"/>
        </w:rPr>
        <w:t>Horizon World</w:t>
      </w:r>
      <w:r>
        <w:rPr>
          <w:lang w:val="en-GB"/>
        </w:rPr>
        <w:t xml:space="preserve">, to make dashboard creation easier and support cloud provider who provides Horizon as a service. There are actually 3 such objects, as </w:t>
      </w:r>
      <w:r>
        <w:t xml:space="preserve">UAG </w:t>
      </w:r>
      <w:r>
        <w:rPr>
          <w:lang w:val="en-GB"/>
        </w:rPr>
        <w:t>and Users are not part of Cloud Pod.</w:t>
      </w:r>
    </w:p>
    <w:p w14:paraId="50C1F395" w14:textId="77777777" w:rsidR="00E55491" w:rsidRDefault="00E55491" w:rsidP="00E55491">
      <w:pPr>
        <w:jc w:val="center"/>
        <w:rPr>
          <w:lang w:val="en-GB"/>
        </w:rPr>
      </w:pPr>
      <w:r w:rsidRPr="004C65E3">
        <w:rPr>
          <w:noProof/>
          <w:lang w:val="en-GB"/>
        </w:rPr>
        <w:drawing>
          <wp:inline distT="0" distB="0" distL="0" distR="0" wp14:anchorId="35C87181" wp14:editId="65B721C6">
            <wp:extent cx="3477600" cy="1494000"/>
            <wp:effectExtent l="0" t="0" r="0" b="0"/>
            <wp:docPr id="910169570" name="Picture 910169570" descr="Graphical user interface, text,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70" name="Picture 910169570" descr="Graphical user interface, text, application&#10;&#10;Description automatically generated with medium confidence"/>
                    <pic:cNvPicPr/>
                  </pic:nvPicPr>
                  <pic:blipFill>
                    <a:blip r:embed="rId935"/>
                    <a:stretch>
                      <a:fillRect/>
                    </a:stretch>
                  </pic:blipFill>
                  <pic:spPr>
                    <a:xfrm>
                      <a:off x="0" y="0"/>
                      <a:ext cx="3477600" cy="1494000"/>
                    </a:xfrm>
                    <a:prstGeom prst="rect">
                      <a:avLst/>
                    </a:prstGeom>
                  </pic:spPr>
                </pic:pic>
              </a:graphicData>
            </a:graphic>
          </wp:inline>
        </w:drawing>
      </w:r>
    </w:p>
    <w:p w14:paraId="3BAA689B" w14:textId="77777777" w:rsidR="00E55491" w:rsidRDefault="00E55491" w:rsidP="00E55491">
      <w:pPr>
        <w:rPr>
          <w:lang w:val="en-GB"/>
        </w:rPr>
      </w:pPr>
      <w:r>
        <w:rPr>
          <w:lang w:val="en-GB"/>
        </w:rPr>
        <w:t xml:space="preserve">Because of the revamped object model, and major differences in metrics, there is </w:t>
      </w:r>
      <w:r w:rsidRPr="00293CC3">
        <w:rPr>
          <w:i/>
          <w:iCs/>
          <w:color w:val="FF0000"/>
          <w:lang w:val="en-GB"/>
        </w:rPr>
        <w:t>no migration</w:t>
      </w:r>
      <w:r w:rsidRPr="00293CC3">
        <w:rPr>
          <w:color w:val="FF0000"/>
          <w:lang w:val="en-GB"/>
        </w:rPr>
        <w:t xml:space="preserve"> </w:t>
      </w:r>
      <w:r>
        <w:rPr>
          <w:lang w:val="en-GB"/>
        </w:rPr>
        <w:t>from the old adapter (V4H) to this new adapter.</w:t>
      </w:r>
    </w:p>
    <w:p w14:paraId="137BD51B" w14:textId="77777777" w:rsidR="00E55491" w:rsidRDefault="00E55491" w:rsidP="00E55491">
      <w:pPr>
        <w:rPr>
          <w:lang w:val="en-GB"/>
        </w:rPr>
      </w:pPr>
      <w:r>
        <w:rPr>
          <w:lang w:val="en-GB"/>
        </w:rPr>
        <w:t xml:space="preserve">There are 2 types of application in Horizon, pool and non-pool. </w:t>
      </w:r>
      <w:r w:rsidRPr="001F1FC1">
        <w:rPr>
          <w:lang w:val="en-GB"/>
        </w:rPr>
        <w:t xml:space="preserve">Non </w:t>
      </w:r>
      <w:r>
        <w:rPr>
          <w:lang w:val="en-GB"/>
        </w:rPr>
        <w:t>p</w:t>
      </w:r>
      <w:r w:rsidRPr="001F1FC1">
        <w:rPr>
          <w:lang w:val="en-GB"/>
        </w:rPr>
        <w:t xml:space="preserve">ool </w:t>
      </w:r>
      <w:r>
        <w:rPr>
          <w:lang w:val="en-GB"/>
        </w:rPr>
        <w:t xml:space="preserve">means the application is </w:t>
      </w:r>
      <w:r w:rsidRPr="001F1FC1">
        <w:rPr>
          <w:lang w:val="en-GB"/>
        </w:rPr>
        <w:t>installed or accessed</w:t>
      </w:r>
      <w:r>
        <w:rPr>
          <w:lang w:val="en-GB"/>
        </w:rPr>
        <w:t xml:space="preserve"> directly or “individually”</w:t>
      </w:r>
      <w:r w:rsidRPr="001F1FC1">
        <w:rPr>
          <w:lang w:val="en-GB"/>
        </w:rPr>
        <w:t>. It’s not accessed via application pool</w:t>
      </w:r>
      <w:r>
        <w:rPr>
          <w:lang w:val="en-GB"/>
        </w:rPr>
        <w:t xml:space="preserve"> (such as RDS application pool or VDI application pool). Monitoring on this non-pool is naturally harder as they are “embedded” as part of Windows, hence an agent is required. Agent is good when they are well behaving. </w:t>
      </w:r>
    </w:p>
    <w:p w14:paraId="10AB3BA3" w14:textId="77777777" w:rsidR="00E55491" w:rsidRDefault="00E55491" w:rsidP="00E55491">
      <w:pPr>
        <w:pStyle w:val="Heading4"/>
      </w:pPr>
      <w:r>
        <w:t>User</w:t>
      </w:r>
    </w:p>
    <w:p w14:paraId="141B92FE" w14:textId="77777777" w:rsidR="00E55491" w:rsidRPr="00FA0192" w:rsidRDefault="00E55491" w:rsidP="00E55491">
      <w:pPr>
        <w:rPr>
          <w:lang w:val="en-GB"/>
        </w:rPr>
      </w:pPr>
      <w:r>
        <w:rPr>
          <w:lang w:val="en-GB"/>
        </w:rPr>
        <w:t>A Horizon user can have &gt;1 sessions at the same time even with 1 client. A Horizon client may connect to a VDI desktop session, which then launches a few RDS applications sessions.</w:t>
      </w:r>
    </w:p>
    <w:p w14:paraId="00E2C549" w14:textId="77777777" w:rsidR="00E55491" w:rsidRDefault="00E55491" w:rsidP="00E55491">
      <w:pPr>
        <w:rPr>
          <w:b/>
          <w:bCs/>
          <w:lang w:val="en-GB"/>
        </w:rPr>
      </w:pPr>
      <w:r w:rsidRPr="00FA0192">
        <w:rPr>
          <w:b/>
          <w:bCs/>
          <w:noProof/>
          <w:lang w:val="en-GB"/>
        </w:rPr>
        <w:lastRenderedPageBreak/>
        <w:drawing>
          <wp:inline distT="0" distB="0" distL="0" distR="0" wp14:anchorId="3D97A6CF" wp14:editId="7DE73307">
            <wp:extent cx="6645910" cy="1310640"/>
            <wp:effectExtent l="0" t="0" r="2540" b="3810"/>
            <wp:docPr id="1859674548" name="Picture 185967454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48" name="Picture 1859674548" descr="Graphical user interface, text, application&#10;&#10;Description automatically generated"/>
                    <pic:cNvPicPr/>
                  </pic:nvPicPr>
                  <pic:blipFill>
                    <a:blip r:embed="rId936"/>
                    <a:stretch>
                      <a:fillRect/>
                    </a:stretch>
                  </pic:blipFill>
                  <pic:spPr>
                    <a:xfrm>
                      <a:off x="0" y="0"/>
                      <a:ext cx="6645910" cy="1310640"/>
                    </a:xfrm>
                    <a:prstGeom prst="rect">
                      <a:avLst/>
                    </a:prstGeom>
                  </pic:spPr>
                </pic:pic>
              </a:graphicData>
            </a:graphic>
          </wp:inline>
        </w:drawing>
      </w:r>
    </w:p>
    <w:p w14:paraId="16B73F0A" w14:textId="77777777" w:rsidR="00E55491" w:rsidRPr="00E65D1B" w:rsidRDefault="00E55491" w:rsidP="00E55491">
      <w:pPr>
        <w:rPr>
          <w:lang w:val="en-GB"/>
        </w:rPr>
      </w:pPr>
      <w:r>
        <w:rPr>
          <w:lang w:val="en-GB"/>
        </w:rPr>
        <w:t>vRealize Operations shows the relationship between user and session. The following shows a user (with the blue human icon) has 2 sessions. The first is RDS Desktop (with small satellite icon) and the second one is a VDI one.</w:t>
      </w:r>
    </w:p>
    <w:p w14:paraId="0EFA1AFC" w14:textId="77777777" w:rsidR="00E55491" w:rsidRDefault="00E55491" w:rsidP="00E55491">
      <w:pPr>
        <w:jc w:val="center"/>
      </w:pPr>
      <w:r w:rsidRPr="00C820B7">
        <w:rPr>
          <w:noProof/>
        </w:rPr>
        <w:drawing>
          <wp:inline distT="0" distB="0" distL="0" distR="0" wp14:anchorId="299D9FF6" wp14:editId="1F0E6321">
            <wp:extent cx="6645910" cy="1933575"/>
            <wp:effectExtent l="0" t="0" r="2540" b="9525"/>
            <wp:docPr id="534447542" name="Picture 53444754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42" name="Picture 534447542" descr="Diagram&#10;&#10;Description automatically generated"/>
                    <pic:cNvPicPr/>
                  </pic:nvPicPr>
                  <pic:blipFill>
                    <a:blip r:embed="rId937"/>
                    <a:stretch>
                      <a:fillRect/>
                    </a:stretch>
                  </pic:blipFill>
                  <pic:spPr>
                    <a:xfrm>
                      <a:off x="0" y="0"/>
                      <a:ext cx="6645910" cy="1933575"/>
                    </a:xfrm>
                    <a:prstGeom prst="rect">
                      <a:avLst/>
                    </a:prstGeom>
                  </pic:spPr>
                </pic:pic>
              </a:graphicData>
            </a:graphic>
          </wp:inline>
        </w:drawing>
      </w:r>
    </w:p>
    <w:p w14:paraId="2BE9E4F1" w14:textId="77777777" w:rsidR="00E55491" w:rsidRDefault="00E55491" w:rsidP="00E55491">
      <w:r>
        <w:t xml:space="preserve">Depending on the architecture, a user can connect to both VDI and RDS, use both desktop session and application session, connect to different vCenter servers, and use different protocol. The following screenshot shows user Cameron Fore (sqa.local\cfore) have a wide variety. This level of flexibility can make monitoring and troubleshooting difficult. </w:t>
      </w:r>
    </w:p>
    <w:p w14:paraId="4700B3E6" w14:textId="77777777" w:rsidR="00E55491" w:rsidRPr="00C24DFC" w:rsidRDefault="00E55491" w:rsidP="00E55491">
      <w:pPr>
        <w:jc w:val="center"/>
      </w:pPr>
      <w:r w:rsidRPr="000E6E84">
        <w:rPr>
          <w:noProof/>
        </w:rPr>
        <w:drawing>
          <wp:inline distT="0" distB="0" distL="0" distR="0" wp14:anchorId="05FDBCC3" wp14:editId="723F3B29">
            <wp:extent cx="6645910" cy="3107055"/>
            <wp:effectExtent l="0" t="0" r="2540" b="0"/>
            <wp:docPr id="567723377" name="Picture 56772337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77" name="Picture 567723377" descr="Table&#10;&#10;Description automatically generated"/>
                    <pic:cNvPicPr/>
                  </pic:nvPicPr>
                  <pic:blipFill>
                    <a:blip r:embed="rId938"/>
                    <a:stretch>
                      <a:fillRect/>
                    </a:stretch>
                  </pic:blipFill>
                  <pic:spPr>
                    <a:xfrm>
                      <a:off x="0" y="0"/>
                      <a:ext cx="6645910" cy="3107055"/>
                    </a:xfrm>
                    <a:prstGeom prst="rect">
                      <a:avLst/>
                    </a:prstGeom>
                  </pic:spPr>
                </pic:pic>
              </a:graphicData>
            </a:graphic>
          </wp:inline>
        </w:drawing>
      </w:r>
    </w:p>
    <w:p w14:paraId="0102658C" w14:textId="77777777" w:rsidR="00E55491" w:rsidRDefault="00E55491" w:rsidP="00E55491">
      <w:pPr>
        <w:pStyle w:val="Heading4"/>
        <w:numPr>
          <w:ilvl w:val="0"/>
          <w:numId w:val="0"/>
        </w:numPr>
      </w:pPr>
      <w:r>
        <w:lastRenderedPageBreak/>
        <w:t>Network</w:t>
      </w:r>
    </w:p>
    <w:p w14:paraId="53FE65B4" w14:textId="77777777" w:rsidR="00E55491" w:rsidRDefault="00E55491" w:rsidP="00E55491">
      <w:pPr>
        <w:rPr>
          <w:lang w:val="en-GB"/>
        </w:rPr>
      </w:pPr>
      <w:r>
        <w:rPr>
          <w:lang w:val="en-GB"/>
        </w:rPr>
        <w:t xml:space="preserve">vRealize Operations does not have object for each network. If your network varies in performance, it’s useful to group them. As a workaround, create a group for each network or location you want to monitor. This makes it easier to check if the problem is isolated in specific network. </w:t>
      </w:r>
    </w:p>
    <w:p w14:paraId="61908CEC" w14:textId="77777777" w:rsidR="00E55491" w:rsidRPr="00941059" w:rsidRDefault="00E55491" w:rsidP="00E55491">
      <w:pPr>
        <w:rPr>
          <w:lang w:val="en-GB"/>
        </w:rPr>
      </w:pPr>
      <w:r>
        <w:rPr>
          <w:lang w:val="en-GB"/>
        </w:rPr>
        <w:t>I recommend you establish a naming standard, using the location or commonality among the network. For the group type, take either Location, or create something like Horizon Network. The following screenshot shows an example where I create a group for users based in Singapore office.</w:t>
      </w:r>
    </w:p>
    <w:p w14:paraId="017B1992" w14:textId="77777777" w:rsidR="00E55491" w:rsidRDefault="00E55491" w:rsidP="00E55491">
      <w:pPr>
        <w:rPr>
          <w:lang w:val="en-GB"/>
        </w:rPr>
      </w:pPr>
      <w:r w:rsidRPr="002A57AA">
        <w:rPr>
          <w:noProof/>
          <w:lang w:val="en-GB"/>
        </w:rPr>
        <w:drawing>
          <wp:inline distT="0" distB="0" distL="0" distR="0" wp14:anchorId="7ECD882E" wp14:editId="2DEE4951">
            <wp:extent cx="6645910" cy="1735455"/>
            <wp:effectExtent l="0" t="0" r="2540" b="0"/>
            <wp:docPr id="534447551" name="Picture 534447551"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51" name="Picture 534447551" descr="Graphical user interface, text, application&#10;&#10;Description automatically generated"/>
                    <pic:cNvPicPr/>
                  </pic:nvPicPr>
                  <pic:blipFill>
                    <a:blip r:embed="rId939"/>
                    <a:stretch>
                      <a:fillRect/>
                    </a:stretch>
                  </pic:blipFill>
                  <pic:spPr>
                    <a:xfrm>
                      <a:off x="0" y="0"/>
                      <a:ext cx="6645910" cy="1735455"/>
                    </a:xfrm>
                    <a:prstGeom prst="rect">
                      <a:avLst/>
                    </a:prstGeom>
                  </pic:spPr>
                </pic:pic>
              </a:graphicData>
            </a:graphic>
          </wp:inline>
        </w:drawing>
      </w:r>
    </w:p>
    <w:p w14:paraId="6A90B5BA" w14:textId="77777777" w:rsidR="00E55491" w:rsidRDefault="00E55491" w:rsidP="00E55491">
      <w:pPr>
        <w:rPr>
          <w:lang w:val="en-GB"/>
        </w:rPr>
      </w:pPr>
      <w:r>
        <w:rPr>
          <w:lang w:val="en-GB"/>
        </w:rPr>
        <w:t xml:space="preserve">The members of the group is session, not users. </w:t>
      </w:r>
    </w:p>
    <w:p w14:paraId="4C98898C" w14:textId="77777777" w:rsidR="00E55491" w:rsidRPr="002A57AA" w:rsidRDefault="00E55491" w:rsidP="00E55491">
      <w:pPr>
        <w:rPr>
          <w:lang w:val="en-GB"/>
        </w:rPr>
      </w:pPr>
      <w:r>
        <w:rPr>
          <w:lang w:val="en-GB"/>
        </w:rPr>
        <w:t>There are 4 types of possible sessions, so choose the one relevant in your environment. You can either be specific (if there is only 1 network) or get a few networks. Yes, you can use regular expression to get specific set of network. You’re welcome.</w:t>
      </w:r>
    </w:p>
    <w:p w14:paraId="12E19129" w14:textId="77777777" w:rsidR="00E55491" w:rsidRDefault="00E55491" w:rsidP="00E55491">
      <w:pPr>
        <w:jc w:val="center"/>
        <w:rPr>
          <w:lang w:val="en-GB"/>
        </w:rPr>
      </w:pPr>
      <w:r w:rsidRPr="002B69A7">
        <w:rPr>
          <w:noProof/>
          <w:lang w:val="en-GB"/>
        </w:rPr>
        <w:drawing>
          <wp:inline distT="0" distB="0" distL="0" distR="0" wp14:anchorId="297F84F7" wp14:editId="1C1CB7B9">
            <wp:extent cx="5630400" cy="1861200"/>
            <wp:effectExtent l="0" t="0" r="8890" b="5715"/>
            <wp:docPr id="534447536" name="Picture 53444753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36" name="Picture 534447536" descr="Graphical user interface, text, application, email&#10;&#10;Description automatically generated"/>
                    <pic:cNvPicPr/>
                  </pic:nvPicPr>
                  <pic:blipFill>
                    <a:blip r:embed="rId940"/>
                    <a:stretch>
                      <a:fillRect/>
                    </a:stretch>
                  </pic:blipFill>
                  <pic:spPr>
                    <a:xfrm>
                      <a:off x="0" y="0"/>
                      <a:ext cx="5630400" cy="1861200"/>
                    </a:xfrm>
                    <a:prstGeom prst="rect">
                      <a:avLst/>
                    </a:prstGeom>
                  </pic:spPr>
                </pic:pic>
              </a:graphicData>
            </a:graphic>
          </wp:inline>
        </w:drawing>
      </w:r>
    </w:p>
    <w:p w14:paraId="728A8871" w14:textId="77777777" w:rsidR="00E55491" w:rsidRDefault="00E55491" w:rsidP="00E55491">
      <w:pPr>
        <w:rPr>
          <w:lang w:val="en-GB"/>
        </w:rPr>
      </w:pPr>
      <w:r>
        <w:rPr>
          <w:lang w:val="en-GB"/>
        </w:rPr>
        <w:t>Once you create them, you get the relationship hierarchy. The following screenshot shows the that the Singapore users access the environment via the 4 types of sessions (RDS application session, RDS desktop session, VDI application session, and VDI desktop session)</w:t>
      </w:r>
    </w:p>
    <w:p w14:paraId="47A139E2" w14:textId="77777777" w:rsidR="00E55491" w:rsidRDefault="00E55491" w:rsidP="00E55491">
      <w:pPr>
        <w:jc w:val="center"/>
        <w:rPr>
          <w:lang w:val="en-GB"/>
        </w:rPr>
      </w:pPr>
      <w:r w:rsidRPr="000C7097">
        <w:rPr>
          <w:noProof/>
          <w:lang w:val="en-GB"/>
        </w:rPr>
        <w:drawing>
          <wp:inline distT="0" distB="0" distL="0" distR="0" wp14:anchorId="14C0EC55" wp14:editId="48372E3A">
            <wp:extent cx="5896800" cy="1659600"/>
            <wp:effectExtent l="0" t="0" r="0" b="0"/>
            <wp:docPr id="750070336" name="Picture 7500703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36" name="Picture 750070336" descr="Diagram&#10;&#10;Description automatically generated"/>
                    <pic:cNvPicPr/>
                  </pic:nvPicPr>
                  <pic:blipFill>
                    <a:blip r:embed="rId941"/>
                    <a:stretch>
                      <a:fillRect/>
                    </a:stretch>
                  </pic:blipFill>
                  <pic:spPr>
                    <a:xfrm>
                      <a:off x="0" y="0"/>
                      <a:ext cx="5896800" cy="1659600"/>
                    </a:xfrm>
                    <a:prstGeom prst="rect">
                      <a:avLst/>
                    </a:prstGeom>
                  </pic:spPr>
                </pic:pic>
              </a:graphicData>
            </a:graphic>
          </wp:inline>
        </w:drawing>
      </w:r>
    </w:p>
    <w:p w14:paraId="0F365D0F" w14:textId="77777777" w:rsidR="00E55491" w:rsidRPr="002B69A7" w:rsidRDefault="00E55491" w:rsidP="00E55491">
      <w:pPr>
        <w:rPr>
          <w:lang w:val="en-GB"/>
        </w:rPr>
      </w:pPr>
      <w:r>
        <w:rPr>
          <w:lang w:val="en-GB"/>
        </w:rPr>
        <w:lastRenderedPageBreak/>
        <w:t>Once you have the groups, you need to create the usual set of super metrics to analyse the members.</w:t>
      </w:r>
    </w:p>
    <w:p w14:paraId="339CC6A4" w14:textId="77777777" w:rsidR="00E55491" w:rsidRDefault="00E55491" w:rsidP="00E55491">
      <w:pPr>
        <w:pStyle w:val="Heading4"/>
        <w:numPr>
          <w:ilvl w:val="0"/>
          <w:numId w:val="0"/>
        </w:numPr>
      </w:pPr>
      <w:r>
        <w:t>Horizon + vSphere</w:t>
      </w:r>
    </w:p>
    <w:p w14:paraId="207D5247" w14:textId="48970031" w:rsidR="00E55491" w:rsidRDefault="00E55491" w:rsidP="00E55491">
      <w:pPr>
        <w:rPr>
          <w:lang w:val="en-GB"/>
        </w:rPr>
      </w:pPr>
      <w:r>
        <w:rPr>
          <w:lang w:val="en-GB"/>
        </w:rPr>
        <w:t xml:space="preserve">The following shows an example of how the implementation is vrealized. Notice how vSphere objects and Horizon objects are blended in a single hierarchy. The object in blue is Horizon, while the object in </w:t>
      </w:r>
      <w:r w:rsidR="0022569A" w:rsidRPr="0022569A">
        <w:rPr>
          <w:color w:val="00B050"/>
          <w:lang w:val="en-GB"/>
        </w:rPr>
        <w:t>green</w:t>
      </w:r>
      <w:r>
        <w:rPr>
          <w:lang w:val="en-GB"/>
        </w:rPr>
        <w:t xml:space="preserve"> is vSphere. </w:t>
      </w:r>
    </w:p>
    <w:p w14:paraId="02CA3953" w14:textId="77777777" w:rsidR="00E55491" w:rsidRDefault="00E55491" w:rsidP="00E55491">
      <w:pPr>
        <w:rPr>
          <w:lang w:val="en-GB"/>
        </w:rPr>
      </w:pPr>
      <w:r>
        <w:rPr>
          <w:lang w:val="en-GB"/>
        </w:rPr>
        <w:t>The interwoven hierarchy is required for summarizing information.</w:t>
      </w:r>
    </w:p>
    <w:p w14:paraId="2305DC3A" w14:textId="77777777" w:rsidR="00E55491" w:rsidRDefault="00E55491" w:rsidP="00E55491">
      <w:pPr>
        <w:jc w:val="center"/>
        <w:rPr>
          <w:lang w:val="en-GB"/>
        </w:rPr>
      </w:pPr>
      <w:r w:rsidRPr="00F45ACC">
        <w:rPr>
          <w:noProof/>
          <w:lang w:val="en-GB"/>
        </w:rPr>
        <w:drawing>
          <wp:inline distT="0" distB="0" distL="0" distR="0" wp14:anchorId="07F54D80" wp14:editId="68AAE696">
            <wp:extent cx="4918768" cy="3904090"/>
            <wp:effectExtent l="0" t="0" r="0" b="1270"/>
            <wp:docPr id="357815369" name="Picture 357815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2"/>
                    <a:stretch>
                      <a:fillRect/>
                    </a:stretch>
                  </pic:blipFill>
                  <pic:spPr>
                    <a:xfrm>
                      <a:off x="0" y="0"/>
                      <a:ext cx="4921565" cy="3906310"/>
                    </a:xfrm>
                    <a:prstGeom prst="rect">
                      <a:avLst/>
                    </a:prstGeom>
                  </pic:spPr>
                </pic:pic>
              </a:graphicData>
            </a:graphic>
          </wp:inline>
        </w:drawing>
      </w:r>
    </w:p>
    <w:p w14:paraId="32DE63F5" w14:textId="77777777" w:rsidR="00E55491" w:rsidRDefault="00E55491" w:rsidP="00E55491">
      <w:pPr>
        <w:rPr>
          <w:lang w:val="en-GB"/>
        </w:rPr>
      </w:pPr>
      <w:r>
        <w:rPr>
          <w:lang w:val="en-GB"/>
        </w:rPr>
        <w:t xml:space="preserve">Notice the farm name Site02-Fram. Why is it directly under a Pod? </w:t>
      </w:r>
    </w:p>
    <w:p w14:paraId="18AD720B" w14:textId="77777777" w:rsidR="00E55491" w:rsidRDefault="00E55491" w:rsidP="00E55491">
      <w:pPr>
        <w:rPr>
          <w:lang w:val="en-GB"/>
        </w:rPr>
      </w:pPr>
      <w:r>
        <w:rPr>
          <w:lang w:val="en-GB"/>
        </w:rPr>
        <w:t>The answer is it’s a manual farm. The hierarchy is aware that you can have manual pool across vCenter and will show it accordingly.</w:t>
      </w:r>
    </w:p>
    <w:p w14:paraId="50FCC0C6" w14:textId="77777777" w:rsidR="00E55491" w:rsidRDefault="00E55491" w:rsidP="00E55491">
      <w:pPr>
        <w:rPr>
          <w:lang w:val="en-GB"/>
        </w:rPr>
      </w:pPr>
      <w:r w:rsidRPr="007123C0">
        <w:rPr>
          <w:noProof/>
          <w:lang w:val="en-GB"/>
        </w:rPr>
        <w:lastRenderedPageBreak/>
        <w:drawing>
          <wp:inline distT="0" distB="0" distL="0" distR="0" wp14:anchorId="7F5D0671" wp14:editId="2ECD2A38">
            <wp:extent cx="6645910" cy="3161665"/>
            <wp:effectExtent l="0" t="0" r="2540" b="635"/>
            <wp:docPr id="357815402" name="Picture 357815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3"/>
                    <a:stretch>
                      <a:fillRect/>
                    </a:stretch>
                  </pic:blipFill>
                  <pic:spPr>
                    <a:xfrm>
                      <a:off x="0" y="0"/>
                      <a:ext cx="6645910" cy="3161665"/>
                    </a:xfrm>
                    <a:prstGeom prst="rect">
                      <a:avLst/>
                    </a:prstGeom>
                  </pic:spPr>
                </pic:pic>
              </a:graphicData>
            </a:graphic>
          </wp:inline>
        </w:drawing>
      </w:r>
    </w:p>
    <w:p w14:paraId="0B7C4F4A" w14:textId="77777777" w:rsidR="00E55491" w:rsidRDefault="00E55491" w:rsidP="00E55491">
      <w:pPr>
        <w:pStyle w:val="Heading4"/>
      </w:pPr>
      <w:r>
        <w:t>Horizon Infrastructure</w:t>
      </w:r>
    </w:p>
    <w:p w14:paraId="3AFA77D1" w14:textId="77777777" w:rsidR="00E55491" w:rsidRDefault="00E55491" w:rsidP="00E55491">
      <w:pPr>
        <w:rPr>
          <w:lang w:val="en-GB"/>
        </w:rPr>
      </w:pPr>
      <w:r>
        <w:rPr>
          <w:lang w:val="en-GB"/>
        </w:rPr>
        <w:t xml:space="preserve">Other than the desktops and RDS hosts, Horizon uses many types of application servers and databases. </w:t>
      </w:r>
    </w:p>
    <w:p w14:paraId="35D34DAA" w14:textId="77777777" w:rsidR="00E55491" w:rsidRDefault="00E55491" w:rsidP="00E55491">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114"/>
        <w:gridCol w:w="7342"/>
      </w:tblGrid>
      <w:tr w:rsidR="00E55491" w14:paraId="1E466981" w14:textId="77777777" w:rsidTr="00281329">
        <w:tc>
          <w:tcPr>
            <w:tcW w:w="3114" w:type="dxa"/>
            <w:shd w:val="clear" w:color="auto" w:fill="F2F2F2" w:themeFill="background1" w:themeFillShade="F2"/>
          </w:tcPr>
          <w:p w14:paraId="06574A34" w14:textId="77777777" w:rsidR="00E55491" w:rsidRPr="00572FC5" w:rsidRDefault="00E55491" w:rsidP="00281329">
            <w:pPr>
              <w:pStyle w:val="Tablecontent"/>
              <w:rPr>
                <w:b/>
                <w:bCs/>
                <w:lang w:val="en-GB"/>
              </w:rPr>
            </w:pPr>
            <w:r w:rsidRPr="00572FC5">
              <w:rPr>
                <w:b/>
                <w:bCs/>
              </w:rPr>
              <w:t>Connection Server</w:t>
            </w:r>
          </w:p>
        </w:tc>
        <w:tc>
          <w:tcPr>
            <w:tcW w:w="7342" w:type="dxa"/>
          </w:tcPr>
          <w:p w14:paraId="5DC65F64" w14:textId="77777777" w:rsidR="00E55491" w:rsidRDefault="00E55491" w:rsidP="00281329">
            <w:pPr>
              <w:pStyle w:val="Tablecontent"/>
              <w:rPr>
                <w:lang w:val="en-GB"/>
              </w:rPr>
            </w:pPr>
            <w:r>
              <w:rPr>
                <w:lang w:val="en-GB"/>
              </w:rPr>
              <w:t>The Connection Server is also a VM. At present, the KPI is identical to the RDS Host</w:t>
            </w:r>
          </w:p>
        </w:tc>
      </w:tr>
      <w:tr w:rsidR="00E55491" w14:paraId="34A3DDA5" w14:textId="77777777" w:rsidTr="00281329">
        <w:tc>
          <w:tcPr>
            <w:tcW w:w="3114" w:type="dxa"/>
            <w:shd w:val="clear" w:color="auto" w:fill="F2F2F2" w:themeFill="background1" w:themeFillShade="F2"/>
          </w:tcPr>
          <w:p w14:paraId="0E4A3C1A" w14:textId="77777777" w:rsidR="00E55491" w:rsidRPr="00572FC5" w:rsidRDefault="00E55491" w:rsidP="00281329">
            <w:pPr>
              <w:pStyle w:val="Tablecontent"/>
              <w:rPr>
                <w:b/>
                <w:bCs/>
              </w:rPr>
            </w:pPr>
            <w:r>
              <w:rPr>
                <w:b/>
                <w:bCs/>
              </w:rPr>
              <w:t>Universal Access Gateway</w:t>
            </w:r>
          </w:p>
        </w:tc>
        <w:tc>
          <w:tcPr>
            <w:tcW w:w="7342" w:type="dxa"/>
          </w:tcPr>
          <w:p w14:paraId="50F07ACD" w14:textId="77777777" w:rsidR="00E55491" w:rsidRDefault="00E55491" w:rsidP="00281329">
            <w:pPr>
              <w:pStyle w:val="Tablecontent"/>
              <w:rPr>
                <w:lang w:val="en-GB"/>
              </w:rPr>
            </w:pPr>
            <w:r>
              <w:rPr>
                <w:lang w:val="en-GB"/>
              </w:rPr>
              <w:t>There are 2 types (Internal and External)</w:t>
            </w:r>
          </w:p>
        </w:tc>
      </w:tr>
      <w:tr w:rsidR="00E55491" w14:paraId="30274F1E" w14:textId="77777777" w:rsidTr="00281329">
        <w:tc>
          <w:tcPr>
            <w:tcW w:w="3114" w:type="dxa"/>
            <w:shd w:val="clear" w:color="auto" w:fill="F2F2F2" w:themeFill="background1" w:themeFillShade="F2"/>
          </w:tcPr>
          <w:p w14:paraId="0D7ACE3F" w14:textId="77777777" w:rsidR="00E55491" w:rsidRDefault="00E55491" w:rsidP="00281329">
            <w:pPr>
              <w:pStyle w:val="Tablecontent"/>
              <w:rPr>
                <w:b/>
                <w:bCs/>
              </w:rPr>
            </w:pPr>
            <w:r>
              <w:rPr>
                <w:b/>
                <w:bCs/>
              </w:rPr>
              <w:t xml:space="preserve">App Volume Manager </w:t>
            </w:r>
          </w:p>
        </w:tc>
        <w:tc>
          <w:tcPr>
            <w:tcW w:w="7342" w:type="dxa"/>
          </w:tcPr>
          <w:p w14:paraId="3B470F6B" w14:textId="77777777" w:rsidR="00E55491" w:rsidRDefault="00E55491" w:rsidP="00281329">
            <w:pPr>
              <w:pStyle w:val="Tablecontent"/>
              <w:rPr>
                <w:lang w:val="en-GB"/>
              </w:rPr>
            </w:pPr>
            <w:r>
              <w:rPr>
                <w:lang w:val="en-GB"/>
              </w:rPr>
              <w:t xml:space="preserve">We do not have this yet. As a workaround, create a custom group and use super metric. </w:t>
            </w:r>
          </w:p>
        </w:tc>
      </w:tr>
      <w:tr w:rsidR="00E55491" w14:paraId="0CAE8664" w14:textId="77777777" w:rsidTr="00281329">
        <w:tc>
          <w:tcPr>
            <w:tcW w:w="3114" w:type="dxa"/>
            <w:shd w:val="clear" w:color="auto" w:fill="F2F2F2" w:themeFill="background1" w:themeFillShade="F2"/>
          </w:tcPr>
          <w:p w14:paraId="6F13042B" w14:textId="77777777" w:rsidR="00E55491" w:rsidRPr="00572FC5" w:rsidRDefault="00E55491" w:rsidP="00281329">
            <w:pPr>
              <w:pStyle w:val="Tablecontent"/>
              <w:rPr>
                <w:b/>
                <w:bCs/>
              </w:rPr>
            </w:pPr>
            <w:r w:rsidRPr="00572FC5">
              <w:rPr>
                <w:b/>
                <w:bCs/>
              </w:rPr>
              <w:t>MS SQL Server</w:t>
            </w:r>
          </w:p>
        </w:tc>
        <w:tc>
          <w:tcPr>
            <w:tcW w:w="7342" w:type="dxa"/>
          </w:tcPr>
          <w:p w14:paraId="4793D065" w14:textId="77777777" w:rsidR="00E55491" w:rsidRDefault="00E55491" w:rsidP="00281329">
            <w:pPr>
              <w:pStyle w:val="Tablecontent"/>
              <w:rPr>
                <w:lang w:val="en-GB"/>
              </w:rPr>
            </w:pPr>
            <w:r>
              <w:rPr>
                <w:lang w:val="en-GB"/>
              </w:rPr>
              <w:t>This is covered in Part 3 True Visibility Dashboards, but we need to integrate the KPI with Horizon</w:t>
            </w:r>
          </w:p>
        </w:tc>
      </w:tr>
      <w:tr w:rsidR="00E55491" w14:paraId="190689A2" w14:textId="77777777" w:rsidTr="00281329">
        <w:tc>
          <w:tcPr>
            <w:tcW w:w="3114" w:type="dxa"/>
            <w:shd w:val="clear" w:color="auto" w:fill="F2F2F2" w:themeFill="background1" w:themeFillShade="F2"/>
          </w:tcPr>
          <w:p w14:paraId="1E6659AF" w14:textId="77777777" w:rsidR="00E55491" w:rsidRPr="00572FC5" w:rsidRDefault="00E55491" w:rsidP="00281329">
            <w:pPr>
              <w:pStyle w:val="Tablecontent"/>
              <w:rPr>
                <w:b/>
                <w:bCs/>
                <w:lang w:val="en-GB"/>
              </w:rPr>
            </w:pPr>
            <w:r w:rsidRPr="00572FC5">
              <w:rPr>
                <w:b/>
                <w:bCs/>
              </w:rPr>
              <w:t>MS Active Directory Server</w:t>
            </w:r>
          </w:p>
        </w:tc>
        <w:tc>
          <w:tcPr>
            <w:tcW w:w="7342" w:type="dxa"/>
          </w:tcPr>
          <w:p w14:paraId="578B609F" w14:textId="77777777" w:rsidR="00E55491" w:rsidRDefault="00E55491" w:rsidP="00281329">
            <w:pPr>
              <w:pStyle w:val="Tablecontent"/>
              <w:rPr>
                <w:lang w:val="en-GB"/>
              </w:rPr>
            </w:pPr>
            <w:r>
              <w:rPr>
                <w:lang w:val="en-GB"/>
              </w:rPr>
              <w:t>This section is for rent. That means we need a contributing author! Reach out to me if you want to collaborate</w:t>
            </w:r>
          </w:p>
        </w:tc>
      </w:tr>
      <w:tr w:rsidR="00E55491" w14:paraId="310FB4DD" w14:textId="77777777" w:rsidTr="00281329">
        <w:tc>
          <w:tcPr>
            <w:tcW w:w="3114" w:type="dxa"/>
            <w:shd w:val="clear" w:color="auto" w:fill="F2F2F2" w:themeFill="background1" w:themeFillShade="F2"/>
          </w:tcPr>
          <w:p w14:paraId="2ADAC579" w14:textId="77777777" w:rsidR="00E55491" w:rsidRPr="00572FC5" w:rsidRDefault="00E55491" w:rsidP="00281329">
            <w:pPr>
              <w:pStyle w:val="Tablecontent"/>
              <w:rPr>
                <w:b/>
                <w:bCs/>
              </w:rPr>
            </w:pPr>
            <w:r>
              <w:rPr>
                <w:b/>
                <w:bCs/>
              </w:rPr>
              <w:t>MS ADAM Database</w:t>
            </w:r>
          </w:p>
        </w:tc>
        <w:tc>
          <w:tcPr>
            <w:tcW w:w="7342" w:type="dxa"/>
          </w:tcPr>
          <w:p w14:paraId="25D68096" w14:textId="77777777" w:rsidR="00E55491" w:rsidRDefault="00E55491" w:rsidP="00281329">
            <w:pPr>
              <w:pStyle w:val="Tablecontent"/>
              <w:rPr>
                <w:lang w:val="en-GB"/>
              </w:rPr>
            </w:pPr>
            <w:r w:rsidRPr="00621C96">
              <w:rPr>
                <w:lang w:val="en-GB"/>
              </w:rPr>
              <w:t>Active Directory Application Mode</w:t>
            </w:r>
            <w:r>
              <w:rPr>
                <w:lang w:val="en-GB"/>
              </w:rPr>
              <w:t xml:space="preserve"> (ADAM) can be monitored via Windows Event, which you can convert into log via Log Insight agent, so it can be analysed together with other logs.</w:t>
            </w:r>
          </w:p>
        </w:tc>
      </w:tr>
      <w:tr w:rsidR="00E55491" w14:paraId="3E3A3419" w14:textId="77777777" w:rsidTr="00281329">
        <w:tc>
          <w:tcPr>
            <w:tcW w:w="3114" w:type="dxa"/>
            <w:shd w:val="clear" w:color="auto" w:fill="F2F2F2" w:themeFill="background1" w:themeFillShade="F2"/>
          </w:tcPr>
          <w:p w14:paraId="429A48DE" w14:textId="77777777" w:rsidR="00E55491" w:rsidRDefault="00E55491" w:rsidP="00281329">
            <w:pPr>
              <w:pStyle w:val="Tablecontent"/>
              <w:rPr>
                <w:b/>
                <w:bCs/>
              </w:rPr>
            </w:pPr>
            <w:r>
              <w:rPr>
                <w:b/>
                <w:bCs/>
              </w:rPr>
              <w:t>Load Balancer</w:t>
            </w:r>
          </w:p>
        </w:tc>
        <w:tc>
          <w:tcPr>
            <w:tcW w:w="7342" w:type="dxa"/>
          </w:tcPr>
          <w:p w14:paraId="33EA4A89" w14:textId="77777777" w:rsidR="00E55491" w:rsidRPr="00621C96" w:rsidRDefault="00E55491" w:rsidP="00281329">
            <w:pPr>
              <w:pStyle w:val="Tablecontent"/>
              <w:rPr>
                <w:lang w:val="en-GB"/>
              </w:rPr>
            </w:pPr>
          </w:p>
        </w:tc>
      </w:tr>
    </w:tbl>
    <w:p w14:paraId="59ED841D" w14:textId="77777777" w:rsidR="00E55491" w:rsidRDefault="00E55491" w:rsidP="00E55491">
      <w:r>
        <w:t xml:space="preserve">Horizon Servers are just Linux or Windows servers, meaning you can probe deeper by installing Log Insight agent or Telegraf agent. </w:t>
      </w:r>
    </w:p>
    <w:p w14:paraId="07F22EFF" w14:textId="77777777" w:rsidR="00E55491" w:rsidRDefault="00E55491" w:rsidP="00E55491">
      <w:pPr>
        <w:pStyle w:val="Heading5"/>
      </w:pPr>
      <w:r>
        <w:lastRenderedPageBreak/>
        <w:t>Unified Access Gateway</w:t>
      </w:r>
    </w:p>
    <w:p w14:paraId="710193AC" w14:textId="77777777" w:rsidR="00E55491" w:rsidRDefault="00E55491" w:rsidP="00E55491">
      <w:r>
        <w:t>UAG is related to Connection Servers, VDI sessions and VM (because UAG is a VM). The following screenshot shows a UAG that is fronting 2 Connection servers and 2 VDI desktop VMs, and it’s running on VM named UAG-167.</w:t>
      </w:r>
    </w:p>
    <w:p w14:paraId="648B1FAC" w14:textId="77777777" w:rsidR="00E55491" w:rsidRDefault="00E55491" w:rsidP="00E55491">
      <w:pPr>
        <w:jc w:val="center"/>
      </w:pPr>
      <w:r w:rsidRPr="00FE7CE1">
        <w:rPr>
          <w:noProof/>
        </w:rPr>
        <w:drawing>
          <wp:inline distT="0" distB="0" distL="0" distR="0" wp14:anchorId="0FD961EA" wp14:editId="218E10FF">
            <wp:extent cx="5270400" cy="1346400"/>
            <wp:effectExtent l="0" t="0" r="6985" b="6350"/>
            <wp:docPr id="567723375" name="Picture 56772337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75" name="Picture 567723375" descr="Diagram&#10;&#10;Description automatically generated"/>
                    <pic:cNvPicPr/>
                  </pic:nvPicPr>
                  <pic:blipFill>
                    <a:blip r:embed="rId944"/>
                    <a:stretch>
                      <a:fillRect/>
                    </a:stretch>
                  </pic:blipFill>
                  <pic:spPr>
                    <a:xfrm>
                      <a:off x="0" y="0"/>
                      <a:ext cx="5270400" cy="1346400"/>
                    </a:xfrm>
                    <a:prstGeom prst="rect">
                      <a:avLst/>
                    </a:prstGeom>
                  </pic:spPr>
                </pic:pic>
              </a:graphicData>
            </a:graphic>
          </wp:inline>
        </w:drawing>
      </w:r>
    </w:p>
    <w:p w14:paraId="484B02CB" w14:textId="77777777" w:rsidR="00E55491" w:rsidRDefault="00E55491" w:rsidP="00E55491">
      <w:r>
        <w:t>You can also see the above in the side navigation. In the following screenshot, I’ve expanded the VM to show the Telegraf agent. The agent shows that HTTP Test has been configured.</w:t>
      </w:r>
    </w:p>
    <w:p w14:paraId="00B70283" w14:textId="77777777" w:rsidR="00E55491" w:rsidRDefault="00E55491" w:rsidP="00E55491">
      <w:pPr>
        <w:jc w:val="center"/>
      </w:pPr>
      <w:r w:rsidRPr="00210A21">
        <w:rPr>
          <w:noProof/>
        </w:rPr>
        <w:drawing>
          <wp:inline distT="0" distB="0" distL="0" distR="0" wp14:anchorId="622EC8F2" wp14:editId="37DFE29A">
            <wp:extent cx="2325600" cy="2606400"/>
            <wp:effectExtent l="0" t="0" r="0" b="3810"/>
            <wp:docPr id="357815422" name="Picture 35781542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422" name="Picture 357815422" descr="Graphical user interface, application&#10;&#10;Description automatically generated"/>
                    <pic:cNvPicPr/>
                  </pic:nvPicPr>
                  <pic:blipFill>
                    <a:blip r:embed="rId945"/>
                    <a:stretch>
                      <a:fillRect/>
                    </a:stretch>
                  </pic:blipFill>
                  <pic:spPr>
                    <a:xfrm>
                      <a:off x="0" y="0"/>
                      <a:ext cx="2325600" cy="2606400"/>
                    </a:xfrm>
                    <a:prstGeom prst="rect">
                      <a:avLst/>
                    </a:prstGeom>
                  </pic:spPr>
                </pic:pic>
              </a:graphicData>
            </a:graphic>
          </wp:inline>
        </w:drawing>
      </w:r>
    </w:p>
    <w:p w14:paraId="07E80A20" w14:textId="77777777" w:rsidR="00E55491" w:rsidRDefault="00E55491" w:rsidP="00E55491">
      <w:pPr>
        <w:pStyle w:val="Heading4"/>
      </w:pPr>
      <w:r>
        <w:lastRenderedPageBreak/>
        <w:t>Unmanaged Machines</w:t>
      </w:r>
    </w:p>
    <w:p w14:paraId="6BD91962" w14:textId="77777777" w:rsidR="00E55491" w:rsidRDefault="00E55491" w:rsidP="00E55491">
      <w:pPr>
        <w:rPr>
          <w:lang w:val="en-GB"/>
        </w:rPr>
      </w:pPr>
      <w:r w:rsidRPr="00321EDF">
        <w:rPr>
          <w:noProof/>
          <w:lang w:val="en-GB"/>
        </w:rPr>
        <w:drawing>
          <wp:inline distT="0" distB="0" distL="0" distR="0" wp14:anchorId="2304FCFF" wp14:editId="116A8E51">
            <wp:extent cx="6645910" cy="3378835"/>
            <wp:effectExtent l="0" t="0" r="2540" b="0"/>
            <wp:docPr id="1583707942" name="Picture 1583707942"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42" name="Picture 1583707942" descr="Graphical user interface, text, application&#10;&#10;Description automatically generated"/>
                    <pic:cNvPicPr/>
                  </pic:nvPicPr>
                  <pic:blipFill>
                    <a:blip r:embed="rId946"/>
                    <a:stretch>
                      <a:fillRect/>
                    </a:stretch>
                  </pic:blipFill>
                  <pic:spPr>
                    <a:xfrm>
                      <a:off x="0" y="0"/>
                      <a:ext cx="6645910" cy="3378835"/>
                    </a:xfrm>
                    <a:prstGeom prst="rect">
                      <a:avLst/>
                    </a:prstGeom>
                  </pic:spPr>
                </pic:pic>
              </a:graphicData>
            </a:graphic>
          </wp:inline>
        </w:drawing>
      </w:r>
    </w:p>
    <w:p w14:paraId="02AFACF1" w14:textId="77777777" w:rsidR="00E55491" w:rsidRPr="001716EE" w:rsidRDefault="00E55491" w:rsidP="00E55491">
      <w:pPr>
        <w:rPr>
          <w:lang w:val="en-GB"/>
        </w:rPr>
      </w:pPr>
      <w:r w:rsidRPr="007D4DA2">
        <w:rPr>
          <w:lang w:val="en-GB"/>
        </w:rPr>
        <w:t xml:space="preserve">Refer to </w:t>
      </w:r>
      <w:r>
        <w:rPr>
          <w:lang w:val="en-GB"/>
        </w:rPr>
        <w:t xml:space="preserve">preceding </w:t>
      </w:r>
      <w:r w:rsidRPr="007D4DA2">
        <w:rPr>
          <w:lang w:val="en-GB"/>
        </w:rPr>
        <w:t>screenshot. In short, it is a list of physical machines (laptops, servers etc) which ha</w:t>
      </w:r>
      <w:r>
        <w:rPr>
          <w:lang w:val="en-GB"/>
        </w:rPr>
        <w:t>ve</w:t>
      </w:r>
      <w:r w:rsidRPr="007D4DA2">
        <w:rPr>
          <w:lang w:val="en-GB"/>
        </w:rPr>
        <w:t xml:space="preserve"> Horizon agent installed and </w:t>
      </w:r>
      <w:r>
        <w:rPr>
          <w:lang w:val="en-GB"/>
        </w:rPr>
        <w:t xml:space="preserve">are </w:t>
      </w:r>
      <w:r w:rsidRPr="007D4DA2">
        <w:rPr>
          <w:lang w:val="en-GB"/>
        </w:rPr>
        <w:t xml:space="preserve">linked to </w:t>
      </w:r>
      <w:r>
        <w:rPr>
          <w:lang w:val="en-GB"/>
        </w:rPr>
        <w:t>Horizon C</w:t>
      </w:r>
      <w:r w:rsidRPr="007D4DA2">
        <w:rPr>
          <w:lang w:val="en-GB"/>
        </w:rPr>
        <w:t xml:space="preserve">onnection </w:t>
      </w:r>
      <w:r>
        <w:rPr>
          <w:lang w:val="en-GB"/>
        </w:rPr>
        <w:t>S</w:t>
      </w:r>
      <w:r w:rsidRPr="007D4DA2">
        <w:rPr>
          <w:lang w:val="en-GB"/>
        </w:rPr>
        <w:t xml:space="preserve">erver. </w:t>
      </w:r>
      <w:r>
        <w:rPr>
          <w:lang w:val="en-GB"/>
        </w:rPr>
        <w:t>T</w:t>
      </w:r>
      <w:r w:rsidRPr="007D4DA2">
        <w:rPr>
          <w:lang w:val="en-GB"/>
        </w:rPr>
        <w:t>here are few customers who use this feature. Since they are not managed by VC, you don't get any meaningful metrics</w:t>
      </w:r>
      <w:r>
        <w:rPr>
          <w:lang w:val="en-GB"/>
        </w:rPr>
        <w:t>. In vRealize Operations, they are represented as Unmanaged Machine object.</w:t>
      </w:r>
    </w:p>
    <w:p w14:paraId="72887EB4" w14:textId="27091F5A" w:rsidR="00E55491" w:rsidRDefault="00E55491" w:rsidP="00E55491">
      <w:pPr>
        <w:pStyle w:val="Heading3"/>
      </w:pPr>
      <w:r>
        <w:t xml:space="preserve">Performance </w:t>
      </w:r>
    </w:p>
    <w:p w14:paraId="7971C0B7" w14:textId="77777777" w:rsidR="00E55491" w:rsidRDefault="00E55491" w:rsidP="00E55491">
      <w:pPr>
        <w:rPr>
          <w:lang w:val="en-GB"/>
        </w:rPr>
      </w:pPr>
      <w:r>
        <w:rPr>
          <w:lang w:val="en-GB"/>
        </w:rPr>
        <w:t xml:space="preserve">Performance ranks high in VDI operations management so let’s start with it. Horizon is a complex architecture with many components and layer. How do you know Horizon is performing? </w:t>
      </w:r>
    </w:p>
    <w:p w14:paraId="1BFB1A1A" w14:textId="77777777" w:rsidR="00E55491" w:rsidRDefault="00E55491" w:rsidP="00E55491">
      <w:pPr>
        <w:rPr>
          <w:lang w:val="en-GB"/>
        </w:rPr>
      </w:pPr>
      <w:r>
        <w:rPr>
          <w:lang w:val="en-GB"/>
        </w:rPr>
        <w:t xml:space="preserve">One good way to answer is to begin with the end in mind. The purpose of DaaS is to provide acceptable user experience. To deliver that, there are 3 components (Edge, Network, Data Center) that must work well. Horizon is a client/server architecture, meaning it has a Horizon Client software that runs at the edge, talking via the network to a server agent software residing in the data center. </w:t>
      </w:r>
    </w:p>
    <w:p w14:paraId="0B252766" w14:textId="77777777" w:rsidR="00E55491" w:rsidRDefault="00E55491" w:rsidP="00E55491">
      <w:pPr>
        <w:jc w:val="center"/>
        <w:rPr>
          <w:lang w:val="en-GB"/>
        </w:rPr>
      </w:pPr>
      <w:r w:rsidRPr="00885981">
        <w:rPr>
          <w:noProof/>
          <w:lang w:val="en-GB"/>
        </w:rPr>
        <w:lastRenderedPageBreak/>
        <w:drawing>
          <wp:inline distT="0" distB="0" distL="0" distR="0" wp14:anchorId="651DA935" wp14:editId="3DF1368A">
            <wp:extent cx="5955030" cy="1582356"/>
            <wp:effectExtent l="0" t="0" r="0" b="0"/>
            <wp:docPr id="357815372" name="Picture 357815372"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72" name="Picture 357815372" descr="A picture containing text&#10;&#10;Description automatically generated"/>
                    <pic:cNvPicPr/>
                  </pic:nvPicPr>
                  <pic:blipFill>
                    <a:blip r:embed="rId947"/>
                    <a:stretch>
                      <a:fillRect/>
                    </a:stretch>
                  </pic:blipFill>
                  <pic:spPr>
                    <a:xfrm>
                      <a:off x="0" y="0"/>
                      <a:ext cx="5958223" cy="1583204"/>
                    </a:xfrm>
                    <a:prstGeom prst="rect">
                      <a:avLst/>
                    </a:prstGeom>
                  </pic:spPr>
                </pic:pic>
              </a:graphicData>
            </a:graphic>
          </wp:inline>
        </w:drawing>
      </w:r>
    </w:p>
    <w:p w14:paraId="2B652044" w14:textId="77777777" w:rsidR="00E55491" w:rsidRDefault="00E55491" w:rsidP="00E55491">
      <w:pPr>
        <w:rPr>
          <w:lang w:val="en-GB"/>
        </w:rPr>
      </w:pPr>
      <w:r>
        <w:rPr>
          <w:lang w:val="en-GB"/>
        </w:rPr>
        <w:t xml:space="preserve">The client software does the screen rendering. Due to lack of contention and utilization metrics, we can’t measure its performance. Some thin client or zero client has a tiny OS that support syslog. </w:t>
      </w:r>
    </w:p>
    <w:p w14:paraId="61938A9F" w14:textId="77777777" w:rsidR="00E55491" w:rsidRDefault="00E55491" w:rsidP="00E55491">
      <w:pPr>
        <w:rPr>
          <w:lang w:val="en-GB"/>
        </w:rPr>
      </w:pPr>
      <w:r>
        <w:rPr>
          <w:lang w:val="en-GB"/>
        </w:rPr>
        <w:t>The network consists of the protocol and the physical network. Typically, the physical network carries more than Horizon protocol. For example, you have IP telephony system, security cameras or remote servers in your branches. You need to have visibility at the consumer (Horizon protocol) level and provider (physical network) level. In most cases, the network is not owned by the EUC team, so EUC team is consuming a shared service. Because of this, the physical network metrics play the supporting role. They are not primary metrics used in the KPI.</w:t>
      </w:r>
    </w:p>
    <w:p w14:paraId="7439DF42" w14:textId="77777777" w:rsidR="00E55491" w:rsidRDefault="00E55491" w:rsidP="00E55491">
      <w:pPr>
        <w:rPr>
          <w:lang w:val="en-GB"/>
        </w:rPr>
      </w:pPr>
      <w:r>
        <w:rPr>
          <w:lang w:val="en-GB"/>
        </w:rPr>
        <w:t>The data center part is where the bulk of EUC component resides. This includes both VMware and non-VMware components.</w:t>
      </w:r>
    </w:p>
    <w:p w14:paraId="6B36DD96" w14:textId="77777777" w:rsidR="00E55491" w:rsidRDefault="00E55491" w:rsidP="00E55491">
      <w:pPr>
        <w:rPr>
          <w:lang w:val="en-GB"/>
        </w:rPr>
      </w:pPr>
      <w:r>
        <w:rPr>
          <w:lang w:val="en-GB"/>
        </w:rPr>
        <w:t>The network part and the data center part are two independent parts, typically managed by different teams. You can have network problem without the data center problem, and vice versa. By separating them as separate KPI, you can see what kind of problems you have and do the necessary follow up. By combining them, you can potentially lose visibility as the good one can mask the bad one.</w:t>
      </w:r>
    </w:p>
    <w:p w14:paraId="32DFB203" w14:textId="77777777" w:rsidR="00E55491" w:rsidRDefault="00E55491" w:rsidP="00E55491">
      <w:pPr>
        <w:rPr>
          <w:lang w:val="en-GB"/>
        </w:rPr>
      </w:pPr>
      <w:r>
        <w:rPr>
          <w:lang w:val="en-GB"/>
        </w:rPr>
        <w:t xml:space="preserve">Be mindful of the </w:t>
      </w:r>
      <w:r w:rsidRPr="00FA12D4">
        <w:rPr>
          <w:lang w:val="en-GB"/>
        </w:rPr>
        <w:t>difference between</w:t>
      </w:r>
      <w:r>
        <w:rPr>
          <w:lang w:val="en-GB"/>
        </w:rPr>
        <w:t xml:space="preserve"> </w:t>
      </w:r>
      <w:r w:rsidRPr="00270467">
        <w:rPr>
          <w:color w:val="FF0000"/>
          <w:lang w:val="en-GB"/>
        </w:rPr>
        <w:t xml:space="preserve">the user has performance problem </w:t>
      </w:r>
      <w:r>
        <w:rPr>
          <w:lang w:val="en-GB"/>
        </w:rPr>
        <w:t xml:space="preserve">and </w:t>
      </w:r>
      <w:r w:rsidRPr="00270467">
        <w:rPr>
          <w:color w:val="FF0000"/>
          <w:lang w:val="en-GB"/>
        </w:rPr>
        <w:t>the user causes performance problem</w:t>
      </w:r>
      <w:r w:rsidRPr="00FA12D4">
        <w:rPr>
          <w:lang w:val="en-GB"/>
        </w:rPr>
        <w:t>.</w:t>
      </w:r>
    </w:p>
    <w:p w14:paraId="4ABCF3EE" w14:textId="77777777" w:rsidR="00E55491" w:rsidRDefault="00E55491" w:rsidP="00E55491">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129"/>
        <w:gridCol w:w="9327"/>
      </w:tblGrid>
      <w:tr w:rsidR="00E55491" w14:paraId="476CE315" w14:textId="77777777" w:rsidTr="00281329">
        <w:tc>
          <w:tcPr>
            <w:tcW w:w="1129" w:type="dxa"/>
          </w:tcPr>
          <w:p w14:paraId="4DE6DF4E" w14:textId="77777777" w:rsidR="00E55491" w:rsidRPr="00C471C2" w:rsidRDefault="00E55491" w:rsidP="00281329">
            <w:pPr>
              <w:pStyle w:val="Tablecontent"/>
              <w:rPr>
                <w:b/>
                <w:bCs/>
              </w:rPr>
            </w:pPr>
            <w:r w:rsidRPr="00C471C2">
              <w:rPr>
                <w:b/>
                <w:bCs/>
              </w:rPr>
              <w:t>Victim</w:t>
            </w:r>
          </w:p>
        </w:tc>
        <w:tc>
          <w:tcPr>
            <w:tcW w:w="9327" w:type="dxa"/>
          </w:tcPr>
          <w:p w14:paraId="2D11981E" w14:textId="77777777" w:rsidR="00E55491" w:rsidRDefault="00E55491" w:rsidP="00281329">
            <w:pPr>
              <w:pStyle w:val="Tablecontent"/>
            </w:pPr>
            <w:r>
              <w:t xml:space="preserve">The user experiences problem. </w:t>
            </w:r>
          </w:p>
          <w:p w14:paraId="17057624" w14:textId="77777777" w:rsidR="00E55491" w:rsidRDefault="00E55491" w:rsidP="00281329">
            <w:pPr>
              <w:pStyle w:val="Tablecontent"/>
              <w:rPr>
                <w:lang w:val="en-GB"/>
              </w:rPr>
            </w:pPr>
            <w:r w:rsidRPr="00FA12D4">
              <w:rPr>
                <w:lang w:val="en-GB"/>
              </w:rPr>
              <w:t>Contention is high, utilization is low. Not getting work done</w:t>
            </w:r>
            <w:r>
              <w:rPr>
                <w:lang w:val="en-GB"/>
              </w:rPr>
              <w:t>, so productivity is impacted.</w:t>
            </w:r>
          </w:p>
          <w:p w14:paraId="4792023E" w14:textId="77777777" w:rsidR="00E55491" w:rsidRDefault="00E55491" w:rsidP="00281329">
            <w:pPr>
              <w:pStyle w:val="Tablecontent"/>
            </w:pPr>
            <w:r>
              <w:t>User is upset.</w:t>
            </w:r>
          </w:p>
        </w:tc>
      </w:tr>
      <w:tr w:rsidR="00E55491" w14:paraId="01D29436" w14:textId="77777777" w:rsidTr="00281329">
        <w:tc>
          <w:tcPr>
            <w:tcW w:w="1129" w:type="dxa"/>
          </w:tcPr>
          <w:p w14:paraId="37507F4F" w14:textId="77777777" w:rsidR="00E55491" w:rsidRPr="00C471C2" w:rsidRDefault="00E55491" w:rsidP="00281329">
            <w:pPr>
              <w:pStyle w:val="Tablecontent"/>
              <w:rPr>
                <w:b/>
                <w:bCs/>
              </w:rPr>
            </w:pPr>
            <w:r w:rsidRPr="00C471C2">
              <w:rPr>
                <w:b/>
                <w:bCs/>
              </w:rPr>
              <w:t>Villain</w:t>
            </w:r>
          </w:p>
        </w:tc>
        <w:tc>
          <w:tcPr>
            <w:tcW w:w="9327" w:type="dxa"/>
          </w:tcPr>
          <w:p w14:paraId="2630DC02" w14:textId="77777777" w:rsidR="00E55491" w:rsidRDefault="00E55491" w:rsidP="00281329">
            <w:pPr>
              <w:pStyle w:val="Tablecontent"/>
            </w:pPr>
            <w:r>
              <w:t xml:space="preserve">The user causes performance problem. </w:t>
            </w:r>
          </w:p>
          <w:p w14:paraId="3B74F831" w14:textId="77777777" w:rsidR="00E55491" w:rsidRDefault="00E55491" w:rsidP="00281329">
            <w:pPr>
              <w:pStyle w:val="Tablecontent"/>
            </w:pPr>
            <w:r>
              <w:t>Utilization is very high. Contention is irrelevant in this case. The user may get a lot of work done.</w:t>
            </w:r>
          </w:p>
          <w:p w14:paraId="116243E0" w14:textId="77777777" w:rsidR="00E55491" w:rsidRDefault="00E55491" w:rsidP="00281329">
            <w:pPr>
              <w:pStyle w:val="Tablecontent"/>
            </w:pPr>
            <w:r>
              <w:t>You are upset, as other users could be affected. Depending on your design, the victim could be VIP users.</w:t>
            </w:r>
          </w:p>
        </w:tc>
      </w:tr>
    </w:tbl>
    <w:p w14:paraId="068C9910" w14:textId="77777777" w:rsidR="00E55491" w:rsidRDefault="00E55491" w:rsidP="00E55491">
      <w:pPr>
        <w:pStyle w:val="Heading4"/>
      </w:pPr>
      <w:r>
        <w:t>KPI Metrics</w:t>
      </w:r>
    </w:p>
    <w:p w14:paraId="5AD8AC31" w14:textId="77777777" w:rsidR="00E55491" w:rsidRPr="00317585" w:rsidRDefault="00E55491" w:rsidP="00E55491">
      <w:pPr>
        <w:rPr>
          <w:lang w:val="en-GB"/>
        </w:rPr>
      </w:pPr>
      <w:r>
        <w:rPr>
          <w:lang w:val="en-GB"/>
        </w:rPr>
        <w:t xml:space="preserve">KPI metric follows the reason and technique we use for vSphere. As some components of Horizon takes a shape of a VM, the vSphere </w:t>
      </w:r>
      <w:hyperlink w:anchor="_KPI_Metrics" w:history="1">
        <w:r w:rsidRPr="00EE3114">
          <w:rPr>
            <w:rStyle w:val="Hyperlink"/>
            <w:lang w:val="en-GB"/>
          </w:rPr>
          <w:t>VM KPI metric</w:t>
        </w:r>
      </w:hyperlink>
      <w:r>
        <w:rPr>
          <w:lang w:val="en-GB"/>
        </w:rPr>
        <w:t xml:space="preserve"> is used. </w:t>
      </w:r>
    </w:p>
    <w:p w14:paraId="4552B92B" w14:textId="77777777" w:rsidR="00E55491" w:rsidRDefault="00E55491" w:rsidP="00E55491">
      <w:pPr>
        <w:pStyle w:val="Heading5"/>
      </w:pPr>
      <w:r>
        <w:lastRenderedPageBreak/>
        <w:t>Network KPI</w:t>
      </w:r>
    </w:p>
    <w:p w14:paraId="11968E53" w14:textId="77777777" w:rsidR="00E55491" w:rsidRPr="00BA238A" w:rsidRDefault="00E55491" w:rsidP="00E55491">
      <w:pPr>
        <w:rPr>
          <w:lang w:val="en-GB"/>
        </w:rPr>
      </w:pPr>
      <w:r w:rsidRPr="00BA238A">
        <w:rPr>
          <w:lang w:val="en-GB"/>
        </w:rPr>
        <w:t xml:space="preserve">What are the </w:t>
      </w:r>
      <w:r>
        <w:rPr>
          <w:lang w:val="en-GB"/>
        </w:rPr>
        <w:t>n</w:t>
      </w:r>
      <w:r w:rsidRPr="00BA238A">
        <w:rPr>
          <w:lang w:val="en-GB"/>
        </w:rPr>
        <w:t>etworks in VDI?</w:t>
      </w:r>
      <w:r>
        <w:rPr>
          <w:lang w:val="en-GB"/>
        </w:rPr>
        <w:t xml:space="preserve"> </w:t>
      </w:r>
      <w:r w:rsidRPr="00BA238A">
        <w:rPr>
          <w:lang w:val="en-GB"/>
        </w:rPr>
        <w:t>A large VDI farm can have &gt;100 networks</w:t>
      </w:r>
      <w:r>
        <w:rPr>
          <w:lang w:val="en-GB"/>
        </w:rPr>
        <w:t xml:space="preserve">, with different latency, reliability and bandwidth. The LAN network can have issue if it’s wireless and there is congestion, or there are too many hops (range extender). </w:t>
      </w:r>
    </w:p>
    <w:p w14:paraId="57DEC89D" w14:textId="77777777" w:rsidR="00E55491" w:rsidRDefault="00E55491" w:rsidP="00E55491">
      <w:pPr>
        <w:rPr>
          <w:lang w:val="en-GB"/>
        </w:rPr>
      </w:pPr>
      <w:r>
        <w:rPr>
          <w:lang w:val="en-GB"/>
        </w:rPr>
        <w:t>Relative to DC KPI, network KPI is easier to measure as it has fewer metrics and only has 1 type of resource, which is packet protocol.</w:t>
      </w:r>
    </w:p>
    <w:p w14:paraId="18C30D4C" w14:textId="77777777" w:rsidR="00E55491" w:rsidRDefault="00E55491" w:rsidP="00E55491">
      <w:pPr>
        <w:jc w:val="center"/>
        <w:rPr>
          <w:lang w:val="en-GB"/>
        </w:rPr>
      </w:pPr>
      <w:r w:rsidRPr="00091486">
        <w:rPr>
          <w:noProof/>
          <w:lang w:val="en-GB"/>
        </w:rPr>
        <w:drawing>
          <wp:inline distT="0" distB="0" distL="0" distR="0" wp14:anchorId="69C60F44" wp14:editId="6E449A50">
            <wp:extent cx="5658141" cy="958899"/>
            <wp:effectExtent l="0" t="0" r="0" b="0"/>
            <wp:docPr id="1293284827" name="Picture 1293284827"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27" name="Picture 1293284827" descr="Table&#10;&#10;Description automatically generated with low confidence"/>
                    <pic:cNvPicPr/>
                  </pic:nvPicPr>
                  <pic:blipFill>
                    <a:blip r:embed="rId948"/>
                    <a:stretch>
                      <a:fillRect/>
                    </a:stretch>
                  </pic:blipFill>
                  <pic:spPr>
                    <a:xfrm>
                      <a:off x="0" y="0"/>
                      <a:ext cx="5658141" cy="958899"/>
                    </a:xfrm>
                    <a:prstGeom prst="rect">
                      <a:avLst/>
                    </a:prstGeom>
                  </pic:spPr>
                </pic:pic>
              </a:graphicData>
            </a:graphic>
          </wp:inline>
        </w:drawing>
      </w:r>
    </w:p>
    <w:p w14:paraId="0DE1E36C" w14:textId="77777777" w:rsidR="00E55491" w:rsidRDefault="00E55491" w:rsidP="00E55491">
      <w:pPr>
        <w:rPr>
          <w:lang w:val="en-GB"/>
        </w:rPr>
      </w:pPr>
      <w:r>
        <w:rPr>
          <w:lang w:val="en-GB"/>
        </w:rPr>
        <w:t>The latency is measured at PCoIP or Blast protocol layer, not TCP/UDP layer. Measuring at upper layer is more accurate as w</w:t>
      </w:r>
      <w:r w:rsidRPr="000A40F1">
        <w:rPr>
          <w:lang w:val="en-GB"/>
        </w:rPr>
        <w:t xml:space="preserve">e </w:t>
      </w:r>
      <w:r>
        <w:rPr>
          <w:lang w:val="en-GB"/>
        </w:rPr>
        <w:t xml:space="preserve">can have </w:t>
      </w:r>
      <w:r w:rsidRPr="000A40F1">
        <w:rPr>
          <w:lang w:val="en-GB"/>
        </w:rPr>
        <w:t xml:space="preserve">packet loss at application-layer </w:t>
      </w:r>
      <w:r>
        <w:rPr>
          <w:lang w:val="en-GB"/>
        </w:rPr>
        <w:t xml:space="preserve">but </w:t>
      </w:r>
      <w:r w:rsidRPr="000A40F1">
        <w:rPr>
          <w:lang w:val="en-GB"/>
        </w:rPr>
        <w:t xml:space="preserve">Windows sees no dropped packet. The reason was the packet arrives out of order and hence unusable from </w:t>
      </w:r>
      <w:r>
        <w:rPr>
          <w:lang w:val="en-GB"/>
        </w:rPr>
        <w:t>Horizon</w:t>
      </w:r>
      <w:r w:rsidRPr="000A40F1">
        <w:rPr>
          <w:lang w:val="en-GB"/>
        </w:rPr>
        <w:t xml:space="preserve"> viewpoint.</w:t>
      </w:r>
    </w:p>
    <w:p w14:paraId="2DDE4C4D" w14:textId="6A58D1DC" w:rsidR="00E55491" w:rsidRDefault="00E55491" w:rsidP="00E55491">
      <w:pPr>
        <w:rPr>
          <w:lang w:val="en-GB"/>
        </w:rPr>
      </w:pPr>
      <w:r>
        <w:rPr>
          <w:lang w:val="en-GB"/>
        </w:rPr>
        <w:t xml:space="preserve">We’ve set the threshold value to be conservative yet realistic. If your users are accessing over the WAN or unreliable connection, then you may not see </w:t>
      </w:r>
      <w:r w:rsidR="0022569A" w:rsidRPr="0022569A">
        <w:rPr>
          <w:color w:val="00B050"/>
          <w:lang w:val="en-GB"/>
        </w:rPr>
        <w:t>green</w:t>
      </w:r>
      <w:r>
        <w:rPr>
          <w:lang w:val="en-GB"/>
        </w:rPr>
        <w:t>. This is acceptable so long user actual productivity is not impacted.</w:t>
      </w:r>
    </w:p>
    <w:p w14:paraId="4421E3F0" w14:textId="77777777" w:rsidR="00E55491" w:rsidRDefault="00E55491" w:rsidP="00E55491">
      <w:pPr>
        <w:rPr>
          <w:lang w:val="en-GB"/>
        </w:rPr>
      </w:pPr>
      <w:r w:rsidRPr="007B0E89">
        <w:rPr>
          <w:lang w:val="en-GB"/>
        </w:rPr>
        <w:t xml:space="preserve">Time taken to load </w:t>
      </w:r>
      <w:r>
        <w:rPr>
          <w:lang w:val="en-GB"/>
        </w:rPr>
        <w:t xml:space="preserve">the user </w:t>
      </w:r>
      <w:r w:rsidRPr="007B0E89">
        <w:rPr>
          <w:lang w:val="en-GB"/>
        </w:rPr>
        <w:t>profile</w:t>
      </w:r>
      <w:r>
        <w:rPr>
          <w:lang w:val="en-GB"/>
        </w:rPr>
        <w:t xml:space="preserve"> and </w:t>
      </w:r>
      <w:r w:rsidRPr="007B0E89">
        <w:rPr>
          <w:lang w:val="en-GB"/>
        </w:rPr>
        <w:t>time taken to logon</w:t>
      </w:r>
      <w:r>
        <w:rPr>
          <w:lang w:val="en-GB"/>
        </w:rPr>
        <w:t xml:space="preserve"> are not </w:t>
      </w:r>
      <w:r w:rsidRPr="007B0E89">
        <w:rPr>
          <w:lang w:val="en-GB"/>
        </w:rPr>
        <w:t>include</w:t>
      </w:r>
      <w:r>
        <w:rPr>
          <w:lang w:val="en-GB"/>
        </w:rPr>
        <w:t>d</w:t>
      </w:r>
      <w:r w:rsidRPr="007B0E89">
        <w:rPr>
          <w:lang w:val="en-GB"/>
        </w:rPr>
        <w:t xml:space="preserve"> in the KPI because they are one time value.</w:t>
      </w:r>
      <w:r>
        <w:rPr>
          <w:lang w:val="en-GB"/>
        </w:rPr>
        <w:t xml:space="preserve"> KPI needs to be a metric that can be evaluated regularly. </w:t>
      </w:r>
    </w:p>
    <w:p w14:paraId="63325057" w14:textId="77777777" w:rsidR="00E55491" w:rsidRDefault="00E55491" w:rsidP="00E55491">
      <w:pPr>
        <w:rPr>
          <w:lang w:val="en-GB"/>
        </w:rPr>
      </w:pPr>
      <w:r>
        <w:rPr>
          <w:lang w:val="en-GB"/>
        </w:rPr>
        <w:t>At this moment, we do not include variance in the latency. If you think we should, do recommend the value for each threshold.</w:t>
      </w:r>
    </w:p>
    <w:p w14:paraId="1C4117DD" w14:textId="77777777" w:rsidR="00E55491" w:rsidRPr="002739E2" w:rsidRDefault="00E55491" w:rsidP="00E55491">
      <w:pPr>
        <w:rPr>
          <w:lang w:val="en-GB"/>
        </w:rPr>
      </w:pPr>
      <w:r>
        <w:rPr>
          <w:lang w:val="en-GB"/>
        </w:rPr>
        <w:t xml:space="preserve">The session network utilization is not part of the KPI as we can’t put the value into the range. The </w:t>
      </w:r>
      <w:hyperlink r:id="rId949" w:history="1">
        <w:r w:rsidRPr="00C767DE">
          <w:rPr>
            <w:rStyle w:val="Hyperlink"/>
            <w:lang w:val="en-GB"/>
          </w:rPr>
          <w:t>Blast Extreme</w:t>
        </w:r>
      </w:hyperlink>
      <w:r>
        <w:rPr>
          <w:lang w:val="en-GB"/>
        </w:rPr>
        <w:t xml:space="preserve"> protocol may be doing minimal work at that time for that user, so a low network throughput may not indicate poor user experience.</w:t>
      </w:r>
    </w:p>
    <w:p w14:paraId="083D2F3D" w14:textId="77777777" w:rsidR="00E55491" w:rsidRDefault="00E55491" w:rsidP="00E55491">
      <w:pPr>
        <w:pStyle w:val="Heading5"/>
      </w:pPr>
      <w:r>
        <w:t>Data Center KPI</w:t>
      </w:r>
    </w:p>
    <w:p w14:paraId="2E49E23F" w14:textId="77777777" w:rsidR="00E55491" w:rsidRDefault="00E55491" w:rsidP="00E55491">
      <w:r>
        <w:rPr>
          <w:lang w:val="en-GB"/>
        </w:rPr>
        <w:t xml:space="preserve">The DC KPI only applies to VDI session and RDS Host. RDS session does </w:t>
      </w:r>
      <w:r>
        <w:t>not have contention metrics. It only has utilization metrics and they cannot be used to determine if a user experience degrades. As a result, the KPI is taken from the RDS Host, which is a server VM serving many users concurrently. The drawback is RDS Host does not provide visibility into the performance of each session.</w:t>
      </w:r>
    </w:p>
    <w:p w14:paraId="63794F5F" w14:textId="77777777" w:rsidR="00E55491" w:rsidRPr="00001B8A" w:rsidRDefault="00E55491" w:rsidP="00E55491">
      <w:pPr>
        <w:rPr>
          <w:lang w:val="en-GB"/>
        </w:rPr>
      </w:pPr>
      <w:r w:rsidRPr="00001B8A">
        <w:rPr>
          <w:lang w:val="en-GB"/>
        </w:rPr>
        <w:t xml:space="preserve">Since both RDS Host and VDI Session is basically a Window VM, we are using the same KPI. Other than RDSH specific counter such as </w:t>
      </w:r>
      <w:hyperlink r:id="rId950" w:history="1">
        <w:r w:rsidRPr="00001B8A">
          <w:rPr>
            <w:rStyle w:val="Hyperlink"/>
            <w:color w:val="FF0000"/>
            <w:lang w:val="en-GB"/>
          </w:rPr>
          <w:t>this one</w:t>
        </w:r>
      </w:hyperlink>
      <w:r w:rsidRPr="00001B8A">
        <w:rPr>
          <w:lang w:val="en-GB"/>
        </w:rPr>
        <w:t xml:space="preserve">, there is no application level specific </w:t>
      </w:r>
      <w:r>
        <w:rPr>
          <w:lang w:val="en-GB"/>
        </w:rPr>
        <w:t>metrics</w:t>
      </w:r>
      <w:r w:rsidRPr="00001B8A">
        <w:rPr>
          <w:lang w:val="en-GB"/>
        </w:rPr>
        <w:t xml:space="preserve"> to measure contention. vRealize Operations uses the following </w:t>
      </w:r>
      <w:r>
        <w:rPr>
          <w:lang w:val="en-GB"/>
        </w:rPr>
        <w:t>metrics</w:t>
      </w:r>
      <w:r w:rsidRPr="00001B8A">
        <w:rPr>
          <w:lang w:val="en-GB"/>
        </w:rPr>
        <w:t xml:space="preserve"> and threshold to form the KPI.</w:t>
      </w:r>
    </w:p>
    <w:p w14:paraId="3FE6CA1A" w14:textId="77777777" w:rsidR="00E55491" w:rsidRPr="00001B8A" w:rsidRDefault="00E55491" w:rsidP="00E55491">
      <w:pPr>
        <w:rPr>
          <w:color w:val="FF0000"/>
          <w:lang w:val="en-GB"/>
        </w:rPr>
      </w:pPr>
      <w:r w:rsidRPr="00001B8A">
        <w:rPr>
          <w:noProof/>
          <w:color w:val="FF0000"/>
          <w:lang w:val="en-GB"/>
        </w:rPr>
        <w:lastRenderedPageBreak/>
        <w:drawing>
          <wp:inline distT="0" distB="0" distL="0" distR="0" wp14:anchorId="58E0DD81" wp14:editId="459E942D">
            <wp:extent cx="6445581" cy="3492679"/>
            <wp:effectExtent l="0" t="0" r="0" b="0"/>
            <wp:docPr id="1293284831" name="Picture 129328483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31" name="Picture 1293284831" descr="Table&#10;&#10;Description automatically generated"/>
                    <pic:cNvPicPr/>
                  </pic:nvPicPr>
                  <pic:blipFill>
                    <a:blip r:embed="rId951"/>
                    <a:stretch>
                      <a:fillRect/>
                    </a:stretch>
                  </pic:blipFill>
                  <pic:spPr>
                    <a:xfrm>
                      <a:off x="0" y="0"/>
                      <a:ext cx="6445581" cy="3492679"/>
                    </a:xfrm>
                    <a:prstGeom prst="rect">
                      <a:avLst/>
                    </a:prstGeom>
                  </pic:spPr>
                </pic:pic>
              </a:graphicData>
            </a:graphic>
          </wp:inline>
        </w:drawing>
      </w:r>
    </w:p>
    <w:p w14:paraId="13E41214" w14:textId="77777777" w:rsidR="00E55491" w:rsidRPr="00001B8A" w:rsidRDefault="00E55491" w:rsidP="00E55491">
      <w:pPr>
        <w:rPr>
          <w:lang w:val="en-GB"/>
        </w:rPr>
      </w:pPr>
      <w:r w:rsidRPr="00001B8A">
        <w:t xml:space="preserve">We provide the threshold as they reflect Horizon best practice, which should work for most customers. Your situation may differ, which is why we provide the raw metrics too as the KPI metric cannot be modified. </w:t>
      </w:r>
      <w:r>
        <w:t xml:space="preserve">In the event your design calls for a different threshold, you can build the KPI using super metric, as documented </w:t>
      </w:r>
      <w:hyperlink w:anchor="_Weighted_KPI" w:history="1">
        <w:r w:rsidRPr="00D41842">
          <w:rPr>
            <w:rStyle w:val="Hyperlink"/>
          </w:rPr>
          <w:t>here</w:t>
        </w:r>
      </w:hyperlink>
      <w:r>
        <w:t xml:space="preserve">. </w:t>
      </w:r>
    </w:p>
    <w:p w14:paraId="2F963972" w14:textId="77777777" w:rsidR="00E55491" w:rsidRDefault="00E55491" w:rsidP="00E55491">
      <w:pPr>
        <w:rPr>
          <w:lang w:val="en-GB"/>
        </w:rPr>
      </w:pPr>
      <w:r>
        <w:rPr>
          <w:lang w:val="en-GB"/>
        </w:rPr>
        <w:t xml:space="preserve">We do not include CPU Context Switch and Disk Outstanding IO, as I’m not yet convinced on the threshold, based on the profiling data. The numbers vary too wide. Send me your profiling result so I can consider it too. </w:t>
      </w:r>
    </w:p>
    <w:p w14:paraId="31269C63" w14:textId="4CB24469" w:rsidR="00E55491" w:rsidRDefault="00E55491" w:rsidP="00E55491">
      <w:pPr>
        <w:rPr>
          <w:lang w:val="en-GB"/>
        </w:rPr>
      </w:pPr>
      <w:r>
        <w:rPr>
          <w:lang w:val="en-GB"/>
        </w:rPr>
        <w:t xml:space="preserve">We do not include CPU Overlap as the value is negligible most of the time. It will be </w:t>
      </w:r>
      <w:r w:rsidR="0022569A" w:rsidRPr="0022569A">
        <w:rPr>
          <w:color w:val="00B050"/>
          <w:lang w:val="en-GB"/>
        </w:rPr>
        <w:t>green</w:t>
      </w:r>
      <w:r>
        <w:rPr>
          <w:lang w:val="en-GB"/>
        </w:rPr>
        <w:t xml:space="preserve"> most of the time, hence inflating the value unnecessarily. </w:t>
      </w:r>
    </w:p>
    <w:p w14:paraId="314A50DE" w14:textId="77777777" w:rsidR="00E55491" w:rsidRDefault="00E55491" w:rsidP="00E55491">
      <w:r>
        <w:t>Do you know why we include Page-in but not Page-out? How about balloon, swapped and compressed? How come none of them are here? Refer to Part 2 Memory chapter for the answer.</w:t>
      </w:r>
    </w:p>
    <w:p w14:paraId="0B0D1265" w14:textId="77777777" w:rsidR="00E55491" w:rsidRDefault="00E55491" w:rsidP="00E55491">
      <w:pPr>
        <w:rPr>
          <w:lang w:val="en-GB"/>
        </w:rPr>
      </w:pPr>
      <w:r>
        <w:t xml:space="preserve">We do not include Memory In Use as we have Free Memory. In Use is better for capacity, while Free is better for performance. </w:t>
      </w:r>
    </w:p>
    <w:p w14:paraId="0F875395" w14:textId="77777777" w:rsidR="00E55491" w:rsidRDefault="00E55491" w:rsidP="00E55491">
      <w:pPr>
        <w:rPr>
          <w:lang w:val="en-GB"/>
        </w:rPr>
      </w:pPr>
      <w:r w:rsidRPr="00C42017">
        <w:rPr>
          <w:lang w:val="en-GB"/>
        </w:rPr>
        <w:t xml:space="preserve">VM CPU </w:t>
      </w:r>
      <w:r>
        <w:rPr>
          <w:lang w:val="en-GB"/>
        </w:rPr>
        <w:t>u</w:t>
      </w:r>
      <w:r w:rsidRPr="00C42017">
        <w:rPr>
          <w:lang w:val="en-GB"/>
        </w:rPr>
        <w:t>tilization is included because it’s possible that we have a runaway process that it’s impacting user performance.</w:t>
      </w:r>
      <w:r>
        <w:rPr>
          <w:lang w:val="en-GB"/>
        </w:rPr>
        <w:t xml:space="preserve"> A runaway process typically consumes 1 vCPU so if the VM has 4 CPU the increase is only 25%.</w:t>
      </w:r>
    </w:p>
    <w:p w14:paraId="559E3905" w14:textId="77777777" w:rsidR="00E55491" w:rsidRDefault="00E55491" w:rsidP="00E55491">
      <w:pPr>
        <w:rPr>
          <w:lang w:val="en-GB"/>
        </w:rPr>
      </w:pPr>
      <w:r>
        <w:rPr>
          <w:lang w:val="en-GB"/>
        </w:rPr>
        <w:t xml:space="preserve">Now that we have the DC KPI and Network KPI at the smallest object, we can roll up to higher level object. For that, we need a correct hierarchy. The hierarchy is also required by other pillar of operations management. </w:t>
      </w:r>
    </w:p>
    <w:p w14:paraId="31FE5001" w14:textId="77777777" w:rsidR="00E55491" w:rsidRDefault="00E55491" w:rsidP="00E55491">
      <w:pPr>
        <w:pStyle w:val="Heading5"/>
      </w:pPr>
      <w:r>
        <w:t>KPI Roll Up</w:t>
      </w:r>
    </w:p>
    <w:p w14:paraId="04501261" w14:textId="77777777" w:rsidR="00E55491" w:rsidRDefault="00E55491" w:rsidP="00E55491">
      <w:pPr>
        <w:rPr>
          <w:lang w:val="en-GB"/>
        </w:rPr>
      </w:pPr>
      <w:r>
        <w:rPr>
          <w:lang w:val="en-GB"/>
        </w:rPr>
        <w:t>Using the above as the foundation, we can build the KPI at higher level object. Here is how we do it.</w:t>
      </w:r>
    </w:p>
    <w:p w14:paraId="0EDDC8D1" w14:textId="77777777" w:rsidR="00E55491" w:rsidRDefault="00E55491" w:rsidP="00E55491">
      <w:pPr>
        <w:jc w:val="center"/>
        <w:rPr>
          <w:lang w:val="en-GB"/>
        </w:rPr>
      </w:pPr>
      <w:r w:rsidRPr="00806EDB">
        <w:rPr>
          <w:noProof/>
          <w:lang w:val="en-GB"/>
        </w:rPr>
        <w:lastRenderedPageBreak/>
        <w:drawing>
          <wp:inline distT="0" distB="0" distL="0" distR="0" wp14:anchorId="6FA754EB" wp14:editId="01719BA8">
            <wp:extent cx="5353325" cy="2749691"/>
            <wp:effectExtent l="0" t="0" r="0" b="0"/>
            <wp:docPr id="357815371" name="Picture 35781537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71" name="Picture 357815371" descr="Diagram&#10;&#10;Description automatically generated"/>
                    <pic:cNvPicPr/>
                  </pic:nvPicPr>
                  <pic:blipFill>
                    <a:blip r:embed="rId952"/>
                    <a:stretch>
                      <a:fillRect/>
                    </a:stretch>
                  </pic:blipFill>
                  <pic:spPr>
                    <a:xfrm>
                      <a:off x="0" y="0"/>
                      <a:ext cx="5353325" cy="2749691"/>
                    </a:xfrm>
                    <a:prstGeom prst="rect">
                      <a:avLst/>
                    </a:prstGeom>
                  </pic:spPr>
                </pic:pic>
              </a:graphicData>
            </a:graphic>
          </wp:inline>
        </w:drawing>
      </w:r>
    </w:p>
    <w:p w14:paraId="6D6DA887" w14:textId="77777777" w:rsidR="00E55491" w:rsidRDefault="00E55491" w:rsidP="00E55491">
      <w:pPr>
        <w:rPr>
          <w:lang w:val="en-GB"/>
        </w:rPr>
      </w:pPr>
      <w:r>
        <w:rPr>
          <w:lang w:val="en-GB"/>
        </w:rPr>
        <w:t xml:space="preserve">Each VDI session has 2 KPI: Network KPI and Data Center KPI. </w:t>
      </w:r>
    </w:p>
    <w:p w14:paraId="22E74280" w14:textId="77777777" w:rsidR="00E55491" w:rsidRDefault="00E55491" w:rsidP="00E55491">
      <w:pPr>
        <w:rPr>
          <w:lang w:val="en-GB"/>
        </w:rPr>
      </w:pPr>
      <w:r>
        <w:rPr>
          <w:lang w:val="en-GB"/>
        </w:rPr>
        <w:t>The VDI Pool Network KPI is simply the average of all its VDI Session Network KPI. While average is a lagging indicator, it best represents the entire reality, which is required for further roll up to the higher level object. We certainly will complement it with leading indicators.</w:t>
      </w:r>
    </w:p>
    <w:p w14:paraId="1CEEDAEE" w14:textId="77777777" w:rsidR="00E55491" w:rsidRDefault="00E55491" w:rsidP="00E55491">
      <w:pPr>
        <w:rPr>
          <w:lang w:val="en-GB"/>
        </w:rPr>
      </w:pPr>
      <w:r>
        <w:rPr>
          <w:lang w:val="en-GB"/>
        </w:rPr>
        <w:t xml:space="preserve">The VDI Pool DC KPI is also the average of its session DC KPI. Because these 2 KPIs operate independently, we do </w:t>
      </w:r>
      <w:r w:rsidRPr="007425B9">
        <w:rPr>
          <w:i/>
          <w:iCs/>
          <w:color w:val="FF0000"/>
          <w:lang w:val="en-GB"/>
        </w:rPr>
        <w:t>not</w:t>
      </w:r>
      <w:r w:rsidRPr="007425B9">
        <w:rPr>
          <w:color w:val="FF0000"/>
          <w:lang w:val="en-GB"/>
        </w:rPr>
        <w:t xml:space="preserve"> </w:t>
      </w:r>
      <w:r>
        <w:rPr>
          <w:lang w:val="en-GB"/>
        </w:rPr>
        <w:t>combine them.</w:t>
      </w:r>
    </w:p>
    <w:p w14:paraId="1251994E" w14:textId="77777777" w:rsidR="00E55491" w:rsidRDefault="00E55491" w:rsidP="00E55491">
      <w:pPr>
        <w:rPr>
          <w:lang w:val="en-GB"/>
        </w:rPr>
      </w:pPr>
      <w:r>
        <w:rPr>
          <w:lang w:val="en-GB"/>
        </w:rPr>
        <w:t xml:space="preserve">For RDS, the corresponding object is RDS Farm, not RDS Host. It’s more logical to monitor at this level, just like we monitor at vSphere cluster level and not the individual ESXi. Just like a VM moves within a cluster, a user does not always get the same RDS host in the next session. We take the network KPI from RDS sessions and DC KPI from RDS hosts. </w:t>
      </w:r>
    </w:p>
    <w:p w14:paraId="5F730BB1" w14:textId="77777777" w:rsidR="00E55491" w:rsidRDefault="00E55491" w:rsidP="00E55491">
      <w:pPr>
        <w:rPr>
          <w:lang w:val="en-GB"/>
        </w:rPr>
      </w:pPr>
      <w:r>
        <w:rPr>
          <w:lang w:val="en-GB"/>
        </w:rPr>
        <w:t>We combine both the VDI and RDS KPI at the Pod level. Again, we simply take the average of both. If you have more VDI Pools than RDS Farms, then the Pod KPI value will be driven by the VDI part of your architecture.</w:t>
      </w:r>
    </w:p>
    <w:p w14:paraId="5B9474A5" w14:textId="77777777" w:rsidR="00E55491" w:rsidRDefault="00E55491" w:rsidP="00E55491">
      <w:pPr>
        <w:pStyle w:val="Code"/>
      </w:pPr>
      <w:r>
        <w:t>Pod DC KPI = Average (VDI Pool DC KPI, RDS Farm DC KPI)</w:t>
      </w:r>
    </w:p>
    <w:p w14:paraId="694BB4A2" w14:textId="77777777" w:rsidR="00E55491" w:rsidRDefault="00E55491" w:rsidP="00E55491">
      <w:pPr>
        <w:rPr>
          <w:lang w:val="en-GB"/>
        </w:rPr>
      </w:pPr>
      <w:r>
        <w:rPr>
          <w:lang w:val="en-GB"/>
        </w:rPr>
        <w:t>The limitation of the above is it each pools and farms are given the same weightage. The number of sessions do not matter. The reason is you manage at pool and farm level, not individual session.</w:t>
      </w:r>
    </w:p>
    <w:p w14:paraId="185D8AC3" w14:textId="77777777" w:rsidR="00E55491" w:rsidRDefault="00E55491" w:rsidP="00E55491">
      <w:pPr>
        <w:rPr>
          <w:lang w:val="en-GB"/>
        </w:rPr>
      </w:pPr>
      <w:r>
        <w:rPr>
          <w:lang w:val="en-GB"/>
        </w:rPr>
        <w:t xml:space="preserve">The KPI for higher level objects cannot be the average of Pod KPI, as Pod is basically a group. The KPI is still taken from VDI Pool and RDS Farm levels, as these objects provide the resource. This is to ensure fair representation if you have Pod of different size. </w:t>
      </w:r>
    </w:p>
    <w:p w14:paraId="57A1217F" w14:textId="77777777" w:rsidR="00E55491" w:rsidRPr="00205D8A" w:rsidRDefault="00E55491" w:rsidP="00E55491">
      <w:pPr>
        <w:pStyle w:val="Code"/>
      </w:pPr>
      <w:r>
        <w:t>Horizon World DC KPI = Average (VDI Pool DC KPI, RDS Farm DC KPI)</w:t>
      </w:r>
    </w:p>
    <w:p w14:paraId="5B8EE9FD" w14:textId="77777777" w:rsidR="00E55491" w:rsidRDefault="00E55491" w:rsidP="00E55491">
      <w:pPr>
        <w:rPr>
          <w:lang w:val="en-GB"/>
        </w:rPr>
      </w:pPr>
      <w:r>
        <w:rPr>
          <w:lang w:val="en-GB"/>
        </w:rPr>
        <w:t xml:space="preserve">We do not include the Horizon server infrastructure at the KPI level. The reason is they are supporting metrics. They do </w:t>
      </w:r>
      <w:r w:rsidRPr="00053452">
        <w:rPr>
          <w:i/>
          <w:iCs/>
          <w:color w:val="FF0000"/>
          <w:lang w:val="en-GB"/>
        </w:rPr>
        <w:t>not</w:t>
      </w:r>
      <w:r w:rsidRPr="00053452">
        <w:rPr>
          <w:color w:val="FF0000"/>
          <w:lang w:val="en-GB"/>
        </w:rPr>
        <w:t xml:space="preserve"> </w:t>
      </w:r>
      <w:r>
        <w:rPr>
          <w:lang w:val="en-GB"/>
        </w:rPr>
        <w:t xml:space="preserve">directly measure the user experience as none of their metrics are session-specific. This is an example where we’re being careful in choosing KPI. Each KPI is ideally a primary metric, directly measuring the session performance. If you include supporting metrics, you can get false positive or false negative. </w:t>
      </w:r>
    </w:p>
    <w:p w14:paraId="14B37B7C" w14:textId="77777777" w:rsidR="00E55491" w:rsidRDefault="00E55491" w:rsidP="00E55491">
      <w:pPr>
        <w:pStyle w:val="Heading5"/>
      </w:pPr>
      <w:r>
        <w:lastRenderedPageBreak/>
        <w:t>Leading Indicator</w:t>
      </w:r>
    </w:p>
    <w:p w14:paraId="4494FF17" w14:textId="77777777" w:rsidR="00E55491" w:rsidRDefault="00E55491" w:rsidP="00E55491">
      <w:pPr>
        <w:rPr>
          <w:lang w:val="en-GB"/>
        </w:rPr>
      </w:pPr>
      <w:r>
        <w:rPr>
          <w:lang w:val="en-GB"/>
        </w:rPr>
        <w:t xml:space="preserve">We covered in Part 1 Chapter 2 Performance Management that you need a leading indicator. The true KPI is a lagging indicator, so we need to complement it. The roll up technique matters so you balance the information. </w:t>
      </w:r>
    </w:p>
    <w:p w14:paraId="230AF44B" w14:textId="77777777" w:rsidR="00E55491" w:rsidRDefault="00E55491" w:rsidP="00E55491">
      <w:pPr>
        <w:rPr>
          <w:lang w:val="en-GB"/>
        </w:rPr>
      </w:pPr>
      <w:r>
        <w:rPr>
          <w:lang w:val="en-GB"/>
        </w:rPr>
        <w:t xml:space="preserve">A Pod can have thousands of sessions, so how do you roll up? </w:t>
      </w:r>
    </w:p>
    <w:p w14:paraId="764A9A0A" w14:textId="77777777" w:rsidR="00E55491" w:rsidRDefault="00E55491" w:rsidP="00E55491">
      <w:pPr>
        <w:pStyle w:val="Bullet"/>
        <w:rPr>
          <w:lang w:val="en-GB"/>
        </w:rPr>
      </w:pPr>
      <w:r>
        <w:rPr>
          <w:lang w:val="en-GB"/>
        </w:rPr>
        <w:t>Each session has a KPI (%). This is a balanced approach, so we can take its value.</w:t>
      </w:r>
    </w:p>
    <w:p w14:paraId="270465B3" w14:textId="3155DA25" w:rsidR="00E55491" w:rsidRDefault="00E55491" w:rsidP="00E55491">
      <w:pPr>
        <w:pStyle w:val="Bullet"/>
        <w:rPr>
          <w:lang w:val="en-GB"/>
        </w:rPr>
      </w:pPr>
      <w:r>
        <w:rPr>
          <w:lang w:val="en-GB"/>
        </w:rPr>
        <w:t>At Farm or Pool level, if you take the worst among sessions, the value may be bad most of the time. A better way is to take the w</w:t>
      </w:r>
      <w:r>
        <w:t>orst 5</w:t>
      </w:r>
      <w:r w:rsidRPr="0078733A">
        <w:rPr>
          <w:vertAlign w:val="superscript"/>
        </w:rPr>
        <w:t>th</w:t>
      </w:r>
      <w:r>
        <w:t xml:space="preserve"> percentile</w:t>
      </w:r>
      <w:r>
        <w:rPr>
          <w:lang w:val="en-GB"/>
        </w:rPr>
        <w:t xml:space="preserve">, and then complement with a count of sessions in the </w:t>
      </w:r>
      <w:r w:rsidR="00CF7D2C" w:rsidRPr="00CF7D2C">
        <w:rPr>
          <w:color w:val="FF0000"/>
          <w:lang w:val="en-GB"/>
        </w:rPr>
        <w:t>red</w:t>
      </w:r>
      <w:r>
        <w:rPr>
          <w:lang w:val="en-GB"/>
        </w:rPr>
        <w:t>.</w:t>
      </w:r>
    </w:p>
    <w:p w14:paraId="6EBE4570" w14:textId="6ED6C592" w:rsidR="00E55491" w:rsidRPr="00D36354" w:rsidRDefault="00E55491" w:rsidP="00E55491">
      <w:pPr>
        <w:pStyle w:val="Bullet"/>
        <w:rPr>
          <w:lang w:val="en-GB"/>
        </w:rPr>
      </w:pPr>
      <w:r>
        <w:rPr>
          <w:lang w:val="en-GB"/>
        </w:rPr>
        <w:t>At Pod level, take the same approach, which is w</w:t>
      </w:r>
      <w:r>
        <w:t>orst 5</w:t>
      </w:r>
      <w:r w:rsidRPr="0078733A">
        <w:rPr>
          <w:vertAlign w:val="superscript"/>
        </w:rPr>
        <w:t>th</w:t>
      </w:r>
      <w:r>
        <w:t xml:space="preserve"> percentile</w:t>
      </w:r>
      <w:r>
        <w:rPr>
          <w:lang w:val="en-GB"/>
        </w:rPr>
        <w:t xml:space="preserve">, complemented with a count of sessions in the </w:t>
      </w:r>
      <w:r w:rsidR="00CF7D2C" w:rsidRPr="00CF7D2C">
        <w:rPr>
          <w:color w:val="FF0000"/>
          <w:lang w:val="en-GB"/>
        </w:rPr>
        <w:t>red</w:t>
      </w:r>
    </w:p>
    <w:p w14:paraId="147AC97C" w14:textId="77777777" w:rsidR="00E55491" w:rsidRDefault="00E55491" w:rsidP="00E55491">
      <w:pPr>
        <w:rPr>
          <w:lang w:val="en-GB"/>
        </w:rPr>
      </w:pPr>
      <w:r w:rsidRPr="00D41842">
        <w:rPr>
          <w:noProof/>
          <w:lang w:val="en-GB"/>
        </w:rPr>
        <w:drawing>
          <wp:inline distT="0" distB="0" distL="0" distR="0" wp14:anchorId="7E6D3F3D" wp14:editId="402004BE">
            <wp:extent cx="6645910" cy="3006725"/>
            <wp:effectExtent l="0" t="0" r="2540" b="3175"/>
            <wp:docPr id="918289636" name="Picture 918289636" descr="Chart, box and whisk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36" name="Picture 918289636" descr="Chart, box and whisker chart&#10;&#10;Description automatically generated"/>
                    <pic:cNvPicPr/>
                  </pic:nvPicPr>
                  <pic:blipFill>
                    <a:blip r:embed="rId953"/>
                    <a:stretch>
                      <a:fillRect/>
                    </a:stretch>
                  </pic:blipFill>
                  <pic:spPr>
                    <a:xfrm>
                      <a:off x="0" y="0"/>
                      <a:ext cx="6645910" cy="3006725"/>
                    </a:xfrm>
                    <a:prstGeom prst="rect">
                      <a:avLst/>
                    </a:prstGeom>
                  </pic:spPr>
                </pic:pic>
              </a:graphicData>
            </a:graphic>
          </wp:inline>
        </w:drawing>
      </w:r>
    </w:p>
    <w:p w14:paraId="45904DD3" w14:textId="77777777" w:rsidR="00E55491" w:rsidRDefault="00E55491" w:rsidP="00E55491">
      <w:pPr>
        <w:rPr>
          <w:lang w:val="en-GB"/>
        </w:rPr>
      </w:pPr>
      <w:r>
        <w:rPr>
          <w:lang w:val="en-GB"/>
        </w:rPr>
        <w:t>Using the above, here are the KPI metrics we have at the top level</w:t>
      </w:r>
    </w:p>
    <w:p w14:paraId="4C065ED5" w14:textId="77777777" w:rsidR="00E55491" w:rsidRPr="009A1F6C" w:rsidRDefault="00E55491" w:rsidP="00E55491">
      <w:pPr>
        <w:pStyle w:val="Bullet"/>
        <w:rPr>
          <w:lang w:val="en-GB"/>
        </w:rPr>
      </w:pPr>
      <w:r>
        <w:rPr>
          <w:lang w:val="en-GB"/>
        </w:rPr>
        <w:t>W</w:t>
      </w:r>
      <w:r>
        <w:t>orst 5</w:t>
      </w:r>
      <w:r w:rsidRPr="0078733A">
        <w:rPr>
          <w:vertAlign w:val="superscript"/>
        </w:rPr>
        <w:t>th</w:t>
      </w:r>
      <w:r>
        <w:t xml:space="preserve"> percentile</w:t>
      </w:r>
      <w:r w:rsidRPr="00A452F2">
        <w:rPr>
          <w:lang w:val="en-GB"/>
        </w:rPr>
        <w:t xml:space="preserve"> </w:t>
      </w:r>
      <w:r w:rsidRPr="009A1F6C">
        <w:rPr>
          <w:lang w:val="en-GB"/>
        </w:rPr>
        <w:t xml:space="preserve">Pod DC KPI = </w:t>
      </w:r>
      <w:r>
        <w:rPr>
          <w:lang w:val="en-GB"/>
        </w:rPr>
        <w:t>the w</w:t>
      </w:r>
      <w:r>
        <w:t>orst 5</w:t>
      </w:r>
      <w:r w:rsidRPr="0078733A">
        <w:rPr>
          <w:vertAlign w:val="superscript"/>
        </w:rPr>
        <w:t>th</w:t>
      </w:r>
      <w:r>
        <w:t xml:space="preserve"> percentile</w:t>
      </w:r>
      <w:r w:rsidRPr="00A452F2">
        <w:rPr>
          <w:lang w:val="en-GB"/>
        </w:rPr>
        <w:t xml:space="preserve"> </w:t>
      </w:r>
      <w:r>
        <w:rPr>
          <w:lang w:val="en-GB"/>
        </w:rPr>
        <w:t>of all its</w:t>
      </w:r>
      <w:r w:rsidRPr="009A1F6C">
        <w:rPr>
          <w:lang w:val="en-GB"/>
        </w:rPr>
        <w:t xml:space="preserve"> (Farm KPIs, Pool KPIs)</w:t>
      </w:r>
      <w:r>
        <w:rPr>
          <w:lang w:val="en-GB"/>
        </w:rPr>
        <w:t xml:space="preserve"> values, regardless their size.</w:t>
      </w:r>
    </w:p>
    <w:p w14:paraId="2B7100A6" w14:textId="77777777" w:rsidR="00E55491" w:rsidRDefault="00E55491" w:rsidP="00E55491">
      <w:pPr>
        <w:pStyle w:val="Bullet"/>
        <w:rPr>
          <w:lang w:val="en-GB"/>
        </w:rPr>
      </w:pPr>
      <w:r>
        <w:rPr>
          <w:lang w:val="en-GB"/>
        </w:rPr>
        <w:t>W</w:t>
      </w:r>
      <w:r>
        <w:t>orst 5</w:t>
      </w:r>
      <w:r w:rsidRPr="0078733A">
        <w:rPr>
          <w:vertAlign w:val="superscript"/>
        </w:rPr>
        <w:t>th</w:t>
      </w:r>
      <w:r>
        <w:t xml:space="preserve"> percentile</w:t>
      </w:r>
      <w:r w:rsidRPr="00A452F2">
        <w:rPr>
          <w:lang w:val="en-GB"/>
        </w:rPr>
        <w:t xml:space="preserve"> </w:t>
      </w:r>
      <w:r w:rsidRPr="009A1F6C">
        <w:rPr>
          <w:lang w:val="en-GB"/>
        </w:rPr>
        <w:t>World DC KPI</w:t>
      </w:r>
      <w:r>
        <w:rPr>
          <w:lang w:val="en-GB"/>
        </w:rPr>
        <w:t>. Identical formula to Pod, so expect this to be lower than the average of all pods</w:t>
      </w:r>
    </w:p>
    <w:p w14:paraId="2932B008" w14:textId="77777777" w:rsidR="00E55491" w:rsidRPr="009A1F6C" w:rsidRDefault="00E55491" w:rsidP="00E55491">
      <w:pPr>
        <w:pStyle w:val="Bullet"/>
        <w:rPr>
          <w:lang w:val="en-GB"/>
        </w:rPr>
      </w:pPr>
      <w:r>
        <w:rPr>
          <w:lang w:val="en-GB"/>
        </w:rPr>
        <w:t>W</w:t>
      </w:r>
      <w:r>
        <w:t>orst 5</w:t>
      </w:r>
      <w:r w:rsidRPr="0078733A">
        <w:rPr>
          <w:vertAlign w:val="superscript"/>
        </w:rPr>
        <w:t>th</w:t>
      </w:r>
      <w:r>
        <w:t xml:space="preserve"> percentile</w:t>
      </w:r>
      <w:r w:rsidRPr="00A452F2">
        <w:rPr>
          <w:lang w:val="en-GB"/>
        </w:rPr>
        <w:t xml:space="preserve"> </w:t>
      </w:r>
      <w:r w:rsidRPr="009A1F6C">
        <w:rPr>
          <w:lang w:val="en-GB"/>
        </w:rPr>
        <w:t xml:space="preserve">Pod </w:t>
      </w:r>
      <w:r>
        <w:rPr>
          <w:lang w:val="en-GB"/>
        </w:rPr>
        <w:t xml:space="preserve">Network </w:t>
      </w:r>
      <w:r w:rsidRPr="009A1F6C">
        <w:rPr>
          <w:lang w:val="en-GB"/>
        </w:rPr>
        <w:t>KPI</w:t>
      </w:r>
      <w:r>
        <w:rPr>
          <w:lang w:val="en-GB"/>
        </w:rPr>
        <w:t>. Same approach with DC KPI, but obviously using Network KPI as input.</w:t>
      </w:r>
    </w:p>
    <w:p w14:paraId="1897E093" w14:textId="77777777" w:rsidR="00E55491" w:rsidRPr="007A5973" w:rsidRDefault="00E55491" w:rsidP="00E55491">
      <w:pPr>
        <w:pStyle w:val="Bullet"/>
        <w:rPr>
          <w:lang w:val="en-GB"/>
        </w:rPr>
      </w:pPr>
      <w:r>
        <w:rPr>
          <w:lang w:val="en-GB"/>
        </w:rPr>
        <w:t>W</w:t>
      </w:r>
      <w:r>
        <w:t>orst 5</w:t>
      </w:r>
      <w:r w:rsidRPr="0078733A">
        <w:rPr>
          <w:vertAlign w:val="superscript"/>
        </w:rPr>
        <w:t>th</w:t>
      </w:r>
      <w:r>
        <w:t xml:space="preserve"> percentile</w:t>
      </w:r>
      <w:r w:rsidRPr="00A452F2">
        <w:rPr>
          <w:lang w:val="en-GB"/>
        </w:rPr>
        <w:t xml:space="preserve"> </w:t>
      </w:r>
      <w:r w:rsidRPr="009A1F6C">
        <w:rPr>
          <w:lang w:val="en-GB"/>
        </w:rPr>
        <w:t xml:space="preserve">World </w:t>
      </w:r>
      <w:r>
        <w:rPr>
          <w:lang w:val="en-GB"/>
        </w:rPr>
        <w:t xml:space="preserve">Network </w:t>
      </w:r>
      <w:r w:rsidRPr="009A1F6C">
        <w:rPr>
          <w:lang w:val="en-GB"/>
        </w:rPr>
        <w:t>KPI</w:t>
      </w:r>
      <w:r>
        <w:rPr>
          <w:lang w:val="en-GB"/>
        </w:rPr>
        <w:t>. You got the idea.</w:t>
      </w:r>
    </w:p>
    <w:p w14:paraId="158F2DB0" w14:textId="77777777" w:rsidR="00E55491" w:rsidRDefault="00E55491" w:rsidP="00E55491">
      <w:pPr>
        <w:rPr>
          <w:lang w:val="en-GB"/>
        </w:rPr>
      </w:pPr>
      <w:r>
        <w:rPr>
          <w:lang w:val="en-GB"/>
        </w:rPr>
        <w:t>Yes, just 2 each for Pod and World, and 2 each for DC and Network. You need to keep it minimum so it’s easier to see over time.</w:t>
      </w:r>
    </w:p>
    <w:p w14:paraId="30D87AF3" w14:textId="77777777" w:rsidR="00E55491" w:rsidRDefault="00E55491" w:rsidP="00E55491">
      <w:pPr>
        <w:rPr>
          <w:lang w:val="en-GB"/>
        </w:rPr>
      </w:pPr>
      <w:r>
        <w:rPr>
          <w:lang w:val="en-GB"/>
        </w:rPr>
        <w:t>At the Farm and Pool level, it’s the same approach.</w:t>
      </w:r>
    </w:p>
    <w:p w14:paraId="7BF19716" w14:textId="77777777" w:rsidR="00E55491" w:rsidRPr="009A1F6C" w:rsidRDefault="00E55491" w:rsidP="00E55491">
      <w:pPr>
        <w:pStyle w:val="Bullet"/>
        <w:rPr>
          <w:lang w:val="en-GB"/>
        </w:rPr>
      </w:pPr>
      <w:r>
        <w:rPr>
          <w:lang w:val="en-GB"/>
        </w:rPr>
        <w:t>W</w:t>
      </w:r>
      <w:r>
        <w:t>orst 5</w:t>
      </w:r>
      <w:r w:rsidRPr="0078733A">
        <w:rPr>
          <w:vertAlign w:val="superscript"/>
        </w:rPr>
        <w:t>th</w:t>
      </w:r>
      <w:r>
        <w:t xml:space="preserve"> percentile</w:t>
      </w:r>
      <w:r w:rsidRPr="00A452F2">
        <w:rPr>
          <w:lang w:val="en-GB"/>
        </w:rPr>
        <w:t xml:space="preserve"> </w:t>
      </w:r>
      <w:r>
        <w:rPr>
          <w:lang w:val="en-GB"/>
        </w:rPr>
        <w:t xml:space="preserve">Farm </w:t>
      </w:r>
      <w:r w:rsidRPr="009A1F6C">
        <w:rPr>
          <w:lang w:val="en-GB"/>
        </w:rPr>
        <w:t>DC KPI = 95</w:t>
      </w:r>
      <w:r w:rsidRPr="009A1F6C">
        <w:rPr>
          <w:vertAlign w:val="superscript"/>
          <w:lang w:val="en-GB"/>
        </w:rPr>
        <w:t>th</w:t>
      </w:r>
      <w:r w:rsidRPr="009A1F6C">
        <w:rPr>
          <w:lang w:val="en-GB"/>
        </w:rPr>
        <w:t xml:space="preserve"> P</w:t>
      </w:r>
      <w:r>
        <w:rPr>
          <w:lang w:val="en-GB"/>
        </w:rPr>
        <w:t>ercentile of all its</w:t>
      </w:r>
      <w:r w:rsidRPr="009A1F6C">
        <w:rPr>
          <w:lang w:val="en-GB"/>
        </w:rPr>
        <w:t xml:space="preserve"> </w:t>
      </w:r>
      <w:r>
        <w:rPr>
          <w:lang w:val="en-GB"/>
        </w:rPr>
        <w:t xml:space="preserve">RDS Hosts DC </w:t>
      </w:r>
      <w:r w:rsidRPr="009A1F6C">
        <w:rPr>
          <w:lang w:val="en-GB"/>
        </w:rPr>
        <w:t>KPI</w:t>
      </w:r>
      <w:r>
        <w:rPr>
          <w:lang w:val="en-GB"/>
        </w:rPr>
        <w:t xml:space="preserve"> values, regardless of farms.</w:t>
      </w:r>
    </w:p>
    <w:p w14:paraId="7E3E2CE3" w14:textId="77777777" w:rsidR="00E55491" w:rsidRDefault="00E55491" w:rsidP="00E55491">
      <w:pPr>
        <w:pStyle w:val="Bullet"/>
        <w:rPr>
          <w:lang w:val="en-GB"/>
        </w:rPr>
      </w:pPr>
      <w:r>
        <w:rPr>
          <w:lang w:val="en-GB"/>
        </w:rPr>
        <w:t>W</w:t>
      </w:r>
      <w:r>
        <w:t>orst 5</w:t>
      </w:r>
      <w:r w:rsidRPr="0078733A">
        <w:rPr>
          <w:vertAlign w:val="superscript"/>
        </w:rPr>
        <w:t>th</w:t>
      </w:r>
      <w:r>
        <w:t xml:space="preserve"> percentile</w:t>
      </w:r>
      <w:r w:rsidRPr="00A452F2">
        <w:rPr>
          <w:lang w:val="en-GB"/>
        </w:rPr>
        <w:t xml:space="preserve"> </w:t>
      </w:r>
      <w:r>
        <w:rPr>
          <w:lang w:val="en-GB"/>
        </w:rPr>
        <w:t xml:space="preserve">Farm Network </w:t>
      </w:r>
      <w:r w:rsidRPr="009A1F6C">
        <w:rPr>
          <w:lang w:val="en-GB"/>
        </w:rPr>
        <w:t>KPI</w:t>
      </w:r>
      <w:r>
        <w:rPr>
          <w:lang w:val="en-GB"/>
        </w:rPr>
        <w:t>. Same approach with DC KPI, but obviously using Network KPI as input.</w:t>
      </w:r>
    </w:p>
    <w:p w14:paraId="324CF115" w14:textId="77777777" w:rsidR="00E55491" w:rsidRPr="009A1F6C" w:rsidRDefault="00E55491" w:rsidP="00E55491">
      <w:pPr>
        <w:pStyle w:val="Bullet"/>
        <w:rPr>
          <w:lang w:val="en-GB"/>
        </w:rPr>
      </w:pPr>
      <w:r>
        <w:rPr>
          <w:lang w:val="en-GB"/>
        </w:rPr>
        <w:t>W</w:t>
      </w:r>
      <w:r>
        <w:t>orst 5</w:t>
      </w:r>
      <w:r w:rsidRPr="0078733A">
        <w:rPr>
          <w:vertAlign w:val="superscript"/>
        </w:rPr>
        <w:t>th</w:t>
      </w:r>
      <w:r>
        <w:t xml:space="preserve"> percentile</w:t>
      </w:r>
      <w:r w:rsidRPr="00A452F2">
        <w:rPr>
          <w:lang w:val="en-GB"/>
        </w:rPr>
        <w:t xml:space="preserve"> </w:t>
      </w:r>
      <w:r>
        <w:rPr>
          <w:lang w:val="en-GB"/>
        </w:rPr>
        <w:t xml:space="preserve">Pool DC </w:t>
      </w:r>
      <w:r w:rsidRPr="009A1F6C">
        <w:rPr>
          <w:lang w:val="en-GB"/>
        </w:rPr>
        <w:t>KPI</w:t>
      </w:r>
      <w:r>
        <w:rPr>
          <w:lang w:val="en-GB"/>
        </w:rPr>
        <w:t>. Same approach with RDS Farm, but obviously using VDI Session DC KPI as input.</w:t>
      </w:r>
    </w:p>
    <w:p w14:paraId="4CC98CC4" w14:textId="77777777" w:rsidR="00E55491" w:rsidRPr="007A5973" w:rsidRDefault="00E55491" w:rsidP="00E55491">
      <w:pPr>
        <w:pStyle w:val="Bullet"/>
        <w:rPr>
          <w:lang w:val="en-GB"/>
        </w:rPr>
      </w:pPr>
      <w:r>
        <w:rPr>
          <w:lang w:val="en-GB"/>
        </w:rPr>
        <w:t>W</w:t>
      </w:r>
      <w:r>
        <w:t>orst 5</w:t>
      </w:r>
      <w:r w:rsidRPr="0078733A">
        <w:rPr>
          <w:vertAlign w:val="superscript"/>
        </w:rPr>
        <w:t>th</w:t>
      </w:r>
      <w:r>
        <w:t xml:space="preserve"> percentile</w:t>
      </w:r>
      <w:r w:rsidRPr="00A452F2">
        <w:rPr>
          <w:lang w:val="en-GB"/>
        </w:rPr>
        <w:t xml:space="preserve"> </w:t>
      </w:r>
      <w:r>
        <w:rPr>
          <w:lang w:val="en-GB"/>
        </w:rPr>
        <w:t xml:space="preserve">Pod Network </w:t>
      </w:r>
      <w:r w:rsidRPr="009A1F6C">
        <w:rPr>
          <w:lang w:val="en-GB"/>
        </w:rPr>
        <w:t>KPI</w:t>
      </w:r>
      <w:r>
        <w:rPr>
          <w:lang w:val="en-GB"/>
        </w:rPr>
        <w:t xml:space="preserve">. You got the idea </w:t>
      </w:r>
      <w:r w:rsidRPr="0078733A">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r>
        <w:rPr>
          <w:lang w:val="en-GB"/>
        </w:rPr>
        <w:t xml:space="preserve"> </w:t>
      </w:r>
    </w:p>
    <w:p w14:paraId="6B2A28BF" w14:textId="77777777" w:rsidR="00E55491" w:rsidRDefault="00E55491" w:rsidP="00E55491">
      <w:pPr>
        <w:rPr>
          <w:lang w:val="en-GB"/>
        </w:rPr>
      </w:pPr>
      <w:r>
        <w:rPr>
          <w:lang w:val="en-GB"/>
        </w:rPr>
        <w:lastRenderedPageBreak/>
        <w:t>Now that we have the KPI, let’s look at the Horizon objects one by one, starting with the smallest/lowest one. We will also include all other performance metrics to complete the picture. To keep the list short and topic manageable, we will not include non performance metrics and properties. We will cover them separately.</w:t>
      </w:r>
    </w:p>
    <w:p w14:paraId="4B6A16A8" w14:textId="77777777" w:rsidR="00E55491" w:rsidRDefault="00E55491" w:rsidP="00E55491">
      <w:pPr>
        <w:pStyle w:val="Heading4"/>
      </w:pPr>
      <w:r>
        <w:t>Baseline Profiling</w:t>
      </w:r>
    </w:p>
    <w:p w14:paraId="3FF3FAD5" w14:textId="77777777" w:rsidR="00E55491" w:rsidRDefault="00E55491" w:rsidP="00E55491">
      <w:r>
        <w:t>Horizon is one of the largest applications in a company, as it can span thousands of VMs and locations. It’s important to profile so you know what to expect. Different deployments can have a different performance characteristics, making it hard to establish best practice threshold. In a large scale deployment, different pools or farms can have different numbers. If your design expects a different performance for certain farm or pool, then profile them separately.</w:t>
      </w:r>
    </w:p>
    <w:p w14:paraId="0DEA8204" w14:textId="77777777" w:rsidR="00E55491" w:rsidRDefault="00E55491" w:rsidP="00E55491">
      <w:r>
        <w:t xml:space="preserve">Take time to profile your actual environment while it’s healthy so you have a baseline. </w:t>
      </w:r>
    </w:p>
    <w:p w14:paraId="788A959D" w14:textId="77777777" w:rsidR="00E55491" w:rsidRPr="005F7177" w:rsidRDefault="00E55491" w:rsidP="00E55491">
      <w:r>
        <w:t xml:space="preserve">We cover the profiling technique earlier in </w:t>
      </w:r>
      <w:hyperlink w:anchor="_Baseline_Profiling" w:history="1">
        <w:r w:rsidRPr="007D037F">
          <w:rPr>
            <w:rStyle w:val="Hyperlink"/>
          </w:rPr>
          <w:t>Part 1 Chapter 2</w:t>
        </w:r>
      </w:hyperlink>
      <w:r>
        <w:t>. Specific for Horizon, you should profile the following metrics.</w:t>
      </w:r>
    </w:p>
    <w:p w14:paraId="779A90C8" w14:textId="77777777" w:rsidR="00E55491" w:rsidRPr="000C39A4" w:rsidRDefault="00E55491" w:rsidP="00E55491">
      <w:pPr>
        <w:pStyle w:val="BeforeTable"/>
        <w:rPr>
          <w:lang w:val="en-GB"/>
        </w:rPr>
      </w:pPr>
    </w:p>
    <w:tbl>
      <w:tblPr>
        <w:tblStyle w:val="GridTable1Light-Accent3"/>
        <w:tblW w:w="10432"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CellMar>
          <w:top w:w="57" w:type="dxa"/>
          <w:bottom w:w="57" w:type="dxa"/>
        </w:tblCellMar>
        <w:tblLook w:val="0480" w:firstRow="0" w:lastRow="0" w:firstColumn="1" w:lastColumn="0" w:noHBand="0" w:noVBand="1"/>
      </w:tblPr>
      <w:tblGrid>
        <w:gridCol w:w="2948"/>
        <w:gridCol w:w="7484"/>
      </w:tblGrid>
      <w:tr w:rsidR="00E55491" w:rsidRPr="00B527DB" w14:paraId="37A2CB2C"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7FB14675" w14:textId="77777777" w:rsidR="00E55491" w:rsidRPr="00B527DB" w:rsidRDefault="00E55491" w:rsidP="00281329">
            <w:pPr>
              <w:pStyle w:val="Tablecontent"/>
            </w:pPr>
            <w:r w:rsidRPr="00B527DB">
              <w:t>RDS Session</w:t>
            </w:r>
          </w:p>
        </w:tc>
        <w:tc>
          <w:tcPr>
            <w:tcW w:w="7484" w:type="dxa"/>
          </w:tcPr>
          <w:p w14:paraId="4EE8F5CE"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rsidRPr="00B527DB">
              <w:t>Disk IOPS</w:t>
            </w:r>
          </w:p>
          <w:p w14:paraId="5A2AD10D" w14:textId="77777777" w:rsidR="00E55491" w:rsidRPr="00B527DB"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Frame Rate</w:t>
            </w:r>
          </w:p>
        </w:tc>
      </w:tr>
      <w:tr w:rsidR="00E55491" w:rsidRPr="00B527DB" w14:paraId="16B80395"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7B591C97" w14:textId="77777777" w:rsidR="00E55491" w:rsidRPr="00B527DB" w:rsidRDefault="00E55491" w:rsidP="00281329">
            <w:pPr>
              <w:pStyle w:val="Tablecontent"/>
            </w:pPr>
            <w:r w:rsidRPr="00B527DB">
              <w:t>RDS Host</w:t>
            </w:r>
          </w:p>
        </w:tc>
        <w:tc>
          <w:tcPr>
            <w:tcW w:w="7484" w:type="dxa"/>
          </w:tcPr>
          <w:p w14:paraId="24AAC33F" w14:textId="77777777" w:rsidR="00E55491" w:rsidRPr="00B527DB"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rsidRPr="00B527DB">
              <w:t>CPU Queue</w:t>
            </w:r>
          </w:p>
          <w:p w14:paraId="4610FB10" w14:textId="77777777" w:rsidR="00E55491" w:rsidRPr="00B527DB"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rsidRPr="00B527DB">
              <w:t>CPU Context Switch</w:t>
            </w:r>
          </w:p>
          <w:p w14:paraId="147C70FA" w14:textId="77777777" w:rsidR="00E55491" w:rsidRPr="00B527DB"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 xml:space="preserve">Memory </w:t>
            </w:r>
            <w:r w:rsidRPr="00B527DB">
              <w:t>Page-in Rate</w:t>
            </w:r>
          </w:p>
          <w:p w14:paraId="0506EA56" w14:textId="77777777" w:rsidR="00E55491" w:rsidRPr="00B527DB"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rsidRPr="00B527DB">
              <w:t>Disk Queue</w:t>
            </w:r>
          </w:p>
          <w:p w14:paraId="75588B9A"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rsidRPr="00B527DB">
              <w:t>Disk Outstanding IO</w:t>
            </w:r>
          </w:p>
          <w:p w14:paraId="60F09325"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Read IOPS and Write IOPS. Profile them side by side, and compare both against expectation.</w:t>
            </w:r>
          </w:p>
          <w:p w14:paraId="0849EA8E" w14:textId="77777777" w:rsidR="00E55491" w:rsidRPr="00B527DB"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CPU Usage and Memory Usage. Compare against plan.</w:t>
            </w:r>
          </w:p>
        </w:tc>
      </w:tr>
      <w:tr w:rsidR="00E55491" w:rsidRPr="00B527DB" w14:paraId="1E0489DE"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2C6E353C" w14:textId="77777777" w:rsidR="00E55491" w:rsidRPr="00B527DB" w:rsidRDefault="00E55491" w:rsidP="00281329">
            <w:pPr>
              <w:pStyle w:val="Tablecontent"/>
            </w:pPr>
            <w:r>
              <w:t>RDS Farm</w:t>
            </w:r>
          </w:p>
        </w:tc>
        <w:tc>
          <w:tcPr>
            <w:tcW w:w="7484" w:type="dxa"/>
          </w:tcPr>
          <w:p w14:paraId="1AFD0AED"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 xml:space="preserve">Read IOPS and Write IOPS. Profile them side by side, and compare against expectation. </w:t>
            </w:r>
          </w:p>
          <w:p w14:paraId="7898EE8D" w14:textId="77777777" w:rsidR="00E55491" w:rsidRPr="00B527DB"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CPU Usage in MHz. Make sure this number is within what the cluster can provide. Check the average does not exceed your sizing.</w:t>
            </w:r>
          </w:p>
        </w:tc>
      </w:tr>
      <w:tr w:rsidR="00E55491" w:rsidRPr="00B527DB" w14:paraId="750077CF"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2F29B9D4" w14:textId="77777777" w:rsidR="00E55491" w:rsidRPr="00B527DB" w:rsidRDefault="00E55491" w:rsidP="00281329">
            <w:pPr>
              <w:pStyle w:val="Tablecontent"/>
            </w:pPr>
            <w:r w:rsidRPr="00B527DB">
              <w:t>VDI Session</w:t>
            </w:r>
          </w:p>
        </w:tc>
        <w:tc>
          <w:tcPr>
            <w:tcW w:w="7484" w:type="dxa"/>
          </w:tcPr>
          <w:p w14:paraId="6ECACBFC" w14:textId="77777777" w:rsidR="00E55491" w:rsidRPr="00B527DB"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Same sets of metrics as RDS Host, as both are just VMs. You need to profile separately as your desktop pattern may differ to your server.</w:t>
            </w:r>
          </w:p>
        </w:tc>
      </w:tr>
      <w:tr w:rsidR="00E55491" w:rsidRPr="00B527DB" w14:paraId="56595582"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2E012461" w14:textId="77777777" w:rsidR="00E55491" w:rsidRPr="00B527DB" w:rsidRDefault="00E55491" w:rsidP="00281329">
            <w:pPr>
              <w:pStyle w:val="Tablecontent"/>
            </w:pPr>
            <w:r>
              <w:t>VDI Pool</w:t>
            </w:r>
          </w:p>
        </w:tc>
        <w:tc>
          <w:tcPr>
            <w:tcW w:w="7484" w:type="dxa"/>
          </w:tcPr>
          <w:p w14:paraId="7CDD7187"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Same sets of metrics as RDS Farm, as both are just collection of VMs.</w:t>
            </w:r>
          </w:p>
        </w:tc>
      </w:tr>
      <w:tr w:rsidR="00E55491" w:rsidRPr="00B527DB" w14:paraId="69988BA0"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3C3233AB" w14:textId="77777777" w:rsidR="00E55491" w:rsidRDefault="00E55491" w:rsidP="00281329">
            <w:pPr>
              <w:pStyle w:val="Tablecontent"/>
              <w:rPr>
                <w:b w:val="0"/>
                <w:bCs w:val="0"/>
              </w:rPr>
            </w:pPr>
            <w:r>
              <w:t>Connection Server</w:t>
            </w:r>
          </w:p>
          <w:p w14:paraId="6CF4FFFC" w14:textId="77777777" w:rsidR="00E55491" w:rsidRPr="001D2994" w:rsidRDefault="00E55491" w:rsidP="00281329">
            <w:pPr>
              <w:pStyle w:val="Tablecontent"/>
              <w:rPr>
                <w:b w:val="0"/>
                <w:bCs w:val="0"/>
              </w:rPr>
            </w:pPr>
            <w:r w:rsidRPr="001D2994">
              <w:rPr>
                <w:b w:val="0"/>
                <w:bCs w:val="0"/>
              </w:rPr>
              <w:t xml:space="preserve">(and other Horizon </w:t>
            </w:r>
            <w:r>
              <w:rPr>
                <w:b w:val="0"/>
                <w:bCs w:val="0"/>
              </w:rPr>
              <w:t>s</w:t>
            </w:r>
            <w:r w:rsidRPr="001D2994">
              <w:rPr>
                <w:b w:val="0"/>
                <w:bCs w:val="0"/>
              </w:rPr>
              <w:t>erver</w:t>
            </w:r>
            <w:r>
              <w:rPr>
                <w:b w:val="0"/>
                <w:bCs w:val="0"/>
              </w:rPr>
              <w:t>s</w:t>
            </w:r>
            <w:r w:rsidRPr="001D2994">
              <w:rPr>
                <w:b w:val="0"/>
                <w:bCs w:val="0"/>
              </w:rPr>
              <w:t>)</w:t>
            </w:r>
          </w:p>
        </w:tc>
        <w:tc>
          <w:tcPr>
            <w:tcW w:w="7484" w:type="dxa"/>
          </w:tcPr>
          <w:p w14:paraId="0E0D50B9"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Same sets of metrics as RDS Host. You need to profile separately as their pattern may differ. The profiling will also be useful after a major upgrade. For examples</w:t>
            </w:r>
          </w:p>
          <w:p w14:paraId="2FDE8B85" w14:textId="77777777" w:rsidR="00E55491" w:rsidRDefault="00E55491" w:rsidP="00281329">
            <w:pPr>
              <w:pStyle w:val="Bullet"/>
              <w:cnfStyle w:val="000000000000" w:firstRow="0" w:lastRow="0" w:firstColumn="0" w:lastColumn="0" w:oddVBand="0" w:evenVBand="0" w:oddHBand="0" w:evenHBand="0" w:firstRowFirstColumn="0" w:firstRowLastColumn="0" w:lastRowFirstColumn="0" w:lastRowLastColumn="0"/>
            </w:pPr>
            <w:r>
              <w:t xml:space="preserve">If the new version is supposed to deliver 10% performance improvement, does the reality support it? </w:t>
            </w:r>
          </w:p>
          <w:p w14:paraId="079B3DA5" w14:textId="77777777" w:rsidR="00E55491" w:rsidRPr="00B527DB" w:rsidRDefault="00E55491" w:rsidP="00281329">
            <w:pPr>
              <w:pStyle w:val="Bullet"/>
              <w:cnfStyle w:val="000000000000" w:firstRow="0" w:lastRow="0" w:firstColumn="0" w:lastColumn="0" w:oddVBand="0" w:evenVBand="0" w:oddHBand="0" w:evenHBand="0" w:firstRowFirstColumn="0" w:firstRowLastColumn="0" w:lastRowFirstColumn="0" w:lastRowLastColumn="0"/>
            </w:pPr>
            <w:r>
              <w:lastRenderedPageBreak/>
              <w:t>If the new version delivers 2x scalability but at cost of 1.5x footprint, what do you actually get in your own environment? The lab may not be identical to your real world situation.</w:t>
            </w:r>
          </w:p>
        </w:tc>
      </w:tr>
      <w:tr w:rsidR="00E55491" w:rsidRPr="00B527DB" w14:paraId="0AD303EC"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1C316B2B" w14:textId="77777777" w:rsidR="00E55491" w:rsidRDefault="00E55491" w:rsidP="00281329">
            <w:pPr>
              <w:pStyle w:val="Tablecontent"/>
            </w:pPr>
            <w:r>
              <w:lastRenderedPageBreak/>
              <w:t>Horizon World</w:t>
            </w:r>
          </w:p>
        </w:tc>
        <w:tc>
          <w:tcPr>
            <w:tcW w:w="7484" w:type="dxa"/>
          </w:tcPr>
          <w:p w14:paraId="2EE915A2"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rsidRPr="00B527DB">
              <w:t>Disk IOPS</w:t>
            </w:r>
            <w:r>
              <w:t>. Make sure this number is within what your storage subsystem can handle.</w:t>
            </w:r>
          </w:p>
          <w:p w14:paraId="3EEFA67E"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Network Bandwidth. Make sure this number is well within what your WAN link can handle, as majority of traffic is non-protocol traffic.</w:t>
            </w:r>
          </w:p>
        </w:tc>
      </w:tr>
    </w:tbl>
    <w:p w14:paraId="5C4A2789" w14:textId="77777777" w:rsidR="00E55491" w:rsidRDefault="00E55491" w:rsidP="00E55491">
      <w:r>
        <w:t>As part of the baselining, you will know the typical size of a session, a user, an RDS Host. They form the building block for your sizing. Compare these numbers against the numbers you put in your sizing document (during the time you architected the system). If the reality is higher, you need to revise your plan and buy additional hardware.</w:t>
      </w:r>
    </w:p>
    <w:p w14:paraId="23DB9274" w14:textId="77777777" w:rsidR="00E55491" w:rsidRDefault="00E55491" w:rsidP="00E55491">
      <w:pPr>
        <w:pStyle w:val="Heading4"/>
      </w:pPr>
      <w:bookmarkStart w:id="138" w:name="_RDS_Session"/>
      <w:bookmarkEnd w:id="138"/>
      <w:r>
        <w:t>RDS Session</w:t>
      </w:r>
    </w:p>
    <w:p w14:paraId="398E4442" w14:textId="77777777" w:rsidR="00E55491" w:rsidRDefault="00E55491" w:rsidP="00E55491">
      <w:r>
        <w:t xml:space="preserve">Compared with VDI Session, RDS Session has less metric as it’s not the whole VM. An RDS Session is sharing one Windows OS with many other sessions. Windows do not provide many contention metrics for each session, and mostly report utilization metrics. The following screenshot shows that Windows Server 2019 only provides 1 metric for CPU and 1 metric for memory for each process. </w:t>
      </w:r>
    </w:p>
    <w:p w14:paraId="21DD62D5" w14:textId="77777777" w:rsidR="00E55491" w:rsidRDefault="00E55491" w:rsidP="00E55491">
      <w:pPr>
        <w:jc w:val="center"/>
      </w:pPr>
      <w:r w:rsidRPr="00EB00B1">
        <w:rPr>
          <w:noProof/>
        </w:rPr>
        <w:drawing>
          <wp:inline distT="0" distB="0" distL="0" distR="0" wp14:anchorId="2762BC86" wp14:editId="11E72FCF">
            <wp:extent cx="3362400" cy="1767600"/>
            <wp:effectExtent l="0" t="0" r="0" b="4445"/>
            <wp:docPr id="750070337" name="Picture 750070337"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37" name="Picture 750070337" descr="Graphical user interface, application, table&#10;&#10;Description automatically generated"/>
                    <pic:cNvPicPr/>
                  </pic:nvPicPr>
                  <pic:blipFill>
                    <a:blip r:embed="rId954"/>
                    <a:stretch>
                      <a:fillRect/>
                    </a:stretch>
                  </pic:blipFill>
                  <pic:spPr>
                    <a:xfrm>
                      <a:off x="0" y="0"/>
                      <a:ext cx="3362400" cy="1767600"/>
                    </a:xfrm>
                    <a:prstGeom prst="rect">
                      <a:avLst/>
                    </a:prstGeom>
                  </pic:spPr>
                </pic:pic>
              </a:graphicData>
            </a:graphic>
          </wp:inline>
        </w:drawing>
      </w:r>
    </w:p>
    <w:p w14:paraId="45254A76" w14:textId="77777777" w:rsidR="00E55491" w:rsidRDefault="00E55491" w:rsidP="00E55491">
      <w:r>
        <w:t xml:space="preserve">To get details, you click on </w:t>
      </w:r>
      <w:r w:rsidRPr="00EB00B1">
        <w:rPr>
          <w:color w:val="00B0F0"/>
        </w:rPr>
        <w:t>Details</w:t>
      </w:r>
      <w:r>
        <w:t xml:space="preserve"> tab. To see more metrics, right click on the column and choose Select columns. It pops up a simple dialog box, as shown below. The dialog box does not group the metrics, so it’s a long list simply sorted by name. It does not explain what those metrics are. From the name, I do not see metrics that indicates the process is experiencing CPU contention (e.g. it is paused or running at lower frequency), memory contention (e.g. it’s heavily paging), disk latency, network latency or dropped packet.</w:t>
      </w:r>
    </w:p>
    <w:p w14:paraId="42A67CD7" w14:textId="77777777" w:rsidR="00E55491" w:rsidRPr="00CB12D3" w:rsidRDefault="00E55491" w:rsidP="00E55491">
      <w:r w:rsidRPr="00EB00B1">
        <w:rPr>
          <w:noProof/>
        </w:rPr>
        <w:lastRenderedPageBreak/>
        <w:drawing>
          <wp:inline distT="0" distB="0" distL="0" distR="0" wp14:anchorId="6D21C47B" wp14:editId="437B89EF">
            <wp:extent cx="6645910" cy="3564890"/>
            <wp:effectExtent l="0" t="0" r="2540" b="0"/>
            <wp:docPr id="567723376" name="Picture 567723376"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76" name="Picture 567723376" descr="Graphical user interface&#10;&#10;Description automatically generated"/>
                    <pic:cNvPicPr/>
                  </pic:nvPicPr>
                  <pic:blipFill>
                    <a:blip r:embed="rId955"/>
                    <a:stretch>
                      <a:fillRect/>
                    </a:stretch>
                  </pic:blipFill>
                  <pic:spPr>
                    <a:xfrm>
                      <a:off x="0" y="0"/>
                      <a:ext cx="6645910" cy="3564890"/>
                    </a:xfrm>
                    <a:prstGeom prst="rect">
                      <a:avLst/>
                    </a:prstGeom>
                  </pic:spPr>
                </pic:pic>
              </a:graphicData>
            </a:graphic>
          </wp:inline>
        </w:drawing>
      </w:r>
    </w:p>
    <w:p w14:paraId="08101422" w14:textId="77777777" w:rsidR="00E55491" w:rsidRDefault="00E55491" w:rsidP="00E55491">
      <w:pPr>
        <w:pStyle w:val="Heading5"/>
      </w:pPr>
      <w:r>
        <w:t>Contention Metrics</w:t>
      </w:r>
    </w:p>
    <w:p w14:paraId="6BE10F86" w14:textId="77777777" w:rsidR="00E55491" w:rsidRDefault="00E55491" w:rsidP="00E55491">
      <w:pPr>
        <w:rPr>
          <w:lang w:val="en-GB"/>
        </w:rPr>
      </w:pPr>
      <w:r>
        <w:rPr>
          <w:lang w:val="en-GB"/>
        </w:rPr>
        <w:t>The following contention metrics are provided to troubleshoot further if the Network KPI (%) metric shows bad value.</w:t>
      </w:r>
    </w:p>
    <w:p w14:paraId="341D8A35" w14:textId="77777777" w:rsidR="00E55491" w:rsidRPr="000C39A4" w:rsidRDefault="00E55491" w:rsidP="00E55491">
      <w:pPr>
        <w:pStyle w:val="BeforeTable"/>
        <w:rPr>
          <w:lang w:val="en-GB"/>
        </w:rPr>
      </w:pPr>
    </w:p>
    <w:tbl>
      <w:tblPr>
        <w:tblStyle w:val="GridTable1Light-Accent3"/>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CellMar>
          <w:top w:w="57" w:type="dxa"/>
          <w:bottom w:w="57" w:type="dxa"/>
        </w:tblCellMar>
        <w:tblLook w:val="0480" w:firstRow="0" w:lastRow="0" w:firstColumn="1" w:lastColumn="0" w:noHBand="0" w:noVBand="1"/>
      </w:tblPr>
      <w:tblGrid>
        <w:gridCol w:w="2948"/>
        <w:gridCol w:w="7484"/>
      </w:tblGrid>
      <w:tr w:rsidR="00E55491" w14:paraId="7F74A0CA"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6C4BD6E9" w14:textId="77777777" w:rsidR="00E55491" w:rsidRPr="00A83143" w:rsidRDefault="00E55491" w:rsidP="00281329">
            <w:pPr>
              <w:pStyle w:val="Tablecontent"/>
              <w:rPr>
                <w:b w:val="0"/>
                <w:bCs w:val="0"/>
              </w:rPr>
            </w:pPr>
            <w:r w:rsidRPr="00A83143">
              <w:rPr>
                <w:b w:val="0"/>
                <w:bCs w:val="0"/>
              </w:rPr>
              <w:t>Latency (ms)</w:t>
            </w:r>
          </w:p>
        </w:tc>
        <w:tc>
          <w:tcPr>
            <w:tcW w:w="7484" w:type="dxa"/>
          </w:tcPr>
          <w:p w14:paraId="3480A9AC"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 protocol round trip time taken between Horizon agent (on DC) and Horizon client (in end user device).</w:t>
            </w:r>
          </w:p>
          <w:p w14:paraId="46F9FD3B" w14:textId="77777777"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Keep this below the best practice shown in the KPI, or your acceptable number.</w:t>
            </w:r>
          </w:p>
        </w:tc>
      </w:tr>
      <w:tr w:rsidR="00E55491" w14:paraId="3D3B3CF3"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384955DA" w14:textId="77777777" w:rsidR="00E55491" w:rsidRPr="00A83143" w:rsidRDefault="00E55491" w:rsidP="00281329">
            <w:pPr>
              <w:pStyle w:val="Tablecontent"/>
              <w:rPr>
                <w:b w:val="0"/>
                <w:bCs w:val="0"/>
              </w:rPr>
            </w:pPr>
            <w:r w:rsidRPr="00A83143">
              <w:rPr>
                <w:b w:val="0"/>
                <w:bCs w:val="0"/>
              </w:rPr>
              <w:t>Packet Loss Receive (%)</w:t>
            </w:r>
          </w:p>
          <w:p w14:paraId="706F5865" w14:textId="77777777" w:rsidR="00E55491" w:rsidRPr="00A83143" w:rsidRDefault="00E55491" w:rsidP="00281329">
            <w:pPr>
              <w:pStyle w:val="Tablecontent"/>
              <w:rPr>
                <w:b w:val="0"/>
                <w:bCs w:val="0"/>
              </w:rPr>
            </w:pPr>
            <w:r w:rsidRPr="00A83143">
              <w:rPr>
                <w:b w:val="0"/>
                <w:bCs w:val="0"/>
              </w:rPr>
              <w:t>Packet Loss Transmit (%)</w:t>
            </w:r>
          </w:p>
        </w:tc>
        <w:tc>
          <w:tcPr>
            <w:tcW w:w="7484" w:type="dxa"/>
          </w:tcPr>
          <w:p w14:paraId="7A9F107A" w14:textId="30D2B8F8"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 xml:space="preserve">The guidance for </w:t>
            </w:r>
            <w:r w:rsidRPr="000B34A2">
              <w:rPr>
                <w:i/>
                <w:iCs/>
                <w:color w:val="FF0000"/>
              </w:rPr>
              <w:t>overall</w:t>
            </w:r>
            <w:r w:rsidRPr="000B34A2">
              <w:rPr>
                <w:color w:val="FF0000"/>
              </w:rPr>
              <w:t xml:space="preserve"> </w:t>
            </w:r>
            <w:r>
              <w:t xml:space="preserve">packet loss is anything above 1% is </w:t>
            </w:r>
            <w:r w:rsidR="00CF7D2C" w:rsidRPr="00CF7D2C">
              <w:rPr>
                <w:color w:val="FF0000"/>
              </w:rPr>
              <w:t>red</w:t>
            </w:r>
            <w:r>
              <w:t>. So the guidance for the receive and transmit should be the same, or a bit more stringent.</w:t>
            </w:r>
          </w:p>
          <w:p w14:paraId="434806D7" w14:textId="479AA33D" w:rsidR="00E55491" w:rsidRPr="004B546B"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 Agent sends pixels to the Client</w:t>
            </w:r>
            <w:r w:rsidR="00E4254C">
              <w:t xml:space="preserve">. </w:t>
            </w:r>
            <w:r>
              <w:t>If the Agent determines that it needs to drop packets due to network condition it drops them. So TX &amp; RX are from the agent point of view.</w:t>
            </w:r>
          </w:p>
        </w:tc>
      </w:tr>
    </w:tbl>
    <w:p w14:paraId="249DFDC3" w14:textId="77777777" w:rsidR="00E55491" w:rsidRDefault="00E55491" w:rsidP="00E55491">
      <w:pPr>
        <w:pStyle w:val="BeforeTable"/>
      </w:pPr>
    </w:p>
    <w:p w14:paraId="5C1CE041" w14:textId="77777777" w:rsidR="00E55491" w:rsidRDefault="00E55491" w:rsidP="00E55491">
      <w:r>
        <w:t>While the following metrics only impact at the initial stage, they are important to user experience.</w:t>
      </w:r>
    </w:p>
    <w:p w14:paraId="5AD40337" w14:textId="77777777" w:rsidR="00E55491" w:rsidRDefault="00E55491" w:rsidP="00E55491">
      <w:pPr>
        <w:pStyle w:val="BeforeTable"/>
      </w:pPr>
    </w:p>
    <w:tbl>
      <w:tblPr>
        <w:tblStyle w:val="GridTable1Light-Accent3"/>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CellMar>
          <w:top w:w="57" w:type="dxa"/>
          <w:bottom w:w="57" w:type="dxa"/>
        </w:tblCellMar>
        <w:tblLook w:val="0480" w:firstRow="0" w:lastRow="0" w:firstColumn="1" w:lastColumn="0" w:noHBand="0" w:noVBand="1"/>
      </w:tblPr>
      <w:tblGrid>
        <w:gridCol w:w="2948"/>
        <w:gridCol w:w="7484"/>
      </w:tblGrid>
      <w:tr w:rsidR="00E55491" w14:paraId="34D47B61"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128C3A83" w14:textId="77777777" w:rsidR="00E55491" w:rsidRPr="00A83143" w:rsidRDefault="00E55491" w:rsidP="00281329">
            <w:pPr>
              <w:pStyle w:val="Tablecontent"/>
              <w:rPr>
                <w:b w:val="0"/>
                <w:bCs w:val="0"/>
              </w:rPr>
            </w:pPr>
            <w:r w:rsidRPr="00A83143">
              <w:rPr>
                <w:b w:val="0"/>
                <w:bCs w:val="0"/>
              </w:rPr>
              <w:t>Time taken to load profile</w:t>
            </w:r>
          </w:p>
        </w:tc>
        <w:tc>
          <w:tcPr>
            <w:tcW w:w="7484" w:type="dxa"/>
          </w:tcPr>
          <w:p w14:paraId="28AD6BCA"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 xml:space="preserve">The time starts after user has been fully authenticated, when Windows begins the profile loading process and ends when the profile is fully loaded. </w:t>
            </w:r>
          </w:p>
          <w:p w14:paraId="200CE0B4"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 guidance for performance is</w:t>
            </w:r>
          </w:p>
          <w:p w14:paraId="29151556" w14:textId="44EF026C" w:rsidR="00E55491" w:rsidRDefault="0022569A" w:rsidP="00281329">
            <w:pPr>
              <w:pStyle w:val="Tablecontent"/>
              <w:numPr>
                <w:ilvl w:val="0"/>
                <w:numId w:val="35"/>
              </w:numPr>
              <w:cnfStyle w:val="000000000000" w:firstRow="0" w:lastRow="0" w:firstColumn="0" w:lastColumn="0" w:oddVBand="0" w:evenVBand="0" w:oddHBand="0" w:evenHBand="0" w:firstRowFirstColumn="0" w:firstRowLastColumn="0" w:lastRowFirstColumn="0" w:lastRowLastColumn="0"/>
            </w:pPr>
            <w:r w:rsidRPr="0022569A">
              <w:rPr>
                <w:color w:val="00B050"/>
              </w:rPr>
              <w:t>Green</w:t>
            </w:r>
            <w:r w:rsidR="00E55491">
              <w:t xml:space="preserve"> = below 5 seconds</w:t>
            </w:r>
          </w:p>
          <w:p w14:paraId="28E043B5" w14:textId="5191AA48" w:rsidR="00E55491" w:rsidRDefault="00CF7D2C" w:rsidP="00281329">
            <w:pPr>
              <w:pStyle w:val="Tablecontent"/>
              <w:numPr>
                <w:ilvl w:val="0"/>
                <w:numId w:val="35"/>
              </w:numPr>
              <w:cnfStyle w:val="000000000000" w:firstRow="0" w:lastRow="0" w:firstColumn="0" w:lastColumn="0" w:oddVBand="0" w:evenVBand="0" w:oddHBand="0" w:evenHBand="0" w:firstRowFirstColumn="0" w:firstRowLastColumn="0" w:lastRowFirstColumn="0" w:lastRowLastColumn="0"/>
            </w:pPr>
            <w:r w:rsidRPr="00CF7D2C">
              <w:rPr>
                <w:color w:val="FFFF00"/>
              </w:rPr>
              <w:t>Yellow</w:t>
            </w:r>
            <w:r w:rsidR="00E55491">
              <w:t xml:space="preserve"> = 5 - 15 seconds</w:t>
            </w:r>
          </w:p>
          <w:p w14:paraId="3E924AD3" w14:textId="5FAA2889" w:rsidR="00E55491" w:rsidRDefault="00CF7D2C" w:rsidP="00281329">
            <w:pPr>
              <w:pStyle w:val="Tablecontent"/>
              <w:numPr>
                <w:ilvl w:val="0"/>
                <w:numId w:val="35"/>
              </w:numPr>
              <w:cnfStyle w:val="000000000000" w:firstRow="0" w:lastRow="0" w:firstColumn="0" w:lastColumn="0" w:oddVBand="0" w:evenVBand="0" w:oddHBand="0" w:evenHBand="0" w:firstRowFirstColumn="0" w:firstRowLastColumn="0" w:lastRowFirstColumn="0" w:lastRowLastColumn="0"/>
            </w:pPr>
            <w:r w:rsidRPr="00CF7D2C">
              <w:rPr>
                <w:color w:val="ED7D31" w:themeColor="accent2"/>
              </w:rPr>
              <w:t>Orange</w:t>
            </w:r>
            <w:r w:rsidR="00E55491">
              <w:t xml:space="preserve"> = 15 - 25 seconds</w:t>
            </w:r>
          </w:p>
          <w:p w14:paraId="0D4D52DA" w14:textId="13F38138" w:rsidR="00E55491" w:rsidRDefault="00CF7D2C" w:rsidP="00281329">
            <w:pPr>
              <w:pStyle w:val="Tablecontent"/>
              <w:numPr>
                <w:ilvl w:val="0"/>
                <w:numId w:val="35"/>
              </w:numPr>
              <w:cnfStyle w:val="000000000000" w:firstRow="0" w:lastRow="0" w:firstColumn="0" w:lastColumn="0" w:oddVBand="0" w:evenVBand="0" w:oddHBand="0" w:evenHBand="0" w:firstRowFirstColumn="0" w:firstRowLastColumn="0" w:lastRowFirstColumn="0" w:lastRowLastColumn="0"/>
            </w:pPr>
            <w:r w:rsidRPr="00CF7D2C">
              <w:rPr>
                <w:color w:val="FF0000"/>
              </w:rPr>
              <w:lastRenderedPageBreak/>
              <w:t>Red</w:t>
            </w:r>
            <w:r w:rsidR="00E55491">
              <w:t xml:space="preserve"> = Above 25 seconds</w:t>
            </w:r>
          </w:p>
          <w:p w14:paraId="6A7032A2"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 guidance is lower than VDI because RDS sessions share the same Windows. The first user logging into Windows takes the biggest performance hit because Windows has to load all GPO policies, system settings, and services that load at login. The subsequent users don’t suffer the same time penalty, because those items have already been loaded. </w:t>
            </w:r>
          </w:p>
          <w:p w14:paraId="6D536EF4" w14:textId="77777777"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There are features like “Session Pre-Launch” to mask the initial login time delay</w:t>
            </w:r>
          </w:p>
        </w:tc>
      </w:tr>
      <w:tr w:rsidR="00E55491" w14:paraId="092BD50D"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568E1214" w14:textId="77777777" w:rsidR="00E55491" w:rsidRPr="00A83143" w:rsidRDefault="00E55491" w:rsidP="00281329">
            <w:pPr>
              <w:pStyle w:val="Tablecontent"/>
              <w:rPr>
                <w:b w:val="0"/>
                <w:bCs w:val="0"/>
              </w:rPr>
            </w:pPr>
            <w:r w:rsidRPr="00A83143">
              <w:rPr>
                <w:b w:val="0"/>
                <w:bCs w:val="0"/>
              </w:rPr>
              <w:lastRenderedPageBreak/>
              <w:t>Time taken to logon</w:t>
            </w:r>
          </w:p>
        </w:tc>
        <w:tc>
          <w:tcPr>
            <w:tcW w:w="7484" w:type="dxa"/>
          </w:tcPr>
          <w:p w14:paraId="23585AF1"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 time starts when the user ID and password is submitted to Windows, and ends when the session is fully authenticated. It does not include the time taken to load the profile and launch start up application.</w:t>
            </w:r>
          </w:p>
          <w:p w14:paraId="0FA58295"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 guidance for performance is</w:t>
            </w:r>
          </w:p>
          <w:p w14:paraId="5B8F35FD" w14:textId="5761F292" w:rsidR="00E55491" w:rsidRDefault="0022569A" w:rsidP="00281329">
            <w:pPr>
              <w:pStyle w:val="Tablecontent"/>
              <w:numPr>
                <w:ilvl w:val="0"/>
                <w:numId w:val="36"/>
              </w:numPr>
              <w:cnfStyle w:val="000000000000" w:firstRow="0" w:lastRow="0" w:firstColumn="0" w:lastColumn="0" w:oddVBand="0" w:evenVBand="0" w:oddHBand="0" w:evenHBand="0" w:firstRowFirstColumn="0" w:firstRowLastColumn="0" w:lastRowFirstColumn="0" w:lastRowLastColumn="0"/>
            </w:pPr>
            <w:r w:rsidRPr="0022569A">
              <w:rPr>
                <w:color w:val="00B050"/>
              </w:rPr>
              <w:t>Green</w:t>
            </w:r>
            <w:r w:rsidR="00E55491">
              <w:t xml:space="preserve"> = below 30 seconds</w:t>
            </w:r>
          </w:p>
          <w:p w14:paraId="20171D07" w14:textId="5FD904F2" w:rsidR="00E55491" w:rsidRDefault="00CF7D2C" w:rsidP="00281329">
            <w:pPr>
              <w:pStyle w:val="Tablecontent"/>
              <w:numPr>
                <w:ilvl w:val="0"/>
                <w:numId w:val="36"/>
              </w:numPr>
              <w:cnfStyle w:val="000000000000" w:firstRow="0" w:lastRow="0" w:firstColumn="0" w:lastColumn="0" w:oddVBand="0" w:evenVBand="0" w:oddHBand="0" w:evenHBand="0" w:firstRowFirstColumn="0" w:firstRowLastColumn="0" w:lastRowFirstColumn="0" w:lastRowLastColumn="0"/>
            </w:pPr>
            <w:r w:rsidRPr="00CF7D2C">
              <w:rPr>
                <w:color w:val="FFFF00"/>
              </w:rPr>
              <w:t>Yellow</w:t>
            </w:r>
            <w:r w:rsidR="00E55491">
              <w:t xml:space="preserve"> = 30 - 45 seconds</w:t>
            </w:r>
          </w:p>
          <w:p w14:paraId="31C16185" w14:textId="02B42A58" w:rsidR="00E55491" w:rsidRDefault="00CF7D2C" w:rsidP="00281329">
            <w:pPr>
              <w:pStyle w:val="Tablecontent"/>
              <w:numPr>
                <w:ilvl w:val="0"/>
                <w:numId w:val="36"/>
              </w:numPr>
              <w:cnfStyle w:val="000000000000" w:firstRow="0" w:lastRow="0" w:firstColumn="0" w:lastColumn="0" w:oddVBand="0" w:evenVBand="0" w:oddHBand="0" w:evenHBand="0" w:firstRowFirstColumn="0" w:firstRowLastColumn="0" w:lastRowFirstColumn="0" w:lastRowLastColumn="0"/>
            </w:pPr>
            <w:r w:rsidRPr="00CF7D2C">
              <w:rPr>
                <w:color w:val="ED7D31" w:themeColor="accent2"/>
              </w:rPr>
              <w:t>Orange</w:t>
            </w:r>
            <w:r w:rsidR="00E55491">
              <w:t xml:space="preserve"> = 45 - 60 seconds</w:t>
            </w:r>
          </w:p>
          <w:p w14:paraId="62C70C32" w14:textId="4647A472" w:rsidR="00E55491" w:rsidRPr="001E66A0" w:rsidRDefault="00CF7D2C" w:rsidP="00281329">
            <w:pPr>
              <w:pStyle w:val="Tablecontent"/>
              <w:numPr>
                <w:ilvl w:val="0"/>
                <w:numId w:val="36"/>
              </w:numPr>
              <w:cnfStyle w:val="000000000000" w:firstRow="0" w:lastRow="0" w:firstColumn="0" w:lastColumn="0" w:oddVBand="0" w:evenVBand="0" w:oddHBand="0" w:evenHBand="0" w:firstRowFirstColumn="0" w:firstRowLastColumn="0" w:lastRowFirstColumn="0" w:lastRowLastColumn="0"/>
            </w:pPr>
            <w:r w:rsidRPr="00CF7D2C">
              <w:rPr>
                <w:color w:val="FF0000"/>
              </w:rPr>
              <w:t>Red</w:t>
            </w:r>
            <w:r w:rsidR="00E55491">
              <w:t xml:space="preserve"> = above 60 seconds </w:t>
            </w:r>
          </w:p>
        </w:tc>
      </w:tr>
    </w:tbl>
    <w:p w14:paraId="71990300" w14:textId="77777777" w:rsidR="00E55491" w:rsidRDefault="00E55491" w:rsidP="00E55491">
      <w:pPr>
        <w:pStyle w:val="Heading5"/>
      </w:pPr>
      <w:r>
        <w:t>Utilization Metrics</w:t>
      </w:r>
    </w:p>
    <w:p w14:paraId="16150872" w14:textId="77777777" w:rsidR="00E55491" w:rsidRDefault="00E55491" w:rsidP="00E55491">
      <w:pPr>
        <w:rPr>
          <w:lang w:val="en-GB"/>
        </w:rPr>
      </w:pPr>
      <w:r>
        <w:rPr>
          <w:lang w:val="en-GB"/>
        </w:rPr>
        <w:t xml:space="preserve">Once you determine there is a problem, the next step is to narrow down if it’s CPU, Memory, Disk or Network </w:t>
      </w:r>
    </w:p>
    <w:p w14:paraId="3FF1B131" w14:textId="77777777" w:rsidR="00E55491" w:rsidRDefault="00E55491" w:rsidP="00E55491">
      <w:r>
        <w:t xml:space="preserve">One common reason behind contention is high utilization. Not all usage metrics are relevant to performance, so the following only lists the relevant ones. </w:t>
      </w:r>
    </w:p>
    <w:p w14:paraId="36276BFC" w14:textId="77777777" w:rsidR="00E55491" w:rsidRDefault="00E55491" w:rsidP="00E55491">
      <w:pPr>
        <w:pStyle w:val="BeforeTable"/>
      </w:pPr>
    </w:p>
    <w:tbl>
      <w:tblPr>
        <w:tblStyle w:val="GridTable1Light-Accent3"/>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CellMar>
          <w:top w:w="57" w:type="dxa"/>
          <w:bottom w:w="57" w:type="dxa"/>
        </w:tblCellMar>
        <w:tblLook w:val="0480" w:firstRow="0" w:lastRow="0" w:firstColumn="1" w:lastColumn="0" w:noHBand="0" w:noVBand="1"/>
      </w:tblPr>
      <w:tblGrid>
        <w:gridCol w:w="2948"/>
        <w:gridCol w:w="7484"/>
      </w:tblGrid>
      <w:tr w:rsidR="00E55491" w14:paraId="4CF06F00"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21666B74" w14:textId="77777777" w:rsidR="00E55491" w:rsidRDefault="00E55491" w:rsidP="00281329">
            <w:pPr>
              <w:pStyle w:val="Tablecontent"/>
              <w:rPr>
                <w:color w:val="000000" w:themeColor="text1"/>
              </w:rPr>
            </w:pPr>
            <w:r>
              <w:rPr>
                <w:b w:val="0"/>
                <w:bCs w:val="0"/>
                <w:color w:val="000000" w:themeColor="text1"/>
              </w:rPr>
              <w:t>CPU Usage (%)</w:t>
            </w:r>
          </w:p>
          <w:p w14:paraId="713510DD" w14:textId="77777777" w:rsidR="00E55491" w:rsidRDefault="00E55491" w:rsidP="00281329">
            <w:pPr>
              <w:pStyle w:val="Tablecontent"/>
              <w:rPr>
                <w:b w:val="0"/>
                <w:bCs w:val="0"/>
                <w:color w:val="000000" w:themeColor="text1"/>
              </w:rPr>
            </w:pPr>
            <w:r>
              <w:rPr>
                <w:b w:val="0"/>
                <w:bCs w:val="0"/>
                <w:color w:val="000000" w:themeColor="text1"/>
              </w:rPr>
              <w:t>Memory Usage (%)</w:t>
            </w:r>
          </w:p>
        </w:tc>
        <w:tc>
          <w:tcPr>
            <w:tcW w:w="7484" w:type="dxa"/>
          </w:tcPr>
          <w:p w14:paraId="1BD4D251"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 xml:space="preserve">These values are coming from Windows, not VM. They track the relative consumption of a session against the RDS Host total capacity. </w:t>
            </w:r>
          </w:p>
          <w:p w14:paraId="4E9533C8"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Make sure this number is below than expected average. For example, if you size for 20 concurrent users, then each session should be around 5%.</w:t>
            </w:r>
          </w:p>
        </w:tc>
      </w:tr>
      <w:tr w:rsidR="00E55491" w14:paraId="07051D47"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3EDF29B1" w14:textId="77777777" w:rsidR="00E55491" w:rsidRDefault="00E55491" w:rsidP="00281329">
            <w:pPr>
              <w:pStyle w:val="Tablecontent"/>
              <w:rPr>
                <w:b w:val="0"/>
                <w:bCs w:val="0"/>
                <w:color w:val="000000" w:themeColor="text1"/>
              </w:rPr>
            </w:pPr>
            <w:r>
              <w:rPr>
                <w:b w:val="0"/>
                <w:bCs w:val="0"/>
                <w:color w:val="000000" w:themeColor="text1"/>
              </w:rPr>
              <w:t>Disk IOPS</w:t>
            </w:r>
          </w:p>
        </w:tc>
        <w:tc>
          <w:tcPr>
            <w:tcW w:w="7484" w:type="dxa"/>
          </w:tcPr>
          <w:p w14:paraId="124F4B36"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 xml:space="preserve">Unlike a server workload, users don’t generally generate high IOPS or sustained IOPS. They open file, save file, but should not be sustaining for say 1 hour. </w:t>
            </w:r>
          </w:p>
        </w:tc>
      </w:tr>
      <w:tr w:rsidR="00E55491" w14:paraId="274161FB"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6A40EB48" w14:textId="77777777" w:rsidR="00E55491" w:rsidRPr="0000761B" w:rsidRDefault="00E55491" w:rsidP="00281329">
            <w:pPr>
              <w:pStyle w:val="Tablecontent"/>
              <w:rPr>
                <w:b w:val="0"/>
                <w:bCs w:val="0"/>
                <w:color w:val="000000" w:themeColor="text1"/>
              </w:rPr>
            </w:pPr>
            <w:r w:rsidRPr="0000761B">
              <w:rPr>
                <w:b w:val="0"/>
                <w:bCs w:val="0"/>
                <w:color w:val="000000" w:themeColor="text1"/>
              </w:rPr>
              <w:t>Others</w:t>
            </w:r>
          </w:p>
        </w:tc>
        <w:tc>
          <w:tcPr>
            <w:tcW w:w="7484" w:type="dxa"/>
          </w:tcPr>
          <w:p w14:paraId="578F15BA"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There are other metrics, that you can see from Task Manager. They are not collected yet. If you need them, let me know the use case.</w:t>
            </w:r>
          </w:p>
        </w:tc>
      </w:tr>
    </w:tbl>
    <w:p w14:paraId="125892C2" w14:textId="77777777" w:rsidR="00E55491" w:rsidRDefault="00E55491" w:rsidP="00E55491">
      <w:pPr>
        <w:pStyle w:val="BeforeTable"/>
      </w:pPr>
    </w:p>
    <w:p w14:paraId="6B02D545" w14:textId="77777777" w:rsidR="00E55491" w:rsidRDefault="00E55491" w:rsidP="00E55491">
      <w:r>
        <w:t xml:space="preserve">If the network is over the WAN or mobile network, monitor the following metrics closely. </w:t>
      </w:r>
    </w:p>
    <w:p w14:paraId="66BCAC21" w14:textId="77777777" w:rsidR="00E55491" w:rsidRDefault="00E55491" w:rsidP="00E55491">
      <w:pPr>
        <w:pStyle w:val="BeforeTable"/>
      </w:pPr>
    </w:p>
    <w:tbl>
      <w:tblPr>
        <w:tblStyle w:val="GridTable1Light-Accent3"/>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80" w:firstRow="0" w:lastRow="0" w:firstColumn="1" w:lastColumn="0" w:noHBand="0" w:noVBand="1"/>
      </w:tblPr>
      <w:tblGrid>
        <w:gridCol w:w="2948"/>
        <w:gridCol w:w="7484"/>
      </w:tblGrid>
      <w:tr w:rsidR="00E55491" w14:paraId="3CAD65FE"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6F2455C3" w14:textId="77777777" w:rsidR="00E55491" w:rsidRPr="007F6ECF" w:rsidRDefault="00E55491" w:rsidP="00281329">
            <w:pPr>
              <w:pStyle w:val="Tablecontent"/>
              <w:rPr>
                <w:b w:val="0"/>
                <w:bCs w:val="0"/>
                <w:color w:val="000000" w:themeColor="text1"/>
              </w:rPr>
            </w:pPr>
            <w:r>
              <w:rPr>
                <w:b w:val="0"/>
                <w:bCs w:val="0"/>
                <w:color w:val="000000" w:themeColor="text1"/>
              </w:rPr>
              <w:t>Frame Rate</w:t>
            </w:r>
          </w:p>
        </w:tc>
        <w:tc>
          <w:tcPr>
            <w:tcW w:w="7484" w:type="dxa"/>
          </w:tcPr>
          <w:p w14:paraId="5FFB09A2" w14:textId="77777777"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 xml:space="preserve">See </w:t>
            </w:r>
            <w:hyperlink r:id="rId956" w:history="1">
              <w:r w:rsidRPr="001818BE">
                <w:rPr>
                  <w:rStyle w:val="Hyperlink"/>
                </w:rPr>
                <w:t>this</w:t>
              </w:r>
            </w:hyperlink>
            <w:r>
              <w:t xml:space="preserve"> for explanation</w:t>
            </w:r>
            <w:r w:rsidRPr="00E43BEB">
              <w:t>. A low frame rate result in inferior user experience. While occasional low is fine, a prolonged low could lead to degraded user experience</w:t>
            </w:r>
          </w:p>
        </w:tc>
      </w:tr>
      <w:tr w:rsidR="00E55491" w14:paraId="2EF1E8AE"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632E8874" w14:textId="77777777" w:rsidR="00E55491" w:rsidRDefault="00E55491" w:rsidP="00281329">
            <w:pPr>
              <w:pStyle w:val="Tablecontent"/>
              <w:rPr>
                <w:b w:val="0"/>
                <w:bCs w:val="0"/>
                <w:color w:val="000000" w:themeColor="text1"/>
              </w:rPr>
            </w:pPr>
            <w:r>
              <w:rPr>
                <w:b w:val="0"/>
                <w:bCs w:val="0"/>
                <w:color w:val="000000" w:themeColor="text1"/>
              </w:rPr>
              <w:t>Bandwidth Utilization (Mbps)</w:t>
            </w:r>
          </w:p>
        </w:tc>
        <w:tc>
          <w:tcPr>
            <w:tcW w:w="7484" w:type="dxa"/>
          </w:tcPr>
          <w:p w14:paraId="0B35B96A"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Total bandwidth, although in VDI is mostly the agent sending data. Received metric typically covers users input like typing.</w:t>
            </w:r>
          </w:p>
          <w:p w14:paraId="2716C0DF"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Note it’s megabit, unlike kilobyte that vSphere uses. You’re welcome.</w:t>
            </w:r>
          </w:p>
        </w:tc>
      </w:tr>
    </w:tbl>
    <w:p w14:paraId="1178217F" w14:textId="77777777" w:rsidR="00E55491" w:rsidRPr="00160AA2" w:rsidRDefault="00E55491" w:rsidP="00E55491">
      <w:pPr>
        <w:pStyle w:val="Heading4"/>
      </w:pPr>
      <w:r w:rsidRPr="00160AA2">
        <w:lastRenderedPageBreak/>
        <w:t>RDS Host</w:t>
      </w:r>
    </w:p>
    <w:p w14:paraId="48A9C726" w14:textId="77777777" w:rsidR="00E55491" w:rsidRDefault="00E55491" w:rsidP="00E55491">
      <w:pPr>
        <w:rPr>
          <w:lang w:val="en-GB"/>
        </w:rPr>
      </w:pPr>
      <w:r>
        <w:rPr>
          <w:lang w:val="en-GB"/>
        </w:rPr>
        <w:t>RDS Host is a Windows Server running on a VM, serving desktop applications. In the current release of Horizon Adapter, there is no RDS application metrics yet. As a result, only Windows and Horizon metrics are used.</w:t>
      </w:r>
    </w:p>
    <w:p w14:paraId="3449D79E" w14:textId="77777777" w:rsidR="00E55491" w:rsidRPr="00441458" w:rsidRDefault="00E55491" w:rsidP="00E55491">
      <w:r>
        <w:t xml:space="preserve">All the vSphere metrics are explained in </w:t>
      </w:r>
      <w:hyperlink w:anchor="_New_Layer_" w:history="1">
        <w:r w:rsidRPr="007D23BD">
          <w:rPr>
            <w:rStyle w:val="Hyperlink"/>
          </w:rPr>
          <w:t>Part 2</w:t>
        </w:r>
      </w:hyperlink>
      <w:r>
        <w:t xml:space="preserve"> of the book. </w:t>
      </w:r>
    </w:p>
    <w:p w14:paraId="0FE1A7EF" w14:textId="77777777" w:rsidR="00E55491" w:rsidRPr="009E7AFA" w:rsidRDefault="00E55491" w:rsidP="00E55491">
      <w:pPr>
        <w:pStyle w:val="Heading5"/>
      </w:pPr>
      <w:r w:rsidRPr="009E7AFA">
        <w:t>Contention Metrics</w:t>
      </w:r>
    </w:p>
    <w:p w14:paraId="5EF44600" w14:textId="77777777" w:rsidR="00E55491" w:rsidRDefault="00E55491" w:rsidP="00E55491">
      <w:pPr>
        <w:rPr>
          <w:lang w:val="en-GB"/>
        </w:rPr>
      </w:pPr>
      <w:r>
        <w:rPr>
          <w:lang w:val="en-GB"/>
        </w:rPr>
        <w:t>Use the contention metrics to troubleshoot further if the DC KPI (%) metric shows bad value.</w:t>
      </w:r>
      <w:r w:rsidRPr="00977AD1">
        <w:t xml:space="preserve"> </w:t>
      </w:r>
      <w:r>
        <w:rPr>
          <w:lang w:val="en-GB"/>
        </w:rPr>
        <w:t>Once you determine there is a problem, the next step is to narrow down if it’s CPU, Memory, Disk or Network</w:t>
      </w:r>
    </w:p>
    <w:p w14:paraId="5C2E6775" w14:textId="77777777" w:rsidR="00E55491" w:rsidRDefault="00E55491" w:rsidP="00E55491">
      <w:pPr>
        <w:rPr>
          <w:lang w:val="en-GB"/>
        </w:rPr>
      </w:pPr>
      <w:r>
        <w:rPr>
          <w:lang w:val="en-GB"/>
        </w:rPr>
        <w:t xml:space="preserve">The metrics can be grouped into 2: inside Guest OS and outside. </w:t>
      </w:r>
    </w:p>
    <w:p w14:paraId="7B43DE33" w14:textId="77777777" w:rsidR="00E55491" w:rsidRDefault="00E55491" w:rsidP="00E55491">
      <w:pPr>
        <w:rPr>
          <w:lang w:val="en-GB"/>
        </w:rPr>
      </w:pPr>
      <w:r>
        <w:rPr>
          <w:lang w:val="en-GB"/>
        </w:rPr>
        <w:t xml:space="preserve">For the metrics inside, a </w:t>
      </w:r>
      <w:r>
        <w:t>major spike at the time of the incident could be the root cause as it’s not coming from outside (e.g. shared infrastructure)</w:t>
      </w:r>
    </w:p>
    <w:p w14:paraId="75B03D8A" w14:textId="77777777" w:rsidR="00E55491" w:rsidRDefault="00E55491" w:rsidP="00E55491">
      <w:pPr>
        <w:pStyle w:val="BeforeTable"/>
        <w:rPr>
          <w:lang w:val="en-GB"/>
        </w:rPr>
      </w:pPr>
    </w:p>
    <w:tbl>
      <w:tblPr>
        <w:tblStyle w:val="GridTable1Light-Accent3"/>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CellMar>
          <w:top w:w="57" w:type="dxa"/>
          <w:bottom w:w="57" w:type="dxa"/>
        </w:tblCellMar>
        <w:tblLook w:val="0480" w:firstRow="0" w:lastRow="0" w:firstColumn="1" w:lastColumn="0" w:noHBand="0" w:noVBand="1"/>
      </w:tblPr>
      <w:tblGrid>
        <w:gridCol w:w="2948"/>
        <w:gridCol w:w="7484"/>
      </w:tblGrid>
      <w:tr w:rsidR="00E55491" w14:paraId="62F3EF53"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0535D072" w14:textId="77777777" w:rsidR="00E55491" w:rsidRDefault="00E55491" w:rsidP="00281329">
            <w:pPr>
              <w:pStyle w:val="Tablecontent"/>
              <w:rPr>
                <w:b w:val="0"/>
                <w:bCs w:val="0"/>
              </w:rPr>
            </w:pPr>
            <w:r>
              <w:rPr>
                <w:b w:val="0"/>
                <w:bCs w:val="0"/>
              </w:rPr>
              <w:t>CPU Queue</w:t>
            </w:r>
          </w:p>
        </w:tc>
        <w:tc>
          <w:tcPr>
            <w:tcW w:w="7484" w:type="dxa"/>
          </w:tcPr>
          <w:p w14:paraId="7C8A5BE2"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High CPU queue is the primary counter that Windows needs more CPU. Either increase the number of vCPU or add more RDS host into the farm</w:t>
            </w:r>
          </w:p>
        </w:tc>
      </w:tr>
      <w:tr w:rsidR="00E55491" w14:paraId="6482AB6D"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433137AA" w14:textId="77777777" w:rsidR="00E55491" w:rsidRPr="00EE245A" w:rsidRDefault="00E55491" w:rsidP="00281329">
            <w:pPr>
              <w:pStyle w:val="Tablecontent"/>
              <w:rPr>
                <w:b w:val="0"/>
                <w:bCs w:val="0"/>
              </w:rPr>
            </w:pPr>
            <w:r w:rsidRPr="00D41842">
              <w:rPr>
                <w:b w:val="0"/>
                <w:bCs w:val="0"/>
              </w:rPr>
              <w:t xml:space="preserve">CPU Context Switch </w:t>
            </w:r>
          </w:p>
        </w:tc>
        <w:tc>
          <w:tcPr>
            <w:tcW w:w="7484" w:type="dxa"/>
            <w:vMerge w:val="restart"/>
          </w:tcPr>
          <w:p w14:paraId="52315FE8"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Compare them against your baseline.</w:t>
            </w:r>
          </w:p>
          <w:p w14:paraId="4B391761"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Since RDS hosts in a farm are meant to be uniformed, compare them to see if there is a large deviation.</w:t>
            </w:r>
          </w:p>
          <w:p w14:paraId="6842C4BE" w14:textId="77777777"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 xml:space="preserve">See the relevant chapter in </w:t>
            </w:r>
            <w:r w:rsidRPr="00EE245A">
              <w:rPr>
                <w:color w:val="00B0F0"/>
              </w:rPr>
              <w:t>Part 2</w:t>
            </w:r>
            <w:r>
              <w:t xml:space="preserve"> of this book for explanation of these metrics. </w:t>
            </w:r>
          </w:p>
        </w:tc>
      </w:tr>
      <w:tr w:rsidR="00E55491" w14:paraId="13B668DF"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03F75EDA" w14:textId="77777777" w:rsidR="00E55491" w:rsidRPr="00D41842" w:rsidRDefault="00E55491" w:rsidP="00281329">
            <w:pPr>
              <w:pStyle w:val="Tablecontent"/>
            </w:pPr>
            <w:r>
              <w:rPr>
                <w:b w:val="0"/>
                <w:bCs w:val="0"/>
              </w:rPr>
              <w:t>Memory Page-in Rate</w:t>
            </w:r>
          </w:p>
        </w:tc>
        <w:tc>
          <w:tcPr>
            <w:tcW w:w="7484" w:type="dxa"/>
            <w:vMerge/>
          </w:tcPr>
          <w:p w14:paraId="43FE7409"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p>
        </w:tc>
      </w:tr>
      <w:tr w:rsidR="00E55491" w14:paraId="56850F34"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57E1E031" w14:textId="77777777" w:rsidR="00E55491" w:rsidRDefault="00E55491" w:rsidP="00281329">
            <w:pPr>
              <w:pStyle w:val="Tablecontent"/>
            </w:pPr>
            <w:r w:rsidRPr="00027BE6">
              <w:rPr>
                <w:b w:val="0"/>
                <w:bCs w:val="0"/>
              </w:rPr>
              <w:t xml:space="preserve">Disk </w:t>
            </w:r>
            <w:r>
              <w:rPr>
                <w:b w:val="0"/>
                <w:bCs w:val="0"/>
              </w:rPr>
              <w:t>Queue</w:t>
            </w:r>
          </w:p>
        </w:tc>
        <w:tc>
          <w:tcPr>
            <w:tcW w:w="7484" w:type="dxa"/>
            <w:vMerge/>
          </w:tcPr>
          <w:p w14:paraId="0F62A5F3"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p>
        </w:tc>
      </w:tr>
    </w:tbl>
    <w:p w14:paraId="49A51302" w14:textId="77777777" w:rsidR="00E55491" w:rsidRDefault="00E55491" w:rsidP="00E55491">
      <w:pPr>
        <w:pStyle w:val="BeforeTable"/>
      </w:pPr>
    </w:p>
    <w:p w14:paraId="5CD71AC0" w14:textId="77777777" w:rsidR="00E55491" w:rsidRDefault="00E55491" w:rsidP="00E55491">
      <w:r>
        <w:t>Next, check if there is a problem outside Windows, meaning at the VM or below.</w:t>
      </w:r>
    </w:p>
    <w:p w14:paraId="432A2E96" w14:textId="77777777" w:rsidR="00E55491" w:rsidRDefault="00E55491" w:rsidP="00E55491">
      <w:pPr>
        <w:pStyle w:val="BeforeTable"/>
      </w:pPr>
    </w:p>
    <w:tbl>
      <w:tblPr>
        <w:tblStyle w:val="GridTable1Light-Accent3"/>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CellMar>
          <w:top w:w="57" w:type="dxa"/>
          <w:bottom w:w="57" w:type="dxa"/>
        </w:tblCellMar>
        <w:tblLook w:val="0480" w:firstRow="0" w:lastRow="0" w:firstColumn="1" w:lastColumn="0" w:noHBand="0" w:noVBand="1"/>
      </w:tblPr>
      <w:tblGrid>
        <w:gridCol w:w="2948"/>
        <w:gridCol w:w="7484"/>
      </w:tblGrid>
      <w:tr w:rsidR="00E55491" w14:paraId="138FCA06"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444A0D7A" w14:textId="77777777" w:rsidR="00E55491" w:rsidRDefault="00E55491" w:rsidP="00281329">
            <w:pPr>
              <w:pStyle w:val="Tablecontent"/>
              <w:rPr>
                <w:b w:val="0"/>
                <w:bCs w:val="0"/>
              </w:rPr>
            </w:pPr>
            <w:r>
              <w:rPr>
                <w:b w:val="0"/>
                <w:bCs w:val="0"/>
              </w:rPr>
              <w:t>Peak vCPU Ready</w:t>
            </w:r>
          </w:p>
        </w:tc>
        <w:tc>
          <w:tcPr>
            <w:tcW w:w="7484" w:type="dxa"/>
          </w:tcPr>
          <w:p w14:paraId="67F3EB1E"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rsidRPr="001125A2">
              <w:t>Use Peak vCPU Ready instead of CPU Ready as the l</w:t>
            </w:r>
            <w:r>
              <w:t>ater is the average of all vCPU</w:t>
            </w:r>
          </w:p>
        </w:tc>
      </w:tr>
      <w:tr w:rsidR="00E55491" w14:paraId="3B208F43"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0E45FFC8" w14:textId="77777777" w:rsidR="00E55491" w:rsidRDefault="00E55491" w:rsidP="00281329">
            <w:pPr>
              <w:pStyle w:val="Tablecontent"/>
            </w:pPr>
            <w:r>
              <w:rPr>
                <w:b w:val="0"/>
                <w:bCs w:val="0"/>
              </w:rPr>
              <w:t>CPU Co-Stop (%)</w:t>
            </w:r>
          </w:p>
          <w:p w14:paraId="2E724697" w14:textId="77777777" w:rsidR="00E55491" w:rsidRDefault="00E55491" w:rsidP="00281329">
            <w:pPr>
              <w:pStyle w:val="Tablecontent"/>
            </w:pPr>
            <w:r>
              <w:rPr>
                <w:b w:val="0"/>
                <w:bCs w:val="0"/>
              </w:rPr>
              <w:t>CPU IO Wait (%)</w:t>
            </w:r>
          </w:p>
          <w:p w14:paraId="710AEBC4" w14:textId="77777777" w:rsidR="00E55491" w:rsidRPr="001125A2" w:rsidRDefault="00E55491" w:rsidP="00281329">
            <w:pPr>
              <w:pStyle w:val="Tablecontent"/>
            </w:pPr>
            <w:r>
              <w:rPr>
                <w:b w:val="0"/>
                <w:bCs w:val="0"/>
              </w:rPr>
              <w:t>CPU Overlap (ms)</w:t>
            </w:r>
          </w:p>
        </w:tc>
        <w:tc>
          <w:tcPr>
            <w:tcW w:w="7484" w:type="dxa"/>
          </w:tcPr>
          <w:p w14:paraId="4B03A108"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rsidRPr="001125A2">
              <w:t xml:space="preserve">These </w:t>
            </w:r>
            <w:r>
              <w:t>metrics</w:t>
            </w:r>
            <w:r w:rsidRPr="001125A2">
              <w:t xml:space="preserve"> are at VM level, so they are not visible to Windows.</w:t>
            </w:r>
          </w:p>
          <w:p w14:paraId="6545A039" w14:textId="77777777" w:rsidR="00E55491" w:rsidRPr="001125A2"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 xml:space="preserve">Their values should be lower than CPU Ready. Expect them to be less than 1%. </w:t>
            </w:r>
          </w:p>
        </w:tc>
      </w:tr>
      <w:tr w:rsidR="00E55491" w14:paraId="0C61FF55"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6B24CE09" w14:textId="77777777" w:rsidR="00E55491" w:rsidRPr="000F2A0A" w:rsidRDefault="00E55491" w:rsidP="00281329">
            <w:pPr>
              <w:pStyle w:val="Tablecontent"/>
            </w:pPr>
            <w:r>
              <w:rPr>
                <w:b w:val="0"/>
                <w:bCs w:val="0"/>
              </w:rPr>
              <w:t>Memory Contention (%)</w:t>
            </w:r>
          </w:p>
        </w:tc>
        <w:tc>
          <w:tcPr>
            <w:tcW w:w="7484" w:type="dxa"/>
          </w:tcPr>
          <w:p w14:paraId="7E012128" w14:textId="77777777"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Keep this below 1%</w:t>
            </w:r>
          </w:p>
        </w:tc>
      </w:tr>
      <w:tr w:rsidR="00E55491" w14:paraId="388574EE"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268D26D6" w14:textId="77777777" w:rsidR="00E55491" w:rsidRDefault="00E55491" w:rsidP="00281329">
            <w:pPr>
              <w:pStyle w:val="Tablecontent"/>
            </w:pPr>
            <w:r>
              <w:rPr>
                <w:b w:val="0"/>
                <w:bCs w:val="0"/>
              </w:rPr>
              <w:t>Worst vDisk Read Latency</w:t>
            </w:r>
          </w:p>
          <w:p w14:paraId="1017BA1C" w14:textId="77777777" w:rsidR="00E55491" w:rsidRDefault="00E55491" w:rsidP="00281329">
            <w:pPr>
              <w:pStyle w:val="Tablecontent"/>
              <w:rPr>
                <w:b w:val="0"/>
                <w:bCs w:val="0"/>
              </w:rPr>
            </w:pPr>
            <w:r>
              <w:rPr>
                <w:b w:val="0"/>
                <w:bCs w:val="0"/>
              </w:rPr>
              <w:t>Worst vDisk Write Latency</w:t>
            </w:r>
          </w:p>
        </w:tc>
        <w:tc>
          <w:tcPr>
            <w:tcW w:w="7484" w:type="dxa"/>
          </w:tcPr>
          <w:p w14:paraId="794B79E4"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These metrics are better than the average of both read &amp; write. You can have one problem and not the other, and the average may mask that.</w:t>
            </w:r>
          </w:p>
          <w:p w14:paraId="5F902918" w14:textId="77777777"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These metrics are better than average at VM-level.</w:t>
            </w:r>
          </w:p>
        </w:tc>
      </w:tr>
      <w:tr w:rsidR="00E55491" w14:paraId="08E778F5"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72E3A7EC" w14:textId="77777777" w:rsidR="00E55491" w:rsidRPr="00D41842" w:rsidRDefault="00E55491" w:rsidP="00281329">
            <w:pPr>
              <w:pStyle w:val="Tablecontent"/>
              <w:rPr>
                <w:b w:val="0"/>
                <w:bCs w:val="0"/>
              </w:rPr>
            </w:pPr>
            <w:r w:rsidRPr="00D41842">
              <w:rPr>
                <w:b w:val="0"/>
                <w:bCs w:val="0"/>
              </w:rPr>
              <w:t>Outstanding IO</w:t>
            </w:r>
          </w:p>
        </w:tc>
        <w:tc>
          <w:tcPr>
            <w:tcW w:w="7484" w:type="dxa"/>
          </w:tcPr>
          <w:p w14:paraId="22AE044B"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This is outside Windows. So if this is high, something wrong on the underlying storage system.</w:t>
            </w:r>
          </w:p>
        </w:tc>
      </w:tr>
    </w:tbl>
    <w:p w14:paraId="3317FBF6" w14:textId="77777777" w:rsidR="00E55491" w:rsidRDefault="00E55491" w:rsidP="00E55491">
      <w:pPr>
        <w:pStyle w:val="BeforeTable"/>
      </w:pPr>
      <w:r>
        <w:t xml:space="preserve">  </w:t>
      </w:r>
    </w:p>
    <w:p w14:paraId="3A29E59C" w14:textId="77777777" w:rsidR="00E55491" w:rsidRDefault="00E55491" w:rsidP="00E55491">
      <w:r>
        <w:t>For Network, check the protocol metrics.</w:t>
      </w:r>
      <w:r w:rsidRPr="00C521C8">
        <w:t xml:space="preserve"> </w:t>
      </w:r>
      <w:r>
        <w:t>Note they are implemented at RDS Farm level, not RDS Host. RDS Hosts in a farm are meant to be uniformed, meaning you should not be changing the setting of individual host.</w:t>
      </w:r>
    </w:p>
    <w:p w14:paraId="745A51F5" w14:textId="77777777" w:rsidR="00E55491" w:rsidRPr="00EE7DF4" w:rsidRDefault="00E55491" w:rsidP="00E55491">
      <w:pPr>
        <w:pStyle w:val="Bullet"/>
      </w:pPr>
      <w:r w:rsidRPr="00EE7DF4">
        <w:t>Protocol Latency (ms)</w:t>
      </w:r>
    </w:p>
    <w:p w14:paraId="48071E5D" w14:textId="77777777" w:rsidR="00E55491" w:rsidRPr="00EE7DF4" w:rsidRDefault="00E55491" w:rsidP="00E55491">
      <w:pPr>
        <w:pStyle w:val="Bullet"/>
      </w:pPr>
      <w:r w:rsidRPr="00EE7DF4">
        <w:lastRenderedPageBreak/>
        <w:t>Protocol Packet Loss Receive (%)</w:t>
      </w:r>
    </w:p>
    <w:p w14:paraId="5424A116" w14:textId="77777777" w:rsidR="00E55491" w:rsidRPr="00EE7DF4" w:rsidRDefault="00E55491" w:rsidP="00E55491">
      <w:pPr>
        <w:pStyle w:val="Bullet"/>
      </w:pPr>
      <w:r w:rsidRPr="00EE7DF4">
        <w:t>Protocol Packet Loss Transmit (%)</w:t>
      </w:r>
    </w:p>
    <w:p w14:paraId="1C44B7E3" w14:textId="77777777" w:rsidR="00E55491" w:rsidRPr="00EE7DF4" w:rsidRDefault="00E55491" w:rsidP="00E55491">
      <w:pPr>
        <w:pStyle w:val="Bullet"/>
      </w:pPr>
      <w:r w:rsidRPr="00EE7DF4">
        <w:t>Worst Time taken to logon</w:t>
      </w:r>
    </w:p>
    <w:p w14:paraId="134F52B7" w14:textId="77777777" w:rsidR="00E55491" w:rsidRPr="00EE7DF4" w:rsidRDefault="00E55491" w:rsidP="00E55491">
      <w:pPr>
        <w:pStyle w:val="Bullet"/>
      </w:pPr>
      <w:r w:rsidRPr="00EE7DF4">
        <w:t>Worst Time taken to load profile</w:t>
      </w:r>
    </w:p>
    <w:p w14:paraId="6524E263" w14:textId="77777777" w:rsidR="00E55491" w:rsidRDefault="00E55491" w:rsidP="00E55491">
      <w:pPr>
        <w:pStyle w:val="BeforeTable"/>
      </w:pPr>
    </w:p>
    <w:p w14:paraId="530DDABD" w14:textId="77777777" w:rsidR="00E55491" w:rsidRDefault="00E55491" w:rsidP="00E55491">
      <w:pPr>
        <w:pStyle w:val="Heading5"/>
      </w:pPr>
      <w:r>
        <w:t>Utilization Metrics</w:t>
      </w:r>
    </w:p>
    <w:p w14:paraId="558D5847" w14:textId="77777777" w:rsidR="00E55491" w:rsidRDefault="00E55491" w:rsidP="00E55491">
      <w:r>
        <w:t>One common reason behind contention is high utilization. Not all usage metrics are relevant to performance, so the following only lists the relevant ones.</w:t>
      </w:r>
    </w:p>
    <w:p w14:paraId="2A8090E8" w14:textId="77777777" w:rsidR="00E55491" w:rsidRPr="001E66A0" w:rsidRDefault="00E55491" w:rsidP="00E55491">
      <w:pPr>
        <w:pStyle w:val="BeforeTable"/>
      </w:pPr>
    </w:p>
    <w:tbl>
      <w:tblPr>
        <w:tblStyle w:val="GridTable1Light-Accent3"/>
        <w:tblW w:w="10574"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CellMar>
          <w:top w:w="57" w:type="dxa"/>
          <w:bottom w:w="57" w:type="dxa"/>
        </w:tblCellMar>
        <w:tblLook w:val="0480" w:firstRow="0" w:lastRow="0" w:firstColumn="1" w:lastColumn="0" w:noHBand="0" w:noVBand="1"/>
      </w:tblPr>
      <w:tblGrid>
        <w:gridCol w:w="2948"/>
        <w:gridCol w:w="7626"/>
      </w:tblGrid>
      <w:tr w:rsidR="00E55491" w14:paraId="439E2192"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2143EA73" w14:textId="77777777" w:rsidR="00E55491" w:rsidRPr="0024487C" w:rsidRDefault="00E55491" w:rsidP="00281329">
            <w:pPr>
              <w:pStyle w:val="Tablecontent"/>
            </w:pPr>
            <w:r>
              <w:rPr>
                <w:b w:val="0"/>
                <w:bCs w:val="0"/>
              </w:rPr>
              <w:t>Peak vCPU Usage (%)</w:t>
            </w:r>
          </w:p>
        </w:tc>
        <w:tc>
          <w:tcPr>
            <w:tcW w:w="7626" w:type="dxa"/>
          </w:tcPr>
          <w:p w14:paraId="45861345" w14:textId="77777777"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 xml:space="preserve">Use the peak vCPU Usage instead of </w:t>
            </w:r>
            <w:r w:rsidRPr="00A83143">
              <w:t>CPU Usage, as the later is the average of all vCPU</w:t>
            </w:r>
          </w:p>
        </w:tc>
      </w:tr>
      <w:tr w:rsidR="00E55491" w14:paraId="337E2DB8"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247AC046" w14:textId="77777777" w:rsidR="00E55491" w:rsidRDefault="00E55491" w:rsidP="00281329">
            <w:pPr>
              <w:pStyle w:val="Tablecontent"/>
            </w:pPr>
            <w:r>
              <w:rPr>
                <w:b w:val="0"/>
                <w:bCs w:val="0"/>
              </w:rPr>
              <w:t>CPU Usage (%)</w:t>
            </w:r>
          </w:p>
        </w:tc>
        <w:tc>
          <w:tcPr>
            <w:tcW w:w="7626" w:type="dxa"/>
          </w:tcPr>
          <w:p w14:paraId="142EF5EE"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Note that at present this is coming from VM. In future we may change to Windows.</w:t>
            </w:r>
          </w:p>
          <w:p w14:paraId="689D5D49"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If this number hits &gt;95% repeatedly, that could explain contention.</w:t>
            </w:r>
          </w:p>
          <w:p w14:paraId="7810B1B4"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On the other hand, if this number is much lower than expected, there is something amiss. When you have a lot of sessions trying to connect and the RDS Host utilization is low, that means there is a bottleneck that prevents the host from processing the load.</w:t>
            </w:r>
          </w:p>
        </w:tc>
      </w:tr>
      <w:tr w:rsidR="00E55491" w14:paraId="7561C323"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0AACB1E8" w14:textId="77777777" w:rsidR="00E55491" w:rsidRPr="00FA29BD" w:rsidRDefault="00E55491" w:rsidP="00281329">
            <w:pPr>
              <w:pStyle w:val="Tablecontent"/>
            </w:pPr>
            <w:r>
              <w:rPr>
                <w:b w:val="0"/>
                <w:bCs w:val="0"/>
              </w:rPr>
              <w:t>Free Memory (MB)</w:t>
            </w:r>
          </w:p>
        </w:tc>
        <w:tc>
          <w:tcPr>
            <w:tcW w:w="7626" w:type="dxa"/>
          </w:tcPr>
          <w:p w14:paraId="1E31BE64" w14:textId="77777777"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Ensure this number is &gt; 128 MB</w:t>
            </w:r>
          </w:p>
        </w:tc>
      </w:tr>
      <w:tr w:rsidR="00E55491" w14:paraId="42F87CB7"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42881A7D" w14:textId="77777777" w:rsidR="00E55491" w:rsidRDefault="00E55491" w:rsidP="00281329">
            <w:pPr>
              <w:pStyle w:val="Tablecontent"/>
              <w:rPr>
                <w:b w:val="0"/>
                <w:bCs w:val="0"/>
              </w:rPr>
            </w:pPr>
            <w:r>
              <w:rPr>
                <w:b w:val="0"/>
                <w:bCs w:val="0"/>
              </w:rPr>
              <w:t>Memory Utilization</w:t>
            </w:r>
          </w:p>
        </w:tc>
        <w:tc>
          <w:tcPr>
            <w:tcW w:w="7626" w:type="dxa"/>
          </w:tcPr>
          <w:p w14:paraId="7A6D0227" w14:textId="77777777"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As covered in Part 2, this contains buffer. In future we may change this to Windows In Use counter. Let me know your thought.</w:t>
            </w:r>
          </w:p>
        </w:tc>
      </w:tr>
    </w:tbl>
    <w:p w14:paraId="51D55DB5" w14:textId="77777777" w:rsidR="00E55491" w:rsidRDefault="00E55491" w:rsidP="00E55491">
      <w:pPr>
        <w:pStyle w:val="BeforeTable"/>
      </w:pPr>
    </w:p>
    <w:p w14:paraId="0178D1CF" w14:textId="77777777" w:rsidR="00E55491" w:rsidRDefault="00E55491" w:rsidP="00E55491">
      <w:r>
        <w:t>Disk utilization is less useful in performance troubleshooting as the limit is high. A very high utilization may in fact deliver a good experience to the user, albeit at the expense of other users.</w:t>
      </w:r>
    </w:p>
    <w:p w14:paraId="131598A4" w14:textId="77777777" w:rsidR="00E55491" w:rsidRDefault="00E55491" w:rsidP="00E55491">
      <w:pPr>
        <w:pStyle w:val="BeforeTable"/>
      </w:pPr>
    </w:p>
    <w:tbl>
      <w:tblPr>
        <w:tblStyle w:val="GridTable1Light-Accent3"/>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CellMar>
          <w:top w:w="57" w:type="dxa"/>
          <w:bottom w:w="57" w:type="dxa"/>
        </w:tblCellMar>
        <w:tblLook w:val="0480" w:firstRow="0" w:lastRow="0" w:firstColumn="1" w:lastColumn="0" w:noHBand="0" w:noVBand="1"/>
      </w:tblPr>
      <w:tblGrid>
        <w:gridCol w:w="2948"/>
        <w:gridCol w:w="7342"/>
      </w:tblGrid>
      <w:tr w:rsidR="00E55491" w14:paraId="20971691"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3E8D8606" w14:textId="77777777" w:rsidR="00E55491" w:rsidRDefault="00E55491" w:rsidP="00281329">
            <w:pPr>
              <w:pStyle w:val="Tablecontent"/>
              <w:rPr>
                <w:color w:val="000000" w:themeColor="text1"/>
              </w:rPr>
            </w:pPr>
            <w:r>
              <w:rPr>
                <w:b w:val="0"/>
                <w:bCs w:val="0"/>
                <w:color w:val="000000" w:themeColor="text1"/>
              </w:rPr>
              <w:t>Read IOPS</w:t>
            </w:r>
          </w:p>
          <w:p w14:paraId="565B6D3B" w14:textId="77777777" w:rsidR="00E55491" w:rsidRDefault="00E55491" w:rsidP="00281329">
            <w:pPr>
              <w:pStyle w:val="Tablecontent"/>
              <w:rPr>
                <w:color w:val="000000" w:themeColor="text1"/>
              </w:rPr>
            </w:pPr>
            <w:r>
              <w:rPr>
                <w:b w:val="0"/>
                <w:bCs w:val="0"/>
                <w:color w:val="000000" w:themeColor="text1"/>
              </w:rPr>
              <w:t>Write IOPS</w:t>
            </w:r>
          </w:p>
          <w:p w14:paraId="0C7A58E3" w14:textId="77777777" w:rsidR="00E55491" w:rsidRDefault="00E55491" w:rsidP="00281329">
            <w:pPr>
              <w:pStyle w:val="Tablecontent"/>
              <w:rPr>
                <w:color w:val="000000" w:themeColor="text1"/>
              </w:rPr>
            </w:pPr>
            <w:r>
              <w:rPr>
                <w:b w:val="0"/>
                <w:bCs w:val="0"/>
                <w:color w:val="000000" w:themeColor="text1"/>
              </w:rPr>
              <w:t>Read Throughput</w:t>
            </w:r>
          </w:p>
          <w:p w14:paraId="4CB0B7E2" w14:textId="77777777" w:rsidR="00E55491" w:rsidRDefault="00E55491" w:rsidP="00281329">
            <w:pPr>
              <w:pStyle w:val="Tablecontent"/>
              <w:rPr>
                <w:b w:val="0"/>
                <w:bCs w:val="0"/>
                <w:color w:val="000000" w:themeColor="text1"/>
              </w:rPr>
            </w:pPr>
            <w:r>
              <w:rPr>
                <w:b w:val="0"/>
                <w:bCs w:val="0"/>
                <w:color w:val="000000" w:themeColor="text1"/>
              </w:rPr>
              <w:t>Write Throughput</w:t>
            </w:r>
          </w:p>
        </w:tc>
        <w:tc>
          <w:tcPr>
            <w:tcW w:w="7342" w:type="dxa"/>
          </w:tcPr>
          <w:p w14:paraId="328B3484"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 xml:space="preserve">If any of these is higher than normal, investigate why. It could be security agents scanning all files. </w:t>
            </w:r>
          </w:p>
          <w:p w14:paraId="216A7682"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Compare read and write to your expectation.</w:t>
            </w:r>
          </w:p>
          <w:p w14:paraId="0C5128CE"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Compare IOPS and Throughput. A large increase in IOPS but not in throughput indicate the block size has increased. Is that what you’re expecting?</w:t>
            </w:r>
          </w:p>
        </w:tc>
      </w:tr>
    </w:tbl>
    <w:p w14:paraId="5F498733" w14:textId="77777777" w:rsidR="00E55491" w:rsidRDefault="00E55491" w:rsidP="00E55491">
      <w:pPr>
        <w:pStyle w:val="Heading4"/>
      </w:pPr>
      <w:bookmarkStart w:id="139" w:name="_RDS_Farm"/>
      <w:bookmarkEnd w:id="139"/>
      <w:r>
        <w:lastRenderedPageBreak/>
        <w:t>RDS Farm</w:t>
      </w:r>
    </w:p>
    <w:p w14:paraId="22D49728" w14:textId="77777777" w:rsidR="00E55491" w:rsidRDefault="00E55491" w:rsidP="00E55491">
      <w:pPr>
        <w:rPr>
          <w:lang w:val="en-GB"/>
        </w:rPr>
      </w:pPr>
      <w:r>
        <w:rPr>
          <w:lang w:val="en-GB"/>
        </w:rPr>
        <w:t xml:space="preserve">RDS Farm has a set of properties that are worth monitoring. Make sure they match your documented architecture, and do not deviate from expected. </w:t>
      </w:r>
    </w:p>
    <w:p w14:paraId="50B79506" w14:textId="359331C4" w:rsidR="00E55491" w:rsidRPr="002248F6" w:rsidRDefault="00E55491" w:rsidP="00E55491">
      <w:pPr>
        <w:rPr>
          <w:lang w:val="en-GB"/>
        </w:rPr>
      </w:pPr>
      <w:r>
        <w:rPr>
          <w:lang w:val="en-GB"/>
        </w:rPr>
        <w:t>Horizon admin UI lists the farms, where you can perform administrative action</w:t>
      </w:r>
      <w:r w:rsidR="00E4254C">
        <w:rPr>
          <w:lang w:val="en-GB"/>
        </w:rPr>
        <w:t xml:space="preserve">. </w:t>
      </w:r>
    </w:p>
    <w:p w14:paraId="2DDCE990" w14:textId="77777777" w:rsidR="00E55491" w:rsidRPr="000E6E84" w:rsidRDefault="00E55491" w:rsidP="00E55491">
      <w:pPr>
        <w:rPr>
          <w:lang w:val="en-GB"/>
        </w:rPr>
      </w:pPr>
      <w:r w:rsidRPr="000E6E84">
        <w:rPr>
          <w:noProof/>
          <w:lang w:val="en-GB"/>
        </w:rPr>
        <w:drawing>
          <wp:inline distT="0" distB="0" distL="0" distR="0" wp14:anchorId="75677B59" wp14:editId="1DF40A42">
            <wp:extent cx="6645910" cy="2132330"/>
            <wp:effectExtent l="0" t="0" r="2540" b="1270"/>
            <wp:docPr id="567723378" name="Picture 567723378"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78" name="Picture 567723378" descr="Graphical user interface, text, application&#10;&#10;Description automatically generated"/>
                    <pic:cNvPicPr/>
                  </pic:nvPicPr>
                  <pic:blipFill>
                    <a:blip r:embed="rId957"/>
                    <a:stretch>
                      <a:fillRect/>
                    </a:stretch>
                  </pic:blipFill>
                  <pic:spPr>
                    <a:xfrm>
                      <a:off x="0" y="0"/>
                      <a:ext cx="6645910" cy="2132330"/>
                    </a:xfrm>
                    <a:prstGeom prst="rect">
                      <a:avLst/>
                    </a:prstGeom>
                  </pic:spPr>
                </pic:pic>
              </a:graphicData>
            </a:graphic>
          </wp:inline>
        </w:drawing>
      </w:r>
    </w:p>
    <w:p w14:paraId="0EF8FFC0" w14:textId="77777777" w:rsidR="00E55491" w:rsidRDefault="00E55491" w:rsidP="00E55491">
      <w:pPr>
        <w:rPr>
          <w:lang w:val="en-GB"/>
        </w:rPr>
      </w:pPr>
      <w:r>
        <w:rPr>
          <w:lang w:val="en-GB"/>
        </w:rPr>
        <w:t xml:space="preserve">From the farm, you can </w:t>
      </w:r>
    </w:p>
    <w:p w14:paraId="01781257" w14:textId="77777777" w:rsidR="00E55491" w:rsidRDefault="00E55491" w:rsidP="00E55491">
      <w:pPr>
        <w:jc w:val="center"/>
        <w:rPr>
          <w:lang w:val="en-GB"/>
        </w:rPr>
      </w:pPr>
      <w:r w:rsidRPr="002248F6">
        <w:rPr>
          <w:noProof/>
          <w:lang w:val="en-GB"/>
        </w:rPr>
        <w:drawing>
          <wp:inline distT="0" distB="0" distL="0" distR="0" wp14:anchorId="363A4272" wp14:editId="7413D94A">
            <wp:extent cx="5061600" cy="3160800"/>
            <wp:effectExtent l="0" t="0" r="5715" b="1905"/>
            <wp:docPr id="567723380" name="Picture 567723380"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80" name="Picture 567723380" descr="Graphical user interface, application&#10;&#10;Description automatically generated"/>
                    <pic:cNvPicPr/>
                  </pic:nvPicPr>
                  <pic:blipFill>
                    <a:blip r:embed="rId958"/>
                    <a:stretch>
                      <a:fillRect/>
                    </a:stretch>
                  </pic:blipFill>
                  <pic:spPr>
                    <a:xfrm>
                      <a:off x="0" y="0"/>
                      <a:ext cx="5061600" cy="3160800"/>
                    </a:xfrm>
                    <a:prstGeom prst="rect">
                      <a:avLst/>
                    </a:prstGeom>
                  </pic:spPr>
                </pic:pic>
              </a:graphicData>
            </a:graphic>
          </wp:inline>
        </w:drawing>
      </w:r>
    </w:p>
    <w:p w14:paraId="76643FCF" w14:textId="77777777" w:rsidR="00E55491" w:rsidRDefault="00E55491" w:rsidP="00E55491">
      <w:pPr>
        <w:rPr>
          <w:lang w:val="en-GB"/>
        </w:rPr>
      </w:pPr>
      <w:r>
        <w:rPr>
          <w:lang w:val="en-GB"/>
        </w:rPr>
        <w:t xml:space="preserve">Metric wise, as RDS Farm is nothing but a collection of RDS Hosts + RDS Sessions, the metrics are derived from these objects. </w:t>
      </w:r>
    </w:p>
    <w:p w14:paraId="7EF0EED8" w14:textId="77777777" w:rsidR="00E55491" w:rsidRDefault="00E55491" w:rsidP="00E55491">
      <w:pPr>
        <w:pStyle w:val="Heading5"/>
      </w:pPr>
      <w:r>
        <w:t>KPI Metrics</w:t>
      </w:r>
    </w:p>
    <w:p w14:paraId="7C07C994" w14:textId="77777777" w:rsidR="00E55491" w:rsidRPr="001F42A7" w:rsidRDefault="00E55491" w:rsidP="00E55491">
      <w:pPr>
        <w:rPr>
          <w:lang w:val="en-GB"/>
        </w:rPr>
      </w:pPr>
      <w:r>
        <w:rPr>
          <w:lang w:val="en-GB"/>
        </w:rPr>
        <w:t>As RDS Farm is a higher level objects, with potentially hundreds of members, the KPI metrics become a necessity in large scale monitoring.</w:t>
      </w:r>
    </w:p>
    <w:p w14:paraId="51CD2F5F" w14:textId="1B013A7F" w:rsidR="00E55491" w:rsidRDefault="00E55491" w:rsidP="00E55491">
      <w:pPr>
        <w:rPr>
          <w:lang w:val="en-GB"/>
        </w:rPr>
      </w:pPr>
      <w:r>
        <w:rPr>
          <w:lang w:val="en-GB"/>
        </w:rPr>
        <w:lastRenderedPageBreak/>
        <w:t xml:space="preserve">For RDS Host, we take the worst value among the hosts as leading indicator. The reason is a farm typically consists of a dozen of so hosts, not hundreds. For RDS Session, taking the worst is good but need to be complemented with the </w:t>
      </w:r>
      <w:r w:rsidRPr="0078733A">
        <w:rPr>
          <w:color w:val="00B0F0"/>
          <w:lang w:val="en-GB"/>
        </w:rPr>
        <w:t>w</w:t>
      </w:r>
      <w:r w:rsidRPr="0078733A">
        <w:rPr>
          <w:color w:val="00B0F0"/>
        </w:rPr>
        <w:t>orst 5</w:t>
      </w:r>
      <w:r w:rsidRPr="0078733A">
        <w:rPr>
          <w:color w:val="00B0F0"/>
          <w:vertAlign w:val="superscript"/>
        </w:rPr>
        <w:t>th</w:t>
      </w:r>
      <w:r w:rsidRPr="0078733A">
        <w:rPr>
          <w:color w:val="00B0F0"/>
        </w:rPr>
        <w:t xml:space="preserve"> percentile()</w:t>
      </w:r>
      <w:r w:rsidRPr="00A452F2">
        <w:rPr>
          <w:lang w:val="en-GB"/>
        </w:rPr>
        <w:t xml:space="preserve"> </w:t>
      </w:r>
      <w:r>
        <w:rPr>
          <w:lang w:val="en-GB"/>
        </w:rPr>
        <w:t xml:space="preserve">or </w:t>
      </w:r>
      <w:r w:rsidRPr="00944846">
        <w:rPr>
          <w:color w:val="00B0F0"/>
          <w:lang w:val="en-GB"/>
        </w:rPr>
        <w:t>count</w:t>
      </w:r>
      <w:r>
        <w:rPr>
          <w:color w:val="00B0F0"/>
          <w:lang w:val="en-GB"/>
        </w:rPr>
        <w:t>-not-</w:t>
      </w:r>
      <w:r w:rsidR="0022569A" w:rsidRPr="0022569A">
        <w:rPr>
          <w:color w:val="00B050"/>
          <w:lang w:val="en-GB"/>
        </w:rPr>
        <w:t>green</w:t>
      </w:r>
      <w:r w:rsidRPr="00944846">
        <w:rPr>
          <w:color w:val="00B0F0"/>
          <w:lang w:val="en-GB"/>
        </w:rPr>
        <w:t>()</w:t>
      </w:r>
      <w:r>
        <w:rPr>
          <w:lang w:val="en-GB"/>
        </w:rPr>
        <w:t xml:space="preserve"> as there can be hundreds of sessions, and a single session could be an outlier.</w:t>
      </w:r>
    </w:p>
    <w:p w14:paraId="479F2C0C" w14:textId="77777777" w:rsidR="00E55491" w:rsidRDefault="00E55491" w:rsidP="00E55491">
      <w:pPr>
        <w:rPr>
          <w:lang w:val="en-GB"/>
        </w:rPr>
      </w:pPr>
      <w:r>
        <w:rPr>
          <w:lang w:val="en-GB"/>
        </w:rPr>
        <w:t>The following KPI metrics are provided to troubleshoot further if the Network KPI (%) and DC KPI (%) metrics shows bad value.</w:t>
      </w:r>
    </w:p>
    <w:p w14:paraId="4069AEB6" w14:textId="77777777" w:rsidR="00E55491" w:rsidRDefault="00E55491" w:rsidP="00E55491">
      <w:pPr>
        <w:pStyle w:val="BeforeTable"/>
        <w:rPr>
          <w:lang w:val="en-GB"/>
        </w:rPr>
      </w:pPr>
    </w:p>
    <w:tbl>
      <w:tblPr>
        <w:tblStyle w:val="GridTable1Light-Accent3"/>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none" w:sz="0" w:space="0" w:color="auto"/>
          <w:insideV w:val="none" w:sz="0" w:space="0" w:color="auto"/>
        </w:tblBorders>
        <w:tblCellMar>
          <w:top w:w="57" w:type="dxa"/>
          <w:bottom w:w="57" w:type="dxa"/>
        </w:tblCellMar>
        <w:tblLook w:val="0480" w:firstRow="0" w:lastRow="0" w:firstColumn="1" w:lastColumn="0" w:noHBand="0" w:noVBand="1"/>
      </w:tblPr>
      <w:tblGrid>
        <w:gridCol w:w="4248"/>
        <w:gridCol w:w="6208"/>
      </w:tblGrid>
      <w:tr w:rsidR="00E55491" w14:paraId="7EA43797" w14:textId="77777777" w:rsidTr="00281329">
        <w:tc>
          <w:tcPr>
            <w:cnfStyle w:val="001000000000" w:firstRow="0" w:lastRow="0" w:firstColumn="1" w:lastColumn="0" w:oddVBand="0" w:evenVBand="0" w:oddHBand="0" w:evenHBand="0" w:firstRowFirstColumn="0" w:firstRowLastColumn="0" w:lastRowFirstColumn="0" w:lastRowLastColumn="0"/>
            <w:tcW w:w="4248" w:type="dxa"/>
            <w:shd w:val="clear" w:color="auto" w:fill="F2F2F2" w:themeFill="background1" w:themeFillShade="F2"/>
          </w:tcPr>
          <w:p w14:paraId="31605A9A" w14:textId="77777777" w:rsidR="00E55491" w:rsidRPr="00BC22B1" w:rsidRDefault="00E55491" w:rsidP="00281329">
            <w:pPr>
              <w:pStyle w:val="Tablecontent"/>
              <w:rPr>
                <w:b w:val="0"/>
                <w:bCs w:val="0"/>
              </w:rPr>
            </w:pPr>
            <w:r>
              <w:rPr>
                <w:b w:val="0"/>
                <w:bCs w:val="0"/>
              </w:rPr>
              <w:t>Worst</w:t>
            </w:r>
            <w:r w:rsidRPr="00BC22B1">
              <w:rPr>
                <w:b w:val="0"/>
                <w:bCs w:val="0"/>
              </w:rPr>
              <w:t xml:space="preserve"> Network KPI among Sessions (%)</w:t>
            </w:r>
          </w:p>
          <w:p w14:paraId="5880A1A8" w14:textId="77777777" w:rsidR="00E55491" w:rsidRPr="00BC22B1" w:rsidRDefault="00E55491" w:rsidP="00281329">
            <w:pPr>
              <w:pStyle w:val="Tablecontent"/>
              <w:rPr>
                <w:b w:val="0"/>
                <w:bCs w:val="0"/>
              </w:rPr>
            </w:pPr>
            <w:r w:rsidRPr="00BC22B1">
              <w:rPr>
                <w:b w:val="0"/>
                <w:bCs w:val="0"/>
              </w:rPr>
              <w:t>Worst DC KPI among Hosts (%)</w:t>
            </w:r>
          </w:p>
        </w:tc>
        <w:tc>
          <w:tcPr>
            <w:tcW w:w="6208" w:type="dxa"/>
          </w:tcPr>
          <w:p w14:paraId="59C69075"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rPr>
                <w:lang w:val="en-GB"/>
              </w:rPr>
            </w:pPr>
            <w:r>
              <w:rPr>
                <w:lang w:val="en-GB"/>
              </w:rPr>
              <w:t>The first metric you want to see is the KPI metrics. One for DC and one for Network.</w:t>
            </w:r>
          </w:p>
          <w:p w14:paraId="31A0BDF5" w14:textId="57AF84A9"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 xml:space="preserve">Check these 2 KPI metrics as they are at session level (for network) and RDS Host level (for DC). If they are not </w:t>
            </w:r>
            <w:r w:rsidR="00CF7D2C" w:rsidRPr="00CF7D2C">
              <w:rPr>
                <w:color w:val="FF0000"/>
              </w:rPr>
              <w:t>red</w:t>
            </w:r>
            <w:r>
              <w:t>, then the 2 metrics below will be 0.</w:t>
            </w:r>
          </w:p>
        </w:tc>
      </w:tr>
    </w:tbl>
    <w:p w14:paraId="7CF5A904" w14:textId="77777777" w:rsidR="00E55491" w:rsidRDefault="00E55491" w:rsidP="00E55491">
      <w:pPr>
        <w:pStyle w:val="BeforeTable"/>
      </w:pPr>
    </w:p>
    <w:p w14:paraId="776206BF" w14:textId="77777777" w:rsidR="00E55491" w:rsidRDefault="00E55491" w:rsidP="00E55491">
      <w:r>
        <w:t>The above is what you need to monitor. If the number is bad, then check the following:</w:t>
      </w:r>
    </w:p>
    <w:p w14:paraId="06A9B6D1" w14:textId="77777777" w:rsidR="00E55491" w:rsidRDefault="00E55491" w:rsidP="00E55491">
      <w:pPr>
        <w:pStyle w:val="BeforeTable"/>
      </w:pPr>
    </w:p>
    <w:tbl>
      <w:tblPr>
        <w:tblStyle w:val="GridTable1Light-Accent3"/>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CellMar>
          <w:top w:w="57" w:type="dxa"/>
          <w:bottom w:w="57" w:type="dxa"/>
        </w:tblCellMar>
        <w:tblLook w:val="0480" w:firstRow="0" w:lastRow="0" w:firstColumn="1" w:lastColumn="0" w:noHBand="0" w:noVBand="1"/>
      </w:tblPr>
      <w:tblGrid>
        <w:gridCol w:w="4248"/>
        <w:gridCol w:w="6208"/>
      </w:tblGrid>
      <w:tr w:rsidR="00E55491" w:rsidRPr="00BC22B1" w14:paraId="2D597801" w14:textId="77777777" w:rsidTr="00281329">
        <w:tc>
          <w:tcPr>
            <w:cnfStyle w:val="001000000000" w:firstRow="0" w:lastRow="0" w:firstColumn="1" w:lastColumn="0" w:oddVBand="0" w:evenVBand="0" w:oddHBand="0" w:evenHBand="0" w:firstRowFirstColumn="0" w:firstRowLastColumn="0" w:lastRowFirstColumn="0" w:lastRowLastColumn="0"/>
            <w:tcW w:w="4248" w:type="dxa"/>
            <w:shd w:val="clear" w:color="auto" w:fill="F2F2F2" w:themeFill="background1" w:themeFillShade="F2"/>
          </w:tcPr>
          <w:p w14:paraId="37D712EB" w14:textId="0C3B0898" w:rsidR="00E55491" w:rsidRPr="00BC22B1" w:rsidRDefault="00E55491" w:rsidP="00281329">
            <w:pPr>
              <w:pStyle w:val="Tablecontent"/>
              <w:rPr>
                <w:b w:val="0"/>
                <w:bCs w:val="0"/>
              </w:rPr>
            </w:pPr>
            <w:r w:rsidRPr="00BC22B1">
              <w:rPr>
                <w:b w:val="0"/>
                <w:bCs w:val="0"/>
              </w:rPr>
              <w:t xml:space="preserve">RDS Hosts with </w:t>
            </w:r>
            <w:r w:rsidR="00CF7D2C" w:rsidRPr="00CF7D2C">
              <w:rPr>
                <w:b w:val="0"/>
                <w:bCs w:val="0"/>
                <w:color w:val="FF0000"/>
              </w:rPr>
              <w:t>Red</w:t>
            </w:r>
            <w:r w:rsidRPr="00BC22B1">
              <w:rPr>
                <w:b w:val="0"/>
                <w:bCs w:val="0"/>
              </w:rPr>
              <w:t xml:space="preserve"> DC KPI</w:t>
            </w:r>
          </w:p>
          <w:p w14:paraId="50FD948A" w14:textId="610F27DA" w:rsidR="00E55491" w:rsidRPr="00BC22B1" w:rsidRDefault="00E55491" w:rsidP="00281329">
            <w:pPr>
              <w:pStyle w:val="Tablecontent"/>
              <w:rPr>
                <w:b w:val="0"/>
                <w:bCs w:val="0"/>
              </w:rPr>
            </w:pPr>
            <w:r w:rsidRPr="00BC22B1">
              <w:rPr>
                <w:b w:val="0"/>
                <w:bCs w:val="0"/>
              </w:rPr>
              <w:t xml:space="preserve">RDS </w:t>
            </w:r>
            <w:r>
              <w:rPr>
                <w:b w:val="0"/>
                <w:bCs w:val="0"/>
              </w:rPr>
              <w:t>Sessions</w:t>
            </w:r>
            <w:r w:rsidRPr="00BC22B1">
              <w:rPr>
                <w:b w:val="0"/>
                <w:bCs w:val="0"/>
              </w:rPr>
              <w:t xml:space="preserve"> with </w:t>
            </w:r>
            <w:r w:rsidR="00CF7D2C" w:rsidRPr="00CF7D2C">
              <w:rPr>
                <w:b w:val="0"/>
                <w:bCs w:val="0"/>
                <w:color w:val="FF0000"/>
              </w:rPr>
              <w:t>Red</w:t>
            </w:r>
            <w:r w:rsidRPr="00BC22B1">
              <w:rPr>
                <w:b w:val="0"/>
                <w:bCs w:val="0"/>
              </w:rPr>
              <w:t xml:space="preserve"> Network KPI</w:t>
            </w:r>
          </w:p>
        </w:tc>
        <w:tc>
          <w:tcPr>
            <w:tcW w:w="6208" w:type="dxa"/>
          </w:tcPr>
          <w:p w14:paraId="2B3863CD" w14:textId="3F13A0BF" w:rsidR="00E55491" w:rsidRPr="00BC22B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rsidRPr="00BC22B1">
              <w:t xml:space="preserve">Check these metrics if the above is showing </w:t>
            </w:r>
            <w:r w:rsidR="00CF7D2C" w:rsidRPr="00CF7D2C">
              <w:rPr>
                <w:color w:val="FF0000"/>
              </w:rPr>
              <w:t>red</w:t>
            </w:r>
            <w:r w:rsidRPr="00BC22B1">
              <w:t>. They tell the severity of the situation by showing how many hosts are affected.</w:t>
            </w:r>
          </w:p>
        </w:tc>
      </w:tr>
      <w:tr w:rsidR="00E55491" w:rsidRPr="00BC22B1" w14:paraId="5FF90D60" w14:textId="77777777" w:rsidTr="00281329">
        <w:tc>
          <w:tcPr>
            <w:cnfStyle w:val="001000000000" w:firstRow="0" w:lastRow="0" w:firstColumn="1" w:lastColumn="0" w:oddVBand="0" w:evenVBand="0" w:oddHBand="0" w:evenHBand="0" w:firstRowFirstColumn="0" w:firstRowLastColumn="0" w:lastRowFirstColumn="0" w:lastRowLastColumn="0"/>
            <w:tcW w:w="4248" w:type="dxa"/>
            <w:shd w:val="clear" w:color="auto" w:fill="F2F2F2" w:themeFill="background1" w:themeFillShade="F2"/>
          </w:tcPr>
          <w:p w14:paraId="5C5D919B" w14:textId="77777777" w:rsidR="00E55491" w:rsidRPr="00EA021C" w:rsidRDefault="00E55491" w:rsidP="00281329">
            <w:pPr>
              <w:pStyle w:val="Tablecontent"/>
              <w:rPr>
                <w:b w:val="0"/>
                <w:bCs w:val="0"/>
              </w:rPr>
            </w:pPr>
            <w:r w:rsidRPr="00EA021C">
              <w:rPr>
                <w:b w:val="0"/>
                <w:bCs w:val="0"/>
                <w:lang w:val="en-GB"/>
              </w:rPr>
              <w:t>W</w:t>
            </w:r>
            <w:r w:rsidRPr="00EA021C">
              <w:rPr>
                <w:b w:val="0"/>
                <w:bCs w:val="0"/>
              </w:rPr>
              <w:t>orst 5</w:t>
            </w:r>
            <w:r w:rsidRPr="00EA021C">
              <w:rPr>
                <w:b w:val="0"/>
                <w:bCs w:val="0"/>
                <w:vertAlign w:val="superscript"/>
              </w:rPr>
              <w:t>th</w:t>
            </w:r>
            <w:r w:rsidRPr="00EA021C">
              <w:rPr>
                <w:b w:val="0"/>
                <w:bCs w:val="0"/>
              </w:rPr>
              <w:t xml:space="preserve"> percentile</w:t>
            </w:r>
            <w:r w:rsidRPr="00EA021C">
              <w:rPr>
                <w:b w:val="0"/>
                <w:bCs w:val="0"/>
                <w:lang w:val="en-GB"/>
              </w:rPr>
              <w:t xml:space="preserve"> </w:t>
            </w:r>
            <w:r w:rsidRPr="00EA021C">
              <w:rPr>
                <w:b w:val="0"/>
                <w:bCs w:val="0"/>
              </w:rPr>
              <w:t>DC KPI (%)</w:t>
            </w:r>
          </w:p>
          <w:p w14:paraId="0CA7DFF2" w14:textId="77777777" w:rsidR="00E55491" w:rsidRPr="00BC22B1" w:rsidRDefault="00E55491" w:rsidP="00281329">
            <w:pPr>
              <w:pStyle w:val="Tablecontent"/>
              <w:rPr>
                <w:b w:val="0"/>
                <w:bCs w:val="0"/>
              </w:rPr>
            </w:pPr>
            <w:r w:rsidRPr="00EA021C">
              <w:rPr>
                <w:b w:val="0"/>
                <w:bCs w:val="0"/>
                <w:lang w:val="en-GB"/>
              </w:rPr>
              <w:t>W</w:t>
            </w:r>
            <w:r w:rsidRPr="00EA021C">
              <w:rPr>
                <w:b w:val="0"/>
                <w:bCs w:val="0"/>
              </w:rPr>
              <w:t>orst 5</w:t>
            </w:r>
            <w:r w:rsidRPr="00EA021C">
              <w:rPr>
                <w:b w:val="0"/>
                <w:bCs w:val="0"/>
                <w:vertAlign w:val="superscript"/>
              </w:rPr>
              <w:t>th</w:t>
            </w:r>
            <w:r w:rsidRPr="00EA021C">
              <w:rPr>
                <w:b w:val="0"/>
                <w:bCs w:val="0"/>
              </w:rPr>
              <w:t xml:space="preserve"> percentile</w:t>
            </w:r>
            <w:r w:rsidRPr="00EA021C">
              <w:rPr>
                <w:b w:val="0"/>
                <w:bCs w:val="0"/>
                <w:lang w:val="en-GB"/>
              </w:rPr>
              <w:t xml:space="preserve"> </w:t>
            </w:r>
            <w:r w:rsidRPr="00BC22B1">
              <w:rPr>
                <w:b w:val="0"/>
                <w:bCs w:val="0"/>
              </w:rPr>
              <w:t>Network KPI (%)</w:t>
            </w:r>
          </w:p>
        </w:tc>
        <w:tc>
          <w:tcPr>
            <w:tcW w:w="6208" w:type="dxa"/>
          </w:tcPr>
          <w:p w14:paraId="1F470B53" w14:textId="4169B236"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rsidRPr="00BC22B1">
              <w:t xml:space="preserve">If there is no session or host in the </w:t>
            </w:r>
            <w:r w:rsidR="00CF7D2C" w:rsidRPr="00CF7D2C">
              <w:rPr>
                <w:color w:val="FF0000"/>
              </w:rPr>
              <w:t>red</w:t>
            </w:r>
            <w:r w:rsidRPr="00BC22B1">
              <w:t xml:space="preserve">, it does not mean they are not in </w:t>
            </w:r>
            <w:r w:rsidR="00CF7D2C" w:rsidRPr="00CF7D2C">
              <w:rPr>
                <w:color w:val="ED7D31" w:themeColor="accent2"/>
              </w:rPr>
              <w:t>orange</w:t>
            </w:r>
            <w:r w:rsidRPr="00BC22B1">
              <w:t xml:space="preserve"> level. Use these metrics to check.</w:t>
            </w:r>
          </w:p>
          <w:p w14:paraId="038A42C7"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Note that if there are &lt; 20 hosts in a farm, the worst 5</w:t>
            </w:r>
            <w:r w:rsidRPr="00BC6AC2">
              <w:rPr>
                <w:vertAlign w:val="superscript"/>
              </w:rPr>
              <w:t>th</w:t>
            </w:r>
            <w:r>
              <w:t xml:space="preserve"> percentile is basically the worst counter.</w:t>
            </w:r>
          </w:p>
          <w:p w14:paraId="6A3074AD" w14:textId="77777777" w:rsidR="00E55491" w:rsidRPr="00BC22B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Take note that for rolling up to Pod and World level, the worst 5</w:t>
            </w:r>
            <w:r w:rsidRPr="00FC0133">
              <w:rPr>
                <w:vertAlign w:val="superscript"/>
              </w:rPr>
              <w:t>th</w:t>
            </w:r>
            <w:r>
              <w:t xml:space="preserve"> percentile is a more balanced than worst() formula.</w:t>
            </w:r>
          </w:p>
        </w:tc>
      </w:tr>
    </w:tbl>
    <w:p w14:paraId="708317BB" w14:textId="77777777" w:rsidR="00E55491" w:rsidRDefault="00E55491" w:rsidP="00E55491">
      <w:pPr>
        <w:pStyle w:val="Heading5"/>
      </w:pPr>
      <w:r>
        <w:t>Contention Metrics</w:t>
      </w:r>
    </w:p>
    <w:p w14:paraId="70324470" w14:textId="77777777" w:rsidR="00E55491" w:rsidRDefault="00E55491" w:rsidP="00E55491">
      <w:r>
        <w:t>KPI metrics are suitable for monitoring, not troubleshooting, as it’s an aggregate of metrics. To troubleshoot, you need contention metric-type.</w:t>
      </w:r>
    </w:p>
    <w:p w14:paraId="53785EEB" w14:textId="77777777" w:rsidR="00E55491" w:rsidRDefault="00E55491" w:rsidP="00E55491">
      <w:r>
        <w:t>It’s easier to troubleshoot at Farm level than individual host or session, as you can see the larger picture. There is no point troubleshooting a particular host or session if the whole farm is on fire. Different hosts and sessions can have different problems, and these metrics will capture them all as it’s worst among all members.</w:t>
      </w:r>
    </w:p>
    <w:p w14:paraId="4BDE3C4E" w14:textId="77777777" w:rsidR="00E55491" w:rsidRDefault="00E55491" w:rsidP="00E55491">
      <w:r>
        <w:t xml:space="preserve">Use the Worst() metrics-type as they are the leading indicators. It shows the worst value among the RDS Hosts or RDS Sessions in the farm. They show the </w:t>
      </w:r>
      <w:r w:rsidRPr="004E269D">
        <w:rPr>
          <w:i/>
          <w:iCs/>
          <w:color w:val="00B0F0"/>
        </w:rPr>
        <w:t>depth</w:t>
      </w:r>
      <w:r w:rsidRPr="004E269D">
        <w:rPr>
          <w:color w:val="00B0F0"/>
        </w:rPr>
        <w:t xml:space="preserve"> </w:t>
      </w:r>
      <w:r>
        <w:t>of a problem. If they show good value, no need to troubleshoot further as the worst is good.</w:t>
      </w:r>
    </w:p>
    <w:p w14:paraId="27BC5B7F" w14:textId="77777777" w:rsidR="00E55491" w:rsidRDefault="00E55491" w:rsidP="00E55491">
      <w:r>
        <w:t>First, check if there is a problem inside Windows.</w:t>
      </w:r>
    </w:p>
    <w:p w14:paraId="000EE4D7" w14:textId="77777777" w:rsidR="00E55491" w:rsidRPr="001D7879" w:rsidRDefault="00E55491" w:rsidP="00E55491">
      <w:pPr>
        <w:pStyle w:val="BeforeTable"/>
      </w:pPr>
      <w:r>
        <w:t xml:space="preserve">    </w:t>
      </w:r>
    </w:p>
    <w:tbl>
      <w:tblPr>
        <w:tblStyle w:val="GridTable1Light-Accent3"/>
        <w:tblW w:w="10485"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CellMar>
          <w:top w:w="57" w:type="dxa"/>
          <w:bottom w:w="57" w:type="dxa"/>
        </w:tblCellMar>
        <w:tblLook w:val="0480" w:firstRow="0" w:lastRow="0" w:firstColumn="1" w:lastColumn="0" w:noHBand="0" w:noVBand="1"/>
      </w:tblPr>
      <w:tblGrid>
        <w:gridCol w:w="4248"/>
        <w:gridCol w:w="6237"/>
      </w:tblGrid>
      <w:tr w:rsidR="00E55491" w14:paraId="427E8D46" w14:textId="77777777" w:rsidTr="00281329">
        <w:tc>
          <w:tcPr>
            <w:cnfStyle w:val="001000000000" w:firstRow="0" w:lastRow="0" w:firstColumn="1" w:lastColumn="0" w:oddVBand="0" w:evenVBand="0" w:oddHBand="0" w:evenHBand="0" w:firstRowFirstColumn="0" w:firstRowLastColumn="0" w:lastRowFirstColumn="0" w:lastRowLastColumn="0"/>
            <w:tcW w:w="4248" w:type="dxa"/>
            <w:shd w:val="clear" w:color="auto" w:fill="F2F2F2" w:themeFill="background1" w:themeFillShade="F2"/>
          </w:tcPr>
          <w:p w14:paraId="566DCD71" w14:textId="77777777" w:rsidR="00E55491" w:rsidRDefault="00E55491" w:rsidP="00281329">
            <w:pPr>
              <w:pStyle w:val="Tablecontent"/>
            </w:pPr>
            <w:r>
              <w:rPr>
                <w:b w:val="0"/>
                <w:bCs w:val="0"/>
              </w:rPr>
              <w:t xml:space="preserve">Worst CPU Queue </w:t>
            </w:r>
          </w:p>
        </w:tc>
        <w:tc>
          <w:tcPr>
            <w:tcW w:w="6237" w:type="dxa"/>
          </w:tcPr>
          <w:p w14:paraId="4D6F50E0"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See RDS Host for more information.</w:t>
            </w:r>
          </w:p>
        </w:tc>
      </w:tr>
      <w:tr w:rsidR="00E55491" w14:paraId="2D976760" w14:textId="77777777" w:rsidTr="00281329">
        <w:tc>
          <w:tcPr>
            <w:cnfStyle w:val="001000000000" w:firstRow="0" w:lastRow="0" w:firstColumn="1" w:lastColumn="0" w:oddVBand="0" w:evenVBand="0" w:oddHBand="0" w:evenHBand="0" w:firstRowFirstColumn="0" w:firstRowLastColumn="0" w:lastRowFirstColumn="0" w:lastRowLastColumn="0"/>
            <w:tcW w:w="4248" w:type="dxa"/>
            <w:shd w:val="clear" w:color="auto" w:fill="F2F2F2" w:themeFill="background1" w:themeFillShade="F2"/>
          </w:tcPr>
          <w:p w14:paraId="0BFE7F7D" w14:textId="77777777" w:rsidR="00E55491" w:rsidRPr="00EE7DF4" w:rsidRDefault="00E55491" w:rsidP="00281329">
            <w:pPr>
              <w:pStyle w:val="Tablecontent"/>
            </w:pPr>
            <w:r w:rsidRPr="00EE7DF4">
              <w:rPr>
                <w:b w:val="0"/>
                <w:bCs w:val="0"/>
              </w:rPr>
              <w:t xml:space="preserve">Worst CPU Context Switch </w:t>
            </w:r>
          </w:p>
          <w:p w14:paraId="3D6D95B5" w14:textId="77777777" w:rsidR="00E55491" w:rsidRDefault="00E55491" w:rsidP="00281329">
            <w:pPr>
              <w:pStyle w:val="Tablecontent"/>
            </w:pPr>
            <w:r w:rsidRPr="00694A55">
              <w:rPr>
                <w:b w:val="0"/>
                <w:bCs w:val="0"/>
              </w:rPr>
              <w:t xml:space="preserve">Worst </w:t>
            </w:r>
            <w:r>
              <w:rPr>
                <w:b w:val="0"/>
                <w:bCs w:val="0"/>
              </w:rPr>
              <w:t>Memory Page-in Rate</w:t>
            </w:r>
          </w:p>
          <w:p w14:paraId="30151C8B" w14:textId="77777777" w:rsidR="00E55491" w:rsidRPr="00954CE2" w:rsidRDefault="00E55491" w:rsidP="00281329">
            <w:pPr>
              <w:pStyle w:val="Tablecontent"/>
            </w:pPr>
            <w:r>
              <w:rPr>
                <w:b w:val="0"/>
                <w:bCs w:val="0"/>
              </w:rPr>
              <w:t>Worst Disk Queue</w:t>
            </w:r>
          </w:p>
        </w:tc>
        <w:tc>
          <w:tcPr>
            <w:tcW w:w="6237" w:type="dxa"/>
          </w:tcPr>
          <w:p w14:paraId="34F4C787" w14:textId="77777777"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See RDS Host for more information.</w:t>
            </w:r>
          </w:p>
        </w:tc>
      </w:tr>
    </w:tbl>
    <w:p w14:paraId="2465A5D8" w14:textId="77777777" w:rsidR="00E55491" w:rsidRDefault="00E55491" w:rsidP="00E55491">
      <w:pPr>
        <w:pStyle w:val="BeforeTable"/>
      </w:pPr>
    </w:p>
    <w:p w14:paraId="6A980C62" w14:textId="77777777" w:rsidR="00E55491" w:rsidRDefault="00E55491" w:rsidP="00E55491">
      <w:r>
        <w:t>Next, check if there is a problem outside Windows, meaning at the VM or below.</w:t>
      </w:r>
    </w:p>
    <w:p w14:paraId="661FFF4A" w14:textId="77777777" w:rsidR="00E55491" w:rsidRDefault="00E55491" w:rsidP="00E55491">
      <w:pPr>
        <w:pStyle w:val="BeforeTable"/>
      </w:pPr>
    </w:p>
    <w:tbl>
      <w:tblPr>
        <w:tblStyle w:val="GridTable1Light-Accent3"/>
        <w:tblW w:w="10485" w:type="dxa"/>
        <w:tblBorders>
          <w:top w:val="single" w:sz="4" w:space="0" w:color="D9D9D9" w:themeColor="background1" w:themeShade="D9"/>
          <w:left w:val="none" w:sz="0" w:space="0" w:color="auto"/>
          <w:bottom w:val="single" w:sz="4" w:space="0" w:color="D9D9D9" w:themeColor="background1" w:themeShade="D9"/>
          <w:right w:val="none" w:sz="0" w:space="0" w:color="auto"/>
          <w:insideH w:val="none" w:sz="0" w:space="0" w:color="auto"/>
          <w:insideV w:val="none" w:sz="0" w:space="0" w:color="auto"/>
        </w:tblBorders>
        <w:tblCellMar>
          <w:top w:w="57" w:type="dxa"/>
          <w:bottom w:w="57" w:type="dxa"/>
        </w:tblCellMar>
        <w:tblLook w:val="0480" w:firstRow="0" w:lastRow="0" w:firstColumn="1" w:lastColumn="0" w:noHBand="0" w:noVBand="1"/>
      </w:tblPr>
      <w:tblGrid>
        <w:gridCol w:w="2948"/>
        <w:gridCol w:w="7537"/>
      </w:tblGrid>
      <w:tr w:rsidR="00E55491" w14:paraId="193D97E3"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7491A51A" w14:textId="77777777" w:rsidR="00E55491" w:rsidRDefault="00E55491" w:rsidP="00281329">
            <w:pPr>
              <w:pStyle w:val="Tablecontent"/>
            </w:pPr>
            <w:r>
              <w:rPr>
                <w:b w:val="0"/>
                <w:bCs w:val="0"/>
              </w:rPr>
              <w:t>Worst CPU Co-stop (%)</w:t>
            </w:r>
          </w:p>
          <w:p w14:paraId="1277D3E1" w14:textId="77777777" w:rsidR="00E55491" w:rsidRDefault="00E55491" w:rsidP="00281329">
            <w:pPr>
              <w:pStyle w:val="Tablecontent"/>
            </w:pPr>
            <w:r w:rsidRPr="00DE4F26">
              <w:rPr>
                <w:b w:val="0"/>
                <w:bCs w:val="0"/>
              </w:rPr>
              <w:t xml:space="preserve">Worst </w:t>
            </w:r>
            <w:r>
              <w:rPr>
                <w:b w:val="0"/>
                <w:bCs w:val="0"/>
              </w:rPr>
              <w:t>CPU Ready (%)</w:t>
            </w:r>
          </w:p>
          <w:p w14:paraId="1A0814EA" w14:textId="77777777" w:rsidR="00E55491" w:rsidRDefault="00E55491" w:rsidP="00281329">
            <w:pPr>
              <w:pStyle w:val="Tablecontent"/>
            </w:pPr>
            <w:r w:rsidRPr="00694A55">
              <w:rPr>
                <w:b w:val="0"/>
                <w:bCs w:val="0"/>
              </w:rPr>
              <w:t>Worst Memory Contention</w:t>
            </w:r>
          </w:p>
          <w:p w14:paraId="431714FF" w14:textId="77777777" w:rsidR="00E55491" w:rsidRDefault="00E55491" w:rsidP="00281329">
            <w:pPr>
              <w:pStyle w:val="Tablecontent"/>
            </w:pPr>
            <w:r w:rsidRPr="00694A55">
              <w:rPr>
                <w:b w:val="0"/>
                <w:bCs w:val="0"/>
              </w:rPr>
              <w:t xml:space="preserve">Worst </w:t>
            </w:r>
            <w:r>
              <w:rPr>
                <w:b w:val="0"/>
                <w:bCs w:val="0"/>
              </w:rPr>
              <w:t>vDisk Read Latency</w:t>
            </w:r>
          </w:p>
          <w:p w14:paraId="678D591F" w14:textId="77777777" w:rsidR="00E55491" w:rsidRDefault="00E55491" w:rsidP="00281329">
            <w:pPr>
              <w:pStyle w:val="Tablecontent"/>
              <w:rPr>
                <w:b w:val="0"/>
                <w:bCs w:val="0"/>
              </w:rPr>
            </w:pPr>
            <w:r>
              <w:rPr>
                <w:b w:val="0"/>
                <w:bCs w:val="0"/>
              </w:rPr>
              <w:t>Worst vDisk Write Latency</w:t>
            </w:r>
          </w:p>
        </w:tc>
        <w:tc>
          <w:tcPr>
            <w:tcW w:w="7537" w:type="dxa"/>
          </w:tcPr>
          <w:p w14:paraId="34A0D5FA" w14:textId="77777777"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See RDS Host for more information.</w:t>
            </w:r>
          </w:p>
        </w:tc>
      </w:tr>
    </w:tbl>
    <w:p w14:paraId="6AF89E8D" w14:textId="77777777" w:rsidR="00E55491" w:rsidRDefault="00E55491" w:rsidP="00E55491">
      <w:pPr>
        <w:pStyle w:val="BeforeTable"/>
      </w:pPr>
    </w:p>
    <w:p w14:paraId="5EE7852D" w14:textId="77777777" w:rsidR="00E55491" w:rsidRDefault="00E55491" w:rsidP="00E55491">
      <w:r>
        <w:t>The above is for Data Center, check if there is a problem in the network.</w:t>
      </w:r>
    </w:p>
    <w:p w14:paraId="72ECF639" w14:textId="77777777" w:rsidR="00E55491" w:rsidRDefault="00E55491" w:rsidP="00E55491">
      <w:pPr>
        <w:pStyle w:val="BeforeTable"/>
      </w:pPr>
    </w:p>
    <w:tbl>
      <w:tblPr>
        <w:tblStyle w:val="GridTable1Light-Accent3"/>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none" w:sz="0" w:space="0" w:color="auto"/>
          <w:insideV w:val="none" w:sz="0" w:space="0" w:color="auto"/>
        </w:tblBorders>
        <w:tblCellMar>
          <w:top w:w="57" w:type="dxa"/>
          <w:bottom w:w="57" w:type="dxa"/>
        </w:tblCellMar>
        <w:tblLook w:val="0480" w:firstRow="0" w:lastRow="0" w:firstColumn="1" w:lastColumn="0" w:noHBand="0" w:noVBand="1"/>
      </w:tblPr>
      <w:tblGrid>
        <w:gridCol w:w="5098"/>
        <w:gridCol w:w="5358"/>
      </w:tblGrid>
      <w:tr w:rsidR="00E55491" w14:paraId="2FFCA6F7" w14:textId="77777777" w:rsidTr="00281329">
        <w:tc>
          <w:tcPr>
            <w:cnfStyle w:val="001000000000" w:firstRow="0" w:lastRow="0" w:firstColumn="1" w:lastColumn="0" w:oddVBand="0" w:evenVBand="0" w:oddHBand="0" w:evenHBand="0" w:firstRowFirstColumn="0" w:firstRowLastColumn="0" w:lastRowFirstColumn="0" w:lastRowLastColumn="0"/>
            <w:tcW w:w="5098" w:type="dxa"/>
            <w:shd w:val="clear" w:color="auto" w:fill="F2F2F2" w:themeFill="background1" w:themeFillShade="F2"/>
          </w:tcPr>
          <w:p w14:paraId="07AED19C" w14:textId="77777777" w:rsidR="00E55491" w:rsidRPr="00472AD8" w:rsidRDefault="00E55491" w:rsidP="00281329">
            <w:pPr>
              <w:pStyle w:val="Tablecontent"/>
              <w:rPr>
                <w:b w:val="0"/>
                <w:bCs w:val="0"/>
              </w:rPr>
            </w:pPr>
            <w:r w:rsidRPr="00472AD8">
              <w:rPr>
                <w:b w:val="0"/>
                <w:bCs w:val="0"/>
              </w:rPr>
              <w:t>Worst Protocol Latency</w:t>
            </w:r>
            <w:r>
              <w:rPr>
                <w:b w:val="0"/>
                <w:bCs w:val="0"/>
              </w:rPr>
              <w:t xml:space="preserve"> (ms)</w:t>
            </w:r>
          </w:p>
          <w:p w14:paraId="58AC0C89" w14:textId="77777777" w:rsidR="00E55491" w:rsidRPr="00472AD8" w:rsidRDefault="00E55491" w:rsidP="00281329">
            <w:pPr>
              <w:pStyle w:val="Tablecontent"/>
              <w:rPr>
                <w:b w:val="0"/>
                <w:bCs w:val="0"/>
              </w:rPr>
            </w:pPr>
            <w:r w:rsidRPr="00472AD8">
              <w:rPr>
                <w:b w:val="0"/>
                <w:bCs w:val="0"/>
              </w:rPr>
              <w:t>Worst Protocol Received Packet Loss</w:t>
            </w:r>
            <w:r>
              <w:rPr>
                <w:b w:val="0"/>
                <w:bCs w:val="0"/>
              </w:rPr>
              <w:t xml:space="preserve"> (%)</w:t>
            </w:r>
          </w:p>
          <w:p w14:paraId="5B69CCD1" w14:textId="77777777" w:rsidR="00E55491" w:rsidRDefault="00E55491" w:rsidP="00281329">
            <w:pPr>
              <w:pStyle w:val="Tablecontent"/>
            </w:pPr>
            <w:r w:rsidRPr="00472AD8">
              <w:rPr>
                <w:b w:val="0"/>
                <w:bCs w:val="0"/>
              </w:rPr>
              <w:t>Worst Protocol Transmit Packet Loss</w:t>
            </w:r>
            <w:r>
              <w:rPr>
                <w:b w:val="0"/>
                <w:bCs w:val="0"/>
              </w:rPr>
              <w:t xml:space="preserve"> (%)</w:t>
            </w:r>
          </w:p>
          <w:p w14:paraId="04E36118" w14:textId="77777777" w:rsidR="00E55491" w:rsidRDefault="00E55491" w:rsidP="00281329">
            <w:pPr>
              <w:pStyle w:val="Tablecontent"/>
            </w:pPr>
            <w:r w:rsidRPr="00472AD8">
              <w:rPr>
                <w:b w:val="0"/>
                <w:bCs w:val="0"/>
              </w:rPr>
              <w:t xml:space="preserve">Worst </w:t>
            </w:r>
            <w:r>
              <w:rPr>
                <w:b w:val="0"/>
                <w:bCs w:val="0"/>
              </w:rPr>
              <w:t>time taken to load profile</w:t>
            </w:r>
          </w:p>
          <w:p w14:paraId="2210902A" w14:textId="77777777" w:rsidR="00E55491" w:rsidRDefault="00E55491" w:rsidP="00281329">
            <w:pPr>
              <w:pStyle w:val="Tablecontent"/>
            </w:pPr>
            <w:r>
              <w:rPr>
                <w:b w:val="0"/>
                <w:bCs w:val="0"/>
              </w:rPr>
              <w:t>Worst time taken to logon</w:t>
            </w:r>
          </w:p>
        </w:tc>
        <w:tc>
          <w:tcPr>
            <w:tcW w:w="5358" w:type="dxa"/>
          </w:tcPr>
          <w:p w14:paraId="707768CE"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See RDS Session for more information.</w:t>
            </w:r>
          </w:p>
        </w:tc>
      </w:tr>
    </w:tbl>
    <w:p w14:paraId="0A9E1C96" w14:textId="77777777" w:rsidR="00E55491" w:rsidRDefault="00E55491" w:rsidP="00E55491">
      <w:pPr>
        <w:pStyle w:val="BeforeTable"/>
      </w:pPr>
    </w:p>
    <w:p w14:paraId="6EBB6B93" w14:textId="77777777" w:rsidR="00E55491" w:rsidRDefault="00E55491" w:rsidP="00E55491">
      <w:r>
        <w:t>If the Worst() metric-type show something is wrong, then you want to know many hosts or sessions are affected. This is where the Count() metric-type come in.</w:t>
      </w:r>
    </w:p>
    <w:p w14:paraId="271AD260" w14:textId="77777777" w:rsidR="00E55491" w:rsidRDefault="00E55491" w:rsidP="00E55491">
      <w:pPr>
        <w:pStyle w:val="BeforeTable"/>
      </w:pPr>
    </w:p>
    <w:tbl>
      <w:tblPr>
        <w:tblStyle w:val="GridTable1Light-Accent3"/>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CellMar>
          <w:top w:w="57" w:type="dxa"/>
          <w:bottom w:w="57" w:type="dxa"/>
        </w:tblCellMar>
        <w:tblLook w:val="0480" w:firstRow="0" w:lastRow="0" w:firstColumn="1" w:lastColumn="0" w:noHBand="0" w:noVBand="1"/>
      </w:tblPr>
      <w:tblGrid>
        <w:gridCol w:w="5098"/>
        <w:gridCol w:w="5358"/>
      </w:tblGrid>
      <w:tr w:rsidR="00E55491" w14:paraId="6767A7C5" w14:textId="77777777" w:rsidTr="00281329">
        <w:tc>
          <w:tcPr>
            <w:cnfStyle w:val="001000000000" w:firstRow="0" w:lastRow="0" w:firstColumn="1" w:lastColumn="0" w:oddVBand="0" w:evenVBand="0" w:oddHBand="0" w:evenHBand="0" w:firstRowFirstColumn="0" w:firstRowLastColumn="0" w:lastRowFirstColumn="0" w:lastRowLastColumn="0"/>
            <w:tcW w:w="5098" w:type="dxa"/>
            <w:shd w:val="clear" w:color="auto" w:fill="F2F2F2" w:themeFill="background1" w:themeFillShade="F2"/>
          </w:tcPr>
          <w:p w14:paraId="4B057CF9" w14:textId="77777777" w:rsidR="00E55491" w:rsidRPr="00694A55" w:rsidRDefault="00E55491" w:rsidP="00281329">
            <w:pPr>
              <w:pStyle w:val="Tablecontent"/>
              <w:rPr>
                <w:b w:val="0"/>
                <w:bCs w:val="0"/>
              </w:rPr>
            </w:pPr>
            <w:r>
              <w:rPr>
                <w:b w:val="0"/>
                <w:bCs w:val="0"/>
              </w:rPr>
              <w:t xml:space="preserve">RDS Hosts </w:t>
            </w:r>
            <w:r w:rsidRPr="001E66A0">
              <w:rPr>
                <w:b w:val="0"/>
                <w:bCs w:val="0"/>
              </w:rPr>
              <w:t>with high disk latency</w:t>
            </w:r>
          </w:p>
        </w:tc>
        <w:tc>
          <w:tcPr>
            <w:tcW w:w="5358" w:type="dxa"/>
          </w:tcPr>
          <w:p w14:paraId="2C983CF7"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Number of hosts with disk latency &gt; 20 ms</w:t>
            </w:r>
          </w:p>
        </w:tc>
      </w:tr>
      <w:tr w:rsidR="00E55491" w14:paraId="744CEE3A" w14:textId="77777777" w:rsidTr="00281329">
        <w:tc>
          <w:tcPr>
            <w:cnfStyle w:val="001000000000" w:firstRow="0" w:lastRow="0" w:firstColumn="1" w:lastColumn="0" w:oddVBand="0" w:evenVBand="0" w:oddHBand="0" w:evenHBand="0" w:firstRowFirstColumn="0" w:firstRowLastColumn="0" w:lastRowFirstColumn="0" w:lastRowLastColumn="0"/>
            <w:tcW w:w="5098" w:type="dxa"/>
            <w:shd w:val="clear" w:color="auto" w:fill="F2F2F2" w:themeFill="background1" w:themeFillShade="F2"/>
          </w:tcPr>
          <w:p w14:paraId="0E9C1AD1" w14:textId="77777777" w:rsidR="00E55491" w:rsidRPr="00863F93" w:rsidRDefault="00E55491" w:rsidP="00281329">
            <w:pPr>
              <w:pStyle w:val="Tablecontent"/>
              <w:rPr>
                <w:b w:val="0"/>
                <w:bCs w:val="0"/>
              </w:rPr>
            </w:pPr>
            <w:r>
              <w:rPr>
                <w:b w:val="0"/>
                <w:bCs w:val="0"/>
              </w:rPr>
              <w:t xml:space="preserve">RDS Sessions with protocol latency </w:t>
            </w:r>
          </w:p>
          <w:p w14:paraId="15BD8D22" w14:textId="77777777" w:rsidR="00E55491" w:rsidRDefault="00E55491" w:rsidP="00281329">
            <w:pPr>
              <w:pStyle w:val="Tablecontent"/>
            </w:pPr>
            <w:r>
              <w:rPr>
                <w:b w:val="0"/>
                <w:bCs w:val="0"/>
              </w:rPr>
              <w:t>RDS Sessions with protocol receive dropped packet</w:t>
            </w:r>
          </w:p>
          <w:p w14:paraId="23DC1696" w14:textId="77777777" w:rsidR="00E55491" w:rsidRPr="001E66A0" w:rsidRDefault="00E55491" w:rsidP="00281329">
            <w:pPr>
              <w:pStyle w:val="Tablecontent"/>
              <w:rPr>
                <w:b w:val="0"/>
                <w:bCs w:val="0"/>
              </w:rPr>
            </w:pPr>
            <w:r>
              <w:rPr>
                <w:b w:val="0"/>
                <w:bCs w:val="0"/>
              </w:rPr>
              <w:t>RDS Sessions with protocol transmit dropped packet</w:t>
            </w:r>
          </w:p>
        </w:tc>
        <w:tc>
          <w:tcPr>
            <w:tcW w:w="5358" w:type="dxa"/>
          </w:tcPr>
          <w:p w14:paraId="4D5B4C09"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 threshold used is above 50 ms</w:t>
            </w:r>
          </w:p>
          <w:p w14:paraId="4280E36A"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 threshold used is above 0.5%</w:t>
            </w:r>
          </w:p>
          <w:p w14:paraId="65A133CB"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 threshold used is above 0.5%</w:t>
            </w:r>
          </w:p>
        </w:tc>
      </w:tr>
    </w:tbl>
    <w:p w14:paraId="465C0E19" w14:textId="77777777" w:rsidR="00E55491" w:rsidRDefault="00E55491" w:rsidP="00E55491">
      <w:pPr>
        <w:pStyle w:val="Heading5"/>
      </w:pPr>
      <w:r>
        <w:t>Utilization Metrics</w:t>
      </w:r>
    </w:p>
    <w:p w14:paraId="5495A5A1" w14:textId="77777777" w:rsidR="00E55491" w:rsidRDefault="00E55491" w:rsidP="00E55491">
      <w:r>
        <w:t>One common reason behind contention is high utilization. Not all usage metrics are relevant to performance, so the following only lists the relevant ones.</w:t>
      </w:r>
    </w:p>
    <w:p w14:paraId="0BFFF572" w14:textId="77777777" w:rsidR="00E55491" w:rsidRDefault="00E55491" w:rsidP="00E55491">
      <w:r>
        <w:t>We take the same approach we did for contention metrics, which is start with Worst() then follow by Count(). The following are the Worst() metric type:</w:t>
      </w:r>
    </w:p>
    <w:p w14:paraId="7577D5BA" w14:textId="77777777" w:rsidR="00E55491" w:rsidRPr="001E66A0" w:rsidRDefault="00E55491" w:rsidP="00E55491">
      <w:pPr>
        <w:pStyle w:val="BeforeTable"/>
      </w:pPr>
    </w:p>
    <w:tbl>
      <w:tblPr>
        <w:tblStyle w:val="GridTable1Light-Accent3"/>
        <w:tblW w:w="10485" w:type="dxa"/>
        <w:tblBorders>
          <w:top w:val="single" w:sz="4" w:space="0" w:color="D9D9D9" w:themeColor="background1" w:themeShade="D9"/>
          <w:left w:val="none" w:sz="0" w:space="0" w:color="auto"/>
          <w:bottom w:val="single" w:sz="4" w:space="0" w:color="D9D9D9" w:themeColor="background1" w:themeShade="D9"/>
          <w:right w:val="none" w:sz="0" w:space="0" w:color="auto"/>
          <w:insideH w:val="none" w:sz="0" w:space="0" w:color="auto"/>
          <w:insideV w:val="none" w:sz="0" w:space="0" w:color="auto"/>
        </w:tblBorders>
        <w:tblCellMar>
          <w:top w:w="57" w:type="dxa"/>
          <w:bottom w:w="57" w:type="dxa"/>
        </w:tblCellMar>
        <w:tblLook w:val="0480" w:firstRow="0" w:lastRow="0" w:firstColumn="1" w:lastColumn="0" w:noHBand="0" w:noVBand="1"/>
      </w:tblPr>
      <w:tblGrid>
        <w:gridCol w:w="5112"/>
        <w:gridCol w:w="5373"/>
      </w:tblGrid>
      <w:tr w:rsidR="00E55491" w14:paraId="5F1FCA23" w14:textId="77777777" w:rsidTr="00281329">
        <w:tc>
          <w:tcPr>
            <w:cnfStyle w:val="001000000000" w:firstRow="0" w:lastRow="0" w:firstColumn="1" w:lastColumn="0" w:oddVBand="0" w:evenVBand="0" w:oddHBand="0" w:evenHBand="0" w:firstRowFirstColumn="0" w:firstRowLastColumn="0" w:lastRowFirstColumn="0" w:lastRowLastColumn="0"/>
            <w:tcW w:w="5112" w:type="dxa"/>
            <w:shd w:val="clear" w:color="auto" w:fill="F2F2F2" w:themeFill="background1" w:themeFillShade="F2"/>
          </w:tcPr>
          <w:p w14:paraId="114F2D12" w14:textId="77777777" w:rsidR="00E55491" w:rsidRDefault="00E55491" w:rsidP="00281329">
            <w:pPr>
              <w:pStyle w:val="Tablecontent"/>
            </w:pPr>
            <w:r>
              <w:rPr>
                <w:b w:val="0"/>
                <w:bCs w:val="0"/>
              </w:rPr>
              <w:t>Peak CPU Utilization among RDS Hosts (%)</w:t>
            </w:r>
          </w:p>
          <w:p w14:paraId="2580BF9E" w14:textId="77777777" w:rsidR="00E55491" w:rsidRPr="00694A55" w:rsidRDefault="00E55491" w:rsidP="00281329">
            <w:pPr>
              <w:pStyle w:val="Tablecontent"/>
            </w:pPr>
            <w:r>
              <w:rPr>
                <w:b w:val="0"/>
                <w:bCs w:val="0"/>
              </w:rPr>
              <w:t>Lowest Free Memory among RDS Hosts (MB)</w:t>
            </w:r>
          </w:p>
        </w:tc>
        <w:tc>
          <w:tcPr>
            <w:tcW w:w="5373" w:type="dxa"/>
          </w:tcPr>
          <w:p w14:paraId="5743CD17" w14:textId="77777777"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See RDS Sessions for more information</w:t>
            </w:r>
          </w:p>
        </w:tc>
      </w:tr>
    </w:tbl>
    <w:p w14:paraId="619A984C" w14:textId="77777777" w:rsidR="00E55491" w:rsidRDefault="00E55491" w:rsidP="00E55491">
      <w:pPr>
        <w:pStyle w:val="BeforeTable"/>
      </w:pPr>
    </w:p>
    <w:p w14:paraId="02D197EB" w14:textId="77777777" w:rsidR="00E55491" w:rsidRDefault="00E55491" w:rsidP="00E55491">
      <w:r>
        <w:t>If the above shows something is wrong, then you want to know many hosts are affected. This is where the Count() metric-type come in.</w:t>
      </w:r>
    </w:p>
    <w:p w14:paraId="3DBDD2F6" w14:textId="77777777" w:rsidR="00E55491" w:rsidRDefault="00E55491" w:rsidP="00E55491">
      <w:pPr>
        <w:pStyle w:val="BeforeTable"/>
      </w:pPr>
    </w:p>
    <w:tbl>
      <w:tblPr>
        <w:tblStyle w:val="GridTable1Light-Accent3"/>
        <w:tblW w:w="10485" w:type="dxa"/>
        <w:tblBorders>
          <w:top w:val="single" w:sz="4" w:space="0" w:color="D9D9D9" w:themeColor="background1" w:themeShade="D9"/>
          <w:left w:val="none" w:sz="0" w:space="0" w:color="auto"/>
          <w:bottom w:val="single" w:sz="4" w:space="0" w:color="D9D9D9" w:themeColor="background1" w:themeShade="D9"/>
          <w:right w:val="none" w:sz="0" w:space="0" w:color="auto"/>
          <w:insideH w:val="none" w:sz="0" w:space="0" w:color="auto"/>
          <w:insideV w:val="none" w:sz="0" w:space="0" w:color="auto"/>
        </w:tblBorders>
        <w:tblCellMar>
          <w:top w:w="57" w:type="dxa"/>
          <w:bottom w:w="57" w:type="dxa"/>
        </w:tblCellMar>
        <w:tblLook w:val="0480" w:firstRow="0" w:lastRow="0" w:firstColumn="1" w:lastColumn="0" w:noHBand="0" w:noVBand="1"/>
      </w:tblPr>
      <w:tblGrid>
        <w:gridCol w:w="5112"/>
        <w:gridCol w:w="5373"/>
      </w:tblGrid>
      <w:tr w:rsidR="00E55491" w14:paraId="684165C6" w14:textId="77777777" w:rsidTr="00281329">
        <w:tc>
          <w:tcPr>
            <w:cnfStyle w:val="001000000000" w:firstRow="0" w:lastRow="0" w:firstColumn="1" w:lastColumn="0" w:oddVBand="0" w:evenVBand="0" w:oddHBand="0" w:evenHBand="0" w:firstRowFirstColumn="0" w:firstRowLastColumn="0" w:lastRowFirstColumn="0" w:lastRowLastColumn="0"/>
            <w:tcW w:w="5112" w:type="dxa"/>
            <w:shd w:val="clear" w:color="auto" w:fill="F2F2F2" w:themeFill="background1" w:themeFillShade="F2"/>
          </w:tcPr>
          <w:p w14:paraId="3652F0E0" w14:textId="77777777" w:rsidR="00E55491" w:rsidRPr="001E66A0" w:rsidRDefault="00E55491" w:rsidP="00281329">
            <w:pPr>
              <w:pStyle w:val="Tablecontent"/>
              <w:rPr>
                <w:b w:val="0"/>
                <w:bCs w:val="0"/>
              </w:rPr>
            </w:pPr>
            <w:r>
              <w:rPr>
                <w:b w:val="0"/>
                <w:bCs w:val="0"/>
              </w:rPr>
              <w:t>RDS Hosts</w:t>
            </w:r>
            <w:r w:rsidRPr="001E66A0">
              <w:rPr>
                <w:b w:val="0"/>
                <w:bCs w:val="0"/>
              </w:rPr>
              <w:t xml:space="preserve"> with high CPU utilization</w:t>
            </w:r>
          </w:p>
          <w:p w14:paraId="26EF9320" w14:textId="77777777" w:rsidR="00E55491" w:rsidRPr="001E66A0" w:rsidRDefault="00E55491" w:rsidP="00281329">
            <w:pPr>
              <w:pStyle w:val="Tablecontent"/>
              <w:rPr>
                <w:b w:val="0"/>
                <w:bCs w:val="0"/>
              </w:rPr>
            </w:pPr>
            <w:r>
              <w:rPr>
                <w:b w:val="0"/>
                <w:bCs w:val="0"/>
              </w:rPr>
              <w:lastRenderedPageBreak/>
              <w:t>RDS Hosts</w:t>
            </w:r>
            <w:r w:rsidRPr="001E66A0">
              <w:rPr>
                <w:b w:val="0"/>
                <w:bCs w:val="0"/>
              </w:rPr>
              <w:t xml:space="preserve"> with low available memory</w:t>
            </w:r>
          </w:p>
        </w:tc>
        <w:tc>
          <w:tcPr>
            <w:tcW w:w="5373" w:type="dxa"/>
          </w:tcPr>
          <w:p w14:paraId="4FEBEC9E"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lastRenderedPageBreak/>
              <w:t>The threshold used is above 95%</w:t>
            </w:r>
          </w:p>
          <w:p w14:paraId="28E159DE" w14:textId="77777777"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lastRenderedPageBreak/>
              <w:t>The threshold used is above 500 MB</w:t>
            </w:r>
          </w:p>
        </w:tc>
      </w:tr>
    </w:tbl>
    <w:p w14:paraId="2FEA4BC0" w14:textId="77777777" w:rsidR="00E55491" w:rsidRDefault="00E55491" w:rsidP="00E55491">
      <w:pPr>
        <w:pStyle w:val="BeforeTable"/>
      </w:pPr>
    </w:p>
    <w:p w14:paraId="4A68D107" w14:textId="77777777" w:rsidR="00E55491" w:rsidRDefault="00E55491" w:rsidP="00E55491">
      <w:r>
        <w:t>The problem could be caused by imbalance among the RDS Hosts. The imbalance metric-type shows that.</w:t>
      </w:r>
    </w:p>
    <w:p w14:paraId="3227CFF0" w14:textId="77777777" w:rsidR="00E55491" w:rsidRDefault="00E55491" w:rsidP="00E55491">
      <w:pPr>
        <w:pStyle w:val="BeforeTable"/>
      </w:pPr>
    </w:p>
    <w:tbl>
      <w:tblPr>
        <w:tblStyle w:val="GridTable1Light-Accent3"/>
        <w:tblW w:w="10485" w:type="dxa"/>
        <w:tblBorders>
          <w:top w:val="single" w:sz="4" w:space="0" w:color="D9D9D9" w:themeColor="background1" w:themeShade="D9"/>
          <w:left w:val="none" w:sz="0" w:space="0" w:color="auto"/>
          <w:bottom w:val="single" w:sz="4" w:space="0" w:color="D9D9D9" w:themeColor="background1" w:themeShade="D9"/>
          <w:right w:val="none" w:sz="0" w:space="0" w:color="auto"/>
          <w:insideH w:val="none" w:sz="0" w:space="0" w:color="auto"/>
          <w:insideV w:val="none" w:sz="0" w:space="0" w:color="auto"/>
        </w:tblBorders>
        <w:tblCellMar>
          <w:top w:w="57" w:type="dxa"/>
          <w:bottom w:w="57" w:type="dxa"/>
        </w:tblCellMar>
        <w:tblLook w:val="0480" w:firstRow="0" w:lastRow="0" w:firstColumn="1" w:lastColumn="0" w:noHBand="0" w:noVBand="1"/>
      </w:tblPr>
      <w:tblGrid>
        <w:gridCol w:w="5112"/>
        <w:gridCol w:w="5373"/>
      </w:tblGrid>
      <w:tr w:rsidR="00E55491" w14:paraId="17B858C7" w14:textId="77777777" w:rsidTr="00281329">
        <w:tc>
          <w:tcPr>
            <w:cnfStyle w:val="001000000000" w:firstRow="0" w:lastRow="0" w:firstColumn="1" w:lastColumn="0" w:oddVBand="0" w:evenVBand="0" w:oddHBand="0" w:evenHBand="0" w:firstRowFirstColumn="0" w:firstRowLastColumn="0" w:lastRowFirstColumn="0" w:lastRowLastColumn="0"/>
            <w:tcW w:w="5112" w:type="dxa"/>
            <w:shd w:val="clear" w:color="auto" w:fill="F2F2F2" w:themeFill="background1" w:themeFillShade="F2"/>
          </w:tcPr>
          <w:p w14:paraId="3C60EE39" w14:textId="77777777" w:rsidR="00E55491" w:rsidRDefault="00E55491" w:rsidP="00281329">
            <w:pPr>
              <w:pStyle w:val="Tablecontent"/>
            </w:pPr>
            <w:r>
              <w:rPr>
                <w:b w:val="0"/>
                <w:bCs w:val="0"/>
              </w:rPr>
              <w:t>Memory Usage Disparity among RDS Hosts (MB)</w:t>
            </w:r>
          </w:p>
          <w:p w14:paraId="6D9FD7D9" w14:textId="77777777" w:rsidR="00E55491" w:rsidRDefault="00E55491" w:rsidP="00281329">
            <w:pPr>
              <w:pStyle w:val="Tablecontent"/>
            </w:pPr>
            <w:r>
              <w:rPr>
                <w:b w:val="0"/>
                <w:bCs w:val="0"/>
              </w:rPr>
              <w:t>CPU Usage Disparity among RDS Hosts (%)</w:t>
            </w:r>
          </w:p>
        </w:tc>
        <w:tc>
          <w:tcPr>
            <w:tcW w:w="5373" w:type="dxa"/>
          </w:tcPr>
          <w:p w14:paraId="28288330"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 xml:space="preserve">The metrics reveal if the load is well balanced. </w:t>
            </w:r>
          </w:p>
          <w:p w14:paraId="353D9CE2"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Note that Load Balancer does not actually balance load. All it does is balance the number of connections. The problem is load on each session varies. Ideally, load balancer balanced on the RDS Host KPI.</w:t>
            </w:r>
          </w:p>
        </w:tc>
      </w:tr>
    </w:tbl>
    <w:p w14:paraId="1632997F" w14:textId="77777777" w:rsidR="00E55491" w:rsidRDefault="00E55491" w:rsidP="00E55491">
      <w:pPr>
        <w:pStyle w:val="BeforeTable"/>
      </w:pPr>
    </w:p>
    <w:p w14:paraId="2E375064" w14:textId="77777777" w:rsidR="00E55491" w:rsidRDefault="00E55491" w:rsidP="00E55491">
      <w:r>
        <w:t>Finally, the high utilization could be caused by farm-wide spike. The average will tell us this.</w:t>
      </w:r>
    </w:p>
    <w:p w14:paraId="1B13C919" w14:textId="77777777" w:rsidR="00E55491" w:rsidRDefault="00E55491" w:rsidP="00E55491">
      <w:pPr>
        <w:pStyle w:val="BeforeTable"/>
      </w:pPr>
    </w:p>
    <w:tbl>
      <w:tblPr>
        <w:tblStyle w:val="GridTable1Light-Accent3"/>
        <w:tblW w:w="10432" w:type="dxa"/>
        <w:tblBorders>
          <w:top w:val="single" w:sz="4" w:space="0" w:color="D9D9D9" w:themeColor="background1" w:themeShade="D9"/>
          <w:left w:val="none" w:sz="0" w:space="0" w:color="auto"/>
          <w:bottom w:val="single" w:sz="4" w:space="0" w:color="D9D9D9" w:themeColor="background1" w:themeShade="D9"/>
          <w:right w:val="none" w:sz="0" w:space="0" w:color="auto"/>
          <w:insideH w:val="none" w:sz="0" w:space="0" w:color="auto"/>
          <w:insideV w:val="none" w:sz="0" w:space="0" w:color="auto"/>
        </w:tblBorders>
        <w:tblCellMar>
          <w:top w:w="57" w:type="dxa"/>
          <w:bottom w:w="57" w:type="dxa"/>
        </w:tblCellMar>
        <w:tblLook w:val="0480" w:firstRow="0" w:lastRow="0" w:firstColumn="1" w:lastColumn="0" w:noHBand="0" w:noVBand="1"/>
      </w:tblPr>
      <w:tblGrid>
        <w:gridCol w:w="2948"/>
        <w:gridCol w:w="7484"/>
      </w:tblGrid>
      <w:tr w:rsidR="00E55491" w14:paraId="2D0C371E"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61168378" w14:textId="77777777" w:rsidR="00E55491" w:rsidRDefault="00E55491" w:rsidP="00281329">
            <w:pPr>
              <w:pStyle w:val="Tablecontent"/>
            </w:pPr>
            <w:r>
              <w:rPr>
                <w:b w:val="0"/>
                <w:bCs w:val="0"/>
              </w:rPr>
              <w:t>Average CPU Usage</w:t>
            </w:r>
          </w:p>
          <w:p w14:paraId="37BE860F" w14:textId="77777777" w:rsidR="00E55491" w:rsidRDefault="00E55491" w:rsidP="00281329">
            <w:pPr>
              <w:pStyle w:val="Tablecontent"/>
              <w:rPr>
                <w:b w:val="0"/>
                <w:bCs w:val="0"/>
              </w:rPr>
            </w:pPr>
            <w:r>
              <w:rPr>
                <w:b w:val="0"/>
                <w:bCs w:val="0"/>
              </w:rPr>
              <w:t>Average Memory Usage</w:t>
            </w:r>
          </w:p>
        </w:tc>
        <w:tc>
          <w:tcPr>
            <w:tcW w:w="7484" w:type="dxa"/>
          </w:tcPr>
          <w:p w14:paraId="2329C3C5"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 xml:space="preserve">These are lagging indicators, so use this as the last resort. </w:t>
            </w:r>
          </w:p>
          <w:p w14:paraId="144819A3" w14:textId="77777777"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If the number is high, and the disparity is high, one of them host is likely saturated.</w:t>
            </w:r>
          </w:p>
        </w:tc>
      </w:tr>
    </w:tbl>
    <w:p w14:paraId="48AB3684" w14:textId="77777777" w:rsidR="00E55491" w:rsidRDefault="00E55491" w:rsidP="00E55491">
      <w:pPr>
        <w:pStyle w:val="BeforeTable"/>
      </w:pPr>
    </w:p>
    <w:p w14:paraId="6B573DC4" w14:textId="77777777" w:rsidR="00E55491" w:rsidRDefault="00E55491" w:rsidP="00E55491">
      <w:r>
        <w:t>Metric wise, RDS Farm differs to RDS Host as it has network metrics. As usual, check the worst first, then the average.</w:t>
      </w:r>
    </w:p>
    <w:p w14:paraId="0CE983EA" w14:textId="77777777" w:rsidR="00E55491" w:rsidRDefault="00E55491" w:rsidP="00E55491">
      <w:pPr>
        <w:pStyle w:val="BeforeTable"/>
      </w:pPr>
    </w:p>
    <w:tbl>
      <w:tblPr>
        <w:tblStyle w:val="GridTable1Light-Accent3"/>
        <w:tblW w:w="10485" w:type="dxa"/>
        <w:tblBorders>
          <w:left w:val="none" w:sz="0" w:space="0" w:color="auto"/>
          <w:right w:val="none" w:sz="0" w:space="0" w:color="auto"/>
          <w:insideV w:val="none" w:sz="0" w:space="0" w:color="auto"/>
        </w:tblBorders>
        <w:tblCellMar>
          <w:top w:w="57" w:type="dxa"/>
          <w:bottom w:w="57" w:type="dxa"/>
        </w:tblCellMar>
        <w:tblLook w:val="0480" w:firstRow="0" w:lastRow="0" w:firstColumn="1" w:lastColumn="0" w:noHBand="0" w:noVBand="1"/>
      </w:tblPr>
      <w:tblGrid>
        <w:gridCol w:w="2948"/>
        <w:gridCol w:w="7537"/>
      </w:tblGrid>
      <w:tr w:rsidR="00E55491" w14:paraId="7F69C381"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75765749" w14:textId="77777777" w:rsidR="00E55491" w:rsidRPr="002C446D" w:rsidRDefault="00E55491" w:rsidP="00281329">
            <w:pPr>
              <w:pStyle w:val="Tablecontent"/>
            </w:pPr>
            <w:r>
              <w:rPr>
                <w:b w:val="0"/>
                <w:bCs w:val="0"/>
              </w:rPr>
              <w:t>Lowest Frame Rate</w:t>
            </w:r>
          </w:p>
        </w:tc>
        <w:tc>
          <w:tcPr>
            <w:tcW w:w="7537" w:type="dxa"/>
          </w:tcPr>
          <w:p w14:paraId="57FF7CF6"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See RDS Host for more information.</w:t>
            </w:r>
          </w:p>
        </w:tc>
      </w:tr>
      <w:tr w:rsidR="00E55491" w14:paraId="61A57430"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177E1969" w14:textId="77777777" w:rsidR="00E55491" w:rsidRDefault="00E55491" w:rsidP="00281329">
            <w:pPr>
              <w:pStyle w:val="Tablecontent"/>
            </w:pPr>
            <w:r w:rsidRPr="00472AD8">
              <w:rPr>
                <w:b w:val="0"/>
                <w:bCs w:val="0"/>
              </w:rPr>
              <w:t>Average Frame Rate</w:t>
            </w:r>
          </w:p>
        </w:tc>
        <w:tc>
          <w:tcPr>
            <w:tcW w:w="7537" w:type="dxa"/>
          </w:tcPr>
          <w:p w14:paraId="5BA19A33"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Is this is below 15 the user experience is affected.</w:t>
            </w:r>
          </w:p>
        </w:tc>
      </w:tr>
      <w:tr w:rsidR="00E55491" w14:paraId="2BDFD7C7"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2367313A" w14:textId="77777777" w:rsidR="00E55491" w:rsidRDefault="00E55491" w:rsidP="00281329">
            <w:pPr>
              <w:pStyle w:val="Tablecontent"/>
            </w:pPr>
            <w:r w:rsidRPr="00472AD8">
              <w:rPr>
                <w:b w:val="0"/>
                <w:bCs w:val="0"/>
              </w:rPr>
              <w:t>Average Transmit Bandwidth</w:t>
            </w:r>
          </w:p>
        </w:tc>
        <w:tc>
          <w:tcPr>
            <w:tcW w:w="7537" w:type="dxa"/>
          </w:tcPr>
          <w:p w14:paraId="48D8451A"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Average among all the sessions. We do not provide the highest among them. If you need it, let us know with the exact problem that requires you to need the information at this level. In the mean time, use super metric.</w:t>
            </w:r>
          </w:p>
        </w:tc>
      </w:tr>
    </w:tbl>
    <w:p w14:paraId="4565C542" w14:textId="77777777" w:rsidR="00E55491" w:rsidRDefault="00E55491" w:rsidP="00E55491">
      <w:pPr>
        <w:pStyle w:val="BeforeTable"/>
      </w:pPr>
    </w:p>
    <w:p w14:paraId="6C4D5841" w14:textId="77777777" w:rsidR="00E55491" w:rsidRDefault="00E55491" w:rsidP="00E55491">
      <w:r>
        <w:t>Disk utilization is less useful in performance troubleshooting for the reason documented in RDS Host object.</w:t>
      </w:r>
    </w:p>
    <w:p w14:paraId="6E3FA94D" w14:textId="77777777" w:rsidR="00E55491" w:rsidRDefault="00E55491" w:rsidP="00E55491">
      <w:pPr>
        <w:pStyle w:val="BeforeTable"/>
      </w:pPr>
    </w:p>
    <w:tbl>
      <w:tblPr>
        <w:tblStyle w:val="GridTable1Light-Accent3"/>
        <w:tblW w:w="10485" w:type="dxa"/>
        <w:tblBorders>
          <w:top w:val="single" w:sz="4" w:space="0" w:color="D9D9D9" w:themeColor="background1" w:themeShade="D9"/>
          <w:left w:val="none" w:sz="0" w:space="0" w:color="auto"/>
          <w:bottom w:val="single" w:sz="4" w:space="0" w:color="D9D9D9" w:themeColor="background1" w:themeShade="D9"/>
          <w:right w:val="none" w:sz="0" w:space="0" w:color="auto"/>
          <w:insideH w:val="none" w:sz="0" w:space="0" w:color="auto"/>
          <w:insideV w:val="none" w:sz="0" w:space="0" w:color="auto"/>
        </w:tblBorders>
        <w:tblCellMar>
          <w:top w:w="57" w:type="dxa"/>
          <w:bottom w:w="57" w:type="dxa"/>
        </w:tblCellMar>
        <w:tblLook w:val="0480" w:firstRow="0" w:lastRow="0" w:firstColumn="1" w:lastColumn="0" w:noHBand="0" w:noVBand="1"/>
      </w:tblPr>
      <w:tblGrid>
        <w:gridCol w:w="2948"/>
        <w:gridCol w:w="7537"/>
      </w:tblGrid>
      <w:tr w:rsidR="00E55491" w14:paraId="40F20B4D"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1B4EDA33" w14:textId="77777777" w:rsidR="00E55491" w:rsidRDefault="00E55491" w:rsidP="00281329">
            <w:pPr>
              <w:pStyle w:val="Tablecontent"/>
            </w:pPr>
            <w:r>
              <w:rPr>
                <w:b w:val="0"/>
                <w:bCs w:val="0"/>
              </w:rPr>
              <w:t>Read IOPS</w:t>
            </w:r>
          </w:p>
          <w:p w14:paraId="3B15874E" w14:textId="77777777" w:rsidR="00E55491" w:rsidRPr="00694A55" w:rsidRDefault="00E55491" w:rsidP="00281329">
            <w:pPr>
              <w:pStyle w:val="Tablecontent"/>
              <w:rPr>
                <w:b w:val="0"/>
                <w:bCs w:val="0"/>
              </w:rPr>
            </w:pPr>
            <w:r w:rsidRPr="00694A55">
              <w:rPr>
                <w:b w:val="0"/>
                <w:bCs w:val="0"/>
              </w:rPr>
              <w:t xml:space="preserve">Write </w:t>
            </w:r>
            <w:r>
              <w:rPr>
                <w:b w:val="0"/>
                <w:bCs w:val="0"/>
              </w:rPr>
              <w:t>IOPS</w:t>
            </w:r>
          </w:p>
          <w:p w14:paraId="43F49EB1" w14:textId="77777777" w:rsidR="00E55491" w:rsidRDefault="00E55491" w:rsidP="00281329">
            <w:pPr>
              <w:pStyle w:val="Tablecontent"/>
            </w:pPr>
            <w:r>
              <w:rPr>
                <w:b w:val="0"/>
                <w:bCs w:val="0"/>
              </w:rPr>
              <w:t>Read Throughput</w:t>
            </w:r>
          </w:p>
          <w:p w14:paraId="1A78C099" w14:textId="77777777" w:rsidR="00E55491" w:rsidRDefault="00E55491" w:rsidP="00281329">
            <w:pPr>
              <w:pStyle w:val="Tablecontent"/>
            </w:pPr>
            <w:r>
              <w:rPr>
                <w:b w:val="0"/>
                <w:bCs w:val="0"/>
              </w:rPr>
              <w:t>Write Throughput</w:t>
            </w:r>
          </w:p>
        </w:tc>
        <w:tc>
          <w:tcPr>
            <w:tcW w:w="7537" w:type="dxa"/>
          </w:tcPr>
          <w:p w14:paraId="25816E52"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 xml:space="preserve">Sum, not average, from all RDS hosts. See RDS Host for more information. </w:t>
            </w:r>
          </w:p>
          <w:p w14:paraId="7172173A"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Make sure this is within what your storage subsystem can handle</w:t>
            </w:r>
          </w:p>
        </w:tc>
      </w:tr>
    </w:tbl>
    <w:p w14:paraId="20A84CEF" w14:textId="77777777" w:rsidR="00E55491" w:rsidRDefault="00E55491" w:rsidP="00E55491">
      <w:pPr>
        <w:pStyle w:val="Heading4"/>
      </w:pPr>
      <w:r>
        <w:t>VDI Session</w:t>
      </w:r>
    </w:p>
    <w:p w14:paraId="739C3CFF" w14:textId="77777777" w:rsidR="00E55491" w:rsidRPr="00441458" w:rsidRDefault="00E55491" w:rsidP="00E55491">
      <w:r>
        <w:t>VDI Session is a VM with Horizon protocol, so the metrics are basically Windows and vSphere metrics.</w:t>
      </w:r>
    </w:p>
    <w:p w14:paraId="4BDCEA1D" w14:textId="77777777" w:rsidR="00E55491" w:rsidRDefault="00E55491" w:rsidP="00E55491">
      <w:pPr>
        <w:pStyle w:val="Heading5"/>
      </w:pPr>
      <w:r>
        <w:lastRenderedPageBreak/>
        <w:t>Contention Metrics</w:t>
      </w:r>
    </w:p>
    <w:p w14:paraId="750E2E87" w14:textId="77777777" w:rsidR="00E55491" w:rsidRDefault="00E55491" w:rsidP="00E55491">
      <w:r>
        <w:t>We included KPI (%) if you need a single metric for ease of reporting or monitoring. It’s the average of DC KPI and Network KPI as both are equally important to the user experience.</w:t>
      </w:r>
    </w:p>
    <w:p w14:paraId="3C1BE2A3" w14:textId="77777777" w:rsidR="00E55491" w:rsidRDefault="00E55491" w:rsidP="00E55491">
      <w:r>
        <w:t xml:space="preserve">VDI Session has the same set of contention metrics as RDS Host object &amp; RDS Session object. So refer to them for the metric description. </w:t>
      </w:r>
    </w:p>
    <w:p w14:paraId="14D248C8" w14:textId="77777777" w:rsidR="00E55491" w:rsidRDefault="00E55491" w:rsidP="00E55491">
      <w:pPr>
        <w:pStyle w:val="BeforeTable"/>
        <w:rPr>
          <w:lang w:val="en-GB"/>
        </w:rPr>
      </w:pPr>
    </w:p>
    <w:tbl>
      <w:tblPr>
        <w:tblStyle w:val="GridTable1Light-Accent3"/>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CellMar>
          <w:top w:w="57" w:type="dxa"/>
          <w:bottom w:w="57" w:type="dxa"/>
        </w:tblCellMar>
        <w:tblLook w:val="0480" w:firstRow="0" w:lastRow="0" w:firstColumn="1" w:lastColumn="0" w:noHBand="0" w:noVBand="1"/>
      </w:tblPr>
      <w:tblGrid>
        <w:gridCol w:w="3681"/>
        <w:gridCol w:w="6775"/>
      </w:tblGrid>
      <w:tr w:rsidR="00E55491" w14:paraId="077D6948" w14:textId="77777777" w:rsidTr="00281329">
        <w:tc>
          <w:tcPr>
            <w:cnfStyle w:val="001000000000" w:firstRow="0" w:lastRow="0" w:firstColumn="1" w:lastColumn="0" w:oddVBand="0" w:evenVBand="0" w:oddHBand="0" w:evenHBand="0" w:firstRowFirstColumn="0" w:firstRowLastColumn="0" w:lastRowFirstColumn="0" w:lastRowLastColumn="0"/>
            <w:tcW w:w="3681" w:type="dxa"/>
            <w:shd w:val="clear" w:color="auto" w:fill="F2F2F2" w:themeFill="background1" w:themeFillShade="F2"/>
          </w:tcPr>
          <w:p w14:paraId="623ED1A8" w14:textId="77777777" w:rsidR="00E55491" w:rsidRPr="00472AD8" w:rsidRDefault="00E55491" w:rsidP="00281329">
            <w:pPr>
              <w:pStyle w:val="Tablecontent"/>
              <w:rPr>
                <w:b w:val="0"/>
                <w:bCs w:val="0"/>
              </w:rPr>
            </w:pPr>
            <w:r w:rsidRPr="00472AD8">
              <w:rPr>
                <w:b w:val="0"/>
                <w:bCs w:val="0"/>
              </w:rPr>
              <w:t>Protocol Latency</w:t>
            </w:r>
            <w:r>
              <w:rPr>
                <w:b w:val="0"/>
                <w:bCs w:val="0"/>
              </w:rPr>
              <w:t xml:space="preserve"> (ms)</w:t>
            </w:r>
          </w:p>
          <w:p w14:paraId="1EFE124B" w14:textId="77777777" w:rsidR="00E55491" w:rsidRPr="00472AD8" w:rsidRDefault="00E55491" w:rsidP="00281329">
            <w:pPr>
              <w:pStyle w:val="Tablecontent"/>
              <w:rPr>
                <w:b w:val="0"/>
                <w:bCs w:val="0"/>
              </w:rPr>
            </w:pPr>
            <w:r w:rsidRPr="00472AD8">
              <w:rPr>
                <w:b w:val="0"/>
                <w:bCs w:val="0"/>
              </w:rPr>
              <w:t>Protocol Received Packet Loss</w:t>
            </w:r>
            <w:r>
              <w:rPr>
                <w:b w:val="0"/>
                <w:bCs w:val="0"/>
              </w:rPr>
              <w:t xml:space="preserve"> (%)</w:t>
            </w:r>
          </w:p>
          <w:p w14:paraId="14108F2E" w14:textId="77777777" w:rsidR="00E55491" w:rsidRDefault="00E55491" w:rsidP="00281329">
            <w:pPr>
              <w:pStyle w:val="Tablecontent"/>
              <w:rPr>
                <w:b w:val="0"/>
                <w:bCs w:val="0"/>
              </w:rPr>
            </w:pPr>
            <w:r w:rsidRPr="00472AD8">
              <w:rPr>
                <w:b w:val="0"/>
                <w:bCs w:val="0"/>
              </w:rPr>
              <w:t>Protocol Transmit Packet Loss</w:t>
            </w:r>
            <w:r>
              <w:rPr>
                <w:b w:val="0"/>
                <w:bCs w:val="0"/>
              </w:rPr>
              <w:t xml:space="preserve"> (%)</w:t>
            </w:r>
          </w:p>
        </w:tc>
        <w:tc>
          <w:tcPr>
            <w:tcW w:w="6775" w:type="dxa"/>
          </w:tcPr>
          <w:p w14:paraId="5A519992"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See RDS Session for more information.</w:t>
            </w:r>
          </w:p>
        </w:tc>
      </w:tr>
      <w:tr w:rsidR="00E55491" w14:paraId="2288C7BC" w14:textId="77777777" w:rsidTr="00281329">
        <w:tc>
          <w:tcPr>
            <w:cnfStyle w:val="001000000000" w:firstRow="0" w:lastRow="0" w:firstColumn="1" w:lastColumn="0" w:oddVBand="0" w:evenVBand="0" w:oddHBand="0" w:evenHBand="0" w:firstRowFirstColumn="0" w:firstRowLastColumn="0" w:lastRowFirstColumn="0" w:lastRowLastColumn="0"/>
            <w:tcW w:w="3681" w:type="dxa"/>
            <w:shd w:val="clear" w:color="auto" w:fill="F2F2F2" w:themeFill="background1" w:themeFillShade="F2"/>
          </w:tcPr>
          <w:p w14:paraId="713CB091" w14:textId="77777777" w:rsidR="00E55491" w:rsidRDefault="00E55491" w:rsidP="00281329">
            <w:pPr>
              <w:pStyle w:val="Tablecontent"/>
            </w:pPr>
            <w:r>
              <w:rPr>
                <w:b w:val="0"/>
                <w:bCs w:val="0"/>
              </w:rPr>
              <w:t>Time taken to logon</w:t>
            </w:r>
          </w:p>
        </w:tc>
        <w:tc>
          <w:tcPr>
            <w:tcW w:w="6775" w:type="dxa"/>
          </w:tcPr>
          <w:p w14:paraId="404E9A78" w14:textId="77777777"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Note login will be faster if the user is reconnecting to the same desktop (disconnect vs logoff)</w:t>
            </w:r>
          </w:p>
        </w:tc>
      </w:tr>
      <w:tr w:rsidR="00E55491" w14:paraId="225B34CA" w14:textId="77777777" w:rsidTr="00281329">
        <w:tc>
          <w:tcPr>
            <w:cnfStyle w:val="001000000000" w:firstRow="0" w:lastRow="0" w:firstColumn="1" w:lastColumn="0" w:oddVBand="0" w:evenVBand="0" w:oddHBand="0" w:evenHBand="0" w:firstRowFirstColumn="0" w:firstRowLastColumn="0" w:lastRowFirstColumn="0" w:lastRowLastColumn="0"/>
            <w:tcW w:w="3681" w:type="dxa"/>
            <w:shd w:val="clear" w:color="auto" w:fill="F2F2F2" w:themeFill="background1" w:themeFillShade="F2"/>
          </w:tcPr>
          <w:p w14:paraId="74633E7A" w14:textId="77777777" w:rsidR="00E55491" w:rsidRDefault="00E55491" w:rsidP="00281329">
            <w:pPr>
              <w:pStyle w:val="Tablecontent"/>
            </w:pPr>
            <w:r>
              <w:rPr>
                <w:b w:val="0"/>
                <w:bCs w:val="0"/>
              </w:rPr>
              <w:t>Time taken to load profile</w:t>
            </w:r>
          </w:p>
          <w:p w14:paraId="1E60BD97" w14:textId="77777777" w:rsidR="00E55491" w:rsidRDefault="00E55491" w:rsidP="00281329">
            <w:pPr>
              <w:pStyle w:val="Tablecontent"/>
              <w:rPr>
                <w:b w:val="0"/>
                <w:bCs w:val="0"/>
              </w:rPr>
            </w:pPr>
          </w:p>
        </w:tc>
        <w:tc>
          <w:tcPr>
            <w:tcW w:w="6775" w:type="dxa"/>
          </w:tcPr>
          <w:p w14:paraId="005619A9"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 guidance for performance is</w:t>
            </w:r>
          </w:p>
          <w:p w14:paraId="022306AB" w14:textId="0D1ED2BF" w:rsidR="00E55491" w:rsidRDefault="0022569A" w:rsidP="00281329">
            <w:pPr>
              <w:pStyle w:val="Tablecontent"/>
              <w:numPr>
                <w:ilvl w:val="0"/>
                <w:numId w:val="37"/>
              </w:numPr>
              <w:cnfStyle w:val="000000000000" w:firstRow="0" w:lastRow="0" w:firstColumn="0" w:lastColumn="0" w:oddVBand="0" w:evenVBand="0" w:oddHBand="0" w:evenHBand="0" w:firstRowFirstColumn="0" w:firstRowLastColumn="0" w:lastRowFirstColumn="0" w:lastRowLastColumn="0"/>
            </w:pPr>
            <w:r w:rsidRPr="0022569A">
              <w:rPr>
                <w:color w:val="00B050"/>
              </w:rPr>
              <w:t>Green</w:t>
            </w:r>
            <w:r w:rsidR="00E55491">
              <w:t xml:space="preserve"> = below 30 seconds</w:t>
            </w:r>
          </w:p>
          <w:p w14:paraId="14C3904A" w14:textId="3F6D3F55" w:rsidR="00E55491" w:rsidRDefault="00CF7D2C" w:rsidP="00281329">
            <w:pPr>
              <w:pStyle w:val="Tablecontent"/>
              <w:numPr>
                <w:ilvl w:val="0"/>
                <w:numId w:val="37"/>
              </w:numPr>
              <w:cnfStyle w:val="000000000000" w:firstRow="0" w:lastRow="0" w:firstColumn="0" w:lastColumn="0" w:oddVBand="0" w:evenVBand="0" w:oddHBand="0" w:evenHBand="0" w:firstRowFirstColumn="0" w:firstRowLastColumn="0" w:lastRowFirstColumn="0" w:lastRowLastColumn="0"/>
            </w:pPr>
            <w:r w:rsidRPr="00CF7D2C">
              <w:rPr>
                <w:color w:val="FFFF00"/>
              </w:rPr>
              <w:t>Yellow</w:t>
            </w:r>
            <w:r w:rsidR="00E55491">
              <w:t xml:space="preserve"> = 30 - 45 seconds</w:t>
            </w:r>
          </w:p>
          <w:p w14:paraId="2D831148" w14:textId="418D362A" w:rsidR="00E55491" w:rsidRDefault="00CF7D2C" w:rsidP="00281329">
            <w:pPr>
              <w:pStyle w:val="Tablecontent"/>
              <w:numPr>
                <w:ilvl w:val="0"/>
                <w:numId w:val="37"/>
              </w:numPr>
              <w:cnfStyle w:val="000000000000" w:firstRow="0" w:lastRow="0" w:firstColumn="0" w:lastColumn="0" w:oddVBand="0" w:evenVBand="0" w:oddHBand="0" w:evenHBand="0" w:firstRowFirstColumn="0" w:firstRowLastColumn="0" w:lastRowFirstColumn="0" w:lastRowLastColumn="0"/>
            </w:pPr>
            <w:r w:rsidRPr="00CF7D2C">
              <w:rPr>
                <w:color w:val="ED7D31" w:themeColor="accent2"/>
              </w:rPr>
              <w:t>Orange</w:t>
            </w:r>
            <w:r w:rsidR="00E55491">
              <w:t xml:space="preserve"> = 45 - 60 seconds</w:t>
            </w:r>
          </w:p>
          <w:p w14:paraId="183AC9C4" w14:textId="7A42E4FA" w:rsidR="00E55491" w:rsidRPr="001E66A0" w:rsidRDefault="00CF7D2C" w:rsidP="00281329">
            <w:pPr>
              <w:pStyle w:val="Tablecontent"/>
              <w:numPr>
                <w:ilvl w:val="0"/>
                <w:numId w:val="37"/>
              </w:numPr>
              <w:cnfStyle w:val="000000000000" w:firstRow="0" w:lastRow="0" w:firstColumn="0" w:lastColumn="0" w:oddVBand="0" w:evenVBand="0" w:oddHBand="0" w:evenHBand="0" w:firstRowFirstColumn="0" w:firstRowLastColumn="0" w:lastRowFirstColumn="0" w:lastRowLastColumn="0"/>
            </w:pPr>
            <w:r w:rsidRPr="00CF7D2C">
              <w:rPr>
                <w:color w:val="FF0000"/>
              </w:rPr>
              <w:t>Red</w:t>
            </w:r>
            <w:r w:rsidR="00E55491">
              <w:t xml:space="preserve"> = above 60 seconds</w:t>
            </w:r>
          </w:p>
        </w:tc>
      </w:tr>
    </w:tbl>
    <w:p w14:paraId="2004FDA4" w14:textId="77777777" w:rsidR="00E55491" w:rsidRDefault="00E55491" w:rsidP="00E55491">
      <w:pPr>
        <w:pStyle w:val="Heading5"/>
      </w:pPr>
      <w:r>
        <w:t>Utilization Metrics</w:t>
      </w:r>
    </w:p>
    <w:p w14:paraId="7A834D03" w14:textId="77777777" w:rsidR="00E55491" w:rsidRDefault="00E55491" w:rsidP="00E55491">
      <w:r>
        <w:t>VDI Session has the same utilization metrics as RDS Host object, because both are VM. The difference is it has network metrics, which are covered in RDS Session object.</w:t>
      </w:r>
    </w:p>
    <w:p w14:paraId="1A2E58C7" w14:textId="77777777" w:rsidR="00E55491" w:rsidRDefault="00E55491" w:rsidP="00E55491">
      <w:pPr>
        <w:pStyle w:val="Heading4"/>
      </w:pPr>
      <w:r>
        <w:t>VDI Pool</w:t>
      </w:r>
    </w:p>
    <w:p w14:paraId="7F107CB7" w14:textId="77777777" w:rsidR="00E55491" w:rsidRPr="0060526D" w:rsidRDefault="00E55491" w:rsidP="00E55491">
      <w:pPr>
        <w:rPr>
          <w:lang w:val="en-GB"/>
        </w:rPr>
      </w:pPr>
    </w:p>
    <w:p w14:paraId="368D820D" w14:textId="77777777" w:rsidR="00E55491" w:rsidRDefault="00E55491" w:rsidP="00E55491">
      <w:pPr>
        <w:rPr>
          <w:lang w:val="en-GB"/>
        </w:rPr>
      </w:pPr>
      <w:r>
        <w:t>VDI Pool sports the same set of KPI metrics that</w:t>
      </w:r>
      <w:r>
        <w:rPr>
          <w:lang w:val="en-GB"/>
        </w:rPr>
        <w:t xml:space="preserve"> RDS Farm has. The only difference is it uses VDI Session as the base object, reflecting the fact that a pool is nothing but a collection of VDI VMs. </w:t>
      </w:r>
    </w:p>
    <w:p w14:paraId="6DC2F314" w14:textId="77777777" w:rsidR="00E55491" w:rsidRDefault="00E55491" w:rsidP="00E55491">
      <w:pPr>
        <w:rPr>
          <w:lang w:val="en-GB"/>
        </w:rPr>
      </w:pPr>
      <w:r>
        <w:rPr>
          <w:lang w:val="en-GB"/>
        </w:rPr>
        <w:t>Refer to the RDS Farm metric for the explanation. In summary, the metrics are:</w:t>
      </w:r>
    </w:p>
    <w:p w14:paraId="6AF4359B" w14:textId="77777777" w:rsidR="00E55491" w:rsidRPr="00BC22B1" w:rsidRDefault="00E55491" w:rsidP="00E55491">
      <w:pPr>
        <w:pStyle w:val="Bullet"/>
        <w:rPr>
          <w:b/>
          <w:bCs/>
        </w:rPr>
      </w:pPr>
      <w:r w:rsidRPr="00BC22B1">
        <w:t xml:space="preserve">Lowest Network KPI among </w:t>
      </w:r>
      <w:r>
        <w:t xml:space="preserve">VDI </w:t>
      </w:r>
      <w:r w:rsidRPr="00BC22B1">
        <w:t>Sessions (%)</w:t>
      </w:r>
    </w:p>
    <w:p w14:paraId="35B97884" w14:textId="77777777" w:rsidR="00E55491" w:rsidRPr="00C46B2E" w:rsidRDefault="00E55491" w:rsidP="00E55491">
      <w:pPr>
        <w:pStyle w:val="Bullet"/>
        <w:rPr>
          <w:lang w:val="en-GB"/>
        </w:rPr>
      </w:pPr>
      <w:r w:rsidRPr="00BC22B1">
        <w:t xml:space="preserve">Worst DC KPI among </w:t>
      </w:r>
      <w:r>
        <w:t xml:space="preserve">VDI </w:t>
      </w:r>
      <w:r w:rsidRPr="00BC22B1">
        <w:t>Sessions (%)</w:t>
      </w:r>
    </w:p>
    <w:p w14:paraId="27512783" w14:textId="7442753E" w:rsidR="00E55491" w:rsidRPr="00C46B2E" w:rsidRDefault="00E55491" w:rsidP="00E55491">
      <w:pPr>
        <w:pStyle w:val="Bullet"/>
        <w:rPr>
          <w:lang w:val="en-GB"/>
        </w:rPr>
      </w:pPr>
      <w:r>
        <w:t xml:space="preserve">VDI </w:t>
      </w:r>
      <w:r w:rsidRPr="00BC22B1">
        <w:t xml:space="preserve">Sessions </w:t>
      </w:r>
      <w:r w:rsidRPr="00C46B2E">
        <w:rPr>
          <w:lang w:val="en-GB"/>
        </w:rPr>
        <w:t xml:space="preserve">with </w:t>
      </w:r>
      <w:r w:rsidR="00CF7D2C" w:rsidRPr="00CF7D2C">
        <w:rPr>
          <w:color w:val="FF0000"/>
          <w:lang w:val="en-GB"/>
        </w:rPr>
        <w:t>Red</w:t>
      </w:r>
      <w:r w:rsidRPr="00C46B2E">
        <w:rPr>
          <w:lang w:val="en-GB"/>
        </w:rPr>
        <w:t xml:space="preserve"> DC KPI</w:t>
      </w:r>
    </w:p>
    <w:p w14:paraId="6F6591F9" w14:textId="6065A303" w:rsidR="00E55491" w:rsidRPr="00C46B2E" w:rsidRDefault="00E55491" w:rsidP="00E55491">
      <w:pPr>
        <w:pStyle w:val="Bullet"/>
        <w:rPr>
          <w:lang w:val="en-GB"/>
        </w:rPr>
      </w:pPr>
      <w:r>
        <w:t xml:space="preserve">VDI </w:t>
      </w:r>
      <w:r w:rsidRPr="00BC22B1">
        <w:t xml:space="preserve">Sessions </w:t>
      </w:r>
      <w:r w:rsidRPr="00C46B2E">
        <w:rPr>
          <w:lang w:val="en-GB"/>
        </w:rPr>
        <w:t xml:space="preserve">with </w:t>
      </w:r>
      <w:r w:rsidR="00CF7D2C" w:rsidRPr="00CF7D2C">
        <w:rPr>
          <w:color w:val="FF0000"/>
          <w:lang w:val="en-GB"/>
        </w:rPr>
        <w:t>Red</w:t>
      </w:r>
      <w:r w:rsidRPr="00C46B2E">
        <w:rPr>
          <w:lang w:val="en-GB"/>
        </w:rPr>
        <w:t xml:space="preserve"> Network KPI</w:t>
      </w:r>
    </w:p>
    <w:p w14:paraId="269DDEF1" w14:textId="77777777" w:rsidR="00E55491" w:rsidRPr="00C46B2E" w:rsidRDefault="00E55491" w:rsidP="00E55491">
      <w:pPr>
        <w:pStyle w:val="Bullet"/>
        <w:rPr>
          <w:lang w:val="en-GB"/>
        </w:rPr>
      </w:pPr>
      <w:r>
        <w:t>Worst 5</w:t>
      </w:r>
      <w:r w:rsidRPr="002D539A">
        <w:rPr>
          <w:vertAlign w:val="superscript"/>
          <w:lang w:val="en-GB"/>
        </w:rPr>
        <w:t>th</w:t>
      </w:r>
      <w:r w:rsidRPr="00C46B2E">
        <w:rPr>
          <w:lang w:val="en-GB"/>
        </w:rPr>
        <w:t xml:space="preserve"> Percentile DC KPI (%)</w:t>
      </w:r>
    </w:p>
    <w:p w14:paraId="117E832B" w14:textId="77777777" w:rsidR="00E55491" w:rsidRDefault="00E55491" w:rsidP="00E55491">
      <w:pPr>
        <w:pStyle w:val="Bullet"/>
        <w:rPr>
          <w:lang w:val="en-GB"/>
        </w:rPr>
      </w:pPr>
      <w:r>
        <w:t xml:space="preserve">Worst </w:t>
      </w:r>
      <w:r w:rsidRPr="00C46B2E">
        <w:rPr>
          <w:lang w:val="en-GB"/>
        </w:rPr>
        <w:t>5</w:t>
      </w:r>
      <w:r w:rsidRPr="002D539A">
        <w:rPr>
          <w:vertAlign w:val="superscript"/>
          <w:lang w:val="en-GB"/>
        </w:rPr>
        <w:t>th</w:t>
      </w:r>
      <w:r w:rsidRPr="00C46B2E">
        <w:rPr>
          <w:lang w:val="en-GB"/>
        </w:rPr>
        <w:t xml:space="preserve"> Percentile Network KPI (%)</w:t>
      </w:r>
    </w:p>
    <w:p w14:paraId="3D7AC444" w14:textId="77777777" w:rsidR="00E55491" w:rsidRDefault="00E55491" w:rsidP="00E55491">
      <w:pPr>
        <w:pStyle w:val="Heading5"/>
      </w:pPr>
      <w:r>
        <w:lastRenderedPageBreak/>
        <w:t>Contention Metrics</w:t>
      </w:r>
    </w:p>
    <w:p w14:paraId="29C82EA9" w14:textId="77777777" w:rsidR="00E55491" w:rsidRDefault="00E55491" w:rsidP="00E55491">
      <w:pPr>
        <w:tabs>
          <w:tab w:val="left" w:pos="5717"/>
        </w:tabs>
        <w:rPr>
          <w:lang w:val="en-GB"/>
        </w:rPr>
      </w:pPr>
      <w:r>
        <w:rPr>
          <w:lang w:val="en-GB"/>
        </w:rPr>
        <w:t>As per RDS Farm, we begin with checking inside Windows.</w:t>
      </w:r>
    </w:p>
    <w:p w14:paraId="7FB2C795" w14:textId="77777777" w:rsidR="00E55491" w:rsidRPr="001D7879" w:rsidRDefault="00E55491" w:rsidP="00E55491">
      <w:pPr>
        <w:pStyle w:val="BeforeTable"/>
      </w:pPr>
      <w:r>
        <w:t xml:space="preserve">    </w:t>
      </w:r>
    </w:p>
    <w:tbl>
      <w:tblPr>
        <w:tblStyle w:val="GridTable1Light-Accent3"/>
        <w:tblW w:w="10485" w:type="dxa"/>
        <w:tblBorders>
          <w:left w:val="none" w:sz="0" w:space="0" w:color="auto"/>
          <w:right w:val="none" w:sz="0" w:space="0" w:color="auto"/>
          <w:insideV w:val="none" w:sz="0" w:space="0" w:color="auto"/>
        </w:tblBorders>
        <w:tblCellMar>
          <w:top w:w="57" w:type="dxa"/>
          <w:bottom w:w="57" w:type="dxa"/>
        </w:tblCellMar>
        <w:tblLook w:val="0480" w:firstRow="0" w:lastRow="0" w:firstColumn="1" w:lastColumn="0" w:noHBand="0" w:noVBand="1"/>
      </w:tblPr>
      <w:tblGrid>
        <w:gridCol w:w="2948"/>
        <w:gridCol w:w="7537"/>
      </w:tblGrid>
      <w:tr w:rsidR="00E55491" w14:paraId="6FA9D0D2"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089F9632" w14:textId="77777777" w:rsidR="00E55491" w:rsidRDefault="00E55491" w:rsidP="00281329">
            <w:pPr>
              <w:pStyle w:val="Tablecontent"/>
            </w:pPr>
            <w:r>
              <w:rPr>
                <w:b w:val="0"/>
                <w:bCs w:val="0"/>
              </w:rPr>
              <w:t xml:space="preserve">Worst CPU Queue </w:t>
            </w:r>
          </w:p>
        </w:tc>
        <w:tc>
          <w:tcPr>
            <w:tcW w:w="7537" w:type="dxa"/>
          </w:tcPr>
          <w:p w14:paraId="6D51A167"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 highest CPU Queue among the VDI Sessions. If this is high then look inside Windows. To reduce this you need to increase the number of vCPU, or move the user to a pool with bigger VM.</w:t>
            </w:r>
          </w:p>
        </w:tc>
      </w:tr>
      <w:tr w:rsidR="00E55491" w14:paraId="519C2231"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60BCF169" w14:textId="77777777" w:rsidR="00E55491" w:rsidRPr="00EE7DF4" w:rsidRDefault="00E55491" w:rsidP="00281329">
            <w:pPr>
              <w:pStyle w:val="Tablecontent"/>
              <w:rPr>
                <w:b w:val="0"/>
                <w:bCs w:val="0"/>
              </w:rPr>
            </w:pPr>
            <w:r w:rsidRPr="00EE7DF4">
              <w:rPr>
                <w:b w:val="0"/>
                <w:bCs w:val="0"/>
              </w:rPr>
              <w:t xml:space="preserve">Worst CPU Context Switch </w:t>
            </w:r>
          </w:p>
          <w:p w14:paraId="4B86435A" w14:textId="77777777" w:rsidR="00E55491" w:rsidRDefault="00E55491" w:rsidP="00281329">
            <w:pPr>
              <w:pStyle w:val="Tablecontent"/>
            </w:pPr>
            <w:r w:rsidRPr="00694A55">
              <w:rPr>
                <w:b w:val="0"/>
                <w:bCs w:val="0"/>
              </w:rPr>
              <w:t xml:space="preserve">Worst </w:t>
            </w:r>
            <w:r>
              <w:rPr>
                <w:b w:val="0"/>
                <w:bCs w:val="0"/>
              </w:rPr>
              <w:t>Memory Page-in Rate</w:t>
            </w:r>
          </w:p>
          <w:p w14:paraId="78D2B759" w14:textId="77777777" w:rsidR="00E55491" w:rsidRPr="00954CE2" w:rsidRDefault="00E55491" w:rsidP="00281329">
            <w:pPr>
              <w:pStyle w:val="Tablecontent"/>
            </w:pPr>
            <w:r>
              <w:rPr>
                <w:b w:val="0"/>
                <w:bCs w:val="0"/>
              </w:rPr>
              <w:t>Worst Disk Queue</w:t>
            </w:r>
          </w:p>
        </w:tc>
        <w:tc>
          <w:tcPr>
            <w:tcW w:w="7537" w:type="dxa"/>
          </w:tcPr>
          <w:p w14:paraId="46D0C180" w14:textId="77777777"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See RDS Farm for more information</w:t>
            </w:r>
          </w:p>
        </w:tc>
      </w:tr>
    </w:tbl>
    <w:p w14:paraId="6DD891B5" w14:textId="77777777" w:rsidR="00E55491" w:rsidRDefault="00E55491" w:rsidP="00E55491">
      <w:pPr>
        <w:pStyle w:val="BeforeTable"/>
      </w:pPr>
    </w:p>
    <w:p w14:paraId="285AB9C7" w14:textId="77777777" w:rsidR="00E55491" w:rsidRDefault="00E55491" w:rsidP="00E55491">
      <w:r>
        <w:t>If the above shows something is wrong, then you want to know many VDI Sessions are affected. This is where the Count() metric-type come in</w:t>
      </w:r>
    </w:p>
    <w:p w14:paraId="3B95C5DC" w14:textId="77777777" w:rsidR="00E55491" w:rsidRDefault="00E55491" w:rsidP="00E55491">
      <w:pPr>
        <w:pStyle w:val="BeforeTable"/>
      </w:pPr>
    </w:p>
    <w:tbl>
      <w:tblPr>
        <w:tblStyle w:val="GridTable1Light-Accent3"/>
        <w:tblW w:w="10485" w:type="dxa"/>
        <w:tblBorders>
          <w:top w:val="single" w:sz="4" w:space="0" w:color="D9D9D9" w:themeColor="background1" w:themeShade="D9"/>
          <w:left w:val="none" w:sz="0" w:space="0" w:color="auto"/>
          <w:bottom w:val="single" w:sz="4" w:space="0" w:color="D9D9D9" w:themeColor="background1" w:themeShade="D9"/>
          <w:right w:val="none" w:sz="0" w:space="0" w:color="auto"/>
          <w:insideH w:val="none" w:sz="0" w:space="0" w:color="auto"/>
          <w:insideV w:val="none" w:sz="0" w:space="0" w:color="auto"/>
        </w:tblBorders>
        <w:tblCellMar>
          <w:top w:w="57" w:type="dxa"/>
          <w:bottom w:w="57" w:type="dxa"/>
        </w:tblCellMar>
        <w:tblLook w:val="0480" w:firstRow="0" w:lastRow="0" w:firstColumn="1" w:lastColumn="0" w:noHBand="0" w:noVBand="1"/>
      </w:tblPr>
      <w:tblGrid>
        <w:gridCol w:w="2948"/>
        <w:gridCol w:w="7537"/>
      </w:tblGrid>
      <w:tr w:rsidR="00E55491" w14:paraId="3C6DA16E" w14:textId="77777777" w:rsidTr="00281329">
        <w:tc>
          <w:tcPr>
            <w:cnfStyle w:val="001000000000" w:firstRow="0" w:lastRow="0" w:firstColumn="1" w:lastColumn="0" w:oddVBand="0" w:evenVBand="0" w:oddHBand="0" w:evenHBand="0" w:firstRowFirstColumn="0" w:firstRowLastColumn="0" w:lastRowFirstColumn="0" w:lastRowLastColumn="0"/>
            <w:tcW w:w="2948" w:type="dxa"/>
            <w:shd w:val="clear" w:color="auto" w:fill="F2F2F2" w:themeFill="background1" w:themeFillShade="F2"/>
          </w:tcPr>
          <w:p w14:paraId="7BD45618" w14:textId="77777777" w:rsidR="00E55491" w:rsidRPr="005E2248" w:rsidRDefault="00E55491" w:rsidP="00281329">
            <w:pPr>
              <w:pStyle w:val="Tablecontent"/>
              <w:rPr>
                <w:b w:val="0"/>
                <w:bCs w:val="0"/>
              </w:rPr>
            </w:pPr>
            <w:r w:rsidRPr="005E2248">
              <w:rPr>
                <w:b w:val="0"/>
                <w:bCs w:val="0"/>
              </w:rPr>
              <w:t xml:space="preserve">VDI Sessions with CPU Queue </w:t>
            </w:r>
          </w:p>
          <w:p w14:paraId="1BF7DA5F" w14:textId="77777777" w:rsidR="00E55491" w:rsidRDefault="00E55491" w:rsidP="00281329">
            <w:pPr>
              <w:pStyle w:val="Tablecontent"/>
              <w:rPr>
                <w:color w:val="BFBFBF" w:themeColor="background1" w:themeShade="BF"/>
              </w:rPr>
            </w:pPr>
            <w:r w:rsidRPr="005E2248">
              <w:rPr>
                <w:b w:val="0"/>
                <w:bCs w:val="0"/>
              </w:rPr>
              <w:t xml:space="preserve">VDI Sessions with Disk Queue </w:t>
            </w:r>
          </w:p>
        </w:tc>
        <w:tc>
          <w:tcPr>
            <w:tcW w:w="7537" w:type="dxa"/>
          </w:tcPr>
          <w:p w14:paraId="0E812789"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 threshold used Above 2.</w:t>
            </w:r>
          </w:p>
          <w:p w14:paraId="0BD66F04"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 threshold used Above 10 in Windows</w:t>
            </w:r>
          </w:p>
        </w:tc>
      </w:tr>
    </w:tbl>
    <w:p w14:paraId="54D6BC8C" w14:textId="77777777" w:rsidR="00E55491" w:rsidRDefault="00E55491" w:rsidP="00E55491">
      <w:pPr>
        <w:pStyle w:val="BeforeTable"/>
      </w:pPr>
    </w:p>
    <w:p w14:paraId="4D0C1A8E" w14:textId="77777777" w:rsidR="00E55491" w:rsidRDefault="00E55491" w:rsidP="00E55491">
      <w:r>
        <w:t>Next, check if there is a problem outside Windows, meaning at the VM or below. Check for both DC and Network</w:t>
      </w:r>
    </w:p>
    <w:p w14:paraId="64638F4D" w14:textId="77777777" w:rsidR="00E55491" w:rsidRDefault="00E55491" w:rsidP="00E55491">
      <w:pPr>
        <w:pStyle w:val="BeforeTable"/>
        <w:rPr>
          <w:lang w:val="en-GB"/>
        </w:rPr>
      </w:pPr>
    </w:p>
    <w:tbl>
      <w:tblPr>
        <w:tblStyle w:val="GridTable1Light-Accent3"/>
        <w:tblW w:w="10485" w:type="dxa"/>
        <w:tblBorders>
          <w:left w:val="none" w:sz="0" w:space="0" w:color="auto"/>
          <w:right w:val="none" w:sz="0" w:space="0" w:color="auto"/>
          <w:insideV w:val="none" w:sz="0" w:space="0" w:color="auto"/>
        </w:tblBorders>
        <w:tblCellMar>
          <w:top w:w="57" w:type="dxa"/>
          <w:bottom w:w="57" w:type="dxa"/>
        </w:tblCellMar>
        <w:tblLook w:val="0480" w:firstRow="0" w:lastRow="0" w:firstColumn="1" w:lastColumn="0" w:noHBand="0" w:noVBand="1"/>
      </w:tblPr>
      <w:tblGrid>
        <w:gridCol w:w="4957"/>
        <w:gridCol w:w="5528"/>
      </w:tblGrid>
      <w:tr w:rsidR="00E55491" w14:paraId="40ED1D10" w14:textId="77777777" w:rsidTr="00281329">
        <w:tc>
          <w:tcPr>
            <w:cnfStyle w:val="001000000000" w:firstRow="0" w:lastRow="0" w:firstColumn="1" w:lastColumn="0" w:oddVBand="0" w:evenVBand="0" w:oddHBand="0" w:evenHBand="0" w:firstRowFirstColumn="0" w:firstRowLastColumn="0" w:lastRowFirstColumn="0" w:lastRowLastColumn="0"/>
            <w:tcW w:w="4957" w:type="dxa"/>
            <w:shd w:val="clear" w:color="auto" w:fill="F2F2F2" w:themeFill="background1" w:themeFillShade="F2"/>
          </w:tcPr>
          <w:p w14:paraId="5A7D7562" w14:textId="77777777" w:rsidR="00E55491" w:rsidRPr="005E2248" w:rsidRDefault="00E55491" w:rsidP="00281329">
            <w:pPr>
              <w:pStyle w:val="Tablecontent"/>
              <w:rPr>
                <w:b w:val="0"/>
                <w:bCs w:val="0"/>
              </w:rPr>
            </w:pPr>
            <w:r w:rsidRPr="005E2248">
              <w:rPr>
                <w:b w:val="0"/>
                <w:bCs w:val="0"/>
              </w:rPr>
              <w:t>Worst CPU Co-stop (%)</w:t>
            </w:r>
          </w:p>
          <w:p w14:paraId="1A0D0679" w14:textId="77777777" w:rsidR="00E55491" w:rsidRPr="005E2248" w:rsidRDefault="00E55491" w:rsidP="00281329">
            <w:pPr>
              <w:pStyle w:val="Tablecontent"/>
              <w:rPr>
                <w:b w:val="0"/>
                <w:bCs w:val="0"/>
              </w:rPr>
            </w:pPr>
            <w:r w:rsidRPr="005E2248">
              <w:rPr>
                <w:b w:val="0"/>
                <w:bCs w:val="0"/>
              </w:rPr>
              <w:t>Worst CPU Ready (%)</w:t>
            </w:r>
          </w:p>
          <w:p w14:paraId="00BE0995" w14:textId="77777777" w:rsidR="00E55491" w:rsidRPr="005E2248" w:rsidRDefault="00E55491" w:rsidP="00281329">
            <w:pPr>
              <w:pStyle w:val="Tablecontent"/>
              <w:rPr>
                <w:b w:val="0"/>
                <w:bCs w:val="0"/>
              </w:rPr>
            </w:pPr>
            <w:r w:rsidRPr="005E2248">
              <w:rPr>
                <w:b w:val="0"/>
                <w:bCs w:val="0"/>
              </w:rPr>
              <w:t>Worst Memory Contention</w:t>
            </w:r>
          </w:p>
        </w:tc>
        <w:tc>
          <w:tcPr>
            <w:tcW w:w="5528" w:type="dxa"/>
          </w:tcPr>
          <w:p w14:paraId="15824065" w14:textId="77777777"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See RDS Farm for more information</w:t>
            </w:r>
          </w:p>
        </w:tc>
      </w:tr>
      <w:tr w:rsidR="00E55491" w14:paraId="6C352360" w14:textId="77777777" w:rsidTr="00281329">
        <w:tc>
          <w:tcPr>
            <w:cnfStyle w:val="001000000000" w:firstRow="0" w:lastRow="0" w:firstColumn="1" w:lastColumn="0" w:oddVBand="0" w:evenVBand="0" w:oddHBand="0" w:evenHBand="0" w:firstRowFirstColumn="0" w:firstRowLastColumn="0" w:lastRowFirstColumn="0" w:lastRowLastColumn="0"/>
            <w:tcW w:w="4957" w:type="dxa"/>
            <w:shd w:val="clear" w:color="auto" w:fill="F2F2F2" w:themeFill="background1" w:themeFillShade="F2"/>
          </w:tcPr>
          <w:p w14:paraId="6380C0E5" w14:textId="77777777" w:rsidR="00E55491" w:rsidRPr="005E2248" w:rsidRDefault="00E55491" w:rsidP="00281329">
            <w:pPr>
              <w:pStyle w:val="Tablecontent"/>
              <w:rPr>
                <w:b w:val="0"/>
                <w:bCs w:val="0"/>
              </w:rPr>
            </w:pPr>
            <w:r w:rsidRPr="005E2248">
              <w:rPr>
                <w:b w:val="0"/>
                <w:bCs w:val="0"/>
              </w:rPr>
              <w:t>Worst vDisk Latency</w:t>
            </w:r>
          </w:p>
        </w:tc>
        <w:tc>
          <w:tcPr>
            <w:tcW w:w="5528" w:type="dxa"/>
          </w:tcPr>
          <w:p w14:paraId="5D74FDB0" w14:textId="77777777"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p>
        </w:tc>
      </w:tr>
      <w:tr w:rsidR="00E55491" w14:paraId="4EA752E5" w14:textId="77777777" w:rsidTr="00281329">
        <w:tc>
          <w:tcPr>
            <w:cnfStyle w:val="001000000000" w:firstRow="0" w:lastRow="0" w:firstColumn="1" w:lastColumn="0" w:oddVBand="0" w:evenVBand="0" w:oddHBand="0" w:evenHBand="0" w:firstRowFirstColumn="0" w:firstRowLastColumn="0" w:lastRowFirstColumn="0" w:lastRowLastColumn="0"/>
            <w:tcW w:w="4957" w:type="dxa"/>
            <w:shd w:val="clear" w:color="auto" w:fill="F2F2F2" w:themeFill="background1" w:themeFillShade="F2"/>
          </w:tcPr>
          <w:p w14:paraId="4D9AFCEE" w14:textId="77777777" w:rsidR="00E55491" w:rsidRPr="00EE7DF4" w:rsidRDefault="00E55491" w:rsidP="00281329">
            <w:pPr>
              <w:pStyle w:val="Tablecontent"/>
              <w:rPr>
                <w:b w:val="0"/>
                <w:bCs w:val="0"/>
              </w:rPr>
            </w:pPr>
            <w:r w:rsidRPr="00EE7DF4">
              <w:rPr>
                <w:b w:val="0"/>
                <w:bCs w:val="0"/>
              </w:rPr>
              <w:t>Worst vDisk Read Latency</w:t>
            </w:r>
          </w:p>
          <w:p w14:paraId="4DE61565" w14:textId="77777777" w:rsidR="00E55491" w:rsidRDefault="00E55491" w:rsidP="00281329">
            <w:pPr>
              <w:pStyle w:val="Tablecontent"/>
            </w:pPr>
            <w:r w:rsidRPr="00EE7DF4">
              <w:rPr>
                <w:b w:val="0"/>
                <w:bCs w:val="0"/>
              </w:rPr>
              <w:t>Worst vDisk Write Latency</w:t>
            </w:r>
          </w:p>
        </w:tc>
        <w:tc>
          <w:tcPr>
            <w:tcW w:w="5528" w:type="dxa"/>
          </w:tcPr>
          <w:p w14:paraId="0ECFA2DB" w14:textId="77777777"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p>
        </w:tc>
      </w:tr>
      <w:tr w:rsidR="00E55491" w14:paraId="702BF301" w14:textId="77777777" w:rsidTr="00281329">
        <w:tc>
          <w:tcPr>
            <w:cnfStyle w:val="001000000000" w:firstRow="0" w:lastRow="0" w:firstColumn="1" w:lastColumn="0" w:oddVBand="0" w:evenVBand="0" w:oddHBand="0" w:evenHBand="0" w:firstRowFirstColumn="0" w:firstRowLastColumn="0" w:lastRowFirstColumn="0" w:lastRowLastColumn="0"/>
            <w:tcW w:w="4957" w:type="dxa"/>
            <w:shd w:val="clear" w:color="auto" w:fill="F2F2F2" w:themeFill="background1" w:themeFillShade="F2"/>
          </w:tcPr>
          <w:p w14:paraId="042402E5" w14:textId="77777777" w:rsidR="00E55491" w:rsidRPr="00472AD8" w:rsidRDefault="00E55491" w:rsidP="00281329">
            <w:pPr>
              <w:pStyle w:val="Tablecontent"/>
              <w:rPr>
                <w:b w:val="0"/>
                <w:bCs w:val="0"/>
              </w:rPr>
            </w:pPr>
            <w:r w:rsidRPr="00472AD8">
              <w:rPr>
                <w:b w:val="0"/>
                <w:bCs w:val="0"/>
              </w:rPr>
              <w:t>Worst Protocol Latency</w:t>
            </w:r>
            <w:r>
              <w:rPr>
                <w:b w:val="0"/>
                <w:bCs w:val="0"/>
              </w:rPr>
              <w:t xml:space="preserve"> (ms)</w:t>
            </w:r>
          </w:p>
          <w:p w14:paraId="748FCDA6" w14:textId="77777777" w:rsidR="00E55491" w:rsidRPr="00472AD8" w:rsidRDefault="00E55491" w:rsidP="00281329">
            <w:pPr>
              <w:pStyle w:val="Tablecontent"/>
              <w:rPr>
                <w:b w:val="0"/>
                <w:bCs w:val="0"/>
              </w:rPr>
            </w:pPr>
            <w:r w:rsidRPr="00472AD8">
              <w:rPr>
                <w:b w:val="0"/>
                <w:bCs w:val="0"/>
              </w:rPr>
              <w:t>Worst Protocol Received Packet Loss</w:t>
            </w:r>
            <w:r>
              <w:rPr>
                <w:b w:val="0"/>
                <w:bCs w:val="0"/>
              </w:rPr>
              <w:t xml:space="preserve"> (%)</w:t>
            </w:r>
          </w:p>
          <w:p w14:paraId="4BD15DED" w14:textId="77777777" w:rsidR="00E55491" w:rsidRDefault="00E55491" w:rsidP="00281329">
            <w:pPr>
              <w:pStyle w:val="Tablecontent"/>
            </w:pPr>
            <w:r w:rsidRPr="00472AD8">
              <w:rPr>
                <w:b w:val="0"/>
                <w:bCs w:val="0"/>
              </w:rPr>
              <w:t>Worst Protocol Transmit Packet Loss</w:t>
            </w:r>
            <w:r>
              <w:rPr>
                <w:b w:val="0"/>
                <w:bCs w:val="0"/>
              </w:rPr>
              <w:t xml:space="preserve"> (%)</w:t>
            </w:r>
          </w:p>
          <w:p w14:paraId="3A0D3A6B" w14:textId="77777777" w:rsidR="00E55491" w:rsidRDefault="00E55491" w:rsidP="00281329">
            <w:pPr>
              <w:pStyle w:val="Tablecontent"/>
            </w:pPr>
            <w:r w:rsidRPr="00472AD8">
              <w:rPr>
                <w:b w:val="0"/>
                <w:bCs w:val="0"/>
              </w:rPr>
              <w:t xml:space="preserve">Worst </w:t>
            </w:r>
            <w:r>
              <w:rPr>
                <w:b w:val="0"/>
                <w:bCs w:val="0"/>
              </w:rPr>
              <w:t>time taken to load profile</w:t>
            </w:r>
          </w:p>
          <w:p w14:paraId="2886F53D" w14:textId="77777777" w:rsidR="00E55491" w:rsidRPr="007426EB" w:rsidRDefault="00E55491" w:rsidP="00281329">
            <w:pPr>
              <w:pStyle w:val="Tablecontent"/>
              <w:rPr>
                <w:color w:val="A6A6A6" w:themeColor="background1" w:themeShade="A6"/>
              </w:rPr>
            </w:pPr>
            <w:r>
              <w:rPr>
                <w:b w:val="0"/>
                <w:bCs w:val="0"/>
              </w:rPr>
              <w:t>Worst time taken to logon</w:t>
            </w:r>
          </w:p>
        </w:tc>
        <w:tc>
          <w:tcPr>
            <w:tcW w:w="5528" w:type="dxa"/>
          </w:tcPr>
          <w:p w14:paraId="5C7ADAE2"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See RDS Session for more information</w:t>
            </w:r>
          </w:p>
        </w:tc>
      </w:tr>
    </w:tbl>
    <w:p w14:paraId="61166493" w14:textId="77777777" w:rsidR="00E55491" w:rsidRDefault="00E55491" w:rsidP="00E55491">
      <w:pPr>
        <w:pStyle w:val="BeforeTable"/>
      </w:pPr>
    </w:p>
    <w:p w14:paraId="331D34F1" w14:textId="77777777" w:rsidR="00E55491" w:rsidRDefault="00E55491" w:rsidP="00E55491">
      <w:r>
        <w:t>If there is a problem, check how broad the problem is.</w:t>
      </w:r>
    </w:p>
    <w:p w14:paraId="0284DDB7" w14:textId="77777777" w:rsidR="00E55491" w:rsidRDefault="00E55491" w:rsidP="00E55491">
      <w:pPr>
        <w:pStyle w:val="BeforeTable"/>
      </w:pPr>
    </w:p>
    <w:tbl>
      <w:tblPr>
        <w:tblStyle w:val="GridTable1Light-Accent3"/>
        <w:tblW w:w="0" w:type="auto"/>
        <w:tblBorders>
          <w:left w:val="none" w:sz="0" w:space="0" w:color="auto"/>
          <w:right w:val="none" w:sz="0" w:space="0" w:color="auto"/>
          <w:insideV w:val="none" w:sz="0" w:space="0" w:color="auto"/>
        </w:tblBorders>
        <w:tblCellMar>
          <w:top w:w="57" w:type="dxa"/>
          <w:bottom w:w="57" w:type="dxa"/>
        </w:tblCellMar>
        <w:tblLook w:val="0480" w:firstRow="0" w:lastRow="0" w:firstColumn="1" w:lastColumn="0" w:noHBand="0" w:noVBand="1"/>
      </w:tblPr>
      <w:tblGrid>
        <w:gridCol w:w="4957"/>
        <w:gridCol w:w="5499"/>
      </w:tblGrid>
      <w:tr w:rsidR="00E55491" w14:paraId="39E1C8CC" w14:textId="77777777" w:rsidTr="00281329">
        <w:tc>
          <w:tcPr>
            <w:cnfStyle w:val="001000000000" w:firstRow="0" w:lastRow="0" w:firstColumn="1" w:lastColumn="0" w:oddVBand="0" w:evenVBand="0" w:oddHBand="0" w:evenHBand="0" w:firstRowFirstColumn="0" w:firstRowLastColumn="0" w:lastRowFirstColumn="0" w:lastRowLastColumn="0"/>
            <w:tcW w:w="4957" w:type="dxa"/>
            <w:shd w:val="clear" w:color="auto" w:fill="F2F2F2" w:themeFill="background1" w:themeFillShade="F2"/>
          </w:tcPr>
          <w:p w14:paraId="3E3A78FE" w14:textId="77777777" w:rsidR="00E55491" w:rsidRDefault="00E55491" w:rsidP="00281329">
            <w:pPr>
              <w:pStyle w:val="Tablecontent"/>
            </w:pPr>
            <w:r w:rsidRPr="005E2248">
              <w:rPr>
                <w:b w:val="0"/>
                <w:bCs w:val="0"/>
              </w:rPr>
              <w:t>VDI Sessions with CPU Ready</w:t>
            </w:r>
          </w:p>
          <w:p w14:paraId="64407500" w14:textId="77777777" w:rsidR="00E55491" w:rsidRPr="005E2248" w:rsidRDefault="00E55491" w:rsidP="00281329">
            <w:pPr>
              <w:pStyle w:val="Tablecontent"/>
              <w:rPr>
                <w:b w:val="0"/>
                <w:bCs w:val="0"/>
              </w:rPr>
            </w:pPr>
            <w:r w:rsidRPr="005E2248">
              <w:rPr>
                <w:b w:val="0"/>
                <w:bCs w:val="0"/>
              </w:rPr>
              <w:t>VDI Sessions with</w:t>
            </w:r>
            <w:r>
              <w:rPr>
                <w:b w:val="0"/>
                <w:bCs w:val="0"/>
              </w:rPr>
              <w:t xml:space="preserve"> Memory Contention</w:t>
            </w:r>
          </w:p>
          <w:p w14:paraId="17D571D8" w14:textId="77777777" w:rsidR="00E55491" w:rsidRDefault="00E55491" w:rsidP="00281329">
            <w:pPr>
              <w:pStyle w:val="Tablecontent"/>
            </w:pPr>
            <w:r w:rsidRPr="005E2248">
              <w:rPr>
                <w:b w:val="0"/>
                <w:bCs w:val="0"/>
              </w:rPr>
              <w:t>VDI Sessions with high Disk Latency</w:t>
            </w:r>
          </w:p>
          <w:p w14:paraId="727D3412" w14:textId="77777777" w:rsidR="00E55491" w:rsidRPr="00863F93" w:rsidRDefault="00E55491" w:rsidP="00281329">
            <w:pPr>
              <w:pStyle w:val="Tablecontent"/>
              <w:rPr>
                <w:b w:val="0"/>
                <w:bCs w:val="0"/>
              </w:rPr>
            </w:pPr>
            <w:r w:rsidRPr="00863F93">
              <w:rPr>
                <w:b w:val="0"/>
                <w:bCs w:val="0"/>
              </w:rPr>
              <w:t xml:space="preserve">VDI </w:t>
            </w:r>
            <w:r>
              <w:rPr>
                <w:b w:val="0"/>
                <w:bCs w:val="0"/>
              </w:rPr>
              <w:t xml:space="preserve">Sessions with protocol latency </w:t>
            </w:r>
          </w:p>
          <w:p w14:paraId="4843971E" w14:textId="77777777" w:rsidR="00E55491" w:rsidRDefault="00E55491" w:rsidP="00281329">
            <w:pPr>
              <w:pStyle w:val="Tablecontent"/>
            </w:pPr>
            <w:r>
              <w:rPr>
                <w:b w:val="0"/>
                <w:bCs w:val="0"/>
              </w:rPr>
              <w:t>VDI Sessions with protocol receive dropped packet</w:t>
            </w:r>
          </w:p>
          <w:p w14:paraId="6409280C" w14:textId="77777777" w:rsidR="00E55491" w:rsidRPr="005E2248" w:rsidRDefault="00E55491" w:rsidP="00281329">
            <w:pPr>
              <w:pStyle w:val="Tablecontent"/>
              <w:rPr>
                <w:b w:val="0"/>
                <w:bCs w:val="0"/>
              </w:rPr>
            </w:pPr>
            <w:r>
              <w:rPr>
                <w:b w:val="0"/>
                <w:bCs w:val="0"/>
              </w:rPr>
              <w:t>VDI Sessions with protocol transmit dropped packet</w:t>
            </w:r>
          </w:p>
        </w:tc>
        <w:tc>
          <w:tcPr>
            <w:tcW w:w="5499" w:type="dxa"/>
          </w:tcPr>
          <w:p w14:paraId="4E523F82"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 threshold used is above 2.5%</w:t>
            </w:r>
          </w:p>
          <w:p w14:paraId="445B2E53"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 threshold used is above 1%</w:t>
            </w:r>
          </w:p>
          <w:p w14:paraId="790D06A8"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 threshold used is above 20 ms</w:t>
            </w:r>
          </w:p>
          <w:p w14:paraId="03C55970"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 threshold used is above 50 ms</w:t>
            </w:r>
          </w:p>
          <w:p w14:paraId="4504E1A6"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 threshold used is above 0.5%</w:t>
            </w:r>
          </w:p>
          <w:p w14:paraId="67516D7A"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 threshold used is above 0.5%</w:t>
            </w:r>
          </w:p>
        </w:tc>
      </w:tr>
    </w:tbl>
    <w:p w14:paraId="25E10E08" w14:textId="77777777" w:rsidR="00E55491" w:rsidRDefault="00E55491" w:rsidP="00E55491">
      <w:pPr>
        <w:pStyle w:val="Heading5"/>
      </w:pPr>
      <w:r>
        <w:lastRenderedPageBreak/>
        <w:t>Utilization Metrics</w:t>
      </w:r>
    </w:p>
    <w:p w14:paraId="45E40D2A" w14:textId="77777777" w:rsidR="00E55491" w:rsidRDefault="00E55491" w:rsidP="00E55491">
      <w:r>
        <w:t>One common reason behind contention is high utilization. Not all usage metrics are relevant to performance, so the following only lists the relevant ones.</w:t>
      </w:r>
    </w:p>
    <w:p w14:paraId="58D9F04E" w14:textId="77777777" w:rsidR="00E55491" w:rsidRPr="001E66A0" w:rsidRDefault="00E55491" w:rsidP="00E55491">
      <w:pPr>
        <w:pStyle w:val="BeforeTable"/>
      </w:pPr>
    </w:p>
    <w:tbl>
      <w:tblPr>
        <w:tblStyle w:val="GridTable1Light-Accent3"/>
        <w:tblW w:w="0" w:type="auto"/>
        <w:tblBorders>
          <w:left w:val="none" w:sz="0" w:space="0" w:color="auto"/>
          <w:right w:val="none" w:sz="0" w:space="0" w:color="auto"/>
          <w:insideV w:val="none" w:sz="0" w:space="0" w:color="auto"/>
        </w:tblBorders>
        <w:tblCellMar>
          <w:top w:w="57" w:type="dxa"/>
          <w:bottom w:w="57" w:type="dxa"/>
        </w:tblCellMar>
        <w:tblLook w:val="0480" w:firstRow="0" w:lastRow="0" w:firstColumn="1" w:lastColumn="0" w:noHBand="0" w:noVBand="1"/>
      </w:tblPr>
      <w:tblGrid>
        <w:gridCol w:w="4815"/>
        <w:gridCol w:w="5641"/>
      </w:tblGrid>
      <w:tr w:rsidR="00E55491" w14:paraId="44DB1EC6" w14:textId="77777777" w:rsidTr="00281329">
        <w:tc>
          <w:tcPr>
            <w:cnfStyle w:val="001000000000" w:firstRow="0" w:lastRow="0" w:firstColumn="1" w:lastColumn="0" w:oddVBand="0" w:evenVBand="0" w:oddHBand="0" w:evenHBand="0" w:firstRowFirstColumn="0" w:firstRowLastColumn="0" w:lastRowFirstColumn="0" w:lastRowLastColumn="0"/>
            <w:tcW w:w="4815" w:type="dxa"/>
            <w:shd w:val="clear" w:color="auto" w:fill="F2F2F2" w:themeFill="background1" w:themeFillShade="F2"/>
          </w:tcPr>
          <w:p w14:paraId="3BE4B754" w14:textId="77777777" w:rsidR="00E55491" w:rsidRPr="0086397A" w:rsidRDefault="00E55491" w:rsidP="00281329">
            <w:pPr>
              <w:pStyle w:val="Tablecontent"/>
              <w:rPr>
                <w:b w:val="0"/>
                <w:bCs w:val="0"/>
              </w:rPr>
            </w:pPr>
            <w:r w:rsidRPr="0086397A">
              <w:rPr>
                <w:b w:val="0"/>
                <w:bCs w:val="0"/>
              </w:rPr>
              <w:t>Number of Sessions with high utilization</w:t>
            </w:r>
          </w:p>
          <w:p w14:paraId="5059E6EF" w14:textId="77777777" w:rsidR="00E55491" w:rsidRPr="0097278F" w:rsidRDefault="00E55491" w:rsidP="00281329">
            <w:pPr>
              <w:pStyle w:val="Tablecontent"/>
              <w:rPr>
                <w:b w:val="0"/>
                <w:bCs w:val="0"/>
              </w:rPr>
            </w:pPr>
          </w:p>
        </w:tc>
        <w:tc>
          <w:tcPr>
            <w:tcW w:w="5641" w:type="dxa"/>
          </w:tcPr>
          <w:p w14:paraId="23FD3B5D" w14:textId="77777777"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Count of VDI Sessions with CPU Usage &gt; 95%.</w:t>
            </w:r>
          </w:p>
        </w:tc>
      </w:tr>
      <w:tr w:rsidR="00E55491" w14:paraId="24D4C1E9" w14:textId="77777777" w:rsidTr="00281329">
        <w:tc>
          <w:tcPr>
            <w:cnfStyle w:val="001000000000" w:firstRow="0" w:lastRow="0" w:firstColumn="1" w:lastColumn="0" w:oddVBand="0" w:evenVBand="0" w:oddHBand="0" w:evenHBand="0" w:firstRowFirstColumn="0" w:firstRowLastColumn="0" w:lastRowFirstColumn="0" w:lastRowLastColumn="0"/>
            <w:tcW w:w="4815" w:type="dxa"/>
            <w:shd w:val="clear" w:color="auto" w:fill="F2F2F2" w:themeFill="background1" w:themeFillShade="F2"/>
          </w:tcPr>
          <w:p w14:paraId="2538706B" w14:textId="77777777" w:rsidR="00E55491" w:rsidRPr="0097278F" w:rsidRDefault="00E55491" w:rsidP="00281329">
            <w:pPr>
              <w:pStyle w:val="Tablecontent"/>
              <w:rPr>
                <w:b w:val="0"/>
                <w:bCs w:val="0"/>
                <w:color w:val="A6A6A6" w:themeColor="background1" w:themeShade="A6"/>
              </w:rPr>
            </w:pPr>
            <w:r w:rsidRPr="0097278F">
              <w:rPr>
                <w:b w:val="0"/>
                <w:bCs w:val="0"/>
                <w:color w:val="A6A6A6" w:themeColor="background1" w:themeShade="A6"/>
              </w:rPr>
              <w:t>Peak CPU Utilization among VDI Sessions (%)</w:t>
            </w:r>
          </w:p>
          <w:p w14:paraId="013D6E39" w14:textId="77777777" w:rsidR="00E55491" w:rsidRPr="0086397A" w:rsidRDefault="00E55491" w:rsidP="00281329">
            <w:pPr>
              <w:pStyle w:val="Tablecontent"/>
              <w:rPr>
                <w:b w:val="0"/>
                <w:bCs w:val="0"/>
              </w:rPr>
            </w:pPr>
          </w:p>
        </w:tc>
        <w:tc>
          <w:tcPr>
            <w:tcW w:w="5641" w:type="dxa"/>
          </w:tcPr>
          <w:p w14:paraId="2CBA40C6"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Note this metric is yet to be implemented. In the mean time, use super metric.</w:t>
            </w:r>
          </w:p>
          <w:p w14:paraId="0053AB06"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If this metric hits &gt;95%, one or more users could be needing more CPU, and perhaps should be migrated to VDI Pool with larger VM.</w:t>
            </w:r>
          </w:p>
        </w:tc>
      </w:tr>
      <w:tr w:rsidR="00E55491" w14:paraId="2A88AF18" w14:textId="77777777" w:rsidTr="00281329">
        <w:tc>
          <w:tcPr>
            <w:cnfStyle w:val="001000000000" w:firstRow="0" w:lastRow="0" w:firstColumn="1" w:lastColumn="0" w:oddVBand="0" w:evenVBand="0" w:oddHBand="0" w:evenHBand="0" w:firstRowFirstColumn="0" w:firstRowLastColumn="0" w:lastRowFirstColumn="0" w:lastRowLastColumn="0"/>
            <w:tcW w:w="4815" w:type="dxa"/>
            <w:shd w:val="clear" w:color="auto" w:fill="F2F2F2" w:themeFill="background1" w:themeFillShade="F2"/>
          </w:tcPr>
          <w:p w14:paraId="111FD6BC" w14:textId="77777777" w:rsidR="00E55491" w:rsidRPr="0097278F" w:rsidRDefault="00E55491" w:rsidP="00281329">
            <w:pPr>
              <w:pStyle w:val="Tablecontent"/>
              <w:rPr>
                <w:b w:val="0"/>
                <w:bCs w:val="0"/>
                <w:color w:val="A6A6A6" w:themeColor="background1" w:themeShade="A6"/>
              </w:rPr>
            </w:pPr>
            <w:r w:rsidRPr="0097278F">
              <w:rPr>
                <w:b w:val="0"/>
                <w:bCs w:val="0"/>
              </w:rPr>
              <w:t>Lowest Free Memory among VDI Sessions (MB)</w:t>
            </w:r>
          </w:p>
        </w:tc>
        <w:tc>
          <w:tcPr>
            <w:tcW w:w="5641" w:type="dxa"/>
          </w:tcPr>
          <w:p w14:paraId="0D7DB4AB"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If this metric hits &lt;1200 MB, one or more  users could be needing more memory, and perhaps should be migrated to VDI Pool with larger VM.</w:t>
            </w:r>
          </w:p>
        </w:tc>
      </w:tr>
    </w:tbl>
    <w:p w14:paraId="58B1F8EE" w14:textId="77777777" w:rsidR="00E55491" w:rsidRDefault="00E55491" w:rsidP="00E55491">
      <w:pPr>
        <w:pStyle w:val="BeforeTable"/>
      </w:pPr>
    </w:p>
    <w:p w14:paraId="3EA7B66A" w14:textId="77777777" w:rsidR="00E55491" w:rsidRDefault="00E55491" w:rsidP="00E55491">
      <w:r>
        <w:t>If the above shows something is wrong, then you want to know many hosts are affected. This is where the Count() metric-type come in.</w:t>
      </w:r>
    </w:p>
    <w:p w14:paraId="430DCA89" w14:textId="77777777" w:rsidR="00E55491" w:rsidRDefault="00E55491" w:rsidP="00E55491">
      <w:pPr>
        <w:pStyle w:val="BeforeTable"/>
      </w:pPr>
    </w:p>
    <w:tbl>
      <w:tblPr>
        <w:tblStyle w:val="GridTable1Light-Accent3"/>
        <w:tblW w:w="10485" w:type="dxa"/>
        <w:tblBorders>
          <w:left w:val="none" w:sz="0" w:space="0" w:color="auto"/>
          <w:right w:val="none" w:sz="0" w:space="0" w:color="auto"/>
          <w:insideV w:val="none" w:sz="0" w:space="0" w:color="auto"/>
        </w:tblBorders>
        <w:tblCellMar>
          <w:top w:w="57" w:type="dxa"/>
          <w:bottom w:w="57" w:type="dxa"/>
        </w:tblCellMar>
        <w:tblLook w:val="0480" w:firstRow="0" w:lastRow="0" w:firstColumn="1" w:lastColumn="0" w:noHBand="0" w:noVBand="1"/>
      </w:tblPr>
      <w:tblGrid>
        <w:gridCol w:w="4815"/>
        <w:gridCol w:w="5670"/>
      </w:tblGrid>
      <w:tr w:rsidR="00E55491" w14:paraId="762FC86F" w14:textId="77777777" w:rsidTr="00281329">
        <w:tc>
          <w:tcPr>
            <w:cnfStyle w:val="001000000000" w:firstRow="0" w:lastRow="0" w:firstColumn="1" w:lastColumn="0" w:oddVBand="0" w:evenVBand="0" w:oddHBand="0" w:evenHBand="0" w:firstRowFirstColumn="0" w:firstRowLastColumn="0" w:lastRowFirstColumn="0" w:lastRowLastColumn="0"/>
            <w:tcW w:w="4815" w:type="dxa"/>
            <w:shd w:val="clear" w:color="auto" w:fill="F2F2F2" w:themeFill="background1" w:themeFillShade="F2"/>
          </w:tcPr>
          <w:p w14:paraId="031FD54C" w14:textId="77777777" w:rsidR="00E55491" w:rsidRPr="001E66A0" w:rsidRDefault="00E55491" w:rsidP="00281329">
            <w:pPr>
              <w:pStyle w:val="Tablecontent"/>
              <w:rPr>
                <w:b w:val="0"/>
                <w:bCs w:val="0"/>
              </w:rPr>
            </w:pPr>
            <w:r>
              <w:rPr>
                <w:b w:val="0"/>
                <w:bCs w:val="0"/>
              </w:rPr>
              <w:t>VDI Sessions</w:t>
            </w:r>
            <w:r w:rsidRPr="001E66A0">
              <w:rPr>
                <w:b w:val="0"/>
                <w:bCs w:val="0"/>
              </w:rPr>
              <w:t xml:space="preserve"> with high CPU utilization</w:t>
            </w:r>
          </w:p>
          <w:p w14:paraId="77466AD2" w14:textId="77777777" w:rsidR="00E55491" w:rsidRPr="001E66A0" w:rsidRDefault="00E55491" w:rsidP="00281329">
            <w:pPr>
              <w:pStyle w:val="Tablecontent"/>
              <w:rPr>
                <w:b w:val="0"/>
                <w:bCs w:val="0"/>
              </w:rPr>
            </w:pPr>
            <w:r>
              <w:rPr>
                <w:b w:val="0"/>
                <w:bCs w:val="0"/>
              </w:rPr>
              <w:t xml:space="preserve">VDI Sessions </w:t>
            </w:r>
            <w:r w:rsidRPr="001E66A0">
              <w:rPr>
                <w:b w:val="0"/>
                <w:bCs w:val="0"/>
              </w:rPr>
              <w:t>with low available memory</w:t>
            </w:r>
          </w:p>
        </w:tc>
        <w:tc>
          <w:tcPr>
            <w:tcW w:w="5670" w:type="dxa"/>
          </w:tcPr>
          <w:p w14:paraId="637CEC8E"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 threshold used is above 95%</w:t>
            </w:r>
          </w:p>
          <w:p w14:paraId="4A8BF481" w14:textId="77777777"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The threshold used is above 500 MB</w:t>
            </w:r>
          </w:p>
        </w:tc>
      </w:tr>
    </w:tbl>
    <w:p w14:paraId="222946C8" w14:textId="77777777" w:rsidR="00E55491" w:rsidRDefault="00E55491" w:rsidP="00E55491">
      <w:pPr>
        <w:pStyle w:val="BeforeTable"/>
      </w:pPr>
    </w:p>
    <w:p w14:paraId="248D3542" w14:textId="77777777" w:rsidR="00E55491" w:rsidRDefault="00E55491" w:rsidP="00E55491">
      <w:r>
        <w:t>For the network metrics, see RDS Farm.</w:t>
      </w:r>
    </w:p>
    <w:p w14:paraId="5840ED35" w14:textId="77777777" w:rsidR="00E55491" w:rsidRDefault="00E55491" w:rsidP="00E55491">
      <w:r>
        <w:t>Disk utilization is less useful for the reason explained in RDS Farm.</w:t>
      </w:r>
    </w:p>
    <w:p w14:paraId="4DD8E7FD" w14:textId="77777777" w:rsidR="00E55491" w:rsidRDefault="00E55491" w:rsidP="00E55491">
      <w:r>
        <w:t xml:space="preserve">Note that the metrics </w:t>
      </w:r>
      <w:r w:rsidRPr="005E2248">
        <w:t>Average CPU Usage and Average Memory Usage</w:t>
      </w:r>
      <w:r w:rsidRPr="005E2248">
        <w:rPr>
          <w:b/>
          <w:bCs/>
        </w:rPr>
        <w:t xml:space="preserve"> </w:t>
      </w:r>
      <w:r>
        <w:t xml:space="preserve">are intentionally </w:t>
      </w:r>
      <w:r w:rsidRPr="00742C4E">
        <w:rPr>
          <w:i/>
          <w:iCs/>
          <w:color w:val="FF0000"/>
        </w:rPr>
        <w:t>not</w:t>
      </w:r>
      <w:r w:rsidRPr="00742C4E">
        <w:rPr>
          <w:color w:val="FF0000"/>
        </w:rPr>
        <w:t xml:space="preserve"> </w:t>
      </w:r>
      <w:r>
        <w:t>provided as they serve neither performance management nor capacity management.</w:t>
      </w:r>
    </w:p>
    <w:p w14:paraId="1548B7AB" w14:textId="77777777" w:rsidR="00E55491" w:rsidRDefault="00E55491" w:rsidP="00E55491">
      <w:r>
        <w:t xml:space="preserve">The disparity metrics are not applicable as there are bounds to be disparity among users. </w:t>
      </w:r>
    </w:p>
    <w:p w14:paraId="21BADE09" w14:textId="77777777" w:rsidR="00E55491" w:rsidRDefault="00E55491" w:rsidP="00E55491">
      <w:pPr>
        <w:pStyle w:val="Heading4"/>
      </w:pPr>
      <w:r>
        <w:t>Horizon Pod</w:t>
      </w:r>
    </w:p>
    <w:p w14:paraId="18E4BA9E" w14:textId="77777777" w:rsidR="00E55491" w:rsidRDefault="00E55491" w:rsidP="00E55491">
      <w:pPr>
        <w:rPr>
          <w:lang w:val="en-GB"/>
        </w:rPr>
      </w:pPr>
      <w:r>
        <w:rPr>
          <w:lang w:val="en-GB"/>
        </w:rPr>
        <w:t>Now that we have the KPIs for all key objects, we can roll up. A pod is simply a group of VDI Pool and/or RDS Farm. It has Connection Servers but they are not in the data path once user is authenticated.</w:t>
      </w:r>
    </w:p>
    <w:p w14:paraId="19D7ED7B" w14:textId="77777777" w:rsidR="00E55491" w:rsidRDefault="00E55491" w:rsidP="00E55491">
      <w:pPr>
        <w:pStyle w:val="Heading5"/>
      </w:pPr>
      <w:r>
        <w:lastRenderedPageBreak/>
        <w:t>KPI Metrics</w:t>
      </w:r>
    </w:p>
    <w:tbl>
      <w:tblPr>
        <w:tblStyle w:val="GridTable1Light-Accent3"/>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none" w:sz="0" w:space="0" w:color="auto"/>
          <w:insideV w:val="none" w:sz="0" w:space="0" w:color="auto"/>
        </w:tblBorders>
        <w:tblLook w:val="0480" w:firstRow="0" w:lastRow="0" w:firstColumn="1" w:lastColumn="0" w:noHBand="0" w:noVBand="1"/>
      </w:tblPr>
      <w:tblGrid>
        <w:gridCol w:w="4815"/>
        <w:gridCol w:w="5641"/>
      </w:tblGrid>
      <w:tr w:rsidR="00E55491" w14:paraId="78217D1D" w14:textId="77777777" w:rsidTr="00281329">
        <w:tc>
          <w:tcPr>
            <w:cnfStyle w:val="001000000000" w:firstRow="0" w:lastRow="0" w:firstColumn="1" w:lastColumn="0" w:oddVBand="0" w:evenVBand="0" w:oddHBand="0" w:evenHBand="0" w:firstRowFirstColumn="0" w:firstRowLastColumn="0" w:lastRowFirstColumn="0" w:lastRowLastColumn="0"/>
            <w:tcW w:w="4815" w:type="dxa"/>
            <w:shd w:val="clear" w:color="auto" w:fill="F2F2F2" w:themeFill="background1" w:themeFillShade="F2"/>
            <w:tcMar>
              <w:top w:w="57" w:type="dxa"/>
              <w:bottom w:w="57" w:type="dxa"/>
            </w:tcMar>
          </w:tcPr>
          <w:p w14:paraId="0BBE565D" w14:textId="77777777" w:rsidR="00E55491" w:rsidRDefault="00E55491" w:rsidP="00281329">
            <w:pPr>
              <w:pStyle w:val="Tablecontent"/>
            </w:pPr>
            <w:r w:rsidRPr="002D539A">
              <w:rPr>
                <w:b w:val="0"/>
                <w:bCs w:val="0"/>
              </w:rPr>
              <w:t xml:space="preserve">Worst </w:t>
            </w:r>
            <w:r>
              <w:rPr>
                <w:b w:val="0"/>
                <w:bCs w:val="0"/>
              </w:rPr>
              <w:t>5</w:t>
            </w:r>
            <w:r w:rsidRPr="005C70E8">
              <w:rPr>
                <w:b w:val="0"/>
                <w:bCs w:val="0"/>
                <w:vertAlign w:val="superscript"/>
              </w:rPr>
              <w:t>th</w:t>
            </w:r>
            <w:r>
              <w:rPr>
                <w:b w:val="0"/>
                <w:bCs w:val="0"/>
              </w:rPr>
              <w:t xml:space="preserve"> Percentile Network KPI (%)</w:t>
            </w:r>
          </w:p>
          <w:p w14:paraId="2003D6A0" w14:textId="77777777" w:rsidR="00E55491" w:rsidRPr="001E66A0" w:rsidRDefault="00E55491" w:rsidP="00281329">
            <w:pPr>
              <w:pStyle w:val="Tablecontent"/>
              <w:rPr>
                <w:b w:val="0"/>
                <w:bCs w:val="0"/>
              </w:rPr>
            </w:pPr>
            <w:r w:rsidRPr="002D539A">
              <w:rPr>
                <w:b w:val="0"/>
                <w:bCs w:val="0"/>
              </w:rPr>
              <w:t xml:space="preserve">Worst </w:t>
            </w:r>
            <w:r>
              <w:rPr>
                <w:b w:val="0"/>
                <w:bCs w:val="0"/>
              </w:rPr>
              <w:t>5</w:t>
            </w:r>
            <w:r w:rsidRPr="005C70E8">
              <w:rPr>
                <w:b w:val="0"/>
                <w:bCs w:val="0"/>
                <w:vertAlign w:val="superscript"/>
              </w:rPr>
              <w:t>th</w:t>
            </w:r>
            <w:r>
              <w:rPr>
                <w:b w:val="0"/>
                <w:bCs w:val="0"/>
              </w:rPr>
              <w:t xml:space="preserve"> Percentile DC KPI (%)</w:t>
            </w:r>
          </w:p>
        </w:tc>
        <w:tc>
          <w:tcPr>
            <w:tcW w:w="5641" w:type="dxa"/>
            <w:tcMar>
              <w:top w:w="57" w:type="dxa"/>
              <w:bottom w:w="57" w:type="dxa"/>
            </w:tcMar>
          </w:tcPr>
          <w:p w14:paraId="4E4D6B60"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 xml:space="preserve">The primary metrics. </w:t>
            </w:r>
          </w:p>
          <w:p w14:paraId="0B1D2502" w14:textId="77777777"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Based on all the RDS Farms and VDI Pools in the Pod</w:t>
            </w:r>
          </w:p>
        </w:tc>
      </w:tr>
    </w:tbl>
    <w:p w14:paraId="37C9B500" w14:textId="77777777" w:rsidR="00E55491" w:rsidRDefault="00E55491" w:rsidP="00E55491">
      <w:pPr>
        <w:pStyle w:val="BeforeTable"/>
      </w:pPr>
    </w:p>
    <w:p w14:paraId="50319764" w14:textId="77777777" w:rsidR="00E55491" w:rsidRDefault="00E55491" w:rsidP="00E55491">
      <w:r>
        <w:t>If the above is bad, then you dive into the individual farm or pool. If you want to see how bad the situation, use the following</w:t>
      </w:r>
    </w:p>
    <w:p w14:paraId="1989C1BB" w14:textId="77777777" w:rsidR="00E55491" w:rsidRDefault="00E55491" w:rsidP="00E55491">
      <w:pPr>
        <w:pStyle w:val="BeforeTable"/>
      </w:pPr>
    </w:p>
    <w:tbl>
      <w:tblPr>
        <w:tblStyle w:val="GridTable1Light-Accent3"/>
        <w:tblW w:w="0" w:type="auto"/>
        <w:tblBorders>
          <w:left w:val="none" w:sz="0" w:space="0" w:color="auto"/>
          <w:right w:val="none" w:sz="0" w:space="0" w:color="auto"/>
          <w:insideV w:val="none" w:sz="0" w:space="0" w:color="auto"/>
        </w:tblBorders>
        <w:tblLook w:val="0480" w:firstRow="0" w:lastRow="0" w:firstColumn="1" w:lastColumn="0" w:noHBand="0" w:noVBand="1"/>
      </w:tblPr>
      <w:tblGrid>
        <w:gridCol w:w="4815"/>
        <w:gridCol w:w="5641"/>
      </w:tblGrid>
      <w:tr w:rsidR="00E55491" w14:paraId="5BC02C5A" w14:textId="77777777" w:rsidTr="00281329">
        <w:tc>
          <w:tcPr>
            <w:cnfStyle w:val="001000000000" w:firstRow="0" w:lastRow="0" w:firstColumn="1" w:lastColumn="0" w:oddVBand="0" w:evenVBand="0" w:oddHBand="0" w:evenHBand="0" w:firstRowFirstColumn="0" w:firstRowLastColumn="0" w:lastRowFirstColumn="0" w:lastRowLastColumn="0"/>
            <w:tcW w:w="4815" w:type="dxa"/>
            <w:shd w:val="clear" w:color="auto" w:fill="F2F2F2" w:themeFill="background1" w:themeFillShade="F2"/>
            <w:tcMar>
              <w:top w:w="57" w:type="dxa"/>
              <w:bottom w:w="57" w:type="dxa"/>
            </w:tcMar>
          </w:tcPr>
          <w:p w14:paraId="54D9D3B6" w14:textId="400C20A4" w:rsidR="00E55491" w:rsidRDefault="00E55491" w:rsidP="00281329">
            <w:pPr>
              <w:pStyle w:val="Tablecontent"/>
            </w:pPr>
            <w:r>
              <w:rPr>
                <w:b w:val="0"/>
                <w:bCs w:val="0"/>
              </w:rPr>
              <w:t xml:space="preserve">Farms or Pools with </w:t>
            </w:r>
            <w:r w:rsidR="00CF7D2C" w:rsidRPr="00CF7D2C">
              <w:rPr>
                <w:b w:val="0"/>
                <w:bCs w:val="0"/>
                <w:color w:val="FF0000"/>
              </w:rPr>
              <w:t>Red</w:t>
            </w:r>
            <w:r>
              <w:rPr>
                <w:b w:val="0"/>
                <w:bCs w:val="0"/>
              </w:rPr>
              <w:t xml:space="preserve"> DC KPI</w:t>
            </w:r>
          </w:p>
          <w:p w14:paraId="439BD079" w14:textId="20E38C3F" w:rsidR="00E55491" w:rsidRDefault="00E55491" w:rsidP="00281329">
            <w:pPr>
              <w:pStyle w:val="Tablecontent"/>
              <w:rPr>
                <w:b w:val="0"/>
                <w:bCs w:val="0"/>
              </w:rPr>
            </w:pPr>
            <w:r>
              <w:rPr>
                <w:b w:val="0"/>
                <w:bCs w:val="0"/>
              </w:rPr>
              <w:t xml:space="preserve">Farms or Pools with </w:t>
            </w:r>
            <w:r w:rsidR="00CF7D2C" w:rsidRPr="00CF7D2C">
              <w:rPr>
                <w:b w:val="0"/>
                <w:bCs w:val="0"/>
                <w:color w:val="FF0000"/>
              </w:rPr>
              <w:t>Red</w:t>
            </w:r>
            <w:r>
              <w:rPr>
                <w:b w:val="0"/>
                <w:bCs w:val="0"/>
              </w:rPr>
              <w:t xml:space="preserve"> Network KPI</w:t>
            </w:r>
          </w:p>
        </w:tc>
        <w:tc>
          <w:tcPr>
            <w:tcW w:w="5641" w:type="dxa"/>
            <w:tcMar>
              <w:top w:w="57" w:type="dxa"/>
              <w:bottom w:w="57" w:type="dxa"/>
            </w:tcMar>
          </w:tcPr>
          <w:p w14:paraId="4B998640"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Aim for this number to be 0 as the farm KPI or pool KPI is the average of all their members. It’s a lagging indicator.</w:t>
            </w:r>
          </w:p>
        </w:tc>
      </w:tr>
      <w:tr w:rsidR="00E55491" w14:paraId="004A9988" w14:textId="77777777" w:rsidTr="00281329">
        <w:tc>
          <w:tcPr>
            <w:cnfStyle w:val="001000000000" w:firstRow="0" w:lastRow="0" w:firstColumn="1" w:lastColumn="0" w:oddVBand="0" w:evenVBand="0" w:oddHBand="0" w:evenHBand="0" w:firstRowFirstColumn="0" w:firstRowLastColumn="0" w:lastRowFirstColumn="0" w:lastRowLastColumn="0"/>
            <w:tcW w:w="4815" w:type="dxa"/>
            <w:shd w:val="clear" w:color="auto" w:fill="F2F2F2" w:themeFill="background1" w:themeFillShade="F2"/>
            <w:tcMar>
              <w:top w:w="57" w:type="dxa"/>
              <w:bottom w:w="57" w:type="dxa"/>
            </w:tcMar>
          </w:tcPr>
          <w:p w14:paraId="76725022" w14:textId="77777777" w:rsidR="00E55491" w:rsidRDefault="00E55491" w:rsidP="00281329">
            <w:pPr>
              <w:pStyle w:val="Tablecontent"/>
            </w:pPr>
            <w:r>
              <w:rPr>
                <w:b w:val="0"/>
                <w:bCs w:val="0"/>
              </w:rPr>
              <w:t>Network KPI (%)</w:t>
            </w:r>
          </w:p>
          <w:p w14:paraId="1A792795" w14:textId="77777777" w:rsidR="00E55491" w:rsidRPr="001E66A0" w:rsidRDefault="00E55491" w:rsidP="00281329">
            <w:pPr>
              <w:pStyle w:val="Tablecontent"/>
            </w:pPr>
            <w:r>
              <w:rPr>
                <w:b w:val="0"/>
                <w:bCs w:val="0"/>
              </w:rPr>
              <w:t>DC KPI (%)</w:t>
            </w:r>
          </w:p>
        </w:tc>
        <w:tc>
          <w:tcPr>
            <w:tcW w:w="5641" w:type="dxa"/>
            <w:tcMar>
              <w:top w:w="57" w:type="dxa"/>
              <w:bottom w:w="57" w:type="dxa"/>
            </w:tcMar>
          </w:tcPr>
          <w:p w14:paraId="34F04317"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While it’s a lagging indicators, it gives the full picture.</w:t>
            </w:r>
          </w:p>
        </w:tc>
      </w:tr>
    </w:tbl>
    <w:p w14:paraId="48F0B785" w14:textId="77777777" w:rsidR="00E55491" w:rsidRDefault="00E55491" w:rsidP="00E55491">
      <w:pPr>
        <w:rPr>
          <w:lang w:val="en-GB"/>
        </w:rPr>
      </w:pPr>
      <w:r>
        <w:rPr>
          <w:lang w:val="en-GB"/>
        </w:rPr>
        <w:t xml:space="preserve">Since Pod contain Horizon servers, we add </w:t>
      </w:r>
      <w:r>
        <w:rPr>
          <w:color w:val="00B0F0"/>
        </w:rPr>
        <w:t xml:space="preserve">Worst </w:t>
      </w:r>
      <w:r w:rsidRPr="00A17EFA">
        <w:rPr>
          <w:color w:val="00B0F0"/>
        </w:rPr>
        <w:t>5</w:t>
      </w:r>
      <w:r w:rsidRPr="00A17EFA">
        <w:rPr>
          <w:color w:val="00B0F0"/>
          <w:vertAlign w:val="superscript"/>
        </w:rPr>
        <w:t>th</w:t>
      </w:r>
      <w:r w:rsidRPr="00A17EFA">
        <w:rPr>
          <w:color w:val="00B0F0"/>
        </w:rPr>
        <w:t xml:space="preserve"> Percentile Connection Servers DC KPI (%)</w:t>
      </w:r>
      <w:r>
        <w:t xml:space="preserve"> metric to help in monitoring. From here, you dive into the individual servers.</w:t>
      </w:r>
    </w:p>
    <w:p w14:paraId="55BD3D3D" w14:textId="77777777" w:rsidR="00E55491" w:rsidRDefault="00E55491" w:rsidP="00E55491">
      <w:pPr>
        <w:pStyle w:val="Heading5"/>
      </w:pPr>
      <w:r>
        <w:t>Contention Metrics</w:t>
      </w:r>
    </w:p>
    <w:p w14:paraId="57E31FCE" w14:textId="77777777" w:rsidR="00E55491" w:rsidRDefault="00E55491" w:rsidP="00E55491">
      <w:pPr>
        <w:rPr>
          <w:lang w:val="en-GB"/>
        </w:rPr>
      </w:pPr>
      <w:r>
        <w:rPr>
          <w:lang w:val="en-GB"/>
        </w:rPr>
        <w:t xml:space="preserve">Horizon Pod is too large an object to perform troubleshooting. You need to zoom into a specific farm or pool. </w:t>
      </w:r>
    </w:p>
    <w:p w14:paraId="3F480916" w14:textId="77777777" w:rsidR="00E55491" w:rsidRDefault="00E55491" w:rsidP="00E55491">
      <w:pPr>
        <w:rPr>
          <w:lang w:val="en-GB"/>
        </w:rPr>
      </w:pPr>
      <w:r>
        <w:rPr>
          <w:lang w:val="en-GB"/>
        </w:rPr>
        <w:t>At the pod level, the following is provided as the number of data points is a lot less.</w:t>
      </w:r>
    </w:p>
    <w:p w14:paraId="4991765F" w14:textId="77777777" w:rsidR="00E55491" w:rsidRPr="00744A00" w:rsidRDefault="00E55491" w:rsidP="00E55491">
      <w:pPr>
        <w:pStyle w:val="BeforeTable"/>
        <w:rPr>
          <w:lang w:val="en-GB"/>
        </w:rPr>
      </w:pPr>
    </w:p>
    <w:tbl>
      <w:tblPr>
        <w:tblStyle w:val="GridTable1Light-Accent3"/>
        <w:tblW w:w="0" w:type="auto"/>
        <w:tblBorders>
          <w:left w:val="none" w:sz="0" w:space="0" w:color="auto"/>
          <w:right w:val="none" w:sz="0" w:space="0" w:color="auto"/>
          <w:insideV w:val="none" w:sz="0" w:space="0" w:color="auto"/>
        </w:tblBorders>
        <w:tblLook w:val="0480" w:firstRow="0" w:lastRow="0" w:firstColumn="1" w:lastColumn="0" w:noHBand="0" w:noVBand="1"/>
      </w:tblPr>
      <w:tblGrid>
        <w:gridCol w:w="4815"/>
        <w:gridCol w:w="5641"/>
      </w:tblGrid>
      <w:tr w:rsidR="00E55491" w14:paraId="6BECA849" w14:textId="77777777" w:rsidTr="00281329">
        <w:tc>
          <w:tcPr>
            <w:cnfStyle w:val="001000000000" w:firstRow="0" w:lastRow="0" w:firstColumn="1" w:lastColumn="0" w:oddVBand="0" w:evenVBand="0" w:oddHBand="0" w:evenHBand="0" w:firstRowFirstColumn="0" w:firstRowLastColumn="0" w:lastRowFirstColumn="0" w:lastRowLastColumn="0"/>
            <w:tcW w:w="4815" w:type="dxa"/>
            <w:shd w:val="clear" w:color="auto" w:fill="F2F2F2" w:themeFill="background1" w:themeFillShade="F2"/>
            <w:tcMar>
              <w:top w:w="57" w:type="dxa"/>
              <w:bottom w:w="57" w:type="dxa"/>
            </w:tcMar>
          </w:tcPr>
          <w:p w14:paraId="6C76EB22" w14:textId="77777777" w:rsidR="00E55491" w:rsidRDefault="00E55491" w:rsidP="00281329">
            <w:pPr>
              <w:pStyle w:val="Tablecontent"/>
            </w:pPr>
            <w:r w:rsidRPr="00472AD8">
              <w:rPr>
                <w:b w:val="0"/>
                <w:bCs w:val="0"/>
              </w:rPr>
              <w:t xml:space="preserve">Worst </w:t>
            </w:r>
            <w:r>
              <w:rPr>
                <w:b w:val="0"/>
                <w:bCs w:val="0"/>
              </w:rPr>
              <w:t>time taken to load profile</w:t>
            </w:r>
          </w:p>
          <w:p w14:paraId="29276247" w14:textId="77777777" w:rsidR="00E55491" w:rsidRPr="001E66A0" w:rsidRDefault="00E55491" w:rsidP="00281329">
            <w:pPr>
              <w:pStyle w:val="Tablecontent"/>
            </w:pPr>
            <w:r>
              <w:rPr>
                <w:b w:val="0"/>
                <w:bCs w:val="0"/>
              </w:rPr>
              <w:t>Worst time taken to logon</w:t>
            </w:r>
          </w:p>
        </w:tc>
        <w:tc>
          <w:tcPr>
            <w:tcW w:w="5641" w:type="dxa"/>
            <w:tcMar>
              <w:top w:w="57" w:type="dxa"/>
              <w:bottom w:w="57" w:type="dxa"/>
            </w:tcMar>
          </w:tcPr>
          <w:p w14:paraId="66F1F90F"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We use the worst instead of the worst 5</w:t>
            </w:r>
            <w:r w:rsidRPr="00F62956">
              <w:rPr>
                <w:vertAlign w:val="superscript"/>
              </w:rPr>
              <w:t>th</w:t>
            </w:r>
            <w:r>
              <w:t xml:space="preserve"> percentile as it’s an event, not metric. It does not happen every 5 minutes so the number of data points is a lot less.</w:t>
            </w:r>
          </w:p>
        </w:tc>
      </w:tr>
    </w:tbl>
    <w:p w14:paraId="7100F1AD" w14:textId="77777777" w:rsidR="00E55491" w:rsidRDefault="00E55491" w:rsidP="00E55491">
      <w:pPr>
        <w:rPr>
          <w:lang w:val="en-GB"/>
        </w:rPr>
      </w:pPr>
      <w:r>
        <w:rPr>
          <w:lang w:val="en-GB"/>
        </w:rPr>
        <w:t>If you have a problem that impacts the entire pod, check at vSphere clusters and DC level as it could be something common.</w:t>
      </w:r>
    </w:p>
    <w:p w14:paraId="4C446F1C" w14:textId="77777777" w:rsidR="00E55491" w:rsidRDefault="00E55491" w:rsidP="00E55491">
      <w:pPr>
        <w:pStyle w:val="Heading5"/>
      </w:pPr>
      <w:r>
        <w:t>Utilization Metrics</w:t>
      </w:r>
    </w:p>
    <w:p w14:paraId="78676959" w14:textId="77777777" w:rsidR="00E55491" w:rsidRDefault="00E55491" w:rsidP="00E55491">
      <w:r>
        <w:t>One common reason behind contention is high utilization. As Pod is a large object, its utilization can potentially exceed what the infrastructure is able to deliver.</w:t>
      </w:r>
      <w:r w:rsidRPr="003953E0">
        <w:t xml:space="preserve"> </w:t>
      </w:r>
      <w:r>
        <w:t>Start with the total utilization:</w:t>
      </w:r>
    </w:p>
    <w:p w14:paraId="324175EA" w14:textId="77777777" w:rsidR="00E55491" w:rsidRPr="00744A00" w:rsidRDefault="00E55491" w:rsidP="00E55491">
      <w:pPr>
        <w:pStyle w:val="BeforeTable"/>
        <w:rPr>
          <w:lang w:val="en-GB"/>
        </w:rPr>
      </w:pPr>
    </w:p>
    <w:tbl>
      <w:tblPr>
        <w:tblStyle w:val="GridTable1Light-Accent3"/>
        <w:tblW w:w="0" w:type="auto"/>
        <w:tblBorders>
          <w:left w:val="none" w:sz="0" w:space="0" w:color="auto"/>
          <w:insideV w:val="none" w:sz="0" w:space="0" w:color="auto"/>
        </w:tblBorders>
        <w:tblLook w:val="0480" w:firstRow="0" w:lastRow="0" w:firstColumn="1" w:lastColumn="0" w:noHBand="0" w:noVBand="1"/>
      </w:tblPr>
      <w:tblGrid>
        <w:gridCol w:w="2972"/>
        <w:gridCol w:w="7484"/>
      </w:tblGrid>
      <w:tr w:rsidR="00E55491" w14:paraId="40872E12" w14:textId="77777777" w:rsidTr="00281329">
        <w:tc>
          <w:tcPr>
            <w:cnfStyle w:val="001000000000" w:firstRow="0" w:lastRow="0" w:firstColumn="1" w:lastColumn="0" w:oddVBand="0" w:evenVBand="0" w:oddHBand="0" w:evenHBand="0" w:firstRowFirstColumn="0" w:firstRowLastColumn="0" w:lastRowFirstColumn="0" w:lastRowLastColumn="0"/>
            <w:tcW w:w="2972" w:type="dxa"/>
            <w:shd w:val="clear" w:color="auto" w:fill="F2F2F2" w:themeFill="background1" w:themeFillShade="F2"/>
            <w:tcMar>
              <w:top w:w="57" w:type="dxa"/>
              <w:bottom w:w="57" w:type="dxa"/>
            </w:tcMar>
          </w:tcPr>
          <w:p w14:paraId="14557225" w14:textId="77777777" w:rsidR="00E55491" w:rsidRPr="00953C2F" w:rsidRDefault="00E55491" w:rsidP="00281329">
            <w:pPr>
              <w:pStyle w:val="Tablecontent"/>
            </w:pPr>
            <w:r>
              <w:rPr>
                <w:b w:val="0"/>
                <w:bCs w:val="0"/>
              </w:rPr>
              <w:t>CPU Utilization</w:t>
            </w:r>
          </w:p>
        </w:tc>
        <w:tc>
          <w:tcPr>
            <w:tcW w:w="7484" w:type="dxa"/>
            <w:tcMar>
              <w:top w:w="57" w:type="dxa"/>
              <w:bottom w:w="57" w:type="dxa"/>
            </w:tcMar>
          </w:tcPr>
          <w:p w14:paraId="2D08AAA4" w14:textId="77777777" w:rsidR="00E55491" w:rsidRPr="001E66A0"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Memory is not included as it’s actually disk space. Disk space impact capacity, not performance. Memory usage matters in resource provider, such as ESXi.</w:t>
            </w:r>
          </w:p>
        </w:tc>
      </w:tr>
      <w:tr w:rsidR="00E55491" w14:paraId="6656ED69" w14:textId="77777777" w:rsidTr="00281329">
        <w:tc>
          <w:tcPr>
            <w:cnfStyle w:val="001000000000" w:firstRow="0" w:lastRow="0" w:firstColumn="1" w:lastColumn="0" w:oddVBand="0" w:evenVBand="0" w:oddHBand="0" w:evenHBand="0" w:firstRowFirstColumn="0" w:firstRowLastColumn="0" w:lastRowFirstColumn="0" w:lastRowLastColumn="0"/>
            <w:tcW w:w="2972" w:type="dxa"/>
            <w:shd w:val="clear" w:color="auto" w:fill="F2F2F2" w:themeFill="background1" w:themeFillShade="F2"/>
            <w:tcMar>
              <w:top w:w="57" w:type="dxa"/>
              <w:bottom w:w="57" w:type="dxa"/>
            </w:tcMar>
          </w:tcPr>
          <w:p w14:paraId="1CFF2FE0" w14:textId="77777777" w:rsidR="00E55491" w:rsidRDefault="00E55491" w:rsidP="00281329">
            <w:pPr>
              <w:pStyle w:val="Tablecontent"/>
              <w:rPr>
                <w:b w:val="0"/>
                <w:bCs w:val="0"/>
              </w:rPr>
            </w:pPr>
            <w:r>
              <w:rPr>
                <w:b w:val="0"/>
                <w:bCs w:val="0"/>
              </w:rPr>
              <w:t>Disk IOP</w:t>
            </w:r>
            <w:r w:rsidRPr="00A9433D">
              <w:rPr>
                <w:b w:val="0"/>
                <w:bCs w:val="0"/>
              </w:rPr>
              <w:t>S</w:t>
            </w:r>
          </w:p>
          <w:p w14:paraId="04DC54DC" w14:textId="77777777" w:rsidR="00E55491" w:rsidRDefault="00E55491" w:rsidP="00281329">
            <w:pPr>
              <w:pStyle w:val="Tablecontent"/>
              <w:rPr>
                <w:b w:val="0"/>
                <w:bCs w:val="0"/>
              </w:rPr>
            </w:pPr>
            <w:r w:rsidRPr="00A9433D">
              <w:rPr>
                <w:b w:val="0"/>
                <w:bCs w:val="0"/>
              </w:rPr>
              <w:t>Disk Throughput</w:t>
            </w:r>
          </w:p>
        </w:tc>
        <w:tc>
          <w:tcPr>
            <w:tcW w:w="7484" w:type="dxa"/>
            <w:tcMar>
              <w:top w:w="57" w:type="dxa"/>
              <w:bottom w:w="57" w:type="dxa"/>
            </w:tcMar>
          </w:tcPr>
          <w:p w14:paraId="13B01D0B" w14:textId="77777777" w:rsidR="00E55491" w:rsidRDefault="00E55491" w:rsidP="00281329">
            <w:pPr>
              <w:pStyle w:val="Tablecontent"/>
              <w:cnfStyle w:val="000000000000" w:firstRow="0" w:lastRow="0" w:firstColumn="0" w:lastColumn="0" w:oddVBand="0" w:evenVBand="0" w:oddHBand="0" w:evenHBand="0" w:firstRowFirstColumn="0" w:firstRowLastColumn="0" w:lastRowFirstColumn="0" w:lastRowLastColumn="0"/>
            </w:pPr>
            <w:r>
              <w:t>If the number is higher than what you expect, then drill down to read and write.</w:t>
            </w:r>
          </w:p>
        </w:tc>
      </w:tr>
    </w:tbl>
    <w:p w14:paraId="2FDEBAC0" w14:textId="77777777" w:rsidR="00E55491" w:rsidRDefault="00E55491" w:rsidP="00E55491">
      <w:r>
        <w:lastRenderedPageBreak/>
        <w:t xml:space="preserve">The problem could also be caused by high utilization within the VDI VM or RDS Host. You did profile your environment, didn’t you? </w:t>
      </w:r>
    </w:p>
    <w:p w14:paraId="0EAF16EB" w14:textId="77777777" w:rsidR="00E55491" w:rsidRDefault="00E55491" w:rsidP="00E55491">
      <w:r>
        <w:rPr>
          <w:lang w:val="en-GB"/>
        </w:rPr>
        <w:t xml:space="preserve">Since Pod contain Horizon servers, we add </w:t>
      </w:r>
      <w:r w:rsidRPr="003A1D0E">
        <w:t>the following me</w:t>
      </w:r>
      <w:r>
        <w:t>tric to help in monitoring. From here, you dive into the individual servers.</w:t>
      </w:r>
    </w:p>
    <w:p w14:paraId="6E0EED91" w14:textId="77777777" w:rsidR="00E55491" w:rsidRPr="003A1D0E" w:rsidRDefault="00E55491" w:rsidP="00E55491">
      <w:pPr>
        <w:pStyle w:val="Bullet"/>
        <w:rPr>
          <w:lang w:val="en-GB"/>
        </w:rPr>
      </w:pPr>
      <w:r w:rsidRPr="003A1D0E">
        <w:rPr>
          <w:lang w:val="en-GB"/>
        </w:rPr>
        <w:t>CPU Usage per Connection Server</w:t>
      </w:r>
    </w:p>
    <w:p w14:paraId="4DBCB65B" w14:textId="77777777" w:rsidR="00E55491" w:rsidRDefault="00E55491" w:rsidP="00E55491">
      <w:pPr>
        <w:pStyle w:val="Bullet"/>
        <w:rPr>
          <w:lang w:val="en-GB"/>
        </w:rPr>
      </w:pPr>
      <w:r w:rsidRPr="003A1D0E">
        <w:rPr>
          <w:lang w:val="en-GB"/>
        </w:rPr>
        <w:t>Memory Usage per Connection Server</w:t>
      </w:r>
    </w:p>
    <w:p w14:paraId="5BACA370" w14:textId="77777777" w:rsidR="00E55491" w:rsidRDefault="00E55491" w:rsidP="00E55491">
      <w:pPr>
        <w:pStyle w:val="Heading4"/>
      </w:pPr>
      <w:r>
        <w:t>Horizon World</w:t>
      </w:r>
    </w:p>
    <w:p w14:paraId="0906EC7D" w14:textId="77777777" w:rsidR="00E55491" w:rsidRDefault="00E55491" w:rsidP="00E55491">
      <w:pPr>
        <w:rPr>
          <w:lang w:val="en-GB"/>
        </w:rPr>
      </w:pPr>
      <w:r>
        <w:rPr>
          <w:lang w:val="en-GB"/>
        </w:rPr>
        <w:t>We do not aggregate at Horizon Site and Horizon CPA level to minimize footprint of vRealize Operations. If you have the need, let us know with the specific example. In the mean time, use super metric.</w:t>
      </w:r>
    </w:p>
    <w:p w14:paraId="69AB20FE" w14:textId="77777777" w:rsidR="00E55491" w:rsidRDefault="00E55491" w:rsidP="00E55491">
      <w:pPr>
        <w:rPr>
          <w:lang w:val="en-GB"/>
        </w:rPr>
      </w:pPr>
      <w:r>
        <w:rPr>
          <w:lang w:val="en-GB"/>
        </w:rPr>
        <w:t>Similar to a Pod, start with the main KPI metric, and then you dive into a pod, and then into a farm or pool. You do not do troubleshooting at World or Site level.</w:t>
      </w:r>
    </w:p>
    <w:p w14:paraId="4AFCCF5A" w14:textId="64BD385E" w:rsidR="00E55491" w:rsidRDefault="00E55491" w:rsidP="00E55491">
      <w:pPr>
        <w:pStyle w:val="Heading3"/>
      </w:pPr>
      <w:r>
        <w:t xml:space="preserve">Capacity </w:t>
      </w:r>
    </w:p>
    <w:p w14:paraId="5FAB91A0" w14:textId="77777777" w:rsidR="00E55491" w:rsidRDefault="00E55491" w:rsidP="00E55491">
      <w:pPr>
        <w:rPr>
          <w:lang w:val="en-GB"/>
        </w:rPr>
      </w:pPr>
      <w:r>
        <w:rPr>
          <w:lang w:val="en-GB"/>
        </w:rPr>
        <w:t>Horizon consists of different components, each having their own capacity model. Not all components have capacity need, meaning you do not need to do capacity planning and adjustment.</w:t>
      </w:r>
    </w:p>
    <w:p w14:paraId="53FE9079" w14:textId="77777777" w:rsidR="00E55491" w:rsidRDefault="00E55491" w:rsidP="00E55491">
      <w:pPr>
        <w:pStyle w:val="BeforeTable"/>
        <w:rPr>
          <w:lang w:val="en-GB"/>
        </w:rPr>
      </w:pPr>
    </w:p>
    <w:tbl>
      <w:tblPr>
        <w:tblStyle w:val="TableGrid"/>
        <w:tblW w:w="0" w:type="auto"/>
        <w:tblBorders>
          <w:top w:val="single" w:sz="4" w:space="0" w:color="DBDBDB" w:themeColor="accent3" w:themeTint="66"/>
          <w:left w:val="none" w:sz="0" w:space="0" w:color="auto"/>
          <w:bottom w:val="single" w:sz="4" w:space="0" w:color="DBDBDB" w:themeColor="accent3" w:themeTint="66"/>
          <w:right w:val="single" w:sz="4" w:space="0" w:color="DBDBDB" w:themeColor="accent3" w:themeTint="66"/>
          <w:insideH w:val="single" w:sz="4" w:space="0" w:color="DBDBDB" w:themeColor="accent3" w:themeTint="66"/>
          <w:insideV w:val="none" w:sz="0" w:space="0" w:color="auto"/>
        </w:tblBorders>
        <w:tblLook w:val="04A0" w:firstRow="1" w:lastRow="0" w:firstColumn="1" w:lastColumn="0" w:noHBand="0" w:noVBand="1"/>
      </w:tblPr>
      <w:tblGrid>
        <w:gridCol w:w="1843"/>
        <w:gridCol w:w="8613"/>
      </w:tblGrid>
      <w:tr w:rsidR="00E55491" w14:paraId="6FE717EA" w14:textId="77777777" w:rsidTr="00281329">
        <w:tc>
          <w:tcPr>
            <w:tcW w:w="1843" w:type="dxa"/>
            <w:shd w:val="clear" w:color="auto" w:fill="F2F2F2" w:themeFill="background1" w:themeFillShade="F2"/>
          </w:tcPr>
          <w:p w14:paraId="67F95AA1" w14:textId="77777777" w:rsidR="00E55491" w:rsidRPr="00F30552" w:rsidRDefault="00E55491" w:rsidP="00281329">
            <w:pPr>
              <w:pStyle w:val="Tablecontent"/>
              <w:rPr>
                <w:b/>
                <w:bCs/>
                <w:lang w:val="en-GB"/>
              </w:rPr>
            </w:pPr>
            <w:r w:rsidRPr="00F30552">
              <w:rPr>
                <w:b/>
                <w:bCs/>
                <w:lang w:val="en-GB"/>
              </w:rPr>
              <w:t>User</w:t>
            </w:r>
          </w:p>
        </w:tc>
        <w:tc>
          <w:tcPr>
            <w:tcW w:w="8613" w:type="dxa"/>
          </w:tcPr>
          <w:p w14:paraId="6416C92C" w14:textId="77777777" w:rsidR="00E55491" w:rsidRPr="00173A6B" w:rsidRDefault="00E55491" w:rsidP="00281329">
            <w:pPr>
              <w:pStyle w:val="Tablecontent"/>
              <w:rPr>
                <w:b/>
                <w:bCs/>
              </w:rPr>
            </w:pPr>
            <w:r w:rsidRPr="00173A6B">
              <w:rPr>
                <w:b/>
                <w:bCs/>
              </w:rPr>
              <w:t>Requirements:</w:t>
            </w:r>
          </w:p>
          <w:p w14:paraId="59309265" w14:textId="77777777" w:rsidR="00E55491" w:rsidRDefault="00E55491" w:rsidP="00281329">
            <w:pPr>
              <w:pStyle w:val="Tablecontent"/>
            </w:pPr>
            <w:r>
              <w:t>How much resources do the users need? Focus on CPU and Memory. Disk Space is simple. Network is done at RDS Farm or VDI Pool level.</w:t>
            </w:r>
          </w:p>
          <w:p w14:paraId="376D1EBC" w14:textId="77777777" w:rsidR="00E55491" w:rsidRDefault="00E55491" w:rsidP="00281329">
            <w:pPr>
              <w:pStyle w:val="Tablecontent"/>
              <w:rPr>
                <w:lang w:val="en-SG"/>
              </w:rPr>
            </w:pPr>
            <w:r w:rsidRPr="00191E1F">
              <w:rPr>
                <w:lang w:val="en-SG"/>
              </w:rPr>
              <w:t>A user can have &gt;1 sessions. He uses 2 desktops due to app</w:t>
            </w:r>
            <w:r>
              <w:rPr>
                <w:lang w:val="en-SG"/>
              </w:rPr>
              <w:t>lication licensing</w:t>
            </w:r>
            <w:r w:rsidRPr="00191E1F">
              <w:rPr>
                <w:lang w:val="en-SG"/>
              </w:rPr>
              <w:t xml:space="preserve"> or security</w:t>
            </w:r>
            <w:r>
              <w:rPr>
                <w:lang w:val="en-SG"/>
              </w:rPr>
              <w:t xml:space="preserve"> policy</w:t>
            </w:r>
            <w:r w:rsidRPr="00191E1F">
              <w:rPr>
                <w:lang w:val="en-SG"/>
              </w:rPr>
              <w:t>. He could be oversized on Pool 1 and oversized on Pool 2.</w:t>
            </w:r>
            <w:r>
              <w:rPr>
                <w:lang w:val="en-SG"/>
              </w:rPr>
              <w:t xml:space="preserve"> This means the sizing has to be done per pool or farm.</w:t>
            </w:r>
          </w:p>
          <w:p w14:paraId="7040D74E" w14:textId="77777777" w:rsidR="00E55491" w:rsidRDefault="00E55491" w:rsidP="00281329">
            <w:pPr>
              <w:pStyle w:val="Tablecontent"/>
              <w:rPr>
                <w:lang w:val="en-SG"/>
              </w:rPr>
            </w:pPr>
            <w:r>
              <w:rPr>
                <w:lang w:val="en-SG"/>
              </w:rPr>
              <w:t xml:space="preserve">We do not size the sessions. We size the users instead. </w:t>
            </w:r>
          </w:p>
          <w:p w14:paraId="0290B058" w14:textId="77777777" w:rsidR="00E55491" w:rsidRPr="00D635CF" w:rsidRDefault="00E55491" w:rsidP="00281329">
            <w:pPr>
              <w:pStyle w:val="Tablecontent"/>
              <w:rPr>
                <w:b/>
                <w:bCs/>
              </w:rPr>
            </w:pPr>
            <w:r w:rsidRPr="00D635CF">
              <w:rPr>
                <w:b/>
                <w:bCs/>
              </w:rPr>
              <w:t>Output</w:t>
            </w:r>
            <w:r>
              <w:rPr>
                <w:b/>
                <w:bCs/>
              </w:rPr>
              <w:t>:</w:t>
            </w:r>
          </w:p>
          <w:p w14:paraId="03C9CDC1" w14:textId="77777777" w:rsidR="00E55491" w:rsidRPr="001C3C65" w:rsidRDefault="00E55491" w:rsidP="00281329">
            <w:pPr>
              <w:pStyle w:val="Tablecontent"/>
              <w:rPr>
                <w:lang w:val="en-SG"/>
              </w:rPr>
            </w:pPr>
            <w:r w:rsidRPr="001C3C65">
              <w:rPr>
                <w:lang w:val="en-SG"/>
              </w:rPr>
              <w:t>CPU (GHz), RAM (GB) per pool</w:t>
            </w:r>
            <w:r>
              <w:rPr>
                <w:lang w:val="en-SG"/>
              </w:rPr>
              <w:t xml:space="preserve"> or farm.</w:t>
            </w:r>
          </w:p>
        </w:tc>
      </w:tr>
      <w:tr w:rsidR="00E55491" w14:paraId="298815B5" w14:textId="77777777" w:rsidTr="00281329">
        <w:tc>
          <w:tcPr>
            <w:tcW w:w="1843" w:type="dxa"/>
            <w:shd w:val="clear" w:color="auto" w:fill="F2F2F2" w:themeFill="background1" w:themeFillShade="F2"/>
          </w:tcPr>
          <w:p w14:paraId="0F8D62B0" w14:textId="77777777" w:rsidR="00E55491" w:rsidRPr="00F30552" w:rsidRDefault="00E55491" w:rsidP="00281329">
            <w:pPr>
              <w:pStyle w:val="Tablecontent"/>
              <w:rPr>
                <w:b/>
                <w:bCs/>
              </w:rPr>
            </w:pPr>
            <w:r w:rsidRPr="00F30552">
              <w:rPr>
                <w:b/>
                <w:bCs/>
              </w:rPr>
              <w:t>RDS Farm</w:t>
            </w:r>
          </w:p>
        </w:tc>
        <w:tc>
          <w:tcPr>
            <w:tcW w:w="8613" w:type="dxa"/>
          </w:tcPr>
          <w:p w14:paraId="3E0FB9DA" w14:textId="77777777" w:rsidR="00E55491" w:rsidRPr="00173A6B" w:rsidRDefault="00E55491" w:rsidP="00281329">
            <w:pPr>
              <w:pStyle w:val="Tablecontent"/>
              <w:rPr>
                <w:b/>
                <w:bCs/>
              </w:rPr>
            </w:pPr>
            <w:r w:rsidRPr="00173A6B">
              <w:rPr>
                <w:b/>
                <w:bCs/>
              </w:rPr>
              <w:t>Requirements:</w:t>
            </w:r>
          </w:p>
          <w:p w14:paraId="7C59B7B5" w14:textId="77777777" w:rsidR="00E55491" w:rsidRDefault="00E55491" w:rsidP="00281329">
            <w:pPr>
              <w:pStyle w:val="Tablecontent"/>
              <w:rPr>
                <w:lang w:val="en-SG"/>
              </w:rPr>
            </w:pPr>
            <w:r>
              <w:rPr>
                <w:lang w:val="en-SG"/>
              </w:rPr>
              <w:t>There are 2 main requirements: internal and external.</w:t>
            </w:r>
          </w:p>
          <w:p w14:paraId="18E9A0F4" w14:textId="77777777" w:rsidR="00E55491" w:rsidRDefault="00E55491" w:rsidP="00281329">
            <w:pPr>
              <w:pStyle w:val="Tablecontent"/>
              <w:rPr>
                <w:lang w:val="en-SG"/>
              </w:rPr>
            </w:pPr>
            <w:r>
              <w:rPr>
                <w:lang w:val="en-SG"/>
              </w:rPr>
              <w:t xml:space="preserve">Internally, we need to know utilization of the RDS hosts and decide if the RDS Farm is full. Your initial sizing is only a guide. If you undersize then this calculation will prevent you from supporting more than what the farm can actual support. If you oversize, then this calculation </w:t>
            </w:r>
            <w:r>
              <w:rPr>
                <w:lang w:val="en-SG"/>
              </w:rPr>
              <w:lastRenderedPageBreak/>
              <w:t>will give you confidence to push beyond your plan. Regardless, you then need to update your plan.</w:t>
            </w:r>
          </w:p>
          <w:p w14:paraId="55D07067" w14:textId="77777777" w:rsidR="00E55491" w:rsidRDefault="00E55491" w:rsidP="00281329">
            <w:pPr>
              <w:pStyle w:val="Tablecontent"/>
              <w:rPr>
                <w:lang w:val="en-SG"/>
              </w:rPr>
            </w:pPr>
            <w:r>
              <w:rPr>
                <w:lang w:val="en-SG"/>
              </w:rPr>
              <w:t>Externally, the RDS Farm runs on a vSphere cluster. To add more hosts, you need to know if the underlying cluster is able to support it. This cluster could be a shared cluster, so there are other pools or farms there.</w:t>
            </w:r>
          </w:p>
          <w:p w14:paraId="38750F5D" w14:textId="77777777" w:rsidR="00E55491" w:rsidRPr="00D635CF" w:rsidRDefault="00E55491" w:rsidP="00281329">
            <w:pPr>
              <w:pStyle w:val="Tablecontent"/>
              <w:rPr>
                <w:b/>
                <w:bCs/>
              </w:rPr>
            </w:pPr>
            <w:r w:rsidRPr="00D635CF">
              <w:rPr>
                <w:b/>
                <w:bCs/>
              </w:rPr>
              <w:t>Output</w:t>
            </w:r>
            <w:r>
              <w:rPr>
                <w:b/>
                <w:bCs/>
              </w:rPr>
              <w:t>:</w:t>
            </w:r>
          </w:p>
          <w:p w14:paraId="7DDB247E" w14:textId="77777777" w:rsidR="00E55491" w:rsidRDefault="00E55491" w:rsidP="00281329">
            <w:pPr>
              <w:pStyle w:val="Tablecontent"/>
              <w:rPr>
                <w:lang w:val="en-SG"/>
              </w:rPr>
            </w:pPr>
            <w:r>
              <w:rPr>
                <w:lang w:val="en-SG"/>
              </w:rPr>
              <w:t>No of RDS Sessions remaining within the farm.</w:t>
            </w:r>
          </w:p>
          <w:p w14:paraId="5B140170" w14:textId="77777777" w:rsidR="00E55491" w:rsidRDefault="00E55491" w:rsidP="00281329">
            <w:pPr>
              <w:pStyle w:val="Tablecontent"/>
            </w:pPr>
            <w:r>
              <w:rPr>
                <w:lang w:val="en-SG"/>
              </w:rPr>
              <w:t>No of RDS Hosts that can be added in the parent cluster.</w:t>
            </w:r>
          </w:p>
        </w:tc>
      </w:tr>
      <w:tr w:rsidR="00E55491" w14:paraId="6692BDB7" w14:textId="77777777" w:rsidTr="00281329">
        <w:tc>
          <w:tcPr>
            <w:tcW w:w="1843" w:type="dxa"/>
            <w:shd w:val="clear" w:color="auto" w:fill="F2F2F2" w:themeFill="background1" w:themeFillShade="F2"/>
          </w:tcPr>
          <w:p w14:paraId="64B5896F" w14:textId="77777777" w:rsidR="00E55491" w:rsidRPr="00F30552" w:rsidRDefault="00E55491" w:rsidP="00281329">
            <w:pPr>
              <w:pStyle w:val="Tablecontent"/>
              <w:rPr>
                <w:b/>
                <w:bCs/>
              </w:rPr>
            </w:pPr>
            <w:r w:rsidRPr="00F30552">
              <w:rPr>
                <w:b/>
                <w:bCs/>
              </w:rPr>
              <w:lastRenderedPageBreak/>
              <w:t>VDI Pool</w:t>
            </w:r>
          </w:p>
        </w:tc>
        <w:tc>
          <w:tcPr>
            <w:tcW w:w="8613" w:type="dxa"/>
          </w:tcPr>
          <w:p w14:paraId="23664882" w14:textId="77777777" w:rsidR="00E55491" w:rsidRPr="00173A6B" w:rsidRDefault="00E55491" w:rsidP="00281329">
            <w:pPr>
              <w:pStyle w:val="Tablecontent"/>
              <w:rPr>
                <w:b/>
                <w:bCs/>
              </w:rPr>
            </w:pPr>
            <w:r w:rsidRPr="00173A6B">
              <w:rPr>
                <w:b/>
                <w:bCs/>
              </w:rPr>
              <w:t>Requirements:</w:t>
            </w:r>
          </w:p>
          <w:p w14:paraId="25F86D42" w14:textId="77777777" w:rsidR="00E55491" w:rsidRDefault="00E55491" w:rsidP="00281329">
            <w:pPr>
              <w:pStyle w:val="Tablecontent"/>
            </w:pPr>
            <w:r>
              <w:t>Internally, there is no requirement as it’s a simple allocation model. The data provided by Horizon is good enough.</w:t>
            </w:r>
          </w:p>
          <w:p w14:paraId="46844223" w14:textId="77777777" w:rsidR="00E55491" w:rsidRDefault="00E55491" w:rsidP="00281329">
            <w:pPr>
              <w:pStyle w:val="Tablecontent"/>
            </w:pPr>
            <w:r>
              <w:t>Externally, it’s similar to RDS Farm.</w:t>
            </w:r>
          </w:p>
          <w:p w14:paraId="5AEA054A" w14:textId="77777777" w:rsidR="00E55491" w:rsidRPr="00D635CF" w:rsidRDefault="00E55491" w:rsidP="00281329">
            <w:pPr>
              <w:pStyle w:val="Tablecontent"/>
              <w:rPr>
                <w:b/>
                <w:bCs/>
              </w:rPr>
            </w:pPr>
            <w:r w:rsidRPr="00D635CF">
              <w:rPr>
                <w:b/>
                <w:bCs/>
              </w:rPr>
              <w:t>Output</w:t>
            </w:r>
            <w:r>
              <w:rPr>
                <w:b/>
                <w:bCs/>
              </w:rPr>
              <w:t>:</w:t>
            </w:r>
          </w:p>
          <w:p w14:paraId="5ED9DA26" w14:textId="77777777" w:rsidR="00E55491" w:rsidRDefault="00E55491" w:rsidP="00281329">
            <w:pPr>
              <w:pStyle w:val="Tablecontent"/>
            </w:pPr>
            <w:r>
              <w:rPr>
                <w:lang w:val="en-SG"/>
              </w:rPr>
              <w:t>No of VDI VM that can be added in the parent cluster.</w:t>
            </w:r>
          </w:p>
        </w:tc>
      </w:tr>
      <w:tr w:rsidR="00E55491" w14:paraId="680B5D96" w14:textId="77777777" w:rsidTr="00281329">
        <w:tc>
          <w:tcPr>
            <w:tcW w:w="1843" w:type="dxa"/>
            <w:shd w:val="clear" w:color="auto" w:fill="F2F2F2" w:themeFill="background1" w:themeFillShade="F2"/>
          </w:tcPr>
          <w:p w14:paraId="2685147C" w14:textId="77777777" w:rsidR="00E55491" w:rsidRPr="00F30552" w:rsidRDefault="00E55491" w:rsidP="00281329">
            <w:pPr>
              <w:pStyle w:val="Tablecontent"/>
              <w:rPr>
                <w:b/>
                <w:bCs/>
              </w:rPr>
            </w:pPr>
            <w:r w:rsidRPr="00F30552">
              <w:rPr>
                <w:b/>
                <w:bCs/>
              </w:rPr>
              <w:t>Application</w:t>
            </w:r>
          </w:p>
        </w:tc>
        <w:tc>
          <w:tcPr>
            <w:tcW w:w="8613" w:type="dxa"/>
          </w:tcPr>
          <w:p w14:paraId="5A6FAE50" w14:textId="77777777" w:rsidR="00E55491" w:rsidRPr="00173A6B" w:rsidRDefault="00E55491" w:rsidP="00281329">
            <w:pPr>
              <w:pStyle w:val="Tablecontent"/>
              <w:rPr>
                <w:b/>
                <w:bCs/>
              </w:rPr>
            </w:pPr>
            <w:r w:rsidRPr="00173A6B">
              <w:rPr>
                <w:b/>
                <w:bCs/>
              </w:rPr>
              <w:t>Requirements:</w:t>
            </w:r>
          </w:p>
          <w:p w14:paraId="097F2807" w14:textId="77777777" w:rsidR="00E55491" w:rsidRDefault="00E55491" w:rsidP="00281329">
            <w:pPr>
              <w:pStyle w:val="Tablecontent"/>
            </w:pPr>
            <w:r>
              <w:t>How much resources do the application need? Focus on CPU and Memory. Disk Space is simple. Network is covered by the Horizon protocol.</w:t>
            </w:r>
          </w:p>
          <w:p w14:paraId="6E2F5CC5" w14:textId="77777777" w:rsidR="00E55491" w:rsidRPr="00D635CF" w:rsidRDefault="00E55491" w:rsidP="00281329">
            <w:pPr>
              <w:pStyle w:val="Tablecontent"/>
              <w:rPr>
                <w:b/>
                <w:bCs/>
              </w:rPr>
            </w:pPr>
            <w:r w:rsidRPr="00D635CF">
              <w:rPr>
                <w:b/>
                <w:bCs/>
              </w:rPr>
              <w:t>Output</w:t>
            </w:r>
            <w:r>
              <w:rPr>
                <w:b/>
                <w:bCs/>
              </w:rPr>
              <w:t>:</w:t>
            </w:r>
          </w:p>
          <w:p w14:paraId="2A06F5AB" w14:textId="77777777" w:rsidR="00E55491" w:rsidRDefault="00E55491" w:rsidP="00281329">
            <w:pPr>
              <w:pStyle w:val="Tablecontent"/>
            </w:pPr>
            <w:r w:rsidRPr="001C3C65">
              <w:rPr>
                <w:lang w:val="en-SG"/>
              </w:rPr>
              <w:t>CPU (GHz)</w:t>
            </w:r>
            <w:r>
              <w:rPr>
                <w:lang w:val="en-SG"/>
              </w:rPr>
              <w:t xml:space="preserve"> and</w:t>
            </w:r>
            <w:r w:rsidRPr="001C3C65">
              <w:rPr>
                <w:lang w:val="en-SG"/>
              </w:rPr>
              <w:t xml:space="preserve"> RAM (GB)</w:t>
            </w:r>
          </w:p>
        </w:tc>
      </w:tr>
    </w:tbl>
    <w:p w14:paraId="171233BD" w14:textId="77777777" w:rsidR="00E55491" w:rsidRDefault="00E55491" w:rsidP="00E55491">
      <w:pPr>
        <w:rPr>
          <w:lang w:val="en-GB"/>
        </w:rPr>
      </w:pPr>
      <w:r>
        <w:rPr>
          <w:lang w:val="en-GB"/>
        </w:rPr>
        <w:t>There is no capacity required for the following objects:</w:t>
      </w:r>
    </w:p>
    <w:p w14:paraId="305790E2" w14:textId="77777777" w:rsidR="00E55491" w:rsidRDefault="00E55491" w:rsidP="00E55491">
      <w:pPr>
        <w:pStyle w:val="BeforeTable"/>
        <w:rPr>
          <w:lang w:val="en-GB"/>
        </w:rPr>
      </w:pPr>
    </w:p>
    <w:tbl>
      <w:tblPr>
        <w:tblStyle w:val="TableGrid"/>
        <w:tblW w:w="0" w:type="auto"/>
        <w:tblBorders>
          <w:top w:val="single" w:sz="4" w:space="0" w:color="DBDBDB" w:themeColor="accent3" w:themeTint="66"/>
          <w:left w:val="none" w:sz="0" w:space="0" w:color="auto"/>
          <w:bottom w:val="single" w:sz="4" w:space="0" w:color="DBDBDB" w:themeColor="accent3" w:themeTint="66"/>
          <w:right w:val="single" w:sz="4" w:space="0" w:color="DBDBDB" w:themeColor="accent3" w:themeTint="66"/>
          <w:insideH w:val="single" w:sz="4" w:space="0" w:color="DBDBDB" w:themeColor="accent3" w:themeTint="66"/>
          <w:insideV w:val="none" w:sz="0" w:space="0" w:color="auto"/>
        </w:tblBorders>
        <w:tblLook w:val="04A0" w:firstRow="1" w:lastRow="0" w:firstColumn="1" w:lastColumn="0" w:noHBand="0" w:noVBand="1"/>
      </w:tblPr>
      <w:tblGrid>
        <w:gridCol w:w="1843"/>
        <w:gridCol w:w="8613"/>
      </w:tblGrid>
      <w:tr w:rsidR="00E55491" w14:paraId="1AE1ADE0" w14:textId="77777777" w:rsidTr="00281329">
        <w:tc>
          <w:tcPr>
            <w:tcW w:w="1843" w:type="dxa"/>
            <w:shd w:val="clear" w:color="auto" w:fill="F2F2F2" w:themeFill="background1" w:themeFillShade="F2"/>
          </w:tcPr>
          <w:p w14:paraId="2A5E02EC" w14:textId="77777777" w:rsidR="00E55491" w:rsidRPr="00F30552" w:rsidRDefault="00E55491" w:rsidP="00281329">
            <w:pPr>
              <w:pStyle w:val="Tablecontent"/>
              <w:rPr>
                <w:b/>
                <w:bCs/>
                <w:lang w:val="en-GB"/>
              </w:rPr>
            </w:pPr>
            <w:r>
              <w:rPr>
                <w:b/>
                <w:bCs/>
                <w:lang w:val="en-GB"/>
              </w:rPr>
              <w:t>Pod</w:t>
            </w:r>
          </w:p>
        </w:tc>
        <w:tc>
          <w:tcPr>
            <w:tcW w:w="8613" w:type="dxa"/>
          </w:tcPr>
          <w:p w14:paraId="73A2E2E2" w14:textId="77777777" w:rsidR="00E55491" w:rsidRDefault="00E55491" w:rsidP="00281329">
            <w:pPr>
              <w:pStyle w:val="Tablecontent"/>
              <w:rPr>
                <w:lang w:val="en-SG"/>
              </w:rPr>
            </w:pPr>
            <w:r>
              <w:rPr>
                <w:lang w:val="en-SG"/>
              </w:rPr>
              <w:t xml:space="preserve">It’s just a folder or container of farms and pools. </w:t>
            </w:r>
            <w:r w:rsidRPr="0008457B">
              <w:rPr>
                <w:lang w:val="en-SG"/>
              </w:rPr>
              <w:t>The pools/farms may not be interchangeabl</w:t>
            </w:r>
            <w:r>
              <w:rPr>
                <w:lang w:val="en-SG"/>
              </w:rPr>
              <w:t>e so you can’t roll them up.</w:t>
            </w:r>
          </w:p>
          <w:p w14:paraId="4AE6FF6C" w14:textId="77777777" w:rsidR="00E55491" w:rsidRPr="001C3C65" w:rsidRDefault="00E55491" w:rsidP="00281329">
            <w:pPr>
              <w:pStyle w:val="Tablecontent"/>
              <w:rPr>
                <w:lang w:val="en-SG"/>
              </w:rPr>
            </w:pPr>
            <w:r>
              <w:rPr>
                <w:lang w:val="en-SG"/>
              </w:rPr>
              <w:t>In a large environment with hundreds of farms and pools, you can use distribution chart to quickly show the farms and pools that are running low on capacity.</w:t>
            </w:r>
          </w:p>
        </w:tc>
      </w:tr>
      <w:tr w:rsidR="00E55491" w14:paraId="31D4F4D7" w14:textId="77777777" w:rsidTr="00281329">
        <w:tc>
          <w:tcPr>
            <w:tcW w:w="1843" w:type="dxa"/>
            <w:shd w:val="clear" w:color="auto" w:fill="F2F2F2" w:themeFill="background1" w:themeFillShade="F2"/>
          </w:tcPr>
          <w:p w14:paraId="5ED82378" w14:textId="77777777" w:rsidR="00E55491" w:rsidRDefault="00E55491" w:rsidP="00281329">
            <w:pPr>
              <w:pStyle w:val="Tablecontent"/>
              <w:rPr>
                <w:b/>
                <w:bCs/>
                <w:lang w:val="en-GB"/>
              </w:rPr>
            </w:pPr>
            <w:r>
              <w:rPr>
                <w:b/>
                <w:bCs/>
                <w:lang w:val="en-GB"/>
              </w:rPr>
              <w:t>Site</w:t>
            </w:r>
          </w:p>
        </w:tc>
        <w:tc>
          <w:tcPr>
            <w:tcW w:w="8613" w:type="dxa"/>
          </w:tcPr>
          <w:p w14:paraId="24D59C2B" w14:textId="77777777" w:rsidR="00E55491" w:rsidRDefault="00E55491" w:rsidP="00281329">
            <w:pPr>
              <w:pStyle w:val="Tablecontent"/>
              <w:rPr>
                <w:lang w:val="en-SG"/>
              </w:rPr>
            </w:pPr>
            <w:r>
              <w:rPr>
                <w:lang w:val="en-SG"/>
              </w:rPr>
              <w:t xml:space="preserve">See Pod. </w:t>
            </w:r>
          </w:p>
        </w:tc>
      </w:tr>
      <w:tr w:rsidR="00E55491" w14:paraId="3B7D49CF" w14:textId="77777777" w:rsidTr="00281329">
        <w:tc>
          <w:tcPr>
            <w:tcW w:w="1843" w:type="dxa"/>
            <w:shd w:val="clear" w:color="auto" w:fill="F2F2F2" w:themeFill="background1" w:themeFillShade="F2"/>
          </w:tcPr>
          <w:p w14:paraId="51C1A011" w14:textId="77777777" w:rsidR="00E55491" w:rsidRDefault="00E55491" w:rsidP="00281329">
            <w:pPr>
              <w:pStyle w:val="Tablecontent"/>
              <w:rPr>
                <w:b/>
                <w:bCs/>
                <w:lang w:val="en-GB"/>
              </w:rPr>
            </w:pPr>
            <w:r>
              <w:rPr>
                <w:b/>
                <w:bCs/>
                <w:lang w:val="en-GB"/>
              </w:rPr>
              <w:t>Cloud Pod</w:t>
            </w:r>
          </w:p>
        </w:tc>
        <w:tc>
          <w:tcPr>
            <w:tcW w:w="8613" w:type="dxa"/>
          </w:tcPr>
          <w:p w14:paraId="0C267C5A" w14:textId="77777777" w:rsidR="00E55491" w:rsidRDefault="00E55491" w:rsidP="00281329">
            <w:pPr>
              <w:pStyle w:val="Tablecontent"/>
              <w:rPr>
                <w:lang w:val="en-SG"/>
              </w:rPr>
            </w:pPr>
            <w:r>
              <w:rPr>
                <w:lang w:val="en-SG"/>
              </w:rPr>
              <w:t xml:space="preserve">See Pod. </w:t>
            </w:r>
          </w:p>
        </w:tc>
      </w:tr>
      <w:tr w:rsidR="00E55491" w14:paraId="5726CD5D" w14:textId="77777777" w:rsidTr="00281329">
        <w:tc>
          <w:tcPr>
            <w:tcW w:w="1843" w:type="dxa"/>
            <w:shd w:val="clear" w:color="auto" w:fill="F2F2F2" w:themeFill="background1" w:themeFillShade="F2"/>
          </w:tcPr>
          <w:p w14:paraId="50855E1E" w14:textId="77777777" w:rsidR="00E55491" w:rsidRDefault="00E55491" w:rsidP="00281329">
            <w:pPr>
              <w:pStyle w:val="Tablecontent"/>
              <w:rPr>
                <w:b/>
                <w:bCs/>
                <w:lang w:val="en-GB"/>
              </w:rPr>
            </w:pPr>
            <w:r>
              <w:rPr>
                <w:b/>
                <w:bCs/>
                <w:lang w:val="en-GB"/>
              </w:rPr>
              <w:t>RDS Host</w:t>
            </w:r>
          </w:p>
        </w:tc>
        <w:tc>
          <w:tcPr>
            <w:tcW w:w="8613" w:type="dxa"/>
          </w:tcPr>
          <w:p w14:paraId="27788F86" w14:textId="77777777" w:rsidR="00E55491" w:rsidRPr="001C3C65" w:rsidRDefault="00E55491" w:rsidP="00281329">
            <w:pPr>
              <w:pStyle w:val="Tablecontent"/>
              <w:rPr>
                <w:lang w:val="en-SG"/>
              </w:rPr>
            </w:pPr>
            <w:r>
              <w:rPr>
                <w:lang w:val="en-SG"/>
              </w:rPr>
              <w:t>Capacity is done at RDS Farm. If the host runs out of capacity, you don’t increase the size of the host, rather you add more hosts. The host size is a design decision.</w:t>
            </w:r>
          </w:p>
        </w:tc>
      </w:tr>
      <w:tr w:rsidR="00E55491" w14:paraId="5FECA118" w14:textId="77777777" w:rsidTr="00281329">
        <w:tc>
          <w:tcPr>
            <w:tcW w:w="1843" w:type="dxa"/>
            <w:shd w:val="clear" w:color="auto" w:fill="F2F2F2" w:themeFill="background1" w:themeFillShade="F2"/>
          </w:tcPr>
          <w:p w14:paraId="06A13FC8" w14:textId="77777777" w:rsidR="00E55491" w:rsidRDefault="00E55491" w:rsidP="00281329">
            <w:pPr>
              <w:pStyle w:val="Tablecontent"/>
              <w:rPr>
                <w:b/>
                <w:bCs/>
                <w:lang w:val="en-GB"/>
              </w:rPr>
            </w:pPr>
            <w:r>
              <w:rPr>
                <w:b/>
                <w:bCs/>
                <w:lang w:val="en-GB"/>
              </w:rPr>
              <w:t>Horizon Servers</w:t>
            </w:r>
          </w:p>
        </w:tc>
        <w:tc>
          <w:tcPr>
            <w:tcW w:w="8613" w:type="dxa"/>
          </w:tcPr>
          <w:p w14:paraId="73188AB5" w14:textId="77777777" w:rsidR="00E55491" w:rsidRPr="00D439CA" w:rsidRDefault="00E55491" w:rsidP="00281329">
            <w:pPr>
              <w:pStyle w:val="Tablecontent"/>
            </w:pPr>
            <w:r w:rsidRPr="00D439CA">
              <w:t>Connection Servers, UAG, App Vol</w:t>
            </w:r>
            <w:r>
              <w:t>ume</w:t>
            </w:r>
            <w:r w:rsidRPr="00D439CA">
              <w:t>.</w:t>
            </w:r>
          </w:p>
          <w:p w14:paraId="0F8E44A8" w14:textId="77777777" w:rsidR="00E55491" w:rsidRDefault="00E55491" w:rsidP="00281329">
            <w:pPr>
              <w:pStyle w:val="Tablecontent"/>
              <w:rPr>
                <w:lang w:val="en-SG"/>
              </w:rPr>
            </w:pPr>
            <w:r w:rsidRPr="00D439CA">
              <w:rPr>
                <w:lang w:val="en-SG"/>
              </w:rPr>
              <w:t>They are designed with fixed size. If not enough, add more</w:t>
            </w:r>
            <w:r>
              <w:rPr>
                <w:lang w:val="en-SG"/>
              </w:rPr>
              <w:t xml:space="preserve"> instance.</w:t>
            </w:r>
          </w:p>
        </w:tc>
      </w:tr>
    </w:tbl>
    <w:p w14:paraId="13ECFB2D" w14:textId="77777777" w:rsidR="00E55491" w:rsidRDefault="00E55491" w:rsidP="00E55491">
      <w:pPr>
        <w:pStyle w:val="Heading4"/>
      </w:pPr>
      <w:r>
        <w:t>RDS Farm</w:t>
      </w:r>
    </w:p>
    <w:p w14:paraId="056C9E94" w14:textId="77777777" w:rsidR="00E55491" w:rsidRDefault="00E55491" w:rsidP="00E55491">
      <w:pPr>
        <w:rPr>
          <w:lang w:val="en-GB"/>
        </w:rPr>
      </w:pPr>
      <w:r>
        <w:rPr>
          <w:lang w:val="en-GB"/>
        </w:rPr>
        <w:t>From capacity point of view, RDS Farm is a group of VM providing RDS host services, typically running Windows Server OS. The farm capacity can be automatically adjusted by provisioning new RDS Host VM, up to the limit specified.</w:t>
      </w:r>
    </w:p>
    <w:p w14:paraId="330C5434" w14:textId="77777777" w:rsidR="00E55491" w:rsidRDefault="00E55491" w:rsidP="00E55491">
      <w:pPr>
        <w:rPr>
          <w:lang w:val="en-GB"/>
        </w:rPr>
      </w:pPr>
      <w:r>
        <w:rPr>
          <w:lang w:val="en-GB"/>
        </w:rPr>
        <w:t>While you can have different size of RDS hosts, keep them identical for ease of capacity management.</w:t>
      </w:r>
    </w:p>
    <w:p w14:paraId="7B0730D2" w14:textId="77777777" w:rsidR="00E55491" w:rsidRDefault="00E55491" w:rsidP="00E55491">
      <w:pPr>
        <w:rPr>
          <w:lang w:val="en-GB"/>
        </w:rPr>
      </w:pPr>
      <w:r>
        <w:rPr>
          <w:lang w:val="en-GB"/>
        </w:rPr>
        <w:lastRenderedPageBreak/>
        <w:t xml:space="preserve">There is also a setting that caps the number of session per host. This is useful as you can not predict the consumption of each session, even if the users use the same application. For example, a use who opens a very large Microsoft Excel spreadsheet can easily consume multiple physical cores. </w:t>
      </w:r>
    </w:p>
    <w:p w14:paraId="5DE8D1A3" w14:textId="77777777" w:rsidR="00E55491" w:rsidRPr="009A0D87" w:rsidRDefault="00E55491" w:rsidP="00E55491">
      <w:pPr>
        <w:rPr>
          <w:lang w:val="en-GB"/>
        </w:rPr>
      </w:pPr>
      <w:r>
        <w:rPr>
          <w:lang w:val="en-GB"/>
        </w:rPr>
        <w:t>The setting “Logoff Disconnected Sessions” is useful. A user may disconnect from Horizon, but the ID remains logged on in Windows. From capacity viewpoint, you want to log off to free up the capacity.</w:t>
      </w:r>
    </w:p>
    <w:p w14:paraId="47BF430A" w14:textId="77777777" w:rsidR="00E55491" w:rsidRDefault="00E55491" w:rsidP="00E55491">
      <w:pPr>
        <w:rPr>
          <w:lang w:val="en-GB"/>
        </w:rPr>
      </w:pPr>
      <w:r>
        <w:rPr>
          <w:noProof/>
        </w:rPr>
        <w:drawing>
          <wp:inline distT="0" distB="0" distL="0" distR="0" wp14:anchorId="28428F4D" wp14:editId="1C804E92">
            <wp:extent cx="6645910" cy="5039360"/>
            <wp:effectExtent l="0" t="0" r="2540" b="8890"/>
            <wp:docPr id="567723383" name="Picture 567723383"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83" name="Picture 567723383" descr="Graphical user interface, text, application, email&#10;&#10;Description automatically generated"/>
                    <pic:cNvPicPr>
                      <a:picLocks noChangeAspect="1" noChangeArrowheads="1"/>
                    </pic:cNvPicPr>
                  </pic:nvPicPr>
                  <pic:blipFill>
                    <a:blip r:embed="rId959">
                      <a:extLst>
                        <a:ext uri="{28A0092B-C50C-407E-A947-70E740481C1C}">
                          <a14:useLocalDpi xmlns:a14="http://schemas.microsoft.com/office/drawing/2010/main" val="0"/>
                        </a:ext>
                      </a:extLst>
                    </a:blip>
                    <a:srcRect/>
                    <a:stretch>
                      <a:fillRect/>
                    </a:stretch>
                  </pic:blipFill>
                  <pic:spPr bwMode="auto">
                    <a:xfrm>
                      <a:off x="0" y="0"/>
                      <a:ext cx="6645910" cy="5039360"/>
                    </a:xfrm>
                    <a:prstGeom prst="rect">
                      <a:avLst/>
                    </a:prstGeom>
                    <a:noFill/>
                    <a:ln>
                      <a:noFill/>
                    </a:ln>
                  </pic:spPr>
                </pic:pic>
              </a:graphicData>
            </a:graphic>
          </wp:inline>
        </w:drawing>
      </w:r>
    </w:p>
    <w:p w14:paraId="0F7BB4E5" w14:textId="77777777" w:rsidR="00E55491" w:rsidRDefault="00E55491" w:rsidP="00E55491">
      <w:pPr>
        <w:rPr>
          <w:lang w:val="en-GB"/>
        </w:rPr>
      </w:pPr>
    </w:p>
    <w:p w14:paraId="17D77C00" w14:textId="77777777" w:rsidR="00E55491" w:rsidRDefault="00E55491" w:rsidP="00E55491">
      <w:pPr>
        <w:rPr>
          <w:lang w:val="en-GB"/>
        </w:rPr>
      </w:pPr>
    </w:p>
    <w:p w14:paraId="40BCD86D" w14:textId="77777777" w:rsidR="00E55491" w:rsidRPr="00206C3F" w:rsidRDefault="00E55491" w:rsidP="00E55491">
      <w:pPr>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3261"/>
        <w:gridCol w:w="7195"/>
      </w:tblGrid>
      <w:tr w:rsidR="00E55491" w14:paraId="63469C81" w14:textId="77777777" w:rsidTr="00281329">
        <w:tc>
          <w:tcPr>
            <w:tcW w:w="3261" w:type="dxa"/>
            <w:shd w:val="clear" w:color="auto" w:fill="F2F2F2" w:themeFill="background1" w:themeFillShade="F2"/>
          </w:tcPr>
          <w:p w14:paraId="27C7B1EE" w14:textId="77777777" w:rsidR="00E55491" w:rsidRDefault="00E55491" w:rsidP="00281329">
            <w:pPr>
              <w:pStyle w:val="Tableheading"/>
            </w:pPr>
            <w:r>
              <w:t>Name</w:t>
            </w:r>
          </w:p>
        </w:tc>
        <w:tc>
          <w:tcPr>
            <w:tcW w:w="7195" w:type="dxa"/>
            <w:shd w:val="clear" w:color="auto" w:fill="F2F2F2" w:themeFill="background1" w:themeFillShade="F2"/>
          </w:tcPr>
          <w:p w14:paraId="3301B341" w14:textId="77777777" w:rsidR="00E55491" w:rsidRDefault="00E55491" w:rsidP="00281329">
            <w:pPr>
              <w:pStyle w:val="Tableheading"/>
            </w:pPr>
            <w:r>
              <w:t>Description</w:t>
            </w:r>
          </w:p>
        </w:tc>
      </w:tr>
      <w:tr w:rsidR="00E55491" w14:paraId="52E677CE" w14:textId="77777777" w:rsidTr="00281329">
        <w:tc>
          <w:tcPr>
            <w:tcW w:w="3261" w:type="dxa"/>
          </w:tcPr>
          <w:p w14:paraId="26EEDD2D" w14:textId="77777777" w:rsidR="00E55491" w:rsidRDefault="00E55491" w:rsidP="00281329">
            <w:pPr>
              <w:pStyle w:val="Tablecontent"/>
              <w:rPr>
                <w:rFonts w:ascii="Arial" w:hAnsi="Arial"/>
                <w:sz w:val="36"/>
                <w:szCs w:val="36"/>
                <w:lang w:eastAsia="en-SG"/>
              </w:rPr>
            </w:pPr>
            <w:r>
              <w:t>Total CPU Usage</w:t>
            </w:r>
          </w:p>
          <w:p w14:paraId="34A7D8CC" w14:textId="77777777" w:rsidR="00E55491" w:rsidRDefault="00E55491" w:rsidP="00281329">
            <w:pPr>
              <w:pStyle w:val="Tablecontent"/>
            </w:pPr>
            <w:r>
              <w:t>Total Memory Usage</w:t>
            </w:r>
          </w:p>
        </w:tc>
        <w:tc>
          <w:tcPr>
            <w:tcW w:w="7195" w:type="dxa"/>
          </w:tcPr>
          <w:p w14:paraId="2634CE99" w14:textId="77777777" w:rsidR="00E55491" w:rsidRDefault="00E55491" w:rsidP="00281329">
            <w:pPr>
              <w:pStyle w:val="Tablecontent"/>
            </w:pPr>
          </w:p>
        </w:tc>
      </w:tr>
      <w:tr w:rsidR="00E55491" w14:paraId="1C0DD482" w14:textId="77777777" w:rsidTr="00281329">
        <w:tc>
          <w:tcPr>
            <w:tcW w:w="3261" w:type="dxa"/>
          </w:tcPr>
          <w:p w14:paraId="6E8F0AD3" w14:textId="77777777" w:rsidR="00E55491" w:rsidRDefault="00E55491" w:rsidP="00281329">
            <w:pPr>
              <w:pStyle w:val="Tablecontent"/>
              <w:rPr>
                <w:rFonts w:ascii="Arial" w:hAnsi="Arial"/>
                <w:sz w:val="36"/>
                <w:szCs w:val="36"/>
              </w:rPr>
            </w:pPr>
            <w:r>
              <w:t>Average Session CPU Usage</w:t>
            </w:r>
          </w:p>
          <w:p w14:paraId="009F3D90" w14:textId="77777777" w:rsidR="00E55491" w:rsidRDefault="00E55491" w:rsidP="00281329">
            <w:pPr>
              <w:pStyle w:val="Tablecontent"/>
            </w:pPr>
            <w:r>
              <w:t>Average Session Memory Usage</w:t>
            </w:r>
          </w:p>
        </w:tc>
        <w:tc>
          <w:tcPr>
            <w:tcW w:w="7195" w:type="dxa"/>
          </w:tcPr>
          <w:p w14:paraId="780968FE" w14:textId="77777777" w:rsidR="00E55491" w:rsidRDefault="00E55491" w:rsidP="00281329">
            <w:pPr>
              <w:pStyle w:val="Tablecontent"/>
            </w:pPr>
          </w:p>
        </w:tc>
      </w:tr>
      <w:tr w:rsidR="00E55491" w14:paraId="7296C8F7" w14:textId="77777777" w:rsidTr="00281329">
        <w:tc>
          <w:tcPr>
            <w:tcW w:w="3261" w:type="dxa"/>
          </w:tcPr>
          <w:p w14:paraId="599E4462" w14:textId="77777777" w:rsidR="00E55491" w:rsidRDefault="00E55491" w:rsidP="00281329">
            <w:pPr>
              <w:pStyle w:val="Tablecontent"/>
              <w:rPr>
                <w:rFonts w:ascii="Arial" w:hAnsi="Arial"/>
                <w:sz w:val="36"/>
                <w:szCs w:val="36"/>
              </w:rPr>
            </w:pPr>
            <w:r>
              <w:t>Number of Sessions Over Committed on CPU</w:t>
            </w:r>
          </w:p>
          <w:p w14:paraId="27B2568B" w14:textId="77777777" w:rsidR="00E55491" w:rsidRDefault="00E55491" w:rsidP="00281329">
            <w:pPr>
              <w:pStyle w:val="Tablecontent"/>
            </w:pPr>
            <w:r>
              <w:lastRenderedPageBreak/>
              <w:t>Number of Sessions Over Committed on Memory</w:t>
            </w:r>
          </w:p>
        </w:tc>
        <w:tc>
          <w:tcPr>
            <w:tcW w:w="7195" w:type="dxa"/>
          </w:tcPr>
          <w:p w14:paraId="7FAEDE65" w14:textId="77777777" w:rsidR="00E55491" w:rsidRDefault="00E55491" w:rsidP="00281329">
            <w:pPr>
              <w:pStyle w:val="Tablecontent"/>
            </w:pPr>
          </w:p>
        </w:tc>
      </w:tr>
      <w:tr w:rsidR="00E55491" w14:paraId="34204026" w14:textId="77777777" w:rsidTr="00281329">
        <w:tc>
          <w:tcPr>
            <w:tcW w:w="3261" w:type="dxa"/>
          </w:tcPr>
          <w:p w14:paraId="1DA8AABD" w14:textId="77777777" w:rsidR="00E55491" w:rsidRDefault="00E55491" w:rsidP="00281329">
            <w:pPr>
              <w:pStyle w:val="Tablecontent"/>
            </w:pPr>
            <w:r>
              <w:t>RDS Host Remaining</w:t>
            </w:r>
          </w:p>
        </w:tc>
        <w:tc>
          <w:tcPr>
            <w:tcW w:w="7195" w:type="dxa"/>
          </w:tcPr>
          <w:p w14:paraId="6AAAC3A3" w14:textId="77777777" w:rsidR="00E55491" w:rsidRDefault="00E55491" w:rsidP="00281329">
            <w:pPr>
              <w:pStyle w:val="Tablecontent"/>
            </w:pPr>
          </w:p>
        </w:tc>
      </w:tr>
      <w:tr w:rsidR="00E55491" w14:paraId="7B434304" w14:textId="77777777" w:rsidTr="00281329">
        <w:tc>
          <w:tcPr>
            <w:tcW w:w="3261" w:type="dxa"/>
          </w:tcPr>
          <w:p w14:paraId="5449B5EA" w14:textId="77777777" w:rsidR="00E55491" w:rsidRDefault="00E55491" w:rsidP="00281329">
            <w:pPr>
              <w:pStyle w:val="Tablecontent"/>
              <w:rPr>
                <w:rFonts w:ascii="Arial" w:hAnsi="Arial"/>
                <w:sz w:val="36"/>
                <w:szCs w:val="36"/>
              </w:rPr>
            </w:pPr>
            <w:r>
              <w:t>Number of Sessions Remaining</w:t>
            </w:r>
          </w:p>
          <w:p w14:paraId="2AD4B01F" w14:textId="77777777" w:rsidR="00E55491" w:rsidRDefault="00E55491" w:rsidP="00281329">
            <w:pPr>
              <w:pStyle w:val="Tablecontent"/>
            </w:pPr>
            <w:r>
              <w:t>99th Percentile Daily Session Remaining</w:t>
            </w:r>
          </w:p>
        </w:tc>
        <w:tc>
          <w:tcPr>
            <w:tcW w:w="7195" w:type="dxa"/>
          </w:tcPr>
          <w:p w14:paraId="3C754E22" w14:textId="77777777" w:rsidR="00E55491" w:rsidRDefault="00E55491" w:rsidP="00281329">
            <w:pPr>
              <w:pStyle w:val="Tablecontent"/>
            </w:pPr>
          </w:p>
        </w:tc>
      </w:tr>
    </w:tbl>
    <w:p w14:paraId="5E6EFA65" w14:textId="77777777" w:rsidR="00E55491" w:rsidRPr="007426EB" w:rsidRDefault="00E55491" w:rsidP="00E55491">
      <w:pPr>
        <w:pStyle w:val="Tablecontent"/>
      </w:pPr>
      <w:r>
        <w:rPr>
          <w:lang w:val="en-GB"/>
        </w:rPr>
        <w:t xml:space="preserve">VDI Pool has </w:t>
      </w:r>
      <w:r>
        <w:t>Utilization (GHz), which is the total utilization not average.</w:t>
      </w:r>
    </w:p>
    <w:p w14:paraId="6288DDF7" w14:textId="77777777" w:rsidR="00E55491" w:rsidRDefault="00E55491" w:rsidP="00E55491">
      <w:r>
        <w:t>Total – Unavailable – Bad State = Usable Capacity</w:t>
      </w:r>
    </w:p>
    <w:p w14:paraId="37B82E70" w14:textId="77777777" w:rsidR="00E55491" w:rsidRDefault="00E55491" w:rsidP="00E55491">
      <w:pPr>
        <w:pStyle w:val="ListParagraph"/>
        <w:keepLines w:val="0"/>
        <w:numPr>
          <w:ilvl w:val="0"/>
          <w:numId w:val="38"/>
        </w:numPr>
        <w:suppressAutoHyphens w:val="0"/>
        <w:spacing w:before="0" w:after="160"/>
      </w:pPr>
      <w:r>
        <w:t xml:space="preserve">Unavailable (nothing wrong. Intentional or will fix by itself) </w:t>
      </w:r>
      <w:r>
        <w:br/>
        <w:t xml:space="preserve">= Provisioned + In progress + Provisioning + Customizing + Deleting + Waiting for Agent + Maintenance mode + </w:t>
      </w:r>
      <w:r w:rsidRPr="00C4636D">
        <w:t>Startup</w:t>
      </w:r>
      <w:r>
        <w:t xml:space="preserve"> + Agent needs reboot</w:t>
      </w:r>
    </w:p>
    <w:p w14:paraId="2FDA5322" w14:textId="77777777" w:rsidR="00E55491" w:rsidRPr="00946254" w:rsidRDefault="00E55491" w:rsidP="00E55491">
      <w:pPr>
        <w:pStyle w:val="ListParagraph"/>
        <w:keepLines w:val="0"/>
        <w:numPr>
          <w:ilvl w:val="0"/>
          <w:numId w:val="38"/>
        </w:numPr>
        <w:suppressAutoHyphens w:val="0"/>
        <w:spacing w:before="0" w:after="160"/>
      </w:pPr>
      <w:r>
        <w:t xml:space="preserve">Bad state (something wrong. Need manual intervention) </w:t>
      </w:r>
      <w:r>
        <w:br/>
        <w:t xml:space="preserve">= Configuration error + Protocol failure + Domain failure + Agent unreachable  + Invalid IP + Unknown + </w:t>
      </w:r>
      <w:r w:rsidRPr="00946254">
        <w:t>Provisioning error + Agent disabled.</w:t>
      </w:r>
    </w:p>
    <w:p w14:paraId="65B40E06" w14:textId="77777777" w:rsidR="00E55491" w:rsidRDefault="00E55491" w:rsidP="00E55491">
      <w:r>
        <w:t>Usable Capacity consists of</w:t>
      </w:r>
    </w:p>
    <w:p w14:paraId="478AF1BE" w14:textId="77777777" w:rsidR="00E55491" w:rsidRDefault="00E55491" w:rsidP="00E55491">
      <w:pPr>
        <w:pStyle w:val="ListParagraph"/>
        <w:keepLines w:val="0"/>
        <w:numPr>
          <w:ilvl w:val="0"/>
          <w:numId w:val="39"/>
        </w:numPr>
        <w:suppressAutoHyphens w:val="0"/>
        <w:spacing w:before="0" w:after="160"/>
      </w:pPr>
      <w:r>
        <w:t>Used = Already Used + Connected + Disconnected + Unassigned user connected + Unassigned user disconnected</w:t>
      </w:r>
    </w:p>
    <w:p w14:paraId="3868DFA3" w14:textId="77777777" w:rsidR="00E55491" w:rsidRDefault="00E55491" w:rsidP="00E55491">
      <w:pPr>
        <w:pStyle w:val="ListParagraph"/>
        <w:keepLines w:val="0"/>
        <w:numPr>
          <w:ilvl w:val="0"/>
          <w:numId w:val="39"/>
        </w:numPr>
        <w:suppressAutoHyphens w:val="0"/>
        <w:spacing w:before="0" w:after="160"/>
      </w:pPr>
      <w:r>
        <w:t xml:space="preserve">Available = Available </w:t>
      </w:r>
    </w:p>
    <w:p w14:paraId="2A585359" w14:textId="77777777" w:rsidR="00E55491" w:rsidRDefault="00E55491" w:rsidP="00E55491">
      <w:r>
        <w:t xml:space="preserve">The status </w:t>
      </w:r>
      <w:r w:rsidRPr="00C4636D">
        <w:rPr>
          <w:b/>
          <w:bCs/>
          <w:color w:val="00B0F0"/>
        </w:rPr>
        <w:t>Available</w:t>
      </w:r>
      <w:r w:rsidRPr="00C4636D">
        <w:rPr>
          <w:color w:val="00B0F0"/>
        </w:rPr>
        <w:t xml:space="preserve"> </w:t>
      </w:r>
      <w:r>
        <w:t xml:space="preserve">means </w:t>
      </w:r>
      <w:r w:rsidRPr="00C775C7">
        <w:t>RDS host is available. If the host is in a farm, and the farm is associated with a published desktop or application pool, it will be used to deliver published desktops or applications to users.</w:t>
      </w:r>
    </w:p>
    <w:p w14:paraId="19823CB9" w14:textId="77777777" w:rsidR="00E55491" w:rsidRDefault="00E55491" w:rsidP="00E55491">
      <w:pPr>
        <w:pStyle w:val="Heading5"/>
      </w:pPr>
      <w:r>
        <w:t>Unavailable States</w:t>
      </w:r>
    </w:p>
    <w:p w14:paraId="3460524F" w14:textId="77777777" w:rsidR="00E55491" w:rsidRDefault="00E55491" w:rsidP="00E55491">
      <w:r>
        <w:t>The host is not available, but there is nothing wrong. Typically this is intentional, or something that requires a simple intervention such as reboot.</w:t>
      </w:r>
    </w:p>
    <w:p w14:paraId="6E427704" w14:textId="77777777" w:rsidR="00E55491" w:rsidRDefault="00E55491" w:rsidP="00E55491">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43"/>
        <w:gridCol w:w="8613"/>
      </w:tblGrid>
      <w:tr w:rsidR="00E55491" w14:paraId="49F396A3" w14:textId="77777777" w:rsidTr="00281329">
        <w:tc>
          <w:tcPr>
            <w:tcW w:w="1843" w:type="dxa"/>
            <w:shd w:val="clear" w:color="auto" w:fill="F2F2F2" w:themeFill="background1" w:themeFillShade="F2"/>
            <w:vAlign w:val="center"/>
          </w:tcPr>
          <w:p w14:paraId="06DCB7E3" w14:textId="77777777" w:rsidR="00E55491" w:rsidRPr="009A020D" w:rsidRDefault="00E55491" w:rsidP="00281329">
            <w:pPr>
              <w:pStyle w:val="Tablecontent"/>
              <w:rPr>
                <w:b/>
                <w:bCs/>
              </w:rPr>
            </w:pPr>
            <w:r w:rsidRPr="00C775C7">
              <w:t xml:space="preserve">Disabled </w:t>
            </w:r>
          </w:p>
        </w:tc>
        <w:tc>
          <w:tcPr>
            <w:tcW w:w="8613" w:type="dxa"/>
            <w:vAlign w:val="center"/>
          </w:tcPr>
          <w:p w14:paraId="5C873470" w14:textId="77777777" w:rsidR="00E55491" w:rsidRDefault="00E55491" w:rsidP="00281329">
            <w:pPr>
              <w:pStyle w:val="Tablecontent"/>
            </w:pPr>
            <w:r w:rsidRPr="00C775C7">
              <w:t xml:space="preserve">Process of disabling the RDS host is complete. </w:t>
            </w:r>
          </w:p>
        </w:tc>
      </w:tr>
      <w:tr w:rsidR="00E55491" w14:paraId="0364AFD6" w14:textId="77777777" w:rsidTr="00281329">
        <w:tc>
          <w:tcPr>
            <w:tcW w:w="1843" w:type="dxa"/>
            <w:shd w:val="clear" w:color="auto" w:fill="F2F2F2" w:themeFill="background1" w:themeFillShade="F2"/>
            <w:vAlign w:val="center"/>
          </w:tcPr>
          <w:p w14:paraId="20E6BEE9" w14:textId="77777777" w:rsidR="00E55491" w:rsidRPr="00C775C7" w:rsidRDefault="00E55491" w:rsidP="00281329">
            <w:pPr>
              <w:pStyle w:val="Tablecontent"/>
            </w:pPr>
            <w:r w:rsidRPr="00C775C7">
              <w:t xml:space="preserve">Agent disabled </w:t>
            </w:r>
          </w:p>
        </w:tc>
        <w:tc>
          <w:tcPr>
            <w:tcW w:w="8613" w:type="dxa"/>
            <w:vAlign w:val="center"/>
          </w:tcPr>
          <w:p w14:paraId="4F36C65D" w14:textId="77777777" w:rsidR="00E55491" w:rsidRPr="00C775C7" w:rsidRDefault="00E55491" w:rsidP="00281329">
            <w:pPr>
              <w:pStyle w:val="Tablecontent"/>
            </w:pPr>
            <w:r w:rsidRPr="00C775C7">
              <w:t xml:space="preserve">Occurs if Connection Server disables Horizon Agent. This state ensures that a new desktop or application session cannot be started on the RDS host. </w:t>
            </w:r>
          </w:p>
        </w:tc>
      </w:tr>
      <w:tr w:rsidR="00E55491" w14:paraId="18793CA4" w14:textId="77777777" w:rsidTr="00281329">
        <w:tc>
          <w:tcPr>
            <w:tcW w:w="1843" w:type="dxa"/>
            <w:shd w:val="clear" w:color="auto" w:fill="F2F2F2" w:themeFill="background1" w:themeFillShade="F2"/>
            <w:vAlign w:val="center"/>
          </w:tcPr>
          <w:p w14:paraId="48BA543F" w14:textId="77777777" w:rsidR="00E55491" w:rsidRPr="00C775C7" w:rsidRDefault="00E55491" w:rsidP="00281329">
            <w:pPr>
              <w:pStyle w:val="Tablecontent"/>
            </w:pPr>
            <w:r w:rsidRPr="00C775C7">
              <w:t xml:space="preserve">Agent needs reboot </w:t>
            </w:r>
          </w:p>
        </w:tc>
        <w:tc>
          <w:tcPr>
            <w:tcW w:w="8613" w:type="dxa"/>
            <w:vAlign w:val="center"/>
          </w:tcPr>
          <w:p w14:paraId="2F3ED4DF" w14:textId="77777777" w:rsidR="00E55491" w:rsidRPr="00C775C7" w:rsidRDefault="00E55491" w:rsidP="00281329">
            <w:pPr>
              <w:pStyle w:val="Tablecontent"/>
            </w:pPr>
            <w:r w:rsidRPr="00C775C7">
              <w:t xml:space="preserve">component was upgraded, and the RDS host must be restarted to allow Horizon Agent to operate with the upgraded component. </w:t>
            </w:r>
          </w:p>
        </w:tc>
      </w:tr>
    </w:tbl>
    <w:p w14:paraId="7E1819F2" w14:textId="77777777" w:rsidR="00E55491" w:rsidRDefault="00E55491" w:rsidP="00E55491">
      <w:pPr>
        <w:pStyle w:val="Heading5"/>
      </w:pPr>
      <w:r>
        <w:t>Transient States</w:t>
      </w:r>
    </w:p>
    <w:p w14:paraId="7DA845DB" w14:textId="77777777" w:rsidR="00E55491" w:rsidRDefault="00E55491" w:rsidP="00E55491">
      <w:r>
        <w:t xml:space="preserve">These are temporary states. You rarely see them as they only last for a few minutes, and will clear on their own. </w:t>
      </w:r>
    </w:p>
    <w:p w14:paraId="3B8CE6F5" w14:textId="77777777" w:rsidR="00E55491" w:rsidRDefault="00E55491" w:rsidP="00E55491">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43"/>
        <w:gridCol w:w="8613"/>
      </w:tblGrid>
      <w:tr w:rsidR="00E55491" w14:paraId="42C6F6A8" w14:textId="77777777" w:rsidTr="00281329">
        <w:tc>
          <w:tcPr>
            <w:tcW w:w="1843" w:type="dxa"/>
            <w:shd w:val="clear" w:color="auto" w:fill="F2F2F2" w:themeFill="background1" w:themeFillShade="F2"/>
          </w:tcPr>
          <w:p w14:paraId="27851D59" w14:textId="77777777" w:rsidR="00E55491" w:rsidRPr="009A020D" w:rsidRDefault="00E55491" w:rsidP="00281329">
            <w:pPr>
              <w:pStyle w:val="Tablecontent"/>
              <w:rPr>
                <w:b/>
                <w:bCs/>
              </w:rPr>
            </w:pPr>
            <w:r w:rsidRPr="00C775C7">
              <w:t>Startup</w:t>
            </w:r>
          </w:p>
        </w:tc>
        <w:tc>
          <w:tcPr>
            <w:tcW w:w="8613" w:type="dxa"/>
          </w:tcPr>
          <w:p w14:paraId="38C398BA" w14:textId="77777777" w:rsidR="00E55491" w:rsidRDefault="00E55491" w:rsidP="00281329">
            <w:pPr>
              <w:pStyle w:val="Tablecontent"/>
            </w:pPr>
            <w:r w:rsidRPr="00C775C7">
              <w:t>Horizon Agent has started on the RDS host, but other required services such as the display protocol are still starting. The agent start</w:t>
            </w:r>
            <w:r>
              <w:t>-</w:t>
            </w:r>
            <w:r w:rsidRPr="00C775C7">
              <w:t>up period also allows other processes such as protocol services to start up.</w:t>
            </w:r>
          </w:p>
        </w:tc>
      </w:tr>
      <w:tr w:rsidR="00E55491" w14:paraId="5D12E8D8" w14:textId="77777777" w:rsidTr="00281329">
        <w:tc>
          <w:tcPr>
            <w:tcW w:w="1843" w:type="dxa"/>
            <w:shd w:val="clear" w:color="auto" w:fill="F2F2F2" w:themeFill="background1" w:themeFillShade="F2"/>
            <w:vAlign w:val="center"/>
          </w:tcPr>
          <w:p w14:paraId="65F151C3" w14:textId="77777777" w:rsidR="00E55491" w:rsidRPr="00C775C7" w:rsidRDefault="00E55491" w:rsidP="00281329">
            <w:pPr>
              <w:pStyle w:val="Tablecontent"/>
            </w:pPr>
            <w:r w:rsidRPr="00C775C7">
              <w:lastRenderedPageBreak/>
              <w:t xml:space="preserve">Disable in progress </w:t>
            </w:r>
          </w:p>
        </w:tc>
        <w:tc>
          <w:tcPr>
            <w:tcW w:w="8613" w:type="dxa"/>
            <w:vAlign w:val="center"/>
          </w:tcPr>
          <w:p w14:paraId="75DA91A9" w14:textId="77777777" w:rsidR="00E55491" w:rsidRPr="00C775C7" w:rsidRDefault="00E55491" w:rsidP="00281329">
            <w:pPr>
              <w:pStyle w:val="Tablecontent"/>
            </w:pPr>
            <w:r w:rsidRPr="00C775C7">
              <w:t xml:space="preserve">RDS host is in the process of being disabled while sessions are still running on the host. When the sessions end, the status changes to Disabled. </w:t>
            </w:r>
          </w:p>
        </w:tc>
      </w:tr>
      <w:tr w:rsidR="00E55491" w14:paraId="4B234B0B" w14:textId="77777777" w:rsidTr="00281329">
        <w:tc>
          <w:tcPr>
            <w:tcW w:w="1843" w:type="dxa"/>
            <w:shd w:val="clear" w:color="auto" w:fill="F2F2F2" w:themeFill="background1" w:themeFillShade="F2"/>
            <w:vAlign w:val="center"/>
          </w:tcPr>
          <w:p w14:paraId="397B8867" w14:textId="77777777" w:rsidR="00E55491" w:rsidRPr="00C775C7" w:rsidRDefault="00E55491" w:rsidP="00281329">
            <w:pPr>
              <w:pStyle w:val="Tablecontent"/>
            </w:pPr>
            <w:r w:rsidRPr="00C775C7">
              <w:t xml:space="preserve">Validating </w:t>
            </w:r>
          </w:p>
        </w:tc>
        <w:tc>
          <w:tcPr>
            <w:tcW w:w="8613" w:type="dxa"/>
            <w:vAlign w:val="center"/>
          </w:tcPr>
          <w:p w14:paraId="532C9A67" w14:textId="77777777" w:rsidR="00E55491" w:rsidRDefault="00E55491" w:rsidP="00281329">
            <w:pPr>
              <w:pStyle w:val="Tablecontent"/>
            </w:pPr>
            <w:r w:rsidRPr="00C775C7">
              <w:t xml:space="preserve">Occurs after Connection Server first becomes aware of the RDS host, typically after Connection Server is started or restarted, and before the first successful communication with Horizon Agent on the RDS host. </w:t>
            </w:r>
          </w:p>
          <w:p w14:paraId="712C4A17" w14:textId="77777777" w:rsidR="00E55491" w:rsidRPr="00C775C7" w:rsidRDefault="00E55491" w:rsidP="00281329">
            <w:pPr>
              <w:pStyle w:val="Tablecontent"/>
            </w:pPr>
            <w:r w:rsidRPr="00C775C7">
              <w:t xml:space="preserve">Typically, this state is transient. This state is not the same as the </w:t>
            </w:r>
            <w:r w:rsidRPr="003501ED">
              <w:rPr>
                <w:color w:val="FF0000"/>
              </w:rPr>
              <w:t xml:space="preserve">Agent unreachable </w:t>
            </w:r>
            <w:r w:rsidRPr="00C775C7">
              <w:t xml:space="preserve">state, which indicates a communication problem. </w:t>
            </w:r>
          </w:p>
        </w:tc>
      </w:tr>
    </w:tbl>
    <w:p w14:paraId="2402B40C" w14:textId="77777777" w:rsidR="00E55491" w:rsidRDefault="00E55491" w:rsidP="00E55491">
      <w:pPr>
        <w:pStyle w:val="Heading5"/>
      </w:pPr>
      <w:r>
        <w:t>Bad States</w:t>
      </w:r>
    </w:p>
    <w:p w14:paraId="16C1FC0A" w14:textId="77777777" w:rsidR="00E55491" w:rsidRDefault="00E55491" w:rsidP="00E55491">
      <w:r>
        <w:t xml:space="preserve">These are permanent states, hence need manual intervention. </w:t>
      </w:r>
    </w:p>
    <w:p w14:paraId="2AEED0A5" w14:textId="77777777" w:rsidR="00E55491" w:rsidRDefault="00E55491" w:rsidP="00E55491">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43"/>
        <w:gridCol w:w="8613"/>
      </w:tblGrid>
      <w:tr w:rsidR="00E55491" w14:paraId="09FA2699" w14:textId="77777777" w:rsidTr="00281329">
        <w:tc>
          <w:tcPr>
            <w:tcW w:w="1843" w:type="dxa"/>
            <w:shd w:val="clear" w:color="auto" w:fill="F2F2F2" w:themeFill="background1" w:themeFillShade="F2"/>
            <w:vAlign w:val="center"/>
          </w:tcPr>
          <w:p w14:paraId="26C70895" w14:textId="77777777" w:rsidR="00E55491" w:rsidRPr="009A020D" w:rsidRDefault="00E55491" w:rsidP="00281329">
            <w:pPr>
              <w:pStyle w:val="Tablecontent"/>
              <w:rPr>
                <w:b/>
                <w:bCs/>
              </w:rPr>
            </w:pPr>
            <w:r w:rsidRPr="00C775C7">
              <w:t xml:space="preserve">Agent unreachable </w:t>
            </w:r>
          </w:p>
        </w:tc>
        <w:tc>
          <w:tcPr>
            <w:tcW w:w="8613" w:type="dxa"/>
            <w:vAlign w:val="center"/>
          </w:tcPr>
          <w:p w14:paraId="3CA11046" w14:textId="77777777" w:rsidR="00E55491" w:rsidRDefault="00E55491" w:rsidP="00281329">
            <w:pPr>
              <w:pStyle w:val="Tablecontent"/>
            </w:pPr>
            <w:r w:rsidRPr="00C775C7">
              <w:t xml:space="preserve">Connection Server cannot establish communication with Horizon Agent on an RDS host. </w:t>
            </w:r>
          </w:p>
        </w:tc>
      </w:tr>
      <w:tr w:rsidR="00E55491" w14:paraId="72EE161F" w14:textId="77777777" w:rsidTr="00281329">
        <w:tc>
          <w:tcPr>
            <w:tcW w:w="1843" w:type="dxa"/>
            <w:shd w:val="clear" w:color="auto" w:fill="F2F2F2" w:themeFill="background1" w:themeFillShade="F2"/>
            <w:vAlign w:val="center"/>
          </w:tcPr>
          <w:p w14:paraId="5CA774E7" w14:textId="77777777" w:rsidR="00E55491" w:rsidRPr="00C775C7" w:rsidRDefault="00E55491" w:rsidP="00281329">
            <w:pPr>
              <w:pStyle w:val="Tablecontent"/>
            </w:pPr>
            <w:r w:rsidRPr="00C775C7">
              <w:t xml:space="preserve">Invalid IP </w:t>
            </w:r>
          </w:p>
        </w:tc>
        <w:tc>
          <w:tcPr>
            <w:tcW w:w="8613" w:type="dxa"/>
            <w:vAlign w:val="center"/>
          </w:tcPr>
          <w:p w14:paraId="1F3C9A09" w14:textId="77777777" w:rsidR="00E55491" w:rsidRPr="00C775C7" w:rsidRDefault="00E55491" w:rsidP="00281329">
            <w:pPr>
              <w:pStyle w:val="Tablecontent"/>
            </w:pPr>
            <w:r w:rsidRPr="00C775C7">
              <w:t xml:space="preserve">Subnet mask registry setting is configured on the RDS host, and no active network adapters have an IP address within the configured range. </w:t>
            </w:r>
          </w:p>
        </w:tc>
      </w:tr>
      <w:tr w:rsidR="00E55491" w14:paraId="744CEC55" w14:textId="77777777" w:rsidTr="00281329">
        <w:tc>
          <w:tcPr>
            <w:tcW w:w="1843" w:type="dxa"/>
            <w:shd w:val="clear" w:color="auto" w:fill="F2F2F2" w:themeFill="background1" w:themeFillShade="F2"/>
            <w:vAlign w:val="center"/>
          </w:tcPr>
          <w:p w14:paraId="32D38EB6" w14:textId="77777777" w:rsidR="00E55491" w:rsidRPr="00C775C7" w:rsidRDefault="00E55491" w:rsidP="00281329">
            <w:pPr>
              <w:pStyle w:val="Tablecontent"/>
            </w:pPr>
            <w:r w:rsidRPr="00C775C7">
              <w:t xml:space="preserve">Protocol failure </w:t>
            </w:r>
          </w:p>
        </w:tc>
        <w:tc>
          <w:tcPr>
            <w:tcW w:w="8613" w:type="dxa"/>
            <w:vAlign w:val="center"/>
          </w:tcPr>
          <w:p w14:paraId="7916A1DF" w14:textId="77777777" w:rsidR="00E55491" w:rsidRPr="00C775C7" w:rsidRDefault="00E55491" w:rsidP="00281329">
            <w:pPr>
              <w:pStyle w:val="Tablecontent"/>
            </w:pPr>
            <w:r w:rsidRPr="00C775C7">
              <w:t xml:space="preserve">The RDP display protocol is not running correctly. If RDP is not running and PCoIP is running, clients cannot connect using either RDP or PCoIP. However, if RDP is running and PCoIP is not running, clients can connect using RDP. </w:t>
            </w:r>
          </w:p>
        </w:tc>
      </w:tr>
      <w:tr w:rsidR="00E55491" w14:paraId="3C62AB7B" w14:textId="77777777" w:rsidTr="00281329">
        <w:tc>
          <w:tcPr>
            <w:tcW w:w="1843" w:type="dxa"/>
            <w:shd w:val="clear" w:color="auto" w:fill="F2F2F2" w:themeFill="background1" w:themeFillShade="F2"/>
            <w:vAlign w:val="center"/>
          </w:tcPr>
          <w:p w14:paraId="461370B0" w14:textId="77777777" w:rsidR="00E55491" w:rsidRPr="00C775C7" w:rsidRDefault="00E55491" w:rsidP="00281329">
            <w:pPr>
              <w:pStyle w:val="Tablecontent"/>
            </w:pPr>
            <w:r w:rsidRPr="00C775C7">
              <w:t xml:space="preserve">Domain failure </w:t>
            </w:r>
          </w:p>
        </w:tc>
        <w:tc>
          <w:tcPr>
            <w:tcW w:w="8613" w:type="dxa"/>
            <w:vAlign w:val="center"/>
          </w:tcPr>
          <w:p w14:paraId="72D6FADB" w14:textId="77777777" w:rsidR="00E55491" w:rsidRPr="00C775C7" w:rsidRDefault="00E55491" w:rsidP="00281329">
            <w:pPr>
              <w:pStyle w:val="Tablecontent"/>
            </w:pPr>
            <w:r w:rsidRPr="00C775C7">
              <w:t xml:space="preserve">RDS host encountered a problem reaching the domain. The domain server was not accessible, or the domain authentication failed. </w:t>
            </w:r>
          </w:p>
        </w:tc>
      </w:tr>
      <w:tr w:rsidR="00E55491" w14:paraId="6204DF13" w14:textId="77777777" w:rsidTr="00281329">
        <w:tc>
          <w:tcPr>
            <w:tcW w:w="1843" w:type="dxa"/>
            <w:shd w:val="clear" w:color="auto" w:fill="F2F2F2" w:themeFill="background1" w:themeFillShade="F2"/>
            <w:vAlign w:val="center"/>
          </w:tcPr>
          <w:p w14:paraId="30595458" w14:textId="77777777" w:rsidR="00E55491" w:rsidRPr="00C775C7" w:rsidRDefault="00E55491" w:rsidP="00281329">
            <w:pPr>
              <w:pStyle w:val="Tablecontent"/>
            </w:pPr>
            <w:r w:rsidRPr="00C775C7">
              <w:t xml:space="preserve">Configuration error </w:t>
            </w:r>
          </w:p>
        </w:tc>
        <w:tc>
          <w:tcPr>
            <w:tcW w:w="8613" w:type="dxa"/>
            <w:vAlign w:val="center"/>
          </w:tcPr>
          <w:p w14:paraId="6E057275" w14:textId="77777777" w:rsidR="00E55491" w:rsidRPr="00C775C7" w:rsidRDefault="00E55491" w:rsidP="00281329">
            <w:pPr>
              <w:pStyle w:val="Tablecontent"/>
            </w:pPr>
            <w:r w:rsidRPr="00C775C7">
              <w:t xml:space="preserve">RDS role is not enabled on the server. </w:t>
            </w:r>
          </w:p>
        </w:tc>
      </w:tr>
      <w:tr w:rsidR="00E55491" w14:paraId="333EB5E7" w14:textId="77777777" w:rsidTr="00281329">
        <w:tc>
          <w:tcPr>
            <w:tcW w:w="1843" w:type="dxa"/>
            <w:shd w:val="clear" w:color="auto" w:fill="F2F2F2" w:themeFill="background1" w:themeFillShade="F2"/>
            <w:vAlign w:val="center"/>
          </w:tcPr>
          <w:p w14:paraId="6FEEBD62" w14:textId="77777777" w:rsidR="00E55491" w:rsidRPr="00C775C7" w:rsidRDefault="00E55491" w:rsidP="00281329">
            <w:pPr>
              <w:pStyle w:val="Tablecontent"/>
            </w:pPr>
            <w:r w:rsidRPr="00C775C7">
              <w:t xml:space="preserve">Unknown </w:t>
            </w:r>
          </w:p>
        </w:tc>
        <w:tc>
          <w:tcPr>
            <w:tcW w:w="8613" w:type="dxa"/>
            <w:vAlign w:val="center"/>
          </w:tcPr>
          <w:p w14:paraId="34E43E81" w14:textId="77777777" w:rsidR="00E55491" w:rsidRPr="00C775C7" w:rsidRDefault="00E55491" w:rsidP="00281329">
            <w:pPr>
              <w:pStyle w:val="Tablecontent"/>
            </w:pPr>
            <w:r w:rsidRPr="00C775C7">
              <w:t xml:space="preserve">RDS host is in an unknown state. </w:t>
            </w:r>
          </w:p>
        </w:tc>
      </w:tr>
    </w:tbl>
    <w:p w14:paraId="07D52CFF" w14:textId="77777777" w:rsidR="00E55491" w:rsidRDefault="00E55491" w:rsidP="00E55491">
      <w:pPr>
        <w:rPr>
          <w:lang w:val="en-GB"/>
        </w:rPr>
      </w:pPr>
      <w:r>
        <w:t xml:space="preserve">Reference: </w:t>
      </w:r>
      <w:r>
        <w:rPr>
          <w:lang w:val="en-GB"/>
        </w:rPr>
        <w:t xml:space="preserve">RDS host </w:t>
      </w:r>
      <w:hyperlink r:id="rId960" w:history="1">
        <w:hyperlink r:id="rId961" w:history="1">
          <w:r w:rsidRPr="00F03367">
            <w:rPr>
              <w:rStyle w:val="Hyperlink"/>
              <w:lang w:val="en-GB"/>
            </w:rPr>
            <w:t>status</w:t>
          </w:r>
        </w:hyperlink>
      </w:hyperlink>
      <w:r>
        <w:rPr>
          <w:lang w:val="en-GB"/>
        </w:rPr>
        <w:t xml:space="preserve">. </w:t>
      </w:r>
    </w:p>
    <w:p w14:paraId="182BF075" w14:textId="77777777" w:rsidR="00E55491" w:rsidRDefault="00E55491" w:rsidP="00E55491">
      <w:pPr>
        <w:pStyle w:val="Heading4"/>
      </w:pPr>
      <w:r>
        <w:t>VDI Pool</w:t>
      </w:r>
    </w:p>
    <w:p w14:paraId="68B4665C" w14:textId="77777777" w:rsidR="00E55491" w:rsidRDefault="00E55491" w:rsidP="00E55491">
      <w:pPr>
        <w:rPr>
          <w:lang w:val="en-GB"/>
        </w:rPr>
      </w:pPr>
      <w:r>
        <w:rPr>
          <w:lang w:val="en-GB"/>
        </w:rPr>
        <w:t xml:space="preserve">From capacity point of view, there are 2 types of VDI Pools: automated and manual. </w:t>
      </w:r>
    </w:p>
    <w:p w14:paraId="6BC7B78D" w14:textId="77777777" w:rsidR="00E55491" w:rsidRDefault="00E55491" w:rsidP="00E55491">
      <w:pPr>
        <w:rPr>
          <w:lang w:val="en-GB"/>
        </w:rPr>
      </w:pPr>
      <w:r>
        <w:rPr>
          <w:lang w:val="en-GB"/>
        </w:rPr>
        <w:t xml:space="preserve">Manual means you select the desktops that make up the pool. They can be vCenter VM or physical desktops. In this case, the assignment to users are typically 1:1 and hence capacity become manual too. </w:t>
      </w:r>
    </w:p>
    <w:p w14:paraId="67D99E25" w14:textId="77777777" w:rsidR="00E55491" w:rsidRDefault="00E55491" w:rsidP="00E55491">
      <w:pPr>
        <w:rPr>
          <w:lang w:val="en-GB"/>
        </w:rPr>
      </w:pPr>
      <w:r>
        <w:rPr>
          <w:lang w:val="en-GB"/>
        </w:rPr>
        <w:t xml:space="preserve">Automated means the VMs are provisioned automatically. You can have full clones, linked clones or instant clones. You can then assign the user to the desktop, which can be dedicated assignment or floating assignment. In the following screenshot, I’ve selected automated pool, and then chosen floating. </w:t>
      </w:r>
    </w:p>
    <w:p w14:paraId="2294F072" w14:textId="77777777" w:rsidR="00E55491" w:rsidRDefault="00E55491" w:rsidP="00E55491">
      <w:pPr>
        <w:rPr>
          <w:lang w:val="en-GB"/>
        </w:rPr>
      </w:pPr>
      <w:r w:rsidRPr="00616342">
        <w:rPr>
          <w:noProof/>
          <w:lang w:val="en-GB"/>
        </w:rPr>
        <w:lastRenderedPageBreak/>
        <w:drawing>
          <wp:inline distT="0" distB="0" distL="0" distR="0" wp14:anchorId="01530977" wp14:editId="699EC636">
            <wp:extent cx="6645910" cy="2729230"/>
            <wp:effectExtent l="0" t="0" r="2540" b="0"/>
            <wp:docPr id="567723391" name="Picture 56772339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91" name="Picture 567723391" descr="Graphical user interface, application&#10;&#10;Description automatically generated"/>
                    <pic:cNvPicPr/>
                  </pic:nvPicPr>
                  <pic:blipFill>
                    <a:blip r:embed="rId962"/>
                    <a:stretch>
                      <a:fillRect/>
                    </a:stretch>
                  </pic:blipFill>
                  <pic:spPr>
                    <a:xfrm>
                      <a:off x="0" y="0"/>
                      <a:ext cx="6645910" cy="2729230"/>
                    </a:xfrm>
                    <a:prstGeom prst="rect">
                      <a:avLst/>
                    </a:prstGeom>
                  </pic:spPr>
                </pic:pic>
              </a:graphicData>
            </a:graphic>
          </wp:inline>
        </w:drawing>
      </w:r>
    </w:p>
    <w:p w14:paraId="46D91AAF" w14:textId="77777777" w:rsidR="00E55491" w:rsidRDefault="00E55491" w:rsidP="00E55491">
      <w:pPr>
        <w:rPr>
          <w:lang w:val="en-GB"/>
        </w:rPr>
      </w:pPr>
      <w:r>
        <w:rPr>
          <w:lang w:val="en-GB"/>
        </w:rPr>
        <w:t xml:space="preserve">Horizon has a on-demand capacity, which are controlled via minimum, maximum, and spare machine. In the following screenshot, I’ve set the minimum to be 10. This means initially it will provision 10 VM up front. </w:t>
      </w:r>
    </w:p>
    <w:p w14:paraId="11E17A2D" w14:textId="77777777" w:rsidR="00E55491" w:rsidRDefault="00E55491" w:rsidP="00E55491">
      <w:pPr>
        <w:rPr>
          <w:lang w:val="en-GB"/>
        </w:rPr>
      </w:pPr>
      <w:r>
        <w:rPr>
          <w:lang w:val="en-GB"/>
        </w:rPr>
        <w:t>I’ve also set the number of spare to be 5. So when VM no 6 is taken, Horizon will automatically provision VM no 11. It will continue to do so, keeping 5 spare VM, until it reached 100, which is the absolute limit I set.</w:t>
      </w:r>
    </w:p>
    <w:p w14:paraId="1218D895" w14:textId="77777777" w:rsidR="00E55491" w:rsidRDefault="00E55491" w:rsidP="00E55491">
      <w:pPr>
        <w:jc w:val="center"/>
        <w:rPr>
          <w:lang w:val="en-GB"/>
        </w:rPr>
      </w:pPr>
      <w:r w:rsidRPr="00A77141">
        <w:rPr>
          <w:noProof/>
          <w:lang w:val="en-GB"/>
        </w:rPr>
        <w:drawing>
          <wp:inline distT="0" distB="0" distL="0" distR="0" wp14:anchorId="0B26F75D" wp14:editId="70EC5F62">
            <wp:extent cx="4381200" cy="2566800"/>
            <wp:effectExtent l="0" t="0" r="635" b="5080"/>
            <wp:docPr id="910169564" name="Picture 910169564"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64" name="Picture 910169564" descr="Graphical user interface, text, application, email&#10;&#10;Description automatically generated"/>
                    <pic:cNvPicPr/>
                  </pic:nvPicPr>
                  <pic:blipFill>
                    <a:blip r:embed="rId963"/>
                    <a:stretch>
                      <a:fillRect/>
                    </a:stretch>
                  </pic:blipFill>
                  <pic:spPr>
                    <a:xfrm>
                      <a:off x="0" y="0"/>
                      <a:ext cx="4381200" cy="2566800"/>
                    </a:xfrm>
                    <a:prstGeom prst="rect">
                      <a:avLst/>
                    </a:prstGeom>
                  </pic:spPr>
                </pic:pic>
              </a:graphicData>
            </a:graphic>
          </wp:inline>
        </w:drawing>
      </w:r>
    </w:p>
    <w:p w14:paraId="5E398380" w14:textId="77777777" w:rsidR="00E55491" w:rsidRDefault="00E55491" w:rsidP="00E55491">
      <w:pPr>
        <w:rPr>
          <w:lang w:val="en-GB"/>
        </w:rPr>
      </w:pPr>
      <w:r>
        <w:rPr>
          <w:lang w:val="en-GB"/>
        </w:rPr>
        <w:t xml:space="preserve">Can you see some complexity on the above? </w:t>
      </w:r>
    </w:p>
    <w:p w14:paraId="5F76A841" w14:textId="77777777" w:rsidR="00E55491" w:rsidRDefault="00E55491" w:rsidP="00E55491">
      <w:pPr>
        <w:rPr>
          <w:lang w:val="en-GB"/>
        </w:rPr>
      </w:pPr>
      <w:r>
        <w:rPr>
          <w:lang w:val="en-GB"/>
        </w:rPr>
        <w:t xml:space="preserve">Yes, it assumes that the underlying infrastructure is ready. You need to have CPU, memory, storage, IP address, Windows license, etc. ready. If you are running in the cloud, you need to have budget ready to buy extra capacity. If you are running on prem, you need to have the capacity ready. If you have many VDI pools sharing the same underlying vSphere and vSAN cluster, you need to ensure they all can fit. </w:t>
      </w:r>
    </w:p>
    <w:p w14:paraId="6621AEE3" w14:textId="77777777" w:rsidR="00E55491" w:rsidRPr="00065025" w:rsidRDefault="00E55491" w:rsidP="00E55491">
      <w:pPr>
        <w:rPr>
          <w:lang w:val="en-GB"/>
        </w:rPr>
      </w:pPr>
      <w:r>
        <w:rPr>
          <w:lang w:val="en-GB"/>
        </w:rPr>
        <w:t>Once the pool is provisioned, it looks like the following on the Horizon admin UI:</w:t>
      </w:r>
    </w:p>
    <w:p w14:paraId="353F1C2C" w14:textId="77777777" w:rsidR="00E55491" w:rsidRPr="002F219B" w:rsidRDefault="00E55491" w:rsidP="00E55491">
      <w:pPr>
        <w:jc w:val="center"/>
        <w:rPr>
          <w:lang w:val="en-GB"/>
        </w:rPr>
      </w:pPr>
      <w:r w:rsidRPr="002F219B">
        <w:rPr>
          <w:noProof/>
          <w:lang w:val="en-GB"/>
        </w:rPr>
        <w:lastRenderedPageBreak/>
        <w:drawing>
          <wp:inline distT="0" distB="0" distL="0" distR="0" wp14:anchorId="37142013" wp14:editId="1A1F3AEB">
            <wp:extent cx="4492800" cy="4100400"/>
            <wp:effectExtent l="0" t="0" r="3175" b="0"/>
            <wp:docPr id="567723387" name="Picture 567723387" descr="Graphical user interfac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87" name="Picture 567723387" descr="Graphical user interface, table&#10;&#10;Description automatically generated"/>
                    <pic:cNvPicPr/>
                  </pic:nvPicPr>
                  <pic:blipFill>
                    <a:blip r:embed="rId964"/>
                    <a:stretch>
                      <a:fillRect/>
                    </a:stretch>
                  </pic:blipFill>
                  <pic:spPr>
                    <a:xfrm>
                      <a:off x="0" y="0"/>
                      <a:ext cx="4492800" cy="4100400"/>
                    </a:xfrm>
                    <a:prstGeom prst="rect">
                      <a:avLst/>
                    </a:prstGeom>
                  </pic:spPr>
                </pic:pic>
              </a:graphicData>
            </a:graphic>
          </wp:inline>
        </w:drawing>
      </w:r>
    </w:p>
    <w:p w14:paraId="5128986E" w14:textId="77777777" w:rsidR="00E55491" w:rsidRDefault="00E55491" w:rsidP="00E55491">
      <w:r>
        <w:rPr>
          <w:lang w:val="en-GB"/>
        </w:rPr>
        <w:t xml:space="preserve">Available Desktop = Total - Used - </w:t>
      </w:r>
      <w:r>
        <w:t>Unavailable States - Transient States - Bad States</w:t>
      </w:r>
    </w:p>
    <w:p w14:paraId="1D6C82A3" w14:textId="77777777" w:rsidR="00E55491" w:rsidRDefault="00E55491" w:rsidP="00E55491">
      <w:pPr>
        <w:pStyle w:val="Heading5"/>
        <w:numPr>
          <w:ilvl w:val="0"/>
          <w:numId w:val="0"/>
        </w:numPr>
      </w:pPr>
      <w:r>
        <w:t>Used State</w:t>
      </w:r>
    </w:p>
    <w:p w14:paraId="66DC7669" w14:textId="77777777" w:rsidR="00E55491" w:rsidRDefault="00E55491" w:rsidP="00E55491">
      <w:pPr>
        <w:rPr>
          <w:lang w:val="en-GB"/>
        </w:rPr>
      </w:pPr>
      <w:r>
        <w:rPr>
          <w:lang w:val="en-GB"/>
        </w:rPr>
        <w:t xml:space="preserve">A user is logged into the desktop (Windows or Linux), hence it is considered used. The user may or may not be connected to Horizon. A user could directly login via vSphere Client or RDP. </w:t>
      </w:r>
    </w:p>
    <w:p w14:paraId="32B79A20" w14:textId="77777777" w:rsidR="00E55491" w:rsidRDefault="00E55491" w:rsidP="00E55491">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43"/>
        <w:gridCol w:w="8613"/>
      </w:tblGrid>
      <w:tr w:rsidR="00E55491" w14:paraId="23109A41" w14:textId="77777777" w:rsidTr="00281329">
        <w:tc>
          <w:tcPr>
            <w:tcW w:w="1843" w:type="dxa"/>
            <w:shd w:val="clear" w:color="auto" w:fill="F2F2F2" w:themeFill="background1" w:themeFillShade="F2"/>
            <w:vAlign w:val="center"/>
          </w:tcPr>
          <w:p w14:paraId="48A07A64" w14:textId="77777777" w:rsidR="00E55491" w:rsidRPr="00946254" w:rsidRDefault="00E55491" w:rsidP="00281329">
            <w:pPr>
              <w:pStyle w:val="Tablecontent"/>
              <w:rPr>
                <w:lang w:val="en-SG"/>
              </w:rPr>
            </w:pPr>
            <w:r w:rsidRPr="00946254">
              <w:t xml:space="preserve">Unassigned user connected </w:t>
            </w:r>
          </w:p>
        </w:tc>
        <w:tc>
          <w:tcPr>
            <w:tcW w:w="8613" w:type="dxa"/>
            <w:vAlign w:val="center"/>
          </w:tcPr>
          <w:p w14:paraId="4F843415" w14:textId="77777777" w:rsidR="00E55491" w:rsidRDefault="00E55491" w:rsidP="00281329">
            <w:r>
              <w:t xml:space="preserve">A user other than the assigned user is logged in to a VM in a dedicated pool. </w:t>
            </w:r>
          </w:p>
          <w:p w14:paraId="1DCED6BC" w14:textId="77777777" w:rsidR="00E55491" w:rsidRDefault="00E55491" w:rsidP="00281329">
            <w:pPr>
              <w:pStyle w:val="Tablecontent"/>
            </w:pPr>
            <w:r>
              <w:t xml:space="preserve">For example, this state can occur if an administrator starts vSphere Client, opens a console on the VM, and logs in. </w:t>
            </w:r>
          </w:p>
        </w:tc>
      </w:tr>
      <w:tr w:rsidR="00E55491" w14:paraId="37F246F0" w14:textId="77777777" w:rsidTr="00281329">
        <w:tc>
          <w:tcPr>
            <w:tcW w:w="1843" w:type="dxa"/>
            <w:shd w:val="clear" w:color="auto" w:fill="F2F2F2" w:themeFill="background1" w:themeFillShade="F2"/>
            <w:vAlign w:val="center"/>
          </w:tcPr>
          <w:p w14:paraId="4EFA6CAE" w14:textId="77777777" w:rsidR="00E55491" w:rsidRPr="00946254" w:rsidRDefault="00E55491" w:rsidP="00281329">
            <w:pPr>
              <w:pStyle w:val="Tablecontent"/>
              <w:rPr>
                <w:lang w:val="en-SG"/>
              </w:rPr>
            </w:pPr>
            <w:r w:rsidRPr="00946254">
              <w:t xml:space="preserve">Unassigned user disconnected </w:t>
            </w:r>
          </w:p>
        </w:tc>
        <w:tc>
          <w:tcPr>
            <w:tcW w:w="8613" w:type="dxa"/>
            <w:vAlign w:val="center"/>
          </w:tcPr>
          <w:p w14:paraId="78282A78" w14:textId="77777777" w:rsidR="00E55491" w:rsidRDefault="00E55491" w:rsidP="00281329">
            <w:pPr>
              <w:pStyle w:val="Tablecontent"/>
            </w:pPr>
            <w:r>
              <w:t xml:space="preserve">A user other than the assigned user is logged in and disconnected from a VM in a dedicated-assignment pool. </w:t>
            </w:r>
          </w:p>
        </w:tc>
      </w:tr>
      <w:tr w:rsidR="00E55491" w14:paraId="2DF87337" w14:textId="77777777" w:rsidTr="00281329">
        <w:tc>
          <w:tcPr>
            <w:tcW w:w="1843" w:type="dxa"/>
            <w:shd w:val="clear" w:color="auto" w:fill="F2F2F2" w:themeFill="background1" w:themeFillShade="F2"/>
            <w:vAlign w:val="center"/>
          </w:tcPr>
          <w:p w14:paraId="64983D14" w14:textId="77777777" w:rsidR="00E55491" w:rsidRDefault="00E55491" w:rsidP="00281329">
            <w:pPr>
              <w:pStyle w:val="Tablecontent"/>
            </w:pPr>
            <w:r w:rsidRPr="00946254">
              <w:t xml:space="preserve">Available </w:t>
            </w:r>
          </w:p>
        </w:tc>
        <w:tc>
          <w:tcPr>
            <w:tcW w:w="8613" w:type="dxa"/>
            <w:vAlign w:val="center"/>
          </w:tcPr>
          <w:p w14:paraId="3F6C0494" w14:textId="77777777" w:rsidR="00E55491" w:rsidRDefault="00E55491" w:rsidP="00281329">
            <w:pPr>
              <w:pStyle w:val="Tablecontent"/>
            </w:pPr>
            <w:r>
              <w:t xml:space="preserve">The VM is powered on and ready for a connection. In a dedicated pool, the VM is assigned to a user and will start when the user logs in. </w:t>
            </w:r>
          </w:p>
        </w:tc>
      </w:tr>
      <w:tr w:rsidR="00E55491" w14:paraId="0FF6A6EC" w14:textId="77777777" w:rsidTr="00281329">
        <w:tc>
          <w:tcPr>
            <w:tcW w:w="1843" w:type="dxa"/>
            <w:shd w:val="clear" w:color="auto" w:fill="F2F2F2" w:themeFill="background1" w:themeFillShade="F2"/>
            <w:vAlign w:val="center"/>
          </w:tcPr>
          <w:p w14:paraId="2F68C977" w14:textId="77777777" w:rsidR="00E55491" w:rsidRPr="00BE23D0" w:rsidRDefault="00E55491" w:rsidP="00281329">
            <w:pPr>
              <w:pStyle w:val="Tablecontent"/>
              <w:rPr>
                <w:highlight w:val="red"/>
              </w:rPr>
            </w:pPr>
            <w:r>
              <w:t xml:space="preserve">Connected </w:t>
            </w:r>
          </w:p>
        </w:tc>
        <w:tc>
          <w:tcPr>
            <w:tcW w:w="8613" w:type="dxa"/>
            <w:vAlign w:val="center"/>
          </w:tcPr>
          <w:p w14:paraId="6205B4D1" w14:textId="77777777" w:rsidR="00E55491" w:rsidRDefault="00E55491" w:rsidP="00281329">
            <w:pPr>
              <w:pStyle w:val="Tablecontent"/>
            </w:pPr>
            <w:r>
              <w:t xml:space="preserve">The VM is in a session and has a remote connection to the </w:t>
            </w:r>
            <w:r>
              <w:rPr>
                <w:rStyle w:val="ph"/>
              </w:rPr>
              <w:t>Horizon Client</w:t>
            </w:r>
            <w:r>
              <w:t xml:space="preserve"> device. </w:t>
            </w:r>
          </w:p>
        </w:tc>
      </w:tr>
      <w:tr w:rsidR="00E55491" w14:paraId="6FF7F915" w14:textId="77777777" w:rsidTr="00281329">
        <w:tc>
          <w:tcPr>
            <w:tcW w:w="1843" w:type="dxa"/>
            <w:shd w:val="clear" w:color="auto" w:fill="F2F2F2" w:themeFill="background1" w:themeFillShade="F2"/>
            <w:vAlign w:val="center"/>
          </w:tcPr>
          <w:p w14:paraId="046E5BEB" w14:textId="77777777" w:rsidR="00E55491" w:rsidRPr="00BE23D0" w:rsidRDefault="00E55491" w:rsidP="00281329">
            <w:pPr>
              <w:pStyle w:val="Tablecontent"/>
              <w:rPr>
                <w:highlight w:val="red"/>
              </w:rPr>
            </w:pPr>
            <w:r>
              <w:t xml:space="preserve">Disconnected </w:t>
            </w:r>
          </w:p>
        </w:tc>
        <w:tc>
          <w:tcPr>
            <w:tcW w:w="8613" w:type="dxa"/>
            <w:vAlign w:val="center"/>
          </w:tcPr>
          <w:p w14:paraId="18C8F1FB" w14:textId="77777777" w:rsidR="00E55491" w:rsidRDefault="00E55491" w:rsidP="00281329">
            <w:pPr>
              <w:pStyle w:val="Tablecontent"/>
            </w:pPr>
            <w:r>
              <w:t xml:space="preserve">The VM is in a session, but it is disconnected from the </w:t>
            </w:r>
            <w:r>
              <w:rPr>
                <w:rStyle w:val="ph"/>
              </w:rPr>
              <w:t>Horizon Client</w:t>
            </w:r>
            <w:r>
              <w:t xml:space="preserve"> device. </w:t>
            </w:r>
          </w:p>
        </w:tc>
      </w:tr>
    </w:tbl>
    <w:p w14:paraId="171B7EBC" w14:textId="77777777" w:rsidR="00E55491" w:rsidRDefault="00E55491" w:rsidP="00E55491">
      <w:pPr>
        <w:pStyle w:val="Heading5"/>
        <w:numPr>
          <w:ilvl w:val="0"/>
          <w:numId w:val="0"/>
        </w:numPr>
      </w:pPr>
      <w:r>
        <w:lastRenderedPageBreak/>
        <w:t>Unavailable States</w:t>
      </w:r>
    </w:p>
    <w:p w14:paraId="14D9BF8D" w14:textId="77777777" w:rsidR="00E55491" w:rsidRDefault="00E55491" w:rsidP="00E55491">
      <w:r>
        <w:t>The host is not available, but there is nothing wrong. Typically this is intentional, or something that requires a simple intervention such as reboot.</w:t>
      </w:r>
    </w:p>
    <w:p w14:paraId="0096421E" w14:textId="77777777" w:rsidR="00E55491" w:rsidRDefault="00E55491" w:rsidP="00E55491">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43"/>
        <w:gridCol w:w="8613"/>
      </w:tblGrid>
      <w:tr w:rsidR="00E55491" w14:paraId="4B98C1C8" w14:textId="77777777" w:rsidTr="00281329">
        <w:tc>
          <w:tcPr>
            <w:tcW w:w="1843" w:type="dxa"/>
            <w:shd w:val="clear" w:color="auto" w:fill="F2F2F2" w:themeFill="background1" w:themeFillShade="F2"/>
            <w:vAlign w:val="center"/>
          </w:tcPr>
          <w:p w14:paraId="1F732DBA" w14:textId="77777777" w:rsidR="00E55491" w:rsidRPr="00946254" w:rsidRDefault="00E55491" w:rsidP="00281329">
            <w:pPr>
              <w:pStyle w:val="Tablecontent"/>
            </w:pPr>
            <w:r w:rsidRPr="00946254">
              <w:t xml:space="preserve">Maintenance mode </w:t>
            </w:r>
          </w:p>
        </w:tc>
        <w:tc>
          <w:tcPr>
            <w:tcW w:w="8613" w:type="dxa"/>
            <w:vAlign w:val="center"/>
          </w:tcPr>
          <w:p w14:paraId="20ADEE39" w14:textId="77777777" w:rsidR="00E55491" w:rsidRDefault="00E55491" w:rsidP="00281329">
            <w:pPr>
              <w:pStyle w:val="Tablecontent"/>
            </w:pPr>
            <w:r>
              <w:t xml:space="preserve">The VM is in maintenance mode. Users cannot log in or use the VM. </w:t>
            </w:r>
          </w:p>
        </w:tc>
      </w:tr>
      <w:tr w:rsidR="00E55491" w14:paraId="6A43E562" w14:textId="77777777" w:rsidTr="00281329">
        <w:tc>
          <w:tcPr>
            <w:tcW w:w="1843" w:type="dxa"/>
            <w:shd w:val="clear" w:color="auto" w:fill="F2F2F2" w:themeFill="background1" w:themeFillShade="F2"/>
            <w:vAlign w:val="center"/>
          </w:tcPr>
          <w:p w14:paraId="3E4EF946" w14:textId="77777777" w:rsidR="00E55491" w:rsidRPr="00946254" w:rsidRDefault="00E55491" w:rsidP="00281329">
            <w:pPr>
              <w:pStyle w:val="Tablecontent"/>
            </w:pPr>
            <w:r w:rsidRPr="00946254">
              <w:t xml:space="preserve">Agent needs reboot </w:t>
            </w:r>
          </w:p>
        </w:tc>
        <w:tc>
          <w:tcPr>
            <w:tcW w:w="8613" w:type="dxa"/>
            <w:vAlign w:val="center"/>
          </w:tcPr>
          <w:p w14:paraId="76BDCBE4" w14:textId="77777777" w:rsidR="00E55491" w:rsidRPr="00C775C7" w:rsidRDefault="00E55491" w:rsidP="00281329">
            <w:pPr>
              <w:pStyle w:val="Tablecontent"/>
            </w:pPr>
            <w:r>
              <w:t xml:space="preserve">A </w:t>
            </w:r>
            <w:r>
              <w:rPr>
                <w:rStyle w:val="ph"/>
              </w:rPr>
              <w:t xml:space="preserve">Horizon </w:t>
            </w:r>
            <w:r>
              <w:t xml:space="preserve">component was upgraded, and the VM must be restarted to allow </w:t>
            </w:r>
            <w:r>
              <w:rPr>
                <w:rStyle w:val="ph"/>
              </w:rPr>
              <w:t>Horizon Agent</w:t>
            </w:r>
            <w:r>
              <w:t xml:space="preserve"> to operate with the upgraded component. </w:t>
            </w:r>
          </w:p>
        </w:tc>
      </w:tr>
      <w:tr w:rsidR="00E55491" w14:paraId="5EBA0B13" w14:textId="77777777" w:rsidTr="00281329">
        <w:tc>
          <w:tcPr>
            <w:tcW w:w="1843" w:type="dxa"/>
            <w:shd w:val="clear" w:color="auto" w:fill="F2F2F2" w:themeFill="background1" w:themeFillShade="F2"/>
            <w:vAlign w:val="center"/>
          </w:tcPr>
          <w:p w14:paraId="49C3CEAC" w14:textId="77777777" w:rsidR="00E55491" w:rsidRPr="00946254" w:rsidRDefault="00E55491" w:rsidP="00281329">
            <w:pPr>
              <w:pStyle w:val="Tablecontent"/>
            </w:pPr>
            <w:r w:rsidRPr="00946254">
              <w:t xml:space="preserve">Provisioned </w:t>
            </w:r>
          </w:p>
        </w:tc>
        <w:tc>
          <w:tcPr>
            <w:tcW w:w="8613" w:type="dxa"/>
            <w:vAlign w:val="center"/>
          </w:tcPr>
          <w:p w14:paraId="77DC6FCD" w14:textId="77777777" w:rsidR="00E55491" w:rsidRPr="00C775C7" w:rsidRDefault="00E55491" w:rsidP="00281329">
            <w:pPr>
              <w:pStyle w:val="Tablecontent"/>
            </w:pPr>
            <w:r>
              <w:t xml:space="preserve">The VM is powered off or suspended. </w:t>
            </w:r>
          </w:p>
        </w:tc>
      </w:tr>
      <w:tr w:rsidR="00E55491" w14:paraId="18698640" w14:textId="77777777" w:rsidTr="00281329">
        <w:tc>
          <w:tcPr>
            <w:tcW w:w="1843" w:type="dxa"/>
            <w:shd w:val="clear" w:color="auto" w:fill="F2F2F2" w:themeFill="background1" w:themeFillShade="F2"/>
            <w:vAlign w:val="center"/>
          </w:tcPr>
          <w:p w14:paraId="2247BEA2" w14:textId="77777777" w:rsidR="00E55491" w:rsidRPr="00946254" w:rsidRDefault="00E55491" w:rsidP="00281329">
            <w:pPr>
              <w:pStyle w:val="Tablecontent"/>
            </w:pPr>
            <w:r w:rsidRPr="00946254">
              <w:t xml:space="preserve">In progress </w:t>
            </w:r>
          </w:p>
        </w:tc>
        <w:tc>
          <w:tcPr>
            <w:tcW w:w="8613" w:type="dxa"/>
            <w:vAlign w:val="center"/>
          </w:tcPr>
          <w:p w14:paraId="35690174" w14:textId="77777777" w:rsidR="00E55491" w:rsidRDefault="00E55491" w:rsidP="00281329">
            <w:pPr>
              <w:pStyle w:val="Tablecontent"/>
            </w:pPr>
            <w:r>
              <w:t xml:space="preserve">The VM is in a transitional state during a maintenance operation. </w:t>
            </w:r>
          </w:p>
        </w:tc>
      </w:tr>
    </w:tbl>
    <w:p w14:paraId="23500730" w14:textId="77777777" w:rsidR="00E55491" w:rsidRDefault="00E55491" w:rsidP="00E55491">
      <w:pPr>
        <w:pStyle w:val="Heading5"/>
      </w:pPr>
      <w:r>
        <w:t>Transient States</w:t>
      </w:r>
    </w:p>
    <w:p w14:paraId="50309048" w14:textId="77777777" w:rsidR="00E55491" w:rsidRDefault="00E55491" w:rsidP="00E55491">
      <w:r>
        <w:t xml:space="preserve">These are temporary states. You rarely see them as they only last for a few minutes, and will clear on their own. </w:t>
      </w:r>
    </w:p>
    <w:p w14:paraId="721BFDCF" w14:textId="77777777" w:rsidR="00E55491" w:rsidRDefault="00E55491" w:rsidP="00E55491">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43"/>
        <w:gridCol w:w="8613"/>
      </w:tblGrid>
      <w:tr w:rsidR="00E55491" w14:paraId="26952204" w14:textId="77777777" w:rsidTr="00281329">
        <w:tc>
          <w:tcPr>
            <w:tcW w:w="1843" w:type="dxa"/>
            <w:shd w:val="clear" w:color="auto" w:fill="F2F2F2" w:themeFill="background1" w:themeFillShade="F2"/>
            <w:vAlign w:val="center"/>
          </w:tcPr>
          <w:p w14:paraId="36E4DE5E" w14:textId="77777777" w:rsidR="00E55491" w:rsidRPr="009A020D" w:rsidRDefault="00E55491" w:rsidP="00281329">
            <w:pPr>
              <w:pStyle w:val="Tablecontent"/>
              <w:rPr>
                <w:b/>
                <w:bCs/>
              </w:rPr>
            </w:pPr>
            <w:r>
              <w:t xml:space="preserve">Provisioning </w:t>
            </w:r>
          </w:p>
        </w:tc>
        <w:tc>
          <w:tcPr>
            <w:tcW w:w="8613" w:type="dxa"/>
            <w:vAlign w:val="center"/>
          </w:tcPr>
          <w:p w14:paraId="053392D8" w14:textId="77777777" w:rsidR="00E55491" w:rsidRDefault="00E55491" w:rsidP="00281329">
            <w:pPr>
              <w:pStyle w:val="Tablecontent"/>
            </w:pPr>
            <w:r>
              <w:t xml:space="preserve">The VM is being provisioned. </w:t>
            </w:r>
          </w:p>
        </w:tc>
      </w:tr>
      <w:tr w:rsidR="00E55491" w14:paraId="008737C1" w14:textId="77777777" w:rsidTr="00281329">
        <w:tc>
          <w:tcPr>
            <w:tcW w:w="1843" w:type="dxa"/>
            <w:shd w:val="clear" w:color="auto" w:fill="F2F2F2" w:themeFill="background1" w:themeFillShade="F2"/>
            <w:vAlign w:val="center"/>
          </w:tcPr>
          <w:p w14:paraId="4246BA1C" w14:textId="77777777" w:rsidR="00E55491" w:rsidRPr="00946254" w:rsidRDefault="00E55491" w:rsidP="00281329">
            <w:pPr>
              <w:pStyle w:val="Tablecontent"/>
            </w:pPr>
            <w:r w:rsidRPr="00946254">
              <w:t xml:space="preserve">Customizing </w:t>
            </w:r>
          </w:p>
        </w:tc>
        <w:tc>
          <w:tcPr>
            <w:tcW w:w="8613" w:type="dxa"/>
            <w:vAlign w:val="center"/>
          </w:tcPr>
          <w:p w14:paraId="2E5EA907" w14:textId="77777777" w:rsidR="00E55491" w:rsidRDefault="00E55491" w:rsidP="00281329">
            <w:pPr>
              <w:pStyle w:val="Tablecontent"/>
            </w:pPr>
            <w:r>
              <w:t xml:space="preserve">The VM in an automated pool is being customized. </w:t>
            </w:r>
          </w:p>
        </w:tc>
      </w:tr>
      <w:tr w:rsidR="00E55491" w14:paraId="65623ADA" w14:textId="77777777" w:rsidTr="00281329">
        <w:tc>
          <w:tcPr>
            <w:tcW w:w="1843" w:type="dxa"/>
            <w:shd w:val="clear" w:color="auto" w:fill="F2F2F2" w:themeFill="background1" w:themeFillShade="F2"/>
            <w:vAlign w:val="center"/>
          </w:tcPr>
          <w:p w14:paraId="5E72A228" w14:textId="77777777" w:rsidR="00E55491" w:rsidRPr="00946254" w:rsidRDefault="00E55491" w:rsidP="00281329">
            <w:pPr>
              <w:pStyle w:val="Tablecontent"/>
            </w:pPr>
            <w:r w:rsidRPr="00946254">
              <w:t xml:space="preserve">Deleting </w:t>
            </w:r>
          </w:p>
        </w:tc>
        <w:tc>
          <w:tcPr>
            <w:tcW w:w="8613" w:type="dxa"/>
            <w:vAlign w:val="center"/>
          </w:tcPr>
          <w:p w14:paraId="6EC3B777" w14:textId="77777777" w:rsidR="00E55491" w:rsidRDefault="00E55491" w:rsidP="00281329">
            <w:pPr>
              <w:pStyle w:val="Tablecontent"/>
            </w:pPr>
            <w:r>
              <w:t xml:space="preserve">The VM is marked for deletion. </w:t>
            </w:r>
            <w:r>
              <w:rPr>
                <w:rStyle w:val="ph"/>
              </w:rPr>
              <w:t>Horizon</w:t>
            </w:r>
            <w:r>
              <w:t xml:space="preserve"> will delete the VM soon</w:t>
            </w:r>
          </w:p>
        </w:tc>
      </w:tr>
      <w:tr w:rsidR="00E55491" w14:paraId="57D8B543" w14:textId="77777777" w:rsidTr="00281329">
        <w:tc>
          <w:tcPr>
            <w:tcW w:w="1843" w:type="dxa"/>
            <w:shd w:val="clear" w:color="auto" w:fill="F2F2F2" w:themeFill="background1" w:themeFillShade="F2"/>
            <w:vAlign w:val="center"/>
          </w:tcPr>
          <w:p w14:paraId="0478A952" w14:textId="77777777" w:rsidR="00E55491" w:rsidRDefault="00E55491" w:rsidP="00281329">
            <w:pPr>
              <w:pStyle w:val="Tablecontent"/>
            </w:pPr>
            <w:r>
              <w:t xml:space="preserve">Startup </w:t>
            </w:r>
          </w:p>
        </w:tc>
        <w:tc>
          <w:tcPr>
            <w:tcW w:w="8613" w:type="dxa"/>
            <w:vAlign w:val="center"/>
          </w:tcPr>
          <w:p w14:paraId="24046663" w14:textId="77777777" w:rsidR="00E55491" w:rsidRDefault="00E55491" w:rsidP="00281329">
            <w:pPr>
              <w:pStyle w:val="Tablecontent"/>
            </w:pPr>
            <w:r>
              <w:rPr>
                <w:rStyle w:val="ph"/>
              </w:rPr>
              <w:t>Horizon Agent</w:t>
            </w:r>
            <w:r>
              <w:t xml:space="preserve"> has started on the VM, but other required services such as the display protocol are still starting. For example, View Agent cannot establish an RDP connection with client computers until RDP has finished starting. The agent startup period allows other processes such as protocol services to start up as well. </w:t>
            </w:r>
          </w:p>
        </w:tc>
      </w:tr>
      <w:tr w:rsidR="00E55491" w14:paraId="4EFD76BF" w14:textId="77777777" w:rsidTr="00281329">
        <w:tc>
          <w:tcPr>
            <w:tcW w:w="1843" w:type="dxa"/>
            <w:shd w:val="clear" w:color="auto" w:fill="F2F2F2" w:themeFill="background1" w:themeFillShade="F2"/>
            <w:vAlign w:val="center"/>
          </w:tcPr>
          <w:p w14:paraId="2FAEA841" w14:textId="77777777" w:rsidR="00E55491" w:rsidRDefault="00E55491" w:rsidP="00281329">
            <w:pPr>
              <w:pStyle w:val="Tablecontent"/>
            </w:pPr>
            <w:r>
              <w:t xml:space="preserve">Agent disabled </w:t>
            </w:r>
          </w:p>
        </w:tc>
        <w:tc>
          <w:tcPr>
            <w:tcW w:w="8613" w:type="dxa"/>
            <w:vAlign w:val="center"/>
          </w:tcPr>
          <w:p w14:paraId="5A798214" w14:textId="77777777" w:rsidR="00E55491" w:rsidRDefault="00E55491" w:rsidP="00281329">
            <w:pPr>
              <w:pStyle w:val="Tablecontent"/>
            </w:pPr>
            <w:r>
              <w:t xml:space="preserve">This state can occur in 2 cases: </w:t>
            </w:r>
          </w:p>
          <w:p w14:paraId="02802983" w14:textId="77777777" w:rsidR="00E55491" w:rsidRDefault="00E55491">
            <w:pPr>
              <w:pStyle w:val="Tablecontent"/>
              <w:numPr>
                <w:ilvl w:val="0"/>
                <w:numId w:val="50"/>
              </w:numPr>
            </w:pPr>
            <w:r>
              <w:t xml:space="preserve">In a desktop pool with the </w:t>
            </w:r>
            <w:r>
              <w:rPr>
                <w:rStyle w:val="ph"/>
              </w:rPr>
              <w:t>Delete or refresh machine on logoff</w:t>
            </w:r>
            <w:r>
              <w:t xml:space="preserve"> or </w:t>
            </w:r>
            <w:r>
              <w:rPr>
                <w:rStyle w:val="ph"/>
              </w:rPr>
              <w:t>Delete machine after logoff</w:t>
            </w:r>
            <w:r>
              <w:t xml:space="preserve"> setting enabled, a desktop session is logged out, but the VM is not yet refreshed or deleted. </w:t>
            </w:r>
          </w:p>
          <w:p w14:paraId="09C53DD1" w14:textId="77777777" w:rsidR="00E55491" w:rsidRDefault="00E55491">
            <w:pPr>
              <w:pStyle w:val="Tablecontent"/>
              <w:numPr>
                <w:ilvl w:val="0"/>
                <w:numId w:val="50"/>
              </w:numPr>
            </w:pPr>
            <w:r>
              <w:t xml:space="preserve">Connection Server disables the </w:t>
            </w:r>
            <w:r>
              <w:rPr>
                <w:rStyle w:val="ph"/>
              </w:rPr>
              <w:t>Horizon Agent</w:t>
            </w:r>
            <w:r>
              <w:t xml:space="preserve"> just before sending a request to power off the VM. </w:t>
            </w:r>
          </w:p>
          <w:p w14:paraId="6EE12962" w14:textId="77777777" w:rsidR="00E55491" w:rsidRDefault="00E55491" w:rsidP="00281329">
            <w:pPr>
              <w:pStyle w:val="Tablecontent"/>
            </w:pPr>
            <w:r>
              <w:t xml:space="preserve">This state ensures that a new desktop session cannot be started on the VM. </w:t>
            </w:r>
          </w:p>
        </w:tc>
      </w:tr>
      <w:tr w:rsidR="00E55491" w14:paraId="4795F90F" w14:textId="77777777" w:rsidTr="00281329">
        <w:tc>
          <w:tcPr>
            <w:tcW w:w="1843" w:type="dxa"/>
            <w:shd w:val="clear" w:color="auto" w:fill="F2F2F2" w:themeFill="background1" w:themeFillShade="F2"/>
            <w:vAlign w:val="center"/>
          </w:tcPr>
          <w:p w14:paraId="6CC16C81" w14:textId="77777777" w:rsidR="00E55491" w:rsidRDefault="00E55491" w:rsidP="00281329">
            <w:pPr>
              <w:pStyle w:val="Tablecontent"/>
            </w:pPr>
            <w:r>
              <w:t xml:space="preserve">Already used </w:t>
            </w:r>
          </w:p>
        </w:tc>
        <w:tc>
          <w:tcPr>
            <w:tcW w:w="8613" w:type="dxa"/>
            <w:vAlign w:val="center"/>
          </w:tcPr>
          <w:p w14:paraId="536C7903" w14:textId="77777777" w:rsidR="00E55491" w:rsidRDefault="00E55491" w:rsidP="00281329">
            <w:r>
              <w:t xml:space="preserve">In a desktop pool with the </w:t>
            </w:r>
            <w:r>
              <w:rPr>
                <w:rStyle w:val="ph"/>
              </w:rPr>
              <w:t>Delete or refresh machine on logoff</w:t>
            </w:r>
            <w:r>
              <w:t xml:space="preserve"> or </w:t>
            </w:r>
            <w:r>
              <w:rPr>
                <w:rStyle w:val="ph"/>
              </w:rPr>
              <w:t>Delete machine after logoff</w:t>
            </w:r>
            <w:r>
              <w:t xml:space="preserve"> setting enabled, there is no session on the VM, but the session was not logged off. </w:t>
            </w:r>
          </w:p>
          <w:p w14:paraId="036B5484" w14:textId="77777777" w:rsidR="00E55491" w:rsidRDefault="00E55491" w:rsidP="00281329">
            <w:pPr>
              <w:pStyle w:val="Tablecontent"/>
            </w:pPr>
            <w:r>
              <w:t xml:space="preserve">This condition might occur if a VM shuts down unexpectedly or the user resets the machine during a session. By default, when a VM is in this state, </w:t>
            </w:r>
            <w:r>
              <w:rPr>
                <w:rStyle w:val="ph"/>
              </w:rPr>
              <w:t>Horizon 7</w:t>
            </w:r>
            <w:r>
              <w:t xml:space="preserve"> prevents any other </w:t>
            </w:r>
            <w:r>
              <w:rPr>
                <w:rStyle w:val="ph"/>
              </w:rPr>
              <w:t>Horizon Client</w:t>
            </w:r>
            <w:r>
              <w:t xml:space="preserve"> devices from accessing the desktop. </w:t>
            </w:r>
          </w:p>
        </w:tc>
      </w:tr>
    </w:tbl>
    <w:p w14:paraId="5F809BA0" w14:textId="77777777" w:rsidR="00E55491" w:rsidRDefault="00E55491" w:rsidP="00E55491">
      <w:pPr>
        <w:pStyle w:val="Heading5"/>
      </w:pPr>
      <w:r>
        <w:t>Bad States</w:t>
      </w:r>
    </w:p>
    <w:p w14:paraId="63DF2788" w14:textId="77777777" w:rsidR="00E55491" w:rsidRDefault="00E55491" w:rsidP="00E55491">
      <w:r>
        <w:t xml:space="preserve">These are permanent states, hence need manual intervention. </w:t>
      </w:r>
    </w:p>
    <w:p w14:paraId="02FC8784" w14:textId="77777777" w:rsidR="00E55491" w:rsidRDefault="00E55491" w:rsidP="00E55491">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43"/>
        <w:gridCol w:w="8613"/>
      </w:tblGrid>
      <w:tr w:rsidR="00E55491" w14:paraId="71FAA06B" w14:textId="77777777" w:rsidTr="00281329">
        <w:tc>
          <w:tcPr>
            <w:tcW w:w="1843" w:type="dxa"/>
            <w:shd w:val="clear" w:color="auto" w:fill="F2F2F2" w:themeFill="background1" w:themeFillShade="F2"/>
            <w:vAlign w:val="center"/>
          </w:tcPr>
          <w:p w14:paraId="2CE79724" w14:textId="77777777" w:rsidR="00E55491" w:rsidRPr="009A020D" w:rsidRDefault="00E55491" w:rsidP="00281329">
            <w:pPr>
              <w:pStyle w:val="Tablecontent"/>
              <w:rPr>
                <w:b/>
                <w:bCs/>
              </w:rPr>
            </w:pPr>
            <w:r>
              <w:t xml:space="preserve">Agent unreachable </w:t>
            </w:r>
          </w:p>
        </w:tc>
        <w:tc>
          <w:tcPr>
            <w:tcW w:w="8613" w:type="dxa"/>
            <w:vAlign w:val="center"/>
          </w:tcPr>
          <w:p w14:paraId="4B9DFECC" w14:textId="77777777" w:rsidR="00E55491" w:rsidRDefault="00E55491" w:rsidP="00281329">
            <w:pPr>
              <w:pStyle w:val="Tablecontent"/>
            </w:pPr>
            <w:r>
              <w:t xml:space="preserve">The Connection Server cannot establish communication with </w:t>
            </w:r>
            <w:r>
              <w:rPr>
                <w:rStyle w:val="ph"/>
              </w:rPr>
              <w:t>Horizon Agent</w:t>
            </w:r>
            <w:r>
              <w:t xml:space="preserve"> on a VM. There are a few possibilities why:</w:t>
            </w:r>
          </w:p>
          <w:p w14:paraId="0744A3DE" w14:textId="77777777" w:rsidR="00E55491" w:rsidRDefault="00E55491">
            <w:pPr>
              <w:pStyle w:val="Tablecontent"/>
              <w:numPr>
                <w:ilvl w:val="0"/>
                <w:numId w:val="65"/>
              </w:numPr>
            </w:pPr>
            <w:r>
              <w:t>The VM is unresponsive.</w:t>
            </w:r>
          </w:p>
          <w:p w14:paraId="6F4F2143" w14:textId="77777777" w:rsidR="00E55491" w:rsidRDefault="00E55491">
            <w:pPr>
              <w:pStyle w:val="Tablecontent"/>
              <w:numPr>
                <w:ilvl w:val="0"/>
                <w:numId w:val="65"/>
              </w:numPr>
            </w:pPr>
            <w:r>
              <w:t>Windows or Linux freezes or fails.</w:t>
            </w:r>
          </w:p>
          <w:p w14:paraId="49BBE839" w14:textId="77777777" w:rsidR="00E55491" w:rsidRDefault="00E55491">
            <w:pPr>
              <w:pStyle w:val="Tablecontent"/>
              <w:numPr>
                <w:ilvl w:val="0"/>
                <w:numId w:val="65"/>
              </w:numPr>
            </w:pPr>
            <w:r>
              <w:t>Guest OS shuts down or boots up, the agent service is not running.</w:t>
            </w:r>
          </w:p>
          <w:p w14:paraId="48C8A74D" w14:textId="77777777" w:rsidR="00E55491" w:rsidRDefault="00E55491">
            <w:pPr>
              <w:pStyle w:val="Tablecontent"/>
              <w:numPr>
                <w:ilvl w:val="0"/>
                <w:numId w:val="65"/>
              </w:numPr>
            </w:pPr>
            <w:r>
              <w:t>Incorrect network configuration or connection issues between Connection Server and the Agent.</w:t>
            </w:r>
          </w:p>
          <w:p w14:paraId="54C71195" w14:textId="77777777" w:rsidR="00E55491" w:rsidRDefault="00E55491">
            <w:pPr>
              <w:pStyle w:val="Tablecontent"/>
              <w:numPr>
                <w:ilvl w:val="0"/>
                <w:numId w:val="65"/>
              </w:numPr>
            </w:pPr>
            <w:r>
              <w:t>Lookup failure on the machine for the DNS name of the Connection Server host.</w:t>
            </w:r>
          </w:p>
          <w:p w14:paraId="73FA6E72" w14:textId="77777777" w:rsidR="00E55491" w:rsidRDefault="00E55491">
            <w:pPr>
              <w:pStyle w:val="Tablecontent"/>
              <w:numPr>
                <w:ilvl w:val="0"/>
                <w:numId w:val="65"/>
              </w:numPr>
            </w:pPr>
            <w:r>
              <w:t>Network issues in the Infra for the VDI network.</w:t>
            </w:r>
          </w:p>
          <w:p w14:paraId="696C0C24" w14:textId="77777777" w:rsidR="00E55491" w:rsidRDefault="00E55491">
            <w:pPr>
              <w:pStyle w:val="Tablecontent"/>
              <w:numPr>
                <w:ilvl w:val="0"/>
                <w:numId w:val="65"/>
              </w:numPr>
            </w:pPr>
            <w:r>
              <w:t>DHCP server issues.</w:t>
            </w:r>
          </w:p>
          <w:p w14:paraId="711A9D50" w14:textId="77777777" w:rsidR="00E55491" w:rsidRDefault="00E55491">
            <w:pPr>
              <w:pStyle w:val="Tablecontent"/>
              <w:numPr>
                <w:ilvl w:val="0"/>
                <w:numId w:val="65"/>
              </w:numPr>
            </w:pPr>
            <w:r>
              <w:t>The ports for JMS, RDP, or AJP13 communication being blocked by firewall rules.</w:t>
            </w:r>
          </w:p>
          <w:p w14:paraId="2511F6E8" w14:textId="77777777" w:rsidR="00E55491" w:rsidRDefault="00E55491">
            <w:pPr>
              <w:pStyle w:val="Tablecontent"/>
              <w:numPr>
                <w:ilvl w:val="0"/>
                <w:numId w:val="65"/>
              </w:numPr>
            </w:pPr>
            <w:r>
              <w:t>The failure of the JMS router on the Connection Server host.</w:t>
            </w:r>
          </w:p>
          <w:p w14:paraId="3D39EB0A" w14:textId="77777777" w:rsidR="00E55491" w:rsidRDefault="00E55491" w:rsidP="00281329">
            <w:pPr>
              <w:pStyle w:val="Tablecontent"/>
            </w:pPr>
            <w:r>
              <w:t>Look into the affected VM debug logs to get more insights, and it might differ for every case.</w:t>
            </w:r>
          </w:p>
        </w:tc>
      </w:tr>
      <w:tr w:rsidR="00E55491" w14:paraId="053EACC0" w14:textId="77777777" w:rsidTr="00281329">
        <w:tc>
          <w:tcPr>
            <w:tcW w:w="1843" w:type="dxa"/>
            <w:shd w:val="clear" w:color="auto" w:fill="F2F2F2" w:themeFill="background1" w:themeFillShade="F2"/>
            <w:vAlign w:val="center"/>
          </w:tcPr>
          <w:p w14:paraId="36E91525" w14:textId="77777777" w:rsidR="00E55491" w:rsidRDefault="00E55491" w:rsidP="00281329">
            <w:pPr>
              <w:pStyle w:val="Tablecontent"/>
            </w:pPr>
            <w:r>
              <w:t xml:space="preserve">Waiting for Agent </w:t>
            </w:r>
          </w:p>
        </w:tc>
        <w:tc>
          <w:tcPr>
            <w:tcW w:w="8613" w:type="dxa"/>
            <w:vAlign w:val="center"/>
          </w:tcPr>
          <w:p w14:paraId="26DCF20D" w14:textId="77777777" w:rsidR="00E55491" w:rsidRDefault="00E55491" w:rsidP="00281329">
            <w:pPr>
              <w:pStyle w:val="Tablecontent"/>
            </w:pPr>
            <w:r>
              <w:t xml:space="preserve">The Connection Server is waiting to establish communication with </w:t>
            </w:r>
            <w:r>
              <w:rPr>
                <w:rStyle w:val="ph"/>
              </w:rPr>
              <w:t>Horizon Agent</w:t>
            </w:r>
            <w:r>
              <w:t xml:space="preserve"> on a VM in a manual pool. M</w:t>
            </w:r>
            <w:r w:rsidRPr="004F6FB6">
              <w:t>ostly caused due to blocked network communication between agent and connection server</w:t>
            </w:r>
          </w:p>
        </w:tc>
      </w:tr>
      <w:tr w:rsidR="00E55491" w14:paraId="77AA41D9" w14:textId="77777777" w:rsidTr="00281329">
        <w:tc>
          <w:tcPr>
            <w:tcW w:w="1843" w:type="dxa"/>
            <w:shd w:val="clear" w:color="auto" w:fill="F2F2F2" w:themeFill="background1" w:themeFillShade="F2"/>
            <w:vAlign w:val="center"/>
          </w:tcPr>
          <w:p w14:paraId="5075F4ED" w14:textId="77777777" w:rsidR="00E55491" w:rsidRDefault="00E55491" w:rsidP="00281329">
            <w:pPr>
              <w:pStyle w:val="Tablecontent"/>
            </w:pPr>
            <w:r>
              <w:t xml:space="preserve">Invalid IP </w:t>
            </w:r>
          </w:p>
        </w:tc>
        <w:tc>
          <w:tcPr>
            <w:tcW w:w="8613" w:type="dxa"/>
            <w:vAlign w:val="center"/>
          </w:tcPr>
          <w:p w14:paraId="58420442" w14:textId="77777777" w:rsidR="00E55491" w:rsidRDefault="00E55491" w:rsidP="00281329">
            <w:pPr>
              <w:pStyle w:val="Tablecontent"/>
            </w:pPr>
            <w:r>
              <w:t>The subnet mask registry setting is configured on the VM, and no active network adapters have an IP address within the configured range.</w:t>
            </w:r>
          </w:p>
        </w:tc>
      </w:tr>
      <w:tr w:rsidR="00E55491" w14:paraId="11661A4C" w14:textId="77777777" w:rsidTr="00281329">
        <w:tc>
          <w:tcPr>
            <w:tcW w:w="1843" w:type="dxa"/>
            <w:shd w:val="clear" w:color="auto" w:fill="F2F2F2" w:themeFill="background1" w:themeFillShade="F2"/>
            <w:vAlign w:val="center"/>
          </w:tcPr>
          <w:p w14:paraId="59AD14EC" w14:textId="77777777" w:rsidR="00E55491" w:rsidRDefault="00E55491" w:rsidP="00281329">
            <w:pPr>
              <w:pStyle w:val="Tablecontent"/>
            </w:pPr>
            <w:r>
              <w:t xml:space="preserve">Protocol failure </w:t>
            </w:r>
          </w:p>
        </w:tc>
        <w:tc>
          <w:tcPr>
            <w:tcW w:w="8613" w:type="dxa"/>
            <w:vAlign w:val="center"/>
          </w:tcPr>
          <w:p w14:paraId="60087B92" w14:textId="77777777" w:rsidR="00E55491" w:rsidRDefault="00E55491" w:rsidP="00281329">
            <w:pPr>
              <w:pStyle w:val="Tablecontent"/>
            </w:pPr>
            <w:r>
              <w:t xml:space="preserve">A display protocol did not start before the </w:t>
            </w:r>
            <w:r>
              <w:rPr>
                <w:rStyle w:val="ph"/>
              </w:rPr>
              <w:t>Horizon Agent</w:t>
            </w:r>
            <w:r>
              <w:t xml:space="preserve"> startup period expired. </w:t>
            </w:r>
          </w:p>
          <w:p w14:paraId="40798813" w14:textId="77777777" w:rsidR="00E55491" w:rsidRDefault="00E55491" w:rsidP="00281329">
            <w:pPr>
              <w:pStyle w:val="Tablecontent"/>
            </w:pPr>
            <w:r>
              <w:t>Note that if the VM supports multiple protocol, this will still show protocol failure even though the VM is available on other protocol.</w:t>
            </w:r>
          </w:p>
        </w:tc>
      </w:tr>
      <w:tr w:rsidR="00E55491" w14:paraId="50E05018" w14:textId="77777777" w:rsidTr="00281329">
        <w:tc>
          <w:tcPr>
            <w:tcW w:w="1843" w:type="dxa"/>
            <w:shd w:val="clear" w:color="auto" w:fill="F2F2F2" w:themeFill="background1" w:themeFillShade="F2"/>
            <w:vAlign w:val="center"/>
          </w:tcPr>
          <w:p w14:paraId="150B7D79" w14:textId="77777777" w:rsidR="00E55491" w:rsidRDefault="00E55491" w:rsidP="00281329">
            <w:pPr>
              <w:pStyle w:val="Tablecontent"/>
            </w:pPr>
            <w:r>
              <w:t xml:space="preserve">Domain failure </w:t>
            </w:r>
          </w:p>
        </w:tc>
        <w:tc>
          <w:tcPr>
            <w:tcW w:w="8613" w:type="dxa"/>
            <w:vAlign w:val="center"/>
          </w:tcPr>
          <w:p w14:paraId="74D956B5" w14:textId="77777777" w:rsidR="00E55491" w:rsidRDefault="00E55491" w:rsidP="00281329">
            <w:pPr>
              <w:pStyle w:val="Tablecontent"/>
            </w:pPr>
            <w:r>
              <w:t xml:space="preserve">The VM encountered a problem reaching the domain. The domain server was not accessible, or the domain authentication failed. </w:t>
            </w:r>
          </w:p>
        </w:tc>
      </w:tr>
      <w:tr w:rsidR="00E55491" w14:paraId="1B4C57A8" w14:textId="77777777" w:rsidTr="00281329">
        <w:tc>
          <w:tcPr>
            <w:tcW w:w="1843" w:type="dxa"/>
            <w:shd w:val="clear" w:color="auto" w:fill="F2F2F2" w:themeFill="background1" w:themeFillShade="F2"/>
            <w:vAlign w:val="center"/>
          </w:tcPr>
          <w:p w14:paraId="486D89C0" w14:textId="77777777" w:rsidR="00E55491" w:rsidRDefault="00E55491" w:rsidP="00281329">
            <w:pPr>
              <w:pStyle w:val="Tablecontent"/>
            </w:pPr>
            <w:r>
              <w:t xml:space="preserve">Configuration error </w:t>
            </w:r>
          </w:p>
        </w:tc>
        <w:tc>
          <w:tcPr>
            <w:tcW w:w="8613" w:type="dxa"/>
            <w:vAlign w:val="center"/>
          </w:tcPr>
          <w:p w14:paraId="2D4A6D35" w14:textId="77777777" w:rsidR="00E55491" w:rsidRDefault="00E55491" w:rsidP="00281329">
            <w:pPr>
              <w:pStyle w:val="Tablecontent"/>
            </w:pPr>
            <w:r>
              <w:t>The display protocol such as RDP or PCoIP is not enabled</w:t>
            </w:r>
          </w:p>
        </w:tc>
      </w:tr>
      <w:tr w:rsidR="00E55491" w14:paraId="0929EE6A" w14:textId="77777777" w:rsidTr="00281329">
        <w:tc>
          <w:tcPr>
            <w:tcW w:w="1843" w:type="dxa"/>
            <w:shd w:val="clear" w:color="auto" w:fill="F2F2F2" w:themeFill="background1" w:themeFillShade="F2"/>
            <w:vAlign w:val="center"/>
          </w:tcPr>
          <w:p w14:paraId="5ACB93DB" w14:textId="77777777" w:rsidR="00E55491" w:rsidRDefault="00E55491" w:rsidP="00281329">
            <w:pPr>
              <w:pStyle w:val="Tablecontent"/>
            </w:pPr>
            <w:r>
              <w:t xml:space="preserve">Provisioning error </w:t>
            </w:r>
          </w:p>
        </w:tc>
        <w:tc>
          <w:tcPr>
            <w:tcW w:w="8613" w:type="dxa"/>
            <w:vAlign w:val="center"/>
          </w:tcPr>
          <w:p w14:paraId="4EF431DE" w14:textId="77777777" w:rsidR="00E55491" w:rsidRDefault="00E55491" w:rsidP="00281329">
            <w:pPr>
              <w:pStyle w:val="Tablecontent"/>
            </w:pPr>
            <w:r>
              <w:t xml:space="preserve">An error occurred during provisioning process. I’m unsure if the log reveals more. It’s worth checking with Log Insight at the time when you see this. </w:t>
            </w:r>
          </w:p>
        </w:tc>
      </w:tr>
      <w:tr w:rsidR="00E55491" w14:paraId="389FB4F3" w14:textId="77777777" w:rsidTr="00281329">
        <w:tc>
          <w:tcPr>
            <w:tcW w:w="1843" w:type="dxa"/>
            <w:shd w:val="clear" w:color="auto" w:fill="F2F2F2" w:themeFill="background1" w:themeFillShade="F2"/>
            <w:vAlign w:val="center"/>
          </w:tcPr>
          <w:p w14:paraId="28AC070A" w14:textId="77777777" w:rsidR="00E55491" w:rsidRPr="00946254" w:rsidRDefault="00E55491" w:rsidP="00281329">
            <w:pPr>
              <w:pStyle w:val="Tablecontent"/>
            </w:pPr>
            <w:r w:rsidRPr="00946254">
              <w:t xml:space="preserve">Error </w:t>
            </w:r>
          </w:p>
        </w:tc>
        <w:tc>
          <w:tcPr>
            <w:tcW w:w="8613" w:type="dxa"/>
            <w:vAlign w:val="center"/>
          </w:tcPr>
          <w:p w14:paraId="6A96DCC0" w14:textId="77777777" w:rsidR="00E55491" w:rsidRDefault="00E55491" w:rsidP="00281329">
            <w:pPr>
              <w:pStyle w:val="Tablecontent"/>
            </w:pPr>
            <w:r>
              <w:t>An unknown error occurred in the VM. This is not normal, so expect this to be 0.</w:t>
            </w:r>
          </w:p>
        </w:tc>
      </w:tr>
      <w:tr w:rsidR="00E55491" w14:paraId="545ADD7A" w14:textId="77777777" w:rsidTr="00281329">
        <w:tc>
          <w:tcPr>
            <w:tcW w:w="1843" w:type="dxa"/>
            <w:shd w:val="clear" w:color="auto" w:fill="F2F2F2" w:themeFill="background1" w:themeFillShade="F2"/>
            <w:vAlign w:val="center"/>
          </w:tcPr>
          <w:p w14:paraId="61EDAA23" w14:textId="77777777" w:rsidR="00E55491" w:rsidRPr="00946254" w:rsidRDefault="00E55491" w:rsidP="00281329">
            <w:pPr>
              <w:pStyle w:val="Tablecontent"/>
            </w:pPr>
            <w:r w:rsidRPr="00946254">
              <w:t xml:space="preserve">Unknown </w:t>
            </w:r>
          </w:p>
        </w:tc>
        <w:tc>
          <w:tcPr>
            <w:tcW w:w="8613" w:type="dxa"/>
            <w:vAlign w:val="center"/>
          </w:tcPr>
          <w:p w14:paraId="75A4F513" w14:textId="77777777" w:rsidR="00E55491" w:rsidRDefault="00E55491" w:rsidP="00281329">
            <w:pPr>
              <w:pStyle w:val="Tablecontent"/>
            </w:pPr>
            <w:r>
              <w:t>The VM is in an unknown state. This is not normal, so expect this to be 0.</w:t>
            </w:r>
          </w:p>
        </w:tc>
      </w:tr>
    </w:tbl>
    <w:p w14:paraId="3CEF69A9" w14:textId="77777777" w:rsidR="00E55491" w:rsidRDefault="00E55491" w:rsidP="00E55491">
      <w:pPr>
        <w:rPr>
          <w:lang w:val="en-GB"/>
        </w:rPr>
      </w:pPr>
      <w:r>
        <w:t xml:space="preserve">Reference: </w:t>
      </w:r>
      <w:r>
        <w:rPr>
          <w:lang w:val="en-GB"/>
        </w:rPr>
        <w:t xml:space="preserve">VDI Pool </w:t>
      </w:r>
      <w:hyperlink r:id="rId965" w:history="1">
        <w:r w:rsidRPr="0014300F">
          <w:rPr>
            <w:rStyle w:val="Hyperlink"/>
            <w:lang w:val="en-GB"/>
          </w:rPr>
          <w:t>VM status</w:t>
        </w:r>
      </w:hyperlink>
      <w:r>
        <w:rPr>
          <w:lang w:val="en-GB"/>
        </w:rPr>
        <w:t>. Horizon 8 does not have the documentation, so I’m using Horizon 7.</w:t>
      </w:r>
    </w:p>
    <w:p w14:paraId="47B55827" w14:textId="77777777" w:rsidR="00E55491" w:rsidRDefault="00E55491" w:rsidP="00E55491">
      <w:pPr>
        <w:pStyle w:val="Heading4"/>
      </w:pPr>
      <w:r>
        <w:t>User Capacity Model</w:t>
      </w:r>
    </w:p>
    <w:p w14:paraId="1303AF41" w14:textId="77777777" w:rsidR="00E55491" w:rsidRPr="00484494" w:rsidRDefault="00E55491" w:rsidP="00E55491">
      <w:pPr>
        <w:rPr>
          <w:lang w:val="en-GB"/>
        </w:rPr>
      </w:pPr>
      <w:r>
        <w:rPr>
          <w:lang w:val="en-GB"/>
        </w:rPr>
        <w:t xml:space="preserve">Sizing what a user needs is challenging as each users work differently. In some companies, the official corporate office hours may not apply as users work on the weekends or travel a lot (time zone) </w:t>
      </w:r>
    </w:p>
    <w:p w14:paraId="0F671759" w14:textId="77777777" w:rsidR="00E55491" w:rsidRDefault="00E55491" w:rsidP="00E55491">
      <w:pPr>
        <w:rPr>
          <w:lang w:val="en-GB"/>
        </w:rPr>
      </w:pPr>
      <w:r w:rsidRPr="00AF66DC">
        <w:rPr>
          <w:noProof/>
          <w:lang w:val="en-GB"/>
        </w:rPr>
        <w:lastRenderedPageBreak/>
        <w:drawing>
          <wp:inline distT="0" distB="0" distL="0" distR="0" wp14:anchorId="3B23FDD2" wp14:editId="6ECD40D2">
            <wp:extent cx="6645910" cy="883920"/>
            <wp:effectExtent l="0" t="0" r="2540" b="0"/>
            <wp:docPr id="1583707908" name="Picture 158370790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08" name="Picture 1583707908" descr="Chart&#10;&#10;Description automatically generated"/>
                    <pic:cNvPicPr/>
                  </pic:nvPicPr>
                  <pic:blipFill>
                    <a:blip r:embed="rId966"/>
                    <a:stretch>
                      <a:fillRect/>
                    </a:stretch>
                  </pic:blipFill>
                  <pic:spPr>
                    <a:xfrm>
                      <a:off x="0" y="0"/>
                      <a:ext cx="6645910" cy="883920"/>
                    </a:xfrm>
                    <a:prstGeom prst="rect">
                      <a:avLst/>
                    </a:prstGeom>
                  </pic:spPr>
                </pic:pic>
              </a:graphicData>
            </a:graphic>
          </wp:inline>
        </w:drawing>
      </w:r>
    </w:p>
    <w:p w14:paraId="00F776CB" w14:textId="77777777" w:rsidR="00E55491" w:rsidRPr="00440344" w:rsidRDefault="00E55491" w:rsidP="00E55491">
      <w:r w:rsidRPr="00440344">
        <w:t>Desktop workload differs to Server workload</w:t>
      </w:r>
      <w:r>
        <w:t>. The CPU u</w:t>
      </w:r>
      <w:r w:rsidRPr="00440344">
        <w:t xml:space="preserve">sage is spiky, </w:t>
      </w:r>
      <w:r>
        <w:t xml:space="preserve">short-lived and no </w:t>
      </w:r>
      <w:r w:rsidRPr="00440344">
        <w:t xml:space="preserve">predictable. </w:t>
      </w:r>
      <w:r>
        <w:t>The reason is u</w:t>
      </w:r>
      <w:r w:rsidRPr="00440344">
        <w:t>ser does not work non-stop.</w:t>
      </w:r>
      <w:r>
        <w:t xml:space="preserve"> There is a lot of t</w:t>
      </w:r>
      <w:r w:rsidRPr="00440344">
        <w:t>yping time, thinking time, meeting, coffee break, travelling, public holiday, etc.</w:t>
      </w:r>
      <w:r>
        <w:t xml:space="preserve">, which vary users to users. </w:t>
      </w:r>
    </w:p>
    <w:p w14:paraId="30950BD6" w14:textId="09F57606" w:rsidR="00E55491" w:rsidRDefault="00E55491" w:rsidP="00E55491">
      <w:r w:rsidRPr="00440344">
        <w:t xml:space="preserve">There is </w:t>
      </w:r>
      <w:r>
        <w:t xml:space="preserve">also </w:t>
      </w:r>
      <w:r w:rsidRPr="00440344">
        <w:t>non-user workload</w:t>
      </w:r>
      <w:r>
        <w:t xml:space="preserve">. The most popular ones are </w:t>
      </w:r>
      <w:r w:rsidRPr="00440344">
        <w:t xml:space="preserve">Windows weekly </w:t>
      </w:r>
      <w:r>
        <w:t>antivirus</w:t>
      </w:r>
      <w:r w:rsidRPr="00440344">
        <w:t xml:space="preserve"> scan, Windows update</w:t>
      </w:r>
      <w:r>
        <w:t xml:space="preserve"> (for permanent desktop)</w:t>
      </w:r>
      <w:r w:rsidRPr="00440344">
        <w:t xml:space="preserve">, Windows patch, </w:t>
      </w:r>
      <w:r>
        <w:t>VM destroy and create</w:t>
      </w:r>
      <w:r w:rsidR="00E4254C">
        <w:t xml:space="preserve">. </w:t>
      </w:r>
    </w:p>
    <w:p w14:paraId="60F3CC29" w14:textId="77777777" w:rsidR="00E55491" w:rsidRPr="00440344" w:rsidRDefault="00E55491" w:rsidP="00E55491">
      <w:r>
        <w:t>You should profile the CPU, memory, disk and network. User can consume high network bandwidth if they are watching full screen video at 4K resolution.</w:t>
      </w:r>
    </w:p>
    <w:p w14:paraId="03EC27D0" w14:textId="0798BA39" w:rsidR="00E55491" w:rsidRDefault="00E55491" w:rsidP="00E55491">
      <w:r>
        <w:t>In environment where users have multiple desktops, you need to size for each. A user could be undersized in desktop A and oversized in desktop B, if their usage are not interchangeably</w:t>
      </w:r>
      <w:r w:rsidR="00E4254C">
        <w:t xml:space="preserve">. </w:t>
      </w:r>
    </w:p>
    <w:p w14:paraId="15C0095E" w14:textId="77777777" w:rsidR="00E55491" w:rsidRDefault="00E55491" w:rsidP="00E55491">
      <w:r>
        <w:t xml:space="preserve">The sizing naturally differs for VDI and RDS. For VDI, since it’s a VM, the sizing is based per Horizon pool. The underlying engine is based on vSphere VM capacity, hence the metrics provided are identical to VM capacity. </w:t>
      </w:r>
    </w:p>
    <w:p w14:paraId="03341479" w14:textId="77777777" w:rsidR="00E55491" w:rsidRDefault="00E55491" w:rsidP="00E55491">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552"/>
        <w:gridCol w:w="7904"/>
      </w:tblGrid>
      <w:tr w:rsidR="00E55491" w14:paraId="20BF0B8A" w14:textId="77777777" w:rsidTr="00281329">
        <w:tc>
          <w:tcPr>
            <w:tcW w:w="2552" w:type="dxa"/>
            <w:shd w:val="clear" w:color="auto" w:fill="F2F2F2" w:themeFill="background1" w:themeFillShade="F2"/>
            <w:vAlign w:val="center"/>
          </w:tcPr>
          <w:p w14:paraId="000217B7" w14:textId="77777777" w:rsidR="00E55491" w:rsidRPr="00694FC5" w:rsidRDefault="00E55491" w:rsidP="00281329">
            <w:pPr>
              <w:pStyle w:val="Tablecontent"/>
            </w:pPr>
            <w:r>
              <w:t xml:space="preserve">Oversized \ Memory </w:t>
            </w:r>
          </w:p>
        </w:tc>
        <w:tc>
          <w:tcPr>
            <w:tcW w:w="7904" w:type="dxa"/>
            <w:vMerge w:val="restart"/>
            <w:vAlign w:val="center"/>
          </w:tcPr>
          <w:p w14:paraId="6B546BF8" w14:textId="77777777" w:rsidR="00E55491" w:rsidRDefault="00E55491" w:rsidP="00281329">
            <w:pPr>
              <w:pStyle w:val="Tablecontent"/>
            </w:pPr>
            <w:r>
              <w:t xml:space="preserve">The degree of oversized in GB for memory and vCPU for CPU. This uses vSphere capacity engine. </w:t>
            </w:r>
          </w:p>
        </w:tc>
      </w:tr>
      <w:tr w:rsidR="00E55491" w14:paraId="39972A88" w14:textId="77777777" w:rsidTr="00281329">
        <w:tc>
          <w:tcPr>
            <w:tcW w:w="2552" w:type="dxa"/>
            <w:shd w:val="clear" w:color="auto" w:fill="F2F2F2" w:themeFill="background1" w:themeFillShade="F2"/>
            <w:vAlign w:val="center"/>
          </w:tcPr>
          <w:p w14:paraId="5C2A7F54" w14:textId="77777777" w:rsidR="00E55491" w:rsidRDefault="00E55491" w:rsidP="00281329">
            <w:pPr>
              <w:pStyle w:val="Tablecontent"/>
            </w:pPr>
            <w:r>
              <w:t>Oversized \ Virtual CPUs</w:t>
            </w:r>
          </w:p>
        </w:tc>
        <w:tc>
          <w:tcPr>
            <w:tcW w:w="7904" w:type="dxa"/>
            <w:vMerge/>
            <w:vAlign w:val="center"/>
          </w:tcPr>
          <w:p w14:paraId="65639D51" w14:textId="77777777" w:rsidR="00E55491" w:rsidRDefault="00E55491" w:rsidP="00281329">
            <w:pPr>
              <w:pStyle w:val="Tablecontent"/>
            </w:pPr>
          </w:p>
        </w:tc>
      </w:tr>
      <w:tr w:rsidR="00E55491" w14:paraId="3ABFD6AE" w14:textId="77777777" w:rsidTr="00281329">
        <w:tc>
          <w:tcPr>
            <w:tcW w:w="2552" w:type="dxa"/>
            <w:shd w:val="clear" w:color="auto" w:fill="F2F2F2" w:themeFill="background1" w:themeFillShade="F2"/>
            <w:vAlign w:val="center"/>
          </w:tcPr>
          <w:p w14:paraId="774771C7" w14:textId="77777777" w:rsidR="00E55491" w:rsidRDefault="00E55491" w:rsidP="00281329">
            <w:pPr>
              <w:pStyle w:val="Tablecontent"/>
            </w:pPr>
            <w:r>
              <w:t xml:space="preserve">Undersized \ Memory </w:t>
            </w:r>
          </w:p>
        </w:tc>
        <w:tc>
          <w:tcPr>
            <w:tcW w:w="7904" w:type="dxa"/>
            <w:vMerge w:val="restart"/>
            <w:vAlign w:val="center"/>
          </w:tcPr>
          <w:p w14:paraId="0AE4DF59" w14:textId="77777777" w:rsidR="00E55491" w:rsidRDefault="00E55491" w:rsidP="00281329">
            <w:pPr>
              <w:pStyle w:val="Tablecontent"/>
            </w:pPr>
            <w:r>
              <w:t xml:space="preserve">Same as above, but for undersized. </w:t>
            </w:r>
          </w:p>
          <w:p w14:paraId="09591D25" w14:textId="77777777" w:rsidR="00E55491" w:rsidRDefault="00E55491" w:rsidP="00281329">
            <w:pPr>
              <w:pStyle w:val="Tablecontent"/>
            </w:pPr>
            <w:r>
              <w:t>A VDI user can be undersized in one but oversize on another.</w:t>
            </w:r>
          </w:p>
        </w:tc>
      </w:tr>
      <w:tr w:rsidR="00E55491" w14:paraId="24867349" w14:textId="77777777" w:rsidTr="00281329">
        <w:tc>
          <w:tcPr>
            <w:tcW w:w="2552" w:type="dxa"/>
            <w:shd w:val="clear" w:color="auto" w:fill="F2F2F2" w:themeFill="background1" w:themeFillShade="F2"/>
            <w:vAlign w:val="center"/>
          </w:tcPr>
          <w:p w14:paraId="6C9B9A90" w14:textId="77777777" w:rsidR="00E55491" w:rsidRDefault="00E55491" w:rsidP="00281329">
            <w:pPr>
              <w:pStyle w:val="Tablecontent"/>
            </w:pPr>
            <w:r>
              <w:t>Undersized \ Virtual CPUs</w:t>
            </w:r>
          </w:p>
        </w:tc>
        <w:tc>
          <w:tcPr>
            <w:tcW w:w="7904" w:type="dxa"/>
            <w:vMerge/>
            <w:vAlign w:val="center"/>
          </w:tcPr>
          <w:p w14:paraId="28857FD9" w14:textId="77777777" w:rsidR="00E55491" w:rsidRDefault="00E55491" w:rsidP="00281329">
            <w:pPr>
              <w:pStyle w:val="Tablecontent"/>
            </w:pPr>
          </w:p>
        </w:tc>
      </w:tr>
      <w:tr w:rsidR="00E55491" w14:paraId="19A3FD08" w14:textId="77777777" w:rsidTr="00281329">
        <w:tc>
          <w:tcPr>
            <w:tcW w:w="2552" w:type="dxa"/>
            <w:shd w:val="clear" w:color="auto" w:fill="F2F2F2" w:themeFill="background1" w:themeFillShade="F2"/>
            <w:vAlign w:val="center"/>
          </w:tcPr>
          <w:p w14:paraId="55018DFC" w14:textId="77777777" w:rsidR="00E55491" w:rsidRDefault="00E55491" w:rsidP="00281329">
            <w:pPr>
              <w:pStyle w:val="Tablecontent"/>
            </w:pPr>
            <w:r>
              <w:t>Recommended CPU</w:t>
            </w:r>
          </w:p>
        </w:tc>
        <w:tc>
          <w:tcPr>
            <w:tcW w:w="7904" w:type="dxa"/>
            <w:vMerge w:val="restart"/>
            <w:vAlign w:val="center"/>
          </w:tcPr>
          <w:p w14:paraId="37B0EDEA" w14:textId="77777777" w:rsidR="00E55491" w:rsidRDefault="00E55491" w:rsidP="00281329">
            <w:pPr>
              <w:pStyle w:val="Tablecontent"/>
            </w:pPr>
            <w:r>
              <w:t xml:space="preserve">The recommended size from the capacity prediction. </w:t>
            </w:r>
          </w:p>
        </w:tc>
      </w:tr>
      <w:tr w:rsidR="00E55491" w14:paraId="251D5463" w14:textId="77777777" w:rsidTr="00281329">
        <w:tc>
          <w:tcPr>
            <w:tcW w:w="2552" w:type="dxa"/>
            <w:shd w:val="clear" w:color="auto" w:fill="F2F2F2" w:themeFill="background1" w:themeFillShade="F2"/>
          </w:tcPr>
          <w:p w14:paraId="432ED946" w14:textId="77777777" w:rsidR="00E55491" w:rsidRDefault="00E55491" w:rsidP="00281329">
            <w:pPr>
              <w:pStyle w:val="Tablecontent"/>
            </w:pPr>
            <w:r w:rsidRPr="009F6E49">
              <w:t>Recommended vCPU</w:t>
            </w:r>
          </w:p>
        </w:tc>
        <w:tc>
          <w:tcPr>
            <w:tcW w:w="7904" w:type="dxa"/>
            <w:vMerge/>
            <w:vAlign w:val="center"/>
          </w:tcPr>
          <w:p w14:paraId="77522333" w14:textId="77777777" w:rsidR="00E55491" w:rsidRDefault="00E55491" w:rsidP="00281329">
            <w:pPr>
              <w:pStyle w:val="Tablecontent"/>
            </w:pPr>
          </w:p>
        </w:tc>
      </w:tr>
      <w:tr w:rsidR="00E55491" w14:paraId="099AD447" w14:textId="77777777" w:rsidTr="00281329">
        <w:tc>
          <w:tcPr>
            <w:tcW w:w="2552" w:type="dxa"/>
            <w:shd w:val="clear" w:color="auto" w:fill="F2F2F2" w:themeFill="background1" w:themeFillShade="F2"/>
          </w:tcPr>
          <w:p w14:paraId="713B335A" w14:textId="77777777" w:rsidR="00E55491" w:rsidRDefault="00E55491" w:rsidP="00281329">
            <w:pPr>
              <w:pStyle w:val="Tablecontent"/>
            </w:pPr>
            <w:r w:rsidRPr="009F6E49">
              <w:t>Recommended Memory</w:t>
            </w:r>
          </w:p>
        </w:tc>
        <w:tc>
          <w:tcPr>
            <w:tcW w:w="7904" w:type="dxa"/>
            <w:vMerge/>
            <w:vAlign w:val="center"/>
          </w:tcPr>
          <w:p w14:paraId="072DF84A" w14:textId="77777777" w:rsidR="00E55491" w:rsidRDefault="00E55491" w:rsidP="00281329">
            <w:pPr>
              <w:pStyle w:val="Tablecontent"/>
            </w:pPr>
          </w:p>
        </w:tc>
      </w:tr>
      <w:tr w:rsidR="00E55491" w14:paraId="7CD4A146" w14:textId="77777777" w:rsidTr="00281329">
        <w:tc>
          <w:tcPr>
            <w:tcW w:w="2552" w:type="dxa"/>
            <w:shd w:val="clear" w:color="auto" w:fill="F2F2F2" w:themeFill="background1" w:themeFillShade="F2"/>
          </w:tcPr>
          <w:p w14:paraId="13CE4D69" w14:textId="77777777" w:rsidR="00E55491" w:rsidRDefault="00E55491" w:rsidP="00281329">
            <w:pPr>
              <w:pStyle w:val="Tablecontent"/>
            </w:pPr>
            <w:r w:rsidRPr="009F6E49">
              <w:t>Is Oversized</w:t>
            </w:r>
          </w:p>
        </w:tc>
        <w:tc>
          <w:tcPr>
            <w:tcW w:w="7904" w:type="dxa"/>
            <w:vMerge w:val="restart"/>
            <w:vAlign w:val="center"/>
          </w:tcPr>
          <w:p w14:paraId="6C7C6FA9" w14:textId="77777777" w:rsidR="00E55491" w:rsidRDefault="00E55491" w:rsidP="00281329">
            <w:pPr>
              <w:pStyle w:val="Tablecontent"/>
            </w:pPr>
            <w:r>
              <w:t>An Boolean indicator, where t</w:t>
            </w:r>
            <w:r w:rsidRPr="009F0738">
              <w:t>rue = 1</w:t>
            </w:r>
            <w:r>
              <w:t xml:space="preserve"> and f</w:t>
            </w:r>
            <w:r w:rsidRPr="009F0738">
              <w:t>alse = 0</w:t>
            </w:r>
            <w:r>
              <w:t>.</w:t>
            </w:r>
          </w:p>
        </w:tc>
      </w:tr>
      <w:tr w:rsidR="00E55491" w14:paraId="7A6FA60F" w14:textId="77777777" w:rsidTr="00281329">
        <w:tc>
          <w:tcPr>
            <w:tcW w:w="2552" w:type="dxa"/>
            <w:shd w:val="clear" w:color="auto" w:fill="F2F2F2" w:themeFill="background1" w:themeFillShade="F2"/>
          </w:tcPr>
          <w:p w14:paraId="043BF671" w14:textId="77777777" w:rsidR="00E55491" w:rsidRDefault="00E55491" w:rsidP="00281329">
            <w:pPr>
              <w:pStyle w:val="Tablecontent"/>
            </w:pPr>
            <w:r w:rsidRPr="009F6E49">
              <w:t>Is Undersized</w:t>
            </w:r>
          </w:p>
        </w:tc>
        <w:tc>
          <w:tcPr>
            <w:tcW w:w="7904" w:type="dxa"/>
            <w:vMerge/>
            <w:vAlign w:val="center"/>
          </w:tcPr>
          <w:p w14:paraId="0B69F1D8" w14:textId="77777777" w:rsidR="00E55491" w:rsidRDefault="00E55491" w:rsidP="00281329">
            <w:pPr>
              <w:pStyle w:val="Tablecontent"/>
            </w:pPr>
          </w:p>
        </w:tc>
      </w:tr>
    </w:tbl>
    <w:p w14:paraId="3215839E" w14:textId="11D1DE7E" w:rsidR="00487E8C" w:rsidRDefault="00487E8C" w:rsidP="00487E8C">
      <w:pPr>
        <w:pStyle w:val="Heading2"/>
      </w:pPr>
      <w:r>
        <w:lastRenderedPageBreak/>
        <w:t>Applications</w:t>
      </w:r>
    </w:p>
    <w:p w14:paraId="3B513E3F" w14:textId="5369189D" w:rsidR="00487E8C" w:rsidRPr="00487E8C" w:rsidRDefault="00487E8C" w:rsidP="00487E8C">
      <w:pPr>
        <w:pStyle w:val="AfterChapterTitle"/>
      </w:pPr>
      <w:r>
        <mc:AlternateContent>
          <mc:Choice Requires="wps">
            <w:drawing>
              <wp:anchor distT="0" distB="0" distL="114300" distR="114300" simplePos="0" relativeHeight="251698176" behindDoc="0" locked="0" layoutInCell="1" allowOverlap="1" wp14:anchorId="2FEF390F" wp14:editId="076CCEE4">
                <wp:simplePos x="0" y="0"/>
                <wp:positionH relativeFrom="column">
                  <wp:posOffset>0</wp:posOffset>
                </wp:positionH>
                <wp:positionV relativeFrom="paragraph">
                  <wp:posOffset>0</wp:posOffset>
                </wp:positionV>
                <wp:extent cx="1828800" cy="1828800"/>
                <wp:effectExtent l="0" t="0" r="0" b="0"/>
                <wp:wrapNone/>
                <wp:docPr id="1971069052" name="Text Box 197106905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76BB807" w14:textId="714992C7" w:rsidR="00487E8C" w:rsidRPr="00C84219" w:rsidRDefault="00487E8C" w:rsidP="00487E8C">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2 Chapter 1</w:t>
                            </w:r>
                            <w:r w:rsidR="00893FC3">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2FEF390F" id="Text Box 1971069052" o:spid="_x0000_s1040" type="#_x0000_t202" style="position:absolute;margin-left:0;margin-top:0;width:2in;height:2in;z-index:251698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" filled="f" stroked="f">
                <v:textbox style="mso-fit-shape-to-text:t">
                  <w:txbxContent>
                    <w:p w14:paraId="376BB807" w14:textId="714992C7" w:rsidR="00487E8C" w:rsidRPr="00C84219" w:rsidRDefault="00487E8C" w:rsidP="00487E8C">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2 Chapter 1</w:t>
                      </w:r>
                      <w:r w:rsidR="00893FC3">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0</w:t>
                      </w:r>
                    </w:p>
                  </w:txbxContent>
                </v:textbox>
              </v:shape>
            </w:pict>
          </mc:Fallback>
        </mc:AlternateContent>
      </w:r>
      <w:r w:rsidR="00875673">
        <w:t xml:space="preserve">Application has evolved to the point observability is playing catch up. However, the overall structure of business application </w:t>
      </w:r>
      <w:r w:rsidR="00875673">
        <w:sym w:font="Wingdings" w:char="F0E0"/>
      </w:r>
      <w:r w:rsidR="00875673">
        <w:t xml:space="preserve"> packaged application </w:t>
      </w:r>
      <w:r w:rsidR="00875673">
        <w:sym w:font="Wingdings" w:char="F0E0"/>
      </w:r>
      <w:r w:rsidR="00875673">
        <w:t xml:space="preserve"> application service remain the same.</w:t>
      </w:r>
    </w:p>
    <w:p w14:paraId="0ECDF595" w14:textId="532DE1D0" w:rsidR="002A1F0E" w:rsidRDefault="002A1F0E" w:rsidP="002A1F0E">
      <w:pPr>
        <w:pStyle w:val="Heading3"/>
      </w:pPr>
      <w:r>
        <w:t>Business Applications</w:t>
      </w:r>
    </w:p>
    <w:p w14:paraId="1BF75D82" w14:textId="77777777" w:rsidR="002A1F0E" w:rsidRPr="00B7239A" w:rsidRDefault="002A1F0E" w:rsidP="002A1F0E">
      <w:r w:rsidRPr="00B7239A">
        <w:rPr>
          <w:lang w:val="en-US"/>
        </w:rPr>
        <w:t xml:space="preserve">CIO cares </w:t>
      </w:r>
      <w:r>
        <w:rPr>
          <w:lang w:val="en-US"/>
        </w:rPr>
        <w:t xml:space="preserve">about </w:t>
      </w:r>
      <w:r w:rsidRPr="00B7239A">
        <w:rPr>
          <w:lang w:val="en-US"/>
        </w:rPr>
        <w:t>applications</w:t>
      </w:r>
      <w:r>
        <w:rPr>
          <w:lang w:val="en-US"/>
        </w:rPr>
        <w:t xml:space="preserve"> more than infrastructure</w:t>
      </w:r>
      <w:r w:rsidRPr="00B7239A">
        <w:rPr>
          <w:lang w:val="en-US"/>
        </w:rPr>
        <w:t>. By that we meant business application</w:t>
      </w:r>
      <w:r>
        <w:rPr>
          <w:lang w:val="en-US"/>
        </w:rPr>
        <w:t>s</w:t>
      </w:r>
      <w:r w:rsidRPr="00B7239A">
        <w:rPr>
          <w:lang w:val="en-US"/>
        </w:rPr>
        <w:t xml:space="preserve">, not individual ISV products (e.g. MongoDB, Apache Tomcat). Since they serve different business purpose, using different software, </w:t>
      </w:r>
      <w:r>
        <w:rPr>
          <w:lang w:val="en-US"/>
        </w:rPr>
        <w:t>and potentially run on different infrastructure</w:t>
      </w:r>
      <w:r w:rsidRPr="00B7239A">
        <w:rPr>
          <w:lang w:val="en-US"/>
        </w:rPr>
        <w:t>, how do prove they are all performing well?</w:t>
      </w:r>
    </w:p>
    <w:p w14:paraId="29B38B9C" w14:textId="365BD2AF" w:rsidR="00BF371F" w:rsidRDefault="00BF371F" w:rsidP="00BF371F">
      <w:pPr>
        <w:rPr>
          <w:lang w:val="en-GB"/>
        </w:rPr>
      </w:pPr>
      <w:r w:rsidRPr="00A2645F">
        <w:rPr>
          <w:lang w:val="en-GB"/>
        </w:rPr>
        <w:t>A</w:t>
      </w:r>
      <w:r>
        <w:rPr>
          <w:lang w:val="en-GB"/>
        </w:rPr>
        <w:t xml:space="preserve"> business </w:t>
      </w:r>
      <w:r w:rsidRPr="00A2645F">
        <w:rPr>
          <w:lang w:val="en-GB"/>
        </w:rPr>
        <w:t xml:space="preserve">application </w:t>
      </w:r>
      <w:r>
        <w:rPr>
          <w:lang w:val="en-GB"/>
        </w:rPr>
        <w:t xml:space="preserve">typically </w:t>
      </w:r>
      <w:r w:rsidRPr="00A2645F">
        <w:rPr>
          <w:lang w:val="en-GB"/>
        </w:rPr>
        <w:t xml:space="preserve">spans </w:t>
      </w:r>
      <w:r>
        <w:rPr>
          <w:lang w:val="en-GB"/>
        </w:rPr>
        <w:t xml:space="preserve">multiple tiers, with each tier consisting of </w:t>
      </w:r>
      <w:r w:rsidRPr="00A2645F">
        <w:rPr>
          <w:lang w:val="en-GB"/>
        </w:rPr>
        <w:t xml:space="preserve">multiple VMs. </w:t>
      </w:r>
      <w:r>
        <w:rPr>
          <w:lang w:val="en-GB"/>
        </w:rPr>
        <w:t>I’ve worked with a large telco application spanning 5 tiers and 120 VMs. Since you typically have multiple business applications, you need a quick way to check the overall “</w:t>
      </w:r>
      <w:r w:rsidRPr="0002089A">
        <w:rPr>
          <w:color w:val="00B0F0"/>
          <w:lang w:val="en-GB"/>
        </w:rPr>
        <w:t>health</w:t>
      </w:r>
      <w:r>
        <w:rPr>
          <w:lang w:val="en-GB"/>
        </w:rPr>
        <w:t>” of all of them before diving into a specific business application, and its associated tiers and VMs</w:t>
      </w:r>
      <w:r w:rsidRPr="00A2645F">
        <w:rPr>
          <w:lang w:val="en-GB"/>
        </w:rPr>
        <w:t xml:space="preserve">. </w:t>
      </w:r>
    </w:p>
    <w:p w14:paraId="5BE8F6DE" w14:textId="4214AFD5" w:rsidR="0002089A" w:rsidRDefault="0002089A" w:rsidP="0002089A">
      <w:pPr>
        <w:rPr>
          <w:lang w:val="en-GB"/>
        </w:rPr>
      </w:pPr>
      <w:r w:rsidRPr="4CAB3972">
        <w:rPr>
          <w:lang w:val="en-GB"/>
        </w:rPr>
        <w:t>While all production applications are important, some are definitely more important than others. You monitor these critical applications 24 x 7, display them on the big screen, and want to be ahead of your customers in detecting the</w:t>
      </w:r>
      <w:r w:rsidR="0024108A">
        <w:rPr>
          <w:lang w:val="en-GB"/>
        </w:rPr>
        <w:t xml:space="preserve"> overall</w:t>
      </w:r>
      <w:r w:rsidRPr="4CAB3972">
        <w:rPr>
          <w:lang w:val="en-GB"/>
        </w:rPr>
        <w:t xml:space="preserve"> health. The </w:t>
      </w:r>
      <w:r>
        <w:rPr>
          <w:lang w:val="en-GB"/>
        </w:rPr>
        <w:t>“</w:t>
      </w:r>
      <w:r w:rsidRPr="0002089A">
        <w:rPr>
          <w:color w:val="00B0F0"/>
          <w:lang w:val="en-GB"/>
        </w:rPr>
        <w:t>health</w:t>
      </w:r>
      <w:r>
        <w:rPr>
          <w:lang w:val="en-GB"/>
        </w:rPr>
        <w:t xml:space="preserve">” </w:t>
      </w:r>
      <w:r w:rsidRPr="4CAB3972">
        <w:rPr>
          <w:lang w:val="en-GB"/>
        </w:rPr>
        <w:t>of the app</w:t>
      </w:r>
      <w:r>
        <w:rPr>
          <w:lang w:val="en-GB"/>
        </w:rPr>
        <w:t>lication</w:t>
      </w:r>
      <w:r w:rsidRPr="4CAB3972">
        <w:rPr>
          <w:lang w:val="en-GB"/>
        </w:rPr>
        <w:t xml:space="preserve">s should be </w:t>
      </w:r>
      <w:r>
        <w:rPr>
          <w:lang w:val="en-GB"/>
        </w:rPr>
        <w:t>color</w:t>
      </w:r>
      <w:r w:rsidRPr="4CAB3972">
        <w:rPr>
          <w:lang w:val="en-GB"/>
        </w:rPr>
        <w:t xml:space="preserve"> coded for ease of visualization on the NOC screen.</w:t>
      </w:r>
    </w:p>
    <w:p w14:paraId="2EAA4F9A" w14:textId="46121B43" w:rsidR="003F75FD" w:rsidRDefault="003F75FD" w:rsidP="003F75FD">
      <w:pPr>
        <w:pStyle w:val="Heading4"/>
      </w:pPr>
      <w:r>
        <w:lastRenderedPageBreak/>
        <w:t xml:space="preserve">Performance </w:t>
      </w:r>
    </w:p>
    <w:p w14:paraId="2980A9F2" w14:textId="47339828" w:rsidR="0024108A" w:rsidRDefault="0024108A" w:rsidP="0002089A">
      <w:pPr>
        <w:rPr>
          <w:lang w:val="en-GB"/>
        </w:rPr>
      </w:pPr>
      <w:r>
        <w:rPr>
          <w:lang w:val="en-GB"/>
        </w:rPr>
        <w:t xml:space="preserve">I documented in Part 1 Chapter 2 Performance Management that there are 3 layers of monitoring. </w:t>
      </w:r>
    </w:p>
    <w:p w14:paraId="21611B63" w14:textId="77777777" w:rsidR="0040336D" w:rsidRDefault="0040336D" w:rsidP="0040336D">
      <w:pPr>
        <w:pStyle w:val="BeforeTable"/>
        <w:rPr>
          <w:lang w:val="en-GB"/>
        </w:rPr>
      </w:pPr>
    </w:p>
    <w:tbl>
      <w:tblPr>
        <w:tblStyle w:val="PlainTable3"/>
        <w:tblW w:w="10466" w:type="dxa"/>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600" w:firstRow="0" w:lastRow="0" w:firstColumn="0" w:lastColumn="0" w:noHBand="1" w:noVBand="1"/>
      </w:tblPr>
      <w:tblGrid>
        <w:gridCol w:w="1800"/>
        <w:gridCol w:w="4268"/>
        <w:gridCol w:w="4398"/>
      </w:tblGrid>
      <w:tr w:rsidR="0040336D" w:rsidRPr="00DF3F7A" w14:paraId="27E88EB3" w14:textId="77777777" w:rsidTr="0040336D">
        <w:trPr>
          <w:trHeight w:val="359"/>
        </w:trPr>
        <w:tc>
          <w:tcPr>
            <w:tcW w:w="1800" w:type="dxa"/>
            <w:shd w:val="clear" w:color="auto" w:fill="F2F2F2" w:themeFill="background1" w:themeFillShade="F2"/>
          </w:tcPr>
          <w:p w14:paraId="5D676A44" w14:textId="6173C86B" w:rsidR="0040336D" w:rsidRPr="00DF3F7A" w:rsidRDefault="0040336D" w:rsidP="00281329">
            <w:pPr>
              <w:pStyle w:val="Tableheading"/>
            </w:pPr>
            <w:r>
              <w:t>Layer</w:t>
            </w:r>
          </w:p>
        </w:tc>
        <w:tc>
          <w:tcPr>
            <w:tcW w:w="4268" w:type="dxa"/>
            <w:shd w:val="clear" w:color="auto" w:fill="F2F2F2" w:themeFill="background1" w:themeFillShade="F2"/>
          </w:tcPr>
          <w:p w14:paraId="3DA2670E" w14:textId="41610D67" w:rsidR="0040336D" w:rsidRDefault="0040336D" w:rsidP="00281329">
            <w:pPr>
              <w:pStyle w:val="Tableheading"/>
            </w:pPr>
            <w:r>
              <w:t>Owner</w:t>
            </w:r>
          </w:p>
        </w:tc>
        <w:tc>
          <w:tcPr>
            <w:tcW w:w="4398" w:type="dxa"/>
            <w:shd w:val="clear" w:color="auto" w:fill="F2F2F2" w:themeFill="background1" w:themeFillShade="F2"/>
          </w:tcPr>
          <w:p w14:paraId="6364AA5D" w14:textId="2F19FAF1" w:rsidR="0040336D" w:rsidRPr="00DF3F7A" w:rsidRDefault="0040336D" w:rsidP="00281329">
            <w:pPr>
              <w:pStyle w:val="Tableheading"/>
            </w:pPr>
            <w:r>
              <w:t>Observability</w:t>
            </w:r>
          </w:p>
        </w:tc>
      </w:tr>
      <w:tr w:rsidR="0040336D" w:rsidRPr="00DF3F7A" w14:paraId="66E5CE09" w14:textId="77777777" w:rsidTr="0040336D">
        <w:trPr>
          <w:trHeight w:val="359"/>
        </w:trPr>
        <w:tc>
          <w:tcPr>
            <w:tcW w:w="1800" w:type="dxa"/>
          </w:tcPr>
          <w:p w14:paraId="1FB7257F" w14:textId="376AC245" w:rsidR="0040336D" w:rsidRPr="00DF3F7A" w:rsidRDefault="0040336D" w:rsidP="00281329">
            <w:pPr>
              <w:pStyle w:val="Tablecontent"/>
            </w:pPr>
            <w:r>
              <w:t>Business</w:t>
            </w:r>
          </w:p>
        </w:tc>
        <w:tc>
          <w:tcPr>
            <w:tcW w:w="4268" w:type="dxa"/>
          </w:tcPr>
          <w:p w14:paraId="4A042B2F" w14:textId="09A64B75" w:rsidR="0040336D" w:rsidRDefault="0040336D" w:rsidP="00281329">
            <w:pPr>
              <w:pStyle w:val="Tablecontent"/>
            </w:pPr>
            <w:r>
              <w:t>Non IT (specific department owning the business function, such as Internet Banking)</w:t>
            </w:r>
          </w:p>
        </w:tc>
        <w:tc>
          <w:tcPr>
            <w:tcW w:w="4398" w:type="dxa"/>
          </w:tcPr>
          <w:p w14:paraId="50264304" w14:textId="02C62B95" w:rsidR="0040336D" w:rsidRPr="00DF3F7A" w:rsidRDefault="0040336D" w:rsidP="00281329">
            <w:pPr>
              <w:pStyle w:val="Tablecontent"/>
            </w:pPr>
            <w:r>
              <w:t>Service Response Time. This is business-function specific. For example, if it’s a eCommerce website, a good example of function is the payment of shopping cart.</w:t>
            </w:r>
          </w:p>
        </w:tc>
      </w:tr>
      <w:tr w:rsidR="0040336D" w:rsidRPr="00DF3F7A" w14:paraId="436D7134" w14:textId="77777777" w:rsidTr="0040336D">
        <w:trPr>
          <w:trHeight w:val="359"/>
        </w:trPr>
        <w:tc>
          <w:tcPr>
            <w:tcW w:w="1800" w:type="dxa"/>
          </w:tcPr>
          <w:p w14:paraId="191E2A74" w14:textId="75B4D897" w:rsidR="0040336D" w:rsidRDefault="0040336D" w:rsidP="00281329">
            <w:pPr>
              <w:pStyle w:val="Tablecontent"/>
            </w:pPr>
            <w:r>
              <w:t>Application</w:t>
            </w:r>
          </w:p>
        </w:tc>
        <w:tc>
          <w:tcPr>
            <w:tcW w:w="4268" w:type="dxa"/>
          </w:tcPr>
          <w:p w14:paraId="2D0125C4" w14:textId="7A6B3F15" w:rsidR="0040336D" w:rsidRDefault="0040336D" w:rsidP="00281329">
            <w:pPr>
              <w:pStyle w:val="Tablecontent"/>
            </w:pPr>
            <w:r>
              <w:t>IT (Application Team)</w:t>
            </w:r>
          </w:p>
        </w:tc>
        <w:tc>
          <w:tcPr>
            <w:tcW w:w="4398" w:type="dxa"/>
          </w:tcPr>
          <w:p w14:paraId="57637B0C" w14:textId="18F72E7A" w:rsidR="0040336D" w:rsidRDefault="0040336D" w:rsidP="00281329">
            <w:pPr>
              <w:pStyle w:val="Tablecontent"/>
            </w:pPr>
            <w:r>
              <w:t>It depends on the application software and codes. Typically requires agents with specific knowledge of that application</w:t>
            </w:r>
            <w:r w:rsidR="003F75FD">
              <w:t>, as it has unique metrics.</w:t>
            </w:r>
          </w:p>
          <w:p w14:paraId="354F6F4B" w14:textId="25F2BF72" w:rsidR="003F75FD" w:rsidRPr="00DF3F7A" w:rsidRDefault="003F75FD" w:rsidP="00281329">
            <w:pPr>
              <w:pStyle w:val="Tablecontent"/>
            </w:pPr>
            <w:r>
              <w:t>It’s not possible to develop a generic KPI.</w:t>
            </w:r>
          </w:p>
        </w:tc>
      </w:tr>
      <w:tr w:rsidR="0040336D" w:rsidRPr="00DF3F7A" w14:paraId="2DA08144" w14:textId="77777777" w:rsidTr="0040336D">
        <w:trPr>
          <w:trHeight w:val="359"/>
        </w:trPr>
        <w:tc>
          <w:tcPr>
            <w:tcW w:w="1800" w:type="dxa"/>
          </w:tcPr>
          <w:p w14:paraId="288FA2E9" w14:textId="4EEB6B2B" w:rsidR="0040336D" w:rsidRDefault="0040336D" w:rsidP="00281329">
            <w:pPr>
              <w:pStyle w:val="Tablecontent"/>
            </w:pPr>
            <w:r>
              <w:t>Infrastructure</w:t>
            </w:r>
          </w:p>
        </w:tc>
        <w:tc>
          <w:tcPr>
            <w:tcW w:w="4268" w:type="dxa"/>
          </w:tcPr>
          <w:p w14:paraId="29699B0A" w14:textId="1799708F" w:rsidR="0040336D" w:rsidRDefault="0040336D" w:rsidP="00281329">
            <w:pPr>
              <w:pStyle w:val="Tablecontent"/>
            </w:pPr>
            <w:r>
              <w:t>IT (Infrastructure Team)</w:t>
            </w:r>
          </w:p>
        </w:tc>
        <w:tc>
          <w:tcPr>
            <w:tcW w:w="4398" w:type="dxa"/>
          </w:tcPr>
          <w:p w14:paraId="6D7BC4BC" w14:textId="77777777" w:rsidR="0040336D" w:rsidRDefault="003F75FD" w:rsidP="00281329">
            <w:pPr>
              <w:pStyle w:val="Tablecontent"/>
            </w:pPr>
            <w:r>
              <w:t xml:space="preserve">It’s possible to develop a universal KPI that works on all applications as it’s basically about CPU, memory, disk and network. </w:t>
            </w:r>
          </w:p>
          <w:p w14:paraId="536D92AB" w14:textId="47A292D5" w:rsidR="003F75FD" w:rsidRPr="00DF3F7A" w:rsidRDefault="003F75FD" w:rsidP="00281329">
            <w:pPr>
              <w:pStyle w:val="Tablecontent"/>
            </w:pPr>
            <w:r>
              <w:t>This is the focus of our work.</w:t>
            </w:r>
          </w:p>
        </w:tc>
      </w:tr>
    </w:tbl>
    <w:p w14:paraId="3BA80837" w14:textId="77777777" w:rsidR="0040336D" w:rsidRDefault="0040336D" w:rsidP="003F75FD">
      <w:pPr>
        <w:pStyle w:val="BeforeTable"/>
        <w:rPr>
          <w:lang w:val="en-GB"/>
        </w:rPr>
      </w:pPr>
    </w:p>
    <w:p w14:paraId="74B8F640" w14:textId="77777777" w:rsidR="002A1F0E" w:rsidRPr="007A64DD" w:rsidRDefault="002A1F0E" w:rsidP="002A1F0E">
      <w:pPr>
        <w:rPr>
          <w:lang w:val="en-GB"/>
        </w:rPr>
      </w:pPr>
      <w:r w:rsidRPr="007A64DD">
        <w:rPr>
          <w:lang w:val="en-GB"/>
        </w:rPr>
        <w:t>A multi-tier application can suffer from either horizontal or vertical problem:</w:t>
      </w:r>
    </w:p>
    <w:p w14:paraId="76CBE3EB" w14:textId="77777777" w:rsidR="002A1F0E" w:rsidRPr="00E219A4" w:rsidRDefault="002A1F0E" w:rsidP="002A1F0E">
      <w:pPr>
        <w:pStyle w:val="Bullet"/>
      </w:pPr>
      <w:r w:rsidRPr="007A64DD">
        <w:rPr>
          <w:lang w:val="en-GB"/>
        </w:rPr>
        <w:t xml:space="preserve">By </w:t>
      </w:r>
      <w:r w:rsidRPr="00E219A4">
        <w:t xml:space="preserve">horizontal, I mean a tier has problem. When the web tier is slow, it can slow down the entire application. The speed of a convoy is determined by the slowest car. </w:t>
      </w:r>
    </w:p>
    <w:p w14:paraId="06F39327" w14:textId="77777777" w:rsidR="002A1F0E" w:rsidRPr="00034A0D" w:rsidRDefault="002A1F0E" w:rsidP="002A1F0E">
      <w:pPr>
        <w:pStyle w:val="Bullet"/>
        <w:rPr>
          <w:lang w:val="en-GB"/>
        </w:rPr>
      </w:pPr>
      <w:r w:rsidRPr="00E219A4">
        <w:t>By ver</w:t>
      </w:r>
      <w:r w:rsidRPr="00034A0D">
        <w:rPr>
          <w:lang w:val="en-GB"/>
        </w:rPr>
        <w:t>tical, I mean something that cut across tier. Storage, for example. If the slowness is caused by something common, there is no need to troubleshoot individual VM, as they are simply victim.</w:t>
      </w:r>
    </w:p>
    <w:p w14:paraId="4960FE7B" w14:textId="77777777" w:rsidR="002A1F0E" w:rsidRPr="007A64DD" w:rsidRDefault="002A1F0E" w:rsidP="002A1F0E">
      <w:pPr>
        <w:rPr>
          <w:lang w:val="en-GB"/>
        </w:rPr>
      </w:pPr>
      <w:r w:rsidRPr="007A64DD">
        <w:rPr>
          <w:lang w:val="en-GB"/>
        </w:rPr>
        <w:t>That means we need to check both angles when an application had performance problem:</w:t>
      </w:r>
    </w:p>
    <w:p w14:paraId="290FA12E" w14:textId="77777777" w:rsidR="002A1F0E" w:rsidRPr="007A64DD" w:rsidRDefault="002A1F0E" w:rsidP="002A1F0E">
      <w:pPr>
        <w:pStyle w:val="Bullet"/>
        <w:rPr>
          <w:lang w:val="en-GB"/>
        </w:rPr>
      </w:pPr>
      <w:r w:rsidRPr="007A64DD">
        <w:rPr>
          <w:lang w:val="en-GB"/>
        </w:rPr>
        <w:t>Which tier had the problem? Since when? How bad? What was the problem?</w:t>
      </w:r>
    </w:p>
    <w:p w14:paraId="57A73C26" w14:textId="77777777" w:rsidR="002A1F0E" w:rsidRPr="007A64DD" w:rsidRDefault="002A1F0E" w:rsidP="002A1F0E">
      <w:pPr>
        <w:pStyle w:val="Bullet"/>
        <w:rPr>
          <w:lang w:val="en-GB"/>
        </w:rPr>
      </w:pPr>
      <w:r w:rsidRPr="007A64DD">
        <w:rPr>
          <w:lang w:val="en-GB"/>
        </w:rPr>
        <w:t xml:space="preserve">What infra problem did the </w:t>
      </w:r>
      <w:r>
        <w:rPr>
          <w:lang w:val="en-GB"/>
        </w:rPr>
        <w:t>application</w:t>
      </w:r>
      <w:r w:rsidRPr="007A64DD">
        <w:rPr>
          <w:lang w:val="en-GB"/>
        </w:rPr>
        <w:t xml:space="preserve"> had? Storage, Network, CPU, RAM?</w:t>
      </w:r>
    </w:p>
    <w:p w14:paraId="554E79B1" w14:textId="35E33BE3" w:rsidR="002A1F0E" w:rsidRDefault="002A1F0E" w:rsidP="002A1F0E">
      <w:pPr>
        <w:rPr>
          <w:lang w:val="en-GB"/>
        </w:rPr>
      </w:pPr>
      <w:r w:rsidRPr="007A64DD">
        <w:rPr>
          <w:lang w:val="en-GB"/>
        </w:rPr>
        <w:t>The above check makes a good starting point in your analysis. Don’t zoom into a particular VM until you know the overall picture. No point firefighting the kitchen if the whole house is on fire</w:t>
      </w:r>
      <w:r>
        <w:rPr>
          <w:lang w:val="en-GB"/>
        </w:rPr>
        <w:t xml:space="preserve">. </w:t>
      </w:r>
    </w:p>
    <w:p w14:paraId="7149FE05" w14:textId="4EFECEBC" w:rsidR="0002089A" w:rsidRDefault="003F75FD" w:rsidP="00D848B6">
      <w:pPr>
        <w:pStyle w:val="Heading5"/>
      </w:pPr>
      <w:r>
        <w:t>Infrastructure KPI</w:t>
      </w:r>
      <w:r w:rsidR="0002089A">
        <w:t xml:space="preserve"> Modelling</w:t>
      </w:r>
    </w:p>
    <w:p w14:paraId="3EA2F3F6" w14:textId="77777777" w:rsidR="0002089A" w:rsidRDefault="0002089A" w:rsidP="00D848B6">
      <w:pPr>
        <w:rPr>
          <w:lang w:val="en-GB"/>
        </w:rPr>
      </w:pPr>
      <w:r>
        <w:rPr>
          <w:lang w:val="en-GB"/>
        </w:rPr>
        <w:t>First step in performance dashboard is modelling the KPI. This is required so we show a single number for each business applications, and then drill down from it.</w:t>
      </w:r>
      <w:r w:rsidRPr="00034A0D">
        <w:rPr>
          <w:lang w:val="en-GB"/>
        </w:rPr>
        <w:t xml:space="preserve"> </w:t>
      </w:r>
    </w:p>
    <w:p w14:paraId="0C75FECF" w14:textId="77777777" w:rsidR="0002089A" w:rsidRDefault="0002089A" w:rsidP="00D848B6">
      <w:pPr>
        <w:rPr>
          <w:lang w:val="en-GB"/>
        </w:rPr>
      </w:pPr>
      <w:r>
        <w:rPr>
          <w:noProof/>
        </w:rPr>
        <w:lastRenderedPageBreak/>
        <w:drawing>
          <wp:inline distT="0" distB="0" distL="0" distR="0" wp14:anchorId="6812ECA8" wp14:editId="390DCA24">
            <wp:extent cx="5801214" cy="2333012"/>
            <wp:effectExtent l="0" t="0" r="9525" b="0"/>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pic:nvPicPr>
                  <pic:blipFill>
                    <a:blip r:embed="rId967">
                      <a:extLst>
                        <a:ext uri="{28A0092B-C50C-407E-A947-70E740481C1C}">
                          <a14:useLocalDpi xmlns:a14="http://schemas.microsoft.com/office/drawing/2010/main" val="0"/>
                        </a:ext>
                      </a:extLst>
                    </a:blip>
                    <a:stretch>
                      <a:fillRect/>
                    </a:stretch>
                  </pic:blipFill>
                  <pic:spPr>
                    <a:xfrm>
                      <a:off x="0" y="0"/>
                      <a:ext cx="5801214" cy="2333012"/>
                    </a:xfrm>
                    <a:prstGeom prst="rect">
                      <a:avLst/>
                    </a:prstGeom>
                  </pic:spPr>
                </pic:pic>
              </a:graphicData>
            </a:graphic>
          </wp:inline>
        </w:drawing>
      </w:r>
    </w:p>
    <w:p w14:paraId="25BD07E5" w14:textId="77777777" w:rsidR="0002089A" w:rsidRPr="003C4207" w:rsidRDefault="0002089A" w:rsidP="00D848B6">
      <w:pPr>
        <w:rPr>
          <w:lang w:val="en-GB"/>
        </w:rPr>
      </w:pPr>
      <w:r w:rsidRPr="003C4207">
        <w:rPr>
          <w:lang w:val="en-GB"/>
        </w:rPr>
        <w:t>The health of a tier is the average health of its member. This is because a tier scales out. We are not taking the minimum value. This is not a convoy.</w:t>
      </w:r>
    </w:p>
    <w:p w14:paraId="5FE4949C" w14:textId="4ED374DB" w:rsidR="0002089A" w:rsidRPr="003C4207" w:rsidRDefault="0002089A" w:rsidP="00D848B6">
      <w:pPr>
        <w:rPr>
          <w:lang w:val="en-GB"/>
        </w:rPr>
      </w:pPr>
      <w:r w:rsidRPr="003C4207">
        <w:rPr>
          <w:lang w:val="en-GB"/>
        </w:rPr>
        <w:t>“</w:t>
      </w:r>
      <w:r w:rsidRPr="00CD081A">
        <w:rPr>
          <w:color w:val="00B0F0"/>
          <w:lang w:val="en-GB"/>
        </w:rPr>
        <w:t>Hold on!</w:t>
      </w:r>
      <w:r w:rsidRPr="003C4207">
        <w:rPr>
          <w:lang w:val="en-GB"/>
        </w:rPr>
        <w:t xml:space="preserve">” you might say. Since it is scale out, </w:t>
      </w:r>
      <w:r>
        <w:rPr>
          <w:lang w:val="en-GB"/>
        </w:rPr>
        <w:t>Application</w:t>
      </w:r>
      <w:r w:rsidRPr="003C4207">
        <w:rPr>
          <w:lang w:val="en-GB"/>
        </w:rPr>
        <w:t xml:space="preserve"> Team has catered for this. If they only need 3 web servers, they will deploy 4 or even 5. So both performance and availability are not affected</w:t>
      </w:r>
      <w:r>
        <w:rPr>
          <w:lang w:val="en-GB"/>
        </w:rPr>
        <w:t xml:space="preserve"> if one web server goes down</w:t>
      </w:r>
      <w:r w:rsidRPr="003C4207">
        <w:rPr>
          <w:lang w:val="en-GB"/>
        </w:rPr>
        <w:t xml:space="preserve">. The tier performance has to take into account this extra </w:t>
      </w:r>
      <w:r>
        <w:rPr>
          <w:lang w:val="en-GB"/>
        </w:rPr>
        <w:t>capacity</w:t>
      </w:r>
      <w:r w:rsidRPr="003C4207">
        <w:rPr>
          <w:lang w:val="en-GB"/>
        </w:rPr>
        <w:t xml:space="preserve">, </w:t>
      </w:r>
      <w:r>
        <w:rPr>
          <w:lang w:val="en-GB"/>
        </w:rPr>
        <w:t xml:space="preserve">and </w:t>
      </w:r>
      <w:r w:rsidRPr="003C4207">
        <w:rPr>
          <w:lang w:val="en-GB"/>
        </w:rPr>
        <w:t>not simply doing an average</w:t>
      </w:r>
      <w:r w:rsidR="003F75FD">
        <w:rPr>
          <w:lang w:val="en-GB"/>
        </w:rPr>
        <w:t xml:space="preserve"> of all members. </w:t>
      </w:r>
    </w:p>
    <w:p w14:paraId="5F261C41" w14:textId="77777777" w:rsidR="0002089A" w:rsidRPr="003C4207" w:rsidRDefault="0002089A" w:rsidP="00D848B6">
      <w:pPr>
        <w:rPr>
          <w:lang w:val="en-GB"/>
        </w:rPr>
      </w:pPr>
      <w:r w:rsidRPr="003C4207">
        <w:rPr>
          <w:lang w:val="en-GB"/>
        </w:rPr>
        <w:t>This logic sounds reasonable. But is it correct?</w:t>
      </w:r>
    </w:p>
    <w:p w14:paraId="5416E5EB" w14:textId="59CE7B88" w:rsidR="0002089A" w:rsidRDefault="0002089A" w:rsidP="00D848B6">
      <w:pPr>
        <w:rPr>
          <w:lang w:val="en-GB"/>
        </w:rPr>
      </w:pPr>
      <w:r w:rsidRPr="003C4207">
        <w:rPr>
          <w:lang w:val="en-GB"/>
        </w:rPr>
        <w:t xml:space="preserve">It is not actually. </w:t>
      </w:r>
      <w:r>
        <w:rPr>
          <w:lang w:val="en-GB"/>
        </w:rPr>
        <w:t>T</w:t>
      </w:r>
      <w:r w:rsidRPr="003C4207">
        <w:rPr>
          <w:lang w:val="en-GB"/>
        </w:rPr>
        <w:t xml:space="preserve">his is not about Availability. This is about Performance. All web servers are still up, but if </w:t>
      </w:r>
      <w:r>
        <w:rPr>
          <w:lang w:val="en-GB"/>
        </w:rPr>
        <w:t xml:space="preserve">any of the </w:t>
      </w:r>
      <w:r w:rsidRPr="003C4207">
        <w:rPr>
          <w:lang w:val="en-GB"/>
        </w:rPr>
        <w:t>node</w:t>
      </w:r>
      <w:r>
        <w:rPr>
          <w:lang w:val="en-GB"/>
        </w:rPr>
        <w:t>s</w:t>
      </w:r>
      <w:r w:rsidRPr="003C4207">
        <w:rPr>
          <w:lang w:val="en-GB"/>
        </w:rPr>
        <w:t xml:space="preserve"> is slower</w:t>
      </w:r>
      <w:r>
        <w:rPr>
          <w:lang w:val="en-GB"/>
        </w:rPr>
        <w:t xml:space="preserve"> than usual</w:t>
      </w:r>
      <w:r w:rsidRPr="003C4207">
        <w:rPr>
          <w:lang w:val="en-GB"/>
        </w:rPr>
        <w:t>, user experience will be affected.</w:t>
      </w:r>
    </w:p>
    <w:p w14:paraId="6166054B" w14:textId="144935BB" w:rsidR="003F75FD" w:rsidRDefault="003F75FD" w:rsidP="00D848B6">
      <w:pPr>
        <w:pStyle w:val="Heading5"/>
      </w:pPr>
      <w:r>
        <w:t>Metrics</w:t>
      </w:r>
    </w:p>
    <w:p w14:paraId="579EF1DE" w14:textId="36F499FF" w:rsidR="003F75FD" w:rsidRDefault="003F75FD" w:rsidP="003F75FD">
      <w:pPr>
        <w:rPr>
          <w:lang w:val="en-GB"/>
        </w:rPr>
      </w:pPr>
      <w:r>
        <w:rPr>
          <w:lang w:val="en-GB"/>
        </w:rPr>
        <w:t>There are 3 metrics required</w:t>
      </w:r>
    </w:p>
    <w:p w14:paraId="60C49896" w14:textId="62F7CE92" w:rsidR="003F75FD" w:rsidRDefault="003F75FD" w:rsidP="003F75FD">
      <w:pPr>
        <w:pStyle w:val="Bullet"/>
        <w:rPr>
          <w:lang w:val="en-GB"/>
        </w:rPr>
      </w:pPr>
      <w:r>
        <w:rPr>
          <w:lang w:val="en-GB"/>
        </w:rPr>
        <w:t xml:space="preserve">Business Applications Performance. </w:t>
      </w:r>
      <w:r>
        <w:rPr>
          <w:lang w:val="en-GB"/>
        </w:rPr>
        <w:br/>
        <w:t xml:space="preserve">This is the average of all the business applications. It helps you manage at scale. By plotting this as trend chart, you can see the overall picture over time. </w:t>
      </w:r>
    </w:p>
    <w:p w14:paraId="69F0D887" w14:textId="5052300D" w:rsidR="003F75FD" w:rsidRDefault="003F75FD" w:rsidP="003F75FD">
      <w:pPr>
        <w:pStyle w:val="Bullet"/>
        <w:rPr>
          <w:lang w:val="en-GB"/>
        </w:rPr>
      </w:pPr>
      <w:r>
        <w:rPr>
          <w:lang w:val="en-GB"/>
        </w:rPr>
        <w:t>Business Applications Performance.</w:t>
      </w:r>
      <w:r>
        <w:rPr>
          <w:lang w:val="en-GB"/>
        </w:rPr>
        <w:br/>
        <w:t>The performance of a specific business application.</w:t>
      </w:r>
    </w:p>
    <w:p w14:paraId="2C86E2EC" w14:textId="28868852" w:rsidR="003F75FD" w:rsidRPr="003F75FD" w:rsidRDefault="003F75FD" w:rsidP="00281329">
      <w:pPr>
        <w:pStyle w:val="Bullet"/>
        <w:rPr>
          <w:lang w:val="en-GB"/>
        </w:rPr>
      </w:pPr>
      <w:r w:rsidRPr="003F75FD">
        <w:rPr>
          <w:lang w:val="en-GB"/>
        </w:rPr>
        <w:t>Business Applications Tier Performance.</w:t>
      </w:r>
      <w:r w:rsidRPr="003F75FD">
        <w:rPr>
          <w:lang w:val="en-GB"/>
        </w:rPr>
        <w:br/>
        <w:t xml:space="preserve">The performance of a specific </w:t>
      </w:r>
      <w:r>
        <w:rPr>
          <w:lang w:val="en-GB"/>
        </w:rPr>
        <w:t xml:space="preserve">tier in a given </w:t>
      </w:r>
      <w:r w:rsidRPr="003F75FD">
        <w:rPr>
          <w:lang w:val="en-GB"/>
        </w:rPr>
        <w:t>business application.</w:t>
      </w:r>
    </w:p>
    <w:p w14:paraId="6C0BAE01" w14:textId="5F7617C9" w:rsidR="003F75FD" w:rsidRPr="003F75FD" w:rsidRDefault="003F75FD" w:rsidP="003F75FD">
      <w:pPr>
        <w:rPr>
          <w:lang w:val="en-GB"/>
        </w:rPr>
      </w:pPr>
      <w:r>
        <w:rPr>
          <w:lang w:val="en-GB"/>
        </w:rPr>
        <w:t xml:space="preserve">The following shows the 3 super metrics created </w:t>
      </w:r>
    </w:p>
    <w:p w14:paraId="23395D6E" w14:textId="080D0A0F" w:rsidR="00CC48BB" w:rsidRDefault="00CC48BB" w:rsidP="00CC48BB">
      <w:pPr>
        <w:jc w:val="center"/>
        <w:rPr>
          <w:lang w:val="en-GB"/>
        </w:rPr>
      </w:pPr>
      <w:r w:rsidRPr="00CC48BB">
        <w:rPr>
          <w:noProof/>
          <w:lang w:val="en-GB"/>
        </w:rPr>
        <w:lastRenderedPageBreak/>
        <w:drawing>
          <wp:inline distT="0" distB="0" distL="0" distR="0" wp14:anchorId="77478423" wp14:editId="6CE56958">
            <wp:extent cx="4672584" cy="2267712"/>
            <wp:effectExtent l="0" t="0" r="0" b="0"/>
            <wp:docPr id="1971069021" name="Picture 1971069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8"/>
                    <a:stretch>
                      <a:fillRect/>
                    </a:stretch>
                  </pic:blipFill>
                  <pic:spPr>
                    <a:xfrm>
                      <a:off x="0" y="0"/>
                      <a:ext cx="4672584" cy="2267712"/>
                    </a:xfrm>
                    <a:prstGeom prst="rect">
                      <a:avLst/>
                    </a:prstGeom>
                  </pic:spPr>
                </pic:pic>
              </a:graphicData>
            </a:graphic>
          </wp:inline>
        </w:drawing>
      </w:r>
    </w:p>
    <w:p w14:paraId="08591DDA" w14:textId="226B264A" w:rsidR="00CC48BB" w:rsidRDefault="003F75FD" w:rsidP="0002089A">
      <w:pPr>
        <w:rPr>
          <w:lang w:val="en-GB"/>
        </w:rPr>
      </w:pPr>
      <w:r>
        <w:rPr>
          <w:lang w:val="en-GB"/>
        </w:rPr>
        <w:t>Implementation wise, here are their formula:</w:t>
      </w:r>
    </w:p>
    <w:p w14:paraId="649F4C9F" w14:textId="02D9460A" w:rsidR="00CC48BB" w:rsidRDefault="00CC48BB" w:rsidP="0002089A">
      <w:pPr>
        <w:rPr>
          <w:lang w:val="en-GB"/>
        </w:rPr>
      </w:pPr>
      <w:r w:rsidRPr="00CC48BB">
        <w:rPr>
          <w:noProof/>
          <w:lang w:val="en-GB"/>
        </w:rPr>
        <w:drawing>
          <wp:inline distT="0" distB="0" distL="0" distR="0" wp14:anchorId="4F57471F" wp14:editId="625045D4">
            <wp:extent cx="6293173" cy="647733"/>
            <wp:effectExtent l="0" t="0" r="0" b="0"/>
            <wp:docPr id="1971069022" name="Picture 1971069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9"/>
                    <a:stretch>
                      <a:fillRect/>
                    </a:stretch>
                  </pic:blipFill>
                  <pic:spPr>
                    <a:xfrm>
                      <a:off x="0" y="0"/>
                      <a:ext cx="6293173" cy="647733"/>
                    </a:xfrm>
                    <a:prstGeom prst="rect">
                      <a:avLst/>
                    </a:prstGeom>
                  </pic:spPr>
                </pic:pic>
              </a:graphicData>
            </a:graphic>
          </wp:inline>
        </w:drawing>
      </w:r>
    </w:p>
    <w:p w14:paraId="3673B7D5" w14:textId="567E2055" w:rsidR="00CC48BB" w:rsidRDefault="00CC48BB" w:rsidP="0002089A">
      <w:pPr>
        <w:rPr>
          <w:lang w:val="en-GB"/>
        </w:rPr>
      </w:pPr>
      <w:r w:rsidRPr="00CC48BB">
        <w:rPr>
          <w:noProof/>
          <w:lang w:val="en-GB"/>
        </w:rPr>
        <w:drawing>
          <wp:inline distT="0" distB="0" distL="0" distR="0" wp14:anchorId="2C2A4187" wp14:editId="6C2097A8">
            <wp:extent cx="6521785" cy="635033"/>
            <wp:effectExtent l="0" t="0" r="0" b="0"/>
            <wp:docPr id="1971069023" name="Picture 1971069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0"/>
                    <a:stretch>
                      <a:fillRect/>
                    </a:stretch>
                  </pic:blipFill>
                  <pic:spPr>
                    <a:xfrm>
                      <a:off x="0" y="0"/>
                      <a:ext cx="6521785" cy="635033"/>
                    </a:xfrm>
                    <a:prstGeom prst="rect">
                      <a:avLst/>
                    </a:prstGeom>
                  </pic:spPr>
                </pic:pic>
              </a:graphicData>
            </a:graphic>
          </wp:inline>
        </w:drawing>
      </w:r>
    </w:p>
    <w:p w14:paraId="3ABF3C61" w14:textId="2465698B" w:rsidR="00CC48BB" w:rsidRDefault="00CC48BB" w:rsidP="0002089A">
      <w:pPr>
        <w:rPr>
          <w:lang w:val="en-GB"/>
        </w:rPr>
      </w:pPr>
      <w:r w:rsidRPr="00CC48BB">
        <w:rPr>
          <w:noProof/>
          <w:lang w:val="en-GB"/>
        </w:rPr>
        <w:drawing>
          <wp:inline distT="0" distB="0" distL="0" distR="0" wp14:anchorId="618EC0C0" wp14:editId="3C857BFD">
            <wp:extent cx="4476980" cy="615982"/>
            <wp:effectExtent l="0" t="0" r="0" b="0"/>
            <wp:docPr id="1971069024" name="Picture 1971069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1"/>
                    <a:stretch>
                      <a:fillRect/>
                    </a:stretch>
                  </pic:blipFill>
                  <pic:spPr>
                    <a:xfrm>
                      <a:off x="0" y="0"/>
                      <a:ext cx="4476980" cy="615982"/>
                    </a:xfrm>
                    <a:prstGeom prst="rect">
                      <a:avLst/>
                    </a:prstGeom>
                  </pic:spPr>
                </pic:pic>
              </a:graphicData>
            </a:graphic>
          </wp:inline>
        </w:drawing>
      </w:r>
    </w:p>
    <w:p w14:paraId="0D7F4F53" w14:textId="61E6C10A" w:rsidR="0002089A" w:rsidRDefault="0002089A" w:rsidP="0002089A">
      <w:pPr>
        <w:rPr>
          <w:lang w:val="en-GB"/>
        </w:rPr>
      </w:pPr>
      <w:r>
        <w:rPr>
          <w:lang w:val="en-GB"/>
        </w:rPr>
        <w:t xml:space="preserve">The VM KPI is turn an aggregation of its key performance metrics. We covered it in </w:t>
      </w:r>
      <w:r w:rsidRPr="002A1F0E">
        <w:rPr>
          <w:color w:val="00B0F0"/>
          <w:lang w:val="en-GB"/>
        </w:rPr>
        <w:t>Part 1 Chapter 2 Performance Management</w:t>
      </w:r>
      <w:r>
        <w:rPr>
          <w:lang w:val="en-GB"/>
        </w:rPr>
        <w:t xml:space="preserve"> and </w:t>
      </w:r>
      <w:r w:rsidRPr="002A1F0E">
        <w:rPr>
          <w:color w:val="00B0F0"/>
          <w:lang w:val="en-GB"/>
        </w:rPr>
        <w:t>Part 2 Chapter 7 Operations Metrics</w:t>
      </w:r>
      <w:r>
        <w:rPr>
          <w:lang w:val="en-GB"/>
        </w:rPr>
        <w:t>.</w:t>
      </w:r>
    </w:p>
    <w:p w14:paraId="6C887C8A" w14:textId="148B6C3A" w:rsidR="001203C9" w:rsidRDefault="001203C9" w:rsidP="0002089A">
      <w:pPr>
        <w:rPr>
          <w:lang w:val="en-GB"/>
        </w:rPr>
      </w:pPr>
      <w:r w:rsidRPr="001203C9">
        <w:rPr>
          <w:b/>
          <w:bCs/>
          <w:color w:val="FF0000"/>
          <w:lang w:val="en-GB"/>
        </w:rPr>
        <w:t xml:space="preserve">Limitation: </w:t>
      </w:r>
      <w:r w:rsidRPr="001203C9">
        <w:rPr>
          <w:lang w:val="en-GB"/>
        </w:rPr>
        <w:t xml:space="preserve">Levels are hardcoded to 3 and 3 only. Business Application </w:t>
      </w:r>
      <w:r w:rsidRPr="001203C9">
        <w:rPr>
          <w:lang w:val="en-GB"/>
        </w:rPr>
        <w:t xml:space="preserve"> Business Application Tier </w:t>
      </w:r>
      <w:r w:rsidRPr="001203C9">
        <w:rPr>
          <w:lang w:val="en-GB"/>
        </w:rPr>
        <w:t> VM. If you create sub-tier it complicates the super metrics, dashboards and alerts..</w:t>
      </w:r>
    </w:p>
    <w:p w14:paraId="0D745A10" w14:textId="36FAD1C0" w:rsidR="00D848B6" w:rsidRDefault="00D848B6" w:rsidP="00D848B6">
      <w:pPr>
        <w:pStyle w:val="Heading4"/>
      </w:pPr>
      <w:r>
        <w:t>Capacity</w:t>
      </w:r>
    </w:p>
    <w:p w14:paraId="37C2E376" w14:textId="77777777" w:rsidR="00D848B6" w:rsidRDefault="00D848B6" w:rsidP="00D848B6">
      <w:pPr>
        <w:rPr>
          <w:lang w:val="en-GB" w:eastAsia="en-SG"/>
        </w:rPr>
      </w:pPr>
      <w:r>
        <w:rPr>
          <w:lang w:val="en-GB" w:eastAsia="en-SG"/>
        </w:rPr>
        <w:t xml:space="preserve">Similar to performance modelling, the capacity for a business application is the lowest of its tier. </w:t>
      </w:r>
    </w:p>
    <w:p w14:paraId="4F4D93B5" w14:textId="73CD1770" w:rsidR="00D848B6" w:rsidRDefault="00D848B6" w:rsidP="00D848B6">
      <w:pPr>
        <w:rPr>
          <w:lang w:val="en-GB" w:eastAsia="en-SG"/>
        </w:rPr>
      </w:pPr>
      <w:r>
        <w:rPr>
          <w:lang w:val="en-GB" w:eastAsia="en-SG"/>
        </w:rPr>
        <w:t>Within the tier, the model depends whether it’s active-passive or active active.</w:t>
      </w:r>
    </w:p>
    <w:p w14:paraId="1E0912CF" w14:textId="210A4D98" w:rsidR="00D848B6" w:rsidRDefault="00D848B6" w:rsidP="00D848B6">
      <w:pPr>
        <w:pStyle w:val="Bullet"/>
        <w:rPr>
          <w:lang w:val="en-GB" w:eastAsia="en-SG"/>
        </w:rPr>
      </w:pPr>
      <w:r>
        <w:rPr>
          <w:lang w:val="en-GB" w:eastAsia="en-SG"/>
        </w:rPr>
        <w:t xml:space="preserve">For active-passive, since there is only 1 node active at a time, </w:t>
      </w:r>
      <w:r w:rsidR="00E7297D">
        <w:rPr>
          <w:lang w:val="en-GB" w:eastAsia="en-SG"/>
        </w:rPr>
        <w:t>you take the highest consumption. Take the maximum of CPU and maximum of memory. For disk, it depends whether it’s shared disk or not.</w:t>
      </w:r>
    </w:p>
    <w:p w14:paraId="234F8DFF" w14:textId="56126F35" w:rsidR="00E7297D" w:rsidRPr="00D848B6" w:rsidRDefault="00E7297D" w:rsidP="00D848B6">
      <w:pPr>
        <w:pStyle w:val="Bullet"/>
        <w:rPr>
          <w:lang w:val="en-GB" w:eastAsia="en-SG"/>
        </w:rPr>
      </w:pPr>
      <w:r>
        <w:rPr>
          <w:lang w:val="en-GB" w:eastAsia="en-SG"/>
        </w:rPr>
        <w:t>For active-passive, since there is load balancer assuming even loads, you take the average consumption</w:t>
      </w:r>
    </w:p>
    <w:p w14:paraId="2026BE35" w14:textId="6086F787" w:rsidR="00FC4B2D" w:rsidRPr="00A452F2" w:rsidRDefault="0030700F" w:rsidP="00327E4B">
      <w:pPr>
        <w:pStyle w:val="Heading1"/>
        <w:rPr>
          <w:lang w:val="en-GB"/>
        </w:rPr>
      </w:pPr>
      <w:bookmarkStart w:id="140" w:name="_VM_Performance_Troubleshooting"/>
      <w:bookmarkStart w:id="141" w:name="_Use_Case:_Rightsize"/>
      <w:bookmarkEnd w:id="140"/>
      <w:bookmarkEnd w:id="141"/>
      <w:r w:rsidRPr="00A452F2">
        <w:rPr>
          <w:lang w:val="en-GB"/>
        </w:rPr>
        <w:lastRenderedPageBreak/>
        <w:t>PART 3</w:t>
      </w:r>
    </w:p>
    <w:p w14:paraId="75849BFA" w14:textId="3E38970D" w:rsidR="0069728C" w:rsidRPr="00A452F2" w:rsidRDefault="008F3F53" w:rsidP="0069728C">
      <w:pPr>
        <w:pStyle w:val="Title"/>
        <w:rPr>
          <w:lang w:val="en-GB"/>
        </w:rPr>
      </w:pPr>
      <w:r>
        <w:rPr>
          <w:lang w:val="en-GB"/>
        </w:rPr>
        <w:t>Co</w:t>
      </w:r>
      <w:r w:rsidR="00B765D6">
        <w:rPr>
          <w:lang w:val="en-GB"/>
        </w:rPr>
        <w:t>nsumption</w:t>
      </w:r>
    </w:p>
    <w:p w14:paraId="709A964B" w14:textId="77777777" w:rsidR="0069728C" w:rsidRPr="00A452F2" w:rsidRDefault="0069728C" w:rsidP="0030700F">
      <w:pPr>
        <w:rPr>
          <w:lang w:val="en-GB"/>
        </w:rPr>
      </w:pPr>
    </w:p>
    <w:p w14:paraId="0AD4DEE2" w14:textId="330FB013" w:rsidR="003A6A14" w:rsidRDefault="003A6A14" w:rsidP="0030700F">
      <w:pPr>
        <w:rPr>
          <w:lang w:val="en-GB"/>
        </w:rPr>
      </w:pPr>
      <w:r>
        <w:rPr>
          <w:lang w:val="en-GB"/>
        </w:rPr>
        <w:t xml:space="preserve">How </w:t>
      </w:r>
      <w:r w:rsidR="00F34F7A">
        <w:rPr>
          <w:lang w:val="en-GB"/>
        </w:rPr>
        <w:t xml:space="preserve">do you apply the concepts in Part 1 and </w:t>
      </w:r>
      <w:r w:rsidR="008D3A3F">
        <w:rPr>
          <w:lang w:val="en-GB"/>
        </w:rPr>
        <w:t>metrics</w:t>
      </w:r>
      <w:r w:rsidR="00F34F7A">
        <w:rPr>
          <w:lang w:val="en-GB"/>
        </w:rPr>
        <w:t xml:space="preserve"> in Part 2 in</w:t>
      </w:r>
      <w:r w:rsidR="003F254F">
        <w:rPr>
          <w:lang w:val="en-GB"/>
        </w:rPr>
        <w:t xml:space="preserve"> operations management? </w:t>
      </w:r>
      <w:r w:rsidR="00CD7B13">
        <w:rPr>
          <w:lang w:val="en-GB"/>
        </w:rPr>
        <w:t>In this final part, we will cover how you will consume</w:t>
      </w:r>
      <w:r w:rsidR="000400DF">
        <w:rPr>
          <w:lang w:val="en-GB"/>
        </w:rPr>
        <w:t xml:space="preserve"> the knowledge via dashboards</w:t>
      </w:r>
      <w:r w:rsidR="0084106E">
        <w:rPr>
          <w:lang w:val="en-GB"/>
        </w:rPr>
        <w:t>,</w:t>
      </w:r>
      <w:r w:rsidR="000400DF">
        <w:rPr>
          <w:lang w:val="en-GB"/>
        </w:rPr>
        <w:t xml:space="preserve"> alerts</w:t>
      </w:r>
      <w:r w:rsidR="0084106E">
        <w:rPr>
          <w:lang w:val="en-GB"/>
        </w:rPr>
        <w:t xml:space="preserve"> and reports</w:t>
      </w:r>
      <w:r w:rsidR="000400DF">
        <w:rPr>
          <w:lang w:val="en-GB"/>
        </w:rPr>
        <w:t xml:space="preserve">. </w:t>
      </w:r>
      <w:r w:rsidR="0084106E">
        <w:rPr>
          <w:lang w:val="en-GB"/>
        </w:rPr>
        <w:t xml:space="preserve">The </w:t>
      </w:r>
      <w:r w:rsidR="000400DF">
        <w:rPr>
          <w:lang w:val="en-GB"/>
        </w:rPr>
        <w:t xml:space="preserve">3 </w:t>
      </w:r>
      <w:r w:rsidR="000400DF" w:rsidRPr="4CAB3972">
        <w:rPr>
          <w:lang w:val="en-GB"/>
        </w:rPr>
        <w:t>are</w:t>
      </w:r>
      <w:r w:rsidR="000400DF">
        <w:rPr>
          <w:lang w:val="en-GB"/>
        </w:rPr>
        <w:t xml:space="preserve"> </w:t>
      </w:r>
      <w:r w:rsidR="000400DF" w:rsidRPr="4CAB3972">
        <w:rPr>
          <w:lang w:val="en-GB"/>
        </w:rPr>
        <w:t xml:space="preserve">essentially the way vRealize Operations communicates to users. </w:t>
      </w:r>
    </w:p>
    <w:p w14:paraId="15EE27D7" w14:textId="12A4301C" w:rsidR="0017546B" w:rsidRPr="00A452F2" w:rsidRDefault="0030700F" w:rsidP="0030700F">
      <w:pPr>
        <w:rPr>
          <w:lang w:val="en-GB"/>
        </w:rPr>
      </w:pPr>
      <w:r w:rsidRPr="4CAB3972">
        <w:rPr>
          <w:lang w:val="en-GB"/>
        </w:rPr>
        <w:t>Among the</w:t>
      </w:r>
      <w:r w:rsidR="00D72F30">
        <w:rPr>
          <w:lang w:val="en-GB"/>
        </w:rPr>
        <w:t xml:space="preserve"> book’s</w:t>
      </w:r>
      <w:r w:rsidRPr="4CAB3972">
        <w:rPr>
          <w:lang w:val="en-GB"/>
        </w:rPr>
        <w:t xml:space="preserve"> </w:t>
      </w:r>
      <w:r w:rsidR="00D72F30">
        <w:rPr>
          <w:lang w:val="en-GB"/>
        </w:rPr>
        <w:t>4</w:t>
      </w:r>
      <w:r w:rsidRPr="4CAB3972">
        <w:rPr>
          <w:lang w:val="en-GB"/>
        </w:rPr>
        <w:t xml:space="preserve"> parts</w:t>
      </w:r>
      <w:r w:rsidR="00630EB0" w:rsidRPr="4CAB3972">
        <w:rPr>
          <w:lang w:val="en-GB"/>
        </w:rPr>
        <w:t>, this</w:t>
      </w:r>
      <w:r w:rsidR="0084106E">
        <w:rPr>
          <w:lang w:val="en-GB"/>
        </w:rPr>
        <w:t xml:space="preserve"> part</w:t>
      </w:r>
      <w:r w:rsidR="00630EB0" w:rsidRPr="4CAB3972">
        <w:rPr>
          <w:lang w:val="en-GB"/>
        </w:rPr>
        <w:t xml:space="preserve"> will be the one that changes the most from each </w:t>
      </w:r>
      <w:r w:rsidR="00F72B2F" w:rsidRPr="4CAB3972">
        <w:rPr>
          <w:lang w:val="en-GB"/>
        </w:rPr>
        <w:t xml:space="preserve">vRealize Operations </w:t>
      </w:r>
      <w:r w:rsidR="00630EB0" w:rsidRPr="4CAB3972">
        <w:rPr>
          <w:lang w:val="en-GB"/>
        </w:rPr>
        <w:t>release</w:t>
      </w:r>
      <w:r w:rsidR="003D0E4E">
        <w:rPr>
          <w:lang w:val="en-GB"/>
        </w:rPr>
        <w:t xml:space="preserve"> and Operationalize Your World</w:t>
      </w:r>
      <w:r w:rsidR="003A6D7D">
        <w:rPr>
          <w:lang w:val="en-GB"/>
        </w:rPr>
        <w:t xml:space="preserve"> release</w:t>
      </w:r>
      <w:r w:rsidR="00630EB0" w:rsidRPr="4CAB3972">
        <w:rPr>
          <w:lang w:val="en-GB"/>
        </w:rPr>
        <w:t>.</w:t>
      </w:r>
      <w:r w:rsidR="00F62301">
        <w:rPr>
          <w:lang w:val="en-GB"/>
        </w:rPr>
        <w:t xml:space="preserve"> My goal is eventually this</w:t>
      </w:r>
      <w:r w:rsidR="002F0A04">
        <w:rPr>
          <w:lang w:val="en-GB"/>
        </w:rPr>
        <w:t xml:space="preserve"> entire part</w:t>
      </w:r>
      <w:r w:rsidR="00F62301">
        <w:rPr>
          <w:lang w:val="en-GB"/>
        </w:rPr>
        <w:t xml:space="preserve"> will move into VMwareOpsGuide.com</w:t>
      </w:r>
      <w:r w:rsidR="002F0A04">
        <w:rPr>
          <w:lang w:val="en-GB"/>
        </w:rPr>
        <w:t xml:space="preserve">, </w:t>
      </w:r>
      <w:r w:rsidR="00DF0F22">
        <w:rPr>
          <w:lang w:val="en-GB"/>
        </w:rPr>
        <w:t xml:space="preserve">so the book size remain manageable. </w:t>
      </w:r>
    </w:p>
    <w:p w14:paraId="332C61CF" w14:textId="592BCBFA" w:rsidR="00EE36EA" w:rsidRDefault="00592143" w:rsidP="00B373E2">
      <w:pPr>
        <w:pStyle w:val="Heading2"/>
        <w:rPr>
          <w:lang w:val="en-GB"/>
        </w:rPr>
      </w:pPr>
      <w:bookmarkStart w:id="142" w:name="_Design_Consideration_5"/>
      <w:bookmarkEnd w:id="142"/>
      <w:r>
        <w:rPr>
          <w:lang w:val="en-GB"/>
        </w:rPr>
        <w:lastRenderedPageBreak/>
        <w:t>The 3</w:t>
      </w:r>
      <w:r w:rsidR="00002C86">
        <w:rPr>
          <w:lang w:val="en-GB"/>
        </w:rPr>
        <w:t>-</w:t>
      </w:r>
      <w:r>
        <w:rPr>
          <w:lang w:val="en-GB"/>
        </w:rPr>
        <w:t>in</w:t>
      </w:r>
      <w:r w:rsidR="00002C86">
        <w:rPr>
          <w:lang w:val="en-GB"/>
        </w:rPr>
        <w:t>-</w:t>
      </w:r>
      <w:r>
        <w:rPr>
          <w:lang w:val="en-GB"/>
        </w:rPr>
        <w:t>1</w:t>
      </w:r>
    </w:p>
    <w:p w14:paraId="766CAE1A" w14:textId="2F9C0256" w:rsidR="004D4D3A" w:rsidRPr="004D4D3A" w:rsidRDefault="004D4D3A" w:rsidP="004D4D3A">
      <w:pPr>
        <w:rPr>
          <w:lang w:val="en-GB"/>
        </w:rPr>
      </w:pPr>
      <w:r>
        <w:rPr>
          <w:noProof/>
        </w:rPr>
        <mc:AlternateContent>
          <mc:Choice Requires="wps">
            <w:drawing>
              <wp:anchor distT="0" distB="0" distL="114300" distR="114300" simplePos="0" relativeHeight="251650048" behindDoc="0" locked="0" layoutInCell="1" allowOverlap="1" wp14:anchorId="0F127B95" wp14:editId="13287242">
                <wp:simplePos x="0" y="0"/>
                <wp:positionH relativeFrom="column">
                  <wp:posOffset>34089</wp:posOffset>
                </wp:positionH>
                <wp:positionV relativeFrom="paragraph">
                  <wp:posOffset>28073</wp:posOffset>
                </wp:positionV>
                <wp:extent cx="1828800" cy="1828800"/>
                <wp:effectExtent l="0" t="0" r="0" b="0"/>
                <wp:wrapNone/>
                <wp:docPr id="606394166" name="Text Box 60639416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2600026" w14:textId="1E254DE9" w:rsidR="00E66F24" w:rsidRPr="00C84219" w:rsidRDefault="00E66F24" w:rsidP="004D4D3A">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3 Chapter 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0F127B95" id="Text Box 606394166" o:spid="_x0000_s1041" type="#_x0000_t202" style="position:absolute;margin-left:2.7pt;margin-top:2.2pt;width:2in;height:2in;z-index:2516500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" filled="f" stroked="f">
                <v:textbox style="mso-fit-shape-to-text:t">
                  <w:txbxContent>
                    <w:p w14:paraId="42600026" w14:textId="1E254DE9" w:rsidR="00E66F24" w:rsidRPr="00C84219" w:rsidRDefault="00E66F24" w:rsidP="004D4D3A">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3 Chapter 1</w:t>
                      </w:r>
                    </w:p>
                  </w:txbxContent>
                </v:textbox>
              </v:shape>
            </w:pict>
          </mc:Fallback>
        </mc:AlternateContent>
      </w:r>
    </w:p>
    <w:p w14:paraId="37D680FC" w14:textId="3A4D5EAF" w:rsidR="00235223" w:rsidRPr="00A452F2" w:rsidRDefault="000B78E5" w:rsidP="003F097B">
      <w:pPr>
        <w:pStyle w:val="AfterChapterTitle"/>
        <w:rPr>
          <w:lang w:val="en-GB"/>
        </w:rPr>
      </w:pPr>
      <w:r>
        <w:rPr>
          <w:lang w:val="en-GB"/>
        </w:rPr>
        <w:t>D</w:t>
      </w:r>
      <w:r w:rsidRPr="4CAB3972">
        <w:rPr>
          <w:lang w:val="en-GB"/>
        </w:rPr>
        <w:t xml:space="preserve">ashboards, alerts and reports </w:t>
      </w:r>
      <w:r>
        <w:rPr>
          <w:lang w:val="en-GB"/>
        </w:rPr>
        <w:t xml:space="preserve">serve the same purpose, which </w:t>
      </w:r>
      <w:r w:rsidRPr="4CAB3972">
        <w:rPr>
          <w:lang w:val="en-GB"/>
        </w:rPr>
        <w:t xml:space="preserve">is </w:t>
      </w:r>
      <w:r>
        <w:rPr>
          <w:lang w:val="en-GB"/>
        </w:rPr>
        <w:t>the</w:t>
      </w:r>
      <w:r w:rsidRPr="4CAB3972">
        <w:rPr>
          <w:lang w:val="en-GB"/>
        </w:rPr>
        <w:t xml:space="preserve"> way for System to “</w:t>
      </w:r>
      <w:r w:rsidRPr="00DB0074">
        <w:rPr>
          <w:color w:val="00B0F0"/>
          <w:lang w:val="en-GB"/>
        </w:rPr>
        <w:t>communicate</w:t>
      </w:r>
      <w:r w:rsidRPr="4CAB3972">
        <w:rPr>
          <w:lang w:val="en-GB"/>
        </w:rPr>
        <w:t>” with user.</w:t>
      </w:r>
      <w:r w:rsidR="004774F6">
        <w:rPr>
          <w:lang w:val="en-GB"/>
        </w:rPr>
        <w:t xml:space="preserve"> </w:t>
      </w:r>
      <w:r w:rsidR="00FD1A9D" w:rsidRPr="4CAB3972">
        <w:rPr>
          <w:lang w:val="en-GB"/>
        </w:rPr>
        <w:t xml:space="preserve">It is easy to think that are unrelated and should be designed independently. If we take a step back and look at the big picture, there is </w:t>
      </w:r>
      <w:r w:rsidR="00FD1A9D">
        <w:rPr>
          <w:lang w:val="en-GB"/>
        </w:rPr>
        <w:t xml:space="preserve">actually </w:t>
      </w:r>
      <w:r w:rsidR="00FD1A9D" w:rsidRPr="4CAB3972">
        <w:rPr>
          <w:lang w:val="en-GB"/>
        </w:rPr>
        <w:t xml:space="preserve">minimal overlap, as they form a </w:t>
      </w:r>
      <w:r w:rsidR="00FD1A9D" w:rsidRPr="00302204">
        <w:rPr>
          <w:i/>
          <w:iCs/>
          <w:color w:val="00B0F0"/>
          <w:lang w:val="en-GB"/>
        </w:rPr>
        <w:t>continuum</w:t>
      </w:r>
      <w:r w:rsidR="00FD1A9D" w:rsidRPr="4CAB3972">
        <w:rPr>
          <w:lang w:val="en-GB"/>
        </w:rPr>
        <w:t>.</w:t>
      </w:r>
    </w:p>
    <w:p w14:paraId="5E834512" w14:textId="6B61ADCC" w:rsidR="004C6DFB" w:rsidRDefault="0048230C" w:rsidP="00FD1A9D">
      <w:pPr>
        <w:pStyle w:val="Heading3"/>
      </w:pPr>
      <w:r>
        <w:t>Overview</w:t>
      </w:r>
    </w:p>
    <w:p w14:paraId="79B3CD83" w14:textId="33408F7E" w:rsidR="004C6DFB" w:rsidRDefault="004C6DFB" w:rsidP="004C6DFB">
      <w:pPr>
        <w:jc w:val="center"/>
        <w:rPr>
          <w:lang w:val="en-GB"/>
        </w:rPr>
      </w:pPr>
      <w:r w:rsidRPr="004C6DFB">
        <w:rPr>
          <w:noProof/>
          <w:lang w:val="en-GB"/>
        </w:rPr>
        <w:drawing>
          <wp:inline distT="0" distB="0" distL="0" distR="0" wp14:anchorId="4ECDB38F" wp14:editId="4C348663">
            <wp:extent cx="6058459" cy="2573079"/>
            <wp:effectExtent l="0" t="0" r="0" b="0"/>
            <wp:docPr id="1293284812" name="Picture 1293284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2"/>
                    <a:stretch>
                      <a:fillRect/>
                    </a:stretch>
                  </pic:blipFill>
                  <pic:spPr>
                    <a:xfrm>
                      <a:off x="0" y="0"/>
                      <a:ext cx="6067804" cy="2577048"/>
                    </a:xfrm>
                    <a:prstGeom prst="rect">
                      <a:avLst/>
                    </a:prstGeom>
                  </pic:spPr>
                </pic:pic>
              </a:graphicData>
            </a:graphic>
          </wp:inline>
        </w:drawing>
      </w:r>
    </w:p>
    <w:p w14:paraId="27D0F1A8" w14:textId="427E1336" w:rsidR="00925982" w:rsidRDefault="00334102" w:rsidP="00925982">
      <w:pPr>
        <w:rPr>
          <w:lang w:val="en-GB"/>
        </w:rPr>
      </w:pPr>
      <w:r w:rsidRPr="4CAB3972">
        <w:rPr>
          <w:lang w:val="en-GB"/>
        </w:rPr>
        <w:lastRenderedPageBreak/>
        <w:t xml:space="preserve">If you apply this thinking, you will vrealize that you can reduce alert storm, because many </w:t>
      </w:r>
      <w:r w:rsidR="0039649D">
        <w:rPr>
          <w:lang w:val="en-GB"/>
        </w:rPr>
        <w:t>a</w:t>
      </w:r>
      <w:r w:rsidR="00925982" w:rsidRPr="4CAB3972">
        <w:rPr>
          <w:lang w:val="en-GB"/>
        </w:rPr>
        <w:t xml:space="preserve">lerts </w:t>
      </w:r>
      <w:r w:rsidRPr="4CAB3972">
        <w:rPr>
          <w:lang w:val="en-GB"/>
        </w:rPr>
        <w:t>are better served as</w:t>
      </w:r>
      <w:r w:rsidR="62D6A84C" w:rsidRPr="4CAB3972">
        <w:rPr>
          <w:lang w:val="en-GB"/>
        </w:rPr>
        <w:t xml:space="preserve"> </w:t>
      </w:r>
      <w:r w:rsidR="0039649D">
        <w:rPr>
          <w:lang w:val="en-GB"/>
        </w:rPr>
        <w:t>parts of a d</w:t>
      </w:r>
      <w:r w:rsidR="00925982" w:rsidRPr="4CAB3972">
        <w:rPr>
          <w:lang w:val="en-GB"/>
        </w:rPr>
        <w:t xml:space="preserve">ashboard. Reports </w:t>
      </w:r>
      <w:r w:rsidRPr="4CAB3972">
        <w:rPr>
          <w:lang w:val="en-GB"/>
        </w:rPr>
        <w:t xml:space="preserve">will also become minimal and </w:t>
      </w:r>
      <w:r w:rsidR="00925982" w:rsidRPr="4CAB3972">
        <w:rPr>
          <w:lang w:val="en-GB"/>
        </w:rPr>
        <w:t xml:space="preserve">kept </w:t>
      </w:r>
      <w:r w:rsidRPr="4CAB3972">
        <w:rPr>
          <w:lang w:val="en-GB"/>
        </w:rPr>
        <w:t>for persona</w:t>
      </w:r>
      <w:r w:rsidR="0D0F6BAC" w:rsidRPr="4CAB3972">
        <w:rPr>
          <w:lang w:val="en-GB"/>
        </w:rPr>
        <w:t>s</w:t>
      </w:r>
      <w:r w:rsidRPr="4CAB3972">
        <w:rPr>
          <w:lang w:val="en-GB"/>
        </w:rPr>
        <w:t xml:space="preserve"> </w:t>
      </w:r>
      <w:r w:rsidR="0039649D">
        <w:rPr>
          <w:lang w:val="en-GB"/>
        </w:rPr>
        <w:t xml:space="preserve">with no online access </w:t>
      </w:r>
      <w:r w:rsidRPr="4CAB3972">
        <w:rPr>
          <w:lang w:val="en-GB"/>
        </w:rPr>
        <w:t>and use case</w:t>
      </w:r>
      <w:r w:rsidR="112D9B61" w:rsidRPr="4CAB3972">
        <w:rPr>
          <w:lang w:val="en-GB"/>
        </w:rPr>
        <w:t>s</w:t>
      </w:r>
      <w:r w:rsidRPr="4CAB3972">
        <w:rPr>
          <w:lang w:val="en-GB"/>
        </w:rPr>
        <w:t xml:space="preserve"> where no </w:t>
      </w:r>
      <w:r w:rsidR="00925982" w:rsidRPr="4CAB3972">
        <w:rPr>
          <w:lang w:val="en-GB"/>
        </w:rPr>
        <w:t>interactivity</w:t>
      </w:r>
      <w:r w:rsidR="7FCBC305" w:rsidRPr="4CAB3972">
        <w:rPr>
          <w:lang w:val="en-GB"/>
        </w:rPr>
        <w:t xml:space="preserve"> is needed</w:t>
      </w:r>
      <w:r w:rsidRPr="4CAB3972">
        <w:rPr>
          <w:lang w:val="en-GB"/>
        </w:rPr>
        <w:t>.</w:t>
      </w:r>
    </w:p>
    <w:p w14:paraId="0C473751" w14:textId="77777777" w:rsidR="00D1502F" w:rsidRDefault="004C6DFB" w:rsidP="004C6DFB">
      <w:r>
        <w:t xml:space="preserve">The nature of alert means its use case is narrow. You do not want to run your operations based on alerts. Too many and you’re overwhelmed. Too few and you lack the </w:t>
      </w:r>
      <w:r w:rsidR="007E4714">
        <w:t>early warning</w:t>
      </w:r>
      <w:r>
        <w:t xml:space="preserve">. </w:t>
      </w:r>
    </w:p>
    <w:p w14:paraId="511DC71E" w14:textId="4501DFFB" w:rsidR="004C6DFB" w:rsidRDefault="00D1502F" w:rsidP="004C6DFB">
      <w:r>
        <w:t>Alert best practice</w:t>
      </w:r>
      <w:r w:rsidR="002B615E">
        <w:t>:</w:t>
      </w:r>
    </w:p>
    <w:p w14:paraId="0435407D" w14:textId="77777777" w:rsidR="00D1502F" w:rsidRDefault="00D1502F" w:rsidP="00D1502F">
      <w:pPr>
        <w:pStyle w:val="BeforeTable"/>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8471"/>
      </w:tblGrid>
      <w:tr w:rsidR="00D1502F" w:rsidRPr="00845361" w14:paraId="05A55BB2" w14:textId="77777777" w:rsidTr="00281329">
        <w:tc>
          <w:tcPr>
            <w:tcW w:w="1985" w:type="dxa"/>
            <w:tcBorders>
              <w:top w:val="single" w:sz="4" w:space="0" w:color="D9D9D9" w:themeColor="background1" w:themeShade="D9"/>
              <w:bottom w:val="single" w:sz="4" w:space="0" w:color="D9D9D9" w:themeColor="background1" w:themeShade="D9"/>
            </w:tcBorders>
            <w:shd w:val="clear" w:color="auto" w:fill="auto"/>
          </w:tcPr>
          <w:p w14:paraId="1D30B644" w14:textId="4B092641" w:rsidR="00D1502F" w:rsidRPr="004E02B5" w:rsidRDefault="00D1502F" w:rsidP="00281329">
            <w:pPr>
              <w:pStyle w:val="Tableheading"/>
              <w:jc w:val="left"/>
            </w:pPr>
            <w:r>
              <w:t>Urgent</w:t>
            </w:r>
          </w:p>
        </w:tc>
        <w:tc>
          <w:tcPr>
            <w:tcW w:w="8471" w:type="dxa"/>
            <w:tcBorders>
              <w:top w:val="single" w:sz="4" w:space="0" w:color="D9D9D9" w:themeColor="background1" w:themeShade="D9"/>
              <w:bottom w:val="single" w:sz="4" w:space="0" w:color="D9D9D9" w:themeColor="background1" w:themeShade="D9"/>
            </w:tcBorders>
            <w:shd w:val="clear" w:color="auto" w:fill="auto"/>
          </w:tcPr>
          <w:p w14:paraId="70CD0E2A" w14:textId="5B7D8D4E" w:rsidR="00D1502F" w:rsidRPr="00A54808" w:rsidRDefault="00D1502F" w:rsidP="00281329">
            <w:pPr>
              <w:pStyle w:val="Tablecontent"/>
            </w:pPr>
            <w:r>
              <w:t>If time is not an essence, then a regular SOP with dashboard is more effective as you can see the big picture. Avoid sending alerts to personas that do not deal with day-to-day operations. L</w:t>
            </w:r>
            <w:r w:rsidRPr="00DE25EE">
              <w:t>ong term action</w:t>
            </w:r>
            <w:r>
              <w:t>s</w:t>
            </w:r>
            <w:r w:rsidRPr="00DE25EE">
              <w:t xml:space="preserve"> such as </w:t>
            </w:r>
            <w:r>
              <w:t>c</w:t>
            </w:r>
            <w:r w:rsidRPr="00DE25EE">
              <w:t xml:space="preserve">apacity </w:t>
            </w:r>
            <w:r>
              <w:t xml:space="preserve">management </w:t>
            </w:r>
            <w:r w:rsidRPr="00DE25EE">
              <w:t>is</w:t>
            </w:r>
            <w:r>
              <w:t xml:space="preserve"> best served with dashboard</w:t>
            </w:r>
          </w:p>
        </w:tc>
      </w:tr>
      <w:tr w:rsidR="00D1502F" w:rsidRPr="00845361" w14:paraId="36376968" w14:textId="77777777" w:rsidTr="00281329">
        <w:tc>
          <w:tcPr>
            <w:tcW w:w="1985" w:type="dxa"/>
            <w:tcBorders>
              <w:top w:val="single" w:sz="4" w:space="0" w:color="D9D9D9" w:themeColor="background1" w:themeShade="D9"/>
              <w:bottom w:val="single" w:sz="4" w:space="0" w:color="D9D9D9" w:themeColor="background1" w:themeShade="D9"/>
            </w:tcBorders>
            <w:shd w:val="clear" w:color="auto" w:fill="auto"/>
          </w:tcPr>
          <w:p w14:paraId="019E5767" w14:textId="70F26766" w:rsidR="00D1502F" w:rsidRPr="004E02B5" w:rsidRDefault="00D1502F" w:rsidP="00281329">
            <w:pPr>
              <w:pStyle w:val="Tableheading"/>
              <w:jc w:val="left"/>
            </w:pPr>
            <w:r>
              <w:t>Problem</w:t>
            </w:r>
          </w:p>
        </w:tc>
        <w:tc>
          <w:tcPr>
            <w:tcW w:w="8471" w:type="dxa"/>
            <w:tcBorders>
              <w:top w:val="single" w:sz="4" w:space="0" w:color="D9D9D9" w:themeColor="background1" w:themeShade="D9"/>
              <w:bottom w:val="single" w:sz="4" w:space="0" w:color="D9D9D9" w:themeColor="background1" w:themeShade="D9"/>
            </w:tcBorders>
            <w:shd w:val="clear" w:color="auto" w:fill="auto"/>
          </w:tcPr>
          <w:p w14:paraId="328BBF52" w14:textId="7538BB90" w:rsidR="00D1502F" w:rsidRPr="00A54808" w:rsidRDefault="00D1502F" w:rsidP="00281329">
            <w:pPr>
              <w:pStyle w:val="Tablecontent"/>
            </w:pPr>
            <w:r>
              <w:t>If there is nothing wrong, there is no need to trigger an alert. That’s why in general you do not set up an alert on inventory changes, as inventory is merely an account of something.</w:t>
            </w:r>
          </w:p>
        </w:tc>
      </w:tr>
      <w:tr w:rsidR="00D1502F" w:rsidRPr="00845361" w14:paraId="52183F73" w14:textId="77777777" w:rsidTr="00281329">
        <w:tc>
          <w:tcPr>
            <w:tcW w:w="1985" w:type="dxa"/>
            <w:tcBorders>
              <w:top w:val="single" w:sz="4" w:space="0" w:color="D9D9D9" w:themeColor="background1" w:themeShade="D9"/>
              <w:bottom w:val="single" w:sz="4" w:space="0" w:color="D9D9D9" w:themeColor="background1" w:themeShade="D9"/>
            </w:tcBorders>
            <w:shd w:val="clear" w:color="auto" w:fill="auto"/>
          </w:tcPr>
          <w:p w14:paraId="57370428" w14:textId="0F7643D4" w:rsidR="00D1502F" w:rsidRPr="004E02B5" w:rsidRDefault="00D1502F" w:rsidP="00281329">
            <w:pPr>
              <w:pStyle w:val="Tableheading"/>
              <w:jc w:val="left"/>
            </w:pPr>
            <w:r>
              <w:t>Solvable</w:t>
            </w:r>
          </w:p>
        </w:tc>
        <w:tc>
          <w:tcPr>
            <w:tcW w:w="8471" w:type="dxa"/>
            <w:tcBorders>
              <w:top w:val="single" w:sz="4" w:space="0" w:color="D9D9D9" w:themeColor="background1" w:themeShade="D9"/>
              <w:bottom w:val="single" w:sz="4" w:space="0" w:color="D9D9D9" w:themeColor="background1" w:themeShade="D9"/>
            </w:tcBorders>
            <w:shd w:val="clear" w:color="auto" w:fill="auto"/>
          </w:tcPr>
          <w:p w14:paraId="74A75296" w14:textId="6F20E818" w:rsidR="00D1502F" w:rsidRPr="00A54808" w:rsidRDefault="00D1502F" w:rsidP="00281329">
            <w:pPr>
              <w:pStyle w:val="Tablecontent"/>
            </w:pPr>
            <w:r>
              <w:t xml:space="preserve">If there is nothing you can do immediately to address the issue, why trigger an alert? Use dashboard for such cases. </w:t>
            </w:r>
          </w:p>
        </w:tc>
      </w:tr>
      <w:tr w:rsidR="00D1502F" w:rsidRPr="00845361" w14:paraId="6CA7AC9E" w14:textId="77777777" w:rsidTr="00281329">
        <w:tc>
          <w:tcPr>
            <w:tcW w:w="1985" w:type="dxa"/>
            <w:tcBorders>
              <w:top w:val="single" w:sz="4" w:space="0" w:color="D9D9D9" w:themeColor="background1" w:themeShade="D9"/>
              <w:bottom w:val="single" w:sz="4" w:space="0" w:color="D9D9D9" w:themeColor="background1" w:themeShade="D9"/>
            </w:tcBorders>
            <w:shd w:val="clear" w:color="auto" w:fill="auto"/>
          </w:tcPr>
          <w:p w14:paraId="6010B0DF" w14:textId="2242C1F9" w:rsidR="00D1502F" w:rsidRPr="004E02B5" w:rsidRDefault="00D1502F" w:rsidP="00281329">
            <w:pPr>
              <w:pStyle w:val="Tableheading"/>
              <w:jc w:val="left"/>
            </w:pPr>
            <w:r>
              <w:t>Few</w:t>
            </w:r>
          </w:p>
        </w:tc>
        <w:tc>
          <w:tcPr>
            <w:tcW w:w="8471" w:type="dxa"/>
            <w:tcBorders>
              <w:top w:val="single" w:sz="4" w:space="0" w:color="D9D9D9" w:themeColor="background1" w:themeShade="D9"/>
              <w:bottom w:val="single" w:sz="4" w:space="0" w:color="D9D9D9" w:themeColor="background1" w:themeShade="D9"/>
            </w:tcBorders>
            <w:shd w:val="clear" w:color="auto" w:fill="auto"/>
          </w:tcPr>
          <w:p w14:paraId="7B5E531E" w14:textId="10B8C022" w:rsidR="00D1502F" w:rsidRPr="00A54808" w:rsidRDefault="00D1502F" w:rsidP="00281329">
            <w:pPr>
              <w:pStyle w:val="Tablecontent"/>
            </w:pPr>
            <w:r>
              <w:t>Alert focuses on exception, not the big picture. As a result, you want this to be minimal. If the whole house is on fire, it’s too late for an alert.</w:t>
            </w:r>
          </w:p>
        </w:tc>
      </w:tr>
    </w:tbl>
    <w:p w14:paraId="48A06254" w14:textId="3E0E449C" w:rsidR="00D1502F" w:rsidRDefault="00D1502F" w:rsidP="004C6DFB">
      <w:r>
        <w:t xml:space="preserve">Alert should not replace best practices. For examples, you should ensure </w:t>
      </w:r>
      <w:hyperlink r:id="rId973" w:history="1">
        <w:r w:rsidRPr="00D1502F">
          <w:rPr>
            <w:rStyle w:val="Hyperlink"/>
          </w:rPr>
          <w:t>VMware Tools</w:t>
        </w:r>
      </w:hyperlink>
      <w:r>
        <w:t xml:space="preserve"> are up to date. If you set an alert for outdated VMware Tools, you become reactive and may get excessive alert. Since it’s not urgent, it’s better to have a daily SOP where you have a list of VMs with outdated VMware Tools. Make sure the list is empty. </w:t>
      </w:r>
    </w:p>
    <w:p w14:paraId="17C895FA" w14:textId="3301016C" w:rsidR="004C6DFB" w:rsidRDefault="004C6DFB" w:rsidP="004C6DFB">
      <w:r>
        <w:t xml:space="preserve">At the other end of the spectrum lies </w:t>
      </w:r>
      <w:r w:rsidRPr="00983974">
        <w:rPr>
          <w:b/>
          <w:bCs/>
          <w:color w:val="00B0F0"/>
        </w:rPr>
        <w:t>Report</w:t>
      </w:r>
      <w:r>
        <w:t>. The nature of report means its use case is also narrow</w:t>
      </w:r>
      <w:r w:rsidR="00DF6F27">
        <w:t xml:space="preserve"> and specific</w:t>
      </w:r>
      <w:r>
        <w:t xml:space="preserve">. Modern operations require a richer interaction that report </w:t>
      </w:r>
      <w:r w:rsidR="004C4313">
        <w:t>lacks</w:t>
      </w:r>
      <w:r>
        <w:t>. Report is only applicable in the following situation:</w:t>
      </w:r>
    </w:p>
    <w:p w14:paraId="052E5664" w14:textId="11A00B35" w:rsidR="004C6DFB" w:rsidRDefault="004C6DFB" w:rsidP="004C6DFB">
      <w:pPr>
        <w:pStyle w:val="Bullet"/>
      </w:pPr>
      <w:r>
        <w:t>No</w:t>
      </w:r>
      <w:r w:rsidRPr="00DE25EE">
        <w:t xml:space="preserve"> interactivity</w:t>
      </w:r>
      <w:r>
        <w:t xml:space="preserve"> (e.g. users needs it delivered to their email inbox)</w:t>
      </w:r>
    </w:p>
    <w:p w14:paraId="0426F297" w14:textId="6EDE7F7D" w:rsidR="004C6DFB" w:rsidRDefault="004C6DFB" w:rsidP="004C6DFB">
      <w:pPr>
        <w:pStyle w:val="Bullet"/>
      </w:pPr>
      <w:r>
        <w:t>Offline (e.g. users are in a plane)</w:t>
      </w:r>
    </w:p>
    <w:p w14:paraId="68CDC330" w14:textId="53BFFABB" w:rsidR="004C6DFB" w:rsidRDefault="004C6DFB" w:rsidP="004C6DFB">
      <w:pPr>
        <w:pStyle w:val="Bullet"/>
      </w:pPr>
      <w:r>
        <w:t xml:space="preserve">No access to </w:t>
      </w:r>
      <w:r w:rsidR="00021348">
        <w:t>Aria Operations</w:t>
      </w:r>
    </w:p>
    <w:p w14:paraId="16811875" w14:textId="790CBE50" w:rsidR="004C6DFB" w:rsidRPr="00DE25EE" w:rsidRDefault="004C6DFB" w:rsidP="004C6DFB">
      <w:pPr>
        <w:pStyle w:val="Bullet"/>
      </w:pPr>
      <w:r>
        <w:t>Printed document</w:t>
      </w:r>
      <w:r w:rsidR="006A10A8">
        <w:t xml:space="preserve">. Take note you need to manually design the widget size to fit the paper. </w:t>
      </w:r>
    </w:p>
    <w:p w14:paraId="2F5AA955" w14:textId="1FB49290" w:rsidR="00021348" w:rsidRDefault="00021348" w:rsidP="004C6DFB">
      <w:pPr>
        <w:pStyle w:val="Bullet"/>
      </w:pPr>
      <w:r>
        <w:t xml:space="preserve">Historical copies at fixed interval. If you want </w:t>
      </w:r>
      <w:r w:rsidR="006A10A8">
        <w:t>to compare at fixed and regular interval, such as every week from Monday 00:00 hours to Sunday 00:00 hours, then it’s more convenient via report.</w:t>
      </w:r>
    </w:p>
    <w:p w14:paraId="5DB4E124" w14:textId="2835B482" w:rsidR="004C6DFB" w:rsidRDefault="004C6DFB" w:rsidP="004C6DFB">
      <w:pPr>
        <w:pStyle w:val="Bullet"/>
      </w:pPr>
      <w:r>
        <w:t>T</w:t>
      </w:r>
      <w:r w:rsidRPr="00DE25EE">
        <w:t>ime bound (e.g. calendar month)</w:t>
      </w:r>
      <w:r w:rsidR="00021348">
        <w:t>. You can do this in dashboard, but more effort.</w:t>
      </w:r>
    </w:p>
    <w:p w14:paraId="43F70E12" w14:textId="0EEC66FE" w:rsidR="004C6DFB" w:rsidRDefault="004C6DFB" w:rsidP="004C6DFB">
      <w:pPr>
        <w:pStyle w:val="Bullet"/>
      </w:pPr>
      <w:r>
        <w:t>Further analysis &amp; reporting (e.g. Finance team wants the data as part of their spreadsheet report)</w:t>
      </w:r>
    </w:p>
    <w:p w14:paraId="5BB540E9" w14:textId="6E2E0E72" w:rsidR="004C6DFB" w:rsidRPr="00DE25EE" w:rsidRDefault="004C6DFB" w:rsidP="004C6DFB">
      <w:r w:rsidRPr="00DE25EE">
        <w:t xml:space="preserve">Dashboards cover </w:t>
      </w:r>
      <w:r>
        <w:t>the broadest use cases as i</w:t>
      </w:r>
      <w:r w:rsidRPr="00DE25EE">
        <w:t xml:space="preserve">t’s </w:t>
      </w:r>
      <w:r>
        <w:t xml:space="preserve">the </w:t>
      </w:r>
      <w:r w:rsidRPr="00DE25EE">
        <w:t>most versatile.</w:t>
      </w:r>
      <w:r>
        <w:t xml:space="preserve"> </w:t>
      </w:r>
    </w:p>
    <w:p w14:paraId="2F84D65E" w14:textId="28E68123" w:rsidR="00D212EC" w:rsidRPr="00A452F2" w:rsidRDefault="00D212EC" w:rsidP="00AC0EE9">
      <w:pPr>
        <w:rPr>
          <w:lang w:val="en-GB"/>
        </w:rPr>
      </w:pPr>
      <w:r w:rsidRPr="4CAB3972">
        <w:rPr>
          <w:lang w:val="en-GB"/>
        </w:rPr>
        <w:t>The following table details how the 3 ways of engaging are compl</w:t>
      </w:r>
      <w:r w:rsidR="211D5279" w:rsidRPr="4CAB3972">
        <w:rPr>
          <w:lang w:val="en-GB"/>
        </w:rPr>
        <w:t>e</w:t>
      </w:r>
      <w:r w:rsidRPr="4CAB3972">
        <w:rPr>
          <w:lang w:val="en-GB"/>
        </w:rPr>
        <w:t>mentary</w:t>
      </w:r>
      <w:r w:rsidR="6C45808A" w:rsidRPr="4CAB3972">
        <w:rPr>
          <w:lang w:val="en-GB"/>
        </w:rPr>
        <w:t>.</w:t>
      </w:r>
    </w:p>
    <w:p w14:paraId="561D7A1F" w14:textId="5EC72561" w:rsidR="00DE25EE" w:rsidRDefault="00DE25EE" w:rsidP="00DE25EE">
      <w:r w:rsidRPr="00DE25EE">
        <w:rPr>
          <w:noProof/>
        </w:rPr>
        <w:lastRenderedPageBreak/>
        <w:drawing>
          <wp:inline distT="0" distB="0" distL="0" distR="0" wp14:anchorId="18F1E850" wp14:editId="794E7688">
            <wp:extent cx="6645910" cy="2719705"/>
            <wp:effectExtent l="0" t="0" r="2540" b="4445"/>
            <wp:docPr id="1293284811" name="Picture 1293284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4"/>
                    <a:stretch>
                      <a:fillRect/>
                    </a:stretch>
                  </pic:blipFill>
                  <pic:spPr>
                    <a:xfrm>
                      <a:off x="0" y="0"/>
                      <a:ext cx="6645910" cy="2719705"/>
                    </a:xfrm>
                    <a:prstGeom prst="rect">
                      <a:avLst/>
                    </a:prstGeom>
                  </pic:spPr>
                </pic:pic>
              </a:graphicData>
            </a:graphic>
          </wp:inline>
        </w:drawing>
      </w:r>
    </w:p>
    <w:p w14:paraId="6A21E1C5" w14:textId="07E3D658" w:rsidR="00DE25EE" w:rsidRDefault="004C6DFB" w:rsidP="00DE25EE">
      <w:r>
        <w:t>If user has access to the online via their desktop, c</w:t>
      </w:r>
      <w:r w:rsidR="00DE25EE">
        <w:t xml:space="preserve">onsider </w:t>
      </w:r>
      <w:r>
        <w:t xml:space="preserve">a </w:t>
      </w:r>
      <w:r w:rsidR="00DE25EE">
        <w:t>self-service dashboard as they require no login and it’s much easier to use. You can develop a portal with links to these dashboards and custom guide.</w:t>
      </w:r>
    </w:p>
    <w:p w14:paraId="64C664BA" w14:textId="74142FB3" w:rsidR="004774F6" w:rsidRDefault="004774F6" w:rsidP="00540F68">
      <w:pPr>
        <w:pStyle w:val="Heading3"/>
      </w:pPr>
      <w:r>
        <w:t>Dashboard</w:t>
      </w:r>
    </w:p>
    <w:p w14:paraId="3850EB64" w14:textId="77777777" w:rsidR="004774F6" w:rsidRDefault="004774F6" w:rsidP="004774F6">
      <w:pPr>
        <w:pStyle w:val="Heading4"/>
      </w:pPr>
      <w:r>
        <w:t>Proactive Daily Check</w:t>
      </w:r>
    </w:p>
    <w:p w14:paraId="13632A88" w14:textId="3392B3CF" w:rsidR="004774F6" w:rsidRDefault="00EA21E3" w:rsidP="004774F6">
      <w:pPr>
        <w:rPr>
          <w:lang w:val="en-GB" w:eastAsia="en-SG"/>
        </w:rPr>
      </w:pPr>
      <w:r>
        <w:rPr>
          <w:lang w:val="en-GB" w:eastAsia="en-SG"/>
        </w:rPr>
        <w:t>As insights</w:t>
      </w:r>
      <w:r w:rsidR="004774F6">
        <w:rPr>
          <w:lang w:val="en-GB" w:eastAsia="en-SG"/>
        </w:rPr>
        <w:t xml:space="preserve"> complements </w:t>
      </w:r>
      <w:r>
        <w:rPr>
          <w:lang w:val="en-GB" w:eastAsia="en-SG"/>
        </w:rPr>
        <w:t>alert, I recommend you open the 2 screens side by side. Simply open 2 browser windows</w:t>
      </w:r>
      <w:r w:rsidR="00302204">
        <w:rPr>
          <w:lang w:val="en-GB" w:eastAsia="en-SG"/>
        </w:rPr>
        <w:t>, as shown in the following screenshot.</w:t>
      </w:r>
    </w:p>
    <w:p w14:paraId="5E6356A8" w14:textId="77777777" w:rsidR="004774F6" w:rsidRPr="00786D74" w:rsidRDefault="004774F6" w:rsidP="004774F6">
      <w:pPr>
        <w:rPr>
          <w:lang w:val="en-GB" w:eastAsia="en-SG"/>
        </w:rPr>
      </w:pPr>
      <w:r w:rsidRPr="00234094">
        <w:rPr>
          <w:noProof/>
          <w:lang w:val="en-GB" w:eastAsia="en-SG"/>
        </w:rPr>
        <w:lastRenderedPageBreak/>
        <w:drawing>
          <wp:inline distT="0" distB="0" distL="0" distR="0" wp14:anchorId="4EADFABC" wp14:editId="0378DA9D">
            <wp:extent cx="6645910" cy="3757930"/>
            <wp:effectExtent l="0" t="0" r="2540" b="0"/>
            <wp:docPr id="1583707935" name="Picture 1583707935" descr="Graphical user interface, text, application, Wo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35" name="Picture 1583707935" descr="Graphical user interface, text, application, Word&#10;&#10;Description automatically generated"/>
                    <pic:cNvPicPr/>
                  </pic:nvPicPr>
                  <pic:blipFill>
                    <a:blip r:embed="rId975"/>
                    <a:stretch>
                      <a:fillRect/>
                    </a:stretch>
                  </pic:blipFill>
                  <pic:spPr>
                    <a:xfrm>
                      <a:off x="0" y="0"/>
                      <a:ext cx="6645910" cy="3757930"/>
                    </a:xfrm>
                    <a:prstGeom prst="rect">
                      <a:avLst/>
                    </a:prstGeom>
                  </pic:spPr>
                </pic:pic>
              </a:graphicData>
            </a:graphic>
          </wp:inline>
        </w:drawing>
      </w:r>
    </w:p>
    <w:p w14:paraId="3AC360A6" w14:textId="44E7AC9B" w:rsidR="004774F6" w:rsidRDefault="004774F6" w:rsidP="004774F6">
      <w:pPr>
        <w:rPr>
          <w:lang w:val="en-GB"/>
        </w:rPr>
      </w:pPr>
      <w:r w:rsidRPr="0031450E">
        <w:rPr>
          <w:color w:val="00B0F0"/>
          <w:lang w:val="en-GB"/>
        </w:rPr>
        <w:t xml:space="preserve">Operations Overview </w:t>
      </w:r>
      <w:r>
        <w:rPr>
          <w:lang w:val="en-GB"/>
        </w:rPr>
        <w:t xml:space="preserve">differs to </w:t>
      </w:r>
      <w:r w:rsidR="00EA21E3" w:rsidRPr="00EA21E3">
        <w:rPr>
          <w:color w:val="00B0F0"/>
          <w:lang w:val="en-GB"/>
        </w:rPr>
        <w:t>Proactive Daily Check</w:t>
      </w:r>
      <w:r w:rsidR="00EA21E3" w:rsidRPr="00EA21E3">
        <w:rPr>
          <w:lang w:val="en-GB"/>
        </w:rPr>
        <w:t xml:space="preserve"> </w:t>
      </w:r>
      <w:r>
        <w:rPr>
          <w:lang w:val="en-GB"/>
        </w:rPr>
        <w:t>as the former is designed for the manager. It’s designed for someone or persona that are not “</w:t>
      </w:r>
      <w:r w:rsidRPr="0031450E">
        <w:rPr>
          <w:color w:val="00B0F0"/>
          <w:lang w:val="en-GB"/>
        </w:rPr>
        <w:t>ground level</w:t>
      </w:r>
      <w:r>
        <w:rPr>
          <w:lang w:val="en-GB"/>
        </w:rPr>
        <w:t xml:space="preserve">”. The requirement varies among the persona if there are &gt;1 level of management. </w:t>
      </w:r>
    </w:p>
    <w:p w14:paraId="67CFBE14" w14:textId="18D73EA8" w:rsidR="00EA21E3" w:rsidRDefault="00EA21E3" w:rsidP="00EA21E3">
      <w:pPr>
        <w:rPr>
          <w:lang w:val="en-GB"/>
        </w:rPr>
      </w:pPr>
      <w:r w:rsidRPr="00EA21E3">
        <w:rPr>
          <w:color w:val="00B0F0"/>
          <w:lang w:val="en-GB"/>
        </w:rPr>
        <w:t>Proactive Daily Check</w:t>
      </w:r>
      <w:r w:rsidRPr="00EA21E3">
        <w:rPr>
          <w:lang w:val="en-GB"/>
        </w:rPr>
        <w:t xml:space="preserve"> </w:t>
      </w:r>
      <w:r>
        <w:rPr>
          <w:lang w:val="en-GB"/>
        </w:rPr>
        <w:t xml:space="preserve">is designed for </w:t>
      </w:r>
      <w:r w:rsidRPr="00253982">
        <w:rPr>
          <w:lang w:val="en-GB"/>
        </w:rPr>
        <w:t xml:space="preserve">seasoned users, who already </w:t>
      </w:r>
      <w:r w:rsidRPr="002F74AC">
        <w:rPr>
          <w:i/>
          <w:iCs/>
          <w:color w:val="00B0F0"/>
          <w:lang w:val="en-GB"/>
        </w:rPr>
        <w:t>know</w:t>
      </w:r>
      <w:r w:rsidRPr="002F74AC">
        <w:rPr>
          <w:color w:val="00B0F0"/>
          <w:lang w:val="en-GB"/>
        </w:rPr>
        <w:t xml:space="preserve"> </w:t>
      </w:r>
      <w:r w:rsidRPr="00253982">
        <w:rPr>
          <w:lang w:val="en-GB"/>
        </w:rPr>
        <w:t xml:space="preserve">the environment and are </w:t>
      </w:r>
      <w:r>
        <w:rPr>
          <w:lang w:val="en-GB"/>
        </w:rPr>
        <w:t>running</w:t>
      </w:r>
      <w:r w:rsidRPr="00253982">
        <w:rPr>
          <w:lang w:val="en-GB"/>
        </w:rPr>
        <w:t xml:space="preserve"> live operations. </w:t>
      </w:r>
      <w:r>
        <w:rPr>
          <w:lang w:val="en-GB"/>
        </w:rPr>
        <w:t>It focuses on the day to day operations, not the past nor the future (unless action needs to be taken today to avoid problem in the future). The timeline is practical, so something like -</w:t>
      </w:r>
      <w:r w:rsidR="00302204">
        <w:rPr>
          <w:lang w:val="en-GB"/>
        </w:rPr>
        <w:t>3</w:t>
      </w:r>
      <w:r>
        <w:rPr>
          <w:lang w:val="en-GB"/>
        </w:rPr>
        <w:t xml:space="preserve"> to +3 days are good, with default view set to now, or the last 8 hours.</w:t>
      </w:r>
    </w:p>
    <w:p w14:paraId="745F8D67" w14:textId="3CA4D43E" w:rsidR="004774F6" w:rsidRDefault="004774F6" w:rsidP="004774F6">
      <w:pPr>
        <w:rPr>
          <w:lang w:val="en-GB"/>
        </w:rPr>
      </w:pPr>
      <w:r>
        <w:rPr>
          <w:lang w:val="en-GB"/>
        </w:rPr>
        <w:t>By and large, your environment is good</w:t>
      </w:r>
      <w:r w:rsidR="00EA21E3">
        <w:rPr>
          <w:lang w:val="en-GB"/>
        </w:rPr>
        <w:t xml:space="preserve">, otherwise you’re not reading this specific chapter </w:t>
      </w:r>
      <w:r w:rsidR="00EA21E3" w:rsidRPr="00EA21E3">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r>
        <w:rPr>
          <w:lang w:val="en-GB"/>
        </w:rPr>
        <w:t xml:space="preserve">. If </w:t>
      </w:r>
      <w:r w:rsidR="00EA21E3">
        <w:rPr>
          <w:lang w:val="en-GB"/>
        </w:rPr>
        <w:t xml:space="preserve">it is </w:t>
      </w:r>
      <w:r>
        <w:rPr>
          <w:lang w:val="en-GB"/>
        </w:rPr>
        <w:t>not</w:t>
      </w:r>
      <w:r w:rsidR="00EA21E3">
        <w:rPr>
          <w:lang w:val="en-GB"/>
        </w:rPr>
        <w:t xml:space="preserve"> good</w:t>
      </w:r>
      <w:r>
        <w:rPr>
          <w:lang w:val="en-GB"/>
        </w:rPr>
        <w:t xml:space="preserve">, you have some knowledge on the problems as you need to explain it to your management. On this assumption, this dashboard </w:t>
      </w:r>
      <w:r w:rsidRPr="00253982">
        <w:rPr>
          <w:lang w:val="en-GB"/>
        </w:rPr>
        <w:t xml:space="preserve">focuses on things that need attention. </w:t>
      </w:r>
      <w:r>
        <w:rPr>
          <w:lang w:val="en-GB"/>
        </w:rPr>
        <w:t>I</w:t>
      </w:r>
      <w:r w:rsidRPr="00253982">
        <w:rPr>
          <w:lang w:val="en-GB"/>
        </w:rPr>
        <w:t xml:space="preserve">t complements </w:t>
      </w:r>
      <w:r>
        <w:rPr>
          <w:lang w:val="en-GB"/>
        </w:rPr>
        <w:t>a</w:t>
      </w:r>
      <w:r w:rsidRPr="00253982">
        <w:rPr>
          <w:lang w:val="en-GB"/>
        </w:rPr>
        <w:t>lerts</w:t>
      </w:r>
      <w:r>
        <w:rPr>
          <w:lang w:val="en-GB"/>
        </w:rPr>
        <w:t xml:space="preserve"> by showing insights (situation that has not triggered an alert) and show the overall picture. The overall picture is also useful as before you troubleshoot something specific you should ensure the issue is not with the overall environment. </w:t>
      </w:r>
    </w:p>
    <w:p w14:paraId="1A6F1003" w14:textId="77777777" w:rsidR="00967BB6" w:rsidRDefault="00967BB6" w:rsidP="00967BB6">
      <w:pPr>
        <w:pStyle w:val="BeforeTable"/>
        <w:rPr>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8471"/>
      </w:tblGrid>
      <w:tr w:rsidR="00967BB6" w:rsidRPr="00845361" w14:paraId="0AA4B8B7" w14:textId="77777777" w:rsidTr="00281329">
        <w:tc>
          <w:tcPr>
            <w:tcW w:w="1985"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14:paraId="09B4044C" w14:textId="77777777" w:rsidR="00967BB6" w:rsidRDefault="00967BB6" w:rsidP="00281329">
            <w:pPr>
              <w:pStyle w:val="Tableheading"/>
              <w:rPr>
                <w:rStyle w:val="eop"/>
              </w:rPr>
            </w:pPr>
            <w:r>
              <w:rPr>
                <w:rStyle w:val="eop"/>
              </w:rPr>
              <w:t>Area</w:t>
            </w:r>
          </w:p>
        </w:tc>
        <w:tc>
          <w:tcPr>
            <w:tcW w:w="8471"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14:paraId="5A159FEA" w14:textId="77777777" w:rsidR="00967BB6" w:rsidRDefault="00967BB6" w:rsidP="00281329">
            <w:pPr>
              <w:pStyle w:val="Tableheading"/>
            </w:pPr>
            <w:r>
              <w:t>Information that needs to be shown daily</w:t>
            </w:r>
          </w:p>
        </w:tc>
      </w:tr>
      <w:tr w:rsidR="00967BB6" w:rsidRPr="00845361" w14:paraId="074A9665" w14:textId="77777777" w:rsidTr="00281329">
        <w:tc>
          <w:tcPr>
            <w:tcW w:w="1985" w:type="dxa"/>
            <w:tcBorders>
              <w:top w:val="single" w:sz="4" w:space="0" w:color="D9D9D9" w:themeColor="background1" w:themeShade="D9"/>
              <w:bottom w:val="single" w:sz="4" w:space="0" w:color="D9D9D9" w:themeColor="background1" w:themeShade="D9"/>
            </w:tcBorders>
            <w:shd w:val="clear" w:color="auto" w:fill="auto"/>
          </w:tcPr>
          <w:p w14:paraId="6C4EFCC0" w14:textId="77777777" w:rsidR="00967BB6" w:rsidRPr="004E02B5" w:rsidRDefault="00967BB6" w:rsidP="00281329">
            <w:pPr>
              <w:pStyle w:val="Tableheading"/>
              <w:jc w:val="left"/>
            </w:pPr>
            <w:r>
              <w:rPr>
                <w:rStyle w:val="eop"/>
              </w:rPr>
              <w:t>Availability</w:t>
            </w:r>
          </w:p>
        </w:tc>
        <w:tc>
          <w:tcPr>
            <w:tcW w:w="8471" w:type="dxa"/>
            <w:tcBorders>
              <w:top w:val="single" w:sz="4" w:space="0" w:color="D9D9D9" w:themeColor="background1" w:themeShade="D9"/>
              <w:bottom w:val="single" w:sz="4" w:space="0" w:color="D9D9D9" w:themeColor="background1" w:themeShade="D9"/>
            </w:tcBorders>
            <w:shd w:val="clear" w:color="auto" w:fill="auto"/>
          </w:tcPr>
          <w:p w14:paraId="2D433B66" w14:textId="77777777" w:rsidR="00967BB6" w:rsidRPr="00A54808" w:rsidRDefault="00967BB6" w:rsidP="00281329">
            <w:pPr>
              <w:pStyle w:val="Tablecontent"/>
            </w:pPr>
            <w:r>
              <w:t>Powered on VM and ESXi hosts. The numbers should be within your expectation. For example, if there is a new cluster or many new VMs being provisioned last night, then they should be reflected accordingly.</w:t>
            </w:r>
          </w:p>
        </w:tc>
      </w:tr>
      <w:tr w:rsidR="00967BB6" w:rsidRPr="00845361" w14:paraId="49BB07CB" w14:textId="77777777" w:rsidTr="00281329">
        <w:tc>
          <w:tcPr>
            <w:tcW w:w="1985" w:type="dxa"/>
            <w:tcBorders>
              <w:top w:val="single" w:sz="4" w:space="0" w:color="D9D9D9" w:themeColor="background1" w:themeShade="D9"/>
              <w:bottom w:val="single" w:sz="4" w:space="0" w:color="D9D9D9" w:themeColor="background1" w:themeShade="D9"/>
            </w:tcBorders>
            <w:shd w:val="clear" w:color="auto" w:fill="auto"/>
          </w:tcPr>
          <w:p w14:paraId="5378481A" w14:textId="77777777" w:rsidR="00967BB6" w:rsidRDefault="00967BB6" w:rsidP="00281329">
            <w:pPr>
              <w:pStyle w:val="Tableheading"/>
              <w:jc w:val="left"/>
              <w:rPr>
                <w:rStyle w:val="eop"/>
              </w:rPr>
            </w:pPr>
            <w:r>
              <w:rPr>
                <w:rStyle w:val="eop"/>
              </w:rPr>
              <w:t>Performance</w:t>
            </w:r>
          </w:p>
        </w:tc>
        <w:tc>
          <w:tcPr>
            <w:tcW w:w="8471" w:type="dxa"/>
            <w:tcBorders>
              <w:top w:val="single" w:sz="4" w:space="0" w:color="D9D9D9" w:themeColor="background1" w:themeShade="D9"/>
              <w:bottom w:val="single" w:sz="4" w:space="0" w:color="D9D9D9" w:themeColor="background1" w:themeShade="D9"/>
            </w:tcBorders>
            <w:shd w:val="clear" w:color="auto" w:fill="auto"/>
          </w:tcPr>
          <w:p w14:paraId="4872FC1D" w14:textId="77777777" w:rsidR="00967BB6" w:rsidRDefault="00967BB6" w:rsidP="00281329">
            <w:pPr>
              <w:pStyle w:val="Tablecontent"/>
            </w:pPr>
            <w:r>
              <w:t xml:space="preserve">Average performance of consumer (VM) and providers (compute, network, storage). </w:t>
            </w:r>
          </w:p>
          <w:p w14:paraId="7E3EC93C" w14:textId="77777777" w:rsidR="00967BB6" w:rsidRPr="00A54808" w:rsidRDefault="00967BB6" w:rsidP="00281329">
            <w:pPr>
              <w:pStyle w:val="Tablecontent"/>
            </w:pPr>
            <w:r>
              <w:t>Total CPU, Memory, Disk and network utilization are included as major increase or decrease indicates serious problem.</w:t>
            </w:r>
          </w:p>
        </w:tc>
      </w:tr>
      <w:tr w:rsidR="00967BB6" w:rsidRPr="00845361" w14:paraId="1B86C178" w14:textId="77777777" w:rsidTr="00281329">
        <w:tc>
          <w:tcPr>
            <w:tcW w:w="1985" w:type="dxa"/>
            <w:tcBorders>
              <w:top w:val="single" w:sz="4" w:space="0" w:color="D9D9D9" w:themeColor="background1" w:themeShade="D9"/>
              <w:bottom w:val="single" w:sz="4" w:space="0" w:color="D9D9D9" w:themeColor="background1" w:themeShade="D9"/>
            </w:tcBorders>
            <w:shd w:val="clear" w:color="auto" w:fill="auto"/>
          </w:tcPr>
          <w:p w14:paraId="2726E079" w14:textId="77777777" w:rsidR="00967BB6" w:rsidRDefault="00967BB6" w:rsidP="00281329">
            <w:pPr>
              <w:pStyle w:val="Tableheading"/>
              <w:jc w:val="left"/>
              <w:rPr>
                <w:rStyle w:val="eop"/>
              </w:rPr>
            </w:pPr>
            <w:r>
              <w:rPr>
                <w:rStyle w:val="eop"/>
              </w:rPr>
              <w:t>Compliance</w:t>
            </w:r>
          </w:p>
        </w:tc>
        <w:tc>
          <w:tcPr>
            <w:tcW w:w="8471" w:type="dxa"/>
            <w:tcBorders>
              <w:top w:val="single" w:sz="4" w:space="0" w:color="D9D9D9" w:themeColor="background1" w:themeShade="D9"/>
              <w:bottom w:val="single" w:sz="4" w:space="0" w:color="D9D9D9" w:themeColor="background1" w:themeShade="D9"/>
            </w:tcBorders>
            <w:shd w:val="clear" w:color="auto" w:fill="auto"/>
          </w:tcPr>
          <w:p w14:paraId="197E40C0" w14:textId="77777777" w:rsidR="00967BB6" w:rsidRPr="00A54808" w:rsidRDefault="00967BB6" w:rsidP="00281329">
            <w:pPr>
              <w:pStyle w:val="Tablecontent"/>
            </w:pPr>
            <w:r>
              <w:t>Compliance status. Focus on the present, or at least the last 12 or 24 hours.</w:t>
            </w:r>
          </w:p>
        </w:tc>
      </w:tr>
    </w:tbl>
    <w:p w14:paraId="257F9FD1" w14:textId="5BA13B05" w:rsidR="004774F6" w:rsidRDefault="004774F6" w:rsidP="004774F6">
      <w:r>
        <w:t>To keep the focus, avoid having information that does not need to be acted on that day. Hence cost</w:t>
      </w:r>
      <w:r w:rsidR="00967BB6">
        <w:t>, capacity</w:t>
      </w:r>
      <w:r>
        <w:t xml:space="preserve"> or configuration are not something you typically place. </w:t>
      </w:r>
    </w:p>
    <w:p w14:paraId="64EB7611" w14:textId="77777777" w:rsidR="00967BB6" w:rsidRDefault="00967BB6" w:rsidP="00967BB6">
      <w:r>
        <w:lastRenderedPageBreak/>
        <w:t xml:space="preserve">You can see an example of a proactive daily check dashboard in the </w:t>
      </w:r>
      <w:hyperlink w:anchor="_VDI_&amp;_DaaS" w:history="1">
        <w:r w:rsidRPr="0031450E">
          <w:rPr>
            <w:rStyle w:val="Hyperlink"/>
          </w:rPr>
          <w:t>Horizon chapter</w:t>
        </w:r>
      </w:hyperlink>
      <w:r>
        <w:t xml:space="preserve">. I will cover vSphere daily check here as I don’t know where else to put it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2639"/>
          </mc:Choice>
          <mc:Fallback>
            <w:t>☹</w:t>
          </mc:Fallback>
        </mc:AlternateContent>
      </w:r>
    </w:p>
    <w:p w14:paraId="4E04753B" w14:textId="77777777" w:rsidR="00967BB6" w:rsidRDefault="00967BB6" w:rsidP="00967BB6">
      <w:pPr>
        <w:pStyle w:val="Heading4"/>
      </w:pPr>
      <w:r>
        <w:t>vSphere Daily Check</w:t>
      </w:r>
    </w:p>
    <w:p w14:paraId="1C122550" w14:textId="77777777" w:rsidR="00967BB6" w:rsidRPr="00BB7F10" w:rsidRDefault="00967BB6" w:rsidP="00967BB6">
      <w:pPr>
        <w:rPr>
          <w:lang w:val="en-GB" w:eastAsia="en-SG"/>
        </w:rPr>
      </w:pPr>
      <w:r>
        <w:rPr>
          <w:lang w:val="en-GB" w:eastAsia="en-SG"/>
        </w:rPr>
        <w:t>The first thing to check is the trend of alerts. Since you’re checking this daily or even more, the number gives you a good indicator of what’s ahead of you.</w:t>
      </w:r>
    </w:p>
    <w:p w14:paraId="7F2E2F79" w14:textId="77777777" w:rsidR="00967BB6" w:rsidRDefault="00967BB6" w:rsidP="00967BB6">
      <w:r w:rsidRPr="00D2330A">
        <w:rPr>
          <w:noProof/>
        </w:rPr>
        <w:drawing>
          <wp:inline distT="0" distB="0" distL="0" distR="0" wp14:anchorId="327E6FE4" wp14:editId="37975D4A">
            <wp:extent cx="6645910" cy="1275080"/>
            <wp:effectExtent l="0" t="0" r="2540" b="1270"/>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6"/>
                    <a:stretch>
                      <a:fillRect/>
                    </a:stretch>
                  </pic:blipFill>
                  <pic:spPr>
                    <a:xfrm>
                      <a:off x="0" y="0"/>
                      <a:ext cx="6645910" cy="1275080"/>
                    </a:xfrm>
                    <a:prstGeom prst="rect">
                      <a:avLst/>
                    </a:prstGeom>
                  </pic:spPr>
                </pic:pic>
              </a:graphicData>
            </a:graphic>
          </wp:inline>
        </w:drawing>
      </w:r>
    </w:p>
    <w:p w14:paraId="29E024C0" w14:textId="77777777" w:rsidR="00967BB6" w:rsidRDefault="00967BB6" w:rsidP="00967BB6">
      <w:r w:rsidRPr="00D2330A">
        <w:t>Is the trend unusual? Form an expectation of what’s normal for your environment  as it develops pattern. Compare it with what’s happening (e.g. DC upgrade, public holiday)</w:t>
      </w:r>
      <w:r>
        <w:t>.</w:t>
      </w:r>
    </w:p>
    <w:p w14:paraId="16EEB3E4" w14:textId="77777777" w:rsidR="00967BB6" w:rsidRPr="00D2330A" w:rsidRDefault="00967BB6" w:rsidP="00967BB6">
      <w:pPr>
        <w:rPr>
          <w:lang w:val="en-US"/>
        </w:rPr>
      </w:pPr>
      <w:r w:rsidRPr="00D2330A">
        <w:rPr>
          <w:lang w:val="en-US"/>
        </w:rPr>
        <w:t>What’s the overall IaaS performance among all the VMs? Is it a CPU, memory, disk problem?</w:t>
      </w:r>
      <w:r>
        <w:rPr>
          <w:lang w:val="en-US"/>
        </w:rPr>
        <w:t xml:space="preserve"> Expect the numbers to be within your expectation of that day.</w:t>
      </w:r>
    </w:p>
    <w:p w14:paraId="5E77F902" w14:textId="77777777" w:rsidR="00967BB6" w:rsidRDefault="00967BB6" w:rsidP="00967BB6">
      <w:r w:rsidRPr="00D2330A">
        <w:rPr>
          <w:noProof/>
        </w:rPr>
        <w:drawing>
          <wp:inline distT="0" distB="0" distL="0" distR="0" wp14:anchorId="44E2A318" wp14:editId="4597A6EF">
            <wp:extent cx="6645910" cy="1085215"/>
            <wp:effectExtent l="0" t="0" r="2540" b="635"/>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7"/>
                    <a:stretch>
                      <a:fillRect/>
                    </a:stretch>
                  </pic:blipFill>
                  <pic:spPr>
                    <a:xfrm>
                      <a:off x="0" y="0"/>
                      <a:ext cx="6645910" cy="1085215"/>
                    </a:xfrm>
                    <a:prstGeom prst="rect">
                      <a:avLst/>
                    </a:prstGeom>
                  </pic:spPr>
                </pic:pic>
              </a:graphicData>
            </a:graphic>
          </wp:inline>
        </w:drawing>
      </w:r>
    </w:p>
    <w:p w14:paraId="3B98B0FF" w14:textId="77777777" w:rsidR="00967BB6" w:rsidRPr="00BB7F10" w:rsidRDefault="00967BB6" w:rsidP="00967BB6">
      <w:pPr>
        <w:rPr>
          <w:lang w:val="en-US"/>
        </w:rPr>
      </w:pPr>
      <w:r>
        <w:t>Next is configuration. What are t</w:t>
      </w:r>
      <w:r w:rsidRPr="00BB7F10">
        <w:rPr>
          <w:lang w:val="en-US"/>
        </w:rPr>
        <w:t>ypical misconfiguration that cause performance problems</w:t>
      </w:r>
      <w:r>
        <w:rPr>
          <w:lang w:val="en-US"/>
        </w:rPr>
        <w:t>?</w:t>
      </w:r>
      <w:r w:rsidRPr="00BB7F10">
        <w:rPr>
          <w:lang w:val="en-US"/>
        </w:rPr>
        <w:t xml:space="preserve"> </w:t>
      </w:r>
    </w:p>
    <w:p w14:paraId="6BCAF65C" w14:textId="77777777" w:rsidR="00967BB6" w:rsidRDefault="00967BB6" w:rsidP="00967BB6">
      <w:r w:rsidRPr="00BB7F10">
        <w:rPr>
          <w:noProof/>
        </w:rPr>
        <w:drawing>
          <wp:inline distT="0" distB="0" distL="0" distR="0" wp14:anchorId="65EC0925" wp14:editId="2B27C6FB">
            <wp:extent cx="6645910" cy="948690"/>
            <wp:effectExtent l="0" t="0" r="2540" b="381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8"/>
                    <a:stretch>
                      <a:fillRect/>
                    </a:stretch>
                  </pic:blipFill>
                  <pic:spPr>
                    <a:xfrm>
                      <a:off x="0" y="0"/>
                      <a:ext cx="6645910" cy="948690"/>
                    </a:xfrm>
                    <a:prstGeom prst="rect">
                      <a:avLst/>
                    </a:prstGeom>
                  </pic:spPr>
                </pic:pic>
              </a:graphicData>
            </a:graphic>
          </wp:inline>
        </w:drawing>
      </w:r>
    </w:p>
    <w:p w14:paraId="645A0B73" w14:textId="77777777" w:rsidR="00967BB6" w:rsidRDefault="00967BB6" w:rsidP="00967BB6">
      <w:r>
        <w:t xml:space="preserve">Ideally the above returns 0 VMs. </w:t>
      </w:r>
    </w:p>
    <w:p w14:paraId="657FBB7E" w14:textId="4A7FA281" w:rsidR="00631547" w:rsidRDefault="00631547" w:rsidP="00967BB6">
      <w:r>
        <w:t>Customization Tips:</w:t>
      </w:r>
    </w:p>
    <w:p w14:paraId="1D8A1BA9" w14:textId="639D8028" w:rsidR="00631547" w:rsidRDefault="00631547" w:rsidP="00631547">
      <w:pPr>
        <w:pStyle w:val="Bullet"/>
      </w:pPr>
      <w:r>
        <w:t>If you operate a large environment, you can add a table of data centers so you can zoom into specific DC. You can even add vSphere Clusters in the table, just take note the table will be longer.</w:t>
      </w:r>
    </w:p>
    <w:p w14:paraId="2C4A5BAB" w14:textId="481D8601" w:rsidR="00631547" w:rsidRDefault="00631547" w:rsidP="00631547">
      <w:pPr>
        <w:pStyle w:val="Bullet"/>
      </w:pPr>
      <w:r>
        <w:t xml:space="preserve">One of the table member has to be vSphere World object. This lets you see the overall picture. </w:t>
      </w:r>
    </w:p>
    <w:p w14:paraId="2FAAA0B7" w14:textId="61D36426" w:rsidR="00631547" w:rsidRDefault="00631547" w:rsidP="00631547">
      <w:r>
        <w:t>The following is an example showing the table driving the 3 charts and 3 scoreboards. If you have the screen real estate, you can even customize to drive all the widgets.</w:t>
      </w:r>
    </w:p>
    <w:p w14:paraId="5C017F0B" w14:textId="3C073CAC" w:rsidR="00631547" w:rsidRDefault="00631547" w:rsidP="00967BB6">
      <w:r w:rsidRPr="00631547">
        <w:rPr>
          <w:noProof/>
        </w:rPr>
        <w:lastRenderedPageBreak/>
        <w:drawing>
          <wp:inline distT="0" distB="0" distL="0" distR="0" wp14:anchorId="7CAF76A9" wp14:editId="0EB81C41">
            <wp:extent cx="6645910" cy="2091690"/>
            <wp:effectExtent l="0" t="0" r="2540" b="3810"/>
            <wp:docPr id="1606338696" name="Picture 1606338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9"/>
                    <a:stretch>
                      <a:fillRect/>
                    </a:stretch>
                  </pic:blipFill>
                  <pic:spPr>
                    <a:xfrm>
                      <a:off x="0" y="0"/>
                      <a:ext cx="6645910" cy="2091690"/>
                    </a:xfrm>
                    <a:prstGeom prst="rect">
                      <a:avLst/>
                    </a:prstGeom>
                  </pic:spPr>
                </pic:pic>
              </a:graphicData>
            </a:graphic>
          </wp:inline>
        </w:drawing>
      </w:r>
    </w:p>
    <w:p w14:paraId="6D76277F" w14:textId="1CA0B30B" w:rsidR="00967BB6" w:rsidRDefault="00967BB6" w:rsidP="00967BB6">
      <w:r>
        <w:t>What are the i</w:t>
      </w:r>
      <w:r w:rsidRPr="00BB7F10">
        <w:t>mportant changes on VMs</w:t>
      </w:r>
      <w:r>
        <w:t>?</w:t>
      </w:r>
      <w:r w:rsidRPr="00BB7F10">
        <w:t xml:space="preserve"> Ensure they match </w:t>
      </w:r>
      <w:r>
        <w:t xml:space="preserve">the </w:t>
      </w:r>
      <w:r w:rsidRPr="00BB7F10">
        <w:t>expectation of the day</w:t>
      </w:r>
      <w:r>
        <w:t>.</w:t>
      </w:r>
    </w:p>
    <w:p w14:paraId="68D6227A" w14:textId="77777777" w:rsidR="00967BB6" w:rsidRDefault="00967BB6" w:rsidP="00967BB6">
      <w:r w:rsidRPr="00BB7F10">
        <w:rPr>
          <w:noProof/>
        </w:rPr>
        <w:drawing>
          <wp:inline distT="0" distB="0" distL="0" distR="0" wp14:anchorId="30094C4C" wp14:editId="6FC0D387">
            <wp:extent cx="6645910" cy="1394460"/>
            <wp:effectExtent l="0" t="0" r="2540" b="0"/>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0"/>
                    <a:stretch>
                      <a:fillRect/>
                    </a:stretch>
                  </pic:blipFill>
                  <pic:spPr>
                    <a:xfrm>
                      <a:off x="0" y="0"/>
                      <a:ext cx="6645910" cy="1394460"/>
                    </a:xfrm>
                    <a:prstGeom prst="rect">
                      <a:avLst/>
                    </a:prstGeom>
                  </pic:spPr>
                </pic:pic>
              </a:graphicData>
            </a:graphic>
          </wp:inline>
        </w:drawing>
      </w:r>
    </w:p>
    <w:p w14:paraId="390E01B6" w14:textId="7F2A1140" w:rsidR="00631547" w:rsidRDefault="00967BB6" w:rsidP="00967BB6">
      <w:r>
        <w:t xml:space="preserve">Next is the </w:t>
      </w:r>
      <w:r w:rsidRPr="00BB7F10">
        <w:t>overall performance. It should be stable or cyclical overtime</w:t>
      </w:r>
      <w:r>
        <w:t>.</w:t>
      </w:r>
    </w:p>
    <w:p w14:paraId="5EF5C586" w14:textId="1836CE02" w:rsidR="00967BB6" w:rsidRDefault="00967BB6" w:rsidP="00967BB6">
      <w:r w:rsidRPr="00BB7F10">
        <w:rPr>
          <w:noProof/>
        </w:rPr>
        <w:drawing>
          <wp:inline distT="0" distB="0" distL="0" distR="0" wp14:anchorId="537FCCAA" wp14:editId="68DB81E1">
            <wp:extent cx="6645910" cy="1111250"/>
            <wp:effectExtent l="0" t="0" r="2540" b="0"/>
            <wp:docPr id="1525330244" name="Picture 1525330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1"/>
                    <a:stretch>
                      <a:fillRect/>
                    </a:stretch>
                  </pic:blipFill>
                  <pic:spPr>
                    <a:xfrm>
                      <a:off x="0" y="0"/>
                      <a:ext cx="6645910" cy="1111250"/>
                    </a:xfrm>
                    <a:prstGeom prst="rect">
                      <a:avLst/>
                    </a:prstGeom>
                  </pic:spPr>
                </pic:pic>
              </a:graphicData>
            </a:graphic>
          </wp:inline>
        </w:drawing>
      </w:r>
    </w:p>
    <w:p w14:paraId="0989EA10" w14:textId="1FDA6768" w:rsidR="00631547" w:rsidRDefault="00631547" w:rsidP="00967BB6">
      <w:r>
        <w:t xml:space="preserve">The above metric is </w:t>
      </w:r>
      <w:r w:rsidR="004732DA">
        <w:t>explained in Part 2.</w:t>
      </w:r>
    </w:p>
    <w:p w14:paraId="15A78A9C" w14:textId="6A5C5404" w:rsidR="00967BB6" w:rsidRPr="00BB7F10" w:rsidRDefault="004732DA" w:rsidP="00967BB6">
      <w:pPr>
        <w:rPr>
          <w:lang w:val="en-US"/>
        </w:rPr>
      </w:pPr>
      <w:r>
        <w:rPr>
          <w:lang w:val="en-US"/>
        </w:rPr>
        <w:t>To complement the performance, we need to check utilization. We check the 4 elements of infrastructure. Since t</w:t>
      </w:r>
      <w:r w:rsidR="00967BB6" w:rsidRPr="00BB7F10">
        <w:rPr>
          <w:lang w:val="en-US"/>
        </w:rPr>
        <w:t>his is the overall utilizatio</w:t>
      </w:r>
      <w:r>
        <w:rPr>
          <w:lang w:val="en-US"/>
        </w:rPr>
        <w:t>n, i</w:t>
      </w:r>
      <w:r w:rsidR="00967BB6" w:rsidRPr="00BB7F10">
        <w:rPr>
          <w:lang w:val="en-US"/>
        </w:rPr>
        <w:t>t should be stable or cyclical overtime</w:t>
      </w:r>
      <w:r>
        <w:rPr>
          <w:lang w:val="en-US"/>
        </w:rPr>
        <w:t>. Make sure both the pattern and the amount are in-line with your expectation of that day.</w:t>
      </w:r>
    </w:p>
    <w:p w14:paraId="577D4FD9" w14:textId="77777777" w:rsidR="00967BB6" w:rsidRDefault="00967BB6" w:rsidP="00967BB6">
      <w:r w:rsidRPr="00BB7F10">
        <w:rPr>
          <w:noProof/>
        </w:rPr>
        <w:drawing>
          <wp:inline distT="0" distB="0" distL="0" distR="0" wp14:anchorId="481272B3" wp14:editId="06C70E54">
            <wp:extent cx="6645910" cy="1135380"/>
            <wp:effectExtent l="0" t="0" r="2540" b="7620"/>
            <wp:docPr id="1971069026" name="Picture 1971069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2"/>
                    <a:stretch>
                      <a:fillRect/>
                    </a:stretch>
                  </pic:blipFill>
                  <pic:spPr>
                    <a:xfrm>
                      <a:off x="0" y="0"/>
                      <a:ext cx="6645910" cy="1135380"/>
                    </a:xfrm>
                    <a:prstGeom prst="rect">
                      <a:avLst/>
                    </a:prstGeom>
                  </pic:spPr>
                </pic:pic>
              </a:graphicData>
            </a:graphic>
          </wp:inline>
        </w:drawing>
      </w:r>
    </w:p>
    <w:p w14:paraId="7D6D151D" w14:textId="735AA795" w:rsidR="00967BB6" w:rsidRPr="00BB7F10" w:rsidRDefault="004732DA" w:rsidP="00967BB6">
      <w:pPr>
        <w:rPr>
          <w:lang w:val="en-US"/>
        </w:rPr>
      </w:pPr>
      <w:r>
        <w:rPr>
          <w:lang w:val="en-US"/>
        </w:rPr>
        <w:t>The last part of the dashboards show the b</w:t>
      </w:r>
      <w:r w:rsidR="00967BB6" w:rsidRPr="00BB7F10">
        <w:rPr>
          <w:lang w:val="en-US"/>
        </w:rPr>
        <w:t xml:space="preserve">asic counters. </w:t>
      </w:r>
      <w:r>
        <w:rPr>
          <w:lang w:val="en-US"/>
        </w:rPr>
        <w:t>Again, it s</w:t>
      </w:r>
      <w:r w:rsidR="00967BB6" w:rsidRPr="00BB7F10">
        <w:rPr>
          <w:lang w:val="en-US"/>
        </w:rPr>
        <w:t>hould be stable or move as expected</w:t>
      </w:r>
    </w:p>
    <w:p w14:paraId="5CCFFF35" w14:textId="77777777" w:rsidR="00967BB6" w:rsidRDefault="00967BB6" w:rsidP="00967BB6">
      <w:r w:rsidRPr="00BB7F10">
        <w:rPr>
          <w:noProof/>
        </w:rPr>
        <w:drawing>
          <wp:inline distT="0" distB="0" distL="0" distR="0" wp14:anchorId="1D7D6311" wp14:editId="6E4E3FA4">
            <wp:extent cx="6645910" cy="814070"/>
            <wp:effectExtent l="0" t="0" r="2540" b="5080"/>
            <wp:docPr id="1971069030" name="Picture 1971069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3"/>
                    <a:stretch>
                      <a:fillRect/>
                    </a:stretch>
                  </pic:blipFill>
                  <pic:spPr>
                    <a:xfrm>
                      <a:off x="0" y="0"/>
                      <a:ext cx="6645910" cy="814070"/>
                    </a:xfrm>
                    <a:prstGeom prst="rect">
                      <a:avLst/>
                    </a:prstGeom>
                  </pic:spPr>
                </pic:pic>
              </a:graphicData>
            </a:graphic>
          </wp:inline>
        </w:drawing>
      </w:r>
    </w:p>
    <w:p w14:paraId="73A058FD" w14:textId="77777777" w:rsidR="00967BB6" w:rsidRDefault="00967BB6" w:rsidP="00967BB6">
      <w:pPr>
        <w:pStyle w:val="Heading4"/>
      </w:pPr>
      <w:r>
        <w:lastRenderedPageBreak/>
        <w:t>vSphere Daily Log Check</w:t>
      </w:r>
    </w:p>
    <w:p w14:paraId="6982DCDE" w14:textId="77777777" w:rsidR="00967BB6" w:rsidRDefault="00967BB6" w:rsidP="00967BB6">
      <w:pPr>
        <w:rPr>
          <w:lang w:val="en-GB" w:eastAsia="en-SG"/>
        </w:rPr>
      </w:pPr>
      <w:r>
        <w:rPr>
          <w:lang w:val="en-GB" w:eastAsia="en-SG"/>
        </w:rPr>
        <w:t>A lot of information is only available in the form of logs. Use a daily Log Insight dashboard to perform basic hygiene, such as:</w:t>
      </w:r>
    </w:p>
    <w:p w14:paraId="5C600D55" w14:textId="77777777" w:rsidR="00967BB6" w:rsidRDefault="00967BB6" w:rsidP="00967BB6">
      <w:pPr>
        <w:pStyle w:val="Bullet"/>
        <w:rPr>
          <w:lang w:val="en-GB" w:eastAsia="en-SG"/>
        </w:rPr>
      </w:pPr>
      <w:r w:rsidRPr="00F002FD">
        <w:rPr>
          <w:lang w:val="en-GB" w:eastAsia="en-SG"/>
        </w:rPr>
        <w:t>Undesirable VMs events.</w:t>
      </w:r>
      <w:r>
        <w:rPr>
          <w:lang w:val="en-GB" w:eastAsia="en-SG"/>
        </w:rPr>
        <w:t xml:space="preserve"> </w:t>
      </w:r>
      <w:r w:rsidRPr="00F002FD">
        <w:rPr>
          <w:lang w:val="en-GB" w:eastAsia="en-SG"/>
        </w:rPr>
        <w:t xml:space="preserve">Are they inline with your expectation? </w:t>
      </w:r>
      <w:r>
        <w:rPr>
          <w:lang w:val="en-GB" w:eastAsia="en-SG"/>
        </w:rPr>
        <w:t xml:space="preserve">That means the correct </w:t>
      </w:r>
      <w:r w:rsidRPr="00F002FD">
        <w:rPr>
          <w:lang w:val="en-GB" w:eastAsia="en-SG"/>
        </w:rPr>
        <w:t>amount and right timing</w:t>
      </w:r>
      <w:r>
        <w:rPr>
          <w:lang w:val="en-GB" w:eastAsia="en-SG"/>
        </w:rPr>
        <w:t>.</w:t>
      </w:r>
      <w:r w:rsidRPr="00F002FD">
        <w:rPr>
          <w:lang w:val="en-GB" w:eastAsia="en-SG"/>
        </w:rPr>
        <w:t xml:space="preserve"> Harmless events such as VM relocation, snapshot, powered on were filtered out</w:t>
      </w:r>
      <w:r>
        <w:rPr>
          <w:lang w:val="en-GB" w:eastAsia="en-SG"/>
        </w:rPr>
        <w:t xml:space="preserve"> from the dashboard.</w:t>
      </w:r>
    </w:p>
    <w:p w14:paraId="6BEC6A2A" w14:textId="77777777" w:rsidR="00967BB6" w:rsidRDefault="00967BB6" w:rsidP="00967BB6">
      <w:pPr>
        <w:pStyle w:val="Bullet"/>
        <w:rPr>
          <w:lang w:val="en-GB" w:eastAsia="en-SG"/>
        </w:rPr>
      </w:pPr>
      <w:r w:rsidRPr="00F002FD">
        <w:rPr>
          <w:lang w:val="en-GB" w:eastAsia="en-SG"/>
        </w:rPr>
        <w:t>Undesirable VM changes &amp; Snapshot. Are they inline with your expectation? Harmless changes filtered out. Are changes and snapshot taken during office hours?</w:t>
      </w:r>
    </w:p>
    <w:p w14:paraId="67B1C9DD" w14:textId="77777777" w:rsidR="00967BB6" w:rsidRPr="00F002FD" w:rsidRDefault="00967BB6" w:rsidP="00967BB6">
      <w:pPr>
        <w:pStyle w:val="Bullet"/>
        <w:rPr>
          <w:lang w:val="en-GB" w:eastAsia="en-SG"/>
        </w:rPr>
      </w:pPr>
      <w:r w:rsidRPr="00F002FD">
        <w:rPr>
          <w:lang w:val="en-GB" w:eastAsia="en-SG"/>
        </w:rPr>
        <w:t>Issue. vCenter Alarms, vCenter tasks that ended with error, and ESXi potential problems.</w:t>
      </w:r>
    </w:p>
    <w:p w14:paraId="2A99FFD3" w14:textId="77777777" w:rsidR="00967BB6" w:rsidRDefault="00967BB6" w:rsidP="00967BB6">
      <w:pPr>
        <w:pStyle w:val="Bullet"/>
        <w:rPr>
          <w:lang w:val="en-GB" w:eastAsia="en-SG"/>
        </w:rPr>
      </w:pPr>
      <w:r w:rsidRPr="00F002FD">
        <w:rPr>
          <w:lang w:val="en-GB" w:eastAsia="en-SG"/>
        </w:rPr>
        <w:t>Security. Any malicious changes? Anyone issuing shell commands at ESXi console? Login by root?</w:t>
      </w:r>
    </w:p>
    <w:p w14:paraId="70F801A3" w14:textId="77777777" w:rsidR="00967BB6" w:rsidRPr="00F002FD" w:rsidRDefault="00967BB6" w:rsidP="00967BB6">
      <w:pPr>
        <w:pStyle w:val="Bullet"/>
        <w:rPr>
          <w:lang w:val="en-GB" w:eastAsia="en-SG"/>
        </w:rPr>
      </w:pPr>
      <w:r w:rsidRPr="00F002FD">
        <w:rPr>
          <w:lang w:val="en-GB" w:eastAsia="en-SG"/>
        </w:rPr>
        <w:t>vMotion. This is a leading indicator of a larger performance issue. Is the bandwidth lower than expected? Is the downtime longer than expected? Some clusters did a lot more vMotion than usual?</w:t>
      </w:r>
    </w:p>
    <w:p w14:paraId="7563CF0F" w14:textId="77777777" w:rsidR="00967BB6" w:rsidRDefault="00967BB6" w:rsidP="00967BB6">
      <w:r w:rsidRPr="00BB7F10">
        <w:rPr>
          <w:noProof/>
        </w:rPr>
        <w:drawing>
          <wp:inline distT="0" distB="0" distL="0" distR="0" wp14:anchorId="110B749A" wp14:editId="7F84FF0C">
            <wp:extent cx="6645910" cy="2988945"/>
            <wp:effectExtent l="0" t="0" r="2540" b="1905"/>
            <wp:docPr id="1971069034" name="Picture 1971069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4"/>
                    <a:stretch>
                      <a:fillRect/>
                    </a:stretch>
                  </pic:blipFill>
                  <pic:spPr>
                    <a:xfrm>
                      <a:off x="0" y="0"/>
                      <a:ext cx="6645910" cy="2988945"/>
                    </a:xfrm>
                    <a:prstGeom prst="rect">
                      <a:avLst/>
                    </a:prstGeom>
                  </pic:spPr>
                </pic:pic>
              </a:graphicData>
            </a:graphic>
          </wp:inline>
        </w:drawing>
      </w:r>
    </w:p>
    <w:p w14:paraId="04C75785" w14:textId="7499BA3B" w:rsidR="0048230C" w:rsidRDefault="0048230C" w:rsidP="00540F68">
      <w:pPr>
        <w:pStyle w:val="Heading3"/>
      </w:pPr>
      <w:r>
        <w:t>Aler</w:t>
      </w:r>
      <w:r w:rsidR="00FD1A9D">
        <w:t>t</w:t>
      </w:r>
    </w:p>
    <w:p w14:paraId="6EB61BB2" w14:textId="2672A5D8" w:rsidR="00B552F6" w:rsidRDefault="00B552F6" w:rsidP="00B552F6">
      <w:pPr>
        <w:rPr>
          <w:lang w:val="en-GB"/>
        </w:rPr>
      </w:pPr>
      <w:r>
        <w:rPr>
          <w:lang w:val="en-GB"/>
        </w:rPr>
        <w:t xml:space="preserve">Alert should be triggered on </w:t>
      </w:r>
      <w:r w:rsidR="001C6F01">
        <w:rPr>
          <w:lang w:val="en-GB"/>
        </w:rPr>
        <w:t>all affected</w:t>
      </w:r>
      <w:r>
        <w:rPr>
          <w:lang w:val="en-GB"/>
        </w:rPr>
        <w:t xml:space="preserve"> object</w:t>
      </w:r>
      <w:r w:rsidR="001C6F01">
        <w:rPr>
          <w:lang w:val="en-GB"/>
        </w:rPr>
        <w:t>s, both the victims and the villain</w:t>
      </w:r>
      <w:r w:rsidR="00B37CA4">
        <w:rPr>
          <w:lang w:val="en-GB"/>
        </w:rPr>
        <w:t>. It is common that a failure at the lowest</w:t>
      </w:r>
      <w:r>
        <w:rPr>
          <w:lang w:val="en-GB"/>
        </w:rPr>
        <w:t xml:space="preserve"> </w:t>
      </w:r>
      <w:r w:rsidR="00B37CA4">
        <w:rPr>
          <w:lang w:val="en-GB"/>
        </w:rPr>
        <w:t xml:space="preserve">ripples through the upper layers. For example, a physical disk failure in an ESXi host in a vSAN cluster. </w:t>
      </w:r>
      <w:r w:rsidR="00742AAF">
        <w:rPr>
          <w:lang w:val="en-GB"/>
        </w:rPr>
        <w:t>This in turn can bring do</w:t>
      </w:r>
      <w:r w:rsidR="00AF792D">
        <w:rPr>
          <w:lang w:val="en-GB"/>
        </w:rPr>
        <w:t xml:space="preserve">wn an entire vSAN disk group. If the ESXi host has only 1 disk group, it can </w:t>
      </w:r>
      <w:r w:rsidR="00580F02">
        <w:rPr>
          <w:lang w:val="en-GB"/>
        </w:rPr>
        <w:t xml:space="preserve">impact the host as it will have no storage. </w:t>
      </w:r>
    </w:p>
    <w:p w14:paraId="17512590" w14:textId="615EC668" w:rsidR="00A2147D" w:rsidRPr="00B552F6" w:rsidRDefault="00A2147D" w:rsidP="00B552F6">
      <w:pPr>
        <w:rPr>
          <w:lang w:val="en-GB"/>
        </w:rPr>
      </w:pPr>
      <w:r>
        <w:rPr>
          <w:lang w:val="en-GB"/>
        </w:rPr>
        <w:t xml:space="preserve">For contention, make sure the issue is both acute and sustained over at least 5 minutes </w:t>
      </w:r>
    </w:p>
    <w:p w14:paraId="3C1B56C4" w14:textId="77777777" w:rsidR="001D546D" w:rsidRDefault="001D546D" w:rsidP="001D546D">
      <w:pPr>
        <w:pStyle w:val="Heading4"/>
      </w:pPr>
      <w:r>
        <w:lastRenderedPageBreak/>
        <w:t>Alerts Planning</w:t>
      </w:r>
    </w:p>
    <w:p w14:paraId="7FDC7730" w14:textId="77777777" w:rsidR="001D546D" w:rsidRDefault="001D546D" w:rsidP="001D546D">
      <w:r>
        <w:t>Your goal is to minimize alerts storm while providing the greatest coverage. This calls for a careful planning on the alert definition, symptom and threshold.</w:t>
      </w:r>
    </w:p>
    <w:p w14:paraId="47D57269" w14:textId="77777777" w:rsidR="001D546D" w:rsidRDefault="001D546D" w:rsidP="001D546D">
      <w:r>
        <w:t>For each alert, ask yourself: what remediation action will be taken by the person seeing the alert?</w:t>
      </w:r>
    </w:p>
    <w:p w14:paraId="6292F74A" w14:textId="77777777" w:rsidR="001D546D" w:rsidRDefault="001D546D" w:rsidP="001D546D">
      <w:pPr>
        <w:pStyle w:val="Bullet"/>
      </w:pPr>
      <w:r>
        <w:t>If the answer is nothing, then why have the alert? Using a dashboard can give better picture.</w:t>
      </w:r>
    </w:p>
    <w:p w14:paraId="3B25C739" w14:textId="77777777" w:rsidR="001D546D" w:rsidRDefault="001D546D" w:rsidP="001D546D">
      <w:pPr>
        <w:pStyle w:val="Bullet"/>
      </w:pPr>
      <w:r>
        <w:t xml:space="preserve">If the answer is something, can that be automated? Be careful of simplified logic as computer has no common sense. An automation that is not fool proof can result in a disaster. </w:t>
      </w:r>
    </w:p>
    <w:p w14:paraId="33589A6B" w14:textId="77777777" w:rsidR="001D546D" w:rsidRDefault="001D546D" w:rsidP="001D546D">
      <w:r>
        <w:t xml:space="preserve">If the answer is escalating to the next level (e.g. Level 2 support) after adding some context and initial analysis, then it depends on the urgency. Generally speaking, L2 has longer time lines and need to see bigger picture. In this case, a daily dashboard that they can check once or twice a day is more effective. </w:t>
      </w:r>
    </w:p>
    <w:p w14:paraId="6928C400" w14:textId="77777777" w:rsidR="001D546D" w:rsidRDefault="001D546D" w:rsidP="001D546D">
      <w:r>
        <w:t>What areas do you want to monitor with alerts? There are 5 pillars of Operations Management, so it’s easy to confuse when designing the alerts definition.</w:t>
      </w:r>
    </w:p>
    <w:p w14:paraId="5BF418A1" w14:textId="77777777" w:rsidR="001D546D" w:rsidRDefault="001D546D" w:rsidP="001D546D">
      <w:pPr>
        <w:pStyle w:val="BeforeTable"/>
      </w:pPr>
    </w:p>
    <w:tbl>
      <w:tblPr>
        <w:tblStyle w:val="TableGrid"/>
        <w:tblW w:w="0" w:type="auto"/>
        <w:tblBorders>
          <w:top w:val="single" w:sz="4" w:space="0" w:color="BFBFBF" w:themeColor="background1" w:themeShade="BF"/>
          <w:left w:val="none" w:sz="0" w:space="0" w:color="auto"/>
          <w:bottom w:val="single" w:sz="4" w:space="0" w:color="BFBFBF" w:themeColor="background1" w:themeShade="BF"/>
          <w:right w:val="none" w:sz="0" w:space="0" w:color="auto"/>
          <w:insideH w:val="single" w:sz="4" w:space="0" w:color="BFBFBF" w:themeColor="background1" w:themeShade="BF"/>
          <w:insideV w:val="none" w:sz="0" w:space="0" w:color="auto"/>
        </w:tblBorders>
        <w:tblLook w:val="04A0" w:firstRow="1" w:lastRow="0" w:firstColumn="1" w:lastColumn="0" w:noHBand="0" w:noVBand="1"/>
      </w:tblPr>
      <w:tblGrid>
        <w:gridCol w:w="1843"/>
        <w:gridCol w:w="8613"/>
      </w:tblGrid>
      <w:tr w:rsidR="001D546D" w14:paraId="23E39600" w14:textId="77777777" w:rsidTr="00281329">
        <w:tc>
          <w:tcPr>
            <w:tcW w:w="1843" w:type="dxa"/>
            <w:shd w:val="clear" w:color="auto" w:fill="F2F2F2" w:themeFill="background1" w:themeFillShade="F2"/>
          </w:tcPr>
          <w:p w14:paraId="3E61B028" w14:textId="77777777" w:rsidR="001D546D" w:rsidRPr="006C54B4" w:rsidRDefault="001D546D" w:rsidP="00281329">
            <w:pPr>
              <w:pStyle w:val="Tablecontent"/>
              <w:rPr>
                <w:b/>
                <w:bCs/>
              </w:rPr>
            </w:pPr>
            <w:r w:rsidRPr="006C54B4">
              <w:rPr>
                <w:b/>
                <w:bCs/>
              </w:rPr>
              <w:t>Availability</w:t>
            </w:r>
          </w:p>
        </w:tc>
        <w:tc>
          <w:tcPr>
            <w:tcW w:w="8613" w:type="dxa"/>
          </w:tcPr>
          <w:p w14:paraId="44AFB5F0" w14:textId="77777777" w:rsidR="001D546D" w:rsidRDefault="001D546D" w:rsidP="00281329">
            <w:pPr>
              <w:pStyle w:val="Tablecontent"/>
            </w:pPr>
            <w:r>
              <w:t xml:space="preserve">You can minimize reactive operations by tracking soft errors, having proactive hardware replacement and ensuring software stack compatibility. </w:t>
            </w:r>
          </w:p>
        </w:tc>
      </w:tr>
      <w:tr w:rsidR="001D546D" w14:paraId="324628A2" w14:textId="77777777" w:rsidTr="00281329">
        <w:tc>
          <w:tcPr>
            <w:tcW w:w="1843" w:type="dxa"/>
            <w:shd w:val="clear" w:color="auto" w:fill="F2F2F2" w:themeFill="background1" w:themeFillShade="F2"/>
          </w:tcPr>
          <w:p w14:paraId="6CFE415C" w14:textId="77777777" w:rsidR="001D546D" w:rsidRPr="006C54B4" w:rsidRDefault="001D546D" w:rsidP="00281329">
            <w:pPr>
              <w:pStyle w:val="Tablecontent"/>
              <w:rPr>
                <w:b/>
                <w:bCs/>
              </w:rPr>
            </w:pPr>
            <w:r>
              <w:rPr>
                <w:b/>
                <w:bCs/>
              </w:rPr>
              <w:t>Performance</w:t>
            </w:r>
          </w:p>
        </w:tc>
        <w:tc>
          <w:tcPr>
            <w:tcW w:w="8613" w:type="dxa"/>
          </w:tcPr>
          <w:p w14:paraId="711E4B93" w14:textId="77777777" w:rsidR="001D546D" w:rsidRDefault="001D546D" w:rsidP="00281329">
            <w:pPr>
              <w:pStyle w:val="Tablecontent"/>
            </w:pPr>
            <w:r>
              <w:t xml:space="preserve">You minimize reactive operations not by using lower threshold, but by tracking early warning metrics. </w:t>
            </w:r>
          </w:p>
        </w:tc>
      </w:tr>
      <w:tr w:rsidR="001D546D" w14:paraId="757FCD69" w14:textId="77777777" w:rsidTr="00281329">
        <w:tc>
          <w:tcPr>
            <w:tcW w:w="1843" w:type="dxa"/>
            <w:shd w:val="clear" w:color="auto" w:fill="F2F2F2" w:themeFill="background1" w:themeFillShade="F2"/>
          </w:tcPr>
          <w:p w14:paraId="4891ADC9" w14:textId="77777777" w:rsidR="001D546D" w:rsidRDefault="001D546D" w:rsidP="00281329">
            <w:pPr>
              <w:pStyle w:val="Tablecontent"/>
              <w:rPr>
                <w:b/>
                <w:bCs/>
              </w:rPr>
            </w:pPr>
            <w:r>
              <w:rPr>
                <w:b/>
                <w:bCs/>
              </w:rPr>
              <w:t>Capacity</w:t>
            </w:r>
          </w:p>
        </w:tc>
        <w:tc>
          <w:tcPr>
            <w:tcW w:w="8613" w:type="dxa"/>
          </w:tcPr>
          <w:p w14:paraId="17C4D72E" w14:textId="77777777" w:rsidR="001D546D" w:rsidRDefault="001D546D" w:rsidP="00281329">
            <w:pPr>
              <w:pStyle w:val="Tablecontent"/>
            </w:pPr>
            <w:r>
              <w:t>This is often mistaken as performance problem, as high utilization is a common alert.</w:t>
            </w:r>
          </w:p>
        </w:tc>
      </w:tr>
      <w:tr w:rsidR="001D546D" w14:paraId="588EE281" w14:textId="77777777" w:rsidTr="00281329">
        <w:tc>
          <w:tcPr>
            <w:tcW w:w="1843" w:type="dxa"/>
            <w:shd w:val="clear" w:color="auto" w:fill="F2F2F2" w:themeFill="background1" w:themeFillShade="F2"/>
          </w:tcPr>
          <w:p w14:paraId="42F81CD8" w14:textId="77777777" w:rsidR="001D546D" w:rsidRPr="006C54B4" w:rsidRDefault="001D546D" w:rsidP="00281329">
            <w:pPr>
              <w:pStyle w:val="Tablecontent"/>
              <w:rPr>
                <w:b/>
                <w:bCs/>
              </w:rPr>
            </w:pPr>
            <w:r>
              <w:rPr>
                <w:b/>
                <w:bCs/>
              </w:rPr>
              <w:t>Compliance</w:t>
            </w:r>
          </w:p>
        </w:tc>
        <w:tc>
          <w:tcPr>
            <w:tcW w:w="8613" w:type="dxa"/>
          </w:tcPr>
          <w:p w14:paraId="4377734B" w14:textId="77777777" w:rsidR="001D546D" w:rsidRDefault="001D546D" w:rsidP="00281329">
            <w:pPr>
              <w:pStyle w:val="Tablecontent"/>
            </w:pPr>
            <w:r>
              <w:t>This is a subset of configuration check, so limit is to formal security standard.</w:t>
            </w:r>
          </w:p>
        </w:tc>
      </w:tr>
      <w:tr w:rsidR="001D546D" w14:paraId="2D6EE182" w14:textId="77777777" w:rsidTr="00281329">
        <w:tc>
          <w:tcPr>
            <w:tcW w:w="1843" w:type="dxa"/>
            <w:shd w:val="clear" w:color="auto" w:fill="F2F2F2" w:themeFill="background1" w:themeFillShade="F2"/>
          </w:tcPr>
          <w:p w14:paraId="7C945C08" w14:textId="77777777" w:rsidR="001D546D" w:rsidRDefault="001D546D" w:rsidP="00281329">
            <w:pPr>
              <w:pStyle w:val="Tablecontent"/>
              <w:rPr>
                <w:b/>
                <w:bCs/>
              </w:rPr>
            </w:pPr>
            <w:r>
              <w:rPr>
                <w:b/>
                <w:bCs/>
              </w:rPr>
              <w:t>Configuration</w:t>
            </w:r>
          </w:p>
        </w:tc>
        <w:tc>
          <w:tcPr>
            <w:tcW w:w="8613" w:type="dxa"/>
          </w:tcPr>
          <w:p w14:paraId="629B91B2" w14:textId="77777777" w:rsidR="001D546D" w:rsidRDefault="001D546D" w:rsidP="00281329">
            <w:pPr>
              <w:pStyle w:val="Tablecontent"/>
            </w:pPr>
            <w:r>
              <w:t>Configuration is broader than compliance. Configuration mistakes can cause availability, performance, capacity and security. Examples:</w:t>
            </w:r>
          </w:p>
          <w:p w14:paraId="05313DFF" w14:textId="77777777" w:rsidR="001D546D" w:rsidRDefault="001D546D" w:rsidP="00281329">
            <w:pPr>
              <w:pStyle w:val="Tablecontent"/>
              <w:numPr>
                <w:ilvl w:val="0"/>
                <w:numId w:val="33"/>
              </w:numPr>
            </w:pPr>
            <w:r>
              <w:t>Availability. Incompatibility between software versions could cause an outage.</w:t>
            </w:r>
          </w:p>
          <w:p w14:paraId="4D241B6E" w14:textId="77777777" w:rsidR="001D546D" w:rsidRDefault="001D546D" w:rsidP="00281329">
            <w:pPr>
              <w:pStyle w:val="Tablecontent"/>
              <w:numPr>
                <w:ilvl w:val="0"/>
                <w:numId w:val="33"/>
              </w:numPr>
            </w:pPr>
            <w:r>
              <w:t>Capacity. Disabling CPU SMT will reduce the number of logical processor.</w:t>
            </w:r>
          </w:p>
          <w:p w14:paraId="7D3D22D9" w14:textId="77777777" w:rsidR="001D546D" w:rsidRDefault="001D546D" w:rsidP="00281329">
            <w:pPr>
              <w:pStyle w:val="Tablecontent"/>
              <w:numPr>
                <w:ilvl w:val="0"/>
                <w:numId w:val="33"/>
              </w:numPr>
            </w:pPr>
            <w:r>
              <w:t>Security. Outdated software may contain known security vulnerability</w:t>
            </w:r>
          </w:p>
        </w:tc>
      </w:tr>
      <w:tr w:rsidR="001D546D" w14:paraId="04D7F579" w14:textId="77777777" w:rsidTr="00281329">
        <w:tc>
          <w:tcPr>
            <w:tcW w:w="1843" w:type="dxa"/>
            <w:shd w:val="clear" w:color="auto" w:fill="F2F2F2" w:themeFill="background1" w:themeFillShade="F2"/>
          </w:tcPr>
          <w:p w14:paraId="11CE09AD" w14:textId="77777777" w:rsidR="001D546D" w:rsidRPr="006C54B4" w:rsidRDefault="001D546D" w:rsidP="00281329">
            <w:pPr>
              <w:pStyle w:val="Tablecontent"/>
              <w:rPr>
                <w:b/>
                <w:bCs/>
              </w:rPr>
            </w:pPr>
            <w:r>
              <w:rPr>
                <w:b/>
                <w:bCs/>
              </w:rPr>
              <w:t>Cost</w:t>
            </w:r>
          </w:p>
        </w:tc>
        <w:tc>
          <w:tcPr>
            <w:tcW w:w="8613" w:type="dxa"/>
          </w:tcPr>
          <w:p w14:paraId="2855F655" w14:textId="77777777" w:rsidR="001D546D" w:rsidRDefault="001D546D" w:rsidP="00281329">
            <w:pPr>
              <w:pStyle w:val="Tablecontent"/>
            </w:pPr>
            <w:r>
              <w:t>You don’t typically set an alert here as insight with dashboards is a better monitoring solution.</w:t>
            </w:r>
          </w:p>
        </w:tc>
      </w:tr>
      <w:tr w:rsidR="001D546D" w14:paraId="1A37E54D" w14:textId="77777777" w:rsidTr="00281329">
        <w:tc>
          <w:tcPr>
            <w:tcW w:w="1843" w:type="dxa"/>
            <w:shd w:val="clear" w:color="auto" w:fill="F2F2F2" w:themeFill="background1" w:themeFillShade="F2"/>
          </w:tcPr>
          <w:p w14:paraId="6BF0C738" w14:textId="77777777" w:rsidR="001D546D" w:rsidRPr="006C54B4" w:rsidRDefault="001D546D" w:rsidP="00281329">
            <w:pPr>
              <w:pStyle w:val="Tablecontent"/>
              <w:rPr>
                <w:b/>
                <w:bCs/>
              </w:rPr>
            </w:pPr>
            <w:r>
              <w:rPr>
                <w:b/>
                <w:bCs/>
              </w:rPr>
              <w:t>Inventory</w:t>
            </w:r>
          </w:p>
        </w:tc>
        <w:tc>
          <w:tcPr>
            <w:tcW w:w="8613" w:type="dxa"/>
          </w:tcPr>
          <w:p w14:paraId="0F17AC41" w14:textId="77777777" w:rsidR="001D546D" w:rsidRDefault="001D546D" w:rsidP="00281329">
            <w:pPr>
              <w:pStyle w:val="Tablecontent"/>
            </w:pPr>
            <w:r>
              <w:t>You don’t typically set an alert here as inventory it’s merely an account of what you have. There is no good or bad.</w:t>
            </w:r>
          </w:p>
        </w:tc>
      </w:tr>
    </w:tbl>
    <w:p w14:paraId="6D646A7A" w14:textId="77777777" w:rsidR="001D546D" w:rsidRDefault="001D546D" w:rsidP="001D546D">
      <w:r>
        <w:t>Managing Alerts is not the same as minimizing Alerts. Managing is dealing with alerts that are already triggered. Minimizing takes us towards preventing alerts to begin with. Use insight to minimize alert definition, as alert should be reserved for urgent and important issue.</w:t>
      </w:r>
    </w:p>
    <w:p w14:paraId="4055AA4E" w14:textId="77777777" w:rsidR="001D546D" w:rsidRDefault="001D546D" w:rsidP="001D546D">
      <w:r>
        <w:t xml:space="preserve">Here are some examples to minimize alerts. </w:t>
      </w:r>
    </w:p>
    <w:p w14:paraId="3173400A" w14:textId="77777777" w:rsidR="001D546D" w:rsidRPr="00C4679C" w:rsidRDefault="001D546D" w:rsidP="001D546D">
      <w:pPr>
        <w:pStyle w:val="Bullet"/>
      </w:pPr>
      <w:r w:rsidRPr="00C4679C">
        <w:t>Trap soft errors. They are non-critical events that act as early warning.</w:t>
      </w:r>
      <w:r>
        <w:t xml:space="preserve"> Treat them as insights. If you solve them, the chance of them causing an alerts is reduced.</w:t>
      </w:r>
    </w:p>
    <w:p w14:paraId="2D6C80F9" w14:textId="77777777" w:rsidR="001D546D" w:rsidRPr="00C4679C" w:rsidRDefault="001D546D" w:rsidP="001D546D">
      <w:pPr>
        <w:pStyle w:val="Bullet"/>
      </w:pPr>
      <w:r w:rsidRPr="00C4679C">
        <w:t>Proactive replacement before reaching the manufacturing limit. For example, the SSD disk has limit of number of writes as each write introduces a wear and tear.</w:t>
      </w:r>
    </w:p>
    <w:p w14:paraId="369C92EB" w14:textId="77777777" w:rsidR="001D546D" w:rsidRDefault="001D546D" w:rsidP="001D546D">
      <w:pPr>
        <w:pStyle w:val="Bullet"/>
      </w:pPr>
      <w:r w:rsidRPr="00C4679C">
        <w:t>Have redundancy, so unplanned downtime triggers non-critical alerts so long it’s within the allowance set in the design. If you design N+1 availability, then a single downtime is not a major and critical alert.</w:t>
      </w:r>
    </w:p>
    <w:p w14:paraId="2FBD1FA2" w14:textId="77777777" w:rsidR="001D546D" w:rsidRDefault="001D546D" w:rsidP="001D546D">
      <w:pPr>
        <w:pStyle w:val="Bullet"/>
      </w:pPr>
      <w:r w:rsidRPr="00B11580">
        <w:t>Separate formal SLA with internal KPI</w:t>
      </w:r>
      <w:r>
        <w:t>.</w:t>
      </w:r>
    </w:p>
    <w:p w14:paraId="057350AA" w14:textId="77777777" w:rsidR="001D546D" w:rsidRDefault="001D546D" w:rsidP="001D546D">
      <w:pPr>
        <w:pStyle w:val="Bullet"/>
      </w:pPr>
      <w:r>
        <w:t>1 alert many symptoms instead of 1:1 relationship. This tighten the condition.</w:t>
      </w:r>
    </w:p>
    <w:p w14:paraId="33EA2FD3" w14:textId="77777777" w:rsidR="001D546D" w:rsidRDefault="001D546D" w:rsidP="001D546D">
      <w:r>
        <w:lastRenderedPageBreak/>
        <w:t xml:space="preserve">In cases where you can’t minimize the alert, you can reduce the scope to only urgent. That means alert is reserved for </w:t>
      </w:r>
      <w:r w:rsidRPr="0007076E">
        <w:rPr>
          <w:color w:val="FF0000"/>
        </w:rPr>
        <w:t>red</w:t>
      </w:r>
      <w:r>
        <w:t xml:space="preserve">, and </w:t>
      </w:r>
      <w:r w:rsidRPr="009322C0">
        <w:rPr>
          <w:color w:val="000000" w:themeColor="text1"/>
          <w14:textFill>
            <w14:gradFill>
              <w14:gsLst>
                <w14:gs w14:pos="0">
                  <w14:schemeClr w14:val="tx1"/>
                </w14:gs>
                <w14:gs w14:pos="100000">
                  <w14:srgbClr w14:val="FFFF00"/>
                </w14:gs>
              </w14:gsLst>
              <w14:lin w14:ang="16200000" w14:scaled="0"/>
            </w14:gradFill>
          </w14:textFill>
        </w:rPr>
        <w:t>yellow</w:t>
      </w:r>
      <w:r w:rsidRPr="009322C0">
        <w:rPr>
          <w14:textFill>
            <w14:gradFill>
              <w14:gsLst>
                <w14:gs w14:pos="0">
                  <w14:schemeClr w14:val="tx1"/>
                </w14:gs>
                <w14:gs w14:pos="100000">
                  <w14:srgbClr w14:val="FFFF00"/>
                </w14:gs>
              </w14:gsLst>
              <w14:lin w14:ang="16200000" w14:scaled="0"/>
            </w14:gradFill>
          </w14:textFill>
        </w:rPr>
        <w:t xml:space="preserve"> </w:t>
      </w:r>
      <w:r>
        <w:t xml:space="preserve">is shown as insight instead. Design the overall alerts so that 100% of </w:t>
      </w:r>
      <w:r w:rsidRPr="0007076E">
        <w:rPr>
          <w:color w:val="FF0000"/>
        </w:rPr>
        <w:t>red</w:t>
      </w:r>
      <w:r>
        <w:t xml:space="preserve"> are alerts and 50% of </w:t>
      </w:r>
      <w:r w:rsidRPr="00CF7D2C">
        <w:rPr>
          <w:color w:val="ED7D31" w:themeColor="accent2"/>
        </w:rPr>
        <w:t>orange</w:t>
      </w:r>
      <w:r>
        <w:t xml:space="preserve"> is alert. Insight then cover the remaining </w:t>
      </w:r>
      <w:r w:rsidRPr="00CF7D2C">
        <w:rPr>
          <w:color w:val="ED7D31" w:themeColor="accent2"/>
        </w:rPr>
        <w:t>orange</w:t>
      </w:r>
      <w:r>
        <w:t xml:space="preserve"> and 100% </w:t>
      </w:r>
      <w:r w:rsidRPr="009322C0">
        <w:rPr>
          <w:color w:val="000000" w:themeColor="text1"/>
          <w14:textFill>
            <w14:gradFill>
              <w14:gsLst>
                <w14:gs w14:pos="0">
                  <w14:schemeClr w14:val="tx1"/>
                </w14:gs>
                <w14:gs w14:pos="100000">
                  <w14:srgbClr w14:val="FFFF00"/>
                </w14:gs>
              </w14:gsLst>
              <w14:lin w14:ang="16200000" w14:scaled="0"/>
            </w14:gradFill>
          </w14:textFill>
        </w:rPr>
        <w:t>yellow</w:t>
      </w:r>
      <w:r>
        <w:t xml:space="preserve">. </w:t>
      </w:r>
    </w:p>
    <w:p w14:paraId="3A396F9E" w14:textId="77777777" w:rsidR="001D546D" w:rsidRDefault="001D546D" w:rsidP="001D546D">
      <w:r>
        <w:t xml:space="preserve">In cases where you can’t reduce the severity, you can reduce the occurrence of the alert happening in production. You do this by proactive replacement, taken as part of scheduled downtime during </w:t>
      </w:r>
      <w:r w:rsidRPr="0022569A">
        <w:rPr>
          <w:color w:val="00B050"/>
        </w:rPr>
        <w:t>green</w:t>
      </w:r>
      <w:r>
        <w:t xml:space="preserve"> zone. For example, Solid State Drive (SSD) does not have infinite life span in terms of number of writes. The manufacturer has a number in mind for the endurance. If you have thousands of disks, you create a dashboard just to track this limit and schedule proactive replacement for those disks nearing their limit.</w:t>
      </w:r>
    </w:p>
    <w:p w14:paraId="47F70EB1" w14:textId="3A9E8EFB" w:rsidR="005B553E" w:rsidRDefault="00B552F6" w:rsidP="00B552F6">
      <w:pPr>
        <w:pStyle w:val="Heading4"/>
      </w:pPr>
      <w:r>
        <w:t xml:space="preserve">vSphere </w:t>
      </w:r>
      <w:r w:rsidR="005B553E">
        <w:t>VM Alerts</w:t>
      </w:r>
    </w:p>
    <w:p w14:paraId="2A94F2CA" w14:textId="726F1B5B" w:rsidR="00302204" w:rsidRDefault="00302204" w:rsidP="00302204">
      <w:pPr>
        <w:rPr>
          <w:lang w:val="en-GB" w:eastAsia="en-SG"/>
        </w:rPr>
      </w:pPr>
      <w:r>
        <w:rPr>
          <w:lang w:val="en-GB" w:eastAsia="en-SG"/>
        </w:rPr>
        <w:t>Make sure the contention alert do not occur at the point of low utilisation.</w:t>
      </w:r>
    </w:p>
    <w:p w14:paraId="2B795A36" w14:textId="668E339D" w:rsidR="00021348" w:rsidRDefault="00021348" w:rsidP="00302204">
      <w:pPr>
        <w:rPr>
          <w:lang w:val="en-GB" w:eastAsia="en-SG"/>
        </w:rPr>
      </w:pPr>
      <w:r>
        <w:rPr>
          <w:lang w:val="en-GB" w:eastAsia="en-SG"/>
        </w:rPr>
        <w:t>I do not set network alerts due to false positive. I think it’s better we cover this at port group level and cluster level.</w:t>
      </w:r>
    </w:p>
    <w:p w14:paraId="313A7542" w14:textId="77777777" w:rsidR="00302204" w:rsidRDefault="00302204" w:rsidP="00302204">
      <w:pPr>
        <w:pStyle w:val="Heading5"/>
        <w:rPr>
          <w:lang w:eastAsia="en-SG"/>
        </w:rPr>
      </w:pPr>
      <w:r>
        <w:rPr>
          <w:lang w:eastAsia="en-SG"/>
        </w:rPr>
        <w:t>CPU Alerts</w:t>
      </w:r>
    </w:p>
    <w:tbl>
      <w:tblPr>
        <w:tblStyle w:val="TableGrid"/>
        <w:tblW w:w="103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700"/>
        <w:gridCol w:w="7650"/>
      </w:tblGrid>
      <w:tr w:rsidR="00302204" w14:paraId="297AC648" w14:textId="4EEDC1A1" w:rsidTr="00021348">
        <w:tc>
          <w:tcPr>
            <w:tcW w:w="2700" w:type="dxa"/>
            <w:shd w:val="clear" w:color="auto" w:fill="F2F2F2" w:themeFill="background1" w:themeFillShade="F2"/>
          </w:tcPr>
          <w:p w14:paraId="3C37AA8B" w14:textId="3926AE45" w:rsidR="00302204" w:rsidRDefault="00302204" w:rsidP="00281329">
            <w:pPr>
              <w:pStyle w:val="Tableheading"/>
            </w:pPr>
            <w:r>
              <w:t>Threshold</w:t>
            </w:r>
          </w:p>
        </w:tc>
        <w:tc>
          <w:tcPr>
            <w:tcW w:w="7650" w:type="dxa"/>
            <w:shd w:val="clear" w:color="auto" w:fill="F2F2F2" w:themeFill="background1" w:themeFillShade="F2"/>
          </w:tcPr>
          <w:p w14:paraId="3E965D01" w14:textId="1889CEA0" w:rsidR="00302204" w:rsidRDefault="00302204" w:rsidP="00281329">
            <w:pPr>
              <w:pStyle w:val="Tableheading"/>
            </w:pPr>
            <w:r>
              <w:t>Metrics</w:t>
            </w:r>
          </w:p>
        </w:tc>
      </w:tr>
      <w:tr w:rsidR="00302204" w14:paraId="57FF91B5" w14:textId="742C9EEB" w:rsidTr="00021348">
        <w:tc>
          <w:tcPr>
            <w:tcW w:w="2700" w:type="dxa"/>
          </w:tcPr>
          <w:p w14:paraId="6615869B" w14:textId="706A18FC" w:rsidR="00302204" w:rsidRDefault="00302204" w:rsidP="00281329">
            <w:pPr>
              <w:pStyle w:val="Tablecontent"/>
            </w:pPr>
            <w:r>
              <w:t xml:space="preserve">Acute Contention </w:t>
            </w:r>
          </w:p>
        </w:tc>
        <w:tc>
          <w:tcPr>
            <w:tcW w:w="7650" w:type="dxa"/>
          </w:tcPr>
          <w:p w14:paraId="62D9C8F7" w14:textId="59436D24" w:rsidR="00302204" w:rsidRDefault="00066541" w:rsidP="00281329">
            <w:pPr>
              <w:pStyle w:val="Tablecontent"/>
            </w:pPr>
            <w:r>
              <w:t>20-second average CPU Ready at any vCPU level &gt; 16%</w:t>
            </w:r>
          </w:p>
        </w:tc>
      </w:tr>
      <w:tr w:rsidR="00302204" w14:paraId="3425A84E" w14:textId="2A4BA715" w:rsidTr="00021348">
        <w:tc>
          <w:tcPr>
            <w:tcW w:w="2700" w:type="dxa"/>
          </w:tcPr>
          <w:p w14:paraId="0285AEC4" w14:textId="5EE57B1C" w:rsidR="00302204" w:rsidRDefault="00302204" w:rsidP="00281329">
            <w:pPr>
              <w:pStyle w:val="Tablecontent"/>
            </w:pPr>
            <w:r>
              <w:t xml:space="preserve">Sustained Contention </w:t>
            </w:r>
          </w:p>
        </w:tc>
        <w:tc>
          <w:tcPr>
            <w:tcW w:w="7650" w:type="dxa"/>
          </w:tcPr>
          <w:p w14:paraId="5D8E38CB" w14:textId="20B98062" w:rsidR="00302204" w:rsidRDefault="00066541" w:rsidP="00281329">
            <w:pPr>
              <w:pStyle w:val="Tablecontent"/>
            </w:pPr>
            <w:r>
              <w:t>5-minute average CPU Ready at VM level &gt; 4%</w:t>
            </w:r>
          </w:p>
        </w:tc>
      </w:tr>
      <w:tr w:rsidR="00302204" w14:paraId="3EBA48F6" w14:textId="784B9155" w:rsidTr="00021348">
        <w:tc>
          <w:tcPr>
            <w:tcW w:w="2700" w:type="dxa"/>
          </w:tcPr>
          <w:p w14:paraId="23B679AD" w14:textId="06640101" w:rsidR="00302204" w:rsidRDefault="00302204" w:rsidP="00281329">
            <w:pPr>
              <w:pStyle w:val="Tablecontent"/>
            </w:pPr>
            <w:r>
              <w:t xml:space="preserve">Low Utilization </w:t>
            </w:r>
          </w:p>
        </w:tc>
        <w:tc>
          <w:tcPr>
            <w:tcW w:w="7650" w:type="dxa"/>
          </w:tcPr>
          <w:p w14:paraId="45922D9C" w14:textId="77777777" w:rsidR="00302204" w:rsidRDefault="00066541" w:rsidP="00281329">
            <w:pPr>
              <w:pStyle w:val="Tablecontent"/>
            </w:pPr>
            <w:r>
              <w:t>CPU Usage &lt; 100 MHz</w:t>
            </w:r>
          </w:p>
          <w:p w14:paraId="2A66A450" w14:textId="232D2B30" w:rsidR="00066541" w:rsidRDefault="00066541" w:rsidP="00281329">
            <w:pPr>
              <w:pStyle w:val="Tablecontent"/>
            </w:pPr>
            <w:r>
              <w:t xml:space="preserve">An absolute unit is used as opposed to relative (%) as a small percentage of a monster VM could still be sizable. </w:t>
            </w:r>
          </w:p>
        </w:tc>
      </w:tr>
    </w:tbl>
    <w:p w14:paraId="2AB12DCF" w14:textId="2331E092" w:rsidR="00302204" w:rsidRDefault="00302204" w:rsidP="00302204">
      <w:pPr>
        <w:pStyle w:val="Heading5"/>
        <w:rPr>
          <w:lang w:eastAsia="en-SG"/>
        </w:rPr>
      </w:pPr>
      <w:r>
        <w:rPr>
          <w:lang w:eastAsia="en-SG"/>
        </w:rPr>
        <w:t>Memory Alerts</w:t>
      </w:r>
    </w:p>
    <w:tbl>
      <w:tblPr>
        <w:tblStyle w:val="TableGrid"/>
        <w:tblW w:w="103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700"/>
        <w:gridCol w:w="7650"/>
      </w:tblGrid>
      <w:tr w:rsidR="00066541" w14:paraId="6664515F" w14:textId="77777777" w:rsidTr="00021348">
        <w:tc>
          <w:tcPr>
            <w:tcW w:w="2700" w:type="dxa"/>
            <w:shd w:val="clear" w:color="auto" w:fill="F2F2F2" w:themeFill="background1" w:themeFillShade="F2"/>
          </w:tcPr>
          <w:p w14:paraId="6245562E" w14:textId="77777777" w:rsidR="00066541" w:rsidRDefault="00066541" w:rsidP="00281329">
            <w:pPr>
              <w:pStyle w:val="Tableheading"/>
            </w:pPr>
            <w:r>
              <w:t>Threshold</w:t>
            </w:r>
          </w:p>
        </w:tc>
        <w:tc>
          <w:tcPr>
            <w:tcW w:w="7650" w:type="dxa"/>
            <w:shd w:val="clear" w:color="auto" w:fill="F2F2F2" w:themeFill="background1" w:themeFillShade="F2"/>
          </w:tcPr>
          <w:p w14:paraId="190816ED" w14:textId="77777777" w:rsidR="00066541" w:rsidRDefault="00066541" w:rsidP="00281329">
            <w:pPr>
              <w:pStyle w:val="Tableheading"/>
            </w:pPr>
            <w:r>
              <w:t>Metrics</w:t>
            </w:r>
          </w:p>
        </w:tc>
      </w:tr>
      <w:tr w:rsidR="00066541" w14:paraId="73BE5AB2" w14:textId="77777777" w:rsidTr="00021348">
        <w:tc>
          <w:tcPr>
            <w:tcW w:w="2700" w:type="dxa"/>
          </w:tcPr>
          <w:p w14:paraId="31928A18" w14:textId="77777777" w:rsidR="00066541" w:rsidRDefault="00066541" w:rsidP="00281329">
            <w:pPr>
              <w:pStyle w:val="Tablecontent"/>
            </w:pPr>
            <w:r>
              <w:t xml:space="preserve">Acute Contention </w:t>
            </w:r>
          </w:p>
        </w:tc>
        <w:tc>
          <w:tcPr>
            <w:tcW w:w="7650" w:type="dxa"/>
          </w:tcPr>
          <w:p w14:paraId="5DC899BA" w14:textId="0B63C324" w:rsidR="00066541" w:rsidRDefault="00066541" w:rsidP="00281329">
            <w:pPr>
              <w:pStyle w:val="Tablecontent"/>
            </w:pPr>
            <w:r>
              <w:t>20-second average VM Memory Latency &gt; 16%</w:t>
            </w:r>
          </w:p>
        </w:tc>
      </w:tr>
      <w:tr w:rsidR="00066541" w14:paraId="6F9AECA5" w14:textId="77777777" w:rsidTr="00021348">
        <w:tc>
          <w:tcPr>
            <w:tcW w:w="2700" w:type="dxa"/>
          </w:tcPr>
          <w:p w14:paraId="68AA4E9B" w14:textId="77777777" w:rsidR="00066541" w:rsidRDefault="00066541" w:rsidP="00281329">
            <w:pPr>
              <w:pStyle w:val="Tablecontent"/>
            </w:pPr>
            <w:r>
              <w:t xml:space="preserve">Sustained Contention </w:t>
            </w:r>
          </w:p>
        </w:tc>
        <w:tc>
          <w:tcPr>
            <w:tcW w:w="7650" w:type="dxa"/>
          </w:tcPr>
          <w:p w14:paraId="68967888" w14:textId="106A6982" w:rsidR="00066541" w:rsidRDefault="00066541" w:rsidP="00281329">
            <w:pPr>
              <w:pStyle w:val="Tablecontent"/>
            </w:pPr>
            <w:r>
              <w:t>5-minute average VM Memory Latency &gt; 4%</w:t>
            </w:r>
          </w:p>
        </w:tc>
      </w:tr>
      <w:tr w:rsidR="00066541" w14:paraId="2D5CBA1D" w14:textId="77777777" w:rsidTr="00021348">
        <w:tc>
          <w:tcPr>
            <w:tcW w:w="2700" w:type="dxa"/>
          </w:tcPr>
          <w:p w14:paraId="25755DB8" w14:textId="77777777" w:rsidR="00066541" w:rsidRDefault="00066541" w:rsidP="00281329">
            <w:pPr>
              <w:pStyle w:val="Tablecontent"/>
            </w:pPr>
            <w:r>
              <w:t xml:space="preserve">Low Utilization </w:t>
            </w:r>
          </w:p>
        </w:tc>
        <w:tc>
          <w:tcPr>
            <w:tcW w:w="7650" w:type="dxa"/>
          </w:tcPr>
          <w:p w14:paraId="2299255A" w14:textId="77777777" w:rsidR="00066541" w:rsidRDefault="00066541" w:rsidP="00281329">
            <w:pPr>
              <w:pStyle w:val="Tablecontent"/>
            </w:pPr>
            <w:r>
              <w:t>CPU Usage &lt; 100 MHz</w:t>
            </w:r>
          </w:p>
          <w:p w14:paraId="683AA870" w14:textId="45E3CFE3" w:rsidR="00066541" w:rsidRDefault="00066541" w:rsidP="00281329">
            <w:pPr>
              <w:pStyle w:val="Tablecontent"/>
            </w:pPr>
            <w:r>
              <w:t xml:space="preserve">We’re using CPU as memory read/write requires CPU processing and memory behaves like a disk space. </w:t>
            </w:r>
          </w:p>
        </w:tc>
      </w:tr>
    </w:tbl>
    <w:p w14:paraId="4B80FBDB" w14:textId="77777777" w:rsidR="00066541" w:rsidRPr="00066541" w:rsidRDefault="00066541" w:rsidP="00066541">
      <w:pPr>
        <w:rPr>
          <w:lang w:val="en-GB" w:eastAsia="en-SG"/>
        </w:rPr>
      </w:pPr>
    </w:p>
    <w:p w14:paraId="6A3726F4" w14:textId="30EAFA60" w:rsidR="00302204" w:rsidRDefault="00302204" w:rsidP="00302204">
      <w:pPr>
        <w:pStyle w:val="Heading5"/>
        <w:rPr>
          <w:lang w:eastAsia="en-SG"/>
        </w:rPr>
      </w:pPr>
      <w:r>
        <w:rPr>
          <w:lang w:eastAsia="en-SG"/>
        </w:rPr>
        <w:lastRenderedPageBreak/>
        <w:t>Storage Alerts</w:t>
      </w:r>
    </w:p>
    <w:p w14:paraId="4193F025" w14:textId="377BD715" w:rsidR="00066541" w:rsidRDefault="00066541" w:rsidP="00066541">
      <w:pPr>
        <w:rPr>
          <w:lang w:val="en-GB" w:eastAsia="en-SG"/>
        </w:rPr>
      </w:pPr>
      <w:r>
        <w:rPr>
          <w:lang w:val="en-GB" w:eastAsia="en-SG"/>
        </w:rPr>
        <w:t xml:space="preserve">We have 2 alerts, one for read and one for write. The reason is their causes are typically different. </w:t>
      </w:r>
    </w:p>
    <w:p w14:paraId="24F7202A" w14:textId="4895ED7F" w:rsidR="00066541" w:rsidRDefault="00066541" w:rsidP="00066541">
      <w:pPr>
        <w:rPr>
          <w:lang w:val="en-GB" w:eastAsia="en-SG"/>
        </w:rPr>
      </w:pPr>
      <w:r>
        <w:rPr>
          <w:lang w:val="en-GB" w:eastAsia="en-SG"/>
        </w:rPr>
        <w:t>The one for Read is based on the following design:</w:t>
      </w:r>
    </w:p>
    <w:p w14:paraId="7E89768C" w14:textId="77777777" w:rsidR="00066541" w:rsidRPr="00066541" w:rsidRDefault="00066541" w:rsidP="00066541">
      <w:pPr>
        <w:pStyle w:val="BeforeTable"/>
        <w:rPr>
          <w:lang w:val="en-GB" w:eastAsia="en-SG"/>
        </w:rPr>
      </w:pPr>
    </w:p>
    <w:tbl>
      <w:tblPr>
        <w:tblStyle w:val="TableGrid"/>
        <w:tblW w:w="10350"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610"/>
        <w:gridCol w:w="7740"/>
      </w:tblGrid>
      <w:tr w:rsidR="00066541" w14:paraId="05040E12" w14:textId="77777777" w:rsidTr="00021348">
        <w:tc>
          <w:tcPr>
            <w:tcW w:w="2610" w:type="dxa"/>
            <w:shd w:val="clear" w:color="auto" w:fill="F2F2F2" w:themeFill="background1" w:themeFillShade="F2"/>
          </w:tcPr>
          <w:p w14:paraId="04B228FB" w14:textId="77777777" w:rsidR="00066541" w:rsidRDefault="00066541" w:rsidP="00281329">
            <w:pPr>
              <w:pStyle w:val="Tableheading"/>
            </w:pPr>
            <w:r>
              <w:t>Threshold</w:t>
            </w:r>
          </w:p>
        </w:tc>
        <w:tc>
          <w:tcPr>
            <w:tcW w:w="7740" w:type="dxa"/>
            <w:shd w:val="clear" w:color="auto" w:fill="F2F2F2" w:themeFill="background1" w:themeFillShade="F2"/>
          </w:tcPr>
          <w:p w14:paraId="41DAE15A" w14:textId="77777777" w:rsidR="00066541" w:rsidRDefault="00066541" w:rsidP="00281329">
            <w:pPr>
              <w:pStyle w:val="Tableheading"/>
            </w:pPr>
            <w:r>
              <w:t>Metrics</w:t>
            </w:r>
          </w:p>
        </w:tc>
      </w:tr>
      <w:tr w:rsidR="00066541" w14:paraId="33ACC67A" w14:textId="77777777" w:rsidTr="00021348">
        <w:tc>
          <w:tcPr>
            <w:tcW w:w="2610" w:type="dxa"/>
          </w:tcPr>
          <w:p w14:paraId="079C69E3" w14:textId="77777777" w:rsidR="00066541" w:rsidRDefault="00066541" w:rsidP="00281329">
            <w:pPr>
              <w:pStyle w:val="Tablecontent"/>
            </w:pPr>
            <w:r>
              <w:t xml:space="preserve">Acute Contention </w:t>
            </w:r>
          </w:p>
        </w:tc>
        <w:tc>
          <w:tcPr>
            <w:tcW w:w="7740" w:type="dxa"/>
          </w:tcPr>
          <w:p w14:paraId="5061210B" w14:textId="77777777" w:rsidR="00066541" w:rsidRDefault="00066541" w:rsidP="00281329">
            <w:pPr>
              <w:pStyle w:val="Tablecontent"/>
            </w:pPr>
            <w:r>
              <w:t xml:space="preserve">20-second average Disk Latency, at any virtual disk level &gt; </w:t>
            </w:r>
            <w:r w:rsidR="00021348">
              <w:t>160 ms</w:t>
            </w:r>
          </w:p>
          <w:p w14:paraId="1696D66D" w14:textId="64360B18" w:rsidR="00021348" w:rsidRDefault="00021348" w:rsidP="00281329">
            <w:pPr>
              <w:pStyle w:val="Tablecontent"/>
            </w:pPr>
            <w:r>
              <w:t xml:space="preserve">Yes, 160 ms is very high. But that’s a single virtual disk and for 20 second. In theory I agree we should pick a lower number, but in reality there is hardly any complaint. Try to convince your boss to invest when there is no complaint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9"/>
                </mc:Choice>
                <mc:Fallback>
                  <w:t>😉</w:t>
                </mc:Fallback>
              </mc:AlternateContent>
            </w:r>
            <w:r>
              <w:t xml:space="preserve"> </w:t>
            </w:r>
          </w:p>
        </w:tc>
      </w:tr>
      <w:tr w:rsidR="00066541" w14:paraId="325A755A" w14:textId="77777777" w:rsidTr="00021348">
        <w:tc>
          <w:tcPr>
            <w:tcW w:w="2610" w:type="dxa"/>
          </w:tcPr>
          <w:p w14:paraId="0646F69D" w14:textId="77777777" w:rsidR="00066541" w:rsidRDefault="00066541" w:rsidP="00281329">
            <w:pPr>
              <w:pStyle w:val="Tablecontent"/>
            </w:pPr>
            <w:r>
              <w:t xml:space="preserve">Sustained Contention </w:t>
            </w:r>
          </w:p>
        </w:tc>
        <w:tc>
          <w:tcPr>
            <w:tcW w:w="7740" w:type="dxa"/>
          </w:tcPr>
          <w:p w14:paraId="6B6F92AA" w14:textId="594D4D96" w:rsidR="00066541" w:rsidRDefault="00066541" w:rsidP="00281329">
            <w:pPr>
              <w:pStyle w:val="Tablecontent"/>
            </w:pPr>
            <w:r>
              <w:t xml:space="preserve">5-minute average CPU Ready at VM level &gt; </w:t>
            </w:r>
            <w:r w:rsidR="00021348">
              <w:t>40 ms</w:t>
            </w:r>
          </w:p>
        </w:tc>
      </w:tr>
      <w:tr w:rsidR="00066541" w14:paraId="248DF7A8" w14:textId="77777777" w:rsidTr="00021348">
        <w:tc>
          <w:tcPr>
            <w:tcW w:w="2610" w:type="dxa"/>
            <w:vMerge w:val="restart"/>
          </w:tcPr>
          <w:p w14:paraId="5354BF42" w14:textId="77777777" w:rsidR="00066541" w:rsidRDefault="00066541" w:rsidP="00281329">
            <w:pPr>
              <w:pStyle w:val="Tablecontent"/>
            </w:pPr>
            <w:r>
              <w:t xml:space="preserve">Low Utilization </w:t>
            </w:r>
          </w:p>
        </w:tc>
        <w:tc>
          <w:tcPr>
            <w:tcW w:w="7740" w:type="dxa"/>
          </w:tcPr>
          <w:p w14:paraId="753A1E57" w14:textId="77777777" w:rsidR="00066541" w:rsidRDefault="00066541" w:rsidP="00281329">
            <w:pPr>
              <w:pStyle w:val="Tablecontent"/>
            </w:pPr>
            <w:r>
              <w:t>CPU Usage &lt; 100 MHz</w:t>
            </w:r>
          </w:p>
          <w:p w14:paraId="51AAE7DD" w14:textId="77777777" w:rsidR="00066541" w:rsidRDefault="00066541" w:rsidP="00281329">
            <w:pPr>
              <w:pStyle w:val="Tablecontent"/>
            </w:pPr>
            <w:r>
              <w:t xml:space="preserve">An absolute unit is used as opposed to relative (%) as a small percentage of a monster VM could still be sizable. </w:t>
            </w:r>
          </w:p>
        </w:tc>
      </w:tr>
      <w:tr w:rsidR="00066541" w14:paraId="69F94FAE" w14:textId="77777777" w:rsidTr="00021348">
        <w:tc>
          <w:tcPr>
            <w:tcW w:w="2610" w:type="dxa"/>
            <w:vMerge/>
          </w:tcPr>
          <w:p w14:paraId="4FA8645D" w14:textId="77777777" w:rsidR="00066541" w:rsidRDefault="00066541" w:rsidP="00281329">
            <w:pPr>
              <w:pStyle w:val="Tablecontent"/>
            </w:pPr>
          </w:p>
        </w:tc>
        <w:tc>
          <w:tcPr>
            <w:tcW w:w="7740" w:type="dxa"/>
          </w:tcPr>
          <w:p w14:paraId="33BE9CE2" w14:textId="518FC820" w:rsidR="00066541" w:rsidRDefault="00021348" w:rsidP="00281329">
            <w:pPr>
              <w:pStyle w:val="Tablecontent"/>
            </w:pPr>
            <w:r>
              <w:t xml:space="preserve">Read </w:t>
            </w:r>
            <w:r w:rsidR="00066541">
              <w:t>Disk IOPS</w:t>
            </w:r>
            <w:r>
              <w:t xml:space="preserve"> &lt; 3</w:t>
            </w:r>
          </w:p>
          <w:p w14:paraId="2E6B1C5C" w14:textId="7D048357" w:rsidR="00021348" w:rsidRDefault="00021348" w:rsidP="00281329">
            <w:pPr>
              <w:pStyle w:val="Tablecontent"/>
            </w:pPr>
            <w:r>
              <w:t>If you think 3 is too low, 3 IO per second sustained over 300 seconds translate into 900 I/O commands. I</w:t>
            </w:r>
          </w:p>
          <w:p w14:paraId="0A1F3322" w14:textId="3AE997A3" w:rsidR="00066541" w:rsidRDefault="00066541" w:rsidP="00281329">
            <w:pPr>
              <w:pStyle w:val="Tablecontent"/>
            </w:pPr>
            <w:r>
              <w:t xml:space="preserve">Disk Throughput is not necessary as we’re checking for sign of activity. The size of the activity is not that relevant. </w:t>
            </w:r>
          </w:p>
        </w:tc>
      </w:tr>
    </w:tbl>
    <w:p w14:paraId="3F10AD3F" w14:textId="7EBFE874" w:rsidR="00B552F6" w:rsidRDefault="00B552F6" w:rsidP="00B552F6">
      <w:pPr>
        <w:pStyle w:val="Heading4"/>
      </w:pPr>
      <w:r>
        <w:t>vSphere Cluster Alerts</w:t>
      </w:r>
    </w:p>
    <w:p w14:paraId="2345A8C6" w14:textId="43579B98" w:rsidR="00B552F6" w:rsidRPr="00B552F6" w:rsidRDefault="00A3188F" w:rsidP="00B552F6">
      <w:pPr>
        <w:rPr>
          <w:lang w:val="en-GB" w:eastAsia="en-SG"/>
        </w:rPr>
      </w:pPr>
      <w:r>
        <w:rPr>
          <w:lang w:val="en-GB" w:eastAsia="en-SG"/>
        </w:rPr>
        <w:t xml:space="preserve">Separate a Cluster problem vs </w:t>
      </w:r>
      <w:r w:rsidR="00075080">
        <w:rPr>
          <w:lang w:val="en-GB" w:eastAsia="en-SG"/>
        </w:rPr>
        <w:t>a host problem</w:t>
      </w:r>
      <w:r w:rsidR="00C26C75">
        <w:rPr>
          <w:lang w:val="en-GB" w:eastAsia="en-SG"/>
        </w:rPr>
        <w:t>. A sign of a host problem is all other hosts in the cluser do not exhibit the problem</w:t>
      </w:r>
    </w:p>
    <w:p w14:paraId="4425D957" w14:textId="24942EF5" w:rsidR="00021348" w:rsidRDefault="00021348" w:rsidP="00021348">
      <w:pPr>
        <w:pStyle w:val="Heading4"/>
      </w:pPr>
      <w:r>
        <w:t>vSphere Port Group Alerts</w:t>
      </w:r>
    </w:p>
    <w:p w14:paraId="7B0FC16F" w14:textId="70F60531" w:rsidR="00021348" w:rsidRDefault="00021348" w:rsidP="00021348">
      <w:pPr>
        <w:rPr>
          <w:lang w:val="en-GB" w:eastAsia="en-SG"/>
        </w:rPr>
      </w:pPr>
      <w:r>
        <w:rPr>
          <w:lang w:val="en-GB" w:eastAsia="en-SG"/>
        </w:rPr>
        <w:t>Easier at port group than at switch level as we do not have to aggregate</w:t>
      </w:r>
    </w:p>
    <w:p w14:paraId="6AC1D00C" w14:textId="3D37D515" w:rsidR="00021348" w:rsidRPr="00B552F6" w:rsidRDefault="00021348" w:rsidP="00021348">
      <w:pPr>
        <w:rPr>
          <w:lang w:val="en-GB" w:eastAsia="en-SG"/>
        </w:rPr>
      </w:pPr>
      <w:r>
        <w:rPr>
          <w:lang w:val="en-GB" w:eastAsia="en-SG"/>
        </w:rPr>
        <w:t xml:space="preserve">Easier at ESXi level and </w:t>
      </w:r>
    </w:p>
    <w:p w14:paraId="7C4C63CE" w14:textId="3004014E" w:rsidR="00467DEC" w:rsidRDefault="00467DEC" w:rsidP="00540F68">
      <w:pPr>
        <w:pStyle w:val="Heading3"/>
      </w:pPr>
      <w:r>
        <w:lastRenderedPageBreak/>
        <w:t>Report</w:t>
      </w:r>
    </w:p>
    <w:p w14:paraId="685B3442" w14:textId="2DE4499C" w:rsidR="007B3B58" w:rsidRDefault="007B3B58" w:rsidP="00012DAB">
      <w:pPr>
        <w:rPr>
          <w:lang w:val="en-GB"/>
        </w:rPr>
      </w:pPr>
      <w:r>
        <w:rPr>
          <w:lang w:val="en-GB"/>
        </w:rPr>
        <w:t>Report should be purpose</w:t>
      </w:r>
      <w:r w:rsidR="00D61390">
        <w:rPr>
          <w:lang w:val="en-GB"/>
        </w:rPr>
        <w:t>-</w:t>
      </w:r>
      <w:r>
        <w:rPr>
          <w:lang w:val="en-GB"/>
        </w:rPr>
        <w:t>built, designed specifically for a persona</w:t>
      </w:r>
      <w:r w:rsidR="00685120">
        <w:rPr>
          <w:lang w:val="en-GB"/>
        </w:rPr>
        <w:t xml:space="preserve"> and use case. A persona may need multiple reports, with different frequency and contents.</w:t>
      </w:r>
    </w:p>
    <w:p w14:paraId="4E9C3429" w14:textId="7DF6C04E" w:rsidR="00A21C09" w:rsidRDefault="00A21C09" w:rsidP="00012DAB">
      <w:pPr>
        <w:rPr>
          <w:lang w:val="en-GB"/>
        </w:rPr>
      </w:pPr>
      <w:r>
        <w:rPr>
          <w:lang w:val="en-GB"/>
        </w:rPr>
        <w:t xml:space="preserve">For each report, the following must be clear </w:t>
      </w:r>
    </w:p>
    <w:p w14:paraId="3A556442" w14:textId="7DFC7E84" w:rsidR="00A21C09" w:rsidRDefault="00A21C09" w:rsidP="00A21C09">
      <w:pPr>
        <w:pStyle w:val="Bullet"/>
        <w:rPr>
          <w:lang w:val="en-GB"/>
        </w:rPr>
      </w:pPr>
      <w:r>
        <w:rPr>
          <w:lang w:val="en-GB"/>
        </w:rPr>
        <w:t>Frequency</w:t>
      </w:r>
    </w:p>
    <w:p w14:paraId="5A8E8C95" w14:textId="196EB74E" w:rsidR="00A21C09" w:rsidRDefault="00A21C09" w:rsidP="00A21C09">
      <w:pPr>
        <w:pStyle w:val="Bullet"/>
        <w:rPr>
          <w:lang w:val="en-GB"/>
        </w:rPr>
      </w:pPr>
      <w:r>
        <w:rPr>
          <w:lang w:val="en-GB"/>
        </w:rPr>
        <w:t>Scope</w:t>
      </w:r>
    </w:p>
    <w:p w14:paraId="477AF5E4" w14:textId="0ABA5FAD" w:rsidR="00A21C09" w:rsidRPr="007B3B58" w:rsidRDefault="00A21C09" w:rsidP="00A21C09">
      <w:pPr>
        <w:pStyle w:val="Bullet"/>
        <w:rPr>
          <w:lang w:val="en-GB"/>
        </w:rPr>
      </w:pPr>
      <w:r>
        <w:rPr>
          <w:lang w:val="en-GB"/>
        </w:rPr>
        <w:t>Expected Outcome</w:t>
      </w:r>
    </w:p>
    <w:p w14:paraId="1AF5EF09" w14:textId="19D1246B" w:rsidR="00BF35D7" w:rsidRDefault="00910D09" w:rsidP="00012DAB">
      <w:pPr>
        <w:pStyle w:val="Heading4"/>
      </w:pPr>
      <w:r>
        <w:t xml:space="preserve">IT </w:t>
      </w:r>
      <w:r w:rsidR="007B3B58">
        <w:t xml:space="preserve">Senior </w:t>
      </w:r>
      <w:r w:rsidR="00C30327">
        <w:t>Management</w:t>
      </w:r>
    </w:p>
    <w:p w14:paraId="542C4198" w14:textId="5E9AB356" w:rsidR="00F9284F" w:rsidRDefault="007B3B58" w:rsidP="00012DAB">
      <w:pPr>
        <w:rPr>
          <w:lang w:val="en-GB"/>
        </w:rPr>
      </w:pPr>
      <w:r>
        <w:rPr>
          <w:lang w:val="en-GB"/>
        </w:rPr>
        <w:t xml:space="preserve">The most common persona for report is IT senior management. </w:t>
      </w:r>
      <w:r w:rsidR="00352253">
        <w:rPr>
          <w:lang w:val="en-GB"/>
        </w:rPr>
        <w:t xml:space="preserve">They typically read the information via email, meaning they need offline access. Some may even ask for the information to fit on a mobile phone screen. </w:t>
      </w:r>
      <w:r w:rsidR="00F9284F">
        <w:rPr>
          <w:lang w:val="en-GB"/>
        </w:rPr>
        <w:t>Different managers are likely having slightly different requirements</w:t>
      </w:r>
      <w:r w:rsidR="00277233">
        <w:rPr>
          <w:lang w:val="en-GB"/>
        </w:rPr>
        <w:t xml:space="preserve">. Take time to understand the real needs behind the ask. </w:t>
      </w:r>
      <w:r w:rsidR="00EE7454">
        <w:rPr>
          <w:lang w:val="en-GB"/>
        </w:rPr>
        <w:t xml:space="preserve">Learn </w:t>
      </w:r>
      <w:r w:rsidR="00277233">
        <w:rPr>
          <w:lang w:val="en-GB"/>
        </w:rPr>
        <w:t xml:space="preserve">what questions need to be answered, what answers are expected, and what actions are taken based on the answer. </w:t>
      </w:r>
    </w:p>
    <w:p w14:paraId="75E0A41B" w14:textId="7CB0D73D" w:rsidR="007B3B58" w:rsidRDefault="00F9284F" w:rsidP="00F9284F">
      <w:pPr>
        <w:rPr>
          <w:lang w:val="en-GB"/>
        </w:rPr>
      </w:pPr>
      <w:r>
        <w:rPr>
          <w:lang w:val="en-GB"/>
        </w:rPr>
        <w:t>In terms solution, drive towards dashboard as opposed to PDF. This lets you keep less variations and deliver richer information.</w:t>
      </w:r>
      <w:r w:rsidR="00277233">
        <w:rPr>
          <w:lang w:val="en-GB"/>
        </w:rPr>
        <w:t xml:space="preserve"> If you go with reports, you can end up with too many variations to maintain.</w:t>
      </w:r>
    </w:p>
    <w:p w14:paraId="05043A7F" w14:textId="47FE443C" w:rsidR="00F9284F" w:rsidRPr="00F9284F" w:rsidRDefault="00F9284F" w:rsidP="00F9284F">
      <w:pPr>
        <w:rPr>
          <w:lang w:val="en-GB"/>
        </w:rPr>
      </w:pPr>
      <w:r>
        <w:rPr>
          <w:lang w:val="en-GB"/>
        </w:rPr>
        <w:t xml:space="preserve">If your manager requires off-line access, try to make this a secondary report that is only used when on-line access is not possible. If off-line access is required, verify what screen size. A small screen of 7” can only display a small subset than say a 14” display. </w:t>
      </w:r>
    </w:p>
    <w:p w14:paraId="25D361BD" w14:textId="77777777" w:rsidR="00C40469" w:rsidRDefault="00C40469" w:rsidP="00012DAB">
      <w:pPr>
        <w:pStyle w:val="Heading5"/>
      </w:pPr>
      <w:r>
        <w:t>Business Applications</w:t>
      </w:r>
    </w:p>
    <w:p w14:paraId="3959454F" w14:textId="09C0E3D4" w:rsidR="00C40469" w:rsidRDefault="00C40469" w:rsidP="00012DAB">
      <w:pPr>
        <w:rPr>
          <w:lang w:val="en-GB"/>
        </w:rPr>
      </w:pPr>
      <w:r>
        <w:rPr>
          <w:lang w:val="en-GB"/>
        </w:rPr>
        <w:t>This is likely the most important</w:t>
      </w:r>
      <w:r w:rsidR="002E4916">
        <w:rPr>
          <w:lang w:val="en-GB"/>
        </w:rPr>
        <w:t xml:space="preserve">, both from their </w:t>
      </w:r>
      <w:r w:rsidR="00CD0DFB">
        <w:rPr>
          <w:lang w:val="en-GB"/>
        </w:rPr>
        <w:t>viewpoint and your viewpoint. You do want to prove that your infrastructure is playing its part well</w:t>
      </w:r>
      <w:r w:rsidR="00F55857">
        <w:rPr>
          <w:lang w:val="en-GB"/>
        </w:rPr>
        <w:t>.</w:t>
      </w:r>
    </w:p>
    <w:p w14:paraId="4DF93600" w14:textId="33AD15F6" w:rsidR="00F55857" w:rsidRDefault="00F55857" w:rsidP="00012DAB">
      <w:pPr>
        <w:rPr>
          <w:lang w:val="en-GB"/>
        </w:rPr>
      </w:pPr>
      <w:r>
        <w:rPr>
          <w:lang w:val="en-GB"/>
        </w:rPr>
        <w:t xml:space="preserve">The report should </w:t>
      </w:r>
      <w:r w:rsidR="007E2EBA">
        <w:rPr>
          <w:lang w:val="en-GB"/>
        </w:rPr>
        <w:t xml:space="preserve">provide a summary for all the mission critical business applications. </w:t>
      </w:r>
      <w:r w:rsidR="00132BAE">
        <w:rPr>
          <w:lang w:val="en-GB"/>
        </w:rPr>
        <w:t>As they are of the same level of importance, t</w:t>
      </w:r>
      <w:r w:rsidR="007E2EBA">
        <w:rPr>
          <w:lang w:val="en-GB"/>
        </w:rPr>
        <w:t xml:space="preserve">he list </w:t>
      </w:r>
      <w:r w:rsidR="00FE70DC">
        <w:rPr>
          <w:lang w:val="en-GB"/>
        </w:rPr>
        <w:t xml:space="preserve">should be </w:t>
      </w:r>
      <w:r w:rsidR="00132BAE">
        <w:rPr>
          <w:lang w:val="en-GB"/>
        </w:rPr>
        <w:t>grouped by the business units.</w:t>
      </w:r>
    </w:p>
    <w:p w14:paraId="12305C08" w14:textId="77777777" w:rsidR="008A1C53" w:rsidRDefault="008A1C53" w:rsidP="00012DAB">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85"/>
        <w:gridCol w:w="8571"/>
      </w:tblGrid>
      <w:tr w:rsidR="002B3BFB" w14:paraId="7AAA01B7" w14:textId="77777777" w:rsidTr="008A1C53">
        <w:tc>
          <w:tcPr>
            <w:tcW w:w="1885" w:type="dxa"/>
            <w:shd w:val="clear" w:color="auto" w:fill="F2F2F2" w:themeFill="background1" w:themeFillShade="F2"/>
          </w:tcPr>
          <w:p w14:paraId="78DFCFE0" w14:textId="380E9E96" w:rsidR="002B3BFB" w:rsidRDefault="002B3BFB" w:rsidP="00012DAB">
            <w:pPr>
              <w:pStyle w:val="Tableheading"/>
            </w:pPr>
            <w:r>
              <w:t>Column Name</w:t>
            </w:r>
          </w:p>
        </w:tc>
        <w:tc>
          <w:tcPr>
            <w:tcW w:w="8571" w:type="dxa"/>
            <w:shd w:val="clear" w:color="auto" w:fill="F2F2F2" w:themeFill="background1" w:themeFillShade="F2"/>
          </w:tcPr>
          <w:p w14:paraId="3D36CED8" w14:textId="77777777" w:rsidR="002B3BFB" w:rsidRDefault="002B3BFB" w:rsidP="00012DAB">
            <w:pPr>
              <w:pStyle w:val="Tableheading"/>
            </w:pPr>
          </w:p>
        </w:tc>
      </w:tr>
      <w:tr w:rsidR="002B3BFB" w14:paraId="6BBB58D1" w14:textId="77777777" w:rsidTr="008A1C53">
        <w:tc>
          <w:tcPr>
            <w:tcW w:w="1885" w:type="dxa"/>
          </w:tcPr>
          <w:p w14:paraId="6710D419" w14:textId="6A70A657" w:rsidR="002B3BFB" w:rsidRDefault="002B3BFB" w:rsidP="00012DAB">
            <w:pPr>
              <w:pStyle w:val="Tablecontent"/>
            </w:pPr>
            <w:r>
              <w:t>Name</w:t>
            </w:r>
          </w:p>
        </w:tc>
        <w:tc>
          <w:tcPr>
            <w:tcW w:w="8571" w:type="dxa"/>
          </w:tcPr>
          <w:p w14:paraId="0BA59E6C" w14:textId="471D7F92" w:rsidR="002B3BFB" w:rsidRDefault="008A1C53" w:rsidP="00012DAB">
            <w:pPr>
              <w:pStyle w:val="Tablecontent"/>
            </w:pPr>
            <w:r>
              <w:t xml:space="preserve">The </w:t>
            </w:r>
            <w:r w:rsidR="00B442DE">
              <w:t xml:space="preserve">business </w:t>
            </w:r>
            <w:r>
              <w:t xml:space="preserve">application </w:t>
            </w:r>
            <w:r w:rsidR="002B3BFB">
              <w:t xml:space="preserve">name as per what the business or senior IT leaders call </w:t>
            </w:r>
            <w:r w:rsidR="00B442DE">
              <w:t>it</w:t>
            </w:r>
          </w:p>
        </w:tc>
      </w:tr>
      <w:tr w:rsidR="008A1C53" w14:paraId="77F33890" w14:textId="77777777" w:rsidTr="008A1C53">
        <w:tc>
          <w:tcPr>
            <w:tcW w:w="1885" w:type="dxa"/>
          </w:tcPr>
          <w:p w14:paraId="25BFE52B" w14:textId="5F25FF4A" w:rsidR="008A1C53" w:rsidRDefault="00B442DE" w:rsidP="00012DAB">
            <w:pPr>
              <w:pStyle w:val="Tablecontent"/>
            </w:pPr>
            <w:r>
              <w:t>Availability</w:t>
            </w:r>
          </w:p>
        </w:tc>
        <w:tc>
          <w:tcPr>
            <w:tcW w:w="8571" w:type="dxa"/>
          </w:tcPr>
          <w:p w14:paraId="24C27983" w14:textId="77777777" w:rsidR="008A1C53" w:rsidRDefault="009B079A" w:rsidP="00012DAB">
            <w:pPr>
              <w:pStyle w:val="Tablecontent"/>
            </w:pPr>
            <w:r>
              <w:t xml:space="preserve">Average uptime </w:t>
            </w:r>
            <w:r w:rsidR="00D729F2">
              <w:t>during the reporting period</w:t>
            </w:r>
            <w:r w:rsidR="00594D6A">
              <w:t>.</w:t>
            </w:r>
          </w:p>
          <w:p w14:paraId="4DC7757E" w14:textId="1FE0713A" w:rsidR="00594D6A" w:rsidRDefault="00845601" w:rsidP="00012DAB">
            <w:pPr>
              <w:pStyle w:val="Tablecontent"/>
            </w:pPr>
            <w:r>
              <w:t xml:space="preserve">This shows Actual Availability (%), not Operational Availability (%) as the end customers (which </w:t>
            </w:r>
            <w:r w:rsidR="00581146">
              <w:t xml:space="preserve">are typically external or public) do not care about your scheduled downtime. Majority </w:t>
            </w:r>
            <w:r w:rsidR="00581146">
              <w:lastRenderedPageBreak/>
              <w:t>of website</w:t>
            </w:r>
            <w:r w:rsidR="00060768">
              <w:t>s</w:t>
            </w:r>
            <w:r w:rsidR="00581146">
              <w:t xml:space="preserve"> has 24 x 7 x 365 days </w:t>
            </w:r>
            <w:r w:rsidR="00060768">
              <w:t>availability expectation, even if your customers are not global.</w:t>
            </w:r>
          </w:p>
        </w:tc>
      </w:tr>
      <w:tr w:rsidR="00B442DE" w14:paraId="6C08CC88" w14:textId="77777777" w:rsidTr="008A1C53">
        <w:tc>
          <w:tcPr>
            <w:tcW w:w="1885" w:type="dxa"/>
          </w:tcPr>
          <w:p w14:paraId="7445AF4E" w14:textId="0B0907D7" w:rsidR="00B442DE" w:rsidRDefault="00B442DE" w:rsidP="00012DAB">
            <w:pPr>
              <w:pStyle w:val="Tablecontent"/>
            </w:pPr>
            <w:r>
              <w:lastRenderedPageBreak/>
              <w:t>Performance</w:t>
            </w:r>
          </w:p>
        </w:tc>
        <w:tc>
          <w:tcPr>
            <w:tcW w:w="8571" w:type="dxa"/>
          </w:tcPr>
          <w:p w14:paraId="30634989" w14:textId="79E3F6FD" w:rsidR="00B442DE" w:rsidRDefault="00B442DE" w:rsidP="00012DAB">
            <w:pPr>
              <w:pStyle w:val="Tablecontent"/>
            </w:pPr>
          </w:p>
        </w:tc>
      </w:tr>
      <w:tr w:rsidR="00B442DE" w14:paraId="1A118863" w14:textId="77777777" w:rsidTr="008A1C53">
        <w:tc>
          <w:tcPr>
            <w:tcW w:w="1885" w:type="dxa"/>
          </w:tcPr>
          <w:p w14:paraId="158C03D4" w14:textId="41DAADA5" w:rsidR="00B442DE" w:rsidRDefault="00B442DE" w:rsidP="00012DAB">
            <w:pPr>
              <w:pStyle w:val="Tablecontent"/>
            </w:pPr>
            <w:r>
              <w:t>Compliance</w:t>
            </w:r>
          </w:p>
        </w:tc>
        <w:tc>
          <w:tcPr>
            <w:tcW w:w="8571" w:type="dxa"/>
          </w:tcPr>
          <w:p w14:paraId="377B8E5E" w14:textId="77777777" w:rsidR="00B442DE" w:rsidRDefault="00B442DE" w:rsidP="00012DAB">
            <w:pPr>
              <w:pStyle w:val="Tablecontent"/>
            </w:pPr>
          </w:p>
        </w:tc>
      </w:tr>
    </w:tbl>
    <w:p w14:paraId="319BAEEA" w14:textId="77777777" w:rsidR="002B3BFB" w:rsidRDefault="002B3BFB" w:rsidP="00012DAB">
      <w:pPr>
        <w:rPr>
          <w:lang w:val="en-GB"/>
        </w:rPr>
      </w:pPr>
    </w:p>
    <w:p w14:paraId="6CC376BE" w14:textId="562E7399" w:rsidR="005A5235" w:rsidRDefault="005A5235" w:rsidP="00012DAB">
      <w:pPr>
        <w:pStyle w:val="Bullet"/>
        <w:rPr>
          <w:lang w:val="en-GB"/>
        </w:rPr>
      </w:pPr>
      <w:r>
        <w:rPr>
          <w:lang w:val="en-GB"/>
        </w:rPr>
        <w:t>The list should have</w:t>
      </w:r>
      <w:r w:rsidR="005229BA">
        <w:rPr>
          <w:lang w:val="en-GB"/>
        </w:rPr>
        <w:t xml:space="preserve">. </w:t>
      </w:r>
    </w:p>
    <w:p w14:paraId="72196C48" w14:textId="291BAEF8" w:rsidR="00AD53EB" w:rsidRDefault="00F65BFB" w:rsidP="00012DAB">
      <w:pPr>
        <w:rPr>
          <w:lang w:val="en-GB"/>
        </w:rPr>
      </w:pPr>
      <w:r>
        <w:rPr>
          <w:lang w:val="en-GB"/>
        </w:rPr>
        <w:t>Inventory</w:t>
      </w:r>
    </w:p>
    <w:p w14:paraId="431433DB" w14:textId="3193A87F" w:rsidR="00F65BFB" w:rsidRDefault="00F65BFB" w:rsidP="00012DAB">
      <w:pPr>
        <w:pStyle w:val="Bullet"/>
        <w:rPr>
          <w:lang w:val="en-GB"/>
        </w:rPr>
      </w:pPr>
      <w:r>
        <w:rPr>
          <w:lang w:val="en-GB"/>
        </w:rPr>
        <w:t xml:space="preserve">What do we have in what location? How does it change? </w:t>
      </w:r>
    </w:p>
    <w:p w14:paraId="6B155022" w14:textId="7E3A969C" w:rsidR="00AD53EB" w:rsidRDefault="00AD53EB" w:rsidP="00012DAB">
      <w:pPr>
        <w:pStyle w:val="Bullet"/>
        <w:rPr>
          <w:lang w:val="en-GB"/>
        </w:rPr>
      </w:pPr>
      <w:r>
        <w:rPr>
          <w:lang w:val="en-GB"/>
        </w:rPr>
        <w:t xml:space="preserve">Senior IT </w:t>
      </w:r>
      <w:r w:rsidR="00A21C09">
        <w:rPr>
          <w:lang w:val="en-GB"/>
        </w:rPr>
        <w:t>Management</w:t>
      </w:r>
      <w:r>
        <w:rPr>
          <w:lang w:val="en-GB"/>
        </w:rPr>
        <w:t xml:space="preserve"> may not be familiar with the environment and inventory</w:t>
      </w:r>
    </w:p>
    <w:p w14:paraId="1CF6A2C2" w14:textId="617461FB" w:rsidR="00DD2AD8" w:rsidRDefault="00AD32B4" w:rsidP="00012DAB">
      <w:pPr>
        <w:rPr>
          <w:lang w:val="en-GB"/>
        </w:rPr>
      </w:pPr>
      <w:r>
        <w:rPr>
          <w:lang w:val="en-GB"/>
        </w:rPr>
        <w:t>Capacity</w:t>
      </w:r>
    </w:p>
    <w:p w14:paraId="48DFD67D" w14:textId="3820EA39" w:rsidR="00C1100F" w:rsidRDefault="00C1100F" w:rsidP="00012DAB">
      <w:pPr>
        <w:pStyle w:val="Bullet"/>
        <w:rPr>
          <w:lang w:val="en-GB"/>
        </w:rPr>
      </w:pPr>
      <w:r>
        <w:rPr>
          <w:lang w:val="en-GB"/>
        </w:rPr>
        <w:t>What must I approve</w:t>
      </w:r>
      <w:r w:rsidR="00170B4C">
        <w:rPr>
          <w:lang w:val="en-GB"/>
        </w:rPr>
        <w:t xml:space="preserve"> or review? </w:t>
      </w:r>
    </w:p>
    <w:p w14:paraId="6C7F9BD1" w14:textId="77777777" w:rsidR="003E1039" w:rsidRDefault="00170B4C" w:rsidP="00012DAB">
      <w:pPr>
        <w:pStyle w:val="Bullet"/>
        <w:rPr>
          <w:lang w:val="en-GB"/>
        </w:rPr>
      </w:pPr>
      <w:r>
        <w:rPr>
          <w:lang w:val="en-GB"/>
        </w:rPr>
        <w:t>Overall capacity is less useful as VMs can’t be easily migrated</w:t>
      </w:r>
      <w:r w:rsidR="007D1137">
        <w:rPr>
          <w:lang w:val="en-GB"/>
        </w:rPr>
        <w:t>. So report per physical DC, or virtual DC.</w:t>
      </w:r>
      <w:r w:rsidR="003E1039">
        <w:rPr>
          <w:lang w:val="en-GB"/>
        </w:rPr>
        <w:t xml:space="preserve"> </w:t>
      </w:r>
    </w:p>
    <w:p w14:paraId="61C64D5E" w14:textId="2C05905A" w:rsidR="00170B4C" w:rsidRDefault="003E1039" w:rsidP="00012DAB">
      <w:pPr>
        <w:pStyle w:val="Bullet"/>
        <w:rPr>
          <w:lang w:val="en-GB"/>
        </w:rPr>
      </w:pPr>
      <w:r>
        <w:rPr>
          <w:lang w:val="en-GB"/>
        </w:rPr>
        <w:t>List of clusters</w:t>
      </w:r>
    </w:p>
    <w:p w14:paraId="4F9432E5" w14:textId="56374A54" w:rsidR="007D1137" w:rsidRDefault="003E1039" w:rsidP="00012DAB">
      <w:pPr>
        <w:pStyle w:val="Bullet"/>
        <w:rPr>
          <w:lang w:val="en-GB"/>
        </w:rPr>
      </w:pPr>
      <w:r>
        <w:rPr>
          <w:lang w:val="en-GB"/>
        </w:rPr>
        <w:t>List of datastores</w:t>
      </w:r>
    </w:p>
    <w:p w14:paraId="2F1807BE" w14:textId="108A622F" w:rsidR="00C1100F" w:rsidRDefault="00C1100F" w:rsidP="00012DAB">
      <w:pPr>
        <w:rPr>
          <w:lang w:val="en-GB"/>
        </w:rPr>
      </w:pPr>
      <w:r>
        <w:rPr>
          <w:lang w:val="en-GB"/>
        </w:rPr>
        <w:t>Cost</w:t>
      </w:r>
    </w:p>
    <w:p w14:paraId="27E55003" w14:textId="5431D99B" w:rsidR="00282557" w:rsidRDefault="00282557" w:rsidP="00012DAB">
      <w:pPr>
        <w:rPr>
          <w:lang w:val="en-GB"/>
        </w:rPr>
      </w:pPr>
      <w:r>
        <w:rPr>
          <w:lang w:val="en-GB"/>
        </w:rPr>
        <w:t xml:space="preserve">Compliance </w:t>
      </w:r>
    </w:p>
    <w:p w14:paraId="1775F5E3" w14:textId="27C524C3" w:rsidR="00282557" w:rsidRDefault="00282557" w:rsidP="00012DAB">
      <w:pPr>
        <w:pStyle w:val="Bullet"/>
        <w:rPr>
          <w:lang w:val="en-GB"/>
        </w:rPr>
      </w:pPr>
      <w:r>
        <w:rPr>
          <w:lang w:val="en-GB"/>
        </w:rPr>
        <w:t>Industry compliant</w:t>
      </w:r>
    </w:p>
    <w:p w14:paraId="0B5F7CE6" w14:textId="42879B79" w:rsidR="00117069" w:rsidRDefault="00117069" w:rsidP="00012DAB">
      <w:pPr>
        <w:rPr>
          <w:lang w:val="en-GB"/>
        </w:rPr>
      </w:pPr>
      <w:r>
        <w:rPr>
          <w:lang w:val="en-GB"/>
        </w:rPr>
        <w:t>Performance</w:t>
      </w:r>
    </w:p>
    <w:p w14:paraId="6764568F" w14:textId="6F03DC68" w:rsidR="00117069" w:rsidRDefault="00117069" w:rsidP="00012DAB">
      <w:pPr>
        <w:pStyle w:val="Bullet"/>
        <w:rPr>
          <w:lang w:val="en-GB"/>
        </w:rPr>
      </w:pPr>
      <w:r>
        <w:rPr>
          <w:lang w:val="en-GB"/>
        </w:rPr>
        <w:t>What’s our performance? Is it degrading?</w:t>
      </w:r>
    </w:p>
    <w:p w14:paraId="022B776C" w14:textId="2F8424F1" w:rsidR="00282557" w:rsidRDefault="00282557" w:rsidP="00012DAB">
      <w:pPr>
        <w:pStyle w:val="Bullet"/>
        <w:rPr>
          <w:lang w:val="en-GB"/>
        </w:rPr>
      </w:pPr>
      <w:r>
        <w:rPr>
          <w:lang w:val="en-GB"/>
        </w:rPr>
        <w:t>Do we report infra performance or VM performance? Wh</w:t>
      </w:r>
      <w:r w:rsidR="001C5E66">
        <w:rPr>
          <w:lang w:val="en-GB"/>
        </w:rPr>
        <w:t>y do they want to know the VM name?</w:t>
      </w:r>
    </w:p>
    <w:p w14:paraId="4EF3B5A0" w14:textId="54707E7E" w:rsidR="00B641D9" w:rsidRDefault="00B641D9" w:rsidP="00012DAB">
      <w:pPr>
        <w:pStyle w:val="Bullet"/>
        <w:rPr>
          <w:lang w:val="en-GB"/>
        </w:rPr>
      </w:pPr>
      <w:r>
        <w:rPr>
          <w:lang w:val="en-GB"/>
        </w:rPr>
        <w:t xml:space="preserve">Do we do a </w:t>
      </w:r>
    </w:p>
    <w:p w14:paraId="714E2120" w14:textId="6C5AE6CE" w:rsidR="00D61390" w:rsidRDefault="00C7461F" w:rsidP="00D61390">
      <w:pPr>
        <w:pStyle w:val="Heading5"/>
      </w:pPr>
      <w:r>
        <w:t>Infrastructure</w:t>
      </w:r>
    </w:p>
    <w:p w14:paraId="5AEABE39" w14:textId="38C84227" w:rsidR="00720718" w:rsidRDefault="00720718" w:rsidP="00720718">
      <w:pPr>
        <w:rPr>
          <w:lang w:val="en-GB"/>
        </w:rPr>
      </w:pPr>
      <w:r>
        <w:rPr>
          <w:lang w:val="en-GB"/>
        </w:rPr>
        <w:t xml:space="preserve">Goal: </w:t>
      </w:r>
    </w:p>
    <w:p w14:paraId="759EB61F" w14:textId="36CD36E5" w:rsidR="00720718" w:rsidRPr="00720718" w:rsidRDefault="00720718" w:rsidP="00720718">
      <w:pPr>
        <w:rPr>
          <w:lang w:val="en-GB"/>
        </w:rPr>
      </w:pPr>
      <w:r>
        <w:rPr>
          <w:lang w:val="en-GB"/>
        </w:rPr>
        <w:t xml:space="preserve">Content: </w:t>
      </w:r>
    </w:p>
    <w:p w14:paraId="05A92DAE" w14:textId="16E8854A" w:rsidR="00C30327" w:rsidRDefault="00AD53EB" w:rsidP="00012DAB">
      <w:pPr>
        <w:pStyle w:val="Heading4"/>
      </w:pPr>
      <w:r>
        <w:t>Auditor</w:t>
      </w:r>
    </w:p>
    <w:p w14:paraId="0BDD5A1D" w14:textId="6C3D2B7E" w:rsidR="005229BA" w:rsidRPr="005229BA" w:rsidRDefault="005229BA" w:rsidP="00012DAB">
      <w:pPr>
        <w:rPr>
          <w:lang w:val="en-GB"/>
        </w:rPr>
      </w:pPr>
      <w:r>
        <w:rPr>
          <w:lang w:val="en-GB"/>
        </w:rPr>
        <w:t xml:space="preserve">This role is interested in knowing </w:t>
      </w:r>
      <w:r w:rsidR="00A000E0">
        <w:rPr>
          <w:lang w:val="en-GB"/>
        </w:rPr>
        <w:t>that the environment is kept secured. They also want to know if there is unauthorised changes, especially by privileged users (read: system administrators, yes, you and your team).</w:t>
      </w:r>
    </w:p>
    <w:p w14:paraId="6C07716A" w14:textId="5F1269F1" w:rsidR="003D1A98" w:rsidRDefault="00002C86" w:rsidP="00012DAB">
      <w:pPr>
        <w:pStyle w:val="Heading4"/>
      </w:pPr>
      <w:r>
        <w:lastRenderedPageBreak/>
        <w:t>Implementation</w:t>
      </w:r>
    </w:p>
    <w:p w14:paraId="7496D209" w14:textId="77777777" w:rsidR="003D1A98" w:rsidRDefault="003D1A98" w:rsidP="003D1A98">
      <w:pPr>
        <w:rPr>
          <w:lang w:val="en-GB"/>
        </w:rPr>
      </w:pPr>
      <w:r>
        <w:rPr>
          <w:lang w:val="en-GB"/>
        </w:rPr>
        <w:t>Since it’s to be read and not presented, report should not use scoreboard. Scoreboard takes up valuable space.</w:t>
      </w:r>
    </w:p>
    <w:p w14:paraId="59049E13" w14:textId="77777777" w:rsidR="003D1A98" w:rsidRPr="00021ED9" w:rsidRDefault="003D1A98" w:rsidP="003D1A98">
      <w:pPr>
        <w:rPr>
          <w:lang w:val="en-GB"/>
        </w:rPr>
      </w:pPr>
      <w:r>
        <w:rPr>
          <w:lang w:val="en-GB"/>
        </w:rPr>
        <w:t xml:space="preserve">If we use table, how to control the pagination and length? This means it’s a single column. Having 2 widgets can result in different height. </w:t>
      </w:r>
    </w:p>
    <w:p w14:paraId="43D3C52D" w14:textId="2CADF60F" w:rsidR="00A51B9A" w:rsidRDefault="00290A77" w:rsidP="00A51B9A">
      <w:pPr>
        <w:pStyle w:val="Heading2"/>
        <w:rPr>
          <w:lang w:val="en-GB"/>
        </w:rPr>
      </w:pPr>
      <w:r>
        <w:rPr>
          <w:lang w:val="en-GB"/>
        </w:rPr>
        <w:lastRenderedPageBreak/>
        <w:t>The Art of Dashboard</w:t>
      </w:r>
    </w:p>
    <w:p w14:paraId="28C55785" w14:textId="3FA97079" w:rsidR="00290A77" w:rsidRPr="00290A77" w:rsidRDefault="000B78E5" w:rsidP="00290A77">
      <w:pPr>
        <w:pStyle w:val="AfterChapterTitle"/>
        <w:rPr>
          <w:lang w:val="en-GB"/>
        </w:rPr>
      </w:pPr>
      <w:r w:rsidRPr="000B78E5">
        <w:rPr>
          <w:lang w:val="en-GB"/>
        </w:rPr>
        <w:t>There are many considerations required in designing a suite of dashboards that tell a story.</w:t>
      </w:r>
      <w:r w:rsidR="00290A77">
        <mc:AlternateContent>
          <mc:Choice Requires="wps">
            <w:drawing>
              <wp:anchor distT="0" distB="0" distL="114300" distR="114300" simplePos="0" relativeHeight="251673600" behindDoc="0" locked="0" layoutInCell="1" allowOverlap="1" wp14:anchorId="03EB602F" wp14:editId="77D58B11">
                <wp:simplePos x="0" y="0"/>
                <wp:positionH relativeFrom="column">
                  <wp:posOffset>0</wp:posOffset>
                </wp:positionH>
                <wp:positionV relativeFrom="paragraph">
                  <wp:posOffset>0</wp:posOffset>
                </wp:positionV>
                <wp:extent cx="1828800" cy="1828800"/>
                <wp:effectExtent l="0" t="0" r="0" b="0"/>
                <wp:wrapNone/>
                <wp:docPr id="1971068995" name="Text Box 197106899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AACC25E" w14:textId="4F4E5EB6" w:rsidR="00290A77" w:rsidRPr="00C84219" w:rsidRDefault="00290A77" w:rsidP="00290A77">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3 Chapter 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03EB602F" id="Text Box 1971068995" o:spid="_x0000_s1042" type="#_x0000_t202" style="position:absolute;margin-left:0;margin-top:0;width:2in;height:2in;z-index:25167360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" filled="f" stroked="f">
                <v:textbox style="mso-fit-shape-to-text:t">
                  <w:txbxContent>
                    <w:p w14:paraId="6AACC25E" w14:textId="4F4E5EB6" w:rsidR="00290A77" w:rsidRPr="00C84219" w:rsidRDefault="00290A77" w:rsidP="00290A77">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3 Chapter 2</w:t>
                      </w:r>
                    </w:p>
                  </w:txbxContent>
                </v:textbox>
              </v:shape>
            </w:pict>
          </mc:Fallback>
        </mc:AlternateContent>
      </w:r>
      <w:r w:rsidR="00B03923">
        <w:rPr>
          <w:lang w:val="en-GB"/>
        </w:rPr>
        <w:t xml:space="preserve"> </w:t>
      </w:r>
      <w:r w:rsidR="00B03923" w:rsidRPr="00B03923">
        <w:rPr>
          <w:lang w:val="en-GB"/>
        </w:rPr>
        <w:t xml:space="preserve">The last few releases of vRealize Operations introduces many new capabilities that change the way your dashboards can look. vRealize Operations 8.2 </w:t>
      </w:r>
      <w:r w:rsidR="00FD1786">
        <w:rPr>
          <w:lang w:val="en-GB"/>
        </w:rPr>
        <w:t>introduces</w:t>
      </w:r>
      <w:r w:rsidR="00B03923" w:rsidRPr="00B03923">
        <w:rPr>
          <w:lang w:val="en-GB"/>
        </w:rPr>
        <w:t xml:space="preserve"> an enhanced dashboard to dashboard navigation, so you can create flow among dashboards. Your dashboards are no longer confined to be standalone dashboard.</w:t>
      </w:r>
    </w:p>
    <w:p w14:paraId="426E0CBE" w14:textId="6BFD40C7" w:rsidR="00FB12B1" w:rsidRPr="00A452F2" w:rsidRDefault="00012DAB" w:rsidP="00540F68">
      <w:pPr>
        <w:pStyle w:val="Heading3"/>
      </w:pPr>
      <w:r>
        <w:t>Design Consideration</w:t>
      </w:r>
    </w:p>
    <w:p w14:paraId="6FDE284F" w14:textId="7B5C1919" w:rsidR="004111E8" w:rsidRPr="00A452F2" w:rsidRDefault="00E7223B" w:rsidP="004111E8">
      <w:pPr>
        <w:rPr>
          <w:lang w:val="en-GB"/>
        </w:rPr>
      </w:pPr>
      <w:r w:rsidRPr="00A452F2">
        <w:rPr>
          <w:lang w:val="en-GB"/>
        </w:rPr>
        <w:t>To a few of us who love visualizing information with vRealize Operations, we see the dashboard as a canvas. Granted, the widgets have limitation but that’s part of the art</w:t>
      </w:r>
      <w:r w:rsidR="00EC3609" w:rsidRPr="00A452F2">
        <w:rPr>
          <w:lang w:val="en-GB"/>
        </w:rPr>
        <w:t xml:space="preserve"> </w:t>
      </w:r>
      <w:r w:rsidR="00EC3609" w:rsidRPr="00A452F2">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173BC30E" w14:textId="58A280BF" w:rsidR="00EC3609" w:rsidRPr="00A452F2" w:rsidRDefault="40CF52FF" w:rsidP="004111E8">
      <w:pPr>
        <w:rPr>
          <w:lang w:val="en-GB"/>
        </w:rPr>
      </w:pPr>
      <w:r w:rsidRPr="4C8B4F60">
        <w:rPr>
          <w:lang w:val="en-GB"/>
        </w:rPr>
        <w:t>Creating dashboards is</w:t>
      </w:r>
      <w:r w:rsidR="00EC3609" w:rsidRPr="4C8B4F60">
        <w:rPr>
          <w:lang w:val="en-GB"/>
        </w:rPr>
        <w:t xml:space="preserve"> an art as you need to balance many conflicting requirements</w:t>
      </w:r>
      <w:r w:rsidR="00AD7BAC" w:rsidRPr="4C8B4F60">
        <w:rPr>
          <w:lang w:val="en-GB"/>
        </w:rPr>
        <w:t>, such as:</w:t>
      </w:r>
    </w:p>
    <w:p w14:paraId="0AC7AE32" w14:textId="3B8805E0" w:rsidR="004111E8" w:rsidRPr="00A452F2" w:rsidRDefault="58AC4EBF" w:rsidP="00AC0EE9">
      <w:pPr>
        <w:rPr>
          <w:lang w:val="en-GB"/>
        </w:rPr>
      </w:pPr>
      <w:r>
        <w:rPr>
          <w:noProof/>
        </w:rPr>
        <w:lastRenderedPageBreak/>
        <w:drawing>
          <wp:inline distT="0" distB="0" distL="0" distR="0" wp14:anchorId="5E181AC1" wp14:editId="52263006">
            <wp:extent cx="6645910" cy="2389505"/>
            <wp:effectExtent l="0" t="0" r="2540" b="0"/>
            <wp:docPr id="606394056" name="Picture 606394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56"/>
                    <pic:cNvPicPr/>
                  </pic:nvPicPr>
                  <pic:blipFill>
                    <a:blip r:embed="rId985">
                      <a:extLst>
                        <a:ext uri="{28A0092B-C50C-407E-A947-70E740481C1C}">
                          <a14:useLocalDpi xmlns:a14="http://schemas.microsoft.com/office/drawing/2010/main" val="0"/>
                        </a:ext>
                      </a:extLst>
                    </a:blip>
                    <a:stretch>
                      <a:fillRect/>
                    </a:stretch>
                  </pic:blipFill>
                  <pic:spPr>
                    <a:xfrm>
                      <a:off x="0" y="0"/>
                      <a:ext cx="6645910" cy="2389505"/>
                    </a:xfrm>
                    <a:prstGeom prst="rect">
                      <a:avLst/>
                    </a:prstGeom>
                  </pic:spPr>
                </pic:pic>
              </a:graphicData>
            </a:graphic>
          </wp:inline>
        </w:drawing>
      </w:r>
    </w:p>
    <w:p w14:paraId="6C56238F" w14:textId="3BFB590C" w:rsidR="00AD7BAC" w:rsidRPr="00A452F2" w:rsidRDefault="00940417" w:rsidP="00940417">
      <w:pPr>
        <w:rPr>
          <w:lang w:val="en-GB"/>
        </w:rPr>
      </w:pPr>
      <w:r w:rsidRPr="4C8B4F60">
        <w:rPr>
          <w:lang w:val="en-GB"/>
        </w:rPr>
        <w:t xml:space="preserve">Can the dashboard be understood within 5 seconds? If yes, you buy yourself a few more minutes. </w:t>
      </w:r>
      <w:r w:rsidR="503AD6FB" w:rsidRPr="4C8B4F60">
        <w:rPr>
          <w:lang w:val="en-GB"/>
        </w:rPr>
        <w:t>The u</w:t>
      </w:r>
      <w:r w:rsidRPr="4C8B4F60">
        <w:rPr>
          <w:lang w:val="en-GB"/>
        </w:rPr>
        <w:t xml:space="preserve">ser understands what the dashboard does, and is willing to spend more time mastering it. To pass this test, think of which information, object, metric can you take </w:t>
      </w:r>
      <w:r w:rsidR="554C9BD5" w:rsidRPr="4C8B4F60">
        <w:rPr>
          <w:lang w:val="en-GB"/>
        </w:rPr>
        <w:t xml:space="preserve">away </w:t>
      </w:r>
      <w:r w:rsidRPr="4C8B4F60">
        <w:rPr>
          <w:lang w:val="en-GB"/>
        </w:rPr>
        <w:t xml:space="preserve">from the dashboard? See the </w:t>
      </w:r>
      <w:hyperlink r:id="rId986">
        <w:r w:rsidRPr="4C8B4F60">
          <w:rPr>
            <w:rStyle w:val="Hyperlink"/>
            <w:lang w:val="en-GB"/>
          </w:rPr>
          <w:t>KISS Principle</w:t>
        </w:r>
      </w:hyperlink>
      <w:r w:rsidR="00455698" w:rsidRPr="4C8B4F60">
        <w:rPr>
          <w:lang w:val="en-GB"/>
        </w:rPr>
        <w:t>, because a</w:t>
      </w:r>
      <w:r w:rsidR="799D9817" w:rsidRPr="4C8B4F60">
        <w:rPr>
          <w:lang w:val="en-GB"/>
        </w:rPr>
        <w:t>n</w:t>
      </w:r>
      <w:r w:rsidR="00455698" w:rsidRPr="4C8B4F60">
        <w:rPr>
          <w:lang w:val="en-GB"/>
        </w:rPr>
        <w:t xml:space="preserve"> uber</w:t>
      </w:r>
      <w:r w:rsidR="59550787" w:rsidRPr="4C8B4F60">
        <w:rPr>
          <w:lang w:val="en-GB"/>
        </w:rPr>
        <w:t>-</w:t>
      </w:r>
      <w:r w:rsidR="00455698" w:rsidRPr="4C8B4F60">
        <w:rPr>
          <w:lang w:val="en-GB"/>
        </w:rPr>
        <w:t xml:space="preserve">dashboard that tries to please everyone and cover all scenarios </w:t>
      </w:r>
      <w:r w:rsidR="49105B1F" w:rsidRPr="4C8B4F60">
        <w:rPr>
          <w:lang w:val="en-GB"/>
        </w:rPr>
        <w:t xml:space="preserve">will </w:t>
      </w:r>
      <w:r w:rsidR="00455698" w:rsidRPr="4C8B4F60">
        <w:rPr>
          <w:lang w:val="en-GB"/>
        </w:rPr>
        <w:t>end up not being used.</w:t>
      </w:r>
    </w:p>
    <w:p w14:paraId="4CA056A0" w14:textId="5CF08418" w:rsidR="00C705A1" w:rsidRPr="00A452F2" w:rsidRDefault="00A10193" w:rsidP="00C705A1">
      <w:pPr>
        <w:rPr>
          <w:lang w:val="en-GB"/>
        </w:rPr>
      </w:pPr>
      <w:r w:rsidRPr="4CAB3972">
        <w:rPr>
          <w:lang w:val="en-GB"/>
        </w:rPr>
        <w:t xml:space="preserve">Begin with the end in mind. The </w:t>
      </w:r>
      <w:r w:rsidR="00C705A1" w:rsidRPr="4CAB3972">
        <w:rPr>
          <w:lang w:val="en-GB"/>
        </w:rPr>
        <w:t xml:space="preserve">purpose dictates the dashboard design. 2 dashboards can have </w:t>
      </w:r>
      <w:r w:rsidR="7C46A407" w:rsidRPr="4CAB3972">
        <w:rPr>
          <w:lang w:val="en-GB"/>
        </w:rPr>
        <w:t xml:space="preserve">an </w:t>
      </w:r>
      <w:r w:rsidR="00C705A1" w:rsidRPr="4CAB3972">
        <w:rPr>
          <w:lang w:val="en-GB"/>
        </w:rPr>
        <w:t>identical</w:t>
      </w:r>
      <w:r w:rsidR="006B4E61" w:rsidRPr="4CAB3972">
        <w:rPr>
          <w:lang w:val="en-GB"/>
        </w:rPr>
        <w:t xml:space="preserve"> target</w:t>
      </w:r>
      <w:r w:rsidR="00C705A1" w:rsidRPr="4CAB3972">
        <w:rPr>
          <w:lang w:val="en-GB"/>
        </w:rPr>
        <w:t xml:space="preserve"> role, purpose, </w:t>
      </w:r>
      <w:r w:rsidR="001B4915" w:rsidRPr="4CAB3972">
        <w:rPr>
          <w:lang w:val="en-GB"/>
        </w:rPr>
        <w:t>and use case (e.g. performance)</w:t>
      </w:r>
      <w:r w:rsidR="006B4E61" w:rsidRPr="4CAB3972">
        <w:rPr>
          <w:lang w:val="en-GB"/>
        </w:rPr>
        <w:t>, b</w:t>
      </w:r>
      <w:r w:rsidR="00C705A1" w:rsidRPr="4CAB3972">
        <w:rPr>
          <w:lang w:val="en-GB"/>
        </w:rPr>
        <w:t>ut if the size of the environment differs, the 2 dashboard</w:t>
      </w:r>
      <w:r w:rsidR="34E873A7" w:rsidRPr="4CAB3972">
        <w:rPr>
          <w:lang w:val="en-GB"/>
        </w:rPr>
        <w:t>s</w:t>
      </w:r>
      <w:r w:rsidR="00C705A1" w:rsidRPr="4CAB3972">
        <w:rPr>
          <w:lang w:val="en-GB"/>
        </w:rPr>
        <w:t xml:space="preserve"> will be different. An environment with 50</w:t>
      </w:r>
      <w:r w:rsidR="32C84BA5" w:rsidRPr="4CAB3972">
        <w:rPr>
          <w:lang w:val="en-GB"/>
        </w:rPr>
        <w:t>,000</w:t>
      </w:r>
      <w:r w:rsidR="00C705A1" w:rsidRPr="4CAB3972">
        <w:rPr>
          <w:lang w:val="en-GB"/>
        </w:rPr>
        <w:t xml:space="preserve"> VMs is managed differently with an environment of 50 VMs.</w:t>
      </w:r>
    </w:p>
    <w:p w14:paraId="71EFC0EF" w14:textId="28FCE141" w:rsidR="004A622E" w:rsidRDefault="00C705A1" w:rsidP="00C705A1">
      <w:pPr>
        <w:rPr>
          <w:lang w:val="en-GB"/>
        </w:rPr>
      </w:pPr>
      <w:r w:rsidRPr="4CAB3972">
        <w:rPr>
          <w:lang w:val="en-GB"/>
        </w:rPr>
        <w:t xml:space="preserve">A </w:t>
      </w:r>
      <w:r w:rsidR="001B4915" w:rsidRPr="4CAB3972">
        <w:rPr>
          <w:lang w:val="en-GB"/>
        </w:rPr>
        <w:t xml:space="preserve">small </w:t>
      </w:r>
      <w:r w:rsidRPr="4CAB3972">
        <w:rPr>
          <w:lang w:val="en-GB"/>
        </w:rPr>
        <w:t>environment with 100 VM</w:t>
      </w:r>
      <w:r w:rsidR="214DF35F" w:rsidRPr="4CAB3972">
        <w:rPr>
          <w:lang w:val="en-GB"/>
        </w:rPr>
        <w:t>s</w:t>
      </w:r>
      <w:r w:rsidRPr="4CAB3972">
        <w:rPr>
          <w:lang w:val="en-GB"/>
        </w:rPr>
        <w:t xml:space="preserve"> in just 8 hosts in 1 cluster (hence 1 </w:t>
      </w:r>
      <w:r w:rsidR="005269DE" w:rsidRPr="4CAB3972">
        <w:rPr>
          <w:lang w:val="en-GB"/>
        </w:rPr>
        <w:t>data center</w:t>
      </w:r>
      <w:r w:rsidRPr="4CAB3972">
        <w:rPr>
          <w:lang w:val="en-GB"/>
        </w:rPr>
        <w:t>, 1 vCenter) needs less dashboards than an environment with 10</w:t>
      </w:r>
      <w:r w:rsidR="51DE6157" w:rsidRPr="4CAB3972">
        <w:rPr>
          <w:lang w:val="en-GB"/>
        </w:rPr>
        <w:t>,000</w:t>
      </w:r>
      <w:r w:rsidRPr="4CAB3972">
        <w:rPr>
          <w:lang w:val="en-GB"/>
        </w:rPr>
        <w:t xml:space="preserve"> VM spread over 800</w:t>
      </w:r>
      <w:r w:rsidR="008A416A">
        <w:rPr>
          <w:lang w:val="en-GB"/>
        </w:rPr>
        <w:t xml:space="preserve"> ESXi</w:t>
      </w:r>
      <w:r w:rsidRPr="4CAB3972">
        <w:rPr>
          <w:lang w:val="en-GB"/>
        </w:rPr>
        <w:t xml:space="preserve"> </w:t>
      </w:r>
      <w:r w:rsidR="0AC3865E" w:rsidRPr="4CAB3972">
        <w:rPr>
          <w:lang w:val="en-GB"/>
        </w:rPr>
        <w:t>hosts</w:t>
      </w:r>
      <w:r w:rsidRPr="4CAB3972">
        <w:rPr>
          <w:lang w:val="en-GB"/>
        </w:rPr>
        <w:t xml:space="preserve">, 100 clusters, 10 </w:t>
      </w:r>
      <w:r w:rsidR="005269DE" w:rsidRPr="4CAB3972">
        <w:rPr>
          <w:lang w:val="en-GB"/>
        </w:rPr>
        <w:t>data center</w:t>
      </w:r>
      <w:r w:rsidRPr="4CAB3972">
        <w:rPr>
          <w:lang w:val="en-GB"/>
        </w:rPr>
        <w:t>s and 3 vCenters.</w:t>
      </w:r>
    </w:p>
    <w:p w14:paraId="119EF434" w14:textId="0EEEE9D8" w:rsidR="004A622E" w:rsidRPr="00A452F2" w:rsidRDefault="004A622E" w:rsidP="00AC6E1E">
      <w:pPr>
        <w:pStyle w:val="Heading4"/>
      </w:pPr>
      <w:r>
        <w:t>Dashboard Design Method</w:t>
      </w:r>
    </w:p>
    <w:p w14:paraId="5323265F" w14:textId="5A647FE9" w:rsidR="004A622E" w:rsidRPr="004A622E" w:rsidRDefault="004A622E" w:rsidP="004A622E">
      <w:pPr>
        <w:rPr>
          <w:lang w:val="en-GB"/>
        </w:rPr>
      </w:pPr>
      <w:r w:rsidRPr="4CAB3972">
        <w:rPr>
          <w:lang w:val="en-GB"/>
        </w:rPr>
        <w:t>This section introduces us to a few considerations surrounding dashboard</w:t>
      </w:r>
      <w:r w:rsidR="7ACBEBDF" w:rsidRPr="4CAB3972">
        <w:rPr>
          <w:lang w:val="en-GB"/>
        </w:rPr>
        <w:t xml:space="preserve"> design</w:t>
      </w:r>
      <w:r w:rsidRPr="4CAB3972">
        <w:rPr>
          <w:lang w:val="en-GB"/>
        </w:rPr>
        <w:t xml:space="preserve">. We will walk through a method where we are able to understand the user, the activity, the workflow and the other aspects needed to understand the context before we start. </w:t>
      </w:r>
    </w:p>
    <w:p w14:paraId="10AB2B0B" w14:textId="3B525CC7" w:rsidR="004A622E" w:rsidRDefault="004A622E" w:rsidP="004A622E">
      <w:pPr>
        <w:rPr>
          <w:lang w:val="en-GB"/>
        </w:rPr>
      </w:pPr>
      <w:r w:rsidRPr="004A622E">
        <w:rPr>
          <w:lang w:val="en-GB"/>
        </w:rPr>
        <w:t>When we create dashboards that are used by others in our team we have to consider a few aspects that are helpful in making information useful, usable and delightful.</w:t>
      </w:r>
    </w:p>
    <w:p w14:paraId="61BE1BF4" w14:textId="77777777" w:rsidR="004A622E" w:rsidRDefault="004A622E" w:rsidP="004A622E">
      <w:pPr>
        <w:pStyle w:val="BeforeTable"/>
        <w:rPr>
          <w:lang w:val="en-GB"/>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276"/>
        <w:gridCol w:w="9180"/>
      </w:tblGrid>
      <w:tr w:rsidR="004A622E" w14:paraId="52030DF9" w14:textId="77777777" w:rsidTr="00C94835">
        <w:tc>
          <w:tcPr>
            <w:tcW w:w="1276" w:type="dxa"/>
            <w:shd w:val="clear" w:color="auto" w:fill="F2F2F2" w:themeFill="background1" w:themeFillShade="F2"/>
          </w:tcPr>
          <w:p w14:paraId="126AD7D4" w14:textId="1218AAE5" w:rsidR="004A622E" w:rsidRPr="004A622E" w:rsidRDefault="004A622E" w:rsidP="004A622E">
            <w:pPr>
              <w:pStyle w:val="Tablecontent"/>
              <w:rPr>
                <w:b/>
                <w:bCs/>
              </w:rPr>
            </w:pPr>
            <w:r w:rsidRPr="004A622E">
              <w:rPr>
                <w:b/>
                <w:bCs/>
              </w:rPr>
              <w:t>Who</w:t>
            </w:r>
          </w:p>
        </w:tc>
        <w:tc>
          <w:tcPr>
            <w:tcW w:w="9180" w:type="dxa"/>
          </w:tcPr>
          <w:p w14:paraId="4AC6BEC1" w14:textId="2A1488CC" w:rsidR="004A622E" w:rsidRDefault="00BB3CE7" w:rsidP="004A622E">
            <w:pPr>
              <w:pStyle w:val="Tablecontent"/>
            </w:pPr>
            <w:r>
              <w:rPr>
                <w:lang w:val="en-GB"/>
              </w:rPr>
              <w:t xml:space="preserve">Begin with the end in mind. Who are actually using the dashboards you create? </w:t>
            </w:r>
            <w:r>
              <w:t>What specific role and p</w:t>
            </w:r>
            <w:r w:rsidR="004A622E">
              <w:t xml:space="preserve">ersona is going to use </w:t>
            </w:r>
            <w:r>
              <w:t>it?</w:t>
            </w:r>
          </w:p>
          <w:p w14:paraId="743073FE" w14:textId="77777777" w:rsidR="004A622E" w:rsidRPr="001B194A" w:rsidRDefault="004A622E" w:rsidP="001B194A">
            <w:pPr>
              <w:pStyle w:val="Tablecontent"/>
            </w:pPr>
            <w:r w:rsidRPr="001B194A">
              <w:t xml:space="preserve">Start by creating a list of all users who would be accessing and using information in the dashboard </w:t>
            </w:r>
          </w:p>
          <w:p w14:paraId="27E6882E" w14:textId="094BD573" w:rsidR="004A622E" w:rsidRDefault="004A622E" w:rsidP="00C94835">
            <w:pPr>
              <w:pStyle w:val="Tablecontent"/>
            </w:pPr>
            <w:r>
              <w:t xml:space="preserve">Against this list mention the kind of information they would find useful for the specific </w:t>
            </w:r>
            <w:r w:rsidR="001B7FC0">
              <w:t>persona</w:t>
            </w:r>
            <w:r>
              <w:t>.</w:t>
            </w:r>
          </w:p>
        </w:tc>
      </w:tr>
      <w:tr w:rsidR="004A622E" w14:paraId="0ECB61DA" w14:textId="77777777" w:rsidTr="00C94835">
        <w:tc>
          <w:tcPr>
            <w:tcW w:w="1276" w:type="dxa"/>
            <w:shd w:val="clear" w:color="auto" w:fill="F2F2F2" w:themeFill="background1" w:themeFillShade="F2"/>
          </w:tcPr>
          <w:p w14:paraId="5A3BEB50" w14:textId="4DDE8A15" w:rsidR="004A622E" w:rsidRPr="004A622E" w:rsidRDefault="004A622E" w:rsidP="004A622E">
            <w:pPr>
              <w:pStyle w:val="Tablecontent"/>
              <w:rPr>
                <w:b/>
                <w:bCs/>
              </w:rPr>
            </w:pPr>
            <w:r w:rsidRPr="004A622E">
              <w:rPr>
                <w:b/>
                <w:bCs/>
              </w:rPr>
              <w:t>What</w:t>
            </w:r>
          </w:p>
        </w:tc>
        <w:tc>
          <w:tcPr>
            <w:tcW w:w="9180" w:type="dxa"/>
          </w:tcPr>
          <w:p w14:paraId="3C60FC02" w14:textId="61104F09" w:rsidR="001B194A" w:rsidRDefault="001B194A" w:rsidP="001B194A">
            <w:pPr>
              <w:pStyle w:val="Tablecontent"/>
            </w:pPr>
            <w:r>
              <w:t>What is the type of activity (</w:t>
            </w:r>
            <w:r w:rsidR="001B7FC0">
              <w:t>g</w:t>
            </w:r>
            <w:r>
              <w:t>ranular vs. high level) they will perform</w:t>
            </w:r>
            <w:r w:rsidR="6EF91E94">
              <w:t>?</w:t>
            </w:r>
          </w:p>
          <w:p w14:paraId="6FB0B7CF" w14:textId="77777777" w:rsidR="001B194A" w:rsidRDefault="001B194A" w:rsidP="001B194A">
            <w:pPr>
              <w:pStyle w:val="Tablecontent"/>
            </w:pPr>
            <w:r>
              <w:t xml:space="preserve">List next to the task if the information needs to be granular or high level. Sometimes users are looking for just a KPI number, sometimes they are looking for trends. Sometimes users might want to interact with the information, create drill downs etc. </w:t>
            </w:r>
          </w:p>
          <w:p w14:paraId="47BF3E71" w14:textId="7EB979D0" w:rsidR="004A622E" w:rsidRDefault="001B194A" w:rsidP="00C94835">
            <w:pPr>
              <w:pStyle w:val="Tablecontent"/>
            </w:pPr>
            <w:r>
              <w:t xml:space="preserve">The complexity of the activity will help you identify if you need a complex widget or a simple one. </w:t>
            </w:r>
          </w:p>
        </w:tc>
      </w:tr>
      <w:tr w:rsidR="004A622E" w14:paraId="6E1F295A" w14:textId="77777777" w:rsidTr="00C94835">
        <w:tc>
          <w:tcPr>
            <w:tcW w:w="1276" w:type="dxa"/>
            <w:shd w:val="clear" w:color="auto" w:fill="F2F2F2" w:themeFill="background1" w:themeFillShade="F2"/>
          </w:tcPr>
          <w:p w14:paraId="2B7591C8" w14:textId="4EFE4C9A" w:rsidR="004A622E" w:rsidRPr="004A622E" w:rsidRDefault="0042041D" w:rsidP="004A622E">
            <w:pPr>
              <w:pStyle w:val="Tablecontent"/>
              <w:rPr>
                <w:b/>
                <w:bCs/>
              </w:rPr>
            </w:pPr>
            <w:r>
              <w:rPr>
                <w:b/>
                <w:bCs/>
              </w:rPr>
              <w:lastRenderedPageBreak/>
              <w:t>How</w:t>
            </w:r>
          </w:p>
        </w:tc>
        <w:tc>
          <w:tcPr>
            <w:tcW w:w="9180" w:type="dxa"/>
          </w:tcPr>
          <w:p w14:paraId="1E3F9D38" w14:textId="4BA77FD9" w:rsidR="001B194A" w:rsidRDefault="001B194A" w:rsidP="001B194A">
            <w:pPr>
              <w:pStyle w:val="Tablecontent"/>
            </w:pPr>
            <w:r>
              <w:t xml:space="preserve">How (workflow) </w:t>
            </w:r>
            <w:r w:rsidR="5D220907">
              <w:t>will they</w:t>
            </w:r>
            <w:r w:rsidR="335A46B3">
              <w:t xml:space="preserve"> use</w:t>
            </w:r>
            <w:r>
              <w:t xml:space="preserve"> the dashboard</w:t>
            </w:r>
            <w:r w:rsidR="2CC02B15">
              <w:t>?</w:t>
            </w:r>
          </w:p>
          <w:p w14:paraId="5866783A" w14:textId="7DE487EE" w:rsidR="004A622E" w:rsidRDefault="001B194A" w:rsidP="00C94835">
            <w:pPr>
              <w:pStyle w:val="Tablecontent"/>
            </w:pPr>
            <w:r>
              <w:t xml:space="preserve">List down what happens after they view the information, do they need to use another application, another </w:t>
            </w:r>
            <w:r w:rsidR="00C94835">
              <w:t>visualization</w:t>
            </w:r>
            <w:r>
              <w:t xml:space="preserve">. Plan accordingly and place navigation to enable this to happen. </w:t>
            </w:r>
          </w:p>
        </w:tc>
      </w:tr>
      <w:tr w:rsidR="004A622E" w14:paraId="1DBCE397" w14:textId="77777777" w:rsidTr="00C94835">
        <w:tc>
          <w:tcPr>
            <w:tcW w:w="1276" w:type="dxa"/>
            <w:shd w:val="clear" w:color="auto" w:fill="F2F2F2" w:themeFill="background1" w:themeFillShade="F2"/>
          </w:tcPr>
          <w:p w14:paraId="3C824B32" w14:textId="25DD212C" w:rsidR="004A622E" w:rsidRPr="004A622E" w:rsidRDefault="0042041D" w:rsidP="004A622E">
            <w:pPr>
              <w:pStyle w:val="Tablecontent"/>
              <w:rPr>
                <w:b/>
                <w:bCs/>
              </w:rPr>
            </w:pPr>
            <w:r>
              <w:rPr>
                <w:b/>
                <w:bCs/>
              </w:rPr>
              <w:t>When</w:t>
            </w:r>
          </w:p>
        </w:tc>
        <w:tc>
          <w:tcPr>
            <w:tcW w:w="9180" w:type="dxa"/>
          </w:tcPr>
          <w:p w14:paraId="2A92A892" w14:textId="3D78981F" w:rsidR="001B194A" w:rsidRDefault="001B194A" w:rsidP="001B194A">
            <w:pPr>
              <w:pStyle w:val="Tablecontent"/>
            </w:pPr>
            <w:r>
              <w:t xml:space="preserve">How often (hourly, daily, weekly, monthly, quarterly) will </w:t>
            </w:r>
            <w:r w:rsidR="19534AE7">
              <w:t xml:space="preserve">they </w:t>
            </w:r>
            <w:r>
              <w:t>use the dashboard</w:t>
            </w:r>
            <w:r w:rsidR="2EA04518">
              <w:t>?</w:t>
            </w:r>
          </w:p>
          <w:p w14:paraId="6D8B8D69" w14:textId="6397D46B" w:rsidR="004A622E" w:rsidRDefault="001B194A" w:rsidP="00C94835">
            <w:pPr>
              <w:pStyle w:val="Tablecontent"/>
            </w:pPr>
            <w:r>
              <w:t xml:space="preserve">Think about the usage of the dashboard, is it a frequent use case needed for daily use to perform work, or is it for monitoring on an irregular basis. </w:t>
            </w:r>
          </w:p>
        </w:tc>
      </w:tr>
      <w:tr w:rsidR="004A622E" w14:paraId="3DCD2237" w14:textId="77777777" w:rsidTr="00C94835">
        <w:tc>
          <w:tcPr>
            <w:tcW w:w="1276" w:type="dxa"/>
            <w:shd w:val="clear" w:color="auto" w:fill="F2F2F2" w:themeFill="background1" w:themeFillShade="F2"/>
          </w:tcPr>
          <w:p w14:paraId="7273E7CD" w14:textId="13EBE779" w:rsidR="004A622E" w:rsidRPr="0042041D" w:rsidRDefault="0042041D" w:rsidP="004A622E">
            <w:pPr>
              <w:pStyle w:val="Tablecontent"/>
              <w:rPr>
                <w:b/>
                <w:bCs/>
              </w:rPr>
            </w:pPr>
            <w:r w:rsidRPr="0042041D">
              <w:rPr>
                <w:b/>
                <w:bCs/>
              </w:rPr>
              <w:t>Why</w:t>
            </w:r>
          </w:p>
        </w:tc>
        <w:tc>
          <w:tcPr>
            <w:tcW w:w="9180" w:type="dxa"/>
          </w:tcPr>
          <w:p w14:paraId="56DD957F" w14:textId="094147B6" w:rsidR="001B194A" w:rsidRDefault="001B194A" w:rsidP="001B194A">
            <w:pPr>
              <w:pStyle w:val="Tablecontent"/>
            </w:pPr>
            <w:r>
              <w:t>Why (outcome)</w:t>
            </w:r>
            <w:r w:rsidR="4EEE07E2">
              <w:t xml:space="preserve"> do they need the dashboard?</w:t>
            </w:r>
            <w:r>
              <w:t xml:space="preserve"> </w:t>
            </w:r>
          </w:p>
          <w:p w14:paraId="63909C68" w14:textId="074001D6" w:rsidR="004A622E" w:rsidRDefault="001B194A" w:rsidP="004A622E">
            <w:pPr>
              <w:pStyle w:val="Tablecontent"/>
            </w:pPr>
            <w:r>
              <w:t xml:space="preserve">Also list down outcomes from the dashboard usage. What is the usefulness of using the dashboard and what goals or outcomes the user is likely to achieve. </w:t>
            </w:r>
          </w:p>
        </w:tc>
      </w:tr>
    </w:tbl>
    <w:p w14:paraId="433B40E9" w14:textId="77777777" w:rsidR="0042041D" w:rsidRDefault="0042041D" w:rsidP="0042041D">
      <w:pPr>
        <w:pStyle w:val="BeforeTable"/>
        <w:rPr>
          <w:lang w:val="en-GB"/>
        </w:rPr>
      </w:pPr>
    </w:p>
    <w:p w14:paraId="70B4A8C2" w14:textId="19A29113" w:rsidR="0042041D" w:rsidRPr="0042041D" w:rsidRDefault="0042041D" w:rsidP="0042041D">
      <w:pPr>
        <w:rPr>
          <w:lang w:val="en-GB"/>
        </w:rPr>
      </w:pPr>
      <w:r w:rsidRPr="0042041D">
        <w:rPr>
          <w:lang w:val="en-GB"/>
        </w:rPr>
        <w:t>Once we get this information we can better design dashboards based on the needs of the users. One way could be to plot it on a grid to understand the impact better. Let’s start with a grid like this one</w:t>
      </w:r>
      <w:r w:rsidR="00E4254C">
        <w:rPr>
          <w:lang w:val="en-GB"/>
        </w:rPr>
        <w:t xml:space="preserve">. </w:t>
      </w:r>
    </w:p>
    <w:p w14:paraId="5DBB053F" w14:textId="5B22F189" w:rsidR="0042041D" w:rsidRDefault="0042041D" w:rsidP="0042041D">
      <w:pPr>
        <w:rPr>
          <w:lang w:val="en-GB"/>
        </w:rPr>
      </w:pPr>
      <w:r w:rsidRPr="0042041D">
        <w:rPr>
          <w:lang w:val="en-GB"/>
        </w:rPr>
        <w:t xml:space="preserve">Now if take the example of Who from different roles/personas </w:t>
      </w:r>
    </w:p>
    <w:p w14:paraId="0B5898D6" w14:textId="7AA765BA" w:rsidR="001B194A" w:rsidRPr="0042041D" w:rsidRDefault="001B194A" w:rsidP="001B194A">
      <w:pPr>
        <w:jc w:val="center"/>
        <w:rPr>
          <w:lang w:val="en-GB"/>
        </w:rPr>
      </w:pPr>
      <w:r>
        <w:rPr>
          <w:noProof/>
        </w:rPr>
        <w:drawing>
          <wp:inline distT="0" distB="0" distL="0" distR="0" wp14:anchorId="4089D944" wp14:editId="1E0D3052">
            <wp:extent cx="4491974" cy="2967788"/>
            <wp:effectExtent l="0" t="0" r="0" b="4445"/>
            <wp:docPr id="606394368" name="Picture 606394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68"/>
                    <pic:cNvPicPr/>
                  </pic:nvPicPr>
                  <pic:blipFill>
                    <a:blip r:embed="rId987">
                      <a:extLst>
                        <a:ext uri="{28A0092B-C50C-407E-A947-70E740481C1C}">
                          <a14:useLocalDpi xmlns:a14="http://schemas.microsoft.com/office/drawing/2010/main" val="0"/>
                        </a:ext>
                      </a:extLst>
                    </a:blip>
                    <a:stretch>
                      <a:fillRect/>
                    </a:stretch>
                  </pic:blipFill>
                  <pic:spPr>
                    <a:xfrm>
                      <a:off x="0" y="0"/>
                      <a:ext cx="4491974" cy="2967788"/>
                    </a:xfrm>
                    <a:prstGeom prst="rect">
                      <a:avLst/>
                    </a:prstGeom>
                  </pic:spPr>
                </pic:pic>
              </a:graphicData>
            </a:graphic>
          </wp:inline>
        </w:drawing>
      </w:r>
    </w:p>
    <w:p w14:paraId="3C1B80E6" w14:textId="1CC919BC" w:rsidR="0042041D" w:rsidRPr="0042041D" w:rsidRDefault="0042041D" w:rsidP="001B194A">
      <w:pPr>
        <w:rPr>
          <w:lang w:val="en-GB"/>
        </w:rPr>
      </w:pPr>
      <w:r w:rsidRPr="0042041D">
        <w:rPr>
          <w:lang w:val="en-GB"/>
        </w:rPr>
        <w:t xml:space="preserve">An executive might use the dashboard less frequently and the type of tasks they would perform could be high level. If you make a dashboard that is very granular and requires a lot of effort the executive might not have the time to use the dashboard. </w:t>
      </w:r>
    </w:p>
    <w:p w14:paraId="246399F9" w14:textId="53CF037C" w:rsidR="0042041D" w:rsidRPr="0042041D" w:rsidRDefault="0042041D" w:rsidP="001B194A">
      <w:pPr>
        <w:rPr>
          <w:lang w:val="en-GB"/>
        </w:rPr>
      </w:pPr>
      <w:r w:rsidRPr="0042041D">
        <w:rPr>
          <w:lang w:val="en-GB"/>
        </w:rPr>
        <w:t>A manager might use the dashboard once a week, or on a monthly timeline, might need information on both granular or high-level.</w:t>
      </w:r>
    </w:p>
    <w:p w14:paraId="11850C0E" w14:textId="1A2CE1AA" w:rsidR="004A622E" w:rsidRDefault="0042041D" w:rsidP="001B194A">
      <w:pPr>
        <w:rPr>
          <w:lang w:val="en-GB"/>
        </w:rPr>
      </w:pPr>
      <w:r w:rsidRPr="0042041D">
        <w:rPr>
          <w:lang w:val="en-GB"/>
        </w:rPr>
        <w:t>Similarly an admin agent might use it on a daily basis and might need information at times that needs a lot of effort and at other times just a metric number would d</w:t>
      </w:r>
      <w:r>
        <w:rPr>
          <w:lang w:val="en-GB"/>
        </w:rPr>
        <w:t>o.</w:t>
      </w:r>
    </w:p>
    <w:p w14:paraId="29AE2E24" w14:textId="054246F7" w:rsidR="0042041D" w:rsidRPr="00A452F2" w:rsidRDefault="0042041D" w:rsidP="0042041D">
      <w:pPr>
        <w:rPr>
          <w:lang w:val="en-GB"/>
        </w:rPr>
      </w:pPr>
      <w:r w:rsidRPr="0042041D">
        <w:rPr>
          <w:lang w:val="en-GB"/>
        </w:rPr>
        <w:t>Once you have reached a visualisation like this, you can better judge. If it needs to be a single dashboard or multiple based on the persona. What items should you prioritise and what kind of complexity is necessary based on the timeframe and time available with the stakeholder</w:t>
      </w:r>
    </w:p>
    <w:p w14:paraId="37C3FF2B" w14:textId="65E73814" w:rsidR="00B50A0B" w:rsidRPr="00A452F2" w:rsidRDefault="00B50A0B" w:rsidP="00AC6E1E">
      <w:pPr>
        <w:pStyle w:val="Heading4"/>
      </w:pPr>
      <w:r w:rsidRPr="00A452F2">
        <w:lastRenderedPageBreak/>
        <w:t>Clean Layout</w:t>
      </w:r>
    </w:p>
    <w:p w14:paraId="725F4063" w14:textId="546FA86F" w:rsidR="00B50A0B" w:rsidRPr="00A452F2" w:rsidRDefault="00B50A0B" w:rsidP="00B50A0B">
      <w:pPr>
        <w:rPr>
          <w:lang w:val="en-GB"/>
        </w:rPr>
      </w:pPr>
      <w:r w:rsidRPr="00A452F2">
        <w:rPr>
          <w:lang w:val="en-GB"/>
        </w:rPr>
        <w:t>Divide the screen into sections visually. This makes the dashboard easier to read. Here are some examples of how you can divide the screen.</w:t>
      </w:r>
    </w:p>
    <w:p w14:paraId="4322E99C" w14:textId="5A9D7A1F" w:rsidR="00A10193" w:rsidRPr="00A452F2" w:rsidRDefault="4376D34D" w:rsidP="00A25632">
      <w:pPr>
        <w:jc w:val="center"/>
        <w:rPr>
          <w:lang w:val="en-GB"/>
        </w:rPr>
      </w:pPr>
      <w:r>
        <w:rPr>
          <w:noProof/>
        </w:rPr>
        <w:drawing>
          <wp:inline distT="0" distB="0" distL="0" distR="0" wp14:anchorId="5CECD649" wp14:editId="7B0380F8">
            <wp:extent cx="3397656" cy="2201545"/>
            <wp:effectExtent l="0" t="0" r="0" b="8255"/>
            <wp:docPr id="606394119" name="Picture 606394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19"/>
                    <pic:cNvPicPr/>
                  </pic:nvPicPr>
                  <pic:blipFill>
                    <a:blip r:embed="rId988">
                      <a:extLst>
                        <a:ext uri="{28A0092B-C50C-407E-A947-70E740481C1C}">
                          <a14:useLocalDpi xmlns:a14="http://schemas.microsoft.com/office/drawing/2010/main" val="0"/>
                        </a:ext>
                      </a:extLst>
                    </a:blip>
                    <a:stretch>
                      <a:fillRect/>
                    </a:stretch>
                  </pic:blipFill>
                  <pic:spPr>
                    <a:xfrm>
                      <a:off x="0" y="0"/>
                      <a:ext cx="3397656" cy="2201545"/>
                    </a:xfrm>
                    <a:prstGeom prst="rect">
                      <a:avLst/>
                    </a:prstGeom>
                  </pic:spPr>
                </pic:pic>
              </a:graphicData>
            </a:graphic>
          </wp:inline>
        </w:drawing>
      </w:r>
    </w:p>
    <w:p w14:paraId="26685B42" w14:textId="26FA82B9" w:rsidR="00F56383" w:rsidRDefault="00F56383" w:rsidP="00E7573A">
      <w:pPr>
        <w:pStyle w:val="Heading5"/>
      </w:pPr>
      <w:r>
        <w:t>Example 1</w:t>
      </w:r>
    </w:p>
    <w:p w14:paraId="6662E242" w14:textId="6AEBBE65" w:rsidR="00B50A0B" w:rsidRPr="00A452F2" w:rsidRDefault="0065113C" w:rsidP="00C705A1">
      <w:pPr>
        <w:rPr>
          <w:lang w:val="en-GB"/>
        </w:rPr>
      </w:pPr>
      <w:r w:rsidRPr="00A452F2">
        <w:rPr>
          <w:lang w:val="en-GB"/>
        </w:rPr>
        <w:t>Here is a good example of layout</w:t>
      </w:r>
      <w:r w:rsidR="00F53818">
        <w:rPr>
          <w:lang w:val="en-GB"/>
        </w:rPr>
        <w:t xml:space="preserve"> from Brock Peterson</w:t>
      </w:r>
      <w:r w:rsidRPr="00A452F2">
        <w:rPr>
          <w:lang w:val="en-GB"/>
        </w:rPr>
        <w:t xml:space="preserve">. Notice how simple it is. </w:t>
      </w:r>
      <w:r w:rsidR="00953492">
        <w:rPr>
          <w:lang w:val="en-GB"/>
        </w:rPr>
        <w:t>I</w:t>
      </w:r>
      <w:r w:rsidR="006374F3" w:rsidRPr="00A452F2">
        <w:rPr>
          <w:lang w:val="en-GB"/>
        </w:rPr>
        <w:t>t is clear that it has 4 layers as layout is consistent among them.</w:t>
      </w:r>
    </w:p>
    <w:p w14:paraId="4D3E8B07" w14:textId="5C5E288D" w:rsidR="0065113C" w:rsidRDefault="10FBF754" w:rsidP="00C705A1">
      <w:pPr>
        <w:rPr>
          <w:lang w:val="en-GB"/>
        </w:rPr>
      </w:pPr>
      <w:r>
        <w:rPr>
          <w:noProof/>
        </w:rPr>
        <w:drawing>
          <wp:inline distT="0" distB="0" distL="0" distR="0" wp14:anchorId="07F40537" wp14:editId="5077995D">
            <wp:extent cx="6645910" cy="3305810"/>
            <wp:effectExtent l="0" t="0" r="2540" b="8890"/>
            <wp:docPr id="606394120" name="Picture 60639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20"/>
                    <pic:cNvPicPr/>
                  </pic:nvPicPr>
                  <pic:blipFill>
                    <a:blip r:embed="rId989">
                      <a:extLst>
                        <a:ext uri="{28A0092B-C50C-407E-A947-70E740481C1C}">
                          <a14:useLocalDpi xmlns:a14="http://schemas.microsoft.com/office/drawing/2010/main" val="0"/>
                        </a:ext>
                      </a:extLst>
                    </a:blip>
                    <a:stretch>
                      <a:fillRect/>
                    </a:stretch>
                  </pic:blipFill>
                  <pic:spPr>
                    <a:xfrm>
                      <a:off x="0" y="0"/>
                      <a:ext cx="6645910" cy="3305810"/>
                    </a:xfrm>
                    <a:prstGeom prst="rect">
                      <a:avLst/>
                    </a:prstGeom>
                  </pic:spPr>
                </pic:pic>
              </a:graphicData>
            </a:graphic>
          </wp:inline>
        </w:drawing>
      </w:r>
    </w:p>
    <w:p w14:paraId="08D2A187" w14:textId="73ACE322" w:rsidR="00F56383" w:rsidRDefault="00F56383" w:rsidP="00E7573A">
      <w:pPr>
        <w:pStyle w:val="Heading5"/>
      </w:pPr>
      <w:r>
        <w:lastRenderedPageBreak/>
        <w:t>Example 2</w:t>
      </w:r>
    </w:p>
    <w:p w14:paraId="234693FF" w14:textId="411CCC33" w:rsidR="000E2015" w:rsidRDefault="000E2015" w:rsidP="00C705A1">
      <w:pPr>
        <w:rPr>
          <w:lang w:val="en-GB"/>
        </w:rPr>
      </w:pPr>
      <w:r>
        <w:rPr>
          <w:lang w:val="en-GB"/>
        </w:rPr>
        <w:t xml:space="preserve">You should also </w:t>
      </w:r>
      <w:r w:rsidR="002A7EC2">
        <w:rPr>
          <w:lang w:val="en-GB"/>
        </w:rPr>
        <w:t>play with Dark Mode, and see how that looks</w:t>
      </w:r>
      <w:r w:rsidR="00781859">
        <w:rPr>
          <w:lang w:val="en-GB"/>
        </w:rPr>
        <w:t xml:space="preserve">. The following shows a clean layout in dark mode. </w:t>
      </w:r>
      <w:r w:rsidR="009F2C8F">
        <w:rPr>
          <w:lang w:val="en-GB"/>
        </w:rPr>
        <w:t xml:space="preserve">Notice how </w:t>
      </w:r>
      <w:hyperlink r:id="rId990" w:history="1">
        <w:hyperlink r:id="rId991" w:tgtFrame="_self" w:history="1">
          <w:r w:rsidR="009F2C8F" w:rsidRPr="000E1C3E">
            <w:rPr>
              <w:rStyle w:val="Hyperlink"/>
            </w:rPr>
            <w:t>Dale Hassinger</w:t>
          </w:r>
        </w:hyperlink>
      </w:hyperlink>
      <w:r w:rsidR="009F2C8F">
        <w:t xml:space="preserve"> ha</w:t>
      </w:r>
      <w:r w:rsidR="001003ED">
        <w:t>s</w:t>
      </w:r>
      <w:r w:rsidR="009F2C8F">
        <w:t xml:space="preserve"> arranged this dashboard well. </w:t>
      </w:r>
    </w:p>
    <w:p w14:paraId="2BF1A2E1" w14:textId="7576C786" w:rsidR="002A7EC2" w:rsidRDefault="002A7EC2" w:rsidP="00C705A1">
      <w:pPr>
        <w:rPr>
          <w:lang w:val="en-GB"/>
        </w:rPr>
      </w:pPr>
      <w:r>
        <w:rPr>
          <w:noProof/>
          <w:lang w:val="en-GB"/>
        </w:rPr>
        <w:drawing>
          <wp:inline distT="0" distB="0" distL="0" distR="0" wp14:anchorId="258F57F5" wp14:editId="17435496">
            <wp:extent cx="6645910" cy="3335020"/>
            <wp:effectExtent l="0" t="0" r="2540" b="0"/>
            <wp:docPr id="1583707914" name="Picture 1583707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6645910" cy="3335020"/>
                    </a:xfrm>
                    <a:prstGeom prst="rect">
                      <a:avLst/>
                    </a:prstGeom>
                    <a:noFill/>
                    <a:ln>
                      <a:noFill/>
                    </a:ln>
                  </pic:spPr>
                </pic:pic>
              </a:graphicData>
            </a:graphic>
          </wp:inline>
        </w:drawing>
      </w:r>
    </w:p>
    <w:p w14:paraId="4FF8FA02" w14:textId="208FBCA5" w:rsidR="00F56383" w:rsidRDefault="00B33EC3" w:rsidP="00E41926">
      <w:pPr>
        <w:rPr>
          <w:lang w:val="en-GB"/>
        </w:rPr>
      </w:pPr>
      <w:r>
        <w:rPr>
          <w:lang w:val="en-GB"/>
        </w:rPr>
        <w:t>Visually,</w:t>
      </w:r>
      <w:r w:rsidR="00F56383">
        <w:rPr>
          <w:lang w:val="en-GB"/>
        </w:rPr>
        <w:t xml:space="preserve"> he has d</w:t>
      </w:r>
      <w:r w:rsidR="00E41926" w:rsidRPr="00A452F2">
        <w:rPr>
          <w:lang w:val="en-GB"/>
        </w:rPr>
        <w:t>esign</w:t>
      </w:r>
      <w:r w:rsidR="00F56383">
        <w:rPr>
          <w:lang w:val="en-GB"/>
        </w:rPr>
        <w:t>ed</w:t>
      </w:r>
      <w:r w:rsidR="00E41926">
        <w:rPr>
          <w:lang w:val="en-GB"/>
        </w:rPr>
        <w:t xml:space="preserve"> the layout</w:t>
      </w:r>
      <w:r w:rsidR="00E41926" w:rsidRPr="00A452F2">
        <w:rPr>
          <w:lang w:val="en-GB"/>
        </w:rPr>
        <w:t xml:space="preserve"> “top down”</w:t>
      </w:r>
      <w:r w:rsidR="00F56383">
        <w:rPr>
          <w:lang w:val="en-GB"/>
        </w:rPr>
        <w:t>, making it easier to see</w:t>
      </w:r>
      <w:r w:rsidR="00E41926" w:rsidRPr="00A452F2">
        <w:rPr>
          <w:lang w:val="en-GB"/>
        </w:rPr>
        <w:t xml:space="preserve">. </w:t>
      </w:r>
    </w:p>
    <w:p w14:paraId="7D09185C" w14:textId="57EDCB44" w:rsidR="00E41926" w:rsidRPr="00A452F2" w:rsidRDefault="00F56383" w:rsidP="00E41926">
      <w:pPr>
        <w:rPr>
          <w:lang w:val="en-GB"/>
        </w:rPr>
      </w:pPr>
      <w:r>
        <w:rPr>
          <w:lang w:val="en-GB"/>
        </w:rPr>
        <w:t xml:space="preserve">Another technique is to </w:t>
      </w:r>
      <w:r w:rsidR="00E41926">
        <w:rPr>
          <w:lang w:val="en-GB"/>
        </w:rPr>
        <w:t xml:space="preserve">create </w:t>
      </w:r>
      <w:r w:rsidR="00E41926" w:rsidRPr="00A452F2">
        <w:rPr>
          <w:lang w:val="en-GB"/>
        </w:rPr>
        <w:t>2 sections: summary and detail.</w:t>
      </w:r>
    </w:p>
    <w:p w14:paraId="60F88525" w14:textId="77777777" w:rsidR="00E41926" w:rsidRPr="00A452F2" w:rsidRDefault="00E41926" w:rsidP="00E41926">
      <w:pPr>
        <w:pStyle w:val="Bullet"/>
        <w:rPr>
          <w:lang w:val="en-GB"/>
        </w:rPr>
      </w:pPr>
      <w:r w:rsidRPr="00A452F2">
        <w:rPr>
          <w:lang w:val="en-GB"/>
        </w:rPr>
        <w:t xml:space="preserve">The summary section is typically placed at the top of the dashboard. It gives the big picture. </w:t>
      </w:r>
    </w:p>
    <w:p w14:paraId="3918C2DE" w14:textId="77777777" w:rsidR="00E41926" w:rsidRPr="00A452F2" w:rsidRDefault="00E41926" w:rsidP="00E41926">
      <w:pPr>
        <w:pStyle w:val="Bullet"/>
        <w:rPr>
          <w:lang w:val="en-GB"/>
        </w:rPr>
      </w:pPr>
      <w:r w:rsidRPr="00A452F2">
        <w:rPr>
          <w:lang w:val="en-GB"/>
        </w:rPr>
        <w:t xml:space="preserve">The detail section is placed below the summary section. It lets you drill down into a specific object. For example, if it’s a VM performance, you can get the detail performance of a specific VM. </w:t>
      </w:r>
    </w:p>
    <w:p w14:paraId="68D14BCD" w14:textId="33986698" w:rsidR="00E41926" w:rsidRDefault="00E41926" w:rsidP="00C705A1">
      <w:pPr>
        <w:rPr>
          <w:lang w:val="en-GB"/>
        </w:rPr>
      </w:pPr>
      <w:r w:rsidRPr="00A452F2">
        <w:rPr>
          <w:lang w:val="en-GB"/>
        </w:rPr>
        <w:t>This detail section is also designed with quick context switch, as you may want to check the performance of multiple objects during performance troubleshooting. Take for example VM performance. The dashboard gives you all the VM-specific information and allows you to see the KPIs without changing screens. You can move from one VM to another and view the details without opening multiple windows.</w:t>
      </w:r>
    </w:p>
    <w:p w14:paraId="5C0979FC" w14:textId="77777777" w:rsidR="00EE03B3" w:rsidRPr="00A452F2" w:rsidRDefault="00EE03B3" w:rsidP="00AC6E1E">
      <w:pPr>
        <w:pStyle w:val="Heading4"/>
      </w:pPr>
      <w:r>
        <w:t>Color</w:t>
      </w:r>
      <w:r w:rsidRPr="4CAB3972">
        <w:t xml:space="preserve"> as Meaning</w:t>
      </w:r>
    </w:p>
    <w:p w14:paraId="7299A1BE" w14:textId="77777777" w:rsidR="00EE03B3" w:rsidRPr="00A452F2" w:rsidRDefault="00EE03B3" w:rsidP="00EE03B3">
      <w:pPr>
        <w:rPr>
          <w:lang w:val="en-GB"/>
        </w:rPr>
      </w:pPr>
      <w:r w:rsidRPr="4CAB3972">
        <w:rPr>
          <w:lang w:val="en-GB"/>
        </w:rPr>
        <w:t xml:space="preserve">It’s easier to see </w:t>
      </w:r>
      <w:r>
        <w:rPr>
          <w:color w:val="ED7D31" w:themeColor="accent2"/>
          <w:lang w:val="en-GB"/>
        </w:rPr>
        <w:t>color</w:t>
      </w:r>
      <w:r w:rsidRPr="4CAB3972">
        <w:rPr>
          <w:lang w:val="en-GB"/>
        </w:rPr>
        <w:t xml:space="preserve"> than read numbers, if the </w:t>
      </w:r>
      <w:r>
        <w:rPr>
          <w:lang w:val="en-GB"/>
        </w:rPr>
        <w:t>color</w:t>
      </w:r>
      <w:r w:rsidRPr="4CAB3972">
        <w:rPr>
          <w:lang w:val="en-GB"/>
        </w:rPr>
        <w:t xml:space="preserve"> has meaning. There are many occasions in operations that you just need to know if things are good or bad first, before diving into the actual raw value. </w:t>
      </w:r>
      <w:r>
        <w:rPr>
          <w:lang w:val="en-GB"/>
        </w:rPr>
        <w:t>Color</w:t>
      </w:r>
      <w:r w:rsidRPr="4CAB3972">
        <w:rPr>
          <w:lang w:val="en-GB"/>
        </w:rPr>
        <w:t xml:space="preserve"> is also easier at a glance, especially if you have read hundreds of numbers inside a large table.</w:t>
      </w:r>
    </w:p>
    <w:p w14:paraId="0ADEF721" w14:textId="608BAFD5" w:rsidR="00EE03B3" w:rsidRDefault="00EE03B3" w:rsidP="00EE03B3">
      <w:pPr>
        <w:rPr>
          <w:lang w:val="en-GB"/>
        </w:rPr>
      </w:pPr>
      <w:r w:rsidRPr="4CAB3972">
        <w:rPr>
          <w:lang w:val="en-GB"/>
        </w:rPr>
        <w:t xml:space="preserve">Here is the </w:t>
      </w:r>
      <w:r>
        <w:rPr>
          <w:lang w:val="en-GB"/>
        </w:rPr>
        <w:t>color</w:t>
      </w:r>
      <w:r w:rsidRPr="4CAB3972">
        <w:rPr>
          <w:lang w:val="en-GB"/>
        </w:rPr>
        <w:t xml:space="preserve"> I recommend:</w:t>
      </w:r>
    </w:p>
    <w:p w14:paraId="69E5798F" w14:textId="77777777" w:rsidR="001F3F5C" w:rsidRDefault="001F3F5C" w:rsidP="001F3F5C">
      <w:pPr>
        <w:pStyle w:val="BeforeTable"/>
        <w:rPr>
          <w:lang w:val="en-GB"/>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3402"/>
        <w:gridCol w:w="7054"/>
      </w:tblGrid>
      <w:tr w:rsidR="00EE03B3" w14:paraId="5C8312C1" w14:textId="77777777" w:rsidTr="00CD632C">
        <w:tc>
          <w:tcPr>
            <w:tcW w:w="3402" w:type="dxa"/>
            <w:shd w:val="clear" w:color="auto" w:fill="F2F2F2" w:themeFill="background1" w:themeFillShade="F2"/>
          </w:tcPr>
          <w:p w14:paraId="26BB5F44" w14:textId="282816E7" w:rsidR="00EE03B3" w:rsidRPr="001B194A" w:rsidRDefault="0022569A" w:rsidP="005321A6">
            <w:pPr>
              <w:pStyle w:val="Tablecontent"/>
              <w:rPr>
                <w:b/>
                <w:bCs/>
              </w:rPr>
            </w:pPr>
            <w:r w:rsidRPr="0022569A">
              <w:rPr>
                <w:b/>
                <w:bCs/>
                <w:color w:val="00B050"/>
              </w:rPr>
              <w:t>Green</w:t>
            </w:r>
            <w:r w:rsidR="00EE03B3" w:rsidRPr="001B194A">
              <w:rPr>
                <w:b/>
                <w:bCs/>
              </w:rPr>
              <w:t xml:space="preserve"> –&gt; </w:t>
            </w:r>
            <w:r w:rsidR="00CF7D2C" w:rsidRPr="00CF7D2C">
              <w:rPr>
                <w:b/>
                <w:bCs/>
                <w:color w:val="FFFF00"/>
              </w:rPr>
              <w:t>Yellow</w:t>
            </w:r>
            <w:r w:rsidR="00EE03B3" w:rsidRPr="001B194A">
              <w:rPr>
                <w:b/>
                <w:bCs/>
              </w:rPr>
              <w:t xml:space="preserve"> –&gt; </w:t>
            </w:r>
            <w:r w:rsidR="00CF7D2C" w:rsidRPr="00CF7D2C">
              <w:rPr>
                <w:b/>
                <w:bCs/>
                <w:color w:val="ED7D31" w:themeColor="accent2"/>
              </w:rPr>
              <w:t>Orange</w:t>
            </w:r>
            <w:r w:rsidR="00EE03B3" w:rsidRPr="001B194A">
              <w:rPr>
                <w:b/>
                <w:bCs/>
              </w:rPr>
              <w:t xml:space="preserve"> –&gt; </w:t>
            </w:r>
            <w:r w:rsidR="00CF7D2C" w:rsidRPr="00CF7D2C">
              <w:rPr>
                <w:b/>
                <w:bCs/>
                <w:color w:val="FF0000"/>
              </w:rPr>
              <w:t>Red</w:t>
            </w:r>
          </w:p>
        </w:tc>
        <w:tc>
          <w:tcPr>
            <w:tcW w:w="7054" w:type="dxa"/>
          </w:tcPr>
          <w:p w14:paraId="7D4288F8" w14:textId="0D318E89" w:rsidR="00EE03B3" w:rsidRDefault="0022569A" w:rsidP="005321A6">
            <w:pPr>
              <w:pStyle w:val="Tablecontent"/>
            </w:pPr>
            <w:r w:rsidRPr="0022569A">
              <w:rPr>
                <w:color w:val="00B050"/>
              </w:rPr>
              <w:t>Green</w:t>
            </w:r>
            <w:r w:rsidR="00EE03B3">
              <w:t xml:space="preserve"> means good, and gradually getting worse as it moves toward </w:t>
            </w:r>
            <w:r w:rsidR="00CF7D2C" w:rsidRPr="00CF7D2C">
              <w:rPr>
                <w:color w:val="FF0000"/>
              </w:rPr>
              <w:t>red</w:t>
            </w:r>
            <w:r w:rsidR="00EE03B3">
              <w:t>.</w:t>
            </w:r>
          </w:p>
          <w:p w14:paraId="7FA8A20A" w14:textId="77777777" w:rsidR="00EE03B3" w:rsidRDefault="00EE03B3" w:rsidP="005321A6">
            <w:pPr>
              <w:pStyle w:val="Tablecontent"/>
            </w:pPr>
            <w:r>
              <w:lastRenderedPageBreak/>
              <w:t>Typically used in performance monitoring and compliance.</w:t>
            </w:r>
          </w:p>
          <w:p w14:paraId="7C8D870E" w14:textId="79D4C2E0" w:rsidR="00B84234" w:rsidRDefault="00DD535D" w:rsidP="005321A6">
            <w:pPr>
              <w:pStyle w:val="Tablecontent"/>
            </w:pPr>
            <w:r>
              <w:rPr>
                <w:noProof/>
              </w:rPr>
              <w:drawing>
                <wp:inline distT="0" distB="0" distL="0" distR="0" wp14:anchorId="16A0D088" wp14:editId="0D10C321">
                  <wp:extent cx="2674800" cy="910800"/>
                  <wp:effectExtent l="0" t="0" r="0" b="3810"/>
                  <wp:docPr id="1859674512" name="Picture 1859674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674800" cy="910800"/>
                          </a:xfrm>
                          <a:prstGeom prst="rect">
                            <a:avLst/>
                          </a:prstGeom>
                        </pic:spPr>
                      </pic:pic>
                    </a:graphicData>
                  </a:graphic>
                </wp:inline>
              </w:drawing>
            </w:r>
          </w:p>
        </w:tc>
      </w:tr>
      <w:tr w:rsidR="00EE03B3" w14:paraId="7D8628F7" w14:textId="77777777" w:rsidTr="00CD632C">
        <w:tc>
          <w:tcPr>
            <w:tcW w:w="3402" w:type="dxa"/>
            <w:shd w:val="clear" w:color="auto" w:fill="F2F2F2" w:themeFill="background1" w:themeFillShade="F2"/>
          </w:tcPr>
          <w:p w14:paraId="2B735AE5" w14:textId="4ABFD781" w:rsidR="00EE03B3" w:rsidRPr="001B194A" w:rsidRDefault="00EE03B3" w:rsidP="005321A6">
            <w:pPr>
              <w:pStyle w:val="Tablecontent"/>
              <w:rPr>
                <w:b/>
                <w:bCs/>
              </w:rPr>
            </w:pPr>
            <w:r w:rsidRPr="001B194A">
              <w:rPr>
                <w:b/>
                <w:bCs/>
              </w:rPr>
              <w:lastRenderedPageBreak/>
              <w:t xml:space="preserve">Dark Grey –&gt; </w:t>
            </w:r>
            <w:r w:rsidR="0022569A" w:rsidRPr="0022569A">
              <w:rPr>
                <w:b/>
                <w:bCs/>
                <w:color w:val="00B050"/>
              </w:rPr>
              <w:t>Green</w:t>
            </w:r>
            <w:r w:rsidRPr="001B194A">
              <w:rPr>
                <w:b/>
                <w:bCs/>
              </w:rPr>
              <w:t xml:space="preserve"> … </w:t>
            </w:r>
            <w:r w:rsidR="00CF7D2C" w:rsidRPr="00CF7D2C">
              <w:rPr>
                <w:b/>
                <w:bCs/>
                <w:color w:val="FF0000"/>
              </w:rPr>
              <w:t>Red</w:t>
            </w:r>
          </w:p>
        </w:tc>
        <w:tc>
          <w:tcPr>
            <w:tcW w:w="7054" w:type="dxa"/>
          </w:tcPr>
          <w:p w14:paraId="0372C26F" w14:textId="77777777" w:rsidR="00EE03B3" w:rsidRDefault="00EE03B3" w:rsidP="005321A6">
            <w:pPr>
              <w:pStyle w:val="Tablecontent"/>
            </w:pPr>
            <w:r w:rsidRPr="00A452F2">
              <w:t xml:space="preserve">We use </w:t>
            </w:r>
            <w:r>
              <w:t>dark grey</w:t>
            </w:r>
            <w:r w:rsidRPr="00A452F2">
              <w:t xml:space="preserve"> in Capacity as wastage (unused) is a bigger issue than over utilization</w:t>
            </w:r>
            <w:r>
              <w:t>. It’s critical to show wastage as it can also impact performance</w:t>
            </w:r>
          </w:p>
          <w:p w14:paraId="6499DB7D" w14:textId="394D95A7" w:rsidR="00EE03B3" w:rsidRPr="00E93A96" w:rsidRDefault="00EE03B3" w:rsidP="005321A6">
            <w:pPr>
              <w:pStyle w:val="Tablecontent"/>
            </w:pPr>
            <w:r>
              <w:t xml:space="preserve">For performance dashboard, you should consider using </w:t>
            </w:r>
            <w:r w:rsidR="00CF7D2C" w:rsidRPr="00CF7D2C">
              <w:rPr>
                <w:color w:val="FF0000"/>
              </w:rPr>
              <w:t>red</w:t>
            </w:r>
            <w:r>
              <w:t xml:space="preserve"> to convey that oversized is bad for performance.</w:t>
            </w:r>
          </w:p>
        </w:tc>
      </w:tr>
      <w:tr w:rsidR="00EE03B3" w14:paraId="46A88D7F" w14:textId="77777777" w:rsidTr="00CD632C">
        <w:tc>
          <w:tcPr>
            <w:tcW w:w="3402" w:type="dxa"/>
            <w:shd w:val="clear" w:color="auto" w:fill="F2F2F2" w:themeFill="background1" w:themeFillShade="F2"/>
          </w:tcPr>
          <w:p w14:paraId="1EDE94C7" w14:textId="77777777" w:rsidR="00EE03B3" w:rsidRPr="001B194A" w:rsidRDefault="00EE03B3" w:rsidP="005321A6">
            <w:pPr>
              <w:pStyle w:val="Tablecontent"/>
              <w:rPr>
                <w:b/>
                <w:bCs/>
              </w:rPr>
            </w:pPr>
            <w:r w:rsidRPr="001B194A">
              <w:rPr>
                <w:b/>
                <w:bCs/>
              </w:rPr>
              <w:t>Blue</w:t>
            </w:r>
          </w:p>
        </w:tc>
        <w:tc>
          <w:tcPr>
            <w:tcW w:w="7054" w:type="dxa"/>
          </w:tcPr>
          <w:p w14:paraId="5BFE524F" w14:textId="77777777" w:rsidR="00EE03B3" w:rsidRDefault="00EE03B3" w:rsidP="005321A6">
            <w:pPr>
              <w:pStyle w:val="Tablecontent"/>
            </w:pPr>
            <w:r>
              <w:t>Neutral color. Used when it does not have any meaning.</w:t>
            </w:r>
          </w:p>
        </w:tc>
      </w:tr>
      <w:tr w:rsidR="00EE03B3" w14:paraId="2C62B7B8" w14:textId="77777777" w:rsidTr="00CD632C">
        <w:tc>
          <w:tcPr>
            <w:tcW w:w="3402" w:type="dxa"/>
            <w:shd w:val="clear" w:color="auto" w:fill="F2F2F2" w:themeFill="background1" w:themeFillShade="F2"/>
          </w:tcPr>
          <w:p w14:paraId="4B491116" w14:textId="77777777" w:rsidR="00EE03B3" w:rsidRPr="001B194A" w:rsidRDefault="00EE03B3" w:rsidP="005321A6">
            <w:pPr>
              <w:pStyle w:val="Tablecontent"/>
              <w:rPr>
                <w:b/>
                <w:bCs/>
              </w:rPr>
            </w:pPr>
            <w:r w:rsidRPr="001B194A">
              <w:rPr>
                <w:b/>
                <w:bCs/>
              </w:rPr>
              <w:t>Grey</w:t>
            </w:r>
          </w:p>
        </w:tc>
        <w:tc>
          <w:tcPr>
            <w:tcW w:w="7054" w:type="dxa"/>
          </w:tcPr>
          <w:p w14:paraId="4D214B90" w14:textId="77777777" w:rsidR="00EE03B3" w:rsidRDefault="00EE03B3" w:rsidP="005321A6">
            <w:pPr>
              <w:pStyle w:val="Tablecontent"/>
            </w:pPr>
            <w:r>
              <w:t xml:space="preserve">System error. The data is missing due to collection error. </w:t>
            </w:r>
          </w:p>
          <w:p w14:paraId="115CB399" w14:textId="77777777" w:rsidR="00EE03B3" w:rsidRDefault="00EE03B3" w:rsidP="005321A6">
            <w:pPr>
              <w:pStyle w:val="Tablecontent"/>
            </w:pPr>
            <w:r>
              <w:t>Typically happens in heat map. We use a color instead of white as white is hard to read.</w:t>
            </w:r>
          </w:p>
        </w:tc>
      </w:tr>
    </w:tbl>
    <w:p w14:paraId="6E10D729" w14:textId="574F09F7" w:rsidR="00F56383" w:rsidRDefault="00F56383" w:rsidP="00E7573A">
      <w:pPr>
        <w:pStyle w:val="Heading5"/>
      </w:pPr>
      <w:r>
        <w:t>Threshold</w:t>
      </w:r>
    </w:p>
    <w:p w14:paraId="6140CC5E" w14:textId="7ED41A7B" w:rsidR="00F56383" w:rsidRDefault="00F56383" w:rsidP="00F56383">
      <w:pPr>
        <w:pStyle w:val="Tablecontent"/>
      </w:pPr>
      <w:r>
        <w:t xml:space="preserve">At which point do you change the color? This is where threshold comes in. </w:t>
      </w:r>
    </w:p>
    <w:p w14:paraId="337DAD99" w14:textId="024D0EE3" w:rsidR="00F56383" w:rsidRDefault="00F56383" w:rsidP="00F56383">
      <w:pPr>
        <w:pStyle w:val="Tablecontent"/>
      </w:pPr>
      <w:r>
        <w:t>Try to make the scale easy to remember by adopting a consistent scale</w:t>
      </w:r>
    </w:p>
    <w:p w14:paraId="77798F42" w14:textId="7812CF8B" w:rsidR="00F56383" w:rsidRDefault="00CF7D2C" w:rsidP="00F56383">
      <w:pPr>
        <w:pStyle w:val="Bullet"/>
      </w:pPr>
      <w:r w:rsidRPr="00CF7D2C">
        <w:rPr>
          <w:color w:val="FFFF00"/>
        </w:rPr>
        <w:t>Yellow</w:t>
      </w:r>
      <w:r w:rsidR="00F56383">
        <w:t xml:space="preserve"> = 2x </w:t>
      </w:r>
      <w:r w:rsidR="0022569A" w:rsidRPr="0022569A">
        <w:rPr>
          <w:color w:val="00B050"/>
        </w:rPr>
        <w:t>Green</w:t>
      </w:r>
    </w:p>
    <w:p w14:paraId="0D79DE86" w14:textId="6F1A77A6" w:rsidR="00F56383" w:rsidRDefault="00CF7D2C" w:rsidP="00F56383">
      <w:pPr>
        <w:pStyle w:val="Bullet"/>
      </w:pPr>
      <w:r w:rsidRPr="00CF7D2C">
        <w:rPr>
          <w:color w:val="ED7D31" w:themeColor="accent2"/>
        </w:rPr>
        <w:t>Orange</w:t>
      </w:r>
      <w:r w:rsidR="00F56383">
        <w:t xml:space="preserve"> = 2x </w:t>
      </w:r>
      <w:r w:rsidRPr="00CF7D2C">
        <w:rPr>
          <w:color w:val="FFFF00"/>
        </w:rPr>
        <w:t>Yellow</w:t>
      </w:r>
    </w:p>
    <w:p w14:paraId="0E3E21AC" w14:textId="77BA8503" w:rsidR="00F56383" w:rsidRDefault="00CF7D2C" w:rsidP="00F56383">
      <w:pPr>
        <w:pStyle w:val="Bullet"/>
      </w:pPr>
      <w:r w:rsidRPr="00CF7D2C">
        <w:rPr>
          <w:color w:val="FF0000"/>
        </w:rPr>
        <w:t>Red</w:t>
      </w:r>
      <w:r w:rsidR="00F56383">
        <w:t xml:space="preserve"> = 2x </w:t>
      </w:r>
      <w:r w:rsidRPr="00CF7D2C">
        <w:rPr>
          <w:color w:val="ED7D31" w:themeColor="accent2"/>
        </w:rPr>
        <w:t>Orange</w:t>
      </w:r>
    </w:p>
    <w:p w14:paraId="1107F6F4" w14:textId="13F78D01" w:rsidR="00F56383" w:rsidRDefault="00F56383" w:rsidP="00F56383">
      <w:pPr>
        <w:rPr>
          <w:lang w:val="en-GB"/>
        </w:rPr>
      </w:pPr>
      <w:r>
        <w:rPr>
          <w:lang w:val="en-GB"/>
        </w:rPr>
        <w:t xml:space="preserve">The above also results in </w:t>
      </w:r>
      <w:r w:rsidR="00CF7D2C" w:rsidRPr="00CF7D2C">
        <w:rPr>
          <w:color w:val="FF0000"/>
          <w:lang w:val="en-GB"/>
        </w:rPr>
        <w:t>red</w:t>
      </w:r>
      <w:r>
        <w:rPr>
          <w:lang w:val="en-GB"/>
        </w:rPr>
        <w:t xml:space="preserve"> being 8x </w:t>
      </w:r>
      <w:r w:rsidR="0022569A" w:rsidRPr="0022569A">
        <w:rPr>
          <w:color w:val="00B050"/>
          <w:lang w:val="en-GB"/>
        </w:rPr>
        <w:t>green</w:t>
      </w:r>
      <w:r>
        <w:rPr>
          <w:lang w:val="en-GB"/>
        </w:rPr>
        <w:t>.</w:t>
      </w:r>
    </w:p>
    <w:p w14:paraId="3E5704C0" w14:textId="5337F882" w:rsidR="00F56383" w:rsidRDefault="00F56383" w:rsidP="00F56383">
      <w:pPr>
        <w:rPr>
          <w:lang w:val="en-GB"/>
        </w:rPr>
      </w:pPr>
      <w:r>
        <w:rPr>
          <w:lang w:val="en-GB"/>
        </w:rPr>
        <w:t>The above does not work when the scale is small. For example, in Horizon, a user typically has 1 – 4 desktops. It’s rare for users to go beyond that. So in this case, your threshold is as follow:</w:t>
      </w:r>
    </w:p>
    <w:p w14:paraId="1EBEDD6B" w14:textId="4C61B164" w:rsidR="00F56383" w:rsidRPr="00F56383" w:rsidRDefault="00F56383" w:rsidP="00F56383">
      <w:pPr>
        <w:jc w:val="center"/>
        <w:rPr>
          <w:lang w:val="en-GB"/>
        </w:rPr>
      </w:pPr>
      <w:r w:rsidRPr="00F56383">
        <w:rPr>
          <w:noProof/>
          <w:lang w:val="en-GB"/>
        </w:rPr>
        <w:drawing>
          <wp:inline distT="0" distB="0" distL="0" distR="0" wp14:anchorId="5ADF1587" wp14:editId="4594E983">
            <wp:extent cx="2347200" cy="1098000"/>
            <wp:effectExtent l="0" t="0" r="0" b="6985"/>
            <wp:docPr id="750070338" name="Picture 75007033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38" name="Picture 750070338" descr="Table&#10;&#10;Description automatically generated"/>
                    <pic:cNvPicPr/>
                  </pic:nvPicPr>
                  <pic:blipFill>
                    <a:blip r:embed="rId993"/>
                    <a:stretch>
                      <a:fillRect/>
                    </a:stretch>
                  </pic:blipFill>
                  <pic:spPr>
                    <a:xfrm>
                      <a:off x="0" y="0"/>
                      <a:ext cx="2347200" cy="1098000"/>
                    </a:xfrm>
                    <a:prstGeom prst="rect">
                      <a:avLst/>
                    </a:prstGeom>
                  </pic:spPr>
                </pic:pic>
              </a:graphicData>
            </a:graphic>
          </wp:inline>
        </w:drawing>
      </w:r>
    </w:p>
    <w:p w14:paraId="43E037EC" w14:textId="0A304098" w:rsidR="00620446" w:rsidRDefault="00620446" w:rsidP="00E7573A">
      <w:pPr>
        <w:pStyle w:val="Heading5"/>
      </w:pPr>
      <w:r>
        <w:t>Gradient</w:t>
      </w:r>
    </w:p>
    <w:p w14:paraId="0A756D6D" w14:textId="228D0CA3" w:rsidR="00620446" w:rsidRDefault="00620446" w:rsidP="00620446">
      <w:pPr>
        <w:rPr>
          <w:lang w:val="en-GB"/>
        </w:rPr>
      </w:pPr>
      <w:r>
        <w:rPr>
          <w:lang w:val="en-GB"/>
        </w:rPr>
        <w:t xml:space="preserve">Gradient can be handy in widget where </w:t>
      </w:r>
      <w:r w:rsidRPr="00620446">
        <w:rPr>
          <w:i/>
          <w:iCs/>
          <w:color w:val="00B0F0"/>
          <w:lang w:val="en-GB"/>
        </w:rPr>
        <w:t>relative</w:t>
      </w:r>
      <w:r w:rsidRPr="00620446">
        <w:rPr>
          <w:color w:val="00B0F0"/>
          <w:lang w:val="en-GB"/>
        </w:rPr>
        <w:t xml:space="preserve"> </w:t>
      </w:r>
      <w:r>
        <w:rPr>
          <w:lang w:val="en-GB"/>
        </w:rPr>
        <w:t>comparison among many objects is important. In the following example, the widget is answering the question about the severity of imbalance among vSAN disk groups. What’s your conclusion if you solely rely on the color?</w:t>
      </w:r>
    </w:p>
    <w:p w14:paraId="64DFB32E" w14:textId="682A1567" w:rsidR="00620446" w:rsidRDefault="00620446" w:rsidP="00620446">
      <w:pPr>
        <w:rPr>
          <w:lang w:val="en-GB"/>
        </w:rPr>
      </w:pPr>
      <w:r w:rsidRPr="00620446">
        <w:rPr>
          <w:noProof/>
        </w:rPr>
        <w:lastRenderedPageBreak/>
        <w:drawing>
          <wp:inline distT="0" distB="0" distL="0" distR="0" wp14:anchorId="12B8D6BE" wp14:editId="319AA56D">
            <wp:extent cx="6645910" cy="1334770"/>
            <wp:effectExtent l="0" t="0" r="2540" b="0"/>
            <wp:docPr id="1525330274" name="Picture 3" descr="A picture containing graphical user interface&#10;&#10;Description automatically generated">
              <a:extLst xmlns:a="http://schemas.openxmlformats.org/drawingml/2006/main">
                <a:ext uri="{FF2B5EF4-FFF2-40B4-BE49-F238E27FC236}">
                  <a16:creationId xmlns:a16="http://schemas.microsoft.com/office/drawing/2014/main" id="{1A9098A8-0EA2-455A-890C-1D9054ECB17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74" name="Picture 3" descr="A picture containing graphical user interface&#10;&#10;Description automatically generated">
                      <a:extLst>
                        <a:ext uri="{FF2B5EF4-FFF2-40B4-BE49-F238E27FC236}">
                          <a16:creationId xmlns:a16="http://schemas.microsoft.com/office/drawing/2014/main" id="{1A9098A8-0EA2-455A-890C-1D9054ECB170}"/>
                        </a:ext>
                      </a:extLst>
                    </pic:cNvPr>
                    <pic:cNvPicPr>
                      <a:picLocks noChangeAspect="1"/>
                    </pic:cNvPicPr>
                  </pic:nvPicPr>
                  <pic:blipFill>
                    <a:blip r:embed="rId994"/>
                    <a:stretch>
                      <a:fillRect/>
                    </a:stretch>
                  </pic:blipFill>
                  <pic:spPr>
                    <a:xfrm>
                      <a:off x="0" y="0"/>
                      <a:ext cx="6645910" cy="1334770"/>
                    </a:xfrm>
                    <a:prstGeom prst="rect">
                      <a:avLst/>
                    </a:prstGeom>
                  </pic:spPr>
                </pic:pic>
              </a:graphicData>
            </a:graphic>
          </wp:inline>
        </w:drawing>
      </w:r>
    </w:p>
    <w:p w14:paraId="3183F9B2" w14:textId="0CCD4D7E" w:rsidR="00620446" w:rsidRDefault="00620446" w:rsidP="00620446">
      <w:pPr>
        <w:rPr>
          <w:lang w:val="en-GB"/>
        </w:rPr>
      </w:pPr>
      <w:r w:rsidRPr="00620446">
        <w:rPr>
          <w:lang w:val="en-GB"/>
        </w:rPr>
        <w:t>Oh no, they are not balanced. Let’s initiate rebalancing</w:t>
      </w:r>
      <w:r>
        <w:rPr>
          <w:lang w:val="en-GB"/>
        </w:rPr>
        <w:t xml:space="preserve">, </w:t>
      </w:r>
      <w:r w:rsidRPr="00620446">
        <w:rPr>
          <w:lang w:val="en-GB"/>
        </w:rPr>
        <w:t>which can potentially move Terabytes of data!</w:t>
      </w:r>
    </w:p>
    <w:p w14:paraId="79705A6E" w14:textId="67F6CFE8" w:rsidR="008A50DD" w:rsidRPr="008A50DD" w:rsidRDefault="008A50DD" w:rsidP="008A50DD">
      <w:pPr>
        <w:rPr>
          <w:lang w:val="en-GB"/>
        </w:rPr>
      </w:pPr>
      <w:r w:rsidRPr="008A50DD">
        <w:rPr>
          <w:lang w:val="en-GB"/>
        </w:rPr>
        <w:t>But wait! We only care about unbalanced when they are significant. Minor unbalance is expected.</w:t>
      </w:r>
      <w:r>
        <w:rPr>
          <w:lang w:val="en-GB"/>
        </w:rPr>
        <w:t xml:space="preserve"> In fact, if they are perfectly identical, it would be strange. </w:t>
      </w:r>
    </w:p>
    <w:p w14:paraId="3B228482" w14:textId="0D99391A" w:rsidR="008A50DD" w:rsidRDefault="008A50DD" w:rsidP="008A50DD">
      <w:pPr>
        <w:rPr>
          <w:lang w:val="en-GB"/>
        </w:rPr>
      </w:pPr>
      <w:r>
        <w:rPr>
          <w:lang w:val="en-GB"/>
        </w:rPr>
        <w:t>The problem with the above widget is</w:t>
      </w:r>
      <w:r w:rsidRPr="008A50DD">
        <w:rPr>
          <w:lang w:val="en-GB"/>
        </w:rPr>
        <w:t xml:space="preserve"> utilization should only </w:t>
      </w:r>
      <w:r>
        <w:rPr>
          <w:lang w:val="en-GB"/>
        </w:rPr>
        <w:t xml:space="preserve">turn </w:t>
      </w:r>
      <w:r w:rsidR="00CF7D2C" w:rsidRPr="00CF7D2C">
        <w:rPr>
          <w:color w:val="FF0000"/>
          <w:lang w:val="en-GB"/>
        </w:rPr>
        <w:t>red</w:t>
      </w:r>
      <w:r w:rsidRPr="008A50DD">
        <w:rPr>
          <w:lang w:val="en-GB"/>
        </w:rPr>
        <w:t xml:space="preserve"> when it reaches 75%.</w:t>
      </w:r>
      <w:r>
        <w:rPr>
          <w:lang w:val="en-GB"/>
        </w:rPr>
        <w:t xml:space="preserve"> </w:t>
      </w:r>
    </w:p>
    <w:p w14:paraId="196EBCEE" w14:textId="56003587" w:rsidR="008A50DD" w:rsidRDefault="008A50DD" w:rsidP="008A50DD">
      <w:pPr>
        <w:rPr>
          <w:lang w:val="en-GB"/>
        </w:rPr>
      </w:pPr>
      <w:r>
        <w:rPr>
          <w:lang w:val="en-GB"/>
        </w:rPr>
        <w:t>After fixing the 2 preceding problems, we have a meaningful heat map.</w:t>
      </w:r>
    </w:p>
    <w:p w14:paraId="0437AA65" w14:textId="72ADE3AE" w:rsidR="008A50DD" w:rsidRPr="00620446" w:rsidRDefault="008A50DD" w:rsidP="008A50DD">
      <w:pPr>
        <w:rPr>
          <w:lang w:val="en-GB"/>
        </w:rPr>
      </w:pPr>
      <w:r w:rsidRPr="008A50DD">
        <w:rPr>
          <w:noProof/>
        </w:rPr>
        <w:drawing>
          <wp:inline distT="0" distB="0" distL="0" distR="0" wp14:anchorId="14047955" wp14:editId="6A02C0B4">
            <wp:extent cx="6645910" cy="1315720"/>
            <wp:effectExtent l="0" t="0" r="2540" b="0"/>
            <wp:docPr id="1525330275" name="Picture 2" descr="Chart&#10;&#10;Description automatically generated with medium confidence">
              <a:extLst xmlns:a="http://schemas.openxmlformats.org/drawingml/2006/main">
                <a:ext uri="{FF2B5EF4-FFF2-40B4-BE49-F238E27FC236}">
                  <a16:creationId xmlns:a16="http://schemas.microsoft.com/office/drawing/2014/main" id="{B32FA8BA-0CB5-4CB4-97DE-62BD1005D51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75" name="Picture 2" descr="Chart&#10;&#10;Description automatically generated with medium confidence">
                      <a:extLst>
                        <a:ext uri="{FF2B5EF4-FFF2-40B4-BE49-F238E27FC236}">
                          <a16:creationId xmlns:a16="http://schemas.microsoft.com/office/drawing/2014/main" id="{B32FA8BA-0CB5-4CB4-97DE-62BD1005D51B}"/>
                        </a:ext>
                      </a:extLst>
                    </pic:cNvPr>
                    <pic:cNvPicPr>
                      <a:picLocks noChangeAspect="1"/>
                    </pic:cNvPicPr>
                  </pic:nvPicPr>
                  <pic:blipFill>
                    <a:blip r:embed="rId995"/>
                    <a:stretch>
                      <a:fillRect/>
                    </a:stretch>
                  </pic:blipFill>
                  <pic:spPr>
                    <a:xfrm>
                      <a:off x="0" y="0"/>
                      <a:ext cx="6645910" cy="1315720"/>
                    </a:xfrm>
                    <a:prstGeom prst="rect">
                      <a:avLst/>
                    </a:prstGeom>
                  </pic:spPr>
                </pic:pic>
              </a:graphicData>
            </a:graphic>
          </wp:inline>
        </w:drawing>
      </w:r>
    </w:p>
    <w:p w14:paraId="6C17F03B" w14:textId="5317673C" w:rsidR="00F56383" w:rsidRDefault="00F56383" w:rsidP="00E7573A">
      <w:pPr>
        <w:pStyle w:val="Heading5"/>
      </w:pPr>
      <w:r>
        <w:t>Example Implementation</w:t>
      </w:r>
    </w:p>
    <w:p w14:paraId="622EDE17" w14:textId="7D16D629" w:rsidR="00EE03B3" w:rsidRPr="00A452F2" w:rsidRDefault="00EE03B3" w:rsidP="00EE03B3">
      <w:pPr>
        <w:rPr>
          <w:lang w:val="en-GB"/>
        </w:rPr>
      </w:pPr>
      <w:r w:rsidRPr="4CAB3972">
        <w:rPr>
          <w:lang w:val="en-GB"/>
        </w:rPr>
        <w:t xml:space="preserve">In the Compliance dashboard below, </w:t>
      </w:r>
      <w:r>
        <w:rPr>
          <w:lang w:val="en-GB"/>
        </w:rPr>
        <w:t>color</w:t>
      </w:r>
      <w:r w:rsidRPr="4CAB3972">
        <w:rPr>
          <w:lang w:val="en-GB"/>
        </w:rPr>
        <w:t xml:space="preserve"> is used to quickly show the various level of compliance. If all you see is </w:t>
      </w:r>
      <w:r w:rsidR="0022569A" w:rsidRPr="0022569A">
        <w:rPr>
          <w:color w:val="00B050"/>
          <w:lang w:val="en-GB"/>
        </w:rPr>
        <w:t>Green</w:t>
      </w:r>
      <w:r w:rsidRPr="4CAB3972">
        <w:rPr>
          <w:lang w:val="en-GB"/>
        </w:rPr>
        <w:t>, there is no need to look at the numbers &amp; texts!</w:t>
      </w:r>
    </w:p>
    <w:p w14:paraId="3B0B06CD" w14:textId="77777777" w:rsidR="00EE03B3" w:rsidRDefault="00EE03B3" w:rsidP="00EE03B3">
      <w:pPr>
        <w:rPr>
          <w:lang w:val="en-GB"/>
        </w:rPr>
      </w:pPr>
      <w:r>
        <w:rPr>
          <w:noProof/>
        </w:rPr>
        <w:drawing>
          <wp:inline distT="0" distB="0" distL="0" distR="0" wp14:anchorId="692D6010" wp14:editId="571A8B26">
            <wp:extent cx="6645910" cy="2828925"/>
            <wp:effectExtent l="0" t="0" r="2540" b="9525"/>
            <wp:docPr id="606394121" name="Picture 60639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21"/>
                    <pic:cNvPicPr/>
                  </pic:nvPicPr>
                  <pic:blipFill>
                    <a:blip r:embed="rId996">
                      <a:extLst>
                        <a:ext uri="{28A0092B-C50C-407E-A947-70E740481C1C}">
                          <a14:useLocalDpi xmlns:a14="http://schemas.microsoft.com/office/drawing/2010/main" val="0"/>
                        </a:ext>
                      </a:extLst>
                    </a:blip>
                    <a:stretch>
                      <a:fillRect/>
                    </a:stretch>
                  </pic:blipFill>
                  <pic:spPr>
                    <a:xfrm>
                      <a:off x="0" y="0"/>
                      <a:ext cx="6645910" cy="2828925"/>
                    </a:xfrm>
                    <a:prstGeom prst="rect">
                      <a:avLst/>
                    </a:prstGeom>
                  </pic:spPr>
                </pic:pic>
              </a:graphicData>
            </a:graphic>
          </wp:inline>
        </w:drawing>
      </w:r>
    </w:p>
    <w:p w14:paraId="3110B646" w14:textId="77777777" w:rsidR="00EE03B3" w:rsidRPr="00A452F2" w:rsidRDefault="00EE03B3" w:rsidP="00EE03B3">
      <w:pPr>
        <w:rPr>
          <w:lang w:val="en-GB"/>
        </w:rPr>
      </w:pPr>
      <w:r w:rsidRPr="4CAB3972">
        <w:rPr>
          <w:lang w:val="en-GB"/>
        </w:rPr>
        <w:t xml:space="preserve">Last but not least, think of users who may not be able to distinguish all the </w:t>
      </w:r>
      <w:r>
        <w:rPr>
          <w:lang w:val="en-GB"/>
        </w:rPr>
        <w:t>color</w:t>
      </w:r>
      <w:r w:rsidRPr="4CAB3972">
        <w:rPr>
          <w:lang w:val="en-GB"/>
        </w:rPr>
        <w:t>s. Provide alternative way for them so the functionality is not lost.</w:t>
      </w:r>
    </w:p>
    <w:p w14:paraId="38A3DED2" w14:textId="46190AE1" w:rsidR="00AD3CB6" w:rsidRDefault="00AD3CB6" w:rsidP="00AC6E1E">
      <w:pPr>
        <w:pStyle w:val="Heading4"/>
      </w:pPr>
      <w:r>
        <w:lastRenderedPageBreak/>
        <w:t>Past vs Present</w:t>
      </w:r>
    </w:p>
    <w:p w14:paraId="44A43DED" w14:textId="3ACCE1E0" w:rsidR="00C94835" w:rsidRDefault="00C94835" w:rsidP="00AD3CB6">
      <w:pPr>
        <w:rPr>
          <w:lang w:val="en-GB"/>
        </w:rPr>
      </w:pPr>
      <w:r>
        <w:rPr>
          <w:lang w:val="en-GB"/>
        </w:rPr>
        <w:t>Think of what timeline you need to show, as there are use case for both the present and the past. The past useful when the present data does not tell the full picture as it depends on the time you login and see it. If you login at 8 am in the morning to see what’s happening over night, then the value at 8:00 am is not answering your question.</w:t>
      </w:r>
    </w:p>
    <w:p w14:paraId="49C32C3C" w14:textId="2C3D3EF0" w:rsidR="00AD3CB6" w:rsidRDefault="00AD3CB6" w:rsidP="00AD3CB6">
      <w:pPr>
        <w:rPr>
          <w:lang w:val="en-GB"/>
        </w:rPr>
      </w:pPr>
      <w:r>
        <w:rPr>
          <w:lang w:val="en-GB"/>
        </w:rPr>
        <w:t xml:space="preserve">The past is harder to visualize as it has &gt;1 data points. Ideally, you show the data as a </w:t>
      </w:r>
      <w:r w:rsidRPr="00E32D67">
        <w:rPr>
          <w:i/>
          <w:iCs/>
          <w:color w:val="00B050"/>
          <w:lang w:val="en-GB"/>
        </w:rPr>
        <w:t>line chart</w:t>
      </w:r>
      <w:r w:rsidRPr="00E32D67">
        <w:rPr>
          <w:color w:val="00B050"/>
          <w:lang w:val="en-GB"/>
        </w:rPr>
        <w:t xml:space="preserve"> </w:t>
      </w:r>
      <w:r>
        <w:rPr>
          <w:lang w:val="en-GB"/>
        </w:rPr>
        <w:t>so you can see the trend. Showing a single data such as the maximum or average can miss critical information such as “is it trending upwards or downwards” and “how long did the peak last?”. The problem with line chart is it takes up screen real estate.</w:t>
      </w:r>
    </w:p>
    <w:p w14:paraId="43A07C81" w14:textId="00C3CD44" w:rsidR="00AD3CB6" w:rsidRPr="00AD3CB6" w:rsidRDefault="00AD3CB6" w:rsidP="00AD3CB6">
      <w:pPr>
        <w:rPr>
          <w:lang w:val="en-GB"/>
        </w:rPr>
      </w:pPr>
      <w:r>
        <w:rPr>
          <w:lang w:val="en-GB"/>
        </w:rPr>
        <w:t>If you need to show a lot of objects or metri</w:t>
      </w:r>
      <w:r w:rsidR="00C94835">
        <w:rPr>
          <w:lang w:val="en-GB"/>
        </w:rPr>
        <w:t>c</w:t>
      </w:r>
      <w:r>
        <w:rPr>
          <w:lang w:val="en-GB"/>
        </w:rPr>
        <w:t xml:space="preserve">s, then you need to summarize. As covered in </w:t>
      </w:r>
      <w:hyperlink w:anchor="_Leading_Indicators" w:history="1">
        <w:r w:rsidRPr="00AD3CB6">
          <w:rPr>
            <w:rStyle w:val="Hyperlink"/>
            <w:lang w:val="en-GB"/>
          </w:rPr>
          <w:t>Leading Indicator</w:t>
        </w:r>
      </w:hyperlink>
      <w:r>
        <w:rPr>
          <w:lang w:val="en-GB"/>
        </w:rPr>
        <w:t xml:space="preserve">, you may need to show 2 numbers, especially if one of them is an average. </w:t>
      </w:r>
    </w:p>
    <w:p w14:paraId="4349320F" w14:textId="561641E6" w:rsidR="00D7474D" w:rsidRPr="00F45A42" w:rsidRDefault="00052148" w:rsidP="00AC6E1E">
      <w:pPr>
        <w:pStyle w:val="Heading4"/>
        <w:rPr>
          <w:rStyle w:val="eop"/>
        </w:rPr>
      </w:pPr>
      <w:r w:rsidRPr="00F45A42">
        <w:rPr>
          <w:rStyle w:val="eop"/>
        </w:rPr>
        <w:t xml:space="preserve">Summary </w:t>
      </w:r>
      <w:r w:rsidR="00ED13AF" w:rsidRPr="00ED13AF">
        <w:rPr>
          <w:rStyle w:val="eop"/>
        </w:rPr>
        <w:sym w:font="Wingdings" w:char="F0E0"/>
      </w:r>
      <w:r w:rsidR="00ED13AF">
        <w:rPr>
          <w:rStyle w:val="eop"/>
        </w:rPr>
        <w:t xml:space="preserve"> List </w:t>
      </w:r>
      <w:r w:rsidR="00C94835" w:rsidRPr="00F45A42">
        <w:rPr>
          <w:rStyle w:val="eop"/>
        </w:rPr>
        <w:sym w:font="Wingdings" w:char="F0E0"/>
      </w:r>
      <w:r w:rsidRPr="00F45A42">
        <w:rPr>
          <w:rStyle w:val="eop"/>
        </w:rPr>
        <w:t xml:space="preserve"> Detail</w:t>
      </w:r>
    </w:p>
    <w:p w14:paraId="33E5A1BB" w14:textId="3BDF7471" w:rsidR="00ED13AF" w:rsidRDefault="00052148" w:rsidP="00D7474D">
      <w:pPr>
        <w:rPr>
          <w:lang w:val="en-GB"/>
        </w:rPr>
      </w:pPr>
      <w:r>
        <w:rPr>
          <w:lang w:val="en-GB"/>
        </w:rPr>
        <w:t xml:space="preserve">In most cases, </w:t>
      </w:r>
      <w:r w:rsidR="00ED13AF">
        <w:rPr>
          <w:lang w:val="en-GB"/>
        </w:rPr>
        <w:t xml:space="preserve">you need to manage a large number </w:t>
      </w:r>
      <w:r w:rsidR="00C1597A">
        <w:rPr>
          <w:lang w:val="en-GB"/>
        </w:rPr>
        <w:t>of</w:t>
      </w:r>
      <w:r>
        <w:rPr>
          <w:lang w:val="en-GB"/>
        </w:rPr>
        <w:t xml:space="preserve"> </w:t>
      </w:r>
      <w:r w:rsidR="00ED13AF">
        <w:rPr>
          <w:lang w:val="en-GB"/>
        </w:rPr>
        <w:t>items (e.g. K8 pods, AWS EC2)</w:t>
      </w:r>
      <w:r>
        <w:rPr>
          <w:lang w:val="en-GB"/>
        </w:rPr>
        <w:t xml:space="preserve">. </w:t>
      </w:r>
      <w:r w:rsidR="003F174F">
        <w:rPr>
          <w:lang w:val="en-GB"/>
        </w:rPr>
        <w:t xml:space="preserve">This means you need a </w:t>
      </w:r>
      <w:r w:rsidR="00ED13AF">
        <w:rPr>
          <w:lang w:val="en-GB"/>
        </w:rPr>
        <w:t>way to summarize the information, so you can work with a subset of the group. Within this subset, you need to know which particular item to work on.</w:t>
      </w:r>
    </w:p>
    <w:p w14:paraId="313FFD60" w14:textId="773BC7F2" w:rsidR="00ED13AF" w:rsidRDefault="00ED13AF" w:rsidP="00D7474D">
      <w:pPr>
        <w:rPr>
          <w:lang w:val="en-GB"/>
        </w:rPr>
      </w:pPr>
      <w:r>
        <w:rPr>
          <w:lang w:val="en-GB"/>
        </w:rPr>
        <w:t xml:space="preserve">The flow Summary </w:t>
      </w:r>
      <w:r w:rsidRPr="00ED13AF">
        <w:rPr>
          <w:lang w:val="en-GB"/>
        </w:rPr>
        <w:sym w:font="Wingdings" w:char="F0E0"/>
      </w:r>
      <w:r>
        <w:rPr>
          <w:lang w:val="en-GB"/>
        </w:rPr>
        <w:t xml:space="preserve"> List </w:t>
      </w:r>
      <w:r w:rsidRPr="00ED13AF">
        <w:rPr>
          <w:lang w:val="en-GB"/>
        </w:rPr>
        <w:sym w:font="Wingdings" w:char="F0E0"/>
      </w:r>
      <w:r>
        <w:rPr>
          <w:lang w:val="en-GB"/>
        </w:rPr>
        <w:t xml:space="preserve"> Detail is one common technique to achieve the above. </w:t>
      </w:r>
    </w:p>
    <w:p w14:paraId="71FED5EF" w14:textId="34C14EA6" w:rsidR="00ED13AF" w:rsidRDefault="00ED13AF" w:rsidP="00ED13AF">
      <w:pPr>
        <w:pStyle w:val="Heading5"/>
      </w:pPr>
      <w:r>
        <w:t>Summary</w:t>
      </w:r>
    </w:p>
    <w:p w14:paraId="4936B2DF" w14:textId="5EA32E45" w:rsidR="00C94835" w:rsidRDefault="00C94835" w:rsidP="00D7474D">
      <w:pPr>
        <w:rPr>
          <w:lang w:val="en-GB"/>
        </w:rPr>
      </w:pPr>
      <w:r>
        <w:rPr>
          <w:lang w:val="en-GB"/>
        </w:rPr>
        <w:t>The summary show</w:t>
      </w:r>
      <w:r w:rsidR="00ED13AF">
        <w:rPr>
          <w:lang w:val="en-GB"/>
        </w:rPr>
        <w:t>s</w:t>
      </w:r>
      <w:r>
        <w:rPr>
          <w:lang w:val="en-GB"/>
        </w:rPr>
        <w:t xml:space="preserve"> the overall picture, not a subset. I find scoreboard is a good way to start, especially if the numbers are suitable for color coding.</w:t>
      </w:r>
    </w:p>
    <w:p w14:paraId="23AD37F5" w14:textId="6CBE937A" w:rsidR="00C94835" w:rsidRDefault="00C94835" w:rsidP="00D7474D">
      <w:pPr>
        <w:rPr>
          <w:lang w:val="en-GB"/>
        </w:rPr>
      </w:pPr>
      <w:r w:rsidRPr="00927C8C">
        <w:rPr>
          <w:noProof/>
          <w:lang w:val="en-GB"/>
        </w:rPr>
        <w:drawing>
          <wp:inline distT="0" distB="0" distL="0" distR="0" wp14:anchorId="662CA628" wp14:editId="3059198E">
            <wp:extent cx="6645910" cy="848995"/>
            <wp:effectExtent l="0" t="0" r="2540" b="8255"/>
            <wp:docPr id="1859674526" name="Picture 1859674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7"/>
                    <a:stretch>
                      <a:fillRect/>
                    </a:stretch>
                  </pic:blipFill>
                  <pic:spPr>
                    <a:xfrm>
                      <a:off x="0" y="0"/>
                      <a:ext cx="6645910" cy="848995"/>
                    </a:xfrm>
                    <a:prstGeom prst="rect">
                      <a:avLst/>
                    </a:prstGeom>
                  </pic:spPr>
                </pic:pic>
              </a:graphicData>
            </a:graphic>
          </wp:inline>
        </w:drawing>
      </w:r>
    </w:p>
    <w:p w14:paraId="7B429A4F" w14:textId="66CA6963" w:rsidR="00781889" w:rsidRDefault="00C94835" w:rsidP="00D7474D">
      <w:pPr>
        <w:rPr>
          <w:lang w:val="en-GB"/>
        </w:rPr>
      </w:pPr>
      <w:r>
        <w:rPr>
          <w:lang w:val="en-GB"/>
        </w:rPr>
        <w:t xml:space="preserve">Based on the scoreboard, you may want to drill down to a subset of the environment. </w:t>
      </w:r>
      <w:r w:rsidR="00781889">
        <w:rPr>
          <w:lang w:val="en-GB"/>
        </w:rPr>
        <w:t>Take note that the drill down is based on the object owning the metric.</w:t>
      </w:r>
    </w:p>
    <w:p w14:paraId="1B3CCA39" w14:textId="75BBB2E1" w:rsidR="00F05072" w:rsidRDefault="00F46630" w:rsidP="00F05072">
      <w:pPr>
        <w:pStyle w:val="Heading5"/>
      </w:pPr>
      <w:r>
        <w:t>List</w:t>
      </w:r>
    </w:p>
    <w:p w14:paraId="1C645610" w14:textId="426E52C1" w:rsidR="00FE4B82" w:rsidRDefault="00F46630" w:rsidP="00D7474D">
      <w:pPr>
        <w:rPr>
          <w:lang w:val="en-GB"/>
        </w:rPr>
      </w:pPr>
      <w:r>
        <w:rPr>
          <w:lang w:val="en-GB"/>
        </w:rPr>
        <w:t xml:space="preserve">The </w:t>
      </w:r>
      <w:r w:rsidRPr="00F46630">
        <w:rPr>
          <w:color w:val="00B0F0"/>
          <w:lang w:val="en-GB"/>
        </w:rPr>
        <w:t xml:space="preserve">View List </w:t>
      </w:r>
      <w:r>
        <w:rPr>
          <w:lang w:val="en-GB"/>
        </w:rPr>
        <w:t xml:space="preserve">widget </w:t>
      </w:r>
      <w:r w:rsidR="002F401F">
        <w:rPr>
          <w:lang w:val="en-GB"/>
        </w:rPr>
        <w:t>is a table that lists all the objects. Use a filter if the number of items is large.</w:t>
      </w:r>
    </w:p>
    <w:p w14:paraId="36BB4D7C" w14:textId="77777777" w:rsidR="00D7474D" w:rsidRPr="00A452F2" w:rsidRDefault="00D7474D" w:rsidP="00D7474D">
      <w:pPr>
        <w:jc w:val="center"/>
        <w:rPr>
          <w:lang w:val="en-GB"/>
        </w:rPr>
      </w:pPr>
      <w:r w:rsidRPr="00A2438E">
        <w:rPr>
          <w:noProof/>
          <w:lang w:val="en-GB"/>
        </w:rPr>
        <w:lastRenderedPageBreak/>
        <w:drawing>
          <wp:inline distT="0" distB="0" distL="0" distR="0" wp14:anchorId="49D65947" wp14:editId="653633E0">
            <wp:extent cx="3356323" cy="2305395"/>
            <wp:effectExtent l="0" t="0" r="0" b="0"/>
            <wp:docPr id="1583707928" name="Picture 1583707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8"/>
                    <a:stretch>
                      <a:fillRect/>
                    </a:stretch>
                  </pic:blipFill>
                  <pic:spPr>
                    <a:xfrm>
                      <a:off x="0" y="0"/>
                      <a:ext cx="3358207" cy="2306689"/>
                    </a:xfrm>
                    <a:prstGeom prst="rect">
                      <a:avLst/>
                    </a:prstGeom>
                  </pic:spPr>
                </pic:pic>
              </a:graphicData>
            </a:graphic>
          </wp:inline>
        </w:drawing>
      </w:r>
    </w:p>
    <w:p w14:paraId="20B52317" w14:textId="77777777" w:rsidR="00F46630" w:rsidRDefault="00F46630" w:rsidP="00A1036E">
      <w:pPr>
        <w:rPr>
          <w:lang w:val="en-GB"/>
        </w:rPr>
      </w:pPr>
      <w:r>
        <w:rPr>
          <w:lang w:val="en-GB"/>
        </w:rPr>
        <w:t xml:space="preserve">Having a filter also helps the dashboards scalability as showing tens of thousands of objects will impact the dashboard performance. It also improves usability as you can use progressive disclosure, and draw user attention to the big picture first. </w:t>
      </w:r>
    </w:p>
    <w:p w14:paraId="7B8C88B3" w14:textId="6DE2BC31" w:rsidR="00F05072" w:rsidRDefault="00F05072" w:rsidP="00F05072">
      <w:pPr>
        <w:pStyle w:val="Heading5"/>
      </w:pPr>
      <w:r>
        <w:t>Detail</w:t>
      </w:r>
    </w:p>
    <w:p w14:paraId="212DD719" w14:textId="1F7850C7" w:rsidR="00F05072" w:rsidRDefault="00F05072" w:rsidP="00D7474D">
      <w:pPr>
        <w:rPr>
          <w:lang w:val="en-GB"/>
        </w:rPr>
      </w:pPr>
      <w:r>
        <w:rPr>
          <w:lang w:val="en-GB"/>
        </w:rPr>
        <w:t>At the detail level, you deal with a single item, such as a Horizon session. If the item has large numbers of metrics to show, you need a way to see them before plotting the trend chart.</w:t>
      </w:r>
      <w:r w:rsidR="008677AD">
        <w:rPr>
          <w:lang w:val="en-GB"/>
        </w:rPr>
        <w:t xml:space="preserve"> </w:t>
      </w:r>
      <w:r>
        <w:rPr>
          <w:lang w:val="en-GB"/>
        </w:rPr>
        <w:t xml:space="preserve">I found the Scoreboard </w:t>
      </w:r>
      <w:r w:rsidR="008677AD">
        <w:rPr>
          <w:lang w:val="en-GB"/>
        </w:rPr>
        <w:t>the most suitable as it can be color coded and supports drills down to see the trend chart.</w:t>
      </w:r>
    </w:p>
    <w:p w14:paraId="34EAC0E0" w14:textId="77777777" w:rsidR="00052148" w:rsidRDefault="00052148" w:rsidP="00AC6E1E">
      <w:pPr>
        <w:pStyle w:val="Heading4"/>
      </w:pPr>
      <w:r>
        <w:t>Interaction</w:t>
      </w:r>
    </w:p>
    <w:p w14:paraId="2CF61C3B" w14:textId="77777777" w:rsidR="00052148" w:rsidRDefault="00052148" w:rsidP="00052148">
      <w:pPr>
        <w:rPr>
          <w:lang w:val="en-GB"/>
        </w:rPr>
      </w:pPr>
      <w:r>
        <w:rPr>
          <w:lang w:val="en-GB"/>
        </w:rPr>
        <w:t xml:space="preserve">Interaction allows you to build interaction within the widgets. So it is intra-dashboard, while navigation is inter-dashboard. Take advantage of the interaction &amp; navigation, but keep them consistent so they are not too complex. </w:t>
      </w:r>
    </w:p>
    <w:p w14:paraId="78A5C884" w14:textId="77777777" w:rsidR="00052148" w:rsidRPr="00F219F0" w:rsidRDefault="00052148" w:rsidP="00052148">
      <w:pPr>
        <w:rPr>
          <w:lang w:val="en-GB"/>
        </w:rPr>
      </w:pPr>
      <w:r>
        <w:rPr>
          <w:lang w:val="en-GB"/>
        </w:rPr>
        <w:t>Logically design the dashboard first using any drawing tools so you can see the flow of information. I typically use PowerPoint, as shown in the following example.</w:t>
      </w:r>
    </w:p>
    <w:p w14:paraId="0B0A5BEE" w14:textId="77777777" w:rsidR="00052148" w:rsidRPr="00411520" w:rsidRDefault="00052148" w:rsidP="00B84234">
      <w:pPr>
        <w:jc w:val="center"/>
        <w:rPr>
          <w:lang w:val="en-GB"/>
        </w:rPr>
      </w:pPr>
      <w:r>
        <w:rPr>
          <w:noProof/>
        </w:rPr>
        <w:lastRenderedPageBreak/>
        <w:drawing>
          <wp:inline distT="0" distB="0" distL="0" distR="0" wp14:anchorId="35A321EE" wp14:editId="2D09B440">
            <wp:extent cx="5392800" cy="2743200"/>
            <wp:effectExtent l="0" t="0" r="0" b="0"/>
            <wp:docPr id="606394218" name="Picture 606394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18"/>
                    <pic:cNvPicPr/>
                  </pic:nvPicPr>
                  <pic:blipFill>
                    <a:blip r:embed="rId999">
                      <a:extLst>
                        <a:ext uri="{28A0092B-C50C-407E-A947-70E740481C1C}">
                          <a14:useLocalDpi xmlns:a14="http://schemas.microsoft.com/office/drawing/2010/main" val="0"/>
                        </a:ext>
                      </a:extLst>
                    </a:blip>
                    <a:stretch>
                      <a:fillRect/>
                    </a:stretch>
                  </pic:blipFill>
                  <pic:spPr>
                    <a:xfrm>
                      <a:off x="0" y="0"/>
                      <a:ext cx="5392800" cy="2743200"/>
                    </a:xfrm>
                    <a:prstGeom prst="rect">
                      <a:avLst/>
                    </a:prstGeom>
                  </pic:spPr>
                </pic:pic>
              </a:graphicData>
            </a:graphic>
          </wp:inline>
        </w:drawing>
      </w:r>
    </w:p>
    <w:p w14:paraId="27756333" w14:textId="531BA613" w:rsidR="00052148" w:rsidRDefault="00052148" w:rsidP="00052148">
      <w:pPr>
        <w:rPr>
          <w:lang w:val="en-GB"/>
        </w:rPr>
      </w:pPr>
      <w:r w:rsidRPr="4CAB3972">
        <w:rPr>
          <w:lang w:val="en-GB"/>
        </w:rPr>
        <w:t xml:space="preserve">A rich interaction will increase the functionality of the dashboard. </w:t>
      </w:r>
      <w:r>
        <w:rPr>
          <w:lang w:val="en-GB"/>
        </w:rPr>
        <w:t>A</w:t>
      </w:r>
      <w:r w:rsidRPr="4CAB3972">
        <w:rPr>
          <w:lang w:val="en-GB"/>
        </w:rPr>
        <w:t>im for a symmetrical interaction as it’s easier for the dashboard consumer to understand. The following shows 4 heat maps driving 4 line charts</w:t>
      </w:r>
      <w:r w:rsidR="001E7402">
        <w:rPr>
          <w:lang w:val="en-GB"/>
        </w:rPr>
        <w:t xml:space="preserve"> in a 4x4 combination</w:t>
      </w:r>
      <w:r>
        <w:rPr>
          <w:lang w:val="en-GB"/>
        </w:rPr>
        <w:t xml:space="preserve">. It looks complicated </w:t>
      </w:r>
      <w:r w:rsidR="001E7402">
        <w:rPr>
          <w:lang w:val="en-GB"/>
        </w:rPr>
        <w:t xml:space="preserve">in the screenshot below </w:t>
      </w:r>
      <w:r>
        <w:rPr>
          <w:lang w:val="en-GB"/>
        </w:rPr>
        <w:t xml:space="preserve">but feels natural when </w:t>
      </w:r>
      <w:r w:rsidR="001E7402">
        <w:rPr>
          <w:lang w:val="en-GB"/>
        </w:rPr>
        <w:t xml:space="preserve">actually </w:t>
      </w:r>
      <w:r>
        <w:rPr>
          <w:lang w:val="en-GB"/>
        </w:rPr>
        <w:t>used.</w:t>
      </w:r>
    </w:p>
    <w:p w14:paraId="5D6B55AC" w14:textId="77777777" w:rsidR="00052148" w:rsidRDefault="00052148" w:rsidP="00B84234">
      <w:pPr>
        <w:jc w:val="center"/>
        <w:rPr>
          <w:lang w:val="en-GB"/>
        </w:rPr>
      </w:pPr>
      <w:r>
        <w:rPr>
          <w:noProof/>
        </w:rPr>
        <w:drawing>
          <wp:inline distT="0" distB="0" distL="0" distR="0" wp14:anchorId="5849D518" wp14:editId="342629F1">
            <wp:extent cx="4651200" cy="2862000"/>
            <wp:effectExtent l="0" t="0" r="0" b="0"/>
            <wp:docPr id="606394229" name="Picture 606394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29"/>
                    <pic:cNvPicPr/>
                  </pic:nvPicPr>
                  <pic:blipFill>
                    <a:blip r:embed="rId1000" cstate="print">
                      <a:extLst>
                        <a:ext uri="{28A0092B-C50C-407E-A947-70E740481C1C}">
                          <a14:useLocalDpi xmlns:a14="http://schemas.microsoft.com/office/drawing/2010/main" val="0"/>
                        </a:ext>
                      </a:extLst>
                    </a:blip>
                    <a:stretch>
                      <a:fillRect/>
                    </a:stretch>
                  </pic:blipFill>
                  <pic:spPr>
                    <a:xfrm>
                      <a:off x="0" y="0"/>
                      <a:ext cx="4651200" cy="2862000"/>
                    </a:xfrm>
                    <a:prstGeom prst="rect">
                      <a:avLst/>
                    </a:prstGeom>
                  </pic:spPr>
                </pic:pic>
              </a:graphicData>
            </a:graphic>
          </wp:inline>
        </w:drawing>
      </w:r>
    </w:p>
    <w:p w14:paraId="79C27F86" w14:textId="77777777" w:rsidR="00052148" w:rsidRPr="00411520" w:rsidRDefault="00052148" w:rsidP="00052148">
      <w:pPr>
        <w:rPr>
          <w:lang w:val="en-GB"/>
        </w:rPr>
      </w:pPr>
      <w:r>
        <w:rPr>
          <w:lang w:val="en-GB"/>
        </w:rPr>
        <w:t>U</w:t>
      </w:r>
      <w:r w:rsidRPr="00A452F2">
        <w:rPr>
          <w:lang w:val="en-GB"/>
        </w:rPr>
        <w:t>se progressive disclosure to minimize information overload and ensure the webpage loads fast. On the other hand, so long your browser session remains, it remembers your last selection.</w:t>
      </w:r>
    </w:p>
    <w:p w14:paraId="2859E973" w14:textId="75BC728B" w:rsidR="00232F02" w:rsidRDefault="00F45A42" w:rsidP="00AC6E1E">
      <w:pPr>
        <w:pStyle w:val="Heading4"/>
      </w:pPr>
      <w:r>
        <w:t>Large Environment</w:t>
      </w:r>
    </w:p>
    <w:p w14:paraId="1C5DB41A" w14:textId="77777777" w:rsidR="00232F02" w:rsidRPr="006A2740" w:rsidRDefault="00232F02" w:rsidP="00232F02">
      <w:pPr>
        <w:rPr>
          <w:lang w:val="en-GB"/>
        </w:rPr>
      </w:pPr>
      <w:r w:rsidRPr="006A2740">
        <w:rPr>
          <w:lang w:val="en-GB"/>
        </w:rPr>
        <w:t xml:space="preserve">The number of dashboards you will have depends on the size of the environment and the number of people managing it. An environment with 100 VMs in just 5 hosts and 1 cluster will need far fewer dashboards than a </w:t>
      </w:r>
      <w:r>
        <w:rPr>
          <w:lang w:val="en-GB"/>
        </w:rPr>
        <w:t xml:space="preserve">global </w:t>
      </w:r>
      <w:r w:rsidRPr="006A2740">
        <w:rPr>
          <w:lang w:val="en-GB"/>
        </w:rPr>
        <w:t xml:space="preserve">environment with 100,000 VMs spread over 5,000 ESXi, 500 clusters, 20 data centers, and 15 vCenter Servers. </w:t>
      </w:r>
    </w:p>
    <w:p w14:paraId="51D2FC52" w14:textId="77777777" w:rsidR="00232F02" w:rsidRPr="006A2740" w:rsidRDefault="00232F02" w:rsidP="00232F02">
      <w:pPr>
        <w:rPr>
          <w:lang w:val="en-GB"/>
        </w:rPr>
      </w:pPr>
      <w:r w:rsidRPr="006A2740">
        <w:rPr>
          <w:lang w:val="en-GB"/>
        </w:rPr>
        <w:lastRenderedPageBreak/>
        <w:t xml:space="preserve">In a large environment, where you have many physical data centers and even more vSphere clusters, you will likely need to display the information per physical data center. There are several reasons for this: </w:t>
      </w:r>
    </w:p>
    <w:p w14:paraId="2626BC71" w14:textId="77777777" w:rsidR="00232F02" w:rsidRPr="006A2740" w:rsidRDefault="00232F02" w:rsidP="00232F02">
      <w:pPr>
        <w:pStyle w:val="Bullet"/>
        <w:rPr>
          <w:lang w:val="en-GB"/>
        </w:rPr>
      </w:pPr>
      <w:r w:rsidRPr="006A2740">
        <w:rPr>
          <w:lang w:val="en-GB"/>
        </w:rPr>
        <w:t xml:space="preserve">Aggregating data at a global level, which spans many physical data centers, will hide too much information. Presenting data at such a level means you are getting an average of thousands of objects. If your environment is generally healthy (and it should be), the average will logically fall within a healthy range. </w:t>
      </w:r>
    </w:p>
    <w:p w14:paraId="37180F0C" w14:textId="77777777" w:rsidR="00232F02" w:rsidRPr="006A2740" w:rsidRDefault="00232F02" w:rsidP="00232F02">
      <w:pPr>
        <w:pStyle w:val="Bullet"/>
        <w:rPr>
          <w:lang w:val="en-GB"/>
        </w:rPr>
      </w:pPr>
      <w:r w:rsidRPr="006A2740">
        <w:rPr>
          <w:lang w:val="en-GB"/>
        </w:rPr>
        <w:t>In most cases, the performance in a given physical data center is independent from that of other data centers. For example, your Singapore data center typically does not impact the performance of your London data center. An exception to this case is when you link your data center at the network (stretched L2) and storage layers (synchronous replication). From experience in troubleshooting such a scenario, we recommend you keep the physical layer independent from each other. Assuming your data centers are independent, it makes more sense to display the chart on a per data center basis</w:t>
      </w:r>
      <w:r>
        <w:rPr>
          <w:lang w:val="en-GB"/>
        </w:rPr>
        <w:t>.</w:t>
      </w:r>
    </w:p>
    <w:p w14:paraId="31060A97" w14:textId="002440F5" w:rsidR="00232F02" w:rsidRDefault="00232F02" w:rsidP="00232F02">
      <w:pPr>
        <w:pStyle w:val="Bullet"/>
        <w:rPr>
          <w:lang w:val="en-GB"/>
        </w:rPr>
      </w:pPr>
      <w:r w:rsidRPr="006A2740">
        <w:rPr>
          <w:lang w:val="en-GB"/>
        </w:rPr>
        <w:t xml:space="preserve">VMs typically do not move from one physical data center to another (unless they are paired with storage replication and your network is stretched), so an imbalance among multiple data centers does not translate into a realistic rebalancing action. </w:t>
      </w:r>
    </w:p>
    <w:p w14:paraId="09DCA7AC" w14:textId="2AE7FA6A" w:rsidR="008C47D4" w:rsidRDefault="00FD1A9D" w:rsidP="00AC6E1E">
      <w:pPr>
        <w:pStyle w:val="Heading4"/>
      </w:pPr>
      <w:r>
        <w:t>Logical</w:t>
      </w:r>
      <w:r w:rsidR="008C47D4">
        <w:t xml:space="preserve"> Design</w:t>
      </w:r>
    </w:p>
    <w:p w14:paraId="509C79AF" w14:textId="0E2AF7EA" w:rsidR="008C47D4" w:rsidRDefault="008C47D4" w:rsidP="008C47D4">
      <w:pPr>
        <w:rPr>
          <w:lang w:val="en-GB"/>
        </w:rPr>
      </w:pPr>
      <w:r>
        <w:rPr>
          <w:lang w:val="en-GB"/>
        </w:rPr>
        <w:t xml:space="preserve">I find it useful to </w:t>
      </w:r>
      <w:r w:rsidR="00154069">
        <w:rPr>
          <w:lang w:val="en-GB"/>
        </w:rPr>
        <w:t xml:space="preserve">design my dashboards in </w:t>
      </w:r>
      <w:r w:rsidR="00B93B07">
        <w:rPr>
          <w:lang w:val="en-GB"/>
        </w:rPr>
        <w:t xml:space="preserve">Microsoft </w:t>
      </w:r>
      <w:r w:rsidR="00154069">
        <w:rPr>
          <w:lang w:val="en-GB"/>
        </w:rPr>
        <w:t xml:space="preserve">PowerPoint before I implement them, especially if I need to design a suite of dashboards that work together with back-and-forth relationship. </w:t>
      </w:r>
      <w:r w:rsidR="00B93B07">
        <w:rPr>
          <w:lang w:val="en-GB"/>
        </w:rPr>
        <w:t xml:space="preserve">I find it helps me see the big picture, as I can see multiple dashboards on one screen and spot any inconsistency among them. It’s also faster to make changes. </w:t>
      </w:r>
    </w:p>
    <w:p w14:paraId="31791E3F" w14:textId="2B24E2FA" w:rsidR="00154069" w:rsidRPr="00A452F2" w:rsidRDefault="00154069" w:rsidP="00154069">
      <w:pPr>
        <w:jc w:val="center"/>
        <w:rPr>
          <w:lang w:val="en-GB"/>
        </w:rPr>
      </w:pPr>
      <w:r w:rsidRPr="00154069">
        <w:rPr>
          <w:noProof/>
          <w:lang w:val="en-GB"/>
        </w:rPr>
        <w:drawing>
          <wp:inline distT="0" distB="0" distL="0" distR="0" wp14:anchorId="41244C77" wp14:editId="64B1A19D">
            <wp:extent cx="3499200" cy="3816000"/>
            <wp:effectExtent l="0" t="0" r="6350" b="0"/>
            <wp:docPr id="534447503" name="Picture 534447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1"/>
                    <a:stretch>
                      <a:fillRect/>
                    </a:stretch>
                  </pic:blipFill>
                  <pic:spPr>
                    <a:xfrm>
                      <a:off x="0" y="0"/>
                      <a:ext cx="3499200" cy="3816000"/>
                    </a:xfrm>
                    <a:prstGeom prst="rect">
                      <a:avLst/>
                    </a:prstGeom>
                  </pic:spPr>
                </pic:pic>
              </a:graphicData>
            </a:graphic>
          </wp:inline>
        </w:drawing>
      </w:r>
    </w:p>
    <w:p w14:paraId="1749AA8B" w14:textId="6F0946A2" w:rsidR="009F4AA0" w:rsidRDefault="001E161D" w:rsidP="00540F68">
      <w:pPr>
        <w:pStyle w:val="Heading3"/>
      </w:pPr>
      <w:r>
        <w:lastRenderedPageBreak/>
        <w:t xml:space="preserve">Widgets </w:t>
      </w:r>
    </w:p>
    <w:p w14:paraId="4488C2EB" w14:textId="77777777" w:rsidR="00F45A42" w:rsidRDefault="00C57DB7" w:rsidP="00C57DB7">
      <w:pPr>
        <w:rPr>
          <w:lang w:val="en-GB"/>
        </w:rPr>
      </w:pPr>
      <w:r>
        <w:rPr>
          <w:lang w:val="en-GB"/>
        </w:rPr>
        <w:t>Keep the variants of widgets minimal</w:t>
      </w:r>
      <w:r w:rsidR="00530DAF">
        <w:rPr>
          <w:lang w:val="en-GB"/>
        </w:rPr>
        <w:t>, as it improves usability</w:t>
      </w:r>
      <w:r w:rsidR="00F45A42">
        <w:rPr>
          <w:lang w:val="en-GB"/>
        </w:rPr>
        <w:t>, especially when you have multiple dashboard or large dashboard</w:t>
      </w:r>
      <w:r w:rsidR="00530DAF">
        <w:rPr>
          <w:lang w:val="en-GB"/>
        </w:rPr>
        <w:t>.</w:t>
      </w:r>
      <w:r w:rsidR="003B10EA">
        <w:rPr>
          <w:lang w:val="en-GB"/>
        </w:rPr>
        <w:t xml:space="preserve"> </w:t>
      </w:r>
      <w:r>
        <w:rPr>
          <w:lang w:val="en-GB"/>
        </w:rPr>
        <w:t>You notice that I mostly use the same</w:t>
      </w:r>
      <w:r w:rsidR="003B10EA">
        <w:rPr>
          <w:lang w:val="en-GB"/>
        </w:rPr>
        <w:t xml:space="preserve"> </w:t>
      </w:r>
      <w:r w:rsidR="006069C7">
        <w:rPr>
          <w:lang w:val="en-GB"/>
        </w:rPr>
        <w:t>set of widgets in all the dashboards I have created</w:t>
      </w:r>
      <w:r w:rsidR="005744C2">
        <w:rPr>
          <w:lang w:val="en-GB"/>
        </w:rPr>
        <w:t xml:space="preserve">. </w:t>
      </w:r>
    </w:p>
    <w:p w14:paraId="51E7B773" w14:textId="56CE5466" w:rsidR="00C57DB7" w:rsidRDefault="006069C7" w:rsidP="00C57DB7">
      <w:pPr>
        <w:rPr>
          <w:lang w:val="en-GB"/>
        </w:rPr>
      </w:pPr>
      <w:r>
        <w:rPr>
          <w:lang w:val="en-GB"/>
        </w:rPr>
        <w:t>I have created many of them</w:t>
      </w:r>
      <w:r w:rsidR="005744C2">
        <w:rPr>
          <w:lang w:val="en-GB"/>
        </w:rPr>
        <w:t xml:space="preserve"> since </w:t>
      </w:r>
      <w:r w:rsidR="00D57CDC">
        <w:rPr>
          <w:lang w:val="en-GB"/>
        </w:rPr>
        <w:t>1.0, and you’d certainly observe that my design change over the years.</w:t>
      </w:r>
    </w:p>
    <w:p w14:paraId="63AA0FA6" w14:textId="270F2C85" w:rsidR="00CE42CE" w:rsidRDefault="00CE42CE" w:rsidP="00C57DB7">
      <w:pPr>
        <w:rPr>
          <w:lang w:val="en-GB"/>
        </w:rPr>
      </w:pPr>
      <w:r>
        <w:rPr>
          <w:lang w:val="en-GB"/>
        </w:rPr>
        <w:t>The following lists the widgets I use and what I use them for</w:t>
      </w:r>
      <w:r w:rsidR="00C6675C">
        <w:rPr>
          <w:lang w:val="en-GB"/>
        </w:rPr>
        <w:t>:</w:t>
      </w:r>
    </w:p>
    <w:p w14:paraId="71DA4152" w14:textId="77777777" w:rsidR="00DB24DC" w:rsidRDefault="00DB24DC" w:rsidP="00DB24DC">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985"/>
        <w:gridCol w:w="8471"/>
      </w:tblGrid>
      <w:tr w:rsidR="00D77653" w:rsidRPr="00D77653" w14:paraId="39A62183" w14:textId="77777777" w:rsidTr="00CD632C">
        <w:tc>
          <w:tcPr>
            <w:tcW w:w="1985" w:type="dxa"/>
            <w:shd w:val="clear" w:color="auto" w:fill="F2F2F2" w:themeFill="background1" w:themeFillShade="F2"/>
          </w:tcPr>
          <w:p w14:paraId="43F3704C" w14:textId="13B91258" w:rsidR="00DB24DC" w:rsidRPr="00D77653" w:rsidRDefault="00DB24DC" w:rsidP="00ED1311">
            <w:pPr>
              <w:pStyle w:val="Tableheading"/>
              <w:jc w:val="left"/>
            </w:pPr>
            <w:r w:rsidRPr="00D77653">
              <w:t>Scoreboard</w:t>
            </w:r>
          </w:p>
        </w:tc>
        <w:tc>
          <w:tcPr>
            <w:tcW w:w="8471" w:type="dxa"/>
          </w:tcPr>
          <w:p w14:paraId="3B2797F7" w14:textId="301DA6A4" w:rsidR="00DB24DC" w:rsidRPr="00D77653" w:rsidRDefault="00781BC1" w:rsidP="009B6332">
            <w:pPr>
              <w:pStyle w:val="Tablecontent"/>
            </w:pPr>
            <w:r w:rsidRPr="00D77653">
              <w:t xml:space="preserve">Headline or Banner or </w:t>
            </w:r>
            <w:r w:rsidR="002C0B0C" w:rsidRPr="00D77653">
              <w:t xml:space="preserve">Summary. To get attention to the key point, I use </w:t>
            </w:r>
            <w:r w:rsidR="00D34B73" w:rsidRPr="00D77653">
              <w:t>large text</w:t>
            </w:r>
            <w:r w:rsidR="00322232" w:rsidRPr="00D77653">
              <w:t xml:space="preserve">, </w:t>
            </w:r>
            <w:r w:rsidR="00D34B73" w:rsidRPr="00D77653">
              <w:t>space out the content</w:t>
            </w:r>
            <w:r w:rsidR="00322232" w:rsidRPr="00D77653">
              <w:t xml:space="preserve"> and apply a gradient to make it stand out. I may even use color.</w:t>
            </w:r>
          </w:p>
          <w:p w14:paraId="79E504CC" w14:textId="47277C24" w:rsidR="002C0B0C" w:rsidRPr="00D77653" w:rsidRDefault="00781BC1" w:rsidP="009B6332">
            <w:pPr>
              <w:pStyle w:val="Tablecontent"/>
            </w:pPr>
            <w:r w:rsidRPr="00D77653">
              <w:t xml:space="preserve">Object </w:t>
            </w:r>
            <w:r w:rsidR="002C0B0C" w:rsidRPr="00D77653">
              <w:t>Property</w:t>
            </w:r>
            <w:r w:rsidR="00D34B73" w:rsidRPr="00D77653">
              <w:t>. To show relevant</w:t>
            </w:r>
            <w:r w:rsidRPr="00D77653">
              <w:t xml:space="preserve"> configuration of a</w:t>
            </w:r>
            <w:r w:rsidR="00952D1E" w:rsidRPr="00D77653">
              <w:t>n object</w:t>
            </w:r>
            <w:r w:rsidR="00D34B73" w:rsidRPr="00D77653">
              <w:t>, I use small font</w:t>
            </w:r>
            <w:r w:rsidR="00322232" w:rsidRPr="00D77653">
              <w:t xml:space="preserve">. I keep the visual </w:t>
            </w:r>
            <w:r w:rsidR="00D81D8D" w:rsidRPr="00D77653">
              <w:t>plain and simple.</w:t>
            </w:r>
          </w:p>
          <w:p w14:paraId="6A36213D" w14:textId="7F5E9A0D" w:rsidR="00952D1E" w:rsidRPr="00D77653" w:rsidRDefault="006027FE" w:rsidP="009B6332">
            <w:pPr>
              <w:pStyle w:val="Tablecontent"/>
            </w:pPr>
            <w:r w:rsidRPr="00D77653">
              <w:t xml:space="preserve">Many metrics per object. Being more compact than health chart, it’s handy if you have </w:t>
            </w:r>
            <w:r w:rsidR="00641303" w:rsidRPr="00D77653">
              <w:t xml:space="preserve">more metrics than screen real estate. </w:t>
            </w:r>
          </w:p>
        </w:tc>
      </w:tr>
      <w:tr w:rsidR="00D77653" w:rsidRPr="00D77653" w14:paraId="2468177E" w14:textId="77777777" w:rsidTr="00CD632C">
        <w:tc>
          <w:tcPr>
            <w:tcW w:w="1985" w:type="dxa"/>
            <w:shd w:val="clear" w:color="auto" w:fill="F2F2F2" w:themeFill="background1" w:themeFillShade="F2"/>
          </w:tcPr>
          <w:p w14:paraId="4B9FFBE1" w14:textId="34BBFB58" w:rsidR="00D81D8D" w:rsidRPr="00D77653" w:rsidRDefault="0015135D" w:rsidP="00ED1311">
            <w:pPr>
              <w:pStyle w:val="Tableheading"/>
              <w:jc w:val="left"/>
            </w:pPr>
            <w:r w:rsidRPr="00D77653">
              <w:t>Bar Chart</w:t>
            </w:r>
          </w:p>
        </w:tc>
        <w:tc>
          <w:tcPr>
            <w:tcW w:w="8471" w:type="dxa"/>
          </w:tcPr>
          <w:p w14:paraId="538EB2A4" w14:textId="4BB4F1F8" w:rsidR="00D81D8D" w:rsidRPr="00D77653" w:rsidRDefault="009B6332" w:rsidP="009B6332">
            <w:pPr>
              <w:pStyle w:val="Tablecontent"/>
            </w:pPr>
            <w:r>
              <w:t xml:space="preserve">Absolute distribution. The count value of each bucket is important. </w:t>
            </w:r>
          </w:p>
        </w:tc>
      </w:tr>
      <w:tr w:rsidR="00D77653" w:rsidRPr="00D77653" w14:paraId="052B072E" w14:textId="77777777" w:rsidTr="00CD632C">
        <w:tc>
          <w:tcPr>
            <w:tcW w:w="1985" w:type="dxa"/>
            <w:shd w:val="clear" w:color="auto" w:fill="F2F2F2" w:themeFill="background1" w:themeFillShade="F2"/>
          </w:tcPr>
          <w:p w14:paraId="12B6F5CE" w14:textId="13597CEE" w:rsidR="0015135D" w:rsidRPr="00D77653" w:rsidRDefault="0015135D" w:rsidP="00ED1311">
            <w:pPr>
              <w:pStyle w:val="Tableheading"/>
              <w:jc w:val="left"/>
            </w:pPr>
            <w:r w:rsidRPr="00D77653">
              <w:t>Pie Chart</w:t>
            </w:r>
          </w:p>
        </w:tc>
        <w:tc>
          <w:tcPr>
            <w:tcW w:w="8471" w:type="dxa"/>
          </w:tcPr>
          <w:p w14:paraId="1000AE4A" w14:textId="72F82CC3" w:rsidR="0015135D" w:rsidRPr="00D77653" w:rsidRDefault="00D71926" w:rsidP="009B6332">
            <w:pPr>
              <w:pStyle w:val="Tablecontent"/>
            </w:pPr>
            <w:r>
              <w:t xml:space="preserve">Relative distribution. </w:t>
            </w:r>
            <w:r w:rsidR="006346D0">
              <w:t>L</w:t>
            </w:r>
            <w:r>
              <w:t xml:space="preserve">ook for pattern, such as the number slice matches </w:t>
            </w:r>
            <w:r w:rsidR="006346D0">
              <w:t>your design.</w:t>
            </w:r>
          </w:p>
        </w:tc>
      </w:tr>
      <w:tr w:rsidR="00D77653" w:rsidRPr="00D77653" w14:paraId="34C8A5D4" w14:textId="77777777" w:rsidTr="00CD632C">
        <w:tc>
          <w:tcPr>
            <w:tcW w:w="1985" w:type="dxa"/>
            <w:shd w:val="clear" w:color="auto" w:fill="F2F2F2" w:themeFill="background1" w:themeFillShade="F2"/>
          </w:tcPr>
          <w:p w14:paraId="5F9ABC39" w14:textId="0FE4AAA9" w:rsidR="00A35F76" w:rsidRPr="00D77653" w:rsidRDefault="00A35F76" w:rsidP="00ED1311">
            <w:pPr>
              <w:pStyle w:val="Tableheading"/>
              <w:jc w:val="left"/>
            </w:pPr>
            <w:r w:rsidRPr="00D77653">
              <w:t>List</w:t>
            </w:r>
          </w:p>
        </w:tc>
        <w:tc>
          <w:tcPr>
            <w:tcW w:w="8471" w:type="dxa"/>
          </w:tcPr>
          <w:p w14:paraId="0A62576D" w14:textId="7D9A1EE2" w:rsidR="00A35F76" w:rsidRPr="00D77653" w:rsidRDefault="001C6CC8" w:rsidP="009B6332">
            <w:pPr>
              <w:pStyle w:val="Tablecontent"/>
            </w:pPr>
            <w:r w:rsidRPr="00D77653">
              <w:t xml:space="preserve">The threshold </w:t>
            </w:r>
            <w:r w:rsidR="0069634D" w:rsidRPr="00D77653">
              <w:t>helps to quickly glance if the table is wide or deep.</w:t>
            </w:r>
          </w:p>
          <w:p w14:paraId="4E33D03D" w14:textId="2F3A6853" w:rsidR="00A35F76" w:rsidRPr="00D77653" w:rsidRDefault="00A35F76" w:rsidP="009B6332">
            <w:pPr>
              <w:pStyle w:val="Tablecontent"/>
            </w:pPr>
            <w:r w:rsidRPr="00D77653">
              <w:t>I do not use Object List as the View List covers all the use case I needed</w:t>
            </w:r>
            <w:r w:rsidR="00FD2894">
              <w:t>. View has more features.</w:t>
            </w:r>
          </w:p>
        </w:tc>
      </w:tr>
      <w:tr w:rsidR="00D77653" w:rsidRPr="00D77653" w14:paraId="77511CE1" w14:textId="77777777" w:rsidTr="00CD632C">
        <w:tc>
          <w:tcPr>
            <w:tcW w:w="1985" w:type="dxa"/>
            <w:shd w:val="clear" w:color="auto" w:fill="F2F2F2" w:themeFill="background1" w:themeFillShade="F2"/>
          </w:tcPr>
          <w:p w14:paraId="4C637A8E" w14:textId="53030B4D" w:rsidR="009E7554" w:rsidRPr="00D77653" w:rsidRDefault="009E7554" w:rsidP="00ED1311">
            <w:pPr>
              <w:pStyle w:val="Tableheading"/>
              <w:jc w:val="left"/>
            </w:pPr>
            <w:r w:rsidRPr="00D77653">
              <w:t>Heat Map</w:t>
            </w:r>
          </w:p>
        </w:tc>
        <w:tc>
          <w:tcPr>
            <w:tcW w:w="8471" w:type="dxa"/>
          </w:tcPr>
          <w:p w14:paraId="1F616AF6" w14:textId="188B143B" w:rsidR="009E7554" w:rsidRPr="00D77653" w:rsidRDefault="00A64F12" w:rsidP="009B6332">
            <w:pPr>
              <w:pStyle w:val="Tablecontent"/>
            </w:pPr>
            <w:r w:rsidRPr="00D77653">
              <w:t xml:space="preserve">Use it if there are many objects, and you only need to see the present value. So it’s suitable for capacity, configuration, </w:t>
            </w:r>
            <w:r w:rsidR="001C6CC8" w:rsidRPr="00D77653">
              <w:t xml:space="preserve">live NOC, </w:t>
            </w:r>
            <w:r w:rsidRPr="00D77653">
              <w:t>and not suitable for performance</w:t>
            </w:r>
            <w:r w:rsidR="001C6CC8" w:rsidRPr="00D77653">
              <w:t xml:space="preserve"> (where you need to see trend </w:t>
            </w:r>
            <w:r w:rsidR="00323FCF">
              <w:t xml:space="preserve">over time </w:t>
            </w:r>
            <w:r w:rsidR="001C6CC8" w:rsidRPr="00D77653">
              <w:t xml:space="preserve">and </w:t>
            </w:r>
            <w:r w:rsidR="00323FCF">
              <w:t xml:space="preserve">data older than </w:t>
            </w:r>
            <w:r w:rsidR="001C6CC8" w:rsidRPr="00D77653">
              <w:t>5 minutes)</w:t>
            </w:r>
          </w:p>
        </w:tc>
      </w:tr>
      <w:tr w:rsidR="00D77653" w:rsidRPr="00D77653" w14:paraId="0DA954D2" w14:textId="77777777" w:rsidTr="00CD632C">
        <w:tc>
          <w:tcPr>
            <w:tcW w:w="1985" w:type="dxa"/>
            <w:shd w:val="clear" w:color="auto" w:fill="F2F2F2" w:themeFill="background1" w:themeFillShade="F2"/>
          </w:tcPr>
          <w:p w14:paraId="4C414ADB" w14:textId="787E6C6F" w:rsidR="00641303" w:rsidRPr="00D77653" w:rsidRDefault="00641303" w:rsidP="00ED1311">
            <w:pPr>
              <w:pStyle w:val="Tableheading"/>
              <w:jc w:val="left"/>
            </w:pPr>
            <w:r w:rsidRPr="00D77653">
              <w:t>Health Chart</w:t>
            </w:r>
          </w:p>
        </w:tc>
        <w:tc>
          <w:tcPr>
            <w:tcW w:w="8471" w:type="dxa"/>
          </w:tcPr>
          <w:p w14:paraId="7FE19F4D" w14:textId="3C9645B6" w:rsidR="00641303" w:rsidRPr="00D77653" w:rsidRDefault="006346D0" w:rsidP="009B6332">
            <w:pPr>
              <w:pStyle w:val="Tablecontent"/>
            </w:pPr>
            <w:r>
              <w:t>Where the color is more important than the value.</w:t>
            </w:r>
          </w:p>
        </w:tc>
      </w:tr>
      <w:tr w:rsidR="00D77653" w:rsidRPr="00D77653" w14:paraId="30AF67DC" w14:textId="77777777" w:rsidTr="00CD632C">
        <w:tc>
          <w:tcPr>
            <w:tcW w:w="1985" w:type="dxa"/>
            <w:shd w:val="clear" w:color="auto" w:fill="F2F2F2" w:themeFill="background1" w:themeFillShade="F2"/>
          </w:tcPr>
          <w:p w14:paraId="01DD05F5" w14:textId="69846B5E" w:rsidR="0015135D" w:rsidRPr="00D77653" w:rsidRDefault="0015135D" w:rsidP="00ED1311">
            <w:pPr>
              <w:pStyle w:val="Tableheading"/>
              <w:jc w:val="left"/>
            </w:pPr>
            <w:r w:rsidRPr="00D77653">
              <w:t>Trend Chart</w:t>
            </w:r>
          </w:p>
        </w:tc>
        <w:tc>
          <w:tcPr>
            <w:tcW w:w="8471" w:type="dxa"/>
          </w:tcPr>
          <w:p w14:paraId="4B3F399A" w14:textId="307ADA0B" w:rsidR="001B452C" w:rsidRPr="00D77653" w:rsidRDefault="000F5D8C" w:rsidP="009B6332">
            <w:pPr>
              <w:pStyle w:val="Tablecontent"/>
            </w:pPr>
            <w:r w:rsidRPr="00D77653">
              <w:t>I use View Trend Chart as m</w:t>
            </w:r>
            <w:r w:rsidR="001B452C" w:rsidRPr="00D77653">
              <w:t>y main line chart. I rarely or do not use other forms of line chart</w:t>
            </w:r>
            <w:r w:rsidR="00FA6797" w:rsidRPr="00D77653">
              <w:t xml:space="preserve"> </w:t>
            </w:r>
          </w:p>
          <w:p w14:paraId="1A527F45" w14:textId="090095C9" w:rsidR="00A35F76" w:rsidRPr="00D77653" w:rsidRDefault="00A35F76" w:rsidP="009B6332">
            <w:pPr>
              <w:pStyle w:val="Tablecontent"/>
            </w:pPr>
            <w:r w:rsidRPr="00D77653">
              <w:t>I rarely use</w:t>
            </w:r>
            <w:r w:rsidR="001C6CC8" w:rsidRPr="00D77653">
              <w:t xml:space="preserve"> the </w:t>
            </w:r>
            <w:r w:rsidR="0069634D" w:rsidRPr="00D77653">
              <w:t>threshold</w:t>
            </w:r>
            <w:r w:rsidR="00114D64" w:rsidRPr="00D77653">
              <w:t xml:space="preserve"> for visual reason.</w:t>
            </w:r>
          </w:p>
          <w:p w14:paraId="173A3FD4" w14:textId="4522832F" w:rsidR="0015135D" w:rsidRPr="00D77653" w:rsidRDefault="0008171D" w:rsidP="009B6332">
            <w:pPr>
              <w:pStyle w:val="Tablecontent"/>
            </w:pPr>
            <w:r w:rsidRPr="00D77653">
              <w:t xml:space="preserve">I use the Metric Chart only. As a result, I rarely use </w:t>
            </w:r>
            <w:r w:rsidR="001B452C" w:rsidRPr="00D77653">
              <w:t>Metric Chart as most of the time multiple widgets meet the requirements too.</w:t>
            </w:r>
          </w:p>
        </w:tc>
      </w:tr>
      <w:tr w:rsidR="00D77653" w:rsidRPr="00D77653" w14:paraId="6DBF8E8C" w14:textId="77777777" w:rsidTr="00CD632C">
        <w:tc>
          <w:tcPr>
            <w:tcW w:w="1985" w:type="dxa"/>
            <w:shd w:val="clear" w:color="auto" w:fill="F2F2F2" w:themeFill="background1" w:themeFillShade="F2"/>
          </w:tcPr>
          <w:p w14:paraId="796B06D3" w14:textId="1AF45402" w:rsidR="00641303" w:rsidRPr="00D77653" w:rsidRDefault="00641303" w:rsidP="00ED1311">
            <w:pPr>
              <w:pStyle w:val="Tableheading"/>
              <w:jc w:val="left"/>
            </w:pPr>
            <w:r w:rsidRPr="00D77653">
              <w:t>Top N</w:t>
            </w:r>
          </w:p>
        </w:tc>
        <w:tc>
          <w:tcPr>
            <w:tcW w:w="8471" w:type="dxa"/>
          </w:tcPr>
          <w:p w14:paraId="19F1D686" w14:textId="7E611919" w:rsidR="00641303" w:rsidRPr="00D77653" w:rsidRDefault="00C6675C" w:rsidP="009B6332">
            <w:pPr>
              <w:pStyle w:val="Tablecontent"/>
            </w:pPr>
            <w:r>
              <w:t>Look for top numbers that are within your expected range.</w:t>
            </w:r>
          </w:p>
        </w:tc>
      </w:tr>
      <w:tr w:rsidR="00D77653" w:rsidRPr="00D77653" w14:paraId="7D266295" w14:textId="77777777" w:rsidTr="00CD632C">
        <w:tc>
          <w:tcPr>
            <w:tcW w:w="1985" w:type="dxa"/>
            <w:shd w:val="clear" w:color="auto" w:fill="F2F2F2" w:themeFill="background1" w:themeFillShade="F2"/>
          </w:tcPr>
          <w:p w14:paraId="664A1B58" w14:textId="4F1E031A" w:rsidR="000F5D8C" w:rsidRPr="00D77653" w:rsidRDefault="000F5D8C" w:rsidP="00ED1311">
            <w:pPr>
              <w:pStyle w:val="Tableheading"/>
              <w:jc w:val="left"/>
            </w:pPr>
            <w:r w:rsidRPr="00D77653">
              <w:t>Alert List</w:t>
            </w:r>
          </w:p>
        </w:tc>
        <w:tc>
          <w:tcPr>
            <w:tcW w:w="8471" w:type="dxa"/>
          </w:tcPr>
          <w:p w14:paraId="4407DFED" w14:textId="5A51E187" w:rsidR="000F5D8C" w:rsidRPr="00D77653" w:rsidRDefault="00B252B4" w:rsidP="009B6332">
            <w:pPr>
              <w:pStyle w:val="Tablecontent"/>
            </w:pPr>
            <w:r w:rsidRPr="00D77653">
              <w:t xml:space="preserve">Use to show relevant alert. </w:t>
            </w:r>
            <w:r w:rsidR="00292AE7" w:rsidRPr="00D77653">
              <w:t>For example, for performance, I only show performance alerts</w:t>
            </w:r>
            <w:r w:rsidR="0099691D" w:rsidRPr="00D77653">
              <w:t xml:space="preserve"> as the full alert is available in the object summary page.</w:t>
            </w:r>
          </w:p>
        </w:tc>
      </w:tr>
      <w:tr w:rsidR="00D77653" w:rsidRPr="00D77653" w14:paraId="0845CAC1" w14:textId="77777777" w:rsidTr="00CD632C">
        <w:tc>
          <w:tcPr>
            <w:tcW w:w="1985" w:type="dxa"/>
            <w:shd w:val="clear" w:color="auto" w:fill="F2F2F2" w:themeFill="background1" w:themeFillShade="F2"/>
          </w:tcPr>
          <w:p w14:paraId="44C22939" w14:textId="64246F7D" w:rsidR="00FB0F63" w:rsidRPr="00D77653" w:rsidRDefault="00FB0F63" w:rsidP="00ED1311">
            <w:pPr>
              <w:pStyle w:val="Tableheading"/>
              <w:jc w:val="left"/>
            </w:pPr>
            <w:r w:rsidRPr="00D77653">
              <w:t>Relationship</w:t>
            </w:r>
          </w:p>
        </w:tc>
        <w:tc>
          <w:tcPr>
            <w:tcW w:w="8471" w:type="dxa"/>
          </w:tcPr>
          <w:p w14:paraId="67B43AEF" w14:textId="61F24306" w:rsidR="00FB0F63" w:rsidRPr="00D77653" w:rsidRDefault="004E75FA" w:rsidP="009B6332">
            <w:pPr>
              <w:pStyle w:val="Tablecontent"/>
            </w:pPr>
            <w:r w:rsidRPr="00D77653">
              <w:t xml:space="preserve">I use the Advance </w:t>
            </w:r>
            <w:r w:rsidR="006B17CF">
              <w:t xml:space="preserve">version of the </w:t>
            </w:r>
            <w:r w:rsidRPr="00D77653">
              <w:t xml:space="preserve">widget as it’s visually more polished and meets all my requirements. I do not </w:t>
            </w:r>
            <w:r w:rsidR="006B17CF">
              <w:t>use the simpler version.</w:t>
            </w:r>
          </w:p>
        </w:tc>
      </w:tr>
      <w:tr w:rsidR="00D77653" w:rsidRPr="00D77653" w14:paraId="6BC7AF4E" w14:textId="77777777" w:rsidTr="00CD632C">
        <w:tc>
          <w:tcPr>
            <w:tcW w:w="1985" w:type="dxa"/>
            <w:shd w:val="clear" w:color="auto" w:fill="F2F2F2" w:themeFill="background1" w:themeFillShade="F2"/>
          </w:tcPr>
          <w:p w14:paraId="7C8D5B01" w14:textId="66589DD1" w:rsidR="003D68DF" w:rsidRPr="00D77653" w:rsidRDefault="003D68DF" w:rsidP="00ED1311">
            <w:pPr>
              <w:pStyle w:val="Tableheading"/>
              <w:jc w:val="left"/>
            </w:pPr>
            <w:r w:rsidRPr="00D77653">
              <w:t xml:space="preserve">Text </w:t>
            </w:r>
            <w:r w:rsidR="00C314B0" w:rsidRPr="00D77653">
              <w:t>Display</w:t>
            </w:r>
          </w:p>
        </w:tc>
        <w:tc>
          <w:tcPr>
            <w:tcW w:w="8471" w:type="dxa"/>
          </w:tcPr>
          <w:p w14:paraId="55E921EF" w14:textId="435E1B46" w:rsidR="003D68DF" w:rsidRPr="00D77653" w:rsidRDefault="00C314B0" w:rsidP="009B6332">
            <w:pPr>
              <w:pStyle w:val="Tablecontent"/>
            </w:pPr>
            <w:r w:rsidRPr="00D77653">
              <w:t>I use it as a “Read Me”</w:t>
            </w:r>
            <w:r w:rsidR="00DC250F" w:rsidRPr="00D77653">
              <w:t xml:space="preserve"> to either explain the whole dashboard or certain part of it.</w:t>
            </w:r>
          </w:p>
        </w:tc>
      </w:tr>
    </w:tbl>
    <w:p w14:paraId="3D9D5A09" w14:textId="5F0881CE" w:rsidR="00D81D8D" w:rsidRPr="009B6332" w:rsidRDefault="00114D64" w:rsidP="009B6332">
      <w:r w:rsidRPr="009B6332">
        <w:t xml:space="preserve">Practitioners like </w:t>
      </w:r>
      <w:hyperlink r:id="rId1002" w:history="1">
        <w:hyperlink r:id="rId1003" w:tgtFrame="_self" w:history="1">
          <w:r w:rsidR="00240FC2" w:rsidRPr="00582638">
            <w:rPr>
              <w:rStyle w:val="Hyperlink"/>
              <w:color w:val="00B0F0"/>
              <w:u w:val="none"/>
            </w:rPr>
            <w:t>Dale Hassinger</w:t>
          </w:r>
        </w:hyperlink>
      </w:hyperlink>
      <w:r w:rsidR="00240FC2" w:rsidRPr="009B6332">
        <w:t xml:space="preserve"> use a lot of </w:t>
      </w:r>
      <w:r w:rsidR="00240FC2" w:rsidRPr="003B6881">
        <w:rPr>
          <w:color w:val="00B0F0"/>
        </w:rPr>
        <w:t>Text Widget</w:t>
      </w:r>
      <w:r w:rsidR="00240FC2" w:rsidRPr="009B6332">
        <w:t xml:space="preserve">, because he creates custom </w:t>
      </w:r>
      <w:r w:rsidR="0098535A" w:rsidRPr="009B6332">
        <w:t>web pages. It certainly makes a functioning and cool dashboard!</w:t>
      </w:r>
    </w:p>
    <w:p w14:paraId="64689992" w14:textId="2D49A077" w:rsidR="00AD5622" w:rsidRPr="009B6332" w:rsidRDefault="00AD5622" w:rsidP="009B6332">
      <w:r w:rsidRPr="009B6332">
        <w:t>I rarely use the following</w:t>
      </w:r>
    </w:p>
    <w:p w14:paraId="7C9DBF42" w14:textId="4AD2E8B2" w:rsidR="00AD5622" w:rsidRPr="00D77653" w:rsidRDefault="00AD5622" w:rsidP="009B6332">
      <w:pPr>
        <w:pStyle w:val="Bullet"/>
      </w:pPr>
      <w:r w:rsidRPr="00D77653">
        <w:t xml:space="preserve">Metric Picker. I’d use it if </w:t>
      </w:r>
      <w:r w:rsidR="00FC3D2E" w:rsidRPr="00D77653">
        <w:t>I’m unsure of what metrics to use</w:t>
      </w:r>
    </w:p>
    <w:p w14:paraId="05BA04FD" w14:textId="77777777" w:rsidR="002A13A6" w:rsidRDefault="00FC3D2E" w:rsidP="009B6332">
      <w:pPr>
        <w:pStyle w:val="Bullet"/>
      </w:pPr>
      <w:r w:rsidRPr="002A13A6">
        <w:t>Metric Chart. I’d use it if I need to have multiple line charts on a single widget</w:t>
      </w:r>
      <w:r w:rsidR="00281515" w:rsidRPr="002A13A6">
        <w:t>. Using less widget helps simplif</w:t>
      </w:r>
      <w:r w:rsidR="00647CE0" w:rsidRPr="002A13A6">
        <w:t>y the overall dashboard look.</w:t>
      </w:r>
    </w:p>
    <w:p w14:paraId="25461219" w14:textId="5D380A82" w:rsidR="003D68DF" w:rsidRDefault="003D68DF" w:rsidP="009B6332">
      <w:pPr>
        <w:pStyle w:val="Bullet"/>
      </w:pPr>
      <w:r w:rsidRPr="002A13A6">
        <w:t>Object List</w:t>
      </w:r>
      <w:r w:rsidR="006346D0">
        <w:t>. I use View List instead.</w:t>
      </w:r>
      <w:r w:rsidR="00A02043">
        <w:t xml:space="preserve"> Functionally it’s a superset.</w:t>
      </w:r>
    </w:p>
    <w:p w14:paraId="117E9ADC" w14:textId="3FFC710C" w:rsidR="006346D0" w:rsidRPr="002A13A6" w:rsidRDefault="006346D0" w:rsidP="009B6332">
      <w:pPr>
        <w:pStyle w:val="Bullet"/>
      </w:pPr>
      <w:r w:rsidRPr="00D77653">
        <w:t>Scoreboard Health</w:t>
      </w:r>
      <w:r w:rsidR="00C6675C">
        <w:t>. I normally use heat map.</w:t>
      </w:r>
    </w:p>
    <w:p w14:paraId="679E60AA" w14:textId="60A88FB1" w:rsidR="00D05D1A" w:rsidRDefault="00D05D1A" w:rsidP="00AC6E1E">
      <w:pPr>
        <w:pStyle w:val="Heading4"/>
      </w:pPr>
      <w:r>
        <w:lastRenderedPageBreak/>
        <w:t>Scoreboard</w:t>
      </w:r>
    </w:p>
    <w:p w14:paraId="29A41FB1" w14:textId="40439FD0" w:rsidR="00927C8C" w:rsidRPr="00927C8C" w:rsidRDefault="00844AB4" w:rsidP="00927C8C">
      <w:pPr>
        <w:rPr>
          <w:lang w:val="en-GB"/>
        </w:rPr>
      </w:pPr>
      <w:r>
        <w:rPr>
          <w:lang w:val="en-GB"/>
        </w:rPr>
        <w:t xml:space="preserve">At the top of the dashboard, it’s useful to provide </w:t>
      </w:r>
      <w:r w:rsidR="008E3357">
        <w:rPr>
          <w:lang w:val="en-GB"/>
        </w:rPr>
        <w:t xml:space="preserve">a banner or headline, giving the big picture or summary. </w:t>
      </w:r>
      <w:r w:rsidR="0091046E">
        <w:rPr>
          <w:lang w:val="en-GB"/>
        </w:rPr>
        <w:t xml:space="preserve">For example, this is what I use for Inventory summary. </w:t>
      </w:r>
    </w:p>
    <w:p w14:paraId="3B38791F" w14:textId="2211B0FD" w:rsidR="00927C8C" w:rsidRDefault="00927C8C" w:rsidP="00927C8C">
      <w:pPr>
        <w:rPr>
          <w:lang w:val="en-GB"/>
        </w:rPr>
      </w:pPr>
      <w:r w:rsidRPr="00927C8C">
        <w:rPr>
          <w:noProof/>
          <w:lang w:val="en-GB"/>
        </w:rPr>
        <w:drawing>
          <wp:inline distT="0" distB="0" distL="0" distR="0" wp14:anchorId="553C3FBB" wp14:editId="3275CCE9">
            <wp:extent cx="6645910" cy="848995"/>
            <wp:effectExtent l="0" t="0" r="2540" b="8255"/>
            <wp:docPr id="1583707925" name="Picture 1583707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7"/>
                    <a:stretch>
                      <a:fillRect/>
                    </a:stretch>
                  </pic:blipFill>
                  <pic:spPr>
                    <a:xfrm>
                      <a:off x="0" y="0"/>
                      <a:ext cx="6645910" cy="848995"/>
                    </a:xfrm>
                    <a:prstGeom prst="rect">
                      <a:avLst/>
                    </a:prstGeom>
                  </pic:spPr>
                </pic:pic>
              </a:graphicData>
            </a:graphic>
          </wp:inline>
        </w:drawing>
      </w:r>
    </w:p>
    <w:p w14:paraId="1BBF952E" w14:textId="751A5AED" w:rsidR="0091046E" w:rsidRDefault="0091046E" w:rsidP="00927C8C">
      <w:pPr>
        <w:rPr>
          <w:lang w:val="en-GB"/>
        </w:rPr>
      </w:pPr>
      <w:r>
        <w:rPr>
          <w:lang w:val="en-GB"/>
        </w:rPr>
        <w:t xml:space="preserve">The above is not color coded </w:t>
      </w:r>
      <w:r w:rsidR="009F2C1F">
        <w:rPr>
          <w:lang w:val="en-GB"/>
        </w:rPr>
        <w:t>as each number does not have a good or bad meaning. It’s visually less noisy also to have a neutral color.</w:t>
      </w:r>
    </w:p>
    <w:p w14:paraId="2F32F793" w14:textId="77777777" w:rsidR="00040432" w:rsidRDefault="00040432" w:rsidP="008716FB">
      <w:pPr>
        <w:rPr>
          <w:lang w:val="en-GB"/>
        </w:rPr>
      </w:pPr>
      <w:r>
        <w:rPr>
          <w:lang w:val="en-GB"/>
        </w:rPr>
        <w:t xml:space="preserve">The limitation is the number you see is the present number. </w:t>
      </w:r>
    </w:p>
    <w:p w14:paraId="5A42E2BF" w14:textId="1B3604BF" w:rsidR="008716FB" w:rsidRDefault="009F2C1F" w:rsidP="008716FB">
      <w:pPr>
        <w:rPr>
          <w:lang w:val="en-GB"/>
        </w:rPr>
      </w:pPr>
      <w:r>
        <w:rPr>
          <w:lang w:val="en-GB"/>
        </w:rPr>
        <w:t xml:space="preserve">You can convey meaning by using color. </w:t>
      </w:r>
      <w:r w:rsidR="00DD33B0">
        <w:rPr>
          <w:lang w:val="en-GB"/>
        </w:rPr>
        <w:t>There is also a line chart in the background of each box.</w:t>
      </w:r>
    </w:p>
    <w:p w14:paraId="138A1821" w14:textId="4545D9CF" w:rsidR="00C46835" w:rsidRDefault="00C46835" w:rsidP="008716FB">
      <w:pPr>
        <w:rPr>
          <w:lang w:val="en-GB"/>
        </w:rPr>
      </w:pPr>
      <w:r w:rsidRPr="000B3B2B">
        <w:rPr>
          <w:noProof/>
          <w:lang w:val="en-GB"/>
        </w:rPr>
        <w:drawing>
          <wp:inline distT="0" distB="0" distL="0" distR="0" wp14:anchorId="23C1B0F8" wp14:editId="6C42DE02">
            <wp:extent cx="6645910" cy="850900"/>
            <wp:effectExtent l="0" t="0" r="2540" b="6350"/>
            <wp:docPr id="1085195943" name="Picture 1085195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4"/>
                    <a:stretch>
                      <a:fillRect/>
                    </a:stretch>
                  </pic:blipFill>
                  <pic:spPr>
                    <a:xfrm>
                      <a:off x="0" y="0"/>
                      <a:ext cx="6645910" cy="850900"/>
                    </a:xfrm>
                    <a:prstGeom prst="rect">
                      <a:avLst/>
                    </a:prstGeom>
                  </pic:spPr>
                </pic:pic>
              </a:graphicData>
            </a:graphic>
          </wp:inline>
        </w:drawing>
      </w:r>
    </w:p>
    <w:p w14:paraId="1F18CD95" w14:textId="43194339" w:rsidR="00357538" w:rsidRDefault="00357538" w:rsidP="008716FB">
      <w:pPr>
        <w:rPr>
          <w:lang w:val="en-GB"/>
        </w:rPr>
      </w:pPr>
      <w:r>
        <w:rPr>
          <w:lang w:val="en-GB"/>
        </w:rPr>
        <w:t>Take note that t</w:t>
      </w:r>
      <w:r w:rsidR="00791C13">
        <w:rPr>
          <w:lang w:val="en-GB"/>
        </w:rPr>
        <w:t xml:space="preserve">he background color is also based on this last value, not the average or peak of the monitoring period. </w:t>
      </w:r>
      <w:r w:rsidR="00BE347D">
        <w:rPr>
          <w:lang w:val="en-GB"/>
        </w:rPr>
        <w:tab/>
      </w:r>
    </w:p>
    <w:p w14:paraId="69D43174" w14:textId="6BE72F91" w:rsidR="00ED1311" w:rsidRPr="008716FB" w:rsidRDefault="00ED1311" w:rsidP="008716FB">
      <w:pPr>
        <w:rPr>
          <w:lang w:val="en-GB"/>
        </w:rPr>
      </w:pPr>
      <w:r>
        <w:rPr>
          <w:lang w:val="en-GB"/>
        </w:rPr>
        <w:t>To see a trend chart, double click on it.</w:t>
      </w:r>
    </w:p>
    <w:p w14:paraId="7D030308" w14:textId="717F062B" w:rsidR="00871AD8" w:rsidRPr="00A452F2" w:rsidRDefault="00871AD8" w:rsidP="00AC6E1E">
      <w:pPr>
        <w:pStyle w:val="Heading4"/>
      </w:pPr>
      <w:r w:rsidRPr="00A452F2">
        <w:t xml:space="preserve">Table </w:t>
      </w:r>
    </w:p>
    <w:p w14:paraId="77985771" w14:textId="5409E32D" w:rsidR="00871AD8" w:rsidRDefault="00871AD8" w:rsidP="00871AD8">
      <w:pPr>
        <w:rPr>
          <w:lang w:val="en-GB"/>
        </w:rPr>
      </w:pPr>
      <w:r w:rsidRPr="4CAB3972">
        <w:rPr>
          <w:lang w:val="en-GB"/>
        </w:rPr>
        <w:t xml:space="preserve">A table is simply a list, where each row represents an object, and each column shows a </w:t>
      </w:r>
      <w:r w:rsidRPr="4CAB3972">
        <w:rPr>
          <w:i/>
          <w:iCs/>
          <w:lang w:val="en-GB"/>
        </w:rPr>
        <w:t>single</w:t>
      </w:r>
      <w:r w:rsidRPr="4CAB3972">
        <w:rPr>
          <w:lang w:val="en-GB"/>
        </w:rPr>
        <w:t xml:space="preserve"> </w:t>
      </w:r>
      <w:r w:rsidRPr="4CAB3972">
        <w:rPr>
          <w:i/>
          <w:iCs/>
          <w:lang w:val="en-GB"/>
        </w:rPr>
        <w:t>value</w:t>
      </w:r>
      <w:r w:rsidRPr="4CAB3972">
        <w:rPr>
          <w:lang w:val="en-GB"/>
        </w:rPr>
        <w:t xml:space="preserve">. This enables us to list hundreds of rows, with ability to filter and sort. Each cell value can also be </w:t>
      </w:r>
      <w:r w:rsidR="00E65E9E">
        <w:rPr>
          <w:color w:val="ED7D31" w:themeColor="accent2"/>
          <w:lang w:val="en-GB"/>
        </w:rPr>
        <w:t>color</w:t>
      </w:r>
      <w:r w:rsidRPr="4CAB3972">
        <w:rPr>
          <w:lang w:val="en-GB"/>
        </w:rPr>
        <w:t xml:space="preserve"> coded. </w:t>
      </w:r>
    </w:p>
    <w:p w14:paraId="6781C48F" w14:textId="77777777" w:rsidR="00C10FBB" w:rsidRDefault="00C10FBB" w:rsidP="00C10FBB">
      <w:pPr>
        <w:rPr>
          <w:lang w:val="en-GB"/>
        </w:rPr>
      </w:pPr>
      <w:r>
        <w:rPr>
          <w:lang w:val="en-GB"/>
        </w:rPr>
        <w:t>View List also supports filter. The following screenshot shows Horizon hierarchy, so you can drill down into specific area in the world of Horizon.</w:t>
      </w:r>
    </w:p>
    <w:p w14:paraId="785E8F44" w14:textId="77777777" w:rsidR="00C10FBB" w:rsidRDefault="00C10FBB" w:rsidP="00C10FBB">
      <w:pPr>
        <w:jc w:val="center"/>
        <w:rPr>
          <w:lang w:val="en-GB"/>
        </w:rPr>
      </w:pPr>
      <w:r w:rsidRPr="009C7888">
        <w:rPr>
          <w:noProof/>
          <w:lang w:val="en-GB"/>
        </w:rPr>
        <w:drawing>
          <wp:inline distT="0" distB="0" distL="0" distR="0" wp14:anchorId="5EAB246E" wp14:editId="66A16C32">
            <wp:extent cx="5148000" cy="1659600"/>
            <wp:effectExtent l="0" t="0" r="0" b="0"/>
            <wp:docPr id="910169571" name="Picture 91016957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71" name="Picture 910169571" descr="Graphical user interface, application&#10;&#10;Description automatically generated"/>
                    <pic:cNvPicPr/>
                  </pic:nvPicPr>
                  <pic:blipFill>
                    <a:blip r:embed="rId1005"/>
                    <a:stretch>
                      <a:fillRect/>
                    </a:stretch>
                  </pic:blipFill>
                  <pic:spPr>
                    <a:xfrm>
                      <a:off x="0" y="0"/>
                      <a:ext cx="5148000" cy="1659600"/>
                    </a:xfrm>
                    <a:prstGeom prst="rect">
                      <a:avLst/>
                    </a:prstGeom>
                  </pic:spPr>
                </pic:pic>
              </a:graphicData>
            </a:graphic>
          </wp:inline>
        </w:drawing>
      </w:r>
    </w:p>
    <w:p w14:paraId="2A5F8EE6" w14:textId="77777777" w:rsidR="00871AD8" w:rsidRPr="00A452F2" w:rsidRDefault="00871AD8" w:rsidP="00871AD8">
      <w:pPr>
        <w:rPr>
          <w:lang w:val="en-GB"/>
        </w:rPr>
      </w:pPr>
      <w:r w:rsidRPr="00A452F2">
        <w:rPr>
          <w:lang w:val="en-GB"/>
        </w:rPr>
        <w:lastRenderedPageBreak/>
        <w:t xml:space="preserve">Table is good for details. However, as a </w:t>
      </w:r>
      <w:r w:rsidRPr="000A47BB">
        <w:rPr>
          <w:i/>
          <w:iCs/>
          <w:color w:val="00B0F0"/>
          <w:lang w:val="en-GB"/>
        </w:rPr>
        <w:t>summary</w:t>
      </w:r>
      <w:r w:rsidRPr="00A452F2">
        <w:rPr>
          <w:lang w:val="en-GB"/>
        </w:rPr>
        <w:t xml:space="preserve">, its main problem is how to give an insight over time as each cell can only hold </w:t>
      </w:r>
      <w:r w:rsidRPr="000A47BB">
        <w:rPr>
          <w:i/>
          <w:iCs/>
          <w:color w:val="00B0F0"/>
          <w:lang w:val="en-GB"/>
        </w:rPr>
        <w:t>1 value</w:t>
      </w:r>
      <w:r w:rsidRPr="00A452F2">
        <w:rPr>
          <w:lang w:val="en-GB"/>
        </w:rPr>
        <w:t>. How to give an insight into what happens in the past? For example, how to see the performance in the last 1 week? There are 2016 datapoints in the last 7 days, which one do you pick to represent?</w:t>
      </w:r>
    </w:p>
    <w:p w14:paraId="2EF9E958" w14:textId="7D650AB6" w:rsidR="00871AD8" w:rsidRDefault="00871AD8" w:rsidP="00871AD8">
      <w:pPr>
        <w:rPr>
          <w:lang w:val="en-GB"/>
        </w:rPr>
      </w:pPr>
      <w:r w:rsidRPr="00A452F2">
        <w:rPr>
          <w:lang w:val="en-GB"/>
        </w:rPr>
        <w:t>There are a few possible options in vRealize Operations 8.2</w:t>
      </w:r>
    </w:p>
    <w:p w14:paraId="352099BA" w14:textId="77777777" w:rsidR="00ED1311" w:rsidRDefault="00ED1311" w:rsidP="00ED1311">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985"/>
        <w:gridCol w:w="8471"/>
      </w:tblGrid>
      <w:tr w:rsidR="00ED1311" w:rsidRPr="00D77653" w14:paraId="0542EFB2" w14:textId="77777777" w:rsidTr="005321A6">
        <w:tc>
          <w:tcPr>
            <w:tcW w:w="1985" w:type="dxa"/>
            <w:shd w:val="clear" w:color="auto" w:fill="F2F2F2" w:themeFill="background1" w:themeFillShade="F2"/>
          </w:tcPr>
          <w:p w14:paraId="3EB64053" w14:textId="35C4E481" w:rsidR="00ED1311" w:rsidRPr="00D77653" w:rsidRDefault="00634050" w:rsidP="005321A6">
            <w:pPr>
              <w:pStyle w:val="Tableheading"/>
              <w:jc w:val="left"/>
            </w:pPr>
            <w:r>
              <w:rPr>
                <w:lang w:val="en-GB"/>
              </w:rPr>
              <w:t>C</w:t>
            </w:r>
            <w:r w:rsidR="00ED1311" w:rsidRPr="00A452F2">
              <w:rPr>
                <w:lang w:val="en-GB"/>
              </w:rPr>
              <w:t xml:space="preserve">urrent </w:t>
            </w:r>
          </w:p>
        </w:tc>
        <w:tc>
          <w:tcPr>
            <w:tcW w:w="8471" w:type="dxa"/>
          </w:tcPr>
          <w:p w14:paraId="3F568EB3" w14:textId="5B61E7BC" w:rsidR="00624A8A" w:rsidRDefault="00624A8A" w:rsidP="00634050">
            <w:pPr>
              <w:pStyle w:val="Tablecontent"/>
              <w:rPr>
                <w:lang w:val="en-GB"/>
              </w:rPr>
            </w:pPr>
            <w:r>
              <w:rPr>
                <w:lang w:val="en-GB"/>
              </w:rPr>
              <w:t xml:space="preserve">This could the present value or the last known value. </w:t>
            </w:r>
          </w:p>
          <w:p w14:paraId="283B47EC" w14:textId="142089E3" w:rsidR="00624A8A" w:rsidRPr="00624A8A" w:rsidRDefault="00634050" w:rsidP="00634050">
            <w:pPr>
              <w:pStyle w:val="Tablecontent"/>
              <w:rPr>
                <w:lang w:val="en-GB"/>
              </w:rPr>
            </w:pPr>
            <w:r w:rsidRPr="00A452F2">
              <w:rPr>
                <w:lang w:val="en-GB"/>
              </w:rPr>
              <w:t>It’s useful to show the present situation. However, this does not tell what happened 5 minutes ago. Its usefu</w:t>
            </w:r>
            <w:r>
              <w:rPr>
                <w:lang w:val="en-GB"/>
              </w:rPr>
              <w:t>l in capacity, compliance, c</w:t>
            </w:r>
            <w:r w:rsidR="00624A8A">
              <w:rPr>
                <w:lang w:val="en-GB"/>
              </w:rPr>
              <w:t>onfiguration. It’s rather</w:t>
            </w:r>
            <w:r w:rsidRPr="00A452F2">
              <w:rPr>
                <w:lang w:val="en-GB"/>
              </w:rPr>
              <w:t xml:space="preserve"> limited</w:t>
            </w:r>
            <w:r>
              <w:rPr>
                <w:lang w:val="en-GB"/>
              </w:rPr>
              <w:t xml:space="preserve"> in performance</w:t>
            </w:r>
            <w:r w:rsidR="00624A8A">
              <w:rPr>
                <w:lang w:val="en-GB"/>
              </w:rPr>
              <w:t>.</w:t>
            </w:r>
          </w:p>
        </w:tc>
      </w:tr>
      <w:tr w:rsidR="00634050" w:rsidRPr="00D77653" w14:paraId="3B59DEE8" w14:textId="77777777" w:rsidTr="005321A6">
        <w:tc>
          <w:tcPr>
            <w:tcW w:w="1985" w:type="dxa"/>
            <w:shd w:val="clear" w:color="auto" w:fill="F2F2F2" w:themeFill="background1" w:themeFillShade="F2"/>
          </w:tcPr>
          <w:p w14:paraId="4D47F487" w14:textId="5FC2C97A" w:rsidR="00634050" w:rsidRDefault="00624A8A" w:rsidP="005321A6">
            <w:pPr>
              <w:pStyle w:val="Tableheading"/>
              <w:jc w:val="left"/>
              <w:rPr>
                <w:lang w:val="en-GB"/>
              </w:rPr>
            </w:pPr>
            <w:r>
              <w:rPr>
                <w:lang w:val="en-GB"/>
              </w:rPr>
              <w:t>Average</w:t>
            </w:r>
          </w:p>
        </w:tc>
        <w:tc>
          <w:tcPr>
            <w:tcW w:w="8471" w:type="dxa"/>
          </w:tcPr>
          <w:p w14:paraId="5C7CD08F" w14:textId="0A42A866" w:rsidR="00634050" w:rsidRPr="00634050" w:rsidRDefault="00624A8A" w:rsidP="00634050">
            <w:pPr>
              <w:pStyle w:val="Tablecontent"/>
            </w:pPr>
            <w:r w:rsidRPr="00A452F2">
              <w:rPr>
                <w:lang w:val="en-GB"/>
              </w:rPr>
              <w:t xml:space="preserve">The average of the period. Average is a </w:t>
            </w:r>
            <w:r w:rsidRPr="00A452F2">
              <w:rPr>
                <w:b/>
                <w:bCs/>
                <w:lang w:val="en-GB"/>
              </w:rPr>
              <w:t>Lagging Indicator</w:t>
            </w:r>
            <w:r w:rsidRPr="00A452F2">
              <w:rPr>
                <w:lang w:val="en-GB"/>
              </w:rPr>
              <w:t>. By the time the average is bad, roughly 50% of the number is unlikely to be good. It is not suitable for proactive monitoring.</w:t>
            </w:r>
          </w:p>
        </w:tc>
      </w:tr>
      <w:tr w:rsidR="00624A8A" w:rsidRPr="00D77653" w14:paraId="148BB869" w14:textId="77777777" w:rsidTr="005321A6">
        <w:tc>
          <w:tcPr>
            <w:tcW w:w="1985" w:type="dxa"/>
            <w:shd w:val="clear" w:color="auto" w:fill="F2F2F2" w:themeFill="background1" w:themeFillShade="F2"/>
          </w:tcPr>
          <w:p w14:paraId="34CA8824" w14:textId="7D1EB531" w:rsidR="00624A8A" w:rsidRDefault="00624A8A" w:rsidP="005321A6">
            <w:pPr>
              <w:pStyle w:val="Tableheading"/>
              <w:jc w:val="left"/>
              <w:rPr>
                <w:lang w:val="en-GB"/>
              </w:rPr>
            </w:pPr>
            <w:r>
              <w:rPr>
                <w:lang w:val="en-GB"/>
              </w:rPr>
              <w:t>Worst</w:t>
            </w:r>
          </w:p>
        </w:tc>
        <w:tc>
          <w:tcPr>
            <w:tcW w:w="8471" w:type="dxa"/>
          </w:tcPr>
          <w:p w14:paraId="58D59396" w14:textId="1A0B5CCB" w:rsidR="00624A8A" w:rsidRPr="00A452F2" w:rsidRDefault="00624A8A" w:rsidP="00634050">
            <w:pPr>
              <w:pStyle w:val="Tablecontent"/>
              <w:rPr>
                <w:lang w:val="en-GB"/>
              </w:rPr>
            </w:pPr>
            <w:r w:rsidRPr="00A452F2">
              <w:rPr>
                <w:lang w:val="en-GB"/>
              </w:rPr>
              <w:t xml:space="preserve">The worst of the period. This is suitable for </w:t>
            </w:r>
            <w:r w:rsidRPr="00B246A1">
              <w:rPr>
                <w:i/>
                <w:iCs/>
                <w:color w:val="00B0F0"/>
                <w:lang w:val="en-GB"/>
              </w:rPr>
              <w:t>daily average</w:t>
            </w:r>
            <w:r w:rsidRPr="00A452F2">
              <w:rPr>
                <w:lang w:val="en-GB"/>
              </w:rPr>
              <w:t>, as there are only 288 data points in 24 hours. If you find that results in outlier, then replace it with 99</w:t>
            </w:r>
            <w:r w:rsidRPr="00A452F2">
              <w:rPr>
                <w:vertAlign w:val="superscript"/>
                <w:lang w:val="en-GB"/>
              </w:rPr>
              <w:t>th</w:t>
            </w:r>
            <w:r>
              <w:rPr>
                <w:lang w:val="en-GB"/>
              </w:rPr>
              <w:t xml:space="preserve"> percentile</w:t>
            </w:r>
            <w:r w:rsidRPr="00A452F2">
              <w:rPr>
                <w:lang w:val="en-GB"/>
              </w:rPr>
              <w:t xml:space="preserve">. As it only takes 1 peak to set this value, your chance of outlier is 7x higher in a week. It’s great for peak detection, but needs to be complemented with </w:t>
            </w:r>
            <w:r w:rsidR="0078733A">
              <w:rPr>
                <w:lang w:val="en-GB"/>
              </w:rPr>
              <w:t>w</w:t>
            </w:r>
            <w:r w:rsidR="0078733A">
              <w:t>orst 5</w:t>
            </w:r>
            <w:r w:rsidR="0078733A" w:rsidRPr="0078733A">
              <w:rPr>
                <w:vertAlign w:val="superscript"/>
              </w:rPr>
              <w:t>th</w:t>
            </w:r>
            <w:r w:rsidR="0078733A">
              <w:t xml:space="preserve"> percentile</w:t>
            </w:r>
            <w:r w:rsidRPr="00A452F2">
              <w:rPr>
                <w:lang w:val="en-GB"/>
              </w:rPr>
              <w:t xml:space="preserve"> when looking at weekly or monthly period</w:t>
            </w:r>
          </w:p>
        </w:tc>
      </w:tr>
      <w:tr w:rsidR="00624A8A" w:rsidRPr="00D77653" w14:paraId="6EA9878A" w14:textId="77777777" w:rsidTr="005321A6">
        <w:tc>
          <w:tcPr>
            <w:tcW w:w="1985" w:type="dxa"/>
            <w:shd w:val="clear" w:color="auto" w:fill="F2F2F2" w:themeFill="background1" w:themeFillShade="F2"/>
          </w:tcPr>
          <w:p w14:paraId="7D569667" w14:textId="47E517E3" w:rsidR="00624A8A" w:rsidRDefault="00624A8A" w:rsidP="005321A6">
            <w:pPr>
              <w:pStyle w:val="Tableheading"/>
              <w:jc w:val="left"/>
              <w:rPr>
                <w:lang w:val="en-GB"/>
              </w:rPr>
            </w:pPr>
            <w:r>
              <w:rPr>
                <w:lang w:val="en-GB"/>
              </w:rPr>
              <w:t>Percentile</w:t>
            </w:r>
          </w:p>
        </w:tc>
        <w:tc>
          <w:tcPr>
            <w:tcW w:w="8471" w:type="dxa"/>
          </w:tcPr>
          <w:p w14:paraId="7DD4FAE1" w14:textId="2DAE20D4" w:rsidR="00624A8A" w:rsidRPr="00A452F2" w:rsidRDefault="00624A8A" w:rsidP="00634050">
            <w:pPr>
              <w:pStyle w:val="Tablecontent"/>
              <w:rPr>
                <w:lang w:val="en-GB"/>
              </w:rPr>
            </w:pPr>
            <w:r w:rsidRPr="00A452F2">
              <w:rPr>
                <w:lang w:val="en-GB"/>
              </w:rPr>
              <w:t xml:space="preserve">The </w:t>
            </w:r>
            <w:r w:rsidR="0078733A">
              <w:rPr>
                <w:lang w:val="en-GB"/>
              </w:rPr>
              <w:t>w</w:t>
            </w:r>
            <w:r w:rsidR="0078733A">
              <w:t>orst 5</w:t>
            </w:r>
            <w:r w:rsidR="0078733A" w:rsidRPr="0078733A">
              <w:rPr>
                <w:vertAlign w:val="superscript"/>
              </w:rPr>
              <w:t>th</w:t>
            </w:r>
            <w:r w:rsidR="0078733A">
              <w:t xml:space="preserve"> percentile</w:t>
            </w:r>
            <w:r w:rsidR="0078733A" w:rsidRPr="00A452F2">
              <w:rPr>
                <w:lang w:val="en-GB"/>
              </w:rPr>
              <w:t xml:space="preserve"> </w:t>
            </w:r>
            <w:r w:rsidRPr="00A452F2">
              <w:rPr>
                <w:lang w:val="en-GB"/>
              </w:rPr>
              <w:t xml:space="preserve">number. This is a good midpoint between Average and Worst. For performance monitoring, </w:t>
            </w:r>
            <w:r w:rsidR="0078733A">
              <w:rPr>
                <w:lang w:val="en-GB"/>
              </w:rPr>
              <w:t>the w</w:t>
            </w:r>
            <w:r w:rsidR="0078733A">
              <w:t>orst 5</w:t>
            </w:r>
            <w:r w:rsidR="0078733A" w:rsidRPr="0078733A">
              <w:rPr>
                <w:vertAlign w:val="superscript"/>
              </w:rPr>
              <w:t>th</w:t>
            </w:r>
            <w:r w:rsidR="0078733A">
              <w:t xml:space="preserve"> percentile</w:t>
            </w:r>
            <w:r w:rsidR="0078733A" w:rsidRPr="00A452F2">
              <w:rPr>
                <w:lang w:val="en-GB"/>
              </w:rPr>
              <w:t xml:space="preserve"> </w:t>
            </w:r>
            <w:r w:rsidRPr="00A452F2">
              <w:rPr>
                <w:lang w:val="en-GB"/>
              </w:rPr>
              <w:t xml:space="preserve">is a better summary than average. Use both the </w:t>
            </w:r>
            <w:r w:rsidR="0078733A">
              <w:rPr>
                <w:lang w:val="en-GB"/>
              </w:rPr>
              <w:t>w</w:t>
            </w:r>
            <w:r w:rsidRPr="00A452F2">
              <w:rPr>
                <w:lang w:val="en-GB"/>
              </w:rPr>
              <w:t xml:space="preserve">orst and </w:t>
            </w:r>
            <w:r w:rsidR="0078733A">
              <w:rPr>
                <w:lang w:val="en-GB"/>
              </w:rPr>
              <w:t>the w</w:t>
            </w:r>
            <w:r w:rsidR="0078733A">
              <w:t>orst 5</w:t>
            </w:r>
            <w:r w:rsidR="0078733A" w:rsidRPr="0078733A">
              <w:rPr>
                <w:vertAlign w:val="superscript"/>
              </w:rPr>
              <w:t>th</w:t>
            </w:r>
            <w:r w:rsidR="0078733A">
              <w:t xml:space="preserve"> percentile</w:t>
            </w:r>
            <w:r w:rsidR="0078733A" w:rsidRPr="00A452F2">
              <w:rPr>
                <w:lang w:val="en-GB"/>
              </w:rPr>
              <w:t xml:space="preserve"> </w:t>
            </w:r>
            <w:r w:rsidRPr="00A452F2">
              <w:rPr>
                <w:lang w:val="en-GB"/>
              </w:rPr>
              <w:t>numbers together for better insight. If the numbers are far apart, that indicates the Worst number is likely an outlier. If the numbers are similar, you have a problem</w:t>
            </w:r>
          </w:p>
        </w:tc>
      </w:tr>
    </w:tbl>
    <w:p w14:paraId="2858E28D" w14:textId="77777777" w:rsidR="00ED1311" w:rsidRPr="00ED1311" w:rsidRDefault="00ED1311" w:rsidP="00B4245A">
      <w:pPr>
        <w:pStyle w:val="BeforeTable"/>
      </w:pPr>
    </w:p>
    <w:p w14:paraId="26AE2514" w14:textId="7067BD0F" w:rsidR="00871AD8" w:rsidRPr="00A452F2" w:rsidRDefault="00871AD8" w:rsidP="00871AD8">
      <w:pPr>
        <w:rPr>
          <w:lang w:val="en-GB"/>
        </w:rPr>
      </w:pPr>
      <w:r w:rsidRPr="00A452F2">
        <w:rPr>
          <w:lang w:val="en-GB"/>
        </w:rPr>
        <w:t>From the above, we should choose</w:t>
      </w:r>
      <w:r w:rsidR="0078733A">
        <w:rPr>
          <w:lang w:val="en-GB"/>
        </w:rPr>
        <w:t xml:space="preserve"> worst</w:t>
      </w:r>
      <w:r w:rsidRPr="00A452F2">
        <w:rPr>
          <w:lang w:val="en-GB"/>
        </w:rPr>
        <w:t xml:space="preserve"> and </w:t>
      </w:r>
      <w:r w:rsidR="0078733A">
        <w:rPr>
          <w:lang w:val="en-GB"/>
        </w:rPr>
        <w:t>w</w:t>
      </w:r>
      <w:r w:rsidR="0078733A">
        <w:t>orst 5</w:t>
      </w:r>
      <w:r w:rsidR="0078733A" w:rsidRPr="0078733A">
        <w:rPr>
          <w:vertAlign w:val="superscript"/>
        </w:rPr>
        <w:t>th</w:t>
      </w:r>
      <w:r w:rsidR="0078733A">
        <w:t xml:space="preserve"> </w:t>
      </w:r>
      <w:r w:rsidR="000A47BB">
        <w:rPr>
          <w:lang w:val="en-GB"/>
        </w:rPr>
        <w:t>p</w:t>
      </w:r>
      <w:r w:rsidR="00683F10">
        <w:rPr>
          <w:lang w:val="en-GB"/>
        </w:rPr>
        <w:t>ercentile</w:t>
      </w:r>
      <w:r w:rsidRPr="00A452F2">
        <w:rPr>
          <w:lang w:val="en-GB"/>
        </w:rPr>
        <w:t xml:space="preserve">. </w:t>
      </w:r>
    </w:p>
    <w:p w14:paraId="01D13521" w14:textId="77777777" w:rsidR="00871AD8" w:rsidRPr="00A452F2" w:rsidRDefault="00871AD8" w:rsidP="00871AD8">
      <w:pPr>
        <w:rPr>
          <w:lang w:val="en-GB"/>
        </w:rPr>
      </w:pPr>
      <w:r w:rsidRPr="00A452F2">
        <w:rPr>
          <w:lang w:val="en-GB"/>
        </w:rPr>
        <w:t>The following table implements the above concept.</w:t>
      </w:r>
    </w:p>
    <w:p w14:paraId="51EFE3B1" w14:textId="647AC5F6" w:rsidR="00871AD8" w:rsidRDefault="5C754F98" w:rsidP="00A25632">
      <w:pPr>
        <w:jc w:val="center"/>
        <w:rPr>
          <w:lang w:val="en-GB"/>
        </w:rPr>
      </w:pPr>
      <w:r>
        <w:rPr>
          <w:noProof/>
        </w:rPr>
        <w:drawing>
          <wp:inline distT="0" distB="0" distL="0" distR="0" wp14:anchorId="173C7B37" wp14:editId="5C4BEAFC">
            <wp:extent cx="3653658" cy="2801878"/>
            <wp:effectExtent l="0" t="0" r="444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pic:nvPicPr>
                  <pic:blipFill>
                    <a:blip r:embed="rId1006" cstate="print">
                      <a:extLst>
                        <a:ext uri="{28A0092B-C50C-407E-A947-70E740481C1C}">
                          <a14:useLocalDpi xmlns:a14="http://schemas.microsoft.com/office/drawing/2010/main" val="0"/>
                        </a:ext>
                      </a:extLst>
                    </a:blip>
                    <a:stretch>
                      <a:fillRect/>
                    </a:stretch>
                  </pic:blipFill>
                  <pic:spPr>
                    <a:xfrm>
                      <a:off x="0" y="0"/>
                      <a:ext cx="3653658" cy="2801878"/>
                    </a:xfrm>
                    <a:prstGeom prst="rect">
                      <a:avLst/>
                    </a:prstGeom>
                  </pic:spPr>
                </pic:pic>
              </a:graphicData>
            </a:graphic>
          </wp:inline>
        </w:drawing>
      </w:r>
    </w:p>
    <w:p w14:paraId="550968A6" w14:textId="01EB5063" w:rsidR="00D97233" w:rsidRDefault="00D97233" w:rsidP="00F20900">
      <w:pPr>
        <w:rPr>
          <w:lang w:val="en-GB"/>
        </w:rPr>
      </w:pPr>
      <w:r>
        <w:rPr>
          <w:lang w:val="en-GB"/>
        </w:rPr>
        <w:t xml:space="preserve">BTW, I vrealize that </w:t>
      </w:r>
      <w:r w:rsidR="00F20900">
        <w:rPr>
          <w:lang w:val="en-GB"/>
        </w:rPr>
        <w:t xml:space="preserve">the threshold colouring works on string, so long it contains number. The following table shows </w:t>
      </w:r>
      <w:r w:rsidR="00912749">
        <w:rPr>
          <w:lang w:val="en-GB"/>
        </w:rPr>
        <w:t xml:space="preserve">that any version higher than 6.7 is </w:t>
      </w:r>
      <w:r w:rsidR="0022569A" w:rsidRPr="0022569A">
        <w:rPr>
          <w:color w:val="00B050"/>
          <w:lang w:val="en-GB"/>
        </w:rPr>
        <w:t>green</w:t>
      </w:r>
      <w:r w:rsidR="00912749">
        <w:rPr>
          <w:lang w:val="en-GB"/>
        </w:rPr>
        <w:t>.</w:t>
      </w:r>
      <w:r w:rsidR="002B24D5">
        <w:rPr>
          <w:lang w:val="en-GB"/>
        </w:rPr>
        <w:t xml:space="preserve"> The rest follows the logic shows next to this table.</w:t>
      </w:r>
    </w:p>
    <w:p w14:paraId="2F271505" w14:textId="5DC4A41E" w:rsidR="004914FB" w:rsidRDefault="004914FB" w:rsidP="00A25632">
      <w:pPr>
        <w:jc w:val="center"/>
        <w:rPr>
          <w:lang w:val="en-GB"/>
        </w:rPr>
      </w:pPr>
      <w:r>
        <w:rPr>
          <w:noProof/>
          <w:lang w:val="en-GB"/>
        </w:rPr>
        <w:lastRenderedPageBreak/>
        <w:drawing>
          <wp:inline distT="0" distB="0" distL="0" distR="0" wp14:anchorId="1F3C39E6" wp14:editId="6782B3EA">
            <wp:extent cx="3708400" cy="2159532"/>
            <wp:effectExtent l="0" t="0" r="6350" b="0"/>
            <wp:docPr id="1709717391" name="Picture 1709717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7">
                      <a:extLst>
                        <a:ext uri="{28A0092B-C50C-407E-A947-70E740481C1C}">
                          <a14:useLocalDpi xmlns:a14="http://schemas.microsoft.com/office/drawing/2010/main" val="0"/>
                        </a:ext>
                      </a:extLst>
                    </a:blip>
                    <a:srcRect/>
                    <a:stretch>
                      <a:fillRect/>
                    </a:stretch>
                  </pic:blipFill>
                  <pic:spPr bwMode="auto">
                    <a:xfrm>
                      <a:off x="0" y="0"/>
                      <a:ext cx="3709918" cy="2160416"/>
                    </a:xfrm>
                    <a:prstGeom prst="rect">
                      <a:avLst/>
                    </a:prstGeom>
                    <a:noFill/>
                    <a:ln>
                      <a:noFill/>
                    </a:ln>
                  </pic:spPr>
                </pic:pic>
              </a:graphicData>
            </a:graphic>
          </wp:inline>
        </w:drawing>
      </w:r>
      <w:r w:rsidR="007522EF">
        <w:rPr>
          <w:lang w:val="en-GB"/>
        </w:rPr>
        <w:t xml:space="preserve"> </w:t>
      </w:r>
      <w:r w:rsidR="007522EF" w:rsidRPr="007522EF">
        <w:rPr>
          <w:noProof/>
          <w:lang w:val="en-GB"/>
        </w:rPr>
        <w:drawing>
          <wp:inline distT="0" distB="0" distL="0" distR="0" wp14:anchorId="3A08225B" wp14:editId="1C3D0734">
            <wp:extent cx="2235981" cy="1482725"/>
            <wp:effectExtent l="0" t="0" r="0" b="3175"/>
            <wp:docPr id="1709717425" name="Picture 1709717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8"/>
                    <a:stretch>
                      <a:fillRect/>
                    </a:stretch>
                  </pic:blipFill>
                  <pic:spPr>
                    <a:xfrm>
                      <a:off x="0" y="0"/>
                      <a:ext cx="2237614" cy="1483808"/>
                    </a:xfrm>
                    <a:prstGeom prst="rect">
                      <a:avLst/>
                    </a:prstGeom>
                  </pic:spPr>
                </pic:pic>
              </a:graphicData>
            </a:graphic>
          </wp:inline>
        </w:drawing>
      </w:r>
    </w:p>
    <w:p w14:paraId="5BD90A7C" w14:textId="4298E054" w:rsidR="00B80185" w:rsidRDefault="00B80185" w:rsidP="00B80185">
      <w:pPr>
        <w:rPr>
          <w:lang w:val="en-GB"/>
        </w:rPr>
      </w:pPr>
      <w:r>
        <w:rPr>
          <w:lang w:val="en-GB"/>
        </w:rPr>
        <w:t>It also works on text</w:t>
      </w:r>
      <w:r w:rsidR="00AF255A">
        <w:rPr>
          <w:lang w:val="en-GB"/>
        </w:rPr>
        <w:t>.</w:t>
      </w:r>
    </w:p>
    <w:p w14:paraId="6B578578" w14:textId="612500AF" w:rsidR="00B80185" w:rsidRDefault="00AF255A" w:rsidP="00A25632">
      <w:pPr>
        <w:jc w:val="center"/>
        <w:rPr>
          <w:lang w:val="en-GB"/>
        </w:rPr>
      </w:pPr>
      <w:r w:rsidRPr="00AF255A">
        <w:rPr>
          <w:noProof/>
          <w:lang w:val="en-GB"/>
        </w:rPr>
        <w:drawing>
          <wp:inline distT="0" distB="0" distL="0" distR="0" wp14:anchorId="19CB5249" wp14:editId="6C4A1EA5">
            <wp:extent cx="3540170" cy="2463800"/>
            <wp:effectExtent l="0" t="0" r="3175" b="0"/>
            <wp:docPr id="1709717427" name="Picture 1709717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9"/>
                    <a:stretch>
                      <a:fillRect/>
                    </a:stretch>
                  </pic:blipFill>
                  <pic:spPr>
                    <a:xfrm>
                      <a:off x="0" y="0"/>
                      <a:ext cx="3540825" cy="2464256"/>
                    </a:xfrm>
                    <a:prstGeom prst="rect">
                      <a:avLst/>
                    </a:prstGeom>
                  </pic:spPr>
                </pic:pic>
              </a:graphicData>
            </a:graphic>
          </wp:inline>
        </w:drawing>
      </w:r>
      <w:r w:rsidR="00B80185" w:rsidRPr="00B80185">
        <w:rPr>
          <w:noProof/>
          <w:lang w:val="en-GB"/>
        </w:rPr>
        <w:drawing>
          <wp:inline distT="0" distB="0" distL="0" distR="0" wp14:anchorId="3F738188" wp14:editId="72868817">
            <wp:extent cx="2679781" cy="1282700"/>
            <wp:effectExtent l="0" t="0" r="6350" b="0"/>
            <wp:docPr id="1709717426" name="Picture 1709717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0"/>
                    <a:stretch>
                      <a:fillRect/>
                    </a:stretch>
                  </pic:blipFill>
                  <pic:spPr>
                    <a:xfrm>
                      <a:off x="0" y="0"/>
                      <a:ext cx="2682426" cy="1283966"/>
                    </a:xfrm>
                    <a:prstGeom prst="rect">
                      <a:avLst/>
                    </a:prstGeom>
                  </pic:spPr>
                </pic:pic>
              </a:graphicData>
            </a:graphic>
          </wp:inline>
        </w:drawing>
      </w:r>
    </w:p>
    <w:p w14:paraId="63981E20" w14:textId="2E1F2838" w:rsidR="00C23D45" w:rsidRDefault="00C23D45" w:rsidP="00C23D45">
      <w:pPr>
        <w:rPr>
          <w:lang w:val="en-GB"/>
        </w:rPr>
      </w:pPr>
      <w:r>
        <w:rPr>
          <w:lang w:val="en-GB"/>
        </w:rPr>
        <w:t>By the way, a little trick</w:t>
      </w:r>
      <w:r w:rsidR="00EA7117">
        <w:rPr>
          <w:lang w:val="en-GB"/>
        </w:rPr>
        <w:t xml:space="preserve"> from</w:t>
      </w:r>
      <w:r w:rsidR="00EA7117" w:rsidRPr="00EA7117">
        <w:t xml:space="preserve"> </w:t>
      </w:r>
      <w:hyperlink r:id="rId1011" w:history="1">
        <w:r w:rsidR="00EA7117" w:rsidRPr="00EA7117">
          <w:rPr>
            <w:rStyle w:val="Hyperlink"/>
            <w:lang w:val="en-GB"/>
          </w:rPr>
          <w:t>Robert Mesropyan</w:t>
        </w:r>
      </w:hyperlink>
      <w:r w:rsidR="00EA7117">
        <w:rPr>
          <w:lang w:val="en-GB"/>
        </w:rPr>
        <w:t>.</w:t>
      </w:r>
      <w:r w:rsidR="00EA7117" w:rsidRPr="00EA7117">
        <w:rPr>
          <w:lang w:val="en-GB"/>
        </w:rPr>
        <w:t xml:space="preserve"> </w:t>
      </w:r>
      <w:r w:rsidR="00A66565">
        <w:rPr>
          <w:lang w:val="en-GB"/>
        </w:rPr>
        <w:t xml:space="preserve">There are times where you need to hide the object name. To do that, export the view, and </w:t>
      </w:r>
      <w:r w:rsidR="00EA7117">
        <w:rPr>
          <w:lang w:val="en-GB"/>
        </w:rPr>
        <w:t>change</w:t>
      </w:r>
      <w:r w:rsidR="009F2847">
        <w:rPr>
          <w:lang w:val="en-GB"/>
        </w:rPr>
        <w:t xml:space="preserve"> the value below</w:t>
      </w:r>
      <w:r w:rsidR="00EA7117">
        <w:rPr>
          <w:lang w:val="en-GB"/>
        </w:rPr>
        <w:t xml:space="preserve"> to </w:t>
      </w:r>
      <w:r w:rsidR="00EA7117" w:rsidRPr="00EA7117">
        <w:rPr>
          <w:color w:val="00B0F0"/>
          <w:lang w:val="en-GB"/>
        </w:rPr>
        <w:t>true</w:t>
      </w:r>
      <w:r w:rsidR="009F2847">
        <w:rPr>
          <w:lang w:val="en-GB"/>
        </w:rPr>
        <w:t>.</w:t>
      </w:r>
    </w:p>
    <w:p w14:paraId="32BB9621" w14:textId="34022007" w:rsidR="00A66565" w:rsidRPr="00A452F2" w:rsidRDefault="00A66565" w:rsidP="009F2847">
      <w:pPr>
        <w:pStyle w:val="Code"/>
        <w:rPr>
          <w:lang w:val="en-GB"/>
        </w:rPr>
      </w:pPr>
      <w:r>
        <w:t>&lt;Property name="hideObjectNameColumn" value="true"/&gt;</w:t>
      </w:r>
    </w:p>
    <w:p w14:paraId="7AFED9B0" w14:textId="3E83A334" w:rsidR="00871AD8" w:rsidRPr="00A452F2" w:rsidRDefault="00871AD8" w:rsidP="00AC6E1E">
      <w:pPr>
        <w:pStyle w:val="Heading4"/>
      </w:pPr>
      <w:r w:rsidRPr="00A452F2">
        <w:t xml:space="preserve">Bar Chart </w:t>
      </w:r>
    </w:p>
    <w:p w14:paraId="2B8FD8F3" w14:textId="77777777" w:rsidR="00677B63" w:rsidRPr="00A452F2" w:rsidRDefault="00677B63" w:rsidP="00677B63">
      <w:pPr>
        <w:rPr>
          <w:lang w:val="en-GB"/>
        </w:rPr>
      </w:pPr>
      <w:r w:rsidRPr="00A452F2">
        <w:rPr>
          <w:lang w:val="en-GB"/>
        </w:rPr>
        <w:t xml:space="preserve">There are 2 types of distribution charts: </w:t>
      </w:r>
    </w:p>
    <w:p w14:paraId="73C73A27" w14:textId="52D7B986" w:rsidR="001534C1" w:rsidRPr="00A452F2" w:rsidRDefault="001534C1" w:rsidP="001534C1">
      <w:pPr>
        <w:pStyle w:val="Bullet"/>
        <w:rPr>
          <w:lang w:val="en-GB"/>
        </w:rPr>
      </w:pPr>
      <w:r w:rsidRPr="00A452F2">
        <w:rPr>
          <w:lang w:val="en-GB"/>
        </w:rPr>
        <w:t>Absolute distribution: bar chart</w:t>
      </w:r>
      <w:r w:rsidR="004832CE">
        <w:rPr>
          <w:lang w:val="en-GB"/>
        </w:rPr>
        <w:t xml:space="preserve">. </w:t>
      </w:r>
      <w:r w:rsidR="004832CE">
        <w:rPr>
          <w:lang w:val="en-GB"/>
        </w:rPr>
        <w:br/>
        <w:t xml:space="preserve">It’s called absolute as you care about the actual value of each bar. </w:t>
      </w:r>
      <w:r w:rsidR="004E470A">
        <w:rPr>
          <w:lang w:val="en-GB"/>
        </w:rPr>
        <w:br/>
        <w:t>You also call about the order of how they are sequenced. The brackets are linear and follow a step up.</w:t>
      </w:r>
    </w:p>
    <w:p w14:paraId="4882A4AA" w14:textId="1F73F69F" w:rsidR="00677B63" w:rsidRPr="00A452F2" w:rsidRDefault="00677B63" w:rsidP="00677B63">
      <w:pPr>
        <w:pStyle w:val="Bullet"/>
        <w:rPr>
          <w:lang w:val="en-GB"/>
        </w:rPr>
      </w:pPr>
      <w:r w:rsidRPr="00A452F2">
        <w:rPr>
          <w:lang w:val="en-GB"/>
        </w:rPr>
        <w:t>Relative distribution: pie chart and donut chart</w:t>
      </w:r>
      <w:r w:rsidR="004832CE">
        <w:rPr>
          <w:lang w:val="en-GB"/>
        </w:rPr>
        <w:t xml:space="preserve">. </w:t>
      </w:r>
      <w:r w:rsidR="004832CE">
        <w:rPr>
          <w:lang w:val="en-GB"/>
        </w:rPr>
        <w:br/>
        <w:t>It’s called relative as the number you care is in percentage</w:t>
      </w:r>
      <w:r w:rsidR="008A6550">
        <w:rPr>
          <w:lang w:val="en-GB"/>
        </w:rPr>
        <w:t xml:space="preserve"> or ratio</w:t>
      </w:r>
      <w:r w:rsidR="004832CE">
        <w:rPr>
          <w:lang w:val="en-GB"/>
        </w:rPr>
        <w:t xml:space="preserve">. </w:t>
      </w:r>
      <w:r w:rsidR="004E470A">
        <w:rPr>
          <w:lang w:val="en-GB"/>
        </w:rPr>
        <w:t>You care about how the numbers are relative to one another. You also do not care about the order they are displayed (the brackets are not in order)</w:t>
      </w:r>
    </w:p>
    <w:p w14:paraId="1DF2245C" w14:textId="7623D746" w:rsidR="00871AD8" w:rsidRPr="00A452F2" w:rsidRDefault="00871AD8" w:rsidP="00871AD8">
      <w:pPr>
        <w:rPr>
          <w:lang w:val="en-GB"/>
        </w:rPr>
      </w:pPr>
      <w:r w:rsidRPr="4CAB3972">
        <w:rPr>
          <w:lang w:val="en-GB"/>
        </w:rPr>
        <w:lastRenderedPageBreak/>
        <w:t>Distribution Charts can be used to give insight to a large dataset</w:t>
      </w:r>
      <w:r w:rsidR="004832CE">
        <w:rPr>
          <w:lang w:val="en-GB"/>
        </w:rPr>
        <w:t>, as table will show too many rows</w:t>
      </w:r>
      <w:r w:rsidRPr="4CAB3972">
        <w:rPr>
          <w:lang w:val="en-GB"/>
        </w:rPr>
        <w:t xml:space="preserve">. Take the following as an example. It shows vSphere shared datastores by their capacity remaining. They are categorised into 5 buckets, from the lowest capacity remaining to the highest. Each bucket is given a </w:t>
      </w:r>
      <w:r w:rsidR="00E65E9E">
        <w:rPr>
          <w:lang w:val="en-GB"/>
        </w:rPr>
        <w:t>color</w:t>
      </w:r>
      <w:r w:rsidRPr="4CAB3972">
        <w:rPr>
          <w:lang w:val="en-GB"/>
        </w:rPr>
        <w:t xml:space="preserve"> to convey a meaning. Can you guess why &gt;80% is given a grey </w:t>
      </w:r>
      <w:r w:rsidR="00E65E9E">
        <w:rPr>
          <w:lang w:val="en-GB"/>
        </w:rPr>
        <w:t>color</w:t>
      </w:r>
      <w:r w:rsidRPr="4CAB3972">
        <w:rPr>
          <w:lang w:val="en-GB"/>
        </w:rPr>
        <w:t xml:space="preserve">, as opposed to even more </w:t>
      </w:r>
      <w:r w:rsidR="0022569A" w:rsidRPr="0022569A">
        <w:rPr>
          <w:color w:val="00B050"/>
          <w:lang w:val="en-GB"/>
        </w:rPr>
        <w:t>green</w:t>
      </w:r>
      <w:r w:rsidRPr="4CAB3972">
        <w:rPr>
          <w:lang w:val="en-GB"/>
        </w:rPr>
        <w:t xml:space="preserve">? </w:t>
      </w:r>
    </w:p>
    <w:p w14:paraId="6D6994CB" w14:textId="77777777" w:rsidR="00871AD8" w:rsidRPr="00A452F2" w:rsidRDefault="3378BE62" w:rsidP="00A25632">
      <w:pPr>
        <w:jc w:val="center"/>
        <w:rPr>
          <w:lang w:val="en-GB"/>
        </w:rPr>
      </w:pPr>
      <w:r>
        <w:rPr>
          <w:noProof/>
        </w:rPr>
        <w:drawing>
          <wp:inline distT="0" distB="0" distL="0" distR="0" wp14:anchorId="37FF37D9" wp14:editId="2EB60BC6">
            <wp:extent cx="4096800" cy="1864800"/>
            <wp:effectExtent l="0" t="0" r="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pic:nvPicPr>
                  <pic:blipFill>
                    <a:blip r:embed="rId1012">
                      <a:extLst>
                        <a:ext uri="{28A0092B-C50C-407E-A947-70E740481C1C}">
                          <a14:useLocalDpi xmlns:a14="http://schemas.microsoft.com/office/drawing/2010/main" val="0"/>
                        </a:ext>
                      </a:extLst>
                    </a:blip>
                    <a:stretch>
                      <a:fillRect/>
                    </a:stretch>
                  </pic:blipFill>
                  <pic:spPr>
                    <a:xfrm>
                      <a:off x="0" y="0"/>
                      <a:ext cx="4096800" cy="1864800"/>
                    </a:xfrm>
                    <a:prstGeom prst="rect">
                      <a:avLst/>
                    </a:prstGeom>
                  </pic:spPr>
                </pic:pic>
              </a:graphicData>
            </a:graphic>
          </wp:inline>
        </w:drawing>
      </w:r>
    </w:p>
    <w:p w14:paraId="067E1281" w14:textId="603FF7D3" w:rsidR="00871AD8" w:rsidRPr="00A452F2" w:rsidRDefault="00871AD8">
      <w:pPr>
        <w:rPr>
          <w:lang w:val="en-GB"/>
        </w:rPr>
      </w:pPr>
      <w:r w:rsidRPr="4CAB3972">
        <w:rPr>
          <w:lang w:val="en-GB"/>
        </w:rPr>
        <w:t xml:space="preserve">The reason has to do with the reason you bought the capacity in the first place. It’s to be consumed. If the capacity is not well used after months or even years, it’s a wastage. You </w:t>
      </w:r>
      <w:r w:rsidR="775CBEC5" w:rsidRPr="4CAB3972">
        <w:rPr>
          <w:lang w:val="en-GB"/>
        </w:rPr>
        <w:t>overbought capacity.</w:t>
      </w:r>
    </w:p>
    <w:p w14:paraId="2D98A1ED" w14:textId="1AB47A74" w:rsidR="00871AD8" w:rsidRDefault="009D3191" w:rsidP="00AC6E1E">
      <w:pPr>
        <w:pStyle w:val="Heading4"/>
      </w:pPr>
      <w:r>
        <w:t>Pie</w:t>
      </w:r>
      <w:r w:rsidR="00871AD8" w:rsidRPr="00A452F2">
        <w:t xml:space="preserve"> Chart </w:t>
      </w:r>
    </w:p>
    <w:p w14:paraId="6B3493BD" w14:textId="77777777" w:rsidR="00597FB7" w:rsidRDefault="008A3236" w:rsidP="008A3236">
      <w:pPr>
        <w:rPr>
          <w:lang w:val="en-GB"/>
        </w:rPr>
      </w:pPr>
      <w:r>
        <w:rPr>
          <w:lang w:val="en-GB"/>
        </w:rPr>
        <w:t xml:space="preserve">Relative is useful for peer comparison. You want to know what’s the largest slice. </w:t>
      </w:r>
    </w:p>
    <w:p w14:paraId="08C9DE0D" w14:textId="723E6B9C" w:rsidR="008A3236" w:rsidRDefault="00597FB7" w:rsidP="008A3236">
      <w:pPr>
        <w:rPr>
          <w:lang w:val="en-GB"/>
        </w:rPr>
      </w:pPr>
      <w:r>
        <w:rPr>
          <w:lang w:val="en-GB"/>
        </w:rPr>
        <w:t>There is another use case, which is showing the</w:t>
      </w:r>
      <w:r w:rsidR="009F1CF7">
        <w:rPr>
          <w:lang w:val="en-GB"/>
        </w:rPr>
        <w:t xml:space="preserve"> number of variants. It’s useful when you have an expectation of what is good or bad. </w:t>
      </w:r>
      <w:r w:rsidR="002962D2">
        <w:rPr>
          <w:lang w:val="en-GB"/>
        </w:rPr>
        <w:t xml:space="preserve">See the </w:t>
      </w:r>
      <w:r w:rsidR="002D615D">
        <w:rPr>
          <w:lang w:val="en-GB"/>
        </w:rPr>
        <w:t>following 2 widgets. They show the number of resource pools in a cluster. What does each pie chart tell you?</w:t>
      </w:r>
    </w:p>
    <w:p w14:paraId="18CA71E2" w14:textId="2A97F628" w:rsidR="008A3236" w:rsidRDefault="008A3236" w:rsidP="007516EA">
      <w:pPr>
        <w:jc w:val="center"/>
        <w:rPr>
          <w:lang w:val="en-GB"/>
        </w:rPr>
      </w:pPr>
      <w:r w:rsidRPr="008A3236">
        <w:rPr>
          <w:noProof/>
          <w:lang w:val="en-GB"/>
        </w:rPr>
        <w:drawing>
          <wp:inline distT="0" distB="0" distL="0" distR="0" wp14:anchorId="0731EB61" wp14:editId="141993D7">
            <wp:extent cx="3131558" cy="1691376"/>
            <wp:effectExtent l="0" t="0" r="0" b="4445"/>
            <wp:docPr id="1583707926" name="Picture 1583707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3"/>
                    <a:stretch>
                      <a:fillRect/>
                    </a:stretch>
                  </pic:blipFill>
                  <pic:spPr>
                    <a:xfrm>
                      <a:off x="0" y="0"/>
                      <a:ext cx="3135949" cy="1693748"/>
                    </a:xfrm>
                    <a:prstGeom prst="rect">
                      <a:avLst/>
                    </a:prstGeom>
                  </pic:spPr>
                </pic:pic>
              </a:graphicData>
            </a:graphic>
          </wp:inline>
        </w:drawing>
      </w:r>
      <w:r w:rsidR="00FA4CC5" w:rsidRPr="00FA4CC5">
        <w:rPr>
          <w:noProof/>
          <w:lang w:val="en-GB"/>
        </w:rPr>
        <w:drawing>
          <wp:inline distT="0" distB="0" distL="0" distR="0" wp14:anchorId="5F233842" wp14:editId="344966E3">
            <wp:extent cx="3102871" cy="1678602"/>
            <wp:effectExtent l="0" t="0" r="2540" b="0"/>
            <wp:docPr id="1583707927" name="Picture 1583707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4"/>
                    <a:stretch>
                      <a:fillRect/>
                    </a:stretch>
                  </pic:blipFill>
                  <pic:spPr>
                    <a:xfrm>
                      <a:off x="0" y="0"/>
                      <a:ext cx="3116031" cy="1685721"/>
                    </a:xfrm>
                    <a:prstGeom prst="rect">
                      <a:avLst/>
                    </a:prstGeom>
                  </pic:spPr>
                </pic:pic>
              </a:graphicData>
            </a:graphic>
          </wp:inline>
        </w:drawing>
      </w:r>
    </w:p>
    <w:p w14:paraId="06EFA250" w14:textId="6CD3DF16" w:rsidR="0009281D" w:rsidRDefault="0009281D" w:rsidP="008A3236">
      <w:pPr>
        <w:rPr>
          <w:lang w:val="en-GB"/>
        </w:rPr>
      </w:pPr>
      <w:r>
        <w:rPr>
          <w:lang w:val="en-GB"/>
        </w:rPr>
        <w:t xml:space="preserve">The first cluster has way too many resource pool. This alone will make performance </w:t>
      </w:r>
      <w:r w:rsidR="00FB59DB">
        <w:rPr>
          <w:lang w:val="en-GB"/>
        </w:rPr>
        <w:t>management difficult.</w:t>
      </w:r>
    </w:p>
    <w:p w14:paraId="17224B3A" w14:textId="18FC7329" w:rsidR="00FB59DB" w:rsidRPr="008A3236" w:rsidRDefault="00FB59DB" w:rsidP="008A3236">
      <w:pPr>
        <w:rPr>
          <w:lang w:val="en-GB"/>
        </w:rPr>
      </w:pPr>
      <w:r>
        <w:rPr>
          <w:lang w:val="en-GB"/>
        </w:rPr>
        <w:t>The second cluster has 4 resource pools, but they are of equal share. What’s the point of having resource p</w:t>
      </w:r>
      <w:r w:rsidR="002839A7">
        <w:rPr>
          <w:lang w:val="en-GB"/>
        </w:rPr>
        <w:t>ool when they are the same share? It looks like a common mistake of using resource pool as folder.</w:t>
      </w:r>
    </w:p>
    <w:p w14:paraId="3678B450" w14:textId="0DAFFAF1" w:rsidR="00DD120C" w:rsidRDefault="00DD120C" w:rsidP="00AC6E1E">
      <w:pPr>
        <w:pStyle w:val="Heading4"/>
      </w:pPr>
      <w:r>
        <w:lastRenderedPageBreak/>
        <w:t>Heat Map</w:t>
      </w:r>
    </w:p>
    <w:p w14:paraId="333AA726" w14:textId="2546A1AA" w:rsidR="00F272F6" w:rsidRPr="00F272F6" w:rsidRDefault="00E019F8" w:rsidP="00F272F6">
      <w:pPr>
        <w:rPr>
          <w:lang w:val="en-GB"/>
        </w:rPr>
      </w:pPr>
      <w:r>
        <w:rPr>
          <w:lang w:val="en-GB"/>
        </w:rPr>
        <w:t xml:space="preserve">Heat Map lets you vary both the color and the size of each object. </w:t>
      </w:r>
      <w:r w:rsidR="00F272F6">
        <w:rPr>
          <w:lang w:val="en-GB"/>
        </w:rPr>
        <w:t xml:space="preserve">Fixing the size can be powerful as it </w:t>
      </w:r>
      <w:r w:rsidR="00A567E5">
        <w:rPr>
          <w:lang w:val="en-GB"/>
        </w:rPr>
        <w:t xml:space="preserve">shows a different meaning. </w:t>
      </w:r>
      <w:r w:rsidR="006847F1">
        <w:rPr>
          <w:lang w:val="en-GB"/>
        </w:rPr>
        <w:t xml:space="preserve">From the following example, you can see that there are more </w:t>
      </w:r>
      <w:r w:rsidR="00CF7D2C" w:rsidRPr="00CF7D2C">
        <w:rPr>
          <w:color w:val="FF0000"/>
          <w:lang w:val="en-GB"/>
        </w:rPr>
        <w:t>red</w:t>
      </w:r>
      <w:r w:rsidR="006847F1">
        <w:rPr>
          <w:lang w:val="en-GB"/>
        </w:rPr>
        <w:t xml:space="preserve"> than </w:t>
      </w:r>
      <w:r w:rsidR="00CF7D2C" w:rsidRPr="00CF7D2C">
        <w:rPr>
          <w:color w:val="ED7D31" w:themeColor="accent2"/>
          <w:lang w:val="en-GB"/>
        </w:rPr>
        <w:t>orange</w:t>
      </w:r>
      <w:r w:rsidR="007516EA">
        <w:rPr>
          <w:lang w:val="en-GB"/>
        </w:rPr>
        <w:t xml:space="preserve"> + </w:t>
      </w:r>
      <w:r w:rsidR="00CF7D2C" w:rsidRPr="00CF7D2C">
        <w:rPr>
          <w:color w:val="FFFF00"/>
          <w:lang w:val="en-GB"/>
        </w:rPr>
        <w:t>yellow</w:t>
      </w:r>
      <w:r w:rsidR="007516EA">
        <w:rPr>
          <w:lang w:val="en-GB"/>
        </w:rPr>
        <w:t xml:space="preserve"> combined. </w:t>
      </w:r>
      <w:r w:rsidR="00A567E5">
        <w:rPr>
          <w:lang w:val="en-GB"/>
        </w:rPr>
        <w:t xml:space="preserve">It also </w:t>
      </w:r>
      <w:r w:rsidR="00F272F6">
        <w:rPr>
          <w:lang w:val="en-GB"/>
        </w:rPr>
        <w:t>makes the overall layout neater</w:t>
      </w:r>
      <w:r w:rsidR="00A567E5">
        <w:rPr>
          <w:lang w:val="en-GB"/>
        </w:rPr>
        <w:t>, which is a</w:t>
      </w:r>
      <w:r w:rsidR="006847F1">
        <w:rPr>
          <w:lang w:val="en-GB"/>
        </w:rPr>
        <w:t>lways a</w:t>
      </w:r>
      <w:r w:rsidR="00A567E5">
        <w:rPr>
          <w:lang w:val="en-GB"/>
        </w:rPr>
        <w:t xml:space="preserve"> nice bonus.</w:t>
      </w:r>
    </w:p>
    <w:p w14:paraId="0E3795C7" w14:textId="778C17B1" w:rsidR="005D1B5A" w:rsidRDefault="00F272F6" w:rsidP="007516EA">
      <w:pPr>
        <w:jc w:val="center"/>
        <w:rPr>
          <w:lang w:val="en-GB"/>
        </w:rPr>
      </w:pPr>
      <w:r w:rsidRPr="00F272F6">
        <w:rPr>
          <w:noProof/>
        </w:rPr>
        <w:drawing>
          <wp:inline distT="0" distB="0" distL="0" distR="0" wp14:anchorId="631A68BE" wp14:editId="7EFCECC0">
            <wp:extent cx="4578896" cy="2137325"/>
            <wp:effectExtent l="0" t="0" r="0" b="0"/>
            <wp:docPr id="1583707929" name="Picture 14">
              <a:extLst xmlns:a="http://schemas.openxmlformats.org/drawingml/2006/main">
                <a:ext uri="{FF2B5EF4-FFF2-40B4-BE49-F238E27FC236}">
                  <a16:creationId xmlns:a16="http://schemas.microsoft.com/office/drawing/2014/main" id="{EF22D519-6924-40FC-840A-709D56EE1A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4">
                      <a:extLst>
                        <a:ext uri="{FF2B5EF4-FFF2-40B4-BE49-F238E27FC236}">
                          <a16:creationId xmlns:a16="http://schemas.microsoft.com/office/drawing/2014/main" id="{EF22D519-6924-40FC-840A-709D56EE1A0E}"/>
                        </a:ext>
                      </a:extLst>
                    </pic:cNvPr>
                    <pic:cNvPicPr>
                      <a:picLocks noChangeAspect="1"/>
                    </pic:cNvPicPr>
                  </pic:nvPicPr>
                  <pic:blipFill>
                    <a:blip r:embed="rId1015"/>
                    <a:stretch>
                      <a:fillRect/>
                    </a:stretch>
                  </pic:blipFill>
                  <pic:spPr>
                    <a:xfrm>
                      <a:off x="0" y="0"/>
                      <a:ext cx="4578896" cy="2137325"/>
                    </a:xfrm>
                    <a:prstGeom prst="rect">
                      <a:avLst/>
                    </a:prstGeom>
                    <a:ln>
                      <a:noFill/>
                    </a:ln>
                    <a:effectLst/>
                  </pic:spPr>
                </pic:pic>
              </a:graphicData>
            </a:graphic>
          </wp:inline>
        </w:drawing>
      </w:r>
    </w:p>
    <w:p w14:paraId="5475C687" w14:textId="007C8047" w:rsidR="00DA474C" w:rsidRPr="005D1B5A" w:rsidRDefault="00DA474C" w:rsidP="00DA474C">
      <w:pPr>
        <w:rPr>
          <w:lang w:val="en-GB"/>
        </w:rPr>
      </w:pPr>
      <w:r>
        <w:rPr>
          <w:lang w:val="en-GB"/>
        </w:rPr>
        <w:t xml:space="preserve">Yes, the </w:t>
      </w:r>
      <w:r>
        <w:t>sorting by color when the size is identical is a new feature</w:t>
      </w:r>
      <w:r w:rsidR="009D5B95">
        <w:t xml:space="preserve"> of vRealize Operations 8.4</w:t>
      </w:r>
      <w:r>
        <w:t>. You are welcome.</w:t>
      </w:r>
    </w:p>
    <w:p w14:paraId="6CFA61E7" w14:textId="17B93025" w:rsidR="00022068" w:rsidRDefault="00022068" w:rsidP="00AC6E1E">
      <w:pPr>
        <w:pStyle w:val="Heading4"/>
      </w:pPr>
      <w:r>
        <w:t>Limitations</w:t>
      </w:r>
    </w:p>
    <w:p w14:paraId="3DD3C57A" w14:textId="63AAA8E0" w:rsidR="00871AD8" w:rsidRPr="00A452F2" w:rsidRDefault="00022068" w:rsidP="00871AD8">
      <w:pPr>
        <w:rPr>
          <w:lang w:val="en-GB"/>
        </w:rPr>
      </w:pPr>
      <w:r>
        <w:rPr>
          <w:lang w:val="en-GB"/>
        </w:rPr>
        <w:t xml:space="preserve">Distribution charts </w:t>
      </w:r>
      <w:r w:rsidR="00620446">
        <w:rPr>
          <w:lang w:val="en-GB"/>
        </w:rPr>
        <w:t xml:space="preserve">(pie chart, donut chart, bar chart) </w:t>
      </w:r>
      <w:r w:rsidR="00871AD8" w:rsidRPr="00A452F2">
        <w:rPr>
          <w:lang w:val="en-GB"/>
        </w:rPr>
        <w:t>have the following limitations</w:t>
      </w:r>
      <w:r w:rsidR="00152E58">
        <w:rPr>
          <w:lang w:val="en-GB"/>
        </w:rPr>
        <w:t>:</w:t>
      </w:r>
    </w:p>
    <w:p w14:paraId="004BB017" w14:textId="565076BA" w:rsidR="00871AD8" w:rsidRPr="00A452F2" w:rsidRDefault="00871AD8" w:rsidP="00871AD8">
      <w:pPr>
        <w:pStyle w:val="Bullet"/>
        <w:rPr>
          <w:lang w:val="en-GB"/>
        </w:rPr>
      </w:pPr>
      <w:r w:rsidRPr="00A452F2">
        <w:rPr>
          <w:rStyle w:val="CodeChar"/>
          <w:lang w:val="en-GB"/>
        </w:rPr>
        <w:t>“No data to display</w:t>
      </w:r>
      <w:r w:rsidRPr="00A452F2">
        <w:rPr>
          <w:rStyle w:val="HTMLSample"/>
          <w:rFonts w:asciiTheme="minorHAnsi" w:eastAsiaTheme="minorHAnsi" w:hAnsiTheme="minorHAnsi" w:cstheme="minorBidi"/>
          <w:lang w:val="en-GB"/>
        </w:rPr>
        <w:t xml:space="preserve">” </w:t>
      </w:r>
      <w:r w:rsidRPr="00A452F2">
        <w:rPr>
          <w:lang w:val="en-GB"/>
        </w:rPr>
        <w:t xml:space="preserve">does not imply that there is something wrong with </w:t>
      </w:r>
      <w:r w:rsidR="00F72B2F" w:rsidRPr="00A452F2">
        <w:rPr>
          <w:lang w:val="en-GB"/>
        </w:rPr>
        <w:t xml:space="preserve">vRealize Operations </w:t>
      </w:r>
      <w:r w:rsidRPr="00A452F2">
        <w:rPr>
          <w:lang w:val="en-GB"/>
        </w:rPr>
        <w:t xml:space="preserve">data collection process. It might signify that none of the objects meets the filtering criteria of the widget, hence there is really nothing to display. </w:t>
      </w:r>
    </w:p>
    <w:p w14:paraId="72AF22DE" w14:textId="6197F361" w:rsidR="00871AD8" w:rsidRPr="00A452F2" w:rsidRDefault="00871AD8" w:rsidP="00871AD8">
      <w:pPr>
        <w:pStyle w:val="Bullet"/>
        <w:rPr>
          <w:lang w:val="en-GB"/>
        </w:rPr>
      </w:pPr>
      <w:r w:rsidRPr="00A452F2">
        <w:rPr>
          <w:lang w:val="en-GB"/>
        </w:rPr>
        <w:t xml:space="preserve">To see the content of a slice in a pie-chart or a bucket in a bar-chart, simply click on it. Note that the list cannot be exported. </w:t>
      </w:r>
    </w:p>
    <w:p w14:paraId="43D9878D" w14:textId="7F498555" w:rsidR="00871AD8" w:rsidRPr="00A452F2" w:rsidRDefault="00871AD8" w:rsidP="00871AD8">
      <w:pPr>
        <w:pStyle w:val="Bullet"/>
        <w:rPr>
          <w:lang w:val="en-GB"/>
        </w:rPr>
      </w:pPr>
      <w:r w:rsidRPr="00A452F2">
        <w:rPr>
          <w:lang w:val="en-GB"/>
        </w:rPr>
        <w:t>The pie-chart and bar-chart cannot drive other widgets. For example, you cannot select one of the pie-slices or buckets, and expect it to act as a filter to a list or a table.</w:t>
      </w:r>
      <w:r w:rsidR="00DB4423">
        <w:rPr>
          <w:lang w:val="en-GB"/>
        </w:rPr>
        <w:t xml:space="preserve"> What you can do, is to </w:t>
      </w:r>
      <w:r w:rsidR="00606AFA">
        <w:rPr>
          <w:lang w:val="en-GB"/>
        </w:rPr>
        <w:t>select one of the object in the slice. I use this technique to allow drill down.</w:t>
      </w:r>
      <w:r w:rsidR="006D3442" w:rsidRPr="006D3442">
        <w:rPr>
          <w:lang w:val="en-GB"/>
        </w:rPr>
        <w:t xml:space="preserve"> </w:t>
      </w:r>
      <w:r w:rsidR="006D3442" w:rsidRPr="00A452F2">
        <w:rPr>
          <w:lang w:val="en-GB"/>
        </w:rPr>
        <w:t xml:space="preserve">You can </w:t>
      </w:r>
      <w:r w:rsidR="006D3442">
        <w:rPr>
          <w:lang w:val="en-GB"/>
        </w:rPr>
        <w:t xml:space="preserve">also </w:t>
      </w:r>
      <w:r w:rsidR="006D3442" w:rsidRPr="00A452F2">
        <w:rPr>
          <w:lang w:val="en-GB"/>
        </w:rPr>
        <w:t>click on the object name, which will take you to the object summary page. The page provides key configuration information, alongside other summary information.</w:t>
      </w:r>
    </w:p>
    <w:p w14:paraId="591EF52A" w14:textId="25180DD2" w:rsidR="008A50DD" w:rsidRDefault="00871AD8" w:rsidP="00871AD8">
      <w:pPr>
        <w:pStyle w:val="Bullet"/>
        <w:rPr>
          <w:lang w:val="en-GB"/>
        </w:rPr>
      </w:pPr>
      <w:r w:rsidRPr="00A452F2">
        <w:rPr>
          <w:lang w:val="en-GB"/>
        </w:rPr>
        <w:t xml:space="preserve">You can apply a specific </w:t>
      </w:r>
      <w:r w:rsidR="00E65E9E">
        <w:rPr>
          <w:lang w:val="en-GB"/>
        </w:rPr>
        <w:t>color</w:t>
      </w:r>
      <w:r w:rsidRPr="00A452F2">
        <w:rPr>
          <w:lang w:val="en-GB"/>
        </w:rPr>
        <w:t xml:space="preserve"> in a pie chart or distribution chart for a specific numeric value, but not string value. For example, you can’t apply a </w:t>
      </w:r>
      <w:r w:rsidR="00CF7D2C" w:rsidRPr="00CF7D2C">
        <w:rPr>
          <w:color w:val="FF0000"/>
          <w:lang w:val="en-GB"/>
        </w:rPr>
        <w:t>red</w:t>
      </w:r>
      <w:r w:rsidRPr="00A452F2">
        <w:rPr>
          <w:lang w:val="en-GB"/>
        </w:rPr>
        <w:t xml:space="preserve"> </w:t>
      </w:r>
      <w:r w:rsidR="00E65E9E">
        <w:rPr>
          <w:lang w:val="en-GB"/>
        </w:rPr>
        <w:t>color</w:t>
      </w:r>
      <w:r w:rsidRPr="00A452F2">
        <w:rPr>
          <w:lang w:val="en-GB"/>
        </w:rPr>
        <w:t xml:space="preserve"> to the value “</w:t>
      </w:r>
      <w:r w:rsidRPr="00B84234">
        <w:rPr>
          <w:color w:val="00B0F0"/>
          <w:lang w:val="en-GB"/>
        </w:rPr>
        <w:t>Not Installed</w:t>
      </w:r>
      <w:r w:rsidRPr="00A452F2">
        <w:rPr>
          <w:lang w:val="en-GB"/>
        </w:rPr>
        <w:t>”.</w:t>
      </w:r>
      <w:r w:rsidR="00620446">
        <w:rPr>
          <w:lang w:val="en-GB"/>
        </w:rPr>
        <w:t xml:space="preserve"> </w:t>
      </w:r>
    </w:p>
    <w:p w14:paraId="3368F55F" w14:textId="36BE284E" w:rsidR="008A50DD" w:rsidRDefault="008A50DD" w:rsidP="008A50DD">
      <w:pPr>
        <w:rPr>
          <w:lang w:val="en-GB"/>
        </w:rPr>
      </w:pPr>
      <w:r>
        <w:rPr>
          <w:lang w:val="en-GB"/>
        </w:rPr>
        <w:t>The following widget can only show the present data</w:t>
      </w:r>
    </w:p>
    <w:p w14:paraId="381D11A7" w14:textId="436CC15B" w:rsidR="008A50DD" w:rsidRDefault="008A50DD" w:rsidP="008A50DD">
      <w:pPr>
        <w:pStyle w:val="Bullet"/>
        <w:rPr>
          <w:lang w:val="en-GB"/>
        </w:rPr>
      </w:pPr>
      <w:r>
        <w:rPr>
          <w:lang w:val="en-GB"/>
        </w:rPr>
        <w:t>Heat Map</w:t>
      </w:r>
    </w:p>
    <w:p w14:paraId="3E42A4B0" w14:textId="3BDF6CF9" w:rsidR="008A50DD" w:rsidRDefault="008A50DD" w:rsidP="008A50DD">
      <w:pPr>
        <w:pStyle w:val="Bullet"/>
        <w:rPr>
          <w:lang w:val="en-GB"/>
        </w:rPr>
      </w:pPr>
      <w:r>
        <w:rPr>
          <w:lang w:val="en-GB"/>
        </w:rPr>
        <w:t>Scoreboard</w:t>
      </w:r>
    </w:p>
    <w:p w14:paraId="0B31F97A" w14:textId="0F6538AD" w:rsidR="00871AD8" w:rsidRPr="00A452F2" w:rsidRDefault="008A50DD" w:rsidP="008A50DD">
      <w:pPr>
        <w:rPr>
          <w:lang w:val="en-GB"/>
        </w:rPr>
      </w:pPr>
      <w:r>
        <w:rPr>
          <w:lang w:val="en-GB"/>
        </w:rPr>
        <w:t>Log Insight. Unable to specify color in the bar chart. The color is automatically chosen. It can result in “</w:t>
      </w:r>
      <w:r w:rsidR="00CF7D2C" w:rsidRPr="00CF7D2C">
        <w:rPr>
          <w:color w:val="FF0000"/>
          <w:lang w:val="en-GB"/>
        </w:rPr>
        <w:t>red</w:t>
      </w:r>
      <w:r>
        <w:rPr>
          <w:lang w:val="en-GB"/>
        </w:rPr>
        <w:t xml:space="preserve">” in the legend being shown in </w:t>
      </w:r>
      <w:r w:rsidR="0022569A" w:rsidRPr="0022569A">
        <w:rPr>
          <w:color w:val="00B050"/>
          <w:lang w:val="en-GB"/>
        </w:rPr>
        <w:t>green</w:t>
      </w:r>
      <w:r>
        <w:rPr>
          <w:lang w:val="en-GB"/>
        </w:rPr>
        <w:t xml:space="preserve">. </w:t>
      </w:r>
    </w:p>
    <w:p w14:paraId="6D95DA52" w14:textId="06142DD5" w:rsidR="00A753F3" w:rsidRDefault="009113D4" w:rsidP="00540F68">
      <w:pPr>
        <w:pStyle w:val="Heading3"/>
      </w:pPr>
      <w:bookmarkStart w:id="143" w:name="_Performance_Dashboards"/>
      <w:bookmarkEnd w:id="143"/>
      <w:r>
        <w:lastRenderedPageBreak/>
        <w:t>Multi-Dashboard</w:t>
      </w:r>
    </w:p>
    <w:p w14:paraId="2214BACD" w14:textId="39B0D016" w:rsidR="004822E7" w:rsidRDefault="00842E79" w:rsidP="00A753F3">
      <w:pPr>
        <w:rPr>
          <w:lang w:val="en-GB"/>
        </w:rPr>
      </w:pPr>
      <w:r>
        <w:rPr>
          <w:lang w:val="en-GB"/>
        </w:rPr>
        <w:t xml:space="preserve">You </w:t>
      </w:r>
      <w:r w:rsidR="00323FCF">
        <w:rPr>
          <w:lang w:val="en-GB"/>
        </w:rPr>
        <w:t>typically</w:t>
      </w:r>
      <w:r>
        <w:rPr>
          <w:lang w:val="en-GB"/>
        </w:rPr>
        <w:t xml:space="preserve"> need </w:t>
      </w:r>
      <w:r w:rsidR="0082579B">
        <w:rPr>
          <w:lang w:val="en-GB"/>
        </w:rPr>
        <w:t xml:space="preserve">more than a few </w:t>
      </w:r>
      <w:r>
        <w:rPr>
          <w:lang w:val="en-GB"/>
        </w:rPr>
        <w:t xml:space="preserve">dashboards to achieve </w:t>
      </w:r>
      <w:r w:rsidR="0082579B">
        <w:rPr>
          <w:lang w:val="en-GB"/>
        </w:rPr>
        <w:t xml:space="preserve">a complete operations management. </w:t>
      </w:r>
      <w:r w:rsidR="00227AD3">
        <w:rPr>
          <w:lang w:val="en-GB"/>
        </w:rPr>
        <w:t xml:space="preserve">That means dashboard to dashboard </w:t>
      </w:r>
      <w:r w:rsidR="004822E7">
        <w:rPr>
          <w:lang w:val="en-GB"/>
        </w:rPr>
        <w:t xml:space="preserve">(D2D) </w:t>
      </w:r>
      <w:r w:rsidR="00227AD3">
        <w:rPr>
          <w:lang w:val="en-GB"/>
        </w:rPr>
        <w:t xml:space="preserve">navigation has to be part of your overall approach. </w:t>
      </w:r>
      <w:r w:rsidR="008A376C">
        <w:rPr>
          <w:lang w:val="en-GB"/>
        </w:rPr>
        <w:t>You can drill down</w:t>
      </w:r>
      <w:r w:rsidR="0010794E">
        <w:rPr>
          <w:lang w:val="en-GB"/>
        </w:rPr>
        <w:t xml:space="preserve"> in the object hierarchy</w:t>
      </w:r>
      <w:r w:rsidR="008A376C">
        <w:rPr>
          <w:lang w:val="en-GB"/>
        </w:rPr>
        <w:t xml:space="preserve"> from one dashboard to another, or move laterally. </w:t>
      </w:r>
      <w:r w:rsidR="00753E54">
        <w:rPr>
          <w:lang w:val="en-GB"/>
        </w:rPr>
        <w:t xml:space="preserve">Note that you cannot go up the parent hierarchy. </w:t>
      </w:r>
    </w:p>
    <w:p w14:paraId="5F7489B2" w14:textId="385AE041" w:rsidR="009113D4" w:rsidRDefault="004822E7" w:rsidP="00A753F3">
      <w:pPr>
        <w:rPr>
          <w:lang w:val="en-GB"/>
        </w:rPr>
      </w:pPr>
      <w:r>
        <w:rPr>
          <w:lang w:val="en-GB"/>
        </w:rPr>
        <w:t xml:space="preserve">D2D </w:t>
      </w:r>
      <w:r w:rsidR="000A29F3">
        <w:rPr>
          <w:lang w:val="en-GB"/>
        </w:rPr>
        <w:t xml:space="preserve">capability also helps </w:t>
      </w:r>
      <w:r w:rsidR="008F5CDD">
        <w:rPr>
          <w:lang w:val="en-GB"/>
        </w:rPr>
        <w:t xml:space="preserve">in </w:t>
      </w:r>
      <w:r w:rsidR="000A29F3">
        <w:rPr>
          <w:lang w:val="en-GB"/>
        </w:rPr>
        <w:t xml:space="preserve">avoiding a </w:t>
      </w:r>
      <w:r w:rsidR="008109A4" w:rsidRPr="236A84E9">
        <w:rPr>
          <w:lang w:val="en-GB"/>
        </w:rPr>
        <w:t xml:space="preserve">deep dashboard with many widgets that requires multiple pages of scrolling. They </w:t>
      </w:r>
      <w:r w:rsidR="008109A4">
        <w:rPr>
          <w:lang w:val="en-GB"/>
        </w:rPr>
        <w:t>are harder to understand and may suffer from loading time.</w:t>
      </w:r>
    </w:p>
    <w:p w14:paraId="1159DD28" w14:textId="67D4797C" w:rsidR="00AC4901" w:rsidRDefault="00FE55C0" w:rsidP="00A753F3">
      <w:pPr>
        <w:rPr>
          <w:lang w:val="en-GB"/>
        </w:rPr>
      </w:pPr>
      <w:r>
        <w:rPr>
          <w:lang w:val="en-GB"/>
        </w:rPr>
        <w:t>Create a set of dashboards that act like one system.</w:t>
      </w:r>
      <w:r w:rsidR="001B042C">
        <w:rPr>
          <w:lang w:val="en-GB"/>
        </w:rPr>
        <w:t xml:space="preserve"> This is the principle we use</w:t>
      </w:r>
      <w:r w:rsidR="005C3F4C">
        <w:rPr>
          <w:lang w:val="en-GB"/>
        </w:rPr>
        <w:t xml:space="preserve"> when creating the </w:t>
      </w:r>
      <w:r w:rsidR="0031450E">
        <w:rPr>
          <w:lang w:val="en-GB"/>
        </w:rPr>
        <w:t xml:space="preserve">out of the box </w:t>
      </w:r>
      <w:r w:rsidR="005C3F4C">
        <w:rPr>
          <w:lang w:val="en-GB"/>
        </w:rPr>
        <w:t>dashboard</w:t>
      </w:r>
      <w:r w:rsidR="0031450E">
        <w:rPr>
          <w:lang w:val="en-GB"/>
        </w:rPr>
        <w:t>s.</w:t>
      </w:r>
    </w:p>
    <w:p w14:paraId="7044F9B7" w14:textId="77777777" w:rsidR="00074F48" w:rsidRPr="00074F48" w:rsidRDefault="00055CA1" w:rsidP="00074F48">
      <w:r>
        <w:rPr>
          <w:lang w:val="en-GB"/>
        </w:rPr>
        <w:t xml:space="preserve">Let’s say you’re designing for </w:t>
      </w:r>
      <w:r w:rsidR="00150129">
        <w:rPr>
          <w:lang w:val="en-GB"/>
        </w:rPr>
        <w:t>Capacity management and Performance management</w:t>
      </w:r>
      <w:r>
        <w:rPr>
          <w:lang w:val="en-GB"/>
        </w:rPr>
        <w:t>,</w:t>
      </w:r>
      <w:r w:rsidR="00150129">
        <w:rPr>
          <w:lang w:val="en-GB"/>
        </w:rPr>
        <w:t xml:space="preserve"> as </w:t>
      </w:r>
      <w:r>
        <w:rPr>
          <w:lang w:val="en-GB"/>
        </w:rPr>
        <w:t>they often go together.</w:t>
      </w:r>
      <w:r w:rsidR="00BB6557">
        <w:rPr>
          <w:lang w:val="en-GB"/>
        </w:rPr>
        <w:t xml:space="preserve"> Look a</w:t>
      </w:r>
      <w:r w:rsidR="00C92573">
        <w:rPr>
          <w:lang w:val="en-GB"/>
        </w:rPr>
        <w:t>t the systems being managed and the major tasks. For the case of vSphere and vSAN, we</w:t>
      </w:r>
      <w:r w:rsidR="00CB3E73">
        <w:rPr>
          <w:lang w:val="en-GB"/>
        </w:rPr>
        <w:t xml:space="preserve"> can group the components into Consumer and Provider. For each, we need to keep the lights on (</w:t>
      </w:r>
      <w:r w:rsidR="00CB3E73" w:rsidRPr="00CB3E73">
        <w:rPr>
          <w:color w:val="00B0F0"/>
          <w:lang w:val="en-GB"/>
        </w:rPr>
        <w:t>Operate</w:t>
      </w:r>
      <w:r w:rsidR="00CB3E73">
        <w:rPr>
          <w:lang w:val="en-GB"/>
        </w:rPr>
        <w:t>) and improve (</w:t>
      </w:r>
      <w:r w:rsidR="00CB3E73" w:rsidRPr="00CB3E73">
        <w:rPr>
          <w:color w:val="00B0F0"/>
          <w:lang w:val="en-GB"/>
        </w:rPr>
        <w:t>Optimize</w:t>
      </w:r>
      <w:r w:rsidR="00CB3E73">
        <w:rPr>
          <w:lang w:val="en-GB"/>
        </w:rPr>
        <w:t xml:space="preserve">). </w:t>
      </w:r>
      <w:r w:rsidR="00496FDD">
        <w:rPr>
          <w:lang w:val="en-GB"/>
        </w:rPr>
        <w:t>Operate covers the capacity and performance management, while Optimize covers reclamation, rightsizing</w:t>
      </w:r>
      <w:r w:rsidR="00074F48">
        <w:rPr>
          <w:lang w:val="en-GB"/>
        </w:rPr>
        <w:t xml:space="preserve"> and upgrade. </w:t>
      </w:r>
      <w:r w:rsidR="00074F48" w:rsidRPr="00074F48">
        <w:t>Optimize also applies to infrastructure. You adjust cluster size, upgrade ESXi, migrate from traditional array to vSAN. All these increase efficiency, reduce cost, increase capacity, etc.</w:t>
      </w:r>
    </w:p>
    <w:p w14:paraId="5C382F5B" w14:textId="1F8D46E2" w:rsidR="00150129" w:rsidRDefault="006F6192" w:rsidP="00A753F3">
      <w:pPr>
        <w:rPr>
          <w:lang w:val="en-GB"/>
        </w:rPr>
      </w:pPr>
      <w:r>
        <w:rPr>
          <w:lang w:val="en-GB"/>
        </w:rPr>
        <w:t>You may end up with something like this as your initial overall design.</w:t>
      </w:r>
    </w:p>
    <w:p w14:paraId="52CDC7D5" w14:textId="7A7E0F22" w:rsidR="00150129" w:rsidRDefault="00150129" w:rsidP="00A753F3">
      <w:pPr>
        <w:rPr>
          <w:lang w:val="en-GB"/>
        </w:rPr>
      </w:pPr>
      <w:r w:rsidRPr="00150129">
        <w:rPr>
          <w:noProof/>
          <w:lang w:val="en-GB"/>
        </w:rPr>
        <w:drawing>
          <wp:inline distT="0" distB="0" distL="0" distR="0" wp14:anchorId="5117778C" wp14:editId="48137D3B">
            <wp:extent cx="6645910" cy="1629410"/>
            <wp:effectExtent l="0" t="0" r="2540" b="8890"/>
            <wp:docPr id="1583707930" name="Picture 1583707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6"/>
                    <a:stretch>
                      <a:fillRect/>
                    </a:stretch>
                  </pic:blipFill>
                  <pic:spPr>
                    <a:xfrm>
                      <a:off x="0" y="0"/>
                      <a:ext cx="6645910" cy="1629410"/>
                    </a:xfrm>
                    <a:prstGeom prst="rect">
                      <a:avLst/>
                    </a:prstGeom>
                  </pic:spPr>
                </pic:pic>
              </a:graphicData>
            </a:graphic>
          </wp:inline>
        </w:drawing>
      </w:r>
    </w:p>
    <w:p w14:paraId="28C8BF85" w14:textId="756CA95E" w:rsidR="000613B0" w:rsidRDefault="00074F48" w:rsidP="00A753F3">
      <w:pPr>
        <w:rPr>
          <w:lang w:val="en-GB"/>
        </w:rPr>
      </w:pPr>
      <w:r>
        <w:rPr>
          <w:lang w:val="en-GB"/>
        </w:rPr>
        <w:t xml:space="preserve">Once you have an overall approach, you can plan your dashboards. </w:t>
      </w:r>
      <w:r w:rsidR="006F5B37">
        <w:rPr>
          <w:lang w:val="en-GB"/>
        </w:rPr>
        <w:t xml:space="preserve">Because vSAN has many metrics and components that </w:t>
      </w:r>
      <w:r w:rsidR="003A5910">
        <w:rPr>
          <w:lang w:val="en-GB"/>
        </w:rPr>
        <w:t>need further check than a simple datastore, I need to give</w:t>
      </w:r>
      <w:r w:rsidR="00274CBF">
        <w:rPr>
          <w:lang w:val="en-GB"/>
        </w:rPr>
        <w:t xml:space="preserve"> it</w:t>
      </w:r>
      <w:r w:rsidR="003A5910">
        <w:rPr>
          <w:lang w:val="en-GB"/>
        </w:rPr>
        <w:t xml:space="preserve"> its own </w:t>
      </w:r>
      <w:r w:rsidR="00A90527">
        <w:rPr>
          <w:lang w:val="en-GB"/>
        </w:rPr>
        <w:t xml:space="preserve">set of </w:t>
      </w:r>
      <w:r w:rsidR="003A5910">
        <w:rPr>
          <w:lang w:val="en-GB"/>
        </w:rPr>
        <w:t>dashboard</w:t>
      </w:r>
      <w:r w:rsidR="00A90527">
        <w:rPr>
          <w:lang w:val="en-GB"/>
        </w:rPr>
        <w:t>s</w:t>
      </w:r>
      <w:r w:rsidR="003A5910">
        <w:rPr>
          <w:lang w:val="en-GB"/>
        </w:rPr>
        <w:t>.</w:t>
      </w:r>
      <w:r w:rsidR="00354989">
        <w:rPr>
          <w:lang w:val="en-GB"/>
        </w:rPr>
        <w:t xml:space="preserve"> There is a drill down from Storage to vSAN as not all datastores are vSAN.</w:t>
      </w:r>
      <w:r w:rsidR="005D257A">
        <w:rPr>
          <w:lang w:val="en-GB"/>
        </w:rPr>
        <w:t xml:space="preserve"> By keeping them separate, you can also add physical array dashboards, so your Storage dashboard can drill down to both vSAN </w:t>
      </w:r>
      <w:r w:rsidR="00977474">
        <w:rPr>
          <w:lang w:val="en-GB"/>
        </w:rPr>
        <w:t>and array.</w:t>
      </w:r>
    </w:p>
    <w:p w14:paraId="7B2CA2E3" w14:textId="03E3CAAF" w:rsidR="00A90527" w:rsidRDefault="009A3120" w:rsidP="00A753F3">
      <w:pPr>
        <w:rPr>
          <w:lang w:val="en-GB"/>
        </w:rPr>
      </w:pPr>
      <w:r>
        <w:rPr>
          <w:lang w:val="en-GB"/>
        </w:rPr>
        <w:t>Take time to draw your multi-dashboard</w:t>
      </w:r>
      <w:r w:rsidR="00D472E6">
        <w:rPr>
          <w:lang w:val="en-GB"/>
        </w:rPr>
        <w:t xml:space="preserve"> solution. I found it helps clarifying my thought.</w:t>
      </w:r>
      <w:r w:rsidR="00977474">
        <w:rPr>
          <w:lang w:val="en-GB"/>
        </w:rPr>
        <w:t xml:space="preserve"> </w:t>
      </w:r>
      <w:r w:rsidR="00A90527">
        <w:rPr>
          <w:lang w:val="en-GB"/>
        </w:rPr>
        <w:t xml:space="preserve">The following </w:t>
      </w:r>
      <w:r w:rsidR="00FD1A9D">
        <w:rPr>
          <w:lang w:val="en-GB"/>
        </w:rPr>
        <w:t xml:space="preserve">example shows an attempt </w:t>
      </w:r>
      <w:r w:rsidR="00A90527">
        <w:rPr>
          <w:lang w:val="en-GB"/>
        </w:rPr>
        <w:t>to connect all products, not just vSphere and vSAN. It will be interesting to connect VCF, VMware Clouds on AWS, NSX, Horizon, vSAN and vSphere together!</w:t>
      </w:r>
    </w:p>
    <w:p w14:paraId="02B01C3B" w14:textId="78C75BAB" w:rsidR="00A90527" w:rsidRDefault="00A90527" w:rsidP="00A753F3">
      <w:pPr>
        <w:rPr>
          <w:lang w:val="en-GB"/>
        </w:rPr>
      </w:pPr>
      <w:r w:rsidRPr="00A90527">
        <w:rPr>
          <w:noProof/>
          <w:lang w:val="en-GB"/>
        </w:rPr>
        <w:lastRenderedPageBreak/>
        <w:drawing>
          <wp:inline distT="0" distB="0" distL="0" distR="0" wp14:anchorId="13149E2B" wp14:editId="7B59CF5D">
            <wp:extent cx="6645910" cy="4377055"/>
            <wp:effectExtent l="0" t="0" r="2540" b="4445"/>
            <wp:docPr id="1859674501" name="Picture 1859674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7"/>
                    <a:stretch>
                      <a:fillRect/>
                    </a:stretch>
                  </pic:blipFill>
                  <pic:spPr>
                    <a:xfrm>
                      <a:off x="0" y="0"/>
                      <a:ext cx="6645910" cy="4377055"/>
                    </a:xfrm>
                    <a:prstGeom prst="rect">
                      <a:avLst/>
                    </a:prstGeom>
                  </pic:spPr>
                </pic:pic>
              </a:graphicData>
            </a:graphic>
          </wp:inline>
        </w:drawing>
      </w:r>
    </w:p>
    <w:p w14:paraId="3AE6788F" w14:textId="2DC9CB2D" w:rsidR="009A3120" w:rsidRDefault="00A90527" w:rsidP="00A753F3">
      <w:pPr>
        <w:rPr>
          <w:lang w:val="en-GB"/>
        </w:rPr>
      </w:pPr>
      <w:r>
        <w:rPr>
          <w:lang w:val="en-GB"/>
        </w:rPr>
        <w:t xml:space="preserve">You can and should also organise by function, not just by VMware products. In the following example, I group them into 2 (Provider and Consumer). I added Optimization as the lines became too complex. </w:t>
      </w:r>
      <w:r w:rsidR="00977474">
        <w:rPr>
          <w:lang w:val="en-GB"/>
        </w:rPr>
        <w:t>By working at this logical level, it</w:t>
      </w:r>
      <w:r w:rsidR="00DF6252">
        <w:rPr>
          <w:lang w:val="en-GB"/>
        </w:rPr>
        <w:t xml:space="preserve"> </w:t>
      </w:r>
      <w:r w:rsidR="00977474">
        <w:rPr>
          <w:lang w:val="en-GB"/>
        </w:rPr>
        <w:t xml:space="preserve">also helps me spot if there is inconsistency. </w:t>
      </w:r>
      <w:r w:rsidR="00DF6252">
        <w:rPr>
          <w:lang w:val="en-GB"/>
        </w:rPr>
        <w:t>Having gone multiple rounds, I ended up with something like this.</w:t>
      </w:r>
    </w:p>
    <w:p w14:paraId="7088A0D5" w14:textId="4812C5F4" w:rsidR="00A753F3" w:rsidRDefault="000613B0" w:rsidP="007232DC">
      <w:pPr>
        <w:rPr>
          <w:lang w:val="en-GB"/>
        </w:rPr>
      </w:pPr>
      <w:r w:rsidRPr="000613B0">
        <w:rPr>
          <w:noProof/>
          <w:lang w:val="en-GB"/>
        </w:rPr>
        <w:lastRenderedPageBreak/>
        <w:drawing>
          <wp:inline distT="0" distB="0" distL="0" distR="0" wp14:anchorId="302A66A6" wp14:editId="2EB82776">
            <wp:extent cx="6645910" cy="4570095"/>
            <wp:effectExtent l="0" t="0" r="2540" b="1905"/>
            <wp:docPr id="1583707931" name="Picture 1583707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8"/>
                    <a:stretch>
                      <a:fillRect/>
                    </a:stretch>
                  </pic:blipFill>
                  <pic:spPr>
                    <a:xfrm>
                      <a:off x="0" y="0"/>
                      <a:ext cx="6645910" cy="4570095"/>
                    </a:xfrm>
                    <a:prstGeom prst="rect">
                      <a:avLst/>
                    </a:prstGeom>
                  </pic:spPr>
                </pic:pic>
              </a:graphicData>
            </a:graphic>
          </wp:inline>
        </w:drawing>
      </w:r>
    </w:p>
    <w:p w14:paraId="6E937F07" w14:textId="514D2DBC" w:rsidR="005F6324" w:rsidRDefault="005F6324" w:rsidP="00A753F3">
      <w:pPr>
        <w:rPr>
          <w:lang w:val="en-GB"/>
        </w:rPr>
      </w:pPr>
      <w:r>
        <w:rPr>
          <w:lang w:val="en-GB"/>
        </w:rPr>
        <w:t>Notice something missing?</w:t>
      </w:r>
    </w:p>
    <w:p w14:paraId="7C810E3A" w14:textId="38796EAC" w:rsidR="005F6324" w:rsidRDefault="005F6324" w:rsidP="00A753F3">
      <w:pPr>
        <w:rPr>
          <w:lang w:val="en-GB"/>
        </w:rPr>
      </w:pPr>
      <w:r>
        <w:rPr>
          <w:lang w:val="en-GB"/>
        </w:rPr>
        <w:t xml:space="preserve">I do not have Network. </w:t>
      </w:r>
      <w:r w:rsidR="00555F95">
        <w:rPr>
          <w:lang w:val="en-GB"/>
        </w:rPr>
        <w:t xml:space="preserve">I cover in Part 2 Chapter </w:t>
      </w:r>
      <w:r w:rsidR="001B4C4F">
        <w:rPr>
          <w:lang w:val="en-GB"/>
        </w:rPr>
        <w:t xml:space="preserve">5 </w:t>
      </w:r>
      <w:r w:rsidR="00555F95">
        <w:rPr>
          <w:lang w:val="en-GB"/>
        </w:rPr>
        <w:t>Network Metric</w:t>
      </w:r>
      <w:r w:rsidR="001B4C4F">
        <w:rPr>
          <w:lang w:val="en-GB"/>
        </w:rPr>
        <w:t xml:space="preserve"> that the nature of network means its capacity model is </w:t>
      </w:r>
      <w:r w:rsidR="006832E0">
        <w:rPr>
          <w:lang w:val="en-GB"/>
        </w:rPr>
        <w:t>largely a non issue. You focus more on performance</w:t>
      </w:r>
      <w:r w:rsidR="00A212C0">
        <w:rPr>
          <w:lang w:val="en-GB"/>
        </w:rPr>
        <w:t xml:space="preserve"> as you do not tolerate network dropped in your data center. </w:t>
      </w:r>
      <w:r w:rsidR="00E06828">
        <w:rPr>
          <w:lang w:val="en-GB"/>
        </w:rPr>
        <w:t xml:space="preserve">I plan to include Network Performance after I consider integrating NSX. If you </w:t>
      </w:r>
      <w:r w:rsidR="00F202E0">
        <w:rPr>
          <w:lang w:val="en-GB"/>
        </w:rPr>
        <w:t>have an idea on how to enhance the current dashboard</w:t>
      </w:r>
      <w:r w:rsidR="00E06828">
        <w:rPr>
          <w:lang w:val="en-GB"/>
        </w:rPr>
        <w:t>, let’s collaborate!</w:t>
      </w:r>
    </w:p>
    <w:p w14:paraId="25979247" w14:textId="3B5A0361" w:rsidR="00E60D63" w:rsidRDefault="00E60D63" w:rsidP="00A753F3">
      <w:pPr>
        <w:rPr>
          <w:lang w:val="en-GB"/>
        </w:rPr>
      </w:pPr>
      <w:r>
        <w:rPr>
          <w:lang w:val="en-GB"/>
        </w:rPr>
        <w:t xml:space="preserve">From the above, why </w:t>
      </w:r>
      <w:r w:rsidR="0031450E">
        <w:rPr>
          <w:lang w:val="en-GB"/>
        </w:rPr>
        <w:t>are</w:t>
      </w:r>
      <w:r>
        <w:rPr>
          <w:lang w:val="en-GB"/>
        </w:rPr>
        <w:t xml:space="preserve"> ESXi and Resource Pool missing?</w:t>
      </w:r>
    </w:p>
    <w:p w14:paraId="152C0B15" w14:textId="5344671E" w:rsidR="00E60D63" w:rsidRDefault="00E60D63" w:rsidP="00A753F3">
      <w:pPr>
        <w:rPr>
          <w:lang w:val="en-GB"/>
        </w:rPr>
      </w:pPr>
      <w:r>
        <w:rPr>
          <w:lang w:val="en-GB"/>
        </w:rPr>
        <w:t>The reason is the</w:t>
      </w:r>
      <w:r w:rsidR="003D72E3">
        <w:rPr>
          <w:lang w:val="en-GB"/>
        </w:rPr>
        <w:t xml:space="preserve">y are part of cluster. Instead of separate dashboard, I feel </w:t>
      </w:r>
      <w:r w:rsidR="00E03F47">
        <w:rPr>
          <w:lang w:val="en-GB"/>
        </w:rPr>
        <w:t xml:space="preserve">adding it into the cluster dashboard will increase usability. </w:t>
      </w:r>
      <w:r w:rsidR="0095653C">
        <w:rPr>
          <w:lang w:val="en-GB"/>
        </w:rPr>
        <w:t>The drawback is it does not cover standalone ESXi.</w:t>
      </w:r>
    </w:p>
    <w:p w14:paraId="448EFD45" w14:textId="7A5BF7BC" w:rsidR="00A753F3" w:rsidRDefault="00A753F3" w:rsidP="00A753F3">
      <w:pPr>
        <w:rPr>
          <w:lang w:val="en-GB"/>
        </w:rPr>
      </w:pPr>
      <w:r w:rsidRPr="4C8B4F60">
        <w:rPr>
          <w:lang w:val="en-GB"/>
        </w:rPr>
        <w:t xml:space="preserve">Once you design the overall flow, you implement it on each dashboard. Here is an example, where this dashboard drills down into </w:t>
      </w:r>
      <w:r w:rsidR="00697896">
        <w:rPr>
          <w:lang w:val="en-GB"/>
        </w:rPr>
        <w:t xml:space="preserve">6 </w:t>
      </w:r>
      <w:r w:rsidRPr="4C8B4F60">
        <w:rPr>
          <w:lang w:val="en-GB"/>
        </w:rPr>
        <w:t>other dashboards.</w:t>
      </w:r>
    </w:p>
    <w:p w14:paraId="3C971D81" w14:textId="1491F0A8" w:rsidR="00A753F3" w:rsidRDefault="00697896" w:rsidP="00A753F3">
      <w:pPr>
        <w:rPr>
          <w:lang w:val="en-GB"/>
        </w:rPr>
      </w:pPr>
      <w:r w:rsidRPr="00697896">
        <w:rPr>
          <w:noProof/>
          <w:lang w:val="en-GB"/>
        </w:rPr>
        <w:lastRenderedPageBreak/>
        <w:drawing>
          <wp:inline distT="0" distB="0" distL="0" distR="0" wp14:anchorId="3D2A4E75" wp14:editId="7CCD2580">
            <wp:extent cx="6645910" cy="2912110"/>
            <wp:effectExtent l="0" t="0" r="2540" b="2540"/>
            <wp:docPr id="1085195918" name="Picture 1085195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9"/>
                    <a:stretch>
                      <a:fillRect/>
                    </a:stretch>
                  </pic:blipFill>
                  <pic:spPr>
                    <a:xfrm>
                      <a:off x="0" y="0"/>
                      <a:ext cx="6645910" cy="2912110"/>
                    </a:xfrm>
                    <a:prstGeom prst="rect">
                      <a:avLst/>
                    </a:prstGeom>
                  </pic:spPr>
                </pic:pic>
              </a:graphicData>
            </a:graphic>
          </wp:inline>
        </w:drawing>
      </w:r>
    </w:p>
    <w:p w14:paraId="3DCA1B39" w14:textId="3C817615" w:rsidR="00697896" w:rsidRPr="00411520" w:rsidRDefault="00697896" w:rsidP="00A753F3">
      <w:pPr>
        <w:rPr>
          <w:lang w:val="en-GB"/>
        </w:rPr>
      </w:pPr>
      <w:r>
        <w:rPr>
          <w:lang w:val="en-GB"/>
        </w:rPr>
        <w:t xml:space="preserve">The screenshot shows the drilldown 1 dashboard at a time, hence I chose the last dashboard else the first 5 could not be captured </w:t>
      </w:r>
      <w:r w:rsidRPr="00697896">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r>
        <w:rPr>
          <w:lang w:val="en-GB"/>
        </w:rPr>
        <w:t xml:space="preserve"> </w:t>
      </w:r>
    </w:p>
    <w:p w14:paraId="13BDF70A" w14:textId="56329B41" w:rsidR="00694BC1" w:rsidRDefault="00E440AB" w:rsidP="00694BC1">
      <w:pPr>
        <w:pStyle w:val="Heading3"/>
        <w:rPr>
          <w:rStyle w:val="eop"/>
        </w:rPr>
      </w:pPr>
      <w:bookmarkStart w:id="144" w:name="_Performance_Dashboards_1"/>
      <w:bookmarkEnd w:id="144"/>
      <w:r>
        <w:rPr>
          <w:rStyle w:val="eop"/>
        </w:rPr>
        <w:t>Dashboards in Real World</w:t>
      </w:r>
    </w:p>
    <w:p w14:paraId="1AE13A58" w14:textId="77FD0F6F" w:rsidR="00694BC1" w:rsidRDefault="00694BC1" w:rsidP="00694BC1">
      <w:pPr>
        <w:rPr>
          <w:lang w:val="en-GB"/>
        </w:rPr>
      </w:pPr>
      <w:r>
        <w:rPr>
          <w:lang w:val="en-GB"/>
        </w:rPr>
        <w:t xml:space="preserve">Ok, enough of theory </w:t>
      </w:r>
      <w:r w:rsidRPr="00694BC1">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r>
        <w:rPr>
          <w:lang w:val="en-GB"/>
        </w:rPr>
        <w:t xml:space="preserve"> How do you apply all those in real world </w:t>
      </w:r>
      <w:r w:rsidR="00E440AB">
        <w:rPr>
          <w:lang w:val="en-GB"/>
        </w:rPr>
        <w:t>operations management when there are many system to manage and many roles are involved</w:t>
      </w:r>
      <w:r>
        <w:rPr>
          <w:lang w:val="en-GB"/>
        </w:rPr>
        <w:t>?</w:t>
      </w:r>
    </w:p>
    <w:p w14:paraId="46380839" w14:textId="2AD42876" w:rsidR="00694BC1" w:rsidRDefault="00694BC1" w:rsidP="00694BC1">
      <w:pPr>
        <w:rPr>
          <w:lang w:val="en-GB"/>
        </w:rPr>
      </w:pPr>
      <w:r>
        <w:rPr>
          <w:lang w:val="en-GB"/>
        </w:rPr>
        <w:t xml:space="preserve">You need to have some consistency, so users need not learn repeatedly. </w:t>
      </w:r>
      <w:r w:rsidR="00BB3CE7">
        <w:rPr>
          <w:lang w:val="en-GB"/>
        </w:rPr>
        <w:t>I</w:t>
      </w:r>
      <w:r w:rsidR="00BB3CE7" w:rsidRPr="00A452F2">
        <w:rPr>
          <w:rStyle w:val="eop"/>
          <w:rFonts w:ascii="Calibri" w:hAnsi="Calibri" w:cs="Calibri"/>
          <w:lang w:val="en-GB"/>
        </w:rPr>
        <w:t>t will be confusing if each dashboard looks totally different from one another, considering they have the same objective.</w:t>
      </w:r>
      <w:r w:rsidR="00BB3CE7">
        <w:rPr>
          <w:rStyle w:val="eop"/>
          <w:rFonts w:ascii="Calibri" w:hAnsi="Calibri" w:cs="Calibri"/>
          <w:lang w:val="en-GB"/>
        </w:rPr>
        <w:t xml:space="preserve"> </w:t>
      </w:r>
      <w:r w:rsidR="00BB3CE7">
        <w:rPr>
          <w:lang w:val="en-GB"/>
        </w:rPr>
        <w:t xml:space="preserve">Apply some design standards for different pillars of operations. After all, performance is performance, whether it’s Kubernetes or Amazon Web Services is a matter of objects and metrics. </w:t>
      </w:r>
    </w:p>
    <w:p w14:paraId="4ED631CC" w14:textId="623A8918" w:rsidR="00694BC1" w:rsidRPr="00694BC1" w:rsidRDefault="00694BC1" w:rsidP="00694BC1">
      <w:pPr>
        <w:pStyle w:val="Heading4"/>
      </w:pPr>
      <w:r>
        <w:t xml:space="preserve">Performance Dashboards </w:t>
      </w:r>
    </w:p>
    <w:p w14:paraId="79BAF97F" w14:textId="77777777" w:rsidR="00694BC1" w:rsidRDefault="00694BC1" w:rsidP="00694BC1">
      <w:pPr>
        <w:rPr>
          <w:rStyle w:val="eop"/>
          <w:rFonts w:ascii="Calibri" w:hAnsi="Calibri" w:cs="Calibri"/>
          <w:lang w:val="en-GB"/>
        </w:rPr>
      </w:pPr>
      <w:r w:rsidRPr="00A452F2">
        <w:rPr>
          <w:lang w:val="en-GB"/>
        </w:rPr>
        <w:t>They are designed for both day-to-day operations</w:t>
      </w:r>
      <w:r>
        <w:rPr>
          <w:lang w:val="en-GB"/>
        </w:rPr>
        <w:t xml:space="preserve"> (proactive monitoring)</w:t>
      </w:r>
      <w:r w:rsidRPr="00A452F2">
        <w:rPr>
          <w:lang w:val="en-GB"/>
        </w:rPr>
        <w:t>, and ad</w:t>
      </w:r>
      <w:r>
        <w:rPr>
          <w:lang w:val="en-GB"/>
        </w:rPr>
        <w:t>-</w:t>
      </w:r>
      <w:r w:rsidRPr="00A452F2">
        <w:rPr>
          <w:lang w:val="en-GB"/>
        </w:rPr>
        <w:t xml:space="preserve">hoc </w:t>
      </w:r>
      <w:r>
        <w:rPr>
          <w:lang w:val="en-GB"/>
        </w:rPr>
        <w:t xml:space="preserve">reactive </w:t>
      </w:r>
      <w:r w:rsidRPr="00A452F2">
        <w:rPr>
          <w:lang w:val="en-GB"/>
        </w:rPr>
        <w:t xml:space="preserve">troubleshooting. </w:t>
      </w:r>
      <w:r>
        <w:rPr>
          <w:lang w:val="en-GB"/>
        </w:rPr>
        <w:t>As a result, it’s an advanced dashboard, not designed for Level 1 Support. The target persona are</w:t>
      </w:r>
      <w:r w:rsidRPr="4C8B4F60">
        <w:rPr>
          <w:lang w:val="en-GB"/>
        </w:rPr>
        <w:t xml:space="preserve"> VMware Administrators or Architects</w:t>
      </w:r>
      <w:r>
        <w:rPr>
          <w:lang w:val="en-GB"/>
        </w:rPr>
        <w:t>.</w:t>
      </w:r>
    </w:p>
    <w:p w14:paraId="15026630" w14:textId="77777777" w:rsidR="00694BC1" w:rsidRDefault="00694BC1" w:rsidP="00694BC1">
      <w:pPr>
        <w:rPr>
          <w:rStyle w:val="eop"/>
          <w:rFonts w:ascii="Calibri" w:hAnsi="Calibri" w:cs="Calibri"/>
          <w:lang w:val="en-GB"/>
        </w:rPr>
      </w:pPr>
      <w:r>
        <w:rPr>
          <w:lang w:val="en-GB"/>
        </w:rPr>
        <w:lastRenderedPageBreak/>
        <w:t xml:space="preserve">The </w:t>
      </w:r>
      <w:r w:rsidRPr="00A452F2">
        <w:rPr>
          <w:lang w:val="en-GB"/>
        </w:rPr>
        <w:t xml:space="preserve">dashboards </w:t>
      </w:r>
      <w:r w:rsidRPr="00A452F2">
        <w:rPr>
          <w:rStyle w:val="eop"/>
          <w:rFonts w:ascii="Calibri" w:hAnsi="Calibri" w:cs="Calibri"/>
          <w:lang w:val="en-GB"/>
        </w:rPr>
        <w:t>share the same design principles</w:t>
      </w:r>
      <w:r>
        <w:rPr>
          <w:rStyle w:val="eop"/>
          <w:rFonts w:ascii="Calibri" w:hAnsi="Calibri" w:cs="Calibri"/>
          <w:lang w:val="en-GB"/>
        </w:rPr>
        <w:t>, hence t</w:t>
      </w:r>
      <w:r w:rsidRPr="00A452F2">
        <w:rPr>
          <w:rStyle w:val="eop"/>
          <w:rFonts w:ascii="Calibri" w:hAnsi="Calibri" w:cs="Calibri"/>
          <w:lang w:val="en-GB"/>
        </w:rPr>
        <w:t>hey are intentionally designed to be similar</w:t>
      </w:r>
      <w:r>
        <w:rPr>
          <w:rStyle w:val="eop"/>
          <w:rFonts w:ascii="Calibri" w:hAnsi="Calibri" w:cs="Calibri"/>
          <w:lang w:val="en-GB"/>
        </w:rPr>
        <w:t>. I</w:t>
      </w:r>
      <w:r w:rsidRPr="00A452F2">
        <w:rPr>
          <w:rStyle w:val="eop"/>
          <w:rFonts w:ascii="Calibri" w:hAnsi="Calibri" w:cs="Calibri"/>
          <w:lang w:val="en-GB"/>
        </w:rPr>
        <w:t xml:space="preserve">t will be confusing if each dashboard looks totally different from one another, considering they have the same objective. </w:t>
      </w:r>
      <w:r>
        <w:rPr>
          <w:rStyle w:val="eop"/>
          <w:rFonts w:ascii="Calibri" w:hAnsi="Calibri" w:cs="Calibri"/>
          <w:lang w:val="en-GB"/>
        </w:rPr>
        <w:t xml:space="preserve">To avoid repeating the explanation, read the VM Performance dashboard before reviewing others. </w:t>
      </w:r>
    </w:p>
    <w:p w14:paraId="18170C64" w14:textId="77777777" w:rsidR="00694BC1" w:rsidRPr="00643D14" w:rsidRDefault="00694BC1" w:rsidP="00694BC1">
      <w:pPr>
        <w:rPr>
          <w:lang w:val="en-GB"/>
        </w:rPr>
      </w:pPr>
      <w:r>
        <w:rPr>
          <w:lang w:val="en-GB"/>
        </w:rPr>
        <w:t>A good dashboard answers a set of questions. So jot down the questions. Be specific, including the metric and threshold. Examples of questions answered by the dashboards:</w:t>
      </w:r>
    </w:p>
    <w:p w14:paraId="474320B5" w14:textId="0ACD83A7" w:rsidR="00694BC1" w:rsidRPr="009245A5" w:rsidRDefault="00694BC1" w:rsidP="00694BC1">
      <w:pPr>
        <w:pStyle w:val="Bullet"/>
      </w:pPr>
      <w:r w:rsidRPr="00A452F2">
        <w:rPr>
          <w:lang w:val="en-GB"/>
        </w:rPr>
        <w:t xml:space="preserve">Are </w:t>
      </w:r>
      <w:r w:rsidRPr="009245A5">
        <w:t xml:space="preserve">the </w:t>
      </w:r>
      <w:r w:rsidR="00781889">
        <w:t xml:space="preserve">K8 pods </w:t>
      </w:r>
      <w:r w:rsidRPr="009245A5">
        <w:t xml:space="preserve">performing well? If not, which </w:t>
      </w:r>
      <w:r w:rsidR="00781889">
        <w:t xml:space="preserve">pods </w:t>
      </w:r>
      <w:r w:rsidRPr="009245A5">
        <w:t>are affected by what problems (CPU, Disk, RAM, Network)?</w:t>
      </w:r>
    </w:p>
    <w:p w14:paraId="754AAB6C" w14:textId="77777777" w:rsidR="00694BC1" w:rsidRPr="009245A5" w:rsidRDefault="00694BC1" w:rsidP="00694BC1">
      <w:pPr>
        <w:pStyle w:val="Bullet"/>
      </w:pPr>
      <w:r w:rsidRPr="009245A5">
        <w:t>Is the VM performance caused by IaaS not serving it, or by contention within the Guest OS?</w:t>
      </w:r>
    </w:p>
    <w:p w14:paraId="4C9F4F1C" w14:textId="77777777" w:rsidR="00694BC1" w:rsidRPr="009245A5" w:rsidRDefault="00694BC1" w:rsidP="00694BC1">
      <w:pPr>
        <w:pStyle w:val="Bullet"/>
      </w:pPr>
      <w:r w:rsidRPr="009245A5">
        <w:t>Are the VMs running high utilization? If yes, which VMs, how high, and what resource (CPU, RAM, Disk, Network)?</w:t>
      </w:r>
    </w:p>
    <w:p w14:paraId="16AACF33" w14:textId="77777777" w:rsidR="00694BC1" w:rsidRPr="00A452F2" w:rsidRDefault="00694BC1" w:rsidP="00694BC1">
      <w:pPr>
        <w:pStyle w:val="Bullet"/>
        <w:rPr>
          <w:lang w:val="en-GB"/>
        </w:rPr>
      </w:pPr>
      <w:r w:rsidRPr="009245A5">
        <w:t>Are</w:t>
      </w:r>
      <w:r w:rsidRPr="00A452F2">
        <w:rPr>
          <w:lang w:val="en-GB"/>
        </w:rPr>
        <w:t xml:space="preserve"> they really high</w:t>
      </w:r>
      <w:r>
        <w:rPr>
          <w:lang w:val="en-GB"/>
        </w:rPr>
        <w:t xml:space="preserve"> relative to the underlying IaaS capacity</w:t>
      </w:r>
      <w:r w:rsidRPr="00A452F2">
        <w:rPr>
          <w:lang w:val="en-GB"/>
        </w:rPr>
        <w:t>?</w:t>
      </w:r>
      <w:r>
        <w:rPr>
          <w:lang w:val="en-GB"/>
        </w:rPr>
        <w:t xml:space="preserve"> T</w:t>
      </w:r>
      <w:r w:rsidRPr="00A452F2">
        <w:rPr>
          <w:lang w:val="en-GB"/>
        </w:rPr>
        <w:t>hat can cause strain in the shared infrastructure</w:t>
      </w:r>
      <w:r>
        <w:rPr>
          <w:lang w:val="en-GB"/>
        </w:rPr>
        <w:t>.</w:t>
      </w:r>
    </w:p>
    <w:p w14:paraId="31DB8BD4" w14:textId="77777777" w:rsidR="00694BC1" w:rsidRDefault="00694BC1" w:rsidP="00694BC1">
      <w:pPr>
        <w:rPr>
          <w:rStyle w:val="eop"/>
          <w:rFonts w:ascii="Calibri" w:hAnsi="Calibri" w:cs="Calibri"/>
          <w:lang w:val="en-GB"/>
        </w:rPr>
      </w:pPr>
      <w:r>
        <w:rPr>
          <w:rStyle w:val="eop"/>
          <w:rFonts w:ascii="Calibri" w:hAnsi="Calibri" w:cs="Calibri"/>
          <w:lang w:val="en-GB"/>
        </w:rPr>
        <w:t>There are 2 types of performance troubleshooting</w:t>
      </w:r>
    </w:p>
    <w:p w14:paraId="4E90159D" w14:textId="77777777" w:rsidR="00694BC1" w:rsidRPr="002D4FD6" w:rsidRDefault="00694BC1" w:rsidP="00694BC1">
      <w:pPr>
        <w:pStyle w:val="Bullet"/>
        <w:rPr>
          <w:rStyle w:val="eop"/>
          <w:rFonts w:ascii="Calibri" w:hAnsi="Calibri" w:cs="Calibri"/>
          <w:lang w:val="en-GB"/>
        </w:rPr>
      </w:pPr>
      <w:r>
        <w:rPr>
          <w:rStyle w:val="eop"/>
          <w:rFonts w:ascii="Calibri" w:hAnsi="Calibri" w:cs="Calibri"/>
          <w:lang w:val="en-GB"/>
        </w:rPr>
        <w:t xml:space="preserve">Consumer. You focus on a single VM, container or application. Other consumers do not have a problem, or they are independent. </w:t>
      </w:r>
    </w:p>
    <w:p w14:paraId="0899FA76" w14:textId="77777777" w:rsidR="00694BC1" w:rsidRDefault="00694BC1" w:rsidP="00694BC1">
      <w:pPr>
        <w:pStyle w:val="Bullet"/>
        <w:rPr>
          <w:rStyle w:val="eop"/>
          <w:rFonts w:ascii="Calibri" w:hAnsi="Calibri" w:cs="Calibri"/>
          <w:lang w:val="en-GB"/>
        </w:rPr>
      </w:pPr>
      <w:r>
        <w:rPr>
          <w:rStyle w:val="eop"/>
          <w:rFonts w:ascii="Calibri" w:hAnsi="Calibri" w:cs="Calibri"/>
          <w:lang w:val="en-GB"/>
        </w:rPr>
        <w:t>Provider. You focus on the shared infrastructure as the problems impact many consumers. It could be hitting them at random, meaning different VMs/Applications got hit at different time.</w:t>
      </w:r>
    </w:p>
    <w:p w14:paraId="162A2CDA" w14:textId="77777777" w:rsidR="00694BC1" w:rsidRDefault="00694BC1" w:rsidP="00694BC1">
      <w:pPr>
        <w:rPr>
          <w:rStyle w:val="eop"/>
          <w:rFonts w:ascii="Calibri" w:hAnsi="Calibri" w:cs="Calibri"/>
          <w:lang w:val="en-GB"/>
        </w:rPr>
      </w:pPr>
      <w:r w:rsidRPr="00A452F2">
        <w:rPr>
          <w:rStyle w:val="eop"/>
          <w:rFonts w:ascii="Calibri" w:hAnsi="Calibri" w:cs="Calibri"/>
          <w:lang w:val="en-GB"/>
        </w:rPr>
        <w:t xml:space="preserve">At the infrastructure layer, we care whether it serves everyone well. Make sure that there is no contention for resource among all the VMs in the platform. Only when the infrastructure is clear from contention can we troubleshoot a particular VM. If the infrastructure is having a hard time serving majority of the VMs, there is no point troubleshooting a particular VM. Notice all the previous sentences are about the VM. Yes, the infrastructure </w:t>
      </w:r>
      <w:r>
        <w:rPr>
          <w:rStyle w:val="eop"/>
          <w:rFonts w:ascii="Calibri" w:hAnsi="Calibri" w:cs="Calibri"/>
          <w:lang w:val="en-GB"/>
        </w:rPr>
        <w:t>metrics</w:t>
      </w:r>
      <w:r w:rsidRPr="00A452F2">
        <w:rPr>
          <w:rStyle w:val="eop"/>
          <w:rFonts w:ascii="Calibri" w:hAnsi="Calibri" w:cs="Calibri"/>
          <w:lang w:val="en-GB"/>
        </w:rPr>
        <w:t xml:space="preserve"> are </w:t>
      </w:r>
      <w:r w:rsidRPr="005D08AA">
        <w:rPr>
          <w:rStyle w:val="eop"/>
          <w:rFonts w:ascii="Calibri" w:hAnsi="Calibri" w:cs="Calibri"/>
          <w:i/>
          <w:iCs/>
          <w:color w:val="FF0000"/>
          <w:lang w:val="en-GB"/>
        </w:rPr>
        <w:t>not</w:t>
      </w:r>
      <w:r w:rsidRPr="000A6876">
        <w:rPr>
          <w:rStyle w:val="eop"/>
          <w:rFonts w:ascii="Calibri" w:hAnsi="Calibri" w:cs="Calibri"/>
          <w:color w:val="FF0000"/>
          <w:lang w:val="en-GB"/>
        </w:rPr>
        <w:t xml:space="preserve"> </w:t>
      </w:r>
      <w:r w:rsidRPr="00A452F2">
        <w:rPr>
          <w:rStyle w:val="eop"/>
          <w:rFonts w:ascii="Calibri" w:hAnsi="Calibri" w:cs="Calibri"/>
          <w:lang w:val="en-GB"/>
        </w:rPr>
        <w:t>that relevant.</w:t>
      </w:r>
    </w:p>
    <w:p w14:paraId="6B077292" w14:textId="77777777" w:rsidR="00694BC1" w:rsidRDefault="00694BC1" w:rsidP="00694BC1">
      <w:pPr>
        <w:rPr>
          <w:lang w:val="en-GB"/>
        </w:rPr>
      </w:pPr>
      <w:r>
        <w:rPr>
          <w:lang w:val="en-GB"/>
        </w:rPr>
        <w:t xml:space="preserve">Monitoring is </w:t>
      </w:r>
      <w:r w:rsidRPr="00A452F2">
        <w:rPr>
          <w:lang w:val="en-GB"/>
        </w:rPr>
        <w:t xml:space="preserve">part of your </w:t>
      </w:r>
      <w:hyperlink r:id="rId1020" w:history="1">
        <w:r w:rsidRPr="00E427E3">
          <w:rPr>
            <w:rStyle w:val="Hyperlink"/>
          </w:rPr>
          <w:t>Standard Operating Procedure</w:t>
        </w:r>
      </w:hyperlink>
      <w:r>
        <w:t xml:space="preserve"> (SOP)</w:t>
      </w:r>
      <w:r w:rsidRPr="00A452F2">
        <w:rPr>
          <w:lang w:val="en-GB"/>
        </w:rPr>
        <w:t xml:space="preserve">. </w:t>
      </w:r>
    </w:p>
    <w:p w14:paraId="17C340E7" w14:textId="77777777" w:rsidR="00694BC1" w:rsidRDefault="00694BC1" w:rsidP="00694BC1">
      <w:pPr>
        <w:rPr>
          <w:lang w:val="en-GB"/>
        </w:rPr>
      </w:pPr>
      <w:r>
        <w:rPr>
          <w:lang w:val="en-GB"/>
        </w:rPr>
        <w:t>D</w:t>
      </w:r>
      <w:r w:rsidRPr="00A452F2">
        <w:rPr>
          <w:lang w:val="en-GB"/>
        </w:rPr>
        <w:t>esign</w:t>
      </w:r>
      <w:r>
        <w:rPr>
          <w:lang w:val="en-GB"/>
        </w:rPr>
        <w:t xml:space="preserve"> it</w:t>
      </w:r>
      <w:r w:rsidRPr="00A452F2">
        <w:rPr>
          <w:lang w:val="en-GB"/>
        </w:rPr>
        <w:t xml:space="preserve"> to be used </w:t>
      </w:r>
      <w:r w:rsidRPr="001200CF">
        <w:rPr>
          <w:i/>
          <w:iCs/>
          <w:color w:val="00B050"/>
          <w:lang w:val="en-GB"/>
        </w:rPr>
        <w:t>daily</w:t>
      </w:r>
      <w:r w:rsidRPr="00A452F2">
        <w:rPr>
          <w:lang w:val="en-GB"/>
        </w:rPr>
        <w:t xml:space="preserve">, hence the views are set to show data in the last </w:t>
      </w:r>
      <w:r>
        <w:rPr>
          <w:lang w:val="en-GB"/>
        </w:rPr>
        <w:t xml:space="preserve">8 - </w:t>
      </w:r>
      <w:r w:rsidRPr="00A452F2">
        <w:rPr>
          <w:lang w:val="en-GB"/>
        </w:rPr>
        <w:t xml:space="preserve">24 hours. </w:t>
      </w:r>
      <w:r>
        <w:rPr>
          <w:lang w:val="en-GB"/>
        </w:rPr>
        <w:t xml:space="preserve">This is </w:t>
      </w:r>
      <w:r w:rsidRPr="00A452F2">
        <w:rPr>
          <w:rFonts w:eastAsia="Times New Roman"/>
          <w:lang w:val="en-GB"/>
        </w:rPr>
        <w:t>to encourage daily usage, as what happens beyond 24 hours ago</w:t>
      </w:r>
      <w:r>
        <w:rPr>
          <w:rFonts w:eastAsia="Times New Roman"/>
          <w:lang w:val="en-GB"/>
        </w:rPr>
        <w:t xml:space="preserve"> may be</w:t>
      </w:r>
      <w:r w:rsidRPr="00A452F2">
        <w:rPr>
          <w:rFonts w:eastAsia="Times New Roman"/>
          <w:lang w:val="en-GB"/>
        </w:rPr>
        <w:t xml:space="preserve"> practically irrelevant from performance troubleshooting viewpoint</w:t>
      </w:r>
      <w:r>
        <w:rPr>
          <w:rFonts w:eastAsia="Times New Roman"/>
          <w:lang w:val="en-GB"/>
        </w:rPr>
        <w:t>.</w:t>
      </w:r>
    </w:p>
    <w:p w14:paraId="389DAD1E" w14:textId="77777777" w:rsidR="00694BC1" w:rsidRDefault="00694BC1" w:rsidP="00694BC1">
      <w:pPr>
        <w:rPr>
          <w:lang w:val="en-GB"/>
        </w:rPr>
      </w:pPr>
      <w:r>
        <w:rPr>
          <w:lang w:val="en-GB"/>
        </w:rPr>
        <w:t>Design so that y</w:t>
      </w:r>
      <w:r w:rsidRPr="00A452F2">
        <w:rPr>
          <w:lang w:val="en-GB"/>
        </w:rPr>
        <w:t xml:space="preserve">ou can </w:t>
      </w:r>
      <w:r>
        <w:rPr>
          <w:lang w:val="en-GB"/>
        </w:rPr>
        <w:t xml:space="preserve">see trend over time, and </w:t>
      </w:r>
      <w:r w:rsidRPr="00A452F2">
        <w:rPr>
          <w:lang w:val="en-GB"/>
        </w:rPr>
        <w:t xml:space="preserve">go back to any point in time. This is important as by the time you have the chance to look at the problem, 5 minutes have passed, or the problem </w:t>
      </w:r>
      <w:r>
        <w:rPr>
          <w:lang w:val="en-GB"/>
        </w:rPr>
        <w:t xml:space="preserve">is </w:t>
      </w:r>
      <w:r w:rsidRPr="00A452F2">
        <w:rPr>
          <w:lang w:val="en-GB"/>
        </w:rPr>
        <w:t>no longer happening.</w:t>
      </w:r>
    </w:p>
    <w:p w14:paraId="14073184" w14:textId="77777777" w:rsidR="00694BC1" w:rsidRDefault="00694BC1" w:rsidP="00694BC1">
      <w:pPr>
        <w:rPr>
          <w:rStyle w:val="eop"/>
          <w:rFonts w:ascii="Calibri" w:hAnsi="Calibri" w:cs="Calibri"/>
          <w:lang w:val="en-GB"/>
        </w:rPr>
      </w:pPr>
      <w:r>
        <w:rPr>
          <w:rStyle w:val="eop"/>
          <w:rFonts w:ascii="Calibri" w:hAnsi="Calibri" w:cs="Calibri"/>
          <w:lang w:val="en-GB"/>
        </w:rPr>
        <w:t xml:space="preserve">Logically split the dashboard into 3 parts: </w:t>
      </w:r>
    </w:p>
    <w:p w14:paraId="730351B8" w14:textId="77777777" w:rsidR="00694BC1" w:rsidRDefault="00694BC1" w:rsidP="00694BC1">
      <w:pPr>
        <w:pStyle w:val="BeforeTable"/>
        <w:rPr>
          <w:rStyle w:val="eop"/>
          <w:rFonts w:ascii="Calibri" w:hAnsi="Calibri" w:cs="Calibri"/>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8471"/>
      </w:tblGrid>
      <w:tr w:rsidR="00694BC1" w:rsidRPr="00845361" w14:paraId="197A2EA3" w14:textId="77777777" w:rsidTr="00E440AB">
        <w:tc>
          <w:tcPr>
            <w:tcW w:w="1985"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14:paraId="6162E598" w14:textId="77777777" w:rsidR="00694BC1" w:rsidRPr="004E02B5" w:rsidRDefault="00694BC1" w:rsidP="00E440AB">
            <w:pPr>
              <w:pStyle w:val="Tableheading"/>
              <w:jc w:val="left"/>
            </w:pPr>
            <w:r w:rsidRPr="004E02B5">
              <w:rPr>
                <w:rStyle w:val="eop"/>
              </w:rPr>
              <w:t>Contention</w:t>
            </w:r>
          </w:p>
        </w:tc>
        <w:tc>
          <w:tcPr>
            <w:tcW w:w="8471" w:type="dxa"/>
            <w:tcBorders>
              <w:top w:val="single" w:sz="4" w:space="0" w:color="D9D9D9" w:themeColor="background1" w:themeShade="D9"/>
              <w:bottom w:val="single" w:sz="4" w:space="0" w:color="D9D9D9" w:themeColor="background1" w:themeShade="D9"/>
            </w:tcBorders>
          </w:tcPr>
          <w:p w14:paraId="2A0EEBD6" w14:textId="77777777" w:rsidR="00694BC1" w:rsidRPr="00A54808" w:rsidRDefault="00694BC1" w:rsidP="00E440AB">
            <w:pPr>
              <w:pStyle w:val="Tablecontent"/>
            </w:pPr>
            <w:r>
              <w:t>This should be the first part, and most visible.</w:t>
            </w:r>
          </w:p>
        </w:tc>
      </w:tr>
      <w:tr w:rsidR="00694BC1" w:rsidRPr="00845361" w14:paraId="06733CE2" w14:textId="77777777" w:rsidTr="00E440AB">
        <w:tc>
          <w:tcPr>
            <w:tcW w:w="1985"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14:paraId="7F5BD809" w14:textId="77777777" w:rsidR="00694BC1" w:rsidRPr="004E02B5" w:rsidRDefault="00694BC1" w:rsidP="00E440AB">
            <w:pPr>
              <w:pStyle w:val="Tableheading"/>
              <w:jc w:val="left"/>
            </w:pPr>
            <w:r w:rsidRPr="004E02B5">
              <w:rPr>
                <w:rStyle w:val="eop"/>
              </w:rPr>
              <w:t>Utilization</w:t>
            </w:r>
            <w:r w:rsidRPr="004E02B5">
              <w:t xml:space="preserve"> </w:t>
            </w:r>
          </w:p>
        </w:tc>
        <w:tc>
          <w:tcPr>
            <w:tcW w:w="8471" w:type="dxa"/>
            <w:tcBorders>
              <w:top w:val="single" w:sz="4" w:space="0" w:color="D9D9D9" w:themeColor="background1" w:themeShade="D9"/>
              <w:bottom w:val="single" w:sz="4" w:space="0" w:color="D9D9D9" w:themeColor="background1" w:themeShade="D9"/>
            </w:tcBorders>
          </w:tcPr>
          <w:p w14:paraId="017BD3A6" w14:textId="77777777" w:rsidR="00694BC1" w:rsidRPr="00254AC1" w:rsidRDefault="00694BC1" w:rsidP="00E440AB">
            <w:pPr>
              <w:pStyle w:val="Tablecontent"/>
              <w:rPr>
                <w:rFonts w:ascii="Calibri" w:hAnsi="Calibri" w:cs="Calibri"/>
                <w:lang w:val="en-GB"/>
              </w:rPr>
            </w:pPr>
            <w:r w:rsidRPr="4C8B4F60">
              <w:rPr>
                <w:lang w:val="en-GB"/>
              </w:rPr>
              <w:t xml:space="preserve">Once you determine there is </w:t>
            </w:r>
            <w:r>
              <w:rPr>
                <w:lang w:val="en-GB"/>
              </w:rPr>
              <w:t>con</w:t>
            </w:r>
            <w:r>
              <w:t>tention</w:t>
            </w:r>
            <w:r w:rsidRPr="4C8B4F60">
              <w:rPr>
                <w:lang w:val="en-GB"/>
              </w:rPr>
              <w:t xml:space="preserve">, use the </w:t>
            </w:r>
            <w:r w:rsidRPr="4C8B4F60">
              <w:rPr>
                <w:b/>
                <w:bCs/>
                <w:lang w:val="en-GB"/>
              </w:rPr>
              <w:t>Utilization</w:t>
            </w:r>
            <w:r w:rsidRPr="4C8B4F60">
              <w:rPr>
                <w:lang w:val="en-GB"/>
              </w:rPr>
              <w:t xml:space="preserve"> </w:t>
            </w:r>
            <w:r>
              <w:rPr>
                <w:lang w:val="en-GB"/>
              </w:rPr>
              <w:t xml:space="preserve">portion </w:t>
            </w:r>
            <w:r w:rsidRPr="4C8B4F60">
              <w:rPr>
                <w:lang w:val="en-GB"/>
              </w:rPr>
              <w:t xml:space="preserve">to see if the contention is caused by </w:t>
            </w:r>
            <w:r w:rsidRPr="00B00E9F">
              <w:rPr>
                <w:i/>
                <w:iCs/>
                <w:color w:val="FF0000"/>
                <w:lang w:val="en-GB"/>
              </w:rPr>
              <w:t>very</w:t>
            </w:r>
            <w:r w:rsidRPr="00B00E9F">
              <w:rPr>
                <w:color w:val="FF0000"/>
                <w:lang w:val="en-GB"/>
              </w:rPr>
              <w:t xml:space="preserve"> </w:t>
            </w:r>
            <w:r w:rsidRPr="4C8B4F60">
              <w:rPr>
                <w:lang w:val="en-GB"/>
              </w:rPr>
              <w:t>high utilization.</w:t>
            </w:r>
            <w:r>
              <w:rPr>
                <w:lang w:val="en-GB"/>
              </w:rPr>
              <w:t xml:space="preserve"> </w:t>
            </w:r>
            <w:r w:rsidRPr="00A452F2">
              <w:rPr>
                <w:lang w:val="en-GB"/>
              </w:rPr>
              <w:t>When utilization exceeds 100%, performance can be negatively impacted especially when queue developed inside the Windows or Linux. By default, vRealize Operations has a 5-minute collection interval. For 5 minutes, there may be 300 seconds worth of data points. If a spike is experienced for a few seconds, it may not be visible if the remaining of the 300 seconds is low utilization.</w:t>
            </w:r>
          </w:p>
        </w:tc>
      </w:tr>
      <w:tr w:rsidR="00694BC1" w:rsidRPr="00845361" w14:paraId="2D437559" w14:textId="77777777" w:rsidTr="00E440AB">
        <w:tc>
          <w:tcPr>
            <w:tcW w:w="1985" w:type="dxa"/>
            <w:tcBorders>
              <w:top w:val="single" w:sz="4" w:space="0" w:color="D9D9D9" w:themeColor="background1" w:themeShade="D9"/>
              <w:bottom w:val="single" w:sz="4" w:space="0" w:color="D9D9D9" w:themeColor="background1" w:themeShade="D9"/>
            </w:tcBorders>
            <w:shd w:val="clear" w:color="auto" w:fill="F2F2F2" w:themeFill="background1" w:themeFillShade="F2"/>
          </w:tcPr>
          <w:p w14:paraId="0DF358B6" w14:textId="77777777" w:rsidR="00694BC1" w:rsidRPr="004E02B5" w:rsidRDefault="00694BC1" w:rsidP="00E440AB">
            <w:pPr>
              <w:pStyle w:val="Tableheading"/>
              <w:jc w:val="left"/>
              <w:rPr>
                <w:rStyle w:val="eop"/>
              </w:rPr>
            </w:pPr>
            <w:r w:rsidRPr="004E02B5">
              <w:rPr>
                <w:rStyle w:val="eop"/>
              </w:rPr>
              <w:t>Configuration</w:t>
            </w:r>
          </w:p>
        </w:tc>
        <w:tc>
          <w:tcPr>
            <w:tcW w:w="8471" w:type="dxa"/>
            <w:tcBorders>
              <w:top w:val="single" w:sz="4" w:space="0" w:color="D9D9D9" w:themeColor="background1" w:themeShade="D9"/>
              <w:bottom w:val="single" w:sz="4" w:space="0" w:color="D9D9D9" w:themeColor="background1" w:themeShade="D9"/>
            </w:tcBorders>
          </w:tcPr>
          <w:p w14:paraId="4B9EFC57" w14:textId="77777777" w:rsidR="00694BC1" w:rsidRPr="00830000" w:rsidRDefault="00694BC1" w:rsidP="00E440AB">
            <w:pPr>
              <w:pStyle w:val="Tablecontent"/>
            </w:pPr>
            <w:r>
              <w:rPr>
                <w:rStyle w:val="eop"/>
              </w:rPr>
              <w:t>O</w:t>
            </w:r>
            <w:r w:rsidRPr="00830000">
              <w:rPr>
                <w:rStyle w:val="eop"/>
              </w:rPr>
              <w:t>nly include the relevant settings that can impact performance</w:t>
            </w:r>
          </w:p>
        </w:tc>
      </w:tr>
    </w:tbl>
    <w:p w14:paraId="0FF997EC" w14:textId="77777777" w:rsidR="00694BC1" w:rsidRDefault="00694BC1" w:rsidP="00694BC1">
      <w:pPr>
        <w:rPr>
          <w:rStyle w:val="eop"/>
          <w:rFonts w:ascii="Calibri" w:hAnsi="Calibri" w:cs="Calibri"/>
          <w:lang w:val="en-GB"/>
        </w:rPr>
      </w:pPr>
      <w:r>
        <w:rPr>
          <w:rStyle w:val="eop"/>
          <w:rFonts w:ascii="Calibri" w:hAnsi="Calibri" w:cs="Calibri"/>
          <w:lang w:val="en-GB"/>
        </w:rPr>
        <w:t xml:space="preserve">This separation keeps each dashboard simple, while emphasizing the concept of contention as the primary counter for performance. You will notice in the dashboard design that contention is color coded, while utilization is not. </w:t>
      </w:r>
    </w:p>
    <w:p w14:paraId="7546023C" w14:textId="77777777" w:rsidR="00694BC1" w:rsidRDefault="00694BC1" w:rsidP="00694BC1">
      <w:pPr>
        <w:rPr>
          <w:rStyle w:val="eop"/>
          <w:rFonts w:ascii="Calibri" w:hAnsi="Calibri" w:cs="Calibri"/>
          <w:lang w:val="en-GB"/>
        </w:rPr>
      </w:pPr>
      <w:r w:rsidRPr="4CAB3972">
        <w:lastRenderedPageBreak/>
        <w:t xml:space="preserve">Each of the </w:t>
      </w:r>
      <w:r>
        <w:t>color</w:t>
      </w:r>
      <w:r w:rsidRPr="4CAB3972">
        <w:t xml:space="preserve"> </w:t>
      </w:r>
      <w:r>
        <w:t xml:space="preserve">is </w:t>
      </w:r>
      <w:r w:rsidRPr="4CAB3972">
        <w:t xml:space="preserve">according to the best practice of that counter. You can change it by simply editing the widget. </w:t>
      </w:r>
      <w:r w:rsidRPr="00A452F2">
        <w:t>If you are unsure of what suitable numbers to set for your environment, profile the metrics. The Guest OS Performance Profiling dashboard provides an example of how to profile metrics.</w:t>
      </w:r>
      <w:r>
        <w:t xml:space="preserve"> We also document the steps in </w:t>
      </w:r>
      <w:hyperlink w:anchor="_Baseline_Profiling" w:history="1">
        <w:r w:rsidRPr="00FC7EC2">
          <w:rPr>
            <w:rStyle w:val="Hyperlink"/>
            <w:lang w:val="en-GB"/>
          </w:rPr>
          <w:t>Baseline Profiling</w:t>
        </w:r>
      </w:hyperlink>
      <w:r>
        <w:t xml:space="preserve"> section of the book.</w:t>
      </w:r>
    </w:p>
    <w:p w14:paraId="19D0BF45" w14:textId="77777777" w:rsidR="00694BC1" w:rsidRDefault="00694BC1" w:rsidP="00694BC1">
      <w:pPr>
        <w:rPr>
          <w:rStyle w:val="eop"/>
          <w:rFonts w:ascii="Calibri" w:hAnsi="Calibri" w:cs="Calibri"/>
          <w:lang w:val="en-GB"/>
        </w:rPr>
      </w:pPr>
      <w:r>
        <w:rPr>
          <w:rStyle w:val="eop"/>
          <w:rFonts w:ascii="Calibri" w:hAnsi="Calibri" w:cs="Calibri"/>
          <w:lang w:val="en-GB"/>
        </w:rPr>
        <w:t>Take note that h</w:t>
      </w:r>
      <w:r w:rsidRPr="008A6F50">
        <w:rPr>
          <w:rStyle w:val="eop"/>
          <w:rFonts w:ascii="Calibri" w:hAnsi="Calibri" w:cs="Calibri"/>
          <w:lang w:val="en-GB"/>
        </w:rPr>
        <w:t xml:space="preserve">ealth chart </w:t>
      </w:r>
      <w:r>
        <w:rPr>
          <w:rStyle w:val="eop"/>
          <w:rFonts w:ascii="Calibri" w:hAnsi="Calibri" w:cs="Calibri"/>
          <w:lang w:val="en-GB"/>
        </w:rPr>
        <w:t xml:space="preserve">is not ideal when the </w:t>
      </w:r>
      <w:r w:rsidRPr="008A6F50">
        <w:rPr>
          <w:rStyle w:val="eop"/>
          <w:rFonts w:ascii="Calibri" w:hAnsi="Calibri" w:cs="Calibri"/>
          <w:lang w:val="en-GB"/>
        </w:rPr>
        <w:t>metrics do not have a “</w:t>
      </w:r>
      <w:r w:rsidRPr="00F009BF">
        <w:rPr>
          <w:rStyle w:val="eop"/>
          <w:rFonts w:ascii="Calibri" w:hAnsi="Calibri" w:cs="Calibri"/>
          <w:color w:val="00B0F0"/>
          <w:lang w:val="en-GB"/>
        </w:rPr>
        <w:t>ceiling</w:t>
      </w:r>
      <w:r w:rsidRPr="008A6F50">
        <w:rPr>
          <w:rStyle w:val="eop"/>
          <w:rFonts w:ascii="Calibri" w:hAnsi="Calibri" w:cs="Calibri"/>
          <w:lang w:val="en-GB"/>
        </w:rPr>
        <w:t xml:space="preserve">”, meaning we don’t know what “high </w:t>
      </w:r>
      <w:r>
        <w:rPr>
          <w:rStyle w:val="eop"/>
          <w:rFonts w:ascii="Calibri" w:hAnsi="Calibri" w:cs="Calibri"/>
          <w:lang w:val="en-GB"/>
        </w:rPr>
        <w:t>value</w:t>
      </w:r>
      <w:r w:rsidRPr="008A6F50">
        <w:rPr>
          <w:rStyle w:val="eop"/>
          <w:rFonts w:ascii="Calibri" w:hAnsi="Calibri" w:cs="Calibri"/>
          <w:lang w:val="en-GB"/>
        </w:rPr>
        <w:t xml:space="preserve">” is, as 100% is hard to define. Example of such metrics are disk IOPS and </w:t>
      </w:r>
      <w:r>
        <w:rPr>
          <w:rStyle w:val="eop"/>
          <w:rFonts w:ascii="Calibri" w:hAnsi="Calibri" w:cs="Calibri"/>
          <w:lang w:val="en-GB"/>
        </w:rPr>
        <w:t>CPU context switch</w:t>
      </w:r>
      <w:r w:rsidRPr="008A6F50">
        <w:rPr>
          <w:rStyle w:val="eop"/>
          <w:rFonts w:ascii="Calibri" w:hAnsi="Calibri" w:cs="Calibri"/>
          <w:lang w:val="en-GB"/>
        </w:rPr>
        <w:t>.</w:t>
      </w:r>
      <w:r>
        <w:rPr>
          <w:rStyle w:val="eop"/>
          <w:rFonts w:ascii="Calibri" w:hAnsi="Calibri" w:cs="Calibri"/>
          <w:lang w:val="en-GB"/>
        </w:rPr>
        <w:t xml:space="preserve"> </w:t>
      </w:r>
      <w:r w:rsidRPr="00495D9E">
        <w:rPr>
          <w:rStyle w:val="eop"/>
          <w:rFonts w:ascii="Calibri" w:hAnsi="Calibri" w:cs="Calibri"/>
          <w:lang w:val="en-GB"/>
        </w:rPr>
        <w:t>If your operations team has a standard that utilization should not exceed a certain threshold, you can add that threshold value into the line chart. The threshold line will help less technical teams as they can see how the real value compares with the threshold</w:t>
      </w:r>
      <w:r>
        <w:rPr>
          <w:rStyle w:val="eop"/>
          <w:rFonts w:ascii="Calibri" w:hAnsi="Calibri" w:cs="Calibri"/>
          <w:lang w:val="en-GB"/>
        </w:rPr>
        <w:t>.</w:t>
      </w:r>
    </w:p>
    <w:p w14:paraId="78467D20" w14:textId="7BD2217E" w:rsidR="00694BC1" w:rsidRPr="00A452F2" w:rsidRDefault="00694BC1" w:rsidP="00694BC1">
      <w:pPr>
        <w:rPr>
          <w:lang w:val="en-GB"/>
        </w:rPr>
      </w:pPr>
      <w:r>
        <w:t xml:space="preserve">For large </w:t>
      </w:r>
      <w:r w:rsidR="00781889">
        <w:t xml:space="preserve">vSphere </w:t>
      </w:r>
      <w:r>
        <w:t>environment, g</w:t>
      </w:r>
      <w:r w:rsidRPr="00FD554D">
        <w:t>roup the VM by clusters of the same class of service (e.g. Gold), so you can see the profile for each environment</w:t>
      </w:r>
      <w:r>
        <w:t>.</w:t>
      </w:r>
      <w:r w:rsidR="00781889">
        <w:t xml:space="preserve"> </w:t>
      </w:r>
      <w:r w:rsidR="00781889">
        <w:rPr>
          <w:lang w:val="en-GB"/>
        </w:rPr>
        <w:t>I find the D</w:t>
      </w:r>
      <w:r w:rsidR="00781889" w:rsidRPr="00A452F2">
        <w:rPr>
          <w:lang w:val="en-GB"/>
        </w:rPr>
        <w:t xml:space="preserve">ata </w:t>
      </w:r>
      <w:r w:rsidR="00781889">
        <w:rPr>
          <w:lang w:val="en-GB"/>
        </w:rPr>
        <w:t>C</w:t>
      </w:r>
      <w:r w:rsidR="00781889" w:rsidRPr="00A452F2">
        <w:rPr>
          <w:lang w:val="en-GB"/>
        </w:rPr>
        <w:t>enter</w:t>
      </w:r>
      <w:r w:rsidR="00781889">
        <w:rPr>
          <w:lang w:val="en-GB"/>
        </w:rPr>
        <w:t xml:space="preserve"> as good boundary. In general, storage, network and compute do not extend beyond a vSphere Data Center object. P</w:t>
      </w:r>
      <w:r w:rsidR="00781889" w:rsidRPr="00A452F2">
        <w:rPr>
          <w:lang w:val="en-GB"/>
        </w:rPr>
        <w:t>erformance problems tend to be isolated in a single physical environment</w:t>
      </w:r>
      <w:r w:rsidR="00781889">
        <w:rPr>
          <w:lang w:val="en-GB"/>
        </w:rPr>
        <w:t>, unless the WAN link connecting the 2 data centers are causing the problem</w:t>
      </w:r>
      <w:r w:rsidR="00781889" w:rsidRPr="00A452F2">
        <w:rPr>
          <w:lang w:val="en-GB"/>
        </w:rPr>
        <w:t>. A performance problem in country A typically does not cause performance problem in country B</w:t>
      </w:r>
      <w:r w:rsidR="00781889">
        <w:rPr>
          <w:lang w:val="en-GB"/>
        </w:rPr>
        <w:t>, especially if they share little in common.</w:t>
      </w:r>
    </w:p>
    <w:p w14:paraId="65D592F3" w14:textId="56A0DCC4" w:rsidR="00BB3CE7" w:rsidRDefault="00BB3CE7" w:rsidP="00BB3CE7">
      <w:pPr>
        <w:pStyle w:val="Heading4"/>
        <w:rPr>
          <w:rStyle w:val="eop"/>
        </w:rPr>
      </w:pPr>
      <w:r>
        <w:rPr>
          <w:rStyle w:val="eop"/>
        </w:rPr>
        <w:t>Capacity Dashboards</w:t>
      </w:r>
    </w:p>
    <w:p w14:paraId="2A8AACBB" w14:textId="77777777" w:rsidR="00BB3CE7" w:rsidRPr="00A452F2" w:rsidRDefault="00BB3CE7" w:rsidP="00BB3CE7">
      <w:pPr>
        <w:rPr>
          <w:lang w:val="en-GB"/>
        </w:rPr>
      </w:pPr>
      <w:r w:rsidRPr="00A452F2">
        <w:rPr>
          <w:lang w:val="en-GB"/>
        </w:rPr>
        <w:t xml:space="preserve">You may notice that the performance dashboards and the capacity dashboards share similar layout. The reason is there is commonality in both pillars of operations. </w:t>
      </w:r>
    </w:p>
    <w:p w14:paraId="4D73522A" w14:textId="6877737C" w:rsidR="00BB3CE7" w:rsidRDefault="00BB3CE7" w:rsidP="00BB3CE7">
      <w:pPr>
        <w:rPr>
          <w:lang w:val="en-GB"/>
        </w:rPr>
      </w:pPr>
      <w:r>
        <w:rPr>
          <w:lang w:val="en-GB"/>
        </w:rPr>
        <w:t>There are various roles in your organisation that are interested in capacity information</w:t>
      </w:r>
    </w:p>
    <w:p w14:paraId="5C23F697" w14:textId="77777777" w:rsidR="00BB3CE7" w:rsidRDefault="00BB3CE7" w:rsidP="00BB3CE7">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38"/>
        <w:gridCol w:w="8618"/>
      </w:tblGrid>
      <w:tr w:rsidR="00BB3CE7" w14:paraId="2D51B202" w14:textId="77777777" w:rsidTr="00E440AB">
        <w:tc>
          <w:tcPr>
            <w:tcW w:w="1838" w:type="dxa"/>
            <w:shd w:val="clear" w:color="auto" w:fill="F2F2F2" w:themeFill="background1" w:themeFillShade="F2"/>
          </w:tcPr>
          <w:p w14:paraId="6AB7D6D2" w14:textId="77777777" w:rsidR="00BB3CE7" w:rsidRPr="0091570C" w:rsidRDefault="00BB3CE7" w:rsidP="00BB3CE7">
            <w:pPr>
              <w:pStyle w:val="Tablecontent"/>
              <w:rPr>
                <w:b/>
                <w:bCs/>
              </w:rPr>
            </w:pPr>
            <w:r w:rsidRPr="0091570C">
              <w:rPr>
                <w:b/>
                <w:bCs/>
              </w:rPr>
              <w:t>Op</w:t>
            </w:r>
            <w:r>
              <w:rPr>
                <w:b/>
                <w:bCs/>
              </w:rPr>
              <w:t>eration</w:t>
            </w:r>
            <w:r w:rsidRPr="0091570C">
              <w:rPr>
                <w:b/>
                <w:bCs/>
              </w:rPr>
              <w:t>s Team</w:t>
            </w:r>
          </w:p>
        </w:tc>
        <w:tc>
          <w:tcPr>
            <w:tcW w:w="8618" w:type="dxa"/>
          </w:tcPr>
          <w:p w14:paraId="29B91992" w14:textId="77777777" w:rsidR="00BB3CE7" w:rsidRDefault="00BB3CE7" w:rsidP="00BB3CE7">
            <w:pPr>
              <w:pStyle w:val="Tablecontent"/>
            </w:pPr>
            <w:r>
              <w:t>The team running the day to day, live operations. Not interested in long term, both the past and the future.</w:t>
            </w:r>
          </w:p>
          <w:p w14:paraId="3D16C35E" w14:textId="77777777" w:rsidR="00BB3CE7" w:rsidRDefault="00BB3CE7" w:rsidP="00BB3CE7">
            <w:pPr>
              <w:pStyle w:val="Tablecontent"/>
            </w:pPr>
            <w:r>
              <w:t>Their primary focus is the Consumer. So build your dashboards for them too.</w:t>
            </w:r>
          </w:p>
        </w:tc>
      </w:tr>
      <w:tr w:rsidR="00BB3CE7" w14:paraId="5D5BFEEE" w14:textId="77777777" w:rsidTr="00E440AB">
        <w:tc>
          <w:tcPr>
            <w:tcW w:w="1838" w:type="dxa"/>
            <w:shd w:val="clear" w:color="auto" w:fill="F2F2F2" w:themeFill="background1" w:themeFillShade="F2"/>
          </w:tcPr>
          <w:p w14:paraId="3226CDCB" w14:textId="77777777" w:rsidR="00BB3CE7" w:rsidRPr="0091570C" w:rsidRDefault="00BB3CE7" w:rsidP="00BB3CE7">
            <w:pPr>
              <w:pStyle w:val="Tablecontent"/>
              <w:rPr>
                <w:b/>
                <w:bCs/>
              </w:rPr>
            </w:pPr>
            <w:r w:rsidRPr="0091570C">
              <w:rPr>
                <w:b/>
                <w:bCs/>
              </w:rPr>
              <w:t>Capacity Team</w:t>
            </w:r>
          </w:p>
        </w:tc>
        <w:tc>
          <w:tcPr>
            <w:tcW w:w="8618" w:type="dxa"/>
          </w:tcPr>
          <w:p w14:paraId="15B1C123" w14:textId="77777777" w:rsidR="00BB3CE7" w:rsidRDefault="00BB3CE7" w:rsidP="00BB3CE7">
            <w:pPr>
              <w:pStyle w:val="Tablecontent"/>
              <w:rPr>
                <w:lang w:val="en-GB"/>
              </w:rPr>
            </w:pPr>
            <w:r>
              <w:t xml:space="preserve">The team responsible for overall capacity life cycle, from planning to upgrade. Not interested in day to day, such as a host goes down or put into maintenance. Keen on </w:t>
            </w:r>
            <w:r w:rsidRPr="00A452F2">
              <w:rPr>
                <w:lang w:val="en-GB"/>
              </w:rPr>
              <w:t xml:space="preserve">long term and top down view, </w:t>
            </w:r>
            <w:r>
              <w:rPr>
                <w:lang w:val="en-GB"/>
              </w:rPr>
              <w:t xml:space="preserve">as they are </w:t>
            </w:r>
            <w:r w:rsidRPr="00A452F2">
              <w:rPr>
                <w:lang w:val="en-GB"/>
              </w:rPr>
              <w:t>plan</w:t>
            </w:r>
            <w:r>
              <w:rPr>
                <w:lang w:val="en-GB"/>
              </w:rPr>
              <w:t>ning</w:t>
            </w:r>
            <w:r w:rsidRPr="00A452F2">
              <w:rPr>
                <w:lang w:val="en-GB"/>
              </w:rPr>
              <w:t xml:space="preserve"> future expansion and ageing hardware technological refresh.</w:t>
            </w:r>
          </w:p>
          <w:p w14:paraId="5F4B0DC4" w14:textId="77777777" w:rsidR="00BB3CE7" w:rsidRDefault="00BB3CE7" w:rsidP="00BB3CE7">
            <w:pPr>
              <w:pStyle w:val="Tablecontent"/>
            </w:pPr>
            <w:r>
              <w:rPr>
                <w:lang w:val="en-GB"/>
              </w:rPr>
              <w:t>Their primary focus is the Provider.</w:t>
            </w:r>
          </w:p>
        </w:tc>
      </w:tr>
      <w:tr w:rsidR="00BB3CE7" w14:paraId="19B80A26" w14:textId="77777777" w:rsidTr="00E440AB">
        <w:tc>
          <w:tcPr>
            <w:tcW w:w="1838" w:type="dxa"/>
            <w:shd w:val="clear" w:color="auto" w:fill="F2F2F2" w:themeFill="background1" w:themeFillShade="F2"/>
          </w:tcPr>
          <w:p w14:paraId="2D4FCB6D" w14:textId="77777777" w:rsidR="00BB3CE7" w:rsidRPr="0091570C" w:rsidRDefault="00BB3CE7" w:rsidP="00BB3CE7">
            <w:pPr>
              <w:pStyle w:val="Tablecontent"/>
              <w:rPr>
                <w:b/>
                <w:bCs/>
              </w:rPr>
            </w:pPr>
            <w:r w:rsidRPr="0091570C">
              <w:rPr>
                <w:b/>
                <w:bCs/>
              </w:rPr>
              <w:t>Storage Team</w:t>
            </w:r>
          </w:p>
        </w:tc>
        <w:tc>
          <w:tcPr>
            <w:tcW w:w="8618" w:type="dxa"/>
          </w:tcPr>
          <w:p w14:paraId="693BDBB4" w14:textId="77777777" w:rsidR="00BB3CE7" w:rsidRDefault="00BB3CE7" w:rsidP="00BB3CE7">
            <w:pPr>
              <w:pStyle w:val="Tablecontent"/>
            </w:pPr>
            <w:r>
              <w:t>Specialist team. Collaboration become critical if the architecture is “thin on thin”.</w:t>
            </w:r>
          </w:p>
          <w:p w14:paraId="386870B1" w14:textId="77777777" w:rsidR="00BB3CE7" w:rsidRDefault="00BB3CE7" w:rsidP="00BB3CE7">
            <w:pPr>
              <w:pStyle w:val="Tablecontent"/>
            </w:pPr>
            <w:r w:rsidRPr="00A452F2">
              <w:rPr>
                <w:lang w:val="en-GB"/>
              </w:rPr>
              <w:t xml:space="preserve">The </w:t>
            </w:r>
            <w:r>
              <w:rPr>
                <w:rStyle w:val="keyword"/>
                <w:b/>
                <w:bCs/>
                <w:lang w:val="en-GB"/>
              </w:rPr>
              <w:t xml:space="preserve">Storage </w:t>
            </w:r>
            <w:r w:rsidRPr="00A452F2">
              <w:rPr>
                <w:rStyle w:val="keyword"/>
                <w:b/>
                <w:bCs/>
                <w:lang w:val="en-GB"/>
              </w:rPr>
              <w:t>Capacity</w:t>
            </w:r>
            <w:r w:rsidRPr="00A452F2">
              <w:rPr>
                <w:lang w:val="en-GB"/>
              </w:rPr>
              <w:t xml:space="preserve"> dashboard is </w:t>
            </w:r>
            <w:r>
              <w:rPr>
                <w:lang w:val="en-GB"/>
              </w:rPr>
              <w:t xml:space="preserve">also </w:t>
            </w:r>
            <w:r w:rsidRPr="00A452F2">
              <w:rPr>
                <w:lang w:val="en-GB"/>
              </w:rPr>
              <w:t>designed for both VMware administrator and Storage administrator, with the goal of fostering closer collaboration between the 2 team.</w:t>
            </w:r>
          </w:p>
        </w:tc>
      </w:tr>
    </w:tbl>
    <w:p w14:paraId="446A1119" w14:textId="77777777" w:rsidR="00BB3CE7" w:rsidRDefault="00BB3CE7" w:rsidP="00BB3CE7">
      <w:pPr>
        <w:rPr>
          <w:rStyle w:val="eop"/>
          <w:rFonts w:ascii="Calibri" w:hAnsi="Calibri" w:cs="Calibri"/>
          <w:lang w:val="en-GB"/>
        </w:rPr>
      </w:pPr>
      <w:r>
        <w:rPr>
          <w:rStyle w:val="eop"/>
          <w:rFonts w:ascii="Calibri" w:hAnsi="Calibri" w:cs="Calibri"/>
          <w:lang w:val="en-GB"/>
        </w:rPr>
        <w:t>There are 2 types of capacity management</w:t>
      </w:r>
    </w:p>
    <w:p w14:paraId="341EB5E3" w14:textId="77777777" w:rsidR="00BB3CE7" w:rsidRPr="002D4FD6" w:rsidRDefault="00BB3CE7" w:rsidP="00BB3CE7">
      <w:pPr>
        <w:pStyle w:val="Bullet"/>
        <w:rPr>
          <w:rStyle w:val="eop"/>
          <w:rFonts w:ascii="Calibri" w:hAnsi="Calibri" w:cs="Calibri"/>
          <w:lang w:val="en-GB"/>
        </w:rPr>
      </w:pPr>
      <w:r>
        <w:rPr>
          <w:rStyle w:val="eop"/>
          <w:rFonts w:ascii="Calibri" w:hAnsi="Calibri" w:cs="Calibri"/>
          <w:lang w:val="en-GB"/>
        </w:rPr>
        <w:t>Consumer. You focus on a single VM, container or application. You want to right size them and reclaim unused portion.</w:t>
      </w:r>
    </w:p>
    <w:p w14:paraId="19349C16" w14:textId="77777777" w:rsidR="00BB3CE7" w:rsidRDefault="00BB3CE7" w:rsidP="00BB3CE7">
      <w:pPr>
        <w:pStyle w:val="Bullet"/>
        <w:rPr>
          <w:rStyle w:val="eop"/>
          <w:rFonts w:ascii="Calibri" w:hAnsi="Calibri" w:cs="Calibri"/>
          <w:lang w:val="en-GB"/>
        </w:rPr>
      </w:pPr>
      <w:r>
        <w:rPr>
          <w:rStyle w:val="eop"/>
          <w:rFonts w:ascii="Calibri" w:hAnsi="Calibri" w:cs="Calibri"/>
          <w:lang w:val="en-GB"/>
        </w:rPr>
        <w:t xml:space="preserve">Provider. You focus on the shared infrastructure as the problems impact many consumers. </w:t>
      </w:r>
    </w:p>
    <w:p w14:paraId="1254AA92" w14:textId="77777777" w:rsidR="00BB3CE7" w:rsidRDefault="00BB3CE7" w:rsidP="00BB3CE7">
      <w:pPr>
        <w:rPr>
          <w:lang w:val="en-GB"/>
        </w:rPr>
      </w:pPr>
      <w:r w:rsidRPr="00A452F2">
        <w:rPr>
          <w:lang w:val="en-GB"/>
        </w:rPr>
        <w:t xml:space="preserve">Not all objects lend themselves for capacity management. Take the data center object for example. It can contain clusters of different purpose, with different performance characteristic. It might not make sense to combine the metrics into a single </w:t>
      </w:r>
      <w:r>
        <w:rPr>
          <w:lang w:val="en-GB"/>
        </w:rPr>
        <w:t>d</w:t>
      </w:r>
      <w:r w:rsidRPr="00A452F2">
        <w:rPr>
          <w:lang w:val="en-GB"/>
        </w:rPr>
        <w:t xml:space="preserve">ata center </w:t>
      </w:r>
      <w:r>
        <w:rPr>
          <w:lang w:val="en-GB"/>
        </w:rPr>
        <w:t>c</w:t>
      </w:r>
      <w:r w:rsidRPr="00A452F2">
        <w:rPr>
          <w:lang w:val="en-GB"/>
        </w:rPr>
        <w:t xml:space="preserve">apacity (%) metric, </w:t>
      </w:r>
      <w:r>
        <w:rPr>
          <w:lang w:val="en-GB"/>
        </w:rPr>
        <w:t xml:space="preserve">if </w:t>
      </w:r>
      <w:r w:rsidRPr="00A452F2">
        <w:rPr>
          <w:lang w:val="en-GB"/>
        </w:rPr>
        <w:t xml:space="preserve">the member clusters are not interchangeable. </w:t>
      </w:r>
    </w:p>
    <w:p w14:paraId="55206DD1" w14:textId="77777777" w:rsidR="00BB3CE7" w:rsidRPr="00A452F2" w:rsidRDefault="00BB3CE7" w:rsidP="00BB3CE7">
      <w:pPr>
        <w:jc w:val="center"/>
        <w:rPr>
          <w:lang w:val="en-GB"/>
        </w:rPr>
      </w:pPr>
      <w:r w:rsidRPr="007A44C7">
        <w:rPr>
          <w:noProof/>
          <w:lang w:val="en-GB"/>
        </w:rPr>
        <w:lastRenderedPageBreak/>
        <w:drawing>
          <wp:inline distT="0" distB="0" distL="0" distR="0" wp14:anchorId="426ABA4E" wp14:editId="137A0D91">
            <wp:extent cx="5110223" cy="1708345"/>
            <wp:effectExtent l="0" t="0" r="0" b="6350"/>
            <wp:docPr id="1293284813" name="Picture 1293284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1"/>
                    <a:stretch>
                      <a:fillRect/>
                    </a:stretch>
                  </pic:blipFill>
                  <pic:spPr>
                    <a:xfrm>
                      <a:off x="0" y="0"/>
                      <a:ext cx="5116853" cy="1710561"/>
                    </a:xfrm>
                    <a:prstGeom prst="rect">
                      <a:avLst/>
                    </a:prstGeom>
                  </pic:spPr>
                </pic:pic>
              </a:graphicData>
            </a:graphic>
          </wp:inline>
        </w:drawing>
      </w:r>
    </w:p>
    <w:p w14:paraId="5821CF67" w14:textId="77777777" w:rsidR="00BB3CE7" w:rsidRPr="007F6AFF" w:rsidRDefault="00BB3CE7" w:rsidP="00BB3CE7">
      <w:pPr>
        <w:rPr>
          <w:lang w:val="en-GB"/>
        </w:rPr>
      </w:pPr>
      <w:bookmarkStart w:id="145" w:name="_Cluster_Capacity"/>
      <w:bookmarkEnd w:id="145"/>
      <w:r>
        <w:rPr>
          <w:lang w:val="en-GB"/>
        </w:rPr>
        <w:t xml:space="preserve">For cluster, special types of cluster alter the capacity model. One example is </w:t>
      </w:r>
      <w:r w:rsidRPr="00A452F2">
        <w:rPr>
          <w:lang w:val="en-GB"/>
        </w:rPr>
        <w:t>stretched cluster</w:t>
      </w:r>
      <w:r>
        <w:rPr>
          <w:lang w:val="en-GB"/>
        </w:rPr>
        <w:t xml:space="preserve">. It </w:t>
      </w:r>
      <w:r w:rsidRPr="00A452F2">
        <w:rPr>
          <w:lang w:val="en-GB"/>
        </w:rPr>
        <w:t>needs its own capacity model</w:t>
      </w:r>
      <w:r>
        <w:rPr>
          <w:lang w:val="en-GB"/>
        </w:rPr>
        <w:t xml:space="preserve"> and visualization</w:t>
      </w:r>
      <w:r w:rsidRPr="00A452F2">
        <w:rPr>
          <w:lang w:val="en-GB"/>
        </w:rPr>
        <w:t>. You will need to have an object or custom group for each site, and then displays them side by side.</w:t>
      </w:r>
    </w:p>
    <w:p w14:paraId="241E9283" w14:textId="77777777" w:rsidR="00BB3CE7" w:rsidRDefault="00BB3CE7" w:rsidP="00BB3CE7">
      <w:pPr>
        <w:pStyle w:val="Heading5"/>
        <w:rPr>
          <w:rStyle w:val="eop"/>
        </w:rPr>
      </w:pPr>
      <w:r>
        <w:rPr>
          <w:rStyle w:val="eop"/>
        </w:rPr>
        <w:t>UI Design</w:t>
      </w:r>
    </w:p>
    <w:p w14:paraId="31C8451D" w14:textId="77777777" w:rsidR="00BB3CE7" w:rsidRPr="00A452F2" w:rsidRDefault="00BB3CE7" w:rsidP="00BB3CE7">
      <w:pPr>
        <w:rPr>
          <w:lang w:val="en-GB"/>
        </w:rPr>
      </w:pPr>
      <w:r w:rsidRPr="00A452F2">
        <w:rPr>
          <w:lang w:val="en-GB"/>
        </w:rPr>
        <w:t>The dashboard is designed “</w:t>
      </w:r>
      <w:r w:rsidRPr="004074AE">
        <w:rPr>
          <w:color w:val="00B0F0"/>
          <w:lang w:val="en-GB"/>
        </w:rPr>
        <w:t>top down</w:t>
      </w:r>
      <w:r w:rsidRPr="00A452F2">
        <w:rPr>
          <w:lang w:val="en-GB"/>
        </w:rPr>
        <w:t>”. It has 2 sections: summary and detail.</w:t>
      </w:r>
    </w:p>
    <w:p w14:paraId="6B102B2C" w14:textId="77777777" w:rsidR="00BB3CE7" w:rsidRPr="00A452F2" w:rsidRDefault="00BB3CE7" w:rsidP="00BB3CE7">
      <w:pPr>
        <w:pStyle w:val="Bullet"/>
        <w:rPr>
          <w:lang w:val="en-GB"/>
        </w:rPr>
      </w:pPr>
      <w:r w:rsidRPr="00A452F2">
        <w:rPr>
          <w:lang w:val="en-GB"/>
        </w:rPr>
        <w:t xml:space="preserve">The summary section is typically placed at the top of the dashboard. It gives the big picture. </w:t>
      </w:r>
    </w:p>
    <w:p w14:paraId="66551551" w14:textId="77777777" w:rsidR="00BB3CE7" w:rsidRPr="00A452F2" w:rsidRDefault="00BB3CE7" w:rsidP="00BB3CE7">
      <w:pPr>
        <w:pStyle w:val="Bullet"/>
        <w:rPr>
          <w:lang w:val="en-GB"/>
        </w:rPr>
      </w:pPr>
      <w:r w:rsidRPr="00A452F2">
        <w:rPr>
          <w:lang w:val="en-GB"/>
        </w:rPr>
        <w:t>The detail section is placed below the summary section. It lets you drill down into a specific object. For example, if it’s a VM capacity, you can get the detail capacity of a specific VM. This section is designed with quick context switch, as you may want to check the capacity of multiple objects in the course of capacity analysis. Take for example VM capacity analysis. The dashboard gives you all the VM-specific information and allows you to see the capacity summaries without changing screens. You can move from one VM to another and view the details without opening multiple windows</w:t>
      </w:r>
    </w:p>
    <w:p w14:paraId="691FB8A3" w14:textId="77777777" w:rsidR="00BB3CE7" w:rsidRPr="00A452F2" w:rsidRDefault="00BB3CE7" w:rsidP="00BB3CE7">
      <w:pPr>
        <w:pStyle w:val="Bullet"/>
        <w:rPr>
          <w:lang w:val="en-GB"/>
        </w:rPr>
      </w:pPr>
      <w:r w:rsidRPr="00A452F2">
        <w:rPr>
          <w:lang w:val="en-GB"/>
        </w:rPr>
        <w:t xml:space="preserve">UI wise, the dashboard uses </w:t>
      </w:r>
      <w:r w:rsidRPr="004074AE">
        <w:rPr>
          <w:color w:val="00B0F0"/>
          <w:lang w:val="en-GB"/>
        </w:rPr>
        <w:t xml:space="preserve">progressive disclosure </w:t>
      </w:r>
      <w:r w:rsidRPr="00A452F2">
        <w:rPr>
          <w:lang w:val="en-GB"/>
        </w:rPr>
        <w:t>to minimize information overload and ensure the webpage loads fast. On the other hand, so long your browser session remains, it remembers your last selection.</w:t>
      </w:r>
    </w:p>
    <w:p w14:paraId="00FB3ADB" w14:textId="77777777" w:rsidR="00BB3CE7" w:rsidRPr="00A452F2" w:rsidRDefault="00BB3CE7" w:rsidP="00BB3CE7">
      <w:pPr>
        <w:rPr>
          <w:lang w:val="en-GB"/>
        </w:rPr>
      </w:pPr>
      <w:r w:rsidRPr="00A452F2">
        <w:rPr>
          <w:lang w:val="en-GB"/>
        </w:rPr>
        <w:t>The dashboard is design to complement the out of the box pages by visualizing information differently and giving more choice of customization. For examples, the reclamation size is grouped into buckets so you can focus on the largest reclamation opportunities first, and trend charts are provided so you can quickly see the growth over time, without changing context (e.g. open a new screen).</w:t>
      </w:r>
    </w:p>
    <w:p w14:paraId="410D9DC7" w14:textId="77777777" w:rsidR="00BB3CE7" w:rsidRPr="00D367F5" w:rsidRDefault="00BB3CE7" w:rsidP="00BB3CE7">
      <w:r w:rsidRPr="00A452F2">
        <w:t xml:space="preserve">Wastage is shown by a new </w:t>
      </w:r>
      <w:r>
        <w:t>color</w:t>
      </w:r>
      <w:r w:rsidRPr="00A452F2">
        <w:t>. Dark grey indicates wastage as capacity is not used. In fact, there can be performance problem is the low utilization was caused by bottleneck somewhere else</w:t>
      </w:r>
      <w:r>
        <w:t>.</w:t>
      </w:r>
    </w:p>
    <w:p w14:paraId="00FF73F6" w14:textId="71D6CE24" w:rsidR="00BB3CE7" w:rsidRPr="00A452F2" w:rsidRDefault="00BB3CE7" w:rsidP="00BB3CE7">
      <w:pPr>
        <w:pStyle w:val="Heading4"/>
      </w:pPr>
      <w:r>
        <w:rPr>
          <w:rStyle w:val="eop"/>
        </w:rPr>
        <w:t>Configuration Dashboards</w:t>
      </w:r>
    </w:p>
    <w:p w14:paraId="63104B41" w14:textId="77777777" w:rsidR="00BB3CE7" w:rsidRPr="00A452F2" w:rsidRDefault="00BB3CE7" w:rsidP="00BB3CE7">
      <w:pPr>
        <w:rPr>
          <w:lang w:val="en-GB"/>
        </w:rPr>
      </w:pPr>
      <w:r w:rsidRPr="00A452F2">
        <w:rPr>
          <w:rStyle w:val="eop"/>
          <w:lang w:val="en-GB"/>
        </w:rPr>
        <w:t xml:space="preserve">Configuration </w:t>
      </w:r>
      <w:r w:rsidRPr="00A452F2">
        <w:rPr>
          <w:lang w:val="en-GB"/>
        </w:rPr>
        <w:t xml:space="preserve">Management dashboards </w:t>
      </w:r>
      <w:r w:rsidRPr="00A452F2">
        <w:rPr>
          <w:rStyle w:val="eop"/>
          <w:rFonts w:ascii="Calibri" w:hAnsi="Calibri" w:cs="Calibri"/>
          <w:lang w:val="en-GB"/>
        </w:rPr>
        <w:t>share the same design principles.</w:t>
      </w:r>
      <w:r>
        <w:rPr>
          <w:rStyle w:val="eop"/>
          <w:rFonts w:ascii="Calibri" w:hAnsi="Calibri" w:cs="Calibri"/>
          <w:lang w:val="en-GB"/>
        </w:rPr>
        <w:t xml:space="preserve"> They </w:t>
      </w:r>
      <w:r w:rsidRPr="00A452F2">
        <w:rPr>
          <w:lang w:val="en-GB"/>
        </w:rPr>
        <w:t>show the configuration that needs attention first, before showing overall configuration. The idea is to drive action towards optimizing configuration.</w:t>
      </w:r>
    </w:p>
    <w:p w14:paraId="0323E0DF" w14:textId="77777777" w:rsidR="00BB3CE7" w:rsidRDefault="00BB3CE7" w:rsidP="00BB3CE7">
      <w:pPr>
        <w:rPr>
          <w:lang w:val="en-GB"/>
        </w:rPr>
      </w:pPr>
      <w:r w:rsidRPr="00A452F2">
        <w:rPr>
          <w:lang w:val="en-GB"/>
        </w:rPr>
        <w:lastRenderedPageBreak/>
        <w:t xml:space="preserve">The overall layout is designed to balance ease of use, performance (loading time of the dashboard page) and completeness of configuration check. As a result, not all configuration settings are shown. Lack of screen real estate is another consideration behind the design. </w:t>
      </w:r>
    </w:p>
    <w:p w14:paraId="12768B4E" w14:textId="77777777" w:rsidR="00BB3CE7" w:rsidRDefault="00BB3CE7" w:rsidP="00BB3CE7">
      <w:pPr>
        <w:rPr>
          <w:lang w:val="en-GB"/>
        </w:rPr>
      </w:pPr>
      <w:r>
        <w:rPr>
          <w:lang w:val="en-GB"/>
        </w:rPr>
        <w:t>In some dashboards, t</w:t>
      </w:r>
      <w:r w:rsidRPr="00A452F2">
        <w:rPr>
          <w:lang w:val="en-GB"/>
        </w:rPr>
        <w:t xml:space="preserve">here are simply too </w:t>
      </w:r>
      <w:r>
        <w:rPr>
          <w:lang w:val="en-GB"/>
        </w:rPr>
        <w:t xml:space="preserve">many </w:t>
      </w:r>
      <w:r w:rsidRPr="00A452F2">
        <w:rPr>
          <w:lang w:val="en-GB"/>
        </w:rPr>
        <w:t xml:space="preserve">configuration </w:t>
      </w:r>
      <w:r>
        <w:rPr>
          <w:lang w:val="en-GB"/>
        </w:rPr>
        <w:t xml:space="preserve">items </w:t>
      </w:r>
      <w:r w:rsidRPr="00A452F2">
        <w:rPr>
          <w:lang w:val="en-GB"/>
        </w:rPr>
        <w:t xml:space="preserve">to check than the screen real estate provides. If you have a larger screen, add the additional check as you deem fit, or add legends to the pie-charts. For a start, see the list of settings that you may want to check </w:t>
      </w:r>
      <w:hyperlink w:anchor="_Configuration_Management" w:history="1">
        <w:r w:rsidRPr="00A452F2">
          <w:rPr>
            <w:rStyle w:val="Hyperlink"/>
            <w:lang w:val="en-GB"/>
          </w:rPr>
          <w:t>here</w:t>
        </w:r>
      </w:hyperlink>
      <w:r w:rsidRPr="00A452F2">
        <w:rPr>
          <w:lang w:val="en-GB"/>
        </w:rPr>
        <w:t xml:space="preserve">. </w:t>
      </w:r>
    </w:p>
    <w:p w14:paraId="68CADCF8" w14:textId="77777777" w:rsidR="00BB3CE7" w:rsidRPr="00A452F2" w:rsidRDefault="00BB3CE7" w:rsidP="00BB3CE7">
      <w:pPr>
        <w:rPr>
          <w:lang w:val="en-GB"/>
        </w:rPr>
      </w:pPr>
      <w:r w:rsidRPr="00A452F2">
        <w:rPr>
          <w:lang w:val="en-GB"/>
        </w:rPr>
        <w:t xml:space="preserve">The number of buckets on the pie chart or bar chart are balanced between the available screen estate, ease of use and functionality. Modify the buckets to either reflect your current situation or your desired ideal state. </w:t>
      </w:r>
    </w:p>
    <w:p w14:paraId="498BF853" w14:textId="77777777" w:rsidR="00BB3CE7" w:rsidRPr="00A452F2" w:rsidRDefault="00BB3CE7" w:rsidP="00BB3CE7">
      <w:pPr>
        <w:rPr>
          <w:lang w:val="en-GB"/>
        </w:rPr>
      </w:pPr>
      <w:r w:rsidRPr="00A452F2">
        <w:rPr>
          <w:lang w:val="en-GB"/>
        </w:rPr>
        <w:t xml:space="preserve">In a large environment, create a filter for this dashboard. Group by the class of services such as, Gold, silver, and bronze. Default the selection to Gold. In this way, your monitoring is not cluttered with less critical workloads. </w:t>
      </w:r>
    </w:p>
    <w:p w14:paraId="51F6B648" w14:textId="77777777" w:rsidR="00BB3CE7" w:rsidRDefault="00BB3CE7" w:rsidP="00BB3CE7">
      <w:pPr>
        <w:pStyle w:val="Heading5"/>
      </w:pPr>
      <w:r>
        <w:t>Empty or Exist</w:t>
      </w:r>
    </w:p>
    <w:p w14:paraId="00BBB9FB" w14:textId="77777777" w:rsidR="00BB3CE7" w:rsidRPr="003953E7" w:rsidRDefault="00BB3CE7" w:rsidP="00BB3CE7">
      <w:pPr>
        <w:rPr>
          <w:lang w:val="en-GB"/>
        </w:rPr>
      </w:pPr>
      <w:r>
        <w:rPr>
          <w:lang w:val="en-GB"/>
        </w:rPr>
        <w:t>In configuration check, we can encounter a need to check for exception. This is where the Exist or Not Exist check and Empty and Not Empty check can come in handy.</w:t>
      </w:r>
    </w:p>
    <w:p w14:paraId="3CDA9326" w14:textId="77777777" w:rsidR="00BB3CE7" w:rsidRDefault="00BB3CE7" w:rsidP="00E440AB">
      <w:pPr>
        <w:jc w:val="center"/>
        <w:rPr>
          <w:lang w:val="en-GB"/>
        </w:rPr>
      </w:pPr>
      <w:r w:rsidRPr="003953E7">
        <w:rPr>
          <w:noProof/>
          <w:lang w:val="en-GB"/>
        </w:rPr>
        <w:drawing>
          <wp:inline distT="0" distB="0" distL="0" distR="0" wp14:anchorId="5032DFA6" wp14:editId="2529DA27">
            <wp:extent cx="6300216" cy="1911096"/>
            <wp:effectExtent l="0" t="0" r="5715" b="0"/>
            <wp:docPr id="1293284855" name="Picture 1293284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2"/>
                    <a:stretch>
                      <a:fillRect/>
                    </a:stretch>
                  </pic:blipFill>
                  <pic:spPr>
                    <a:xfrm>
                      <a:off x="0" y="0"/>
                      <a:ext cx="6300216" cy="1911096"/>
                    </a:xfrm>
                    <a:prstGeom prst="rect">
                      <a:avLst/>
                    </a:prstGeom>
                  </pic:spPr>
                </pic:pic>
              </a:graphicData>
            </a:graphic>
          </wp:inline>
        </w:drawing>
      </w:r>
    </w:p>
    <w:p w14:paraId="284BDECA" w14:textId="77777777" w:rsidR="00BB3CE7" w:rsidRDefault="00BB3CE7" w:rsidP="00BB3CE7">
      <w:pPr>
        <w:rPr>
          <w:lang w:val="en-GB"/>
        </w:rPr>
      </w:pPr>
      <w:r>
        <w:rPr>
          <w:lang w:val="en-GB"/>
        </w:rPr>
        <w:t>Some ideas are:</w:t>
      </w:r>
    </w:p>
    <w:p w14:paraId="01AEC35A" w14:textId="77777777" w:rsidR="00BB3CE7" w:rsidRDefault="00BB3CE7" w:rsidP="00BB3CE7">
      <w:pPr>
        <w:pStyle w:val="Bullet"/>
        <w:rPr>
          <w:lang w:val="en-GB"/>
        </w:rPr>
      </w:pPr>
      <w:r>
        <w:rPr>
          <w:lang w:val="en-GB"/>
        </w:rPr>
        <w:t>Check for standalone ESXi. It will have no parent cluster</w:t>
      </w:r>
    </w:p>
    <w:p w14:paraId="2889109D" w14:textId="77777777" w:rsidR="00BB3CE7" w:rsidRDefault="00BB3CE7" w:rsidP="00BB3CE7">
      <w:pPr>
        <w:pStyle w:val="Bullet"/>
        <w:rPr>
          <w:lang w:val="en-GB"/>
        </w:rPr>
      </w:pPr>
      <w:r>
        <w:rPr>
          <w:lang w:val="en-GB"/>
        </w:rPr>
        <w:t>Check for missing Telegraf agent in critical VM</w:t>
      </w:r>
    </w:p>
    <w:p w14:paraId="2D4F245D" w14:textId="77777777" w:rsidR="00BB3CE7" w:rsidRPr="00A86556" w:rsidRDefault="00BB3CE7" w:rsidP="00BB3CE7">
      <w:pPr>
        <w:rPr>
          <w:lang w:val="en-GB"/>
        </w:rPr>
      </w:pPr>
      <w:r>
        <w:rPr>
          <w:lang w:val="en-GB"/>
        </w:rPr>
        <w:t>Anything else? Let’s collaborate to enhance the configuration dashboards!</w:t>
      </w:r>
    </w:p>
    <w:p w14:paraId="6CA5EC50" w14:textId="6B51BA32" w:rsidR="007F6308" w:rsidRDefault="70C5C324" w:rsidP="00B373E2">
      <w:pPr>
        <w:pStyle w:val="Heading2"/>
        <w:rPr>
          <w:lang w:val="en-GB"/>
        </w:rPr>
      </w:pPr>
      <w:r w:rsidRPr="44106CD5">
        <w:rPr>
          <w:lang w:val="en-GB"/>
        </w:rPr>
        <w:lastRenderedPageBreak/>
        <w:t>Performance</w:t>
      </w:r>
    </w:p>
    <w:p w14:paraId="36A65E68" w14:textId="422630BA" w:rsidR="004D4D3A" w:rsidRPr="004D4D3A" w:rsidRDefault="004D4D3A" w:rsidP="004D4D3A">
      <w:pPr>
        <w:rPr>
          <w:lang w:val="en-GB"/>
        </w:rPr>
      </w:pPr>
      <w:r>
        <w:rPr>
          <w:noProof/>
        </w:rPr>
        <mc:AlternateContent>
          <mc:Choice Requires="wps">
            <w:drawing>
              <wp:anchor distT="0" distB="0" distL="114300" distR="114300" simplePos="0" relativeHeight="251649024" behindDoc="0" locked="0" layoutInCell="1" allowOverlap="1" wp14:anchorId="4E281793" wp14:editId="3869A898">
                <wp:simplePos x="0" y="0"/>
                <wp:positionH relativeFrom="column">
                  <wp:posOffset>0</wp:posOffset>
                </wp:positionH>
                <wp:positionV relativeFrom="paragraph">
                  <wp:posOffset>0</wp:posOffset>
                </wp:positionV>
                <wp:extent cx="1828800" cy="1828800"/>
                <wp:effectExtent l="0" t="0" r="0" b="0"/>
                <wp:wrapNone/>
                <wp:docPr id="606394167" name="Text Box 60639416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27808CB5" w14:textId="51498F0F" w:rsidR="00E66F24" w:rsidRPr="00C84219" w:rsidRDefault="00E66F24" w:rsidP="004D4D3A">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3 Chapter </w:t>
                            </w:r>
                            <w:r w:rsidR="004D294F">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4E281793" id="Text Box 606394167" o:spid="_x0000_s1043" type="#_x0000_t202" style="position:absolute;margin-left:0;margin-top:0;width:2in;height:2in;z-index:25164902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" filled="f" stroked="f">
                <v:textbox style="mso-fit-shape-to-text:t">
                  <w:txbxContent>
                    <w:p w14:paraId="27808CB5" w14:textId="51498F0F" w:rsidR="00E66F24" w:rsidRPr="00C84219" w:rsidRDefault="00E66F24" w:rsidP="004D4D3A">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3 Chapter </w:t>
                      </w:r>
                      <w:r w:rsidR="004D294F">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3</w:t>
                      </w:r>
                    </w:p>
                  </w:txbxContent>
                </v:textbox>
              </v:shape>
            </w:pict>
          </mc:Fallback>
        </mc:AlternateContent>
      </w:r>
    </w:p>
    <w:p w14:paraId="2EFDAAC4" w14:textId="51FB0B46" w:rsidR="005055EA" w:rsidRPr="00A452F2" w:rsidRDefault="00C53CDA" w:rsidP="003F097B">
      <w:pPr>
        <w:pStyle w:val="AfterChapterTitle"/>
        <w:rPr>
          <w:lang w:val="en-GB"/>
        </w:rPr>
      </w:pPr>
      <w:r>
        <w:t xml:space="preserve">The performance dashboards sport </w:t>
      </w:r>
      <w:r w:rsidR="003F7BA1" w:rsidRPr="008B64A4">
        <w:t>KPIs to display the performance of workloads at the consumer layer and the aggregate performance of workloads at the provider layer.</w:t>
      </w:r>
      <w:r>
        <w:t xml:space="preserve"> </w:t>
      </w:r>
    </w:p>
    <w:p w14:paraId="57AFA49E" w14:textId="36FE6B02" w:rsidR="002970F1" w:rsidRPr="002970F1" w:rsidRDefault="00EB65BD" w:rsidP="002970F1">
      <w:pPr>
        <w:rPr>
          <w:lang w:val="en-GB"/>
        </w:rPr>
      </w:pPr>
      <w:r>
        <w:rPr>
          <w:lang w:val="en-GB"/>
        </w:rPr>
        <w:t>The dashboards cover vSphere and vSAN. In future, I plan to integrate NSX, HCX, and other components</w:t>
      </w:r>
      <w:r w:rsidR="0040264E">
        <w:rPr>
          <w:lang w:val="en-GB"/>
        </w:rPr>
        <w:t xml:space="preserve"> so let’s collaborate if you </w:t>
      </w:r>
      <w:r w:rsidR="00792C56">
        <w:rPr>
          <w:lang w:val="en-GB"/>
        </w:rPr>
        <w:t>have the domain knowledge</w:t>
      </w:r>
      <w:r w:rsidR="0040264E">
        <w:rPr>
          <w:lang w:val="en-GB"/>
        </w:rPr>
        <w:t>.</w:t>
      </w:r>
    </w:p>
    <w:p w14:paraId="489294AE" w14:textId="344BA666" w:rsidR="00F009BF" w:rsidRDefault="00F009BF" w:rsidP="00540F68">
      <w:pPr>
        <w:pStyle w:val="Heading3"/>
      </w:pPr>
      <w:bookmarkStart w:id="146" w:name="_VM_Contention_Dashboard"/>
      <w:bookmarkEnd w:id="146"/>
      <w:r>
        <w:t>Performance Profiling</w:t>
      </w:r>
    </w:p>
    <w:p w14:paraId="553B5B50" w14:textId="4911B305" w:rsidR="00F009BF" w:rsidRDefault="00BB3CE7" w:rsidP="00F009BF">
      <w:pPr>
        <w:rPr>
          <w:lang w:val="en-GB"/>
        </w:rPr>
      </w:pPr>
      <w:r>
        <w:rPr>
          <w:lang w:val="en-GB"/>
        </w:rPr>
        <w:t>Why do</w:t>
      </w:r>
      <w:r w:rsidR="00222F69">
        <w:rPr>
          <w:lang w:val="en-GB"/>
        </w:rPr>
        <w:t>es this chapter</w:t>
      </w:r>
      <w:r>
        <w:rPr>
          <w:lang w:val="en-GB"/>
        </w:rPr>
        <w:t xml:space="preserve"> begin with this dashboard? </w:t>
      </w:r>
      <w:r w:rsidR="009300B0">
        <w:rPr>
          <w:lang w:val="en-GB"/>
        </w:rPr>
        <w:t xml:space="preserve">Why not start with VM performance </w:t>
      </w:r>
      <w:r w:rsidR="00222F69">
        <w:rPr>
          <w:lang w:val="en-GB"/>
        </w:rPr>
        <w:t>dashboard</w:t>
      </w:r>
      <w:r w:rsidR="009300B0">
        <w:rPr>
          <w:lang w:val="en-GB"/>
        </w:rPr>
        <w:t>?</w:t>
      </w:r>
    </w:p>
    <w:p w14:paraId="7A58381C" w14:textId="40F220D9" w:rsidR="009300B0" w:rsidRPr="00F009BF" w:rsidRDefault="009300B0" w:rsidP="00F009BF">
      <w:pPr>
        <w:rPr>
          <w:lang w:val="en-GB"/>
        </w:rPr>
      </w:pPr>
      <w:r>
        <w:rPr>
          <w:lang w:val="en-GB"/>
        </w:rPr>
        <w:t xml:space="preserve">Because you want to be proactive. </w:t>
      </w:r>
      <w:r w:rsidR="00222F69">
        <w:rPr>
          <w:lang w:val="en-GB"/>
        </w:rPr>
        <w:t>Optimize your environment then it becomes easier to manage.</w:t>
      </w:r>
    </w:p>
    <w:p w14:paraId="5928B614" w14:textId="77777777" w:rsidR="00F009BF" w:rsidRDefault="00F009BF" w:rsidP="00F009BF">
      <w:pPr>
        <w:pStyle w:val="Heading4"/>
      </w:pPr>
      <w:r>
        <w:t>VM Profiling</w:t>
      </w:r>
    </w:p>
    <w:p w14:paraId="09DE07BE" w14:textId="4EE6E59D" w:rsidR="00F009BF" w:rsidRDefault="009300B0" w:rsidP="00F009BF">
      <w:pPr>
        <w:rPr>
          <w:lang w:val="en-GB"/>
        </w:rPr>
      </w:pPr>
      <w:r>
        <w:rPr>
          <w:lang w:val="en-GB"/>
        </w:rPr>
        <w:t xml:space="preserve">How to profile if </w:t>
      </w:r>
      <w:r w:rsidR="00F009BF">
        <w:rPr>
          <w:lang w:val="en-GB"/>
        </w:rPr>
        <w:t xml:space="preserve">you have thousands of VMs? </w:t>
      </w:r>
    </w:p>
    <w:p w14:paraId="79BF53CC" w14:textId="77777777" w:rsidR="00F009BF" w:rsidRDefault="00F009BF" w:rsidP="00F009BF">
      <w:pPr>
        <w:rPr>
          <w:lang w:val="en-GB"/>
        </w:rPr>
      </w:pPr>
      <w:r>
        <w:rPr>
          <w:lang w:val="en-GB"/>
        </w:rPr>
        <w:lastRenderedPageBreak/>
        <w:t>One way is to use a distribution chart. Design the buckets to represent the ranges from good to bad. Have 3 buckets for the good, the average and the bad. You then add 1 bucket for the outlier. This gives you a total of 10 buckets.</w:t>
      </w:r>
    </w:p>
    <w:p w14:paraId="3BFEB424" w14:textId="49A8DB9F" w:rsidR="00F009BF" w:rsidRDefault="00F009BF" w:rsidP="00F009BF">
      <w:pPr>
        <w:rPr>
          <w:lang w:val="en-GB"/>
        </w:rPr>
      </w:pPr>
      <w:r>
        <w:rPr>
          <w:lang w:val="en-GB"/>
        </w:rPr>
        <w:t>The following table shows the recommended buckets for CPU and memory.</w:t>
      </w:r>
    </w:p>
    <w:p w14:paraId="717394C7" w14:textId="77777777" w:rsidR="00BB3CE7" w:rsidRDefault="00BB3CE7" w:rsidP="00BB3CE7">
      <w:pPr>
        <w:pStyle w:val="BeforeTable"/>
        <w:rPr>
          <w:lang w:val="en-GB"/>
        </w:rPr>
      </w:pPr>
    </w:p>
    <w:tbl>
      <w:tblPr>
        <w:tblStyle w:val="TableGrid"/>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91"/>
        <w:gridCol w:w="2091"/>
        <w:gridCol w:w="2091"/>
        <w:gridCol w:w="2092"/>
      </w:tblGrid>
      <w:tr w:rsidR="00BB3CE7" w14:paraId="3BD41711" w14:textId="77777777" w:rsidTr="00E440AB">
        <w:trPr>
          <w:jc w:val="center"/>
        </w:trPr>
        <w:tc>
          <w:tcPr>
            <w:tcW w:w="2091" w:type="dxa"/>
            <w:shd w:val="clear" w:color="auto" w:fill="F2F2F2" w:themeFill="background1" w:themeFillShade="F2"/>
          </w:tcPr>
          <w:p w14:paraId="7A1F8482" w14:textId="77777777" w:rsidR="00BB3CE7" w:rsidRDefault="00BB3CE7" w:rsidP="00E440AB">
            <w:pPr>
              <w:pStyle w:val="Tableheading"/>
            </w:pPr>
            <w:r>
              <w:t xml:space="preserve">Good </w:t>
            </w:r>
          </w:p>
        </w:tc>
        <w:tc>
          <w:tcPr>
            <w:tcW w:w="2091" w:type="dxa"/>
            <w:shd w:val="clear" w:color="auto" w:fill="F2F2F2" w:themeFill="background1" w:themeFillShade="F2"/>
          </w:tcPr>
          <w:p w14:paraId="262B76EC" w14:textId="77777777" w:rsidR="00BB3CE7" w:rsidRDefault="00BB3CE7" w:rsidP="00E440AB">
            <w:pPr>
              <w:pStyle w:val="Tableheading"/>
            </w:pPr>
            <w:r>
              <w:t>Medium</w:t>
            </w:r>
          </w:p>
        </w:tc>
        <w:tc>
          <w:tcPr>
            <w:tcW w:w="2091" w:type="dxa"/>
            <w:shd w:val="clear" w:color="auto" w:fill="F2F2F2" w:themeFill="background1" w:themeFillShade="F2"/>
          </w:tcPr>
          <w:p w14:paraId="6C7E13C6" w14:textId="77777777" w:rsidR="00BB3CE7" w:rsidRDefault="00BB3CE7" w:rsidP="00E440AB">
            <w:pPr>
              <w:pStyle w:val="Tableheading"/>
            </w:pPr>
            <w:r>
              <w:t>Bad</w:t>
            </w:r>
          </w:p>
        </w:tc>
        <w:tc>
          <w:tcPr>
            <w:tcW w:w="2092" w:type="dxa"/>
            <w:shd w:val="clear" w:color="auto" w:fill="F2F2F2" w:themeFill="background1" w:themeFillShade="F2"/>
          </w:tcPr>
          <w:p w14:paraId="3BC97D2E" w14:textId="77777777" w:rsidR="00BB3CE7" w:rsidRDefault="00BB3CE7" w:rsidP="00E440AB">
            <w:pPr>
              <w:pStyle w:val="Tableheading"/>
            </w:pPr>
            <w:r>
              <w:t>Outlier</w:t>
            </w:r>
          </w:p>
        </w:tc>
      </w:tr>
      <w:tr w:rsidR="00BB3CE7" w14:paraId="01420FAD" w14:textId="77777777" w:rsidTr="00E440AB">
        <w:trPr>
          <w:jc w:val="center"/>
        </w:trPr>
        <w:tc>
          <w:tcPr>
            <w:tcW w:w="2091" w:type="dxa"/>
          </w:tcPr>
          <w:p w14:paraId="6C89F590" w14:textId="77777777" w:rsidR="00BB3CE7" w:rsidRDefault="00BB3CE7" w:rsidP="00BB3CE7">
            <w:pPr>
              <w:pStyle w:val="Table"/>
              <w:jc w:val="center"/>
            </w:pPr>
            <w:r>
              <w:t>0 – 1%</w:t>
            </w:r>
          </w:p>
          <w:p w14:paraId="039E7DD7" w14:textId="77777777" w:rsidR="00BB3CE7" w:rsidRDefault="00BB3CE7" w:rsidP="00BB3CE7">
            <w:pPr>
              <w:pStyle w:val="Table"/>
              <w:jc w:val="center"/>
            </w:pPr>
            <w:r>
              <w:t>1 – 2%</w:t>
            </w:r>
          </w:p>
          <w:p w14:paraId="1FDA3CBF" w14:textId="724E6390" w:rsidR="00BB3CE7" w:rsidRDefault="00BB3CE7" w:rsidP="00BB3CE7">
            <w:pPr>
              <w:pStyle w:val="Table"/>
              <w:jc w:val="center"/>
            </w:pPr>
            <w:r>
              <w:t>2 – 3%</w:t>
            </w:r>
          </w:p>
        </w:tc>
        <w:tc>
          <w:tcPr>
            <w:tcW w:w="2091" w:type="dxa"/>
          </w:tcPr>
          <w:p w14:paraId="20BCA1ED" w14:textId="77777777" w:rsidR="00BB3CE7" w:rsidRDefault="00BB3CE7" w:rsidP="00BB3CE7">
            <w:pPr>
              <w:pStyle w:val="Table"/>
              <w:jc w:val="center"/>
            </w:pPr>
            <w:r>
              <w:t>3 – 4%</w:t>
            </w:r>
          </w:p>
          <w:p w14:paraId="7F9CB339" w14:textId="72613ED4" w:rsidR="00BB3CE7" w:rsidRDefault="00BB3CE7" w:rsidP="00BB3CE7">
            <w:pPr>
              <w:pStyle w:val="Table"/>
              <w:jc w:val="center"/>
            </w:pPr>
            <w:r>
              <w:t>4 – 5%</w:t>
            </w:r>
          </w:p>
          <w:p w14:paraId="0619530A" w14:textId="1924D9C4" w:rsidR="00BB3CE7" w:rsidRDefault="00BB3CE7" w:rsidP="00BB3CE7">
            <w:pPr>
              <w:pStyle w:val="Table"/>
              <w:jc w:val="center"/>
            </w:pPr>
            <w:r>
              <w:t>5 – 6%</w:t>
            </w:r>
          </w:p>
        </w:tc>
        <w:tc>
          <w:tcPr>
            <w:tcW w:w="2091" w:type="dxa"/>
          </w:tcPr>
          <w:p w14:paraId="31B365DF" w14:textId="2B95CC28" w:rsidR="00BB3CE7" w:rsidRDefault="00BB3CE7" w:rsidP="00BB3CE7">
            <w:pPr>
              <w:pStyle w:val="Table"/>
              <w:jc w:val="center"/>
            </w:pPr>
            <w:r>
              <w:t>6 – 8%</w:t>
            </w:r>
          </w:p>
          <w:p w14:paraId="4A57EA16" w14:textId="7671CB77" w:rsidR="00BB3CE7" w:rsidRDefault="00BB3CE7" w:rsidP="00BB3CE7">
            <w:pPr>
              <w:pStyle w:val="Table"/>
              <w:jc w:val="center"/>
            </w:pPr>
            <w:r>
              <w:t>8 – 10%</w:t>
            </w:r>
          </w:p>
          <w:p w14:paraId="4D1CA3EF" w14:textId="2A57B088" w:rsidR="00BB3CE7" w:rsidRDefault="00BB3CE7" w:rsidP="00BB3CE7">
            <w:pPr>
              <w:pStyle w:val="Table"/>
              <w:jc w:val="center"/>
            </w:pPr>
            <w:r>
              <w:t>10 – 12%</w:t>
            </w:r>
          </w:p>
        </w:tc>
        <w:tc>
          <w:tcPr>
            <w:tcW w:w="2092" w:type="dxa"/>
          </w:tcPr>
          <w:p w14:paraId="5EC9DD77" w14:textId="2FF17E7A" w:rsidR="00BB3CE7" w:rsidRDefault="00BB3CE7" w:rsidP="00E440AB">
            <w:pPr>
              <w:pStyle w:val="Table"/>
              <w:jc w:val="center"/>
            </w:pPr>
            <w:r>
              <w:t>12 – 100%</w:t>
            </w:r>
          </w:p>
        </w:tc>
      </w:tr>
    </w:tbl>
    <w:p w14:paraId="681500DD" w14:textId="77777777" w:rsidR="00F009BF" w:rsidRDefault="00F009BF" w:rsidP="00F009BF">
      <w:pPr>
        <w:pStyle w:val="BeforeTable"/>
        <w:rPr>
          <w:lang w:val="en-GB"/>
        </w:rPr>
      </w:pPr>
    </w:p>
    <w:p w14:paraId="08CF0FCE" w14:textId="77777777" w:rsidR="00F009BF" w:rsidRDefault="00F009BF" w:rsidP="00F009BF">
      <w:pPr>
        <w:rPr>
          <w:lang w:val="en-GB"/>
        </w:rPr>
      </w:pPr>
      <w:r>
        <w:rPr>
          <w:lang w:val="en-GB"/>
        </w:rPr>
        <w:t>Depending on the result, adjust the bucket accordingly. For example, if your environment performance is worse than the above, yet nobody complains, you can adjust the above buckets to something like this:</w:t>
      </w:r>
    </w:p>
    <w:p w14:paraId="0A9E0C6F" w14:textId="77777777" w:rsidR="00F009BF" w:rsidRDefault="00F009BF" w:rsidP="00F009BF">
      <w:pPr>
        <w:pStyle w:val="BeforeTable"/>
        <w:rPr>
          <w:lang w:val="en-GB"/>
        </w:rPr>
      </w:pPr>
    </w:p>
    <w:tbl>
      <w:tblPr>
        <w:tblStyle w:val="TableGrid"/>
        <w:tblW w:w="0" w:type="auto"/>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091"/>
        <w:gridCol w:w="2091"/>
        <w:gridCol w:w="2091"/>
        <w:gridCol w:w="2092"/>
      </w:tblGrid>
      <w:tr w:rsidR="00F009BF" w14:paraId="07E0742F" w14:textId="77777777" w:rsidTr="00E440AB">
        <w:trPr>
          <w:jc w:val="center"/>
        </w:trPr>
        <w:tc>
          <w:tcPr>
            <w:tcW w:w="2091" w:type="dxa"/>
            <w:shd w:val="clear" w:color="auto" w:fill="F2F2F2" w:themeFill="background1" w:themeFillShade="F2"/>
          </w:tcPr>
          <w:p w14:paraId="6C4FB372" w14:textId="77777777" w:rsidR="00F009BF" w:rsidRDefault="00F009BF" w:rsidP="00E440AB">
            <w:pPr>
              <w:pStyle w:val="Tableheading"/>
            </w:pPr>
            <w:r>
              <w:t xml:space="preserve">Good </w:t>
            </w:r>
          </w:p>
        </w:tc>
        <w:tc>
          <w:tcPr>
            <w:tcW w:w="2091" w:type="dxa"/>
            <w:shd w:val="clear" w:color="auto" w:fill="F2F2F2" w:themeFill="background1" w:themeFillShade="F2"/>
          </w:tcPr>
          <w:p w14:paraId="48A4144D" w14:textId="77777777" w:rsidR="00F009BF" w:rsidRDefault="00F009BF" w:rsidP="00E440AB">
            <w:pPr>
              <w:pStyle w:val="Tableheading"/>
            </w:pPr>
            <w:r>
              <w:t>Medium</w:t>
            </w:r>
          </w:p>
        </w:tc>
        <w:tc>
          <w:tcPr>
            <w:tcW w:w="2091" w:type="dxa"/>
            <w:shd w:val="clear" w:color="auto" w:fill="F2F2F2" w:themeFill="background1" w:themeFillShade="F2"/>
          </w:tcPr>
          <w:p w14:paraId="59AB996D" w14:textId="77777777" w:rsidR="00F009BF" w:rsidRDefault="00F009BF" w:rsidP="00E440AB">
            <w:pPr>
              <w:pStyle w:val="Tableheading"/>
            </w:pPr>
            <w:r>
              <w:t>Bad</w:t>
            </w:r>
          </w:p>
        </w:tc>
        <w:tc>
          <w:tcPr>
            <w:tcW w:w="2092" w:type="dxa"/>
            <w:shd w:val="clear" w:color="auto" w:fill="F2F2F2" w:themeFill="background1" w:themeFillShade="F2"/>
          </w:tcPr>
          <w:p w14:paraId="2729C111" w14:textId="77777777" w:rsidR="00F009BF" w:rsidRDefault="00F009BF" w:rsidP="00E440AB">
            <w:pPr>
              <w:pStyle w:val="Tableheading"/>
            </w:pPr>
            <w:r>
              <w:t>Outlier</w:t>
            </w:r>
          </w:p>
        </w:tc>
      </w:tr>
      <w:tr w:rsidR="00F009BF" w14:paraId="6AA3D0D7" w14:textId="77777777" w:rsidTr="00E440AB">
        <w:trPr>
          <w:jc w:val="center"/>
        </w:trPr>
        <w:tc>
          <w:tcPr>
            <w:tcW w:w="2091" w:type="dxa"/>
          </w:tcPr>
          <w:p w14:paraId="48D5DBBB" w14:textId="77777777" w:rsidR="00F009BF" w:rsidRDefault="00F009BF" w:rsidP="00E440AB">
            <w:pPr>
              <w:pStyle w:val="Table"/>
              <w:jc w:val="center"/>
            </w:pPr>
            <w:r>
              <w:t>0 – 2%</w:t>
            </w:r>
          </w:p>
          <w:p w14:paraId="4F5B78AA" w14:textId="77777777" w:rsidR="00F009BF" w:rsidRDefault="00F009BF" w:rsidP="00E440AB">
            <w:pPr>
              <w:pStyle w:val="Table"/>
              <w:jc w:val="center"/>
            </w:pPr>
            <w:r>
              <w:t>2 – 4%</w:t>
            </w:r>
          </w:p>
          <w:p w14:paraId="0330E289" w14:textId="77777777" w:rsidR="00F009BF" w:rsidRDefault="00F009BF" w:rsidP="00E440AB">
            <w:pPr>
              <w:pStyle w:val="Table"/>
              <w:jc w:val="center"/>
            </w:pPr>
            <w:r>
              <w:t>4 – 6%</w:t>
            </w:r>
          </w:p>
        </w:tc>
        <w:tc>
          <w:tcPr>
            <w:tcW w:w="2091" w:type="dxa"/>
          </w:tcPr>
          <w:p w14:paraId="056F4DE8" w14:textId="77777777" w:rsidR="00F009BF" w:rsidRDefault="00F009BF" w:rsidP="00E440AB">
            <w:pPr>
              <w:pStyle w:val="Table"/>
              <w:jc w:val="center"/>
            </w:pPr>
            <w:r>
              <w:t>6 – 8%</w:t>
            </w:r>
          </w:p>
          <w:p w14:paraId="1A0C703D" w14:textId="77777777" w:rsidR="00F009BF" w:rsidRDefault="00F009BF" w:rsidP="00E440AB">
            <w:pPr>
              <w:pStyle w:val="Table"/>
              <w:jc w:val="center"/>
            </w:pPr>
            <w:r>
              <w:t>8 – 10%</w:t>
            </w:r>
          </w:p>
          <w:p w14:paraId="6A3A8C0C" w14:textId="77777777" w:rsidR="00F009BF" w:rsidRDefault="00F009BF" w:rsidP="00E440AB">
            <w:pPr>
              <w:pStyle w:val="Table"/>
              <w:jc w:val="center"/>
            </w:pPr>
            <w:r>
              <w:t>10 – 12%</w:t>
            </w:r>
          </w:p>
        </w:tc>
        <w:tc>
          <w:tcPr>
            <w:tcW w:w="2091" w:type="dxa"/>
          </w:tcPr>
          <w:p w14:paraId="631B8648" w14:textId="77777777" w:rsidR="00F009BF" w:rsidRDefault="00F009BF" w:rsidP="00E440AB">
            <w:pPr>
              <w:pStyle w:val="Table"/>
              <w:jc w:val="center"/>
            </w:pPr>
            <w:r>
              <w:t>12 – 14%</w:t>
            </w:r>
          </w:p>
          <w:p w14:paraId="31FB591D" w14:textId="77777777" w:rsidR="00F009BF" w:rsidRDefault="00F009BF" w:rsidP="00E440AB">
            <w:pPr>
              <w:pStyle w:val="Table"/>
              <w:jc w:val="center"/>
            </w:pPr>
            <w:r>
              <w:t>14 – 16%</w:t>
            </w:r>
          </w:p>
          <w:p w14:paraId="12968907" w14:textId="77777777" w:rsidR="00F009BF" w:rsidRDefault="00F009BF" w:rsidP="00E440AB">
            <w:pPr>
              <w:pStyle w:val="Table"/>
              <w:jc w:val="center"/>
            </w:pPr>
            <w:r>
              <w:t>16 – 18%</w:t>
            </w:r>
          </w:p>
        </w:tc>
        <w:tc>
          <w:tcPr>
            <w:tcW w:w="2092" w:type="dxa"/>
          </w:tcPr>
          <w:p w14:paraId="34137CB4" w14:textId="77777777" w:rsidR="00F009BF" w:rsidRDefault="00F009BF" w:rsidP="00E440AB">
            <w:pPr>
              <w:pStyle w:val="Table"/>
              <w:jc w:val="center"/>
            </w:pPr>
            <w:r>
              <w:t>18 – 100%</w:t>
            </w:r>
          </w:p>
        </w:tc>
      </w:tr>
    </w:tbl>
    <w:p w14:paraId="298FC4F0" w14:textId="7DD1EE52" w:rsidR="00F009BF" w:rsidRDefault="00F009BF" w:rsidP="00F009BF">
      <w:pPr>
        <w:rPr>
          <w:lang w:val="en-GB"/>
        </w:rPr>
      </w:pPr>
      <w:r>
        <w:rPr>
          <w:lang w:val="en-GB"/>
        </w:rPr>
        <w:t>The above range give you better visibility into the 10 – 18% range.</w:t>
      </w:r>
    </w:p>
    <w:p w14:paraId="68BCBE4D" w14:textId="77777777" w:rsidR="009300B0" w:rsidRDefault="009300B0" w:rsidP="009300B0">
      <w:r>
        <w:t xml:space="preserve">The dashboard has 3 bar charts as we need to do profiling for </w:t>
      </w:r>
    </w:p>
    <w:p w14:paraId="03E6B42F" w14:textId="77777777" w:rsidR="009300B0" w:rsidRDefault="009300B0" w:rsidP="009300B0">
      <w:pPr>
        <w:pStyle w:val="Bullet"/>
      </w:pPr>
      <w:r>
        <w:t>CPU Ready</w:t>
      </w:r>
    </w:p>
    <w:p w14:paraId="66C7178E" w14:textId="77777777" w:rsidR="009300B0" w:rsidRDefault="009300B0" w:rsidP="009300B0">
      <w:pPr>
        <w:pStyle w:val="Bullet"/>
      </w:pPr>
      <w:r>
        <w:t xml:space="preserve">Memory contention </w:t>
      </w:r>
    </w:p>
    <w:p w14:paraId="08CD4703" w14:textId="62E692EF" w:rsidR="009300B0" w:rsidRDefault="009300B0" w:rsidP="009300B0">
      <w:pPr>
        <w:pStyle w:val="Bullet"/>
      </w:pPr>
      <w:r>
        <w:t xml:space="preserve">Disk latency. </w:t>
      </w:r>
    </w:p>
    <w:p w14:paraId="6A012838" w14:textId="25B8601F" w:rsidR="009300B0" w:rsidRDefault="009300B0" w:rsidP="009300B0">
      <w:r>
        <w:t xml:space="preserve">I’d show CPU and Disk as the 3 follow the same technique. </w:t>
      </w:r>
    </w:p>
    <w:p w14:paraId="79B0B307" w14:textId="313F71E5" w:rsidR="009300B0" w:rsidRDefault="009300B0" w:rsidP="009300B0">
      <w:pPr>
        <w:pStyle w:val="Heading5"/>
      </w:pPr>
      <w:r>
        <w:t>CPU Profiling</w:t>
      </w:r>
    </w:p>
    <w:p w14:paraId="0B82F632" w14:textId="77777777" w:rsidR="00F009BF" w:rsidRDefault="00F009BF" w:rsidP="00F009BF">
      <w:r>
        <w:t xml:space="preserve">The following screenshot show a sample profiling. What information do you get out of this distribution chart? </w:t>
      </w:r>
    </w:p>
    <w:p w14:paraId="3A2B88D2" w14:textId="77777777" w:rsidR="00F009BF" w:rsidRDefault="00F009BF" w:rsidP="00F009BF">
      <w:r w:rsidRPr="00247406">
        <w:rPr>
          <w:noProof/>
        </w:rPr>
        <w:drawing>
          <wp:inline distT="0" distB="0" distL="0" distR="0" wp14:anchorId="4FAF4E9A" wp14:editId="136748CF">
            <wp:extent cx="6645910" cy="2228850"/>
            <wp:effectExtent l="0" t="0" r="2540" b="0"/>
            <wp:docPr id="1085195920" name="Picture 1085195920" descr="Graphical user interface,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20" name="Picture 1085195920" descr="Graphical user interface, application, table&#10;&#10;Description automatically generated"/>
                    <pic:cNvPicPr/>
                  </pic:nvPicPr>
                  <pic:blipFill>
                    <a:blip r:embed="rId1023"/>
                    <a:stretch>
                      <a:fillRect/>
                    </a:stretch>
                  </pic:blipFill>
                  <pic:spPr>
                    <a:xfrm>
                      <a:off x="0" y="0"/>
                      <a:ext cx="6645910" cy="2228850"/>
                    </a:xfrm>
                    <a:prstGeom prst="rect">
                      <a:avLst/>
                    </a:prstGeom>
                  </pic:spPr>
                </pic:pic>
              </a:graphicData>
            </a:graphic>
          </wp:inline>
        </w:drawing>
      </w:r>
    </w:p>
    <w:p w14:paraId="332CC405" w14:textId="77777777" w:rsidR="00F009BF" w:rsidRDefault="00F009BF" w:rsidP="00F009BF">
      <w:r>
        <w:t>The above is the ideal environment. All the 343 VMs experienced very low CPU ready time. It is possible that either utilization is too low or no overcommit. This means the relative cost is high.</w:t>
      </w:r>
    </w:p>
    <w:p w14:paraId="5768C497" w14:textId="77777777" w:rsidR="00F009BF" w:rsidRDefault="00F009BF" w:rsidP="00F009BF">
      <w:r>
        <w:lastRenderedPageBreak/>
        <w:t>How about this one? What’s your conclusion?</w:t>
      </w:r>
    </w:p>
    <w:p w14:paraId="694AA759" w14:textId="77777777" w:rsidR="00F009BF" w:rsidRDefault="00F009BF" w:rsidP="00F009BF">
      <w:r w:rsidRPr="00FF5104">
        <w:rPr>
          <w:noProof/>
        </w:rPr>
        <w:drawing>
          <wp:inline distT="0" distB="0" distL="0" distR="0" wp14:anchorId="7C60DF06" wp14:editId="2B58E15E">
            <wp:extent cx="6645910" cy="2090420"/>
            <wp:effectExtent l="0" t="0" r="2540" b="5080"/>
            <wp:docPr id="1859674504" name="Picture 1859674504"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04" name="Picture 1859674504" descr="Chart, bar chart&#10;&#10;Description automatically generated"/>
                    <pic:cNvPicPr/>
                  </pic:nvPicPr>
                  <pic:blipFill>
                    <a:blip r:embed="rId1024"/>
                    <a:stretch>
                      <a:fillRect/>
                    </a:stretch>
                  </pic:blipFill>
                  <pic:spPr>
                    <a:xfrm>
                      <a:off x="0" y="0"/>
                      <a:ext cx="6645910" cy="2090420"/>
                    </a:xfrm>
                    <a:prstGeom prst="rect">
                      <a:avLst/>
                    </a:prstGeom>
                  </pic:spPr>
                </pic:pic>
              </a:graphicData>
            </a:graphic>
          </wp:inline>
        </w:drawing>
      </w:r>
    </w:p>
    <w:p w14:paraId="70030102" w14:textId="77777777" w:rsidR="00F009BF" w:rsidRDefault="00F009BF" w:rsidP="00F009BF">
      <w:r>
        <w:t>This environment has worse performance. The distribution is evenly spread, meaning many VMs experienced CPU Ready above 5%.</w:t>
      </w:r>
    </w:p>
    <w:p w14:paraId="3E4A9759" w14:textId="23957AA2" w:rsidR="00F009BF" w:rsidRDefault="00F009BF" w:rsidP="00F009BF">
      <w:r>
        <w:t>If you have many VM above 10%, you can add more bars or change the range to increment by 2% instead. This gives you better visibility beyond this range.</w:t>
      </w:r>
    </w:p>
    <w:p w14:paraId="047ACDE2" w14:textId="4F10E8F0" w:rsidR="009300B0" w:rsidRDefault="009300B0" w:rsidP="009300B0">
      <w:pPr>
        <w:pStyle w:val="Heading5"/>
      </w:pPr>
      <w:r>
        <w:t>Disk Profiling</w:t>
      </w:r>
    </w:p>
    <w:p w14:paraId="7846F9B9" w14:textId="77777777" w:rsidR="00F009BF" w:rsidRDefault="00F009BF" w:rsidP="00F009BF">
      <w:r w:rsidRPr="00F85576">
        <w:rPr>
          <w:noProof/>
        </w:rPr>
        <w:drawing>
          <wp:inline distT="0" distB="0" distL="0" distR="0" wp14:anchorId="0BCA941D" wp14:editId="75A0E284">
            <wp:extent cx="6645910" cy="2245360"/>
            <wp:effectExtent l="0" t="0" r="2540" b="2540"/>
            <wp:docPr id="1085195921" name="Picture 1085195921"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21" name="Picture 1085195921" descr="Chart&#10;&#10;Description automatically generated with medium confidence"/>
                    <pic:cNvPicPr/>
                  </pic:nvPicPr>
                  <pic:blipFill>
                    <a:blip r:embed="rId1025"/>
                    <a:stretch>
                      <a:fillRect/>
                    </a:stretch>
                  </pic:blipFill>
                  <pic:spPr>
                    <a:xfrm>
                      <a:off x="0" y="0"/>
                      <a:ext cx="6645910" cy="2245360"/>
                    </a:xfrm>
                    <a:prstGeom prst="rect">
                      <a:avLst/>
                    </a:prstGeom>
                  </pic:spPr>
                </pic:pic>
              </a:graphicData>
            </a:graphic>
          </wp:inline>
        </w:drawing>
      </w:r>
    </w:p>
    <w:p w14:paraId="55E734DA" w14:textId="77777777" w:rsidR="00F009BF" w:rsidRDefault="00F009BF" w:rsidP="00F009BF">
      <w:r>
        <w:t>For disk latency, I recommend the following bucket size as default.</w:t>
      </w:r>
    </w:p>
    <w:p w14:paraId="21E378C5" w14:textId="77777777" w:rsidR="00F009BF" w:rsidRDefault="00F009BF" w:rsidP="00F009BF">
      <w:pPr>
        <w:pStyle w:val="Bullet"/>
      </w:pPr>
      <w:r>
        <w:t>0 – 5 ms and 5 – 10 ms to gain insight into the low latency</w:t>
      </w:r>
    </w:p>
    <w:p w14:paraId="2E9CF4C9" w14:textId="77777777" w:rsidR="00F009BF" w:rsidRDefault="00F009BF" w:rsidP="00F009BF">
      <w:pPr>
        <w:pStyle w:val="Bullet"/>
      </w:pPr>
      <w:r>
        <w:t>10 – 20, 20 – 30, and 30 – 40 ms to gain insight into the medium latency</w:t>
      </w:r>
    </w:p>
    <w:p w14:paraId="566786FA" w14:textId="77777777" w:rsidR="00F009BF" w:rsidRDefault="00F009BF" w:rsidP="00F009BF">
      <w:pPr>
        <w:pStyle w:val="Bullet"/>
      </w:pPr>
      <w:r>
        <w:t>60 – 80 and 80 – 100 to gain insight into the high latency</w:t>
      </w:r>
    </w:p>
    <w:p w14:paraId="5CB21B5B" w14:textId="77777777" w:rsidR="00F009BF" w:rsidRDefault="00F009BF" w:rsidP="00F009BF">
      <w:pPr>
        <w:pStyle w:val="Bullet"/>
      </w:pPr>
      <w:r>
        <w:t xml:space="preserve">&gt; 100 ms to capture the rest. </w:t>
      </w:r>
    </w:p>
    <w:p w14:paraId="37D05989" w14:textId="77777777" w:rsidR="00F009BF" w:rsidRDefault="00F009BF" w:rsidP="00F009BF">
      <w:r>
        <w:t xml:space="preserve">If you think your customers can tolerate worse latency, use a broader bucket size until there is minimal VM in the last bucket. In the following, I took the same chart above and applied a higher latency bucket. </w:t>
      </w:r>
    </w:p>
    <w:p w14:paraId="4F07B0B0" w14:textId="77777777" w:rsidR="00F009BF" w:rsidRDefault="00F009BF" w:rsidP="00F009BF">
      <w:r>
        <w:t xml:space="preserve">What do you think of the result?  </w:t>
      </w:r>
    </w:p>
    <w:p w14:paraId="75123A8F" w14:textId="77777777" w:rsidR="00F009BF" w:rsidRDefault="00F009BF" w:rsidP="00F009BF">
      <w:r w:rsidRPr="0002629B">
        <w:rPr>
          <w:noProof/>
        </w:rPr>
        <w:lastRenderedPageBreak/>
        <w:drawing>
          <wp:inline distT="0" distB="0" distL="0" distR="0" wp14:anchorId="381ED4D2" wp14:editId="11D7414D">
            <wp:extent cx="6645910" cy="2557780"/>
            <wp:effectExtent l="0" t="0" r="2540" b="0"/>
            <wp:docPr id="1085195922" name="Picture 108519592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22" name="Picture 1085195922" descr="Chart&#10;&#10;Description automatically generated"/>
                    <pic:cNvPicPr/>
                  </pic:nvPicPr>
                  <pic:blipFill>
                    <a:blip r:embed="rId1026"/>
                    <a:stretch>
                      <a:fillRect/>
                    </a:stretch>
                  </pic:blipFill>
                  <pic:spPr>
                    <a:xfrm>
                      <a:off x="0" y="0"/>
                      <a:ext cx="6645910" cy="2557780"/>
                    </a:xfrm>
                    <a:prstGeom prst="rect">
                      <a:avLst/>
                    </a:prstGeom>
                  </pic:spPr>
                </pic:pic>
              </a:graphicData>
            </a:graphic>
          </wp:inline>
        </w:drawing>
      </w:r>
    </w:p>
    <w:p w14:paraId="575D6BFF" w14:textId="77777777" w:rsidR="00F009BF" w:rsidRDefault="00F009BF" w:rsidP="00F009BF">
      <w:r>
        <w:t xml:space="preserve">It’s interesting to see the polarizing result! In this case, the lab has 2 different classes of storage. One is SSD the other is magnetic. </w:t>
      </w:r>
    </w:p>
    <w:p w14:paraId="3604ECC7" w14:textId="77777777" w:rsidR="00F009BF" w:rsidRDefault="00F009BF" w:rsidP="00F009BF">
      <w:r>
        <w:t>BTWm the last bar in the preceding chart should be smaller, as you do not expect many VMs are experiencing &gt; 250 ms disk latency.</w:t>
      </w:r>
    </w:p>
    <w:p w14:paraId="4895D3DA" w14:textId="7F659525" w:rsidR="002337E2" w:rsidRPr="008576C7" w:rsidRDefault="002337E2" w:rsidP="002337E2">
      <w:pPr>
        <w:pStyle w:val="Heading5"/>
      </w:pPr>
      <w:r>
        <w:t>Extra Analysis</w:t>
      </w:r>
    </w:p>
    <w:p w14:paraId="36ED1F5F" w14:textId="77777777" w:rsidR="002337E2" w:rsidRPr="00897E80" w:rsidRDefault="002337E2" w:rsidP="002337E2">
      <w:r>
        <w:t xml:space="preserve">If you have many VMs, export the preceding table to further analyse in a spreadsheet. The following proves in my environment that CPU Ready tend to be short-lived. </w:t>
      </w:r>
    </w:p>
    <w:p w14:paraId="41D95CCC" w14:textId="77777777" w:rsidR="002337E2" w:rsidRDefault="002337E2" w:rsidP="002337E2">
      <w:pPr>
        <w:jc w:val="center"/>
      </w:pPr>
      <w:r w:rsidRPr="000B51A4">
        <w:rPr>
          <w:noProof/>
        </w:rPr>
        <w:drawing>
          <wp:inline distT="0" distB="0" distL="0" distR="0" wp14:anchorId="4EE02A26" wp14:editId="08BDCB06">
            <wp:extent cx="5934456" cy="3182112"/>
            <wp:effectExtent l="0" t="0" r="9525" b="0"/>
            <wp:docPr id="1583707937" name="Picture 1583707937" descr="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37" name="Picture 1583707937" descr="Chart, scatter chart&#10;&#10;Description automatically generated"/>
                    <pic:cNvPicPr/>
                  </pic:nvPicPr>
                  <pic:blipFill>
                    <a:blip r:embed="rId1027"/>
                    <a:stretch>
                      <a:fillRect/>
                    </a:stretch>
                  </pic:blipFill>
                  <pic:spPr>
                    <a:xfrm>
                      <a:off x="0" y="0"/>
                      <a:ext cx="5934456" cy="3182112"/>
                    </a:xfrm>
                    <a:prstGeom prst="rect">
                      <a:avLst/>
                    </a:prstGeom>
                  </pic:spPr>
                </pic:pic>
              </a:graphicData>
            </a:graphic>
          </wp:inline>
        </w:drawing>
      </w:r>
    </w:p>
    <w:p w14:paraId="4AC9DD6B" w14:textId="77777777" w:rsidR="002337E2" w:rsidRDefault="002337E2" w:rsidP="002337E2">
      <w:r>
        <w:t>How do I know that?</w:t>
      </w:r>
    </w:p>
    <w:p w14:paraId="3D402D82" w14:textId="77777777" w:rsidR="002337E2" w:rsidRDefault="002337E2" w:rsidP="002337E2">
      <w:r>
        <w:t>The value at 99</w:t>
      </w:r>
      <w:r w:rsidRPr="007D1E11">
        <w:rPr>
          <w:vertAlign w:val="superscript"/>
        </w:rPr>
        <w:t>th</w:t>
      </w:r>
      <w:r>
        <w:t xml:space="preserve"> percentile is much lower.</w:t>
      </w:r>
    </w:p>
    <w:p w14:paraId="621EB3AF" w14:textId="77777777" w:rsidR="002337E2" w:rsidRDefault="002337E2" w:rsidP="002337E2">
      <w:r>
        <w:lastRenderedPageBreak/>
        <w:t>Working with large data sets also helps in catching rare bugs. A bug may occur once in a million only, but if you profile 50 millions you can confirm the bug exists as there are enough of them to rule out cosmic rays</w:t>
      </w:r>
      <w:r>
        <w:rPr>
          <w:rStyle w:val="FootnoteReference"/>
        </w:rPr>
        <w:footnoteReference w:id="25"/>
      </w:r>
      <w:r>
        <w:t>.</w:t>
      </w:r>
    </w:p>
    <w:p w14:paraId="75FC71A5" w14:textId="77777777" w:rsidR="00F009BF" w:rsidRDefault="00F009BF" w:rsidP="00F009BF">
      <w:pPr>
        <w:pStyle w:val="Heading5"/>
      </w:pPr>
      <w:r>
        <w:t>Summary</w:t>
      </w:r>
    </w:p>
    <w:p w14:paraId="70A0C199" w14:textId="77777777" w:rsidR="00F009BF" w:rsidRDefault="00F009BF" w:rsidP="00F009BF">
      <w:pPr>
        <w:rPr>
          <w:lang w:val="en-GB"/>
        </w:rPr>
      </w:pPr>
      <w:r>
        <w:rPr>
          <w:lang w:val="en-GB"/>
        </w:rPr>
        <w:t xml:space="preserve">What’s missing from the above 3 charts? </w:t>
      </w:r>
    </w:p>
    <w:p w14:paraId="622FF1C2" w14:textId="77777777" w:rsidR="00F009BF" w:rsidRDefault="00F009BF" w:rsidP="00F009BF">
      <w:pPr>
        <w:rPr>
          <w:lang w:val="en-GB"/>
        </w:rPr>
      </w:pPr>
      <w:r>
        <w:rPr>
          <w:lang w:val="en-GB"/>
        </w:rPr>
        <w:t xml:space="preserve">You’re right. It does not give the </w:t>
      </w:r>
      <w:r w:rsidRPr="007579AF">
        <w:rPr>
          <w:i/>
          <w:iCs/>
          <w:color w:val="00B0F0"/>
          <w:lang w:val="en-GB"/>
        </w:rPr>
        <w:t>actual number</w:t>
      </w:r>
      <w:r w:rsidRPr="007579AF">
        <w:rPr>
          <w:color w:val="00B0F0"/>
          <w:lang w:val="en-GB"/>
        </w:rPr>
        <w:t xml:space="preserve"> </w:t>
      </w:r>
      <w:r>
        <w:rPr>
          <w:lang w:val="en-GB"/>
        </w:rPr>
        <w:t xml:space="preserve">of the performance. You have to manually look at it and estimate where the performance is. In this case, since every number is the worst for that VM, you should take the average of this number. </w:t>
      </w:r>
    </w:p>
    <w:p w14:paraId="645A7DF6" w14:textId="77777777" w:rsidR="00F009BF" w:rsidRDefault="00F009BF" w:rsidP="00F009BF">
      <w:pPr>
        <w:rPr>
          <w:lang w:val="en-GB"/>
        </w:rPr>
      </w:pPr>
      <w:r>
        <w:rPr>
          <w:lang w:val="en-GB"/>
        </w:rPr>
        <w:t xml:space="preserve">Also, it does not tell whether the worst number is really an outlier or not. </w:t>
      </w:r>
    </w:p>
    <w:p w14:paraId="7E9F2213" w14:textId="77777777" w:rsidR="00F009BF" w:rsidRDefault="00F009BF" w:rsidP="00F009BF">
      <w:pPr>
        <w:rPr>
          <w:lang w:val="en-GB"/>
        </w:rPr>
      </w:pPr>
      <w:r>
        <w:rPr>
          <w:lang w:val="en-GB"/>
        </w:rPr>
        <w:t xml:space="preserve">So how do you get the number to represent millions of numbers? </w:t>
      </w:r>
    </w:p>
    <w:p w14:paraId="39EB3FB1" w14:textId="77777777" w:rsidR="00F009BF" w:rsidRDefault="00F009BF" w:rsidP="00F009BF">
      <w:pPr>
        <w:rPr>
          <w:lang w:val="en-GB"/>
        </w:rPr>
      </w:pPr>
      <w:r w:rsidRPr="00CA690F">
        <w:rPr>
          <w:noProof/>
          <w:lang w:val="en-GB"/>
        </w:rPr>
        <w:drawing>
          <wp:inline distT="0" distB="0" distL="0" distR="0" wp14:anchorId="09F0E59E" wp14:editId="79A58C2D">
            <wp:extent cx="6645910" cy="2460625"/>
            <wp:effectExtent l="0" t="0" r="2540" b="0"/>
            <wp:docPr id="1525330243" name="Picture 1525330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8"/>
                    <a:stretch>
                      <a:fillRect/>
                    </a:stretch>
                  </pic:blipFill>
                  <pic:spPr>
                    <a:xfrm>
                      <a:off x="0" y="0"/>
                      <a:ext cx="6645910" cy="2460625"/>
                    </a:xfrm>
                    <a:prstGeom prst="rect">
                      <a:avLst/>
                    </a:prstGeom>
                  </pic:spPr>
                </pic:pic>
              </a:graphicData>
            </a:graphic>
          </wp:inline>
        </w:drawing>
      </w:r>
    </w:p>
    <w:p w14:paraId="10F74ED5" w14:textId="77777777" w:rsidR="00F009BF" w:rsidRDefault="00F009BF" w:rsidP="00F009BF">
      <w:pPr>
        <w:rPr>
          <w:lang w:val="en-GB"/>
        </w:rPr>
      </w:pPr>
      <w:r>
        <w:rPr>
          <w:lang w:val="en-GB"/>
        </w:rPr>
        <w:t>You will need a table for this, showing the 99.9</w:t>
      </w:r>
      <w:r w:rsidRPr="00B82E6A">
        <w:rPr>
          <w:vertAlign w:val="superscript"/>
          <w:lang w:val="en-GB"/>
        </w:rPr>
        <w:t>th</w:t>
      </w:r>
      <w:r>
        <w:rPr>
          <w:lang w:val="en-GB"/>
        </w:rPr>
        <w:t xml:space="preserve"> percentile data.</w:t>
      </w:r>
    </w:p>
    <w:p w14:paraId="7A97F992" w14:textId="77777777" w:rsidR="00F009BF" w:rsidRDefault="00F009BF" w:rsidP="00F009BF">
      <w:pPr>
        <w:rPr>
          <w:lang w:val="en-GB"/>
        </w:rPr>
      </w:pPr>
      <w:r>
        <w:rPr>
          <w:lang w:val="en-GB"/>
        </w:rPr>
        <w:t>You sort the list in descending order, so the biggest value appears first. Investigate all those values that are really high, as they are not normal.</w:t>
      </w:r>
    </w:p>
    <w:p w14:paraId="334E5F16" w14:textId="77777777" w:rsidR="00F009BF" w:rsidRDefault="00F009BF" w:rsidP="00F009BF">
      <w:pPr>
        <w:rPr>
          <w:lang w:val="en-GB"/>
        </w:rPr>
      </w:pPr>
      <w:r>
        <w:rPr>
          <w:lang w:val="en-GB"/>
        </w:rPr>
        <w:t xml:space="preserve">Add a summary for the all the VMs by averaging the values and taking the worst. This becomes your </w:t>
      </w:r>
      <w:r w:rsidRPr="00056252">
        <w:rPr>
          <w:b/>
          <w:bCs/>
          <w:color w:val="00B0F0"/>
          <w:lang w:val="en-GB"/>
        </w:rPr>
        <w:t>Before Optimization</w:t>
      </w:r>
      <w:r w:rsidRPr="00056252">
        <w:rPr>
          <w:color w:val="00B0F0"/>
          <w:lang w:val="en-GB"/>
        </w:rPr>
        <w:t xml:space="preserve"> </w:t>
      </w:r>
      <w:r>
        <w:rPr>
          <w:lang w:val="en-GB"/>
        </w:rPr>
        <w:t xml:space="preserve">numbers. </w:t>
      </w:r>
    </w:p>
    <w:p w14:paraId="60A28B02" w14:textId="77777777" w:rsidR="00F009BF" w:rsidRDefault="00F009BF" w:rsidP="00F009BF">
      <w:pPr>
        <w:rPr>
          <w:lang w:val="en-GB"/>
        </w:rPr>
      </w:pPr>
      <w:r>
        <w:rPr>
          <w:lang w:val="en-GB"/>
        </w:rPr>
        <w:t>The following screenshot provides an example. What insight do you gain from it?</w:t>
      </w:r>
    </w:p>
    <w:p w14:paraId="56BBB885" w14:textId="77777777" w:rsidR="00F009BF" w:rsidRDefault="00F009BF" w:rsidP="00F009BF">
      <w:pPr>
        <w:jc w:val="center"/>
        <w:rPr>
          <w:lang w:val="en-GB"/>
        </w:rPr>
      </w:pPr>
      <w:r w:rsidRPr="00AD6688">
        <w:rPr>
          <w:noProof/>
          <w:lang w:val="en-GB"/>
        </w:rPr>
        <w:lastRenderedPageBreak/>
        <w:drawing>
          <wp:inline distT="0" distB="0" distL="0" distR="0" wp14:anchorId="5EFF99E0" wp14:editId="0EBF0636">
            <wp:extent cx="6645910" cy="2079625"/>
            <wp:effectExtent l="0" t="0" r="2540" b="0"/>
            <wp:docPr id="357815377" name="Picture 35781537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77" name="Picture 357815377" descr="Graphical user interface, text, application, email&#10;&#10;Description automatically generated"/>
                    <pic:cNvPicPr/>
                  </pic:nvPicPr>
                  <pic:blipFill>
                    <a:blip r:embed="rId1029"/>
                    <a:stretch>
                      <a:fillRect/>
                    </a:stretch>
                  </pic:blipFill>
                  <pic:spPr>
                    <a:xfrm>
                      <a:off x="0" y="0"/>
                      <a:ext cx="6645910" cy="2079625"/>
                    </a:xfrm>
                    <a:prstGeom prst="rect">
                      <a:avLst/>
                    </a:prstGeom>
                  </pic:spPr>
                </pic:pic>
              </a:graphicData>
            </a:graphic>
          </wp:inline>
        </w:drawing>
      </w:r>
    </w:p>
    <w:p w14:paraId="7AA2BCA0" w14:textId="77777777" w:rsidR="00F009BF" w:rsidRDefault="00F009BF" w:rsidP="00F009BF">
      <w:pPr>
        <w:rPr>
          <w:lang w:val="en-GB"/>
        </w:rPr>
      </w:pPr>
      <w:r>
        <w:rPr>
          <w:lang w:val="en-GB"/>
        </w:rPr>
        <w:t>The gap between average and worst is huge!</w:t>
      </w:r>
    </w:p>
    <w:p w14:paraId="502B3F0F" w14:textId="136C5FD8" w:rsidR="00F009BF" w:rsidRDefault="00F009BF" w:rsidP="00F009BF">
      <w:pPr>
        <w:rPr>
          <w:lang w:val="en-GB"/>
        </w:rPr>
      </w:pPr>
      <w:r>
        <w:rPr>
          <w:lang w:val="en-GB"/>
        </w:rPr>
        <w:t xml:space="preserve">That means majority of the VMs are being served well, but there is a small percentage that are not getting served. You want to investigate which segment of your IaaS is not performing. </w:t>
      </w:r>
    </w:p>
    <w:p w14:paraId="3FA59BFD" w14:textId="6D56A4CB" w:rsidR="002337E2" w:rsidRDefault="002337E2" w:rsidP="00F009BF">
      <w:pPr>
        <w:rPr>
          <w:lang w:val="en-GB"/>
        </w:rPr>
      </w:pPr>
      <w:r>
        <w:rPr>
          <w:lang w:val="en-GB"/>
        </w:rPr>
        <w:t>Once you have the numbers, take a screenshot and keep it. This serves as proof. The dashboard is unable to keep versions.</w:t>
      </w:r>
      <w:r w:rsidRPr="002337E2">
        <w:t xml:space="preserve"> </w:t>
      </w:r>
      <w:r>
        <w:t>The reason is the widgets do not show trend over time. As the improvement you’re implementing takes months, you can’t show the progress over time</w:t>
      </w:r>
    </w:p>
    <w:p w14:paraId="7BE41EC1" w14:textId="2E09B147" w:rsidR="002337E2" w:rsidRDefault="002337E2" w:rsidP="002337E2">
      <w:pPr>
        <w:pStyle w:val="Heading5"/>
      </w:pPr>
      <w:r>
        <w:t>Validation</w:t>
      </w:r>
    </w:p>
    <w:p w14:paraId="0EBE692D" w14:textId="77777777" w:rsidR="00F009BF" w:rsidRDefault="00F009BF" w:rsidP="00F009BF">
      <w:r>
        <w:t>You should also compare the numbers with the default threshold used in vRealize Operations, as shown in the following table:</w:t>
      </w:r>
    </w:p>
    <w:p w14:paraId="39D5AB5B" w14:textId="77777777" w:rsidR="00F009BF" w:rsidRDefault="00F009BF" w:rsidP="00F009BF">
      <w:pPr>
        <w:pStyle w:val="BeforeTable"/>
      </w:pPr>
    </w:p>
    <w:tbl>
      <w:tblPr>
        <w:tblStyle w:val="TableGrid"/>
        <w:tblW w:w="9505" w:type="dxa"/>
        <w:jc w:val="center"/>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27"/>
        <w:gridCol w:w="1842"/>
        <w:gridCol w:w="1985"/>
        <w:gridCol w:w="1843"/>
        <w:gridCol w:w="1708"/>
      </w:tblGrid>
      <w:tr w:rsidR="00F009BF" w14:paraId="180EDD2D" w14:textId="77777777" w:rsidTr="00E440AB">
        <w:trPr>
          <w:jc w:val="center"/>
        </w:trPr>
        <w:tc>
          <w:tcPr>
            <w:tcW w:w="2127" w:type="dxa"/>
            <w:shd w:val="clear" w:color="auto" w:fill="F2F2F2" w:themeFill="background1" w:themeFillShade="F2"/>
          </w:tcPr>
          <w:p w14:paraId="551B8AE3" w14:textId="77777777" w:rsidR="00F009BF" w:rsidRPr="00CA3E94" w:rsidRDefault="00F009BF" w:rsidP="00E440AB">
            <w:pPr>
              <w:pStyle w:val="Tableheading"/>
            </w:pPr>
            <w:r>
              <w:t>Metric</w:t>
            </w:r>
          </w:p>
        </w:tc>
        <w:tc>
          <w:tcPr>
            <w:tcW w:w="1842" w:type="dxa"/>
            <w:shd w:val="clear" w:color="auto" w:fill="F2F2F2" w:themeFill="background1" w:themeFillShade="F2"/>
          </w:tcPr>
          <w:p w14:paraId="1CAC1596" w14:textId="4B4B09FD" w:rsidR="00F009BF" w:rsidRDefault="0022569A" w:rsidP="00E440AB">
            <w:pPr>
              <w:pStyle w:val="Tableheading"/>
            </w:pPr>
            <w:r w:rsidRPr="0022569A">
              <w:rPr>
                <w:color w:val="00B050"/>
              </w:rPr>
              <w:t>Green</w:t>
            </w:r>
            <w:r w:rsidR="00F009BF">
              <w:t xml:space="preserve"> Range</w:t>
            </w:r>
          </w:p>
        </w:tc>
        <w:tc>
          <w:tcPr>
            <w:tcW w:w="1985" w:type="dxa"/>
            <w:shd w:val="clear" w:color="auto" w:fill="F2F2F2" w:themeFill="background1" w:themeFillShade="F2"/>
          </w:tcPr>
          <w:p w14:paraId="10C4DD48" w14:textId="301AF61C" w:rsidR="00F009BF" w:rsidRDefault="00CF7D2C" w:rsidP="00E440AB">
            <w:pPr>
              <w:pStyle w:val="Tableheading"/>
            </w:pPr>
            <w:r w:rsidRPr="00CF7D2C">
              <w:rPr>
                <w:color w:val="FFFF00"/>
              </w:rPr>
              <w:t>Yellow</w:t>
            </w:r>
            <w:r w:rsidR="00F009BF">
              <w:t xml:space="preserve"> Range</w:t>
            </w:r>
          </w:p>
        </w:tc>
        <w:tc>
          <w:tcPr>
            <w:tcW w:w="1843" w:type="dxa"/>
            <w:shd w:val="clear" w:color="auto" w:fill="F2F2F2" w:themeFill="background1" w:themeFillShade="F2"/>
          </w:tcPr>
          <w:p w14:paraId="6B69D910" w14:textId="13F2D595" w:rsidR="00F009BF" w:rsidRDefault="00CF7D2C" w:rsidP="00E440AB">
            <w:pPr>
              <w:pStyle w:val="Tableheading"/>
            </w:pPr>
            <w:r w:rsidRPr="00CF7D2C">
              <w:rPr>
                <w:color w:val="ED7D31" w:themeColor="accent2"/>
              </w:rPr>
              <w:t>Orange</w:t>
            </w:r>
            <w:r w:rsidR="00F009BF">
              <w:t xml:space="preserve"> Range</w:t>
            </w:r>
          </w:p>
        </w:tc>
        <w:tc>
          <w:tcPr>
            <w:tcW w:w="1708" w:type="dxa"/>
            <w:shd w:val="clear" w:color="auto" w:fill="F2F2F2" w:themeFill="background1" w:themeFillShade="F2"/>
          </w:tcPr>
          <w:p w14:paraId="56B926B5" w14:textId="1B6B00DA" w:rsidR="00F009BF" w:rsidRDefault="00CF7D2C" w:rsidP="00E440AB">
            <w:pPr>
              <w:pStyle w:val="Tableheading"/>
            </w:pPr>
            <w:r w:rsidRPr="00CF7D2C">
              <w:rPr>
                <w:color w:val="FF0000"/>
              </w:rPr>
              <w:t>Red</w:t>
            </w:r>
            <w:r w:rsidR="00F009BF">
              <w:t xml:space="preserve"> Range</w:t>
            </w:r>
          </w:p>
        </w:tc>
      </w:tr>
      <w:tr w:rsidR="00F009BF" w14:paraId="50C03292" w14:textId="77777777" w:rsidTr="00E440AB">
        <w:trPr>
          <w:jc w:val="center"/>
        </w:trPr>
        <w:tc>
          <w:tcPr>
            <w:tcW w:w="2127" w:type="dxa"/>
            <w:shd w:val="clear" w:color="auto" w:fill="auto"/>
          </w:tcPr>
          <w:p w14:paraId="0D47BEA6" w14:textId="77777777" w:rsidR="00F009BF" w:rsidRPr="00CA3E94" w:rsidRDefault="00F009BF" w:rsidP="00E440AB">
            <w:pPr>
              <w:pStyle w:val="Tablecontent"/>
            </w:pPr>
            <w:r>
              <w:t>CPU Ready</w:t>
            </w:r>
          </w:p>
        </w:tc>
        <w:tc>
          <w:tcPr>
            <w:tcW w:w="1842" w:type="dxa"/>
          </w:tcPr>
          <w:p w14:paraId="14699BBB" w14:textId="77777777" w:rsidR="00F009BF" w:rsidRDefault="00F009BF" w:rsidP="00E440AB">
            <w:pPr>
              <w:pStyle w:val="Tablecontent"/>
              <w:jc w:val="right"/>
            </w:pPr>
            <w:r>
              <w:t>0 – 2%</w:t>
            </w:r>
          </w:p>
        </w:tc>
        <w:tc>
          <w:tcPr>
            <w:tcW w:w="1985" w:type="dxa"/>
            <w:shd w:val="clear" w:color="auto" w:fill="auto"/>
          </w:tcPr>
          <w:p w14:paraId="32881BF7" w14:textId="77777777" w:rsidR="00F009BF" w:rsidRDefault="00F009BF" w:rsidP="00E440AB">
            <w:pPr>
              <w:pStyle w:val="Tablecontent"/>
              <w:jc w:val="right"/>
            </w:pPr>
            <w:r>
              <w:t>2 – 4%</w:t>
            </w:r>
          </w:p>
        </w:tc>
        <w:tc>
          <w:tcPr>
            <w:tcW w:w="1843" w:type="dxa"/>
          </w:tcPr>
          <w:p w14:paraId="2AA5B410" w14:textId="77777777" w:rsidR="00F009BF" w:rsidRDefault="00F009BF" w:rsidP="00E440AB">
            <w:pPr>
              <w:pStyle w:val="Tablecontent"/>
              <w:jc w:val="right"/>
            </w:pPr>
            <w:r>
              <w:t>4 – 8%</w:t>
            </w:r>
          </w:p>
        </w:tc>
        <w:tc>
          <w:tcPr>
            <w:tcW w:w="1708" w:type="dxa"/>
          </w:tcPr>
          <w:p w14:paraId="31F9A1C8" w14:textId="77777777" w:rsidR="00F009BF" w:rsidRDefault="00F009BF" w:rsidP="00E440AB">
            <w:pPr>
              <w:pStyle w:val="Tablecontent"/>
              <w:jc w:val="right"/>
            </w:pPr>
            <w:r>
              <w:t>8 – 16%</w:t>
            </w:r>
          </w:p>
        </w:tc>
      </w:tr>
      <w:tr w:rsidR="00F009BF" w14:paraId="3E2F903B" w14:textId="77777777" w:rsidTr="00E440AB">
        <w:trPr>
          <w:jc w:val="center"/>
        </w:trPr>
        <w:tc>
          <w:tcPr>
            <w:tcW w:w="2127" w:type="dxa"/>
            <w:shd w:val="clear" w:color="auto" w:fill="auto"/>
          </w:tcPr>
          <w:p w14:paraId="7860FEBA" w14:textId="77777777" w:rsidR="00F009BF" w:rsidRPr="00CA3E94" w:rsidRDefault="00F009BF" w:rsidP="00E440AB">
            <w:pPr>
              <w:pStyle w:val="Tablecontent"/>
            </w:pPr>
            <w:r>
              <w:t>Memory Contention</w:t>
            </w:r>
          </w:p>
        </w:tc>
        <w:tc>
          <w:tcPr>
            <w:tcW w:w="1842" w:type="dxa"/>
          </w:tcPr>
          <w:p w14:paraId="3C1910CB" w14:textId="77777777" w:rsidR="00F009BF" w:rsidRDefault="00F009BF" w:rsidP="00E440AB">
            <w:pPr>
              <w:pStyle w:val="Tablecontent"/>
              <w:jc w:val="right"/>
            </w:pPr>
            <w:r>
              <w:t>0 – 0.5%</w:t>
            </w:r>
          </w:p>
        </w:tc>
        <w:tc>
          <w:tcPr>
            <w:tcW w:w="1985" w:type="dxa"/>
            <w:shd w:val="clear" w:color="auto" w:fill="auto"/>
          </w:tcPr>
          <w:p w14:paraId="28A612E4" w14:textId="77777777" w:rsidR="00F009BF" w:rsidRDefault="00F009BF" w:rsidP="00E440AB">
            <w:pPr>
              <w:pStyle w:val="Tablecontent"/>
              <w:jc w:val="right"/>
            </w:pPr>
            <w:r>
              <w:t>0.5 – 1%</w:t>
            </w:r>
          </w:p>
        </w:tc>
        <w:tc>
          <w:tcPr>
            <w:tcW w:w="1843" w:type="dxa"/>
          </w:tcPr>
          <w:p w14:paraId="062F71D3" w14:textId="77777777" w:rsidR="00F009BF" w:rsidRDefault="00F009BF" w:rsidP="00E440AB">
            <w:pPr>
              <w:pStyle w:val="Tablecontent"/>
              <w:jc w:val="right"/>
            </w:pPr>
            <w:r>
              <w:t>1 – 2%</w:t>
            </w:r>
          </w:p>
        </w:tc>
        <w:tc>
          <w:tcPr>
            <w:tcW w:w="1708" w:type="dxa"/>
          </w:tcPr>
          <w:p w14:paraId="652E5995" w14:textId="77777777" w:rsidR="00F009BF" w:rsidRDefault="00F009BF" w:rsidP="00E440AB">
            <w:pPr>
              <w:pStyle w:val="Tablecontent"/>
              <w:jc w:val="right"/>
            </w:pPr>
            <w:r>
              <w:t>2 – 4%</w:t>
            </w:r>
          </w:p>
        </w:tc>
      </w:tr>
      <w:tr w:rsidR="00F009BF" w14:paraId="1D112DCE" w14:textId="77777777" w:rsidTr="00E440AB">
        <w:trPr>
          <w:jc w:val="center"/>
        </w:trPr>
        <w:tc>
          <w:tcPr>
            <w:tcW w:w="2127" w:type="dxa"/>
            <w:shd w:val="clear" w:color="auto" w:fill="auto"/>
          </w:tcPr>
          <w:p w14:paraId="41BCFEE0" w14:textId="77777777" w:rsidR="00F009BF" w:rsidRDefault="00F009BF" w:rsidP="00E440AB">
            <w:pPr>
              <w:pStyle w:val="Tablecontent"/>
            </w:pPr>
            <w:r>
              <w:t>Disk Latency</w:t>
            </w:r>
          </w:p>
        </w:tc>
        <w:tc>
          <w:tcPr>
            <w:tcW w:w="1842" w:type="dxa"/>
          </w:tcPr>
          <w:p w14:paraId="0A8AB03E" w14:textId="77777777" w:rsidR="00F009BF" w:rsidRDefault="00F009BF" w:rsidP="00E440AB">
            <w:pPr>
              <w:pStyle w:val="Tablecontent"/>
              <w:jc w:val="right"/>
            </w:pPr>
            <w:r>
              <w:t>0 – 10 ms</w:t>
            </w:r>
          </w:p>
        </w:tc>
        <w:tc>
          <w:tcPr>
            <w:tcW w:w="1985" w:type="dxa"/>
            <w:shd w:val="clear" w:color="auto" w:fill="auto"/>
          </w:tcPr>
          <w:p w14:paraId="0597FE56" w14:textId="77777777" w:rsidR="00F009BF" w:rsidRDefault="00F009BF" w:rsidP="00E440AB">
            <w:pPr>
              <w:pStyle w:val="Tablecontent"/>
              <w:jc w:val="right"/>
            </w:pPr>
            <w:r>
              <w:t>10 – 20 ms</w:t>
            </w:r>
          </w:p>
        </w:tc>
        <w:tc>
          <w:tcPr>
            <w:tcW w:w="1843" w:type="dxa"/>
          </w:tcPr>
          <w:p w14:paraId="3304EB7B" w14:textId="77777777" w:rsidR="00F009BF" w:rsidRDefault="00F009BF" w:rsidP="00E440AB">
            <w:pPr>
              <w:pStyle w:val="Tablecontent"/>
              <w:jc w:val="right"/>
            </w:pPr>
            <w:r>
              <w:t>20 – 40 ms</w:t>
            </w:r>
          </w:p>
        </w:tc>
        <w:tc>
          <w:tcPr>
            <w:tcW w:w="1708" w:type="dxa"/>
          </w:tcPr>
          <w:p w14:paraId="5ECA9709" w14:textId="77777777" w:rsidR="00F009BF" w:rsidRDefault="00F009BF" w:rsidP="00E440AB">
            <w:pPr>
              <w:pStyle w:val="Tablecontent"/>
              <w:jc w:val="right"/>
            </w:pPr>
            <w:r>
              <w:t>40 – 80 ms</w:t>
            </w:r>
          </w:p>
        </w:tc>
      </w:tr>
    </w:tbl>
    <w:p w14:paraId="37170324" w14:textId="65B9228A" w:rsidR="00F009BF" w:rsidRDefault="00F009BF" w:rsidP="00F009BF">
      <w:r>
        <w:t xml:space="preserve">Generally speaking, for environment where performance is number 1, you want the value to be in the </w:t>
      </w:r>
      <w:r w:rsidR="0022569A" w:rsidRPr="0022569A">
        <w:rPr>
          <w:color w:val="00B050"/>
        </w:rPr>
        <w:t>green</w:t>
      </w:r>
      <w:r>
        <w:t xml:space="preserve"> to </w:t>
      </w:r>
      <w:r w:rsidR="00CF7D2C" w:rsidRPr="00CF7D2C">
        <w:rPr>
          <w:color w:val="FFFF00"/>
        </w:rPr>
        <w:t>yellow</w:t>
      </w:r>
      <w:r>
        <w:t xml:space="preserve"> range for the Worst and </w:t>
      </w:r>
      <w:r w:rsidR="0022569A" w:rsidRPr="0022569A">
        <w:rPr>
          <w:color w:val="00B050"/>
        </w:rPr>
        <w:t>green</w:t>
      </w:r>
      <w:r>
        <w:t xml:space="preserve"> range for 99</w:t>
      </w:r>
      <w:r w:rsidRPr="006F0336">
        <w:rPr>
          <w:vertAlign w:val="superscript"/>
        </w:rPr>
        <w:t>th</w:t>
      </w:r>
      <w:r>
        <w:t xml:space="preserve"> percentile. For environment where cost is number 1, you likely have to lower expectation of your customers. </w:t>
      </w:r>
    </w:p>
    <w:p w14:paraId="2D1DB161" w14:textId="2A98A942" w:rsidR="002337E2" w:rsidRDefault="002337E2" w:rsidP="002337E2">
      <w:pPr>
        <w:pStyle w:val="Heading5"/>
      </w:pPr>
      <w:r>
        <w:t>Before vs After</w:t>
      </w:r>
    </w:p>
    <w:p w14:paraId="1D31F4A5" w14:textId="5E049E11" w:rsidR="00F009BF" w:rsidRDefault="002337E2" w:rsidP="00F009BF">
      <w:r>
        <w:t xml:space="preserve">What if you need to show the </w:t>
      </w:r>
      <w:r w:rsidR="00F009BF">
        <w:t xml:space="preserve">improvement </w:t>
      </w:r>
      <w:r>
        <w:t xml:space="preserve">over time? </w:t>
      </w:r>
    </w:p>
    <w:p w14:paraId="2083225A" w14:textId="77777777" w:rsidR="00F009BF" w:rsidRDefault="00F009BF" w:rsidP="00F009BF">
      <w:r>
        <w:t>What metrics should we use?</w:t>
      </w:r>
    </w:p>
    <w:p w14:paraId="61C9AA50" w14:textId="77777777" w:rsidR="00F009BF" w:rsidRDefault="00F009BF" w:rsidP="00F009BF">
      <w:r>
        <w:t xml:space="preserve">We use the same metrics, which are </w:t>
      </w:r>
      <w:r w:rsidRPr="005A3329">
        <w:t>CPU Ready, Memory Contention, Disk Latency</w:t>
      </w:r>
      <w:r>
        <w:t>. But as your environment changes over time, you need to take the s</w:t>
      </w:r>
      <w:r w:rsidRPr="005A3329">
        <w:t xml:space="preserve">um of VM Disk IOPS, Disk Throughput, </w:t>
      </w:r>
      <w:r>
        <w:t xml:space="preserve">and </w:t>
      </w:r>
      <w:r w:rsidRPr="005A3329">
        <w:t>CPU Usage (GHz)</w:t>
      </w:r>
      <w:r>
        <w:t xml:space="preserve">. </w:t>
      </w:r>
    </w:p>
    <w:p w14:paraId="1097B42E" w14:textId="77777777" w:rsidR="00F009BF" w:rsidRDefault="00F009BF" w:rsidP="00F009BF">
      <w:r>
        <w:t xml:space="preserve">Wait, where is the memory utilization? Why do we not need it in the comparison? </w:t>
      </w:r>
    </w:p>
    <w:p w14:paraId="26E7F884" w14:textId="77777777" w:rsidR="00F009BF" w:rsidRDefault="00F009BF" w:rsidP="00F009BF">
      <w:r>
        <w:lastRenderedPageBreak/>
        <w:t xml:space="preserve">Memory behaves more like disk space. It’s about capacity not performance. </w:t>
      </w:r>
    </w:p>
    <w:p w14:paraId="724E4067" w14:textId="006C8BDC" w:rsidR="00F009BF" w:rsidRDefault="00F009BF" w:rsidP="00F009BF">
      <w:pPr>
        <w:pStyle w:val="Heading4"/>
      </w:pPr>
      <w:r>
        <w:t>Infrastructure Viewpoint</w:t>
      </w:r>
    </w:p>
    <w:p w14:paraId="3F099ADE" w14:textId="77777777" w:rsidR="00F009BF" w:rsidRDefault="00F009BF" w:rsidP="00F009BF">
      <w:r>
        <w:t xml:space="preserve">The preceding technique is all you need to determine the </w:t>
      </w:r>
      <w:r w:rsidRPr="003C3C36">
        <w:rPr>
          <w:color w:val="00B0F0"/>
        </w:rPr>
        <w:t xml:space="preserve">Before Optimization </w:t>
      </w:r>
      <w:r>
        <w:t xml:space="preserve">numbers. What’s the limitation of this approach? </w:t>
      </w:r>
    </w:p>
    <w:p w14:paraId="6E86FC67" w14:textId="77777777" w:rsidR="00F009BF" w:rsidRDefault="00F009BF" w:rsidP="00F009BF">
      <w:r>
        <w:t xml:space="preserve">It does not tell which clusters and datastore do not deliver the above numbers. In a large environment with many clusters and datastores, the above number is the average number. You may have a few clusters or datastore that fail to deliver the expected performance. </w:t>
      </w:r>
    </w:p>
    <w:p w14:paraId="4B8DFFBE" w14:textId="77777777" w:rsidR="00F009BF" w:rsidRDefault="00F009BF" w:rsidP="00F009BF">
      <w:r>
        <w:t>For each cluster, you want to measure both the depth and the breadth. That means tracking 4 metrics</w:t>
      </w:r>
    </w:p>
    <w:p w14:paraId="2198ED79" w14:textId="77777777" w:rsidR="00F009BF" w:rsidRDefault="00F009BF" w:rsidP="00F009BF">
      <w:pPr>
        <w:pStyle w:val="Bullet"/>
      </w:pPr>
      <w:r>
        <w:t>the worst CPU Ready experienced by any VM</w:t>
      </w:r>
    </w:p>
    <w:p w14:paraId="02DAFF72" w14:textId="77777777" w:rsidR="00F009BF" w:rsidRDefault="00F009BF" w:rsidP="00F009BF">
      <w:pPr>
        <w:pStyle w:val="Bullet"/>
      </w:pPr>
      <w:r>
        <w:t>percentage of VMs experiencing CPU Ready</w:t>
      </w:r>
    </w:p>
    <w:p w14:paraId="26866CA4" w14:textId="77777777" w:rsidR="00F009BF" w:rsidRDefault="00F009BF" w:rsidP="00F009BF">
      <w:pPr>
        <w:pStyle w:val="Bullet"/>
      </w:pPr>
      <w:r>
        <w:t>the worst Memory Contention experienced by any VM</w:t>
      </w:r>
    </w:p>
    <w:p w14:paraId="0E029A36" w14:textId="77777777" w:rsidR="00F009BF" w:rsidRDefault="00F009BF" w:rsidP="00F009BF">
      <w:pPr>
        <w:pStyle w:val="Bullet"/>
      </w:pPr>
      <w:r>
        <w:t>percentage of VMs experiencing Memory Contention</w:t>
      </w:r>
    </w:p>
    <w:p w14:paraId="14E2D0CD" w14:textId="77777777" w:rsidR="00F009BF" w:rsidRDefault="00F009BF" w:rsidP="00F009BF">
      <w:r>
        <w:t xml:space="preserve">For datastore, you take VM disk latency, not outstanding IO. </w:t>
      </w:r>
    </w:p>
    <w:p w14:paraId="5C711160" w14:textId="77777777" w:rsidR="00F009BF" w:rsidRDefault="00F009BF" w:rsidP="00F009BF">
      <w:r>
        <w:t xml:space="preserve">Having the depth and breadth give you better insight. </w:t>
      </w:r>
    </w:p>
    <w:p w14:paraId="78B485F5" w14:textId="77777777" w:rsidR="00F009BF" w:rsidRDefault="00F009BF" w:rsidP="00F009BF">
      <w:r>
        <w:t xml:space="preserve">Just like the case in VM, take 3 months data. </w:t>
      </w:r>
    </w:p>
    <w:p w14:paraId="40841266" w14:textId="77777777" w:rsidR="00F009BF" w:rsidRDefault="00F009BF" w:rsidP="00F009BF">
      <w:pPr>
        <w:pStyle w:val="Tablecontent"/>
      </w:pPr>
      <w:r>
        <w:t>A cluster with 500 VM will have a metric that represent 500 VM in any given 5-minute interval. Since there are 26298 instances of 5 minutes in 3 months, that means you analyze 26298 x 500 = 13,149,000 data point in that one cluster. Taking the worst among 13+ millions will likely return you with an outlier.</w:t>
      </w:r>
    </w:p>
    <w:p w14:paraId="25C2996A" w14:textId="77777777" w:rsidR="00F009BF" w:rsidRDefault="00F009BF" w:rsidP="00F009BF">
      <w:r>
        <w:t>This is why we use the average of worst</w:t>
      </w:r>
      <w:r w:rsidRPr="003C5615">
        <w:rPr>
          <w:color w:val="FF0000"/>
        </w:rPr>
        <w:t>s</w:t>
      </w:r>
      <w:r>
        <w:t xml:space="preserve">. So it’s the average of all data points, where each datapoint is the Worst VM CPU performance data point. </w:t>
      </w:r>
    </w:p>
    <w:p w14:paraId="3584407D" w14:textId="3D003980" w:rsidR="00F009BF" w:rsidRDefault="00F009BF" w:rsidP="00F009BF">
      <w:r>
        <w:t xml:space="preserve">To implement the above comparison for compute, create 1 view that lists the metrics. Color code the table so you can focus on the </w:t>
      </w:r>
      <w:r w:rsidR="00CF7D2C" w:rsidRPr="00CF7D2C">
        <w:rPr>
          <w:color w:val="FF0000"/>
        </w:rPr>
        <w:t>red</w:t>
      </w:r>
      <w:r>
        <w:t xml:space="preserve"> ones.</w:t>
      </w:r>
    </w:p>
    <w:p w14:paraId="2DAAD21B" w14:textId="77777777" w:rsidR="00F009BF" w:rsidRDefault="00F009BF" w:rsidP="00F009BF">
      <w:r w:rsidRPr="00066015">
        <w:rPr>
          <w:noProof/>
        </w:rPr>
        <w:lastRenderedPageBreak/>
        <w:drawing>
          <wp:inline distT="0" distB="0" distL="0" distR="0" wp14:anchorId="05852EE1" wp14:editId="61641F30">
            <wp:extent cx="6645910" cy="2833370"/>
            <wp:effectExtent l="0" t="0" r="2540" b="5080"/>
            <wp:docPr id="1046" name="Picture 104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 name="Picture 1046" descr="Table&#10;&#10;Description automatically generated"/>
                    <pic:cNvPicPr/>
                  </pic:nvPicPr>
                  <pic:blipFill>
                    <a:blip r:embed="rId1030"/>
                    <a:stretch>
                      <a:fillRect/>
                    </a:stretch>
                  </pic:blipFill>
                  <pic:spPr>
                    <a:xfrm>
                      <a:off x="0" y="0"/>
                      <a:ext cx="6645910" cy="2833370"/>
                    </a:xfrm>
                    <a:prstGeom prst="rect">
                      <a:avLst/>
                    </a:prstGeom>
                  </pic:spPr>
                </pic:pic>
              </a:graphicData>
            </a:graphic>
          </wp:inline>
        </w:drawing>
      </w:r>
    </w:p>
    <w:p w14:paraId="0D4B0F5B" w14:textId="77777777" w:rsidR="00F009BF" w:rsidRDefault="00F009BF" w:rsidP="00F009BF">
      <w:pPr>
        <w:rPr>
          <w:lang w:val="en-GB"/>
        </w:rPr>
      </w:pPr>
      <w:r>
        <w:rPr>
          <w:lang w:val="en-GB"/>
        </w:rPr>
        <w:t>Create a similar table for datastores. I added the percentage of VM facing disk latency just to get some insight into how widespread the problem is.</w:t>
      </w:r>
    </w:p>
    <w:p w14:paraId="1398DCB8" w14:textId="77777777" w:rsidR="00F009BF" w:rsidRPr="006D3AA1" w:rsidRDefault="00F009BF" w:rsidP="00F009BF">
      <w:pPr>
        <w:jc w:val="center"/>
      </w:pPr>
      <w:r w:rsidRPr="00387855">
        <w:rPr>
          <w:noProof/>
        </w:rPr>
        <w:drawing>
          <wp:inline distT="0" distB="0" distL="0" distR="0" wp14:anchorId="590D7025" wp14:editId="73941102">
            <wp:extent cx="6178868" cy="2921150"/>
            <wp:effectExtent l="0" t="0" r="0" b="0"/>
            <wp:docPr id="1047" name="Picture 1047"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 name="Picture 1047" descr="Graphical user interface, text, application, email&#10;&#10;Description automatically generated"/>
                    <pic:cNvPicPr/>
                  </pic:nvPicPr>
                  <pic:blipFill>
                    <a:blip r:embed="rId1031"/>
                    <a:stretch>
                      <a:fillRect/>
                    </a:stretch>
                  </pic:blipFill>
                  <pic:spPr>
                    <a:xfrm>
                      <a:off x="0" y="0"/>
                      <a:ext cx="6178868" cy="2921150"/>
                    </a:xfrm>
                    <a:prstGeom prst="rect">
                      <a:avLst/>
                    </a:prstGeom>
                  </pic:spPr>
                </pic:pic>
              </a:graphicData>
            </a:graphic>
          </wp:inline>
        </w:drawing>
      </w:r>
    </w:p>
    <w:p w14:paraId="6A583D55" w14:textId="77777777" w:rsidR="00F009BF" w:rsidRDefault="00F009BF" w:rsidP="00F009BF">
      <w:pPr>
        <w:rPr>
          <w:lang w:val="en-GB"/>
        </w:rPr>
      </w:pPr>
      <w:r>
        <w:rPr>
          <w:lang w:val="en-GB"/>
        </w:rPr>
        <w:t xml:space="preserve">The 2 summary numbers become your </w:t>
      </w:r>
      <w:r w:rsidRPr="00056252">
        <w:rPr>
          <w:b/>
          <w:bCs/>
          <w:color w:val="00B0F0"/>
          <w:lang w:val="en-GB"/>
        </w:rPr>
        <w:t>Before Optimization</w:t>
      </w:r>
      <w:r w:rsidRPr="00056252">
        <w:rPr>
          <w:color w:val="00B0F0"/>
          <w:lang w:val="en-GB"/>
        </w:rPr>
        <w:t xml:space="preserve"> </w:t>
      </w:r>
      <w:r>
        <w:rPr>
          <w:lang w:val="en-GB"/>
        </w:rPr>
        <w:t xml:space="preserve">numbers. Once you optimize the environment, revisit this table and take the new value. </w:t>
      </w:r>
    </w:p>
    <w:p w14:paraId="5635D273" w14:textId="77777777" w:rsidR="00F009BF" w:rsidRDefault="00F009BF" w:rsidP="00F009BF">
      <w:pPr>
        <w:rPr>
          <w:rFonts w:eastAsiaTheme="minorEastAsia"/>
          <w:b/>
          <w:bCs/>
          <w:lang w:val="en-US" w:eastAsia="zh-CN"/>
        </w:rPr>
      </w:pPr>
      <w:r>
        <w:rPr>
          <w:lang w:val="en-GB"/>
        </w:rPr>
        <w:t xml:space="preserve">As in the case with VM, compare this with the </w:t>
      </w:r>
      <w:r>
        <w:t>default threshold used in vRealize Operations, as shown previously.</w:t>
      </w:r>
    </w:p>
    <w:p w14:paraId="69D7672F" w14:textId="77777777" w:rsidR="00F009BF" w:rsidRDefault="00F009BF" w:rsidP="00F009BF">
      <w:r>
        <w:t>The above covers “</w:t>
      </w:r>
      <w:r w:rsidRPr="00D901F3">
        <w:rPr>
          <w:color w:val="00B0F0"/>
        </w:rPr>
        <w:t>how bad the problem is</w:t>
      </w:r>
      <w:r>
        <w:t>”. We need to cover “</w:t>
      </w:r>
      <w:r w:rsidRPr="00D901F3">
        <w:rPr>
          <w:color w:val="00B0F0"/>
        </w:rPr>
        <w:t>how widespread the problem is</w:t>
      </w:r>
      <w:r>
        <w:t>”. How many percent of the VM population is experiencing the problem? The range used is</w:t>
      </w:r>
    </w:p>
    <w:p w14:paraId="079E5503" w14:textId="5B55B9D3" w:rsidR="00F009BF" w:rsidRDefault="0022569A" w:rsidP="00F009BF">
      <w:pPr>
        <w:pStyle w:val="Bullet"/>
      </w:pPr>
      <w:r w:rsidRPr="0022569A">
        <w:rPr>
          <w:color w:val="00B050"/>
        </w:rPr>
        <w:t>Green</w:t>
      </w:r>
      <w:r w:rsidR="00F009BF">
        <w:t>: 0 – 2.5% of the population</w:t>
      </w:r>
    </w:p>
    <w:p w14:paraId="60300CE2" w14:textId="7EC3949B" w:rsidR="00F009BF" w:rsidRDefault="00CF7D2C" w:rsidP="00F009BF">
      <w:pPr>
        <w:pStyle w:val="Bullet"/>
      </w:pPr>
      <w:r w:rsidRPr="00CF7D2C">
        <w:rPr>
          <w:color w:val="FFFF00"/>
        </w:rPr>
        <w:t>Yellow</w:t>
      </w:r>
      <w:r w:rsidR="00F009BF">
        <w:t xml:space="preserve">: 2.5 – 5% </w:t>
      </w:r>
    </w:p>
    <w:p w14:paraId="2E6B2E2B" w14:textId="09D405D1" w:rsidR="00F009BF" w:rsidRDefault="00CF7D2C" w:rsidP="00F009BF">
      <w:pPr>
        <w:pStyle w:val="Bullet"/>
      </w:pPr>
      <w:r w:rsidRPr="00CF7D2C">
        <w:rPr>
          <w:color w:val="ED7D31" w:themeColor="accent2"/>
        </w:rPr>
        <w:t>Orange</w:t>
      </w:r>
      <w:r w:rsidR="00F009BF">
        <w:t xml:space="preserve">: 5 – 10% </w:t>
      </w:r>
    </w:p>
    <w:p w14:paraId="60D6E8F5" w14:textId="4DE67C00" w:rsidR="00F009BF" w:rsidRDefault="00CF7D2C" w:rsidP="00F009BF">
      <w:pPr>
        <w:pStyle w:val="Bullet"/>
      </w:pPr>
      <w:r w:rsidRPr="00CF7D2C">
        <w:rPr>
          <w:color w:val="FF0000"/>
        </w:rPr>
        <w:t>Red</w:t>
      </w:r>
      <w:r w:rsidR="00F009BF">
        <w:t xml:space="preserve">: more than 10% </w:t>
      </w:r>
    </w:p>
    <w:p w14:paraId="2FB3E7D4" w14:textId="77777777" w:rsidR="00F009BF" w:rsidRDefault="00F009BF" w:rsidP="00F009BF">
      <w:pPr>
        <w:pStyle w:val="Heading5"/>
      </w:pPr>
      <w:r>
        <w:lastRenderedPageBreak/>
        <w:t>Analysis</w:t>
      </w:r>
    </w:p>
    <w:p w14:paraId="23D18E47" w14:textId="77777777" w:rsidR="00F009BF" w:rsidRDefault="00F009BF" w:rsidP="00F009BF">
      <w:pPr>
        <w:rPr>
          <w:lang w:val="en-US" w:eastAsia="zh-CN"/>
        </w:rPr>
      </w:pPr>
      <w:r>
        <w:rPr>
          <w:lang w:val="en-US" w:eastAsia="zh-CN"/>
        </w:rPr>
        <w:t>Use both the breadth and depth as input to your decision.</w:t>
      </w:r>
    </w:p>
    <w:p w14:paraId="394C009A" w14:textId="77777777" w:rsidR="00F009BF" w:rsidRDefault="00F009BF" w:rsidP="00F009BF">
      <w:pPr>
        <w:pStyle w:val="BeforeTable"/>
        <w:rPr>
          <w:lang w:val="en-US" w:eastAsia="zh-CN"/>
        </w:rPr>
      </w:pPr>
    </w:p>
    <w:tbl>
      <w:tblPr>
        <w:tblStyle w:val="TableGridLight"/>
        <w:tblW w:w="0" w:type="auto"/>
        <w:tblBorders>
          <w:left w:val="none" w:sz="0" w:space="0" w:color="auto"/>
          <w:right w:val="none" w:sz="0" w:space="0" w:color="auto"/>
          <w:insideV w:val="none" w:sz="0" w:space="0" w:color="auto"/>
        </w:tblBorders>
        <w:tblLook w:val="04A0" w:firstRow="1" w:lastRow="0" w:firstColumn="1" w:lastColumn="0" w:noHBand="0" w:noVBand="1"/>
      </w:tblPr>
      <w:tblGrid>
        <w:gridCol w:w="1370"/>
        <w:gridCol w:w="1428"/>
        <w:gridCol w:w="7668"/>
      </w:tblGrid>
      <w:tr w:rsidR="00F009BF" w14:paraId="6500D43B" w14:textId="77777777" w:rsidTr="00E440AB">
        <w:tc>
          <w:tcPr>
            <w:tcW w:w="1370" w:type="dxa"/>
            <w:shd w:val="clear" w:color="auto" w:fill="F2F2F2" w:themeFill="background1" w:themeFillShade="F2"/>
          </w:tcPr>
          <w:p w14:paraId="33BFE060" w14:textId="77777777" w:rsidR="00F009BF" w:rsidRPr="00445F2B" w:rsidRDefault="00F009BF" w:rsidP="00E440AB">
            <w:pPr>
              <w:pStyle w:val="Tableheading"/>
            </w:pPr>
            <w:r>
              <w:t>Depth</w:t>
            </w:r>
          </w:p>
        </w:tc>
        <w:tc>
          <w:tcPr>
            <w:tcW w:w="1428" w:type="dxa"/>
            <w:shd w:val="clear" w:color="auto" w:fill="F2F2F2" w:themeFill="background1" w:themeFillShade="F2"/>
          </w:tcPr>
          <w:p w14:paraId="630F80D7" w14:textId="77777777" w:rsidR="00F009BF" w:rsidRPr="00445F2B" w:rsidRDefault="00F009BF" w:rsidP="00E440AB">
            <w:pPr>
              <w:pStyle w:val="Tableheading"/>
            </w:pPr>
            <w:r>
              <w:t>Breadth</w:t>
            </w:r>
          </w:p>
        </w:tc>
        <w:tc>
          <w:tcPr>
            <w:tcW w:w="7668" w:type="dxa"/>
            <w:shd w:val="clear" w:color="auto" w:fill="F2F2F2" w:themeFill="background1" w:themeFillShade="F2"/>
          </w:tcPr>
          <w:p w14:paraId="64CE9A42" w14:textId="77777777" w:rsidR="00F009BF" w:rsidRDefault="00F009BF" w:rsidP="00E440AB">
            <w:pPr>
              <w:pStyle w:val="Tableheading"/>
            </w:pPr>
            <w:r>
              <w:t>Analysis Conclusion</w:t>
            </w:r>
          </w:p>
        </w:tc>
      </w:tr>
      <w:tr w:rsidR="00F009BF" w:rsidRPr="007808C2" w14:paraId="6C9CAC87" w14:textId="77777777" w:rsidTr="00E440AB">
        <w:tc>
          <w:tcPr>
            <w:tcW w:w="1370" w:type="dxa"/>
            <w:shd w:val="clear" w:color="auto" w:fill="auto"/>
          </w:tcPr>
          <w:p w14:paraId="6BDAB7BE" w14:textId="77777777" w:rsidR="00F009BF" w:rsidRPr="007808C2" w:rsidRDefault="00F009BF" w:rsidP="00E440AB">
            <w:pPr>
              <w:pStyle w:val="Tablecontent"/>
            </w:pPr>
            <w:r w:rsidRPr="007808C2">
              <w:t>Good</w:t>
            </w:r>
          </w:p>
        </w:tc>
        <w:tc>
          <w:tcPr>
            <w:tcW w:w="1428" w:type="dxa"/>
            <w:shd w:val="clear" w:color="auto" w:fill="auto"/>
          </w:tcPr>
          <w:p w14:paraId="40C7EBD6" w14:textId="77777777" w:rsidR="00F009BF" w:rsidRPr="007808C2" w:rsidRDefault="00F009BF" w:rsidP="00E440AB">
            <w:pPr>
              <w:pStyle w:val="Tablecontent"/>
            </w:pPr>
            <w:r w:rsidRPr="007808C2">
              <w:t>Good</w:t>
            </w:r>
          </w:p>
        </w:tc>
        <w:tc>
          <w:tcPr>
            <w:tcW w:w="7668" w:type="dxa"/>
            <w:shd w:val="clear" w:color="auto" w:fill="auto"/>
          </w:tcPr>
          <w:p w14:paraId="50AF354D" w14:textId="77777777" w:rsidR="00F009BF" w:rsidRPr="007808C2" w:rsidRDefault="00F009BF" w:rsidP="00E440AB">
            <w:pPr>
              <w:pStyle w:val="Tablecontent"/>
            </w:pPr>
            <w:r w:rsidRPr="007808C2">
              <w:t>Safe to add more load, assuming the utilization is low and overcommit is below your plan</w:t>
            </w:r>
          </w:p>
        </w:tc>
      </w:tr>
      <w:tr w:rsidR="00F009BF" w:rsidRPr="007808C2" w14:paraId="6D839D68" w14:textId="77777777" w:rsidTr="00E440AB">
        <w:tc>
          <w:tcPr>
            <w:tcW w:w="1370" w:type="dxa"/>
            <w:shd w:val="clear" w:color="auto" w:fill="auto"/>
          </w:tcPr>
          <w:p w14:paraId="5193A3EA" w14:textId="77777777" w:rsidR="00F009BF" w:rsidRPr="007808C2" w:rsidRDefault="00F009BF" w:rsidP="00E440AB">
            <w:pPr>
              <w:pStyle w:val="Tablecontent"/>
            </w:pPr>
            <w:r>
              <w:t>Good</w:t>
            </w:r>
          </w:p>
        </w:tc>
        <w:tc>
          <w:tcPr>
            <w:tcW w:w="1428" w:type="dxa"/>
            <w:shd w:val="clear" w:color="auto" w:fill="auto"/>
          </w:tcPr>
          <w:p w14:paraId="28041F00" w14:textId="77777777" w:rsidR="00F009BF" w:rsidRPr="007808C2" w:rsidRDefault="00F009BF" w:rsidP="00E440AB">
            <w:pPr>
              <w:pStyle w:val="Tablecontent"/>
            </w:pPr>
            <w:r>
              <w:t>Bad</w:t>
            </w:r>
          </w:p>
        </w:tc>
        <w:tc>
          <w:tcPr>
            <w:tcW w:w="7668" w:type="dxa"/>
            <w:shd w:val="clear" w:color="auto" w:fill="auto"/>
          </w:tcPr>
          <w:p w14:paraId="4126186B" w14:textId="77777777" w:rsidR="00F009BF" w:rsidRPr="007808C2" w:rsidRDefault="00F009BF" w:rsidP="00E440AB">
            <w:pPr>
              <w:pStyle w:val="Tablecontent"/>
            </w:pPr>
            <w:r>
              <w:t xml:space="preserve">Performance is good but do not add more load as many VMs are experiencing contention already. </w:t>
            </w:r>
          </w:p>
        </w:tc>
      </w:tr>
      <w:tr w:rsidR="00F009BF" w:rsidRPr="007808C2" w14:paraId="66C72A4B" w14:textId="77777777" w:rsidTr="00E440AB">
        <w:tc>
          <w:tcPr>
            <w:tcW w:w="1370" w:type="dxa"/>
            <w:shd w:val="clear" w:color="auto" w:fill="auto"/>
          </w:tcPr>
          <w:p w14:paraId="791247FC" w14:textId="77777777" w:rsidR="00F009BF" w:rsidRDefault="00F009BF" w:rsidP="00E440AB">
            <w:pPr>
              <w:pStyle w:val="Tablecontent"/>
            </w:pPr>
            <w:r>
              <w:t>Bad</w:t>
            </w:r>
          </w:p>
        </w:tc>
        <w:tc>
          <w:tcPr>
            <w:tcW w:w="1428" w:type="dxa"/>
            <w:shd w:val="clear" w:color="auto" w:fill="auto"/>
          </w:tcPr>
          <w:p w14:paraId="4D607845" w14:textId="77777777" w:rsidR="00F009BF" w:rsidRDefault="00F009BF" w:rsidP="00E440AB">
            <w:pPr>
              <w:pStyle w:val="Tablecontent"/>
            </w:pPr>
            <w:r>
              <w:t>Good</w:t>
            </w:r>
          </w:p>
        </w:tc>
        <w:tc>
          <w:tcPr>
            <w:tcW w:w="7668" w:type="dxa"/>
            <w:shd w:val="clear" w:color="auto" w:fill="auto"/>
          </w:tcPr>
          <w:p w14:paraId="08F2D44C" w14:textId="77777777" w:rsidR="00F009BF" w:rsidRDefault="00F009BF" w:rsidP="00E440AB">
            <w:pPr>
              <w:pStyle w:val="Tablecontent"/>
            </w:pPr>
            <w:r>
              <w:t>Since it’s not widespread, check for common configurations among the impacted VM</w:t>
            </w:r>
          </w:p>
        </w:tc>
      </w:tr>
      <w:tr w:rsidR="00F009BF" w:rsidRPr="007808C2" w14:paraId="64122491" w14:textId="77777777" w:rsidTr="00E440AB">
        <w:tc>
          <w:tcPr>
            <w:tcW w:w="1370" w:type="dxa"/>
            <w:shd w:val="clear" w:color="auto" w:fill="auto"/>
          </w:tcPr>
          <w:p w14:paraId="01AE726A" w14:textId="77777777" w:rsidR="00F009BF" w:rsidRDefault="00F009BF" w:rsidP="00E440AB">
            <w:pPr>
              <w:pStyle w:val="Tablecontent"/>
            </w:pPr>
            <w:r>
              <w:t>Bad</w:t>
            </w:r>
          </w:p>
        </w:tc>
        <w:tc>
          <w:tcPr>
            <w:tcW w:w="1428" w:type="dxa"/>
            <w:shd w:val="clear" w:color="auto" w:fill="auto"/>
          </w:tcPr>
          <w:p w14:paraId="1C6806F4" w14:textId="77777777" w:rsidR="00F009BF" w:rsidRDefault="00F009BF" w:rsidP="00E440AB">
            <w:pPr>
              <w:pStyle w:val="Tablecontent"/>
            </w:pPr>
            <w:r>
              <w:t>Bad</w:t>
            </w:r>
          </w:p>
        </w:tc>
        <w:tc>
          <w:tcPr>
            <w:tcW w:w="7668" w:type="dxa"/>
            <w:shd w:val="clear" w:color="auto" w:fill="auto"/>
          </w:tcPr>
          <w:p w14:paraId="5DDF8C31" w14:textId="77777777" w:rsidR="00F009BF" w:rsidRDefault="00F009BF" w:rsidP="00E440AB">
            <w:pPr>
              <w:pStyle w:val="Tablecontent"/>
            </w:pPr>
            <w:r>
              <w:t xml:space="preserve">If there has been no complaint for months and business are not impacted, it is possible that you do not have to do anything. Otherwise, proactively plan for improvement as future workload may be more sensitive to latency. IT should be ahead of business. </w:t>
            </w:r>
          </w:p>
        </w:tc>
      </w:tr>
    </w:tbl>
    <w:p w14:paraId="2711B6AE" w14:textId="77777777" w:rsidR="00F009BF" w:rsidRDefault="00F009BF" w:rsidP="00F009BF">
      <w:r>
        <w:t xml:space="preserve">Using the above as example, you can see that all the clusters can serve their VMs well, as the highest values are 3.6%. If this is what you want to maintain, then use 3.5% as the threshold. The first cluster is already full. It can’t handle anymore VM as it’s already exceeding 3.5%. The second cluster is near full. </w:t>
      </w:r>
    </w:p>
    <w:p w14:paraId="6D99E92E" w14:textId="77777777" w:rsidR="00F009BF" w:rsidRDefault="00F009BF" w:rsidP="00F009BF">
      <w:r>
        <w:t>For memory, all the clusters are doing well. If this is what you want to maintain, then set 0.1% as the threshold.</w:t>
      </w:r>
    </w:p>
    <w:p w14:paraId="44937DDA" w14:textId="77777777" w:rsidR="00F009BF" w:rsidRDefault="00F009BF" w:rsidP="00F009BF">
      <w:r>
        <w:t xml:space="preserve">If you want to be more aggressive, then you set 5% for CPU Ready and 1% for Memory Contention. </w:t>
      </w:r>
    </w:p>
    <w:p w14:paraId="694FDCA6" w14:textId="77777777" w:rsidR="00F009BF" w:rsidRDefault="00F009BF" w:rsidP="00F009BF">
      <w:r>
        <w:t>For better analysis, create a health chart or line chart showing the breadth and depth metric for a selected cluster. This lets you see trend over time. Perhaps the time of performance problem happens during Sunday night where there is hardly any users and you’re doing full back up. In that case, you can adjust your decision.</w:t>
      </w:r>
    </w:p>
    <w:p w14:paraId="37D0BEF2" w14:textId="1E5605C7" w:rsidR="00F009BF" w:rsidRDefault="00F009BF" w:rsidP="00F009BF">
      <w:r>
        <w:t xml:space="preserve">The following is an example where both CPU and memory are well within the </w:t>
      </w:r>
      <w:r w:rsidR="0022569A" w:rsidRPr="0022569A">
        <w:rPr>
          <w:color w:val="00B050"/>
        </w:rPr>
        <w:t>green</w:t>
      </w:r>
      <w:r>
        <w:t xml:space="preserve"> range.</w:t>
      </w:r>
    </w:p>
    <w:p w14:paraId="5E3A204E" w14:textId="77777777" w:rsidR="00F009BF" w:rsidRDefault="00F009BF" w:rsidP="00F009BF">
      <w:pPr>
        <w:jc w:val="center"/>
      </w:pPr>
      <w:r w:rsidRPr="003557E1">
        <w:rPr>
          <w:noProof/>
        </w:rPr>
        <w:drawing>
          <wp:inline distT="0" distB="0" distL="0" distR="0" wp14:anchorId="125D6434" wp14:editId="23D9D6B7">
            <wp:extent cx="5484555" cy="2843940"/>
            <wp:effectExtent l="0" t="0" r="1905" b="0"/>
            <wp:docPr id="1293284847" name="Picture 1293284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2"/>
                    <a:stretch>
                      <a:fillRect/>
                    </a:stretch>
                  </pic:blipFill>
                  <pic:spPr>
                    <a:xfrm>
                      <a:off x="0" y="0"/>
                      <a:ext cx="5488362" cy="2845914"/>
                    </a:xfrm>
                    <a:prstGeom prst="rect">
                      <a:avLst/>
                    </a:prstGeom>
                  </pic:spPr>
                </pic:pic>
              </a:graphicData>
            </a:graphic>
          </wp:inline>
        </w:drawing>
      </w:r>
    </w:p>
    <w:p w14:paraId="76F63ABB" w14:textId="77777777" w:rsidR="00F009BF" w:rsidRDefault="00F009BF" w:rsidP="00F009BF">
      <w:r>
        <w:t xml:space="preserve">Next, look at the breadth dimension. </w:t>
      </w:r>
    </w:p>
    <w:p w14:paraId="5F381570" w14:textId="77777777" w:rsidR="00F009BF" w:rsidRDefault="00F009BF" w:rsidP="00F009BF">
      <w:r>
        <w:t>In the following example, what problem do you see?</w:t>
      </w:r>
    </w:p>
    <w:p w14:paraId="059B4D1F" w14:textId="77777777" w:rsidR="00F009BF" w:rsidRDefault="00F009BF" w:rsidP="00F009BF">
      <w:pPr>
        <w:jc w:val="center"/>
        <w:rPr>
          <w:lang w:val="en-US" w:eastAsia="zh-CN"/>
        </w:rPr>
      </w:pPr>
      <w:r w:rsidRPr="00293506">
        <w:rPr>
          <w:noProof/>
          <w:lang w:val="en-US" w:eastAsia="zh-CN"/>
        </w:rPr>
        <w:lastRenderedPageBreak/>
        <w:drawing>
          <wp:inline distT="0" distB="0" distL="0" distR="0" wp14:anchorId="770EEA51" wp14:editId="12401C57">
            <wp:extent cx="5311019" cy="2726553"/>
            <wp:effectExtent l="0" t="0" r="4445" b="0"/>
            <wp:docPr id="1859674503" name="Picture 1859674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3"/>
                    <a:stretch>
                      <a:fillRect/>
                    </a:stretch>
                  </pic:blipFill>
                  <pic:spPr>
                    <a:xfrm>
                      <a:off x="0" y="0"/>
                      <a:ext cx="5312930" cy="2727534"/>
                    </a:xfrm>
                    <a:prstGeom prst="rect">
                      <a:avLst/>
                    </a:prstGeom>
                  </pic:spPr>
                </pic:pic>
              </a:graphicData>
            </a:graphic>
          </wp:inline>
        </w:drawing>
      </w:r>
    </w:p>
    <w:p w14:paraId="31EA532A" w14:textId="77777777" w:rsidR="00F009BF" w:rsidRDefault="00F009BF" w:rsidP="00F009BF">
      <w:pPr>
        <w:rPr>
          <w:lang w:val="en-US" w:eastAsia="zh-CN"/>
        </w:rPr>
      </w:pPr>
      <w:r>
        <w:rPr>
          <w:lang w:val="en-US" w:eastAsia="zh-CN"/>
        </w:rPr>
        <w:t>A high percentage of the VM population is experiencing CPU contention. On the other hand, memory is perfect. If it turns out that there is no issue with both the cluster and VM settings, you should consider buying more CPU as your workload turns out to be CPU heavy.</w:t>
      </w:r>
    </w:p>
    <w:p w14:paraId="30116877" w14:textId="436B568A" w:rsidR="00F009BF" w:rsidRDefault="00F009BF" w:rsidP="00F009BF">
      <w:pPr>
        <w:pStyle w:val="Heading4"/>
      </w:pPr>
      <w:r>
        <w:t>Network Profiling</w:t>
      </w:r>
    </w:p>
    <w:p w14:paraId="26E171AD" w14:textId="77777777" w:rsidR="00F009BF" w:rsidRDefault="00F009BF" w:rsidP="00F009BF">
      <w:r>
        <w:t xml:space="preserve">Network is different due to its nature as an interconnect. We cover this in-depth in Part 2 Chapter 5 </w:t>
      </w:r>
      <w:hyperlink w:anchor="_Network_Metrics" w:history="1">
        <w:r w:rsidRPr="006B10DE">
          <w:rPr>
            <w:rStyle w:val="Hyperlink"/>
          </w:rPr>
          <w:t>Network Metrics</w:t>
        </w:r>
      </w:hyperlink>
      <w:r>
        <w:t xml:space="preserve">. As a result, we need to investigate separately. Instead of investigating per VM, we investigate per network. This means per distributed port group. </w:t>
      </w:r>
    </w:p>
    <w:p w14:paraId="31D2C886" w14:textId="77777777" w:rsidR="00F009BF" w:rsidRDefault="00F009BF" w:rsidP="00F009BF">
      <w:r>
        <w:t xml:space="preserve">We should investigate both the VMkernel network and VM network, as both can impact VM performance. </w:t>
      </w:r>
    </w:p>
    <w:p w14:paraId="7E638BE0" w14:textId="77777777" w:rsidR="00F009BF" w:rsidRDefault="00F009BF" w:rsidP="00F009BF">
      <w:r>
        <w:t xml:space="preserve">What metric should we choose? </w:t>
      </w:r>
    </w:p>
    <w:p w14:paraId="4BFA105A" w14:textId="77777777" w:rsidR="00F009BF" w:rsidRDefault="00F009BF" w:rsidP="00F009BF">
      <w:r>
        <w:t>There is no network latency counter. The proxy for it (network dropped packet) tends to have false positive, which makes profiling inaccurate. Luckily the false positive rarely happens. The false positive can be overcome by using 99</w:t>
      </w:r>
      <w:r w:rsidRPr="00214E57">
        <w:rPr>
          <w:vertAlign w:val="superscript"/>
        </w:rPr>
        <w:t>th</w:t>
      </w:r>
      <w:r>
        <w:t xml:space="preserve"> percentile metric, as it removes the outlier.</w:t>
      </w:r>
      <w:r w:rsidRPr="00CC25FC">
        <w:t xml:space="preserve"> </w:t>
      </w:r>
      <w:r>
        <w:t>The false positive happens more frequently on received side than transmit side. When profiling, we focus on the transmit side.</w:t>
      </w:r>
    </w:p>
    <w:p w14:paraId="53522FD3" w14:textId="77777777" w:rsidR="00F009BF" w:rsidRDefault="00F009BF" w:rsidP="00F009BF">
      <w:pPr>
        <w:rPr>
          <w:lang w:val="en-US" w:eastAsia="zh-CN"/>
        </w:rPr>
      </w:pPr>
      <w:r>
        <w:t>As there is fewer network than VM, it’s more effective that we use table instead of distribution chart. List all the networks, and show the received dropped packets at 99</w:t>
      </w:r>
      <w:r w:rsidRPr="00F759CD">
        <w:rPr>
          <w:vertAlign w:val="superscript"/>
        </w:rPr>
        <w:t>th</w:t>
      </w:r>
      <w:r>
        <w:t xml:space="preserve"> percentile. Sort the list in descending order so the problematic network appears at the top.</w:t>
      </w:r>
    </w:p>
    <w:p w14:paraId="5E00A51D" w14:textId="5B2C2BA1" w:rsidR="00033750" w:rsidRPr="00721AF8" w:rsidRDefault="00033750" w:rsidP="00540F68">
      <w:pPr>
        <w:pStyle w:val="Heading3"/>
      </w:pPr>
      <w:r w:rsidRPr="00721AF8">
        <w:lastRenderedPageBreak/>
        <w:t xml:space="preserve">VM Performance </w:t>
      </w:r>
    </w:p>
    <w:p w14:paraId="13D742B9" w14:textId="0ED28EF8" w:rsidR="001E17EE" w:rsidRDefault="001E17EE" w:rsidP="001E17EE">
      <w:pPr>
        <w:rPr>
          <w:rStyle w:val="eop"/>
          <w:rFonts w:ascii="Calibri" w:hAnsi="Calibri" w:cs="Calibri"/>
          <w:lang w:val="en-GB"/>
        </w:rPr>
      </w:pPr>
      <w:r w:rsidRPr="00A452F2">
        <w:rPr>
          <w:rStyle w:val="eop"/>
          <w:rFonts w:ascii="Calibri" w:hAnsi="Calibri" w:cs="Calibri"/>
          <w:lang w:val="en-GB"/>
        </w:rPr>
        <w:t xml:space="preserve">The first thing to check when a VM has a performance problem is if other VMs have the same problem. If the problem is widespread the root cause is not with the VM. Hence it’s important to see the big picture, before diving into a </w:t>
      </w:r>
      <w:r w:rsidR="00EE4614">
        <w:rPr>
          <w:rStyle w:val="eop"/>
          <w:rFonts w:ascii="Calibri" w:hAnsi="Calibri" w:cs="Calibri"/>
          <w:lang w:val="en-GB"/>
        </w:rPr>
        <w:t>specific VM.</w:t>
      </w:r>
      <w:r w:rsidRPr="00A452F2">
        <w:rPr>
          <w:rStyle w:val="eop"/>
          <w:rFonts w:ascii="Calibri" w:hAnsi="Calibri" w:cs="Calibri"/>
          <w:lang w:val="en-GB"/>
        </w:rPr>
        <w:t xml:space="preserve"> </w:t>
      </w:r>
    </w:p>
    <w:p w14:paraId="03E53ECF" w14:textId="337CB042" w:rsidR="005D414B" w:rsidRPr="00890412" w:rsidRDefault="00D0325A" w:rsidP="00AC6E1E">
      <w:pPr>
        <w:pStyle w:val="Heading4"/>
        <w:rPr>
          <w:rStyle w:val="eop"/>
        </w:rPr>
      </w:pPr>
      <w:r w:rsidRPr="00890412">
        <w:rPr>
          <w:rStyle w:val="eop"/>
        </w:rPr>
        <w:t>Overall Analysis</w:t>
      </w:r>
    </w:p>
    <w:p w14:paraId="676375A6" w14:textId="693EEF88" w:rsidR="00DA64F3" w:rsidRPr="00A452F2" w:rsidRDefault="00DA64F3" w:rsidP="00DA64F3">
      <w:pPr>
        <w:rPr>
          <w:lang w:val="en-GB"/>
        </w:rPr>
      </w:pPr>
      <w:r w:rsidRPr="00A452F2">
        <w:rPr>
          <w:lang w:val="en-GB"/>
        </w:rPr>
        <w:t xml:space="preserve">The </w:t>
      </w:r>
      <w:r w:rsidR="00FE1302">
        <w:rPr>
          <w:lang w:val="en-GB"/>
        </w:rPr>
        <w:t>dashboard uses a list of Data Center as a selector/filter</w:t>
      </w:r>
      <w:r w:rsidR="00F93334">
        <w:rPr>
          <w:rStyle w:val="FootnoteReference"/>
          <w:lang w:val="en-GB"/>
        </w:rPr>
        <w:footnoteReference w:id="26"/>
      </w:r>
      <w:r w:rsidR="00FE1302">
        <w:rPr>
          <w:lang w:val="en-GB"/>
        </w:rPr>
        <w:t xml:space="preserve">. </w:t>
      </w:r>
      <w:r w:rsidR="0098072D">
        <w:rPr>
          <w:lang w:val="en-GB"/>
        </w:rPr>
        <w:t>Select one of the data center</w:t>
      </w:r>
      <w:r w:rsidR="00663BD5">
        <w:rPr>
          <w:lang w:val="en-GB"/>
        </w:rPr>
        <w:t>s from the table</w:t>
      </w:r>
      <w:r w:rsidR="0098072D">
        <w:rPr>
          <w:lang w:val="en-GB"/>
        </w:rPr>
        <w:t xml:space="preserve">. The following </w:t>
      </w:r>
      <w:r w:rsidRPr="00A452F2">
        <w:rPr>
          <w:lang w:val="en-GB"/>
        </w:rPr>
        <w:t>bar charts will be automatically shown</w:t>
      </w:r>
      <w:r>
        <w:rPr>
          <w:lang w:val="en-GB"/>
        </w:rPr>
        <w:t>.</w:t>
      </w:r>
      <w:r w:rsidR="0098072D">
        <w:rPr>
          <w:lang w:val="en-GB"/>
        </w:rPr>
        <w:t xml:space="preserve"> </w:t>
      </w:r>
    </w:p>
    <w:p w14:paraId="6DA548B4" w14:textId="3228DBD7" w:rsidR="00DA64F3" w:rsidRDefault="00DA64F3" w:rsidP="00DA64F3">
      <w:pPr>
        <w:rPr>
          <w:rStyle w:val="eop"/>
          <w:rFonts w:ascii="Calibri" w:hAnsi="Calibri" w:cs="Calibri"/>
          <w:lang w:val="en-GB"/>
        </w:rPr>
      </w:pPr>
      <w:r>
        <w:rPr>
          <w:rStyle w:val="eop"/>
          <w:rFonts w:ascii="Calibri" w:hAnsi="Calibri" w:cs="Calibri"/>
          <w:lang w:val="en-GB"/>
        </w:rPr>
        <w:t>What does the following 3 bar chart</w:t>
      </w:r>
      <w:r w:rsidR="001B051D">
        <w:rPr>
          <w:rStyle w:val="eop"/>
          <w:rFonts w:ascii="Calibri" w:hAnsi="Calibri" w:cs="Calibri"/>
          <w:lang w:val="en-GB"/>
        </w:rPr>
        <w:t>s</w:t>
      </w:r>
      <w:r>
        <w:rPr>
          <w:rStyle w:val="eop"/>
          <w:rFonts w:ascii="Calibri" w:hAnsi="Calibri" w:cs="Calibri"/>
          <w:lang w:val="en-GB"/>
        </w:rPr>
        <w:t xml:space="preserve"> tell you about the environment? They work in tandem to reveal if there is any performance problem, and if yes, what problems and how bad.</w:t>
      </w:r>
    </w:p>
    <w:p w14:paraId="78E314B4" w14:textId="77777777" w:rsidR="00DA64F3" w:rsidRDefault="00DA64F3" w:rsidP="00DA64F3">
      <w:pPr>
        <w:rPr>
          <w:lang w:val="en-GB"/>
        </w:rPr>
      </w:pPr>
      <w:r w:rsidRPr="00FC07A1">
        <w:rPr>
          <w:noProof/>
        </w:rPr>
        <w:drawing>
          <wp:inline distT="0" distB="0" distL="0" distR="0" wp14:anchorId="2C270A75" wp14:editId="487592A7">
            <wp:extent cx="6420000" cy="1284515"/>
            <wp:effectExtent l="0" t="0" r="0" b="0"/>
            <wp:docPr id="1583707932" name="Picture 4">
              <a:extLst xmlns:a="http://schemas.openxmlformats.org/drawingml/2006/main">
                <a:ext uri="{FF2B5EF4-FFF2-40B4-BE49-F238E27FC236}">
                  <a16:creationId xmlns:a16="http://schemas.microsoft.com/office/drawing/2014/main" id="{55DFC4C1-32E7-4619-B04C-AF0685F404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55DFC4C1-32E7-4619-B04C-AF0685F40471}"/>
                        </a:ext>
                      </a:extLst>
                    </pic:cNvPr>
                    <pic:cNvPicPr>
                      <a:picLocks noChangeAspect="1"/>
                    </pic:cNvPicPr>
                  </pic:nvPicPr>
                  <pic:blipFill>
                    <a:blip r:embed="rId1034"/>
                    <a:stretch>
                      <a:fillRect/>
                    </a:stretch>
                  </pic:blipFill>
                  <pic:spPr>
                    <a:xfrm>
                      <a:off x="0" y="0"/>
                      <a:ext cx="6420000" cy="1284515"/>
                    </a:xfrm>
                    <a:prstGeom prst="rect">
                      <a:avLst/>
                    </a:prstGeom>
                  </pic:spPr>
                </pic:pic>
              </a:graphicData>
            </a:graphic>
          </wp:inline>
        </w:drawing>
      </w:r>
    </w:p>
    <w:p w14:paraId="21E89C61" w14:textId="4AA93AA9" w:rsidR="00E456F0" w:rsidRDefault="00E456F0" w:rsidP="00E456F0">
      <w:pPr>
        <w:rPr>
          <w:lang w:val="en-GB"/>
        </w:rPr>
      </w:pPr>
      <w:r w:rsidRPr="4C8B4F60">
        <w:rPr>
          <w:lang w:val="en-GB"/>
        </w:rPr>
        <w:t xml:space="preserve">Each chart </w:t>
      </w:r>
      <w:r>
        <w:rPr>
          <w:lang w:val="en-GB"/>
        </w:rPr>
        <w:t>analyze</w:t>
      </w:r>
      <w:r w:rsidRPr="4C8B4F60">
        <w:rPr>
          <w:lang w:val="en-GB"/>
        </w:rPr>
        <w:t xml:space="preserve">s how the VMs are served by the cluster. For each VM, it picks the </w:t>
      </w:r>
      <w:r w:rsidRPr="00F34720">
        <w:rPr>
          <w:i/>
          <w:iCs/>
          <w:color w:val="FF0000"/>
          <w:lang w:val="en-GB"/>
        </w:rPr>
        <w:t>worst</w:t>
      </w:r>
      <w:r w:rsidRPr="00F34720">
        <w:rPr>
          <w:color w:val="FF0000"/>
          <w:lang w:val="en-GB"/>
        </w:rPr>
        <w:t xml:space="preserve"> </w:t>
      </w:r>
      <w:r w:rsidRPr="4C8B4F60">
        <w:rPr>
          <w:lang w:val="en-GB"/>
        </w:rPr>
        <w:t xml:space="preserve">metric in the last 24 hours. By default, vRealize Operations collects every 5 minutes, so this is the highest value among 288 datapoints. Once it has the value from each VM, the bar charts put each VM in the respective performance buckets. The threshold in the buckets consider best practice, hence they are </w:t>
      </w:r>
      <w:r>
        <w:rPr>
          <w:lang w:val="en-GB"/>
        </w:rPr>
        <w:t>color</w:t>
      </w:r>
      <w:r w:rsidRPr="4C8B4F60">
        <w:rPr>
          <w:lang w:val="en-GB"/>
        </w:rPr>
        <w:t xml:space="preserve"> coded. </w:t>
      </w:r>
    </w:p>
    <w:p w14:paraId="593C48F9" w14:textId="789C5F87" w:rsidR="00A5576E" w:rsidRDefault="00A5576E" w:rsidP="00E456F0">
      <w:pPr>
        <w:rPr>
          <w:lang w:val="en-GB"/>
        </w:rPr>
      </w:pPr>
      <w:r w:rsidRPr="00A452F2">
        <w:rPr>
          <w:lang w:val="en-GB"/>
        </w:rPr>
        <w:t xml:space="preserve">You can change the time period to the period of your interest. The </w:t>
      </w:r>
      <w:r w:rsidRPr="003E78DC">
        <w:rPr>
          <w:i/>
          <w:iCs/>
          <w:color w:val="FF0000"/>
          <w:lang w:val="en-GB"/>
        </w:rPr>
        <w:t>maximum</w:t>
      </w:r>
      <w:r w:rsidRPr="003E78DC">
        <w:rPr>
          <w:color w:val="FF0000"/>
          <w:lang w:val="en-GB"/>
        </w:rPr>
        <w:t xml:space="preserve"> </w:t>
      </w:r>
      <w:r w:rsidRPr="00A452F2">
        <w:rPr>
          <w:lang w:val="en-GB"/>
        </w:rPr>
        <w:t xml:space="preserve">number will be reflected accordingly. </w:t>
      </w:r>
    </w:p>
    <w:p w14:paraId="2209A705" w14:textId="49EEF2E2" w:rsidR="00A5576E" w:rsidRDefault="009F5EEE" w:rsidP="00E456F0">
      <w:pPr>
        <w:rPr>
          <w:lang w:val="en-GB"/>
        </w:rPr>
      </w:pPr>
      <w:r w:rsidRPr="009F5EEE">
        <w:rPr>
          <w:noProof/>
          <w:lang w:val="en-GB"/>
        </w:rPr>
        <w:lastRenderedPageBreak/>
        <w:drawing>
          <wp:inline distT="0" distB="0" distL="0" distR="0" wp14:anchorId="6EE895BA" wp14:editId="6187FCCA">
            <wp:extent cx="6645910" cy="2888615"/>
            <wp:effectExtent l="0" t="0" r="2540" b="6985"/>
            <wp:docPr id="1085195958" name="Picture 1085195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5"/>
                    <a:stretch>
                      <a:fillRect/>
                    </a:stretch>
                  </pic:blipFill>
                  <pic:spPr>
                    <a:xfrm>
                      <a:off x="0" y="0"/>
                      <a:ext cx="6645910" cy="2888615"/>
                    </a:xfrm>
                    <a:prstGeom prst="rect">
                      <a:avLst/>
                    </a:prstGeom>
                  </pic:spPr>
                </pic:pic>
              </a:graphicData>
            </a:graphic>
          </wp:inline>
        </w:drawing>
      </w:r>
    </w:p>
    <w:p w14:paraId="3D592945" w14:textId="6CBA2460" w:rsidR="00363E08" w:rsidRDefault="00B54F1C" w:rsidP="00E456F0">
      <w:pPr>
        <w:rPr>
          <w:lang w:val="en-GB"/>
        </w:rPr>
      </w:pPr>
      <w:r>
        <w:rPr>
          <w:lang w:val="en-GB"/>
        </w:rPr>
        <w:t xml:space="preserve">The </w:t>
      </w:r>
      <w:r w:rsidR="00306757">
        <w:rPr>
          <w:lang w:val="en-GB"/>
        </w:rPr>
        <w:t xml:space="preserve">value is actually the </w:t>
      </w:r>
      <w:r w:rsidR="00306757" w:rsidRPr="00182622">
        <w:rPr>
          <w:color w:val="FF0000"/>
          <w:lang w:val="en-GB"/>
        </w:rPr>
        <w:t xml:space="preserve">worst 20-second </w:t>
      </w:r>
      <w:r w:rsidR="00306757">
        <w:rPr>
          <w:lang w:val="en-GB"/>
        </w:rPr>
        <w:t>within the</w:t>
      </w:r>
      <w:r w:rsidR="00354F01">
        <w:rPr>
          <w:lang w:val="en-GB"/>
        </w:rPr>
        <w:t xml:space="preserve"> 5-minute. Yes, it’s using the peak metrics</w:t>
      </w:r>
      <w:r w:rsidR="00182622">
        <w:rPr>
          <w:lang w:val="en-GB"/>
        </w:rPr>
        <w:t xml:space="preserve">, covered </w:t>
      </w:r>
      <w:hyperlink w:anchor="_Troubleshooting_Metrics" w:history="1">
        <w:r w:rsidR="00182622" w:rsidRPr="00182622">
          <w:rPr>
            <w:rStyle w:val="Hyperlink"/>
            <w:lang w:val="en-GB"/>
          </w:rPr>
          <w:t>here</w:t>
        </w:r>
      </w:hyperlink>
      <w:r w:rsidR="00182622">
        <w:rPr>
          <w:lang w:val="en-GB"/>
        </w:rPr>
        <w:t xml:space="preserve"> in the Troubleshooting Metrics section.</w:t>
      </w:r>
      <w:r w:rsidR="00912A1B">
        <w:rPr>
          <w:lang w:val="en-GB"/>
        </w:rPr>
        <w:t xml:space="preserve"> Why do I choose the 20-second average instead of the 5-minute average, considering your SLA should be based on </w:t>
      </w:r>
      <w:r w:rsidR="003C100F">
        <w:rPr>
          <w:lang w:val="en-GB"/>
        </w:rPr>
        <w:t>5-minute average</w:t>
      </w:r>
      <w:r w:rsidR="00912A1B">
        <w:rPr>
          <w:lang w:val="en-GB"/>
        </w:rPr>
        <w:t xml:space="preserve">? </w:t>
      </w:r>
    </w:p>
    <w:p w14:paraId="3C1263BF" w14:textId="23AFC3F3" w:rsidR="003A0E12" w:rsidRDefault="003A0E12" w:rsidP="00E456F0">
      <w:pPr>
        <w:rPr>
          <w:lang w:val="en-GB"/>
        </w:rPr>
      </w:pPr>
      <w:r>
        <w:rPr>
          <w:lang w:val="en-GB"/>
        </w:rPr>
        <w:t>It’s to give you a heads up. Leadin</w:t>
      </w:r>
      <w:r w:rsidR="000A757D">
        <w:rPr>
          <w:lang w:val="en-GB"/>
        </w:rPr>
        <w:t>g indicators</w:t>
      </w:r>
      <w:r w:rsidR="00240E83">
        <w:rPr>
          <w:lang w:val="en-GB"/>
        </w:rPr>
        <w:t>.</w:t>
      </w:r>
      <w:r w:rsidR="0034610C">
        <w:rPr>
          <w:lang w:val="en-GB"/>
        </w:rPr>
        <w:t xml:space="preserve"> Otherwise, you get something like this</w:t>
      </w:r>
      <w:r w:rsidR="00EF4585">
        <w:rPr>
          <w:lang w:val="en-GB"/>
        </w:rPr>
        <w:t>:</w:t>
      </w:r>
    </w:p>
    <w:p w14:paraId="66B1D4F3" w14:textId="48DB78E8" w:rsidR="0034610C" w:rsidRDefault="00820D5B" w:rsidP="00E456F0">
      <w:pPr>
        <w:rPr>
          <w:lang w:val="en-GB"/>
        </w:rPr>
      </w:pPr>
      <w:r w:rsidRPr="00820D5B">
        <w:rPr>
          <w:noProof/>
          <w:lang w:val="en-GB"/>
        </w:rPr>
        <w:drawing>
          <wp:inline distT="0" distB="0" distL="0" distR="0" wp14:anchorId="4C7092B3" wp14:editId="38F9AF58">
            <wp:extent cx="6645910" cy="1720850"/>
            <wp:effectExtent l="0" t="0" r="2540" b="0"/>
            <wp:docPr id="918289610" name="Picture 918289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6"/>
                    <a:stretch>
                      <a:fillRect/>
                    </a:stretch>
                  </pic:blipFill>
                  <pic:spPr>
                    <a:xfrm>
                      <a:off x="0" y="0"/>
                      <a:ext cx="6645910" cy="1720850"/>
                    </a:xfrm>
                    <a:prstGeom prst="rect">
                      <a:avLst/>
                    </a:prstGeom>
                  </pic:spPr>
                </pic:pic>
              </a:graphicData>
            </a:graphic>
          </wp:inline>
        </w:drawing>
      </w:r>
    </w:p>
    <w:p w14:paraId="1CF2C565" w14:textId="0E54FE03" w:rsidR="00EF4585" w:rsidRPr="00A452F2" w:rsidRDefault="00820D5B" w:rsidP="00E456F0">
      <w:pPr>
        <w:rPr>
          <w:lang w:val="en-GB"/>
        </w:rPr>
      </w:pPr>
      <w:r>
        <w:rPr>
          <w:lang w:val="en-GB"/>
        </w:rPr>
        <w:t>Yes, the above shows 3405 VM. And not a single one of them has CPU Ready &gt; 2.5% and memory contention &gt; 1% in the last 24 hours.</w:t>
      </w:r>
      <w:r w:rsidR="00EF4585">
        <w:rPr>
          <w:lang w:val="en-GB"/>
        </w:rPr>
        <w:t xml:space="preserve"> It’s not so useful </w:t>
      </w:r>
      <w:r w:rsidR="009F1060">
        <w:rPr>
          <w:lang w:val="en-GB"/>
        </w:rPr>
        <w:t>in giving you early warning.</w:t>
      </w:r>
    </w:p>
    <w:p w14:paraId="3F9BA549" w14:textId="5C94D2B1" w:rsidR="00AF18DA" w:rsidRDefault="001D742A" w:rsidP="001D742A">
      <w:pPr>
        <w:rPr>
          <w:lang w:val="en-GB"/>
        </w:rPr>
      </w:pPr>
      <w:r w:rsidRPr="4C8B4F60">
        <w:rPr>
          <w:lang w:val="en-GB"/>
        </w:rPr>
        <w:t xml:space="preserve">For your mission-critical environment, you should expect that all the VMs are being served well by the IaaS. So expect to see </w:t>
      </w:r>
      <w:r w:rsidR="0022569A" w:rsidRPr="0022569A">
        <w:rPr>
          <w:color w:val="00B050"/>
          <w:lang w:val="en-GB"/>
        </w:rPr>
        <w:t>green</w:t>
      </w:r>
      <w:r w:rsidRPr="4C8B4F60">
        <w:rPr>
          <w:lang w:val="en-GB"/>
        </w:rPr>
        <w:t xml:space="preserve"> on both distribution chart. </w:t>
      </w:r>
      <w:r w:rsidR="000F277F">
        <w:rPr>
          <w:lang w:val="en-GB"/>
        </w:rPr>
        <w:t xml:space="preserve">If they are, </w:t>
      </w:r>
      <w:r w:rsidR="00AF18DA" w:rsidRPr="00A452F2">
        <w:rPr>
          <w:lang w:val="en-GB"/>
        </w:rPr>
        <w:t xml:space="preserve">there is no need to </w:t>
      </w:r>
      <w:r w:rsidR="00AF18DA">
        <w:rPr>
          <w:lang w:val="en-GB"/>
        </w:rPr>
        <w:t>analyze</w:t>
      </w:r>
      <w:r w:rsidR="00AF18DA" w:rsidRPr="00A452F2">
        <w:rPr>
          <w:lang w:val="en-GB"/>
        </w:rPr>
        <w:t xml:space="preserve"> further. </w:t>
      </w:r>
    </w:p>
    <w:p w14:paraId="4E1B902B" w14:textId="6E43F1AE" w:rsidR="001D742A" w:rsidRPr="00A452F2" w:rsidRDefault="001D742A" w:rsidP="001D742A">
      <w:pPr>
        <w:rPr>
          <w:lang w:val="en-GB"/>
        </w:rPr>
      </w:pPr>
      <w:r w:rsidRPr="4C8B4F60">
        <w:rPr>
          <w:lang w:val="en-GB"/>
        </w:rPr>
        <w:t>For development, you may tolerate a small amount of contention in both CPU and Memory</w:t>
      </w:r>
      <w:r>
        <w:rPr>
          <w:lang w:val="en-GB"/>
        </w:rPr>
        <w:t xml:space="preserve"> as you need to balance cost.</w:t>
      </w:r>
    </w:p>
    <w:p w14:paraId="55066ABD" w14:textId="77777777" w:rsidR="001D742A" w:rsidRPr="00A452F2" w:rsidRDefault="001D742A" w:rsidP="001D742A">
      <w:pPr>
        <w:rPr>
          <w:lang w:val="en-GB"/>
        </w:rPr>
      </w:pPr>
      <w:r>
        <w:rPr>
          <w:lang w:val="en-GB"/>
        </w:rPr>
        <w:t xml:space="preserve">If it makes more sense for you, </w:t>
      </w:r>
      <w:r w:rsidRPr="4C8B4F60">
        <w:rPr>
          <w:lang w:val="en-GB"/>
        </w:rPr>
        <w:t>chang</w:t>
      </w:r>
      <w:r>
        <w:rPr>
          <w:lang w:val="en-GB"/>
        </w:rPr>
        <w:t>e</w:t>
      </w:r>
      <w:r w:rsidRPr="4C8B4F60">
        <w:rPr>
          <w:lang w:val="en-GB"/>
        </w:rPr>
        <w:t xml:space="preserve"> the filter from data center to cluster. Once you are listing cluster, you can then add the cluster performance (%) metric and sort them in an ascending order. This way the cluster that needs immediate attention is on top.</w:t>
      </w:r>
    </w:p>
    <w:p w14:paraId="3A9E2C36" w14:textId="77777777" w:rsidR="00DA64F3" w:rsidRDefault="00DA64F3" w:rsidP="00DA64F3">
      <w:pPr>
        <w:rPr>
          <w:lang w:val="en-GB"/>
        </w:rPr>
      </w:pPr>
      <w:r>
        <w:rPr>
          <w:lang w:val="en-GB"/>
        </w:rPr>
        <w:t>You can click on any of the bar to see the list of VMs under that performance bucket. From there, you can select a VM and have its KPI automatically shown on the lower section of the dashboard.</w:t>
      </w:r>
    </w:p>
    <w:p w14:paraId="28053605" w14:textId="5C9A4E8F" w:rsidR="00F059A2" w:rsidRPr="00F059A2" w:rsidRDefault="006D520B" w:rsidP="00AC6E1E">
      <w:pPr>
        <w:pStyle w:val="Heading4"/>
      </w:pPr>
      <w:r>
        <w:lastRenderedPageBreak/>
        <w:t>Multi-</w:t>
      </w:r>
      <w:r w:rsidR="00D0325A">
        <w:t>VM</w:t>
      </w:r>
      <w:r w:rsidR="00DF2FDB">
        <w:t xml:space="preserve"> Analysis</w:t>
      </w:r>
    </w:p>
    <w:p w14:paraId="43F5B3D4" w14:textId="598823C0" w:rsidR="00033750" w:rsidRDefault="004A513A" w:rsidP="00033750">
      <w:pPr>
        <w:rPr>
          <w:lang w:val="en-GB"/>
        </w:rPr>
      </w:pPr>
      <w:r>
        <w:rPr>
          <w:lang w:val="en-GB"/>
        </w:rPr>
        <w:t xml:space="preserve">When you select a data center from the table, </w:t>
      </w:r>
      <w:r w:rsidR="007D1271">
        <w:rPr>
          <w:lang w:val="en-GB"/>
        </w:rPr>
        <w:t>t</w:t>
      </w:r>
      <w:r w:rsidR="00033750" w:rsidRPr="00A452F2">
        <w:rPr>
          <w:lang w:val="en-GB"/>
        </w:rPr>
        <w:t>he table listing all the VMs in the data center is automatically shown.</w:t>
      </w:r>
      <w:r w:rsidR="00033750">
        <w:rPr>
          <w:lang w:val="en-GB"/>
        </w:rPr>
        <w:t xml:space="preserve"> A portion of the table is shown below.</w:t>
      </w:r>
    </w:p>
    <w:p w14:paraId="75AE62A0" w14:textId="4E16A861" w:rsidR="003E54A0" w:rsidRDefault="00B00789" w:rsidP="00B00789">
      <w:pPr>
        <w:jc w:val="center"/>
        <w:rPr>
          <w:lang w:val="en-GB"/>
        </w:rPr>
      </w:pPr>
      <w:r w:rsidRPr="00B00789">
        <w:rPr>
          <w:noProof/>
          <w:lang w:val="en-GB"/>
        </w:rPr>
        <w:drawing>
          <wp:inline distT="0" distB="0" distL="0" distR="0" wp14:anchorId="56466874" wp14:editId="7E096AD7">
            <wp:extent cx="5568696" cy="3282696"/>
            <wp:effectExtent l="0" t="0" r="0" b="0"/>
            <wp:docPr id="1971069007" name="Picture 1971069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7"/>
                    <a:stretch>
                      <a:fillRect/>
                    </a:stretch>
                  </pic:blipFill>
                  <pic:spPr>
                    <a:xfrm>
                      <a:off x="0" y="0"/>
                      <a:ext cx="5568696" cy="3282696"/>
                    </a:xfrm>
                    <a:prstGeom prst="rect">
                      <a:avLst/>
                    </a:prstGeom>
                  </pic:spPr>
                </pic:pic>
              </a:graphicData>
            </a:graphic>
          </wp:inline>
        </w:drawing>
      </w:r>
    </w:p>
    <w:p w14:paraId="694C0431" w14:textId="77777777" w:rsidR="00033750" w:rsidRPr="00A452F2" w:rsidRDefault="00033750" w:rsidP="00033750">
      <w:pPr>
        <w:rPr>
          <w:lang w:val="en-GB"/>
        </w:rPr>
      </w:pPr>
      <w:r w:rsidRPr="00A452F2">
        <w:rPr>
          <w:lang w:val="en-GB"/>
        </w:rPr>
        <w:t xml:space="preserve">The table shows the hostname as known by Windows or Linux. This is the name that application team or VM owner know, as they may not be familiar with the VM name. </w:t>
      </w:r>
    </w:p>
    <w:p w14:paraId="7D560E3B" w14:textId="567132AE" w:rsidR="00F37925" w:rsidRDefault="00F37925" w:rsidP="00F37925">
      <w:pPr>
        <w:rPr>
          <w:lang w:val="en-GB"/>
        </w:rPr>
      </w:pPr>
      <w:r w:rsidRPr="00A452F2">
        <w:rPr>
          <w:lang w:val="en-GB"/>
        </w:rPr>
        <w:t xml:space="preserve">The table is sorted by </w:t>
      </w:r>
      <w:r w:rsidRPr="00E10802">
        <w:rPr>
          <w:color w:val="00B0F0"/>
          <w:lang w:val="en-GB"/>
        </w:rPr>
        <w:t xml:space="preserve">KPI </w:t>
      </w:r>
      <w:r w:rsidRPr="00A452F2">
        <w:rPr>
          <w:lang w:val="en-GB"/>
        </w:rPr>
        <w:t xml:space="preserve">column, directing your attention to the VMs that are not </w:t>
      </w:r>
      <w:r w:rsidR="005D69C2">
        <w:rPr>
          <w:lang w:val="en-GB"/>
        </w:rPr>
        <w:t>performing</w:t>
      </w:r>
      <w:r w:rsidRPr="00A452F2">
        <w:rPr>
          <w:lang w:val="en-GB"/>
        </w:rPr>
        <w:t>.</w:t>
      </w:r>
      <w:r w:rsidR="00D629E5">
        <w:rPr>
          <w:lang w:val="en-GB"/>
        </w:rPr>
        <w:t xml:space="preserve"> </w:t>
      </w:r>
      <w:r w:rsidRPr="4C8B4F60">
        <w:rPr>
          <w:lang w:val="en-GB"/>
        </w:rPr>
        <w:t xml:space="preserve">The column </w:t>
      </w:r>
      <w:r w:rsidR="005D69C2">
        <w:rPr>
          <w:lang w:val="en-GB"/>
        </w:rPr>
        <w:t>is</w:t>
      </w:r>
      <w:r w:rsidR="007B46FA">
        <w:rPr>
          <w:lang w:val="en-GB"/>
        </w:rPr>
        <w:t xml:space="preserve"> </w:t>
      </w:r>
      <w:r w:rsidR="0094276D">
        <w:rPr>
          <w:lang w:val="en-GB"/>
        </w:rPr>
        <w:t>based</w:t>
      </w:r>
      <w:r w:rsidR="00E91668">
        <w:rPr>
          <w:lang w:val="en-GB"/>
        </w:rPr>
        <w:t xml:space="preserve"> </w:t>
      </w:r>
      <w:r w:rsidR="0094276D">
        <w:rPr>
          <w:lang w:val="en-GB"/>
        </w:rPr>
        <w:t xml:space="preserve">on the </w:t>
      </w:r>
      <w:r w:rsidR="005D69C2">
        <w:rPr>
          <w:lang w:val="en-GB"/>
        </w:rPr>
        <w:t xml:space="preserve">super metric </w:t>
      </w:r>
      <w:r w:rsidR="000A1C85">
        <w:rPr>
          <w:color w:val="00B0F0"/>
        </w:rPr>
        <w:t>VM KPI (%)</w:t>
      </w:r>
      <w:r w:rsidR="007B46FA">
        <w:rPr>
          <w:lang w:val="en-GB"/>
        </w:rPr>
        <w:t xml:space="preserve">, which we covered in Part 2. </w:t>
      </w:r>
    </w:p>
    <w:p w14:paraId="7CCFF637" w14:textId="27ABB5BA" w:rsidR="002D2827" w:rsidRPr="00A452F2" w:rsidRDefault="002D2827" w:rsidP="00F37925">
      <w:pPr>
        <w:rPr>
          <w:lang w:val="en-GB"/>
        </w:rPr>
      </w:pPr>
      <w:r>
        <w:rPr>
          <w:lang w:val="en-GB"/>
        </w:rPr>
        <w:t xml:space="preserve">BTW, if the KPI is blank, that means at least one of the metrics is blank. Use the dashboard to check which metrics are blank. If </w:t>
      </w:r>
      <w:r w:rsidR="0047166A">
        <w:rPr>
          <w:lang w:val="en-GB"/>
        </w:rPr>
        <w:t>not all the</w:t>
      </w:r>
      <w:r>
        <w:rPr>
          <w:lang w:val="en-GB"/>
        </w:rPr>
        <w:t xml:space="preserve"> Guest OS metric</w:t>
      </w:r>
      <w:r w:rsidR="0047166A">
        <w:rPr>
          <w:lang w:val="en-GB"/>
        </w:rPr>
        <w:t xml:space="preserve"> appear</w:t>
      </w:r>
      <w:r>
        <w:rPr>
          <w:lang w:val="en-GB"/>
        </w:rPr>
        <w:t xml:space="preserve">, </w:t>
      </w:r>
      <w:r w:rsidR="0047166A">
        <w:rPr>
          <w:lang w:val="en-GB"/>
        </w:rPr>
        <w:t xml:space="preserve">then the VMware Tools is likely outdated. </w:t>
      </w:r>
    </w:p>
    <w:p w14:paraId="3CA18C6E" w14:textId="7F61AFD2" w:rsidR="00D24D92" w:rsidRDefault="00033750" w:rsidP="00033750">
      <w:pPr>
        <w:rPr>
          <w:lang w:val="en-GB"/>
        </w:rPr>
      </w:pPr>
      <w:r w:rsidRPr="00A452F2">
        <w:rPr>
          <w:lang w:val="en-GB"/>
        </w:rPr>
        <w:t xml:space="preserve">The rest of the columns show </w:t>
      </w:r>
      <w:r w:rsidR="00851948">
        <w:rPr>
          <w:lang w:val="en-GB"/>
        </w:rPr>
        <w:t xml:space="preserve">contention </w:t>
      </w:r>
      <w:r w:rsidR="008D3A3F">
        <w:rPr>
          <w:lang w:val="en-GB"/>
        </w:rPr>
        <w:t>metrics</w:t>
      </w:r>
      <w:r w:rsidRPr="00A452F2">
        <w:rPr>
          <w:lang w:val="en-GB"/>
        </w:rPr>
        <w:t xml:space="preserve">. </w:t>
      </w:r>
      <w:r w:rsidR="007D1271">
        <w:rPr>
          <w:lang w:val="en-GB"/>
        </w:rPr>
        <w:t xml:space="preserve">Notice there is no utilization </w:t>
      </w:r>
      <w:r w:rsidR="008D3A3F">
        <w:rPr>
          <w:lang w:val="en-GB"/>
        </w:rPr>
        <w:t>metrics</w:t>
      </w:r>
      <w:r w:rsidR="007D1271">
        <w:rPr>
          <w:lang w:val="en-GB"/>
        </w:rPr>
        <w:t xml:space="preserve"> at all.</w:t>
      </w:r>
      <w:r w:rsidR="00851948">
        <w:rPr>
          <w:lang w:val="en-GB"/>
        </w:rPr>
        <w:t xml:space="preserve"> You should know why by now </w:t>
      </w:r>
      <w:r w:rsidR="00851948" w:rsidRPr="00851948">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r w:rsidR="00851948">
        <w:rPr>
          <w:lang w:val="en-GB"/>
        </w:rPr>
        <w:t xml:space="preserve"> </w:t>
      </w:r>
    </w:p>
    <w:p w14:paraId="2449BF44" w14:textId="4672B8BA" w:rsidR="00033750" w:rsidRDefault="00033750" w:rsidP="00033750">
      <w:pPr>
        <w:rPr>
          <w:lang w:val="en-GB"/>
        </w:rPr>
      </w:pPr>
      <w:r w:rsidRPr="00A452F2">
        <w:rPr>
          <w:lang w:val="en-GB"/>
        </w:rPr>
        <w:t>Because the goal is proactive monitoring</w:t>
      </w:r>
      <w:r>
        <w:rPr>
          <w:lang w:val="en-GB"/>
        </w:rPr>
        <w:t xml:space="preserve">, as opposed to reactive troubleshooting, </w:t>
      </w:r>
      <w:r w:rsidRPr="00A452F2">
        <w:rPr>
          <w:lang w:val="en-GB"/>
        </w:rPr>
        <w:t xml:space="preserve">the </w:t>
      </w:r>
      <w:r w:rsidR="008D3A3F">
        <w:rPr>
          <w:lang w:val="en-GB"/>
        </w:rPr>
        <w:t>metrics</w:t>
      </w:r>
      <w:r w:rsidRPr="00A452F2">
        <w:rPr>
          <w:lang w:val="en-GB"/>
        </w:rPr>
        <w:t xml:space="preserve"> </w:t>
      </w:r>
      <w:r>
        <w:rPr>
          <w:lang w:val="en-GB"/>
        </w:rPr>
        <w:t xml:space="preserve">show </w:t>
      </w:r>
      <w:r w:rsidRPr="00A452F2">
        <w:rPr>
          <w:lang w:val="en-GB"/>
        </w:rPr>
        <w:t xml:space="preserve">the </w:t>
      </w:r>
      <w:r w:rsidRPr="00605560">
        <w:rPr>
          <w:i/>
          <w:iCs/>
          <w:color w:val="FF0000"/>
          <w:lang w:val="en-GB"/>
        </w:rPr>
        <w:t>worst</w:t>
      </w:r>
      <w:r w:rsidRPr="00605560">
        <w:rPr>
          <w:color w:val="FF0000"/>
          <w:lang w:val="en-GB"/>
        </w:rPr>
        <w:t xml:space="preserve"> </w:t>
      </w:r>
      <w:r>
        <w:rPr>
          <w:lang w:val="en-GB"/>
        </w:rPr>
        <w:t>value instead of</w:t>
      </w:r>
      <w:r w:rsidRPr="00A452F2">
        <w:rPr>
          <w:lang w:val="en-GB"/>
        </w:rPr>
        <w:t xml:space="preserve"> the average</w:t>
      </w:r>
      <w:r>
        <w:rPr>
          <w:lang w:val="en-GB"/>
        </w:rPr>
        <w:t xml:space="preserve"> of </w:t>
      </w:r>
      <w:r w:rsidRPr="00A452F2">
        <w:rPr>
          <w:lang w:val="en-GB"/>
        </w:rPr>
        <w:t xml:space="preserve">the monitoring period. </w:t>
      </w:r>
      <w:r w:rsidR="00EC6018">
        <w:rPr>
          <w:lang w:val="en-GB"/>
        </w:rPr>
        <w:t xml:space="preserve">You can see from the following screenshot that the </w:t>
      </w:r>
      <w:r w:rsidR="00EC6018" w:rsidRPr="00826B2F">
        <w:rPr>
          <w:color w:val="00B0F0"/>
          <w:lang w:val="en-GB"/>
        </w:rPr>
        <w:t xml:space="preserve">Transformation </w:t>
      </w:r>
      <w:r w:rsidR="00EC6018">
        <w:rPr>
          <w:lang w:val="en-GB"/>
        </w:rPr>
        <w:t xml:space="preserve">is set </w:t>
      </w:r>
      <w:r w:rsidR="00EF5AB7">
        <w:rPr>
          <w:lang w:val="en-GB"/>
        </w:rPr>
        <w:t xml:space="preserve">to </w:t>
      </w:r>
      <w:r w:rsidR="00EC6018" w:rsidRPr="00EF5AB7">
        <w:rPr>
          <w:color w:val="00B0F0"/>
          <w:lang w:val="en-GB"/>
        </w:rPr>
        <w:t>Maximum</w:t>
      </w:r>
      <w:r w:rsidR="00EC6018">
        <w:rPr>
          <w:lang w:val="en-GB"/>
        </w:rPr>
        <w:t xml:space="preserve">, instead of </w:t>
      </w:r>
      <w:r w:rsidR="00EC6018" w:rsidRPr="00EF5AB7">
        <w:rPr>
          <w:color w:val="00B0F0"/>
          <w:lang w:val="en-GB"/>
        </w:rPr>
        <w:t>Current</w:t>
      </w:r>
      <w:r w:rsidR="00EC6018">
        <w:rPr>
          <w:lang w:val="en-GB"/>
        </w:rPr>
        <w:t xml:space="preserve">. </w:t>
      </w:r>
    </w:p>
    <w:p w14:paraId="08C4F85B" w14:textId="1EF94F18" w:rsidR="00F37925" w:rsidRPr="00A452F2" w:rsidRDefault="00716D3A" w:rsidP="00716D3A">
      <w:pPr>
        <w:jc w:val="center"/>
        <w:rPr>
          <w:lang w:val="en-GB"/>
        </w:rPr>
      </w:pPr>
      <w:r w:rsidRPr="00716D3A">
        <w:rPr>
          <w:noProof/>
          <w:lang w:val="en-GB"/>
        </w:rPr>
        <w:drawing>
          <wp:inline distT="0" distB="0" distL="0" distR="0" wp14:anchorId="5D5C16DF" wp14:editId="72ECD19D">
            <wp:extent cx="3180195" cy="1574443"/>
            <wp:effectExtent l="0" t="0" r="1270" b="6985"/>
            <wp:docPr id="1583707936" name="Picture 1583707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8"/>
                    <a:stretch>
                      <a:fillRect/>
                    </a:stretch>
                  </pic:blipFill>
                  <pic:spPr>
                    <a:xfrm>
                      <a:off x="0" y="0"/>
                      <a:ext cx="3184985" cy="1576814"/>
                    </a:xfrm>
                    <a:prstGeom prst="rect">
                      <a:avLst/>
                    </a:prstGeom>
                  </pic:spPr>
                </pic:pic>
              </a:graphicData>
            </a:graphic>
          </wp:inline>
        </w:drawing>
      </w:r>
    </w:p>
    <w:p w14:paraId="75A49A5D" w14:textId="15DEA2B9" w:rsidR="00D60D6C" w:rsidRDefault="00EF5AB7" w:rsidP="00EF5AB7">
      <w:pPr>
        <w:rPr>
          <w:lang w:val="en-GB"/>
        </w:rPr>
      </w:pPr>
      <w:r>
        <w:rPr>
          <w:lang w:val="en-GB"/>
        </w:rPr>
        <w:lastRenderedPageBreak/>
        <w:t xml:space="preserve">For example, the </w:t>
      </w:r>
      <w:r w:rsidRPr="00826B2F">
        <w:rPr>
          <w:color w:val="00B0F0"/>
          <w:lang w:val="en-GB"/>
        </w:rPr>
        <w:t xml:space="preserve">CPU Ready </w:t>
      </w:r>
      <w:r>
        <w:rPr>
          <w:lang w:val="en-GB"/>
        </w:rPr>
        <w:t xml:space="preserve">counter shows the highest CPU </w:t>
      </w:r>
      <w:r w:rsidR="00826B2F">
        <w:rPr>
          <w:lang w:val="en-GB"/>
        </w:rPr>
        <w:t>r</w:t>
      </w:r>
      <w:r>
        <w:rPr>
          <w:lang w:val="en-GB"/>
        </w:rPr>
        <w:t xml:space="preserve">eady within the period you specify. The default period is 24 hours, as the dashboard is designed to be part of the daily </w:t>
      </w:r>
      <w:r>
        <w:t>SOP</w:t>
      </w:r>
      <w:r>
        <w:rPr>
          <w:lang w:val="en-GB"/>
        </w:rPr>
        <w:t xml:space="preserve">. </w:t>
      </w:r>
      <w:r w:rsidR="00D60D6C" w:rsidRPr="00A452F2">
        <w:rPr>
          <w:lang w:val="en-GB"/>
        </w:rPr>
        <w:t xml:space="preserve">The reason 1 week is </w:t>
      </w:r>
      <w:r w:rsidR="00D60D6C">
        <w:rPr>
          <w:lang w:val="en-GB"/>
        </w:rPr>
        <w:t xml:space="preserve">not chosen is </w:t>
      </w:r>
      <w:r w:rsidR="00D60D6C" w:rsidRPr="00A452F2">
        <w:rPr>
          <w:lang w:val="en-GB"/>
        </w:rPr>
        <w:t xml:space="preserve">the performance &gt; 24 hours are likely to be </w:t>
      </w:r>
      <w:r w:rsidR="00150DDF">
        <w:rPr>
          <w:lang w:val="en-GB"/>
        </w:rPr>
        <w:t xml:space="preserve">less </w:t>
      </w:r>
      <w:r w:rsidR="00D60D6C" w:rsidRPr="00A452F2">
        <w:rPr>
          <w:lang w:val="en-GB"/>
        </w:rPr>
        <w:t xml:space="preserve">relevant. </w:t>
      </w:r>
    </w:p>
    <w:p w14:paraId="493EE167" w14:textId="2499CD4C" w:rsidR="00EF5AB7" w:rsidRDefault="00EF5AB7" w:rsidP="00EF5AB7">
      <w:pPr>
        <w:rPr>
          <w:lang w:val="en-GB"/>
        </w:rPr>
      </w:pPr>
      <w:r>
        <w:rPr>
          <w:lang w:val="en-GB"/>
        </w:rPr>
        <w:t xml:space="preserve">Unlike the bar chart, this shows average of 5 </w:t>
      </w:r>
      <w:r w:rsidR="004C3DD5">
        <w:rPr>
          <w:lang w:val="en-GB"/>
        </w:rPr>
        <w:t>minutes</w:t>
      </w:r>
      <w:r w:rsidR="007A27C9">
        <w:rPr>
          <w:lang w:val="en-GB"/>
        </w:rPr>
        <w:t xml:space="preserve">. The reason is we’re showing VM, and the VM </w:t>
      </w:r>
      <w:r w:rsidR="005629ED">
        <w:rPr>
          <w:lang w:val="en-GB"/>
        </w:rPr>
        <w:t>SLA should be based on 5-minute average</w:t>
      </w:r>
      <w:r>
        <w:rPr>
          <w:lang w:val="en-GB"/>
        </w:rPr>
        <w:t>.</w:t>
      </w:r>
    </w:p>
    <w:p w14:paraId="339A6C72" w14:textId="13CAE854" w:rsidR="0084414D" w:rsidRDefault="0084414D" w:rsidP="00033750">
      <w:pPr>
        <w:rPr>
          <w:lang w:val="en-GB"/>
        </w:rPr>
      </w:pPr>
      <w:r w:rsidRPr="00A452F2">
        <w:rPr>
          <w:lang w:val="en-GB"/>
        </w:rPr>
        <w:t>If you have screen real estate, group the VMs by cluster. In this way, you can quickly see if the problem is in particular cluster.</w:t>
      </w:r>
      <w:r w:rsidR="00824420">
        <w:rPr>
          <w:lang w:val="en-GB"/>
        </w:rPr>
        <w:t xml:space="preserve"> Avoid grouping by ESXi</w:t>
      </w:r>
      <w:r w:rsidR="00B619F3">
        <w:rPr>
          <w:lang w:val="en-GB"/>
        </w:rPr>
        <w:t xml:space="preserve"> as VMs may relocate.</w:t>
      </w:r>
    </w:p>
    <w:p w14:paraId="2663657A" w14:textId="0131CEC2" w:rsidR="00DF2FDB" w:rsidRDefault="006D520B" w:rsidP="00AC6E1E">
      <w:pPr>
        <w:pStyle w:val="Heading4"/>
      </w:pPr>
      <w:r>
        <w:t>Per-VM</w:t>
      </w:r>
      <w:r w:rsidR="00DF2FDB">
        <w:t xml:space="preserve"> Analysis</w:t>
      </w:r>
    </w:p>
    <w:p w14:paraId="7E835DF7" w14:textId="050B6C2F" w:rsidR="00C62592" w:rsidRDefault="00033750" w:rsidP="00033750">
      <w:pPr>
        <w:rPr>
          <w:lang w:val="en-GB"/>
        </w:rPr>
      </w:pPr>
      <w:r w:rsidRPr="00A452F2">
        <w:rPr>
          <w:lang w:val="en-GB"/>
        </w:rPr>
        <w:t>Choose a VM from the table</w:t>
      </w:r>
      <w:r>
        <w:rPr>
          <w:lang w:val="en-GB"/>
        </w:rPr>
        <w:t xml:space="preserve">. </w:t>
      </w:r>
    </w:p>
    <w:p w14:paraId="75E87E21" w14:textId="468243B3" w:rsidR="004C3DD5" w:rsidRDefault="004C3DD5" w:rsidP="00033750">
      <w:pPr>
        <w:rPr>
          <w:lang w:val="en-GB"/>
        </w:rPr>
      </w:pPr>
      <w:r w:rsidRPr="004C3DD5">
        <w:rPr>
          <w:noProof/>
          <w:lang w:val="en-GB"/>
        </w:rPr>
        <w:drawing>
          <wp:inline distT="0" distB="0" distL="0" distR="0" wp14:anchorId="1BC9FC65" wp14:editId="0D6944F8">
            <wp:extent cx="6645910" cy="1301750"/>
            <wp:effectExtent l="0" t="0" r="2540" b="0"/>
            <wp:docPr id="1525330246" name="Picture 1525330246"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46" name="Picture 1525330246" descr="Chart&#10;&#10;Description automatically generated with low confidence"/>
                    <pic:cNvPicPr/>
                  </pic:nvPicPr>
                  <pic:blipFill>
                    <a:blip r:embed="rId1039"/>
                    <a:stretch>
                      <a:fillRect/>
                    </a:stretch>
                  </pic:blipFill>
                  <pic:spPr>
                    <a:xfrm>
                      <a:off x="0" y="0"/>
                      <a:ext cx="6645910" cy="1301750"/>
                    </a:xfrm>
                    <a:prstGeom prst="rect">
                      <a:avLst/>
                    </a:prstGeom>
                  </pic:spPr>
                </pic:pic>
              </a:graphicData>
            </a:graphic>
          </wp:inline>
        </w:drawing>
      </w:r>
    </w:p>
    <w:p w14:paraId="15B7A6B9" w14:textId="102D4AE0" w:rsidR="004C3DD5" w:rsidRDefault="004C3DD5" w:rsidP="004C3DD5">
      <w:r w:rsidRPr="00A452F2">
        <w:t xml:space="preserve">All the </w:t>
      </w:r>
      <w:r>
        <w:t xml:space="preserve">CPU, Memory, Disk and Network performance </w:t>
      </w:r>
      <w:r w:rsidRPr="00A452F2">
        <w:t xml:space="preserve">charts are automatically shown, </w:t>
      </w:r>
      <w:r>
        <w:t xml:space="preserve">each widget </w:t>
      </w:r>
      <w:r w:rsidRPr="00A452F2">
        <w:t xml:space="preserve">showing </w:t>
      </w:r>
      <w:r>
        <w:t xml:space="preserve">the </w:t>
      </w:r>
      <w:r w:rsidRPr="00A452F2">
        <w:t>KPI</w:t>
      </w:r>
      <w:r>
        <w:t>s</w:t>
      </w:r>
      <w:r w:rsidRPr="00A452F2">
        <w:t xml:space="preserve"> of that VM.</w:t>
      </w:r>
    </w:p>
    <w:p w14:paraId="31E8315B" w14:textId="21C82171" w:rsidR="004C3DD5" w:rsidRPr="004C3DD5" w:rsidRDefault="00C62592" w:rsidP="004C3DD5">
      <w:pPr>
        <w:pStyle w:val="Heading5"/>
        <w:numPr>
          <w:ilvl w:val="0"/>
          <w:numId w:val="0"/>
        </w:numPr>
      </w:pPr>
      <w:r w:rsidRPr="00721AF8">
        <w:t>CPU Metrics</w:t>
      </w:r>
    </w:p>
    <w:p w14:paraId="45702BD9" w14:textId="50284538" w:rsidR="00ED4CD4" w:rsidRDefault="00D460C8" w:rsidP="00033750">
      <w:pPr>
        <w:rPr>
          <w:lang w:val="en-GB"/>
        </w:rPr>
      </w:pPr>
      <w:r>
        <w:rPr>
          <w:lang w:val="en-GB"/>
        </w:rPr>
        <w:t xml:space="preserve">The CPU panel sports </w:t>
      </w:r>
      <w:r w:rsidR="002E6F56">
        <w:rPr>
          <w:lang w:val="en-GB"/>
        </w:rPr>
        <w:t xml:space="preserve">the following </w:t>
      </w:r>
      <w:r w:rsidR="004C3DD5">
        <w:rPr>
          <w:lang w:val="en-GB"/>
        </w:rPr>
        <w:t>8</w:t>
      </w:r>
      <w:r w:rsidR="002E6F56">
        <w:rPr>
          <w:lang w:val="en-GB"/>
        </w:rPr>
        <w:t xml:space="preserve"> </w:t>
      </w:r>
      <w:r w:rsidR="008D3A3F">
        <w:rPr>
          <w:lang w:val="en-GB"/>
        </w:rPr>
        <w:t>metrics</w:t>
      </w:r>
      <w:r w:rsidR="002E6F56">
        <w:rPr>
          <w:lang w:val="en-GB"/>
        </w:rPr>
        <w:t>.</w:t>
      </w:r>
      <w:r>
        <w:rPr>
          <w:lang w:val="en-GB"/>
        </w:rPr>
        <w:t xml:space="preserve"> </w:t>
      </w:r>
      <w:r w:rsidR="00A1172A">
        <w:rPr>
          <w:lang w:val="en-GB"/>
        </w:rPr>
        <w:t>Review them. Do you know w</w:t>
      </w:r>
      <w:r>
        <w:rPr>
          <w:lang w:val="en-GB"/>
        </w:rPr>
        <w:t xml:space="preserve">hy </w:t>
      </w:r>
      <w:r w:rsidR="00A1172A">
        <w:rPr>
          <w:lang w:val="en-GB"/>
        </w:rPr>
        <w:t xml:space="preserve">we pick </w:t>
      </w:r>
      <w:r>
        <w:rPr>
          <w:lang w:val="en-GB"/>
        </w:rPr>
        <w:t xml:space="preserve">these </w:t>
      </w:r>
      <w:r w:rsidR="004C3DD5">
        <w:rPr>
          <w:lang w:val="en-GB"/>
        </w:rPr>
        <w:t>8</w:t>
      </w:r>
      <w:r w:rsidR="00A1172A">
        <w:rPr>
          <w:lang w:val="en-GB"/>
        </w:rPr>
        <w:t>, and show them in this specific order?</w:t>
      </w:r>
    </w:p>
    <w:p w14:paraId="1CB081C5" w14:textId="3A4DC2BA" w:rsidR="004C3DD5" w:rsidRDefault="004C3DD5" w:rsidP="00033750">
      <w:pPr>
        <w:rPr>
          <w:lang w:val="en-GB"/>
        </w:rPr>
      </w:pPr>
      <w:r w:rsidRPr="004C3DD5">
        <w:rPr>
          <w:noProof/>
          <w:lang w:val="en-GB"/>
        </w:rPr>
        <w:drawing>
          <wp:inline distT="0" distB="0" distL="0" distR="0" wp14:anchorId="5434379B" wp14:editId="4C7382F4">
            <wp:extent cx="6645910" cy="989330"/>
            <wp:effectExtent l="0" t="0" r="2540" b="1270"/>
            <wp:docPr id="1525330245" name="Picture 1525330245"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5330245" name="Picture 1525330245" descr="A picture containing text, clock&#10;&#10;Description automatically generated"/>
                    <pic:cNvPicPr/>
                  </pic:nvPicPr>
                  <pic:blipFill>
                    <a:blip r:embed="rId1040"/>
                    <a:stretch>
                      <a:fillRect/>
                    </a:stretch>
                  </pic:blipFill>
                  <pic:spPr>
                    <a:xfrm>
                      <a:off x="0" y="0"/>
                      <a:ext cx="6645910" cy="989330"/>
                    </a:xfrm>
                    <a:prstGeom prst="rect">
                      <a:avLst/>
                    </a:prstGeom>
                  </pic:spPr>
                </pic:pic>
              </a:graphicData>
            </a:graphic>
          </wp:inline>
        </w:drawing>
      </w:r>
    </w:p>
    <w:p w14:paraId="574537AB" w14:textId="3ED66C83" w:rsidR="006B3774" w:rsidRDefault="00C022D0" w:rsidP="00033750">
      <w:pPr>
        <w:rPr>
          <w:lang w:val="en-GB"/>
        </w:rPr>
      </w:pPr>
      <w:r>
        <w:rPr>
          <w:lang w:val="en-GB"/>
        </w:rPr>
        <w:t xml:space="preserve">The </w:t>
      </w:r>
      <w:r w:rsidR="008D3A3F">
        <w:rPr>
          <w:lang w:val="en-GB"/>
        </w:rPr>
        <w:t>metrics</w:t>
      </w:r>
      <w:r>
        <w:rPr>
          <w:lang w:val="en-GB"/>
        </w:rPr>
        <w:t xml:space="preserve"> are shown in the order of importance</w:t>
      </w:r>
      <w:r w:rsidR="00A544EA">
        <w:rPr>
          <w:lang w:val="en-GB"/>
        </w:rPr>
        <w:t xml:space="preserve"> or urgency</w:t>
      </w:r>
      <w:r>
        <w:rPr>
          <w:lang w:val="en-GB"/>
        </w:rPr>
        <w:t xml:space="preserve">. The </w:t>
      </w:r>
      <w:r w:rsidR="007F0BBD">
        <w:rPr>
          <w:lang w:val="en-GB"/>
        </w:rPr>
        <w:t>most important on</w:t>
      </w:r>
      <w:r w:rsidR="00985BA6">
        <w:rPr>
          <w:lang w:val="en-GB"/>
        </w:rPr>
        <w:t xml:space="preserve">e for </w:t>
      </w:r>
      <w:r w:rsidR="000D7265">
        <w:rPr>
          <w:lang w:val="en-GB"/>
        </w:rPr>
        <w:t>Guest OS is CPU Run Queue</w:t>
      </w:r>
      <w:r w:rsidR="00985BA6">
        <w:rPr>
          <w:lang w:val="en-GB"/>
        </w:rPr>
        <w:t>, while the most important for</w:t>
      </w:r>
      <w:r w:rsidR="000D7265">
        <w:rPr>
          <w:lang w:val="en-GB"/>
        </w:rPr>
        <w:t xml:space="preserve"> VM is CPU Ready</w:t>
      </w:r>
      <w:r w:rsidR="007F0BBD">
        <w:rPr>
          <w:lang w:val="en-GB"/>
        </w:rPr>
        <w:t>.</w:t>
      </w:r>
      <w:r w:rsidR="00D763D8">
        <w:rPr>
          <w:lang w:val="en-GB"/>
        </w:rPr>
        <w:t xml:space="preserve"> </w:t>
      </w:r>
    </w:p>
    <w:p w14:paraId="450ADF78" w14:textId="6B3FDDEE" w:rsidR="00787DE8" w:rsidRPr="00BA3988" w:rsidRDefault="00985BA6" w:rsidP="00033750">
      <w:pPr>
        <w:rPr>
          <w:lang w:val="en-GB"/>
        </w:rPr>
      </w:pPr>
      <w:r w:rsidRPr="00BA3988">
        <w:rPr>
          <w:lang w:val="en-GB"/>
        </w:rPr>
        <w:t>Peak CPU Run Queue. Ideally we divide by the number of vCPU. Create a super metric for that.</w:t>
      </w:r>
      <w:r w:rsidR="00361C33">
        <w:rPr>
          <w:lang w:val="en-GB"/>
        </w:rPr>
        <w:t xml:space="preserve"> Good practice </w:t>
      </w:r>
      <w:r w:rsidR="00361C33" w:rsidRPr="00361C33">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9"/>
          </mc:Choice>
          <mc:Fallback>
            <w:t>😉</w:t>
          </mc:Fallback>
        </mc:AlternateContent>
      </w:r>
      <w:r w:rsidR="00361C33">
        <w:rPr>
          <w:lang w:val="en-GB"/>
        </w:rPr>
        <w:t xml:space="preserve"> </w:t>
      </w:r>
    </w:p>
    <w:p w14:paraId="55515D94" w14:textId="61CB81F3" w:rsidR="00C022D0" w:rsidRDefault="00D763D8" w:rsidP="00033750">
      <w:pPr>
        <w:rPr>
          <w:lang w:val="en-GB"/>
        </w:rPr>
      </w:pPr>
      <w:r w:rsidRPr="008068A9">
        <w:rPr>
          <w:color w:val="0070C0"/>
        </w:rPr>
        <w:t xml:space="preserve">Peak vCPU Ready (%) </w:t>
      </w:r>
      <w:r w:rsidRPr="008068A9">
        <w:t>tracks</w:t>
      </w:r>
      <w:r w:rsidRPr="008068A9">
        <w:rPr>
          <w:lang w:val="en-GB"/>
        </w:rPr>
        <w:t xml:space="preserve"> if any of the virtual CPU is experiencing high CPU Ready. It takes the highest among the vCPU. This can be useful in large VMs with many vCPU.</w:t>
      </w:r>
    </w:p>
    <w:p w14:paraId="55CADD13" w14:textId="02005497" w:rsidR="006B3774" w:rsidRDefault="006B3774" w:rsidP="00033750">
      <w:pPr>
        <w:rPr>
          <w:lang w:val="en-GB"/>
        </w:rPr>
      </w:pPr>
      <w:r>
        <w:rPr>
          <w:lang w:val="en-GB"/>
        </w:rPr>
        <w:t>W</w:t>
      </w:r>
      <w:r w:rsidR="009B0CAB">
        <w:rPr>
          <w:lang w:val="en-GB"/>
        </w:rPr>
        <w:t xml:space="preserve">hy </w:t>
      </w:r>
      <w:r>
        <w:rPr>
          <w:lang w:val="en-GB"/>
        </w:rPr>
        <w:t xml:space="preserve">are </w:t>
      </w:r>
      <w:r w:rsidR="009B0CAB">
        <w:rPr>
          <w:lang w:val="en-GB"/>
        </w:rPr>
        <w:t xml:space="preserve">the last </w:t>
      </w:r>
      <w:r w:rsidR="004C3DD5">
        <w:rPr>
          <w:lang w:val="en-GB"/>
        </w:rPr>
        <w:t>3</w:t>
      </w:r>
      <w:r w:rsidR="009B0CAB">
        <w:rPr>
          <w:lang w:val="en-GB"/>
        </w:rPr>
        <w:t xml:space="preserve"> </w:t>
      </w:r>
      <w:r w:rsidR="008D3A3F">
        <w:rPr>
          <w:lang w:val="en-GB"/>
        </w:rPr>
        <w:t>metrics</w:t>
      </w:r>
      <w:r w:rsidR="009B0CAB">
        <w:rPr>
          <w:lang w:val="en-GB"/>
        </w:rPr>
        <w:t xml:space="preserve"> are not color coded? </w:t>
      </w:r>
    </w:p>
    <w:p w14:paraId="3B946B96" w14:textId="2B58E75E" w:rsidR="00AE0EEC" w:rsidRPr="00ED4CD4" w:rsidRDefault="00BA3988">
      <w:pPr>
        <w:pStyle w:val="ListParagraph"/>
        <w:numPr>
          <w:ilvl w:val="0"/>
          <w:numId w:val="53"/>
        </w:numPr>
        <w:rPr>
          <w:lang w:val="en-GB"/>
        </w:rPr>
      </w:pPr>
      <w:r w:rsidRPr="00ED4CD4">
        <w:rPr>
          <w:lang w:val="en-GB"/>
        </w:rPr>
        <w:lastRenderedPageBreak/>
        <w:t xml:space="preserve">CPU Context Switch actually impacts performance. </w:t>
      </w:r>
      <w:r w:rsidR="00AE0EEC" w:rsidRPr="00ED4CD4">
        <w:rPr>
          <w:lang w:val="en-GB"/>
        </w:rPr>
        <w:t xml:space="preserve">I’m just unsure what to put as it varies </w:t>
      </w:r>
      <w:r w:rsidR="00A95015" w:rsidRPr="00ED4CD4">
        <w:rPr>
          <w:lang w:val="en-GB"/>
        </w:rPr>
        <w:t xml:space="preserve">among customers. For your environment, set it as appropriate after </w:t>
      </w:r>
      <w:hyperlink w:anchor="_Depth_vs_Breadth_1" w:history="1">
        <w:r w:rsidR="00A95015" w:rsidRPr="00ED4CD4">
          <w:rPr>
            <w:rStyle w:val="Hyperlink"/>
            <w:lang w:val="en-GB"/>
          </w:rPr>
          <w:t>profiling</w:t>
        </w:r>
      </w:hyperlink>
      <w:r w:rsidR="00A95015" w:rsidRPr="00ED4CD4">
        <w:rPr>
          <w:lang w:val="en-GB"/>
        </w:rPr>
        <w:t xml:space="preserve">. </w:t>
      </w:r>
    </w:p>
    <w:p w14:paraId="4530A726" w14:textId="1A76FBEE" w:rsidR="00C6167D" w:rsidRDefault="009B0CAB">
      <w:pPr>
        <w:pStyle w:val="ListParagraph"/>
        <w:numPr>
          <w:ilvl w:val="0"/>
          <w:numId w:val="53"/>
        </w:numPr>
        <w:rPr>
          <w:lang w:val="en-GB"/>
        </w:rPr>
      </w:pPr>
      <w:r w:rsidRPr="00ED4CD4">
        <w:rPr>
          <w:lang w:val="en-GB"/>
        </w:rPr>
        <w:t xml:space="preserve">The </w:t>
      </w:r>
      <w:r w:rsidRPr="00ED4CD4">
        <w:rPr>
          <w:color w:val="00B0F0"/>
          <w:lang w:val="en-GB"/>
        </w:rPr>
        <w:t>CPU Usag</w:t>
      </w:r>
      <w:r w:rsidR="009C7661" w:rsidRPr="00ED4CD4">
        <w:rPr>
          <w:color w:val="00B0F0"/>
          <w:lang w:val="en-GB"/>
        </w:rPr>
        <w:t>e (%)</w:t>
      </w:r>
      <w:r w:rsidRPr="00ED4CD4">
        <w:rPr>
          <w:color w:val="00B0F0"/>
          <w:lang w:val="en-GB"/>
        </w:rPr>
        <w:t xml:space="preserve"> </w:t>
      </w:r>
      <w:r w:rsidR="00D06BEC" w:rsidRPr="00ED4CD4">
        <w:rPr>
          <w:lang w:val="en-GB"/>
        </w:rPr>
        <w:t>is shown</w:t>
      </w:r>
      <w:r w:rsidRPr="00ED4CD4">
        <w:rPr>
          <w:lang w:val="en-GB"/>
        </w:rPr>
        <w:t xml:space="preserve"> </w:t>
      </w:r>
      <w:r w:rsidRPr="00ED4CD4">
        <w:rPr>
          <w:b/>
          <w:bCs/>
          <w:i/>
          <w:iCs/>
          <w:color w:val="7F7F7F" w:themeColor="text1" w:themeTint="80"/>
          <w:lang w:val="en-GB"/>
        </w:rPr>
        <w:t>grey</w:t>
      </w:r>
      <w:r w:rsidRPr="00ED4CD4">
        <w:rPr>
          <w:lang w:val="en-GB"/>
        </w:rPr>
        <w:t xml:space="preserve"> </w:t>
      </w:r>
      <w:r w:rsidR="00D06BEC" w:rsidRPr="00ED4CD4">
        <w:rPr>
          <w:lang w:val="en-GB"/>
        </w:rPr>
        <w:t xml:space="preserve">as it actually has </w:t>
      </w:r>
      <w:r w:rsidR="00D06BEC" w:rsidRPr="00ED4CD4">
        <w:rPr>
          <w:i/>
          <w:iCs/>
          <w:color w:val="FF0000"/>
          <w:lang w:val="en-GB"/>
        </w:rPr>
        <w:t>negative</w:t>
      </w:r>
      <w:r w:rsidR="00D06BEC" w:rsidRPr="00ED4CD4">
        <w:rPr>
          <w:color w:val="FF0000"/>
          <w:lang w:val="en-GB"/>
        </w:rPr>
        <w:t xml:space="preserve"> </w:t>
      </w:r>
      <w:r w:rsidR="00D06BEC" w:rsidRPr="00ED4CD4">
        <w:rPr>
          <w:lang w:val="en-GB"/>
        </w:rPr>
        <w:t xml:space="preserve">corelation with performance. </w:t>
      </w:r>
      <w:r w:rsidR="005F583E" w:rsidRPr="00ED4CD4">
        <w:rPr>
          <w:lang w:val="en-GB"/>
        </w:rPr>
        <w:t>G</w:t>
      </w:r>
      <w:r w:rsidR="004201CE" w:rsidRPr="00ED4CD4">
        <w:rPr>
          <w:lang w:val="en-GB"/>
        </w:rPr>
        <w:t xml:space="preserve">rey is chosen as it also conveys wastage. Resources that are hardly utilized may not mean performance is at peak. In fact, it could be the opposite. If a VM just need 1+ vCPU, configuring it with 2 CPU will result in better performance than configuring it with </w:t>
      </w:r>
      <w:r w:rsidR="00E240F7" w:rsidRPr="00ED4CD4">
        <w:rPr>
          <w:lang w:val="en-GB"/>
        </w:rPr>
        <w:t>20</w:t>
      </w:r>
      <w:r w:rsidR="004201CE" w:rsidRPr="00ED4CD4">
        <w:rPr>
          <w:lang w:val="en-GB"/>
        </w:rPr>
        <w:t xml:space="preserve"> CPU.</w:t>
      </w:r>
    </w:p>
    <w:p w14:paraId="61AB879D" w14:textId="4762E188" w:rsidR="004C3DD5" w:rsidRPr="00ED4CD4" w:rsidRDefault="004C3DD5">
      <w:pPr>
        <w:pStyle w:val="ListParagraph"/>
        <w:numPr>
          <w:ilvl w:val="0"/>
          <w:numId w:val="53"/>
        </w:numPr>
        <w:rPr>
          <w:lang w:val="en-GB"/>
        </w:rPr>
      </w:pPr>
      <w:r>
        <w:rPr>
          <w:lang w:val="en-GB"/>
        </w:rPr>
        <w:t xml:space="preserve">The </w:t>
      </w:r>
      <w:r w:rsidRPr="009C7661">
        <w:rPr>
          <w:color w:val="00B0F0"/>
          <w:lang w:val="en-GB"/>
        </w:rPr>
        <w:t>CPU Usage Disparit</w:t>
      </w:r>
      <w:r>
        <w:rPr>
          <w:color w:val="00B0F0"/>
          <w:lang w:val="en-GB"/>
        </w:rPr>
        <w:t>y (%)</w:t>
      </w:r>
      <w:r w:rsidRPr="009C7661">
        <w:rPr>
          <w:lang w:val="en-GB"/>
        </w:rPr>
        <w:t xml:space="preserve"> </w:t>
      </w:r>
      <w:r>
        <w:rPr>
          <w:lang w:val="en-GB"/>
        </w:rPr>
        <w:t>metric. Color code it based on your expectation</w:t>
      </w:r>
    </w:p>
    <w:p w14:paraId="7FB23F6F" w14:textId="6F4CF073" w:rsidR="00A1172A" w:rsidRDefault="00A95015" w:rsidP="00033750">
      <w:pPr>
        <w:rPr>
          <w:lang w:val="en-GB"/>
        </w:rPr>
      </w:pPr>
      <w:r>
        <w:rPr>
          <w:lang w:val="en-GB"/>
        </w:rPr>
        <w:t>The following screenshot shows the threshold used:</w:t>
      </w:r>
    </w:p>
    <w:p w14:paraId="308A70D2" w14:textId="02A479C8" w:rsidR="00A95015" w:rsidRDefault="002804D4" w:rsidP="00033750">
      <w:pPr>
        <w:rPr>
          <w:lang w:val="en-GB"/>
        </w:rPr>
      </w:pPr>
      <w:r w:rsidRPr="002804D4">
        <w:rPr>
          <w:noProof/>
          <w:lang w:val="en-GB"/>
        </w:rPr>
        <w:drawing>
          <wp:inline distT="0" distB="0" distL="0" distR="0" wp14:anchorId="7AE08FD2" wp14:editId="7B1B2FA6">
            <wp:extent cx="6645910" cy="2560320"/>
            <wp:effectExtent l="0" t="0" r="2540" b="0"/>
            <wp:docPr id="1055" name="Picture 105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 name="Picture 1055" descr="Table&#10;&#10;Description automatically generated"/>
                    <pic:cNvPicPr/>
                  </pic:nvPicPr>
                  <pic:blipFill>
                    <a:blip r:embed="rId1041"/>
                    <a:stretch>
                      <a:fillRect/>
                    </a:stretch>
                  </pic:blipFill>
                  <pic:spPr>
                    <a:xfrm>
                      <a:off x="0" y="0"/>
                      <a:ext cx="6645910" cy="2560320"/>
                    </a:xfrm>
                    <a:prstGeom prst="rect">
                      <a:avLst/>
                    </a:prstGeom>
                  </pic:spPr>
                </pic:pic>
              </a:graphicData>
            </a:graphic>
          </wp:inline>
        </w:drawing>
      </w:r>
    </w:p>
    <w:p w14:paraId="218693D3" w14:textId="753295F6" w:rsidR="00ED4CD4" w:rsidRDefault="00ED4CD4" w:rsidP="00033750">
      <w:pPr>
        <w:rPr>
          <w:lang w:val="en-GB"/>
        </w:rPr>
      </w:pPr>
      <w:r>
        <w:rPr>
          <w:lang w:val="en-GB"/>
        </w:rPr>
        <w:t xml:space="preserve">Yes, they are based on the 20-second peak. Read more behind the 20-second metrics </w:t>
      </w:r>
      <w:hyperlink w:anchor="_Troubleshooting_metrics" w:history="1">
        <w:r w:rsidRPr="00ED4CD4">
          <w:rPr>
            <w:rStyle w:val="Hyperlink"/>
            <w:lang w:val="en-GB"/>
          </w:rPr>
          <w:t>here</w:t>
        </w:r>
      </w:hyperlink>
      <w:r>
        <w:rPr>
          <w:lang w:val="en-GB"/>
        </w:rPr>
        <w:t xml:space="preserve">. </w:t>
      </w:r>
    </w:p>
    <w:p w14:paraId="3D9BE765" w14:textId="29861D43" w:rsidR="008A6F88" w:rsidRDefault="008A6F88" w:rsidP="00033750">
      <w:pPr>
        <w:rPr>
          <w:lang w:val="en-GB"/>
        </w:rPr>
      </w:pPr>
      <w:r>
        <w:rPr>
          <w:lang w:val="en-GB"/>
        </w:rPr>
        <w:t xml:space="preserve">The guideline for CPU Run Queue is 1 </w:t>
      </w:r>
      <w:r w:rsidRPr="008A6F88">
        <w:rPr>
          <w:lang w:val="en-GB"/>
        </w:rPr>
        <w:sym w:font="Wingdings" w:char="F0E0"/>
      </w:r>
      <w:r>
        <w:rPr>
          <w:lang w:val="en-GB"/>
        </w:rPr>
        <w:t xml:space="preserve"> 2 </w:t>
      </w:r>
      <w:r w:rsidRPr="008A6F88">
        <w:rPr>
          <w:lang w:val="en-GB"/>
        </w:rPr>
        <w:sym w:font="Wingdings" w:char="F0E0"/>
      </w:r>
      <w:r>
        <w:rPr>
          <w:lang w:val="en-GB"/>
        </w:rPr>
        <w:t xml:space="preserve"> 4 per vCPU. As the counter is not per vCPU, I take an approximate that the average VM is 4 vCPU. Create a super metric if you need it per vCPU.</w:t>
      </w:r>
    </w:p>
    <w:p w14:paraId="30B002D7" w14:textId="216F1596" w:rsidR="00ED4CD4" w:rsidRDefault="00ED4CD4" w:rsidP="00033750">
      <w:pPr>
        <w:rPr>
          <w:lang w:val="en-GB"/>
        </w:rPr>
      </w:pPr>
      <w:r>
        <w:rPr>
          <w:lang w:val="en-GB"/>
        </w:rPr>
        <w:t xml:space="preserve">CPU Overlap is based in ms. Ideally we have them per vCPU and in %. I’d use 0.5% </w:t>
      </w:r>
      <w:r w:rsidRPr="00ED4CD4">
        <w:rPr>
          <w:lang w:val="en-GB"/>
        </w:rPr>
        <w:sym w:font="Wingdings" w:char="F0E0"/>
      </w:r>
      <w:r>
        <w:rPr>
          <w:lang w:val="en-GB"/>
        </w:rPr>
        <w:t xml:space="preserve"> 1% and 2% as the threshold.</w:t>
      </w:r>
    </w:p>
    <w:p w14:paraId="23793DC9" w14:textId="6D0630AF" w:rsidR="00033750" w:rsidRDefault="00033750" w:rsidP="00033750">
      <w:pPr>
        <w:rPr>
          <w:lang w:val="en-GB"/>
        </w:rPr>
      </w:pPr>
      <w:r w:rsidRPr="4CAB3972">
        <w:rPr>
          <w:lang w:val="en-GB"/>
        </w:rPr>
        <w:t>The chart also displays the</w:t>
      </w:r>
      <w:r w:rsidR="00210B02">
        <w:rPr>
          <w:lang w:val="en-GB"/>
        </w:rPr>
        <w:t xml:space="preserve"> present value, so you know if the problem is still happening or not</w:t>
      </w:r>
      <w:r w:rsidRPr="4CAB3972">
        <w:rPr>
          <w:lang w:val="en-GB"/>
        </w:rPr>
        <w:t xml:space="preserve">. </w:t>
      </w:r>
    </w:p>
    <w:p w14:paraId="67F74867" w14:textId="339E502E" w:rsidR="00A83A13" w:rsidRDefault="00A83A13" w:rsidP="00A83A13">
      <w:pPr>
        <w:rPr>
          <w:lang w:val="en-GB"/>
        </w:rPr>
      </w:pPr>
      <w:r>
        <w:rPr>
          <w:lang w:val="en-GB"/>
        </w:rPr>
        <w:t xml:space="preserve">Why none of the </w:t>
      </w:r>
      <w:r w:rsidR="008D3A3F">
        <w:rPr>
          <w:lang w:val="en-GB"/>
        </w:rPr>
        <w:t>metrics</w:t>
      </w:r>
      <w:r>
        <w:rPr>
          <w:lang w:val="en-GB"/>
        </w:rPr>
        <w:t xml:space="preserve"> have decimal point? </w:t>
      </w:r>
    </w:p>
    <w:p w14:paraId="1C628028" w14:textId="77E488A2" w:rsidR="00214CC3" w:rsidRDefault="00214CC3" w:rsidP="005E54F1">
      <w:pPr>
        <w:rPr>
          <w:lang w:val="en-GB"/>
        </w:rPr>
      </w:pPr>
      <w:r>
        <w:rPr>
          <w:lang w:val="en-GB"/>
        </w:rPr>
        <w:t>I round all the counter</w:t>
      </w:r>
      <w:r w:rsidR="00A83A13">
        <w:rPr>
          <w:lang w:val="en-GB"/>
        </w:rPr>
        <w:t xml:space="preserve"> because the decimal is not significant and clutters the dashboard with no </w:t>
      </w:r>
      <w:r w:rsidR="00C05C8A">
        <w:rPr>
          <w:lang w:val="en-GB"/>
        </w:rPr>
        <w:t>real value. There is really no difference between 0.1% and 0.</w:t>
      </w:r>
      <w:r w:rsidR="0082041B">
        <w:rPr>
          <w:lang w:val="en-GB"/>
        </w:rPr>
        <w:t>9</w:t>
      </w:r>
      <w:r w:rsidR="00C05C8A">
        <w:rPr>
          <w:lang w:val="en-GB"/>
        </w:rPr>
        <w:t xml:space="preserve">% in all these </w:t>
      </w:r>
      <w:r w:rsidR="008D3A3F">
        <w:rPr>
          <w:lang w:val="en-GB"/>
        </w:rPr>
        <w:t>metrics</w:t>
      </w:r>
      <w:r w:rsidR="0082041B">
        <w:rPr>
          <w:lang w:val="en-GB"/>
        </w:rPr>
        <w:t>.</w:t>
      </w:r>
    </w:p>
    <w:p w14:paraId="2886E9E6" w14:textId="502BE867" w:rsidR="00773049" w:rsidRDefault="006D6C2F" w:rsidP="005E54F1">
      <w:pPr>
        <w:rPr>
          <w:lang w:val="en-GB"/>
        </w:rPr>
      </w:pPr>
      <w:r>
        <w:rPr>
          <w:lang w:val="en-GB"/>
        </w:rPr>
        <w:t xml:space="preserve">Why CPU Latency or CPU Contention </w:t>
      </w:r>
      <w:r w:rsidR="000C4B0B">
        <w:rPr>
          <w:lang w:val="en-GB"/>
        </w:rPr>
        <w:t xml:space="preserve">and CPU System metrics are </w:t>
      </w:r>
      <w:r>
        <w:rPr>
          <w:lang w:val="en-GB"/>
        </w:rPr>
        <w:t>not shown?</w:t>
      </w:r>
      <w:r w:rsidR="00773049">
        <w:rPr>
          <w:lang w:val="en-GB"/>
        </w:rPr>
        <w:t xml:space="preserve"> Refer to the metric chapter for the reason.</w:t>
      </w:r>
    </w:p>
    <w:p w14:paraId="367B8998" w14:textId="0E43B006" w:rsidR="000C4B0B" w:rsidRDefault="003E074E" w:rsidP="005E54F1">
      <w:pPr>
        <w:rPr>
          <w:lang w:val="en-GB"/>
        </w:rPr>
      </w:pPr>
      <w:r w:rsidRPr="001C7717">
        <w:rPr>
          <w:lang w:val="en-GB"/>
        </w:rPr>
        <w:t>Why is CPU Swap Wait not shown?</w:t>
      </w:r>
      <w:r w:rsidR="00006831" w:rsidRPr="001C7717">
        <w:rPr>
          <w:lang w:val="en-GB"/>
        </w:rPr>
        <w:t xml:space="preserve"> </w:t>
      </w:r>
      <w:r>
        <w:rPr>
          <w:lang w:val="en-GB"/>
        </w:rPr>
        <w:t>Its value is a subset of Memory Contention.</w:t>
      </w:r>
    </w:p>
    <w:p w14:paraId="51351BA3" w14:textId="7F2C49C7" w:rsidR="00C62592" w:rsidRDefault="00C62592" w:rsidP="00E7573A">
      <w:pPr>
        <w:pStyle w:val="Heading5"/>
      </w:pPr>
      <w:r>
        <w:t>Memory Metrics</w:t>
      </w:r>
    </w:p>
    <w:p w14:paraId="14411987" w14:textId="679BAFCC" w:rsidR="00C65C97" w:rsidRDefault="00C65C97" w:rsidP="00033750">
      <w:pPr>
        <w:rPr>
          <w:lang w:val="en-GB"/>
        </w:rPr>
      </w:pPr>
      <w:r>
        <w:rPr>
          <w:lang w:val="en-GB"/>
        </w:rPr>
        <w:t>Now that you know how the widget is designed, let’s move content from CPU to Memory.</w:t>
      </w:r>
      <w:r w:rsidR="00FF20B9">
        <w:rPr>
          <w:lang w:val="en-GB"/>
        </w:rPr>
        <w:t xml:space="preserve"> Review the following screenshot.</w:t>
      </w:r>
    </w:p>
    <w:p w14:paraId="5AB417AC" w14:textId="0445A541" w:rsidR="0081361D" w:rsidRDefault="0081361D" w:rsidP="00033750">
      <w:pPr>
        <w:rPr>
          <w:lang w:val="en-GB"/>
        </w:rPr>
      </w:pPr>
      <w:r w:rsidRPr="0081361D">
        <w:rPr>
          <w:noProof/>
          <w:lang w:val="en-GB"/>
        </w:rPr>
        <w:lastRenderedPageBreak/>
        <w:drawing>
          <wp:inline distT="0" distB="0" distL="0" distR="0" wp14:anchorId="7EE15D84" wp14:editId="603B4C9A">
            <wp:extent cx="6645910" cy="812800"/>
            <wp:effectExtent l="0" t="0" r="2540" b="6350"/>
            <wp:docPr id="1583707963" name="Picture 1583707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2"/>
                    <a:stretch>
                      <a:fillRect/>
                    </a:stretch>
                  </pic:blipFill>
                  <pic:spPr>
                    <a:xfrm>
                      <a:off x="0" y="0"/>
                      <a:ext cx="6645910" cy="812800"/>
                    </a:xfrm>
                    <a:prstGeom prst="rect">
                      <a:avLst/>
                    </a:prstGeom>
                  </pic:spPr>
                </pic:pic>
              </a:graphicData>
            </a:graphic>
          </wp:inline>
        </w:drawing>
      </w:r>
    </w:p>
    <w:p w14:paraId="1E12A396" w14:textId="146EC7CD" w:rsidR="008C1DFB" w:rsidRDefault="00647DB6" w:rsidP="00033750">
      <w:pPr>
        <w:rPr>
          <w:lang w:val="en-GB"/>
        </w:rPr>
      </w:pPr>
      <w:r>
        <w:rPr>
          <w:lang w:val="en-GB"/>
        </w:rPr>
        <w:t xml:space="preserve">Why </w:t>
      </w:r>
      <w:r w:rsidR="00BC2AC2">
        <w:rPr>
          <w:lang w:val="en-GB"/>
        </w:rPr>
        <w:t>is contention the only color coded metric? Balloon, page in rate, page out rate, etc are not.</w:t>
      </w:r>
      <w:r w:rsidR="00B000CD">
        <w:rPr>
          <w:lang w:val="en-GB"/>
        </w:rPr>
        <w:t xml:space="preserve"> See </w:t>
      </w:r>
      <w:hyperlink w:anchor="_Balloon" w:history="1">
        <w:r w:rsidR="00B000CD" w:rsidRPr="00F027F1">
          <w:rPr>
            <w:rStyle w:val="Hyperlink"/>
            <w:lang w:val="en-GB"/>
          </w:rPr>
          <w:t>this example</w:t>
        </w:r>
      </w:hyperlink>
      <w:r w:rsidR="00B000CD">
        <w:rPr>
          <w:lang w:val="en-GB"/>
        </w:rPr>
        <w:t xml:space="preserve"> of where severe ballooning did not result in </w:t>
      </w:r>
      <w:r w:rsidR="00F027F1">
        <w:rPr>
          <w:lang w:val="en-GB"/>
        </w:rPr>
        <w:t xml:space="preserve">much contention at all. </w:t>
      </w:r>
    </w:p>
    <w:p w14:paraId="1AAA178E" w14:textId="51AD0CD5" w:rsidR="00FF20B9" w:rsidRDefault="00F333DB" w:rsidP="00033750">
      <w:pPr>
        <w:rPr>
          <w:lang w:val="en-GB"/>
        </w:rPr>
      </w:pPr>
      <w:r>
        <w:rPr>
          <w:lang w:val="en-GB"/>
        </w:rPr>
        <w:t xml:space="preserve">Because memory is a form of storage. </w:t>
      </w:r>
      <w:r w:rsidR="008E3B4D">
        <w:rPr>
          <w:lang w:val="en-GB"/>
        </w:rPr>
        <w:t xml:space="preserve">Most </w:t>
      </w:r>
      <w:r w:rsidR="008D3A3F">
        <w:rPr>
          <w:lang w:val="en-GB"/>
        </w:rPr>
        <w:t>metrics</w:t>
      </w:r>
      <w:r w:rsidR="008E3B4D">
        <w:rPr>
          <w:lang w:val="en-GB"/>
        </w:rPr>
        <w:t xml:space="preserve"> </w:t>
      </w:r>
      <w:r>
        <w:rPr>
          <w:lang w:val="en-GB"/>
        </w:rPr>
        <w:t xml:space="preserve">measure usage of the disk space, not latency of access. </w:t>
      </w:r>
      <w:r w:rsidRPr="00A452F2">
        <w:rPr>
          <w:lang w:val="en-GB"/>
        </w:rPr>
        <w:t xml:space="preserve">Consider the disk space occupied. A utilization </w:t>
      </w:r>
      <w:r w:rsidR="004A44CA">
        <w:rPr>
          <w:lang w:val="en-GB"/>
        </w:rPr>
        <w:t xml:space="preserve">at 90% </w:t>
      </w:r>
      <w:r w:rsidRPr="00A452F2">
        <w:rPr>
          <w:lang w:val="en-GB"/>
        </w:rPr>
        <w:t>of the space is not slower than 10%</w:t>
      </w:r>
      <w:r w:rsidR="004A44CA">
        <w:rPr>
          <w:lang w:val="en-GB"/>
        </w:rPr>
        <w:t xml:space="preserve"> utilization</w:t>
      </w:r>
      <w:r w:rsidRPr="00A452F2">
        <w:rPr>
          <w:lang w:val="en-GB"/>
        </w:rPr>
        <w:t>. It’s a capacity issue, not performance.</w:t>
      </w:r>
    </w:p>
    <w:p w14:paraId="77F38640" w14:textId="35D96D51" w:rsidR="00B85F9B" w:rsidRDefault="00B85F9B" w:rsidP="00033750">
      <w:pPr>
        <w:rPr>
          <w:lang w:val="en-GB"/>
        </w:rPr>
      </w:pPr>
      <w:r>
        <w:rPr>
          <w:lang w:val="en-GB"/>
        </w:rPr>
        <w:t xml:space="preserve">Why </w:t>
      </w:r>
      <w:r w:rsidR="0088616E">
        <w:rPr>
          <w:lang w:val="en-GB"/>
        </w:rPr>
        <w:t xml:space="preserve">are the </w:t>
      </w:r>
      <w:r>
        <w:rPr>
          <w:lang w:val="en-GB"/>
        </w:rPr>
        <w:t>m</w:t>
      </w:r>
      <w:r w:rsidR="0050700A" w:rsidRPr="00A452F2">
        <w:rPr>
          <w:lang w:val="en-GB"/>
        </w:rPr>
        <w:t xml:space="preserve">emory </w:t>
      </w:r>
      <w:r>
        <w:rPr>
          <w:lang w:val="en-GB"/>
        </w:rPr>
        <w:t>p</w:t>
      </w:r>
      <w:r w:rsidR="0050700A" w:rsidRPr="00A452F2">
        <w:rPr>
          <w:lang w:val="en-GB"/>
        </w:rPr>
        <w:t xml:space="preserve">aging </w:t>
      </w:r>
      <w:r>
        <w:rPr>
          <w:lang w:val="en-GB"/>
        </w:rPr>
        <w:t xml:space="preserve">shown in color? </w:t>
      </w:r>
    </w:p>
    <w:p w14:paraId="71437C90" w14:textId="3B6F6DA1" w:rsidR="0088616E" w:rsidRDefault="0088616E" w:rsidP="00033750">
      <w:pPr>
        <w:rPr>
          <w:lang w:val="en-GB"/>
        </w:rPr>
      </w:pPr>
      <w:r>
        <w:rPr>
          <w:lang w:val="en-GB"/>
        </w:rPr>
        <w:t>Because they are leading indicator</w:t>
      </w:r>
      <w:r w:rsidR="001C7D06">
        <w:rPr>
          <w:lang w:val="en-GB"/>
        </w:rPr>
        <w:t xml:space="preserve"> and possible cause of memory performance within Windows or Linux.</w:t>
      </w:r>
    </w:p>
    <w:p w14:paraId="0FF5A5D8" w14:textId="21EA0A29" w:rsidR="0088616E" w:rsidRDefault="0088616E" w:rsidP="00033750">
      <w:pPr>
        <w:rPr>
          <w:lang w:val="en-GB"/>
        </w:rPr>
      </w:pPr>
      <w:r w:rsidRPr="00150432">
        <w:rPr>
          <w:noProof/>
          <w:lang w:val="en-GB"/>
        </w:rPr>
        <w:drawing>
          <wp:inline distT="0" distB="0" distL="0" distR="0" wp14:anchorId="2A94890F" wp14:editId="174D5395">
            <wp:extent cx="6645910" cy="2652395"/>
            <wp:effectExtent l="0" t="0" r="2540" b="0"/>
            <wp:docPr id="1971068997" name="Picture 197106899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8997" name="Picture 1971068997" descr="Table&#10;&#10;Description automatically generated"/>
                    <pic:cNvPicPr/>
                  </pic:nvPicPr>
                  <pic:blipFill>
                    <a:blip r:embed="rId1043"/>
                    <a:stretch>
                      <a:fillRect/>
                    </a:stretch>
                  </pic:blipFill>
                  <pic:spPr>
                    <a:xfrm>
                      <a:off x="0" y="0"/>
                      <a:ext cx="6645910" cy="2652395"/>
                    </a:xfrm>
                    <a:prstGeom prst="rect">
                      <a:avLst/>
                    </a:prstGeom>
                  </pic:spPr>
                </pic:pic>
              </a:graphicData>
            </a:graphic>
          </wp:inline>
        </w:drawing>
      </w:r>
    </w:p>
    <w:p w14:paraId="4F62394A" w14:textId="3F4CFB0A" w:rsidR="00A13872" w:rsidRDefault="00A13872" w:rsidP="00033750">
      <w:pPr>
        <w:rPr>
          <w:lang w:val="en-GB"/>
        </w:rPr>
      </w:pPr>
      <w:r>
        <w:rPr>
          <w:lang w:val="en-GB"/>
        </w:rPr>
        <w:t xml:space="preserve">Why is Balloon placed </w:t>
      </w:r>
      <w:r w:rsidR="00A745CC">
        <w:rPr>
          <w:lang w:val="en-GB"/>
        </w:rPr>
        <w:t xml:space="preserve">towards the end? </w:t>
      </w:r>
    </w:p>
    <w:p w14:paraId="4004C90A" w14:textId="79F1A93D" w:rsidR="00BA10F7" w:rsidRDefault="00A745CC" w:rsidP="0088616E">
      <w:pPr>
        <w:rPr>
          <w:lang w:val="en-GB"/>
        </w:rPr>
      </w:pPr>
      <w:r>
        <w:rPr>
          <w:lang w:val="en-GB"/>
        </w:rPr>
        <w:t>Because that’s a VM level counter. For memory, you want to measure at Windows or Linux level.</w:t>
      </w:r>
      <w:r w:rsidR="0017121C">
        <w:rPr>
          <w:lang w:val="en-GB"/>
        </w:rPr>
        <w:t xml:space="preserve"> The following shows the </w:t>
      </w:r>
      <w:r w:rsidR="008D3A3F">
        <w:rPr>
          <w:lang w:val="en-GB"/>
        </w:rPr>
        <w:t>metrics</w:t>
      </w:r>
      <w:r w:rsidR="0017121C">
        <w:rPr>
          <w:lang w:val="en-GB"/>
        </w:rPr>
        <w:t xml:space="preserve"> we use. </w:t>
      </w:r>
      <w:r w:rsidR="0017121C" w:rsidRPr="0017121C">
        <w:rPr>
          <w:color w:val="00B0F0"/>
          <w:lang w:val="en-GB"/>
        </w:rPr>
        <w:t xml:space="preserve">Guest </w:t>
      </w:r>
      <w:r w:rsidR="0017121C">
        <w:rPr>
          <w:lang w:val="en-GB"/>
        </w:rPr>
        <w:t>means it’s coming from the Guest OS, not VM.</w:t>
      </w:r>
    </w:p>
    <w:p w14:paraId="3F6A6083" w14:textId="62B83B62" w:rsidR="00B64AE6" w:rsidRDefault="00B64AE6" w:rsidP="00033750">
      <w:pPr>
        <w:rPr>
          <w:lang w:val="en-GB"/>
        </w:rPr>
      </w:pPr>
      <w:r>
        <w:rPr>
          <w:lang w:val="en-GB"/>
        </w:rPr>
        <w:t xml:space="preserve">Why is </w:t>
      </w:r>
      <w:r w:rsidR="00E92505">
        <w:rPr>
          <w:lang w:val="en-GB"/>
        </w:rPr>
        <w:t xml:space="preserve">ballooned, </w:t>
      </w:r>
      <w:r w:rsidR="002B26B1">
        <w:rPr>
          <w:lang w:val="en-GB"/>
        </w:rPr>
        <w:t>compressed and swapped not shown in color?</w:t>
      </w:r>
    </w:p>
    <w:p w14:paraId="50CB1CDB" w14:textId="7CAFB321" w:rsidR="002B26B1" w:rsidRDefault="002B26B1" w:rsidP="00033750">
      <w:pPr>
        <w:rPr>
          <w:lang w:val="en-GB"/>
        </w:rPr>
      </w:pPr>
      <w:r>
        <w:rPr>
          <w:lang w:val="en-GB"/>
        </w:rPr>
        <w:t xml:space="preserve">Because </w:t>
      </w:r>
      <w:r w:rsidR="007459DE">
        <w:rPr>
          <w:lang w:val="en-GB"/>
        </w:rPr>
        <w:t>there presence do not mean the VM has performance</w:t>
      </w:r>
      <w:r w:rsidR="009A482E">
        <w:rPr>
          <w:lang w:val="en-GB"/>
        </w:rPr>
        <w:t xml:space="preserve"> problem. They are</w:t>
      </w:r>
      <w:r>
        <w:rPr>
          <w:lang w:val="en-GB"/>
        </w:rPr>
        <w:t xml:space="preserve"> not </w:t>
      </w:r>
      <w:r w:rsidR="008D3A3F">
        <w:rPr>
          <w:lang w:val="en-GB"/>
        </w:rPr>
        <w:t>metrics</w:t>
      </w:r>
      <w:r>
        <w:rPr>
          <w:lang w:val="en-GB"/>
        </w:rPr>
        <w:t xml:space="preserve"> for VM</w:t>
      </w:r>
      <w:r w:rsidR="00956836">
        <w:rPr>
          <w:lang w:val="en-GB"/>
        </w:rPr>
        <w:t xml:space="preserve"> performance</w:t>
      </w:r>
      <w:r>
        <w:rPr>
          <w:lang w:val="en-GB"/>
        </w:rPr>
        <w:t>. That’s a counter for the underlying ESXi and Cluster.</w:t>
      </w:r>
      <w:r w:rsidR="00E75A9D">
        <w:rPr>
          <w:lang w:val="en-GB"/>
        </w:rPr>
        <w:t xml:space="preserve"> </w:t>
      </w:r>
      <w:r w:rsidR="001D3C89">
        <w:rPr>
          <w:lang w:val="en-GB"/>
        </w:rPr>
        <w:t xml:space="preserve">As usual, refer to the metric chapter for details </w:t>
      </w:r>
      <w:r w:rsidR="001D3C89" w:rsidRPr="001D3C89">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041C08A9" w14:textId="58402D7F" w:rsidR="00C62592" w:rsidRDefault="00C62592" w:rsidP="00E7573A">
      <w:pPr>
        <w:pStyle w:val="Heading5"/>
      </w:pPr>
      <w:r>
        <w:t>Storage Metrics</w:t>
      </w:r>
    </w:p>
    <w:p w14:paraId="5A8C2131" w14:textId="093E5750" w:rsidR="00935EC7" w:rsidRDefault="00A07F58" w:rsidP="00033750">
      <w:pPr>
        <w:rPr>
          <w:lang w:val="en-GB"/>
        </w:rPr>
      </w:pPr>
      <w:r>
        <w:rPr>
          <w:lang w:val="en-GB"/>
        </w:rPr>
        <w:t xml:space="preserve">What do you expect to see for disk? What are the contention </w:t>
      </w:r>
      <w:r w:rsidR="008D3A3F">
        <w:rPr>
          <w:lang w:val="en-GB"/>
        </w:rPr>
        <w:t>metrics</w:t>
      </w:r>
      <w:r>
        <w:rPr>
          <w:lang w:val="en-GB"/>
        </w:rPr>
        <w:t xml:space="preserve">, and what are the utilization </w:t>
      </w:r>
      <w:r w:rsidR="008D3A3F">
        <w:rPr>
          <w:lang w:val="en-GB"/>
        </w:rPr>
        <w:t>metrics</w:t>
      </w:r>
      <w:r>
        <w:rPr>
          <w:lang w:val="en-GB"/>
        </w:rPr>
        <w:t>?</w:t>
      </w:r>
    </w:p>
    <w:p w14:paraId="22679903" w14:textId="5C15132B" w:rsidR="00893040" w:rsidRDefault="0025121C" w:rsidP="00033750">
      <w:pPr>
        <w:rPr>
          <w:lang w:val="en-GB"/>
        </w:rPr>
      </w:pPr>
      <w:r w:rsidRPr="0025121C">
        <w:rPr>
          <w:noProof/>
          <w:lang w:val="en-GB"/>
        </w:rPr>
        <w:lastRenderedPageBreak/>
        <w:drawing>
          <wp:inline distT="0" distB="0" distL="0" distR="0" wp14:anchorId="25F0A5C3" wp14:editId="1D0F9D85">
            <wp:extent cx="6645910" cy="1127125"/>
            <wp:effectExtent l="0" t="0" r="2540" b="0"/>
            <wp:docPr id="1971068999" name="Picture 1971068999" descr="A picture containing text, clock,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8999" name="Picture 1971068999" descr="A picture containing text, clock, screenshot&#10;&#10;Description automatically generated"/>
                    <pic:cNvPicPr/>
                  </pic:nvPicPr>
                  <pic:blipFill>
                    <a:blip r:embed="rId1044"/>
                    <a:stretch>
                      <a:fillRect/>
                    </a:stretch>
                  </pic:blipFill>
                  <pic:spPr>
                    <a:xfrm>
                      <a:off x="0" y="0"/>
                      <a:ext cx="6645910" cy="1127125"/>
                    </a:xfrm>
                    <a:prstGeom prst="rect">
                      <a:avLst/>
                    </a:prstGeom>
                  </pic:spPr>
                </pic:pic>
              </a:graphicData>
            </a:graphic>
          </wp:inline>
        </w:drawing>
      </w:r>
    </w:p>
    <w:p w14:paraId="1FC28BCF" w14:textId="12996941" w:rsidR="00F25F8E" w:rsidRDefault="00F25F8E" w:rsidP="00033750">
      <w:pPr>
        <w:rPr>
          <w:lang w:val="en-GB"/>
        </w:rPr>
      </w:pPr>
      <w:r>
        <w:rPr>
          <w:lang w:val="en-GB"/>
        </w:rPr>
        <w:t>The most important one for Guest OS is Disk Queue</w:t>
      </w:r>
      <w:r w:rsidR="00F23E2D">
        <w:rPr>
          <w:lang w:val="en-GB"/>
        </w:rPr>
        <w:t>, while the most important for VM is the Latency.</w:t>
      </w:r>
      <w:r w:rsidR="00935EC7">
        <w:rPr>
          <w:lang w:val="en-GB"/>
        </w:rPr>
        <w:t xml:space="preserve"> The latency is based on the 20-second metric. It’s also the highest of read or write. </w:t>
      </w:r>
    </w:p>
    <w:p w14:paraId="36A3AD06" w14:textId="77777777" w:rsidR="00593068" w:rsidRDefault="00593068" w:rsidP="00593068">
      <w:pPr>
        <w:rPr>
          <w:lang w:val="en-GB"/>
        </w:rPr>
      </w:pPr>
      <w:r w:rsidRPr="008068A9">
        <w:rPr>
          <w:color w:val="0070C0"/>
        </w:rPr>
        <w:t xml:space="preserve">Peak Virtual Disk Read Latency (ms) </w:t>
      </w:r>
      <w:r w:rsidRPr="008068A9">
        <w:t xml:space="preserve">and </w:t>
      </w:r>
      <w:r w:rsidRPr="008068A9">
        <w:rPr>
          <w:color w:val="0070C0"/>
        </w:rPr>
        <w:t xml:space="preserve">Peak Virtual Disk Write Latency (ms) </w:t>
      </w:r>
      <w:r w:rsidRPr="008068A9">
        <w:t>track</w:t>
      </w:r>
      <w:r w:rsidRPr="008068A9">
        <w:rPr>
          <w:lang w:val="en-GB"/>
        </w:rPr>
        <w:t xml:space="preserve"> whether any of the virtual disks (either VMDK or RDM) is experiencing latency. This can be useful in large VMs with many virtual disks.</w:t>
      </w:r>
    </w:p>
    <w:p w14:paraId="47FB2B6D" w14:textId="7C920729" w:rsidR="00850173" w:rsidRDefault="00935EC7" w:rsidP="00850173">
      <w:pPr>
        <w:rPr>
          <w:lang w:val="en-GB"/>
        </w:rPr>
      </w:pPr>
      <w:r>
        <w:rPr>
          <w:lang w:val="en-GB"/>
        </w:rPr>
        <w:t xml:space="preserve">I put IOPS before throughput metrics as it’s more popular. </w:t>
      </w:r>
      <w:r w:rsidR="00850173" w:rsidRPr="00A452F2">
        <w:rPr>
          <w:lang w:val="en-GB"/>
        </w:rPr>
        <w:t>Use Disk IOPS and Throughput together, especially for applications that use large block size. An IO with 250x block size (e.g. 1 MB instead of 4 KB) will generate equal throughput at 250x less IOPS, all else being equal</w:t>
      </w:r>
      <w:r w:rsidR="00850173">
        <w:rPr>
          <w:lang w:val="en-GB"/>
        </w:rPr>
        <w:t xml:space="preserve">. </w:t>
      </w:r>
    </w:p>
    <w:p w14:paraId="0929BB7D" w14:textId="783D6E80" w:rsidR="00935EC7" w:rsidRDefault="00935EC7" w:rsidP="00850173">
      <w:pPr>
        <w:rPr>
          <w:lang w:val="en-GB"/>
        </w:rPr>
      </w:pPr>
      <w:r>
        <w:rPr>
          <w:lang w:val="en-GB"/>
        </w:rPr>
        <w:t xml:space="preserve">For throughput, I use byte or bit as it’s the amount of disk space written, not the amount of data </w:t>
      </w:r>
      <w:r w:rsidR="00E335E6">
        <w:rPr>
          <w:lang w:val="en-GB"/>
        </w:rPr>
        <w:t>travelling in network line.</w:t>
      </w:r>
    </w:p>
    <w:p w14:paraId="5DB87B39" w14:textId="19AD033F" w:rsidR="009579B6" w:rsidRDefault="00935EC7" w:rsidP="00850173">
      <w:pPr>
        <w:rPr>
          <w:lang w:val="en-GB"/>
        </w:rPr>
      </w:pPr>
      <w:r>
        <w:rPr>
          <w:lang w:val="en-GB"/>
        </w:rPr>
        <w:t>I use the following threshold</w:t>
      </w:r>
      <w:r w:rsidR="009579B6">
        <w:rPr>
          <w:lang w:val="en-GB"/>
        </w:rPr>
        <w:t>. They are based on the profiling result documented in Part 2.</w:t>
      </w:r>
    </w:p>
    <w:p w14:paraId="1434FDB6" w14:textId="1E2CD637" w:rsidR="00935EC7" w:rsidRDefault="00C704D3" w:rsidP="00850173">
      <w:pPr>
        <w:rPr>
          <w:lang w:val="en-GB"/>
        </w:rPr>
      </w:pPr>
      <w:r w:rsidRPr="00C704D3">
        <w:rPr>
          <w:noProof/>
          <w:lang w:val="en-GB"/>
        </w:rPr>
        <w:drawing>
          <wp:inline distT="0" distB="0" distL="0" distR="0" wp14:anchorId="3922C376" wp14:editId="451E3FBE">
            <wp:extent cx="6645910" cy="2760345"/>
            <wp:effectExtent l="0" t="0" r="2540" b="1905"/>
            <wp:docPr id="1971069000" name="Picture 197106900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9000" name="Picture 1971069000" descr="Table&#10;&#10;Description automatically generated"/>
                    <pic:cNvPicPr/>
                  </pic:nvPicPr>
                  <pic:blipFill>
                    <a:blip r:embed="rId1045"/>
                    <a:stretch>
                      <a:fillRect/>
                    </a:stretch>
                  </pic:blipFill>
                  <pic:spPr>
                    <a:xfrm>
                      <a:off x="0" y="0"/>
                      <a:ext cx="6645910" cy="2760345"/>
                    </a:xfrm>
                    <a:prstGeom prst="rect">
                      <a:avLst/>
                    </a:prstGeom>
                  </pic:spPr>
                </pic:pic>
              </a:graphicData>
            </a:graphic>
          </wp:inline>
        </w:drawing>
      </w:r>
    </w:p>
    <w:p w14:paraId="1FD95CAF" w14:textId="4D9D87DB" w:rsidR="004D007D" w:rsidRDefault="002604E3" w:rsidP="00C62592">
      <w:pPr>
        <w:tabs>
          <w:tab w:val="left" w:pos="8418"/>
        </w:tabs>
        <w:rPr>
          <w:lang w:val="en-GB"/>
        </w:rPr>
      </w:pPr>
      <w:r>
        <w:rPr>
          <w:lang w:val="en-GB"/>
        </w:rPr>
        <w:t xml:space="preserve">I round all the </w:t>
      </w:r>
      <w:r w:rsidR="008D3A3F">
        <w:rPr>
          <w:lang w:val="en-GB"/>
        </w:rPr>
        <w:t>metrics</w:t>
      </w:r>
      <w:r>
        <w:rPr>
          <w:lang w:val="en-GB"/>
        </w:rPr>
        <w:t xml:space="preserve"> to the nearest whole number. By now you know why </w:t>
      </w:r>
      <w:r w:rsidRPr="002604E3">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412D58D2" w14:textId="77777777" w:rsidR="004D007D" w:rsidRDefault="004D007D" w:rsidP="00C62592">
      <w:pPr>
        <w:tabs>
          <w:tab w:val="left" w:pos="8418"/>
        </w:tabs>
        <w:rPr>
          <w:lang w:val="en-GB"/>
        </w:rPr>
      </w:pPr>
      <w:r>
        <w:rPr>
          <w:lang w:val="en-GB"/>
        </w:rPr>
        <w:t xml:space="preserve">Why is Outstanding IO metric excluded? </w:t>
      </w:r>
    </w:p>
    <w:p w14:paraId="08A12CBF" w14:textId="07D94EB0" w:rsidR="002604E3" w:rsidRDefault="004D007D" w:rsidP="00C62592">
      <w:pPr>
        <w:tabs>
          <w:tab w:val="left" w:pos="8418"/>
        </w:tabs>
        <w:rPr>
          <w:lang w:val="en-GB"/>
        </w:rPr>
      </w:pPr>
      <w:r>
        <w:rPr>
          <w:lang w:val="en-GB"/>
        </w:rPr>
        <w:t xml:space="preserve">Read the description of the metric in Part 2 </w:t>
      </w:r>
      <w:r w:rsidRPr="004D007D">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9"/>
          </mc:Choice>
          <mc:Fallback>
            <w:t>😉</w:t>
          </mc:Fallback>
        </mc:AlternateContent>
      </w:r>
      <w:r>
        <w:rPr>
          <w:lang w:val="en-GB"/>
        </w:rPr>
        <w:t xml:space="preserve"> </w:t>
      </w:r>
    </w:p>
    <w:p w14:paraId="7289AE14" w14:textId="3477610E" w:rsidR="00C62592" w:rsidRDefault="00C62592" w:rsidP="00E7573A">
      <w:pPr>
        <w:pStyle w:val="Heading5"/>
      </w:pPr>
      <w:r>
        <w:t>Network Metrics</w:t>
      </w:r>
    </w:p>
    <w:p w14:paraId="21A1CB62" w14:textId="3B5A971A" w:rsidR="005C155E" w:rsidRDefault="006A46DD" w:rsidP="00593068">
      <w:pPr>
        <w:rPr>
          <w:lang w:val="en-GB"/>
        </w:rPr>
      </w:pPr>
      <w:r>
        <w:rPr>
          <w:lang w:val="en-GB"/>
        </w:rPr>
        <w:t xml:space="preserve">The last component is Network. What </w:t>
      </w:r>
      <w:r w:rsidR="008D3A3F">
        <w:rPr>
          <w:lang w:val="en-GB"/>
        </w:rPr>
        <w:t>metrics</w:t>
      </w:r>
      <w:r>
        <w:rPr>
          <w:lang w:val="en-GB"/>
        </w:rPr>
        <w:t xml:space="preserve"> do you expect?</w:t>
      </w:r>
    </w:p>
    <w:p w14:paraId="69FC685E" w14:textId="1178F051" w:rsidR="009579B6" w:rsidRDefault="009579B6" w:rsidP="00593068">
      <w:pPr>
        <w:rPr>
          <w:lang w:val="en-GB"/>
        </w:rPr>
      </w:pPr>
      <w:r>
        <w:rPr>
          <w:lang w:val="en-GB"/>
        </w:rPr>
        <w:t xml:space="preserve">These are the </w:t>
      </w:r>
      <w:r w:rsidR="008D3A3F">
        <w:rPr>
          <w:lang w:val="en-GB"/>
        </w:rPr>
        <w:t>metrics</w:t>
      </w:r>
      <w:r>
        <w:rPr>
          <w:lang w:val="en-GB"/>
        </w:rPr>
        <w:t xml:space="preserve"> I use:</w:t>
      </w:r>
    </w:p>
    <w:p w14:paraId="655C68FA" w14:textId="58149A09" w:rsidR="009579B6" w:rsidRPr="00A452F2" w:rsidRDefault="005B0656" w:rsidP="00593068">
      <w:pPr>
        <w:rPr>
          <w:lang w:val="en-GB"/>
        </w:rPr>
      </w:pPr>
      <w:r w:rsidRPr="005B0656">
        <w:rPr>
          <w:noProof/>
          <w:lang w:val="en-GB"/>
        </w:rPr>
        <w:lastRenderedPageBreak/>
        <w:drawing>
          <wp:inline distT="0" distB="0" distL="0" distR="0" wp14:anchorId="0BA1F5D3" wp14:editId="22577451">
            <wp:extent cx="6645910" cy="1124585"/>
            <wp:effectExtent l="0" t="0" r="2540" b="0"/>
            <wp:docPr id="1971069001" name="Picture 197106900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9001" name="Picture 1971069001" descr="Graphical user interface, application&#10;&#10;Description automatically generated"/>
                    <pic:cNvPicPr/>
                  </pic:nvPicPr>
                  <pic:blipFill>
                    <a:blip r:embed="rId1046"/>
                    <a:stretch>
                      <a:fillRect/>
                    </a:stretch>
                  </pic:blipFill>
                  <pic:spPr>
                    <a:xfrm>
                      <a:off x="0" y="0"/>
                      <a:ext cx="6645910" cy="1124585"/>
                    </a:xfrm>
                    <a:prstGeom prst="rect">
                      <a:avLst/>
                    </a:prstGeom>
                  </pic:spPr>
                </pic:pic>
              </a:graphicData>
            </a:graphic>
          </wp:inline>
        </w:drawing>
      </w:r>
    </w:p>
    <w:p w14:paraId="35658010" w14:textId="1FB2CBB9" w:rsidR="005E5E98" w:rsidRDefault="005E5E98" w:rsidP="005E5E98">
      <w:pPr>
        <w:rPr>
          <w:lang w:val="en-GB"/>
        </w:rPr>
      </w:pPr>
      <w:r w:rsidRPr="00A452F2">
        <w:rPr>
          <w:lang w:val="en-GB"/>
        </w:rPr>
        <w:t>The Packet Dropped (%) formula is</w:t>
      </w:r>
      <w:r>
        <w:rPr>
          <w:lang w:val="en-GB"/>
        </w:rPr>
        <w:t xml:space="preserve"> </w:t>
      </w:r>
      <w:r w:rsidRPr="00A452F2">
        <w:rPr>
          <w:lang w:val="en-GB"/>
        </w:rPr>
        <w:t>(dropped / (dropped + transferred</w:t>
      </w:r>
      <w:r w:rsidR="00636258">
        <w:rPr>
          <w:lang w:val="en-GB"/>
        </w:rPr>
        <w:t xml:space="preserve"> </w:t>
      </w:r>
      <w:r w:rsidRPr="00A452F2">
        <w:rPr>
          <w:lang w:val="en-GB"/>
        </w:rPr>
        <w:t xml:space="preserve">Packets)) * 100%. In a rare case where there is no packet at all, the result shows undefined (blank). This is because the maths of 0 / 0 = undefined. </w:t>
      </w:r>
    </w:p>
    <w:p w14:paraId="293E4D07" w14:textId="273DF641" w:rsidR="009579B6" w:rsidRDefault="009579B6" w:rsidP="005E5E98">
      <w:pPr>
        <w:rPr>
          <w:lang w:val="en-GB"/>
        </w:rPr>
      </w:pPr>
      <w:r>
        <w:rPr>
          <w:lang w:val="en-GB"/>
        </w:rPr>
        <w:t>The following is the threshold I used:</w:t>
      </w:r>
    </w:p>
    <w:p w14:paraId="0F1CDE27" w14:textId="5908241C" w:rsidR="009579B6" w:rsidRPr="00A452F2" w:rsidRDefault="00402466" w:rsidP="005E5E98">
      <w:pPr>
        <w:rPr>
          <w:lang w:val="en-GB"/>
        </w:rPr>
      </w:pPr>
      <w:r w:rsidRPr="00402466">
        <w:rPr>
          <w:noProof/>
          <w:lang w:val="en-GB"/>
        </w:rPr>
        <w:drawing>
          <wp:inline distT="0" distB="0" distL="0" distR="0" wp14:anchorId="285E2FF9" wp14:editId="41C0D7BE">
            <wp:extent cx="6645910" cy="2211070"/>
            <wp:effectExtent l="0" t="0" r="2540" b="0"/>
            <wp:docPr id="1971069002" name="Picture 197106900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69002" name="Picture 1971069002" descr="Table&#10;&#10;Description automatically generated"/>
                    <pic:cNvPicPr/>
                  </pic:nvPicPr>
                  <pic:blipFill>
                    <a:blip r:embed="rId1047"/>
                    <a:stretch>
                      <a:fillRect/>
                    </a:stretch>
                  </pic:blipFill>
                  <pic:spPr>
                    <a:xfrm>
                      <a:off x="0" y="0"/>
                      <a:ext cx="6645910" cy="2211070"/>
                    </a:xfrm>
                    <a:prstGeom prst="rect">
                      <a:avLst/>
                    </a:prstGeom>
                  </pic:spPr>
                </pic:pic>
              </a:graphicData>
            </a:graphic>
          </wp:inline>
        </w:drawing>
      </w:r>
    </w:p>
    <w:p w14:paraId="4E86A5B6" w14:textId="48539645" w:rsidR="00C854C5" w:rsidRDefault="00C854C5" w:rsidP="006A46DD">
      <w:pPr>
        <w:rPr>
          <w:lang w:val="en-GB"/>
        </w:rPr>
      </w:pPr>
      <w:r>
        <w:rPr>
          <w:lang w:val="en-GB"/>
        </w:rPr>
        <w:t xml:space="preserve">Notice the missing counter? </w:t>
      </w:r>
    </w:p>
    <w:p w14:paraId="14C4DE7B" w14:textId="133A0FEA" w:rsidR="004C476F" w:rsidRDefault="005E5E98" w:rsidP="006A46DD">
      <w:pPr>
        <w:rPr>
          <w:lang w:val="en-GB"/>
        </w:rPr>
      </w:pPr>
      <w:r>
        <w:rPr>
          <w:lang w:val="en-GB"/>
        </w:rPr>
        <w:t>T</w:t>
      </w:r>
      <w:r w:rsidR="00C854C5">
        <w:rPr>
          <w:lang w:val="en-GB"/>
        </w:rPr>
        <w:t xml:space="preserve">here is no </w:t>
      </w:r>
      <w:r w:rsidR="00850173">
        <w:rPr>
          <w:lang w:val="en-GB"/>
        </w:rPr>
        <w:t>r</w:t>
      </w:r>
      <w:r w:rsidR="004C476F">
        <w:rPr>
          <w:lang w:val="en-GB"/>
        </w:rPr>
        <w:t>eceived packets</w:t>
      </w:r>
      <w:r w:rsidR="002320B0">
        <w:rPr>
          <w:lang w:val="en-GB"/>
        </w:rPr>
        <w:t xml:space="preserve"> dropped</w:t>
      </w:r>
      <w:r w:rsidR="00C854C5">
        <w:rPr>
          <w:lang w:val="en-GB"/>
        </w:rPr>
        <w:t>.</w:t>
      </w:r>
      <w:r w:rsidR="002320B0">
        <w:rPr>
          <w:lang w:val="en-GB"/>
        </w:rPr>
        <w:t xml:space="preserve"> </w:t>
      </w:r>
      <w:r>
        <w:rPr>
          <w:lang w:val="en-GB"/>
        </w:rPr>
        <w:t xml:space="preserve">The reason is </w:t>
      </w:r>
      <w:r w:rsidR="002320B0">
        <w:rPr>
          <w:lang w:val="en-GB"/>
        </w:rPr>
        <w:t>false positive</w:t>
      </w:r>
      <w:r w:rsidR="00E4254C">
        <w:rPr>
          <w:lang w:val="en-GB"/>
        </w:rPr>
        <w:t xml:space="preserve">. </w:t>
      </w:r>
    </w:p>
    <w:p w14:paraId="7A8894D5" w14:textId="52E089EA" w:rsidR="00023A0B" w:rsidRDefault="00023A0B" w:rsidP="006A46DD">
      <w:pPr>
        <w:rPr>
          <w:lang w:val="en-GB"/>
        </w:rPr>
      </w:pPr>
      <w:r>
        <w:rPr>
          <w:lang w:val="en-GB"/>
        </w:rPr>
        <w:t>If it’s relevant to you, add the packets per second counter.</w:t>
      </w:r>
    </w:p>
    <w:p w14:paraId="0B17C01C" w14:textId="0E54D89C" w:rsidR="00023A0B" w:rsidRDefault="00023A0B" w:rsidP="006A46DD">
      <w:pPr>
        <w:rPr>
          <w:lang w:val="en-GB"/>
        </w:rPr>
      </w:pPr>
      <w:r>
        <w:rPr>
          <w:lang w:val="en-GB"/>
        </w:rPr>
        <w:t xml:space="preserve">Broadcast packets and multicast packets metrics are added as </w:t>
      </w:r>
      <w:r w:rsidR="00A64326">
        <w:rPr>
          <w:lang w:val="en-GB"/>
        </w:rPr>
        <w:t xml:space="preserve">most VMs should be unicast. If the number if high, investigate with the application team why the </w:t>
      </w:r>
      <w:r w:rsidR="0002089A">
        <w:rPr>
          <w:lang w:val="en-GB"/>
        </w:rPr>
        <w:t>applications</w:t>
      </w:r>
      <w:r w:rsidR="00A64326">
        <w:rPr>
          <w:lang w:val="en-GB"/>
        </w:rPr>
        <w:t xml:space="preserve"> are </w:t>
      </w:r>
      <w:r w:rsidR="00BC6A5D">
        <w:rPr>
          <w:lang w:val="en-GB"/>
        </w:rPr>
        <w:t>behaving that way.</w:t>
      </w:r>
    </w:p>
    <w:p w14:paraId="7EE9A7A5" w14:textId="57503B30" w:rsidR="00BC6A5D" w:rsidRDefault="00844E65" w:rsidP="00E7573A">
      <w:pPr>
        <w:pStyle w:val="Heading5"/>
      </w:pPr>
      <w:r>
        <w:t>A</w:t>
      </w:r>
      <w:r w:rsidR="00BC6A5D">
        <w:t xml:space="preserve">lerts </w:t>
      </w:r>
    </w:p>
    <w:p w14:paraId="217A025B" w14:textId="2B65E407" w:rsidR="0045563C" w:rsidRDefault="0053618B" w:rsidP="00033750">
      <w:pPr>
        <w:rPr>
          <w:lang w:val="en-GB"/>
        </w:rPr>
      </w:pPr>
      <w:r>
        <w:rPr>
          <w:lang w:val="en-GB"/>
        </w:rPr>
        <w:t>The relevant alerts are also automatically shown</w:t>
      </w:r>
      <w:r w:rsidR="00B111CC">
        <w:rPr>
          <w:lang w:val="en-GB"/>
        </w:rPr>
        <w:t>. You can see the settings by editing the widget, and adjust them accordingly to fit your operational needs.</w:t>
      </w:r>
    </w:p>
    <w:p w14:paraId="0682BD62" w14:textId="063694CF" w:rsidR="0053618B" w:rsidRPr="00A452F2" w:rsidRDefault="0053618B" w:rsidP="00033750">
      <w:pPr>
        <w:rPr>
          <w:lang w:val="en-GB"/>
        </w:rPr>
      </w:pPr>
      <w:r w:rsidRPr="0053618B">
        <w:rPr>
          <w:noProof/>
          <w:lang w:val="en-GB"/>
        </w:rPr>
        <w:drawing>
          <wp:inline distT="0" distB="0" distL="0" distR="0" wp14:anchorId="76F77029" wp14:editId="5A5FBDF4">
            <wp:extent cx="6645910" cy="1839595"/>
            <wp:effectExtent l="0" t="0" r="2540" b="8255"/>
            <wp:docPr id="1583707938" name="Picture 1583707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8"/>
                    <a:stretch>
                      <a:fillRect/>
                    </a:stretch>
                  </pic:blipFill>
                  <pic:spPr>
                    <a:xfrm>
                      <a:off x="0" y="0"/>
                      <a:ext cx="6645910" cy="1839595"/>
                    </a:xfrm>
                    <a:prstGeom prst="rect">
                      <a:avLst/>
                    </a:prstGeom>
                  </pic:spPr>
                </pic:pic>
              </a:graphicData>
            </a:graphic>
          </wp:inline>
        </w:drawing>
      </w:r>
    </w:p>
    <w:p w14:paraId="0C9DECC6" w14:textId="19828B10" w:rsidR="00ED5EB2" w:rsidRDefault="00ED5EB2" w:rsidP="00E7573A">
      <w:pPr>
        <w:pStyle w:val="Heading5"/>
      </w:pPr>
      <w:r>
        <w:lastRenderedPageBreak/>
        <w:t>Virtual Disks</w:t>
      </w:r>
    </w:p>
    <w:p w14:paraId="401D996A" w14:textId="2935BAC0" w:rsidR="00A92620" w:rsidRPr="00A92620" w:rsidRDefault="00A92620" w:rsidP="00A92620">
      <w:pPr>
        <w:rPr>
          <w:lang w:val="en-GB"/>
        </w:rPr>
      </w:pPr>
      <w:r>
        <w:rPr>
          <w:lang w:val="en-GB"/>
        </w:rPr>
        <w:t xml:space="preserve">A </w:t>
      </w:r>
      <w:r w:rsidR="002032EE">
        <w:rPr>
          <w:lang w:val="en-GB"/>
        </w:rPr>
        <w:t xml:space="preserve">VM can have many disks, and it’s possible that these disks have different performance. The following table </w:t>
      </w:r>
      <w:r w:rsidR="00227116">
        <w:rPr>
          <w:lang w:val="en-GB"/>
        </w:rPr>
        <w:t>lists the individual virtual disks and their contention and utilization metrics.</w:t>
      </w:r>
    </w:p>
    <w:p w14:paraId="6D525A3C" w14:textId="2CCEBDC8" w:rsidR="00ED5EB2" w:rsidRDefault="00ED5EB2" w:rsidP="0025686C">
      <w:pPr>
        <w:rPr>
          <w:lang w:val="en-GB"/>
        </w:rPr>
      </w:pPr>
      <w:r w:rsidRPr="00ED5EB2">
        <w:rPr>
          <w:noProof/>
          <w:lang w:val="en-GB"/>
        </w:rPr>
        <w:drawing>
          <wp:inline distT="0" distB="0" distL="0" distR="0" wp14:anchorId="77E1FADF" wp14:editId="260726F7">
            <wp:extent cx="6645910" cy="1431925"/>
            <wp:effectExtent l="0" t="0" r="2540" b="0"/>
            <wp:docPr id="1085195955" name="Picture 1085195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9"/>
                    <a:stretch>
                      <a:fillRect/>
                    </a:stretch>
                  </pic:blipFill>
                  <pic:spPr>
                    <a:xfrm>
                      <a:off x="0" y="0"/>
                      <a:ext cx="6645910" cy="1431925"/>
                    </a:xfrm>
                    <a:prstGeom prst="rect">
                      <a:avLst/>
                    </a:prstGeom>
                  </pic:spPr>
                </pic:pic>
              </a:graphicData>
            </a:graphic>
          </wp:inline>
        </w:drawing>
      </w:r>
    </w:p>
    <w:p w14:paraId="12537701" w14:textId="468B7915" w:rsidR="00C6665A" w:rsidRDefault="00C6665A" w:rsidP="0025686C">
      <w:pPr>
        <w:rPr>
          <w:lang w:val="en-GB"/>
        </w:rPr>
      </w:pPr>
      <w:r>
        <w:rPr>
          <w:lang w:val="en-GB"/>
        </w:rPr>
        <w:t>To see a trend over time, you need to go to the VM object, and choose All Metrics.</w:t>
      </w:r>
      <w:r w:rsidR="00014A98">
        <w:rPr>
          <w:lang w:val="en-GB"/>
        </w:rPr>
        <w:t xml:space="preserve"> </w:t>
      </w:r>
    </w:p>
    <w:p w14:paraId="56A30A08" w14:textId="72F55B57" w:rsidR="00ED5EB2" w:rsidRDefault="00ED5EB2" w:rsidP="00E7573A">
      <w:pPr>
        <w:pStyle w:val="Heading5"/>
      </w:pPr>
      <w:r>
        <w:t>Configuration</w:t>
      </w:r>
    </w:p>
    <w:p w14:paraId="7B55D76D" w14:textId="63CAA5C4" w:rsidR="0025686C" w:rsidRDefault="0025686C" w:rsidP="0025686C">
      <w:pPr>
        <w:rPr>
          <w:lang w:val="en-GB"/>
        </w:rPr>
      </w:pPr>
      <w:r w:rsidRPr="00A452F2">
        <w:rPr>
          <w:lang w:val="en-GB"/>
        </w:rPr>
        <w:t>The</w:t>
      </w:r>
      <w:r>
        <w:rPr>
          <w:lang w:val="en-GB"/>
        </w:rPr>
        <w:t xml:space="preserve"> last part of the dashboard has the relevant configuration of selected VM. </w:t>
      </w:r>
      <w:r w:rsidR="00A109C0">
        <w:rPr>
          <w:lang w:val="en-GB"/>
        </w:rPr>
        <w:t>Customize as you deem appropriate.</w:t>
      </w:r>
    </w:p>
    <w:p w14:paraId="70464D8E" w14:textId="5DDF83EF" w:rsidR="00B92340" w:rsidRDefault="00FF1975" w:rsidP="0025686C">
      <w:pPr>
        <w:rPr>
          <w:lang w:val="en-GB"/>
        </w:rPr>
      </w:pPr>
      <w:r w:rsidRPr="00FF1975">
        <w:rPr>
          <w:noProof/>
          <w:lang w:val="en-GB"/>
        </w:rPr>
        <w:drawing>
          <wp:inline distT="0" distB="0" distL="0" distR="0" wp14:anchorId="62D54422" wp14:editId="7B6E85BA">
            <wp:extent cx="6645910" cy="1684020"/>
            <wp:effectExtent l="0" t="0" r="2540" b="0"/>
            <wp:docPr id="1709717392" name="Picture 1709717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0"/>
                    <a:stretch>
                      <a:fillRect/>
                    </a:stretch>
                  </pic:blipFill>
                  <pic:spPr>
                    <a:xfrm>
                      <a:off x="0" y="0"/>
                      <a:ext cx="6645910" cy="1684020"/>
                    </a:xfrm>
                    <a:prstGeom prst="rect">
                      <a:avLst/>
                    </a:prstGeom>
                  </pic:spPr>
                </pic:pic>
              </a:graphicData>
            </a:graphic>
          </wp:inline>
        </w:drawing>
      </w:r>
    </w:p>
    <w:p w14:paraId="2148B1EE" w14:textId="7892FEE5" w:rsidR="00B92340" w:rsidRDefault="00B92340" w:rsidP="00E7573A">
      <w:pPr>
        <w:pStyle w:val="Heading5"/>
      </w:pPr>
      <w:r>
        <w:t>Relationship</w:t>
      </w:r>
    </w:p>
    <w:p w14:paraId="3A4981E4" w14:textId="74B7BE06" w:rsidR="00364F9E" w:rsidRPr="00364F9E" w:rsidRDefault="00364F9E" w:rsidP="00364F9E">
      <w:pPr>
        <w:rPr>
          <w:lang w:val="en-GB"/>
        </w:rPr>
      </w:pPr>
      <w:r>
        <w:rPr>
          <w:lang w:val="en-GB"/>
        </w:rPr>
        <w:t xml:space="preserve">From the VM, you want to </w:t>
      </w:r>
      <w:r w:rsidR="00CA6CE0">
        <w:rPr>
          <w:lang w:val="en-GB"/>
        </w:rPr>
        <w:t>navigate to the parent cluster or datastore. Use the relationship widget to navigate and auto select the associated cluster or datastore.</w:t>
      </w:r>
    </w:p>
    <w:p w14:paraId="304C5A99" w14:textId="5A9F4271" w:rsidR="00B92340" w:rsidRPr="00A452F2" w:rsidRDefault="00B92340" w:rsidP="0025686C">
      <w:pPr>
        <w:rPr>
          <w:lang w:val="en-GB"/>
        </w:rPr>
      </w:pPr>
      <w:r w:rsidRPr="00B92340">
        <w:rPr>
          <w:noProof/>
          <w:lang w:val="en-GB"/>
        </w:rPr>
        <w:drawing>
          <wp:inline distT="0" distB="0" distL="0" distR="0" wp14:anchorId="2AC4C810" wp14:editId="5A0D3305">
            <wp:extent cx="6645910" cy="1407160"/>
            <wp:effectExtent l="0" t="0" r="2540" b="2540"/>
            <wp:docPr id="1085195960" name="Picture 1085195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1"/>
                    <a:stretch>
                      <a:fillRect/>
                    </a:stretch>
                  </pic:blipFill>
                  <pic:spPr>
                    <a:xfrm>
                      <a:off x="0" y="0"/>
                      <a:ext cx="6645910" cy="1407160"/>
                    </a:xfrm>
                    <a:prstGeom prst="rect">
                      <a:avLst/>
                    </a:prstGeom>
                  </pic:spPr>
                </pic:pic>
              </a:graphicData>
            </a:graphic>
          </wp:inline>
        </w:drawing>
      </w:r>
    </w:p>
    <w:p w14:paraId="2C14A14E" w14:textId="132E6930" w:rsidR="00033750" w:rsidRPr="00A452F2" w:rsidRDefault="00033750" w:rsidP="00540F68">
      <w:pPr>
        <w:pStyle w:val="Heading3"/>
      </w:pPr>
      <w:r w:rsidRPr="00A452F2">
        <w:lastRenderedPageBreak/>
        <w:t>Guest OS Profiling</w:t>
      </w:r>
    </w:p>
    <w:p w14:paraId="09B0E483" w14:textId="7AB00290" w:rsidR="00BA0BCD" w:rsidRDefault="00BA0BCD" w:rsidP="00033750">
      <w:pPr>
        <w:rPr>
          <w:lang w:val="en-GB"/>
        </w:rPr>
      </w:pPr>
      <w:r>
        <w:rPr>
          <w:lang w:val="en-GB"/>
        </w:rPr>
        <w:t xml:space="preserve">I’m covering this dashboard next as they </w:t>
      </w:r>
      <w:r w:rsidR="00725295">
        <w:rPr>
          <w:lang w:val="en-GB"/>
        </w:rPr>
        <w:t xml:space="preserve">reveal performance </w:t>
      </w:r>
      <w:r w:rsidR="00FD554D">
        <w:rPr>
          <w:lang w:val="en-GB"/>
        </w:rPr>
        <w:t xml:space="preserve">issue </w:t>
      </w:r>
      <w:r w:rsidR="00725295">
        <w:rPr>
          <w:lang w:val="en-GB"/>
        </w:rPr>
        <w:t xml:space="preserve">that application team </w:t>
      </w:r>
      <w:r w:rsidR="00FD554D">
        <w:rPr>
          <w:lang w:val="en-GB"/>
        </w:rPr>
        <w:t>should consider.</w:t>
      </w:r>
    </w:p>
    <w:p w14:paraId="2E7CFBDD" w14:textId="096D9B7C" w:rsidR="00033750" w:rsidRPr="00A452F2" w:rsidRDefault="00033750" w:rsidP="00033750">
      <w:pPr>
        <w:rPr>
          <w:lang w:val="en-GB"/>
        </w:rPr>
      </w:pPr>
      <w:r w:rsidRPr="00A452F2">
        <w:rPr>
          <w:lang w:val="en-GB"/>
        </w:rPr>
        <w:t xml:space="preserve">There are </w:t>
      </w:r>
      <w:r w:rsidR="008D3A3F">
        <w:rPr>
          <w:lang w:val="en-GB"/>
        </w:rPr>
        <w:t>metrics</w:t>
      </w:r>
      <w:r w:rsidRPr="00A452F2">
        <w:rPr>
          <w:lang w:val="en-GB"/>
        </w:rPr>
        <w:t xml:space="preserve"> that </w:t>
      </w:r>
      <w:r w:rsidRPr="00E55E17">
        <w:rPr>
          <w:i/>
          <w:iCs/>
          <w:color w:val="FF0000"/>
          <w:lang w:val="en-GB"/>
        </w:rPr>
        <w:t>directly</w:t>
      </w:r>
      <w:r w:rsidRPr="00E55E17">
        <w:rPr>
          <w:color w:val="FF0000"/>
          <w:lang w:val="en-GB"/>
        </w:rPr>
        <w:t xml:space="preserve"> </w:t>
      </w:r>
      <w:r w:rsidRPr="00A452F2">
        <w:rPr>
          <w:lang w:val="en-GB"/>
        </w:rPr>
        <w:t>impact the performance of Windows or Linux, the Operating Systems running inside a VM. These KPIs are outside the control of the</w:t>
      </w:r>
      <w:r w:rsidRPr="00A452F2" w:rsidDel="61E8856F">
        <w:rPr>
          <w:lang w:val="en-GB"/>
        </w:rPr>
        <w:t xml:space="preserve"> </w:t>
      </w:r>
      <w:r w:rsidRPr="00A452F2">
        <w:rPr>
          <w:lang w:val="en-GB"/>
        </w:rPr>
        <w:t xml:space="preserve">hypervisor, meaning ESXi </w:t>
      </w:r>
      <w:r w:rsidR="00FD5A65">
        <w:rPr>
          <w:lang w:val="en-GB"/>
        </w:rPr>
        <w:t>VMkernel</w:t>
      </w:r>
      <w:r w:rsidRPr="00A452F2">
        <w:rPr>
          <w:lang w:val="en-GB"/>
        </w:rPr>
        <w:t xml:space="preserve"> is not able to control the increase or decrease of their values. Visibility into these KPIs also requires an agent, such as VMware Tools. As a result, they are typically excluded in performance monitoring. </w:t>
      </w:r>
    </w:p>
    <w:p w14:paraId="0BD70E8D" w14:textId="3599D01F" w:rsidR="00033750" w:rsidRDefault="00033750" w:rsidP="00033750">
      <w:pPr>
        <w:rPr>
          <w:lang w:val="en-GB"/>
        </w:rPr>
      </w:pPr>
      <w:r w:rsidRPr="4CAB3972">
        <w:rPr>
          <w:lang w:val="en-GB"/>
        </w:rPr>
        <w:t>Because these KPIs are closer to the applications, it is critical to know their values and establish an acceptable range, which will vary in your environment. By profiling the actual performance over time and from of all VMs, you can establish a threshold that is supported by facts. Since there are 8766 instances of 5 minutes in a month, profiling 1000 VM over a month means you are analy</w:t>
      </w:r>
      <w:r>
        <w:rPr>
          <w:lang w:val="en-GB"/>
        </w:rPr>
        <w:t>z</w:t>
      </w:r>
      <w:r w:rsidRPr="4CAB3972">
        <w:rPr>
          <w:lang w:val="en-GB"/>
        </w:rPr>
        <w:t>ing 8.8 million datapoints, more than enough to draw a conclusion.</w:t>
      </w:r>
    </w:p>
    <w:p w14:paraId="7AD4691B" w14:textId="14D93CC1" w:rsidR="00683CE3" w:rsidRPr="00683CE3" w:rsidRDefault="00D71006" w:rsidP="00683CE3">
      <w:r>
        <w:rPr>
          <w:lang w:val="en-GB"/>
        </w:rPr>
        <w:t>Use th</w:t>
      </w:r>
      <w:r w:rsidR="00FC7FEF">
        <w:rPr>
          <w:lang w:val="en-GB"/>
        </w:rPr>
        <w:t xml:space="preserve">is dashboard together with application team to determine the acceptable level of these </w:t>
      </w:r>
      <w:r w:rsidR="008D3A3F">
        <w:rPr>
          <w:lang w:val="en-GB"/>
        </w:rPr>
        <w:t>metrics</w:t>
      </w:r>
      <w:r w:rsidR="00FC7FEF">
        <w:rPr>
          <w:lang w:val="en-GB"/>
        </w:rPr>
        <w:t xml:space="preserve">. </w:t>
      </w:r>
      <w:r w:rsidR="00683CE3" w:rsidRPr="00683CE3">
        <w:t xml:space="preserve">Once you determine </w:t>
      </w:r>
      <w:r w:rsidR="00303043">
        <w:t>that</w:t>
      </w:r>
      <w:r w:rsidR="00683CE3" w:rsidRPr="00683CE3">
        <w:t>, add thresholds to the table so you can easily see the VMs that exceed a threshold.</w:t>
      </w:r>
    </w:p>
    <w:p w14:paraId="61C21C16" w14:textId="77777777" w:rsidR="00C35621" w:rsidRPr="00FD554D" w:rsidRDefault="00C35621" w:rsidP="00C35621">
      <w:r>
        <w:t>Take note that t</w:t>
      </w:r>
      <w:r w:rsidRPr="00FD554D">
        <w:t xml:space="preserve">hese guest OS metrics do not appear unless </w:t>
      </w:r>
      <w:hyperlink r:id="rId1052" w:history="1">
        <w:r w:rsidRPr="00FD554D">
          <w:rPr>
            <w:rStyle w:val="Hyperlink"/>
            <w:color w:val="auto"/>
            <w:u w:val="none"/>
          </w:rPr>
          <w:t>vSphere prerequisites</w:t>
        </w:r>
      </w:hyperlink>
      <w:r w:rsidRPr="00FD554D">
        <w:t xml:space="preserve"> have been met. </w:t>
      </w:r>
    </w:p>
    <w:p w14:paraId="2D8B3CB8" w14:textId="77777777" w:rsidR="00033750" w:rsidRPr="00A452F2" w:rsidRDefault="00033750" w:rsidP="00AC6E1E">
      <w:pPr>
        <w:pStyle w:val="Heading4"/>
      </w:pPr>
      <w:r w:rsidRPr="00A452F2">
        <w:t>How to Use</w:t>
      </w:r>
    </w:p>
    <w:p w14:paraId="51A52ECB" w14:textId="77777777" w:rsidR="00033750" w:rsidRPr="00A452F2" w:rsidRDefault="00033750" w:rsidP="00033750">
      <w:pPr>
        <w:rPr>
          <w:lang w:val="en-GB"/>
        </w:rPr>
      </w:pPr>
      <w:r w:rsidRPr="00A452F2">
        <w:rPr>
          <w:lang w:val="en-GB"/>
        </w:rPr>
        <w:t xml:space="preserve">Select a data center from the </w:t>
      </w:r>
      <w:r>
        <w:rPr>
          <w:lang w:val="en-GB"/>
        </w:rPr>
        <w:t>d</w:t>
      </w:r>
      <w:r w:rsidRPr="00A452F2">
        <w:rPr>
          <w:lang w:val="en-GB"/>
        </w:rPr>
        <w:t xml:space="preserve">ata </w:t>
      </w:r>
      <w:r>
        <w:rPr>
          <w:lang w:val="en-GB"/>
        </w:rPr>
        <w:t>center</w:t>
      </w:r>
      <w:r w:rsidRPr="00A452F2">
        <w:rPr>
          <w:lang w:val="en-GB"/>
        </w:rPr>
        <w:t xml:space="preserve">s list. </w:t>
      </w:r>
    </w:p>
    <w:p w14:paraId="490102B4" w14:textId="77777777" w:rsidR="00033750" w:rsidRPr="00A452F2" w:rsidRDefault="00033750" w:rsidP="00033750">
      <w:pPr>
        <w:pStyle w:val="Bullet"/>
        <w:rPr>
          <w:lang w:val="en-GB"/>
        </w:rPr>
      </w:pPr>
      <w:r w:rsidRPr="00A452F2">
        <w:rPr>
          <w:lang w:val="en-GB"/>
        </w:rPr>
        <w:t xml:space="preserve">The three tables listing CPU, memory and Disk will automatically show the VMs in the selected data center or vSphere World. </w:t>
      </w:r>
    </w:p>
    <w:p w14:paraId="46D18EE1" w14:textId="77777777" w:rsidR="00033750" w:rsidRPr="006F7EA6" w:rsidRDefault="00033750" w:rsidP="00033750">
      <w:pPr>
        <w:pStyle w:val="Bullet"/>
        <w:rPr>
          <w:lang w:val="en-GB"/>
        </w:rPr>
      </w:pPr>
      <w:r w:rsidRPr="00A452F2">
        <w:rPr>
          <w:lang w:val="en-GB"/>
        </w:rPr>
        <w:t>Each table shows the highest value in the last 1 week (2016 datapoints based on 5-minute collection cycles), hence their columns are prefixed with Max.</w:t>
      </w:r>
    </w:p>
    <w:p w14:paraId="70631F42" w14:textId="77777777" w:rsidR="00033750" w:rsidRDefault="00033750" w:rsidP="00033750">
      <w:pPr>
        <w:rPr>
          <w:lang w:val="en-GB"/>
        </w:rPr>
      </w:pPr>
      <w:r w:rsidRPr="00A452F2">
        <w:rPr>
          <w:lang w:val="en-GB"/>
        </w:rPr>
        <w:t>About the CPU table widget</w:t>
      </w:r>
    </w:p>
    <w:p w14:paraId="25B318CB" w14:textId="77777777" w:rsidR="00033750" w:rsidRPr="00A452F2" w:rsidRDefault="00033750" w:rsidP="00033750">
      <w:pPr>
        <w:jc w:val="center"/>
        <w:rPr>
          <w:lang w:val="en-GB"/>
        </w:rPr>
      </w:pPr>
      <w:r>
        <w:rPr>
          <w:noProof/>
        </w:rPr>
        <w:drawing>
          <wp:inline distT="0" distB="0" distL="0" distR="0" wp14:anchorId="3CF30630" wp14:editId="476B29CC">
            <wp:extent cx="4068417" cy="1598834"/>
            <wp:effectExtent l="0" t="0" r="0" b="1905"/>
            <wp:docPr id="606394361" name="Picture 606394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61"/>
                    <pic:cNvPicPr/>
                  </pic:nvPicPr>
                  <pic:blipFill>
                    <a:blip r:embed="rId1053" cstate="print">
                      <a:extLst>
                        <a:ext uri="{28A0092B-C50C-407E-A947-70E740481C1C}">
                          <a14:useLocalDpi xmlns:a14="http://schemas.microsoft.com/office/drawing/2010/main" val="0"/>
                        </a:ext>
                      </a:extLst>
                    </a:blip>
                    <a:stretch>
                      <a:fillRect/>
                    </a:stretch>
                  </pic:blipFill>
                  <pic:spPr>
                    <a:xfrm>
                      <a:off x="0" y="0"/>
                      <a:ext cx="4068417" cy="1598834"/>
                    </a:xfrm>
                    <a:prstGeom prst="rect">
                      <a:avLst/>
                    </a:prstGeom>
                  </pic:spPr>
                </pic:pic>
              </a:graphicData>
            </a:graphic>
          </wp:inline>
        </w:drawing>
      </w:r>
    </w:p>
    <w:p w14:paraId="62CAFA49" w14:textId="77777777" w:rsidR="00033750" w:rsidRPr="00A452F2" w:rsidRDefault="00033750" w:rsidP="006D531B">
      <w:pPr>
        <w:rPr>
          <w:lang w:val="en-GB"/>
        </w:rPr>
      </w:pPr>
      <w:r w:rsidRPr="00A452F2">
        <w:rPr>
          <w:lang w:val="en-GB"/>
        </w:rPr>
        <w:t xml:space="preserve">The CPU queue is the sum of all vCPU. A larger VM can tolerate higher queue as it simply has more processors. If you want to compare VMs of different size, create a super metric that calculates the queue per vCPU. </w:t>
      </w:r>
    </w:p>
    <w:p w14:paraId="1FF0BADB" w14:textId="77777777" w:rsidR="00033750" w:rsidRPr="00A452F2" w:rsidRDefault="00033750" w:rsidP="006D531B">
      <w:pPr>
        <w:rPr>
          <w:lang w:val="en-GB"/>
        </w:rPr>
      </w:pPr>
      <w:r w:rsidRPr="00A452F2">
        <w:rPr>
          <w:lang w:val="en-GB"/>
        </w:rPr>
        <w:t>The Max CPU Queue column shows the highest number of processes in the queue during the given period. Best practices indicate you should stay below 3 for each queue.</w:t>
      </w:r>
      <w:r>
        <w:rPr>
          <w:lang w:val="en-GB"/>
        </w:rPr>
        <w:t xml:space="preserve"> </w:t>
      </w:r>
      <w:r w:rsidRPr="00A452F2">
        <w:rPr>
          <w:lang w:val="en-GB"/>
        </w:rPr>
        <w:t xml:space="preserve">For a VM with 8 CPUs (8 queues), you want to be below 24. </w:t>
      </w:r>
    </w:p>
    <w:p w14:paraId="53C5969B" w14:textId="77777777" w:rsidR="00033750" w:rsidRPr="00A452F2" w:rsidRDefault="00033750" w:rsidP="006D531B">
      <w:pPr>
        <w:rPr>
          <w:lang w:val="en-GB"/>
        </w:rPr>
      </w:pPr>
      <w:r w:rsidRPr="00A452F2">
        <w:rPr>
          <w:lang w:val="en-GB"/>
        </w:rPr>
        <w:lastRenderedPageBreak/>
        <w:t>CPU Context Switch. There is cost associated with context switch. The problem is there is no guidance for this number, and it varies widely. This is the very purpose of this dashboard!</w:t>
      </w:r>
    </w:p>
    <w:p w14:paraId="5E2FABEC" w14:textId="39DF7D60" w:rsidR="00033750" w:rsidRDefault="00792560" w:rsidP="00033750">
      <w:pPr>
        <w:rPr>
          <w:lang w:val="en-GB"/>
        </w:rPr>
      </w:pPr>
      <w:r>
        <w:rPr>
          <w:lang w:val="en-GB"/>
        </w:rPr>
        <w:t>Review</w:t>
      </w:r>
      <w:r w:rsidR="00033750" w:rsidRPr="00A452F2">
        <w:rPr>
          <w:lang w:val="en-GB"/>
        </w:rPr>
        <w:t xml:space="preserve"> the Memory list </w:t>
      </w:r>
      <w:r>
        <w:rPr>
          <w:lang w:val="en-GB"/>
        </w:rPr>
        <w:t>widget below.</w:t>
      </w:r>
      <w:r w:rsidRPr="00792560">
        <w:rPr>
          <w:lang w:val="en-GB"/>
        </w:rPr>
        <w:t xml:space="preserve"> </w:t>
      </w:r>
      <w:r>
        <w:rPr>
          <w:lang w:val="en-GB"/>
        </w:rPr>
        <w:t xml:space="preserve">Why are the Guest OS Paging metrics chosen, as opposed to In Use, Cache or Free memory? </w:t>
      </w:r>
    </w:p>
    <w:p w14:paraId="4FF22A6B" w14:textId="2F8BFEAB" w:rsidR="00C07E48" w:rsidRPr="00A452F2" w:rsidRDefault="00FF2F38" w:rsidP="00033750">
      <w:pPr>
        <w:rPr>
          <w:lang w:val="en-GB"/>
        </w:rPr>
      </w:pPr>
      <w:r w:rsidRPr="00FF2F38">
        <w:rPr>
          <w:noProof/>
          <w:lang w:val="en-GB"/>
        </w:rPr>
        <w:drawing>
          <wp:inline distT="0" distB="0" distL="0" distR="0" wp14:anchorId="28B5A147" wp14:editId="752F4EEC">
            <wp:extent cx="6645910" cy="1786255"/>
            <wp:effectExtent l="0" t="0" r="2540" b="4445"/>
            <wp:docPr id="1709717418" name="Picture 1709717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4"/>
                    <a:stretch>
                      <a:fillRect/>
                    </a:stretch>
                  </pic:blipFill>
                  <pic:spPr>
                    <a:xfrm>
                      <a:off x="0" y="0"/>
                      <a:ext cx="6645910" cy="1786255"/>
                    </a:xfrm>
                    <a:prstGeom prst="rect">
                      <a:avLst/>
                    </a:prstGeom>
                  </pic:spPr>
                </pic:pic>
              </a:graphicData>
            </a:graphic>
          </wp:inline>
        </w:drawing>
      </w:r>
    </w:p>
    <w:p w14:paraId="69C0B56B" w14:textId="031F6988" w:rsidR="006300EE" w:rsidRDefault="006300EE" w:rsidP="005F2969">
      <w:pPr>
        <w:rPr>
          <w:lang w:val="en-GB"/>
        </w:rPr>
      </w:pPr>
      <w:r>
        <w:rPr>
          <w:lang w:val="en-GB"/>
        </w:rPr>
        <w:t>The are measuring rate of change, while the other measures a static disk space consumption.</w:t>
      </w:r>
    </w:p>
    <w:p w14:paraId="5F0CA519" w14:textId="2E198A9A" w:rsidR="00033750" w:rsidRDefault="00792560" w:rsidP="00033750">
      <w:pPr>
        <w:rPr>
          <w:lang w:val="en-GB"/>
        </w:rPr>
      </w:pPr>
      <w:r>
        <w:rPr>
          <w:lang w:val="en-GB"/>
        </w:rPr>
        <w:t>Review</w:t>
      </w:r>
      <w:r w:rsidR="00033750" w:rsidRPr="00A452F2">
        <w:rPr>
          <w:lang w:val="en-GB"/>
        </w:rPr>
        <w:t xml:space="preserve"> the Disk list widget</w:t>
      </w:r>
      <w:r>
        <w:rPr>
          <w:lang w:val="en-GB"/>
        </w:rPr>
        <w:t xml:space="preserve"> below.</w:t>
      </w:r>
      <w:r w:rsidR="00806DF6">
        <w:rPr>
          <w:lang w:val="en-GB"/>
        </w:rPr>
        <w:t xml:space="preserve"> Why are these 3 </w:t>
      </w:r>
      <w:r w:rsidR="008D3A3F">
        <w:rPr>
          <w:lang w:val="en-GB"/>
        </w:rPr>
        <w:t>metrics</w:t>
      </w:r>
      <w:r w:rsidR="00806DF6">
        <w:rPr>
          <w:lang w:val="en-GB"/>
        </w:rPr>
        <w:t xml:space="preserve"> chosen?</w:t>
      </w:r>
    </w:p>
    <w:p w14:paraId="0926A5B3" w14:textId="6F992345" w:rsidR="005F2969" w:rsidRDefault="005F2969" w:rsidP="00F017AC">
      <w:pPr>
        <w:jc w:val="center"/>
        <w:rPr>
          <w:lang w:val="en-GB"/>
        </w:rPr>
      </w:pPr>
      <w:r w:rsidRPr="005F2969">
        <w:rPr>
          <w:noProof/>
          <w:lang w:val="en-GB"/>
        </w:rPr>
        <w:drawing>
          <wp:inline distT="0" distB="0" distL="0" distR="0" wp14:anchorId="3B37C425" wp14:editId="32F3AF71">
            <wp:extent cx="5552606" cy="1600101"/>
            <wp:effectExtent l="0" t="0" r="0" b="635"/>
            <wp:docPr id="1709717419" name="Picture 1709717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5"/>
                    <a:stretch>
                      <a:fillRect/>
                    </a:stretch>
                  </pic:blipFill>
                  <pic:spPr>
                    <a:xfrm>
                      <a:off x="0" y="0"/>
                      <a:ext cx="5557567" cy="1601530"/>
                    </a:xfrm>
                    <a:prstGeom prst="rect">
                      <a:avLst/>
                    </a:prstGeom>
                  </pic:spPr>
                </pic:pic>
              </a:graphicData>
            </a:graphic>
          </wp:inline>
        </w:drawing>
      </w:r>
    </w:p>
    <w:p w14:paraId="60EB0487" w14:textId="5E88ACAD" w:rsidR="00F017AC" w:rsidRDefault="00F017AC" w:rsidP="00033750">
      <w:pPr>
        <w:rPr>
          <w:lang w:val="en-GB"/>
        </w:rPr>
      </w:pPr>
      <w:r>
        <w:rPr>
          <w:lang w:val="en-GB"/>
        </w:rPr>
        <w:t xml:space="preserve">The Guest OS Disk Queue </w:t>
      </w:r>
      <w:r w:rsidR="00CC1431">
        <w:rPr>
          <w:lang w:val="en-GB"/>
        </w:rPr>
        <w:t>shows potential issue inside Windows or Linux.</w:t>
      </w:r>
    </w:p>
    <w:p w14:paraId="3C55483B" w14:textId="4D5B7A74" w:rsidR="00CC1431" w:rsidRPr="00A452F2" w:rsidRDefault="0082506B" w:rsidP="00033750">
      <w:pPr>
        <w:rPr>
          <w:lang w:val="en-GB"/>
        </w:rPr>
      </w:pPr>
      <w:r>
        <w:rPr>
          <w:lang w:val="en-GB"/>
        </w:rPr>
        <w:t xml:space="preserve">The 2 </w:t>
      </w:r>
      <w:r w:rsidR="008D3A3F">
        <w:rPr>
          <w:lang w:val="en-GB"/>
        </w:rPr>
        <w:t>metrics</w:t>
      </w:r>
      <w:r>
        <w:rPr>
          <w:lang w:val="en-GB"/>
        </w:rPr>
        <w:t xml:space="preserve"> at VM level provides additional contexts. If queue is high inside the Guest, and </w:t>
      </w:r>
      <w:r w:rsidR="00D07DD1">
        <w:rPr>
          <w:lang w:val="en-GB"/>
        </w:rPr>
        <w:t xml:space="preserve">OIO and IOPS are low at VM level, the problem is at Guest OS layer. </w:t>
      </w:r>
    </w:p>
    <w:p w14:paraId="78D950A7" w14:textId="4FF5E145" w:rsidR="00033750" w:rsidRDefault="00033750" w:rsidP="00F017AC">
      <w:pPr>
        <w:rPr>
          <w:lang w:val="en-GB"/>
        </w:rPr>
      </w:pPr>
      <w:r w:rsidRPr="4C8B4F60">
        <w:rPr>
          <w:lang w:val="en-GB"/>
        </w:rPr>
        <w:t>Select any VM from any tables above. The three line charts will appear automatically and will show data from the same VM to facilitate correlation.</w:t>
      </w:r>
    </w:p>
    <w:p w14:paraId="26CFED63" w14:textId="0D0F4B9E" w:rsidR="00D459E0" w:rsidRPr="00A452F2" w:rsidRDefault="00D459E0" w:rsidP="00033750">
      <w:pPr>
        <w:rPr>
          <w:lang w:val="en-GB"/>
        </w:rPr>
      </w:pPr>
      <w:r w:rsidRPr="00D459E0">
        <w:rPr>
          <w:noProof/>
          <w:lang w:val="en-GB"/>
        </w:rPr>
        <w:drawing>
          <wp:inline distT="0" distB="0" distL="0" distR="0" wp14:anchorId="1ED49EE7" wp14:editId="499E57B2">
            <wp:extent cx="6645910" cy="1118870"/>
            <wp:effectExtent l="0" t="0" r="2540" b="5080"/>
            <wp:docPr id="1709717420" name="Picture 1709717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6"/>
                    <a:stretch>
                      <a:fillRect/>
                    </a:stretch>
                  </pic:blipFill>
                  <pic:spPr>
                    <a:xfrm>
                      <a:off x="0" y="0"/>
                      <a:ext cx="6645910" cy="1118870"/>
                    </a:xfrm>
                    <a:prstGeom prst="rect">
                      <a:avLst/>
                    </a:prstGeom>
                  </pic:spPr>
                </pic:pic>
              </a:graphicData>
            </a:graphic>
          </wp:inline>
        </w:drawing>
      </w:r>
    </w:p>
    <w:p w14:paraId="02CFC93E" w14:textId="332E1658" w:rsidR="00033750" w:rsidRPr="00A452F2" w:rsidRDefault="00033750" w:rsidP="00540F68">
      <w:pPr>
        <w:pStyle w:val="Heading3"/>
      </w:pPr>
      <w:r w:rsidRPr="00A452F2">
        <w:lastRenderedPageBreak/>
        <w:t>Heavy Hitters</w:t>
      </w:r>
      <w:r w:rsidR="0067783C">
        <w:t xml:space="preserve"> VM</w:t>
      </w:r>
    </w:p>
    <w:p w14:paraId="560B314B" w14:textId="77777777" w:rsidR="00B82BCE" w:rsidRDefault="006333A4" w:rsidP="006333A4">
      <w:pPr>
        <w:rPr>
          <w:lang w:val="en-GB"/>
        </w:rPr>
      </w:pPr>
      <w:r w:rsidRPr="00A452F2">
        <w:rPr>
          <w:lang w:val="en-GB"/>
        </w:rPr>
        <w:t xml:space="preserve">IaaS provides four services, CPU, Memory, Disk, and Network. </w:t>
      </w:r>
    </w:p>
    <w:p w14:paraId="600A9134" w14:textId="345FCC01" w:rsidR="00B82BCE" w:rsidRDefault="006333A4" w:rsidP="00B82BCE">
      <w:pPr>
        <w:pStyle w:val="Bullet"/>
        <w:rPr>
          <w:lang w:val="en-GB"/>
        </w:rPr>
      </w:pPr>
      <w:r w:rsidRPr="00A452F2">
        <w:rPr>
          <w:lang w:val="en-GB"/>
        </w:rPr>
        <w:t>CPU, Memory, and Disk are bound</w:t>
      </w:r>
      <w:r w:rsidR="00B82BCE">
        <w:rPr>
          <w:lang w:val="en-GB"/>
        </w:rPr>
        <w:t xml:space="preserve">. </w:t>
      </w:r>
      <w:r w:rsidR="00B82BCE" w:rsidRPr="00A452F2">
        <w:rPr>
          <w:lang w:val="en-GB"/>
        </w:rPr>
        <w:t>A VM with 4 vCPU and 16 GB memory cannot consume more than this amount, the same applies to disk space. A VM configured with 100 GB disk space cannot consume more than that.</w:t>
      </w:r>
    </w:p>
    <w:p w14:paraId="6B237422" w14:textId="59E3B4B3" w:rsidR="006333A4" w:rsidRPr="00A452F2" w:rsidRDefault="00B7122F" w:rsidP="00B82BCE">
      <w:pPr>
        <w:pStyle w:val="Bullet"/>
        <w:rPr>
          <w:lang w:val="en-GB"/>
        </w:rPr>
      </w:pPr>
      <w:r>
        <w:rPr>
          <w:lang w:val="en-GB"/>
        </w:rPr>
        <w:t>Network and Disk utilization are not bound. A</w:t>
      </w:r>
      <w:r w:rsidR="006333A4" w:rsidRPr="00A452F2">
        <w:rPr>
          <w:lang w:val="en-GB"/>
        </w:rPr>
        <w:t>n active VM can consume all your network bandwidth, packet per second capacity and storage IOPS capacity.</w:t>
      </w:r>
      <w:r w:rsidR="006333A4">
        <w:rPr>
          <w:lang w:val="en-GB"/>
        </w:rPr>
        <w:t xml:space="preserve"> </w:t>
      </w:r>
    </w:p>
    <w:p w14:paraId="7867FCDA" w14:textId="37BBACA1" w:rsidR="00033750" w:rsidRDefault="00033750" w:rsidP="00033750">
      <w:pPr>
        <w:rPr>
          <w:lang w:val="en-GB"/>
        </w:rPr>
      </w:pPr>
      <w:r w:rsidRPr="00A452F2">
        <w:rPr>
          <w:lang w:val="en-GB"/>
        </w:rPr>
        <w:t xml:space="preserve">The </w:t>
      </w:r>
      <w:r w:rsidRPr="00A452F2">
        <w:rPr>
          <w:rStyle w:val="keyword"/>
          <w:b/>
          <w:bCs/>
          <w:lang w:val="en-GB"/>
        </w:rPr>
        <w:t>Storage Heavy Hitters</w:t>
      </w:r>
      <w:r w:rsidRPr="00A452F2">
        <w:rPr>
          <w:lang w:val="en-GB"/>
        </w:rPr>
        <w:t xml:space="preserve"> dashboard forms a pair with the </w:t>
      </w:r>
      <w:r w:rsidRPr="00A452F2">
        <w:rPr>
          <w:rStyle w:val="keyword"/>
          <w:b/>
          <w:bCs/>
          <w:lang w:val="en-GB"/>
        </w:rPr>
        <w:t>Network Top Talkers</w:t>
      </w:r>
      <w:r w:rsidRPr="00A452F2">
        <w:rPr>
          <w:lang w:val="en-GB"/>
        </w:rPr>
        <w:t xml:space="preserve"> dashboard. To understand the IO demands in your environment, use them concurrently. If you are using ethernet based storage, storage traffic will run over the same physical network your ethernet based network traffic is using.</w:t>
      </w:r>
    </w:p>
    <w:p w14:paraId="35DA65D8" w14:textId="0BD0D3E3" w:rsidR="00C41565" w:rsidRDefault="00C41565" w:rsidP="00033750">
      <w:pPr>
        <w:rPr>
          <w:lang w:val="en-GB"/>
        </w:rPr>
      </w:pPr>
      <w:r>
        <w:rPr>
          <w:lang w:val="en-GB"/>
        </w:rPr>
        <w:t>Why not combine into 1 dashboard?</w:t>
      </w:r>
    </w:p>
    <w:p w14:paraId="1BEECFC7" w14:textId="77777777" w:rsidR="00C41565" w:rsidRDefault="00C41565" w:rsidP="00C41565">
      <w:pPr>
        <w:pStyle w:val="Bullet"/>
        <w:rPr>
          <w:lang w:val="en-GB"/>
        </w:rPr>
      </w:pPr>
      <w:r>
        <w:rPr>
          <w:lang w:val="en-GB"/>
        </w:rPr>
        <w:t>T</w:t>
      </w:r>
      <w:r w:rsidR="00FB6AF6">
        <w:rPr>
          <w:lang w:val="en-GB"/>
        </w:rPr>
        <w:t xml:space="preserve">he remediation actions are different. </w:t>
      </w:r>
    </w:p>
    <w:p w14:paraId="056AC684" w14:textId="1022BD85" w:rsidR="00C41565" w:rsidRDefault="00FB6AF6" w:rsidP="00C41565">
      <w:pPr>
        <w:pStyle w:val="Bullet"/>
        <w:rPr>
          <w:lang w:val="en-GB"/>
        </w:rPr>
      </w:pPr>
      <w:r>
        <w:rPr>
          <w:lang w:val="en-GB"/>
        </w:rPr>
        <w:t xml:space="preserve">The </w:t>
      </w:r>
      <w:r w:rsidR="00C41565">
        <w:rPr>
          <w:lang w:val="en-GB"/>
        </w:rPr>
        <w:t>users are different. N</w:t>
      </w:r>
      <w:r>
        <w:rPr>
          <w:lang w:val="en-GB"/>
        </w:rPr>
        <w:t xml:space="preserve">etwork dashboard may be required by </w:t>
      </w:r>
      <w:r w:rsidR="00C41565">
        <w:rPr>
          <w:lang w:val="en-GB"/>
        </w:rPr>
        <w:t>N</w:t>
      </w:r>
      <w:r>
        <w:rPr>
          <w:lang w:val="en-GB"/>
        </w:rPr>
        <w:t>etwork Team</w:t>
      </w:r>
      <w:r w:rsidR="00C41565">
        <w:rPr>
          <w:lang w:val="en-GB"/>
        </w:rPr>
        <w:t>, while storage dashboard by Storage team.</w:t>
      </w:r>
    </w:p>
    <w:p w14:paraId="4FBDDC31" w14:textId="1C5B9B31" w:rsidR="00FB6AF6" w:rsidRPr="00A452F2" w:rsidRDefault="00C41565" w:rsidP="00C41565">
      <w:pPr>
        <w:pStyle w:val="Bullet"/>
        <w:rPr>
          <w:lang w:val="en-GB"/>
        </w:rPr>
      </w:pPr>
      <w:r>
        <w:rPr>
          <w:lang w:val="en-GB"/>
        </w:rPr>
        <w:t xml:space="preserve">The customization is different. </w:t>
      </w:r>
      <w:r w:rsidR="00A6702E">
        <w:rPr>
          <w:lang w:val="en-GB"/>
        </w:rPr>
        <w:t xml:space="preserve">You extend each dashboard, going into physical array or NSX. </w:t>
      </w:r>
    </w:p>
    <w:p w14:paraId="11F0B162" w14:textId="0ED81E21" w:rsidR="00546225" w:rsidRPr="00A452F2" w:rsidRDefault="00546225" w:rsidP="00546225">
      <w:pPr>
        <w:rPr>
          <w:lang w:val="en-GB"/>
        </w:rPr>
      </w:pPr>
      <w:r w:rsidRPr="4CAB3972">
        <w:rPr>
          <w:lang w:val="en-GB"/>
        </w:rPr>
        <w:t>Th</w:t>
      </w:r>
      <w:r w:rsidR="00FA04E7">
        <w:rPr>
          <w:lang w:val="en-GB"/>
        </w:rPr>
        <w:t xml:space="preserve">e </w:t>
      </w:r>
      <w:r w:rsidRPr="4CAB3972">
        <w:rPr>
          <w:lang w:val="en-GB"/>
        </w:rPr>
        <w:t>dashboard</w:t>
      </w:r>
      <w:r w:rsidR="00FA04E7">
        <w:rPr>
          <w:lang w:val="en-GB"/>
        </w:rPr>
        <w:t>s are</w:t>
      </w:r>
      <w:r w:rsidRPr="4CAB3972">
        <w:rPr>
          <w:lang w:val="en-GB"/>
        </w:rPr>
        <w:t xml:space="preserve"> designed to help you </w:t>
      </w:r>
      <w:r>
        <w:rPr>
          <w:lang w:val="en-GB"/>
        </w:rPr>
        <w:t>analyze</w:t>
      </w:r>
      <w:r w:rsidRPr="4CAB3972">
        <w:rPr>
          <w:lang w:val="en-GB"/>
        </w:rPr>
        <w:t xml:space="preserve"> the impact of these VMs on your IaaS. It classifies the workload into two categories: short bursts and sustained hits. </w:t>
      </w:r>
    </w:p>
    <w:p w14:paraId="59D1B805" w14:textId="77777777" w:rsidR="00546225" w:rsidRPr="00A452F2" w:rsidRDefault="00546225" w:rsidP="00546225">
      <w:pPr>
        <w:rPr>
          <w:lang w:val="en-GB"/>
        </w:rPr>
      </w:pPr>
      <w:r w:rsidRPr="00A452F2">
        <w:rPr>
          <w:lang w:val="en-GB"/>
        </w:rPr>
        <w:t>Short burst last for a few minutes, while sustained hits can last much longer. A sustained hit that lasts for an hour can cause serious problems.</w:t>
      </w:r>
    </w:p>
    <w:p w14:paraId="671EC54C" w14:textId="77777777" w:rsidR="00B82BCE" w:rsidRPr="00A452F2" w:rsidRDefault="00B82BCE" w:rsidP="00B82BCE">
      <w:pPr>
        <w:rPr>
          <w:lang w:val="en-GB"/>
        </w:rPr>
      </w:pPr>
      <w:r w:rsidRPr="00A452F2">
        <w:rPr>
          <w:lang w:val="en-GB"/>
        </w:rPr>
        <w:t xml:space="preserve">A heat map would enable us to visualize the data easier. However, it can’t show the past data, hence it’s not used. If you want see in heat map form, see the </w:t>
      </w:r>
      <w:hyperlink w:anchor="_Live!_Heavy_Hitter" w:history="1">
        <w:r w:rsidRPr="00A452F2">
          <w:rPr>
            <w:rStyle w:val="Hyperlink"/>
            <w:lang w:val="en-GB"/>
          </w:rPr>
          <w:t>Live! Heavy Hitters dashboard.</w:t>
        </w:r>
      </w:hyperlink>
    </w:p>
    <w:p w14:paraId="6090F224" w14:textId="543F9831" w:rsidR="00033750" w:rsidRPr="00A452F2" w:rsidRDefault="00DB1FC3" w:rsidP="00AC6E1E">
      <w:pPr>
        <w:pStyle w:val="Heading4"/>
      </w:pPr>
      <w:r>
        <w:t xml:space="preserve">Storage Heavy Hitters </w:t>
      </w:r>
    </w:p>
    <w:p w14:paraId="1FCAD58E" w14:textId="77777777" w:rsidR="001A6332" w:rsidRPr="00A452F2" w:rsidRDefault="001A6332" w:rsidP="001A6332">
      <w:pPr>
        <w:rPr>
          <w:lang w:val="en-GB"/>
        </w:rPr>
      </w:pPr>
      <w:r w:rsidRPr="00A452F2">
        <w:rPr>
          <w:lang w:val="en-GB"/>
        </w:rPr>
        <w:t>Interpreting IOPs and throughput metrics depends on your underlying physical storage</w:t>
      </w:r>
      <w:r>
        <w:rPr>
          <w:lang w:val="en-GB"/>
        </w:rPr>
        <w:t xml:space="preserve"> capability</w:t>
      </w:r>
      <w:r w:rsidRPr="00A452F2">
        <w:rPr>
          <w:lang w:val="en-GB"/>
        </w:rPr>
        <w:t>.</w:t>
      </w:r>
      <w:r>
        <w:rPr>
          <w:lang w:val="en-GB"/>
        </w:rPr>
        <w:t xml:space="preserve"> </w:t>
      </w:r>
      <w:r w:rsidRPr="00A452F2">
        <w:rPr>
          <w:lang w:val="en-GB"/>
        </w:rPr>
        <w:t xml:space="preserve">For visibility into this hardware layer, add physical storage </w:t>
      </w:r>
      <w:r>
        <w:rPr>
          <w:lang w:val="en-GB"/>
        </w:rPr>
        <w:t xml:space="preserve">arrays and physical network switches </w:t>
      </w:r>
      <w:r w:rsidRPr="00A452F2">
        <w:rPr>
          <w:lang w:val="en-GB"/>
        </w:rPr>
        <w:t>metrics to the dashboard.</w:t>
      </w:r>
    </w:p>
    <w:p w14:paraId="636887E5" w14:textId="372CBA59" w:rsidR="00033750" w:rsidRPr="00A452F2" w:rsidRDefault="00033750" w:rsidP="008A180C">
      <w:pPr>
        <w:rPr>
          <w:lang w:val="en-GB"/>
        </w:rPr>
      </w:pPr>
      <w:r w:rsidRPr="00A452F2">
        <w:rPr>
          <w:lang w:val="en-GB"/>
        </w:rPr>
        <w:t xml:space="preserve">See the </w:t>
      </w:r>
      <w:r w:rsidRPr="00A452F2">
        <w:rPr>
          <w:rStyle w:val="keyword"/>
          <w:b/>
          <w:bCs/>
          <w:lang w:val="en-GB"/>
        </w:rPr>
        <w:t>Network Top Talkers</w:t>
      </w:r>
      <w:r w:rsidRPr="00A452F2">
        <w:rPr>
          <w:lang w:val="en-GB"/>
        </w:rPr>
        <w:t xml:space="preserve"> dashboard as they basically have the same design. The main difference is </w:t>
      </w:r>
      <w:r w:rsidR="008A180C">
        <w:rPr>
          <w:lang w:val="en-GB"/>
        </w:rPr>
        <w:t xml:space="preserve">we show </w:t>
      </w:r>
      <w:r w:rsidRPr="00A452F2">
        <w:rPr>
          <w:lang w:val="en-GB"/>
        </w:rPr>
        <w:t xml:space="preserve">IOPS and throughput. </w:t>
      </w:r>
      <w:r w:rsidR="008A180C">
        <w:rPr>
          <w:lang w:val="en-GB"/>
        </w:rPr>
        <w:t xml:space="preserve">They </w:t>
      </w:r>
      <w:r w:rsidRPr="00A452F2">
        <w:rPr>
          <w:lang w:val="en-GB"/>
        </w:rPr>
        <w:t>are related, so use both to gain insight, they should display a similar pattern.</w:t>
      </w:r>
      <w:r>
        <w:rPr>
          <w:lang w:val="en-GB"/>
        </w:rPr>
        <w:t xml:space="preserve"> </w:t>
      </w:r>
      <w:r w:rsidRPr="00A452F2">
        <w:rPr>
          <w:lang w:val="en-GB"/>
        </w:rPr>
        <w:t>If not, that indicates varying block sizes.</w:t>
      </w:r>
      <w:r>
        <w:rPr>
          <w:lang w:val="en-GB"/>
        </w:rPr>
        <w:t xml:space="preserve"> </w:t>
      </w:r>
      <w:r w:rsidRPr="00A452F2">
        <w:rPr>
          <w:lang w:val="en-GB"/>
        </w:rPr>
        <w:t>For example, a throughput spike without an accompanying IOPs spike indicates large block sizes.</w:t>
      </w:r>
      <w:r w:rsidRPr="00A452F2">
        <w:rPr>
          <w:rStyle w:val="CommentReference"/>
          <w:lang w:val="en-GB"/>
        </w:rPr>
        <w:t xml:space="preserve"> </w:t>
      </w:r>
    </w:p>
    <w:p w14:paraId="3C323B93" w14:textId="77777777" w:rsidR="00033750" w:rsidRDefault="00033750" w:rsidP="00033750">
      <w:pPr>
        <w:jc w:val="center"/>
        <w:rPr>
          <w:lang w:val="en-GB"/>
        </w:rPr>
      </w:pPr>
      <w:r>
        <w:rPr>
          <w:noProof/>
        </w:rPr>
        <w:lastRenderedPageBreak/>
        <w:drawing>
          <wp:inline distT="0" distB="0" distL="0" distR="0" wp14:anchorId="4DE3E7BD" wp14:editId="5A9712BE">
            <wp:extent cx="5526098" cy="2261974"/>
            <wp:effectExtent l="0" t="0" r="0" b="5080"/>
            <wp:docPr id="606394404" name="Picture 606394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404"/>
                    <pic:cNvPicPr/>
                  </pic:nvPicPr>
                  <pic:blipFill>
                    <a:blip r:embed="rId1057">
                      <a:extLst>
                        <a:ext uri="{28A0092B-C50C-407E-A947-70E740481C1C}">
                          <a14:useLocalDpi xmlns:a14="http://schemas.microsoft.com/office/drawing/2010/main" val="0"/>
                        </a:ext>
                      </a:extLst>
                    </a:blip>
                    <a:stretch>
                      <a:fillRect/>
                    </a:stretch>
                  </pic:blipFill>
                  <pic:spPr>
                    <a:xfrm>
                      <a:off x="0" y="0"/>
                      <a:ext cx="5526098" cy="2261974"/>
                    </a:xfrm>
                    <a:prstGeom prst="rect">
                      <a:avLst/>
                    </a:prstGeom>
                  </pic:spPr>
                </pic:pic>
              </a:graphicData>
            </a:graphic>
          </wp:inline>
        </w:drawing>
      </w:r>
    </w:p>
    <w:p w14:paraId="6E245901" w14:textId="77777777" w:rsidR="00033750" w:rsidRDefault="00033750" w:rsidP="00033750">
      <w:pPr>
        <w:rPr>
          <w:lang w:val="en-GB"/>
        </w:rPr>
      </w:pPr>
      <w:r w:rsidRPr="00A452F2">
        <w:rPr>
          <w:lang w:val="en-GB"/>
        </w:rPr>
        <w:t>About the “Which VMs hit storage the hardest” table</w:t>
      </w:r>
    </w:p>
    <w:p w14:paraId="03777D11" w14:textId="77777777" w:rsidR="00033750" w:rsidRPr="00A452F2" w:rsidRDefault="00033750" w:rsidP="00033750">
      <w:pPr>
        <w:rPr>
          <w:sz w:val="24"/>
          <w:szCs w:val="24"/>
          <w:lang w:val="en-GB"/>
        </w:rPr>
      </w:pPr>
      <w:r>
        <w:rPr>
          <w:noProof/>
        </w:rPr>
        <w:drawing>
          <wp:inline distT="0" distB="0" distL="0" distR="0" wp14:anchorId="5BAD51EA" wp14:editId="70B6DD02">
            <wp:extent cx="6645910" cy="2265680"/>
            <wp:effectExtent l="0" t="0" r="2540" b="1270"/>
            <wp:docPr id="606394406" name="Picture 606394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406"/>
                    <pic:cNvPicPr/>
                  </pic:nvPicPr>
                  <pic:blipFill>
                    <a:blip r:embed="rId1058">
                      <a:extLst>
                        <a:ext uri="{28A0092B-C50C-407E-A947-70E740481C1C}">
                          <a14:useLocalDpi xmlns:a14="http://schemas.microsoft.com/office/drawing/2010/main" val="0"/>
                        </a:ext>
                      </a:extLst>
                    </a:blip>
                    <a:stretch>
                      <a:fillRect/>
                    </a:stretch>
                  </pic:blipFill>
                  <pic:spPr>
                    <a:xfrm>
                      <a:off x="0" y="0"/>
                      <a:ext cx="6645910" cy="2265680"/>
                    </a:xfrm>
                    <a:prstGeom prst="rect">
                      <a:avLst/>
                    </a:prstGeom>
                  </pic:spPr>
                </pic:pic>
              </a:graphicData>
            </a:graphic>
          </wp:inline>
        </w:drawing>
      </w:r>
    </w:p>
    <w:p w14:paraId="1A05B8D7" w14:textId="77777777" w:rsidR="00033750" w:rsidRPr="00A452F2" w:rsidRDefault="00033750" w:rsidP="008E31C3">
      <w:pPr>
        <w:rPr>
          <w:lang w:val="en-GB"/>
        </w:rPr>
      </w:pPr>
      <w:r w:rsidRPr="00A452F2">
        <w:rPr>
          <w:lang w:val="en-GB"/>
        </w:rPr>
        <w:t xml:space="preserve">The table shows the most demanding VM. You can identify the villain VM and compare their demands with the capabilities of the underlying IaaS. Knowing the infrastructure capability is important, because different class of SSD have different IOPS and throughput capabilities. </w:t>
      </w:r>
    </w:p>
    <w:p w14:paraId="6890C467" w14:textId="77777777" w:rsidR="00033750" w:rsidRPr="00A452F2" w:rsidRDefault="00033750" w:rsidP="00033750">
      <w:pPr>
        <w:rPr>
          <w:lang w:val="en-GB"/>
        </w:rPr>
      </w:pPr>
      <w:r w:rsidRPr="00A452F2">
        <w:rPr>
          <w:lang w:val="en-GB"/>
        </w:rPr>
        <w:t xml:space="preserve">After identifying the villain VM, talk to the VM owners if the numbers are excessive during peak hours and identify the reasons behind the excessive usage. You must ensure that they do not create a hot spot, for example, vSAN cluster with &gt;100 disk can handle numerous IOPS but if the VM objects are only on a few disks, those disks can become a hot spot. </w:t>
      </w:r>
    </w:p>
    <w:p w14:paraId="4F6C3BAC" w14:textId="03E1C1C6" w:rsidR="00033750" w:rsidRPr="00A452F2" w:rsidRDefault="00033750" w:rsidP="00AC6E1E">
      <w:pPr>
        <w:pStyle w:val="Heading4"/>
      </w:pPr>
      <w:r w:rsidRPr="00A452F2">
        <w:t>Network Top Talkers</w:t>
      </w:r>
      <w:r w:rsidR="00546225">
        <w:t xml:space="preserve"> </w:t>
      </w:r>
    </w:p>
    <w:p w14:paraId="063A13D3" w14:textId="77777777" w:rsidR="00033750" w:rsidRPr="00A452F2" w:rsidRDefault="00033750" w:rsidP="00033750">
      <w:pPr>
        <w:rPr>
          <w:lang w:val="en-GB"/>
        </w:rPr>
      </w:pPr>
      <w:r w:rsidRPr="00A452F2">
        <w:rPr>
          <w:lang w:val="en-GB"/>
        </w:rPr>
        <w:t xml:space="preserve">Use the Network Top Talkers dashboard to monitor network demand in your IaaS. In a shared environment, a few VMs generating excessive activity can impact the entire data center. While a single VM might not cause a serious problem, a few of them can. Understanding high demand helps you monitor IaaS and allows you to plan capacity. </w:t>
      </w:r>
    </w:p>
    <w:p w14:paraId="7D28AD7A" w14:textId="77777777" w:rsidR="00033750" w:rsidRPr="00A452F2" w:rsidRDefault="00033750" w:rsidP="00033750">
      <w:pPr>
        <w:rPr>
          <w:lang w:val="en-GB"/>
        </w:rPr>
      </w:pPr>
      <w:r w:rsidRPr="00A452F2">
        <w:rPr>
          <w:lang w:val="en-GB"/>
        </w:rPr>
        <w:lastRenderedPageBreak/>
        <w:t xml:space="preserve">Network throughput, disk throughput, and disk IOPS can spike as their physical limit is generally very high per VM. This means that IaaS has enough capacity for all workloads and performs well until VMs start consuming abnormally high amounts of network and disk bandwidth. </w:t>
      </w:r>
    </w:p>
    <w:p w14:paraId="3B2465C5" w14:textId="77777777" w:rsidR="00033750" w:rsidRPr="00A452F2" w:rsidRDefault="00033750" w:rsidP="00033750">
      <w:pPr>
        <w:rPr>
          <w:lang w:val="en-GB"/>
        </w:rPr>
      </w:pPr>
      <w:r w:rsidRPr="00A452F2">
        <w:rPr>
          <w:lang w:val="en-GB"/>
        </w:rPr>
        <w:t>The dashboard shows the big picture, while allowing you to see the individual VM. It is important to see the VM utilization in the larger context.</w:t>
      </w:r>
    </w:p>
    <w:p w14:paraId="7E6107C9" w14:textId="77777777" w:rsidR="00033750" w:rsidRPr="00A452F2" w:rsidRDefault="00033750" w:rsidP="00033750">
      <w:pPr>
        <w:rPr>
          <w:lang w:val="en-GB"/>
        </w:rPr>
      </w:pPr>
      <w:r w:rsidRPr="00A452F2">
        <w:rPr>
          <w:lang w:val="en-GB"/>
        </w:rPr>
        <w:t>The dashboard begins by showing the current workload. This is the total network load (received and transmit) from all vSphere environments monitored by vRealize Operations. The idea is to give you an indicator on how hard the overall load is.</w:t>
      </w:r>
    </w:p>
    <w:p w14:paraId="6B74A653" w14:textId="77777777" w:rsidR="00033750" w:rsidRPr="00A452F2" w:rsidRDefault="00033750" w:rsidP="00033750">
      <w:pPr>
        <w:rPr>
          <w:lang w:val="en-GB"/>
        </w:rPr>
      </w:pPr>
      <w:r w:rsidRPr="00A452F2">
        <w:rPr>
          <w:lang w:val="en-GB"/>
        </w:rPr>
        <w:t xml:space="preserve">Select a data center from the </w:t>
      </w:r>
      <w:r>
        <w:rPr>
          <w:lang w:val="en-GB"/>
        </w:rPr>
        <w:t>d</w:t>
      </w:r>
      <w:r w:rsidRPr="00A452F2">
        <w:rPr>
          <w:lang w:val="en-GB"/>
        </w:rPr>
        <w:t xml:space="preserve">ata </w:t>
      </w:r>
      <w:r>
        <w:rPr>
          <w:lang w:val="en-GB"/>
        </w:rPr>
        <w:t>center</w:t>
      </w:r>
      <w:r w:rsidRPr="00A452F2">
        <w:rPr>
          <w:lang w:val="en-GB"/>
        </w:rPr>
        <w:t xml:space="preserve">s list. </w:t>
      </w:r>
    </w:p>
    <w:p w14:paraId="751DA52D" w14:textId="77777777" w:rsidR="00033750" w:rsidRPr="00A452F2" w:rsidRDefault="00033750" w:rsidP="00033750">
      <w:pPr>
        <w:pStyle w:val="Bullet"/>
        <w:rPr>
          <w:lang w:val="en-GB"/>
        </w:rPr>
      </w:pPr>
      <w:r w:rsidRPr="00A452F2">
        <w:rPr>
          <w:lang w:val="en-GB"/>
        </w:rPr>
        <w:t>The columns show the number of clusters, ESXi Hosts and VM for each Data center. The VM count includes powered off VM. If you need to show only the running VM count, edit the widget.</w:t>
      </w:r>
    </w:p>
    <w:p w14:paraId="0D56A643" w14:textId="77777777" w:rsidR="00033750" w:rsidRPr="00A452F2" w:rsidRDefault="00033750" w:rsidP="00033750">
      <w:pPr>
        <w:pStyle w:val="Bullet"/>
        <w:rPr>
          <w:lang w:val="en-GB"/>
        </w:rPr>
      </w:pPr>
      <w:r w:rsidRPr="00A452F2">
        <w:rPr>
          <w:lang w:val="en-GB"/>
        </w:rPr>
        <w:t xml:space="preserve">If you want to see from all Data center, select the </w:t>
      </w:r>
      <w:r w:rsidRPr="00B94E56">
        <w:rPr>
          <w:b/>
          <w:bCs/>
          <w:color w:val="00B0F0"/>
          <w:lang w:val="en-GB"/>
        </w:rPr>
        <w:t>vSphere World</w:t>
      </w:r>
      <w:r w:rsidRPr="00B94E56">
        <w:rPr>
          <w:color w:val="00B0F0"/>
          <w:lang w:val="en-GB"/>
        </w:rPr>
        <w:t xml:space="preserve"> </w:t>
      </w:r>
      <w:r w:rsidRPr="00A452F2">
        <w:rPr>
          <w:lang w:val="en-GB"/>
        </w:rPr>
        <w:t>row.</w:t>
      </w:r>
    </w:p>
    <w:p w14:paraId="50351601" w14:textId="77777777" w:rsidR="00033750" w:rsidRPr="00A452F2" w:rsidRDefault="00033750" w:rsidP="00033750">
      <w:pPr>
        <w:pStyle w:val="Bullet"/>
        <w:rPr>
          <w:lang w:val="en-GB"/>
        </w:rPr>
      </w:pPr>
      <w:r w:rsidRPr="00A452F2">
        <w:rPr>
          <w:lang w:val="en-GB"/>
        </w:rPr>
        <w:t>Upon selection, the Total Demand line chart and the Top Talkers table will be automatically filled up.</w:t>
      </w:r>
    </w:p>
    <w:p w14:paraId="1F9A1103" w14:textId="77777777" w:rsidR="00033750" w:rsidRDefault="00033750" w:rsidP="00033750">
      <w:pPr>
        <w:rPr>
          <w:lang w:val="en-GB"/>
        </w:rPr>
      </w:pPr>
      <w:r w:rsidRPr="00A452F2">
        <w:rPr>
          <w:lang w:val="en-GB"/>
        </w:rPr>
        <w:t>About the Total Demand line chart</w:t>
      </w:r>
      <w:r>
        <w:rPr>
          <w:lang w:val="en-GB"/>
        </w:rPr>
        <w:t>:</w:t>
      </w:r>
    </w:p>
    <w:p w14:paraId="748B6219" w14:textId="77777777" w:rsidR="00033750" w:rsidRPr="00A452F2" w:rsidRDefault="00033750" w:rsidP="00033750">
      <w:pPr>
        <w:jc w:val="center"/>
        <w:rPr>
          <w:lang w:val="en-GB"/>
        </w:rPr>
      </w:pPr>
      <w:r>
        <w:rPr>
          <w:noProof/>
        </w:rPr>
        <w:drawing>
          <wp:inline distT="0" distB="0" distL="0" distR="0" wp14:anchorId="5A4627CF" wp14:editId="32499BB3">
            <wp:extent cx="5367130" cy="2340491"/>
            <wp:effectExtent l="0" t="0" r="5080" b="3175"/>
            <wp:docPr id="606394402" name="Picture 606394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402"/>
                    <pic:cNvPicPr/>
                  </pic:nvPicPr>
                  <pic:blipFill>
                    <a:blip r:embed="rId1059">
                      <a:extLst>
                        <a:ext uri="{28A0092B-C50C-407E-A947-70E740481C1C}">
                          <a14:useLocalDpi xmlns:a14="http://schemas.microsoft.com/office/drawing/2010/main" val="0"/>
                        </a:ext>
                      </a:extLst>
                    </a:blip>
                    <a:stretch>
                      <a:fillRect/>
                    </a:stretch>
                  </pic:blipFill>
                  <pic:spPr>
                    <a:xfrm>
                      <a:off x="0" y="0"/>
                      <a:ext cx="5367130" cy="2340491"/>
                    </a:xfrm>
                    <a:prstGeom prst="rect">
                      <a:avLst/>
                    </a:prstGeom>
                  </pic:spPr>
                </pic:pic>
              </a:graphicData>
            </a:graphic>
          </wp:inline>
        </w:drawing>
      </w:r>
    </w:p>
    <w:p w14:paraId="223F5A43" w14:textId="77777777" w:rsidR="00033750" w:rsidRPr="00A452F2" w:rsidRDefault="00033750" w:rsidP="00033750">
      <w:pPr>
        <w:rPr>
          <w:lang w:val="en-GB"/>
        </w:rPr>
      </w:pPr>
      <w:r w:rsidRPr="00A452F2">
        <w:rPr>
          <w:lang w:val="en-GB"/>
        </w:rPr>
        <w:t>This shows the total throughput (received and transmit) in the selected data center.</w:t>
      </w:r>
    </w:p>
    <w:p w14:paraId="73767582" w14:textId="77777777" w:rsidR="00033750" w:rsidRPr="00A452F2" w:rsidRDefault="00033750" w:rsidP="00033750">
      <w:pPr>
        <w:rPr>
          <w:lang w:val="en-GB"/>
        </w:rPr>
      </w:pPr>
      <w:r w:rsidRPr="00A452F2">
        <w:rPr>
          <w:lang w:val="en-GB"/>
        </w:rPr>
        <w:t xml:space="preserve">It shows both the 5-minute peak and the hourly average into 1 line chart. </w:t>
      </w:r>
      <w:r>
        <w:rPr>
          <w:lang w:val="en-GB"/>
        </w:rPr>
        <w:t xml:space="preserve">You would expect that the 5-minute peak is much higher than the hourly average, indicating it is just a short burst. </w:t>
      </w:r>
      <w:r w:rsidRPr="00A452F2">
        <w:rPr>
          <w:lang w:val="en-GB"/>
        </w:rPr>
        <w:t>You can click on the metric name to hide</w:t>
      </w:r>
      <w:r>
        <w:rPr>
          <w:lang w:val="en-GB"/>
        </w:rPr>
        <w:t xml:space="preserve"> the corresponding line chart.</w:t>
      </w:r>
      <w:r w:rsidRPr="00A452F2">
        <w:rPr>
          <w:lang w:val="en-GB"/>
        </w:rPr>
        <w:t xml:space="preserve"> </w:t>
      </w:r>
    </w:p>
    <w:p w14:paraId="2286ECC5" w14:textId="77777777" w:rsidR="00033750" w:rsidRDefault="00033750" w:rsidP="00033750">
      <w:pPr>
        <w:rPr>
          <w:lang w:val="en-GB"/>
        </w:rPr>
      </w:pPr>
      <w:r w:rsidRPr="00A452F2">
        <w:rPr>
          <w:lang w:val="en-GB"/>
        </w:rPr>
        <w:t>About the Top Talkers table</w:t>
      </w:r>
      <w:r>
        <w:rPr>
          <w:lang w:val="en-GB"/>
        </w:rPr>
        <w:t>:</w:t>
      </w:r>
    </w:p>
    <w:p w14:paraId="2D3614D0" w14:textId="77777777" w:rsidR="00033750" w:rsidRDefault="00033750" w:rsidP="00033750">
      <w:pPr>
        <w:rPr>
          <w:lang w:val="en-GB"/>
        </w:rPr>
      </w:pPr>
      <w:r>
        <w:rPr>
          <w:noProof/>
        </w:rPr>
        <w:drawing>
          <wp:inline distT="0" distB="0" distL="0" distR="0" wp14:anchorId="436AC29F" wp14:editId="4CE6F32D">
            <wp:extent cx="6645910" cy="2206625"/>
            <wp:effectExtent l="0" t="0" r="2540" b="3175"/>
            <wp:docPr id="606394314" name="Picture 606394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14"/>
                    <pic:cNvPicPr/>
                  </pic:nvPicPr>
                  <pic:blipFill>
                    <a:blip r:embed="rId1060">
                      <a:extLst>
                        <a:ext uri="{28A0092B-C50C-407E-A947-70E740481C1C}">
                          <a14:useLocalDpi xmlns:a14="http://schemas.microsoft.com/office/drawing/2010/main" val="0"/>
                        </a:ext>
                      </a:extLst>
                    </a:blip>
                    <a:stretch>
                      <a:fillRect/>
                    </a:stretch>
                  </pic:blipFill>
                  <pic:spPr>
                    <a:xfrm>
                      <a:off x="0" y="0"/>
                      <a:ext cx="6645910" cy="2206625"/>
                    </a:xfrm>
                    <a:prstGeom prst="rect">
                      <a:avLst/>
                    </a:prstGeom>
                  </pic:spPr>
                </pic:pic>
              </a:graphicData>
            </a:graphic>
          </wp:inline>
        </w:drawing>
      </w:r>
    </w:p>
    <w:p w14:paraId="0EC941D6" w14:textId="12E15459" w:rsidR="00033750" w:rsidRDefault="00033750" w:rsidP="00033750">
      <w:pPr>
        <w:rPr>
          <w:lang w:val="en-GB"/>
        </w:rPr>
      </w:pPr>
      <w:r w:rsidRPr="4C8B4F60">
        <w:rPr>
          <w:lang w:val="en-GB"/>
        </w:rPr>
        <w:lastRenderedPageBreak/>
        <w:t xml:space="preserve">The table shows the most demanding VM. ​To help you focus on the VMs that hit the network hard, VMs that are not hitting the network hard are filtered out. The threshold used is 1 Megabyte/second sustained in the </w:t>
      </w:r>
      <w:r w:rsidRPr="00C41565">
        <w:rPr>
          <w:i/>
          <w:iCs/>
          <w:color w:val="FF0000"/>
          <w:lang w:val="en-GB"/>
        </w:rPr>
        <w:t>last</w:t>
      </w:r>
      <w:r w:rsidRPr="00C41565">
        <w:rPr>
          <w:color w:val="FF0000"/>
          <w:lang w:val="en-GB"/>
        </w:rPr>
        <w:t xml:space="preserve"> </w:t>
      </w:r>
      <w:r w:rsidRPr="4C8B4F60">
        <w:rPr>
          <w:lang w:val="en-GB"/>
        </w:rPr>
        <w:t>collection cycle.</w:t>
      </w:r>
      <w:r w:rsidR="00C41565">
        <w:rPr>
          <w:lang w:val="en-GB"/>
        </w:rPr>
        <w:t xml:space="preserve"> You can change the filter to average of all time if that makes more sense to you.</w:t>
      </w:r>
    </w:p>
    <w:p w14:paraId="696D8C75" w14:textId="191B902D" w:rsidR="00C41565" w:rsidRPr="00A452F2" w:rsidRDefault="00C41565" w:rsidP="00033750">
      <w:pPr>
        <w:rPr>
          <w:lang w:val="en-GB"/>
        </w:rPr>
      </w:pPr>
      <w:r w:rsidRPr="00C41565">
        <w:rPr>
          <w:noProof/>
          <w:lang w:val="en-GB"/>
        </w:rPr>
        <w:drawing>
          <wp:inline distT="0" distB="0" distL="0" distR="0" wp14:anchorId="5176D395" wp14:editId="530BD452">
            <wp:extent cx="6645910" cy="1717675"/>
            <wp:effectExtent l="0" t="0" r="2540" b="0"/>
            <wp:docPr id="1709717438" name="Picture 1709717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1"/>
                    <a:stretch>
                      <a:fillRect/>
                    </a:stretch>
                  </pic:blipFill>
                  <pic:spPr>
                    <a:xfrm>
                      <a:off x="0" y="0"/>
                      <a:ext cx="6645910" cy="1717675"/>
                    </a:xfrm>
                    <a:prstGeom prst="rect">
                      <a:avLst/>
                    </a:prstGeom>
                  </pic:spPr>
                </pic:pic>
              </a:graphicData>
            </a:graphic>
          </wp:inline>
        </w:drawing>
      </w:r>
    </w:p>
    <w:p w14:paraId="59EF7327" w14:textId="468D9B34" w:rsidR="00033750" w:rsidRPr="00A452F2" w:rsidRDefault="00033750" w:rsidP="00033750">
      <w:pPr>
        <w:rPr>
          <w:lang w:val="en-GB"/>
        </w:rPr>
      </w:pPr>
      <w:r w:rsidRPr="00A452F2">
        <w:rPr>
          <w:lang w:val="en-GB"/>
        </w:rPr>
        <w:t>You can identify the villain VM and compare their demands with the capabilities of th</w:t>
      </w:r>
      <w:r w:rsidRPr="00A452F2">
        <w:rPr>
          <w:rStyle w:val="BulletChar"/>
          <w:lang w:val="en-GB"/>
        </w:rPr>
        <w:t>e</w:t>
      </w:r>
      <w:r w:rsidRPr="00A452F2">
        <w:rPr>
          <w:lang w:val="en-GB"/>
        </w:rPr>
        <w:t xml:space="preserve"> underlying IaaS. Knowing the infrastructure capability is important</w:t>
      </w:r>
      <w:r w:rsidR="00D00B58">
        <w:rPr>
          <w:lang w:val="en-GB"/>
        </w:rPr>
        <w:t xml:space="preserve"> so you know the absolute limit</w:t>
      </w:r>
      <w:r w:rsidRPr="00A452F2">
        <w:rPr>
          <w:lang w:val="en-GB"/>
        </w:rPr>
        <w:t xml:space="preserve">. </w:t>
      </w:r>
    </w:p>
    <w:p w14:paraId="522172CA" w14:textId="77777777" w:rsidR="00033750" w:rsidRPr="00A452F2" w:rsidRDefault="00033750" w:rsidP="00033750">
      <w:pPr>
        <w:rPr>
          <w:lang w:val="en-GB"/>
        </w:rPr>
      </w:pPr>
      <w:r w:rsidRPr="00A452F2">
        <w:rPr>
          <w:lang w:val="en-GB"/>
        </w:rPr>
        <w:t xml:space="preserve">After identifying the villain VM, talk to the VM owners if the numbers are excessive during peak hours and identify the reasons behind the excessive usage. You must ensure that they do not create a hot spot, for example, vSAN cluster with &gt;100 disk can handle numerous IOPS but if the VM objects are only on a few disks, those disks can become a hot spot. </w:t>
      </w:r>
    </w:p>
    <w:p w14:paraId="41519509" w14:textId="77777777" w:rsidR="004113A7" w:rsidRPr="00A452F2" w:rsidRDefault="004113A7" w:rsidP="00AC6E1E">
      <w:pPr>
        <w:pStyle w:val="Heading4"/>
      </w:pPr>
      <w:r w:rsidRPr="00A452F2">
        <w:t>Points to Note</w:t>
      </w:r>
    </w:p>
    <w:p w14:paraId="668DA9FF" w14:textId="54116120" w:rsidR="00B02A87" w:rsidRPr="00C41565" w:rsidRDefault="00B02A87" w:rsidP="00C41565">
      <w:pPr>
        <w:pStyle w:val="Bullet"/>
      </w:pPr>
      <w:r>
        <w:t xml:space="preserve">add </w:t>
      </w:r>
      <w:r w:rsidRPr="00C41565">
        <w:t xml:space="preserve">a line chart to automatically show the selected VM usage. Add the CPU usage also to see correlation between disk </w:t>
      </w:r>
      <w:r w:rsidR="0085375A" w:rsidRPr="00C41565">
        <w:t>and CPU.</w:t>
      </w:r>
    </w:p>
    <w:p w14:paraId="3756A4D0" w14:textId="217D7F69" w:rsidR="004113A7" w:rsidRPr="00C41565" w:rsidRDefault="004113A7" w:rsidP="00C41565">
      <w:pPr>
        <w:pStyle w:val="Bullet"/>
      </w:pPr>
      <w:r w:rsidRPr="00C41565">
        <w:t xml:space="preserve">Group the VM by clusters of the same class of service (e.g. Gold), so you can see the profile for each environment. </w:t>
      </w:r>
    </w:p>
    <w:p w14:paraId="11FD9B81" w14:textId="77777777" w:rsidR="004113A7" w:rsidRPr="00FD554D" w:rsidRDefault="004113A7" w:rsidP="00C41565">
      <w:pPr>
        <w:pStyle w:val="Bullet"/>
      </w:pPr>
      <w:r w:rsidRPr="00C41565">
        <w:t>For smaller</w:t>
      </w:r>
      <w:r w:rsidRPr="00FD554D">
        <w:t xml:space="preserve"> environment, change the table from listing data centers to listing clusters.</w:t>
      </w:r>
    </w:p>
    <w:p w14:paraId="49435278" w14:textId="3D396ED7" w:rsidR="004113A7" w:rsidRPr="00A452F2" w:rsidRDefault="004113A7" w:rsidP="004113A7">
      <w:pPr>
        <w:pStyle w:val="Bullet"/>
        <w:rPr>
          <w:lang w:val="en-GB"/>
        </w:rPr>
      </w:pPr>
      <w:r w:rsidRPr="00FD554D">
        <w:t>For</w:t>
      </w:r>
      <w:r>
        <w:rPr>
          <w:lang w:val="en-GB"/>
        </w:rPr>
        <w:t xml:space="preserve"> larger environment, add a distribution chart so you can see the spread of the </w:t>
      </w:r>
      <w:r w:rsidR="008D3A3F">
        <w:rPr>
          <w:lang w:val="en-GB"/>
        </w:rPr>
        <w:t>metrics</w:t>
      </w:r>
      <w:r>
        <w:rPr>
          <w:lang w:val="en-GB"/>
        </w:rPr>
        <w:t>.</w:t>
      </w:r>
    </w:p>
    <w:p w14:paraId="434654A8" w14:textId="59D760C7" w:rsidR="00DE266F" w:rsidRDefault="00A42C56" w:rsidP="00540F68">
      <w:pPr>
        <w:pStyle w:val="Heading3"/>
      </w:pPr>
      <w:r>
        <w:t>Compute</w:t>
      </w:r>
      <w:r w:rsidR="00DE266F" w:rsidRPr="00A452F2">
        <w:t xml:space="preserve"> </w:t>
      </w:r>
      <w:r w:rsidR="008478D9">
        <w:t>Performance</w:t>
      </w:r>
    </w:p>
    <w:p w14:paraId="444B6377" w14:textId="77777777" w:rsidR="00A42C56" w:rsidRDefault="00A528BD" w:rsidP="00A528BD">
      <w:pPr>
        <w:rPr>
          <w:lang w:val="en-GB"/>
        </w:rPr>
      </w:pPr>
      <w:r>
        <w:rPr>
          <w:lang w:val="en-GB"/>
        </w:rPr>
        <w:t>This dashboard</w:t>
      </w:r>
      <w:r w:rsidR="00A42C56">
        <w:rPr>
          <w:lang w:val="en-GB"/>
        </w:rPr>
        <w:t xml:space="preserve"> covers vSphere Cluster, ESXi host and resource pools, hence the generic name </w:t>
      </w:r>
      <w:r w:rsidR="00A42C56" w:rsidRPr="00A42C56">
        <w:rPr>
          <w:color w:val="00B0F0"/>
          <w:lang w:val="en-GB"/>
        </w:rPr>
        <w:t>compute</w:t>
      </w:r>
      <w:r w:rsidR="00A42C56">
        <w:rPr>
          <w:lang w:val="en-GB"/>
        </w:rPr>
        <w:t xml:space="preserve"> is adopted</w:t>
      </w:r>
      <w:r w:rsidR="004E063D">
        <w:rPr>
          <w:lang w:val="en-GB"/>
        </w:rPr>
        <w:t>.</w:t>
      </w:r>
      <w:r w:rsidR="0051014F">
        <w:rPr>
          <w:lang w:val="en-GB"/>
        </w:rPr>
        <w:t xml:space="preserve"> </w:t>
      </w:r>
    </w:p>
    <w:p w14:paraId="66EDA2A8" w14:textId="02B59048" w:rsidR="00A528BD" w:rsidRDefault="00A42C56" w:rsidP="00A528BD">
      <w:pPr>
        <w:rPr>
          <w:lang w:val="en-GB"/>
        </w:rPr>
      </w:pPr>
      <w:r>
        <w:rPr>
          <w:lang w:val="en-GB"/>
        </w:rPr>
        <w:lastRenderedPageBreak/>
        <w:t>Design wise, w</w:t>
      </w:r>
      <w:r w:rsidR="0051014F">
        <w:rPr>
          <w:lang w:val="en-GB"/>
        </w:rPr>
        <w:t>hile we can further add analysis, I feel it’s not worth the cost of complexity.</w:t>
      </w:r>
      <w:r w:rsidR="00A268D1">
        <w:rPr>
          <w:lang w:val="en-GB"/>
        </w:rPr>
        <w:t xml:space="preserve"> </w:t>
      </w:r>
      <w:r w:rsidR="0071287D">
        <w:rPr>
          <w:lang w:val="en-GB"/>
        </w:rPr>
        <w:t>I understand the very large customers may want to add more</w:t>
      </w:r>
      <w:r w:rsidR="00E30283">
        <w:rPr>
          <w:lang w:val="en-GB"/>
        </w:rPr>
        <w:t xml:space="preserve"> analysis</w:t>
      </w:r>
      <w:r w:rsidR="0071287D">
        <w:rPr>
          <w:lang w:val="en-GB"/>
        </w:rPr>
        <w:t>. If you are one of those, drop me a note.</w:t>
      </w:r>
    </w:p>
    <w:p w14:paraId="59BFA9BA" w14:textId="32AA134E" w:rsidR="00004416" w:rsidRPr="00A42C56" w:rsidRDefault="00004416" w:rsidP="00A42C56">
      <w:pPr>
        <w:pStyle w:val="Heading4"/>
        <w:rPr>
          <w:rStyle w:val="eop"/>
        </w:rPr>
      </w:pPr>
      <w:r w:rsidRPr="00A42C56">
        <w:rPr>
          <w:rStyle w:val="eop"/>
        </w:rPr>
        <w:t>Overall Analysis</w:t>
      </w:r>
    </w:p>
    <w:p w14:paraId="41B365B6" w14:textId="2FDFBEED" w:rsidR="00A42C56" w:rsidRDefault="00A42C56" w:rsidP="00A42C56">
      <w:pPr>
        <w:rPr>
          <w:lang w:val="en-GB" w:eastAsia="en-SG"/>
        </w:rPr>
      </w:pPr>
      <w:r>
        <w:rPr>
          <w:lang w:val="en-GB" w:eastAsia="en-SG"/>
        </w:rPr>
        <w:t>2 color-coded trend chart are provided.</w:t>
      </w:r>
    </w:p>
    <w:p w14:paraId="386A45AE" w14:textId="6415C5B2" w:rsidR="00A42C56" w:rsidRDefault="00A42C56" w:rsidP="00A42C56">
      <w:pPr>
        <w:rPr>
          <w:lang w:val="en-GB" w:eastAsia="en-SG"/>
        </w:rPr>
      </w:pPr>
      <w:r>
        <w:rPr>
          <w:lang w:val="en-GB" w:eastAsia="en-SG"/>
        </w:rPr>
        <w:t>The first one gives the overall performance. Expect this to be steady, especially in a large environment.</w:t>
      </w:r>
    </w:p>
    <w:p w14:paraId="3BBCCCCD" w14:textId="0E383C1E" w:rsidR="00A42C56" w:rsidRDefault="00A42C56" w:rsidP="00A42C56">
      <w:pPr>
        <w:rPr>
          <w:lang w:val="en-GB" w:eastAsia="en-SG"/>
        </w:rPr>
      </w:pPr>
      <w:r>
        <w:rPr>
          <w:lang w:val="en-GB" w:eastAsia="en-SG"/>
        </w:rPr>
        <w:t xml:space="preserve">The second one complements it by showing the count of clusters that are no longer in the </w:t>
      </w:r>
      <w:r w:rsidR="0022569A" w:rsidRPr="0022569A">
        <w:rPr>
          <w:color w:val="00B050"/>
          <w:lang w:val="en-GB" w:eastAsia="en-SG"/>
        </w:rPr>
        <w:t>green</w:t>
      </w:r>
      <w:r>
        <w:rPr>
          <w:lang w:val="en-GB" w:eastAsia="en-SG"/>
        </w:rPr>
        <w:t xml:space="preserve"> zone. If your problem is isolated, the first counter may miss.</w:t>
      </w:r>
    </w:p>
    <w:p w14:paraId="6735A6D1" w14:textId="7705CC7D" w:rsidR="00A42C56" w:rsidRPr="00A42C56" w:rsidRDefault="00A42C56" w:rsidP="00A42C56">
      <w:pPr>
        <w:pStyle w:val="Heading5"/>
        <w:rPr>
          <w:lang w:eastAsia="en-SG"/>
        </w:rPr>
      </w:pPr>
      <w:r>
        <w:rPr>
          <w:lang w:eastAsia="en-SG"/>
        </w:rPr>
        <w:t>Average Performance</w:t>
      </w:r>
    </w:p>
    <w:p w14:paraId="153D2BB1" w14:textId="6CB20585" w:rsidR="001D7D5A" w:rsidRDefault="001D7D5A" w:rsidP="001D7D5A">
      <w:pPr>
        <w:rPr>
          <w:lang w:val="en-GB"/>
        </w:rPr>
      </w:pPr>
      <w:r w:rsidRPr="00A452F2">
        <w:rPr>
          <w:lang w:val="en-GB"/>
        </w:rPr>
        <w:t>Look at the “</w:t>
      </w:r>
      <w:r w:rsidRPr="00B92110">
        <w:rPr>
          <w:color w:val="00B0F0"/>
          <w:lang w:val="en-GB"/>
        </w:rPr>
        <w:t>Average Cluster Performance (%)</w:t>
      </w:r>
      <w:r w:rsidRPr="00A452F2">
        <w:rPr>
          <w:lang w:val="en-GB"/>
        </w:rPr>
        <w:t>” health chart</w:t>
      </w:r>
      <w:r>
        <w:rPr>
          <w:lang w:val="en-GB"/>
        </w:rPr>
        <w:t xml:space="preserve"> at the top of the dashboard.</w:t>
      </w:r>
      <w:r w:rsidR="00894CB4">
        <w:rPr>
          <w:lang w:val="en-GB"/>
        </w:rPr>
        <w:t xml:space="preserve"> </w:t>
      </w:r>
      <w:r w:rsidR="00A521CA">
        <w:rPr>
          <w:lang w:val="en-GB"/>
        </w:rPr>
        <w:t>I</w:t>
      </w:r>
      <w:r w:rsidR="00894CB4">
        <w:rPr>
          <w:lang w:val="en-GB"/>
        </w:rPr>
        <w:t>n a high performing environment, where all the clusters are doing well, you will see something like this.</w:t>
      </w:r>
      <w:r w:rsidR="006C5576" w:rsidRPr="006C5576">
        <w:rPr>
          <w:lang w:val="en-GB"/>
        </w:rPr>
        <w:t xml:space="preserve"> </w:t>
      </w:r>
    </w:p>
    <w:p w14:paraId="481B15E0" w14:textId="096EAAE8" w:rsidR="001D7D5A" w:rsidRDefault="6D2DBB20" w:rsidP="00F6120D">
      <w:pPr>
        <w:rPr>
          <w:lang w:val="en-GB"/>
        </w:rPr>
      </w:pPr>
      <w:r>
        <w:rPr>
          <w:noProof/>
        </w:rPr>
        <w:drawing>
          <wp:inline distT="0" distB="0" distL="0" distR="0" wp14:anchorId="759F41FF" wp14:editId="07DD38DE">
            <wp:extent cx="6645910" cy="817880"/>
            <wp:effectExtent l="0" t="0" r="2540" b="1270"/>
            <wp:docPr id="606394220" name="Picture 60639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20"/>
                    <pic:cNvPicPr/>
                  </pic:nvPicPr>
                  <pic:blipFill>
                    <a:blip r:embed="rId1062">
                      <a:extLst>
                        <a:ext uri="{28A0092B-C50C-407E-A947-70E740481C1C}">
                          <a14:useLocalDpi xmlns:a14="http://schemas.microsoft.com/office/drawing/2010/main" val="0"/>
                        </a:ext>
                      </a:extLst>
                    </a:blip>
                    <a:stretch>
                      <a:fillRect/>
                    </a:stretch>
                  </pic:blipFill>
                  <pic:spPr>
                    <a:xfrm>
                      <a:off x="0" y="0"/>
                      <a:ext cx="6645910" cy="817880"/>
                    </a:xfrm>
                    <a:prstGeom prst="rect">
                      <a:avLst/>
                    </a:prstGeom>
                  </pic:spPr>
                </pic:pic>
              </a:graphicData>
            </a:graphic>
          </wp:inline>
        </w:drawing>
      </w:r>
    </w:p>
    <w:p w14:paraId="10024800" w14:textId="6EF78907" w:rsidR="004B60E8" w:rsidRDefault="00145222" w:rsidP="00F6120D">
      <w:pPr>
        <w:rPr>
          <w:lang w:val="en-GB"/>
        </w:rPr>
      </w:pPr>
      <w:r w:rsidRPr="4CAB3972">
        <w:rPr>
          <w:lang w:val="en-GB"/>
        </w:rPr>
        <w:t xml:space="preserve">There was only one occurrence where the </w:t>
      </w:r>
      <w:r w:rsidR="00E65E9E">
        <w:rPr>
          <w:lang w:val="en-GB"/>
        </w:rPr>
        <w:t>color</w:t>
      </w:r>
      <w:r w:rsidRPr="4CAB3972">
        <w:rPr>
          <w:lang w:val="en-GB"/>
        </w:rPr>
        <w:t xml:space="preserve"> is not </w:t>
      </w:r>
      <w:r w:rsidR="0022569A" w:rsidRPr="0022569A">
        <w:rPr>
          <w:color w:val="00B050"/>
          <w:lang w:val="en-GB"/>
        </w:rPr>
        <w:t>green</w:t>
      </w:r>
      <w:r w:rsidRPr="4CAB3972">
        <w:rPr>
          <w:lang w:val="en-GB"/>
        </w:rPr>
        <w:t>. At that time, the</w:t>
      </w:r>
      <w:r w:rsidR="00E76AF6" w:rsidRPr="4CAB3972">
        <w:rPr>
          <w:lang w:val="en-GB"/>
        </w:rPr>
        <w:t xml:space="preserve"> actual</w:t>
      </w:r>
      <w:r w:rsidRPr="4CAB3972">
        <w:rPr>
          <w:lang w:val="en-GB"/>
        </w:rPr>
        <w:t xml:space="preserve"> value is also relatively good</w:t>
      </w:r>
      <w:r w:rsidR="00397EF2" w:rsidRPr="4CAB3972">
        <w:rPr>
          <w:lang w:val="en-GB"/>
        </w:rPr>
        <w:t>.</w:t>
      </w:r>
    </w:p>
    <w:p w14:paraId="492379B3" w14:textId="22E1FF02" w:rsidR="00541DCE" w:rsidRDefault="00541DCE" w:rsidP="00F6120D">
      <w:pPr>
        <w:rPr>
          <w:lang w:val="en-GB"/>
        </w:rPr>
      </w:pPr>
      <w:r>
        <w:rPr>
          <w:lang w:val="en-GB"/>
        </w:rPr>
        <w:t>In this c</w:t>
      </w:r>
      <w:r w:rsidR="003A6640">
        <w:rPr>
          <w:lang w:val="en-GB"/>
        </w:rPr>
        <w:t>ase, all is good and you may not need to look further.</w:t>
      </w:r>
    </w:p>
    <w:p w14:paraId="09076993" w14:textId="10CFD3F0" w:rsidR="001D7D5A" w:rsidRDefault="00A521CA" w:rsidP="00F6120D">
      <w:pPr>
        <w:rPr>
          <w:lang w:val="en-GB"/>
        </w:rPr>
      </w:pPr>
      <w:r>
        <w:rPr>
          <w:lang w:val="en-GB"/>
        </w:rPr>
        <w:t xml:space="preserve">On the other hand, if the clusters are unable to serve </w:t>
      </w:r>
      <w:r w:rsidR="00AA6A40">
        <w:rPr>
          <w:lang w:val="en-GB"/>
        </w:rPr>
        <w:t>the</w:t>
      </w:r>
      <w:r w:rsidR="005D0A94">
        <w:rPr>
          <w:lang w:val="en-GB"/>
        </w:rPr>
        <w:t xml:space="preserve"> VMs well, you will see something like this</w:t>
      </w:r>
      <w:r w:rsidR="004B60E8">
        <w:rPr>
          <w:lang w:val="en-GB"/>
        </w:rPr>
        <w:t>.</w:t>
      </w:r>
    </w:p>
    <w:p w14:paraId="07866CF6" w14:textId="4C1F7C6F" w:rsidR="000156F1" w:rsidRDefault="28028ECB" w:rsidP="00F6120D">
      <w:pPr>
        <w:rPr>
          <w:lang w:val="en-GB"/>
        </w:rPr>
      </w:pPr>
      <w:r>
        <w:rPr>
          <w:noProof/>
        </w:rPr>
        <w:drawing>
          <wp:inline distT="0" distB="0" distL="0" distR="0" wp14:anchorId="7921673E" wp14:editId="4CDB3F6A">
            <wp:extent cx="6645910" cy="830580"/>
            <wp:effectExtent l="0" t="0" r="2540" b="7620"/>
            <wp:docPr id="606394222" name="Picture 60639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22"/>
                    <pic:cNvPicPr/>
                  </pic:nvPicPr>
                  <pic:blipFill>
                    <a:blip r:embed="rId1063">
                      <a:extLst>
                        <a:ext uri="{28A0092B-C50C-407E-A947-70E740481C1C}">
                          <a14:useLocalDpi xmlns:a14="http://schemas.microsoft.com/office/drawing/2010/main" val="0"/>
                        </a:ext>
                      </a:extLst>
                    </a:blip>
                    <a:stretch>
                      <a:fillRect/>
                    </a:stretch>
                  </pic:blipFill>
                  <pic:spPr>
                    <a:xfrm>
                      <a:off x="0" y="0"/>
                      <a:ext cx="6645910" cy="830580"/>
                    </a:xfrm>
                    <a:prstGeom prst="rect">
                      <a:avLst/>
                    </a:prstGeom>
                  </pic:spPr>
                </pic:pic>
              </a:graphicData>
            </a:graphic>
          </wp:inline>
        </w:drawing>
      </w:r>
    </w:p>
    <w:p w14:paraId="6EF58D2E" w14:textId="1CA81CD8" w:rsidR="00397EF2" w:rsidRDefault="00397EF2" w:rsidP="00F6120D">
      <w:pPr>
        <w:rPr>
          <w:lang w:val="en-GB"/>
        </w:rPr>
      </w:pPr>
      <w:r>
        <w:rPr>
          <w:lang w:val="en-GB"/>
        </w:rPr>
        <w:t xml:space="preserve">The average among all the clusters </w:t>
      </w:r>
      <w:r w:rsidR="005A4A27">
        <w:rPr>
          <w:lang w:val="en-GB"/>
        </w:rPr>
        <w:t>is</w:t>
      </w:r>
      <w:r>
        <w:rPr>
          <w:lang w:val="en-GB"/>
        </w:rPr>
        <w:t xml:space="preserve"> </w:t>
      </w:r>
      <w:r w:rsidR="00BD5B17">
        <w:rPr>
          <w:lang w:val="en-GB"/>
        </w:rPr>
        <w:t xml:space="preserve">no longer </w:t>
      </w:r>
      <w:r w:rsidR="0022569A" w:rsidRPr="0022569A">
        <w:rPr>
          <w:color w:val="00B050"/>
          <w:lang w:val="en-GB"/>
        </w:rPr>
        <w:t>green</w:t>
      </w:r>
      <w:r w:rsidR="00F7633C">
        <w:rPr>
          <w:lang w:val="en-GB"/>
        </w:rPr>
        <w:t xml:space="preserve">, with a few </w:t>
      </w:r>
      <w:r w:rsidR="00137107">
        <w:rPr>
          <w:lang w:val="en-GB"/>
        </w:rPr>
        <w:t>occurrences</w:t>
      </w:r>
      <w:r w:rsidR="00F7633C">
        <w:rPr>
          <w:lang w:val="en-GB"/>
        </w:rPr>
        <w:t xml:space="preserve"> of </w:t>
      </w:r>
      <w:r w:rsidR="00F7633C" w:rsidRPr="00D466D0">
        <w:rPr>
          <w:color w:val="FF0000"/>
          <w:lang w:val="en-GB"/>
        </w:rPr>
        <w:t>red</w:t>
      </w:r>
      <w:r w:rsidR="005A4A27" w:rsidRPr="00D466D0">
        <w:rPr>
          <w:color w:val="FF0000"/>
          <w:lang w:val="en-GB"/>
        </w:rPr>
        <w:t>s</w:t>
      </w:r>
      <w:r w:rsidR="005A4A27">
        <w:rPr>
          <w:lang w:val="en-GB"/>
        </w:rPr>
        <w:t>.</w:t>
      </w:r>
      <w:r w:rsidR="00E76AF6">
        <w:rPr>
          <w:lang w:val="en-GB"/>
        </w:rPr>
        <w:t xml:space="preserve"> The good part is the value does not trend downwards. </w:t>
      </w:r>
      <w:r w:rsidR="00C518DF">
        <w:rPr>
          <w:lang w:val="en-GB"/>
        </w:rPr>
        <w:t xml:space="preserve">Check if this is normal in your environment. </w:t>
      </w:r>
    </w:p>
    <w:p w14:paraId="38675B3B" w14:textId="518CF1B5" w:rsidR="00BF7047" w:rsidRDefault="00BF7047" w:rsidP="00BF7047">
      <w:pPr>
        <w:rPr>
          <w:lang w:val="en-GB"/>
        </w:rPr>
      </w:pPr>
      <w:r w:rsidRPr="4C8B4F60">
        <w:rPr>
          <w:lang w:val="en-GB"/>
        </w:rPr>
        <w:t xml:space="preserve">As this KPI takes into account </w:t>
      </w:r>
      <w:r w:rsidRPr="008B1A93">
        <w:rPr>
          <w:i/>
          <w:iCs/>
          <w:color w:val="00B0F0"/>
          <w:lang w:val="en-GB"/>
        </w:rPr>
        <w:t>every single running V</w:t>
      </w:r>
      <w:r w:rsidR="008B1A93">
        <w:rPr>
          <w:i/>
          <w:iCs/>
          <w:color w:val="00B0F0"/>
          <w:lang w:val="en-GB"/>
        </w:rPr>
        <w:t>Ms</w:t>
      </w:r>
      <w:r w:rsidRPr="008B1A93">
        <w:rPr>
          <w:lang w:val="en-GB"/>
        </w:rPr>
        <w:t xml:space="preserve"> </w:t>
      </w:r>
      <w:r w:rsidRPr="4C8B4F60">
        <w:rPr>
          <w:lang w:val="en-GB"/>
        </w:rPr>
        <w:t>in your environment, the number should be steady, especially in a large environment. The analogy in real life is the stock market index. While individual stocks can be volatile</w:t>
      </w:r>
      <w:r w:rsidR="00FF7509" w:rsidRPr="4C8B4F60">
        <w:rPr>
          <w:lang w:val="en-GB"/>
        </w:rPr>
        <w:t xml:space="preserve"> on a 5 minute by 5 minute basis</w:t>
      </w:r>
      <w:r w:rsidRPr="4C8B4F60">
        <w:rPr>
          <w:lang w:val="en-GB"/>
        </w:rPr>
        <w:t>, the overall index should be relatively steady.</w:t>
      </w:r>
      <w:r w:rsidR="00133210" w:rsidRPr="4C8B4F60">
        <w:rPr>
          <w:lang w:val="en-GB"/>
        </w:rPr>
        <w:t xml:space="preserve"> A big drop is called </w:t>
      </w:r>
      <w:r w:rsidR="2D76791C" w:rsidRPr="4C8B4F60">
        <w:rPr>
          <w:lang w:val="en-GB"/>
        </w:rPr>
        <w:t xml:space="preserve">a </w:t>
      </w:r>
      <w:r w:rsidR="00133210" w:rsidRPr="4C8B4F60">
        <w:rPr>
          <w:lang w:val="en-GB"/>
        </w:rPr>
        <w:t>market crash and that’s not something you want in your environment.</w:t>
      </w:r>
      <w:r w:rsidR="009F2D90">
        <w:rPr>
          <w:lang w:val="en-GB"/>
        </w:rPr>
        <w:t xml:space="preserve"> So a drop like the following warrants an immediate investigation.</w:t>
      </w:r>
    </w:p>
    <w:p w14:paraId="162E4702" w14:textId="20E91194" w:rsidR="009F2D90" w:rsidRPr="00A452F2" w:rsidRDefault="009F2D90" w:rsidP="00BF7047">
      <w:pPr>
        <w:rPr>
          <w:lang w:val="en-GB"/>
        </w:rPr>
      </w:pPr>
      <w:r w:rsidRPr="009F2D90">
        <w:rPr>
          <w:noProof/>
          <w:lang w:val="en-GB"/>
        </w:rPr>
        <w:lastRenderedPageBreak/>
        <w:drawing>
          <wp:inline distT="0" distB="0" distL="0" distR="0" wp14:anchorId="285431D6" wp14:editId="61DE7D96">
            <wp:extent cx="6645910" cy="840740"/>
            <wp:effectExtent l="0" t="0" r="2540" b="0"/>
            <wp:docPr id="918289641" name="Picture 918289641"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41" name="Picture 918289641" descr="A picture containing chart&#10;&#10;Description automatically generated"/>
                    <pic:cNvPicPr/>
                  </pic:nvPicPr>
                  <pic:blipFill>
                    <a:blip r:embed="rId1064"/>
                    <a:stretch>
                      <a:fillRect/>
                    </a:stretch>
                  </pic:blipFill>
                  <pic:spPr>
                    <a:xfrm>
                      <a:off x="0" y="0"/>
                      <a:ext cx="6645910" cy="840740"/>
                    </a:xfrm>
                    <a:prstGeom prst="rect">
                      <a:avLst/>
                    </a:prstGeom>
                  </pic:spPr>
                </pic:pic>
              </a:graphicData>
            </a:graphic>
          </wp:inline>
        </w:drawing>
      </w:r>
    </w:p>
    <w:p w14:paraId="7023B960" w14:textId="56218662" w:rsidR="00BF7047" w:rsidRPr="00A452F2" w:rsidRDefault="00BF7047" w:rsidP="00BF7047">
      <w:pPr>
        <w:rPr>
          <w:lang w:val="en-GB"/>
        </w:rPr>
      </w:pPr>
      <w:r w:rsidRPr="4C8B4F60">
        <w:rPr>
          <w:lang w:val="en-GB"/>
        </w:rPr>
        <w:t xml:space="preserve">The </w:t>
      </w:r>
      <w:r w:rsidRPr="00D84678">
        <w:rPr>
          <w:color w:val="FF0000"/>
          <w:lang w:val="en-GB"/>
        </w:rPr>
        <w:t xml:space="preserve">relative </w:t>
      </w:r>
      <w:r w:rsidRPr="4C8B4F60">
        <w:rPr>
          <w:lang w:val="en-GB"/>
        </w:rPr>
        <w:t xml:space="preserve">movement of the metric is as important as the </w:t>
      </w:r>
      <w:r w:rsidRPr="00D84678">
        <w:rPr>
          <w:color w:val="FF0000"/>
          <w:lang w:val="en-GB"/>
        </w:rPr>
        <w:t xml:space="preserve">absolute </w:t>
      </w:r>
      <w:r w:rsidRPr="4C8B4F60">
        <w:rPr>
          <w:lang w:val="en-GB"/>
        </w:rPr>
        <w:t xml:space="preserve">value of the metric. Your absolute number may not be as high you wish it to be, but if there </w:t>
      </w:r>
      <w:r w:rsidR="00560325" w:rsidRPr="4C8B4F60">
        <w:rPr>
          <w:lang w:val="en-GB"/>
        </w:rPr>
        <w:t>ha</w:t>
      </w:r>
      <w:r w:rsidR="3C7BCA50" w:rsidRPr="4C8B4F60">
        <w:rPr>
          <w:lang w:val="en-GB"/>
        </w:rPr>
        <w:t>ve</w:t>
      </w:r>
      <w:r w:rsidR="00560325" w:rsidRPr="4C8B4F60">
        <w:rPr>
          <w:lang w:val="en-GB"/>
        </w:rPr>
        <w:t xml:space="preserve"> been</w:t>
      </w:r>
      <w:r w:rsidRPr="4C8B4F60">
        <w:rPr>
          <w:lang w:val="en-GB"/>
        </w:rPr>
        <w:t xml:space="preserve"> no complaints for a long time, then perhaps there is no urgent business justification to improve it.</w:t>
      </w:r>
    </w:p>
    <w:p w14:paraId="08C9A9F6" w14:textId="048AB58F" w:rsidR="00F7633C" w:rsidRDefault="00A02419" w:rsidP="00F6120D">
      <w:pPr>
        <w:rPr>
          <w:lang w:val="en-GB"/>
        </w:rPr>
      </w:pPr>
      <w:r>
        <w:rPr>
          <w:lang w:val="en-GB"/>
        </w:rPr>
        <w:t xml:space="preserve">As the chart shows all the clusters, it uses the </w:t>
      </w:r>
      <w:r w:rsidR="00E01CCF" w:rsidRPr="00BE19E1">
        <w:rPr>
          <w:color w:val="00B0F0"/>
          <w:lang w:val="en-GB"/>
        </w:rPr>
        <w:t xml:space="preserve">vSphere </w:t>
      </w:r>
      <w:r w:rsidRPr="00BE19E1">
        <w:rPr>
          <w:color w:val="00B0F0"/>
          <w:lang w:val="en-GB"/>
        </w:rPr>
        <w:t xml:space="preserve">World </w:t>
      </w:r>
      <w:r>
        <w:rPr>
          <w:lang w:val="en-GB"/>
        </w:rPr>
        <w:t>object</w:t>
      </w:r>
      <w:r w:rsidR="00E01CCF">
        <w:rPr>
          <w:lang w:val="en-GB"/>
        </w:rPr>
        <w:t>. This object is the parent of vCenter object</w:t>
      </w:r>
      <w:r w:rsidR="00AE379D">
        <w:rPr>
          <w:lang w:val="en-GB"/>
        </w:rPr>
        <w:t xml:space="preserve">, so it will show all clusters from all vCenter, making it suitable </w:t>
      </w:r>
      <w:r w:rsidR="0038483E">
        <w:rPr>
          <w:lang w:val="en-GB"/>
        </w:rPr>
        <w:t xml:space="preserve">when you want to show everything. </w:t>
      </w:r>
    </w:p>
    <w:p w14:paraId="28CE4E40" w14:textId="27843136" w:rsidR="0038483E" w:rsidRDefault="0038483E" w:rsidP="00F6120D">
      <w:pPr>
        <w:rPr>
          <w:lang w:val="en-GB"/>
        </w:rPr>
      </w:pPr>
      <w:r>
        <w:rPr>
          <w:lang w:val="en-GB"/>
        </w:rPr>
        <w:t xml:space="preserve">The actual metric used is </w:t>
      </w:r>
      <w:r w:rsidR="00E16182" w:rsidRPr="0099399F">
        <w:rPr>
          <w:color w:val="00B0F0"/>
        </w:rPr>
        <w:t>Performance</w:t>
      </w:r>
      <w:r w:rsidR="00AB2A4F" w:rsidRPr="0099399F">
        <w:rPr>
          <w:color w:val="00B0F0"/>
        </w:rPr>
        <w:t xml:space="preserve"> \ </w:t>
      </w:r>
      <w:r w:rsidR="00E16182" w:rsidRPr="0099399F">
        <w:rPr>
          <w:color w:val="00B0F0"/>
        </w:rPr>
        <w:t>Clusters Performance (%)</w:t>
      </w:r>
      <w:r w:rsidR="00E16182">
        <w:rPr>
          <w:lang w:val="en-GB"/>
        </w:rPr>
        <w:t xml:space="preserve">, as shown in the following </w:t>
      </w:r>
      <w:r w:rsidR="006C5576">
        <w:rPr>
          <w:lang w:val="en-GB"/>
        </w:rPr>
        <w:t>dialog box.</w:t>
      </w:r>
      <w:r w:rsidR="00E8224B" w:rsidRPr="00E8224B">
        <w:rPr>
          <w:lang w:val="en-GB"/>
        </w:rPr>
        <w:t xml:space="preserve"> </w:t>
      </w:r>
      <w:r w:rsidR="00E8224B" w:rsidRPr="00A452F2">
        <w:rPr>
          <w:lang w:val="en-GB"/>
        </w:rPr>
        <w:t>This is the primary KPI for your entire IaaS. It plots how your IaaS is performing every 5 minutes, giving you the trend view of overall performance</w:t>
      </w:r>
      <w:r w:rsidR="00E8224B">
        <w:rPr>
          <w:lang w:val="en-GB"/>
        </w:rPr>
        <w:t>.</w:t>
      </w:r>
    </w:p>
    <w:p w14:paraId="3B05E102" w14:textId="3739C95E" w:rsidR="00894CB4" w:rsidRPr="00A452F2" w:rsidRDefault="170A252E" w:rsidP="00A25632">
      <w:pPr>
        <w:jc w:val="center"/>
        <w:rPr>
          <w:lang w:val="en-GB"/>
        </w:rPr>
      </w:pPr>
      <w:r>
        <w:rPr>
          <w:noProof/>
        </w:rPr>
        <w:drawing>
          <wp:inline distT="0" distB="0" distL="0" distR="0" wp14:anchorId="708460A9" wp14:editId="121CAA24">
            <wp:extent cx="5648962" cy="2735422"/>
            <wp:effectExtent l="0" t="0" r="0" b="8255"/>
            <wp:docPr id="606394221" name="Picture 606394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21"/>
                    <pic:cNvPicPr/>
                  </pic:nvPicPr>
                  <pic:blipFill>
                    <a:blip r:embed="rId1065">
                      <a:extLst>
                        <a:ext uri="{28A0092B-C50C-407E-A947-70E740481C1C}">
                          <a14:useLocalDpi xmlns:a14="http://schemas.microsoft.com/office/drawing/2010/main" val="0"/>
                        </a:ext>
                      </a:extLst>
                    </a:blip>
                    <a:stretch>
                      <a:fillRect/>
                    </a:stretch>
                  </pic:blipFill>
                  <pic:spPr>
                    <a:xfrm>
                      <a:off x="0" y="0"/>
                      <a:ext cx="5648962" cy="2735422"/>
                    </a:xfrm>
                    <a:prstGeom prst="rect">
                      <a:avLst/>
                    </a:prstGeom>
                  </pic:spPr>
                </pic:pic>
              </a:graphicData>
            </a:graphic>
          </wp:inline>
        </w:drawing>
      </w:r>
    </w:p>
    <w:p w14:paraId="226D74C0" w14:textId="5B7CB1A0" w:rsidR="008B1A93" w:rsidRDefault="008B1A93" w:rsidP="00AB2A4F">
      <w:pPr>
        <w:rPr>
          <w:lang w:val="en-GB"/>
        </w:rPr>
      </w:pPr>
      <w:r>
        <w:rPr>
          <w:lang w:val="en-GB"/>
        </w:rPr>
        <w:t>What is this metric based on?</w:t>
      </w:r>
    </w:p>
    <w:p w14:paraId="4E5C3BF8" w14:textId="77777777" w:rsidR="00237072" w:rsidRDefault="00303EBD" w:rsidP="00AB2A4F">
      <w:pPr>
        <w:rPr>
          <w:lang w:val="en-GB"/>
        </w:rPr>
      </w:pPr>
      <w:r>
        <w:rPr>
          <w:lang w:val="en-GB"/>
        </w:rPr>
        <w:t xml:space="preserve">It </w:t>
      </w:r>
      <w:r w:rsidR="00057EC2" w:rsidRPr="00A452F2">
        <w:rPr>
          <w:lang w:val="en-GB"/>
        </w:rPr>
        <w:t xml:space="preserve">is simply the average of </w:t>
      </w:r>
      <w:r w:rsidR="00610B80" w:rsidRPr="00B26A0F">
        <w:rPr>
          <w:color w:val="00B0F0"/>
        </w:rPr>
        <w:t xml:space="preserve">Cluster </w:t>
      </w:r>
      <w:r w:rsidR="00BF2B7B" w:rsidRPr="00B26A0F">
        <w:rPr>
          <w:color w:val="00B0F0"/>
        </w:rPr>
        <w:t xml:space="preserve">KPI \ </w:t>
      </w:r>
      <w:r w:rsidR="00610B80" w:rsidRPr="00B26A0F">
        <w:rPr>
          <w:color w:val="00B0F0"/>
        </w:rPr>
        <w:t xml:space="preserve">Performance (%) </w:t>
      </w:r>
      <w:r w:rsidR="00610B80" w:rsidRPr="00B5718D">
        <w:t xml:space="preserve">metric. </w:t>
      </w:r>
      <w:r w:rsidR="00A14B56" w:rsidRPr="00B5718D">
        <w:t>Th</w:t>
      </w:r>
      <w:r w:rsidR="006114AA" w:rsidRPr="00B5718D">
        <w:t>is</w:t>
      </w:r>
      <w:r w:rsidR="00A14B56" w:rsidRPr="00B5718D">
        <w:t xml:space="preserve"> performance metric in turn </w:t>
      </w:r>
      <w:r w:rsidR="002478E9" w:rsidRPr="00B5718D">
        <w:t>average</w:t>
      </w:r>
      <w:r w:rsidR="0007769A" w:rsidRPr="00B5718D">
        <w:t xml:space="preserve">s </w:t>
      </w:r>
      <w:r w:rsidR="008C5082" w:rsidRPr="00B5718D">
        <w:t xml:space="preserve">the </w:t>
      </w:r>
      <w:r w:rsidR="00EB04E6" w:rsidRPr="00B26A0F">
        <w:rPr>
          <w:color w:val="00B0F0"/>
        </w:rPr>
        <w:t xml:space="preserve">VM </w:t>
      </w:r>
      <w:r w:rsidR="00CB353D" w:rsidRPr="00B26A0F">
        <w:rPr>
          <w:color w:val="00B0F0"/>
        </w:rPr>
        <w:t>Performance \ Number of KPIs Breached</w:t>
      </w:r>
      <w:r w:rsidR="00CB353D" w:rsidRPr="00A452F2">
        <w:rPr>
          <w:sz w:val="18"/>
          <w:szCs w:val="18"/>
          <w:lang w:val="en-GB"/>
        </w:rPr>
        <w:t xml:space="preserve"> </w:t>
      </w:r>
      <w:r w:rsidR="00CB353D" w:rsidRPr="00A452F2">
        <w:rPr>
          <w:lang w:val="en-GB"/>
        </w:rPr>
        <w:t xml:space="preserve">metric </w:t>
      </w:r>
      <w:r w:rsidR="00AA2674" w:rsidRPr="00A452F2">
        <w:rPr>
          <w:lang w:val="en-GB"/>
        </w:rPr>
        <w:t xml:space="preserve">from all running VMs </w:t>
      </w:r>
      <w:r w:rsidR="00EB04E6" w:rsidRPr="00A452F2">
        <w:rPr>
          <w:lang w:val="en-GB"/>
        </w:rPr>
        <w:t xml:space="preserve">in the cluster. </w:t>
      </w:r>
      <w:r w:rsidR="00A20237" w:rsidRPr="00A452F2">
        <w:rPr>
          <w:lang w:val="en-GB"/>
        </w:rPr>
        <w:t xml:space="preserve">Hence a value of 100% indicates that every single </w:t>
      </w:r>
      <w:r w:rsidR="00E476AB" w:rsidRPr="00A452F2">
        <w:rPr>
          <w:lang w:val="en-GB"/>
        </w:rPr>
        <w:t xml:space="preserve">running </w:t>
      </w:r>
      <w:r w:rsidR="00A20237" w:rsidRPr="00A452F2">
        <w:rPr>
          <w:lang w:val="en-GB"/>
        </w:rPr>
        <w:t>VM in the cluster is served well</w:t>
      </w:r>
      <w:r w:rsidR="00E476AB" w:rsidRPr="00A452F2">
        <w:rPr>
          <w:lang w:val="en-GB"/>
        </w:rPr>
        <w:t>.</w:t>
      </w:r>
      <w:r w:rsidR="00EB04E6" w:rsidRPr="00A452F2">
        <w:rPr>
          <w:lang w:val="en-GB"/>
        </w:rPr>
        <w:t xml:space="preserve"> </w:t>
      </w:r>
    </w:p>
    <w:p w14:paraId="2D4E2386" w14:textId="165155AF" w:rsidR="00F90951" w:rsidRDefault="00F90951" w:rsidP="00AB2A4F">
      <w:pPr>
        <w:rPr>
          <w:lang w:val="en-GB"/>
        </w:rPr>
      </w:pPr>
      <w:r>
        <w:rPr>
          <w:lang w:val="en-GB"/>
        </w:rPr>
        <w:t xml:space="preserve">More details on the formula </w:t>
      </w:r>
      <w:r w:rsidR="00D24190">
        <w:rPr>
          <w:lang w:val="en-GB"/>
        </w:rPr>
        <w:t>were</w:t>
      </w:r>
      <w:r w:rsidR="00557067">
        <w:rPr>
          <w:lang w:val="en-GB"/>
        </w:rPr>
        <w:t xml:space="preserve"> covered earlier </w:t>
      </w:r>
      <w:hyperlink w:anchor="_Key_Performance_Indicators" w:history="1">
        <w:r w:rsidR="00557067" w:rsidRPr="00557067">
          <w:rPr>
            <w:rStyle w:val="Hyperlink"/>
            <w:lang w:val="en-GB"/>
          </w:rPr>
          <w:t>here</w:t>
        </w:r>
      </w:hyperlink>
      <w:r w:rsidR="00557067">
        <w:rPr>
          <w:lang w:val="en-GB"/>
        </w:rPr>
        <w:t xml:space="preserve"> as it’s an important foundation of IaaS performance KPI.</w:t>
      </w:r>
    </w:p>
    <w:p w14:paraId="23DEF641" w14:textId="2C4D1840" w:rsidR="00A42C56" w:rsidRDefault="00A42C56" w:rsidP="00A42C56">
      <w:pPr>
        <w:pStyle w:val="Heading5"/>
      </w:pPr>
      <w:r>
        <w:t xml:space="preserve">Non </w:t>
      </w:r>
      <w:r w:rsidR="0022569A" w:rsidRPr="0022569A">
        <w:rPr>
          <w:color w:val="00B050"/>
        </w:rPr>
        <w:t>Green</w:t>
      </w:r>
      <w:r>
        <w:t xml:space="preserve"> Clusters </w:t>
      </w:r>
    </w:p>
    <w:p w14:paraId="7E133AAA" w14:textId="60AABB22" w:rsidR="00A42C56" w:rsidRDefault="00A42C56" w:rsidP="00A42C56">
      <w:r>
        <w:rPr>
          <w:lang w:val="en-GB"/>
        </w:rPr>
        <w:t>This trend charts shows the numbe</w:t>
      </w:r>
      <w:r w:rsidR="00D77A29">
        <w:rPr>
          <w:lang w:val="en-GB"/>
        </w:rPr>
        <w:t>r</w:t>
      </w:r>
      <w:r>
        <w:rPr>
          <w:lang w:val="en-GB"/>
        </w:rPr>
        <w:t xml:space="preserve"> of clusters that are no longer in the </w:t>
      </w:r>
      <w:r w:rsidR="0022569A" w:rsidRPr="0022569A">
        <w:rPr>
          <w:color w:val="00B050"/>
          <w:lang w:val="en-GB"/>
        </w:rPr>
        <w:t>green</w:t>
      </w:r>
      <w:r>
        <w:rPr>
          <w:lang w:val="en-GB"/>
        </w:rPr>
        <w:t xml:space="preserve"> zone. Another word, the value of the </w:t>
      </w:r>
      <w:r w:rsidRPr="00B26A0F">
        <w:rPr>
          <w:color w:val="00B0F0"/>
        </w:rPr>
        <w:t xml:space="preserve">Cluster KPI \ Performance (%) </w:t>
      </w:r>
      <w:r w:rsidRPr="00B5718D">
        <w:t>metric</w:t>
      </w:r>
      <w:r>
        <w:t xml:space="preserve"> has gone down below 75%.</w:t>
      </w:r>
    </w:p>
    <w:p w14:paraId="7ADA1B1B" w14:textId="2F9C259E" w:rsidR="00A42C56" w:rsidRPr="00A42C56" w:rsidRDefault="00A42C56" w:rsidP="00A42C56">
      <w:pPr>
        <w:rPr>
          <w:lang w:val="en-GB"/>
        </w:rPr>
      </w:pPr>
      <w:r>
        <w:t>Review the following chart. What trend do you spot in the last 1 week?</w:t>
      </w:r>
    </w:p>
    <w:p w14:paraId="3EB8F654" w14:textId="6C378B9A" w:rsidR="00A42C56" w:rsidRDefault="00A42C56" w:rsidP="00A42C56">
      <w:pPr>
        <w:rPr>
          <w:lang w:val="en-GB"/>
        </w:rPr>
      </w:pPr>
      <w:r w:rsidRPr="00A42C56">
        <w:rPr>
          <w:noProof/>
          <w:lang w:val="en-GB"/>
        </w:rPr>
        <w:lastRenderedPageBreak/>
        <w:drawing>
          <wp:inline distT="0" distB="0" distL="0" distR="0" wp14:anchorId="33EBD215" wp14:editId="37B56586">
            <wp:extent cx="6645910" cy="1664970"/>
            <wp:effectExtent l="0" t="0" r="2540" b="0"/>
            <wp:docPr id="1971069025" name="Picture 1971069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6"/>
                    <a:stretch>
                      <a:fillRect/>
                    </a:stretch>
                  </pic:blipFill>
                  <pic:spPr>
                    <a:xfrm>
                      <a:off x="0" y="0"/>
                      <a:ext cx="6645910" cy="1664970"/>
                    </a:xfrm>
                    <a:prstGeom prst="rect">
                      <a:avLst/>
                    </a:prstGeom>
                  </pic:spPr>
                </pic:pic>
              </a:graphicData>
            </a:graphic>
          </wp:inline>
        </w:drawing>
      </w:r>
    </w:p>
    <w:p w14:paraId="29F3964C" w14:textId="11C924AA" w:rsidR="00A42C56" w:rsidRDefault="00A42C56" w:rsidP="00A42C56">
      <w:pPr>
        <w:rPr>
          <w:lang w:val="en-GB"/>
        </w:rPr>
      </w:pPr>
      <w:r>
        <w:rPr>
          <w:lang w:val="en-GB"/>
        </w:rPr>
        <w:t xml:space="preserve">That’s correct, the number of clusters falling below </w:t>
      </w:r>
      <w:r w:rsidR="0022569A" w:rsidRPr="0022569A">
        <w:rPr>
          <w:color w:val="00B050"/>
          <w:lang w:val="en-GB"/>
        </w:rPr>
        <w:t>green</w:t>
      </w:r>
      <w:r>
        <w:rPr>
          <w:lang w:val="en-GB"/>
        </w:rPr>
        <w:t xml:space="preserve"> zone has gone up from 0 to</w:t>
      </w:r>
      <w:r w:rsidR="00A042E2">
        <w:rPr>
          <w:lang w:val="en-GB"/>
        </w:rPr>
        <w:t xml:space="preserve"> 4.</w:t>
      </w:r>
    </w:p>
    <w:p w14:paraId="3C8CD3EB" w14:textId="77EC4C65" w:rsidR="00A042E2" w:rsidRDefault="00A042E2" w:rsidP="00A42C56">
      <w:pPr>
        <w:rPr>
          <w:lang w:val="en-GB"/>
        </w:rPr>
      </w:pPr>
      <w:r>
        <w:rPr>
          <w:lang w:val="en-GB"/>
        </w:rPr>
        <w:t>Earlier, I wrote that this counter complements the first counter. The following chart is what you get from the 1</w:t>
      </w:r>
      <w:r w:rsidRPr="00A042E2">
        <w:rPr>
          <w:vertAlign w:val="superscript"/>
          <w:lang w:val="en-GB"/>
        </w:rPr>
        <w:t>st</w:t>
      </w:r>
      <w:r>
        <w:rPr>
          <w:lang w:val="en-GB"/>
        </w:rPr>
        <w:t xml:space="preserve"> counter. Notice it’s hard to deduce that 3-4 clusters have fallen below the </w:t>
      </w:r>
      <w:r w:rsidR="0022569A" w:rsidRPr="0022569A">
        <w:rPr>
          <w:color w:val="00B050"/>
          <w:lang w:val="en-GB"/>
        </w:rPr>
        <w:t>green</w:t>
      </w:r>
      <w:r>
        <w:rPr>
          <w:lang w:val="en-GB"/>
        </w:rPr>
        <w:t xml:space="preserve"> zone. In this case, some clusters actually went up as we powered off their VMs, so the overall numbers remain similar.</w:t>
      </w:r>
    </w:p>
    <w:p w14:paraId="52AB5EC2" w14:textId="5FAEBA9C" w:rsidR="00A42C56" w:rsidRPr="00A42C56" w:rsidRDefault="00A42C56" w:rsidP="00A42C56">
      <w:pPr>
        <w:rPr>
          <w:lang w:val="en-GB"/>
        </w:rPr>
      </w:pPr>
      <w:r w:rsidRPr="00A42C56">
        <w:rPr>
          <w:noProof/>
          <w:lang w:val="en-GB"/>
        </w:rPr>
        <w:drawing>
          <wp:inline distT="0" distB="0" distL="0" distR="0" wp14:anchorId="4D39CB50" wp14:editId="1D9F84BF">
            <wp:extent cx="6645910" cy="1684020"/>
            <wp:effectExtent l="0" t="0" r="2540" b="0"/>
            <wp:docPr id="1971069027" name="Picture 1971069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7"/>
                    <a:stretch>
                      <a:fillRect/>
                    </a:stretch>
                  </pic:blipFill>
                  <pic:spPr>
                    <a:xfrm>
                      <a:off x="0" y="0"/>
                      <a:ext cx="6645910" cy="1684020"/>
                    </a:xfrm>
                    <a:prstGeom prst="rect">
                      <a:avLst/>
                    </a:prstGeom>
                  </pic:spPr>
                </pic:pic>
              </a:graphicData>
            </a:graphic>
          </wp:inline>
        </w:drawing>
      </w:r>
    </w:p>
    <w:p w14:paraId="302B88CF" w14:textId="0BDC7772" w:rsidR="00935377" w:rsidRDefault="00935377" w:rsidP="00AC6E1E">
      <w:pPr>
        <w:pStyle w:val="Heading4"/>
      </w:pPr>
      <w:r>
        <w:t>Multi-</w:t>
      </w:r>
      <w:r w:rsidR="00A303C3">
        <w:t>Cluster Analysis</w:t>
      </w:r>
    </w:p>
    <w:p w14:paraId="6A44B668" w14:textId="6E5CD3DF" w:rsidR="00D63AF3" w:rsidRDefault="00D63AF3" w:rsidP="00D63AF3">
      <w:pPr>
        <w:rPr>
          <w:lang w:val="en-GB"/>
        </w:rPr>
      </w:pPr>
      <w:r>
        <w:rPr>
          <w:lang w:val="en-GB"/>
        </w:rPr>
        <w:t xml:space="preserve">If the chart is showing </w:t>
      </w:r>
      <w:r w:rsidR="0022569A" w:rsidRPr="0022569A">
        <w:rPr>
          <w:color w:val="00B050"/>
          <w:lang w:val="en-GB"/>
        </w:rPr>
        <w:t>green</w:t>
      </w:r>
      <w:r>
        <w:rPr>
          <w:lang w:val="en-GB"/>
        </w:rPr>
        <w:t xml:space="preserve">, then all is good. If not, you want to know which clusters are not performing. This is where the </w:t>
      </w:r>
      <w:r w:rsidR="003A6640" w:rsidRPr="009C7423">
        <w:rPr>
          <w:color w:val="00B0F0"/>
          <w:lang w:val="en-GB"/>
        </w:rPr>
        <w:t xml:space="preserve">Clusters Performance </w:t>
      </w:r>
      <w:r w:rsidRPr="00A452F2">
        <w:rPr>
          <w:lang w:val="en-GB"/>
        </w:rPr>
        <w:t>table</w:t>
      </w:r>
      <w:r>
        <w:rPr>
          <w:lang w:val="en-GB"/>
        </w:rPr>
        <w:t xml:space="preserve"> comes in.</w:t>
      </w:r>
    </w:p>
    <w:p w14:paraId="4426CB85" w14:textId="77777777" w:rsidR="00B72049" w:rsidRDefault="00B72049" w:rsidP="00B72049">
      <w:pPr>
        <w:rPr>
          <w:lang w:val="en-GB"/>
        </w:rPr>
      </w:pPr>
      <w:r w:rsidRPr="4C8B4F60">
        <w:rPr>
          <w:lang w:val="en-GB"/>
        </w:rPr>
        <w:t>The table lists all the clusters, starting with the lowest performance. By default, it’s showing data from the last 24 hours as this dashboard is designed to be part of your daily SOP.</w:t>
      </w:r>
    </w:p>
    <w:p w14:paraId="0A01AFE4" w14:textId="7FF1367E" w:rsidR="00C94BA2" w:rsidRDefault="001D24B6" w:rsidP="00A25632">
      <w:pPr>
        <w:jc w:val="center"/>
        <w:rPr>
          <w:lang w:val="en-GB"/>
        </w:rPr>
      </w:pPr>
      <w:r w:rsidRPr="001D24B6">
        <w:rPr>
          <w:noProof/>
          <w:lang w:val="en-GB"/>
        </w:rPr>
        <w:lastRenderedPageBreak/>
        <w:drawing>
          <wp:inline distT="0" distB="0" distL="0" distR="0" wp14:anchorId="63C481B2" wp14:editId="04B088AC">
            <wp:extent cx="4858171" cy="2800593"/>
            <wp:effectExtent l="0" t="0" r="0" b="0"/>
            <wp:docPr id="1050" name="Picture 105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0" name="Picture 1050" descr="Table&#10;&#10;Description automatically generated"/>
                    <pic:cNvPicPr/>
                  </pic:nvPicPr>
                  <pic:blipFill>
                    <a:blip r:embed="rId1068"/>
                    <a:stretch>
                      <a:fillRect/>
                    </a:stretch>
                  </pic:blipFill>
                  <pic:spPr>
                    <a:xfrm>
                      <a:off x="0" y="0"/>
                      <a:ext cx="4858171" cy="2800593"/>
                    </a:xfrm>
                    <a:prstGeom prst="rect">
                      <a:avLst/>
                    </a:prstGeom>
                  </pic:spPr>
                </pic:pic>
              </a:graphicData>
            </a:graphic>
          </wp:inline>
        </w:drawing>
      </w:r>
    </w:p>
    <w:p w14:paraId="24E3CD76" w14:textId="77777777" w:rsidR="001D24B6" w:rsidRPr="000E151B" w:rsidRDefault="001D24B6" w:rsidP="001D24B6">
      <w:pPr>
        <w:rPr>
          <w:lang w:val="en-GB"/>
        </w:rPr>
      </w:pPr>
      <w:r w:rsidRPr="4C8B4F60">
        <w:rPr>
          <w:lang w:val="en-GB"/>
        </w:rPr>
        <w:t>The Worst Performance shows the lowest number in the time period. As vRealize Operations collects every 5 minutes, there are 12 x 24 = 2</w:t>
      </w:r>
      <w:r>
        <w:rPr>
          <w:lang w:val="en-GB"/>
        </w:rPr>
        <w:t>88</w:t>
      </w:r>
      <w:r w:rsidRPr="4C8B4F60">
        <w:rPr>
          <w:lang w:val="en-GB"/>
        </w:rPr>
        <w:t xml:space="preserve"> data points in a</w:t>
      </w:r>
      <w:r>
        <w:rPr>
          <w:lang w:val="en-GB"/>
        </w:rPr>
        <w:t xml:space="preserve"> day</w:t>
      </w:r>
      <w:r w:rsidRPr="4C8B4F60">
        <w:rPr>
          <w:lang w:val="en-GB"/>
        </w:rPr>
        <w:t>. This column shows the worst point among 2</w:t>
      </w:r>
      <w:r>
        <w:rPr>
          <w:lang w:val="en-GB"/>
        </w:rPr>
        <w:t>88</w:t>
      </w:r>
      <w:r w:rsidRPr="4C8B4F60">
        <w:rPr>
          <w:lang w:val="en-GB"/>
        </w:rPr>
        <w:t xml:space="preserve"> datapoints.</w:t>
      </w:r>
    </w:p>
    <w:p w14:paraId="21495B4C" w14:textId="35003885" w:rsidR="00B66BA8" w:rsidRDefault="4620CEAA" w:rsidP="00F6120D">
      <w:pPr>
        <w:rPr>
          <w:lang w:val="en-GB"/>
        </w:rPr>
      </w:pPr>
      <w:r>
        <w:rPr>
          <w:noProof/>
        </w:rPr>
        <w:drawing>
          <wp:inline distT="0" distB="0" distL="0" distR="0" wp14:anchorId="6D4A1DB5" wp14:editId="57F4EF02">
            <wp:extent cx="5974082" cy="2387691"/>
            <wp:effectExtent l="0" t="0" r="7620" b="0"/>
            <wp:docPr id="606394225" name="Picture 606394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25"/>
                    <pic:cNvPicPr/>
                  </pic:nvPicPr>
                  <pic:blipFill>
                    <a:blip r:embed="rId1069" cstate="print">
                      <a:extLst>
                        <a:ext uri="{28A0092B-C50C-407E-A947-70E740481C1C}">
                          <a14:useLocalDpi xmlns:a14="http://schemas.microsoft.com/office/drawing/2010/main" val="0"/>
                        </a:ext>
                      </a:extLst>
                    </a:blip>
                    <a:stretch>
                      <a:fillRect/>
                    </a:stretch>
                  </pic:blipFill>
                  <pic:spPr>
                    <a:xfrm>
                      <a:off x="0" y="0"/>
                      <a:ext cx="5974082" cy="2387691"/>
                    </a:xfrm>
                    <a:prstGeom prst="rect">
                      <a:avLst/>
                    </a:prstGeom>
                  </pic:spPr>
                </pic:pic>
              </a:graphicData>
            </a:graphic>
          </wp:inline>
        </w:drawing>
      </w:r>
    </w:p>
    <w:p w14:paraId="2C422CAD" w14:textId="35CDFC43" w:rsidR="00C156C6" w:rsidRDefault="00C156C6" w:rsidP="00C156C6">
      <w:pPr>
        <w:rPr>
          <w:lang w:val="en-GB"/>
        </w:rPr>
      </w:pPr>
      <w:r w:rsidRPr="4C8B4F60">
        <w:rPr>
          <w:lang w:val="en-GB"/>
        </w:rPr>
        <w:t xml:space="preserve">For a very large environment with many clusters, add a grouping to make the list more manageable. Group it by class of service, so you can focus on the more critical clusters. You can then adjust the threshold accordingly. For example, add the column </w:t>
      </w:r>
      <w:r w:rsidR="0078733A">
        <w:rPr>
          <w:lang w:val="en-GB"/>
        </w:rPr>
        <w:t>w</w:t>
      </w:r>
      <w:r w:rsidR="0078733A">
        <w:t>orst 1</w:t>
      </w:r>
      <w:r w:rsidR="0078733A" w:rsidRPr="0078733A">
        <w:rPr>
          <w:vertAlign w:val="superscript"/>
        </w:rPr>
        <w:t>st</w:t>
      </w:r>
      <w:r w:rsidR="0078733A">
        <w:t xml:space="preserve"> percentile</w:t>
      </w:r>
      <w:r w:rsidR="0078733A" w:rsidRPr="00A452F2">
        <w:rPr>
          <w:lang w:val="en-GB"/>
        </w:rPr>
        <w:t xml:space="preserve"> </w:t>
      </w:r>
      <w:r w:rsidRPr="4C8B4F60">
        <w:rPr>
          <w:lang w:val="en-GB"/>
        </w:rPr>
        <w:t xml:space="preserve">to complement </w:t>
      </w:r>
      <w:r w:rsidR="0078733A">
        <w:rPr>
          <w:lang w:val="en-GB"/>
        </w:rPr>
        <w:t>the w</w:t>
      </w:r>
      <w:r w:rsidRPr="4C8B4F60">
        <w:rPr>
          <w:lang w:val="en-GB"/>
        </w:rPr>
        <w:t xml:space="preserve">orst and </w:t>
      </w:r>
      <w:r w:rsidR="0078733A">
        <w:rPr>
          <w:lang w:val="en-GB"/>
        </w:rPr>
        <w:t>the w</w:t>
      </w:r>
      <w:r w:rsidR="0078733A">
        <w:t>orst 5</w:t>
      </w:r>
      <w:r w:rsidR="0078733A" w:rsidRPr="0078733A">
        <w:rPr>
          <w:vertAlign w:val="superscript"/>
        </w:rPr>
        <w:t>th</w:t>
      </w:r>
      <w:r w:rsidR="0078733A">
        <w:t xml:space="preserve"> percentile</w:t>
      </w:r>
      <w:r w:rsidRPr="4C8B4F60">
        <w:rPr>
          <w:lang w:val="en-GB"/>
        </w:rPr>
        <w:t xml:space="preserve">. This is useful if you have clusters with </w:t>
      </w:r>
      <w:r w:rsidR="00D00443">
        <w:rPr>
          <w:lang w:val="en-GB"/>
        </w:rPr>
        <w:t xml:space="preserve">more than 1000 </w:t>
      </w:r>
      <w:r w:rsidRPr="4C8B4F60">
        <w:rPr>
          <w:lang w:val="en-GB"/>
        </w:rPr>
        <w:t>VMs</w:t>
      </w:r>
      <w:r w:rsidR="00D00443">
        <w:rPr>
          <w:lang w:val="en-GB"/>
        </w:rPr>
        <w:t>, as 5</w:t>
      </w:r>
      <w:r w:rsidR="00D00443" w:rsidRPr="00D00443">
        <w:rPr>
          <w:vertAlign w:val="superscript"/>
          <w:lang w:val="en-GB"/>
        </w:rPr>
        <w:t>th</w:t>
      </w:r>
      <w:r w:rsidR="00D00443">
        <w:rPr>
          <w:lang w:val="en-GB"/>
        </w:rPr>
        <w:t xml:space="preserve"> can be too late</w:t>
      </w:r>
      <w:r w:rsidR="00CF7731">
        <w:rPr>
          <w:lang w:val="en-GB"/>
        </w:rPr>
        <w:t>.</w:t>
      </w:r>
    </w:p>
    <w:p w14:paraId="42C33DF8" w14:textId="297C9D6E" w:rsidR="00B52EDB" w:rsidRDefault="00B52EDB" w:rsidP="00F6120D">
      <w:pPr>
        <w:rPr>
          <w:lang w:val="en-GB"/>
        </w:rPr>
      </w:pPr>
      <w:r>
        <w:rPr>
          <w:lang w:val="en-GB"/>
        </w:rPr>
        <w:t xml:space="preserve">You may not be comfortable not seeing utilization </w:t>
      </w:r>
      <w:r w:rsidR="008D3A3F">
        <w:rPr>
          <w:lang w:val="en-GB"/>
        </w:rPr>
        <w:t>metrics</w:t>
      </w:r>
      <w:r w:rsidR="008B64FB">
        <w:rPr>
          <w:lang w:val="en-GB"/>
        </w:rPr>
        <w:t>.</w:t>
      </w:r>
      <w:r w:rsidR="00B951EB">
        <w:rPr>
          <w:lang w:val="en-GB"/>
        </w:rPr>
        <w:t xml:space="preserve"> Old habits die hard</w:t>
      </w:r>
      <w:r w:rsidR="008B64FB">
        <w:rPr>
          <w:lang w:val="en-GB"/>
        </w:rPr>
        <w:t xml:space="preserve"> </w:t>
      </w:r>
      <w:r w:rsidR="008B64FB" w:rsidRPr="00B951EB">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r w:rsidR="00B951EB">
        <w:rPr>
          <w:lang w:val="en-GB"/>
        </w:rPr>
        <w:t xml:space="preserve">. </w:t>
      </w:r>
      <w:r w:rsidR="008B64FB">
        <w:rPr>
          <w:lang w:val="en-GB"/>
        </w:rPr>
        <w:t>M</w:t>
      </w:r>
      <w:r w:rsidR="00B951EB">
        <w:rPr>
          <w:lang w:val="en-GB"/>
        </w:rPr>
        <w:t xml:space="preserve">odify the table to add key utilization </w:t>
      </w:r>
      <w:r w:rsidR="008D3A3F">
        <w:rPr>
          <w:lang w:val="en-GB"/>
        </w:rPr>
        <w:t>metrics</w:t>
      </w:r>
      <w:r w:rsidR="00B951EB">
        <w:rPr>
          <w:lang w:val="en-GB"/>
        </w:rPr>
        <w:t xml:space="preserve">. </w:t>
      </w:r>
      <w:r w:rsidR="00E964D3">
        <w:rPr>
          <w:lang w:val="en-GB"/>
        </w:rPr>
        <w:t xml:space="preserve">The following table shows </w:t>
      </w:r>
      <w:r w:rsidR="007A4A43">
        <w:rPr>
          <w:lang w:val="en-GB"/>
        </w:rPr>
        <w:t>an example of metrics to add. Notice that I do not color code the disk IOPS and Network Usage.</w:t>
      </w:r>
    </w:p>
    <w:p w14:paraId="471E289B" w14:textId="7F3F1542" w:rsidR="00B951EB" w:rsidRDefault="00E964D3" w:rsidP="00E964D3">
      <w:pPr>
        <w:jc w:val="center"/>
        <w:rPr>
          <w:lang w:val="en-GB"/>
        </w:rPr>
      </w:pPr>
      <w:r>
        <w:rPr>
          <w:noProof/>
        </w:rPr>
        <w:lastRenderedPageBreak/>
        <w:drawing>
          <wp:inline distT="0" distB="0" distL="0" distR="0" wp14:anchorId="321F76CB" wp14:editId="6A81FD9C">
            <wp:extent cx="5876314" cy="1706298"/>
            <wp:effectExtent l="0" t="0" r="0" b="8255"/>
            <wp:docPr id="606394410" name="Picture 606394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410"/>
                    <pic:cNvPicPr/>
                  </pic:nvPicPr>
                  <pic:blipFill>
                    <a:blip r:embed="rId1070" cstate="print">
                      <a:extLst>
                        <a:ext uri="{28A0092B-C50C-407E-A947-70E740481C1C}">
                          <a14:useLocalDpi xmlns:a14="http://schemas.microsoft.com/office/drawing/2010/main" val="0"/>
                        </a:ext>
                      </a:extLst>
                    </a:blip>
                    <a:stretch>
                      <a:fillRect/>
                    </a:stretch>
                  </pic:blipFill>
                  <pic:spPr>
                    <a:xfrm>
                      <a:off x="0" y="0"/>
                      <a:ext cx="5876314" cy="1706298"/>
                    </a:xfrm>
                    <a:prstGeom prst="rect">
                      <a:avLst/>
                    </a:prstGeom>
                  </pic:spPr>
                </pic:pic>
              </a:graphicData>
            </a:graphic>
          </wp:inline>
        </w:drawing>
      </w:r>
    </w:p>
    <w:p w14:paraId="79AB889B" w14:textId="07EC3C0D" w:rsidR="008B619C" w:rsidRDefault="008B619C" w:rsidP="00AC6E1E">
      <w:pPr>
        <w:pStyle w:val="Heading4"/>
      </w:pPr>
      <w:r>
        <w:t>Per-Cluster Analysis</w:t>
      </w:r>
    </w:p>
    <w:p w14:paraId="0CC867F0" w14:textId="1EDE4386" w:rsidR="00CF7731" w:rsidRPr="00CF7731" w:rsidRDefault="00CF7731" w:rsidP="00CF7731">
      <w:pPr>
        <w:rPr>
          <w:lang w:val="en-GB"/>
        </w:rPr>
      </w:pPr>
      <w:r>
        <w:rPr>
          <w:lang w:val="en-GB"/>
        </w:rPr>
        <w:t xml:space="preserve">The table is accompanied by the health chart. It allows for quick toggling among </w:t>
      </w:r>
      <w:r w:rsidR="00A81935">
        <w:rPr>
          <w:lang w:val="en-GB"/>
        </w:rPr>
        <w:t>clusters.</w:t>
      </w:r>
    </w:p>
    <w:p w14:paraId="36335C68" w14:textId="56F58661" w:rsidR="00866570" w:rsidRDefault="00866570" w:rsidP="00F6120D">
      <w:pPr>
        <w:rPr>
          <w:lang w:val="en-GB"/>
        </w:rPr>
      </w:pPr>
      <w:r w:rsidRPr="4C8B4F60">
        <w:rPr>
          <w:lang w:val="en-GB"/>
        </w:rPr>
        <w:t xml:space="preserve">Select a </w:t>
      </w:r>
      <w:r w:rsidR="007F294D" w:rsidRPr="4C8B4F60">
        <w:rPr>
          <w:lang w:val="en-GB"/>
        </w:rPr>
        <w:t>cluster</w:t>
      </w:r>
      <w:r w:rsidR="00E20CAB">
        <w:rPr>
          <w:lang w:val="en-GB"/>
        </w:rPr>
        <w:t xml:space="preserve"> </w:t>
      </w:r>
      <w:r w:rsidR="007F294D" w:rsidRPr="4C8B4F60">
        <w:rPr>
          <w:lang w:val="en-GB"/>
        </w:rPr>
        <w:t>to see the trend over time</w:t>
      </w:r>
      <w:r w:rsidR="001A6426">
        <w:rPr>
          <w:lang w:val="en-GB"/>
        </w:rPr>
        <w:t>, and see the Performance (%) health chart.</w:t>
      </w:r>
    </w:p>
    <w:p w14:paraId="5F71963F" w14:textId="6165CBFD" w:rsidR="00356BD7" w:rsidRDefault="18B23B54" w:rsidP="00F6120D">
      <w:pPr>
        <w:rPr>
          <w:lang w:val="en-GB"/>
        </w:rPr>
      </w:pPr>
      <w:r>
        <w:rPr>
          <w:noProof/>
        </w:rPr>
        <w:drawing>
          <wp:inline distT="0" distB="0" distL="0" distR="0" wp14:anchorId="194F8BBE" wp14:editId="17EB3A5E">
            <wp:extent cx="6645910" cy="1670685"/>
            <wp:effectExtent l="0" t="0" r="2540" b="5715"/>
            <wp:docPr id="606394224" name="Picture 60639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24"/>
                    <pic:cNvPicPr/>
                  </pic:nvPicPr>
                  <pic:blipFill>
                    <a:blip r:embed="rId1071" cstate="print">
                      <a:extLst>
                        <a:ext uri="{28A0092B-C50C-407E-A947-70E740481C1C}">
                          <a14:useLocalDpi xmlns:a14="http://schemas.microsoft.com/office/drawing/2010/main" val="0"/>
                        </a:ext>
                      </a:extLst>
                    </a:blip>
                    <a:stretch>
                      <a:fillRect/>
                    </a:stretch>
                  </pic:blipFill>
                  <pic:spPr>
                    <a:xfrm>
                      <a:off x="0" y="0"/>
                      <a:ext cx="6645910" cy="1670685"/>
                    </a:xfrm>
                    <a:prstGeom prst="rect">
                      <a:avLst/>
                    </a:prstGeom>
                  </pic:spPr>
                </pic:pic>
              </a:graphicData>
            </a:graphic>
          </wp:inline>
        </w:drawing>
      </w:r>
    </w:p>
    <w:p w14:paraId="1A3D5EA9" w14:textId="2EA7EEDF" w:rsidR="004570EB" w:rsidRDefault="00355838" w:rsidP="004570EB">
      <w:pPr>
        <w:rPr>
          <w:lang w:val="en-GB"/>
        </w:rPr>
      </w:pPr>
      <w:r>
        <w:rPr>
          <w:lang w:val="en-GB"/>
        </w:rPr>
        <w:t xml:space="preserve">If the cluster has a daily or weekly pattern, increase the </w:t>
      </w:r>
      <w:r w:rsidR="000C552D">
        <w:rPr>
          <w:lang w:val="en-GB"/>
        </w:rPr>
        <w:t xml:space="preserve">dashboard </w:t>
      </w:r>
      <w:r>
        <w:rPr>
          <w:lang w:val="en-GB"/>
        </w:rPr>
        <w:t xml:space="preserve">time duration to at least 1 week. </w:t>
      </w:r>
      <w:r w:rsidR="004570EB">
        <w:rPr>
          <w:lang w:val="en-GB"/>
        </w:rPr>
        <w:t>Here is an example where the performance problem is clearly shown. You can see the cluster performance has regular drop in the last 7 days.</w:t>
      </w:r>
    </w:p>
    <w:p w14:paraId="3F6543CC" w14:textId="77777777" w:rsidR="004570EB" w:rsidRDefault="004570EB" w:rsidP="00C22B8A">
      <w:pPr>
        <w:jc w:val="center"/>
        <w:rPr>
          <w:lang w:val="en-GB"/>
        </w:rPr>
      </w:pPr>
      <w:r w:rsidRPr="00ED1DDE">
        <w:rPr>
          <w:noProof/>
          <w:lang w:val="en-GB"/>
        </w:rPr>
        <w:drawing>
          <wp:inline distT="0" distB="0" distL="0" distR="0" wp14:anchorId="2AE6D11D" wp14:editId="362AE2D1">
            <wp:extent cx="5743575" cy="1575559"/>
            <wp:effectExtent l="0" t="0" r="0" b="5715"/>
            <wp:docPr id="1293284861" name="Picture 1293284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2"/>
                    <a:stretch>
                      <a:fillRect/>
                    </a:stretch>
                  </pic:blipFill>
                  <pic:spPr>
                    <a:xfrm>
                      <a:off x="0" y="0"/>
                      <a:ext cx="5749900" cy="1577294"/>
                    </a:xfrm>
                    <a:prstGeom prst="rect">
                      <a:avLst/>
                    </a:prstGeom>
                  </pic:spPr>
                </pic:pic>
              </a:graphicData>
            </a:graphic>
          </wp:inline>
        </w:drawing>
      </w:r>
    </w:p>
    <w:p w14:paraId="0E463653" w14:textId="6FEDEF42" w:rsidR="003B439E" w:rsidRDefault="003B439E" w:rsidP="00E35C24">
      <w:pPr>
        <w:rPr>
          <w:lang w:val="en-GB"/>
        </w:rPr>
      </w:pPr>
      <w:r>
        <w:rPr>
          <w:lang w:val="en-GB"/>
        </w:rPr>
        <w:t xml:space="preserve">Once you determine the cluster to investigate, review the </w:t>
      </w:r>
      <w:r w:rsidR="00BD63E3">
        <w:rPr>
          <w:lang w:val="en-GB"/>
        </w:rPr>
        <w:t>scoreboards. There are 5 of them:</w:t>
      </w:r>
    </w:p>
    <w:p w14:paraId="1600B396" w14:textId="599768E8" w:rsidR="00BD63E3" w:rsidRDefault="00BD63E3" w:rsidP="00BD63E3">
      <w:pPr>
        <w:pStyle w:val="Bullet"/>
        <w:rPr>
          <w:lang w:val="en-GB"/>
        </w:rPr>
      </w:pPr>
      <w:r>
        <w:rPr>
          <w:lang w:val="en-GB"/>
        </w:rPr>
        <w:t>CPU</w:t>
      </w:r>
    </w:p>
    <w:p w14:paraId="20A06958" w14:textId="618D437D" w:rsidR="00BD63E3" w:rsidRDefault="00BD63E3" w:rsidP="00BD63E3">
      <w:pPr>
        <w:pStyle w:val="Bullet"/>
        <w:rPr>
          <w:lang w:val="en-GB"/>
        </w:rPr>
      </w:pPr>
      <w:r>
        <w:rPr>
          <w:lang w:val="en-GB"/>
        </w:rPr>
        <w:t>Memory</w:t>
      </w:r>
    </w:p>
    <w:p w14:paraId="0362EE93" w14:textId="1F1630AA" w:rsidR="00BD63E3" w:rsidRDefault="00BD63E3" w:rsidP="00BD63E3">
      <w:pPr>
        <w:pStyle w:val="Bullet"/>
        <w:rPr>
          <w:lang w:val="en-GB"/>
        </w:rPr>
      </w:pPr>
      <w:r>
        <w:rPr>
          <w:lang w:val="en-GB"/>
        </w:rPr>
        <w:t>Disk</w:t>
      </w:r>
    </w:p>
    <w:p w14:paraId="3155A6AD" w14:textId="24275BE7" w:rsidR="00BD63E3" w:rsidRDefault="00BD63E3" w:rsidP="00BD63E3">
      <w:pPr>
        <w:pStyle w:val="Bullet"/>
        <w:rPr>
          <w:lang w:val="en-GB"/>
        </w:rPr>
      </w:pPr>
      <w:r>
        <w:rPr>
          <w:lang w:val="en-GB"/>
        </w:rPr>
        <w:t>Network</w:t>
      </w:r>
    </w:p>
    <w:p w14:paraId="14FD6378" w14:textId="1D06E53B" w:rsidR="00BD63E3" w:rsidRDefault="00BD63E3" w:rsidP="00BD63E3">
      <w:pPr>
        <w:pStyle w:val="Bullet"/>
        <w:rPr>
          <w:lang w:val="en-GB"/>
        </w:rPr>
      </w:pPr>
      <w:r>
        <w:rPr>
          <w:lang w:val="en-GB"/>
        </w:rPr>
        <w:lastRenderedPageBreak/>
        <w:t>Others</w:t>
      </w:r>
    </w:p>
    <w:p w14:paraId="06CE5D26" w14:textId="41DF8628" w:rsidR="00823173" w:rsidRDefault="007B6FD9" w:rsidP="006C1F88">
      <w:pPr>
        <w:rPr>
          <w:lang w:val="en-GB"/>
        </w:rPr>
      </w:pPr>
      <w:r>
        <w:rPr>
          <w:lang w:val="en-GB"/>
        </w:rPr>
        <w:t>They</w:t>
      </w:r>
      <w:r w:rsidR="006C1F88" w:rsidRPr="4C8B4F60">
        <w:rPr>
          <w:lang w:val="en-GB"/>
        </w:rPr>
        <w:t xml:space="preserve"> are shown separately, because you can have one problem and not the other. </w:t>
      </w:r>
      <w:r w:rsidR="00823173">
        <w:rPr>
          <w:lang w:val="en-GB"/>
        </w:rPr>
        <w:t>You may also drill down into a different path</w:t>
      </w:r>
      <w:r w:rsidR="005364DF">
        <w:rPr>
          <w:lang w:val="en-GB"/>
        </w:rPr>
        <w:t xml:space="preserve"> (e.g. into vSAN dashboard)</w:t>
      </w:r>
      <w:r w:rsidR="00823173">
        <w:rPr>
          <w:lang w:val="en-GB"/>
        </w:rPr>
        <w:t>, and talk to different team (e.g. Network team).</w:t>
      </w:r>
    </w:p>
    <w:p w14:paraId="23F49148" w14:textId="6ADF3825" w:rsidR="006C1F88" w:rsidRPr="00A452F2" w:rsidRDefault="006C1F88" w:rsidP="006C1F88">
      <w:pPr>
        <w:rPr>
          <w:lang w:val="en-GB"/>
        </w:rPr>
      </w:pPr>
      <w:r w:rsidRPr="4C8B4F60">
        <w:rPr>
          <w:lang w:val="en-GB"/>
        </w:rPr>
        <w:t xml:space="preserve">CPU problems tend to be more common than Memory problems, due to lower overcommit ratio in memory in practice among customers. </w:t>
      </w:r>
      <w:r>
        <w:rPr>
          <w:lang w:val="en-GB"/>
        </w:rPr>
        <w:t xml:space="preserve">It is common to see customers do 4:1 CPU overcommit and only 2:1 memory overcommit. </w:t>
      </w:r>
      <w:r w:rsidRPr="4C8B4F60">
        <w:rPr>
          <w:lang w:val="en-GB"/>
        </w:rPr>
        <w:t>This</w:t>
      </w:r>
      <w:r>
        <w:rPr>
          <w:lang w:val="en-GB"/>
        </w:rPr>
        <w:t xml:space="preserve"> conservative practice was </w:t>
      </w:r>
      <w:r w:rsidRPr="4C8B4F60">
        <w:rPr>
          <w:lang w:val="en-GB"/>
        </w:rPr>
        <w:t xml:space="preserve">due to </w:t>
      </w:r>
      <w:r>
        <w:rPr>
          <w:lang w:val="en-GB"/>
        </w:rPr>
        <w:t xml:space="preserve">the inherent </w:t>
      </w:r>
      <w:r w:rsidRPr="4C8B4F60">
        <w:rPr>
          <w:lang w:val="en-GB"/>
        </w:rPr>
        <w:t xml:space="preserve">higher value of memory counter. </w:t>
      </w:r>
      <w:r>
        <w:rPr>
          <w:lang w:val="en-GB"/>
        </w:rPr>
        <w:t xml:space="preserve">vSphere cluster shows high memory value as memory, giving the impression the actual utilization is high. </w:t>
      </w:r>
      <w:r w:rsidRPr="4C8B4F60">
        <w:rPr>
          <w:lang w:val="en-GB"/>
        </w:rPr>
        <w:t xml:space="preserve">And the reason </w:t>
      </w:r>
      <w:r>
        <w:rPr>
          <w:lang w:val="en-GB"/>
        </w:rPr>
        <w:t xml:space="preserve">for high value </w:t>
      </w:r>
      <w:r w:rsidRPr="4C8B4F60">
        <w:rPr>
          <w:lang w:val="en-GB"/>
        </w:rPr>
        <w:t>is modern</w:t>
      </w:r>
      <w:r>
        <w:rPr>
          <w:lang w:val="en-GB"/>
        </w:rPr>
        <w:t xml:space="preserve"> Operating Systems</w:t>
      </w:r>
      <w:r w:rsidRPr="4C8B4F60">
        <w:rPr>
          <w:lang w:val="en-GB"/>
        </w:rPr>
        <w:t xml:space="preserve"> like ESXi </w:t>
      </w:r>
      <w:r w:rsidR="00FD5A65">
        <w:rPr>
          <w:lang w:val="en-GB"/>
        </w:rPr>
        <w:t>VMkernel</w:t>
      </w:r>
      <w:r w:rsidRPr="4C8B4F60">
        <w:rPr>
          <w:lang w:val="en-GB"/>
        </w:rPr>
        <w:t xml:space="preserve"> uses memory as disk cache.</w:t>
      </w:r>
    </w:p>
    <w:p w14:paraId="3FCD6C38" w14:textId="77777777" w:rsidR="00FD5391" w:rsidRPr="00A452F2" w:rsidRDefault="00FD5391" w:rsidP="00FD5391">
      <w:pPr>
        <w:rPr>
          <w:lang w:val="en-GB"/>
        </w:rPr>
      </w:pPr>
      <w:r w:rsidRPr="4C8B4F60">
        <w:rPr>
          <w:lang w:val="en-GB"/>
        </w:rPr>
        <w:t xml:space="preserve">For performance, it’s important to show both the depth and breadth of the performance problem, as explained </w:t>
      </w:r>
      <w:hyperlink w:anchor="_Depth_vs_Breadth_1">
        <w:r w:rsidRPr="4C8B4F60">
          <w:rPr>
            <w:rStyle w:val="Hyperlink"/>
            <w:lang w:val="en-GB"/>
          </w:rPr>
          <w:t>here</w:t>
        </w:r>
      </w:hyperlink>
      <w:r w:rsidRPr="4C8B4F60">
        <w:rPr>
          <w:lang w:val="en-GB"/>
        </w:rPr>
        <w:t xml:space="preserve">. A problem that impacts 1-2 VMs requires a different troubleshooting process than a problem that impacts all VMs in the cluster. </w:t>
      </w:r>
    </w:p>
    <w:p w14:paraId="46BD7730" w14:textId="77777777" w:rsidR="00FD5391" w:rsidRPr="00A452F2" w:rsidRDefault="00FD5391" w:rsidP="00FD5391">
      <w:pPr>
        <w:rPr>
          <w:lang w:val="en-GB"/>
        </w:rPr>
      </w:pPr>
      <w:r w:rsidRPr="00A452F2">
        <w:rPr>
          <w:lang w:val="en-GB"/>
        </w:rPr>
        <w:t xml:space="preserve">The depth is shown by reporting the worst among any VM counter. So the highest value of VM CPU Ready, VM Memory contention, VM Disk Latency among all the running VMs are shown. If the worst number is good, then you do not need to look at the rest of the VM. </w:t>
      </w:r>
    </w:p>
    <w:p w14:paraId="6D9233EB" w14:textId="0296CE27" w:rsidR="00FD5391" w:rsidRPr="00A452F2" w:rsidRDefault="00FD5391" w:rsidP="00FD5391">
      <w:pPr>
        <w:rPr>
          <w:lang w:val="en-GB"/>
        </w:rPr>
      </w:pPr>
      <w:r w:rsidRPr="00A452F2">
        <w:rPr>
          <w:lang w:val="en-GB"/>
        </w:rPr>
        <w:t xml:space="preserve">A large cluster with thousands of VM can have a single VM experiencing poor performance while &gt;99.9% of the VM population is fine. The depth counter will not be able to report that most VMs are fine. It only reports the worst. This is there the breadth </w:t>
      </w:r>
      <w:r w:rsidR="008D3A3F">
        <w:rPr>
          <w:lang w:val="en-GB"/>
        </w:rPr>
        <w:t>metrics</w:t>
      </w:r>
      <w:r w:rsidRPr="00A452F2">
        <w:rPr>
          <w:lang w:val="en-GB"/>
        </w:rPr>
        <w:t xml:space="preserve"> comes in. </w:t>
      </w:r>
    </w:p>
    <w:p w14:paraId="1CDEA327" w14:textId="417D8E91" w:rsidR="00FD5391" w:rsidRDefault="00FD5391" w:rsidP="00FD5391">
      <w:pPr>
        <w:rPr>
          <w:lang w:val="en-GB"/>
        </w:rPr>
      </w:pPr>
      <w:r w:rsidRPr="4C8B4F60">
        <w:rPr>
          <w:lang w:val="en-GB"/>
        </w:rPr>
        <w:t xml:space="preserve">The breadth </w:t>
      </w:r>
      <w:r w:rsidR="008D3A3F">
        <w:rPr>
          <w:lang w:val="en-GB"/>
        </w:rPr>
        <w:t>metrics</w:t>
      </w:r>
      <w:r w:rsidRPr="4C8B4F60">
        <w:rPr>
          <w:lang w:val="en-GB"/>
        </w:rPr>
        <w:t xml:space="preserve"> report the percentage of the VM population that is experiencing performance problems. The threshold is set to be stringent, as the goal is to provide early warning and enable proactive operations. </w:t>
      </w:r>
    </w:p>
    <w:p w14:paraId="018A261E" w14:textId="0730C7AF" w:rsidR="0039152B" w:rsidRDefault="0039152B" w:rsidP="00E7573A">
      <w:pPr>
        <w:pStyle w:val="Heading5"/>
        <w:rPr>
          <w:rStyle w:val="Heading5Char"/>
          <w:b/>
          <w:bCs/>
        </w:rPr>
      </w:pPr>
      <w:r w:rsidRPr="00BE3C76">
        <w:t xml:space="preserve">CPU </w:t>
      </w:r>
      <w:r w:rsidR="001E1F93">
        <w:rPr>
          <w:rStyle w:val="Heading5Char"/>
          <w:b/>
          <w:bCs/>
        </w:rPr>
        <w:t>Metrics</w:t>
      </w:r>
    </w:p>
    <w:p w14:paraId="75694AC7" w14:textId="038C4769" w:rsidR="00235CED" w:rsidRPr="00235CED" w:rsidRDefault="00235CED" w:rsidP="00235CED">
      <w:pPr>
        <w:rPr>
          <w:lang w:val="en-GB"/>
        </w:rPr>
      </w:pPr>
      <w:r>
        <w:rPr>
          <w:lang w:val="en-GB"/>
        </w:rPr>
        <w:t>This is the first of a series of performance sco</w:t>
      </w:r>
      <w:r w:rsidR="003B439E">
        <w:rPr>
          <w:lang w:val="en-GB"/>
        </w:rPr>
        <w:t xml:space="preserve">reboards. </w:t>
      </w:r>
    </w:p>
    <w:p w14:paraId="0FF21010" w14:textId="711B687D" w:rsidR="004158C0" w:rsidRPr="00A452F2" w:rsidRDefault="00B5309C" w:rsidP="00E35C24">
      <w:pPr>
        <w:rPr>
          <w:lang w:val="en-GB"/>
        </w:rPr>
      </w:pPr>
      <w:r w:rsidRPr="00B5309C">
        <w:rPr>
          <w:noProof/>
          <w:lang w:val="en-GB"/>
        </w:rPr>
        <w:drawing>
          <wp:inline distT="0" distB="0" distL="0" distR="0" wp14:anchorId="43848855" wp14:editId="264C4E62">
            <wp:extent cx="6645910" cy="845185"/>
            <wp:effectExtent l="0" t="0" r="2540" b="0"/>
            <wp:docPr id="1583707941" name="Picture 1583707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3"/>
                    <a:stretch>
                      <a:fillRect/>
                    </a:stretch>
                  </pic:blipFill>
                  <pic:spPr>
                    <a:xfrm>
                      <a:off x="0" y="0"/>
                      <a:ext cx="6645910" cy="845185"/>
                    </a:xfrm>
                    <a:prstGeom prst="rect">
                      <a:avLst/>
                    </a:prstGeom>
                  </pic:spPr>
                </pic:pic>
              </a:graphicData>
            </a:graphic>
          </wp:inline>
        </w:drawing>
      </w:r>
    </w:p>
    <w:p w14:paraId="211A8551" w14:textId="346C819C" w:rsidR="004658A3" w:rsidRDefault="004658A3" w:rsidP="00E35C24">
      <w:pPr>
        <w:rPr>
          <w:lang w:val="en-GB"/>
        </w:rPr>
      </w:pPr>
      <w:bookmarkStart w:id="147" w:name="_Points_to_Note"/>
      <w:bookmarkEnd w:id="147"/>
      <w:r>
        <w:rPr>
          <w:lang w:val="en-GB"/>
        </w:rPr>
        <w:t xml:space="preserve">There are 3 </w:t>
      </w:r>
      <w:r w:rsidR="00C317CE">
        <w:rPr>
          <w:lang w:val="en-GB"/>
        </w:rPr>
        <w:t>metrics measuring the dept</w:t>
      </w:r>
      <w:r w:rsidR="00604FEC">
        <w:rPr>
          <w:lang w:val="en-GB"/>
        </w:rPr>
        <w:t>h of the problem:</w:t>
      </w:r>
    </w:p>
    <w:p w14:paraId="41B4FEB6" w14:textId="692FA847" w:rsidR="00604FEC" w:rsidRDefault="00604FEC" w:rsidP="00604FEC">
      <w:pPr>
        <w:pStyle w:val="Bullet"/>
        <w:rPr>
          <w:lang w:val="en-GB"/>
        </w:rPr>
      </w:pPr>
      <w:r>
        <w:rPr>
          <w:lang w:val="en-GB"/>
        </w:rPr>
        <w:t xml:space="preserve">Worst CPU Ready among all the VMs in the cluster. </w:t>
      </w:r>
    </w:p>
    <w:p w14:paraId="626C4399" w14:textId="02EEFC4D" w:rsidR="00604FEC" w:rsidRDefault="00604FEC" w:rsidP="00604FEC">
      <w:pPr>
        <w:pStyle w:val="Bullet"/>
        <w:rPr>
          <w:lang w:val="en-GB"/>
        </w:rPr>
      </w:pPr>
      <w:r>
        <w:rPr>
          <w:lang w:val="en-GB"/>
        </w:rPr>
        <w:t xml:space="preserve">Worst CPU </w:t>
      </w:r>
      <w:r w:rsidR="00443625">
        <w:rPr>
          <w:lang w:val="en-GB"/>
        </w:rPr>
        <w:t>Co-stop</w:t>
      </w:r>
      <w:r>
        <w:rPr>
          <w:lang w:val="en-GB"/>
        </w:rPr>
        <w:t xml:space="preserve"> among all the VMs in the cluster.</w:t>
      </w:r>
    </w:p>
    <w:p w14:paraId="370A4240" w14:textId="1DD963C9" w:rsidR="00604FEC" w:rsidRDefault="00604FEC" w:rsidP="00604FEC">
      <w:pPr>
        <w:pStyle w:val="Bullet"/>
        <w:rPr>
          <w:lang w:val="en-GB"/>
        </w:rPr>
      </w:pPr>
      <w:r>
        <w:rPr>
          <w:lang w:val="en-GB"/>
        </w:rPr>
        <w:t>Worst CPU Ready among all the VMs in the cluster.</w:t>
      </w:r>
    </w:p>
    <w:p w14:paraId="05755276" w14:textId="2AC6D2FF" w:rsidR="003B7A8A" w:rsidRDefault="003B7A8A" w:rsidP="00E35C24">
      <w:pPr>
        <w:rPr>
          <w:lang w:val="en-GB"/>
        </w:rPr>
      </w:pPr>
      <w:r>
        <w:rPr>
          <w:lang w:val="en-GB"/>
        </w:rPr>
        <w:t>CPU Ready is the primary counter. Do you why CPU Contention is not used? See CPU Contention metric in Part 2 of the book.</w:t>
      </w:r>
    </w:p>
    <w:p w14:paraId="340EDFE2" w14:textId="2BD70EB0" w:rsidR="00840025" w:rsidRDefault="00840025" w:rsidP="00E35C24">
      <w:pPr>
        <w:rPr>
          <w:lang w:val="en-GB"/>
        </w:rPr>
      </w:pPr>
      <w:r w:rsidRPr="4C8B4F60">
        <w:rPr>
          <w:lang w:val="en-GB"/>
        </w:rPr>
        <w:t xml:space="preserve">CPU </w:t>
      </w:r>
      <w:r w:rsidR="00443625">
        <w:rPr>
          <w:lang w:val="en-GB"/>
        </w:rPr>
        <w:t>Co-stop</w:t>
      </w:r>
      <w:r w:rsidRPr="4C8B4F60">
        <w:rPr>
          <w:lang w:val="en-GB"/>
        </w:rPr>
        <w:t xml:space="preserve"> is included, but placed at lower priority than Ready</w:t>
      </w:r>
      <w:r w:rsidR="003F51AE" w:rsidRPr="4C8B4F60">
        <w:rPr>
          <w:lang w:val="en-GB"/>
        </w:rPr>
        <w:t xml:space="preserve"> because high </w:t>
      </w:r>
      <w:r w:rsidR="00443625">
        <w:rPr>
          <w:lang w:val="en-GB"/>
        </w:rPr>
        <w:t>Co-stop</w:t>
      </w:r>
      <w:r w:rsidR="003F51AE" w:rsidRPr="4C8B4F60">
        <w:rPr>
          <w:lang w:val="en-GB"/>
        </w:rPr>
        <w:t xml:space="preserve"> does not mean the ESXi is struggling to serve the VMs</w:t>
      </w:r>
      <w:r w:rsidRPr="4C8B4F60">
        <w:rPr>
          <w:lang w:val="en-GB"/>
        </w:rPr>
        <w:t xml:space="preserve">. </w:t>
      </w:r>
      <w:r w:rsidR="00443625">
        <w:rPr>
          <w:lang w:val="en-GB"/>
        </w:rPr>
        <w:t>Co-stop</w:t>
      </w:r>
      <w:r w:rsidRPr="4C8B4F60">
        <w:rPr>
          <w:lang w:val="en-GB"/>
        </w:rPr>
        <w:t xml:space="preserve"> can be reduced by </w:t>
      </w:r>
      <w:r w:rsidR="00D24190" w:rsidRPr="4C8B4F60">
        <w:rPr>
          <w:lang w:val="en-GB"/>
        </w:rPr>
        <w:t>right</w:t>
      </w:r>
      <w:r w:rsidR="64C84C47" w:rsidRPr="4C8B4F60">
        <w:rPr>
          <w:lang w:val="en-GB"/>
        </w:rPr>
        <w:t>-</w:t>
      </w:r>
      <w:r w:rsidR="00D24190" w:rsidRPr="4C8B4F60">
        <w:rPr>
          <w:lang w:val="en-GB"/>
        </w:rPr>
        <w:t>sizing</w:t>
      </w:r>
      <w:r w:rsidRPr="4C8B4F60">
        <w:rPr>
          <w:lang w:val="en-GB"/>
        </w:rPr>
        <w:t xml:space="preserve"> an oversized VM</w:t>
      </w:r>
      <w:r w:rsidR="003F51AE" w:rsidRPr="4C8B4F60">
        <w:rPr>
          <w:lang w:val="en-GB"/>
        </w:rPr>
        <w:t>, s</w:t>
      </w:r>
      <w:r w:rsidRPr="4C8B4F60">
        <w:rPr>
          <w:lang w:val="en-GB"/>
        </w:rPr>
        <w:t>o the remediation action is not always on the ESXi Host.</w:t>
      </w:r>
      <w:r w:rsidR="00DF5592" w:rsidRPr="4C8B4F60">
        <w:rPr>
          <w:lang w:val="en-GB"/>
        </w:rPr>
        <w:t xml:space="preserve"> CPU Overlap is included as it can happen when there are many </w:t>
      </w:r>
      <w:r w:rsidR="00D75C4F" w:rsidRPr="4C8B4F60">
        <w:rPr>
          <w:lang w:val="en-GB"/>
        </w:rPr>
        <w:t>active VMs in the cluster.</w:t>
      </w:r>
    </w:p>
    <w:p w14:paraId="4374001B" w14:textId="602A0489" w:rsidR="00CA2411" w:rsidRDefault="00CA2411" w:rsidP="00CA2411">
      <w:pPr>
        <w:rPr>
          <w:lang w:val="en-GB"/>
        </w:rPr>
      </w:pPr>
      <w:r w:rsidRPr="00A452F2">
        <w:rPr>
          <w:lang w:val="en-GB"/>
        </w:rPr>
        <w:t xml:space="preserve">CPU Overlap is included as it indicates interrupts. A running VM was interrupted because </w:t>
      </w:r>
      <w:r w:rsidR="00FD5A65">
        <w:rPr>
          <w:lang w:val="en-GB"/>
        </w:rPr>
        <w:t>VMkernel</w:t>
      </w:r>
      <w:r w:rsidRPr="00A452F2">
        <w:rPr>
          <w:lang w:val="en-GB"/>
        </w:rPr>
        <w:t xml:space="preserve"> needs the physical core to run something else. A high and frequent number of interruptions is not healthy. This can also impact the VM performance. </w:t>
      </w:r>
      <w:r w:rsidR="00BE52DD">
        <w:rPr>
          <w:lang w:val="en-GB"/>
        </w:rPr>
        <w:t xml:space="preserve">It’s placed third as the value tends to be small. </w:t>
      </w:r>
    </w:p>
    <w:p w14:paraId="46FCE56B" w14:textId="7C25D7EE" w:rsidR="00867AA3" w:rsidRPr="00A452F2" w:rsidRDefault="00867AA3" w:rsidP="00CA2411">
      <w:pPr>
        <w:rPr>
          <w:lang w:val="en-GB"/>
        </w:rPr>
      </w:pPr>
      <w:r>
        <w:rPr>
          <w:lang w:val="en-GB"/>
        </w:rPr>
        <w:lastRenderedPageBreak/>
        <w:t>Here are threshold</w:t>
      </w:r>
      <w:r w:rsidR="007C0323">
        <w:rPr>
          <w:lang w:val="en-GB"/>
        </w:rPr>
        <w:t>s</w:t>
      </w:r>
      <w:r>
        <w:rPr>
          <w:lang w:val="en-GB"/>
        </w:rPr>
        <w:t xml:space="preserve"> used. </w:t>
      </w:r>
    </w:p>
    <w:p w14:paraId="77DC1E08" w14:textId="7FF8A2AF" w:rsidR="00357029" w:rsidRDefault="00CB031C" w:rsidP="00CB031C">
      <w:pPr>
        <w:jc w:val="center"/>
        <w:rPr>
          <w:lang w:val="en-GB"/>
        </w:rPr>
      </w:pPr>
      <w:r w:rsidRPr="00CB031C">
        <w:rPr>
          <w:noProof/>
          <w:lang w:val="en-GB"/>
        </w:rPr>
        <w:drawing>
          <wp:inline distT="0" distB="0" distL="0" distR="0" wp14:anchorId="008614C1" wp14:editId="7F28B989">
            <wp:extent cx="4665600" cy="1832400"/>
            <wp:effectExtent l="0" t="0" r="1905" b="0"/>
            <wp:docPr id="357815418" name="Picture 357815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4"/>
                    <a:stretch>
                      <a:fillRect/>
                    </a:stretch>
                  </pic:blipFill>
                  <pic:spPr>
                    <a:xfrm>
                      <a:off x="0" y="0"/>
                      <a:ext cx="4665600" cy="1832400"/>
                    </a:xfrm>
                    <a:prstGeom prst="rect">
                      <a:avLst/>
                    </a:prstGeom>
                  </pic:spPr>
                </pic:pic>
              </a:graphicData>
            </a:graphic>
          </wp:inline>
        </w:drawing>
      </w:r>
    </w:p>
    <w:p w14:paraId="01C66819" w14:textId="49EF7286" w:rsidR="00B9016A" w:rsidRDefault="00B9016A" w:rsidP="005F07BA">
      <w:pPr>
        <w:rPr>
          <w:lang w:val="en-GB"/>
        </w:rPr>
      </w:pPr>
      <w:r>
        <w:rPr>
          <w:lang w:val="en-GB"/>
        </w:rPr>
        <w:t xml:space="preserve">If you find </w:t>
      </w:r>
      <w:r w:rsidR="00A65600">
        <w:rPr>
          <w:lang w:val="en-GB"/>
        </w:rPr>
        <w:t xml:space="preserve">that the CPU Co-Stop values in your environment is much better, adjust it accordingly. </w:t>
      </w:r>
    </w:p>
    <w:p w14:paraId="3F1276D3" w14:textId="7C0C5FDC" w:rsidR="005F07BA" w:rsidRDefault="005F07BA" w:rsidP="005F07BA">
      <w:pPr>
        <w:rPr>
          <w:lang w:val="en-GB"/>
        </w:rPr>
      </w:pPr>
      <w:r w:rsidRPr="00A452F2">
        <w:rPr>
          <w:lang w:val="en-GB"/>
        </w:rPr>
        <w:t>T</w:t>
      </w:r>
      <w:r w:rsidR="00517793">
        <w:rPr>
          <w:lang w:val="en-GB"/>
        </w:rPr>
        <w:t>ake note that the</w:t>
      </w:r>
      <w:r w:rsidRPr="00A452F2">
        <w:rPr>
          <w:lang w:val="en-GB"/>
        </w:rPr>
        <w:t xml:space="preserve"> </w:t>
      </w:r>
      <w:r w:rsidRPr="00517793">
        <w:rPr>
          <w:color w:val="00B0F0"/>
          <w:lang w:val="en-GB"/>
        </w:rPr>
        <w:t xml:space="preserve">Workload </w:t>
      </w:r>
      <w:r w:rsidRPr="00A452F2">
        <w:rPr>
          <w:lang w:val="en-GB"/>
        </w:rPr>
        <w:t xml:space="preserve">metric can exceed 100% because it’s </w:t>
      </w:r>
      <w:r w:rsidRPr="00B9016A">
        <w:rPr>
          <w:color w:val="00B0F0"/>
          <w:lang w:val="en-GB"/>
        </w:rPr>
        <w:t>demand / usable capacity * 100</w:t>
      </w:r>
      <w:r w:rsidRPr="00A452F2">
        <w:rPr>
          <w:lang w:val="en-GB"/>
        </w:rPr>
        <w:t>.</w:t>
      </w:r>
      <w:r>
        <w:rPr>
          <w:lang w:val="en-GB"/>
        </w:rPr>
        <w:t xml:space="preserve"> </w:t>
      </w:r>
      <w:r w:rsidRPr="00A452F2">
        <w:rPr>
          <w:lang w:val="en-GB"/>
        </w:rPr>
        <w:t>So this could happen if you have 4 hosts in a cluster with each host running at 100% demand and admission control is set to 50%.</w:t>
      </w:r>
    </w:p>
    <w:p w14:paraId="12DC5426" w14:textId="57913B99" w:rsidR="00604ECA" w:rsidRDefault="0057609C" w:rsidP="00860A31">
      <w:pPr>
        <w:rPr>
          <w:lang w:val="en-GB"/>
        </w:rPr>
      </w:pPr>
      <w:r>
        <w:rPr>
          <w:lang w:val="en-GB"/>
        </w:rPr>
        <w:t>If your cluster</w:t>
      </w:r>
      <w:r w:rsidR="00B35EBA">
        <w:rPr>
          <w:lang w:val="en-GB"/>
        </w:rPr>
        <w:t xml:space="preserve"> has many resource pools and </w:t>
      </w:r>
      <w:r w:rsidR="00B35EBA" w:rsidRPr="00B35EBA">
        <w:rPr>
          <w:color w:val="00B0F0"/>
          <w:lang w:val="en-GB"/>
        </w:rPr>
        <w:t>Host to VM Affinity</w:t>
      </w:r>
      <w:r>
        <w:rPr>
          <w:lang w:val="en-GB"/>
        </w:rPr>
        <w:t xml:space="preserve">, create a super metrics to track the gap between </w:t>
      </w:r>
      <w:r w:rsidR="00860A31" w:rsidRPr="00A452F2">
        <w:rPr>
          <w:lang w:val="en-GB"/>
        </w:rPr>
        <w:t xml:space="preserve">highest </w:t>
      </w:r>
      <w:r w:rsidR="00B35EBA">
        <w:rPr>
          <w:lang w:val="en-GB"/>
        </w:rPr>
        <w:t xml:space="preserve">and lowest CPU usage </w:t>
      </w:r>
      <w:r w:rsidR="00860A31" w:rsidRPr="00A452F2">
        <w:rPr>
          <w:lang w:val="en-GB"/>
        </w:rPr>
        <w:t>among ESXi host</w:t>
      </w:r>
      <w:r w:rsidR="00B35EBA">
        <w:rPr>
          <w:lang w:val="en-GB"/>
        </w:rPr>
        <w:t>s</w:t>
      </w:r>
      <w:r w:rsidR="00860A31" w:rsidRPr="00A452F2">
        <w:rPr>
          <w:lang w:val="en-GB"/>
        </w:rPr>
        <w:t xml:space="preserve"> in the cluster. The reason is </w:t>
      </w:r>
      <w:r w:rsidR="00654EA3">
        <w:rPr>
          <w:color w:val="FF0000"/>
          <w:lang w:val="en-GB"/>
        </w:rPr>
        <w:t>imbalance</w:t>
      </w:r>
      <w:r w:rsidR="00860A31" w:rsidRPr="00A452F2">
        <w:rPr>
          <w:color w:val="FF0000"/>
          <w:lang w:val="en-GB"/>
        </w:rPr>
        <w:t xml:space="preserve"> </w:t>
      </w:r>
      <w:r w:rsidR="00860A31" w:rsidRPr="00A452F2">
        <w:rPr>
          <w:lang w:val="en-GB"/>
        </w:rPr>
        <w:t xml:space="preserve">is </w:t>
      </w:r>
      <w:r w:rsidR="002173B6">
        <w:rPr>
          <w:lang w:val="en-GB"/>
        </w:rPr>
        <w:t xml:space="preserve">pretty common, </w:t>
      </w:r>
      <w:r w:rsidR="002173B6" w:rsidRPr="00A452F2">
        <w:rPr>
          <w:lang w:val="en-GB"/>
        </w:rPr>
        <w:t>especially in large clusters</w:t>
      </w:r>
      <w:r w:rsidR="002173B6">
        <w:rPr>
          <w:lang w:val="en-GB"/>
        </w:rPr>
        <w:t xml:space="preserve"> with many hosts or VMs</w:t>
      </w:r>
      <w:r w:rsidR="00860A31" w:rsidRPr="00A452F2">
        <w:rPr>
          <w:lang w:val="en-GB"/>
        </w:rPr>
        <w:t xml:space="preserve">. There are many settings that can contribute to it (e.g. DRS settings, VM Reservation, VM – Host Affinity, Resource Pool, Stretched Cluster, Large VM). </w:t>
      </w:r>
    </w:p>
    <w:p w14:paraId="1EC203C0" w14:textId="78522100" w:rsidR="00C04E71" w:rsidRPr="00BE3C76" w:rsidRDefault="00BE3C76" w:rsidP="00E7573A">
      <w:pPr>
        <w:pStyle w:val="Heading5"/>
      </w:pPr>
      <w:r>
        <w:t xml:space="preserve">Memory </w:t>
      </w:r>
      <w:r w:rsidR="001E1F93">
        <w:rPr>
          <w:rStyle w:val="Heading5Char"/>
          <w:b/>
          <w:bCs/>
        </w:rPr>
        <w:t>Metrics</w:t>
      </w:r>
    </w:p>
    <w:p w14:paraId="468D2610" w14:textId="0EBAFB7C" w:rsidR="003F0418" w:rsidRDefault="003F0418" w:rsidP="00C04E71">
      <w:pPr>
        <w:rPr>
          <w:lang w:val="en-GB"/>
        </w:rPr>
      </w:pPr>
      <w:r w:rsidRPr="003F0418">
        <w:rPr>
          <w:noProof/>
          <w:lang w:val="en-GB"/>
        </w:rPr>
        <w:drawing>
          <wp:inline distT="0" distB="0" distL="0" distR="0" wp14:anchorId="364E6A30" wp14:editId="5867D300">
            <wp:extent cx="6645910" cy="859790"/>
            <wp:effectExtent l="0" t="0" r="2540" b="0"/>
            <wp:docPr id="1583707943" name="Picture 1583707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5"/>
                    <a:stretch>
                      <a:fillRect/>
                    </a:stretch>
                  </pic:blipFill>
                  <pic:spPr>
                    <a:xfrm>
                      <a:off x="0" y="0"/>
                      <a:ext cx="6645910" cy="859790"/>
                    </a:xfrm>
                    <a:prstGeom prst="rect">
                      <a:avLst/>
                    </a:prstGeom>
                  </pic:spPr>
                </pic:pic>
              </a:graphicData>
            </a:graphic>
          </wp:inline>
        </w:drawing>
      </w:r>
    </w:p>
    <w:p w14:paraId="79FF9CDC" w14:textId="3E7CD208" w:rsidR="00C04E71" w:rsidRDefault="00421899" w:rsidP="00860A31">
      <w:pPr>
        <w:rPr>
          <w:lang w:val="en-GB"/>
        </w:rPr>
      </w:pPr>
      <w:r w:rsidRPr="00A452F2">
        <w:rPr>
          <w:lang w:val="en-GB"/>
        </w:rPr>
        <w:t>Expect memory</w:t>
      </w:r>
      <w:r w:rsidR="003F0418">
        <w:rPr>
          <w:lang w:val="en-GB"/>
        </w:rPr>
        <w:t xml:space="preserve"> utilizat</w:t>
      </w:r>
      <w:r w:rsidR="00860A31">
        <w:rPr>
          <w:lang w:val="en-GB"/>
        </w:rPr>
        <w:t>ion</w:t>
      </w:r>
      <w:r w:rsidRPr="00A452F2">
        <w:rPr>
          <w:lang w:val="en-GB"/>
        </w:rPr>
        <w:t xml:space="preserve"> to be higher than CPU, as it’s a form of cache. </w:t>
      </w:r>
      <w:r w:rsidR="00CC7591" w:rsidRPr="00A452F2">
        <w:rPr>
          <w:lang w:val="en-GB"/>
        </w:rPr>
        <w:t xml:space="preserve">The Memory Consumed counter is used, as it’s more appropriate than the Memory Active counter. </w:t>
      </w:r>
      <w:r w:rsidR="003425E1" w:rsidRPr="00A452F2">
        <w:rPr>
          <w:lang w:val="en-GB"/>
        </w:rPr>
        <w:t>If active is low, no need to upgrade RAM as Consumed contains disk cache. For me, it’s fine for Consumed to be 9</w:t>
      </w:r>
      <w:r w:rsidR="003425E1">
        <w:rPr>
          <w:lang w:val="en-GB"/>
        </w:rPr>
        <w:t>9</w:t>
      </w:r>
      <w:r w:rsidR="003425E1" w:rsidRPr="00A452F2">
        <w:rPr>
          <w:lang w:val="en-GB"/>
        </w:rPr>
        <w:t>% so long RAM Contention is 0.</w:t>
      </w:r>
    </w:p>
    <w:p w14:paraId="57BDF52E" w14:textId="2560FAAA" w:rsidR="00FA64AD" w:rsidRDefault="00132371" w:rsidP="000C537A">
      <w:pPr>
        <w:rPr>
          <w:lang w:val="en-GB"/>
        </w:rPr>
      </w:pPr>
      <w:r>
        <w:rPr>
          <w:lang w:val="en-GB"/>
        </w:rPr>
        <w:t>T</w:t>
      </w:r>
      <w:r w:rsidR="007A6D73" w:rsidRPr="4C8B4F60">
        <w:rPr>
          <w:lang w:val="en-GB"/>
        </w:rPr>
        <w:t xml:space="preserve">he high utilization </w:t>
      </w:r>
      <w:r w:rsidR="008D3A3F">
        <w:rPr>
          <w:lang w:val="en-GB"/>
        </w:rPr>
        <w:t>metrics</w:t>
      </w:r>
      <w:r w:rsidR="007A6D73" w:rsidRPr="4C8B4F60">
        <w:rPr>
          <w:lang w:val="en-GB"/>
        </w:rPr>
        <w:t xml:space="preserve"> are explicitly shown. Balloon, Compressed, Swapped. Notice they </w:t>
      </w:r>
      <w:r>
        <w:rPr>
          <w:lang w:val="en-GB"/>
        </w:rPr>
        <w:t xml:space="preserve">can </w:t>
      </w:r>
      <w:r w:rsidR="007A6D73" w:rsidRPr="4C8B4F60">
        <w:rPr>
          <w:lang w:val="en-GB"/>
        </w:rPr>
        <w:t xml:space="preserve">exist even though utilization is not even 90%, indicating </w:t>
      </w:r>
      <w:r>
        <w:rPr>
          <w:lang w:val="en-GB"/>
        </w:rPr>
        <w:t xml:space="preserve">there was </w:t>
      </w:r>
      <w:r w:rsidR="007A6D73" w:rsidRPr="4C8B4F60">
        <w:rPr>
          <w:lang w:val="en-GB"/>
        </w:rPr>
        <w:t xml:space="preserve">high pressure in the past. If you look at only utilization, you’d think </w:t>
      </w:r>
      <w:r w:rsidR="4B7F4E9D" w:rsidRPr="4C8B4F60">
        <w:rPr>
          <w:lang w:val="en-GB"/>
        </w:rPr>
        <w:t>y</w:t>
      </w:r>
      <w:r w:rsidR="006744C1" w:rsidRPr="4C8B4F60">
        <w:rPr>
          <w:lang w:val="en-GB"/>
        </w:rPr>
        <w:t>ou are</w:t>
      </w:r>
      <w:r w:rsidR="007A6D73" w:rsidRPr="4C8B4F60">
        <w:rPr>
          <w:lang w:val="en-GB"/>
        </w:rPr>
        <w:t xml:space="preserve"> safe!</w:t>
      </w:r>
    </w:p>
    <w:p w14:paraId="07870D4D" w14:textId="19386CC3" w:rsidR="00B93AFE" w:rsidRDefault="009702B0" w:rsidP="000C537A">
      <w:pPr>
        <w:rPr>
          <w:lang w:val="en-GB"/>
        </w:rPr>
      </w:pPr>
      <w:r>
        <w:rPr>
          <w:lang w:val="en-GB"/>
        </w:rPr>
        <w:t xml:space="preserve">I use the following settings for the threshold. </w:t>
      </w:r>
      <w:r w:rsidR="00C2604D">
        <w:rPr>
          <w:lang w:val="en-GB"/>
        </w:rPr>
        <w:t>What do you notice?</w:t>
      </w:r>
    </w:p>
    <w:p w14:paraId="7E69EC17" w14:textId="055A8F43" w:rsidR="009702B0" w:rsidRDefault="009702B0" w:rsidP="009702B0">
      <w:pPr>
        <w:jc w:val="center"/>
        <w:rPr>
          <w:lang w:val="en-GB"/>
        </w:rPr>
      </w:pPr>
      <w:r w:rsidRPr="009702B0">
        <w:rPr>
          <w:noProof/>
          <w:lang w:val="en-GB"/>
        </w:rPr>
        <w:lastRenderedPageBreak/>
        <w:drawing>
          <wp:inline distT="0" distB="0" distL="0" distR="0" wp14:anchorId="2765519D" wp14:editId="22169931">
            <wp:extent cx="3887857" cy="2555240"/>
            <wp:effectExtent l="0" t="0" r="0" b="0"/>
            <wp:docPr id="1583707919" name="Picture 1583707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6"/>
                    <a:stretch>
                      <a:fillRect/>
                    </a:stretch>
                  </pic:blipFill>
                  <pic:spPr>
                    <a:xfrm>
                      <a:off x="0" y="0"/>
                      <a:ext cx="3889327" cy="2556206"/>
                    </a:xfrm>
                    <a:prstGeom prst="rect">
                      <a:avLst/>
                    </a:prstGeom>
                  </pic:spPr>
                </pic:pic>
              </a:graphicData>
            </a:graphic>
          </wp:inline>
        </w:drawing>
      </w:r>
    </w:p>
    <w:p w14:paraId="7E36B59C" w14:textId="1EC4FF84" w:rsidR="00C2604D" w:rsidRDefault="00C2604D" w:rsidP="00C2604D">
      <w:pPr>
        <w:jc w:val="both"/>
        <w:rPr>
          <w:lang w:val="en-GB"/>
        </w:rPr>
      </w:pPr>
      <w:r>
        <w:rPr>
          <w:lang w:val="en-GB"/>
        </w:rPr>
        <w:t>The threshold for contention is much lower than the threshold</w:t>
      </w:r>
      <w:r w:rsidR="0088554B">
        <w:rPr>
          <w:lang w:val="en-GB"/>
        </w:rPr>
        <w:t xml:space="preserve"> for other </w:t>
      </w:r>
      <w:r w:rsidR="008D3A3F">
        <w:rPr>
          <w:lang w:val="en-GB"/>
        </w:rPr>
        <w:t>metrics</w:t>
      </w:r>
      <w:r w:rsidR="0088554B">
        <w:rPr>
          <w:lang w:val="en-GB"/>
        </w:rPr>
        <w:t>. This is because contention is the only performance metric. The rest is secondary</w:t>
      </w:r>
      <w:r w:rsidR="004B25D0">
        <w:rPr>
          <w:lang w:val="en-GB"/>
        </w:rPr>
        <w:t>, playing supporting role. You can have 10 GB compressed, so long they are not used, the VM does not experience delay.</w:t>
      </w:r>
    </w:p>
    <w:p w14:paraId="7A7434C8" w14:textId="207361C0" w:rsidR="00BE3C76" w:rsidRPr="001E1F93" w:rsidRDefault="001E1F93" w:rsidP="00E7573A">
      <w:pPr>
        <w:pStyle w:val="Heading5"/>
      </w:pPr>
      <w:r>
        <w:t xml:space="preserve">Storage </w:t>
      </w:r>
      <w:r>
        <w:rPr>
          <w:rStyle w:val="Heading5Char"/>
          <w:b/>
          <w:bCs/>
        </w:rPr>
        <w:t>Metrics</w:t>
      </w:r>
    </w:p>
    <w:p w14:paraId="4E4AE098" w14:textId="2EDA505F" w:rsidR="000C537A" w:rsidRPr="00A452F2" w:rsidRDefault="000C537A" w:rsidP="000C537A">
      <w:pPr>
        <w:rPr>
          <w:lang w:val="en-GB"/>
        </w:rPr>
      </w:pPr>
      <w:r w:rsidRPr="000C537A">
        <w:rPr>
          <w:noProof/>
          <w:lang w:val="en-GB"/>
        </w:rPr>
        <w:drawing>
          <wp:inline distT="0" distB="0" distL="0" distR="0" wp14:anchorId="084A1725" wp14:editId="57FFBFBF">
            <wp:extent cx="6645910" cy="832485"/>
            <wp:effectExtent l="0" t="0" r="2540" b="5715"/>
            <wp:docPr id="1583707944" name="Picture 1583707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7"/>
                    <a:stretch>
                      <a:fillRect/>
                    </a:stretch>
                  </pic:blipFill>
                  <pic:spPr>
                    <a:xfrm>
                      <a:off x="0" y="0"/>
                      <a:ext cx="6645910" cy="832485"/>
                    </a:xfrm>
                    <a:prstGeom prst="rect">
                      <a:avLst/>
                    </a:prstGeom>
                  </pic:spPr>
                </pic:pic>
              </a:graphicData>
            </a:graphic>
          </wp:inline>
        </w:drawing>
      </w:r>
    </w:p>
    <w:p w14:paraId="6471EED9" w14:textId="5F45AFD6" w:rsidR="007F43A4" w:rsidRDefault="007F43A4" w:rsidP="00860A31">
      <w:pPr>
        <w:rPr>
          <w:lang w:val="en-GB"/>
        </w:rPr>
      </w:pPr>
      <w:r w:rsidRPr="4C8B4F60">
        <w:rPr>
          <w:lang w:val="en-GB"/>
        </w:rPr>
        <w:t xml:space="preserve">The disk IOPS is split into read &amp; write to gain insight into the behaviour. </w:t>
      </w:r>
      <w:r w:rsidR="003425E1">
        <w:rPr>
          <w:lang w:val="en-GB"/>
        </w:rPr>
        <w:t xml:space="preserve">Look at the values </w:t>
      </w:r>
      <w:r w:rsidR="005F49E1">
        <w:rPr>
          <w:lang w:val="en-GB"/>
        </w:rPr>
        <w:t>for that cluster</w:t>
      </w:r>
      <w:r w:rsidR="003425E1">
        <w:rPr>
          <w:lang w:val="en-GB"/>
        </w:rPr>
        <w:t xml:space="preserve">. </w:t>
      </w:r>
      <w:r w:rsidR="0045514B">
        <w:rPr>
          <w:lang w:val="en-GB"/>
        </w:rPr>
        <w:t>Do they match your expectation?</w:t>
      </w:r>
      <w:r w:rsidR="002514A5" w:rsidRPr="4C8B4F60">
        <w:rPr>
          <w:lang w:val="en-GB"/>
        </w:rPr>
        <w:t xml:space="preserve"> </w:t>
      </w:r>
    </w:p>
    <w:p w14:paraId="0F777BAA" w14:textId="26BA2991" w:rsidR="00D724B0" w:rsidRPr="00225324" w:rsidRDefault="00D724B0" w:rsidP="00860A31">
      <w:pPr>
        <w:rPr>
          <w:color w:val="FF0000"/>
          <w:lang w:val="en-GB"/>
        </w:rPr>
      </w:pPr>
      <w:r w:rsidRPr="00225324">
        <w:rPr>
          <w:color w:val="FF0000"/>
          <w:lang w:val="en-GB"/>
        </w:rPr>
        <w:t xml:space="preserve">For throughput, why are the </w:t>
      </w:r>
      <w:r w:rsidR="008056FF" w:rsidRPr="00225324">
        <w:rPr>
          <w:color w:val="FF0000"/>
          <w:lang w:val="en-GB"/>
        </w:rPr>
        <w:t xml:space="preserve">unit set at Gbps? Why not GBps or Mbps? </w:t>
      </w:r>
    </w:p>
    <w:p w14:paraId="4ED97492" w14:textId="785D17B6" w:rsidR="008056FF" w:rsidRPr="00225324" w:rsidRDefault="008056FF" w:rsidP="00860A31">
      <w:pPr>
        <w:rPr>
          <w:color w:val="FF0000"/>
          <w:lang w:val="en-GB"/>
        </w:rPr>
      </w:pPr>
      <w:r w:rsidRPr="00225324">
        <w:rPr>
          <w:color w:val="FF0000"/>
          <w:lang w:val="en-GB"/>
        </w:rPr>
        <w:t xml:space="preserve">Because we’re referring to </w:t>
      </w:r>
      <w:r w:rsidR="00E82A95" w:rsidRPr="00225324">
        <w:rPr>
          <w:color w:val="FF0000"/>
          <w:lang w:val="en-GB"/>
        </w:rPr>
        <w:t>IO commands sent down the cable (your DC is not wireless, yet!)</w:t>
      </w:r>
      <w:r w:rsidR="00CD7A2D" w:rsidRPr="00225324">
        <w:rPr>
          <w:color w:val="FF0000"/>
          <w:lang w:val="en-GB"/>
        </w:rPr>
        <w:t xml:space="preserve">. </w:t>
      </w:r>
      <w:r w:rsidR="00162280" w:rsidRPr="00225324">
        <w:rPr>
          <w:color w:val="FF0000"/>
          <w:lang w:val="en-GB"/>
        </w:rPr>
        <w:t>Y</w:t>
      </w:r>
      <w:r w:rsidR="00CD7A2D" w:rsidRPr="00225324">
        <w:rPr>
          <w:color w:val="FF0000"/>
          <w:lang w:val="en-GB"/>
        </w:rPr>
        <w:t xml:space="preserve">our </w:t>
      </w:r>
      <w:r w:rsidR="00162280" w:rsidRPr="00225324">
        <w:rPr>
          <w:color w:val="FF0000"/>
          <w:lang w:val="en-GB"/>
        </w:rPr>
        <w:t>ethernet cable or</w:t>
      </w:r>
      <w:r w:rsidR="007C0323" w:rsidRPr="00225324">
        <w:rPr>
          <w:color w:val="FF0000"/>
          <w:lang w:val="en-GB"/>
        </w:rPr>
        <w:t xml:space="preserve"> </w:t>
      </w:r>
      <w:r w:rsidR="00162280" w:rsidRPr="00225324">
        <w:rPr>
          <w:color w:val="FF0000"/>
          <w:lang w:val="en-GB"/>
        </w:rPr>
        <w:t>FC cable use bit, such as 25 Gbps or 32 Gbps.</w:t>
      </w:r>
      <w:r w:rsidR="00225324">
        <w:rPr>
          <w:color w:val="FF0000"/>
          <w:lang w:val="en-GB"/>
        </w:rPr>
        <w:t xml:space="preserve"> [e1: in future change this to MB/second]</w:t>
      </w:r>
    </w:p>
    <w:p w14:paraId="3366B1BA" w14:textId="3622DAEC" w:rsidR="00CC27D3" w:rsidRPr="00A452F2" w:rsidRDefault="00CC27D3" w:rsidP="00860A31">
      <w:pPr>
        <w:rPr>
          <w:lang w:val="en-GB"/>
        </w:rPr>
      </w:pPr>
      <w:r>
        <w:rPr>
          <w:lang w:val="en-GB"/>
        </w:rPr>
        <w:t xml:space="preserve">Mbps is too small for a cluster. A cluster </w:t>
      </w:r>
      <w:r w:rsidR="002B692A">
        <w:rPr>
          <w:lang w:val="en-GB"/>
        </w:rPr>
        <w:t xml:space="preserve">doing useful work </w:t>
      </w:r>
      <w:r>
        <w:rPr>
          <w:lang w:val="en-GB"/>
        </w:rPr>
        <w:t xml:space="preserve">should </w:t>
      </w:r>
      <w:r w:rsidR="006955E6">
        <w:rPr>
          <w:lang w:val="en-GB"/>
        </w:rPr>
        <w:t xml:space="preserve">easily </w:t>
      </w:r>
      <w:r>
        <w:rPr>
          <w:lang w:val="en-GB"/>
        </w:rPr>
        <w:t>exceed 1 Gbps</w:t>
      </w:r>
      <w:r w:rsidR="00B62269">
        <w:rPr>
          <w:lang w:val="en-GB"/>
        </w:rPr>
        <w:t xml:space="preserve"> as it’s just 128 MB/s</w:t>
      </w:r>
      <w:r w:rsidR="006955E6">
        <w:rPr>
          <w:lang w:val="en-GB"/>
        </w:rPr>
        <w:t>. If</w:t>
      </w:r>
      <w:r w:rsidR="002B692A">
        <w:rPr>
          <w:lang w:val="en-GB"/>
        </w:rPr>
        <w:t xml:space="preserve"> you have distributed storage like vSAN</w:t>
      </w:r>
      <w:r w:rsidR="006955E6">
        <w:rPr>
          <w:lang w:val="en-GB"/>
        </w:rPr>
        <w:t>, you can very well exceed 10 Gbps.</w:t>
      </w:r>
    </w:p>
    <w:p w14:paraId="23BAD9BE" w14:textId="4BB57634" w:rsidR="00834BC4" w:rsidRDefault="00436A49" w:rsidP="00860A31">
      <w:pPr>
        <w:rPr>
          <w:lang w:val="en-GB"/>
        </w:rPr>
      </w:pPr>
      <w:r>
        <w:rPr>
          <w:lang w:val="en-GB"/>
        </w:rPr>
        <w:t>If you use VMFS datastores, add the disk contention metrics such as Bus Reset and Aborted Commands. You should expect they return 0 at all times.</w:t>
      </w:r>
    </w:p>
    <w:p w14:paraId="3CB32E45" w14:textId="38066794" w:rsidR="001E1F93" w:rsidRPr="00BE3C76" w:rsidRDefault="001E1F93" w:rsidP="00E7573A">
      <w:pPr>
        <w:pStyle w:val="Heading5"/>
      </w:pPr>
      <w:r>
        <w:rPr>
          <w:rStyle w:val="Heading5Char"/>
          <w:b/>
          <w:bCs/>
        </w:rPr>
        <w:lastRenderedPageBreak/>
        <w:t>Network Metrics</w:t>
      </w:r>
    </w:p>
    <w:p w14:paraId="26F493D6" w14:textId="528F8C80" w:rsidR="00B638A8" w:rsidRPr="00A452F2" w:rsidRDefault="00B638A8" w:rsidP="00860A31">
      <w:pPr>
        <w:rPr>
          <w:lang w:val="en-GB"/>
        </w:rPr>
      </w:pPr>
      <w:r w:rsidRPr="00B638A8">
        <w:rPr>
          <w:noProof/>
          <w:lang w:val="en-GB"/>
        </w:rPr>
        <w:drawing>
          <wp:inline distT="0" distB="0" distL="0" distR="0" wp14:anchorId="680DD98C" wp14:editId="096BDF27">
            <wp:extent cx="6645910" cy="817880"/>
            <wp:effectExtent l="0" t="0" r="2540" b="1270"/>
            <wp:docPr id="1583707945" name="Picture 1583707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8"/>
                    <a:stretch>
                      <a:fillRect/>
                    </a:stretch>
                  </pic:blipFill>
                  <pic:spPr>
                    <a:xfrm>
                      <a:off x="0" y="0"/>
                      <a:ext cx="6645910" cy="817880"/>
                    </a:xfrm>
                    <a:prstGeom prst="rect">
                      <a:avLst/>
                    </a:prstGeom>
                  </pic:spPr>
                </pic:pic>
              </a:graphicData>
            </a:graphic>
          </wp:inline>
        </w:drawing>
      </w:r>
    </w:p>
    <w:p w14:paraId="38622C30" w14:textId="3C7B2E5D" w:rsidR="00A4313A" w:rsidRDefault="00A4313A" w:rsidP="00A4313A">
      <w:pPr>
        <w:rPr>
          <w:lang w:val="en-GB"/>
        </w:rPr>
      </w:pPr>
      <w:r w:rsidRPr="4C8B4F60">
        <w:rPr>
          <w:lang w:val="en-GB"/>
        </w:rPr>
        <w:t xml:space="preserve">For network dropped packets, there are 2 types: physical (ESXi) and virtual (VM). The physical counter is used as that better represents infrastructure problems. The VM counter may suffer from a </w:t>
      </w:r>
      <w:hyperlink r:id="rId1079">
        <w:r w:rsidRPr="4C8B4F60">
          <w:rPr>
            <w:rStyle w:val="Hyperlink"/>
            <w:lang w:val="en-GB"/>
          </w:rPr>
          <w:t>false positive</w:t>
        </w:r>
      </w:hyperlink>
      <w:r w:rsidRPr="4C8B4F60">
        <w:rPr>
          <w:lang w:val="en-GB"/>
        </w:rPr>
        <w:t>. I recommend you customize this dashboard and add it anyway, for completeness.</w:t>
      </w:r>
    </w:p>
    <w:p w14:paraId="0C069BDE" w14:textId="77777777" w:rsidR="00C20DAA" w:rsidRPr="00A452F2" w:rsidRDefault="00C20DAA" w:rsidP="00C20DAA">
      <w:pPr>
        <w:rPr>
          <w:lang w:val="en-GB"/>
        </w:rPr>
      </w:pPr>
      <w:r w:rsidRPr="4CAB3972">
        <w:rPr>
          <w:lang w:val="en-GB"/>
        </w:rPr>
        <w:t xml:space="preserve">Expect the network error 1% and dropped packet to be 0 most of the times, if not always. If it’s not, </w:t>
      </w:r>
      <w:r>
        <w:rPr>
          <w:lang w:val="en-GB"/>
        </w:rPr>
        <w:t>analyze</w:t>
      </w:r>
      <w:r w:rsidRPr="4CAB3972">
        <w:rPr>
          <w:lang w:val="en-GB"/>
        </w:rPr>
        <w:t xml:space="preserve"> to see if there is any patterns across all ESXi Hosts, and bring it up to your network team. </w:t>
      </w:r>
    </w:p>
    <w:p w14:paraId="5CAE8ADD" w14:textId="744AB353" w:rsidR="00077BE0" w:rsidRPr="00A452F2" w:rsidRDefault="00077BE0" w:rsidP="00A4313A">
      <w:pPr>
        <w:rPr>
          <w:lang w:val="en-GB"/>
        </w:rPr>
      </w:pPr>
      <w:r w:rsidRPr="00A452F2">
        <w:rPr>
          <w:lang w:val="en-GB"/>
        </w:rPr>
        <w:t>The network throughput is split into sent (transmit) and received to gain insight into the behaviour. Plus, the total usage can be misleading because it sums send and received traffic. In reality the network pipe is 1x for each direction (due to the full duplex nature of ethernet), not 2x shared by both.</w:t>
      </w:r>
    </w:p>
    <w:p w14:paraId="0EB0B42A" w14:textId="06914845" w:rsidR="00A31897" w:rsidRDefault="00F37169" w:rsidP="00E7573A">
      <w:pPr>
        <w:pStyle w:val="Heading5"/>
      </w:pPr>
      <w:r>
        <w:t>Other KPI Metrics</w:t>
      </w:r>
    </w:p>
    <w:p w14:paraId="41F8004B" w14:textId="4FC67640" w:rsidR="00A31897" w:rsidRDefault="00A31897" w:rsidP="00584B6B">
      <w:pPr>
        <w:rPr>
          <w:lang w:val="en-GB"/>
        </w:rPr>
      </w:pPr>
      <w:r w:rsidRPr="00A31897">
        <w:rPr>
          <w:noProof/>
          <w:lang w:val="en-GB"/>
        </w:rPr>
        <w:drawing>
          <wp:inline distT="0" distB="0" distL="0" distR="0" wp14:anchorId="0BB3449A" wp14:editId="0A5C89B4">
            <wp:extent cx="6645910" cy="831215"/>
            <wp:effectExtent l="0" t="0" r="2540" b="6985"/>
            <wp:docPr id="1583707946" name="Picture 1583707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0"/>
                    <a:stretch>
                      <a:fillRect/>
                    </a:stretch>
                  </pic:blipFill>
                  <pic:spPr>
                    <a:xfrm>
                      <a:off x="0" y="0"/>
                      <a:ext cx="6645910" cy="831215"/>
                    </a:xfrm>
                    <a:prstGeom prst="rect">
                      <a:avLst/>
                    </a:prstGeom>
                  </pic:spPr>
                </pic:pic>
              </a:graphicData>
            </a:graphic>
          </wp:inline>
        </w:drawing>
      </w:r>
    </w:p>
    <w:p w14:paraId="57D31CAD" w14:textId="77777777" w:rsidR="00326E64" w:rsidRPr="00A452F2" w:rsidRDefault="00326E64" w:rsidP="00326E64">
      <w:pPr>
        <w:rPr>
          <w:lang w:val="en-GB"/>
        </w:rPr>
      </w:pPr>
      <w:r w:rsidRPr="00A452F2">
        <w:rPr>
          <w:lang w:val="en-GB"/>
        </w:rPr>
        <w:t xml:space="preserve">The vMotion line chart is added as a high number of vMotion can indicate the cluster load is volatile, assuming the DRS Automation level is not set to the most sensitive setting. </w:t>
      </w:r>
    </w:p>
    <w:p w14:paraId="578DC54E" w14:textId="682C402E" w:rsidR="00864DDB" w:rsidRDefault="00F37169" w:rsidP="00E7573A">
      <w:pPr>
        <w:pStyle w:val="Heading5"/>
      </w:pPr>
      <w:r>
        <w:t xml:space="preserve">VM </w:t>
      </w:r>
      <w:r w:rsidR="00864DDB">
        <w:t>Shares</w:t>
      </w:r>
    </w:p>
    <w:p w14:paraId="04A70227" w14:textId="3C9B0A00" w:rsidR="00A7562F" w:rsidRPr="00A7562F" w:rsidRDefault="005F49E1" w:rsidP="00A7562F">
      <w:pPr>
        <w:rPr>
          <w:lang w:val="en-GB"/>
        </w:rPr>
      </w:pPr>
      <w:r>
        <w:rPr>
          <w:lang w:val="en-GB"/>
        </w:rPr>
        <w:t xml:space="preserve">One common root cause for uneven performance problem is </w:t>
      </w:r>
      <w:r w:rsidR="00FB0FEC">
        <w:rPr>
          <w:lang w:val="en-GB"/>
        </w:rPr>
        <w:t xml:space="preserve">uneven shares. This is easy to make a mistake, as shares are relative. So when you see many slices of the pie, ask yourself why you need that many. Each slice should correspond to a Class of Service. So the entire cluster is serving 1 class, then you should see </w:t>
      </w:r>
      <w:r w:rsidR="008C74C8">
        <w:rPr>
          <w:lang w:val="en-GB"/>
        </w:rPr>
        <w:t>a simple circle with no pizza slice.</w:t>
      </w:r>
    </w:p>
    <w:p w14:paraId="5CD722EB" w14:textId="555238F2" w:rsidR="00864DDB" w:rsidRPr="00A452F2" w:rsidRDefault="00864DDB" w:rsidP="00FB0FEC">
      <w:pPr>
        <w:jc w:val="center"/>
        <w:rPr>
          <w:lang w:val="en-GB"/>
        </w:rPr>
      </w:pPr>
      <w:r w:rsidRPr="00864DDB">
        <w:rPr>
          <w:noProof/>
          <w:lang w:val="en-GB"/>
        </w:rPr>
        <w:lastRenderedPageBreak/>
        <w:drawing>
          <wp:inline distT="0" distB="0" distL="0" distR="0" wp14:anchorId="4E5F7CB9" wp14:editId="1B1B6A27">
            <wp:extent cx="5211005" cy="1773514"/>
            <wp:effectExtent l="0" t="0" r="0" b="0"/>
            <wp:docPr id="1583707947" name="Picture 1583707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1"/>
                    <a:stretch>
                      <a:fillRect/>
                    </a:stretch>
                  </pic:blipFill>
                  <pic:spPr>
                    <a:xfrm>
                      <a:off x="0" y="0"/>
                      <a:ext cx="5216028" cy="1775224"/>
                    </a:xfrm>
                    <a:prstGeom prst="rect">
                      <a:avLst/>
                    </a:prstGeom>
                  </pic:spPr>
                </pic:pic>
              </a:graphicData>
            </a:graphic>
          </wp:inline>
        </w:drawing>
      </w:r>
    </w:p>
    <w:p w14:paraId="06CEE4CC" w14:textId="318AAE8E" w:rsidR="00042933" w:rsidRDefault="00042933" w:rsidP="00AC6E1E">
      <w:pPr>
        <w:pStyle w:val="Heading4"/>
      </w:pPr>
      <w:bookmarkStart w:id="148" w:name="_Cluster_Utilization"/>
      <w:bookmarkEnd w:id="148"/>
      <w:r>
        <w:t xml:space="preserve">Resource Pool Analysis </w:t>
      </w:r>
    </w:p>
    <w:p w14:paraId="305747C4" w14:textId="4816FD15" w:rsidR="008C74C8" w:rsidRPr="008C74C8" w:rsidRDefault="008C74C8" w:rsidP="008C74C8">
      <w:pPr>
        <w:rPr>
          <w:lang w:val="en-GB"/>
        </w:rPr>
      </w:pPr>
      <w:r>
        <w:rPr>
          <w:lang w:val="en-GB"/>
        </w:rPr>
        <w:t xml:space="preserve">Resource Pool is another common reason behind uneven VM performance. </w:t>
      </w:r>
      <w:r w:rsidR="001E799E">
        <w:rPr>
          <w:lang w:val="en-GB"/>
        </w:rPr>
        <w:t xml:space="preserve">They can also get complicated as you can cascade resource pool. </w:t>
      </w:r>
      <w:r w:rsidR="007C45D5">
        <w:rPr>
          <w:lang w:val="en-GB"/>
        </w:rPr>
        <w:t>The following example shows a cluster with way too many resource pool</w:t>
      </w:r>
      <w:r w:rsidR="00A64C9E">
        <w:rPr>
          <w:lang w:val="en-GB"/>
        </w:rPr>
        <w:t>s</w:t>
      </w:r>
      <w:r w:rsidR="007C45D5">
        <w:rPr>
          <w:lang w:val="en-GB"/>
        </w:rPr>
        <w:t xml:space="preserve">. </w:t>
      </w:r>
      <w:r w:rsidR="00A64C9E">
        <w:rPr>
          <w:lang w:val="en-GB"/>
        </w:rPr>
        <w:t>This alone will make performance management difficult.</w:t>
      </w:r>
    </w:p>
    <w:p w14:paraId="6AED500B" w14:textId="45DFDAE4" w:rsidR="009868C7" w:rsidRDefault="009868C7" w:rsidP="009868C7">
      <w:pPr>
        <w:jc w:val="center"/>
        <w:rPr>
          <w:lang w:val="en-GB"/>
        </w:rPr>
      </w:pPr>
      <w:r w:rsidRPr="008A3236">
        <w:rPr>
          <w:noProof/>
          <w:lang w:val="en-GB"/>
        </w:rPr>
        <w:drawing>
          <wp:inline distT="0" distB="0" distL="0" distR="0" wp14:anchorId="74EC8838" wp14:editId="05C410A5">
            <wp:extent cx="3131558" cy="1691376"/>
            <wp:effectExtent l="0" t="0" r="0" b="4445"/>
            <wp:docPr id="1583707948" name="Picture 1583707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3"/>
                    <a:stretch>
                      <a:fillRect/>
                    </a:stretch>
                  </pic:blipFill>
                  <pic:spPr>
                    <a:xfrm>
                      <a:off x="0" y="0"/>
                      <a:ext cx="3135949" cy="1693748"/>
                    </a:xfrm>
                    <a:prstGeom prst="rect">
                      <a:avLst/>
                    </a:prstGeom>
                  </pic:spPr>
                </pic:pic>
              </a:graphicData>
            </a:graphic>
          </wp:inline>
        </w:drawing>
      </w:r>
    </w:p>
    <w:p w14:paraId="2D24AC4F" w14:textId="51CC8678" w:rsidR="009868C7" w:rsidRDefault="009868C7" w:rsidP="009868C7">
      <w:pPr>
        <w:rPr>
          <w:lang w:val="en-GB"/>
        </w:rPr>
      </w:pPr>
      <w:r>
        <w:rPr>
          <w:lang w:val="en-GB"/>
        </w:rPr>
        <w:t xml:space="preserve">The </w:t>
      </w:r>
      <w:r w:rsidR="00A64C9E">
        <w:rPr>
          <w:lang w:val="en-GB"/>
        </w:rPr>
        <w:t xml:space="preserve">second </w:t>
      </w:r>
      <w:r>
        <w:rPr>
          <w:lang w:val="en-GB"/>
        </w:rPr>
        <w:t>cluster has</w:t>
      </w:r>
      <w:r w:rsidR="00A64C9E">
        <w:rPr>
          <w:lang w:val="en-GB"/>
        </w:rPr>
        <w:t xml:space="preserve"> 4 resource pool</w:t>
      </w:r>
      <w:r w:rsidR="00380848">
        <w:rPr>
          <w:lang w:val="en-GB"/>
        </w:rPr>
        <w:t>s. They are sized by their respective share. A pool with 2x share will have 2x the size. With that</w:t>
      </w:r>
      <w:r w:rsidR="006A74D3">
        <w:rPr>
          <w:lang w:val="en-GB"/>
        </w:rPr>
        <w:t xml:space="preserve"> in mind, can you spot a problem?</w:t>
      </w:r>
      <w:r>
        <w:rPr>
          <w:lang w:val="en-GB"/>
        </w:rPr>
        <w:t xml:space="preserve"> </w:t>
      </w:r>
    </w:p>
    <w:p w14:paraId="5830BF27" w14:textId="78A83EDE" w:rsidR="003E5039" w:rsidRDefault="009A7E5D" w:rsidP="00B1673C">
      <w:pPr>
        <w:jc w:val="center"/>
        <w:rPr>
          <w:lang w:val="en-GB"/>
        </w:rPr>
      </w:pPr>
      <w:r w:rsidRPr="00FA4CC5">
        <w:rPr>
          <w:noProof/>
          <w:lang w:val="en-GB"/>
        </w:rPr>
        <w:drawing>
          <wp:inline distT="0" distB="0" distL="0" distR="0" wp14:anchorId="36342FD5" wp14:editId="4DBF3F71">
            <wp:extent cx="3102871" cy="1678602"/>
            <wp:effectExtent l="0" t="0" r="2540" b="0"/>
            <wp:docPr id="1583707949" name="Picture 1583707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4"/>
                    <a:stretch>
                      <a:fillRect/>
                    </a:stretch>
                  </pic:blipFill>
                  <pic:spPr>
                    <a:xfrm>
                      <a:off x="0" y="0"/>
                      <a:ext cx="3116031" cy="1685721"/>
                    </a:xfrm>
                    <a:prstGeom prst="rect">
                      <a:avLst/>
                    </a:prstGeom>
                  </pic:spPr>
                </pic:pic>
              </a:graphicData>
            </a:graphic>
          </wp:inline>
        </w:drawing>
      </w:r>
    </w:p>
    <w:p w14:paraId="72F32558" w14:textId="2B772028" w:rsidR="009868C7" w:rsidRDefault="006A74D3" w:rsidP="009868C7">
      <w:pPr>
        <w:rPr>
          <w:lang w:val="en-GB"/>
        </w:rPr>
      </w:pPr>
      <w:r>
        <w:rPr>
          <w:lang w:val="en-GB"/>
        </w:rPr>
        <w:t>Yes, t</w:t>
      </w:r>
      <w:r w:rsidR="009868C7">
        <w:rPr>
          <w:lang w:val="en-GB"/>
        </w:rPr>
        <w:t>hey are of equal share. What’s the point of having resource pool when they are the same share? It looks like a common mistake of using resource pool as folder.</w:t>
      </w:r>
    </w:p>
    <w:p w14:paraId="14195F7F" w14:textId="51C760EB" w:rsidR="006A74D3" w:rsidRPr="008A3236" w:rsidRDefault="006A74D3" w:rsidP="009868C7">
      <w:pPr>
        <w:rPr>
          <w:lang w:val="en-GB"/>
        </w:rPr>
      </w:pPr>
      <w:r>
        <w:rPr>
          <w:lang w:val="en-GB"/>
        </w:rPr>
        <w:t>The dashboard also provides a table listing all the resource pool.</w:t>
      </w:r>
    </w:p>
    <w:p w14:paraId="2DBD6E27" w14:textId="1F6192F0" w:rsidR="00042933" w:rsidRDefault="00F47218" w:rsidP="00042933">
      <w:pPr>
        <w:rPr>
          <w:lang w:val="en-GB"/>
        </w:rPr>
      </w:pPr>
      <w:r w:rsidRPr="00F47218">
        <w:rPr>
          <w:noProof/>
          <w:lang w:val="en-GB"/>
        </w:rPr>
        <w:lastRenderedPageBreak/>
        <w:drawing>
          <wp:inline distT="0" distB="0" distL="0" distR="0" wp14:anchorId="4D1F8F69" wp14:editId="3CF1A00D">
            <wp:extent cx="6645910" cy="945515"/>
            <wp:effectExtent l="0" t="0" r="2540" b="6985"/>
            <wp:docPr id="1583707950" name="Picture 1583707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2"/>
                    <a:stretch>
                      <a:fillRect/>
                    </a:stretch>
                  </pic:blipFill>
                  <pic:spPr>
                    <a:xfrm>
                      <a:off x="0" y="0"/>
                      <a:ext cx="6645910" cy="945515"/>
                    </a:xfrm>
                    <a:prstGeom prst="rect">
                      <a:avLst/>
                    </a:prstGeom>
                  </pic:spPr>
                </pic:pic>
              </a:graphicData>
            </a:graphic>
          </wp:inline>
        </w:drawing>
      </w:r>
    </w:p>
    <w:p w14:paraId="7D4ECD76" w14:textId="1DCFCDFE" w:rsidR="002D0A60" w:rsidRPr="00042933" w:rsidRDefault="002D0A60" w:rsidP="00042933">
      <w:pPr>
        <w:rPr>
          <w:lang w:val="en-GB"/>
        </w:rPr>
      </w:pPr>
      <w:r>
        <w:rPr>
          <w:lang w:val="en-GB"/>
        </w:rPr>
        <w:t>You can navigate to the VM performance dashboard. It will show the VMs in the selected resource pool.</w:t>
      </w:r>
    </w:p>
    <w:p w14:paraId="6E163BB6" w14:textId="235548DD" w:rsidR="007558D1" w:rsidRDefault="007558D1" w:rsidP="00AC6E1E">
      <w:pPr>
        <w:pStyle w:val="Heading4"/>
      </w:pPr>
      <w:r w:rsidRPr="00A452F2">
        <w:t xml:space="preserve">ESXi </w:t>
      </w:r>
      <w:r w:rsidR="00A979FA">
        <w:t>Analysis</w:t>
      </w:r>
    </w:p>
    <w:p w14:paraId="377B2700" w14:textId="05EE27C2" w:rsidR="00882791" w:rsidRPr="00A452F2" w:rsidRDefault="00E529D1" w:rsidP="003B1D24">
      <w:pPr>
        <w:rPr>
          <w:lang w:val="en-GB"/>
        </w:rPr>
      </w:pPr>
      <w:r>
        <w:rPr>
          <w:lang w:val="en-GB"/>
        </w:rPr>
        <w:t>At the end of the</w:t>
      </w:r>
      <w:r w:rsidR="001024A3">
        <w:rPr>
          <w:lang w:val="en-GB"/>
        </w:rPr>
        <w:t xml:space="preserve"> day, a</w:t>
      </w:r>
      <w:r>
        <w:rPr>
          <w:lang w:val="en-GB"/>
        </w:rPr>
        <w:t xml:space="preserve"> cluster </w:t>
      </w:r>
      <w:r w:rsidR="001024A3">
        <w:rPr>
          <w:lang w:val="en-GB"/>
        </w:rPr>
        <w:t>is just a collection of ESXi. The performance can be caused by uneven performance</w:t>
      </w:r>
      <w:r w:rsidR="00096E1F">
        <w:rPr>
          <w:lang w:val="en-GB"/>
        </w:rPr>
        <w:t xml:space="preserve"> among the member hosts</w:t>
      </w:r>
      <w:r w:rsidR="001024A3">
        <w:rPr>
          <w:lang w:val="en-GB"/>
        </w:rPr>
        <w:t xml:space="preserve">. </w:t>
      </w:r>
      <w:r w:rsidR="00CD0179">
        <w:rPr>
          <w:lang w:val="en-GB"/>
        </w:rPr>
        <w:t>You can drill down from cluster to</w:t>
      </w:r>
      <w:r w:rsidR="00086992">
        <w:rPr>
          <w:lang w:val="en-GB"/>
        </w:rPr>
        <w:t xml:space="preserve"> ESXi</w:t>
      </w:r>
      <w:r w:rsidR="00CD0179">
        <w:rPr>
          <w:lang w:val="en-GB"/>
        </w:rPr>
        <w:t xml:space="preserve">. </w:t>
      </w:r>
      <w:r w:rsidR="001E6C79">
        <w:rPr>
          <w:lang w:val="en-GB"/>
        </w:rPr>
        <w:t xml:space="preserve">The </w:t>
      </w:r>
      <w:r w:rsidR="003B1D24">
        <w:rPr>
          <w:lang w:val="en-GB"/>
        </w:rPr>
        <w:t xml:space="preserve">following table </w:t>
      </w:r>
      <w:r w:rsidR="00882791" w:rsidRPr="00A452F2">
        <w:rPr>
          <w:lang w:val="en-GB"/>
        </w:rPr>
        <w:t>lists all the ESXi hosts</w:t>
      </w:r>
      <w:r w:rsidR="003B1D24">
        <w:rPr>
          <w:lang w:val="en-GB"/>
        </w:rPr>
        <w:t xml:space="preserve"> in the cluster</w:t>
      </w:r>
      <w:r w:rsidR="00882791" w:rsidRPr="00A452F2">
        <w:rPr>
          <w:lang w:val="en-GB"/>
        </w:rPr>
        <w:t xml:space="preserve">, sorted by the worst performance in the last 24 hours. </w:t>
      </w:r>
    </w:p>
    <w:p w14:paraId="09C247D8" w14:textId="0FDAF8EE" w:rsidR="0014141F" w:rsidRDefault="00061199" w:rsidP="003B1D24">
      <w:pPr>
        <w:jc w:val="center"/>
        <w:rPr>
          <w:lang w:val="en-GB"/>
        </w:rPr>
      </w:pPr>
      <w:r w:rsidRPr="00061199">
        <w:rPr>
          <w:noProof/>
          <w:lang w:val="en-GB"/>
        </w:rPr>
        <w:drawing>
          <wp:inline distT="0" distB="0" distL="0" distR="0" wp14:anchorId="73A4969F" wp14:editId="1C95EFF0">
            <wp:extent cx="5140667" cy="3230476"/>
            <wp:effectExtent l="0" t="0" r="3175" b="8255"/>
            <wp:docPr id="1583707951" name="Picture 1583707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3"/>
                    <a:stretch>
                      <a:fillRect/>
                    </a:stretch>
                  </pic:blipFill>
                  <pic:spPr>
                    <a:xfrm>
                      <a:off x="0" y="0"/>
                      <a:ext cx="5143614" cy="3232328"/>
                    </a:xfrm>
                    <a:prstGeom prst="rect">
                      <a:avLst/>
                    </a:prstGeom>
                  </pic:spPr>
                </pic:pic>
              </a:graphicData>
            </a:graphic>
          </wp:inline>
        </w:drawing>
      </w:r>
    </w:p>
    <w:p w14:paraId="782C5BA8" w14:textId="798844CB" w:rsidR="003B1D24" w:rsidRPr="00A452F2" w:rsidRDefault="003B1D24" w:rsidP="003B1D24">
      <w:pPr>
        <w:rPr>
          <w:lang w:val="en-GB"/>
        </w:rPr>
      </w:pPr>
      <w:r w:rsidRPr="00A452F2">
        <w:rPr>
          <w:lang w:val="en-GB"/>
        </w:rPr>
        <w:t xml:space="preserve">If the table is all showing </w:t>
      </w:r>
      <w:r w:rsidR="0022569A" w:rsidRPr="0022569A">
        <w:rPr>
          <w:color w:val="00B050"/>
          <w:lang w:val="en-GB"/>
        </w:rPr>
        <w:t>green</w:t>
      </w:r>
      <w:r w:rsidRPr="00A452F2">
        <w:rPr>
          <w:lang w:val="en-GB"/>
        </w:rPr>
        <w:t xml:space="preserve">, then there is no need to </w:t>
      </w:r>
      <w:r>
        <w:rPr>
          <w:lang w:val="en-GB"/>
        </w:rPr>
        <w:t>analyze</w:t>
      </w:r>
      <w:r w:rsidRPr="00A452F2">
        <w:rPr>
          <w:lang w:val="en-GB"/>
        </w:rPr>
        <w:t xml:space="preserve"> further. The reason 24 hours is chosen instead of 1 week is the performance &gt; 24 hours</w:t>
      </w:r>
      <w:r w:rsidR="00086992">
        <w:rPr>
          <w:lang w:val="en-GB"/>
        </w:rPr>
        <w:t xml:space="preserve"> ago</w:t>
      </w:r>
      <w:r w:rsidRPr="00A452F2">
        <w:rPr>
          <w:lang w:val="en-GB"/>
        </w:rPr>
        <w:t xml:space="preserve"> are likely to be irrelevant. </w:t>
      </w:r>
    </w:p>
    <w:p w14:paraId="58C52501" w14:textId="77777777" w:rsidR="003B1D24" w:rsidRPr="00A452F2" w:rsidRDefault="003B1D24" w:rsidP="003B1D24">
      <w:pPr>
        <w:rPr>
          <w:lang w:val="en-GB"/>
        </w:rPr>
      </w:pPr>
      <w:r w:rsidRPr="00A452F2">
        <w:rPr>
          <w:lang w:val="en-GB"/>
        </w:rPr>
        <w:t xml:space="preserve">You can change the time period to the period of your interest. The maximum number will be reflected accordingly. </w:t>
      </w:r>
    </w:p>
    <w:p w14:paraId="2E20BA55" w14:textId="5182E51E" w:rsidR="0014141F" w:rsidRDefault="0014141F" w:rsidP="00F6120D">
      <w:pPr>
        <w:rPr>
          <w:lang w:val="en-GB"/>
        </w:rPr>
      </w:pPr>
      <w:r>
        <w:rPr>
          <w:lang w:val="en-GB"/>
        </w:rPr>
        <w:t>The table helps you quickly compare the performance of each ESXi</w:t>
      </w:r>
      <w:r w:rsidR="00255676">
        <w:rPr>
          <w:lang w:val="en-GB"/>
        </w:rPr>
        <w:t>. You can also see the performance over time, to see a trend. For example, here is</w:t>
      </w:r>
      <w:r w:rsidR="00747C32">
        <w:rPr>
          <w:lang w:val="en-GB"/>
        </w:rPr>
        <w:t xml:space="preserve"> the performance of one of the host</w:t>
      </w:r>
      <w:r w:rsidR="00A93993">
        <w:rPr>
          <w:lang w:val="en-GB"/>
        </w:rPr>
        <w:t>s</w:t>
      </w:r>
      <w:r w:rsidR="00747C32">
        <w:rPr>
          <w:lang w:val="en-GB"/>
        </w:rPr>
        <w:t>.</w:t>
      </w:r>
    </w:p>
    <w:p w14:paraId="593BC6F7" w14:textId="6995F6BB" w:rsidR="0014141F" w:rsidRDefault="0014141F" w:rsidP="00F6120D">
      <w:pPr>
        <w:rPr>
          <w:lang w:val="en-GB"/>
        </w:rPr>
      </w:pPr>
      <w:r w:rsidRPr="0014141F">
        <w:rPr>
          <w:noProof/>
          <w:lang w:val="en-GB"/>
        </w:rPr>
        <w:lastRenderedPageBreak/>
        <w:drawing>
          <wp:inline distT="0" distB="0" distL="0" distR="0" wp14:anchorId="50698861" wp14:editId="3F227C2A">
            <wp:extent cx="6645910" cy="1132840"/>
            <wp:effectExtent l="0" t="0" r="2540" b="0"/>
            <wp:docPr id="1583707952" name="Picture 1583707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4"/>
                    <a:stretch>
                      <a:fillRect/>
                    </a:stretch>
                  </pic:blipFill>
                  <pic:spPr>
                    <a:xfrm>
                      <a:off x="0" y="0"/>
                      <a:ext cx="6645910" cy="1132840"/>
                    </a:xfrm>
                    <a:prstGeom prst="rect">
                      <a:avLst/>
                    </a:prstGeom>
                  </pic:spPr>
                </pic:pic>
              </a:graphicData>
            </a:graphic>
          </wp:inline>
        </w:drawing>
      </w:r>
    </w:p>
    <w:p w14:paraId="39274FFB" w14:textId="0E49BD4E" w:rsidR="00381AF1" w:rsidRDefault="00381AF1" w:rsidP="00F6120D">
      <w:pPr>
        <w:rPr>
          <w:lang w:val="en-GB"/>
        </w:rPr>
      </w:pPr>
      <w:r>
        <w:rPr>
          <w:lang w:val="en-GB"/>
        </w:rPr>
        <w:t xml:space="preserve">Another ESXi on the same </w:t>
      </w:r>
      <w:r w:rsidR="00747C32">
        <w:rPr>
          <w:lang w:val="en-GB"/>
        </w:rPr>
        <w:t>cluster is showing a different experience. What does it tell you?</w:t>
      </w:r>
    </w:p>
    <w:p w14:paraId="2FA512E5" w14:textId="15765614" w:rsidR="00381AF1" w:rsidRDefault="00381AF1" w:rsidP="00F6120D">
      <w:pPr>
        <w:rPr>
          <w:lang w:val="en-GB"/>
        </w:rPr>
      </w:pPr>
      <w:r w:rsidRPr="00381AF1">
        <w:rPr>
          <w:noProof/>
          <w:lang w:val="en-GB"/>
        </w:rPr>
        <w:drawing>
          <wp:inline distT="0" distB="0" distL="0" distR="0" wp14:anchorId="77D0E799" wp14:editId="29023705">
            <wp:extent cx="6645910" cy="1119505"/>
            <wp:effectExtent l="0" t="0" r="2540" b="4445"/>
            <wp:docPr id="1583707953" name="Picture 1583707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5"/>
                    <a:stretch>
                      <a:fillRect/>
                    </a:stretch>
                  </pic:blipFill>
                  <pic:spPr>
                    <a:xfrm>
                      <a:off x="0" y="0"/>
                      <a:ext cx="6645910" cy="1119505"/>
                    </a:xfrm>
                    <a:prstGeom prst="rect">
                      <a:avLst/>
                    </a:prstGeom>
                  </pic:spPr>
                </pic:pic>
              </a:graphicData>
            </a:graphic>
          </wp:inline>
        </w:drawing>
      </w:r>
    </w:p>
    <w:p w14:paraId="3C486F7C" w14:textId="47B50274" w:rsidR="00747C32" w:rsidRDefault="00747C32" w:rsidP="00FA64AD">
      <w:pPr>
        <w:rPr>
          <w:lang w:val="en-GB"/>
        </w:rPr>
      </w:pPr>
      <w:r>
        <w:rPr>
          <w:lang w:val="en-GB"/>
        </w:rPr>
        <w:t xml:space="preserve">Yes, there is </w:t>
      </w:r>
      <w:r w:rsidR="00654EA3">
        <w:rPr>
          <w:lang w:val="en-GB"/>
        </w:rPr>
        <w:t>imbalance</w:t>
      </w:r>
      <w:r w:rsidR="001C3D07">
        <w:rPr>
          <w:lang w:val="en-GB"/>
        </w:rPr>
        <w:t>. A cluster is meant to be balanced, if you enable DRS. The above proves that something has constrain</w:t>
      </w:r>
      <w:r w:rsidR="003418A9">
        <w:rPr>
          <w:lang w:val="en-GB"/>
        </w:rPr>
        <w:t xml:space="preserve">ed </w:t>
      </w:r>
      <w:r w:rsidR="001C3D07">
        <w:rPr>
          <w:lang w:val="en-GB"/>
        </w:rPr>
        <w:t xml:space="preserve">DRS </w:t>
      </w:r>
      <w:r w:rsidR="003418A9">
        <w:rPr>
          <w:lang w:val="en-GB"/>
        </w:rPr>
        <w:t>ability.</w:t>
      </w:r>
    </w:p>
    <w:p w14:paraId="3CE2CD96" w14:textId="1E7270B5" w:rsidR="003418A9" w:rsidRDefault="003418A9" w:rsidP="00FA64AD">
      <w:pPr>
        <w:rPr>
          <w:lang w:val="en-GB"/>
        </w:rPr>
      </w:pPr>
      <w:r>
        <w:rPr>
          <w:lang w:val="en-GB"/>
        </w:rPr>
        <w:t xml:space="preserve">Just like the cluster KPI, you can also see the KPI of a host. </w:t>
      </w:r>
      <w:r w:rsidR="00966E44">
        <w:rPr>
          <w:lang w:val="en-GB"/>
        </w:rPr>
        <w:t>They are similar to the cluster</w:t>
      </w:r>
      <w:r w:rsidR="00A52A61">
        <w:rPr>
          <w:lang w:val="en-GB"/>
        </w:rPr>
        <w:t xml:space="preserve">, so to avoid duplication, I’m </w:t>
      </w:r>
      <w:r w:rsidR="00487983">
        <w:rPr>
          <w:lang w:val="en-GB"/>
        </w:rPr>
        <w:t>only covering the difference.</w:t>
      </w:r>
    </w:p>
    <w:p w14:paraId="3D11A91A" w14:textId="6889E8FE" w:rsidR="003A59E6" w:rsidRDefault="007627DF" w:rsidP="00E7573A">
      <w:pPr>
        <w:pStyle w:val="Heading5"/>
      </w:pPr>
      <w:r>
        <w:t>CPU Metrics</w:t>
      </w:r>
    </w:p>
    <w:p w14:paraId="25D6380E" w14:textId="7931BAFC" w:rsidR="003C1BFD" w:rsidRDefault="003C1BFD" w:rsidP="00FA64AD">
      <w:pPr>
        <w:rPr>
          <w:lang w:val="en-GB"/>
        </w:rPr>
      </w:pPr>
      <w:r w:rsidRPr="003C1BFD">
        <w:rPr>
          <w:noProof/>
          <w:lang w:val="en-GB"/>
        </w:rPr>
        <w:drawing>
          <wp:inline distT="0" distB="0" distL="0" distR="0" wp14:anchorId="03DF4AD0" wp14:editId="55057389">
            <wp:extent cx="6645910" cy="836295"/>
            <wp:effectExtent l="0" t="0" r="2540" b="1905"/>
            <wp:docPr id="1583707955" name="Picture 1583707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6"/>
                    <a:stretch>
                      <a:fillRect/>
                    </a:stretch>
                  </pic:blipFill>
                  <pic:spPr>
                    <a:xfrm>
                      <a:off x="0" y="0"/>
                      <a:ext cx="6645910" cy="836295"/>
                    </a:xfrm>
                    <a:prstGeom prst="rect">
                      <a:avLst/>
                    </a:prstGeom>
                  </pic:spPr>
                </pic:pic>
              </a:graphicData>
            </a:graphic>
          </wp:inline>
        </w:drawing>
      </w:r>
    </w:p>
    <w:p w14:paraId="4BE3C4BE" w14:textId="69A79792" w:rsidR="003C1BFD" w:rsidRDefault="007E64D5" w:rsidP="00FA64AD">
      <w:pPr>
        <w:rPr>
          <w:lang w:val="en-GB"/>
        </w:rPr>
      </w:pPr>
      <w:r>
        <w:rPr>
          <w:lang w:val="en-GB"/>
        </w:rPr>
        <w:t xml:space="preserve">An ESXi </w:t>
      </w:r>
      <w:r w:rsidR="006574E2">
        <w:rPr>
          <w:lang w:val="en-GB"/>
        </w:rPr>
        <w:t xml:space="preserve">typically has a few dozen </w:t>
      </w:r>
      <w:r w:rsidR="005074AD">
        <w:rPr>
          <w:lang w:val="en-GB"/>
        </w:rPr>
        <w:t xml:space="preserve">physical </w:t>
      </w:r>
      <w:r w:rsidR="006574E2">
        <w:rPr>
          <w:lang w:val="en-GB"/>
        </w:rPr>
        <w:t xml:space="preserve">cores, which </w:t>
      </w:r>
      <w:r w:rsidR="005074AD">
        <w:rPr>
          <w:lang w:val="en-GB"/>
        </w:rPr>
        <w:t xml:space="preserve">take turn to run a few dozen VMs. This could create </w:t>
      </w:r>
      <w:r w:rsidR="00654EA3">
        <w:rPr>
          <w:lang w:val="en-GB"/>
        </w:rPr>
        <w:t>imbalance</w:t>
      </w:r>
      <w:r w:rsidR="005074AD">
        <w:rPr>
          <w:lang w:val="en-GB"/>
        </w:rPr>
        <w:t xml:space="preserve"> among the cores.</w:t>
      </w:r>
      <w:r w:rsidR="000E22BD">
        <w:rPr>
          <w:lang w:val="en-GB"/>
        </w:rPr>
        <w:t xml:space="preserve"> The metric </w:t>
      </w:r>
      <w:r w:rsidR="00AA6ECC" w:rsidRPr="00614A71">
        <w:rPr>
          <w:color w:val="00B0F0"/>
          <w:lang w:val="en-GB"/>
        </w:rPr>
        <w:t xml:space="preserve">Highest CPU Core Usage </w:t>
      </w:r>
      <w:r w:rsidR="00AA6ECC">
        <w:rPr>
          <w:lang w:val="en-GB"/>
        </w:rPr>
        <w:t xml:space="preserve">tracks the highest utilization among the cores. If this number is consistently near 100%, that indicates at least 1 core is always busy. If this number if much higher than the Usage (%), that indicates </w:t>
      </w:r>
      <w:r w:rsidR="00654EA3">
        <w:rPr>
          <w:lang w:val="en-GB"/>
        </w:rPr>
        <w:t>imbalance</w:t>
      </w:r>
      <w:r w:rsidR="00AA6ECC">
        <w:rPr>
          <w:lang w:val="en-GB"/>
        </w:rPr>
        <w:t xml:space="preserve">. </w:t>
      </w:r>
    </w:p>
    <w:p w14:paraId="529B8978" w14:textId="4CA1043C" w:rsidR="00966E44" w:rsidRDefault="007627DF" w:rsidP="00E7573A">
      <w:pPr>
        <w:pStyle w:val="Heading5"/>
      </w:pPr>
      <w:r>
        <w:t>Memory Metrics</w:t>
      </w:r>
    </w:p>
    <w:p w14:paraId="63939C96" w14:textId="3BDBA383" w:rsidR="003F315B" w:rsidRDefault="002A5279" w:rsidP="003B7FBF">
      <w:pPr>
        <w:rPr>
          <w:lang w:val="en-GB"/>
        </w:rPr>
      </w:pPr>
      <w:r w:rsidRPr="002A5279">
        <w:rPr>
          <w:noProof/>
          <w:lang w:val="en-GB"/>
        </w:rPr>
        <w:drawing>
          <wp:inline distT="0" distB="0" distL="0" distR="0" wp14:anchorId="008A921E" wp14:editId="4D2E3BDD">
            <wp:extent cx="6645910" cy="844550"/>
            <wp:effectExtent l="0" t="0" r="2540" b="0"/>
            <wp:docPr id="1583707961" name="Picture 1583707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7"/>
                    <a:stretch>
                      <a:fillRect/>
                    </a:stretch>
                  </pic:blipFill>
                  <pic:spPr>
                    <a:xfrm>
                      <a:off x="0" y="0"/>
                      <a:ext cx="6645910" cy="844550"/>
                    </a:xfrm>
                    <a:prstGeom prst="rect">
                      <a:avLst/>
                    </a:prstGeom>
                  </pic:spPr>
                </pic:pic>
              </a:graphicData>
            </a:graphic>
          </wp:inline>
        </w:drawing>
      </w:r>
    </w:p>
    <w:p w14:paraId="741CB6EC" w14:textId="2F37F347" w:rsidR="00902BF0" w:rsidRDefault="00902BF0" w:rsidP="003B7FBF">
      <w:pPr>
        <w:rPr>
          <w:lang w:val="en-GB"/>
        </w:rPr>
      </w:pPr>
      <w:r>
        <w:rPr>
          <w:lang w:val="en-GB"/>
        </w:rPr>
        <w:t xml:space="preserve">For metrics where the cluster is the sum of its ESXi, the threshold used for ESXi is lower. For example, the </w:t>
      </w:r>
      <w:r w:rsidR="00CF7D2C" w:rsidRPr="00CF7D2C">
        <w:rPr>
          <w:color w:val="FF0000"/>
          <w:lang w:val="en-GB"/>
        </w:rPr>
        <w:t>red</w:t>
      </w:r>
      <w:r w:rsidR="0050770A">
        <w:rPr>
          <w:lang w:val="en-GB"/>
        </w:rPr>
        <w:t xml:space="preserve"> </w:t>
      </w:r>
      <w:r>
        <w:rPr>
          <w:lang w:val="en-GB"/>
        </w:rPr>
        <w:t>threshold use</w:t>
      </w:r>
      <w:r w:rsidR="0050770A">
        <w:rPr>
          <w:lang w:val="en-GB"/>
        </w:rPr>
        <w:t>d for cluster for compressed is 10 GB, while the threshold for individual ESXi is 2 GB.</w:t>
      </w:r>
    </w:p>
    <w:p w14:paraId="5FA02A07" w14:textId="0B7EF463" w:rsidR="002F4279" w:rsidRDefault="007627DF" w:rsidP="00E7573A">
      <w:pPr>
        <w:pStyle w:val="Heading5"/>
      </w:pPr>
      <w:r>
        <w:lastRenderedPageBreak/>
        <w:t>Storage Metrics</w:t>
      </w:r>
    </w:p>
    <w:p w14:paraId="3054B18D" w14:textId="77777777" w:rsidR="00A77593" w:rsidRDefault="00A77593" w:rsidP="00A77593">
      <w:pPr>
        <w:rPr>
          <w:lang w:val="en-GB"/>
        </w:rPr>
      </w:pPr>
      <w:r>
        <w:rPr>
          <w:lang w:val="en-GB"/>
        </w:rPr>
        <w:t xml:space="preserve">It’s likely that the ESXi hosts in a cluster will have different disk IOPS pattern. They could be running VMs with different purpose. Even if all the VMs are the same (e.g. they are all from the same VDI pool), the way the users use the applications are different. </w:t>
      </w:r>
    </w:p>
    <w:p w14:paraId="41C06098" w14:textId="0A8CDD93" w:rsidR="002F4279" w:rsidRDefault="006138A3" w:rsidP="003B7FBF">
      <w:pPr>
        <w:rPr>
          <w:lang w:val="en-GB"/>
        </w:rPr>
      </w:pPr>
      <w:r>
        <w:rPr>
          <w:lang w:val="en-GB"/>
        </w:rPr>
        <w:t xml:space="preserve">For ESXi, we show both the datastore level and adapter level. Why is that so? </w:t>
      </w:r>
    </w:p>
    <w:p w14:paraId="591D05FA" w14:textId="1EAA8CF3" w:rsidR="00BF7288" w:rsidRDefault="00BF7288" w:rsidP="003B7FBF">
      <w:pPr>
        <w:rPr>
          <w:lang w:val="en-GB"/>
        </w:rPr>
      </w:pPr>
      <w:r>
        <w:rPr>
          <w:lang w:val="en-GB"/>
        </w:rPr>
        <w:t>Review the Storage Metrics chapter for the detail. In short, an ESXi can mount datastore and non datastore (e.g. RDM)</w:t>
      </w:r>
      <w:r w:rsidR="00A44DD1">
        <w:rPr>
          <w:lang w:val="en-GB"/>
        </w:rPr>
        <w:t xml:space="preserve"> via its </w:t>
      </w:r>
      <w:r w:rsidR="00A77593">
        <w:rPr>
          <w:lang w:val="en-GB"/>
        </w:rPr>
        <w:t xml:space="preserve">storage </w:t>
      </w:r>
      <w:r w:rsidR="00A44DD1">
        <w:rPr>
          <w:lang w:val="en-GB"/>
        </w:rPr>
        <w:t>adapter</w:t>
      </w:r>
      <w:r w:rsidR="00A77593">
        <w:rPr>
          <w:lang w:val="en-GB"/>
        </w:rPr>
        <w:t>.</w:t>
      </w:r>
    </w:p>
    <w:p w14:paraId="4EB35834" w14:textId="57717F7E" w:rsidR="00E37FDB" w:rsidRPr="00A452F2" w:rsidRDefault="00E37FDB" w:rsidP="003B7FBF">
      <w:pPr>
        <w:rPr>
          <w:lang w:val="en-GB"/>
        </w:rPr>
      </w:pPr>
      <w:r w:rsidRPr="00B97A15">
        <w:rPr>
          <w:noProof/>
          <w:lang w:val="en-GB"/>
        </w:rPr>
        <w:drawing>
          <wp:inline distT="0" distB="0" distL="0" distR="0" wp14:anchorId="3834F684" wp14:editId="01BB791C">
            <wp:extent cx="6645910" cy="848995"/>
            <wp:effectExtent l="0" t="0" r="2540" b="8255"/>
            <wp:docPr id="1583707956" name="Picture 1583707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8"/>
                    <a:stretch>
                      <a:fillRect/>
                    </a:stretch>
                  </pic:blipFill>
                  <pic:spPr>
                    <a:xfrm>
                      <a:off x="0" y="0"/>
                      <a:ext cx="6645910" cy="848995"/>
                    </a:xfrm>
                    <a:prstGeom prst="rect">
                      <a:avLst/>
                    </a:prstGeom>
                  </pic:spPr>
                </pic:pic>
              </a:graphicData>
            </a:graphic>
          </wp:inline>
        </w:drawing>
      </w:r>
    </w:p>
    <w:p w14:paraId="04DF7E84" w14:textId="76BC78D7" w:rsidR="00B97A15" w:rsidRDefault="007627DF" w:rsidP="00E7573A">
      <w:pPr>
        <w:pStyle w:val="Heading5"/>
      </w:pPr>
      <w:r>
        <w:t>Network Metrics</w:t>
      </w:r>
    </w:p>
    <w:p w14:paraId="508F9C6F" w14:textId="54E89F3F" w:rsidR="001169CC" w:rsidRDefault="001169CC" w:rsidP="009D48CD">
      <w:pPr>
        <w:rPr>
          <w:lang w:val="en-GB"/>
        </w:rPr>
      </w:pPr>
      <w:r w:rsidRPr="001169CC">
        <w:rPr>
          <w:noProof/>
          <w:lang w:val="en-GB"/>
        </w:rPr>
        <w:drawing>
          <wp:inline distT="0" distB="0" distL="0" distR="0" wp14:anchorId="7B322972" wp14:editId="1021E943">
            <wp:extent cx="6645910" cy="842645"/>
            <wp:effectExtent l="0" t="0" r="2540" b="0"/>
            <wp:docPr id="1583707957" name="Picture 1583707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9"/>
                    <a:stretch>
                      <a:fillRect/>
                    </a:stretch>
                  </pic:blipFill>
                  <pic:spPr>
                    <a:xfrm>
                      <a:off x="0" y="0"/>
                      <a:ext cx="6645910" cy="842645"/>
                    </a:xfrm>
                    <a:prstGeom prst="rect">
                      <a:avLst/>
                    </a:prstGeom>
                  </pic:spPr>
                </pic:pic>
              </a:graphicData>
            </a:graphic>
          </wp:inline>
        </w:drawing>
      </w:r>
    </w:p>
    <w:p w14:paraId="1BC58881" w14:textId="4B327A4D" w:rsidR="00A0714B" w:rsidRDefault="00A0714B" w:rsidP="00E7573A">
      <w:pPr>
        <w:pStyle w:val="Heading5"/>
      </w:pPr>
      <w:r>
        <w:t>Configuration</w:t>
      </w:r>
    </w:p>
    <w:p w14:paraId="52B25C9A" w14:textId="3CC990D1" w:rsidR="00D109B9" w:rsidRDefault="00D109B9" w:rsidP="009D48CD">
      <w:pPr>
        <w:rPr>
          <w:lang w:val="en-GB"/>
        </w:rPr>
      </w:pPr>
      <w:r w:rsidRPr="00A452F2">
        <w:rPr>
          <w:lang w:val="en-GB"/>
        </w:rPr>
        <w:t xml:space="preserve">Certain settings such as power management and hyper threading can impact performance. </w:t>
      </w:r>
      <w:r w:rsidR="00101B3F">
        <w:rPr>
          <w:lang w:val="en-GB"/>
        </w:rPr>
        <w:t xml:space="preserve">The configuration widget shows the relevant </w:t>
      </w:r>
      <w:r w:rsidRPr="00A452F2">
        <w:rPr>
          <w:lang w:val="en-GB"/>
        </w:rPr>
        <w:t>property of a selected ESXi Host.</w:t>
      </w:r>
    </w:p>
    <w:p w14:paraId="2AD13AC7" w14:textId="631C4D4E" w:rsidR="00C90CF2" w:rsidRDefault="00C90CF2" w:rsidP="00AC6E1E">
      <w:pPr>
        <w:pStyle w:val="Heading4"/>
      </w:pPr>
      <w:r>
        <w:t>VM Analysis</w:t>
      </w:r>
    </w:p>
    <w:p w14:paraId="54F24F20" w14:textId="41E93CBC" w:rsidR="00B36F55" w:rsidRPr="00B36F55" w:rsidRDefault="00F25E20" w:rsidP="00B36F55">
      <w:pPr>
        <w:rPr>
          <w:lang w:val="en-GB"/>
        </w:rPr>
      </w:pPr>
      <w:r>
        <w:rPr>
          <w:lang w:val="en-GB"/>
        </w:rPr>
        <w:t xml:space="preserve">Selecting </w:t>
      </w:r>
      <w:r w:rsidR="00E47BE2">
        <w:rPr>
          <w:lang w:val="en-GB"/>
        </w:rPr>
        <w:t xml:space="preserve">a cluster or ESXi will automatically list the running VMs. </w:t>
      </w:r>
      <w:r w:rsidR="00B36F55" w:rsidRPr="00B36F55">
        <w:rPr>
          <w:lang w:val="en-GB"/>
        </w:rPr>
        <w:t>Use this table to check if the cluster or host performance problem were caused by VM configuration and usage.</w:t>
      </w:r>
      <w:r w:rsidR="00534F9C">
        <w:rPr>
          <w:lang w:val="en-GB"/>
        </w:rPr>
        <w:t xml:space="preserve"> </w:t>
      </w:r>
      <w:r w:rsidR="00B36F55" w:rsidRPr="00B36F55">
        <w:rPr>
          <w:lang w:val="en-GB"/>
        </w:rPr>
        <w:t>Note that it is possible that the VM was not on the same host at the time of problem, due to vMotion.</w:t>
      </w:r>
    </w:p>
    <w:p w14:paraId="4FCE8C77" w14:textId="7AF9EB85" w:rsidR="00F25E20" w:rsidRPr="00B36F55" w:rsidRDefault="00B36F55" w:rsidP="00B36F55">
      <w:r w:rsidRPr="00B36F55">
        <w:rPr>
          <w:lang w:val="en-GB"/>
        </w:rPr>
        <w:t xml:space="preserve">To drill down into a </w:t>
      </w:r>
      <w:r w:rsidR="00534F9C">
        <w:rPr>
          <w:lang w:val="en-GB"/>
        </w:rPr>
        <w:t xml:space="preserve">particular </w:t>
      </w:r>
      <w:r w:rsidRPr="00B36F55">
        <w:rPr>
          <w:lang w:val="en-GB"/>
        </w:rPr>
        <w:t>VM, select it and click the double arrow before the widget title.</w:t>
      </w:r>
      <w:r w:rsidR="00534F9C">
        <w:rPr>
          <w:lang w:val="en-GB"/>
        </w:rPr>
        <w:t xml:space="preserve"> Choose the VM Performance dashboard.</w:t>
      </w:r>
    </w:p>
    <w:p w14:paraId="22C3900F" w14:textId="10B3C22C" w:rsidR="003F315B" w:rsidRDefault="00F27BE6" w:rsidP="009D48CD">
      <w:pPr>
        <w:rPr>
          <w:lang w:val="en-GB"/>
        </w:rPr>
      </w:pPr>
      <w:r w:rsidRPr="00F27BE6">
        <w:rPr>
          <w:noProof/>
          <w:lang w:val="en-GB"/>
        </w:rPr>
        <w:lastRenderedPageBreak/>
        <w:drawing>
          <wp:inline distT="0" distB="0" distL="0" distR="0" wp14:anchorId="5B2CD292" wp14:editId="7FFE6AC2">
            <wp:extent cx="6645910" cy="1632585"/>
            <wp:effectExtent l="0" t="0" r="2540" b="5715"/>
            <wp:docPr id="1085195940" name="Picture 1085195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0"/>
                    <a:stretch>
                      <a:fillRect/>
                    </a:stretch>
                  </pic:blipFill>
                  <pic:spPr>
                    <a:xfrm>
                      <a:off x="0" y="0"/>
                      <a:ext cx="6645910" cy="1632585"/>
                    </a:xfrm>
                    <a:prstGeom prst="rect">
                      <a:avLst/>
                    </a:prstGeom>
                  </pic:spPr>
                </pic:pic>
              </a:graphicData>
            </a:graphic>
          </wp:inline>
        </w:drawing>
      </w:r>
    </w:p>
    <w:p w14:paraId="30BE3AF2" w14:textId="2E29CDD0" w:rsidR="009B28CF" w:rsidRDefault="00BD62FC" w:rsidP="009D48CD">
      <w:pPr>
        <w:rPr>
          <w:lang w:val="en-GB"/>
        </w:rPr>
      </w:pPr>
      <w:r>
        <w:rPr>
          <w:lang w:val="en-GB"/>
        </w:rPr>
        <w:t xml:space="preserve">The table is color coded for ease of analysis, as you can have &gt;1K VM in a cluster. Tailor the threshold to your </w:t>
      </w:r>
      <w:r w:rsidR="00875CEF">
        <w:rPr>
          <w:lang w:val="en-GB"/>
        </w:rPr>
        <w:t>environment.</w:t>
      </w:r>
    </w:p>
    <w:p w14:paraId="14C97DF4" w14:textId="3032F87B" w:rsidR="00FA7EBD" w:rsidRDefault="00FA7EBD" w:rsidP="009D48CD">
      <w:pPr>
        <w:rPr>
          <w:lang w:val="en-GB"/>
        </w:rPr>
      </w:pPr>
      <w:r>
        <w:rPr>
          <w:lang w:val="en-GB"/>
        </w:rPr>
        <w:t>Each of the column is showing the maximum value of the time period, so you can spot even if there is a short burst.</w:t>
      </w:r>
    </w:p>
    <w:p w14:paraId="1189C422" w14:textId="06B8D24D" w:rsidR="009B28CF" w:rsidRDefault="009B28CF" w:rsidP="00AC6E1E">
      <w:pPr>
        <w:pStyle w:val="Heading4"/>
      </w:pPr>
      <w:r>
        <w:t>Datastore</w:t>
      </w:r>
      <w:r w:rsidR="009B537F">
        <w:t xml:space="preserve"> Analysis</w:t>
      </w:r>
    </w:p>
    <w:p w14:paraId="7B6876D0" w14:textId="1E798A73" w:rsidR="00B3403A" w:rsidRPr="00B3403A" w:rsidRDefault="00B3403A" w:rsidP="00B3403A">
      <w:pPr>
        <w:rPr>
          <w:lang w:val="en-GB"/>
        </w:rPr>
      </w:pPr>
      <w:r>
        <w:rPr>
          <w:lang w:val="en-GB"/>
        </w:rPr>
        <w:t xml:space="preserve">The list of shared datastores accessible by hosts in the cluster is shown. Take note that </w:t>
      </w:r>
      <w:r w:rsidR="00AD6A70">
        <w:rPr>
          <w:lang w:val="en-GB"/>
        </w:rPr>
        <w:t>if your design has M:N relationship between clusters and datastore, then the numbers at datastore level is a number from all clusters.</w:t>
      </w:r>
    </w:p>
    <w:p w14:paraId="1318CB68" w14:textId="168146A9" w:rsidR="009B28CF" w:rsidRDefault="00ED10D0" w:rsidP="009D48CD">
      <w:pPr>
        <w:rPr>
          <w:lang w:val="en-GB"/>
        </w:rPr>
      </w:pPr>
      <w:r w:rsidRPr="00ED10D0">
        <w:rPr>
          <w:noProof/>
          <w:lang w:val="en-GB"/>
        </w:rPr>
        <w:drawing>
          <wp:inline distT="0" distB="0" distL="0" distR="0" wp14:anchorId="54E54F73" wp14:editId="5E5286E4">
            <wp:extent cx="6645910" cy="1323975"/>
            <wp:effectExtent l="0" t="0" r="2540" b="9525"/>
            <wp:docPr id="1583707960" name="Picture 1583707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1"/>
                    <a:stretch>
                      <a:fillRect/>
                    </a:stretch>
                  </pic:blipFill>
                  <pic:spPr>
                    <a:xfrm>
                      <a:off x="0" y="0"/>
                      <a:ext cx="6645910" cy="1323975"/>
                    </a:xfrm>
                    <a:prstGeom prst="rect">
                      <a:avLst/>
                    </a:prstGeom>
                  </pic:spPr>
                </pic:pic>
              </a:graphicData>
            </a:graphic>
          </wp:inline>
        </w:drawing>
      </w:r>
    </w:p>
    <w:p w14:paraId="78808F77" w14:textId="2952C1F0" w:rsidR="007853C6" w:rsidRPr="00A452F2" w:rsidRDefault="007853C6" w:rsidP="009D48CD">
      <w:pPr>
        <w:rPr>
          <w:lang w:val="en-GB"/>
        </w:rPr>
      </w:pPr>
      <w:r>
        <w:rPr>
          <w:lang w:val="en-GB"/>
        </w:rPr>
        <w:t>You can also drill down into the selected datastore.</w:t>
      </w:r>
    </w:p>
    <w:p w14:paraId="696F72CA" w14:textId="2F5F97EA" w:rsidR="00320D8A" w:rsidRPr="00A452F2" w:rsidRDefault="00A42C56" w:rsidP="00540F68">
      <w:pPr>
        <w:pStyle w:val="Heading3"/>
      </w:pPr>
      <w:bookmarkStart w:id="149" w:name="_vSAN_Contention_Dashboard"/>
      <w:bookmarkEnd w:id="149"/>
      <w:r>
        <w:t>Storage</w:t>
      </w:r>
      <w:r w:rsidR="00320D8A" w:rsidRPr="00A452F2">
        <w:t xml:space="preserve"> Performance</w:t>
      </w:r>
    </w:p>
    <w:p w14:paraId="73939EF3" w14:textId="77777777" w:rsidR="00320D8A" w:rsidRPr="00A452F2" w:rsidRDefault="00320D8A" w:rsidP="00320D8A">
      <w:pPr>
        <w:rPr>
          <w:lang w:val="en-GB"/>
        </w:rPr>
      </w:pPr>
      <w:r w:rsidRPr="00A452F2">
        <w:rPr>
          <w:lang w:val="en-GB"/>
        </w:rPr>
        <w:t xml:space="preserve">Use the </w:t>
      </w:r>
      <w:r w:rsidRPr="00A452F2">
        <w:rPr>
          <w:rStyle w:val="keyword"/>
          <w:lang w:val="en-GB"/>
        </w:rPr>
        <w:t>Datastore Performance</w:t>
      </w:r>
      <w:r w:rsidRPr="00A452F2">
        <w:rPr>
          <w:lang w:val="en-GB"/>
        </w:rPr>
        <w:t xml:space="preserve"> dashboard to view performance problems related to storage such as high latency, high outstanding IO, and low utilization. This dashboard is designed for both VMware administrator and Storage administrator, with the goal of fostering closer collaboration between the 2 team.</w:t>
      </w:r>
    </w:p>
    <w:p w14:paraId="75D149C7" w14:textId="77777777" w:rsidR="00320D8A" w:rsidRPr="00A452F2" w:rsidRDefault="00320D8A" w:rsidP="00320D8A">
      <w:pPr>
        <w:rPr>
          <w:lang w:val="en-GB"/>
        </w:rPr>
      </w:pPr>
      <w:r w:rsidRPr="00A452F2">
        <w:rPr>
          <w:lang w:val="en-GB"/>
        </w:rPr>
        <w:t>Local datastores are treated separately, as they have their own use case.</w:t>
      </w:r>
    </w:p>
    <w:p w14:paraId="790851B9" w14:textId="376A7402" w:rsidR="00320D8A" w:rsidRPr="00A452F2" w:rsidRDefault="007200C1" w:rsidP="00AC6E1E">
      <w:pPr>
        <w:pStyle w:val="Heading4"/>
      </w:pPr>
      <w:r>
        <w:lastRenderedPageBreak/>
        <w:t>Overall Analysis</w:t>
      </w:r>
    </w:p>
    <w:p w14:paraId="38BF0737" w14:textId="3D34C819" w:rsidR="00051F21" w:rsidRPr="00A452F2" w:rsidRDefault="00BA0A95" w:rsidP="00051F21">
      <w:pPr>
        <w:rPr>
          <w:lang w:val="en-GB"/>
        </w:rPr>
      </w:pPr>
      <w:r>
        <w:rPr>
          <w:lang w:val="en-GB"/>
        </w:rPr>
        <w:t xml:space="preserve">The three </w:t>
      </w:r>
      <w:r w:rsidR="00F01BE4">
        <w:rPr>
          <w:lang w:val="en-GB"/>
        </w:rPr>
        <w:t xml:space="preserve">bar charts </w:t>
      </w:r>
      <w:r>
        <w:rPr>
          <w:lang w:val="en-GB"/>
        </w:rPr>
        <w:t xml:space="preserve">provide the overall analysis of the datastore performance in a given vCenter DC or World. </w:t>
      </w:r>
      <w:r w:rsidR="00F01BE4">
        <w:rPr>
          <w:lang w:val="en-GB"/>
        </w:rPr>
        <w:t>They work together</w:t>
      </w:r>
      <w:r w:rsidR="00B934F1">
        <w:rPr>
          <w:lang w:val="en-GB"/>
        </w:rPr>
        <w:t xml:space="preserve"> to give a better insight. </w:t>
      </w:r>
      <w:r w:rsidR="00155376">
        <w:rPr>
          <w:lang w:val="en-GB"/>
        </w:rPr>
        <w:t xml:space="preserve">Just like other </w:t>
      </w:r>
      <w:r w:rsidR="00C075C9">
        <w:rPr>
          <w:lang w:val="en-GB"/>
        </w:rPr>
        <w:t>performance charts, the value shown in the worst value during the time period.</w:t>
      </w:r>
    </w:p>
    <w:p w14:paraId="281A8C10" w14:textId="37392239" w:rsidR="00C528A2" w:rsidRDefault="00C528A2" w:rsidP="00320D8A">
      <w:pPr>
        <w:rPr>
          <w:lang w:val="en-GB"/>
        </w:rPr>
      </w:pPr>
      <w:r w:rsidRPr="00C528A2">
        <w:rPr>
          <w:noProof/>
          <w:lang w:val="en-GB"/>
        </w:rPr>
        <w:drawing>
          <wp:inline distT="0" distB="0" distL="0" distR="0" wp14:anchorId="25E2C1FF" wp14:editId="1F0DC0C2">
            <wp:extent cx="6645910" cy="1504315"/>
            <wp:effectExtent l="0" t="0" r="2540" b="635"/>
            <wp:docPr id="357815360" name="Picture 357815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2"/>
                    <a:stretch>
                      <a:fillRect/>
                    </a:stretch>
                  </pic:blipFill>
                  <pic:spPr>
                    <a:xfrm>
                      <a:off x="0" y="0"/>
                      <a:ext cx="6645910" cy="1504315"/>
                    </a:xfrm>
                    <a:prstGeom prst="rect">
                      <a:avLst/>
                    </a:prstGeom>
                  </pic:spPr>
                </pic:pic>
              </a:graphicData>
            </a:graphic>
          </wp:inline>
        </w:drawing>
      </w:r>
    </w:p>
    <w:p w14:paraId="0EF4691D" w14:textId="0CB3AAD3" w:rsidR="00B934F1" w:rsidRDefault="00B934F1" w:rsidP="007D6277">
      <w:pPr>
        <w:rPr>
          <w:lang w:val="en-GB"/>
        </w:rPr>
      </w:pPr>
      <w:r>
        <w:rPr>
          <w:lang w:val="en-GB"/>
        </w:rPr>
        <w:t xml:space="preserve">The first one shows </w:t>
      </w:r>
      <w:r w:rsidR="00DD67F0">
        <w:rPr>
          <w:lang w:val="en-GB"/>
        </w:rPr>
        <w:t xml:space="preserve">how many VMs experience what kind of latency. </w:t>
      </w:r>
      <w:r w:rsidR="00C075C9">
        <w:rPr>
          <w:lang w:val="en-GB"/>
        </w:rPr>
        <w:t xml:space="preserve">This is your primary chart as </w:t>
      </w:r>
      <w:r w:rsidR="009B5E4B">
        <w:rPr>
          <w:lang w:val="en-GB"/>
        </w:rPr>
        <w:t xml:space="preserve">it’s measuring at VM level. The next two charts are measuring at datastore level, which means they are the normalized average of all VMs in that datastore. Expect the first chart to be </w:t>
      </w:r>
      <w:r w:rsidR="0011387A">
        <w:rPr>
          <w:lang w:val="en-GB"/>
        </w:rPr>
        <w:t>higher than the last two.</w:t>
      </w:r>
    </w:p>
    <w:p w14:paraId="142D939D" w14:textId="728CBDD6" w:rsidR="00EB6813" w:rsidRDefault="00EB6813" w:rsidP="00EB6813">
      <w:pPr>
        <w:rPr>
          <w:lang w:val="en-GB"/>
        </w:rPr>
      </w:pPr>
      <w:r w:rsidRPr="00A452F2">
        <w:rPr>
          <w:lang w:val="en-GB"/>
        </w:rPr>
        <w:t xml:space="preserve">Read and Write latency are shown separately for a better insight. The nature of read and write problem may not be the same so it’s useful to see the difference. </w:t>
      </w:r>
    </w:p>
    <w:p w14:paraId="1C5BB2C8" w14:textId="41EDCC25" w:rsidR="006B41D5" w:rsidRDefault="006B41D5" w:rsidP="00EB6813">
      <w:pPr>
        <w:rPr>
          <w:lang w:val="en-GB"/>
        </w:rPr>
      </w:pPr>
      <w:r w:rsidRPr="006B41D5">
        <w:rPr>
          <w:lang w:val="en-GB"/>
        </w:rPr>
        <w:t xml:space="preserve">The dashboard does not have datastore clusters. If your environment use it, add a View List </w:t>
      </w:r>
      <w:r w:rsidR="004A19BF">
        <w:rPr>
          <w:lang w:val="en-GB"/>
        </w:rPr>
        <w:t>right after the list of datacenter</w:t>
      </w:r>
      <w:r w:rsidRPr="006B41D5">
        <w:rPr>
          <w:lang w:val="en-GB"/>
        </w:rPr>
        <w:t xml:space="preserve">, and have </w:t>
      </w:r>
      <w:r w:rsidR="004A19BF">
        <w:rPr>
          <w:lang w:val="en-GB"/>
        </w:rPr>
        <w:t xml:space="preserve">it also </w:t>
      </w:r>
      <w:r w:rsidRPr="006B41D5">
        <w:rPr>
          <w:lang w:val="en-GB"/>
        </w:rPr>
        <w:t>drives the Datastore Performance view list.</w:t>
      </w:r>
    </w:p>
    <w:p w14:paraId="32092504" w14:textId="70291D4D" w:rsidR="006B41D5" w:rsidRPr="00A452F2" w:rsidRDefault="006B41D5" w:rsidP="00AC6E1E">
      <w:pPr>
        <w:pStyle w:val="Heading4"/>
      </w:pPr>
      <w:r>
        <w:t>Datastore Analysis</w:t>
      </w:r>
    </w:p>
    <w:p w14:paraId="1D92E8D4" w14:textId="2D99F10B" w:rsidR="00320D8A" w:rsidRPr="00A452F2" w:rsidRDefault="00DA5DC9" w:rsidP="007D6277">
      <w:pPr>
        <w:rPr>
          <w:lang w:val="en-GB"/>
        </w:rPr>
      </w:pPr>
      <w:r>
        <w:rPr>
          <w:lang w:val="en-GB"/>
        </w:rPr>
        <w:t xml:space="preserve">A table </w:t>
      </w:r>
      <w:r w:rsidR="00320D8A" w:rsidRPr="00A452F2">
        <w:rPr>
          <w:lang w:val="en-GB"/>
        </w:rPr>
        <w:t>list</w:t>
      </w:r>
      <w:r>
        <w:rPr>
          <w:lang w:val="en-GB"/>
        </w:rPr>
        <w:t xml:space="preserve">ing all the </w:t>
      </w:r>
      <w:r w:rsidR="00320D8A" w:rsidRPr="00A452F2">
        <w:rPr>
          <w:lang w:val="en-GB"/>
        </w:rPr>
        <w:t xml:space="preserve">shared datastores in the </w:t>
      </w:r>
      <w:r w:rsidR="005269DE" w:rsidRPr="00A452F2">
        <w:rPr>
          <w:lang w:val="en-GB"/>
        </w:rPr>
        <w:t>data center</w:t>
      </w:r>
      <w:r w:rsidR="00320D8A" w:rsidRPr="00A452F2">
        <w:rPr>
          <w:lang w:val="en-GB"/>
        </w:rPr>
        <w:t xml:space="preserve"> </w:t>
      </w:r>
      <w:r>
        <w:rPr>
          <w:lang w:val="en-GB"/>
        </w:rPr>
        <w:t xml:space="preserve">or vSphere World </w:t>
      </w:r>
      <w:r w:rsidR="00320D8A" w:rsidRPr="00A452F2">
        <w:rPr>
          <w:lang w:val="en-GB"/>
        </w:rPr>
        <w:t xml:space="preserve">will </w:t>
      </w:r>
      <w:r>
        <w:rPr>
          <w:lang w:val="en-GB"/>
        </w:rPr>
        <w:t xml:space="preserve">also </w:t>
      </w:r>
      <w:r w:rsidR="00320D8A" w:rsidRPr="00A452F2">
        <w:rPr>
          <w:lang w:val="en-GB"/>
        </w:rPr>
        <w:t>be automatically shown</w:t>
      </w:r>
      <w:r>
        <w:rPr>
          <w:lang w:val="en-GB"/>
        </w:rPr>
        <w:t>.</w:t>
      </w:r>
      <w:r w:rsidR="00EB6813">
        <w:rPr>
          <w:lang w:val="en-GB"/>
        </w:rPr>
        <w:t xml:space="preserve"> </w:t>
      </w:r>
    </w:p>
    <w:p w14:paraId="41920F9C" w14:textId="77777777" w:rsidR="00CB6FA7" w:rsidRDefault="00CB6FA7" w:rsidP="00320D8A">
      <w:pPr>
        <w:rPr>
          <w:lang w:val="en-GB"/>
        </w:rPr>
      </w:pPr>
      <w:r>
        <w:rPr>
          <w:noProof/>
        </w:rPr>
        <w:drawing>
          <wp:inline distT="0" distB="0" distL="0" distR="0" wp14:anchorId="056C1572" wp14:editId="6DA8837A">
            <wp:extent cx="6645910" cy="2591435"/>
            <wp:effectExtent l="0" t="0" r="2540" b="0"/>
            <wp:docPr id="606394362" name="Picture 60639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62"/>
                    <pic:cNvPicPr/>
                  </pic:nvPicPr>
                  <pic:blipFill>
                    <a:blip r:embed="rId1093" cstate="print">
                      <a:extLst>
                        <a:ext uri="{28A0092B-C50C-407E-A947-70E740481C1C}">
                          <a14:useLocalDpi xmlns:a14="http://schemas.microsoft.com/office/drawing/2010/main" val="0"/>
                        </a:ext>
                      </a:extLst>
                    </a:blip>
                    <a:stretch>
                      <a:fillRect/>
                    </a:stretch>
                  </pic:blipFill>
                  <pic:spPr>
                    <a:xfrm>
                      <a:off x="0" y="0"/>
                      <a:ext cx="6645910" cy="2591435"/>
                    </a:xfrm>
                    <a:prstGeom prst="rect">
                      <a:avLst/>
                    </a:prstGeom>
                  </pic:spPr>
                </pic:pic>
              </a:graphicData>
            </a:graphic>
          </wp:inline>
        </w:drawing>
      </w:r>
    </w:p>
    <w:p w14:paraId="0B7418BA" w14:textId="5EA20DED" w:rsidR="00320D8A" w:rsidRPr="00A452F2" w:rsidRDefault="00EB6813" w:rsidP="000B3B2B">
      <w:pPr>
        <w:rPr>
          <w:lang w:val="en-GB"/>
        </w:rPr>
      </w:pPr>
      <w:r>
        <w:rPr>
          <w:lang w:val="en-GB"/>
        </w:rPr>
        <w:lastRenderedPageBreak/>
        <w:t xml:space="preserve">Since it’s a table, we can afford to show multiple numbers. </w:t>
      </w:r>
      <w:r w:rsidR="00320D8A" w:rsidRPr="00A452F2">
        <w:rPr>
          <w:lang w:val="en-GB"/>
        </w:rPr>
        <w:t>Both the worst (peak) performance and 95</w:t>
      </w:r>
      <w:r w:rsidR="00320D8A" w:rsidRPr="00A452F2">
        <w:rPr>
          <w:vertAlign w:val="superscript"/>
          <w:lang w:val="en-GB"/>
        </w:rPr>
        <w:t>th</w:t>
      </w:r>
      <w:r w:rsidR="00683F10">
        <w:rPr>
          <w:lang w:val="en-GB"/>
        </w:rPr>
        <w:t>percentile</w:t>
      </w:r>
      <w:r w:rsidR="00320D8A" w:rsidRPr="00A452F2">
        <w:rPr>
          <w:lang w:val="en-GB"/>
        </w:rPr>
        <w:t xml:space="preserve"> are shown. If the </w:t>
      </w:r>
      <w:r w:rsidR="00A17A18" w:rsidRPr="00A452F2">
        <w:rPr>
          <w:lang w:val="en-GB"/>
        </w:rPr>
        <w:t>latter</w:t>
      </w:r>
      <w:r w:rsidR="00320D8A" w:rsidRPr="00A452F2">
        <w:rPr>
          <w:lang w:val="en-GB"/>
        </w:rPr>
        <w:t xml:space="preserve"> is close to the peak and it’s also high, then it’s a sustained problem. If the </w:t>
      </w:r>
      <w:r w:rsidR="00A17A18" w:rsidRPr="00A452F2">
        <w:rPr>
          <w:lang w:val="en-GB"/>
        </w:rPr>
        <w:t>latter</w:t>
      </w:r>
      <w:r w:rsidR="00320D8A" w:rsidRPr="00A452F2">
        <w:rPr>
          <w:lang w:val="en-GB"/>
        </w:rPr>
        <w:t xml:space="preserve"> is low, then it’s a short duration.</w:t>
      </w:r>
    </w:p>
    <w:p w14:paraId="7FE554EF" w14:textId="69E194DC" w:rsidR="00320D8A" w:rsidRPr="00A452F2" w:rsidRDefault="00320D8A" w:rsidP="000B3B2B">
      <w:pPr>
        <w:rPr>
          <w:lang w:val="en-GB"/>
        </w:rPr>
      </w:pPr>
      <w:r w:rsidRPr="00A452F2">
        <w:rPr>
          <w:lang w:val="en-GB"/>
        </w:rPr>
        <w:t xml:space="preserve">The table is </w:t>
      </w:r>
      <w:r w:rsidR="00E65E9E">
        <w:rPr>
          <w:lang w:val="en-GB"/>
        </w:rPr>
        <w:t>color</w:t>
      </w:r>
      <w:r w:rsidRPr="00A452F2">
        <w:rPr>
          <w:lang w:val="en-GB"/>
        </w:rPr>
        <w:t xml:space="preserve"> coded. If you require a different threshold, adjust accordingly. </w:t>
      </w:r>
    </w:p>
    <w:p w14:paraId="5000F047" w14:textId="2C24CEC6" w:rsidR="00C06EF4" w:rsidRPr="00A452F2" w:rsidRDefault="00C06EF4" w:rsidP="00C06EF4">
      <w:pPr>
        <w:rPr>
          <w:lang w:val="en-GB"/>
        </w:rPr>
      </w:pPr>
      <w:r w:rsidRPr="00A452F2">
        <w:rPr>
          <w:lang w:val="en-GB"/>
        </w:rPr>
        <w:t>Select a datastore you want to troubleshoot</w:t>
      </w:r>
      <w:r w:rsidR="008F1ABF">
        <w:rPr>
          <w:lang w:val="en-GB"/>
        </w:rPr>
        <w:t xml:space="preserve">. </w:t>
      </w:r>
      <w:r w:rsidR="00765922">
        <w:rPr>
          <w:lang w:val="en-GB"/>
        </w:rPr>
        <w:t>The relevant metrics and configuration will be shown automatically.</w:t>
      </w:r>
    </w:p>
    <w:p w14:paraId="5AE27E09" w14:textId="7B0DAF4B" w:rsidR="00CB6FA7" w:rsidRDefault="000B3B2B" w:rsidP="00320D8A">
      <w:pPr>
        <w:rPr>
          <w:lang w:val="en-GB"/>
        </w:rPr>
      </w:pPr>
      <w:r w:rsidRPr="000B3B2B">
        <w:rPr>
          <w:noProof/>
          <w:lang w:val="en-GB"/>
        </w:rPr>
        <w:drawing>
          <wp:inline distT="0" distB="0" distL="0" distR="0" wp14:anchorId="570AD9AA" wp14:editId="74C8D794">
            <wp:extent cx="6645910" cy="850900"/>
            <wp:effectExtent l="0" t="0" r="2540" b="6350"/>
            <wp:docPr id="1583707906" name="Picture 1583707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4"/>
                    <a:stretch>
                      <a:fillRect/>
                    </a:stretch>
                  </pic:blipFill>
                  <pic:spPr>
                    <a:xfrm>
                      <a:off x="0" y="0"/>
                      <a:ext cx="6645910" cy="850900"/>
                    </a:xfrm>
                    <a:prstGeom prst="rect">
                      <a:avLst/>
                    </a:prstGeom>
                  </pic:spPr>
                </pic:pic>
              </a:graphicData>
            </a:graphic>
          </wp:inline>
        </w:drawing>
      </w:r>
    </w:p>
    <w:p w14:paraId="1F86EF04" w14:textId="6C75D009" w:rsidR="00320D8A" w:rsidRPr="00A452F2" w:rsidRDefault="00320D8A" w:rsidP="000578E4">
      <w:pPr>
        <w:rPr>
          <w:rFonts w:eastAsiaTheme="minorEastAsia"/>
          <w:lang w:val="en-GB"/>
        </w:rPr>
      </w:pPr>
      <w:r w:rsidRPr="00A452F2">
        <w:rPr>
          <w:lang w:val="en-GB"/>
        </w:rPr>
        <w:t>Its latency</w:t>
      </w:r>
      <w:r w:rsidR="00054519">
        <w:rPr>
          <w:lang w:val="en-GB"/>
        </w:rPr>
        <w:t xml:space="preserve"> </w:t>
      </w:r>
      <w:r w:rsidRPr="00A452F2">
        <w:rPr>
          <w:lang w:val="en-GB"/>
        </w:rPr>
        <w:t>and outstanding IO is automatically shown.</w:t>
      </w:r>
    </w:p>
    <w:p w14:paraId="1AB447FC" w14:textId="77777777" w:rsidR="00320D8A" w:rsidRPr="00A452F2" w:rsidRDefault="00320D8A" w:rsidP="000578E4">
      <w:pPr>
        <w:rPr>
          <w:lang w:val="en-GB"/>
        </w:rPr>
      </w:pPr>
      <w:r w:rsidRPr="00A452F2">
        <w:rPr>
          <w:lang w:val="en-GB"/>
        </w:rPr>
        <w:t xml:space="preserve">Note the latency is the normalized average of all VMs in the datastore. </w:t>
      </w:r>
    </w:p>
    <w:p w14:paraId="1D2512BE" w14:textId="3091BAAD" w:rsidR="00CB6FA7" w:rsidRDefault="00AB4EEB" w:rsidP="00320D8A">
      <w:pPr>
        <w:rPr>
          <w:lang w:val="en-GB"/>
        </w:rPr>
      </w:pPr>
      <w:r w:rsidRPr="00AB4EEB">
        <w:rPr>
          <w:noProof/>
          <w:lang w:val="en-GB"/>
        </w:rPr>
        <w:drawing>
          <wp:inline distT="0" distB="0" distL="0" distR="0" wp14:anchorId="7A597F49" wp14:editId="58033722">
            <wp:extent cx="6645910" cy="838200"/>
            <wp:effectExtent l="0" t="0" r="2540" b="0"/>
            <wp:docPr id="1583707954" name="Picture 1583707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4"/>
                    <a:stretch>
                      <a:fillRect/>
                    </a:stretch>
                  </pic:blipFill>
                  <pic:spPr>
                    <a:xfrm>
                      <a:off x="0" y="0"/>
                      <a:ext cx="6645910" cy="838200"/>
                    </a:xfrm>
                    <a:prstGeom prst="rect">
                      <a:avLst/>
                    </a:prstGeom>
                  </pic:spPr>
                </pic:pic>
              </a:graphicData>
            </a:graphic>
          </wp:inline>
        </w:drawing>
      </w:r>
    </w:p>
    <w:p w14:paraId="31B5AB8D" w14:textId="77777777" w:rsidR="008E171E" w:rsidRPr="00A452F2" w:rsidRDefault="008E171E" w:rsidP="008E171E">
      <w:pPr>
        <w:rPr>
          <w:lang w:val="en-GB"/>
        </w:rPr>
      </w:pPr>
      <w:r w:rsidRPr="00A452F2">
        <w:rPr>
          <w:lang w:val="en-GB"/>
        </w:rPr>
        <w:t xml:space="preserve">Its IOPS and throughput are also shown. These line charts are not </w:t>
      </w:r>
      <w:r>
        <w:rPr>
          <w:lang w:val="en-GB"/>
        </w:rPr>
        <w:t>color</w:t>
      </w:r>
      <w:r w:rsidRPr="00A452F2">
        <w:rPr>
          <w:lang w:val="en-GB"/>
        </w:rPr>
        <w:t xml:space="preserve"> coded as it varies per customer. Edit the widget and add your expected threshold. It will make it easier for the operations team.</w:t>
      </w:r>
    </w:p>
    <w:p w14:paraId="3B81A463" w14:textId="25EC87AA" w:rsidR="007B143E" w:rsidRPr="00A452F2" w:rsidRDefault="00966F5B" w:rsidP="008E171E">
      <w:pPr>
        <w:rPr>
          <w:lang w:val="en-GB"/>
        </w:rPr>
      </w:pPr>
      <w:r>
        <w:rPr>
          <w:lang w:val="en-GB"/>
        </w:rPr>
        <w:t>The</w:t>
      </w:r>
      <w:r w:rsidR="008E171E" w:rsidRPr="00A452F2">
        <w:rPr>
          <w:lang w:val="en-GB"/>
        </w:rPr>
        <w:t xml:space="preserve"> list of </w:t>
      </w:r>
      <w:r>
        <w:rPr>
          <w:lang w:val="en-GB"/>
        </w:rPr>
        <w:t xml:space="preserve">running </w:t>
      </w:r>
      <w:r w:rsidR="008E171E" w:rsidRPr="00A452F2">
        <w:rPr>
          <w:lang w:val="en-GB"/>
        </w:rPr>
        <w:t>VM</w:t>
      </w:r>
      <w:r>
        <w:rPr>
          <w:lang w:val="en-GB"/>
        </w:rPr>
        <w:t>s</w:t>
      </w:r>
      <w:r w:rsidR="008E171E" w:rsidRPr="00A452F2">
        <w:rPr>
          <w:lang w:val="en-GB"/>
        </w:rPr>
        <w:t xml:space="preserve"> </w:t>
      </w:r>
      <w:r>
        <w:rPr>
          <w:lang w:val="en-GB"/>
        </w:rPr>
        <w:t xml:space="preserve">in the datastore </w:t>
      </w:r>
      <w:r w:rsidR="008E171E" w:rsidRPr="00A452F2">
        <w:rPr>
          <w:lang w:val="en-GB"/>
        </w:rPr>
        <w:t>is automatically shown</w:t>
      </w:r>
      <w:r w:rsidR="008A32B1">
        <w:rPr>
          <w:lang w:val="en-GB"/>
        </w:rPr>
        <w:t xml:space="preserve">, </w:t>
      </w:r>
      <w:r w:rsidR="00C664CA">
        <w:rPr>
          <w:lang w:val="en-GB"/>
        </w:rPr>
        <w:t xml:space="preserve">with the relevant contention and utilization </w:t>
      </w:r>
      <w:r w:rsidR="008D3A3F">
        <w:rPr>
          <w:lang w:val="en-GB"/>
        </w:rPr>
        <w:t>metrics</w:t>
      </w:r>
      <w:r w:rsidR="00C664CA">
        <w:rPr>
          <w:lang w:val="en-GB"/>
        </w:rPr>
        <w:t xml:space="preserve">. </w:t>
      </w:r>
    </w:p>
    <w:p w14:paraId="4CFB0858" w14:textId="6016BEE6" w:rsidR="00152E4D" w:rsidRPr="00A452F2" w:rsidRDefault="00152E4D" w:rsidP="00AB187D">
      <w:pPr>
        <w:jc w:val="center"/>
        <w:rPr>
          <w:lang w:val="en-GB"/>
        </w:rPr>
      </w:pPr>
      <w:r w:rsidRPr="00152E4D">
        <w:rPr>
          <w:noProof/>
          <w:lang w:val="en-GB"/>
        </w:rPr>
        <w:drawing>
          <wp:inline distT="0" distB="0" distL="0" distR="0" wp14:anchorId="63A670DE" wp14:editId="0E6702A0">
            <wp:extent cx="4924425" cy="2583134"/>
            <wp:effectExtent l="0" t="0" r="0" b="8255"/>
            <wp:docPr id="1583707958" name="Picture 1583707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5"/>
                    <a:stretch>
                      <a:fillRect/>
                    </a:stretch>
                  </pic:blipFill>
                  <pic:spPr>
                    <a:xfrm>
                      <a:off x="0" y="0"/>
                      <a:ext cx="4929806" cy="2585957"/>
                    </a:xfrm>
                    <a:prstGeom prst="rect">
                      <a:avLst/>
                    </a:prstGeom>
                  </pic:spPr>
                </pic:pic>
              </a:graphicData>
            </a:graphic>
          </wp:inline>
        </w:drawing>
      </w:r>
    </w:p>
    <w:p w14:paraId="00CE19C1" w14:textId="77777777" w:rsidR="00954D4C" w:rsidRDefault="00954D4C" w:rsidP="00AC6E1E">
      <w:pPr>
        <w:pStyle w:val="Heading4"/>
      </w:pPr>
      <w:r>
        <w:t>VM Analysis</w:t>
      </w:r>
    </w:p>
    <w:p w14:paraId="65CD1497" w14:textId="7ED23E92" w:rsidR="00320D8A" w:rsidRPr="00A452F2" w:rsidRDefault="00152E4D" w:rsidP="00152E4D">
      <w:pPr>
        <w:rPr>
          <w:lang w:val="en-GB"/>
        </w:rPr>
      </w:pPr>
      <w:r w:rsidRPr="00152E4D">
        <w:rPr>
          <w:lang w:val="en-GB"/>
        </w:rPr>
        <w:t>Select a VM you want to troubleshoot</w:t>
      </w:r>
      <w:r w:rsidR="00544D58">
        <w:rPr>
          <w:lang w:val="en-GB"/>
        </w:rPr>
        <w:t xml:space="preserve">. </w:t>
      </w:r>
      <w:r w:rsidR="00320D8A" w:rsidRPr="00A452F2">
        <w:rPr>
          <w:lang w:val="en-GB"/>
        </w:rPr>
        <w:t xml:space="preserve">Its </w:t>
      </w:r>
      <w:r w:rsidR="000220BA">
        <w:rPr>
          <w:lang w:val="en-GB"/>
        </w:rPr>
        <w:t xml:space="preserve">contention </w:t>
      </w:r>
      <w:r w:rsidR="00320D8A" w:rsidRPr="00A452F2">
        <w:rPr>
          <w:lang w:val="en-GB"/>
        </w:rPr>
        <w:t xml:space="preserve">and </w:t>
      </w:r>
      <w:r w:rsidR="000220BA">
        <w:rPr>
          <w:lang w:val="en-GB"/>
        </w:rPr>
        <w:t xml:space="preserve">utilization </w:t>
      </w:r>
      <w:r w:rsidR="00320D8A" w:rsidRPr="00A452F2">
        <w:rPr>
          <w:lang w:val="en-GB"/>
        </w:rPr>
        <w:t>are automatically shown.</w:t>
      </w:r>
    </w:p>
    <w:p w14:paraId="0E341F0D" w14:textId="44E57D6A" w:rsidR="008D57D1" w:rsidRDefault="008D57D1" w:rsidP="00152E4D">
      <w:pPr>
        <w:rPr>
          <w:lang w:val="en-GB"/>
        </w:rPr>
      </w:pPr>
      <w:r w:rsidRPr="008D57D1">
        <w:rPr>
          <w:noProof/>
          <w:lang w:val="en-GB"/>
        </w:rPr>
        <w:lastRenderedPageBreak/>
        <w:drawing>
          <wp:inline distT="0" distB="0" distL="0" distR="0" wp14:anchorId="13C7A9E2" wp14:editId="20DC5D7D">
            <wp:extent cx="6645910" cy="845820"/>
            <wp:effectExtent l="0" t="0" r="2540" b="0"/>
            <wp:docPr id="1583707966" name="Picture 1583707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6"/>
                    <a:stretch>
                      <a:fillRect/>
                    </a:stretch>
                  </pic:blipFill>
                  <pic:spPr>
                    <a:xfrm>
                      <a:off x="0" y="0"/>
                      <a:ext cx="6645910" cy="845820"/>
                    </a:xfrm>
                    <a:prstGeom prst="rect">
                      <a:avLst/>
                    </a:prstGeom>
                  </pic:spPr>
                </pic:pic>
              </a:graphicData>
            </a:graphic>
          </wp:inline>
        </w:drawing>
      </w:r>
    </w:p>
    <w:p w14:paraId="648C4CEB" w14:textId="77777777" w:rsidR="00544D58" w:rsidRDefault="00544D58" w:rsidP="00544D58">
      <w:pPr>
        <w:rPr>
          <w:lang w:val="en-GB"/>
        </w:rPr>
      </w:pPr>
      <w:r w:rsidRPr="00A452F2">
        <w:rPr>
          <w:lang w:val="en-GB"/>
        </w:rPr>
        <w:t>Note that this number is at the VM level. If you suspect one of the virtual disk has high latency, use the counter Peak Virtual Disk Read Latency (ms) and Peak Virtual Disk Write Latency (ms).</w:t>
      </w:r>
    </w:p>
    <w:p w14:paraId="330926D9" w14:textId="44AF48B0" w:rsidR="00AB3CF2" w:rsidRDefault="00544D58" w:rsidP="00152E4D">
      <w:pPr>
        <w:rPr>
          <w:lang w:val="en-GB"/>
        </w:rPr>
      </w:pPr>
      <w:r>
        <w:rPr>
          <w:lang w:val="en-GB"/>
        </w:rPr>
        <w:t>For utilization</w:t>
      </w:r>
      <w:r w:rsidR="00EB5E97">
        <w:rPr>
          <w:lang w:val="en-GB"/>
        </w:rPr>
        <w:t xml:space="preserve">, here are the key </w:t>
      </w:r>
      <w:r w:rsidR="008D3A3F">
        <w:rPr>
          <w:lang w:val="en-GB"/>
        </w:rPr>
        <w:t>metrics</w:t>
      </w:r>
      <w:r w:rsidR="00EB5E97">
        <w:rPr>
          <w:lang w:val="en-GB"/>
        </w:rPr>
        <w:t>.</w:t>
      </w:r>
    </w:p>
    <w:p w14:paraId="5588D6B3" w14:textId="54DA8DBB" w:rsidR="00AB3CF2" w:rsidRDefault="00AB3CF2" w:rsidP="00152E4D">
      <w:pPr>
        <w:rPr>
          <w:lang w:val="en-GB"/>
        </w:rPr>
      </w:pPr>
      <w:r w:rsidRPr="00AB3CF2">
        <w:rPr>
          <w:noProof/>
          <w:lang w:val="en-GB"/>
        </w:rPr>
        <w:drawing>
          <wp:inline distT="0" distB="0" distL="0" distR="0" wp14:anchorId="73400FC0" wp14:editId="40FB4214">
            <wp:extent cx="6645910" cy="847090"/>
            <wp:effectExtent l="0" t="0" r="2540" b="0"/>
            <wp:docPr id="1583707967" name="Picture 1583707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7"/>
                    <a:stretch>
                      <a:fillRect/>
                    </a:stretch>
                  </pic:blipFill>
                  <pic:spPr>
                    <a:xfrm>
                      <a:off x="0" y="0"/>
                      <a:ext cx="6645910" cy="847090"/>
                    </a:xfrm>
                    <a:prstGeom prst="rect">
                      <a:avLst/>
                    </a:prstGeom>
                  </pic:spPr>
                </pic:pic>
              </a:graphicData>
            </a:graphic>
          </wp:inline>
        </w:drawing>
      </w:r>
    </w:p>
    <w:p w14:paraId="5F7C1E51" w14:textId="4B5AD5EE" w:rsidR="00AF2712" w:rsidRPr="00A452F2" w:rsidRDefault="00AF2712" w:rsidP="00152E4D">
      <w:pPr>
        <w:rPr>
          <w:lang w:val="en-GB"/>
        </w:rPr>
      </w:pPr>
      <w:r w:rsidRPr="00AF2712">
        <w:rPr>
          <w:lang w:val="en-GB"/>
        </w:rPr>
        <w:t xml:space="preserve">If you have many VMs with virtual disks on multiple datastores, add a View List widget to list the individual virtual disks. Use this list to plot the latency </w:t>
      </w:r>
      <w:r w:rsidR="001016E1">
        <w:rPr>
          <w:lang w:val="en-GB"/>
        </w:rPr>
        <w:t xml:space="preserve">&amp; utilization </w:t>
      </w:r>
      <w:r w:rsidRPr="00AF2712">
        <w:rPr>
          <w:lang w:val="en-GB"/>
        </w:rPr>
        <w:t>of individual virtual disk.</w:t>
      </w:r>
    </w:p>
    <w:p w14:paraId="044AF439" w14:textId="58762578" w:rsidR="00954D4C" w:rsidRDefault="00954D4C" w:rsidP="00AC6E1E">
      <w:pPr>
        <w:pStyle w:val="Heading4"/>
      </w:pPr>
      <w:r>
        <w:t>Relationship</w:t>
      </w:r>
    </w:p>
    <w:p w14:paraId="47885498" w14:textId="3E987BB8" w:rsidR="00BA3B8D" w:rsidRDefault="00BA3B8D" w:rsidP="00BA3B8D">
      <w:pPr>
        <w:rPr>
          <w:lang w:val="en-GB"/>
        </w:rPr>
      </w:pPr>
      <w:r>
        <w:rPr>
          <w:lang w:val="en-GB"/>
        </w:rPr>
        <w:t xml:space="preserve">From the datastore, what if you want to check which </w:t>
      </w:r>
      <w:r w:rsidR="00FF2FD7">
        <w:rPr>
          <w:lang w:val="en-GB"/>
        </w:rPr>
        <w:t xml:space="preserve">clusters or </w:t>
      </w:r>
      <w:r>
        <w:rPr>
          <w:lang w:val="en-GB"/>
        </w:rPr>
        <w:t>hosts are causing the problems?</w:t>
      </w:r>
      <w:r w:rsidR="00FF2FD7">
        <w:rPr>
          <w:lang w:val="en-GB"/>
        </w:rPr>
        <w:t xml:space="preserve"> If it’s a vSAN datastore, what other relevant KPIs should you check?</w:t>
      </w:r>
    </w:p>
    <w:p w14:paraId="7ACF099F" w14:textId="5B14C507" w:rsidR="0069463F" w:rsidRPr="00BA3B8D" w:rsidRDefault="00951433" w:rsidP="00BA3B8D">
      <w:pPr>
        <w:rPr>
          <w:lang w:val="en-GB"/>
        </w:rPr>
      </w:pPr>
      <w:r>
        <w:rPr>
          <w:lang w:val="en-GB"/>
        </w:rPr>
        <w:t xml:space="preserve">From </w:t>
      </w:r>
      <w:r w:rsidR="0069463F">
        <w:rPr>
          <w:lang w:val="en-GB"/>
        </w:rPr>
        <w:t>the relationship widget</w:t>
      </w:r>
      <w:r>
        <w:rPr>
          <w:lang w:val="en-GB"/>
        </w:rPr>
        <w:t xml:space="preserve">, select either an ESXi, a vSphere cluster or a vSAN cluster. It’s relevant contention and utilization </w:t>
      </w:r>
      <w:r w:rsidR="008D3A3F">
        <w:rPr>
          <w:lang w:val="en-GB"/>
        </w:rPr>
        <w:t>metrics</w:t>
      </w:r>
      <w:r>
        <w:rPr>
          <w:lang w:val="en-GB"/>
        </w:rPr>
        <w:t xml:space="preserve"> will be automatically shown.</w:t>
      </w:r>
    </w:p>
    <w:p w14:paraId="702858E5" w14:textId="19A2FB04" w:rsidR="00954D4C" w:rsidRDefault="00491B71" w:rsidP="001016E1">
      <w:pPr>
        <w:jc w:val="center"/>
        <w:rPr>
          <w:lang w:val="en-GB"/>
        </w:rPr>
      </w:pPr>
      <w:r w:rsidRPr="00491B71">
        <w:rPr>
          <w:noProof/>
          <w:lang w:val="en-GB"/>
        </w:rPr>
        <w:drawing>
          <wp:inline distT="0" distB="0" distL="0" distR="0" wp14:anchorId="0BA364E6" wp14:editId="0222BF8D">
            <wp:extent cx="4748530" cy="2446405"/>
            <wp:effectExtent l="0" t="0" r="0" b="0"/>
            <wp:docPr id="1085195941" name="Picture 1085195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8"/>
                    <a:stretch>
                      <a:fillRect/>
                    </a:stretch>
                  </pic:blipFill>
                  <pic:spPr>
                    <a:xfrm>
                      <a:off x="0" y="0"/>
                      <a:ext cx="4750388" cy="2447362"/>
                    </a:xfrm>
                    <a:prstGeom prst="rect">
                      <a:avLst/>
                    </a:prstGeom>
                  </pic:spPr>
                </pic:pic>
              </a:graphicData>
            </a:graphic>
          </wp:inline>
        </w:drawing>
      </w:r>
    </w:p>
    <w:p w14:paraId="1C848CF1" w14:textId="578F4849" w:rsidR="00951433" w:rsidRDefault="005658BC" w:rsidP="00954D4C">
      <w:pPr>
        <w:rPr>
          <w:lang w:val="en-GB"/>
        </w:rPr>
      </w:pPr>
      <w:r>
        <w:rPr>
          <w:lang w:val="en-GB"/>
        </w:rPr>
        <w:t xml:space="preserve">The following table shows the contention </w:t>
      </w:r>
      <w:r w:rsidR="008D3A3F">
        <w:rPr>
          <w:lang w:val="en-GB"/>
        </w:rPr>
        <w:t>metrics</w:t>
      </w:r>
      <w:r>
        <w:rPr>
          <w:lang w:val="en-GB"/>
        </w:rPr>
        <w:t xml:space="preserve"> for the 3 object types:</w:t>
      </w:r>
    </w:p>
    <w:p w14:paraId="15ADA60F" w14:textId="2C43552E" w:rsidR="005658BC" w:rsidRDefault="005658BC" w:rsidP="00954D4C">
      <w:pPr>
        <w:rPr>
          <w:lang w:val="en-GB"/>
        </w:rPr>
      </w:pPr>
      <w:r w:rsidRPr="005658BC">
        <w:rPr>
          <w:noProof/>
          <w:lang w:val="en-GB"/>
        </w:rPr>
        <w:lastRenderedPageBreak/>
        <w:drawing>
          <wp:inline distT="0" distB="0" distL="0" distR="0" wp14:anchorId="58F87CAE" wp14:editId="0A1B463D">
            <wp:extent cx="6645910" cy="3399155"/>
            <wp:effectExtent l="0" t="0" r="2540" b="0"/>
            <wp:docPr id="1085195942" name="Picture 1085195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9"/>
                    <a:stretch>
                      <a:fillRect/>
                    </a:stretch>
                  </pic:blipFill>
                  <pic:spPr>
                    <a:xfrm>
                      <a:off x="0" y="0"/>
                      <a:ext cx="6645910" cy="3399155"/>
                    </a:xfrm>
                    <a:prstGeom prst="rect">
                      <a:avLst/>
                    </a:prstGeom>
                  </pic:spPr>
                </pic:pic>
              </a:graphicData>
            </a:graphic>
          </wp:inline>
        </w:drawing>
      </w:r>
    </w:p>
    <w:p w14:paraId="2E277DE9" w14:textId="39431207" w:rsidR="0065007D" w:rsidRDefault="00E26BBA" w:rsidP="00954D4C">
      <w:pPr>
        <w:rPr>
          <w:lang w:val="en-GB"/>
        </w:rPr>
      </w:pPr>
      <w:r>
        <w:rPr>
          <w:lang w:val="en-GB"/>
        </w:rPr>
        <w:t xml:space="preserve">Just like all the contention </w:t>
      </w:r>
      <w:r w:rsidR="008D3A3F">
        <w:rPr>
          <w:lang w:val="en-GB"/>
        </w:rPr>
        <w:t>metrics</w:t>
      </w:r>
      <w:r>
        <w:rPr>
          <w:lang w:val="en-GB"/>
        </w:rPr>
        <w:t>, t</w:t>
      </w:r>
      <w:r w:rsidR="0065007D">
        <w:rPr>
          <w:lang w:val="en-GB"/>
        </w:rPr>
        <w:t>hey are color coded</w:t>
      </w:r>
      <w:r>
        <w:rPr>
          <w:lang w:val="en-GB"/>
        </w:rPr>
        <w:t xml:space="preserve"> for ease of analysis.</w:t>
      </w:r>
      <w:r w:rsidR="00F3007E">
        <w:rPr>
          <w:lang w:val="en-GB"/>
        </w:rPr>
        <w:t xml:space="preserve"> </w:t>
      </w:r>
    </w:p>
    <w:p w14:paraId="6E8FB6EE" w14:textId="65B2831E" w:rsidR="00F4786E" w:rsidRDefault="004F05ED" w:rsidP="00954D4C">
      <w:pPr>
        <w:rPr>
          <w:lang w:val="en-GB"/>
        </w:rPr>
      </w:pPr>
      <w:r>
        <w:rPr>
          <w:lang w:val="en-GB"/>
        </w:rPr>
        <w:t xml:space="preserve">The following table shows </w:t>
      </w:r>
      <w:r w:rsidR="00E26BBA">
        <w:rPr>
          <w:lang w:val="en-GB"/>
        </w:rPr>
        <w:t xml:space="preserve">the utilization </w:t>
      </w:r>
      <w:r w:rsidR="008D3A3F">
        <w:rPr>
          <w:lang w:val="en-GB"/>
        </w:rPr>
        <w:t>metrics</w:t>
      </w:r>
      <w:r w:rsidR="00E26BBA">
        <w:rPr>
          <w:lang w:val="en-GB"/>
        </w:rPr>
        <w:t>.</w:t>
      </w:r>
    </w:p>
    <w:p w14:paraId="25FBA71B" w14:textId="17186141" w:rsidR="004F05ED" w:rsidRDefault="004F05ED" w:rsidP="004F05ED">
      <w:pPr>
        <w:jc w:val="center"/>
        <w:rPr>
          <w:lang w:val="en-GB"/>
        </w:rPr>
      </w:pPr>
      <w:r w:rsidRPr="004F05ED">
        <w:rPr>
          <w:noProof/>
          <w:lang w:val="en-GB"/>
        </w:rPr>
        <w:drawing>
          <wp:inline distT="0" distB="0" distL="0" distR="0" wp14:anchorId="6BEF162F" wp14:editId="5362469D">
            <wp:extent cx="4481617" cy="3254375"/>
            <wp:effectExtent l="0" t="0" r="0" b="3175"/>
            <wp:docPr id="1085195945" name="Picture 1085195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0"/>
                    <a:stretch>
                      <a:fillRect/>
                    </a:stretch>
                  </pic:blipFill>
                  <pic:spPr>
                    <a:xfrm>
                      <a:off x="0" y="0"/>
                      <a:ext cx="4482462" cy="3254989"/>
                    </a:xfrm>
                    <a:prstGeom prst="rect">
                      <a:avLst/>
                    </a:prstGeom>
                  </pic:spPr>
                </pic:pic>
              </a:graphicData>
            </a:graphic>
          </wp:inline>
        </w:drawing>
      </w:r>
    </w:p>
    <w:p w14:paraId="1D57B343" w14:textId="6911C188" w:rsidR="00B22C60" w:rsidRPr="00954D4C" w:rsidRDefault="00B22C60" w:rsidP="00B22C60">
      <w:pPr>
        <w:rPr>
          <w:lang w:val="en-GB"/>
        </w:rPr>
      </w:pPr>
      <w:r>
        <w:rPr>
          <w:lang w:val="en-GB"/>
        </w:rPr>
        <w:t xml:space="preserve">Just like all the utilization </w:t>
      </w:r>
      <w:r w:rsidR="008D3A3F">
        <w:rPr>
          <w:lang w:val="en-GB"/>
        </w:rPr>
        <w:t>metrics</w:t>
      </w:r>
      <w:r>
        <w:rPr>
          <w:lang w:val="en-GB"/>
        </w:rPr>
        <w:t>, they are not color coded</w:t>
      </w:r>
      <w:r w:rsidR="00FE291B">
        <w:rPr>
          <w:lang w:val="en-GB"/>
        </w:rPr>
        <w:t xml:space="preserve"> so not to give the wrong conclusion.</w:t>
      </w:r>
      <w:r>
        <w:rPr>
          <w:lang w:val="en-GB"/>
        </w:rPr>
        <w:t xml:space="preserve"> </w:t>
      </w:r>
    </w:p>
    <w:p w14:paraId="1AE3D276" w14:textId="239C9DA3" w:rsidR="008131A8" w:rsidRPr="00A452F2" w:rsidRDefault="008131A8" w:rsidP="00540F68">
      <w:pPr>
        <w:pStyle w:val="Heading3"/>
      </w:pPr>
      <w:r w:rsidRPr="00A452F2">
        <w:lastRenderedPageBreak/>
        <w:t xml:space="preserve">vSAN </w:t>
      </w:r>
      <w:r w:rsidR="00D54165">
        <w:t>Performance</w:t>
      </w:r>
      <w:r w:rsidRPr="00A452F2">
        <w:t xml:space="preserve"> </w:t>
      </w:r>
    </w:p>
    <w:p w14:paraId="2F0E5208" w14:textId="215B0202" w:rsidR="0041780C" w:rsidRDefault="00404930" w:rsidP="00F6120D">
      <w:pPr>
        <w:rPr>
          <w:lang w:val="en-GB"/>
        </w:rPr>
      </w:pPr>
      <w:r>
        <w:rPr>
          <w:lang w:val="en-GB"/>
        </w:rPr>
        <w:t>T</w:t>
      </w:r>
      <w:r w:rsidR="00CD7770" w:rsidRPr="00A452F2">
        <w:rPr>
          <w:lang w:val="en-GB"/>
        </w:rPr>
        <w:t xml:space="preserve">his dashboard is designed to complement the </w:t>
      </w:r>
      <w:hyperlink w:anchor="_Cluster_Capacity" w:history="1">
        <w:r w:rsidR="1FFD6B0C" w:rsidRPr="00A452F2">
          <w:rPr>
            <w:rStyle w:val="Hyperlink"/>
            <w:lang w:val="en-GB"/>
          </w:rPr>
          <w:t xml:space="preserve">vSphere </w:t>
        </w:r>
        <w:r w:rsidR="1FFD6B0C" w:rsidRPr="00CB6FA7">
          <w:rPr>
            <w:rStyle w:val="Hyperlink"/>
            <w:lang w:val="en-GB"/>
          </w:rPr>
          <w:t>Cluster Capacity</w:t>
        </w:r>
        <w:r w:rsidR="1FFD6B0C" w:rsidRPr="00A452F2">
          <w:rPr>
            <w:rStyle w:val="Hyperlink"/>
            <w:b/>
            <w:bCs/>
            <w:lang w:val="en-GB"/>
          </w:rPr>
          <w:t xml:space="preserve"> </w:t>
        </w:r>
        <w:r w:rsidR="1FFD6B0C" w:rsidRPr="00A452F2">
          <w:rPr>
            <w:rStyle w:val="Hyperlink"/>
            <w:lang w:val="en-GB"/>
          </w:rPr>
          <w:t>dashboard</w:t>
        </w:r>
      </w:hyperlink>
      <w:r w:rsidR="00CD7770" w:rsidRPr="00A452F2">
        <w:rPr>
          <w:lang w:val="en-GB"/>
        </w:rPr>
        <w:t>. It focuses on the storage and vSAN specific metrics, and does not repeat what’s already covered.</w:t>
      </w:r>
      <w:r w:rsidR="006075C4" w:rsidRPr="00A452F2">
        <w:rPr>
          <w:lang w:val="en-GB"/>
        </w:rPr>
        <w:t xml:space="preserve"> It</w:t>
      </w:r>
      <w:r w:rsidR="2FCAAA41" w:rsidRPr="00A452F2">
        <w:rPr>
          <w:lang w:val="en-GB"/>
        </w:rPr>
        <w:t xml:space="preserve"> </w:t>
      </w:r>
      <w:r w:rsidR="00BF224F" w:rsidRPr="00A452F2">
        <w:rPr>
          <w:lang w:val="en-GB"/>
        </w:rPr>
        <w:t>also</w:t>
      </w:r>
      <w:r w:rsidR="006075C4" w:rsidRPr="00A452F2">
        <w:rPr>
          <w:lang w:val="en-GB"/>
        </w:rPr>
        <w:t xml:space="preserve"> does not list non vSAN cluster.</w:t>
      </w:r>
      <w:r w:rsidR="00261AFD" w:rsidRPr="00261AFD">
        <w:rPr>
          <w:lang w:val="en-GB"/>
        </w:rPr>
        <w:t xml:space="preserve"> </w:t>
      </w:r>
      <w:r w:rsidR="00261AFD">
        <w:rPr>
          <w:lang w:val="en-GB"/>
        </w:rPr>
        <w:t xml:space="preserve">That’s a long winded way to say you gotta use both dashboard to manage vSAN performance </w:t>
      </w:r>
      <w:r w:rsidR="00261AFD" w:rsidRPr="00607140">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093BB518" w14:textId="09F1089E" w:rsidR="00DF533A" w:rsidRDefault="00DF533A" w:rsidP="00AC6E1E">
      <w:pPr>
        <w:pStyle w:val="Heading4"/>
      </w:pPr>
      <w:r>
        <w:t>Cluster Analysis</w:t>
      </w:r>
    </w:p>
    <w:p w14:paraId="7EE4449A" w14:textId="0613031C" w:rsidR="00D4548F" w:rsidRPr="00D4548F" w:rsidRDefault="001174CC" w:rsidP="00D4548F">
      <w:pPr>
        <w:rPr>
          <w:lang w:val="en-GB"/>
        </w:rPr>
      </w:pPr>
      <w:r w:rsidRPr="4C8B4F60">
        <w:rPr>
          <w:lang w:val="en-GB"/>
        </w:rPr>
        <w:t xml:space="preserve">The table lists all the </w:t>
      </w:r>
      <w:r w:rsidR="00E12623">
        <w:rPr>
          <w:lang w:val="en-GB"/>
        </w:rPr>
        <w:t xml:space="preserve">vSAN </w:t>
      </w:r>
      <w:r w:rsidRPr="4C8B4F60">
        <w:rPr>
          <w:lang w:val="en-GB"/>
        </w:rPr>
        <w:t>clusters, starting with</w:t>
      </w:r>
      <w:r>
        <w:rPr>
          <w:lang w:val="en-GB"/>
        </w:rPr>
        <w:t xml:space="preserve"> cluster with the highest VM disk latency</w:t>
      </w:r>
      <w:r w:rsidRPr="4C8B4F60">
        <w:rPr>
          <w:lang w:val="en-GB"/>
        </w:rPr>
        <w:t>. By default, it’s showing data from the last 24 hours as this dashboard is designed to be part of your daily SOP.</w:t>
      </w:r>
    </w:p>
    <w:p w14:paraId="713C1CDE" w14:textId="78084D7D" w:rsidR="003637E8" w:rsidRDefault="003637E8" w:rsidP="00150DDF">
      <w:pPr>
        <w:jc w:val="center"/>
        <w:rPr>
          <w:lang w:val="en-GB"/>
        </w:rPr>
      </w:pPr>
      <w:r w:rsidRPr="003637E8">
        <w:rPr>
          <w:noProof/>
          <w:lang w:val="en-GB"/>
        </w:rPr>
        <w:drawing>
          <wp:inline distT="0" distB="0" distL="0" distR="0" wp14:anchorId="34A8E1E0" wp14:editId="7C3BC532">
            <wp:extent cx="4731385" cy="2415872"/>
            <wp:effectExtent l="0" t="0" r="0" b="3810"/>
            <wp:docPr id="1085195924" name="Picture 1085195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1"/>
                    <a:stretch>
                      <a:fillRect/>
                    </a:stretch>
                  </pic:blipFill>
                  <pic:spPr>
                    <a:xfrm>
                      <a:off x="0" y="0"/>
                      <a:ext cx="4732819" cy="2416604"/>
                    </a:xfrm>
                    <a:prstGeom prst="rect">
                      <a:avLst/>
                    </a:prstGeom>
                  </pic:spPr>
                </pic:pic>
              </a:graphicData>
            </a:graphic>
          </wp:inline>
        </w:drawing>
      </w:r>
    </w:p>
    <w:p w14:paraId="42759CE4" w14:textId="77777777" w:rsidR="00DF533A" w:rsidRPr="00A452F2" w:rsidRDefault="00DF533A" w:rsidP="00DF533A">
      <w:pPr>
        <w:rPr>
          <w:lang w:val="en-GB"/>
        </w:rPr>
      </w:pPr>
      <w:r w:rsidRPr="00A452F2">
        <w:rPr>
          <w:lang w:val="en-GB"/>
        </w:rPr>
        <w:t xml:space="preserve">All Flash and Hybrid have different performance. Since there is only 1 benchmark, the all flash will perform better than hybrid, and that’s what you expect to see. </w:t>
      </w:r>
    </w:p>
    <w:p w14:paraId="3B838E00" w14:textId="4A332AD3" w:rsidR="00623B1E" w:rsidRPr="00A452F2" w:rsidRDefault="00623B1E" w:rsidP="00623B1E">
      <w:pPr>
        <w:rPr>
          <w:lang w:val="en-GB"/>
        </w:rPr>
      </w:pPr>
      <w:r w:rsidRPr="00A452F2">
        <w:rPr>
          <w:lang w:val="en-GB"/>
        </w:rPr>
        <w:t xml:space="preserve">The first </w:t>
      </w:r>
      <w:r w:rsidR="00855EA1">
        <w:rPr>
          <w:lang w:val="en-GB"/>
        </w:rPr>
        <w:t>column</w:t>
      </w:r>
      <w:r w:rsidRPr="00A452F2">
        <w:rPr>
          <w:lang w:val="en-GB"/>
        </w:rPr>
        <w:t xml:space="preserve"> shows if the distribution of disk latency experienced by all the VMs in the cluster. You should expect majority of the VMs to experience latency that matches your expectation. For example, in an all flash systems, the VMs should not be having &gt;</w:t>
      </w:r>
      <w:r w:rsidR="00855EA1">
        <w:rPr>
          <w:lang w:val="en-GB"/>
        </w:rPr>
        <w:t>1</w:t>
      </w:r>
      <w:r w:rsidRPr="00A452F2">
        <w:rPr>
          <w:lang w:val="en-GB"/>
        </w:rPr>
        <w:t>0 ms disk latency. If your vSAN environment is all flash, you may need to adjust the distribution bucket to a more stringent set.</w:t>
      </w:r>
    </w:p>
    <w:p w14:paraId="40EB638D" w14:textId="3565DAA6" w:rsidR="00623B1E" w:rsidRPr="00A452F2" w:rsidRDefault="00623B1E" w:rsidP="00623B1E">
      <w:pPr>
        <w:rPr>
          <w:lang w:val="en-GB"/>
        </w:rPr>
      </w:pPr>
      <w:r w:rsidRPr="00A452F2">
        <w:rPr>
          <w:lang w:val="en-GB"/>
        </w:rPr>
        <w:t xml:space="preserve">The second </w:t>
      </w:r>
      <w:r w:rsidR="00015522">
        <w:rPr>
          <w:lang w:val="en-GB"/>
        </w:rPr>
        <w:t xml:space="preserve">column </w:t>
      </w:r>
      <w:r w:rsidRPr="00A452F2">
        <w:rPr>
          <w:lang w:val="en-GB"/>
        </w:rPr>
        <w:t>shows if any of the vSAN kernel module has to wait for CPU. Expect this number to be near 0% and below 1%, as vSAN should not be waiting for CPU time. vSAN gets higher priority than VM World as it lives in the kernel space.</w:t>
      </w:r>
    </w:p>
    <w:p w14:paraId="2156F1FD" w14:textId="5ACF4478" w:rsidR="00623B1E" w:rsidRDefault="00623B1E" w:rsidP="00623B1E">
      <w:pPr>
        <w:rPr>
          <w:lang w:val="en-GB"/>
        </w:rPr>
      </w:pPr>
      <w:r w:rsidRPr="00A452F2">
        <w:rPr>
          <w:lang w:val="en-GB"/>
        </w:rPr>
        <w:t xml:space="preserve">The third </w:t>
      </w:r>
      <w:r w:rsidR="00015522">
        <w:rPr>
          <w:lang w:val="en-GB"/>
        </w:rPr>
        <w:t>column</w:t>
      </w:r>
      <w:r w:rsidRPr="00A452F2">
        <w:rPr>
          <w:lang w:val="en-GB"/>
        </w:rPr>
        <w:t xml:space="preserve"> shows if any of the vSAN cluster is dropping packet in the vSAN network (not the VM network). vSAN relies on network to keep the cluster in-sync. This number should be near 0% and less than 1%.</w:t>
      </w:r>
    </w:p>
    <w:p w14:paraId="5C8293B2" w14:textId="24342B10" w:rsidR="00015522" w:rsidRPr="00A452F2" w:rsidRDefault="00015522" w:rsidP="00623B1E">
      <w:pPr>
        <w:rPr>
          <w:lang w:val="en-GB"/>
        </w:rPr>
      </w:pPr>
      <w:r>
        <w:rPr>
          <w:lang w:val="en-GB"/>
        </w:rPr>
        <w:t>Select a cluster to investigate further. It</w:t>
      </w:r>
      <w:r w:rsidR="00350D86">
        <w:rPr>
          <w:lang w:val="en-GB"/>
        </w:rPr>
        <w:t>s VM latency distribution will be automatically shown.</w:t>
      </w:r>
    </w:p>
    <w:p w14:paraId="27304D89" w14:textId="5F36474A" w:rsidR="004A303B" w:rsidRPr="004A303B" w:rsidRDefault="004A303B" w:rsidP="004A303B">
      <w:pPr>
        <w:rPr>
          <w:lang w:val="en-GB"/>
        </w:rPr>
      </w:pPr>
      <w:r>
        <w:rPr>
          <w:lang w:val="en-GB"/>
        </w:rPr>
        <w:t xml:space="preserve">What can you conclude from the following </w:t>
      </w:r>
      <w:r w:rsidR="004001D4">
        <w:rPr>
          <w:lang w:val="en-GB"/>
        </w:rPr>
        <w:t>2 bar charts?</w:t>
      </w:r>
    </w:p>
    <w:p w14:paraId="70C89F94" w14:textId="0464CB66" w:rsidR="004A303B" w:rsidRPr="004A303B" w:rsidRDefault="004A303B" w:rsidP="004A303B">
      <w:pPr>
        <w:rPr>
          <w:lang w:val="en-GB"/>
        </w:rPr>
      </w:pPr>
      <w:r w:rsidRPr="004A303B">
        <w:rPr>
          <w:noProof/>
          <w:lang w:val="en-GB"/>
        </w:rPr>
        <w:lastRenderedPageBreak/>
        <w:drawing>
          <wp:inline distT="0" distB="0" distL="0" distR="0" wp14:anchorId="29DBAFFE" wp14:editId="1C090DB8">
            <wp:extent cx="6645910" cy="1716405"/>
            <wp:effectExtent l="0" t="0" r="2540" b="0"/>
            <wp:docPr id="1085195925" name="Picture 1085195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2"/>
                    <a:stretch>
                      <a:fillRect/>
                    </a:stretch>
                  </pic:blipFill>
                  <pic:spPr>
                    <a:xfrm>
                      <a:off x="0" y="0"/>
                      <a:ext cx="6645910" cy="1716405"/>
                    </a:xfrm>
                    <a:prstGeom prst="rect">
                      <a:avLst/>
                    </a:prstGeom>
                  </pic:spPr>
                </pic:pic>
              </a:graphicData>
            </a:graphic>
          </wp:inline>
        </w:drawing>
      </w:r>
    </w:p>
    <w:p w14:paraId="501F3099" w14:textId="1B33CA4A" w:rsidR="000A09DC" w:rsidRDefault="000A09DC" w:rsidP="00F6120D">
      <w:pPr>
        <w:rPr>
          <w:lang w:val="en-GB"/>
        </w:rPr>
      </w:pPr>
      <w:r>
        <w:rPr>
          <w:lang w:val="en-GB"/>
        </w:rPr>
        <w:t xml:space="preserve">You can tell that most VMs in the selected cluster experience write latency, but not read latency. </w:t>
      </w:r>
      <w:r w:rsidR="000924F8">
        <w:rPr>
          <w:lang w:val="en-GB"/>
        </w:rPr>
        <w:t>This helps you choose the right path of investigation.</w:t>
      </w:r>
    </w:p>
    <w:p w14:paraId="434BE0BD" w14:textId="6AA9DFA5" w:rsidR="00623B1E" w:rsidRDefault="00623B1E" w:rsidP="00F6120D">
      <w:pPr>
        <w:rPr>
          <w:lang w:val="en-GB"/>
        </w:rPr>
      </w:pPr>
      <w:r>
        <w:rPr>
          <w:lang w:val="en-GB"/>
        </w:rPr>
        <w:t>The latency counter above is not at VM level. It’s at virtual disk level</w:t>
      </w:r>
      <w:r w:rsidR="00576C8B">
        <w:rPr>
          <w:lang w:val="en-GB"/>
        </w:rPr>
        <w:t>, meaning if a VM has 10 virtual disk, it takes the highest among any of them.</w:t>
      </w:r>
    </w:p>
    <w:p w14:paraId="2C055290" w14:textId="1643CD45" w:rsidR="00C5432D" w:rsidRDefault="00C5432D" w:rsidP="00E7573A">
      <w:pPr>
        <w:pStyle w:val="Heading5"/>
      </w:pPr>
      <w:r>
        <w:t>Contention</w:t>
      </w:r>
    </w:p>
    <w:p w14:paraId="42267D40" w14:textId="0012E6A6" w:rsidR="00F777AA" w:rsidRPr="00F777AA" w:rsidRDefault="00F777AA" w:rsidP="00F777AA">
      <w:pPr>
        <w:rPr>
          <w:lang w:val="en-GB"/>
        </w:rPr>
      </w:pPr>
      <w:r>
        <w:rPr>
          <w:lang w:val="en-GB"/>
        </w:rPr>
        <w:t xml:space="preserve">You can see various </w:t>
      </w:r>
      <w:r w:rsidR="008E3792">
        <w:rPr>
          <w:lang w:val="en-GB"/>
        </w:rPr>
        <w:t xml:space="preserve">disk-related </w:t>
      </w:r>
      <w:r>
        <w:rPr>
          <w:lang w:val="en-GB"/>
        </w:rPr>
        <w:t xml:space="preserve">contention </w:t>
      </w:r>
      <w:r w:rsidR="008D3A3F">
        <w:rPr>
          <w:lang w:val="en-GB"/>
        </w:rPr>
        <w:t>metrics</w:t>
      </w:r>
      <w:r>
        <w:rPr>
          <w:lang w:val="en-GB"/>
        </w:rPr>
        <w:t xml:space="preserve"> </w:t>
      </w:r>
      <w:r w:rsidR="00C8526C">
        <w:rPr>
          <w:lang w:val="en-GB"/>
        </w:rPr>
        <w:t>of the cluster</w:t>
      </w:r>
      <w:r w:rsidR="008D530E">
        <w:rPr>
          <w:lang w:val="en-GB"/>
        </w:rPr>
        <w:t>, as shown below.</w:t>
      </w:r>
    </w:p>
    <w:p w14:paraId="59B0299B" w14:textId="7CD12A99" w:rsidR="00AC3A47" w:rsidRDefault="00AC3A47" w:rsidP="00F6120D">
      <w:pPr>
        <w:rPr>
          <w:lang w:val="en-GB"/>
        </w:rPr>
      </w:pPr>
      <w:r w:rsidRPr="00AC3A47">
        <w:rPr>
          <w:noProof/>
          <w:lang w:val="en-GB"/>
        </w:rPr>
        <w:drawing>
          <wp:inline distT="0" distB="0" distL="0" distR="0" wp14:anchorId="00F3B689" wp14:editId="22601DBE">
            <wp:extent cx="6645910" cy="1139825"/>
            <wp:effectExtent l="0" t="0" r="2540" b="3175"/>
            <wp:docPr id="1085195934" name="Picture 1085195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3"/>
                    <a:stretch>
                      <a:fillRect/>
                    </a:stretch>
                  </pic:blipFill>
                  <pic:spPr>
                    <a:xfrm>
                      <a:off x="0" y="0"/>
                      <a:ext cx="6645910" cy="1139825"/>
                    </a:xfrm>
                    <a:prstGeom prst="rect">
                      <a:avLst/>
                    </a:prstGeom>
                  </pic:spPr>
                </pic:pic>
              </a:graphicData>
            </a:graphic>
          </wp:inline>
        </w:drawing>
      </w:r>
    </w:p>
    <w:p w14:paraId="7F5C3733" w14:textId="2A951320" w:rsidR="00830673" w:rsidRDefault="00830673" w:rsidP="00F6120D">
      <w:pPr>
        <w:rPr>
          <w:lang w:val="en-GB"/>
        </w:rPr>
      </w:pPr>
      <w:r>
        <w:rPr>
          <w:lang w:val="en-GB"/>
        </w:rPr>
        <w:t xml:space="preserve">All these </w:t>
      </w:r>
      <w:r w:rsidR="008D3A3F">
        <w:rPr>
          <w:lang w:val="en-GB"/>
        </w:rPr>
        <w:t>metrics</w:t>
      </w:r>
      <w:r>
        <w:rPr>
          <w:lang w:val="en-GB"/>
        </w:rPr>
        <w:t xml:space="preserve"> are at vSAN cluster level, so there are some roll up involved. </w:t>
      </w:r>
      <w:r w:rsidR="005115EC">
        <w:rPr>
          <w:lang w:val="en-GB"/>
        </w:rPr>
        <w:t xml:space="preserve">Why are the Read Latency and Write Latency not shown as the first </w:t>
      </w:r>
      <w:r w:rsidR="008D3A3F">
        <w:rPr>
          <w:lang w:val="en-GB"/>
        </w:rPr>
        <w:t>metrics</w:t>
      </w:r>
      <w:r w:rsidR="00E573D1">
        <w:rPr>
          <w:lang w:val="en-GB"/>
        </w:rPr>
        <w:t>?</w:t>
      </w:r>
    </w:p>
    <w:p w14:paraId="385E2713" w14:textId="5491EC2E" w:rsidR="00E573D1" w:rsidRDefault="00E573D1" w:rsidP="00F6120D">
      <w:pPr>
        <w:rPr>
          <w:lang w:val="en-GB"/>
        </w:rPr>
      </w:pPr>
      <w:r>
        <w:rPr>
          <w:lang w:val="en-GB"/>
        </w:rPr>
        <w:t xml:space="preserve">They are average. </w:t>
      </w:r>
      <w:r w:rsidR="00B31ADA">
        <w:rPr>
          <w:lang w:val="en-GB"/>
        </w:rPr>
        <w:t xml:space="preserve">By the time the group average is bad, you could have half the population </w:t>
      </w:r>
      <w:r w:rsidR="001D5122">
        <w:rPr>
          <w:lang w:val="en-GB"/>
        </w:rPr>
        <w:t>in worse situation. One way to overcome is to use a tighter threshold, as shown in the following table.</w:t>
      </w:r>
    </w:p>
    <w:p w14:paraId="19CF8DDA" w14:textId="280FAFA5" w:rsidR="00B31ADA" w:rsidRDefault="00B31ADA" w:rsidP="00B31ADA">
      <w:pPr>
        <w:jc w:val="center"/>
        <w:rPr>
          <w:lang w:val="en-GB"/>
        </w:rPr>
      </w:pPr>
      <w:r w:rsidRPr="00B31ADA">
        <w:rPr>
          <w:noProof/>
          <w:lang w:val="en-GB"/>
        </w:rPr>
        <w:drawing>
          <wp:inline distT="0" distB="0" distL="0" distR="0" wp14:anchorId="19282707" wp14:editId="5C61C9F4">
            <wp:extent cx="5879791" cy="1926410"/>
            <wp:effectExtent l="0" t="0" r="6985" b="0"/>
            <wp:docPr id="1709717416" name="Picture 1709717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4"/>
                    <a:stretch>
                      <a:fillRect/>
                    </a:stretch>
                  </pic:blipFill>
                  <pic:spPr>
                    <a:xfrm>
                      <a:off x="0" y="0"/>
                      <a:ext cx="5882948" cy="1927444"/>
                    </a:xfrm>
                    <a:prstGeom prst="rect">
                      <a:avLst/>
                    </a:prstGeom>
                  </pic:spPr>
                </pic:pic>
              </a:graphicData>
            </a:graphic>
          </wp:inline>
        </w:drawing>
      </w:r>
    </w:p>
    <w:p w14:paraId="7CD22820" w14:textId="2379065A" w:rsidR="00AE6FB4" w:rsidRDefault="00AE6FB4" w:rsidP="00AE6FB4">
      <w:pPr>
        <w:rPr>
          <w:lang w:val="en-GB"/>
        </w:rPr>
      </w:pPr>
      <w:r w:rsidRPr="00A452F2">
        <w:rPr>
          <w:lang w:val="en-GB"/>
        </w:rPr>
        <w:t>Read and Write are split as they tend to have different patterns.</w:t>
      </w:r>
    </w:p>
    <w:p w14:paraId="0A3804BC" w14:textId="35A686D9" w:rsidR="00C5432D" w:rsidRDefault="00C5432D" w:rsidP="00E7573A">
      <w:pPr>
        <w:pStyle w:val="Heading5"/>
      </w:pPr>
      <w:r>
        <w:lastRenderedPageBreak/>
        <w:t>Utilization</w:t>
      </w:r>
    </w:p>
    <w:p w14:paraId="50900B52" w14:textId="1D4D7D33" w:rsidR="008E3792" w:rsidRPr="008E3792" w:rsidRDefault="008E3792" w:rsidP="008E3792">
      <w:pPr>
        <w:rPr>
          <w:lang w:val="en-GB"/>
        </w:rPr>
      </w:pPr>
      <w:r>
        <w:rPr>
          <w:lang w:val="en-GB"/>
        </w:rPr>
        <w:t xml:space="preserve">As expected, we complement the contention metrics with utilization metrics. </w:t>
      </w:r>
    </w:p>
    <w:p w14:paraId="0206B4C0" w14:textId="6F5E52DE" w:rsidR="00917FC5" w:rsidRDefault="00917FC5" w:rsidP="00F6120D">
      <w:pPr>
        <w:rPr>
          <w:lang w:val="en-GB"/>
        </w:rPr>
      </w:pPr>
      <w:r w:rsidRPr="00917FC5">
        <w:rPr>
          <w:noProof/>
          <w:lang w:val="en-GB"/>
        </w:rPr>
        <w:drawing>
          <wp:inline distT="0" distB="0" distL="0" distR="0" wp14:anchorId="0D0A8376" wp14:editId="2E8D7DDE">
            <wp:extent cx="6645910" cy="1133475"/>
            <wp:effectExtent l="0" t="0" r="2540" b="9525"/>
            <wp:docPr id="1085195935" name="Picture 1085195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5"/>
                    <a:stretch>
                      <a:fillRect/>
                    </a:stretch>
                  </pic:blipFill>
                  <pic:spPr>
                    <a:xfrm>
                      <a:off x="0" y="0"/>
                      <a:ext cx="6645910" cy="1133475"/>
                    </a:xfrm>
                    <a:prstGeom prst="rect">
                      <a:avLst/>
                    </a:prstGeom>
                  </pic:spPr>
                </pic:pic>
              </a:graphicData>
            </a:graphic>
          </wp:inline>
        </w:drawing>
      </w:r>
    </w:p>
    <w:p w14:paraId="109DF574" w14:textId="1384728C" w:rsidR="002719DE" w:rsidRDefault="002719DE" w:rsidP="00F6120D">
      <w:pPr>
        <w:rPr>
          <w:lang w:val="en-GB"/>
        </w:rPr>
      </w:pPr>
      <w:r>
        <w:rPr>
          <w:lang w:val="en-GB"/>
        </w:rPr>
        <w:t>L</w:t>
      </w:r>
      <w:r w:rsidRPr="00A452F2">
        <w:rPr>
          <w:lang w:val="en-GB"/>
        </w:rPr>
        <w:t xml:space="preserve">arge block size can result in high throughput in relatively low IOPS. If you are seeing large block size when </w:t>
      </w:r>
      <w:r>
        <w:rPr>
          <w:lang w:val="en-GB"/>
        </w:rPr>
        <w:t>You are</w:t>
      </w:r>
      <w:r w:rsidRPr="00A452F2">
        <w:rPr>
          <w:lang w:val="en-GB"/>
        </w:rPr>
        <w:t xml:space="preserve"> not expecting it, investigate which applications are the using it.</w:t>
      </w:r>
    </w:p>
    <w:p w14:paraId="5B2B0F92" w14:textId="16D75F5B" w:rsidR="00AE6FB4" w:rsidRDefault="00AE6FB4" w:rsidP="00F6120D">
      <w:pPr>
        <w:rPr>
          <w:lang w:val="en-GB"/>
        </w:rPr>
      </w:pPr>
      <w:r w:rsidRPr="00A452F2">
        <w:rPr>
          <w:lang w:val="en-GB"/>
        </w:rPr>
        <w:t>Max IOPS among capacity disk is shown as a disk has a limit, especially magnetic disk. A typical magnetic disk delivers ~200 IOPS, and this can be easily saturated.</w:t>
      </w:r>
    </w:p>
    <w:p w14:paraId="76764B25" w14:textId="162AACF4" w:rsidR="00C5432D" w:rsidRDefault="00C5432D" w:rsidP="00E7573A">
      <w:pPr>
        <w:pStyle w:val="Heading5"/>
      </w:pPr>
      <w:r>
        <w:t>Disk Groups</w:t>
      </w:r>
    </w:p>
    <w:p w14:paraId="7E39DAA3" w14:textId="39BC870B" w:rsidR="001D5122" w:rsidRPr="001D5122" w:rsidRDefault="001D5122" w:rsidP="001D5122">
      <w:pPr>
        <w:rPr>
          <w:lang w:val="en-GB"/>
        </w:rPr>
      </w:pPr>
      <w:r>
        <w:rPr>
          <w:lang w:val="en-GB"/>
        </w:rPr>
        <w:t xml:space="preserve">You can drill down to the </w:t>
      </w:r>
      <w:r w:rsidR="00B427EA">
        <w:rPr>
          <w:lang w:val="en-GB"/>
        </w:rPr>
        <w:t xml:space="preserve">disk group level. All these </w:t>
      </w:r>
      <w:r w:rsidR="008D3A3F">
        <w:rPr>
          <w:lang w:val="en-GB"/>
        </w:rPr>
        <w:t>metrics</w:t>
      </w:r>
      <w:r w:rsidR="00B427EA">
        <w:rPr>
          <w:lang w:val="en-GB"/>
        </w:rPr>
        <w:t xml:space="preserve"> are the worst value among the disk groups. </w:t>
      </w:r>
    </w:p>
    <w:p w14:paraId="06315C07" w14:textId="6C3EAE66" w:rsidR="00F0483A" w:rsidRDefault="00F0483A" w:rsidP="00F6120D">
      <w:pPr>
        <w:rPr>
          <w:lang w:val="en-GB"/>
        </w:rPr>
      </w:pPr>
      <w:r w:rsidRPr="00F0483A">
        <w:rPr>
          <w:noProof/>
          <w:lang w:val="en-GB"/>
        </w:rPr>
        <w:drawing>
          <wp:inline distT="0" distB="0" distL="0" distR="0" wp14:anchorId="6C59E25B" wp14:editId="05227A87">
            <wp:extent cx="6645910" cy="1151890"/>
            <wp:effectExtent l="0" t="0" r="2540" b="0"/>
            <wp:docPr id="1085195936" name="Picture 1085195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6"/>
                    <a:stretch>
                      <a:fillRect/>
                    </a:stretch>
                  </pic:blipFill>
                  <pic:spPr>
                    <a:xfrm>
                      <a:off x="0" y="0"/>
                      <a:ext cx="6645910" cy="1151890"/>
                    </a:xfrm>
                    <a:prstGeom prst="rect">
                      <a:avLst/>
                    </a:prstGeom>
                  </pic:spPr>
                </pic:pic>
              </a:graphicData>
            </a:graphic>
          </wp:inline>
        </w:drawing>
      </w:r>
    </w:p>
    <w:p w14:paraId="3BB56076" w14:textId="6ECFB8F7" w:rsidR="00B427EA" w:rsidRDefault="00B427EA" w:rsidP="00F6120D">
      <w:pPr>
        <w:rPr>
          <w:lang w:val="en-GB"/>
        </w:rPr>
      </w:pPr>
      <w:r>
        <w:rPr>
          <w:lang w:val="en-GB"/>
        </w:rPr>
        <w:t>Same thing with the read cache. All the values shown below are the worst value among the disk groups’s read cache</w:t>
      </w:r>
    </w:p>
    <w:p w14:paraId="6800D48F" w14:textId="42C766B4" w:rsidR="00E45D79" w:rsidRDefault="00E45D79" w:rsidP="00F6120D">
      <w:pPr>
        <w:rPr>
          <w:lang w:val="en-GB"/>
        </w:rPr>
      </w:pPr>
      <w:r w:rsidRPr="00E45D79">
        <w:rPr>
          <w:noProof/>
          <w:lang w:val="en-GB"/>
        </w:rPr>
        <w:drawing>
          <wp:inline distT="0" distB="0" distL="0" distR="0" wp14:anchorId="43FF27FA" wp14:editId="16C34E75">
            <wp:extent cx="6645910" cy="1125220"/>
            <wp:effectExtent l="0" t="0" r="2540" b="0"/>
            <wp:docPr id="1085195937" name="Picture 1085195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7"/>
                    <a:stretch>
                      <a:fillRect/>
                    </a:stretch>
                  </pic:blipFill>
                  <pic:spPr>
                    <a:xfrm>
                      <a:off x="0" y="0"/>
                      <a:ext cx="6645910" cy="1125220"/>
                    </a:xfrm>
                    <a:prstGeom prst="rect">
                      <a:avLst/>
                    </a:prstGeom>
                  </pic:spPr>
                </pic:pic>
              </a:graphicData>
            </a:graphic>
          </wp:inline>
        </w:drawing>
      </w:r>
    </w:p>
    <w:p w14:paraId="76BBD490" w14:textId="2068D526" w:rsidR="00CF16FD" w:rsidRDefault="00CF16FD" w:rsidP="00E7573A">
      <w:pPr>
        <w:pStyle w:val="Heading5"/>
      </w:pPr>
      <w:r>
        <w:t xml:space="preserve">Other KPIs </w:t>
      </w:r>
    </w:p>
    <w:p w14:paraId="70C5C8C0" w14:textId="12614D1E" w:rsidR="00E77016" w:rsidRPr="00E77016" w:rsidRDefault="00E77016" w:rsidP="00E77016">
      <w:pPr>
        <w:rPr>
          <w:lang w:val="en-GB"/>
        </w:rPr>
      </w:pPr>
      <w:r>
        <w:rPr>
          <w:lang w:val="en-GB"/>
        </w:rPr>
        <w:t>The performance problem could be caused by non storage.</w:t>
      </w:r>
    </w:p>
    <w:p w14:paraId="13CF831D" w14:textId="3BA9635B" w:rsidR="00903D3A" w:rsidRDefault="00903D3A" w:rsidP="00F6120D">
      <w:pPr>
        <w:rPr>
          <w:lang w:val="en-GB"/>
        </w:rPr>
      </w:pPr>
      <w:r w:rsidRPr="00903D3A">
        <w:rPr>
          <w:noProof/>
          <w:lang w:val="en-GB"/>
        </w:rPr>
        <w:lastRenderedPageBreak/>
        <w:drawing>
          <wp:inline distT="0" distB="0" distL="0" distR="0" wp14:anchorId="136C3698" wp14:editId="5DA5A7EF">
            <wp:extent cx="6645910" cy="1105535"/>
            <wp:effectExtent l="0" t="0" r="2540" b="0"/>
            <wp:docPr id="1085195938" name="Picture 1085195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8"/>
                    <a:stretch>
                      <a:fillRect/>
                    </a:stretch>
                  </pic:blipFill>
                  <pic:spPr>
                    <a:xfrm>
                      <a:off x="0" y="0"/>
                      <a:ext cx="6645910" cy="1105535"/>
                    </a:xfrm>
                    <a:prstGeom prst="rect">
                      <a:avLst/>
                    </a:prstGeom>
                  </pic:spPr>
                </pic:pic>
              </a:graphicData>
            </a:graphic>
          </wp:inline>
        </w:drawing>
      </w:r>
    </w:p>
    <w:p w14:paraId="5D7A248E" w14:textId="77777777" w:rsidR="00B1477A" w:rsidRPr="00A452F2" w:rsidRDefault="00B1477A" w:rsidP="00B1477A">
      <w:pPr>
        <w:rPr>
          <w:lang w:val="en-GB"/>
        </w:rPr>
      </w:pPr>
      <w:r w:rsidRPr="00A452F2">
        <w:rPr>
          <w:lang w:val="en-GB"/>
        </w:rPr>
        <w:t>vSAN Resync is a type of utilization metric, but its presence can impact performance. vSAN has two scenarios that trigger rebalance (the reason for resync). </w:t>
      </w:r>
    </w:p>
    <w:p w14:paraId="31D93CC5" w14:textId="77777777" w:rsidR="00B1477A" w:rsidRPr="00A452F2" w:rsidRDefault="00B1477A" w:rsidP="00B1477A">
      <w:pPr>
        <w:pStyle w:val="Bullet"/>
        <w:rPr>
          <w:lang w:val="en-GB"/>
        </w:rPr>
      </w:pPr>
      <w:r w:rsidRPr="00A452F2">
        <w:rPr>
          <w:lang w:val="en-GB"/>
        </w:rPr>
        <w:t>Proactive: A large variance among devices disk space utilization.</w:t>
      </w:r>
    </w:p>
    <w:p w14:paraId="75FD1B98" w14:textId="77777777" w:rsidR="00B1477A" w:rsidRPr="00A452F2" w:rsidRDefault="00B1477A" w:rsidP="00B1477A">
      <w:pPr>
        <w:pStyle w:val="Bullet"/>
        <w:rPr>
          <w:lang w:val="en-GB"/>
        </w:rPr>
      </w:pPr>
      <w:r w:rsidRPr="00A452F2">
        <w:rPr>
          <w:lang w:val="en-GB"/>
        </w:rPr>
        <w:t>Reactive: When devices reach a critical capacity threshold (typically ~80%).</w:t>
      </w:r>
      <w:r>
        <w:rPr>
          <w:lang w:val="en-GB"/>
        </w:rPr>
        <w:t xml:space="preserve"> </w:t>
      </w:r>
      <w:r w:rsidRPr="00A452F2">
        <w:rPr>
          <w:lang w:val="en-GB"/>
        </w:rPr>
        <w:t>This adjustment can be in the form of object components moving to other disks, disk groups, or hosts, or even splitting of existing large components into smaller components to achieve the desired result.</w:t>
      </w:r>
    </w:p>
    <w:p w14:paraId="106B1CCD" w14:textId="47C5711E" w:rsidR="00903D3A" w:rsidRDefault="00903D3A" w:rsidP="00F6120D">
      <w:pPr>
        <w:rPr>
          <w:lang w:val="en-GB"/>
        </w:rPr>
      </w:pPr>
      <w:r w:rsidRPr="00903D3A">
        <w:rPr>
          <w:noProof/>
          <w:lang w:val="en-GB"/>
        </w:rPr>
        <w:drawing>
          <wp:inline distT="0" distB="0" distL="0" distR="0" wp14:anchorId="7C9157A6" wp14:editId="372855F7">
            <wp:extent cx="6645910" cy="1143635"/>
            <wp:effectExtent l="0" t="0" r="2540" b="0"/>
            <wp:docPr id="1085195939" name="Picture 1085195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9"/>
                    <a:stretch>
                      <a:fillRect/>
                    </a:stretch>
                  </pic:blipFill>
                  <pic:spPr>
                    <a:xfrm>
                      <a:off x="0" y="0"/>
                      <a:ext cx="6645910" cy="1143635"/>
                    </a:xfrm>
                    <a:prstGeom prst="rect">
                      <a:avLst/>
                    </a:prstGeom>
                  </pic:spPr>
                </pic:pic>
              </a:graphicData>
            </a:graphic>
          </wp:inline>
        </w:drawing>
      </w:r>
    </w:p>
    <w:p w14:paraId="627CC0DF" w14:textId="69D69538" w:rsidR="008131A8" w:rsidRDefault="00475982" w:rsidP="00AC6E1E">
      <w:pPr>
        <w:pStyle w:val="Heading4"/>
      </w:pPr>
      <w:r>
        <w:t>Disk Group Analysis</w:t>
      </w:r>
    </w:p>
    <w:p w14:paraId="68276FF7" w14:textId="43FCCD3B" w:rsidR="00186046" w:rsidRPr="00186046" w:rsidRDefault="00186046" w:rsidP="00186046">
      <w:pPr>
        <w:rPr>
          <w:lang w:val="en-GB"/>
        </w:rPr>
      </w:pPr>
      <w:r>
        <w:rPr>
          <w:lang w:val="en-GB"/>
        </w:rPr>
        <w:t xml:space="preserve">You can drill down into individual disk groups. </w:t>
      </w:r>
    </w:p>
    <w:p w14:paraId="126605A2" w14:textId="0005323A" w:rsidR="00F06A69" w:rsidRDefault="00F06A69" w:rsidP="00F06A69">
      <w:pPr>
        <w:rPr>
          <w:lang w:val="en-GB"/>
        </w:rPr>
      </w:pPr>
      <w:r w:rsidRPr="00F06A69">
        <w:rPr>
          <w:noProof/>
          <w:lang w:val="en-GB"/>
        </w:rPr>
        <w:drawing>
          <wp:inline distT="0" distB="0" distL="0" distR="0" wp14:anchorId="23346DAE" wp14:editId="2176ABEA">
            <wp:extent cx="6645910" cy="1652905"/>
            <wp:effectExtent l="0" t="0" r="2540" b="4445"/>
            <wp:docPr id="1709717409" name="Picture 1709717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0"/>
                    <a:stretch>
                      <a:fillRect/>
                    </a:stretch>
                  </pic:blipFill>
                  <pic:spPr>
                    <a:xfrm>
                      <a:off x="0" y="0"/>
                      <a:ext cx="6645910" cy="1652905"/>
                    </a:xfrm>
                    <a:prstGeom prst="rect">
                      <a:avLst/>
                    </a:prstGeom>
                  </pic:spPr>
                </pic:pic>
              </a:graphicData>
            </a:graphic>
          </wp:inline>
        </w:drawing>
      </w:r>
    </w:p>
    <w:p w14:paraId="626488B3" w14:textId="77D62913" w:rsidR="005F428A" w:rsidRDefault="005F428A" w:rsidP="00F06A69">
      <w:pPr>
        <w:rPr>
          <w:lang w:val="en-GB"/>
        </w:rPr>
      </w:pPr>
      <w:r>
        <w:rPr>
          <w:lang w:val="en-GB"/>
        </w:rPr>
        <w:t>Make sure they are fairly balanced</w:t>
      </w:r>
      <w:r w:rsidR="00085C1C">
        <w:rPr>
          <w:lang w:val="en-GB"/>
        </w:rPr>
        <w:t>. If not, you have a hot spot.</w:t>
      </w:r>
    </w:p>
    <w:p w14:paraId="6DF2BABB" w14:textId="5A412563" w:rsidR="006B7EBA" w:rsidRPr="00F06A69" w:rsidRDefault="006B7EBA" w:rsidP="00F06A69">
      <w:pPr>
        <w:rPr>
          <w:lang w:val="en-GB"/>
        </w:rPr>
      </w:pPr>
      <w:r>
        <w:rPr>
          <w:lang w:val="en-GB"/>
        </w:rPr>
        <w:t xml:space="preserve">Select a disk group you want to </w:t>
      </w:r>
      <w:r w:rsidR="00304C33">
        <w:rPr>
          <w:lang w:val="en-GB"/>
        </w:rPr>
        <w:t>analyse. Both the contention and utilization metrics are automatically shown.</w:t>
      </w:r>
    </w:p>
    <w:p w14:paraId="624C09AB" w14:textId="3CEF7A04" w:rsidR="00475982" w:rsidRDefault="00F640D6" w:rsidP="00475982">
      <w:pPr>
        <w:rPr>
          <w:lang w:val="en-GB"/>
        </w:rPr>
      </w:pPr>
      <w:r w:rsidRPr="00F640D6">
        <w:rPr>
          <w:noProof/>
          <w:lang w:val="en-GB"/>
        </w:rPr>
        <w:drawing>
          <wp:inline distT="0" distB="0" distL="0" distR="0" wp14:anchorId="20CECDE5" wp14:editId="60ADF8E9">
            <wp:extent cx="6645910" cy="842645"/>
            <wp:effectExtent l="0" t="0" r="2540" b="0"/>
            <wp:docPr id="1085195946" name="Picture 1085195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1"/>
                    <a:stretch>
                      <a:fillRect/>
                    </a:stretch>
                  </pic:blipFill>
                  <pic:spPr>
                    <a:xfrm>
                      <a:off x="0" y="0"/>
                      <a:ext cx="6645910" cy="842645"/>
                    </a:xfrm>
                    <a:prstGeom prst="rect">
                      <a:avLst/>
                    </a:prstGeom>
                  </pic:spPr>
                </pic:pic>
              </a:graphicData>
            </a:graphic>
          </wp:inline>
        </w:drawing>
      </w:r>
    </w:p>
    <w:p w14:paraId="4A28CCB6" w14:textId="59C175D2" w:rsidR="00304C33" w:rsidRPr="00475982" w:rsidRDefault="00843E68" w:rsidP="00475982">
      <w:pPr>
        <w:rPr>
          <w:lang w:val="en-GB"/>
        </w:rPr>
      </w:pPr>
      <w:r>
        <w:rPr>
          <w:lang w:val="en-GB"/>
        </w:rPr>
        <w:lastRenderedPageBreak/>
        <w:t>There are more metrics for the utilization. To avoid the name being truncated</w:t>
      </w:r>
      <w:r w:rsidR="005D2CD9">
        <w:rPr>
          <w:lang w:val="en-GB"/>
        </w:rPr>
        <w:t>, I keep them short. To see the</w:t>
      </w:r>
      <w:r w:rsidR="00E44D25">
        <w:rPr>
          <w:lang w:val="en-GB"/>
        </w:rPr>
        <w:t xml:space="preserve"> full</w:t>
      </w:r>
      <w:r w:rsidR="005D2CD9">
        <w:rPr>
          <w:lang w:val="en-GB"/>
        </w:rPr>
        <w:t xml:space="preserve"> name, </w:t>
      </w:r>
      <w:r w:rsidR="00E44D25">
        <w:rPr>
          <w:lang w:val="en-GB"/>
        </w:rPr>
        <w:t xml:space="preserve">simply </w:t>
      </w:r>
      <w:r w:rsidR="005D2CD9">
        <w:rPr>
          <w:lang w:val="en-GB"/>
        </w:rPr>
        <w:t xml:space="preserve">mouse-hover </w:t>
      </w:r>
      <w:r w:rsidR="00E44D25">
        <w:rPr>
          <w:lang w:val="en-GB"/>
        </w:rPr>
        <w:t>over the counter name, as shown below.</w:t>
      </w:r>
    </w:p>
    <w:p w14:paraId="0FB993BB" w14:textId="34AC4F85" w:rsidR="00C274A8" w:rsidRDefault="00F16242" w:rsidP="00DD0166">
      <w:pPr>
        <w:rPr>
          <w:lang w:val="en-GB"/>
        </w:rPr>
      </w:pPr>
      <w:r w:rsidRPr="00F16242">
        <w:rPr>
          <w:noProof/>
          <w:lang w:val="en-GB"/>
        </w:rPr>
        <w:drawing>
          <wp:inline distT="0" distB="0" distL="0" distR="0" wp14:anchorId="51738199" wp14:editId="0D32F8BC">
            <wp:extent cx="6645910" cy="833120"/>
            <wp:effectExtent l="0" t="0" r="2540" b="5080"/>
            <wp:docPr id="1709717417" name="Picture 1709717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2"/>
                    <a:stretch>
                      <a:fillRect/>
                    </a:stretch>
                  </pic:blipFill>
                  <pic:spPr>
                    <a:xfrm>
                      <a:off x="0" y="0"/>
                      <a:ext cx="6645910" cy="833120"/>
                    </a:xfrm>
                    <a:prstGeom prst="rect">
                      <a:avLst/>
                    </a:prstGeom>
                  </pic:spPr>
                </pic:pic>
              </a:graphicData>
            </a:graphic>
          </wp:inline>
        </w:drawing>
      </w:r>
    </w:p>
    <w:p w14:paraId="6F461E96" w14:textId="72981C90" w:rsidR="00F13DAD" w:rsidRDefault="00DE0984" w:rsidP="00DD0166">
      <w:pPr>
        <w:rPr>
          <w:lang w:val="en-GB"/>
        </w:rPr>
      </w:pPr>
      <w:r>
        <w:rPr>
          <w:lang w:val="en-GB"/>
        </w:rPr>
        <w:t xml:space="preserve">For </w:t>
      </w:r>
      <w:r w:rsidR="00F13DAD">
        <w:rPr>
          <w:lang w:val="en-GB"/>
        </w:rPr>
        <w:t xml:space="preserve">the throughput </w:t>
      </w:r>
      <w:r>
        <w:rPr>
          <w:lang w:val="en-GB"/>
        </w:rPr>
        <w:t xml:space="preserve">metrics, why do I choose </w:t>
      </w:r>
      <w:r w:rsidR="00F13DAD">
        <w:rPr>
          <w:lang w:val="en-GB"/>
        </w:rPr>
        <w:t xml:space="preserve">bytes instead of bit? I use MBps, not Gbps. </w:t>
      </w:r>
    </w:p>
    <w:p w14:paraId="4C0EFBEB" w14:textId="5D1A8E9C" w:rsidR="00F10623" w:rsidRDefault="00CF2AC6" w:rsidP="00DD0166">
      <w:pPr>
        <w:rPr>
          <w:lang w:val="en-GB"/>
        </w:rPr>
      </w:pPr>
      <w:r>
        <w:rPr>
          <w:lang w:val="en-GB"/>
        </w:rPr>
        <w:t>R</w:t>
      </w:r>
      <w:r w:rsidR="00CF7CDE">
        <w:rPr>
          <w:lang w:val="en-GB"/>
        </w:rPr>
        <w:t xml:space="preserve">evisit the </w:t>
      </w:r>
      <w:hyperlink w:anchor="_Units" w:history="1">
        <w:r w:rsidR="00CF7CDE" w:rsidRPr="006E7E85">
          <w:rPr>
            <w:rStyle w:val="Hyperlink"/>
            <w:lang w:val="en-GB"/>
          </w:rPr>
          <w:t>Units</w:t>
        </w:r>
      </w:hyperlink>
      <w:r w:rsidR="00CF7CDE">
        <w:rPr>
          <w:lang w:val="en-GB"/>
        </w:rPr>
        <w:t xml:space="preserve"> section in Part 2 </w:t>
      </w:r>
      <w:r w:rsidR="00E00E59">
        <w:rPr>
          <w:lang w:val="en-GB"/>
        </w:rPr>
        <w:t>Metrics</w:t>
      </w:r>
      <w:r>
        <w:rPr>
          <w:lang w:val="en-GB"/>
        </w:rPr>
        <w:t xml:space="preserve"> for the answer.</w:t>
      </w:r>
    </w:p>
    <w:p w14:paraId="522831D8" w14:textId="370FB158" w:rsidR="009F50C1" w:rsidRDefault="009F50C1" w:rsidP="00E7573A">
      <w:pPr>
        <w:pStyle w:val="Heading5"/>
      </w:pPr>
      <w:r>
        <w:t>Cache Disks</w:t>
      </w:r>
    </w:p>
    <w:p w14:paraId="70135E4A" w14:textId="664F3132" w:rsidR="00E44D25" w:rsidRPr="00E44D25" w:rsidRDefault="00E44D25" w:rsidP="00E44D25">
      <w:pPr>
        <w:rPr>
          <w:lang w:val="en-GB"/>
        </w:rPr>
      </w:pPr>
      <w:r>
        <w:rPr>
          <w:lang w:val="en-GB"/>
        </w:rPr>
        <w:t xml:space="preserve">You can drill down into individual disk groups. </w:t>
      </w:r>
      <w:r w:rsidR="003216F9">
        <w:rPr>
          <w:lang w:val="en-GB"/>
        </w:rPr>
        <w:t>As this is SSD, you should expect their values to be below 5 ms.</w:t>
      </w:r>
    </w:p>
    <w:p w14:paraId="4BD54BDB" w14:textId="6B513F30" w:rsidR="00A76B8C" w:rsidRDefault="00A76B8C" w:rsidP="00A76B8C">
      <w:pPr>
        <w:rPr>
          <w:lang w:val="en-GB"/>
        </w:rPr>
      </w:pPr>
      <w:r w:rsidRPr="00A76B8C">
        <w:rPr>
          <w:noProof/>
          <w:lang w:val="en-GB"/>
        </w:rPr>
        <w:drawing>
          <wp:inline distT="0" distB="0" distL="0" distR="0" wp14:anchorId="45D859E0" wp14:editId="777D01F6">
            <wp:extent cx="6645910" cy="1170305"/>
            <wp:effectExtent l="0" t="0" r="2540" b="0"/>
            <wp:docPr id="1709717410" name="Picture 1709717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3"/>
                    <a:stretch>
                      <a:fillRect/>
                    </a:stretch>
                  </pic:blipFill>
                  <pic:spPr>
                    <a:xfrm>
                      <a:off x="0" y="0"/>
                      <a:ext cx="6645910" cy="1170305"/>
                    </a:xfrm>
                    <a:prstGeom prst="rect">
                      <a:avLst/>
                    </a:prstGeom>
                  </pic:spPr>
                </pic:pic>
              </a:graphicData>
            </a:graphic>
          </wp:inline>
        </w:drawing>
      </w:r>
    </w:p>
    <w:p w14:paraId="47E2E427" w14:textId="77777777" w:rsidR="005C0D03" w:rsidRDefault="005C0D03" w:rsidP="005C0D03">
      <w:pPr>
        <w:rPr>
          <w:lang w:val="en-GB"/>
        </w:rPr>
      </w:pPr>
      <w:r>
        <w:rPr>
          <w:lang w:val="en-GB"/>
        </w:rPr>
        <w:t>The configuration is also shown. Make sure they are consistent.</w:t>
      </w:r>
    </w:p>
    <w:p w14:paraId="26F20043" w14:textId="118F1237" w:rsidR="003216F9" w:rsidRPr="00A76B8C" w:rsidRDefault="003216F9" w:rsidP="00A76B8C">
      <w:pPr>
        <w:rPr>
          <w:lang w:val="en-GB"/>
        </w:rPr>
      </w:pPr>
      <w:r>
        <w:rPr>
          <w:lang w:val="en-GB"/>
        </w:rPr>
        <w:t>Select a cache disk you want to analyse. Both the contention and utilization metrics are automatically shown.</w:t>
      </w:r>
    </w:p>
    <w:p w14:paraId="5CDCDB50" w14:textId="6C5571FA" w:rsidR="00C274A8" w:rsidRDefault="00DA705C" w:rsidP="00DD0166">
      <w:pPr>
        <w:rPr>
          <w:lang w:val="en-GB"/>
        </w:rPr>
      </w:pPr>
      <w:r w:rsidRPr="00DA705C">
        <w:rPr>
          <w:noProof/>
          <w:lang w:val="en-GB"/>
        </w:rPr>
        <w:drawing>
          <wp:inline distT="0" distB="0" distL="0" distR="0" wp14:anchorId="4A8355E4" wp14:editId="11C12704">
            <wp:extent cx="6645910" cy="819785"/>
            <wp:effectExtent l="0" t="0" r="2540" b="0"/>
            <wp:docPr id="1085195947" name="Picture 1085195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4"/>
                    <a:stretch>
                      <a:fillRect/>
                    </a:stretch>
                  </pic:blipFill>
                  <pic:spPr>
                    <a:xfrm>
                      <a:off x="0" y="0"/>
                      <a:ext cx="6645910" cy="819785"/>
                    </a:xfrm>
                    <a:prstGeom prst="rect">
                      <a:avLst/>
                    </a:prstGeom>
                  </pic:spPr>
                </pic:pic>
              </a:graphicData>
            </a:graphic>
          </wp:inline>
        </w:drawing>
      </w:r>
    </w:p>
    <w:p w14:paraId="25026CB9" w14:textId="72762DC7" w:rsidR="00260529" w:rsidRDefault="00260529" w:rsidP="00DD0166">
      <w:pPr>
        <w:rPr>
          <w:lang w:val="en-GB"/>
        </w:rPr>
      </w:pPr>
      <w:r>
        <w:rPr>
          <w:lang w:val="en-GB"/>
        </w:rPr>
        <w:t xml:space="preserve">vSAN has various layers, which is covered in Part 2 </w:t>
      </w:r>
      <w:r w:rsidR="003F41E8">
        <w:rPr>
          <w:lang w:val="en-GB"/>
        </w:rPr>
        <w:t xml:space="preserve">Chapter 4 </w:t>
      </w:r>
      <w:r>
        <w:rPr>
          <w:lang w:val="en-GB"/>
        </w:rPr>
        <w:t xml:space="preserve">Storage </w:t>
      </w:r>
      <w:r w:rsidR="003F41E8">
        <w:rPr>
          <w:lang w:val="en-GB"/>
        </w:rPr>
        <w:t>Metric.</w:t>
      </w:r>
    </w:p>
    <w:p w14:paraId="3AC711B8" w14:textId="5CBB054D" w:rsidR="00AE123A" w:rsidRDefault="00AE123A" w:rsidP="00DD0166">
      <w:pPr>
        <w:rPr>
          <w:lang w:val="en-GB"/>
        </w:rPr>
      </w:pPr>
      <w:r w:rsidRPr="00AE123A">
        <w:rPr>
          <w:color w:val="00B0F0"/>
          <w:lang w:val="en-GB"/>
        </w:rPr>
        <w:t xml:space="preserve">Congestion </w:t>
      </w:r>
      <w:r>
        <w:rPr>
          <w:lang w:val="en-GB"/>
        </w:rPr>
        <w:t>is a special derived metric in vSAN.</w:t>
      </w:r>
    </w:p>
    <w:p w14:paraId="65FB7C0C" w14:textId="6C5A488D" w:rsidR="009D3A36" w:rsidRDefault="009D3A36" w:rsidP="00DD0166">
      <w:pPr>
        <w:rPr>
          <w:lang w:val="en-GB"/>
        </w:rPr>
      </w:pPr>
      <w:r w:rsidRPr="009D3A36">
        <w:rPr>
          <w:noProof/>
          <w:lang w:val="en-GB"/>
        </w:rPr>
        <w:drawing>
          <wp:inline distT="0" distB="0" distL="0" distR="0" wp14:anchorId="3B586525" wp14:editId="3A02869E">
            <wp:extent cx="6645910" cy="883285"/>
            <wp:effectExtent l="0" t="0" r="2540" b="0"/>
            <wp:docPr id="1085195944" name="Picture 1085195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5"/>
                    <a:stretch>
                      <a:fillRect/>
                    </a:stretch>
                  </pic:blipFill>
                  <pic:spPr>
                    <a:xfrm>
                      <a:off x="0" y="0"/>
                      <a:ext cx="6645910" cy="883285"/>
                    </a:xfrm>
                    <a:prstGeom prst="rect">
                      <a:avLst/>
                    </a:prstGeom>
                  </pic:spPr>
                </pic:pic>
              </a:graphicData>
            </a:graphic>
          </wp:inline>
        </w:drawing>
      </w:r>
    </w:p>
    <w:p w14:paraId="5E9E2742" w14:textId="43FAF199" w:rsidR="0054011C" w:rsidRDefault="0054011C" w:rsidP="00DD0166">
      <w:pPr>
        <w:rPr>
          <w:lang w:val="en-GB"/>
        </w:rPr>
      </w:pPr>
      <w:r>
        <w:rPr>
          <w:lang w:val="en-GB"/>
        </w:rPr>
        <w:t>Why is the cache disk space utilization not considered contention?</w:t>
      </w:r>
    </w:p>
    <w:p w14:paraId="0D134CEF" w14:textId="57A2765A" w:rsidR="0054011C" w:rsidRDefault="0054011C" w:rsidP="00DD0166">
      <w:pPr>
        <w:rPr>
          <w:lang w:val="en-GB"/>
        </w:rPr>
      </w:pPr>
      <w:r>
        <w:rPr>
          <w:lang w:val="en-GB"/>
        </w:rPr>
        <w:t xml:space="preserve">Because </w:t>
      </w:r>
      <w:r w:rsidR="00973AEC">
        <w:rPr>
          <w:lang w:val="en-GB"/>
        </w:rPr>
        <w:t>90% used does not mean it’s faster or slower than 80%. We can’t color code it.</w:t>
      </w:r>
    </w:p>
    <w:p w14:paraId="5D7DFFB5" w14:textId="59C94FAC" w:rsidR="009F50C1" w:rsidRDefault="009F50C1" w:rsidP="00E7573A">
      <w:pPr>
        <w:pStyle w:val="Heading5"/>
      </w:pPr>
      <w:r>
        <w:lastRenderedPageBreak/>
        <w:t>Capacity Disks</w:t>
      </w:r>
    </w:p>
    <w:p w14:paraId="1B025BF1" w14:textId="3F2A7643" w:rsidR="00F87C14" w:rsidRPr="00F87C14" w:rsidRDefault="00F87C14" w:rsidP="00F87C14">
      <w:pPr>
        <w:rPr>
          <w:lang w:val="en-GB"/>
        </w:rPr>
      </w:pPr>
      <w:r>
        <w:rPr>
          <w:lang w:val="en-GB"/>
        </w:rPr>
        <w:t>You can drill down into individual disk groups. The latency value will vary between magnetic and SSD.</w:t>
      </w:r>
    </w:p>
    <w:p w14:paraId="1CA2E594" w14:textId="24707EFF" w:rsidR="00F51383" w:rsidRDefault="00F51383" w:rsidP="00F51383">
      <w:pPr>
        <w:rPr>
          <w:lang w:val="en-GB"/>
        </w:rPr>
      </w:pPr>
      <w:r w:rsidRPr="00F51383">
        <w:rPr>
          <w:noProof/>
          <w:lang w:val="en-GB"/>
        </w:rPr>
        <w:drawing>
          <wp:inline distT="0" distB="0" distL="0" distR="0" wp14:anchorId="58EABD2B" wp14:editId="0DF31DCA">
            <wp:extent cx="6645910" cy="1412240"/>
            <wp:effectExtent l="0" t="0" r="2540" b="0"/>
            <wp:docPr id="1709717411" name="Picture 1709717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6"/>
                    <a:stretch>
                      <a:fillRect/>
                    </a:stretch>
                  </pic:blipFill>
                  <pic:spPr>
                    <a:xfrm>
                      <a:off x="0" y="0"/>
                      <a:ext cx="6645910" cy="1412240"/>
                    </a:xfrm>
                    <a:prstGeom prst="rect">
                      <a:avLst/>
                    </a:prstGeom>
                  </pic:spPr>
                </pic:pic>
              </a:graphicData>
            </a:graphic>
          </wp:inline>
        </w:drawing>
      </w:r>
    </w:p>
    <w:p w14:paraId="0AC4C219" w14:textId="4A171A76" w:rsidR="005C0D03" w:rsidRDefault="005C0D03" w:rsidP="00F51383">
      <w:pPr>
        <w:rPr>
          <w:lang w:val="en-GB"/>
        </w:rPr>
      </w:pPr>
      <w:r>
        <w:rPr>
          <w:lang w:val="en-GB"/>
        </w:rPr>
        <w:t>The configuration is also shown. Make sure they are consistent.</w:t>
      </w:r>
    </w:p>
    <w:p w14:paraId="735EF755" w14:textId="3EA15228" w:rsidR="005C0D03" w:rsidRPr="00F51383" w:rsidRDefault="005C0D03" w:rsidP="00F51383">
      <w:pPr>
        <w:rPr>
          <w:lang w:val="en-GB"/>
        </w:rPr>
      </w:pPr>
      <w:r>
        <w:rPr>
          <w:lang w:val="en-GB"/>
        </w:rPr>
        <w:t xml:space="preserve">Select a </w:t>
      </w:r>
      <w:r w:rsidR="00AE123A">
        <w:rPr>
          <w:lang w:val="en-GB"/>
        </w:rPr>
        <w:t>capacity</w:t>
      </w:r>
      <w:r>
        <w:rPr>
          <w:lang w:val="en-GB"/>
        </w:rPr>
        <w:t xml:space="preserve"> disk you want to analyse. Both the contention and utilization metrics are automatically shown.</w:t>
      </w:r>
    </w:p>
    <w:p w14:paraId="44C177D9" w14:textId="08DE13A5" w:rsidR="008F0AC7" w:rsidRDefault="004B5359" w:rsidP="00DD0166">
      <w:pPr>
        <w:rPr>
          <w:lang w:val="en-GB"/>
        </w:rPr>
      </w:pPr>
      <w:r w:rsidRPr="004B5359">
        <w:rPr>
          <w:noProof/>
          <w:lang w:val="en-GB"/>
        </w:rPr>
        <w:drawing>
          <wp:inline distT="0" distB="0" distL="0" distR="0" wp14:anchorId="038F89F1" wp14:editId="42CA7F50">
            <wp:extent cx="6645910" cy="847725"/>
            <wp:effectExtent l="0" t="0" r="2540" b="9525"/>
            <wp:docPr id="1085195948" name="Picture 1085195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7"/>
                    <a:stretch>
                      <a:fillRect/>
                    </a:stretch>
                  </pic:blipFill>
                  <pic:spPr>
                    <a:xfrm>
                      <a:off x="0" y="0"/>
                      <a:ext cx="6645910" cy="847725"/>
                    </a:xfrm>
                    <a:prstGeom prst="rect">
                      <a:avLst/>
                    </a:prstGeom>
                  </pic:spPr>
                </pic:pic>
              </a:graphicData>
            </a:graphic>
          </wp:inline>
        </w:drawing>
      </w:r>
    </w:p>
    <w:p w14:paraId="4AA454DE" w14:textId="61105A6E" w:rsidR="001F33A1" w:rsidRDefault="001F33A1" w:rsidP="00DD0166">
      <w:pPr>
        <w:rPr>
          <w:lang w:val="en-GB"/>
        </w:rPr>
      </w:pPr>
      <w:r>
        <w:rPr>
          <w:lang w:val="en-GB"/>
        </w:rPr>
        <w:t>At this level, what you can do is basically observing if there is a hot</w:t>
      </w:r>
      <w:r w:rsidR="003056DC">
        <w:rPr>
          <w:lang w:val="en-GB"/>
        </w:rPr>
        <w:t xml:space="preserve"> spot.</w:t>
      </w:r>
    </w:p>
    <w:p w14:paraId="2CDD902F" w14:textId="2BC7D73D" w:rsidR="004B5359" w:rsidRDefault="00E60FA1" w:rsidP="00DD0166">
      <w:pPr>
        <w:rPr>
          <w:lang w:val="en-GB"/>
        </w:rPr>
      </w:pPr>
      <w:r w:rsidRPr="00E60FA1">
        <w:rPr>
          <w:noProof/>
          <w:lang w:val="en-GB"/>
        </w:rPr>
        <w:drawing>
          <wp:inline distT="0" distB="0" distL="0" distR="0" wp14:anchorId="2C990BE3" wp14:editId="6D82EAFD">
            <wp:extent cx="6645910" cy="830580"/>
            <wp:effectExtent l="0" t="0" r="2540" b="7620"/>
            <wp:docPr id="1085195949" name="Picture 1085195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8"/>
                    <a:stretch>
                      <a:fillRect/>
                    </a:stretch>
                  </pic:blipFill>
                  <pic:spPr>
                    <a:xfrm>
                      <a:off x="0" y="0"/>
                      <a:ext cx="6645910" cy="830580"/>
                    </a:xfrm>
                    <a:prstGeom prst="rect">
                      <a:avLst/>
                    </a:prstGeom>
                  </pic:spPr>
                </pic:pic>
              </a:graphicData>
            </a:graphic>
          </wp:inline>
        </w:drawing>
      </w:r>
    </w:p>
    <w:p w14:paraId="6B18ACA0" w14:textId="77777777" w:rsidR="00320D8A" w:rsidRPr="00A452F2" w:rsidRDefault="00320D8A" w:rsidP="00540F68">
      <w:pPr>
        <w:pStyle w:val="Heading3"/>
      </w:pPr>
      <w:r w:rsidRPr="00A452F2">
        <w:t>Network Performance</w:t>
      </w:r>
    </w:p>
    <w:p w14:paraId="2CA3762E" w14:textId="77777777" w:rsidR="00320D8A" w:rsidRPr="00A452F2" w:rsidRDefault="00320D8A" w:rsidP="00320D8A">
      <w:pPr>
        <w:rPr>
          <w:lang w:val="en-GB"/>
        </w:rPr>
      </w:pPr>
      <w:r w:rsidRPr="00A452F2">
        <w:rPr>
          <w:lang w:val="en-GB"/>
        </w:rPr>
        <w:t xml:space="preserve">Use the </w:t>
      </w:r>
      <w:r w:rsidRPr="00A452F2">
        <w:rPr>
          <w:rStyle w:val="keyword"/>
          <w:lang w:val="en-GB"/>
        </w:rPr>
        <w:t>Network Performance</w:t>
      </w:r>
      <w:r w:rsidRPr="00A452F2">
        <w:rPr>
          <w:lang w:val="en-GB"/>
        </w:rPr>
        <w:t xml:space="preserve"> dashboard to view performance problems related to network such as high latency, frequent retransmit, and many dropped packets. This dashboard is designed for both VMware administrator and Network administrator, with the goal of fostering closer collaboration between the 2 team.</w:t>
      </w:r>
    </w:p>
    <w:p w14:paraId="48B9F4BA" w14:textId="77777777" w:rsidR="00320D8A" w:rsidRPr="00A452F2" w:rsidRDefault="00320D8A" w:rsidP="00320D8A">
      <w:pPr>
        <w:rPr>
          <w:lang w:val="en-GB"/>
        </w:rPr>
      </w:pPr>
      <w:r w:rsidRPr="00A452F2">
        <w:rPr>
          <w:lang w:val="en-GB"/>
        </w:rPr>
        <w:t>The dashboard enables drill down from distributed switch to the ESXi host and port groups in the switch, and then to the VM.</w:t>
      </w:r>
    </w:p>
    <w:p w14:paraId="20EE56BE" w14:textId="77777777" w:rsidR="00320D8A" w:rsidRPr="00A452F2" w:rsidRDefault="00320D8A" w:rsidP="00AC6E1E">
      <w:pPr>
        <w:pStyle w:val="Heading4"/>
      </w:pPr>
      <w:r w:rsidRPr="00A452F2">
        <w:lastRenderedPageBreak/>
        <w:t>How to Use</w:t>
      </w:r>
    </w:p>
    <w:p w14:paraId="72828253" w14:textId="77777777" w:rsidR="00320D8A" w:rsidRPr="00A452F2" w:rsidRDefault="00320D8A" w:rsidP="00320D8A">
      <w:pPr>
        <w:rPr>
          <w:lang w:val="en-GB"/>
        </w:rPr>
      </w:pPr>
      <w:r w:rsidRPr="00A452F2">
        <w:rPr>
          <w:lang w:val="en-GB"/>
        </w:rPr>
        <w:t xml:space="preserve">Review the </w:t>
      </w:r>
      <w:r w:rsidRPr="00A452F2">
        <w:rPr>
          <w:b/>
          <w:bCs/>
          <w:lang w:val="en-GB"/>
        </w:rPr>
        <w:t>Distributed Switches</w:t>
      </w:r>
      <w:r w:rsidRPr="00A452F2">
        <w:rPr>
          <w:lang w:val="en-GB"/>
        </w:rPr>
        <w:t xml:space="preserve"> table </w:t>
      </w:r>
    </w:p>
    <w:p w14:paraId="13CE990D" w14:textId="77777777" w:rsidR="00320D8A" w:rsidRPr="00A452F2" w:rsidRDefault="00320D8A" w:rsidP="00BB4B86">
      <w:pPr>
        <w:pStyle w:val="ListParagraph"/>
        <w:numPr>
          <w:ilvl w:val="0"/>
          <w:numId w:val="11"/>
        </w:numPr>
        <w:rPr>
          <w:lang w:val="en-GB"/>
        </w:rPr>
      </w:pPr>
      <w:r w:rsidRPr="00A452F2">
        <w:rPr>
          <w:lang w:val="en-GB"/>
        </w:rPr>
        <w:t xml:space="preserve">It lists all the switches, sorted by the highest packet dropped. The table splits the incoming traffic and outgoing traffic for better analysis. </w:t>
      </w:r>
    </w:p>
    <w:p w14:paraId="77D2349A" w14:textId="50AEEB6F" w:rsidR="00320D8A" w:rsidRPr="00A452F2" w:rsidRDefault="00320D8A" w:rsidP="00BB4B86">
      <w:pPr>
        <w:pStyle w:val="ListParagraph"/>
        <w:numPr>
          <w:ilvl w:val="0"/>
          <w:numId w:val="11"/>
        </w:numPr>
        <w:rPr>
          <w:lang w:val="en-GB"/>
        </w:rPr>
      </w:pPr>
      <w:r w:rsidRPr="00A452F2">
        <w:rPr>
          <w:lang w:val="en-GB"/>
        </w:rPr>
        <w:t xml:space="preserve">As the focus is performance and not capacity, the throughput </w:t>
      </w:r>
      <w:r w:rsidR="008D3A3F">
        <w:rPr>
          <w:lang w:val="en-GB"/>
        </w:rPr>
        <w:t>metrics</w:t>
      </w:r>
      <w:r w:rsidRPr="00A452F2">
        <w:rPr>
          <w:lang w:val="en-GB"/>
        </w:rPr>
        <w:t xml:space="preserve"> are </w:t>
      </w:r>
      <w:r w:rsidRPr="00546F5A">
        <w:rPr>
          <w:color w:val="FF0000"/>
          <w:lang w:val="en-GB"/>
        </w:rPr>
        <w:t xml:space="preserve">not </w:t>
      </w:r>
      <w:r w:rsidRPr="00A452F2">
        <w:rPr>
          <w:lang w:val="en-GB"/>
        </w:rPr>
        <w:t>shown.</w:t>
      </w:r>
    </w:p>
    <w:p w14:paraId="5638F094" w14:textId="77777777" w:rsidR="00320D8A" w:rsidRPr="00A452F2" w:rsidRDefault="00320D8A" w:rsidP="00320D8A">
      <w:pPr>
        <w:rPr>
          <w:lang w:val="en-GB"/>
        </w:rPr>
      </w:pPr>
      <w:r w:rsidRPr="00A452F2">
        <w:rPr>
          <w:lang w:val="en-GB"/>
        </w:rPr>
        <w:t>Select a switch from the table</w:t>
      </w:r>
    </w:p>
    <w:p w14:paraId="617248B0" w14:textId="2121FDFC" w:rsidR="00320D8A" w:rsidRDefault="00320D8A" w:rsidP="00BB4B86">
      <w:pPr>
        <w:pStyle w:val="ListParagraph"/>
        <w:numPr>
          <w:ilvl w:val="0"/>
          <w:numId w:val="13"/>
        </w:numPr>
        <w:rPr>
          <w:lang w:val="en-GB"/>
        </w:rPr>
      </w:pPr>
      <w:r w:rsidRPr="00A452F2">
        <w:rPr>
          <w:lang w:val="en-GB"/>
        </w:rPr>
        <w:t xml:space="preserve">The health chart will automatically show the dropped packet trend over time. </w:t>
      </w:r>
    </w:p>
    <w:p w14:paraId="30197800" w14:textId="0FA00BC2" w:rsidR="00546F5A" w:rsidRPr="00A452F2" w:rsidRDefault="00546F5A" w:rsidP="00546F5A">
      <w:pPr>
        <w:ind w:left="720"/>
        <w:rPr>
          <w:lang w:val="en-GB"/>
        </w:rPr>
      </w:pPr>
      <w:r>
        <w:rPr>
          <w:noProof/>
        </w:rPr>
        <w:drawing>
          <wp:inline distT="0" distB="0" distL="0" distR="0" wp14:anchorId="09EFDBF5" wp14:editId="527DDE53">
            <wp:extent cx="6102504" cy="1562652"/>
            <wp:effectExtent l="0" t="0" r="0" b="0"/>
            <wp:docPr id="606394414" name="Picture 60639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414"/>
                    <pic:cNvPicPr/>
                  </pic:nvPicPr>
                  <pic:blipFill>
                    <a:blip r:embed="rId1119" cstate="print">
                      <a:extLst>
                        <a:ext uri="{28A0092B-C50C-407E-A947-70E740481C1C}">
                          <a14:useLocalDpi xmlns:a14="http://schemas.microsoft.com/office/drawing/2010/main" val="0"/>
                        </a:ext>
                      </a:extLst>
                    </a:blip>
                    <a:stretch>
                      <a:fillRect/>
                    </a:stretch>
                  </pic:blipFill>
                  <pic:spPr>
                    <a:xfrm>
                      <a:off x="0" y="0"/>
                      <a:ext cx="6102504" cy="1562652"/>
                    </a:xfrm>
                    <a:prstGeom prst="rect">
                      <a:avLst/>
                    </a:prstGeom>
                  </pic:spPr>
                </pic:pic>
              </a:graphicData>
            </a:graphic>
          </wp:inline>
        </w:drawing>
      </w:r>
    </w:p>
    <w:p w14:paraId="785B697E" w14:textId="77777777" w:rsidR="00320D8A" w:rsidRPr="00A452F2" w:rsidRDefault="00320D8A" w:rsidP="00BB4B86">
      <w:pPr>
        <w:pStyle w:val="ListParagraph"/>
        <w:numPr>
          <w:ilvl w:val="0"/>
          <w:numId w:val="13"/>
        </w:numPr>
        <w:rPr>
          <w:lang w:val="en-GB"/>
        </w:rPr>
      </w:pPr>
      <w:r w:rsidRPr="00A452F2">
        <w:rPr>
          <w:lang w:val="en-GB"/>
        </w:rPr>
        <w:t>However, it will not narrow down the list of port groups automatically, as the list of port groups are always showing all the port groups in your environment.</w:t>
      </w:r>
    </w:p>
    <w:p w14:paraId="65EAF3A4" w14:textId="77777777" w:rsidR="00320D8A" w:rsidRPr="00A452F2" w:rsidRDefault="00320D8A" w:rsidP="00BB4B86">
      <w:pPr>
        <w:pStyle w:val="ListParagraph"/>
        <w:numPr>
          <w:ilvl w:val="0"/>
          <w:numId w:val="13"/>
        </w:numPr>
        <w:rPr>
          <w:lang w:val="en-GB"/>
        </w:rPr>
      </w:pPr>
      <w:r w:rsidRPr="00A452F2">
        <w:rPr>
          <w:lang w:val="en-GB"/>
        </w:rPr>
        <w:t>If necessary, expand the 2 collapsed widgets. They are showing the network throughput and broadcast packets. Utilization is also shown so you can correlate if the dropped packets are due to higher utilization</w:t>
      </w:r>
    </w:p>
    <w:p w14:paraId="0191D7F0" w14:textId="77777777" w:rsidR="00320D8A" w:rsidRPr="00A452F2" w:rsidRDefault="00320D8A" w:rsidP="00320D8A">
      <w:pPr>
        <w:rPr>
          <w:lang w:val="en-GB"/>
        </w:rPr>
      </w:pPr>
      <w:r w:rsidRPr="00A452F2">
        <w:rPr>
          <w:lang w:val="en-GB"/>
        </w:rPr>
        <w:t xml:space="preserve">Review the port groups and ESXi hosts in the selected switch </w:t>
      </w:r>
    </w:p>
    <w:p w14:paraId="5315C13E" w14:textId="77777777" w:rsidR="00320D8A" w:rsidRPr="00A452F2" w:rsidRDefault="00320D8A" w:rsidP="00BB4B86">
      <w:pPr>
        <w:pStyle w:val="ListParagraph"/>
        <w:numPr>
          <w:ilvl w:val="0"/>
          <w:numId w:val="13"/>
        </w:numPr>
        <w:rPr>
          <w:lang w:val="en-GB"/>
        </w:rPr>
      </w:pPr>
      <w:r w:rsidRPr="00A452F2">
        <w:rPr>
          <w:lang w:val="en-GB"/>
        </w:rPr>
        <w:t xml:space="preserve">They are automatically listed when you selected a switch from the table above. </w:t>
      </w:r>
    </w:p>
    <w:p w14:paraId="04A34411" w14:textId="2A57038C" w:rsidR="00320D8A" w:rsidRPr="00A452F2" w:rsidRDefault="00320D8A" w:rsidP="00BB4B86">
      <w:pPr>
        <w:pStyle w:val="ListParagraph"/>
        <w:numPr>
          <w:ilvl w:val="0"/>
          <w:numId w:val="13"/>
        </w:numPr>
        <w:rPr>
          <w:lang w:val="en-GB"/>
        </w:rPr>
      </w:pPr>
      <w:r w:rsidRPr="00A452F2">
        <w:rPr>
          <w:lang w:val="en-GB"/>
        </w:rPr>
        <w:t xml:space="preserve">Just like the distributed switch, you can also see their relevant countes. </w:t>
      </w:r>
      <w:r w:rsidR="00A33F6F">
        <w:rPr>
          <w:lang w:val="en-GB"/>
        </w:rPr>
        <w:t>The following shows the same chart, except for a single port group.</w:t>
      </w:r>
    </w:p>
    <w:p w14:paraId="1965B2B4" w14:textId="273ACD89" w:rsidR="00870328" w:rsidRDefault="00870328" w:rsidP="00870328">
      <w:pPr>
        <w:ind w:left="720"/>
        <w:rPr>
          <w:lang w:val="en-GB" w:eastAsia="en-SG"/>
        </w:rPr>
      </w:pPr>
      <w:r w:rsidRPr="00870328">
        <w:rPr>
          <w:noProof/>
          <w:lang w:val="en-GB" w:eastAsia="en-SG"/>
        </w:rPr>
        <w:drawing>
          <wp:inline distT="0" distB="0" distL="0" distR="0" wp14:anchorId="15EBD4EB" wp14:editId="1A447AA2">
            <wp:extent cx="6091200" cy="1458000"/>
            <wp:effectExtent l="0" t="0" r="5080" b="8890"/>
            <wp:docPr id="910169580" name="Picture 91016958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80" name="Picture 910169580" descr="Chart, histogram&#10;&#10;Description automatically generated"/>
                    <pic:cNvPicPr/>
                  </pic:nvPicPr>
                  <pic:blipFill>
                    <a:blip r:embed="rId1120"/>
                    <a:stretch>
                      <a:fillRect/>
                    </a:stretch>
                  </pic:blipFill>
                  <pic:spPr>
                    <a:xfrm>
                      <a:off x="0" y="0"/>
                      <a:ext cx="6091200" cy="1458000"/>
                    </a:xfrm>
                    <a:prstGeom prst="rect">
                      <a:avLst/>
                    </a:prstGeom>
                  </pic:spPr>
                </pic:pic>
              </a:graphicData>
            </a:graphic>
          </wp:inline>
        </w:drawing>
      </w:r>
    </w:p>
    <w:p w14:paraId="0676E545" w14:textId="2FA99FD6" w:rsidR="00320D8A" w:rsidRPr="00A452F2" w:rsidRDefault="00320D8A" w:rsidP="00320D8A">
      <w:pPr>
        <w:rPr>
          <w:lang w:val="en-GB" w:eastAsia="en-SG"/>
        </w:rPr>
      </w:pPr>
      <w:r w:rsidRPr="00A452F2">
        <w:rPr>
          <w:lang w:val="en-GB" w:eastAsia="en-SG"/>
        </w:rPr>
        <w:t xml:space="preserve">If your environment has unused network switches, you can filter them out from this list, as this dashboard focuses on performance. </w:t>
      </w:r>
    </w:p>
    <w:p w14:paraId="1A46382C" w14:textId="77777777" w:rsidR="00320D8A" w:rsidRPr="00A452F2" w:rsidRDefault="00320D8A" w:rsidP="00AC6E1E">
      <w:pPr>
        <w:pStyle w:val="Heading4"/>
      </w:pPr>
      <w:r w:rsidRPr="00A452F2">
        <w:lastRenderedPageBreak/>
        <w:t>Points to Note</w:t>
      </w:r>
    </w:p>
    <w:p w14:paraId="12E5BAFE" w14:textId="3824343D" w:rsidR="00320D8A" w:rsidRPr="00A452F2" w:rsidRDefault="00E60FA1" w:rsidP="00B91BA0">
      <w:pPr>
        <w:rPr>
          <w:lang w:val="en-GB"/>
        </w:rPr>
      </w:pPr>
      <w:r>
        <w:rPr>
          <w:lang w:val="en-GB"/>
        </w:rPr>
        <w:t>Network l</w:t>
      </w:r>
      <w:r w:rsidR="00320D8A" w:rsidRPr="00A452F2">
        <w:rPr>
          <w:lang w:val="en-GB"/>
        </w:rPr>
        <w:t xml:space="preserve">atency within a </w:t>
      </w:r>
      <w:r w:rsidR="005269DE" w:rsidRPr="00A452F2">
        <w:rPr>
          <w:lang w:val="en-GB"/>
        </w:rPr>
        <w:t>data center</w:t>
      </w:r>
      <w:r w:rsidR="00320D8A" w:rsidRPr="00A452F2">
        <w:rPr>
          <w:lang w:val="en-GB"/>
        </w:rPr>
        <w:t xml:space="preserve"> should be below one millisecond. Use vRealize Network Insight to study the latency or the retransmitting problems, caused by moving into the lateral traffic. </w:t>
      </w:r>
    </w:p>
    <w:p w14:paraId="12434EEF" w14:textId="77777777" w:rsidR="00320D8A" w:rsidRPr="00A452F2" w:rsidRDefault="00320D8A" w:rsidP="00B91BA0">
      <w:pPr>
        <w:rPr>
          <w:lang w:val="en-GB" w:eastAsia="en-SG"/>
        </w:rPr>
      </w:pPr>
      <w:r w:rsidRPr="00A452F2">
        <w:rPr>
          <w:lang w:val="en-GB" w:eastAsia="en-SG"/>
        </w:rPr>
        <w:t>Add a physical network using the appropriate management pack, such as True Visibility Suite.</w:t>
      </w:r>
    </w:p>
    <w:p w14:paraId="3B37E431" w14:textId="275A02C3" w:rsidR="00320D8A" w:rsidRDefault="00320D8A" w:rsidP="00B91BA0">
      <w:pPr>
        <w:rPr>
          <w:lang w:val="en-GB"/>
        </w:rPr>
      </w:pPr>
      <w:r w:rsidRPr="00A452F2">
        <w:rPr>
          <w:lang w:val="en-GB"/>
        </w:rPr>
        <w:t>Most packets are unicast, between a pair of sender and receiver. If your environment has many VMs sending broadcast packets to everyone and multicast packets to many targets, add a Top-N widget to find out which VMs are sending these packets.</w:t>
      </w:r>
    </w:p>
    <w:p w14:paraId="4328C27D" w14:textId="7B081E43" w:rsidR="009A5DC6" w:rsidRDefault="009A5DC6" w:rsidP="00B91BA0">
      <w:pPr>
        <w:rPr>
          <w:lang w:val="en-GB"/>
        </w:rPr>
      </w:pPr>
      <w:r w:rsidRPr="009A5DC6">
        <w:rPr>
          <w:lang w:val="en-GB"/>
        </w:rPr>
        <w:t>To prove that Network is performing well</w:t>
      </w:r>
      <w:r>
        <w:rPr>
          <w:lang w:val="en-GB"/>
        </w:rPr>
        <w:t>:</w:t>
      </w:r>
    </w:p>
    <w:p w14:paraId="4D47B43B" w14:textId="73AFA448" w:rsidR="006C48C5" w:rsidRPr="006C48C5" w:rsidRDefault="009A5DC6" w:rsidP="009A5DC6">
      <w:pPr>
        <w:pStyle w:val="Bullet"/>
        <w:rPr>
          <w:lang w:val="en-GB"/>
        </w:rPr>
      </w:pPr>
      <w:r>
        <w:rPr>
          <w:lang w:val="en-GB"/>
        </w:rPr>
        <w:t xml:space="preserve">No </w:t>
      </w:r>
      <w:r w:rsidR="006C48C5" w:rsidRPr="006C48C5">
        <w:rPr>
          <w:lang w:val="en-GB"/>
        </w:rPr>
        <w:t>Errors</w:t>
      </w:r>
      <w:r>
        <w:rPr>
          <w:lang w:val="en-GB"/>
        </w:rPr>
        <w:t xml:space="preserve">. </w:t>
      </w:r>
    </w:p>
    <w:p w14:paraId="1232BE55" w14:textId="6CD658C9" w:rsidR="006C48C5" w:rsidRPr="009A5DC6" w:rsidRDefault="006C48C5" w:rsidP="00BB4B86">
      <w:pPr>
        <w:pStyle w:val="Bullet"/>
        <w:numPr>
          <w:ilvl w:val="1"/>
          <w:numId w:val="7"/>
        </w:numPr>
        <w:rPr>
          <w:lang w:val="en-GB"/>
        </w:rPr>
      </w:pPr>
      <w:r w:rsidRPr="009A5DC6">
        <w:rPr>
          <w:lang w:val="en-GB"/>
        </w:rPr>
        <w:t>Not a single ESXi host is experiencing packet drops in any of its NICs (vmnics)</w:t>
      </w:r>
      <w:r w:rsidR="009A5DC6" w:rsidRPr="009A5DC6">
        <w:rPr>
          <w:lang w:val="en-GB"/>
        </w:rPr>
        <w:t xml:space="preserve">. </w:t>
      </w:r>
      <w:r w:rsidRPr="009A5DC6">
        <w:rPr>
          <w:lang w:val="en-GB"/>
        </w:rPr>
        <w:t>If there are, show the ESXi names.</w:t>
      </w:r>
    </w:p>
    <w:p w14:paraId="3FBC6EDD" w14:textId="77777777" w:rsidR="006C48C5" w:rsidRPr="006C48C5" w:rsidRDefault="006C48C5" w:rsidP="00BB4B86">
      <w:pPr>
        <w:pStyle w:val="Bullet"/>
        <w:numPr>
          <w:ilvl w:val="1"/>
          <w:numId w:val="7"/>
        </w:numPr>
        <w:rPr>
          <w:lang w:val="en-GB"/>
        </w:rPr>
      </w:pPr>
      <w:r w:rsidRPr="006C48C5">
        <w:rPr>
          <w:lang w:val="en-GB"/>
        </w:rPr>
        <w:t>Not a single VM is experiencing packet drops.</w:t>
      </w:r>
    </w:p>
    <w:p w14:paraId="3AF5DFAA" w14:textId="77777777" w:rsidR="006C48C5" w:rsidRPr="006C48C5" w:rsidRDefault="006C48C5" w:rsidP="009A5DC6">
      <w:pPr>
        <w:pStyle w:val="Bullet"/>
        <w:rPr>
          <w:lang w:val="en-GB"/>
        </w:rPr>
      </w:pPr>
      <w:r w:rsidRPr="006C48C5">
        <w:rPr>
          <w:lang w:val="en-GB"/>
        </w:rPr>
        <w:t>Latency</w:t>
      </w:r>
    </w:p>
    <w:p w14:paraId="58844F1A" w14:textId="39F59B8B" w:rsidR="006C48C5" w:rsidRPr="009A5DC6" w:rsidRDefault="006C48C5" w:rsidP="00BB4B86">
      <w:pPr>
        <w:pStyle w:val="Bullet"/>
        <w:numPr>
          <w:ilvl w:val="1"/>
          <w:numId w:val="7"/>
        </w:numPr>
        <w:rPr>
          <w:lang w:val="en-GB"/>
        </w:rPr>
      </w:pPr>
      <w:r w:rsidRPr="009A5DC6">
        <w:rPr>
          <w:lang w:val="en-GB"/>
        </w:rPr>
        <w:t>Good round trip latency</w:t>
      </w:r>
      <w:r w:rsidR="009A5DC6" w:rsidRPr="009A5DC6">
        <w:rPr>
          <w:lang w:val="en-GB"/>
        </w:rPr>
        <w:t xml:space="preserve">. </w:t>
      </w:r>
      <w:r w:rsidRPr="009A5DC6">
        <w:rPr>
          <w:lang w:val="en-GB"/>
        </w:rPr>
        <w:t>No network trombone across physical datacenters if NSX is used.</w:t>
      </w:r>
    </w:p>
    <w:p w14:paraId="66DB6B17" w14:textId="77777777" w:rsidR="006C48C5" w:rsidRPr="006C48C5" w:rsidRDefault="006C48C5" w:rsidP="009A5DC6">
      <w:pPr>
        <w:pStyle w:val="Bullet"/>
        <w:rPr>
          <w:lang w:val="en-GB"/>
        </w:rPr>
      </w:pPr>
      <w:r w:rsidRPr="006C48C5">
        <w:rPr>
          <w:lang w:val="en-GB"/>
        </w:rPr>
        <w:t>Utilisation</w:t>
      </w:r>
    </w:p>
    <w:p w14:paraId="0AA8389C" w14:textId="2067B8ED" w:rsidR="006C48C5" w:rsidRPr="006C48C5" w:rsidRDefault="006C48C5" w:rsidP="00BB4B86">
      <w:pPr>
        <w:pStyle w:val="Bullet"/>
        <w:numPr>
          <w:ilvl w:val="1"/>
          <w:numId w:val="7"/>
        </w:numPr>
        <w:rPr>
          <w:lang w:val="en-GB"/>
        </w:rPr>
      </w:pPr>
      <w:r w:rsidRPr="006C48C5">
        <w:rPr>
          <w:lang w:val="en-GB"/>
        </w:rPr>
        <w:t>Not a single VM is hitting its limit, be it 1 GE or 10 GE</w:t>
      </w:r>
      <w:r w:rsidR="00184FF3">
        <w:rPr>
          <w:lang w:val="en-GB"/>
        </w:rPr>
        <w:t xml:space="preserve"> or higher.</w:t>
      </w:r>
    </w:p>
    <w:p w14:paraId="729077AF" w14:textId="77777777" w:rsidR="006C48C5" w:rsidRPr="006C48C5" w:rsidRDefault="006C48C5" w:rsidP="00BB4B86">
      <w:pPr>
        <w:pStyle w:val="Bullet"/>
        <w:numPr>
          <w:ilvl w:val="1"/>
          <w:numId w:val="7"/>
        </w:numPr>
        <w:rPr>
          <w:lang w:val="en-GB"/>
        </w:rPr>
      </w:pPr>
      <w:r w:rsidRPr="006C48C5">
        <w:rPr>
          <w:lang w:val="en-GB"/>
        </w:rPr>
        <w:t xml:space="preserve">Not a single ESXi vmnic is hitting its limit. </w:t>
      </w:r>
    </w:p>
    <w:p w14:paraId="2B4C6B90" w14:textId="77777777" w:rsidR="006C48C5" w:rsidRPr="006C48C5" w:rsidRDefault="006C48C5" w:rsidP="00BB4B86">
      <w:pPr>
        <w:pStyle w:val="Bullet"/>
        <w:numPr>
          <w:ilvl w:val="1"/>
          <w:numId w:val="7"/>
        </w:numPr>
        <w:rPr>
          <w:lang w:val="en-GB"/>
        </w:rPr>
      </w:pPr>
      <w:r w:rsidRPr="006C48C5">
        <w:rPr>
          <w:lang w:val="en-GB"/>
        </w:rPr>
        <w:t>Total bandwitdh hitting the physical switches is below capacity.</w:t>
      </w:r>
    </w:p>
    <w:p w14:paraId="2DC737E0" w14:textId="77777777" w:rsidR="006C48C5" w:rsidRPr="006C48C5" w:rsidRDefault="006C48C5" w:rsidP="009A5DC6">
      <w:pPr>
        <w:pStyle w:val="Bullet"/>
        <w:rPr>
          <w:lang w:val="en-GB"/>
        </w:rPr>
      </w:pPr>
      <w:r w:rsidRPr="006C48C5">
        <w:rPr>
          <w:lang w:val="en-GB"/>
        </w:rPr>
        <w:t xml:space="preserve">Special network </w:t>
      </w:r>
    </w:p>
    <w:p w14:paraId="0C9704A1" w14:textId="4EB74791" w:rsidR="006C48C5" w:rsidRPr="00A452F2" w:rsidRDefault="006C48C5" w:rsidP="00BB4B86">
      <w:pPr>
        <w:pStyle w:val="Bullet"/>
        <w:numPr>
          <w:ilvl w:val="1"/>
          <w:numId w:val="7"/>
        </w:numPr>
        <w:rPr>
          <w:lang w:val="en-GB"/>
        </w:rPr>
      </w:pPr>
      <w:r w:rsidRPr="006C48C5">
        <w:rPr>
          <w:lang w:val="en-GB"/>
        </w:rPr>
        <w:t>The broadcast network is minimal. For both ESXi and VM.</w:t>
      </w:r>
    </w:p>
    <w:p w14:paraId="587306CA" w14:textId="4D2C57FE" w:rsidR="00333B08" w:rsidRDefault="73146075" w:rsidP="00B373E2">
      <w:pPr>
        <w:pStyle w:val="Heading2"/>
        <w:rPr>
          <w:lang w:val="en-GB"/>
        </w:rPr>
      </w:pPr>
      <w:bookmarkStart w:id="150" w:name="_Capacity_Dashboards"/>
      <w:bookmarkEnd w:id="150"/>
      <w:r w:rsidRPr="50D5C780">
        <w:rPr>
          <w:lang w:val="en-GB"/>
        </w:rPr>
        <w:lastRenderedPageBreak/>
        <w:t xml:space="preserve">Capacity </w:t>
      </w:r>
    </w:p>
    <w:p w14:paraId="6B910DB0" w14:textId="091B9F1C" w:rsidR="004D4D3A" w:rsidRPr="004D4D3A" w:rsidRDefault="004D4D3A" w:rsidP="004D4D3A">
      <w:pPr>
        <w:rPr>
          <w:lang w:val="en-GB"/>
        </w:rPr>
      </w:pPr>
      <w:r>
        <w:rPr>
          <w:noProof/>
        </w:rPr>
        <mc:AlternateContent>
          <mc:Choice Requires="wps">
            <w:drawing>
              <wp:anchor distT="0" distB="0" distL="114300" distR="114300" simplePos="0" relativeHeight="251651072" behindDoc="0" locked="0" layoutInCell="1" allowOverlap="1" wp14:anchorId="03B3AA9A" wp14:editId="41C6FE14">
                <wp:simplePos x="0" y="0"/>
                <wp:positionH relativeFrom="column">
                  <wp:posOffset>0</wp:posOffset>
                </wp:positionH>
                <wp:positionV relativeFrom="paragraph">
                  <wp:posOffset>0</wp:posOffset>
                </wp:positionV>
                <wp:extent cx="1828800" cy="1828800"/>
                <wp:effectExtent l="0" t="0" r="0" b="0"/>
                <wp:wrapNone/>
                <wp:docPr id="606394168" name="Text Box 60639416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6C7067C" w14:textId="5FBC0B62" w:rsidR="00E66F24" w:rsidRPr="00C84219" w:rsidRDefault="00E66F24" w:rsidP="004D4D3A">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3 Chapter </w:t>
                            </w:r>
                            <w:r w:rsidR="004D294F">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03B3AA9A" id="Text Box 606394168" o:spid="_x0000_s1044" type="#_x0000_t202" style="position:absolute;margin-left:0;margin-top:0;width:2in;height:2in;z-index:2516510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" filled="f" stroked="f">
                <v:textbox style="mso-fit-shape-to-text:t">
                  <w:txbxContent>
                    <w:p w14:paraId="36C7067C" w14:textId="5FBC0B62" w:rsidR="00E66F24" w:rsidRPr="00C84219" w:rsidRDefault="00E66F24" w:rsidP="004D4D3A">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3 Chapter </w:t>
                      </w:r>
                      <w:r w:rsidR="004D294F">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4</w:t>
                      </w:r>
                    </w:p>
                  </w:txbxContent>
                </v:textbox>
              </v:shape>
            </w:pict>
          </mc:Fallback>
        </mc:AlternateContent>
      </w:r>
    </w:p>
    <w:p w14:paraId="4FE2C04F" w14:textId="77777777" w:rsidR="00517049" w:rsidRPr="00A452F2" w:rsidRDefault="00E76AF6" w:rsidP="003F097B">
      <w:pPr>
        <w:pStyle w:val="AfterChapterTitle"/>
        <w:rPr>
          <w:lang w:val="en-GB"/>
        </w:rPr>
      </w:pPr>
      <w:r>
        <w:t xml:space="preserve">The capacity dashboards aims to implement the capacity concept covered in </w:t>
      </w:r>
      <w:hyperlink w:anchor="_Design_Consideration_1" w:history="1">
        <w:r w:rsidRPr="00E76AF6">
          <w:rPr>
            <w:rStyle w:val="Hyperlink"/>
          </w:rPr>
          <w:t>Capacity Management</w:t>
        </w:r>
      </w:hyperlink>
      <w:r>
        <w:t xml:space="preserve"> chapter, and complement the existing product pages.</w:t>
      </w:r>
    </w:p>
    <w:p w14:paraId="1DECCF1D" w14:textId="65C65992" w:rsidR="00B60124" w:rsidRDefault="004074AE" w:rsidP="00540F68">
      <w:pPr>
        <w:pStyle w:val="Heading3"/>
      </w:pPr>
      <w:r>
        <w:t>Compute</w:t>
      </w:r>
      <w:r w:rsidR="00B60124" w:rsidRPr="00A452F2">
        <w:t xml:space="preserve"> Capacity</w:t>
      </w:r>
    </w:p>
    <w:p w14:paraId="7CAAB79B" w14:textId="343D1F97" w:rsidR="00A84C9E" w:rsidRPr="00A84C9E" w:rsidRDefault="00A84C9E" w:rsidP="00A84C9E">
      <w:pPr>
        <w:rPr>
          <w:lang w:val="en-GB"/>
        </w:rPr>
      </w:pPr>
      <w:r>
        <w:rPr>
          <w:lang w:val="en-GB"/>
        </w:rPr>
        <w:t xml:space="preserve">The </w:t>
      </w:r>
      <w:r w:rsidR="004074AE">
        <w:rPr>
          <w:lang w:val="en-GB"/>
        </w:rPr>
        <w:t xml:space="preserve">compute </w:t>
      </w:r>
      <w:r>
        <w:rPr>
          <w:lang w:val="en-GB"/>
        </w:rPr>
        <w:t xml:space="preserve">capacity </w:t>
      </w:r>
      <w:r w:rsidR="004074AE">
        <w:rPr>
          <w:lang w:val="en-GB"/>
        </w:rPr>
        <w:t xml:space="preserve">dashboad covers vSphere clusters with their associated </w:t>
      </w:r>
      <w:r w:rsidR="00305B95">
        <w:rPr>
          <w:lang w:val="en-GB"/>
        </w:rPr>
        <w:t>ESXi host and resource pools, as</w:t>
      </w:r>
      <w:r w:rsidR="00EC641F">
        <w:rPr>
          <w:lang w:val="en-GB"/>
        </w:rPr>
        <w:t xml:space="preserve"> they impact the cluster capacity. </w:t>
      </w:r>
    </w:p>
    <w:p w14:paraId="044CEB47" w14:textId="6D8D37DC" w:rsidR="00415C50" w:rsidRDefault="00ED176A" w:rsidP="00AC6E1E">
      <w:pPr>
        <w:pStyle w:val="Heading4"/>
      </w:pPr>
      <w:r>
        <w:t>Overall Analysis</w:t>
      </w:r>
    </w:p>
    <w:p w14:paraId="5DA4F7EB" w14:textId="6EBF54E2" w:rsidR="00314823" w:rsidRPr="00314823" w:rsidRDefault="00314823" w:rsidP="00314823">
      <w:pPr>
        <w:rPr>
          <w:lang w:val="en-GB"/>
        </w:rPr>
      </w:pPr>
      <w:r>
        <w:rPr>
          <w:lang w:val="en-GB"/>
        </w:rPr>
        <w:t xml:space="preserve">The </w:t>
      </w:r>
      <w:r w:rsidR="00746910">
        <w:rPr>
          <w:lang w:val="en-GB"/>
        </w:rPr>
        <w:t xml:space="preserve">3 </w:t>
      </w:r>
      <w:r w:rsidR="00BB0A93">
        <w:rPr>
          <w:lang w:val="en-GB"/>
        </w:rPr>
        <w:t>bar charts show all the clusters, summarizing the overall situation.</w:t>
      </w:r>
      <w:r w:rsidR="00746910">
        <w:rPr>
          <w:lang w:val="en-GB"/>
        </w:rPr>
        <w:t xml:space="preserve"> The first 2 are shown below.</w:t>
      </w:r>
    </w:p>
    <w:p w14:paraId="14B7987B" w14:textId="1F1E0F6A" w:rsidR="00ED176A" w:rsidRPr="00ED176A" w:rsidRDefault="00305A54" w:rsidP="00ED176A">
      <w:pPr>
        <w:rPr>
          <w:lang w:val="en-GB"/>
        </w:rPr>
      </w:pPr>
      <w:r w:rsidRPr="00305A54">
        <w:rPr>
          <w:noProof/>
          <w:lang w:val="en-GB"/>
        </w:rPr>
        <w:lastRenderedPageBreak/>
        <w:drawing>
          <wp:inline distT="0" distB="0" distL="0" distR="0" wp14:anchorId="5F420649" wp14:editId="5A6D44BF">
            <wp:extent cx="6645910" cy="1436370"/>
            <wp:effectExtent l="0" t="0" r="2540" b="0"/>
            <wp:docPr id="1709717424" name="Picture 1709717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1"/>
                    <a:stretch>
                      <a:fillRect/>
                    </a:stretch>
                  </pic:blipFill>
                  <pic:spPr>
                    <a:xfrm>
                      <a:off x="0" y="0"/>
                      <a:ext cx="6645910" cy="1436370"/>
                    </a:xfrm>
                    <a:prstGeom prst="rect">
                      <a:avLst/>
                    </a:prstGeom>
                  </pic:spPr>
                </pic:pic>
              </a:graphicData>
            </a:graphic>
          </wp:inline>
        </w:drawing>
      </w:r>
    </w:p>
    <w:p w14:paraId="78EC73BC" w14:textId="2A9AF12A" w:rsidR="00763C23" w:rsidRDefault="009D0FF6" w:rsidP="009D0FF6">
      <w:pPr>
        <w:rPr>
          <w:lang w:val="en-GB"/>
        </w:rPr>
      </w:pPr>
      <w:r w:rsidRPr="00A452F2">
        <w:rPr>
          <w:lang w:val="en-GB"/>
        </w:rPr>
        <w:t xml:space="preserve">The </w:t>
      </w:r>
      <w:r>
        <w:rPr>
          <w:lang w:val="en-GB"/>
        </w:rPr>
        <w:t xml:space="preserve">first two </w:t>
      </w:r>
      <w:r w:rsidRPr="00A452F2">
        <w:rPr>
          <w:lang w:val="en-GB"/>
        </w:rPr>
        <w:t xml:space="preserve">bar charts work </w:t>
      </w:r>
      <w:r w:rsidRPr="004E718C">
        <w:rPr>
          <w:i/>
          <w:iCs/>
          <w:color w:val="00B0F0"/>
          <w:lang w:val="en-GB"/>
        </w:rPr>
        <w:t>together</w:t>
      </w:r>
      <w:r w:rsidRPr="00A452F2">
        <w:rPr>
          <w:lang w:val="en-GB"/>
        </w:rPr>
        <w:t xml:space="preserve">. </w:t>
      </w:r>
      <w:r w:rsidR="00763C23" w:rsidRPr="00A452F2">
        <w:rPr>
          <w:lang w:val="en-GB"/>
        </w:rPr>
        <w:t xml:space="preserve">Just because you are running low on capacity does not mean you are running out of time. Cluster with a </w:t>
      </w:r>
      <w:r w:rsidR="00E00C8C" w:rsidRPr="00A452F2">
        <w:rPr>
          <w:lang w:val="en-GB"/>
        </w:rPr>
        <w:t>cyclical load</w:t>
      </w:r>
      <w:r w:rsidR="00763C23" w:rsidRPr="00A452F2">
        <w:rPr>
          <w:lang w:val="en-GB"/>
        </w:rPr>
        <w:t xml:space="preserve"> that hits high utilization but never trends toward 100% will have low capacity remaining, but plenty of time remaining.</w:t>
      </w:r>
      <w:r w:rsidR="00763C23">
        <w:rPr>
          <w:lang w:val="en-GB"/>
        </w:rPr>
        <w:t xml:space="preserve"> </w:t>
      </w:r>
    </w:p>
    <w:p w14:paraId="3F41FEFE" w14:textId="2A4E062B" w:rsidR="009D0FF6" w:rsidRDefault="00C065FB" w:rsidP="009D0FF6">
      <w:pPr>
        <w:rPr>
          <w:lang w:val="en-GB"/>
        </w:rPr>
      </w:pPr>
      <w:r>
        <w:rPr>
          <w:lang w:val="en-GB"/>
        </w:rPr>
        <w:t>Generally speaking, t</w:t>
      </w:r>
      <w:r w:rsidR="009D0FF6" w:rsidRPr="00A452F2">
        <w:rPr>
          <w:lang w:val="en-GB"/>
        </w:rPr>
        <w:t>he ideal situation is low Capacity Remaining</w:t>
      </w:r>
      <w:r w:rsidR="009D0FF6">
        <w:rPr>
          <w:lang w:val="en-GB"/>
        </w:rPr>
        <w:t xml:space="preserve"> and </w:t>
      </w:r>
      <w:r w:rsidR="009D0FF6" w:rsidRPr="00A452F2">
        <w:rPr>
          <w:lang w:val="en-GB"/>
        </w:rPr>
        <w:t>high Time Remaining</w:t>
      </w:r>
      <w:r w:rsidR="009D0FF6">
        <w:rPr>
          <w:lang w:val="en-GB"/>
        </w:rPr>
        <w:t xml:space="preserve">. </w:t>
      </w:r>
      <w:r w:rsidR="009D0FF6" w:rsidRPr="00A452F2">
        <w:rPr>
          <w:lang w:val="en-GB"/>
        </w:rPr>
        <w:t>This means your resources are cost effective and working as expected.</w:t>
      </w:r>
      <w:r w:rsidR="00763C23">
        <w:rPr>
          <w:lang w:val="en-GB"/>
        </w:rPr>
        <w:t xml:space="preserve"> </w:t>
      </w:r>
      <w:r>
        <w:rPr>
          <w:lang w:val="en-GB"/>
        </w:rPr>
        <w:t xml:space="preserve">For clusters where you intentionally need to run at low utilization (e.g. stretched cluster), increase its buffer accordingly so the capacity </w:t>
      </w:r>
      <w:r w:rsidR="008D3A3F">
        <w:rPr>
          <w:lang w:val="en-GB"/>
        </w:rPr>
        <w:t>metrics</w:t>
      </w:r>
      <w:r>
        <w:rPr>
          <w:lang w:val="en-GB"/>
        </w:rPr>
        <w:t xml:space="preserve"> will reflect that. </w:t>
      </w:r>
    </w:p>
    <w:p w14:paraId="1775F029" w14:textId="4997055F" w:rsidR="00341F59" w:rsidRDefault="00746910" w:rsidP="00E01198">
      <w:pPr>
        <w:rPr>
          <w:lang w:val="en-GB"/>
        </w:rPr>
      </w:pPr>
      <w:r>
        <w:rPr>
          <w:lang w:val="en-GB"/>
        </w:rPr>
        <w:t>The 3</w:t>
      </w:r>
      <w:r w:rsidRPr="00746910">
        <w:rPr>
          <w:vertAlign w:val="superscript"/>
          <w:lang w:val="en-GB"/>
        </w:rPr>
        <w:t>rd</w:t>
      </w:r>
      <w:r>
        <w:rPr>
          <w:lang w:val="en-GB"/>
        </w:rPr>
        <w:t xml:space="preserve"> bar chart is </w:t>
      </w:r>
      <w:r w:rsidR="00341F59">
        <w:rPr>
          <w:lang w:val="en-GB"/>
        </w:rPr>
        <w:t>VM Remaining</w:t>
      </w:r>
      <w:r>
        <w:rPr>
          <w:lang w:val="en-GB"/>
        </w:rPr>
        <w:t>. It g</w:t>
      </w:r>
      <w:r w:rsidR="00341F59">
        <w:rPr>
          <w:lang w:val="en-GB"/>
        </w:rPr>
        <w:t>ive</w:t>
      </w:r>
      <w:r>
        <w:rPr>
          <w:lang w:val="en-GB"/>
        </w:rPr>
        <w:t>s</w:t>
      </w:r>
      <w:r w:rsidR="00341F59">
        <w:rPr>
          <w:lang w:val="en-GB"/>
        </w:rPr>
        <w:t xml:space="preserve"> more complete contexts, as different clusters can have different VM size.</w:t>
      </w:r>
    </w:p>
    <w:p w14:paraId="31B1384C" w14:textId="116B1981" w:rsidR="007373AE" w:rsidRPr="00A452F2" w:rsidRDefault="007373AE" w:rsidP="00E01198">
      <w:pPr>
        <w:rPr>
          <w:lang w:val="en-GB"/>
        </w:rPr>
      </w:pPr>
      <w:r>
        <w:rPr>
          <w:lang w:val="en-GB"/>
        </w:rPr>
        <w:t>The bar chart</w:t>
      </w:r>
      <w:r w:rsidR="00C065FB">
        <w:rPr>
          <w:lang w:val="en-GB"/>
        </w:rPr>
        <w:t>s</w:t>
      </w:r>
      <w:r>
        <w:rPr>
          <w:lang w:val="en-GB"/>
        </w:rPr>
        <w:t xml:space="preserve"> can’t show the parent data</w:t>
      </w:r>
      <w:r w:rsidR="00654EA3">
        <w:rPr>
          <w:lang w:val="en-GB"/>
        </w:rPr>
        <w:t xml:space="preserve"> </w:t>
      </w:r>
      <w:r>
        <w:rPr>
          <w:lang w:val="en-GB"/>
        </w:rPr>
        <w:t xml:space="preserve">centers. </w:t>
      </w:r>
      <w:r w:rsidR="00050F40">
        <w:rPr>
          <w:lang w:val="en-GB"/>
        </w:rPr>
        <w:t xml:space="preserve">It also can’t show all the clusters, individually. For a large environment, </w:t>
      </w:r>
      <w:r w:rsidR="00E75C28">
        <w:rPr>
          <w:lang w:val="en-GB"/>
        </w:rPr>
        <w:t>a</w:t>
      </w:r>
      <w:r w:rsidR="00050F40">
        <w:rPr>
          <w:lang w:val="en-GB"/>
        </w:rPr>
        <w:t xml:space="preserve"> heat map </w:t>
      </w:r>
      <w:r w:rsidR="00850904">
        <w:rPr>
          <w:lang w:val="en-GB"/>
        </w:rPr>
        <w:t>comes in handy.</w:t>
      </w:r>
    </w:p>
    <w:p w14:paraId="30849035" w14:textId="03571643" w:rsidR="00337ECA" w:rsidRDefault="00503255" w:rsidP="00F6120D">
      <w:pPr>
        <w:rPr>
          <w:lang w:val="en-GB"/>
        </w:rPr>
      </w:pPr>
      <w:r w:rsidRPr="00503255">
        <w:rPr>
          <w:noProof/>
          <w:lang w:val="en-GB"/>
        </w:rPr>
        <w:drawing>
          <wp:inline distT="0" distB="0" distL="0" distR="0" wp14:anchorId="3EFDB91E" wp14:editId="2CF341AF">
            <wp:extent cx="6645910" cy="831850"/>
            <wp:effectExtent l="0" t="0" r="2540" b="6350"/>
            <wp:docPr id="1293284816" name="Picture 1293284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2"/>
                    <a:stretch>
                      <a:fillRect/>
                    </a:stretch>
                  </pic:blipFill>
                  <pic:spPr>
                    <a:xfrm>
                      <a:off x="0" y="0"/>
                      <a:ext cx="6645910" cy="831850"/>
                    </a:xfrm>
                    <a:prstGeom prst="rect">
                      <a:avLst/>
                    </a:prstGeom>
                  </pic:spPr>
                </pic:pic>
              </a:graphicData>
            </a:graphic>
          </wp:inline>
        </w:drawing>
      </w:r>
    </w:p>
    <w:p w14:paraId="1C8863C5" w14:textId="4277AD3F" w:rsidR="005A7784" w:rsidRDefault="005A7784" w:rsidP="00050F40">
      <w:pPr>
        <w:rPr>
          <w:lang w:val="en-GB"/>
        </w:rPr>
      </w:pPr>
      <w:r w:rsidRPr="00A452F2">
        <w:rPr>
          <w:lang w:val="en-GB"/>
        </w:rPr>
        <w:t>The three heat maps are Time Remaining, Capacity Remaining, and VM Remaining.</w:t>
      </w:r>
      <w:r w:rsidR="00850904">
        <w:rPr>
          <w:lang w:val="en-GB"/>
        </w:rPr>
        <w:t xml:space="preserve"> </w:t>
      </w:r>
    </w:p>
    <w:p w14:paraId="043E17E4" w14:textId="2B13A12B" w:rsidR="00252917" w:rsidRPr="00A452F2" w:rsidRDefault="00252917" w:rsidP="00050F40">
      <w:pPr>
        <w:rPr>
          <w:lang w:val="en-GB"/>
        </w:rPr>
      </w:pPr>
      <w:r w:rsidRPr="4CAB3972">
        <w:rPr>
          <w:lang w:val="en-GB"/>
        </w:rPr>
        <w:t xml:space="preserve">The </w:t>
      </w:r>
      <w:r>
        <w:rPr>
          <w:lang w:val="en-GB"/>
        </w:rPr>
        <w:t>color</w:t>
      </w:r>
      <w:r w:rsidRPr="4CAB3972">
        <w:rPr>
          <w:lang w:val="en-GB"/>
        </w:rPr>
        <w:t xml:space="preserve"> indicates usage. Low utilization is marked as grey, not </w:t>
      </w:r>
      <w:r w:rsidR="0022569A" w:rsidRPr="0022569A">
        <w:rPr>
          <w:color w:val="00B050"/>
          <w:lang w:val="en-GB"/>
        </w:rPr>
        <w:t>green</w:t>
      </w:r>
      <w:r w:rsidRPr="4CAB3972">
        <w:rPr>
          <w:lang w:val="en-GB"/>
        </w:rPr>
        <w:t>, as it represents waste.</w:t>
      </w:r>
    </w:p>
    <w:p w14:paraId="40EE8A48" w14:textId="77777777" w:rsidR="00252917" w:rsidRDefault="00252917" w:rsidP="00050F40">
      <w:pPr>
        <w:rPr>
          <w:lang w:val="en-GB"/>
        </w:rPr>
      </w:pPr>
      <w:r>
        <w:rPr>
          <w:lang w:val="en-GB"/>
        </w:rPr>
        <w:t xml:space="preserve">Why is the box size made identical? </w:t>
      </w:r>
    </w:p>
    <w:p w14:paraId="550E383B" w14:textId="67C77648" w:rsidR="00252917" w:rsidRDefault="00252917" w:rsidP="00050F40">
      <w:pPr>
        <w:rPr>
          <w:lang w:val="en-GB"/>
        </w:rPr>
      </w:pPr>
      <w:r>
        <w:rPr>
          <w:lang w:val="en-GB"/>
        </w:rPr>
        <w:t>F</w:t>
      </w:r>
      <w:r w:rsidR="008725AB" w:rsidRPr="00A452F2">
        <w:rPr>
          <w:lang w:val="en-GB"/>
        </w:rPr>
        <w:t>or ease of use</w:t>
      </w:r>
      <w:r w:rsidR="009D5B35" w:rsidRPr="00A452F2">
        <w:rPr>
          <w:lang w:val="en-GB"/>
        </w:rPr>
        <w:t xml:space="preserve"> and </w:t>
      </w:r>
      <w:r w:rsidR="00CA1AA8" w:rsidRPr="00A452F2">
        <w:rPr>
          <w:lang w:val="en-GB"/>
        </w:rPr>
        <w:t>better focus on the action to be taken</w:t>
      </w:r>
      <w:r w:rsidR="008725AB" w:rsidRPr="00A452F2">
        <w:rPr>
          <w:lang w:val="en-GB"/>
        </w:rPr>
        <w:t xml:space="preserve">. </w:t>
      </w:r>
      <w:r>
        <w:rPr>
          <w:lang w:val="en-GB"/>
        </w:rPr>
        <w:t>Otherwise the small clusters will be dwarfed by the large ones.</w:t>
      </w:r>
    </w:p>
    <w:p w14:paraId="5F80C9E4" w14:textId="66DAFAEA" w:rsidR="008725AB" w:rsidRDefault="00506C05" w:rsidP="00050F40">
      <w:pPr>
        <w:rPr>
          <w:lang w:val="en-GB"/>
        </w:rPr>
      </w:pPr>
      <w:r w:rsidRPr="00A452F2">
        <w:rPr>
          <w:lang w:val="en-GB"/>
        </w:rPr>
        <w:t xml:space="preserve">If your cluster sizes are not standardized, </w:t>
      </w:r>
      <w:r w:rsidR="00252917">
        <w:rPr>
          <w:lang w:val="en-GB"/>
        </w:rPr>
        <w:t xml:space="preserve">create another heat map, and </w:t>
      </w:r>
      <w:r w:rsidR="001C1302" w:rsidRPr="00A452F2">
        <w:rPr>
          <w:lang w:val="en-GB"/>
        </w:rPr>
        <w:t>us</w:t>
      </w:r>
      <w:r w:rsidR="00252917">
        <w:rPr>
          <w:lang w:val="en-GB"/>
        </w:rPr>
        <w:t>e</w:t>
      </w:r>
      <w:r w:rsidR="001C1302" w:rsidRPr="00A452F2">
        <w:rPr>
          <w:lang w:val="en-GB"/>
        </w:rPr>
        <w:t xml:space="preserve"> the number of ESXi hosts to </w:t>
      </w:r>
      <w:r w:rsidR="003A1E02" w:rsidRPr="00A452F2">
        <w:rPr>
          <w:lang w:val="en-GB"/>
        </w:rPr>
        <w:t xml:space="preserve">show the size difference. </w:t>
      </w:r>
    </w:p>
    <w:p w14:paraId="72E7931E" w14:textId="562E2AFA" w:rsidR="00343BBD" w:rsidRPr="00A452F2" w:rsidRDefault="00343BBD" w:rsidP="00050F40">
      <w:pPr>
        <w:rPr>
          <w:lang w:val="en-GB"/>
        </w:rPr>
      </w:pPr>
      <w:r>
        <w:rPr>
          <w:lang w:val="en-GB"/>
        </w:rPr>
        <w:t xml:space="preserve">A table provides the next level </w:t>
      </w:r>
      <w:r w:rsidR="00912B8C">
        <w:rPr>
          <w:lang w:val="en-GB"/>
        </w:rPr>
        <w:t xml:space="preserve">of details. </w:t>
      </w:r>
    </w:p>
    <w:p w14:paraId="484651FC" w14:textId="5C88E2BD" w:rsidR="00337ECA" w:rsidRDefault="00BF6EC7" w:rsidP="00F6120D">
      <w:pPr>
        <w:rPr>
          <w:lang w:val="en-GB"/>
        </w:rPr>
      </w:pPr>
      <w:r w:rsidRPr="00BF6EC7">
        <w:rPr>
          <w:noProof/>
          <w:lang w:val="en-GB"/>
        </w:rPr>
        <w:drawing>
          <wp:inline distT="0" distB="0" distL="0" distR="0" wp14:anchorId="1B86B49B" wp14:editId="0B2B9871">
            <wp:extent cx="6645910" cy="1579880"/>
            <wp:effectExtent l="0" t="0" r="2540" b="1270"/>
            <wp:docPr id="1709717393" name="Picture 1709717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3"/>
                    <a:stretch>
                      <a:fillRect/>
                    </a:stretch>
                  </pic:blipFill>
                  <pic:spPr>
                    <a:xfrm>
                      <a:off x="0" y="0"/>
                      <a:ext cx="6645910" cy="1579880"/>
                    </a:xfrm>
                    <a:prstGeom prst="rect">
                      <a:avLst/>
                    </a:prstGeom>
                  </pic:spPr>
                </pic:pic>
              </a:graphicData>
            </a:graphic>
          </wp:inline>
        </w:drawing>
      </w:r>
    </w:p>
    <w:p w14:paraId="1081FD30" w14:textId="0E78DE26" w:rsidR="007F6AFF" w:rsidRPr="00A452F2" w:rsidRDefault="002337CD" w:rsidP="00912B8C">
      <w:pPr>
        <w:rPr>
          <w:lang w:val="en-GB"/>
        </w:rPr>
      </w:pPr>
      <w:r>
        <w:rPr>
          <w:lang w:val="en-GB"/>
        </w:rPr>
        <w:t xml:space="preserve">The </w:t>
      </w:r>
      <w:r w:rsidR="005839E4">
        <w:rPr>
          <w:lang w:val="en-GB"/>
        </w:rPr>
        <w:t xml:space="preserve">number of ESXi hosts are color coded as smaller clusters have relatively higher overhead. </w:t>
      </w:r>
    </w:p>
    <w:p w14:paraId="5B0664CA" w14:textId="1FE4D5CE" w:rsidR="00BE5190" w:rsidRDefault="00BE5190" w:rsidP="00AC6E1E">
      <w:pPr>
        <w:pStyle w:val="Heading4"/>
      </w:pPr>
      <w:r>
        <w:lastRenderedPageBreak/>
        <w:t>Cluster Analysis</w:t>
      </w:r>
    </w:p>
    <w:p w14:paraId="28EAF782" w14:textId="1ABE9107" w:rsidR="00912B8C" w:rsidRDefault="00912B8C" w:rsidP="00912B8C">
      <w:pPr>
        <w:rPr>
          <w:lang w:val="en-GB"/>
        </w:rPr>
      </w:pPr>
      <w:r>
        <w:rPr>
          <w:lang w:val="en-GB"/>
        </w:rPr>
        <w:t>Select a cluster from the table. Its detail capacity will be autom</w:t>
      </w:r>
      <w:r w:rsidR="001A2130">
        <w:rPr>
          <w:lang w:val="en-GB"/>
        </w:rPr>
        <w:t>atically shown.</w:t>
      </w:r>
    </w:p>
    <w:p w14:paraId="1BCE8885" w14:textId="37FB62DC" w:rsidR="002F24C5" w:rsidRPr="00912B8C" w:rsidRDefault="002F24C5" w:rsidP="00E7573A">
      <w:pPr>
        <w:pStyle w:val="Heading5"/>
      </w:pPr>
      <w:r>
        <w:t>Performance</w:t>
      </w:r>
    </w:p>
    <w:p w14:paraId="0A6F5DBB" w14:textId="22B1FC9F" w:rsidR="006347B7" w:rsidRDefault="006347B7" w:rsidP="00F6120D">
      <w:pPr>
        <w:rPr>
          <w:lang w:val="en-GB"/>
        </w:rPr>
      </w:pPr>
      <w:r>
        <w:rPr>
          <w:lang w:val="en-GB"/>
        </w:rPr>
        <w:t>The first thing it shows is the cluster performance</w:t>
      </w:r>
      <w:r w:rsidR="001E339A">
        <w:rPr>
          <w:lang w:val="en-GB"/>
        </w:rPr>
        <w:t>. Make sure this is within your expectation.</w:t>
      </w:r>
      <w:r w:rsidR="005839E4">
        <w:rPr>
          <w:lang w:val="en-GB"/>
        </w:rPr>
        <w:t xml:space="preserve"> </w:t>
      </w:r>
    </w:p>
    <w:p w14:paraId="5222BD37" w14:textId="0F91725D" w:rsidR="006347B7" w:rsidRDefault="005D664D" w:rsidP="00F6120D">
      <w:pPr>
        <w:rPr>
          <w:lang w:val="en-GB"/>
        </w:rPr>
      </w:pPr>
      <w:r w:rsidRPr="005D664D">
        <w:rPr>
          <w:noProof/>
          <w:lang w:val="en-GB"/>
        </w:rPr>
        <w:drawing>
          <wp:inline distT="0" distB="0" distL="0" distR="0" wp14:anchorId="4ADDC54A" wp14:editId="2283CD91">
            <wp:extent cx="6645910" cy="1136650"/>
            <wp:effectExtent l="0" t="0" r="2540" b="6350"/>
            <wp:docPr id="1709717394" name="Picture 1709717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4"/>
                    <a:stretch>
                      <a:fillRect/>
                    </a:stretch>
                  </pic:blipFill>
                  <pic:spPr>
                    <a:xfrm>
                      <a:off x="0" y="0"/>
                      <a:ext cx="6645910" cy="1136650"/>
                    </a:xfrm>
                    <a:prstGeom prst="rect">
                      <a:avLst/>
                    </a:prstGeom>
                  </pic:spPr>
                </pic:pic>
              </a:graphicData>
            </a:graphic>
          </wp:inline>
        </w:drawing>
      </w:r>
    </w:p>
    <w:p w14:paraId="59DD0C10" w14:textId="04EF9548" w:rsidR="005839E4" w:rsidRDefault="005839E4" w:rsidP="00F6120D">
      <w:pPr>
        <w:rPr>
          <w:lang w:val="en-GB"/>
        </w:rPr>
      </w:pPr>
      <w:r>
        <w:rPr>
          <w:lang w:val="en-GB"/>
        </w:rPr>
        <w:t>The counter is covered in Performance chapter</w:t>
      </w:r>
      <w:r w:rsidR="00635EF2">
        <w:rPr>
          <w:lang w:val="en-GB"/>
        </w:rPr>
        <w:t xml:space="preserve"> and Performance dashboard.</w:t>
      </w:r>
    </w:p>
    <w:p w14:paraId="2D508580" w14:textId="06239D3A" w:rsidR="002F24C5" w:rsidRDefault="002F24C5" w:rsidP="00E7573A">
      <w:pPr>
        <w:pStyle w:val="Heading5"/>
      </w:pPr>
      <w:r>
        <w:t>Utilization</w:t>
      </w:r>
    </w:p>
    <w:p w14:paraId="28ECA1AB" w14:textId="18EED5DF" w:rsidR="008B1FE5" w:rsidRDefault="008B1FE5" w:rsidP="00F6120D">
      <w:pPr>
        <w:rPr>
          <w:lang w:val="en-GB"/>
        </w:rPr>
      </w:pPr>
      <w:r>
        <w:rPr>
          <w:lang w:val="en-GB"/>
        </w:rPr>
        <w:t xml:space="preserve">The next chart is utilization. </w:t>
      </w:r>
      <w:r w:rsidR="00B34EBF">
        <w:rPr>
          <w:lang w:val="en-GB"/>
        </w:rPr>
        <w:t>It’s showing in %, as it’s relative to your usable capacity.</w:t>
      </w:r>
    </w:p>
    <w:p w14:paraId="20DDB51C" w14:textId="3598B2F6" w:rsidR="00771592" w:rsidRDefault="00771592" w:rsidP="00F6120D">
      <w:pPr>
        <w:rPr>
          <w:lang w:val="en-GB"/>
        </w:rPr>
      </w:pPr>
      <w:r w:rsidRPr="00771592">
        <w:rPr>
          <w:noProof/>
          <w:lang w:val="en-GB"/>
        </w:rPr>
        <w:drawing>
          <wp:inline distT="0" distB="0" distL="0" distR="0" wp14:anchorId="3E165A77" wp14:editId="3571F517">
            <wp:extent cx="6645910" cy="1769110"/>
            <wp:effectExtent l="0" t="0" r="2540" b="2540"/>
            <wp:docPr id="1709717395" name="Picture 1709717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5"/>
                    <a:stretch>
                      <a:fillRect/>
                    </a:stretch>
                  </pic:blipFill>
                  <pic:spPr>
                    <a:xfrm>
                      <a:off x="0" y="0"/>
                      <a:ext cx="6645910" cy="1769110"/>
                    </a:xfrm>
                    <a:prstGeom prst="rect">
                      <a:avLst/>
                    </a:prstGeom>
                  </pic:spPr>
                </pic:pic>
              </a:graphicData>
            </a:graphic>
          </wp:inline>
        </w:drawing>
      </w:r>
    </w:p>
    <w:p w14:paraId="22B14D69" w14:textId="77777777" w:rsidR="00E93A96" w:rsidRDefault="00E93A96" w:rsidP="00E93A96">
      <w:pPr>
        <w:pStyle w:val="BeforeTable"/>
        <w:rPr>
          <w:lang w:val="en-GB"/>
        </w:rPr>
      </w:pPr>
    </w:p>
    <w:p w14:paraId="2DFD6338" w14:textId="73195A7F" w:rsidR="00B34EBF" w:rsidRDefault="00132633" w:rsidP="008B1FE5">
      <w:pPr>
        <w:rPr>
          <w:lang w:val="en-GB"/>
        </w:rPr>
      </w:pPr>
      <w:r w:rsidRPr="00A452F2">
        <w:rPr>
          <w:lang w:val="en-GB"/>
        </w:rPr>
        <w:t>Utilization displayed for three months and not one week. The daily average is displayed and not the hourly average</w:t>
      </w:r>
      <w:r w:rsidR="007A0E3E">
        <w:rPr>
          <w:lang w:val="en-GB"/>
        </w:rPr>
        <w:t>, so you can focus on the overall trend.</w:t>
      </w:r>
    </w:p>
    <w:p w14:paraId="15EAC2B6" w14:textId="1F85DAE9" w:rsidR="00415C50" w:rsidRDefault="00B34EBF" w:rsidP="008B1FE5">
      <w:pPr>
        <w:rPr>
          <w:lang w:val="en-GB"/>
        </w:rPr>
      </w:pPr>
      <w:r>
        <w:rPr>
          <w:lang w:val="en-GB"/>
        </w:rPr>
        <w:t xml:space="preserve">For memory, </w:t>
      </w:r>
      <w:r w:rsidR="00132633" w:rsidRPr="00A452F2">
        <w:rPr>
          <w:lang w:val="en-GB"/>
        </w:rPr>
        <w:t xml:space="preserve">the focus is on </w:t>
      </w:r>
      <w:r w:rsidR="003C2B34" w:rsidRPr="00A452F2">
        <w:rPr>
          <w:lang w:val="en-GB"/>
        </w:rPr>
        <w:t xml:space="preserve">consumed memory </w:t>
      </w:r>
      <w:r w:rsidR="00132633" w:rsidRPr="00A452F2">
        <w:rPr>
          <w:lang w:val="en-GB"/>
        </w:rPr>
        <w:t xml:space="preserve">and not </w:t>
      </w:r>
      <w:r w:rsidR="003C2B34" w:rsidRPr="00A452F2">
        <w:rPr>
          <w:lang w:val="en-GB"/>
        </w:rPr>
        <w:t>active memory</w:t>
      </w:r>
      <w:r w:rsidR="00132633" w:rsidRPr="00A452F2">
        <w:rPr>
          <w:lang w:val="en-GB"/>
        </w:rPr>
        <w:t>.</w:t>
      </w:r>
    </w:p>
    <w:p w14:paraId="75B0C264" w14:textId="1CE20D4B" w:rsidR="00F16A5F" w:rsidRDefault="00821344" w:rsidP="008B1FE5">
      <w:pPr>
        <w:rPr>
          <w:lang w:val="en-GB"/>
        </w:rPr>
      </w:pPr>
      <w:r>
        <w:rPr>
          <w:lang w:val="en-GB"/>
        </w:rPr>
        <w:t>If it’s useful to you, a</w:t>
      </w:r>
      <w:r w:rsidR="000E6EF3" w:rsidRPr="00A452F2">
        <w:rPr>
          <w:lang w:val="en-GB"/>
        </w:rPr>
        <w:t xml:space="preserve">dd peak to complement average utilization. </w:t>
      </w:r>
      <w:r w:rsidR="004B080F" w:rsidRPr="00A452F2">
        <w:rPr>
          <w:lang w:val="en-GB"/>
        </w:rPr>
        <w:t xml:space="preserve">The peak is defined as the highest among any ESXi hosts. If the peak is higher than the cluster-wide average, then </w:t>
      </w:r>
      <w:r w:rsidR="004B080F">
        <w:rPr>
          <w:lang w:val="en-GB"/>
        </w:rPr>
        <w:t xml:space="preserve">the cluster </w:t>
      </w:r>
      <w:r w:rsidR="004B080F" w:rsidRPr="00A452F2">
        <w:rPr>
          <w:lang w:val="en-GB"/>
        </w:rPr>
        <w:t xml:space="preserve">is </w:t>
      </w:r>
      <w:r w:rsidR="00654EA3">
        <w:rPr>
          <w:lang w:val="en-GB"/>
        </w:rPr>
        <w:t>imbalance</w:t>
      </w:r>
      <w:r w:rsidR="004B080F">
        <w:rPr>
          <w:lang w:val="en-GB"/>
        </w:rPr>
        <w:t xml:space="preserve">. </w:t>
      </w:r>
      <w:r w:rsidR="00F16A5F" w:rsidRPr="00A452F2">
        <w:rPr>
          <w:lang w:val="en-GB"/>
        </w:rPr>
        <w:t xml:space="preserve">Find out the cause of </w:t>
      </w:r>
      <w:r w:rsidR="00654EA3">
        <w:rPr>
          <w:lang w:val="en-GB"/>
        </w:rPr>
        <w:t>imbalance</w:t>
      </w:r>
      <w:r w:rsidR="00F16A5F" w:rsidRPr="00A452F2">
        <w:rPr>
          <w:lang w:val="en-GB"/>
        </w:rPr>
        <w:t xml:space="preserve"> and optimize it.</w:t>
      </w:r>
    </w:p>
    <w:p w14:paraId="4A035305" w14:textId="77777777" w:rsidR="00821344" w:rsidRDefault="00821344" w:rsidP="00821344">
      <w:pPr>
        <w:rPr>
          <w:lang w:val="en-GB"/>
        </w:rPr>
      </w:pPr>
      <w:r>
        <w:rPr>
          <w:lang w:val="en-GB"/>
        </w:rPr>
        <w:t>If you have the screen real estate, add the absolute utilization.</w:t>
      </w:r>
    </w:p>
    <w:p w14:paraId="0EDF7C42" w14:textId="7FD48102" w:rsidR="002F24C5" w:rsidRDefault="002F24C5" w:rsidP="00E7573A">
      <w:pPr>
        <w:pStyle w:val="Heading5"/>
      </w:pPr>
      <w:r>
        <w:lastRenderedPageBreak/>
        <w:t>Allocation</w:t>
      </w:r>
    </w:p>
    <w:p w14:paraId="3FF78128" w14:textId="3F07769B" w:rsidR="00F06E0A" w:rsidRDefault="00C36C63" w:rsidP="008B1FE5">
      <w:pPr>
        <w:rPr>
          <w:lang w:val="en-GB"/>
        </w:rPr>
      </w:pPr>
      <w:r>
        <w:rPr>
          <w:lang w:val="en-GB"/>
        </w:rPr>
        <w:t xml:space="preserve">Next is </w:t>
      </w:r>
      <w:r w:rsidR="00FD1729">
        <w:rPr>
          <w:lang w:val="en-GB"/>
        </w:rPr>
        <w:t>Allocation, as not all demand is real.</w:t>
      </w:r>
      <w:r w:rsidR="00A03F99" w:rsidRPr="00A03F99">
        <w:rPr>
          <w:lang w:val="en-GB"/>
        </w:rPr>
        <w:t xml:space="preserve"> </w:t>
      </w:r>
      <w:r w:rsidR="00F06E0A">
        <w:rPr>
          <w:lang w:val="en-GB"/>
        </w:rPr>
        <w:t>You need to use both models.</w:t>
      </w:r>
    </w:p>
    <w:p w14:paraId="5C736F09" w14:textId="76088587" w:rsidR="00C36C63" w:rsidRPr="00A452F2" w:rsidRDefault="00A03F99" w:rsidP="008B1FE5">
      <w:pPr>
        <w:rPr>
          <w:lang w:val="en-GB"/>
        </w:rPr>
      </w:pPr>
      <w:r w:rsidRPr="00A452F2">
        <w:rPr>
          <w:lang w:val="en-GB"/>
        </w:rPr>
        <w:t xml:space="preserve">Workload can be low, but is overcommit ratio high? Newly provisioned VMs tend to be idle for weeks, and suddenly grow. </w:t>
      </w:r>
    </w:p>
    <w:p w14:paraId="5883D81F" w14:textId="6DD8A330" w:rsidR="00337ECA" w:rsidRDefault="00B03253" w:rsidP="00FD1729">
      <w:pPr>
        <w:jc w:val="center"/>
        <w:rPr>
          <w:lang w:val="en-GB"/>
        </w:rPr>
      </w:pPr>
      <w:r w:rsidRPr="00B03253">
        <w:rPr>
          <w:noProof/>
          <w:lang w:val="en-GB"/>
        </w:rPr>
        <w:drawing>
          <wp:inline distT="0" distB="0" distL="0" distR="0" wp14:anchorId="151B45E5" wp14:editId="6FD43CC8">
            <wp:extent cx="4310130" cy="1113155"/>
            <wp:effectExtent l="0" t="0" r="0" b="0"/>
            <wp:docPr id="1709717396" name="Picture 1709717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6"/>
                    <a:stretch>
                      <a:fillRect/>
                    </a:stretch>
                  </pic:blipFill>
                  <pic:spPr>
                    <a:xfrm>
                      <a:off x="0" y="0"/>
                      <a:ext cx="4315220" cy="1114470"/>
                    </a:xfrm>
                    <a:prstGeom prst="rect">
                      <a:avLst/>
                    </a:prstGeom>
                  </pic:spPr>
                </pic:pic>
              </a:graphicData>
            </a:graphic>
          </wp:inline>
        </w:drawing>
      </w:r>
    </w:p>
    <w:p w14:paraId="2AF957C8" w14:textId="7C4D38E7" w:rsidR="002F24C5" w:rsidRDefault="002F24C5" w:rsidP="002F24C5">
      <w:pPr>
        <w:rPr>
          <w:lang w:val="en-GB"/>
        </w:rPr>
      </w:pPr>
      <w:r>
        <w:rPr>
          <w:lang w:val="en-GB"/>
        </w:rPr>
        <w:t xml:space="preserve">You </w:t>
      </w:r>
      <w:r w:rsidR="00207C4F">
        <w:rPr>
          <w:lang w:val="en-GB"/>
        </w:rPr>
        <w:t>can see the trend of the 3 components together on a chart</w:t>
      </w:r>
      <w:r w:rsidR="00B51E72">
        <w:rPr>
          <w:lang w:val="en-GB"/>
        </w:rPr>
        <w:t xml:space="preserve"> if that </w:t>
      </w:r>
      <w:r w:rsidR="0008231F">
        <w:rPr>
          <w:lang w:val="en-GB"/>
        </w:rPr>
        <w:t>is relevant to you. In general, your CPU overcommit should be the highest, followed by disk (due to thin provision)</w:t>
      </w:r>
      <w:r w:rsidR="00BB427A">
        <w:rPr>
          <w:lang w:val="en-GB"/>
        </w:rPr>
        <w:t>. Memory overcommit tends to be near 1 due to its nature as cache.</w:t>
      </w:r>
    </w:p>
    <w:p w14:paraId="398CE3EA" w14:textId="3B18531B" w:rsidR="00BC2B43" w:rsidRDefault="00BC2B43" w:rsidP="002F24C5">
      <w:pPr>
        <w:rPr>
          <w:lang w:val="en-GB"/>
        </w:rPr>
      </w:pPr>
      <w:r>
        <w:rPr>
          <w:lang w:val="en-GB"/>
        </w:rPr>
        <w:t xml:space="preserve">Use the </w:t>
      </w:r>
      <w:r w:rsidR="003B14EF">
        <w:rPr>
          <w:lang w:val="en-GB"/>
        </w:rPr>
        <w:t>line chart to see the trend. As usual, the data is averaged hourly so you can focus on the big picture.</w:t>
      </w:r>
    </w:p>
    <w:p w14:paraId="74ACFF8B" w14:textId="033FB5DA" w:rsidR="002F24C5" w:rsidRDefault="002F24C5" w:rsidP="00FD1729">
      <w:pPr>
        <w:jc w:val="center"/>
        <w:rPr>
          <w:lang w:val="en-GB"/>
        </w:rPr>
      </w:pPr>
      <w:r w:rsidRPr="002F24C5">
        <w:rPr>
          <w:noProof/>
          <w:lang w:val="en-GB"/>
        </w:rPr>
        <w:drawing>
          <wp:inline distT="0" distB="0" distL="0" distR="0" wp14:anchorId="08534B0C" wp14:editId="3C2CC529">
            <wp:extent cx="5323547" cy="2325555"/>
            <wp:effectExtent l="0" t="0" r="0" b="0"/>
            <wp:docPr id="1709717412" name="Picture 1709717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7"/>
                    <a:stretch>
                      <a:fillRect/>
                    </a:stretch>
                  </pic:blipFill>
                  <pic:spPr>
                    <a:xfrm>
                      <a:off x="0" y="0"/>
                      <a:ext cx="5329307" cy="2328071"/>
                    </a:xfrm>
                    <a:prstGeom prst="rect">
                      <a:avLst/>
                    </a:prstGeom>
                  </pic:spPr>
                </pic:pic>
              </a:graphicData>
            </a:graphic>
          </wp:inline>
        </w:drawing>
      </w:r>
    </w:p>
    <w:p w14:paraId="680CB6BA" w14:textId="2EA20977" w:rsidR="00815C64" w:rsidRDefault="00C867A7" w:rsidP="009C23C7">
      <w:pPr>
        <w:rPr>
          <w:lang w:val="en-GB"/>
        </w:rPr>
      </w:pPr>
      <w:r>
        <w:rPr>
          <w:lang w:val="en-GB"/>
        </w:rPr>
        <w:t xml:space="preserve">Next is the VM Count. </w:t>
      </w:r>
      <w:r w:rsidR="00BE35D7">
        <w:rPr>
          <w:lang w:val="en-GB"/>
        </w:rPr>
        <w:t>A trend line of number</w:t>
      </w:r>
      <w:r w:rsidRPr="00A452F2">
        <w:rPr>
          <w:lang w:val="en-GB"/>
        </w:rPr>
        <w:t xml:space="preserve"> of VM </w:t>
      </w:r>
      <w:r w:rsidR="00BE35D7">
        <w:rPr>
          <w:lang w:val="en-GB"/>
        </w:rPr>
        <w:t xml:space="preserve">over time is important </w:t>
      </w:r>
      <w:r w:rsidR="00944EF0">
        <w:rPr>
          <w:lang w:val="en-GB"/>
        </w:rPr>
        <w:t>to spot if there are many</w:t>
      </w:r>
      <w:r w:rsidRPr="00A452F2">
        <w:rPr>
          <w:lang w:val="en-GB"/>
        </w:rPr>
        <w:t xml:space="preserve"> newly provisioned </w:t>
      </w:r>
      <w:r w:rsidR="00944EF0">
        <w:rPr>
          <w:lang w:val="en-GB"/>
        </w:rPr>
        <w:t xml:space="preserve">VM. </w:t>
      </w:r>
      <w:r w:rsidRPr="00A452F2">
        <w:rPr>
          <w:lang w:val="en-GB"/>
        </w:rPr>
        <w:t>If you see VM growing but demand remains low, that's a sign of potential demand coming up in the future</w:t>
      </w:r>
      <w:r>
        <w:rPr>
          <w:lang w:val="en-GB"/>
        </w:rPr>
        <w:t>.</w:t>
      </w:r>
    </w:p>
    <w:p w14:paraId="49110580" w14:textId="66D0DB58" w:rsidR="00BB427A" w:rsidRDefault="00BB427A" w:rsidP="00FD1729">
      <w:pPr>
        <w:jc w:val="center"/>
        <w:rPr>
          <w:lang w:val="en-GB"/>
        </w:rPr>
      </w:pPr>
      <w:r w:rsidRPr="00BB427A">
        <w:rPr>
          <w:noProof/>
          <w:lang w:val="en-GB"/>
        </w:rPr>
        <w:drawing>
          <wp:inline distT="0" distB="0" distL="0" distR="0" wp14:anchorId="757BBE92" wp14:editId="1C947D27">
            <wp:extent cx="5161768" cy="2181890"/>
            <wp:effectExtent l="0" t="0" r="1270" b="8890"/>
            <wp:docPr id="1709717413" name="Picture 1709717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8"/>
                    <a:stretch>
                      <a:fillRect/>
                    </a:stretch>
                  </pic:blipFill>
                  <pic:spPr>
                    <a:xfrm>
                      <a:off x="0" y="0"/>
                      <a:ext cx="5163573" cy="2182653"/>
                    </a:xfrm>
                    <a:prstGeom prst="rect">
                      <a:avLst/>
                    </a:prstGeom>
                  </pic:spPr>
                </pic:pic>
              </a:graphicData>
            </a:graphic>
          </wp:inline>
        </w:drawing>
      </w:r>
    </w:p>
    <w:p w14:paraId="21F31B06" w14:textId="67EFA641" w:rsidR="00815C64" w:rsidRDefault="00C867A7" w:rsidP="00815C64">
      <w:pPr>
        <w:rPr>
          <w:lang w:val="en-GB"/>
        </w:rPr>
      </w:pPr>
      <w:r>
        <w:rPr>
          <w:lang w:val="en-GB"/>
        </w:rPr>
        <w:lastRenderedPageBreak/>
        <w:t xml:space="preserve">BTW, the overall VM:ESXi ratio is a common numbers cited to senior management. It’s </w:t>
      </w:r>
      <w:r w:rsidR="00E92F06">
        <w:rPr>
          <w:lang w:val="en-GB"/>
        </w:rPr>
        <w:t>often measured as efficiency proof.</w:t>
      </w:r>
    </w:p>
    <w:p w14:paraId="1B9A1E46" w14:textId="70D3474B" w:rsidR="0042731A" w:rsidRDefault="0042731A" w:rsidP="00E7573A">
      <w:pPr>
        <w:pStyle w:val="Heading5"/>
      </w:pPr>
      <w:r>
        <w:t>Reservation</w:t>
      </w:r>
    </w:p>
    <w:p w14:paraId="2181E908" w14:textId="11C8E68C" w:rsidR="00845BD1" w:rsidRDefault="00E56D13" w:rsidP="00845BD1">
      <w:pPr>
        <w:rPr>
          <w:lang w:val="en-GB"/>
        </w:rPr>
      </w:pPr>
      <w:r w:rsidRPr="00A452F2">
        <w:rPr>
          <w:lang w:val="en-GB"/>
        </w:rPr>
        <w:t xml:space="preserve">Reservation can impact the efficiency of your cluster. </w:t>
      </w:r>
      <w:r w:rsidR="00845BD1" w:rsidRPr="00A452F2">
        <w:rPr>
          <w:lang w:val="en-GB"/>
        </w:rPr>
        <w:t xml:space="preserve">Why is </w:t>
      </w:r>
      <w:r w:rsidR="00C52ADD">
        <w:rPr>
          <w:lang w:val="en-GB"/>
        </w:rPr>
        <w:t xml:space="preserve">the cluster </w:t>
      </w:r>
      <w:r w:rsidR="00845BD1" w:rsidRPr="00A452F2">
        <w:rPr>
          <w:lang w:val="en-GB"/>
        </w:rPr>
        <w:t>low on capacity? Is it because of real workload, or just reservation?</w:t>
      </w:r>
    </w:p>
    <w:p w14:paraId="395CE057" w14:textId="16DB39EB" w:rsidR="007C0AF4" w:rsidRDefault="007C0AF4" w:rsidP="00844D01">
      <w:pPr>
        <w:jc w:val="center"/>
        <w:rPr>
          <w:lang w:val="en-GB"/>
        </w:rPr>
      </w:pPr>
      <w:r w:rsidRPr="007C0AF4">
        <w:rPr>
          <w:noProof/>
          <w:lang w:val="en-GB"/>
        </w:rPr>
        <w:drawing>
          <wp:inline distT="0" distB="0" distL="0" distR="0" wp14:anchorId="7349A696" wp14:editId="0792110C">
            <wp:extent cx="3990156" cy="1010311"/>
            <wp:effectExtent l="0" t="0" r="0" b="0"/>
            <wp:docPr id="1709717414" name="Picture 1709717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9"/>
                    <a:stretch>
                      <a:fillRect/>
                    </a:stretch>
                  </pic:blipFill>
                  <pic:spPr>
                    <a:xfrm>
                      <a:off x="0" y="0"/>
                      <a:ext cx="3998406" cy="1012400"/>
                    </a:xfrm>
                    <a:prstGeom prst="rect">
                      <a:avLst/>
                    </a:prstGeom>
                  </pic:spPr>
                </pic:pic>
              </a:graphicData>
            </a:graphic>
          </wp:inline>
        </w:drawing>
      </w:r>
    </w:p>
    <w:p w14:paraId="1E35985B" w14:textId="77777777" w:rsidR="00E56D13" w:rsidRDefault="00E56D13" w:rsidP="00E56D13">
      <w:pPr>
        <w:rPr>
          <w:lang w:val="en-GB"/>
        </w:rPr>
      </w:pPr>
      <w:r w:rsidRPr="00A452F2">
        <w:rPr>
          <w:lang w:val="en-GB"/>
        </w:rPr>
        <w:t>If your cluster size varies, complement the reservation number by showing relative value.</w:t>
      </w:r>
      <w:r>
        <w:rPr>
          <w:lang w:val="en-GB"/>
        </w:rPr>
        <w:t xml:space="preserve"> Once you have a standardized number, you can visualize them on a heat map! This enhancement requires super metric, good practice! </w:t>
      </w:r>
      <w:r w:rsidRPr="00844D01">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5939FC76" w14:textId="39581511" w:rsidR="002E00A8" w:rsidRDefault="002E00A8" w:rsidP="00E7573A">
      <w:pPr>
        <w:pStyle w:val="Heading5"/>
      </w:pPr>
      <w:r>
        <w:t>Reclamation</w:t>
      </w:r>
    </w:p>
    <w:p w14:paraId="2F1724ED" w14:textId="451EAF6A" w:rsidR="002E00A8" w:rsidRPr="00E93A96" w:rsidRDefault="00845BD1" w:rsidP="00C36C63">
      <w:pPr>
        <w:rPr>
          <w:lang w:val="en-GB"/>
        </w:rPr>
      </w:pPr>
      <w:r>
        <w:rPr>
          <w:lang w:val="en-GB"/>
        </w:rPr>
        <w:t xml:space="preserve">As covered in the Capacity </w:t>
      </w:r>
      <w:r w:rsidR="00646BA8">
        <w:rPr>
          <w:lang w:val="en-GB"/>
        </w:rPr>
        <w:t xml:space="preserve">Management chapter, there </w:t>
      </w:r>
      <w:r w:rsidR="00524ADE">
        <w:rPr>
          <w:lang w:val="en-GB"/>
        </w:rPr>
        <w:t xml:space="preserve">are </w:t>
      </w:r>
      <w:r w:rsidR="00E828AA">
        <w:rPr>
          <w:lang w:val="en-GB"/>
        </w:rPr>
        <w:t>6</w:t>
      </w:r>
      <w:r w:rsidR="00524ADE">
        <w:rPr>
          <w:lang w:val="en-GB"/>
        </w:rPr>
        <w:t xml:space="preserve"> types of </w:t>
      </w:r>
      <w:r w:rsidR="00646BA8">
        <w:rPr>
          <w:lang w:val="en-GB"/>
        </w:rPr>
        <w:t>recl</w:t>
      </w:r>
      <w:r w:rsidR="00524ADE">
        <w:rPr>
          <w:lang w:val="en-GB"/>
        </w:rPr>
        <w:t>amation. Some of them are shown below.</w:t>
      </w:r>
    </w:p>
    <w:p w14:paraId="42E7AE25" w14:textId="46D5BFDB" w:rsidR="00C82F9E" w:rsidRDefault="00C82F9E" w:rsidP="00337ECA">
      <w:pPr>
        <w:rPr>
          <w:lang w:val="en-GB"/>
        </w:rPr>
      </w:pPr>
      <w:r w:rsidRPr="00C82F9E">
        <w:rPr>
          <w:noProof/>
          <w:lang w:val="en-GB"/>
        </w:rPr>
        <w:drawing>
          <wp:inline distT="0" distB="0" distL="0" distR="0" wp14:anchorId="19E6C186" wp14:editId="09A49E9A">
            <wp:extent cx="6645910" cy="845820"/>
            <wp:effectExtent l="0" t="0" r="2540" b="0"/>
            <wp:docPr id="1709717397" name="Picture 1709717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0"/>
                    <a:stretch>
                      <a:fillRect/>
                    </a:stretch>
                  </pic:blipFill>
                  <pic:spPr>
                    <a:xfrm>
                      <a:off x="0" y="0"/>
                      <a:ext cx="6645910" cy="845820"/>
                    </a:xfrm>
                    <a:prstGeom prst="rect">
                      <a:avLst/>
                    </a:prstGeom>
                  </pic:spPr>
                </pic:pic>
              </a:graphicData>
            </a:graphic>
          </wp:inline>
        </w:drawing>
      </w:r>
    </w:p>
    <w:p w14:paraId="40C49B20" w14:textId="3929227F" w:rsidR="00524ADE" w:rsidRPr="00A452F2" w:rsidRDefault="00524ADE" w:rsidP="00337ECA">
      <w:pPr>
        <w:rPr>
          <w:lang w:val="en-GB"/>
        </w:rPr>
      </w:pPr>
      <w:r>
        <w:rPr>
          <w:lang w:val="en-GB"/>
        </w:rPr>
        <w:t>If it’s relevant to you</w:t>
      </w:r>
      <w:r w:rsidR="00AF7B67">
        <w:rPr>
          <w:lang w:val="en-GB"/>
        </w:rPr>
        <w:t>r environment, add the number of undersized CPU and undersized memory</w:t>
      </w:r>
      <w:r w:rsidR="00E4254C">
        <w:rPr>
          <w:lang w:val="en-GB"/>
        </w:rPr>
        <w:t xml:space="preserve">. </w:t>
      </w:r>
    </w:p>
    <w:p w14:paraId="6CC52B34" w14:textId="2779DAFC" w:rsidR="00AF7B67" w:rsidRPr="00AF7B67" w:rsidRDefault="00BE5190" w:rsidP="00AC6E1E">
      <w:pPr>
        <w:pStyle w:val="Heading4"/>
      </w:pPr>
      <w:r>
        <w:t>ESXi Analysis</w:t>
      </w:r>
    </w:p>
    <w:p w14:paraId="4C4679FB" w14:textId="4533C882" w:rsidR="00F60FFA" w:rsidRDefault="00F60FFA" w:rsidP="00337ECA">
      <w:pPr>
        <w:rPr>
          <w:lang w:val="en-GB"/>
        </w:rPr>
      </w:pPr>
      <w:r>
        <w:rPr>
          <w:lang w:val="en-GB"/>
        </w:rPr>
        <w:t xml:space="preserve">Just because the cluster capacity is good, does not mean there is no issue at ESXi level. </w:t>
      </w:r>
      <w:r w:rsidR="00654EA3">
        <w:rPr>
          <w:lang w:val="en-GB"/>
        </w:rPr>
        <w:t>Imbalance</w:t>
      </w:r>
      <w:r w:rsidR="00FE6B95">
        <w:rPr>
          <w:lang w:val="en-GB"/>
        </w:rPr>
        <w:t xml:space="preserve"> is common issue, especially in large cluster and stretched cluster.</w:t>
      </w:r>
    </w:p>
    <w:p w14:paraId="4B737420" w14:textId="09F5EFC6" w:rsidR="00FE6B95" w:rsidRDefault="00FE6B95" w:rsidP="00337ECA">
      <w:pPr>
        <w:rPr>
          <w:lang w:val="en-GB"/>
        </w:rPr>
      </w:pPr>
      <w:r>
        <w:rPr>
          <w:lang w:val="en-GB"/>
        </w:rPr>
        <w:t>The following table shows all the member ESXi</w:t>
      </w:r>
      <w:r w:rsidR="00A47E96">
        <w:rPr>
          <w:lang w:val="en-GB"/>
        </w:rPr>
        <w:t xml:space="preserve">. You can see the </w:t>
      </w:r>
      <w:r w:rsidR="00654EA3">
        <w:rPr>
          <w:lang w:val="en-GB"/>
        </w:rPr>
        <w:t>imbalance</w:t>
      </w:r>
      <w:r w:rsidR="00A47E96">
        <w:rPr>
          <w:lang w:val="en-GB"/>
        </w:rPr>
        <w:t xml:space="preserve"> clearly</w:t>
      </w:r>
      <w:r w:rsidR="00A67DAB">
        <w:rPr>
          <w:lang w:val="en-GB"/>
        </w:rPr>
        <w:t>, thanks to the color code.</w:t>
      </w:r>
    </w:p>
    <w:p w14:paraId="0D464F04" w14:textId="16C8BBDD" w:rsidR="00646D87" w:rsidRPr="00A452F2" w:rsidRDefault="003A0436" w:rsidP="003A0436">
      <w:pPr>
        <w:jc w:val="center"/>
        <w:rPr>
          <w:lang w:val="en-GB"/>
        </w:rPr>
      </w:pPr>
      <w:r w:rsidRPr="003A0436">
        <w:rPr>
          <w:noProof/>
          <w:lang w:val="en-GB"/>
        </w:rPr>
        <w:lastRenderedPageBreak/>
        <w:drawing>
          <wp:inline distT="0" distB="0" distL="0" distR="0" wp14:anchorId="2DDBDAD6" wp14:editId="0B6537FD">
            <wp:extent cx="3990445" cy="2416152"/>
            <wp:effectExtent l="0" t="0" r="0" b="3810"/>
            <wp:docPr id="1583707933" name="Picture 1583707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1"/>
                    <a:stretch>
                      <a:fillRect/>
                    </a:stretch>
                  </pic:blipFill>
                  <pic:spPr>
                    <a:xfrm>
                      <a:off x="0" y="0"/>
                      <a:ext cx="4001399" cy="2422785"/>
                    </a:xfrm>
                    <a:prstGeom prst="rect">
                      <a:avLst/>
                    </a:prstGeom>
                  </pic:spPr>
                </pic:pic>
              </a:graphicData>
            </a:graphic>
          </wp:inline>
        </w:drawing>
      </w:r>
    </w:p>
    <w:p w14:paraId="2DF98A95" w14:textId="7C7E61D1" w:rsidR="00A47E96" w:rsidRPr="00A452F2" w:rsidRDefault="00A47E96" w:rsidP="00A47E96">
      <w:pPr>
        <w:rPr>
          <w:lang w:val="en-GB"/>
        </w:rPr>
      </w:pPr>
      <w:r w:rsidRPr="00A452F2">
        <w:rPr>
          <w:lang w:val="en-GB"/>
        </w:rPr>
        <w:t>The 99</w:t>
      </w:r>
      <w:r w:rsidRPr="00A452F2">
        <w:rPr>
          <w:vertAlign w:val="superscript"/>
          <w:lang w:val="en-GB"/>
        </w:rPr>
        <w:t>th</w:t>
      </w:r>
      <w:r>
        <w:rPr>
          <w:lang w:val="en-GB"/>
        </w:rPr>
        <w:t xml:space="preserve"> percentile</w:t>
      </w:r>
      <w:r w:rsidRPr="00A452F2">
        <w:rPr>
          <w:lang w:val="en-GB"/>
        </w:rPr>
        <w:t xml:space="preserve"> Performance column takes the 99</w:t>
      </w:r>
      <w:r w:rsidRPr="00A452F2">
        <w:rPr>
          <w:vertAlign w:val="superscript"/>
          <w:lang w:val="en-GB"/>
        </w:rPr>
        <w:t>th</w:t>
      </w:r>
      <w:r>
        <w:rPr>
          <w:lang w:val="en-GB"/>
        </w:rPr>
        <w:t xml:space="preserve"> percentile</w:t>
      </w:r>
      <w:r w:rsidRPr="00A452F2">
        <w:rPr>
          <w:lang w:val="en-GB"/>
        </w:rPr>
        <w:t xml:space="preserve"> value of the ESXi Performance (%) metric. The reason we’re not taking the worst performance (which is equivalent to 100</w:t>
      </w:r>
      <w:r w:rsidRPr="00A452F2">
        <w:rPr>
          <w:vertAlign w:val="superscript"/>
          <w:lang w:val="en-GB"/>
        </w:rPr>
        <w:t>th</w:t>
      </w:r>
      <w:r>
        <w:rPr>
          <w:lang w:val="en-GB"/>
        </w:rPr>
        <w:t>percentile</w:t>
      </w:r>
      <w:r w:rsidRPr="00A452F2">
        <w:rPr>
          <w:lang w:val="en-GB"/>
        </w:rPr>
        <w:t>) is to rule out outlier. In addition, the performance threshold has been set to be stringent.</w:t>
      </w:r>
      <w:r w:rsidR="009D1A5E">
        <w:rPr>
          <w:lang w:val="en-GB"/>
        </w:rPr>
        <w:t xml:space="preserve"> </w:t>
      </w:r>
    </w:p>
    <w:p w14:paraId="66BF8833" w14:textId="6B7C0D58" w:rsidR="00702F3C" w:rsidRDefault="00A47E96" w:rsidP="00F6120D">
      <w:pPr>
        <w:rPr>
          <w:lang w:val="en-GB"/>
        </w:rPr>
      </w:pPr>
      <w:r w:rsidRPr="00A452F2">
        <w:rPr>
          <w:lang w:val="en-GB"/>
        </w:rPr>
        <w:t>Select one of the ESXi</w:t>
      </w:r>
      <w:r>
        <w:rPr>
          <w:lang w:val="en-GB"/>
        </w:rPr>
        <w:t>. All its detail will be automatically shown</w:t>
      </w:r>
      <w:r w:rsidR="009D1A5E">
        <w:rPr>
          <w:lang w:val="en-GB"/>
        </w:rPr>
        <w:t>.</w:t>
      </w:r>
    </w:p>
    <w:p w14:paraId="1463B1B6" w14:textId="25C6ABFF" w:rsidR="00A67534" w:rsidRDefault="00A67534" w:rsidP="00F6120D">
      <w:pPr>
        <w:rPr>
          <w:lang w:val="en-GB"/>
        </w:rPr>
      </w:pPr>
      <w:r w:rsidRPr="00A67534">
        <w:rPr>
          <w:noProof/>
          <w:lang w:val="en-GB"/>
        </w:rPr>
        <w:drawing>
          <wp:inline distT="0" distB="0" distL="0" distR="0" wp14:anchorId="0D61CC22" wp14:editId="4521A7AC">
            <wp:extent cx="3220278" cy="1938496"/>
            <wp:effectExtent l="0" t="0" r="0" b="5080"/>
            <wp:docPr id="1709717398" name="Picture 1709717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2"/>
                    <a:stretch>
                      <a:fillRect/>
                    </a:stretch>
                  </pic:blipFill>
                  <pic:spPr>
                    <a:xfrm>
                      <a:off x="0" y="0"/>
                      <a:ext cx="3234352" cy="1946968"/>
                    </a:xfrm>
                    <a:prstGeom prst="rect">
                      <a:avLst/>
                    </a:prstGeom>
                  </pic:spPr>
                </pic:pic>
              </a:graphicData>
            </a:graphic>
          </wp:inline>
        </w:drawing>
      </w:r>
      <w:r w:rsidR="00730781" w:rsidRPr="00730781">
        <w:rPr>
          <w:noProof/>
        </w:rPr>
        <w:t xml:space="preserve"> </w:t>
      </w:r>
      <w:r w:rsidR="00730781" w:rsidRPr="00730781">
        <w:rPr>
          <w:noProof/>
          <w:lang w:val="en-GB"/>
        </w:rPr>
        <w:drawing>
          <wp:inline distT="0" distB="0" distL="0" distR="0" wp14:anchorId="227FEA4C" wp14:editId="372A4541">
            <wp:extent cx="3339992" cy="1961322"/>
            <wp:effectExtent l="0" t="0" r="0" b="1270"/>
            <wp:docPr id="1709717399" name="Picture 1709717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3"/>
                    <a:stretch>
                      <a:fillRect/>
                    </a:stretch>
                  </pic:blipFill>
                  <pic:spPr>
                    <a:xfrm>
                      <a:off x="0" y="0"/>
                      <a:ext cx="3348715" cy="1966444"/>
                    </a:xfrm>
                    <a:prstGeom prst="rect">
                      <a:avLst/>
                    </a:prstGeom>
                  </pic:spPr>
                </pic:pic>
              </a:graphicData>
            </a:graphic>
          </wp:inline>
        </w:drawing>
      </w:r>
    </w:p>
    <w:p w14:paraId="7E3910CF" w14:textId="374C9476" w:rsidR="00D74720" w:rsidRDefault="00144018" w:rsidP="00D74720">
      <w:pPr>
        <w:rPr>
          <w:lang w:val="en-GB"/>
        </w:rPr>
      </w:pPr>
      <w:r>
        <w:rPr>
          <w:lang w:val="en-GB"/>
        </w:rPr>
        <w:t xml:space="preserve">Both CPU and memory trend </w:t>
      </w:r>
      <w:r w:rsidR="006B19DC" w:rsidRPr="00A452F2">
        <w:rPr>
          <w:lang w:val="en-GB"/>
        </w:rPr>
        <w:t xml:space="preserve">line charts </w:t>
      </w:r>
      <w:r w:rsidR="002959FD">
        <w:rPr>
          <w:lang w:val="en-GB"/>
        </w:rPr>
        <w:t>show if it’s steady demand, cyclical demand, rising demand, or declining demand.</w:t>
      </w:r>
      <w:r w:rsidR="00196B59">
        <w:rPr>
          <w:lang w:val="en-GB"/>
        </w:rPr>
        <w:t xml:space="preserve"> </w:t>
      </w:r>
      <w:r w:rsidR="001E1233">
        <w:rPr>
          <w:lang w:val="en-GB"/>
        </w:rPr>
        <w:t xml:space="preserve">The trend is as important as the present value. </w:t>
      </w:r>
      <w:r w:rsidR="00196B59">
        <w:rPr>
          <w:lang w:val="en-GB"/>
        </w:rPr>
        <w:t xml:space="preserve">To see trend, you need to see over longer time. </w:t>
      </w:r>
      <w:r w:rsidR="00D74720" w:rsidRPr="00A452F2">
        <w:rPr>
          <w:lang w:val="en-GB"/>
        </w:rPr>
        <w:t xml:space="preserve">Utilization </w:t>
      </w:r>
      <w:r w:rsidR="00196B59">
        <w:rPr>
          <w:lang w:val="en-GB"/>
        </w:rPr>
        <w:t xml:space="preserve">is </w:t>
      </w:r>
      <w:r w:rsidR="00D74720" w:rsidRPr="00A452F2">
        <w:rPr>
          <w:lang w:val="en-GB"/>
        </w:rPr>
        <w:t xml:space="preserve">displayed for three months and not one week. The daily average is displayed and not the hourly average and the focus is on memory consumed and not memory active. Note that memory consumed includes the total memory consumed, so it includes memory consumed by </w:t>
      </w:r>
      <w:r w:rsidR="00FD5A65">
        <w:rPr>
          <w:lang w:val="en-GB"/>
        </w:rPr>
        <w:t>VMkernel</w:t>
      </w:r>
      <w:r w:rsidR="00D74720" w:rsidRPr="00A452F2">
        <w:rPr>
          <w:lang w:val="en-GB"/>
        </w:rPr>
        <w:t>.</w:t>
      </w:r>
    </w:p>
    <w:p w14:paraId="22C1C39B" w14:textId="5460C0C7" w:rsidR="00A66954" w:rsidRPr="00A452F2" w:rsidRDefault="00475211" w:rsidP="00144018">
      <w:pPr>
        <w:rPr>
          <w:lang w:val="en-GB"/>
        </w:rPr>
      </w:pPr>
      <w:r w:rsidRPr="00A452F2">
        <w:rPr>
          <w:lang w:val="en-GB"/>
        </w:rPr>
        <w:t>B</w:t>
      </w:r>
      <w:r w:rsidR="004E4D0C" w:rsidRPr="00A452F2">
        <w:rPr>
          <w:lang w:val="en-GB"/>
        </w:rPr>
        <w:t xml:space="preserve">oth total and usable utilization in terms of </w:t>
      </w:r>
      <w:r w:rsidR="003C2B34" w:rsidRPr="00A452F2">
        <w:rPr>
          <w:lang w:val="en-GB"/>
        </w:rPr>
        <w:t>memory</w:t>
      </w:r>
      <w:r w:rsidR="004E4D0C" w:rsidRPr="00A452F2">
        <w:rPr>
          <w:lang w:val="en-GB"/>
        </w:rPr>
        <w:t xml:space="preserve"> and CPU</w:t>
      </w:r>
      <w:r w:rsidRPr="00A452F2">
        <w:rPr>
          <w:lang w:val="en-GB"/>
        </w:rPr>
        <w:t xml:space="preserve"> are displayed</w:t>
      </w:r>
      <w:r w:rsidR="00D74720">
        <w:rPr>
          <w:lang w:val="en-GB"/>
        </w:rPr>
        <w:t xml:space="preserve">. This gives you the absolute amount of capacity. </w:t>
      </w:r>
    </w:p>
    <w:p w14:paraId="25312AAC" w14:textId="3FD31DFC" w:rsidR="007F6AFF" w:rsidRDefault="007F6AFF" w:rsidP="00144018">
      <w:pPr>
        <w:rPr>
          <w:lang w:val="en-GB"/>
        </w:rPr>
      </w:pPr>
      <w:r w:rsidRPr="00A452F2">
        <w:rPr>
          <w:lang w:val="en-GB"/>
        </w:rPr>
        <w:t xml:space="preserve">A technology refresh is often used to address capacity shortage. </w:t>
      </w:r>
      <w:r w:rsidR="00196B59">
        <w:rPr>
          <w:lang w:val="en-GB"/>
        </w:rPr>
        <w:t xml:space="preserve">The relevant configuration </w:t>
      </w:r>
      <w:r w:rsidRPr="00A452F2">
        <w:rPr>
          <w:lang w:val="en-GB"/>
        </w:rPr>
        <w:t xml:space="preserve">shows the hardware model and specification to help you determine the age of the hardware. </w:t>
      </w:r>
    </w:p>
    <w:p w14:paraId="7D20D3D7" w14:textId="511F0C71" w:rsidR="009E2F56" w:rsidRDefault="009E2F56" w:rsidP="00AC6E1E">
      <w:pPr>
        <w:pStyle w:val="Heading4"/>
      </w:pPr>
      <w:r>
        <w:lastRenderedPageBreak/>
        <w:t>VM Analysis</w:t>
      </w:r>
    </w:p>
    <w:p w14:paraId="538F8A4C" w14:textId="671C1732" w:rsidR="00B901F7" w:rsidRDefault="00F94375" w:rsidP="00B901F7">
      <w:pPr>
        <w:rPr>
          <w:lang w:val="en-GB"/>
        </w:rPr>
      </w:pPr>
      <w:r>
        <w:rPr>
          <w:lang w:val="en-GB"/>
        </w:rPr>
        <w:t xml:space="preserve">What’s causing the low capacity remaining? Which VMs are impacting </w:t>
      </w:r>
      <w:r w:rsidR="00C43DB4">
        <w:rPr>
          <w:lang w:val="en-GB"/>
        </w:rPr>
        <w:t>what infrastructure resource (</w:t>
      </w:r>
      <w:r w:rsidR="00033E32">
        <w:rPr>
          <w:lang w:val="en-GB"/>
        </w:rPr>
        <w:t>CPU, memory, disk space</w:t>
      </w:r>
      <w:r w:rsidR="00C43DB4">
        <w:rPr>
          <w:lang w:val="en-GB"/>
        </w:rPr>
        <w:t>)</w:t>
      </w:r>
      <w:r w:rsidR="00033E32">
        <w:rPr>
          <w:lang w:val="en-GB"/>
        </w:rPr>
        <w:t>?</w:t>
      </w:r>
    </w:p>
    <w:p w14:paraId="3CEE50ED" w14:textId="4DD08EA7" w:rsidR="00033E32" w:rsidRPr="00B901F7" w:rsidRDefault="00033E32" w:rsidP="00B901F7">
      <w:pPr>
        <w:rPr>
          <w:lang w:val="en-GB"/>
        </w:rPr>
      </w:pPr>
      <w:r>
        <w:rPr>
          <w:lang w:val="en-GB"/>
        </w:rPr>
        <w:t>Use the following table to analyse</w:t>
      </w:r>
      <w:r w:rsidR="00172542">
        <w:rPr>
          <w:lang w:val="en-GB"/>
        </w:rPr>
        <w:t xml:space="preserve">. It lists either the VMs in the cluster or host. </w:t>
      </w:r>
    </w:p>
    <w:p w14:paraId="562DAB59" w14:textId="3F7A3EF1" w:rsidR="009E2F56" w:rsidRDefault="009E2F56" w:rsidP="00172542">
      <w:pPr>
        <w:jc w:val="center"/>
        <w:rPr>
          <w:lang w:val="en-GB"/>
        </w:rPr>
      </w:pPr>
      <w:r w:rsidRPr="009E2F56">
        <w:rPr>
          <w:noProof/>
          <w:lang w:val="en-GB"/>
        </w:rPr>
        <w:drawing>
          <wp:inline distT="0" distB="0" distL="0" distR="0" wp14:anchorId="665ABA2A" wp14:editId="6BAFAB4C">
            <wp:extent cx="5651997" cy="1487794"/>
            <wp:effectExtent l="0" t="0" r="6350" b="0"/>
            <wp:docPr id="1709717400" name="Picture 1709717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4"/>
                    <a:stretch>
                      <a:fillRect/>
                    </a:stretch>
                  </pic:blipFill>
                  <pic:spPr>
                    <a:xfrm>
                      <a:off x="0" y="0"/>
                      <a:ext cx="5655794" cy="1488793"/>
                    </a:xfrm>
                    <a:prstGeom prst="rect">
                      <a:avLst/>
                    </a:prstGeom>
                  </pic:spPr>
                </pic:pic>
              </a:graphicData>
            </a:graphic>
          </wp:inline>
        </w:drawing>
      </w:r>
    </w:p>
    <w:p w14:paraId="4FCD83AF" w14:textId="4DF15B03" w:rsidR="00172542" w:rsidRDefault="00475B25" w:rsidP="009E2F56">
      <w:pPr>
        <w:rPr>
          <w:lang w:val="en-GB"/>
        </w:rPr>
      </w:pPr>
      <w:r>
        <w:rPr>
          <w:lang w:val="en-GB"/>
        </w:rPr>
        <w:t>You can se</w:t>
      </w:r>
      <w:r w:rsidR="00E77F11">
        <w:rPr>
          <w:lang w:val="en-GB"/>
        </w:rPr>
        <w:t>lect one of the VM, and additional relevant information will be shown.</w:t>
      </w:r>
    </w:p>
    <w:p w14:paraId="3F3D660B" w14:textId="289142F7" w:rsidR="007D070A" w:rsidRDefault="007D070A" w:rsidP="009E2F56">
      <w:pPr>
        <w:rPr>
          <w:lang w:val="en-GB"/>
        </w:rPr>
      </w:pPr>
      <w:r>
        <w:rPr>
          <w:lang w:val="en-GB"/>
        </w:rPr>
        <w:t xml:space="preserve">You can </w:t>
      </w:r>
      <w:r w:rsidR="00653345">
        <w:rPr>
          <w:lang w:val="en-GB"/>
        </w:rPr>
        <w:t xml:space="preserve">enhance this by using 2 heat maps, one for CPU and one for memory. Shows all the VM, sized by configured and color by capacity remaining. </w:t>
      </w:r>
      <w:r w:rsidR="00052F28">
        <w:rPr>
          <w:lang w:val="en-GB"/>
        </w:rPr>
        <w:t xml:space="preserve">If you see many large VMs running low on capacity, that means </w:t>
      </w:r>
      <w:r w:rsidR="000623CA">
        <w:rPr>
          <w:lang w:val="en-GB"/>
        </w:rPr>
        <w:t>you should stop provisioning until you upsize existing VMs first.</w:t>
      </w:r>
    </w:p>
    <w:p w14:paraId="6198ADA7" w14:textId="755F7024" w:rsidR="00980A9F" w:rsidRPr="00A452F2" w:rsidRDefault="00980A9F" w:rsidP="00540F68">
      <w:pPr>
        <w:pStyle w:val="Heading3"/>
      </w:pPr>
      <w:r w:rsidRPr="00A452F2">
        <w:t>Datastore Capacity</w:t>
      </w:r>
    </w:p>
    <w:p w14:paraId="6072368A" w14:textId="4B39DB36" w:rsidR="003E3ABC" w:rsidRPr="00A452F2" w:rsidRDefault="003E3ABC" w:rsidP="00F6120D">
      <w:pPr>
        <w:rPr>
          <w:lang w:val="en-GB"/>
        </w:rPr>
      </w:pPr>
      <w:r w:rsidRPr="00A452F2">
        <w:rPr>
          <w:lang w:val="en-GB"/>
        </w:rPr>
        <w:t xml:space="preserve">This dashboard complements out of the box </w:t>
      </w:r>
      <w:r w:rsidR="00003A89">
        <w:rPr>
          <w:lang w:val="en-GB"/>
        </w:rPr>
        <w:t xml:space="preserve">capacity </w:t>
      </w:r>
      <w:r w:rsidRPr="00A452F2">
        <w:rPr>
          <w:lang w:val="en-GB"/>
        </w:rPr>
        <w:t xml:space="preserve">pages </w:t>
      </w:r>
      <w:r w:rsidR="00003A89">
        <w:rPr>
          <w:lang w:val="en-GB"/>
        </w:rPr>
        <w:t>and dashboard</w:t>
      </w:r>
      <w:r w:rsidR="000A326C">
        <w:rPr>
          <w:lang w:val="en-GB"/>
        </w:rPr>
        <w:t xml:space="preserve">. It focuses on storage, provides overall picture, and </w:t>
      </w:r>
      <w:r w:rsidRPr="00A452F2">
        <w:rPr>
          <w:lang w:val="en-GB"/>
        </w:rPr>
        <w:t>highlight</w:t>
      </w:r>
      <w:r w:rsidR="000A326C">
        <w:rPr>
          <w:lang w:val="en-GB"/>
        </w:rPr>
        <w:t>s</w:t>
      </w:r>
      <w:r w:rsidRPr="00A452F2">
        <w:rPr>
          <w:lang w:val="en-GB"/>
        </w:rPr>
        <w:t xml:space="preserve"> the datastores that need attention. ​ </w:t>
      </w:r>
    </w:p>
    <w:p w14:paraId="28064BDD" w14:textId="3F6BD1BC" w:rsidR="00E70D0E" w:rsidRDefault="00E70D0E" w:rsidP="00AC6E1E">
      <w:pPr>
        <w:pStyle w:val="Heading4"/>
      </w:pPr>
      <w:r>
        <w:t>Overall Analysis</w:t>
      </w:r>
    </w:p>
    <w:p w14:paraId="3264B4BF" w14:textId="5885FDDE" w:rsidR="006D533D" w:rsidRDefault="006D533D" w:rsidP="000A326C">
      <w:pPr>
        <w:rPr>
          <w:lang w:val="en-GB"/>
        </w:rPr>
      </w:pPr>
      <w:r>
        <w:rPr>
          <w:lang w:val="en-GB"/>
        </w:rPr>
        <w:t>“</w:t>
      </w:r>
      <w:r w:rsidR="00CE2A72">
        <w:rPr>
          <w:lang w:val="en-GB"/>
        </w:rPr>
        <w:t>What do I have</w:t>
      </w:r>
      <w:r>
        <w:rPr>
          <w:lang w:val="en-GB"/>
        </w:rPr>
        <w:t xml:space="preserve"> in terms of capacity</w:t>
      </w:r>
      <w:r w:rsidR="00CE2A72">
        <w:rPr>
          <w:lang w:val="en-GB"/>
        </w:rPr>
        <w:t>?</w:t>
      </w:r>
      <w:r>
        <w:rPr>
          <w:lang w:val="en-GB"/>
        </w:rPr>
        <w:t>”</w:t>
      </w:r>
      <w:r w:rsidR="00CE2A72">
        <w:rPr>
          <w:lang w:val="en-GB"/>
        </w:rPr>
        <w:t xml:space="preserve"> </w:t>
      </w:r>
    </w:p>
    <w:p w14:paraId="2659DD9D" w14:textId="4BCA7E86" w:rsidR="000A326C" w:rsidRPr="000A326C" w:rsidRDefault="00CE2A72" w:rsidP="000A326C">
      <w:pPr>
        <w:rPr>
          <w:lang w:val="en-GB"/>
        </w:rPr>
      </w:pPr>
      <w:r>
        <w:rPr>
          <w:lang w:val="en-GB"/>
        </w:rPr>
        <w:t>The summary banner answer basic questions like this</w:t>
      </w:r>
      <w:r w:rsidR="00D83E30">
        <w:rPr>
          <w:lang w:val="en-GB"/>
        </w:rPr>
        <w:t xml:space="preserve">. </w:t>
      </w:r>
    </w:p>
    <w:p w14:paraId="38130AE3" w14:textId="2BD2083C" w:rsidR="00E70D0E" w:rsidRDefault="00E70D0E" w:rsidP="00F6120D">
      <w:pPr>
        <w:rPr>
          <w:lang w:val="en-GB"/>
        </w:rPr>
      </w:pPr>
      <w:r w:rsidRPr="00E70D0E">
        <w:rPr>
          <w:noProof/>
          <w:lang w:val="en-GB"/>
        </w:rPr>
        <w:drawing>
          <wp:inline distT="0" distB="0" distL="0" distR="0" wp14:anchorId="13094E31" wp14:editId="4D4B76E6">
            <wp:extent cx="6645910" cy="563880"/>
            <wp:effectExtent l="0" t="0" r="2540" b="7620"/>
            <wp:docPr id="1709717384" name="Picture 1709717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5"/>
                    <a:stretch>
                      <a:fillRect/>
                    </a:stretch>
                  </pic:blipFill>
                  <pic:spPr>
                    <a:xfrm>
                      <a:off x="0" y="0"/>
                      <a:ext cx="6645910" cy="563880"/>
                    </a:xfrm>
                    <a:prstGeom prst="rect">
                      <a:avLst/>
                    </a:prstGeom>
                  </pic:spPr>
                </pic:pic>
              </a:graphicData>
            </a:graphic>
          </wp:inline>
        </w:drawing>
      </w:r>
    </w:p>
    <w:p w14:paraId="3392A02B" w14:textId="0C51AF65" w:rsidR="00D83E30" w:rsidRPr="00A452F2" w:rsidRDefault="00237F08" w:rsidP="00F6120D">
      <w:pPr>
        <w:rPr>
          <w:lang w:val="en-GB"/>
        </w:rPr>
      </w:pPr>
      <w:r>
        <w:rPr>
          <w:lang w:val="en-GB"/>
        </w:rPr>
        <w:lastRenderedPageBreak/>
        <w:t xml:space="preserve">If required, customize it. I keep it simple as you don’t actually have 1 contiguous storage pool. </w:t>
      </w:r>
      <w:r w:rsidR="00EE6624">
        <w:rPr>
          <w:lang w:val="en-GB"/>
        </w:rPr>
        <w:t>Just because you have 100 TB available in South Pole DC does not mean your servers in North Pole DC can use it</w:t>
      </w:r>
      <w:r w:rsidR="00C94835">
        <w:rPr>
          <w:lang w:val="en-GB"/>
        </w:rPr>
        <w:t>, unless you tunnel dark fibre over earth core.</w:t>
      </w:r>
    </w:p>
    <w:p w14:paraId="3B61B5E8" w14:textId="38758DA5" w:rsidR="00E21AB8" w:rsidRDefault="00252917" w:rsidP="00F6120D">
      <w:pPr>
        <w:rPr>
          <w:lang w:val="en-GB"/>
        </w:rPr>
      </w:pPr>
      <w:r>
        <w:rPr>
          <w:lang w:val="en-GB"/>
        </w:rPr>
        <w:t xml:space="preserve">Next is the distribution chart. </w:t>
      </w:r>
      <w:r w:rsidR="00BF4273">
        <w:rPr>
          <w:lang w:val="en-GB"/>
        </w:rPr>
        <w:t>Do they look familiar?</w:t>
      </w:r>
    </w:p>
    <w:p w14:paraId="6FA7BD34" w14:textId="40A90226" w:rsidR="00C65CFC" w:rsidRPr="00A452F2" w:rsidRDefault="3487113A" w:rsidP="00F6120D">
      <w:pPr>
        <w:rPr>
          <w:lang w:val="en-GB"/>
        </w:rPr>
      </w:pPr>
      <w:r>
        <w:rPr>
          <w:noProof/>
        </w:rPr>
        <w:drawing>
          <wp:inline distT="0" distB="0" distL="0" distR="0" wp14:anchorId="2EC45382" wp14:editId="631D2BCC">
            <wp:extent cx="6645910" cy="1068705"/>
            <wp:effectExtent l="0" t="0" r="2540" b="0"/>
            <wp:docPr id="606394270" name="Picture 606394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70"/>
                    <pic:cNvPicPr/>
                  </pic:nvPicPr>
                  <pic:blipFill>
                    <a:blip r:embed="rId1136">
                      <a:extLst>
                        <a:ext uri="{28A0092B-C50C-407E-A947-70E740481C1C}">
                          <a14:useLocalDpi xmlns:a14="http://schemas.microsoft.com/office/drawing/2010/main" val="0"/>
                        </a:ext>
                      </a:extLst>
                    </a:blip>
                    <a:stretch>
                      <a:fillRect/>
                    </a:stretch>
                  </pic:blipFill>
                  <pic:spPr>
                    <a:xfrm>
                      <a:off x="0" y="0"/>
                      <a:ext cx="6645910" cy="1068705"/>
                    </a:xfrm>
                    <a:prstGeom prst="rect">
                      <a:avLst/>
                    </a:prstGeom>
                  </pic:spPr>
                </pic:pic>
              </a:graphicData>
            </a:graphic>
          </wp:inline>
        </w:drawing>
      </w:r>
    </w:p>
    <w:p w14:paraId="40FA94F3" w14:textId="76734483" w:rsidR="00252917" w:rsidRDefault="00252917" w:rsidP="00241A5C">
      <w:pPr>
        <w:rPr>
          <w:lang w:val="en-GB"/>
        </w:rPr>
      </w:pPr>
      <w:r>
        <w:rPr>
          <w:lang w:val="en-GB"/>
        </w:rPr>
        <w:t>It’s intentionally designed to be consistent with the Cluster Capacity dashboard.</w:t>
      </w:r>
    </w:p>
    <w:p w14:paraId="6F032717" w14:textId="5A3A854C" w:rsidR="009D0024" w:rsidRPr="00A452F2" w:rsidRDefault="00252917" w:rsidP="00241A5C">
      <w:pPr>
        <w:rPr>
          <w:lang w:val="en-GB"/>
        </w:rPr>
      </w:pPr>
      <w:r>
        <w:rPr>
          <w:lang w:val="en-GB"/>
        </w:rPr>
        <w:t>As you can expect</w:t>
      </w:r>
      <w:r w:rsidR="00C94835">
        <w:rPr>
          <w:lang w:val="en-GB"/>
        </w:rPr>
        <w:t xml:space="preserve"> by now</w:t>
      </w:r>
      <w:r>
        <w:rPr>
          <w:lang w:val="en-GB"/>
        </w:rPr>
        <w:t xml:space="preserve">, next </w:t>
      </w:r>
      <w:r w:rsidR="00C94835">
        <w:rPr>
          <w:lang w:val="en-GB"/>
        </w:rPr>
        <w:t xml:space="preserve">in the dashboard </w:t>
      </w:r>
      <w:r>
        <w:rPr>
          <w:lang w:val="en-GB"/>
        </w:rPr>
        <w:t>is the heat map.</w:t>
      </w:r>
      <w:r w:rsidR="006F1AD1">
        <w:rPr>
          <w:lang w:val="en-GB"/>
        </w:rPr>
        <w:t xml:space="preserve"> </w:t>
      </w:r>
    </w:p>
    <w:p w14:paraId="0A643826" w14:textId="77777777" w:rsidR="000634C6" w:rsidRPr="00A452F2" w:rsidRDefault="000634C6" w:rsidP="000634C6">
      <w:pPr>
        <w:rPr>
          <w:lang w:val="en-GB"/>
        </w:rPr>
      </w:pPr>
      <w:r w:rsidRPr="00A452F2">
        <w:rPr>
          <w:lang w:val="en-GB"/>
        </w:rPr>
        <w:t>There are three heat maps, the primary being Remaining Capacity heat map. The 2 other heat maps cover Used Capacity. One of them is designed for environment that use Datastore Clusters</w:t>
      </w:r>
      <w:r>
        <w:rPr>
          <w:lang w:val="en-GB"/>
        </w:rPr>
        <w:t>.</w:t>
      </w:r>
    </w:p>
    <w:p w14:paraId="524BC1EF" w14:textId="4E792E5A" w:rsidR="00C65CFC" w:rsidRDefault="3487113A" w:rsidP="00F6120D">
      <w:pPr>
        <w:rPr>
          <w:lang w:val="en-GB"/>
        </w:rPr>
      </w:pPr>
      <w:r>
        <w:rPr>
          <w:noProof/>
        </w:rPr>
        <w:drawing>
          <wp:inline distT="0" distB="0" distL="0" distR="0" wp14:anchorId="19F40F29" wp14:editId="71260D91">
            <wp:extent cx="6645910" cy="1061085"/>
            <wp:effectExtent l="0" t="0" r="2540" b="5715"/>
            <wp:docPr id="606394271" name="Picture 606394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71"/>
                    <pic:cNvPicPr/>
                  </pic:nvPicPr>
                  <pic:blipFill>
                    <a:blip r:embed="rId1137">
                      <a:extLst>
                        <a:ext uri="{28A0092B-C50C-407E-A947-70E740481C1C}">
                          <a14:useLocalDpi xmlns:a14="http://schemas.microsoft.com/office/drawing/2010/main" val="0"/>
                        </a:ext>
                      </a:extLst>
                    </a:blip>
                    <a:stretch>
                      <a:fillRect/>
                    </a:stretch>
                  </pic:blipFill>
                  <pic:spPr>
                    <a:xfrm>
                      <a:off x="0" y="0"/>
                      <a:ext cx="6645910" cy="1061085"/>
                    </a:xfrm>
                    <a:prstGeom prst="rect">
                      <a:avLst/>
                    </a:prstGeom>
                  </pic:spPr>
                </pic:pic>
              </a:graphicData>
            </a:graphic>
          </wp:inline>
        </w:drawing>
      </w:r>
    </w:p>
    <w:p w14:paraId="7C1195B3" w14:textId="5B936D34" w:rsidR="002252AE" w:rsidRPr="00A452F2" w:rsidRDefault="002252AE" w:rsidP="00241A5C">
      <w:pPr>
        <w:rPr>
          <w:lang w:val="en-GB"/>
        </w:rPr>
      </w:pPr>
      <w:r w:rsidRPr="00A452F2">
        <w:rPr>
          <w:lang w:val="en-GB"/>
        </w:rPr>
        <w:t>Each box represents a datastore. If you have many datastores, the heat map will group them. You can drill down to see its members.</w:t>
      </w:r>
      <w:r w:rsidR="00C311EF" w:rsidRPr="00A452F2">
        <w:rPr>
          <w:lang w:val="en-GB"/>
        </w:rPr>
        <w:t xml:space="preserve"> </w:t>
      </w:r>
      <w:r w:rsidRPr="00A452F2">
        <w:rPr>
          <w:lang w:val="en-GB"/>
        </w:rPr>
        <w:t>The larger the datastore, the larger its box is. If you have many small datastores, consolidation can make operations easier.</w:t>
      </w:r>
    </w:p>
    <w:p w14:paraId="1A90C6CD" w14:textId="1807A8CE" w:rsidR="0043341C" w:rsidRDefault="0084079D" w:rsidP="0043341C">
      <w:pPr>
        <w:rPr>
          <w:lang w:val="en-GB"/>
        </w:rPr>
      </w:pPr>
      <w:r>
        <w:rPr>
          <w:lang w:val="en-GB"/>
        </w:rPr>
        <w:t>Following the design used in Capacity da</w:t>
      </w:r>
      <w:r w:rsidR="00B85B2A">
        <w:rPr>
          <w:lang w:val="en-GB"/>
        </w:rPr>
        <w:t>s</w:t>
      </w:r>
      <w:r>
        <w:rPr>
          <w:lang w:val="en-GB"/>
        </w:rPr>
        <w:t xml:space="preserve">hboard, next is the table listing all </w:t>
      </w:r>
      <w:r w:rsidR="0043341C" w:rsidRPr="00A452F2">
        <w:rPr>
          <w:lang w:val="en-GB"/>
        </w:rPr>
        <w:t xml:space="preserve">the </w:t>
      </w:r>
      <w:r w:rsidR="0043341C" w:rsidRPr="00A452F2">
        <w:rPr>
          <w:b/>
          <w:bCs/>
          <w:lang w:val="en-GB"/>
        </w:rPr>
        <w:t>Shared Datastores</w:t>
      </w:r>
      <w:r>
        <w:rPr>
          <w:lang w:val="en-GB"/>
        </w:rPr>
        <w:t>.</w:t>
      </w:r>
    </w:p>
    <w:p w14:paraId="30F81A54" w14:textId="20E98881" w:rsidR="0092335F" w:rsidRPr="00A452F2" w:rsidRDefault="0092335F" w:rsidP="0043341C">
      <w:pPr>
        <w:rPr>
          <w:lang w:val="en-GB"/>
        </w:rPr>
      </w:pPr>
      <w:r>
        <w:rPr>
          <w:noProof/>
          <w:lang w:val="en-GB"/>
        </w:rPr>
        <w:drawing>
          <wp:inline distT="0" distB="0" distL="0" distR="0" wp14:anchorId="3A2674E9" wp14:editId="5BE3796C">
            <wp:extent cx="6639560" cy="1835150"/>
            <wp:effectExtent l="0" t="0" r="8890" b="0"/>
            <wp:docPr id="1709717385" name="Picture 1709717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38">
                      <a:extLst>
                        <a:ext uri="{28A0092B-C50C-407E-A947-70E740481C1C}">
                          <a14:useLocalDpi xmlns:a14="http://schemas.microsoft.com/office/drawing/2010/main" val="0"/>
                        </a:ext>
                      </a:extLst>
                    </a:blip>
                    <a:srcRect/>
                    <a:stretch>
                      <a:fillRect/>
                    </a:stretch>
                  </pic:blipFill>
                  <pic:spPr bwMode="auto">
                    <a:xfrm>
                      <a:off x="0" y="0"/>
                      <a:ext cx="6639560" cy="1835150"/>
                    </a:xfrm>
                    <a:prstGeom prst="rect">
                      <a:avLst/>
                    </a:prstGeom>
                    <a:noFill/>
                    <a:ln>
                      <a:noFill/>
                    </a:ln>
                  </pic:spPr>
                </pic:pic>
              </a:graphicData>
            </a:graphic>
          </wp:inline>
        </w:drawing>
      </w:r>
    </w:p>
    <w:p w14:paraId="3F276856" w14:textId="6B1FA0F9" w:rsidR="0043341C" w:rsidRDefault="0043341C" w:rsidP="0092335F">
      <w:pPr>
        <w:rPr>
          <w:lang w:val="en-GB"/>
        </w:rPr>
      </w:pPr>
      <w:r w:rsidRPr="00A452F2">
        <w:rPr>
          <w:lang w:val="en-GB"/>
        </w:rPr>
        <w:t>The table provides a summary, showing all datastores a glance. They are grouped by Data center. If you use Datastore Cluster as your standard</w:t>
      </w:r>
      <w:r w:rsidR="00252917">
        <w:rPr>
          <w:lang w:val="en-GB"/>
        </w:rPr>
        <w:t xml:space="preserve"> and it suits you better</w:t>
      </w:r>
      <w:r w:rsidRPr="00A452F2">
        <w:rPr>
          <w:lang w:val="en-GB"/>
        </w:rPr>
        <w:t>, replace the grouping with it.</w:t>
      </w:r>
    </w:p>
    <w:p w14:paraId="0793B532" w14:textId="0B821FC3" w:rsidR="0043341C" w:rsidRDefault="00252917" w:rsidP="0043341C">
      <w:pPr>
        <w:rPr>
          <w:lang w:val="en-GB"/>
        </w:rPr>
      </w:pPr>
      <w:r>
        <w:rPr>
          <w:lang w:val="en-GB"/>
        </w:rPr>
        <w:t>By default, t</w:t>
      </w:r>
      <w:r w:rsidR="0043341C" w:rsidRPr="00A452F2">
        <w:rPr>
          <w:lang w:val="en-GB"/>
        </w:rPr>
        <w:t>he table is sorted by the least capacity remaining</w:t>
      </w:r>
      <w:r>
        <w:rPr>
          <w:lang w:val="en-GB"/>
        </w:rPr>
        <w:t>.</w:t>
      </w:r>
    </w:p>
    <w:p w14:paraId="28828D6B" w14:textId="0EE779B4" w:rsidR="00B37D99" w:rsidRDefault="00B37D99" w:rsidP="00B37D99">
      <w:pPr>
        <w:rPr>
          <w:lang w:val="en-GB"/>
        </w:rPr>
      </w:pPr>
      <w:r w:rsidRPr="00A452F2">
        <w:rPr>
          <w:lang w:val="en-GB"/>
        </w:rPr>
        <w:t xml:space="preserve">There are </w:t>
      </w:r>
      <w:r>
        <w:rPr>
          <w:lang w:val="en-GB"/>
        </w:rPr>
        <w:t>3</w:t>
      </w:r>
      <w:r w:rsidRPr="00A452F2">
        <w:rPr>
          <w:lang w:val="en-GB"/>
        </w:rPr>
        <w:t xml:space="preserve"> reclamation opportunities: powered off VM, snapshot, and orphaned VMDK. </w:t>
      </w:r>
    </w:p>
    <w:p w14:paraId="6134A2C4" w14:textId="147646B3" w:rsidR="00B85B2A" w:rsidRDefault="00B85B2A" w:rsidP="00B37D99">
      <w:pPr>
        <w:rPr>
          <w:lang w:val="en-GB"/>
        </w:rPr>
      </w:pPr>
      <w:r>
        <w:rPr>
          <w:lang w:val="en-GB"/>
        </w:rPr>
        <w:t>Why is Idle VM not included?</w:t>
      </w:r>
    </w:p>
    <w:p w14:paraId="000EBABF" w14:textId="08634748" w:rsidR="00800B0F" w:rsidRPr="00A452F2" w:rsidRDefault="00B85B2A" w:rsidP="00B37D99">
      <w:pPr>
        <w:rPr>
          <w:lang w:val="en-GB"/>
        </w:rPr>
      </w:pPr>
      <w:r>
        <w:rPr>
          <w:lang w:val="en-GB"/>
        </w:rPr>
        <w:t>B</w:t>
      </w:r>
      <w:r w:rsidR="00922880">
        <w:rPr>
          <w:lang w:val="en-GB"/>
        </w:rPr>
        <w:t xml:space="preserve">ecause </w:t>
      </w:r>
      <w:r w:rsidR="00800B0F">
        <w:rPr>
          <w:lang w:val="en-GB"/>
        </w:rPr>
        <w:t>you should power off first, and let it go through powered off period</w:t>
      </w:r>
      <w:r w:rsidR="00DA186C">
        <w:rPr>
          <w:lang w:val="en-GB"/>
        </w:rPr>
        <w:t xml:space="preserve"> before deletion.</w:t>
      </w:r>
    </w:p>
    <w:p w14:paraId="4AC009CA" w14:textId="7C25ED42" w:rsidR="00E70D0E" w:rsidRPr="00A452F2" w:rsidRDefault="00E70D0E" w:rsidP="00AC6E1E">
      <w:pPr>
        <w:pStyle w:val="Heading4"/>
      </w:pPr>
      <w:r>
        <w:lastRenderedPageBreak/>
        <w:t>Datastore Analysis</w:t>
      </w:r>
    </w:p>
    <w:p w14:paraId="1D887BC7" w14:textId="2237D68F" w:rsidR="009E4C95" w:rsidRDefault="00A16FE0" w:rsidP="00F6120D">
      <w:pPr>
        <w:rPr>
          <w:lang w:val="en-GB"/>
        </w:rPr>
      </w:pPr>
      <w:r w:rsidRPr="00A452F2">
        <w:rPr>
          <w:lang w:val="en-GB"/>
        </w:rPr>
        <w:t>Select a datastore from the table</w:t>
      </w:r>
      <w:r w:rsidR="00084E49">
        <w:rPr>
          <w:lang w:val="en-GB"/>
        </w:rPr>
        <w:t>.</w:t>
      </w:r>
      <w:r w:rsidR="00B37D99">
        <w:rPr>
          <w:lang w:val="en-GB"/>
        </w:rPr>
        <w:t xml:space="preserve"> Its detail capacity will be automatically shown.</w:t>
      </w:r>
    </w:p>
    <w:p w14:paraId="701962A2" w14:textId="079C95DC" w:rsidR="0043341C" w:rsidRPr="00A452F2" w:rsidRDefault="003256A2" w:rsidP="00F6120D">
      <w:pPr>
        <w:rPr>
          <w:lang w:val="en-GB"/>
        </w:rPr>
      </w:pPr>
      <w:r w:rsidRPr="003256A2">
        <w:rPr>
          <w:noProof/>
          <w:lang w:val="en-GB"/>
        </w:rPr>
        <w:drawing>
          <wp:inline distT="0" distB="0" distL="0" distR="0" wp14:anchorId="1D2DDCCF" wp14:editId="40B606EA">
            <wp:extent cx="6645910" cy="838200"/>
            <wp:effectExtent l="0" t="0" r="2540" b="0"/>
            <wp:docPr id="1709717386" name="Picture 1709717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9"/>
                    <a:stretch>
                      <a:fillRect/>
                    </a:stretch>
                  </pic:blipFill>
                  <pic:spPr>
                    <a:xfrm>
                      <a:off x="0" y="0"/>
                      <a:ext cx="6645910" cy="838200"/>
                    </a:xfrm>
                    <a:prstGeom prst="rect">
                      <a:avLst/>
                    </a:prstGeom>
                  </pic:spPr>
                </pic:pic>
              </a:graphicData>
            </a:graphic>
          </wp:inline>
        </w:drawing>
      </w:r>
    </w:p>
    <w:p w14:paraId="7125E46C" w14:textId="0FD6F3F4" w:rsidR="004A2D99" w:rsidRPr="00A452F2" w:rsidRDefault="004A2D99" w:rsidP="004A2D99">
      <w:pPr>
        <w:rPr>
          <w:lang w:val="en-GB"/>
        </w:rPr>
      </w:pPr>
      <w:r w:rsidRPr="00A452F2">
        <w:rPr>
          <w:lang w:val="en-GB"/>
        </w:rPr>
        <w:t xml:space="preserve">The snapshot </w:t>
      </w:r>
      <w:r w:rsidR="00432AEB">
        <w:rPr>
          <w:lang w:val="en-GB"/>
        </w:rPr>
        <w:t>should</w:t>
      </w:r>
      <w:r w:rsidRPr="00A452F2">
        <w:rPr>
          <w:lang w:val="en-GB"/>
        </w:rPr>
        <w:t xml:space="preserve"> be 0 GB. If it is not 0, then it should be temporary. A snapshot lasting beyond a</w:t>
      </w:r>
      <w:r w:rsidR="00432AEB">
        <w:rPr>
          <w:lang w:val="en-GB"/>
        </w:rPr>
        <w:t xml:space="preserve"> few</w:t>
      </w:r>
      <w:r w:rsidRPr="00A452F2">
        <w:rPr>
          <w:lang w:val="en-GB"/>
        </w:rPr>
        <w:t xml:space="preserve"> day</w:t>
      </w:r>
      <w:r w:rsidR="00432AEB">
        <w:rPr>
          <w:lang w:val="en-GB"/>
        </w:rPr>
        <w:t>s should</w:t>
      </w:r>
      <w:r w:rsidRPr="00A452F2">
        <w:rPr>
          <w:lang w:val="en-GB"/>
        </w:rPr>
        <w:t xml:space="preserve"> be investigated. </w:t>
      </w:r>
    </w:p>
    <w:p w14:paraId="55B8E876" w14:textId="27CB7F05" w:rsidR="004A2D99" w:rsidRDefault="004A2D99" w:rsidP="004A2D99">
      <w:pPr>
        <w:rPr>
          <w:lang w:val="en-GB"/>
        </w:rPr>
      </w:pPr>
      <w:r w:rsidRPr="00A452F2">
        <w:rPr>
          <w:lang w:val="en-GB"/>
        </w:rPr>
        <w:t xml:space="preserve">Orphaned </w:t>
      </w:r>
      <w:r w:rsidR="00654EA3">
        <w:rPr>
          <w:lang w:val="en-GB"/>
        </w:rPr>
        <w:t xml:space="preserve">Disks </w:t>
      </w:r>
      <w:r w:rsidRPr="00A452F2">
        <w:rPr>
          <w:lang w:val="en-GB"/>
        </w:rPr>
        <w:t xml:space="preserve">are </w:t>
      </w:r>
      <w:r w:rsidR="00654EA3">
        <w:rPr>
          <w:lang w:val="en-GB"/>
        </w:rPr>
        <w:t xml:space="preserve">VMDK files </w:t>
      </w:r>
      <w:r w:rsidRPr="00A452F2">
        <w:rPr>
          <w:lang w:val="en-GB"/>
        </w:rPr>
        <w:t xml:space="preserve">that are not associated to any VM. </w:t>
      </w:r>
      <w:r w:rsidR="00654EA3">
        <w:rPr>
          <w:lang w:val="en-GB"/>
        </w:rPr>
        <w:t xml:space="preserve">Expect it to be 0. </w:t>
      </w:r>
    </w:p>
    <w:p w14:paraId="07B0FC13" w14:textId="7795AFE4" w:rsidR="00025292" w:rsidRDefault="00025292" w:rsidP="0043341C">
      <w:pPr>
        <w:rPr>
          <w:lang w:val="en-GB"/>
        </w:rPr>
      </w:pPr>
      <w:r w:rsidRPr="00A452F2">
        <w:rPr>
          <w:lang w:val="en-GB"/>
        </w:rPr>
        <w:t>For disk space, the total capacity, allocated and actual used are shown.</w:t>
      </w:r>
      <w:r w:rsidR="00D455F1" w:rsidRPr="00D455F1">
        <w:rPr>
          <w:lang w:val="en-GB"/>
        </w:rPr>
        <w:t xml:space="preserve"> </w:t>
      </w:r>
      <w:r w:rsidR="00D455F1">
        <w:rPr>
          <w:lang w:val="en-GB"/>
        </w:rPr>
        <w:t>What does it mean when the provisioned disk space metric grow but the actual used does not?</w:t>
      </w:r>
    </w:p>
    <w:p w14:paraId="7E1BE44D" w14:textId="398988B0" w:rsidR="00EE1E91" w:rsidRDefault="00EE1E91" w:rsidP="0043341C">
      <w:pPr>
        <w:rPr>
          <w:lang w:val="en-GB"/>
        </w:rPr>
      </w:pPr>
      <w:r w:rsidRPr="00EE1E91">
        <w:rPr>
          <w:noProof/>
          <w:lang w:val="en-GB"/>
        </w:rPr>
        <w:drawing>
          <wp:inline distT="0" distB="0" distL="0" distR="0" wp14:anchorId="2A5EE197" wp14:editId="22342151">
            <wp:extent cx="6645910" cy="2423795"/>
            <wp:effectExtent l="0" t="0" r="2540" b="0"/>
            <wp:docPr id="1709717387" name="Picture 1709717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0"/>
                    <a:stretch>
                      <a:fillRect/>
                    </a:stretch>
                  </pic:blipFill>
                  <pic:spPr>
                    <a:xfrm>
                      <a:off x="0" y="0"/>
                      <a:ext cx="6645910" cy="2423795"/>
                    </a:xfrm>
                    <a:prstGeom prst="rect">
                      <a:avLst/>
                    </a:prstGeom>
                  </pic:spPr>
                </pic:pic>
              </a:graphicData>
            </a:graphic>
          </wp:inline>
        </w:drawing>
      </w:r>
    </w:p>
    <w:p w14:paraId="09405239" w14:textId="246B7AEB" w:rsidR="00D3713F" w:rsidRDefault="00D3713F" w:rsidP="0043341C">
      <w:pPr>
        <w:rPr>
          <w:lang w:val="en-GB"/>
        </w:rPr>
      </w:pPr>
      <w:r>
        <w:rPr>
          <w:lang w:val="en-GB"/>
        </w:rPr>
        <w:t xml:space="preserve">That </w:t>
      </w:r>
      <w:r w:rsidRPr="00A452F2">
        <w:rPr>
          <w:lang w:val="en-GB"/>
        </w:rPr>
        <w:t>mean</w:t>
      </w:r>
      <w:r>
        <w:rPr>
          <w:lang w:val="en-GB"/>
        </w:rPr>
        <w:t>s</w:t>
      </w:r>
      <w:r w:rsidRPr="00A452F2">
        <w:rPr>
          <w:lang w:val="en-GB"/>
        </w:rPr>
        <w:t xml:space="preserve"> the VMs are yet to use it. Watch out, you can run out of space sooner than expected.</w:t>
      </w:r>
    </w:p>
    <w:p w14:paraId="2C64CAE1" w14:textId="203B774B" w:rsidR="00634254" w:rsidRPr="00A452F2" w:rsidRDefault="00084E49" w:rsidP="0043341C">
      <w:pPr>
        <w:rPr>
          <w:lang w:val="en-GB"/>
        </w:rPr>
      </w:pPr>
      <w:r>
        <w:rPr>
          <w:lang w:val="en-GB"/>
        </w:rPr>
        <w:t>T</w:t>
      </w:r>
      <w:r w:rsidR="00634254" w:rsidRPr="00634254">
        <w:rPr>
          <w:lang w:val="en-GB"/>
        </w:rPr>
        <w:t>he value is daily averaged to show the big picture</w:t>
      </w:r>
      <w:r w:rsidR="00756372">
        <w:rPr>
          <w:lang w:val="en-GB"/>
        </w:rPr>
        <w:t>.</w:t>
      </w:r>
      <w:r w:rsidR="00654EA3">
        <w:rPr>
          <w:lang w:val="en-GB"/>
        </w:rPr>
        <w:t xml:space="preserve"> Having 5-minute spike can visually make the chart harder to read.</w:t>
      </w:r>
    </w:p>
    <w:p w14:paraId="35581E14" w14:textId="0A8C15DA" w:rsidR="004A2D99" w:rsidRDefault="00084E49" w:rsidP="00084E49">
      <w:pPr>
        <w:rPr>
          <w:lang w:val="en-GB"/>
        </w:rPr>
      </w:pPr>
      <w:r>
        <w:rPr>
          <w:lang w:val="en-GB"/>
        </w:rPr>
        <w:t>If you use allocation model</w:t>
      </w:r>
      <w:r w:rsidR="002C28A6">
        <w:rPr>
          <w:lang w:val="en-GB"/>
        </w:rPr>
        <w:t>, add a second line chart showing the allocation over time. Add a threshold so you know how close you are.</w:t>
      </w:r>
    </w:p>
    <w:p w14:paraId="714C5916" w14:textId="3FDAFE8C" w:rsidR="00EE2E9C" w:rsidRDefault="00EE2E9C" w:rsidP="00AC6E1E">
      <w:pPr>
        <w:pStyle w:val="Heading4"/>
        <w:numPr>
          <w:ilvl w:val="0"/>
          <w:numId w:val="0"/>
        </w:numPr>
      </w:pPr>
      <w:r>
        <w:t>VM Analysis</w:t>
      </w:r>
    </w:p>
    <w:p w14:paraId="4F64160D" w14:textId="5C38C5D9" w:rsidR="00417C97" w:rsidRPr="00417C97" w:rsidRDefault="00417C97" w:rsidP="00417C97">
      <w:pPr>
        <w:rPr>
          <w:lang w:val="en-GB"/>
        </w:rPr>
      </w:pPr>
      <w:r>
        <w:rPr>
          <w:lang w:val="en-GB"/>
        </w:rPr>
        <w:t>If you need to analyse at VM level, review the table listing all the VMs in the datastore.</w:t>
      </w:r>
    </w:p>
    <w:p w14:paraId="0B67E20B" w14:textId="197E937E" w:rsidR="00EE2E9C" w:rsidRDefault="00F83568" w:rsidP="0043341C">
      <w:pPr>
        <w:rPr>
          <w:lang w:val="en-GB"/>
        </w:rPr>
      </w:pPr>
      <w:r>
        <w:rPr>
          <w:noProof/>
          <w:lang w:val="en-GB"/>
        </w:rPr>
        <w:lastRenderedPageBreak/>
        <w:drawing>
          <wp:inline distT="0" distB="0" distL="0" distR="0" wp14:anchorId="5521F3C2" wp14:editId="44EEDFE4">
            <wp:extent cx="6645910" cy="2120265"/>
            <wp:effectExtent l="0" t="0" r="2540" b="0"/>
            <wp:docPr id="1709717388" name="Picture 1709717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41" cstate="print">
                      <a:extLst>
                        <a:ext uri="{28A0092B-C50C-407E-A947-70E740481C1C}">
                          <a14:useLocalDpi xmlns:a14="http://schemas.microsoft.com/office/drawing/2010/main" val="0"/>
                        </a:ext>
                      </a:extLst>
                    </a:blip>
                    <a:srcRect/>
                    <a:stretch>
                      <a:fillRect/>
                    </a:stretch>
                  </pic:blipFill>
                  <pic:spPr bwMode="auto">
                    <a:xfrm>
                      <a:off x="0" y="0"/>
                      <a:ext cx="6645910" cy="2120265"/>
                    </a:xfrm>
                    <a:prstGeom prst="rect">
                      <a:avLst/>
                    </a:prstGeom>
                    <a:noFill/>
                    <a:ln>
                      <a:noFill/>
                    </a:ln>
                  </pic:spPr>
                </pic:pic>
              </a:graphicData>
            </a:graphic>
          </wp:inline>
        </w:drawing>
      </w:r>
    </w:p>
    <w:p w14:paraId="4699E5BF" w14:textId="0A96CA88" w:rsidR="00417C97" w:rsidRDefault="00417C97" w:rsidP="0043341C">
      <w:pPr>
        <w:rPr>
          <w:lang w:val="en-GB"/>
        </w:rPr>
      </w:pPr>
      <w:r>
        <w:rPr>
          <w:lang w:val="en-GB"/>
        </w:rPr>
        <w:t>If you have hundreds of VMs, create a heat map</w:t>
      </w:r>
      <w:r w:rsidR="00B75B9F">
        <w:rPr>
          <w:lang w:val="en-GB"/>
        </w:rPr>
        <w:t xml:space="preserve"> showing all the VMs. Color it by the used space so you know if the VM is reaching its </w:t>
      </w:r>
      <w:r w:rsidR="00BA7681">
        <w:rPr>
          <w:lang w:val="en-GB"/>
        </w:rPr>
        <w:t>full size. S</w:t>
      </w:r>
      <w:r w:rsidR="00B75B9F">
        <w:rPr>
          <w:lang w:val="en-GB"/>
        </w:rPr>
        <w:t xml:space="preserve">ize it by the allocated size </w:t>
      </w:r>
      <w:r w:rsidR="00BA7681">
        <w:rPr>
          <w:lang w:val="en-GB"/>
        </w:rPr>
        <w:t>so you can see who the big VMs are.</w:t>
      </w:r>
      <w:r w:rsidR="00787414">
        <w:rPr>
          <w:lang w:val="en-GB"/>
        </w:rPr>
        <w:t xml:space="preserve"> If the big VMs have plenty of space to grow, watch out.</w:t>
      </w:r>
    </w:p>
    <w:p w14:paraId="27ED06E4" w14:textId="39DBACFF" w:rsidR="003B077C" w:rsidRDefault="003B077C" w:rsidP="0043341C">
      <w:pPr>
        <w:rPr>
          <w:lang w:val="en-GB"/>
        </w:rPr>
      </w:pPr>
      <w:r>
        <w:rPr>
          <w:lang w:val="en-GB"/>
        </w:rPr>
        <w:t>Click on the VM you want to investigate further</w:t>
      </w:r>
      <w:r w:rsidR="00417C97">
        <w:rPr>
          <w:lang w:val="en-GB"/>
        </w:rPr>
        <w:t>.</w:t>
      </w:r>
      <w:r w:rsidR="00787414">
        <w:rPr>
          <w:lang w:val="en-GB"/>
        </w:rPr>
        <w:t xml:space="preserve"> You get to see its usage over time.</w:t>
      </w:r>
    </w:p>
    <w:p w14:paraId="06119BB8" w14:textId="5864D62D" w:rsidR="003B077C" w:rsidRDefault="003B077C" w:rsidP="0043341C">
      <w:pPr>
        <w:rPr>
          <w:lang w:val="en-GB"/>
        </w:rPr>
      </w:pPr>
      <w:r w:rsidRPr="003B077C">
        <w:rPr>
          <w:noProof/>
          <w:lang w:val="en-GB"/>
        </w:rPr>
        <w:drawing>
          <wp:inline distT="0" distB="0" distL="0" distR="0" wp14:anchorId="40B752D7" wp14:editId="1B1001E6">
            <wp:extent cx="6645910" cy="1718310"/>
            <wp:effectExtent l="0" t="0" r="2540" b="0"/>
            <wp:docPr id="1709717389" name="Picture 1709717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2"/>
                    <a:stretch>
                      <a:fillRect/>
                    </a:stretch>
                  </pic:blipFill>
                  <pic:spPr>
                    <a:xfrm>
                      <a:off x="0" y="0"/>
                      <a:ext cx="6645910" cy="1718310"/>
                    </a:xfrm>
                    <a:prstGeom prst="rect">
                      <a:avLst/>
                    </a:prstGeom>
                  </pic:spPr>
                </pic:pic>
              </a:graphicData>
            </a:graphic>
          </wp:inline>
        </w:drawing>
      </w:r>
    </w:p>
    <w:p w14:paraId="2F795B48" w14:textId="351C21A7" w:rsidR="00C60804" w:rsidRDefault="00C60804" w:rsidP="00AC6E1E">
      <w:pPr>
        <w:pStyle w:val="Heading4"/>
      </w:pPr>
      <w:r>
        <w:t>Local Datastores</w:t>
      </w:r>
    </w:p>
    <w:p w14:paraId="173DAACA" w14:textId="0444A440" w:rsidR="00182ABA" w:rsidRDefault="00BF534C" w:rsidP="00182ABA">
      <w:pPr>
        <w:rPr>
          <w:lang w:val="en-GB"/>
        </w:rPr>
      </w:pPr>
      <w:r>
        <w:rPr>
          <w:lang w:val="en-GB"/>
        </w:rPr>
        <w:t xml:space="preserve">They </w:t>
      </w:r>
      <w:r w:rsidR="00182ABA" w:rsidRPr="00A452F2">
        <w:rPr>
          <w:lang w:val="en-GB"/>
        </w:rPr>
        <w:t>are shown separately as a table on its own, at the end of this dashboard. Avoid running VMs on local datastores, unless its storage requirements can be met with a local disk</w:t>
      </w:r>
      <w:r>
        <w:rPr>
          <w:lang w:val="en-GB"/>
        </w:rPr>
        <w:t xml:space="preserve"> and it does not need vmotion.</w:t>
      </w:r>
    </w:p>
    <w:p w14:paraId="1343C0D0" w14:textId="373125C4" w:rsidR="00C60804" w:rsidRPr="00A452F2" w:rsidRDefault="00C60804" w:rsidP="0043341C">
      <w:pPr>
        <w:rPr>
          <w:lang w:val="en-GB"/>
        </w:rPr>
      </w:pPr>
      <w:r w:rsidRPr="00C60804">
        <w:rPr>
          <w:noProof/>
          <w:lang w:val="en-GB"/>
        </w:rPr>
        <w:drawing>
          <wp:inline distT="0" distB="0" distL="0" distR="0" wp14:anchorId="73829762" wp14:editId="5025A6C0">
            <wp:extent cx="6645910" cy="1348740"/>
            <wp:effectExtent l="0" t="0" r="2540" b="3810"/>
            <wp:docPr id="1709717390" name="Picture 1709717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3"/>
                    <a:stretch>
                      <a:fillRect/>
                    </a:stretch>
                  </pic:blipFill>
                  <pic:spPr>
                    <a:xfrm>
                      <a:off x="0" y="0"/>
                      <a:ext cx="6645910" cy="1348740"/>
                    </a:xfrm>
                    <a:prstGeom prst="rect">
                      <a:avLst/>
                    </a:prstGeom>
                  </pic:spPr>
                </pic:pic>
              </a:graphicData>
            </a:graphic>
          </wp:inline>
        </w:drawing>
      </w:r>
    </w:p>
    <w:p w14:paraId="596BF432" w14:textId="2B8A6999" w:rsidR="00F35453" w:rsidRPr="00A452F2" w:rsidRDefault="00F35453" w:rsidP="00AC6E1E">
      <w:pPr>
        <w:pStyle w:val="Heading4"/>
      </w:pPr>
      <w:r w:rsidRPr="00A452F2">
        <w:lastRenderedPageBreak/>
        <w:t>Points to Note</w:t>
      </w:r>
    </w:p>
    <w:p w14:paraId="79A58177" w14:textId="32B0F71B" w:rsidR="00F9601C" w:rsidRPr="00A452F2" w:rsidRDefault="00F94CBE" w:rsidP="00F6120D">
      <w:pPr>
        <w:rPr>
          <w:lang w:val="en-GB"/>
        </w:rPr>
      </w:pPr>
      <w:r w:rsidRPr="00A452F2">
        <w:rPr>
          <w:lang w:val="en-GB"/>
        </w:rPr>
        <w:t>If you are using “thin on thin”, meaning the underlying LUN is al</w:t>
      </w:r>
      <w:r w:rsidR="00555123" w:rsidRPr="00A452F2">
        <w:rPr>
          <w:lang w:val="en-GB"/>
        </w:rPr>
        <w:t xml:space="preserve">so thin provisioned, add visibility into the physical array. </w:t>
      </w:r>
    </w:p>
    <w:p w14:paraId="775F73F0" w14:textId="045E0169" w:rsidR="00AA055E" w:rsidRDefault="00F9601C" w:rsidP="00F6120D">
      <w:pPr>
        <w:rPr>
          <w:lang w:val="en-GB"/>
        </w:rPr>
      </w:pPr>
      <w:r w:rsidRPr="00A452F2">
        <w:rPr>
          <w:lang w:val="en-GB"/>
        </w:rPr>
        <w:t xml:space="preserve">The dashboard does not have </w:t>
      </w:r>
      <w:r w:rsidRPr="00C87A95">
        <w:rPr>
          <w:color w:val="00B0F0"/>
          <w:lang w:val="en-GB"/>
        </w:rPr>
        <w:t>datastore clusters</w:t>
      </w:r>
      <w:r w:rsidRPr="00A452F2">
        <w:rPr>
          <w:lang w:val="en-GB"/>
        </w:rPr>
        <w:t xml:space="preserve">. If your environment use it, </w:t>
      </w:r>
      <w:r w:rsidR="00AA055E">
        <w:rPr>
          <w:lang w:val="en-GB"/>
        </w:rPr>
        <w:t xml:space="preserve">modify this dashboard or create a new one. In a large environment with many datastores and datastore clusters, add a </w:t>
      </w:r>
      <w:r w:rsidRPr="00A452F2">
        <w:rPr>
          <w:lang w:val="en-GB"/>
        </w:rPr>
        <w:t>View List to list the</w:t>
      </w:r>
      <w:r w:rsidR="00AA055E">
        <w:rPr>
          <w:lang w:val="en-GB"/>
        </w:rPr>
        <w:t xml:space="preserve"> datastore clusters so you get summary information. From this </w:t>
      </w:r>
      <w:r w:rsidRPr="00A452F2">
        <w:rPr>
          <w:lang w:val="en-GB"/>
        </w:rPr>
        <w:t>list</w:t>
      </w:r>
      <w:r w:rsidR="00AA055E">
        <w:rPr>
          <w:lang w:val="en-GB"/>
        </w:rPr>
        <w:t xml:space="preserve">, </w:t>
      </w:r>
      <w:r w:rsidRPr="00A452F2">
        <w:rPr>
          <w:lang w:val="en-GB"/>
        </w:rPr>
        <w:t xml:space="preserve">drives the </w:t>
      </w:r>
      <w:r w:rsidR="00F94CBE" w:rsidRPr="00A452F2">
        <w:rPr>
          <w:lang w:val="en-GB"/>
        </w:rPr>
        <w:t>d</w:t>
      </w:r>
      <w:r w:rsidRPr="00A452F2">
        <w:rPr>
          <w:lang w:val="en-GB"/>
        </w:rPr>
        <w:t>atastore</w:t>
      </w:r>
      <w:r w:rsidRPr="00A452F2">
        <w:rPr>
          <w:b/>
          <w:bCs/>
          <w:lang w:val="en-GB"/>
        </w:rPr>
        <w:t xml:space="preserve"> </w:t>
      </w:r>
      <w:r w:rsidRPr="00A452F2">
        <w:rPr>
          <w:lang w:val="en-GB"/>
        </w:rPr>
        <w:t>view list.</w:t>
      </w:r>
      <w:r w:rsidR="00C87A95">
        <w:rPr>
          <w:lang w:val="en-GB"/>
        </w:rPr>
        <w:t xml:space="preserve"> Alternatively, </w:t>
      </w:r>
      <w:r w:rsidR="00AA055E">
        <w:rPr>
          <w:lang w:val="en-GB"/>
        </w:rPr>
        <w:t xml:space="preserve">create a heat map, listing the datastore clusters. </w:t>
      </w:r>
    </w:p>
    <w:p w14:paraId="492B5E87" w14:textId="1FD64440" w:rsidR="00AA055E" w:rsidRPr="00A452F2" w:rsidRDefault="00AA055E" w:rsidP="00F6120D">
      <w:pPr>
        <w:rPr>
          <w:lang w:val="en-GB"/>
        </w:rPr>
      </w:pPr>
      <w:r>
        <w:rPr>
          <w:noProof/>
        </w:rPr>
        <w:drawing>
          <wp:inline distT="0" distB="0" distL="0" distR="0" wp14:anchorId="7A05119B" wp14:editId="4F7AF78E">
            <wp:extent cx="6645910" cy="1322705"/>
            <wp:effectExtent l="0" t="0" r="2540" b="0"/>
            <wp:docPr id="606394370" name="Picture 606394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70"/>
                    <pic:cNvPicPr/>
                  </pic:nvPicPr>
                  <pic:blipFill>
                    <a:blip r:embed="rId1144">
                      <a:extLst>
                        <a:ext uri="{28A0092B-C50C-407E-A947-70E740481C1C}">
                          <a14:useLocalDpi xmlns:a14="http://schemas.microsoft.com/office/drawing/2010/main" val="0"/>
                        </a:ext>
                      </a:extLst>
                    </a:blip>
                    <a:stretch>
                      <a:fillRect/>
                    </a:stretch>
                  </pic:blipFill>
                  <pic:spPr>
                    <a:xfrm>
                      <a:off x="0" y="0"/>
                      <a:ext cx="6645910" cy="1322705"/>
                    </a:xfrm>
                    <a:prstGeom prst="rect">
                      <a:avLst/>
                    </a:prstGeom>
                  </pic:spPr>
                </pic:pic>
              </a:graphicData>
            </a:graphic>
          </wp:inline>
        </w:drawing>
      </w:r>
    </w:p>
    <w:p w14:paraId="326C540A" w14:textId="48269E32" w:rsidR="005077A5" w:rsidRPr="00A452F2" w:rsidRDefault="00FF7E4F" w:rsidP="00540F68">
      <w:pPr>
        <w:pStyle w:val="Heading3"/>
      </w:pPr>
      <w:r>
        <w:softHyphen/>
      </w:r>
      <w:r w:rsidR="005077A5" w:rsidRPr="00A452F2">
        <w:t>vSAN Capacity</w:t>
      </w:r>
    </w:p>
    <w:p w14:paraId="27F98E02" w14:textId="088253D9" w:rsidR="005077A5" w:rsidRDefault="005077A5" w:rsidP="005077A5">
      <w:pPr>
        <w:rPr>
          <w:lang w:val="en-GB"/>
        </w:rPr>
      </w:pPr>
      <w:r w:rsidRPr="00A452F2">
        <w:rPr>
          <w:lang w:val="en-GB"/>
        </w:rPr>
        <w:t xml:space="preserve">The </w:t>
      </w:r>
      <w:r w:rsidRPr="00A452F2">
        <w:rPr>
          <w:b/>
          <w:bCs/>
          <w:lang w:val="en-GB"/>
        </w:rPr>
        <w:t>vSAN Capacity</w:t>
      </w:r>
      <w:r w:rsidRPr="00A452F2">
        <w:rPr>
          <w:lang w:val="en-GB"/>
        </w:rPr>
        <w:t xml:space="preserve"> dashboard complements the </w:t>
      </w:r>
      <w:r w:rsidRPr="000223FE">
        <w:rPr>
          <w:b/>
          <w:bCs/>
          <w:lang w:val="en-GB"/>
        </w:rPr>
        <w:t>vSphere</w:t>
      </w:r>
      <w:r w:rsidRPr="00A452F2">
        <w:rPr>
          <w:lang w:val="en-GB"/>
        </w:rPr>
        <w:t xml:space="preserve"> </w:t>
      </w:r>
      <w:r w:rsidRPr="00A452F2">
        <w:rPr>
          <w:b/>
          <w:bCs/>
          <w:lang w:val="en-GB"/>
        </w:rPr>
        <w:t xml:space="preserve">Cluster Capacity </w:t>
      </w:r>
      <w:r w:rsidRPr="00A452F2">
        <w:rPr>
          <w:lang w:val="en-GB"/>
        </w:rPr>
        <w:t xml:space="preserve">dashboard by showing vSAN related capacity. It focuses on the storage and vSAN specific metrics, and does </w:t>
      </w:r>
      <w:r w:rsidRPr="00C065FB">
        <w:rPr>
          <w:color w:val="FF0000"/>
          <w:lang w:val="en-GB"/>
        </w:rPr>
        <w:t xml:space="preserve">not </w:t>
      </w:r>
      <w:r w:rsidRPr="00A452F2">
        <w:rPr>
          <w:lang w:val="en-GB"/>
        </w:rPr>
        <w:t>repeat what’s already covered</w:t>
      </w:r>
      <w:r w:rsidR="00B97E76">
        <w:rPr>
          <w:lang w:val="en-GB"/>
        </w:rPr>
        <w:t xml:space="preserve">. </w:t>
      </w:r>
      <w:r w:rsidR="00607140">
        <w:rPr>
          <w:lang w:val="en-GB"/>
        </w:rPr>
        <w:t>That’s a long winded way to say you gotta use both dashboard</w:t>
      </w:r>
      <w:r w:rsidR="00C065FB">
        <w:rPr>
          <w:lang w:val="en-GB"/>
        </w:rPr>
        <w:t>s</w:t>
      </w:r>
      <w:r w:rsidR="00607140">
        <w:rPr>
          <w:lang w:val="en-GB"/>
        </w:rPr>
        <w:t xml:space="preserve"> to manage vSAN capacity </w:t>
      </w:r>
      <w:r w:rsidR="00607140" w:rsidRPr="00607140">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1EF69BC7" w14:textId="78859E11" w:rsidR="00B97E76" w:rsidRPr="00A452F2" w:rsidRDefault="00B97E76" w:rsidP="005077A5">
      <w:pPr>
        <w:rPr>
          <w:lang w:val="en-GB"/>
        </w:rPr>
      </w:pPr>
      <w:r>
        <w:rPr>
          <w:lang w:val="en-GB"/>
        </w:rPr>
        <w:t xml:space="preserve">Because the metrics are vSAN specific, this dashboard </w:t>
      </w:r>
      <w:r w:rsidRPr="00A452F2">
        <w:rPr>
          <w:lang w:val="en-GB"/>
        </w:rPr>
        <w:t xml:space="preserve">does </w:t>
      </w:r>
      <w:r w:rsidRPr="00C065FB">
        <w:rPr>
          <w:color w:val="FF0000"/>
          <w:lang w:val="en-GB"/>
        </w:rPr>
        <w:t xml:space="preserve">not </w:t>
      </w:r>
      <w:r w:rsidRPr="00A452F2">
        <w:rPr>
          <w:lang w:val="en-GB"/>
        </w:rPr>
        <w:t>list non vSAN cluster.</w:t>
      </w:r>
    </w:p>
    <w:p w14:paraId="5643F48F" w14:textId="2C5CA2B8" w:rsidR="005077A5" w:rsidRDefault="001D797C" w:rsidP="00AC6E1E">
      <w:pPr>
        <w:pStyle w:val="Heading4"/>
      </w:pPr>
      <w:r>
        <w:t>Overall Analysis</w:t>
      </w:r>
    </w:p>
    <w:p w14:paraId="78DB46C1" w14:textId="6B42612E" w:rsidR="00520694" w:rsidRPr="00520694" w:rsidRDefault="00DC2AD0" w:rsidP="00520694">
      <w:pPr>
        <w:rPr>
          <w:lang w:val="en-GB"/>
        </w:rPr>
      </w:pPr>
      <w:r>
        <w:rPr>
          <w:lang w:val="en-GB"/>
        </w:rPr>
        <w:t>The dashboard starts with the familiar bar-chart combo that Cluster Capacity dashboard has. The difference is this focuses on the vSAN disk space, not compute and network.</w:t>
      </w:r>
      <w:r w:rsidR="00B97E76" w:rsidRPr="00B97E76">
        <w:rPr>
          <w:lang w:val="en-GB"/>
        </w:rPr>
        <w:t xml:space="preserve"> </w:t>
      </w:r>
    </w:p>
    <w:p w14:paraId="7A39F497" w14:textId="57A69A44" w:rsidR="001D797C" w:rsidRPr="001D797C" w:rsidRDefault="001D797C" w:rsidP="001D797C">
      <w:pPr>
        <w:rPr>
          <w:lang w:val="en-GB"/>
        </w:rPr>
      </w:pPr>
      <w:r w:rsidRPr="001D797C">
        <w:rPr>
          <w:noProof/>
          <w:lang w:val="en-GB"/>
        </w:rPr>
        <w:lastRenderedPageBreak/>
        <w:drawing>
          <wp:inline distT="0" distB="0" distL="0" distR="0" wp14:anchorId="2D790B14" wp14:editId="3B77DA54">
            <wp:extent cx="6645910" cy="1701800"/>
            <wp:effectExtent l="0" t="0" r="2540" b="0"/>
            <wp:docPr id="1583707959" name="Picture 1583707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5"/>
                    <a:stretch>
                      <a:fillRect/>
                    </a:stretch>
                  </pic:blipFill>
                  <pic:spPr>
                    <a:xfrm>
                      <a:off x="0" y="0"/>
                      <a:ext cx="6645910" cy="1701800"/>
                    </a:xfrm>
                    <a:prstGeom prst="rect">
                      <a:avLst/>
                    </a:prstGeom>
                  </pic:spPr>
                </pic:pic>
              </a:graphicData>
            </a:graphic>
          </wp:inline>
        </w:drawing>
      </w:r>
    </w:p>
    <w:p w14:paraId="57E1FAD2" w14:textId="0AF3FE9A" w:rsidR="005077A5" w:rsidRPr="00A452F2" w:rsidRDefault="00E63B29" w:rsidP="00BB16C2">
      <w:pPr>
        <w:rPr>
          <w:lang w:val="en-GB"/>
        </w:rPr>
      </w:pPr>
      <w:r>
        <w:rPr>
          <w:lang w:val="en-GB"/>
        </w:rPr>
        <w:t>Similar to Cluster Capacity dashboard, next is a heat map.</w:t>
      </w:r>
      <w:r w:rsidR="00933B28">
        <w:rPr>
          <w:lang w:val="en-GB"/>
        </w:rPr>
        <w:t xml:space="preserve"> There are 2 heat maps provided.</w:t>
      </w:r>
    </w:p>
    <w:p w14:paraId="72A7BAC5" w14:textId="67DB671B" w:rsidR="00B53F9C" w:rsidRDefault="00B53F9C" w:rsidP="005077A5">
      <w:pPr>
        <w:rPr>
          <w:lang w:val="en-GB"/>
        </w:rPr>
      </w:pPr>
      <w:r w:rsidRPr="00B53F9C">
        <w:rPr>
          <w:noProof/>
          <w:lang w:val="en-GB"/>
        </w:rPr>
        <w:drawing>
          <wp:inline distT="0" distB="0" distL="0" distR="0" wp14:anchorId="670F75CF" wp14:editId="7FFF96E3">
            <wp:extent cx="6645910" cy="1361440"/>
            <wp:effectExtent l="0" t="0" r="2540" b="0"/>
            <wp:docPr id="1583707965" name="Picture 1583707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6"/>
                    <a:stretch>
                      <a:fillRect/>
                    </a:stretch>
                  </pic:blipFill>
                  <pic:spPr>
                    <a:xfrm>
                      <a:off x="0" y="0"/>
                      <a:ext cx="6645910" cy="1361440"/>
                    </a:xfrm>
                    <a:prstGeom prst="rect">
                      <a:avLst/>
                    </a:prstGeom>
                  </pic:spPr>
                </pic:pic>
              </a:graphicData>
            </a:graphic>
          </wp:inline>
        </w:drawing>
      </w:r>
    </w:p>
    <w:p w14:paraId="5A7AC180" w14:textId="121F8849" w:rsidR="00933B28" w:rsidRDefault="00933B28" w:rsidP="00933B28">
      <w:pPr>
        <w:rPr>
          <w:lang w:val="en-GB"/>
        </w:rPr>
      </w:pPr>
      <w:r>
        <w:rPr>
          <w:lang w:val="en-GB"/>
        </w:rPr>
        <w:t xml:space="preserve">Why is the box size made identical? </w:t>
      </w:r>
    </w:p>
    <w:p w14:paraId="5EBC21DF" w14:textId="2E4612C8" w:rsidR="00933B28" w:rsidRDefault="00933B28" w:rsidP="00933B28">
      <w:pPr>
        <w:rPr>
          <w:lang w:val="en-GB"/>
        </w:rPr>
      </w:pPr>
      <w:r>
        <w:rPr>
          <w:lang w:val="en-GB"/>
        </w:rPr>
        <w:t>Head to the Cluster Capacity dashboard for the explanation.</w:t>
      </w:r>
    </w:p>
    <w:p w14:paraId="514B4C2A" w14:textId="43CBA458" w:rsidR="00E67555" w:rsidRDefault="00E67555" w:rsidP="00933B28">
      <w:pPr>
        <w:rPr>
          <w:lang w:val="en-GB"/>
        </w:rPr>
      </w:pPr>
      <w:r>
        <w:rPr>
          <w:lang w:val="en-GB"/>
        </w:rPr>
        <w:t xml:space="preserve">As you can expect, a table provides the next level of details. </w:t>
      </w:r>
      <w:r w:rsidR="00FA75A1">
        <w:rPr>
          <w:lang w:val="en-GB"/>
        </w:rPr>
        <w:t>The difference is you get vSAN specific metrics.</w:t>
      </w:r>
    </w:p>
    <w:p w14:paraId="2C682B92" w14:textId="17FB92A9" w:rsidR="00B53F9C" w:rsidRDefault="00631A4D" w:rsidP="005077A5">
      <w:pPr>
        <w:rPr>
          <w:lang w:val="en-GB"/>
        </w:rPr>
      </w:pPr>
      <w:r w:rsidRPr="00631A4D">
        <w:rPr>
          <w:noProof/>
          <w:lang w:val="en-GB"/>
        </w:rPr>
        <w:drawing>
          <wp:inline distT="0" distB="0" distL="0" distR="0" wp14:anchorId="462D1106" wp14:editId="0B4C8285">
            <wp:extent cx="6645910" cy="1675130"/>
            <wp:effectExtent l="0" t="0" r="2540" b="1270"/>
            <wp:docPr id="1709717401" name="Picture 1709717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7"/>
                    <a:stretch>
                      <a:fillRect/>
                    </a:stretch>
                  </pic:blipFill>
                  <pic:spPr>
                    <a:xfrm>
                      <a:off x="0" y="0"/>
                      <a:ext cx="6645910" cy="1675130"/>
                    </a:xfrm>
                    <a:prstGeom prst="rect">
                      <a:avLst/>
                    </a:prstGeom>
                  </pic:spPr>
                </pic:pic>
              </a:graphicData>
            </a:graphic>
          </wp:inline>
        </w:drawing>
      </w:r>
    </w:p>
    <w:p w14:paraId="2EA4A363" w14:textId="5814C686" w:rsidR="00345002" w:rsidRDefault="00345002" w:rsidP="005077A5">
      <w:pPr>
        <w:rPr>
          <w:lang w:val="en-GB"/>
        </w:rPr>
      </w:pPr>
      <w:r>
        <w:rPr>
          <w:lang w:val="en-GB"/>
        </w:rPr>
        <w:t xml:space="preserve">If it’s useful, add metrics such as total disk capacity and used. </w:t>
      </w:r>
    </w:p>
    <w:p w14:paraId="74FE1A16" w14:textId="77777777" w:rsidR="00521115" w:rsidRDefault="00521115" w:rsidP="00AC6E1E">
      <w:pPr>
        <w:pStyle w:val="Heading4"/>
      </w:pPr>
      <w:r>
        <w:t>Cluster Analysis</w:t>
      </w:r>
    </w:p>
    <w:p w14:paraId="533BA218" w14:textId="4A9FD424" w:rsidR="00521115" w:rsidRDefault="00521115" w:rsidP="00521115">
      <w:pPr>
        <w:rPr>
          <w:lang w:val="en-GB"/>
        </w:rPr>
      </w:pPr>
      <w:r>
        <w:rPr>
          <w:lang w:val="en-GB"/>
        </w:rPr>
        <w:t xml:space="preserve">Select a </w:t>
      </w:r>
      <w:r w:rsidR="00BE6EB8">
        <w:rPr>
          <w:lang w:val="en-GB"/>
        </w:rPr>
        <w:t xml:space="preserve">vSAN </w:t>
      </w:r>
      <w:r>
        <w:rPr>
          <w:lang w:val="en-GB"/>
        </w:rPr>
        <w:t>cluster from the table. Its detail capacity will be automatically shown.</w:t>
      </w:r>
    </w:p>
    <w:p w14:paraId="31C66656" w14:textId="7CE3A820" w:rsidR="00521115" w:rsidRPr="00912B8C" w:rsidRDefault="00BE6EB8" w:rsidP="00E7573A">
      <w:pPr>
        <w:pStyle w:val="Heading5"/>
      </w:pPr>
      <w:r>
        <w:lastRenderedPageBreak/>
        <w:t>Utilization</w:t>
      </w:r>
    </w:p>
    <w:p w14:paraId="44E4B985" w14:textId="0370D76C" w:rsidR="005077A5" w:rsidRDefault="00532AA5" w:rsidP="00BE6EB8">
      <w:pPr>
        <w:rPr>
          <w:lang w:val="en-GB" w:eastAsia="en-US"/>
        </w:rPr>
      </w:pPr>
      <w:r>
        <w:rPr>
          <w:lang w:val="en-GB"/>
        </w:rPr>
        <w:t xml:space="preserve">It’s showing the utilization for all 3 elements, as you need to consider all three. </w:t>
      </w:r>
      <w:r w:rsidR="00CB7F22">
        <w:rPr>
          <w:lang w:val="en-GB"/>
        </w:rPr>
        <w:t>Network is not shown as typically it’s not an issue and it’s complex to model.</w:t>
      </w:r>
    </w:p>
    <w:p w14:paraId="5DD3729C" w14:textId="0D0A38AB" w:rsidR="009924A6" w:rsidRDefault="009924A6" w:rsidP="009924A6">
      <w:pPr>
        <w:rPr>
          <w:lang w:val="en-GB" w:eastAsia="en-US"/>
        </w:rPr>
      </w:pPr>
      <w:r w:rsidRPr="009924A6">
        <w:rPr>
          <w:noProof/>
          <w:lang w:val="en-GB" w:eastAsia="en-US"/>
        </w:rPr>
        <w:drawing>
          <wp:inline distT="0" distB="0" distL="0" distR="0" wp14:anchorId="5B0455C9" wp14:editId="1137EC21">
            <wp:extent cx="6645910" cy="1419860"/>
            <wp:effectExtent l="0" t="0" r="2540" b="8890"/>
            <wp:docPr id="1709717383" name="Picture 1709717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8"/>
                    <a:stretch>
                      <a:fillRect/>
                    </a:stretch>
                  </pic:blipFill>
                  <pic:spPr>
                    <a:xfrm>
                      <a:off x="0" y="0"/>
                      <a:ext cx="6645910" cy="1419860"/>
                    </a:xfrm>
                    <a:prstGeom prst="rect">
                      <a:avLst/>
                    </a:prstGeom>
                  </pic:spPr>
                </pic:pic>
              </a:graphicData>
            </a:graphic>
          </wp:inline>
        </w:drawing>
      </w:r>
    </w:p>
    <w:p w14:paraId="64C0EA45" w14:textId="42D1F308" w:rsidR="00B157E0" w:rsidRDefault="003604FE" w:rsidP="009924A6">
      <w:pPr>
        <w:rPr>
          <w:lang w:val="en-GB" w:eastAsia="en-US"/>
        </w:rPr>
      </w:pPr>
      <w:r>
        <w:rPr>
          <w:lang w:val="en-GB" w:eastAsia="en-US"/>
        </w:rPr>
        <w:t xml:space="preserve">Just like physical array, there can be hot spot and </w:t>
      </w:r>
      <w:r w:rsidR="00654EA3">
        <w:rPr>
          <w:lang w:val="en-GB" w:eastAsia="en-US"/>
        </w:rPr>
        <w:t>imbalance</w:t>
      </w:r>
      <w:r>
        <w:rPr>
          <w:lang w:val="en-GB" w:eastAsia="en-US"/>
        </w:rPr>
        <w:t>. The following heat map shows individual disk groups</w:t>
      </w:r>
      <w:r w:rsidR="007F2A05">
        <w:rPr>
          <w:lang w:val="en-GB" w:eastAsia="en-US"/>
        </w:rPr>
        <w:t>.</w:t>
      </w:r>
    </w:p>
    <w:p w14:paraId="7B8E3CD9" w14:textId="1BC8D5BF" w:rsidR="00BC67FC" w:rsidRDefault="00BC67FC" w:rsidP="007F2A05">
      <w:pPr>
        <w:jc w:val="center"/>
        <w:rPr>
          <w:lang w:val="en-GB" w:eastAsia="en-US"/>
        </w:rPr>
      </w:pPr>
      <w:r w:rsidRPr="00BC67FC">
        <w:rPr>
          <w:noProof/>
          <w:lang w:val="en-GB" w:eastAsia="en-US"/>
        </w:rPr>
        <w:drawing>
          <wp:inline distT="0" distB="0" distL="0" distR="0" wp14:anchorId="35E39E76" wp14:editId="296A703A">
            <wp:extent cx="5542671" cy="1310805"/>
            <wp:effectExtent l="0" t="0" r="1270" b="3810"/>
            <wp:docPr id="1709717402" name="Picture 1709717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9"/>
                    <a:stretch>
                      <a:fillRect/>
                    </a:stretch>
                  </pic:blipFill>
                  <pic:spPr>
                    <a:xfrm>
                      <a:off x="0" y="0"/>
                      <a:ext cx="5551256" cy="1312835"/>
                    </a:xfrm>
                    <a:prstGeom prst="rect">
                      <a:avLst/>
                    </a:prstGeom>
                  </pic:spPr>
                </pic:pic>
              </a:graphicData>
            </a:graphic>
          </wp:inline>
        </w:drawing>
      </w:r>
    </w:p>
    <w:p w14:paraId="02BCD356" w14:textId="3AD74794" w:rsidR="007F2A05" w:rsidRDefault="007F2A05" w:rsidP="007F2A05">
      <w:pPr>
        <w:rPr>
          <w:lang w:val="en-GB" w:eastAsia="en-US"/>
        </w:rPr>
      </w:pPr>
      <w:r>
        <w:rPr>
          <w:lang w:val="en-GB" w:eastAsia="en-US"/>
        </w:rPr>
        <w:t xml:space="preserve">Notice they are all </w:t>
      </w:r>
      <w:r w:rsidR="0022569A" w:rsidRPr="0022569A">
        <w:rPr>
          <w:color w:val="00B050"/>
          <w:lang w:val="en-GB" w:eastAsia="en-US"/>
        </w:rPr>
        <w:t>green</w:t>
      </w:r>
      <w:r>
        <w:rPr>
          <w:lang w:val="en-GB" w:eastAsia="en-US"/>
        </w:rPr>
        <w:t xml:space="preserve"> but not identical. It’s </w:t>
      </w:r>
      <w:r w:rsidR="00615144">
        <w:rPr>
          <w:lang w:val="en-GB" w:eastAsia="en-US"/>
        </w:rPr>
        <w:t>normal for them to have minor variance.</w:t>
      </w:r>
    </w:p>
    <w:p w14:paraId="318991A9" w14:textId="238B3D36" w:rsidR="00091B7D" w:rsidRDefault="00AE0183" w:rsidP="00E7573A">
      <w:pPr>
        <w:pStyle w:val="Heading5"/>
        <w:rPr>
          <w:lang w:eastAsia="en-US"/>
        </w:rPr>
      </w:pPr>
      <w:r>
        <w:rPr>
          <w:lang w:eastAsia="en-US"/>
        </w:rPr>
        <w:t>Reclaimable</w:t>
      </w:r>
    </w:p>
    <w:p w14:paraId="2FB80135" w14:textId="30D59F41" w:rsidR="00C119E2" w:rsidRPr="00C119E2" w:rsidRDefault="00C119E2" w:rsidP="00C119E2">
      <w:pPr>
        <w:rPr>
          <w:lang w:val="en-GB" w:eastAsia="en-US"/>
        </w:rPr>
      </w:pPr>
      <w:r>
        <w:rPr>
          <w:lang w:val="en-GB" w:eastAsia="en-US"/>
        </w:rPr>
        <w:t xml:space="preserve">It’s a key component of </w:t>
      </w:r>
      <w:r w:rsidR="00986293">
        <w:rPr>
          <w:lang w:val="en-GB" w:eastAsia="en-US"/>
        </w:rPr>
        <w:t xml:space="preserve">proactive </w:t>
      </w:r>
      <w:r>
        <w:rPr>
          <w:lang w:val="en-GB" w:eastAsia="en-US"/>
        </w:rPr>
        <w:t>capacity</w:t>
      </w:r>
      <w:r w:rsidR="00986293">
        <w:rPr>
          <w:lang w:val="en-GB" w:eastAsia="en-US"/>
        </w:rPr>
        <w:t xml:space="preserve"> management. </w:t>
      </w:r>
      <w:r w:rsidR="00C065FB">
        <w:rPr>
          <w:lang w:val="en-GB" w:eastAsia="en-US"/>
        </w:rPr>
        <w:t>The dashboard shows you</w:t>
      </w:r>
      <w:r w:rsidR="00986293">
        <w:rPr>
          <w:lang w:val="en-GB" w:eastAsia="en-US"/>
        </w:rPr>
        <w:t xml:space="preserve"> both the VM</w:t>
      </w:r>
      <w:r w:rsidR="00C065FB">
        <w:rPr>
          <w:lang w:val="en-GB" w:eastAsia="en-US"/>
        </w:rPr>
        <w:t>s</w:t>
      </w:r>
      <w:r w:rsidR="00986293">
        <w:rPr>
          <w:lang w:val="en-GB" w:eastAsia="en-US"/>
        </w:rPr>
        <w:t xml:space="preserve"> and non VM</w:t>
      </w:r>
      <w:r w:rsidR="00C065FB">
        <w:rPr>
          <w:lang w:val="en-GB" w:eastAsia="en-US"/>
        </w:rPr>
        <w:t>s portion</w:t>
      </w:r>
      <w:r w:rsidR="00986293">
        <w:rPr>
          <w:lang w:val="en-GB" w:eastAsia="en-US"/>
        </w:rPr>
        <w:t>.</w:t>
      </w:r>
    </w:p>
    <w:p w14:paraId="0FE6FC7E" w14:textId="69C35B50" w:rsidR="00BC67FC" w:rsidRDefault="00B57616" w:rsidP="00C119E2">
      <w:pPr>
        <w:jc w:val="center"/>
        <w:rPr>
          <w:lang w:val="en-GB" w:eastAsia="en-US"/>
        </w:rPr>
      </w:pPr>
      <w:r w:rsidRPr="00B57616">
        <w:rPr>
          <w:noProof/>
          <w:lang w:val="en-GB" w:eastAsia="en-US"/>
        </w:rPr>
        <w:drawing>
          <wp:inline distT="0" distB="0" distL="0" distR="0" wp14:anchorId="1F20AD0B" wp14:editId="73602A6C">
            <wp:extent cx="5507502" cy="1298517"/>
            <wp:effectExtent l="0" t="0" r="0" b="0"/>
            <wp:docPr id="1709717403" name="Picture 1709717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0"/>
                    <a:stretch>
                      <a:fillRect/>
                    </a:stretch>
                  </pic:blipFill>
                  <pic:spPr>
                    <a:xfrm>
                      <a:off x="0" y="0"/>
                      <a:ext cx="5517219" cy="1300808"/>
                    </a:xfrm>
                    <a:prstGeom prst="rect">
                      <a:avLst/>
                    </a:prstGeom>
                  </pic:spPr>
                </pic:pic>
              </a:graphicData>
            </a:graphic>
          </wp:inline>
        </w:drawing>
      </w:r>
    </w:p>
    <w:p w14:paraId="06930693" w14:textId="41DFF07C" w:rsidR="00091B7D" w:rsidRDefault="003E61E4" w:rsidP="00E7573A">
      <w:pPr>
        <w:pStyle w:val="Heading5"/>
        <w:rPr>
          <w:lang w:eastAsia="en-US"/>
        </w:rPr>
      </w:pPr>
      <w:r>
        <w:rPr>
          <w:lang w:eastAsia="en-US"/>
        </w:rPr>
        <w:t>Dedupe and Compressed</w:t>
      </w:r>
    </w:p>
    <w:p w14:paraId="0D7AF50B" w14:textId="36A3FC4B" w:rsidR="003E61E4" w:rsidRDefault="00221292" w:rsidP="009924A6">
      <w:pPr>
        <w:rPr>
          <w:lang w:val="en-GB" w:eastAsia="en-US"/>
        </w:rPr>
      </w:pPr>
      <w:r>
        <w:rPr>
          <w:lang w:val="en-GB" w:eastAsia="en-US"/>
        </w:rPr>
        <w:t>The scoreboard shows details on this area.</w:t>
      </w:r>
    </w:p>
    <w:p w14:paraId="1E7871ED" w14:textId="67B92F57" w:rsidR="004D1C04" w:rsidRDefault="004D1C04" w:rsidP="003E61E4">
      <w:pPr>
        <w:jc w:val="center"/>
        <w:rPr>
          <w:lang w:val="en-GB" w:eastAsia="en-US"/>
        </w:rPr>
      </w:pPr>
      <w:r w:rsidRPr="004D1C04">
        <w:rPr>
          <w:noProof/>
          <w:lang w:val="en-GB" w:eastAsia="en-US"/>
        </w:rPr>
        <w:lastRenderedPageBreak/>
        <w:drawing>
          <wp:inline distT="0" distB="0" distL="0" distR="0" wp14:anchorId="7CC0C58E" wp14:editId="4B486AC5">
            <wp:extent cx="4967178" cy="1138101"/>
            <wp:effectExtent l="0" t="0" r="5080" b="5080"/>
            <wp:docPr id="1709717404" name="Picture 1709717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1"/>
                    <a:stretch>
                      <a:fillRect/>
                    </a:stretch>
                  </pic:blipFill>
                  <pic:spPr>
                    <a:xfrm>
                      <a:off x="0" y="0"/>
                      <a:ext cx="4973708" cy="1139597"/>
                    </a:xfrm>
                    <a:prstGeom prst="rect">
                      <a:avLst/>
                    </a:prstGeom>
                  </pic:spPr>
                </pic:pic>
              </a:graphicData>
            </a:graphic>
          </wp:inline>
        </w:drawing>
      </w:r>
    </w:p>
    <w:p w14:paraId="4659FEE9" w14:textId="2178C07A" w:rsidR="00B76B7B" w:rsidRPr="00A452F2" w:rsidRDefault="00B76B7B" w:rsidP="00B76B7B">
      <w:pPr>
        <w:rPr>
          <w:lang w:val="en-GB" w:eastAsia="en-US"/>
        </w:rPr>
      </w:pPr>
      <w:r>
        <w:rPr>
          <w:lang w:val="en-GB" w:eastAsia="en-US"/>
        </w:rPr>
        <w:t xml:space="preserve">If you are concerned with the CPU </w:t>
      </w:r>
      <w:r w:rsidR="00457ED5">
        <w:rPr>
          <w:lang w:val="en-GB" w:eastAsia="en-US"/>
        </w:rPr>
        <w:t>usage from the dedupe and compress feature, add a line chart of vSAN CPU usage.</w:t>
      </w:r>
    </w:p>
    <w:p w14:paraId="15ADF631" w14:textId="497457E9" w:rsidR="005077A5" w:rsidRDefault="004D1C04" w:rsidP="00AC6E1E">
      <w:pPr>
        <w:pStyle w:val="Heading4"/>
      </w:pPr>
      <w:r>
        <w:t>Disk Group Analysis</w:t>
      </w:r>
    </w:p>
    <w:p w14:paraId="0F5D6E06" w14:textId="539D42F4" w:rsidR="00163894" w:rsidRDefault="00163894" w:rsidP="00163894">
      <w:pPr>
        <w:rPr>
          <w:lang w:val="en-GB"/>
        </w:rPr>
      </w:pPr>
      <w:r>
        <w:rPr>
          <w:lang w:val="en-GB"/>
        </w:rPr>
        <w:t xml:space="preserve">If there is </w:t>
      </w:r>
      <w:r w:rsidR="00654EA3">
        <w:rPr>
          <w:lang w:val="en-GB"/>
        </w:rPr>
        <w:t>imbalance</w:t>
      </w:r>
      <w:r>
        <w:rPr>
          <w:lang w:val="en-GB"/>
        </w:rPr>
        <w:t>, you can drill down into each disk group. Otherwise, skip this section.</w:t>
      </w:r>
    </w:p>
    <w:p w14:paraId="4E753D0D" w14:textId="52C94325" w:rsidR="00086EEC" w:rsidRPr="00163894" w:rsidRDefault="00086EEC" w:rsidP="00163894">
      <w:pPr>
        <w:rPr>
          <w:lang w:val="en-GB"/>
        </w:rPr>
      </w:pPr>
      <w:r>
        <w:rPr>
          <w:lang w:val="en-GB"/>
        </w:rPr>
        <w:t xml:space="preserve">The following table shows all the disk groups in the cluster. </w:t>
      </w:r>
      <w:r w:rsidR="00D915A1">
        <w:rPr>
          <w:lang w:val="en-GB"/>
        </w:rPr>
        <w:t>The</w:t>
      </w:r>
      <w:r w:rsidR="0035388F">
        <w:rPr>
          <w:lang w:val="en-GB"/>
        </w:rPr>
        <w:t>ir usage</w:t>
      </w:r>
      <w:r w:rsidR="00D915A1">
        <w:rPr>
          <w:lang w:val="en-GB"/>
        </w:rPr>
        <w:t xml:space="preserve"> may not be similar but they should not deviate drastically.</w:t>
      </w:r>
    </w:p>
    <w:p w14:paraId="15FCE80F" w14:textId="66D8A9EF" w:rsidR="004D1C04" w:rsidRDefault="0081378B" w:rsidP="004D1C04">
      <w:pPr>
        <w:rPr>
          <w:lang w:val="en-GB"/>
        </w:rPr>
      </w:pPr>
      <w:r w:rsidRPr="0081378B">
        <w:rPr>
          <w:noProof/>
          <w:lang w:val="en-GB"/>
        </w:rPr>
        <w:drawing>
          <wp:inline distT="0" distB="0" distL="0" distR="0" wp14:anchorId="02868B50" wp14:editId="3434D305">
            <wp:extent cx="6645910" cy="2780030"/>
            <wp:effectExtent l="0" t="0" r="2540" b="1270"/>
            <wp:docPr id="1709717405" name="Picture 1709717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2"/>
                    <a:stretch>
                      <a:fillRect/>
                    </a:stretch>
                  </pic:blipFill>
                  <pic:spPr>
                    <a:xfrm>
                      <a:off x="0" y="0"/>
                      <a:ext cx="6645910" cy="2780030"/>
                    </a:xfrm>
                    <a:prstGeom prst="rect">
                      <a:avLst/>
                    </a:prstGeom>
                  </pic:spPr>
                </pic:pic>
              </a:graphicData>
            </a:graphic>
          </wp:inline>
        </w:drawing>
      </w:r>
    </w:p>
    <w:p w14:paraId="20FC2552" w14:textId="7D9ECF41" w:rsidR="00163894" w:rsidRDefault="00E041A2" w:rsidP="004D1C04">
      <w:pPr>
        <w:rPr>
          <w:lang w:val="en-GB"/>
        </w:rPr>
      </w:pPr>
      <w:r>
        <w:rPr>
          <w:lang w:val="en-GB"/>
        </w:rPr>
        <w:t>To see any of the disk group usage trend, click on it.</w:t>
      </w:r>
    </w:p>
    <w:p w14:paraId="132668CD" w14:textId="0ED977F2" w:rsidR="00DE2DC3" w:rsidRDefault="007A2EAC" w:rsidP="004D1C04">
      <w:pPr>
        <w:rPr>
          <w:lang w:val="en-GB"/>
        </w:rPr>
      </w:pPr>
      <w:r w:rsidRPr="007A2EAC">
        <w:rPr>
          <w:noProof/>
          <w:lang w:val="en-GB"/>
        </w:rPr>
        <w:lastRenderedPageBreak/>
        <w:drawing>
          <wp:inline distT="0" distB="0" distL="0" distR="0" wp14:anchorId="43D8FE3A" wp14:editId="69903D48">
            <wp:extent cx="6645910" cy="2734310"/>
            <wp:effectExtent l="0" t="0" r="2540" b="8890"/>
            <wp:docPr id="1709717406" name="Picture 1709717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3"/>
                    <a:stretch>
                      <a:fillRect/>
                    </a:stretch>
                  </pic:blipFill>
                  <pic:spPr>
                    <a:xfrm>
                      <a:off x="0" y="0"/>
                      <a:ext cx="6645910" cy="2734310"/>
                    </a:xfrm>
                    <a:prstGeom prst="rect">
                      <a:avLst/>
                    </a:prstGeom>
                  </pic:spPr>
                </pic:pic>
              </a:graphicData>
            </a:graphic>
          </wp:inline>
        </w:drawing>
      </w:r>
    </w:p>
    <w:p w14:paraId="47DB26DA" w14:textId="5B1B3364" w:rsidR="00B97FF1" w:rsidRDefault="00E7259F" w:rsidP="004D1C04">
      <w:pPr>
        <w:rPr>
          <w:lang w:val="en-GB"/>
        </w:rPr>
      </w:pPr>
      <w:r>
        <w:rPr>
          <w:lang w:val="en-GB"/>
        </w:rPr>
        <w:t>In addition a heat map is provided</w:t>
      </w:r>
      <w:r w:rsidR="00E041A2">
        <w:rPr>
          <w:lang w:val="en-GB"/>
        </w:rPr>
        <w:t xml:space="preserve"> to see the usage among the capacity disks in the selected disk group. Expect them to be uniformed at this level</w:t>
      </w:r>
      <w:r w:rsidR="005A5687">
        <w:rPr>
          <w:lang w:val="en-GB"/>
        </w:rPr>
        <w:t xml:space="preserve"> as it’s RAID striping.</w:t>
      </w:r>
    </w:p>
    <w:p w14:paraId="6EA1BD4C" w14:textId="14203D75" w:rsidR="00E7259F" w:rsidRDefault="00E7259F" w:rsidP="00AC6E1E">
      <w:pPr>
        <w:pStyle w:val="Heading4"/>
      </w:pPr>
      <w:r>
        <w:t>VM Analysis</w:t>
      </w:r>
    </w:p>
    <w:p w14:paraId="33E2692D" w14:textId="2147847B" w:rsidR="005A5687" w:rsidRPr="005A5687" w:rsidRDefault="00805045" w:rsidP="005A5687">
      <w:pPr>
        <w:rPr>
          <w:lang w:val="en-GB"/>
        </w:rPr>
      </w:pPr>
      <w:r>
        <w:rPr>
          <w:lang w:val="en-GB"/>
        </w:rPr>
        <w:t>You can get down to individual VMs in the selected cluster, and check their usage and snapshot.</w:t>
      </w:r>
    </w:p>
    <w:p w14:paraId="26771749" w14:textId="7D42591A" w:rsidR="00362A97" w:rsidRDefault="00362A97" w:rsidP="005A5687">
      <w:pPr>
        <w:jc w:val="center"/>
        <w:rPr>
          <w:lang w:val="en-GB"/>
        </w:rPr>
      </w:pPr>
      <w:r w:rsidRPr="00362A97">
        <w:rPr>
          <w:noProof/>
          <w:lang w:val="en-GB"/>
        </w:rPr>
        <w:drawing>
          <wp:inline distT="0" distB="0" distL="0" distR="0" wp14:anchorId="2A8E49F6" wp14:editId="5D8BE485">
            <wp:extent cx="5920105" cy="1902285"/>
            <wp:effectExtent l="0" t="0" r="4445" b="3175"/>
            <wp:docPr id="1709717407" name="Picture 1709717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4"/>
                    <a:stretch>
                      <a:fillRect/>
                    </a:stretch>
                  </pic:blipFill>
                  <pic:spPr>
                    <a:xfrm>
                      <a:off x="0" y="0"/>
                      <a:ext cx="5927928" cy="1904799"/>
                    </a:xfrm>
                    <a:prstGeom prst="rect">
                      <a:avLst/>
                    </a:prstGeom>
                  </pic:spPr>
                </pic:pic>
              </a:graphicData>
            </a:graphic>
          </wp:inline>
        </w:drawing>
      </w:r>
    </w:p>
    <w:p w14:paraId="366E0B94" w14:textId="2371B490" w:rsidR="005D2EA3" w:rsidRDefault="005D2EA3" w:rsidP="00805045">
      <w:pPr>
        <w:rPr>
          <w:lang w:val="en-GB"/>
        </w:rPr>
      </w:pPr>
      <w:r>
        <w:rPr>
          <w:lang w:val="en-GB"/>
        </w:rPr>
        <w:t>To see the usage trend, select the VM.</w:t>
      </w:r>
    </w:p>
    <w:p w14:paraId="15CF9876" w14:textId="4FBE03EA" w:rsidR="00E7259F" w:rsidRDefault="00E7259F" w:rsidP="004D1C04">
      <w:pPr>
        <w:rPr>
          <w:lang w:val="en-GB"/>
        </w:rPr>
      </w:pPr>
      <w:r w:rsidRPr="00E7259F">
        <w:rPr>
          <w:noProof/>
          <w:lang w:val="en-GB"/>
        </w:rPr>
        <w:drawing>
          <wp:inline distT="0" distB="0" distL="0" distR="0" wp14:anchorId="4EA90FA6" wp14:editId="5ACABBB3">
            <wp:extent cx="6645910" cy="1344930"/>
            <wp:effectExtent l="0" t="0" r="2540" b="7620"/>
            <wp:docPr id="1709717408" name="Picture 1709717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5"/>
                    <a:stretch>
                      <a:fillRect/>
                    </a:stretch>
                  </pic:blipFill>
                  <pic:spPr>
                    <a:xfrm>
                      <a:off x="0" y="0"/>
                      <a:ext cx="6645910" cy="1344930"/>
                    </a:xfrm>
                    <a:prstGeom prst="rect">
                      <a:avLst/>
                    </a:prstGeom>
                  </pic:spPr>
                </pic:pic>
              </a:graphicData>
            </a:graphic>
          </wp:inline>
        </w:drawing>
      </w:r>
    </w:p>
    <w:p w14:paraId="47A914BB" w14:textId="03EF0514" w:rsidR="00D110B1" w:rsidRPr="004D1C04" w:rsidRDefault="00D110B1" w:rsidP="004D1C04">
      <w:pPr>
        <w:rPr>
          <w:lang w:val="en-GB"/>
        </w:rPr>
      </w:pPr>
      <w:r>
        <w:rPr>
          <w:lang w:val="en-GB"/>
        </w:rPr>
        <w:t>In addition, the relevant configuration of the selected VM is also shown.</w:t>
      </w:r>
    </w:p>
    <w:p w14:paraId="28650E24" w14:textId="70E808C3" w:rsidR="007A44C7" w:rsidRDefault="007A44C7" w:rsidP="00540F68">
      <w:pPr>
        <w:pStyle w:val="Heading3"/>
      </w:pPr>
      <w:r w:rsidRPr="00A452F2">
        <w:lastRenderedPageBreak/>
        <w:t>VM Capacity</w:t>
      </w:r>
    </w:p>
    <w:p w14:paraId="10A51C53" w14:textId="093D1ED3" w:rsidR="006870A1" w:rsidRPr="006870A1" w:rsidRDefault="006870A1" w:rsidP="006870A1">
      <w:pPr>
        <w:rPr>
          <w:lang w:val="en-GB"/>
        </w:rPr>
      </w:pPr>
      <w:r>
        <w:rPr>
          <w:lang w:val="en-GB"/>
        </w:rPr>
        <w:t xml:space="preserve">The dashboard </w:t>
      </w:r>
      <w:r w:rsidR="00C63E8F">
        <w:rPr>
          <w:lang w:val="en-GB"/>
        </w:rPr>
        <w:t>helps you analyse the capacity of all the VMs</w:t>
      </w:r>
      <w:r w:rsidR="00AD3264">
        <w:rPr>
          <w:lang w:val="en-GB"/>
        </w:rPr>
        <w:t xml:space="preserve">, </w:t>
      </w:r>
      <w:r w:rsidR="003C792A">
        <w:rPr>
          <w:lang w:val="en-GB"/>
        </w:rPr>
        <w:t>with ability to dri</w:t>
      </w:r>
      <w:r w:rsidR="00641DE7">
        <w:rPr>
          <w:lang w:val="en-GB"/>
        </w:rPr>
        <w:t>l</w:t>
      </w:r>
      <w:r w:rsidR="003C792A">
        <w:rPr>
          <w:lang w:val="en-GB"/>
        </w:rPr>
        <w:t>l down into each VM.</w:t>
      </w:r>
    </w:p>
    <w:p w14:paraId="51A9BB2D" w14:textId="688A4585" w:rsidR="00E20D2B" w:rsidRDefault="00E20D2B" w:rsidP="00AC6E1E">
      <w:pPr>
        <w:pStyle w:val="Heading4"/>
      </w:pPr>
      <w:r>
        <w:t>Overall Analysis</w:t>
      </w:r>
    </w:p>
    <w:p w14:paraId="2CA974B2" w14:textId="77777777" w:rsidR="00BA22E6" w:rsidRDefault="001C0545" w:rsidP="00F51769">
      <w:pPr>
        <w:rPr>
          <w:lang w:val="en-GB"/>
        </w:rPr>
      </w:pPr>
      <w:r>
        <w:rPr>
          <w:lang w:val="en-GB"/>
        </w:rPr>
        <w:t xml:space="preserve">The dashboard begins with a </w:t>
      </w:r>
      <w:r w:rsidR="003020D8">
        <w:rPr>
          <w:lang w:val="en-GB"/>
        </w:rPr>
        <w:t xml:space="preserve">table listing all your data centers. </w:t>
      </w:r>
    </w:p>
    <w:p w14:paraId="33A7611C" w14:textId="675361E8" w:rsidR="00F51769" w:rsidRDefault="003020D8" w:rsidP="00F00B03">
      <w:pPr>
        <w:rPr>
          <w:lang w:val="en-GB"/>
        </w:rPr>
      </w:pPr>
      <w:r>
        <w:rPr>
          <w:lang w:val="en-GB"/>
        </w:rPr>
        <w:t>vSphere World is also included</w:t>
      </w:r>
      <w:r w:rsidR="00BA22E6">
        <w:rPr>
          <w:lang w:val="en-GB"/>
        </w:rPr>
        <w:t xml:space="preserve"> </w:t>
      </w:r>
      <w:r w:rsidR="00F00B03">
        <w:rPr>
          <w:lang w:val="en-GB"/>
        </w:rPr>
        <w:t xml:space="preserve">so you can see all the VMs from all data centers. </w:t>
      </w:r>
      <w:r>
        <w:rPr>
          <w:lang w:val="en-GB"/>
        </w:rPr>
        <w:t>Unlike infrastructure objects</w:t>
      </w:r>
      <w:r w:rsidR="00BA22E6">
        <w:rPr>
          <w:lang w:val="en-GB"/>
        </w:rPr>
        <w:t xml:space="preserve">, there are potentially tens of thousands of VM. So </w:t>
      </w:r>
      <w:r w:rsidR="00F00B03">
        <w:rPr>
          <w:lang w:val="en-GB"/>
        </w:rPr>
        <w:t>t</w:t>
      </w:r>
      <w:r w:rsidR="00F51769" w:rsidRPr="00A452F2">
        <w:rPr>
          <w:lang w:val="en-GB"/>
        </w:rPr>
        <w:t xml:space="preserve">ake note that the charts will take longer due to refresh </w:t>
      </w:r>
      <w:r w:rsidR="00007120">
        <w:rPr>
          <w:lang w:val="en-GB"/>
        </w:rPr>
        <w:t>if you select vSphere World.</w:t>
      </w:r>
    </w:p>
    <w:p w14:paraId="1B99DDE1" w14:textId="2F0F815D" w:rsidR="003C792A" w:rsidRPr="003C792A" w:rsidRDefault="003C792A" w:rsidP="003C792A">
      <w:pPr>
        <w:rPr>
          <w:lang w:val="en-GB"/>
        </w:rPr>
      </w:pPr>
      <w:r>
        <w:rPr>
          <w:lang w:val="en-GB"/>
        </w:rPr>
        <w:t>How do the following 2 charts provide insight into the</w:t>
      </w:r>
      <w:r w:rsidR="00014264">
        <w:rPr>
          <w:lang w:val="en-GB"/>
        </w:rPr>
        <w:t xml:space="preserve"> capacity of all the VMs in your environment?</w:t>
      </w:r>
      <w:r w:rsidR="001F49CF">
        <w:rPr>
          <w:lang w:val="en-GB"/>
        </w:rPr>
        <w:t xml:space="preserve"> What’s the ideal distribution?</w:t>
      </w:r>
    </w:p>
    <w:p w14:paraId="7E9BD94D" w14:textId="7D812FA8" w:rsidR="0019579B" w:rsidRDefault="0019579B" w:rsidP="00E20D2B">
      <w:pPr>
        <w:rPr>
          <w:lang w:val="en-GB"/>
        </w:rPr>
      </w:pPr>
      <w:r w:rsidRPr="0019579B">
        <w:rPr>
          <w:noProof/>
          <w:lang w:val="en-GB"/>
        </w:rPr>
        <w:drawing>
          <wp:inline distT="0" distB="0" distL="0" distR="0" wp14:anchorId="600E2C60" wp14:editId="2E8FA5C2">
            <wp:extent cx="6645910" cy="1717675"/>
            <wp:effectExtent l="0" t="0" r="2540" b="0"/>
            <wp:docPr id="1709717377" name="Picture 1709717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6"/>
                    <a:stretch>
                      <a:fillRect/>
                    </a:stretch>
                  </pic:blipFill>
                  <pic:spPr>
                    <a:xfrm>
                      <a:off x="0" y="0"/>
                      <a:ext cx="6645910" cy="1717675"/>
                    </a:xfrm>
                    <a:prstGeom prst="rect">
                      <a:avLst/>
                    </a:prstGeom>
                  </pic:spPr>
                </pic:pic>
              </a:graphicData>
            </a:graphic>
          </wp:inline>
        </w:drawing>
      </w:r>
    </w:p>
    <w:p w14:paraId="599FC8B5" w14:textId="1CDCEFE1" w:rsidR="00014264" w:rsidRDefault="001F49CF" w:rsidP="00E20D2B">
      <w:pPr>
        <w:rPr>
          <w:lang w:val="en-GB"/>
        </w:rPr>
      </w:pPr>
      <w:r>
        <w:rPr>
          <w:lang w:val="en-GB"/>
        </w:rPr>
        <w:t xml:space="preserve">The first chart </w:t>
      </w:r>
      <w:r w:rsidR="00494AB4">
        <w:rPr>
          <w:lang w:val="en-GB"/>
        </w:rPr>
        <w:t xml:space="preserve">groups them by capacity remaining, while the second one by time remaining. Ideally, you want all of them to be low on capacity remaining (meaning </w:t>
      </w:r>
      <w:r w:rsidR="00A74622">
        <w:rPr>
          <w:lang w:val="en-GB"/>
        </w:rPr>
        <w:t>the given capacity is actually fully used) but high on time remaining (meaning they do not need additional).</w:t>
      </w:r>
    </w:p>
    <w:p w14:paraId="04FA793D" w14:textId="45DE2541" w:rsidR="00966984" w:rsidRDefault="00966984" w:rsidP="00966984">
      <w:pPr>
        <w:rPr>
          <w:lang w:val="en-GB"/>
        </w:rPr>
      </w:pPr>
      <w:r>
        <w:rPr>
          <w:lang w:val="en-GB"/>
        </w:rPr>
        <w:t>The bucket size has been designed to map the default settings in VM capacity policy.</w:t>
      </w:r>
      <w:r w:rsidR="00994500">
        <w:rPr>
          <w:lang w:val="en-GB"/>
        </w:rPr>
        <w:t xml:space="preserve"> If you change it, also change the value in policy so it’s consistent.</w:t>
      </w:r>
    </w:p>
    <w:p w14:paraId="05106B9C" w14:textId="75D72AC7" w:rsidR="00E20D2B" w:rsidRPr="00E20D2B" w:rsidRDefault="00A74622" w:rsidP="00E20D2B">
      <w:pPr>
        <w:rPr>
          <w:lang w:val="en-GB"/>
        </w:rPr>
      </w:pPr>
      <w:r>
        <w:rPr>
          <w:lang w:val="en-GB"/>
        </w:rPr>
        <w:t>The heat map</w:t>
      </w:r>
      <w:r w:rsidR="00E0177E">
        <w:rPr>
          <w:lang w:val="en-GB"/>
        </w:rPr>
        <w:t xml:space="preserve"> provides additional view by grouping them by cluster. </w:t>
      </w:r>
      <w:r w:rsidR="00593F88">
        <w:rPr>
          <w:lang w:val="en-GB"/>
        </w:rPr>
        <w:t>It helps you spot which cluster is at risk</w:t>
      </w:r>
      <w:r w:rsidR="003D46CB">
        <w:rPr>
          <w:lang w:val="en-GB"/>
        </w:rPr>
        <w:t xml:space="preserve"> (</w:t>
      </w:r>
      <w:r w:rsidR="00593F88">
        <w:rPr>
          <w:lang w:val="en-GB"/>
        </w:rPr>
        <w:t>majority of its VM</w:t>
      </w:r>
      <w:r w:rsidR="003D46CB">
        <w:rPr>
          <w:lang w:val="en-GB"/>
        </w:rPr>
        <w:t>s need more capacity)</w:t>
      </w:r>
      <w:r w:rsidR="007C7E9E">
        <w:rPr>
          <w:lang w:val="en-GB"/>
        </w:rPr>
        <w:t xml:space="preserve"> and which cluster can provide extra resource (majority of its VMs are not using their capacity)</w:t>
      </w:r>
      <w:r w:rsidR="003D46CB">
        <w:rPr>
          <w:lang w:val="en-GB"/>
        </w:rPr>
        <w:t>.</w:t>
      </w:r>
    </w:p>
    <w:p w14:paraId="449E2081" w14:textId="1115E2A9" w:rsidR="00E20D2B" w:rsidRPr="00A452F2" w:rsidRDefault="00E20D2B" w:rsidP="007A44C7">
      <w:pPr>
        <w:rPr>
          <w:lang w:val="en-GB"/>
        </w:rPr>
      </w:pPr>
      <w:r w:rsidRPr="00E20D2B">
        <w:rPr>
          <w:noProof/>
          <w:lang w:val="en-GB"/>
        </w:rPr>
        <w:drawing>
          <wp:inline distT="0" distB="0" distL="0" distR="0" wp14:anchorId="0FA5399A" wp14:editId="57D6D440">
            <wp:extent cx="6645910" cy="1506855"/>
            <wp:effectExtent l="0" t="0" r="2540" b="0"/>
            <wp:docPr id="1709717376" name="Picture 1709717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7"/>
                    <a:stretch>
                      <a:fillRect/>
                    </a:stretch>
                  </pic:blipFill>
                  <pic:spPr>
                    <a:xfrm>
                      <a:off x="0" y="0"/>
                      <a:ext cx="6645910" cy="1506855"/>
                    </a:xfrm>
                    <a:prstGeom prst="rect">
                      <a:avLst/>
                    </a:prstGeom>
                  </pic:spPr>
                </pic:pic>
              </a:graphicData>
            </a:graphic>
          </wp:inline>
        </w:drawing>
      </w:r>
    </w:p>
    <w:p w14:paraId="6FA5345D" w14:textId="4261B2AC" w:rsidR="007A44C7" w:rsidRPr="00A452F2" w:rsidRDefault="007A44C7" w:rsidP="007A44C7">
      <w:pPr>
        <w:rPr>
          <w:lang w:val="en-GB"/>
        </w:rPr>
      </w:pPr>
      <w:r w:rsidRPr="00A452F2">
        <w:rPr>
          <w:lang w:val="en-GB"/>
        </w:rPr>
        <w:lastRenderedPageBreak/>
        <w:t>Review the heat map</w:t>
      </w:r>
      <w:r>
        <w:rPr>
          <w:lang w:val="en-GB"/>
        </w:rPr>
        <w:t>.</w:t>
      </w:r>
      <w:r w:rsidRPr="00891CB3">
        <w:rPr>
          <w:lang w:val="en-GB"/>
        </w:rPr>
        <w:t xml:space="preserve"> </w:t>
      </w:r>
      <w:r w:rsidRPr="00A452F2">
        <w:rPr>
          <w:lang w:val="en-GB"/>
        </w:rPr>
        <w:t>It provides the next level of details by grouping the VMs by clusters, so you can see which clusters need atten</w:t>
      </w:r>
      <w:r w:rsidR="00641DE7">
        <w:rPr>
          <w:lang w:val="en-GB"/>
        </w:rPr>
        <w:t>tion</w:t>
      </w:r>
      <w:r>
        <w:rPr>
          <w:lang w:val="en-GB"/>
        </w:rPr>
        <w:t>.</w:t>
      </w:r>
    </w:p>
    <w:p w14:paraId="5F222792" w14:textId="264D6198" w:rsidR="007A44C7" w:rsidRPr="00A452F2" w:rsidRDefault="007A44C7" w:rsidP="007A44C7">
      <w:pPr>
        <w:rPr>
          <w:lang w:val="en-GB"/>
        </w:rPr>
      </w:pPr>
      <w:r w:rsidRPr="00A452F2">
        <w:rPr>
          <w:lang w:val="en-GB"/>
        </w:rPr>
        <w:t xml:space="preserve">Note the VM size has been standardized for better visualization. If it suits your capacity team better, add the size. Note that </w:t>
      </w:r>
      <w:r w:rsidR="00F54B32">
        <w:rPr>
          <w:lang w:val="en-GB"/>
        </w:rPr>
        <w:t xml:space="preserve">by doing that </w:t>
      </w:r>
      <w:r w:rsidRPr="00A452F2">
        <w:rPr>
          <w:lang w:val="en-GB"/>
        </w:rPr>
        <w:t>you have to pick CPU or Memory</w:t>
      </w:r>
      <w:r>
        <w:rPr>
          <w:lang w:val="en-GB"/>
        </w:rPr>
        <w:t>, so you may have to create 2 heat maps.</w:t>
      </w:r>
    </w:p>
    <w:p w14:paraId="3C54EF8B" w14:textId="4DF78C32" w:rsidR="007A44C7" w:rsidRDefault="007A44C7" w:rsidP="007A44C7">
      <w:pPr>
        <w:rPr>
          <w:lang w:val="en-GB"/>
        </w:rPr>
      </w:pPr>
      <w:r w:rsidRPr="00A452F2">
        <w:rPr>
          <w:lang w:val="en-GB"/>
        </w:rPr>
        <w:t>Review the table</w:t>
      </w:r>
      <w:r>
        <w:rPr>
          <w:lang w:val="en-GB"/>
        </w:rPr>
        <w:t xml:space="preserve"> listing all VMs in the selected data center.</w:t>
      </w:r>
    </w:p>
    <w:p w14:paraId="2CCA2D09" w14:textId="5189259B" w:rsidR="00292562" w:rsidRPr="00A452F2" w:rsidRDefault="00292562" w:rsidP="007A44C7">
      <w:pPr>
        <w:rPr>
          <w:lang w:val="en-GB"/>
        </w:rPr>
      </w:pPr>
      <w:r w:rsidRPr="00292562">
        <w:rPr>
          <w:noProof/>
          <w:lang w:val="en-GB"/>
        </w:rPr>
        <w:drawing>
          <wp:inline distT="0" distB="0" distL="0" distR="0" wp14:anchorId="15747C29" wp14:editId="67996DBE">
            <wp:extent cx="6645910" cy="1762760"/>
            <wp:effectExtent l="0" t="0" r="2540" b="8890"/>
            <wp:docPr id="1709717378" name="Picture 1709717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8"/>
                    <a:stretch>
                      <a:fillRect/>
                    </a:stretch>
                  </pic:blipFill>
                  <pic:spPr>
                    <a:xfrm>
                      <a:off x="0" y="0"/>
                      <a:ext cx="6645910" cy="1762760"/>
                    </a:xfrm>
                    <a:prstGeom prst="rect">
                      <a:avLst/>
                    </a:prstGeom>
                  </pic:spPr>
                </pic:pic>
              </a:graphicData>
            </a:graphic>
          </wp:inline>
        </w:drawing>
      </w:r>
    </w:p>
    <w:p w14:paraId="5B8E836E" w14:textId="6034F0CF" w:rsidR="007A44C7" w:rsidRDefault="007A44C7" w:rsidP="007A44C7">
      <w:pPr>
        <w:rPr>
          <w:lang w:val="en-GB"/>
        </w:rPr>
      </w:pPr>
      <w:r w:rsidRPr="00A452F2">
        <w:rPr>
          <w:lang w:val="en-GB"/>
        </w:rPr>
        <w:t xml:space="preserve">The list is sorted by the VM with the least capacity remaining. If </w:t>
      </w:r>
      <w:r w:rsidR="00641DE7">
        <w:rPr>
          <w:lang w:val="en-GB"/>
        </w:rPr>
        <w:t xml:space="preserve">sorting by </w:t>
      </w:r>
      <w:r w:rsidRPr="00A452F2">
        <w:rPr>
          <w:lang w:val="en-GB"/>
        </w:rPr>
        <w:t>Time Remaining</w:t>
      </w:r>
      <w:r w:rsidR="00641DE7">
        <w:rPr>
          <w:lang w:val="en-GB"/>
        </w:rPr>
        <w:t xml:space="preserve"> suits your operations better, modify the dashboard. </w:t>
      </w:r>
    </w:p>
    <w:p w14:paraId="3EE0DA8C" w14:textId="77777777" w:rsidR="007B6F2C" w:rsidRDefault="007B6F2C" w:rsidP="007B6F2C">
      <w:pPr>
        <w:rPr>
          <w:lang w:val="en-GB"/>
        </w:rPr>
      </w:pPr>
      <w:r w:rsidRPr="4CAB3972">
        <w:rPr>
          <w:lang w:val="en-GB"/>
        </w:rPr>
        <w:t xml:space="preserve">The table is also </w:t>
      </w:r>
      <w:r>
        <w:rPr>
          <w:lang w:val="en-GB"/>
        </w:rPr>
        <w:t>color</w:t>
      </w:r>
      <w:r w:rsidRPr="4CAB3972">
        <w:rPr>
          <w:lang w:val="en-GB"/>
        </w:rPr>
        <w:t xml:space="preserve"> coded. Take note that the threshold is unable to show the grey (wastage) </w:t>
      </w:r>
      <w:r>
        <w:rPr>
          <w:lang w:val="en-GB"/>
        </w:rPr>
        <w:t>color</w:t>
      </w:r>
      <w:r w:rsidRPr="4CAB3972">
        <w:rPr>
          <w:lang w:val="en-GB"/>
        </w:rPr>
        <w:t>.</w:t>
      </w:r>
    </w:p>
    <w:p w14:paraId="566BB84F" w14:textId="25FCB319" w:rsidR="003937EB" w:rsidRDefault="002E4ADD" w:rsidP="007A44C7">
      <w:pPr>
        <w:rPr>
          <w:lang w:val="en-GB"/>
        </w:rPr>
      </w:pPr>
      <w:r>
        <w:rPr>
          <w:lang w:val="en-GB"/>
        </w:rPr>
        <w:t>T</w:t>
      </w:r>
      <w:r w:rsidR="003937EB">
        <w:rPr>
          <w:lang w:val="en-GB"/>
        </w:rPr>
        <w:t>he creation date is added</w:t>
      </w:r>
      <w:r>
        <w:rPr>
          <w:lang w:val="en-GB"/>
        </w:rPr>
        <w:t xml:space="preserve"> for the same reason in idle VM case.</w:t>
      </w:r>
    </w:p>
    <w:p w14:paraId="43C08C6C" w14:textId="6ED07D2F" w:rsidR="0096332E" w:rsidRDefault="0096332E" w:rsidP="00AC6E1E">
      <w:pPr>
        <w:pStyle w:val="Heading4"/>
      </w:pPr>
      <w:r>
        <w:t>VM Analysis</w:t>
      </w:r>
    </w:p>
    <w:p w14:paraId="4F5F5A6D" w14:textId="0BF928BF" w:rsidR="00D5707A" w:rsidRDefault="00D5707A" w:rsidP="00D5707A">
      <w:pPr>
        <w:rPr>
          <w:lang w:val="en-GB"/>
        </w:rPr>
      </w:pPr>
      <w:r>
        <w:rPr>
          <w:lang w:val="en-GB"/>
        </w:rPr>
        <w:t>Select a VM from the table. Its detail capacity will be automatically shown.</w:t>
      </w:r>
    </w:p>
    <w:p w14:paraId="709CCE59" w14:textId="693B6154" w:rsidR="00D5707A" w:rsidRPr="00D5707A" w:rsidRDefault="00D5707A" w:rsidP="00D5707A">
      <w:pPr>
        <w:rPr>
          <w:lang w:val="en-GB"/>
        </w:rPr>
      </w:pPr>
      <w:r>
        <w:rPr>
          <w:lang w:val="en-GB"/>
        </w:rPr>
        <w:t>You get both the CPU and memory trend over time.</w:t>
      </w:r>
      <w:r w:rsidR="007B6F2C" w:rsidRPr="00A452F2">
        <w:rPr>
          <w:lang w:val="en-GB"/>
        </w:rPr>
        <w:t xml:space="preserve"> 3 months data is shown, and they are averaged to hourly so you can see the overall trend</w:t>
      </w:r>
      <w:r w:rsidR="007B6F2C">
        <w:rPr>
          <w:lang w:val="en-GB"/>
        </w:rPr>
        <w:t xml:space="preserve"> instead of spiky chart</w:t>
      </w:r>
      <w:r w:rsidR="007B6F2C" w:rsidRPr="00A452F2">
        <w:rPr>
          <w:lang w:val="en-GB"/>
        </w:rPr>
        <w:t>.</w:t>
      </w:r>
      <w:r w:rsidR="007B6F2C">
        <w:rPr>
          <w:lang w:val="en-GB"/>
        </w:rPr>
        <w:t xml:space="preserve"> </w:t>
      </w:r>
    </w:p>
    <w:p w14:paraId="5C220B92" w14:textId="7DCC1DA3" w:rsidR="004E37F4" w:rsidRDefault="004E37F4" w:rsidP="007A44C7">
      <w:pPr>
        <w:rPr>
          <w:lang w:val="en-GB"/>
        </w:rPr>
      </w:pPr>
      <w:r w:rsidRPr="004E37F4">
        <w:rPr>
          <w:noProof/>
          <w:lang w:val="en-GB"/>
        </w:rPr>
        <w:drawing>
          <wp:inline distT="0" distB="0" distL="0" distR="0" wp14:anchorId="7131D6C8" wp14:editId="041411B5">
            <wp:extent cx="6645910" cy="2027555"/>
            <wp:effectExtent l="0" t="0" r="2540" b="0"/>
            <wp:docPr id="1709717379" name="Picture 1709717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9"/>
                    <a:stretch>
                      <a:fillRect/>
                    </a:stretch>
                  </pic:blipFill>
                  <pic:spPr>
                    <a:xfrm>
                      <a:off x="0" y="0"/>
                      <a:ext cx="6645910" cy="2027555"/>
                    </a:xfrm>
                    <a:prstGeom prst="rect">
                      <a:avLst/>
                    </a:prstGeom>
                  </pic:spPr>
                </pic:pic>
              </a:graphicData>
            </a:graphic>
          </wp:inline>
        </w:drawing>
      </w:r>
    </w:p>
    <w:p w14:paraId="615716B6" w14:textId="0C91BA94" w:rsidR="00D5707A" w:rsidRPr="00A452F2" w:rsidRDefault="00D5707A" w:rsidP="007A44C7">
      <w:pPr>
        <w:rPr>
          <w:lang w:val="en-GB"/>
        </w:rPr>
      </w:pPr>
      <w:r>
        <w:rPr>
          <w:lang w:val="en-GB"/>
        </w:rPr>
        <w:t xml:space="preserve">For memory, </w:t>
      </w:r>
      <w:r w:rsidR="00CC6CAB">
        <w:rPr>
          <w:lang w:val="en-GB"/>
        </w:rPr>
        <w:t xml:space="preserve">it uses Guest OS, for the same reason explained in </w:t>
      </w:r>
      <w:r w:rsidR="00A24E14">
        <w:rPr>
          <w:lang w:val="en-GB"/>
        </w:rPr>
        <w:t>VM Rightsizing dashboard.</w:t>
      </w:r>
    </w:p>
    <w:p w14:paraId="6D95577A" w14:textId="49F1222A" w:rsidR="00212B84" w:rsidRDefault="003871B4" w:rsidP="007A44C7">
      <w:pPr>
        <w:rPr>
          <w:lang w:val="en-GB"/>
        </w:rPr>
      </w:pPr>
      <w:r w:rsidRPr="003871B4">
        <w:rPr>
          <w:noProof/>
          <w:lang w:val="en-GB"/>
        </w:rPr>
        <w:lastRenderedPageBreak/>
        <w:drawing>
          <wp:inline distT="0" distB="0" distL="0" distR="0" wp14:anchorId="4ABC8244" wp14:editId="10F7EDA7">
            <wp:extent cx="6645910" cy="2023110"/>
            <wp:effectExtent l="0" t="0" r="2540" b="0"/>
            <wp:docPr id="1709717382" name="Picture 1709717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0"/>
                    <a:stretch>
                      <a:fillRect/>
                    </a:stretch>
                  </pic:blipFill>
                  <pic:spPr>
                    <a:xfrm>
                      <a:off x="0" y="0"/>
                      <a:ext cx="6645910" cy="2023110"/>
                    </a:xfrm>
                    <a:prstGeom prst="rect">
                      <a:avLst/>
                    </a:prstGeom>
                  </pic:spPr>
                </pic:pic>
              </a:graphicData>
            </a:graphic>
          </wp:inline>
        </w:drawing>
      </w:r>
    </w:p>
    <w:p w14:paraId="42B8902E" w14:textId="39D6AAB6" w:rsidR="003871B4" w:rsidRDefault="00D2790C" w:rsidP="007A44C7">
      <w:pPr>
        <w:rPr>
          <w:lang w:val="en-GB"/>
        </w:rPr>
      </w:pPr>
      <w:r>
        <w:rPr>
          <w:lang w:val="en-GB"/>
        </w:rPr>
        <w:t>For the disk, it uses the Guest OS partition. Do not use VM virtual disk as there may not be 1:1 mapping to the actual partition.</w:t>
      </w:r>
    </w:p>
    <w:p w14:paraId="5FB7B4EA" w14:textId="401BF597" w:rsidR="00BC0107" w:rsidRDefault="00051A35" w:rsidP="003871B4">
      <w:pPr>
        <w:jc w:val="center"/>
        <w:rPr>
          <w:lang w:val="en-GB"/>
        </w:rPr>
      </w:pPr>
      <w:r w:rsidRPr="00051A35">
        <w:rPr>
          <w:noProof/>
          <w:lang w:val="en-GB"/>
        </w:rPr>
        <w:drawing>
          <wp:inline distT="0" distB="0" distL="0" distR="0" wp14:anchorId="0BA968BE" wp14:editId="1264C92E">
            <wp:extent cx="4178488" cy="1926556"/>
            <wp:effectExtent l="0" t="0" r="0" b="0"/>
            <wp:docPr id="1709717381" name="Picture 1709717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1"/>
                    <a:stretch>
                      <a:fillRect/>
                    </a:stretch>
                  </pic:blipFill>
                  <pic:spPr>
                    <a:xfrm>
                      <a:off x="0" y="0"/>
                      <a:ext cx="4186691" cy="1930338"/>
                    </a:xfrm>
                    <a:prstGeom prst="rect">
                      <a:avLst/>
                    </a:prstGeom>
                  </pic:spPr>
                </pic:pic>
              </a:graphicData>
            </a:graphic>
          </wp:inline>
        </w:drawing>
      </w:r>
    </w:p>
    <w:p w14:paraId="4A3E1F25" w14:textId="77777777" w:rsidR="007A44C7" w:rsidRPr="00A452F2" w:rsidRDefault="007A44C7" w:rsidP="007A44C7">
      <w:pPr>
        <w:rPr>
          <w:lang w:val="en-GB"/>
        </w:rPr>
      </w:pPr>
      <w:r w:rsidRPr="00A452F2">
        <w:rPr>
          <w:lang w:val="en-GB"/>
        </w:rPr>
        <w:t xml:space="preserve">Right-sizing recommendation is also shown for both CPU and Memory. Unlike physical server, it's important to right-size </w:t>
      </w:r>
      <w:r>
        <w:rPr>
          <w:lang w:val="en-GB"/>
        </w:rPr>
        <w:t xml:space="preserve">VM for the benefits listed </w:t>
      </w:r>
      <w:hyperlink w:anchor="_VM_Rightsizing" w:history="1">
        <w:r w:rsidRPr="00F7342C">
          <w:rPr>
            <w:rStyle w:val="Hyperlink"/>
            <w:lang w:val="en-GB"/>
          </w:rPr>
          <w:t>here</w:t>
        </w:r>
      </w:hyperlink>
      <w:r>
        <w:rPr>
          <w:lang w:val="en-GB"/>
        </w:rPr>
        <w:t xml:space="preserve">. </w:t>
      </w:r>
    </w:p>
    <w:p w14:paraId="4C3D9B18" w14:textId="77777777" w:rsidR="007A44C7" w:rsidRPr="00A452F2" w:rsidRDefault="007A44C7" w:rsidP="007A44C7">
      <w:pPr>
        <w:rPr>
          <w:lang w:val="en-GB"/>
        </w:rPr>
      </w:pPr>
      <w:r w:rsidRPr="00A452F2">
        <w:rPr>
          <w:lang w:val="en-GB"/>
        </w:rPr>
        <w:t>For CPU, the CPU Usage counter is used instead of Demand</w:t>
      </w:r>
      <w:r>
        <w:rPr>
          <w:lang w:val="en-GB"/>
        </w:rPr>
        <w:t xml:space="preserve">. Use the knowledge you learned </w:t>
      </w:r>
      <w:hyperlink w:anchor="_CPU_Metrics" w:history="1">
        <w:r w:rsidRPr="00F71C6A">
          <w:rPr>
            <w:rStyle w:val="Hyperlink"/>
            <w:lang w:val="en-GB"/>
          </w:rPr>
          <w:t>here</w:t>
        </w:r>
      </w:hyperlink>
      <w:r>
        <w:rPr>
          <w:lang w:val="en-GB"/>
        </w:rPr>
        <w:t xml:space="preserve"> to figure out why.</w:t>
      </w:r>
    </w:p>
    <w:p w14:paraId="7273BA96" w14:textId="77777777" w:rsidR="007A44C7" w:rsidRPr="00A452F2" w:rsidRDefault="007A44C7" w:rsidP="007A44C7">
      <w:pPr>
        <w:rPr>
          <w:lang w:val="en-GB"/>
        </w:rPr>
      </w:pPr>
      <w:r w:rsidRPr="00A452F2">
        <w:rPr>
          <w:lang w:val="en-GB"/>
        </w:rPr>
        <w:t>For disk, it’s showing at the Guest OS partition level. There is no overall capacity at VM level because different partitions have different capacity.</w:t>
      </w:r>
    </w:p>
    <w:p w14:paraId="5CCA08A6" w14:textId="02F86568" w:rsidR="007A44C7" w:rsidRDefault="00212B84" w:rsidP="00E7573A">
      <w:pPr>
        <w:pStyle w:val="Heading5"/>
      </w:pPr>
      <w:r>
        <w:t>Relevant Configuration</w:t>
      </w:r>
    </w:p>
    <w:p w14:paraId="0E56ED13" w14:textId="310E6881" w:rsidR="00BA6D42" w:rsidRPr="00BA6D42" w:rsidRDefault="00BA6D42" w:rsidP="00BA6D42">
      <w:pPr>
        <w:rPr>
          <w:lang w:val="en-GB"/>
        </w:rPr>
      </w:pPr>
      <w:r>
        <w:rPr>
          <w:lang w:val="en-GB"/>
        </w:rPr>
        <w:t>The relevant configuration is automatically shown</w:t>
      </w:r>
      <w:r w:rsidR="0017182C">
        <w:rPr>
          <w:lang w:val="en-GB"/>
        </w:rPr>
        <w:t xml:space="preserve"> </w:t>
      </w:r>
      <w:r w:rsidR="0017182C" w:rsidRPr="00A452F2">
        <w:rPr>
          <w:lang w:val="en-GB" w:eastAsia="en-SG"/>
        </w:rPr>
        <w:t>to give context to the VM</w:t>
      </w:r>
      <w:r w:rsidR="0017182C">
        <w:rPr>
          <w:lang w:val="en-GB" w:eastAsia="en-SG"/>
        </w:rPr>
        <w:t>.</w:t>
      </w:r>
    </w:p>
    <w:p w14:paraId="0AEE0A06" w14:textId="06E6F340" w:rsidR="007A44C7" w:rsidRPr="00A452F2" w:rsidRDefault="007A44C7" w:rsidP="007A44C7">
      <w:pPr>
        <w:rPr>
          <w:lang w:val="en-GB" w:eastAsia="en-SG"/>
        </w:rPr>
      </w:pPr>
      <w:r w:rsidRPr="00A452F2">
        <w:rPr>
          <w:lang w:val="en-GB" w:eastAsia="en-SG"/>
        </w:rPr>
        <w:t>Information such as VM Owner</w:t>
      </w:r>
      <w:r w:rsidR="00786CC0">
        <w:rPr>
          <w:lang w:val="en-GB" w:eastAsia="en-SG"/>
        </w:rPr>
        <w:t xml:space="preserve"> and</w:t>
      </w:r>
      <w:r w:rsidRPr="00A452F2">
        <w:rPr>
          <w:lang w:val="en-GB" w:eastAsia="en-SG"/>
        </w:rPr>
        <w:t xml:space="preserve"> </w:t>
      </w:r>
      <w:r w:rsidR="00C053F7">
        <w:rPr>
          <w:lang w:val="en-GB" w:eastAsia="en-SG"/>
        </w:rPr>
        <w:t>business units</w:t>
      </w:r>
      <w:r w:rsidRPr="00A452F2">
        <w:rPr>
          <w:lang w:val="en-GB" w:eastAsia="en-SG"/>
        </w:rPr>
        <w:t xml:space="preserve"> can be useful in the analysis. </w:t>
      </w:r>
    </w:p>
    <w:p w14:paraId="78081E76" w14:textId="211939B0" w:rsidR="007A44C7" w:rsidRPr="00A452F2" w:rsidRDefault="007A44C7" w:rsidP="00540F68">
      <w:pPr>
        <w:pStyle w:val="Heading3"/>
      </w:pPr>
      <w:r w:rsidRPr="00A452F2">
        <w:lastRenderedPageBreak/>
        <w:t>Reclamation</w:t>
      </w:r>
    </w:p>
    <w:p w14:paraId="6A859DAF" w14:textId="379AD77E" w:rsidR="007A44C7" w:rsidRDefault="007A44C7" w:rsidP="007A44C7">
      <w:pPr>
        <w:rPr>
          <w:lang w:val="en-GB"/>
        </w:rPr>
      </w:pPr>
      <w:r w:rsidRPr="00A452F2">
        <w:rPr>
          <w:lang w:val="en-GB"/>
        </w:rPr>
        <w:t xml:space="preserve">The </w:t>
      </w:r>
      <w:r w:rsidRPr="00A452F2">
        <w:rPr>
          <w:rStyle w:val="keyword"/>
          <w:lang w:val="en-GB"/>
        </w:rPr>
        <w:t>Reclamation</w:t>
      </w:r>
      <w:r w:rsidRPr="00A452F2">
        <w:rPr>
          <w:lang w:val="en-GB"/>
        </w:rPr>
        <w:t xml:space="preserve"> dashboard helps you managing various types of reclamation that can be done on </w:t>
      </w:r>
      <w:r>
        <w:rPr>
          <w:lang w:val="en-GB"/>
        </w:rPr>
        <w:t>VM</w:t>
      </w:r>
      <w:r w:rsidRPr="00A452F2">
        <w:rPr>
          <w:lang w:val="en-GB"/>
        </w:rPr>
        <w:t>s</w:t>
      </w:r>
      <w:r w:rsidR="00225958">
        <w:rPr>
          <w:lang w:val="en-GB"/>
        </w:rPr>
        <w:t xml:space="preserve"> and datastore</w:t>
      </w:r>
      <w:r w:rsidRPr="00A452F2">
        <w:rPr>
          <w:lang w:val="en-GB"/>
        </w:rPr>
        <w:t xml:space="preserve">. It is designed for both the Capacity team and the Operations team. </w:t>
      </w:r>
    </w:p>
    <w:p w14:paraId="4A49BCD6" w14:textId="580D46B2" w:rsidR="00ED398F" w:rsidRDefault="00ED398F" w:rsidP="00AC6E1E">
      <w:pPr>
        <w:pStyle w:val="Heading4"/>
      </w:pPr>
      <w:r>
        <w:t>Overall Analysis</w:t>
      </w:r>
    </w:p>
    <w:p w14:paraId="0C5C2110" w14:textId="2E494532" w:rsidR="00B77365" w:rsidRPr="00C63136" w:rsidRDefault="00B77365" w:rsidP="00B77365">
      <w:pPr>
        <w:rPr>
          <w:lang w:val="en-GB"/>
        </w:rPr>
      </w:pPr>
      <w:r>
        <w:rPr>
          <w:lang w:val="en-GB"/>
        </w:rPr>
        <w:t>The scoreboard provides a summary of the total reclamation.</w:t>
      </w:r>
      <w:r w:rsidR="00AB2F1C">
        <w:rPr>
          <w:lang w:val="en-GB"/>
        </w:rPr>
        <w:t xml:space="preserve"> </w:t>
      </w:r>
      <w:r w:rsidR="00370003">
        <w:rPr>
          <w:lang w:val="en-GB"/>
        </w:rPr>
        <w:t>Guest w</w:t>
      </w:r>
      <w:r w:rsidR="00AB2F1C">
        <w:rPr>
          <w:lang w:val="en-GB"/>
        </w:rPr>
        <w:t>hat</w:t>
      </w:r>
      <w:r w:rsidR="00370003">
        <w:rPr>
          <w:lang w:val="en-GB"/>
        </w:rPr>
        <w:t xml:space="preserve"> infrastructure resource is </w:t>
      </w:r>
      <w:r w:rsidR="00AB2F1C">
        <w:rPr>
          <w:lang w:val="en-GB"/>
        </w:rPr>
        <w:t>missing</w:t>
      </w:r>
      <w:r w:rsidR="00370003">
        <w:rPr>
          <w:lang w:val="en-GB"/>
        </w:rPr>
        <w:t xml:space="preserve"> from the scoreboard</w:t>
      </w:r>
      <w:r w:rsidR="00AB2F1C">
        <w:rPr>
          <w:lang w:val="en-GB"/>
        </w:rPr>
        <w:t>?</w:t>
      </w:r>
    </w:p>
    <w:p w14:paraId="4805064F" w14:textId="347BC743" w:rsidR="00E65E96" w:rsidRDefault="00E65E96" w:rsidP="007A44C7">
      <w:pPr>
        <w:rPr>
          <w:lang w:val="en-GB"/>
        </w:rPr>
      </w:pPr>
      <w:r w:rsidRPr="00E65E96">
        <w:rPr>
          <w:noProof/>
          <w:lang w:val="en-GB"/>
        </w:rPr>
        <w:drawing>
          <wp:inline distT="0" distB="0" distL="0" distR="0" wp14:anchorId="4AF5BD70" wp14:editId="3F86B550">
            <wp:extent cx="6645910" cy="1019175"/>
            <wp:effectExtent l="0" t="0" r="2540" b="9525"/>
            <wp:docPr id="1085195950" name="Picture 1085195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2"/>
                    <a:stretch>
                      <a:fillRect/>
                    </a:stretch>
                  </pic:blipFill>
                  <pic:spPr>
                    <a:xfrm>
                      <a:off x="0" y="0"/>
                      <a:ext cx="6645910" cy="1019175"/>
                    </a:xfrm>
                    <a:prstGeom prst="rect">
                      <a:avLst/>
                    </a:prstGeom>
                  </pic:spPr>
                </pic:pic>
              </a:graphicData>
            </a:graphic>
          </wp:inline>
        </w:drawing>
      </w:r>
    </w:p>
    <w:p w14:paraId="3729C6B2" w14:textId="35EDB098" w:rsidR="00D0739E" w:rsidRDefault="00B60939" w:rsidP="007A44C7">
      <w:pPr>
        <w:rPr>
          <w:lang w:val="en-GB"/>
        </w:rPr>
      </w:pPr>
      <w:r>
        <w:rPr>
          <w:lang w:val="en-GB"/>
        </w:rPr>
        <w:t xml:space="preserve">CPU is missing. </w:t>
      </w:r>
      <w:r w:rsidR="0041375A">
        <w:rPr>
          <w:lang w:val="en-GB"/>
        </w:rPr>
        <w:t>Because you’re reclaiming blank air.</w:t>
      </w:r>
    </w:p>
    <w:p w14:paraId="33DA332D" w14:textId="5642709B" w:rsidR="007A44C7" w:rsidRDefault="006D17C3" w:rsidP="007A44C7">
      <w:pPr>
        <w:rPr>
          <w:lang w:val="en-GB"/>
        </w:rPr>
      </w:pPr>
      <w:r>
        <w:rPr>
          <w:lang w:val="en-GB"/>
        </w:rPr>
        <w:t>You can drill down at either Data Center level, cluster level</w:t>
      </w:r>
      <w:r w:rsidRPr="00A452F2">
        <w:rPr>
          <w:lang w:val="en-GB"/>
        </w:rPr>
        <w:t xml:space="preserve"> </w:t>
      </w:r>
      <w:r>
        <w:rPr>
          <w:lang w:val="en-GB"/>
        </w:rPr>
        <w:t xml:space="preserve">or datastore level. </w:t>
      </w:r>
      <w:r w:rsidR="001F66D9">
        <w:rPr>
          <w:lang w:val="en-GB"/>
        </w:rPr>
        <w:t xml:space="preserve">Datastore level is required as orphaned disk does not have VM association, hence it’s not </w:t>
      </w:r>
      <w:r w:rsidR="004F665E">
        <w:rPr>
          <w:lang w:val="en-GB"/>
        </w:rPr>
        <w:t>related to any cluster.</w:t>
      </w:r>
    </w:p>
    <w:p w14:paraId="4157539D" w14:textId="156884CE" w:rsidR="00ED649A" w:rsidRDefault="00ED649A" w:rsidP="007A44C7">
      <w:pPr>
        <w:rPr>
          <w:lang w:val="en-GB"/>
        </w:rPr>
      </w:pPr>
      <w:r w:rsidRPr="00ED649A">
        <w:rPr>
          <w:noProof/>
          <w:lang w:val="en-GB"/>
        </w:rPr>
        <w:drawing>
          <wp:inline distT="0" distB="0" distL="0" distR="0" wp14:anchorId="0989456C" wp14:editId="2DE6A278">
            <wp:extent cx="6645910" cy="1374140"/>
            <wp:effectExtent l="0" t="0" r="2540" b="0"/>
            <wp:docPr id="1085195952" name="Picture 1085195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3"/>
                    <a:stretch>
                      <a:fillRect/>
                    </a:stretch>
                  </pic:blipFill>
                  <pic:spPr>
                    <a:xfrm>
                      <a:off x="0" y="0"/>
                      <a:ext cx="6645910" cy="1374140"/>
                    </a:xfrm>
                    <a:prstGeom prst="rect">
                      <a:avLst/>
                    </a:prstGeom>
                  </pic:spPr>
                </pic:pic>
              </a:graphicData>
            </a:graphic>
          </wp:inline>
        </w:drawing>
      </w:r>
    </w:p>
    <w:p w14:paraId="65BB84BC" w14:textId="101112CD" w:rsidR="00ED649A" w:rsidRPr="00A452F2" w:rsidRDefault="00ED649A" w:rsidP="007A44C7">
      <w:pPr>
        <w:rPr>
          <w:lang w:val="en-GB"/>
        </w:rPr>
      </w:pPr>
      <w:r>
        <w:rPr>
          <w:lang w:val="en-GB"/>
        </w:rPr>
        <w:t>The table above can drive all the charts underneath</w:t>
      </w:r>
      <w:r w:rsidR="00C13BFF">
        <w:rPr>
          <w:lang w:val="en-GB"/>
        </w:rPr>
        <w:t xml:space="preserve"> them, shown below</w:t>
      </w:r>
      <w:r>
        <w:rPr>
          <w:lang w:val="en-GB"/>
        </w:rPr>
        <w:t>, giving you a flexible way to slice the information</w:t>
      </w:r>
      <w:r w:rsidR="00D57AE6">
        <w:rPr>
          <w:lang w:val="en-GB"/>
        </w:rPr>
        <w:t xml:space="preserve">. Take note that the datastore table </w:t>
      </w:r>
      <w:r w:rsidR="00D57AE6" w:rsidRPr="00B32A2C">
        <w:rPr>
          <w:i/>
          <w:iCs/>
          <w:color w:val="FF0000"/>
          <w:lang w:val="en-GB"/>
        </w:rPr>
        <w:t>only</w:t>
      </w:r>
      <w:r w:rsidR="00D57AE6" w:rsidRPr="00B32A2C">
        <w:rPr>
          <w:color w:val="FF0000"/>
          <w:lang w:val="en-GB"/>
        </w:rPr>
        <w:t xml:space="preserve"> </w:t>
      </w:r>
      <w:r w:rsidR="00D57AE6">
        <w:rPr>
          <w:lang w:val="en-GB"/>
        </w:rPr>
        <w:t xml:space="preserve">drives the </w:t>
      </w:r>
      <w:r w:rsidR="00E23BEA">
        <w:rPr>
          <w:lang w:val="en-GB"/>
        </w:rPr>
        <w:t xml:space="preserve">snapshot table. The reason is </w:t>
      </w:r>
      <w:r w:rsidR="00157BAD">
        <w:rPr>
          <w:lang w:val="en-GB"/>
        </w:rPr>
        <w:t>traversal spec. The view widget can only use 1 traversal spec</w:t>
      </w:r>
      <w:r w:rsidR="006B3FC6">
        <w:rPr>
          <w:lang w:val="en-GB"/>
        </w:rPr>
        <w:t>.</w:t>
      </w:r>
    </w:p>
    <w:p w14:paraId="631A6808" w14:textId="77777777" w:rsidR="006A2776" w:rsidRPr="00A452F2" w:rsidRDefault="006A2776" w:rsidP="006A2776">
      <w:pPr>
        <w:rPr>
          <w:lang w:val="en-GB"/>
        </w:rPr>
      </w:pPr>
      <w:r w:rsidRPr="00A452F2">
        <w:rPr>
          <w:lang w:val="en-GB"/>
        </w:rPr>
        <w:t xml:space="preserve">The summary information will be automatically shown. To show from all clusters, select </w:t>
      </w:r>
      <w:r w:rsidRPr="001D7221">
        <w:rPr>
          <w:color w:val="00B0F0"/>
          <w:lang w:val="en-GB"/>
        </w:rPr>
        <w:t>vSphere World</w:t>
      </w:r>
      <w:r w:rsidRPr="00A452F2">
        <w:rPr>
          <w:lang w:val="en-GB"/>
        </w:rPr>
        <w:t>. This object covers all clusters. Take note that the charts will take longer due to refresh due to higher amount of data.</w:t>
      </w:r>
    </w:p>
    <w:p w14:paraId="0BEDEBA7" w14:textId="162C466C" w:rsidR="007A44C7" w:rsidRDefault="00393DEA" w:rsidP="007A44C7">
      <w:pPr>
        <w:rPr>
          <w:lang w:val="en-GB"/>
        </w:rPr>
      </w:pPr>
      <w:r w:rsidRPr="00393DEA">
        <w:rPr>
          <w:noProof/>
          <w:lang w:val="en-GB"/>
        </w:rPr>
        <w:drawing>
          <wp:inline distT="0" distB="0" distL="0" distR="0" wp14:anchorId="3B9667DD" wp14:editId="03F3985C">
            <wp:extent cx="6645910" cy="1360170"/>
            <wp:effectExtent l="0" t="0" r="2540" b="0"/>
            <wp:docPr id="1085195951" name="Picture 1085195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4"/>
                    <a:stretch>
                      <a:fillRect/>
                    </a:stretch>
                  </pic:blipFill>
                  <pic:spPr>
                    <a:xfrm>
                      <a:off x="0" y="0"/>
                      <a:ext cx="6645910" cy="1360170"/>
                    </a:xfrm>
                    <a:prstGeom prst="rect">
                      <a:avLst/>
                    </a:prstGeom>
                  </pic:spPr>
                </pic:pic>
              </a:graphicData>
            </a:graphic>
          </wp:inline>
        </w:drawing>
      </w:r>
    </w:p>
    <w:p w14:paraId="4C37F1DD" w14:textId="6CCBC676" w:rsidR="00887F11" w:rsidRPr="00A452F2" w:rsidRDefault="00C13BFF" w:rsidP="00887F11">
      <w:pPr>
        <w:rPr>
          <w:lang w:val="en-GB"/>
        </w:rPr>
      </w:pPr>
      <w:r>
        <w:rPr>
          <w:lang w:val="en-GB"/>
        </w:rPr>
        <w:lastRenderedPageBreak/>
        <w:t>If necessary, a</w:t>
      </w:r>
      <w:r w:rsidR="00887F11" w:rsidRPr="00A452F2">
        <w:rPr>
          <w:lang w:val="en-GB"/>
        </w:rPr>
        <w:t xml:space="preserve">djust the bucket size </w:t>
      </w:r>
      <w:r w:rsidR="00887F11">
        <w:rPr>
          <w:lang w:val="en-GB"/>
        </w:rPr>
        <w:t xml:space="preserve">in the charts </w:t>
      </w:r>
      <w:r w:rsidR="00887F11" w:rsidRPr="00A452F2">
        <w:rPr>
          <w:lang w:val="en-GB"/>
        </w:rPr>
        <w:t>to suit your operational requirements</w:t>
      </w:r>
      <w:r w:rsidR="00887F11">
        <w:rPr>
          <w:lang w:val="en-GB"/>
        </w:rPr>
        <w:t>.</w:t>
      </w:r>
    </w:p>
    <w:p w14:paraId="2AF14958" w14:textId="77777777" w:rsidR="007A44C7" w:rsidRPr="00A452F2" w:rsidRDefault="007A44C7" w:rsidP="006A2776">
      <w:pPr>
        <w:rPr>
          <w:lang w:val="en-GB"/>
        </w:rPr>
      </w:pPr>
      <w:r w:rsidRPr="00A452F2">
        <w:rPr>
          <w:lang w:val="en-GB"/>
        </w:rPr>
        <w:t>The</w:t>
      </w:r>
      <w:r>
        <w:rPr>
          <w:lang w:val="en-GB"/>
        </w:rPr>
        <w:t xml:space="preserve"> reclamation potentials </w:t>
      </w:r>
      <w:r w:rsidRPr="00A452F2">
        <w:rPr>
          <w:lang w:val="en-GB"/>
        </w:rPr>
        <w:t>are presented as 3 bar charts, each correspond</w:t>
      </w:r>
      <w:r>
        <w:rPr>
          <w:lang w:val="en-GB"/>
        </w:rPr>
        <w:t>s</w:t>
      </w:r>
      <w:r w:rsidRPr="00A452F2">
        <w:rPr>
          <w:lang w:val="en-GB"/>
        </w:rPr>
        <w:t xml:space="preserve"> to an area you can reclaim:</w:t>
      </w:r>
    </w:p>
    <w:p w14:paraId="76AA7FA3" w14:textId="59A25F56" w:rsidR="0069162D" w:rsidRPr="0069162D" w:rsidRDefault="0069162D" w:rsidP="0069162D">
      <w:pPr>
        <w:pStyle w:val="Bullet"/>
        <w:rPr>
          <w:lang w:val="en-GB"/>
        </w:rPr>
      </w:pPr>
      <w:r w:rsidRPr="0069162D">
        <w:rPr>
          <w:color w:val="00B0F0"/>
          <w:lang w:val="en-GB"/>
        </w:rPr>
        <w:t xml:space="preserve">Powered off VMs </w:t>
      </w:r>
      <w:r w:rsidRPr="0069162D">
        <w:rPr>
          <w:lang w:val="en-GB"/>
        </w:rPr>
        <w:t>that are no longer needed contribute to wasted disk usage. Consider deleting them to free up space or moving them to archival storage.</w:t>
      </w:r>
    </w:p>
    <w:p w14:paraId="5CF4212B" w14:textId="77777777" w:rsidR="0016684E" w:rsidRDefault="0069162D" w:rsidP="00E440AB">
      <w:pPr>
        <w:pStyle w:val="Bullet"/>
        <w:rPr>
          <w:lang w:val="en-GB"/>
        </w:rPr>
      </w:pPr>
      <w:r w:rsidRPr="00F37D12">
        <w:rPr>
          <w:color w:val="00B0F0"/>
          <w:lang w:val="en-GB"/>
        </w:rPr>
        <w:t xml:space="preserve">Idle VMs </w:t>
      </w:r>
      <w:r w:rsidRPr="00F37D12">
        <w:rPr>
          <w:lang w:val="en-GB"/>
        </w:rPr>
        <w:t>are running, but not being used actively. These VMs consume memory that may be used by active VMs. Consider removing these VMs to reduce memory contention.</w:t>
      </w:r>
      <w:r w:rsidR="00F37D12" w:rsidRPr="00F37D12">
        <w:rPr>
          <w:lang w:val="en-GB"/>
        </w:rPr>
        <w:t xml:space="preserve"> Guess why is VM-level metric used instead of Guest OS metric? </w:t>
      </w:r>
      <w:r w:rsidR="00F37D12">
        <w:rPr>
          <w:lang w:val="en-GB"/>
        </w:rPr>
        <w:br/>
      </w:r>
      <w:r w:rsidR="00F37D12" w:rsidRPr="00F37D12">
        <w:rPr>
          <w:lang w:val="en-GB"/>
        </w:rPr>
        <w:t xml:space="preserve">Memory reclamation is based on the memory footprint at the parent ESXi. The value inside the Guest is </w:t>
      </w:r>
      <w:r w:rsidR="00F37D12" w:rsidRPr="00F37D12">
        <w:rPr>
          <w:color w:val="FF0000"/>
          <w:lang w:val="en-GB"/>
        </w:rPr>
        <w:t xml:space="preserve">not </w:t>
      </w:r>
      <w:r w:rsidR="00F37D12" w:rsidRPr="00F37D12">
        <w:rPr>
          <w:lang w:val="en-GB"/>
        </w:rPr>
        <w:t>what is being reclaimed, and so it is irrelevant</w:t>
      </w:r>
    </w:p>
    <w:p w14:paraId="6549367D" w14:textId="47046F71" w:rsidR="006A2776" w:rsidRDefault="0069162D" w:rsidP="0069162D">
      <w:pPr>
        <w:pStyle w:val="Bullet"/>
        <w:rPr>
          <w:lang w:val="en-GB"/>
        </w:rPr>
      </w:pPr>
      <w:r w:rsidRPr="0069162D">
        <w:rPr>
          <w:color w:val="00B0F0"/>
          <w:lang w:val="en-GB"/>
        </w:rPr>
        <w:t>Snapshots</w:t>
      </w:r>
      <w:r w:rsidRPr="0069162D">
        <w:rPr>
          <w:lang w:val="en-GB"/>
        </w:rPr>
        <w:t xml:space="preserve"> are meant to be temporary and can cause performance issues and waste disk space if not deleted after a few days.</w:t>
      </w:r>
    </w:p>
    <w:p w14:paraId="15999F92" w14:textId="7754ACAB" w:rsidR="00DD7603" w:rsidRDefault="0075239B" w:rsidP="00A05EE2">
      <w:pPr>
        <w:rPr>
          <w:lang w:val="en-GB"/>
        </w:rPr>
      </w:pPr>
      <w:r>
        <w:rPr>
          <w:lang w:val="en-GB"/>
        </w:rPr>
        <w:t>Focus on snapshot first, as it does not involve changing VM.</w:t>
      </w:r>
    </w:p>
    <w:p w14:paraId="3A9C3B58" w14:textId="5F9A166A" w:rsidR="0075239B" w:rsidRDefault="0075239B" w:rsidP="00A05EE2">
      <w:pPr>
        <w:rPr>
          <w:lang w:val="en-GB"/>
        </w:rPr>
      </w:pPr>
      <w:r>
        <w:rPr>
          <w:lang w:val="en-GB"/>
        </w:rPr>
        <w:t>Next is powered off VM</w:t>
      </w:r>
      <w:r w:rsidR="00D6462C">
        <w:rPr>
          <w:lang w:val="en-GB"/>
        </w:rPr>
        <w:t xml:space="preserve">. </w:t>
      </w:r>
      <w:r w:rsidR="005C63B9">
        <w:rPr>
          <w:lang w:val="en-GB"/>
        </w:rPr>
        <w:t>The longer it has been powered off, the lower the risk of deletion. Ideally, you want a confirmation from the owner, and have a back up</w:t>
      </w:r>
      <w:r w:rsidR="00A05EE2">
        <w:rPr>
          <w:lang w:val="en-GB"/>
        </w:rPr>
        <w:t xml:space="preserve"> outside vSphere</w:t>
      </w:r>
      <w:r w:rsidR="005C63B9">
        <w:rPr>
          <w:lang w:val="en-GB"/>
        </w:rPr>
        <w:t>.</w:t>
      </w:r>
      <w:r w:rsidR="00B34829">
        <w:rPr>
          <w:lang w:val="en-GB"/>
        </w:rPr>
        <w:t xml:space="preserve"> This is why it’s important to have meta tag such as VM Owner email address.</w:t>
      </w:r>
      <w:r w:rsidR="00DE0E4A">
        <w:rPr>
          <w:lang w:val="en-GB"/>
        </w:rPr>
        <w:t xml:space="preserve"> </w:t>
      </w:r>
      <w:r w:rsidR="00DE0E4A" w:rsidRPr="00DE0E4A">
        <w:rPr>
          <w:lang w:val="en-GB"/>
        </w:rPr>
        <w:t>Note if the VM has snapshot, it’s included</w:t>
      </w:r>
      <w:r w:rsidR="00DE0E4A">
        <w:rPr>
          <w:lang w:val="en-GB"/>
        </w:rPr>
        <w:t xml:space="preserve"> in the calculation</w:t>
      </w:r>
      <w:r w:rsidR="00DE0E4A" w:rsidRPr="00DE0E4A">
        <w:rPr>
          <w:lang w:val="en-GB"/>
        </w:rPr>
        <w:t xml:space="preserve">, so there can be </w:t>
      </w:r>
      <w:r w:rsidR="00DE0E4A" w:rsidRPr="00DE0E4A">
        <w:rPr>
          <w:i/>
          <w:iCs/>
          <w:color w:val="FF0000"/>
          <w:lang w:val="en-GB"/>
        </w:rPr>
        <w:t xml:space="preserve">double counting </w:t>
      </w:r>
      <w:r w:rsidR="00DE0E4A" w:rsidRPr="00DE0E4A">
        <w:rPr>
          <w:lang w:val="en-GB"/>
        </w:rPr>
        <w:t>since the VM also appears in the snapshot table.</w:t>
      </w:r>
    </w:p>
    <w:p w14:paraId="355ABC39" w14:textId="3F7666CF" w:rsidR="00111A45" w:rsidRDefault="00111A45" w:rsidP="00E7573A">
      <w:pPr>
        <w:pStyle w:val="Heading5"/>
      </w:pPr>
      <w:r>
        <w:t>Idle VM</w:t>
      </w:r>
    </w:p>
    <w:p w14:paraId="7880027B" w14:textId="70206AE7" w:rsidR="00D6462C" w:rsidRDefault="0021798C" w:rsidP="00A05EE2">
      <w:pPr>
        <w:rPr>
          <w:lang w:val="en-GB"/>
        </w:rPr>
      </w:pPr>
      <w:r>
        <w:rPr>
          <w:lang w:val="en-GB"/>
        </w:rPr>
        <w:t>As the VM is</w:t>
      </w:r>
      <w:r w:rsidR="00A05EE2">
        <w:rPr>
          <w:lang w:val="en-GB"/>
        </w:rPr>
        <w:t xml:space="preserve"> still running</w:t>
      </w:r>
      <w:r>
        <w:rPr>
          <w:lang w:val="en-GB"/>
        </w:rPr>
        <w:t xml:space="preserve">, it’s </w:t>
      </w:r>
      <w:r w:rsidR="00C71F4D">
        <w:rPr>
          <w:lang w:val="en-GB"/>
        </w:rPr>
        <w:t xml:space="preserve">relatively </w:t>
      </w:r>
      <w:r>
        <w:rPr>
          <w:lang w:val="en-GB"/>
        </w:rPr>
        <w:t>harder to reclaim</w:t>
      </w:r>
      <w:r w:rsidR="00483966">
        <w:rPr>
          <w:lang w:val="en-GB"/>
        </w:rPr>
        <w:t xml:space="preserve"> as shutting it down may require approval from the VM Owner.</w:t>
      </w:r>
    </w:p>
    <w:p w14:paraId="4D7A6E61" w14:textId="5D709DCF" w:rsidR="00C13BFF" w:rsidRDefault="00C13BFF" w:rsidP="00A05EE2">
      <w:pPr>
        <w:rPr>
          <w:lang w:val="en-GB"/>
        </w:rPr>
      </w:pPr>
      <w:r>
        <w:rPr>
          <w:lang w:val="en-GB"/>
        </w:rPr>
        <w:t>BTW, if there is nothing to reclaim, you get a blank table. The following example shows no VM meets the criteria for either powered off or idle. If you suspect the table is wrong, review your criteria</w:t>
      </w:r>
      <w:r w:rsidR="00F37D12">
        <w:rPr>
          <w:lang w:val="en-GB"/>
        </w:rPr>
        <w:t>.</w:t>
      </w:r>
    </w:p>
    <w:p w14:paraId="4B27F20B" w14:textId="1A6D7305" w:rsidR="00C13BFF" w:rsidRDefault="00C13BFF" w:rsidP="00A05EE2">
      <w:pPr>
        <w:rPr>
          <w:lang w:val="en-GB"/>
        </w:rPr>
      </w:pPr>
      <w:r w:rsidRPr="00C13BFF">
        <w:rPr>
          <w:noProof/>
          <w:lang w:val="en-GB"/>
        </w:rPr>
        <w:drawing>
          <wp:inline distT="0" distB="0" distL="0" distR="0" wp14:anchorId="7CAA9BFD" wp14:editId="3328AED4">
            <wp:extent cx="6645910" cy="2198370"/>
            <wp:effectExtent l="0" t="0" r="2540" b="0"/>
            <wp:docPr id="1859674521" name="Picture 1859674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5"/>
                    <a:stretch>
                      <a:fillRect/>
                    </a:stretch>
                  </pic:blipFill>
                  <pic:spPr>
                    <a:xfrm>
                      <a:off x="0" y="0"/>
                      <a:ext cx="6645910" cy="2198370"/>
                    </a:xfrm>
                    <a:prstGeom prst="rect">
                      <a:avLst/>
                    </a:prstGeom>
                  </pic:spPr>
                </pic:pic>
              </a:graphicData>
            </a:graphic>
          </wp:inline>
        </w:drawing>
      </w:r>
    </w:p>
    <w:p w14:paraId="30F4E3AF" w14:textId="17C5CEA2" w:rsidR="00F802E9" w:rsidRDefault="00936B86" w:rsidP="00A05EE2">
      <w:pPr>
        <w:rPr>
          <w:lang w:val="en-GB"/>
        </w:rPr>
      </w:pPr>
      <w:r>
        <w:rPr>
          <w:lang w:val="en-GB"/>
        </w:rPr>
        <w:t xml:space="preserve">We discussed in Capacity chapter that both </w:t>
      </w:r>
      <w:r w:rsidR="008D3A3F">
        <w:rPr>
          <w:lang w:val="en-GB"/>
        </w:rPr>
        <w:t>metrics</w:t>
      </w:r>
      <w:r w:rsidR="0089755A">
        <w:rPr>
          <w:lang w:val="en-GB"/>
        </w:rPr>
        <w:t xml:space="preserve"> need to be true to ensure the list does not contain VMs that </w:t>
      </w:r>
      <w:r w:rsidR="00993E47">
        <w:rPr>
          <w:lang w:val="en-GB"/>
        </w:rPr>
        <w:t xml:space="preserve">has recently become active. </w:t>
      </w:r>
    </w:p>
    <w:p w14:paraId="0B9542C1" w14:textId="4AE05338" w:rsidR="003B21A5" w:rsidRDefault="003B21A5" w:rsidP="003B21A5">
      <w:pPr>
        <w:jc w:val="center"/>
        <w:rPr>
          <w:lang w:val="en-GB"/>
        </w:rPr>
      </w:pPr>
      <w:r w:rsidRPr="003B21A5">
        <w:rPr>
          <w:noProof/>
          <w:lang w:val="en-GB"/>
        </w:rPr>
        <w:lastRenderedPageBreak/>
        <w:drawing>
          <wp:inline distT="0" distB="0" distL="0" distR="0" wp14:anchorId="1AE578BE" wp14:editId="35569E79">
            <wp:extent cx="5601600" cy="961200"/>
            <wp:effectExtent l="0" t="0" r="0" b="0"/>
            <wp:docPr id="918289663" name="Picture 918289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6"/>
                    <a:stretch>
                      <a:fillRect/>
                    </a:stretch>
                  </pic:blipFill>
                  <pic:spPr>
                    <a:xfrm>
                      <a:off x="0" y="0"/>
                      <a:ext cx="5601600" cy="961200"/>
                    </a:xfrm>
                    <a:prstGeom prst="rect">
                      <a:avLst/>
                    </a:prstGeom>
                  </pic:spPr>
                </pic:pic>
              </a:graphicData>
            </a:graphic>
          </wp:inline>
        </w:drawing>
      </w:r>
    </w:p>
    <w:p w14:paraId="5D215829" w14:textId="5212A947" w:rsidR="00F37D12" w:rsidRDefault="00F37D12" w:rsidP="00A05EE2">
      <w:pPr>
        <w:rPr>
          <w:lang w:val="en-GB"/>
        </w:rPr>
      </w:pPr>
      <w:r>
        <w:rPr>
          <w:lang w:val="en-GB"/>
        </w:rPr>
        <w:t>Let’s drill down into idle VM as that’s the most complex part. Guess why we show the 99</w:t>
      </w:r>
      <w:r w:rsidRPr="00F37D12">
        <w:rPr>
          <w:vertAlign w:val="superscript"/>
          <w:lang w:val="en-GB"/>
        </w:rPr>
        <w:t>th</w:t>
      </w:r>
      <w:r>
        <w:rPr>
          <w:lang w:val="en-GB"/>
        </w:rPr>
        <w:t xml:space="preserve"> percentile CPU usage? </w:t>
      </w:r>
    </w:p>
    <w:p w14:paraId="71C7ABA5" w14:textId="77777777" w:rsidR="00366E9D" w:rsidRPr="00961189" w:rsidRDefault="00366E9D" w:rsidP="00366E9D">
      <w:pPr>
        <w:jc w:val="center"/>
        <w:rPr>
          <w:lang w:val="en-GB" w:eastAsia="en-SG"/>
        </w:rPr>
      </w:pPr>
      <w:r w:rsidRPr="00854184">
        <w:rPr>
          <w:noProof/>
          <w:lang w:val="en-GB"/>
        </w:rPr>
        <w:drawing>
          <wp:inline distT="0" distB="0" distL="0" distR="0" wp14:anchorId="1410C6CA" wp14:editId="3AC7D7B4">
            <wp:extent cx="5044267" cy="1645435"/>
            <wp:effectExtent l="0" t="0" r="4445" b="0"/>
            <wp:docPr id="1085195954" name="Picture 1085195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7"/>
                    <a:stretch>
                      <a:fillRect/>
                    </a:stretch>
                  </pic:blipFill>
                  <pic:spPr>
                    <a:xfrm>
                      <a:off x="0" y="0"/>
                      <a:ext cx="5049836" cy="1647251"/>
                    </a:xfrm>
                    <a:prstGeom prst="rect">
                      <a:avLst/>
                    </a:prstGeom>
                  </pic:spPr>
                </pic:pic>
              </a:graphicData>
            </a:graphic>
          </wp:inline>
        </w:drawing>
      </w:r>
    </w:p>
    <w:p w14:paraId="4CF3A320" w14:textId="5BD875DD" w:rsidR="0064791F" w:rsidRDefault="00E0212A" w:rsidP="00A05EE2">
      <w:pPr>
        <w:rPr>
          <w:lang w:val="en-GB"/>
        </w:rPr>
      </w:pPr>
      <w:r>
        <w:rPr>
          <w:lang w:val="en-GB"/>
        </w:rPr>
        <w:t xml:space="preserve">The 99P CPU Usage shows the </w:t>
      </w:r>
      <w:r w:rsidR="00A67B57">
        <w:rPr>
          <w:lang w:val="en-GB"/>
        </w:rPr>
        <w:t>CPU usage at 99</w:t>
      </w:r>
      <w:r w:rsidR="00A67B57" w:rsidRPr="00A67B57">
        <w:rPr>
          <w:vertAlign w:val="superscript"/>
          <w:lang w:val="en-GB"/>
        </w:rPr>
        <w:t>th</w:t>
      </w:r>
      <w:r w:rsidR="00A67B57">
        <w:rPr>
          <w:lang w:val="en-GB"/>
        </w:rPr>
        <w:t xml:space="preserve"> percentile during the time period. It’s a handy way to check if it’s indeed idle.</w:t>
      </w:r>
      <w:r w:rsidR="00483966">
        <w:rPr>
          <w:lang w:val="en-GB"/>
        </w:rPr>
        <w:t xml:space="preserve"> Essentially, if it the CPU utilization is low for 99% of the time, the VM could indeed be idle. </w:t>
      </w:r>
    </w:p>
    <w:p w14:paraId="7B178B4E" w14:textId="227EB466" w:rsidR="00C10016" w:rsidRDefault="00C10016" w:rsidP="00C10016">
      <w:pPr>
        <w:rPr>
          <w:lang w:val="en-GB"/>
        </w:rPr>
      </w:pPr>
      <w:r>
        <w:rPr>
          <w:lang w:val="en-GB"/>
        </w:rPr>
        <w:t xml:space="preserve">Why is the </w:t>
      </w:r>
      <w:r w:rsidRPr="00F37D12">
        <w:rPr>
          <w:color w:val="00B0F0"/>
          <w:lang w:val="en-GB"/>
        </w:rPr>
        <w:t xml:space="preserve">Creation Date </w:t>
      </w:r>
      <w:r>
        <w:rPr>
          <w:lang w:val="en-GB"/>
        </w:rPr>
        <w:t>especially important for Idle VM case?</w:t>
      </w:r>
    </w:p>
    <w:p w14:paraId="20C8EB2E" w14:textId="2A77CC9A" w:rsidR="00C10016" w:rsidRDefault="00C10016" w:rsidP="00A05EE2">
      <w:pPr>
        <w:rPr>
          <w:lang w:val="en-GB"/>
        </w:rPr>
      </w:pPr>
      <w:r>
        <w:rPr>
          <w:lang w:val="en-GB"/>
        </w:rPr>
        <w:t>The answer is newly provisioned VM may remain unused for months. The following show how to set it.</w:t>
      </w:r>
    </w:p>
    <w:p w14:paraId="6314B68D" w14:textId="77777777" w:rsidR="00AD2BB9" w:rsidRDefault="00AD2BB9" w:rsidP="00AD2BB9">
      <w:pPr>
        <w:rPr>
          <w:lang w:val="en-GB"/>
        </w:rPr>
      </w:pPr>
      <w:r>
        <w:rPr>
          <w:noProof/>
        </w:rPr>
        <w:drawing>
          <wp:inline distT="0" distB="0" distL="0" distR="0" wp14:anchorId="61D16667" wp14:editId="1FAAE251">
            <wp:extent cx="6645910" cy="4526280"/>
            <wp:effectExtent l="0" t="0" r="254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pic:nvPicPr>
                  <pic:blipFill>
                    <a:blip r:embed="rId1168">
                      <a:extLst>
                        <a:ext uri="{28A0092B-C50C-407E-A947-70E740481C1C}">
                          <a14:useLocalDpi xmlns:a14="http://schemas.microsoft.com/office/drawing/2010/main" val="0"/>
                        </a:ext>
                      </a:extLst>
                    </a:blip>
                    <a:stretch>
                      <a:fillRect/>
                    </a:stretch>
                  </pic:blipFill>
                  <pic:spPr>
                    <a:xfrm>
                      <a:off x="0" y="0"/>
                      <a:ext cx="6645910" cy="4526280"/>
                    </a:xfrm>
                    <a:prstGeom prst="rect">
                      <a:avLst/>
                    </a:prstGeom>
                  </pic:spPr>
                </pic:pic>
              </a:graphicData>
            </a:graphic>
          </wp:inline>
        </w:drawing>
      </w:r>
    </w:p>
    <w:p w14:paraId="653D6290" w14:textId="00B38413" w:rsidR="00AD2BB9" w:rsidRPr="0021798C" w:rsidRDefault="00C10016" w:rsidP="00A05EE2">
      <w:pPr>
        <w:rPr>
          <w:color w:val="00B0F0"/>
          <w:lang w:val="en-GB" w:eastAsia="en-SG"/>
        </w:rPr>
      </w:pPr>
      <w:r>
        <w:rPr>
          <w:lang w:val="en-GB" w:eastAsia="en-SG"/>
        </w:rPr>
        <w:lastRenderedPageBreak/>
        <w:t xml:space="preserve">Choose </w:t>
      </w:r>
      <w:r w:rsidR="00AD2BB9">
        <w:rPr>
          <w:lang w:val="en-GB" w:eastAsia="en-SG"/>
        </w:rPr>
        <w:t xml:space="preserve">VM </w:t>
      </w:r>
      <w:r w:rsidR="00AD2BB9" w:rsidRPr="00A452F2">
        <w:rPr>
          <w:lang w:val="en-GB" w:eastAsia="en-SG"/>
        </w:rPr>
        <w:t xml:space="preserve">property </w:t>
      </w:r>
      <w:r w:rsidR="00AD2BB9" w:rsidRPr="0021798C">
        <w:rPr>
          <w:color w:val="00B0F0"/>
          <w:lang w:val="en-GB" w:eastAsia="en-SG"/>
        </w:rPr>
        <w:t>Configuration \ Creation Date</w:t>
      </w:r>
      <w:r>
        <w:rPr>
          <w:lang w:val="en-GB" w:eastAsia="en-SG"/>
        </w:rPr>
        <w:t>, then c</w:t>
      </w:r>
      <w:r w:rsidR="00AD2BB9" w:rsidRPr="00A452F2">
        <w:rPr>
          <w:lang w:val="en-GB" w:eastAsia="en-SG"/>
        </w:rPr>
        <w:t xml:space="preserve">hoose the </w:t>
      </w:r>
      <w:r w:rsidR="00AD2BB9" w:rsidRPr="0021798C">
        <w:rPr>
          <w:color w:val="00B0F0"/>
          <w:lang w:val="en-GB" w:eastAsia="en-SG"/>
        </w:rPr>
        <w:t xml:space="preserve">Transformation: Timestamp </w:t>
      </w:r>
      <w:r w:rsidR="00AD2BB9" w:rsidRPr="00A452F2">
        <w:rPr>
          <w:lang w:val="en-GB" w:eastAsia="en-SG"/>
        </w:rPr>
        <w:t xml:space="preserve">and then </w:t>
      </w:r>
      <w:r w:rsidR="00AD2BB9" w:rsidRPr="0021798C">
        <w:rPr>
          <w:color w:val="00B0F0"/>
          <w:lang w:val="en-GB" w:eastAsia="en-SG"/>
        </w:rPr>
        <w:t>Relative Timestamp.</w:t>
      </w:r>
    </w:p>
    <w:p w14:paraId="74E9CD99" w14:textId="09AD11E2" w:rsidR="00ED398F" w:rsidRDefault="00ED398F" w:rsidP="00AC6E1E">
      <w:pPr>
        <w:pStyle w:val="Heading4"/>
      </w:pPr>
      <w:r>
        <w:t>VM Analysis</w:t>
      </w:r>
    </w:p>
    <w:p w14:paraId="4F93C5FF" w14:textId="746D4716" w:rsidR="00366E9D" w:rsidRDefault="00483966" w:rsidP="00366E9D">
      <w:pPr>
        <w:rPr>
          <w:lang w:val="en-GB" w:eastAsia="en-SG"/>
        </w:rPr>
      </w:pPr>
      <w:r w:rsidRPr="00483966">
        <w:rPr>
          <w:lang w:val="en-GB" w:eastAsia="en-SG"/>
        </w:rPr>
        <w:t xml:space="preserve">To analyze VMs for reclamation opportunities, select a VM from one of the three tables (Powered Off VM, Idle VMs or VM Snapshots). </w:t>
      </w:r>
      <w:r w:rsidR="00366E9D">
        <w:rPr>
          <w:lang w:val="en-GB" w:eastAsia="en-SG"/>
        </w:rPr>
        <w:t xml:space="preserve">Its detail </w:t>
      </w:r>
      <w:r w:rsidR="00F37D12">
        <w:rPr>
          <w:lang w:val="en-GB" w:eastAsia="en-SG"/>
        </w:rPr>
        <w:t xml:space="preserve">value over time </w:t>
      </w:r>
      <w:r w:rsidR="00366E9D">
        <w:rPr>
          <w:lang w:val="en-GB" w:eastAsia="en-SG"/>
        </w:rPr>
        <w:t>will be automatically shown.</w:t>
      </w:r>
      <w:r w:rsidR="0016684E">
        <w:rPr>
          <w:lang w:val="en-GB" w:eastAsia="en-SG"/>
        </w:rPr>
        <w:t xml:space="preserve"> Notice the VM name is the same in all the 3 charts. </w:t>
      </w:r>
    </w:p>
    <w:p w14:paraId="4F646675" w14:textId="2483E377" w:rsidR="00F37D12" w:rsidRDefault="00F37D12" w:rsidP="00366E9D">
      <w:pPr>
        <w:rPr>
          <w:lang w:val="en-GB" w:eastAsia="en-SG"/>
        </w:rPr>
      </w:pPr>
      <w:r w:rsidRPr="00F37D12">
        <w:rPr>
          <w:noProof/>
          <w:lang w:val="en-GB" w:eastAsia="en-SG"/>
        </w:rPr>
        <w:drawing>
          <wp:inline distT="0" distB="0" distL="0" distR="0" wp14:anchorId="72BA0DA4" wp14:editId="79B913AA">
            <wp:extent cx="6645910" cy="1062355"/>
            <wp:effectExtent l="0" t="0" r="2540" b="4445"/>
            <wp:docPr id="1859674525" name="Picture 1859674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9"/>
                    <a:stretch>
                      <a:fillRect/>
                    </a:stretch>
                  </pic:blipFill>
                  <pic:spPr>
                    <a:xfrm>
                      <a:off x="0" y="0"/>
                      <a:ext cx="6645910" cy="1062355"/>
                    </a:xfrm>
                    <a:prstGeom prst="rect">
                      <a:avLst/>
                    </a:prstGeom>
                  </pic:spPr>
                </pic:pic>
              </a:graphicData>
            </a:graphic>
          </wp:inline>
        </w:drawing>
      </w:r>
    </w:p>
    <w:p w14:paraId="541CC9E7" w14:textId="6E70F3C7" w:rsidR="00483966" w:rsidRDefault="00483966" w:rsidP="00366E9D">
      <w:r>
        <w:t xml:space="preserve">Powered off over time shows VM </w:t>
      </w:r>
      <w:r w:rsidR="00F37D12">
        <w:t xml:space="preserve">status (on/off) over time. 1 </w:t>
      </w:r>
      <w:r w:rsidR="0016684E">
        <w:t xml:space="preserve">= true, meaning </w:t>
      </w:r>
      <w:r w:rsidR="00F37D12">
        <w:t>the machine is powered on.</w:t>
      </w:r>
    </w:p>
    <w:p w14:paraId="2237FF17" w14:textId="4406253E" w:rsidR="00483966" w:rsidRDefault="00483966" w:rsidP="00366E9D">
      <w:pPr>
        <w:rPr>
          <w:lang w:val="en-GB" w:eastAsia="en-SG"/>
        </w:rPr>
      </w:pPr>
      <w:r>
        <w:t>CPU Usage over time provides insights into the aggregate CPU usage, including peak usage periods. This way you can validate that an idle VM has not had any brief usage.</w:t>
      </w:r>
      <w:r w:rsidR="0016684E">
        <w:t xml:space="preserve"> What you want to see is </w:t>
      </w:r>
      <w:r w:rsidR="0022569A" w:rsidRPr="0022569A">
        <w:rPr>
          <w:color w:val="00B050"/>
        </w:rPr>
        <w:t>green</w:t>
      </w:r>
      <w:r w:rsidR="0016684E">
        <w:t xml:space="preserve"> over a long period of time, as shown in the following example.</w:t>
      </w:r>
    </w:p>
    <w:p w14:paraId="50E923A6" w14:textId="77916BBD" w:rsidR="00ED398F" w:rsidRDefault="00961189" w:rsidP="00FE3AAB">
      <w:pPr>
        <w:jc w:val="center"/>
        <w:rPr>
          <w:lang w:val="en-GB" w:eastAsia="en-SG"/>
        </w:rPr>
      </w:pPr>
      <w:r w:rsidRPr="0064791F">
        <w:rPr>
          <w:noProof/>
          <w:lang w:val="en-GB"/>
        </w:rPr>
        <w:drawing>
          <wp:inline distT="0" distB="0" distL="0" distR="0" wp14:anchorId="1B3D7EAF" wp14:editId="4C346395">
            <wp:extent cx="3923030" cy="2017191"/>
            <wp:effectExtent l="0" t="0" r="1270" b="2540"/>
            <wp:docPr id="1085195953" name="Picture 1085195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0"/>
                    <a:stretch>
                      <a:fillRect/>
                    </a:stretch>
                  </pic:blipFill>
                  <pic:spPr>
                    <a:xfrm>
                      <a:off x="0" y="0"/>
                      <a:ext cx="3927197" cy="2019333"/>
                    </a:xfrm>
                    <a:prstGeom prst="rect">
                      <a:avLst/>
                    </a:prstGeom>
                  </pic:spPr>
                </pic:pic>
              </a:graphicData>
            </a:graphic>
          </wp:inline>
        </w:drawing>
      </w:r>
    </w:p>
    <w:p w14:paraId="45E45B1C" w14:textId="1DB44626" w:rsidR="0016684E" w:rsidRDefault="0016684E" w:rsidP="0016684E">
      <w:pPr>
        <w:rPr>
          <w:lang w:val="en-GB" w:eastAsia="en-SG"/>
        </w:rPr>
      </w:pPr>
      <w:r w:rsidRPr="00A452F2">
        <w:rPr>
          <w:lang w:val="en-GB" w:eastAsia="en-SG"/>
        </w:rPr>
        <w:t xml:space="preserve">If the snapshot is expanding rapidly, ensure that the VM disk is </w:t>
      </w:r>
      <w:r>
        <w:rPr>
          <w:lang w:val="en-GB" w:eastAsia="en-SG"/>
        </w:rPr>
        <w:t xml:space="preserve">small </w:t>
      </w:r>
      <w:r w:rsidRPr="00A452F2">
        <w:rPr>
          <w:lang w:val="en-GB" w:eastAsia="en-SG"/>
        </w:rPr>
        <w:t xml:space="preserve">(relative to </w:t>
      </w:r>
      <w:r>
        <w:rPr>
          <w:lang w:val="en-GB" w:eastAsia="en-SG"/>
        </w:rPr>
        <w:t xml:space="preserve">size of </w:t>
      </w:r>
      <w:r w:rsidRPr="00A452F2">
        <w:rPr>
          <w:lang w:val="en-GB" w:eastAsia="en-SG"/>
        </w:rPr>
        <w:t>the underlying datastore) as it can fill up the datastore</w:t>
      </w:r>
      <w:r>
        <w:rPr>
          <w:lang w:val="en-GB" w:eastAsia="en-SG"/>
        </w:rPr>
        <w:t>.</w:t>
      </w:r>
      <w:r w:rsidRPr="00A452F2">
        <w:rPr>
          <w:lang w:val="en-GB" w:eastAsia="en-SG"/>
        </w:rPr>
        <w:t xml:space="preserve"> </w:t>
      </w:r>
    </w:p>
    <w:p w14:paraId="20DF340A" w14:textId="5A552FFD" w:rsidR="003E606B" w:rsidRDefault="00BF794E" w:rsidP="00ED398F">
      <w:pPr>
        <w:rPr>
          <w:lang w:val="en-GB" w:eastAsia="en-SG"/>
        </w:rPr>
      </w:pPr>
      <w:r>
        <w:rPr>
          <w:lang w:val="en-GB" w:eastAsia="en-SG"/>
        </w:rPr>
        <w:t>Lastly, the r</w:t>
      </w:r>
      <w:r w:rsidR="003E606B">
        <w:rPr>
          <w:lang w:val="en-GB" w:eastAsia="en-SG"/>
        </w:rPr>
        <w:t xml:space="preserve">elevant configuration </w:t>
      </w:r>
      <w:r w:rsidR="0016684E">
        <w:rPr>
          <w:lang w:val="en-GB" w:eastAsia="en-SG"/>
        </w:rPr>
        <w:t xml:space="preserve">of the VM is also shown to give </w:t>
      </w:r>
      <w:r w:rsidR="003E606B">
        <w:rPr>
          <w:lang w:val="en-GB" w:eastAsia="en-SG"/>
        </w:rPr>
        <w:t>context</w:t>
      </w:r>
      <w:r>
        <w:rPr>
          <w:lang w:val="en-GB" w:eastAsia="en-SG"/>
        </w:rPr>
        <w:t>.</w:t>
      </w:r>
    </w:p>
    <w:p w14:paraId="25836F83" w14:textId="0CCE025A" w:rsidR="00A82CBA" w:rsidRPr="00ED398F" w:rsidRDefault="00A82CBA" w:rsidP="00ED398F">
      <w:pPr>
        <w:rPr>
          <w:lang w:val="en-GB" w:eastAsia="en-SG"/>
        </w:rPr>
      </w:pPr>
      <w:r w:rsidRPr="00A82CBA">
        <w:rPr>
          <w:noProof/>
          <w:lang w:val="en-GB" w:eastAsia="en-SG"/>
        </w:rPr>
        <w:lastRenderedPageBreak/>
        <w:drawing>
          <wp:inline distT="0" distB="0" distL="0" distR="0" wp14:anchorId="563CF1F6" wp14:editId="10DD2AAA">
            <wp:extent cx="6645910" cy="1664335"/>
            <wp:effectExtent l="0" t="0" r="2540" b="0"/>
            <wp:docPr id="1085195956" name="Picture 1085195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1"/>
                    <a:stretch>
                      <a:fillRect/>
                    </a:stretch>
                  </pic:blipFill>
                  <pic:spPr>
                    <a:xfrm>
                      <a:off x="0" y="0"/>
                      <a:ext cx="6645910" cy="1664335"/>
                    </a:xfrm>
                    <a:prstGeom prst="rect">
                      <a:avLst/>
                    </a:prstGeom>
                  </pic:spPr>
                </pic:pic>
              </a:graphicData>
            </a:graphic>
          </wp:inline>
        </w:drawing>
      </w:r>
    </w:p>
    <w:p w14:paraId="7E765CBF" w14:textId="77777777" w:rsidR="007A44C7" w:rsidRPr="00A452F2" w:rsidRDefault="007A44C7" w:rsidP="00AC6E1E">
      <w:pPr>
        <w:pStyle w:val="Heading4"/>
      </w:pPr>
      <w:r w:rsidRPr="00A452F2">
        <w:t>Points to Note</w:t>
      </w:r>
    </w:p>
    <w:p w14:paraId="1DD119AE" w14:textId="313F90F4" w:rsidR="007A44C7" w:rsidRPr="00A452F2" w:rsidRDefault="007A44C7" w:rsidP="007A44C7">
      <w:pPr>
        <w:rPr>
          <w:lang w:val="en-GB" w:eastAsia="en-SG"/>
        </w:rPr>
      </w:pPr>
      <w:r w:rsidRPr="00A452F2">
        <w:rPr>
          <w:lang w:val="en-GB" w:eastAsia="en-SG"/>
        </w:rPr>
        <w:t xml:space="preserve">If your environment is large, change the dashboard filter to a functional filter. Group by the class of services such as </w:t>
      </w:r>
      <w:r w:rsidR="00F446FE">
        <w:rPr>
          <w:lang w:val="en-GB" w:eastAsia="en-SG"/>
        </w:rPr>
        <w:t>g</w:t>
      </w:r>
      <w:r w:rsidRPr="00A452F2">
        <w:rPr>
          <w:lang w:val="en-GB" w:eastAsia="en-SG"/>
        </w:rPr>
        <w:t xml:space="preserve">old, silver, and bronze and default the selection to the least critical environment. In this way, you can be </w:t>
      </w:r>
      <w:r w:rsidR="0071294C">
        <w:rPr>
          <w:lang w:val="en-GB" w:eastAsia="en-SG"/>
        </w:rPr>
        <w:t xml:space="preserve">more </w:t>
      </w:r>
      <w:r w:rsidRPr="00A452F2">
        <w:rPr>
          <w:lang w:val="en-GB" w:eastAsia="en-SG"/>
        </w:rPr>
        <w:t>active in reclamation</w:t>
      </w:r>
      <w:r w:rsidR="0071294C">
        <w:rPr>
          <w:lang w:val="en-GB" w:eastAsia="en-SG"/>
        </w:rPr>
        <w:t>.</w:t>
      </w:r>
    </w:p>
    <w:p w14:paraId="703F0E78" w14:textId="69612A11" w:rsidR="0016684E" w:rsidRDefault="007A44C7" w:rsidP="007A44C7">
      <w:pPr>
        <w:rPr>
          <w:lang w:val="en-GB" w:eastAsia="en-SG"/>
        </w:rPr>
      </w:pPr>
      <w:r w:rsidRPr="00A452F2">
        <w:rPr>
          <w:lang w:val="en-GB" w:eastAsia="en-SG"/>
        </w:rPr>
        <w:t xml:space="preserve">If reclaiming is a long drawn manual process in your </w:t>
      </w:r>
      <w:r>
        <w:rPr>
          <w:lang w:val="en-GB" w:eastAsia="en-SG"/>
        </w:rPr>
        <w:t>organization</w:t>
      </w:r>
      <w:r w:rsidRPr="00A452F2">
        <w:rPr>
          <w:lang w:val="en-GB" w:eastAsia="en-SG"/>
        </w:rPr>
        <w:t xml:space="preserve">, add a filter by department or VM owners. </w:t>
      </w:r>
      <w:r w:rsidR="0016684E">
        <w:t>To organize your reclaim efforts it is helpful to create custom groups to make it easier to filter by department or VM owner. This can make it easier to seek approvals and communicate with anyone who may be impacted.</w:t>
      </w:r>
    </w:p>
    <w:p w14:paraId="050BB523" w14:textId="52402C5A" w:rsidR="00451E0B" w:rsidRPr="00A452F2" w:rsidRDefault="00451E0B" w:rsidP="007A44C7">
      <w:pPr>
        <w:rPr>
          <w:lang w:val="en-GB" w:eastAsia="en-SG"/>
        </w:rPr>
      </w:pPr>
      <w:r>
        <w:rPr>
          <w:lang w:val="en-GB" w:eastAsia="en-SG"/>
        </w:rPr>
        <w:t xml:space="preserve">You should </w:t>
      </w:r>
      <w:r w:rsidR="009A6219">
        <w:rPr>
          <w:lang w:val="en-GB" w:eastAsia="en-SG"/>
        </w:rPr>
        <w:t xml:space="preserve">enhance this to include </w:t>
      </w:r>
      <w:hyperlink r:id="rId1172" w:history="1">
        <w:r w:rsidR="009A6219" w:rsidRPr="004801A5">
          <w:rPr>
            <w:rStyle w:val="Hyperlink"/>
            <w:lang w:val="en-GB" w:eastAsia="en-SG"/>
          </w:rPr>
          <w:t>T</w:t>
        </w:r>
        <w:r w:rsidR="003F6903" w:rsidRPr="004801A5">
          <w:rPr>
            <w:rStyle w:val="Hyperlink"/>
            <w:lang w:val="en-GB" w:eastAsia="en-SG"/>
          </w:rPr>
          <w:t>rim</w:t>
        </w:r>
        <w:r w:rsidR="009A6219" w:rsidRPr="004801A5">
          <w:rPr>
            <w:rStyle w:val="Hyperlink"/>
            <w:lang w:val="en-GB" w:eastAsia="en-SG"/>
          </w:rPr>
          <w:t xml:space="preserve"> and </w:t>
        </w:r>
        <w:r w:rsidR="003F6903" w:rsidRPr="004801A5">
          <w:rPr>
            <w:rStyle w:val="Hyperlink"/>
            <w:lang w:val="en-GB" w:eastAsia="en-SG"/>
          </w:rPr>
          <w:t>U</w:t>
        </w:r>
        <w:r w:rsidR="009A6219" w:rsidRPr="004801A5">
          <w:rPr>
            <w:rStyle w:val="Hyperlink"/>
            <w:lang w:val="en-GB" w:eastAsia="en-SG"/>
          </w:rPr>
          <w:t>nmap</w:t>
        </w:r>
      </w:hyperlink>
      <w:r w:rsidR="009A6219">
        <w:rPr>
          <w:lang w:val="en-GB" w:eastAsia="en-SG"/>
        </w:rPr>
        <w:t>. Happy to collaborate and make this into the product.</w:t>
      </w:r>
      <w:r w:rsidR="0054334E">
        <w:rPr>
          <w:lang w:val="en-GB" w:eastAsia="en-SG"/>
        </w:rPr>
        <w:t xml:space="preserve"> </w:t>
      </w:r>
      <w:r w:rsidR="009F4B54">
        <w:rPr>
          <w:lang w:val="en-GB" w:eastAsia="en-SG"/>
        </w:rPr>
        <w:t>We need to check on only the thin provisioned disk.</w:t>
      </w:r>
      <w:r w:rsidR="00344EBD">
        <w:rPr>
          <w:lang w:val="en-GB" w:eastAsia="en-SG"/>
        </w:rPr>
        <w:t xml:space="preserve"> We should also check at the array level, using the TVS adapter.</w:t>
      </w:r>
    </w:p>
    <w:p w14:paraId="48A71C6D" w14:textId="77777777" w:rsidR="007A44C7" w:rsidRPr="00A452F2" w:rsidRDefault="007A44C7" w:rsidP="00540F68">
      <w:pPr>
        <w:pStyle w:val="Heading3"/>
      </w:pPr>
      <w:r w:rsidRPr="00A452F2">
        <w:t>VM Rightsizing</w:t>
      </w:r>
    </w:p>
    <w:p w14:paraId="4452F064" w14:textId="6E2397E0" w:rsidR="00C50CD3" w:rsidRDefault="007A44C7" w:rsidP="007A44C7">
      <w:pPr>
        <w:rPr>
          <w:lang w:val="en-GB"/>
        </w:rPr>
      </w:pPr>
      <w:r w:rsidRPr="00A452F2">
        <w:rPr>
          <w:lang w:val="en-GB"/>
        </w:rPr>
        <w:t xml:space="preserve">The </w:t>
      </w:r>
      <w:r w:rsidRPr="00A452F2">
        <w:rPr>
          <w:rStyle w:val="keyword"/>
          <w:lang w:val="en-GB"/>
        </w:rPr>
        <w:t>VM Rightsizing</w:t>
      </w:r>
      <w:r w:rsidRPr="00A452F2">
        <w:rPr>
          <w:lang w:val="en-GB"/>
        </w:rPr>
        <w:t xml:space="preserve"> dashboard helps you in adjusting the VM size for </w:t>
      </w:r>
      <w:r w:rsidR="001E4384">
        <w:rPr>
          <w:lang w:val="en-GB"/>
        </w:rPr>
        <w:t xml:space="preserve">best </w:t>
      </w:r>
      <w:r w:rsidR="00531099">
        <w:rPr>
          <w:lang w:val="en-GB"/>
        </w:rPr>
        <w:t xml:space="preserve">long term </w:t>
      </w:r>
      <w:r w:rsidRPr="00A452F2">
        <w:rPr>
          <w:lang w:val="en-GB"/>
        </w:rPr>
        <w:t xml:space="preserve">performance </w:t>
      </w:r>
      <w:r w:rsidR="001E4384">
        <w:rPr>
          <w:lang w:val="en-GB"/>
        </w:rPr>
        <w:t xml:space="preserve">at lowest </w:t>
      </w:r>
      <w:r w:rsidR="00672A9A">
        <w:rPr>
          <w:lang w:val="en-GB"/>
        </w:rPr>
        <w:t>cost</w:t>
      </w:r>
      <w:r w:rsidRPr="00A452F2">
        <w:rPr>
          <w:lang w:val="en-GB"/>
        </w:rPr>
        <w:t xml:space="preserve">. It covers both undersized and oversized scenarios. </w:t>
      </w:r>
      <w:r w:rsidR="00531099">
        <w:rPr>
          <w:lang w:val="en-GB"/>
        </w:rPr>
        <w:t xml:space="preserve">It’s not designed for short term, 5-minute performance burst. The reason is high utilization is actually good for performance. As a result, this </w:t>
      </w:r>
      <w:r w:rsidR="001071F3">
        <w:rPr>
          <w:lang w:val="en-GB"/>
        </w:rPr>
        <w:t xml:space="preserve">dashboard is categorized under Capacity </w:t>
      </w:r>
      <w:r w:rsidR="00531099">
        <w:rPr>
          <w:lang w:val="en-GB"/>
        </w:rPr>
        <w:t xml:space="preserve">and not </w:t>
      </w:r>
      <w:r w:rsidR="00C50CD3">
        <w:rPr>
          <w:lang w:val="en-GB"/>
        </w:rPr>
        <w:t>performance</w:t>
      </w:r>
      <w:r w:rsidR="00531099">
        <w:rPr>
          <w:lang w:val="en-GB"/>
        </w:rPr>
        <w:t>.</w:t>
      </w:r>
    </w:p>
    <w:p w14:paraId="4DFA5BA9" w14:textId="75163DEC" w:rsidR="007A44C7" w:rsidRDefault="00C50CD3" w:rsidP="007A44C7">
      <w:pPr>
        <w:rPr>
          <w:lang w:val="en-GB"/>
        </w:rPr>
      </w:pPr>
      <w:r>
        <w:rPr>
          <w:lang w:val="en-GB"/>
        </w:rPr>
        <w:t>I</w:t>
      </w:r>
      <w:r w:rsidR="007A44C7" w:rsidRPr="00A452F2">
        <w:rPr>
          <w:lang w:val="en-GB"/>
        </w:rPr>
        <w:t xml:space="preserve">t is designed </w:t>
      </w:r>
      <w:r w:rsidR="00531099">
        <w:rPr>
          <w:lang w:val="en-GB"/>
        </w:rPr>
        <w:t xml:space="preserve">primarily </w:t>
      </w:r>
      <w:r w:rsidR="007A44C7" w:rsidRPr="00A452F2">
        <w:rPr>
          <w:lang w:val="en-GB"/>
        </w:rPr>
        <w:t>for Capacity team</w:t>
      </w:r>
      <w:r w:rsidR="00531099">
        <w:rPr>
          <w:lang w:val="en-GB"/>
        </w:rPr>
        <w:t xml:space="preserve">, not day to day operations team. </w:t>
      </w:r>
    </w:p>
    <w:p w14:paraId="452480FE" w14:textId="72EE2DDB" w:rsidR="009B6853" w:rsidRDefault="009B6853" w:rsidP="00AC6E1E">
      <w:pPr>
        <w:pStyle w:val="Heading4"/>
      </w:pPr>
      <w:r>
        <w:lastRenderedPageBreak/>
        <w:t>Overall Analysis</w:t>
      </w:r>
    </w:p>
    <w:p w14:paraId="36621256" w14:textId="64385F56" w:rsidR="00C63136" w:rsidRPr="00C63136" w:rsidRDefault="00C63136" w:rsidP="00C63136">
      <w:pPr>
        <w:rPr>
          <w:lang w:val="en-GB"/>
        </w:rPr>
      </w:pPr>
      <w:r>
        <w:rPr>
          <w:lang w:val="en-GB"/>
        </w:rPr>
        <w:t>The scoreboard provides a summary of the t</w:t>
      </w:r>
      <w:r w:rsidR="00FA2AF5">
        <w:rPr>
          <w:lang w:val="en-GB"/>
        </w:rPr>
        <w:t>otal undersize</w:t>
      </w:r>
      <w:r w:rsidR="002B181B">
        <w:rPr>
          <w:lang w:val="en-GB"/>
        </w:rPr>
        <w:t>d</w:t>
      </w:r>
      <w:r w:rsidR="00FA2AF5">
        <w:rPr>
          <w:lang w:val="en-GB"/>
        </w:rPr>
        <w:t xml:space="preserve"> and oversized CPU and memory.</w:t>
      </w:r>
    </w:p>
    <w:p w14:paraId="78FD2415" w14:textId="37016BE0" w:rsidR="0026762E" w:rsidRDefault="0026762E" w:rsidP="007A44C7">
      <w:pPr>
        <w:rPr>
          <w:lang w:val="en-GB"/>
        </w:rPr>
      </w:pPr>
      <w:r w:rsidRPr="0026762E">
        <w:rPr>
          <w:noProof/>
          <w:lang w:val="en-GB"/>
        </w:rPr>
        <w:drawing>
          <wp:inline distT="0" distB="0" distL="0" distR="0" wp14:anchorId="023C9B48" wp14:editId="0FBA85F1">
            <wp:extent cx="6645910" cy="994410"/>
            <wp:effectExtent l="0" t="0" r="2540" b="0"/>
            <wp:docPr id="1085195957" name="Picture 1085195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3"/>
                    <a:stretch>
                      <a:fillRect/>
                    </a:stretch>
                  </pic:blipFill>
                  <pic:spPr>
                    <a:xfrm>
                      <a:off x="0" y="0"/>
                      <a:ext cx="6645910" cy="994410"/>
                    </a:xfrm>
                    <a:prstGeom prst="rect">
                      <a:avLst/>
                    </a:prstGeom>
                  </pic:spPr>
                </pic:pic>
              </a:graphicData>
            </a:graphic>
          </wp:inline>
        </w:drawing>
      </w:r>
    </w:p>
    <w:p w14:paraId="3AEDAC5E" w14:textId="05800053" w:rsidR="00B672EA" w:rsidRDefault="00B672EA" w:rsidP="007A44C7">
      <w:pPr>
        <w:rPr>
          <w:lang w:val="en-GB"/>
        </w:rPr>
      </w:pPr>
      <w:r>
        <w:rPr>
          <w:lang w:val="en-GB"/>
        </w:rPr>
        <w:t xml:space="preserve">If the number is </w:t>
      </w:r>
      <w:r w:rsidR="006D1E47">
        <w:rPr>
          <w:lang w:val="en-GB"/>
        </w:rPr>
        <w:t>acceptable to you</w:t>
      </w:r>
      <w:r>
        <w:rPr>
          <w:lang w:val="en-GB"/>
        </w:rPr>
        <w:t xml:space="preserve">, that’s it. No need to further </w:t>
      </w:r>
      <w:r w:rsidR="0010794E">
        <w:rPr>
          <w:lang w:val="en-GB"/>
        </w:rPr>
        <w:t>analyze</w:t>
      </w:r>
      <w:r>
        <w:rPr>
          <w:lang w:val="en-GB"/>
        </w:rPr>
        <w:t>.</w:t>
      </w:r>
    </w:p>
    <w:p w14:paraId="4C9448B7" w14:textId="6B5870D6" w:rsidR="00C558DA" w:rsidRDefault="00C558DA" w:rsidP="007A44C7">
      <w:pPr>
        <w:rPr>
          <w:lang w:val="en-GB"/>
        </w:rPr>
      </w:pPr>
      <w:r>
        <w:rPr>
          <w:lang w:val="en-GB"/>
        </w:rPr>
        <w:t xml:space="preserve">The reason why I’m </w:t>
      </w:r>
      <w:r w:rsidR="0086210F">
        <w:rPr>
          <w:lang w:val="en-GB"/>
        </w:rPr>
        <w:t>not adding the number of VMs that are undersize or oversized is screen real estate. It needs 4 metrics to account for all the combination.</w:t>
      </w:r>
    </w:p>
    <w:p w14:paraId="46F867C7" w14:textId="590C0391" w:rsidR="00657D71" w:rsidRDefault="007E7C33" w:rsidP="007A44C7">
      <w:pPr>
        <w:rPr>
          <w:lang w:val="en-GB"/>
        </w:rPr>
      </w:pPr>
      <w:r>
        <w:rPr>
          <w:lang w:val="en-GB"/>
        </w:rPr>
        <w:t>You can drill down at either Data Center level or cluster level.</w:t>
      </w:r>
      <w:r w:rsidR="007952E9">
        <w:rPr>
          <w:lang w:val="en-GB"/>
        </w:rPr>
        <w:t xml:space="preserve"> </w:t>
      </w:r>
      <w:r w:rsidR="00775CFA">
        <w:rPr>
          <w:lang w:val="en-GB"/>
        </w:rPr>
        <w:t>In most cases, r</w:t>
      </w:r>
      <w:r w:rsidR="00213B0A">
        <w:rPr>
          <w:lang w:val="en-GB"/>
        </w:rPr>
        <w:t xml:space="preserve">ightsizing analysis should be done at </w:t>
      </w:r>
      <w:r w:rsidR="009E3BFD">
        <w:rPr>
          <w:lang w:val="en-GB"/>
        </w:rPr>
        <w:t>Cluster level</w:t>
      </w:r>
      <w:r w:rsidR="00213B0A">
        <w:rPr>
          <w:lang w:val="en-GB"/>
        </w:rPr>
        <w:t xml:space="preserve"> as </w:t>
      </w:r>
      <w:r w:rsidR="00860625">
        <w:rPr>
          <w:lang w:val="en-GB"/>
        </w:rPr>
        <w:t xml:space="preserve">VMs typically do not move inter-cluster. </w:t>
      </w:r>
      <w:r w:rsidR="005D5E89">
        <w:rPr>
          <w:lang w:val="en-GB"/>
        </w:rPr>
        <w:t>At cluster level, the table looks like the following</w:t>
      </w:r>
      <w:r w:rsidR="00407D77">
        <w:rPr>
          <w:lang w:val="en-GB"/>
        </w:rPr>
        <w:t xml:space="preserve">. </w:t>
      </w:r>
      <w:r w:rsidR="0010794E">
        <w:rPr>
          <w:lang w:val="en-GB"/>
        </w:rPr>
        <w:t>Guess w</w:t>
      </w:r>
      <w:r w:rsidR="00407D77">
        <w:rPr>
          <w:lang w:val="en-GB"/>
        </w:rPr>
        <w:t xml:space="preserve">hy are the </w:t>
      </w:r>
      <w:r w:rsidR="0010794E">
        <w:rPr>
          <w:lang w:val="en-GB"/>
        </w:rPr>
        <w:t xml:space="preserve">cluster </w:t>
      </w:r>
      <w:r w:rsidR="00407D77">
        <w:rPr>
          <w:lang w:val="en-GB"/>
        </w:rPr>
        <w:t xml:space="preserve">capacity </w:t>
      </w:r>
      <w:r w:rsidR="008D3A3F">
        <w:rPr>
          <w:lang w:val="en-GB"/>
        </w:rPr>
        <w:t>metrics</w:t>
      </w:r>
      <w:r w:rsidR="00407D77">
        <w:rPr>
          <w:lang w:val="en-GB"/>
        </w:rPr>
        <w:t xml:space="preserve"> shown</w:t>
      </w:r>
      <w:r w:rsidR="0010794E">
        <w:rPr>
          <w:lang w:val="en-GB"/>
        </w:rPr>
        <w:t>?</w:t>
      </w:r>
    </w:p>
    <w:p w14:paraId="2B20BDD1" w14:textId="39573868" w:rsidR="00E557AF" w:rsidRDefault="00E557AF" w:rsidP="007A44C7">
      <w:pPr>
        <w:rPr>
          <w:lang w:val="en-GB"/>
        </w:rPr>
      </w:pPr>
      <w:r w:rsidRPr="00E557AF">
        <w:rPr>
          <w:noProof/>
          <w:lang w:val="en-GB"/>
        </w:rPr>
        <w:drawing>
          <wp:inline distT="0" distB="0" distL="0" distR="0" wp14:anchorId="621BB051" wp14:editId="01B11B49">
            <wp:extent cx="6645910" cy="1713865"/>
            <wp:effectExtent l="0" t="0" r="2540" b="635"/>
            <wp:docPr id="1085195959" name="Picture 1085195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4"/>
                    <a:stretch>
                      <a:fillRect/>
                    </a:stretch>
                  </pic:blipFill>
                  <pic:spPr>
                    <a:xfrm>
                      <a:off x="0" y="0"/>
                      <a:ext cx="6645910" cy="1713865"/>
                    </a:xfrm>
                    <a:prstGeom prst="rect">
                      <a:avLst/>
                    </a:prstGeom>
                  </pic:spPr>
                </pic:pic>
              </a:graphicData>
            </a:graphic>
          </wp:inline>
        </w:drawing>
      </w:r>
    </w:p>
    <w:p w14:paraId="1AB57566" w14:textId="20D75B66" w:rsidR="007A44C7" w:rsidRPr="00FB1630" w:rsidRDefault="007A44C7" w:rsidP="009B6853">
      <w:pPr>
        <w:rPr>
          <w:lang w:val="en-GB"/>
        </w:rPr>
      </w:pPr>
      <w:r w:rsidRPr="00A452F2">
        <w:rPr>
          <w:lang w:val="en-GB"/>
        </w:rPr>
        <w:t xml:space="preserve">The </w:t>
      </w:r>
      <w:r w:rsidR="008D3A3F">
        <w:rPr>
          <w:lang w:val="en-GB"/>
        </w:rPr>
        <w:t>metrics</w:t>
      </w:r>
      <w:r w:rsidR="00407D77">
        <w:rPr>
          <w:lang w:val="en-GB"/>
        </w:rPr>
        <w:t xml:space="preserve"> are shown</w:t>
      </w:r>
      <w:r w:rsidRPr="00A452F2">
        <w:rPr>
          <w:lang w:val="en-GB"/>
        </w:rPr>
        <w:t xml:space="preserve"> to give better context. Focus on reclaiming on cluster that is low on capacity remaining</w:t>
      </w:r>
      <w:r w:rsidR="0010794E">
        <w:rPr>
          <w:lang w:val="en-GB"/>
        </w:rPr>
        <w:t>. For up</w:t>
      </w:r>
      <w:r w:rsidRPr="00A452F2">
        <w:rPr>
          <w:lang w:val="en-GB"/>
        </w:rPr>
        <w:t xml:space="preserve">sizing </w:t>
      </w:r>
      <w:r w:rsidR="0010794E">
        <w:rPr>
          <w:lang w:val="en-GB"/>
        </w:rPr>
        <w:t xml:space="preserve">VMs, ensure the parent </w:t>
      </w:r>
      <w:r w:rsidRPr="00A452F2">
        <w:rPr>
          <w:lang w:val="en-GB"/>
        </w:rPr>
        <w:t>cluster</w:t>
      </w:r>
      <w:r w:rsidR="0010794E">
        <w:rPr>
          <w:lang w:val="en-GB"/>
        </w:rPr>
        <w:t>s</w:t>
      </w:r>
      <w:r w:rsidRPr="00A452F2">
        <w:rPr>
          <w:lang w:val="en-GB"/>
        </w:rPr>
        <w:t xml:space="preserve"> </w:t>
      </w:r>
      <w:r w:rsidR="0010794E">
        <w:rPr>
          <w:lang w:val="en-GB"/>
        </w:rPr>
        <w:t xml:space="preserve">have good </w:t>
      </w:r>
      <w:r w:rsidRPr="00A452F2">
        <w:rPr>
          <w:lang w:val="en-GB"/>
        </w:rPr>
        <w:t>capacity remaining</w:t>
      </w:r>
      <w:r w:rsidR="0010794E">
        <w:rPr>
          <w:lang w:val="en-GB"/>
        </w:rPr>
        <w:t>.</w:t>
      </w:r>
    </w:p>
    <w:p w14:paraId="023FC11D" w14:textId="1B5DB1A4" w:rsidR="009B6853" w:rsidRDefault="009B6853" w:rsidP="009B6853">
      <w:pPr>
        <w:rPr>
          <w:lang w:val="en-GB"/>
        </w:rPr>
      </w:pPr>
      <w:r w:rsidRPr="00A452F2">
        <w:rPr>
          <w:lang w:val="en-GB"/>
        </w:rPr>
        <w:t xml:space="preserve">The </w:t>
      </w:r>
      <w:r w:rsidR="00EE03E0">
        <w:rPr>
          <w:lang w:val="en-GB"/>
        </w:rPr>
        <w:t xml:space="preserve">distribution charts </w:t>
      </w:r>
      <w:r w:rsidRPr="00A452F2">
        <w:rPr>
          <w:lang w:val="en-GB"/>
        </w:rPr>
        <w:t>showing the rightsizing is automatically shown.</w:t>
      </w:r>
      <w:r w:rsidR="00EE03E0">
        <w:rPr>
          <w:lang w:val="en-GB"/>
        </w:rPr>
        <w:t xml:space="preserve"> Let’s dive into the undersized first</w:t>
      </w:r>
      <w:r w:rsidR="00193B0D">
        <w:rPr>
          <w:lang w:val="en-GB"/>
        </w:rPr>
        <w:t xml:space="preserve"> as it’s more common.</w:t>
      </w:r>
      <w:r w:rsidR="00407D77">
        <w:rPr>
          <w:lang w:val="en-GB"/>
        </w:rPr>
        <w:t xml:space="preserve"> Wh</w:t>
      </w:r>
      <w:r w:rsidR="00AB1951">
        <w:rPr>
          <w:lang w:val="en-GB"/>
        </w:rPr>
        <w:t xml:space="preserve">y are the </w:t>
      </w:r>
      <w:r w:rsidR="00AB1951" w:rsidRPr="0010097C">
        <w:rPr>
          <w:color w:val="00B0F0"/>
          <w:lang w:val="en-GB"/>
        </w:rPr>
        <w:t xml:space="preserve">vCPU to add </w:t>
      </w:r>
      <w:r w:rsidR="00D747F9">
        <w:rPr>
          <w:lang w:val="en-GB"/>
        </w:rPr>
        <w:t xml:space="preserve">focused on the first 8 vCPU, and </w:t>
      </w:r>
      <w:r w:rsidR="00D747F9" w:rsidRPr="0010097C">
        <w:rPr>
          <w:color w:val="00B0F0"/>
          <w:lang w:val="en-GB"/>
        </w:rPr>
        <w:t xml:space="preserve">memory to add </w:t>
      </w:r>
      <w:r w:rsidR="00D747F9">
        <w:rPr>
          <w:lang w:val="en-GB"/>
        </w:rPr>
        <w:t>focused on the first 16 GB?</w:t>
      </w:r>
    </w:p>
    <w:p w14:paraId="3E658B3E" w14:textId="69ABA144" w:rsidR="007A44C7" w:rsidRDefault="00003BBB" w:rsidP="00D747F9">
      <w:pPr>
        <w:rPr>
          <w:lang w:val="en-GB"/>
        </w:rPr>
      </w:pPr>
      <w:r w:rsidRPr="00003BBB">
        <w:rPr>
          <w:noProof/>
          <w:lang w:val="en-GB"/>
        </w:rPr>
        <w:drawing>
          <wp:inline distT="0" distB="0" distL="0" distR="0" wp14:anchorId="0AF8327D" wp14:editId="027083DC">
            <wp:extent cx="6645910" cy="1908175"/>
            <wp:effectExtent l="0" t="0" r="2540" b="0"/>
            <wp:docPr id="1709717415" name="Picture 1709717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5"/>
                    <a:stretch>
                      <a:fillRect/>
                    </a:stretch>
                  </pic:blipFill>
                  <pic:spPr>
                    <a:xfrm>
                      <a:off x="0" y="0"/>
                      <a:ext cx="6645910" cy="1908175"/>
                    </a:xfrm>
                    <a:prstGeom prst="rect">
                      <a:avLst/>
                    </a:prstGeom>
                  </pic:spPr>
                </pic:pic>
              </a:graphicData>
            </a:graphic>
          </wp:inline>
        </w:drawing>
      </w:r>
    </w:p>
    <w:p w14:paraId="52C4C3B6" w14:textId="77777777" w:rsidR="005A18A9" w:rsidRDefault="0024586E" w:rsidP="0024586E">
      <w:pPr>
        <w:rPr>
          <w:lang w:val="en-GB"/>
        </w:rPr>
      </w:pPr>
      <w:r>
        <w:rPr>
          <w:lang w:val="en-GB"/>
        </w:rPr>
        <w:t xml:space="preserve">The main reason is you want to </w:t>
      </w:r>
      <w:r w:rsidR="006565C1">
        <w:rPr>
          <w:lang w:val="en-GB"/>
        </w:rPr>
        <w:t xml:space="preserve">avoid adding large amount without strong justification. </w:t>
      </w:r>
    </w:p>
    <w:p w14:paraId="3F025F3F" w14:textId="2CD7181C" w:rsidR="00D77B16" w:rsidRDefault="008C2D46" w:rsidP="0024586E">
      <w:pPr>
        <w:rPr>
          <w:lang w:val="en-GB"/>
        </w:rPr>
      </w:pPr>
      <w:r>
        <w:rPr>
          <w:lang w:val="en-GB"/>
        </w:rPr>
        <w:t xml:space="preserve">For CPU, the </w:t>
      </w:r>
      <w:r w:rsidR="001C33BC">
        <w:rPr>
          <w:lang w:val="en-GB"/>
        </w:rPr>
        <w:t xml:space="preserve">primary </w:t>
      </w:r>
      <w:r>
        <w:rPr>
          <w:lang w:val="en-GB"/>
        </w:rPr>
        <w:t xml:space="preserve">justification is the </w:t>
      </w:r>
      <w:r w:rsidR="001C33BC">
        <w:rPr>
          <w:lang w:val="en-GB"/>
        </w:rPr>
        <w:t xml:space="preserve">CPU run queue counter, not the CPU usage. </w:t>
      </w:r>
      <w:r w:rsidR="00930480">
        <w:rPr>
          <w:lang w:val="en-GB"/>
        </w:rPr>
        <w:t xml:space="preserve">Even if the CPU Usage is flat out 100%, if the CPU run queue is below 2 per vCPU, you don’t need to </w:t>
      </w:r>
      <w:r w:rsidR="005A18A9">
        <w:rPr>
          <w:lang w:val="en-GB"/>
        </w:rPr>
        <w:t>add many vCPU.</w:t>
      </w:r>
    </w:p>
    <w:p w14:paraId="0CCC9364" w14:textId="7EB58AEC" w:rsidR="004907AD" w:rsidRDefault="005A18A9" w:rsidP="0024586E">
      <w:pPr>
        <w:rPr>
          <w:lang w:val="en-GB"/>
        </w:rPr>
      </w:pPr>
      <w:r>
        <w:rPr>
          <w:lang w:val="en-GB"/>
        </w:rPr>
        <w:lastRenderedPageBreak/>
        <w:t xml:space="preserve">For memory, </w:t>
      </w:r>
      <w:r w:rsidR="004907AD" w:rsidRPr="004907AD">
        <w:rPr>
          <w:lang w:val="en-GB"/>
        </w:rPr>
        <w:t>Guest OS does not provide deep visibility into the depth of memory shortage. Adding memory may also requires changing application setting</w:t>
      </w:r>
      <w:r w:rsidR="0038241F">
        <w:rPr>
          <w:lang w:val="en-GB"/>
        </w:rPr>
        <w:t xml:space="preserve"> so it can take advantage of it</w:t>
      </w:r>
      <w:r w:rsidR="004907AD" w:rsidRPr="004907AD">
        <w:rPr>
          <w:lang w:val="en-GB"/>
        </w:rPr>
        <w:t>.</w:t>
      </w:r>
    </w:p>
    <w:p w14:paraId="58FF0E5F" w14:textId="19DF9A29" w:rsidR="0044332B" w:rsidRDefault="0044332B" w:rsidP="0024586E">
      <w:pPr>
        <w:rPr>
          <w:lang w:val="en-GB"/>
        </w:rPr>
      </w:pPr>
      <w:r>
        <w:rPr>
          <w:lang w:val="en-GB"/>
        </w:rPr>
        <w:t xml:space="preserve">Do the same capping for oversized VM. </w:t>
      </w:r>
      <w:r w:rsidR="00B76C1F">
        <w:rPr>
          <w:lang w:val="en-GB"/>
        </w:rPr>
        <w:t xml:space="preserve">To make a drastic reduction, discuss with the VM Owner. </w:t>
      </w:r>
      <w:r w:rsidR="0038241F">
        <w:rPr>
          <w:lang w:val="en-GB"/>
        </w:rPr>
        <w:t>Reducing</w:t>
      </w:r>
      <w:r w:rsidR="0038241F" w:rsidRPr="004907AD">
        <w:rPr>
          <w:lang w:val="en-GB"/>
        </w:rPr>
        <w:t xml:space="preserve"> memory may also requires changing application setting</w:t>
      </w:r>
      <w:r w:rsidR="0038241F">
        <w:rPr>
          <w:lang w:val="en-GB"/>
        </w:rPr>
        <w:t>, especially application that manage its own memory such as JVM and DB.</w:t>
      </w:r>
    </w:p>
    <w:p w14:paraId="0988B5AF" w14:textId="73A4DCF1" w:rsidR="00861AC8" w:rsidRDefault="000377C0" w:rsidP="0024586E">
      <w:pPr>
        <w:rPr>
          <w:lang w:val="en-GB"/>
        </w:rPr>
      </w:pPr>
      <w:r>
        <w:rPr>
          <w:lang w:val="en-GB"/>
        </w:rPr>
        <w:t xml:space="preserve">Other than the bar charts, you also get the table listing the actual VM. </w:t>
      </w:r>
      <w:r w:rsidR="00891AC1">
        <w:rPr>
          <w:lang w:val="en-GB"/>
        </w:rPr>
        <w:t xml:space="preserve">You have 2 tables, one for undersized and one for </w:t>
      </w:r>
      <w:r w:rsidR="00861AC8">
        <w:rPr>
          <w:lang w:val="en-GB"/>
        </w:rPr>
        <w:t xml:space="preserve">oversized. Why </w:t>
      </w:r>
      <w:r w:rsidR="007F369F">
        <w:rPr>
          <w:lang w:val="en-GB"/>
        </w:rPr>
        <w:t>can’t we just use 1 table?</w:t>
      </w:r>
    </w:p>
    <w:p w14:paraId="562C277B" w14:textId="3CBB2ECF" w:rsidR="00D77B16" w:rsidRDefault="00B77898" w:rsidP="007A44C7">
      <w:pPr>
        <w:jc w:val="center"/>
        <w:rPr>
          <w:lang w:val="en-GB"/>
        </w:rPr>
      </w:pPr>
      <w:r w:rsidRPr="00B77898">
        <w:rPr>
          <w:noProof/>
          <w:lang w:val="en-GB"/>
        </w:rPr>
        <w:drawing>
          <wp:inline distT="0" distB="0" distL="0" distR="0" wp14:anchorId="73FF7F75" wp14:editId="317F3537">
            <wp:extent cx="6645910" cy="2254885"/>
            <wp:effectExtent l="0" t="0" r="2540" b="0"/>
            <wp:docPr id="1085195965" name="Picture 1085195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6"/>
                    <a:stretch>
                      <a:fillRect/>
                    </a:stretch>
                  </pic:blipFill>
                  <pic:spPr>
                    <a:xfrm>
                      <a:off x="0" y="0"/>
                      <a:ext cx="6645910" cy="2254885"/>
                    </a:xfrm>
                    <a:prstGeom prst="rect">
                      <a:avLst/>
                    </a:prstGeom>
                  </pic:spPr>
                </pic:pic>
              </a:graphicData>
            </a:graphic>
          </wp:inline>
        </w:drawing>
      </w:r>
    </w:p>
    <w:p w14:paraId="0019ABE2" w14:textId="2634F391" w:rsidR="00861AC8" w:rsidRDefault="00861AC8" w:rsidP="001807A5">
      <w:pPr>
        <w:rPr>
          <w:lang w:val="en-GB"/>
        </w:rPr>
      </w:pPr>
      <w:r w:rsidRPr="00A452F2">
        <w:rPr>
          <w:lang w:val="en-GB"/>
        </w:rPr>
        <w:t xml:space="preserve">The </w:t>
      </w:r>
      <w:r>
        <w:rPr>
          <w:lang w:val="en-GB"/>
        </w:rPr>
        <w:t xml:space="preserve">reason for separate table is the </w:t>
      </w:r>
      <w:r w:rsidRPr="00A452F2">
        <w:rPr>
          <w:lang w:val="en-GB"/>
        </w:rPr>
        <w:t>business processes for oversized and undersized VMs are different, as one requires the affected VM to be shut</w:t>
      </w:r>
      <w:r>
        <w:rPr>
          <w:lang w:val="en-GB"/>
        </w:rPr>
        <w:t xml:space="preserve"> </w:t>
      </w:r>
      <w:r w:rsidRPr="00A452F2">
        <w:rPr>
          <w:lang w:val="en-GB"/>
        </w:rPr>
        <w:t xml:space="preserve">down and the </w:t>
      </w:r>
      <w:r w:rsidR="00C9175F">
        <w:rPr>
          <w:lang w:val="en-GB"/>
        </w:rPr>
        <w:t xml:space="preserve">VM </w:t>
      </w:r>
      <w:r w:rsidRPr="00A452F2">
        <w:rPr>
          <w:lang w:val="en-GB"/>
        </w:rPr>
        <w:t>Owner to give back resources. For upsize, you want to add incrementally</w:t>
      </w:r>
      <w:r>
        <w:rPr>
          <w:lang w:val="en-GB"/>
        </w:rPr>
        <w:t xml:space="preserve"> or even automate this process</w:t>
      </w:r>
      <w:r w:rsidRPr="00A452F2">
        <w:rPr>
          <w:lang w:val="en-GB"/>
        </w:rPr>
        <w:t>. For downsize, you want to remove in one change window as the effort to reduce is the same and there will be only one downtime.</w:t>
      </w:r>
    </w:p>
    <w:p w14:paraId="321B18E0" w14:textId="1C2BDC90" w:rsidR="00441BDA" w:rsidRPr="00B77898" w:rsidRDefault="00441BDA" w:rsidP="00441BDA">
      <w:pPr>
        <w:rPr>
          <w:lang w:val="en-GB" w:eastAsia="en-SG"/>
        </w:rPr>
      </w:pPr>
      <w:r w:rsidRPr="00B77898">
        <w:rPr>
          <w:lang w:val="en-GB" w:eastAsia="en-SG"/>
        </w:rPr>
        <w:t xml:space="preserve">CPU/Memory to remove is color coded to help you prioritize. </w:t>
      </w:r>
      <w:r w:rsidR="00CF7D2C" w:rsidRPr="00CF7D2C">
        <w:rPr>
          <w:color w:val="FF0000"/>
          <w:lang w:val="en-GB" w:eastAsia="en-SG"/>
        </w:rPr>
        <w:t>Red</w:t>
      </w:r>
      <w:r w:rsidRPr="00B77898">
        <w:rPr>
          <w:lang w:val="en-GB" w:eastAsia="en-SG"/>
        </w:rPr>
        <w:t xml:space="preserve"> color means they are excessively oversized</w:t>
      </w:r>
      <w:r>
        <w:rPr>
          <w:lang w:val="en-GB" w:eastAsia="en-SG"/>
        </w:rPr>
        <w:t xml:space="preserve">. </w:t>
      </w:r>
    </w:p>
    <w:p w14:paraId="549615E0" w14:textId="32CAC99F" w:rsidR="00441BDA" w:rsidRDefault="00441BDA" w:rsidP="00441BDA">
      <w:pPr>
        <w:rPr>
          <w:lang w:val="en-GB" w:eastAsia="en-SG"/>
        </w:rPr>
      </w:pPr>
      <w:r w:rsidRPr="00B77898">
        <w:rPr>
          <w:lang w:val="en-GB" w:eastAsia="en-SG"/>
        </w:rPr>
        <w:t xml:space="preserve">Configured CPU/Memory is color coded to help you focus on the large VM. They are shown in </w:t>
      </w:r>
      <w:r w:rsidR="00CF7D2C" w:rsidRPr="00CF7D2C">
        <w:rPr>
          <w:color w:val="FF0000"/>
          <w:lang w:val="en-GB" w:eastAsia="en-SG"/>
        </w:rPr>
        <w:t>red</w:t>
      </w:r>
      <w:r w:rsidRPr="00B77898">
        <w:rPr>
          <w:lang w:val="en-GB" w:eastAsia="en-SG"/>
        </w:rPr>
        <w:t>.</w:t>
      </w:r>
    </w:p>
    <w:p w14:paraId="65FF36A5" w14:textId="4C764FCE" w:rsidR="007A44C7" w:rsidRPr="00A452F2" w:rsidRDefault="00CA701D" w:rsidP="001807A5">
      <w:pPr>
        <w:rPr>
          <w:lang w:val="en-GB"/>
        </w:rPr>
      </w:pPr>
      <w:r>
        <w:rPr>
          <w:lang w:val="en-GB"/>
        </w:rPr>
        <w:t>Take note that a VM can appear in both tab</w:t>
      </w:r>
      <w:r w:rsidR="007A44C7" w:rsidRPr="00A452F2">
        <w:rPr>
          <w:lang w:val="en-GB"/>
        </w:rPr>
        <w:t>les</w:t>
      </w:r>
      <w:r>
        <w:rPr>
          <w:lang w:val="en-GB"/>
        </w:rPr>
        <w:t>. It can be undersized for CPU, oversized for memory, and vice versa</w:t>
      </w:r>
      <w:r w:rsidR="00E4254C">
        <w:rPr>
          <w:lang w:val="en-GB"/>
        </w:rPr>
        <w:t xml:space="preserve">. </w:t>
      </w:r>
    </w:p>
    <w:p w14:paraId="0AE0445E" w14:textId="6212602A" w:rsidR="007A44C7" w:rsidRDefault="009C0B77" w:rsidP="001807A5">
      <w:pPr>
        <w:rPr>
          <w:lang w:val="en-GB"/>
        </w:rPr>
      </w:pPr>
      <w:r>
        <w:rPr>
          <w:lang w:val="en-GB"/>
        </w:rPr>
        <w:t xml:space="preserve">Here is the table for oversized. </w:t>
      </w:r>
    </w:p>
    <w:p w14:paraId="335A8BE8" w14:textId="24482889" w:rsidR="0095299D" w:rsidRDefault="0095299D" w:rsidP="001807A5">
      <w:pPr>
        <w:rPr>
          <w:lang w:val="en-GB"/>
        </w:rPr>
      </w:pPr>
      <w:r w:rsidRPr="0095299D">
        <w:rPr>
          <w:noProof/>
          <w:lang w:val="en-GB"/>
        </w:rPr>
        <w:drawing>
          <wp:inline distT="0" distB="0" distL="0" distR="0" wp14:anchorId="726917DC" wp14:editId="7829427C">
            <wp:extent cx="6645910" cy="2264410"/>
            <wp:effectExtent l="0" t="0" r="2540" b="2540"/>
            <wp:docPr id="1085195966" name="Picture 1085195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7"/>
                    <a:stretch>
                      <a:fillRect/>
                    </a:stretch>
                  </pic:blipFill>
                  <pic:spPr>
                    <a:xfrm>
                      <a:off x="0" y="0"/>
                      <a:ext cx="6645910" cy="2264410"/>
                    </a:xfrm>
                    <a:prstGeom prst="rect">
                      <a:avLst/>
                    </a:prstGeom>
                  </pic:spPr>
                </pic:pic>
              </a:graphicData>
            </a:graphic>
          </wp:inline>
        </w:drawing>
      </w:r>
    </w:p>
    <w:p w14:paraId="450ADFCA" w14:textId="3CE07796" w:rsidR="007A44C7" w:rsidRDefault="007A44C7" w:rsidP="001807A5">
      <w:pPr>
        <w:rPr>
          <w:lang w:val="en-GB" w:eastAsia="en-SG"/>
        </w:rPr>
      </w:pPr>
      <w:r w:rsidRPr="00A452F2">
        <w:rPr>
          <w:lang w:val="en-GB"/>
        </w:rPr>
        <w:t xml:space="preserve">The metrics used </w:t>
      </w:r>
      <w:r w:rsidRPr="00DF0E57">
        <w:t xml:space="preserve">are </w:t>
      </w:r>
      <w:r w:rsidRPr="003613EE">
        <w:rPr>
          <w:color w:val="00B0F0"/>
        </w:rPr>
        <w:t xml:space="preserve">Summary \ Oversized \ Virtual CPUs </w:t>
      </w:r>
      <w:r w:rsidRPr="00DF0E57">
        <w:t xml:space="preserve">and </w:t>
      </w:r>
      <w:r w:rsidRPr="003613EE">
        <w:rPr>
          <w:color w:val="00B0F0"/>
        </w:rPr>
        <w:t>Summary \ Undersized \ Virtual CPUs</w:t>
      </w:r>
      <w:r w:rsidRPr="00A452F2">
        <w:rPr>
          <w:lang w:val="en-GB" w:eastAsia="en-SG"/>
        </w:rPr>
        <w:t>. It stores the capacity engine calculation on recommended number of vCPUs that must be removed or added.</w:t>
      </w:r>
    </w:p>
    <w:p w14:paraId="0A58799B" w14:textId="0E3C1383" w:rsidR="00764F57" w:rsidRDefault="00764F57" w:rsidP="00AC6E1E">
      <w:pPr>
        <w:pStyle w:val="Heading4"/>
      </w:pPr>
      <w:r>
        <w:lastRenderedPageBreak/>
        <w:t>VM Analysis</w:t>
      </w:r>
    </w:p>
    <w:p w14:paraId="31C54B81" w14:textId="1DB42CC1" w:rsidR="00B84CEF" w:rsidRPr="00B84CEF" w:rsidRDefault="00B84CEF" w:rsidP="00B84CEF">
      <w:pPr>
        <w:rPr>
          <w:lang w:val="en-GB" w:eastAsia="en-SG"/>
        </w:rPr>
      </w:pPr>
      <w:r>
        <w:rPr>
          <w:lang w:val="en-GB" w:eastAsia="en-SG"/>
        </w:rPr>
        <w:t>Select a VM to investigate further. You get its utilization autom</w:t>
      </w:r>
      <w:r w:rsidR="002B122A">
        <w:rPr>
          <w:lang w:val="en-GB" w:eastAsia="en-SG"/>
        </w:rPr>
        <w:t>atically shown</w:t>
      </w:r>
      <w:r w:rsidR="001D6E51">
        <w:rPr>
          <w:lang w:val="en-GB" w:eastAsia="en-SG"/>
        </w:rPr>
        <w:t xml:space="preserve">. Naturally, you expect the utilization to go higher if the VM is </w:t>
      </w:r>
      <w:r w:rsidR="00774954">
        <w:rPr>
          <w:lang w:val="en-GB" w:eastAsia="en-SG"/>
        </w:rPr>
        <w:t xml:space="preserve">reduced. </w:t>
      </w:r>
    </w:p>
    <w:p w14:paraId="687C7E6D" w14:textId="490C9F37" w:rsidR="003E1C0B" w:rsidRDefault="003E1C0B" w:rsidP="001807A5">
      <w:pPr>
        <w:rPr>
          <w:lang w:val="en-GB" w:eastAsia="en-SG"/>
        </w:rPr>
      </w:pPr>
      <w:r w:rsidRPr="003E1C0B">
        <w:rPr>
          <w:noProof/>
          <w:lang w:val="en-GB" w:eastAsia="en-SG"/>
        </w:rPr>
        <w:drawing>
          <wp:inline distT="0" distB="0" distL="0" distR="0" wp14:anchorId="08F480B3" wp14:editId="61E87A7E">
            <wp:extent cx="6645910" cy="2305050"/>
            <wp:effectExtent l="0" t="0" r="2540" b="0"/>
            <wp:docPr id="1085195961" name="Picture 1085195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8"/>
                    <a:stretch>
                      <a:fillRect/>
                    </a:stretch>
                  </pic:blipFill>
                  <pic:spPr>
                    <a:xfrm>
                      <a:off x="0" y="0"/>
                      <a:ext cx="6645910" cy="2305050"/>
                    </a:xfrm>
                    <a:prstGeom prst="rect">
                      <a:avLst/>
                    </a:prstGeom>
                  </pic:spPr>
                </pic:pic>
              </a:graphicData>
            </a:graphic>
          </wp:inline>
        </w:drawing>
      </w:r>
    </w:p>
    <w:p w14:paraId="5D79763B" w14:textId="66F02C83" w:rsidR="00512169" w:rsidRDefault="00F030F0" w:rsidP="001807A5">
      <w:pPr>
        <w:rPr>
          <w:lang w:val="en-GB" w:eastAsia="en-SG"/>
        </w:rPr>
      </w:pPr>
      <w:r>
        <w:rPr>
          <w:lang w:val="en-GB" w:eastAsia="en-SG"/>
        </w:rPr>
        <w:t xml:space="preserve">Take note since the </w:t>
      </w:r>
      <w:r w:rsidR="00311707">
        <w:rPr>
          <w:lang w:val="en-GB" w:eastAsia="en-SG"/>
        </w:rPr>
        <w:t>purpose here</w:t>
      </w:r>
      <w:r>
        <w:rPr>
          <w:lang w:val="en-GB" w:eastAsia="en-SG"/>
        </w:rPr>
        <w:t xml:space="preserve"> is capacity</w:t>
      </w:r>
      <w:r w:rsidR="00311707">
        <w:rPr>
          <w:lang w:val="en-GB" w:eastAsia="en-SG"/>
        </w:rPr>
        <w:t xml:space="preserve"> and not performance</w:t>
      </w:r>
      <w:r w:rsidR="001A2619">
        <w:rPr>
          <w:lang w:val="en-GB" w:eastAsia="en-SG"/>
        </w:rPr>
        <w:t xml:space="preserve">, you should not </w:t>
      </w:r>
      <w:r w:rsidR="00311707">
        <w:rPr>
          <w:lang w:val="en-GB" w:eastAsia="en-SG"/>
        </w:rPr>
        <w:t xml:space="preserve">dive </w:t>
      </w:r>
      <w:r w:rsidR="001A2619">
        <w:rPr>
          <w:lang w:val="en-GB" w:eastAsia="en-SG"/>
        </w:rPr>
        <w:t xml:space="preserve">into individual vCPU </w:t>
      </w:r>
      <w:r w:rsidR="00311707">
        <w:rPr>
          <w:lang w:val="en-GB" w:eastAsia="en-SG"/>
        </w:rPr>
        <w:t xml:space="preserve">utilization, </w:t>
      </w:r>
      <w:r w:rsidR="001A2619">
        <w:rPr>
          <w:lang w:val="en-GB" w:eastAsia="en-SG"/>
        </w:rPr>
        <w:t xml:space="preserve">nor increase </w:t>
      </w:r>
      <w:r w:rsidR="00311707">
        <w:rPr>
          <w:lang w:val="en-GB" w:eastAsia="en-SG"/>
        </w:rPr>
        <w:t xml:space="preserve">collection </w:t>
      </w:r>
      <w:r w:rsidR="001A2619">
        <w:rPr>
          <w:lang w:val="en-GB" w:eastAsia="en-SG"/>
        </w:rPr>
        <w:t xml:space="preserve">granularity to </w:t>
      </w:r>
      <w:r w:rsidR="00311707">
        <w:rPr>
          <w:lang w:val="en-GB" w:eastAsia="en-SG"/>
        </w:rPr>
        <w:t xml:space="preserve">shorter </w:t>
      </w:r>
      <w:r w:rsidR="001A2619">
        <w:rPr>
          <w:lang w:val="en-GB" w:eastAsia="en-SG"/>
        </w:rPr>
        <w:t>than 5 minute (e.g. to 20 second).</w:t>
      </w:r>
      <w:r w:rsidR="00311707">
        <w:rPr>
          <w:lang w:val="en-GB" w:eastAsia="en-SG"/>
        </w:rPr>
        <w:t xml:space="preserve"> </w:t>
      </w:r>
    </w:p>
    <w:p w14:paraId="0444E504" w14:textId="3C108E58" w:rsidR="00441BDA" w:rsidRDefault="00311707" w:rsidP="001807A5">
      <w:pPr>
        <w:rPr>
          <w:lang w:val="en-GB" w:eastAsia="en-SG"/>
        </w:rPr>
      </w:pPr>
      <w:r>
        <w:rPr>
          <w:lang w:val="en-GB" w:eastAsia="en-SG"/>
        </w:rPr>
        <w:t xml:space="preserve">Having said that, </w:t>
      </w:r>
      <w:r w:rsidR="00D60CAE">
        <w:rPr>
          <w:lang w:val="en-GB" w:eastAsia="en-SG"/>
        </w:rPr>
        <w:t xml:space="preserve">rightsizing </w:t>
      </w:r>
      <w:r>
        <w:rPr>
          <w:lang w:val="en-GB" w:eastAsia="en-SG"/>
        </w:rPr>
        <w:t xml:space="preserve">a VM can help improve its </w:t>
      </w:r>
      <w:r w:rsidR="00D60CAE">
        <w:rPr>
          <w:lang w:val="en-GB" w:eastAsia="en-SG"/>
        </w:rPr>
        <w:t>performance</w:t>
      </w:r>
      <w:r w:rsidR="00D41C1D">
        <w:rPr>
          <w:lang w:val="en-GB" w:eastAsia="en-SG"/>
        </w:rPr>
        <w:t xml:space="preserve">, or maintain its current </w:t>
      </w:r>
      <w:r w:rsidR="00B3158A">
        <w:rPr>
          <w:lang w:val="en-GB" w:eastAsia="en-SG"/>
        </w:rPr>
        <w:t xml:space="preserve">performance. How do you prove that? </w:t>
      </w:r>
    </w:p>
    <w:p w14:paraId="6231A4FA" w14:textId="2A400CC0" w:rsidR="00B3158A" w:rsidRDefault="00B3158A" w:rsidP="001807A5">
      <w:pPr>
        <w:rPr>
          <w:lang w:val="en-GB" w:eastAsia="en-SG"/>
        </w:rPr>
      </w:pPr>
      <w:r>
        <w:rPr>
          <w:lang w:val="en-GB" w:eastAsia="en-SG"/>
        </w:rPr>
        <w:t xml:space="preserve">You </w:t>
      </w:r>
      <w:r>
        <w:t>show the performance bottlenecks, such as CPU ready and CPU run queue</w:t>
      </w:r>
      <w:r w:rsidR="00B14C98">
        <w:t xml:space="preserve">. </w:t>
      </w:r>
      <w:r w:rsidR="00EB5173">
        <w:t>The following is what you get out of the box.</w:t>
      </w:r>
    </w:p>
    <w:p w14:paraId="0CB037CD" w14:textId="159F55B6" w:rsidR="00E80CF5" w:rsidRDefault="00E80CF5" w:rsidP="001807A5">
      <w:pPr>
        <w:rPr>
          <w:lang w:val="en-GB" w:eastAsia="en-SG"/>
        </w:rPr>
      </w:pPr>
      <w:r w:rsidRPr="00E80CF5">
        <w:rPr>
          <w:noProof/>
          <w:lang w:val="en-GB" w:eastAsia="en-SG"/>
        </w:rPr>
        <w:drawing>
          <wp:inline distT="0" distB="0" distL="0" distR="0" wp14:anchorId="7E8D0C5F" wp14:editId="2EB01FE5">
            <wp:extent cx="6645910" cy="1545590"/>
            <wp:effectExtent l="0" t="0" r="2540" b="0"/>
            <wp:docPr id="1085195962" name="Picture 1085195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9"/>
                    <a:stretch>
                      <a:fillRect/>
                    </a:stretch>
                  </pic:blipFill>
                  <pic:spPr>
                    <a:xfrm>
                      <a:off x="0" y="0"/>
                      <a:ext cx="6645910" cy="1545590"/>
                    </a:xfrm>
                    <a:prstGeom prst="rect">
                      <a:avLst/>
                    </a:prstGeom>
                  </pic:spPr>
                </pic:pic>
              </a:graphicData>
            </a:graphic>
          </wp:inline>
        </w:drawing>
      </w:r>
    </w:p>
    <w:p w14:paraId="07F631DD" w14:textId="43694970" w:rsidR="00B14C98" w:rsidRDefault="00B14C98" w:rsidP="001807A5">
      <w:pPr>
        <w:rPr>
          <w:lang w:val="en-GB" w:eastAsia="en-SG"/>
        </w:rPr>
      </w:pPr>
      <w:r>
        <w:rPr>
          <w:lang w:val="en-GB" w:eastAsia="en-SG"/>
        </w:rPr>
        <w:t xml:space="preserve">You should expect the </w:t>
      </w:r>
      <w:r w:rsidR="00EB5173">
        <w:rPr>
          <w:lang w:val="en-GB" w:eastAsia="en-SG"/>
        </w:rPr>
        <w:t xml:space="preserve">VM contention </w:t>
      </w:r>
      <w:r w:rsidR="008D3A3F">
        <w:rPr>
          <w:lang w:val="en-GB" w:eastAsia="en-SG"/>
        </w:rPr>
        <w:t>metrics</w:t>
      </w:r>
      <w:r w:rsidR="00EB5173">
        <w:rPr>
          <w:lang w:val="en-GB" w:eastAsia="en-SG"/>
        </w:rPr>
        <w:t xml:space="preserve"> such as CPU Ready</w:t>
      </w:r>
      <w:r w:rsidR="0022782B">
        <w:rPr>
          <w:lang w:val="en-GB" w:eastAsia="en-SG"/>
        </w:rPr>
        <w:t xml:space="preserve"> and </w:t>
      </w:r>
      <w:r w:rsidR="00443625">
        <w:rPr>
          <w:lang w:val="en-GB" w:eastAsia="en-SG"/>
        </w:rPr>
        <w:t>Co-stop</w:t>
      </w:r>
      <w:r w:rsidR="0022782B">
        <w:rPr>
          <w:lang w:val="en-GB" w:eastAsia="en-SG"/>
        </w:rPr>
        <w:t xml:space="preserve"> to either drop or remain the same. </w:t>
      </w:r>
    </w:p>
    <w:p w14:paraId="7B4202CF" w14:textId="36EFE2DB" w:rsidR="00F323C6" w:rsidRDefault="0022782B" w:rsidP="001807A5">
      <w:pPr>
        <w:rPr>
          <w:lang w:val="en-GB" w:eastAsia="en-SG"/>
        </w:rPr>
      </w:pPr>
      <w:r>
        <w:rPr>
          <w:lang w:val="en-GB" w:eastAsia="en-SG"/>
        </w:rPr>
        <w:t xml:space="preserve">You should expect the Guest </w:t>
      </w:r>
      <w:r w:rsidR="00F323C6">
        <w:rPr>
          <w:lang w:val="en-GB" w:eastAsia="en-SG"/>
        </w:rPr>
        <w:t xml:space="preserve">OS CPU Run Queue </w:t>
      </w:r>
      <w:r>
        <w:rPr>
          <w:lang w:val="en-GB" w:eastAsia="en-SG"/>
        </w:rPr>
        <w:t xml:space="preserve">to remain </w:t>
      </w:r>
      <w:r w:rsidR="001F6973">
        <w:rPr>
          <w:lang w:val="en-GB" w:eastAsia="en-SG"/>
        </w:rPr>
        <w:t xml:space="preserve">the same. It might go up a bit, so long it </w:t>
      </w:r>
      <w:r w:rsidR="00F323C6">
        <w:rPr>
          <w:lang w:val="en-GB" w:eastAsia="en-SG"/>
        </w:rPr>
        <w:t xml:space="preserve">is lower than 3 per vCPU, no need to increase </w:t>
      </w:r>
      <w:r w:rsidR="00A43B68">
        <w:rPr>
          <w:lang w:val="en-GB" w:eastAsia="en-SG"/>
        </w:rPr>
        <w:t xml:space="preserve">CPU size despite it’s running high. </w:t>
      </w:r>
      <w:r w:rsidR="00F323C6">
        <w:rPr>
          <w:lang w:val="en-GB" w:eastAsia="en-SG"/>
        </w:rPr>
        <w:t xml:space="preserve">If you want to be safer, </w:t>
      </w:r>
      <w:r w:rsidR="00311707">
        <w:rPr>
          <w:lang w:val="en-GB" w:eastAsia="en-SG"/>
        </w:rPr>
        <w:t xml:space="preserve">modify the widget to </w:t>
      </w:r>
      <w:r w:rsidR="00F323C6">
        <w:rPr>
          <w:lang w:val="en-GB" w:eastAsia="en-SG"/>
        </w:rPr>
        <w:t xml:space="preserve">use the 20-second counter. </w:t>
      </w:r>
    </w:p>
    <w:p w14:paraId="2BDEAA0D" w14:textId="3EF8BC48" w:rsidR="001F6973" w:rsidRDefault="001F6973" w:rsidP="001807A5">
      <w:pPr>
        <w:rPr>
          <w:lang w:val="en-GB" w:eastAsia="en-SG"/>
        </w:rPr>
      </w:pPr>
      <w:r>
        <w:rPr>
          <w:lang w:val="en-GB" w:eastAsia="en-SG"/>
        </w:rPr>
        <w:t>You should expect</w:t>
      </w:r>
      <w:r w:rsidR="00774954">
        <w:rPr>
          <w:lang w:val="en-GB" w:eastAsia="en-SG"/>
        </w:rPr>
        <w:t xml:space="preserve"> CPU Context Switch to be less, as there are less CPU to switch. </w:t>
      </w:r>
      <w:r w:rsidR="002A5360">
        <w:rPr>
          <w:lang w:val="en-GB" w:eastAsia="en-SG"/>
        </w:rPr>
        <w:t>All else being equal, this is a positive change.</w:t>
      </w:r>
    </w:p>
    <w:p w14:paraId="1CA7E277" w14:textId="09814416" w:rsidR="00473D47" w:rsidRDefault="00473D47" w:rsidP="001807A5">
      <w:pPr>
        <w:rPr>
          <w:lang w:val="en-GB" w:eastAsia="en-SG"/>
        </w:rPr>
      </w:pPr>
      <w:r>
        <w:rPr>
          <w:lang w:val="en-GB" w:eastAsia="en-SG"/>
        </w:rPr>
        <w:t xml:space="preserve">If you have the need, add more </w:t>
      </w:r>
      <w:r w:rsidR="008D3A3F">
        <w:rPr>
          <w:lang w:val="en-GB" w:eastAsia="en-SG"/>
        </w:rPr>
        <w:t>metrics</w:t>
      </w:r>
      <w:r>
        <w:rPr>
          <w:lang w:val="en-GB" w:eastAsia="en-SG"/>
        </w:rPr>
        <w:t xml:space="preserve"> such as </w:t>
      </w:r>
      <w:r w:rsidR="00443625">
        <w:rPr>
          <w:lang w:val="en-GB" w:eastAsia="en-SG"/>
        </w:rPr>
        <w:t>Co-stop</w:t>
      </w:r>
      <w:r>
        <w:rPr>
          <w:lang w:val="en-GB" w:eastAsia="en-SG"/>
        </w:rPr>
        <w:t>.</w:t>
      </w:r>
    </w:p>
    <w:p w14:paraId="6DE1EBCB" w14:textId="21DD91D8" w:rsidR="00634451" w:rsidRDefault="00634451" w:rsidP="001807A5">
      <w:pPr>
        <w:rPr>
          <w:lang w:val="en-GB" w:eastAsia="en-SG"/>
        </w:rPr>
      </w:pPr>
      <w:r>
        <w:rPr>
          <w:lang w:val="en-GB" w:eastAsia="en-SG"/>
        </w:rPr>
        <w:t xml:space="preserve">Memory </w:t>
      </w:r>
      <w:r w:rsidR="00473D47">
        <w:rPr>
          <w:lang w:val="en-GB" w:eastAsia="en-SG"/>
        </w:rPr>
        <w:t xml:space="preserve">utilization </w:t>
      </w:r>
      <w:r>
        <w:rPr>
          <w:lang w:val="en-GB" w:eastAsia="en-SG"/>
        </w:rPr>
        <w:t xml:space="preserve">is </w:t>
      </w:r>
      <w:r w:rsidR="0010794E">
        <w:rPr>
          <w:lang w:val="en-GB" w:eastAsia="en-SG"/>
        </w:rPr>
        <w:t>collected</w:t>
      </w:r>
      <w:r>
        <w:rPr>
          <w:lang w:val="en-GB" w:eastAsia="en-SG"/>
        </w:rPr>
        <w:t xml:space="preserve"> from the Guest OS</w:t>
      </w:r>
      <w:r w:rsidR="00473D47">
        <w:rPr>
          <w:lang w:val="en-GB" w:eastAsia="en-SG"/>
        </w:rPr>
        <w:t xml:space="preserve">. </w:t>
      </w:r>
      <w:r w:rsidR="00E6455D">
        <w:rPr>
          <w:lang w:val="en-GB" w:eastAsia="en-SG"/>
        </w:rPr>
        <w:t xml:space="preserve">If </w:t>
      </w:r>
      <w:r w:rsidR="00311707" w:rsidRPr="00311707">
        <w:t>guest OS metrics are not available</w:t>
      </w:r>
      <w:r w:rsidR="00E6455D">
        <w:rPr>
          <w:lang w:val="en-GB" w:eastAsia="en-SG"/>
        </w:rPr>
        <w:t xml:space="preserve">, then you </w:t>
      </w:r>
      <w:r w:rsidR="00311707">
        <w:rPr>
          <w:lang w:val="en-GB" w:eastAsia="en-SG"/>
        </w:rPr>
        <w:t xml:space="preserve">will </w:t>
      </w:r>
      <w:r w:rsidR="001F37A9">
        <w:rPr>
          <w:lang w:val="en-GB" w:eastAsia="en-SG"/>
        </w:rPr>
        <w:t xml:space="preserve">only see the </w:t>
      </w:r>
      <w:r w:rsidR="001F37A9" w:rsidRPr="00311707">
        <w:rPr>
          <w:b/>
          <w:bCs/>
          <w:lang w:val="en-GB" w:eastAsia="en-SG"/>
        </w:rPr>
        <w:t>Configured</w:t>
      </w:r>
      <w:r w:rsidR="001F37A9">
        <w:rPr>
          <w:lang w:val="en-GB" w:eastAsia="en-SG"/>
        </w:rPr>
        <w:t xml:space="preserve"> counter. </w:t>
      </w:r>
      <w:r w:rsidR="00311707">
        <w:rPr>
          <w:lang w:val="en-GB" w:eastAsia="en-SG"/>
        </w:rPr>
        <w:t>Guess w</w:t>
      </w:r>
      <w:r w:rsidR="003051E8">
        <w:rPr>
          <w:lang w:val="en-GB" w:eastAsia="en-SG"/>
        </w:rPr>
        <w:t xml:space="preserve">hy isn’t there a </w:t>
      </w:r>
      <w:r w:rsidR="00473D47">
        <w:rPr>
          <w:lang w:val="en-GB" w:eastAsia="en-SG"/>
        </w:rPr>
        <w:t>fall back</w:t>
      </w:r>
      <w:r w:rsidR="003051E8">
        <w:rPr>
          <w:lang w:val="en-GB" w:eastAsia="en-SG"/>
        </w:rPr>
        <w:t xml:space="preserve"> to VM level memory?</w:t>
      </w:r>
    </w:p>
    <w:p w14:paraId="1B94B3B9" w14:textId="30E9050D" w:rsidR="00634451" w:rsidRDefault="00634451" w:rsidP="001807A5">
      <w:pPr>
        <w:rPr>
          <w:lang w:val="en-GB" w:eastAsia="en-SG"/>
        </w:rPr>
      </w:pPr>
      <w:r w:rsidRPr="00634451">
        <w:rPr>
          <w:noProof/>
          <w:lang w:val="en-GB" w:eastAsia="en-SG"/>
        </w:rPr>
        <w:lastRenderedPageBreak/>
        <w:drawing>
          <wp:inline distT="0" distB="0" distL="0" distR="0" wp14:anchorId="770CB182" wp14:editId="35C47227">
            <wp:extent cx="6645910" cy="2271395"/>
            <wp:effectExtent l="0" t="0" r="2540" b="0"/>
            <wp:docPr id="1085195963" name="Picture 1085195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0"/>
                    <a:stretch>
                      <a:fillRect/>
                    </a:stretch>
                  </pic:blipFill>
                  <pic:spPr>
                    <a:xfrm>
                      <a:off x="0" y="0"/>
                      <a:ext cx="6645910" cy="2271395"/>
                    </a:xfrm>
                    <a:prstGeom prst="rect">
                      <a:avLst/>
                    </a:prstGeom>
                  </pic:spPr>
                </pic:pic>
              </a:graphicData>
            </a:graphic>
          </wp:inline>
        </w:drawing>
      </w:r>
    </w:p>
    <w:p w14:paraId="44B5212B" w14:textId="35F30FC0" w:rsidR="00311707" w:rsidRDefault="00311707" w:rsidP="001807A5">
      <w:pPr>
        <w:rPr>
          <w:lang w:val="en-GB" w:eastAsia="en-SG"/>
        </w:rPr>
      </w:pPr>
      <w:r>
        <w:rPr>
          <w:lang w:val="en-GB" w:eastAsia="en-SG"/>
        </w:rPr>
        <w:t>It does not fall back to VM level counter as it’s not a good replacement. See Part 2 Metrics Chapter 3 Memory Metrics.</w:t>
      </w:r>
    </w:p>
    <w:p w14:paraId="583A03E1" w14:textId="77777777" w:rsidR="00311707" w:rsidRDefault="00311707" w:rsidP="001807A5">
      <w:r>
        <w:t>Rightsizing memory improves performance by reducing memory ballooning and contention. For example, VMs with overprovisioned memory are more likely to experience ballooning</w:t>
      </w:r>
    </w:p>
    <w:p w14:paraId="43BA9506" w14:textId="20B844F4" w:rsidR="00F73249" w:rsidRDefault="00B16F1E" w:rsidP="001807A5">
      <w:pPr>
        <w:rPr>
          <w:lang w:val="en-GB" w:eastAsia="en-SG"/>
        </w:rPr>
      </w:pPr>
      <w:r>
        <w:rPr>
          <w:lang w:val="en-GB" w:eastAsia="en-SG"/>
        </w:rPr>
        <w:t>If you want to be conservative, add the free memory counter. If this never touch 0.5 GB, you do not need to add RAM despite its utilization.</w:t>
      </w:r>
    </w:p>
    <w:p w14:paraId="7A519742" w14:textId="2D5606BA" w:rsidR="006C1E46" w:rsidRDefault="006C1E46" w:rsidP="001807A5">
      <w:pPr>
        <w:rPr>
          <w:lang w:val="en-GB" w:eastAsia="en-SG"/>
        </w:rPr>
      </w:pPr>
      <w:r w:rsidRPr="006C1E46">
        <w:rPr>
          <w:noProof/>
          <w:lang w:val="en-GB" w:eastAsia="en-SG"/>
        </w:rPr>
        <w:drawing>
          <wp:inline distT="0" distB="0" distL="0" distR="0" wp14:anchorId="54EB41FF" wp14:editId="4C5C1377">
            <wp:extent cx="6645910" cy="1542415"/>
            <wp:effectExtent l="0" t="0" r="2540" b="635"/>
            <wp:docPr id="1085195964" name="Picture 1085195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1"/>
                    <a:stretch>
                      <a:fillRect/>
                    </a:stretch>
                  </pic:blipFill>
                  <pic:spPr>
                    <a:xfrm>
                      <a:off x="0" y="0"/>
                      <a:ext cx="6645910" cy="1542415"/>
                    </a:xfrm>
                    <a:prstGeom prst="rect">
                      <a:avLst/>
                    </a:prstGeom>
                  </pic:spPr>
                </pic:pic>
              </a:graphicData>
            </a:graphic>
          </wp:inline>
        </w:drawing>
      </w:r>
    </w:p>
    <w:p w14:paraId="6ED2DD00" w14:textId="7F9CED20" w:rsidR="00DE3907" w:rsidRDefault="00DE3907" w:rsidP="001807A5">
      <w:pPr>
        <w:rPr>
          <w:lang w:val="en-GB" w:eastAsia="en-SG"/>
        </w:rPr>
      </w:pPr>
      <w:r>
        <w:rPr>
          <w:lang w:val="en-GB" w:eastAsia="en-SG"/>
        </w:rPr>
        <w:t xml:space="preserve">If you have the need, add more </w:t>
      </w:r>
      <w:r w:rsidR="008D3A3F">
        <w:rPr>
          <w:lang w:val="en-GB" w:eastAsia="en-SG"/>
        </w:rPr>
        <w:t>metrics</w:t>
      </w:r>
      <w:r>
        <w:rPr>
          <w:lang w:val="en-GB" w:eastAsia="en-SG"/>
        </w:rPr>
        <w:t xml:space="preserve"> such as </w:t>
      </w:r>
      <w:r w:rsidR="00D41C1D">
        <w:rPr>
          <w:lang w:val="en-GB" w:eastAsia="en-SG"/>
        </w:rPr>
        <w:t>Page-Out rate</w:t>
      </w:r>
      <w:r>
        <w:rPr>
          <w:lang w:val="en-GB" w:eastAsia="en-SG"/>
        </w:rPr>
        <w:t>.</w:t>
      </w:r>
    </w:p>
    <w:p w14:paraId="584CEB9B" w14:textId="01E2A4A4" w:rsidR="00FA61AC" w:rsidRDefault="00FA61AC" w:rsidP="001807A5">
      <w:pPr>
        <w:rPr>
          <w:lang w:val="en-GB" w:eastAsia="en-SG"/>
        </w:rPr>
      </w:pPr>
      <w:r>
        <w:rPr>
          <w:lang w:val="en-GB" w:eastAsia="en-SG"/>
        </w:rPr>
        <w:t>Relevant configuration for the purpose of right sizing</w:t>
      </w:r>
    </w:p>
    <w:p w14:paraId="755EB8A1" w14:textId="64EDB7CC" w:rsidR="00FA61AC" w:rsidRDefault="00FA61AC" w:rsidP="001807A5">
      <w:pPr>
        <w:rPr>
          <w:lang w:val="en-GB" w:eastAsia="en-SG"/>
        </w:rPr>
      </w:pPr>
      <w:r w:rsidRPr="00FA61AC">
        <w:rPr>
          <w:noProof/>
          <w:lang w:val="en-GB" w:eastAsia="en-SG"/>
        </w:rPr>
        <w:drawing>
          <wp:inline distT="0" distB="0" distL="0" distR="0" wp14:anchorId="0EB0F962" wp14:editId="03639925">
            <wp:extent cx="6645910" cy="1235075"/>
            <wp:effectExtent l="0" t="0" r="2540" b="3175"/>
            <wp:docPr id="1085195967" name="Picture 1085195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2"/>
                    <a:stretch>
                      <a:fillRect/>
                    </a:stretch>
                  </pic:blipFill>
                  <pic:spPr>
                    <a:xfrm>
                      <a:off x="0" y="0"/>
                      <a:ext cx="6645910" cy="1235075"/>
                    </a:xfrm>
                    <a:prstGeom prst="rect">
                      <a:avLst/>
                    </a:prstGeom>
                  </pic:spPr>
                </pic:pic>
              </a:graphicData>
            </a:graphic>
          </wp:inline>
        </w:drawing>
      </w:r>
    </w:p>
    <w:p w14:paraId="4D3826CB" w14:textId="55D62461" w:rsidR="007A44C7" w:rsidRDefault="007A44C7" w:rsidP="00AC6E1E">
      <w:pPr>
        <w:pStyle w:val="Heading4"/>
      </w:pPr>
      <w:r w:rsidRPr="00A452F2">
        <w:lastRenderedPageBreak/>
        <w:t>Points to Note</w:t>
      </w:r>
    </w:p>
    <w:p w14:paraId="76B79B0B" w14:textId="31F3DD82" w:rsidR="0071294C" w:rsidRPr="00A452F2" w:rsidRDefault="0071294C" w:rsidP="0071294C">
      <w:pPr>
        <w:rPr>
          <w:lang w:val="en-GB" w:eastAsia="en-SG"/>
        </w:rPr>
      </w:pPr>
      <w:r w:rsidRPr="00A452F2">
        <w:rPr>
          <w:lang w:val="en-GB" w:eastAsia="en-SG"/>
        </w:rPr>
        <w:t xml:space="preserve">If your environment is large, change the dashboard filter to a functional filter. Group by the class of services such as </w:t>
      </w:r>
      <w:r>
        <w:rPr>
          <w:lang w:val="en-GB" w:eastAsia="en-SG"/>
        </w:rPr>
        <w:t>g</w:t>
      </w:r>
      <w:r w:rsidRPr="00A452F2">
        <w:rPr>
          <w:lang w:val="en-GB" w:eastAsia="en-SG"/>
        </w:rPr>
        <w:t xml:space="preserve">old, silver, and bronze and default the selection to the least critical environment. In this way, you can be </w:t>
      </w:r>
      <w:r>
        <w:rPr>
          <w:lang w:val="en-GB" w:eastAsia="en-SG"/>
        </w:rPr>
        <w:t xml:space="preserve">more </w:t>
      </w:r>
      <w:r w:rsidRPr="00A452F2">
        <w:rPr>
          <w:lang w:val="en-GB" w:eastAsia="en-SG"/>
        </w:rPr>
        <w:t>active in re</w:t>
      </w:r>
      <w:r w:rsidR="0041375A">
        <w:rPr>
          <w:lang w:val="en-GB" w:eastAsia="en-SG"/>
        </w:rPr>
        <w:t>ducing the oversized VMs.</w:t>
      </w:r>
    </w:p>
    <w:p w14:paraId="21D1F13A" w14:textId="38AA2869" w:rsidR="00B77365" w:rsidRDefault="00B77365" w:rsidP="00B77365">
      <w:r>
        <w:rPr>
          <w:lang w:val="en-GB" w:eastAsia="en-SG"/>
        </w:rPr>
        <w:t xml:space="preserve">For another example, see </w:t>
      </w:r>
      <w:hyperlink r:id="rId1183" w:history="1">
        <w:hyperlink r:id="rId1184" w:tgtFrame="_self" w:history="1">
          <w:r w:rsidRPr="000E1C3E">
            <w:rPr>
              <w:rStyle w:val="Hyperlink"/>
            </w:rPr>
            <w:t>Dale Hassinger</w:t>
          </w:r>
        </w:hyperlink>
      </w:hyperlink>
      <w:r>
        <w:t xml:space="preserve"> at code.vmware.com, where he has more data showing the proof that performance can improve with reduced size. </w:t>
      </w:r>
    </w:p>
    <w:p w14:paraId="72DD1630" w14:textId="6B44651E" w:rsidR="00B15B6E" w:rsidRPr="00B77365" w:rsidRDefault="00B15B6E" w:rsidP="00E7573A">
      <w:pPr>
        <w:pStyle w:val="Heading5"/>
      </w:pPr>
      <w:r>
        <w:t>Monster VMs</w:t>
      </w:r>
    </w:p>
    <w:p w14:paraId="7E350E7D" w14:textId="77777777" w:rsidR="007A44C7" w:rsidRDefault="007A44C7" w:rsidP="007A44C7">
      <w:pPr>
        <w:rPr>
          <w:lang w:val="en-GB"/>
        </w:rPr>
      </w:pPr>
      <w:r>
        <w:rPr>
          <w:lang w:val="en-GB"/>
        </w:rPr>
        <w:t xml:space="preserve">You can enhance the dashboard if you need to convey the overall situation to senior management. You plot every single powered-on VM in the environment, sized by their vCPU. In this way, the monster VMs will be highlighted. A 64 vCPU VM will appear 64x larger than a single vCPU VM. This is good as the focus should be on the large VM, as discussed </w:t>
      </w:r>
      <w:hyperlink w:anchor="_Large_VMs" w:history="1">
        <w:r w:rsidRPr="000F2106">
          <w:rPr>
            <w:rStyle w:val="Hyperlink"/>
            <w:lang w:val="en-GB"/>
          </w:rPr>
          <w:t>here</w:t>
        </w:r>
      </w:hyperlink>
      <w:r>
        <w:rPr>
          <w:lang w:val="en-GB"/>
        </w:rPr>
        <w:t xml:space="preserve">. </w:t>
      </w:r>
    </w:p>
    <w:p w14:paraId="5479BBF5" w14:textId="77777777" w:rsidR="007A44C7" w:rsidRPr="00FB1630" w:rsidRDefault="007A44C7" w:rsidP="007A44C7">
      <w:pPr>
        <w:rPr>
          <w:lang w:val="en-GB"/>
        </w:rPr>
      </w:pPr>
      <w:r w:rsidRPr="4CAB3972">
        <w:rPr>
          <w:lang w:val="en-GB"/>
        </w:rPr>
        <w:t xml:space="preserve">The heat map </w:t>
      </w:r>
      <w:r>
        <w:rPr>
          <w:lang w:val="en-GB"/>
        </w:rPr>
        <w:t>color</w:t>
      </w:r>
      <w:r w:rsidRPr="4CAB3972">
        <w:rPr>
          <w:lang w:val="en-GB"/>
        </w:rPr>
        <w:t xml:space="preserve">s the VM by its capacity remaining. A VM with high capacity remaining means it has plenty of wastage resources. </w:t>
      </w:r>
    </w:p>
    <w:p w14:paraId="5D2C8B3B" w14:textId="77777777" w:rsidR="007A44C7" w:rsidRDefault="007A44C7" w:rsidP="007A44C7">
      <w:pPr>
        <w:rPr>
          <w:lang w:val="en-GB"/>
        </w:rPr>
      </w:pPr>
      <w:r>
        <w:rPr>
          <w:lang w:val="en-GB"/>
        </w:rPr>
        <w:t>What would it look like on an environment with many monster VMs that are oversized? You get something like this. The grey boxes dominate the space of the heat map. One of the boxes consist of 48 VMs with total &gt; 1000 GHz. All of them have 87.79% capacity remaining. Another word, they are oversized.</w:t>
      </w:r>
    </w:p>
    <w:p w14:paraId="10E63F7C" w14:textId="77777777" w:rsidR="007A44C7" w:rsidRDefault="007A44C7" w:rsidP="007A44C7">
      <w:pPr>
        <w:rPr>
          <w:lang w:val="en-GB"/>
        </w:rPr>
      </w:pPr>
      <w:r>
        <w:rPr>
          <w:noProof/>
        </w:rPr>
        <w:drawing>
          <wp:inline distT="0" distB="0" distL="0" distR="0" wp14:anchorId="06F8A9C2" wp14:editId="1EF6DCE9">
            <wp:extent cx="6645910" cy="2807335"/>
            <wp:effectExtent l="0" t="0" r="2540" b="0"/>
            <wp:docPr id="606394373" name="Picture 60639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73"/>
                    <pic:cNvPicPr/>
                  </pic:nvPicPr>
                  <pic:blipFill>
                    <a:blip r:embed="rId1185" cstate="print">
                      <a:extLst>
                        <a:ext uri="{28A0092B-C50C-407E-A947-70E740481C1C}">
                          <a14:useLocalDpi xmlns:a14="http://schemas.microsoft.com/office/drawing/2010/main" val="0"/>
                        </a:ext>
                      </a:extLst>
                    </a:blip>
                    <a:stretch>
                      <a:fillRect/>
                    </a:stretch>
                  </pic:blipFill>
                  <pic:spPr>
                    <a:xfrm>
                      <a:off x="0" y="0"/>
                      <a:ext cx="6645910" cy="2807335"/>
                    </a:xfrm>
                    <a:prstGeom prst="rect">
                      <a:avLst/>
                    </a:prstGeom>
                  </pic:spPr>
                </pic:pic>
              </a:graphicData>
            </a:graphic>
          </wp:inline>
        </w:drawing>
      </w:r>
    </w:p>
    <w:p w14:paraId="6C1E44D9" w14:textId="77139541" w:rsidR="007A44C7" w:rsidRDefault="007A44C7" w:rsidP="007A44C7">
      <w:pPr>
        <w:rPr>
          <w:lang w:val="en-GB"/>
        </w:rPr>
      </w:pPr>
      <w:r>
        <w:rPr>
          <w:lang w:val="en-GB"/>
        </w:rPr>
        <w:t>You may want to do the same for memory.</w:t>
      </w:r>
    </w:p>
    <w:p w14:paraId="4551E123" w14:textId="1E7420E1" w:rsidR="00753241" w:rsidRDefault="00753241" w:rsidP="007A44C7">
      <w:pPr>
        <w:rPr>
          <w:lang w:val="en-GB"/>
        </w:rPr>
      </w:pPr>
      <w:r>
        <w:rPr>
          <w:lang w:val="en-GB"/>
        </w:rPr>
        <w:t>You can also focus on the large VM by specifying a filter</w:t>
      </w:r>
      <w:r w:rsidR="00BC4195">
        <w:rPr>
          <w:lang w:val="en-GB"/>
        </w:rPr>
        <w:t>. In the following example, I set to 16 vCPU or more, and the VM has to be powered on at present.</w:t>
      </w:r>
    </w:p>
    <w:p w14:paraId="69791EB0" w14:textId="4E299E4C" w:rsidR="00753241" w:rsidRDefault="00753241" w:rsidP="007A44C7">
      <w:pPr>
        <w:rPr>
          <w:lang w:val="en-GB"/>
        </w:rPr>
      </w:pPr>
      <w:r w:rsidRPr="00753241">
        <w:rPr>
          <w:noProof/>
          <w:lang w:val="en-GB"/>
        </w:rPr>
        <w:lastRenderedPageBreak/>
        <w:drawing>
          <wp:inline distT="0" distB="0" distL="0" distR="0" wp14:anchorId="2DAA9FDA" wp14:editId="7F85A085">
            <wp:extent cx="6645910" cy="993775"/>
            <wp:effectExtent l="0" t="0" r="2540" b="0"/>
            <wp:docPr id="1583707915" name="Picture 1583707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6"/>
                    <a:stretch>
                      <a:fillRect/>
                    </a:stretch>
                  </pic:blipFill>
                  <pic:spPr>
                    <a:xfrm>
                      <a:off x="0" y="0"/>
                      <a:ext cx="6645910" cy="993775"/>
                    </a:xfrm>
                    <a:prstGeom prst="rect">
                      <a:avLst/>
                    </a:prstGeom>
                  </pic:spPr>
                </pic:pic>
              </a:graphicData>
            </a:graphic>
          </wp:inline>
        </w:drawing>
      </w:r>
    </w:p>
    <w:p w14:paraId="5A30E102" w14:textId="1C428A4F" w:rsidR="00BC4195" w:rsidRDefault="00095AFE" w:rsidP="007A44C7">
      <w:r>
        <w:t xml:space="preserve">Since we only have the large VM, we can further refine the heat map. </w:t>
      </w:r>
      <w:r w:rsidR="00EE4905">
        <w:t xml:space="preserve">The size remains by vCPU size. However, the color changes to the number of oversized vCPU. </w:t>
      </w:r>
      <w:r w:rsidR="00D017EE">
        <w:t xml:space="preserve">The more I can reclaim the more </w:t>
      </w:r>
      <w:r w:rsidR="00CF7D2C" w:rsidRPr="00CF7D2C">
        <w:rPr>
          <w:color w:val="FF0000"/>
        </w:rPr>
        <w:t>red</w:t>
      </w:r>
      <w:r w:rsidR="00D017EE">
        <w:t xml:space="preserve"> </w:t>
      </w:r>
      <w:r w:rsidR="0002312E">
        <w:t xml:space="preserve">the color shows, and anything above 14 vCPU is </w:t>
      </w:r>
      <w:r w:rsidR="00CF7D2C" w:rsidRPr="00CF7D2C">
        <w:rPr>
          <w:color w:val="FF0000"/>
        </w:rPr>
        <w:t>red</w:t>
      </w:r>
      <w:r w:rsidR="0002312E">
        <w:t>.</w:t>
      </w:r>
    </w:p>
    <w:p w14:paraId="62FCF7C8" w14:textId="7915C221" w:rsidR="00BC4195" w:rsidRDefault="002B1FB5" w:rsidP="00386508">
      <w:pPr>
        <w:jc w:val="center"/>
      </w:pPr>
      <w:r w:rsidRPr="002B1FB5">
        <w:rPr>
          <w:noProof/>
        </w:rPr>
        <w:drawing>
          <wp:inline distT="0" distB="0" distL="0" distR="0" wp14:anchorId="52C574E2" wp14:editId="446C1244">
            <wp:extent cx="5383190" cy="1648492"/>
            <wp:effectExtent l="0" t="0" r="8255" b="8890"/>
            <wp:docPr id="1583707917" name="Picture 1583707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7"/>
                    <a:stretch>
                      <a:fillRect/>
                    </a:stretch>
                  </pic:blipFill>
                  <pic:spPr>
                    <a:xfrm>
                      <a:off x="0" y="0"/>
                      <a:ext cx="5390126" cy="1650616"/>
                    </a:xfrm>
                    <a:prstGeom prst="rect">
                      <a:avLst/>
                    </a:prstGeom>
                  </pic:spPr>
                </pic:pic>
              </a:graphicData>
            </a:graphic>
          </wp:inline>
        </w:drawing>
      </w:r>
    </w:p>
    <w:p w14:paraId="2B95067A" w14:textId="47F8AC4F" w:rsidR="00A042E2" w:rsidRDefault="00A042E2" w:rsidP="00B373E2">
      <w:pPr>
        <w:pStyle w:val="Heading2"/>
        <w:rPr>
          <w:lang w:val="en-GB"/>
        </w:rPr>
      </w:pPr>
      <w:bookmarkStart w:id="151" w:name="_Configuration_Dashboards"/>
      <w:bookmarkEnd w:id="151"/>
      <w:r>
        <w:rPr>
          <w:noProof/>
        </w:rPr>
        <w:lastRenderedPageBreak/>
        <mc:AlternateContent>
          <mc:Choice Requires="wps">
            <w:drawing>
              <wp:anchor distT="0" distB="0" distL="114300" distR="114300" simplePos="0" relativeHeight="251676672" behindDoc="0" locked="0" layoutInCell="1" allowOverlap="1" wp14:anchorId="62087BF8" wp14:editId="2DB44F1C">
                <wp:simplePos x="0" y="0"/>
                <wp:positionH relativeFrom="margin">
                  <wp:align>left</wp:align>
                </wp:positionH>
                <wp:positionV relativeFrom="paragraph">
                  <wp:posOffset>761862</wp:posOffset>
                </wp:positionV>
                <wp:extent cx="1828800" cy="1828800"/>
                <wp:effectExtent l="0" t="0" r="0" b="11430"/>
                <wp:wrapNone/>
                <wp:docPr id="1971069028" name="Text Box 197106902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0E1A8A2" w14:textId="77777777" w:rsidR="00A042E2" w:rsidRPr="00C84219" w:rsidRDefault="00A042E2" w:rsidP="00A042E2">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3 Chapter 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62087BF8" id="Text Box 1971069028" o:spid="_x0000_s1045" type="#_x0000_t202" style="position:absolute;left:0;text-align:left;margin-left:0;margin-top:60pt;width:2in;height:2in;z-index:251676672;visibility:visible;mso-wrap-style:non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" filled="f" stroked="f">
                <v:textbox style="mso-fit-shape-to-text:t">
                  <w:txbxContent>
                    <w:p w14:paraId="40E1A8A2" w14:textId="77777777" w:rsidR="00A042E2" w:rsidRPr="00C84219" w:rsidRDefault="00A042E2" w:rsidP="00A042E2">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3 Chapter 5</w:t>
                      </w:r>
                    </w:p>
                  </w:txbxContent>
                </v:textbox>
                <w10:wrap anchorx="margin"/>
              </v:shape>
            </w:pict>
          </mc:Fallback>
        </mc:AlternateContent>
      </w:r>
      <w:r>
        <w:rPr>
          <w:lang w:val="en-GB"/>
        </w:rPr>
        <w:t>Inventory</w:t>
      </w:r>
    </w:p>
    <w:p w14:paraId="481AC127" w14:textId="1BC792A5" w:rsidR="00B53998" w:rsidRPr="00A452F2" w:rsidRDefault="00B53998" w:rsidP="00B53998">
      <w:pPr>
        <w:pStyle w:val="AfterChapterTitle"/>
        <w:rPr>
          <w:lang w:val="en-GB"/>
        </w:rPr>
      </w:pPr>
      <w:r w:rsidRPr="002639BB">
        <w:t xml:space="preserve">Inventory is related, but not identical to configuration. </w:t>
      </w:r>
    </w:p>
    <w:p w14:paraId="2F9AA80B" w14:textId="36C018AE" w:rsidR="00B53998" w:rsidRDefault="00B53998" w:rsidP="00B53998">
      <w:pPr>
        <w:pStyle w:val="Tablecontent"/>
      </w:pPr>
      <w:r>
        <w:t xml:space="preserve">Inventory is an account of </w:t>
      </w:r>
      <w:r w:rsidRPr="001370AE">
        <w:rPr>
          <w:color w:val="00B0F0"/>
        </w:rPr>
        <w:t xml:space="preserve">what </w:t>
      </w:r>
      <w:r>
        <w:t xml:space="preserve">you have </w:t>
      </w:r>
      <w:r w:rsidRPr="001370AE">
        <w:rPr>
          <w:color w:val="00B0F0"/>
        </w:rPr>
        <w:t>where</w:t>
      </w:r>
      <w:r>
        <w:t>. So the location &amp; count matter. Configuration is the properties of your inventory. The location is just another property of the object. The majority of properties/settings managed by configuration are not relevant to inventory.</w:t>
      </w:r>
    </w:p>
    <w:p w14:paraId="14D74BA6" w14:textId="77777777" w:rsidR="003810E5" w:rsidRDefault="003810E5" w:rsidP="003810E5">
      <w:pPr>
        <w:rPr>
          <w:lang w:val="en-GB"/>
        </w:rPr>
      </w:pPr>
      <w:r>
        <w:rPr>
          <w:rStyle w:val="eop"/>
          <w:lang w:val="en-GB"/>
        </w:rPr>
        <w:t xml:space="preserve">Inventory </w:t>
      </w:r>
      <w:r w:rsidRPr="00A452F2">
        <w:rPr>
          <w:lang w:val="en-GB"/>
        </w:rPr>
        <w:t xml:space="preserve">dashboards </w:t>
      </w:r>
      <w:r w:rsidRPr="00A452F2">
        <w:rPr>
          <w:rStyle w:val="eop"/>
          <w:rFonts w:ascii="Calibri" w:hAnsi="Calibri" w:cs="Calibri"/>
          <w:lang w:val="en-GB"/>
        </w:rPr>
        <w:t>share the same design principles.</w:t>
      </w:r>
      <w:r>
        <w:rPr>
          <w:rStyle w:val="eop"/>
          <w:rFonts w:ascii="Calibri" w:hAnsi="Calibri" w:cs="Calibri"/>
          <w:lang w:val="en-GB"/>
        </w:rPr>
        <w:t xml:space="preserve"> They </w:t>
      </w:r>
      <w:r w:rsidRPr="00A452F2">
        <w:rPr>
          <w:lang w:val="en-GB"/>
        </w:rPr>
        <w:t xml:space="preserve">show the </w:t>
      </w:r>
      <w:r>
        <w:rPr>
          <w:lang w:val="en-GB"/>
        </w:rPr>
        <w:t>hierarchy and count of objects in the hierarchy. Ideally, it shows the movement of the inventory.</w:t>
      </w:r>
    </w:p>
    <w:p w14:paraId="3EECBAA2" w14:textId="490BB334" w:rsidR="004074AE" w:rsidRDefault="004074AE" w:rsidP="004074AE">
      <w:pPr>
        <w:pStyle w:val="Heading3"/>
      </w:pPr>
      <w:r>
        <w:t>VM Inventory</w:t>
      </w:r>
    </w:p>
    <w:p w14:paraId="60E6BC96" w14:textId="66DE4474" w:rsidR="004074AE" w:rsidRDefault="004074AE" w:rsidP="004074AE">
      <w:pPr>
        <w:rPr>
          <w:lang w:val="en-GB"/>
        </w:rPr>
      </w:pPr>
      <w:r>
        <w:rPr>
          <w:lang w:val="en-GB"/>
        </w:rPr>
        <w:t>VM is more volatile than infrastructure, so it’s important to track their changes.</w:t>
      </w:r>
    </w:p>
    <w:p w14:paraId="77F50196" w14:textId="0FAC46FF" w:rsidR="00A55D8F" w:rsidRDefault="00A55D8F" w:rsidP="00A55D8F">
      <w:pPr>
        <w:pStyle w:val="Heading4"/>
      </w:pPr>
      <w:r>
        <w:t>Summary section</w:t>
      </w:r>
    </w:p>
    <w:p w14:paraId="6BCA1B96" w14:textId="0B7A9467" w:rsidR="00A55D8F" w:rsidRDefault="00A55D8F" w:rsidP="004074AE">
      <w:pPr>
        <w:rPr>
          <w:lang w:val="en-GB"/>
        </w:rPr>
      </w:pPr>
      <w:r>
        <w:rPr>
          <w:lang w:val="en-GB"/>
        </w:rPr>
        <w:t xml:space="preserve">The summary section consists of 2 rows of widgets. It’s designed to help you see the big picture. </w:t>
      </w:r>
    </w:p>
    <w:p w14:paraId="7DED207B" w14:textId="3F9D20BB" w:rsidR="000849BB" w:rsidRDefault="000849BB" w:rsidP="004074AE">
      <w:pPr>
        <w:rPr>
          <w:lang w:val="en-GB"/>
        </w:rPr>
      </w:pPr>
      <w:r>
        <w:rPr>
          <w:lang w:val="en-GB"/>
        </w:rPr>
        <w:t>Check that these numbers are within your expectation.</w:t>
      </w:r>
    </w:p>
    <w:p w14:paraId="7AF46FA9" w14:textId="0C96E8E1" w:rsidR="000849BB" w:rsidRDefault="000849BB" w:rsidP="000849BB">
      <w:pPr>
        <w:jc w:val="center"/>
        <w:rPr>
          <w:lang w:val="en-GB"/>
        </w:rPr>
      </w:pPr>
      <w:r w:rsidRPr="000849BB">
        <w:rPr>
          <w:noProof/>
          <w:lang w:val="en-GB"/>
        </w:rPr>
        <w:lastRenderedPageBreak/>
        <w:drawing>
          <wp:inline distT="0" distB="0" distL="0" distR="0" wp14:anchorId="1470A8BA" wp14:editId="18F777F9">
            <wp:extent cx="2944368" cy="1691640"/>
            <wp:effectExtent l="0" t="0" r="8890" b="3810"/>
            <wp:docPr id="1971069038" name="Picture 1971069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8"/>
                    <a:stretch>
                      <a:fillRect/>
                    </a:stretch>
                  </pic:blipFill>
                  <pic:spPr>
                    <a:xfrm>
                      <a:off x="0" y="0"/>
                      <a:ext cx="2944368" cy="1691640"/>
                    </a:xfrm>
                    <a:prstGeom prst="rect">
                      <a:avLst/>
                    </a:prstGeom>
                  </pic:spPr>
                </pic:pic>
              </a:graphicData>
            </a:graphic>
          </wp:inline>
        </w:drawing>
      </w:r>
    </w:p>
    <w:p w14:paraId="2053AB00" w14:textId="6D1D4F4A" w:rsidR="004074AE" w:rsidRDefault="00631D6F" w:rsidP="004074AE">
      <w:pPr>
        <w:rPr>
          <w:lang w:val="en-GB"/>
        </w:rPr>
      </w:pPr>
      <w:r>
        <w:rPr>
          <w:lang w:val="en-GB"/>
        </w:rPr>
        <w:t xml:space="preserve">If the number of powered off VM is relatively high, navigate to the VM Reclamation dashboard to see if they can be deleted and taken off the systems. </w:t>
      </w:r>
    </w:p>
    <w:p w14:paraId="1877AA9E" w14:textId="2D54437D" w:rsidR="00631D6F" w:rsidRPr="004074AE" w:rsidRDefault="00631D6F" w:rsidP="004074AE">
      <w:pPr>
        <w:rPr>
          <w:lang w:val="en-GB"/>
        </w:rPr>
      </w:pPr>
      <w:r>
        <w:rPr>
          <w:lang w:val="en-GB"/>
        </w:rPr>
        <w:t>Review if the numbers over time match your expectation. For example, if there was an activity last night that impacted the number of powered off VM, yet the actual number differs, perhaps the activity was not executed as per plan.</w:t>
      </w:r>
    </w:p>
    <w:p w14:paraId="555FD4C4" w14:textId="611D4977" w:rsidR="004074AE" w:rsidRDefault="004074AE" w:rsidP="004074AE">
      <w:pPr>
        <w:rPr>
          <w:lang w:val="en-GB"/>
        </w:rPr>
      </w:pPr>
      <w:r w:rsidRPr="004074AE">
        <w:rPr>
          <w:noProof/>
          <w:lang w:val="en-GB"/>
        </w:rPr>
        <w:drawing>
          <wp:inline distT="0" distB="0" distL="0" distR="0" wp14:anchorId="78A0539F" wp14:editId="12FFB4DE">
            <wp:extent cx="6645910" cy="1327150"/>
            <wp:effectExtent l="0" t="0" r="2540" b="6350"/>
            <wp:docPr id="1971069031" name="Picture 1971069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9"/>
                    <a:stretch>
                      <a:fillRect/>
                    </a:stretch>
                  </pic:blipFill>
                  <pic:spPr>
                    <a:xfrm>
                      <a:off x="0" y="0"/>
                      <a:ext cx="6645910" cy="1327150"/>
                    </a:xfrm>
                    <a:prstGeom prst="rect">
                      <a:avLst/>
                    </a:prstGeom>
                  </pic:spPr>
                </pic:pic>
              </a:graphicData>
            </a:graphic>
          </wp:inline>
        </w:drawing>
      </w:r>
    </w:p>
    <w:p w14:paraId="3B98448E" w14:textId="48A0E797" w:rsidR="004074AE" w:rsidRDefault="000849BB" w:rsidP="004074AE">
      <w:pPr>
        <w:rPr>
          <w:lang w:val="en-GB"/>
        </w:rPr>
      </w:pPr>
      <w:r>
        <w:rPr>
          <w:lang w:val="en-GB"/>
        </w:rPr>
        <w:t>The</w:t>
      </w:r>
      <w:r w:rsidR="00A55D8F">
        <w:rPr>
          <w:lang w:val="en-GB"/>
        </w:rPr>
        <w:t xml:space="preserve"> 2</w:t>
      </w:r>
      <w:r w:rsidR="00A55D8F" w:rsidRPr="00A55D8F">
        <w:rPr>
          <w:vertAlign w:val="superscript"/>
          <w:lang w:val="en-GB"/>
        </w:rPr>
        <w:t>nd</w:t>
      </w:r>
      <w:r w:rsidR="00A55D8F">
        <w:rPr>
          <w:lang w:val="en-GB"/>
        </w:rPr>
        <w:t xml:space="preserve"> row of widget consists of 3</w:t>
      </w:r>
      <w:r>
        <w:rPr>
          <w:lang w:val="en-GB"/>
        </w:rPr>
        <w:t xml:space="preserve"> charts</w:t>
      </w:r>
      <w:r w:rsidR="00A55D8F">
        <w:rPr>
          <w:lang w:val="en-GB"/>
        </w:rPr>
        <w:t>. They</w:t>
      </w:r>
      <w:r>
        <w:rPr>
          <w:lang w:val="en-GB"/>
        </w:rPr>
        <w:t xml:space="preserve"> summarize the overall movement of all the VMs in your environment. Make sure the amount and the pattern both match your expectation. </w:t>
      </w:r>
    </w:p>
    <w:p w14:paraId="3AE625D2" w14:textId="4742B9FA" w:rsidR="004074AE" w:rsidRDefault="004074AE" w:rsidP="004074AE">
      <w:pPr>
        <w:rPr>
          <w:lang w:val="en-GB"/>
        </w:rPr>
      </w:pPr>
      <w:r w:rsidRPr="004074AE">
        <w:rPr>
          <w:noProof/>
          <w:lang w:val="en-GB"/>
        </w:rPr>
        <w:drawing>
          <wp:inline distT="0" distB="0" distL="0" distR="0" wp14:anchorId="624AC605" wp14:editId="4B037CA5">
            <wp:extent cx="6645910" cy="1270000"/>
            <wp:effectExtent l="0" t="0" r="2540" b="6350"/>
            <wp:docPr id="1971069033" name="Picture 1971069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0"/>
                    <a:stretch>
                      <a:fillRect/>
                    </a:stretch>
                  </pic:blipFill>
                  <pic:spPr>
                    <a:xfrm>
                      <a:off x="0" y="0"/>
                      <a:ext cx="6645910" cy="1270000"/>
                    </a:xfrm>
                    <a:prstGeom prst="rect">
                      <a:avLst/>
                    </a:prstGeom>
                  </pic:spPr>
                </pic:pic>
              </a:graphicData>
            </a:graphic>
          </wp:inline>
        </w:drawing>
      </w:r>
    </w:p>
    <w:p w14:paraId="57B50825" w14:textId="7CD5997A" w:rsidR="00631D6F" w:rsidRDefault="00631D6F" w:rsidP="004074AE">
      <w:pPr>
        <w:rPr>
          <w:lang w:val="en-GB"/>
        </w:rPr>
      </w:pPr>
      <w:r>
        <w:rPr>
          <w:lang w:val="en-GB"/>
        </w:rPr>
        <w:t>The above 3 charts are based of the VM Operations metrics, covered in Part 2 Chapter 6. Look for Event Metrics.</w:t>
      </w:r>
    </w:p>
    <w:p w14:paraId="65E5916C" w14:textId="2D65B409" w:rsidR="004074AE" w:rsidRDefault="000849BB" w:rsidP="004074AE">
      <w:pPr>
        <w:rPr>
          <w:lang w:val="en-GB"/>
        </w:rPr>
      </w:pPr>
      <w:r>
        <w:rPr>
          <w:lang w:val="en-GB"/>
        </w:rPr>
        <w:t xml:space="preserve">You should customize the thresholds, so it’s easier to see if the values exceeds what’s acceptable in your day to day operations. The value is every 5 minutes, so if 100 changes of states is definitely not something you can ignore, set the threshold of </w:t>
      </w:r>
      <w:r w:rsidR="00CF7D2C" w:rsidRPr="00CF7D2C">
        <w:rPr>
          <w:color w:val="FFFF00"/>
          <w:lang w:val="en-GB"/>
        </w:rPr>
        <w:t>yellow</w:t>
      </w:r>
      <w:r>
        <w:rPr>
          <w:lang w:val="en-GB"/>
        </w:rPr>
        <w:t xml:space="preserve">, </w:t>
      </w:r>
      <w:r w:rsidR="00CF7D2C" w:rsidRPr="00CF7D2C">
        <w:rPr>
          <w:color w:val="ED7D31" w:themeColor="accent2"/>
          <w:lang w:val="en-GB"/>
        </w:rPr>
        <w:t>orange</w:t>
      </w:r>
      <w:r>
        <w:rPr>
          <w:lang w:val="en-GB"/>
        </w:rPr>
        <w:t xml:space="preserve"> and </w:t>
      </w:r>
      <w:r w:rsidR="00CF7D2C" w:rsidRPr="00CF7D2C">
        <w:rPr>
          <w:color w:val="FF0000"/>
          <w:lang w:val="en-GB"/>
        </w:rPr>
        <w:t>red</w:t>
      </w:r>
      <w:r>
        <w:rPr>
          <w:lang w:val="en-GB"/>
        </w:rPr>
        <w:t xml:space="preserve"> accordingly.</w:t>
      </w:r>
    </w:p>
    <w:p w14:paraId="0F984A1B" w14:textId="4C22B52D" w:rsidR="00A55D8F" w:rsidRDefault="00A55D8F" w:rsidP="00A55D8F">
      <w:pPr>
        <w:pStyle w:val="Heading4"/>
      </w:pPr>
      <w:r>
        <w:t>Detail section</w:t>
      </w:r>
    </w:p>
    <w:p w14:paraId="57784553" w14:textId="0ED5A421" w:rsidR="00631D6F" w:rsidRDefault="00631D6F" w:rsidP="004074AE">
      <w:pPr>
        <w:rPr>
          <w:lang w:val="en-GB"/>
        </w:rPr>
      </w:pPr>
      <w:r>
        <w:rPr>
          <w:lang w:val="en-GB"/>
        </w:rPr>
        <w:t>The</w:t>
      </w:r>
      <w:r w:rsidR="00A55D8F">
        <w:rPr>
          <w:lang w:val="en-GB"/>
        </w:rPr>
        <w:t xml:space="preserve"> </w:t>
      </w:r>
      <w:r w:rsidR="00E631C2">
        <w:rPr>
          <w:lang w:val="en-GB"/>
        </w:rPr>
        <w:t xml:space="preserve">detail section has interaction where you can zoom into specific data center or clusters. </w:t>
      </w:r>
    </w:p>
    <w:p w14:paraId="35063844" w14:textId="5A9C5ADF" w:rsidR="00E631C2" w:rsidRDefault="00E631C2" w:rsidP="004074AE">
      <w:pPr>
        <w:rPr>
          <w:lang w:val="en-GB"/>
        </w:rPr>
      </w:pPr>
      <w:r>
        <w:rPr>
          <w:lang w:val="en-GB"/>
        </w:rPr>
        <w:lastRenderedPageBreak/>
        <w:t xml:space="preserve">The first row is always the total. vSphere World object covers all the clusters, so its numbers are the summation of all clusters. </w:t>
      </w:r>
    </w:p>
    <w:p w14:paraId="216FBEC9" w14:textId="74E5956C" w:rsidR="004074AE" w:rsidRDefault="00631D6F" w:rsidP="000849BB">
      <w:pPr>
        <w:jc w:val="center"/>
        <w:rPr>
          <w:lang w:val="en-GB"/>
        </w:rPr>
      </w:pPr>
      <w:r w:rsidRPr="00631D6F">
        <w:rPr>
          <w:noProof/>
          <w:lang w:val="en-GB"/>
        </w:rPr>
        <w:drawing>
          <wp:inline distT="0" distB="0" distL="0" distR="0" wp14:anchorId="26A24E91" wp14:editId="2018A265">
            <wp:extent cx="6645910" cy="2032000"/>
            <wp:effectExtent l="0" t="0" r="2540" b="6350"/>
            <wp:docPr id="1971069040" name="Picture 1971069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1"/>
                    <a:stretch>
                      <a:fillRect/>
                    </a:stretch>
                  </pic:blipFill>
                  <pic:spPr>
                    <a:xfrm>
                      <a:off x="0" y="0"/>
                      <a:ext cx="6645910" cy="2032000"/>
                    </a:xfrm>
                    <a:prstGeom prst="rect">
                      <a:avLst/>
                    </a:prstGeom>
                  </pic:spPr>
                </pic:pic>
              </a:graphicData>
            </a:graphic>
          </wp:inline>
        </w:drawing>
      </w:r>
    </w:p>
    <w:p w14:paraId="1732899A" w14:textId="37D78464" w:rsidR="004074AE" w:rsidRDefault="00E631C2" w:rsidP="004074AE">
      <w:pPr>
        <w:rPr>
          <w:lang w:val="en-GB"/>
        </w:rPr>
      </w:pPr>
      <w:r>
        <w:rPr>
          <w:lang w:val="en-GB"/>
        </w:rPr>
        <w:t xml:space="preserve">To see a trend, click on any of the row. The 3 sets of scoreboards will automatically show the details. </w:t>
      </w:r>
    </w:p>
    <w:p w14:paraId="61FEB0C4" w14:textId="1BAE995F" w:rsidR="00E631C2" w:rsidRDefault="00E631C2" w:rsidP="004074AE">
      <w:pPr>
        <w:rPr>
          <w:lang w:val="en-GB"/>
        </w:rPr>
      </w:pPr>
      <w:r>
        <w:rPr>
          <w:lang w:val="en-GB"/>
        </w:rPr>
        <w:t xml:space="preserve">The first scoreboard is about the availability state. Try to customize the threshold so it’s easier to see at a glance. I’ve set the threshold for the VM Reset as that’s an abnormal operations. </w:t>
      </w:r>
    </w:p>
    <w:p w14:paraId="143E9014" w14:textId="46B378B3" w:rsidR="00E631C2" w:rsidRDefault="00E631C2" w:rsidP="004074AE">
      <w:pPr>
        <w:rPr>
          <w:lang w:val="en-GB"/>
        </w:rPr>
      </w:pPr>
      <w:r>
        <w:rPr>
          <w:lang w:val="en-GB"/>
        </w:rPr>
        <w:t xml:space="preserve">When you customize, consider the steady clusters. They will have a lower threshold as there are relatively less changes or movement. If you set a threshold based on your busy customers, these small clusters will tend to show </w:t>
      </w:r>
      <w:r w:rsidR="0022569A" w:rsidRPr="0022569A">
        <w:rPr>
          <w:color w:val="00B050"/>
          <w:lang w:val="en-GB"/>
        </w:rPr>
        <w:t>green</w:t>
      </w:r>
      <w:r>
        <w:rPr>
          <w:lang w:val="en-GB"/>
        </w:rPr>
        <w:t xml:space="preserve">. </w:t>
      </w:r>
    </w:p>
    <w:p w14:paraId="05179A82" w14:textId="05224378" w:rsidR="000849BB" w:rsidRDefault="000849BB" w:rsidP="004074AE">
      <w:pPr>
        <w:rPr>
          <w:lang w:val="en-GB"/>
        </w:rPr>
      </w:pPr>
      <w:r w:rsidRPr="000849BB">
        <w:rPr>
          <w:noProof/>
          <w:lang w:val="en-GB"/>
        </w:rPr>
        <w:drawing>
          <wp:inline distT="0" distB="0" distL="0" distR="0" wp14:anchorId="1D4AC1A0" wp14:editId="5A0B4F30">
            <wp:extent cx="6645910" cy="1066165"/>
            <wp:effectExtent l="0" t="0" r="2540" b="635"/>
            <wp:docPr id="1971069035" name="Picture 1971069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2"/>
                    <a:stretch>
                      <a:fillRect/>
                    </a:stretch>
                  </pic:blipFill>
                  <pic:spPr>
                    <a:xfrm>
                      <a:off x="0" y="0"/>
                      <a:ext cx="6645910" cy="1066165"/>
                    </a:xfrm>
                    <a:prstGeom prst="rect">
                      <a:avLst/>
                    </a:prstGeom>
                  </pic:spPr>
                </pic:pic>
              </a:graphicData>
            </a:graphic>
          </wp:inline>
        </w:drawing>
      </w:r>
    </w:p>
    <w:p w14:paraId="0E82F6C8" w14:textId="4AA3911B" w:rsidR="000849BB" w:rsidRDefault="00E631C2" w:rsidP="004074AE">
      <w:pPr>
        <w:rPr>
          <w:lang w:val="en-GB"/>
        </w:rPr>
      </w:pPr>
      <w:r>
        <w:rPr>
          <w:lang w:val="en-GB"/>
        </w:rPr>
        <w:t>The next 2 scoreboards cover the location change and inventory change. Again, customize accordingly</w:t>
      </w:r>
      <w:r w:rsidR="00E4254C">
        <w:rPr>
          <w:lang w:val="en-GB"/>
        </w:rPr>
        <w:t xml:space="preserve">. </w:t>
      </w:r>
    </w:p>
    <w:p w14:paraId="44743DDA" w14:textId="3CFCC81A" w:rsidR="000849BB" w:rsidRDefault="000849BB" w:rsidP="004074AE">
      <w:pPr>
        <w:rPr>
          <w:lang w:val="en-GB"/>
        </w:rPr>
      </w:pPr>
      <w:r w:rsidRPr="000849BB">
        <w:rPr>
          <w:noProof/>
          <w:lang w:val="en-GB"/>
        </w:rPr>
        <w:drawing>
          <wp:inline distT="0" distB="0" distL="0" distR="0" wp14:anchorId="0536084B" wp14:editId="69275BA3">
            <wp:extent cx="6645910" cy="2153285"/>
            <wp:effectExtent l="0" t="0" r="2540" b="0"/>
            <wp:docPr id="1971069036" name="Picture 1971069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3"/>
                    <a:stretch>
                      <a:fillRect/>
                    </a:stretch>
                  </pic:blipFill>
                  <pic:spPr>
                    <a:xfrm>
                      <a:off x="0" y="0"/>
                      <a:ext cx="6645910" cy="2153285"/>
                    </a:xfrm>
                    <a:prstGeom prst="rect">
                      <a:avLst/>
                    </a:prstGeom>
                  </pic:spPr>
                </pic:pic>
              </a:graphicData>
            </a:graphic>
          </wp:inline>
        </w:drawing>
      </w:r>
    </w:p>
    <w:p w14:paraId="6ECC8EBF" w14:textId="5588236E" w:rsidR="00366A1F" w:rsidRDefault="00E631C2" w:rsidP="004074AE">
      <w:pPr>
        <w:rPr>
          <w:lang w:val="en-GB"/>
        </w:rPr>
      </w:pPr>
      <w:r>
        <w:rPr>
          <w:lang w:val="en-GB"/>
        </w:rPr>
        <w:t>The dashboard lets you see the applications running inside the VM</w:t>
      </w:r>
      <w:r w:rsidR="00366A1F">
        <w:rPr>
          <w:lang w:val="en-GB"/>
        </w:rPr>
        <w:t xml:space="preserve"> on any part of your environment</w:t>
      </w:r>
      <w:r>
        <w:rPr>
          <w:lang w:val="en-GB"/>
        </w:rPr>
        <w:t xml:space="preserve">. </w:t>
      </w:r>
      <w:r w:rsidR="00366A1F">
        <w:rPr>
          <w:lang w:val="en-GB"/>
        </w:rPr>
        <w:t>This can be handy if you have policy that certain applications should only run on certain clusters, for either cost or compliance reason.</w:t>
      </w:r>
    </w:p>
    <w:p w14:paraId="489572AC" w14:textId="1DD1EDCE" w:rsidR="00E631C2" w:rsidRDefault="00366A1F" w:rsidP="004074AE">
      <w:pPr>
        <w:rPr>
          <w:lang w:val="en-GB"/>
        </w:rPr>
      </w:pPr>
      <w:r>
        <w:rPr>
          <w:lang w:val="en-GB"/>
        </w:rPr>
        <w:t xml:space="preserve">Note: </w:t>
      </w:r>
      <w:r w:rsidR="00E631C2">
        <w:rPr>
          <w:lang w:val="en-GB"/>
        </w:rPr>
        <w:t>This requires Service Discovery adapter.</w:t>
      </w:r>
      <w:r>
        <w:rPr>
          <w:lang w:val="en-GB"/>
        </w:rPr>
        <w:t xml:space="preserve"> </w:t>
      </w:r>
    </w:p>
    <w:p w14:paraId="4FD5E54E" w14:textId="230BA6AD" w:rsidR="00E631C2" w:rsidRDefault="00E631C2" w:rsidP="004074AE">
      <w:pPr>
        <w:rPr>
          <w:lang w:val="en-GB"/>
        </w:rPr>
      </w:pPr>
      <w:r w:rsidRPr="00E631C2">
        <w:rPr>
          <w:noProof/>
          <w:lang w:val="en-GB"/>
        </w:rPr>
        <w:lastRenderedPageBreak/>
        <w:drawing>
          <wp:inline distT="0" distB="0" distL="0" distR="0" wp14:anchorId="28364C67" wp14:editId="6ECE1C77">
            <wp:extent cx="6645910" cy="1640205"/>
            <wp:effectExtent l="0" t="0" r="2540" b="0"/>
            <wp:docPr id="1971069041" name="Picture 1971069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4"/>
                    <a:stretch>
                      <a:fillRect/>
                    </a:stretch>
                  </pic:blipFill>
                  <pic:spPr>
                    <a:xfrm>
                      <a:off x="0" y="0"/>
                      <a:ext cx="6645910" cy="1640205"/>
                    </a:xfrm>
                    <a:prstGeom prst="rect">
                      <a:avLst/>
                    </a:prstGeom>
                  </pic:spPr>
                </pic:pic>
              </a:graphicData>
            </a:graphic>
          </wp:inline>
        </w:drawing>
      </w:r>
    </w:p>
    <w:p w14:paraId="110601E2" w14:textId="29D93730" w:rsidR="00E631C2" w:rsidRDefault="00366A1F" w:rsidP="004074AE">
      <w:pPr>
        <w:rPr>
          <w:lang w:val="en-GB"/>
        </w:rPr>
      </w:pPr>
      <w:r>
        <w:rPr>
          <w:lang w:val="en-GB"/>
        </w:rPr>
        <w:t xml:space="preserve">Since this is about inventory and not configuration, the following pie charts focus on the </w:t>
      </w:r>
      <w:r w:rsidRPr="00FD061C">
        <w:rPr>
          <w:i/>
          <w:iCs/>
          <w:color w:val="00B0F0"/>
          <w:lang w:val="en-GB"/>
        </w:rPr>
        <w:t>popular</w:t>
      </w:r>
      <w:r w:rsidRPr="00FD061C">
        <w:rPr>
          <w:color w:val="00B0F0"/>
          <w:lang w:val="en-GB"/>
        </w:rPr>
        <w:t xml:space="preserve"> </w:t>
      </w:r>
      <w:r>
        <w:rPr>
          <w:lang w:val="en-GB"/>
        </w:rPr>
        <w:t>size</w:t>
      </w:r>
      <w:r w:rsidR="00FD061C">
        <w:rPr>
          <w:lang w:val="en-GB"/>
        </w:rPr>
        <w:t xml:space="preserve"> (most common)</w:t>
      </w:r>
      <w:r>
        <w:rPr>
          <w:lang w:val="en-GB"/>
        </w:rPr>
        <w:t>. If this was a configuration dashboard, we would have ordered them based on the configured size.</w:t>
      </w:r>
    </w:p>
    <w:p w14:paraId="0D26E9E2" w14:textId="705A4E08" w:rsidR="0096585A" w:rsidRDefault="0096585A" w:rsidP="004074AE">
      <w:pPr>
        <w:rPr>
          <w:lang w:val="en-GB"/>
        </w:rPr>
      </w:pPr>
      <w:r>
        <w:rPr>
          <w:lang w:val="en-GB"/>
        </w:rPr>
        <w:t>Customize the pie charts if you need to see more than 5 sizes. I find 5 is a good balance since I can see the details in the next table below the pie charts).</w:t>
      </w:r>
    </w:p>
    <w:p w14:paraId="08B8BD0F" w14:textId="5936B871" w:rsidR="00E631C2" w:rsidRDefault="00366A1F" w:rsidP="004074AE">
      <w:pPr>
        <w:rPr>
          <w:lang w:val="en-GB"/>
        </w:rPr>
      </w:pPr>
      <w:r w:rsidRPr="00366A1F">
        <w:rPr>
          <w:noProof/>
          <w:lang w:val="en-GB"/>
        </w:rPr>
        <w:drawing>
          <wp:inline distT="0" distB="0" distL="0" distR="0" wp14:anchorId="67E407C4" wp14:editId="75ED70CF">
            <wp:extent cx="6645910" cy="2138045"/>
            <wp:effectExtent l="0" t="0" r="2540" b="0"/>
            <wp:docPr id="1971069043" name="Picture 1971069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5"/>
                    <a:stretch>
                      <a:fillRect/>
                    </a:stretch>
                  </pic:blipFill>
                  <pic:spPr>
                    <a:xfrm>
                      <a:off x="0" y="0"/>
                      <a:ext cx="6645910" cy="2138045"/>
                    </a:xfrm>
                    <a:prstGeom prst="rect">
                      <a:avLst/>
                    </a:prstGeom>
                  </pic:spPr>
                </pic:pic>
              </a:graphicData>
            </a:graphic>
          </wp:inline>
        </w:drawing>
      </w:r>
    </w:p>
    <w:p w14:paraId="7B17B34E" w14:textId="4AEAC027" w:rsidR="00F073C5" w:rsidRDefault="00366A1F" w:rsidP="004074AE">
      <w:pPr>
        <w:rPr>
          <w:lang w:val="en-GB"/>
        </w:rPr>
      </w:pPr>
      <w:r>
        <w:rPr>
          <w:lang w:val="en-GB"/>
        </w:rPr>
        <w:t>The next pie chart</w:t>
      </w:r>
      <w:r w:rsidR="00947D0E">
        <w:rPr>
          <w:lang w:val="en-GB"/>
        </w:rPr>
        <w:t xml:space="preserve"> show</w:t>
      </w:r>
      <w:r w:rsidR="00CF7D2C">
        <w:rPr>
          <w:lang w:val="en-GB"/>
        </w:rPr>
        <w:t>s</w:t>
      </w:r>
      <w:r w:rsidR="00947D0E">
        <w:rPr>
          <w:lang w:val="en-GB"/>
        </w:rPr>
        <w:t xml:space="preserve"> the OS distribution</w:t>
      </w:r>
      <w:r w:rsidR="00FD061C">
        <w:rPr>
          <w:lang w:val="en-GB"/>
        </w:rPr>
        <w:t>, again sorted by the most popular.</w:t>
      </w:r>
      <w:r w:rsidR="00F073C5">
        <w:rPr>
          <w:lang w:val="en-GB"/>
        </w:rPr>
        <w:t xml:space="preserve"> </w:t>
      </w:r>
    </w:p>
    <w:p w14:paraId="68C0E5DB" w14:textId="59E3FCB5" w:rsidR="00F073C5" w:rsidRDefault="00F073C5" w:rsidP="004074AE">
      <w:pPr>
        <w:rPr>
          <w:lang w:val="en-GB"/>
        </w:rPr>
      </w:pPr>
      <w:r>
        <w:rPr>
          <w:lang w:val="en-GB"/>
        </w:rPr>
        <w:t xml:space="preserve">They should match your </w:t>
      </w:r>
      <w:r w:rsidR="00CF7D2C">
        <w:rPr>
          <w:lang w:val="en-GB"/>
        </w:rPr>
        <w:t>expectation</w:t>
      </w:r>
      <w:r>
        <w:rPr>
          <w:lang w:val="en-GB"/>
        </w:rPr>
        <w:t xml:space="preserve">. For example, if you separate Windows and </w:t>
      </w:r>
      <w:r w:rsidR="00CF7D2C" w:rsidRPr="00CF7D2C">
        <w:t>Red</w:t>
      </w:r>
      <w:r>
        <w:rPr>
          <w:lang w:val="en-GB"/>
        </w:rPr>
        <w:t xml:space="preserve"> Hat into different clusters, then you expect not to see one of them when you select a particular cluster.</w:t>
      </w:r>
    </w:p>
    <w:p w14:paraId="4379F681" w14:textId="7ADFB08B" w:rsidR="00366A1F" w:rsidRDefault="00837624" w:rsidP="00837624">
      <w:pPr>
        <w:jc w:val="center"/>
        <w:rPr>
          <w:lang w:val="en-GB"/>
        </w:rPr>
      </w:pPr>
      <w:r w:rsidRPr="00837624">
        <w:rPr>
          <w:noProof/>
          <w:lang w:val="en-GB"/>
        </w:rPr>
        <w:drawing>
          <wp:inline distT="0" distB="0" distL="0" distR="0" wp14:anchorId="7284C8D1" wp14:editId="5347CB36">
            <wp:extent cx="5166360" cy="2404872"/>
            <wp:effectExtent l="0" t="0" r="0" b="0"/>
            <wp:docPr id="1971069046" name="Picture 1971069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6"/>
                    <a:stretch>
                      <a:fillRect/>
                    </a:stretch>
                  </pic:blipFill>
                  <pic:spPr>
                    <a:xfrm>
                      <a:off x="0" y="0"/>
                      <a:ext cx="5166360" cy="2404872"/>
                    </a:xfrm>
                    <a:prstGeom prst="rect">
                      <a:avLst/>
                    </a:prstGeom>
                  </pic:spPr>
                </pic:pic>
              </a:graphicData>
            </a:graphic>
          </wp:inline>
        </w:drawing>
      </w:r>
    </w:p>
    <w:p w14:paraId="12DD0DEE" w14:textId="1C2D1479" w:rsidR="00366A1F" w:rsidRDefault="00366A1F" w:rsidP="004074AE">
      <w:pPr>
        <w:rPr>
          <w:lang w:val="en-GB"/>
        </w:rPr>
      </w:pPr>
      <w:r>
        <w:rPr>
          <w:lang w:val="en-GB"/>
        </w:rPr>
        <w:t>If you see the value “</w:t>
      </w:r>
      <w:r w:rsidRPr="00366A1F">
        <w:rPr>
          <w:color w:val="00B0F0"/>
          <w:lang w:val="en-GB"/>
        </w:rPr>
        <w:t>none</w:t>
      </w:r>
      <w:r>
        <w:rPr>
          <w:lang w:val="en-GB"/>
        </w:rPr>
        <w:t>”</w:t>
      </w:r>
      <w:r w:rsidR="00947D0E">
        <w:rPr>
          <w:lang w:val="en-GB"/>
        </w:rPr>
        <w:t xml:space="preserve"> under Operating System</w:t>
      </w:r>
      <w:r>
        <w:rPr>
          <w:lang w:val="en-GB"/>
        </w:rPr>
        <w:t xml:space="preserve">, that means the VM does not have Tools. I chose the value from Tools instead of vCenter as that’s more accurate. </w:t>
      </w:r>
    </w:p>
    <w:p w14:paraId="08771876" w14:textId="28D1AB0B" w:rsidR="00FE6A8E" w:rsidRDefault="00FE6A8E" w:rsidP="004074AE">
      <w:pPr>
        <w:rPr>
          <w:lang w:val="en-GB"/>
        </w:rPr>
      </w:pPr>
      <w:r>
        <w:rPr>
          <w:lang w:val="en-GB"/>
        </w:rPr>
        <w:t>The last pie chart shows by the number of disks.</w:t>
      </w:r>
    </w:p>
    <w:p w14:paraId="442BE5DC" w14:textId="42E35C55" w:rsidR="00837624" w:rsidRDefault="00837624" w:rsidP="00837624">
      <w:pPr>
        <w:jc w:val="center"/>
        <w:rPr>
          <w:lang w:val="en-GB"/>
        </w:rPr>
      </w:pPr>
      <w:r w:rsidRPr="00837624">
        <w:rPr>
          <w:noProof/>
          <w:lang w:val="en-GB"/>
        </w:rPr>
        <w:lastRenderedPageBreak/>
        <w:drawing>
          <wp:inline distT="0" distB="0" distL="0" distR="0" wp14:anchorId="44E30F64" wp14:editId="54348B99">
            <wp:extent cx="5166360" cy="2386584"/>
            <wp:effectExtent l="0" t="0" r="0" b="0"/>
            <wp:docPr id="1971069047" name="Picture 1971069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7"/>
                    <a:stretch>
                      <a:fillRect/>
                    </a:stretch>
                  </pic:blipFill>
                  <pic:spPr>
                    <a:xfrm>
                      <a:off x="0" y="0"/>
                      <a:ext cx="5166360" cy="2386584"/>
                    </a:xfrm>
                    <a:prstGeom prst="rect">
                      <a:avLst/>
                    </a:prstGeom>
                  </pic:spPr>
                </pic:pic>
              </a:graphicData>
            </a:graphic>
          </wp:inline>
        </w:drawing>
      </w:r>
    </w:p>
    <w:p w14:paraId="275A0139" w14:textId="7B0EA7A2" w:rsidR="00FE6A8E" w:rsidRDefault="00FE6A8E" w:rsidP="00FE6A8E">
      <w:pPr>
        <w:rPr>
          <w:lang w:val="en-GB"/>
        </w:rPr>
      </w:pPr>
      <w:r w:rsidRPr="00FE6A8E">
        <w:rPr>
          <w:lang w:val="en-GB"/>
        </w:rPr>
        <w:t>Since a VM needs to have at least 1 disk, I've excluded VM with just 1 virtual disk so those with many are more visible.</w:t>
      </w:r>
      <w:r>
        <w:rPr>
          <w:lang w:val="en-GB"/>
        </w:rPr>
        <w:t xml:space="preserve"> You’re welcome.</w:t>
      </w:r>
    </w:p>
    <w:p w14:paraId="57A60597" w14:textId="63CD0230" w:rsidR="00FE6A8E" w:rsidRDefault="00FE6A8E" w:rsidP="00FE6A8E">
      <w:pPr>
        <w:pStyle w:val="Heading4"/>
      </w:pPr>
      <w:r>
        <w:t>Individual VM Section</w:t>
      </w:r>
    </w:p>
    <w:p w14:paraId="4AD9E3B2" w14:textId="5E5C9265" w:rsidR="00F073C5" w:rsidRPr="00F073C5" w:rsidRDefault="00F073C5" w:rsidP="00F073C5">
      <w:pPr>
        <w:rPr>
          <w:lang w:val="en-GB" w:eastAsia="en-SG"/>
        </w:rPr>
      </w:pPr>
      <w:r>
        <w:rPr>
          <w:lang w:val="en-GB" w:eastAsia="en-SG"/>
        </w:rPr>
        <w:t xml:space="preserve">The last section shows the individual VMs, and you can drill down to see its details. </w:t>
      </w:r>
      <w:r w:rsidR="0096585A">
        <w:rPr>
          <w:lang w:val="en-GB" w:eastAsia="en-SG"/>
        </w:rPr>
        <w:t xml:space="preserve">This is why I keep the pie charts to just show 5 as this table lets me sort in any columns. </w:t>
      </w:r>
    </w:p>
    <w:p w14:paraId="6779300C" w14:textId="24DE1965" w:rsidR="00604040" w:rsidRDefault="00604040" w:rsidP="00604040">
      <w:pPr>
        <w:rPr>
          <w:lang w:val="en-GB" w:eastAsia="en-SG"/>
        </w:rPr>
      </w:pPr>
      <w:r w:rsidRPr="00604040">
        <w:rPr>
          <w:noProof/>
          <w:lang w:val="en-GB" w:eastAsia="en-SG"/>
        </w:rPr>
        <w:drawing>
          <wp:inline distT="0" distB="0" distL="0" distR="0" wp14:anchorId="42D6B572" wp14:editId="53731133">
            <wp:extent cx="6645910" cy="1261745"/>
            <wp:effectExtent l="0" t="0" r="2540" b="0"/>
            <wp:docPr id="1293284839" name="Picture 1293284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8"/>
                    <a:stretch>
                      <a:fillRect/>
                    </a:stretch>
                  </pic:blipFill>
                  <pic:spPr>
                    <a:xfrm>
                      <a:off x="0" y="0"/>
                      <a:ext cx="6645910" cy="1261745"/>
                    </a:xfrm>
                    <a:prstGeom prst="rect">
                      <a:avLst/>
                    </a:prstGeom>
                  </pic:spPr>
                </pic:pic>
              </a:graphicData>
            </a:graphic>
          </wp:inline>
        </w:drawing>
      </w:r>
    </w:p>
    <w:p w14:paraId="3926965C" w14:textId="1F098CC8" w:rsidR="00F073C5" w:rsidRDefault="00F073C5" w:rsidP="00604040">
      <w:pPr>
        <w:rPr>
          <w:lang w:val="en-GB" w:eastAsia="en-SG"/>
        </w:rPr>
      </w:pPr>
      <w:r>
        <w:rPr>
          <w:lang w:val="en-GB" w:eastAsia="en-SG"/>
        </w:rPr>
        <w:t>Select a VM, and you can drill down to see its capacity and performance.</w:t>
      </w:r>
    </w:p>
    <w:p w14:paraId="2FA63C03" w14:textId="671559E5" w:rsidR="005B2CC6" w:rsidRDefault="005B2CC6" w:rsidP="00604040">
      <w:pPr>
        <w:rPr>
          <w:lang w:val="en-GB" w:eastAsia="en-SG"/>
        </w:rPr>
      </w:pPr>
      <w:r>
        <w:rPr>
          <w:lang w:val="en-GB" w:eastAsia="en-SG"/>
        </w:rPr>
        <w:t xml:space="preserve">Add or remove columns to suit your environment. </w:t>
      </w:r>
    </w:p>
    <w:p w14:paraId="49908AF0" w14:textId="5CBA83D4" w:rsidR="005B2CC6" w:rsidRDefault="005B2CC6" w:rsidP="00604040">
      <w:pPr>
        <w:rPr>
          <w:lang w:val="en-GB" w:eastAsia="en-SG"/>
        </w:rPr>
      </w:pPr>
      <w:r>
        <w:rPr>
          <w:lang w:val="en-GB" w:eastAsia="en-SG"/>
        </w:rPr>
        <w:t>Customize the table further by color-coding the values. I’ve color coded the following:</w:t>
      </w:r>
    </w:p>
    <w:p w14:paraId="7A604835" w14:textId="037BC187" w:rsidR="005B2CC6" w:rsidRDefault="0096585A" w:rsidP="005B2CC6">
      <w:pPr>
        <w:pStyle w:val="Bullet"/>
        <w:rPr>
          <w:lang w:val="en-GB" w:eastAsia="en-SG"/>
        </w:rPr>
      </w:pPr>
      <w:r>
        <w:rPr>
          <w:lang w:val="en-GB" w:eastAsia="en-SG"/>
        </w:rPr>
        <w:t>VMs that are not properly placed in a folder. They will appear under the “Discovered virtual machine” folder.</w:t>
      </w:r>
    </w:p>
    <w:p w14:paraId="3DBBFCD5" w14:textId="11FB7220" w:rsidR="0096585A" w:rsidRDefault="0096585A" w:rsidP="005B2CC6">
      <w:pPr>
        <w:pStyle w:val="Bullet"/>
        <w:rPr>
          <w:lang w:val="en-GB" w:eastAsia="en-SG"/>
        </w:rPr>
      </w:pPr>
      <w:r>
        <w:rPr>
          <w:lang w:val="en-GB" w:eastAsia="en-SG"/>
        </w:rPr>
        <w:t>VMs that are not reporting its operating system. They will report the value “none”.</w:t>
      </w:r>
    </w:p>
    <w:p w14:paraId="76560100" w14:textId="76C70D2E" w:rsidR="0096585A" w:rsidRDefault="0096585A" w:rsidP="005B2CC6">
      <w:pPr>
        <w:pStyle w:val="Bullet"/>
        <w:rPr>
          <w:lang w:val="en-GB" w:eastAsia="en-SG"/>
        </w:rPr>
      </w:pPr>
      <w:r>
        <w:rPr>
          <w:lang w:val="en-GB" w:eastAsia="en-SG"/>
        </w:rPr>
        <w:t>VMs with large CPU, memory or disk. Tailor this to your environment.</w:t>
      </w:r>
    </w:p>
    <w:p w14:paraId="1FBE222B" w14:textId="1960EC87" w:rsidR="0096585A" w:rsidRDefault="00805DF2" w:rsidP="00697896">
      <w:pPr>
        <w:rPr>
          <w:lang w:val="en-GB" w:eastAsia="en-SG"/>
        </w:rPr>
      </w:pPr>
      <w:r>
        <w:rPr>
          <w:lang w:val="en-GB" w:eastAsia="en-SG"/>
        </w:rPr>
        <w:t>Select a VM, and its details of virtual disk, operating system partitions and network cards are automatically shown.</w:t>
      </w:r>
    </w:p>
    <w:p w14:paraId="365EA37A" w14:textId="3BA3941B" w:rsidR="00805DF2" w:rsidRDefault="00805DF2" w:rsidP="00697896">
      <w:pPr>
        <w:rPr>
          <w:lang w:val="en-GB" w:eastAsia="en-SG"/>
        </w:rPr>
      </w:pPr>
      <w:r w:rsidRPr="00805DF2">
        <w:rPr>
          <w:color w:val="FF0000"/>
          <w:lang w:val="en-GB" w:eastAsia="en-SG"/>
        </w:rPr>
        <w:t>Limitat</w:t>
      </w:r>
      <w:r>
        <w:rPr>
          <w:color w:val="FF0000"/>
          <w:lang w:val="en-GB" w:eastAsia="en-SG"/>
        </w:rPr>
        <w:t>i</w:t>
      </w:r>
      <w:r w:rsidRPr="00805DF2">
        <w:rPr>
          <w:color w:val="FF0000"/>
          <w:lang w:val="en-GB" w:eastAsia="en-SG"/>
        </w:rPr>
        <w:t>on</w:t>
      </w:r>
      <w:r>
        <w:rPr>
          <w:lang w:val="en-GB" w:eastAsia="en-SG"/>
        </w:rPr>
        <w:t>: It is not possible to see the mapping between virtual disk and partition. A partition or drive can spans multiple virtual disk, and a virtual disk can contain multiple partitions. This is why it’s best to keep the relationship simple (1:1).</w:t>
      </w:r>
    </w:p>
    <w:p w14:paraId="0174B1C8" w14:textId="55F128FC" w:rsidR="00697896" w:rsidRPr="00604040" w:rsidRDefault="00697896" w:rsidP="00697896">
      <w:pPr>
        <w:rPr>
          <w:lang w:val="en-GB" w:eastAsia="en-SG"/>
        </w:rPr>
      </w:pPr>
      <w:r w:rsidRPr="00697896">
        <w:rPr>
          <w:noProof/>
          <w:lang w:val="en-GB" w:eastAsia="en-SG"/>
        </w:rPr>
        <w:lastRenderedPageBreak/>
        <w:drawing>
          <wp:inline distT="0" distB="0" distL="0" distR="0" wp14:anchorId="24FFAB4A" wp14:editId="26B7A378">
            <wp:extent cx="6645910" cy="1849120"/>
            <wp:effectExtent l="0" t="0" r="2540" b="0"/>
            <wp:docPr id="1293284860" name="Picture 1293284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9"/>
                    <a:stretch>
                      <a:fillRect/>
                    </a:stretch>
                  </pic:blipFill>
                  <pic:spPr>
                    <a:xfrm>
                      <a:off x="0" y="0"/>
                      <a:ext cx="6645910" cy="1849120"/>
                    </a:xfrm>
                    <a:prstGeom prst="rect">
                      <a:avLst/>
                    </a:prstGeom>
                  </pic:spPr>
                </pic:pic>
              </a:graphicData>
            </a:graphic>
          </wp:inline>
        </w:drawing>
      </w:r>
    </w:p>
    <w:p w14:paraId="02FF51C4" w14:textId="0A2FA1BA" w:rsidR="004074AE" w:rsidRDefault="004074AE" w:rsidP="004074AE">
      <w:pPr>
        <w:pStyle w:val="Heading3"/>
      </w:pPr>
      <w:r>
        <w:t>vSphere Inventory</w:t>
      </w:r>
    </w:p>
    <w:p w14:paraId="4ACC3C87" w14:textId="3EAF85BD" w:rsidR="00C34C8E" w:rsidRDefault="00C34C8E" w:rsidP="00C34C8E">
      <w:pPr>
        <w:rPr>
          <w:lang w:val="en-GB"/>
        </w:rPr>
      </w:pPr>
      <w:r>
        <w:rPr>
          <w:lang w:val="en-GB"/>
        </w:rPr>
        <w:t>There are 3 dashboards</w:t>
      </w:r>
    </w:p>
    <w:p w14:paraId="6EAA6B4A" w14:textId="49FCD55C" w:rsidR="00C34C8E" w:rsidRDefault="00C34C8E" w:rsidP="00C34C8E">
      <w:pPr>
        <w:pStyle w:val="Bullet"/>
        <w:rPr>
          <w:lang w:val="en-GB"/>
        </w:rPr>
      </w:pPr>
      <w:r>
        <w:rPr>
          <w:lang w:val="en-GB"/>
        </w:rPr>
        <w:t>Compute</w:t>
      </w:r>
    </w:p>
    <w:p w14:paraId="0392017E" w14:textId="4285EFEA" w:rsidR="00C34C8E" w:rsidRDefault="00C34C8E" w:rsidP="00C34C8E">
      <w:pPr>
        <w:pStyle w:val="Bullet"/>
        <w:rPr>
          <w:lang w:val="en-GB"/>
        </w:rPr>
      </w:pPr>
      <w:r>
        <w:rPr>
          <w:lang w:val="en-GB"/>
        </w:rPr>
        <w:t>Storage</w:t>
      </w:r>
    </w:p>
    <w:p w14:paraId="011DC547" w14:textId="6025CC2F" w:rsidR="00C34C8E" w:rsidRDefault="00C34C8E" w:rsidP="00C34C8E">
      <w:pPr>
        <w:pStyle w:val="Bullet"/>
        <w:rPr>
          <w:lang w:val="en-GB"/>
        </w:rPr>
      </w:pPr>
      <w:r>
        <w:rPr>
          <w:lang w:val="en-GB"/>
        </w:rPr>
        <w:t xml:space="preserve">Network </w:t>
      </w:r>
    </w:p>
    <w:p w14:paraId="251712C0" w14:textId="739B48A4" w:rsidR="00805DF2" w:rsidRDefault="00805DF2" w:rsidP="00805DF2">
      <w:pPr>
        <w:rPr>
          <w:lang w:val="en-GB"/>
        </w:rPr>
      </w:pPr>
      <w:r>
        <w:rPr>
          <w:lang w:val="en-GB"/>
        </w:rPr>
        <w:t>They have a fairly similar design. The compute has more details because it has more things to manage.</w:t>
      </w:r>
    </w:p>
    <w:p w14:paraId="273EA022" w14:textId="71303006" w:rsidR="00103138" w:rsidRDefault="00103138" w:rsidP="00805DF2">
      <w:pPr>
        <w:rPr>
          <w:lang w:val="en-GB"/>
        </w:rPr>
      </w:pPr>
      <w:r>
        <w:rPr>
          <w:lang w:val="en-GB"/>
        </w:rPr>
        <w:t>The design has 4 sections, as shown in the following screenshot</w:t>
      </w:r>
    </w:p>
    <w:p w14:paraId="0976382E" w14:textId="7D7C26EE" w:rsidR="003C2A02" w:rsidRDefault="003C2A02" w:rsidP="003C2A02">
      <w:pPr>
        <w:jc w:val="center"/>
        <w:rPr>
          <w:lang w:val="en-GB"/>
        </w:rPr>
      </w:pPr>
      <w:r w:rsidRPr="003C2A02">
        <w:rPr>
          <w:noProof/>
          <w:lang w:val="en-GB"/>
        </w:rPr>
        <w:lastRenderedPageBreak/>
        <w:drawing>
          <wp:inline distT="0" distB="0" distL="0" distR="0" wp14:anchorId="1EEE6F86" wp14:editId="29756D2A">
            <wp:extent cx="5605272" cy="4617720"/>
            <wp:effectExtent l="0" t="0" r="0" b="0"/>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0"/>
                    <a:stretch>
                      <a:fillRect/>
                    </a:stretch>
                  </pic:blipFill>
                  <pic:spPr>
                    <a:xfrm>
                      <a:off x="0" y="0"/>
                      <a:ext cx="5605272" cy="4617720"/>
                    </a:xfrm>
                    <a:prstGeom prst="rect">
                      <a:avLst/>
                    </a:prstGeom>
                  </pic:spPr>
                </pic:pic>
              </a:graphicData>
            </a:graphic>
          </wp:inline>
        </w:drawing>
      </w:r>
    </w:p>
    <w:p w14:paraId="47521D1F" w14:textId="77ADEDDC" w:rsidR="00805DF2" w:rsidRDefault="00805DF2" w:rsidP="00805DF2">
      <w:pPr>
        <w:rPr>
          <w:lang w:val="en-GB"/>
        </w:rPr>
      </w:pPr>
      <w:r>
        <w:rPr>
          <w:lang w:val="en-GB"/>
        </w:rPr>
        <w:t xml:space="preserve">If you think their design copies the Horizon Inventory dashboard, you’re right! That dashboard was basically the 2.0 of the vSphere inventory dashboards, so now you’re seeing vSphere delivers the 3.0. </w:t>
      </w:r>
    </w:p>
    <w:p w14:paraId="3F2B7A56" w14:textId="082A56C8" w:rsidR="00805DF2" w:rsidRDefault="00805DF2" w:rsidP="00805DF2">
      <w:pPr>
        <w:rPr>
          <w:lang w:val="en-GB"/>
        </w:rPr>
      </w:pPr>
      <w:r>
        <w:rPr>
          <w:lang w:val="en-GB"/>
        </w:rPr>
        <w:t>They can also navigate to one another. The relationship widget below sports the navigation.</w:t>
      </w:r>
      <w:r w:rsidR="00BD6E39">
        <w:rPr>
          <w:lang w:val="en-GB"/>
        </w:rPr>
        <w:t xml:space="preserve"> Pick an object and then choose the dashboard navigation.</w:t>
      </w:r>
    </w:p>
    <w:p w14:paraId="07A4F2E5" w14:textId="3CB63409" w:rsidR="00805DF2" w:rsidRDefault="00805DF2" w:rsidP="00805DF2">
      <w:pPr>
        <w:rPr>
          <w:lang w:val="en-GB"/>
        </w:rPr>
      </w:pPr>
      <w:r w:rsidRPr="00805DF2">
        <w:rPr>
          <w:noProof/>
          <w:lang w:val="en-GB"/>
        </w:rPr>
        <w:drawing>
          <wp:inline distT="0" distB="0" distL="0" distR="0" wp14:anchorId="0ECE719C" wp14:editId="42B829AD">
            <wp:extent cx="6645910" cy="3077845"/>
            <wp:effectExtent l="0" t="0" r="2540" b="8255"/>
            <wp:docPr id="1859674502" name="Picture 1859674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1"/>
                    <a:stretch>
                      <a:fillRect/>
                    </a:stretch>
                  </pic:blipFill>
                  <pic:spPr>
                    <a:xfrm>
                      <a:off x="0" y="0"/>
                      <a:ext cx="6645910" cy="3077845"/>
                    </a:xfrm>
                    <a:prstGeom prst="rect">
                      <a:avLst/>
                    </a:prstGeom>
                  </pic:spPr>
                </pic:pic>
              </a:graphicData>
            </a:graphic>
          </wp:inline>
        </w:drawing>
      </w:r>
    </w:p>
    <w:p w14:paraId="34F70A26" w14:textId="1756920B" w:rsidR="00FE547F" w:rsidRDefault="00FE547F" w:rsidP="00805DF2">
      <w:pPr>
        <w:rPr>
          <w:lang w:val="en-GB"/>
        </w:rPr>
      </w:pPr>
      <w:r>
        <w:rPr>
          <w:lang w:val="en-GB"/>
        </w:rPr>
        <w:lastRenderedPageBreak/>
        <w:t xml:space="preserve">The </w:t>
      </w:r>
      <w:r w:rsidR="00BD6E39">
        <w:rPr>
          <w:lang w:val="en-GB"/>
        </w:rPr>
        <w:t xml:space="preserve">next row is a set of </w:t>
      </w:r>
      <w:r>
        <w:rPr>
          <w:lang w:val="en-GB"/>
        </w:rPr>
        <w:t xml:space="preserve">distribution </w:t>
      </w:r>
      <w:r w:rsidR="00BD6E39">
        <w:rPr>
          <w:lang w:val="en-GB"/>
        </w:rPr>
        <w:t>chart. Due to limited space, I’ve provided only 2 charts, focusing on the cluster object. Since this inventory and not configuration, we should focus on the count of members.</w:t>
      </w:r>
    </w:p>
    <w:p w14:paraId="35377EFD" w14:textId="49C30D3D" w:rsidR="00FE547F" w:rsidRDefault="00FE547F" w:rsidP="00805DF2">
      <w:pPr>
        <w:rPr>
          <w:lang w:val="en-GB"/>
        </w:rPr>
      </w:pPr>
      <w:r w:rsidRPr="00FE547F">
        <w:rPr>
          <w:noProof/>
          <w:lang w:val="en-GB"/>
        </w:rPr>
        <w:drawing>
          <wp:inline distT="0" distB="0" distL="0" distR="0" wp14:anchorId="24375311" wp14:editId="6E3CE71C">
            <wp:extent cx="6645910" cy="2541905"/>
            <wp:effectExtent l="0" t="0" r="2540" b="0"/>
            <wp:docPr id="567723384" name="Picture 567723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2"/>
                    <a:stretch>
                      <a:fillRect/>
                    </a:stretch>
                  </pic:blipFill>
                  <pic:spPr>
                    <a:xfrm>
                      <a:off x="0" y="0"/>
                      <a:ext cx="6645910" cy="2541905"/>
                    </a:xfrm>
                    <a:prstGeom prst="rect">
                      <a:avLst/>
                    </a:prstGeom>
                  </pic:spPr>
                </pic:pic>
              </a:graphicData>
            </a:graphic>
          </wp:inline>
        </w:drawing>
      </w:r>
    </w:p>
    <w:p w14:paraId="5ADFC695" w14:textId="4A4A6973" w:rsidR="00FE547F" w:rsidRDefault="00FE547F" w:rsidP="00805DF2">
      <w:pPr>
        <w:rPr>
          <w:lang w:val="en-GB"/>
        </w:rPr>
      </w:pPr>
      <w:r>
        <w:rPr>
          <w:lang w:val="en-GB"/>
        </w:rPr>
        <w:t>The next row is a set of pie charts</w:t>
      </w:r>
      <w:r w:rsidR="00BD6E39">
        <w:rPr>
          <w:lang w:val="en-GB"/>
        </w:rPr>
        <w:t xml:space="preserve">. </w:t>
      </w:r>
      <w:r w:rsidR="00103138">
        <w:rPr>
          <w:lang w:val="en-GB"/>
        </w:rPr>
        <w:t>Kindly let me know if you have better suggestions on what the top 3 things you want to be shown as pie charts.</w:t>
      </w:r>
    </w:p>
    <w:p w14:paraId="328C8D08" w14:textId="09E5553B" w:rsidR="00FE547F" w:rsidRDefault="00FE547F" w:rsidP="00805DF2">
      <w:pPr>
        <w:rPr>
          <w:lang w:val="en-GB"/>
        </w:rPr>
      </w:pPr>
      <w:r w:rsidRPr="00FE547F">
        <w:rPr>
          <w:noProof/>
          <w:lang w:val="en-GB"/>
        </w:rPr>
        <w:drawing>
          <wp:inline distT="0" distB="0" distL="0" distR="0" wp14:anchorId="4801C695" wp14:editId="74775531">
            <wp:extent cx="6645910" cy="2267585"/>
            <wp:effectExtent l="0" t="0" r="254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3"/>
                    <a:stretch>
                      <a:fillRect/>
                    </a:stretch>
                  </pic:blipFill>
                  <pic:spPr>
                    <a:xfrm>
                      <a:off x="0" y="0"/>
                      <a:ext cx="6645910" cy="2267585"/>
                    </a:xfrm>
                    <a:prstGeom prst="rect">
                      <a:avLst/>
                    </a:prstGeom>
                  </pic:spPr>
                </pic:pic>
              </a:graphicData>
            </a:graphic>
          </wp:inline>
        </w:drawing>
      </w:r>
    </w:p>
    <w:p w14:paraId="3E036C96" w14:textId="7733DB81" w:rsidR="00BD6E39" w:rsidRDefault="00BD6E39" w:rsidP="00805DF2">
      <w:pPr>
        <w:rPr>
          <w:lang w:val="en-GB"/>
        </w:rPr>
      </w:pPr>
      <w:r>
        <w:rPr>
          <w:lang w:val="en-GB"/>
        </w:rPr>
        <w:t>If you have larger screen real estate, add more pie chart for better insight into the type of items you have in your inventory.</w:t>
      </w:r>
    </w:p>
    <w:p w14:paraId="64F06632" w14:textId="48897011" w:rsidR="00FE547F" w:rsidRDefault="00FE547F" w:rsidP="00805DF2">
      <w:pPr>
        <w:rPr>
          <w:lang w:val="en-GB"/>
        </w:rPr>
      </w:pPr>
      <w:r>
        <w:rPr>
          <w:lang w:val="en-GB"/>
        </w:rPr>
        <w:t>The last row is always the lowest level of details, hence a table is chosen. For the compute inventory, we need to cover cluster, ESXi host and resource pools. That’s why you notice 3 tables, one for cluster, one for ESXi and one for resource pools.</w:t>
      </w:r>
      <w:r w:rsidR="00103138">
        <w:rPr>
          <w:lang w:val="en-GB"/>
        </w:rPr>
        <w:t xml:space="preserve"> </w:t>
      </w:r>
    </w:p>
    <w:p w14:paraId="60B449A6" w14:textId="2777B1F4" w:rsidR="00805DF2" w:rsidRDefault="00805DF2" w:rsidP="00805DF2">
      <w:pPr>
        <w:rPr>
          <w:lang w:val="en-GB"/>
        </w:rPr>
      </w:pPr>
      <w:r w:rsidRPr="00805DF2">
        <w:rPr>
          <w:noProof/>
          <w:lang w:val="en-GB"/>
        </w:rPr>
        <w:drawing>
          <wp:inline distT="0" distB="0" distL="0" distR="0" wp14:anchorId="4B5EC6B7" wp14:editId="1072D951">
            <wp:extent cx="6645910" cy="1523365"/>
            <wp:effectExtent l="0" t="0" r="2540" b="635"/>
            <wp:docPr id="1859674536" name="Picture 1859674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4"/>
                    <a:stretch>
                      <a:fillRect/>
                    </a:stretch>
                  </pic:blipFill>
                  <pic:spPr>
                    <a:xfrm>
                      <a:off x="0" y="0"/>
                      <a:ext cx="6645910" cy="1523365"/>
                    </a:xfrm>
                    <a:prstGeom prst="rect">
                      <a:avLst/>
                    </a:prstGeom>
                  </pic:spPr>
                </pic:pic>
              </a:graphicData>
            </a:graphic>
          </wp:inline>
        </w:drawing>
      </w:r>
    </w:p>
    <w:p w14:paraId="35F29EC1" w14:textId="16585173" w:rsidR="00103138" w:rsidRDefault="00103138" w:rsidP="00805DF2">
      <w:pPr>
        <w:rPr>
          <w:lang w:val="en-GB"/>
        </w:rPr>
      </w:pPr>
      <w:r>
        <w:rPr>
          <w:lang w:val="en-GB"/>
        </w:rPr>
        <w:t xml:space="preserve">I added a navigation from the cluster table into the cluster performance and cluster capacity dashboard. </w:t>
      </w:r>
    </w:p>
    <w:p w14:paraId="3B15388C" w14:textId="77777777" w:rsidR="00FE547F" w:rsidRPr="00C34C8E" w:rsidRDefault="00FE547F" w:rsidP="00805DF2">
      <w:pPr>
        <w:rPr>
          <w:lang w:val="en-GB"/>
        </w:rPr>
      </w:pPr>
    </w:p>
    <w:p w14:paraId="1D404A4A" w14:textId="557E84D1" w:rsidR="003B2CE5" w:rsidRDefault="5CCFF90D" w:rsidP="00B373E2">
      <w:pPr>
        <w:pStyle w:val="Heading2"/>
        <w:rPr>
          <w:lang w:val="en-GB"/>
        </w:rPr>
      </w:pPr>
      <w:r w:rsidRPr="50D5C780">
        <w:rPr>
          <w:lang w:val="en-GB"/>
        </w:rPr>
        <w:lastRenderedPageBreak/>
        <w:t>Configuration</w:t>
      </w:r>
    </w:p>
    <w:p w14:paraId="214FCD07" w14:textId="32301315" w:rsidR="004D4D3A" w:rsidRPr="004D4D3A" w:rsidRDefault="004D4D3A" w:rsidP="004D4D3A">
      <w:pPr>
        <w:rPr>
          <w:lang w:val="en-GB"/>
        </w:rPr>
      </w:pPr>
      <w:r>
        <w:rPr>
          <w:noProof/>
        </w:rPr>
        <mc:AlternateContent>
          <mc:Choice Requires="wps">
            <w:drawing>
              <wp:anchor distT="0" distB="0" distL="114300" distR="114300" simplePos="0" relativeHeight="251653120" behindDoc="0" locked="0" layoutInCell="1" allowOverlap="1" wp14:anchorId="7958E7AA" wp14:editId="01058F9A">
                <wp:simplePos x="0" y="0"/>
                <wp:positionH relativeFrom="column">
                  <wp:posOffset>0</wp:posOffset>
                </wp:positionH>
                <wp:positionV relativeFrom="paragraph">
                  <wp:posOffset>0</wp:posOffset>
                </wp:positionV>
                <wp:extent cx="1828800" cy="1828800"/>
                <wp:effectExtent l="0" t="0" r="0" b="0"/>
                <wp:wrapNone/>
                <wp:docPr id="606394169" name="Text Box 60639416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0D793B92" w14:textId="6372FDEA" w:rsidR="00E66F24" w:rsidRPr="00C84219" w:rsidRDefault="00E66F24" w:rsidP="004D4D3A">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3 Chapter </w:t>
                            </w:r>
                            <w:r w:rsidR="00A042E2">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7958E7AA" id="Text Box 606394169" o:spid="_x0000_s1046" type="#_x0000_t202" style="position:absolute;margin-left:0;margin-top:0;width:2in;height:2in;z-index:2516531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" filled="f" stroked="f">
                <v:textbox style="mso-fit-shape-to-text:t">
                  <w:txbxContent>
                    <w:p w14:paraId="0D793B92" w14:textId="6372FDEA" w:rsidR="00E66F24" w:rsidRPr="00C84219" w:rsidRDefault="00E66F24" w:rsidP="004D4D3A">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3 Chapter </w:t>
                      </w:r>
                      <w:r w:rsidR="00A042E2">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6</w:t>
                      </w:r>
                    </w:p>
                  </w:txbxContent>
                </v:textbox>
              </v:shape>
            </w:pict>
          </mc:Fallback>
        </mc:AlternateContent>
      </w:r>
    </w:p>
    <w:p w14:paraId="3075406B" w14:textId="05A1FD71" w:rsidR="00897470" w:rsidRPr="00A452F2" w:rsidRDefault="00FC3D00" w:rsidP="003F097B">
      <w:pPr>
        <w:pStyle w:val="AfterChapterTitle"/>
        <w:rPr>
          <w:lang w:val="en-GB"/>
        </w:rPr>
      </w:pPr>
      <w:r>
        <w:t xml:space="preserve">The configuration dashboards aims to implement the concept covered in </w:t>
      </w:r>
      <w:hyperlink w:anchor="_Design_Consideration" w:history="1">
        <w:r w:rsidRPr="00FC3D00">
          <w:rPr>
            <w:rStyle w:val="Hyperlink"/>
          </w:rPr>
          <w:t>Configuration Management</w:t>
        </w:r>
      </w:hyperlink>
      <w:r>
        <w:t xml:space="preserve"> chapter. </w:t>
      </w:r>
    </w:p>
    <w:p w14:paraId="04B80234" w14:textId="77777777" w:rsidR="00FC3D00" w:rsidRPr="00A452F2" w:rsidRDefault="00FC3D00" w:rsidP="00FC3D00">
      <w:pPr>
        <w:rPr>
          <w:lang w:val="en-GB"/>
        </w:rPr>
      </w:pPr>
      <w:r>
        <w:rPr>
          <w:lang w:val="en-GB"/>
        </w:rPr>
        <w:t>Each o</w:t>
      </w:r>
      <w:r w:rsidRPr="00A452F2">
        <w:rPr>
          <w:lang w:val="en-GB"/>
        </w:rPr>
        <w:t>peration is like a fingerprint. While there are commonalities, each customer runs their operations a little differently. Hence it’s not possible to design one dashboard that meet every customer’s operational needs. A configuration that is important for one may not even be relevant for another. We encourage you to tailor this dashboard to your unique environment. If needed, widgets can be collapsed or expanded allowing more relevant data to be displayed.</w:t>
      </w:r>
    </w:p>
    <w:p w14:paraId="223506F8" w14:textId="14E8265E" w:rsidR="00EB636C" w:rsidRPr="00A452F2" w:rsidRDefault="00EB636C" w:rsidP="00540F68">
      <w:pPr>
        <w:pStyle w:val="Heading3"/>
      </w:pPr>
      <w:r w:rsidRPr="00A452F2">
        <w:t>VM Configuration</w:t>
      </w:r>
    </w:p>
    <w:p w14:paraId="675910E3" w14:textId="08C5E82F" w:rsidR="00EB636C" w:rsidRPr="00A452F2" w:rsidRDefault="00EB636C" w:rsidP="00F6120D">
      <w:pPr>
        <w:rPr>
          <w:lang w:val="en-GB"/>
        </w:rPr>
      </w:pPr>
      <w:r w:rsidRPr="00A452F2">
        <w:rPr>
          <w:lang w:val="en-GB"/>
        </w:rPr>
        <w:t xml:space="preserve">Use the </w:t>
      </w:r>
      <w:r w:rsidRPr="00A452F2">
        <w:rPr>
          <w:rStyle w:val="keyword"/>
          <w:lang w:val="en-GB"/>
        </w:rPr>
        <w:t>VM Configuration</w:t>
      </w:r>
      <w:r w:rsidRPr="00A452F2">
        <w:rPr>
          <w:lang w:val="en-GB"/>
        </w:rPr>
        <w:t xml:space="preserve"> dashboard to view the overall configuration</w:t>
      </w:r>
      <w:r w:rsidR="00F601B9" w:rsidRPr="00A452F2">
        <w:rPr>
          <w:lang w:val="en-GB"/>
        </w:rPr>
        <w:t xml:space="preserve"> of </w:t>
      </w:r>
      <w:r w:rsidR="00605560">
        <w:rPr>
          <w:lang w:val="en-GB"/>
        </w:rPr>
        <w:t>VM</w:t>
      </w:r>
      <w:r w:rsidR="00DA038A" w:rsidRPr="00A452F2">
        <w:rPr>
          <w:lang w:val="en-GB"/>
        </w:rPr>
        <w:t>s</w:t>
      </w:r>
      <w:r w:rsidR="00753649" w:rsidRPr="00A452F2">
        <w:rPr>
          <w:lang w:val="en-GB"/>
        </w:rPr>
        <w:t xml:space="preserve"> in</w:t>
      </w:r>
      <w:r w:rsidRPr="00A452F2">
        <w:rPr>
          <w:lang w:val="en-GB"/>
        </w:rPr>
        <w:t xml:space="preserve"> your environment, especially for areas that need attention.</w:t>
      </w:r>
    </w:p>
    <w:p w14:paraId="3774C3D9" w14:textId="4812F07B" w:rsidR="00EB636C" w:rsidRPr="00A452F2" w:rsidRDefault="00EB636C" w:rsidP="00F6120D">
      <w:pPr>
        <w:rPr>
          <w:lang w:val="en-GB"/>
        </w:rPr>
      </w:pPr>
      <w:r w:rsidRPr="00A452F2">
        <w:rPr>
          <w:lang w:val="en-GB"/>
        </w:rPr>
        <w:t xml:space="preserve">See the </w:t>
      </w:r>
      <w:hyperlink w:anchor="_Design_Consideration_2" w:history="1">
        <w:r w:rsidRPr="00A452F2">
          <w:rPr>
            <w:rStyle w:val="Hyperlink"/>
            <w:lang w:val="en-GB"/>
          </w:rPr>
          <w:t>Configuration Dashboard page</w:t>
        </w:r>
      </w:hyperlink>
      <w:r w:rsidRPr="00A452F2">
        <w:rPr>
          <w:lang w:val="en-GB"/>
        </w:rPr>
        <w:t xml:space="preserve"> for common design consideration among all the dashboards for configuration management. </w:t>
      </w:r>
    </w:p>
    <w:p w14:paraId="158A3A18" w14:textId="77777777" w:rsidR="00EB636C" w:rsidRPr="00A452F2" w:rsidRDefault="00EB636C" w:rsidP="00AC6E1E">
      <w:pPr>
        <w:pStyle w:val="Heading4"/>
      </w:pPr>
      <w:r w:rsidRPr="00A452F2">
        <w:lastRenderedPageBreak/>
        <w:t>How to Use</w:t>
      </w:r>
    </w:p>
    <w:p w14:paraId="43D06DF1" w14:textId="0F8FB532" w:rsidR="00DB3813" w:rsidRPr="00A452F2" w:rsidRDefault="00DB3813" w:rsidP="00F6120D">
      <w:pPr>
        <w:rPr>
          <w:lang w:val="en-GB"/>
        </w:rPr>
      </w:pPr>
      <w:r w:rsidRPr="00A452F2">
        <w:rPr>
          <w:lang w:val="en-GB"/>
        </w:rPr>
        <w:t xml:space="preserve">Select a </w:t>
      </w:r>
      <w:r w:rsidR="005269DE" w:rsidRPr="00A452F2">
        <w:rPr>
          <w:lang w:val="en-GB"/>
        </w:rPr>
        <w:t>data center</w:t>
      </w:r>
      <w:r w:rsidRPr="00A452F2">
        <w:rPr>
          <w:lang w:val="en-GB"/>
        </w:rPr>
        <w:t xml:space="preserve"> from the </w:t>
      </w:r>
      <w:r w:rsidR="005269DE" w:rsidRPr="00A452F2">
        <w:rPr>
          <w:b/>
          <w:bCs/>
          <w:lang w:val="en-GB"/>
        </w:rPr>
        <w:t>Data center</w:t>
      </w:r>
      <w:r w:rsidRPr="00A452F2">
        <w:rPr>
          <w:lang w:val="en-GB"/>
        </w:rPr>
        <w:t xml:space="preserve"> table</w:t>
      </w:r>
    </w:p>
    <w:p w14:paraId="6B43C154" w14:textId="6FA64090" w:rsidR="00A3651A" w:rsidRPr="00A452F2" w:rsidRDefault="00A3651A" w:rsidP="00BB4B86">
      <w:pPr>
        <w:pStyle w:val="ListParagraph"/>
        <w:numPr>
          <w:ilvl w:val="0"/>
          <w:numId w:val="6"/>
        </w:numPr>
        <w:rPr>
          <w:lang w:val="en-GB"/>
        </w:rPr>
      </w:pPr>
      <w:r w:rsidRPr="00A452F2">
        <w:rPr>
          <w:lang w:val="en-GB"/>
        </w:rPr>
        <w:t xml:space="preserve">In a large environment, loading thousands of VMs increase </w:t>
      </w:r>
      <w:r w:rsidR="00A271C1" w:rsidRPr="00A452F2">
        <w:rPr>
          <w:lang w:val="en-GB"/>
        </w:rPr>
        <w:t>the web</w:t>
      </w:r>
      <w:r w:rsidRPr="00A452F2">
        <w:rPr>
          <w:lang w:val="en-GB"/>
        </w:rPr>
        <w:t xml:space="preserve"> page loading time. As a result, the VM is grouped by </w:t>
      </w:r>
      <w:r w:rsidR="005269DE" w:rsidRPr="00A452F2">
        <w:rPr>
          <w:lang w:val="en-GB"/>
        </w:rPr>
        <w:t>data center</w:t>
      </w:r>
      <w:r w:rsidRPr="00A452F2">
        <w:rPr>
          <w:lang w:val="en-GB"/>
        </w:rPr>
        <w:t xml:space="preserve">. In addition, it may make sense to review the VM configuration per </w:t>
      </w:r>
      <w:r w:rsidR="005269DE" w:rsidRPr="00A452F2">
        <w:rPr>
          <w:lang w:val="en-GB"/>
        </w:rPr>
        <w:t>data center</w:t>
      </w:r>
      <w:r w:rsidRPr="00A452F2">
        <w:rPr>
          <w:lang w:val="en-GB"/>
        </w:rPr>
        <w:t xml:space="preserve">. </w:t>
      </w:r>
    </w:p>
    <w:p w14:paraId="2E16A0F3" w14:textId="0CAF9352" w:rsidR="00DB3813" w:rsidRPr="00A452F2" w:rsidRDefault="00A3651A" w:rsidP="00BB4B86">
      <w:pPr>
        <w:pStyle w:val="ListParagraph"/>
        <w:numPr>
          <w:ilvl w:val="0"/>
          <w:numId w:val="6"/>
        </w:numPr>
        <w:rPr>
          <w:lang w:val="en-GB"/>
        </w:rPr>
      </w:pPr>
      <w:r w:rsidRPr="00A452F2">
        <w:rPr>
          <w:lang w:val="en-GB"/>
        </w:rPr>
        <w:t>For a small environment, the vSphere World is provided so you can see all the VMs in the environment.</w:t>
      </w:r>
    </w:p>
    <w:p w14:paraId="29059820" w14:textId="74AF958C" w:rsidR="0011677E" w:rsidRPr="00A452F2" w:rsidRDefault="0011677E" w:rsidP="00F6120D">
      <w:pPr>
        <w:rPr>
          <w:lang w:val="en-GB"/>
        </w:rPr>
      </w:pPr>
      <w:r w:rsidRPr="00A452F2">
        <w:rPr>
          <w:lang w:val="en-GB"/>
        </w:rPr>
        <w:t xml:space="preserve">The dashboard is organized into </w:t>
      </w:r>
      <w:r w:rsidR="00C046B4" w:rsidRPr="00A452F2">
        <w:rPr>
          <w:lang w:val="en-GB"/>
        </w:rPr>
        <w:t xml:space="preserve">3 </w:t>
      </w:r>
      <w:r w:rsidRPr="00A452F2">
        <w:rPr>
          <w:lang w:val="en-GB"/>
        </w:rPr>
        <w:t xml:space="preserve">sections for ease of use. </w:t>
      </w:r>
    </w:p>
    <w:p w14:paraId="62ABB114" w14:textId="3BEFC60D" w:rsidR="0031764C" w:rsidRPr="00A452F2" w:rsidRDefault="00425316" w:rsidP="00BB4B86">
      <w:pPr>
        <w:pStyle w:val="ListParagraph"/>
        <w:numPr>
          <w:ilvl w:val="0"/>
          <w:numId w:val="6"/>
        </w:numPr>
        <w:rPr>
          <w:lang w:val="en-GB"/>
        </w:rPr>
      </w:pPr>
      <w:r w:rsidRPr="00A452F2">
        <w:rPr>
          <w:lang w:val="en-GB"/>
        </w:rPr>
        <w:t xml:space="preserve">All </w:t>
      </w:r>
      <w:r w:rsidR="00C046B4" w:rsidRPr="00A452F2">
        <w:rPr>
          <w:lang w:val="en-GB"/>
        </w:rPr>
        <w:t>3</w:t>
      </w:r>
      <w:r w:rsidRPr="00A452F2">
        <w:rPr>
          <w:lang w:val="en-GB"/>
        </w:rPr>
        <w:t xml:space="preserve"> sections will automatically display the </w:t>
      </w:r>
      <w:r w:rsidR="00852CBA" w:rsidRPr="00A452F2">
        <w:rPr>
          <w:lang w:val="en-GB"/>
        </w:rPr>
        <w:t xml:space="preserve">VM configuration in the selected </w:t>
      </w:r>
      <w:r w:rsidR="005269DE" w:rsidRPr="00A452F2">
        <w:rPr>
          <w:lang w:val="en-GB"/>
        </w:rPr>
        <w:t>data center</w:t>
      </w:r>
    </w:p>
    <w:p w14:paraId="0225FC96" w14:textId="799955E0" w:rsidR="00317B58" w:rsidRPr="00A452F2" w:rsidRDefault="00D65000" w:rsidP="00F6120D">
      <w:pPr>
        <w:rPr>
          <w:lang w:val="en-GB"/>
        </w:rPr>
      </w:pPr>
      <w:r w:rsidRPr="00A452F2">
        <w:rPr>
          <w:lang w:val="en-GB"/>
        </w:rPr>
        <w:t xml:space="preserve">The first section </w:t>
      </w:r>
      <w:r w:rsidR="0064001E" w:rsidRPr="00A452F2">
        <w:rPr>
          <w:lang w:val="en-GB"/>
        </w:rPr>
        <w:t xml:space="preserve">covers limit, </w:t>
      </w:r>
      <w:r w:rsidR="002F483A" w:rsidRPr="00A452F2">
        <w:rPr>
          <w:lang w:val="en-GB"/>
        </w:rPr>
        <w:t>s</w:t>
      </w:r>
      <w:r w:rsidR="00317B58" w:rsidRPr="00A452F2">
        <w:rPr>
          <w:lang w:val="en-GB"/>
        </w:rPr>
        <w:t xml:space="preserve">hare and </w:t>
      </w:r>
      <w:r w:rsidR="002F483A" w:rsidRPr="00A452F2">
        <w:rPr>
          <w:lang w:val="en-GB"/>
        </w:rPr>
        <w:t>r</w:t>
      </w:r>
      <w:r w:rsidR="00317B58" w:rsidRPr="00A452F2">
        <w:rPr>
          <w:lang w:val="en-GB"/>
        </w:rPr>
        <w:t>eservation</w:t>
      </w:r>
    </w:p>
    <w:p w14:paraId="41CACF17" w14:textId="5441D410" w:rsidR="00306655" w:rsidRDefault="00306655" w:rsidP="00BB4B86">
      <w:pPr>
        <w:pStyle w:val="ListParagraph"/>
        <w:numPr>
          <w:ilvl w:val="0"/>
          <w:numId w:val="6"/>
        </w:numPr>
        <w:rPr>
          <w:lang w:val="en-GB"/>
        </w:rPr>
      </w:pPr>
      <w:r>
        <w:rPr>
          <w:lang w:val="en-GB"/>
        </w:rPr>
        <w:t xml:space="preserve">Limit should not be used, as explained previously </w:t>
      </w:r>
      <w:hyperlink w:anchor="_Resource_Management" w:history="1">
        <w:r w:rsidRPr="00306655">
          <w:rPr>
            <w:rStyle w:val="Hyperlink"/>
            <w:lang w:val="en-GB"/>
          </w:rPr>
          <w:t>here</w:t>
        </w:r>
      </w:hyperlink>
      <w:r>
        <w:rPr>
          <w:lang w:val="en-GB"/>
        </w:rPr>
        <w:t>.</w:t>
      </w:r>
    </w:p>
    <w:p w14:paraId="6EBECE97" w14:textId="59C60408" w:rsidR="00306655" w:rsidRDefault="00306655" w:rsidP="00306655">
      <w:pPr>
        <w:ind w:left="720"/>
        <w:rPr>
          <w:lang w:val="en-GB"/>
        </w:rPr>
      </w:pPr>
      <w:r>
        <w:rPr>
          <w:noProof/>
        </w:rPr>
        <w:drawing>
          <wp:inline distT="0" distB="0" distL="0" distR="0" wp14:anchorId="1C959521" wp14:editId="5E6E803A">
            <wp:extent cx="4405218" cy="1709726"/>
            <wp:effectExtent l="0" t="0" r="0" b="5080"/>
            <wp:docPr id="606394383" name="Picture 606394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83"/>
                    <pic:cNvPicPr/>
                  </pic:nvPicPr>
                  <pic:blipFill>
                    <a:blip r:embed="rId1205">
                      <a:extLst>
                        <a:ext uri="{28A0092B-C50C-407E-A947-70E740481C1C}">
                          <a14:useLocalDpi xmlns:a14="http://schemas.microsoft.com/office/drawing/2010/main" val="0"/>
                        </a:ext>
                      </a:extLst>
                    </a:blip>
                    <a:stretch>
                      <a:fillRect/>
                    </a:stretch>
                  </pic:blipFill>
                  <pic:spPr>
                    <a:xfrm>
                      <a:off x="0" y="0"/>
                      <a:ext cx="4405218" cy="1709726"/>
                    </a:xfrm>
                    <a:prstGeom prst="rect">
                      <a:avLst/>
                    </a:prstGeom>
                  </pic:spPr>
                </pic:pic>
              </a:graphicData>
            </a:graphic>
          </wp:inline>
        </w:drawing>
      </w:r>
    </w:p>
    <w:p w14:paraId="0657B2B4" w14:textId="7531F75D" w:rsidR="00317B58" w:rsidRDefault="0078446B" w:rsidP="00BB4B86">
      <w:pPr>
        <w:pStyle w:val="ListParagraph"/>
        <w:numPr>
          <w:ilvl w:val="0"/>
          <w:numId w:val="6"/>
        </w:numPr>
        <w:rPr>
          <w:lang w:val="en-GB"/>
        </w:rPr>
      </w:pPr>
      <w:r w:rsidRPr="00A452F2">
        <w:rPr>
          <w:lang w:val="en-GB"/>
        </w:rPr>
        <w:t xml:space="preserve">Their </w:t>
      </w:r>
      <w:r w:rsidR="00306655">
        <w:rPr>
          <w:lang w:val="en-GB"/>
        </w:rPr>
        <w:t xml:space="preserve">share and reservation </w:t>
      </w:r>
      <w:r w:rsidRPr="00A452F2">
        <w:rPr>
          <w:lang w:val="en-GB"/>
        </w:rPr>
        <w:t>values c</w:t>
      </w:r>
      <w:r w:rsidR="00317B58" w:rsidRPr="00A452F2">
        <w:rPr>
          <w:lang w:val="en-GB"/>
        </w:rPr>
        <w:t>an easily become inconsistent</w:t>
      </w:r>
      <w:r w:rsidRPr="00A452F2">
        <w:rPr>
          <w:lang w:val="en-GB"/>
        </w:rPr>
        <w:t xml:space="preserve"> among</w:t>
      </w:r>
      <w:r w:rsidR="00F2230D" w:rsidRPr="00A452F2">
        <w:rPr>
          <w:lang w:val="en-GB"/>
        </w:rPr>
        <w:t xml:space="preserve"> VMs</w:t>
      </w:r>
      <w:r w:rsidR="00317B58" w:rsidRPr="00A452F2">
        <w:rPr>
          <w:lang w:val="en-GB"/>
        </w:rPr>
        <w:t>, especially in an environment with multiple vCenter Servers.</w:t>
      </w:r>
      <w:r w:rsidR="00B5261E">
        <w:rPr>
          <w:lang w:val="en-GB"/>
        </w:rPr>
        <w:t xml:space="preserve"> The following shows an environment with far too many variations in shares.</w:t>
      </w:r>
    </w:p>
    <w:p w14:paraId="3B604CA6" w14:textId="4DBB3F43" w:rsidR="00B5261E" w:rsidRPr="00A452F2" w:rsidRDefault="00B5261E" w:rsidP="00B5261E">
      <w:pPr>
        <w:ind w:left="720"/>
        <w:rPr>
          <w:lang w:val="en-GB"/>
        </w:rPr>
      </w:pPr>
      <w:r>
        <w:rPr>
          <w:noProof/>
        </w:rPr>
        <w:drawing>
          <wp:inline distT="0" distB="0" distL="0" distR="0" wp14:anchorId="2376BA4B" wp14:editId="503A1865">
            <wp:extent cx="4114800" cy="1547080"/>
            <wp:effectExtent l="0" t="0" r="0" b="0"/>
            <wp:docPr id="606394384" name="Picture 606394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84"/>
                    <pic:cNvPicPr/>
                  </pic:nvPicPr>
                  <pic:blipFill>
                    <a:blip r:embed="rId1206" cstate="print">
                      <a:extLst>
                        <a:ext uri="{28A0092B-C50C-407E-A947-70E740481C1C}">
                          <a14:useLocalDpi xmlns:a14="http://schemas.microsoft.com/office/drawing/2010/main" val="0"/>
                        </a:ext>
                      </a:extLst>
                    </a:blip>
                    <a:stretch>
                      <a:fillRect/>
                    </a:stretch>
                  </pic:blipFill>
                  <pic:spPr>
                    <a:xfrm>
                      <a:off x="0" y="0"/>
                      <a:ext cx="4114800" cy="1547080"/>
                    </a:xfrm>
                    <a:prstGeom prst="rect">
                      <a:avLst/>
                    </a:prstGeom>
                  </pic:spPr>
                </pic:pic>
              </a:graphicData>
            </a:graphic>
          </wp:inline>
        </w:drawing>
      </w:r>
    </w:p>
    <w:p w14:paraId="6D6F5D4F" w14:textId="65D27A0B" w:rsidR="00317B58" w:rsidRPr="00A452F2" w:rsidRDefault="00317B58" w:rsidP="00BB4B86">
      <w:pPr>
        <w:pStyle w:val="ListParagraph"/>
        <w:numPr>
          <w:ilvl w:val="0"/>
          <w:numId w:val="6"/>
        </w:numPr>
        <w:rPr>
          <w:lang w:val="en-GB"/>
        </w:rPr>
      </w:pPr>
      <w:r w:rsidRPr="00A452F2">
        <w:rPr>
          <w:lang w:val="en-GB"/>
        </w:rPr>
        <w:t xml:space="preserve">Shares </w:t>
      </w:r>
      <w:r w:rsidR="00AF286C" w:rsidRPr="00A452F2">
        <w:rPr>
          <w:lang w:val="en-GB"/>
        </w:rPr>
        <w:t xml:space="preserve">should </w:t>
      </w:r>
      <w:r w:rsidRPr="00A452F2">
        <w:rPr>
          <w:lang w:val="en-GB"/>
        </w:rPr>
        <w:t xml:space="preserve">be mapped to a service level, to provide a larger proportion of shared resources to those VMs who pay more. This means that you should only have as many shares as your service levels. If your IaaS provides </w:t>
      </w:r>
      <w:r w:rsidR="00AF29E6" w:rsidRPr="00A452F2">
        <w:rPr>
          <w:lang w:val="en-GB"/>
        </w:rPr>
        <w:t>Gold</w:t>
      </w:r>
      <w:r w:rsidRPr="00A452F2">
        <w:rPr>
          <w:lang w:val="en-GB"/>
        </w:rPr>
        <w:t xml:space="preserve">, silver, and bronze, then you should have only three types of shares. </w:t>
      </w:r>
    </w:p>
    <w:p w14:paraId="645BA031" w14:textId="2707D6F0" w:rsidR="00317B58" w:rsidRPr="00A452F2" w:rsidRDefault="00B5261E" w:rsidP="00BB4B86">
      <w:pPr>
        <w:pStyle w:val="ListParagraph"/>
        <w:numPr>
          <w:ilvl w:val="0"/>
          <w:numId w:val="6"/>
        </w:numPr>
        <w:rPr>
          <w:lang w:val="en-GB"/>
        </w:rPr>
      </w:pPr>
      <w:r>
        <w:rPr>
          <w:lang w:val="en-GB"/>
        </w:rPr>
        <w:t>The v</w:t>
      </w:r>
      <w:r w:rsidR="00317B58" w:rsidRPr="00A452F2">
        <w:rPr>
          <w:lang w:val="en-GB"/>
        </w:rPr>
        <w:t>alue of share</w:t>
      </w:r>
      <w:r>
        <w:rPr>
          <w:lang w:val="en-GB"/>
        </w:rPr>
        <w:t xml:space="preserve"> </w:t>
      </w:r>
      <w:r w:rsidR="00317B58" w:rsidRPr="00A452F2">
        <w:rPr>
          <w:lang w:val="en-GB"/>
        </w:rPr>
        <w:t xml:space="preserve">is relative. If you move a VM from one cluster to another (be it in the same or different </w:t>
      </w:r>
      <w:r w:rsidR="00317B58" w:rsidRPr="00A452F2">
        <w:rPr>
          <w:rStyle w:val="ph"/>
          <w:lang w:val="en-GB"/>
        </w:rPr>
        <w:t>vCenter Server</w:t>
      </w:r>
      <w:r w:rsidR="00317B58" w:rsidRPr="00A452F2">
        <w:rPr>
          <w:lang w:val="en-GB"/>
        </w:rPr>
        <w:t xml:space="preserve">), you may have to adjust the shares. </w:t>
      </w:r>
    </w:p>
    <w:p w14:paraId="2A1D5623" w14:textId="4071C2A5" w:rsidR="00317B58" w:rsidRPr="00A452F2" w:rsidRDefault="00317B58" w:rsidP="00BB4B86">
      <w:pPr>
        <w:pStyle w:val="ListParagraph"/>
        <w:numPr>
          <w:ilvl w:val="0"/>
          <w:numId w:val="6"/>
        </w:numPr>
        <w:rPr>
          <w:lang w:val="en-GB"/>
        </w:rPr>
      </w:pPr>
      <w:r w:rsidRPr="00A452F2">
        <w:rPr>
          <w:lang w:val="en-GB"/>
        </w:rPr>
        <w:t>Reservation impacts your capacity. Memory reservation works differently from CPU reservation</w:t>
      </w:r>
      <w:r w:rsidR="006944A0" w:rsidRPr="00A452F2">
        <w:rPr>
          <w:lang w:val="en-GB"/>
        </w:rPr>
        <w:t>, it’s more permanent.</w:t>
      </w:r>
    </w:p>
    <w:p w14:paraId="6521344B" w14:textId="1D16940F" w:rsidR="00306655" w:rsidRDefault="00306655" w:rsidP="00F6120D">
      <w:pPr>
        <w:rPr>
          <w:lang w:val="en-GB"/>
        </w:rPr>
      </w:pPr>
      <w:r>
        <w:rPr>
          <w:noProof/>
        </w:rPr>
        <w:lastRenderedPageBreak/>
        <w:drawing>
          <wp:inline distT="0" distB="0" distL="0" distR="0" wp14:anchorId="063AD6B3" wp14:editId="5FC6C709">
            <wp:extent cx="6645910" cy="1257935"/>
            <wp:effectExtent l="0" t="0" r="2540" b="0"/>
            <wp:docPr id="606394382" name="Picture 60639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82"/>
                    <pic:cNvPicPr/>
                  </pic:nvPicPr>
                  <pic:blipFill>
                    <a:blip r:embed="rId1207">
                      <a:extLst>
                        <a:ext uri="{28A0092B-C50C-407E-A947-70E740481C1C}">
                          <a14:useLocalDpi xmlns:a14="http://schemas.microsoft.com/office/drawing/2010/main" val="0"/>
                        </a:ext>
                      </a:extLst>
                    </a:blip>
                    <a:stretch>
                      <a:fillRect/>
                    </a:stretch>
                  </pic:blipFill>
                  <pic:spPr>
                    <a:xfrm>
                      <a:off x="0" y="0"/>
                      <a:ext cx="6645910" cy="1257935"/>
                    </a:xfrm>
                    <a:prstGeom prst="rect">
                      <a:avLst/>
                    </a:prstGeom>
                  </pic:spPr>
                </pic:pic>
              </a:graphicData>
            </a:graphic>
          </wp:inline>
        </w:drawing>
      </w:r>
    </w:p>
    <w:p w14:paraId="231F376F" w14:textId="09643A67" w:rsidR="00110245" w:rsidRPr="00A452F2" w:rsidRDefault="00110245" w:rsidP="00F6120D">
      <w:pPr>
        <w:rPr>
          <w:lang w:val="en-GB"/>
        </w:rPr>
      </w:pPr>
      <w:r w:rsidRPr="00A452F2">
        <w:rPr>
          <w:lang w:val="en-GB"/>
        </w:rPr>
        <w:t>The second section covers VMware Tools</w:t>
      </w:r>
    </w:p>
    <w:p w14:paraId="680B5DB2" w14:textId="2B822ABF" w:rsidR="00110245" w:rsidRDefault="00110245" w:rsidP="009C08BF">
      <w:pPr>
        <w:pStyle w:val="Bullet"/>
        <w:rPr>
          <w:lang w:val="en-GB"/>
        </w:rPr>
      </w:pPr>
      <w:r w:rsidRPr="00A452F2">
        <w:rPr>
          <w:lang w:val="en-GB"/>
        </w:rPr>
        <w:t xml:space="preserve">Tools is a key component </w:t>
      </w:r>
      <w:r w:rsidR="004274F2" w:rsidRPr="00A452F2">
        <w:rPr>
          <w:lang w:val="en-GB"/>
        </w:rPr>
        <w:t>of</w:t>
      </w:r>
      <w:r w:rsidR="00A702A5" w:rsidRPr="00A452F2">
        <w:rPr>
          <w:lang w:val="en-GB"/>
        </w:rPr>
        <w:t xml:space="preserve"> any VM</w:t>
      </w:r>
      <w:r w:rsidR="00FE11B7" w:rsidRPr="00A452F2">
        <w:rPr>
          <w:lang w:val="en-GB"/>
        </w:rPr>
        <w:t>, and should be kept running and up to date.</w:t>
      </w:r>
    </w:p>
    <w:p w14:paraId="3BAEB6E1" w14:textId="1621DE92" w:rsidR="00306655" w:rsidRPr="00A452F2" w:rsidRDefault="00306655" w:rsidP="009C08BF">
      <w:pPr>
        <w:pStyle w:val="Bullet"/>
        <w:rPr>
          <w:lang w:val="en-GB"/>
        </w:rPr>
      </w:pPr>
      <w:r>
        <w:rPr>
          <w:lang w:val="en-GB"/>
        </w:rPr>
        <w:t>The distribution chart shows the various versions. You should keep them minimal</w:t>
      </w:r>
    </w:p>
    <w:p w14:paraId="1B069E07" w14:textId="14E8784A" w:rsidR="00FE11B7" w:rsidRPr="00A452F2" w:rsidRDefault="002F46F0" w:rsidP="00F6120D">
      <w:pPr>
        <w:rPr>
          <w:lang w:val="en-GB"/>
        </w:rPr>
      </w:pPr>
      <w:r w:rsidRPr="00A452F2">
        <w:rPr>
          <w:lang w:val="en-GB"/>
        </w:rPr>
        <w:t xml:space="preserve">The third section covers other </w:t>
      </w:r>
      <w:r w:rsidR="002F0360" w:rsidRPr="00A452F2">
        <w:rPr>
          <w:lang w:val="en-GB"/>
        </w:rPr>
        <w:t>VM key configuration</w:t>
      </w:r>
    </w:p>
    <w:p w14:paraId="1A871479" w14:textId="0EC5CB90" w:rsidR="00EB636C" w:rsidRDefault="00EB636C" w:rsidP="009C08BF">
      <w:pPr>
        <w:pStyle w:val="Bullet"/>
        <w:rPr>
          <w:lang w:val="en-GB"/>
        </w:rPr>
      </w:pPr>
      <w:r w:rsidRPr="00A452F2">
        <w:rPr>
          <w:lang w:val="en-GB"/>
        </w:rPr>
        <w:t xml:space="preserve">Keep the configuration consistent by minimizing variants. This helps to reduce complexity. </w:t>
      </w:r>
    </w:p>
    <w:p w14:paraId="551F03B7" w14:textId="0EB30A34" w:rsidR="00B5261E" w:rsidRDefault="00B5261E" w:rsidP="009C08BF">
      <w:pPr>
        <w:pStyle w:val="Bullet"/>
        <w:rPr>
          <w:lang w:val="en-GB"/>
        </w:rPr>
      </w:pPr>
      <w:r>
        <w:rPr>
          <w:lang w:val="en-GB"/>
        </w:rPr>
        <w:t xml:space="preserve">Pay attention to VMs with many virtual disks or many virtual network cards. </w:t>
      </w:r>
    </w:p>
    <w:p w14:paraId="207F2687" w14:textId="6A4C8223" w:rsidR="00B5261E" w:rsidRPr="00A452F2" w:rsidRDefault="00B5261E" w:rsidP="00B5261E">
      <w:pPr>
        <w:ind w:left="720"/>
        <w:rPr>
          <w:lang w:val="en-GB"/>
        </w:rPr>
      </w:pPr>
      <w:r>
        <w:rPr>
          <w:noProof/>
        </w:rPr>
        <w:drawing>
          <wp:inline distT="0" distB="0" distL="0" distR="0" wp14:anchorId="142979AB" wp14:editId="67CE9722">
            <wp:extent cx="6188193" cy="1483487"/>
            <wp:effectExtent l="0" t="0" r="3175" b="2540"/>
            <wp:docPr id="606394385" name="Picture 606394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85"/>
                    <pic:cNvPicPr/>
                  </pic:nvPicPr>
                  <pic:blipFill>
                    <a:blip r:embed="rId1208" cstate="print">
                      <a:extLst>
                        <a:ext uri="{28A0092B-C50C-407E-A947-70E740481C1C}">
                          <a14:useLocalDpi xmlns:a14="http://schemas.microsoft.com/office/drawing/2010/main" val="0"/>
                        </a:ext>
                      </a:extLst>
                    </a:blip>
                    <a:stretch>
                      <a:fillRect/>
                    </a:stretch>
                  </pic:blipFill>
                  <pic:spPr>
                    <a:xfrm>
                      <a:off x="0" y="0"/>
                      <a:ext cx="6188193" cy="1483487"/>
                    </a:xfrm>
                    <a:prstGeom prst="rect">
                      <a:avLst/>
                    </a:prstGeom>
                  </pic:spPr>
                </pic:pic>
              </a:graphicData>
            </a:graphic>
          </wp:inline>
        </w:drawing>
      </w:r>
    </w:p>
    <w:p w14:paraId="2A2753FB" w14:textId="58658A74" w:rsidR="00B5261E" w:rsidRDefault="00B5261E" w:rsidP="00BB4B86">
      <w:pPr>
        <w:pStyle w:val="ListParagraph"/>
        <w:numPr>
          <w:ilvl w:val="0"/>
          <w:numId w:val="6"/>
        </w:numPr>
        <w:rPr>
          <w:lang w:val="en-GB"/>
        </w:rPr>
      </w:pPr>
      <w:r>
        <w:rPr>
          <w:lang w:val="en-GB"/>
        </w:rPr>
        <w:t xml:space="preserve">Keep the number of VM hardware versions minimal, and keep them current. </w:t>
      </w:r>
    </w:p>
    <w:p w14:paraId="4A7D7176" w14:textId="12A4F801" w:rsidR="00B5261E" w:rsidRDefault="00B5261E" w:rsidP="00B5261E">
      <w:pPr>
        <w:ind w:left="720"/>
        <w:rPr>
          <w:lang w:val="en-GB"/>
        </w:rPr>
      </w:pPr>
      <w:r>
        <w:rPr>
          <w:noProof/>
        </w:rPr>
        <w:drawing>
          <wp:inline distT="0" distB="0" distL="0" distR="0" wp14:anchorId="5DCB0AB7" wp14:editId="53BC0C82">
            <wp:extent cx="3873600" cy="1886400"/>
            <wp:effectExtent l="0" t="0" r="0" b="0"/>
            <wp:docPr id="606394386" name="Picture 60639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86"/>
                    <pic:cNvPicPr/>
                  </pic:nvPicPr>
                  <pic:blipFill>
                    <a:blip r:embed="rId1209" cstate="print">
                      <a:extLst>
                        <a:ext uri="{28A0092B-C50C-407E-A947-70E740481C1C}">
                          <a14:useLocalDpi xmlns:a14="http://schemas.microsoft.com/office/drawing/2010/main" val="0"/>
                        </a:ext>
                      </a:extLst>
                    </a:blip>
                    <a:stretch>
                      <a:fillRect/>
                    </a:stretch>
                  </pic:blipFill>
                  <pic:spPr>
                    <a:xfrm>
                      <a:off x="0" y="0"/>
                      <a:ext cx="3873600" cy="1886400"/>
                    </a:xfrm>
                    <a:prstGeom prst="rect">
                      <a:avLst/>
                    </a:prstGeom>
                  </pic:spPr>
                </pic:pic>
              </a:graphicData>
            </a:graphic>
          </wp:inline>
        </w:drawing>
      </w:r>
    </w:p>
    <w:p w14:paraId="31749BAB" w14:textId="059B1954" w:rsidR="00EB636C" w:rsidRPr="00A452F2" w:rsidRDefault="00EB636C" w:rsidP="00BB4B86">
      <w:pPr>
        <w:pStyle w:val="ListParagraph"/>
        <w:numPr>
          <w:ilvl w:val="0"/>
          <w:numId w:val="6"/>
        </w:numPr>
        <w:rPr>
          <w:lang w:val="en-GB"/>
        </w:rPr>
      </w:pPr>
      <w:r w:rsidRPr="00A452F2">
        <w:rPr>
          <w:lang w:val="en-GB"/>
        </w:rPr>
        <w:t xml:space="preserve">VM Network Card widget. It you suspect your environment may have VM with no NIC card, consider adding it as dedicated bucket. </w:t>
      </w:r>
    </w:p>
    <w:p w14:paraId="23857807" w14:textId="747CCBC3" w:rsidR="00CB2C96" w:rsidRPr="00A452F2" w:rsidRDefault="00CB2C96" w:rsidP="00F6120D">
      <w:pPr>
        <w:rPr>
          <w:lang w:val="en-GB"/>
        </w:rPr>
      </w:pPr>
      <w:r w:rsidRPr="00A452F2">
        <w:rPr>
          <w:lang w:val="en-GB"/>
        </w:rPr>
        <w:t xml:space="preserve">The last part of the dashboard is </w:t>
      </w:r>
      <w:r w:rsidR="00BE00ED" w:rsidRPr="00A452F2">
        <w:rPr>
          <w:lang w:val="en-GB"/>
        </w:rPr>
        <w:t>collapsed by default.</w:t>
      </w:r>
    </w:p>
    <w:p w14:paraId="1C6B532E" w14:textId="2557CA62" w:rsidR="00BE00ED" w:rsidRPr="00A452F2" w:rsidRDefault="00BE00ED" w:rsidP="009C08BF">
      <w:pPr>
        <w:pStyle w:val="Bullet"/>
        <w:rPr>
          <w:lang w:val="en-GB" w:eastAsia="en-SG"/>
        </w:rPr>
      </w:pPr>
      <w:r w:rsidRPr="00A452F2">
        <w:rPr>
          <w:lang w:val="en-GB" w:eastAsia="en-SG"/>
        </w:rPr>
        <w:t>It shows all the VMs with their key configuration</w:t>
      </w:r>
      <w:r w:rsidR="0005502E" w:rsidRPr="00A452F2">
        <w:rPr>
          <w:lang w:val="en-GB" w:eastAsia="en-SG"/>
        </w:rPr>
        <w:t xml:space="preserve">. </w:t>
      </w:r>
    </w:p>
    <w:p w14:paraId="5D9B14DA" w14:textId="217BCC42" w:rsidR="00375BFD" w:rsidRPr="00A452F2" w:rsidRDefault="00375BFD" w:rsidP="009C08BF">
      <w:pPr>
        <w:pStyle w:val="Bullet"/>
        <w:rPr>
          <w:lang w:val="en-GB" w:eastAsia="en-SG"/>
        </w:rPr>
      </w:pPr>
      <w:r w:rsidRPr="00A452F2">
        <w:rPr>
          <w:lang w:val="en-GB" w:eastAsia="en-SG"/>
        </w:rPr>
        <w:t>You can sort the columns and export the result into spreadsheet for further analysis.</w:t>
      </w:r>
    </w:p>
    <w:p w14:paraId="466EC0BD" w14:textId="1DD8B218" w:rsidR="003B2CE5" w:rsidRPr="00A452F2" w:rsidRDefault="003B2CE5" w:rsidP="00540F68">
      <w:pPr>
        <w:pStyle w:val="Heading3"/>
      </w:pPr>
      <w:r w:rsidRPr="00A452F2">
        <w:lastRenderedPageBreak/>
        <w:t xml:space="preserve">Cluster Configuration </w:t>
      </w:r>
    </w:p>
    <w:p w14:paraId="426C9AB6" w14:textId="7FD25E6F" w:rsidR="00D65000" w:rsidRDefault="00D65000" w:rsidP="00F6120D">
      <w:pPr>
        <w:rPr>
          <w:lang w:val="en-GB"/>
        </w:rPr>
      </w:pPr>
      <w:r w:rsidRPr="00A452F2">
        <w:rPr>
          <w:lang w:val="en-GB"/>
        </w:rPr>
        <w:t xml:space="preserve">The dashboard is organized into sections for ease of use. </w:t>
      </w:r>
    </w:p>
    <w:p w14:paraId="447DD7D0" w14:textId="55A6DEC4" w:rsidR="00016CF3" w:rsidRPr="00A452F2" w:rsidRDefault="00016CF3" w:rsidP="00F6120D">
      <w:pPr>
        <w:rPr>
          <w:lang w:val="en-GB"/>
        </w:rPr>
      </w:pPr>
      <w:r>
        <w:rPr>
          <w:noProof/>
        </w:rPr>
        <w:drawing>
          <wp:inline distT="0" distB="0" distL="0" distR="0" wp14:anchorId="7DBCF79D" wp14:editId="4CD26457">
            <wp:extent cx="6645910" cy="1048385"/>
            <wp:effectExtent l="0" t="0" r="2540" b="0"/>
            <wp:docPr id="606394374" name="Picture 606394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74"/>
                    <pic:cNvPicPr/>
                  </pic:nvPicPr>
                  <pic:blipFill>
                    <a:blip r:embed="rId1210">
                      <a:extLst>
                        <a:ext uri="{28A0092B-C50C-407E-A947-70E740481C1C}">
                          <a14:useLocalDpi xmlns:a14="http://schemas.microsoft.com/office/drawing/2010/main" val="0"/>
                        </a:ext>
                      </a:extLst>
                    </a:blip>
                    <a:stretch>
                      <a:fillRect/>
                    </a:stretch>
                  </pic:blipFill>
                  <pic:spPr>
                    <a:xfrm>
                      <a:off x="0" y="0"/>
                      <a:ext cx="6645910" cy="1048385"/>
                    </a:xfrm>
                    <a:prstGeom prst="rect">
                      <a:avLst/>
                    </a:prstGeom>
                  </pic:spPr>
                </pic:pic>
              </a:graphicData>
            </a:graphic>
          </wp:inline>
        </w:drawing>
      </w:r>
    </w:p>
    <w:p w14:paraId="47942CBA" w14:textId="20266F5B" w:rsidR="003B2CE5" w:rsidRPr="00A452F2" w:rsidRDefault="003B2CE5" w:rsidP="00F6120D">
      <w:pPr>
        <w:rPr>
          <w:lang w:val="en-GB"/>
        </w:rPr>
      </w:pPr>
      <w:r w:rsidRPr="00A452F2">
        <w:rPr>
          <w:lang w:val="en-GB"/>
        </w:rPr>
        <w:t xml:space="preserve">The first section shows 3 bar charts. They correspond to the 3 main features of vSphere clusters, namely High Availability HA, </w:t>
      </w:r>
      <w:r w:rsidRPr="00A452F2">
        <w:rPr>
          <w:rFonts w:cstheme="minorHAnsi"/>
          <w:color w:val="000000" w:themeColor="text1"/>
          <w:lang w:val="en-GB"/>
        </w:rPr>
        <w:t xml:space="preserve">Dynamic Resource Scheduler </w:t>
      </w:r>
      <w:r w:rsidRPr="00A452F2">
        <w:rPr>
          <w:lang w:val="en-GB"/>
        </w:rPr>
        <w:t xml:space="preserve">DRS and Distributed Power Management DPM. </w:t>
      </w:r>
    </w:p>
    <w:p w14:paraId="1A84C73F" w14:textId="38C28B56" w:rsidR="003B2CE5" w:rsidRPr="00A452F2" w:rsidRDefault="003B2CE5" w:rsidP="009C08BF">
      <w:pPr>
        <w:pStyle w:val="Bullet"/>
        <w:rPr>
          <w:lang w:val="en-GB"/>
        </w:rPr>
      </w:pPr>
      <w:r w:rsidRPr="009C08BF">
        <w:rPr>
          <w:b/>
          <w:bCs/>
          <w:lang w:val="en-GB"/>
        </w:rPr>
        <w:t>HA</w:t>
      </w:r>
      <w:r w:rsidRPr="00A452F2">
        <w:rPr>
          <w:lang w:val="en-GB"/>
        </w:rPr>
        <w:t>: The best practice is to enable HA admission control. You can specify the Admission control Policy in vCenter and the threshold for failover shares.</w:t>
      </w:r>
    </w:p>
    <w:p w14:paraId="72DC7009" w14:textId="77777777" w:rsidR="003B2CE5" w:rsidRPr="00A452F2" w:rsidRDefault="003B2CE5" w:rsidP="009C08BF">
      <w:pPr>
        <w:pStyle w:val="Bullet"/>
        <w:rPr>
          <w:lang w:val="en-GB"/>
        </w:rPr>
      </w:pPr>
      <w:r w:rsidRPr="009C08BF">
        <w:rPr>
          <w:b/>
          <w:bCs/>
          <w:lang w:val="en-GB"/>
        </w:rPr>
        <w:t>DRS</w:t>
      </w:r>
      <w:r w:rsidRPr="00A452F2">
        <w:rPr>
          <w:lang w:val="en-GB"/>
        </w:rPr>
        <w:t xml:space="preserve">: The best practice is to have DRS enabled. Think of a vSphere cluster as a single logical computer that balance within itself. </w:t>
      </w:r>
    </w:p>
    <w:p w14:paraId="0DC2F34C" w14:textId="0708C68D" w:rsidR="003B2CE5" w:rsidRPr="00A452F2" w:rsidRDefault="003B2CE5" w:rsidP="009C08BF">
      <w:pPr>
        <w:pStyle w:val="Bullet"/>
        <w:rPr>
          <w:lang w:val="en-GB"/>
        </w:rPr>
      </w:pPr>
      <w:r w:rsidRPr="009C08BF">
        <w:rPr>
          <w:b/>
          <w:bCs/>
          <w:lang w:val="en-GB"/>
        </w:rPr>
        <w:t>DPM</w:t>
      </w:r>
      <w:r w:rsidRPr="00A452F2">
        <w:rPr>
          <w:lang w:val="en-GB"/>
        </w:rPr>
        <w:t xml:space="preserve">: The best practice is to enable DPM in an environment where environmental concern is the top priority or the high peak rarely occurs (most of the time </w:t>
      </w:r>
      <w:r w:rsidR="006744C1">
        <w:rPr>
          <w:lang w:val="en-GB"/>
        </w:rPr>
        <w:t>You are</w:t>
      </w:r>
      <w:r w:rsidRPr="00A452F2">
        <w:rPr>
          <w:lang w:val="en-GB"/>
        </w:rPr>
        <w:t xml:space="preserve"> running very low utilization).</w:t>
      </w:r>
    </w:p>
    <w:p w14:paraId="0AFC5EFD" w14:textId="77777777" w:rsidR="003B2CE5" w:rsidRPr="00A452F2" w:rsidRDefault="003B2CE5" w:rsidP="00F6120D">
      <w:pPr>
        <w:rPr>
          <w:lang w:val="en-GB"/>
        </w:rPr>
      </w:pPr>
      <w:r w:rsidRPr="00A452F2">
        <w:rPr>
          <w:lang w:val="en-GB"/>
        </w:rPr>
        <w:t xml:space="preserve">The second section of the dashboard shows 8 pie charts. They show the relative distribution of key configurations. </w:t>
      </w:r>
    </w:p>
    <w:p w14:paraId="4BD65A53" w14:textId="43AFD45C" w:rsidR="003B2CE5" w:rsidRPr="00A452F2" w:rsidRDefault="003B2CE5" w:rsidP="00CC64D7">
      <w:pPr>
        <w:pStyle w:val="Bullet"/>
      </w:pPr>
      <w:r w:rsidRPr="00A452F2">
        <w:rPr>
          <w:lang w:val="en-GB"/>
        </w:rPr>
        <w:t xml:space="preserve">2 bar charts cover Admission Control. You should enable admission control. The pie chart displays the policy code instead of the policy name, as it is based on the property </w:t>
      </w:r>
      <w:r w:rsidRPr="00A452F2">
        <w:rPr>
          <w:rFonts w:ascii="Calibri" w:hAnsi="Calibri" w:cs="Calibri"/>
          <w:lang w:val="en-GB"/>
        </w:rPr>
        <w:t xml:space="preserve">Cluster </w:t>
      </w:r>
      <w:r w:rsidRPr="00A452F2">
        <w:rPr>
          <w:rFonts w:ascii="Lucida Console" w:hAnsi="Lucida Console" w:cs="Calibri"/>
          <w:sz w:val="16"/>
          <w:szCs w:val="16"/>
          <w:lang w:val="en-GB"/>
        </w:rPr>
        <w:t>Configuration</w:t>
      </w:r>
      <w:r w:rsidR="00372FAA" w:rsidRPr="00A452F2">
        <w:rPr>
          <w:rFonts w:ascii="Lucida Console" w:hAnsi="Lucida Console" w:cs="Calibri"/>
          <w:sz w:val="16"/>
          <w:szCs w:val="16"/>
          <w:lang w:val="en-GB"/>
        </w:rPr>
        <w:t xml:space="preserve"> </w:t>
      </w:r>
      <w:r w:rsidRPr="00A452F2">
        <w:rPr>
          <w:rFonts w:ascii="Lucida Console" w:hAnsi="Lucida Console" w:cs="Calibri"/>
          <w:sz w:val="16"/>
          <w:szCs w:val="16"/>
          <w:lang w:val="en-GB"/>
        </w:rPr>
        <w:t>|</w:t>
      </w:r>
      <w:r w:rsidR="00372FAA" w:rsidRPr="00A452F2">
        <w:rPr>
          <w:rFonts w:ascii="Lucida Console" w:hAnsi="Lucida Console" w:cs="Calibri"/>
          <w:sz w:val="16"/>
          <w:szCs w:val="16"/>
          <w:lang w:val="en-GB"/>
        </w:rPr>
        <w:t xml:space="preserve"> </w:t>
      </w:r>
      <w:r w:rsidRPr="00A452F2">
        <w:rPr>
          <w:rFonts w:ascii="Lucida Console" w:hAnsi="Lucida Console" w:cs="Calibri"/>
          <w:sz w:val="16"/>
          <w:szCs w:val="16"/>
          <w:lang w:val="en-GB"/>
        </w:rPr>
        <w:t>Das Configuration</w:t>
      </w:r>
      <w:r w:rsidR="00372FAA" w:rsidRPr="00A452F2">
        <w:rPr>
          <w:rFonts w:ascii="Lucida Console" w:hAnsi="Lucida Console" w:cs="Calibri"/>
          <w:sz w:val="16"/>
          <w:szCs w:val="16"/>
          <w:lang w:val="en-GB"/>
        </w:rPr>
        <w:t xml:space="preserve"> </w:t>
      </w:r>
      <w:r w:rsidRPr="00A452F2">
        <w:rPr>
          <w:rFonts w:ascii="Lucida Console" w:hAnsi="Lucida Console" w:cs="Calibri"/>
          <w:sz w:val="16"/>
          <w:szCs w:val="16"/>
          <w:lang w:val="en-GB"/>
        </w:rPr>
        <w:t>|</w:t>
      </w:r>
      <w:r w:rsidR="00372FAA" w:rsidRPr="00A452F2">
        <w:rPr>
          <w:rFonts w:ascii="Lucida Console" w:hAnsi="Lucida Console" w:cs="Calibri"/>
          <w:sz w:val="16"/>
          <w:szCs w:val="16"/>
          <w:lang w:val="en-GB"/>
        </w:rPr>
        <w:t xml:space="preserve"> </w:t>
      </w:r>
      <w:r w:rsidRPr="00A452F2">
        <w:rPr>
          <w:rFonts w:ascii="Lucida Console" w:hAnsi="Lucida Console" w:cs="Calibri"/>
          <w:sz w:val="16"/>
          <w:szCs w:val="16"/>
          <w:lang w:val="en-GB"/>
        </w:rPr>
        <w:t xml:space="preserve">Active </w:t>
      </w:r>
      <w:r w:rsidRPr="00A452F2">
        <w:rPr>
          <w:rStyle w:val="marknbnsg4t7u"/>
          <w:rFonts w:ascii="Lucida Console" w:hAnsi="Lucida Console" w:cs="Calibri"/>
          <w:sz w:val="16"/>
          <w:szCs w:val="16"/>
          <w:lang w:val="en-GB"/>
        </w:rPr>
        <w:t>Admission</w:t>
      </w:r>
      <w:r w:rsidRPr="00A452F2">
        <w:rPr>
          <w:rFonts w:ascii="Lucida Console" w:hAnsi="Lucida Console" w:cs="Calibri"/>
          <w:sz w:val="16"/>
          <w:szCs w:val="16"/>
          <w:lang w:val="en-GB"/>
        </w:rPr>
        <w:t xml:space="preserve"> Control Policy</w:t>
      </w:r>
      <w:r w:rsidRPr="00A452F2">
        <w:rPr>
          <w:rFonts w:ascii="Calibri" w:hAnsi="Calibri" w:cs="Calibri"/>
          <w:lang w:val="en-GB"/>
        </w:rPr>
        <w:t xml:space="preserve">. </w:t>
      </w:r>
    </w:p>
    <w:p w14:paraId="7953FA1D" w14:textId="1A6836B0" w:rsidR="003B2CE5" w:rsidRPr="00A452F2" w:rsidRDefault="003B2CE5" w:rsidP="003A093A">
      <w:pPr>
        <w:pStyle w:val="Bullet"/>
        <w:rPr>
          <w:lang w:val="en-GB"/>
        </w:rPr>
      </w:pPr>
      <w:r w:rsidRPr="00A452F2">
        <w:rPr>
          <w:lang w:val="en-GB"/>
        </w:rPr>
        <w:t xml:space="preserve">2 bar charts cover the HA Failover Share, one for CPU and one for memory. </w:t>
      </w:r>
    </w:p>
    <w:p w14:paraId="25AF342E" w14:textId="77777777" w:rsidR="003B2CE5" w:rsidRPr="00A452F2" w:rsidRDefault="003B2CE5" w:rsidP="003A093A">
      <w:pPr>
        <w:pStyle w:val="Bullet"/>
        <w:rPr>
          <w:lang w:val="en-GB"/>
        </w:rPr>
      </w:pPr>
      <w:r w:rsidRPr="00A452F2">
        <w:rPr>
          <w:lang w:val="en-GB"/>
        </w:rPr>
        <w:t>2 bar charts cover DRS setting. Generally speaking, you want to have DRS fully automated, meaning no operator intervention is required for both initial VM placement and subsequent load balancing, but with a moderate migration threshold (value = 3.0). The value range from 1.0 to 5.0.</w:t>
      </w:r>
    </w:p>
    <w:p w14:paraId="4D71961D" w14:textId="77777777" w:rsidR="003B2CE5" w:rsidRPr="00A452F2" w:rsidRDefault="003B2CE5" w:rsidP="003A093A">
      <w:pPr>
        <w:pStyle w:val="Bullet"/>
        <w:rPr>
          <w:lang w:val="en-GB"/>
        </w:rPr>
      </w:pPr>
      <w:r w:rsidRPr="00A452F2">
        <w:rPr>
          <w:lang w:val="en-GB"/>
        </w:rPr>
        <w:t xml:space="preserve">There are 2 pie charts showing reservation, one for CPU and one for memory. Minimize the total reservation value as it prevents overcommit of resources and hence results in a less optimal utilization. Memory reservation can remain and occupy the memory space of the ESXi host even though the VM does not use the memory anymore. Consider the analogy of unused files that you have not opened for months in your laptop </w:t>
      </w:r>
      <w:r w:rsidRPr="00A452F2">
        <w:rPr>
          <w:rStyle w:val="ph"/>
          <w:lang w:val="en-GB"/>
        </w:rPr>
        <w:t>c:\ drive</w:t>
      </w:r>
      <w:r w:rsidRPr="00A452F2">
        <w:rPr>
          <w:lang w:val="en-GB"/>
        </w:rPr>
        <w:t xml:space="preserve">. They still take up space of the hard disk. Keep the number of distinct shares below three (or at a minimum), matching the distinct classes of service. </w:t>
      </w:r>
    </w:p>
    <w:p w14:paraId="35444FF1" w14:textId="65ED3D67" w:rsidR="00016CF3" w:rsidRDefault="00016CF3" w:rsidP="00F6120D">
      <w:pPr>
        <w:rPr>
          <w:lang w:val="en-GB"/>
        </w:rPr>
      </w:pPr>
      <w:r>
        <w:rPr>
          <w:noProof/>
        </w:rPr>
        <w:drawing>
          <wp:inline distT="0" distB="0" distL="0" distR="0" wp14:anchorId="595992B3" wp14:editId="3E6035F2">
            <wp:extent cx="6645910" cy="845820"/>
            <wp:effectExtent l="0" t="0" r="2540" b="0"/>
            <wp:docPr id="606394375" name="Picture 606394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75"/>
                    <pic:cNvPicPr/>
                  </pic:nvPicPr>
                  <pic:blipFill>
                    <a:blip r:embed="rId1211" cstate="print">
                      <a:extLst>
                        <a:ext uri="{28A0092B-C50C-407E-A947-70E740481C1C}">
                          <a14:useLocalDpi xmlns:a14="http://schemas.microsoft.com/office/drawing/2010/main" val="0"/>
                        </a:ext>
                      </a:extLst>
                    </a:blip>
                    <a:stretch>
                      <a:fillRect/>
                    </a:stretch>
                  </pic:blipFill>
                  <pic:spPr>
                    <a:xfrm>
                      <a:off x="0" y="0"/>
                      <a:ext cx="6645910" cy="845820"/>
                    </a:xfrm>
                    <a:prstGeom prst="rect">
                      <a:avLst/>
                    </a:prstGeom>
                  </pic:spPr>
                </pic:pic>
              </a:graphicData>
            </a:graphic>
          </wp:inline>
        </w:drawing>
      </w:r>
    </w:p>
    <w:p w14:paraId="1998A25E" w14:textId="16DCF233" w:rsidR="003B2CE5" w:rsidRPr="00A452F2" w:rsidRDefault="003B2CE5" w:rsidP="00F6120D">
      <w:pPr>
        <w:rPr>
          <w:lang w:val="en-GB"/>
        </w:rPr>
      </w:pPr>
      <w:r w:rsidRPr="00A452F2">
        <w:rPr>
          <w:lang w:val="en-GB"/>
        </w:rPr>
        <w:t xml:space="preserve">The third section of the dashboard shows 2 bar charts. They show the absolute distribution of cluster. </w:t>
      </w:r>
    </w:p>
    <w:p w14:paraId="15521A45" w14:textId="0A86F554" w:rsidR="00B536AC" w:rsidRPr="00A452F2" w:rsidRDefault="003B2CE5" w:rsidP="003A093A">
      <w:pPr>
        <w:pStyle w:val="Bullet"/>
        <w:rPr>
          <w:lang w:val="en-GB"/>
        </w:rPr>
      </w:pPr>
      <w:r w:rsidRPr="00A452F2">
        <w:rPr>
          <w:lang w:val="en-GB"/>
        </w:rPr>
        <w:t xml:space="preserve">The first shows the cluster grouped by the number of ESXi Hosts. </w:t>
      </w:r>
      <w:r w:rsidR="0011089B" w:rsidRPr="00A452F2">
        <w:rPr>
          <w:lang w:val="en-GB"/>
        </w:rPr>
        <w:t xml:space="preserve">Ensure this matches your </w:t>
      </w:r>
      <w:r w:rsidR="003B1F94" w:rsidRPr="00A452F2">
        <w:rPr>
          <w:lang w:val="en-GB"/>
        </w:rPr>
        <w:t>plan and cluster sizi</w:t>
      </w:r>
      <w:r w:rsidR="00452836" w:rsidRPr="00A452F2">
        <w:rPr>
          <w:lang w:val="en-GB"/>
        </w:rPr>
        <w:t xml:space="preserve">ng </w:t>
      </w:r>
      <w:r w:rsidR="003B1F94" w:rsidRPr="00A452F2">
        <w:rPr>
          <w:lang w:val="en-GB"/>
        </w:rPr>
        <w:t>standards</w:t>
      </w:r>
      <w:r w:rsidR="00452836" w:rsidRPr="00A452F2">
        <w:rPr>
          <w:lang w:val="en-GB"/>
        </w:rPr>
        <w:t>.</w:t>
      </w:r>
    </w:p>
    <w:p w14:paraId="1696CCBC" w14:textId="0759A00A" w:rsidR="0083704F" w:rsidRPr="00A452F2" w:rsidRDefault="003B2CE5" w:rsidP="003A093A">
      <w:pPr>
        <w:pStyle w:val="Bullet"/>
        <w:rPr>
          <w:lang w:val="en-GB"/>
        </w:rPr>
      </w:pPr>
      <w:r w:rsidRPr="00A452F2">
        <w:rPr>
          <w:lang w:val="en-GB"/>
        </w:rPr>
        <w:t xml:space="preserve">Small clusters (defined as having less ESXi hosts) have higher overhead while </w:t>
      </w:r>
      <w:r w:rsidR="009F3D15" w:rsidRPr="00A452F2">
        <w:rPr>
          <w:lang w:val="en-GB"/>
        </w:rPr>
        <w:t xml:space="preserve">large clusters have </w:t>
      </w:r>
      <w:r w:rsidR="7078714F" w:rsidRPr="00A452F2">
        <w:rPr>
          <w:lang w:val="en-GB"/>
        </w:rPr>
        <w:t xml:space="preserve">a </w:t>
      </w:r>
      <w:r w:rsidR="009F3D15" w:rsidRPr="00A452F2">
        <w:rPr>
          <w:lang w:val="en-GB"/>
        </w:rPr>
        <w:t>higher risk in case of cluster-wide outages</w:t>
      </w:r>
      <w:r w:rsidRPr="00A452F2">
        <w:rPr>
          <w:lang w:val="en-GB"/>
        </w:rPr>
        <w:t xml:space="preserve">. </w:t>
      </w:r>
      <w:r w:rsidR="0083704F" w:rsidRPr="00A452F2">
        <w:rPr>
          <w:lang w:val="en-GB"/>
        </w:rPr>
        <w:t>For large cluster, have a disaster recovery plan an unexpected cluster-wide outage can impact many VMs.</w:t>
      </w:r>
    </w:p>
    <w:p w14:paraId="0F999CBC" w14:textId="5046D747" w:rsidR="003B2CE5" w:rsidRPr="00A452F2" w:rsidRDefault="003B2CE5" w:rsidP="003A093A">
      <w:pPr>
        <w:pStyle w:val="Bullet"/>
        <w:rPr>
          <w:lang w:val="en-GB"/>
        </w:rPr>
      </w:pPr>
      <w:r w:rsidRPr="4CAB3972">
        <w:rPr>
          <w:lang w:val="en-GB"/>
        </w:rPr>
        <w:lastRenderedPageBreak/>
        <w:t xml:space="preserve">Performance risk is lower </w:t>
      </w:r>
      <w:r w:rsidR="006C1E0E" w:rsidRPr="4CAB3972">
        <w:rPr>
          <w:lang w:val="en-GB"/>
        </w:rPr>
        <w:t xml:space="preserve">in large clusters partly </w:t>
      </w:r>
      <w:r w:rsidRPr="4CAB3972">
        <w:rPr>
          <w:lang w:val="en-GB"/>
        </w:rPr>
        <w:t>because there are more nodes that DRS can tap on</w:t>
      </w:r>
      <w:r w:rsidR="006C1E0E" w:rsidRPr="4CAB3972">
        <w:rPr>
          <w:lang w:val="en-GB"/>
        </w:rPr>
        <w:t>,</w:t>
      </w:r>
      <w:r w:rsidRPr="4CAB3972">
        <w:rPr>
          <w:lang w:val="en-GB"/>
        </w:rPr>
        <w:t xml:space="preserve"> but if there is an actual problem troubleshooting can be harder (because there are more nodes to </w:t>
      </w:r>
      <w:r w:rsidR="004C3B02">
        <w:rPr>
          <w:lang w:val="en-GB"/>
        </w:rPr>
        <w:t>analyze</w:t>
      </w:r>
      <w:r w:rsidRPr="4CAB3972">
        <w:rPr>
          <w:lang w:val="en-GB"/>
        </w:rPr>
        <w:t xml:space="preserve">). </w:t>
      </w:r>
    </w:p>
    <w:p w14:paraId="45CA7667" w14:textId="1F0BB0D5" w:rsidR="00AD6270" w:rsidRPr="00A452F2" w:rsidRDefault="00AD6270" w:rsidP="003A093A">
      <w:pPr>
        <w:pStyle w:val="Bullet"/>
        <w:rPr>
          <w:lang w:val="en-GB"/>
        </w:rPr>
      </w:pPr>
      <w:r w:rsidRPr="00A452F2">
        <w:rPr>
          <w:lang w:val="en-GB"/>
        </w:rPr>
        <w:t>In large environment, small clusters can result in cluster sprawl.</w:t>
      </w:r>
    </w:p>
    <w:p w14:paraId="2FFA748A" w14:textId="375180B0" w:rsidR="00016CF3" w:rsidRDefault="00016CF3" w:rsidP="00F6120D">
      <w:pPr>
        <w:rPr>
          <w:lang w:val="en-GB"/>
        </w:rPr>
      </w:pPr>
      <w:r>
        <w:rPr>
          <w:noProof/>
        </w:rPr>
        <w:drawing>
          <wp:inline distT="0" distB="0" distL="0" distR="0" wp14:anchorId="4CC2B342" wp14:editId="0C0264AD">
            <wp:extent cx="6645910" cy="2065655"/>
            <wp:effectExtent l="0" t="0" r="2540" b="0"/>
            <wp:docPr id="606394377" name="Picture 606394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77"/>
                    <pic:cNvPicPr/>
                  </pic:nvPicPr>
                  <pic:blipFill>
                    <a:blip r:embed="rId1212" cstate="print">
                      <a:extLst>
                        <a:ext uri="{28A0092B-C50C-407E-A947-70E740481C1C}">
                          <a14:useLocalDpi xmlns:a14="http://schemas.microsoft.com/office/drawing/2010/main" val="0"/>
                        </a:ext>
                      </a:extLst>
                    </a:blip>
                    <a:stretch>
                      <a:fillRect/>
                    </a:stretch>
                  </pic:blipFill>
                  <pic:spPr>
                    <a:xfrm>
                      <a:off x="0" y="0"/>
                      <a:ext cx="6645910" cy="2065655"/>
                    </a:xfrm>
                    <a:prstGeom prst="rect">
                      <a:avLst/>
                    </a:prstGeom>
                  </pic:spPr>
                </pic:pic>
              </a:graphicData>
            </a:graphic>
          </wp:inline>
        </w:drawing>
      </w:r>
    </w:p>
    <w:p w14:paraId="131E8EB3" w14:textId="5D23582C" w:rsidR="003B2CE5" w:rsidRPr="00A452F2" w:rsidRDefault="003B2CE5" w:rsidP="00F6120D">
      <w:pPr>
        <w:rPr>
          <w:lang w:val="en-GB"/>
        </w:rPr>
      </w:pPr>
      <w:r w:rsidRPr="00A452F2">
        <w:rPr>
          <w:lang w:val="en-GB"/>
        </w:rPr>
        <w:t xml:space="preserve">The fourth section of the dashboard lets you drill down into individual cluster. </w:t>
      </w:r>
    </w:p>
    <w:p w14:paraId="16551790" w14:textId="77777777" w:rsidR="003B2CE5" w:rsidRPr="00A452F2" w:rsidRDefault="003B2CE5" w:rsidP="003A093A">
      <w:pPr>
        <w:pStyle w:val="Bullet"/>
        <w:rPr>
          <w:lang w:val="en-GB"/>
        </w:rPr>
      </w:pPr>
      <w:r w:rsidRPr="00A452F2">
        <w:rPr>
          <w:lang w:val="en-GB"/>
        </w:rPr>
        <w:t xml:space="preserve">It begins with a table listing all the clusters with their key configuration. You can export this list as a spreadsheet for further analysis or reporting. </w:t>
      </w:r>
    </w:p>
    <w:p w14:paraId="59759B12" w14:textId="5B9844B3" w:rsidR="003B2CE5" w:rsidRPr="00A452F2" w:rsidRDefault="003B2CE5" w:rsidP="003A093A">
      <w:pPr>
        <w:pStyle w:val="Bullet"/>
        <w:rPr>
          <w:lang w:val="en-GB"/>
        </w:rPr>
      </w:pPr>
      <w:r w:rsidRPr="00A452F2">
        <w:rPr>
          <w:lang w:val="en-GB"/>
        </w:rPr>
        <w:t xml:space="preserve">Select a cluster. The list of ESXi Hosts under the cluster, along with </w:t>
      </w:r>
      <w:r w:rsidR="74DA093C" w:rsidRPr="00A452F2">
        <w:rPr>
          <w:lang w:val="en-GB"/>
        </w:rPr>
        <w:t>s</w:t>
      </w:r>
      <w:r w:rsidRPr="00A452F2">
        <w:rPr>
          <w:lang w:val="en-GB"/>
        </w:rPr>
        <w:t xml:space="preserve">hares and </w:t>
      </w:r>
      <w:r w:rsidR="586C9CEE" w:rsidRPr="00A452F2">
        <w:rPr>
          <w:lang w:val="en-GB"/>
        </w:rPr>
        <w:t>r</w:t>
      </w:r>
      <w:r w:rsidRPr="00A452F2">
        <w:rPr>
          <w:lang w:val="en-GB"/>
        </w:rPr>
        <w:t xml:space="preserve">esource </w:t>
      </w:r>
      <w:r w:rsidR="530C8147" w:rsidRPr="00A452F2">
        <w:rPr>
          <w:lang w:val="en-GB"/>
        </w:rPr>
        <w:t>p</w:t>
      </w:r>
      <w:r w:rsidRPr="00A452F2">
        <w:rPr>
          <w:lang w:val="en-GB"/>
        </w:rPr>
        <w:t>ools information, is automatically filled up.</w:t>
      </w:r>
      <w:r w:rsidR="00452836" w:rsidRPr="00A452F2">
        <w:rPr>
          <w:lang w:val="en-GB"/>
        </w:rPr>
        <w:t xml:space="preserve"> Ensure as all its ESXi Hosts have identical configuration.</w:t>
      </w:r>
    </w:p>
    <w:p w14:paraId="0FCADE61" w14:textId="4A0F99CB" w:rsidR="003B2CE5" w:rsidRPr="00A452F2" w:rsidRDefault="003B2CE5" w:rsidP="003A093A">
      <w:pPr>
        <w:pStyle w:val="Bullet"/>
        <w:rPr>
          <w:lang w:val="en-GB"/>
        </w:rPr>
      </w:pPr>
      <w:r w:rsidRPr="00A452F2">
        <w:rPr>
          <w:lang w:val="en-GB"/>
        </w:rPr>
        <w:t xml:space="preserve">Keep the number of distinct shares below three (or at minimum), matching the distinct classes of service. You should avoid giving different service </w:t>
      </w:r>
      <w:r w:rsidR="007F6E88" w:rsidRPr="00A452F2">
        <w:rPr>
          <w:lang w:val="en-GB"/>
        </w:rPr>
        <w:t xml:space="preserve">level </w:t>
      </w:r>
      <w:r w:rsidRPr="00A452F2">
        <w:rPr>
          <w:lang w:val="en-GB"/>
        </w:rPr>
        <w:t xml:space="preserve">to individual VMs as that increase the complexity of the cluster performance. </w:t>
      </w:r>
    </w:p>
    <w:p w14:paraId="6309F6FE" w14:textId="24E65E99" w:rsidR="005174DD" w:rsidRDefault="005174DD" w:rsidP="003A093A">
      <w:pPr>
        <w:pStyle w:val="Bullet"/>
        <w:rPr>
          <w:lang w:val="en-GB"/>
        </w:rPr>
      </w:pPr>
      <w:r w:rsidRPr="00A452F2">
        <w:rPr>
          <w:lang w:val="en-GB"/>
        </w:rPr>
        <w:t xml:space="preserve">Verify that Shares are used consistently throughout your entire vSphere environment. Do note that they are relative numbers, not absolute. Ideally, avoid using it altogether as it's easy to overlook. When you move VM to another cluster or vCenter, you may forget to set the new share appropriately. </w:t>
      </w:r>
    </w:p>
    <w:p w14:paraId="34C7D392" w14:textId="2622D265" w:rsidR="00016CF3" w:rsidRPr="00A452F2" w:rsidRDefault="00016CF3" w:rsidP="00016CF3">
      <w:pPr>
        <w:ind w:left="720"/>
        <w:rPr>
          <w:lang w:val="en-GB"/>
        </w:rPr>
      </w:pPr>
      <w:r>
        <w:rPr>
          <w:noProof/>
        </w:rPr>
        <w:drawing>
          <wp:inline distT="0" distB="0" distL="0" distR="0" wp14:anchorId="20EE3D04" wp14:editId="52DCF991">
            <wp:extent cx="4100098" cy="1554480"/>
            <wp:effectExtent l="0" t="0" r="0" b="7620"/>
            <wp:docPr id="606394376" name="Picture 606394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76"/>
                    <pic:cNvPicPr/>
                  </pic:nvPicPr>
                  <pic:blipFill>
                    <a:blip r:embed="rId1213" cstate="print">
                      <a:extLst>
                        <a:ext uri="{28A0092B-C50C-407E-A947-70E740481C1C}">
                          <a14:useLocalDpi xmlns:a14="http://schemas.microsoft.com/office/drawing/2010/main" val="0"/>
                        </a:ext>
                      </a:extLst>
                    </a:blip>
                    <a:stretch>
                      <a:fillRect/>
                    </a:stretch>
                  </pic:blipFill>
                  <pic:spPr>
                    <a:xfrm>
                      <a:off x="0" y="0"/>
                      <a:ext cx="4100098" cy="1554480"/>
                    </a:xfrm>
                    <a:prstGeom prst="rect">
                      <a:avLst/>
                    </a:prstGeom>
                  </pic:spPr>
                </pic:pic>
              </a:graphicData>
            </a:graphic>
          </wp:inline>
        </w:drawing>
      </w:r>
    </w:p>
    <w:p w14:paraId="74C1E4BC" w14:textId="6F1EEC69" w:rsidR="003B2CE5" w:rsidRPr="00A452F2" w:rsidRDefault="003B2CE5" w:rsidP="00BB4B86">
      <w:pPr>
        <w:pStyle w:val="ListParagraph"/>
        <w:numPr>
          <w:ilvl w:val="0"/>
          <w:numId w:val="3"/>
        </w:numPr>
        <w:rPr>
          <w:lang w:val="en-GB"/>
        </w:rPr>
      </w:pPr>
      <w:r w:rsidRPr="00A452F2">
        <w:rPr>
          <w:lang w:val="en-GB"/>
        </w:rPr>
        <w:t xml:space="preserve">Keep the number of resource pools minimal. </w:t>
      </w:r>
      <w:r w:rsidR="00946395" w:rsidRPr="00A452F2">
        <w:rPr>
          <w:lang w:val="en-GB"/>
        </w:rPr>
        <w:t>Resource Pools can impact performance, if the number of VMs in the pool do not match its intended shares.</w:t>
      </w:r>
      <w:r w:rsidR="0074709B" w:rsidRPr="00A452F2">
        <w:rPr>
          <w:lang w:val="en-GB"/>
        </w:rPr>
        <w:t xml:space="preserve"> </w:t>
      </w:r>
      <w:r w:rsidR="00C30C9A" w:rsidRPr="00A452F2">
        <w:rPr>
          <w:lang w:val="en-GB"/>
        </w:rPr>
        <w:t xml:space="preserve">The new </w:t>
      </w:r>
      <w:r w:rsidR="00C30C9A" w:rsidRPr="00A452F2">
        <w:rPr>
          <w:b/>
          <w:bCs/>
          <w:lang w:val="en-GB"/>
        </w:rPr>
        <w:t>Scalable Shares</w:t>
      </w:r>
      <w:r w:rsidR="00C30C9A" w:rsidRPr="00A452F2">
        <w:rPr>
          <w:lang w:val="en-GB"/>
        </w:rPr>
        <w:t xml:space="preserve"> </w:t>
      </w:r>
      <w:r w:rsidR="0074709B" w:rsidRPr="00A452F2">
        <w:rPr>
          <w:lang w:val="en-GB"/>
        </w:rPr>
        <w:t xml:space="preserve">feature in vSphere </w:t>
      </w:r>
      <w:r w:rsidR="00C30C9A" w:rsidRPr="00A452F2">
        <w:rPr>
          <w:lang w:val="en-GB"/>
        </w:rPr>
        <w:t xml:space="preserve">7 </w:t>
      </w:r>
      <w:r w:rsidR="00E82878" w:rsidRPr="00A452F2">
        <w:rPr>
          <w:lang w:val="en-GB"/>
        </w:rPr>
        <w:t xml:space="preserve">automates this adjustment, which has to be done in older version. </w:t>
      </w:r>
      <w:r w:rsidR="00DF0E83" w:rsidRPr="00A452F2">
        <w:rPr>
          <w:lang w:val="en-GB"/>
        </w:rPr>
        <w:t xml:space="preserve">More about it </w:t>
      </w:r>
      <w:hyperlink r:id="rId1214" w:history="1">
        <w:r w:rsidR="00DF0E83" w:rsidRPr="00A452F2">
          <w:rPr>
            <w:rStyle w:val="Hyperlink"/>
            <w:lang w:val="en-GB"/>
          </w:rPr>
          <w:t>here</w:t>
        </w:r>
      </w:hyperlink>
      <w:r w:rsidR="00DF0E83" w:rsidRPr="00A452F2">
        <w:rPr>
          <w:lang w:val="en-GB"/>
        </w:rPr>
        <w:t xml:space="preserve">. </w:t>
      </w:r>
    </w:p>
    <w:p w14:paraId="39C0A3D1" w14:textId="2F45E949" w:rsidR="000A2AFD" w:rsidRPr="00A452F2" w:rsidRDefault="000A2AFD" w:rsidP="00BB4B86">
      <w:pPr>
        <w:pStyle w:val="ListParagraph"/>
        <w:numPr>
          <w:ilvl w:val="0"/>
          <w:numId w:val="3"/>
        </w:numPr>
        <w:rPr>
          <w:lang w:val="en-GB"/>
        </w:rPr>
      </w:pPr>
      <w:r w:rsidRPr="00A452F2">
        <w:rPr>
          <w:lang w:val="en-GB" w:eastAsia="en-SG"/>
        </w:rPr>
        <w:t xml:space="preserve">Some of the columns are </w:t>
      </w:r>
      <w:r w:rsidR="00E65E9E">
        <w:rPr>
          <w:lang w:val="en-GB" w:eastAsia="en-SG"/>
        </w:rPr>
        <w:t>color</w:t>
      </w:r>
      <w:r w:rsidRPr="00A452F2">
        <w:rPr>
          <w:lang w:val="en-GB" w:eastAsia="en-SG"/>
        </w:rPr>
        <w:t xml:space="preserve"> coded to facilitate quick reviews. Adjust their threshold to </w:t>
      </w:r>
      <w:r w:rsidRPr="00A452F2">
        <w:rPr>
          <w:lang w:val="en-GB"/>
        </w:rPr>
        <w:t>either reflect your current situation or your desired ideal state</w:t>
      </w:r>
    </w:p>
    <w:p w14:paraId="4D70F4A9" w14:textId="77777777" w:rsidR="003B2CE5" w:rsidRPr="00A452F2" w:rsidRDefault="003B2CE5" w:rsidP="00AC6E1E">
      <w:pPr>
        <w:pStyle w:val="Heading4"/>
      </w:pPr>
      <w:r w:rsidRPr="00A452F2">
        <w:lastRenderedPageBreak/>
        <w:t>Points to Note</w:t>
      </w:r>
    </w:p>
    <w:p w14:paraId="37C449B5" w14:textId="705AA69F" w:rsidR="000F0639" w:rsidRPr="00A452F2" w:rsidRDefault="000F0639" w:rsidP="00F6120D">
      <w:pPr>
        <w:pStyle w:val="Bullet"/>
        <w:rPr>
          <w:lang w:val="en-GB"/>
        </w:rPr>
      </w:pPr>
      <w:r w:rsidRPr="00A452F2">
        <w:rPr>
          <w:lang w:val="en-GB"/>
        </w:rPr>
        <w:t xml:space="preserve">You might notice that the </w:t>
      </w:r>
      <w:r w:rsidR="00555119" w:rsidRPr="00A452F2">
        <w:rPr>
          <w:b/>
          <w:bCs/>
          <w:lang w:val="en-GB"/>
        </w:rPr>
        <w:t>DRS Migration Threshold</w:t>
      </w:r>
      <w:r w:rsidR="00555119" w:rsidRPr="00A452F2">
        <w:rPr>
          <w:lang w:val="en-GB"/>
        </w:rPr>
        <w:t xml:space="preserve"> </w:t>
      </w:r>
      <w:r w:rsidR="00987525" w:rsidRPr="00A452F2">
        <w:rPr>
          <w:lang w:val="en-GB"/>
        </w:rPr>
        <w:t xml:space="preserve">widget </w:t>
      </w:r>
      <w:r w:rsidR="00555119" w:rsidRPr="00A452F2">
        <w:rPr>
          <w:lang w:val="en-GB"/>
        </w:rPr>
        <w:t xml:space="preserve">is using the property </w:t>
      </w:r>
      <w:r w:rsidR="00555119" w:rsidRPr="00A452F2">
        <w:rPr>
          <w:b/>
          <w:bCs/>
          <w:lang w:val="en-GB"/>
        </w:rPr>
        <w:t>DRS vMotion Rate</w:t>
      </w:r>
      <w:r w:rsidR="00555119" w:rsidRPr="00A452F2">
        <w:rPr>
          <w:lang w:val="en-GB"/>
        </w:rPr>
        <w:t>. This is the correct property</w:t>
      </w:r>
      <w:r w:rsidR="00987525" w:rsidRPr="00A452F2">
        <w:rPr>
          <w:lang w:val="en-GB"/>
        </w:rPr>
        <w:t xml:space="preserve">. We will correct the property name so it’s less confusing. </w:t>
      </w:r>
    </w:p>
    <w:p w14:paraId="60B71620" w14:textId="3477F469" w:rsidR="007439DF" w:rsidRPr="00A452F2" w:rsidRDefault="00BB33EE" w:rsidP="00F6120D">
      <w:pPr>
        <w:pStyle w:val="Bullet"/>
        <w:rPr>
          <w:lang w:val="en-GB"/>
        </w:rPr>
      </w:pPr>
      <w:r w:rsidRPr="00A452F2">
        <w:rPr>
          <w:lang w:val="en-GB"/>
        </w:rPr>
        <w:t xml:space="preserve">The </w:t>
      </w:r>
      <w:r w:rsidRPr="00A452F2">
        <w:rPr>
          <w:b/>
          <w:bCs/>
          <w:lang w:val="en-GB"/>
        </w:rPr>
        <w:t>HA Memory Failover Shares</w:t>
      </w:r>
      <w:r w:rsidRPr="00A452F2">
        <w:rPr>
          <w:lang w:val="en-GB"/>
        </w:rPr>
        <w:t xml:space="preserve"> widget should be name</w:t>
      </w:r>
      <w:r w:rsidR="00694748" w:rsidRPr="00A452F2">
        <w:rPr>
          <w:lang w:val="en-GB"/>
        </w:rPr>
        <w:t>d</w:t>
      </w:r>
      <w:r w:rsidRPr="00A452F2">
        <w:rPr>
          <w:lang w:val="en-GB"/>
        </w:rPr>
        <w:t xml:space="preserve"> </w:t>
      </w:r>
      <w:r w:rsidR="00694748" w:rsidRPr="00A452F2">
        <w:rPr>
          <w:b/>
          <w:bCs/>
          <w:lang w:val="en-GB"/>
        </w:rPr>
        <w:t>HA Memory Failover</w:t>
      </w:r>
      <w:r w:rsidR="00227A6C">
        <w:rPr>
          <w:b/>
          <w:bCs/>
          <w:lang w:val="en-GB"/>
        </w:rPr>
        <w:t xml:space="preserve"> percentage</w:t>
      </w:r>
      <w:r w:rsidR="00694748" w:rsidRPr="00A452F2">
        <w:rPr>
          <w:b/>
          <w:bCs/>
          <w:lang w:val="en-GB"/>
        </w:rPr>
        <w:t xml:space="preserve">. </w:t>
      </w:r>
      <w:r w:rsidR="00694748" w:rsidRPr="00A452F2">
        <w:rPr>
          <w:lang w:val="en-GB"/>
        </w:rPr>
        <w:t>This is a known typo.</w:t>
      </w:r>
    </w:p>
    <w:p w14:paraId="6A38A50E" w14:textId="7C8A324E" w:rsidR="00694748" w:rsidRPr="00A452F2" w:rsidRDefault="00694748" w:rsidP="00F6120D">
      <w:pPr>
        <w:pStyle w:val="Bullet"/>
        <w:rPr>
          <w:lang w:val="en-GB"/>
        </w:rPr>
      </w:pPr>
      <w:r w:rsidRPr="00A452F2">
        <w:rPr>
          <w:lang w:val="en-GB"/>
        </w:rPr>
        <w:t xml:space="preserve">The </w:t>
      </w:r>
      <w:r w:rsidRPr="00A452F2">
        <w:rPr>
          <w:b/>
          <w:bCs/>
          <w:lang w:val="en-GB"/>
        </w:rPr>
        <w:t>HA CPU Failover Shares</w:t>
      </w:r>
      <w:r w:rsidRPr="00A452F2">
        <w:rPr>
          <w:lang w:val="en-GB"/>
        </w:rPr>
        <w:t xml:space="preserve"> widget should be named </w:t>
      </w:r>
      <w:r w:rsidRPr="00A452F2">
        <w:rPr>
          <w:b/>
          <w:bCs/>
          <w:lang w:val="en-GB"/>
        </w:rPr>
        <w:t>HA CPU Failover</w:t>
      </w:r>
      <w:r w:rsidR="00227A6C">
        <w:rPr>
          <w:b/>
          <w:bCs/>
          <w:lang w:val="en-GB"/>
        </w:rPr>
        <w:t xml:space="preserve"> percentage</w:t>
      </w:r>
      <w:r w:rsidRPr="00A452F2">
        <w:rPr>
          <w:b/>
          <w:bCs/>
          <w:lang w:val="en-GB"/>
        </w:rPr>
        <w:t xml:space="preserve">. </w:t>
      </w:r>
      <w:r w:rsidRPr="00A452F2">
        <w:rPr>
          <w:lang w:val="en-GB"/>
        </w:rPr>
        <w:t>This is a known typo.</w:t>
      </w:r>
    </w:p>
    <w:p w14:paraId="3B92C3F2" w14:textId="1D3512AB" w:rsidR="003B2CE5" w:rsidRPr="00A452F2" w:rsidRDefault="003B2CE5" w:rsidP="00540F68">
      <w:pPr>
        <w:pStyle w:val="Heading3"/>
      </w:pPr>
      <w:r w:rsidRPr="00A452F2">
        <w:t xml:space="preserve">ESXi Configuration </w:t>
      </w:r>
    </w:p>
    <w:p w14:paraId="64C0FDA2" w14:textId="77777777" w:rsidR="0062158B" w:rsidRPr="00A452F2" w:rsidRDefault="0062158B" w:rsidP="0062158B">
      <w:pPr>
        <w:rPr>
          <w:lang w:val="en-GB"/>
        </w:rPr>
      </w:pPr>
      <w:r w:rsidRPr="00A452F2">
        <w:rPr>
          <w:lang w:val="en-GB"/>
        </w:rPr>
        <w:t xml:space="preserve">For a more complete visibility, consider adding physical server monitoring by using the appropriate management pack. More info </w:t>
      </w:r>
      <w:hyperlink r:id="rId1215" w:history="1">
        <w:r w:rsidRPr="00A452F2">
          <w:rPr>
            <w:rStyle w:val="Hyperlink"/>
            <w:lang w:val="en-GB"/>
          </w:rPr>
          <w:t>here</w:t>
        </w:r>
      </w:hyperlink>
      <w:r w:rsidRPr="00A452F2">
        <w:rPr>
          <w:lang w:val="en-GB"/>
        </w:rPr>
        <w:t xml:space="preserve">. </w:t>
      </w:r>
    </w:p>
    <w:p w14:paraId="796DF760" w14:textId="77777777" w:rsidR="003B2CE5" w:rsidRPr="00A452F2" w:rsidRDefault="003B2CE5" w:rsidP="00F6120D">
      <w:pPr>
        <w:rPr>
          <w:lang w:val="en-GB"/>
        </w:rPr>
      </w:pPr>
      <w:r w:rsidRPr="00A452F2">
        <w:rPr>
          <w:lang w:val="en-GB"/>
        </w:rPr>
        <w:t xml:space="preserve">The dashboard is organized into sections for ease of use. </w:t>
      </w:r>
    </w:p>
    <w:p w14:paraId="0AB8281F" w14:textId="77777777" w:rsidR="003B2CE5" w:rsidRPr="00A452F2" w:rsidRDefault="003B2CE5" w:rsidP="00F6120D">
      <w:pPr>
        <w:rPr>
          <w:lang w:val="en-GB"/>
        </w:rPr>
      </w:pPr>
      <w:r w:rsidRPr="00A452F2">
        <w:rPr>
          <w:lang w:val="en-GB"/>
        </w:rPr>
        <w:t xml:space="preserve">The upper part of the dashboard displays basic ESXi configurations that should be standardized for ease of operations. </w:t>
      </w:r>
    </w:p>
    <w:p w14:paraId="55E7E5AF" w14:textId="77777777" w:rsidR="003B2CE5" w:rsidRPr="00A452F2" w:rsidRDefault="003B2CE5" w:rsidP="00BB4B86">
      <w:pPr>
        <w:pStyle w:val="ListParagraph"/>
        <w:numPr>
          <w:ilvl w:val="0"/>
          <w:numId w:val="4"/>
        </w:numPr>
        <w:rPr>
          <w:lang w:val="en-GB"/>
        </w:rPr>
      </w:pPr>
      <w:r w:rsidRPr="00A452F2">
        <w:rPr>
          <w:lang w:val="en-GB"/>
        </w:rPr>
        <w:t>There are six pie-charts that are displayed as one set because there is a relationship in their values. There should be a correlation between them. Ideally, the ESXi version, the ESXi build, and the BIOS should be identical across all ESXi hosts in a cluster”. Keep the variations of hardware model, NIC speed, and storage path minimal. The more complex the pie chart, the more variants you have. This results in complex operations, potentially resulting in increased OPEX.</w:t>
      </w:r>
    </w:p>
    <w:p w14:paraId="3C633BCC" w14:textId="77777777" w:rsidR="003B2CE5" w:rsidRPr="00A452F2" w:rsidRDefault="003B2CE5" w:rsidP="00BB4B86">
      <w:pPr>
        <w:pStyle w:val="ListParagraph"/>
        <w:numPr>
          <w:ilvl w:val="0"/>
          <w:numId w:val="4"/>
        </w:numPr>
        <w:rPr>
          <w:lang w:val="en-GB"/>
        </w:rPr>
      </w:pPr>
      <w:r w:rsidRPr="00A452F2">
        <w:rPr>
          <w:lang w:val="en-GB"/>
        </w:rPr>
        <w:t>The configurations should reflect your current architecture standard. Each pie-chart counts the occurrence of a particular value. A large slice signifies that the value is the most common value, and if that is not your current standard, then you must address it.</w:t>
      </w:r>
    </w:p>
    <w:p w14:paraId="2E86B08A" w14:textId="61D68039" w:rsidR="00306655" w:rsidRDefault="00306655" w:rsidP="00F6120D">
      <w:pPr>
        <w:rPr>
          <w:lang w:val="en-GB"/>
        </w:rPr>
      </w:pPr>
      <w:r>
        <w:rPr>
          <w:noProof/>
        </w:rPr>
        <w:drawing>
          <wp:inline distT="0" distB="0" distL="0" distR="0" wp14:anchorId="7D01E31E" wp14:editId="025F1CC7">
            <wp:extent cx="6645910" cy="1156970"/>
            <wp:effectExtent l="0" t="0" r="2540" b="5080"/>
            <wp:docPr id="606394379" name="Picture 606394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79"/>
                    <pic:cNvPicPr/>
                  </pic:nvPicPr>
                  <pic:blipFill>
                    <a:blip r:embed="rId1216">
                      <a:extLst>
                        <a:ext uri="{28A0092B-C50C-407E-A947-70E740481C1C}">
                          <a14:useLocalDpi xmlns:a14="http://schemas.microsoft.com/office/drawing/2010/main" val="0"/>
                        </a:ext>
                      </a:extLst>
                    </a:blip>
                    <a:stretch>
                      <a:fillRect/>
                    </a:stretch>
                  </pic:blipFill>
                  <pic:spPr>
                    <a:xfrm>
                      <a:off x="0" y="0"/>
                      <a:ext cx="6645910" cy="1156970"/>
                    </a:xfrm>
                    <a:prstGeom prst="rect">
                      <a:avLst/>
                    </a:prstGeom>
                  </pic:spPr>
                </pic:pic>
              </a:graphicData>
            </a:graphic>
          </wp:inline>
        </w:drawing>
      </w:r>
    </w:p>
    <w:p w14:paraId="45F9D70D" w14:textId="7D472C98" w:rsidR="003B2CE5" w:rsidRPr="00A452F2" w:rsidRDefault="003B2CE5" w:rsidP="00F6120D">
      <w:pPr>
        <w:rPr>
          <w:lang w:val="en-GB"/>
        </w:rPr>
      </w:pPr>
      <w:r w:rsidRPr="00A452F2">
        <w:rPr>
          <w:lang w:val="en-GB"/>
        </w:rPr>
        <w:t xml:space="preserve">The second section of the dashboard displays configurations that are potentially suboptimal. </w:t>
      </w:r>
    </w:p>
    <w:p w14:paraId="1CBBF4AD" w14:textId="77777777" w:rsidR="003B2CE5" w:rsidRPr="00A452F2" w:rsidRDefault="003B2CE5" w:rsidP="00BB4B86">
      <w:pPr>
        <w:pStyle w:val="ListParagraph"/>
        <w:numPr>
          <w:ilvl w:val="0"/>
          <w:numId w:val="5"/>
        </w:numPr>
        <w:rPr>
          <w:lang w:val="en-GB"/>
        </w:rPr>
      </w:pPr>
      <w:r w:rsidRPr="00A452F2">
        <w:rPr>
          <w:lang w:val="en-GB"/>
        </w:rPr>
        <w:t>The three bar-charts display various size dimensions of the ESXi hosts. The bar-charts are designed to be seen as one set. Ensure minimal number of variations to reduce complexity.</w:t>
      </w:r>
    </w:p>
    <w:p w14:paraId="71A65A59" w14:textId="77777777" w:rsidR="003B2CE5" w:rsidRPr="00A452F2" w:rsidRDefault="003B2CE5" w:rsidP="00BB4B86">
      <w:pPr>
        <w:pStyle w:val="ListParagraph"/>
        <w:numPr>
          <w:ilvl w:val="0"/>
          <w:numId w:val="5"/>
        </w:numPr>
        <w:rPr>
          <w:lang w:val="en-GB"/>
        </w:rPr>
      </w:pPr>
      <w:r w:rsidRPr="00A452F2">
        <w:rPr>
          <w:lang w:val="en-GB"/>
        </w:rPr>
        <w:lastRenderedPageBreak/>
        <w:t>Smaller ESXi hosts have a relatively higher overhead, and are limited in running larger VMs. If they have a low core count, they could be using outdated CPU. Small ESXi hosts are more expensive on a per core, per GB, per rack unit basis than larger ones if they occupy the same space. On the other hand, a 4-CPU socket ESXi host is likely to be too large, resulting in a concentration risk (too many VMs in a single ESXi host). Maintain a good balance that balance your budget and risk constraints . You should adjust the distribution chart bucket size to fit your environment.</w:t>
      </w:r>
    </w:p>
    <w:p w14:paraId="4EC9817A" w14:textId="499368E8" w:rsidR="00BE57BC" w:rsidRDefault="00BE57BC" w:rsidP="00F6120D">
      <w:pPr>
        <w:rPr>
          <w:lang w:val="en-GB"/>
        </w:rPr>
      </w:pPr>
      <w:r>
        <w:rPr>
          <w:noProof/>
        </w:rPr>
        <w:drawing>
          <wp:inline distT="0" distB="0" distL="0" distR="0" wp14:anchorId="372C6B71" wp14:editId="15DF9D64">
            <wp:extent cx="6645910" cy="1054735"/>
            <wp:effectExtent l="0" t="0" r="2540" b="0"/>
            <wp:docPr id="606394378" name="Picture 606394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78"/>
                    <pic:cNvPicPr/>
                  </pic:nvPicPr>
                  <pic:blipFill>
                    <a:blip r:embed="rId1217">
                      <a:extLst>
                        <a:ext uri="{28A0092B-C50C-407E-A947-70E740481C1C}">
                          <a14:useLocalDpi xmlns:a14="http://schemas.microsoft.com/office/drawing/2010/main" val="0"/>
                        </a:ext>
                      </a:extLst>
                    </a:blip>
                    <a:stretch>
                      <a:fillRect/>
                    </a:stretch>
                  </pic:blipFill>
                  <pic:spPr>
                    <a:xfrm>
                      <a:off x="0" y="0"/>
                      <a:ext cx="6645910" cy="1054735"/>
                    </a:xfrm>
                    <a:prstGeom prst="rect">
                      <a:avLst/>
                    </a:prstGeom>
                  </pic:spPr>
                </pic:pic>
              </a:graphicData>
            </a:graphic>
          </wp:inline>
        </w:drawing>
      </w:r>
    </w:p>
    <w:p w14:paraId="15E50FCE" w14:textId="1D2C7D24" w:rsidR="003B2CE5" w:rsidRPr="00A452F2" w:rsidRDefault="003B2CE5" w:rsidP="00F6120D">
      <w:pPr>
        <w:rPr>
          <w:lang w:val="en-GB"/>
        </w:rPr>
      </w:pPr>
      <w:r w:rsidRPr="00A452F2">
        <w:rPr>
          <w:lang w:val="en-GB"/>
        </w:rPr>
        <w:t xml:space="preserve">The third section of the dashboard displays configurations that you may want to avoid. </w:t>
      </w:r>
    </w:p>
    <w:p w14:paraId="0F9C14E6" w14:textId="77777777" w:rsidR="003B2CE5" w:rsidRPr="00A452F2" w:rsidRDefault="003B2CE5" w:rsidP="003A093A">
      <w:pPr>
        <w:pStyle w:val="Bullet"/>
        <w:rPr>
          <w:lang w:val="en-GB"/>
        </w:rPr>
      </w:pPr>
      <w:r w:rsidRPr="00A452F2">
        <w:rPr>
          <w:lang w:val="en-GB"/>
        </w:rPr>
        <w:t>The six bar-charts focus on security, availability, and capacity settings that you can set as a standard. For example, you should consider enabling the NTP daemon for consistent time, which is critical for logging and troubleshooting.</w:t>
      </w:r>
    </w:p>
    <w:p w14:paraId="71DA84D5" w14:textId="68E3D20F" w:rsidR="003B2CE5" w:rsidRDefault="003B2CE5" w:rsidP="003A093A">
      <w:pPr>
        <w:pStyle w:val="Bullet"/>
        <w:rPr>
          <w:lang w:val="en-GB"/>
        </w:rPr>
      </w:pPr>
      <w:r w:rsidRPr="00A452F2">
        <w:rPr>
          <w:lang w:val="en-GB"/>
        </w:rPr>
        <w:t>The three tables list the actual ESXi hosts that are in a non-productive state. They can be in maintenance mode, powered off, or in a disconnected state.</w:t>
      </w:r>
    </w:p>
    <w:p w14:paraId="06FE7C3E" w14:textId="4962E3F1" w:rsidR="00BE57BC" w:rsidRPr="00A452F2" w:rsidRDefault="00BE57BC" w:rsidP="003A093A">
      <w:pPr>
        <w:pStyle w:val="Bullet"/>
        <w:rPr>
          <w:lang w:val="en-GB"/>
        </w:rPr>
      </w:pPr>
      <w:r>
        <w:rPr>
          <w:lang w:val="en-GB"/>
        </w:rPr>
        <w:t xml:space="preserve">BTW, I’ve modified the last one to show information, to show an example </w:t>
      </w:r>
      <w:r w:rsidR="00306655">
        <w:rPr>
          <w:lang w:val="en-GB"/>
        </w:rPr>
        <w:t xml:space="preserve">if that makes sense for your operations. I do not do it for the out of the box version as visually it will look awkward as the first 5 charts do not need it </w:t>
      </w:r>
      <w:r w:rsidR="00306655" w:rsidRPr="00306655">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76C24CEE" w14:textId="77777777" w:rsidR="00854FBA" w:rsidRPr="00A452F2" w:rsidRDefault="003B2CE5" w:rsidP="00F6120D">
      <w:pPr>
        <w:rPr>
          <w:lang w:val="en-GB"/>
        </w:rPr>
      </w:pPr>
      <w:r w:rsidRPr="00A452F2">
        <w:rPr>
          <w:lang w:val="en-GB"/>
        </w:rPr>
        <w:t xml:space="preserve">The last part displays all the ESXi hosts in your environment. </w:t>
      </w:r>
    </w:p>
    <w:p w14:paraId="245F7A86" w14:textId="77777777" w:rsidR="00854FBA" w:rsidRPr="00A452F2" w:rsidRDefault="00854FBA" w:rsidP="003A093A">
      <w:pPr>
        <w:pStyle w:val="Bullet"/>
        <w:rPr>
          <w:lang w:val="en-GB"/>
        </w:rPr>
      </w:pPr>
      <w:r w:rsidRPr="00A452F2">
        <w:rPr>
          <w:lang w:val="en-GB" w:eastAsia="en-SG"/>
        </w:rPr>
        <w:t>You can sort the columns and export the result into spreadsheet for further analysis.</w:t>
      </w:r>
    </w:p>
    <w:p w14:paraId="63F0F180" w14:textId="09E0CDE9" w:rsidR="00854FBA" w:rsidRPr="00A452F2" w:rsidRDefault="00854FBA" w:rsidP="003A093A">
      <w:pPr>
        <w:pStyle w:val="Bullet"/>
        <w:rPr>
          <w:lang w:val="en-GB"/>
        </w:rPr>
      </w:pPr>
      <w:r w:rsidRPr="00A452F2">
        <w:rPr>
          <w:lang w:val="en-GB" w:eastAsia="en-SG"/>
        </w:rPr>
        <w:t xml:space="preserve">Some of the columns are </w:t>
      </w:r>
      <w:r w:rsidR="00E65E9E">
        <w:rPr>
          <w:lang w:val="en-GB" w:eastAsia="en-SG"/>
        </w:rPr>
        <w:t>color</w:t>
      </w:r>
      <w:r w:rsidRPr="00A452F2">
        <w:rPr>
          <w:lang w:val="en-GB" w:eastAsia="en-SG"/>
        </w:rPr>
        <w:t xml:space="preserve"> coded to facilitate quick reviews. Adjust their threshold to </w:t>
      </w:r>
      <w:r w:rsidRPr="00A452F2">
        <w:rPr>
          <w:lang w:val="en-GB"/>
        </w:rPr>
        <w:t>either reflect your current situation or your desired ideal state</w:t>
      </w:r>
    </w:p>
    <w:p w14:paraId="473AD0BE" w14:textId="1819FCB2" w:rsidR="003B2CE5" w:rsidRPr="00A452F2" w:rsidRDefault="003B2CE5" w:rsidP="00540F68">
      <w:pPr>
        <w:pStyle w:val="Heading3"/>
      </w:pPr>
      <w:r w:rsidRPr="00A452F2">
        <w:t xml:space="preserve">Network Configuration </w:t>
      </w:r>
    </w:p>
    <w:p w14:paraId="0706741F" w14:textId="77777777" w:rsidR="0062158B" w:rsidRPr="00A452F2" w:rsidRDefault="0062158B" w:rsidP="0062158B">
      <w:pPr>
        <w:rPr>
          <w:lang w:val="en-GB"/>
        </w:rPr>
      </w:pPr>
      <w:r w:rsidRPr="00A452F2">
        <w:rPr>
          <w:lang w:val="en-GB"/>
        </w:rPr>
        <w:t xml:space="preserve">For a more complete visibility, consider adding physical network device monitoring by using the appropriate management pack. More info </w:t>
      </w:r>
      <w:hyperlink r:id="rId1218" w:history="1">
        <w:r w:rsidRPr="00A452F2">
          <w:rPr>
            <w:rStyle w:val="Hyperlink"/>
            <w:lang w:val="en-GB"/>
          </w:rPr>
          <w:t>here</w:t>
        </w:r>
      </w:hyperlink>
      <w:r w:rsidRPr="00A452F2">
        <w:rPr>
          <w:lang w:val="en-GB"/>
        </w:rPr>
        <w:t xml:space="preserve">. </w:t>
      </w:r>
    </w:p>
    <w:p w14:paraId="3C91FCD3" w14:textId="02D6736A" w:rsidR="003B2CE5" w:rsidRDefault="003B2CE5" w:rsidP="00F6120D">
      <w:pPr>
        <w:rPr>
          <w:lang w:val="en-GB"/>
        </w:rPr>
      </w:pPr>
      <w:r w:rsidRPr="00A452F2">
        <w:rPr>
          <w:lang w:val="en-GB"/>
        </w:rPr>
        <w:t xml:space="preserve">The dashboard is organized into </w:t>
      </w:r>
      <w:r w:rsidR="00A45666" w:rsidRPr="00A452F2">
        <w:rPr>
          <w:lang w:val="en-GB"/>
        </w:rPr>
        <w:t xml:space="preserve">2 </w:t>
      </w:r>
      <w:r w:rsidRPr="00A452F2">
        <w:rPr>
          <w:lang w:val="en-GB"/>
        </w:rPr>
        <w:t xml:space="preserve">sections for ease of use. </w:t>
      </w:r>
    </w:p>
    <w:p w14:paraId="78166200" w14:textId="5D071656" w:rsidR="00306655" w:rsidRPr="00A452F2" w:rsidRDefault="00306655" w:rsidP="00F6120D">
      <w:pPr>
        <w:rPr>
          <w:lang w:val="en-GB"/>
        </w:rPr>
      </w:pPr>
      <w:r>
        <w:rPr>
          <w:noProof/>
        </w:rPr>
        <w:drawing>
          <wp:inline distT="0" distB="0" distL="0" distR="0" wp14:anchorId="73F0C472" wp14:editId="3EA5C76B">
            <wp:extent cx="6645910" cy="845185"/>
            <wp:effectExtent l="0" t="0" r="2540" b="0"/>
            <wp:docPr id="606394380" name="Picture 606394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80"/>
                    <pic:cNvPicPr/>
                  </pic:nvPicPr>
                  <pic:blipFill>
                    <a:blip r:embed="rId1219">
                      <a:extLst>
                        <a:ext uri="{28A0092B-C50C-407E-A947-70E740481C1C}">
                          <a14:useLocalDpi xmlns:a14="http://schemas.microsoft.com/office/drawing/2010/main" val="0"/>
                        </a:ext>
                      </a:extLst>
                    </a:blip>
                    <a:stretch>
                      <a:fillRect/>
                    </a:stretch>
                  </pic:blipFill>
                  <pic:spPr>
                    <a:xfrm>
                      <a:off x="0" y="0"/>
                      <a:ext cx="6645910" cy="845185"/>
                    </a:xfrm>
                    <a:prstGeom prst="rect">
                      <a:avLst/>
                    </a:prstGeom>
                  </pic:spPr>
                </pic:pic>
              </a:graphicData>
            </a:graphic>
          </wp:inline>
        </w:drawing>
      </w:r>
    </w:p>
    <w:p w14:paraId="479CFB6D" w14:textId="7DC5D33A" w:rsidR="003B2CE5" w:rsidRPr="00A452F2" w:rsidRDefault="003B2CE5" w:rsidP="00F6120D">
      <w:pPr>
        <w:rPr>
          <w:lang w:val="en-GB"/>
        </w:rPr>
      </w:pPr>
      <w:r w:rsidRPr="00A452F2">
        <w:rPr>
          <w:lang w:val="en-GB"/>
        </w:rPr>
        <w:t xml:space="preserve">The </w:t>
      </w:r>
      <w:r w:rsidR="00A45666" w:rsidRPr="00A452F2">
        <w:rPr>
          <w:lang w:val="en-GB"/>
        </w:rPr>
        <w:t xml:space="preserve">first section </w:t>
      </w:r>
      <w:r w:rsidRPr="00A452F2">
        <w:rPr>
          <w:lang w:val="en-GB"/>
        </w:rPr>
        <w:t xml:space="preserve">displays </w:t>
      </w:r>
      <w:r w:rsidR="00272F6A" w:rsidRPr="00A452F2">
        <w:rPr>
          <w:lang w:val="en-GB"/>
        </w:rPr>
        <w:t xml:space="preserve">network </w:t>
      </w:r>
      <w:r w:rsidRPr="00A452F2">
        <w:rPr>
          <w:lang w:val="en-GB"/>
        </w:rPr>
        <w:t xml:space="preserve">configurations </w:t>
      </w:r>
      <w:r w:rsidR="00272F6A" w:rsidRPr="00A452F2">
        <w:rPr>
          <w:lang w:val="en-GB"/>
        </w:rPr>
        <w:t>that needs your attention</w:t>
      </w:r>
    </w:p>
    <w:p w14:paraId="6C665717" w14:textId="77777777" w:rsidR="003B2CE5" w:rsidRPr="00A452F2" w:rsidRDefault="003B2CE5" w:rsidP="00BB4B86">
      <w:pPr>
        <w:pStyle w:val="ListParagraph"/>
        <w:numPr>
          <w:ilvl w:val="0"/>
          <w:numId w:val="4"/>
        </w:numPr>
        <w:rPr>
          <w:lang w:val="en-GB"/>
        </w:rPr>
      </w:pPr>
      <w:r w:rsidRPr="00A452F2">
        <w:rPr>
          <w:lang w:val="en-GB"/>
        </w:rPr>
        <w:lastRenderedPageBreak/>
        <w:t xml:space="preserve">There are 5 bar charts that focuses on critical security settings. </w:t>
      </w:r>
    </w:p>
    <w:p w14:paraId="7488D986" w14:textId="24C8D504" w:rsidR="003B2CE5" w:rsidRPr="00A452F2" w:rsidRDefault="003B2CE5" w:rsidP="00BB4B86">
      <w:pPr>
        <w:pStyle w:val="ListParagraph"/>
        <w:numPr>
          <w:ilvl w:val="0"/>
          <w:numId w:val="4"/>
        </w:numPr>
        <w:rPr>
          <w:lang w:val="en-GB"/>
        </w:rPr>
      </w:pPr>
      <w:r w:rsidRPr="00A452F2">
        <w:rPr>
          <w:lang w:val="en-GB"/>
        </w:rPr>
        <w:t>The last bar chat shows the version of the vSphere Distribution Switch. Aim to keep the version current, or matching your vSphere version.</w:t>
      </w:r>
    </w:p>
    <w:p w14:paraId="1597A1F1" w14:textId="5DE73B7D" w:rsidR="00306655" w:rsidRDefault="00306655" w:rsidP="00F6120D">
      <w:pPr>
        <w:rPr>
          <w:lang w:val="en-GB"/>
        </w:rPr>
      </w:pPr>
      <w:r>
        <w:rPr>
          <w:noProof/>
        </w:rPr>
        <w:drawing>
          <wp:inline distT="0" distB="0" distL="0" distR="0" wp14:anchorId="0AE2242C" wp14:editId="78E0264A">
            <wp:extent cx="6645910" cy="1036320"/>
            <wp:effectExtent l="0" t="0" r="2540" b="0"/>
            <wp:docPr id="606394381" name="Picture 606394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381"/>
                    <pic:cNvPicPr/>
                  </pic:nvPicPr>
                  <pic:blipFill>
                    <a:blip r:embed="rId1220">
                      <a:extLst>
                        <a:ext uri="{28A0092B-C50C-407E-A947-70E740481C1C}">
                          <a14:useLocalDpi xmlns:a14="http://schemas.microsoft.com/office/drawing/2010/main" val="0"/>
                        </a:ext>
                      </a:extLst>
                    </a:blip>
                    <a:stretch>
                      <a:fillRect/>
                    </a:stretch>
                  </pic:blipFill>
                  <pic:spPr>
                    <a:xfrm>
                      <a:off x="0" y="0"/>
                      <a:ext cx="6645910" cy="1036320"/>
                    </a:xfrm>
                    <a:prstGeom prst="rect">
                      <a:avLst/>
                    </a:prstGeom>
                  </pic:spPr>
                </pic:pic>
              </a:graphicData>
            </a:graphic>
          </wp:inline>
        </w:drawing>
      </w:r>
    </w:p>
    <w:p w14:paraId="410DDFEB" w14:textId="4566D8CA" w:rsidR="003B2CE5" w:rsidRPr="00A452F2" w:rsidRDefault="00A45666" w:rsidP="00F6120D">
      <w:pPr>
        <w:rPr>
          <w:lang w:val="en-GB"/>
        </w:rPr>
      </w:pPr>
      <w:r w:rsidRPr="00A452F2">
        <w:rPr>
          <w:lang w:val="en-GB"/>
        </w:rPr>
        <w:t xml:space="preserve">The second section </w:t>
      </w:r>
      <w:r w:rsidR="002A7F5A" w:rsidRPr="00A452F2">
        <w:rPr>
          <w:lang w:val="en-GB"/>
        </w:rPr>
        <w:t>provides overall configuration, with ability to drill down into a particular switch</w:t>
      </w:r>
    </w:p>
    <w:p w14:paraId="50974645" w14:textId="63DBED04" w:rsidR="002A7F5A" w:rsidRPr="00A452F2" w:rsidRDefault="00533F69" w:rsidP="003A093A">
      <w:pPr>
        <w:pStyle w:val="Bullet"/>
        <w:rPr>
          <w:lang w:val="en-GB"/>
        </w:rPr>
      </w:pPr>
      <w:r w:rsidRPr="00A452F2">
        <w:rPr>
          <w:lang w:val="en-GB"/>
        </w:rPr>
        <w:t>Start by selecting a switch from the list.</w:t>
      </w:r>
    </w:p>
    <w:p w14:paraId="0725E5C0" w14:textId="13837597" w:rsidR="00533F69" w:rsidRPr="00A452F2" w:rsidRDefault="00533F69" w:rsidP="003A093A">
      <w:pPr>
        <w:pStyle w:val="Bullet"/>
        <w:rPr>
          <w:lang w:val="en-GB"/>
        </w:rPr>
      </w:pPr>
      <w:r w:rsidRPr="00A452F2">
        <w:rPr>
          <w:lang w:val="en-GB"/>
        </w:rPr>
        <w:t>The ESXi Host</w:t>
      </w:r>
      <w:r w:rsidR="00A82A33" w:rsidRPr="00A452F2">
        <w:rPr>
          <w:lang w:val="en-GB"/>
        </w:rPr>
        <w:t>s, port groups and VMs on the switch</w:t>
      </w:r>
      <w:r w:rsidRPr="00A452F2">
        <w:rPr>
          <w:lang w:val="en-GB"/>
        </w:rPr>
        <w:t xml:space="preserve"> will automatically be shown. </w:t>
      </w:r>
    </w:p>
    <w:p w14:paraId="4D783727" w14:textId="350FBE24" w:rsidR="00952F26" w:rsidRPr="00A452F2" w:rsidRDefault="00952F26" w:rsidP="003A093A">
      <w:pPr>
        <w:pStyle w:val="Bullet"/>
        <w:rPr>
          <w:lang w:val="en-GB"/>
        </w:rPr>
      </w:pPr>
      <w:r w:rsidRPr="00A452F2">
        <w:rPr>
          <w:lang w:val="en-GB"/>
        </w:rPr>
        <w:t xml:space="preserve">Review each of the tables. For the ESXi Host table, ensure their settings are consistent. </w:t>
      </w:r>
    </w:p>
    <w:p w14:paraId="4EDE5A07" w14:textId="3B0D3684" w:rsidR="00014C2A" w:rsidRPr="00A452F2" w:rsidRDefault="00014C2A" w:rsidP="003A093A">
      <w:pPr>
        <w:pStyle w:val="Bullet"/>
        <w:rPr>
          <w:lang w:val="en-GB"/>
        </w:rPr>
      </w:pPr>
      <w:r w:rsidRPr="00A452F2">
        <w:rPr>
          <w:lang w:val="en-GB" w:eastAsia="en-SG"/>
        </w:rPr>
        <w:t xml:space="preserve">Some of the columns are </w:t>
      </w:r>
      <w:r w:rsidR="00E65E9E">
        <w:rPr>
          <w:lang w:val="en-GB" w:eastAsia="en-SG"/>
        </w:rPr>
        <w:t>color</w:t>
      </w:r>
      <w:r w:rsidRPr="00A452F2">
        <w:rPr>
          <w:lang w:val="en-GB" w:eastAsia="en-SG"/>
        </w:rPr>
        <w:t xml:space="preserve"> coded to facilitate quick reviews. Adjust their threshold to </w:t>
      </w:r>
      <w:r w:rsidRPr="00A452F2">
        <w:rPr>
          <w:lang w:val="en-GB"/>
        </w:rPr>
        <w:t>either reflect your current situation or your desired ideal state</w:t>
      </w:r>
      <w:r w:rsidR="00C90689" w:rsidRPr="00A452F2">
        <w:rPr>
          <w:lang w:val="en-GB"/>
        </w:rPr>
        <w:t xml:space="preserve">. </w:t>
      </w:r>
    </w:p>
    <w:p w14:paraId="586BA48A" w14:textId="3494269D" w:rsidR="00375BFD" w:rsidRPr="00A452F2" w:rsidRDefault="00375BFD" w:rsidP="003A093A">
      <w:pPr>
        <w:pStyle w:val="Bullet"/>
        <w:rPr>
          <w:lang w:val="en-GB"/>
        </w:rPr>
      </w:pPr>
      <w:r w:rsidRPr="00A452F2">
        <w:rPr>
          <w:lang w:val="en-GB" w:eastAsia="en-SG"/>
        </w:rPr>
        <w:t>You can sort the columns and export the result into spreadsheet for further analysis.</w:t>
      </w:r>
    </w:p>
    <w:p w14:paraId="0DA53097" w14:textId="3BA9FC57" w:rsidR="003B2CE5" w:rsidRPr="00A452F2" w:rsidRDefault="004E64E1" w:rsidP="00540F68">
      <w:pPr>
        <w:pStyle w:val="Heading3"/>
      </w:pPr>
      <w:r>
        <w:t>Storage</w:t>
      </w:r>
      <w:r w:rsidR="003B2CE5" w:rsidRPr="00A452F2">
        <w:t xml:space="preserve"> Configuration </w:t>
      </w:r>
    </w:p>
    <w:p w14:paraId="30806C23" w14:textId="19F490D5" w:rsidR="004E64E1" w:rsidRDefault="004E64E1" w:rsidP="00F6120D">
      <w:pPr>
        <w:rPr>
          <w:lang w:val="en-GB"/>
        </w:rPr>
      </w:pPr>
      <w:r>
        <w:rPr>
          <w:lang w:val="en-GB"/>
        </w:rPr>
        <w:t xml:space="preserve">The dashboard covers both vSAN and non vSAN. </w:t>
      </w:r>
    </w:p>
    <w:p w14:paraId="298947D7" w14:textId="6B1F72B5" w:rsidR="00D65000" w:rsidRPr="00A452F2" w:rsidRDefault="00D65000" w:rsidP="00F6120D">
      <w:pPr>
        <w:rPr>
          <w:lang w:val="en-GB"/>
        </w:rPr>
      </w:pPr>
      <w:r w:rsidRPr="00A452F2">
        <w:rPr>
          <w:lang w:val="en-GB"/>
        </w:rPr>
        <w:t xml:space="preserve">The dashboard is organized into </w:t>
      </w:r>
      <w:r w:rsidR="00E74A56" w:rsidRPr="00A452F2">
        <w:rPr>
          <w:lang w:val="en-GB"/>
        </w:rPr>
        <w:t xml:space="preserve">3 </w:t>
      </w:r>
      <w:r w:rsidRPr="00A452F2">
        <w:rPr>
          <w:lang w:val="en-GB"/>
        </w:rPr>
        <w:t xml:space="preserve">sections for ease of use. </w:t>
      </w:r>
    </w:p>
    <w:p w14:paraId="6E7BA2A0" w14:textId="72B056B6" w:rsidR="00E74A56" w:rsidRPr="00A452F2" w:rsidRDefault="00E74A56" w:rsidP="00F6120D">
      <w:pPr>
        <w:rPr>
          <w:lang w:val="en-GB"/>
        </w:rPr>
      </w:pPr>
      <w:r w:rsidRPr="00A452F2">
        <w:rPr>
          <w:lang w:val="en-GB"/>
        </w:rPr>
        <w:t xml:space="preserve">The first section displays </w:t>
      </w:r>
      <w:r w:rsidR="00C242AC" w:rsidRPr="00A452F2">
        <w:rPr>
          <w:lang w:val="en-GB"/>
        </w:rPr>
        <w:t>6 pie charts</w:t>
      </w:r>
    </w:p>
    <w:p w14:paraId="181AC9D7" w14:textId="0C142BF9" w:rsidR="00E74A56" w:rsidRPr="00A452F2" w:rsidRDefault="00E74A56" w:rsidP="00BB4B86">
      <w:pPr>
        <w:pStyle w:val="ListParagraph"/>
        <w:numPr>
          <w:ilvl w:val="0"/>
          <w:numId w:val="4"/>
        </w:numPr>
        <w:rPr>
          <w:lang w:val="en-GB"/>
        </w:rPr>
      </w:pPr>
      <w:r w:rsidRPr="00A452F2">
        <w:rPr>
          <w:lang w:val="en-GB"/>
        </w:rPr>
        <w:t xml:space="preserve">There are 5 bar charts that focuses on critical security settings. </w:t>
      </w:r>
      <w:r w:rsidR="001C7870" w:rsidRPr="00A452F2">
        <w:rPr>
          <w:lang w:val="en-GB"/>
        </w:rPr>
        <w:t xml:space="preserve">Their </w:t>
      </w:r>
      <w:r w:rsidR="00375D88" w:rsidRPr="00A452F2">
        <w:rPr>
          <w:lang w:val="en-GB"/>
        </w:rPr>
        <w:t>values</w:t>
      </w:r>
      <w:r w:rsidR="001C7870" w:rsidRPr="00A452F2">
        <w:rPr>
          <w:lang w:val="en-GB"/>
        </w:rPr>
        <w:t xml:space="preserve"> should match your </w:t>
      </w:r>
      <w:r w:rsidR="00375D88" w:rsidRPr="00A452F2">
        <w:rPr>
          <w:lang w:val="en-GB"/>
        </w:rPr>
        <w:t>security policy</w:t>
      </w:r>
      <w:r w:rsidR="001C7870" w:rsidRPr="00A452F2">
        <w:rPr>
          <w:lang w:val="en-GB"/>
        </w:rPr>
        <w:t>.</w:t>
      </w:r>
    </w:p>
    <w:p w14:paraId="56BDFE5E" w14:textId="77777777" w:rsidR="00E74A56" w:rsidRPr="00A452F2" w:rsidRDefault="00E74A56" w:rsidP="00BB4B86">
      <w:pPr>
        <w:pStyle w:val="ListParagraph"/>
        <w:numPr>
          <w:ilvl w:val="0"/>
          <w:numId w:val="4"/>
        </w:numPr>
        <w:rPr>
          <w:lang w:val="en-GB"/>
        </w:rPr>
      </w:pPr>
      <w:r w:rsidRPr="00A452F2">
        <w:rPr>
          <w:lang w:val="en-GB"/>
        </w:rPr>
        <w:t>The last bar chat shows the version of the vSphere Distribution Switch. Aim to keep the version current, or matching your vSphere version.</w:t>
      </w:r>
    </w:p>
    <w:p w14:paraId="51D43E01" w14:textId="41FF62C1" w:rsidR="00E74A56" w:rsidRPr="00A452F2" w:rsidRDefault="00E74A56" w:rsidP="00F6120D">
      <w:pPr>
        <w:rPr>
          <w:lang w:val="en-GB"/>
        </w:rPr>
      </w:pPr>
      <w:r w:rsidRPr="00A452F2">
        <w:rPr>
          <w:lang w:val="en-GB"/>
        </w:rPr>
        <w:t xml:space="preserve">The second section </w:t>
      </w:r>
      <w:r w:rsidR="00C242AC" w:rsidRPr="00A452F2">
        <w:rPr>
          <w:lang w:val="en-GB"/>
        </w:rPr>
        <w:t>displays 3 bar charts</w:t>
      </w:r>
    </w:p>
    <w:p w14:paraId="565B8EBE" w14:textId="0C3FBB57" w:rsidR="00E74A56" w:rsidRPr="00A452F2" w:rsidRDefault="000A13D8" w:rsidP="00BB4B86">
      <w:pPr>
        <w:pStyle w:val="ListParagraph"/>
        <w:numPr>
          <w:ilvl w:val="0"/>
          <w:numId w:val="4"/>
        </w:numPr>
        <w:rPr>
          <w:lang w:val="en-GB"/>
        </w:rPr>
      </w:pPr>
      <w:r w:rsidRPr="00A452F2">
        <w:rPr>
          <w:lang w:val="en-GB"/>
        </w:rPr>
        <w:t>Together, they provide good overview of the vSAN key capacity configuration</w:t>
      </w:r>
      <w:r w:rsidR="009C2D14" w:rsidRPr="00A452F2">
        <w:rPr>
          <w:lang w:val="en-GB"/>
        </w:rPr>
        <w:t xml:space="preserve">. By seeing the distribution, you can see if you have capacity configuration that is outside your expectation. </w:t>
      </w:r>
    </w:p>
    <w:p w14:paraId="2A6A03B5" w14:textId="77777777" w:rsidR="00665D8B" w:rsidRPr="00A452F2" w:rsidRDefault="009919E5" w:rsidP="00F6120D">
      <w:pPr>
        <w:rPr>
          <w:lang w:val="en-GB" w:eastAsia="en-SG"/>
        </w:rPr>
      </w:pPr>
      <w:r w:rsidRPr="00A452F2">
        <w:rPr>
          <w:lang w:val="en-GB"/>
        </w:rPr>
        <w:t xml:space="preserve">The last part of the dashboard shows </w:t>
      </w:r>
      <w:r w:rsidRPr="00A452F2">
        <w:rPr>
          <w:lang w:val="en-GB" w:eastAsia="en-SG"/>
        </w:rPr>
        <w:t xml:space="preserve">all the vSAN clusters with their key configuration. </w:t>
      </w:r>
    </w:p>
    <w:p w14:paraId="2459BBF5" w14:textId="37655231" w:rsidR="00665D8B" w:rsidRPr="00A452F2" w:rsidRDefault="00665D8B" w:rsidP="00BB4B86">
      <w:pPr>
        <w:pStyle w:val="ListParagraph"/>
        <w:numPr>
          <w:ilvl w:val="0"/>
          <w:numId w:val="4"/>
        </w:numPr>
        <w:rPr>
          <w:lang w:val="en-GB" w:eastAsia="en-SG"/>
        </w:rPr>
      </w:pPr>
      <w:r w:rsidRPr="00A452F2">
        <w:rPr>
          <w:lang w:val="en-GB" w:eastAsia="en-SG"/>
        </w:rPr>
        <w:t xml:space="preserve">Some of the columns are </w:t>
      </w:r>
      <w:r w:rsidR="00E65E9E">
        <w:rPr>
          <w:lang w:val="en-GB" w:eastAsia="en-SG"/>
        </w:rPr>
        <w:t>color</w:t>
      </w:r>
      <w:r w:rsidRPr="00A452F2">
        <w:rPr>
          <w:lang w:val="en-GB" w:eastAsia="en-SG"/>
        </w:rPr>
        <w:t xml:space="preserve"> coded to facilitate quick reviews. Adjust their threshold </w:t>
      </w:r>
      <w:r w:rsidR="007B08AC" w:rsidRPr="00A452F2">
        <w:rPr>
          <w:lang w:val="en-GB" w:eastAsia="en-SG"/>
        </w:rPr>
        <w:t xml:space="preserve">to </w:t>
      </w:r>
      <w:r w:rsidR="007B08AC" w:rsidRPr="00A452F2">
        <w:rPr>
          <w:lang w:val="en-GB"/>
        </w:rPr>
        <w:t>either reflect your current situation or your desired ideal state</w:t>
      </w:r>
    </w:p>
    <w:p w14:paraId="169419AB" w14:textId="24A68C1B" w:rsidR="003B2CE5" w:rsidRPr="00A452F2" w:rsidRDefault="009919E5" w:rsidP="00BB4B86">
      <w:pPr>
        <w:pStyle w:val="ListParagraph"/>
        <w:numPr>
          <w:ilvl w:val="0"/>
          <w:numId w:val="4"/>
        </w:numPr>
        <w:rPr>
          <w:lang w:val="en-GB" w:eastAsia="en-SG"/>
        </w:rPr>
      </w:pPr>
      <w:r w:rsidRPr="00A452F2">
        <w:rPr>
          <w:lang w:val="en-GB" w:eastAsia="en-SG"/>
        </w:rPr>
        <w:t>You can sort the columns and export the result into spreadsheet for further analysis.</w:t>
      </w:r>
    </w:p>
    <w:p w14:paraId="674C2FAB" w14:textId="3148F952" w:rsidR="003B2CE5" w:rsidRDefault="00B34EE1" w:rsidP="00540F68">
      <w:pPr>
        <w:pStyle w:val="Heading3"/>
      </w:pPr>
      <w:r>
        <w:lastRenderedPageBreak/>
        <w:t xml:space="preserve">Optimize </w:t>
      </w:r>
      <w:r w:rsidR="001E1AD8">
        <w:t>Configuration</w:t>
      </w:r>
    </w:p>
    <w:p w14:paraId="57918525" w14:textId="61B6AC42" w:rsidR="00094CD2" w:rsidRDefault="00000000" w:rsidP="00094CD2">
      <w:pPr>
        <w:rPr>
          <w:lang w:val="en-GB"/>
        </w:rPr>
      </w:pPr>
      <w:hyperlink w:anchor="_Configuration_Management_1" w:history="1">
        <w:r w:rsidR="00707E2C" w:rsidRPr="00354DCC">
          <w:rPr>
            <w:rStyle w:val="Hyperlink"/>
            <w:lang w:val="en-GB"/>
          </w:rPr>
          <w:t>Part 2 Chapter 4 Configuration Management</w:t>
        </w:r>
      </w:hyperlink>
      <w:r w:rsidR="00707E2C">
        <w:rPr>
          <w:lang w:val="en-GB"/>
        </w:rPr>
        <w:t xml:space="preserve"> covers th</w:t>
      </w:r>
      <w:r w:rsidR="00354DCC">
        <w:rPr>
          <w:lang w:val="en-GB"/>
        </w:rPr>
        <w:t xml:space="preserve">e flow to optimize configuration. It follows </w:t>
      </w:r>
      <w:r w:rsidR="00D71A82">
        <w:rPr>
          <w:lang w:val="en-GB"/>
        </w:rPr>
        <w:t>the following</w:t>
      </w:r>
      <w:r w:rsidR="00354DCC">
        <w:rPr>
          <w:lang w:val="en-GB"/>
        </w:rPr>
        <w:t xml:space="preserve"> </w:t>
      </w:r>
      <w:r w:rsidR="00D71A82">
        <w:rPr>
          <w:lang w:val="en-GB"/>
        </w:rPr>
        <w:t xml:space="preserve">4-steps, where each step reviews both the Consumer (e.g. VM, Container) and Provider (e.g. Cluster, </w:t>
      </w:r>
      <w:r w:rsidR="00106F1D">
        <w:rPr>
          <w:lang w:val="en-GB"/>
        </w:rPr>
        <w:t>ESXi, Datastore)</w:t>
      </w:r>
      <w:r w:rsidR="00D71A82">
        <w:rPr>
          <w:lang w:val="en-GB"/>
        </w:rPr>
        <w:t>.</w:t>
      </w:r>
    </w:p>
    <w:p w14:paraId="698EC320" w14:textId="0D5D04B6" w:rsidR="00354DCC" w:rsidRPr="00094CD2" w:rsidRDefault="00354DCC" w:rsidP="00354DCC">
      <w:pPr>
        <w:jc w:val="center"/>
        <w:rPr>
          <w:lang w:val="en-GB"/>
        </w:rPr>
      </w:pPr>
      <w:r w:rsidRPr="00354DCC">
        <w:rPr>
          <w:noProof/>
          <w:lang w:val="en-GB"/>
        </w:rPr>
        <w:drawing>
          <wp:inline distT="0" distB="0" distL="0" distR="0" wp14:anchorId="448A71F0" wp14:editId="4A29DD98">
            <wp:extent cx="4305300" cy="526953"/>
            <wp:effectExtent l="0" t="0" r="0" b="6985"/>
            <wp:docPr id="1583707918" name="Picture 1583707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1"/>
                    <a:stretch>
                      <a:fillRect/>
                    </a:stretch>
                  </pic:blipFill>
                  <pic:spPr>
                    <a:xfrm>
                      <a:off x="0" y="0"/>
                      <a:ext cx="4325885" cy="529473"/>
                    </a:xfrm>
                    <a:prstGeom prst="rect">
                      <a:avLst/>
                    </a:prstGeom>
                  </pic:spPr>
                </pic:pic>
              </a:graphicData>
            </a:graphic>
          </wp:inline>
        </w:drawing>
      </w:r>
    </w:p>
    <w:p w14:paraId="50D30EAB" w14:textId="02856AD7" w:rsidR="00B34EE1" w:rsidRDefault="000B1F17" w:rsidP="00D22F36">
      <w:pPr>
        <w:rPr>
          <w:lang w:val="en-GB"/>
        </w:rPr>
      </w:pPr>
      <w:r>
        <w:rPr>
          <w:lang w:val="en-GB"/>
        </w:rPr>
        <w:t xml:space="preserve">To keep the </w:t>
      </w:r>
      <w:r w:rsidR="005F6699">
        <w:rPr>
          <w:lang w:val="en-GB"/>
        </w:rPr>
        <w:t xml:space="preserve">solution </w:t>
      </w:r>
      <w:r>
        <w:rPr>
          <w:lang w:val="en-GB"/>
        </w:rPr>
        <w:t>extendable</w:t>
      </w:r>
      <w:r w:rsidR="005F6699">
        <w:rPr>
          <w:lang w:val="en-GB"/>
        </w:rPr>
        <w:t xml:space="preserve"> yet simple</w:t>
      </w:r>
      <w:r>
        <w:rPr>
          <w:lang w:val="en-GB"/>
        </w:rPr>
        <w:t>, the</w:t>
      </w:r>
      <w:r w:rsidR="005F6699">
        <w:rPr>
          <w:lang w:val="en-GB"/>
        </w:rPr>
        <w:t xml:space="preserve"> above flow is implemented in 8 </w:t>
      </w:r>
      <w:r w:rsidR="00D22F36">
        <w:rPr>
          <w:lang w:val="en-GB"/>
        </w:rPr>
        <w:t>dashboards that are designed as a set. U</w:t>
      </w:r>
      <w:r w:rsidR="00B34EE1" w:rsidRPr="00A452F2">
        <w:rPr>
          <w:lang w:val="en-GB"/>
        </w:rPr>
        <w:t xml:space="preserve">se them together as you go through the optimization review process. </w:t>
      </w:r>
      <w:r w:rsidR="00B462C0">
        <w:rPr>
          <w:lang w:val="en-GB"/>
        </w:rPr>
        <w:t>The dashboards are:</w:t>
      </w:r>
    </w:p>
    <w:p w14:paraId="536062F1" w14:textId="4438DC7B" w:rsidR="00B462C0" w:rsidRPr="00C53F33" w:rsidRDefault="00B462C0" w:rsidP="00C53F33">
      <w:pPr>
        <w:pStyle w:val="Bullet"/>
      </w:pPr>
      <w:r w:rsidRPr="00C53F33">
        <w:t>Consumer \ Correct it?</w:t>
      </w:r>
    </w:p>
    <w:p w14:paraId="546F4169" w14:textId="681402BC" w:rsidR="00EB12D9" w:rsidRPr="00C53F33" w:rsidRDefault="00EB12D9" w:rsidP="00C53F33">
      <w:pPr>
        <w:pStyle w:val="Bullet"/>
      </w:pPr>
      <w:r w:rsidRPr="00C53F33">
        <w:t>Consumer \ Update it?</w:t>
      </w:r>
    </w:p>
    <w:p w14:paraId="62B9D6B0" w14:textId="138B19E8" w:rsidR="00CF352D" w:rsidRPr="00C53F33" w:rsidRDefault="00CF352D" w:rsidP="00C53F33">
      <w:pPr>
        <w:pStyle w:val="Bullet"/>
      </w:pPr>
      <w:r w:rsidRPr="00C53F33">
        <w:t>Consumer \ Simplify it?</w:t>
      </w:r>
    </w:p>
    <w:p w14:paraId="79C8AFBB" w14:textId="624D363F" w:rsidR="002C3F71" w:rsidRDefault="002C3F71" w:rsidP="00C53F33">
      <w:pPr>
        <w:pStyle w:val="Bullet"/>
      </w:pPr>
      <w:r w:rsidRPr="00C53F33">
        <w:t>Consumer</w:t>
      </w:r>
      <w:r w:rsidRPr="00A452F2">
        <w:t xml:space="preserve"> \ Optimize it? </w:t>
      </w:r>
    </w:p>
    <w:p w14:paraId="4727020D" w14:textId="4698FA00" w:rsidR="00C53F33" w:rsidRDefault="00C53F33" w:rsidP="00C53F33">
      <w:pPr>
        <w:pStyle w:val="Bullet"/>
      </w:pPr>
      <w:r w:rsidRPr="00A452F2">
        <w:t>Provider \ Correct it?</w:t>
      </w:r>
    </w:p>
    <w:p w14:paraId="17AEAC2C" w14:textId="076AE632" w:rsidR="00CC3C37" w:rsidRPr="00C53F33" w:rsidRDefault="00CC3C37" w:rsidP="00CC3C37">
      <w:pPr>
        <w:pStyle w:val="Bullet"/>
      </w:pPr>
      <w:r w:rsidRPr="00A452F2">
        <w:t xml:space="preserve">Provider </w:t>
      </w:r>
      <w:r w:rsidRPr="00C53F33">
        <w:t>\ Update it?</w:t>
      </w:r>
    </w:p>
    <w:p w14:paraId="230FD759" w14:textId="2CE89867" w:rsidR="00CC3C37" w:rsidRPr="00C53F33" w:rsidRDefault="00CC3C37" w:rsidP="00CC3C37">
      <w:pPr>
        <w:pStyle w:val="Bullet"/>
      </w:pPr>
      <w:r w:rsidRPr="00A452F2">
        <w:t xml:space="preserve">Provider </w:t>
      </w:r>
      <w:r w:rsidRPr="00C53F33">
        <w:t>\ Simplify it?</w:t>
      </w:r>
    </w:p>
    <w:p w14:paraId="75BBACF6" w14:textId="16B5E841" w:rsidR="00CC3C37" w:rsidRPr="00A452F2" w:rsidRDefault="00CC3C37" w:rsidP="004872FC">
      <w:pPr>
        <w:pStyle w:val="Bullet"/>
      </w:pPr>
      <w:r w:rsidRPr="00A452F2">
        <w:t xml:space="preserve">Provider \ Optimize it? </w:t>
      </w:r>
    </w:p>
    <w:p w14:paraId="70CDA649" w14:textId="44EAE9F6" w:rsidR="003B2CE5" w:rsidRPr="00A452F2" w:rsidRDefault="003B2CE5" w:rsidP="00F6120D">
      <w:pPr>
        <w:rPr>
          <w:lang w:val="en-GB"/>
        </w:rPr>
      </w:pPr>
      <w:r w:rsidRPr="00A452F2">
        <w:rPr>
          <w:lang w:val="en-GB"/>
        </w:rPr>
        <w:t>The dashboard</w:t>
      </w:r>
      <w:r w:rsidR="00D22F36">
        <w:rPr>
          <w:lang w:val="en-GB"/>
        </w:rPr>
        <w:t>s</w:t>
      </w:r>
      <w:r w:rsidRPr="00A452F2">
        <w:rPr>
          <w:lang w:val="en-GB"/>
        </w:rPr>
        <w:t xml:space="preserve"> complements the main configuration dashboard by displaying the actual </w:t>
      </w:r>
      <w:r w:rsidR="00EE5ADC">
        <w:rPr>
          <w:lang w:val="en-GB"/>
        </w:rPr>
        <w:t>object names</w:t>
      </w:r>
      <w:r w:rsidRPr="00A452F2">
        <w:rPr>
          <w:lang w:val="en-GB"/>
        </w:rPr>
        <w:t>,</w:t>
      </w:r>
      <w:r w:rsidR="00EE5ADC">
        <w:rPr>
          <w:lang w:val="en-GB"/>
        </w:rPr>
        <w:t xml:space="preserve"> along</w:t>
      </w:r>
      <w:r w:rsidRPr="00A452F2">
        <w:rPr>
          <w:lang w:val="en-GB"/>
        </w:rPr>
        <w:t xml:space="preserve"> with their relevant information. It is designed for vSphere administrator and platform team, to facilitate the follow-up action with the VM owners. </w:t>
      </w:r>
    </w:p>
    <w:p w14:paraId="3B107255" w14:textId="505C10A1" w:rsidR="0076274D" w:rsidRPr="00A452F2" w:rsidRDefault="003B2CE5" w:rsidP="0076274D">
      <w:pPr>
        <w:rPr>
          <w:lang w:val="en-GB"/>
        </w:rPr>
      </w:pPr>
      <w:bookmarkStart w:id="152" w:name="_Design_Consideration_4"/>
      <w:bookmarkEnd w:id="152"/>
      <w:r w:rsidRPr="00A452F2">
        <w:rPr>
          <w:lang w:val="en-GB"/>
        </w:rPr>
        <w:t xml:space="preserve">The dashboard is designed to focus on </w:t>
      </w:r>
      <w:r w:rsidR="00EE5ADC">
        <w:rPr>
          <w:lang w:val="en-GB"/>
        </w:rPr>
        <w:t>objects</w:t>
      </w:r>
      <w:r w:rsidRPr="00A452F2">
        <w:rPr>
          <w:lang w:val="en-GB"/>
        </w:rPr>
        <w:t xml:space="preserve"> that need attention. A list is used to keep it simple, and show actual objects. The list is easy to be tailored by filter and custom group. The list can also be exported for an offline discussion.</w:t>
      </w:r>
      <w:r w:rsidR="0076274D" w:rsidRPr="0076274D">
        <w:rPr>
          <w:lang w:val="en-GB"/>
        </w:rPr>
        <w:t xml:space="preserve"> </w:t>
      </w:r>
      <w:r w:rsidR="0076274D">
        <w:rPr>
          <w:lang w:val="en-GB"/>
        </w:rPr>
        <w:t xml:space="preserve">Each </w:t>
      </w:r>
      <w:r w:rsidR="0076274D" w:rsidRPr="00A452F2">
        <w:rPr>
          <w:lang w:val="en-GB"/>
        </w:rPr>
        <w:t xml:space="preserve">dashboard is just a collection of tables (List View), which can be reviewed independently. There is no flow among them. </w:t>
      </w:r>
    </w:p>
    <w:p w14:paraId="31D510F1" w14:textId="194BB606" w:rsidR="003B2CE5" w:rsidRDefault="003B2CE5" w:rsidP="00F6120D">
      <w:pPr>
        <w:rPr>
          <w:lang w:val="en-GB"/>
        </w:rPr>
      </w:pPr>
      <w:r w:rsidRPr="00A452F2">
        <w:rPr>
          <w:lang w:val="en-GB"/>
        </w:rPr>
        <w:t xml:space="preserve">It’s also designed to be extendable, reflecting the reality that different customers will have a </w:t>
      </w:r>
      <w:r w:rsidR="00EC36B7" w:rsidRPr="00A452F2">
        <w:rPr>
          <w:lang w:val="en-GB"/>
        </w:rPr>
        <w:t>different set of settings</w:t>
      </w:r>
      <w:r w:rsidRPr="00A452F2">
        <w:rPr>
          <w:lang w:val="en-GB"/>
        </w:rPr>
        <w:t xml:space="preserve"> to </w:t>
      </w:r>
      <w:r w:rsidR="00EC36B7" w:rsidRPr="00A452F2">
        <w:rPr>
          <w:lang w:val="en-GB"/>
        </w:rPr>
        <w:t>verify</w:t>
      </w:r>
      <w:r w:rsidRPr="00A452F2">
        <w:rPr>
          <w:lang w:val="en-GB"/>
        </w:rPr>
        <w:t>. Since the dashboard layout is just a collection of tables</w:t>
      </w:r>
      <w:r w:rsidR="00DC4248" w:rsidRPr="00A452F2">
        <w:rPr>
          <w:lang w:val="en-GB"/>
        </w:rPr>
        <w:t xml:space="preserve"> (View List)</w:t>
      </w:r>
      <w:r w:rsidRPr="00A452F2">
        <w:rPr>
          <w:lang w:val="en-GB"/>
        </w:rPr>
        <w:t xml:space="preserve">, </w:t>
      </w:r>
      <w:r w:rsidR="00DC4248" w:rsidRPr="00A452F2">
        <w:rPr>
          <w:lang w:val="en-GB"/>
        </w:rPr>
        <w:t xml:space="preserve">you can extend </w:t>
      </w:r>
      <w:r w:rsidR="00E94333" w:rsidRPr="00A452F2">
        <w:rPr>
          <w:lang w:val="en-GB"/>
        </w:rPr>
        <w:t xml:space="preserve">it by simply adding more tables. </w:t>
      </w:r>
      <w:r w:rsidRPr="00A452F2">
        <w:rPr>
          <w:lang w:val="en-GB"/>
        </w:rPr>
        <w:t xml:space="preserve">Simply add more View List widget to check the </w:t>
      </w:r>
      <w:r w:rsidR="0076274D">
        <w:rPr>
          <w:lang w:val="en-GB"/>
        </w:rPr>
        <w:t>object</w:t>
      </w:r>
      <w:r w:rsidRPr="00A452F2">
        <w:rPr>
          <w:lang w:val="en-GB"/>
        </w:rPr>
        <w:t xml:space="preserve"> configuration that your operations require. </w:t>
      </w:r>
    </w:p>
    <w:p w14:paraId="41C195B8" w14:textId="519E1A2D" w:rsidR="0076274D" w:rsidRPr="00A452F2" w:rsidRDefault="00302E31" w:rsidP="00E31290">
      <w:pPr>
        <w:rPr>
          <w:lang w:val="en-GB"/>
        </w:rPr>
      </w:pPr>
      <w:r>
        <w:rPr>
          <w:lang w:val="en-GB"/>
        </w:rPr>
        <w:t>To investigate further, c</w:t>
      </w:r>
      <w:r w:rsidR="0076274D" w:rsidRPr="00A452F2">
        <w:rPr>
          <w:lang w:val="en-GB"/>
        </w:rPr>
        <w:t xml:space="preserve">lick the object name to navigate to the </w:t>
      </w:r>
      <w:r w:rsidR="0076274D" w:rsidRPr="00A452F2">
        <w:rPr>
          <w:rStyle w:val="keyword"/>
          <w:lang w:val="en-GB"/>
        </w:rPr>
        <w:t>Object Summary</w:t>
      </w:r>
      <w:r w:rsidR="0076274D" w:rsidRPr="00A452F2">
        <w:rPr>
          <w:lang w:val="en-GB"/>
        </w:rPr>
        <w:t xml:space="preserve"> page to view more configurations. There can be valid reasons why specific configurations are not followed. It is recommended that you discuss best practices with VMware.</w:t>
      </w:r>
      <w:r w:rsidR="00E31290">
        <w:rPr>
          <w:lang w:val="en-GB"/>
        </w:rPr>
        <w:t xml:space="preserve"> If you prefer </w:t>
      </w:r>
      <w:r w:rsidR="00E31290" w:rsidRPr="00A452F2">
        <w:rPr>
          <w:lang w:val="en-GB"/>
        </w:rPr>
        <w:t xml:space="preserve">a quick context, add a property widget that lists the selected </w:t>
      </w:r>
      <w:r w:rsidR="00355670">
        <w:rPr>
          <w:lang w:val="en-GB"/>
        </w:rPr>
        <w:t xml:space="preserve">object </w:t>
      </w:r>
      <w:r w:rsidR="00E31290" w:rsidRPr="00A452F2">
        <w:rPr>
          <w:lang w:val="en-GB"/>
        </w:rPr>
        <w:t xml:space="preserve">properties. In this way you can check the property of your interest without the need to leave the screen. Note that multiple View List widget can drive the same property widget, so you do not have to create 1 property widget for each View List. </w:t>
      </w:r>
    </w:p>
    <w:p w14:paraId="4B2BF3B7" w14:textId="0FA52674" w:rsidR="00EB12D9" w:rsidRDefault="00EB12D9" w:rsidP="00EB12D9">
      <w:pPr>
        <w:rPr>
          <w:lang w:val="en-GB"/>
        </w:rPr>
      </w:pPr>
      <w:r w:rsidRPr="00A452F2">
        <w:rPr>
          <w:lang w:val="en-GB"/>
        </w:rPr>
        <w:t>In a very large environment, create a filter for this dashboard to enable you to focus on a segment of the environment. Group it by a class of service such as, Gold, silver, and bronze. Default the selection to Gold, your most important environment. In this way, your monitoring is not cluttered with less critical workloads.</w:t>
      </w:r>
    </w:p>
    <w:p w14:paraId="4DC0E377" w14:textId="26BE951A" w:rsidR="00CF352D" w:rsidRDefault="00CF352D" w:rsidP="00EB12D9">
      <w:pPr>
        <w:rPr>
          <w:lang w:val="en-GB"/>
        </w:rPr>
      </w:pPr>
      <w:r w:rsidRPr="00A452F2">
        <w:rPr>
          <w:lang w:val="en-GB"/>
        </w:rPr>
        <w:t xml:space="preserve">There are other VM configuration that maybe relevant to your environment. Review the list of VM settings that you may want to add to this dashboard </w:t>
      </w:r>
      <w:hyperlink w:anchor="_Configuration_Management" w:history="1">
        <w:r w:rsidRPr="00A452F2">
          <w:rPr>
            <w:rStyle w:val="Hyperlink"/>
            <w:lang w:val="en-GB"/>
          </w:rPr>
          <w:t>here</w:t>
        </w:r>
      </w:hyperlink>
      <w:r w:rsidRPr="00A452F2">
        <w:rPr>
          <w:lang w:val="en-GB"/>
        </w:rPr>
        <w:t>.</w:t>
      </w:r>
    </w:p>
    <w:p w14:paraId="7FE53565" w14:textId="036DC099" w:rsidR="004926CC" w:rsidRPr="006B45C2" w:rsidRDefault="00CF352D" w:rsidP="00AC6E1E">
      <w:pPr>
        <w:pStyle w:val="Heading4"/>
      </w:pPr>
      <w:bookmarkStart w:id="153" w:name="_Points_to_Note_1"/>
      <w:bookmarkEnd w:id="153"/>
      <w:r w:rsidRPr="00A452F2">
        <w:lastRenderedPageBreak/>
        <w:t>Consumer \ Update it?</w:t>
      </w:r>
    </w:p>
    <w:p w14:paraId="173E52E3" w14:textId="77777777" w:rsidR="004926CC" w:rsidRPr="00A452F2" w:rsidRDefault="004926CC" w:rsidP="004926CC">
      <w:pPr>
        <w:rPr>
          <w:lang w:val="en-GB"/>
        </w:rPr>
      </w:pPr>
      <w:r w:rsidRPr="00A452F2">
        <w:rPr>
          <w:lang w:val="en-GB"/>
        </w:rPr>
        <w:t>About Outdated Tools table</w:t>
      </w:r>
    </w:p>
    <w:p w14:paraId="4CFE9738" w14:textId="77777777" w:rsidR="004926CC" w:rsidRPr="00A452F2" w:rsidRDefault="004926CC" w:rsidP="00BB4B86">
      <w:pPr>
        <w:pStyle w:val="ListParagraph"/>
        <w:numPr>
          <w:ilvl w:val="0"/>
          <w:numId w:val="12"/>
        </w:numPr>
        <w:rPr>
          <w:lang w:val="en-GB"/>
        </w:rPr>
      </w:pPr>
      <w:r w:rsidRPr="00A452F2">
        <w:rPr>
          <w:lang w:val="en-GB"/>
        </w:rPr>
        <w:t xml:space="preserve">It lists all the VMware Tools version that is still supported. You should tailor the filter to fit your operational needs. </w:t>
      </w:r>
    </w:p>
    <w:p w14:paraId="5DFC277E" w14:textId="77777777" w:rsidR="004926CC" w:rsidRPr="00A452F2" w:rsidRDefault="004926CC" w:rsidP="004926CC">
      <w:pPr>
        <w:rPr>
          <w:lang w:val="en-GB"/>
        </w:rPr>
      </w:pPr>
      <w:r w:rsidRPr="00A452F2">
        <w:rPr>
          <w:lang w:val="en-GB"/>
        </w:rPr>
        <w:t>About Outdated VM Hardware</w:t>
      </w:r>
    </w:p>
    <w:p w14:paraId="2D83F90C" w14:textId="77777777" w:rsidR="004926CC" w:rsidRPr="00A452F2" w:rsidRDefault="004926CC" w:rsidP="003A093A">
      <w:pPr>
        <w:pStyle w:val="Bullet"/>
        <w:rPr>
          <w:lang w:val="en-GB"/>
        </w:rPr>
      </w:pPr>
      <w:r w:rsidRPr="00A452F2">
        <w:rPr>
          <w:lang w:val="en-GB"/>
        </w:rPr>
        <w:t>It lists all the VM vmx versions that are not 13, 14, 15, or 16. You should tailor the filter to fit your operational needs.</w:t>
      </w:r>
    </w:p>
    <w:p w14:paraId="3AF606E5" w14:textId="6D231DD4" w:rsidR="004926CC" w:rsidRPr="00A452F2" w:rsidRDefault="004926CC" w:rsidP="004926CC">
      <w:pPr>
        <w:rPr>
          <w:lang w:val="en-GB"/>
        </w:rPr>
      </w:pPr>
      <w:r w:rsidRPr="00A452F2">
        <w:rPr>
          <w:lang w:val="en-GB"/>
        </w:rPr>
        <w:t xml:space="preserve">About the outdated Windows and </w:t>
      </w:r>
      <w:r w:rsidR="00CF7D2C" w:rsidRPr="00CF7D2C">
        <w:rPr>
          <w:color w:val="FF0000"/>
          <w:lang w:val="en-GB"/>
        </w:rPr>
        <w:t>Red</w:t>
      </w:r>
      <w:r w:rsidRPr="00A452F2">
        <w:rPr>
          <w:lang w:val="en-GB"/>
        </w:rPr>
        <w:t xml:space="preserve"> Hat</w:t>
      </w:r>
    </w:p>
    <w:p w14:paraId="0B734840" w14:textId="77777777" w:rsidR="004926CC" w:rsidRPr="00A452F2" w:rsidRDefault="004926CC" w:rsidP="003A093A">
      <w:pPr>
        <w:pStyle w:val="Bullet"/>
        <w:rPr>
          <w:lang w:val="en-GB"/>
        </w:rPr>
      </w:pPr>
      <w:r w:rsidRPr="00A452F2">
        <w:rPr>
          <w:lang w:val="en-GB"/>
        </w:rPr>
        <w:t>It lists all Microsoft Windows client version that are not version 10</w:t>
      </w:r>
    </w:p>
    <w:p w14:paraId="60A7768C" w14:textId="77777777" w:rsidR="004926CC" w:rsidRPr="00A452F2" w:rsidRDefault="004926CC" w:rsidP="003A093A">
      <w:pPr>
        <w:pStyle w:val="Bullet"/>
        <w:rPr>
          <w:lang w:val="en-GB"/>
        </w:rPr>
      </w:pPr>
      <w:r w:rsidRPr="00A452F2">
        <w:rPr>
          <w:lang w:val="en-GB"/>
        </w:rPr>
        <w:t>It lists all Microsoft Windows server version that are not version 2016 and 2019.</w:t>
      </w:r>
    </w:p>
    <w:p w14:paraId="137BB4A6" w14:textId="5AE2E218" w:rsidR="004926CC" w:rsidRPr="00A452F2" w:rsidRDefault="004926CC" w:rsidP="003A093A">
      <w:pPr>
        <w:pStyle w:val="Bullet"/>
        <w:rPr>
          <w:lang w:val="en-GB"/>
        </w:rPr>
      </w:pPr>
      <w:r w:rsidRPr="00A452F2">
        <w:rPr>
          <w:lang w:val="en-GB"/>
        </w:rPr>
        <w:t xml:space="preserve">It lists all </w:t>
      </w:r>
      <w:r w:rsidR="00CF7D2C" w:rsidRPr="00CF7D2C">
        <w:rPr>
          <w:color w:val="FF0000"/>
          <w:lang w:val="en-GB"/>
        </w:rPr>
        <w:t>Red</w:t>
      </w:r>
      <w:r w:rsidRPr="00A452F2">
        <w:rPr>
          <w:lang w:val="en-GB"/>
        </w:rPr>
        <w:t xml:space="preserve"> Hat Enterprise Linux version that are not version 7 or 8.</w:t>
      </w:r>
    </w:p>
    <w:p w14:paraId="0BCE0B57" w14:textId="77777777" w:rsidR="004926CC" w:rsidRPr="00A452F2" w:rsidRDefault="004926CC" w:rsidP="003A093A">
      <w:pPr>
        <w:pStyle w:val="Bullet"/>
        <w:rPr>
          <w:lang w:val="en-GB"/>
        </w:rPr>
      </w:pPr>
      <w:r w:rsidRPr="00A452F2">
        <w:rPr>
          <w:lang w:val="en-GB"/>
        </w:rPr>
        <w:t>If you run other Operating Systems like Ubuntu, clone the widget. Or repurpose the widget if you don’t run RHEL and MS Windows</w:t>
      </w:r>
    </w:p>
    <w:p w14:paraId="3DBD1418" w14:textId="77777777" w:rsidR="009E745A" w:rsidRPr="00A452F2" w:rsidRDefault="009E745A" w:rsidP="00AC6E1E">
      <w:pPr>
        <w:pStyle w:val="Heading4"/>
      </w:pPr>
      <w:r w:rsidRPr="00A452F2">
        <w:t xml:space="preserve">Provider \ Correct it? </w:t>
      </w:r>
    </w:p>
    <w:p w14:paraId="19B8A0E8" w14:textId="77777777" w:rsidR="009E745A" w:rsidRPr="00A452F2" w:rsidRDefault="009E745A" w:rsidP="009E745A">
      <w:pPr>
        <w:rPr>
          <w:lang w:val="en-GB"/>
        </w:rPr>
      </w:pPr>
      <w:r w:rsidRPr="00A452F2">
        <w:rPr>
          <w:lang w:val="en-GB"/>
        </w:rPr>
        <w:t xml:space="preserve">The dashboard is organized into 3 sections for ease of use. </w:t>
      </w:r>
    </w:p>
    <w:p w14:paraId="5B01A2FF" w14:textId="77777777" w:rsidR="009E745A" w:rsidRPr="002E7192" w:rsidRDefault="009E745A" w:rsidP="003A093A">
      <w:pPr>
        <w:pStyle w:val="Bullet"/>
        <w:rPr>
          <w:lang w:val="en-GB"/>
        </w:rPr>
      </w:pPr>
      <w:r w:rsidRPr="002E7192">
        <w:rPr>
          <w:lang w:val="en-GB"/>
        </w:rPr>
        <w:t>The first section covers vSphere clusters configuration</w:t>
      </w:r>
    </w:p>
    <w:p w14:paraId="683DF14E" w14:textId="77777777" w:rsidR="009E745A" w:rsidRPr="002E7192" w:rsidRDefault="009E745A" w:rsidP="003A093A">
      <w:pPr>
        <w:pStyle w:val="Bullet"/>
        <w:rPr>
          <w:lang w:val="en-GB" w:eastAsia="en-SG"/>
        </w:rPr>
      </w:pPr>
      <w:r w:rsidRPr="002E7192">
        <w:rPr>
          <w:lang w:val="en-GB" w:eastAsia="en-SG"/>
        </w:rPr>
        <w:t>The second section covers ESXi host configuration</w:t>
      </w:r>
    </w:p>
    <w:p w14:paraId="43A4F0C1" w14:textId="77777777" w:rsidR="009E745A" w:rsidRPr="002E7192" w:rsidRDefault="009E745A" w:rsidP="003A093A">
      <w:pPr>
        <w:pStyle w:val="Bullet"/>
        <w:rPr>
          <w:lang w:val="en-GB" w:eastAsia="en-SG"/>
        </w:rPr>
      </w:pPr>
      <w:r w:rsidRPr="002E7192">
        <w:rPr>
          <w:lang w:val="en-GB" w:eastAsia="en-SG"/>
        </w:rPr>
        <w:t>The third section covers ESXi host configuration that need to be consistent within a cluster</w:t>
      </w:r>
    </w:p>
    <w:p w14:paraId="7ACACF59" w14:textId="77777777" w:rsidR="009E745A" w:rsidRPr="00A452F2" w:rsidRDefault="009E745A" w:rsidP="00C53F33">
      <w:pPr>
        <w:rPr>
          <w:lang w:val="en-GB"/>
        </w:rPr>
      </w:pPr>
      <w:r w:rsidRPr="00A452F2">
        <w:rPr>
          <w:lang w:val="en-GB"/>
        </w:rPr>
        <w:t>If you have standalone ESXi and you plan to replace them with clustered ESXi host, add a table to list them.</w:t>
      </w:r>
    </w:p>
    <w:p w14:paraId="182C1521" w14:textId="188F2D07" w:rsidR="00FE5701" w:rsidRPr="00A452F2" w:rsidRDefault="00FE5701" w:rsidP="00AC6E1E">
      <w:pPr>
        <w:pStyle w:val="Heading4"/>
      </w:pPr>
      <w:r w:rsidRPr="00A452F2">
        <w:t xml:space="preserve">Provider \ Update it? </w:t>
      </w:r>
    </w:p>
    <w:p w14:paraId="3426E027" w14:textId="3BE06237" w:rsidR="00686367" w:rsidRPr="00A452F2" w:rsidRDefault="00686367" w:rsidP="00F6120D">
      <w:pPr>
        <w:rPr>
          <w:lang w:val="en-GB"/>
        </w:rPr>
      </w:pPr>
      <w:r w:rsidRPr="00A452F2">
        <w:rPr>
          <w:lang w:val="en-GB"/>
        </w:rPr>
        <w:t xml:space="preserve">About </w:t>
      </w:r>
      <w:r w:rsidR="005C7A84" w:rsidRPr="00A452F2">
        <w:rPr>
          <w:lang w:val="en-GB"/>
        </w:rPr>
        <w:t xml:space="preserve">the outdated vSphere </w:t>
      </w:r>
      <w:r w:rsidR="004E59D7" w:rsidRPr="00A452F2">
        <w:rPr>
          <w:lang w:val="en-GB"/>
        </w:rPr>
        <w:t>components</w:t>
      </w:r>
    </w:p>
    <w:p w14:paraId="5271F6E2" w14:textId="3A008B24" w:rsidR="00686367" w:rsidRPr="00A452F2" w:rsidRDefault="00686367" w:rsidP="003A093A">
      <w:pPr>
        <w:pStyle w:val="Bullet"/>
        <w:rPr>
          <w:lang w:val="en-GB"/>
        </w:rPr>
      </w:pPr>
      <w:r w:rsidRPr="00A452F2">
        <w:rPr>
          <w:lang w:val="en-GB"/>
        </w:rPr>
        <w:t>It lists all the</w:t>
      </w:r>
      <w:r w:rsidR="00A75302" w:rsidRPr="00A452F2">
        <w:rPr>
          <w:lang w:val="en-GB"/>
        </w:rPr>
        <w:t xml:space="preserve"> vCenter Server that </w:t>
      </w:r>
      <w:r w:rsidRPr="00A452F2">
        <w:rPr>
          <w:lang w:val="en-GB"/>
        </w:rPr>
        <w:t xml:space="preserve">are not </w:t>
      </w:r>
      <w:r w:rsidR="009513AF" w:rsidRPr="00A452F2">
        <w:rPr>
          <w:lang w:val="en-GB"/>
        </w:rPr>
        <w:t>6.7 or 7.0</w:t>
      </w:r>
      <w:r w:rsidRPr="00A452F2">
        <w:rPr>
          <w:lang w:val="en-GB"/>
        </w:rPr>
        <w:t xml:space="preserve">. </w:t>
      </w:r>
    </w:p>
    <w:p w14:paraId="09EB7A68" w14:textId="256EB585" w:rsidR="009513AF" w:rsidRPr="00A452F2" w:rsidRDefault="009513AF" w:rsidP="003A093A">
      <w:pPr>
        <w:pStyle w:val="Bullet"/>
        <w:rPr>
          <w:lang w:val="en-GB"/>
        </w:rPr>
      </w:pPr>
      <w:r w:rsidRPr="00A452F2">
        <w:rPr>
          <w:lang w:val="en-GB"/>
        </w:rPr>
        <w:t xml:space="preserve">It lists all the </w:t>
      </w:r>
      <w:r w:rsidR="00A56BA6" w:rsidRPr="00A452F2">
        <w:rPr>
          <w:lang w:val="en-GB"/>
        </w:rPr>
        <w:t>ESXi Host that are not 6.5, 6.7 or 7.0</w:t>
      </w:r>
    </w:p>
    <w:p w14:paraId="1BFEB558" w14:textId="71CF8EF9" w:rsidR="00794C4E" w:rsidRPr="00A452F2" w:rsidRDefault="00794C4E" w:rsidP="003A093A">
      <w:pPr>
        <w:pStyle w:val="Bullet"/>
        <w:rPr>
          <w:lang w:val="en-GB"/>
        </w:rPr>
      </w:pPr>
      <w:r w:rsidRPr="00A452F2">
        <w:rPr>
          <w:lang w:val="en-GB"/>
        </w:rPr>
        <w:t xml:space="preserve">It lists all the vSAN ESXi Host that are not 6.7 or 7.0. A more stringent filter is applied for vSAN </w:t>
      </w:r>
      <w:r w:rsidR="005935E0" w:rsidRPr="00A452F2">
        <w:rPr>
          <w:lang w:val="en-GB"/>
        </w:rPr>
        <w:t xml:space="preserve">due to relatively </w:t>
      </w:r>
      <w:r w:rsidR="00433735" w:rsidRPr="00A452F2">
        <w:rPr>
          <w:lang w:val="en-GB"/>
        </w:rPr>
        <w:t xml:space="preserve">higher maturity in the </w:t>
      </w:r>
      <w:r w:rsidR="00B85687" w:rsidRPr="00A452F2">
        <w:rPr>
          <w:lang w:val="en-GB"/>
        </w:rPr>
        <w:t xml:space="preserve">latest release. </w:t>
      </w:r>
      <w:r w:rsidR="004C06C4" w:rsidRPr="00A452F2">
        <w:rPr>
          <w:lang w:val="en-GB"/>
        </w:rPr>
        <w:t xml:space="preserve">Specifically from </w:t>
      </w:r>
      <w:r w:rsidR="00F72B2F" w:rsidRPr="00A452F2">
        <w:rPr>
          <w:lang w:val="en-GB"/>
        </w:rPr>
        <w:t xml:space="preserve">vRealize Operations </w:t>
      </w:r>
      <w:r w:rsidR="002046C4" w:rsidRPr="00A452F2">
        <w:rPr>
          <w:lang w:val="en-GB"/>
        </w:rPr>
        <w:t>and Log Insight</w:t>
      </w:r>
      <w:r w:rsidR="004C06C4" w:rsidRPr="00A452F2">
        <w:rPr>
          <w:lang w:val="en-GB"/>
        </w:rPr>
        <w:t xml:space="preserve">, there are more </w:t>
      </w:r>
      <w:r w:rsidR="008D3A3F">
        <w:rPr>
          <w:lang w:val="en-GB"/>
        </w:rPr>
        <w:t>metrics</w:t>
      </w:r>
      <w:r w:rsidR="002046C4" w:rsidRPr="00A452F2">
        <w:rPr>
          <w:lang w:val="en-GB"/>
        </w:rPr>
        <w:t xml:space="preserve">, properties and events that improve monitoring and troubleshooting. </w:t>
      </w:r>
    </w:p>
    <w:p w14:paraId="696A096D" w14:textId="7D432D6F" w:rsidR="002A5749" w:rsidRPr="00A452F2" w:rsidRDefault="002A5749" w:rsidP="003A093A">
      <w:pPr>
        <w:pStyle w:val="Bullet"/>
        <w:rPr>
          <w:lang w:val="en-GB"/>
        </w:rPr>
      </w:pPr>
      <w:r w:rsidRPr="00A452F2">
        <w:rPr>
          <w:lang w:val="en-GB"/>
        </w:rPr>
        <w:t xml:space="preserve">It lists all the vSphere Distributed Switch, regardless of version. </w:t>
      </w:r>
    </w:p>
    <w:p w14:paraId="4D4A03F2" w14:textId="2B863F78" w:rsidR="006A3CC3" w:rsidRPr="00A452F2" w:rsidRDefault="006A3CC3" w:rsidP="00BB4B86">
      <w:pPr>
        <w:pStyle w:val="ListParagraph"/>
        <w:numPr>
          <w:ilvl w:val="0"/>
          <w:numId w:val="12"/>
        </w:numPr>
        <w:rPr>
          <w:lang w:val="en-GB"/>
        </w:rPr>
      </w:pPr>
      <w:r w:rsidRPr="00A452F2">
        <w:rPr>
          <w:lang w:val="en-GB"/>
        </w:rPr>
        <w:lastRenderedPageBreak/>
        <w:t>You should tailor the filter to fit your operational needs.</w:t>
      </w:r>
    </w:p>
    <w:p w14:paraId="4AF3DEA3" w14:textId="6876ED71" w:rsidR="001638F2" w:rsidRPr="00A452F2" w:rsidRDefault="001638F2" w:rsidP="00F6120D">
      <w:pPr>
        <w:rPr>
          <w:lang w:val="en-GB"/>
        </w:rPr>
      </w:pPr>
      <w:r w:rsidRPr="00A452F2">
        <w:rPr>
          <w:lang w:val="en-GB"/>
        </w:rPr>
        <w:t>About Outdated Server BIOS</w:t>
      </w:r>
    </w:p>
    <w:p w14:paraId="08B0EB7C" w14:textId="69F50BA0" w:rsidR="001638F2" w:rsidRPr="00A452F2" w:rsidRDefault="001638F2" w:rsidP="003A093A">
      <w:pPr>
        <w:pStyle w:val="Bullet"/>
        <w:rPr>
          <w:lang w:val="en-GB"/>
        </w:rPr>
      </w:pPr>
      <w:r w:rsidRPr="00A452F2">
        <w:rPr>
          <w:lang w:val="en-GB"/>
        </w:rPr>
        <w:t xml:space="preserve">It lists all the </w:t>
      </w:r>
      <w:r w:rsidR="00664936" w:rsidRPr="00A452F2">
        <w:rPr>
          <w:lang w:val="en-GB"/>
        </w:rPr>
        <w:t xml:space="preserve">ESXi </w:t>
      </w:r>
      <w:r w:rsidR="00084C0C" w:rsidRPr="00A452F2">
        <w:rPr>
          <w:lang w:val="en-GB"/>
        </w:rPr>
        <w:t xml:space="preserve">regardless of the BIOS version. </w:t>
      </w:r>
      <w:r w:rsidR="00BB1BB0" w:rsidRPr="00A452F2">
        <w:rPr>
          <w:lang w:val="en-GB"/>
        </w:rPr>
        <w:t xml:space="preserve">Edit the widget and </w:t>
      </w:r>
      <w:r w:rsidRPr="00A452F2">
        <w:rPr>
          <w:lang w:val="en-GB"/>
        </w:rPr>
        <w:t>tailor the filter to fit your operational needs.</w:t>
      </w:r>
    </w:p>
    <w:p w14:paraId="77754A19" w14:textId="2C7C6E78" w:rsidR="00FE5701" w:rsidRPr="00A452F2" w:rsidRDefault="00157427" w:rsidP="00F6120D">
      <w:pPr>
        <w:rPr>
          <w:lang w:val="en-GB"/>
        </w:rPr>
      </w:pPr>
      <w:r w:rsidRPr="00A452F2">
        <w:rPr>
          <w:lang w:val="en-GB"/>
        </w:rPr>
        <w:t>Other than customiz</w:t>
      </w:r>
      <w:r w:rsidR="00556FA0" w:rsidRPr="00A452F2">
        <w:rPr>
          <w:lang w:val="en-GB"/>
        </w:rPr>
        <w:t xml:space="preserve">ing the existing widgets, consider adding the following </w:t>
      </w:r>
      <w:r w:rsidR="00377F55" w:rsidRPr="00A452F2">
        <w:rPr>
          <w:lang w:val="en-GB"/>
        </w:rPr>
        <w:t xml:space="preserve">checks. </w:t>
      </w:r>
    </w:p>
    <w:p w14:paraId="61B5EAB6" w14:textId="6F3FA98F" w:rsidR="00377F55" w:rsidRPr="00A452F2" w:rsidRDefault="00377F55" w:rsidP="003A093A">
      <w:pPr>
        <w:pStyle w:val="Bullet"/>
        <w:rPr>
          <w:lang w:val="en-GB" w:eastAsia="en-SG"/>
        </w:rPr>
      </w:pPr>
      <w:r w:rsidRPr="00A452F2">
        <w:rPr>
          <w:lang w:val="en-GB" w:eastAsia="en-SG"/>
        </w:rPr>
        <w:t xml:space="preserve">ESXi hosts with outdated hardware, using a filter based on your environment. </w:t>
      </w:r>
    </w:p>
    <w:p w14:paraId="1AFA3105" w14:textId="7858B388" w:rsidR="00377F55" w:rsidRPr="00A452F2" w:rsidRDefault="00377F55" w:rsidP="003A093A">
      <w:pPr>
        <w:pStyle w:val="Bullet"/>
        <w:rPr>
          <w:lang w:val="en-GB" w:eastAsia="en-SG"/>
        </w:rPr>
      </w:pPr>
      <w:r w:rsidRPr="00A452F2">
        <w:rPr>
          <w:lang w:val="en-GB" w:eastAsia="en-SG"/>
        </w:rPr>
        <w:t xml:space="preserve">ESXi hosts that are no longer on warranty. Create a custom property to capture the end of warranty. </w:t>
      </w:r>
    </w:p>
    <w:p w14:paraId="0B374BAF" w14:textId="3CC06CD7" w:rsidR="00377F55" w:rsidRPr="00A452F2" w:rsidRDefault="00377F55" w:rsidP="003A093A">
      <w:pPr>
        <w:pStyle w:val="Bullet"/>
        <w:rPr>
          <w:lang w:val="en-GB" w:eastAsia="en-SG"/>
        </w:rPr>
      </w:pPr>
      <w:r w:rsidRPr="00A452F2">
        <w:rPr>
          <w:lang w:val="en-GB" w:eastAsia="en-SG"/>
        </w:rPr>
        <w:t xml:space="preserve">Physical storage arrays </w:t>
      </w:r>
      <w:r w:rsidR="003D455A" w:rsidRPr="00A452F2">
        <w:rPr>
          <w:lang w:val="en-GB" w:eastAsia="en-SG"/>
        </w:rPr>
        <w:t>with outdated firmware</w:t>
      </w:r>
      <w:r w:rsidR="00C13EDD" w:rsidRPr="00A452F2">
        <w:rPr>
          <w:lang w:val="en-GB" w:eastAsia="en-SG"/>
        </w:rPr>
        <w:t xml:space="preserve">, model </w:t>
      </w:r>
      <w:r w:rsidR="009D055F" w:rsidRPr="00A452F2">
        <w:rPr>
          <w:lang w:val="en-GB" w:eastAsia="en-SG"/>
        </w:rPr>
        <w:t>and</w:t>
      </w:r>
      <w:r w:rsidR="003D455A" w:rsidRPr="00A452F2">
        <w:rPr>
          <w:lang w:val="en-GB" w:eastAsia="en-SG"/>
        </w:rPr>
        <w:t xml:space="preserve"> </w:t>
      </w:r>
      <w:r w:rsidR="00C13EDD" w:rsidRPr="00A452F2">
        <w:rPr>
          <w:lang w:val="en-GB" w:eastAsia="en-SG"/>
        </w:rPr>
        <w:t xml:space="preserve">expiring </w:t>
      </w:r>
      <w:r w:rsidRPr="00A452F2">
        <w:rPr>
          <w:lang w:val="en-GB" w:eastAsia="en-SG"/>
        </w:rPr>
        <w:t>warranty expire</w:t>
      </w:r>
      <w:r w:rsidR="00257D0D" w:rsidRPr="00A452F2">
        <w:rPr>
          <w:lang w:val="en-GB" w:eastAsia="en-SG"/>
        </w:rPr>
        <w:t xml:space="preserve">. </w:t>
      </w:r>
    </w:p>
    <w:p w14:paraId="635F3B42" w14:textId="2518A919" w:rsidR="00377F55" w:rsidRPr="00A452F2" w:rsidRDefault="00966281" w:rsidP="003A093A">
      <w:pPr>
        <w:pStyle w:val="Bullet"/>
        <w:rPr>
          <w:lang w:val="en-GB" w:eastAsia="en-SG"/>
        </w:rPr>
      </w:pPr>
      <w:r w:rsidRPr="00A452F2">
        <w:rPr>
          <w:lang w:val="en-GB" w:eastAsia="en-SG"/>
        </w:rPr>
        <w:t>P</w:t>
      </w:r>
      <w:r w:rsidR="00377F55" w:rsidRPr="00A452F2">
        <w:rPr>
          <w:lang w:val="en-GB" w:eastAsia="en-SG"/>
        </w:rPr>
        <w:t xml:space="preserve">hysical network switch </w:t>
      </w:r>
      <w:r w:rsidR="00C13EDD" w:rsidRPr="00A452F2">
        <w:rPr>
          <w:lang w:val="en-GB" w:eastAsia="en-SG"/>
        </w:rPr>
        <w:t xml:space="preserve">with outdated </w:t>
      </w:r>
      <w:r w:rsidR="00377F55" w:rsidRPr="00A452F2">
        <w:rPr>
          <w:lang w:val="en-GB" w:eastAsia="en-SG"/>
        </w:rPr>
        <w:t>OS version and hardware model</w:t>
      </w:r>
    </w:p>
    <w:p w14:paraId="4FA1BE2B" w14:textId="0243F77C" w:rsidR="00A93F00" w:rsidRPr="00A452F2" w:rsidRDefault="00A93F00" w:rsidP="00F6120D">
      <w:pPr>
        <w:rPr>
          <w:lang w:val="en-GB" w:eastAsia="en-SG"/>
        </w:rPr>
      </w:pPr>
      <w:r w:rsidRPr="00A452F2">
        <w:rPr>
          <w:lang w:val="en-GB" w:eastAsia="en-SG"/>
        </w:rPr>
        <w:t xml:space="preserve">Note that the last </w:t>
      </w:r>
      <w:r w:rsidR="00CE0D53" w:rsidRPr="00A452F2">
        <w:rPr>
          <w:lang w:val="en-GB" w:eastAsia="en-SG"/>
        </w:rPr>
        <w:t xml:space="preserve">2 items above </w:t>
      </w:r>
      <w:r w:rsidRPr="00A452F2">
        <w:rPr>
          <w:lang w:val="en-GB" w:eastAsia="en-SG"/>
        </w:rPr>
        <w:t>requires you to install relevant management pack.</w:t>
      </w:r>
    </w:p>
    <w:p w14:paraId="7F643121" w14:textId="47BF3138" w:rsidR="003B2CE5" w:rsidRPr="00A452F2" w:rsidRDefault="003B2CE5" w:rsidP="00AC6E1E">
      <w:pPr>
        <w:pStyle w:val="Heading4"/>
      </w:pPr>
      <w:r w:rsidRPr="00A452F2">
        <w:t xml:space="preserve">Provider \ Simplify it? </w:t>
      </w:r>
    </w:p>
    <w:p w14:paraId="185385A7" w14:textId="79A88355" w:rsidR="003B2CE5" w:rsidRPr="005F0B44" w:rsidRDefault="00D267B9" w:rsidP="005F0B44">
      <w:pPr>
        <w:rPr>
          <w:lang w:val="en-GB" w:eastAsia="en-SG"/>
        </w:rPr>
      </w:pPr>
      <w:r w:rsidRPr="00A452F2">
        <w:rPr>
          <w:lang w:val="en-GB" w:eastAsia="en-SG"/>
        </w:rPr>
        <w:t xml:space="preserve">Select one of the </w:t>
      </w:r>
      <w:r w:rsidR="000B3BD8" w:rsidRPr="00A452F2">
        <w:rPr>
          <w:lang w:val="en-GB" w:eastAsia="en-SG"/>
        </w:rPr>
        <w:t>cluster from the table.</w:t>
      </w:r>
    </w:p>
    <w:p w14:paraId="573B291D" w14:textId="7DF074B6" w:rsidR="003B2CE5" w:rsidRPr="00A452F2" w:rsidRDefault="009839DF" w:rsidP="00F6120D">
      <w:pPr>
        <w:rPr>
          <w:lang w:val="en-GB" w:eastAsia="en-SG"/>
        </w:rPr>
      </w:pPr>
      <w:r w:rsidRPr="00A452F2">
        <w:rPr>
          <w:lang w:val="en-GB" w:eastAsia="en-SG"/>
        </w:rPr>
        <w:t xml:space="preserve">Review the </w:t>
      </w:r>
      <w:r w:rsidR="003B2CE5" w:rsidRPr="00A452F2">
        <w:rPr>
          <w:lang w:val="en-GB" w:eastAsia="en-SG"/>
        </w:rPr>
        <w:t>Resource Pools</w:t>
      </w:r>
      <w:r w:rsidRPr="00A452F2">
        <w:rPr>
          <w:lang w:val="en-GB" w:eastAsia="en-SG"/>
        </w:rPr>
        <w:t xml:space="preserve"> list</w:t>
      </w:r>
      <w:r w:rsidR="00374BCB">
        <w:rPr>
          <w:lang w:val="en-GB" w:eastAsia="en-SG"/>
        </w:rPr>
        <w:t>.</w:t>
      </w:r>
    </w:p>
    <w:p w14:paraId="13A52863" w14:textId="77777777" w:rsidR="003B2CE5" w:rsidRPr="00A452F2" w:rsidRDefault="003B2CE5" w:rsidP="003A093A">
      <w:pPr>
        <w:pStyle w:val="Bullet"/>
        <w:rPr>
          <w:lang w:val="en-GB" w:eastAsia="en-SG"/>
        </w:rPr>
      </w:pPr>
      <w:r w:rsidRPr="00A452F2">
        <w:rPr>
          <w:lang w:val="en-GB" w:eastAsia="en-SG"/>
        </w:rPr>
        <w:t xml:space="preserve">Ensure that the number of VMs in each resource pool reflects the intended settings for the resource pool. The resource pool value is divided and shared among the VMs. The more the VMs, the lesser the resources allotted to each VM. </w:t>
      </w:r>
    </w:p>
    <w:p w14:paraId="420B1231" w14:textId="77777777" w:rsidR="003B2CE5" w:rsidRPr="00A452F2" w:rsidRDefault="003B2CE5" w:rsidP="003A093A">
      <w:pPr>
        <w:pStyle w:val="Bullet"/>
        <w:rPr>
          <w:lang w:val="en-GB" w:eastAsia="en-SG"/>
        </w:rPr>
      </w:pPr>
      <w:r w:rsidRPr="00A452F2">
        <w:rPr>
          <w:lang w:val="en-GB" w:eastAsia="en-SG"/>
        </w:rPr>
        <w:t xml:space="preserve">Verify if there are VMs who are sibling to the resource pools. </w:t>
      </w:r>
    </w:p>
    <w:p w14:paraId="3DC5AC6E" w14:textId="77777777" w:rsidR="003B2CE5" w:rsidRPr="00A452F2" w:rsidRDefault="003B2CE5" w:rsidP="003A093A">
      <w:pPr>
        <w:pStyle w:val="Bullet"/>
        <w:rPr>
          <w:lang w:val="en-GB" w:eastAsia="en-SG"/>
        </w:rPr>
      </w:pPr>
      <w:r w:rsidRPr="00A452F2">
        <w:rPr>
          <w:lang w:val="en-GB" w:eastAsia="en-SG"/>
        </w:rPr>
        <w:t xml:space="preserve">Verify if the resource pools are further split into sub resource pools. </w:t>
      </w:r>
    </w:p>
    <w:p w14:paraId="6374CE80" w14:textId="660ACC8D" w:rsidR="003B2CE5" w:rsidRPr="00A452F2" w:rsidRDefault="00EF6373" w:rsidP="00F6120D">
      <w:pPr>
        <w:rPr>
          <w:lang w:val="en-GB" w:eastAsia="en-SG"/>
        </w:rPr>
      </w:pPr>
      <w:r w:rsidRPr="00A452F2">
        <w:rPr>
          <w:lang w:val="en-GB" w:eastAsia="en-SG"/>
        </w:rPr>
        <w:t xml:space="preserve">Review the CPU </w:t>
      </w:r>
      <w:r w:rsidR="003B2CE5" w:rsidRPr="00A452F2">
        <w:rPr>
          <w:lang w:val="en-GB" w:eastAsia="en-SG"/>
        </w:rPr>
        <w:t>Share</w:t>
      </w:r>
      <w:r w:rsidRPr="00A452F2">
        <w:rPr>
          <w:lang w:val="en-GB" w:eastAsia="en-SG"/>
        </w:rPr>
        <w:t xml:space="preserve"> and Memory shares pie charts</w:t>
      </w:r>
    </w:p>
    <w:p w14:paraId="53EB6C10" w14:textId="6340C88D" w:rsidR="008C6418" w:rsidRPr="00410B2A" w:rsidRDefault="003B2CE5" w:rsidP="003A093A">
      <w:pPr>
        <w:pStyle w:val="Bullet"/>
        <w:rPr>
          <w:lang w:val="en-GB" w:eastAsia="en-SG"/>
        </w:rPr>
      </w:pPr>
      <w:r w:rsidRPr="00410B2A">
        <w:rPr>
          <w:lang w:val="en-GB" w:eastAsia="en-SG"/>
        </w:rPr>
        <w:t>Multiple combinations of shares, especially both CPU and memory, makes troubleshooting difficult.</w:t>
      </w:r>
    </w:p>
    <w:p w14:paraId="33C1CB5B" w14:textId="1D7E893F" w:rsidR="00EF6373" w:rsidRPr="00A452F2" w:rsidRDefault="00EF6373" w:rsidP="00F6120D">
      <w:pPr>
        <w:rPr>
          <w:lang w:val="en-GB" w:eastAsia="en-SG"/>
        </w:rPr>
      </w:pPr>
      <w:r w:rsidRPr="00A452F2">
        <w:rPr>
          <w:lang w:val="en-GB" w:eastAsia="en-SG"/>
        </w:rPr>
        <w:t>Review the CPU Reservation and Memory Reservation tables</w:t>
      </w:r>
    </w:p>
    <w:p w14:paraId="62BA58C9" w14:textId="0CD01CB8" w:rsidR="003B2CE5" w:rsidRPr="00A452F2" w:rsidRDefault="003B2CE5" w:rsidP="00AC6E1E">
      <w:pPr>
        <w:pStyle w:val="Heading4"/>
      </w:pPr>
      <w:r w:rsidRPr="00A452F2">
        <w:t xml:space="preserve">Provider \ Optimize it? </w:t>
      </w:r>
    </w:p>
    <w:p w14:paraId="5C1959EE" w14:textId="77777777" w:rsidR="006C1E07" w:rsidRPr="00A452F2" w:rsidRDefault="006C1E07" w:rsidP="00F6120D">
      <w:pPr>
        <w:rPr>
          <w:lang w:val="en-GB"/>
        </w:rPr>
      </w:pPr>
      <w:r w:rsidRPr="00A452F2">
        <w:rPr>
          <w:lang w:val="en-GB"/>
        </w:rPr>
        <w:t xml:space="preserve">The dashboard is organized into 3 sections for ease of use. </w:t>
      </w:r>
    </w:p>
    <w:p w14:paraId="539BE7C3" w14:textId="25749E2D" w:rsidR="006C1E07" w:rsidRPr="00A452F2" w:rsidRDefault="006C1E07" w:rsidP="00EC6DBD">
      <w:pPr>
        <w:pStyle w:val="Bullet"/>
        <w:rPr>
          <w:lang w:val="en-GB"/>
        </w:rPr>
      </w:pPr>
      <w:r w:rsidRPr="00A452F2">
        <w:rPr>
          <w:lang w:val="en-GB"/>
        </w:rPr>
        <w:t xml:space="preserve">The first section cover vSphere clusters </w:t>
      </w:r>
      <w:r w:rsidR="00572A0B" w:rsidRPr="00A452F2">
        <w:rPr>
          <w:lang w:val="en-GB"/>
        </w:rPr>
        <w:t>configuration</w:t>
      </w:r>
    </w:p>
    <w:p w14:paraId="66597062" w14:textId="18059CD0" w:rsidR="00013D9F" w:rsidRPr="00A452F2" w:rsidRDefault="00013D9F" w:rsidP="00EC6DBD">
      <w:pPr>
        <w:pStyle w:val="Bullet"/>
        <w:rPr>
          <w:lang w:val="en-GB"/>
        </w:rPr>
      </w:pPr>
      <w:r w:rsidRPr="00A452F2">
        <w:rPr>
          <w:lang w:val="en-GB"/>
        </w:rPr>
        <w:t xml:space="preserve">The second section cover </w:t>
      </w:r>
      <w:r w:rsidR="00DC7CD8" w:rsidRPr="00A452F2">
        <w:rPr>
          <w:lang w:val="en-GB"/>
        </w:rPr>
        <w:t>ESXi Host</w:t>
      </w:r>
      <w:r w:rsidRPr="00A452F2">
        <w:rPr>
          <w:lang w:val="en-GB"/>
        </w:rPr>
        <w:t xml:space="preserve"> configuration</w:t>
      </w:r>
    </w:p>
    <w:p w14:paraId="4A96501E" w14:textId="77777777" w:rsidR="00DC7CD8" w:rsidRPr="00A452F2" w:rsidRDefault="00DC7CD8" w:rsidP="0084726C">
      <w:pPr>
        <w:pStyle w:val="Bullet1"/>
      </w:pPr>
      <w:r w:rsidRPr="00A452F2">
        <w:t xml:space="preserve">ESXi powered off. You can mark the ESXi hosts for decommissioning using the custom property </w:t>
      </w:r>
      <w:r w:rsidRPr="00A452F2">
        <w:rPr>
          <w:rFonts w:cstheme="minorHAnsi"/>
          <w:color w:val="000000" w:themeColor="text1"/>
        </w:rPr>
        <w:t>feature of vRealize Operations</w:t>
      </w:r>
      <w:r w:rsidRPr="00A452F2">
        <w:t xml:space="preserve">. You can then create a separate list so they are not overlooked. </w:t>
      </w:r>
    </w:p>
    <w:p w14:paraId="6520B09D" w14:textId="74647C7F" w:rsidR="00013D9F" w:rsidRPr="00A452F2" w:rsidRDefault="00013D9F" w:rsidP="00EC6DBD">
      <w:pPr>
        <w:pStyle w:val="Bullet"/>
        <w:rPr>
          <w:lang w:val="en-GB"/>
        </w:rPr>
      </w:pPr>
      <w:r w:rsidRPr="00A452F2">
        <w:rPr>
          <w:lang w:val="en-GB"/>
        </w:rPr>
        <w:t>The third section cover storage and ne</w:t>
      </w:r>
      <w:r w:rsidR="00FB73FC" w:rsidRPr="00A452F2">
        <w:rPr>
          <w:lang w:val="en-GB"/>
        </w:rPr>
        <w:t>t</w:t>
      </w:r>
      <w:r w:rsidRPr="00A452F2">
        <w:rPr>
          <w:lang w:val="en-GB"/>
        </w:rPr>
        <w:t>work</w:t>
      </w:r>
    </w:p>
    <w:p w14:paraId="799B9F9B" w14:textId="2F432B25" w:rsidR="003B2CE5" w:rsidRDefault="104F417D" w:rsidP="00B373E2">
      <w:pPr>
        <w:pStyle w:val="Heading2"/>
        <w:rPr>
          <w:lang w:val="en-GB"/>
        </w:rPr>
      </w:pPr>
      <w:r w:rsidRPr="152BE79F">
        <w:rPr>
          <w:lang w:val="en-GB"/>
        </w:rPr>
        <w:lastRenderedPageBreak/>
        <w:t>Availability</w:t>
      </w:r>
    </w:p>
    <w:p w14:paraId="68007C20" w14:textId="069CD90B" w:rsidR="004D4D3A" w:rsidRPr="004D4D3A" w:rsidRDefault="004D4D3A" w:rsidP="004D4D3A">
      <w:pPr>
        <w:rPr>
          <w:lang w:val="en-GB"/>
        </w:rPr>
      </w:pPr>
      <w:r>
        <w:rPr>
          <w:noProof/>
        </w:rPr>
        <mc:AlternateContent>
          <mc:Choice Requires="wps">
            <w:drawing>
              <wp:anchor distT="0" distB="0" distL="114300" distR="114300" simplePos="0" relativeHeight="251656192" behindDoc="0" locked="0" layoutInCell="1" allowOverlap="1" wp14:anchorId="4A3F3298" wp14:editId="4326DBAC">
                <wp:simplePos x="0" y="0"/>
                <wp:positionH relativeFrom="column">
                  <wp:posOffset>0</wp:posOffset>
                </wp:positionH>
                <wp:positionV relativeFrom="paragraph">
                  <wp:posOffset>0</wp:posOffset>
                </wp:positionV>
                <wp:extent cx="1828800" cy="1828800"/>
                <wp:effectExtent l="0" t="0" r="0" b="0"/>
                <wp:wrapNone/>
                <wp:docPr id="606394170" name="Text Box 60639417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5A6D1E8" w14:textId="701C28F9" w:rsidR="00E66F24" w:rsidRPr="00C84219" w:rsidRDefault="00E66F24" w:rsidP="004D4D3A">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3 Chapter </w:t>
                            </w:r>
                            <w:r w:rsidR="00A042E2">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4A3F3298" id="Text Box 606394170" o:spid="_x0000_s1047" type="#_x0000_t202" style="position:absolute;margin-left:0;margin-top:0;width:2in;height:2in;z-index:25165619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" filled="f" stroked="f">
                <v:textbox style="mso-fit-shape-to-text:t">
                  <w:txbxContent>
                    <w:p w14:paraId="75A6D1E8" w14:textId="701C28F9" w:rsidR="00E66F24" w:rsidRPr="00C84219" w:rsidRDefault="00E66F24" w:rsidP="004D4D3A">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3 Chapter </w:t>
                      </w:r>
                      <w:r w:rsidR="00A042E2">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7</w:t>
                      </w:r>
                    </w:p>
                  </w:txbxContent>
                </v:textbox>
              </v:shape>
            </w:pict>
          </mc:Fallback>
        </mc:AlternateContent>
      </w:r>
    </w:p>
    <w:p w14:paraId="6D221EF8" w14:textId="04134DEF" w:rsidR="00382E50" w:rsidRPr="00A452F2" w:rsidRDefault="00FC3D00" w:rsidP="003F097B">
      <w:pPr>
        <w:pStyle w:val="AfterChapterTitle"/>
        <w:rPr>
          <w:lang w:val="en-GB"/>
        </w:rPr>
      </w:pPr>
      <w:r>
        <w:t>The availability dashboards aims to implement the capacity concept covered in Availability Management chapter. They are rather limited, hence if you have something let’s collaborate!</w:t>
      </w:r>
    </w:p>
    <w:p w14:paraId="6246FCD6" w14:textId="77777777" w:rsidR="003B2CE5" w:rsidRPr="00A452F2" w:rsidRDefault="003B2CE5" w:rsidP="00540F68">
      <w:pPr>
        <w:pStyle w:val="Heading3"/>
      </w:pPr>
      <w:r w:rsidRPr="00A452F2">
        <w:t>VM Availability</w:t>
      </w:r>
      <w:r w:rsidRPr="00A452F2">
        <w:tab/>
      </w:r>
    </w:p>
    <w:p w14:paraId="585E7D93" w14:textId="54B61279" w:rsidR="003B2CE5" w:rsidRPr="00A452F2" w:rsidRDefault="003B2CE5" w:rsidP="00F6120D">
      <w:pPr>
        <w:rPr>
          <w:lang w:val="en-GB"/>
        </w:rPr>
      </w:pPr>
      <w:r w:rsidRPr="00A452F2">
        <w:rPr>
          <w:lang w:val="en-GB"/>
        </w:rPr>
        <w:t xml:space="preserve">Use the </w:t>
      </w:r>
      <w:r w:rsidRPr="00A452F2">
        <w:rPr>
          <w:rStyle w:val="keyword"/>
          <w:lang w:val="en-GB"/>
        </w:rPr>
        <w:t>VM Availability</w:t>
      </w:r>
      <w:r w:rsidRPr="00A452F2">
        <w:rPr>
          <w:lang w:val="en-GB"/>
        </w:rPr>
        <w:t xml:space="preserve"> dashboard to calculate the availability of the Guest OS. The availability of the Guest OS is calculated because the Guest OS might not be running even when the VM is powered on. There are two layers of Availability, that is, the Consumer layer and the Provider layer. This dashboard covers the Consumer layer. You can view VMs in the selected </w:t>
      </w:r>
      <w:r w:rsidR="005269DE" w:rsidRPr="00A452F2">
        <w:rPr>
          <w:lang w:val="en-GB"/>
        </w:rPr>
        <w:t>data center</w:t>
      </w:r>
      <w:r w:rsidRPr="00A452F2">
        <w:rPr>
          <w:lang w:val="en-GB"/>
        </w:rPr>
        <w:t>, uptime trend for a selected cluster, and so on.</w:t>
      </w:r>
    </w:p>
    <w:p w14:paraId="3C045675" w14:textId="77777777" w:rsidR="003B2CE5" w:rsidRPr="00A452F2" w:rsidRDefault="003B2CE5" w:rsidP="00AC6E1E">
      <w:pPr>
        <w:pStyle w:val="Heading4"/>
      </w:pPr>
      <w:r w:rsidRPr="00A452F2">
        <w:t>Design Consideration</w:t>
      </w:r>
    </w:p>
    <w:p w14:paraId="0D75891E" w14:textId="7EA81831" w:rsidR="003B2CE5" w:rsidRPr="00A452F2" w:rsidRDefault="003B2CE5" w:rsidP="00F6120D">
      <w:pPr>
        <w:rPr>
          <w:lang w:val="en-GB"/>
        </w:rPr>
      </w:pPr>
      <w:r w:rsidRPr="00A452F2">
        <w:rPr>
          <w:lang w:val="en-GB"/>
        </w:rPr>
        <w:t>The dashboard is designed to help check the availability (uptime in</w:t>
      </w:r>
      <w:r w:rsidR="00227A6C">
        <w:rPr>
          <w:lang w:val="en-GB"/>
        </w:rPr>
        <w:t xml:space="preserve"> percentage</w:t>
      </w:r>
      <w:r w:rsidRPr="00A452F2">
        <w:rPr>
          <w:lang w:val="en-GB"/>
        </w:rPr>
        <w:t xml:space="preserve">) of VMs, as availability is typically a part of services provided by the IaaS provider. </w:t>
      </w:r>
    </w:p>
    <w:p w14:paraId="711A09BB" w14:textId="77777777" w:rsidR="003B2CE5" w:rsidRPr="00A452F2" w:rsidRDefault="003B2CE5" w:rsidP="00F6120D">
      <w:pPr>
        <w:rPr>
          <w:lang w:val="en-GB"/>
        </w:rPr>
      </w:pPr>
      <w:r w:rsidRPr="00A452F2">
        <w:rPr>
          <w:lang w:val="en-GB"/>
        </w:rPr>
        <w:lastRenderedPageBreak/>
        <w:t>This dashboard does not check the application up time. It is possible that the application (e.g. a database, web server) is down while the underlying Windows or Linus is up. Generally, the service provided by IaaS team is only until Windows or Linux. To check application level, use network ping or application specific agent (e.g. Telegraf)</w:t>
      </w:r>
    </w:p>
    <w:p w14:paraId="0EF42FDE" w14:textId="77777777" w:rsidR="003B2CE5" w:rsidRPr="00A452F2" w:rsidRDefault="003B2CE5" w:rsidP="00AC6E1E">
      <w:pPr>
        <w:pStyle w:val="Heading4"/>
      </w:pPr>
      <w:r w:rsidRPr="00A452F2">
        <w:t>How to Use</w:t>
      </w:r>
    </w:p>
    <w:p w14:paraId="48DCFE89" w14:textId="6E7D11CD" w:rsidR="003B2CE5" w:rsidRPr="00A452F2" w:rsidRDefault="003B2CE5" w:rsidP="00F6120D">
      <w:pPr>
        <w:rPr>
          <w:lang w:val="en-GB"/>
        </w:rPr>
      </w:pPr>
      <w:r w:rsidRPr="00A452F2">
        <w:rPr>
          <w:lang w:val="en-GB"/>
        </w:rPr>
        <w:t xml:space="preserve">Start in </w:t>
      </w:r>
      <w:r w:rsidR="005269DE" w:rsidRPr="00A452F2">
        <w:rPr>
          <w:b/>
          <w:bCs/>
          <w:lang w:val="en-GB"/>
        </w:rPr>
        <w:t>Data center</w:t>
      </w:r>
      <w:r w:rsidRPr="00A452F2">
        <w:rPr>
          <w:b/>
          <w:bCs/>
          <w:lang w:val="en-GB"/>
        </w:rPr>
        <w:t>s</w:t>
      </w:r>
      <w:r w:rsidRPr="00A452F2">
        <w:rPr>
          <w:lang w:val="en-GB"/>
        </w:rPr>
        <w:t xml:space="preserve"> widget by selecting one of the </w:t>
      </w:r>
      <w:r w:rsidR="005269DE" w:rsidRPr="00A452F2">
        <w:rPr>
          <w:lang w:val="en-GB"/>
        </w:rPr>
        <w:t>data center</w:t>
      </w:r>
      <w:r w:rsidRPr="00A452F2">
        <w:rPr>
          <w:lang w:val="en-GB"/>
        </w:rPr>
        <w:t xml:space="preserve">s listed. </w:t>
      </w:r>
    </w:p>
    <w:p w14:paraId="611DB206" w14:textId="77777777" w:rsidR="003B2CE5" w:rsidRPr="00A452F2" w:rsidRDefault="003B2CE5" w:rsidP="00BB4B86">
      <w:pPr>
        <w:pStyle w:val="ListParagraph"/>
        <w:numPr>
          <w:ilvl w:val="0"/>
          <w:numId w:val="9"/>
        </w:numPr>
        <w:rPr>
          <w:lang w:val="en-GB"/>
        </w:rPr>
      </w:pPr>
      <w:r w:rsidRPr="00A452F2">
        <w:rPr>
          <w:lang w:val="en-GB"/>
        </w:rPr>
        <w:t xml:space="preserve">In small environment, or if you want to see overall, you click the </w:t>
      </w:r>
      <w:r w:rsidRPr="00A452F2">
        <w:rPr>
          <w:b/>
          <w:bCs/>
          <w:lang w:val="en-GB"/>
        </w:rPr>
        <w:t xml:space="preserve">vSphere World </w:t>
      </w:r>
      <w:r w:rsidRPr="00A452F2">
        <w:rPr>
          <w:lang w:val="en-GB"/>
        </w:rPr>
        <w:t xml:space="preserve">object. </w:t>
      </w:r>
    </w:p>
    <w:p w14:paraId="4B436B5E" w14:textId="77777777" w:rsidR="003B2CE5" w:rsidRPr="00A452F2" w:rsidRDefault="003B2CE5" w:rsidP="00BB4B86">
      <w:pPr>
        <w:pStyle w:val="ListParagraph"/>
        <w:numPr>
          <w:ilvl w:val="0"/>
          <w:numId w:val="9"/>
        </w:numPr>
        <w:rPr>
          <w:lang w:val="en-GB"/>
        </w:rPr>
      </w:pPr>
      <w:r w:rsidRPr="00A452F2">
        <w:rPr>
          <w:lang w:val="en-GB"/>
        </w:rPr>
        <w:t xml:space="preserve">The above action will update other widgets automatically. </w:t>
      </w:r>
    </w:p>
    <w:p w14:paraId="747AD128" w14:textId="66DA657E" w:rsidR="003B2CE5" w:rsidRPr="00A452F2" w:rsidRDefault="003B2CE5" w:rsidP="00BB4B86">
      <w:pPr>
        <w:pStyle w:val="ListParagraph"/>
        <w:numPr>
          <w:ilvl w:val="0"/>
          <w:numId w:val="9"/>
        </w:numPr>
        <w:rPr>
          <w:lang w:val="en-GB" w:eastAsia="en-SG"/>
        </w:rPr>
      </w:pPr>
      <w:r w:rsidRPr="00A452F2">
        <w:rPr>
          <w:lang w:val="en-GB" w:eastAsia="en-SG"/>
        </w:rPr>
        <w:t xml:space="preserve">Think of creating a filter for this table that reflect your class of service. Group by the class of services such as </w:t>
      </w:r>
      <w:r w:rsidR="00AF29E6" w:rsidRPr="00A452F2">
        <w:rPr>
          <w:lang w:val="en-GB" w:eastAsia="en-SG"/>
        </w:rPr>
        <w:t>Gold</w:t>
      </w:r>
      <w:r w:rsidRPr="00A452F2">
        <w:rPr>
          <w:lang w:val="en-GB" w:eastAsia="en-SG"/>
        </w:rPr>
        <w:t xml:space="preserve">, silver, and bronze and default the selection to Gold. In this way, the monitoring is not cluttered with less critical workloads, and you can focus on the important VMs. </w:t>
      </w:r>
      <w:r w:rsidRPr="00A452F2">
        <w:rPr>
          <w:lang w:val="en-GB"/>
        </w:rPr>
        <w:t>One way to achieve this is by creating a vRealize Operations custom group for each class of service</w:t>
      </w:r>
    </w:p>
    <w:p w14:paraId="26B6EDD5" w14:textId="77777777" w:rsidR="003B2CE5" w:rsidRPr="00A452F2" w:rsidRDefault="003B2CE5" w:rsidP="00F6120D">
      <w:pPr>
        <w:rPr>
          <w:lang w:val="en-GB"/>
        </w:rPr>
      </w:pPr>
      <w:r w:rsidRPr="00A452F2">
        <w:rPr>
          <w:lang w:val="en-GB"/>
        </w:rPr>
        <w:t>About the VMs by Uptime in the last 30 days bar chart</w:t>
      </w:r>
    </w:p>
    <w:p w14:paraId="52CED96C" w14:textId="32B64423" w:rsidR="003B2CE5" w:rsidRPr="00A452F2" w:rsidRDefault="003B2CE5" w:rsidP="00BB4B86">
      <w:pPr>
        <w:pStyle w:val="ListParagraph"/>
        <w:numPr>
          <w:ilvl w:val="0"/>
          <w:numId w:val="9"/>
        </w:numPr>
        <w:rPr>
          <w:lang w:val="en-GB"/>
        </w:rPr>
      </w:pPr>
      <w:r w:rsidRPr="00A452F2">
        <w:rPr>
          <w:lang w:val="en-GB"/>
        </w:rPr>
        <w:t xml:space="preserve">It displays the average uptime of VMs grouped by their availability. The bucket distribution is designed to cater for a wide array of environment. If </w:t>
      </w:r>
      <w:r w:rsidR="006744C1">
        <w:rPr>
          <w:lang w:val="en-GB"/>
        </w:rPr>
        <w:t>You are</w:t>
      </w:r>
      <w:r w:rsidRPr="00A452F2">
        <w:rPr>
          <w:lang w:val="en-GB"/>
        </w:rPr>
        <w:t xml:space="preserve"> monitoring only production VMs, where uptime is expected to be near 100% all the time, edit the bucket to meet your operational need. </w:t>
      </w:r>
    </w:p>
    <w:p w14:paraId="6477E44A" w14:textId="38D6551A" w:rsidR="003B2CE5" w:rsidRPr="00A452F2" w:rsidRDefault="003B2CE5" w:rsidP="00F6120D">
      <w:pPr>
        <w:rPr>
          <w:lang w:val="en-GB"/>
        </w:rPr>
      </w:pPr>
      <w:r w:rsidRPr="00A452F2">
        <w:rPr>
          <w:lang w:val="en-GB"/>
        </w:rPr>
        <w:t xml:space="preserve">About the VMs in the Selected </w:t>
      </w:r>
      <w:r w:rsidR="005269DE" w:rsidRPr="00A452F2">
        <w:rPr>
          <w:lang w:val="en-GB"/>
        </w:rPr>
        <w:t>Data center</w:t>
      </w:r>
      <w:r w:rsidRPr="00A452F2">
        <w:rPr>
          <w:lang w:val="en-GB"/>
        </w:rPr>
        <w:t xml:space="preserve"> table</w:t>
      </w:r>
    </w:p>
    <w:p w14:paraId="667DE5D7" w14:textId="30AB6F12" w:rsidR="003B2CE5" w:rsidRPr="00A452F2" w:rsidRDefault="003B2CE5" w:rsidP="00BB4B86">
      <w:pPr>
        <w:pStyle w:val="ListParagraph"/>
        <w:numPr>
          <w:ilvl w:val="0"/>
          <w:numId w:val="9"/>
        </w:numPr>
        <w:rPr>
          <w:lang w:val="en-GB"/>
        </w:rPr>
      </w:pPr>
      <w:r w:rsidRPr="00A452F2">
        <w:rPr>
          <w:lang w:val="en-GB"/>
        </w:rPr>
        <w:t xml:space="preserve">It lists all VMs currently deployed to the </w:t>
      </w:r>
      <w:r w:rsidR="005269DE" w:rsidRPr="00A452F2">
        <w:rPr>
          <w:lang w:val="en-GB"/>
        </w:rPr>
        <w:t>data center</w:t>
      </w:r>
      <w:r w:rsidRPr="00A452F2">
        <w:rPr>
          <w:lang w:val="en-GB"/>
        </w:rPr>
        <w:t xml:space="preserve">. Average Uptime is displayed for the last 1 month of data. Expect this number to be 100% or near there for production VM. </w:t>
      </w:r>
    </w:p>
    <w:p w14:paraId="06E745B8" w14:textId="79A8644F" w:rsidR="003B2CE5" w:rsidRPr="00A452F2" w:rsidRDefault="003B2CE5" w:rsidP="00BB4B86">
      <w:pPr>
        <w:pStyle w:val="ListParagraph"/>
        <w:numPr>
          <w:ilvl w:val="0"/>
          <w:numId w:val="9"/>
        </w:numPr>
        <w:rPr>
          <w:lang w:val="en-GB"/>
        </w:rPr>
      </w:pPr>
      <w:r w:rsidRPr="00A452F2">
        <w:rPr>
          <w:lang w:val="en-GB"/>
        </w:rPr>
        <w:t xml:space="preserve">Note that the </w:t>
      </w:r>
      <w:r w:rsidRPr="00A452F2">
        <w:rPr>
          <w:b/>
          <w:bCs/>
          <w:lang w:val="en-GB"/>
        </w:rPr>
        <w:t xml:space="preserve">Services </w:t>
      </w:r>
      <w:r w:rsidRPr="00A452F2">
        <w:rPr>
          <w:lang w:val="en-GB"/>
        </w:rPr>
        <w:t xml:space="preserve">column will be blank unless </w:t>
      </w:r>
      <w:r w:rsidRPr="00A452F2">
        <w:rPr>
          <w:u w:val="single"/>
          <w:lang w:val="en-GB"/>
        </w:rPr>
        <w:t>Service Discovery</w:t>
      </w:r>
      <w:r w:rsidRPr="00A452F2">
        <w:rPr>
          <w:lang w:val="en-GB"/>
        </w:rPr>
        <w:t xml:space="preserve"> is enabled and services/processes were discovered on a specific </w:t>
      </w:r>
      <w:r w:rsidR="00605560">
        <w:rPr>
          <w:lang w:val="en-GB"/>
        </w:rPr>
        <w:t>VM</w:t>
      </w:r>
      <w:r w:rsidRPr="00A452F2">
        <w:rPr>
          <w:lang w:val="en-GB"/>
        </w:rPr>
        <w:t xml:space="preserve">. </w:t>
      </w:r>
    </w:p>
    <w:p w14:paraId="716A6ACC" w14:textId="77777777" w:rsidR="003B2CE5" w:rsidRPr="00A452F2" w:rsidRDefault="003B2CE5" w:rsidP="00BB4B86">
      <w:pPr>
        <w:pStyle w:val="ListParagraph"/>
        <w:numPr>
          <w:ilvl w:val="0"/>
          <w:numId w:val="9"/>
        </w:numPr>
        <w:rPr>
          <w:lang w:val="en-GB"/>
        </w:rPr>
      </w:pPr>
      <w:r w:rsidRPr="00A452F2">
        <w:rPr>
          <w:lang w:val="en-GB"/>
        </w:rPr>
        <w:t xml:space="preserve">The column </w:t>
      </w:r>
      <w:r w:rsidRPr="00A452F2">
        <w:rPr>
          <w:b/>
          <w:bCs/>
          <w:lang w:val="en-GB"/>
        </w:rPr>
        <w:t xml:space="preserve">VMs </w:t>
      </w:r>
      <w:r w:rsidRPr="00A452F2">
        <w:rPr>
          <w:lang w:val="en-GB"/>
        </w:rPr>
        <w:t>includes all VMs including powered off VMs.</w:t>
      </w:r>
    </w:p>
    <w:p w14:paraId="1A9014D7" w14:textId="77777777" w:rsidR="003B2CE5" w:rsidRPr="00A452F2" w:rsidRDefault="003B2CE5" w:rsidP="00F6120D">
      <w:pPr>
        <w:rPr>
          <w:lang w:val="en-GB"/>
        </w:rPr>
      </w:pPr>
      <w:r w:rsidRPr="00A452F2">
        <w:rPr>
          <w:lang w:val="en-GB"/>
        </w:rPr>
        <w:t xml:space="preserve">Select a VM from the above table. </w:t>
      </w:r>
    </w:p>
    <w:p w14:paraId="247C31FB" w14:textId="77777777" w:rsidR="003B2CE5" w:rsidRPr="00A452F2" w:rsidRDefault="003B2CE5" w:rsidP="00BB4B86">
      <w:pPr>
        <w:pStyle w:val="ListParagraph"/>
        <w:numPr>
          <w:ilvl w:val="0"/>
          <w:numId w:val="9"/>
        </w:numPr>
        <w:rPr>
          <w:lang w:val="en-GB"/>
        </w:rPr>
      </w:pPr>
      <w:r w:rsidRPr="00A452F2">
        <w:rPr>
          <w:lang w:val="en-GB"/>
        </w:rPr>
        <w:t>The remaining widgets will automatically show the detail of the selected VM.</w:t>
      </w:r>
    </w:p>
    <w:p w14:paraId="4B9634A9" w14:textId="77777777" w:rsidR="003B2CE5" w:rsidRPr="00A452F2" w:rsidRDefault="003B2CE5" w:rsidP="00BB4B86">
      <w:pPr>
        <w:pStyle w:val="ListParagraph"/>
        <w:numPr>
          <w:ilvl w:val="0"/>
          <w:numId w:val="9"/>
        </w:numPr>
        <w:rPr>
          <w:lang w:val="en-GB"/>
        </w:rPr>
      </w:pPr>
      <w:r w:rsidRPr="00A452F2">
        <w:rPr>
          <w:lang w:val="en-GB"/>
        </w:rPr>
        <w:t>Selected VM Uptime Trend displays the selected VM’s Guest Tool Uptime (%) across the last 30 days.</w:t>
      </w:r>
    </w:p>
    <w:p w14:paraId="5C6F265D" w14:textId="77777777" w:rsidR="003B2CE5" w:rsidRPr="00A452F2" w:rsidRDefault="003B2CE5" w:rsidP="00F6120D">
      <w:pPr>
        <w:rPr>
          <w:lang w:val="en-GB"/>
        </w:rPr>
      </w:pPr>
      <w:r w:rsidRPr="00A452F2">
        <w:rPr>
          <w:lang w:val="en-GB"/>
        </w:rPr>
        <w:t xml:space="preserve">Expand the 2 collapsed widgets </w:t>
      </w:r>
    </w:p>
    <w:p w14:paraId="2F1F9800" w14:textId="644DB5FF" w:rsidR="003B2CE5" w:rsidRPr="00A452F2" w:rsidRDefault="003B2CE5" w:rsidP="00BB4B86">
      <w:pPr>
        <w:pStyle w:val="ListParagraph"/>
        <w:numPr>
          <w:ilvl w:val="0"/>
          <w:numId w:val="10"/>
        </w:numPr>
        <w:rPr>
          <w:lang w:val="en-GB"/>
        </w:rPr>
      </w:pPr>
      <w:r w:rsidRPr="4CAB3972">
        <w:rPr>
          <w:lang w:val="en-GB"/>
        </w:rPr>
        <w:t xml:space="preserve">If Guest OS services or processes are discovered inside a VM, their availability is </w:t>
      </w:r>
      <w:r w:rsidR="004C3B02">
        <w:rPr>
          <w:lang w:val="en-GB"/>
        </w:rPr>
        <w:t>analyze</w:t>
      </w:r>
      <w:r w:rsidRPr="4CAB3972">
        <w:rPr>
          <w:lang w:val="en-GB"/>
        </w:rPr>
        <w:t>d. Service ‘state’ over time is displayed in Guest OS: Services.</w:t>
      </w:r>
    </w:p>
    <w:p w14:paraId="6A170626" w14:textId="77777777" w:rsidR="003B2CE5" w:rsidRPr="00A452F2" w:rsidRDefault="003B2CE5" w:rsidP="00BB4B86">
      <w:pPr>
        <w:pStyle w:val="ListParagraph"/>
        <w:numPr>
          <w:ilvl w:val="0"/>
          <w:numId w:val="10"/>
        </w:numPr>
        <w:rPr>
          <w:lang w:val="en-GB" w:eastAsia="en-SG"/>
        </w:rPr>
      </w:pPr>
      <w:r w:rsidRPr="00A452F2">
        <w:rPr>
          <w:lang w:val="en-GB" w:eastAsia="en-SG"/>
        </w:rPr>
        <w:t>The dashboard displays the process or services running inside the Guest OS. This requires the Service Discovery Management Pack.</w:t>
      </w:r>
    </w:p>
    <w:p w14:paraId="1053CAF5" w14:textId="77777777" w:rsidR="003B2CE5" w:rsidRPr="00A452F2" w:rsidRDefault="003B2CE5" w:rsidP="00BB4B86">
      <w:pPr>
        <w:pStyle w:val="ListParagraph"/>
        <w:numPr>
          <w:ilvl w:val="0"/>
          <w:numId w:val="10"/>
        </w:numPr>
        <w:rPr>
          <w:lang w:val="en-GB" w:eastAsia="en-SG"/>
        </w:rPr>
      </w:pPr>
      <w:r w:rsidRPr="00A452F2">
        <w:rPr>
          <w:lang w:val="en-GB" w:eastAsia="en-SG"/>
        </w:rPr>
        <w:t xml:space="preserve">The ESXi Host where the VM has run widget can show historical migration of the VM. This can be useful in determining the cause of a VM downtime. </w:t>
      </w:r>
    </w:p>
    <w:p w14:paraId="799DC2BC" w14:textId="77777777" w:rsidR="003B2CE5" w:rsidRPr="00A452F2" w:rsidRDefault="003B2CE5" w:rsidP="00AC6E1E">
      <w:pPr>
        <w:pStyle w:val="Heading4"/>
      </w:pPr>
      <w:r w:rsidRPr="00A452F2">
        <w:lastRenderedPageBreak/>
        <w:t>Points to Note</w:t>
      </w:r>
    </w:p>
    <w:p w14:paraId="3444AD2B" w14:textId="27D4FAC5" w:rsidR="003B2CE5" w:rsidRPr="00A452F2" w:rsidRDefault="003B2CE5" w:rsidP="006F03C0">
      <w:pPr>
        <w:pStyle w:val="Bullet"/>
        <w:rPr>
          <w:lang w:val="en-GB"/>
        </w:rPr>
      </w:pPr>
      <w:r w:rsidRPr="00A452F2">
        <w:rPr>
          <w:lang w:val="en-GB"/>
        </w:rPr>
        <w:t xml:space="preserve">The metric is only tracking the availability of VMware Tools, not the entire Guest OS. If Tools is not up, it assumes the Guest OS is down. To help you check that this is not a false negative, add a few line charts that shows sign of life. A good counter is IO </w:t>
      </w:r>
      <w:r w:rsidR="008D3A3F">
        <w:rPr>
          <w:lang w:val="en-GB"/>
        </w:rPr>
        <w:t>metrics</w:t>
      </w:r>
      <w:r w:rsidRPr="00A452F2">
        <w:rPr>
          <w:lang w:val="en-GB"/>
        </w:rPr>
        <w:t xml:space="preserve"> such as Disk IOPS, Disk Throughput and Network Transmit Throughput, because IO requires CPU processing. CPU Usage is not a reliable counter as work by </w:t>
      </w:r>
      <w:r w:rsidR="00FD5A65">
        <w:rPr>
          <w:lang w:val="en-GB"/>
        </w:rPr>
        <w:t>VMkernel</w:t>
      </w:r>
      <w:r w:rsidRPr="00A452F2">
        <w:rPr>
          <w:lang w:val="en-GB"/>
        </w:rPr>
        <w:t xml:space="preserve"> on the VM is charged to the CPU </w:t>
      </w:r>
      <w:r w:rsidR="008D3A3F">
        <w:rPr>
          <w:lang w:val="en-GB"/>
        </w:rPr>
        <w:t>metrics</w:t>
      </w:r>
      <w:r w:rsidRPr="00A452F2">
        <w:rPr>
          <w:lang w:val="en-GB"/>
        </w:rPr>
        <w:t xml:space="preserve">. </w:t>
      </w:r>
    </w:p>
    <w:p w14:paraId="49B422A9" w14:textId="194384AF" w:rsidR="003B2CE5" w:rsidRPr="00A452F2" w:rsidRDefault="00F72B2F" w:rsidP="006F03C0">
      <w:pPr>
        <w:pStyle w:val="Bullet"/>
        <w:rPr>
          <w:lang w:val="en-GB"/>
        </w:rPr>
      </w:pPr>
      <w:r w:rsidRPr="00A452F2">
        <w:rPr>
          <w:lang w:val="en-GB"/>
        </w:rPr>
        <w:t xml:space="preserve">vRealize Operations </w:t>
      </w:r>
      <w:r w:rsidR="003B2CE5" w:rsidRPr="00A452F2">
        <w:rPr>
          <w:lang w:val="en-GB"/>
        </w:rPr>
        <w:t xml:space="preserve">8.2 sports a new ping adapter. This means you can enhance the accuracy of the uptime measurement by creating a super metric that adds the ping information or checking the process (needs an agent, such as Telegraf). </w:t>
      </w:r>
    </w:p>
    <w:p w14:paraId="1EA297A5" w14:textId="77777777" w:rsidR="003B2CE5" w:rsidRPr="00A452F2" w:rsidRDefault="003B2CE5" w:rsidP="006F03C0">
      <w:pPr>
        <w:pStyle w:val="Bullet"/>
        <w:rPr>
          <w:lang w:val="en-GB"/>
        </w:rPr>
      </w:pPr>
      <w:r w:rsidRPr="00A452F2">
        <w:rPr>
          <w:lang w:val="en-GB"/>
        </w:rPr>
        <w:t xml:space="preserve">Add a property widget that lists the selected VM properties to give you more context about the VM. In large environment, it is possible that the VM name alone may not be providing enough context. </w:t>
      </w:r>
    </w:p>
    <w:p w14:paraId="5EA05E25" w14:textId="77777777" w:rsidR="003B2CE5" w:rsidRPr="00A452F2" w:rsidRDefault="003B2CE5" w:rsidP="00540F68">
      <w:pPr>
        <w:pStyle w:val="Heading3"/>
      </w:pPr>
      <w:r w:rsidRPr="00A452F2">
        <w:t>vSphere Availability</w:t>
      </w:r>
    </w:p>
    <w:p w14:paraId="49489D0A" w14:textId="77777777" w:rsidR="003B2CE5" w:rsidRPr="00A452F2" w:rsidRDefault="003B2CE5" w:rsidP="00F6120D">
      <w:pPr>
        <w:rPr>
          <w:lang w:val="en-GB"/>
        </w:rPr>
      </w:pPr>
      <w:r w:rsidRPr="00A452F2">
        <w:rPr>
          <w:lang w:val="en-GB"/>
        </w:rPr>
        <w:t xml:space="preserve">There are two layers of Availability, that is, the Consumer layer and the Provider layer. The </w:t>
      </w:r>
      <w:r w:rsidRPr="00A452F2">
        <w:rPr>
          <w:rStyle w:val="keyword"/>
          <w:lang w:val="en-GB"/>
        </w:rPr>
        <w:t>vSphere Availability</w:t>
      </w:r>
      <w:r w:rsidRPr="00A452F2">
        <w:rPr>
          <w:lang w:val="en-GB"/>
        </w:rPr>
        <w:t xml:space="preserve"> dashboard covers the Provider layer. This dashboard includes a cluster and not an ESXi host because the cluster is operationally a single compute provider. This dashboard considers the N+1 design, where the cluster can withstand one host failure. Logically, a cluster with fewer hosts has a higher risk.</w:t>
      </w:r>
    </w:p>
    <w:p w14:paraId="5886187E" w14:textId="17D8F903" w:rsidR="003B2CE5" w:rsidRPr="00A452F2" w:rsidRDefault="003B2CE5" w:rsidP="00F6120D">
      <w:pPr>
        <w:rPr>
          <w:lang w:val="en-GB"/>
        </w:rPr>
      </w:pPr>
      <w:r w:rsidRPr="00A452F2">
        <w:rPr>
          <w:lang w:val="en-GB"/>
        </w:rPr>
        <w:t xml:space="preserve">The dashboard is designed to help you </w:t>
      </w:r>
      <w:r w:rsidR="004C3B02">
        <w:rPr>
          <w:lang w:val="en-GB"/>
        </w:rPr>
        <w:t>analyze</w:t>
      </w:r>
      <w:r w:rsidRPr="00A452F2">
        <w:rPr>
          <w:lang w:val="en-GB"/>
        </w:rPr>
        <w:t xml:space="preserve"> and report the uptime, as availability is typically part of official business SLA. It’s also often required in the monthly operational summary report. </w:t>
      </w:r>
    </w:p>
    <w:p w14:paraId="2B667411" w14:textId="77777777" w:rsidR="003B2CE5" w:rsidRPr="00A452F2" w:rsidRDefault="003B2CE5" w:rsidP="00F6120D">
      <w:pPr>
        <w:rPr>
          <w:lang w:val="en-GB"/>
        </w:rPr>
      </w:pPr>
      <w:r w:rsidRPr="00A452F2">
        <w:rPr>
          <w:lang w:val="en-GB"/>
        </w:rPr>
        <w:t xml:space="preserve">The dashboard is not designed for live monitoring of the uptime. An NOC style of dashboard is better suited for that use case. Tools such as vRealize Log Insight should also be leveraged as fault is typically preceded with soft errors. </w:t>
      </w:r>
    </w:p>
    <w:p w14:paraId="147F75F0" w14:textId="08A073D8" w:rsidR="003B2CE5" w:rsidRDefault="003B2CE5" w:rsidP="00AC6E1E">
      <w:pPr>
        <w:pStyle w:val="Heading4"/>
      </w:pPr>
      <w:r w:rsidRPr="00A452F2">
        <w:lastRenderedPageBreak/>
        <w:t>How to Use</w:t>
      </w:r>
    </w:p>
    <w:p w14:paraId="0E88E862" w14:textId="0857F596" w:rsidR="00B00789" w:rsidRDefault="00B00789" w:rsidP="00B00789">
      <w:pPr>
        <w:rPr>
          <w:lang w:val="en-GB" w:eastAsia="en-SG"/>
        </w:rPr>
      </w:pPr>
      <w:r w:rsidRPr="00B00789">
        <w:rPr>
          <w:noProof/>
          <w:lang w:val="en-GB" w:eastAsia="en-SG"/>
        </w:rPr>
        <w:drawing>
          <wp:inline distT="0" distB="0" distL="0" distR="0" wp14:anchorId="211805A6" wp14:editId="60FE4CB9">
            <wp:extent cx="6645910" cy="1835785"/>
            <wp:effectExtent l="0" t="0" r="2540" b="0"/>
            <wp:docPr id="1971069010" name="Picture 1971069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2"/>
                    <a:stretch>
                      <a:fillRect/>
                    </a:stretch>
                  </pic:blipFill>
                  <pic:spPr>
                    <a:xfrm>
                      <a:off x="0" y="0"/>
                      <a:ext cx="6645910" cy="1835785"/>
                    </a:xfrm>
                    <a:prstGeom prst="rect">
                      <a:avLst/>
                    </a:prstGeom>
                  </pic:spPr>
                </pic:pic>
              </a:graphicData>
            </a:graphic>
          </wp:inline>
        </w:drawing>
      </w:r>
    </w:p>
    <w:p w14:paraId="31753CD5" w14:textId="32694392" w:rsidR="00B00789" w:rsidRDefault="00B00789" w:rsidP="00B00789">
      <w:pPr>
        <w:rPr>
          <w:lang w:val="en-GB" w:eastAsia="en-SG"/>
        </w:rPr>
      </w:pPr>
      <w:r>
        <w:rPr>
          <w:lang w:val="en-GB" w:eastAsia="en-SG"/>
        </w:rPr>
        <w:t>D</w:t>
      </w:r>
    </w:p>
    <w:p w14:paraId="4375C5A2" w14:textId="286A5B92" w:rsidR="00B00789" w:rsidRPr="00B00789" w:rsidRDefault="00B00789" w:rsidP="00B00789">
      <w:pPr>
        <w:rPr>
          <w:lang w:val="en-GB" w:eastAsia="en-SG"/>
        </w:rPr>
      </w:pPr>
      <w:r w:rsidRPr="00B00789">
        <w:rPr>
          <w:noProof/>
          <w:lang w:val="en-GB" w:eastAsia="en-SG"/>
        </w:rPr>
        <w:drawing>
          <wp:inline distT="0" distB="0" distL="0" distR="0" wp14:anchorId="1347BF3E" wp14:editId="57922FFE">
            <wp:extent cx="6645910" cy="1818005"/>
            <wp:effectExtent l="0" t="0" r="2540" b="0"/>
            <wp:docPr id="1971069013" name="Picture 1971069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3"/>
                    <a:stretch>
                      <a:fillRect/>
                    </a:stretch>
                  </pic:blipFill>
                  <pic:spPr>
                    <a:xfrm>
                      <a:off x="0" y="0"/>
                      <a:ext cx="6645910" cy="1818005"/>
                    </a:xfrm>
                    <a:prstGeom prst="rect">
                      <a:avLst/>
                    </a:prstGeom>
                  </pic:spPr>
                </pic:pic>
              </a:graphicData>
            </a:graphic>
          </wp:inline>
        </w:drawing>
      </w:r>
    </w:p>
    <w:p w14:paraId="78DC2FC8" w14:textId="0CA98905" w:rsidR="003B2CE5" w:rsidRDefault="003B2CE5" w:rsidP="00F6120D">
      <w:pPr>
        <w:rPr>
          <w:lang w:val="en-GB"/>
        </w:rPr>
      </w:pPr>
      <w:r w:rsidRPr="00A452F2">
        <w:rPr>
          <w:lang w:val="en-GB"/>
        </w:rPr>
        <w:t>The table Clusters lists all the clusters in your environment</w:t>
      </w:r>
      <w:r w:rsidR="006236C4">
        <w:rPr>
          <w:lang w:val="en-GB"/>
        </w:rPr>
        <w:t xml:space="preserve">. </w:t>
      </w:r>
      <w:r w:rsidR="006236C4" w:rsidRPr="00A452F2">
        <w:rPr>
          <w:lang w:val="en-GB"/>
        </w:rPr>
        <w:t>In a very large environment, creating a filter for the list of clusters can make it more manageable. One is is to group the clusters by their class of services. Group your clusters into Gold, silver, and bronze and default the selection to Gold. In this way, you can see your Gold clusters more easily.</w:t>
      </w:r>
    </w:p>
    <w:p w14:paraId="4F3C4291" w14:textId="788E2E60" w:rsidR="006236C4" w:rsidRPr="00A452F2" w:rsidRDefault="006236C4" w:rsidP="00F6120D">
      <w:pPr>
        <w:rPr>
          <w:lang w:val="en-GB"/>
        </w:rPr>
      </w:pPr>
      <w:r>
        <w:rPr>
          <w:noProof/>
        </w:rPr>
        <w:lastRenderedPageBreak/>
        <w:drawing>
          <wp:inline distT="0" distB="0" distL="0" distR="0" wp14:anchorId="01961064" wp14:editId="44C62BF4">
            <wp:extent cx="6645910" cy="3640455"/>
            <wp:effectExtent l="0" t="0" r="2540" b="0"/>
            <wp:docPr id="606394289" name="Picture 606394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89"/>
                    <pic:cNvPicPr/>
                  </pic:nvPicPr>
                  <pic:blipFill>
                    <a:blip r:embed="rId1224" cstate="print">
                      <a:extLst>
                        <a:ext uri="{28A0092B-C50C-407E-A947-70E740481C1C}">
                          <a14:useLocalDpi xmlns:a14="http://schemas.microsoft.com/office/drawing/2010/main" val="0"/>
                        </a:ext>
                      </a:extLst>
                    </a:blip>
                    <a:stretch>
                      <a:fillRect/>
                    </a:stretch>
                  </pic:blipFill>
                  <pic:spPr>
                    <a:xfrm>
                      <a:off x="0" y="0"/>
                      <a:ext cx="6645910" cy="3640455"/>
                    </a:xfrm>
                    <a:prstGeom prst="rect">
                      <a:avLst/>
                    </a:prstGeom>
                  </pic:spPr>
                </pic:pic>
              </a:graphicData>
            </a:graphic>
          </wp:inline>
        </w:drawing>
      </w:r>
    </w:p>
    <w:p w14:paraId="32220351" w14:textId="2E570878" w:rsidR="003B2CE5" w:rsidRDefault="003B2CE5" w:rsidP="006236C4">
      <w:pPr>
        <w:rPr>
          <w:lang w:val="en-GB"/>
        </w:rPr>
      </w:pPr>
      <w:r w:rsidRPr="00A452F2">
        <w:rPr>
          <w:lang w:val="en-GB"/>
        </w:rPr>
        <w:t xml:space="preserve">It is sorted by the lowest uptime, so your attention is drawn to the cluster with the lowest uptime in the last 1 month. The column is based on the </w:t>
      </w:r>
      <w:r w:rsidRPr="001415AE">
        <w:rPr>
          <w:i/>
          <w:iCs/>
          <w:color w:val="00B0F0"/>
          <w:lang w:val="en-GB"/>
        </w:rPr>
        <w:t>average</w:t>
      </w:r>
      <w:r w:rsidRPr="001415AE">
        <w:rPr>
          <w:color w:val="00B0F0"/>
          <w:lang w:val="en-GB"/>
        </w:rPr>
        <w:t xml:space="preserve"> </w:t>
      </w:r>
      <w:r w:rsidRPr="00A452F2">
        <w:rPr>
          <w:lang w:val="en-GB"/>
        </w:rPr>
        <w:t>of the last 1 month</w:t>
      </w:r>
      <w:r w:rsidR="001415AE">
        <w:rPr>
          <w:lang w:val="en-GB"/>
        </w:rPr>
        <w:t xml:space="preserve"> as </w:t>
      </w:r>
      <w:r w:rsidR="00922971">
        <w:rPr>
          <w:lang w:val="en-GB"/>
        </w:rPr>
        <w:t xml:space="preserve">availability SLA is should be calculated per month (but reported </w:t>
      </w:r>
      <w:r w:rsidR="00F55DDE">
        <w:rPr>
          <w:lang w:val="en-GB"/>
        </w:rPr>
        <w:t>much more frequently)</w:t>
      </w:r>
    </w:p>
    <w:p w14:paraId="5BECAC0C" w14:textId="0393B459" w:rsidR="00F55DDE" w:rsidRPr="00A452F2" w:rsidRDefault="00F55DDE" w:rsidP="006236C4">
      <w:pPr>
        <w:rPr>
          <w:lang w:val="en-GB"/>
        </w:rPr>
      </w:pPr>
      <w:r>
        <w:rPr>
          <w:lang w:val="en-GB"/>
        </w:rPr>
        <w:t xml:space="preserve">The metric used is </w:t>
      </w:r>
      <w:r w:rsidR="00EF67CD">
        <w:rPr>
          <w:lang w:val="en-GB"/>
        </w:rPr>
        <w:t>Summary</w:t>
      </w:r>
      <w:r>
        <w:rPr>
          <w:lang w:val="en-GB"/>
        </w:rPr>
        <w:t xml:space="preserve"> \ </w:t>
      </w:r>
      <w:r w:rsidR="00EF67CD">
        <w:rPr>
          <w:lang w:val="en-GB"/>
        </w:rPr>
        <w:t xml:space="preserve">Cluster </w:t>
      </w:r>
      <w:r>
        <w:rPr>
          <w:lang w:val="en-GB"/>
        </w:rPr>
        <w:t xml:space="preserve">Availability (%), which assumes N+1 </w:t>
      </w:r>
      <w:r w:rsidR="00DB4B01">
        <w:rPr>
          <w:lang w:val="en-GB"/>
        </w:rPr>
        <w:t>design. That means if there is 1 node failure, the metric is still showing 100%.</w:t>
      </w:r>
    </w:p>
    <w:p w14:paraId="5DE61769" w14:textId="6BD588DE" w:rsidR="003B2CE5" w:rsidRPr="00A452F2" w:rsidRDefault="003B2CE5" w:rsidP="006236C4">
      <w:pPr>
        <w:rPr>
          <w:lang w:val="en-GB"/>
        </w:rPr>
      </w:pPr>
      <w:r w:rsidRPr="00A452F2">
        <w:rPr>
          <w:lang w:val="en-GB"/>
        </w:rPr>
        <w:t xml:space="preserve">The column </w:t>
      </w:r>
      <w:r w:rsidRPr="00A452F2">
        <w:rPr>
          <w:b/>
          <w:bCs/>
          <w:lang w:val="en-GB"/>
        </w:rPr>
        <w:t>Running Hosts</w:t>
      </w:r>
      <w:r w:rsidRPr="00A452F2">
        <w:rPr>
          <w:lang w:val="en-GB"/>
        </w:rPr>
        <w:t xml:space="preserve"> are </w:t>
      </w:r>
      <w:r w:rsidR="00E65E9E">
        <w:rPr>
          <w:lang w:val="en-GB"/>
        </w:rPr>
        <w:t>color</w:t>
      </w:r>
      <w:r w:rsidRPr="00A452F2">
        <w:rPr>
          <w:lang w:val="en-GB"/>
        </w:rPr>
        <w:t xml:space="preserve"> coded as logically a smaller cluster has higher risk. A single host failure results in relatively higher capacity degradation. </w:t>
      </w:r>
    </w:p>
    <w:p w14:paraId="5F1D00F1" w14:textId="77777777" w:rsidR="003B2CE5" w:rsidRPr="00A452F2" w:rsidRDefault="003B2CE5" w:rsidP="006236C4">
      <w:pPr>
        <w:rPr>
          <w:lang w:val="en-GB"/>
        </w:rPr>
      </w:pPr>
      <w:r w:rsidRPr="00A452F2">
        <w:rPr>
          <w:lang w:val="en-GB"/>
        </w:rPr>
        <w:t xml:space="preserve">The column </w:t>
      </w:r>
      <w:r w:rsidRPr="00A452F2">
        <w:rPr>
          <w:b/>
          <w:bCs/>
          <w:lang w:val="en-GB"/>
        </w:rPr>
        <w:t>vSAN?</w:t>
      </w:r>
      <w:r w:rsidRPr="00A452F2">
        <w:rPr>
          <w:lang w:val="en-GB"/>
        </w:rPr>
        <w:t xml:space="preserve"> Is added as hyper-converged means you need to consider both the compute part and the storage part.</w:t>
      </w:r>
    </w:p>
    <w:p w14:paraId="76BA09AB" w14:textId="77777777" w:rsidR="003B2CE5" w:rsidRPr="00A452F2" w:rsidRDefault="003B2CE5" w:rsidP="006236C4">
      <w:pPr>
        <w:rPr>
          <w:lang w:val="en-GB"/>
        </w:rPr>
      </w:pPr>
      <w:r w:rsidRPr="00A452F2">
        <w:rPr>
          <w:lang w:val="en-GB"/>
        </w:rPr>
        <w:t xml:space="preserve">The </w:t>
      </w:r>
      <w:r w:rsidRPr="00A452F2">
        <w:rPr>
          <w:rStyle w:val="marknbnsg4t7u"/>
          <w:rFonts w:ascii="Calibri" w:hAnsi="Calibri" w:cs="Calibri"/>
          <w:lang w:val="en-GB"/>
        </w:rPr>
        <w:t>Admission</w:t>
      </w:r>
      <w:r w:rsidRPr="00A452F2">
        <w:rPr>
          <w:lang w:val="en-GB"/>
        </w:rPr>
        <w:t xml:space="preserve"> Control Policy is based on the property </w:t>
      </w:r>
      <w:r w:rsidRPr="00A452F2">
        <w:rPr>
          <w:rFonts w:ascii="Lucida Console" w:hAnsi="Lucida Console"/>
          <w:sz w:val="14"/>
          <w:szCs w:val="14"/>
          <w:lang w:val="en-GB"/>
        </w:rPr>
        <w:t>Cluster Configuration \ DAS Configuration \ Active</w:t>
      </w:r>
      <w:r w:rsidRPr="00A452F2">
        <w:rPr>
          <w:lang w:val="en-GB"/>
        </w:rPr>
        <w:t xml:space="preserve">. The mapping between code to name is </w:t>
      </w:r>
    </w:p>
    <w:p w14:paraId="5A11E971" w14:textId="77777777" w:rsidR="003B2CE5" w:rsidRPr="00A452F2" w:rsidRDefault="003B2CE5" w:rsidP="006236C4">
      <w:pPr>
        <w:pStyle w:val="Bullet"/>
        <w:rPr>
          <w:lang w:val="en-GB"/>
        </w:rPr>
      </w:pPr>
      <w:r w:rsidRPr="00A452F2">
        <w:rPr>
          <w:lang w:val="en-GB"/>
        </w:rPr>
        <w:t>-1 = Disabled</w:t>
      </w:r>
    </w:p>
    <w:p w14:paraId="7C358BDC" w14:textId="6A872448" w:rsidR="003B2CE5" w:rsidRPr="00A452F2" w:rsidRDefault="003B2CE5" w:rsidP="006236C4">
      <w:pPr>
        <w:pStyle w:val="Bullet"/>
        <w:rPr>
          <w:lang w:val="en-GB"/>
        </w:rPr>
      </w:pPr>
      <w:r w:rsidRPr="00A452F2">
        <w:rPr>
          <w:lang w:val="en-GB"/>
        </w:rPr>
        <w:t>0 = Cluster Resource</w:t>
      </w:r>
      <w:r w:rsidR="00227A6C">
        <w:rPr>
          <w:lang w:val="en-GB"/>
        </w:rPr>
        <w:t xml:space="preserve"> percentage</w:t>
      </w:r>
    </w:p>
    <w:p w14:paraId="2D4361C5" w14:textId="77777777" w:rsidR="003B2CE5" w:rsidRPr="00A452F2" w:rsidRDefault="003B2CE5" w:rsidP="006236C4">
      <w:pPr>
        <w:pStyle w:val="Bullet"/>
        <w:rPr>
          <w:lang w:val="en-GB"/>
        </w:rPr>
      </w:pPr>
      <w:r w:rsidRPr="00A452F2">
        <w:rPr>
          <w:lang w:val="en-GB"/>
        </w:rPr>
        <w:t>1 = Slot Policy (Powered-on VMs)</w:t>
      </w:r>
    </w:p>
    <w:p w14:paraId="0D0A9D4F" w14:textId="77777777" w:rsidR="003B2CE5" w:rsidRPr="00A452F2" w:rsidRDefault="003B2CE5" w:rsidP="006236C4">
      <w:pPr>
        <w:pStyle w:val="Bullet"/>
        <w:rPr>
          <w:lang w:val="en-GB"/>
        </w:rPr>
      </w:pPr>
      <w:r w:rsidRPr="00A452F2">
        <w:rPr>
          <w:lang w:val="en-GB"/>
        </w:rPr>
        <w:t>2 = Dedicated Failover Hosts</w:t>
      </w:r>
    </w:p>
    <w:p w14:paraId="0019A4CD" w14:textId="754503C8" w:rsidR="001243EF" w:rsidRPr="00A452F2" w:rsidRDefault="006236C4" w:rsidP="00F6120D">
      <w:pPr>
        <w:rPr>
          <w:lang w:val="en-GB"/>
        </w:rPr>
      </w:pPr>
      <w:r>
        <w:rPr>
          <w:lang w:val="en-GB"/>
        </w:rPr>
        <w:t>The c</w:t>
      </w:r>
      <w:r w:rsidR="001243EF" w:rsidRPr="00A452F2">
        <w:rPr>
          <w:lang w:val="en-GB"/>
        </w:rPr>
        <w:t>luster failover</w:t>
      </w:r>
      <w:r w:rsidR="00227A6C">
        <w:rPr>
          <w:lang w:val="en-GB"/>
        </w:rPr>
        <w:t xml:space="preserve"> percentage</w:t>
      </w:r>
      <w:r>
        <w:rPr>
          <w:lang w:val="en-GB"/>
        </w:rPr>
        <w:t xml:space="preserve"> columns map to the following values in vCenter client UI.</w:t>
      </w:r>
    </w:p>
    <w:p w14:paraId="4900D29E" w14:textId="746F75B0" w:rsidR="001243EF" w:rsidRPr="00A452F2" w:rsidRDefault="006236C4" w:rsidP="00F6120D">
      <w:pPr>
        <w:rPr>
          <w:lang w:val="en-GB"/>
        </w:rPr>
      </w:pPr>
      <w:r>
        <w:rPr>
          <w:noProof/>
        </w:rPr>
        <w:lastRenderedPageBreak/>
        <w:drawing>
          <wp:inline distT="0" distB="0" distL="0" distR="0" wp14:anchorId="795E77F5" wp14:editId="0190FAA6">
            <wp:extent cx="6645910" cy="2454910"/>
            <wp:effectExtent l="0" t="0" r="2540" b="2540"/>
            <wp:docPr id="606394288" name="Picture 606394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88"/>
                    <pic:cNvPicPr/>
                  </pic:nvPicPr>
                  <pic:blipFill>
                    <a:blip r:embed="rId1225">
                      <a:extLst>
                        <a:ext uri="{28A0092B-C50C-407E-A947-70E740481C1C}">
                          <a14:useLocalDpi xmlns:a14="http://schemas.microsoft.com/office/drawing/2010/main" val="0"/>
                        </a:ext>
                      </a:extLst>
                    </a:blip>
                    <a:stretch>
                      <a:fillRect/>
                    </a:stretch>
                  </pic:blipFill>
                  <pic:spPr>
                    <a:xfrm>
                      <a:off x="0" y="0"/>
                      <a:ext cx="6645910" cy="2454910"/>
                    </a:xfrm>
                    <a:prstGeom prst="rect">
                      <a:avLst/>
                    </a:prstGeom>
                  </pic:spPr>
                </pic:pic>
              </a:graphicData>
            </a:graphic>
          </wp:inline>
        </w:drawing>
      </w:r>
    </w:p>
    <w:p w14:paraId="4D871938" w14:textId="7936DE73" w:rsidR="003B2CE5" w:rsidRPr="00A452F2" w:rsidRDefault="003B2CE5" w:rsidP="00F6120D">
      <w:pPr>
        <w:rPr>
          <w:lang w:val="en-GB"/>
        </w:rPr>
      </w:pPr>
      <w:r w:rsidRPr="00A452F2">
        <w:rPr>
          <w:lang w:val="en-GB"/>
        </w:rPr>
        <w:t>Select a cluster from the above</w:t>
      </w:r>
    </w:p>
    <w:p w14:paraId="52DF4C24" w14:textId="542125CB" w:rsidR="003B2CE5" w:rsidRPr="00A452F2" w:rsidRDefault="003B2CE5" w:rsidP="00BB4B86">
      <w:pPr>
        <w:pStyle w:val="ListParagraph"/>
        <w:numPr>
          <w:ilvl w:val="0"/>
          <w:numId w:val="8"/>
        </w:numPr>
        <w:rPr>
          <w:lang w:val="en-GB"/>
        </w:rPr>
      </w:pPr>
      <w:r w:rsidRPr="00A452F2">
        <w:rPr>
          <w:lang w:val="en-GB"/>
        </w:rPr>
        <w:t xml:space="preserve">The cluster uptime will be automatically plotted. It’s using </w:t>
      </w:r>
      <w:r w:rsidR="00057BED" w:rsidRPr="00A452F2">
        <w:rPr>
          <w:lang w:val="en-GB"/>
        </w:rPr>
        <w:t>25</w:t>
      </w:r>
      <w:r w:rsidRPr="00A452F2">
        <w:rPr>
          <w:lang w:val="en-GB"/>
        </w:rPr>
        <w:t xml:space="preserve">%, </w:t>
      </w:r>
      <w:r w:rsidR="00057BED" w:rsidRPr="00A452F2">
        <w:rPr>
          <w:lang w:val="en-GB"/>
        </w:rPr>
        <w:t>50</w:t>
      </w:r>
      <w:r w:rsidRPr="00A452F2">
        <w:rPr>
          <w:lang w:val="en-GB"/>
        </w:rPr>
        <w:t xml:space="preserve">%, and </w:t>
      </w:r>
      <w:r w:rsidR="00057BED" w:rsidRPr="00A452F2">
        <w:rPr>
          <w:lang w:val="en-GB"/>
        </w:rPr>
        <w:t>75</w:t>
      </w:r>
      <w:r w:rsidRPr="00A452F2">
        <w:rPr>
          <w:lang w:val="en-GB"/>
        </w:rPr>
        <w:t xml:space="preserve">% as the threshold for </w:t>
      </w:r>
      <w:r w:rsidR="00CF7D2C" w:rsidRPr="00CF7D2C">
        <w:rPr>
          <w:color w:val="FF0000"/>
          <w:lang w:val="en-GB"/>
        </w:rPr>
        <w:t>red</w:t>
      </w:r>
      <w:r w:rsidRPr="00A452F2">
        <w:rPr>
          <w:lang w:val="en-GB"/>
        </w:rPr>
        <w:t xml:space="preserve">, </w:t>
      </w:r>
      <w:r w:rsidR="00CF7D2C" w:rsidRPr="00CF7D2C">
        <w:rPr>
          <w:color w:val="ED7D31" w:themeColor="accent2"/>
          <w:lang w:val="en-GB"/>
        </w:rPr>
        <w:t>orange</w:t>
      </w:r>
      <w:r w:rsidRPr="00A452F2">
        <w:rPr>
          <w:lang w:val="en-GB"/>
        </w:rPr>
        <w:t xml:space="preserve"> and </w:t>
      </w:r>
      <w:r w:rsidR="00CF7D2C" w:rsidRPr="00CF7D2C">
        <w:rPr>
          <w:color w:val="FFFF00"/>
          <w:lang w:val="en-GB"/>
        </w:rPr>
        <w:t>yellow</w:t>
      </w:r>
      <w:r w:rsidRPr="00A452F2">
        <w:rPr>
          <w:lang w:val="en-GB"/>
        </w:rPr>
        <w:t xml:space="preserve"> respectively. </w:t>
      </w:r>
      <w:r w:rsidR="00057BED" w:rsidRPr="00A452F2">
        <w:rPr>
          <w:lang w:val="en-GB"/>
        </w:rPr>
        <w:t xml:space="preserve">The reason for low threshold is </w:t>
      </w:r>
      <w:r w:rsidR="00E43C56" w:rsidRPr="00A452F2">
        <w:rPr>
          <w:lang w:val="en-GB"/>
        </w:rPr>
        <w:t xml:space="preserve">the 5 minute window. A complete 5 minute downtime </w:t>
      </w:r>
      <w:r w:rsidR="007831A1" w:rsidRPr="00A452F2">
        <w:rPr>
          <w:lang w:val="en-GB"/>
        </w:rPr>
        <w:t>is only 0.01</w:t>
      </w:r>
      <w:r w:rsidR="009971D7" w:rsidRPr="00A452F2">
        <w:rPr>
          <w:lang w:val="en-GB"/>
        </w:rPr>
        <w:t>16</w:t>
      </w:r>
      <w:r w:rsidR="007831A1" w:rsidRPr="00A452F2">
        <w:rPr>
          <w:lang w:val="en-GB"/>
        </w:rPr>
        <w:t xml:space="preserve">% when measured against a 30-day SLA. </w:t>
      </w:r>
      <w:r w:rsidR="00AF2842" w:rsidRPr="00A452F2">
        <w:rPr>
          <w:lang w:val="en-GB"/>
        </w:rPr>
        <w:t>If the uptime was 100%, it will only go down to 99.988</w:t>
      </w:r>
      <w:r w:rsidR="009971D7" w:rsidRPr="00A452F2">
        <w:rPr>
          <w:lang w:val="en-GB"/>
        </w:rPr>
        <w:t>4</w:t>
      </w:r>
      <w:r w:rsidR="00AF2842" w:rsidRPr="00A452F2">
        <w:rPr>
          <w:lang w:val="en-GB"/>
        </w:rPr>
        <w:t>%</w:t>
      </w:r>
    </w:p>
    <w:p w14:paraId="5B78CFE7" w14:textId="77777777" w:rsidR="003B2CE5" w:rsidRPr="00A452F2" w:rsidRDefault="003B2CE5" w:rsidP="00BB4B86">
      <w:pPr>
        <w:pStyle w:val="ListParagraph"/>
        <w:numPr>
          <w:ilvl w:val="0"/>
          <w:numId w:val="8"/>
        </w:numPr>
        <w:rPr>
          <w:lang w:val="en-GB"/>
        </w:rPr>
      </w:pPr>
      <w:r w:rsidRPr="00A452F2">
        <w:rPr>
          <w:lang w:val="en-GB"/>
        </w:rPr>
        <w:t xml:space="preserve">The ESXi in the selected cluster table will be automatically filled up. For more context, you can add a property widget that lists the selected ESXi Host properties. </w:t>
      </w:r>
    </w:p>
    <w:p w14:paraId="44CCAE0E" w14:textId="77777777" w:rsidR="003B2CE5" w:rsidRPr="00A452F2" w:rsidRDefault="003B2CE5" w:rsidP="00BB4B86">
      <w:pPr>
        <w:pStyle w:val="ListParagraph"/>
        <w:numPr>
          <w:ilvl w:val="0"/>
          <w:numId w:val="8"/>
        </w:numPr>
        <w:rPr>
          <w:lang w:val="en-GB"/>
        </w:rPr>
      </w:pPr>
      <w:r w:rsidRPr="00A452F2">
        <w:rPr>
          <w:lang w:val="en-GB"/>
        </w:rPr>
        <w:t>The 'Connected to vCenter' and 'Maintenance State' columns are not the average values, as both are string. However, they display the last state in the selected period. This allows you to go back to a specific point in time and view availability at that point.</w:t>
      </w:r>
    </w:p>
    <w:p w14:paraId="7B3E2074" w14:textId="4B261DB6" w:rsidR="003B2CE5" w:rsidRDefault="003B2CE5" w:rsidP="00F6120D">
      <w:pPr>
        <w:rPr>
          <w:lang w:val="en-GB"/>
        </w:rPr>
      </w:pPr>
      <w:r w:rsidRPr="00A452F2">
        <w:rPr>
          <w:lang w:val="en-GB"/>
        </w:rPr>
        <w:t>About the “Datastore not available” list</w:t>
      </w:r>
    </w:p>
    <w:p w14:paraId="104E9ACC" w14:textId="4374FA09" w:rsidR="00546F5A" w:rsidRPr="00A452F2" w:rsidRDefault="00546F5A" w:rsidP="00546F5A">
      <w:pPr>
        <w:ind w:left="360"/>
        <w:rPr>
          <w:lang w:val="en-GB"/>
        </w:rPr>
      </w:pPr>
      <w:r>
        <w:rPr>
          <w:noProof/>
        </w:rPr>
        <w:drawing>
          <wp:inline distT="0" distB="0" distL="0" distR="0" wp14:anchorId="79A916B7" wp14:editId="31EC5EF7">
            <wp:extent cx="3663950" cy="1751119"/>
            <wp:effectExtent l="0" t="0" r="0" b="1905"/>
            <wp:docPr id="606394415" name="Picture 606394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415"/>
                    <pic:cNvPicPr/>
                  </pic:nvPicPr>
                  <pic:blipFill>
                    <a:blip r:embed="rId1226">
                      <a:extLst>
                        <a:ext uri="{28A0092B-C50C-407E-A947-70E740481C1C}">
                          <a14:useLocalDpi xmlns:a14="http://schemas.microsoft.com/office/drawing/2010/main" val="0"/>
                        </a:ext>
                      </a:extLst>
                    </a:blip>
                    <a:stretch>
                      <a:fillRect/>
                    </a:stretch>
                  </pic:blipFill>
                  <pic:spPr>
                    <a:xfrm>
                      <a:off x="0" y="0"/>
                      <a:ext cx="3663950" cy="1751119"/>
                    </a:xfrm>
                    <a:prstGeom prst="rect">
                      <a:avLst/>
                    </a:prstGeom>
                  </pic:spPr>
                </pic:pic>
              </a:graphicData>
            </a:graphic>
          </wp:inline>
        </w:drawing>
      </w:r>
    </w:p>
    <w:p w14:paraId="19700C63" w14:textId="52DAAEAA" w:rsidR="003B2CE5" w:rsidRPr="00A452F2" w:rsidRDefault="003B2CE5" w:rsidP="00BB4B86">
      <w:pPr>
        <w:pStyle w:val="ListParagraph"/>
        <w:numPr>
          <w:ilvl w:val="0"/>
          <w:numId w:val="8"/>
        </w:numPr>
        <w:rPr>
          <w:lang w:val="en-GB"/>
        </w:rPr>
      </w:pPr>
      <w:r w:rsidRPr="00A452F2">
        <w:rPr>
          <w:lang w:val="en-GB"/>
        </w:rPr>
        <w:t xml:space="preserve">It filters to only those datastores with status powered off. This covers both local and shared datastore. To add context, consider adding extra column such as the </w:t>
      </w:r>
      <w:r w:rsidR="005269DE" w:rsidRPr="00A452F2">
        <w:rPr>
          <w:lang w:val="en-GB"/>
        </w:rPr>
        <w:t>data center</w:t>
      </w:r>
      <w:r w:rsidRPr="00A452F2">
        <w:rPr>
          <w:lang w:val="en-GB"/>
        </w:rPr>
        <w:t xml:space="preserve"> where it resides, and the datastore type (e.g. NFS, VMFS)</w:t>
      </w:r>
    </w:p>
    <w:p w14:paraId="7A97EA62" w14:textId="77777777" w:rsidR="003B2CE5" w:rsidRPr="00A452F2" w:rsidRDefault="003B2CE5" w:rsidP="00F6120D">
      <w:pPr>
        <w:rPr>
          <w:lang w:val="en-GB"/>
        </w:rPr>
      </w:pPr>
      <w:r w:rsidRPr="00A452F2">
        <w:rPr>
          <w:lang w:val="en-GB"/>
        </w:rPr>
        <w:t>About the Port Group availability list</w:t>
      </w:r>
    </w:p>
    <w:p w14:paraId="3107A930" w14:textId="77777777" w:rsidR="003B2CE5" w:rsidRPr="00A452F2" w:rsidRDefault="003B2CE5" w:rsidP="00BB4B86">
      <w:pPr>
        <w:pStyle w:val="ListParagraph"/>
        <w:numPr>
          <w:ilvl w:val="0"/>
          <w:numId w:val="8"/>
        </w:numPr>
        <w:rPr>
          <w:lang w:val="en-GB"/>
        </w:rPr>
      </w:pPr>
      <w:r w:rsidRPr="00A452F2">
        <w:rPr>
          <w:lang w:val="en-GB"/>
        </w:rPr>
        <w:t xml:space="preserve">This lists port groups which at present has uptime of less than 100%. </w:t>
      </w:r>
    </w:p>
    <w:p w14:paraId="0DF26C62" w14:textId="7D56440C" w:rsidR="003B2CE5" w:rsidRPr="00A452F2" w:rsidRDefault="003B2CE5" w:rsidP="00BB4B86">
      <w:pPr>
        <w:pStyle w:val="ListParagraph"/>
        <w:numPr>
          <w:ilvl w:val="0"/>
          <w:numId w:val="8"/>
        </w:numPr>
        <w:rPr>
          <w:lang w:val="en-GB"/>
        </w:rPr>
      </w:pPr>
      <w:r w:rsidRPr="00A452F2">
        <w:rPr>
          <w:lang w:val="en-GB"/>
        </w:rPr>
        <w:t xml:space="preserve">To add context, consider adding extra column such as the </w:t>
      </w:r>
      <w:r w:rsidR="005269DE" w:rsidRPr="00A452F2">
        <w:rPr>
          <w:lang w:val="en-GB"/>
        </w:rPr>
        <w:t>data center</w:t>
      </w:r>
      <w:r w:rsidRPr="00A452F2">
        <w:rPr>
          <w:lang w:val="en-GB"/>
        </w:rPr>
        <w:t xml:space="preserve"> where it resides, used number of ports and maximum number of ports</w:t>
      </w:r>
    </w:p>
    <w:p w14:paraId="2834AC31" w14:textId="77777777" w:rsidR="003B2CE5" w:rsidRPr="00A452F2" w:rsidRDefault="003B2CE5" w:rsidP="00AC6E1E">
      <w:pPr>
        <w:pStyle w:val="Heading4"/>
      </w:pPr>
      <w:r w:rsidRPr="00A452F2">
        <w:lastRenderedPageBreak/>
        <w:t>Points to Note</w:t>
      </w:r>
    </w:p>
    <w:p w14:paraId="07BE9D4F" w14:textId="18C1A74C" w:rsidR="003B2CE5" w:rsidRPr="00A452F2" w:rsidRDefault="003B2CE5" w:rsidP="00F6120D">
      <w:pPr>
        <w:rPr>
          <w:lang w:val="en-GB"/>
        </w:rPr>
      </w:pPr>
      <w:r w:rsidRPr="00A452F2">
        <w:rPr>
          <w:lang w:val="en-GB"/>
        </w:rPr>
        <w:t>Consider adding vCenter Server availability</w:t>
      </w:r>
      <w:r w:rsidR="005B37AF" w:rsidRPr="00A452F2">
        <w:rPr>
          <w:lang w:val="en-GB"/>
        </w:rPr>
        <w:t xml:space="preserve"> and NSX components availability</w:t>
      </w:r>
      <w:r w:rsidRPr="00A452F2">
        <w:rPr>
          <w:lang w:val="en-GB"/>
        </w:rPr>
        <w:t xml:space="preserve">. This requires the </w:t>
      </w:r>
      <w:r w:rsidRPr="00A452F2">
        <w:rPr>
          <w:rStyle w:val="ph"/>
          <w:lang w:val="en-GB"/>
        </w:rPr>
        <w:t xml:space="preserve">VMware SDDC Health </w:t>
      </w:r>
      <w:r w:rsidR="0047782A">
        <w:rPr>
          <w:rStyle w:val="ph"/>
          <w:lang w:val="en-GB"/>
        </w:rPr>
        <w:t>m</w:t>
      </w:r>
      <w:r w:rsidRPr="00A452F2">
        <w:rPr>
          <w:rStyle w:val="ph"/>
          <w:lang w:val="en-GB"/>
        </w:rPr>
        <w:t xml:space="preserve">onitoring </w:t>
      </w:r>
      <w:r w:rsidR="0047782A">
        <w:rPr>
          <w:rStyle w:val="ph"/>
          <w:lang w:val="en-GB"/>
        </w:rPr>
        <w:t>s</w:t>
      </w:r>
      <w:r w:rsidRPr="00A452F2">
        <w:rPr>
          <w:rStyle w:val="ph"/>
          <w:lang w:val="en-GB"/>
        </w:rPr>
        <w:t>olution</w:t>
      </w:r>
      <w:r w:rsidRPr="00A452F2">
        <w:rPr>
          <w:lang w:val="en-GB"/>
        </w:rPr>
        <w:t>.</w:t>
      </w:r>
    </w:p>
    <w:p w14:paraId="17301A3D" w14:textId="77777777" w:rsidR="00E55491" w:rsidRDefault="00E55491" w:rsidP="00E55491">
      <w:pPr>
        <w:pStyle w:val="Heading2"/>
      </w:pPr>
      <w:r>
        <w:lastRenderedPageBreak/>
        <w:t>VDI &amp; DaaS</w:t>
      </w:r>
    </w:p>
    <w:p w14:paraId="2B6B43F1" w14:textId="77777777" w:rsidR="00E55491" w:rsidRPr="00A452F2" w:rsidRDefault="00E55491" w:rsidP="00E55491">
      <w:pPr>
        <w:pStyle w:val="AfterChapterTitle"/>
        <w:rPr>
          <w:lang w:val="en-GB"/>
        </w:rPr>
      </w:pPr>
      <w:r>
        <mc:AlternateContent>
          <mc:Choice Requires="wps">
            <w:drawing>
              <wp:anchor distT="0" distB="0" distL="114300" distR="114300" simplePos="0" relativeHeight="251702272" behindDoc="0" locked="0" layoutInCell="1" allowOverlap="1" wp14:anchorId="54B59C0B" wp14:editId="563030A1">
                <wp:simplePos x="0" y="0"/>
                <wp:positionH relativeFrom="column">
                  <wp:posOffset>0</wp:posOffset>
                </wp:positionH>
                <wp:positionV relativeFrom="paragraph">
                  <wp:posOffset>0</wp:posOffset>
                </wp:positionV>
                <wp:extent cx="1828800" cy="1828800"/>
                <wp:effectExtent l="0" t="0" r="0" b="0"/>
                <wp:wrapNone/>
                <wp:docPr id="1293284824" name="Text Box 129328482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1C80E078" w14:textId="285BD749" w:rsidR="00E55491" w:rsidRPr="00C84219" w:rsidRDefault="00E55491" w:rsidP="00E55491">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4 Chapter 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54B59C0B" id="Text Box 1293284824" o:spid="_x0000_s1048" type="#_x0000_t202" style="position:absolute;margin-left:0;margin-top:0;width:2in;height:2in;z-index:25170227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" filled="f" stroked="f">
                <v:textbox style="mso-fit-shape-to-text:t">
                  <w:txbxContent>
                    <w:p w14:paraId="1C80E078" w14:textId="285BD749" w:rsidR="00E55491" w:rsidRPr="00C84219" w:rsidRDefault="00E55491" w:rsidP="00E55491">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Part 4 Chapter 8</w:t>
                      </w:r>
                    </w:p>
                  </w:txbxContent>
                </v:textbox>
              </v:shape>
            </w:pict>
          </mc:Fallback>
        </mc:AlternateContent>
      </w:r>
      <w:r>
        <w:t xml:space="preserve">While VMware Horizon provides the same business functionalities with products such as Citrix, it requires a monitoring and troubleshooting solution that is aware of its objects, metrics, logs and events. </w:t>
      </w:r>
      <w:r>
        <w:rPr>
          <w:lang w:val="en-GB"/>
        </w:rPr>
        <w:t>In this chapter we will cover the Horizon-specific operations management.</w:t>
      </w:r>
    </w:p>
    <w:p w14:paraId="0524452B" w14:textId="77777777" w:rsidR="00E55491" w:rsidRPr="00B14982" w:rsidRDefault="00E55491" w:rsidP="00E55491">
      <w:pPr>
        <w:rPr>
          <w:lang w:val="en-GB"/>
        </w:rPr>
      </w:pPr>
      <w:r>
        <w:rPr>
          <w:lang w:val="en-GB"/>
        </w:rPr>
        <w:t>The following shows the dashboards that support Horizon operations management. They eventually connect to the object summary page of each type of object.</w:t>
      </w:r>
    </w:p>
    <w:p w14:paraId="5B7E345F" w14:textId="77777777" w:rsidR="00E55491" w:rsidRDefault="00E55491" w:rsidP="00E55491">
      <w:pPr>
        <w:jc w:val="center"/>
        <w:rPr>
          <w:lang w:val="en-GB"/>
        </w:rPr>
      </w:pPr>
      <w:r w:rsidRPr="00501D6A">
        <w:rPr>
          <w:noProof/>
          <w:lang w:val="en-GB"/>
        </w:rPr>
        <w:drawing>
          <wp:inline distT="0" distB="0" distL="0" distR="0" wp14:anchorId="11C67A24" wp14:editId="06486EE7">
            <wp:extent cx="5188217" cy="2254366"/>
            <wp:effectExtent l="0" t="0" r="0" b="0"/>
            <wp:docPr id="750070339" name="Picture 75007033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39" name="Picture 750070339" descr="Diagram&#10;&#10;Description automatically generated"/>
                    <pic:cNvPicPr/>
                  </pic:nvPicPr>
                  <pic:blipFill>
                    <a:blip r:embed="rId1227"/>
                    <a:stretch>
                      <a:fillRect/>
                    </a:stretch>
                  </pic:blipFill>
                  <pic:spPr>
                    <a:xfrm>
                      <a:off x="0" y="0"/>
                      <a:ext cx="5188217" cy="2254366"/>
                    </a:xfrm>
                    <a:prstGeom prst="rect">
                      <a:avLst/>
                    </a:prstGeom>
                  </pic:spPr>
                </pic:pic>
              </a:graphicData>
            </a:graphic>
          </wp:inline>
        </w:drawing>
      </w:r>
    </w:p>
    <w:p w14:paraId="13AC11BB" w14:textId="77777777" w:rsidR="00E55491" w:rsidRDefault="00E55491" w:rsidP="00E55491">
      <w:pPr>
        <w:rPr>
          <w:lang w:val="en-GB"/>
        </w:rPr>
      </w:pPr>
      <w:r>
        <w:rPr>
          <w:lang w:val="en-GB"/>
        </w:rPr>
        <w:t>The dashboards form a set. There is 1 dashboard for each of the following pillar: capacity, availability, configuration and inventory.</w:t>
      </w:r>
    </w:p>
    <w:p w14:paraId="4B30F804" w14:textId="77777777" w:rsidR="00E55491" w:rsidRDefault="00E55491" w:rsidP="00E55491">
      <w:pPr>
        <w:rPr>
          <w:lang w:val="en-GB"/>
        </w:rPr>
      </w:pPr>
      <w:r>
        <w:rPr>
          <w:lang w:val="en-GB"/>
        </w:rPr>
        <w:t>Performance needs 3 dashboards as there are too many information to be squeezed in 1 dashboard. Also, each dashboard is giving a different the vantage point. As Horizon runs on top of vSphere, there is a drill down into vSphere. An overall VM performance dashboard is provided to tie all these dashboards together, as both RDS hosts and VDI sessions eventually run on VM.</w:t>
      </w:r>
    </w:p>
    <w:p w14:paraId="30A79D6D" w14:textId="77777777" w:rsidR="00E55491" w:rsidRDefault="00E55491" w:rsidP="00E55491">
      <w:pPr>
        <w:rPr>
          <w:lang w:val="en-GB"/>
        </w:rPr>
      </w:pPr>
      <w:r>
        <w:rPr>
          <w:lang w:val="en-GB"/>
        </w:rPr>
        <w:t>User is given a separate dashboard as your operations should be user-centric. To your users, this is the only thing they care.</w:t>
      </w:r>
    </w:p>
    <w:p w14:paraId="294F2E9F" w14:textId="77777777" w:rsidR="00E55491" w:rsidRDefault="00E55491" w:rsidP="00E55491">
      <w:pPr>
        <w:rPr>
          <w:lang w:val="en-GB"/>
        </w:rPr>
      </w:pPr>
      <w:r>
        <w:rPr>
          <w:lang w:val="en-GB"/>
        </w:rPr>
        <w:t xml:space="preserve">For the NOC team, 2 dashboards are created. One looks from consumer, one looks from provider. They follow the design principle for NOC dashboards documented </w:t>
      </w:r>
      <w:hyperlink w:anchor="_NOC_Dashboards" w:history="1">
        <w:r w:rsidRPr="00501D6A">
          <w:rPr>
            <w:rStyle w:val="Hyperlink"/>
            <w:lang w:val="en-GB"/>
          </w:rPr>
          <w:t>here</w:t>
        </w:r>
      </w:hyperlink>
      <w:r>
        <w:rPr>
          <w:lang w:val="en-GB"/>
        </w:rPr>
        <w:t xml:space="preserve">. </w:t>
      </w:r>
    </w:p>
    <w:p w14:paraId="5DBC634D" w14:textId="77777777" w:rsidR="00E55491" w:rsidRDefault="00E55491" w:rsidP="00D151A3">
      <w:pPr>
        <w:pStyle w:val="Heading3"/>
      </w:pPr>
      <w:r>
        <w:lastRenderedPageBreak/>
        <w:t>Day-to-Day Operations Dashboard</w:t>
      </w:r>
    </w:p>
    <w:p w14:paraId="1F3A5D23" w14:textId="77777777" w:rsidR="00E55491" w:rsidRDefault="00E55491" w:rsidP="00D151A3">
      <w:r>
        <w:t xml:space="preserve">As covered in Part 3 Dashboard </w:t>
      </w:r>
      <w:hyperlink w:anchor="_Design_Consideration_5" w:history="1">
        <w:r w:rsidRPr="0031450E">
          <w:rPr>
            <w:rStyle w:val="Hyperlink"/>
          </w:rPr>
          <w:t>Design Considerations</w:t>
        </w:r>
      </w:hyperlink>
      <w:r>
        <w:t>, this dashboard serves as the main dashboard used by someone who runs the day to day operations. It focuses on area that either change often, or should not have major change. For example, if you expect around 10K users connected and you only see 1K, expect to see major downtime somewhere that prevent that many users unable to connect.</w:t>
      </w:r>
    </w:p>
    <w:p w14:paraId="1D13CB3A" w14:textId="77777777" w:rsidR="00E55491" w:rsidRDefault="00E55491" w:rsidP="00D151A3">
      <w:pPr>
        <w:rPr>
          <w:lang w:val="en-GB"/>
        </w:rPr>
      </w:pPr>
      <w:r>
        <w:rPr>
          <w:lang w:val="en-GB"/>
        </w:rPr>
        <w:t xml:space="preserve">In DaaS, you’re outnumbered by your users. There are more users than administrators, and problems can also come from non users. As a result, there is a good chance that by the time you look into the problem, 5 minute have passed or the problem no longer happens. This means the dashboard should show you a trend, not just the present time or a point in time in the past. </w:t>
      </w:r>
    </w:p>
    <w:p w14:paraId="1B683CCD" w14:textId="77777777" w:rsidR="00E55491" w:rsidRDefault="00E55491" w:rsidP="00D151A3">
      <w:pPr>
        <w:pStyle w:val="Heading4"/>
      </w:pPr>
      <w:r>
        <w:t>Summary Section</w:t>
      </w:r>
    </w:p>
    <w:p w14:paraId="08F137F4" w14:textId="77777777" w:rsidR="00E55491" w:rsidRDefault="00E55491" w:rsidP="00D151A3">
      <w:pPr>
        <w:rPr>
          <w:lang w:val="en-GB"/>
        </w:rPr>
      </w:pPr>
      <w:r>
        <w:rPr>
          <w:lang w:val="en-GB"/>
        </w:rPr>
        <w:t>The summary section consists of 4 scoreboard, aligned in 2x2 layout. They provide the top of the news type of information.</w:t>
      </w:r>
    </w:p>
    <w:p w14:paraId="28FC36F3" w14:textId="77777777" w:rsidR="00E55491" w:rsidRPr="002238C2" w:rsidRDefault="00E55491" w:rsidP="00D151A3">
      <w:pPr>
        <w:pStyle w:val="Heading5"/>
      </w:pPr>
      <w:r>
        <w:t>Overall KPI</w:t>
      </w:r>
    </w:p>
    <w:p w14:paraId="6ED4E1AA" w14:textId="77777777" w:rsidR="00E55491" w:rsidRPr="002238C2" w:rsidRDefault="00E55491" w:rsidP="00D151A3">
      <w:pPr>
        <w:rPr>
          <w:lang w:val="en-GB"/>
        </w:rPr>
      </w:pPr>
      <w:r>
        <w:rPr>
          <w:lang w:val="en-GB"/>
        </w:rPr>
        <w:t xml:space="preserve">This is the first of 4 widgets that shows the summary of the live environment. It focuses on the major indicators of your DaaS environment. </w:t>
      </w:r>
    </w:p>
    <w:p w14:paraId="77E22B58" w14:textId="77777777" w:rsidR="00E55491" w:rsidRDefault="00E55491" w:rsidP="00D151A3">
      <w:r w:rsidRPr="003877F3">
        <w:rPr>
          <w:noProof/>
        </w:rPr>
        <w:drawing>
          <wp:inline distT="0" distB="0" distL="0" distR="0" wp14:anchorId="23D353C2" wp14:editId="7D410A05">
            <wp:extent cx="6645910" cy="1089025"/>
            <wp:effectExtent l="0" t="0" r="2540" b="0"/>
            <wp:docPr id="1859674550" name="Picture 1859674550" descr="A picture containing text, clo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50" name="Picture 1859674550" descr="A picture containing text, clock&#10;&#10;Description automatically generated"/>
                    <pic:cNvPicPr/>
                  </pic:nvPicPr>
                  <pic:blipFill>
                    <a:blip r:embed="rId1228"/>
                    <a:stretch>
                      <a:fillRect/>
                    </a:stretch>
                  </pic:blipFill>
                  <pic:spPr>
                    <a:xfrm>
                      <a:off x="0" y="0"/>
                      <a:ext cx="6645910" cy="1089025"/>
                    </a:xfrm>
                    <a:prstGeom prst="rect">
                      <a:avLst/>
                    </a:prstGeom>
                  </pic:spPr>
                </pic:pic>
              </a:graphicData>
            </a:graphic>
          </wp:inline>
        </w:drawing>
      </w:r>
    </w:p>
    <w:p w14:paraId="3AA5C116" w14:textId="77777777" w:rsidR="00E55491" w:rsidRDefault="00E55491" w:rsidP="00D151A3">
      <w:r>
        <w:t>The widget shows 3 types of information</w:t>
      </w:r>
    </w:p>
    <w:p w14:paraId="03ED350C" w14:textId="6CF7AC5A" w:rsidR="00E55491" w:rsidRDefault="00E55491" w:rsidP="00D151A3">
      <w:pPr>
        <w:pStyle w:val="Bullet"/>
      </w:pPr>
      <w:r>
        <w:t xml:space="preserve">The first one is performance. It shows the overall Data Center KPI and Network KPI. Expect this number to be steady, and in the </w:t>
      </w:r>
      <w:r w:rsidR="0022569A" w:rsidRPr="0022569A">
        <w:rPr>
          <w:color w:val="00B050"/>
        </w:rPr>
        <w:t>green</w:t>
      </w:r>
      <w:r>
        <w:t xml:space="preserve"> zone.</w:t>
      </w:r>
    </w:p>
    <w:p w14:paraId="3E18CED9" w14:textId="0DAC81CF" w:rsidR="00E55491" w:rsidRDefault="00E55491" w:rsidP="00D151A3">
      <w:pPr>
        <w:pStyle w:val="Bullet"/>
      </w:pPr>
      <w:r>
        <w:t>Alert. It focuses on critical alert (</w:t>
      </w:r>
      <w:r w:rsidR="00CF7D2C" w:rsidRPr="00CF7D2C">
        <w:rPr>
          <w:color w:val="FF0000"/>
        </w:rPr>
        <w:t>red</w:t>
      </w:r>
      <w:r>
        <w:t xml:space="preserve"> level). Expect this to be low number, appropriate for the size of your environment. Review the alerts definition and fine tune so they are not too sensitive or too late for your environment.</w:t>
      </w:r>
    </w:p>
    <w:p w14:paraId="58C42B3B" w14:textId="77777777" w:rsidR="00E55491" w:rsidRDefault="00E55491" w:rsidP="00D151A3">
      <w:pPr>
        <w:pStyle w:val="Bullet"/>
      </w:pPr>
      <w:r>
        <w:t>Availability. This covers both RDS and VDI. If you only use one of them, delete the one you don’t use and set this to 4 columns</w:t>
      </w:r>
    </w:p>
    <w:p w14:paraId="78BB4C73" w14:textId="77777777" w:rsidR="00E55491" w:rsidRDefault="00E55491" w:rsidP="00D151A3">
      <w:pPr>
        <w:pStyle w:val="Heading5"/>
      </w:pPr>
      <w:r>
        <w:lastRenderedPageBreak/>
        <w:t>Overall Utilization</w:t>
      </w:r>
    </w:p>
    <w:p w14:paraId="4470C5B2" w14:textId="77777777" w:rsidR="00E55491" w:rsidRPr="00327878" w:rsidRDefault="00E55491" w:rsidP="00D151A3">
      <w:r>
        <w:t xml:space="preserve">DaaS involves users, which have normal working hours. After a while, you establish an expected level of usage. </w:t>
      </w:r>
    </w:p>
    <w:p w14:paraId="355D297D" w14:textId="77777777" w:rsidR="00E55491" w:rsidRDefault="00E55491" w:rsidP="00D151A3">
      <w:r w:rsidRPr="002238C2">
        <w:rPr>
          <w:noProof/>
        </w:rPr>
        <w:drawing>
          <wp:inline distT="0" distB="0" distL="0" distR="0" wp14:anchorId="432A6C22" wp14:editId="4D833A2E">
            <wp:extent cx="6645910" cy="1109345"/>
            <wp:effectExtent l="0" t="0" r="2540" b="0"/>
            <wp:docPr id="1859674552" name="Picture 1859674552"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52" name="Picture 1859674552" descr="Graphical user interface, text, application, chat or text message&#10;&#10;Description automatically generated"/>
                    <pic:cNvPicPr/>
                  </pic:nvPicPr>
                  <pic:blipFill>
                    <a:blip r:embed="rId1229"/>
                    <a:stretch>
                      <a:fillRect/>
                    </a:stretch>
                  </pic:blipFill>
                  <pic:spPr>
                    <a:xfrm>
                      <a:off x="0" y="0"/>
                      <a:ext cx="6645910" cy="1109345"/>
                    </a:xfrm>
                    <a:prstGeom prst="rect">
                      <a:avLst/>
                    </a:prstGeom>
                  </pic:spPr>
                </pic:pic>
              </a:graphicData>
            </a:graphic>
          </wp:inline>
        </w:drawing>
      </w:r>
    </w:p>
    <w:p w14:paraId="520D627F" w14:textId="77777777" w:rsidR="00E55491" w:rsidRDefault="00E55491" w:rsidP="00D151A3">
      <w:r>
        <w:t xml:space="preserve">We include this widget as a big and unexpected drop in number of users could be sign of catastrophic failure. Something major must have prevented your users from connecting. </w:t>
      </w:r>
    </w:p>
    <w:p w14:paraId="668883EB" w14:textId="77777777" w:rsidR="00E55491" w:rsidRDefault="00E55491" w:rsidP="00D151A3">
      <w:pPr>
        <w:pStyle w:val="Heading5"/>
      </w:pPr>
      <w:r>
        <w:t>Performance</w:t>
      </w:r>
    </w:p>
    <w:p w14:paraId="1E39A9C9" w14:textId="77777777" w:rsidR="00E55491" w:rsidRPr="00985FDE" w:rsidRDefault="00E55491" w:rsidP="00D151A3">
      <w:r>
        <w:t>The overall KPI is a summary number, which consists of multiple component. An improvement in one component can mask out degradation in others. The performance widget breaks down the number into CPU, memory, disk and network.</w:t>
      </w:r>
    </w:p>
    <w:p w14:paraId="25334E93" w14:textId="77777777" w:rsidR="00E55491" w:rsidRDefault="00E55491" w:rsidP="00D151A3">
      <w:r w:rsidRPr="00327878">
        <w:rPr>
          <w:noProof/>
        </w:rPr>
        <w:drawing>
          <wp:inline distT="0" distB="0" distL="0" distR="0" wp14:anchorId="3E5BCAC8" wp14:editId="627F2CDA">
            <wp:extent cx="6645910" cy="1084580"/>
            <wp:effectExtent l="0" t="0" r="2540" b="1270"/>
            <wp:docPr id="1859674553" name="Picture 185967455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53" name="Picture 1859674553" descr="Diagram&#10;&#10;Description automatically generated"/>
                    <pic:cNvPicPr/>
                  </pic:nvPicPr>
                  <pic:blipFill>
                    <a:blip r:embed="rId1230"/>
                    <a:stretch>
                      <a:fillRect/>
                    </a:stretch>
                  </pic:blipFill>
                  <pic:spPr>
                    <a:xfrm>
                      <a:off x="0" y="0"/>
                      <a:ext cx="6645910" cy="1084580"/>
                    </a:xfrm>
                    <a:prstGeom prst="rect">
                      <a:avLst/>
                    </a:prstGeom>
                  </pic:spPr>
                </pic:pic>
              </a:graphicData>
            </a:graphic>
          </wp:inline>
        </w:drawing>
      </w:r>
    </w:p>
    <w:p w14:paraId="3C5A2CFA" w14:textId="77777777" w:rsidR="00E55491" w:rsidRDefault="00E55491" w:rsidP="00D151A3">
      <w:r>
        <w:t>Take note that RDS session is just a group of process that belong to a Windows user, so the concept of high CPU, low memory do not apply. There is no disk latency counter per process either. So the first 3 metrics are only for VDI. The threshold settings are as follow. Adjust them accordingly.</w:t>
      </w:r>
    </w:p>
    <w:p w14:paraId="6A7C48E9" w14:textId="77777777" w:rsidR="00E55491" w:rsidRDefault="00E55491" w:rsidP="00D151A3">
      <w:pPr>
        <w:jc w:val="center"/>
      </w:pPr>
      <w:r w:rsidRPr="00A04C65">
        <w:rPr>
          <w:noProof/>
        </w:rPr>
        <w:drawing>
          <wp:inline distT="0" distB="0" distL="0" distR="0" wp14:anchorId="43E88B00" wp14:editId="4B2956BE">
            <wp:extent cx="3790800" cy="997200"/>
            <wp:effectExtent l="0" t="0" r="635" b="0"/>
            <wp:docPr id="357815392" name="Picture 35781539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92" name="Picture 357815392" descr="Graphical user interface, application&#10;&#10;Description automatically generated"/>
                    <pic:cNvPicPr/>
                  </pic:nvPicPr>
                  <pic:blipFill>
                    <a:blip r:embed="rId1231"/>
                    <a:stretch>
                      <a:fillRect/>
                    </a:stretch>
                  </pic:blipFill>
                  <pic:spPr>
                    <a:xfrm>
                      <a:off x="0" y="0"/>
                      <a:ext cx="3790800" cy="997200"/>
                    </a:xfrm>
                    <a:prstGeom prst="rect">
                      <a:avLst/>
                    </a:prstGeom>
                  </pic:spPr>
                </pic:pic>
              </a:graphicData>
            </a:graphic>
          </wp:inline>
        </w:drawing>
      </w:r>
    </w:p>
    <w:p w14:paraId="3D060788" w14:textId="77777777" w:rsidR="00E55491" w:rsidRDefault="00E55491" w:rsidP="00D151A3">
      <w:r>
        <w:t>The next metrics include both VDI sessions and RDS hosts. They have no threshold as higher does not mean worse or better.</w:t>
      </w:r>
    </w:p>
    <w:p w14:paraId="2B5BD409" w14:textId="77777777" w:rsidR="00E55491" w:rsidRDefault="00E55491" w:rsidP="00D151A3">
      <w:r>
        <w:t>If you have more screen real estate, consider adding the following metrics</w:t>
      </w:r>
    </w:p>
    <w:p w14:paraId="7CE218C2" w14:textId="77777777" w:rsidR="00E55491" w:rsidRDefault="00E55491" w:rsidP="00D151A3">
      <w:pPr>
        <w:pStyle w:val="Bullet"/>
      </w:pPr>
      <w:r>
        <w:t xml:space="preserve">Datacenter KPI (%). </w:t>
      </w:r>
    </w:p>
    <w:p w14:paraId="08DCD339" w14:textId="77777777" w:rsidR="00E55491" w:rsidRDefault="00E55491" w:rsidP="00D151A3">
      <w:pPr>
        <w:pStyle w:val="Bullet"/>
      </w:pPr>
      <w:r>
        <w:t>Disk IOPS</w:t>
      </w:r>
    </w:p>
    <w:p w14:paraId="1A9FF838" w14:textId="77777777" w:rsidR="00E55491" w:rsidRDefault="00E55491" w:rsidP="00D151A3">
      <w:pPr>
        <w:pStyle w:val="Bullet"/>
      </w:pPr>
      <w:r>
        <w:t>Disk Throughput</w:t>
      </w:r>
    </w:p>
    <w:p w14:paraId="06022CE7" w14:textId="77777777" w:rsidR="00E55491" w:rsidRDefault="00E55491" w:rsidP="00D151A3">
      <w:r>
        <w:t>Network is given its own widget as DaaS is essentially desktop over the network</w:t>
      </w:r>
    </w:p>
    <w:p w14:paraId="1C814202" w14:textId="77777777" w:rsidR="00E55491" w:rsidRDefault="00E55491" w:rsidP="00D151A3">
      <w:pPr>
        <w:jc w:val="center"/>
      </w:pPr>
      <w:r w:rsidRPr="00042DDD">
        <w:rPr>
          <w:noProof/>
        </w:rPr>
        <w:lastRenderedPageBreak/>
        <w:drawing>
          <wp:inline distT="0" distB="0" distL="0" distR="0" wp14:anchorId="0BF18567" wp14:editId="4B9773BE">
            <wp:extent cx="5662800" cy="1126800"/>
            <wp:effectExtent l="0" t="0" r="0" b="0"/>
            <wp:docPr id="357815391" name="Picture 357815391"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91" name="Picture 357815391" descr="Chart&#10;&#10;Description automatically generated with medium confidence"/>
                    <pic:cNvPicPr/>
                  </pic:nvPicPr>
                  <pic:blipFill>
                    <a:blip r:embed="rId1232"/>
                    <a:stretch>
                      <a:fillRect/>
                    </a:stretch>
                  </pic:blipFill>
                  <pic:spPr>
                    <a:xfrm>
                      <a:off x="0" y="0"/>
                      <a:ext cx="5662800" cy="1126800"/>
                    </a:xfrm>
                    <a:prstGeom prst="rect">
                      <a:avLst/>
                    </a:prstGeom>
                  </pic:spPr>
                </pic:pic>
              </a:graphicData>
            </a:graphic>
          </wp:inline>
        </w:drawing>
      </w:r>
    </w:p>
    <w:p w14:paraId="25CE0106" w14:textId="77777777" w:rsidR="00E55491" w:rsidRDefault="00E55491" w:rsidP="00D151A3">
      <w:r>
        <w:t>The threshold settings are as follow. Adjust them accordingly. If you have mixed LAN users and WAN users, the threshold will naturally be dominated by your remote users. You can ignore LAN users as they should not be experiencing any network problem, unless your office Wi-Fi unable to cope or provide higher service to VDI protocol.</w:t>
      </w:r>
    </w:p>
    <w:p w14:paraId="6B0A02CB" w14:textId="77777777" w:rsidR="00E55491" w:rsidRDefault="00E55491" w:rsidP="00D151A3">
      <w:pPr>
        <w:jc w:val="center"/>
      </w:pPr>
      <w:r w:rsidRPr="005E004D">
        <w:rPr>
          <w:noProof/>
        </w:rPr>
        <w:drawing>
          <wp:inline distT="0" distB="0" distL="0" distR="0" wp14:anchorId="0C402A20" wp14:editId="149CC8E5">
            <wp:extent cx="4406400" cy="1357200"/>
            <wp:effectExtent l="0" t="0" r="0" b="0"/>
            <wp:docPr id="357815393" name="Picture 35781539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93" name="Picture 357815393" descr="Table&#10;&#10;Description automatically generated"/>
                    <pic:cNvPicPr/>
                  </pic:nvPicPr>
                  <pic:blipFill>
                    <a:blip r:embed="rId1233"/>
                    <a:stretch>
                      <a:fillRect/>
                    </a:stretch>
                  </pic:blipFill>
                  <pic:spPr>
                    <a:xfrm>
                      <a:off x="0" y="0"/>
                      <a:ext cx="4406400" cy="1357200"/>
                    </a:xfrm>
                    <a:prstGeom prst="rect">
                      <a:avLst/>
                    </a:prstGeom>
                  </pic:spPr>
                </pic:pic>
              </a:graphicData>
            </a:graphic>
          </wp:inline>
        </w:drawing>
      </w:r>
    </w:p>
    <w:p w14:paraId="7A1A07C0" w14:textId="77777777" w:rsidR="00E55491" w:rsidRDefault="00E55491" w:rsidP="00D151A3">
      <w:r>
        <w:t>If you have more screen real estate, consider adding the following metrics</w:t>
      </w:r>
    </w:p>
    <w:p w14:paraId="53A84111" w14:textId="77777777" w:rsidR="00E55491" w:rsidRDefault="00E55491" w:rsidP="00D151A3">
      <w:pPr>
        <w:pStyle w:val="Bullet"/>
      </w:pPr>
      <w:r>
        <w:t xml:space="preserve">Network KPI (%). </w:t>
      </w:r>
    </w:p>
    <w:p w14:paraId="78D50DCD" w14:textId="4C0CF648" w:rsidR="00E55491" w:rsidRDefault="00E55491" w:rsidP="00D151A3">
      <w:pPr>
        <w:pStyle w:val="Bullet"/>
      </w:pPr>
      <w:r>
        <w:t xml:space="preserve">No of RDS sessions with </w:t>
      </w:r>
      <w:r w:rsidR="00CF7D2C" w:rsidRPr="00CF7D2C">
        <w:rPr>
          <w:color w:val="FF0000"/>
        </w:rPr>
        <w:t>red</w:t>
      </w:r>
      <w:r>
        <w:t xml:space="preserve"> network KPI. </w:t>
      </w:r>
    </w:p>
    <w:p w14:paraId="207F6F81" w14:textId="77777777" w:rsidR="00E55491" w:rsidRDefault="00E55491" w:rsidP="00D151A3">
      <w:pPr>
        <w:pStyle w:val="Heading4"/>
      </w:pPr>
      <w:r>
        <w:t>Performance Section</w:t>
      </w:r>
    </w:p>
    <w:p w14:paraId="53E56F6B" w14:textId="77777777" w:rsidR="00E55491" w:rsidRPr="00985FDE" w:rsidRDefault="00E55491" w:rsidP="00D151A3">
      <w:pPr>
        <w:rPr>
          <w:lang w:val="en-GB"/>
        </w:rPr>
      </w:pPr>
      <w:r>
        <w:rPr>
          <w:lang w:val="en-GB"/>
        </w:rPr>
        <w:t>The summary section does not show individual session. The performance section complements it by showing the distribution of the sessions, and you can drill down into specific session.</w:t>
      </w:r>
    </w:p>
    <w:p w14:paraId="23F0479F" w14:textId="77777777" w:rsidR="00E55491" w:rsidRDefault="00E55491" w:rsidP="00D151A3">
      <w:r>
        <w:t xml:space="preserve">As you can expect, there are 2 distribution charts. One for the data center, and one for the network. The one for DC only covers VDI, while the one for the network covers both VDI and RDS. </w:t>
      </w:r>
    </w:p>
    <w:p w14:paraId="53F859E1" w14:textId="77777777" w:rsidR="00E55491" w:rsidRDefault="00E55491" w:rsidP="00D151A3">
      <w:r>
        <w:t xml:space="preserve">The following screenshot shows the network one. </w:t>
      </w:r>
    </w:p>
    <w:p w14:paraId="799CF2A3" w14:textId="77777777" w:rsidR="00E55491" w:rsidRDefault="00E55491" w:rsidP="00D151A3">
      <w:r w:rsidRPr="00327878">
        <w:rPr>
          <w:noProof/>
        </w:rPr>
        <w:drawing>
          <wp:inline distT="0" distB="0" distL="0" distR="0" wp14:anchorId="5DD3C6AA" wp14:editId="207960EB">
            <wp:extent cx="6645910" cy="2202180"/>
            <wp:effectExtent l="0" t="0" r="2540" b="7620"/>
            <wp:docPr id="1859674554" name="Picture 1859674554"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54" name="Picture 1859674554" descr="Graphical user interface&#10;&#10;Description automatically generated"/>
                    <pic:cNvPicPr/>
                  </pic:nvPicPr>
                  <pic:blipFill>
                    <a:blip r:embed="rId1234"/>
                    <a:stretch>
                      <a:fillRect/>
                    </a:stretch>
                  </pic:blipFill>
                  <pic:spPr>
                    <a:xfrm>
                      <a:off x="0" y="0"/>
                      <a:ext cx="6645910" cy="2202180"/>
                    </a:xfrm>
                    <a:prstGeom prst="rect">
                      <a:avLst/>
                    </a:prstGeom>
                  </pic:spPr>
                </pic:pic>
              </a:graphicData>
            </a:graphic>
          </wp:inline>
        </w:drawing>
      </w:r>
    </w:p>
    <w:p w14:paraId="1515589E" w14:textId="510B9CF1" w:rsidR="00E55491" w:rsidRDefault="00E55491" w:rsidP="00D151A3">
      <w:r>
        <w:lastRenderedPageBreak/>
        <w:t>They follow the KPI, which has 4 equal-distribution (</w:t>
      </w:r>
      <w:r w:rsidR="0022569A" w:rsidRPr="0022569A">
        <w:rPr>
          <w:color w:val="00B050"/>
        </w:rPr>
        <w:t>Green</w:t>
      </w:r>
      <w:r>
        <w:t xml:space="preserve"> is 75-100%, while </w:t>
      </w:r>
      <w:r w:rsidR="00CF7D2C" w:rsidRPr="00CF7D2C">
        <w:rPr>
          <w:color w:val="FF0000"/>
        </w:rPr>
        <w:t>Red</w:t>
      </w:r>
      <w:r>
        <w:t xml:space="preserve"> is 0 – 25%). The chart provides more breakdown for the </w:t>
      </w:r>
      <w:r w:rsidR="0022569A" w:rsidRPr="0022569A">
        <w:rPr>
          <w:color w:val="00B050"/>
        </w:rPr>
        <w:t>green</w:t>
      </w:r>
      <w:r>
        <w:t xml:space="preserve"> range as majority of the values should be here (above screenshot was from a lab), giving you a finer visibility so you can see if they are closer to 75% or 100%.</w:t>
      </w:r>
    </w:p>
    <w:p w14:paraId="6EF5738C" w14:textId="77777777" w:rsidR="00E55491" w:rsidRDefault="00E55491" w:rsidP="00D151A3">
      <w:r>
        <w:t xml:space="preserve">The number shown is the worst number in the last 24 hours. </w:t>
      </w:r>
    </w:p>
    <w:p w14:paraId="595EAD01" w14:textId="77777777" w:rsidR="00E55491" w:rsidRDefault="00E55491" w:rsidP="00D151A3">
      <w:r>
        <w:t>You can click on each of the bucket to see the actual session.</w:t>
      </w:r>
    </w:p>
    <w:p w14:paraId="201FF5FA" w14:textId="77777777" w:rsidR="00E55491" w:rsidRDefault="00E55491" w:rsidP="00D151A3">
      <w:pPr>
        <w:pStyle w:val="Heading4"/>
      </w:pPr>
      <w:r>
        <w:t>VDI Pool and RDS Farm Section</w:t>
      </w:r>
    </w:p>
    <w:p w14:paraId="052C3FE8" w14:textId="77777777" w:rsidR="00E55491" w:rsidRDefault="00E55491" w:rsidP="00D151A3">
      <w:r>
        <w:t>This section complements the above by focusing on the provider of the resource, as there can be many to many relationship between users and pool/farm. There can be times where you want to view pool by pool, or farm by farm.</w:t>
      </w:r>
    </w:p>
    <w:p w14:paraId="0D9C50B8" w14:textId="77777777" w:rsidR="00E55491" w:rsidRDefault="00E55491" w:rsidP="00D151A3">
      <w:r w:rsidRPr="00D249DE">
        <w:rPr>
          <w:noProof/>
        </w:rPr>
        <w:drawing>
          <wp:inline distT="0" distB="0" distL="0" distR="0" wp14:anchorId="6B87E631" wp14:editId="5796E94C">
            <wp:extent cx="6645910" cy="2621280"/>
            <wp:effectExtent l="0" t="0" r="2540" b="7620"/>
            <wp:docPr id="918289630" name="Picture 918289630"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30" name="Picture 918289630" descr="Graphical user interface, text, application, email&#10;&#10;Description automatically generated"/>
                    <pic:cNvPicPr/>
                  </pic:nvPicPr>
                  <pic:blipFill>
                    <a:blip r:embed="rId1235"/>
                    <a:stretch>
                      <a:fillRect/>
                    </a:stretch>
                  </pic:blipFill>
                  <pic:spPr>
                    <a:xfrm>
                      <a:off x="0" y="0"/>
                      <a:ext cx="6645910" cy="2621280"/>
                    </a:xfrm>
                    <a:prstGeom prst="rect">
                      <a:avLst/>
                    </a:prstGeom>
                  </pic:spPr>
                </pic:pic>
              </a:graphicData>
            </a:graphic>
          </wp:inline>
        </w:drawing>
      </w:r>
    </w:p>
    <w:p w14:paraId="40D1677A" w14:textId="77777777" w:rsidR="00E55491" w:rsidRPr="00F5542F" w:rsidRDefault="00E55491" w:rsidP="00D151A3">
      <w:pPr>
        <w:rPr>
          <w:lang w:val="en-GB"/>
        </w:rPr>
      </w:pPr>
      <w:r>
        <w:rPr>
          <w:lang w:val="en-GB"/>
        </w:rPr>
        <w:t xml:space="preserve">Under the table, the dashboard sports 4 widgets. They widgets are collapsed by default as they provide secondary information to the preceding table. They are for convenient, especially in large environment with hundreds of pools and farms. </w:t>
      </w:r>
    </w:p>
    <w:p w14:paraId="3C7B9BD9" w14:textId="77777777" w:rsidR="00E55491" w:rsidRDefault="00E55491" w:rsidP="00D151A3">
      <w:r w:rsidRPr="004843EF">
        <w:rPr>
          <w:noProof/>
        </w:rPr>
        <w:drawing>
          <wp:inline distT="0" distB="0" distL="0" distR="0" wp14:anchorId="5381006B" wp14:editId="16F9F3B9">
            <wp:extent cx="6645910" cy="2244725"/>
            <wp:effectExtent l="0" t="0" r="2540" b="3175"/>
            <wp:docPr id="918289632" name="Picture 91828963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32" name="Picture 918289632" descr="Chart&#10;&#10;Description automatically generated"/>
                    <pic:cNvPicPr/>
                  </pic:nvPicPr>
                  <pic:blipFill>
                    <a:blip r:embed="rId1236"/>
                    <a:stretch>
                      <a:fillRect/>
                    </a:stretch>
                  </pic:blipFill>
                  <pic:spPr>
                    <a:xfrm>
                      <a:off x="0" y="0"/>
                      <a:ext cx="6645910" cy="2244725"/>
                    </a:xfrm>
                    <a:prstGeom prst="rect">
                      <a:avLst/>
                    </a:prstGeom>
                  </pic:spPr>
                </pic:pic>
              </a:graphicData>
            </a:graphic>
          </wp:inline>
        </w:drawing>
      </w:r>
    </w:p>
    <w:p w14:paraId="6D169637" w14:textId="5A4334B4" w:rsidR="00E55491" w:rsidRDefault="00E55491" w:rsidP="00D151A3">
      <w:r>
        <w:lastRenderedPageBreak/>
        <w:t xml:space="preserve">The column bucket is color coded, from </w:t>
      </w:r>
      <w:r w:rsidR="00CF7D2C" w:rsidRPr="00CF7D2C">
        <w:rPr>
          <w:color w:val="FF0000"/>
        </w:rPr>
        <w:t>red</w:t>
      </w:r>
      <w:r>
        <w:t xml:space="preserve"> to </w:t>
      </w:r>
      <w:r w:rsidR="0022569A" w:rsidRPr="0022569A">
        <w:rPr>
          <w:color w:val="00B050"/>
        </w:rPr>
        <w:t>green</w:t>
      </w:r>
      <w:r>
        <w:t>. Why is the last color grey?</w:t>
      </w:r>
    </w:p>
    <w:p w14:paraId="168DB9A3" w14:textId="77777777" w:rsidR="00E55491" w:rsidRDefault="00E55491" w:rsidP="00D151A3">
      <w:r>
        <w:t>It shows excess capacity. Too much excess it becomes a wastage.</w:t>
      </w:r>
    </w:p>
    <w:p w14:paraId="56176D38" w14:textId="77777777" w:rsidR="00E55491" w:rsidRDefault="00E55491" w:rsidP="00D151A3">
      <w:pPr>
        <w:pStyle w:val="Heading4"/>
      </w:pPr>
      <w:r>
        <w:t>Horizon Servers Section</w:t>
      </w:r>
    </w:p>
    <w:p w14:paraId="5BC5D05D" w14:textId="77777777" w:rsidR="00E55491" w:rsidRDefault="00E55491" w:rsidP="00D151A3">
      <w:pPr>
        <w:rPr>
          <w:lang w:val="en-GB"/>
        </w:rPr>
      </w:pPr>
      <w:r>
        <w:rPr>
          <w:lang w:val="en-GB"/>
        </w:rPr>
        <w:t>The last section focuses on the infrastructure. You will notice that we typically place the “kitchen” matters last. You should focus on the user first, then Pool/Farm, then your vSphere and Horizon infrastructure.</w:t>
      </w:r>
    </w:p>
    <w:p w14:paraId="4ED76384" w14:textId="77777777" w:rsidR="00E55491" w:rsidRDefault="00E55491" w:rsidP="00D151A3">
      <w:pPr>
        <w:rPr>
          <w:lang w:val="en-GB"/>
        </w:rPr>
      </w:pPr>
      <w:r>
        <w:rPr>
          <w:lang w:val="en-GB"/>
        </w:rPr>
        <w:t>It shows 3 widgets, as Connection Server does not have a network KPI metric (it is not that relevant as protocol traffic does not pass through connection server).</w:t>
      </w:r>
    </w:p>
    <w:p w14:paraId="38118FBA" w14:textId="77777777" w:rsidR="00E55491" w:rsidRPr="00F5542F" w:rsidRDefault="00E55491" w:rsidP="00D151A3">
      <w:pPr>
        <w:rPr>
          <w:lang w:val="en-GB"/>
        </w:rPr>
      </w:pPr>
      <w:r>
        <w:rPr>
          <w:lang w:val="en-GB"/>
        </w:rPr>
        <w:t>The following screenshot shows 2 of the 3 widgets.</w:t>
      </w:r>
    </w:p>
    <w:p w14:paraId="14C3A512" w14:textId="77777777" w:rsidR="00E55491" w:rsidRDefault="00E55491" w:rsidP="00D151A3">
      <w:r w:rsidRPr="004843EF">
        <w:rPr>
          <w:noProof/>
        </w:rPr>
        <w:drawing>
          <wp:inline distT="0" distB="0" distL="0" distR="0" wp14:anchorId="0E07B46F" wp14:editId="58A1D0F4">
            <wp:extent cx="6645910" cy="1673860"/>
            <wp:effectExtent l="0" t="0" r="2540" b="2540"/>
            <wp:docPr id="918289633" name="Picture 918289633" descr="Chart, waterfall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33" name="Picture 918289633" descr="Chart, waterfall chart&#10;&#10;Description automatically generated"/>
                    <pic:cNvPicPr/>
                  </pic:nvPicPr>
                  <pic:blipFill>
                    <a:blip r:embed="rId1237"/>
                    <a:stretch>
                      <a:fillRect/>
                    </a:stretch>
                  </pic:blipFill>
                  <pic:spPr>
                    <a:xfrm>
                      <a:off x="0" y="0"/>
                      <a:ext cx="6645910" cy="1673860"/>
                    </a:xfrm>
                    <a:prstGeom prst="rect">
                      <a:avLst/>
                    </a:prstGeom>
                  </pic:spPr>
                </pic:pic>
              </a:graphicData>
            </a:graphic>
          </wp:inline>
        </w:drawing>
      </w:r>
    </w:p>
    <w:p w14:paraId="30A0567E" w14:textId="77777777" w:rsidR="00E55491" w:rsidRDefault="00E55491" w:rsidP="00D151A3">
      <w:pPr>
        <w:pStyle w:val="Heading3"/>
      </w:pPr>
      <w:r>
        <w:t>User Dashboard</w:t>
      </w:r>
    </w:p>
    <w:p w14:paraId="1222E709" w14:textId="77777777" w:rsidR="00E55491" w:rsidRDefault="00E55491" w:rsidP="00D151A3">
      <w:pPr>
        <w:rPr>
          <w:lang w:val="en-GB"/>
        </w:rPr>
      </w:pPr>
      <w:r>
        <w:rPr>
          <w:lang w:val="en-GB"/>
        </w:rPr>
        <w:t>The dashboard provides a user-centric view. It’s designed when you know the specific user, or you want to view from users perspective. Generally, you want to ensure a good experience for the user, which means providing sufficient capacity and speedy response time. To user, capacity and performance are the same thing, as what they want is fast computer.</w:t>
      </w:r>
    </w:p>
    <w:p w14:paraId="6005EDC7" w14:textId="77777777" w:rsidR="00E55491" w:rsidRPr="001E71B4" w:rsidRDefault="00E55491" w:rsidP="00D151A3">
      <w:r w:rsidRPr="00440344">
        <w:t xml:space="preserve">User does not want to wait for </w:t>
      </w:r>
      <w:r>
        <w:t xml:space="preserve">1 </w:t>
      </w:r>
      <w:r w:rsidRPr="00440344">
        <w:t>hour when performance issue happens</w:t>
      </w:r>
      <w:r>
        <w:t xml:space="preserve">. </w:t>
      </w:r>
      <w:r w:rsidRPr="00440344">
        <w:t>Alert has to be in place</w:t>
      </w:r>
      <w:r>
        <w:t xml:space="preserve"> that react within reasonable time (10 – 20 minutes) so their productivity is not impacted. One way is to have an on-demand CPU and memory hot add. U</w:t>
      </w:r>
      <w:r w:rsidRPr="00440344">
        <w:t xml:space="preserve">psize CPU or RAM independently </w:t>
      </w:r>
      <w:r>
        <w:t xml:space="preserve">as they may not be corelated. </w:t>
      </w:r>
      <w:r w:rsidRPr="00440344">
        <w:t>User A may have CPU issue, while User B may have RAM issue.</w:t>
      </w:r>
    </w:p>
    <w:p w14:paraId="5E7FDD42" w14:textId="77777777" w:rsidR="00E55491" w:rsidRPr="00440344" w:rsidRDefault="00E55491" w:rsidP="00D151A3">
      <w:r>
        <w:t xml:space="preserve">If users are allowed to install their own applications, or there are many applications, you have higher risk of </w:t>
      </w:r>
      <w:r w:rsidRPr="00440344">
        <w:t>runaway process</w:t>
      </w:r>
      <w:r>
        <w:t>. A process going into CPU look</w:t>
      </w:r>
      <w:r w:rsidRPr="00440344">
        <w:t xml:space="preserve"> can chew up CPU for &gt;10 minutes.</w:t>
      </w:r>
    </w:p>
    <w:p w14:paraId="6A581161" w14:textId="77777777" w:rsidR="00E55491" w:rsidRPr="00366188" w:rsidRDefault="00E55491" w:rsidP="00D151A3">
      <w:pPr>
        <w:pStyle w:val="Heading4"/>
      </w:pPr>
      <w:r>
        <w:lastRenderedPageBreak/>
        <w:t>Summary Section</w:t>
      </w:r>
    </w:p>
    <w:p w14:paraId="4F9F9F5D" w14:textId="77777777" w:rsidR="00E55491" w:rsidRDefault="00E55491" w:rsidP="00D151A3">
      <w:pPr>
        <w:rPr>
          <w:lang w:val="en-GB"/>
        </w:rPr>
      </w:pPr>
      <w:r>
        <w:rPr>
          <w:lang w:val="en-GB"/>
        </w:rPr>
        <w:t xml:space="preserve">This section gives a bird-eye overview. It sports 3 widgets, 1 focuses on overall consumption and 2 focus on performance. </w:t>
      </w:r>
    </w:p>
    <w:p w14:paraId="39B1868E" w14:textId="7BE9512F" w:rsidR="00E55491" w:rsidRDefault="00E55491" w:rsidP="00D151A3">
      <w:pPr>
        <w:rPr>
          <w:lang w:val="en-GB"/>
        </w:rPr>
      </w:pPr>
      <w:r>
        <w:rPr>
          <w:lang w:val="en-GB"/>
        </w:rPr>
        <w:t>Overall consumption is a primary counter. Make sure the sets of numbers are within your expectation</w:t>
      </w:r>
      <w:r w:rsidR="00E4254C">
        <w:rPr>
          <w:lang w:val="en-GB"/>
        </w:rPr>
        <w:t xml:space="preserve">. </w:t>
      </w:r>
    </w:p>
    <w:p w14:paraId="6A83D245" w14:textId="77777777" w:rsidR="00E55491" w:rsidRDefault="00E55491" w:rsidP="00D151A3">
      <w:pPr>
        <w:rPr>
          <w:lang w:val="en-GB"/>
        </w:rPr>
      </w:pPr>
      <w:r w:rsidRPr="00621C96">
        <w:rPr>
          <w:noProof/>
          <w:lang w:val="en-GB"/>
        </w:rPr>
        <w:drawing>
          <wp:inline distT="0" distB="0" distL="0" distR="0" wp14:anchorId="52D9F72F" wp14:editId="0EEC980D">
            <wp:extent cx="6645910" cy="996315"/>
            <wp:effectExtent l="0" t="0" r="2540" b="0"/>
            <wp:docPr id="17" name="Picture 17"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10;&#10;Description automatically generated"/>
                    <pic:cNvPicPr/>
                  </pic:nvPicPr>
                  <pic:blipFill>
                    <a:blip r:embed="rId1238"/>
                    <a:stretch>
                      <a:fillRect/>
                    </a:stretch>
                  </pic:blipFill>
                  <pic:spPr>
                    <a:xfrm>
                      <a:off x="0" y="0"/>
                      <a:ext cx="6645910" cy="996315"/>
                    </a:xfrm>
                    <a:prstGeom prst="rect">
                      <a:avLst/>
                    </a:prstGeom>
                  </pic:spPr>
                </pic:pic>
              </a:graphicData>
            </a:graphic>
          </wp:inline>
        </w:drawing>
      </w:r>
    </w:p>
    <w:p w14:paraId="5E26955B" w14:textId="77777777" w:rsidR="00E55491" w:rsidRDefault="00E55491" w:rsidP="00D151A3">
      <w:pPr>
        <w:rPr>
          <w:lang w:val="en-GB"/>
        </w:rPr>
      </w:pPr>
      <w:r>
        <w:rPr>
          <w:lang w:val="en-GB"/>
        </w:rPr>
        <w:t>As you can expect, the performance-oriented widgets focus on network and data center. The following screenshot shows the network one.</w:t>
      </w:r>
    </w:p>
    <w:p w14:paraId="093C9A4E" w14:textId="77777777" w:rsidR="00E55491" w:rsidRDefault="00E55491" w:rsidP="00D151A3">
      <w:pPr>
        <w:rPr>
          <w:lang w:val="en-GB"/>
        </w:rPr>
      </w:pPr>
      <w:r w:rsidRPr="00A654CD">
        <w:rPr>
          <w:noProof/>
          <w:lang w:val="en-GB"/>
        </w:rPr>
        <w:drawing>
          <wp:inline distT="0" distB="0" distL="0" distR="0" wp14:anchorId="2591D343" wp14:editId="66626F14">
            <wp:extent cx="6645910" cy="1089660"/>
            <wp:effectExtent l="0" t="0" r="2540" b="0"/>
            <wp:docPr id="357815394" name="Picture 35781539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94" name="Picture 357815394" descr="Text&#10;&#10;Description automatically generated"/>
                    <pic:cNvPicPr/>
                  </pic:nvPicPr>
                  <pic:blipFill>
                    <a:blip r:embed="rId1239"/>
                    <a:stretch>
                      <a:fillRect/>
                    </a:stretch>
                  </pic:blipFill>
                  <pic:spPr>
                    <a:xfrm>
                      <a:off x="0" y="0"/>
                      <a:ext cx="6645910" cy="1089660"/>
                    </a:xfrm>
                    <a:prstGeom prst="rect">
                      <a:avLst/>
                    </a:prstGeom>
                  </pic:spPr>
                </pic:pic>
              </a:graphicData>
            </a:graphic>
          </wp:inline>
        </w:drawing>
      </w:r>
    </w:p>
    <w:p w14:paraId="74F8586E" w14:textId="77777777" w:rsidR="00E55491" w:rsidRDefault="00E55491" w:rsidP="00D151A3">
      <w:pPr>
        <w:rPr>
          <w:lang w:val="en-GB"/>
        </w:rPr>
      </w:pPr>
      <w:r>
        <w:rPr>
          <w:lang w:val="en-GB"/>
        </w:rPr>
        <w:t>Why do we count sessions instead of users?</w:t>
      </w:r>
    </w:p>
    <w:p w14:paraId="766579B4" w14:textId="77777777" w:rsidR="00E55491" w:rsidRDefault="00E55491" w:rsidP="00D151A3">
      <w:pPr>
        <w:rPr>
          <w:lang w:val="en-GB"/>
        </w:rPr>
      </w:pPr>
      <w:r>
        <w:rPr>
          <w:lang w:val="en-GB"/>
        </w:rPr>
        <w:t>Because a user can have many sessions. In a class-room setting, the entire class could be sharing 1 account.</w:t>
      </w:r>
    </w:p>
    <w:p w14:paraId="2DFAF770" w14:textId="77777777" w:rsidR="00E55491" w:rsidRDefault="00E55491" w:rsidP="00D151A3">
      <w:pPr>
        <w:rPr>
          <w:lang w:val="en-GB"/>
        </w:rPr>
      </w:pPr>
      <w:r>
        <w:rPr>
          <w:lang w:val="en-GB"/>
        </w:rPr>
        <w:t>The widget shows the following metrics:</w:t>
      </w:r>
    </w:p>
    <w:p w14:paraId="0FF33FB5" w14:textId="77777777" w:rsidR="00E55491" w:rsidRDefault="00E55491" w:rsidP="00D151A3">
      <w:pPr>
        <w:jc w:val="center"/>
        <w:rPr>
          <w:lang w:val="en-GB"/>
        </w:rPr>
      </w:pPr>
      <w:r w:rsidRPr="001E71B4">
        <w:rPr>
          <w:noProof/>
          <w:lang w:val="en-GB"/>
        </w:rPr>
        <w:drawing>
          <wp:inline distT="0" distB="0" distL="0" distR="0" wp14:anchorId="694C45E1" wp14:editId="2E21ACFE">
            <wp:extent cx="5936400" cy="1537200"/>
            <wp:effectExtent l="0" t="0" r="7620" b="6350"/>
            <wp:docPr id="357815395" name="Picture 35781539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95" name="Picture 357815395" descr="Table&#10;&#10;Description automatically generated"/>
                    <pic:cNvPicPr/>
                  </pic:nvPicPr>
                  <pic:blipFill>
                    <a:blip r:embed="rId1240"/>
                    <a:stretch>
                      <a:fillRect/>
                    </a:stretch>
                  </pic:blipFill>
                  <pic:spPr>
                    <a:xfrm>
                      <a:off x="0" y="0"/>
                      <a:ext cx="5936400" cy="1537200"/>
                    </a:xfrm>
                    <a:prstGeom prst="rect">
                      <a:avLst/>
                    </a:prstGeom>
                  </pic:spPr>
                </pic:pic>
              </a:graphicData>
            </a:graphic>
          </wp:inline>
        </w:drawing>
      </w:r>
    </w:p>
    <w:p w14:paraId="01DFC931" w14:textId="77777777" w:rsidR="00E55491" w:rsidRDefault="00E55491" w:rsidP="00D151A3">
      <w:pPr>
        <w:rPr>
          <w:lang w:val="en-GB"/>
        </w:rPr>
      </w:pPr>
      <w:r>
        <w:rPr>
          <w:lang w:val="en-GB"/>
        </w:rPr>
        <w:t>Adjust the threshold accordingly. Factors that impact the threshold is the size of your environment, the number of concurrent users, and your promised SLA.</w:t>
      </w:r>
    </w:p>
    <w:p w14:paraId="01360664" w14:textId="77777777" w:rsidR="00E55491" w:rsidRDefault="00E55491" w:rsidP="00D151A3">
      <w:pPr>
        <w:rPr>
          <w:lang w:val="en-GB"/>
        </w:rPr>
      </w:pPr>
      <w:r>
        <w:rPr>
          <w:lang w:val="en-GB"/>
        </w:rPr>
        <w:t>The above is for the network. For the DC, the dashboard shows the following information.</w:t>
      </w:r>
    </w:p>
    <w:p w14:paraId="109FD68B" w14:textId="77777777" w:rsidR="00E55491" w:rsidRDefault="00E55491" w:rsidP="00D151A3">
      <w:pPr>
        <w:rPr>
          <w:lang w:val="en-GB"/>
        </w:rPr>
      </w:pPr>
      <w:r w:rsidRPr="004F46AE">
        <w:rPr>
          <w:noProof/>
          <w:lang w:val="en-GB"/>
        </w:rPr>
        <w:drawing>
          <wp:inline distT="0" distB="0" distL="0" distR="0" wp14:anchorId="5CF66776" wp14:editId="73EBF5E0">
            <wp:extent cx="6645910" cy="1189355"/>
            <wp:effectExtent l="0" t="0" r="2540" b="0"/>
            <wp:docPr id="534447543" name="Picture 53444754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30" name="Picture 534447530" descr="Chart&#10;&#10;Description automatically generated"/>
                    <pic:cNvPicPr/>
                  </pic:nvPicPr>
                  <pic:blipFill>
                    <a:blip r:embed="rId1241"/>
                    <a:stretch>
                      <a:fillRect/>
                    </a:stretch>
                  </pic:blipFill>
                  <pic:spPr>
                    <a:xfrm>
                      <a:off x="0" y="0"/>
                      <a:ext cx="6645910" cy="1189355"/>
                    </a:xfrm>
                    <a:prstGeom prst="rect">
                      <a:avLst/>
                    </a:prstGeom>
                  </pic:spPr>
                </pic:pic>
              </a:graphicData>
            </a:graphic>
          </wp:inline>
        </w:drawing>
      </w:r>
    </w:p>
    <w:p w14:paraId="5EF63D0C" w14:textId="77777777" w:rsidR="00E55491" w:rsidRDefault="00E55491" w:rsidP="00D151A3">
      <w:pPr>
        <w:rPr>
          <w:lang w:val="en-GB"/>
        </w:rPr>
      </w:pPr>
      <w:r>
        <w:rPr>
          <w:lang w:val="en-GB"/>
        </w:rPr>
        <w:t>The widget shows the following metrics:</w:t>
      </w:r>
    </w:p>
    <w:p w14:paraId="2790E908" w14:textId="77777777" w:rsidR="00E55491" w:rsidRDefault="00E55491" w:rsidP="00D151A3">
      <w:pPr>
        <w:jc w:val="center"/>
        <w:rPr>
          <w:lang w:val="en-GB"/>
        </w:rPr>
      </w:pPr>
      <w:r w:rsidRPr="00B3567D">
        <w:rPr>
          <w:noProof/>
          <w:lang w:val="en-GB"/>
        </w:rPr>
        <w:lastRenderedPageBreak/>
        <w:drawing>
          <wp:inline distT="0" distB="0" distL="0" distR="0" wp14:anchorId="3E4494AD" wp14:editId="680885E4">
            <wp:extent cx="5842800" cy="1368000"/>
            <wp:effectExtent l="0" t="0" r="5715" b="3810"/>
            <wp:docPr id="1859674557" name="Picture 185967455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57" name="Picture 1859674557" descr="Table&#10;&#10;Description automatically generated"/>
                    <pic:cNvPicPr/>
                  </pic:nvPicPr>
                  <pic:blipFill>
                    <a:blip r:embed="rId1242"/>
                    <a:stretch>
                      <a:fillRect/>
                    </a:stretch>
                  </pic:blipFill>
                  <pic:spPr>
                    <a:xfrm>
                      <a:off x="0" y="0"/>
                      <a:ext cx="5842800" cy="1368000"/>
                    </a:xfrm>
                    <a:prstGeom prst="rect">
                      <a:avLst/>
                    </a:prstGeom>
                  </pic:spPr>
                </pic:pic>
              </a:graphicData>
            </a:graphic>
          </wp:inline>
        </w:drawing>
      </w:r>
    </w:p>
    <w:p w14:paraId="7D48A4A1" w14:textId="77777777" w:rsidR="00E55491" w:rsidRDefault="00E55491" w:rsidP="00D151A3">
      <w:pPr>
        <w:rPr>
          <w:lang w:val="en-GB"/>
        </w:rPr>
      </w:pPr>
      <w:r>
        <w:rPr>
          <w:lang w:val="en-GB"/>
        </w:rPr>
        <w:t>Notice the threshold are different to network, as the data center infrastructure is within your control. For network, you typically share the network with other non VDI load. Even on VDI, the protocol packets share with the non-protocol packets.</w:t>
      </w:r>
    </w:p>
    <w:p w14:paraId="66E0B4B0" w14:textId="77777777" w:rsidR="00E55491" w:rsidRDefault="00E55491" w:rsidP="00D151A3">
      <w:pPr>
        <w:pStyle w:val="Heading4"/>
      </w:pPr>
      <w:r>
        <w:t>Performance Section</w:t>
      </w:r>
    </w:p>
    <w:p w14:paraId="5580BC0C" w14:textId="77777777" w:rsidR="00E55491" w:rsidRDefault="00E55491" w:rsidP="00D151A3">
      <w:pPr>
        <w:rPr>
          <w:lang w:val="en-GB"/>
        </w:rPr>
      </w:pPr>
      <w:r>
        <w:rPr>
          <w:lang w:val="en-GB"/>
        </w:rPr>
        <w:t xml:space="preserve">The summary section does not show individual users. The performance section complements it by showing the distribution of the users, and you can drill down into specific users. </w:t>
      </w:r>
    </w:p>
    <w:p w14:paraId="46BAF8B8" w14:textId="77777777" w:rsidR="00E55491" w:rsidRDefault="00E55491" w:rsidP="00D151A3">
      <w:pPr>
        <w:rPr>
          <w:lang w:val="en-GB"/>
        </w:rPr>
      </w:pPr>
      <w:r>
        <w:rPr>
          <w:lang w:val="en-GB"/>
        </w:rPr>
        <w:t>A user can have &gt;1 sessions. In this case, the metric shows the worst among all the sessions, not the average. A user with 2 sessions can have bad CPU on session 1 and bad network on session 2. The metric at user level will capture both as it takes the worst of each session.</w:t>
      </w:r>
    </w:p>
    <w:p w14:paraId="0DE474F4" w14:textId="77777777" w:rsidR="00E55491" w:rsidRPr="00985FDE" w:rsidRDefault="00E55491" w:rsidP="00D151A3">
      <w:pPr>
        <w:rPr>
          <w:lang w:val="en-GB"/>
        </w:rPr>
      </w:pPr>
      <w:r>
        <w:rPr>
          <w:lang w:val="en-GB"/>
        </w:rPr>
        <w:t>This section follows the design that is used in the Day to Day Operations dashboard. The difference is it shows the users, not the session. This is useful if your environment allows a user to have &gt;1 session.</w:t>
      </w:r>
    </w:p>
    <w:p w14:paraId="10675A68" w14:textId="77777777" w:rsidR="00E55491" w:rsidRPr="00586F40" w:rsidRDefault="00E55491" w:rsidP="00D151A3">
      <w:r>
        <w:t xml:space="preserve">The following screenshot shows the network one. </w:t>
      </w:r>
    </w:p>
    <w:p w14:paraId="6804103C" w14:textId="77777777" w:rsidR="00E55491" w:rsidRDefault="00E55491" w:rsidP="00D151A3">
      <w:pPr>
        <w:jc w:val="center"/>
        <w:rPr>
          <w:lang w:val="en-GB"/>
        </w:rPr>
      </w:pPr>
      <w:r w:rsidRPr="00F212AF">
        <w:rPr>
          <w:noProof/>
          <w:lang w:val="en-GB"/>
        </w:rPr>
        <w:drawing>
          <wp:inline distT="0" distB="0" distL="0" distR="0" wp14:anchorId="2A055BE3" wp14:editId="2AA2E80F">
            <wp:extent cx="6645910" cy="2607945"/>
            <wp:effectExtent l="0" t="0" r="2540" b="1905"/>
            <wp:docPr id="567723369" name="Picture 567723369"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69" name="Picture 567723369" descr="Chart, bar chart&#10;&#10;Description automatically generated"/>
                    <pic:cNvPicPr/>
                  </pic:nvPicPr>
                  <pic:blipFill>
                    <a:blip r:embed="rId1243"/>
                    <a:stretch>
                      <a:fillRect/>
                    </a:stretch>
                  </pic:blipFill>
                  <pic:spPr>
                    <a:xfrm>
                      <a:off x="0" y="0"/>
                      <a:ext cx="6645910" cy="2607945"/>
                    </a:xfrm>
                    <a:prstGeom prst="rect">
                      <a:avLst/>
                    </a:prstGeom>
                  </pic:spPr>
                </pic:pic>
              </a:graphicData>
            </a:graphic>
          </wp:inline>
        </w:drawing>
      </w:r>
    </w:p>
    <w:p w14:paraId="7EEFC06F" w14:textId="77777777" w:rsidR="00E55491" w:rsidRDefault="00E55491" w:rsidP="00D151A3">
      <w:pPr>
        <w:jc w:val="center"/>
        <w:rPr>
          <w:lang w:val="en-GB"/>
        </w:rPr>
      </w:pPr>
    </w:p>
    <w:p w14:paraId="4EB65F14" w14:textId="77777777" w:rsidR="00E55491" w:rsidRDefault="00E55491" w:rsidP="00D151A3">
      <w:pPr>
        <w:pStyle w:val="Heading4"/>
      </w:pPr>
      <w:r>
        <w:lastRenderedPageBreak/>
        <w:t>User-level Analysis</w:t>
      </w:r>
    </w:p>
    <w:p w14:paraId="456A6CBD" w14:textId="77777777" w:rsidR="00E55491" w:rsidRDefault="00E55491" w:rsidP="00D151A3">
      <w:pPr>
        <w:rPr>
          <w:lang w:val="en-GB"/>
        </w:rPr>
      </w:pPr>
      <w:r>
        <w:rPr>
          <w:lang w:val="en-GB"/>
        </w:rPr>
        <w:t xml:space="preserve">This section starts with a table listing all the users (not the sessions). </w:t>
      </w:r>
    </w:p>
    <w:p w14:paraId="1EDA6CC6" w14:textId="77777777" w:rsidR="00E55491" w:rsidRDefault="00E55491" w:rsidP="00D151A3">
      <w:pPr>
        <w:rPr>
          <w:lang w:val="en-GB"/>
        </w:rPr>
      </w:pPr>
      <w:r w:rsidRPr="006E6250">
        <w:rPr>
          <w:noProof/>
          <w:lang w:val="en-GB"/>
        </w:rPr>
        <w:drawing>
          <wp:inline distT="0" distB="0" distL="0" distR="0" wp14:anchorId="46AD640F" wp14:editId="04E480C6">
            <wp:extent cx="6645910" cy="1306830"/>
            <wp:effectExtent l="0" t="0" r="2540" b="7620"/>
            <wp:docPr id="534447544" name="Picture 534447544" descr="Graphical user interface, application&#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44" name="Picture 534447544" descr="Graphical user interface, application&#10;&#10;Description automatically generated with medium confidence"/>
                    <pic:cNvPicPr/>
                  </pic:nvPicPr>
                  <pic:blipFill>
                    <a:blip r:embed="rId1244"/>
                    <a:stretch>
                      <a:fillRect/>
                    </a:stretch>
                  </pic:blipFill>
                  <pic:spPr>
                    <a:xfrm>
                      <a:off x="0" y="0"/>
                      <a:ext cx="6645910" cy="1306830"/>
                    </a:xfrm>
                    <a:prstGeom prst="rect">
                      <a:avLst/>
                    </a:prstGeom>
                  </pic:spPr>
                </pic:pic>
              </a:graphicData>
            </a:graphic>
          </wp:inline>
        </w:drawing>
      </w:r>
    </w:p>
    <w:p w14:paraId="3C8BA0CD" w14:textId="77777777" w:rsidR="00E55491" w:rsidRDefault="00E55491" w:rsidP="00D151A3">
      <w:pPr>
        <w:rPr>
          <w:lang w:val="en-GB"/>
        </w:rPr>
      </w:pPr>
      <w:r>
        <w:rPr>
          <w:lang w:val="en-GB"/>
        </w:rPr>
        <w:t>If your environment allows multiple sessions per user, consider sorting by number of connected session to see users with the most session.</w:t>
      </w:r>
    </w:p>
    <w:p w14:paraId="53A4AD24" w14:textId="77777777" w:rsidR="00E55491" w:rsidRDefault="00E55491" w:rsidP="00D151A3">
      <w:pPr>
        <w:rPr>
          <w:lang w:val="en-GB"/>
        </w:rPr>
      </w:pPr>
      <w:r w:rsidRPr="006E6250">
        <w:rPr>
          <w:lang w:val="en-GB"/>
        </w:rPr>
        <w:t>The time range is set to 8 hours so that you're not looking at yesterday data.</w:t>
      </w:r>
      <w:r>
        <w:rPr>
          <w:lang w:val="en-GB"/>
        </w:rPr>
        <w:t xml:space="preserve"> The idea is you look at this dashboard during the day (8 am to 8 pm). Adjust the time setting according to your need from the toolbar.</w:t>
      </w:r>
    </w:p>
    <w:p w14:paraId="6F9321A8" w14:textId="77777777" w:rsidR="00E55491" w:rsidRDefault="00E55491" w:rsidP="00D151A3">
      <w:pPr>
        <w:rPr>
          <w:lang w:val="en-GB"/>
        </w:rPr>
      </w:pPr>
      <w:r>
        <w:rPr>
          <w:lang w:val="en-GB"/>
        </w:rPr>
        <w:t>Select a user from the table. The following detail metrics will automatically be shown. Let’s go through them.</w:t>
      </w:r>
    </w:p>
    <w:p w14:paraId="7A7F133A" w14:textId="77777777" w:rsidR="00E55491" w:rsidRPr="00C820B7" w:rsidRDefault="00E55491" w:rsidP="00D151A3">
      <w:pPr>
        <w:pStyle w:val="Heading5"/>
      </w:pPr>
      <w:r>
        <w:t>Protocol</w:t>
      </w:r>
    </w:p>
    <w:p w14:paraId="7811992B" w14:textId="77777777" w:rsidR="00E55491" w:rsidRDefault="00E55491" w:rsidP="00D151A3">
      <w:pPr>
        <w:rPr>
          <w:lang w:val="en-GB"/>
        </w:rPr>
      </w:pPr>
      <w:r w:rsidRPr="00CD0C35">
        <w:rPr>
          <w:noProof/>
          <w:lang w:val="en-GB"/>
        </w:rPr>
        <w:drawing>
          <wp:inline distT="0" distB="0" distL="0" distR="0" wp14:anchorId="4D2CDFEE" wp14:editId="4D97898C">
            <wp:extent cx="6645910" cy="1354455"/>
            <wp:effectExtent l="0" t="0" r="2540" b="0"/>
            <wp:docPr id="534447545" name="Picture 53444754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33" name="Picture 534447533" descr="A picture containing diagram&#10;&#10;Description automatically generated"/>
                    <pic:cNvPicPr/>
                  </pic:nvPicPr>
                  <pic:blipFill>
                    <a:blip r:embed="rId1245"/>
                    <a:stretch>
                      <a:fillRect/>
                    </a:stretch>
                  </pic:blipFill>
                  <pic:spPr>
                    <a:xfrm>
                      <a:off x="0" y="0"/>
                      <a:ext cx="6645910" cy="1354455"/>
                    </a:xfrm>
                    <a:prstGeom prst="rect">
                      <a:avLst/>
                    </a:prstGeom>
                  </pic:spPr>
                </pic:pic>
              </a:graphicData>
            </a:graphic>
          </wp:inline>
        </w:drawing>
      </w:r>
    </w:p>
    <w:p w14:paraId="562E05A0" w14:textId="77777777" w:rsidR="00E55491" w:rsidRDefault="00E55491" w:rsidP="00D151A3">
      <w:pPr>
        <w:rPr>
          <w:lang w:val="en-GB"/>
        </w:rPr>
      </w:pPr>
      <w:r>
        <w:rPr>
          <w:lang w:val="en-GB"/>
        </w:rPr>
        <w:t>The metric is called protocol as it only measures the Horizon PCoIP, Blast or RDP traffic. If a user uses Windows to download large file, that TCP traffic is not included.</w:t>
      </w:r>
    </w:p>
    <w:p w14:paraId="3E9AA078" w14:textId="77777777" w:rsidR="00E55491" w:rsidRDefault="00E55491" w:rsidP="00D151A3">
      <w:pPr>
        <w:pStyle w:val="Heading5"/>
      </w:pPr>
      <w:r>
        <w:t>CPU Performance</w:t>
      </w:r>
    </w:p>
    <w:p w14:paraId="4D0AF129" w14:textId="77777777" w:rsidR="00E55491" w:rsidRPr="00A35807" w:rsidRDefault="00E55491" w:rsidP="00D151A3">
      <w:pPr>
        <w:rPr>
          <w:lang w:val="en-GB"/>
        </w:rPr>
      </w:pPr>
      <w:r>
        <w:rPr>
          <w:lang w:val="en-GB"/>
        </w:rPr>
        <w:t>There are 2 widgets, one for CPU and one for memory.</w:t>
      </w:r>
    </w:p>
    <w:p w14:paraId="37D29C5E" w14:textId="77777777" w:rsidR="00E55491" w:rsidRDefault="00E55491" w:rsidP="00D151A3">
      <w:pPr>
        <w:rPr>
          <w:lang w:val="en-GB"/>
        </w:rPr>
      </w:pPr>
      <w:r>
        <w:rPr>
          <w:lang w:val="en-GB"/>
        </w:rPr>
        <w:t>Take note that this only applies to VDI session. RDS session only has the CPU Usage. If you use RDS, it’s better to monitor at RDS host levels as there is lack of metrics at process level.</w:t>
      </w:r>
    </w:p>
    <w:p w14:paraId="25C5A043" w14:textId="77777777" w:rsidR="00E55491" w:rsidRDefault="00E55491" w:rsidP="00D151A3">
      <w:pPr>
        <w:rPr>
          <w:lang w:val="en-GB"/>
        </w:rPr>
      </w:pPr>
      <w:r w:rsidRPr="00692B29">
        <w:rPr>
          <w:noProof/>
          <w:lang w:val="en-GB"/>
        </w:rPr>
        <w:lastRenderedPageBreak/>
        <w:drawing>
          <wp:inline distT="0" distB="0" distL="0" distR="0" wp14:anchorId="4984A2C4" wp14:editId="00650A0E">
            <wp:extent cx="6645910" cy="1245235"/>
            <wp:effectExtent l="0" t="0" r="2540" b="0"/>
            <wp:docPr id="567723385" name="Picture 56772338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85" name="Picture 567723385" descr="A picture containing diagram&#10;&#10;Description automatically generated"/>
                    <pic:cNvPicPr/>
                  </pic:nvPicPr>
                  <pic:blipFill>
                    <a:blip r:embed="rId1246"/>
                    <a:stretch>
                      <a:fillRect/>
                    </a:stretch>
                  </pic:blipFill>
                  <pic:spPr>
                    <a:xfrm>
                      <a:off x="0" y="0"/>
                      <a:ext cx="6645910" cy="1245235"/>
                    </a:xfrm>
                    <a:prstGeom prst="rect">
                      <a:avLst/>
                    </a:prstGeom>
                  </pic:spPr>
                </pic:pic>
              </a:graphicData>
            </a:graphic>
          </wp:inline>
        </w:drawing>
      </w:r>
    </w:p>
    <w:p w14:paraId="29A1E336" w14:textId="77777777" w:rsidR="00E55491" w:rsidRDefault="00E55491" w:rsidP="00D151A3">
      <w:pPr>
        <w:rPr>
          <w:lang w:val="en-GB"/>
        </w:rPr>
      </w:pPr>
      <w:r>
        <w:rPr>
          <w:lang w:val="en-GB"/>
        </w:rPr>
        <w:t>As they are VM, the follow the same design. Review the following table. What changes do you spot?</w:t>
      </w:r>
    </w:p>
    <w:p w14:paraId="42966349" w14:textId="77777777" w:rsidR="00E55491" w:rsidRDefault="00E55491" w:rsidP="00D151A3">
      <w:pPr>
        <w:jc w:val="center"/>
        <w:rPr>
          <w:lang w:val="en-GB"/>
        </w:rPr>
      </w:pPr>
      <w:r w:rsidRPr="00692B29">
        <w:rPr>
          <w:noProof/>
          <w:lang w:val="en-GB"/>
        </w:rPr>
        <w:drawing>
          <wp:inline distT="0" distB="0" distL="0" distR="0" wp14:anchorId="3F3F6E30" wp14:editId="7F72FCA1">
            <wp:extent cx="6253200" cy="2124000"/>
            <wp:effectExtent l="0" t="0" r="0" b="0"/>
            <wp:docPr id="567723386" name="Picture 56772338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86" name="Picture 567723386" descr="Table&#10;&#10;Description automatically generated"/>
                    <pic:cNvPicPr/>
                  </pic:nvPicPr>
                  <pic:blipFill>
                    <a:blip r:embed="rId1247"/>
                    <a:stretch>
                      <a:fillRect/>
                    </a:stretch>
                  </pic:blipFill>
                  <pic:spPr>
                    <a:xfrm>
                      <a:off x="0" y="0"/>
                      <a:ext cx="6253200" cy="2124000"/>
                    </a:xfrm>
                    <a:prstGeom prst="rect">
                      <a:avLst/>
                    </a:prstGeom>
                  </pic:spPr>
                </pic:pic>
              </a:graphicData>
            </a:graphic>
          </wp:inline>
        </w:drawing>
      </w:r>
    </w:p>
    <w:p w14:paraId="1E6BCB1A" w14:textId="77777777" w:rsidR="00E55491" w:rsidRDefault="00E55491" w:rsidP="00D151A3">
      <w:pPr>
        <w:rPr>
          <w:lang w:val="en-GB"/>
        </w:rPr>
      </w:pPr>
      <w:r>
        <w:rPr>
          <w:lang w:val="en-GB"/>
        </w:rPr>
        <w:t>I had to change the threshold for CPU Overlap and CPU Run Queue to adjust for smaller VM in VDI.</w:t>
      </w:r>
    </w:p>
    <w:p w14:paraId="285B6748" w14:textId="77777777" w:rsidR="00E55491" w:rsidRDefault="00E55491" w:rsidP="00D151A3">
      <w:pPr>
        <w:rPr>
          <w:lang w:val="en-GB"/>
        </w:rPr>
      </w:pPr>
      <w:r>
        <w:rPr>
          <w:lang w:val="en-GB"/>
        </w:rPr>
        <w:t xml:space="preserve">I removed </w:t>
      </w:r>
      <w:r w:rsidRPr="00BE2AAA">
        <w:rPr>
          <w:color w:val="00B0F0"/>
          <w:lang w:val="en-GB"/>
        </w:rPr>
        <w:t xml:space="preserve">CPU Usage Disparity </w:t>
      </w:r>
      <w:r>
        <w:rPr>
          <w:lang w:val="en-GB"/>
        </w:rPr>
        <w:t xml:space="preserve">as they matter less in VDI as the VM size is smaller. </w:t>
      </w:r>
    </w:p>
    <w:p w14:paraId="55960FE5" w14:textId="77777777" w:rsidR="00E55491" w:rsidRDefault="00E55491" w:rsidP="00D151A3">
      <w:pPr>
        <w:rPr>
          <w:lang w:val="en-GB"/>
        </w:rPr>
      </w:pPr>
      <w:r>
        <w:rPr>
          <w:lang w:val="en-GB"/>
        </w:rPr>
        <w:t>Another difference between the User object and the VM object is these metrics in User object automatically switch to the 20-second peak metric if you enable them in vRealize Operations policy. There is a logic built to detect the presence of 20-second peak.</w:t>
      </w:r>
    </w:p>
    <w:p w14:paraId="78EC9CC1" w14:textId="77777777" w:rsidR="00E55491" w:rsidRDefault="00E55491" w:rsidP="00D151A3">
      <w:pPr>
        <w:pStyle w:val="Heading5"/>
      </w:pPr>
      <w:r>
        <w:t>Memory Performance</w:t>
      </w:r>
    </w:p>
    <w:p w14:paraId="28468CC7" w14:textId="77777777" w:rsidR="00E55491" w:rsidRDefault="00E55491" w:rsidP="00D151A3">
      <w:pPr>
        <w:rPr>
          <w:lang w:val="en-GB"/>
        </w:rPr>
      </w:pPr>
      <w:r>
        <w:rPr>
          <w:lang w:val="en-GB"/>
        </w:rPr>
        <w:t>Just like the CPU widget, the memory widget follows the same design used in VM Performance dashboard. Review the following table. What changes do you spot?</w:t>
      </w:r>
    </w:p>
    <w:p w14:paraId="35938117" w14:textId="77777777" w:rsidR="00E55491" w:rsidRDefault="00E55491" w:rsidP="00D151A3">
      <w:pPr>
        <w:rPr>
          <w:lang w:val="en-GB"/>
        </w:rPr>
      </w:pPr>
      <w:r w:rsidRPr="00A64D14">
        <w:rPr>
          <w:noProof/>
          <w:lang w:val="en-GB"/>
        </w:rPr>
        <w:drawing>
          <wp:inline distT="0" distB="0" distL="0" distR="0" wp14:anchorId="7952A8DE" wp14:editId="73253A91">
            <wp:extent cx="6645910" cy="1232535"/>
            <wp:effectExtent l="0" t="0" r="2540" b="5715"/>
            <wp:docPr id="567723388" name="Picture 567723388"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88" name="Picture 567723388" descr="A picture containing chart&#10;&#10;Description automatically generated"/>
                    <pic:cNvPicPr/>
                  </pic:nvPicPr>
                  <pic:blipFill>
                    <a:blip r:embed="rId1248"/>
                    <a:stretch>
                      <a:fillRect/>
                    </a:stretch>
                  </pic:blipFill>
                  <pic:spPr>
                    <a:xfrm>
                      <a:off x="0" y="0"/>
                      <a:ext cx="6645910" cy="1232535"/>
                    </a:xfrm>
                    <a:prstGeom prst="rect">
                      <a:avLst/>
                    </a:prstGeom>
                  </pic:spPr>
                </pic:pic>
              </a:graphicData>
            </a:graphic>
          </wp:inline>
        </w:drawing>
      </w:r>
    </w:p>
    <w:p w14:paraId="76CC1E2D" w14:textId="77777777" w:rsidR="00E55491" w:rsidRDefault="00E55491" w:rsidP="00D151A3">
      <w:pPr>
        <w:rPr>
          <w:lang w:val="en-GB"/>
        </w:rPr>
      </w:pPr>
      <w:r>
        <w:rPr>
          <w:lang w:val="en-GB"/>
        </w:rPr>
        <w:t xml:space="preserve">I move the paging rate metrics before utilization. Because VDI is relatively uniformed, you should be able to profile and establish the healthy range. </w:t>
      </w:r>
    </w:p>
    <w:p w14:paraId="0FAEA7DA" w14:textId="77777777" w:rsidR="00E55491" w:rsidRDefault="00E55491" w:rsidP="00D151A3">
      <w:pPr>
        <w:rPr>
          <w:lang w:val="en-GB"/>
        </w:rPr>
      </w:pPr>
      <w:r>
        <w:rPr>
          <w:lang w:val="en-GB"/>
        </w:rPr>
        <w:t>I do not have the following metrics, as they are signed of underlying infrastructure capacity. In the case of VDI, you should manage this at pool, farm or cluster level. This is especially true in pools where users don’t have permanent assignment to a VM.</w:t>
      </w:r>
    </w:p>
    <w:p w14:paraId="3A6A0148" w14:textId="77777777" w:rsidR="00E55491" w:rsidRDefault="00E55491" w:rsidP="00D151A3">
      <w:pPr>
        <w:pStyle w:val="Bullet"/>
        <w:rPr>
          <w:lang w:val="en-GB"/>
        </w:rPr>
      </w:pPr>
      <w:r>
        <w:rPr>
          <w:lang w:val="en-GB"/>
        </w:rPr>
        <w:lastRenderedPageBreak/>
        <w:t>Balloon</w:t>
      </w:r>
    </w:p>
    <w:p w14:paraId="0FBFEBA5" w14:textId="77777777" w:rsidR="00E55491" w:rsidRDefault="00E55491" w:rsidP="00D151A3">
      <w:pPr>
        <w:pStyle w:val="Bullet"/>
        <w:rPr>
          <w:lang w:val="en-GB"/>
        </w:rPr>
      </w:pPr>
      <w:r>
        <w:rPr>
          <w:lang w:val="en-GB"/>
        </w:rPr>
        <w:t>Compressed</w:t>
      </w:r>
    </w:p>
    <w:p w14:paraId="50BFCD2A" w14:textId="77777777" w:rsidR="00E55491" w:rsidRDefault="00E55491" w:rsidP="00D151A3">
      <w:pPr>
        <w:pStyle w:val="Bullet"/>
        <w:rPr>
          <w:lang w:val="en-GB"/>
        </w:rPr>
      </w:pPr>
      <w:r>
        <w:rPr>
          <w:lang w:val="en-GB"/>
        </w:rPr>
        <w:t>Swapped</w:t>
      </w:r>
    </w:p>
    <w:p w14:paraId="692EB53F" w14:textId="77777777" w:rsidR="00E55491" w:rsidRDefault="00E55491" w:rsidP="00D151A3">
      <w:pPr>
        <w:pStyle w:val="Heading5"/>
      </w:pPr>
      <w:r>
        <w:t>Disk Performance</w:t>
      </w:r>
    </w:p>
    <w:p w14:paraId="3FEC2ECB" w14:textId="77777777" w:rsidR="00E55491" w:rsidRDefault="00E55491" w:rsidP="00D151A3">
      <w:pPr>
        <w:rPr>
          <w:lang w:val="en-GB"/>
        </w:rPr>
      </w:pPr>
      <w:r>
        <w:rPr>
          <w:lang w:val="en-GB"/>
        </w:rPr>
        <w:t>Just like the CPU widget, the memory widget follows the same design used in VM Performance dashboard. Review the following table. What changes do you spot?</w:t>
      </w:r>
    </w:p>
    <w:p w14:paraId="62CBF3B7" w14:textId="77777777" w:rsidR="00E55491" w:rsidRDefault="00E55491" w:rsidP="00D151A3">
      <w:pPr>
        <w:rPr>
          <w:lang w:val="en-GB"/>
        </w:rPr>
      </w:pPr>
      <w:r w:rsidRPr="00BE2AAA">
        <w:rPr>
          <w:noProof/>
          <w:lang w:val="en-GB"/>
        </w:rPr>
        <w:drawing>
          <wp:inline distT="0" distB="0" distL="0" distR="0" wp14:anchorId="7644B87F" wp14:editId="4566C8A9">
            <wp:extent cx="6645910" cy="1223645"/>
            <wp:effectExtent l="0" t="0" r="2540" b="0"/>
            <wp:docPr id="567723390" name="Picture 56772339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90" name="Picture 567723390" descr="Diagram&#10;&#10;Description automatically generated"/>
                    <pic:cNvPicPr/>
                  </pic:nvPicPr>
                  <pic:blipFill>
                    <a:blip r:embed="rId1249"/>
                    <a:stretch>
                      <a:fillRect/>
                    </a:stretch>
                  </pic:blipFill>
                  <pic:spPr>
                    <a:xfrm>
                      <a:off x="0" y="0"/>
                      <a:ext cx="6645910" cy="1223645"/>
                    </a:xfrm>
                    <a:prstGeom prst="rect">
                      <a:avLst/>
                    </a:prstGeom>
                  </pic:spPr>
                </pic:pic>
              </a:graphicData>
            </a:graphic>
          </wp:inline>
        </w:drawing>
      </w:r>
    </w:p>
    <w:p w14:paraId="4551A8BE" w14:textId="77777777" w:rsidR="00E55491" w:rsidRDefault="00E55491" w:rsidP="00D151A3">
      <w:pPr>
        <w:rPr>
          <w:lang w:val="en-GB"/>
        </w:rPr>
      </w:pPr>
      <w:r>
        <w:rPr>
          <w:lang w:val="en-GB"/>
        </w:rPr>
        <w:t xml:space="preserve">I combine Read IOPS and Write IOPS into IOPS, and combine Read Throughput and Write Throughput as Throughput. The reason is the numbers are expected to be small. </w:t>
      </w:r>
    </w:p>
    <w:p w14:paraId="68C36520" w14:textId="77777777" w:rsidR="00E55491" w:rsidRDefault="00E55491" w:rsidP="00D151A3">
      <w:pPr>
        <w:rPr>
          <w:lang w:val="en-GB"/>
        </w:rPr>
      </w:pPr>
      <w:r>
        <w:rPr>
          <w:lang w:val="en-GB"/>
        </w:rPr>
        <w:t>I also halve the threshold for Disk Queue and Outstanding IO, as I want to be conservative. Once I have enough data in production, I’d adjust them accordingly.</w:t>
      </w:r>
    </w:p>
    <w:p w14:paraId="2B0B703E" w14:textId="77777777" w:rsidR="00E55491" w:rsidRDefault="00E55491" w:rsidP="00D151A3">
      <w:pPr>
        <w:jc w:val="center"/>
        <w:rPr>
          <w:lang w:val="en-GB"/>
        </w:rPr>
      </w:pPr>
      <w:r w:rsidRPr="0077730D">
        <w:rPr>
          <w:noProof/>
          <w:lang w:val="en-GB"/>
        </w:rPr>
        <w:drawing>
          <wp:inline distT="0" distB="0" distL="0" distR="0" wp14:anchorId="132CE439" wp14:editId="3C3C169B">
            <wp:extent cx="6044400" cy="1951200"/>
            <wp:effectExtent l="0" t="0" r="0" b="0"/>
            <wp:docPr id="567723389" name="Picture 56772338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89" name="Picture 567723389" descr="Table&#10;&#10;Description automatically generated"/>
                    <pic:cNvPicPr/>
                  </pic:nvPicPr>
                  <pic:blipFill>
                    <a:blip r:embed="rId1250"/>
                    <a:stretch>
                      <a:fillRect/>
                    </a:stretch>
                  </pic:blipFill>
                  <pic:spPr>
                    <a:xfrm>
                      <a:off x="0" y="0"/>
                      <a:ext cx="6044400" cy="1951200"/>
                    </a:xfrm>
                    <a:prstGeom prst="rect">
                      <a:avLst/>
                    </a:prstGeom>
                  </pic:spPr>
                </pic:pic>
              </a:graphicData>
            </a:graphic>
          </wp:inline>
        </w:drawing>
      </w:r>
    </w:p>
    <w:p w14:paraId="70DDB869" w14:textId="77777777" w:rsidR="00E55491" w:rsidRDefault="00E55491" w:rsidP="00D151A3">
      <w:pPr>
        <w:pStyle w:val="Heading5"/>
      </w:pPr>
      <w:r>
        <w:t>Context</w:t>
      </w:r>
    </w:p>
    <w:p w14:paraId="04F895B3" w14:textId="77777777" w:rsidR="00E55491" w:rsidRDefault="00E55491" w:rsidP="00D151A3">
      <w:pPr>
        <w:rPr>
          <w:lang w:val="en-GB"/>
        </w:rPr>
      </w:pPr>
      <w:r>
        <w:rPr>
          <w:lang w:val="en-GB"/>
        </w:rPr>
        <w:t>Lastly, the dashboard provides context around the user by showing the relevant configuration. You can also drill down from the users to the session. If it’s VDI session, you can drill down to the actual VM, by navigating to the VM Performance dashboard.</w:t>
      </w:r>
    </w:p>
    <w:p w14:paraId="4F93A9C0" w14:textId="77777777" w:rsidR="00E55491" w:rsidRDefault="00E55491" w:rsidP="00D151A3">
      <w:pPr>
        <w:jc w:val="center"/>
        <w:rPr>
          <w:lang w:val="en-GB"/>
        </w:rPr>
      </w:pPr>
      <w:r w:rsidRPr="00EE245A">
        <w:rPr>
          <w:noProof/>
          <w:lang w:val="en-GB"/>
        </w:rPr>
        <w:lastRenderedPageBreak/>
        <w:drawing>
          <wp:inline distT="0" distB="0" distL="0" distR="0" wp14:anchorId="683BFF1D" wp14:editId="60B6EE53">
            <wp:extent cx="5652000" cy="1594800"/>
            <wp:effectExtent l="0" t="0" r="6350" b="5715"/>
            <wp:docPr id="567723379" name="Picture 56772337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79" name="Picture 567723379" descr="Graphical user interface, application&#10;&#10;Description automatically generated"/>
                    <pic:cNvPicPr/>
                  </pic:nvPicPr>
                  <pic:blipFill>
                    <a:blip r:embed="rId1251"/>
                    <a:stretch>
                      <a:fillRect/>
                    </a:stretch>
                  </pic:blipFill>
                  <pic:spPr>
                    <a:xfrm>
                      <a:off x="0" y="0"/>
                      <a:ext cx="5652000" cy="1594800"/>
                    </a:xfrm>
                    <a:prstGeom prst="rect">
                      <a:avLst/>
                    </a:prstGeom>
                  </pic:spPr>
                </pic:pic>
              </a:graphicData>
            </a:graphic>
          </wp:inline>
        </w:drawing>
      </w:r>
    </w:p>
    <w:p w14:paraId="6EE40DA7" w14:textId="77777777" w:rsidR="00E55491" w:rsidRDefault="00E55491" w:rsidP="00D151A3">
      <w:pPr>
        <w:pStyle w:val="Heading3"/>
      </w:pPr>
      <w:r>
        <w:t>Performance Dashboards</w:t>
      </w:r>
    </w:p>
    <w:p w14:paraId="3DECB6E1" w14:textId="77777777" w:rsidR="00E55491" w:rsidRPr="009C08BF" w:rsidRDefault="00E55491" w:rsidP="00D151A3">
      <w:pPr>
        <w:rPr>
          <w:lang w:val="en-GB"/>
        </w:rPr>
      </w:pPr>
      <w:r>
        <w:rPr>
          <w:lang w:val="en-GB"/>
        </w:rPr>
        <w:t xml:space="preserve">The performance dashboard follows the design principles for performance dashboard, documented </w:t>
      </w:r>
      <w:hyperlink w:anchor="_Performance_Dashboards_1" w:history="1">
        <w:r w:rsidRPr="009C08BF">
          <w:rPr>
            <w:rStyle w:val="Hyperlink"/>
            <w:lang w:val="en-GB"/>
          </w:rPr>
          <w:t>here</w:t>
        </w:r>
      </w:hyperlink>
      <w:r>
        <w:rPr>
          <w:lang w:val="en-GB"/>
        </w:rPr>
        <w:t xml:space="preserve">. </w:t>
      </w:r>
    </w:p>
    <w:p w14:paraId="3D30AF47" w14:textId="77777777" w:rsidR="00E55491" w:rsidRPr="00D4201F" w:rsidRDefault="00E55491" w:rsidP="00D151A3">
      <w:pPr>
        <w:rPr>
          <w:lang w:val="en-GB"/>
        </w:rPr>
      </w:pPr>
      <w:r>
        <w:rPr>
          <w:lang w:val="en-GB"/>
        </w:rPr>
        <w:t>There are 6 dashboards for performance management, 3 from Horizon and 3 from vSphere. To tie them, the Horizon Performance dashboard acts as the starting point. However, each dashboard can also be standalone, meaning you can skip the overall dashboard if you already know the specific area to look into.</w:t>
      </w:r>
    </w:p>
    <w:p w14:paraId="0FC112F5" w14:textId="77777777" w:rsidR="00E55491" w:rsidRDefault="00E55491" w:rsidP="00D151A3">
      <w:pPr>
        <w:pStyle w:val="Heading4"/>
      </w:pPr>
      <w:r>
        <w:t>Horizon Performance Dashboard</w:t>
      </w:r>
    </w:p>
    <w:p w14:paraId="7D010483" w14:textId="77777777" w:rsidR="00E55491" w:rsidRDefault="00E55491" w:rsidP="00D151A3">
      <w:pPr>
        <w:rPr>
          <w:lang w:val="en-GB"/>
        </w:rPr>
      </w:pPr>
      <w:r>
        <w:rPr>
          <w:lang w:val="en-GB"/>
        </w:rPr>
        <w:t>The dashboard is designed to provide a quick overview, enabling convenient access to cycle among pods, farms and pools as you try to establish the performance issue. It’s not suitable when you already know the farm or pool with problem. If you already know the specific, then simply go direct to the VDI dashboard, RDS dashboard, or User Dashboard.</w:t>
      </w:r>
    </w:p>
    <w:p w14:paraId="2B1708AE" w14:textId="77777777" w:rsidR="00E55491" w:rsidRDefault="00E55491" w:rsidP="00D151A3">
      <w:pPr>
        <w:rPr>
          <w:lang w:val="en-GB"/>
        </w:rPr>
      </w:pPr>
      <w:r>
        <w:rPr>
          <w:lang w:val="en-GB"/>
        </w:rPr>
        <w:t>The dashboard needs to cover</w:t>
      </w:r>
    </w:p>
    <w:p w14:paraId="2DB4D50D" w14:textId="77777777" w:rsidR="00E55491" w:rsidRPr="00614510" w:rsidRDefault="00E55491" w:rsidP="00D151A3">
      <w:pPr>
        <w:pStyle w:val="Bullet"/>
      </w:pPr>
      <w:r w:rsidRPr="00614510">
        <w:t>D</w:t>
      </w:r>
      <w:r>
        <w:t xml:space="preserve">ata </w:t>
      </w:r>
      <w:r w:rsidRPr="00614510">
        <w:t>C</w:t>
      </w:r>
      <w:r>
        <w:t>enter</w:t>
      </w:r>
      <w:r w:rsidRPr="00614510">
        <w:t xml:space="preserve"> Performance</w:t>
      </w:r>
    </w:p>
    <w:p w14:paraId="0D5E2566" w14:textId="77777777" w:rsidR="00E55491" w:rsidRDefault="00E55491" w:rsidP="00D151A3">
      <w:pPr>
        <w:pStyle w:val="Bullet"/>
        <w:rPr>
          <w:lang w:val="en-GB"/>
        </w:rPr>
      </w:pPr>
      <w:r>
        <w:rPr>
          <w:lang w:val="en-GB"/>
        </w:rPr>
        <w:t>Network Performance</w:t>
      </w:r>
    </w:p>
    <w:p w14:paraId="6FCD6D14" w14:textId="77777777" w:rsidR="00E55491" w:rsidRDefault="00E55491" w:rsidP="00D151A3">
      <w:pPr>
        <w:pStyle w:val="Bullet"/>
        <w:rPr>
          <w:lang w:val="en-GB"/>
        </w:rPr>
      </w:pPr>
      <w:r>
        <w:rPr>
          <w:lang w:val="en-GB"/>
        </w:rPr>
        <w:t>Performance from users point of view</w:t>
      </w:r>
    </w:p>
    <w:p w14:paraId="36DE8CDB" w14:textId="77777777" w:rsidR="00E55491" w:rsidRDefault="00E55491" w:rsidP="00D151A3">
      <w:pPr>
        <w:rPr>
          <w:lang w:val="en-GB"/>
        </w:rPr>
      </w:pPr>
      <w:r>
        <w:rPr>
          <w:lang w:val="en-GB"/>
        </w:rPr>
        <w:t xml:space="preserve">To complete the picture, the dashboard should enable you to see from vSphere viewpoint, because a problem at lower layer can impact upper layer. This is especially important in Horizon as you will overcommit the underlying ESXi. </w:t>
      </w:r>
    </w:p>
    <w:p w14:paraId="12CE7950" w14:textId="77777777" w:rsidR="00E55491" w:rsidRDefault="00E55491" w:rsidP="00D151A3">
      <w:pPr>
        <w:pStyle w:val="Heading5"/>
      </w:pPr>
      <w:r>
        <w:lastRenderedPageBreak/>
        <w:t>Navigation</w:t>
      </w:r>
    </w:p>
    <w:p w14:paraId="1610BE0B" w14:textId="77777777" w:rsidR="00E55491" w:rsidRDefault="00E55491" w:rsidP="00D151A3">
      <w:pPr>
        <w:rPr>
          <w:lang w:val="en-GB"/>
        </w:rPr>
      </w:pPr>
      <w:r>
        <w:rPr>
          <w:lang w:val="en-GB"/>
        </w:rPr>
        <w:t xml:space="preserve">The Horizon Performance dashboard acts as the starting line. Use this dashboard to drill down into 6 specific dashboards (as marked by the right-turning arrow). </w:t>
      </w:r>
    </w:p>
    <w:p w14:paraId="1B576685" w14:textId="77777777" w:rsidR="00E55491" w:rsidRDefault="00E55491" w:rsidP="00D151A3">
      <w:pPr>
        <w:rPr>
          <w:lang w:val="en-GB"/>
        </w:rPr>
      </w:pPr>
      <w:r w:rsidRPr="004C65E3">
        <w:rPr>
          <w:noProof/>
          <w:lang w:val="en-GB"/>
        </w:rPr>
        <w:drawing>
          <wp:inline distT="0" distB="0" distL="0" distR="0" wp14:anchorId="64E1CA7B" wp14:editId="4521B2D7">
            <wp:extent cx="6645910" cy="3449320"/>
            <wp:effectExtent l="0" t="0" r="2540" b="0"/>
            <wp:docPr id="910169569" name="Picture 910169569" descr="Application,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69" name="Picture 910169569" descr="Application, timeline&#10;&#10;Description automatically generated"/>
                    <pic:cNvPicPr/>
                  </pic:nvPicPr>
                  <pic:blipFill>
                    <a:blip r:embed="rId1252"/>
                    <a:stretch>
                      <a:fillRect/>
                    </a:stretch>
                  </pic:blipFill>
                  <pic:spPr>
                    <a:xfrm>
                      <a:off x="0" y="0"/>
                      <a:ext cx="6645910" cy="3449320"/>
                    </a:xfrm>
                    <a:prstGeom prst="rect">
                      <a:avLst/>
                    </a:prstGeom>
                  </pic:spPr>
                </pic:pic>
              </a:graphicData>
            </a:graphic>
          </wp:inline>
        </w:drawing>
      </w:r>
    </w:p>
    <w:p w14:paraId="0304AA7A" w14:textId="77777777" w:rsidR="00E55491" w:rsidRDefault="00E55491" w:rsidP="00D151A3">
      <w:pPr>
        <w:rPr>
          <w:lang w:val="en-GB"/>
        </w:rPr>
      </w:pPr>
      <w:r>
        <w:rPr>
          <w:lang w:val="en-GB"/>
        </w:rPr>
        <w:t xml:space="preserve">You can also drill down into specific Connection Server or Universal Access Gateway. You find their list at the bottom of the dashboard. They are not shown above as the drill down takes you to the object summary page itself. There is no dashboard for them as the object summary page meets the need. </w:t>
      </w:r>
    </w:p>
    <w:p w14:paraId="650CB999" w14:textId="77777777" w:rsidR="00E55491" w:rsidRDefault="00E55491" w:rsidP="00D151A3">
      <w:pPr>
        <w:rPr>
          <w:lang w:val="en-GB"/>
        </w:rPr>
      </w:pPr>
      <w:r>
        <w:rPr>
          <w:lang w:val="en-GB"/>
        </w:rPr>
        <w:t xml:space="preserve">Within the dashboard, you can drill down within a pod, as shown by the straight arrow. Take note there is no arrow from Pod to User. I added a black vertical line to show that users are not part of pod. </w:t>
      </w:r>
    </w:p>
    <w:p w14:paraId="34391407" w14:textId="77777777" w:rsidR="00E55491" w:rsidRDefault="00E55491" w:rsidP="00D151A3">
      <w:pPr>
        <w:pStyle w:val="Heading5"/>
      </w:pPr>
      <w:r>
        <w:t>Summary Section</w:t>
      </w:r>
    </w:p>
    <w:p w14:paraId="0CC21B2D" w14:textId="77777777" w:rsidR="00E55491" w:rsidRDefault="00E55491" w:rsidP="00D151A3">
      <w:pPr>
        <w:rPr>
          <w:lang w:val="en-GB"/>
        </w:rPr>
      </w:pPr>
      <w:r>
        <w:rPr>
          <w:lang w:val="en-GB"/>
        </w:rPr>
        <w:t xml:space="preserve">The top part of the dashboard shows the overall performance. In large environment with thousand of sessions, these metrics should be relatively steady. </w:t>
      </w:r>
    </w:p>
    <w:p w14:paraId="0D993D88" w14:textId="77777777" w:rsidR="00E55491" w:rsidRPr="0086397A" w:rsidRDefault="00E55491" w:rsidP="00D151A3">
      <w:pPr>
        <w:rPr>
          <w:lang w:val="en-GB"/>
        </w:rPr>
      </w:pPr>
      <w:r>
        <w:rPr>
          <w:lang w:val="en-GB"/>
        </w:rPr>
        <w:t xml:space="preserve">2 health charts are provided, one for data center and one for network. This lets you quickly see which main area is the problem. </w:t>
      </w:r>
    </w:p>
    <w:p w14:paraId="4ADA3604" w14:textId="77777777" w:rsidR="00E55491" w:rsidRDefault="00E55491" w:rsidP="00D151A3">
      <w:pPr>
        <w:rPr>
          <w:lang w:val="en-GB"/>
        </w:rPr>
      </w:pPr>
      <w:r w:rsidRPr="0086397A">
        <w:rPr>
          <w:noProof/>
          <w:lang w:val="en-GB"/>
        </w:rPr>
        <w:drawing>
          <wp:inline distT="0" distB="0" distL="0" distR="0" wp14:anchorId="38D6B9FF" wp14:editId="20AA47F3">
            <wp:extent cx="6645910" cy="1485900"/>
            <wp:effectExtent l="0" t="0" r="2540" b="0"/>
            <wp:docPr id="918289637" name="Picture 918289637"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37" name="Picture 918289637" descr="Chart&#10;&#10;Description automatically generated"/>
                    <pic:cNvPicPr/>
                  </pic:nvPicPr>
                  <pic:blipFill>
                    <a:blip r:embed="rId1253"/>
                    <a:stretch>
                      <a:fillRect/>
                    </a:stretch>
                  </pic:blipFill>
                  <pic:spPr>
                    <a:xfrm>
                      <a:off x="0" y="0"/>
                      <a:ext cx="6645910" cy="1485900"/>
                    </a:xfrm>
                    <a:prstGeom prst="rect">
                      <a:avLst/>
                    </a:prstGeom>
                  </pic:spPr>
                </pic:pic>
              </a:graphicData>
            </a:graphic>
          </wp:inline>
        </w:drawing>
      </w:r>
    </w:p>
    <w:p w14:paraId="3057065B" w14:textId="0A44C994" w:rsidR="00E55491" w:rsidRDefault="00E55491" w:rsidP="00D151A3">
      <w:pPr>
        <w:rPr>
          <w:lang w:val="en-GB"/>
        </w:rPr>
      </w:pPr>
      <w:r>
        <w:rPr>
          <w:lang w:val="en-GB"/>
        </w:rPr>
        <w:lastRenderedPageBreak/>
        <w:t xml:space="preserve">We can see that the data center has some dip, as the color turned </w:t>
      </w:r>
      <w:r w:rsidR="00CF7D2C" w:rsidRPr="00CF7D2C">
        <w:rPr>
          <w:color w:val="FFFF00"/>
          <w:lang w:val="en-GB"/>
        </w:rPr>
        <w:t>yellow</w:t>
      </w:r>
      <w:r>
        <w:rPr>
          <w:lang w:val="en-GB"/>
        </w:rPr>
        <w:t xml:space="preserve">. </w:t>
      </w:r>
    </w:p>
    <w:p w14:paraId="159B8ECD" w14:textId="77777777" w:rsidR="00E55491" w:rsidRDefault="00E55491" w:rsidP="00D151A3">
      <w:pPr>
        <w:rPr>
          <w:lang w:val="en-GB"/>
        </w:rPr>
      </w:pPr>
      <w:r w:rsidRPr="0086397A">
        <w:rPr>
          <w:noProof/>
          <w:lang w:val="en-GB"/>
        </w:rPr>
        <w:drawing>
          <wp:inline distT="0" distB="0" distL="0" distR="0" wp14:anchorId="3F9706BA" wp14:editId="1FE9D20F">
            <wp:extent cx="6645910" cy="1499235"/>
            <wp:effectExtent l="0" t="0" r="2540" b="5715"/>
            <wp:docPr id="918289638" name="Picture 91828963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38" name="Picture 918289638" descr="Chart&#10;&#10;Description automatically generated"/>
                    <pic:cNvPicPr/>
                  </pic:nvPicPr>
                  <pic:blipFill>
                    <a:blip r:embed="rId1254"/>
                    <a:stretch>
                      <a:fillRect/>
                    </a:stretch>
                  </pic:blipFill>
                  <pic:spPr>
                    <a:xfrm>
                      <a:off x="0" y="0"/>
                      <a:ext cx="6645910" cy="1499235"/>
                    </a:xfrm>
                    <a:prstGeom prst="rect">
                      <a:avLst/>
                    </a:prstGeom>
                  </pic:spPr>
                </pic:pic>
              </a:graphicData>
            </a:graphic>
          </wp:inline>
        </w:drawing>
      </w:r>
    </w:p>
    <w:p w14:paraId="0BC21BBA" w14:textId="2CA2061A" w:rsidR="00E55491" w:rsidRDefault="00E55491" w:rsidP="00D151A3">
      <w:pPr>
        <w:rPr>
          <w:lang w:val="en-GB"/>
        </w:rPr>
      </w:pPr>
      <w:r>
        <w:rPr>
          <w:lang w:val="en-GB"/>
        </w:rPr>
        <w:t xml:space="preserve">On the other hand, the network remained on the </w:t>
      </w:r>
      <w:r w:rsidR="0022569A" w:rsidRPr="0022569A">
        <w:rPr>
          <w:color w:val="00B050"/>
          <w:lang w:val="en-GB"/>
        </w:rPr>
        <w:t>green</w:t>
      </w:r>
      <w:r>
        <w:rPr>
          <w:lang w:val="en-GB"/>
        </w:rPr>
        <w:t xml:space="preserve"> territory. It has in fact improved.</w:t>
      </w:r>
    </w:p>
    <w:p w14:paraId="30AE6C76" w14:textId="77777777" w:rsidR="00E55491" w:rsidRDefault="00E55491" w:rsidP="00D151A3">
      <w:pPr>
        <w:rPr>
          <w:lang w:val="en-GB"/>
        </w:rPr>
      </w:pPr>
      <w:r>
        <w:rPr>
          <w:lang w:val="en-GB"/>
        </w:rPr>
        <w:t xml:space="preserve">If you have the screen real estate, consider adding the number of connected session. The reason is the chart should have some correlation to the demand. If the performance dropped when utilization did not go increase, something amiss happened. </w:t>
      </w:r>
    </w:p>
    <w:p w14:paraId="2E83C60E" w14:textId="77777777" w:rsidR="00E55491" w:rsidRDefault="00E55491" w:rsidP="00D151A3">
      <w:pPr>
        <w:pStyle w:val="Heading5"/>
      </w:pPr>
      <w:r>
        <w:t>Horizon Section</w:t>
      </w:r>
    </w:p>
    <w:p w14:paraId="1051E31A" w14:textId="77777777" w:rsidR="00E55491" w:rsidRPr="005B7AF8" w:rsidRDefault="00E55491" w:rsidP="00D151A3">
      <w:pPr>
        <w:rPr>
          <w:lang w:val="en-GB"/>
        </w:rPr>
      </w:pPr>
      <w:r>
        <w:rPr>
          <w:lang w:val="en-GB"/>
        </w:rPr>
        <w:t>The next section covers the Horizon layers. It uses Pod as the starting line. If your environment is large, considering using Site or Cloud Pod as the starting line.</w:t>
      </w:r>
    </w:p>
    <w:p w14:paraId="30821205" w14:textId="77777777" w:rsidR="00E55491" w:rsidRDefault="00E55491" w:rsidP="00D151A3">
      <w:pPr>
        <w:jc w:val="center"/>
        <w:rPr>
          <w:lang w:val="en-GB"/>
        </w:rPr>
      </w:pPr>
      <w:r>
        <w:rPr>
          <w:noProof/>
          <w:lang w:val="en-GB"/>
        </w:rPr>
        <w:drawing>
          <wp:inline distT="0" distB="0" distL="0" distR="0" wp14:anchorId="682C3DAC" wp14:editId="0446E07B">
            <wp:extent cx="6644005" cy="1938655"/>
            <wp:effectExtent l="0" t="0" r="4445" b="4445"/>
            <wp:docPr id="918289639" name="Picture 918289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55" cstate="print">
                      <a:extLst>
                        <a:ext uri="{28A0092B-C50C-407E-A947-70E740481C1C}">
                          <a14:useLocalDpi xmlns:a14="http://schemas.microsoft.com/office/drawing/2010/main" val="0"/>
                        </a:ext>
                      </a:extLst>
                    </a:blip>
                    <a:srcRect/>
                    <a:stretch>
                      <a:fillRect/>
                    </a:stretch>
                  </pic:blipFill>
                  <pic:spPr bwMode="auto">
                    <a:xfrm>
                      <a:off x="0" y="0"/>
                      <a:ext cx="6644005" cy="1938655"/>
                    </a:xfrm>
                    <a:prstGeom prst="rect">
                      <a:avLst/>
                    </a:prstGeom>
                    <a:noFill/>
                    <a:ln>
                      <a:noFill/>
                    </a:ln>
                  </pic:spPr>
                </pic:pic>
              </a:graphicData>
            </a:graphic>
          </wp:inline>
        </w:drawing>
      </w:r>
    </w:p>
    <w:p w14:paraId="08FA1ECA" w14:textId="77777777" w:rsidR="00E55491" w:rsidRDefault="00E55491" w:rsidP="00D151A3">
      <w:pPr>
        <w:rPr>
          <w:lang w:val="en-GB"/>
        </w:rPr>
      </w:pPr>
      <w:r>
        <w:rPr>
          <w:lang w:val="en-GB"/>
        </w:rPr>
        <w:t>For each pod, it shows the worst performance, meaning the lowest value of the Pod DC KPI (%) any given 5 minute in the last 24 hours. To change to other time period, click on the date icon. To determine if the worst performance is just a one time blip, use the worst 5</w:t>
      </w:r>
      <w:r w:rsidRPr="00E33B90">
        <w:rPr>
          <w:vertAlign w:val="superscript"/>
          <w:lang w:val="en-GB"/>
        </w:rPr>
        <w:t>th</w:t>
      </w:r>
      <w:r>
        <w:rPr>
          <w:lang w:val="en-GB"/>
        </w:rPr>
        <w:t xml:space="preserve"> percentile metric. </w:t>
      </w:r>
    </w:p>
    <w:p w14:paraId="7E7BDE1B" w14:textId="77777777" w:rsidR="00E55491" w:rsidRDefault="00E55491" w:rsidP="00D151A3">
      <w:pPr>
        <w:rPr>
          <w:lang w:val="en-GB"/>
        </w:rPr>
      </w:pPr>
      <w:r>
        <w:rPr>
          <w:lang w:val="en-GB"/>
        </w:rPr>
        <w:t xml:space="preserve">The columns Farms and Pools show the numbers at present. Customize this table with information that you need. </w:t>
      </w:r>
    </w:p>
    <w:p w14:paraId="7104B0E2" w14:textId="77777777" w:rsidR="00E55491" w:rsidRDefault="00E55491" w:rsidP="00D151A3">
      <w:pPr>
        <w:rPr>
          <w:lang w:val="en-GB"/>
        </w:rPr>
      </w:pPr>
      <w:r>
        <w:rPr>
          <w:lang w:val="en-GB"/>
        </w:rPr>
        <w:t>From the Pod, you can drill down into its RDS Farms or VDI Pools. Select a pod, and its children pools, farms and vSphere Data Centers will be automatically shown.</w:t>
      </w:r>
    </w:p>
    <w:p w14:paraId="5C02D0B3" w14:textId="77777777" w:rsidR="00E55491" w:rsidRDefault="00E55491" w:rsidP="00D151A3">
      <w:pPr>
        <w:rPr>
          <w:lang w:val="en-GB"/>
        </w:rPr>
      </w:pPr>
      <w:r>
        <w:rPr>
          <w:noProof/>
        </w:rPr>
        <w:lastRenderedPageBreak/>
        <w:drawing>
          <wp:inline distT="0" distB="0" distL="0" distR="0" wp14:anchorId="2E1E7EDD" wp14:editId="62F5B641">
            <wp:extent cx="6645910" cy="2127250"/>
            <wp:effectExtent l="0" t="0" r="2540" b="6350"/>
            <wp:docPr id="910169572" name="Picture 91016957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72" name="Picture 910169572" descr="Graphical user interface, application&#10;&#10;Description automatically generated"/>
                    <pic:cNvPicPr>
                      <a:picLocks noChangeAspect="1" noChangeArrowheads="1"/>
                    </pic:cNvPicPr>
                  </pic:nvPicPr>
                  <pic:blipFill>
                    <a:blip r:embed="rId1256">
                      <a:extLst>
                        <a:ext uri="{28A0092B-C50C-407E-A947-70E740481C1C}">
                          <a14:useLocalDpi xmlns:a14="http://schemas.microsoft.com/office/drawing/2010/main" val="0"/>
                        </a:ext>
                      </a:extLst>
                    </a:blip>
                    <a:srcRect/>
                    <a:stretch>
                      <a:fillRect/>
                    </a:stretch>
                  </pic:blipFill>
                  <pic:spPr bwMode="auto">
                    <a:xfrm>
                      <a:off x="0" y="0"/>
                      <a:ext cx="6645910" cy="2127250"/>
                    </a:xfrm>
                    <a:prstGeom prst="rect">
                      <a:avLst/>
                    </a:prstGeom>
                    <a:noFill/>
                    <a:ln>
                      <a:noFill/>
                    </a:ln>
                  </pic:spPr>
                </pic:pic>
              </a:graphicData>
            </a:graphic>
          </wp:inline>
        </w:drawing>
      </w:r>
    </w:p>
    <w:p w14:paraId="730D53F1" w14:textId="77777777" w:rsidR="00E55491" w:rsidRDefault="00E55491" w:rsidP="00D151A3">
      <w:pPr>
        <w:pStyle w:val="BeforeTable"/>
        <w:rPr>
          <w:lang w:val="en-GB"/>
        </w:rPr>
      </w:pPr>
    </w:p>
    <w:p w14:paraId="615A3A7C" w14:textId="77777777" w:rsidR="00E55491" w:rsidRDefault="00E55491" w:rsidP="00D151A3">
      <w:pPr>
        <w:rPr>
          <w:lang w:val="en-GB"/>
        </w:rPr>
      </w:pPr>
      <w:r>
        <w:rPr>
          <w:lang w:val="en-GB"/>
        </w:rPr>
        <w:t>The column Sessions show the numbers at present. It’s not the highest number of sessions in the last 24 hours.</w:t>
      </w:r>
    </w:p>
    <w:p w14:paraId="5D82A3A7" w14:textId="77777777" w:rsidR="00E55491" w:rsidRDefault="00E55491" w:rsidP="00D151A3">
      <w:pPr>
        <w:rPr>
          <w:lang w:val="en-GB"/>
        </w:rPr>
      </w:pPr>
      <w:r>
        <w:rPr>
          <w:lang w:val="en-GB"/>
        </w:rPr>
        <w:t>The table has a blue border as you can drill down into the RDS Farm dashboard. To troubleshoot further, select a farm and then navigate to RDS Performance dashboard. The selected farm will be passed as a context.</w:t>
      </w:r>
    </w:p>
    <w:p w14:paraId="77CD1A20" w14:textId="77777777" w:rsidR="00E55491" w:rsidRDefault="00E55491" w:rsidP="00D151A3">
      <w:pPr>
        <w:jc w:val="center"/>
        <w:rPr>
          <w:lang w:val="en-GB"/>
        </w:rPr>
      </w:pPr>
      <w:r w:rsidRPr="00D4024E">
        <w:rPr>
          <w:noProof/>
          <w:lang w:val="en-GB"/>
        </w:rPr>
        <w:drawing>
          <wp:inline distT="0" distB="0" distL="0" distR="0" wp14:anchorId="075DD0E1" wp14:editId="3523057B">
            <wp:extent cx="5541154" cy="2251193"/>
            <wp:effectExtent l="0" t="0" r="2540" b="0"/>
            <wp:docPr id="357815390" name="Picture 357815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7"/>
                    <a:stretch>
                      <a:fillRect/>
                    </a:stretch>
                  </pic:blipFill>
                  <pic:spPr>
                    <a:xfrm>
                      <a:off x="0" y="0"/>
                      <a:ext cx="5547973" cy="2253963"/>
                    </a:xfrm>
                    <a:prstGeom prst="rect">
                      <a:avLst/>
                    </a:prstGeom>
                  </pic:spPr>
                </pic:pic>
              </a:graphicData>
            </a:graphic>
          </wp:inline>
        </w:drawing>
      </w:r>
    </w:p>
    <w:p w14:paraId="12704360" w14:textId="77777777" w:rsidR="00E55491" w:rsidRDefault="00E55491" w:rsidP="00D151A3">
      <w:pPr>
        <w:rPr>
          <w:lang w:val="en-GB"/>
        </w:rPr>
      </w:pPr>
      <w:r>
        <w:rPr>
          <w:lang w:val="en-GB"/>
        </w:rPr>
        <w:t xml:space="preserve">For VDI Pool, select a pool and navigate to the VDI Performance dashboard. The experience is </w:t>
      </w:r>
      <w:r w:rsidRPr="007B5851">
        <w:rPr>
          <w:b/>
          <w:bCs/>
          <w:i/>
          <w:iCs/>
          <w:color w:val="00B0F0"/>
          <w:lang w:val="en-GB"/>
        </w:rPr>
        <w:t>consistent</w:t>
      </w:r>
      <w:r w:rsidRPr="002F5734">
        <w:rPr>
          <w:color w:val="00B0F0"/>
          <w:lang w:val="en-GB"/>
        </w:rPr>
        <w:t xml:space="preserve"> </w:t>
      </w:r>
      <w:r>
        <w:rPr>
          <w:lang w:val="en-GB"/>
        </w:rPr>
        <w:t>with RDS.</w:t>
      </w:r>
    </w:p>
    <w:p w14:paraId="77D57630" w14:textId="77777777" w:rsidR="00E55491" w:rsidRDefault="00E55491" w:rsidP="00D151A3">
      <w:pPr>
        <w:pStyle w:val="Heading5"/>
      </w:pPr>
      <w:r>
        <w:t>vSphere Section</w:t>
      </w:r>
    </w:p>
    <w:p w14:paraId="5324181B" w14:textId="77777777" w:rsidR="00E55491" w:rsidRDefault="00E55491" w:rsidP="00D151A3">
      <w:pPr>
        <w:rPr>
          <w:lang w:val="en-GB"/>
        </w:rPr>
      </w:pPr>
      <w:r>
        <w:rPr>
          <w:lang w:val="en-GB"/>
        </w:rPr>
        <w:t xml:space="preserve">From the pod, you can also drill down into specific vSphere Data Center. It shows the list of data center in the selected pod. </w:t>
      </w:r>
    </w:p>
    <w:p w14:paraId="2ABDA9A3" w14:textId="77777777" w:rsidR="00E55491" w:rsidRPr="000D3FF8" w:rsidRDefault="00E55491" w:rsidP="00D151A3">
      <w:pPr>
        <w:rPr>
          <w:lang w:val="en-GB"/>
        </w:rPr>
      </w:pPr>
      <w:r>
        <w:rPr>
          <w:lang w:val="en-GB"/>
        </w:rPr>
        <w:t>From a data center, you can further drill down into the selected cluster (compute), datastore (storage) and distributed switch (network).</w:t>
      </w:r>
    </w:p>
    <w:p w14:paraId="4921A649" w14:textId="77777777" w:rsidR="00E55491" w:rsidRDefault="00E55491" w:rsidP="00D151A3">
      <w:pPr>
        <w:rPr>
          <w:lang w:val="en-GB"/>
        </w:rPr>
      </w:pPr>
      <w:r w:rsidRPr="009F2D90">
        <w:rPr>
          <w:noProof/>
          <w:lang w:val="en-GB"/>
        </w:rPr>
        <w:lastRenderedPageBreak/>
        <w:drawing>
          <wp:inline distT="0" distB="0" distL="0" distR="0" wp14:anchorId="1B960CF0" wp14:editId="667B1114">
            <wp:extent cx="6645910" cy="2997835"/>
            <wp:effectExtent l="0" t="0" r="2540" b="0"/>
            <wp:docPr id="918289643" name="Picture 918289643"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43" name="Picture 918289643" descr="Graphical user interface, application&#10;&#10;Description automatically generated"/>
                    <pic:cNvPicPr/>
                  </pic:nvPicPr>
                  <pic:blipFill>
                    <a:blip r:embed="rId1258"/>
                    <a:stretch>
                      <a:fillRect/>
                    </a:stretch>
                  </pic:blipFill>
                  <pic:spPr>
                    <a:xfrm>
                      <a:off x="0" y="0"/>
                      <a:ext cx="6645910" cy="2997835"/>
                    </a:xfrm>
                    <a:prstGeom prst="rect">
                      <a:avLst/>
                    </a:prstGeom>
                  </pic:spPr>
                </pic:pic>
              </a:graphicData>
            </a:graphic>
          </wp:inline>
        </w:drawing>
      </w:r>
    </w:p>
    <w:p w14:paraId="2AF510B8" w14:textId="77777777" w:rsidR="00E55491" w:rsidRDefault="00E55491" w:rsidP="00D151A3">
      <w:pPr>
        <w:pStyle w:val="Heading5"/>
      </w:pPr>
      <w:r>
        <w:t>Horizon Servers</w:t>
      </w:r>
    </w:p>
    <w:p w14:paraId="168F204A" w14:textId="77777777" w:rsidR="00E55491" w:rsidRPr="000D3FF8" w:rsidRDefault="00E55491" w:rsidP="00D151A3">
      <w:pPr>
        <w:rPr>
          <w:lang w:val="en-GB"/>
        </w:rPr>
      </w:pPr>
      <w:r>
        <w:rPr>
          <w:lang w:val="en-GB"/>
        </w:rPr>
        <w:t>The last part of the dashboard lists the Connection Server and Universal Access Gateway, along with relevant information.</w:t>
      </w:r>
    </w:p>
    <w:p w14:paraId="0BD66844" w14:textId="77777777" w:rsidR="00E55491" w:rsidRPr="009F2D90" w:rsidRDefault="00E55491" w:rsidP="00D151A3">
      <w:pPr>
        <w:rPr>
          <w:lang w:val="en-GB"/>
        </w:rPr>
      </w:pPr>
      <w:r w:rsidRPr="00646884">
        <w:rPr>
          <w:noProof/>
          <w:lang w:val="en-GB"/>
        </w:rPr>
        <w:drawing>
          <wp:inline distT="0" distB="0" distL="0" distR="0" wp14:anchorId="1A4B0775" wp14:editId="4B69C927">
            <wp:extent cx="6645910" cy="2240280"/>
            <wp:effectExtent l="0" t="0" r="2540" b="7620"/>
            <wp:docPr id="918289644" name="Picture 91828964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44" name="Picture 918289644" descr="Table&#10;&#10;Description automatically generated"/>
                    <pic:cNvPicPr/>
                  </pic:nvPicPr>
                  <pic:blipFill>
                    <a:blip r:embed="rId1259"/>
                    <a:stretch>
                      <a:fillRect/>
                    </a:stretch>
                  </pic:blipFill>
                  <pic:spPr>
                    <a:xfrm>
                      <a:off x="0" y="0"/>
                      <a:ext cx="6645910" cy="2240280"/>
                    </a:xfrm>
                    <a:prstGeom prst="rect">
                      <a:avLst/>
                    </a:prstGeom>
                  </pic:spPr>
                </pic:pic>
              </a:graphicData>
            </a:graphic>
          </wp:inline>
        </w:drawing>
      </w:r>
    </w:p>
    <w:p w14:paraId="3B6AA0B7" w14:textId="77777777" w:rsidR="00E55491" w:rsidRDefault="00E55491" w:rsidP="00D151A3">
      <w:pPr>
        <w:pStyle w:val="Heading4"/>
      </w:pPr>
      <w:r>
        <w:t>RDS Performance Dashboard</w:t>
      </w:r>
    </w:p>
    <w:p w14:paraId="04A4662C" w14:textId="77777777" w:rsidR="00E55491" w:rsidRDefault="00E55491" w:rsidP="00D151A3">
      <w:pPr>
        <w:rPr>
          <w:lang w:val="en-GB"/>
        </w:rPr>
      </w:pPr>
      <w:r>
        <w:rPr>
          <w:lang w:val="en-GB"/>
        </w:rPr>
        <w:t xml:space="preserve">The RDS Performance dashboard complements the Horizon Performance dashboard by providing more details, all the way down to hosts and sessions. </w:t>
      </w:r>
    </w:p>
    <w:p w14:paraId="31F069B9" w14:textId="77777777" w:rsidR="00E55491" w:rsidRDefault="00E55491" w:rsidP="00D151A3">
      <w:pPr>
        <w:pStyle w:val="Heading5"/>
      </w:pPr>
      <w:r>
        <w:lastRenderedPageBreak/>
        <w:t>Widget Interactions</w:t>
      </w:r>
    </w:p>
    <w:p w14:paraId="6F149979" w14:textId="77777777" w:rsidR="00E55491" w:rsidRPr="00E15F86" w:rsidRDefault="00E55491" w:rsidP="00D151A3">
      <w:pPr>
        <w:rPr>
          <w:lang w:val="en-GB"/>
        </w:rPr>
      </w:pPr>
      <w:r>
        <w:rPr>
          <w:lang w:val="en-GB"/>
        </w:rPr>
        <w:t xml:space="preserve">The dashboard sports drill down from Farm to Host to Session. For host, you can also drill down to the underlying VM, navigating into the vSphere VM Performance dashboard. </w:t>
      </w:r>
    </w:p>
    <w:p w14:paraId="0450AACD" w14:textId="77777777" w:rsidR="00E55491" w:rsidRDefault="00E55491" w:rsidP="00D151A3">
      <w:pPr>
        <w:rPr>
          <w:lang w:val="en-GB"/>
        </w:rPr>
      </w:pPr>
      <w:r w:rsidRPr="00B352B9">
        <w:rPr>
          <w:noProof/>
          <w:lang w:val="en-GB"/>
        </w:rPr>
        <w:drawing>
          <wp:inline distT="0" distB="0" distL="0" distR="0" wp14:anchorId="3456B91B" wp14:editId="7E0815C6">
            <wp:extent cx="6645910" cy="2745740"/>
            <wp:effectExtent l="0" t="0" r="2540" b="0"/>
            <wp:docPr id="357815409" name="Picture 357815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0"/>
                    <a:stretch>
                      <a:fillRect/>
                    </a:stretch>
                  </pic:blipFill>
                  <pic:spPr>
                    <a:xfrm>
                      <a:off x="0" y="0"/>
                      <a:ext cx="6645910" cy="2745740"/>
                    </a:xfrm>
                    <a:prstGeom prst="rect">
                      <a:avLst/>
                    </a:prstGeom>
                  </pic:spPr>
                </pic:pic>
              </a:graphicData>
            </a:graphic>
          </wp:inline>
        </w:drawing>
      </w:r>
    </w:p>
    <w:p w14:paraId="25B5270F" w14:textId="108D96CC" w:rsidR="00E55491" w:rsidRDefault="00E55491" w:rsidP="00D151A3">
      <w:pPr>
        <w:rPr>
          <w:lang w:val="en-GB"/>
        </w:rPr>
      </w:pPr>
      <w:r>
        <w:rPr>
          <w:lang w:val="en-GB"/>
        </w:rPr>
        <w:t xml:space="preserve">The partially visible line, marked with </w:t>
      </w:r>
      <w:r w:rsidR="0022569A" w:rsidRPr="0022569A">
        <w:rPr>
          <w:color w:val="00B050"/>
          <w:lang w:val="en-GB"/>
        </w:rPr>
        <w:t>green</w:t>
      </w:r>
      <w:r>
        <w:rPr>
          <w:lang w:val="en-GB"/>
        </w:rPr>
        <w:t>, is a drill down from RDS Host into the underlying VM. You’ll in the following screenshot that the line starts from the host.</w:t>
      </w:r>
    </w:p>
    <w:p w14:paraId="31A820D9" w14:textId="77777777" w:rsidR="00E55491" w:rsidRDefault="00E55491" w:rsidP="00D151A3">
      <w:pPr>
        <w:rPr>
          <w:lang w:val="en-GB"/>
        </w:rPr>
      </w:pPr>
      <w:r>
        <w:rPr>
          <w:lang w:val="en-GB"/>
        </w:rPr>
        <w:t>From the Farm, you can drill down into the hosts and the sessions in the farm. The following shows the host section of the dashboard. Selecting a host will automatically shows all the relevant metrics of the host.</w:t>
      </w:r>
    </w:p>
    <w:p w14:paraId="1A00F9BA" w14:textId="77777777" w:rsidR="00E55491" w:rsidRDefault="00E55491" w:rsidP="00D151A3">
      <w:pPr>
        <w:rPr>
          <w:lang w:val="en-GB"/>
        </w:rPr>
      </w:pPr>
      <w:r w:rsidRPr="00AE6D08">
        <w:rPr>
          <w:noProof/>
          <w:lang w:val="en-GB"/>
        </w:rPr>
        <w:drawing>
          <wp:inline distT="0" distB="0" distL="0" distR="0" wp14:anchorId="17384C63" wp14:editId="65D72464">
            <wp:extent cx="6645910" cy="1951355"/>
            <wp:effectExtent l="0" t="0" r="2540" b="0"/>
            <wp:docPr id="357815413" name="Picture 357815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1"/>
                    <a:stretch>
                      <a:fillRect/>
                    </a:stretch>
                  </pic:blipFill>
                  <pic:spPr>
                    <a:xfrm>
                      <a:off x="0" y="0"/>
                      <a:ext cx="6645910" cy="1951355"/>
                    </a:xfrm>
                    <a:prstGeom prst="rect">
                      <a:avLst/>
                    </a:prstGeom>
                  </pic:spPr>
                </pic:pic>
              </a:graphicData>
            </a:graphic>
          </wp:inline>
        </w:drawing>
      </w:r>
    </w:p>
    <w:p w14:paraId="327926B1" w14:textId="77777777" w:rsidR="00E55491" w:rsidRDefault="00E55491" w:rsidP="00D151A3">
      <w:pPr>
        <w:rPr>
          <w:lang w:val="en-GB"/>
        </w:rPr>
      </w:pPr>
      <w:r>
        <w:rPr>
          <w:lang w:val="en-GB"/>
        </w:rPr>
        <w:t>And here is the session portion of the dashboard. Selecting a session will automatically shows all the relevant metrics of the session.</w:t>
      </w:r>
    </w:p>
    <w:p w14:paraId="6CCE3122" w14:textId="77777777" w:rsidR="00E55491" w:rsidRPr="00056B4B" w:rsidRDefault="00E55491" w:rsidP="00D151A3">
      <w:pPr>
        <w:rPr>
          <w:lang w:val="en-GB"/>
        </w:rPr>
      </w:pPr>
      <w:r w:rsidRPr="003A5584">
        <w:rPr>
          <w:noProof/>
          <w:lang w:val="en-GB"/>
        </w:rPr>
        <w:lastRenderedPageBreak/>
        <w:drawing>
          <wp:inline distT="0" distB="0" distL="0" distR="0" wp14:anchorId="099BF389" wp14:editId="3EDA9521">
            <wp:extent cx="6645910" cy="1905635"/>
            <wp:effectExtent l="0" t="0" r="2540" b="0"/>
            <wp:docPr id="357815414" name="Picture 357815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2"/>
                    <a:stretch>
                      <a:fillRect/>
                    </a:stretch>
                  </pic:blipFill>
                  <pic:spPr>
                    <a:xfrm>
                      <a:off x="0" y="0"/>
                      <a:ext cx="6645910" cy="1905635"/>
                    </a:xfrm>
                    <a:prstGeom prst="rect">
                      <a:avLst/>
                    </a:prstGeom>
                  </pic:spPr>
                </pic:pic>
              </a:graphicData>
            </a:graphic>
          </wp:inline>
        </w:drawing>
      </w:r>
    </w:p>
    <w:p w14:paraId="3D3FE794" w14:textId="77777777" w:rsidR="00E55491" w:rsidRDefault="00E55491" w:rsidP="00D151A3">
      <w:pPr>
        <w:pStyle w:val="Heading5"/>
      </w:pPr>
      <w:r>
        <w:t>Summary Section</w:t>
      </w:r>
    </w:p>
    <w:p w14:paraId="57A3E6EA" w14:textId="77777777" w:rsidR="00E55491" w:rsidRDefault="00E55491" w:rsidP="00D151A3">
      <w:pPr>
        <w:rPr>
          <w:lang w:val="en-GB"/>
        </w:rPr>
      </w:pPr>
      <w:r>
        <w:rPr>
          <w:lang w:val="en-GB"/>
        </w:rPr>
        <w:t xml:space="preserve">This section is especially useful in large environment, where you have many farms. It lets you see quickly the overall performance of all the farms. </w:t>
      </w:r>
    </w:p>
    <w:p w14:paraId="45DE8A28" w14:textId="77777777" w:rsidR="00E55491" w:rsidRPr="00E15F86" w:rsidRDefault="00E55491" w:rsidP="00D151A3">
      <w:pPr>
        <w:rPr>
          <w:lang w:val="en-GB"/>
        </w:rPr>
      </w:pPr>
      <w:r>
        <w:rPr>
          <w:lang w:val="en-GB"/>
        </w:rPr>
        <w:t>There are 4 distribution charts, covering network, CPU, memory and storage. I’m only showing 3 of them below due to limited space on “book” (designed to be tall, while monitor screen is wide). You will see later in the VDI Performance dashboard, where I show 4 of them.</w:t>
      </w:r>
    </w:p>
    <w:p w14:paraId="0566F0A2" w14:textId="77777777" w:rsidR="00E55491" w:rsidRDefault="00E55491" w:rsidP="00D151A3">
      <w:pPr>
        <w:rPr>
          <w:lang w:val="en-GB"/>
        </w:rPr>
      </w:pPr>
      <w:r w:rsidRPr="00C5118C">
        <w:rPr>
          <w:noProof/>
          <w:lang w:val="en-GB"/>
        </w:rPr>
        <w:drawing>
          <wp:inline distT="0" distB="0" distL="0" distR="0" wp14:anchorId="6297DBF7" wp14:editId="76DE8FC8">
            <wp:extent cx="6645910" cy="1806575"/>
            <wp:effectExtent l="0" t="0" r="2540" b="3175"/>
            <wp:docPr id="357815389" name="Picture 35781538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389" name="Picture 357815389" descr="Chart&#10;&#10;Description automatically generated"/>
                    <pic:cNvPicPr/>
                  </pic:nvPicPr>
                  <pic:blipFill>
                    <a:blip r:embed="rId1263"/>
                    <a:stretch>
                      <a:fillRect/>
                    </a:stretch>
                  </pic:blipFill>
                  <pic:spPr>
                    <a:xfrm>
                      <a:off x="0" y="0"/>
                      <a:ext cx="6645910" cy="1806575"/>
                    </a:xfrm>
                    <a:prstGeom prst="rect">
                      <a:avLst/>
                    </a:prstGeom>
                  </pic:spPr>
                </pic:pic>
              </a:graphicData>
            </a:graphic>
          </wp:inline>
        </w:drawing>
      </w:r>
    </w:p>
    <w:p w14:paraId="592A30FF" w14:textId="77777777" w:rsidR="00E55491" w:rsidRDefault="00E55491" w:rsidP="00D151A3">
      <w:pPr>
        <w:rPr>
          <w:lang w:val="en-GB"/>
        </w:rPr>
      </w:pPr>
      <w:r>
        <w:rPr>
          <w:lang w:val="en-GB"/>
        </w:rPr>
        <w:t xml:space="preserve">For CPU, while there are many metrics, I pick CPU Ready as that’s the most likely. I’m keen to hear your thought if we should build a model for each component, meaning 1 for network, 1 for CPU, 1 for memory and 1 for disk. </w:t>
      </w:r>
    </w:p>
    <w:p w14:paraId="42A67EAD" w14:textId="77777777" w:rsidR="00E55491" w:rsidRDefault="00E55491" w:rsidP="00D151A3">
      <w:pPr>
        <w:pStyle w:val="Heading5"/>
      </w:pPr>
      <w:r>
        <w:t>Farm-level Analysis</w:t>
      </w:r>
    </w:p>
    <w:p w14:paraId="08569D1A" w14:textId="77777777" w:rsidR="00E55491" w:rsidRDefault="00E55491" w:rsidP="00D151A3">
      <w:pPr>
        <w:rPr>
          <w:lang w:val="en-GB"/>
        </w:rPr>
      </w:pPr>
      <w:r>
        <w:rPr>
          <w:lang w:val="en-GB"/>
        </w:rPr>
        <w:t xml:space="preserve">The section begins by listing all the farms in a table, color coded by performance. You can sort them by their performance, number of active sessions, etc. </w:t>
      </w:r>
    </w:p>
    <w:p w14:paraId="7DD59149" w14:textId="77777777" w:rsidR="00E55491" w:rsidRPr="00E15F86" w:rsidRDefault="00E55491" w:rsidP="00D151A3">
      <w:pPr>
        <w:jc w:val="center"/>
        <w:rPr>
          <w:lang w:val="en-GB"/>
        </w:rPr>
      </w:pPr>
      <w:r w:rsidRPr="0021348F">
        <w:rPr>
          <w:noProof/>
          <w:lang w:val="en-GB"/>
        </w:rPr>
        <w:lastRenderedPageBreak/>
        <w:drawing>
          <wp:inline distT="0" distB="0" distL="0" distR="0" wp14:anchorId="533EF1ED" wp14:editId="30D3FE1F">
            <wp:extent cx="5061600" cy="1332000"/>
            <wp:effectExtent l="0" t="0" r="5715" b="1905"/>
            <wp:docPr id="918289645" name="Picture 91828964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45" name="Picture 918289645" descr="Graphical user interface, application&#10;&#10;Description automatically generated"/>
                    <pic:cNvPicPr/>
                  </pic:nvPicPr>
                  <pic:blipFill>
                    <a:blip r:embed="rId1264"/>
                    <a:stretch>
                      <a:fillRect/>
                    </a:stretch>
                  </pic:blipFill>
                  <pic:spPr>
                    <a:xfrm>
                      <a:off x="0" y="0"/>
                      <a:ext cx="5061600" cy="1332000"/>
                    </a:xfrm>
                    <a:prstGeom prst="rect">
                      <a:avLst/>
                    </a:prstGeom>
                  </pic:spPr>
                </pic:pic>
              </a:graphicData>
            </a:graphic>
          </wp:inline>
        </w:drawing>
      </w:r>
    </w:p>
    <w:p w14:paraId="0533891F" w14:textId="77777777" w:rsidR="00E55491" w:rsidRDefault="00E55491" w:rsidP="00D151A3">
      <w:pPr>
        <w:rPr>
          <w:lang w:val="en-GB"/>
        </w:rPr>
      </w:pPr>
      <w:r>
        <w:rPr>
          <w:lang w:val="en-GB"/>
        </w:rPr>
        <w:t>Why are they sorted by DC KPI, and not Network KPI?</w:t>
      </w:r>
    </w:p>
    <w:p w14:paraId="25201772" w14:textId="77777777" w:rsidR="00E55491" w:rsidRDefault="00E55491" w:rsidP="00D151A3">
      <w:pPr>
        <w:rPr>
          <w:lang w:val="en-GB"/>
        </w:rPr>
      </w:pPr>
      <w:r>
        <w:rPr>
          <w:lang w:val="en-GB"/>
        </w:rPr>
        <w:t>Because the network will be dominated by the farm serving the WAN or remote users. Network is also something you have less control as it’s a shared resource.</w:t>
      </w:r>
    </w:p>
    <w:p w14:paraId="5B303832" w14:textId="77777777" w:rsidR="00E55491" w:rsidRDefault="00E55491" w:rsidP="00D151A3">
      <w:pPr>
        <w:rPr>
          <w:lang w:val="en-GB"/>
        </w:rPr>
      </w:pPr>
      <w:r>
        <w:rPr>
          <w:lang w:val="en-GB"/>
        </w:rPr>
        <w:t>Selecting a farm with automatically show the KPI. This helps you cycle quickly among many farms.</w:t>
      </w:r>
    </w:p>
    <w:p w14:paraId="63E8B073" w14:textId="77777777" w:rsidR="00E55491" w:rsidRDefault="00E55491" w:rsidP="00D151A3">
      <w:pPr>
        <w:rPr>
          <w:lang w:val="en-GB"/>
        </w:rPr>
      </w:pPr>
      <w:r>
        <w:rPr>
          <w:lang w:val="en-GB"/>
        </w:rPr>
        <w:t>When you select a farm, check the farm DC KPI and Network KPI over time. If there is issue, there is no need to look further.</w:t>
      </w:r>
    </w:p>
    <w:p w14:paraId="70C62742" w14:textId="77777777" w:rsidR="00E55491" w:rsidRDefault="00E55491" w:rsidP="00D151A3">
      <w:pPr>
        <w:rPr>
          <w:lang w:val="en-GB"/>
        </w:rPr>
      </w:pPr>
      <w:r w:rsidRPr="00A333AB">
        <w:rPr>
          <w:noProof/>
          <w:lang w:val="en-GB"/>
        </w:rPr>
        <w:drawing>
          <wp:inline distT="0" distB="0" distL="0" distR="0" wp14:anchorId="4FC8A9C0" wp14:editId="60251752">
            <wp:extent cx="6645910" cy="990600"/>
            <wp:effectExtent l="0" t="0" r="2540" b="0"/>
            <wp:docPr id="357815415" name="Picture 357815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5"/>
                    <a:stretch>
                      <a:fillRect/>
                    </a:stretch>
                  </pic:blipFill>
                  <pic:spPr>
                    <a:xfrm>
                      <a:off x="0" y="0"/>
                      <a:ext cx="6645910" cy="990600"/>
                    </a:xfrm>
                    <a:prstGeom prst="rect">
                      <a:avLst/>
                    </a:prstGeom>
                  </pic:spPr>
                </pic:pic>
              </a:graphicData>
            </a:graphic>
          </wp:inline>
        </w:drawing>
      </w:r>
    </w:p>
    <w:p w14:paraId="7CDCF600" w14:textId="77777777" w:rsidR="00E55491" w:rsidRDefault="00E55491" w:rsidP="00D151A3">
      <w:pPr>
        <w:rPr>
          <w:lang w:val="en-GB"/>
        </w:rPr>
      </w:pPr>
      <w:r>
        <w:rPr>
          <w:lang w:val="en-GB"/>
        </w:rPr>
        <w:t>I have used the worst 5</w:t>
      </w:r>
      <w:r w:rsidRPr="00944846">
        <w:rPr>
          <w:vertAlign w:val="superscript"/>
          <w:lang w:val="en-GB"/>
        </w:rPr>
        <w:t>th</w:t>
      </w:r>
      <w:r>
        <w:rPr>
          <w:lang w:val="en-GB"/>
        </w:rPr>
        <w:t xml:space="preserve"> percentile for both. If you want a safer leading indicator, which is more sensitive to degradation, then change them with the worst value. Take note that a single session or host will dictate the value basically.</w:t>
      </w:r>
    </w:p>
    <w:p w14:paraId="43D654E9" w14:textId="77777777" w:rsidR="00E55491" w:rsidRDefault="00E55491" w:rsidP="00D151A3">
      <w:pPr>
        <w:rPr>
          <w:lang w:val="en-GB"/>
        </w:rPr>
      </w:pPr>
      <w:r>
        <w:rPr>
          <w:lang w:val="en-GB"/>
        </w:rPr>
        <w:t xml:space="preserve">If the above is lower than your normal numbers, meaning there is a significant dip, then you drill down into specific area (CPU, Memory, Disk, Network, User Profile). We cover these metrics in the RDS Farm metrics </w:t>
      </w:r>
      <w:hyperlink w:anchor="_RDS_Farm" w:history="1">
        <w:r w:rsidRPr="000A6C10">
          <w:rPr>
            <w:rStyle w:val="Hyperlink"/>
            <w:lang w:val="en-GB"/>
          </w:rPr>
          <w:t>here</w:t>
        </w:r>
      </w:hyperlink>
      <w:r>
        <w:rPr>
          <w:lang w:val="en-GB"/>
        </w:rPr>
        <w:t xml:space="preserve">. </w:t>
      </w:r>
    </w:p>
    <w:p w14:paraId="108452AD" w14:textId="77777777" w:rsidR="00E55491" w:rsidRDefault="00E55491" w:rsidP="00D151A3">
      <w:pPr>
        <w:rPr>
          <w:lang w:val="en-GB"/>
        </w:rPr>
      </w:pPr>
      <w:r w:rsidRPr="00460C05">
        <w:rPr>
          <w:noProof/>
          <w:lang w:val="en-GB"/>
        </w:rPr>
        <w:drawing>
          <wp:inline distT="0" distB="0" distL="0" distR="0" wp14:anchorId="09FC8633" wp14:editId="37B50B19">
            <wp:extent cx="6645910" cy="1056005"/>
            <wp:effectExtent l="0" t="0" r="2540" b="0"/>
            <wp:docPr id="357815404" name="Picture 35781540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404" name="Picture 357815404" descr="Chart&#10;&#10;Description automatically generated"/>
                    <pic:cNvPicPr/>
                  </pic:nvPicPr>
                  <pic:blipFill>
                    <a:blip r:embed="rId1266"/>
                    <a:stretch>
                      <a:fillRect/>
                    </a:stretch>
                  </pic:blipFill>
                  <pic:spPr>
                    <a:xfrm>
                      <a:off x="0" y="0"/>
                      <a:ext cx="6645910" cy="1056005"/>
                    </a:xfrm>
                    <a:prstGeom prst="rect">
                      <a:avLst/>
                    </a:prstGeom>
                  </pic:spPr>
                </pic:pic>
              </a:graphicData>
            </a:graphic>
          </wp:inline>
        </w:drawing>
      </w:r>
    </w:p>
    <w:p w14:paraId="3F647D21" w14:textId="77777777" w:rsidR="00E55491" w:rsidRDefault="00E55491" w:rsidP="00D151A3">
      <w:pPr>
        <w:rPr>
          <w:lang w:val="en-GB"/>
        </w:rPr>
      </w:pPr>
      <w:r>
        <w:rPr>
          <w:lang w:val="en-GB"/>
        </w:rPr>
        <w:t>For network, I use the following threshold:</w:t>
      </w:r>
    </w:p>
    <w:p w14:paraId="0D21435E" w14:textId="77777777" w:rsidR="00E55491" w:rsidRDefault="00E55491" w:rsidP="00D151A3">
      <w:pPr>
        <w:rPr>
          <w:lang w:val="en-GB"/>
        </w:rPr>
      </w:pPr>
      <w:r w:rsidRPr="0085561F">
        <w:rPr>
          <w:noProof/>
          <w:lang w:val="en-GB"/>
        </w:rPr>
        <w:drawing>
          <wp:inline distT="0" distB="0" distL="0" distR="0" wp14:anchorId="37779D3E" wp14:editId="02D8213A">
            <wp:extent cx="6645910" cy="2418080"/>
            <wp:effectExtent l="0" t="0" r="2540" b="1270"/>
            <wp:docPr id="910169573" name="Picture 91016957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73" name="Picture 910169573" descr="Table&#10;&#10;Description automatically generated"/>
                    <pic:cNvPicPr/>
                  </pic:nvPicPr>
                  <pic:blipFill>
                    <a:blip r:embed="rId1267"/>
                    <a:stretch>
                      <a:fillRect/>
                    </a:stretch>
                  </pic:blipFill>
                  <pic:spPr>
                    <a:xfrm>
                      <a:off x="0" y="0"/>
                      <a:ext cx="6645910" cy="2418080"/>
                    </a:xfrm>
                    <a:prstGeom prst="rect">
                      <a:avLst/>
                    </a:prstGeom>
                  </pic:spPr>
                </pic:pic>
              </a:graphicData>
            </a:graphic>
          </wp:inline>
        </w:drawing>
      </w:r>
    </w:p>
    <w:p w14:paraId="50222199" w14:textId="77777777" w:rsidR="00E55491" w:rsidRDefault="00E55491" w:rsidP="00D151A3">
      <w:pPr>
        <w:rPr>
          <w:lang w:val="en-GB"/>
        </w:rPr>
      </w:pPr>
      <w:r>
        <w:rPr>
          <w:lang w:val="en-GB"/>
        </w:rPr>
        <w:lastRenderedPageBreak/>
        <w:t xml:space="preserve">For CPU, it’s about the RDS host not the individual session. </w:t>
      </w:r>
    </w:p>
    <w:p w14:paraId="486FCA1E" w14:textId="77777777" w:rsidR="00E55491" w:rsidRDefault="00E55491" w:rsidP="00D151A3">
      <w:pPr>
        <w:rPr>
          <w:lang w:val="en-GB"/>
        </w:rPr>
      </w:pPr>
      <w:r w:rsidRPr="00460C05">
        <w:rPr>
          <w:noProof/>
          <w:lang w:val="en-GB"/>
        </w:rPr>
        <w:drawing>
          <wp:inline distT="0" distB="0" distL="0" distR="0" wp14:anchorId="387F6F69" wp14:editId="0BE1D19D">
            <wp:extent cx="6645910" cy="1029335"/>
            <wp:effectExtent l="0" t="0" r="2540" b="0"/>
            <wp:docPr id="1583707907" name="Picture 1583707907"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07" name="Picture 1583707907" descr="Diagram&#10;&#10;Description automatically generated with low confidence"/>
                    <pic:cNvPicPr/>
                  </pic:nvPicPr>
                  <pic:blipFill>
                    <a:blip r:embed="rId1268"/>
                    <a:stretch>
                      <a:fillRect/>
                    </a:stretch>
                  </pic:blipFill>
                  <pic:spPr>
                    <a:xfrm>
                      <a:off x="0" y="0"/>
                      <a:ext cx="6645910" cy="1029335"/>
                    </a:xfrm>
                    <a:prstGeom prst="rect">
                      <a:avLst/>
                    </a:prstGeom>
                  </pic:spPr>
                </pic:pic>
              </a:graphicData>
            </a:graphic>
          </wp:inline>
        </w:drawing>
      </w:r>
    </w:p>
    <w:p w14:paraId="03A9AB15" w14:textId="77777777" w:rsidR="00E55491" w:rsidRDefault="00E55491" w:rsidP="00D151A3">
      <w:pPr>
        <w:rPr>
          <w:lang w:val="en-GB"/>
        </w:rPr>
      </w:pPr>
      <w:r>
        <w:rPr>
          <w:lang w:val="en-GB"/>
        </w:rPr>
        <w:t>This is the threshold I use:</w:t>
      </w:r>
    </w:p>
    <w:p w14:paraId="1F14F15D" w14:textId="77777777" w:rsidR="00E55491" w:rsidRDefault="00E55491" w:rsidP="00D151A3">
      <w:pPr>
        <w:jc w:val="center"/>
        <w:rPr>
          <w:lang w:val="en-GB"/>
        </w:rPr>
      </w:pPr>
      <w:r w:rsidRPr="00F674F1">
        <w:rPr>
          <w:noProof/>
          <w:lang w:val="en-GB"/>
        </w:rPr>
        <w:drawing>
          <wp:inline distT="0" distB="0" distL="0" distR="0" wp14:anchorId="71331C92" wp14:editId="50DBF124">
            <wp:extent cx="5731200" cy="1936800"/>
            <wp:effectExtent l="0" t="0" r="3175" b="6350"/>
            <wp:docPr id="910169576" name="Picture 91016957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76" name="Picture 910169576" descr="Table&#10;&#10;Description automatically generated"/>
                    <pic:cNvPicPr/>
                  </pic:nvPicPr>
                  <pic:blipFill>
                    <a:blip r:embed="rId1269"/>
                    <a:stretch>
                      <a:fillRect/>
                    </a:stretch>
                  </pic:blipFill>
                  <pic:spPr>
                    <a:xfrm>
                      <a:off x="0" y="0"/>
                      <a:ext cx="5731200" cy="1936800"/>
                    </a:xfrm>
                    <a:prstGeom prst="rect">
                      <a:avLst/>
                    </a:prstGeom>
                  </pic:spPr>
                </pic:pic>
              </a:graphicData>
            </a:graphic>
          </wp:inline>
        </w:drawing>
      </w:r>
    </w:p>
    <w:p w14:paraId="017C4120" w14:textId="77777777" w:rsidR="00E55491" w:rsidRDefault="00E55491" w:rsidP="00D151A3">
      <w:pPr>
        <w:rPr>
          <w:lang w:val="en-GB"/>
        </w:rPr>
      </w:pPr>
      <w:r>
        <w:rPr>
          <w:lang w:val="en-GB"/>
        </w:rPr>
        <w:t xml:space="preserve">For CPU Queue, I use 8 vCPU as the average RDS Host size. </w:t>
      </w:r>
    </w:p>
    <w:p w14:paraId="16DB0EEB" w14:textId="77777777" w:rsidR="00E55491" w:rsidRDefault="00E55491" w:rsidP="00D151A3">
      <w:pPr>
        <w:rPr>
          <w:lang w:val="en-GB"/>
        </w:rPr>
      </w:pPr>
      <w:r>
        <w:rPr>
          <w:lang w:val="en-GB"/>
        </w:rPr>
        <w:t xml:space="preserve">The threshold for CPU Ready and CPU Co-Stop are following the guidelines specified in </w:t>
      </w:r>
      <w:hyperlink w:anchor="_VM_KPI_(%)" w:history="1">
        <w:r w:rsidRPr="00F674F1">
          <w:rPr>
            <w:rStyle w:val="Hyperlink"/>
            <w:lang w:val="en-GB"/>
          </w:rPr>
          <w:t>VM KPI (%) metric</w:t>
        </w:r>
      </w:hyperlink>
      <w:r>
        <w:rPr>
          <w:lang w:val="en-GB"/>
        </w:rPr>
        <w:t xml:space="preserve">. </w:t>
      </w:r>
    </w:p>
    <w:p w14:paraId="6CD7F9E1" w14:textId="77777777" w:rsidR="00E55491" w:rsidRDefault="00E55491" w:rsidP="00D151A3">
      <w:pPr>
        <w:rPr>
          <w:lang w:val="en-GB"/>
        </w:rPr>
      </w:pPr>
      <w:r>
        <w:rPr>
          <w:lang w:val="en-GB"/>
        </w:rPr>
        <w:t xml:space="preserve">For CPU Utilization, I choose 70 </w:t>
      </w:r>
      <w:r w:rsidRPr="00F674F1">
        <w:rPr>
          <w:lang w:val="en-GB"/>
        </w:rPr>
        <w:sym w:font="Wingdings" w:char="F0E0"/>
      </w:r>
      <w:r>
        <w:rPr>
          <w:lang w:val="en-GB"/>
        </w:rPr>
        <w:t xml:space="preserve"> 80 </w:t>
      </w:r>
      <w:r w:rsidRPr="00F674F1">
        <w:rPr>
          <w:lang w:val="en-GB"/>
        </w:rPr>
        <w:sym w:font="Wingdings" w:char="F0E0"/>
      </w:r>
      <w:r>
        <w:rPr>
          <w:lang w:val="en-GB"/>
        </w:rPr>
        <w:t xml:space="preserve"> 90% to give you more reaction time as VDI demand tends to be spiky.</w:t>
      </w:r>
    </w:p>
    <w:p w14:paraId="349A0E09" w14:textId="77777777" w:rsidR="00E55491" w:rsidRDefault="00E55491" w:rsidP="00D151A3">
      <w:pPr>
        <w:rPr>
          <w:lang w:val="en-GB"/>
        </w:rPr>
      </w:pPr>
      <w:r>
        <w:rPr>
          <w:lang w:val="en-GB"/>
        </w:rPr>
        <w:t xml:space="preserve">As a farm may not have many RDS hosts, I choose 1 </w:t>
      </w:r>
      <w:r w:rsidRPr="00F674F1">
        <w:rPr>
          <w:lang w:val="en-GB"/>
        </w:rPr>
        <w:sym w:font="Wingdings" w:char="F0E0"/>
      </w:r>
      <w:r>
        <w:rPr>
          <w:lang w:val="en-GB"/>
        </w:rPr>
        <w:t xml:space="preserve"> 2 </w:t>
      </w:r>
      <w:r w:rsidRPr="00F674F1">
        <w:rPr>
          <w:lang w:val="en-GB"/>
        </w:rPr>
        <w:sym w:font="Wingdings" w:char="F0E0"/>
      </w:r>
      <w:r>
        <w:rPr>
          <w:lang w:val="en-GB"/>
        </w:rPr>
        <w:t xml:space="preserve"> 3 as the threshold. If your farm is larger, you can change as appropriate.</w:t>
      </w:r>
    </w:p>
    <w:p w14:paraId="151930AF" w14:textId="77777777" w:rsidR="00E55491" w:rsidRDefault="00E55491" w:rsidP="00D151A3">
      <w:pPr>
        <w:rPr>
          <w:lang w:val="en-GB"/>
        </w:rPr>
      </w:pPr>
      <w:r>
        <w:rPr>
          <w:lang w:val="en-GB"/>
        </w:rPr>
        <w:t>The metrics for memory is also about RDS Hosts, not sessions.</w:t>
      </w:r>
    </w:p>
    <w:p w14:paraId="026D7302" w14:textId="77777777" w:rsidR="00E55491" w:rsidRDefault="00E55491" w:rsidP="00D151A3">
      <w:pPr>
        <w:rPr>
          <w:lang w:val="en-GB"/>
        </w:rPr>
      </w:pPr>
      <w:r w:rsidRPr="00460C05">
        <w:rPr>
          <w:noProof/>
          <w:lang w:val="en-GB"/>
        </w:rPr>
        <w:drawing>
          <wp:inline distT="0" distB="0" distL="0" distR="0" wp14:anchorId="20BEE5B2" wp14:editId="567E9B8E">
            <wp:extent cx="6645910" cy="1011555"/>
            <wp:effectExtent l="0" t="0" r="2540" b="0"/>
            <wp:docPr id="1085195929" name="Picture 1085195929"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29" name="Picture 1085195929" descr="A picture containing diagram&#10;&#10;Description automatically generated"/>
                    <pic:cNvPicPr/>
                  </pic:nvPicPr>
                  <pic:blipFill>
                    <a:blip r:embed="rId1270"/>
                    <a:stretch>
                      <a:fillRect/>
                    </a:stretch>
                  </pic:blipFill>
                  <pic:spPr>
                    <a:xfrm>
                      <a:off x="0" y="0"/>
                      <a:ext cx="6645910" cy="1011555"/>
                    </a:xfrm>
                    <a:prstGeom prst="rect">
                      <a:avLst/>
                    </a:prstGeom>
                  </pic:spPr>
                </pic:pic>
              </a:graphicData>
            </a:graphic>
          </wp:inline>
        </w:drawing>
      </w:r>
    </w:p>
    <w:p w14:paraId="3BE1C781" w14:textId="77777777" w:rsidR="00E55491" w:rsidRDefault="00E55491" w:rsidP="00D151A3">
      <w:pPr>
        <w:rPr>
          <w:lang w:val="en-GB"/>
        </w:rPr>
      </w:pPr>
      <w:r>
        <w:rPr>
          <w:lang w:val="en-GB"/>
        </w:rPr>
        <w:t>This is the threshold I use:</w:t>
      </w:r>
    </w:p>
    <w:p w14:paraId="5FAF670C" w14:textId="77777777" w:rsidR="00E55491" w:rsidRDefault="00E55491" w:rsidP="00D151A3">
      <w:pPr>
        <w:jc w:val="center"/>
        <w:rPr>
          <w:lang w:val="en-GB"/>
        </w:rPr>
      </w:pPr>
      <w:r w:rsidRPr="00647F03">
        <w:rPr>
          <w:noProof/>
          <w:lang w:val="en-GB"/>
        </w:rPr>
        <w:drawing>
          <wp:inline distT="0" distB="0" distL="0" distR="0" wp14:anchorId="522271C6" wp14:editId="0E7394F2">
            <wp:extent cx="6001200" cy="1684800"/>
            <wp:effectExtent l="0" t="0" r="0" b="0"/>
            <wp:docPr id="910169577" name="Picture 91016957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77" name="Picture 910169577" descr="Table&#10;&#10;Description automatically generated"/>
                    <pic:cNvPicPr/>
                  </pic:nvPicPr>
                  <pic:blipFill>
                    <a:blip r:embed="rId1271"/>
                    <a:stretch>
                      <a:fillRect/>
                    </a:stretch>
                  </pic:blipFill>
                  <pic:spPr>
                    <a:xfrm>
                      <a:off x="0" y="0"/>
                      <a:ext cx="6001200" cy="1684800"/>
                    </a:xfrm>
                    <a:prstGeom prst="rect">
                      <a:avLst/>
                    </a:prstGeom>
                  </pic:spPr>
                </pic:pic>
              </a:graphicData>
            </a:graphic>
          </wp:inline>
        </w:drawing>
      </w:r>
    </w:p>
    <w:p w14:paraId="67111744" w14:textId="77777777" w:rsidR="00E55491" w:rsidRDefault="00E55491" w:rsidP="00D151A3">
      <w:pPr>
        <w:rPr>
          <w:lang w:val="en-GB"/>
        </w:rPr>
      </w:pPr>
      <w:r>
        <w:rPr>
          <w:lang w:val="en-GB"/>
        </w:rPr>
        <w:t xml:space="preserve">The threshold for Memory Contention is following the guidelines specified in </w:t>
      </w:r>
      <w:hyperlink w:anchor="_VM_KPI_(%)" w:history="1">
        <w:r w:rsidRPr="00F674F1">
          <w:rPr>
            <w:rStyle w:val="Hyperlink"/>
            <w:lang w:val="en-GB"/>
          </w:rPr>
          <w:t>VM KPI (%) metric</w:t>
        </w:r>
      </w:hyperlink>
      <w:r>
        <w:rPr>
          <w:lang w:val="en-GB"/>
        </w:rPr>
        <w:t xml:space="preserve">. </w:t>
      </w:r>
    </w:p>
    <w:p w14:paraId="15B678BA" w14:textId="77777777" w:rsidR="00E55491" w:rsidRDefault="00E55491" w:rsidP="00D151A3">
      <w:pPr>
        <w:rPr>
          <w:lang w:val="en-GB"/>
        </w:rPr>
      </w:pPr>
      <w:r>
        <w:rPr>
          <w:lang w:val="en-GB"/>
        </w:rPr>
        <w:t xml:space="preserve">I use 32 GB as the average RDS Host size. </w:t>
      </w:r>
    </w:p>
    <w:p w14:paraId="14423610" w14:textId="77777777" w:rsidR="00E55491" w:rsidRDefault="00E55491" w:rsidP="00D151A3">
      <w:pPr>
        <w:rPr>
          <w:lang w:val="en-GB"/>
        </w:rPr>
      </w:pPr>
      <w:r>
        <w:rPr>
          <w:lang w:val="en-GB"/>
        </w:rPr>
        <w:lastRenderedPageBreak/>
        <w:t>The metrics for disk is also about RDS Host.</w:t>
      </w:r>
    </w:p>
    <w:p w14:paraId="4B20CA05" w14:textId="77777777" w:rsidR="00E55491" w:rsidRDefault="00E55491" w:rsidP="00D151A3">
      <w:pPr>
        <w:rPr>
          <w:lang w:val="en-GB"/>
        </w:rPr>
      </w:pPr>
      <w:r w:rsidRPr="00AA67F1">
        <w:rPr>
          <w:noProof/>
          <w:lang w:val="en-GB"/>
        </w:rPr>
        <w:drawing>
          <wp:inline distT="0" distB="0" distL="0" distR="0" wp14:anchorId="0325BD7E" wp14:editId="59E33961">
            <wp:extent cx="6645910" cy="921385"/>
            <wp:effectExtent l="0" t="0" r="2540" b="0"/>
            <wp:docPr id="910169578" name="Picture 91016957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78" name="Picture 910169578" descr="Table&#10;&#10;Description automatically generated"/>
                    <pic:cNvPicPr/>
                  </pic:nvPicPr>
                  <pic:blipFill>
                    <a:blip r:embed="rId1272"/>
                    <a:stretch>
                      <a:fillRect/>
                    </a:stretch>
                  </pic:blipFill>
                  <pic:spPr>
                    <a:xfrm>
                      <a:off x="0" y="0"/>
                      <a:ext cx="6645910" cy="921385"/>
                    </a:xfrm>
                    <a:prstGeom prst="rect">
                      <a:avLst/>
                    </a:prstGeom>
                  </pic:spPr>
                </pic:pic>
              </a:graphicData>
            </a:graphic>
          </wp:inline>
        </w:drawing>
      </w:r>
    </w:p>
    <w:p w14:paraId="43F30339" w14:textId="77777777" w:rsidR="00E55491" w:rsidRDefault="00E55491" w:rsidP="00D151A3">
      <w:pPr>
        <w:rPr>
          <w:lang w:val="en-GB"/>
        </w:rPr>
      </w:pPr>
      <w:r>
        <w:rPr>
          <w:lang w:val="en-GB"/>
        </w:rPr>
        <w:t>This is the threshold I use:</w:t>
      </w:r>
    </w:p>
    <w:p w14:paraId="5CCF80A4" w14:textId="77777777" w:rsidR="00E55491" w:rsidRDefault="00E55491" w:rsidP="00D151A3">
      <w:pPr>
        <w:jc w:val="center"/>
        <w:rPr>
          <w:lang w:val="en-GB"/>
        </w:rPr>
      </w:pPr>
      <w:r w:rsidRPr="00AA67F1">
        <w:rPr>
          <w:noProof/>
          <w:lang w:val="en-GB"/>
        </w:rPr>
        <w:drawing>
          <wp:inline distT="0" distB="0" distL="0" distR="0" wp14:anchorId="7D1D1754" wp14:editId="6014E13B">
            <wp:extent cx="6048000" cy="2286000"/>
            <wp:effectExtent l="0" t="0" r="0" b="0"/>
            <wp:docPr id="910169579" name="Picture 91016957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79" name="Picture 910169579" descr="Table&#10;&#10;Description automatically generated"/>
                    <pic:cNvPicPr/>
                  </pic:nvPicPr>
                  <pic:blipFill>
                    <a:blip r:embed="rId1273"/>
                    <a:stretch>
                      <a:fillRect/>
                    </a:stretch>
                  </pic:blipFill>
                  <pic:spPr>
                    <a:xfrm>
                      <a:off x="0" y="0"/>
                      <a:ext cx="6048000" cy="2286000"/>
                    </a:xfrm>
                    <a:prstGeom prst="rect">
                      <a:avLst/>
                    </a:prstGeom>
                  </pic:spPr>
                </pic:pic>
              </a:graphicData>
            </a:graphic>
          </wp:inline>
        </w:drawing>
      </w:r>
    </w:p>
    <w:p w14:paraId="1F86F2BD" w14:textId="77777777" w:rsidR="00E55491" w:rsidRDefault="00E55491" w:rsidP="00D151A3">
      <w:pPr>
        <w:rPr>
          <w:lang w:val="en-GB"/>
        </w:rPr>
      </w:pPr>
      <w:r>
        <w:rPr>
          <w:lang w:val="en-GB"/>
        </w:rPr>
        <w:t xml:space="preserve">The threshold for Queue, Latency and Outstanding IO are following the guidelines specified in </w:t>
      </w:r>
      <w:hyperlink w:anchor="_VM_KPI_(%)" w:history="1">
        <w:r w:rsidRPr="00F674F1">
          <w:rPr>
            <w:rStyle w:val="Hyperlink"/>
            <w:lang w:val="en-GB"/>
          </w:rPr>
          <w:t>VM KPI (%) metric</w:t>
        </w:r>
      </w:hyperlink>
      <w:r>
        <w:rPr>
          <w:lang w:val="en-GB"/>
        </w:rPr>
        <w:t xml:space="preserve">. </w:t>
      </w:r>
    </w:p>
    <w:p w14:paraId="171B0A5D" w14:textId="77777777" w:rsidR="00E55491" w:rsidRDefault="00E55491" w:rsidP="00D151A3">
      <w:pPr>
        <w:rPr>
          <w:lang w:val="en-GB"/>
        </w:rPr>
      </w:pPr>
      <w:r>
        <w:rPr>
          <w:lang w:val="en-GB"/>
        </w:rPr>
        <w:t xml:space="preserve">For IOPS and Throughput, I added a threshold so you can see more easily if there is any unexpected load. Change the threshold according to your environment. </w:t>
      </w:r>
    </w:p>
    <w:p w14:paraId="03695320" w14:textId="77777777" w:rsidR="00E55491" w:rsidRDefault="00E55491" w:rsidP="00D151A3">
      <w:pPr>
        <w:rPr>
          <w:lang w:val="en-GB"/>
        </w:rPr>
      </w:pPr>
      <w:r>
        <w:rPr>
          <w:lang w:val="en-GB"/>
        </w:rPr>
        <w:t xml:space="preserve">It’s important to check if there is issue with the user profile. </w:t>
      </w:r>
    </w:p>
    <w:p w14:paraId="7AA6B515" w14:textId="77777777" w:rsidR="00E55491" w:rsidRDefault="00E55491" w:rsidP="00D151A3">
      <w:pPr>
        <w:rPr>
          <w:lang w:val="en-GB"/>
        </w:rPr>
      </w:pPr>
      <w:r w:rsidRPr="00AA67F1">
        <w:rPr>
          <w:noProof/>
          <w:lang w:val="en-GB"/>
        </w:rPr>
        <w:drawing>
          <wp:inline distT="0" distB="0" distL="0" distR="0" wp14:anchorId="1C118E0B" wp14:editId="68830E44">
            <wp:extent cx="6645910" cy="994410"/>
            <wp:effectExtent l="0" t="0" r="2540" b="0"/>
            <wp:docPr id="910169581" name="Picture 910169581"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0169581" name="Picture 910169581" descr="A picture containing graphical user interface&#10;&#10;Description automatically generated"/>
                    <pic:cNvPicPr/>
                  </pic:nvPicPr>
                  <pic:blipFill>
                    <a:blip r:embed="rId1274"/>
                    <a:stretch>
                      <a:fillRect/>
                    </a:stretch>
                  </pic:blipFill>
                  <pic:spPr>
                    <a:xfrm>
                      <a:off x="0" y="0"/>
                      <a:ext cx="6645910" cy="994410"/>
                    </a:xfrm>
                    <a:prstGeom prst="rect">
                      <a:avLst/>
                    </a:prstGeom>
                  </pic:spPr>
                </pic:pic>
              </a:graphicData>
            </a:graphic>
          </wp:inline>
        </w:drawing>
      </w:r>
    </w:p>
    <w:p w14:paraId="687DEB40" w14:textId="77777777" w:rsidR="00E55491" w:rsidRDefault="00E55491" w:rsidP="00D151A3">
      <w:pPr>
        <w:rPr>
          <w:lang w:val="en-GB"/>
        </w:rPr>
      </w:pPr>
      <w:r>
        <w:rPr>
          <w:lang w:val="en-GB"/>
        </w:rPr>
        <w:t xml:space="preserve">The performance could be caused by unavailability of RDS Host. The following widget checks the various status. </w:t>
      </w:r>
    </w:p>
    <w:p w14:paraId="41B6E392" w14:textId="77777777" w:rsidR="00E55491" w:rsidRDefault="00E55491" w:rsidP="00D151A3">
      <w:pPr>
        <w:rPr>
          <w:lang w:val="en-GB"/>
        </w:rPr>
      </w:pPr>
      <w:r w:rsidRPr="00460C05">
        <w:rPr>
          <w:noProof/>
          <w:lang w:val="en-GB"/>
        </w:rPr>
        <w:drawing>
          <wp:inline distT="0" distB="0" distL="0" distR="0" wp14:anchorId="06C7317B" wp14:editId="22C1E8F1">
            <wp:extent cx="6645910" cy="984885"/>
            <wp:effectExtent l="0" t="0" r="2540" b="5715"/>
            <wp:docPr id="1085195933" name="Picture 108519593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33" name="Picture 1085195933" descr="Table&#10;&#10;Description automatically generated"/>
                    <pic:cNvPicPr/>
                  </pic:nvPicPr>
                  <pic:blipFill>
                    <a:blip r:embed="rId1275"/>
                    <a:stretch>
                      <a:fillRect/>
                    </a:stretch>
                  </pic:blipFill>
                  <pic:spPr>
                    <a:xfrm>
                      <a:off x="0" y="0"/>
                      <a:ext cx="6645910" cy="984885"/>
                    </a:xfrm>
                    <a:prstGeom prst="rect">
                      <a:avLst/>
                    </a:prstGeom>
                  </pic:spPr>
                </pic:pic>
              </a:graphicData>
            </a:graphic>
          </wp:inline>
        </w:drawing>
      </w:r>
    </w:p>
    <w:p w14:paraId="20453268" w14:textId="77777777" w:rsidR="00E55491" w:rsidRDefault="00E55491" w:rsidP="00D151A3">
      <w:pPr>
        <w:rPr>
          <w:lang w:val="en-GB"/>
        </w:rPr>
      </w:pPr>
      <w:r w:rsidRPr="006D64AD">
        <w:rPr>
          <w:lang w:val="en-GB"/>
        </w:rPr>
        <w:t>The farm key properties will also be shown for better context.</w:t>
      </w:r>
    </w:p>
    <w:p w14:paraId="19AB7582" w14:textId="62BA7573" w:rsidR="00E55491" w:rsidRPr="006D64AD" w:rsidRDefault="00E55491" w:rsidP="00D151A3">
      <w:pPr>
        <w:rPr>
          <w:lang w:val="en-GB"/>
        </w:rPr>
      </w:pPr>
      <w:r>
        <w:rPr>
          <w:lang w:val="en-GB"/>
        </w:rPr>
        <w:t>Lastly, you can check if there is imbalance among the RDS hosts. The following line chart compares their performance. If you have many imbalances, it’s worth to create a dashboard to aid in the troubleshooting</w:t>
      </w:r>
      <w:r w:rsidR="00E4254C">
        <w:rPr>
          <w:lang w:val="en-GB"/>
        </w:rPr>
        <w:t xml:space="preserve">. </w:t>
      </w:r>
    </w:p>
    <w:p w14:paraId="61C7B8C4" w14:textId="77777777" w:rsidR="00E55491" w:rsidRDefault="00E55491" w:rsidP="00D151A3">
      <w:pPr>
        <w:rPr>
          <w:lang w:val="en-GB"/>
        </w:rPr>
      </w:pPr>
    </w:p>
    <w:p w14:paraId="46082E6A" w14:textId="77777777" w:rsidR="00E55491" w:rsidRDefault="00E55491" w:rsidP="00D151A3">
      <w:pPr>
        <w:rPr>
          <w:lang w:val="en-GB"/>
        </w:rPr>
      </w:pPr>
    </w:p>
    <w:p w14:paraId="42E971F9" w14:textId="77777777" w:rsidR="00E55491" w:rsidRDefault="00E55491" w:rsidP="00D151A3">
      <w:pPr>
        <w:jc w:val="center"/>
        <w:rPr>
          <w:lang w:val="en-GB"/>
        </w:rPr>
      </w:pPr>
      <w:r w:rsidRPr="004B21AE">
        <w:rPr>
          <w:noProof/>
          <w:lang w:val="en-GB"/>
        </w:rPr>
        <w:lastRenderedPageBreak/>
        <w:drawing>
          <wp:inline distT="0" distB="0" distL="0" distR="0" wp14:anchorId="0412344E" wp14:editId="496D4424">
            <wp:extent cx="4536000" cy="2800800"/>
            <wp:effectExtent l="0" t="0" r="0" b="0"/>
            <wp:docPr id="357815388" name="Picture 357815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6"/>
                    <a:stretch>
                      <a:fillRect/>
                    </a:stretch>
                  </pic:blipFill>
                  <pic:spPr>
                    <a:xfrm>
                      <a:off x="0" y="0"/>
                      <a:ext cx="4536000" cy="2800800"/>
                    </a:xfrm>
                    <a:prstGeom prst="rect">
                      <a:avLst/>
                    </a:prstGeom>
                  </pic:spPr>
                </pic:pic>
              </a:graphicData>
            </a:graphic>
          </wp:inline>
        </w:drawing>
      </w:r>
    </w:p>
    <w:p w14:paraId="10C632A7" w14:textId="77777777" w:rsidR="00E55491" w:rsidRDefault="00E55491" w:rsidP="00D151A3">
      <w:pPr>
        <w:rPr>
          <w:lang w:val="en-GB"/>
        </w:rPr>
      </w:pPr>
      <w:r>
        <w:rPr>
          <w:lang w:val="en-GB"/>
        </w:rPr>
        <w:t>The dashboard is kept simple so it’s easy to use. Add necessary widgets to tailor to your need. For example, if you think the performance is caused by high utilization, add the utilization metrics. Do not color coded as high utilization can be healthy (productive). The following screenshot provides a sample implementation.</w:t>
      </w:r>
    </w:p>
    <w:p w14:paraId="1E91F84D" w14:textId="77777777" w:rsidR="00E55491" w:rsidRDefault="00E55491" w:rsidP="00D151A3">
      <w:pPr>
        <w:rPr>
          <w:lang w:val="en-GB"/>
        </w:rPr>
      </w:pPr>
      <w:r w:rsidRPr="002E0CFF">
        <w:rPr>
          <w:noProof/>
          <w:lang w:val="en-GB"/>
        </w:rPr>
        <w:drawing>
          <wp:inline distT="0" distB="0" distL="0" distR="0" wp14:anchorId="7FDBEE91" wp14:editId="335C3A8C">
            <wp:extent cx="6645910" cy="1144270"/>
            <wp:effectExtent l="0" t="0" r="2540" b="0"/>
            <wp:docPr id="1293284842" name="Picture 129328484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42" name="Picture 1293284842" descr="Graphical user interface&#10;&#10;Description automatically generated"/>
                    <pic:cNvPicPr/>
                  </pic:nvPicPr>
                  <pic:blipFill>
                    <a:blip r:embed="rId1277"/>
                    <a:stretch>
                      <a:fillRect/>
                    </a:stretch>
                  </pic:blipFill>
                  <pic:spPr>
                    <a:xfrm>
                      <a:off x="0" y="0"/>
                      <a:ext cx="6645910" cy="1144270"/>
                    </a:xfrm>
                    <a:prstGeom prst="rect">
                      <a:avLst/>
                    </a:prstGeom>
                  </pic:spPr>
                </pic:pic>
              </a:graphicData>
            </a:graphic>
          </wp:inline>
        </w:drawing>
      </w:r>
    </w:p>
    <w:p w14:paraId="60EF6E53" w14:textId="77777777" w:rsidR="00E55491" w:rsidRDefault="00E55491" w:rsidP="00D151A3">
      <w:pPr>
        <w:pStyle w:val="Heading5"/>
      </w:pPr>
      <w:r>
        <w:t>Host-level Analysis</w:t>
      </w:r>
    </w:p>
    <w:p w14:paraId="5C684383" w14:textId="77777777" w:rsidR="00E55491" w:rsidRDefault="00E55491" w:rsidP="00D151A3">
      <w:pPr>
        <w:rPr>
          <w:lang w:val="en-GB"/>
        </w:rPr>
      </w:pPr>
      <w:r>
        <w:rPr>
          <w:lang w:val="en-GB"/>
        </w:rPr>
        <w:t>From the farm, you can drill down to the hosts. The list of hosts in the farm is automatically shown.</w:t>
      </w:r>
    </w:p>
    <w:p w14:paraId="26F2DEDE" w14:textId="77777777" w:rsidR="00E55491" w:rsidRDefault="00E55491" w:rsidP="00D151A3">
      <w:pPr>
        <w:jc w:val="center"/>
        <w:rPr>
          <w:lang w:val="en-GB"/>
        </w:rPr>
      </w:pPr>
      <w:r w:rsidRPr="00460C05">
        <w:rPr>
          <w:noProof/>
          <w:lang w:val="en-GB"/>
        </w:rPr>
        <w:drawing>
          <wp:inline distT="0" distB="0" distL="0" distR="0" wp14:anchorId="743EC8B9" wp14:editId="27A7666E">
            <wp:extent cx="3826800" cy="1537200"/>
            <wp:effectExtent l="0" t="0" r="2540" b="6350"/>
            <wp:docPr id="918289631" name="Picture 918289631"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31" name="Picture 918289631" descr="Graphical user interface, application&#10;&#10;Description automatically generated"/>
                    <pic:cNvPicPr/>
                  </pic:nvPicPr>
                  <pic:blipFill>
                    <a:blip r:embed="rId1278"/>
                    <a:stretch>
                      <a:fillRect/>
                    </a:stretch>
                  </pic:blipFill>
                  <pic:spPr>
                    <a:xfrm>
                      <a:off x="0" y="0"/>
                      <a:ext cx="3826800" cy="1537200"/>
                    </a:xfrm>
                    <a:prstGeom prst="rect">
                      <a:avLst/>
                    </a:prstGeom>
                  </pic:spPr>
                </pic:pic>
              </a:graphicData>
            </a:graphic>
          </wp:inline>
        </w:drawing>
      </w:r>
    </w:p>
    <w:p w14:paraId="4E5CC22A" w14:textId="77777777" w:rsidR="00E55491" w:rsidRDefault="00E55491" w:rsidP="00D151A3">
      <w:pPr>
        <w:rPr>
          <w:lang w:val="en-GB"/>
        </w:rPr>
      </w:pPr>
      <w:r>
        <w:rPr>
          <w:lang w:val="en-GB"/>
        </w:rPr>
        <w:t>The usual KPI (%) is shown, both at its worst and worst 5</w:t>
      </w:r>
      <w:r w:rsidRPr="002556FF">
        <w:rPr>
          <w:vertAlign w:val="superscript"/>
          <w:lang w:val="en-GB"/>
        </w:rPr>
        <w:t>th</w:t>
      </w:r>
      <w:r>
        <w:rPr>
          <w:lang w:val="en-GB"/>
        </w:rPr>
        <w:t xml:space="preserve"> percentile during the last 24 hours. </w:t>
      </w:r>
    </w:p>
    <w:p w14:paraId="5791A517" w14:textId="77777777" w:rsidR="00E55491" w:rsidRDefault="00E55491" w:rsidP="00D151A3">
      <w:pPr>
        <w:rPr>
          <w:lang w:val="en-GB"/>
        </w:rPr>
      </w:pPr>
      <w:r>
        <w:rPr>
          <w:lang w:val="en-GB"/>
        </w:rPr>
        <w:t xml:space="preserve">As you can expect, selecting a host shows you the host performance over time. </w:t>
      </w:r>
    </w:p>
    <w:p w14:paraId="09774969" w14:textId="77777777" w:rsidR="00E55491" w:rsidRDefault="00E55491" w:rsidP="00D151A3">
      <w:pPr>
        <w:rPr>
          <w:lang w:val="en-GB"/>
        </w:rPr>
      </w:pPr>
      <w:r w:rsidRPr="00460C05">
        <w:rPr>
          <w:noProof/>
          <w:lang w:val="en-GB"/>
        </w:rPr>
        <w:lastRenderedPageBreak/>
        <w:drawing>
          <wp:inline distT="0" distB="0" distL="0" distR="0" wp14:anchorId="5C11624D" wp14:editId="21F503BC">
            <wp:extent cx="6645910" cy="1375410"/>
            <wp:effectExtent l="0" t="0" r="2540" b="0"/>
            <wp:docPr id="1859674540" name="Picture 1859674540" descr="A picture containing 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40" name="Picture 1859674540" descr="A picture containing timeline&#10;&#10;Description automatically generated"/>
                    <pic:cNvPicPr/>
                  </pic:nvPicPr>
                  <pic:blipFill>
                    <a:blip r:embed="rId1279"/>
                    <a:stretch>
                      <a:fillRect/>
                    </a:stretch>
                  </pic:blipFill>
                  <pic:spPr>
                    <a:xfrm>
                      <a:off x="0" y="0"/>
                      <a:ext cx="6645910" cy="1375410"/>
                    </a:xfrm>
                    <a:prstGeom prst="rect">
                      <a:avLst/>
                    </a:prstGeom>
                  </pic:spPr>
                </pic:pic>
              </a:graphicData>
            </a:graphic>
          </wp:inline>
        </w:drawing>
      </w:r>
    </w:p>
    <w:p w14:paraId="404803C2" w14:textId="77777777" w:rsidR="00E55491" w:rsidRDefault="00E55491" w:rsidP="00D151A3">
      <w:pPr>
        <w:rPr>
          <w:lang w:val="en-GB"/>
        </w:rPr>
      </w:pPr>
      <w:r>
        <w:rPr>
          <w:lang w:val="en-GB"/>
        </w:rPr>
        <w:t>You get the usual raw detail metrics associated with the host. I’m showing CPU as an example below.</w:t>
      </w:r>
    </w:p>
    <w:p w14:paraId="25C4EF50" w14:textId="77777777" w:rsidR="00E55491" w:rsidRDefault="00E55491" w:rsidP="00D151A3">
      <w:pPr>
        <w:rPr>
          <w:lang w:val="en-GB"/>
        </w:rPr>
      </w:pPr>
      <w:r w:rsidRPr="00460C05">
        <w:rPr>
          <w:noProof/>
          <w:lang w:val="en-GB"/>
        </w:rPr>
        <w:drawing>
          <wp:inline distT="0" distB="0" distL="0" distR="0" wp14:anchorId="4F9CFC04" wp14:editId="547D128C">
            <wp:extent cx="6645910" cy="1027430"/>
            <wp:effectExtent l="0" t="0" r="2540" b="1270"/>
            <wp:docPr id="918289655" name="Picture 91828965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55" name="Picture 918289655" descr="A picture containing diagram&#10;&#10;Description automatically generated"/>
                    <pic:cNvPicPr/>
                  </pic:nvPicPr>
                  <pic:blipFill>
                    <a:blip r:embed="rId1280"/>
                    <a:stretch>
                      <a:fillRect/>
                    </a:stretch>
                  </pic:blipFill>
                  <pic:spPr>
                    <a:xfrm>
                      <a:off x="0" y="0"/>
                      <a:ext cx="6645910" cy="1027430"/>
                    </a:xfrm>
                    <a:prstGeom prst="rect">
                      <a:avLst/>
                    </a:prstGeom>
                  </pic:spPr>
                </pic:pic>
              </a:graphicData>
            </a:graphic>
          </wp:inline>
        </w:drawing>
      </w:r>
    </w:p>
    <w:p w14:paraId="0F1D8EA2" w14:textId="77777777" w:rsidR="00E55491" w:rsidRDefault="00E55491" w:rsidP="00D151A3">
      <w:pPr>
        <w:rPr>
          <w:lang w:val="en-GB"/>
        </w:rPr>
      </w:pPr>
      <w:r>
        <w:rPr>
          <w:lang w:val="en-GB"/>
        </w:rPr>
        <w:t xml:space="preserve">As RDS Host is just a VM, you should use the same metric to monitor it. </w:t>
      </w:r>
    </w:p>
    <w:p w14:paraId="7BF583A9" w14:textId="77777777" w:rsidR="00E55491" w:rsidRDefault="00E55491" w:rsidP="00D151A3">
      <w:pPr>
        <w:rPr>
          <w:lang w:val="en-GB"/>
        </w:rPr>
      </w:pPr>
      <w:r>
        <w:rPr>
          <w:lang w:val="en-GB"/>
        </w:rPr>
        <w:t>As context matters, the dashboard provides relevant configuration for both the RDS Host object and the underlying vSphere VM object.</w:t>
      </w:r>
    </w:p>
    <w:p w14:paraId="14C8EE0C" w14:textId="77777777" w:rsidR="00E55491" w:rsidRDefault="00E55491" w:rsidP="00D151A3">
      <w:pPr>
        <w:jc w:val="center"/>
        <w:rPr>
          <w:lang w:val="en-GB"/>
        </w:rPr>
      </w:pPr>
      <w:r w:rsidRPr="00B94F79">
        <w:rPr>
          <w:noProof/>
          <w:lang w:val="en-GB"/>
        </w:rPr>
        <w:drawing>
          <wp:inline distT="0" distB="0" distL="0" distR="0" wp14:anchorId="5D3D70AE" wp14:editId="1918ABAA">
            <wp:extent cx="6255071" cy="1397072"/>
            <wp:effectExtent l="0" t="0" r="0" b="0"/>
            <wp:docPr id="1085195932" name="Picture 1085195932"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195932" name="Picture 1085195932" descr="Graphical user interface, application&#10;&#10;Description automatically generated"/>
                    <pic:cNvPicPr/>
                  </pic:nvPicPr>
                  <pic:blipFill>
                    <a:blip r:embed="rId1281"/>
                    <a:stretch>
                      <a:fillRect/>
                    </a:stretch>
                  </pic:blipFill>
                  <pic:spPr>
                    <a:xfrm>
                      <a:off x="0" y="0"/>
                      <a:ext cx="6255071" cy="1397072"/>
                    </a:xfrm>
                    <a:prstGeom prst="rect">
                      <a:avLst/>
                    </a:prstGeom>
                  </pic:spPr>
                </pic:pic>
              </a:graphicData>
            </a:graphic>
          </wp:inline>
        </w:drawing>
      </w:r>
    </w:p>
    <w:p w14:paraId="7B60FB60" w14:textId="77777777" w:rsidR="00E55491" w:rsidRDefault="00E55491" w:rsidP="00D151A3">
      <w:pPr>
        <w:pStyle w:val="Heading5"/>
      </w:pPr>
      <w:r>
        <w:t>Session-level Analysis</w:t>
      </w:r>
    </w:p>
    <w:p w14:paraId="52989AD8" w14:textId="77777777" w:rsidR="00E55491" w:rsidRDefault="00E55491" w:rsidP="00D151A3">
      <w:pPr>
        <w:rPr>
          <w:lang w:val="en-GB"/>
        </w:rPr>
      </w:pPr>
      <w:r>
        <w:rPr>
          <w:lang w:val="en-GB"/>
        </w:rPr>
        <w:t xml:space="preserve">From the farm or host, you can drill down to the sessions. </w:t>
      </w:r>
    </w:p>
    <w:p w14:paraId="43792BCE" w14:textId="77777777" w:rsidR="00E55491" w:rsidRDefault="00E55491" w:rsidP="00D151A3">
      <w:pPr>
        <w:jc w:val="center"/>
        <w:rPr>
          <w:lang w:val="en-GB"/>
        </w:rPr>
      </w:pPr>
      <w:r w:rsidRPr="00D12413">
        <w:rPr>
          <w:noProof/>
          <w:lang w:val="en-GB"/>
        </w:rPr>
        <w:drawing>
          <wp:inline distT="0" distB="0" distL="0" distR="0" wp14:anchorId="627E542D" wp14:editId="23701DC3">
            <wp:extent cx="5950800" cy="943200"/>
            <wp:effectExtent l="0" t="0" r="0" b="9525"/>
            <wp:docPr id="357815396" name="Picture 357815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2"/>
                    <a:stretch>
                      <a:fillRect/>
                    </a:stretch>
                  </pic:blipFill>
                  <pic:spPr>
                    <a:xfrm>
                      <a:off x="0" y="0"/>
                      <a:ext cx="5950800" cy="943200"/>
                    </a:xfrm>
                    <a:prstGeom prst="rect">
                      <a:avLst/>
                    </a:prstGeom>
                  </pic:spPr>
                </pic:pic>
              </a:graphicData>
            </a:graphic>
          </wp:inline>
        </w:drawing>
      </w:r>
    </w:p>
    <w:p w14:paraId="1A9267CA" w14:textId="77777777" w:rsidR="00E55491" w:rsidRDefault="00E55491" w:rsidP="00D151A3">
      <w:pPr>
        <w:rPr>
          <w:lang w:val="en-GB"/>
        </w:rPr>
      </w:pPr>
      <w:r>
        <w:rPr>
          <w:lang w:val="en-GB"/>
        </w:rPr>
        <w:t xml:space="preserve">As you can expect, selecting a session shows you the host performance over time. You also get the usual raw detail metrics associated with the session. As covered earlier </w:t>
      </w:r>
      <w:hyperlink w:anchor="_RDS_Session" w:history="1">
        <w:r w:rsidRPr="002C7F14">
          <w:rPr>
            <w:rStyle w:val="Hyperlink"/>
            <w:lang w:val="en-GB"/>
          </w:rPr>
          <w:t>here</w:t>
        </w:r>
      </w:hyperlink>
      <w:r>
        <w:rPr>
          <w:lang w:val="en-GB"/>
        </w:rPr>
        <w:t xml:space="preserve">, there are limited visibility into an RDS session. </w:t>
      </w:r>
    </w:p>
    <w:p w14:paraId="7DA45DB6" w14:textId="77777777" w:rsidR="00E55491" w:rsidRDefault="00E55491" w:rsidP="00D151A3">
      <w:pPr>
        <w:rPr>
          <w:lang w:val="en-GB"/>
        </w:rPr>
      </w:pPr>
      <w:r>
        <w:rPr>
          <w:lang w:val="en-GB"/>
        </w:rPr>
        <w:t xml:space="preserve">The context surrounding a session is important, so the dashboard provides the following information. </w:t>
      </w:r>
    </w:p>
    <w:p w14:paraId="25AC0B33" w14:textId="77777777" w:rsidR="00E55491" w:rsidRDefault="00E55491" w:rsidP="00D151A3">
      <w:pPr>
        <w:jc w:val="center"/>
        <w:rPr>
          <w:lang w:val="en-GB"/>
        </w:rPr>
      </w:pPr>
      <w:r w:rsidRPr="004F7750">
        <w:rPr>
          <w:noProof/>
          <w:lang w:val="en-GB"/>
        </w:rPr>
        <w:lastRenderedPageBreak/>
        <w:drawing>
          <wp:inline distT="0" distB="0" distL="0" distR="0" wp14:anchorId="1F328C65" wp14:editId="7140CE43">
            <wp:extent cx="3027600" cy="3031200"/>
            <wp:effectExtent l="0" t="0" r="1905" b="0"/>
            <wp:docPr id="534447489" name="Picture 53444748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489" name="Picture 534447489" descr="Table&#10;&#10;Description automatically generated"/>
                    <pic:cNvPicPr/>
                  </pic:nvPicPr>
                  <pic:blipFill>
                    <a:blip r:embed="rId1283"/>
                    <a:stretch>
                      <a:fillRect/>
                    </a:stretch>
                  </pic:blipFill>
                  <pic:spPr>
                    <a:xfrm>
                      <a:off x="0" y="0"/>
                      <a:ext cx="3027600" cy="3031200"/>
                    </a:xfrm>
                    <a:prstGeom prst="rect">
                      <a:avLst/>
                    </a:prstGeom>
                  </pic:spPr>
                </pic:pic>
              </a:graphicData>
            </a:graphic>
          </wp:inline>
        </w:drawing>
      </w:r>
    </w:p>
    <w:p w14:paraId="54367593" w14:textId="77777777" w:rsidR="00E55491" w:rsidRDefault="00E55491" w:rsidP="00D151A3">
      <w:pPr>
        <w:pStyle w:val="Heading4"/>
      </w:pPr>
      <w:r>
        <w:t>VDI Performance Dashboard</w:t>
      </w:r>
    </w:p>
    <w:p w14:paraId="48495E45" w14:textId="77777777" w:rsidR="00E55491" w:rsidRDefault="00E55491" w:rsidP="00D151A3">
      <w:pPr>
        <w:rPr>
          <w:lang w:val="en-GB"/>
        </w:rPr>
      </w:pPr>
      <w:r>
        <w:rPr>
          <w:lang w:val="en-GB"/>
        </w:rPr>
        <w:t>The VDI dashboard has the same design principle with RDS. The main difference lies in the metrics.</w:t>
      </w:r>
    </w:p>
    <w:p w14:paraId="41B25D0D" w14:textId="77777777" w:rsidR="00E55491" w:rsidRDefault="00E55491" w:rsidP="00D151A3">
      <w:pPr>
        <w:pStyle w:val="Heading5"/>
      </w:pPr>
      <w:r>
        <w:t>Widget Interactions</w:t>
      </w:r>
    </w:p>
    <w:p w14:paraId="72A88958" w14:textId="77777777" w:rsidR="00E55491" w:rsidRPr="00D60D4C" w:rsidRDefault="00E55491" w:rsidP="00D151A3">
      <w:pPr>
        <w:rPr>
          <w:lang w:val="en-GB"/>
        </w:rPr>
      </w:pPr>
      <w:r>
        <w:rPr>
          <w:lang w:val="en-GB"/>
        </w:rPr>
        <w:t>As you can expect, you have the same layout and interaction. VDI being a simple structure, only has pool and VM.</w:t>
      </w:r>
    </w:p>
    <w:p w14:paraId="46A9FC10" w14:textId="77777777" w:rsidR="00E55491" w:rsidRDefault="00E55491" w:rsidP="00D151A3">
      <w:pPr>
        <w:jc w:val="center"/>
        <w:rPr>
          <w:lang w:val="en-GB"/>
        </w:rPr>
      </w:pPr>
      <w:r w:rsidRPr="00D316D2">
        <w:rPr>
          <w:noProof/>
          <w:lang w:val="en-GB"/>
        </w:rPr>
        <w:drawing>
          <wp:inline distT="0" distB="0" distL="0" distR="0" wp14:anchorId="5E35DCCB" wp14:editId="53644CB5">
            <wp:extent cx="4849200" cy="2019600"/>
            <wp:effectExtent l="0" t="0" r="8890" b="0"/>
            <wp:docPr id="357815407" name="Picture 357815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4"/>
                    <a:stretch>
                      <a:fillRect/>
                    </a:stretch>
                  </pic:blipFill>
                  <pic:spPr>
                    <a:xfrm>
                      <a:off x="0" y="0"/>
                      <a:ext cx="4849200" cy="2019600"/>
                    </a:xfrm>
                    <a:prstGeom prst="rect">
                      <a:avLst/>
                    </a:prstGeom>
                  </pic:spPr>
                </pic:pic>
              </a:graphicData>
            </a:graphic>
          </wp:inline>
        </w:drawing>
      </w:r>
    </w:p>
    <w:p w14:paraId="0237DED6" w14:textId="77777777" w:rsidR="00E55491" w:rsidRDefault="00E55491" w:rsidP="00D151A3">
      <w:pPr>
        <w:rPr>
          <w:lang w:val="en-GB"/>
        </w:rPr>
      </w:pPr>
      <w:r>
        <w:rPr>
          <w:lang w:val="en-GB"/>
        </w:rPr>
        <w:t>From one of the pools, you can drill down to the session. From the session, you can drill down to the vSphere VM where the session is running.</w:t>
      </w:r>
    </w:p>
    <w:p w14:paraId="346C763C" w14:textId="77777777" w:rsidR="00E55491" w:rsidRDefault="00E55491" w:rsidP="00D151A3">
      <w:pPr>
        <w:jc w:val="center"/>
        <w:rPr>
          <w:lang w:val="en-GB"/>
        </w:rPr>
      </w:pPr>
      <w:r w:rsidRPr="00A4180B">
        <w:rPr>
          <w:noProof/>
          <w:lang w:val="en-GB"/>
        </w:rPr>
        <w:lastRenderedPageBreak/>
        <w:drawing>
          <wp:inline distT="0" distB="0" distL="0" distR="0" wp14:anchorId="49DFAA59" wp14:editId="2496F612">
            <wp:extent cx="4950000" cy="2066400"/>
            <wp:effectExtent l="0" t="0" r="3175" b="0"/>
            <wp:docPr id="357815408" name="Picture 357815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5"/>
                    <a:stretch>
                      <a:fillRect/>
                    </a:stretch>
                  </pic:blipFill>
                  <pic:spPr>
                    <a:xfrm>
                      <a:off x="0" y="0"/>
                      <a:ext cx="4950000" cy="2066400"/>
                    </a:xfrm>
                    <a:prstGeom prst="rect">
                      <a:avLst/>
                    </a:prstGeom>
                  </pic:spPr>
                </pic:pic>
              </a:graphicData>
            </a:graphic>
          </wp:inline>
        </w:drawing>
      </w:r>
    </w:p>
    <w:p w14:paraId="4000A202" w14:textId="77777777" w:rsidR="00E55491" w:rsidRDefault="00E55491" w:rsidP="00D151A3">
      <w:pPr>
        <w:pStyle w:val="Heading5"/>
      </w:pPr>
      <w:r>
        <w:t>Summary Section</w:t>
      </w:r>
    </w:p>
    <w:p w14:paraId="7353F8C5" w14:textId="77777777" w:rsidR="00E55491" w:rsidRDefault="00E55491" w:rsidP="00D151A3">
      <w:pPr>
        <w:rPr>
          <w:lang w:val="en-GB"/>
        </w:rPr>
      </w:pPr>
      <w:r>
        <w:rPr>
          <w:lang w:val="en-GB"/>
        </w:rPr>
        <w:t>Just like the RDS Performance dashboard, there are 4 distribution charts.</w:t>
      </w:r>
      <w:r w:rsidRPr="006D08CF">
        <w:rPr>
          <w:lang w:val="en-GB"/>
        </w:rPr>
        <w:t xml:space="preserve"> </w:t>
      </w:r>
      <w:r>
        <w:rPr>
          <w:lang w:val="en-GB"/>
        </w:rPr>
        <w:t>To avoid duplication, please read the RDS Performance dashboard for the documentation.</w:t>
      </w:r>
    </w:p>
    <w:p w14:paraId="777B99CB" w14:textId="77777777" w:rsidR="00E55491" w:rsidRDefault="00E55491" w:rsidP="00D151A3">
      <w:pPr>
        <w:rPr>
          <w:lang w:val="en-GB"/>
        </w:rPr>
      </w:pPr>
      <w:r>
        <w:rPr>
          <w:lang w:val="en-GB"/>
        </w:rPr>
        <w:t xml:space="preserve">Unlike in the RDS Performance dashboard, I’m showing all 4 charts. As you can see, the color and consistent distribution of the bar buckets make it easier to see overall performance at a glance. </w:t>
      </w:r>
    </w:p>
    <w:p w14:paraId="5BC8073E" w14:textId="77777777" w:rsidR="00E55491" w:rsidRDefault="00E55491" w:rsidP="00D151A3">
      <w:pPr>
        <w:jc w:val="center"/>
        <w:rPr>
          <w:lang w:val="en-GB"/>
        </w:rPr>
      </w:pPr>
      <w:r w:rsidRPr="00261AB5">
        <w:rPr>
          <w:noProof/>
          <w:lang w:val="en-GB"/>
        </w:rPr>
        <w:drawing>
          <wp:inline distT="0" distB="0" distL="0" distR="0" wp14:anchorId="4E6ACCEE" wp14:editId="7244AFBC">
            <wp:extent cx="6645910" cy="1112520"/>
            <wp:effectExtent l="0" t="0" r="2540" b="0"/>
            <wp:docPr id="1859674549" name="Picture 185967454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9674549" name="Picture 1859674549" descr="Chart&#10;&#10;Description automatically generated"/>
                    <pic:cNvPicPr/>
                  </pic:nvPicPr>
                  <pic:blipFill>
                    <a:blip r:embed="rId1286"/>
                    <a:stretch>
                      <a:fillRect/>
                    </a:stretch>
                  </pic:blipFill>
                  <pic:spPr>
                    <a:xfrm>
                      <a:off x="0" y="0"/>
                      <a:ext cx="6645910" cy="1112520"/>
                    </a:xfrm>
                    <a:prstGeom prst="rect">
                      <a:avLst/>
                    </a:prstGeom>
                  </pic:spPr>
                </pic:pic>
              </a:graphicData>
            </a:graphic>
          </wp:inline>
        </w:drawing>
      </w:r>
    </w:p>
    <w:p w14:paraId="23CAB12A" w14:textId="77777777" w:rsidR="00E55491" w:rsidRDefault="00E55491" w:rsidP="00D151A3">
      <w:pPr>
        <w:rPr>
          <w:lang w:val="en-GB"/>
        </w:rPr>
      </w:pPr>
    </w:p>
    <w:p w14:paraId="31FB515B" w14:textId="77777777" w:rsidR="00E55491" w:rsidRDefault="00E55491" w:rsidP="00D151A3">
      <w:pPr>
        <w:pStyle w:val="Heading5"/>
      </w:pPr>
      <w:r>
        <w:t>Pool-level Analysis</w:t>
      </w:r>
    </w:p>
    <w:p w14:paraId="116CD346" w14:textId="77777777" w:rsidR="00E55491" w:rsidRDefault="00E55491" w:rsidP="00D151A3">
      <w:pPr>
        <w:rPr>
          <w:lang w:val="en-GB"/>
        </w:rPr>
      </w:pPr>
      <w:r>
        <w:rPr>
          <w:lang w:val="en-GB"/>
        </w:rPr>
        <w:t>Just like the RDS Performance dashboard, it begins with a table, listing of VDI Pools in the environment.</w:t>
      </w:r>
    </w:p>
    <w:p w14:paraId="16F1D549" w14:textId="77777777" w:rsidR="00E55491" w:rsidRDefault="00E55491" w:rsidP="00D151A3">
      <w:pPr>
        <w:rPr>
          <w:lang w:val="en-GB"/>
        </w:rPr>
      </w:pPr>
      <w:r>
        <w:rPr>
          <w:lang w:val="en-GB"/>
        </w:rPr>
        <w:t>Select of one of the pool. Both the network and datacenter metrics scoreboards will be automatically shown. They show the same set of metrics. Here are the metrics for DC:</w:t>
      </w:r>
    </w:p>
    <w:p w14:paraId="5690157A" w14:textId="77777777" w:rsidR="00E55491" w:rsidRDefault="00E55491" w:rsidP="00D151A3">
      <w:pPr>
        <w:rPr>
          <w:lang w:val="en-GB"/>
        </w:rPr>
      </w:pPr>
      <w:r w:rsidRPr="00BB7895">
        <w:rPr>
          <w:noProof/>
          <w:lang w:val="en-GB"/>
        </w:rPr>
        <w:drawing>
          <wp:inline distT="0" distB="0" distL="0" distR="0" wp14:anchorId="5016A101" wp14:editId="0F2B77D0">
            <wp:extent cx="6645910" cy="892175"/>
            <wp:effectExtent l="0" t="0" r="2540" b="3175"/>
            <wp:docPr id="918289640" name="Picture 918289640" descr="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40" name="Picture 918289640" descr="Chart&#10;&#10;Description automatically generated with low confidence"/>
                    <pic:cNvPicPr/>
                  </pic:nvPicPr>
                  <pic:blipFill>
                    <a:blip r:embed="rId1287"/>
                    <a:stretch>
                      <a:fillRect/>
                    </a:stretch>
                  </pic:blipFill>
                  <pic:spPr>
                    <a:xfrm>
                      <a:off x="0" y="0"/>
                      <a:ext cx="6645910" cy="892175"/>
                    </a:xfrm>
                    <a:prstGeom prst="rect">
                      <a:avLst/>
                    </a:prstGeom>
                  </pic:spPr>
                </pic:pic>
              </a:graphicData>
            </a:graphic>
          </wp:inline>
        </w:drawing>
      </w:r>
    </w:p>
    <w:p w14:paraId="7094DFDB" w14:textId="77777777" w:rsidR="00E55491" w:rsidRDefault="00E55491" w:rsidP="00D151A3">
      <w:pPr>
        <w:rPr>
          <w:lang w:val="en-GB"/>
        </w:rPr>
      </w:pPr>
      <w:r>
        <w:rPr>
          <w:lang w:val="en-GB"/>
        </w:rPr>
        <w:t>Why are they shown in that order?</w:t>
      </w:r>
    </w:p>
    <w:p w14:paraId="1A5CBC0A" w14:textId="77777777" w:rsidR="00E55491" w:rsidRDefault="00E55491" w:rsidP="00D151A3">
      <w:pPr>
        <w:rPr>
          <w:lang w:val="en-GB"/>
        </w:rPr>
      </w:pPr>
      <w:r>
        <w:rPr>
          <w:lang w:val="en-GB"/>
        </w:rPr>
        <w:t>The above order is from the most sensitive (leading indicator) to the least sensitive (lagging indicator).</w:t>
      </w:r>
    </w:p>
    <w:p w14:paraId="72A67943" w14:textId="77777777" w:rsidR="00E55491" w:rsidRDefault="00E55491" w:rsidP="00D151A3">
      <w:pPr>
        <w:pStyle w:val="Bullet"/>
        <w:rPr>
          <w:lang w:val="en-GB"/>
        </w:rPr>
      </w:pPr>
      <w:r>
        <w:rPr>
          <w:lang w:val="en-GB"/>
        </w:rPr>
        <w:lastRenderedPageBreak/>
        <w:t>Worst takes the worst value of any session. So if you have many sessions, it just take 1 bad session. So long there is 1 session getting bad data, this will show bad data. Your next question is logically, how many are affected?</w:t>
      </w:r>
    </w:p>
    <w:p w14:paraId="7786F0EE" w14:textId="77777777" w:rsidR="00E55491" w:rsidRDefault="00E55491" w:rsidP="00D151A3">
      <w:pPr>
        <w:pStyle w:val="Bullet"/>
        <w:rPr>
          <w:lang w:val="en-GB"/>
        </w:rPr>
      </w:pPr>
      <w:r>
        <w:rPr>
          <w:lang w:val="en-GB"/>
        </w:rPr>
        <w:t>95</w:t>
      </w:r>
      <w:r w:rsidRPr="0021348F">
        <w:rPr>
          <w:vertAlign w:val="superscript"/>
          <w:lang w:val="en-GB"/>
        </w:rPr>
        <w:t>th</w:t>
      </w:r>
      <w:r>
        <w:rPr>
          <w:lang w:val="en-GB"/>
        </w:rPr>
        <w:t xml:space="preserve"> percentile sorts all the sessions, then take the 95</w:t>
      </w:r>
      <w:r w:rsidRPr="0021348F">
        <w:rPr>
          <w:vertAlign w:val="superscript"/>
          <w:lang w:val="en-GB"/>
        </w:rPr>
        <w:t>th</w:t>
      </w:r>
      <w:r>
        <w:rPr>
          <w:lang w:val="en-GB"/>
        </w:rPr>
        <w:t xml:space="preserve"> percentile.</w:t>
      </w:r>
    </w:p>
    <w:p w14:paraId="0ED5C264" w14:textId="77777777" w:rsidR="00E55491" w:rsidRDefault="00E55491" w:rsidP="00D151A3">
      <w:pPr>
        <w:pStyle w:val="Bullet"/>
        <w:rPr>
          <w:lang w:val="en-GB"/>
        </w:rPr>
      </w:pPr>
      <w:r>
        <w:rPr>
          <w:lang w:val="en-GB"/>
        </w:rPr>
        <w:t xml:space="preserve">Average is a lagging indicator. By the time this number is bad, around half the sessions are probably not getting good experience. </w:t>
      </w:r>
    </w:p>
    <w:p w14:paraId="398F2768" w14:textId="7315EFA0" w:rsidR="00E55491" w:rsidRDefault="00E55491" w:rsidP="00D151A3">
      <w:pPr>
        <w:pStyle w:val="Bullet"/>
        <w:rPr>
          <w:lang w:val="en-GB"/>
        </w:rPr>
      </w:pPr>
      <w:r>
        <w:rPr>
          <w:lang w:val="en-GB"/>
        </w:rPr>
        <w:t xml:space="preserve">You can have many sessions with </w:t>
      </w:r>
      <w:r w:rsidR="00CF7D2C" w:rsidRPr="00CF7D2C">
        <w:rPr>
          <w:color w:val="FFFF00"/>
          <w:lang w:val="en-GB"/>
        </w:rPr>
        <w:t>yellow</w:t>
      </w:r>
      <w:r>
        <w:rPr>
          <w:lang w:val="en-GB"/>
        </w:rPr>
        <w:t xml:space="preserve"> or </w:t>
      </w:r>
      <w:r w:rsidR="00CF7D2C" w:rsidRPr="00CF7D2C">
        <w:rPr>
          <w:color w:val="ED7D31" w:themeColor="accent2"/>
          <w:lang w:val="en-GB"/>
        </w:rPr>
        <w:t>orange</w:t>
      </w:r>
      <w:r>
        <w:rPr>
          <w:lang w:val="en-GB"/>
        </w:rPr>
        <w:t xml:space="preserve">, but none of them should drop to </w:t>
      </w:r>
      <w:r w:rsidR="00CF7D2C" w:rsidRPr="00CF7D2C">
        <w:rPr>
          <w:color w:val="FF0000"/>
          <w:lang w:val="en-GB"/>
        </w:rPr>
        <w:t>red</w:t>
      </w:r>
      <w:r>
        <w:rPr>
          <w:lang w:val="en-GB"/>
        </w:rPr>
        <w:t>. Expect this to be 0.</w:t>
      </w:r>
    </w:p>
    <w:p w14:paraId="43E799A5" w14:textId="77777777" w:rsidR="00E55491" w:rsidRDefault="00E55491" w:rsidP="00D151A3">
      <w:pPr>
        <w:rPr>
          <w:lang w:val="en-GB"/>
        </w:rPr>
      </w:pPr>
      <w:r>
        <w:rPr>
          <w:lang w:val="en-GB"/>
        </w:rPr>
        <w:t>This is the threshold I use:</w:t>
      </w:r>
    </w:p>
    <w:p w14:paraId="26FE391E" w14:textId="77777777" w:rsidR="00E55491" w:rsidRDefault="00E55491" w:rsidP="00D151A3">
      <w:pPr>
        <w:jc w:val="center"/>
        <w:rPr>
          <w:lang w:val="en-GB"/>
        </w:rPr>
      </w:pPr>
      <w:r w:rsidRPr="00261AB5">
        <w:rPr>
          <w:noProof/>
          <w:lang w:val="en-GB"/>
        </w:rPr>
        <w:drawing>
          <wp:inline distT="0" distB="0" distL="0" distR="0" wp14:anchorId="11A00EE1" wp14:editId="44677693">
            <wp:extent cx="6156000" cy="1368000"/>
            <wp:effectExtent l="0" t="0" r="0" b="3810"/>
            <wp:docPr id="918289618" name="Picture 91828961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18" name="Picture 918289618" descr="Table&#10;&#10;Description automatically generated"/>
                    <pic:cNvPicPr/>
                  </pic:nvPicPr>
                  <pic:blipFill>
                    <a:blip r:embed="rId1288"/>
                    <a:stretch>
                      <a:fillRect/>
                    </a:stretch>
                  </pic:blipFill>
                  <pic:spPr>
                    <a:xfrm>
                      <a:off x="0" y="0"/>
                      <a:ext cx="6156000" cy="1368000"/>
                    </a:xfrm>
                    <a:prstGeom prst="rect">
                      <a:avLst/>
                    </a:prstGeom>
                  </pic:spPr>
                </pic:pic>
              </a:graphicData>
            </a:graphic>
          </wp:inline>
        </w:drawing>
      </w:r>
    </w:p>
    <w:p w14:paraId="01E1F624" w14:textId="77777777" w:rsidR="00E55491" w:rsidRDefault="00E55491" w:rsidP="00D151A3">
      <w:pPr>
        <w:rPr>
          <w:lang w:val="en-GB"/>
        </w:rPr>
      </w:pPr>
      <w:r w:rsidRPr="004F7750">
        <w:rPr>
          <w:noProof/>
          <w:lang w:val="en-GB"/>
        </w:rPr>
        <w:drawing>
          <wp:inline distT="0" distB="0" distL="0" distR="0" wp14:anchorId="503CBF04" wp14:editId="4578DF95">
            <wp:extent cx="6645910" cy="1014095"/>
            <wp:effectExtent l="0" t="0" r="2540" b="0"/>
            <wp:docPr id="534447525" name="Picture 534447525"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5" name="Picture 534447525" descr="Chart, treemap chart&#10;&#10;Description automatically generated"/>
                    <pic:cNvPicPr/>
                  </pic:nvPicPr>
                  <pic:blipFill>
                    <a:blip r:embed="rId1289"/>
                    <a:stretch>
                      <a:fillRect/>
                    </a:stretch>
                  </pic:blipFill>
                  <pic:spPr>
                    <a:xfrm>
                      <a:off x="0" y="0"/>
                      <a:ext cx="6645910" cy="1014095"/>
                    </a:xfrm>
                    <a:prstGeom prst="rect">
                      <a:avLst/>
                    </a:prstGeom>
                  </pic:spPr>
                </pic:pic>
              </a:graphicData>
            </a:graphic>
          </wp:inline>
        </w:drawing>
      </w:r>
    </w:p>
    <w:p w14:paraId="54AC6612" w14:textId="77777777" w:rsidR="00E55491" w:rsidRDefault="00E55491" w:rsidP="00D151A3">
      <w:pPr>
        <w:rPr>
          <w:lang w:val="en-GB"/>
        </w:rPr>
      </w:pPr>
      <w:r w:rsidRPr="004F7750">
        <w:rPr>
          <w:noProof/>
          <w:lang w:val="en-GB"/>
        </w:rPr>
        <w:drawing>
          <wp:inline distT="0" distB="0" distL="0" distR="0" wp14:anchorId="49263CE2" wp14:editId="5AFA7734">
            <wp:extent cx="6645910" cy="1025525"/>
            <wp:effectExtent l="0" t="0" r="2540" b="3175"/>
            <wp:docPr id="534447527" name="Picture 534447527"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7" name="Picture 534447527" descr="A picture containing diagram&#10;&#10;Description automatically generated"/>
                    <pic:cNvPicPr/>
                  </pic:nvPicPr>
                  <pic:blipFill>
                    <a:blip r:embed="rId1290"/>
                    <a:stretch>
                      <a:fillRect/>
                    </a:stretch>
                  </pic:blipFill>
                  <pic:spPr>
                    <a:xfrm>
                      <a:off x="0" y="0"/>
                      <a:ext cx="6645910" cy="1025525"/>
                    </a:xfrm>
                    <a:prstGeom prst="rect">
                      <a:avLst/>
                    </a:prstGeom>
                  </pic:spPr>
                </pic:pic>
              </a:graphicData>
            </a:graphic>
          </wp:inline>
        </w:drawing>
      </w:r>
    </w:p>
    <w:p w14:paraId="74D493B5" w14:textId="77777777" w:rsidR="00E55491" w:rsidRDefault="00E55491" w:rsidP="00D151A3">
      <w:pPr>
        <w:rPr>
          <w:lang w:val="en-GB"/>
        </w:rPr>
      </w:pPr>
      <w:r w:rsidRPr="004F7750">
        <w:rPr>
          <w:noProof/>
          <w:lang w:val="en-GB"/>
        </w:rPr>
        <w:drawing>
          <wp:inline distT="0" distB="0" distL="0" distR="0" wp14:anchorId="55BBDC35" wp14:editId="22FBC0B0">
            <wp:extent cx="6645910" cy="1052195"/>
            <wp:effectExtent l="0" t="0" r="2540" b="0"/>
            <wp:docPr id="534447528" name="Picture 534447528"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28" name="Picture 534447528" descr="A picture containing diagram&#10;&#10;Description automatically generated"/>
                    <pic:cNvPicPr/>
                  </pic:nvPicPr>
                  <pic:blipFill>
                    <a:blip r:embed="rId1291"/>
                    <a:stretch>
                      <a:fillRect/>
                    </a:stretch>
                  </pic:blipFill>
                  <pic:spPr>
                    <a:xfrm>
                      <a:off x="0" y="0"/>
                      <a:ext cx="6645910" cy="1052195"/>
                    </a:xfrm>
                    <a:prstGeom prst="rect">
                      <a:avLst/>
                    </a:prstGeom>
                  </pic:spPr>
                </pic:pic>
              </a:graphicData>
            </a:graphic>
          </wp:inline>
        </w:drawing>
      </w:r>
    </w:p>
    <w:p w14:paraId="1A338F6D" w14:textId="77777777" w:rsidR="00E55491" w:rsidRDefault="00E55491" w:rsidP="00D151A3">
      <w:pPr>
        <w:rPr>
          <w:lang w:val="en-GB"/>
        </w:rPr>
      </w:pPr>
      <w:r w:rsidRPr="004F7750">
        <w:rPr>
          <w:noProof/>
          <w:lang w:val="en-GB"/>
        </w:rPr>
        <w:drawing>
          <wp:inline distT="0" distB="0" distL="0" distR="0" wp14:anchorId="2F1BD4D7" wp14:editId="59C0F8B9">
            <wp:extent cx="6645910" cy="1023620"/>
            <wp:effectExtent l="0" t="0" r="2540" b="5080"/>
            <wp:docPr id="534447530" name="Picture 53444753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30" name="Picture 534447530" descr="Table&#10;&#10;Description automatically generated"/>
                    <pic:cNvPicPr/>
                  </pic:nvPicPr>
                  <pic:blipFill>
                    <a:blip r:embed="rId1292"/>
                    <a:stretch>
                      <a:fillRect/>
                    </a:stretch>
                  </pic:blipFill>
                  <pic:spPr>
                    <a:xfrm>
                      <a:off x="0" y="0"/>
                      <a:ext cx="6645910" cy="1023620"/>
                    </a:xfrm>
                    <a:prstGeom prst="rect">
                      <a:avLst/>
                    </a:prstGeom>
                  </pic:spPr>
                </pic:pic>
              </a:graphicData>
            </a:graphic>
          </wp:inline>
        </w:drawing>
      </w:r>
    </w:p>
    <w:p w14:paraId="47120810" w14:textId="77777777" w:rsidR="00E55491" w:rsidRDefault="00E55491" w:rsidP="00D151A3">
      <w:pPr>
        <w:rPr>
          <w:lang w:val="en-GB"/>
        </w:rPr>
      </w:pPr>
      <w:r>
        <w:rPr>
          <w:lang w:val="en-GB"/>
        </w:rPr>
        <w:t>As context matters, the dashboard provides relevant configuration for the VDI Pool object. Here are the properties shown. Customize them accordingly.</w:t>
      </w:r>
    </w:p>
    <w:p w14:paraId="19CC21E2" w14:textId="77777777" w:rsidR="00E55491" w:rsidRDefault="00E55491" w:rsidP="00D151A3">
      <w:pPr>
        <w:jc w:val="center"/>
        <w:rPr>
          <w:lang w:val="en-GB"/>
        </w:rPr>
      </w:pPr>
      <w:r w:rsidRPr="004F7750">
        <w:rPr>
          <w:noProof/>
          <w:lang w:val="en-GB"/>
        </w:rPr>
        <w:lastRenderedPageBreak/>
        <w:drawing>
          <wp:inline distT="0" distB="0" distL="0" distR="0" wp14:anchorId="5B12A906" wp14:editId="75EB2085">
            <wp:extent cx="3967200" cy="2721600"/>
            <wp:effectExtent l="0" t="0" r="0" b="3175"/>
            <wp:docPr id="534447490" name="Picture 534447490" descr="Graphical user interface, text, application,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490" name="Picture 534447490" descr="Graphical user interface, text, application, table&#10;&#10;Description automatically generated"/>
                    <pic:cNvPicPr/>
                  </pic:nvPicPr>
                  <pic:blipFill>
                    <a:blip r:embed="rId1293"/>
                    <a:stretch>
                      <a:fillRect/>
                    </a:stretch>
                  </pic:blipFill>
                  <pic:spPr>
                    <a:xfrm>
                      <a:off x="0" y="0"/>
                      <a:ext cx="3967200" cy="2721600"/>
                    </a:xfrm>
                    <a:prstGeom prst="rect">
                      <a:avLst/>
                    </a:prstGeom>
                  </pic:spPr>
                </pic:pic>
              </a:graphicData>
            </a:graphic>
          </wp:inline>
        </w:drawing>
      </w:r>
    </w:p>
    <w:p w14:paraId="473CAD4C" w14:textId="77777777" w:rsidR="00E55491" w:rsidRDefault="00E55491" w:rsidP="00D151A3">
      <w:pPr>
        <w:rPr>
          <w:lang w:val="en-GB"/>
        </w:rPr>
      </w:pPr>
      <w:r>
        <w:rPr>
          <w:lang w:val="en-GB"/>
        </w:rPr>
        <w:t>Environmental context is also importat. You can navigate into the vSphere cluster where the VDI Pool resides</w:t>
      </w:r>
    </w:p>
    <w:p w14:paraId="7DD12069" w14:textId="77777777" w:rsidR="00E55491" w:rsidRDefault="00E55491" w:rsidP="00D151A3">
      <w:pPr>
        <w:rPr>
          <w:lang w:val="en-GB"/>
        </w:rPr>
      </w:pPr>
      <w:r w:rsidRPr="00F46010">
        <w:rPr>
          <w:noProof/>
          <w:lang w:val="en-GB"/>
        </w:rPr>
        <w:drawing>
          <wp:inline distT="0" distB="0" distL="0" distR="0" wp14:anchorId="584B8A3F" wp14:editId="65037D82">
            <wp:extent cx="6645910" cy="905510"/>
            <wp:effectExtent l="0" t="0" r="2540" b="8890"/>
            <wp:docPr id="534447534" name="Picture 534447534"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34" name="Picture 534447534" descr="A picture containing diagram&#10;&#10;Description automatically generated"/>
                    <pic:cNvPicPr/>
                  </pic:nvPicPr>
                  <pic:blipFill>
                    <a:blip r:embed="rId1294"/>
                    <a:stretch>
                      <a:fillRect/>
                    </a:stretch>
                  </pic:blipFill>
                  <pic:spPr>
                    <a:xfrm>
                      <a:off x="0" y="0"/>
                      <a:ext cx="6645910" cy="905510"/>
                    </a:xfrm>
                    <a:prstGeom prst="rect">
                      <a:avLst/>
                    </a:prstGeom>
                  </pic:spPr>
                </pic:pic>
              </a:graphicData>
            </a:graphic>
          </wp:inline>
        </w:drawing>
      </w:r>
    </w:p>
    <w:p w14:paraId="5AD55A3F" w14:textId="77777777" w:rsidR="00E55491" w:rsidRDefault="00E55491" w:rsidP="00D151A3">
      <w:pPr>
        <w:pStyle w:val="Heading5"/>
      </w:pPr>
      <w:r>
        <w:t>Session-level Analysis</w:t>
      </w:r>
    </w:p>
    <w:p w14:paraId="45F417B3" w14:textId="77777777" w:rsidR="00E55491" w:rsidRDefault="00E55491" w:rsidP="00D151A3">
      <w:pPr>
        <w:rPr>
          <w:lang w:val="en-GB"/>
        </w:rPr>
      </w:pPr>
      <w:r>
        <w:rPr>
          <w:lang w:val="en-GB"/>
        </w:rPr>
        <w:t>You get the usual raw detail metrics associated with the host. I’m showing CPU as an example below.</w:t>
      </w:r>
    </w:p>
    <w:p w14:paraId="403E0EAF" w14:textId="77777777" w:rsidR="00E55491" w:rsidRPr="00F46010" w:rsidRDefault="00E55491" w:rsidP="00D151A3">
      <w:pPr>
        <w:rPr>
          <w:lang w:val="en-GB"/>
        </w:rPr>
      </w:pPr>
    </w:p>
    <w:p w14:paraId="27C6358E" w14:textId="77777777" w:rsidR="00E55491" w:rsidRPr="00F46010" w:rsidRDefault="00E55491" w:rsidP="00D151A3">
      <w:pPr>
        <w:rPr>
          <w:lang w:val="en-GB"/>
        </w:rPr>
      </w:pPr>
      <w:r w:rsidRPr="00F46010">
        <w:rPr>
          <w:noProof/>
          <w:lang w:val="en-GB"/>
        </w:rPr>
        <w:drawing>
          <wp:inline distT="0" distB="0" distL="0" distR="0" wp14:anchorId="51F2D046" wp14:editId="6B2CE46B">
            <wp:extent cx="6645910" cy="1012825"/>
            <wp:effectExtent l="0" t="0" r="2540" b="0"/>
            <wp:docPr id="534447533" name="Picture 534447533"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33" name="Picture 534447533" descr="A picture containing chart&#10;&#10;Description automatically generated"/>
                    <pic:cNvPicPr/>
                  </pic:nvPicPr>
                  <pic:blipFill>
                    <a:blip r:embed="rId1295"/>
                    <a:stretch>
                      <a:fillRect/>
                    </a:stretch>
                  </pic:blipFill>
                  <pic:spPr>
                    <a:xfrm>
                      <a:off x="0" y="0"/>
                      <a:ext cx="6645910" cy="1012825"/>
                    </a:xfrm>
                    <a:prstGeom prst="rect">
                      <a:avLst/>
                    </a:prstGeom>
                  </pic:spPr>
                </pic:pic>
              </a:graphicData>
            </a:graphic>
          </wp:inline>
        </w:drawing>
      </w:r>
    </w:p>
    <w:p w14:paraId="7A01443A" w14:textId="77777777" w:rsidR="00E55491" w:rsidRDefault="00E55491" w:rsidP="00D151A3">
      <w:pPr>
        <w:rPr>
          <w:lang w:val="en-GB"/>
        </w:rPr>
      </w:pPr>
      <w:r>
        <w:rPr>
          <w:lang w:val="en-GB"/>
        </w:rPr>
        <w:t>As context matters, the dashboard provides relevant configuration for the VDI Pool object. Here are the properties shown.</w:t>
      </w:r>
    </w:p>
    <w:p w14:paraId="1DA35564" w14:textId="77777777" w:rsidR="00E55491" w:rsidRPr="00281CB3" w:rsidRDefault="00E55491" w:rsidP="00D151A3">
      <w:pPr>
        <w:jc w:val="center"/>
        <w:rPr>
          <w:lang w:val="en-GB"/>
        </w:rPr>
      </w:pPr>
      <w:r w:rsidRPr="004F7750">
        <w:rPr>
          <w:noProof/>
          <w:lang w:val="en-GB"/>
        </w:rPr>
        <w:lastRenderedPageBreak/>
        <w:drawing>
          <wp:inline distT="0" distB="0" distL="0" distR="0" wp14:anchorId="3443D8A7" wp14:editId="29DB5B35">
            <wp:extent cx="3686400" cy="2530800"/>
            <wp:effectExtent l="0" t="0" r="0" b="3175"/>
            <wp:docPr id="534447532" name="Picture 534447532" descr="Text, tab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32" name="Picture 534447532" descr="Text, table&#10;&#10;Description automatically generated with medium confidence"/>
                    <pic:cNvPicPr/>
                  </pic:nvPicPr>
                  <pic:blipFill>
                    <a:blip r:embed="rId1296"/>
                    <a:stretch>
                      <a:fillRect/>
                    </a:stretch>
                  </pic:blipFill>
                  <pic:spPr>
                    <a:xfrm>
                      <a:off x="0" y="0"/>
                      <a:ext cx="3686400" cy="2530800"/>
                    </a:xfrm>
                    <a:prstGeom prst="rect">
                      <a:avLst/>
                    </a:prstGeom>
                  </pic:spPr>
                </pic:pic>
              </a:graphicData>
            </a:graphic>
          </wp:inline>
        </w:drawing>
      </w:r>
    </w:p>
    <w:p w14:paraId="1E0F9B99" w14:textId="77777777" w:rsidR="00E55491" w:rsidRDefault="00E55491" w:rsidP="00D151A3">
      <w:pPr>
        <w:pStyle w:val="Heading4"/>
      </w:pPr>
      <w:r>
        <w:t>NOC Dashboards</w:t>
      </w:r>
    </w:p>
    <w:p w14:paraId="57D0EDE2" w14:textId="77777777" w:rsidR="00E55491" w:rsidRDefault="00E55491" w:rsidP="00D151A3">
      <w:pPr>
        <w:rPr>
          <w:lang w:val="en-GB"/>
        </w:rPr>
      </w:pPr>
      <w:r>
        <w:rPr>
          <w:lang w:val="en-GB"/>
        </w:rPr>
        <w:t xml:space="preserve">A VDI user will not be happy experiencing bad performance for hours. As timely response matters, your NOC team needs a dashboard showing the live situation, projected on a big screen for support team convenience. </w:t>
      </w:r>
    </w:p>
    <w:p w14:paraId="0542E4E0" w14:textId="77777777" w:rsidR="00E55491" w:rsidRDefault="00E55491" w:rsidP="00D151A3">
      <w:pPr>
        <w:rPr>
          <w:lang w:val="en-GB"/>
        </w:rPr>
      </w:pPr>
      <w:r>
        <w:rPr>
          <w:lang w:val="en-GB"/>
        </w:rPr>
        <w:t xml:space="preserve">There are 2 dashboards provided. One looks from session view point, the other from infrastructure viewpoint. </w:t>
      </w:r>
    </w:p>
    <w:p w14:paraId="72531CD2" w14:textId="77777777" w:rsidR="00E55491" w:rsidRDefault="00E55491" w:rsidP="00D151A3">
      <w:pPr>
        <w:rPr>
          <w:lang w:val="en-GB"/>
        </w:rPr>
      </w:pPr>
      <w:r>
        <w:rPr>
          <w:lang w:val="en-GB"/>
        </w:rPr>
        <w:t xml:space="preserve">The dashboard follows the design covered in NOC Dashboard chapter </w:t>
      </w:r>
      <w:hyperlink w:anchor="_NOC_Dashboards" w:history="1">
        <w:r w:rsidRPr="009C08BF">
          <w:rPr>
            <w:rStyle w:val="Hyperlink"/>
            <w:lang w:val="en-GB"/>
          </w:rPr>
          <w:t>here</w:t>
        </w:r>
      </w:hyperlink>
      <w:r>
        <w:rPr>
          <w:lang w:val="en-GB"/>
        </w:rPr>
        <w:t>. You will see consistent layout among them.</w:t>
      </w:r>
    </w:p>
    <w:p w14:paraId="79858E02" w14:textId="65A349CC" w:rsidR="00E55491" w:rsidRPr="008A76CC" w:rsidRDefault="00E55491" w:rsidP="00D151A3">
      <w:pPr>
        <w:rPr>
          <w:lang w:val="en-GB"/>
        </w:rPr>
      </w:pPr>
      <w:r>
        <w:rPr>
          <w:lang w:val="en-GB"/>
        </w:rPr>
        <w:t>The dashboard focuses on urgent information, hence they focus on performance. In future, I’m going to add availability, so let’s collaborate</w:t>
      </w:r>
      <w:r w:rsidR="00E4254C">
        <w:rPr>
          <w:lang w:val="en-GB"/>
        </w:rPr>
        <w:t xml:space="preserve">. </w:t>
      </w:r>
    </w:p>
    <w:p w14:paraId="13A5EE52" w14:textId="77777777" w:rsidR="00E55491" w:rsidRDefault="00E55491" w:rsidP="00D151A3">
      <w:pPr>
        <w:pStyle w:val="Heading5"/>
      </w:pPr>
      <w:r>
        <w:t>Live! Horizon DaaS Performance Dashboard</w:t>
      </w:r>
    </w:p>
    <w:p w14:paraId="5FB4828C" w14:textId="77777777" w:rsidR="00E55491" w:rsidRDefault="00E55491" w:rsidP="00D151A3">
      <w:pPr>
        <w:rPr>
          <w:lang w:val="en-GB"/>
        </w:rPr>
      </w:pPr>
      <w:r>
        <w:rPr>
          <w:lang w:val="en-GB"/>
        </w:rPr>
        <w:t>This dashboard shows from the big picture point of view. They are useful to determine the health of overall situation.</w:t>
      </w:r>
    </w:p>
    <w:p w14:paraId="2B012EFE" w14:textId="77777777" w:rsidR="00E55491" w:rsidRPr="008A76CC" w:rsidRDefault="00E55491" w:rsidP="00D151A3">
      <w:pPr>
        <w:rPr>
          <w:lang w:val="en-GB"/>
        </w:rPr>
      </w:pPr>
      <w:r>
        <w:rPr>
          <w:lang w:val="en-GB"/>
        </w:rPr>
        <w:t xml:space="preserve">The health chart shows trend so you can see if the situation is deteriorating, unpredictable, or just a one off incident. </w:t>
      </w:r>
    </w:p>
    <w:p w14:paraId="6774A2F5" w14:textId="77777777" w:rsidR="00E55491" w:rsidRDefault="00E55491" w:rsidP="00D151A3">
      <w:pPr>
        <w:rPr>
          <w:lang w:val="en-GB"/>
        </w:rPr>
      </w:pPr>
      <w:r w:rsidRPr="006E47B7">
        <w:rPr>
          <w:noProof/>
          <w:lang w:val="en-GB"/>
        </w:rPr>
        <w:drawing>
          <wp:inline distT="0" distB="0" distL="0" distR="0" wp14:anchorId="5F46C03E" wp14:editId="3849E902">
            <wp:extent cx="6645910" cy="1123315"/>
            <wp:effectExtent l="0" t="0" r="2540" b="635"/>
            <wp:docPr id="567723366" name="Picture 567723366"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66" name="Picture 567723366" descr="Graphical user interface, chart&#10;&#10;Description automatically generated"/>
                    <pic:cNvPicPr/>
                  </pic:nvPicPr>
                  <pic:blipFill>
                    <a:blip r:embed="rId1297"/>
                    <a:stretch>
                      <a:fillRect/>
                    </a:stretch>
                  </pic:blipFill>
                  <pic:spPr>
                    <a:xfrm>
                      <a:off x="0" y="0"/>
                      <a:ext cx="6645910" cy="1123315"/>
                    </a:xfrm>
                    <a:prstGeom prst="rect">
                      <a:avLst/>
                    </a:prstGeom>
                  </pic:spPr>
                </pic:pic>
              </a:graphicData>
            </a:graphic>
          </wp:inline>
        </w:drawing>
      </w:r>
    </w:p>
    <w:p w14:paraId="009C854C" w14:textId="77777777" w:rsidR="00E55491" w:rsidRDefault="00E55491" w:rsidP="00D151A3">
      <w:pPr>
        <w:rPr>
          <w:lang w:val="en-GB"/>
        </w:rPr>
      </w:pPr>
      <w:r>
        <w:rPr>
          <w:lang w:val="en-GB"/>
        </w:rPr>
        <w:t>If there is something wrong, the health chart can’t show which farm or pool. This is where the heat map comes in. You get 4 heat maps, covering both data center and network for RDS and VDI.</w:t>
      </w:r>
    </w:p>
    <w:p w14:paraId="0FB2647E" w14:textId="77777777" w:rsidR="00E55491" w:rsidRDefault="00E55491" w:rsidP="00D151A3">
      <w:pPr>
        <w:jc w:val="center"/>
        <w:rPr>
          <w:lang w:val="en-GB"/>
        </w:rPr>
      </w:pPr>
      <w:r w:rsidRPr="006E47B7">
        <w:rPr>
          <w:noProof/>
          <w:lang w:val="en-GB"/>
        </w:rPr>
        <w:lastRenderedPageBreak/>
        <w:drawing>
          <wp:inline distT="0" distB="0" distL="0" distR="0" wp14:anchorId="067CCD71" wp14:editId="7CE2281C">
            <wp:extent cx="3535200" cy="2923200"/>
            <wp:effectExtent l="0" t="0" r="8255" b="0"/>
            <wp:docPr id="567723367" name="Picture 567723367" descr="Chart, treemap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67" name="Picture 567723367" descr="Chart, treemap chart&#10;&#10;Description automatically generated"/>
                    <pic:cNvPicPr/>
                  </pic:nvPicPr>
                  <pic:blipFill>
                    <a:blip r:embed="rId1298"/>
                    <a:stretch>
                      <a:fillRect/>
                    </a:stretch>
                  </pic:blipFill>
                  <pic:spPr>
                    <a:xfrm>
                      <a:off x="0" y="0"/>
                      <a:ext cx="3535200" cy="2923200"/>
                    </a:xfrm>
                    <a:prstGeom prst="rect">
                      <a:avLst/>
                    </a:prstGeom>
                  </pic:spPr>
                </pic:pic>
              </a:graphicData>
            </a:graphic>
          </wp:inline>
        </w:drawing>
      </w:r>
    </w:p>
    <w:p w14:paraId="49C5EBDF" w14:textId="77777777" w:rsidR="00E55491" w:rsidRPr="006E47B7" w:rsidRDefault="00E55491" w:rsidP="00D151A3">
      <w:pPr>
        <w:rPr>
          <w:lang w:val="en-GB"/>
        </w:rPr>
      </w:pPr>
      <w:r>
        <w:rPr>
          <w:lang w:val="en-GB"/>
        </w:rPr>
        <w:t>Click on any of the heat map. The historical trend over time is automatically shown.</w:t>
      </w:r>
    </w:p>
    <w:p w14:paraId="48F6B4E6" w14:textId="77777777" w:rsidR="00E55491" w:rsidRDefault="00E55491" w:rsidP="00D151A3">
      <w:pPr>
        <w:jc w:val="center"/>
        <w:rPr>
          <w:lang w:val="en-GB"/>
        </w:rPr>
      </w:pPr>
      <w:r w:rsidRPr="00100460">
        <w:rPr>
          <w:noProof/>
          <w:lang w:val="en-GB"/>
        </w:rPr>
        <w:drawing>
          <wp:inline distT="0" distB="0" distL="0" distR="0" wp14:anchorId="0B29C5FE" wp14:editId="5C9D52A6">
            <wp:extent cx="5659200" cy="1598400"/>
            <wp:effectExtent l="0" t="0" r="0" b="1905"/>
            <wp:docPr id="567723368" name="Picture 567723368" descr="Graphical user interface, char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68" name="Picture 567723368" descr="Graphical user interface, chart, application&#10;&#10;Description automatically generated"/>
                    <pic:cNvPicPr/>
                  </pic:nvPicPr>
                  <pic:blipFill>
                    <a:blip r:embed="rId1299"/>
                    <a:stretch>
                      <a:fillRect/>
                    </a:stretch>
                  </pic:blipFill>
                  <pic:spPr>
                    <a:xfrm>
                      <a:off x="0" y="0"/>
                      <a:ext cx="5659200" cy="1598400"/>
                    </a:xfrm>
                    <a:prstGeom prst="rect">
                      <a:avLst/>
                    </a:prstGeom>
                  </pic:spPr>
                </pic:pic>
              </a:graphicData>
            </a:graphic>
          </wp:inline>
        </w:drawing>
      </w:r>
    </w:p>
    <w:p w14:paraId="3B86A67C" w14:textId="77777777" w:rsidR="00E55491" w:rsidRDefault="00E55491" w:rsidP="00D151A3">
      <w:pPr>
        <w:pStyle w:val="Heading5"/>
      </w:pPr>
      <w:r>
        <w:t>Live! Horizon Session Performance Dashboard</w:t>
      </w:r>
    </w:p>
    <w:p w14:paraId="37ADAF1A" w14:textId="77777777" w:rsidR="00E55491" w:rsidRDefault="00E55491" w:rsidP="00D151A3">
      <w:pPr>
        <w:rPr>
          <w:lang w:val="en-GB"/>
        </w:rPr>
      </w:pPr>
      <w:r>
        <w:rPr>
          <w:lang w:val="en-GB"/>
        </w:rPr>
        <w:t>This dashboard focuses on the session. There are 6 heat maps</w:t>
      </w:r>
    </w:p>
    <w:p w14:paraId="1D2339EF" w14:textId="77777777" w:rsidR="00E55491" w:rsidRPr="00120580" w:rsidRDefault="00E55491" w:rsidP="00D151A3">
      <w:pPr>
        <w:rPr>
          <w:lang w:val="en-GB"/>
        </w:rPr>
      </w:pPr>
      <w:r w:rsidRPr="003F0A4D">
        <w:rPr>
          <w:noProof/>
          <w:lang w:val="en-GB"/>
        </w:rPr>
        <w:drawing>
          <wp:inline distT="0" distB="0" distL="0" distR="0" wp14:anchorId="1A789F0C" wp14:editId="207A42B0">
            <wp:extent cx="6645910" cy="593090"/>
            <wp:effectExtent l="0" t="0" r="2540" b="0"/>
            <wp:docPr id="534447526" name="Picture 534447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0"/>
                    <a:stretch>
                      <a:fillRect/>
                    </a:stretch>
                  </pic:blipFill>
                  <pic:spPr>
                    <a:xfrm>
                      <a:off x="0" y="0"/>
                      <a:ext cx="6645910" cy="593090"/>
                    </a:xfrm>
                    <a:prstGeom prst="rect">
                      <a:avLst/>
                    </a:prstGeom>
                  </pic:spPr>
                </pic:pic>
              </a:graphicData>
            </a:graphic>
          </wp:inline>
        </w:drawing>
      </w:r>
    </w:p>
    <w:p w14:paraId="6B725638" w14:textId="77777777" w:rsidR="00E55491" w:rsidRDefault="00E55491" w:rsidP="00D151A3">
      <w:pPr>
        <w:rPr>
          <w:lang w:val="en-GB"/>
        </w:rPr>
      </w:pPr>
      <w:r>
        <w:rPr>
          <w:lang w:val="en-GB"/>
        </w:rPr>
        <w:t>Why 6?</w:t>
      </w:r>
    </w:p>
    <w:p w14:paraId="1C629EBA" w14:textId="77777777" w:rsidR="00E55491" w:rsidRDefault="00E55491" w:rsidP="00D151A3">
      <w:pPr>
        <w:rPr>
          <w:lang w:val="en-GB"/>
        </w:rPr>
      </w:pPr>
      <w:r>
        <w:rPr>
          <w:lang w:val="en-GB"/>
        </w:rPr>
        <w:t>vRealize Operations separate Desktop session and Application session. So we have the following:</w:t>
      </w:r>
    </w:p>
    <w:p w14:paraId="0E700D21" w14:textId="77777777" w:rsidR="00E55491" w:rsidRDefault="00E55491" w:rsidP="00D151A3">
      <w:pPr>
        <w:pStyle w:val="Bullet"/>
        <w:rPr>
          <w:lang w:val="en-GB"/>
        </w:rPr>
      </w:pPr>
      <w:r>
        <w:rPr>
          <w:lang w:val="en-GB"/>
        </w:rPr>
        <w:t>VDI Desktop DC KPI</w:t>
      </w:r>
    </w:p>
    <w:p w14:paraId="7BB4705E" w14:textId="77777777" w:rsidR="00E55491" w:rsidRDefault="00E55491" w:rsidP="00D151A3">
      <w:pPr>
        <w:pStyle w:val="Bullet"/>
        <w:rPr>
          <w:lang w:val="en-GB"/>
        </w:rPr>
      </w:pPr>
      <w:r>
        <w:rPr>
          <w:lang w:val="en-GB"/>
        </w:rPr>
        <w:t>VDI Desktop Network KPI</w:t>
      </w:r>
    </w:p>
    <w:p w14:paraId="5447CDFE" w14:textId="77777777" w:rsidR="00E55491" w:rsidRDefault="00E55491" w:rsidP="00D151A3">
      <w:pPr>
        <w:pStyle w:val="Bullet"/>
        <w:rPr>
          <w:lang w:val="en-GB"/>
        </w:rPr>
      </w:pPr>
      <w:r>
        <w:rPr>
          <w:lang w:val="en-GB"/>
        </w:rPr>
        <w:t>VDI Application DC KPI</w:t>
      </w:r>
    </w:p>
    <w:p w14:paraId="61B66F40" w14:textId="77777777" w:rsidR="00E55491" w:rsidRDefault="00E55491" w:rsidP="00D151A3">
      <w:pPr>
        <w:pStyle w:val="Bullet"/>
        <w:rPr>
          <w:lang w:val="en-GB"/>
        </w:rPr>
      </w:pPr>
      <w:r>
        <w:rPr>
          <w:lang w:val="en-GB"/>
        </w:rPr>
        <w:t>VDI Application Network KPI</w:t>
      </w:r>
    </w:p>
    <w:p w14:paraId="2ED6CC42" w14:textId="77777777" w:rsidR="00E55491" w:rsidRDefault="00E55491" w:rsidP="00D151A3">
      <w:pPr>
        <w:pStyle w:val="Bullet"/>
        <w:rPr>
          <w:lang w:val="en-GB"/>
        </w:rPr>
      </w:pPr>
      <w:r>
        <w:rPr>
          <w:lang w:val="en-GB"/>
        </w:rPr>
        <w:t>RDS Desktop Network KPI</w:t>
      </w:r>
    </w:p>
    <w:p w14:paraId="0166C9EF" w14:textId="77777777" w:rsidR="00E55491" w:rsidRPr="006E47B7" w:rsidRDefault="00E55491" w:rsidP="00D151A3">
      <w:pPr>
        <w:pStyle w:val="Bullet"/>
        <w:rPr>
          <w:lang w:val="en-GB"/>
        </w:rPr>
      </w:pPr>
      <w:r>
        <w:rPr>
          <w:lang w:val="en-GB"/>
        </w:rPr>
        <w:t>RDS Application Network KPI</w:t>
      </w:r>
    </w:p>
    <w:p w14:paraId="5F5D9403" w14:textId="77777777" w:rsidR="00E55491" w:rsidRDefault="00E55491" w:rsidP="00D151A3">
      <w:r>
        <w:lastRenderedPageBreak/>
        <w:t>RDS does not have DC KPI.</w:t>
      </w:r>
    </w:p>
    <w:p w14:paraId="24042E27" w14:textId="77777777" w:rsidR="00E55491" w:rsidRDefault="00E55491" w:rsidP="00D151A3">
      <w:r>
        <w:t>The widget interactivity shows the above visually. As you can see below, the first 4 heat maps belong to VDI, and the last 2 belong to RDS.</w:t>
      </w:r>
    </w:p>
    <w:p w14:paraId="4F6B6529" w14:textId="77777777" w:rsidR="00E55491" w:rsidRDefault="00E55491" w:rsidP="00D151A3">
      <w:r w:rsidRPr="00D85D66">
        <w:rPr>
          <w:noProof/>
        </w:rPr>
        <w:drawing>
          <wp:inline distT="0" distB="0" distL="0" distR="0" wp14:anchorId="0D5D1DAD" wp14:editId="4848311E">
            <wp:extent cx="6645910" cy="4067175"/>
            <wp:effectExtent l="0" t="0" r="2540" b="9525"/>
            <wp:docPr id="918289616" name="Picture 918289616"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289616" name="Picture 918289616" descr="Chart&#10;&#10;Description automatically generated with medium confidence"/>
                    <pic:cNvPicPr/>
                  </pic:nvPicPr>
                  <pic:blipFill>
                    <a:blip r:embed="rId1301"/>
                    <a:stretch>
                      <a:fillRect/>
                    </a:stretch>
                  </pic:blipFill>
                  <pic:spPr>
                    <a:xfrm>
                      <a:off x="0" y="0"/>
                      <a:ext cx="6645910" cy="4067175"/>
                    </a:xfrm>
                    <a:prstGeom prst="rect">
                      <a:avLst/>
                    </a:prstGeom>
                  </pic:spPr>
                </pic:pic>
              </a:graphicData>
            </a:graphic>
          </wp:inline>
        </w:drawing>
      </w:r>
    </w:p>
    <w:p w14:paraId="6614AB50" w14:textId="77777777" w:rsidR="00E55491" w:rsidRDefault="00E55491" w:rsidP="00D151A3">
      <w:r>
        <w:t>The heat map drives the relevant health chart on the 2</w:t>
      </w:r>
      <w:r w:rsidRPr="00945550">
        <w:rPr>
          <w:vertAlign w:val="superscript"/>
        </w:rPr>
        <w:t>nd</w:t>
      </w:r>
      <w:r>
        <w:t xml:space="preserve"> row of the dashboard. </w:t>
      </w:r>
    </w:p>
    <w:p w14:paraId="41FCF899" w14:textId="77777777" w:rsidR="00E55491" w:rsidRDefault="00E55491" w:rsidP="00D151A3">
      <w:r>
        <w:t>Click on the session you’re interested in any of the heat map. Its detail performance over time will be shown in the health chart underneath the heat map. The following shows an example for VDI Desktop session:</w:t>
      </w:r>
    </w:p>
    <w:p w14:paraId="20D9EBF0" w14:textId="77777777" w:rsidR="00E55491" w:rsidRDefault="00E55491" w:rsidP="00D151A3">
      <w:pPr>
        <w:jc w:val="center"/>
      </w:pPr>
      <w:r w:rsidRPr="00FA3C23">
        <w:rPr>
          <w:noProof/>
        </w:rPr>
        <w:drawing>
          <wp:inline distT="0" distB="0" distL="0" distR="0" wp14:anchorId="14911961" wp14:editId="1D874AAC">
            <wp:extent cx="6645910" cy="1413510"/>
            <wp:effectExtent l="0" t="0" r="2540" b="0"/>
            <wp:docPr id="534447539" name="Picture 534447539"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39" name="Picture 534447539" descr="Graphical user interface, application&#10;&#10;Description automatically generated"/>
                    <pic:cNvPicPr/>
                  </pic:nvPicPr>
                  <pic:blipFill>
                    <a:blip r:embed="rId1302"/>
                    <a:stretch>
                      <a:fillRect/>
                    </a:stretch>
                  </pic:blipFill>
                  <pic:spPr>
                    <a:xfrm>
                      <a:off x="0" y="0"/>
                      <a:ext cx="6645910" cy="1413510"/>
                    </a:xfrm>
                    <a:prstGeom prst="rect">
                      <a:avLst/>
                    </a:prstGeom>
                  </pic:spPr>
                </pic:pic>
              </a:graphicData>
            </a:graphic>
          </wp:inline>
        </w:drawing>
      </w:r>
    </w:p>
    <w:p w14:paraId="633D0E4F" w14:textId="77777777" w:rsidR="00E55491" w:rsidRDefault="00E55491" w:rsidP="00D151A3">
      <w:pPr>
        <w:pStyle w:val="Heading3"/>
      </w:pPr>
      <w:r>
        <w:lastRenderedPageBreak/>
        <w:t>Capacity Dashboard</w:t>
      </w:r>
    </w:p>
    <w:p w14:paraId="385AC86A" w14:textId="77777777" w:rsidR="00E55491" w:rsidRPr="009C08BF" w:rsidRDefault="00E55491" w:rsidP="00D151A3">
      <w:pPr>
        <w:rPr>
          <w:lang w:val="en-GB"/>
        </w:rPr>
      </w:pPr>
      <w:r>
        <w:rPr>
          <w:lang w:val="en-GB"/>
        </w:rPr>
        <w:t xml:space="preserve">The capacity dashboard follows the design principles for Capacity dashboard, documented </w:t>
      </w:r>
      <w:hyperlink w:anchor="_Capacity_Dashboards" w:history="1">
        <w:r w:rsidRPr="009C08BF">
          <w:rPr>
            <w:rStyle w:val="Hyperlink"/>
            <w:lang w:val="en-GB"/>
          </w:rPr>
          <w:t>here</w:t>
        </w:r>
      </w:hyperlink>
      <w:r>
        <w:rPr>
          <w:lang w:val="en-GB"/>
        </w:rPr>
        <w:t xml:space="preserve">. </w:t>
      </w:r>
    </w:p>
    <w:p w14:paraId="0DC74A93" w14:textId="77777777" w:rsidR="00E55491" w:rsidRDefault="00E55491" w:rsidP="00D151A3">
      <w:pPr>
        <w:rPr>
          <w:lang w:val="en-GB"/>
        </w:rPr>
      </w:pPr>
      <w:r>
        <w:rPr>
          <w:lang w:val="en-GB"/>
        </w:rPr>
        <w:t xml:space="preserve">Capacity considers longer time horizon than performance. </w:t>
      </w:r>
    </w:p>
    <w:p w14:paraId="3184A87E" w14:textId="77777777" w:rsidR="00E55491" w:rsidRPr="003A6100" w:rsidRDefault="00E55491" w:rsidP="00D151A3">
      <w:pPr>
        <w:rPr>
          <w:lang w:val="en-GB"/>
        </w:rPr>
      </w:pPr>
      <w:r>
        <w:rPr>
          <w:lang w:val="en-GB"/>
        </w:rPr>
        <w:t xml:space="preserve">Make sure the sets of numbers are within your expectation. Also, check that their pattern is matching the “working hours” defined in your architecture. </w:t>
      </w:r>
    </w:p>
    <w:p w14:paraId="4940C15D" w14:textId="77777777" w:rsidR="00E55491" w:rsidRDefault="00E55491" w:rsidP="00D151A3">
      <w:pPr>
        <w:rPr>
          <w:lang w:val="en-GB"/>
        </w:rPr>
      </w:pPr>
      <w:r w:rsidRPr="00A654CD">
        <w:rPr>
          <w:noProof/>
          <w:lang w:val="en-GB"/>
        </w:rPr>
        <w:drawing>
          <wp:inline distT="0" distB="0" distL="0" distR="0" wp14:anchorId="6A48774F" wp14:editId="7915EED5">
            <wp:extent cx="6645910" cy="1120775"/>
            <wp:effectExtent l="0" t="0" r="2540" b="3175"/>
            <wp:docPr id="567723374" name="Picture 567723374"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74" name="Picture 567723374" descr="Chart&#10;&#10;Description automatically generated"/>
                    <pic:cNvPicPr/>
                  </pic:nvPicPr>
                  <pic:blipFill>
                    <a:blip r:embed="rId1303"/>
                    <a:stretch>
                      <a:fillRect/>
                    </a:stretch>
                  </pic:blipFill>
                  <pic:spPr>
                    <a:xfrm>
                      <a:off x="0" y="0"/>
                      <a:ext cx="6645910" cy="1120775"/>
                    </a:xfrm>
                    <a:prstGeom prst="rect">
                      <a:avLst/>
                    </a:prstGeom>
                  </pic:spPr>
                </pic:pic>
              </a:graphicData>
            </a:graphic>
          </wp:inline>
        </w:drawing>
      </w:r>
    </w:p>
    <w:p w14:paraId="5446F396" w14:textId="77777777" w:rsidR="00E55491" w:rsidRDefault="00E55491" w:rsidP="00D151A3">
      <w:pPr>
        <w:rPr>
          <w:lang w:val="en-GB"/>
        </w:rPr>
      </w:pPr>
      <w:r>
        <w:rPr>
          <w:lang w:val="en-GB"/>
        </w:rPr>
        <w:t xml:space="preserve">Check that the number matches the “working hours” defined in your architecture. </w:t>
      </w:r>
    </w:p>
    <w:p w14:paraId="40FBA36C" w14:textId="77777777" w:rsidR="00E55491" w:rsidRDefault="00E55491" w:rsidP="00D151A3">
      <w:pPr>
        <w:rPr>
          <w:lang w:val="en-GB"/>
        </w:rPr>
      </w:pPr>
      <w:r w:rsidRPr="00A654CD">
        <w:rPr>
          <w:noProof/>
          <w:lang w:val="en-GB"/>
        </w:rPr>
        <w:drawing>
          <wp:inline distT="0" distB="0" distL="0" distR="0" wp14:anchorId="5978591D" wp14:editId="78FF9190">
            <wp:extent cx="6645910" cy="1367155"/>
            <wp:effectExtent l="0" t="0" r="2540" b="4445"/>
            <wp:docPr id="1583707912" name="Picture 1583707912" descr="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12" name="Picture 1583707912" descr="Graphical user interface&#10;&#10;Description automatically generated"/>
                    <pic:cNvPicPr/>
                  </pic:nvPicPr>
                  <pic:blipFill>
                    <a:blip r:embed="rId1304"/>
                    <a:stretch>
                      <a:fillRect/>
                    </a:stretch>
                  </pic:blipFill>
                  <pic:spPr>
                    <a:xfrm>
                      <a:off x="0" y="0"/>
                      <a:ext cx="6645910" cy="1367155"/>
                    </a:xfrm>
                    <a:prstGeom prst="rect">
                      <a:avLst/>
                    </a:prstGeom>
                  </pic:spPr>
                </pic:pic>
              </a:graphicData>
            </a:graphic>
          </wp:inline>
        </w:drawing>
      </w:r>
    </w:p>
    <w:p w14:paraId="10B94F96" w14:textId="77777777" w:rsidR="00E55491" w:rsidRDefault="00E55491" w:rsidP="00D151A3">
      <w:pPr>
        <w:pStyle w:val="Heading4"/>
      </w:pPr>
      <w:r>
        <w:t>Farms and Pools</w:t>
      </w:r>
    </w:p>
    <w:p w14:paraId="302EEFCE" w14:textId="77777777" w:rsidR="00E55491" w:rsidRPr="009C08BF" w:rsidRDefault="00E55491" w:rsidP="00D151A3">
      <w:pPr>
        <w:rPr>
          <w:lang w:val="en-GB"/>
        </w:rPr>
      </w:pPr>
      <w:r>
        <w:rPr>
          <w:lang w:val="en-GB"/>
        </w:rPr>
        <w:t>In capacity, we’re interested in the present number first, before diving into the past. That’s why a heat map is a convenient way of presenting the information.</w:t>
      </w:r>
    </w:p>
    <w:p w14:paraId="13B28229" w14:textId="77777777" w:rsidR="00E55491" w:rsidRDefault="00E55491" w:rsidP="00D151A3">
      <w:pPr>
        <w:rPr>
          <w:lang w:val="en-GB"/>
        </w:rPr>
      </w:pPr>
      <w:r w:rsidRPr="00F60464">
        <w:rPr>
          <w:noProof/>
          <w:lang w:val="en-GB"/>
        </w:rPr>
        <w:drawing>
          <wp:inline distT="0" distB="0" distL="0" distR="0" wp14:anchorId="7F802DF4" wp14:editId="736FF887">
            <wp:extent cx="6645910" cy="1597660"/>
            <wp:effectExtent l="0" t="0" r="2540" b="2540"/>
            <wp:docPr id="567723356" name="Picture 567723356" descr="Graphical user interface, treemap chart, PowerPoi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56" name="Picture 567723356" descr="Graphical user interface, treemap chart, PowerPoint&#10;&#10;Description automatically generated"/>
                    <pic:cNvPicPr/>
                  </pic:nvPicPr>
                  <pic:blipFill>
                    <a:blip r:embed="rId1305"/>
                    <a:stretch>
                      <a:fillRect/>
                    </a:stretch>
                  </pic:blipFill>
                  <pic:spPr>
                    <a:xfrm>
                      <a:off x="0" y="0"/>
                      <a:ext cx="6645910" cy="1597660"/>
                    </a:xfrm>
                    <a:prstGeom prst="rect">
                      <a:avLst/>
                    </a:prstGeom>
                  </pic:spPr>
                </pic:pic>
              </a:graphicData>
            </a:graphic>
          </wp:inline>
        </w:drawing>
      </w:r>
    </w:p>
    <w:p w14:paraId="42382DF2" w14:textId="77777777" w:rsidR="00E55491" w:rsidRDefault="00E55491" w:rsidP="00D151A3">
      <w:pPr>
        <w:rPr>
          <w:lang w:val="en-GB"/>
        </w:rPr>
      </w:pPr>
      <w:r>
        <w:rPr>
          <w:lang w:val="en-GB"/>
        </w:rPr>
        <w:t>Adjust the color threshold accordingly.</w:t>
      </w:r>
    </w:p>
    <w:p w14:paraId="00476899" w14:textId="77777777" w:rsidR="00E55491" w:rsidRDefault="00E55491" w:rsidP="00D151A3">
      <w:pPr>
        <w:rPr>
          <w:lang w:val="en-GB"/>
        </w:rPr>
      </w:pPr>
      <w:r>
        <w:rPr>
          <w:lang w:val="en-GB"/>
        </w:rPr>
        <w:t>Context is important, so the dashboard provides the following properties of selected RDS Farm. A similar set of properties are also provided for VDI Pool.</w:t>
      </w:r>
    </w:p>
    <w:p w14:paraId="4E84543A" w14:textId="77777777" w:rsidR="00E55491" w:rsidRDefault="00E55491" w:rsidP="00D151A3">
      <w:pPr>
        <w:rPr>
          <w:lang w:val="en-GB"/>
        </w:rPr>
      </w:pPr>
      <w:r w:rsidRPr="00341D5C">
        <w:rPr>
          <w:noProof/>
          <w:lang w:val="en-GB"/>
        </w:rPr>
        <w:lastRenderedPageBreak/>
        <w:drawing>
          <wp:inline distT="0" distB="0" distL="0" distR="0" wp14:anchorId="299E3BDF" wp14:editId="366B91FC">
            <wp:extent cx="6645910" cy="2796540"/>
            <wp:effectExtent l="0" t="0" r="2540" b="3810"/>
            <wp:docPr id="567723372" name="Picture 567723372"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72" name="Picture 567723372" descr="Graphical user interface, text, application, email&#10;&#10;Description automatically generated"/>
                    <pic:cNvPicPr/>
                  </pic:nvPicPr>
                  <pic:blipFill>
                    <a:blip r:embed="rId1306"/>
                    <a:stretch>
                      <a:fillRect/>
                    </a:stretch>
                  </pic:blipFill>
                  <pic:spPr>
                    <a:xfrm>
                      <a:off x="0" y="0"/>
                      <a:ext cx="6645910" cy="2796540"/>
                    </a:xfrm>
                    <a:prstGeom prst="rect">
                      <a:avLst/>
                    </a:prstGeom>
                  </pic:spPr>
                </pic:pic>
              </a:graphicData>
            </a:graphic>
          </wp:inline>
        </w:drawing>
      </w:r>
    </w:p>
    <w:p w14:paraId="45A01A13" w14:textId="77777777" w:rsidR="00E55491" w:rsidRDefault="00E55491" w:rsidP="00D151A3">
      <w:pPr>
        <w:rPr>
          <w:lang w:val="en-GB"/>
        </w:rPr>
      </w:pPr>
      <w:r>
        <w:rPr>
          <w:lang w:val="en-GB"/>
        </w:rPr>
        <w:t>Select a pool to see its usage over time. The following chart shows a pool with erratic usage pattern. In general, it should match the expected usage pattern documented in your architecture. For example, it matches your office hours.</w:t>
      </w:r>
    </w:p>
    <w:p w14:paraId="2A152D6F" w14:textId="77777777" w:rsidR="00E55491" w:rsidRPr="00F60464" w:rsidRDefault="00E55491" w:rsidP="00D151A3">
      <w:pPr>
        <w:rPr>
          <w:lang w:val="en-GB"/>
        </w:rPr>
      </w:pPr>
      <w:r w:rsidRPr="00341D5C">
        <w:rPr>
          <w:noProof/>
          <w:lang w:val="en-GB"/>
        </w:rPr>
        <w:drawing>
          <wp:inline distT="0" distB="0" distL="0" distR="0" wp14:anchorId="57CC3E52" wp14:editId="517FBE75">
            <wp:extent cx="6645910" cy="2355850"/>
            <wp:effectExtent l="0" t="0" r="2540" b="6350"/>
            <wp:docPr id="567723373" name="Picture 567723373"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73" name="Picture 567723373" descr="Chart&#10;&#10;Description automatically generated"/>
                    <pic:cNvPicPr/>
                  </pic:nvPicPr>
                  <pic:blipFill>
                    <a:blip r:embed="rId1307"/>
                    <a:stretch>
                      <a:fillRect/>
                    </a:stretch>
                  </pic:blipFill>
                  <pic:spPr>
                    <a:xfrm>
                      <a:off x="0" y="0"/>
                      <a:ext cx="6645910" cy="2355850"/>
                    </a:xfrm>
                    <a:prstGeom prst="rect">
                      <a:avLst/>
                    </a:prstGeom>
                  </pic:spPr>
                </pic:pic>
              </a:graphicData>
            </a:graphic>
          </wp:inline>
        </w:drawing>
      </w:r>
    </w:p>
    <w:p w14:paraId="097CCFB2" w14:textId="77777777" w:rsidR="00E55491" w:rsidRDefault="00E55491" w:rsidP="00D151A3">
      <w:pPr>
        <w:pStyle w:val="Heading3"/>
      </w:pPr>
      <w:r>
        <w:t>Availability Dashboard</w:t>
      </w:r>
    </w:p>
    <w:p w14:paraId="1438A760" w14:textId="77777777" w:rsidR="00E55491" w:rsidRPr="00A026C0" w:rsidRDefault="00E55491" w:rsidP="00D151A3">
      <w:pPr>
        <w:rPr>
          <w:lang w:val="en-GB"/>
        </w:rPr>
      </w:pPr>
      <w:r>
        <w:rPr>
          <w:lang w:val="en-GB"/>
        </w:rPr>
        <w:t xml:space="preserve">We covered in </w:t>
      </w:r>
      <w:hyperlink w:anchor="_KPI_vs_SLA_1" w:history="1">
        <w:r w:rsidRPr="00275F7E">
          <w:rPr>
            <w:rStyle w:val="Hyperlink"/>
            <w:lang w:val="en-GB"/>
          </w:rPr>
          <w:t>Part 1 Chapter 1</w:t>
        </w:r>
      </w:hyperlink>
      <w:r>
        <w:rPr>
          <w:lang w:val="en-GB"/>
        </w:rPr>
        <w:t xml:space="preserve"> that Availability can impact Performance and Capacity, but need to be measured separately as the remediation action is different. </w:t>
      </w:r>
    </w:p>
    <w:p w14:paraId="5C79BAD5" w14:textId="77777777" w:rsidR="00E55491" w:rsidRDefault="00E55491" w:rsidP="00D151A3">
      <w:pPr>
        <w:rPr>
          <w:lang w:val="en-GB"/>
        </w:rPr>
      </w:pPr>
      <w:r>
        <w:rPr>
          <w:lang w:val="en-GB"/>
        </w:rPr>
        <w:t>Horizon consists of different components, each having their own availability metrics.</w:t>
      </w:r>
    </w:p>
    <w:p w14:paraId="4501569E" w14:textId="77777777" w:rsidR="00E55491" w:rsidRDefault="00E55491" w:rsidP="00D151A3">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127"/>
        <w:gridCol w:w="8329"/>
      </w:tblGrid>
      <w:tr w:rsidR="00E55491" w14:paraId="0E7D5078" w14:textId="77777777" w:rsidTr="00281329">
        <w:tc>
          <w:tcPr>
            <w:tcW w:w="2127" w:type="dxa"/>
            <w:shd w:val="clear" w:color="auto" w:fill="F2F2F2" w:themeFill="background1" w:themeFillShade="F2"/>
          </w:tcPr>
          <w:p w14:paraId="5F64D20C" w14:textId="77777777" w:rsidR="00E55491" w:rsidRPr="009A020D" w:rsidRDefault="00E55491" w:rsidP="00D151A3">
            <w:pPr>
              <w:pStyle w:val="Tablecontent"/>
              <w:rPr>
                <w:b/>
                <w:bCs/>
              </w:rPr>
            </w:pPr>
            <w:r w:rsidRPr="009A020D">
              <w:rPr>
                <w:b/>
                <w:bCs/>
              </w:rPr>
              <w:lastRenderedPageBreak/>
              <w:t>RDS Farm</w:t>
            </w:r>
          </w:p>
        </w:tc>
        <w:tc>
          <w:tcPr>
            <w:tcW w:w="8329" w:type="dxa"/>
          </w:tcPr>
          <w:p w14:paraId="39DB10B8" w14:textId="77777777" w:rsidR="00E55491" w:rsidRDefault="00E55491" w:rsidP="00D151A3">
            <w:pPr>
              <w:pStyle w:val="Tablecontent"/>
            </w:pPr>
            <w:r>
              <w:t xml:space="preserve">Number of RDS Hosts in Bad State </w:t>
            </w:r>
          </w:p>
          <w:p w14:paraId="241D2E13" w14:textId="77777777" w:rsidR="00E55491" w:rsidRDefault="00E55491" w:rsidP="00D151A3">
            <w:pPr>
              <w:pStyle w:val="Tablecontent"/>
            </w:pPr>
            <w:r>
              <w:t>Aim for this number to be 0 at all times</w:t>
            </w:r>
          </w:p>
        </w:tc>
      </w:tr>
      <w:tr w:rsidR="00E55491" w14:paraId="2D1B3F92" w14:textId="77777777" w:rsidTr="00281329">
        <w:tc>
          <w:tcPr>
            <w:tcW w:w="2127" w:type="dxa"/>
            <w:shd w:val="clear" w:color="auto" w:fill="F2F2F2" w:themeFill="background1" w:themeFillShade="F2"/>
          </w:tcPr>
          <w:p w14:paraId="7884BC98" w14:textId="77777777" w:rsidR="00E55491" w:rsidRPr="009A020D" w:rsidRDefault="00E55491" w:rsidP="00D151A3">
            <w:pPr>
              <w:pStyle w:val="Tablecontent"/>
              <w:rPr>
                <w:b/>
                <w:bCs/>
              </w:rPr>
            </w:pPr>
            <w:r w:rsidRPr="009A020D">
              <w:rPr>
                <w:b/>
                <w:bCs/>
              </w:rPr>
              <w:t>VDI Pool</w:t>
            </w:r>
          </w:p>
        </w:tc>
        <w:tc>
          <w:tcPr>
            <w:tcW w:w="8329" w:type="dxa"/>
          </w:tcPr>
          <w:p w14:paraId="17440B7B" w14:textId="77777777" w:rsidR="00E55491" w:rsidRDefault="00E55491" w:rsidP="00D151A3">
            <w:pPr>
              <w:pStyle w:val="Tablecontent"/>
            </w:pPr>
            <w:r>
              <w:t>Number of VMs in the pool that is not used yet not available. The metric Desktop in Bad State can be unavailable because they are in one of these state</w:t>
            </w:r>
          </w:p>
          <w:p w14:paraId="287935B1" w14:textId="77777777" w:rsidR="00E55491" w:rsidRDefault="00E55491" w:rsidP="00D151A3">
            <w:pPr>
              <w:pStyle w:val="Bullet"/>
            </w:pPr>
            <w:r>
              <w:t xml:space="preserve">Provisioning | Customizing | Starting Up | Deleting | Waiting for Agent </w:t>
            </w:r>
          </w:p>
          <w:p w14:paraId="4D0D9021" w14:textId="77777777" w:rsidR="00E55491" w:rsidRDefault="00E55491" w:rsidP="00D151A3">
            <w:pPr>
              <w:pStyle w:val="Bullet"/>
            </w:pPr>
            <w:r>
              <w:t>Maintenance mode | In Progress</w:t>
            </w:r>
          </w:p>
          <w:p w14:paraId="1C5F311C" w14:textId="77777777" w:rsidR="00E55491" w:rsidRDefault="00E55491" w:rsidP="00D151A3">
            <w:pPr>
              <w:pStyle w:val="Bullet"/>
            </w:pPr>
            <w:r>
              <w:t>Agent disabled | Agent unreachable | Agent needs reboot</w:t>
            </w:r>
          </w:p>
          <w:p w14:paraId="0AEBC0F6" w14:textId="77777777" w:rsidR="00E55491" w:rsidRDefault="00E55491" w:rsidP="00D151A3">
            <w:pPr>
              <w:pStyle w:val="Bullet"/>
            </w:pPr>
            <w:r>
              <w:t>Invalid IP | Protocol failure | Domain failure</w:t>
            </w:r>
          </w:p>
          <w:p w14:paraId="11566347" w14:textId="77777777" w:rsidR="00E55491" w:rsidRDefault="00E55491" w:rsidP="00D151A3">
            <w:pPr>
              <w:pStyle w:val="Bullet"/>
            </w:pPr>
            <w:r>
              <w:t>Configuration error | Provisioning error | Error |Unknown</w:t>
            </w:r>
          </w:p>
          <w:p w14:paraId="3A2B6054" w14:textId="77777777" w:rsidR="00E55491" w:rsidRDefault="00E55491" w:rsidP="00D151A3">
            <w:pPr>
              <w:pStyle w:val="Tablecontent"/>
            </w:pPr>
            <w:r>
              <w:t xml:space="preserve">For the description, see </w:t>
            </w:r>
            <w:hyperlink r:id="rId1308" w:history="1">
              <w:r w:rsidRPr="007B3362">
                <w:rPr>
                  <w:rStyle w:val="Hyperlink"/>
                </w:rPr>
                <w:t>this</w:t>
              </w:r>
            </w:hyperlink>
            <w:r>
              <w:t xml:space="preserve">. </w:t>
            </w:r>
          </w:p>
        </w:tc>
      </w:tr>
      <w:tr w:rsidR="00E55491" w14:paraId="65191355" w14:textId="77777777" w:rsidTr="00281329">
        <w:tc>
          <w:tcPr>
            <w:tcW w:w="2127" w:type="dxa"/>
            <w:shd w:val="clear" w:color="auto" w:fill="F2F2F2" w:themeFill="background1" w:themeFillShade="F2"/>
          </w:tcPr>
          <w:p w14:paraId="0962A1B4" w14:textId="77777777" w:rsidR="00E55491" w:rsidRPr="009A020D" w:rsidRDefault="00E55491" w:rsidP="00D151A3">
            <w:pPr>
              <w:pStyle w:val="Tablecontent"/>
              <w:rPr>
                <w:b/>
                <w:bCs/>
              </w:rPr>
            </w:pPr>
            <w:r>
              <w:rPr>
                <w:b/>
                <w:bCs/>
              </w:rPr>
              <w:t>Horizon</w:t>
            </w:r>
            <w:r w:rsidRPr="009A020D">
              <w:rPr>
                <w:b/>
                <w:bCs/>
              </w:rPr>
              <w:t xml:space="preserve"> Server</w:t>
            </w:r>
          </w:p>
        </w:tc>
        <w:tc>
          <w:tcPr>
            <w:tcW w:w="8329" w:type="dxa"/>
          </w:tcPr>
          <w:p w14:paraId="27E22BD1" w14:textId="77777777" w:rsidR="00E55491" w:rsidRDefault="00E55491" w:rsidP="00D151A3">
            <w:pPr>
              <w:pStyle w:val="Tablecontent"/>
            </w:pPr>
            <w:r>
              <w:t>Connection Servers. Number of Servers that are not available in a pod. The formula depends on the design. If it is N+1, then the availability will be affected when there is &gt;1 unavailable server.</w:t>
            </w:r>
          </w:p>
          <w:p w14:paraId="2AB7B7F6" w14:textId="77777777" w:rsidR="00E55491" w:rsidRDefault="00E55491" w:rsidP="00D151A3">
            <w:pPr>
              <w:pStyle w:val="Tablecontent"/>
            </w:pPr>
            <w:r>
              <w:t>UAG Servers</w:t>
            </w:r>
          </w:p>
        </w:tc>
      </w:tr>
    </w:tbl>
    <w:p w14:paraId="0E07A236" w14:textId="77777777" w:rsidR="00E55491" w:rsidRDefault="00E55491" w:rsidP="00D151A3">
      <w:pPr>
        <w:pStyle w:val="Heading4"/>
      </w:pPr>
      <w:r>
        <w:t>Pods</w:t>
      </w:r>
    </w:p>
    <w:p w14:paraId="55E6AE88" w14:textId="77777777" w:rsidR="00E55491" w:rsidRPr="00AA5275" w:rsidRDefault="00E55491" w:rsidP="00D151A3">
      <w:pPr>
        <w:rPr>
          <w:lang w:val="en-GB"/>
        </w:rPr>
      </w:pPr>
      <w:r>
        <w:rPr>
          <w:lang w:val="en-GB"/>
        </w:rPr>
        <w:t xml:space="preserve">The pod provides a convenient summary, before diving into individual pool, farm and Horizon servers. </w:t>
      </w:r>
    </w:p>
    <w:p w14:paraId="0DC28B19" w14:textId="77777777" w:rsidR="00E55491" w:rsidRDefault="00E55491" w:rsidP="00D151A3">
      <w:pPr>
        <w:rPr>
          <w:lang w:val="en-GB"/>
        </w:rPr>
      </w:pPr>
      <w:r w:rsidRPr="00F46010">
        <w:rPr>
          <w:noProof/>
          <w:lang w:val="en-GB"/>
        </w:rPr>
        <w:drawing>
          <wp:inline distT="0" distB="0" distL="0" distR="0" wp14:anchorId="2CBA7336" wp14:editId="07E296E4">
            <wp:extent cx="6645910" cy="1835785"/>
            <wp:effectExtent l="0" t="0" r="2540" b="0"/>
            <wp:docPr id="534447535" name="Picture 53444753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447535" name="Picture 534447535" descr="Table&#10;&#10;Description automatically generated"/>
                    <pic:cNvPicPr/>
                  </pic:nvPicPr>
                  <pic:blipFill>
                    <a:blip r:embed="rId1309"/>
                    <a:stretch>
                      <a:fillRect/>
                    </a:stretch>
                  </pic:blipFill>
                  <pic:spPr>
                    <a:xfrm>
                      <a:off x="0" y="0"/>
                      <a:ext cx="6645910" cy="1835785"/>
                    </a:xfrm>
                    <a:prstGeom prst="rect">
                      <a:avLst/>
                    </a:prstGeom>
                  </pic:spPr>
                </pic:pic>
              </a:graphicData>
            </a:graphic>
          </wp:inline>
        </w:drawing>
      </w:r>
    </w:p>
    <w:p w14:paraId="7B5F02F0" w14:textId="77777777" w:rsidR="00E55491" w:rsidRDefault="00E55491" w:rsidP="00D151A3">
      <w:pPr>
        <w:rPr>
          <w:lang w:val="en-GB"/>
        </w:rPr>
      </w:pPr>
      <w:r>
        <w:rPr>
          <w:lang w:val="en-GB"/>
        </w:rPr>
        <w:t>For Horizon Servers within the pod, it’s covered under Horizon Server section.</w:t>
      </w:r>
    </w:p>
    <w:p w14:paraId="0700AE9F" w14:textId="77777777" w:rsidR="00E55491" w:rsidRDefault="00E55491" w:rsidP="00D151A3">
      <w:pPr>
        <w:pStyle w:val="Heading4"/>
      </w:pPr>
      <w:r>
        <w:t>RDS Farms</w:t>
      </w:r>
    </w:p>
    <w:p w14:paraId="4037BFEF" w14:textId="42984AE6" w:rsidR="00E55491" w:rsidRPr="007B2294" w:rsidRDefault="00E55491" w:rsidP="00D151A3">
      <w:pPr>
        <w:rPr>
          <w:lang w:val="en-GB"/>
        </w:rPr>
      </w:pPr>
      <w:r>
        <w:rPr>
          <w:lang w:val="en-GB"/>
        </w:rPr>
        <w:t>Availability at Pod level is about the number of unavailable RDS Host</w:t>
      </w:r>
      <w:r w:rsidR="00E4254C">
        <w:rPr>
          <w:lang w:val="en-GB"/>
        </w:rPr>
        <w:t xml:space="preserve">. </w:t>
      </w:r>
    </w:p>
    <w:p w14:paraId="35CB1A2D" w14:textId="77777777" w:rsidR="00E55491" w:rsidRDefault="00E55491" w:rsidP="00D151A3">
      <w:pPr>
        <w:rPr>
          <w:lang w:val="en-GB"/>
        </w:rPr>
      </w:pPr>
      <w:r w:rsidRPr="0090078F">
        <w:rPr>
          <w:noProof/>
          <w:lang w:val="en-GB"/>
        </w:rPr>
        <w:lastRenderedPageBreak/>
        <w:drawing>
          <wp:inline distT="0" distB="0" distL="0" distR="0" wp14:anchorId="1AC36C1E" wp14:editId="561772B8">
            <wp:extent cx="6645910" cy="2060575"/>
            <wp:effectExtent l="0" t="0" r="2540" b="0"/>
            <wp:docPr id="1293284840" name="Picture 129328484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3284840" name="Picture 1293284840" descr="Table&#10;&#10;Description automatically generated"/>
                    <pic:cNvPicPr/>
                  </pic:nvPicPr>
                  <pic:blipFill>
                    <a:blip r:embed="rId1310"/>
                    <a:stretch>
                      <a:fillRect/>
                    </a:stretch>
                  </pic:blipFill>
                  <pic:spPr>
                    <a:xfrm>
                      <a:off x="0" y="0"/>
                      <a:ext cx="6645910" cy="2060575"/>
                    </a:xfrm>
                    <a:prstGeom prst="rect">
                      <a:avLst/>
                    </a:prstGeom>
                  </pic:spPr>
                </pic:pic>
              </a:graphicData>
            </a:graphic>
          </wp:inline>
        </w:drawing>
      </w:r>
    </w:p>
    <w:p w14:paraId="4BB80ED5" w14:textId="77777777" w:rsidR="00E55491" w:rsidRDefault="00E55491" w:rsidP="00D151A3">
      <w:pPr>
        <w:rPr>
          <w:lang w:val="en-GB"/>
        </w:rPr>
      </w:pPr>
      <w:r>
        <w:rPr>
          <w:lang w:val="en-GB"/>
        </w:rPr>
        <w:t>The last part if the host status. This scoreboard focuses on the host status that needs attention. There are more status that can fit here, so if you want to see them all, customize this and make it 2 rows.</w:t>
      </w:r>
    </w:p>
    <w:p w14:paraId="6F1DDD17" w14:textId="77777777" w:rsidR="00E55491" w:rsidRDefault="00E55491" w:rsidP="00D151A3">
      <w:pPr>
        <w:pStyle w:val="Heading4"/>
      </w:pPr>
      <w:r>
        <w:t>VDI Pool</w:t>
      </w:r>
    </w:p>
    <w:p w14:paraId="67B7A1C8" w14:textId="6F445E56" w:rsidR="00E55491" w:rsidRPr="00BA3538" w:rsidRDefault="00E55491" w:rsidP="00D151A3">
      <w:pPr>
        <w:rPr>
          <w:lang w:val="en-GB"/>
        </w:rPr>
      </w:pPr>
      <w:r>
        <w:rPr>
          <w:lang w:val="en-GB"/>
        </w:rPr>
        <w:t>Availability at VDI Pool level is about the number of unavailable VDI desktops</w:t>
      </w:r>
      <w:r w:rsidR="00E4254C">
        <w:rPr>
          <w:lang w:val="en-GB"/>
        </w:rPr>
        <w:t xml:space="preserve">. </w:t>
      </w:r>
    </w:p>
    <w:p w14:paraId="0AC65B30" w14:textId="77777777" w:rsidR="00E55491" w:rsidRDefault="00E55491" w:rsidP="00D151A3">
      <w:pPr>
        <w:rPr>
          <w:lang w:val="en-GB"/>
        </w:rPr>
      </w:pPr>
      <w:r w:rsidRPr="001B0ED5">
        <w:rPr>
          <w:noProof/>
          <w:lang w:val="en-GB"/>
        </w:rPr>
        <w:drawing>
          <wp:inline distT="0" distB="0" distL="0" distR="0" wp14:anchorId="5C98E30B" wp14:editId="704B13E8">
            <wp:extent cx="6645910" cy="1515745"/>
            <wp:effectExtent l="0" t="0" r="2540" b="8255"/>
            <wp:docPr id="750070363" name="Picture 75007036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0070363" name="Picture 750070363" descr="Table&#10;&#10;Description automatically generated"/>
                    <pic:cNvPicPr/>
                  </pic:nvPicPr>
                  <pic:blipFill>
                    <a:blip r:embed="rId1311"/>
                    <a:stretch>
                      <a:fillRect/>
                    </a:stretch>
                  </pic:blipFill>
                  <pic:spPr>
                    <a:xfrm>
                      <a:off x="0" y="0"/>
                      <a:ext cx="6645910" cy="1515745"/>
                    </a:xfrm>
                    <a:prstGeom prst="rect">
                      <a:avLst/>
                    </a:prstGeom>
                  </pic:spPr>
                </pic:pic>
              </a:graphicData>
            </a:graphic>
          </wp:inline>
        </w:drawing>
      </w:r>
    </w:p>
    <w:p w14:paraId="76A4F8A1" w14:textId="77777777" w:rsidR="00E55491" w:rsidRDefault="00E55491" w:rsidP="00D151A3">
      <w:pPr>
        <w:rPr>
          <w:lang w:val="en-GB"/>
        </w:rPr>
      </w:pPr>
      <w:r>
        <w:rPr>
          <w:lang w:val="en-GB"/>
        </w:rPr>
        <w:t xml:space="preserve">Desktop availability can be caused by Horizon agent. </w:t>
      </w:r>
    </w:p>
    <w:p w14:paraId="31E34189" w14:textId="77777777" w:rsidR="00E55491" w:rsidRDefault="00E55491" w:rsidP="00D151A3">
      <w:pPr>
        <w:rPr>
          <w:lang w:val="en-GB"/>
        </w:rPr>
      </w:pPr>
      <w:r w:rsidRPr="001B0ED5">
        <w:rPr>
          <w:noProof/>
          <w:lang w:val="en-GB"/>
        </w:rPr>
        <w:drawing>
          <wp:inline distT="0" distB="0" distL="0" distR="0" wp14:anchorId="0B478F3D" wp14:editId="534ED6A0">
            <wp:extent cx="6645910" cy="906145"/>
            <wp:effectExtent l="0" t="0" r="2540" b="8255"/>
            <wp:docPr id="567723353" name="Picture 567723353" descr="Tabl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53" name="Picture 567723353" descr="Table&#10;&#10;Description automatically generated with low confidence"/>
                    <pic:cNvPicPr/>
                  </pic:nvPicPr>
                  <pic:blipFill>
                    <a:blip r:embed="rId1312"/>
                    <a:stretch>
                      <a:fillRect/>
                    </a:stretch>
                  </pic:blipFill>
                  <pic:spPr>
                    <a:xfrm>
                      <a:off x="0" y="0"/>
                      <a:ext cx="6645910" cy="906145"/>
                    </a:xfrm>
                    <a:prstGeom prst="rect">
                      <a:avLst/>
                    </a:prstGeom>
                  </pic:spPr>
                </pic:pic>
              </a:graphicData>
            </a:graphic>
          </wp:inline>
        </w:drawing>
      </w:r>
    </w:p>
    <w:p w14:paraId="7655E0C9" w14:textId="77777777" w:rsidR="00E55491" w:rsidRDefault="00E55491" w:rsidP="00D151A3">
      <w:pPr>
        <w:pStyle w:val="Heading4"/>
      </w:pPr>
      <w:r>
        <w:t>Horizon Servers</w:t>
      </w:r>
    </w:p>
    <w:p w14:paraId="579D6BD0" w14:textId="77777777" w:rsidR="00E55491" w:rsidRPr="0068156E" w:rsidRDefault="00E55491" w:rsidP="00D151A3">
      <w:pPr>
        <w:rPr>
          <w:lang w:val="en-GB"/>
        </w:rPr>
      </w:pPr>
      <w:r>
        <w:rPr>
          <w:lang w:val="en-GB"/>
        </w:rPr>
        <w:t>The dashboard covers Connection Servers and UAG. In future, we should add App Volume Managers. In the mean time, use custom group and super metrics</w:t>
      </w:r>
    </w:p>
    <w:p w14:paraId="4D3E00E0" w14:textId="77777777" w:rsidR="00E55491" w:rsidRDefault="00E55491" w:rsidP="00D151A3">
      <w:pPr>
        <w:rPr>
          <w:lang w:val="en-GB"/>
        </w:rPr>
      </w:pPr>
      <w:r w:rsidRPr="001B0ED5">
        <w:rPr>
          <w:noProof/>
          <w:lang w:val="en-GB"/>
        </w:rPr>
        <w:lastRenderedPageBreak/>
        <w:drawing>
          <wp:inline distT="0" distB="0" distL="0" distR="0" wp14:anchorId="128C8C33" wp14:editId="34EB2C5D">
            <wp:extent cx="6645910" cy="1098550"/>
            <wp:effectExtent l="0" t="0" r="2540" b="6350"/>
            <wp:docPr id="567723370" name="Picture 567723370"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70" name="Picture 567723370" descr="Graphical user interface&#10;&#10;Description automatically generated with medium confidence"/>
                    <pic:cNvPicPr/>
                  </pic:nvPicPr>
                  <pic:blipFill>
                    <a:blip r:embed="rId1313"/>
                    <a:stretch>
                      <a:fillRect/>
                    </a:stretch>
                  </pic:blipFill>
                  <pic:spPr>
                    <a:xfrm>
                      <a:off x="0" y="0"/>
                      <a:ext cx="6645910" cy="1098550"/>
                    </a:xfrm>
                    <a:prstGeom prst="rect">
                      <a:avLst/>
                    </a:prstGeom>
                  </pic:spPr>
                </pic:pic>
              </a:graphicData>
            </a:graphic>
          </wp:inline>
        </w:drawing>
      </w:r>
    </w:p>
    <w:p w14:paraId="5EB463F2" w14:textId="77777777" w:rsidR="00E55491" w:rsidRDefault="00E55491" w:rsidP="00D151A3">
      <w:pPr>
        <w:rPr>
          <w:lang w:val="en-GB"/>
        </w:rPr>
      </w:pPr>
    </w:p>
    <w:p w14:paraId="496B1B32" w14:textId="77777777" w:rsidR="00E55491" w:rsidRDefault="00E55491" w:rsidP="00D151A3">
      <w:pPr>
        <w:pStyle w:val="Heading3"/>
      </w:pPr>
      <w:r>
        <w:t>Configuration Dashboard</w:t>
      </w:r>
    </w:p>
    <w:p w14:paraId="2CFF36AA" w14:textId="77777777" w:rsidR="00E55491" w:rsidRDefault="00E55491" w:rsidP="00D151A3">
      <w:pPr>
        <w:rPr>
          <w:lang w:val="en-GB"/>
        </w:rPr>
      </w:pPr>
      <w:r>
        <w:rPr>
          <w:lang w:val="en-GB"/>
        </w:rPr>
        <w:t xml:space="preserve">Consistent configuration is important in DaaS, which is made of many software (Horizon, vSphere, NSX, vSAN, physical network, client, etc.). We’re following the configuration dashboard best practices documented </w:t>
      </w:r>
      <w:hyperlink w:anchor="_Configuration_Dashboards" w:history="1">
        <w:r w:rsidRPr="009C08BF">
          <w:rPr>
            <w:rStyle w:val="Hyperlink"/>
            <w:lang w:val="en-GB"/>
          </w:rPr>
          <w:t>here</w:t>
        </w:r>
      </w:hyperlink>
      <w:r>
        <w:rPr>
          <w:lang w:val="en-GB"/>
        </w:rPr>
        <w:t>. The following table summarizes the type of configuration issues we’re managing for DaaS.</w:t>
      </w:r>
    </w:p>
    <w:p w14:paraId="55E0E801" w14:textId="77777777" w:rsidR="00E55491" w:rsidRDefault="00E55491" w:rsidP="00D151A3">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835"/>
        <w:gridCol w:w="7621"/>
      </w:tblGrid>
      <w:tr w:rsidR="00E55491" w14:paraId="674461A2" w14:textId="77777777" w:rsidTr="00281329">
        <w:tc>
          <w:tcPr>
            <w:tcW w:w="2835" w:type="dxa"/>
            <w:shd w:val="clear" w:color="auto" w:fill="F2F2F2" w:themeFill="background1" w:themeFillShade="F2"/>
          </w:tcPr>
          <w:p w14:paraId="30315CCF" w14:textId="77777777" w:rsidR="00E55491" w:rsidRPr="00D21680" w:rsidRDefault="00E55491" w:rsidP="00D151A3">
            <w:pPr>
              <w:pStyle w:val="Tablecontent"/>
              <w:rPr>
                <w:b/>
                <w:bCs/>
              </w:rPr>
            </w:pPr>
            <w:r>
              <w:rPr>
                <w:b/>
                <w:bCs/>
              </w:rPr>
              <w:t>Incorrect Configuration</w:t>
            </w:r>
          </w:p>
        </w:tc>
        <w:tc>
          <w:tcPr>
            <w:tcW w:w="7621" w:type="dxa"/>
          </w:tcPr>
          <w:p w14:paraId="70C240FF" w14:textId="77777777" w:rsidR="00E55491" w:rsidRDefault="00E55491" w:rsidP="00D151A3">
            <w:pPr>
              <w:pStyle w:val="Tablecontent"/>
            </w:pPr>
            <w:r>
              <w:t xml:space="preserve">Address settings that are incorrect, insecure, not following your corporate standards or against Horizon best practice. </w:t>
            </w:r>
          </w:p>
        </w:tc>
      </w:tr>
      <w:tr w:rsidR="00E55491" w14:paraId="3933DC6B" w14:textId="77777777" w:rsidTr="00281329">
        <w:tc>
          <w:tcPr>
            <w:tcW w:w="2835" w:type="dxa"/>
            <w:shd w:val="clear" w:color="auto" w:fill="F2F2F2" w:themeFill="background1" w:themeFillShade="F2"/>
          </w:tcPr>
          <w:p w14:paraId="45626C60" w14:textId="77777777" w:rsidR="00E55491" w:rsidRPr="00D21680" w:rsidRDefault="00E55491" w:rsidP="00D151A3">
            <w:pPr>
              <w:pStyle w:val="Tablecontent"/>
              <w:rPr>
                <w:b/>
                <w:bCs/>
              </w:rPr>
            </w:pPr>
            <w:r>
              <w:rPr>
                <w:b/>
                <w:bCs/>
              </w:rPr>
              <w:t>Outdated Configuration</w:t>
            </w:r>
          </w:p>
        </w:tc>
        <w:tc>
          <w:tcPr>
            <w:tcW w:w="7621" w:type="dxa"/>
          </w:tcPr>
          <w:p w14:paraId="6BE4879F" w14:textId="77777777" w:rsidR="00E55491" w:rsidRDefault="00E55491" w:rsidP="00D151A3">
            <w:pPr>
              <w:pStyle w:val="Tablecontent"/>
            </w:pPr>
            <w:r>
              <w:t>The settings are</w:t>
            </w:r>
            <w:r w:rsidRPr="00E57E3F">
              <w:t xml:space="preserve"> correct, but on older version. </w:t>
            </w:r>
            <w:r>
              <w:t xml:space="preserve">It’s hard to keep up with all the vendors releases, so you should prioritize those oldest versions, especially those no longer supported. </w:t>
            </w:r>
          </w:p>
        </w:tc>
      </w:tr>
      <w:tr w:rsidR="00E55491" w14:paraId="521A516C" w14:textId="77777777" w:rsidTr="00281329">
        <w:tc>
          <w:tcPr>
            <w:tcW w:w="2835" w:type="dxa"/>
            <w:shd w:val="clear" w:color="auto" w:fill="F2F2F2" w:themeFill="background1" w:themeFillShade="F2"/>
          </w:tcPr>
          <w:p w14:paraId="159BBFE1" w14:textId="77777777" w:rsidR="00E55491" w:rsidRPr="00D21680" w:rsidRDefault="00E55491" w:rsidP="00D151A3">
            <w:pPr>
              <w:pStyle w:val="Tablecontent"/>
              <w:rPr>
                <w:b/>
                <w:bCs/>
              </w:rPr>
            </w:pPr>
            <w:r>
              <w:rPr>
                <w:b/>
                <w:bCs/>
              </w:rPr>
              <w:t>Complex Configuration</w:t>
            </w:r>
          </w:p>
        </w:tc>
        <w:tc>
          <w:tcPr>
            <w:tcW w:w="7621" w:type="dxa"/>
          </w:tcPr>
          <w:p w14:paraId="131CC766" w14:textId="77777777" w:rsidR="00E55491" w:rsidRDefault="00E55491" w:rsidP="00D151A3">
            <w:pPr>
              <w:pStyle w:val="Tablecontent"/>
            </w:pPr>
            <w:r>
              <w:t xml:space="preserve">The settings are </w:t>
            </w:r>
            <w:r w:rsidRPr="00DD3D01">
              <w:t>correct</w:t>
            </w:r>
            <w:r>
              <w:t xml:space="preserve"> and </w:t>
            </w:r>
            <w:r w:rsidRPr="00DD3D01">
              <w:t>up to date</w:t>
            </w:r>
            <w:r>
              <w:t>, but they</w:t>
            </w:r>
            <w:r w:rsidRPr="00DD3D01">
              <w:t xml:space="preserve"> complicates your </w:t>
            </w:r>
            <w:r>
              <w:t>D</w:t>
            </w:r>
            <w:r w:rsidRPr="00DD3D01">
              <w:t>aaS operations.</w:t>
            </w:r>
            <w:r>
              <w:t xml:space="preserve"> </w:t>
            </w:r>
          </w:p>
        </w:tc>
      </w:tr>
      <w:tr w:rsidR="00E55491" w14:paraId="01043C07" w14:textId="77777777" w:rsidTr="00281329">
        <w:tc>
          <w:tcPr>
            <w:tcW w:w="2835" w:type="dxa"/>
            <w:shd w:val="clear" w:color="auto" w:fill="F2F2F2" w:themeFill="background1" w:themeFillShade="F2"/>
          </w:tcPr>
          <w:p w14:paraId="56B26D02" w14:textId="77777777" w:rsidR="00E55491" w:rsidRPr="00D21680" w:rsidRDefault="00E55491" w:rsidP="00D151A3">
            <w:pPr>
              <w:pStyle w:val="Tablecontent"/>
              <w:rPr>
                <w:b/>
                <w:bCs/>
              </w:rPr>
            </w:pPr>
            <w:r>
              <w:rPr>
                <w:b/>
                <w:bCs/>
              </w:rPr>
              <w:t>Inefficient Configuration</w:t>
            </w:r>
          </w:p>
        </w:tc>
        <w:tc>
          <w:tcPr>
            <w:tcW w:w="7621" w:type="dxa"/>
          </w:tcPr>
          <w:p w14:paraId="160CB83A" w14:textId="77777777" w:rsidR="00E55491" w:rsidRDefault="00E55491" w:rsidP="00D151A3">
            <w:pPr>
              <w:pStyle w:val="Tablecontent"/>
            </w:pPr>
            <w:r>
              <w:t xml:space="preserve">The last step is about cost and capacity, as there is nothing wrong already. You want to maximize the usage of your resources while minimizing your cost. </w:t>
            </w:r>
          </w:p>
        </w:tc>
      </w:tr>
    </w:tbl>
    <w:p w14:paraId="1A7F7970" w14:textId="77777777" w:rsidR="00E55491" w:rsidRDefault="00E55491" w:rsidP="00D151A3">
      <w:pPr>
        <w:pStyle w:val="Heading4"/>
      </w:pPr>
      <w:r>
        <w:t>Horizon Client</w:t>
      </w:r>
    </w:p>
    <w:p w14:paraId="27628D90" w14:textId="77777777" w:rsidR="00E55491" w:rsidRDefault="00E55491" w:rsidP="00D151A3">
      <w:pPr>
        <w:rPr>
          <w:lang w:val="en-GB"/>
        </w:rPr>
      </w:pPr>
      <w:r>
        <w:rPr>
          <w:lang w:val="en-GB"/>
        </w:rPr>
        <w:t xml:space="preserve">While the server-side is under your control as Horizon administrator, the client-side depends on users cooperation. Using a pie chart, you can see what are the most common type of client, and their version of Horizon client software. </w:t>
      </w:r>
    </w:p>
    <w:p w14:paraId="0ADDA46C" w14:textId="77777777" w:rsidR="00E55491" w:rsidRPr="008C04C0" w:rsidRDefault="00E55491" w:rsidP="00D151A3">
      <w:pPr>
        <w:rPr>
          <w:lang w:val="en-GB"/>
        </w:rPr>
      </w:pPr>
      <w:r w:rsidRPr="00A33174">
        <w:rPr>
          <w:noProof/>
          <w:lang w:val="en-GB"/>
        </w:rPr>
        <w:lastRenderedPageBreak/>
        <w:drawing>
          <wp:inline distT="0" distB="0" distL="0" distR="0" wp14:anchorId="3D11A93A" wp14:editId="6995EDCF">
            <wp:extent cx="6645910" cy="1577340"/>
            <wp:effectExtent l="0" t="0" r="2540" b="3810"/>
            <wp:docPr id="357815420" name="Picture 357815420"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420" name="Picture 357815420" descr="Graphical user interface, text, application&#10;&#10;Description automatically generated"/>
                    <pic:cNvPicPr/>
                  </pic:nvPicPr>
                  <pic:blipFill>
                    <a:blip r:embed="rId1314"/>
                    <a:stretch>
                      <a:fillRect/>
                    </a:stretch>
                  </pic:blipFill>
                  <pic:spPr>
                    <a:xfrm>
                      <a:off x="0" y="0"/>
                      <a:ext cx="6645910" cy="1577340"/>
                    </a:xfrm>
                    <a:prstGeom prst="rect">
                      <a:avLst/>
                    </a:prstGeom>
                  </pic:spPr>
                </pic:pic>
              </a:graphicData>
            </a:graphic>
          </wp:inline>
        </w:drawing>
      </w:r>
    </w:p>
    <w:p w14:paraId="73F9698F" w14:textId="77777777" w:rsidR="00E55491" w:rsidRDefault="00E55491" w:rsidP="00D151A3">
      <w:pPr>
        <w:rPr>
          <w:lang w:val="en-GB"/>
        </w:rPr>
      </w:pPr>
      <w:r>
        <w:rPr>
          <w:lang w:val="en-GB"/>
        </w:rPr>
        <w:t xml:space="preserve">Ensure that the client version and type match your architecture documentation. </w:t>
      </w:r>
    </w:p>
    <w:p w14:paraId="42537C7C" w14:textId="77777777" w:rsidR="00E55491" w:rsidRDefault="00E55491" w:rsidP="00D151A3">
      <w:pPr>
        <w:rPr>
          <w:lang w:val="en-GB"/>
        </w:rPr>
      </w:pPr>
      <w:r>
        <w:rPr>
          <w:lang w:val="en-GB"/>
        </w:rPr>
        <w:t xml:space="preserve">At the server-side, ensure your Horizon agents software are up to date. </w:t>
      </w:r>
    </w:p>
    <w:p w14:paraId="17DB8813" w14:textId="77777777" w:rsidR="00E55491" w:rsidRDefault="00E55491" w:rsidP="00D151A3">
      <w:pPr>
        <w:jc w:val="center"/>
        <w:rPr>
          <w:lang w:val="en-GB"/>
        </w:rPr>
      </w:pPr>
      <w:r w:rsidRPr="006F7AA1">
        <w:rPr>
          <w:noProof/>
          <w:lang w:val="en-GB"/>
        </w:rPr>
        <w:drawing>
          <wp:inline distT="0" distB="0" distL="0" distR="0" wp14:anchorId="37D112F0" wp14:editId="6AD05AE0">
            <wp:extent cx="4187578" cy="1984958"/>
            <wp:effectExtent l="0" t="0" r="3810" b="0"/>
            <wp:docPr id="357815421" name="Picture 35781542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421" name="Picture 357815421" descr="Chart&#10;&#10;Description automatically generated"/>
                    <pic:cNvPicPr/>
                  </pic:nvPicPr>
                  <pic:blipFill>
                    <a:blip r:embed="rId1315"/>
                    <a:stretch>
                      <a:fillRect/>
                    </a:stretch>
                  </pic:blipFill>
                  <pic:spPr>
                    <a:xfrm>
                      <a:off x="0" y="0"/>
                      <a:ext cx="4193554" cy="1987791"/>
                    </a:xfrm>
                    <a:prstGeom prst="rect">
                      <a:avLst/>
                    </a:prstGeom>
                  </pic:spPr>
                </pic:pic>
              </a:graphicData>
            </a:graphic>
          </wp:inline>
        </w:drawing>
      </w:r>
    </w:p>
    <w:p w14:paraId="5C001160" w14:textId="77777777" w:rsidR="00E55491" w:rsidRDefault="00E55491" w:rsidP="00D151A3">
      <w:pPr>
        <w:rPr>
          <w:lang w:val="en-GB"/>
        </w:rPr>
      </w:pPr>
      <w:r>
        <w:rPr>
          <w:lang w:val="en-GB"/>
        </w:rPr>
        <w:t>BTW, the agents reporting version 0 – 0 could be test agent. Don’t worry about them.</w:t>
      </w:r>
    </w:p>
    <w:p w14:paraId="09A76CDD" w14:textId="77777777" w:rsidR="00E55491" w:rsidRDefault="00E55491" w:rsidP="00D151A3">
      <w:pPr>
        <w:pStyle w:val="Heading4"/>
      </w:pPr>
      <w:r>
        <w:t>Horizon Infrastructure</w:t>
      </w:r>
    </w:p>
    <w:p w14:paraId="77081DB8" w14:textId="77777777" w:rsidR="00E55491" w:rsidRPr="00341D5C" w:rsidRDefault="00E55491" w:rsidP="00D151A3">
      <w:pPr>
        <w:rPr>
          <w:lang w:val="en-GB"/>
        </w:rPr>
      </w:pPr>
      <w:r>
        <w:rPr>
          <w:lang w:val="en-GB"/>
        </w:rPr>
        <w:t xml:space="preserve">The simplest form of configuration widget is a table that lists the settings you’re interested. The dashboard starts with the list of pods. </w:t>
      </w:r>
      <w:r w:rsidRPr="00341D5C">
        <w:rPr>
          <w:noProof/>
          <w:lang w:val="en-GB"/>
        </w:rPr>
        <w:drawing>
          <wp:inline distT="0" distB="0" distL="0" distR="0" wp14:anchorId="563B2D79" wp14:editId="374C5C97">
            <wp:extent cx="6645910" cy="1256030"/>
            <wp:effectExtent l="0" t="0" r="2540" b="1270"/>
            <wp:docPr id="567723371" name="Picture 56772337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23371" name="Picture 567723371" descr="Table&#10;&#10;Description automatically generated"/>
                    <pic:cNvPicPr/>
                  </pic:nvPicPr>
                  <pic:blipFill>
                    <a:blip r:embed="rId1316"/>
                    <a:stretch>
                      <a:fillRect/>
                    </a:stretch>
                  </pic:blipFill>
                  <pic:spPr>
                    <a:xfrm>
                      <a:off x="0" y="0"/>
                      <a:ext cx="6645910" cy="1256030"/>
                    </a:xfrm>
                    <a:prstGeom prst="rect">
                      <a:avLst/>
                    </a:prstGeom>
                  </pic:spPr>
                </pic:pic>
              </a:graphicData>
            </a:graphic>
          </wp:inline>
        </w:drawing>
      </w:r>
    </w:p>
    <w:p w14:paraId="0D6907F8" w14:textId="77777777" w:rsidR="00E55491" w:rsidRDefault="00E55491" w:rsidP="00D151A3">
      <w:pPr>
        <w:rPr>
          <w:lang w:val="en-GB"/>
        </w:rPr>
      </w:pPr>
      <w:r>
        <w:rPr>
          <w:lang w:val="en-GB"/>
        </w:rPr>
        <w:t>In large environment, consider adding interaction, so the list of pools and farms are only showing the list from the selected pod.</w:t>
      </w:r>
    </w:p>
    <w:p w14:paraId="11636CC5" w14:textId="77777777" w:rsidR="00E55491" w:rsidRDefault="00E55491" w:rsidP="00D151A3">
      <w:pPr>
        <w:rPr>
          <w:lang w:val="en-GB"/>
        </w:rPr>
      </w:pPr>
      <w:r>
        <w:rPr>
          <w:lang w:val="en-GB"/>
        </w:rPr>
        <w:t xml:space="preserve">The following table shows an example for VDI Pool configuration. </w:t>
      </w:r>
    </w:p>
    <w:p w14:paraId="2E507378" w14:textId="77777777" w:rsidR="00E55491" w:rsidRDefault="00E55491" w:rsidP="00D151A3">
      <w:pPr>
        <w:rPr>
          <w:lang w:val="en-GB"/>
        </w:rPr>
      </w:pPr>
      <w:r w:rsidRPr="00003288">
        <w:rPr>
          <w:noProof/>
          <w:lang w:val="en-GB"/>
        </w:rPr>
        <w:lastRenderedPageBreak/>
        <w:drawing>
          <wp:inline distT="0" distB="0" distL="0" distR="0" wp14:anchorId="0788DA56" wp14:editId="282CC1AD">
            <wp:extent cx="6645910" cy="782955"/>
            <wp:effectExtent l="0" t="0" r="2540" b="0"/>
            <wp:docPr id="1583707909" name="Picture 1583707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7"/>
                    <a:stretch>
                      <a:fillRect/>
                    </a:stretch>
                  </pic:blipFill>
                  <pic:spPr>
                    <a:xfrm>
                      <a:off x="0" y="0"/>
                      <a:ext cx="6645910" cy="782955"/>
                    </a:xfrm>
                    <a:prstGeom prst="rect">
                      <a:avLst/>
                    </a:prstGeom>
                  </pic:spPr>
                </pic:pic>
              </a:graphicData>
            </a:graphic>
          </wp:inline>
        </w:drawing>
      </w:r>
    </w:p>
    <w:p w14:paraId="5F6A9B62" w14:textId="77777777" w:rsidR="00E55491" w:rsidRDefault="00E55491" w:rsidP="00D151A3">
      <w:pPr>
        <w:rPr>
          <w:lang w:val="en-GB"/>
        </w:rPr>
      </w:pPr>
      <w:r>
        <w:rPr>
          <w:lang w:val="en-GB"/>
        </w:rPr>
        <w:t>And here is the example for RDS Farm</w:t>
      </w:r>
    </w:p>
    <w:p w14:paraId="17D7E1CF" w14:textId="77777777" w:rsidR="00E55491" w:rsidRDefault="00E55491" w:rsidP="00D151A3">
      <w:pPr>
        <w:rPr>
          <w:lang w:val="en-GB"/>
        </w:rPr>
      </w:pPr>
      <w:r w:rsidRPr="00305749">
        <w:rPr>
          <w:noProof/>
          <w:lang w:val="en-GB"/>
        </w:rPr>
        <w:drawing>
          <wp:inline distT="0" distB="0" distL="0" distR="0" wp14:anchorId="580ED8AC" wp14:editId="4C9B1B9F">
            <wp:extent cx="6645910" cy="871220"/>
            <wp:effectExtent l="0" t="0" r="2540" b="5080"/>
            <wp:docPr id="1583707910" name="Picture 15837079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10" name="Picture 1583707910" descr="Table&#10;&#10;Description automatically generated"/>
                    <pic:cNvPicPr/>
                  </pic:nvPicPr>
                  <pic:blipFill>
                    <a:blip r:embed="rId1318"/>
                    <a:stretch>
                      <a:fillRect/>
                    </a:stretch>
                  </pic:blipFill>
                  <pic:spPr>
                    <a:xfrm>
                      <a:off x="0" y="0"/>
                      <a:ext cx="6645910" cy="871220"/>
                    </a:xfrm>
                    <a:prstGeom prst="rect">
                      <a:avLst/>
                    </a:prstGeom>
                  </pic:spPr>
                </pic:pic>
              </a:graphicData>
            </a:graphic>
          </wp:inline>
        </w:drawing>
      </w:r>
    </w:p>
    <w:p w14:paraId="4FFE888E" w14:textId="77777777" w:rsidR="00E55491" w:rsidRDefault="00E55491" w:rsidP="00D151A3">
      <w:pPr>
        <w:rPr>
          <w:lang w:val="en-GB"/>
        </w:rPr>
      </w:pPr>
      <w:r>
        <w:rPr>
          <w:lang w:val="en-GB"/>
        </w:rPr>
        <w:t xml:space="preserve">For Connection Servers, consider checking the following. </w:t>
      </w:r>
    </w:p>
    <w:p w14:paraId="72C99EED" w14:textId="77777777" w:rsidR="00E55491" w:rsidRDefault="00E55491" w:rsidP="00D151A3">
      <w:pPr>
        <w:rPr>
          <w:lang w:val="en-GB"/>
        </w:rPr>
      </w:pPr>
      <w:r w:rsidRPr="00A024AB">
        <w:rPr>
          <w:noProof/>
          <w:lang w:val="en-GB"/>
        </w:rPr>
        <w:drawing>
          <wp:inline distT="0" distB="0" distL="0" distR="0" wp14:anchorId="757F7422" wp14:editId="3597203B">
            <wp:extent cx="6645910" cy="915035"/>
            <wp:effectExtent l="0" t="0" r="2540" b="0"/>
            <wp:docPr id="1583707911" name="Picture 1583707911"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11" name="Picture 1583707911" descr="Graphical user interface&#10;&#10;Description automatically generated with medium confidence"/>
                    <pic:cNvPicPr/>
                  </pic:nvPicPr>
                  <pic:blipFill>
                    <a:blip r:embed="rId1319"/>
                    <a:stretch>
                      <a:fillRect/>
                    </a:stretch>
                  </pic:blipFill>
                  <pic:spPr>
                    <a:xfrm>
                      <a:off x="0" y="0"/>
                      <a:ext cx="6645910" cy="915035"/>
                    </a:xfrm>
                    <a:prstGeom prst="rect">
                      <a:avLst/>
                    </a:prstGeom>
                  </pic:spPr>
                </pic:pic>
              </a:graphicData>
            </a:graphic>
          </wp:inline>
        </w:drawing>
      </w:r>
    </w:p>
    <w:p w14:paraId="3BE2E727" w14:textId="77777777" w:rsidR="00E55491" w:rsidRDefault="00E55491" w:rsidP="00D151A3">
      <w:pPr>
        <w:rPr>
          <w:lang w:val="en-GB"/>
        </w:rPr>
      </w:pPr>
      <w:r>
        <w:rPr>
          <w:lang w:val="en-GB"/>
        </w:rPr>
        <w:t xml:space="preserve">Why are they grouped by Pod? </w:t>
      </w:r>
    </w:p>
    <w:p w14:paraId="0ACAA328" w14:textId="77777777" w:rsidR="00E55491" w:rsidRDefault="00E55491" w:rsidP="00D151A3">
      <w:pPr>
        <w:rPr>
          <w:lang w:val="en-GB"/>
        </w:rPr>
      </w:pPr>
      <w:r>
        <w:rPr>
          <w:lang w:val="en-GB"/>
        </w:rPr>
        <w:t>The servers within a pod should be consistent. Their build numbers, certificates and other settings should be identical.</w:t>
      </w:r>
    </w:p>
    <w:p w14:paraId="1AE1DCCC" w14:textId="77777777" w:rsidR="00E55491" w:rsidRPr="008D44BD" w:rsidRDefault="00E55491" w:rsidP="00D151A3">
      <w:pPr>
        <w:rPr>
          <w:lang w:val="en-GB"/>
        </w:rPr>
      </w:pPr>
      <w:r>
        <w:rPr>
          <w:lang w:val="en-GB"/>
        </w:rPr>
        <w:t>If performance matters, check the power management of ESXi Host. For the clusters hosting the actual sessions, set it to high performance, and not balanced. Take note that this means you forgot Turbo Boost.</w:t>
      </w:r>
    </w:p>
    <w:p w14:paraId="65E0387A" w14:textId="77777777" w:rsidR="00E55491" w:rsidRDefault="00E55491" w:rsidP="00D151A3">
      <w:pPr>
        <w:pStyle w:val="Heading3"/>
      </w:pPr>
      <w:r>
        <w:t>Inventory Dashboard</w:t>
      </w:r>
    </w:p>
    <w:p w14:paraId="65E38D44" w14:textId="77777777" w:rsidR="00E55491" w:rsidRDefault="00E55491" w:rsidP="00D151A3">
      <w:pPr>
        <w:rPr>
          <w:lang w:val="en-GB"/>
        </w:rPr>
      </w:pPr>
      <w:r>
        <w:rPr>
          <w:lang w:val="en-GB"/>
        </w:rPr>
        <w:t xml:space="preserve">The inventory dashboard follows the same design with vSphere inventory dashboards. The goal is to see the changes in inventory count (as opposed to configuration drift). </w:t>
      </w:r>
    </w:p>
    <w:p w14:paraId="65AF4796" w14:textId="77777777" w:rsidR="00E55491" w:rsidRDefault="00E55491" w:rsidP="00D151A3">
      <w:pPr>
        <w:rPr>
          <w:lang w:val="en-GB"/>
        </w:rPr>
      </w:pPr>
      <w:r>
        <w:rPr>
          <w:lang w:val="en-GB"/>
        </w:rPr>
        <w:t>Inventory is easily confused with configuration as they do overlap, and both contribute to capacity. A VDI Pool configured with 200 VM. If these 200 were provisioned, the pool does have an inventory of 200 VM. You then inventorise them, categorizing them into available (for users to use), used (a session is logged in) or unavailable (errors or under maintenance).</w:t>
      </w:r>
    </w:p>
    <w:p w14:paraId="105A3630" w14:textId="77777777" w:rsidR="00E55491" w:rsidRPr="003A093A" w:rsidRDefault="00E55491" w:rsidP="00D151A3">
      <w:pPr>
        <w:rPr>
          <w:lang w:val="en-GB"/>
        </w:rPr>
      </w:pPr>
      <w:r>
        <w:rPr>
          <w:lang w:val="en-GB"/>
        </w:rPr>
        <w:t>The dashboard sports a headline number, providing quick summary of what you have.</w:t>
      </w:r>
    </w:p>
    <w:p w14:paraId="6FDD8A1B" w14:textId="77777777" w:rsidR="00E55491" w:rsidRDefault="00E55491" w:rsidP="00D151A3">
      <w:pPr>
        <w:rPr>
          <w:lang w:val="en-GB"/>
        </w:rPr>
      </w:pPr>
      <w:r w:rsidRPr="006E47B7">
        <w:rPr>
          <w:noProof/>
          <w:lang w:val="en-GB"/>
        </w:rPr>
        <w:drawing>
          <wp:inline distT="0" distB="0" distL="0" distR="0" wp14:anchorId="01BC5639" wp14:editId="31447391">
            <wp:extent cx="6645910" cy="695325"/>
            <wp:effectExtent l="0" t="0" r="2540" b="9525"/>
            <wp:docPr id="567723365" name="Picture 567723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0"/>
                    <a:stretch>
                      <a:fillRect/>
                    </a:stretch>
                  </pic:blipFill>
                  <pic:spPr>
                    <a:xfrm>
                      <a:off x="0" y="0"/>
                      <a:ext cx="6645910" cy="695325"/>
                    </a:xfrm>
                    <a:prstGeom prst="rect">
                      <a:avLst/>
                    </a:prstGeom>
                  </pic:spPr>
                </pic:pic>
              </a:graphicData>
            </a:graphic>
          </wp:inline>
        </w:drawing>
      </w:r>
    </w:p>
    <w:p w14:paraId="21081044" w14:textId="77777777" w:rsidR="00E55491" w:rsidRPr="006E47B7" w:rsidRDefault="00E55491" w:rsidP="00D151A3">
      <w:pPr>
        <w:rPr>
          <w:lang w:val="en-GB"/>
        </w:rPr>
      </w:pPr>
      <w:r>
        <w:rPr>
          <w:lang w:val="en-GB"/>
        </w:rPr>
        <w:lastRenderedPageBreak/>
        <w:t>Below the table, you will find the usual relationship widget that you expect from all inventory dashboards. Relationship matters in inventory, as inventory is about what you have where (in which location).</w:t>
      </w:r>
    </w:p>
    <w:p w14:paraId="4D64CE41" w14:textId="77777777" w:rsidR="00E55491" w:rsidRDefault="00E55491" w:rsidP="00D151A3">
      <w:pPr>
        <w:rPr>
          <w:lang w:val="en-GB"/>
        </w:rPr>
      </w:pPr>
      <w:r w:rsidRPr="00C1193F">
        <w:rPr>
          <w:noProof/>
          <w:lang w:val="en-GB"/>
        </w:rPr>
        <w:drawing>
          <wp:inline distT="0" distB="0" distL="0" distR="0" wp14:anchorId="2A12579F" wp14:editId="1CB8465B">
            <wp:extent cx="6645910" cy="3903345"/>
            <wp:effectExtent l="0" t="0" r="2540" b="1905"/>
            <wp:docPr id="1583707913" name="Picture 1583707913"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707913" name="Picture 1583707913" descr="A picture containing graphical user interface&#10;&#10;Description automatically generated"/>
                    <pic:cNvPicPr/>
                  </pic:nvPicPr>
                  <pic:blipFill>
                    <a:blip r:embed="rId1321"/>
                    <a:stretch>
                      <a:fillRect/>
                    </a:stretch>
                  </pic:blipFill>
                  <pic:spPr>
                    <a:xfrm>
                      <a:off x="0" y="0"/>
                      <a:ext cx="6645910" cy="3903345"/>
                    </a:xfrm>
                    <a:prstGeom prst="rect">
                      <a:avLst/>
                    </a:prstGeom>
                  </pic:spPr>
                </pic:pic>
              </a:graphicData>
            </a:graphic>
          </wp:inline>
        </w:drawing>
      </w:r>
    </w:p>
    <w:p w14:paraId="2F496D61" w14:textId="77777777" w:rsidR="00E55491" w:rsidRDefault="00E55491" w:rsidP="00D151A3">
      <w:pPr>
        <w:rPr>
          <w:lang w:val="en-GB"/>
        </w:rPr>
      </w:pPr>
      <w:r>
        <w:rPr>
          <w:lang w:val="en-GB"/>
        </w:rPr>
        <w:t>What inventory should we track for VDI Pools?</w:t>
      </w:r>
    </w:p>
    <w:p w14:paraId="2EF5ECF1" w14:textId="77777777" w:rsidR="00E55491" w:rsidRDefault="00E55491" w:rsidP="00D151A3">
      <w:pPr>
        <w:rPr>
          <w:lang w:val="en-GB"/>
        </w:rPr>
      </w:pPr>
      <w:r>
        <w:rPr>
          <w:lang w:val="en-GB"/>
        </w:rPr>
        <w:t>It’s a little tricky as it overlaps with configuration and capacity.</w:t>
      </w:r>
    </w:p>
    <w:p w14:paraId="2B8FB710" w14:textId="77777777" w:rsidR="00E55491" w:rsidRDefault="00E55491" w:rsidP="00D151A3">
      <w:pPr>
        <w:rPr>
          <w:lang w:val="en-GB"/>
        </w:rPr>
      </w:pPr>
      <w:r>
        <w:rPr>
          <w:lang w:val="en-GB"/>
        </w:rPr>
        <w:t>At overall levels:</w:t>
      </w:r>
    </w:p>
    <w:p w14:paraId="436EAEAA" w14:textId="77777777" w:rsidR="00E55491" w:rsidRDefault="00E55491" w:rsidP="00D151A3">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410"/>
        <w:gridCol w:w="8046"/>
      </w:tblGrid>
      <w:tr w:rsidR="00E55491" w14:paraId="451C386B" w14:textId="77777777" w:rsidTr="00281329">
        <w:tc>
          <w:tcPr>
            <w:tcW w:w="2410" w:type="dxa"/>
            <w:shd w:val="clear" w:color="auto" w:fill="F2F2F2" w:themeFill="background1" w:themeFillShade="F2"/>
          </w:tcPr>
          <w:p w14:paraId="082F7F09" w14:textId="77777777" w:rsidR="00E55491" w:rsidRPr="009A020D" w:rsidRDefault="00E55491" w:rsidP="00D151A3">
            <w:pPr>
              <w:pStyle w:val="Tablecontent"/>
              <w:rPr>
                <w:b/>
                <w:bCs/>
              </w:rPr>
            </w:pPr>
            <w:r>
              <w:rPr>
                <w:b/>
                <w:bCs/>
              </w:rPr>
              <w:t>Number of pools</w:t>
            </w:r>
          </w:p>
        </w:tc>
        <w:tc>
          <w:tcPr>
            <w:tcW w:w="8046" w:type="dxa"/>
            <w:vMerge w:val="restart"/>
          </w:tcPr>
          <w:p w14:paraId="2129367E" w14:textId="77777777" w:rsidR="00E55491" w:rsidRDefault="00E55491" w:rsidP="00D151A3">
            <w:pPr>
              <w:pStyle w:val="Tablecontent"/>
            </w:pPr>
            <w:r>
              <w:t xml:space="preserve">Yes, you configure this by design, but it’s also part of your inventory. </w:t>
            </w:r>
          </w:p>
        </w:tc>
      </w:tr>
      <w:tr w:rsidR="00E55491" w14:paraId="5915D9D7" w14:textId="77777777" w:rsidTr="00281329">
        <w:tc>
          <w:tcPr>
            <w:tcW w:w="2410" w:type="dxa"/>
            <w:shd w:val="clear" w:color="auto" w:fill="F2F2F2" w:themeFill="background1" w:themeFillShade="F2"/>
          </w:tcPr>
          <w:p w14:paraId="66AD46FF" w14:textId="77777777" w:rsidR="00E55491" w:rsidRDefault="00E55491" w:rsidP="00D151A3">
            <w:pPr>
              <w:pStyle w:val="Tablecontent"/>
              <w:rPr>
                <w:b/>
                <w:bCs/>
              </w:rPr>
            </w:pPr>
            <w:r>
              <w:rPr>
                <w:b/>
                <w:bCs/>
              </w:rPr>
              <w:t>Number of RDS Farms</w:t>
            </w:r>
          </w:p>
        </w:tc>
        <w:tc>
          <w:tcPr>
            <w:tcW w:w="8046" w:type="dxa"/>
            <w:vMerge/>
          </w:tcPr>
          <w:p w14:paraId="20899495" w14:textId="77777777" w:rsidR="00E55491" w:rsidRDefault="00E55491" w:rsidP="00D151A3">
            <w:pPr>
              <w:pStyle w:val="Tablecontent"/>
            </w:pPr>
          </w:p>
        </w:tc>
      </w:tr>
      <w:tr w:rsidR="00E55491" w14:paraId="220FD428" w14:textId="77777777" w:rsidTr="00281329">
        <w:tc>
          <w:tcPr>
            <w:tcW w:w="2410" w:type="dxa"/>
            <w:shd w:val="clear" w:color="auto" w:fill="F2F2F2" w:themeFill="background1" w:themeFillShade="F2"/>
          </w:tcPr>
          <w:p w14:paraId="3652F269" w14:textId="77777777" w:rsidR="00E55491" w:rsidRDefault="00E55491" w:rsidP="00D151A3">
            <w:pPr>
              <w:pStyle w:val="Tablecontent"/>
              <w:rPr>
                <w:b/>
                <w:bCs/>
              </w:rPr>
            </w:pPr>
            <w:r>
              <w:rPr>
                <w:b/>
                <w:bCs/>
              </w:rPr>
              <w:t>Total users</w:t>
            </w:r>
          </w:p>
        </w:tc>
        <w:tc>
          <w:tcPr>
            <w:tcW w:w="8046" w:type="dxa"/>
          </w:tcPr>
          <w:p w14:paraId="272A6FCD" w14:textId="77777777" w:rsidR="00E55491" w:rsidRDefault="00E55491" w:rsidP="00D151A3">
            <w:pPr>
              <w:pStyle w:val="Tablecontent"/>
            </w:pPr>
          </w:p>
        </w:tc>
      </w:tr>
      <w:tr w:rsidR="00E55491" w14:paraId="394F77BB" w14:textId="77777777" w:rsidTr="00281329">
        <w:tc>
          <w:tcPr>
            <w:tcW w:w="2410" w:type="dxa"/>
            <w:shd w:val="clear" w:color="auto" w:fill="F2F2F2" w:themeFill="background1" w:themeFillShade="F2"/>
          </w:tcPr>
          <w:p w14:paraId="544ABD59" w14:textId="77777777" w:rsidR="00E55491" w:rsidRDefault="00E55491" w:rsidP="00D151A3">
            <w:pPr>
              <w:pStyle w:val="Tablecontent"/>
              <w:rPr>
                <w:b/>
                <w:bCs/>
              </w:rPr>
            </w:pPr>
            <w:r>
              <w:rPr>
                <w:b/>
                <w:bCs/>
              </w:rPr>
              <w:t>Active users</w:t>
            </w:r>
          </w:p>
        </w:tc>
        <w:tc>
          <w:tcPr>
            <w:tcW w:w="8046" w:type="dxa"/>
          </w:tcPr>
          <w:p w14:paraId="524EEFB9" w14:textId="77777777" w:rsidR="00E55491" w:rsidRDefault="00E55491" w:rsidP="00D151A3">
            <w:pPr>
              <w:pStyle w:val="Tablecontent"/>
            </w:pPr>
          </w:p>
        </w:tc>
      </w:tr>
      <w:tr w:rsidR="00E55491" w14:paraId="32B189B0" w14:textId="77777777" w:rsidTr="00281329">
        <w:tc>
          <w:tcPr>
            <w:tcW w:w="2410" w:type="dxa"/>
            <w:shd w:val="clear" w:color="auto" w:fill="F2F2F2" w:themeFill="background1" w:themeFillShade="F2"/>
          </w:tcPr>
          <w:p w14:paraId="38B10D83" w14:textId="77777777" w:rsidR="00E55491" w:rsidRDefault="00E55491" w:rsidP="00D151A3">
            <w:pPr>
              <w:pStyle w:val="Tablecontent"/>
              <w:rPr>
                <w:b/>
                <w:bCs/>
              </w:rPr>
            </w:pPr>
            <w:r>
              <w:rPr>
                <w:b/>
                <w:bCs/>
              </w:rPr>
              <w:t>Client Types</w:t>
            </w:r>
          </w:p>
        </w:tc>
        <w:tc>
          <w:tcPr>
            <w:tcW w:w="8046" w:type="dxa"/>
          </w:tcPr>
          <w:p w14:paraId="7B60267D" w14:textId="77777777" w:rsidR="00E55491" w:rsidRDefault="00E55491" w:rsidP="00D151A3">
            <w:pPr>
              <w:pStyle w:val="Tablecontent"/>
            </w:pPr>
            <w:r>
              <w:t>Types of clients (thin client, mobile, tablet, etc.)</w:t>
            </w:r>
          </w:p>
        </w:tc>
      </w:tr>
    </w:tbl>
    <w:p w14:paraId="5FFBFD93" w14:textId="77777777" w:rsidR="00E55491" w:rsidRDefault="00E55491" w:rsidP="00D151A3">
      <w:pPr>
        <w:rPr>
          <w:lang w:val="en-GB"/>
        </w:rPr>
      </w:pPr>
      <w:r>
        <w:rPr>
          <w:lang w:val="en-GB"/>
        </w:rPr>
        <w:t>At individual VDI Pool level:</w:t>
      </w:r>
    </w:p>
    <w:p w14:paraId="613BEC08" w14:textId="77777777" w:rsidR="00E55491" w:rsidRDefault="00E55491" w:rsidP="00D151A3">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410"/>
        <w:gridCol w:w="8046"/>
      </w:tblGrid>
      <w:tr w:rsidR="00E55491" w14:paraId="5AE3EA42" w14:textId="77777777" w:rsidTr="00281329">
        <w:tc>
          <w:tcPr>
            <w:tcW w:w="2410" w:type="dxa"/>
            <w:shd w:val="clear" w:color="auto" w:fill="F2F2F2" w:themeFill="background1" w:themeFillShade="F2"/>
          </w:tcPr>
          <w:p w14:paraId="52DAE3DE" w14:textId="77777777" w:rsidR="00E55491" w:rsidRPr="009A020D" w:rsidRDefault="00E55491" w:rsidP="00D151A3">
            <w:pPr>
              <w:pStyle w:val="Tablecontent"/>
              <w:rPr>
                <w:b/>
                <w:bCs/>
              </w:rPr>
            </w:pPr>
            <w:r>
              <w:rPr>
                <w:b/>
                <w:bCs/>
              </w:rPr>
              <w:t>Available desktops</w:t>
            </w:r>
          </w:p>
        </w:tc>
        <w:tc>
          <w:tcPr>
            <w:tcW w:w="8046" w:type="dxa"/>
            <w:vMerge w:val="restart"/>
          </w:tcPr>
          <w:p w14:paraId="3264AA3E" w14:textId="77777777" w:rsidR="00E55491" w:rsidRDefault="00E55491" w:rsidP="00D151A3">
            <w:pPr>
              <w:pStyle w:val="Tablecontent"/>
            </w:pPr>
            <w:r>
              <w:t>how many desktops are used vs unused. For the unused, have the breakdown (error, under maintenance, available).</w:t>
            </w:r>
          </w:p>
        </w:tc>
      </w:tr>
      <w:tr w:rsidR="00E55491" w14:paraId="0EC0AE0A" w14:textId="77777777" w:rsidTr="00281329">
        <w:tc>
          <w:tcPr>
            <w:tcW w:w="2410" w:type="dxa"/>
            <w:shd w:val="clear" w:color="auto" w:fill="F2F2F2" w:themeFill="background1" w:themeFillShade="F2"/>
          </w:tcPr>
          <w:p w14:paraId="749EC8BB" w14:textId="77777777" w:rsidR="00E55491" w:rsidRDefault="00E55491" w:rsidP="00D151A3">
            <w:pPr>
              <w:pStyle w:val="Tablecontent"/>
              <w:rPr>
                <w:b/>
                <w:bCs/>
              </w:rPr>
            </w:pPr>
            <w:r>
              <w:rPr>
                <w:b/>
                <w:bCs/>
              </w:rPr>
              <w:t>Used desktops</w:t>
            </w:r>
          </w:p>
        </w:tc>
        <w:tc>
          <w:tcPr>
            <w:tcW w:w="8046" w:type="dxa"/>
            <w:vMerge/>
          </w:tcPr>
          <w:p w14:paraId="0A879736" w14:textId="77777777" w:rsidR="00E55491" w:rsidRDefault="00E55491" w:rsidP="00D151A3">
            <w:pPr>
              <w:pStyle w:val="Tablecontent"/>
            </w:pPr>
          </w:p>
        </w:tc>
      </w:tr>
      <w:tr w:rsidR="00E55491" w14:paraId="05146F91" w14:textId="77777777" w:rsidTr="00281329">
        <w:tc>
          <w:tcPr>
            <w:tcW w:w="2410" w:type="dxa"/>
            <w:shd w:val="clear" w:color="auto" w:fill="F2F2F2" w:themeFill="background1" w:themeFillShade="F2"/>
          </w:tcPr>
          <w:p w14:paraId="10E16AAF" w14:textId="77777777" w:rsidR="00E55491" w:rsidRDefault="00E55491" w:rsidP="00D151A3">
            <w:pPr>
              <w:pStyle w:val="Tablecontent"/>
              <w:rPr>
                <w:b/>
                <w:bCs/>
              </w:rPr>
            </w:pPr>
            <w:r>
              <w:rPr>
                <w:b/>
                <w:bCs/>
              </w:rPr>
              <w:t>Error desktops</w:t>
            </w:r>
          </w:p>
        </w:tc>
        <w:tc>
          <w:tcPr>
            <w:tcW w:w="8046" w:type="dxa"/>
            <w:vMerge/>
          </w:tcPr>
          <w:p w14:paraId="32C68621" w14:textId="77777777" w:rsidR="00E55491" w:rsidRDefault="00E55491" w:rsidP="00D151A3">
            <w:pPr>
              <w:pStyle w:val="Tablecontent"/>
            </w:pPr>
          </w:p>
        </w:tc>
      </w:tr>
    </w:tbl>
    <w:p w14:paraId="7C08BD67" w14:textId="77777777" w:rsidR="00E55491" w:rsidRDefault="00E55491" w:rsidP="00D151A3">
      <w:pPr>
        <w:rPr>
          <w:lang w:val="en-GB"/>
        </w:rPr>
      </w:pPr>
      <w:r>
        <w:rPr>
          <w:lang w:val="en-GB"/>
        </w:rPr>
        <w:t>At individual RDS Farm level:</w:t>
      </w:r>
    </w:p>
    <w:p w14:paraId="76570D4E" w14:textId="77777777" w:rsidR="00E55491" w:rsidRDefault="00E55491" w:rsidP="00D151A3">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2410"/>
        <w:gridCol w:w="8046"/>
      </w:tblGrid>
      <w:tr w:rsidR="00E55491" w14:paraId="7E297FF5" w14:textId="77777777" w:rsidTr="00281329">
        <w:tc>
          <w:tcPr>
            <w:tcW w:w="2410" w:type="dxa"/>
            <w:shd w:val="clear" w:color="auto" w:fill="F2F2F2" w:themeFill="background1" w:themeFillShade="F2"/>
          </w:tcPr>
          <w:p w14:paraId="04A650F7" w14:textId="77777777" w:rsidR="00E55491" w:rsidRPr="009A020D" w:rsidRDefault="00E55491" w:rsidP="00D151A3">
            <w:pPr>
              <w:pStyle w:val="Tablecontent"/>
              <w:rPr>
                <w:b/>
                <w:bCs/>
              </w:rPr>
            </w:pPr>
            <w:r>
              <w:rPr>
                <w:b/>
                <w:bCs/>
              </w:rPr>
              <w:t>No of Hosts</w:t>
            </w:r>
          </w:p>
        </w:tc>
        <w:tc>
          <w:tcPr>
            <w:tcW w:w="8046" w:type="dxa"/>
          </w:tcPr>
          <w:p w14:paraId="7B7CCF4C" w14:textId="77777777" w:rsidR="00E55491" w:rsidRDefault="00E55491" w:rsidP="00D151A3">
            <w:pPr>
              <w:pStyle w:val="Tablecontent"/>
            </w:pPr>
          </w:p>
        </w:tc>
      </w:tr>
      <w:tr w:rsidR="00E55491" w14:paraId="46E3D379" w14:textId="77777777" w:rsidTr="00281329">
        <w:tc>
          <w:tcPr>
            <w:tcW w:w="2410" w:type="dxa"/>
            <w:shd w:val="clear" w:color="auto" w:fill="F2F2F2" w:themeFill="background1" w:themeFillShade="F2"/>
          </w:tcPr>
          <w:p w14:paraId="191EC2D5" w14:textId="77777777" w:rsidR="00E55491" w:rsidRDefault="00E55491" w:rsidP="00D151A3">
            <w:pPr>
              <w:pStyle w:val="Tablecontent"/>
              <w:rPr>
                <w:b/>
                <w:bCs/>
              </w:rPr>
            </w:pPr>
            <w:r>
              <w:rPr>
                <w:b/>
                <w:bCs/>
              </w:rPr>
              <w:t>No of sessions</w:t>
            </w:r>
          </w:p>
        </w:tc>
        <w:tc>
          <w:tcPr>
            <w:tcW w:w="8046" w:type="dxa"/>
          </w:tcPr>
          <w:p w14:paraId="4C251D5A" w14:textId="77777777" w:rsidR="00E55491" w:rsidRDefault="00E55491" w:rsidP="00D151A3">
            <w:pPr>
              <w:pStyle w:val="Tablecontent"/>
            </w:pPr>
          </w:p>
        </w:tc>
      </w:tr>
    </w:tbl>
    <w:p w14:paraId="2D349144" w14:textId="77777777" w:rsidR="00E55491" w:rsidRPr="000718CB" w:rsidRDefault="00E55491" w:rsidP="00D151A3"/>
    <w:p w14:paraId="4E156050" w14:textId="5D1C6802" w:rsidR="00EB256D" w:rsidRDefault="00EB256D" w:rsidP="00B373E2">
      <w:pPr>
        <w:pStyle w:val="Heading2"/>
        <w:rPr>
          <w:lang w:val="en-GB"/>
        </w:rPr>
      </w:pPr>
      <w:r w:rsidRPr="054A2259">
        <w:rPr>
          <w:lang w:val="en-GB"/>
        </w:rPr>
        <w:lastRenderedPageBreak/>
        <w:t>Ot</w:t>
      </w:r>
      <w:r w:rsidR="4B07BF2C" w:rsidRPr="054A2259">
        <w:rPr>
          <w:lang w:val="en-GB"/>
        </w:rPr>
        <w:t>her</w:t>
      </w:r>
      <w:r w:rsidR="00631547">
        <w:rPr>
          <w:lang w:val="en-GB"/>
        </w:rPr>
        <w:t>s Consumption</w:t>
      </w:r>
    </w:p>
    <w:p w14:paraId="29D506EC" w14:textId="360DCC48" w:rsidR="004D4D3A" w:rsidRPr="004D4D3A" w:rsidRDefault="004D4D3A" w:rsidP="004D4D3A">
      <w:pPr>
        <w:rPr>
          <w:lang w:val="en-GB"/>
        </w:rPr>
      </w:pPr>
      <w:r>
        <w:rPr>
          <w:noProof/>
        </w:rPr>
        <mc:AlternateContent>
          <mc:Choice Requires="wps">
            <w:drawing>
              <wp:anchor distT="0" distB="0" distL="114300" distR="114300" simplePos="0" relativeHeight="251661312" behindDoc="0" locked="0" layoutInCell="1" allowOverlap="1" wp14:anchorId="4A62AF49" wp14:editId="2637F01A">
                <wp:simplePos x="0" y="0"/>
                <wp:positionH relativeFrom="column">
                  <wp:posOffset>0</wp:posOffset>
                </wp:positionH>
                <wp:positionV relativeFrom="paragraph">
                  <wp:posOffset>0</wp:posOffset>
                </wp:positionV>
                <wp:extent cx="1828800" cy="1828800"/>
                <wp:effectExtent l="0" t="0" r="0" b="0"/>
                <wp:wrapNone/>
                <wp:docPr id="606394173" name="Text Box 6063941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6C7753D0" w14:textId="41592BFD" w:rsidR="00E66F24" w:rsidRPr="00C84219" w:rsidRDefault="00E66F24" w:rsidP="004D4D3A">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3 Chapter </w:t>
                            </w:r>
                            <w:r w:rsidR="00E55491">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4A62AF49" id="Text Box 606394173" o:spid="_x0000_s1049" type="#_x0000_t202" style="position:absolute;margin-left:0;margin-top:0;width:2in;height:2in;z-index:251661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" filled="f" stroked="f">
                <v:textbox style="mso-fit-shape-to-text:t">
                  <w:txbxContent>
                    <w:p w14:paraId="6C7753D0" w14:textId="41592BFD" w:rsidR="00E66F24" w:rsidRPr="00C84219" w:rsidRDefault="00E66F24" w:rsidP="004D4D3A">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3 Chapter </w:t>
                      </w:r>
                      <w:r w:rsidR="00E55491">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9</w:t>
                      </w:r>
                    </w:p>
                  </w:txbxContent>
                </v:textbox>
              </v:shape>
            </w:pict>
          </mc:Fallback>
        </mc:AlternateContent>
      </w:r>
    </w:p>
    <w:p w14:paraId="7A5996AA" w14:textId="20FAFBD8" w:rsidR="001C644D" w:rsidRPr="00A452F2" w:rsidRDefault="00C40956" w:rsidP="003F097B">
      <w:pPr>
        <w:pStyle w:val="AfterChapterTitle"/>
        <w:rPr>
          <w:lang w:val="en-GB"/>
        </w:rPr>
      </w:pPr>
      <w:r>
        <w:rPr>
          <w:lang w:val="en-GB"/>
        </w:rPr>
        <w:t>These dashboards are not part of vRealize Operations</w:t>
      </w:r>
      <w:r w:rsidR="00FC3D00">
        <w:rPr>
          <w:lang w:val="en-GB"/>
        </w:rPr>
        <w:t>, yet!</w:t>
      </w:r>
      <w:r>
        <w:rPr>
          <w:lang w:val="en-GB"/>
        </w:rPr>
        <w:t xml:space="preserve"> We can’t possibly </w:t>
      </w:r>
      <w:r w:rsidR="00E92293">
        <w:rPr>
          <w:lang w:val="en-GB"/>
        </w:rPr>
        <w:t xml:space="preserve">ship every dashboard for each roles and use case, so </w:t>
      </w:r>
      <w:r>
        <w:rPr>
          <w:lang w:val="en-GB"/>
        </w:rPr>
        <w:t xml:space="preserve">I provided them here as examples </w:t>
      </w:r>
      <w:r w:rsidR="00E92293">
        <w:rPr>
          <w:lang w:val="en-GB"/>
        </w:rPr>
        <w:t>to s</w:t>
      </w:r>
      <w:r w:rsidR="00B254DE">
        <w:rPr>
          <w:lang w:val="en-GB"/>
        </w:rPr>
        <w:t>how case the possibilities</w:t>
      </w:r>
      <w:r w:rsidR="00E92293">
        <w:rPr>
          <w:lang w:val="en-GB"/>
        </w:rPr>
        <w:t>.</w:t>
      </w:r>
      <w:r w:rsidR="00FC3D00">
        <w:rPr>
          <w:lang w:val="en-GB"/>
        </w:rPr>
        <w:t xml:space="preserve"> </w:t>
      </w:r>
      <w:r w:rsidR="000030A1">
        <w:rPr>
          <w:lang w:val="en-GB"/>
        </w:rPr>
        <w:t xml:space="preserve">They </w:t>
      </w:r>
      <w:r w:rsidR="000E1236">
        <w:rPr>
          <w:lang w:val="en-GB"/>
        </w:rPr>
        <w:t xml:space="preserve">are </w:t>
      </w:r>
      <w:r w:rsidR="000030A1">
        <w:rPr>
          <w:lang w:val="en-AU"/>
        </w:rPr>
        <w:t xml:space="preserve">available at the exchange repository on </w:t>
      </w:r>
      <w:hyperlink r:id="rId1322" w:history="1">
        <w:r w:rsidR="000030A1" w:rsidRPr="006750B2">
          <w:rPr>
            <w:rStyle w:val="Hyperlink"/>
            <w:rFonts w:eastAsia="Times New Roman"/>
            <w:lang w:val="en-AU"/>
          </w:rPr>
          <w:t>code.vmware.com</w:t>
        </w:r>
      </w:hyperlink>
      <w:r w:rsidR="000030A1">
        <w:rPr>
          <w:rStyle w:val="Hyperlink"/>
          <w:rFonts w:eastAsia="Times New Roman"/>
          <w:lang w:val="en-AU"/>
        </w:rPr>
        <w:t>.</w:t>
      </w:r>
    </w:p>
    <w:p w14:paraId="6DFF85B2" w14:textId="782463A4" w:rsidR="00F33D67" w:rsidRDefault="007E2F89" w:rsidP="00540F68">
      <w:pPr>
        <w:pStyle w:val="Heading3"/>
      </w:pPr>
      <w:r>
        <w:lastRenderedPageBreak/>
        <w:t>Business</w:t>
      </w:r>
      <w:r w:rsidR="00F33D67" w:rsidRPr="00A452F2">
        <w:t xml:space="preserve"> Applications</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8"/>
        <w:gridCol w:w="5228"/>
      </w:tblGrid>
      <w:tr w:rsidR="00A1674B" w14:paraId="0A310B0D" w14:textId="77777777" w:rsidTr="00A1674B">
        <w:tc>
          <w:tcPr>
            <w:tcW w:w="5228" w:type="dxa"/>
          </w:tcPr>
          <w:p w14:paraId="583035FA" w14:textId="77777777" w:rsidR="00A1674B" w:rsidRDefault="00A1674B" w:rsidP="00A1674B">
            <w:pPr>
              <w:pStyle w:val="Tablecontent"/>
            </w:pPr>
            <w:r>
              <w:t xml:space="preserve">Business application is not an object that belongs to vSphere or VMware. It can potentially contain object outside VMware objects. So the parent object is different. It’s called </w:t>
            </w:r>
            <w:r w:rsidRPr="005124F4">
              <w:rPr>
                <w:color w:val="00B0F0"/>
              </w:rPr>
              <w:t>Entire Enterprise Applications</w:t>
            </w:r>
            <w:r>
              <w:t>, as shown below.</w:t>
            </w:r>
          </w:p>
          <w:p w14:paraId="220750C7" w14:textId="77777777" w:rsidR="00A1674B" w:rsidRDefault="00391D9B" w:rsidP="00A1674B">
            <w:pPr>
              <w:pStyle w:val="Tablecontent"/>
            </w:pPr>
            <w:r>
              <w:t>In the screenshot, you can see the structure that it’s a parent of 4 business applications.</w:t>
            </w:r>
          </w:p>
          <w:p w14:paraId="38DAAA9B" w14:textId="77777777" w:rsidR="00391D9B" w:rsidRDefault="00391D9B" w:rsidP="00A1674B">
            <w:pPr>
              <w:pStyle w:val="Tablecontent"/>
            </w:pPr>
            <w:r>
              <w:t>I’ve expanded the last business applications to show that it’s parent of 4 application tiers.</w:t>
            </w:r>
          </w:p>
          <w:p w14:paraId="4C470949" w14:textId="0EE9C679" w:rsidR="00391D9B" w:rsidRDefault="00391D9B" w:rsidP="00A1674B">
            <w:pPr>
              <w:pStyle w:val="Tablecontent"/>
            </w:pPr>
            <w:r>
              <w:t>Each of this tier has to map to Aria Operations group. The group membership in turns maps to vCenter folders.</w:t>
            </w:r>
          </w:p>
        </w:tc>
        <w:tc>
          <w:tcPr>
            <w:tcW w:w="5228" w:type="dxa"/>
          </w:tcPr>
          <w:p w14:paraId="5C3C23AA" w14:textId="596EBE6F" w:rsidR="00A1674B" w:rsidRDefault="00A1674B" w:rsidP="00A1674B">
            <w:pPr>
              <w:jc w:val="center"/>
              <w:rPr>
                <w:lang w:val="en-GB"/>
              </w:rPr>
            </w:pPr>
            <w:r w:rsidRPr="005124F4">
              <w:rPr>
                <w:noProof/>
                <w:lang w:val="en-GB"/>
              </w:rPr>
              <w:drawing>
                <wp:inline distT="0" distB="0" distL="0" distR="0" wp14:anchorId="088C974C" wp14:editId="1494F276">
                  <wp:extent cx="2633472" cy="4535424"/>
                  <wp:effectExtent l="0" t="0" r="0" b="0"/>
                  <wp:docPr id="1971069019" name="Picture 1971069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3"/>
                          <a:stretch>
                            <a:fillRect/>
                          </a:stretch>
                        </pic:blipFill>
                        <pic:spPr>
                          <a:xfrm>
                            <a:off x="0" y="0"/>
                            <a:ext cx="2633472" cy="4535424"/>
                          </a:xfrm>
                          <a:prstGeom prst="rect">
                            <a:avLst/>
                          </a:prstGeom>
                        </pic:spPr>
                      </pic:pic>
                    </a:graphicData>
                  </a:graphic>
                </wp:inline>
              </w:drawing>
            </w:r>
          </w:p>
        </w:tc>
      </w:tr>
    </w:tbl>
    <w:p w14:paraId="386CB602" w14:textId="3204F497" w:rsidR="005124F4" w:rsidRPr="00391D9B" w:rsidRDefault="00391D9B" w:rsidP="00391D9B">
      <w:pPr>
        <w:pStyle w:val="Tablecontent"/>
      </w:pPr>
      <w:r>
        <w:rPr>
          <w:lang w:val="en-GB"/>
        </w:rPr>
        <w:t xml:space="preserve">You can also see the relationship under the </w:t>
      </w:r>
      <w:r w:rsidRPr="005124F4">
        <w:rPr>
          <w:color w:val="00B0F0"/>
        </w:rPr>
        <w:t>Entire Enterprise Applications</w:t>
      </w:r>
      <w:r>
        <w:t xml:space="preserve"> object, as shown below.</w:t>
      </w:r>
    </w:p>
    <w:p w14:paraId="1E7058CB" w14:textId="605116CF" w:rsidR="005124F4" w:rsidRPr="005124F4" w:rsidRDefault="005124F4" w:rsidP="005124F4">
      <w:pPr>
        <w:rPr>
          <w:lang w:val="en-GB"/>
        </w:rPr>
      </w:pPr>
      <w:r w:rsidRPr="005124F4">
        <w:rPr>
          <w:noProof/>
          <w:lang w:val="en-GB"/>
        </w:rPr>
        <w:drawing>
          <wp:inline distT="0" distB="0" distL="0" distR="0" wp14:anchorId="21E4E356" wp14:editId="242274DC">
            <wp:extent cx="6645910" cy="2535555"/>
            <wp:effectExtent l="0" t="0" r="2540" b="0"/>
            <wp:docPr id="1971069018" name="Picture 1971069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4"/>
                    <a:stretch>
                      <a:fillRect/>
                    </a:stretch>
                  </pic:blipFill>
                  <pic:spPr>
                    <a:xfrm>
                      <a:off x="0" y="0"/>
                      <a:ext cx="6645910" cy="2535555"/>
                    </a:xfrm>
                    <a:prstGeom prst="rect">
                      <a:avLst/>
                    </a:prstGeom>
                  </pic:spPr>
                </pic:pic>
              </a:graphicData>
            </a:graphic>
          </wp:inline>
        </w:drawing>
      </w:r>
    </w:p>
    <w:p w14:paraId="6BD079AD" w14:textId="77777777" w:rsidR="0002089A" w:rsidRPr="0002089A" w:rsidRDefault="0002089A" w:rsidP="0002089A">
      <w:pPr>
        <w:rPr>
          <w:lang w:val="en-GB"/>
        </w:rPr>
      </w:pPr>
    </w:p>
    <w:p w14:paraId="3FA49924" w14:textId="059BB576" w:rsidR="00F33D67" w:rsidRDefault="00391D9B" w:rsidP="00AC6E1E">
      <w:pPr>
        <w:pStyle w:val="Heading4"/>
      </w:pPr>
      <w:r>
        <w:lastRenderedPageBreak/>
        <w:t>Application Tier</w:t>
      </w:r>
    </w:p>
    <w:p w14:paraId="418D3447" w14:textId="5C49B085" w:rsidR="0086689A" w:rsidRPr="0086689A" w:rsidRDefault="0086689A" w:rsidP="0086689A">
      <w:pPr>
        <w:rPr>
          <w:lang w:val="en-GB" w:eastAsia="en-SG"/>
        </w:rPr>
      </w:pPr>
      <w:r>
        <w:rPr>
          <w:lang w:val="en-GB" w:eastAsia="en-SG"/>
        </w:rPr>
        <w:t>To create a business application, we must create its application tier first.</w:t>
      </w:r>
    </w:p>
    <w:p w14:paraId="24CAE8CB" w14:textId="77777777" w:rsidR="0086689A" w:rsidRDefault="00391D9B" w:rsidP="00391D9B">
      <w:pPr>
        <w:rPr>
          <w:lang w:val="en-GB"/>
        </w:rPr>
      </w:pPr>
      <w:r>
        <w:rPr>
          <w:lang w:val="en-GB"/>
        </w:rPr>
        <w:t xml:space="preserve">To define the tier object, </w:t>
      </w:r>
      <w:r w:rsidR="00897731">
        <w:rPr>
          <w:lang w:val="en-GB"/>
        </w:rPr>
        <w:t xml:space="preserve">create </w:t>
      </w:r>
      <w:r>
        <w:rPr>
          <w:lang w:val="en-GB"/>
        </w:rPr>
        <w:t>a group in Aria Operations</w:t>
      </w:r>
      <w:r w:rsidR="00897731">
        <w:rPr>
          <w:lang w:val="en-GB"/>
        </w:rPr>
        <w:t xml:space="preserve">. </w:t>
      </w:r>
    </w:p>
    <w:p w14:paraId="68C058E3" w14:textId="769ABC87" w:rsidR="00897731" w:rsidRDefault="00897731" w:rsidP="00391D9B">
      <w:pPr>
        <w:rPr>
          <w:lang w:val="en-GB"/>
        </w:rPr>
      </w:pPr>
      <w:r>
        <w:rPr>
          <w:lang w:val="en-GB"/>
        </w:rPr>
        <w:t xml:space="preserve">In the following screenshot, I’ve created </w:t>
      </w:r>
      <w:r w:rsidR="00391D9B">
        <w:rPr>
          <w:lang w:val="en-GB"/>
        </w:rPr>
        <w:t xml:space="preserve">an </w:t>
      </w:r>
      <w:r>
        <w:rPr>
          <w:lang w:val="en-GB"/>
        </w:rPr>
        <w:t>object</w:t>
      </w:r>
      <w:r w:rsidR="00391D9B">
        <w:rPr>
          <w:lang w:val="en-GB"/>
        </w:rPr>
        <w:t xml:space="preserve"> called </w:t>
      </w:r>
      <w:r w:rsidR="00391D9B" w:rsidRPr="00391D9B">
        <w:rPr>
          <w:color w:val="00B0F0"/>
          <w:lang w:val="en-GB"/>
        </w:rPr>
        <w:t>Biz App 01 DB Tier</w:t>
      </w:r>
      <w:r w:rsidR="0086689A">
        <w:rPr>
          <w:lang w:val="en-GB"/>
        </w:rPr>
        <w:t xml:space="preserve">. I’ve defined its members as any VMs </w:t>
      </w:r>
      <w:r>
        <w:rPr>
          <w:lang w:val="en-GB"/>
        </w:rPr>
        <w:t xml:space="preserve">which </w:t>
      </w:r>
      <w:r w:rsidR="0086689A">
        <w:rPr>
          <w:lang w:val="en-GB"/>
        </w:rPr>
        <w:t>is a child of a specific vCenter folder. This is why your vCenter folder needs to be unique. One way is to create  prefix for each business applications.</w:t>
      </w:r>
    </w:p>
    <w:p w14:paraId="3F80738C" w14:textId="7FACE2AB" w:rsidR="00897731" w:rsidRDefault="00897731" w:rsidP="00897731">
      <w:pPr>
        <w:jc w:val="center"/>
        <w:rPr>
          <w:lang w:val="en-GB"/>
        </w:rPr>
      </w:pPr>
      <w:r w:rsidRPr="00897731">
        <w:rPr>
          <w:noProof/>
        </w:rPr>
        <w:drawing>
          <wp:inline distT="0" distB="0" distL="0" distR="0" wp14:anchorId="2680A4F9" wp14:editId="7BF0ED33">
            <wp:extent cx="6645910" cy="2994025"/>
            <wp:effectExtent l="0" t="0" r="2540" b="0"/>
            <wp:docPr id="1971069015" name="Picture 6">
              <a:extLst xmlns:a="http://schemas.openxmlformats.org/drawingml/2006/main">
                <a:ext uri="{FF2B5EF4-FFF2-40B4-BE49-F238E27FC236}">
                  <a16:creationId xmlns:a16="http://schemas.microsoft.com/office/drawing/2014/main" id="{959A6C5A-C11D-1E99-4765-A6396ECDA73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959A6C5A-C11D-1E99-4765-A6396ECDA73B}"/>
                        </a:ext>
                      </a:extLst>
                    </pic:cNvPr>
                    <pic:cNvPicPr>
                      <a:picLocks noChangeAspect="1"/>
                    </pic:cNvPicPr>
                  </pic:nvPicPr>
                  <pic:blipFill>
                    <a:blip r:embed="rId1325"/>
                    <a:stretch>
                      <a:fillRect/>
                    </a:stretch>
                  </pic:blipFill>
                  <pic:spPr>
                    <a:xfrm>
                      <a:off x="0" y="0"/>
                      <a:ext cx="6645910" cy="2994025"/>
                    </a:xfrm>
                    <a:prstGeom prst="rect">
                      <a:avLst/>
                    </a:prstGeom>
                    <a:ln>
                      <a:noFill/>
                    </a:ln>
                    <a:effectLst/>
                  </pic:spPr>
                </pic:pic>
              </a:graphicData>
            </a:graphic>
          </wp:inline>
        </w:drawing>
      </w:r>
    </w:p>
    <w:p w14:paraId="3EEF1DA7" w14:textId="69475C71" w:rsidR="00391D9B" w:rsidRDefault="00391D9B" w:rsidP="00391D9B">
      <w:pPr>
        <w:rPr>
          <w:lang w:val="en-GB"/>
        </w:rPr>
      </w:pPr>
      <w:r>
        <w:rPr>
          <w:lang w:val="en-GB"/>
        </w:rPr>
        <w:t xml:space="preserve">The reason I chose group </w:t>
      </w:r>
      <w:r w:rsidR="001203C9">
        <w:rPr>
          <w:lang w:val="en-GB"/>
        </w:rPr>
        <w:t>i</w:t>
      </w:r>
      <w:r>
        <w:rPr>
          <w:lang w:val="en-GB"/>
        </w:rPr>
        <w:t>s the members can be dynamic. This gives you flexibility as application team may add or reduce the number of VMs.</w:t>
      </w:r>
    </w:p>
    <w:p w14:paraId="0AEC3FE0" w14:textId="77777777" w:rsidR="001203C9" w:rsidRDefault="001203C9" w:rsidP="001203C9">
      <w:pPr>
        <w:rPr>
          <w:lang w:val="en-GB" w:eastAsia="en-SG"/>
        </w:rPr>
      </w:pPr>
      <w:r>
        <w:rPr>
          <w:lang w:val="en-GB" w:eastAsia="en-SG"/>
        </w:rPr>
        <w:t xml:space="preserve">The </w:t>
      </w:r>
      <w:r w:rsidRPr="00897731">
        <w:rPr>
          <w:color w:val="00B0F0"/>
          <w:lang w:val="en-GB" w:eastAsia="en-SG"/>
        </w:rPr>
        <w:t>Group Type</w:t>
      </w:r>
      <w:r>
        <w:rPr>
          <w:lang w:val="en-GB" w:eastAsia="en-SG"/>
        </w:rPr>
        <w:t xml:space="preserve"> has to be </w:t>
      </w:r>
      <w:r w:rsidRPr="00897731">
        <w:rPr>
          <w:color w:val="00B0F0"/>
          <w:lang w:val="en-GB" w:eastAsia="en-SG"/>
        </w:rPr>
        <w:t>Manual Application</w:t>
      </w:r>
      <w:r>
        <w:rPr>
          <w:lang w:val="en-GB" w:eastAsia="en-SG"/>
        </w:rPr>
        <w:t>. The reason is the super metric is applied to it. I chose Manual Application as it’s already defined out of the box.</w:t>
      </w:r>
    </w:p>
    <w:p w14:paraId="53B94FC0" w14:textId="11B645E0" w:rsidR="00897731" w:rsidRPr="00897731" w:rsidRDefault="001203C9" w:rsidP="00897731">
      <w:pPr>
        <w:rPr>
          <w:lang w:val="en-GB"/>
        </w:rPr>
      </w:pPr>
      <w:r>
        <w:rPr>
          <w:lang w:val="en-GB"/>
        </w:rPr>
        <w:t xml:space="preserve">Once you create the tiers, you can see them in the </w:t>
      </w:r>
      <w:r w:rsidRPr="001203C9">
        <w:rPr>
          <w:color w:val="00B0F0"/>
          <w:lang w:val="en-GB"/>
        </w:rPr>
        <w:t>Custom Groups</w:t>
      </w:r>
      <w:r>
        <w:rPr>
          <w:lang w:val="en-GB"/>
        </w:rPr>
        <w:t xml:space="preserve"> page. Ensure the value of </w:t>
      </w:r>
      <w:r w:rsidRPr="001203C9">
        <w:rPr>
          <w:color w:val="00B0F0"/>
          <w:lang w:val="en-GB"/>
        </w:rPr>
        <w:t xml:space="preserve">Dynamic Membership </w:t>
      </w:r>
      <w:r>
        <w:rPr>
          <w:lang w:val="en-GB"/>
        </w:rPr>
        <w:t xml:space="preserve">is </w:t>
      </w:r>
      <w:r w:rsidRPr="001203C9">
        <w:rPr>
          <w:color w:val="00B0F0"/>
          <w:lang w:val="en-GB"/>
        </w:rPr>
        <w:t>true</w:t>
      </w:r>
      <w:r>
        <w:rPr>
          <w:lang w:val="en-GB"/>
        </w:rPr>
        <w:t>.</w:t>
      </w:r>
    </w:p>
    <w:p w14:paraId="0E6812A2" w14:textId="3C9A26A1" w:rsidR="00897731" w:rsidRDefault="00897731" w:rsidP="00897731">
      <w:pPr>
        <w:jc w:val="center"/>
        <w:rPr>
          <w:lang w:val="en-GB" w:eastAsia="en-SG"/>
        </w:rPr>
      </w:pPr>
      <w:r w:rsidRPr="00897731">
        <w:rPr>
          <w:noProof/>
          <w:lang w:eastAsia="en-SG"/>
        </w:rPr>
        <w:drawing>
          <wp:inline distT="0" distB="0" distL="0" distR="0" wp14:anchorId="123455A5" wp14:editId="7CC660D9">
            <wp:extent cx="5767831" cy="2285560"/>
            <wp:effectExtent l="0" t="0" r="4445" b="635"/>
            <wp:docPr id="1971069014" name="Picture 4">
              <a:extLst xmlns:a="http://schemas.openxmlformats.org/drawingml/2006/main">
                <a:ext uri="{FF2B5EF4-FFF2-40B4-BE49-F238E27FC236}">
                  <a16:creationId xmlns:a16="http://schemas.microsoft.com/office/drawing/2014/main" id="{4BE3C8A2-7A60-45EE-0B19-2A7985B783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4BE3C8A2-7A60-45EE-0B19-2A7985B78367}"/>
                        </a:ext>
                      </a:extLst>
                    </pic:cNvPr>
                    <pic:cNvPicPr>
                      <a:picLocks noChangeAspect="1"/>
                    </pic:cNvPicPr>
                  </pic:nvPicPr>
                  <pic:blipFill>
                    <a:blip r:embed="rId1326"/>
                    <a:stretch>
                      <a:fillRect/>
                    </a:stretch>
                  </pic:blipFill>
                  <pic:spPr>
                    <a:xfrm>
                      <a:off x="0" y="0"/>
                      <a:ext cx="5767831" cy="2285560"/>
                    </a:xfrm>
                    <a:prstGeom prst="rect">
                      <a:avLst/>
                    </a:prstGeom>
                    <a:ln>
                      <a:noFill/>
                    </a:ln>
                    <a:effectLst/>
                  </pic:spPr>
                </pic:pic>
              </a:graphicData>
            </a:graphic>
          </wp:inline>
        </w:drawing>
      </w:r>
    </w:p>
    <w:p w14:paraId="00C8C5EF" w14:textId="4DC4445F" w:rsidR="00E7297D" w:rsidRDefault="00E7297D" w:rsidP="00E7297D">
      <w:pPr>
        <w:pStyle w:val="Heading5"/>
        <w:rPr>
          <w:lang w:eastAsia="en-SG"/>
        </w:rPr>
      </w:pPr>
      <w:r>
        <w:rPr>
          <w:lang w:eastAsia="en-SG"/>
        </w:rPr>
        <w:lastRenderedPageBreak/>
        <w:t>Capacity</w:t>
      </w:r>
    </w:p>
    <w:p w14:paraId="7D7FD61C" w14:textId="520F1832" w:rsidR="00E7297D" w:rsidRDefault="00E7297D" w:rsidP="00E7297D">
      <w:pPr>
        <w:rPr>
          <w:lang w:val="en-GB" w:eastAsia="en-SG"/>
        </w:rPr>
      </w:pPr>
      <w:r>
        <w:rPr>
          <w:lang w:val="en-GB" w:eastAsia="en-SG"/>
        </w:rPr>
        <w:t>You need to know whether it is active-passive or active-active.</w:t>
      </w:r>
    </w:p>
    <w:p w14:paraId="49A4D186" w14:textId="77777777" w:rsidR="005D3906" w:rsidRDefault="00E7297D" w:rsidP="00E7297D">
      <w:pPr>
        <w:rPr>
          <w:lang w:val="en-GB" w:eastAsia="en-SG"/>
        </w:rPr>
      </w:pPr>
      <w:r>
        <w:rPr>
          <w:lang w:val="en-GB" w:eastAsia="en-SG"/>
        </w:rPr>
        <w:t xml:space="preserve">CPU Consumption = </w:t>
      </w:r>
    </w:p>
    <w:p w14:paraId="4D4890BB" w14:textId="77777777" w:rsidR="005D3906" w:rsidRDefault="005D3906" w:rsidP="005D3906">
      <w:pPr>
        <w:pStyle w:val="Code"/>
      </w:pPr>
      <w:r>
        <w:t xml:space="preserve">   ( </w:t>
      </w:r>
    </w:p>
    <w:p w14:paraId="282019AC" w14:textId="3F53C54B" w:rsidR="00E7297D" w:rsidRDefault="005D3906" w:rsidP="005D3906">
      <w:pPr>
        <w:pStyle w:val="Code"/>
      </w:pPr>
      <w:r>
        <w:t xml:space="preserve">   </w:t>
      </w:r>
      <w:r w:rsidR="00E7297D">
        <w:t>If Active-Active then Average (VM Member CPU Usage) Else Max (VM Member CPU Usage)</w:t>
      </w:r>
    </w:p>
    <w:p w14:paraId="3F28BF56" w14:textId="397D7E03" w:rsidR="005D3906" w:rsidRDefault="005D3906" w:rsidP="005D3906">
      <w:pPr>
        <w:pStyle w:val="Code"/>
      </w:pPr>
      <w:r>
        <w:t xml:space="preserve">   )</w:t>
      </w:r>
    </w:p>
    <w:p w14:paraId="1E57F9AE" w14:textId="19F6931F" w:rsidR="005D3906" w:rsidRDefault="005D3906" w:rsidP="005D3906">
      <w:pPr>
        <w:pStyle w:val="Code"/>
      </w:pPr>
      <w:r>
        <w:t xml:space="preserve">   /</w:t>
      </w:r>
    </w:p>
    <w:p w14:paraId="2376BEEA" w14:textId="7C17F896" w:rsidR="005D3906" w:rsidRDefault="005D3906" w:rsidP="005D3906">
      <w:pPr>
        <w:pStyle w:val="Code"/>
      </w:pPr>
      <w:r>
        <w:t xml:space="preserve">   Min (VM Member Total Capacity) * 100%</w:t>
      </w:r>
    </w:p>
    <w:p w14:paraId="1ACB5EDF" w14:textId="2BAC71F1" w:rsidR="005D3906" w:rsidRDefault="005D3906" w:rsidP="00E7297D">
      <w:pPr>
        <w:rPr>
          <w:lang w:val="en-GB" w:eastAsia="en-SG"/>
        </w:rPr>
      </w:pPr>
      <w:r>
        <w:rPr>
          <w:lang w:val="en-GB" w:eastAsia="en-SG"/>
        </w:rPr>
        <w:t>The above gives you a number in percentage, making it easier to see across many tiers. Let me know if you find a use case for absolute numbers (in GHz for CPU and GB for memory)</w:t>
      </w:r>
    </w:p>
    <w:p w14:paraId="1853FB55" w14:textId="101DDD3D" w:rsidR="00E7297D" w:rsidRPr="00E7297D" w:rsidRDefault="005D3906" w:rsidP="00E7297D">
      <w:pPr>
        <w:rPr>
          <w:lang w:val="en-GB" w:eastAsia="en-SG"/>
        </w:rPr>
      </w:pPr>
      <w:r>
        <w:rPr>
          <w:lang w:val="en-GB" w:eastAsia="en-SG"/>
        </w:rPr>
        <w:t>For total capacity, we take the lowest value among the members VM.</w:t>
      </w:r>
    </w:p>
    <w:p w14:paraId="3D38AC81" w14:textId="6F6F4B1F" w:rsidR="00391D9B" w:rsidRDefault="00391D9B" w:rsidP="00391D9B">
      <w:pPr>
        <w:pStyle w:val="Heading4"/>
      </w:pPr>
      <w:r>
        <w:t>Business Application Object</w:t>
      </w:r>
    </w:p>
    <w:p w14:paraId="7A280248" w14:textId="7B437CF8" w:rsidR="00391D9B" w:rsidRDefault="00391D9B" w:rsidP="00897731">
      <w:pPr>
        <w:rPr>
          <w:lang w:val="en-GB" w:eastAsia="en-SG"/>
        </w:rPr>
      </w:pPr>
      <w:r>
        <w:rPr>
          <w:lang w:val="en-GB" w:eastAsia="en-SG"/>
        </w:rPr>
        <w:t>Once you create the application tiers, you’re ready to create the parent business applications.</w:t>
      </w:r>
    </w:p>
    <w:p w14:paraId="4D4E0E2D" w14:textId="7EB4D3A3" w:rsidR="00897731" w:rsidRPr="00897731" w:rsidRDefault="00391D9B" w:rsidP="00897731">
      <w:pPr>
        <w:rPr>
          <w:lang w:val="en-GB" w:eastAsia="en-SG"/>
        </w:rPr>
      </w:pPr>
      <w:r>
        <w:rPr>
          <w:lang w:val="en-GB" w:eastAsia="en-SG"/>
        </w:rPr>
        <w:t>Create the object for each business applications by choosing Business Application from the side menu.</w:t>
      </w:r>
    </w:p>
    <w:p w14:paraId="0FAD634B" w14:textId="7BE5E7F6" w:rsidR="00897731" w:rsidRDefault="00897731" w:rsidP="00897731">
      <w:pPr>
        <w:rPr>
          <w:lang w:val="en-GB" w:eastAsia="en-SG"/>
        </w:rPr>
      </w:pPr>
      <w:r w:rsidRPr="00897731">
        <w:rPr>
          <w:noProof/>
          <w:lang w:eastAsia="en-SG"/>
        </w:rPr>
        <w:drawing>
          <wp:inline distT="0" distB="0" distL="0" distR="0" wp14:anchorId="0F700C1A" wp14:editId="3D71E5F0">
            <wp:extent cx="6645910" cy="2931160"/>
            <wp:effectExtent l="0" t="0" r="2540" b="2540"/>
            <wp:docPr id="1971069012" name="Picture 2">
              <a:extLst xmlns:a="http://schemas.openxmlformats.org/drawingml/2006/main">
                <a:ext uri="{FF2B5EF4-FFF2-40B4-BE49-F238E27FC236}">
                  <a16:creationId xmlns:a16="http://schemas.microsoft.com/office/drawing/2014/main" id="{BF2F000E-30C5-B222-1A0C-7274412D7C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BF2F000E-30C5-B222-1A0C-7274412D7CF6}"/>
                        </a:ext>
                      </a:extLst>
                    </pic:cNvPr>
                    <pic:cNvPicPr>
                      <a:picLocks noChangeAspect="1"/>
                    </pic:cNvPicPr>
                  </pic:nvPicPr>
                  <pic:blipFill>
                    <a:blip r:embed="rId1327"/>
                    <a:stretch>
                      <a:fillRect/>
                    </a:stretch>
                  </pic:blipFill>
                  <pic:spPr>
                    <a:xfrm>
                      <a:off x="0" y="0"/>
                      <a:ext cx="6645910" cy="2931160"/>
                    </a:xfrm>
                    <a:prstGeom prst="rect">
                      <a:avLst/>
                    </a:prstGeom>
                    <a:ln>
                      <a:noFill/>
                    </a:ln>
                    <a:effectLst/>
                  </pic:spPr>
                </pic:pic>
              </a:graphicData>
            </a:graphic>
          </wp:inline>
        </w:drawing>
      </w:r>
    </w:p>
    <w:p w14:paraId="0011F1C4" w14:textId="40203484" w:rsidR="001203C9" w:rsidRDefault="001203C9" w:rsidP="00897731">
      <w:pPr>
        <w:rPr>
          <w:lang w:val="en-GB" w:eastAsia="en-SG"/>
        </w:rPr>
      </w:pPr>
      <w:r>
        <w:rPr>
          <w:lang w:val="en-GB" w:eastAsia="en-SG"/>
        </w:rPr>
        <w:t>To add the members, choose Custom Groups and find the tiers you created earlier.</w:t>
      </w:r>
    </w:p>
    <w:p w14:paraId="7256A6C9" w14:textId="0114DACD" w:rsidR="00391D9B" w:rsidRPr="00391D9B" w:rsidRDefault="00391D9B" w:rsidP="001203C9">
      <w:pPr>
        <w:rPr>
          <w:lang w:val="en-GB" w:eastAsia="en-SG"/>
        </w:rPr>
      </w:pPr>
      <w:r w:rsidRPr="001203C9">
        <w:rPr>
          <w:b/>
          <w:bCs/>
          <w:color w:val="FF0000"/>
          <w:lang w:val="en-GB" w:eastAsia="en-SG"/>
        </w:rPr>
        <w:t xml:space="preserve">Limitation: </w:t>
      </w:r>
      <w:r>
        <w:rPr>
          <w:lang w:val="en-GB" w:eastAsia="en-SG"/>
        </w:rPr>
        <w:t>The tiers are manually added</w:t>
      </w:r>
      <w:r w:rsidR="0086689A">
        <w:rPr>
          <w:lang w:val="en-GB" w:eastAsia="en-SG"/>
        </w:rPr>
        <w:t xml:space="preserve">. It has no dynamic membership the way </w:t>
      </w:r>
      <w:r w:rsidR="0086689A" w:rsidRPr="0086689A">
        <w:rPr>
          <w:color w:val="00B0F0"/>
          <w:lang w:val="en-GB" w:eastAsia="en-SG"/>
        </w:rPr>
        <w:t xml:space="preserve">Custom Groups </w:t>
      </w:r>
      <w:r w:rsidR="0086689A">
        <w:rPr>
          <w:lang w:val="en-GB" w:eastAsia="en-SG"/>
        </w:rPr>
        <w:t>has.</w:t>
      </w:r>
    </w:p>
    <w:p w14:paraId="67677B17" w14:textId="04264D6A" w:rsidR="00897731" w:rsidRPr="00897731" w:rsidRDefault="00897731" w:rsidP="00897731">
      <w:pPr>
        <w:pStyle w:val="Heading4"/>
      </w:pPr>
      <w:r>
        <w:lastRenderedPageBreak/>
        <w:t>Dashboard</w:t>
      </w:r>
      <w:r w:rsidR="0086689A">
        <w:t xml:space="preserve"> Design</w:t>
      </w:r>
    </w:p>
    <w:p w14:paraId="44D54B79" w14:textId="77777777" w:rsidR="001203C9" w:rsidRDefault="001203C9" w:rsidP="001203C9">
      <w:pPr>
        <w:rPr>
          <w:lang w:val="en-GB"/>
        </w:rPr>
      </w:pPr>
      <w:r>
        <w:rPr>
          <w:lang w:val="en-GB"/>
        </w:rPr>
        <w:t xml:space="preserve">The dashboard </w:t>
      </w:r>
      <w:r w:rsidRPr="001312B9">
        <w:rPr>
          <w:lang w:val="en-GB"/>
        </w:rPr>
        <w:t>focus</w:t>
      </w:r>
      <w:r>
        <w:rPr>
          <w:lang w:val="en-GB"/>
        </w:rPr>
        <w:t>es</w:t>
      </w:r>
      <w:r w:rsidRPr="001312B9">
        <w:rPr>
          <w:lang w:val="en-GB"/>
        </w:rPr>
        <w:t xml:space="preserve"> on Performance. To some extent, if the Guest OS is down, the dashboard below will detect it.</w:t>
      </w:r>
      <w:r>
        <w:rPr>
          <w:lang w:val="en-GB"/>
        </w:rPr>
        <w:t xml:space="preserve"> If you enhance it to include availability and compliance, let me know!</w:t>
      </w:r>
    </w:p>
    <w:p w14:paraId="59CE6BCF" w14:textId="20390219" w:rsidR="001203C9" w:rsidRPr="0086689A" w:rsidRDefault="001203C9" w:rsidP="001203C9">
      <w:pPr>
        <w:rPr>
          <w:lang w:val="en-GB"/>
        </w:rPr>
      </w:pPr>
      <w:r w:rsidRPr="4CAB3972">
        <w:rPr>
          <w:lang w:val="en-GB"/>
        </w:rPr>
        <w:t xml:space="preserve">The top part of the dashboard shows </w:t>
      </w:r>
      <w:r>
        <w:rPr>
          <w:lang w:val="en-GB"/>
        </w:rPr>
        <w:t xml:space="preserve">the overall trend. </w:t>
      </w:r>
    </w:p>
    <w:p w14:paraId="5F65E518" w14:textId="00DB0AE6" w:rsidR="001203C9" w:rsidRDefault="00B00789" w:rsidP="001203C9">
      <w:pPr>
        <w:rPr>
          <w:lang w:val="en-GB" w:eastAsia="en-SG"/>
        </w:rPr>
      </w:pPr>
      <w:r w:rsidRPr="00B00789">
        <w:rPr>
          <w:noProof/>
          <w:lang w:val="en-GB" w:eastAsia="en-SG"/>
        </w:rPr>
        <w:drawing>
          <wp:inline distT="0" distB="0" distL="0" distR="0" wp14:anchorId="7469E078" wp14:editId="6954F710">
            <wp:extent cx="6645910" cy="1136015"/>
            <wp:effectExtent l="0" t="0" r="2540" b="6985"/>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8"/>
                    <a:stretch>
                      <a:fillRect/>
                    </a:stretch>
                  </pic:blipFill>
                  <pic:spPr>
                    <a:xfrm>
                      <a:off x="0" y="0"/>
                      <a:ext cx="6645910" cy="1136015"/>
                    </a:xfrm>
                    <a:prstGeom prst="rect">
                      <a:avLst/>
                    </a:prstGeom>
                  </pic:spPr>
                </pic:pic>
              </a:graphicData>
            </a:graphic>
          </wp:inline>
        </w:drawing>
      </w:r>
    </w:p>
    <w:p w14:paraId="4E27EB33" w14:textId="172C8045" w:rsidR="001203C9" w:rsidRDefault="001203C9" w:rsidP="001203C9">
      <w:pPr>
        <w:rPr>
          <w:lang w:val="en-GB"/>
        </w:rPr>
      </w:pPr>
      <w:r>
        <w:rPr>
          <w:lang w:val="en-GB"/>
        </w:rPr>
        <w:t>Assuming you only list your mission critical applications, you should expect the value to be good and match business reality.</w:t>
      </w:r>
    </w:p>
    <w:p w14:paraId="36E153A6" w14:textId="77777777" w:rsidR="00F711B1" w:rsidRDefault="00F711B1" w:rsidP="001203C9">
      <w:pPr>
        <w:rPr>
          <w:lang w:val="en-GB"/>
        </w:rPr>
      </w:pPr>
      <w:r>
        <w:rPr>
          <w:lang w:val="en-GB"/>
        </w:rPr>
        <w:t xml:space="preserve">The problem with average is it might mask a problem. For example, you have 2 mission critical applications. 1 has is value goes up (for whatever reason) while the other goes down. The average will fail to show it. </w:t>
      </w:r>
    </w:p>
    <w:p w14:paraId="2AB1C998" w14:textId="4C0823AE" w:rsidR="00F711B1" w:rsidRDefault="00F711B1" w:rsidP="001203C9">
      <w:pPr>
        <w:rPr>
          <w:lang w:val="en-GB"/>
        </w:rPr>
      </w:pPr>
      <w:r>
        <w:rPr>
          <w:lang w:val="en-GB"/>
        </w:rPr>
        <w:t>This is why the next row on the dashboard complements the overall picture. It has 3 columns</w:t>
      </w:r>
    </w:p>
    <w:p w14:paraId="6F4DB821" w14:textId="2D9FDC24" w:rsidR="00F711B1" w:rsidRDefault="00F711B1" w:rsidP="00F711B1">
      <w:pPr>
        <w:pStyle w:val="Bullet"/>
        <w:rPr>
          <w:lang w:val="en-GB"/>
        </w:rPr>
      </w:pPr>
      <w:r>
        <w:rPr>
          <w:lang w:val="en-GB"/>
        </w:rPr>
        <w:t>The 1</w:t>
      </w:r>
      <w:r w:rsidRPr="00F711B1">
        <w:rPr>
          <w:vertAlign w:val="superscript"/>
          <w:lang w:val="en-GB"/>
        </w:rPr>
        <w:t>st</w:t>
      </w:r>
      <w:r>
        <w:rPr>
          <w:lang w:val="en-GB"/>
        </w:rPr>
        <w:t xml:space="preserve"> column shows all the business applications. It’s sorted by the worst performing app, judged from the most recent value.</w:t>
      </w:r>
    </w:p>
    <w:p w14:paraId="35049CFA" w14:textId="7CAA0F09" w:rsidR="00F711B1" w:rsidRDefault="00F711B1" w:rsidP="00F711B1">
      <w:pPr>
        <w:pStyle w:val="Bullet"/>
        <w:rPr>
          <w:lang w:val="en-GB"/>
        </w:rPr>
      </w:pPr>
      <w:r>
        <w:rPr>
          <w:lang w:val="en-GB"/>
        </w:rPr>
        <w:t>The 2</w:t>
      </w:r>
      <w:r w:rsidRPr="00F711B1">
        <w:rPr>
          <w:vertAlign w:val="superscript"/>
          <w:lang w:val="en-GB"/>
        </w:rPr>
        <w:t>nd</w:t>
      </w:r>
      <w:r>
        <w:rPr>
          <w:lang w:val="en-GB"/>
        </w:rPr>
        <w:t xml:space="preserve"> colums shows the tiers within the selected business application.</w:t>
      </w:r>
    </w:p>
    <w:p w14:paraId="4F949972" w14:textId="369E089F" w:rsidR="00F711B1" w:rsidRDefault="00F711B1" w:rsidP="00F711B1">
      <w:pPr>
        <w:pStyle w:val="Bullet"/>
        <w:rPr>
          <w:lang w:val="en-GB"/>
        </w:rPr>
      </w:pPr>
      <w:r>
        <w:rPr>
          <w:lang w:val="en-GB"/>
        </w:rPr>
        <w:t>The 3</w:t>
      </w:r>
      <w:r w:rsidRPr="00F711B1">
        <w:rPr>
          <w:vertAlign w:val="superscript"/>
          <w:lang w:val="en-GB"/>
        </w:rPr>
        <w:t>rd</w:t>
      </w:r>
      <w:r>
        <w:rPr>
          <w:lang w:val="en-GB"/>
        </w:rPr>
        <w:t xml:space="preserve"> colums shows the VMs within the tiers.</w:t>
      </w:r>
    </w:p>
    <w:p w14:paraId="6B69E2A0" w14:textId="01E52C0B" w:rsidR="00F33D67" w:rsidRDefault="001203C9" w:rsidP="00F33D67">
      <w:pPr>
        <w:rPr>
          <w:lang w:val="en-GB"/>
        </w:rPr>
      </w:pPr>
      <w:r>
        <w:rPr>
          <w:noProof/>
        </w:rPr>
        <mc:AlternateContent>
          <mc:Choice Requires="wps">
            <w:drawing>
              <wp:anchor distT="0" distB="0" distL="114300" distR="114300" simplePos="0" relativeHeight="251681792" behindDoc="0" locked="0" layoutInCell="1" allowOverlap="1" wp14:anchorId="013161C6" wp14:editId="154F3BDD">
                <wp:simplePos x="0" y="0"/>
                <wp:positionH relativeFrom="margin">
                  <wp:align>center</wp:align>
                </wp:positionH>
                <wp:positionV relativeFrom="paragraph">
                  <wp:posOffset>902349</wp:posOffset>
                </wp:positionV>
                <wp:extent cx="6645910" cy="2684780"/>
                <wp:effectExtent l="0" t="0" r="0" b="3810"/>
                <wp:wrapNone/>
                <wp:docPr id="1971069039" name="Text Box 1971069039"/>
                <wp:cNvGraphicFramePr/>
                <a:graphic xmlns:a="http://schemas.openxmlformats.org/drawingml/2006/main">
                  <a:graphicData uri="http://schemas.microsoft.com/office/word/2010/wordprocessingShape">
                    <wps:wsp>
                      <wps:cNvSpPr txBox="1"/>
                      <wps:spPr>
                        <a:xfrm>
                          <a:off x="0" y="0"/>
                          <a:ext cx="6645910" cy="2684780"/>
                        </a:xfrm>
                        <a:prstGeom prst="rect">
                          <a:avLst/>
                        </a:prstGeom>
                        <a:noFill/>
                        <a:ln>
                          <a:noFill/>
                        </a:ln>
                      </wps:spPr>
                      <wps:txbx>
                        <w:txbxContent>
                          <w:p w14:paraId="0A9BBD4D" w14:textId="65E28BF5" w:rsidR="001203C9" w:rsidRPr="001203C9" w:rsidRDefault="001203C9" w:rsidP="001203C9">
                            <w:pPr>
                              <w:jc w:val="center"/>
                              <w:rPr>
                                <w:b/>
                                <w:noProof/>
                                <w:color w:val="000000" w:themeColor="text1"/>
                                <w:sz w:val="56"/>
                                <w:szCs w:val="56"/>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203C9">
                              <w:rPr>
                                <w:b/>
                                <w:noProof/>
                                <w:color w:val="000000" w:themeColor="text1"/>
                                <w:sz w:val="56"/>
                                <w:szCs w:val="56"/>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Business Applications </w:t>
                            </w:r>
                            <w:r w:rsidRPr="001203C9">
                              <w:rPr>
                                <w:b/>
                                <w:noProof/>
                                <w:color w:val="000000" w:themeColor="text1"/>
                                <w:sz w:val="56"/>
                                <w:szCs w:val="56"/>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sym w:font="Wingdings" w:char="F0E0"/>
                            </w:r>
                            <w:r w:rsidRPr="001203C9">
                              <w:rPr>
                                <w:b/>
                                <w:noProof/>
                                <w:color w:val="000000" w:themeColor="text1"/>
                                <w:sz w:val="56"/>
                                <w:szCs w:val="56"/>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Tier </w:t>
                            </w:r>
                            <w:r w:rsidRPr="001203C9">
                              <w:rPr>
                                <w:b/>
                                <w:noProof/>
                                <w:color w:val="000000" w:themeColor="text1"/>
                                <w:sz w:val="56"/>
                                <w:szCs w:val="56"/>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sym w:font="Wingdings" w:char="F0E0"/>
                            </w:r>
                            <w:r w:rsidRPr="001203C9">
                              <w:rPr>
                                <w:b/>
                                <w:noProof/>
                                <w:color w:val="000000" w:themeColor="text1"/>
                                <w:sz w:val="56"/>
                                <w:szCs w:val="56"/>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VM</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13161C6" id="Text Box 1971069039" o:spid="_x0000_s1050" type="#_x0000_t202" style="position:absolute;margin-left:0;margin-top:71.05pt;width:523.3pt;height:211.4pt;z-index:251681792;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" filled="f" stroked="f">
                <v:textbox style="mso-fit-shape-to-text:t">
                  <w:txbxContent>
                    <w:p w14:paraId="0A9BBD4D" w14:textId="65E28BF5" w:rsidR="001203C9" w:rsidRPr="001203C9" w:rsidRDefault="001203C9" w:rsidP="001203C9">
                      <w:pPr>
                        <w:jc w:val="center"/>
                        <w:rPr>
                          <w:b/>
                          <w:noProof/>
                          <w:color w:val="000000" w:themeColor="text1"/>
                          <w:sz w:val="56"/>
                          <w:szCs w:val="56"/>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sidRPr="001203C9">
                        <w:rPr>
                          <w:b/>
                          <w:noProof/>
                          <w:color w:val="000000" w:themeColor="text1"/>
                          <w:sz w:val="56"/>
                          <w:szCs w:val="56"/>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Business Applications </w:t>
                      </w:r>
                      <w:r w:rsidRPr="001203C9">
                        <w:rPr>
                          <w:b/>
                          <w:noProof/>
                          <w:color w:val="000000" w:themeColor="text1"/>
                          <w:sz w:val="56"/>
                          <w:szCs w:val="56"/>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sym w:font="Wingdings" w:char="F0E0"/>
                      </w:r>
                      <w:r w:rsidRPr="001203C9">
                        <w:rPr>
                          <w:b/>
                          <w:noProof/>
                          <w:color w:val="000000" w:themeColor="text1"/>
                          <w:sz w:val="56"/>
                          <w:szCs w:val="56"/>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Tier </w:t>
                      </w:r>
                      <w:r w:rsidRPr="001203C9">
                        <w:rPr>
                          <w:b/>
                          <w:noProof/>
                          <w:color w:val="000000" w:themeColor="text1"/>
                          <w:sz w:val="56"/>
                          <w:szCs w:val="56"/>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sym w:font="Wingdings" w:char="F0E0"/>
                      </w:r>
                      <w:r w:rsidRPr="001203C9">
                        <w:rPr>
                          <w:b/>
                          <w:noProof/>
                          <w:color w:val="000000" w:themeColor="text1"/>
                          <w:sz w:val="56"/>
                          <w:szCs w:val="56"/>
                          <w:lang w:val="en-GB"/>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VM</w:t>
                      </w:r>
                    </w:p>
                  </w:txbxContent>
                </v:textbox>
                <w10:wrap anchorx="margin"/>
              </v:shape>
            </w:pict>
          </mc:Fallback>
        </mc:AlternateContent>
      </w:r>
      <w:r w:rsidR="00AB1FCE" w:rsidRPr="00AB1FCE">
        <w:rPr>
          <w:noProof/>
          <w:lang w:val="en-GB"/>
        </w:rPr>
        <w:drawing>
          <wp:inline distT="0" distB="0" distL="0" distR="0" wp14:anchorId="4972047B" wp14:editId="2278E0C5">
            <wp:extent cx="6645910" cy="2684780"/>
            <wp:effectExtent l="0" t="0" r="2540" b="1270"/>
            <wp:docPr id="1971069020" name="Picture 1971069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9"/>
                    <a:stretch>
                      <a:fillRect/>
                    </a:stretch>
                  </pic:blipFill>
                  <pic:spPr>
                    <a:xfrm>
                      <a:off x="0" y="0"/>
                      <a:ext cx="6645910" cy="2684780"/>
                    </a:xfrm>
                    <a:prstGeom prst="rect">
                      <a:avLst/>
                    </a:prstGeom>
                  </pic:spPr>
                </pic:pic>
              </a:graphicData>
            </a:graphic>
          </wp:inline>
        </w:drawing>
      </w:r>
    </w:p>
    <w:p w14:paraId="10AF310D" w14:textId="138E26F8" w:rsidR="00F711B1" w:rsidRDefault="00F711B1" w:rsidP="00F711B1">
      <w:pPr>
        <w:rPr>
          <w:lang w:val="en-GB"/>
        </w:rPr>
      </w:pPr>
      <w:r>
        <w:rPr>
          <w:lang w:val="en-GB"/>
        </w:rPr>
        <w:t xml:space="preserve">The columns also support drill down into VM Performance dashboard and VM Capacity dashboard. </w:t>
      </w:r>
    </w:p>
    <w:p w14:paraId="4F79BEC0" w14:textId="079C3FC5" w:rsidR="00F711B1" w:rsidRDefault="00F711B1" w:rsidP="00F711B1">
      <w:pPr>
        <w:rPr>
          <w:lang w:val="en-GB"/>
        </w:rPr>
      </w:pPr>
      <w:r>
        <w:rPr>
          <w:lang w:val="en-GB"/>
        </w:rPr>
        <w:t>The last column, because it’s a list of virtual machine, also sports a drill down into the guest operating systems. Take note this requires telegraf agent.</w:t>
      </w:r>
    </w:p>
    <w:p w14:paraId="69B49568" w14:textId="236A5413" w:rsidR="00F711B1" w:rsidRDefault="00F711B1" w:rsidP="00F711B1">
      <w:pPr>
        <w:rPr>
          <w:lang w:val="en-GB"/>
        </w:rPr>
      </w:pPr>
      <w:r>
        <w:rPr>
          <w:lang w:val="en-GB"/>
        </w:rPr>
        <w:t xml:space="preserve">The 3 columns also drives the table underneath them. The table lists all the VMs for ease of analysis. </w:t>
      </w:r>
    </w:p>
    <w:p w14:paraId="0F039932" w14:textId="73841F25" w:rsidR="00B00789" w:rsidRDefault="00B00789" w:rsidP="00F33D67">
      <w:pPr>
        <w:rPr>
          <w:lang w:val="en-GB"/>
        </w:rPr>
      </w:pPr>
      <w:r w:rsidRPr="00B00789">
        <w:rPr>
          <w:noProof/>
          <w:lang w:val="en-GB"/>
        </w:rPr>
        <w:lastRenderedPageBreak/>
        <w:drawing>
          <wp:inline distT="0" distB="0" distL="0" distR="0" wp14:anchorId="2EABB612" wp14:editId="7F14C5A6">
            <wp:extent cx="6645910" cy="3784600"/>
            <wp:effectExtent l="0" t="0" r="2540" b="635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0"/>
                    <a:stretch>
                      <a:fillRect/>
                    </a:stretch>
                  </pic:blipFill>
                  <pic:spPr>
                    <a:xfrm>
                      <a:off x="0" y="0"/>
                      <a:ext cx="6645910" cy="3784600"/>
                    </a:xfrm>
                    <a:prstGeom prst="rect">
                      <a:avLst/>
                    </a:prstGeom>
                  </pic:spPr>
                </pic:pic>
              </a:graphicData>
            </a:graphic>
          </wp:inline>
        </w:drawing>
      </w:r>
    </w:p>
    <w:p w14:paraId="665314BF" w14:textId="422F4CF3" w:rsidR="002B1925" w:rsidRPr="002B1925" w:rsidRDefault="002B1925" w:rsidP="002B1925">
      <w:pPr>
        <w:rPr>
          <w:lang w:val="en-GB" w:eastAsia="en-SG"/>
        </w:rPr>
      </w:pPr>
      <w:r>
        <w:rPr>
          <w:lang w:val="en-GB" w:eastAsia="en-SG"/>
        </w:rPr>
        <w:t xml:space="preserve">You can enhance the visibility by corelation. For example, you can </w:t>
      </w:r>
      <w:r w:rsidR="00CC3C58">
        <w:rPr>
          <w:lang w:val="en-GB" w:eastAsia="en-SG"/>
        </w:rPr>
        <w:t xml:space="preserve">compare the </w:t>
      </w:r>
      <w:r w:rsidR="00607097">
        <w:rPr>
          <w:lang w:val="en-GB" w:eastAsia="en-SG"/>
        </w:rPr>
        <w:t>application-level</w:t>
      </w:r>
      <w:r w:rsidR="00CC3C58">
        <w:rPr>
          <w:lang w:val="en-GB" w:eastAsia="en-SG"/>
        </w:rPr>
        <w:t xml:space="preserve"> metric with infrastructure metric. CPU is a good </w:t>
      </w:r>
      <w:r w:rsidR="00607097">
        <w:rPr>
          <w:lang w:val="en-GB" w:eastAsia="en-SG"/>
        </w:rPr>
        <w:t>general candidate. For example, you compare the number of web server session with the CPU Usage in GHz. I</w:t>
      </w:r>
      <w:r w:rsidR="00650BA0">
        <w:rPr>
          <w:lang w:val="en-GB" w:eastAsia="en-SG"/>
        </w:rPr>
        <w:t>f application developer release</w:t>
      </w:r>
      <w:r w:rsidR="00F6099D">
        <w:rPr>
          <w:lang w:val="en-GB" w:eastAsia="en-SG"/>
        </w:rPr>
        <w:t>s</w:t>
      </w:r>
      <w:r w:rsidR="00650BA0">
        <w:rPr>
          <w:lang w:val="en-GB" w:eastAsia="en-SG"/>
        </w:rPr>
        <w:t xml:space="preserve"> an improved code that </w:t>
      </w:r>
      <w:r w:rsidR="003D58D5">
        <w:rPr>
          <w:lang w:val="en-GB" w:eastAsia="en-SG"/>
        </w:rPr>
        <w:t xml:space="preserve">enable the web server to serve more users with the same resource, but the reality is </w:t>
      </w:r>
      <w:r w:rsidR="00F6099D">
        <w:rPr>
          <w:lang w:val="en-GB" w:eastAsia="en-SG"/>
        </w:rPr>
        <w:t xml:space="preserve">the opposite, </w:t>
      </w:r>
      <w:r w:rsidR="00B059CE">
        <w:rPr>
          <w:lang w:val="en-GB" w:eastAsia="en-SG"/>
        </w:rPr>
        <w:t xml:space="preserve">then they have something to troubleshoot. </w:t>
      </w:r>
    </w:p>
    <w:p w14:paraId="3C305222" w14:textId="77777777" w:rsidR="001203C9" w:rsidRDefault="001203C9" w:rsidP="001203C9">
      <w:pPr>
        <w:rPr>
          <w:lang w:val="en-GB"/>
        </w:rPr>
      </w:pPr>
      <w:r>
        <w:rPr>
          <w:lang w:val="en-GB"/>
        </w:rPr>
        <w:t xml:space="preserve">You can enhance this by adding process-level metric. This requires you to install Telegraf agent. </w:t>
      </w:r>
    </w:p>
    <w:p w14:paraId="03BA65CE" w14:textId="79E2692D" w:rsidR="0061072F" w:rsidRDefault="0061072F" w:rsidP="00540F68">
      <w:pPr>
        <w:pStyle w:val="Heading3"/>
      </w:pPr>
      <w:r w:rsidRPr="01F139DE">
        <w:t>NOC Dashboards</w:t>
      </w:r>
    </w:p>
    <w:p w14:paraId="54FC3752" w14:textId="77777777" w:rsidR="0061072F" w:rsidRDefault="00000000" w:rsidP="000E1236">
      <w:pPr>
        <w:rPr>
          <w:lang w:val="en-GB"/>
        </w:rPr>
      </w:pPr>
      <w:hyperlink r:id="rId1331" w:history="1">
        <w:r w:rsidR="0061072F" w:rsidRPr="00A452F2">
          <w:rPr>
            <w:rStyle w:val="Hyperlink"/>
            <w:lang w:val="en-GB"/>
          </w:rPr>
          <w:t>Network Operations Center</w:t>
        </w:r>
      </w:hyperlink>
      <w:r w:rsidR="0061072F">
        <w:rPr>
          <w:lang w:val="en-GB"/>
        </w:rPr>
        <w:t xml:space="preserve"> has specific requirements and constraints, hence it’s covered as a separate chapter. As requirements vary widely among customers, what is provided out of the box are examples to show case the possibilities.</w:t>
      </w:r>
    </w:p>
    <w:p w14:paraId="6AE3358E" w14:textId="77777777" w:rsidR="0061072F" w:rsidRDefault="0061072F" w:rsidP="00AC6E1E">
      <w:pPr>
        <w:pStyle w:val="Heading4"/>
      </w:pPr>
      <w:r w:rsidRPr="00A452F2">
        <w:rPr>
          <w:rStyle w:val="eop"/>
        </w:rPr>
        <w:lastRenderedPageBreak/>
        <w:t>Design Considerations</w:t>
      </w:r>
      <w:r w:rsidRPr="00A452F2">
        <w:t xml:space="preserve"> </w:t>
      </w:r>
    </w:p>
    <w:p w14:paraId="298A7097" w14:textId="77777777" w:rsidR="0061072F" w:rsidRPr="00A452F2" w:rsidRDefault="0061072F" w:rsidP="0061072F">
      <w:pPr>
        <w:rPr>
          <w:lang w:val="en-GB"/>
        </w:rPr>
      </w:pPr>
      <w:r w:rsidRPr="00A452F2">
        <w:rPr>
          <w:lang w:val="en-GB"/>
        </w:rPr>
        <w:t xml:space="preserve">A dashboard projected on the large screen serves a different business purpose than a dashboard on your laptop or desktop. It is placed strategically because it displays a </w:t>
      </w:r>
      <w:r w:rsidRPr="00A452F2">
        <w:rPr>
          <w:i/>
          <w:iCs/>
          <w:color w:val="00B0F0"/>
          <w:lang w:val="en-GB"/>
        </w:rPr>
        <w:t>time sensitive</w:t>
      </w:r>
      <w:r w:rsidRPr="00A452F2">
        <w:rPr>
          <w:color w:val="00B0F0"/>
          <w:lang w:val="en-GB"/>
        </w:rPr>
        <w:t xml:space="preserve"> </w:t>
      </w:r>
      <w:r w:rsidRPr="00A452F2">
        <w:rPr>
          <w:lang w:val="en-GB"/>
        </w:rPr>
        <w:t>information. The information presented is more urgent in nature than alerts (otherwise you simply use alerts!) and is used to complement alerts.</w:t>
      </w:r>
    </w:p>
    <w:p w14:paraId="3F0E08D4" w14:textId="77777777" w:rsidR="0061072F" w:rsidRPr="00A452F2" w:rsidRDefault="0061072F" w:rsidP="0061072F">
      <w:pPr>
        <w:rPr>
          <w:lang w:val="en-GB"/>
        </w:rPr>
      </w:pPr>
      <w:r w:rsidRPr="00A452F2">
        <w:rPr>
          <w:lang w:val="en-GB"/>
        </w:rPr>
        <w:t xml:space="preserve">These dashboards are specifically designed for your Network or Server Operations team, who are typically stationed at the. NOC Dashboards aid your operations team to proactively monitor the health &amp; availability of the VMware cloud infrastructure in near real time. Due to the specific purpose of it, not all operational use cases are suitable for these. For examples, </w:t>
      </w:r>
      <w:hyperlink w:anchor="_Capacity_Management" w:history="1">
        <w:r w:rsidRPr="00A452F2">
          <w:rPr>
            <w:rStyle w:val="Hyperlink"/>
            <w:lang w:val="en-GB"/>
          </w:rPr>
          <w:t>Capacity</w:t>
        </w:r>
      </w:hyperlink>
      <w:r w:rsidRPr="00A452F2">
        <w:rPr>
          <w:lang w:val="en-GB"/>
        </w:rPr>
        <w:t xml:space="preserve"> and Cost use cases are not highly time critical. They tend to stay static for hours, rendering them unsuitable for live screen. </w:t>
      </w:r>
    </w:p>
    <w:p w14:paraId="18757ACB" w14:textId="77777777" w:rsidR="0061072F" w:rsidRPr="00A452F2" w:rsidRDefault="0061072F" w:rsidP="0061072F">
      <w:pPr>
        <w:rPr>
          <w:lang w:val="en-GB"/>
        </w:rPr>
      </w:pPr>
      <w:r w:rsidRPr="00A452F2">
        <w:rPr>
          <w:lang w:val="en-GB"/>
        </w:rPr>
        <w:t xml:space="preserve">The following five principals are used to design the predefined </w:t>
      </w:r>
      <w:r w:rsidRPr="00A452F2">
        <w:rPr>
          <w:rStyle w:val="keyword"/>
          <w:lang w:val="en-GB"/>
        </w:rPr>
        <w:t xml:space="preserve">Network Operation Center </w:t>
      </w:r>
      <w:r w:rsidRPr="00A452F2">
        <w:rPr>
          <w:lang w:val="en-GB"/>
        </w:rPr>
        <w:t xml:space="preserve">dashboards. </w:t>
      </w:r>
    </w:p>
    <w:p w14:paraId="6DF4860D" w14:textId="77777777" w:rsidR="0061072F" w:rsidRPr="00A452F2" w:rsidRDefault="0061072F" w:rsidP="0061072F">
      <w:pPr>
        <w:jc w:val="center"/>
        <w:rPr>
          <w:lang w:val="en-GB"/>
        </w:rPr>
      </w:pPr>
      <w:r>
        <w:rPr>
          <w:noProof/>
        </w:rPr>
        <w:drawing>
          <wp:inline distT="0" distB="0" distL="0" distR="0" wp14:anchorId="7EFF0A2F" wp14:editId="34C5865B">
            <wp:extent cx="4374292" cy="2120274"/>
            <wp:effectExtent l="0" t="0" r="7620"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54"/>
                    <pic:cNvPicPr/>
                  </pic:nvPicPr>
                  <pic:blipFill>
                    <a:blip r:embed="rId1332">
                      <a:extLst>
                        <a:ext uri="{28A0092B-C50C-407E-A947-70E740481C1C}">
                          <a14:useLocalDpi xmlns:a14="http://schemas.microsoft.com/office/drawing/2010/main" val="0"/>
                        </a:ext>
                      </a:extLst>
                    </a:blip>
                    <a:stretch>
                      <a:fillRect/>
                    </a:stretch>
                  </pic:blipFill>
                  <pic:spPr>
                    <a:xfrm>
                      <a:off x="0" y="0"/>
                      <a:ext cx="4374292" cy="2120274"/>
                    </a:xfrm>
                    <a:prstGeom prst="rect">
                      <a:avLst/>
                    </a:prstGeom>
                  </pic:spPr>
                </pic:pic>
              </a:graphicData>
            </a:graphic>
          </wp:inline>
        </w:drawing>
      </w:r>
    </w:p>
    <w:p w14:paraId="58C7856D" w14:textId="77777777" w:rsidR="0061072F" w:rsidRPr="00A452F2" w:rsidRDefault="0061072F" w:rsidP="0061072F">
      <w:pPr>
        <w:rPr>
          <w:lang w:val="en-GB"/>
        </w:rPr>
      </w:pPr>
      <w:r>
        <w:rPr>
          <w:b/>
          <w:lang w:val="en-GB"/>
        </w:rPr>
        <w:t>Color</w:t>
      </w:r>
      <w:r w:rsidRPr="00A452F2">
        <w:rPr>
          <w:b/>
          <w:lang w:val="en-GB"/>
        </w:rPr>
        <w:t xml:space="preserve"> Coded</w:t>
      </w:r>
      <w:r w:rsidRPr="00A452F2">
        <w:rPr>
          <w:lang w:val="en-GB"/>
        </w:rPr>
        <w:t xml:space="preserve">: All the information is </w:t>
      </w:r>
      <w:r>
        <w:rPr>
          <w:lang w:val="en-GB"/>
        </w:rPr>
        <w:t>color</w:t>
      </w:r>
      <w:r w:rsidRPr="00A452F2">
        <w:rPr>
          <w:lang w:val="en-GB"/>
        </w:rPr>
        <w:t xml:space="preserve"> coded to classify the severity of the issue.</w:t>
      </w:r>
    </w:p>
    <w:p w14:paraId="7956853B" w14:textId="77777777" w:rsidR="0061072F" w:rsidRPr="00A452F2" w:rsidRDefault="0061072F" w:rsidP="0061072F">
      <w:pPr>
        <w:pStyle w:val="Bullet"/>
        <w:rPr>
          <w:lang w:val="en-GB" w:eastAsia="en-SG"/>
        </w:rPr>
      </w:pPr>
      <w:r>
        <w:rPr>
          <w:lang w:val="en-GB" w:eastAsia="en-SG"/>
        </w:rPr>
        <w:t>Color</w:t>
      </w:r>
      <w:r w:rsidRPr="00A452F2">
        <w:rPr>
          <w:lang w:val="en-GB" w:eastAsia="en-SG"/>
        </w:rPr>
        <w:t xml:space="preserve"> is easier to digest than text, as you don’t even need to read. Lots of text can confuse viewers. Text can be hard to read from afar. </w:t>
      </w:r>
    </w:p>
    <w:p w14:paraId="07421216" w14:textId="7A2A98F0" w:rsidR="0061072F" w:rsidRPr="00A452F2" w:rsidRDefault="0061072F" w:rsidP="0061072F">
      <w:pPr>
        <w:pStyle w:val="Bullet"/>
        <w:rPr>
          <w:lang w:val="en-GB" w:eastAsia="en-SG"/>
        </w:rPr>
      </w:pPr>
      <w:r w:rsidRPr="00A452F2">
        <w:rPr>
          <w:lang w:val="en-GB" w:eastAsia="en-SG"/>
        </w:rPr>
        <w:t xml:space="preserve">Use key </w:t>
      </w:r>
      <w:r>
        <w:rPr>
          <w:lang w:val="en-GB" w:eastAsia="en-SG"/>
        </w:rPr>
        <w:t>color</w:t>
      </w:r>
      <w:r w:rsidRPr="00A452F2">
        <w:rPr>
          <w:lang w:val="en-GB" w:eastAsia="en-SG"/>
        </w:rPr>
        <w:t>s (</w:t>
      </w:r>
      <w:r w:rsidR="0022569A" w:rsidRPr="0022569A">
        <w:rPr>
          <w:color w:val="00B050"/>
          <w:lang w:val="en-GB" w:eastAsia="en-SG"/>
        </w:rPr>
        <w:t>green</w:t>
      </w:r>
      <w:r w:rsidRPr="00A452F2">
        <w:rPr>
          <w:lang w:val="en-GB" w:eastAsia="en-SG"/>
        </w:rPr>
        <w:t xml:space="preserve">, </w:t>
      </w:r>
      <w:r w:rsidR="0075476C" w:rsidRPr="009322C0">
        <w:rPr>
          <w:color w:val="000000" w:themeColor="text1"/>
          <w14:textFill>
            <w14:gradFill>
              <w14:gsLst>
                <w14:gs w14:pos="0">
                  <w14:schemeClr w14:val="tx1"/>
                </w14:gs>
                <w14:gs w14:pos="100000">
                  <w14:srgbClr w14:val="FFFF00"/>
                </w14:gs>
              </w14:gsLst>
              <w14:lin w14:ang="16200000" w14:scaled="0"/>
            </w14:gradFill>
          </w14:textFill>
        </w:rPr>
        <w:t>yellow</w:t>
      </w:r>
      <w:r w:rsidRPr="00A452F2">
        <w:rPr>
          <w:lang w:val="en-GB" w:eastAsia="en-SG"/>
        </w:rPr>
        <w:t xml:space="preserve">, amber, and </w:t>
      </w:r>
      <w:r w:rsidR="00CF7D2C" w:rsidRPr="00CF7D2C">
        <w:rPr>
          <w:color w:val="FF0000"/>
          <w:lang w:val="en-GB" w:eastAsia="en-SG"/>
        </w:rPr>
        <w:t>red</w:t>
      </w:r>
      <w:r w:rsidRPr="00A452F2">
        <w:rPr>
          <w:lang w:val="en-GB" w:eastAsia="en-SG"/>
        </w:rPr>
        <w:t>).</w:t>
      </w:r>
      <w:r w:rsidRPr="00A452F2">
        <w:rPr>
          <w:lang w:val="en-GB"/>
        </w:rPr>
        <w:t xml:space="preserve"> </w:t>
      </w:r>
    </w:p>
    <w:p w14:paraId="0CBC8DF8" w14:textId="013C2069" w:rsidR="0061072F" w:rsidRPr="00A452F2" w:rsidRDefault="0061072F" w:rsidP="0061072F">
      <w:pPr>
        <w:pStyle w:val="Bullet"/>
        <w:rPr>
          <w:lang w:val="en-GB" w:eastAsia="en-SG"/>
        </w:rPr>
      </w:pPr>
      <w:r w:rsidRPr="00A452F2">
        <w:rPr>
          <w:lang w:val="en-GB" w:eastAsia="en-SG"/>
        </w:rPr>
        <w:t xml:space="preserve">By default all </w:t>
      </w:r>
      <w:r w:rsidR="0022569A" w:rsidRPr="0022569A">
        <w:rPr>
          <w:color w:val="00B050"/>
          <w:lang w:val="en-GB" w:eastAsia="en-SG"/>
        </w:rPr>
        <w:t>green</w:t>
      </w:r>
      <w:r w:rsidRPr="00A452F2">
        <w:rPr>
          <w:lang w:val="en-GB" w:eastAsia="en-SG"/>
        </w:rPr>
        <w:t xml:space="preserve">. Can’t have </w:t>
      </w:r>
      <w:r w:rsidR="00CF7D2C" w:rsidRPr="00CF7D2C">
        <w:rPr>
          <w:color w:val="FF0000"/>
          <w:lang w:val="en-GB" w:eastAsia="en-SG"/>
        </w:rPr>
        <w:t>red</w:t>
      </w:r>
      <w:r w:rsidRPr="00A452F2">
        <w:rPr>
          <w:lang w:val="en-GB" w:eastAsia="en-SG"/>
        </w:rPr>
        <w:t xml:space="preserve"> staying for hours (use alerts for something less urgent)</w:t>
      </w:r>
    </w:p>
    <w:p w14:paraId="389F0A82" w14:textId="77777777" w:rsidR="0061072F" w:rsidRPr="00A452F2" w:rsidRDefault="0061072F" w:rsidP="0061072F">
      <w:pPr>
        <w:rPr>
          <w:lang w:val="en-GB" w:eastAsia="en-SG"/>
        </w:rPr>
      </w:pPr>
      <w:r w:rsidRPr="00A452F2">
        <w:rPr>
          <w:lang w:val="en-GB" w:eastAsia="en-SG"/>
        </w:rPr>
        <w:t>No interaction on the projected screen</w:t>
      </w:r>
    </w:p>
    <w:p w14:paraId="4862E588" w14:textId="77777777" w:rsidR="0061072F" w:rsidRPr="00A452F2" w:rsidRDefault="0061072F" w:rsidP="0061072F">
      <w:pPr>
        <w:pStyle w:val="Bullet"/>
        <w:rPr>
          <w:lang w:val="en-GB"/>
        </w:rPr>
      </w:pPr>
      <w:r w:rsidRPr="00A452F2">
        <w:rPr>
          <w:lang w:val="en-GB"/>
        </w:rPr>
        <w:t xml:space="preserve">0 interaction, because there is no mouse and keyboard. </w:t>
      </w:r>
    </w:p>
    <w:p w14:paraId="150C771D" w14:textId="77777777" w:rsidR="0061072F" w:rsidRPr="00A452F2" w:rsidRDefault="0061072F" w:rsidP="0061072F">
      <w:pPr>
        <w:pStyle w:val="Bullet"/>
        <w:rPr>
          <w:lang w:val="en-GB"/>
        </w:rPr>
      </w:pPr>
      <w:r w:rsidRPr="00A452F2">
        <w:rPr>
          <w:lang w:val="en-GB"/>
        </w:rPr>
        <w:t>Toolbars &amp; buttons should not be used as they add confusion as there is no way to use them.</w:t>
      </w:r>
    </w:p>
    <w:p w14:paraId="1A424BCF" w14:textId="77777777" w:rsidR="0061072F" w:rsidRPr="00A452F2" w:rsidRDefault="0061072F" w:rsidP="0061072F">
      <w:pPr>
        <w:pStyle w:val="Bullet"/>
        <w:rPr>
          <w:lang w:val="en-GB" w:eastAsia="en-SG"/>
        </w:rPr>
      </w:pPr>
      <w:r w:rsidRPr="00A452F2">
        <w:rPr>
          <w:lang w:val="en-GB"/>
        </w:rPr>
        <w:t xml:space="preserve">Most widgets are not suitable as a result. </w:t>
      </w:r>
    </w:p>
    <w:p w14:paraId="7C63077B" w14:textId="77777777" w:rsidR="0061072F" w:rsidRPr="00A452F2" w:rsidRDefault="0061072F" w:rsidP="0061072F">
      <w:pPr>
        <w:rPr>
          <w:lang w:val="en-GB" w:eastAsia="en-SG"/>
        </w:rPr>
      </w:pPr>
      <w:r w:rsidRPr="00A452F2">
        <w:rPr>
          <w:lang w:val="en-GB"/>
        </w:rPr>
        <w:t xml:space="preserve">KISS (Keep </w:t>
      </w:r>
      <w:r>
        <w:rPr>
          <w:lang w:val="en-GB"/>
        </w:rPr>
        <w:t>I</w:t>
      </w:r>
      <w:r w:rsidRPr="00A452F2">
        <w:rPr>
          <w:lang w:val="en-GB"/>
        </w:rPr>
        <w:t xml:space="preserve">t </w:t>
      </w:r>
      <w:r>
        <w:rPr>
          <w:lang w:val="en-GB"/>
        </w:rPr>
        <w:t>S</w:t>
      </w:r>
      <w:r w:rsidRPr="00A452F2">
        <w:rPr>
          <w:lang w:val="en-GB"/>
        </w:rPr>
        <w:t xml:space="preserve">imple </w:t>
      </w:r>
      <w:r>
        <w:rPr>
          <w:lang w:val="en-GB"/>
        </w:rPr>
        <w:t>S</w:t>
      </w:r>
      <w:r w:rsidRPr="00A452F2">
        <w:rPr>
          <w:lang w:val="en-GB"/>
        </w:rPr>
        <w:t>how)</w:t>
      </w:r>
    </w:p>
    <w:p w14:paraId="7E22FE3A" w14:textId="77777777" w:rsidR="0061072F" w:rsidRPr="00A452F2" w:rsidRDefault="0061072F" w:rsidP="0061072F">
      <w:pPr>
        <w:pStyle w:val="Bullet"/>
        <w:rPr>
          <w:lang w:val="en-GB" w:eastAsia="en-SG"/>
        </w:rPr>
      </w:pPr>
      <w:r w:rsidRPr="00A452F2">
        <w:rPr>
          <w:lang w:val="en-GB" w:eastAsia="en-SG"/>
        </w:rPr>
        <w:t xml:space="preserve">These dashboards are designed to show you minimal &amp; critical information only. It should follow the </w:t>
      </w:r>
      <w:hyperlink r:id="rId1333" w:history="1">
        <w:r w:rsidRPr="00A452F2">
          <w:rPr>
            <w:rStyle w:val="Hyperlink"/>
            <w:lang w:val="en-GB" w:eastAsia="en-SG"/>
          </w:rPr>
          <w:t>KISS principle</w:t>
        </w:r>
      </w:hyperlink>
      <w:r w:rsidRPr="00A452F2">
        <w:rPr>
          <w:lang w:val="en-GB" w:eastAsia="en-SG"/>
        </w:rPr>
        <w:t>.</w:t>
      </w:r>
    </w:p>
    <w:p w14:paraId="1F8003B7" w14:textId="77777777" w:rsidR="0061072F" w:rsidRPr="00A452F2" w:rsidRDefault="0061072F" w:rsidP="0061072F">
      <w:pPr>
        <w:pStyle w:val="Bullet"/>
        <w:rPr>
          <w:lang w:val="en-GB" w:eastAsia="en-SG"/>
        </w:rPr>
      </w:pPr>
      <w:r w:rsidRPr="00A452F2">
        <w:rPr>
          <w:lang w:val="en-GB" w:eastAsia="en-SG"/>
        </w:rPr>
        <w:t>Don’t show detailed charts as that is hard to read from afar. Be aware of how far the info needs to be displayed. 9 point Calibri at laptop is clear, but not at the projector screen.</w:t>
      </w:r>
    </w:p>
    <w:p w14:paraId="0D1B34B6" w14:textId="77777777" w:rsidR="0061072F" w:rsidRPr="00A452F2" w:rsidRDefault="0061072F" w:rsidP="0061072F">
      <w:pPr>
        <w:pStyle w:val="Bullet"/>
        <w:rPr>
          <w:lang w:val="en-GB" w:eastAsia="en-SG"/>
        </w:rPr>
      </w:pPr>
      <w:r w:rsidRPr="00A452F2">
        <w:rPr>
          <w:lang w:val="en-GB" w:eastAsia="en-SG"/>
        </w:rPr>
        <w:t>Ideally, all the numbers are in %, with 0 being bad and 100 being perfect.</w:t>
      </w:r>
    </w:p>
    <w:p w14:paraId="67C1EA8E" w14:textId="77777777" w:rsidR="0061072F" w:rsidRPr="00A452F2" w:rsidRDefault="0061072F" w:rsidP="0061072F">
      <w:pPr>
        <w:pStyle w:val="Bullet"/>
        <w:rPr>
          <w:lang w:val="en-GB" w:eastAsia="en-SG"/>
        </w:rPr>
      </w:pPr>
      <w:r w:rsidRPr="00A452F2">
        <w:rPr>
          <w:lang w:val="en-GB" w:eastAsia="en-SG"/>
        </w:rPr>
        <w:t xml:space="preserve">In cases like </w:t>
      </w:r>
      <w:r>
        <w:rPr>
          <w:lang w:val="en-GB" w:eastAsia="en-SG"/>
        </w:rPr>
        <w:t>Utilization</w:t>
      </w:r>
      <w:r w:rsidRPr="00A452F2">
        <w:rPr>
          <w:lang w:val="en-GB" w:eastAsia="en-SG"/>
        </w:rPr>
        <w:t xml:space="preserve">, you should use the following marker. </w:t>
      </w:r>
    </w:p>
    <w:p w14:paraId="15502B85" w14:textId="77777777" w:rsidR="0061072F" w:rsidRPr="00A452F2" w:rsidRDefault="0061072F" w:rsidP="0061072F">
      <w:pPr>
        <w:pStyle w:val="Bullet1"/>
      </w:pPr>
      <w:r w:rsidRPr="00A452F2">
        <w:t>50% = good, balanced utilization. Ideally, this should be 75%.</w:t>
      </w:r>
    </w:p>
    <w:p w14:paraId="3FA2504D" w14:textId="77777777" w:rsidR="0061072F" w:rsidRPr="00A452F2" w:rsidRDefault="0061072F" w:rsidP="0061072F">
      <w:pPr>
        <w:pStyle w:val="Bullet1"/>
      </w:pPr>
      <w:r w:rsidRPr="00A452F2">
        <w:t>0% = wastage</w:t>
      </w:r>
    </w:p>
    <w:p w14:paraId="50EF82A6" w14:textId="77777777" w:rsidR="0061072F" w:rsidRPr="00A452F2" w:rsidRDefault="0061072F" w:rsidP="0061072F">
      <w:pPr>
        <w:pStyle w:val="Bullet1"/>
      </w:pPr>
      <w:r w:rsidRPr="00A452F2">
        <w:t>100% = highly utilized.</w:t>
      </w:r>
    </w:p>
    <w:p w14:paraId="0F73EAA2" w14:textId="77777777" w:rsidR="0061072F" w:rsidRPr="00A452F2" w:rsidRDefault="0061072F" w:rsidP="0061072F">
      <w:pPr>
        <w:rPr>
          <w:lang w:val="en-GB" w:eastAsia="en-SG"/>
        </w:rPr>
      </w:pPr>
      <w:r w:rsidRPr="00A452F2">
        <w:rPr>
          <w:lang w:val="en-GB" w:eastAsia="en-SG"/>
        </w:rPr>
        <w:lastRenderedPageBreak/>
        <w:t>Remember the 5-second test</w:t>
      </w:r>
    </w:p>
    <w:p w14:paraId="6CFCF189" w14:textId="77777777" w:rsidR="0061072F" w:rsidRPr="00A452F2" w:rsidRDefault="0061072F" w:rsidP="0061072F">
      <w:pPr>
        <w:pStyle w:val="ListParagraph"/>
        <w:numPr>
          <w:ilvl w:val="0"/>
          <w:numId w:val="1"/>
        </w:numPr>
        <w:rPr>
          <w:lang w:val="en-GB" w:eastAsia="en-SG"/>
        </w:rPr>
      </w:pPr>
      <w:r w:rsidRPr="00A452F2">
        <w:rPr>
          <w:lang w:val="en-GB" w:eastAsia="en-SG"/>
        </w:rPr>
        <w:t>All NOC dashboards should be easy to interpret, user friendly and do not require an explanation.</w:t>
      </w:r>
    </w:p>
    <w:p w14:paraId="3ECB06D0" w14:textId="77777777" w:rsidR="0061072F" w:rsidRPr="00A452F2" w:rsidRDefault="0061072F" w:rsidP="0061072F">
      <w:pPr>
        <w:rPr>
          <w:lang w:val="en-GB" w:eastAsia="en-SG"/>
        </w:rPr>
      </w:pPr>
      <w:r w:rsidRPr="00A452F2">
        <w:rPr>
          <w:lang w:val="en-GB" w:eastAsia="en-SG"/>
        </w:rPr>
        <w:t xml:space="preserve">Choose content that drives immediate </w:t>
      </w:r>
      <w:r w:rsidRPr="00A452F2">
        <w:rPr>
          <w:b/>
          <w:bCs/>
          <w:lang w:val="en-GB" w:eastAsia="en-SG"/>
        </w:rPr>
        <w:t>Actions</w:t>
      </w:r>
    </w:p>
    <w:p w14:paraId="0DD11EBA" w14:textId="30B278F5" w:rsidR="0061072F" w:rsidRPr="00A452F2" w:rsidRDefault="0061072F" w:rsidP="0061072F">
      <w:pPr>
        <w:pStyle w:val="Bullet"/>
        <w:rPr>
          <w:lang w:val="en-GB"/>
        </w:rPr>
      </w:pPr>
      <w:r w:rsidRPr="00A452F2">
        <w:rPr>
          <w:lang w:val="en-GB"/>
        </w:rPr>
        <w:t xml:space="preserve">Focuses on immediate remediation. Remediation action has to be immediate (within the same hours). If something can’t be fixed within the same day, why show it live? Remediation that takes &gt;1 day should not be shown, as the dashboard will be </w:t>
      </w:r>
      <w:r w:rsidR="00CF7D2C" w:rsidRPr="00CF7D2C">
        <w:rPr>
          <w:color w:val="FF0000"/>
          <w:lang w:val="en-GB"/>
        </w:rPr>
        <w:t>red</w:t>
      </w:r>
      <w:r w:rsidRPr="00A452F2">
        <w:rPr>
          <w:lang w:val="en-GB"/>
        </w:rPr>
        <w:t xml:space="preserve"> for hours. It is better to use alerts for longer remediation window. </w:t>
      </w:r>
    </w:p>
    <w:p w14:paraId="2A946BC9" w14:textId="5B1C339D" w:rsidR="0061072F" w:rsidRPr="00A452F2" w:rsidRDefault="0061072F" w:rsidP="0061072F">
      <w:pPr>
        <w:pStyle w:val="Bullet"/>
        <w:rPr>
          <w:lang w:val="en-GB" w:eastAsia="en-SG"/>
        </w:rPr>
      </w:pPr>
      <w:r w:rsidRPr="00A452F2">
        <w:rPr>
          <w:lang w:val="en-GB" w:eastAsia="en-SG"/>
        </w:rPr>
        <w:t xml:space="preserve">If you display something that is </w:t>
      </w:r>
      <w:r w:rsidR="00CF7D2C" w:rsidRPr="00CF7D2C">
        <w:rPr>
          <w:color w:val="FF0000"/>
          <w:lang w:val="en-GB" w:eastAsia="en-SG"/>
        </w:rPr>
        <w:t>red</w:t>
      </w:r>
      <w:r w:rsidRPr="00A452F2">
        <w:rPr>
          <w:lang w:val="en-GB" w:eastAsia="en-SG"/>
        </w:rPr>
        <w:t xml:space="preserve"> most of the time, after a while the viewer will ignore it. This defeats the very purpose of displaying on the big screen.</w:t>
      </w:r>
    </w:p>
    <w:p w14:paraId="1AF7C9ED" w14:textId="45B26B13" w:rsidR="0061072F" w:rsidRPr="00A452F2" w:rsidRDefault="0061072F" w:rsidP="0061072F">
      <w:pPr>
        <w:pStyle w:val="Bullet"/>
        <w:rPr>
          <w:lang w:val="en-GB" w:eastAsia="en-SG"/>
        </w:rPr>
      </w:pPr>
      <w:r w:rsidRPr="00A452F2">
        <w:rPr>
          <w:lang w:val="en-GB" w:eastAsia="en-SG"/>
        </w:rPr>
        <w:t xml:space="preserve">When something on the big screen is </w:t>
      </w:r>
      <w:r w:rsidR="00CF7D2C" w:rsidRPr="00CF7D2C">
        <w:rPr>
          <w:color w:val="FF0000"/>
          <w:lang w:val="en-GB" w:eastAsia="en-SG"/>
        </w:rPr>
        <w:t>red</w:t>
      </w:r>
      <w:r w:rsidRPr="00A452F2">
        <w:rPr>
          <w:lang w:val="en-GB" w:eastAsia="en-SG"/>
        </w:rPr>
        <w:t>, you want action to be taken. And it’s immediate, not tomorrow.</w:t>
      </w:r>
    </w:p>
    <w:p w14:paraId="2F0A3CA6" w14:textId="77777777" w:rsidR="0061072F" w:rsidRPr="00A452F2" w:rsidRDefault="0061072F" w:rsidP="0061072F">
      <w:pPr>
        <w:pStyle w:val="Bullet"/>
        <w:rPr>
          <w:lang w:val="en-GB"/>
        </w:rPr>
      </w:pPr>
      <w:bookmarkStart w:id="154" w:name="_Hlk49767721"/>
      <w:r w:rsidRPr="00A452F2">
        <w:rPr>
          <w:lang w:val="en-GB"/>
        </w:rPr>
        <w:t xml:space="preserve">It’s showing 5 minute data. </w:t>
      </w:r>
      <w:bookmarkEnd w:id="154"/>
      <w:r w:rsidRPr="00A452F2">
        <w:rPr>
          <w:lang w:val="en-GB"/>
        </w:rPr>
        <w:t xml:space="preserve">Live! The history not so relevant, because it focuses on urgent remediation. </w:t>
      </w:r>
    </w:p>
    <w:p w14:paraId="36C584F2" w14:textId="77777777" w:rsidR="0061072F" w:rsidRPr="00A452F2" w:rsidRDefault="0061072F" w:rsidP="0061072F">
      <w:pPr>
        <w:pStyle w:val="Bullet"/>
        <w:rPr>
          <w:lang w:val="en-GB"/>
        </w:rPr>
      </w:pPr>
      <w:r w:rsidRPr="00A452F2">
        <w:rPr>
          <w:lang w:val="en-GB"/>
        </w:rPr>
        <w:t>Problems that don’t require immediate attention should be avoided, as they are distraction.</w:t>
      </w:r>
    </w:p>
    <w:p w14:paraId="528A0D2F" w14:textId="77777777" w:rsidR="0061072F" w:rsidRPr="00A452F2" w:rsidRDefault="0061072F" w:rsidP="0061072F">
      <w:pPr>
        <w:pStyle w:val="Bullet"/>
        <w:rPr>
          <w:lang w:val="en-GB"/>
        </w:rPr>
      </w:pPr>
      <w:r w:rsidRPr="00A452F2">
        <w:rPr>
          <w:lang w:val="en-GB"/>
        </w:rPr>
        <w:t>Examples of suitable actions: stop provisioning of new VM, take action on VMs that abuse the shared infrastructure.</w:t>
      </w:r>
    </w:p>
    <w:p w14:paraId="152892AD" w14:textId="77777777" w:rsidR="0061072F" w:rsidRPr="00A452F2" w:rsidRDefault="0061072F" w:rsidP="0061072F">
      <w:pPr>
        <w:pStyle w:val="Bullet"/>
        <w:rPr>
          <w:lang w:val="en-GB"/>
        </w:rPr>
      </w:pPr>
      <w:r w:rsidRPr="00A452F2">
        <w:rPr>
          <w:lang w:val="en-GB"/>
        </w:rPr>
        <w:t>Examples of not suitable actions: Increase supply of infrastructure, such as adding hardware.</w:t>
      </w:r>
    </w:p>
    <w:p w14:paraId="508FBF14" w14:textId="77777777" w:rsidR="0061072F" w:rsidRPr="00A452F2" w:rsidRDefault="0061072F" w:rsidP="0061072F">
      <w:pPr>
        <w:rPr>
          <w:lang w:val="en-GB"/>
        </w:rPr>
      </w:pPr>
      <w:r w:rsidRPr="00A452F2">
        <w:rPr>
          <w:lang w:val="en-GB"/>
        </w:rPr>
        <w:t xml:space="preserve">Designed to be displayed on a big screen. </w:t>
      </w:r>
    </w:p>
    <w:p w14:paraId="35A24000" w14:textId="77777777" w:rsidR="0061072F" w:rsidRPr="00A452F2" w:rsidRDefault="0061072F" w:rsidP="0061072F">
      <w:pPr>
        <w:pStyle w:val="Bullet"/>
        <w:rPr>
          <w:lang w:val="en-GB"/>
        </w:rPr>
      </w:pPr>
      <w:r w:rsidRPr="00A452F2">
        <w:rPr>
          <w:lang w:val="en-GB"/>
        </w:rPr>
        <w:t xml:space="preserve">Configure them to auto-rotate in a logical flow. </w:t>
      </w:r>
    </w:p>
    <w:p w14:paraId="2C7E22C2" w14:textId="77777777" w:rsidR="0061072F" w:rsidRPr="00A452F2" w:rsidRDefault="0061072F" w:rsidP="0061072F">
      <w:pPr>
        <w:pStyle w:val="Bullet"/>
        <w:rPr>
          <w:lang w:val="en-GB"/>
        </w:rPr>
      </w:pPr>
      <w:r w:rsidRPr="00A452F2">
        <w:rPr>
          <w:lang w:val="en-GB"/>
        </w:rPr>
        <w:t>Each dashboard is designed to fit the screen &amp; no scrolling is required.</w:t>
      </w:r>
    </w:p>
    <w:p w14:paraId="7E082F62" w14:textId="77777777" w:rsidR="0061072F" w:rsidRPr="00A452F2" w:rsidRDefault="0061072F" w:rsidP="0061072F">
      <w:pPr>
        <w:rPr>
          <w:lang w:val="en-GB"/>
        </w:rPr>
      </w:pPr>
      <w:r w:rsidRPr="00A452F2">
        <w:rPr>
          <w:lang w:val="en-GB"/>
        </w:rPr>
        <w:t xml:space="preserve">The above principle applies to the part of the dashboard that is projected on the big screen. You can dual-purpose the same dashboard, to cater for the operators in the NOC room. These help desk administrators should have the same dashboard on their desktop or laptop. They can then use keyboard and mouse to interact with the dashboard, enabling them to drill down and find out more information. </w:t>
      </w:r>
    </w:p>
    <w:p w14:paraId="1B0ECAAD" w14:textId="77777777" w:rsidR="0061072F" w:rsidRPr="00A452F2" w:rsidRDefault="0061072F" w:rsidP="0061072F">
      <w:pPr>
        <w:rPr>
          <w:lang w:val="en-GB"/>
        </w:rPr>
      </w:pPr>
      <w:r w:rsidRPr="00A452F2">
        <w:rPr>
          <w:lang w:val="en-GB"/>
        </w:rPr>
        <w:t>vRealize Operations provides 3 sample dashboards in this release. Tailor them to your operational needs.</w:t>
      </w:r>
    </w:p>
    <w:p w14:paraId="2181FCEE" w14:textId="0897F7A4" w:rsidR="0061072F" w:rsidRPr="00A452F2" w:rsidRDefault="0061072F" w:rsidP="0061072F">
      <w:pPr>
        <w:rPr>
          <w:lang w:val="en-GB"/>
        </w:rPr>
      </w:pPr>
      <w:r w:rsidRPr="00A452F2">
        <w:rPr>
          <w:lang w:val="en-GB"/>
        </w:rPr>
        <w:t xml:space="preserve">Availability is not part of them because there is no information to distinguish between planned downtime and outage. A planned downtime can last hours, making the NOC screen displaying </w:t>
      </w:r>
      <w:r w:rsidR="00CF7D2C" w:rsidRPr="00CF7D2C">
        <w:rPr>
          <w:color w:val="FF0000"/>
          <w:lang w:val="en-GB"/>
        </w:rPr>
        <w:t>red</w:t>
      </w:r>
      <w:r w:rsidRPr="00A452F2">
        <w:rPr>
          <w:lang w:val="en-GB"/>
        </w:rPr>
        <w:t xml:space="preserve"> for too long. If you have a set of mission critical VMs or clusters that need to be up all the time, then create a group.</w:t>
      </w:r>
    </w:p>
    <w:p w14:paraId="12D10524" w14:textId="77777777" w:rsidR="0061072F" w:rsidRPr="00A452F2" w:rsidRDefault="0061072F" w:rsidP="0061072F">
      <w:pPr>
        <w:jc w:val="center"/>
        <w:rPr>
          <w:lang w:val="en-GB"/>
        </w:rPr>
      </w:pPr>
      <w:r>
        <w:rPr>
          <w:noProof/>
        </w:rPr>
        <w:drawing>
          <wp:inline distT="0" distB="0" distL="0" distR="0" wp14:anchorId="7C642087" wp14:editId="18C0322B">
            <wp:extent cx="2650316" cy="2743200"/>
            <wp:effectExtent l="0" t="0" r="0" b="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055"/>
                    <pic:cNvPicPr/>
                  </pic:nvPicPr>
                  <pic:blipFill>
                    <a:blip r:embed="rId1334">
                      <a:extLst>
                        <a:ext uri="{28A0092B-C50C-407E-A947-70E740481C1C}">
                          <a14:useLocalDpi xmlns:a14="http://schemas.microsoft.com/office/drawing/2010/main" val="0"/>
                        </a:ext>
                      </a:extLst>
                    </a:blip>
                    <a:stretch>
                      <a:fillRect/>
                    </a:stretch>
                  </pic:blipFill>
                  <pic:spPr>
                    <a:xfrm>
                      <a:off x="0" y="0"/>
                      <a:ext cx="2650316" cy="2743200"/>
                    </a:xfrm>
                    <a:prstGeom prst="rect">
                      <a:avLst/>
                    </a:prstGeom>
                  </pic:spPr>
                </pic:pic>
              </a:graphicData>
            </a:graphic>
          </wp:inline>
        </w:drawing>
      </w:r>
    </w:p>
    <w:p w14:paraId="77BEDEE9" w14:textId="77777777" w:rsidR="0061072F" w:rsidRPr="00A452F2" w:rsidRDefault="0061072F" w:rsidP="00AC6E1E">
      <w:pPr>
        <w:pStyle w:val="Heading4"/>
      </w:pPr>
      <w:r w:rsidRPr="00A452F2">
        <w:lastRenderedPageBreak/>
        <w:t>Live! Cluster Performance Dashboard</w:t>
      </w:r>
    </w:p>
    <w:p w14:paraId="707A909F" w14:textId="77777777" w:rsidR="0061072F" w:rsidRPr="00A452F2" w:rsidRDefault="0061072F" w:rsidP="0061072F">
      <w:pPr>
        <w:rPr>
          <w:lang w:val="en-GB"/>
        </w:rPr>
      </w:pPr>
      <w:r>
        <w:rPr>
          <w:lang w:val="en-GB"/>
        </w:rPr>
        <w:t>This</w:t>
      </w:r>
      <w:r w:rsidRPr="00A452F2">
        <w:rPr>
          <w:lang w:val="en-GB"/>
        </w:rPr>
        <w:t> dashboard provides live information on whether the requests of the VMs are met by their underlying compute clusters. This dashboard focuses on the compute resources (CPU or Memory), and show if the cluster is performing well (i.e. meeting the demand). Use this dashboard to view if there is any problem in meeting the demands of the VMs.</w:t>
      </w:r>
    </w:p>
    <w:p w14:paraId="290B06E5" w14:textId="77777777" w:rsidR="0061072F" w:rsidRPr="00A452F2" w:rsidRDefault="0061072F" w:rsidP="0061072F">
      <w:pPr>
        <w:rPr>
          <w:lang w:val="en-GB"/>
        </w:rPr>
      </w:pPr>
      <w:r w:rsidRPr="00A452F2">
        <w:rPr>
          <w:lang w:val="en-GB"/>
        </w:rPr>
        <w:t xml:space="preserve">This the primary dashboard for performance. It is complemented by the </w:t>
      </w:r>
      <w:r w:rsidRPr="00A452F2">
        <w:rPr>
          <w:b/>
          <w:bCs/>
          <w:lang w:val="en-GB"/>
        </w:rPr>
        <w:t>Live! Cluster Performance</w:t>
      </w:r>
      <w:r w:rsidRPr="00A452F2">
        <w:rPr>
          <w:lang w:val="en-GB"/>
        </w:rPr>
        <w:t xml:space="preserve"> dashboard. This secondary dashboard complements it by showing if the performance problem (read: contention) was caused by high utilization. The primary dashboard answers the question “</w:t>
      </w:r>
      <w:r w:rsidRPr="007C6E75">
        <w:rPr>
          <w:color w:val="00B0F0"/>
          <w:lang w:val="en-GB"/>
        </w:rPr>
        <w:t>Is our IaaS performing?</w:t>
      </w:r>
      <w:r w:rsidRPr="00A452F2">
        <w:rPr>
          <w:lang w:val="en-GB"/>
        </w:rPr>
        <w:t>”, while the secondary dashboard answers the question “</w:t>
      </w:r>
      <w:r w:rsidRPr="007C6E75">
        <w:rPr>
          <w:color w:val="00B0F0"/>
          <w:lang w:val="en-GB"/>
        </w:rPr>
        <w:t>Is our IaaS working hard?</w:t>
      </w:r>
      <w:r w:rsidRPr="00A452F2">
        <w:rPr>
          <w:lang w:val="en-GB"/>
        </w:rPr>
        <w:t>”.</w:t>
      </w:r>
    </w:p>
    <w:p w14:paraId="27143EA8" w14:textId="77777777" w:rsidR="0061072F" w:rsidRPr="00A452F2" w:rsidRDefault="0061072F" w:rsidP="00E7573A">
      <w:pPr>
        <w:pStyle w:val="Heading5"/>
      </w:pPr>
      <w:r w:rsidRPr="00A452F2">
        <w:t>Design Consideration</w:t>
      </w:r>
    </w:p>
    <w:p w14:paraId="4EB4871A" w14:textId="32994196" w:rsidR="0061072F" w:rsidRPr="00A452F2" w:rsidRDefault="0061072F" w:rsidP="0061072F">
      <w:pPr>
        <w:rPr>
          <w:lang w:val="en-GB"/>
        </w:rPr>
      </w:pPr>
      <w:r w:rsidRPr="00A452F2">
        <w:rPr>
          <w:lang w:val="en-GB"/>
        </w:rPr>
        <w:t xml:space="preserve">The dashboard shows 3 heat maps side by side. They complement each other and should be used together. The location of each cluster and ESXi hosts within those clusters is identical in all heat maps. This fixed positioning enables viewers to compare if the problem is caused by memory contention, CPU ready or CPU </w:t>
      </w:r>
      <w:r w:rsidR="00443625">
        <w:rPr>
          <w:lang w:val="en-GB"/>
        </w:rPr>
        <w:t>Co-stop</w:t>
      </w:r>
      <w:r w:rsidRPr="00A452F2">
        <w:rPr>
          <w:lang w:val="en-GB"/>
        </w:rPr>
        <w:t>.</w:t>
      </w:r>
    </w:p>
    <w:p w14:paraId="7EAFC2A3" w14:textId="77777777" w:rsidR="0061072F" w:rsidRPr="00A452F2" w:rsidRDefault="0061072F" w:rsidP="0061072F">
      <w:pPr>
        <w:rPr>
          <w:lang w:val="en-GB"/>
        </w:rPr>
      </w:pPr>
      <w:r w:rsidRPr="00A452F2">
        <w:rPr>
          <w:lang w:val="en-GB"/>
        </w:rPr>
        <w:t xml:space="preserve">The size of each cluster and ESXi hosts are designed to be constant. Variable sizing creates a distraction, as the focus here is not capacity. Variable sizing can potentially result in small boxes, making it hard to read from a far. </w:t>
      </w:r>
    </w:p>
    <w:p w14:paraId="37CAF162" w14:textId="33A55FEC" w:rsidR="0061072F" w:rsidRPr="00A452F2" w:rsidRDefault="0061072F" w:rsidP="0061072F">
      <w:pPr>
        <w:rPr>
          <w:lang w:val="en-GB"/>
        </w:rPr>
      </w:pPr>
      <w:r w:rsidRPr="00A452F2">
        <w:rPr>
          <w:lang w:val="en-GB"/>
        </w:rPr>
        <w:t xml:space="preserve">The focus of performance is on population, not a single VM. This is not a single VM troubleshooting dashboard. We are looking at infra problem, not a single VM problem. As the infra counter is mathematically an aggregation of VM </w:t>
      </w:r>
      <w:r w:rsidR="008D3A3F">
        <w:rPr>
          <w:lang w:val="en-GB"/>
        </w:rPr>
        <w:t>metrics</w:t>
      </w:r>
      <w:r w:rsidRPr="00A452F2">
        <w:rPr>
          <w:lang w:val="en-GB"/>
        </w:rPr>
        <w:t>, we need to pick the right roll up strategy. As the goal is to provide early warning, we’re not using average as the roll up technique, as it is too late as early warning. We use</w:t>
      </w:r>
      <w:r>
        <w:rPr>
          <w:lang w:val="en-GB"/>
        </w:rPr>
        <w:t xml:space="preserve"> percentage</w:t>
      </w:r>
      <w:r w:rsidRPr="00A452F2">
        <w:rPr>
          <w:lang w:val="en-GB"/>
        </w:rPr>
        <w:t xml:space="preserve"> of population exceeding a threshold. The threshold is set to be stringent so we can get early warning.</w:t>
      </w:r>
    </w:p>
    <w:p w14:paraId="7F9B1457" w14:textId="77777777" w:rsidR="0061072F" w:rsidRPr="00A452F2" w:rsidRDefault="0061072F" w:rsidP="00E7573A">
      <w:pPr>
        <w:pStyle w:val="Heading5"/>
      </w:pPr>
      <w:r w:rsidRPr="00A452F2">
        <w:t>How to Use</w:t>
      </w:r>
    </w:p>
    <w:p w14:paraId="7B684257" w14:textId="67E222C7" w:rsidR="0061072F" w:rsidRPr="00A452F2" w:rsidRDefault="0061072F" w:rsidP="0061072F">
      <w:pPr>
        <w:rPr>
          <w:lang w:val="en-GB"/>
        </w:rPr>
      </w:pPr>
      <w:r w:rsidRPr="00A452F2">
        <w:rPr>
          <w:lang w:val="en-GB"/>
        </w:rPr>
        <w:t xml:space="preserve">Look at the 3 heat maps and see if there is any </w:t>
      </w:r>
      <w:r>
        <w:rPr>
          <w:lang w:val="en-GB"/>
        </w:rPr>
        <w:t>color</w:t>
      </w:r>
      <w:r w:rsidRPr="00A452F2">
        <w:rPr>
          <w:lang w:val="en-GB"/>
        </w:rPr>
        <w:t xml:space="preserve"> other than </w:t>
      </w:r>
      <w:r w:rsidR="0022569A" w:rsidRPr="0022569A">
        <w:rPr>
          <w:color w:val="00B050"/>
          <w:lang w:val="en-GB"/>
        </w:rPr>
        <w:t>green</w:t>
      </w:r>
      <w:r w:rsidRPr="00A452F2">
        <w:rPr>
          <w:lang w:val="en-GB"/>
        </w:rPr>
        <w:t>.</w:t>
      </w:r>
    </w:p>
    <w:p w14:paraId="69C603CE" w14:textId="76C89689" w:rsidR="0061072F" w:rsidRPr="00A452F2" w:rsidRDefault="0061072F" w:rsidP="0061072F">
      <w:pPr>
        <w:pStyle w:val="Bullet"/>
        <w:rPr>
          <w:lang w:val="en-GB"/>
        </w:rPr>
      </w:pPr>
      <w:r w:rsidRPr="00A452F2">
        <w:rPr>
          <w:lang w:val="en-GB"/>
        </w:rPr>
        <w:t xml:space="preserve">While each box is an ESXi, the counter is coming from all the VM in the host. It’s not taking ESXi level counter at all. The </w:t>
      </w:r>
      <w:r w:rsidR="008D3A3F">
        <w:rPr>
          <w:lang w:val="en-GB"/>
        </w:rPr>
        <w:t>metrics</w:t>
      </w:r>
      <w:r w:rsidRPr="00A452F2">
        <w:rPr>
          <w:lang w:val="en-GB"/>
        </w:rPr>
        <w:t xml:space="preserve"> used are % VMs facing CPU Ready, % VMs facing CPU </w:t>
      </w:r>
      <w:r w:rsidR="00443625">
        <w:rPr>
          <w:lang w:val="en-GB"/>
        </w:rPr>
        <w:t>Co-stop</w:t>
      </w:r>
      <w:r w:rsidRPr="00A452F2">
        <w:rPr>
          <w:lang w:val="en-GB"/>
        </w:rPr>
        <w:t xml:space="preserve">, % VMs facing RAM Contention. </w:t>
      </w:r>
    </w:p>
    <w:p w14:paraId="6C8CEDF2" w14:textId="77777777" w:rsidR="0061072F" w:rsidRPr="00A452F2" w:rsidRDefault="0061072F" w:rsidP="0061072F">
      <w:pPr>
        <w:pStyle w:val="Bullet"/>
        <w:rPr>
          <w:lang w:val="en-GB"/>
        </w:rPr>
      </w:pPr>
      <w:r w:rsidRPr="4CAB3972">
        <w:rPr>
          <w:lang w:val="en-GB"/>
        </w:rPr>
        <w:t xml:space="preserve">The </w:t>
      </w:r>
      <w:r>
        <w:rPr>
          <w:lang w:val="en-GB"/>
        </w:rPr>
        <w:t>color</w:t>
      </w:r>
      <w:r w:rsidRPr="4CAB3972">
        <w:rPr>
          <w:lang w:val="en-GB"/>
        </w:rPr>
        <w:t xml:space="preserve"> is by percentage of VMs not being served well. We are not using Max among the VM as it's too extreme, placing too much focus on a single VM. On the other hand, we're not doing ESXi wide average, as that will be too late.</w:t>
      </w:r>
    </w:p>
    <w:p w14:paraId="75913D45" w14:textId="35D45D92" w:rsidR="0061072F" w:rsidRPr="00A452F2" w:rsidRDefault="0022569A" w:rsidP="0061072F">
      <w:pPr>
        <w:pStyle w:val="Bullet"/>
        <w:rPr>
          <w:lang w:val="en-GB"/>
        </w:rPr>
      </w:pPr>
      <w:r w:rsidRPr="0022569A">
        <w:rPr>
          <w:color w:val="00B050"/>
          <w:lang w:val="en-GB"/>
        </w:rPr>
        <w:t>Green</w:t>
      </w:r>
      <w:r w:rsidR="0061072F" w:rsidRPr="00A452F2">
        <w:rPr>
          <w:lang w:val="en-GB"/>
        </w:rPr>
        <w:t xml:space="preserve"> indicates that almost 100% of the VMs are getting the CPU and memory they are asking. The threshold is set such that if 10% of the VM population is not getting the resources they are asking, the heat map will turn full </w:t>
      </w:r>
      <w:r w:rsidR="00CF7D2C" w:rsidRPr="00CF7D2C">
        <w:rPr>
          <w:color w:val="FF0000"/>
          <w:lang w:val="en-GB"/>
        </w:rPr>
        <w:t>red</w:t>
      </w:r>
      <w:r w:rsidR="0061072F" w:rsidRPr="00A452F2">
        <w:rPr>
          <w:lang w:val="en-GB"/>
        </w:rPr>
        <w:t>.</w:t>
      </w:r>
      <w:r w:rsidR="0061072F">
        <w:rPr>
          <w:lang w:val="en-GB"/>
        </w:rPr>
        <w:t xml:space="preserve"> </w:t>
      </w:r>
    </w:p>
    <w:p w14:paraId="5FE870AF" w14:textId="5DC2CBDB" w:rsidR="0061072F" w:rsidRPr="00A452F2" w:rsidRDefault="00CF7D2C" w:rsidP="0061072F">
      <w:pPr>
        <w:pStyle w:val="Bullet"/>
        <w:rPr>
          <w:lang w:val="en-GB"/>
        </w:rPr>
      </w:pPr>
      <w:r w:rsidRPr="00CF7D2C">
        <w:rPr>
          <w:color w:val="FF0000"/>
          <w:lang w:val="en-GB"/>
        </w:rPr>
        <w:t>Red</w:t>
      </w:r>
      <w:r w:rsidR="0061072F" w:rsidRPr="00A452F2">
        <w:rPr>
          <w:lang w:val="en-GB"/>
        </w:rPr>
        <w:t xml:space="preserve"> indicates an early warning. Stringent thresholds are used to enable proactive attention &amp; remediation operations. Because high standard is applied, it is possible that the heat map is showing </w:t>
      </w:r>
      <w:r w:rsidRPr="00CF7D2C">
        <w:rPr>
          <w:color w:val="FF0000"/>
          <w:lang w:val="en-GB"/>
        </w:rPr>
        <w:t>red</w:t>
      </w:r>
      <w:r w:rsidR="0061072F" w:rsidRPr="00A452F2">
        <w:rPr>
          <w:lang w:val="en-GB"/>
        </w:rPr>
        <w:t xml:space="preserve">, but there is no complaint from VM owner yet. </w:t>
      </w:r>
    </w:p>
    <w:p w14:paraId="7337C3B6" w14:textId="77777777" w:rsidR="0061072F" w:rsidRPr="00A452F2" w:rsidRDefault="0061072F" w:rsidP="0061072F">
      <w:pPr>
        <w:pStyle w:val="Bullet"/>
        <w:rPr>
          <w:lang w:val="en-GB"/>
        </w:rPr>
      </w:pPr>
      <w:r w:rsidRPr="00A452F2">
        <w:rPr>
          <w:lang w:val="en-GB"/>
        </w:rPr>
        <w:lastRenderedPageBreak/>
        <w:t xml:space="preserve">Light grey likely means there is no VM running on the host, hence the metric is not computing. </w:t>
      </w:r>
    </w:p>
    <w:p w14:paraId="3D5C0AAA" w14:textId="77777777" w:rsidR="0061072F" w:rsidRPr="00A452F2" w:rsidRDefault="0061072F" w:rsidP="0061072F">
      <w:pPr>
        <w:rPr>
          <w:lang w:val="en-GB"/>
        </w:rPr>
      </w:pPr>
      <w:r w:rsidRPr="00A452F2">
        <w:rPr>
          <w:lang w:val="en-GB"/>
        </w:rPr>
        <w:t xml:space="preserve">Check if there is </w:t>
      </w:r>
      <w:r>
        <w:rPr>
          <w:lang w:val="en-GB"/>
        </w:rPr>
        <w:t>imbalance</w:t>
      </w:r>
      <w:r w:rsidRPr="00A452F2">
        <w:rPr>
          <w:lang w:val="en-GB"/>
        </w:rPr>
        <w:t xml:space="preserve">. </w:t>
      </w:r>
    </w:p>
    <w:p w14:paraId="0F11E4D1" w14:textId="77777777" w:rsidR="0061072F" w:rsidRPr="00A452F2" w:rsidRDefault="0061072F" w:rsidP="0061072F">
      <w:pPr>
        <w:pStyle w:val="Bullet"/>
        <w:rPr>
          <w:lang w:val="en-GB"/>
        </w:rPr>
      </w:pPr>
      <w:r w:rsidRPr="00A452F2">
        <w:rPr>
          <w:lang w:val="en-GB"/>
        </w:rPr>
        <w:t xml:space="preserve">There are 2 types of </w:t>
      </w:r>
      <w:r>
        <w:rPr>
          <w:lang w:val="en-GB"/>
        </w:rPr>
        <w:t>imbalance</w:t>
      </w:r>
      <w:r w:rsidRPr="00A452F2">
        <w:rPr>
          <w:lang w:val="en-GB"/>
        </w:rPr>
        <w:t xml:space="preserve">: cluster </w:t>
      </w:r>
      <w:r>
        <w:rPr>
          <w:lang w:val="en-GB"/>
        </w:rPr>
        <w:t>imbalance</w:t>
      </w:r>
      <w:r w:rsidRPr="00A452F2">
        <w:rPr>
          <w:lang w:val="en-GB"/>
        </w:rPr>
        <w:t xml:space="preserve"> and resource type </w:t>
      </w:r>
      <w:r>
        <w:rPr>
          <w:lang w:val="en-GB"/>
        </w:rPr>
        <w:t>imbalance</w:t>
      </w:r>
    </w:p>
    <w:p w14:paraId="3C83DD39" w14:textId="77777777" w:rsidR="0061072F" w:rsidRPr="00A452F2" w:rsidRDefault="0061072F" w:rsidP="0061072F">
      <w:pPr>
        <w:pStyle w:val="Bullet"/>
        <w:rPr>
          <w:lang w:val="en-GB"/>
        </w:rPr>
      </w:pPr>
      <w:r w:rsidRPr="00A452F2">
        <w:rPr>
          <w:lang w:val="en-GB"/>
        </w:rPr>
        <w:t xml:space="preserve">The ESXi hosts are grouped together by the cluster, so </w:t>
      </w:r>
      <w:r>
        <w:rPr>
          <w:lang w:val="en-GB"/>
        </w:rPr>
        <w:t>imbalance</w:t>
      </w:r>
      <w:r w:rsidRPr="00A452F2">
        <w:rPr>
          <w:lang w:val="en-GB"/>
        </w:rPr>
        <w:t xml:space="preserve"> within a cluster can be seen easily. Cluster </w:t>
      </w:r>
      <w:r>
        <w:rPr>
          <w:lang w:val="en-GB"/>
        </w:rPr>
        <w:t>imbalance</w:t>
      </w:r>
      <w:r w:rsidRPr="00A452F2">
        <w:rPr>
          <w:lang w:val="en-GB"/>
        </w:rPr>
        <w:t xml:space="preserve"> is a real possibility that is best monitored and not just assumed.</w:t>
      </w:r>
    </w:p>
    <w:p w14:paraId="29CAAF7F" w14:textId="0A8C85EB" w:rsidR="0061072F" w:rsidRPr="00A452F2" w:rsidRDefault="0061072F" w:rsidP="0061072F">
      <w:pPr>
        <w:pStyle w:val="Bullet"/>
        <w:rPr>
          <w:lang w:val="en-GB"/>
        </w:rPr>
      </w:pPr>
      <w:r w:rsidRPr="00A452F2">
        <w:rPr>
          <w:lang w:val="en-GB"/>
        </w:rPr>
        <w:t xml:space="preserve">If the 3 heat maps are quite different, there is resource </w:t>
      </w:r>
      <w:r>
        <w:rPr>
          <w:lang w:val="en-GB"/>
        </w:rPr>
        <w:t>imbalance</w:t>
      </w:r>
      <w:r w:rsidRPr="00A452F2">
        <w:rPr>
          <w:lang w:val="en-GB"/>
        </w:rPr>
        <w:t xml:space="preserve">. For example, if the memory contention is mostly </w:t>
      </w:r>
      <w:r w:rsidR="00CF7D2C" w:rsidRPr="00CF7D2C">
        <w:rPr>
          <w:color w:val="FF0000"/>
          <w:lang w:val="en-GB"/>
        </w:rPr>
        <w:t>red</w:t>
      </w:r>
      <w:r w:rsidRPr="00A452F2">
        <w:rPr>
          <w:lang w:val="en-GB"/>
        </w:rPr>
        <w:t xml:space="preserve">, but the 2 CPU heat maps are </w:t>
      </w:r>
      <w:r w:rsidR="0022569A" w:rsidRPr="0022569A">
        <w:rPr>
          <w:color w:val="00B050"/>
          <w:lang w:val="en-GB"/>
        </w:rPr>
        <w:t>green</w:t>
      </w:r>
      <w:r w:rsidRPr="00A452F2">
        <w:rPr>
          <w:lang w:val="en-GB"/>
        </w:rPr>
        <w:t xml:space="preserve">, that means you have </w:t>
      </w:r>
      <w:r>
        <w:rPr>
          <w:lang w:val="en-GB"/>
        </w:rPr>
        <w:t>imbalance</w:t>
      </w:r>
      <w:r w:rsidRPr="00A452F2">
        <w:rPr>
          <w:lang w:val="en-GB"/>
        </w:rPr>
        <w:t xml:space="preserve"> between memory and CPU.</w:t>
      </w:r>
    </w:p>
    <w:p w14:paraId="5FBB622B" w14:textId="77777777" w:rsidR="0061072F" w:rsidRPr="00A452F2" w:rsidRDefault="0061072F" w:rsidP="0061072F">
      <w:pPr>
        <w:pStyle w:val="Bullet"/>
        <w:rPr>
          <w:lang w:val="en-GB"/>
        </w:rPr>
      </w:pPr>
      <w:r w:rsidRPr="00A452F2">
        <w:rPr>
          <w:lang w:val="en-GB"/>
        </w:rPr>
        <w:t xml:space="preserve">If a single ESXi host is displaying a different </w:t>
      </w:r>
      <w:r>
        <w:rPr>
          <w:lang w:val="en-GB"/>
        </w:rPr>
        <w:t>color</w:t>
      </w:r>
      <w:r w:rsidRPr="00A452F2">
        <w:rPr>
          <w:lang w:val="en-GB"/>
        </w:rPr>
        <w:t xml:space="preserve"> across 3 heat maps, it indicates imbalance between CPU and memory resources in the host.</w:t>
      </w:r>
    </w:p>
    <w:p w14:paraId="32B1ECF4" w14:textId="77777777" w:rsidR="0061072F" w:rsidRPr="00A452F2" w:rsidRDefault="0061072F" w:rsidP="0061072F">
      <w:pPr>
        <w:rPr>
          <w:lang w:val="en-GB"/>
        </w:rPr>
      </w:pPr>
      <w:r w:rsidRPr="00A452F2">
        <w:rPr>
          <w:lang w:val="en-GB"/>
        </w:rPr>
        <w:t>For NOC Operator, drill down by selecting one of the ESXi on the heat map</w:t>
      </w:r>
    </w:p>
    <w:p w14:paraId="6EDC249B" w14:textId="3697173D" w:rsidR="0061072F" w:rsidRPr="00A452F2" w:rsidRDefault="0061072F" w:rsidP="0061072F">
      <w:pPr>
        <w:pStyle w:val="Bullet"/>
        <w:rPr>
          <w:lang w:val="en-GB"/>
        </w:rPr>
      </w:pPr>
      <w:r w:rsidRPr="00A452F2">
        <w:rPr>
          <w:lang w:val="en-GB"/>
        </w:rPr>
        <w:t xml:space="preserve">The “Trends of selected ESXi Host” will automatically show the performance </w:t>
      </w:r>
      <w:r w:rsidR="008D3A3F">
        <w:rPr>
          <w:lang w:val="en-GB"/>
        </w:rPr>
        <w:t>metrics</w:t>
      </w:r>
      <w:r w:rsidRPr="00A452F2">
        <w:rPr>
          <w:lang w:val="en-GB"/>
        </w:rPr>
        <w:t xml:space="preserve"> </w:t>
      </w:r>
    </w:p>
    <w:p w14:paraId="0E753198" w14:textId="77777777" w:rsidR="0061072F" w:rsidRPr="00A452F2" w:rsidRDefault="0061072F" w:rsidP="0061072F">
      <w:pPr>
        <w:pStyle w:val="Bullet"/>
        <w:rPr>
          <w:lang w:val="en-GB"/>
        </w:rPr>
      </w:pPr>
      <w:r w:rsidRPr="00A452F2">
        <w:rPr>
          <w:lang w:val="en-GB"/>
        </w:rPr>
        <w:t>It’s showing from all 3 heat maps, so you can correlate. To hide any metric, simply click on its name on the legend.</w:t>
      </w:r>
    </w:p>
    <w:p w14:paraId="40FC3B42" w14:textId="77777777" w:rsidR="0061072F" w:rsidRPr="00A452F2" w:rsidRDefault="0061072F" w:rsidP="0061072F">
      <w:pPr>
        <w:rPr>
          <w:lang w:val="en-GB"/>
        </w:rPr>
      </w:pPr>
      <w:r w:rsidRPr="00A452F2">
        <w:rPr>
          <w:lang w:val="en-GB"/>
        </w:rPr>
        <w:t xml:space="preserve">As part of the deployment, it is best that you configure auto rotate among the NOC dashboard. If you only want to show 1 dashboard, you can remove vRealize Operations menu by using URL sharing feature. This will make the overall UI clean, enabling viewers to just focus on the dashboard. </w:t>
      </w:r>
    </w:p>
    <w:p w14:paraId="277A1ECE" w14:textId="77777777" w:rsidR="0061072F" w:rsidRPr="00A452F2" w:rsidRDefault="0061072F" w:rsidP="00E7573A">
      <w:pPr>
        <w:pStyle w:val="Heading5"/>
      </w:pPr>
      <w:r w:rsidRPr="00A452F2">
        <w:t>Points to Note</w:t>
      </w:r>
    </w:p>
    <w:p w14:paraId="12FC97C9" w14:textId="77777777" w:rsidR="0061072F" w:rsidRPr="00A452F2" w:rsidRDefault="0061072F" w:rsidP="0061072F">
      <w:pPr>
        <w:rPr>
          <w:lang w:val="en-GB"/>
        </w:rPr>
      </w:pPr>
      <w:r w:rsidRPr="00A452F2">
        <w:rPr>
          <w:lang w:val="en-GB"/>
        </w:rPr>
        <w:t xml:space="preserve">If you have the screen real estate, add a Heat Map for Disk Latency. Use the counter “Percentage of Consumers facing Disk Latency (%)”. It is part of datastore object, not cluster, as a VM in a cluster can have disks across multiple datastores. Organize this storage performance by data center and not by cluster. </w:t>
      </w:r>
    </w:p>
    <w:p w14:paraId="7F57B06A" w14:textId="77777777" w:rsidR="0061072F" w:rsidRPr="00A452F2" w:rsidRDefault="0061072F" w:rsidP="00AC6E1E">
      <w:pPr>
        <w:pStyle w:val="Heading4"/>
      </w:pPr>
      <w:r w:rsidRPr="00A452F2">
        <w:t>Live! Cluster Utilization Dashboard</w:t>
      </w:r>
    </w:p>
    <w:p w14:paraId="6217CDC3" w14:textId="77777777" w:rsidR="0061072F" w:rsidRPr="00A452F2" w:rsidRDefault="0061072F" w:rsidP="0061072F">
      <w:pPr>
        <w:rPr>
          <w:lang w:val="en-GB"/>
        </w:rPr>
      </w:pPr>
      <w:r>
        <w:rPr>
          <w:lang w:val="en-GB"/>
        </w:rPr>
        <w:t xml:space="preserve">This </w:t>
      </w:r>
      <w:r w:rsidRPr="00A452F2">
        <w:rPr>
          <w:lang w:val="en-GB"/>
        </w:rPr>
        <w:t xml:space="preserve">dashboard complements </w:t>
      </w:r>
      <w:r w:rsidRPr="00A452F2">
        <w:rPr>
          <w:b/>
          <w:bCs/>
          <w:lang w:val="en-GB"/>
        </w:rPr>
        <w:t>Live! Cluster Performance</w:t>
      </w:r>
      <w:r w:rsidRPr="00A452F2">
        <w:rPr>
          <w:lang w:val="en-GB"/>
        </w:rPr>
        <w:t xml:space="preserve"> dashboard. </w:t>
      </w:r>
      <w:r>
        <w:rPr>
          <w:lang w:val="en-GB"/>
        </w:rPr>
        <w:t>I</w:t>
      </w:r>
      <w:r w:rsidRPr="00A452F2">
        <w:rPr>
          <w:lang w:val="en-GB"/>
        </w:rPr>
        <w:t xml:space="preserve">t shares the same design consideration. Use </w:t>
      </w:r>
      <w:r>
        <w:rPr>
          <w:lang w:val="en-GB"/>
        </w:rPr>
        <w:t>it</w:t>
      </w:r>
      <w:r w:rsidRPr="00A452F2">
        <w:rPr>
          <w:lang w:val="en-GB"/>
        </w:rPr>
        <w:t xml:space="preserve"> to view the clusters and ESXi hosts within those clusters that are working excessively and are close to their physical limit. This dashboard displays ESXi hosts which have CPU or Memory saturation, and which can lead to performance issues for the </w:t>
      </w:r>
      <w:r>
        <w:rPr>
          <w:lang w:val="en-GB"/>
        </w:rPr>
        <w:t>VM</w:t>
      </w:r>
      <w:r w:rsidRPr="00A452F2">
        <w:rPr>
          <w:lang w:val="en-GB"/>
        </w:rPr>
        <w:t>s running on the host.</w:t>
      </w:r>
    </w:p>
    <w:p w14:paraId="463DAA66" w14:textId="441B7783" w:rsidR="0061072F" w:rsidRDefault="0061072F" w:rsidP="0061072F">
      <w:pPr>
        <w:rPr>
          <w:lang w:val="en-GB"/>
        </w:rPr>
      </w:pPr>
      <w:r w:rsidRPr="00A452F2">
        <w:rPr>
          <w:lang w:val="en-GB"/>
        </w:rPr>
        <w:t xml:space="preserve">2 </w:t>
      </w:r>
      <w:r w:rsidR="008D3A3F">
        <w:rPr>
          <w:lang w:val="en-GB"/>
        </w:rPr>
        <w:t>metrics</w:t>
      </w:r>
      <w:r w:rsidRPr="00A452F2">
        <w:rPr>
          <w:lang w:val="en-GB"/>
        </w:rPr>
        <w:t xml:space="preserve"> for Memory are used as Consumed metric alone is not enough. It could be mostly cache or historical data. Balloon also persist (past data), but at least it gives an insight of ESXi under memory pressure.</w:t>
      </w:r>
    </w:p>
    <w:p w14:paraId="46BEEEDC" w14:textId="77777777" w:rsidR="0061072F" w:rsidRPr="00A452F2" w:rsidRDefault="0061072F" w:rsidP="00E7573A">
      <w:pPr>
        <w:pStyle w:val="Heading5"/>
      </w:pPr>
      <w:r w:rsidRPr="00A452F2">
        <w:lastRenderedPageBreak/>
        <w:t>How to Use</w:t>
      </w:r>
    </w:p>
    <w:p w14:paraId="25DE45AA" w14:textId="77777777" w:rsidR="0061072F" w:rsidRPr="00A452F2" w:rsidRDefault="0061072F" w:rsidP="0061072F">
      <w:pPr>
        <w:rPr>
          <w:lang w:val="en-GB"/>
        </w:rPr>
      </w:pPr>
      <w:r w:rsidRPr="00A452F2">
        <w:rPr>
          <w:lang w:val="en-GB"/>
        </w:rPr>
        <w:t xml:space="preserve">As this dashboard has identical design with the </w:t>
      </w:r>
      <w:r w:rsidRPr="00A452F2">
        <w:rPr>
          <w:b/>
          <w:bCs/>
          <w:lang w:val="en-GB"/>
        </w:rPr>
        <w:t>Live! Cluster Performance</w:t>
      </w:r>
      <w:r w:rsidRPr="00A452F2">
        <w:rPr>
          <w:lang w:val="en-GB"/>
        </w:rPr>
        <w:t xml:space="preserve"> dashboard, it has the same usage procedure. </w:t>
      </w:r>
    </w:p>
    <w:p w14:paraId="5B235922" w14:textId="77777777" w:rsidR="0061072F" w:rsidRPr="00A452F2" w:rsidRDefault="0061072F" w:rsidP="0061072F">
      <w:pPr>
        <w:rPr>
          <w:lang w:val="en-GB"/>
        </w:rPr>
      </w:pPr>
      <w:r w:rsidRPr="00A452F2">
        <w:rPr>
          <w:lang w:val="en-GB"/>
        </w:rPr>
        <w:t>The dashboard help answer the following questions:</w:t>
      </w:r>
    </w:p>
    <w:p w14:paraId="761F470A" w14:textId="77777777" w:rsidR="0061072F" w:rsidRPr="00A452F2" w:rsidRDefault="0061072F" w:rsidP="0061072F">
      <w:pPr>
        <w:pStyle w:val="Bullet"/>
        <w:rPr>
          <w:lang w:val="en-GB"/>
        </w:rPr>
      </w:pPr>
      <w:r w:rsidRPr="00A452F2">
        <w:rPr>
          <w:lang w:val="en-GB"/>
        </w:rPr>
        <w:t>Is the IaaS running very high utilization</w:t>
      </w:r>
      <w:r>
        <w:rPr>
          <w:lang w:val="en-GB"/>
        </w:rPr>
        <w:t xml:space="preserve"> right now</w:t>
      </w:r>
      <w:r w:rsidRPr="00A452F2">
        <w:rPr>
          <w:lang w:val="en-GB"/>
        </w:rPr>
        <w:t>?</w:t>
      </w:r>
    </w:p>
    <w:p w14:paraId="28F534BC" w14:textId="77777777" w:rsidR="0061072F" w:rsidRPr="00A452F2" w:rsidRDefault="0061072F" w:rsidP="0061072F">
      <w:pPr>
        <w:pStyle w:val="Bullet"/>
        <w:rPr>
          <w:lang w:val="en-GB"/>
        </w:rPr>
      </w:pPr>
      <w:r w:rsidRPr="00A452F2">
        <w:rPr>
          <w:lang w:val="en-GB"/>
        </w:rPr>
        <w:t>Do we size ESXi correctly, meaning balanced usage of CPU and Memory?</w:t>
      </w:r>
    </w:p>
    <w:p w14:paraId="61F4CB90" w14:textId="77777777" w:rsidR="0061072F" w:rsidRPr="00A452F2" w:rsidRDefault="0061072F" w:rsidP="0061072F">
      <w:pPr>
        <w:pStyle w:val="Bullet"/>
        <w:rPr>
          <w:lang w:val="en-GB"/>
        </w:rPr>
      </w:pPr>
      <w:r w:rsidRPr="00A452F2">
        <w:rPr>
          <w:lang w:val="en-GB"/>
        </w:rPr>
        <w:t>Are the clusters balanced? Are load distributed equally among member ESXi hosts?</w:t>
      </w:r>
    </w:p>
    <w:p w14:paraId="07324728" w14:textId="77777777" w:rsidR="0061072F" w:rsidRDefault="0061072F" w:rsidP="0061072F">
      <w:pPr>
        <w:pStyle w:val="Bullet"/>
        <w:rPr>
          <w:lang w:val="en-GB"/>
        </w:rPr>
      </w:pPr>
      <w:r w:rsidRPr="00A452F2">
        <w:rPr>
          <w:lang w:val="en-GB"/>
        </w:rPr>
        <w:t>Is all ESXi contributing? Light grey box indicates that the host is part of the cluster but there is no utilization. It is likely the host is in maintenance mode or is powered off.</w:t>
      </w:r>
    </w:p>
    <w:p w14:paraId="2EE075F7" w14:textId="77777777" w:rsidR="0061072F" w:rsidRPr="003D2864" w:rsidRDefault="0061072F" w:rsidP="0061072F">
      <w:pPr>
        <w:rPr>
          <w:lang w:val="en-GB"/>
        </w:rPr>
      </w:pPr>
      <w:r>
        <w:rPr>
          <w:lang w:val="en-GB"/>
        </w:rPr>
        <w:t>The following heat maps are designed to work as one set. Notice the arrangement of the boxes are identical across the 3 heat maps. If you guess that an object is placed in the same location in all the heat maps, you are right! This identical position means you can quickly see if a particular ESXi or cluster is having what problem.</w:t>
      </w:r>
    </w:p>
    <w:p w14:paraId="741A538D" w14:textId="77777777" w:rsidR="0061072F" w:rsidRDefault="0061072F" w:rsidP="0061072F">
      <w:pPr>
        <w:jc w:val="center"/>
        <w:rPr>
          <w:lang w:val="en-GB"/>
        </w:rPr>
      </w:pPr>
      <w:r>
        <w:rPr>
          <w:noProof/>
        </w:rPr>
        <w:drawing>
          <wp:inline distT="0" distB="0" distL="0" distR="0" wp14:anchorId="335E46D4" wp14:editId="20515EAF">
            <wp:extent cx="6001141" cy="4951828"/>
            <wp:effectExtent l="0" t="0" r="0" b="127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60"/>
                    <pic:cNvPicPr/>
                  </pic:nvPicPr>
                  <pic:blipFill>
                    <a:blip r:embed="rId1335">
                      <a:extLst>
                        <a:ext uri="{28A0092B-C50C-407E-A947-70E740481C1C}">
                          <a14:useLocalDpi xmlns:a14="http://schemas.microsoft.com/office/drawing/2010/main" val="0"/>
                        </a:ext>
                      </a:extLst>
                    </a:blip>
                    <a:stretch>
                      <a:fillRect/>
                    </a:stretch>
                  </pic:blipFill>
                  <pic:spPr>
                    <a:xfrm>
                      <a:off x="0" y="0"/>
                      <a:ext cx="6002979" cy="4953345"/>
                    </a:xfrm>
                    <a:prstGeom prst="rect">
                      <a:avLst/>
                    </a:prstGeom>
                  </pic:spPr>
                </pic:pic>
              </a:graphicData>
            </a:graphic>
          </wp:inline>
        </w:drawing>
      </w:r>
    </w:p>
    <w:p w14:paraId="31044BB9" w14:textId="5094B745" w:rsidR="0061072F" w:rsidRPr="00A452F2" w:rsidRDefault="0061072F" w:rsidP="0061072F">
      <w:pPr>
        <w:rPr>
          <w:lang w:val="en-GB"/>
        </w:rPr>
      </w:pPr>
      <w:r w:rsidRPr="00A452F2">
        <w:rPr>
          <w:lang w:val="en-GB"/>
        </w:rPr>
        <w:t xml:space="preserve">Unlike the heat maps in the </w:t>
      </w:r>
      <w:r w:rsidRPr="00A452F2">
        <w:rPr>
          <w:b/>
          <w:bCs/>
          <w:lang w:val="en-GB"/>
        </w:rPr>
        <w:t>Live! Cluster Performance</w:t>
      </w:r>
      <w:r w:rsidRPr="00A452F2">
        <w:rPr>
          <w:lang w:val="en-GB"/>
        </w:rPr>
        <w:t xml:space="preserve"> dashboard, the 3 heat maps in this dashboard has a different scale, reflecting the different nature of the </w:t>
      </w:r>
      <w:r w:rsidR="008D3A3F">
        <w:rPr>
          <w:lang w:val="en-GB"/>
        </w:rPr>
        <w:t>metrics</w:t>
      </w:r>
      <w:r w:rsidRPr="00A452F2">
        <w:rPr>
          <w:lang w:val="en-GB"/>
        </w:rPr>
        <w:t xml:space="preserve">. </w:t>
      </w:r>
    </w:p>
    <w:p w14:paraId="0CD9C9A8" w14:textId="5AA5BC31" w:rsidR="0061072F" w:rsidRPr="00A452F2" w:rsidRDefault="0061072F" w:rsidP="0061072F">
      <w:pPr>
        <w:rPr>
          <w:lang w:val="en-GB"/>
        </w:rPr>
      </w:pPr>
      <w:r w:rsidRPr="00A452F2">
        <w:rPr>
          <w:lang w:val="en-GB"/>
        </w:rPr>
        <w:lastRenderedPageBreak/>
        <w:t xml:space="preserve">Logically, memory is a form of storage. It acts as a cache to disk as it’s much faster. Hence a high utilization is better, as that means more data is being cached. The ideal situation is when ESXi Consumed metric is </w:t>
      </w:r>
      <w:r w:rsidR="00CF7D2C" w:rsidRPr="00CF7D2C">
        <w:rPr>
          <w:color w:val="FF0000"/>
          <w:lang w:val="en-GB"/>
        </w:rPr>
        <w:t>red</w:t>
      </w:r>
      <w:r w:rsidRPr="00A452F2">
        <w:rPr>
          <w:lang w:val="en-GB"/>
        </w:rPr>
        <w:t xml:space="preserve"> but ESXi Ballooned metric is </w:t>
      </w:r>
      <w:r w:rsidR="0022569A" w:rsidRPr="0022569A">
        <w:rPr>
          <w:color w:val="00B050"/>
          <w:lang w:val="en-GB"/>
        </w:rPr>
        <w:t>green</w:t>
      </w:r>
      <w:r w:rsidRPr="00A452F2">
        <w:rPr>
          <w:lang w:val="en-GB"/>
        </w:rPr>
        <w:t xml:space="preserve">. When Ballooned is </w:t>
      </w:r>
      <w:r w:rsidR="00CF7D2C" w:rsidRPr="00CF7D2C">
        <w:rPr>
          <w:color w:val="FF0000"/>
          <w:lang w:val="en-GB"/>
        </w:rPr>
        <w:t>red</w:t>
      </w:r>
      <w:r w:rsidRPr="00A452F2">
        <w:rPr>
          <w:lang w:val="en-GB"/>
        </w:rPr>
        <w:t xml:space="preserve"> and Consumed is grey, it means it was likely high in the past but not anymore. The reason the ballooned stays </w:t>
      </w:r>
      <w:r w:rsidR="00CF7D2C" w:rsidRPr="00CF7D2C">
        <w:rPr>
          <w:color w:val="FF0000"/>
          <w:lang w:val="en-GB"/>
        </w:rPr>
        <w:t>red</w:t>
      </w:r>
      <w:r w:rsidRPr="00A452F2">
        <w:rPr>
          <w:lang w:val="en-GB"/>
        </w:rPr>
        <w:t xml:space="preserve"> because the ballooned pages were never requested back. </w:t>
      </w:r>
    </w:p>
    <w:p w14:paraId="1A19F685" w14:textId="00608981" w:rsidR="0061072F" w:rsidRDefault="0061072F" w:rsidP="0061072F">
      <w:pPr>
        <w:rPr>
          <w:lang w:val="en-GB"/>
        </w:rPr>
      </w:pPr>
      <w:r w:rsidRPr="00A452F2">
        <w:rPr>
          <w:lang w:val="en-GB"/>
        </w:rPr>
        <w:t xml:space="preserve">Ballooned memory counter was chosen over the swapped or compressed memory </w:t>
      </w:r>
      <w:r w:rsidR="008D3A3F">
        <w:rPr>
          <w:lang w:val="en-GB"/>
        </w:rPr>
        <w:t>metrics</w:t>
      </w:r>
      <w:r w:rsidRPr="00A452F2">
        <w:rPr>
          <w:lang w:val="en-GB"/>
        </w:rPr>
        <w:t xml:space="preserve"> as it’s a better leading indicator. Because all 3 can co-exist at the same time, all 3 are shown in the line chart. Ballooned is shown in absolute amount and not</w:t>
      </w:r>
      <w:r>
        <w:rPr>
          <w:lang w:val="en-GB"/>
        </w:rPr>
        <w:t xml:space="preserve"> percentage</w:t>
      </w:r>
      <w:r w:rsidRPr="00A452F2">
        <w:rPr>
          <w:lang w:val="en-GB"/>
        </w:rPr>
        <w:t>, as the higher the size the higher the chance it might impact a VM. If you feel using</w:t>
      </w:r>
      <w:r>
        <w:rPr>
          <w:lang w:val="en-GB"/>
        </w:rPr>
        <w:t xml:space="preserve"> percentage</w:t>
      </w:r>
      <w:r w:rsidRPr="00A452F2">
        <w:rPr>
          <w:lang w:val="en-GB"/>
        </w:rPr>
        <w:t xml:space="preserve"> is easier for your operations, create a super metric to translates the value.</w:t>
      </w:r>
    </w:p>
    <w:p w14:paraId="7113008A" w14:textId="77777777" w:rsidR="0061072F" w:rsidRDefault="0061072F" w:rsidP="0061072F">
      <w:pPr>
        <w:rPr>
          <w:lang w:val="en-GB"/>
        </w:rPr>
      </w:pPr>
      <w:r>
        <w:rPr>
          <w:lang w:val="en-GB"/>
        </w:rPr>
        <w:t>Quiz Time: why is the heat map showing grey and light grey?</w:t>
      </w:r>
    </w:p>
    <w:p w14:paraId="01089F21" w14:textId="77777777" w:rsidR="0061072F" w:rsidRDefault="0061072F" w:rsidP="0061072F">
      <w:pPr>
        <w:rPr>
          <w:lang w:val="en-GB"/>
        </w:rPr>
      </w:pPr>
      <w:r>
        <w:rPr>
          <w:lang w:val="en-GB"/>
        </w:rPr>
        <w:t xml:space="preserve">The heat map is showing dark grey and light grey to convey wastage and data error, respectively. While the use case is performance, there is a need to educate that oversized VM cause performance issue. </w:t>
      </w:r>
    </w:p>
    <w:p w14:paraId="42CD652B" w14:textId="77777777" w:rsidR="0061072F" w:rsidRPr="00A452F2" w:rsidRDefault="0061072F" w:rsidP="00E7573A">
      <w:pPr>
        <w:pStyle w:val="Heading5"/>
      </w:pPr>
      <w:r w:rsidRPr="00A452F2">
        <w:t>Points to Note</w:t>
      </w:r>
    </w:p>
    <w:p w14:paraId="5CAEF498" w14:textId="77777777" w:rsidR="0061072F" w:rsidRPr="007C6E75" w:rsidRDefault="0061072F" w:rsidP="0061072F">
      <w:r w:rsidRPr="00A452F2">
        <w:rPr>
          <w:lang w:val="en-GB"/>
        </w:rPr>
        <w:t xml:space="preserve">ESXi </w:t>
      </w:r>
      <w:r w:rsidRPr="007C6E75">
        <w:t>choose swapping over compression if the compression ratio is less than 4x.</w:t>
      </w:r>
    </w:p>
    <w:p w14:paraId="3EEA4595" w14:textId="77777777" w:rsidR="0061072F" w:rsidRPr="00A452F2" w:rsidRDefault="0061072F" w:rsidP="0061072F">
      <w:pPr>
        <w:rPr>
          <w:lang w:val="en-GB"/>
        </w:rPr>
      </w:pPr>
      <w:r w:rsidRPr="007C6E75">
        <w:t>If you hav</w:t>
      </w:r>
      <w:r w:rsidRPr="00A452F2">
        <w:rPr>
          <w:lang w:val="en-GB"/>
        </w:rPr>
        <w:t>e the screen real estate and your network is highly utilized, add a Heat Map to check the ESXi physical NIC Network Throughput.</w:t>
      </w:r>
    </w:p>
    <w:p w14:paraId="3C7C4137" w14:textId="77777777" w:rsidR="0061072F" w:rsidRPr="00A452F2" w:rsidRDefault="0061072F" w:rsidP="00AC6E1E">
      <w:pPr>
        <w:pStyle w:val="Heading4"/>
      </w:pPr>
      <w:r w:rsidRPr="00A452F2">
        <w:t>Live! Heavy Hitter Dashboard</w:t>
      </w:r>
    </w:p>
    <w:p w14:paraId="05DEBDE4" w14:textId="77777777" w:rsidR="0061072F" w:rsidRPr="00A452F2" w:rsidRDefault="0061072F" w:rsidP="0061072F">
      <w:pPr>
        <w:rPr>
          <w:lang w:val="en-GB"/>
        </w:rPr>
      </w:pPr>
      <w:r w:rsidRPr="4CAB3972">
        <w:rPr>
          <w:lang w:val="en-GB"/>
        </w:rPr>
        <w:t xml:space="preserve">This dashboard helps you </w:t>
      </w:r>
      <w:r>
        <w:rPr>
          <w:lang w:val="en-GB"/>
        </w:rPr>
        <w:t>analyze</w:t>
      </w:r>
      <w:r w:rsidRPr="4CAB3972">
        <w:rPr>
          <w:lang w:val="en-GB"/>
        </w:rPr>
        <w:t xml:space="preserve"> the misuse of the shared infrastructure. This dashboard displays details of VMs misusing the shared infrastructure and if that has caused performance problems to the other VMs. The cause for excessive load might be due to security attacks, for example, denial of service, process runaway, or mass activation of agents. </w:t>
      </w:r>
    </w:p>
    <w:p w14:paraId="4D277E50" w14:textId="77777777" w:rsidR="0061072F" w:rsidRPr="00A452F2" w:rsidRDefault="0061072F" w:rsidP="00E7573A">
      <w:pPr>
        <w:pStyle w:val="Heading5"/>
      </w:pPr>
      <w:r w:rsidRPr="00A452F2">
        <w:t>Design Consideration</w:t>
      </w:r>
    </w:p>
    <w:p w14:paraId="7F259C86" w14:textId="77777777" w:rsidR="0061072F" w:rsidRPr="00A452F2" w:rsidRDefault="0061072F" w:rsidP="0061072F">
      <w:pPr>
        <w:rPr>
          <w:lang w:val="en-GB"/>
        </w:rPr>
      </w:pPr>
      <w:r w:rsidRPr="00A452F2">
        <w:rPr>
          <w:lang w:val="en-GB"/>
        </w:rPr>
        <w:t xml:space="preserve">See the Performance Dashboard page for common design consideration among all the dashboards for performance management. </w:t>
      </w:r>
    </w:p>
    <w:p w14:paraId="60F2BC3C" w14:textId="3479EBCC" w:rsidR="0061072F" w:rsidRPr="00A452F2" w:rsidRDefault="0061072F" w:rsidP="0061072F">
      <w:pPr>
        <w:rPr>
          <w:lang w:val="en-GB"/>
        </w:rPr>
      </w:pPr>
      <w:r w:rsidRPr="00A452F2">
        <w:rPr>
          <w:lang w:val="en-GB"/>
        </w:rPr>
        <w:t xml:space="preserve">In shared environment, it is possible to have victim-villain problem. In the heat map, the villain VM is the one with the largest box size, while the victim is the one with </w:t>
      </w:r>
      <w:r w:rsidR="00CF7D2C" w:rsidRPr="00CF7D2C">
        <w:rPr>
          <w:color w:val="FF0000"/>
          <w:lang w:val="en-GB"/>
        </w:rPr>
        <w:t>red</w:t>
      </w:r>
      <w:r w:rsidRPr="00A452F2">
        <w:rPr>
          <w:lang w:val="en-GB"/>
        </w:rPr>
        <w:t xml:space="preserve"> box. If a handful of VMs are dominating the shared infrastructure, their collective size will be highly visible on the dashboard.</w:t>
      </w:r>
    </w:p>
    <w:p w14:paraId="5B2C37DD" w14:textId="77777777" w:rsidR="0061072F" w:rsidRPr="00A452F2" w:rsidRDefault="0061072F" w:rsidP="0061072F">
      <w:pPr>
        <w:rPr>
          <w:lang w:val="en-GB"/>
        </w:rPr>
      </w:pPr>
      <w:r w:rsidRPr="00A452F2">
        <w:rPr>
          <w:lang w:val="en-GB"/>
        </w:rPr>
        <w:t xml:space="preserve">There are 4 areas where a monster VM can impact its neighbours. </w:t>
      </w:r>
    </w:p>
    <w:p w14:paraId="4A6812F8" w14:textId="77777777" w:rsidR="0061072F" w:rsidRPr="00A452F2" w:rsidRDefault="0061072F" w:rsidP="0061072F">
      <w:pPr>
        <w:pStyle w:val="Bullet"/>
        <w:rPr>
          <w:lang w:val="en-GB"/>
        </w:rPr>
      </w:pPr>
      <w:r w:rsidRPr="00A452F2">
        <w:rPr>
          <w:lang w:val="en-GB"/>
        </w:rPr>
        <w:t xml:space="preserve">CPU. </w:t>
      </w:r>
    </w:p>
    <w:p w14:paraId="15AC8D56" w14:textId="77777777" w:rsidR="0061072F" w:rsidRPr="00A452F2" w:rsidRDefault="0061072F" w:rsidP="0061072F">
      <w:pPr>
        <w:pStyle w:val="Bullet"/>
        <w:rPr>
          <w:lang w:val="en-GB"/>
        </w:rPr>
      </w:pPr>
      <w:r w:rsidRPr="00A452F2">
        <w:rPr>
          <w:lang w:val="en-GB"/>
        </w:rPr>
        <w:lastRenderedPageBreak/>
        <w:t>Disk IOPS. Any VM with PVSCSI can generate very high IOPS. Since this hits the underlying physical storage, the view is grouped by Data center, not Datastore or Cluster.</w:t>
      </w:r>
    </w:p>
    <w:p w14:paraId="17B6DC89" w14:textId="7FAFE769" w:rsidR="0061072F" w:rsidRPr="00A452F2" w:rsidRDefault="0061072F" w:rsidP="0061072F">
      <w:pPr>
        <w:pStyle w:val="Bullet"/>
        <w:rPr>
          <w:lang w:val="en-GB"/>
        </w:rPr>
      </w:pPr>
      <w:r w:rsidRPr="00A452F2">
        <w:rPr>
          <w:lang w:val="en-GB"/>
        </w:rPr>
        <w:t xml:space="preserve">Disk Throughput. </w:t>
      </w:r>
      <w:r w:rsidR="0002089A">
        <w:rPr>
          <w:lang w:val="en-GB"/>
        </w:rPr>
        <w:t>Applications</w:t>
      </w:r>
      <w:r w:rsidRPr="00A452F2">
        <w:rPr>
          <w:lang w:val="en-GB"/>
        </w:rPr>
        <w:t xml:space="preserve"> with large block size (e.g. 4 MB) can consume bandwidth without generating high IOPS</w:t>
      </w:r>
    </w:p>
    <w:p w14:paraId="5D372166" w14:textId="77777777" w:rsidR="0061072F" w:rsidRPr="00A452F2" w:rsidRDefault="0061072F" w:rsidP="0061072F">
      <w:pPr>
        <w:pStyle w:val="Bullet"/>
        <w:rPr>
          <w:lang w:val="en-GB"/>
        </w:rPr>
      </w:pPr>
      <w:r w:rsidRPr="00A452F2">
        <w:rPr>
          <w:lang w:val="en-GB"/>
        </w:rPr>
        <w:t xml:space="preserve">Network. </w:t>
      </w:r>
    </w:p>
    <w:p w14:paraId="270937A6" w14:textId="77777777" w:rsidR="0061072F" w:rsidRPr="00A452F2" w:rsidRDefault="0061072F" w:rsidP="0061072F">
      <w:pPr>
        <w:rPr>
          <w:lang w:val="en-GB"/>
        </w:rPr>
      </w:pPr>
      <w:r w:rsidRPr="00A452F2">
        <w:rPr>
          <w:lang w:val="en-GB"/>
        </w:rPr>
        <w:t>Memory is not needed as it’s rare for Guest OS to actively read/write from DIMM. It’s mostly cache. Think of it like disk space (passive).</w:t>
      </w:r>
    </w:p>
    <w:p w14:paraId="27A89CDE" w14:textId="77777777" w:rsidR="0061072F" w:rsidRPr="00A452F2" w:rsidRDefault="0061072F" w:rsidP="0061072F">
      <w:pPr>
        <w:rPr>
          <w:lang w:val="en-GB"/>
        </w:rPr>
      </w:pPr>
      <w:r w:rsidRPr="00A452F2">
        <w:rPr>
          <w:lang w:val="en-GB"/>
        </w:rPr>
        <w:t>​Remediation Action you should take: Check why the VMs are generating excessive load.</w:t>
      </w:r>
    </w:p>
    <w:p w14:paraId="0A96C805" w14:textId="77777777" w:rsidR="0061072F" w:rsidRPr="00A452F2" w:rsidRDefault="0061072F" w:rsidP="00E7573A">
      <w:pPr>
        <w:pStyle w:val="Heading5"/>
      </w:pPr>
      <w:r w:rsidRPr="00A452F2">
        <w:t>How to Use</w:t>
      </w:r>
    </w:p>
    <w:p w14:paraId="55841359" w14:textId="77777777" w:rsidR="0061072F" w:rsidRDefault="0061072F" w:rsidP="0061072F">
      <w:pPr>
        <w:rPr>
          <w:lang w:val="en-GB"/>
        </w:rPr>
      </w:pPr>
      <w:r w:rsidRPr="00A452F2">
        <w:rPr>
          <w:lang w:val="en-GB"/>
        </w:rPr>
        <w:t>There are 4 heat maps, showing the 4 different loads that can be excessive. The heat map displays the relative value and not the absolute value. A VM does not generate a high load in the absolute term just because it has large configuration.</w:t>
      </w:r>
    </w:p>
    <w:p w14:paraId="46E72BA0" w14:textId="77777777" w:rsidR="0061072F" w:rsidRPr="00A452F2" w:rsidRDefault="0061072F" w:rsidP="0061072F">
      <w:pPr>
        <w:rPr>
          <w:lang w:val="en-GB"/>
        </w:rPr>
      </w:pPr>
      <w:r>
        <w:rPr>
          <w:noProof/>
        </w:rPr>
        <w:drawing>
          <wp:inline distT="0" distB="0" distL="0" distR="0" wp14:anchorId="49606E99" wp14:editId="6CAA28DA">
            <wp:extent cx="6645910" cy="1667510"/>
            <wp:effectExtent l="0" t="0" r="2540" b="889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416"/>
                    <pic:cNvPicPr/>
                  </pic:nvPicPr>
                  <pic:blipFill>
                    <a:blip r:embed="rId1336" cstate="print">
                      <a:extLst>
                        <a:ext uri="{28A0092B-C50C-407E-A947-70E740481C1C}">
                          <a14:useLocalDpi xmlns:a14="http://schemas.microsoft.com/office/drawing/2010/main" val="0"/>
                        </a:ext>
                      </a:extLst>
                    </a:blip>
                    <a:stretch>
                      <a:fillRect/>
                    </a:stretch>
                  </pic:blipFill>
                  <pic:spPr>
                    <a:xfrm>
                      <a:off x="0" y="0"/>
                      <a:ext cx="6645910" cy="1667510"/>
                    </a:xfrm>
                    <a:prstGeom prst="rect">
                      <a:avLst/>
                    </a:prstGeom>
                  </pic:spPr>
                </pic:pic>
              </a:graphicData>
            </a:graphic>
          </wp:inline>
        </w:drawing>
      </w:r>
    </w:p>
    <w:p w14:paraId="2D81815A" w14:textId="77777777" w:rsidR="0061072F" w:rsidRPr="00A452F2" w:rsidRDefault="0061072F" w:rsidP="0061072F">
      <w:pPr>
        <w:rPr>
          <w:lang w:val="en-GB"/>
        </w:rPr>
      </w:pPr>
      <w:r w:rsidRPr="00A452F2">
        <w:rPr>
          <w:lang w:val="en-GB"/>
        </w:rPr>
        <w:t xml:space="preserve">Each heat map has their own </w:t>
      </w:r>
      <w:r>
        <w:rPr>
          <w:lang w:val="en-GB"/>
        </w:rPr>
        <w:t>color</w:t>
      </w:r>
      <w:r w:rsidRPr="00A452F2">
        <w:rPr>
          <w:lang w:val="en-GB"/>
        </w:rPr>
        <w:t xml:space="preserve"> threshold, reflecting the nature of the contention metrics used in each of them.</w:t>
      </w:r>
    </w:p>
    <w:p w14:paraId="5C4C2692" w14:textId="2176449A" w:rsidR="0061072F" w:rsidRDefault="0061072F" w:rsidP="0061072F">
      <w:pPr>
        <w:rPr>
          <w:lang w:val="en-GB"/>
        </w:rPr>
      </w:pPr>
      <w:r w:rsidRPr="00A452F2">
        <w:rPr>
          <w:lang w:val="en-GB"/>
        </w:rPr>
        <w:t xml:space="preserve">For NOC Operator, </w:t>
      </w:r>
      <w:r w:rsidR="000F2D54">
        <w:rPr>
          <w:lang w:val="en-GB"/>
        </w:rPr>
        <w:t xml:space="preserve">who have access to mouse and keyboard on their desk, they can </w:t>
      </w:r>
      <w:r w:rsidRPr="00A452F2">
        <w:rPr>
          <w:lang w:val="en-GB"/>
        </w:rPr>
        <w:t>drill down by selecting one of the VM on the heat</w:t>
      </w:r>
      <w:r>
        <w:rPr>
          <w:lang w:val="en-GB"/>
        </w:rPr>
        <w:t xml:space="preserve"> map</w:t>
      </w:r>
      <w:r w:rsidR="000F2D54">
        <w:rPr>
          <w:lang w:val="en-GB"/>
        </w:rPr>
        <w:t>.</w:t>
      </w:r>
    </w:p>
    <w:p w14:paraId="707096D0" w14:textId="77777777" w:rsidR="0061072F" w:rsidRPr="00A452F2" w:rsidRDefault="0061072F" w:rsidP="0061072F">
      <w:pPr>
        <w:rPr>
          <w:lang w:val="en-GB"/>
        </w:rPr>
      </w:pPr>
      <w:r>
        <w:rPr>
          <w:noProof/>
        </w:rPr>
        <w:drawing>
          <wp:inline distT="0" distB="0" distL="0" distR="0" wp14:anchorId="311FC564" wp14:editId="56EE25C2">
            <wp:extent cx="6645910" cy="1398905"/>
            <wp:effectExtent l="0" t="0" r="2540" b="0"/>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417"/>
                    <pic:cNvPicPr/>
                  </pic:nvPicPr>
                  <pic:blipFill>
                    <a:blip r:embed="rId1337">
                      <a:extLst>
                        <a:ext uri="{28A0092B-C50C-407E-A947-70E740481C1C}">
                          <a14:useLocalDpi xmlns:a14="http://schemas.microsoft.com/office/drawing/2010/main" val="0"/>
                        </a:ext>
                      </a:extLst>
                    </a:blip>
                    <a:stretch>
                      <a:fillRect/>
                    </a:stretch>
                  </pic:blipFill>
                  <pic:spPr>
                    <a:xfrm>
                      <a:off x="0" y="0"/>
                      <a:ext cx="6645910" cy="1398905"/>
                    </a:xfrm>
                    <a:prstGeom prst="rect">
                      <a:avLst/>
                    </a:prstGeom>
                  </pic:spPr>
                </pic:pic>
              </a:graphicData>
            </a:graphic>
          </wp:inline>
        </w:drawing>
      </w:r>
    </w:p>
    <w:p w14:paraId="2A56995B" w14:textId="77777777" w:rsidR="0061072F" w:rsidRPr="00A452F2" w:rsidRDefault="0061072F" w:rsidP="0061072F">
      <w:pPr>
        <w:rPr>
          <w:lang w:val="en-GB"/>
        </w:rPr>
      </w:pPr>
      <w:r w:rsidRPr="00A452F2">
        <w:rPr>
          <w:lang w:val="en-GB"/>
        </w:rPr>
        <w:t>All the 4 line charts are automatically showing, enabling you to get a more complete picture of the selected VM.</w:t>
      </w:r>
    </w:p>
    <w:p w14:paraId="57461232" w14:textId="77777777" w:rsidR="0061072F" w:rsidRPr="00A452F2" w:rsidRDefault="0061072F" w:rsidP="00E7573A">
      <w:pPr>
        <w:pStyle w:val="Heading5"/>
      </w:pPr>
      <w:r w:rsidRPr="00A452F2">
        <w:lastRenderedPageBreak/>
        <w:t>Points to Note</w:t>
      </w:r>
    </w:p>
    <w:p w14:paraId="3634F5B6" w14:textId="7E47DB00" w:rsidR="0061072F" w:rsidRPr="00A452F2" w:rsidRDefault="0061072F" w:rsidP="0061072F">
      <w:pPr>
        <w:rPr>
          <w:lang w:val="en-GB"/>
        </w:rPr>
      </w:pPr>
      <w:r w:rsidRPr="00A452F2">
        <w:rPr>
          <w:lang w:val="en-GB"/>
        </w:rPr>
        <w:t xml:space="preserve">Memory is not shown as it’s a form of storage. The memory </w:t>
      </w:r>
      <w:r w:rsidR="008D3A3F">
        <w:rPr>
          <w:lang w:val="en-GB"/>
        </w:rPr>
        <w:t>metrics</w:t>
      </w:r>
      <w:r w:rsidRPr="00A452F2">
        <w:rPr>
          <w:lang w:val="en-GB"/>
        </w:rPr>
        <w:t xml:space="preserve"> are space utilization, not speed. Think of disk space instead of IOPS. It can cause capacity problem on the shared ESXi host, but not performance problem to other VMs. </w:t>
      </w:r>
    </w:p>
    <w:p w14:paraId="28C31006" w14:textId="77777777" w:rsidR="0061072F" w:rsidRPr="00A452F2" w:rsidRDefault="0061072F" w:rsidP="0061072F">
      <w:pPr>
        <w:rPr>
          <w:lang w:val="en-GB"/>
        </w:rPr>
      </w:pPr>
      <w:r w:rsidRPr="00A452F2">
        <w:rPr>
          <w:lang w:val="en-GB"/>
        </w:rPr>
        <w:t>In a large environment, it might be difficult to view a small victim VM. Consider having multiple dashboards and rotate among them.</w:t>
      </w:r>
    </w:p>
    <w:p w14:paraId="0E427491" w14:textId="70CD3AC6" w:rsidR="00F33D67" w:rsidRDefault="00F33D67" w:rsidP="00540F68">
      <w:pPr>
        <w:pStyle w:val="Heading3"/>
      </w:pPr>
      <w:r w:rsidRPr="054A2259">
        <w:t>Executive Summary</w:t>
      </w:r>
    </w:p>
    <w:p w14:paraId="63B9314F" w14:textId="77777777" w:rsidR="00F33D67" w:rsidRPr="00A452F2" w:rsidRDefault="00F33D67" w:rsidP="000E1236">
      <w:pPr>
        <w:rPr>
          <w:lang w:val="en-GB"/>
        </w:rPr>
      </w:pPr>
      <w:r w:rsidRPr="00A452F2">
        <w:rPr>
          <w:lang w:val="en-GB"/>
        </w:rPr>
        <w:t xml:space="preserve">IT Senior Management has a different </w:t>
      </w:r>
      <w:r>
        <w:rPr>
          <w:lang w:val="en-GB"/>
        </w:rPr>
        <w:t xml:space="preserve">set </w:t>
      </w:r>
      <w:r w:rsidRPr="00A452F2">
        <w:rPr>
          <w:lang w:val="en-GB"/>
        </w:rPr>
        <w:t xml:space="preserve">requirements, and may even prefer information </w:t>
      </w:r>
      <w:r>
        <w:rPr>
          <w:lang w:val="en-GB"/>
        </w:rPr>
        <w:t xml:space="preserve">to </w:t>
      </w:r>
      <w:r w:rsidRPr="00A452F2">
        <w:rPr>
          <w:lang w:val="en-GB"/>
        </w:rPr>
        <w:t>be emailed.</w:t>
      </w:r>
    </w:p>
    <w:p w14:paraId="52A5894D" w14:textId="77777777" w:rsidR="00F33D67" w:rsidRPr="00FC3D00" w:rsidRDefault="00F33D67" w:rsidP="00AC6E1E">
      <w:pPr>
        <w:pStyle w:val="Heading4"/>
      </w:pPr>
      <w:r w:rsidRPr="00A452F2">
        <w:rPr>
          <w:rStyle w:val="eop"/>
        </w:rPr>
        <w:t>Design Considerations</w:t>
      </w:r>
    </w:p>
    <w:p w14:paraId="33913480" w14:textId="77777777" w:rsidR="00F33D67" w:rsidRPr="00A452F2" w:rsidRDefault="00F33D67" w:rsidP="00F33D67">
      <w:pPr>
        <w:rPr>
          <w:lang w:val="en-GB" w:eastAsia="en-SG"/>
        </w:rPr>
      </w:pPr>
      <w:r w:rsidRPr="00A452F2">
        <w:rPr>
          <w:lang w:val="en-GB" w:eastAsia="en-SG"/>
        </w:rPr>
        <w:t>CIO, Head of Global Infrastructure, and other IT Senior Management have a different requirement than technical folks. Generally they want the big picture, not details. Or at the very least, the big picture is presented first, and then drill down is provided.</w:t>
      </w:r>
    </w:p>
    <w:p w14:paraId="6497F10F" w14:textId="77777777" w:rsidR="00F33D67" w:rsidRPr="00A452F2" w:rsidRDefault="00F33D67" w:rsidP="00F33D67">
      <w:pPr>
        <w:rPr>
          <w:lang w:val="en-GB" w:eastAsia="en-SG"/>
        </w:rPr>
      </w:pPr>
      <w:r w:rsidRPr="00A452F2">
        <w:rPr>
          <w:lang w:val="en-GB" w:eastAsia="en-SG"/>
        </w:rPr>
        <w:t>As part of showing the big picture, trend should be included. Show the situation in the last few months, ideally coupled with projection. The data should be averaged out, so that a 5-minute spike should not show up.</w:t>
      </w:r>
    </w:p>
    <w:p w14:paraId="3407AF21" w14:textId="77777777" w:rsidR="00F33D67" w:rsidRPr="00A452F2" w:rsidRDefault="00F33D67" w:rsidP="00F33D67">
      <w:pPr>
        <w:rPr>
          <w:lang w:val="en-GB" w:eastAsia="en-SG"/>
        </w:rPr>
      </w:pPr>
      <w:r w:rsidRPr="00A452F2">
        <w:rPr>
          <w:lang w:val="en-GB" w:eastAsia="en-SG"/>
        </w:rPr>
        <w:t>Exception. Things that they need their attention. Complete means nothing else can be taken out. Which information, object, metric can you take out from the dashboard?</w:t>
      </w:r>
    </w:p>
    <w:p w14:paraId="25D6674C" w14:textId="77777777" w:rsidR="00F33D67" w:rsidRPr="00A452F2" w:rsidRDefault="00F33D67" w:rsidP="00F33D67">
      <w:pPr>
        <w:rPr>
          <w:lang w:val="en-GB" w:eastAsia="en-SG"/>
        </w:rPr>
      </w:pPr>
      <w:r w:rsidRPr="00A452F2">
        <w:rPr>
          <w:lang w:val="en-GB" w:eastAsia="en-SG"/>
        </w:rPr>
        <w:t xml:space="preserve">No technical info. Ideally, present in business terms, not IT jargons. Terminology such as datastore, distributed switch may need to be replaced with something suitable in your </w:t>
      </w:r>
      <w:r>
        <w:rPr>
          <w:lang w:val="en-GB" w:eastAsia="en-SG"/>
        </w:rPr>
        <w:t>organization</w:t>
      </w:r>
      <w:r w:rsidRPr="00A452F2">
        <w:rPr>
          <w:lang w:val="en-GB" w:eastAsia="en-SG"/>
        </w:rPr>
        <w:t>.</w:t>
      </w:r>
    </w:p>
    <w:p w14:paraId="2D458E13" w14:textId="77777777" w:rsidR="00F33D67" w:rsidRPr="00A452F2" w:rsidRDefault="00F33D67" w:rsidP="00F33D67">
      <w:pPr>
        <w:rPr>
          <w:lang w:val="en-GB" w:eastAsia="en-SG"/>
        </w:rPr>
      </w:pPr>
      <w:r w:rsidRPr="00A452F2">
        <w:rPr>
          <w:lang w:val="en-GB" w:eastAsia="en-SG"/>
        </w:rPr>
        <w:t>UI that is easy to understand. So keep each dashboard to a specific question. Make sur the dashboard is easy to use. So keep the interaction, clicking, zooming, sorting, etc. minimal.</w:t>
      </w:r>
    </w:p>
    <w:p w14:paraId="606842F8" w14:textId="77777777" w:rsidR="00F33D67" w:rsidRDefault="00F33D67" w:rsidP="00F33D67">
      <w:pPr>
        <w:rPr>
          <w:lang w:val="en-GB" w:eastAsia="en-SG"/>
        </w:rPr>
      </w:pPr>
      <w:r w:rsidRPr="00A452F2">
        <w:rPr>
          <w:lang w:val="en-GB" w:eastAsia="en-SG"/>
        </w:rPr>
        <w:t xml:space="preserve">Can the dashboard be understood within 5 seconds? </w:t>
      </w:r>
    </w:p>
    <w:p w14:paraId="1ADE1CA8" w14:textId="77777777" w:rsidR="00F33D67" w:rsidRDefault="00F33D67" w:rsidP="00F33D67">
      <w:pPr>
        <w:rPr>
          <w:lang w:val="en-GB" w:eastAsia="en-SG"/>
        </w:rPr>
      </w:pPr>
      <w:r w:rsidRPr="00A452F2">
        <w:rPr>
          <w:lang w:val="en-GB" w:eastAsia="en-SG"/>
        </w:rPr>
        <w:t xml:space="preserve">If yes, you buy yourself a few more minutes. </w:t>
      </w:r>
      <w:r>
        <w:rPr>
          <w:lang w:val="en-GB" w:eastAsia="en-SG"/>
        </w:rPr>
        <w:t xml:space="preserve">Your IT </w:t>
      </w:r>
      <w:r w:rsidRPr="00A452F2">
        <w:rPr>
          <w:lang w:val="en-GB" w:eastAsia="en-SG"/>
        </w:rPr>
        <w:t xml:space="preserve">Management </w:t>
      </w:r>
      <w:r>
        <w:rPr>
          <w:lang w:val="en-GB" w:eastAsia="en-SG"/>
        </w:rPr>
        <w:t xml:space="preserve">has </w:t>
      </w:r>
      <w:r w:rsidRPr="00A452F2">
        <w:rPr>
          <w:lang w:val="en-GB" w:eastAsia="en-SG"/>
        </w:rPr>
        <w:t>underst</w:t>
      </w:r>
      <w:r>
        <w:rPr>
          <w:lang w:val="en-GB" w:eastAsia="en-SG"/>
        </w:rPr>
        <w:t>ood</w:t>
      </w:r>
      <w:r w:rsidRPr="00A452F2">
        <w:rPr>
          <w:lang w:val="en-GB" w:eastAsia="en-SG"/>
        </w:rPr>
        <w:t xml:space="preserve"> what the dashboard does, and is willing to spend more time appreciating it</w:t>
      </w:r>
      <w:r>
        <w:rPr>
          <w:lang w:val="en-GB" w:eastAsia="en-SG"/>
        </w:rPr>
        <w:t>s full capabilities</w:t>
      </w:r>
      <w:r w:rsidRPr="00A452F2">
        <w:rPr>
          <w:lang w:val="en-GB" w:eastAsia="en-SG"/>
        </w:rPr>
        <w:t xml:space="preserve">. </w:t>
      </w:r>
    </w:p>
    <w:p w14:paraId="55FE1679" w14:textId="77777777" w:rsidR="00F33D67" w:rsidRPr="00A452F2" w:rsidRDefault="00F33D67" w:rsidP="00F33D67">
      <w:pPr>
        <w:rPr>
          <w:lang w:val="en-GB" w:eastAsia="en-SG"/>
        </w:rPr>
      </w:pPr>
      <w:r w:rsidRPr="00A452F2">
        <w:rPr>
          <w:lang w:val="en-GB" w:eastAsia="en-SG"/>
        </w:rPr>
        <w:t>Take note of the “</w:t>
      </w:r>
      <w:r w:rsidRPr="00B94A5F">
        <w:rPr>
          <w:color w:val="00B0F0"/>
          <w:lang w:val="en-GB" w:eastAsia="en-SG"/>
        </w:rPr>
        <w:t>size</w:t>
      </w:r>
      <w:r w:rsidRPr="00A452F2">
        <w:rPr>
          <w:lang w:val="en-GB" w:eastAsia="en-SG"/>
        </w:rPr>
        <w:t>” of your dashboard.</w:t>
      </w:r>
      <w:r>
        <w:rPr>
          <w:lang w:val="en-GB" w:eastAsia="en-SG"/>
        </w:rPr>
        <w:t xml:space="preserve"> A dashboard that has many widgets and scrolls deep is harder to understand.</w:t>
      </w:r>
    </w:p>
    <w:p w14:paraId="0FB0F7B4" w14:textId="77777777" w:rsidR="00F33D67" w:rsidRPr="00A452F2" w:rsidRDefault="00F33D67" w:rsidP="00F33D67">
      <w:pPr>
        <w:rPr>
          <w:lang w:val="en-GB" w:eastAsia="en-SG"/>
        </w:rPr>
      </w:pPr>
      <w:r w:rsidRPr="00A452F2">
        <w:rPr>
          <w:lang w:val="en-GB" w:eastAsia="en-SG"/>
        </w:rPr>
        <w:lastRenderedPageBreak/>
        <w:t xml:space="preserve">KISS. Keep it simple solution. Keep the interaction, clicking, zooming, sorting, etc. minimal. Use larger fonts, round numbers (law of </w:t>
      </w:r>
      <w:hyperlink r:id="rId1338" w:history="1">
        <w:r w:rsidRPr="00527D27">
          <w:rPr>
            <w:rStyle w:val="Hyperlink"/>
            <w:lang w:val="en-GB" w:eastAsia="en-SG"/>
          </w:rPr>
          <w:t>significant figure</w:t>
        </w:r>
      </w:hyperlink>
      <w:r w:rsidRPr="00A452F2">
        <w:rPr>
          <w:lang w:val="en-GB" w:eastAsia="en-SG"/>
        </w:rPr>
        <w:t>)</w:t>
      </w:r>
      <w:r>
        <w:rPr>
          <w:lang w:val="en-GB" w:eastAsia="en-SG"/>
        </w:rPr>
        <w:t>.</w:t>
      </w:r>
    </w:p>
    <w:p w14:paraId="131B5C68" w14:textId="77777777" w:rsidR="00F33D67" w:rsidRPr="00A452F2" w:rsidRDefault="00F33D67" w:rsidP="00F33D67">
      <w:pPr>
        <w:rPr>
          <w:lang w:val="en-GB" w:eastAsia="en-SG"/>
        </w:rPr>
      </w:pPr>
      <w:r w:rsidRPr="00A452F2">
        <w:rPr>
          <w:lang w:val="en-GB" w:eastAsia="en-SG"/>
        </w:rPr>
        <w:t xml:space="preserve">If they ask for a self-service portal, then make it easy to access. They may not want to login to vRealize Operations. If they do, they may forget their password, so the portal should not require a password. </w:t>
      </w:r>
    </w:p>
    <w:p w14:paraId="1BB4B51C" w14:textId="77777777" w:rsidR="00F33D67" w:rsidRPr="00A452F2" w:rsidRDefault="00F33D67" w:rsidP="00F33D67">
      <w:pPr>
        <w:jc w:val="center"/>
        <w:rPr>
          <w:lang w:val="en-GB"/>
        </w:rPr>
      </w:pPr>
      <w:r>
        <w:rPr>
          <w:noProof/>
        </w:rPr>
        <w:drawing>
          <wp:inline distT="0" distB="0" distL="0" distR="0" wp14:anchorId="1D9A5A9E" wp14:editId="63DACDBA">
            <wp:extent cx="3502046" cy="2254249"/>
            <wp:effectExtent l="0" t="0" r="3175"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pic:nvPicPr>
                  <pic:blipFill>
                    <a:blip r:embed="rId1339">
                      <a:extLst>
                        <a:ext uri="{28A0092B-C50C-407E-A947-70E740481C1C}">
                          <a14:useLocalDpi xmlns:a14="http://schemas.microsoft.com/office/drawing/2010/main" val="0"/>
                        </a:ext>
                      </a:extLst>
                    </a:blip>
                    <a:stretch>
                      <a:fillRect/>
                    </a:stretch>
                  </pic:blipFill>
                  <pic:spPr>
                    <a:xfrm>
                      <a:off x="0" y="0"/>
                      <a:ext cx="3502046" cy="2254249"/>
                    </a:xfrm>
                    <a:prstGeom prst="rect">
                      <a:avLst/>
                    </a:prstGeom>
                  </pic:spPr>
                </pic:pic>
              </a:graphicData>
            </a:graphic>
          </wp:inline>
        </w:drawing>
      </w:r>
    </w:p>
    <w:p w14:paraId="7E94B6E7" w14:textId="77777777" w:rsidR="00F33D67" w:rsidRPr="00A452F2" w:rsidRDefault="00F33D67" w:rsidP="00F33D67">
      <w:pPr>
        <w:rPr>
          <w:lang w:val="en-GB" w:eastAsia="en-SG"/>
        </w:rPr>
      </w:pPr>
      <w:r w:rsidRPr="00A452F2">
        <w:rPr>
          <w:lang w:val="en-GB" w:eastAsia="en-SG"/>
        </w:rPr>
        <w:t xml:space="preserve">That’s what </w:t>
      </w:r>
      <w:r w:rsidRPr="00B94A5F">
        <w:rPr>
          <w:i/>
          <w:iCs/>
          <w:color w:val="FF0000"/>
          <w:lang w:val="en-GB" w:eastAsia="en-SG"/>
        </w:rPr>
        <w:t>they</w:t>
      </w:r>
      <w:r w:rsidRPr="00A452F2">
        <w:rPr>
          <w:b/>
          <w:bCs/>
          <w:i/>
          <w:iCs/>
          <w:lang w:val="en-GB" w:eastAsia="en-SG"/>
        </w:rPr>
        <w:t xml:space="preserve"> </w:t>
      </w:r>
      <w:r w:rsidRPr="00A452F2">
        <w:rPr>
          <w:lang w:val="en-GB" w:eastAsia="en-SG"/>
        </w:rPr>
        <w:t>want from you. You also need to think of what you want from them.</w:t>
      </w:r>
    </w:p>
    <w:p w14:paraId="2A39C3EA" w14:textId="77777777" w:rsidR="00F33D67" w:rsidRPr="00A452F2" w:rsidRDefault="00F33D67" w:rsidP="00F33D67">
      <w:pPr>
        <w:rPr>
          <w:lang w:val="en-GB" w:eastAsia="en-SG"/>
        </w:rPr>
      </w:pPr>
      <w:r w:rsidRPr="00A452F2">
        <w:rPr>
          <w:lang w:val="en-GB" w:eastAsia="en-SG"/>
        </w:rPr>
        <w:t xml:space="preserve">You also want to show them problems that you can get help, which is budget and resource. You do this by showing data. By giving visibility into </w:t>
      </w:r>
      <w:r w:rsidRPr="00A452F2">
        <w:rPr>
          <w:color w:val="0000FF"/>
          <w:lang w:val="en-GB" w:eastAsia="en-SG"/>
        </w:rPr>
        <w:t>live</w:t>
      </w:r>
      <w:r w:rsidRPr="00A452F2">
        <w:rPr>
          <w:lang w:val="en-GB" w:eastAsia="en-SG"/>
        </w:rPr>
        <w:t xml:space="preserve"> environment to senior management, you prove that you do need additional hardware. If there is wastage to be reclaim, you also prove on where and how large the wastage is. </w:t>
      </w:r>
    </w:p>
    <w:p w14:paraId="051DB590" w14:textId="77777777" w:rsidR="00F33D67" w:rsidRPr="00A452F2" w:rsidRDefault="00F33D67" w:rsidP="00F33D67">
      <w:pPr>
        <w:rPr>
          <w:lang w:val="en-GB"/>
        </w:rPr>
      </w:pPr>
      <w:r>
        <w:rPr>
          <w:noProof/>
        </w:rPr>
        <w:drawing>
          <wp:inline distT="0" distB="0" distL="0" distR="0" wp14:anchorId="42F903BD" wp14:editId="5C135194">
            <wp:extent cx="6645910" cy="2639695"/>
            <wp:effectExtent l="0" t="0" r="2540" b="8255"/>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18"/>
                    <pic:cNvPicPr/>
                  </pic:nvPicPr>
                  <pic:blipFill>
                    <a:blip r:embed="rId1340">
                      <a:extLst>
                        <a:ext uri="{28A0092B-C50C-407E-A947-70E740481C1C}">
                          <a14:useLocalDpi xmlns:a14="http://schemas.microsoft.com/office/drawing/2010/main" val="0"/>
                        </a:ext>
                      </a:extLst>
                    </a:blip>
                    <a:stretch>
                      <a:fillRect/>
                    </a:stretch>
                  </pic:blipFill>
                  <pic:spPr>
                    <a:xfrm>
                      <a:off x="0" y="0"/>
                      <a:ext cx="6645910" cy="2639695"/>
                    </a:xfrm>
                    <a:prstGeom prst="rect">
                      <a:avLst/>
                    </a:prstGeom>
                  </pic:spPr>
                </pic:pic>
              </a:graphicData>
            </a:graphic>
          </wp:inline>
        </w:drawing>
      </w:r>
    </w:p>
    <w:p w14:paraId="5FCB08B6" w14:textId="77777777" w:rsidR="00F33D67" w:rsidRPr="00A452F2" w:rsidRDefault="00F33D67" w:rsidP="00F33D67">
      <w:pPr>
        <w:rPr>
          <w:lang w:val="en-GB"/>
        </w:rPr>
      </w:pPr>
      <w:r w:rsidRPr="00A452F2">
        <w:rPr>
          <w:lang w:val="en-GB"/>
        </w:rPr>
        <w:t xml:space="preserve">vRealize Operations provide two example dashboards to get you started. They are designed for you to present live information to your senior management. They are not designed as self service. </w:t>
      </w:r>
    </w:p>
    <w:p w14:paraId="0B1A1F30" w14:textId="77777777" w:rsidR="00F33D67" w:rsidRPr="00A452F2" w:rsidRDefault="00F33D67" w:rsidP="00F33D67">
      <w:pPr>
        <w:rPr>
          <w:lang w:val="en-GB"/>
        </w:rPr>
      </w:pPr>
      <w:r w:rsidRPr="00A452F2">
        <w:rPr>
          <w:lang w:val="en-GB"/>
        </w:rPr>
        <w:t xml:space="preserve">As each executive may have a unique requirements and preferences, customize the dashboard accordingly. </w:t>
      </w:r>
    </w:p>
    <w:p w14:paraId="042B2B97" w14:textId="77777777" w:rsidR="00F33D67" w:rsidRDefault="00F33D67" w:rsidP="00F33D67">
      <w:pPr>
        <w:keepLines w:val="0"/>
        <w:suppressAutoHyphens w:val="0"/>
        <w:spacing w:before="0" w:after="160"/>
        <w:rPr>
          <w:rFonts w:ascii="Calibri" w:eastAsia="Calibri" w:hAnsi="Calibri" w:cs="Calibri"/>
          <w:b/>
          <w:bCs/>
          <w:color w:val="833C0B" w:themeColor="accent2" w:themeShade="80"/>
          <w:sz w:val="44"/>
          <w:szCs w:val="44"/>
          <w:lang w:val="en-GB" w:eastAsia="en-SG"/>
        </w:rPr>
      </w:pPr>
      <w:r>
        <w:rPr>
          <w:lang w:val="en-GB" w:eastAsia="en-SG"/>
        </w:rPr>
        <w:br w:type="page"/>
      </w:r>
    </w:p>
    <w:p w14:paraId="0733E759" w14:textId="71F324B6" w:rsidR="00F33D67" w:rsidRPr="00A452F2" w:rsidRDefault="00EA21E3" w:rsidP="00AC6E1E">
      <w:pPr>
        <w:pStyle w:val="Heading4"/>
      </w:pPr>
      <w:r>
        <w:lastRenderedPageBreak/>
        <w:t>Operations Overview</w:t>
      </w:r>
    </w:p>
    <w:p w14:paraId="6C52D386" w14:textId="77777777" w:rsidR="00EA21E3" w:rsidRDefault="00F33D67" w:rsidP="00F33D67">
      <w:pPr>
        <w:rPr>
          <w:lang w:val="en-GB" w:eastAsia="en-SG"/>
        </w:rPr>
      </w:pPr>
      <w:r>
        <w:rPr>
          <w:lang w:val="en-GB" w:eastAsia="en-SG"/>
        </w:rPr>
        <w:t xml:space="preserve">This </w:t>
      </w:r>
      <w:r w:rsidRPr="00A452F2">
        <w:rPr>
          <w:lang w:val="en-GB" w:eastAsia="en-SG"/>
        </w:rPr>
        <w:t xml:space="preserve">dashboard is used by the Ops team to provide </w:t>
      </w:r>
      <w:r w:rsidR="00EA21E3">
        <w:rPr>
          <w:lang w:val="en-GB" w:eastAsia="en-SG"/>
        </w:rPr>
        <w:t>the overall picture to</w:t>
      </w:r>
      <w:r w:rsidRPr="00A452F2">
        <w:rPr>
          <w:lang w:val="en-GB" w:eastAsia="en-SG"/>
        </w:rPr>
        <w:t xml:space="preserve"> the IT Management team. This dashboard works together with the </w:t>
      </w:r>
      <w:r w:rsidR="00EA21E3">
        <w:rPr>
          <w:lang w:val="en-GB" w:eastAsia="en-SG"/>
        </w:rPr>
        <w:t xml:space="preserve">set of inventory </w:t>
      </w:r>
      <w:r w:rsidRPr="00A452F2">
        <w:rPr>
          <w:lang w:val="en-GB" w:eastAsia="en-SG"/>
        </w:rPr>
        <w:t>dashboard</w:t>
      </w:r>
      <w:r w:rsidR="00EA21E3">
        <w:rPr>
          <w:lang w:val="en-GB" w:eastAsia="en-SG"/>
        </w:rPr>
        <w:t>s</w:t>
      </w:r>
      <w:r w:rsidRPr="00A452F2">
        <w:rPr>
          <w:lang w:val="en-GB" w:eastAsia="en-SG"/>
        </w:rPr>
        <w:t xml:space="preserve">. The inventory provides details on available resources and what is running on these resources. </w:t>
      </w:r>
    </w:p>
    <w:p w14:paraId="6D3EEA3E" w14:textId="2EB8368D" w:rsidR="00F33D67" w:rsidRPr="00A452F2" w:rsidRDefault="00EA21E3" w:rsidP="00F33D67">
      <w:pPr>
        <w:rPr>
          <w:lang w:val="en-GB" w:eastAsia="en-SG"/>
        </w:rPr>
      </w:pPr>
      <w:r>
        <w:rPr>
          <w:lang w:val="en-GB" w:eastAsia="en-SG"/>
        </w:rPr>
        <w:t>It also works with t</w:t>
      </w:r>
      <w:r w:rsidR="00F33D67" w:rsidRPr="00A452F2">
        <w:rPr>
          <w:lang w:val="en-GB" w:eastAsia="en-SG"/>
        </w:rPr>
        <w:t xml:space="preserve">he capacity </w:t>
      </w:r>
      <w:r>
        <w:rPr>
          <w:lang w:val="en-GB" w:eastAsia="en-SG"/>
        </w:rPr>
        <w:t>summary dashboard</w:t>
      </w:r>
      <w:r w:rsidR="00B94A5F">
        <w:rPr>
          <w:lang w:val="en-GB" w:eastAsia="en-SG"/>
        </w:rPr>
        <w:t xml:space="preserve">, which </w:t>
      </w:r>
      <w:r w:rsidR="00F33D67" w:rsidRPr="00A452F2">
        <w:rPr>
          <w:lang w:val="en-GB" w:eastAsia="en-SG"/>
        </w:rPr>
        <w:t>provides details on the resources remaining capacity and time remaining to act.</w:t>
      </w:r>
    </w:p>
    <w:p w14:paraId="30AEF88B" w14:textId="77777777" w:rsidR="00F33D67" w:rsidRPr="00A452F2" w:rsidRDefault="00F33D67" w:rsidP="00AC6E1E">
      <w:pPr>
        <w:pStyle w:val="Heading4"/>
      </w:pPr>
      <w:r w:rsidRPr="00A452F2">
        <w:t>Capacity Summary</w:t>
      </w:r>
    </w:p>
    <w:p w14:paraId="4381CAC2" w14:textId="77777777" w:rsidR="00F33D67" w:rsidRPr="00A452F2" w:rsidRDefault="00F33D67" w:rsidP="00F33D67">
      <w:pPr>
        <w:rPr>
          <w:lang w:val="en-GB" w:eastAsia="en-SG"/>
        </w:rPr>
      </w:pPr>
      <w:r>
        <w:rPr>
          <w:lang w:val="en-GB" w:eastAsia="en-SG"/>
        </w:rPr>
        <w:t xml:space="preserve">This </w:t>
      </w:r>
      <w:r w:rsidRPr="00A452F2">
        <w:rPr>
          <w:lang w:val="en-GB" w:eastAsia="en-SG"/>
        </w:rPr>
        <w:t xml:space="preserve">dashboard is used by the Ops team to explain capacity to the IT Management team. </w:t>
      </w:r>
      <w:r>
        <w:rPr>
          <w:lang w:val="en-GB" w:eastAsia="en-SG"/>
        </w:rPr>
        <w:t xml:space="preserve">It </w:t>
      </w:r>
      <w:r w:rsidRPr="00A452F2">
        <w:rPr>
          <w:lang w:val="en-GB" w:eastAsia="en-SG"/>
        </w:rPr>
        <w:t xml:space="preserve">works together with the </w:t>
      </w:r>
      <w:r w:rsidRPr="00A452F2">
        <w:rPr>
          <w:b/>
          <w:bCs/>
          <w:lang w:val="en-GB"/>
        </w:rPr>
        <w:t>Inventory Summary</w:t>
      </w:r>
      <w:r w:rsidRPr="00A452F2">
        <w:rPr>
          <w:lang w:val="en-GB"/>
        </w:rPr>
        <w:t xml:space="preserve"> dashboard</w:t>
      </w:r>
      <w:r w:rsidRPr="00A452F2">
        <w:rPr>
          <w:lang w:val="en-GB" w:eastAsia="en-SG"/>
        </w:rPr>
        <w:t>. The inventory provides details on available resources and what is running on these resources. The capacity provides details on the remaining capacity and time.</w:t>
      </w:r>
    </w:p>
    <w:p w14:paraId="654C3B48" w14:textId="77777777" w:rsidR="00F33D67" w:rsidRPr="00A452F2" w:rsidRDefault="00F33D67" w:rsidP="00F33D67">
      <w:pPr>
        <w:rPr>
          <w:lang w:val="en-GB"/>
        </w:rPr>
      </w:pPr>
      <w:r w:rsidRPr="00A452F2">
        <w:rPr>
          <w:lang w:val="en-GB"/>
        </w:rPr>
        <w:t xml:space="preserve">See the Executive Summary Dashboards page for common design consideration among all the dashboards for IT senior management. </w:t>
      </w:r>
    </w:p>
    <w:p w14:paraId="388B2BF2" w14:textId="77777777" w:rsidR="00F33D67" w:rsidRPr="00A452F2" w:rsidRDefault="00F33D67" w:rsidP="00E7573A">
      <w:pPr>
        <w:pStyle w:val="Heading5"/>
      </w:pPr>
      <w:r w:rsidRPr="00A452F2">
        <w:t>How to Use</w:t>
      </w:r>
    </w:p>
    <w:p w14:paraId="4E21C73E" w14:textId="77777777" w:rsidR="00F33D67" w:rsidRPr="00A452F2" w:rsidRDefault="00F33D67" w:rsidP="00F33D67">
      <w:pPr>
        <w:rPr>
          <w:lang w:val="en-GB"/>
        </w:rPr>
      </w:pPr>
      <w:r w:rsidRPr="00A452F2">
        <w:rPr>
          <w:lang w:val="en-GB"/>
        </w:rPr>
        <w:t>The dashboard has 2 sections.</w:t>
      </w:r>
    </w:p>
    <w:p w14:paraId="00E577AF" w14:textId="77777777" w:rsidR="00F33D67" w:rsidRPr="00A452F2" w:rsidRDefault="00F33D67" w:rsidP="00F33D67">
      <w:pPr>
        <w:pStyle w:val="ListParagraph"/>
        <w:numPr>
          <w:ilvl w:val="0"/>
          <w:numId w:val="2"/>
        </w:numPr>
        <w:rPr>
          <w:lang w:val="en-GB"/>
        </w:rPr>
      </w:pPr>
      <w:r w:rsidRPr="00A452F2">
        <w:rPr>
          <w:lang w:val="en-GB"/>
        </w:rPr>
        <w:t>The top section provides summary at the vSphere World level.</w:t>
      </w:r>
    </w:p>
    <w:p w14:paraId="7E2D2619" w14:textId="77777777" w:rsidR="00F33D67" w:rsidRPr="00A452F2" w:rsidRDefault="00F33D67" w:rsidP="00F33D67">
      <w:pPr>
        <w:pStyle w:val="ListParagraph"/>
        <w:numPr>
          <w:ilvl w:val="0"/>
          <w:numId w:val="2"/>
        </w:numPr>
        <w:rPr>
          <w:lang w:val="en-GB"/>
        </w:rPr>
      </w:pPr>
      <w:r w:rsidRPr="00A452F2">
        <w:rPr>
          <w:lang w:val="en-GB"/>
        </w:rPr>
        <w:t>The bottom section enables drill down into individual compute or storage capacity</w:t>
      </w:r>
    </w:p>
    <w:p w14:paraId="251B8FC3" w14:textId="77777777" w:rsidR="00F33D67" w:rsidRDefault="00F33D67" w:rsidP="00F33D67">
      <w:pPr>
        <w:rPr>
          <w:lang w:val="en-GB"/>
        </w:rPr>
      </w:pPr>
      <w:r>
        <w:rPr>
          <w:noProof/>
        </w:rPr>
        <w:drawing>
          <wp:inline distT="0" distB="0" distL="0" distR="0" wp14:anchorId="044751EF" wp14:editId="34F7DF2F">
            <wp:extent cx="6645910" cy="2122170"/>
            <wp:effectExtent l="0" t="0" r="254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67"/>
                    <pic:cNvPicPr/>
                  </pic:nvPicPr>
                  <pic:blipFill>
                    <a:blip r:embed="rId1341">
                      <a:extLst>
                        <a:ext uri="{28A0092B-C50C-407E-A947-70E740481C1C}">
                          <a14:useLocalDpi xmlns:a14="http://schemas.microsoft.com/office/drawing/2010/main" val="0"/>
                        </a:ext>
                      </a:extLst>
                    </a:blip>
                    <a:stretch>
                      <a:fillRect/>
                    </a:stretch>
                  </pic:blipFill>
                  <pic:spPr>
                    <a:xfrm>
                      <a:off x="0" y="0"/>
                      <a:ext cx="6645910" cy="2122170"/>
                    </a:xfrm>
                    <a:prstGeom prst="rect">
                      <a:avLst/>
                    </a:prstGeom>
                  </pic:spPr>
                </pic:pic>
              </a:graphicData>
            </a:graphic>
          </wp:inline>
        </w:drawing>
      </w:r>
    </w:p>
    <w:p w14:paraId="2D66E277" w14:textId="77777777" w:rsidR="00F33D67" w:rsidRPr="00A452F2" w:rsidRDefault="00F33D67" w:rsidP="00F33D67">
      <w:pPr>
        <w:rPr>
          <w:lang w:val="en-GB"/>
        </w:rPr>
      </w:pPr>
      <w:r w:rsidRPr="00A452F2">
        <w:rPr>
          <w:lang w:val="en-GB"/>
        </w:rPr>
        <w:t>The weekly average of VM growth is displayed to provide holistic visibility of overall growth across all Data centers for both running and powered off workloads. If the increase in VM count is not accompanied by corresponding increase in utilization, these newly provisioned VMs are likely not yet used.</w:t>
      </w:r>
    </w:p>
    <w:p w14:paraId="5F0AB2AA" w14:textId="77777777" w:rsidR="00F33D67" w:rsidRDefault="00F33D67" w:rsidP="00F33D67">
      <w:pPr>
        <w:rPr>
          <w:lang w:val="en-GB"/>
        </w:rPr>
      </w:pPr>
      <w:r w:rsidRPr="00A452F2">
        <w:rPr>
          <w:lang w:val="en-GB"/>
        </w:rPr>
        <w:lastRenderedPageBreak/>
        <w:t xml:space="preserve">Overcommit Ratio highlights the efficiency gained by vSphere virtualization running multiple workloads on shared infrastructure. It is important to note that overcommitment needs to be further reviewed in conjunction with elevated resource contention (refer to contention dashboards) to understand the performance impact when running VMs competing for resources. In general, Overcommit is required to be financially more economical than the public cloud. As a reference, AWS typically overcommits CPU 2:1 by counting the hyper-threading and does not overcommit memory. Note: vRealize Operations uses Physical CPU Cores not Logical Cores (Hyper-threading) for all CPU-based capacity calculations </w:t>
      </w:r>
    </w:p>
    <w:p w14:paraId="38750FE1" w14:textId="77777777" w:rsidR="00F33D67" w:rsidRDefault="00F33D67" w:rsidP="00F33D67">
      <w:pPr>
        <w:rPr>
          <w:lang w:val="en-GB"/>
        </w:rPr>
      </w:pPr>
      <w:r>
        <w:rPr>
          <w:lang w:val="en-GB"/>
        </w:rPr>
        <w:t xml:space="preserve">The bottom part of the dashboard is split into 2 columns: </w:t>
      </w:r>
    </w:p>
    <w:p w14:paraId="7DEF08B2" w14:textId="77777777" w:rsidR="00F33D67" w:rsidRDefault="00F33D67" w:rsidP="00F33D67">
      <w:pPr>
        <w:pStyle w:val="Bullet"/>
        <w:rPr>
          <w:lang w:val="en-GB"/>
        </w:rPr>
      </w:pPr>
      <w:r>
        <w:rPr>
          <w:lang w:val="en-GB"/>
        </w:rPr>
        <w:t xml:space="preserve">compute </w:t>
      </w:r>
    </w:p>
    <w:p w14:paraId="562D8C53" w14:textId="77777777" w:rsidR="00F33D67" w:rsidRDefault="00F33D67" w:rsidP="00F33D67">
      <w:pPr>
        <w:pStyle w:val="Bullet"/>
        <w:rPr>
          <w:lang w:val="en-GB"/>
        </w:rPr>
      </w:pPr>
      <w:r>
        <w:rPr>
          <w:lang w:val="en-GB"/>
        </w:rPr>
        <w:t xml:space="preserve">storage. </w:t>
      </w:r>
    </w:p>
    <w:p w14:paraId="2C6D2924" w14:textId="77777777" w:rsidR="00F33D67" w:rsidRDefault="00F33D67" w:rsidP="00F33D67">
      <w:pPr>
        <w:rPr>
          <w:lang w:val="en-GB"/>
        </w:rPr>
      </w:pPr>
      <w:r>
        <w:rPr>
          <w:lang w:val="en-GB"/>
        </w:rPr>
        <w:t>Network is not added due to its nature. It’s an interconnect, not nodes, so capacity is much harder to compute.</w:t>
      </w:r>
    </w:p>
    <w:p w14:paraId="72D00D83" w14:textId="77777777" w:rsidR="00F33D67" w:rsidRDefault="00F33D67" w:rsidP="00F33D67">
      <w:pPr>
        <w:rPr>
          <w:lang w:val="en-GB"/>
        </w:rPr>
      </w:pPr>
      <w:r>
        <w:rPr>
          <w:lang w:val="en-GB"/>
        </w:rPr>
        <w:t xml:space="preserve">The dashboard uses the term compute (and not vSphere Cluster) and storage (and not vSphere datastore) to keep the visual simple. </w:t>
      </w:r>
    </w:p>
    <w:p w14:paraId="32A346B6" w14:textId="77777777" w:rsidR="00F33D67" w:rsidRPr="00A452F2" w:rsidRDefault="00F33D67" w:rsidP="00F33D67">
      <w:pPr>
        <w:rPr>
          <w:lang w:val="en-GB"/>
        </w:rPr>
      </w:pPr>
      <w:r>
        <w:rPr>
          <w:lang w:val="en-GB"/>
        </w:rPr>
        <w:t xml:space="preserve">The two columns have identical design. </w:t>
      </w:r>
      <w:r w:rsidRPr="00A452F2">
        <w:rPr>
          <w:lang w:val="en-GB"/>
        </w:rPr>
        <w:t xml:space="preserve">The </w:t>
      </w:r>
      <w:r>
        <w:rPr>
          <w:lang w:val="en-GB"/>
        </w:rPr>
        <w:t>h</w:t>
      </w:r>
      <w:r w:rsidRPr="00A452F2">
        <w:rPr>
          <w:lang w:val="en-GB"/>
        </w:rPr>
        <w:t xml:space="preserve">eat map displays capacity by size and </w:t>
      </w:r>
      <w:r>
        <w:rPr>
          <w:lang w:val="en-GB"/>
        </w:rPr>
        <w:t>color</w:t>
      </w:r>
      <w:r w:rsidRPr="00A452F2">
        <w:rPr>
          <w:lang w:val="en-GB"/>
        </w:rPr>
        <w:t xml:space="preserve">ed by time remaining. </w:t>
      </w:r>
      <w:r>
        <w:rPr>
          <w:lang w:val="en-GB"/>
        </w:rPr>
        <w:t xml:space="preserve">However, for compute the </w:t>
      </w:r>
      <w:r w:rsidRPr="00A452F2">
        <w:rPr>
          <w:lang w:val="en-GB"/>
        </w:rPr>
        <w:t xml:space="preserve">size </w:t>
      </w:r>
      <w:r>
        <w:rPr>
          <w:lang w:val="en-GB"/>
        </w:rPr>
        <w:t xml:space="preserve">of each box in the heat map </w:t>
      </w:r>
      <w:r w:rsidRPr="00A452F2">
        <w:rPr>
          <w:lang w:val="en-GB"/>
        </w:rPr>
        <w:t>is fixed as there is no single metric to represent the size. A cluster size can be measured in 4 different ways (No of ESXi Hosts, Total CPU GHz, Total CPU cores, and Total Memory).</w:t>
      </w:r>
    </w:p>
    <w:p w14:paraId="3CDC9227" w14:textId="77777777" w:rsidR="00F33D67" w:rsidRPr="00A452F2" w:rsidRDefault="00F33D67" w:rsidP="00F33D67">
      <w:pPr>
        <w:rPr>
          <w:lang w:val="en-GB"/>
        </w:rPr>
      </w:pPr>
      <w:r>
        <w:rPr>
          <w:lang w:val="en-GB"/>
        </w:rPr>
        <w:t>Here is what the compute portion looks like. The heat map is interactive. By s</w:t>
      </w:r>
      <w:r w:rsidRPr="00A452F2">
        <w:rPr>
          <w:lang w:val="en-GB"/>
        </w:rPr>
        <w:t xml:space="preserve">electing </w:t>
      </w:r>
      <w:r>
        <w:rPr>
          <w:lang w:val="en-GB"/>
        </w:rPr>
        <w:t>one of the cluster</w:t>
      </w:r>
      <w:r w:rsidRPr="00A452F2">
        <w:rPr>
          <w:lang w:val="en-GB"/>
        </w:rPr>
        <w:t>, you can further drill-down to clearly understand remaining capacity and time (in days).</w:t>
      </w:r>
    </w:p>
    <w:p w14:paraId="74DFBA6E" w14:textId="77777777" w:rsidR="00F33D67" w:rsidRDefault="00F33D67" w:rsidP="00F33D67">
      <w:pPr>
        <w:jc w:val="center"/>
        <w:rPr>
          <w:lang w:val="en-GB"/>
        </w:rPr>
      </w:pPr>
      <w:r>
        <w:rPr>
          <w:noProof/>
        </w:rPr>
        <w:drawing>
          <wp:inline distT="0" distB="0" distL="0" distR="0" wp14:anchorId="186696C8" wp14:editId="2439D4F5">
            <wp:extent cx="5055545" cy="4735286"/>
            <wp:effectExtent l="0" t="0" r="0" b="8255"/>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68"/>
                    <pic:cNvPicPr/>
                  </pic:nvPicPr>
                  <pic:blipFill>
                    <a:blip r:embed="rId1342" cstate="print">
                      <a:extLst>
                        <a:ext uri="{28A0092B-C50C-407E-A947-70E740481C1C}">
                          <a14:useLocalDpi xmlns:a14="http://schemas.microsoft.com/office/drawing/2010/main" val="0"/>
                        </a:ext>
                      </a:extLst>
                    </a:blip>
                    <a:stretch>
                      <a:fillRect/>
                    </a:stretch>
                  </pic:blipFill>
                  <pic:spPr>
                    <a:xfrm>
                      <a:off x="0" y="0"/>
                      <a:ext cx="5056876" cy="4736533"/>
                    </a:xfrm>
                    <a:prstGeom prst="rect">
                      <a:avLst/>
                    </a:prstGeom>
                  </pic:spPr>
                </pic:pic>
              </a:graphicData>
            </a:graphic>
          </wp:inline>
        </w:drawing>
      </w:r>
    </w:p>
    <w:p w14:paraId="46000D1D" w14:textId="77777777" w:rsidR="00F33D67" w:rsidRPr="00A452F2" w:rsidRDefault="00F33D67" w:rsidP="00F33D67">
      <w:pPr>
        <w:rPr>
          <w:lang w:val="en-GB"/>
        </w:rPr>
      </w:pPr>
      <w:r>
        <w:rPr>
          <w:lang w:val="en-GB"/>
        </w:rPr>
        <w:lastRenderedPageBreak/>
        <w:t>Here is what the storage portion looks like. They are designed to be similar</w:t>
      </w:r>
    </w:p>
    <w:p w14:paraId="0B03F4D2" w14:textId="77777777" w:rsidR="00F33D67" w:rsidRDefault="00F33D67" w:rsidP="00F33D67">
      <w:pPr>
        <w:jc w:val="center"/>
        <w:rPr>
          <w:lang w:val="en-GB"/>
        </w:rPr>
      </w:pPr>
      <w:r>
        <w:rPr>
          <w:noProof/>
        </w:rPr>
        <w:drawing>
          <wp:inline distT="0" distB="0" distL="0" distR="0" wp14:anchorId="33738334" wp14:editId="59AB8E66">
            <wp:extent cx="4987193" cy="4582153"/>
            <wp:effectExtent l="0" t="0" r="4445" b="9525"/>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269"/>
                    <pic:cNvPicPr/>
                  </pic:nvPicPr>
                  <pic:blipFill>
                    <a:blip r:embed="rId1343" cstate="print">
                      <a:extLst>
                        <a:ext uri="{28A0092B-C50C-407E-A947-70E740481C1C}">
                          <a14:useLocalDpi xmlns:a14="http://schemas.microsoft.com/office/drawing/2010/main" val="0"/>
                        </a:ext>
                      </a:extLst>
                    </a:blip>
                    <a:stretch>
                      <a:fillRect/>
                    </a:stretch>
                  </pic:blipFill>
                  <pic:spPr>
                    <a:xfrm>
                      <a:off x="0" y="0"/>
                      <a:ext cx="4995045" cy="4589367"/>
                    </a:xfrm>
                    <a:prstGeom prst="rect">
                      <a:avLst/>
                    </a:prstGeom>
                  </pic:spPr>
                </pic:pic>
              </a:graphicData>
            </a:graphic>
          </wp:inline>
        </w:drawing>
      </w:r>
    </w:p>
    <w:p w14:paraId="31D3C341" w14:textId="77777777" w:rsidR="00F33D67" w:rsidRPr="00A452F2" w:rsidRDefault="00F33D67" w:rsidP="00E7573A">
      <w:pPr>
        <w:pStyle w:val="Heading5"/>
      </w:pPr>
      <w:r w:rsidRPr="00A452F2">
        <w:t>Points to Note</w:t>
      </w:r>
    </w:p>
    <w:p w14:paraId="23F65979" w14:textId="77777777" w:rsidR="00F33D67" w:rsidRPr="007F3B25" w:rsidRDefault="00F33D67" w:rsidP="00F33D67">
      <w:pPr>
        <w:pStyle w:val="Bullet"/>
      </w:pPr>
      <w:r w:rsidRPr="00A452F2">
        <w:rPr>
          <w:lang w:val="en-GB"/>
        </w:rPr>
        <w:t xml:space="preserve">Capacity </w:t>
      </w:r>
      <w:r w:rsidRPr="007F3B25">
        <w:t>Remaining is not shown at the world level as it could be misleading, especially in global or large infrastructure. Clusters also tend to serve different purpose, and they are not interchangeable.</w:t>
      </w:r>
      <w:r>
        <w:t xml:space="preserve"> </w:t>
      </w:r>
    </w:p>
    <w:p w14:paraId="3CD34E06" w14:textId="77777777" w:rsidR="00F33D67" w:rsidRPr="00A452F2" w:rsidRDefault="00F33D67" w:rsidP="00F33D67">
      <w:pPr>
        <w:pStyle w:val="Bullet"/>
        <w:rPr>
          <w:lang w:val="en-GB"/>
        </w:rPr>
      </w:pPr>
      <w:r w:rsidRPr="007F3B25">
        <w:t>If you are using both on-prem and external cloud, for example, VMware on AWS, consider splitting the dashboard i</w:t>
      </w:r>
      <w:r w:rsidRPr="00A452F2">
        <w:rPr>
          <w:lang w:val="en-GB"/>
        </w:rPr>
        <w:t>nto 2 columns</w:t>
      </w:r>
      <w:r>
        <w:rPr>
          <w:lang w:val="en-GB"/>
        </w:rPr>
        <w:t>. You would need extra screen real estate though.</w:t>
      </w:r>
    </w:p>
    <w:p w14:paraId="3686A99D" w14:textId="4B33E34C" w:rsidR="001676B4" w:rsidRDefault="001676B4" w:rsidP="00540F68">
      <w:pPr>
        <w:pStyle w:val="Heading3"/>
      </w:pPr>
      <w:r>
        <w:t>Role-based Dashboard</w:t>
      </w:r>
    </w:p>
    <w:p w14:paraId="20A3ADB5" w14:textId="27075E90" w:rsidR="00306AB4" w:rsidRPr="00306AB4" w:rsidRDefault="00306AB4" w:rsidP="00306AB4">
      <w:pPr>
        <w:rPr>
          <w:lang w:val="en-GB"/>
        </w:rPr>
      </w:pPr>
      <w:r>
        <w:rPr>
          <w:lang w:val="en-GB"/>
        </w:rPr>
        <w:t>Different team in organisation are interested in different things</w:t>
      </w:r>
      <w:r w:rsidR="003949C6">
        <w:rPr>
          <w:lang w:val="en-GB"/>
        </w:rPr>
        <w:t>, so creating a purpose-built dashboard helps them.</w:t>
      </w:r>
    </w:p>
    <w:p w14:paraId="2D1C8687" w14:textId="12BD88E4" w:rsidR="003F3230" w:rsidRPr="00A452F2" w:rsidRDefault="003F3230" w:rsidP="00AC6E1E">
      <w:pPr>
        <w:pStyle w:val="Heading4"/>
      </w:pPr>
      <w:r w:rsidRPr="00A452F2">
        <w:lastRenderedPageBreak/>
        <w:t xml:space="preserve">Storage </w:t>
      </w:r>
      <w:r w:rsidR="00CA5234">
        <w:t>T</w:t>
      </w:r>
      <w:r w:rsidRPr="00A452F2">
        <w:t>eam</w:t>
      </w:r>
    </w:p>
    <w:p w14:paraId="2DD9CD4B" w14:textId="1FC0F805" w:rsidR="00AD5374" w:rsidRPr="00AD5374" w:rsidRDefault="00AD5374" w:rsidP="00AD5374">
      <w:pPr>
        <w:rPr>
          <w:lang w:val="en-GB"/>
        </w:rPr>
      </w:pPr>
      <w:r w:rsidRPr="00AD5374">
        <w:rPr>
          <w:lang w:val="en-GB"/>
        </w:rPr>
        <w:t>Ask any Storage Team and Platform Team whether the collaboration between them can be improved by a mile, and you are likely to get a nod. One reason for this issue is there is lack of common visibility. You need to see the same thing if you want to collaborate. Storage Team do not get always get access vSphere. Even if they do, vCenter UI is not designed for Storage team. It is designed for VMware Admin.</w:t>
      </w:r>
    </w:p>
    <w:p w14:paraId="4281D119" w14:textId="154880A6" w:rsidR="00AD5374" w:rsidRPr="00AD5374" w:rsidRDefault="00AD5374" w:rsidP="00AD5374">
      <w:pPr>
        <w:rPr>
          <w:lang w:val="en-GB"/>
        </w:rPr>
      </w:pPr>
      <w:r w:rsidRPr="00AD5374">
        <w:rPr>
          <w:lang w:val="en-GB"/>
        </w:rPr>
        <w:t>vRealize Operations and Log Insight can bridge that providing a set of read-only, purpose-built dashboards, that answer common questions such as:</w:t>
      </w:r>
    </w:p>
    <w:p w14:paraId="676E6478" w14:textId="1AC0849F" w:rsidR="00AD5374" w:rsidRPr="0019486B" w:rsidRDefault="00AD5374" w:rsidP="00E64319">
      <w:pPr>
        <w:pStyle w:val="Bullet"/>
        <w:rPr>
          <w:lang w:val="en-GB"/>
        </w:rPr>
      </w:pPr>
      <w:r w:rsidRPr="0019486B">
        <w:rPr>
          <w:lang w:val="en-GB"/>
        </w:rPr>
        <w:t xml:space="preserve">When a VM Owner complains, can we </w:t>
      </w:r>
      <w:r w:rsidR="00343199">
        <w:rPr>
          <w:lang w:val="en-GB"/>
        </w:rPr>
        <w:t>agree</w:t>
      </w:r>
      <w:r w:rsidRPr="0019486B">
        <w:rPr>
          <w:lang w:val="en-GB"/>
        </w:rPr>
        <w:t xml:space="preserve"> if it’s a storage issue within 1 minute?</w:t>
      </w:r>
      <w:r w:rsidR="0019486B" w:rsidRPr="0019486B">
        <w:rPr>
          <w:lang w:val="en-GB"/>
        </w:rPr>
        <w:t xml:space="preserve"> This will help reducing</w:t>
      </w:r>
      <w:r w:rsidR="0019486B">
        <w:rPr>
          <w:lang w:val="en-GB"/>
        </w:rPr>
        <w:t xml:space="preserve"> the</w:t>
      </w:r>
      <w:r w:rsidRPr="0019486B">
        <w:rPr>
          <w:lang w:val="en-GB"/>
        </w:rPr>
        <w:t xml:space="preserve"> ping pong </w:t>
      </w:r>
      <w:r w:rsidR="0019486B">
        <w:rPr>
          <w:lang w:val="en-GB"/>
        </w:rPr>
        <w:t xml:space="preserve">game </w:t>
      </w:r>
      <w:r w:rsidRPr="0019486B">
        <w:rPr>
          <w:lang w:val="en-GB"/>
        </w:rPr>
        <w:t xml:space="preserve">between VM Owner, vSphere Admin, </w:t>
      </w:r>
      <w:r w:rsidR="0019486B">
        <w:rPr>
          <w:lang w:val="en-GB"/>
        </w:rPr>
        <w:t xml:space="preserve">and </w:t>
      </w:r>
      <w:r w:rsidRPr="0019486B">
        <w:rPr>
          <w:lang w:val="en-GB"/>
        </w:rPr>
        <w:t>Storage Admin</w:t>
      </w:r>
      <w:r w:rsidR="0019486B">
        <w:rPr>
          <w:lang w:val="en-GB"/>
        </w:rPr>
        <w:t>.</w:t>
      </w:r>
    </w:p>
    <w:p w14:paraId="27485013" w14:textId="05ACAA54" w:rsidR="00AD5374" w:rsidRPr="004570C5" w:rsidRDefault="00AD5374" w:rsidP="00E64319">
      <w:pPr>
        <w:pStyle w:val="Bullet"/>
        <w:rPr>
          <w:lang w:val="en-GB"/>
        </w:rPr>
      </w:pPr>
      <w:r w:rsidRPr="004570C5">
        <w:rPr>
          <w:lang w:val="en-GB"/>
        </w:rPr>
        <w:t>Is the Storage serving all the VMs well?</w:t>
      </w:r>
      <w:r w:rsidR="0019486B" w:rsidRPr="004570C5">
        <w:rPr>
          <w:lang w:val="en-GB"/>
        </w:rPr>
        <w:t xml:space="preserve"> </w:t>
      </w:r>
      <w:r w:rsidRPr="004570C5">
        <w:rPr>
          <w:lang w:val="en-GB"/>
        </w:rPr>
        <w:t>If not, who are affected, when and how bad? Read or Write?</w:t>
      </w:r>
      <w:r w:rsidR="004570C5" w:rsidRPr="004570C5">
        <w:rPr>
          <w:lang w:val="en-GB"/>
        </w:rPr>
        <w:t xml:space="preserve"> </w:t>
      </w:r>
      <w:r w:rsidRPr="004570C5">
        <w:rPr>
          <w:lang w:val="en-GB"/>
        </w:rPr>
        <w:t>The answer has to be tier based, as Tier 1 VM expects lower latency than Tier 3</w:t>
      </w:r>
      <w:r w:rsidR="004570C5">
        <w:rPr>
          <w:lang w:val="en-GB"/>
        </w:rPr>
        <w:t>.</w:t>
      </w:r>
    </w:p>
    <w:p w14:paraId="2CF4FDA8" w14:textId="5B0FCCD5" w:rsidR="00AD5374" w:rsidRPr="004570C5" w:rsidRDefault="00AD5374" w:rsidP="00E64319">
      <w:pPr>
        <w:pStyle w:val="Bullet"/>
        <w:rPr>
          <w:lang w:val="en-GB"/>
        </w:rPr>
      </w:pPr>
      <w:r w:rsidRPr="004570C5">
        <w:rPr>
          <w:lang w:val="en-GB"/>
        </w:rPr>
        <w:t>What’s the total demand hitting the array? Are they growing fast</w:t>
      </w:r>
      <w:r w:rsidR="004570C5" w:rsidRPr="004570C5">
        <w:rPr>
          <w:lang w:val="en-GB"/>
        </w:rPr>
        <w:t xml:space="preserve"> and becoming a risk</w:t>
      </w:r>
      <w:r w:rsidRPr="004570C5">
        <w:rPr>
          <w:lang w:val="en-GB"/>
        </w:rPr>
        <w:t>?</w:t>
      </w:r>
      <w:r w:rsidR="004570C5" w:rsidRPr="004570C5">
        <w:rPr>
          <w:lang w:val="en-GB"/>
        </w:rPr>
        <w:t xml:space="preserve"> </w:t>
      </w:r>
      <w:r w:rsidRPr="004570C5">
        <w:rPr>
          <w:lang w:val="en-GB"/>
        </w:rPr>
        <w:t>Who are the heavy hitters among the VMs?</w:t>
      </w:r>
    </w:p>
    <w:p w14:paraId="096B022E" w14:textId="202C65CC" w:rsidR="00AD5374" w:rsidRPr="004570C5" w:rsidRDefault="00AD5374" w:rsidP="00E64319">
      <w:pPr>
        <w:pStyle w:val="Bullet"/>
        <w:rPr>
          <w:lang w:val="en-GB"/>
        </w:rPr>
      </w:pPr>
      <w:r w:rsidRPr="004570C5">
        <w:rPr>
          <w:lang w:val="en-GB"/>
        </w:rPr>
        <w:t>When &amp; where are we running out of capacity?</w:t>
      </w:r>
      <w:r w:rsidR="004570C5" w:rsidRPr="004570C5">
        <w:rPr>
          <w:lang w:val="en-GB"/>
        </w:rPr>
        <w:t xml:space="preserve"> </w:t>
      </w:r>
      <w:r w:rsidRPr="004570C5">
        <w:rPr>
          <w:lang w:val="en-GB"/>
        </w:rPr>
        <w:t>How much disk space can be reclaimed? From which VMs?</w:t>
      </w:r>
    </w:p>
    <w:p w14:paraId="3F4355F6" w14:textId="3F93EF23" w:rsidR="00AD5374" w:rsidRPr="004570C5" w:rsidRDefault="00AD5374" w:rsidP="00E64319">
      <w:pPr>
        <w:pStyle w:val="Bullet"/>
        <w:rPr>
          <w:lang w:val="en-GB"/>
        </w:rPr>
      </w:pPr>
      <w:r w:rsidRPr="004570C5">
        <w:rPr>
          <w:lang w:val="en-GB"/>
        </w:rPr>
        <w:t>What have we got?</w:t>
      </w:r>
      <w:r w:rsidR="004570C5" w:rsidRPr="004570C5">
        <w:rPr>
          <w:lang w:val="en-GB"/>
        </w:rPr>
        <w:t xml:space="preserve"> </w:t>
      </w:r>
      <w:r w:rsidRPr="004570C5">
        <w:rPr>
          <w:lang w:val="en-GB"/>
        </w:rPr>
        <w:t>Are they consistently configured?</w:t>
      </w:r>
    </w:p>
    <w:p w14:paraId="3A61B745" w14:textId="4F2E9CFB" w:rsidR="003F3230" w:rsidRDefault="00AD5374" w:rsidP="00AD5374">
      <w:pPr>
        <w:rPr>
          <w:lang w:val="en-GB"/>
        </w:rPr>
      </w:pPr>
      <w:r w:rsidRPr="4CAB3972">
        <w:rPr>
          <w:lang w:val="en-GB"/>
        </w:rPr>
        <w:t xml:space="preserve">The questions above cover the main areas of SDDC Operations, such as performance, capacity, configuration and availability. They enable joint troubleshooting, capacity planning, performance monitoring. For better collaboration, add </w:t>
      </w:r>
      <w:r w:rsidR="00E80731" w:rsidRPr="4CAB3972">
        <w:rPr>
          <w:lang w:val="en-GB"/>
        </w:rPr>
        <w:t>physical array monitoring into vRealize Operations and Log Insight</w:t>
      </w:r>
      <w:r w:rsidRPr="4CAB3972">
        <w:rPr>
          <w:lang w:val="en-GB"/>
        </w:rPr>
        <w:t xml:space="preserve">, so you can </w:t>
      </w:r>
      <w:r w:rsidR="004C3B02">
        <w:rPr>
          <w:lang w:val="en-GB"/>
        </w:rPr>
        <w:t>analyze</w:t>
      </w:r>
      <w:r w:rsidRPr="4CAB3972">
        <w:rPr>
          <w:lang w:val="en-GB"/>
        </w:rPr>
        <w:t xml:space="preserve"> physical arrays and fabrics, and then correlate back with vSphere.</w:t>
      </w:r>
    </w:p>
    <w:p w14:paraId="3CD3BBB4" w14:textId="34B8BF0B" w:rsidR="00951A41" w:rsidRPr="00951A41" w:rsidRDefault="00951A41" w:rsidP="00951A41">
      <w:pPr>
        <w:rPr>
          <w:lang w:val="en-GB"/>
        </w:rPr>
      </w:pPr>
      <w:r w:rsidRPr="00951A41">
        <w:rPr>
          <w:lang w:val="en-GB"/>
        </w:rPr>
        <w:t>The dashboard</w:t>
      </w:r>
      <w:r w:rsidR="000D2152">
        <w:rPr>
          <w:lang w:val="en-GB"/>
        </w:rPr>
        <w:t>s should</w:t>
      </w:r>
      <w:r w:rsidRPr="00951A41">
        <w:rPr>
          <w:lang w:val="en-GB"/>
        </w:rPr>
        <w:t xml:space="preserve"> provide overall visibility to Storage team. </w:t>
      </w:r>
      <w:r w:rsidR="000D2152">
        <w:rPr>
          <w:lang w:val="en-GB"/>
        </w:rPr>
        <w:t xml:space="preserve">They </w:t>
      </w:r>
      <w:r w:rsidRPr="00951A41">
        <w:rPr>
          <w:lang w:val="en-GB"/>
        </w:rPr>
        <w:t>give insight into the SDDC by showing relevant objects</w:t>
      </w:r>
      <w:r>
        <w:rPr>
          <w:lang w:val="en-GB"/>
        </w:rPr>
        <w:t xml:space="preserve"> by: </w:t>
      </w:r>
    </w:p>
    <w:p w14:paraId="21D4BB0A" w14:textId="41552AFF" w:rsidR="00951A41" w:rsidRPr="00951A41" w:rsidRDefault="00951A41" w:rsidP="00951A41">
      <w:pPr>
        <w:pStyle w:val="Bullet"/>
        <w:rPr>
          <w:lang w:val="en-GB"/>
        </w:rPr>
      </w:pPr>
      <w:r w:rsidRPr="00951A41">
        <w:rPr>
          <w:lang w:val="en-GB"/>
        </w:rPr>
        <w:t>quickly show</w:t>
      </w:r>
      <w:r>
        <w:rPr>
          <w:lang w:val="en-GB"/>
        </w:rPr>
        <w:t>ing</w:t>
      </w:r>
      <w:r w:rsidRPr="00951A41">
        <w:rPr>
          <w:lang w:val="en-GB"/>
        </w:rPr>
        <w:t xml:space="preserve"> the summary of key information.</w:t>
      </w:r>
    </w:p>
    <w:p w14:paraId="79182F84" w14:textId="50A7A02E" w:rsidR="00951A41" w:rsidRPr="00951A41" w:rsidRDefault="00951A41" w:rsidP="00951A41">
      <w:pPr>
        <w:pStyle w:val="Bullet"/>
        <w:rPr>
          <w:lang w:val="en-GB"/>
        </w:rPr>
      </w:pPr>
      <w:r w:rsidRPr="00951A41">
        <w:rPr>
          <w:lang w:val="en-GB"/>
        </w:rPr>
        <w:t>show</w:t>
      </w:r>
      <w:r>
        <w:rPr>
          <w:lang w:val="en-GB"/>
        </w:rPr>
        <w:t>ing</w:t>
      </w:r>
      <w:r w:rsidRPr="00951A41">
        <w:rPr>
          <w:lang w:val="en-GB"/>
        </w:rPr>
        <w:t xml:space="preserve"> VM, datastore, datastore clusters, compute cluster, and </w:t>
      </w:r>
      <w:r w:rsidR="00C21454">
        <w:rPr>
          <w:lang w:val="en-GB"/>
        </w:rPr>
        <w:t>data center</w:t>
      </w:r>
      <w:r w:rsidRPr="00951A41">
        <w:rPr>
          <w:lang w:val="en-GB"/>
        </w:rPr>
        <w:t>. It shows their relationship, which you can interact and drill down.</w:t>
      </w:r>
    </w:p>
    <w:p w14:paraId="56181CAD" w14:textId="62E7882D" w:rsidR="000F2E21" w:rsidRDefault="00951A41" w:rsidP="00951A41">
      <w:pPr>
        <w:pStyle w:val="Bullet"/>
        <w:rPr>
          <w:lang w:val="en-GB"/>
        </w:rPr>
      </w:pPr>
      <w:r w:rsidRPr="00951A41">
        <w:rPr>
          <w:lang w:val="en-GB"/>
        </w:rPr>
        <w:t>show</w:t>
      </w:r>
      <w:r w:rsidR="008C20A5">
        <w:rPr>
          <w:lang w:val="en-GB"/>
        </w:rPr>
        <w:t>ing</w:t>
      </w:r>
      <w:r w:rsidRPr="00951A41">
        <w:rPr>
          <w:lang w:val="en-GB"/>
        </w:rPr>
        <w:t xml:space="preserve"> all the VMs, where they are located, how much space they are allocated, and how they are using it.</w:t>
      </w:r>
    </w:p>
    <w:p w14:paraId="676024D3" w14:textId="40EF235F" w:rsidR="008C20A5" w:rsidRPr="000F2E21" w:rsidRDefault="008C20A5" w:rsidP="00951A41">
      <w:pPr>
        <w:pStyle w:val="Bullet"/>
        <w:rPr>
          <w:lang w:val="en-GB"/>
        </w:rPr>
      </w:pPr>
      <w:r>
        <w:rPr>
          <w:lang w:val="en-GB"/>
        </w:rPr>
        <w:t>Showing physical arrays inventory and how they map into vSphere.</w:t>
      </w:r>
    </w:p>
    <w:p w14:paraId="2465D0F7" w14:textId="26EFD8DF" w:rsidR="00EA5CD2" w:rsidRDefault="00EA5CD2" w:rsidP="00AC6E1E">
      <w:pPr>
        <w:pStyle w:val="Heading4"/>
      </w:pPr>
      <w:r w:rsidRPr="00A452F2">
        <w:t>Network Team</w:t>
      </w:r>
    </w:p>
    <w:p w14:paraId="60F2DC2C" w14:textId="069F010B" w:rsidR="00D033A3" w:rsidRDefault="00D033A3" w:rsidP="00D033A3">
      <w:pPr>
        <w:rPr>
          <w:lang w:val="en-GB"/>
        </w:rPr>
      </w:pPr>
      <w:r w:rsidRPr="00D033A3">
        <w:rPr>
          <w:lang w:val="en-GB"/>
        </w:rPr>
        <w:t>Similar to the problem face between Storage Team and Platform Team, VMware Admin needs to reach out to Network Team. A set of purpose-built dashboards will enable both team</w:t>
      </w:r>
      <w:r w:rsidR="00897F6A">
        <w:rPr>
          <w:lang w:val="en-GB"/>
        </w:rPr>
        <w:t>s</w:t>
      </w:r>
      <w:r w:rsidRPr="00D033A3">
        <w:rPr>
          <w:lang w:val="en-GB"/>
        </w:rPr>
        <w:t xml:space="preserve"> to look at issue from the same point of view.</w:t>
      </w:r>
    </w:p>
    <w:p w14:paraId="1CF7B101" w14:textId="21284F9B" w:rsidR="00897F6A" w:rsidRDefault="00897F6A" w:rsidP="00D033A3">
      <w:pPr>
        <w:rPr>
          <w:lang w:val="en-GB"/>
        </w:rPr>
      </w:pPr>
      <w:r>
        <w:rPr>
          <w:lang w:val="en-GB"/>
        </w:rPr>
        <w:t xml:space="preserve">The world of network is highly complex, given its nature as interconnect. </w:t>
      </w:r>
    </w:p>
    <w:p w14:paraId="67224B06" w14:textId="3483CA32" w:rsidR="00D033A3" w:rsidRPr="00D033A3" w:rsidRDefault="00D033A3" w:rsidP="00D033A3">
      <w:pPr>
        <w:rPr>
          <w:lang w:val="en-GB"/>
        </w:rPr>
      </w:pPr>
      <w:r w:rsidRPr="00D033A3">
        <w:rPr>
          <w:lang w:val="en-GB"/>
        </w:rPr>
        <w:t>The dashboards must answer the following basic questions for Network Team:</w:t>
      </w:r>
    </w:p>
    <w:p w14:paraId="29A51367" w14:textId="0CAF8FFE" w:rsidR="00D033A3" w:rsidRPr="00D033A3" w:rsidRDefault="00D033A3" w:rsidP="001676B4">
      <w:pPr>
        <w:pStyle w:val="Bullet"/>
        <w:rPr>
          <w:lang w:val="en-GB"/>
        </w:rPr>
      </w:pPr>
      <w:r w:rsidRPr="00D033A3">
        <w:rPr>
          <w:lang w:val="en-GB"/>
        </w:rPr>
        <w:t>What have I got in this virtual environment?</w:t>
      </w:r>
    </w:p>
    <w:p w14:paraId="3CE61150" w14:textId="64612BCD" w:rsidR="00D033A3" w:rsidRPr="00D033A3" w:rsidRDefault="00D033A3" w:rsidP="00BB4B86">
      <w:pPr>
        <w:pStyle w:val="Bullet"/>
        <w:numPr>
          <w:ilvl w:val="1"/>
          <w:numId w:val="7"/>
        </w:numPr>
        <w:rPr>
          <w:lang w:val="en-GB"/>
        </w:rPr>
      </w:pPr>
      <w:r w:rsidRPr="00D033A3">
        <w:rPr>
          <w:lang w:val="en-GB"/>
        </w:rPr>
        <w:t>What is the virtual network configuration? What are the networks, and how big are they?</w:t>
      </w:r>
    </w:p>
    <w:p w14:paraId="6132FB0F" w14:textId="7B004FDA" w:rsidR="00D033A3" w:rsidRPr="00D033A3" w:rsidRDefault="00D033A3" w:rsidP="00BB4B86">
      <w:pPr>
        <w:pStyle w:val="Bullet"/>
        <w:numPr>
          <w:ilvl w:val="1"/>
          <w:numId w:val="7"/>
        </w:numPr>
        <w:rPr>
          <w:lang w:val="en-GB"/>
        </w:rPr>
      </w:pPr>
      <w:r w:rsidRPr="00D033A3">
        <w:rPr>
          <w:lang w:val="en-GB"/>
        </w:rPr>
        <w:lastRenderedPageBreak/>
        <w:t xml:space="preserve">We have </w:t>
      </w:r>
      <w:r w:rsidR="00D863F1">
        <w:rPr>
          <w:lang w:val="en-GB"/>
        </w:rPr>
        <w:t xml:space="preserve">NSX, </w:t>
      </w:r>
      <w:r w:rsidRPr="00D033A3">
        <w:rPr>
          <w:lang w:val="en-GB"/>
        </w:rPr>
        <w:t xml:space="preserve">Distributed </w:t>
      </w:r>
      <w:r w:rsidR="006C5486">
        <w:rPr>
          <w:lang w:val="en-GB"/>
        </w:rPr>
        <w:t>V</w:t>
      </w:r>
      <w:r w:rsidR="00EE1419">
        <w:rPr>
          <w:lang w:val="en-GB"/>
        </w:rPr>
        <w:t>i</w:t>
      </w:r>
      <w:r w:rsidR="006C5486">
        <w:rPr>
          <w:lang w:val="en-GB"/>
        </w:rPr>
        <w:t>r</w:t>
      </w:r>
      <w:r w:rsidR="00EE1419">
        <w:rPr>
          <w:lang w:val="en-GB"/>
        </w:rPr>
        <w:t xml:space="preserve">tual </w:t>
      </w:r>
      <w:r w:rsidRPr="00D033A3">
        <w:rPr>
          <w:lang w:val="en-GB"/>
        </w:rPr>
        <w:t xml:space="preserve">Switches, Distributed Port Group, </w:t>
      </w:r>
      <w:r w:rsidR="00C21454">
        <w:rPr>
          <w:lang w:val="en-GB"/>
        </w:rPr>
        <w:t>Data center</w:t>
      </w:r>
      <w:r w:rsidRPr="00D033A3">
        <w:rPr>
          <w:lang w:val="en-GB"/>
        </w:rPr>
        <w:t>, Cluster, ESXi, etc. How are they related?</w:t>
      </w:r>
      <w:r w:rsidR="00E72F30">
        <w:rPr>
          <w:lang w:val="en-GB"/>
        </w:rPr>
        <w:t xml:space="preserve"> </w:t>
      </w:r>
      <w:r w:rsidR="00E72F30" w:rsidRPr="00E72F30">
        <w:rPr>
          <w:lang w:val="en-GB"/>
        </w:rPr>
        <w:t xml:space="preserve">Distributed Switch does not span beyond vSphere Data Center. So data center is a logical choice to start analysing the </w:t>
      </w:r>
      <w:r w:rsidR="00E72F30">
        <w:rPr>
          <w:lang w:val="en-GB"/>
        </w:rPr>
        <w:t>relationship</w:t>
      </w:r>
      <w:r w:rsidR="00E72F30" w:rsidRPr="00E72F30">
        <w:rPr>
          <w:lang w:val="en-GB"/>
        </w:rPr>
        <w:t>.</w:t>
      </w:r>
    </w:p>
    <w:p w14:paraId="7BD655D9" w14:textId="10467364" w:rsidR="00D033A3" w:rsidRPr="00D033A3" w:rsidRDefault="00D033A3" w:rsidP="00BB4B86">
      <w:pPr>
        <w:pStyle w:val="Bullet"/>
        <w:numPr>
          <w:ilvl w:val="1"/>
          <w:numId w:val="7"/>
        </w:numPr>
        <w:rPr>
          <w:lang w:val="en-GB"/>
        </w:rPr>
      </w:pPr>
      <w:r w:rsidRPr="00D033A3">
        <w:rPr>
          <w:lang w:val="en-GB"/>
        </w:rPr>
        <w:t>Who are the consumer</w:t>
      </w:r>
      <w:r w:rsidR="00897F6A">
        <w:rPr>
          <w:lang w:val="en-GB"/>
        </w:rPr>
        <w:t>s</w:t>
      </w:r>
      <w:r w:rsidRPr="00D033A3">
        <w:rPr>
          <w:lang w:val="en-GB"/>
        </w:rPr>
        <w:t xml:space="preserve"> of my network? Where are they located?</w:t>
      </w:r>
    </w:p>
    <w:p w14:paraId="68A85925" w14:textId="2649E174" w:rsidR="00D033A3" w:rsidRPr="00D033A3" w:rsidRDefault="00D033A3" w:rsidP="001676B4">
      <w:pPr>
        <w:pStyle w:val="Bullet"/>
        <w:rPr>
          <w:lang w:val="en-GB"/>
        </w:rPr>
      </w:pPr>
      <w:r w:rsidRPr="00D033A3">
        <w:rPr>
          <w:lang w:val="en-GB"/>
        </w:rPr>
        <w:t>Are they healthy?</w:t>
      </w:r>
    </w:p>
    <w:p w14:paraId="1D70CF43" w14:textId="7B5ADD7A" w:rsidR="00D033A3" w:rsidRPr="00D033A3" w:rsidRDefault="00D033A3" w:rsidP="00BB4B86">
      <w:pPr>
        <w:pStyle w:val="Bullet"/>
        <w:numPr>
          <w:ilvl w:val="1"/>
          <w:numId w:val="7"/>
        </w:numPr>
        <w:rPr>
          <w:lang w:val="en-GB"/>
        </w:rPr>
      </w:pPr>
      <w:r w:rsidRPr="00D033A3">
        <w:rPr>
          <w:lang w:val="en-GB"/>
        </w:rPr>
        <w:t>Do we have any errors in our networks? Which port groups see packets dropped? If there is problem, which VMs or ESXi, are affected?</w:t>
      </w:r>
    </w:p>
    <w:p w14:paraId="0BCC099F" w14:textId="2282AE59" w:rsidR="00D033A3" w:rsidRDefault="00D033A3" w:rsidP="00BB4B86">
      <w:pPr>
        <w:pStyle w:val="Bullet"/>
        <w:numPr>
          <w:ilvl w:val="1"/>
          <w:numId w:val="7"/>
        </w:numPr>
        <w:rPr>
          <w:lang w:val="en-GB"/>
        </w:rPr>
      </w:pPr>
      <w:r w:rsidRPr="00D033A3">
        <w:rPr>
          <w:lang w:val="en-GB"/>
        </w:rPr>
        <w:t>Do we have too many special packets? Broadcast, multicast and unknown packets. Who generates them and when?</w:t>
      </w:r>
    </w:p>
    <w:p w14:paraId="1E323F01" w14:textId="273808C5" w:rsidR="00897F6A" w:rsidRPr="00897F6A" w:rsidRDefault="00897F6A" w:rsidP="00BB4B86">
      <w:pPr>
        <w:pStyle w:val="Bullet"/>
        <w:numPr>
          <w:ilvl w:val="1"/>
          <w:numId w:val="7"/>
        </w:numPr>
        <w:rPr>
          <w:lang w:val="en-GB"/>
        </w:rPr>
      </w:pPr>
      <w:r>
        <w:rPr>
          <w:lang w:val="en-GB"/>
        </w:rPr>
        <w:t xml:space="preserve">The two primary </w:t>
      </w:r>
      <w:r w:rsidR="008D3A3F">
        <w:rPr>
          <w:lang w:val="en-GB"/>
        </w:rPr>
        <w:t>metrics</w:t>
      </w:r>
      <w:r>
        <w:rPr>
          <w:lang w:val="en-GB"/>
        </w:rPr>
        <w:t xml:space="preserve"> are bandwidth and latency. </w:t>
      </w:r>
      <w:hyperlink r:id="rId1344" w:history="1">
        <w:r w:rsidRPr="00897F6A">
          <w:rPr>
            <w:rStyle w:val="Hyperlink"/>
            <w:lang w:val="en-GB"/>
          </w:rPr>
          <w:t>Bruce Davie</w:t>
        </w:r>
      </w:hyperlink>
      <w:r>
        <w:rPr>
          <w:lang w:val="en-GB"/>
        </w:rPr>
        <w:t xml:space="preserve"> explains both in this book</w:t>
      </w:r>
      <w:r>
        <w:rPr>
          <w:rStyle w:val="FootnoteReference"/>
          <w:lang w:val="en-GB"/>
        </w:rPr>
        <w:footnoteReference w:id="27"/>
      </w:r>
      <w:r>
        <w:rPr>
          <w:lang w:val="en-GB"/>
        </w:rPr>
        <w:t xml:space="preserve">, specifically this </w:t>
      </w:r>
      <w:hyperlink r:id="rId1345" w:history="1">
        <w:r w:rsidRPr="00897F6A">
          <w:rPr>
            <w:rStyle w:val="Hyperlink"/>
            <w:lang w:val="en-GB"/>
          </w:rPr>
          <w:t>page</w:t>
        </w:r>
      </w:hyperlink>
      <w:r>
        <w:rPr>
          <w:lang w:val="en-GB"/>
        </w:rPr>
        <w:t xml:space="preserve">, that the two </w:t>
      </w:r>
      <w:r w:rsidR="008D3A3F">
        <w:rPr>
          <w:lang w:val="en-GB"/>
        </w:rPr>
        <w:t>metrics</w:t>
      </w:r>
      <w:r>
        <w:rPr>
          <w:lang w:val="en-GB"/>
        </w:rPr>
        <w:t xml:space="preserve"> work together. The reason is some applications are latency sensitive, while others are bandwidth hungry.</w:t>
      </w:r>
    </w:p>
    <w:p w14:paraId="2D99C8CB" w14:textId="6D668B26" w:rsidR="00D033A3" w:rsidRPr="00D033A3" w:rsidRDefault="00D033A3" w:rsidP="001676B4">
      <w:pPr>
        <w:pStyle w:val="Bullet"/>
        <w:rPr>
          <w:lang w:val="en-GB"/>
        </w:rPr>
      </w:pPr>
      <w:r w:rsidRPr="00D033A3">
        <w:rPr>
          <w:lang w:val="en-GB"/>
        </w:rPr>
        <w:t>Are they optimized?</w:t>
      </w:r>
    </w:p>
    <w:p w14:paraId="7FB8D7C7" w14:textId="11F515F6" w:rsidR="00D033A3" w:rsidRPr="00D033A3" w:rsidRDefault="00D033A3" w:rsidP="00BB4B86">
      <w:pPr>
        <w:pStyle w:val="Bullet"/>
        <w:numPr>
          <w:ilvl w:val="1"/>
          <w:numId w:val="7"/>
        </w:numPr>
        <w:rPr>
          <w:lang w:val="en-GB"/>
        </w:rPr>
      </w:pPr>
      <w:r w:rsidRPr="00D033A3">
        <w:rPr>
          <w:lang w:val="en-GB"/>
        </w:rPr>
        <w:t>Just because something is healthy does not mean they are optimized. Look for opportunity to right size.</w:t>
      </w:r>
    </w:p>
    <w:p w14:paraId="7C4E7789" w14:textId="1D25D4B0" w:rsidR="00D033A3" w:rsidRPr="00D033A3" w:rsidRDefault="00D033A3" w:rsidP="00D033A3">
      <w:pPr>
        <w:rPr>
          <w:lang w:val="en-GB"/>
        </w:rPr>
      </w:pPr>
      <w:r w:rsidRPr="00D033A3">
        <w:rPr>
          <w:lang w:val="en-GB"/>
        </w:rPr>
        <w:t xml:space="preserve">Once Network Admin know what they are facing, they are in better position to </w:t>
      </w:r>
      <w:r w:rsidR="004C3B02">
        <w:rPr>
          <w:lang w:val="en-GB"/>
        </w:rPr>
        <w:t>analyze</w:t>
      </w:r>
      <w:r w:rsidRPr="00D033A3">
        <w:rPr>
          <w:lang w:val="en-GB"/>
        </w:rPr>
        <w:t>:</w:t>
      </w:r>
    </w:p>
    <w:p w14:paraId="25776306" w14:textId="13EE77BB" w:rsidR="00D033A3" w:rsidRPr="00D033A3" w:rsidRDefault="00D033A3" w:rsidP="007073E1">
      <w:pPr>
        <w:pStyle w:val="Bullet"/>
        <w:rPr>
          <w:lang w:val="en-GB"/>
        </w:rPr>
      </w:pPr>
      <w:r w:rsidRPr="00D033A3">
        <w:rPr>
          <w:lang w:val="en-GB"/>
        </w:rPr>
        <w:t>Performance</w:t>
      </w:r>
    </w:p>
    <w:p w14:paraId="701EA88E" w14:textId="3E73FCE0" w:rsidR="00D033A3" w:rsidRPr="00D033A3" w:rsidRDefault="00D033A3" w:rsidP="00BB4B86">
      <w:pPr>
        <w:pStyle w:val="Bullet"/>
        <w:numPr>
          <w:ilvl w:val="1"/>
          <w:numId w:val="7"/>
        </w:numPr>
        <w:rPr>
          <w:lang w:val="en-GB"/>
        </w:rPr>
      </w:pPr>
      <w:r w:rsidRPr="00D033A3">
        <w:rPr>
          <w:lang w:val="en-GB"/>
        </w:rPr>
        <w:t>When VM Owner thinks Network is the culprit, can both Network Team and Platform verify that quickly?</w:t>
      </w:r>
    </w:p>
    <w:p w14:paraId="63354572" w14:textId="2F174E4A" w:rsidR="00D033A3" w:rsidRPr="00D033A3" w:rsidRDefault="00D033A3" w:rsidP="007073E1">
      <w:pPr>
        <w:pStyle w:val="Bullet"/>
        <w:rPr>
          <w:lang w:val="en-GB"/>
        </w:rPr>
      </w:pPr>
      <w:r w:rsidRPr="00D033A3">
        <w:rPr>
          <w:lang w:val="en-GB"/>
        </w:rPr>
        <w:t>Configuration</w:t>
      </w:r>
    </w:p>
    <w:p w14:paraId="5A5FAD6A" w14:textId="4EA13483" w:rsidR="00BA51B2" w:rsidRDefault="00B02AD5" w:rsidP="00BB4B86">
      <w:pPr>
        <w:pStyle w:val="Bullet"/>
        <w:numPr>
          <w:ilvl w:val="1"/>
          <w:numId w:val="7"/>
        </w:numPr>
        <w:rPr>
          <w:lang w:val="en-GB"/>
        </w:rPr>
      </w:pPr>
      <w:r w:rsidRPr="00B02AD5">
        <w:rPr>
          <w:lang w:val="en-GB"/>
        </w:rPr>
        <w:t xml:space="preserve">Is </w:t>
      </w:r>
      <w:r w:rsidR="00D033A3" w:rsidRPr="00B02AD5">
        <w:rPr>
          <w:lang w:val="en-GB"/>
        </w:rPr>
        <w:t>the config</w:t>
      </w:r>
      <w:r w:rsidR="00811019" w:rsidRPr="00B02AD5">
        <w:rPr>
          <w:lang w:val="en-GB"/>
        </w:rPr>
        <w:t>uration</w:t>
      </w:r>
      <w:r w:rsidR="00D033A3" w:rsidRPr="00B02AD5">
        <w:rPr>
          <w:lang w:val="en-GB"/>
        </w:rPr>
        <w:t xml:space="preserve"> consistent</w:t>
      </w:r>
      <w:r w:rsidR="00811019" w:rsidRPr="00B02AD5">
        <w:rPr>
          <w:lang w:val="en-GB"/>
        </w:rPr>
        <w:t xml:space="preserve"> across objects of the same kind</w:t>
      </w:r>
      <w:r w:rsidR="00D033A3" w:rsidRPr="00B02AD5">
        <w:rPr>
          <w:lang w:val="en-GB"/>
        </w:rPr>
        <w:t>?</w:t>
      </w:r>
      <w:r w:rsidRPr="00B02AD5">
        <w:rPr>
          <w:lang w:val="en-GB"/>
        </w:rPr>
        <w:t xml:space="preserve"> </w:t>
      </w:r>
      <w:r w:rsidR="00D033A3" w:rsidRPr="00B02AD5">
        <w:rPr>
          <w:lang w:val="en-GB"/>
        </w:rPr>
        <w:t>Do they follow best practice?</w:t>
      </w:r>
    </w:p>
    <w:p w14:paraId="19685EE8" w14:textId="6971EE55" w:rsidR="00B02AD5" w:rsidRDefault="00B02AD5" w:rsidP="00BB4B86">
      <w:pPr>
        <w:pStyle w:val="Bullet"/>
        <w:numPr>
          <w:ilvl w:val="1"/>
          <w:numId w:val="7"/>
        </w:numPr>
        <w:rPr>
          <w:lang w:val="en-GB"/>
        </w:rPr>
      </w:pPr>
      <w:r>
        <w:rPr>
          <w:lang w:val="en-GB"/>
        </w:rPr>
        <w:t xml:space="preserve">What are the </w:t>
      </w:r>
      <w:r w:rsidR="00EE1419">
        <w:rPr>
          <w:lang w:val="en-GB"/>
        </w:rPr>
        <w:t xml:space="preserve">virtual </w:t>
      </w:r>
      <w:r>
        <w:rPr>
          <w:lang w:val="en-GB"/>
        </w:rPr>
        <w:t>networks</w:t>
      </w:r>
      <w:r w:rsidR="00EE1419">
        <w:rPr>
          <w:lang w:val="en-GB"/>
        </w:rPr>
        <w:t>, and how do they map into the physical top-of-rack switches?</w:t>
      </w:r>
    </w:p>
    <w:p w14:paraId="52D13135" w14:textId="70C88036" w:rsidR="004A2630" w:rsidRDefault="004A2630" w:rsidP="004A2630">
      <w:pPr>
        <w:pStyle w:val="Bullet"/>
        <w:rPr>
          <w:lang w:val="en-GB"/>
        </w:rPr>
      </w:pPr>
      <w:r>
        <w:rPr>
          <w:lang w:val="en-GB"/>
        </w:rPr>
        <w:t>Capacity</w:t>
      </w:r>
    </w:p>
    <w:p w14:paraId="7A72A564" w14:textId="77777777" w:rsidR="00D863F1" w:rsidRPr="00D033A3" w:rsidRDefault="00D863F1" w:rsidP="00D863F1">
      <w:pPr>
        <w:pStyle w:val="Bullet"/>
        <w:numPr>
          <w:ilvl w:val="1"/>
          <w:numId w:val="7"/>
        </w:numPr>
        <w:rPr>
          <w:lang w:val="en-GB"/>
        </w:rPr>
      </w:pPr>
      <w:r w:rsidRPr="00D033A3">
        <w:rPr>
          <w:lang w:val="en-GB"/>
        </w:rPr>
        <w:t>Is any VM or ESXi near its peak</w:t>
      </w:r>
      <w:r>
        <w:rPr>
          <w:lang w:val="en-GB"/>
        </w:rPr>
        <w:t xml:space="preserve"> in network</w:t>
      </w:r>
      <w:r w:rsidRPr="00D033A3">
        <w:rPr>
          <w:lang w:val="en-GB"/>
        </w:rPr>
        <w:t>?</w:t>
      </w:r>
      <w:r>
        <w:rPr>
          <w:lang w:val="en-GB"/>
        </w:rPr>
        <w:t xml:space="preserve"> Which VXLAN is the busiest? Does it match their expectation? </w:t>
      </w:r>
    </w:p>
    <w:p w14:paraId="1B3FDDF3" w14:textId="77777777" w:rsidR="00D863F1" w:rsidRPr="00D033A3" w:rsidRDefault="00D863F1" w:rsidP="00D863F1">
      <w:pPr>
        <w:pStyle w:val="Bullet"/>
        <w:numPr>
          <w:ilvl w:val="1"/>
          <w:numId w:val="7"/>
        </w:numPr>
        <w:rPr>
          <w:lang w:val="en-GB"/>
        </w:rPr>
      </w:pPr>
      <w:r w:rsidRPr="00D033A3">
        <w:rPr>
          <w:lang w:val="en-GB"/>
        </w:rPr>
        <w:t>Who are the top consumer</w:t>
      </w:r>
      <w:r>
        <w:rPr>
          <w:lang w:val="en-GB"/>
        </w:rPr>
        <w:t>s</w:t>
      </w:r>
      <w:r w:rsidRPr="00D033A3">
        <w:rPr>
          <w:lang w:val="en-GB"/>
        </w:rPr>
        <w:t xml:space="preserve"> for each physical </w:t>
      </w:r>
      <w:r>
        <w:rPr>
          <w:lang w:val="en-GB"/>
        </w:rPr>
        <w:t>data center</w:t>
      </w:r>
      <w:r w:rsidRPr="00D033A3">
        <w:rPr>
          <w:lang w:val="en-GB"/>
        </w:rPr>
        <w:t>?</w:t>
      </w:r>
      <w:r>
        <w:rPr>
          <w:lang w:val="en-GB"/>
        </w:rPr>
        <w:t xml:space="preserve"> What’s their workload pattern?</w:t>
      </w:r>
    </w:p>
    <w:p w14:paraId="7C32670D" w14:textId="77777777" w:rsidR="00D863F1" w:rsidRPr="00D033A3" w:rsidRDefault="00D863F1" w:rsidP="00D863F1">
      <w:pPr>
        <w:pStyle w:val="Bullet"/>
        <w:numPr>
          <w:ilvl w:val="1"/>
          <w:numId w:val="7"/>
        </w:numPr>
        <w:rPr>
          <w:lang w:val="en-GB"/>
        </w:rPr>
      </w:pPr>
      <w:r w:rsidRPr="00D033A3">
        <w:rPr>
          <w:lang w:val="en-GB"/>
        </w:rPr>
        <w:t>How is the workload distributed in this shared environment?</w:t>
      </w:r>
    </w:p>
    <w:p w14:paraId="56EB94BF" w14:textId="22346850" w:rsidR="004A2630" w:rsidRPr="00B02AD5" w:rsidRDefault="004A2630" w:rsidP="004A2630">
      <w:pPr>
        <w:pStyle w:val="Bullet"/>
        <w:numPr>
          <w:ilvl w:val="1"/>
          <w:numId w:val="7"/>
        </w:numPr>
        <w:rPr>
          <w:lang w:val="en-GB"/>
        </w:rPr>
      </w:pPr>
      <w:r>
        <w:rPr>
          <w:lang w:val="en-GB"/>
        </w:rPr>
        <w:t xml:space="preserve">Which networks are not being used? Why? Could we </w:t>
      </w:r>
      <w:r w:rsidR="00FB5CD8">
        <w:rPr>
          <w:lang w:val="en-GB"/>
        </w:rPr>
        <w:t>decommission them as they could become security risk?</w:t>
      </w:r>
    </w:p>
    <w:p w14:paraId="5A489561" w14:textId="18019AE2" w:rsidR="002429C8" w:rsidRDefault="00CA5234" w:rsidP="00AC6E1E">
      <w:pPr>
        <w:pStyle w:val="Heading4"/>
      </w:pPr>
      <w:r>
        <w:t>Application Team</w:t>
      </w:r>
    </w:p>
    <w:p w14:paraId="109F8754" w14:textId="79206F0A" w:rsidR="003951CD" w:rsidRDefault="00B21D70" w:rsidP="003951CD">
      <w:r>
        <w:t xml:space="preserve">A common request among VMware Admin is to give their customers a self-service access to their own VMs. The VM Owners should be given a simple portal, where they can easily see all their VMs and its performance. You </w:t>
      </w:r>
      <w:r w:rsidR="004E5215">
        <w:t>can use the dashboard sharing feature of vRealize Operations for a login-less access.</w:t>
      </w:r>
    </w:p>
    <w:p w14:paraId="6C50D8AD" w14:textId="5875988C" w:rsidR="00C87BB7" w:rsidRDefault="00206B19" w:rsidP="003951CD">
      <w:r>
        <w:lastRenderedPageBreak/>
        <w:t xml:space="preserve">But what if you have many tenants? You don’t want to create a dashboard for each </w:t>
      </w:r>
      <w:r w:rsidR="008C70E5">
        <w:t xml:space="preserve">of them one by one. </w:t>
      </w:r>
      <w:r w:rsidR="00C87BB7">
        <w:t xml:space="preserve">The challenge here is how to use the same dashboard for multiple </w:t>
      </w:r>
      <w:r w:rsidR="008C70E5">
        <w:t>applications teams</w:t>
      </w:r>
      <w:r w:rsidR="00162CE8">
        <w:t>, assuming they are not allowed to see one another VMs. This requires a security mapping. Each tenant</w:t>
      </w:r>
      <w:r w:rsidR="008C70E5">
        <w:t xml:space="preserve"> needs to have a login ID, which must be mapped to their VM.</w:t>
      </w:r>
    </w:p>
    <w:p w14:paraId="326A1C5C" w14:textId="77777777" w:rsidR="00897F6A" w:rsidRDefault="00897F6A" w:rsidP="00897F6A">
      <w:pPr>
        <w:pStyle w:val="BeforeTable"/>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1696"/>
        <w:gridCol w:w="8760"/>
      </w:tblGrid>
      <w:tr w:rsidR="00CA6473" w14:paraId="4CDC2DE5" w14:textId="77777777" w:rsidTr="000A722D">
        <w:tc>
          <w:tcPr>
            <w:tcW w:w="1696" w:type="dxa"/>
            <w:shd w:val="clear" w:color="auto" w:fill="F2F2F2" w:themeFill="background1" w:themeFillShade="F2"/>
          </w:tcPr>
          <w:p w14:paraId="54B74055" w14:textId="4A717EEB" w:rsidR="00CA6473" w:rsidRPr="00CA6473" w:rsidRDefault="00CA6473" w:rsidP="00CA6473">
            <w:pPr>
              <w:pStyle w:val="Tablecontent"/>
              <w:rPr>
                <w:b/>
                <w:bCs/>
              </w:rPr>
            </w:pPr>
            <w:r w:rsidRPr="00CA6473">
              <w:rPr>
                <w:b/>
                <w:bCs/>
              </w:rPr>
              <w:t>Role</w:t>
            </w:r>
          </w:p>
        </w:tc>
        <w:tc>
          <w:tcPr>
            <w:tcW w:w="8760" w:type="dxa"/>
          </w:tcPr>
          <w:p w14:paraId="152BD021" w14:textId="13081E6C" w:rsidR="00CA6473" w:rsidRDefault="005448E6" w:rsidP="00CA6473">
            <w:pPr>
              <w:pStyle w:val="Tablecontent"/>
            </w:pPr>
            <w:r>
              <w:t>The first step is to create a role and give it limited access. All tenants user accounts will be mapped to this role</w:t>
            </w:r>
            <w:r w:rsidR="00D340BD">
              <w:t>. This role should not be able to browse the inventory</w:t>
            </w:r>
            <w:r w:rsidR="008D5C39">
              <w:t>. Its only access is to the group of tenants.</w:t>
            </w:r>
          </w:p>
        </w:tc>
      </w:tr>
      <w:tr w:rsidR="00CA6473" w14:paraId="38389A72" w14:textId="77777777" w:rsidTr="000A722D">
        <w:tc>
          <w:tcPr>
            <w:tcW w:w="1696" w:type="dxa"/>
            <w:shd w:val="clear" w:color="auto" w:fill="F2F2F2" w:themeFill="background1" w:themeFillShade="F2"/>
          </w:tcPr>
          <w:p w14:paraId="35D994F7" w14:textId="55A71440" w:rsidR="00CA6473" w:rsidRPr="00CA6473" w:rsidRDefault="00CA6473" w:rsidP="00CA6473">
            <w:pPr>
              <w:pStyle w:val="Tablecontent"/>
              <w:rPr>
                <w:b/>
                <w:bCs/>
              </w:rPr>
            </w:pPr>
            <w:r w:rsidRPr="00CA6473">
              <w:rPr>
                <w:b/>
                <w:bCs/>
              </w:rPr>
              <w:t>Dashboard</w:t>
            </w:r>
          </w:p>
        </w:tc>
        <w:tc>
          <w:tcPr>
            <w:tcW w:w="8760" w:type="dxa"/>
          </w:tcPr>
          <w:p w14:paraId="77349B59" w14:textId="7C315B61" w:rsidR="00CA6473" w:rsidRDefault="0077283E" w:rsidP="00CA6473">
            <w:pPr>
              <w:pStyle w:val="Tablecontent"/>
            </w:pPr>
            <w:r>
              <w:t>Create a common dashboard and map to the role</w:t>
            </w:r>
            <w:r w:rsidR="000521A3">
              <w:t>. This role can’t see any other dashboards</w:t>
            </w:r>
          </w:p>
        </w:tc>
      </w:tr>
      <w:tr w:rsidR="00CA6473" w14:paraId="12AE8B4F" w14:textId="77777777" w:rsidTr="000A722D">
        <w:tc>
          <w:tcPr>
            <w:tcW w:w="1696" w:type="dxa"/>
            <w:shd w:val="clear" w:color="auto" w:fill="F2F2F2" w:themeFill="background1" w:themeFillShade="F2"/>
          </w:tcPr>
          <w:p w14:paraId="6E89DDA7" w14:textId="4873D3FE" w:rsidR="00CA6473" w:rsidRPr="00CA6473" w:rsidRDefault="00CA6473" w:rsidP="00CA6473">
            <w:pPr>
              <w:pStyle w:val="Tablecontent"/>
              <w:rPr>
                <w:b/>
                <w:bCs/>
              </w:rPr>
            </w:pPr>
            <w:r w:rsidRPr="00CA6473">
              <w:rPr>
                <w:b/>
                <w:bCs/>
              </w:rPr>
              <w:t>Tenant</w:t>
            </w:r>
          </w:p>
        </w:tc>
        <w:tc>
          <w:tcPr>
            <w:tcW w:w="8760" w:type="dxa"/>
          </w:tcPr>
          <w:p w14:paraId="3A09527E" w14:textId="7CA06C2A" w:rsidR="00CA6473" w:rsidRDefault="0077283E" w:rsidP="00CA6473">
            <w:pPr>
              <w:pStyle w:val="Tablecontent"/>
            </w:pPr>
            <w:r>
              <w:t xml:space="preserve">For each tenant, you need to </w:t>
            </w:r>
            <w:r w:rsidR="00555F0E">
              <w:t>create a user ID. This ID is then mapped to a group</w:t>
            </w:r>
            <w:r w:rsidR="00647A42">
              <w:t>. The group has the tenant VMs.</w:t>
            </w:r>
            <w:r w:rsidR="00F16085">
              <w:t xml:space="preserve"> In this way, the tenant ID will not be able to see other VMs.</w:t>
            </w:r>
          </w:p>
        </w:tc>
      </w:tr>
    </w:tbl>
    <w:p w14:paraId="2E15CB90" w14:textId="10B12151" w:rsidR="0082061A" w:rsidRPr="00A452F2" w:rsidRDefault="00CA5234" w:rsidP="00AC6E1E">
      <w:pPr>
        <w:pStyle w:val="Heading4"/>
      </w:pPr>
      <w:r>
        <w:t xml:space="preserve">Small </w:t>
      </w:r>
      <w:r w:rsidR="00A0469C">
        <w:t>IT Organiz</w:t>
      </w:r>
      <w:r w:rsidR="002A4417">
        <w:t>a</w:t>
      </w:r>
      <w:r w:rsidR="00A0469C">
        <w:t>tion</w:t>
      </w:r>
    </w:p>
    <w:p w14:paraId="554CCD98" w14:textId="07FB3FDC" w:rsidR="0073513D" w:rsidRDefault="00684A77" w:rsidP="006548C6">
      <w:pPr>
        <w:rPr>
          <w:lang w:val="en-GB"/>
        </w:rPr>
      </w:pPr>
      <w:r w:rsidRPr="00684A77">
        <w:rPr>
          <w:lang w:val="en-GB"/>
        </w:rPr>
        <w:t xml:space="preserve">The </w:t>
      </w:r>
      <w:hyperlink r:id="rId1346" w:history="1">
        <w:r w:rsidRPr="00A0469C">
          <w:rPr>
            <w:rStyle w:val="Hyperlink"/>
            <w:lang w:val="en-GB"/>
          </w:rPr>
          <w:t>Small Medium Business</w:t>
        </w:r>
      </w:hyperlink>
      <w:r w:rsidRPr="00684A77">
        <w:rPr>
          <w:lang w:val="en-GB"/>
        </w:rPr>
        <w:t xml:space="preserve"> segment is a world of its own. There are </w:t>
      </w:r>
      <w:r w:rsidR="003B2B2A">
        <w:rPr>
          <w:lang w:val="en-GB"/>
        </w:rPr>
        <w:t>roles and process</w:t>
      </w:r>
      <w:r w:rsidR="00A0469C">
        <w:rPr>
          <w:lang w:val="en-GB"/>
        </w:rPr>
        <w:t>es</w:t>
      </w:r>
      <w:r w:rsidR="003B2B2A">
        <w:rPr>
          <w:lang w:val="en-GB"/>
        </w:rPr>
        <w:t xml:space="preserve"> </w:t>
      </w:r>
      <w:r w:rsidRPr="00684A77">
        <w:rPr>
          <w:lang w:val="en-GB"/>
        </w:rPr>
        <w:t xml:space="preserve">that are </w:t>
      </w:r>
      <w:r w:rsidR="00A0469C">
        <w:rPr>
          <w:lang w:val="en-GB"/>
        </w:rPr>
        <w:t xml:space="preserve">useful </w:t>
      </w:r>
      <w:r w:rsidRPr="00684A77">
        <w:rPr>
          <w:lang w:val="en-GB"/>
        </w:rPr>
        <w:t xml:space="preserve">in Enterprise segment, but </w:t>
      </w:r>
      <w:r w:rsidR="00A0469C">
        <w:rPr>
          <w:lang w:val="en-GB"/>
        </w:rPr>
        <w:t xml:space="preserve">are detrimental </w:t>
      </w:r>
      <w:r w:rsidRPr="00684A77">
        <w:rPr>
          <w:lang w:val="en-GB"/>
        </w:rPr>
        <w:t>in SMB segment. As a result, products should be tailored for that market segment.</w:t>
      </w:r>
      <w:r w:rsidR="003B2B2A">
        <w:rPr>
          <w:lang w:val="en-GB"/>
        </w:rPr>
        <w:t xml:space="preserve"> You can create a</w:t>
      </w:r>
      <w:r w:rsidR="006B369A">
        <w:rPr>
          <w:lang w:val="en-GB"/>
        </w:rPr>
        <w:t xml:space="preserve"> set of consolidated dashboard</w:t>
      </w:r>
      <w:r w:rsidR="00B27917">
        <w:rPr>
          <w:lang w:val="en-GB"/>
        </w:rPr>
        <w:t>s for this market, as the environment is smaller.</w:t>
      </w:r>
    </w:p>
    <w:p w14:paraId="1761ECDD" w14:textId="3768AD3F" w:rsidR="00283680" w:rsidRPr="00283680" w:rsidRDefault="009165BF" w:rsidP="00283680">
      <w:pPr>
        <w:rPr>
          <w:lang w:val="en-GB"/>
        </w:rPr>
      </w:pPr>
      <w:r>
        <w:rPr>
          <w:lang w:val="en-GB"/>
        </w:rPr>
        <w:t xml:space="preserve">Let’s look at some unique </w:t>
      </w:r>
      <w:r w:rsidR="00283680" w:rsidRPr="00283680">
        <w:rPr>
          <w:lang w:val="en-GB"/>
        </w:rPr>
        <w:t>characteristics</w:t>
      </w:r>
      <w:r w:rsidR="00283680">
        <w:rPr>
          <w:lang w:val="en-GB"/>
        </w:rPr>
        <w:t xml:space="preserve"> of operations in this small environment:</w:t>
      </w:r>
    </w:p>
    <w:p w14:paraId="22C8975B" w14:textId="39F4A863" w:rsidR="00283680" w:rsidRPr="00283680" w:rsidRDefault="00283680" w:rsidP="00283680">
      <w:pPr>
        <w:pStyle w:val="Bullet"/>
        <w:rPr>
          <w:lang w:val="en-GB"/>
        </w:rPr>
      </w:pPr>
      <w:r w:rsidRPr="00283680">
        <w:rPr>
          <w:lang w:val="en-GB"/>
        </w:rPr>
        <w:t>1-2 guys doing everything. No siloes in the team. You and your best friends take care of the whole darn IT</w:t>
      </w:r>
      <w:r w:rsidR="00A0469C">
        <w:rPr>
          <w:lang w:val="en-GB"/>
        </w:rPr>
        <w:t xml:space="preserve"> from application to infrastructure. </w:t>
      </w:r>
    </w:p>
    <w:p w14:paraId="046332F6" w14:textId="69389700" w:rsidR="00283680" w:rsidRPr="00283680" w:rsidRDefault="00283680" w:rsidP="00283680">
      <w:pPr>
        <w:pStyle w:val="Bullet"/>
        <w:rPr>
          <w:lang w:val="en-GB"/>
        </w:rPr>
      </w:pPr>
      <w:r w:rsidRPr="00283680">
        <w:rPr>
          <w:lang w:val="en-GB"/>
        </w:rPr>
        <w:t>You only have a few clusters. Each cluster only has a few ESXi Host.</w:t>
      </w:r>
    </w:p>
    <w:p w14:paraId="6CA6C3FB" w14:textId="2BFE1260" w:rsidR="00283680" w:rsidRPr="00283680" w:rsidRDefault="00283680" w:rsidP="00283680">
      <w:pPr>
        <w:pStyle w:val="Bullet"/>
        <w:rPr>
          <w:lang w:val="en-GB"/>
        </w:rPr>
      </w:pPr>
      <w:r w:rsidRPr="00283680">
        <w:rPr>
          <w:lang w:val="en-GB"/>
        </w:rPr>
        <w:t xml:space="preserve">You know </w:t>
      </w:r>
      <w:r w:rsidR="00043D18">
        <w:rPr>
          <w:lang w:val="en-GB"/>
        </w:rPr>
        <w:t xml:space="preserve">all the details of your entire </w:t>
      </w:r>
      <w:r w:rsidRPr="00283680">
        <w:rPr>
          <w:lang w:val="en-GB"/>
        </w:rPr>
        <w:t>environment well because it’s small. They all fit into 1 rack. Architecture is simple. You have a mental picture of it in your head</w:t>
      </w:r>
      <w:r w:rsidR="00043D18">
        <w:rPr>
          <w:lang w:val="en-GB"/>
        </w:rPr>
        <w:t xml:space="preserve"> as they rarely change.</w:t>
      </w:r>
    </w:p>
    <w:p w14:paraId="54B9725D" w14:textId="16794739" w:rsidR="00283680" w:rsidRPr="00283680" w:rsidRDefault="00283680" w:rsidP="00283680">
      <w:pPr>
        <w:pStyle w:val="Bullet"/>
        <w:rPr>
          <w:lang w:val="en-GB"/>
        </w:rPr>
      </w:pPr>
      <w:r w:rsidRPr="00283680">
        <w:rPr>
          <w:lang w:val="en-GB"/>
        </w:rPr>
        <w:t xml:space="preserve">You don’t buy hardware or VMware every quarter. </w:t>
      </w:r>
      <w:r>
        <w:rPr>
          <w:lang w:val="en-GB"/>
        </w:rPr>
        <w:t xml:space="preserve">In fact, it’s more like </w:t>
      </w:r>
      <w:r w:rsidRPr="00283680">
        <w:rPr>
          <w:lang w:val="en-GB"/>
        </w:rPr>
        <w:t xml:space="preserve">every </w:t>
      </w:r>
      <w:r>
        <w:rPr>
          <w:lang w:val="en-GB"/>
        </w:rPr>
        <w:t>3</w:t>
      </w:r>
      <w:r w:rsidRPr="00283680">
        <w:rPr>
          <w:lang w:val="en-GB"/>
        </w:rPr>
        <w:t xml:space="preserve"> years. Capacity planning and monitoring </w:t>
      </w:r>
      <w:r w:rsidR="006808AC">
        <w:rPr>
          <w:lang w:val="en-GB"/>
        </w:rPr>
        <w:t>become simple as you can do it manually using a simple spreadsheet.</w:t>
      </w:r>
    </w:p>
    <w:p w14:paraId="69652F20" w14:textId="6609A8F7" w:rsidR="00283680" w:rsidRPr="00283680" w:rsidRDefault="00283680" w:rsidP="00283680">
      <w:pPr>
        <w:pStyle w:val="Bullet"/>
        <w:rPr>
          <w:lang w:val="en-GB"/>
        </w:rPr>
      </w:pPr>
      <w:r w:rsidRPr="00283680">
        <w:rPr>
          <w:lang w:val="en-GB"/>
        </w:rPr>
        <w:t>The workload is quite stable. You are not adding/removing/changing VM every day.</w:t>
      </w:r>
      <w:r w:rsidR="00A0469C">
        <w:rPr>
          <w:lang w:val="en-GB"/>
        </w:rPr>
        <w:t xml:space="preserve"> Automation is often too expensive.</w:t>
      </w:r>
    </w:p>
    <w:p w14:paraId="2CB5F71B" w14:textId="5CB8A3D3" w:rsidR="00283680" w:rsidRDefault="00283680" w:rsidP="00283680">
      <w:pPr>
        <w:pStyle w:val="Bullet"/>
        <w:rPr>
          <w:lang w:val="en-GB"/>
        </w:rPr>
      </w:pPr>
      <w:r w:rsidRPr="00283680">
        <w:rPr>
          <w:lang w:val="en-GB"/>
        </w:rPr>
        <w:t>Service Tier is an overkill as you only have 1-2 clusters for all workload</w:t>
      </w:r>
      <w:r w:rsidR="00897F6A">
        <w:rPr>
          <w:lang w:val="en-GB"/>
        </w:rPr>
        <w:t>s</w:t>
      </w:r>
      <w:r w:rsidRPr="00283680">
        <w:rPr>
          <w:lang w:val="en-GB"/>
        </w:rPr>
        <w:t>.</w:t>
      </w:r>
    </w:p>
    <w:p w14:paraId="7D661C35" w14:textId="1E532DE2" w:rsidR="0003383F" w:rsidRDefault="0003383F" w:rsidP="004E44F7">
      <w:pPr>
        <w:tabs>
          <w:tab w:val="left" w:pos="5694"/>
        </w:tabs>
        <w:rPr>
          <w:lang w:val="en-GB"/>
        </w:rPr>
      </w:pPr>
      <w:r>
        <w:rPr>
          <w:lang w:val="en-GB"/>
        </w:rPr>
        <w:t xml:space="preserve">You </w:t>
      </w:r>
      <w:r w:rsidR="004E44F7">
        <w:rPr>
          <w:lang w:val="en-GB"/>
        </w:rPr>
        <w:t>still need to cover all the key areas of operations, from a</w:t>
      </w:r>
      <w:r w:rsidRPr="0003383F">
        <w:rPr>
          <w:lang w:val="en-GB"/>
        </w:rPr>
        <w:t>vailability</w:t>
      </w:r>
      <w:r w:rsidR="004E44F7">
        <w:rPr>
          <w:lang w:val="en-GB"/>
        </w:rPr>
        <w:t xml:space="preserve"> to performance to compliance. As self-service is expected, you need to provide a </w:t>
      </w:r>
      <w:r w:rsidR="00877182">
        <w:rPr>
          <w:lang w:val="en-GB"/>
        </w:rPr>
        <w:t xml:space="preserve">dashboard for application team. </w:t>
      </w:r>
    </w:p>
    <w:p w14:paraId="7813F61D" w14:textId="734CCDEE" w:rsidR="00C6188E" w:rsidRDefault="00C6188E" w:rsidP="004E44F7">
      <w:pPr>
        <w:tabs>
          <w:tab w:val="left" w:pos="5694"/>
        </w:tabs>
        <w:rPr>
          <w:lang w:val="en-GB"/>
        </w:rPr>
      </w:pPr>
      <w:r>
        <w:rPr>
          <w:lang w:val="en-GB"/>
        </w:rPr>
        <w:t>You do not need a dashboard for Head of IT and management as they can simply use what you have.</w:t>
      </w:r>
    </w:p>
    <w:p w14:paraId="6AB4E412" w14:textId="706C1D44" w:rsidR="00043D18" w:rsidRDefault="00043D18" w:rsidP="00C6188E">
      <w:pPr>
        <w:pStyle w:val="Heading5"/>
      </w:pPr>
      <w:r>
        <w:t>Application-centric dashboard</w:t>
      </w:r>
    </w:p>
    <w:p w14:paraId="7EABBC60" w14:textId="194A0440" w:rsidR="00043D18" w:rsidRDefault="00043D18" w:rsidP="00C6188E">
      <w:pPr>
        <w:rPr>
          <w:lang w:val="en-GB"/>
        </w:rPr>
      </w:pPr>
      <w:r>
        <w:rPr>
          <w:lang w:val="en-GB"/>
        </w:rPr>
        <w:t xml:space="preserve">This is for the application team. </w:t>
      </w:r>
      <w:r w:rsidR="00C6188E">
        <w:rPr>
          <w:lang w:val="en-GB"/>
        </w:rPr>
        <w:t>It’s a shared dashboard for everyone.</w:t>
      </w:r>
    </w:p>
    <w:p w14:paraId="4791B9A1" w14:textId="2D27282A" w:rsidR="00C6188E" w:rsidRDefault="00C6188E" w:rsidP="00C6188E">
      <w:pPr>
        <w:rPr>
          <w:lang w:val="en-GB"/>
        </w:rPr>
      </w:pPr>
      <w:r>
        <w:rPr>
          <w:lang w:val="en-GB"/>
        </w:rPr>
        <w:t>It covers all the applications. For each application, you show their configuration, performance, capacity and availability</w:t>
      </w:r>
    </w:p>
    <w:p w14:paraId="675D8E42" w14:textId="645BFFBF" w:rsidR="00043D18" w:rsidRDefault="00043D18" w:rsidP="00C6188E">
      <w:pPr>
        <w:pStyle w:val="Heading5"/>
      </w:pPr>
      <w:r>
        <w:lastRenderedPageBreak/>
        <w:t>Infrastructure-centric dashboard</w:t>
      </w:r>
    </w:p>
    <w:p w14:paraId="4776A62D" w14:textId="77777777" w:rsidR="00C6188E" w:rsidRDefault="00C6188E" w:rsidP="00C6188E">
      <w:pPr>
        <w:rPr>
          <w:lang w:val="en-GB"/>
        </w:rPr>
      </w:pPr>
      <w:r>
        <w:rPr>
          <w:lang w:val="en-GB"/>
        </w:rPr>
        <w:t>Since you likely have &lt;100 VM, the dashboard should go straight at the VM level.</w:t>
      </w:r>
    </w:p>
    <w:p w14:paraId="386F32EE" w14:textId="339D71AF" w:rsidR="00C6188E" w:rsidRPr="0003383F" w:rsidRDefault="00C6188E" w:rsidP="00C6188E">
      <w:pPr>
        <w:rPr>
          <w:lang w:val="en-GB"/>
        </w:rPr>
      </w:pPr>
      <w:r>
        <w:rPr>
          <w:lang w:val="en-GB"/>
        </w:rPr>
        <w:t xml:space="preserve">It shows end to end visibility to physical network and physical storage. </w:t>
      </w:r>
    </w:p>
    <w:p w14:paraId="419BFBFC" w14:textId="1A496F56" w:rsidR="0061072F" w:rsidRPr="00A452F2" w:rsidRDefault="0061072F" w:rsidP="00540F68">
      <w:pPr>
        <w:pStyle w:val="Heading3"/>
      </w:pPr>
      <w:r w:rsidRPr="00A452F2">
        <w:t>Migration</w:t>
      </w:r>
      <w:r w:rsidR="002E7FF9">
        <w:t xml:space="preserve"> Dashboards</w:t>
      </w: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Look w:val="04A0" w:firstRow="1" w:lastRow="0" w:firstColumn="1" w:lastColumn="0" w:noHBand="0" w:noVBand="1"/>
      </w:tblPr>
      <w:tblGrid>
        <w:gridCol w:w="2520"/>
        <w:gridCol w:w="7936"/>
      </w:tblGrid>
      <w:tr w:rsidR="00D43464" w14:paraId="5C856080" w14:textId="77777777" w:rsidTr="00D43464">
        <w:tc>
          <w:tcPr>
            <w:tcW w:w="2520" w:type="dxa"/>
            <w:shd w:val="clear" w:color="auto" w:fill="F2F2F2" w:themeFill="background1" w:themeFillShade="F2"/>
          </w:tcPr>
          <w:p w14:paraId="4F322D36" w14:textId="4EE822C8" w:rsidR="00D43464" w:rsidRPr="00CA6473" w:rsidRDefault="00D43464" w:rsidP="00281329">
            <w:pPr>
              <w:pStyle w:val="Tablecontent"/>
              <w:rPr>
                <w:b/>
                <w:bCs/>
              </w:rPr>
            </w:pPr>
            <w:r>
              <w:rPr>
                <w:b/>
                <w:bCs/>
              </w:rPr>
              <w:t>Migration Sign Off</w:t>
            </w:r>
          </w:p>
        </w:tc>
        <w:tc>
          <w:tcPr>
            <w:tcW w:w="7936" w:type="dxa"/>
          </w:tcPr>
          <w:p w14:paraId="52FD5A7D" w14:textId="0DCC5F02" w:rsidR="00D43464" w:rsidRDefault="00D43464" w:rsidP="00281329">
            <w:pPr>
              <w:pStyle w:val="Tablecontent"/>
            </w:pPr>
            <w:r>
              <w:t xml:space="preserve">Purpose is to </w:t>
            </w:r>
            <w:r>
              <w:rPr>
                <w:lang w:val="en-GB" w:eastAsia="en-SG"/>
              </w:rPr>
              <w:t>get a sign off from VM Owner.</w:t>
            </w:r>
          </w:p>
        </w:tc>
      </w:tr>
      <w:tr w:rsidR="00D43464" w14:paraId="345DD439" w14:textId="77777777" w:rsidTr="00D43464">
        <w:tc>
          <w:tcPr>
            <w:tcW w:w="2520" w:type="dxa"/>
            <w:shd w:val="clear" w:color="auto" w:fill="F2F2F2" w:themeFill="background1" w:themeFillShade="F2"/>
          </w:tcPr>
          <w:p w14:paraId="5BF9B016" w14:textId="2613F0C2" w:rsidR="00D43464" w:rsidRDefault="00D43464" w:rsidP="00281329">
            <w:pPr>
              <w:pStyle w:val="Tablecontent"/>
              <w:rPr>
                <w:b/>
                <w:bCs/>
              </w:rPr>
            </w:pPr>
            <w:r>
              <w:rPr>
                <w:b/>
                <w:bCs/>
              </w:rPr>
              <w:t>Migration Tracking</w:t>
            </w:r>
          </w:p>
        </w:tc>
        <w:tc>
          <w:tcPr>
            <w:tcW w:w="7936" w:type="dxa"/>
          </w:tcPr>
          <w:p w14:paraId="14E51B87" w14:textId="321F3669" w:rsidR="00D43464" w:rsidRDefault="00D43464" w:rsidP="00281329">
            <w:pPr>
              <w:pStyle w:val="Tablecontent"/>
            </w:pPr>
            <w:r>
              <w:t>Purpose is to show overall progress of a long migration project to senior IT leaders</w:t>
            </w:r>
          </w:p>
        </w:tc>
      </w:tr>
    </w:tbl>
    <w:p w14:paraId="30A689A4" w14:textId="3970626B" w:rsidR="002E7FF9" w:rsidRDefault="002E7FF9" w:rsidP="002E7FF9">
      <w:pPr>
        <w:pStyle w:val="Heading4"/>
      </w:pPr>
      <w:r>
        <w:t>Migration Sign Off</w:t>
      </w:r>
    </w:p>
    <w:p w14:paraId="3D0B7693" w14:textId="121434B4" w:rsidR="00D43464" w:rsidRDefault="00D43464" w:rsidP="00D43464">
      <w:pPr>
        <w:rPr>
          <w:lang w:val="en-GB"/>
        </w:rPr>
      </w:pPr>
      <w:r>
        <w:rPr>
          <w:lang w:val="en-GB"/>
        </w:rPr>
        <w:t>Since we do not know which VMs are being migrated, we need to use Aria Operations group. Since the dashboard needs to know the group ID, I need to create the group in advance. You have to import the group, and not create your own. If you do, then you need to modify the dashboard to use yours.</w:t>
      </w:r>
    </w:p>
    <w:p w14:paraId="25D9CB72" w14:textId="6739CC1F" w:rsidR="00796465" w:rsidRDefault="00796465" w:rsidP="00796465">
      <w:pPr>
        <w:pStyle w:val="Heading5"/>
        <w:rPr>
          <w:lang w:eastAsia="en-SG"/>
        </w:rPr>
      </w:pPr>
      <w:r>
        <w:rPr>
          <w:lang w:eastAsia="en-SG"/>
        </w:rPr>
        <w:t>Summary Section</w:t>
      </w:r>
    </w:p>
    <w:p w14:paraId="3A91E35E" w14:textId="2D30655A" w:rsidR="002A4417" w:rsidRDefault="002A4417" w:rsidP="004D1041">
      <w:pPr>
        <w:rPr>
          <w:lang w:val="en-GB" w:eastAsia="en-SG"/>
        </w:rPr>
      </w:pPr>
      <w:bookmarkStart w:id="155" w:name="_Hlk129192078"/>
      <w:r>
        <w:rPr>
          <w:lang w:val="en-GB" w:eastAsia="en-SG"/>
        </w:rPr>
        <w:t xml:space="preserve">The </w:t>
      </w:r>
      <w:r w:rsidR="004C3226">
        <w:rPr>
          <w:lang w:val="en-GB" w:eastAsia="en-SG"/>
        </w:rPr>
        <w:t xml:space="preserve">dashboard </w:t>
      </w:r>
      <w:r>
        <w:rPr>
          <w:lang w:val="en-GB" w:eastAsia="en-SG"/>
        </w:rPr>
        <w:t>section star</w:t>
      </w:r>
      <w:r w:rsidR="004C3226">
        <w:rPr>
          <w:lang w:val="en-GB" w:eastAsia="en-SG"/>
        </w:rPr>
        <w:t>t</w:t>
      </w:r>
      <w:r>
        <w:rPr>
          <w:lang w:val="en-GB" w:eastAsia="en-SG"/>
        </w:rPr>
        <w:t xml:space="preserve">s with a </w:t>
      </w:r>
      <w:r w:rsidR="00180F8C">
        <w:rPr>
          <w:lang w:val="en-GB" w:eastAsia="en-SG"/>
        </w:rPr>
        <w:t xml:space="preserve">list of all the migration VM groups. </w:t>
      </w:r>
    </w:p>
    <w:p w14:paraId="47109AA2" w14:textId="41C8DD84" w:rsidR="00180F8C" w:rsidRDefault="00180F8C" w:rsidP="00E87108">
      <w:pPr>
        <w:jc w:val="center"/>
        <w:rPr>
          <w:lang w:val="en-GB" w:eastAsia="en-SG"/>
        </w:rPr>
      </w:pPr>
      <w:r w:rsidRPr="00180F8C">
        <w:rPr>
          <w:noProof/>
          <w:lang w:val="en-GB" w:eastAsia="en-SG"/>
        </w:rPr>
        <w:lastRenderedPageBreak/>
        <w:drawing>
          <wp:inline distT="0" distB="0" distL="0" distR="0" wp14:anchorId="51E6EE03" wp14:editId="6DEEAFB6">
            <wp:extent cx="5266944" cy="2743200"/>
            <wp:effectExtent l="0" t="0" r="0" b="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7"/>
                    <a:stretch>
                      <a:fillRect/>
                    </a:stretch>
                  </pic:blipFill>
                  <pic:spPr>
                    <a:xfrm>
                      <a:off x="0" y="0"/>
                      <a:ext cx="5266944" cy="2743200"/>
                    </a:xfrm>
                    <a:prstGeom prst="rect">
                      <a:avLst/>
                    </a:prstGeom>
                  </pic:spPr>
                </pic:pic>
              </a:graphicData>
            </a:graphic>
          </wp:inline>
        </w:drawing>
      </w:r>
    </w:p>
    <w:p w14:paraId="3B14C53A" w14:textId="228E7499" w:rsidR="00180F8C" w:rsidRDefault="00180F8C" w:rsidP="004D1041">
      <w:pPr>
        <w:rPr>
          <w:lang w:val="en-GB" w:eastAsia="en-SG"/>
        </w:rPr>
      </w:pPr>
      <w:r>
        <w:rPr>
          <w:lang w:val="en-GB" w:eastAsia="en-SG"/>
        </w:rPr>
        <w:t xml:space="preserve">To see a group details, select the row. All the other widgets will be automatically refreshed. </w:t>
      </w:r>
    </w:p>
    <w:p w14:paraId="20F2FAD1" w14:textId="245C6641" w:rsidR="004D1041" w:rsidRDefault="00180F8C" w:rsidP="004D1041">
      <w:pPr>
        <w:rPr>
          <w:lang w:val="en-GB" w:eastAsia="en-SG"/>
        </w:rPr>
      </w:pPr>
      <w:r>
        <w:rPr>
          <w:lang w:val="en-GB" w:eastAsia="en-SG"/>
        </w:rPr>
        <w:t xml:space="preserve">The first thing to check is the health chart. </w:t>
      </w:r>
      <w:r w:rsidR="00E87108">
        <w:rPr>
          <w:lang w:val="en-GB" w:eastAsia="en-SG"/>
        </w:rPr>
        <w:t>A</w:t>
      </w:r>
      <w:r>
        <w:rPr>
          <w:lang w:val="en-GB" w:eastAsia="en-SG"/>
        </w:rPr>
        <w:t>s we need something to show over time that the migration is successful</w:t>
      </w:r>
      <w:r w:rsidR="00E87108">
        <w:rPr>
          <w:lang w:val="en-GB" w:eastAsia="en-SG"/>
        </w:rPr>
        <w:t xml:space="preserve">, we pick a color coded chart. The chart </w:t>
      </w:r>
      <w:r w:rsidR="004D1041">
        <w:rPr>
          <w:lang w:val="en-GB" w:eastAsia="en-SG"/>
        </w:rPr>
        <w:t>shows the average performance of all VMs in the group. You should expect the value to be same or better after migration.</w:t>
      </w:r>
      <w:r>
        <w:rPr>
          <w:lang w:val="en-GB" w:eastAsia="en-SG"/>
        </w:rPr>
        <w:t xml:space="preserve"> </w:t>
      </w:r>
    </w:p>
    <w:bookmarkEnd w:id="155"/>
    <w:p w14:paraId="64A8AAE0" w14:textId="25C4FDA5" w:rsidR="00F422B0" w:rsidRDefault="00F422B0" w:rsidP="00F422B0">
      <w:pPr>
        <w:jc w:val="center"/>
        <w:rPr>
          <w:lang w:val="en-GB" w:eastAsia="en-SG"/>
        </w:rPr>
      </w:pPr>
      <w:r w:rsidRPr="00F422B0">
        <w:rPr>
          <w:noProof/>
          <w:lang w:val="en-GB" w:eastAsia="en-SG"/>
        </w:rPr>
        <w:drawing>
          <wp:inline distT="0" distB="0" distL="0" distR="0" wp14:anchorId="08A250C3" wp14:editId="2E663BBF">
            <wp:extent cx="6382512" cy="1837944"/>
            <wp:effectExtent l="0" t="0" r="0" b="0"/>
            <wp:docPr id="1971069008" name="Picture 1971069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8"/>
                    <a:stretch>
                      <a:fillRect/>
                    </a:stretch>
                  </pic:blipFill>
                  <pic:spPr>
                    <a:xfrm>
                      <a:off x="0" y="0"/>
                      <a:ext cx="6382512" cy="1837944"/>
                    </a:xfrm>
                    <a:prstGeom prst="rect">
                      <a:avLst/>
                    </a:prstGeom>
                  </pic:spPr>
                </pic:pic>
              </a:graphicData>
            </a:graphic>
          </wp:inline>
        </w:drawing>
      </w:r>
    </w:p>
    <w:p w14:paraId="11437C7C" w14:textId="722D90A6" w:rsidR="002A4417" w:rsidRDefault="002A4417" w:rsidP="002A4417">
      <w:pPr>
        <w:rPr>
          <w:lang w:val="en-GB" w:eastAsia="en-SG"/>
        </w:rPr>
      </w:pPr>
      <w:r>
        <w:rPr>
          <w:lang w:val="en-GB" w:eastAsia="en-SG"/>
        </w:rPr>
        <w:t>In migration, you want to have visibility into the application of services. I added a bar chart to show the services discovered by the Service Discovery adapter.</w:t>
      </w:r>
    </w:p>
    <w:p w14:paraId="591324AB" w14:textId="56578B70" w:rsidR="002A4417" w:rsidRDefault="002A4417" w:rsidP="002A4417">
      <w:pPr>
        <w:rPr>
          <w:lang w:val="en-GB" w:eastAsia="en-SG"/>
        </w:rPr>
      </w:pPr>
      <w:r>
        <w:rPr>
          <w:lang w:val="en-GB" w:eastAsia="en-SG"/>
        </w:rPr>
        <w:t xml:space="preserve">Ideally, install Telegraf agent so you have process-level metrics. </w:t>
      </w:r>
    </w:p>
    <w:p w14:paraId="6308D54C" w14:textId="2C3E8E90" w:rsidR="00796465" w:rsidRDefault="00796465" w:rsidP="00796465">
      <w:pPr>
        <w:pStyle w:val="Heading5"/>
        <w:rPr>
          <w:lang w:eastAsia="en-SG"/>
        </w:rPr>
      </w:pPr>
      <w:r>
        <w:rPr>
          <w:lang w:eastAsia="en-SG"/>
        </w:rPr>
        <w:t>Detail Section</w:t>
      </w:r>
    </w:p>
    <w:p w14:paraId="76EFE6B4" w14:textId="304771A5" w:rsidR="00295151" w:rsidRPr="00295151" w:rsidRDefault="00295151" w:rsidP="00295151">
      <w:pPr>
        <w:rPr>
          <w:lang w:val="en-GB" w:eastAsia="en-SG"/>
        </w:rPr>
      </w:pPr>
      <w:r>
        <w:rPr>
          <w:lang w:val="en-GB" w:eastAsia="en-SG"/>
        </w:rPr>
        <w:t xml:space="preserve">We need to use 2 separate tables due to limitation. You need to set the 2 dates manually as different migration groups have different migration dates. </w:t>
      </w:r>
    </w:p>
    <w:p w14:paraId="3CE18DA7" w14:textId="5762B01D" w:rsidR="004D1041" w:rsidRDefault="00295151" w:rsidP="004D1041">
      <w:pPr>
        <w:rPr>
          <w:lang w:val="en-GB" w:eastAsia="en-SG"/>
        </w:rPr>
      </w:pPr>
      <w:r>
        <w:rPr>
          <w:lang w:val="en-GB" w:eastAsia="en-SG"/>
        </w:rPr>
        <w:t xml:space="preserve">The tables </w:t>
      </w:r>
      <w:r w:rsidR="004D1041">
        <w:rPr>
          <w:lang w:val="en-GB" w:eastAsia="en-SG"/>
        </w:rPr>
        <w:t>list all the VMs in the</w:t>
      </w:r>
      <w:r>
        <w:rPr>
          <w:lang w:val="en-GB" w:eastAsia="en-SG"/>
        </w:rPr>
        <w:t xml:space="preserve"> selected migration group</w:t>
      </w:r>
      <w:r w:rsidR="004D1041">
        <w:rPr>
          <w:lang w:val="en-GB" w:eastAsia="en-SG"/>
        </w:rPr>
        <w:t xml:space="preserve">, along with their </w:t>
      </w:r>
      <w:r w:rsidR="00282AAC">
        <w:rPr>
          <w:lang w:val="en-GB" w:eastAsia="en-SG"/>
        </w:rPr>
        <w:t xml:space="preserve">relevant </w:t>
      </w:r>
      <w:r w:rsidR="004D1041">
        <w:rPr>
          <w:lang w:val="en-GB" w:eastAsia="en-SG"/>
        </w:rPr>
        <w:t>contention metrics</w:t>
      </w:r>
      <w:r w:rsidR="00282AAC">
        <w:rPr>
          <w:lang w:val="en-GB" w:eastAsia="en-SG"/>
        </w:rPr>
        <w:t xml:space="preserve">, consumption metrics </w:t>
      </w:r>
      <w:r w:rsidR="004D1041">
        <w:rPr>
          <w:lang w:val="en-GB" w:eastAsia="en-SG"/>
        </w:rPr>
        <w:t xml:space="preserve">and business context. </w:t>
      </w:r>
    </w:p>
    <w:p w14:paraId="48E91744" w14:textId="5BE6868B" w:rsidR="00F422B0" w:rsidRDefault="00D43464" w:rsidP="004D1041">
      <w:pPr>
        <w:rPr>
          <w:lang w:val="en-GB" w:eastAsia="en-SG"/>
        </w:rPr>
      </w:pPr>
      <w:r w:rsidRPr="00D43464">
        <w:rPr>
          <w:noProof/>
          <w:lang w:val="en-GB" w:eastAsia="en-SG"/>
        </w:rPr>
        <w:lastRenderedPageBreak/>
        <w:drawing>
          <wp:inline distT="0" distB="0" distL="0" distR="0" wp14:anchorId="35C47284" wp14:editId="76835021">
            <wp:extent cx="6645910" cy="1575435"/>
            <wp:effectExtent l="0" t="0" r="2540" b="5715"/>
            <wp:docPr id="1971068996" name="Picture 1971068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9"/>
                    <a:stretch>
                      <a:fillRect/>
                    </a:stretch>
                  </pic:blipFill>
                  <pic:spPr>
                    <a:xfrm>
                      <a:off x="0" y="0"/>
                      <a:ext cx="6645910" cy="1575435"/>
                    </a:xfrm>
                    <a:prstGeom prst="rect">
                      <a:avLst/>
                    </a:prstGeom>
                  </pic:spPr>
                </pic:pic>
              </a:graphicData>
            </a:graphic>
          </wp:inline>
        </w:drawing>
      </w:r>
    </w:p>
    <w:p w14:paraId="626CA2E9" w14:textId="6B3F9FD6" w:rsidR="00A0469C" w:rsidRDefault="00A0469C" w:rsidP="00D43464">
      <w:pPr>
        <w:rPr>
          <w:lang w:val="en-GB" w:eastAsia="en-SG"/>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70"/>
        <w:gridCol w:w="6696"/>
      </w:tblGrid>
      <w:tr w:rsidR="00D5674A" w14:paraId="49CFB5B8" w14:textId="77777777" w:rsidTr="00D5674A">
        <w:tc>
          <w:tcPr>
            <w:tcW w:w="5228" w:type="dxa"/>
          </w:tcPr>
          <w:p w14:paraId="704294CB" w14:textId="77777777" w:rsidR="004C3226" w:rsidRDefault="0006345D" w:rsidP="00D43464">
            <w:pPr>
              <w:rPr>
                <w:lang w:val="en-GB" w:eastAsia="en-SG"/>
              </w:rPr>
            </w:pPr>
            <w:r>
              <w:rPr>
                <w:lang w:val="en-GB" w:eastAsia="en-SG"/>
              </w:rPr>
              <w:t>CPU Ready</w:t>
            </w:r>
            <w:r w:rsidR="004C3226">
              <w:rPr>
                <w:lang w:val="en-GB" w:eastAsia="en-SG"/>
              </w:rPr>
              <w:t xml:space="preserve">, </w:t>
            </w:r>
            <w:r>
              <w:rPr>
                <w:lang w:val="en-GB" w:eastAsia="en-SG"/>
              </w:rPr>
              <w:t>CPU Co-Stop</w:t>
            </w:r>
            <w:r w:rsidR="004C3226">
              <w:rPr>
                <w:lang w:val="en-GB" w:eastAsia="en-SG"/>
              </w:rPr>
              <w:t xml:space="preserve"> and Memory Contention should go down, unless the numbers are already very good to begin with. </w:t>
            </w:r>
          </w:p>
          <w:p w14:paraId="68A9ED4D" w14:textId="169BFDD7" w:rsidR="004C3226" w:rsidRDefault="004C3226" w:rsidP="00D43464">
            <w:pPr>
              <w:rPr>
                <w:lang w:val="en-GB" w:eastAsia="en-SG"/>
              </w:rPr>
            </w:pPr>
            <w:r>
              <w:rPr>
                <w:lang w:val="en-GB" w:eastAsia="en-SG"/>
              </w:rPr>
              <w:t>The numbers are taken at 20-second average</w:t>
            </w:r>
            <w:r w:rsidR="00527EAE">
              <w:rPr>
                <w:lang w:val="en-GB" w:eastAsia="en-SG"/>
              </w:rPr>
              <w:t>, s</w:t>
            </w:r>
            <w:r>
              <w:rPr>
                <w:lang w:val="en-GB" w:eastAsia="en-SG"/>
              </w:rPr>
              <w:t xml:space="preserve">o they report much higher number than the 5-minute average. </w:t>
            </w:r>
          </w:p>
          <w:p w14:paraId="173D52D5" w14:textId="14E0C93F" w:rsidR="004C3226" w:rsidRDefault="004C3226" w:rsidP="00364E90">
            <w:pPr>
              <w:rPr>
                <w:lang w:val="en-GB" w:eastAsia="en-SG"/>
              </w:rPr>
            </w:pPr>
            <w:r>
              <w:rPr>
                <w:lang w:val="en-GB" w:eastAsia="en-SG"/>
              </w:rPr>
              <w:t>Any numbers less than 2% is not something to worry about.</w:t>
            </w:r>
          </w:p>
          <w:p w14:paraId="75289D6A" w14:textId="0A3B1265" w:rsidR="00364E90" w:rsidRPr="00364E90" w:rsidRDefault="00364E90" w:rsidP="00364E90">
            <w:pPr>
              <w:rPr>
                <w:lang w:val="en-GB" w:eastAsia="en-SG"/>
              </w:rPr>
            </w:pPr>
            <w:r>
              <w:rPr>
                <w:lang w:val="en-GB" w:eastAsia="en-SG"/>
              </w:rPr>
              <w:t>Disk Latency</w:t>
            </w:r>
            <w:r w:rsidR="004C3226">
              <w:rPr>
                <w:lang w:val="en-GB" w:eastAsia="en-SG"/>
              </w:rPr>
              <w:t xml:space="preserve"> and </w:t>
            </w:r>
            <w:r w:rsidRPr="00364E90">
              <w:rPr>
                <w:lang w:val="en-GB" w:eastAsia="en-SG"/>
              </w:rPr>
              <w:t>Disk Queue</w:t>
            </w:r>
            <w:r w:rsidR="004C3226">
              <w:rPr>
                <w:lang w:val="en-GB" w:eastAsia="en-SG"/>
              </w:rPr>
              <w:t xml:space="preserve"> should remain low even with more IOPS, assuming the new DC has much better storage subsystem. </w:t>
            </w:r>
          </w:p>
          <w:p w14:paraId="322BE27F" w14:textId="1DD46DC8" w:rsidR="00364E90" w:rsidRPr="00364E90" w:rsidRDefault="00364E90" w:rsidP="00364E90">
            <w:pPr>
              <w:rPr>
                <w:lang w:val="en-GB" w:eastAsia="en-SG"/>
              </w:rPr>
            </w:pPr>
            <w:r>
              <w:rPr>
                <w:lang w:val="en-GB" w:eastAsia="en-SG"/>
              </w:rPr>
              <w:t xml:space="preserve">CPU </w:t>
            </w:r>
            <w:r w:rsidRPr="00364E90">
              <w:rPr>
                <w:lang w:val="en-GB" w:eastAsia="en-SG"/>
              </w:rPr>
              <w:t>Context Switch</w:t>
            </w:r>
            <w:r w:rsidR="004C3226">
              <w:rPr>
                <w:lang w:val="en-GB" w:eastAsia="en-SG"/>
              </w:rPr>
              <w:t xml:space="preserve"> could go up if the CPU Usage goes up, as there are more threads or execution to be done.</w:t>
            </w:r>
          </w:p>
          <w:p w14:paraId="3155DC2C" w14:textId="381C283E" w:rsidR="00364E90" w:rsidRDefault="00364E90" w:rsidP="00364E90">
            <w:pPr>
              <w:rPr>
                <w:lang w:val="en-GB" w:eastAsia="en-SG"/>
              </w:rPr>
            </w:pPr>
            <w:r w:rsidRPr="00364E90">
              <w:rPr>
                <w:lang w:val="en-GB" w:eastAsia="en-SG"/>
              </w:rPr>
              <w:t>CPU Queue</w:t>
            </w:r>
            <w:r>
              <w:rPr>
                <w:lang w:val="en-GB" w:eastAsia="en-SG"/>
              </w:rPr>
              <w:t xml:space="preserve"> could go up if the CPU </w:t>
            </w:r>
            <w:r w:rsidR="004C3226">
              <w:rPr>
                <w:lang w:val="en-GB" w:eastAsia="en-SG"/>
              </w:rPr>
              <w:t>U</w:t>
            </w:r>
            <w:r>
              <w:rPr>
                <w:lang w:val="en-GB" w:eastAsia="en-SG"/>
              </w:rPr>
              <w:t>sage goes up. So long the value is less than 3 per vCPU, there is no need to add more vCPU</w:t>
            </w:r>
          </w:p>
          <w:p w14:paraId="1F10D2FE" w14:textId="77777777" w:rsidR="0006345D" w:rsidRDefault="0006345D" w:rsidP="00D43464">
            <w:pPr>
              <w:rPr>
                <w:lang w:val="en-GB" w:eastAsia="en-SG"/>
              </w:rPr>
            </w:pPr>
          </w:p>
          <w:p w14:paraId="66137749" w14:textId="05E95F46" w:rsidR="0006345D" w:rsidRDefault="0006345D" w:rsidP="00D43464">
            <w:pPr>
              <w:rPr>
                <w:lang w:val="en-GB" w:eastAsia="en-SG"/>
              </w:rPr>
            </w:pPr>
          </w:p>
        </w:tc>
        <w:tc>
          <w:tcPr>
            <w:tcW w:w="5228" w:type="dxa"/>
          </w:tcPr>
          <w:p w14:paraId="13D41253" w14:textId="048F4219" w:rsidR="00D5674A" w:rsidRDefault="00D5674A" w:rsidP="00D43464">
            <w:pPr>
              <w:rPr>
                <w:lang w:val="en-GB" w:eastAsia="en-SG"/>
              </w:rPr>
            </w:pPr>
            <w:r w:rsidRPr="00D5674A">
              <w:rPr>
                <w:noProof/>
                <w:lang w:val="en-GB" w:eastAsia="en-SG"/>
              </w:rPr>
              <w:drawing>
                <wp:inline distT="0" distB="0" distL="0" distR="0" wp14:anchorId="06E77DF2" wp14:editId="58745F83">
                  <wp:extent cx="4113741" cy="6162261"/>
                  <wp:effectExtent l="0" t="0" r="1270" b="0"/>
                  <wp:docPr id="1971069009" name="Picture 1971069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0"/>
                          <a:stretch>
                            <a:fillRect/>
                          </a:stretch>
                        </pic:blipFill>
                        <pic:spPr>
                          <a:xfrm>
                            <a:off x="0" y="0"/>
                            <a:ext cx="4115582" cy="6165019"/>
                          </a:xfrm>
                          <a:prstGeom prst="rect">
                            <a:avLst/>
                          </a:prstGeom>
                        </pic:spPr>
                      </pic:pic>
                    </a:graphicData>
                  </a:graphic>
                </wp:inline>
              </w:drawing>
            </w:r>
          </w:p>
        </w:tc>
      </w:tr>
      <w:tr w:rsidR="00D5674A" w14:paraId="2039A086" w14:textId="77777777" w:rsidTr="00D5674A">
        <w:tc>
          <w:tcPr>
            <w:tcW w:w="5228" w:type="dxa"/>
          </w:tcPr>
          <w:p w14:paraId="37B526DD" w14:textId="77777777" w:rsidR="00D5674A" w:rsidRDefault="00295151" w:rsidP="00D43464">
            <w:pPr>
              <w:rPr>
                <w:lang w:val="en-GB" w:eastAsia="en-SG"/>
              </w:rPr>
            </w:pPr>
            <w:r>
              <w:rPr>
                <w:lang w:val="en-GB" w:eastAsia="en-SG"/>
              </w:rPr>
              <w:lastRenderedPageBreak/>
              <w:t>I added a set of consumption metrics as we expect the consumption to go up.</w:t>
            </w:r>
          </w:p>
          <w:p w14:paraId="48E73198" w14:textId="77777777" w:rsidR="00295151" w:rsidRDefault="00295151" w:rsidP="00D43464">
            <w:pPr>
              <w:rPr>
                <w:lang w:val="en-GB" w:eastAsia="en-SG"/>
              </w:rPr>
            </w:pPr>
            <w:r>
              <w:rPr>
                <w:lang w:val="en-GB" w:eastAsia="en-SG"/>
              </w:rPr>
              <w:t xml:space="preserve">For CPU, we need to use GHz and not percentage as the 2 datacenter could use a different CPU speed. </w:t>
            </w:r>
          </w:p>
          <w:p w14:paraId="04F7D0D6" w14:textId="17BFEBF7" w:rsidR="00295151" w:rsidRDefault="00295151" w:rsidP="00D43464">
            <w:pPr>
              <w:rPr>
                <w:lang w:val="en-GB" w:eastAsia="en-SG"/>
              </w:rPr>
            </w:pPr>
            <w:r>
              <w:rPr>
                <w:lang w:val="en-GB" w:eastAsia="en-SG"/>
              </w:rPr>
              <w:t>CPU Usage could be tricky to compare if the new datacenter uses a different CPU architecture, meaning 1 GHz in the old DC does not equate to same amount of CPU processing with 1 GHz in the new DC.</w:t>
            </w:r>
          </w:p>
          <w:p w14:paraId="5BDDA468" w14:textId="77777777" w:rsidR="00295151" w:rsidRDefault="00295151" w:rsidP="00D43464">
            <w:pPr>
              <w:rPr>
                <w:lang w:val="en-GB" w:eastAsia="en-SG"/>
              </w:rPr>
            </w:pPr>
            <w:r>
              <w:rPr>
                <w:lang w:val="en-GB" w:eastAsia="en-SG"/>
              </w:rPr>
              <w:t>For memory, we have to use the one inside Guest OS. The counter at VM level is not relevant. For details, refer to the memory chapter.</w:t>
            </w:r>
          </w:p>
          <w:p w14:paraId="678F2657" w14:textId="77777777" w:rsidR="00295151" w:rsidRDefault="00295151" w:rsidP="00D43464">
            <w:pPr>
              <w:rPr>
                <w:lang w:val="en-GB" w:eastAsia="en-SG"/>
              </w:rPr>
            </w:pPr>
            <w:r>
              <w:rPr>
                <w:lang w:val="en-GB" w:eastAsia="en-SG"/>
              </w:rPr>
              <w:t xml:space="preserve">For disk, we use both IOPS and throughput. </w:t>
            </w:r>
          </w:p>
          <w:p w14:paraId="3CBF1AB7" w14:textId="50684954" w:rsidR="00295151" w:rsidRDefault="00295151" w:rsidP="00D43464">
            <w:pPr>
              <w:rPr>
                <w:lang w:val="en-GB" w:eastAsia="en-SG"/>
              </w:rPr>
            </w:pPr>
            <w:r>
              <w:rPr>
                <w:lang w:val="en-GB" w:eastAsia="en-SG"/>
              </w:rPr>
              <w:t xml:space="preserve">For network, we use network throughput. You can add packets per second if you think the behaviour changes. </w:t>
            </w:r>
          </w:p>
        </w:tc>
        <w:tc>
          <w:tcPr>
            <w:tcW w:w="5228" w:type="dxa"/>
          </w:tcPr>
          <w:p w14:paraId="0A70B0C1" w14:textId="18D9537D" w:rsidR="00D5674A" w:rsidRPr="00D5674A" w:rsidRDefault="00295151" w:rsidP="00D43464">
            <w:pPr>
              <w:rPr>
                <w:lang w:val="en-GB" w:eastAsia="en-SG"/>
              </w:rPr>
            </w:pPr>
            <w:r w:rsidRPr="00295151">
              <w:rPr>
                <w:noProof/>
                <w:lang w:val="en-GB" w:eastAsia="en-SG"/>
              </w:rPr>
              <w:drawing>
                <wp:inline distT="0" distB="0" distL="0" distR="0" wp14:anchorId="6464B461" wp14:editId="2C2BDDB0">
                  <wp:extent cx="4114800" cy="6152765"/>
                  <wp:effectExtent l="0" t="0" r="0" b="635"/>
                  <wp:docPr id="1971069042" name="Picture 1971069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1"/>
                          <a:stretch>
                            <a:fillRect/>
                          </a:stretch>
                        </pic:blipFill>
                        <pic:spPr>
                          <a:xfrm>
                            <a:off x="0" y="0"/>
                            <a:ext cx="4114800" cy="6152765"/>
                          </a:xfrm>
                          <a:prstGeom prst="rect">
                            <a:avLst/>
                          </a:prstGeom>
                        </pic:spPr>
                      </pic:pic>
                    </a:graphicData>
                  </a:graphic>
                </wp:inline>
              </w:drawing>
            </w:r>
          </w:p>
        </w:tc>
      </w:tr>
    </w:tbl>
    <w:p w14:paraId="69209DC5" w14:textId="0441C7E7" w:rsidR="002E7FF9" w:rsidRDefault="002E7FF9" w:rsidP="002E7FF9">
      <w:pPr>
        <w:pStyle w:val="Heading4"/>
      </w:pPr>
      <w:r>
        <w:t>Migration Tracking</w:t>
      </w:r>
    </w:p>
    <w:p w14:paraId="27AB5F09" w14:textId="4A84DEAB" w:rsidR="00C56027" w:rsidRDefault="00C56027" w:rsidP="0061072F">
      <w:pPr>
        <w:rPr>
          <w:lang w:val="en-GB"/>
        </w:rPr>
      </w:pPr>
      <w:r>
        <w:rPr>
          <w:lang w:val="en-GB"/>
        </w:rPr>
        <w:t>The dashboard should compare both datacenters.</w:t>
      </w:r>
      <w:r w:rsidR="004D1041">
        <w:rPr>
          <w:lang w:val="en-GB"/>
        </w:rPr>
        <w:t xml:space="preserve"> The layout should be 2 equal columns (Old DC and New DC)</w:t>
      </w:r>
      <w:r w:rsidR="004C3226">
        <w:rPr>
          <w:lang w:val="en-GB"/>
        </w:rPr>
        <w:t xml:space="preserve">. This is relevant in the case of 1:1 migration and a huge chunk of the VMs in the old DC are being migrated. If the old DC will continue having new VMs, then the comparison will be invalid. </w:t>
      </w:r>
    </w:p>
    <w:p w14:paraId="3F78D8F6" w14:textId="5E34BCBC" w:rsidR="004D1041" w:rsidRDefault="004D1041" w:rsidP="0061072F">
      <w:pPr>
        <w:rPr>
          <w:lang w:val="en-GB"/>
        </w:rPr>
      </w:pPr>
      <w:r>
        <w:rPr>
          <w:lang w:val="en-GB"/>
        </w:rPr>
        <w:t>The first row shows a summary</w:t>
      </w:r>
    </w:p>
    <w:p w14:paraId="2839555C" w14:textId="530D5483" w:rsidR="004D1041" w:rsidRDefault="004D1041" w:rsidP="004D1041">
      <w:pPr>
        <w:pStyle w:val="Bullet"/>
        <w:rPr>
          <w:lang w:val="en-GB"/>
        </w:rPr>
      </w:pPr>
      <w:r>
        <w:rPr>
          <w:lang w:val="en-GB"/>
        </w:rPr>
        <w:lastRenderedPageBreak/>
        <w:t xml:space="preserve">Number of </w:t>
      </w:r>
      <w:r w:rsidR="00B664DA">
        <w:rPr>
          <w:lang w:val="en-GB"/>
        </w:rPr>
        <w:t xml:space="preserve">running </w:t>
      </w:r>
      <w:r>
        <w:rPr>
          <w:lang w:val="en-GB"/>
        </w:rPr>
        <w:t>VM. This shows you the overall progress. You expect the number on the old DC to go down over time</w:t>
      </w:r>
      <w:r w:rsidR="00B664DA">
        <w:rPr>
          <w:lang w:val="en-GB"/>
        </w:rPr>
        <w:t>. I exclude powered off VMs as you may not be keen on migrating them.</w:t>
      </w:r>
    </w:p>
    <w:p w14:paraId="3EBA1AE5" w14:textId="27618907" w:rsidR="004D1041" w:rsidRDefault="00B664DA" w:rsidP="004D1041">
      <w:pPr>
        <w:pStyle w:val="Bullet"/>
        <w:rPr>
          <w:lang w:val="en-GB"/>
        </w:rPr>
      </w:pPr>
      <w:r>
        <w:rPr>
          <w:lang w:val="en-GB"/>
        </w:rPr>
        <w:t>Overall CPU Utilization. You should expect the number in the new DC to go up while the number in the old DC to go down</w:t>
      </w:r>
    </w:p>
    <w:p w14:paraId="671A9005" w14:textId="48B20420" w:rsidR="00B664DA" w:rsidRDefault="00B664DA" w:rsidP="004D1041">
      <w:pPr>
        <w:pStyle w:val="Bullet"/>
        <w:rPr>
          <w:lang w:val="en-GB"/>
        </w:rPr>
      </w:pPr>
      <w:r>
        <w:rPr>
          <w:lang w:val="en-GB"/>
        </w:rPr>
        <w:t>Overall Memory Utilization</w:t>
      </w:r>
    </w:p>
    <w:p w14:paraId="70551351" w14:textId="364A7D85" w:rsidR="00B664DA" w:rsidRDefault="00B664DA" w:rsidP="004D1041">
      <w:pPr>
        <w:pStyle w:val="Bullet"/>
        <w:rPr>
          <w:lang w:val="en-GB"/>
        </w:rPr>
      </w:pPr>
      <w:r>
        <w:rPr>
          <w:lang w:val="en-GB"/>
        </w:rPr>
        <w:t>Overall Disk IOPS</w:t>
      </w:r>
    </w:p>
    <w:p w14:paraId="62BE2C22" w14:textId="1918404E" w:rsidR="00B664DA" w:rsidRDefault="00B664DA" w:rsidP="004D1041">
      <w:pPr>
        <w:pStyle w:val="Bullet"/>
        <w:rPr>
          <w:lang w:val="en-GB"/>
        </w:rPr>
      </w:pPr>
      <w:r>
        <w:rPr>
          <w:lang w:val="en-GB"/>
        </w:rPr>
        <w:t>Overall Disk Throughput</w:t>
      </w:r>
    </w:p>
    <w:p w14:paraId="5267AFE0" w14:textId="767FA64E" w:rsidR="00B664DA" w:rsidRDefault="00B664DA" w:rsidP="004D1041">
      <w:pPr>
        <w:pStyle w:val="Bullet"/>
        <w:rPr>
          <w:lang w:val="en-GB"/>
        </w:rPr>
      </w:pPr>
      <w:r>
        <w:rPr>
          <w:lang w:val="en-GB"/>
        </w:rPr>
        <w:t>Overall Network Throughput</w:t>
      </w:r>
    </w:p>
    <w:p w14:paraId="1A1BF16E" w14:textId="7D7BA9A2" w:rsidR="00B664DA" w:rsidRDefault="00B664DA" w:rsidP="004D1041">
      <w:pPr>
        <w:pStyle w:val="Bullet"/>
        <w:rPr>
          <w:lang w:val="en-GB"/>
        </w:rPr>
      </w:pPr>
      <w:r>
        <w:rPr>
          <w:lang w:val="en-GB"/>
        </w:rPr>
        <w:t>Overall Network Packets/second.</w:t>
      </w:r>
    </w:p>
    <w:p w14:paraId="15325C84" w14:textId="5D69BF87" w:rsidR="00B664DA" w:rsidRDefault="00B664DA" w:rsidP="0061072F">
      <w:pPr>
        <w:rPr>
          <w:lang w:val="en-GB"/>
        </w:rPr>
      </w:pPr>
      <w:r>
        <w:rPr>
          <w:lang w:val="en-GB"/>
        </w:rPr>
        <w:t>The second row shows the list of clusters</w:t>
      </w:r>
    </w:p>
    <w:p w14:paraId="3CE57BDB" w14:textId="724A007C" w:rsidR="00B664DA" w:rsidRDefault="00B664DA" w:rsidP="00B664DA">
      <w:pPr>
        <w:pStyle w:val="Bullet"/>
        <w:rPr>
          <w:lang w:val="en-GB"/>
        </w:rPr>
      </w:pPr>
      <w:r>
        <w:rPr>
          <w:lang w:val="en-GB"/>
        </w:rPr>
        <w:t xml:space="preserve">If you select a cluster, you can drill down into </w:t>
      </w:r>
      <w:r w:rsidR="00045BE2">
        <w:rPr>
          <w:lang w:val="en-GB"/>
        </w:rPr>
        <w:t xml:space="preserve">its </w:t>
      </w:r>
      <w:r>
        <w:rPr>
          <w:lang w:val="en-GB"/>
        </w:rPr>
        <w:t>performance and capacity.</w:t>
      </w:r>
    </w:p>
    <w:p w14:paraId="304A009F" w14:textId="2DA87771" w:rsidR="00B664DA" w:rsidRDefault="00B664DA" w:rsidP="0061072F">
      <w:pPr>
        <w:rPr>
          <w:lang w:val="en-GB"/>
        </w:rPr>
      </w:pPr>
      <w:r>
        <w:rPr>
          <w:lang w:val="en-GB"/>
        </w:rPr>
        <w:t>The third row shows the list of VM</w:t>
      </w:r>
      <w:r w:rsidR="00045BE2">
        <w:rPr>
          <w:lang w:val="en-GB"/>
        </w:rPr>
        <w:t>s</w:t>
      </w:r>
    </w:p>
    <w:p w14:paraId="22371D27" w14:textId="067ED0A6" w:rsidR="00B664DA" w:rsidRDefault="00B664DA" w:rsidP="00B664DA">
      <w:pPr>
        <w:pStyle w:val="Bullet"/>
        <w:rPr>
          <w:lang w:val="en-GB"/>
        </w:rPr>
      </w:pPr>
      <w:r>
        <w:rPr>
          <w:lang w:val="en-GB"/>
        </w:rPr>
        <w:t xml:space="preserve">If you select a VM, you can drill down into </w:t>
      </w:r>
      <w:r w:rsidR="00045BE2">
        <w:rPr>
          <w:lang w:val="en-GB"/>
        </w:rPr>
        <w:t>its</w:t>
      </w:r>
      <w:r>
        <w:rPr>
          <w:lang w:val="en-GB"/>
        </w:rPr>
        <w:t xml:space="preserve"> performance and capacity.</w:t>
      </w:r>
    </w:p>
    <w:p w14:paraId="7A339267" w14:textId="567E720A" w:rsidR="00045BE2" w:rsidRDefault="00045BE2" w:rsidP="00045BE2">
      <w:pPr>
        <w:rPr>
          <w:lang w:val="en-GB"/>
        </w:rPr>
      </w:pPr>
      <w:r>
        <w:rPr>
          <w:lang w:val="en-GB"/>
        </w:rPr>
        <w:t>The fourth row shows the list of datastores</w:t>
      </w:r>
    </w:p>
    <w:p w14:paraId="1BA9896A" w14:textId="344873DC" w:rsidR="00045BE2" w:rsidRPr="009151CE" w:rsidRDefault="00045BE2" w:rsidP="0061072F">
      <w:pPr>
        <w:pStyle w:val="Bullet"/>
        <w:rPr>
          <w:lang w:val="en-GB"/>
        </w:rPr>
      </w:pPr>
      <w:r>
        <w:rPr>
          <w:lang w:val="en-GB"/>
        </w:rPr>
        <w:t>If you select a datastore, you can drill down into its performance and capacity.</w:t>
      </w:r>
    </w:p>
    <w:p w14:paraId="2837B0AE" w14:textId="0DEEC288" w:rsidR="0061072F" w:rsidRDefault="0061072F" w:rsidP="0061072F">
      <w:pPr>
        <w:rPr>
          <w:lang w:val="en-GB"/>
        </w:rPr>
      </w:pPr>
      <w:r>
        <w:rPr>
          <w:lang w:val="en-GB"/>
        </w:rPr>
        <w:t>The following table shows a sample design of a comparison dashboard. It has two identical columns, allowing you to do show before vs after comparison.</w:t>
      </w:r>
    </w:p>
    <w:p w14:paraId="7B81BCAD" w14:textId="6C96E449" w:rsidR="0061072F" w:rsidRDefault="0061072F" w:rsidP="0061072F">
      <w:pPr>
        <w:jc w:val="center"/>
        <w:rPr>
          <w:lang w:val="en-GB"/>
        </w:rPr>
      </w:pPr>
      <w:r>
        <w:rPr>
          <w:noProof/>
        </w:rPr>
        <w:drawing>
          <wp:inline distT="0" distB="0" distL="0" distR="0" wp14:anchorId="34015B28" wp14:editId="44B55886">
            <wp:extent cx="5073064" cy="2583550"/>
            <wp:effectExtent l="0" t="0" r="0" b="7620"/>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47"/>
                    <pic:cNvPicPr/>
                  </pic:nvPicPr>
                  <pic:blipFill>
                    <a:blip r:embed="rId1352" cstate="print">
                      <a:extLst>
                        <a:ext uri="{28A0092B-C50C-407E-A947-70E740481C1C}">
                          <a14:useLocalDpi xmlns:a14="http://schemas.microsoft.com/office/drawing/2010/main" val="0"/>
                        </a:ext>
                      </a:extLst>
                    </a:blip>
                    <a:stretch>
                      <a:fillRect/>
                    </a:stretch>
                  </pic:blipFill>
                  <pic:spPr>
                    <a:xfrm>
                      <a:off x="0" y="0"/>
                      <a:ext cx="5073064" cy="2583550"/>
                    </a:xfrm>
                    <a:prstGeom prst="rect">
                      <a:avLst/>
                    </a:prstGeom>
                  </pic:spPr>
                </pic:pic>
              </a:graphicData>
            </a:graphic>
          </wp:inline>
        </w:drawing>
      </w:r>
    </w:p>
    <w:p w14:paraId="4617CDA5" w14:textId="77777777" w:rsidR="001D546D" w:rsidRDefault="001D546D" w:rsidP="001D546D">
      <w:pPr>
        <w:pStyle w:val="Heading3"/>
      </w:pPr>
      <w:r>
        <w:t>Sustainability</w:t>
      </w:r>
    </w:p>
    <w:p w14:paraId="1C6986C6" w14:textId="77777777" w:rsidR="001D546D" w:rsidRDefault="001D546D" w:rsidP="001D546D">
      <w:pPr>
        <w:rPr>
          <w:lang w:val="en-GB"/>
        </w:rPr>
      </w:pPr>
      <w:bookmarkStart w:id="156" w:name="_Hlk96610648"/>
      <w:r>
        <w:rPr>
          <w:lang w:val="en-GB"/>
        </w:rPr>
        <w:t>Sustainable operations is a journey. So you need to be able to cover both the past and the future.</w:t>
      </w:r>
    </w:p>
    <w:p w14:paraId="17642B3B" w14:textId="77777777" w:rsidR="001D546D" w:rsidRDefault="001D546D" w:rsidP="001D546D">
      <w:pPr>
        <w:pStyle w:val="BeforeTable"/>
        <w:rPr>
          <w:lang w:val="en-GB"/>
        </w:rPr>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988"/>
        <w:gridCol w:w="9468"/>
      </w:tblGrid>
      <w:tr w:rsidR="001D546D" w14:paraId="6979CD55" w14:textId="77777777" w:rsidTr="00281329">
        <w:tc>
          <w:tcPr>
            <w:tcW w:w="988" w:type="dxa"/>
            <w:shd w:val="clear" w:color="auto" w:fill="F2F2F2" w:themeFill="background1" w:themeFillShade="F2"/>
          </w:tcPr>
          <w:p w14:paraId="78DB2CFA" w14:textId="77777777" w:rsidR="001D546D" w:rsidRPr="00E05CED" w:rsidRDefault="001D546D" w:rsidP="00281329">
            <w:pPr>
              <w:pStyle w:val="Tablecontent"/>
              <w:rPr>
                <w:b/>
                <w:bCs/>
              </w:rPr>
            </w:pPr>
            <w:r w:rsidRPr="00E05CED">
              <w:rPr>
                <w:b/>
                <w:bCs/>
              </w:rPr>
              <w:lastRenderedPageBreak/>
              <w:t xml:space="preserve">Past </w:t>
            </w:r>
          </w:p>
        </w:tc>
        <w:tc>
          <w:tcPr>
            <w:tcW w:w="9468" w:type="dxa"/>
          </w:tcPr>
          <w:p w14:paraId="0B597C04" w14:textId="77777777" w:rsidR="001D546D" w:rsidRPr="00053938" w:rsidRDefault="001D546D" w:rsidP="00281329">
            <w:pPr>
              <w:pStyle w:val="Tablecontent"/>
            </w:pPr>
            <w:r w:rsidRPr="00053938">
              <w:t>What has been achieved.</w:t>
            </w:r>
          </w:p>
          <w:p w14:paraId="02F76F69" w14:textId="77777777" w:rsidR="001D546D" w:rsidRDefault="001D546D" w:rsidP="00281329">
            <w:pPr>
              <w:pStyle w:val="Tablecontent"/>
            </w:pPr>
            <w:r w:rsidRPr="00053938">
              <w:t>Demonstrates their savings and achievement to date. They want both</w:t>
            </w:r>
            <w:r>
              <w:t xml:space="preserve"> the </w:t>
            </w:r>
            <w:r w:rsidRPr="00053938">
              <w:t xml:space="preserve">relative comparison </w:t>
            </w:r>
            <w:r>
              <w:t xml:space="preserve">and absolute value. The relative is show case they leading </w:t>
            </w:r>
            <w:r w:rsidRPr="00053938">
              <w:t xml:space="preserve">their peers </w:t>
            </w:r>
            <w:r>
              <w:t xml:space="preserve">in the </w:t>
            </w:r>
            <w:r w:rsidRPr="00053938">
              <w:t>industr</w:t>
            </w:r>
            <w:r>
              <w:t xml:space="preserve">y, and performs better than </w:t>
            </w:r>
            <w:r w:rsidRPr="00053938">
              <w:t>public cloud.</w:t>
            </w:r>
            <w:r>
              <w:t xml:space="preserve"> The absolute shows the </w:t>
            </w:r>
            <w:r w:rsidRPr="00053938">
              <w:t xml:space="preserve">hard numbers on their </w:t>
            </w:r>
            <w:r w:rsidRPr="0022569A">
              <w:rPr>
                <w:color w:val="00B050"/>
              </w:rPr>
              <w:t>green</w:t>
            </w:r>
            <w:r w:rsidRPr="00053938">
              <w:t xml:space="preserve"> impact to the environment</w:t>
            </w:r>
            <w:r>
              <w:t>.</w:t>
            </w:r>
          </w:p>
        </w:tc>
      </w:tr>
      <w:tr w:rsidR="001D546D" w14:paraId="37B3813F" w14:textId="77777777" w:rsidTr="00281329">
        <w:tc>
          <w:tcPr>
            <w:tcW w:w="988" w:type="dxa"/>
            <w:shd w:val="clear" w:color="auto" w:fill="F2F2F2" w:themeFill="background1" w:themeFillShade="F2"/>
          </w:tcPr>
          <w:p w14:paraId="00C72CF2" w14:textId="77777777" w:rsidR="001D546D" w:rsidRPr="00E05CED" w:rsidRDefault="001D546D" w:rsidP="00281329">
            <w:pPr>
              <w:pStyle w:val="Tablecontent"/>
              <w:rPr>
                <w:b/>
                <w:bCs/>
              </w:rPr>
            </w:pPr>
            <w:r w:rsidRPr="00E05CED">
              <w:rPr>
                <w:b/>
                <w:bCs/>
              </w:rPr>
              <w:t>Future</w:t>
            </w:r>
          </w:p>
        </w:tc>
        <w:tc>
          <w:tcPr>
            <w:tcW w:w="9468" w:type="dxa"/>
          </w:tcPr>
          <w:p w14:paraId="7413FC14" w14:textId="77777777" w:rsidR="001D546D" w:rsidRDefault="001D546D" w:rsidP="00281329">
            <w:pPr>
              <w:pStyle w:val="Tablecontent"/>
            </w:pPr>
            <w:r>
              <w:t>What can be achieved</w:t>
            </w:r>
          </w:p>
          <w:p w14:paraId="3DBA8600" w14:textId="77777777" w:rsidR="001D546D" w:rsidRDefault="001D546D" w:rsidP="00281329">
            <w:pPr>
              <w:pStyle w:val="Tablecontent"/>
            </w:pPr>
            <w:r>
              <w:t>Find and realize future potential environmental benefits by optimizing their virtual environment and virtualizing their remaining physical environment. Optimization covers a wide range of wastage and efficiency, such as zombie VM and EC2, oversized datastores, and islands of clusters. Virtualizing is not limited to server, but include storage, back up, security, network, and non x86 workload.</w:t>
            </w:r>
          </w:p>
        </w:tc>
      </w:tr>
    </w:tbl>
    <w:p w14:paraId="7C722028" w14:textId="77777777" w:rsidR="001D546D" w:rsidRDefault="001D546D" w:rsidP="001D546D">
      <w:pPr>
        <w:rPr>
          <w:lang w:val="en-GB"/>
        </w:rPr>
      </w:pPr>
      <w:r>
        <w:rPr>
          <w:lang w:val="en-GB"/>
        </w:rPr>
        <w:t xml:space="preserve">As the past is history, the focus is certainly on what you can further optimize. </w:t>
      </w:r>
    </w:p>
    <w:p w14:paraId="4148894E" w14:textId="77777777" w:rsidR="001D546D" w:rsidRDefault="001D546D" w:rsidP="001D546D">
      <w:r>
        <w:rPr>
          <w:lang w:val="en-GB"/>
        </w:rPr>
        <w:t xml:space="preserve">There are 3 </w:t>
      </w:r>
      <w:r>
        <w:t xml:space="preserve">aspects of </w:t>
      </w:r>
      <w:r>
        <w:rPr>
          <w:rStyle w:val="Strong"/>
        </w:rPr>
        <w:t>Sustainable Operations</w:t>
      </w:r>
      <w:r>
        <w:t xml:space="preserve"> where you can optimize:</w:t>
      </w:r>
    </w:p>
    <w:p w14:paraId="16C84909" w14:textId="77777777" w:rsidR="001D546D" w:rsidRDefault="001D546D" w:rsidP="001D546D">
      <w:pPr>
        <w:pStyle w:val="BeforeTable"/>
      </w:pPr>
    </w:p>
    <w:tbl>
      <w:tblPr>
        <w:tblStyle w:val="TableGrid"/>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838"/>
        <w:gridCol w:w="8505"/>
      </w:tblGrid>
      <w:tr w:rsidR="001D546D" w14:paraId="0F83B2D1" w14:textId="77777777" w:rsidTr="00281329">
        <w:tc>
          <w:tcPr>
            <w:tcW w:w="1838" w:type="dxa"/>
            <w:shd w:val="clear" w:color="auto" w:fill="F2F2F2" w:themeFill="background1" w:themeFillShade="F2"/>
          </w:tcPr>
          <w:p w14:paraId="1CA68DA0" w14:textId="77777777" w:rsidR="001D546D" w:rsidRDefault="001D546D" w:rsidP="00281329">
            <w:pPr>
              <w:pStyle w:val="Tablecontent"/>
              <w:rPr>
                <w:lang w:val="en-GB"/>
              </w:rPr>
            </w:pPr>
            <w:r>
              <w:rPr>
                <w:rStyle w:val="Strong"/>
              </w:rPr>
              <w:t>Clean Demand</w:t>
            </w:r>
          </w:p>
        </w:tc>
        <w:tc>
          <w:tcPr>
            <w:tcW w:w="8505" w:type="dxa"/>
          </w:tcPr>
          <w:p w14:paraId="3C94052C" w14:textId="77777777" w:rsidR="001D546D" w:rsidRDefault="001D546D" w:rsidP="00281329">
            <w:pPr>
              <w:pStyle w:val="Tablecontent"/>
            </w:pPr>
            <w:r>
              <w:t>This means genuine demand, required by either business or IT.</w:t>
            </w:r>
          </w:p>
          <w:p w14:paraId="15973EDB" w14:textId="77777777" w:rsidR="001D546D" w:rsidRPr="00F42EF5" w:rsidRDefault="001D546D" w:rsidP="00281329">
            <w:pPr>
              <w:pStyle w:val="Tablecontent"/>
            </w:pPr>
            <w:r>
              <w:t xml:space="preserve">The following lists the objects or situation that may not be part of clean demand. </w:t>
            </w:r>
          </w:p>
          <w:p w14:paraId="6653112D" w14:textId="77777777" w:rsidR="001D546D" w:rsidRPr="00F42EF5" w:rsidRDefault="001D546D" w:rsidP="00281329">
            <w:pPr>
              <w:pStyle w:val="Tablecontent"/>
              <w:numPr>
                <w:ilvl w:val="0"/>
                <w:numId w:val="34"/>
              </w:numPr>
            </w:pPr>
            <w:r w:rsidRPr="00F42EF5">
              <w:t>Orphaned files, VMDK, VM, LUN. They may not even appear in the inventory.</w:t>
            </w:r>
          </w:p>
          <w:p w14:paraId="1BC6DF57" w14:textId="77777777" w:rsidR="001D546D" w:rsidRPr="00F42EF5" w:rsidRDefault="001D546D" w:rsidP="00281329">
            <w:pPr>
              <w:pStyle w:val="Tablecontent"/>
              <w:numPr>
                <w:ilvl w:val="0"/>
                <w:numId w:val="34"/>
              </w:numPr>
            </w:pPr>
            <w:r w:rsidRPr="00F42EF5">
              <w:t>Powered off VM. Not orphaned as it appears in Inventory.</w:t>
            </w:r>
          </w:p>
          <w:p w14:paraId="3772C6FA" w14:textId="77777777" w:rsidR="001D546D" w:rsidRPr="00F42EF5" w:rsidRDefault="001D546D" w:rsidP="00281329">
            <w:pPr>
              <w:pStyle w:val="Tablecontent"/>
              <w:numPr>
                <w:ilvl w:val="0"/>
                <w:numId w:val="34"/>
              </w:numPr>
            </w:pPr>
            <w:r w:rsidRPr="00F42EF5">
              <w:t>Snapshot, both at VM level and storage level.</w:t>
            </w:r>
          </w:p>
          <w:p w14:paraId="49482B67" w14:textId="77777777" w:rsidR="001D546D" w:rsidRPr="00F42EF5" w:rsidRDefault="001D546D" w:rsidP="00281329">
            <w:pPr>
              <w:pStyle w:val="Tablecontent"/>
              <w:numPr>
                <w:ilvl w:val="0"/>
                <w:numId w:val="34"/>
              </w:numPr>
            </w:pPr>
            <w:r w:rsidRPr="00F42EF5">
              <w:t>Idle VM. Cover AWS EC2, Azure VM, GCP VM.</w:t>
            </w:r>
          </w:p>
          <w:p w14:paraId="70B5EC4D" w14:textId="77777777" w:rsidR="001D546D" w:rsidRPr="00F42EF5" w:rsidRDefault="001D546D" w:rsidP="00281329">
            <w:pPr>
              <w:pStyle w:val="Tablecontent"/>
              <w:numPr>
                <w:ilvl w:val="0"/>
                <w:numId w:val="34"/>
              </w:numPr>
            </w:pPr>
            <w:r w:rsidRPr="00F42EF5">
              <w:t>Unused VM (cover AWS EC2, Azure VM, GCP VM). They may not be idle, but no business usage anymore. The VM owner may have left the company</w:t>
            </w:r>
          </w:p>
          <w:p w14:paraId="0E3736AB" w14:textId="77777777" w:rsidR="001D546D" w:rsidRPr="00F42EF5" w:rsidRDefault="001D546D" w:rsidP="00281329">
            <w:pPr>
              <w:pStyle w:val="Tablecontent"/>
              <w:numPr>
                <w:ilvl w:val="0"/>
                <w:numId w:val="34"/>
              </w:numPr>
            </w:pPr>
            <w:r w:rsidRPr="00F42EF5">
              <w:t>Unused AWS storage files or K8 shared volume. The VM no longer uses them.</w:t>
            </w:r>
          </w:p>
          <w:p w14:paraId="7738F8C9" w14:textId="77777777" w:rsidR="001D546D" w:rsidRPr="00F42EF5" w:rsidRDefault="001D546D" w:rsidP="00281329">
            <w:pPr>
              <w:pStyle w:val="Tablecontent"/>
              <w:numPr>
                <w:ilvl w:val="0"/>
                <w:numId w:val="34"/>
              </w:numPr>
            </w:pPr>
            <w:r w:rsidRPr="00F42EF5">
              <w:t>Oversized VM. Cover AWS EC2, Azure VM, GCP VM (could be worse due to their fixed size).</w:t>
            </w:r>
          </w:p>
          <w:p w14:paraId="5FAD3FD6" w14:textId="77777777" w:rsidR="001D546D" w:rsidRPr="00F42EF5" w:rsidRDefault="001D546D" w:rsidP="00281329">
            <w:pPr>
              <w:pStyle w:val="Tablecontent"/>
              <w:numPr>
                <w:ilvl w:val="0"/>
                <w:numId w:val="34"/>
              </w:numPr>
            </w:pPr>
            <w:r w:rsidRPr="00F42EF5">
              <w:t>Runaway VM or EC2. They consume excessive resource due, typically due to software bug such as memory leak or CPU lock</w:t>
            </w:r>
          </w:p>
          <w:p w14:paraId="1476E8A9" w14:textId="77777777" w:rsidR="001D546D" w:rsidRDefault="001D546D" w:rsidP="00281329">
            <w:pPr>
              <w:pStyle w:val="Tablecontent"/>
              <w:numPr>
                <w:ilvl w:val="0"/>
                <w:numId w:val="34"/>
              </w:numPr>
            </w:pPr>
            <w:r w:rsidRPr="00F42EF5">
              <w:t>Unmap files at storage level.</w:t>
            </w:r>
          </w:p>
          <w:p w14:paraId="30C84ECC" w14:textId="77777777" w:rsidR="001D546D" w:rsidRPr="00F42EF5" w:rsidRDefault="001D546D" w:rsidP="00281329">
            <w:pPr>
              <w:pStyle w:val="Tablecontent"/>
              <w:numPr>
                <w:ilvl w:val="0"/>
                <w:numId w:val="34"/>
              </w:numPr>
            </w:pPr>
            <w:r>
              <w:t>Reduction of agents. While each agent maybe light in resource, collectively they can result in high overhead.</w:t>
            </w:r>
          </w:p>
        </w:tc>
      </w:tr>
      <w:tr w:rsidR="001D546D" w14:paraId="753D1C30" w14:textId="77777777" w:rsidTr="00281329">
        <w:tc>
          <w:tcPr>
            <w:tcW w:w="1838" w:type="dxa"/>
            <w:shd w:val="clear" w:color="auto" w:fill="F2F2F2" w:themeFill="background1" w:themeFillShade="F2"/>
          </w:tcPr>
          <w:p w14:paraId="4A6FB313" w14:textId="77777777" w:rsidR="001D546D" w:rsidRDefault="001D546D" w:rsidP="00281329">
            <w:pPr>
              <w:pStyle w:val="Tablecontent"/>
              <w:rPr>
                <w:lang w:val="en-GB"/>
              </w:rPr>
            </w:pPr>
            <w:r w:rsidRPr="0022569A">
              <w:rPr>
                <w:rStyle w:val="Strong"/>
                <w:color w:val="00B050"/>
              </w:rPr>
              <w:t>Green</w:t>
            </w:r>
            <w:r>
              <w:rPr>
                <w:rStyle w:val="Strong"/>
              </w:rPr>
              <w:t xml:space="preserve"> Supply</w:t>
            </w:r>
          </w:p>
        </w:tc>
        <w:tc>
          <w:tcPr>
            <w:tcW w:w="8505" w:type="dxa"/>
          </w:tcPr>
          <w:p w14:paraId="3A35ADC1" w14:textId="77777777" w:rsidR="001D546D" w:rsidRDefault="001D546D" w:rsidP="00281329">
            <w:pPr>
              <w:pStyle w:val="Tablecontent"/>
            </w:pPr>
            <w:r>
              <w:t>Hardware &amp; Software infrastructure that is optimized.</w:t>
            </w:r>
          </w:p>
          <w:p w14:paraId="38579463" w14:textId="77777777" w:rsidR="001D546D" w:rsidRDefault="001D546D" w:rsidP="00281329">
            <w:pPr>
              <w:pStyle w:val="Tablecontent"/>
            </w:pPr>
            <w:r>
              <w:t>Projects you can consider to optimize the supply</w:t>
            </w:r>
          </w:p>
          <w:p w14:paraId="12E47A8D" w14:textId="77777777" w:rsidR="001D546D" w:rsidRPr="00D82F36" w:rsidRDefault="001D546D" w:rsidP="00281329">
            <w:pPr>
              <w:pStyle w:val="Bullet"/>
              <w:rPr>
                <w:lang w:eastAsia="en-SG"/>
              </w:rPr>
            </w:pPr>
            <w:r w:rsidRPr="00D82F36">
              <w:rPr>
                <w:lang w:eastAsia="en-SG"/>
              </w:rPr>
              <w:t>Fibre Channel → Ethernet consolidation. No need 2 separate network for storage and server.</w:t>
            </w:r>
          </w:p>
          <w:p w14:paraId="623E2BDE" w14:textId="77777777" w:rsidR="001D546D" w:rsidRPr="00D82F36" w:rsidRDefault="001D546D" w:rsidP="00281329">
            <w:pPr>
              <w:pStyle w:val="Bullet"/>
              <w:rPr>
                <w:lang w:eastAsia="en-SG"/>
              </w:rPr>
            </w:pPr>
            <w:r w:rsidRPr="00D82F36">
              <w:rPr>
                <w:lang w:eastAsia="en-SG"/>
              </w:rPr>
              <w:t>Physical Array → vSAN migration. HCI consumes less power and DC footprint.</w:t>
            </w:r>
          </w:p>
          <w:p w14:paraId="0625C9C8" w14:textId="77777777" w:rsidR="001D546D" w:rsidRPr="00D82F36" w:rsidRDefault="001D546D" w:rsidP="00281329">
            <w:pPr>
              <w:pStyle w:val="Bullet"/>
              <w:rPr>
                <w:lang w:eastAsia="en-SG"/>
              </w:rPr>
            </w:pPr>
            <w:r w:rsidRPr="00D82F36">
              <w:rPr>
                <w:lang w:eastAsia="en-SG"/>
              </w:rPr>
              <w:t>Physical Network → NSX migration. Physical FW, LB, etc</w:t>
            </w:r>
          </w:p>
          <w:p w14:paraId="72BAA0DF" w14:textId="77777777" w:rsidR="001D546D" w:rsidRPr="00D82F36" w:rsidRDefault="001D546D" w:rsidP="00281329">
            <w:pPr>
              <w:pStyle w:val="Bullet"/>
              <w:rPr>
                <w:lang w:eastAsia="en-SG"/>
              </w:rPr>
            </w:pPr>
            <w:r w:rsidRPr="00D82F36">
              <w:rPr>
                <w:lang w:eastAsia="en-SG"/>
              </w:rPr>
              <w:t>Islands of hardware due to physical air gaps → NSX</w:t>
            </w:r>
          </w:p>
          <w:p w14:paraId="7CBA7315" w14:textId="77777777" w:rsidR="001D546D" w:rsidRPr="00D82F36" w:rsidRDefault="001D546D" w:rsidP="00281329">
            <w:pPr>
              <w:pStyle w:val="Bullet"/>
              <w:rPr>
                <w:lang w:eastAsia="en-SG"/>
              </w:rPr>
            </w:pPr>
            <w:r w:rsidRPr="00D82F36">
              <w:rPr>
                <w:lang w:eastAsia="en-SG"/>
              </w:rPr>
              <w:t>Ageing hardware. Newer CPU has more cores and more power efficient</w:t>
            </w:r>
          </w:p>
          <w:p w14:paraId="17DDF85F" w14:textId="77777777" w:rsidR="001D546D" w:rsidRDefault="001D546D" w:rsidP="00281329">
            <w:pPr>
              <w:pStyle w:val="Bullet"/>
              <w:rPr>
                <w:lang w:eastAsia="en-SG"/>
              </w:rPr>
            </w:pPr>
            <w:r w:rsidRPr="00D82F36">
              <w:rPr>
                <w:lang w:eastAsia="en-SG"/>
              </w:rPr>
              <w:t>Physical Desktop → VDI with thin client. This also improves security.</w:t>
            </w:r>
          </w:p>
          <w:p w14:paraId="398E2536" w14:textId="77777777" w:rsidR="001D546D" w:rsidRPr="00D82F36" w:rsidRDefault="001D546D" w:rsidP="00281329">
            <w:pPr>
              <w:pStyle w:val="Bullet"/>
              <w:rPr>
                <w:lang w:eastAsia="en-SG"/>
              </w:rPr>
            </w:pPr>
            <w:r>
              <w:rPr>
                <w:lang w:eastAsia="en-SG"/>
              </w:rPr>
              <w:t xml:space="preserve">Reduce DC physical footprint. </w:t>
            </w:r>
          </w:p>
          <w:p w14:paraId="1D365426" w14:textId="77777777" w:rsidR="001D546D" w:rsidRDefault="001D546D" w:rsidP="00281329">
            <w:pPr>
              <w:rPr>
                <w:lang w:eastAsia="en-SG"/>
              </w:rPr>
            </w:pPr>
            <w:r>
              <w:rPr>
                <w:lang w:eastAsia="en-SG"/>
              </w:rPr>
              <w:t xml:space="preserve">Configuration you should review </w:t>
            </w:r>
          </w:p>
          <w:p w14:paraId="4846ECE0" w14:textId="77777777" w:rsidR="001D546D" w:rsidRPr="00D82F36" w:rsidRDefault="001D546D" w:rsidP="00281329">
            <w:pPr>
              <w:pStyle w:val="Bullet"/>
              <w:spacing w:line="259" w:lineRule="auto"/>
              <w:rPr>
                <w:lang w:eastAsia="en-SG"/>
              </w:rPr>
            </w:pPr>
            <w:r w:rsidRPr="00D82F36">
              <w:rPr>
                <w:lang w:eastAsia="en-SG"/>
              </w:rPr>
              <w:t xml:space="preserve">Incorrect power </w:t>
            </w:r>
            <w:r>
              <w:rPr>
                <w:lang w:eastAsia="en-SG"/>
              </w:rPr>
              <w:t>management</w:t>
            </w:r>
            <w:r w:rsidRPr="00D82F36">
              <w:rPr>
                <w:lang w:eastAsia="en-SG"/>
              </w:rPr>
              <w:t xml:space="preserve"> settings. </w:t>
            </w:r>
            <w:r>
              <w:rPr>
                <w:lang w:eastAsia="en-SG"/>
              </w:rPr>
              <w:t xml:space="preserve">Unless it’s proven, avoid </w:t>
            </w:r>
            <w:r w:rsidRPr="00D82F36">
              <w:rPr>
                <w:lang w:eastAsia="en-SG"/>
              </w:rPr>
              <w:t>set</w:t>
            </w:r>
            <w:r>
              <w:rPr>
                <w:lang w:eastAsia="en-SG"/>
              </w:rPr>
              <w:t>ting</w:t>
            </w:r>
            <w:r w:rsidRPr="00D82F36">
              <w:rPr>
                <w:lang w:eastAsia="en-SG"/>
              </w:rPr>
              <w:t xml:space="preserve"> power management to Max</w:t>
            </w:r>
            <w:r>
              <w:rPr>
                <w:lang w:eastAsia="en-SG"/>
              </w:rPr>
              <w:t xml:space="preserve"> as that’s </w:t>
            </w:r>
            <w:r w:rsidRPr="00D82F36">
              <w:rPr>
                <w:lang w:eastAsia="en-SG"/>
              </w:rPr>
              <w:t>legacy of old best practice.</w:t>
            </w:r>
          </w:p>
          <w:p w14:paraId="63FA3A9E" w14:textId="77777777" w:rsidR="001D546D" w:rsidRDefault="001D546D" w:rsidP="00281329">
            <w:pPr>
              <w:pStyle w:val="Bullet"/>
              <w:rPr>
                <w:lang w:eastAsia="en-SG"/>
              </w:rPr>
            </w:pPr>
            <w:r w:rsidRPr="00D82F36">
              <w:rPr>
                <w:lang w:eastAsia="en-SG"/>
              </w:rPr>
              <w:t>Oversized cluster, datastore, storage arrays, physical switches, SAN fabric, network devices.</w:t>
            </w:r>
          </w:p>
          <w:p w14:paraId="11A7B929" w14:textId="77777777" w:rsidR="001D546D" w:rsidRPr="00D82F36" w:rsidRDefault="001D546D" w:rsidP="00281329">
            <w:pPr>
              <w:pStyle w:val="Bullet"/>
              <w:rPr>
                <w:lang w:eastAsia="en-SG"/>
              </w:rPr>
            </w:pPr>
            <w:r>
              <w:rPr>
                <w:lang w:eastAsia="en-SG"/>
              </w:rPr>
              <w:lastRenderedPageBreak/>
              <w:t>Small clusters. vSphere Cluster with less ESXi has higher HA overhead relative to its total capacity.</w:t>
            </w:r>
          </w:p>
          <w:p w14:paraId="6A7713BD" w14:textId="77777777" w:rsidR="001D546D" w:rsidRPr="00D82F36" w:rsidRDefault="001D546D" w:rsidP="00281329">
            <w:pPr>
              <w:pStyle w:val="Bullet"/>
              <w:rPr>
                <w:lang w:eastAsia="en-SG"/>
              </w:rPr>
            </w:pPr>
            <w:r w:rsidRPr="00D82F36">
              <w:rPr>
                <w:lang w:eastAsia="en-SG"/>
              </w:rPr>
              <w:t xml:space="preserve">Unused resource (physical servers, network devices, network ports). Old equipment </w:t>
            </w:r>
            <w:r>
              <w:rPr>
                <w:lang w:eastAsia="en-SG"/>
              </w:rPr>
              <w:t xml:space="preserve">is </w:t>
            </w:r>
            <w:r w:rsidRPr="00D82F36">
              <w:rPr>
                <w:lang w:eastAsia="en-SG"/>
              </w:rPr>
              <w:t>easily forgotten in large environment.</w:t>
            </w:r>
          </w:p>
        </w:tc>
      </w:tr>
      <w:tr w:rsidR="001D546D" w14:paraId="63782B4C" w14:textId="77777777" w:rsidTr="00281329">
        <w:tc>
          <w:tcPr>
            <w:tcW w:w="1838" w:type="dxa"/>
            <w:shd w:val="clear" w:color="auto" w:fill="F2F2F2" w:themeFill="background1" w:themeFillShade="F2"/>
          </w:tcPr>
          <w:p w14:paraId="446F582C" w14:textId="77777777" w:rsidR="001D546D" w:rsidRDefault="001D546D" w:rsidP="00281329">
            <w:pPr>
              <w:pStyle w:val="Tablecontent"/>
              <w:rPr>
                <w:lang w:val="en-GB"/>
              </w:rPr>
            </w:pPr>
            <w:r>
              <w:rPr>
                <w:rStyle w:val="Strong"/>
              </w:rPr>
              <w:lastRenderedPageBreak/>
              <w:t>Lean Operations</w:t>
            </w:r>
          </w:p>
        </w:tc>
        <w:tc>
          <w:tcPr>
            <w:tcW w:w="8505" w:type="dxa"/>
          </w:tcPr>
          <w:p w14:paraId="7E9657D6" w14:textId="77777777" w:rsidR="001D546D" w:rsidRDefault="001D546D" w:rsidP="00281329">
            <w:pPr>
              <w:pStyle w:val="Tablecontent"/>
            </w:pPr>
            <w:r>
              <w:t>Run with minimal overhead and buffer.</w:t>
            </w:r>
          </w:p>
          <w:p w14:paraId="68B4B45C" w14:textId="77777777" w:rsidR="001D546D" w:rsidRDefault="001D546D" w:rsidP="00281329">
            <w:pPr>
              <w:pStyle w:val="Tablecontent"/>
            </w:pPr>
            <w:r>
              <w:t>Opportunity to optimize the operations itself (process, people, tools)</w:t>
            </w:r>
          </w:p>
          <w:p w14:paraId="777824EE" w14:textId="77777777" w:rsidR="001D546D" w:rsidRPr="00D82F36" w:rsidRDefault="001D546D" w:rsidP="00281329">
            <w:pPr>
              <w:pStyle w:val="Bullet"/>
              <w:rPr>
                <w:lang w:eastAsia="en-SG"/>
              </w:rPr>
            </w:pPr>
            <w:r w:rsidRPr="00D82F36">
              <w:rPr>
                <w:lang w:eastAsia="en-SG"/>
              </w:rPr>
              <w:t>SLA-based Operations. Customers can go beyond the simple Availability SLA and introduce Performance SLA and Compliance SLA. Using the Class of Service feature, they provide differentiated services.</w:t>
            </w:r>
          </w:p>
          <w:p w14:paraId="572DB3CC" w14:textId="77777777" w:rsidR="001D546D" w:rsidRPr="00D82F36" w:rsidRDefault="001D546D" w:rsidP="00281329">
            <w:pPr>
              <w:pStyle w:val="Bullet"/>
              <w:rPr>
                <w:lang w:eastAsia="en-SG"/>
              </w:rPr>
            </w:pPr>
            <w:r w:rsidRPr="00D82F36">
              <w:rPr>
                <w:lang w:eastAsia="en-SG"/>
              </w:rPr>
              <w:t>Business-aware Operations. Using a proper inventory of VM, grouped by Business Units and Applications, customers can show how the business runs on the IaaS platform.</w:t>
            </w:r>
          </w:p>
          <w:p w14:paraId="0F578456" w14:textId="77777777" w:rsidR="001D546D" w:rsidRPr="00D82F36" w:rsidRDefault="001D546D" w:rsidP="00281329">
            <w:pPr>
              <w:pStyle w:val="Bullet"/>
              <w:rPr>
                <w:lang w:eastAsia="en-SG"/>
              </w:rPr>
            </w:pPr>
            <w:r w:rsidRPr="00D82F36">
              <w:rPr>
                <w:lang w:eastAsia="en-SG"/>
              </w:rPr>
              <w:t xml:space="preserve">On-Demand scaling. Some customers in </w:t>
            </w:r>
            <w:r>
              <w:rPr>
                <w:lang w:eastAsia="en-SG"/>
              </w:rPr>
              <w:t xml:space="preserve">FSI in </w:t>
            </w:r>
            <w:r w:rsidRPr="00D82F36">
              <w:rPr>
                <w:lang w:eastAsia="en-SG"/>
              </w:rPr>
              <w:t>Singapore implemented on-demand scaling for VDI. On the weekend it's reset back to original size.</w:t>
            </w:r>
          </w:p>
          <w:p w14:paraId="2B7C87F2" w14:textId="77777777" w:rsidR="001D546D" w:rsidRPr="00D82F36" w:rsidRDefault="001D546D" w:rsidP="00281329">
            <w:pPr>
              <w:pStyle w:val="Bullet"/>
              <w:rPr>
                <w:lang w:eastAsia="en-SG"/>
              </w:rPr>
            </w:pPr>
            <w:r w:rsidRPr="00D82F36">
              <w:rPr>
                <w:lang w:eastAsia="en-SG"/>
              </w:rPr>
              <w:t xml:space="preserve">Correct utilization </w:t>
            </w:r>
            <w:r>
              <w:rPr>
                <w:lang w:eastAsia="en-SG"/>
              </w:rPr>
              <w:t>metrics</w:t>
            </w:r>
            <w:r w:rsidRPr="00D82F36">
              <w:rPr>
                <w:lang w:eastAsia="en-SG"/>
              </w:rPr>
              <w:t xml:space="preserve">. Current </w:t>
            </w:r>
            <w:r>
              <w:rPr>
                <w:lang w:eastAsia="en-SG"/>
              </w:rPr>
              <w:t>metrics</w:t>
            </w:r>
            <w:r w:rsidRPr="00D82F36">
              <w:rPr>
                <w:lang w:eastAsia="en-SG"/>
              </w:rPr>
              <w:t xml:space="preserve"> are legacy of Virtual Center 1.0, </w:t>
            </w:r>
            <w:r>
              <w:rPr>
                <w:lang w:eastAsia="en-SG"/>
              </w:rPr>
              <w:t xml:space="preserve">they </w:t>
            </w:r>
            <w:r w:rsidRPr="00D82F36">
              <w:rPr>
                <w:lang w:eastAsia="en-SG"/>
              </w:rPr>
              <w:t xml:space="preserve">have not changed in 17 years. Virtualization has matured but we still use the highly conservative </w:t>
            </w:r>
            <w:r>
              <w:rPr>
                <w:lang w:eastAsia="en-SG"/>
              </w:rPr>
              <w:t>metrics</w:t>
            </w:r>
            <w:r w:rsidRPr="00D82F36">
              <w:rPr>
                <w:lang w:eastAsia="en-SG"/>
              </w:rPr>
              <w:t xml:space="preserve">, resulting in excess hardware. By using the correct </w:t>
            </w:r>
            <w:r>
              <w:rPr>
                <w:lang w:eastAsia="en-SG"/>
              </w:rPr>
              <w:t>metrics</w:t>
            </w:r>
            <w:r w:rsidRPr="00D82F36">
              <w:rPr>
                <w:lang w:eastAsia="en-SG"/>
              </w:rPr>
              <w:t xml:space="preserve"> for the correct use case, customers can run higher utilization.</w:t>
            </w:r>
          </w:p>
        </w:tc>
      </w:tr>
    </w:tbl>
    <w:bookmarkEnd w:id="156"/>
    <w:p w14:paraId="3A97BB77" w14:textId="009AC404" w:rsidR="005077A5" w:rsidRDefault="005077A5" w:rsidP="00540F68">
      <w:pPr>
        <w:pStyle w:val="Heading3"/>
      </w:pPr>
      <w:r w:rsidRPr="00A452F2">
        <w:t>vSAN File Services</w:t>
      </w:r>
    </w:p>
    <w:p w14:paraId="4C5E8580" w14:textId="50215184" w:rsidR="00DB2553" w:rsidRPr="00DB2553" w:rsidRDefault="00C66998" w:rsidP="00DB2553">
      <w:pPr>
        <w:rPr>
          <w:lang w:val="en-GB"/>
        </w:rPr>
      </w:pPr>
      <w:r>
        <w:rPr>
          <w:lang w:val="en-GB"/>
        </w:rPr>
        <w:t xml:space="preserve">Typical applications of file share are Windows User </w:t>
      </w:r>
      <w:r w:rsidR="00DB2553" w:rsidRPr="00DB2553">
        <w:rPr>
          <w:lang w:val="en-GB"/>
        </w:rPr>
        <w:t xml:space="preserve">home directories, </w:t>
      </w:r>
      <w:r>
        <w:rPr>
          <w:lang w:val="en-GB"/>
        </w:rPr>
        <w:t xml:space="preserve">Horizon VDI </w:t>
      </w:r>
      <w:r w:rsidR="00DB2553" w:rsidRPr="00DB2553">
        <w:rPr>
          <w:lang w:val="en-GB"/>
        </w:rPr>
        <w:t xml:space="preserve">user profiles, </w:t>
      </w:r>
      <w:r w:rsidR="00012F0E">
        <w:rPr>
          <w:lang w:val="en-GB"/>
        </w:rPr>
        <w:t xml:space="preserve">K8 </w:t>
      </w:r>
      <w:r w:rsidR="00DB2553" w:rsidRPr="00DB2553">
        <w:rPr>
          <w:lang w:val="en-GB"/>
        </w:rPr>
        <w:t>share</w:t>
      </w:r>
      <w:r w:rsidR="00012F0E">
        <w:rPr>
          <w:lang w:val="en-GB"/>
        </w:rPr>
        <w:t>d storage</w:t>
      </w:r>
      <w:r w:rsidR="00DB2553" w:rsidRPr="00DB2553">
        <w:rPr>
          <w:lang w:val="en-GB"/>
        </w:rPr>
        <w:t xml:space="preserve"> needs</w:t>
      </w:r>
      <w:r w:rsidR="00012F0E">
        <w:rPr>
          <w:lang w:val="en-GB"/>
        </w:rPr>
        <w:t xml:space="preserve">. Basically, any </w:t>
      </w:r>
      <w:r w:rsidR="00DB2553" w:rsidRPr="00DB2553">
        <w:rPr>
          <w:lang w:val="en-GB"/>
        </w:rPr>
        <w:t xml:space="preserve">physical </w:t>
      </w:r>
      <w:r w:rsidR="00012F0E">
        <w:rPr>
          <w:lang w:val="en-GB"/>
        </w:rPr>
        <w:t xml:space="preserve">or </w:t>
      </w:r>
      <w:r w:rsidR="00DB2553" w:rsidRPr="00DB2553">
        <w:rPr>
          <w:lang w:val="en-GB"/>
        </w:rPr>
        <w:t>virtual workloads needing file services</w:t>
      </w:r>
      <w:r w:rsidR="00012F0E">
        <w:rPr>
          <w:lang w:val="en-GB"/>
        </w:rPr>
        <w:t>.</w:t>
      </w:r>
      <w:r w:rsidR="001E177B">
        <w:rPr>
          <w:lang w:val="en-GB"/>
        </w:rPr>
        <w:t xml:space="preserve"> vSAN </w:t>
      </w:r>
      <w:r w:rsidR="001E177B" w:rsidRPr="001E177B">
        <w:rPr>
          <w:lang w:val="en-GB"/>
        </w:rPr>
        <w:t xml:space="preserve">Virtual Distributed File System (VDFS) </w:t>
      </w:r>
      <w:r w:rsidR="00E62F16">
        <w:rPr>
          <w:lang w:val="en-GB"/>
        </w:rPr>
        <w:t xml:space="preserve">presents the mount point via </w:t>
      </w:r>
      <w:r w:rsidR="001E177B" w:rsidRPr="001E177B">
        <w:rPr>
          <w:lang w:val="en-GB"/>
        </w:rPr>
        <w:t xml:space="preserve">SMB2, SMB3, NFSv3 or NFSv4.1 </w:t>
      </w:r>
      <w:r w:rsidR="00E62F16">
        <w:rPr>
          <w:lang w:val="en-GB"/>
        </w:rPr>
        <w:t>protocol</w:t>
      </w:r>
      <w:r w:rsidR="001E177B" w:rsidRPr="001E177B">
        <w:rPr>
          <w:lang w:val="en-GB"/>
        </w:rPr>
        <w:t>.</w:t>
      </w:r>
    </w:p>
    <w:p w14:paraId="5F6915E9" w14:textId="3705113E" w:rsidR="005077A5" w:rsidRPr="00A452F2" w:rsidRDefault="005077A5" w:rsidP="005077A5">
      <w:pPr>
        <w:rPr>
          <w:lang w:val="en-GB"/>
        </w:rPr>
      </w:pPr>
      <w:r w:rsidRPr="00A452F2">
        <w:rPr>
          <w:lang w:val="en-GB"/>
        </w:rPr>
        <w:t>Th</w:t>
      </w:r>
      <w:r w:rsidR="00280CD0">
        <w:rPr>
          <w:lang w:val="en-GB"/>
        </w:rPr>
        <w:t>is d</w:t>
      </w:r>
      <w:r w:rsidRPr="00A452F2">
        <w:rPr>
          <w:lang w:val="en-GB"/>
        </w:rPr>
        <w:t xml:space="preserve">ashboard helps VMware administrator monitor the file services running in their vSAN environment. </w:t>
      </w:r>
      <w:r w:rsidR="008C4D88">
        <w:rPr>
          <w:lang w:val="en-GB"/>
        </w:rPr>
        <w:t xml:space="preserve">It </w:t>
      </w:r>
      <w:r w:rsidRPr="00A452F2">
        <w:rPr>
          <w:lang w:val="en-GB"/>
        </w:rPr>
        <w:t xml:space="preserve">is designed to complement the vSAN file services management provided by vCenter Server. It does not duplicate information already provided, and each tool has their purpose. vCenter is more of an administrative tool, while </w:t>
      </w:r>
      <w:r w:rsidR="00F72B2F" w:rsidRPr="00A452F2">
        <w:rPr>
          <w:lang w:val="en-GB"/>
        </w:rPr>
        <w:t xml:space="preserve">vRealize Operations </w:t>
      </w:r>
      <w:r w:rsidRPr="00A452F2">
        <w:rPr>
          <w:lang w:val="en-GB"/>
        </w:rPr>
        <w:t xml:space="preserve">is more of an operations tool. </w:t>
      </w:r>
    </w:p>
    <w:p w14:paraId="65591A1D" w14:textId="77777777" w:rsidR="009A0A1A" w:rsidRPr="00A452F2" w:rsidRDefault="009A0A1A" w:rsidP="009A0A1A">
      <w:pPr>
        <w:rPr>
          <w:lang w:val="en-GB"/>
        </w:rPr>
      </w:pPr>
      <w:r w:rsidRPr="00A452F2">
        <w:rPr>
          <w:lang w:val="en-GB"/>
        </w:rPr>
        <w:t>vSAN File Servers and vSAN File Shares are 2 new objects in vRealize Operations vSAN management pack.</w:t>
      </w:r>
    </w:p>
    <w:p w14:paraId="5D7A83FA" w14:textId="77777777" w:rsidR="005077A5" w:rsidRPr="00A452F2" w:rsidRDefault="005077A5" w:rsidP="00AC6E1E">
      <w:pPr>
        <w:pStyle w:val="Heading4"/>
      </w:pPr>
      <w:r w:rsidRPr="00A452F2">
        <w:t>How to Use</w:t>
      </w:r>
    </w:p>
    <w:p w14:paraId="40260315" w14:textId="77777777" w:rsidR="005077A5" w:rsidRPr="00A452F2" w:rsidRDefault="005077A5" w:rsidP="005077A5">
      <w:pPr>
        <w:rPr>
          <w:lang w:val="en-GB"/>
        </w:rPr>
      </w:pPr>
      <w:r w:rsidRPr="00A452F2">
        <w:rPr>
          <w:lang w:val="en-GB"/>
        </w:rPr>
        <w:t>Review the “</w:t>
      </w:r>
      <w:r w:rsidRPr="00A452F2">
        <w:rPr>
          <w:b/>
          <w:bCs/>
          <w:lang w:val="en-GB"/>
        </w:rPr>
        <w:t>File Shares by Used Space and Latency</w:t>
      </w:r>
      <w:r w:rsidRPr="00A452F2">
        <w:rPr>
          <w:lang w:val="en-GB"/>
        </w:rPr>
        <w:t>” heat map</w:t>
      </w:r>
    </w:p>
    <w:p w14:paraId="0D5120BD" w14:textId="77777777" w:rsidR="005077A5" w:rsidRPr="00A452F2" w:rsidRDefault="005077A5" w:rsidP="00BB4B86">
      <w:pPr>
        <w:pStyle w:val="ListParagraph"/>
        <w:numPr>
          <w:ilvl w:val="0"/>
          <w:numId w:val="14"/>
        </w:numPr>
        <w:rPr>
          <w:lang w:val="en-GB"/>
        </w:rPr>
      </w:pPr>
      <w:r w:rsidRPr="00A452F2">
        <w:rPr>
          <w:lang w:val="en-GB"/>
        </w:rPr>
        <w:lastRenderedPageBreak/>
        <w:t xml:space="preserve">It shows all the file shares in your environment. </w:t>
      </w:r>
    </w:p>
    <w:p w14:paraId="7C61998B" w14:textId="77777777" w:rsidR="005077A5" w:rsidRPr="00A452F2" w:rsidRDefault="005077A5" w:rsidP="00BB4B86">
      <w:pPr>
        <w:pStyle w:val="ListParagraph"/>
        <w:numPr>
          <w:ilvl w:val="0"/>
          <w:numId w:val="14"/>
        </w:numPr>
        <w:rPr>
          <w:lang w:val="en-GB"/>
        </w:rPr>
      </w:pPr>
      <w:r w:rsidRPr="00A452F2">
        <w:rPr>
          <w:lang w:val="en-GB"/>
        </w:rPr>
        <w:t xml:space="preserve">The greater the usage (consumption), the greater the box, so you can easily see the most consumed ones. </w:t>
      </w:r>
    </w:p>
    <w:p w14:paraId="474C741D" w14:textId="7545B2A3" w:rsidR="005077A5" w:rsidRPr="00A452F2" w:rsidRDefault="005077A5" w:rsidP="00BB4B86">
      <w:pPr>
        <w:pStyle w:val="ListParagraph"/>
        <w:numPr>
          <w:ilvl w:val="0"/>
          <w:numId w:val="14"/>
        </w:numPr>
        <w:rPr>
          <w:lang w:val="en-GB"/>
        </w:rPr>
      </w:pPr>
      <w:r w:rsidRPr="00A452F2">
        <w:rPr>
          <w:lang w:val="en-GB"/>
        </w:rPr>
        <w:t xml:space="preserve">They are </w:t>
      </w:r>
      <w:r w:rsidR="008C4D88">
        <w:rPr>
          <w:lang w:val="en-GB"/>
        </w:rPr>
        <w:t>colou</w:t>
      </w:r>
      <w:r w:rsidR="008C4D88" w:rsidRPr="00A452F2">
        <w:rPr>
          <w:lang w:val="en-GB"/>
        </w:rPr>
        <w:t>red</w:t>
      </w:r>
      <w:r w:rsidRPr="00A452F2">
        <w:rPr>
          <w:lang w:val="en-GB"/>
        </w:rPr>
        <w:t xml:space="preserve"> by latency. Pay attention to the box with </w:t>
      </w:r>
      <w:r w:rsidR="00CF7D2C" w:rsidRPr="00CF7D2C">
        <w:rPr>
          <w:color w:val="FF0000"/>
          <w:lang w:val="en-GB"/>
        </w:rPr>
        <w:t>red</w:t>
      </w:r>
      <w:r w:rsidRPr="00A452F2">
        <w:rPr>
          <w:lang w:val="en-GB"/>
        </w:rPr>
        <w:t xml:space="preserve"> </w:t>
      </w:r>
      <w:r w:rsidR="00E65E9E">
        <w:rPr>
          <w:lang w:val="en-GB"/>
        </w:rPr>
        <w:t>color</w:t>
      </w:r>
      <w:r w:rsidRPr="00A452F2">
        <w:rPr>
          <w:lang w:val="en-GB"/>
        </w:rPr>
        <w:t>.</w:t>
      </w:r>
    </w:p>
    <w:p w14:paraId="5B0F57DF" w14:textId="77777777" w:rsidR="005077A5" w:rsidRPr="00A452F2" w:rsidRDefault="005077A5" w:rsidP="005077A5">
      <w:pPr>
        <w:rPr>
          <w:lang w:val="en-GB"/>
        </w:rPr>
      </w:pPr>
      <w:r w:rsidRPr="00A452F2">
        <w:rPr>
          <w:lang w:val="en-GB"/>
        </w:rPr>
        <w:t>Review the “</w:t>
      </w:r>
      <w:r w:rsidRPr="00A452F2">
        <w:rPr>
          <w:b/>
          <w:bCs/>
          <w:lang w:val="en-GB"/>
        </w:rPr>
        <w:t>vSAN Clusters with File Services enabled</w:t>
      </w:r>
      <w:r w:rsidRPr="00A452F2">
        <w:rPr>
          <w:lang w:val="en-GB"/>
        </w:rPr>
        <w:t>” table</w:t>
      </w:r>
    </w:p>
    <w:p w14:paraId="76AAEFF5" w14:textId="77777777" w:rsidR="005077A5" w:rsidRPr="00A452F2" w:rsidRDefault="005077A5" w:rsidP="00BB4B86">
      <w:pPr>
        <w:pStyle w:val="ListParagraph"/>
        <w:numPr>
          <w:ilvl w:val="0"/>
          <w:numId w:val="14"/>
        </w:numPr>
        <w:rPr>
          <w:lang w:val="en-GB"/>
        </w:rPr>
      </w:pPr>
      <w:r w:rsidRPr="00A452F2">
        <w:rPr>
          <w:lang w:val="en-GB"/>
        </w:rPr>
        <w:t xml:space="preserve">It lists all the vSAN clusters with file services enabled, giving a convenient view to see which clusters have these settings turned on. </w:t>
      </w:r>
    </w:p>
    <w:p w14:paraId="16C48411" w14:textId="77777777" w:rsidR="005077A5" w:rsidRPr="00A452F2" w:rsidRDefault="005077A5" w:rsidP="005077A5">
      <w:pPr>
        <w:rPr>
          <w:lang w:val="en-GB"/>
        </w:rPr>
      </w:pPr>
      <w:r w:rsidRPr="00A452F2">
        <w:rPr>
          <w:lang w:val="en-GB"/>
        </w:rPr>
        <w:t>Select a vSAN cluster from the table</w:t>
      </w:r>
    </w:p>
    <w:p w14:paraId="0C0B2F9C" w14:textId="77777777" w:rsidR="005077A5" w:rsidRPr="00A452F2" w:rsidRDefault="005077A5" w:rsidP="00BB4B86">
      <w:pPr>
        <w:pStyle w:val="ListParagraph"/>
        <w:numPr>
          <w:ilvl w:val="0"/>
          <w:numId w:val="14"/>
        </w:numPr>
        <w:rPr>
          <w:lang w:val="en-GB"/>
        </w:rPr>
      </w:pPr>
      <w:r w:rsidRPr="00A452F2">
        <w:rPr>
          <w:lang w:val="en-GB"/>
        </w:rPr>
        <w:t xml:space="preserve">The file servers in the selected vSAN cluster will be automatically shown. Selecting a file server will filter the file shares list to only show the file shares in the selected file server. </w:t>
      </w:r>
    </w:p>
    <w:p w14:paraId="242E2653" w14:textId="7571CB06" w:rsidR="005077A5" w:rsidRDefault="005077A5" w:rsidP="00BB4B86">
      <w:pPr>
        <w:pStyle w:val="ListParagraph"/>
        <w:numPr>
          <w:ilvl w:val="0"/>
          <w:numId w:val="14"/>
        </w:numPr>
        <w:rPr>
          <w:lang w:val="en-GB"/>
        </w:rPr>
      </w:pPr>
      <w:r w:rsidRPr="00A452F2">
        <w:rPr>
          <w:lang w:val="en-GB"/>
        </w:rPr>
        <w:t>The file shares in the selected vSAN cluster will be automatically shown. Selecting a file share will display all the relevant KPI on the file share.</w:t>
      </w:r>
    </w:p>
    <w:p w14:paraId="74ED1DC2" w14:textId="0282E558" w:rsidR="00796465" w:rsidRPr="00A452F2" w:rsidRDefault="0006314C" w:rsidP="0006314C">
      <w:pPr>
        <w:rPr>
          <w:lang w:val="en-GB"/>
        </w:rPr>
      </w:pPr>
      <w:r>
        <w:rPr>
          <w:lang w:val="en-GB"/>
        </w:rPr>
        <w:t xml:space="preserve">Customize this dashboard to add capacity. vSAN </w:t>
      </w:r>
      <w:r w:rsidR="00A562C2">
        <w:rPr>
          <w:lang w:val="en-GB"/>
        </w:rPr>
        <w:t xml:space="preserve">provides a disk space warning threshold and the hard quota limit. </w:t>
      </w:r>
      <w:r w:rsidR="00FB5E71">
        <w:rPr>
          <w:lang w:val="en-GB"/>
        </w:rPr>
        <w:t xml:space="preserve">More info </w:t>
      </w:r>
      <w:hyperlink r:id="rId1353" w:anchor="sec6936-sub5" w:history="1">
        <w:r w:rsidR="00FB5E71" w:rsidRPr="00FB5E71">
          <w:rPr>
            <w:rStyle w:val="Hyperlink"/>
            <w:lang w:val="en-GB"/>
          </w:rPr>
          <w:t>here</w:t>
        </w:r>
      </w:hyperlink>
      <w:r w:rsidR="00FB5E71">
        <w:rPr>
          <w:lang w:val="en-GB"/>
        </w:rPr>
        <w:t xml:space="preserve">. </w:t>
      </w:r>
    </w:p>
    <w:p w14:paraId="4AA668D0" w14:textId="0EBDDA94" w:rsidR="00796465" w:rsidRDefault="00796465" w:rsidP="00796465">
      <w:pPr>
        <w:pStyle w:val="Heading2"/>
        <w:rPr>
          <w:lang w:val="en-GB"/>
        </w:rPr>
      </w:pPr>
      <w:r>
        <w:rPr>
          <w:lang w:val="en-GB"/>
        </w:rPr>
        <w:lastRenderedPageBreak/>
        <w:t>Logs Analysis</w:t>
      </w:r>
    </w:p>
    <w:p w14:paraId="227E1907" w14:textId="3AC86858" w:rsidR="00796465" w:rsidRDefault="00796465" w:rsidP="00796465">
      <w:pPr>
        <w:pStyle w:val="AfterChapterTitle"/>
        <w:rPr>
          <w:lang w:val="en-GB"/>
        </w:rPr>
      </w:pPr>
      <w:r w:rsidRPr="0024559B">
        <w:rPr>
          <w:b/>
          <w:bCs/>
          <w:color w:val="00B0F0"/>
        </w:rPr>
        <mc:AlternateContent>
          <mc:Choice Requires="wps">
            <w:drawing>
              <wp:anchor distT="0" distB="0" distL="114300" distR="114300" simplePos="0" relativeHeight="251679744" behindDoc="0" locked="0" layoutInCell="1" allowOverlap="1" wp14:anchorId="5A92E2A8" wp14:editId="500E1AF3">
                <wp:simplePos x="0" y="0"/>
                <wp:positionH relativeFrom="column">
                  <wp:posOffset>0</wp:posOffset>
                </wp:positionH>
                <wp:positionV relativeFrom="paragraph">
                  <wp:posOffset>0</wp:posOffset>
                </wp:positionV>
                <wp:extent cx="1828800" cy="1828800"/>
                <wp:effectExtent l="0" t="0" r="0" b="0"/>
                <wp:wrapNone/>
                <wp:docPr id="1971069037" name="Text Box 19710690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1DBF125" w14:textId="5153E443" w:rsidR="00796465" w:rsidRPr="00C84219" w:rsidRDefault="00796465" w:rsidP="00796465">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3 Chapter </w:t>
                            </w:r>
                            <w:r w:rsidR="00E55491">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10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5A92E2A8" id="Text Box 1971069037" o:spid="_x0000_s1051" type="#_x0000_t202" style="position:absolute;margin-left:0;margin-top:0;width:2in;height:2in;z-index:2516797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" filled="f" stroked="f">
                <v:textbox style="mso-fit-shape-to-text:t">
                  <w:txbxContent>
                    <w:p w14:paraId="51DBF125" w14:textId="5153E443" w:rsidR="00796465" w:rsidRPr="00C84219" w:rsidRDefault="00796465" w:rsidP="00796465">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3 Chapter </w:t>
                      </w:r>
                      <w:r w:rsidR="00E55491">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10</w:t>
                      </w:r>
                    </w:p>
                  </w:txbxContent>
                </v:textbox>
              </v:shape>
            </w:pict>
          </mc:Fallback>
        </mc:AlternateContent>
      </w:r>
      <w:r w:rsidRPr="0024559B">
        <w:rPr>
          <w:b/>
          <w:bCs/>
          <w:color w:val="00B0F0"/>
          <w:lang w:val="en-GB"/>
        </w:rPr>
        <w:t>Operationalize Your World</w:t>
      </w:r>
      <w:r w:rsidRPr="0024559B">
        <w:rPr>
          <w:color w:val="00B0F0"/>
          <w:lang w:val="en-GB"/>
        </w:rPr>
        <w:t xml:space="preserve"> </w:t>
      </w:r>
      <w:r w:rsidRPr="00A452F2">
        <w:rPr>
          <w:lang w:val="en-GB"/>
        </w:rPr>
        <w:t xml:space="preserve">workshop solves the issues below. It’s a one-day workshop for a small group </w:t>
      </w:r>
      <w:r>
        <w:rPr>
          <w:lang w:val="en-GB"/>
        </w:rPr>
        <w:t xml:space="preserve">of VMware customers. Ideally they are operating a similar scale environment, as group sharing provide valuable insight. </w:t>
      </w:r>
    </w:p>
    <w:p w14:paraId="1FCA5FBB" w14:textId="77777777" w:rsidR="00796465" w:rsidRDefault="00796465" w:rsidP="00796465">
      <w:pPr>
        <w:pStyle w:val="Heading3"/>
      </w:pPr>
      <w:r>
        <w:t>vSphere</w:t>
      </w:r>
    </w:p>
    <w:p w14:paraId="31C7567C" w14:textId="77777777" w:rsidR="00796465" w:rsidRPr="00BF1CF2" w:rsidRDefault="00796465" w:rsidP="00796465">
      <w:r>
        <w:t>Log Insight provides the ability to slice and dice vCenter events, tasks and alarms. This can be handy in audit investigation.</w:t>
      </w:r>
    </w:p>
    <w:p w14:paraId="474DACD0" w14:textId="77777777" w:rsidR="00796465" w:rsidRDefault="00796465" w:rsidP="00796465">
      <w:pPr>
        <w:pStyle w:val="Heading4"/>
      </w:pPr>
      <w:r>
        <w:t>vCenter Events Analysis</w:t>
      </w:r>
    </w:p>
    <w:p w14:paraId="09EB7245" w14:textId="77777777" w:rsidR="00796465" w:rsidRPr="009038AB" w:rsidRDefault="00796465" w:rsidP="00796465">
      <w:r w:rsidRPr="009038AB">
        <w:t xml:space="preserve">To see all the vCenter events, all we need is to select a built-in variable called VC Event Type. A log entry that has this field exist will appear. </w:t>
      </w:r>
    </w:p>
    <w:p w14:paraId="288B7837" w14:textId="77777777" w:rsidR="00796465" w:rsidRPr="009038AB" w:rsidRDefault="00796465" w:rsidP="00796465">
      <w:r>
        <w:t>From the following chart, w</w:t>
      </w:r>
      <w:r w:rsidRPr="009038AB">
        <w:t xml:space="preserve">e </w:t>
      </w:r>
      <w:r>
        <w:t xml:space="preserve">can see there are </w:t>
      </w:r>
      <w:r w:rsidRPr="009038AB">
        <w:t xml:space="preserve">steady </w:t>
      </w:r>
      <w:r>
        <w:t xml:space="preserve">stream of </w:t>
      </w:r>
      <w:r w:rsidRPr="009038AB">
        <w:t xml:space="preserve">events every </w:t>
      </w:r>
      <w:r>
        <w:t>10 minutes. You can change the data granularity.</w:t>
      </w:r>
    </w:p>
    <w:p w14:paraId="098FA3D6" w14:textId="77777777" w:rsidR="00796465" w:rsidRDefault="00796465" w:rsidP="00796465">
      <w:r>
        <w:rPr>
          <w:noProof/>
        </w:rPr>
        <w:lastRenderedPageBreak/>
        <w:drawing>
          <wp:inline distT="0" distB="0" distL="0" distR="0" wp14:anchorId="02C00C21" wp14:editId="1C9DF002">
            <wp:extent cx="5943600" cy="946785"/>
            <wp:effectExtent l="0" t="0" r="0" b="5715"/>
            <wp:docPr id="910169545" name="Picture 910169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45"/>
                    <pic:cNvPicPr/>
                  </pic:nvPicPr>
                  <pic:blipFill>
                    <a:blip r:embed="rId1354">
                      <a:extLst>
                        <a:ext uri="{28A0092B-C50C-407E-A947-70E740481C1C}">
                          <a14:useLocalDpi xmlns:a14="http://schemas.microsoft.com/office/drawing/2010/main" val="0"/>
                        </a:ext>
                      </a:extLst>
                    </a:blip>
                    <a:stretch>
                      <a:fillRect/>
                    </a:stretch>
                  </pic:blipFill>
                  <pic:spPr>
                    <a:xfrm>
                      <a:off x="0" y="0"/>
                      <a:ext cx="5943600" cy="946785"/>
                    </a:xfrm>
                    <a:prstGeom prst="rect">
                      <a:avLst/>
                    </a:prstGeom>
                  </pic:spPr>
                </pic:pic>
              </a:graphicData>
            </a:graphic>
          </wp:inline>
        </w:drawing>
      </w:r>
    </w:p>
    <w:p w14:paraId="668CF1A7" w14:textId="77777777" w:rsidR="00796465" w:rsidRDefault="00796465" w:rsidP="00796465">
      <w:r>
        <w:t>We can see actual event names by changing into a table. We can sort it to show the top events if required.</w:t>
      </w:r>
    </w:p>
    <w:p w14:paraId="481F7440" w14:textId="77777777" w:rsidR="00796465" w:rsidRPr="004959BF" w:rsidRDefault="00796465" w:rsidP="00796465">
      <w:r>
        <w:rPr>
          <w:noProof/>
        </w:rPr>
        <w:drawing>
          <wp:inline distT="0" distB="0" distL="0" distR="0" wp14:anchorId="720D4209" wp14:editId="01AB44CA">
            <wp:extent cx="5943600" cy="2014220"/>
            <wp:effectExtent l="0" t="0" r="0" b="5080"/>
            <wp:docPr id="910169546" name="Picture 910169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46"/>
                    <pic:cNvPicPr/>
                  </pic:nvPicPr>
                  <pic:blipFill>
                    <a:blip r:embed="rId1355">
                      <a:extLst>
                        <a:ext uri="{28A0092B-C50C-407E-A947-70E740481C1C}">
                          <a14:useLocalDpi xmlns:a14="http://schemas.microsoft.com/office/drawing/2010/main" val="0"/>
                        </a:ext>
                      </a:extLst>
                    </a:blip>
                    <a:stretch>
                      <a:fillRect/>
                    </a:stretch>
                  </pic:blipFill>
                  <pic:spPr>
                    <a:xfrm>
                      <a:off x="0" y="0"/>
                      <a:ext cx="5943600" cy="2014220"/>
                    </a:xfrm>
                    <a:prstGeom prst="rect">
                      <a:avLst/>
                    </a:prstGeom>
                  </pic:spPr>
                </pic:pic>
              </a:graphicData>
            </a:graphic>
          </wp:inline>
        </w:drawing>
      </w:r>
    </w:p>
    <w:p w14:paraId="79BB9A42" w14:textId="77777777" w:rsidR="00796465" w:rsidRDefault="00796465" w:rsidP="00796465">
      <w:r w:rsidRPr="00C46DA3">
        <w:rPr>
          <w:lang w:val="en-US"/>
        </w:rPr>
        <w:t xml:space="preserve">We are interested in events impacting our consumer (VMs), so let’s filter it out. The filter is </w:t>
      </w:r>
      <w:r w:rsidRPr="00C46DA3">
        <w:rPr>
          <w:color w:val="0070C0"/>
          <w:lang w:val="en-US"/>
        </w:rPr>
        <w:t>vim25.vm</w:t>
      </w:r>
      <w:r w:rsidRPr="00C46DA3">
        <w:rPr>
          <w:lang w:val="en-US"/>
        </w:rPr>
        <w:t>* as that is what vCenter shows in its log</w:t>
      </w:r>
      <w:r>
        <w:t xml:space="preserve"> as we can see from the above table. I did not know that vCenter uses </w:t>
      </w:r>
      <w:r w:rsidRPr="003B604D">
        <w:rPr>
          <w:b/>
          <w:bCs/>
          <w:color w:val="0070C0"/>
        </w:rPr>
        <w:t>vim25.vm</w:t>
      </w:r>
      <w:r>
        <w:t>*, but looking at the table above I could make an educated guess.</w:t>
      </w:r>
    </w:p>
    <w:p w14:paraId="2D19BC1B" w14:textId="77777777" w:rsidR="00796465" w:rsidRDefault="00796465" w:rsidP="00796465">
      <w:r>
        <w:rPr>
          <w:noProof/>
        </w:rPr>
        <w:drawing>
          <wp:inline distT="0" distB="0" distL="0" distR="0" wp14:anchorId="227AB40E" wp14:editId="585A392E">
            <wp:extent cx="5943600" cy="1263015"/>
            <wp:effectExtent l="0" t="0" r="0" b="0"/>
            <wp:docPr id="910169547" name="Picture 910169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47"/>
                    <pic:cNvPicPr/>
                  </pic:nvPicPr>
                  <pic:blipFill>
                    <a:blip r:embed="rId1356" cstate="print">
                      <a:extLst>
                        <a:ext uri="{28A0092B-C50C-407E-A947-70E740481C1C}">
                          <a14:useLocalDpi xmlns:a14="http://schemas.microsoft.com/office/drawing/2010/main" val="0"/>
                        </a:ext>
                      </a:extLst>
                    </a:blip>
                    <a:stretch>
                      <a:fillRect/>
                    </a:stretch>
                  </pic:blipFill>
                  <pic:spPr>
                    <a:xfrm>
                      <a:off x="0" y="0"/>
                      <a:ext cx="5943600" cy="1263015"/>
                    </a:xfrm>
                    <a:prstGeom prst="rect">
                      <a:avLst/>
                    </a:prstGeom>
                  </pic:spPr>
                </pic:pic>
              </a:graphicData>
            </a:graphic>
          </wp:inline>
        </w:drawing>
      </w:r>
    </w:p>
    <w:p w14:paraId="4F522176" w14:textId="77777777" w:rsidR="00796465" w:rsidRDefault="00796465" w:rsidP="00796465">
      <w:r>
        <w:t>Once the above filter is set, I rerun the search and get all events impacting VM.</w:t>
      </w:r>
    </w:p>
    <w:p w14:paraId="1CDA9AEA" w14:textId="77777777" w:rsidR="00796465" w:rsidRPr="00C46DA3" w:rsidRDefault="00796465" w:rsidP="00796465">
      <w:r>
        <w:rPr>
          <w:noProof/>
        </w:rPr>
        <w:drawing>
          <wp:inline distT="0" distB="0" distL="0" distR="0" wp14:anchorId="18507E1E" wp14:editId="630307A8">
            <wp:extent cx="5943600" cy="1646555"/>
            <wp:effectExtent l="0" t="0" r="0" b="0"/>
            <wp:docPr id="910169548" name="Picture 910169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48"/>
                    <pic:cNvPicPr/>
                  </pic:nvPicPr>
                  <pic:blipFill>
                    <a:blip r:embed="rId1357">
                      <a:extLst>
                        <a:ext uri="{28A0092B-C50C-407E-A947-70E740481C1C}">
                          <a14:useLocalDpi xmlns:a14="http://schemas.microsoft.com/office/drawing/2010/main" val="0"/>
                        </a:ext>
                      </a:extLst>
                    </a:blip>
                    <a:stretch>
                      <a:fillRect/>
                    </a:stretch>
                  </pic:blipFill>
                  <pic:spPr>
                    <a:xfrm>
                      <a:off x="0" y="0"/>
                      <a:ext cx="5943600" cy="1646555"/>
                    </a:xfrm>
                    <a:prstGeom prst="rect">
                      <a:avLst/>
                    </a:prstGeom>
                  </pic:spPr>
                </pic:pic>
              </a:graphicData>
            </a:graphic>
          </wp:inline>
        </w:drawing>
      </w:r>
    </w:p>
    <w:p w14:paraId="0975BDD5" w14:textId="77777777" w:rsidR="00796465" w:rsidRDefault="00796465" w:rsidP="00796465">
      <w:r>
        <w:t>Let’s zoom into one of the events. Let’s say we’re interested in VM configuration event and want to know what exactly was changed. So let’s zoom into that event and group it by the user who changed it. We get the following chart, showing the user in the legend.</w:t>
      </w:r>
    </w:p>
    <w:p w14:paraId="0500380C" w14:textId="77777777" w:rsidR="00796465" w:rsidRDefault="00796465" w:rsidP="00796465">
      <w:r>
        <w:rPr>
          <w:noProof/>
        </w:rPr>
        <w:lastRenderedPageBreak/>
        <w:drawing>
          <wp:inline distT="0" distB="0" distL="0" distR="0" wp14:anchorId="0649B22B" wp14:editId="5444D1F1">
            <wp:extent cx="5943600" cy="904875"/>
            <wp:effectExtent l="0" t="0" r="0" b="9525"/>
            <wp:docPr id="910169549" name="Picture 910169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49"/>
                    <pic:cNvPicPr/>
                  </pic:nvPicPr>
                  <pic:blipFill>
                    <a:blip r:embed="rId1358">
                      <a:extLst>
                        <a:ext uri="{28A0092B-C50C-407E-A947-70E740481C1C}">
                          <a14:useLocalDpi xmlns:a14="http://schemas.microsoft.com/office/drawing/2010/main" val="0"/>
                        </a:ext>
                      </a:extLst>
                    </a:blip>
                    <a:stretch>
                      <a:fillRect/>
                    </a:stretch>
                  </pic:blipFill>
                  <pic:spPr>
                    <a:xfrm>
                      <a:off x="0" y="0"/>
                      <a:ext cx="5943600" cy="904875"/>
                    </a:xfrm>
                    <a:prstGeom prst="rect">
                      <a:avLst/>
                    </a:prstGeom>
                  </pic:spPr>
                </pic:pic>
              </a:graphicData>
            </a:graphic>
          </wp:inline>
        </w:drawing>
      </w:r>
    </w:p>
    <w:p w14:paraId="7472E984" w14:textId="77777777" w:rsidR="00796465" w:rsidRDefault="00796465" w:rsidP="00796465">
      <w:r>
        <w:t>You can group the data by VM name to see which VM were changed when. I’ve cropped the VM name in the legend.</w:t>
      </w:r>
    </w:p>
    <w:p w14:paraId="77755FE4" w14:textId="77777777" w:rsidR="00796465" w:rsidRDefault="00796465" w:rsidP="00796465">
      <w:r>
        <w:rPr>
          <w:noProof/>
        </w:rPr>
        <w:drawing>
          <wp:inline distT="0" distB="0" distL="0" distR="0" wp14:anchorId="6F36FED6" wp14:editId="2BDB5459">
            <wp:extent cx="5943600" cy="1457325"/>
            <wp:effectExtent l="0" t="0" r="0" b="9525"/>
            <wp:docPr id="910169550" name="Picture 910169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50"/>
                    <pic:cNvPicPr/>
                  </pic:nvPicPr>
                  <pic:blipFill>
                    <a:blip r:embed="rId1359">
                      <a:extLst>
                        <a:ext uri="{28A0092B-C50C-407E-A947-70E740481C1C}">
                          <a14:useLocalDpi xmlns:a14="http://schemas.microsoft.com/office/drawing/2010/main" val="0"/>
                        </a:ext>
                      </a:extLst>
                    </a:blip>
                    <a:stretch>
                      <a:fillRect/>
                    </a:stretch>
                  </pic:blipFill>
                  <pic:spPr>
                    <a:xfrm>
                      <a:off x="0" y="0"/>
                      <a:ext cx="5943600" cy="1457325"/>
                    </a:xfrm>
                    <a:prstGeom prst="rect">
                      <a:avLst/>
                    </a:prstGeom>
                  </pic:spPr>
                </pic:pic>
              </a:graphicData>
            </a:graphic>
          </wp:inline>
        </w:drawing>
      </w:r>
    </w:p>
    <w:p w14:paraId="6CECA03E" w14:textId="77777777" w:rsidR="00796465" w:rsidRDefault="00796465" w:rsidP="00796465">
      <w:r>
        <w:t>You can see the result in tabular format. You have the VM name, user name and additional context such as the parent ESXi host at the time of the change.</w:t>
      </w:r>
    </w:p>
    <w:p w14:paraId="347EE80C" w14:textId="77777777" w:rsidR="007056B1" w:rsidRDefault="00796465" w:rsidP="00796465">
      <w:r>
        <w:rPr>
          <w:noProof/>
        </w:rPr>
        <w:drawing>
          <wp:inline distT="0" distB="0" distL="0" distR="0" wp14:anchorId="183FB6DF" wp14:editId="5F574900">
            <wp:extent cx="5943600" cy="832485"/>
            <wp:effectExtent l="0" t="0" r="0" b="5715"/>
            <wp:docPr id="910169552" name="Picture 910169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52"/>
                    <pic:cNvPicPr/>
                  </pic:nvPicPr>
                  <pic:blipFill>
                    <a:blip r:embed="rId1360">
                      <a:extLst>
                        <a:ext uri="{28A0092B-C50C-407E-A947-70E740481C1C}">
                          <a14:useLocalDpi xmlns:a14="http://schemas.microsoft.com/office/drawing/2010/main" val="0"/>
                        </a:ext>
                      </a:extLst>
                    </a:blip>
                    <a:stretch>
                      <a:fillRect/>
                    </a:stretch>
                  </pic:blipFill>
                  <pic:spPr>
                    <a:xfrm>
                      <a:off x="0" y="0"/>
                      <a:ext cx="5943600" cy="832485"/>
                    </a:xfrm>
                    <a:prstGeom prst="rect">
                      <a:avLst/>
                    </a:prstGeom>
                  </pic:spPr>
                </pic:pic>
              </a:graphicData>
            </a:graphic>
          </wp:inline>
        </w:drawing>
      </w:r>
    </w:p>
    <w:p w14:paraId="4CCC5273" w14:textId="3E237D70" w:rsidR="00796465" w:rsidRDefault="00796465" w:rsidP="00796465">
      <w:r>
        <w:t xml:space="preserve">Last but not least, you can see the actual change, as higlighted in </w:t>
      </w:r>
      <w:r w:rsidR="0022569A" w:rsidRPr="0022569A">
        <w:rPr>
          <w:color w:val="00B050"/>
        </w:rPr>
        <w:t>green</w:t>
      </w:r>
      <w:r>
        <w:t xml:space="preserve">. </w:t>
      </w:r>
    </w:p>
    <w:p w14:paraId="5583DD38" w14:textId="77777777" w:rsidR="00796465" w:rsidRDefault="00796465" w:rsidP="00796465">
      <w:r>
        <w:rPr>
          <w:noProof/>
        </w:rPr>
        <w:drawing>
          <wp:inline distT="0" distB="0" distL="0" distR="0" wp14:anchorId="3298637C" wp14:editId="1B2D67C3">
            <wp:extent cx="5943600" cy="1363980"/>
            <wp:effectExtent l="0" t="0" r="0" b="7620"/>
            <wp:docPr id="910169553" name="Picture 910169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53"/>
                    <pic:cNvPicPr/>
                  </pic:nvPicPr>
                  <pic:blipFill>
                    <a:blip r:embed="rId1361" cstate="print">
                      <a:extLst>
                        <a:ext uri="{28A0092B-C50C-407E-A947-70E740481C1C}">
                          <a14:useLocalDpi xmlns:a14="http://schemas.microsoft.com/office/drawing/2010/main" val="0"/>
                        </a:ext>
                      </a:extLst>
                    </a:blip>
                    <a:stretch>
                      <a:fillRect/>
                    </a:stretch>
                  </pic:blipFill>
                  <pic:spPr>
                    <a:xfrm>
                      <a:off x="0" y="0"/>
                      <a:ext cx="5943600" cy="1363980"/>
                    </a:xfrm>
                    <a:prstGeom prst="rect">
                      <a:avLst/>
                    </a:prstGeom>
                  </pic:spPr>
                </pic:pic>
              </a:graphicData>
            </a:graphic>
          </wp:inline>
        </w:drawing>
      </w:r>
    </w:p>
    <w:p w14:paraId="3ECA8636" w14:textId="77777777" w:rsidR="00796465" w:rsidRDefault="00796465" w:rsidP="00796465">
      <w:pPr>
        <w:pStyle w:val="Heading4"/>
      </w:pPr>
      <w:r>
        <w:t>vCenter Tasks Analysis</w:t>
      </w:r>
    </w:p>
    <w:p w14:paraId="7A8B896D" w14:textId="77777777" w:rsidR="00796465" w:rsidRDefault="00796465" w:rsidP="00796465">
      <w:r w:rsidRPr="004959BF">
        <w:t xml:space="preserve">To see all the vCenter Tasks, all we need is to select a built-in variable called VC Task Type. A log entry that has this field exist will appear. </w:t>
      </w:r>
    </w:p>
    <w:p w14:paraId="56240332" w14:textId="77777777" w:rsidR="00796465" w:rsidRDefault="00796465" w:rsidP="00796465">
      <w:pPr>
        <w:jc w:val="center"/>
      </w:pPr>
      <w:r>
        <w:rPr>
          <w:noProof/>
        </w:rPr>
        <w:lastRenderedPageBreak/>
        <w:drawing>
          <wp:inline distT="0" distB="0" distL="0" distR="0" wp14:anchorId="37F263E8" wp14:editId="68EF7A5E">
            <wp:extent cx="4382125" cy="1159671"/>
            <wp:effectExtent l="0" t="0" r="0" b="2540"/>
            <wp:docPr id="910169554" name="Picture 910169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54"/>
                    <pic:cNvPicPr/>
                  </pic:nvPicPr>
                  <pic:blipFill>
                    <a:blip r:embed="rId1362">
                      <a:extLst>
                        <a:ext uri="{28A0092B-C50C-407E-A947-70E740481C1C}">
                          <a14:useLocalDpi xmlns:a14="http://schemas.microsoft.com/office/drawing/2010/main" val="0"/>
                        </a:ext>
                      </a:extLst>
                    </a:blip>
                    <a:stretch>
                      <a:fillRect/>
                    </a:stretch>
                  </pic:blipFill>
                  <pic:spPr>
                    <a:xfrm>
                      <a:off x="0" y="0"/>
                      <a:ext cx="4382125" cy="1159671"/>
                    </a:xfrm>
                    <a:prstGeom prst="rect">
                      <a:avLst/>
                    </a:prstGeom>
                  </pic:spPr>
                </pic:pic>
              </a:graphicData>
            </a:graphic>
          </wp:inline>
        </w:drawing>
      </w:r>
    </w:p>
    <w:p w14:paraId="3E9B84E2" w14:textId="77777777" w:rsidR="00796465" w:rsidRDefault="00796465" w:rsidP="00796465">
      <w:r w:rsidRPr="004959BF">
        <w:t xml:space="preserve">We can see that there is a regular stream of events </w:t>
      </w:r>
      <w:r>
        <w:t xml:space="preserve">throughout the </w:t>
      </w:r>
      <w:r w:rsidRPr="004959BF">
        <w:t>day. The pattern looks normal.</w:t>
      </w:r>
    </w:p>
    <w:p w14:paraId="6F45A545" w14:textId="77777777" w:rsidR="00796465" w:rsidRDefault="00796465" w:rsidP="00796465">
      <w:r>
        <w:rPr>
          <w:noProof/>
        </w:rPr>
        <w:drawing>
          <wp:inline distT="0" distB="0" distL="0" distR="0" wp14:anchorId="4636661A" wp14:editId="2FF7DA40">
            <wp:extent cx="5943600" cy="1591945"/>
            <wp:effectExtent l="0" t="0" r="0" b="8255"/>
            <wp:docPr id="910169555" name="Picture 910169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55"/>
                    <pic:cNvPicPr/>
                  </pic:nvPicPr>
                  <pic:blipFill>
                    <a:blip r:embed="rId1363">
                      <a:extLst>
                        <a:ext uri="{28A0092B-C50C-407E-A947-70E740481C1C}">
                          <a14:useLocalDpi xmlns:a14="http://schemas.microsoft.com/office/drawing/2010/main" val="0"/>
                        </a:ext>
                      </a:extLst>
                    </a:blip>
                    <a:stretch>
                      <a:fillRect/>
                    </a:stretch>
                  </pic:blipFill>
                  <pic:spPr>
                    <a:xfrm>
                      <a:off x="0" y="0"/>
                      <a:ext cx="5943600" cy="1591945"/>
                    </a:xfrm>
                    <a:prstGeom prst="rect">
                      <a:avLst/>
                    </a:prstGeom>
                  </pic:spPr>
                </pic:pic>
              </a:graphicData>
            </a:graphic>
          </wp:inline>
        </w:drawing>
      </w:r>
    </w:p>
    <w:p w14:paraId="5DE239BB" w14:textId="77777777" w:rsidR="00796465" w:rsidRDefault="00796465" w:rsidP="00796465">
      <w:r>
        <w:t>Let’s show the top tasks by showing the result in table format.</w:t>
      </w:r>
    </w:p>
    <w:p w14:paraId="4ACDA9E7" w14:textId="77777777" w:rsidR="00796465" w:rsidRDefault="00796465" w:rsidP="00796465">
      <w:r>
        <w:rPr>
          <w:noProof/>
        </w:rPr>
        <w:drawing>
          <wp:inline distT="0" distB="0" distL="0" distR="0" wp14:anchorId="527C84D1" wp14:editId="0E002F47">
            <wp:extent cx="5943600" cy="2346960"/>
            <wp:effectExtent l="0" t="0" r="0" b="0"/>
            <wp:docPr id="910169556" name="Picture 910169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56"/>
                    <pic:cNvPicPr/>
                  </pic:nvPicPr>
                  <pic:blipFill>
                    <a:blip r:embed="rId1364">
                      <a:extLst>
                        <a:ext uri="{28A0092B-C50C-407E-A947-70E740481C1C}">
                          <a14:useLocalDpi xmlns:a14="http://schemas.microsoft.com/office/drawing/2010/main" val="0"/>
                        </a:ext>
                      </a:extLst>
                    </a:blip>
                    <a:stretch>
                      <a:fillRect/>
                    </a:stretch>
                  </pic:blipFill>
                  <pic:spPr>
                    <a:xfrm>
                      <a:off x="0" y="0"/>
                      <a:ext cx="5943600" cy="2346960"/>
                    </a:xfrm>
                    <a:prstGeom prst="rect">
                      <a:avLst/>
                    </a:prstGeom>
                  </pic:spPr>
                </pic:pic>
              </a:graphicData>
            </a:graphic>
          </wp:inline>
        </w:drawing>
      </w:r>
    </w:p>
    <w:p w14:paraId="4EFBDD22" w14:textId="77777777" w:rsidR="00796465" w:rsidRDefault="00796465" w:rsidP="00796465">
      <w:r>
        <w:t xml:space="preserve">To zoom into any of the tasks, we specify the task name. I only specify one below, but it can take multiple. </w:t>
      </w:r>
    </w:p>
    <w:p w14:paraId="2F5F2F81" w14:textId="77777777" w:rsidR="00796465" w:rsidRDefault="00796465" w:rsidP="00796465">
      <w:r>
        <w:rPr>
          <w:noProof/>
        </w:rPr>
        <w:drawing>
          <wp:inline distT="0" distB="0" distL="0" distR="0" wp14:anchorId="3822791B" wp14:editId="1D8CD122">
            <wp:extent cx="5943600" cy="1000760"/>
            <wp:effectExtent l="0" t="0" r="0" b="8890"/>
            <wp:docPr id="910169557" name="Picture 910169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57"/>
                    <pic:cNvPicPr/>
                  </pic:nvPicPr>
                  <pic:blipFill>
                    <a:blip r:embed="rId1365">
                      <a:extLst>
                        <a:ext uri="{28A0092B-C50C-407E-A947-70E740481C1C}">
                          <a14:useLocalDpi xmlns:a14="http://schemas.microsoft.com/office/drawing/2010/main" val="0"/>
                        </a:ext>
                      </a:extLst>
                    </a:blip>
                    <a:stretch>
                      <a:fillRect/>
                    </a:stretch>
                  </pic:blipFill>
                  <pic:spPr>
                    <a:xfrm>
                      <a:off x="0" y="0"/>
                      <a:ext cx="5943600" cy="1000760"/>
                    </a:xfrm>
                    <a:prstGeom prst="rect">
                      <a:avLst/>
                    </a:prstGeom>
                  </pic:spPr>
                </pic:pic>
              </a:graphicData>
            </a:graphic>
          </wp:inline>
        </w:drawing>
      </w:r>
    </w:p>
    <w:p w14:paraId="71AE2CA5" w14:textId="77777777" w:rsidR="00796465" w:rsidRDefault="00796465" w:rsidP="00796465">
      <w:r>
        <w:t xml:space="preserve">Using the above, and limiting the result to a narrower time window, we can zoom into the nearest minute. </w:t>
      </w:r>
    </w:p>
    <w:p w14:paraId="41F3AC67" w14:textId="77777777" w:rsidR="00796465" w:rsidRDefault="00796465" w:rsidP="00796465">
      <w:r>
        <w:rPr>
          <w:noProof/>
        </w:rPr>
        <w:lastRenderedPageBreak/>
        <w:drawing>
          <wp:inline distT="0" distB="0" distL="0" distR="0" wp14:anchorId="3E3FD467" wp14:editId="31C43F19">
            <wp:extent cx="5943600" cy="2124075"/>
            <wp:effectExtent l="0" t="0" r="0" b="9525"/>
            <wp:docPr id="910169558" name="Picture 910169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58"/>
                    <pic:cNvPicPr/>
                  </pic:nvPicPr>
                  <pic:blipFill>
                    <a:blip r:embed="rId1366">
                      <a:extLst>
                        <a:ext uri="{28A0092B-C50C-407E-A947-70E740481C1C}">
                          <a14:useLocalDpi xmlns:a14="http://schemas.microsoft.com/office/drawing/2010/main" val="0"/>
                        </a:ext>
                      </a:extLst>
                    </a:blip>
                    <a:stretch>
                      <a:fillRect/>
                    </a:stretch>
                  </pic:blipFill>
                  <pic:spPr>
                    <a:xfrm>
                      <a:off x="0" y="0"/>
                      <a:ext cx="5943600" cy="2124075"/>
                    </a:xfrm>
                    <a:prstGeom prst="rect">
                      <a:avLst/>
                    </a:prstGeom>
                  </pic:spPr>
                </pic:pic>
              </a:graphicData>
            </a:graphic>
          </wp:inline>
        </w:drawing>
      </w:r>
    </w:p>
    <w:p w14:paraId="3C29CC00" w14:textId="77777777" w:rsidR="00796465" w:rsidRDefault="00796465" w:rsidP="00796465">
      <w:pPr>
        <w:pStyle w:val="Heading4"/>
      </w:pPr>
      <w:r>
        <w:t>Snapshot Analysis</w:t>
      </w:r>
    </w:p>
    <w:p w14:paraId="2A83FB03" w14:textId="77777777" w:rsidR="00796465" w:rsidRDefault="00796465" w:rsidP="00796465">
      <w:r>
        <w:t xml:space="preserve">You can visually see all the snapshot operations with a single filter </w:t>
      </w:r>
      <w:r w:rsidRPr="00D429C9">
        <w:rPr>
          <w:b/>
          <w:bCs/>
          <w:color w:val="0070C0"/>
        </w:rPr>
        <w:t>vmw_esxi_snapshot_operation</w:t>
      </w:r>
      <w:r>
        <w:t xml:space="preserve">. Just use the </w:t>
      </w:r>
      <w:r w:rsidRPr="00D429C9">
        <w:rPr>
          <w:b/>
          <w:bCs/>
          <w:color w:val="0070C0"/>
        </w:rPr>
        <w:t>exist</w:t>
      </w:r>
      <w:r>
        <w:t xml:space="preserve"> operator. </w:t>
      </w:r>
    </w:p>
    <w:p w14:paraId="244161DB" w14:textId="77777777" w:rsidR="00796465" w:rsidRDefault="00796465" w:rsidP="00796465">
      <w:r>
        <w:rPr>
          <w:noProof/>
        </w:rPr>
        <w:drawing>
          <wp:inline distT="0" distB="0" distL="0" distR="0" wp14:anchorId="50B56717" wp14:editId="5A40C25C">
            <wp:extent cx="5943600" cy="829945"/>
            <wp:effectExtent l="0" t="0" r="0" b="8255"/>
            <wp:docPr id="910169559" name="Picture 910169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59"/>
                    <pic:cNvPicPr/>
                  </pic:nvPicPr>
                  <pic:blipFill>
                    <a:blip r:embed="rId1367">
                      <a:extLst>
                        <a:ext uri="{28A0092B-C50C-407E-A947-70E740481C1C}">
                          <a14:useLocalDpi xmlns:a14="http://schemas.microsoft.com/office/drawing/2010/main" val="0"/>
                        </a:ext>
                      </a:extLst>
                    </a:blip>
                    <a:stretch>
                      <a:fillRect/>
                    </a:stretch>
                  </pic:blipFill>
                  <pic:spPr>
                    <a:xfrm>
                      <a:off x="0" y="0"/>
                      <a:ext cx="5943600" cy="829945"/>
                    </a:xfrm>
                    <a:prstGeom prst="rect">
                      <a:avLst/>
                    </a:prstGeom>
                  </pic:spPr>
                </pic:pic>
              </a:graphicData>
            </a:graphic>
          </wp:inline>
        </w:drawing>
      </w:r>
    </w:p>
    <w:p w14:paraId="7B53D823" w14:textId="77777777" w:rsidR="00796465" w:rsidRPr="00F161CF" w:rsidRDefault="00796465" w:rsidP="00796465">
      <w:r>
        <w:t>Group the data by the operations and you will get something like this. I can see there are 3 snapshots created but only two were removed. So one of the VM still has a snapshot.</w:t>
      </w:r>
    </w:p>
    <w:p w14:paraId="5A979ECA" w14:textId="77777777" w:rsidR="00796465" w:rsidRDefault="00796465" w:rsidP="00796465">
      <w:r>
        <w:rPr>
          <w:noProof/>
        </w:rPr>
        <w:drawing>
          <wp:inline distT="0" distB="0" distL="0" distR="0" wp14:anchorId="016D1792" wp14:editId="512DEED7">
            <wp:extent cx="5943600" cy="2008505"/>
            <wp:effectExtent l="0" t="0" r="0" b="0"/>
            <wp:docPr id="910169560" name="Picture 910169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60"/>
                    <pic:cNvPicPr/>
                  </pic:nvPicPr>
                  <pic:blipFill>
                    <a:blip r:embed="rId1368">
                      <a:extLst>
                        <a:ext uri="{28A0092B-C50C-407E-A947-70E740481C1C}">
                          <a14:useLocalDpi xmlns:a14="http://schemas.microsoft.com/office/drawing/2010/main" val="0"/>
                        </a:ext>
                      </a:extLst>
                    </a:blip>
                    <a:stretch>
                      <a:fillRect/>
                    </a:stretch>
                  </pic:blipFill>
                  <pic:spPr>
                    <a:xfrm>
                      <a:off x="0" y="0"/>
                      <a:ext cx="5943600" cy="2008505"/>
                    </a:xfrm>
                    <a:prstGeom prst="rect">
                      <a:avLst/>
                    </a:prstGeom>
                  </pic:spPr>
                </pic:pic>
              </a:graphicData>
            </a:graphic>
          </wp:inline>
        </w:drawing>
      </w:r>
    </w:p>
    <w:p w14:paraId="05B390C4" w14:textId="77777777" w:rsidR="00796465" w:rsidRDefault="00796465" w:rsidP="00796465">
      <w:r>
        <w:t>The above shows the time too. In production, you should not take snapshot during busy hours, especially on mission critical VM. So if you run the query in the last 1 week, you should expect no data during the busy hours, and all the daily back up should appear within the backup window.</w:t>
      </w:r>
    </w:p>
    <w:p w14:paraId="54C55976" w14:textId="77777777" w:rsidR="00796465" w:rsidRDefault="00796465" w:rsidP="00796465">
      <w:r>
        <w:t xml:space="preserve">You can see the details such as the VM name and other context, so see which VM did not have its snapshot removed. </w:t>
      </w:r>
    </w:p>
    <w:p w14:paraId="3205EECB" w14:textId="77777777" w:rsidR="00796465" w:rsidRDefault="00796465" w:rsidP="00796465">
      <w:r>
        <w:rPr>
          <w:noProof/>
        </w:rPr>
        <w:lastRenderedPageBreak/>
        <w:drawing>
          <wp:inline distT="0" distB="0" distL="0" distR="0" wp14:anchorId="6A308DCA" wp14:editId="63BC61F6">
            <wp:extent cx="5943600" cy="1576070"/>
            <wp:effectExtent l="0" t="0" r="0" b="5080"/>
            <wp:docPr id="910169561" name="Picture 910169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61"/>
                    <pic:cNvPicPr/>
                  </pic:nvPicPr>
                  <pic:blipFill>
                    <a:blip r:embed="rId1369">
                      <a:extLst>
                        <a:ext uri="{28A0092B-C50C-407E-A947-70E740481C1C}">
                          <a14:useLocalDpi xmlns:a14="http://schemas.microsoft.com/office/drawing/2010/main" val="0"/>
                        </a:ext>
                      </a:extLst>
                    </a:blip>
                    <a:stretch>
                      <a:fillRect/>
                    </a:stretch>
                  </pic:blipFill>
                  <pic:spPr>
                    <a:xfrm>
                      <a:off x="0" y="0"/>
                      <a:ext cx="5943600" cy="1576070"/>
                    </a:xfrm>
                    <a:prstGeom prst="rect">
                      <a:avLst/>
                    </a:prstGeom>
                  </pic:spPr>
                </pic:pic>
              </a:graphicData>
            </a:graphic>
          </wp:inline>
        </w:drawing>
      </w:r>
    </w:p>
    <w:p w14:paraId="28A69CF1" w14:textId="77777777" w:rsidR="00796465" w:rsidRDefault="00796465" w:rsidP="00796465">
      <w:r>
        <w:t xml:space="preserve">You can check the snapshot name (partially masked out in grey) and whether the snapshot include memory. </w:t>
      </w:r>
    </w:p>
    <w:p w14:paraId="1ADF9010" w14:textId="77777777" w:rsidR="00796465" w:rsidRDefault="00796465" w:rsidP="00796465">
      <w:r>
        <w:rPr>
          <w:noProof/>
        </w:rPr>
        <w:drawing>
          <wp:inline distT="0" distB="0" distL="0" distR="0" wp14:anchorId="4D070391" wp14:editId="2120AC6B">
            <wp:extent cx="5943600" cy="452755"/>
            <wp:effectExtent l="0" t="0" r="0" b="4445"/>
            <wp:docPr id="910169562" name="Picture 910169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0169562"/>
                    <pic:cNvPicPr/>
                  </pic:nvPicPr>
                  <pic:blipFill>
                    <a:blip r:embed="rId1370">
                      <a:extLst>
                        <a:ext uri="{28A0092B-C50C-407E-A947-70E740481C1C}">
                          <a14:useLocalDpi xmlns:a14="http://schemas.microsoft.com/office/drawing/2010/main" val="0"/>
                        </a:ext>
                      </a:extLst>
                    </a:blip>
                    <a:stretch>
                      <a:fillRect/>
                    </a:stretch>
                  </pic:blipFill>
                  <pic:spPr>
                    <a:xfrm>
                      <a:off x="0" y="0"/>
                      <a:ext cx="5943600" cy="452755"/>
                    </a:xfrm>
                    <a:prstGeom prst="rect">
                      <a:avLst/>
                    </a:prstGeom>
                  </pic:spPr>
                </pic:pic>
              </a:graphicData>
            </a:graphic>
          </wp:inline>
        </w:drawing>
      </w:r>
    </w:p>
    <w:p w14:paraId="0DA6665F" w14:textId="77777777" w:rsidR="00796465" w:rsidRDefault="00796465" w:rsidP="00796465">
      <w:pPr>
        <w:pStyle w:val="Heading4"/>
      </w:pPr>
      <w:r>
        <w:t>Template Analysis</w:t>
      </w:r>
    </w:p>
    <w:p w14:paraId="43B1F299" w14:textId="77777777" w:rsidR="00796465" w:rsidRPr="00845D28" w:rsidRDefault="00796465" w:rsidP="00796465">
      <w:r>
        <w:t>H</w:t>
      </w:r>
      <w:r w:rsidRPr="00845D28">
        <w:t xml:space="preserve">ow </w:t>
      </w:r>
      <w:r>
        <w:t xml:space="preserve">do </w:t>
      </w:r>
      <w:r w:rsidRPr="00845D28">
        <w:t>you prove to auditor that your templates have not been modified by unauthorised person. If a template has been modified, you want to know who did it.</w:t>
      </w:r>
    </w:p>
    <w:p w14:paraId="1CB4B83E" w14:textId="77777777" w:rsidR="00796465" w:rsidRDefault="00796465" w:rsidP="00796465">
      <w:r w:rsidRPr="00845D28">
        <w:t xml:space="preserve">The good thing is there are only a few things you can change to a template. </w:t>
      </w:r>
      <w:r>
        <w:t xml:space="preserve">You can rename the template, change the permission, and convert it into a VM. All other changes require the template to be converted into a VM first. That means we can focus on this conversion. </w:t>
      </w:r>
    </w:p>
    <w:p w14:paraId="5C0CE223" w14:textId="77777777" w:rsidR="00796465" w:rsidRPr="00845D28" w:rsidRDefault="00796465" w:rsidP="00796465">
      <w:r w:rsidRPr="0045364F">
        <w:t>The vCenter log</w:t>
      </w:r>
      <w:r>
        <w:t>s</w:t>
      </w:r>
      <w:r w:rsidRPr="0045364F">
        <w:t xml:space="preserve"> the entry as “</w:t>
      </w:r>
      <w:r w:rsidRPr="0045364F">
        <w:rPr>
          <w:color w:val="0070C0"/>
        </w:rPr>
        <w:t>mark virtual machine as template</w:t>
      </w:r>
      <w:r w:rsidRPr="0045364F">
        <w:t>” when you convert a VM into a template. When it is converted back to, it writes “</w:t>
      </w:r>
      <w:r w:rsidRPr="00542430">
        <w:rPr>
          <w:color w:val="0070C0"/>
        </w:rPr>
        <w:t>mark as virtual machine</w:t>
      </w:r>
      <w:r w:rsidRPr="0045364F">
        <w:t>”. So it’s a matter of tracking these 2 entries.</w:t>
      </w:r>
    </w:p>
    <w:p w14:paraId="754C3AB8" w14:textId="77777777" w:rsidR="00796465" w:rsidRDefault="00796465" w:rsidP="00796465">
      <w:r w:rsidRPr="004F48C6">
        <w:rPr>
          <w:noProof/>
          <w:lang w:val="en-US"/>
        </w:rPr>
        <w:drawing>
          <wp:inline distT="0" distB="0" distL="0" distR="0" wp14:anchorId="7D833712" wp14:editId="2DE4A234">
            <wp:extent cx="5943600" cy="2248535"/>
            <wp:effectExtent l="0" t="0" r="0" b="0"/>
            <wp:docPr id="1026" name="Picture 2" descr="http://virtual-red-dot.info/wp-content/uploads/2016/02/summary-of-chan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http://virtual-red-dot.info/wp-content/uploads/2016/02/summary-of-changes.png"/>
                    <pic:cNvPicPr>
                      <a:picLocks noChangeAspect="1" noChangeArrowheads="1"/>
                    </pic:cNvPicPr>
                  </pic:nvPicPr>
                  <pic:blipFill>
                    <a:blip r:embed="rId1371" cstate="print">
                      <a:extLst>
                        <a:ext uri="{28A0092B-C50C-407E-A947-70E740481C1C}">
                          <a14:useLocalDpi xmlns:a14="http://schemas.microsoft.com/office/drawing/2010/main" val="0"/>
                        </a:ext>
                      </a:extLst>
                    </a:blip>
                    <a:srcRect/>
                    <a:stretch>
                      <a:fillRect/>
                    </a:stretch>
                  </pic:blipFill>
                  <pic:spPr bwMode="auto">
                    <a:xfrm>
                      <a:off x="0" y="0"/>
                      <a:ext cx="5943600" cy="2248535"/>
                    </a:xfrm>
                    <a:prstGeom prst="rect">
                      <a:avLst/>
                    </a:prstGeom>
                    <a:noFill/>
                    <a:ln>
                      <a:noFill/>
                    </a:ln>
                    <a:effectLst/>
                    <a:extLst>
                      <a:ext uri="{909E8E84-426E-40dd-AFC4-6F175D3DCCD1}">
                        <a14:hiddenFill xmlns:a16="http://schemas.microsoft.com/office/drawing/2014/main" xmlns:lc="http://schemas.openxmlformats.org/drawingml/2006/lockedCanvas" xmlns:a14="http://schemas.microsoft.com/office/drawing/2010/main" xmlns="" xmlns:p="http://schemas.openxmlformats.org/presentationml/2006/main" xmlns:w="http://schemas.openxmlformats.org/wordprocessingml/2006/main" xmlns:w10="urn:schemas-microsoft-com:office:word" xmlns:v="urn:schemas-microsoft-com:vml" xmlns:o="urn:schemas-microsoft-com:office:office" xmlns:arto="http://schemas.microsoft.com/office/word/2006/arto">
                          <a:solidFill>
                            <a:srgbClr val="FFFFFF"/>
                          </a:solidFill>
                        </a14:hiddenFill>
                      </a:ext>
                    </a:extLst>
                  </pic:spPr>
                </pic:pic>
              </a:graphicData>
            </a:graphic>
          </wp:inline>
        </w:drawing>
      </w:r>
    </w:p>
    <w:p w14:paraId="0875952A" w14:textId="77777777" w:rsidR="00796465" w:rsidRPr="0057461C" w:rsidRDefault="00796465" w:rsidP="00796465">
      <w:pPr>
        <w:pStyle w:val="Heading4"/>
      </w:pPr>
      <w:r w:rsidRPr="0057461C">
        <w:lastRenderedPageBreak/>
        <w:t xml:space="preserve">vSphere </w:t>
      </w:r>
      <w:r>
        <w:t>Health</w:t>
      </w:r>
    </w:p>
    <w:p w14:paraId="21E82A86" w14:textId="77777777" w:rsidR="00796465" w:rsidRDefault="00796465" w:rsidP="00796465">
      <w:r w:rsidRPr="601EFA01">
        <w:t>In general, you know that you did a good job with your vSphere IaaS as the VM owners are happy with the performance of their VMs. The business is powered by the VMware infrastructure that you design and operate. However, there is a chance that the vSphere</w:t>
      </w:r>
      <w:r>
        <w:t>, NSX, vSAN</w:t>
      </w:r>
      <w:r w:rsidRPr="601EFA01">
        <w:t xml:space="preserve"> logs bear evidence of hidden issues which are not visible from the UI.</w:t>
      </w:r>
    </w:p>
    <w:p w14:paraId="62B42E58" w14:textId="77777777" w:rsidR="00796465" w:rsidRPr="00B55FC8" w:rsidRDefault="00796465" w:rsidP="00796465">
      <w:r w:rsidRPr="601EFA01">
        <w:t>As VMware professionals, we know vSphere well and probably have years of experience working with vSphere. We can architect, design, implement, upgrade, and troubleshoot it.</w:t>
      </w:r>
    </w:p>
    <w:p w14:paraId="3562D3BD" w14:textId="77777777" w:rsidR="00796465" w:rsidRPr="00B55FC8" w:rsidRDefault="00796465" w:rsidP="00796465">
      <w:r w:rsidRPr="601EFA01">
        <w:t xml:space="preserve">The same thing cannot be said about the logs. Generally speaking, deep knowledge of vSphere logs belongs to </w:t>
      </w:r>
      <w:hyperlink r:id="rId1372">
        <w:r w:rsidRPr="601EFA01">
          <w:t>VMware GSS</w:t>
        </w:r>
      </w:hyperlink>
      <w:r w:rsidRPr="601EFA01">
        <w:t xml:space="preserve"> engineers, as they read logs on a daily basis, and perform all kinds of troubleshooting activities. That knowledge has been transitioned to Log Insight release after release in the form of a vSphere content pack. </w:t>
      </w:r>
    </w:p>
    <w:p w14:paraId="2B61D779" w14:textId="77777777" w:rsidR="00796465" w:rsidRDefault="00796465" w:rsidP="00796465">
      <w:r>
        <w:t>One common question I get from customers is how to prove that there are not hidden warning lurking around in the log files. As you know, vSphere produces a lot of logs.</w:t>
      </w:r>
    </w:p>
    <w:p w14:paraId="63940051" w14:textId="77777777" w:rsidR="00796465" w:rsidRDefault="00796465" w:rsidP="00796465">
      <w:r>
        <w:t>Your first stop should be the General Problems dashboard in Log Insight. This dashboard checks the health of your vSphere using 8 queries. You expect a flying color, meaning it should be blank like this. That means vSphere has not logged any issues.</w:t>
      </w:r>
    </w:p>
    <w:p w14:paraId="3FDD0894" w14:textId="77777777" w:rsidR="00796465" w:rsidRDefault="00796465" w:rsidP="00796465">
      <w:pPr>
        <w:jc w:val="center"/>
      </w:pPr>
      <w:r>
        <w:rPr>
          <w:noProof/>
        </w:rPr>
        <w:lastRenderedPageBreak/>
        <w:drawing>
          <wp:inline distT="0" distB="0" distL="0" distR="0" wp14:anchorId="372F77B0" wp14:editId="330F69C3">
            <wp:extent cx="5943600" cy="6162676"/>
            <wp:effectExtent l="0" t="0" r="0" b="0"/>
            <wp:docPr id="1525330280" name="Picture 1525330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5330280"/>
                    <pic:cNvPicPr/>
                  </pic:nvPicPr>
                  <pic:blipFill>
                    <a:blip r:embed="rId1373">
                      <a:extLst>
                        <a:ext uri="{28A0092B-C50C-407E-A947-70E740481C1C}">
                          <a14:useLocalDpi xmlns:a14="http://schemas.microsoft.com/office/drawing/2010/main" val="0"/>
                        </a:ext>
                      </a:extLst>
                    </a:blip>
                    <a:stretch>
                      <a:fillRect/>
                    </a:stretch>
                  </pic:blipFill>
                  <pic:spPr>
                    <a:xfrm>
                      <a:off x="0" y="0"/>
                      <a:ext cx="5943600" cy="6162676"/>
                    </a:xfrm>
                    <a:prstGeom prst="rect">
                      <a:avLst/>
                    </a:prstGeom>
                  </pic:spPr>
                </pic:pic>
              </a:graphicData>
            </a:graphic>
          </wp:inline>
        </w:drawing>
      </w:r>
    </w:p>
    <w:p w14:paraId="1D9EF7D9" w14:textId="77777777" w:rsidR="00796465" w:rsidRDefault="00796465" w:rsidP="00796465">
      <w:r>
        <w:t>Let’s look at some of the queries that Log Insight runs. The SCSI latency is based on 1 second, which is 1,000,000 microseconds. Here is what the query looks like:</w:t>
      </w:r>
    </w:p>
    <w:p w14:paraId="769710C0" w14:textId="77777777" w:rsidR="00796465" w:rsidRDefault="00796465" w:rsidP="00796465">
      <w:pPr>
        <w:jc w:val="center"/>
      </w:pPr>
      <w:r>
        <w:rPr>
          <w:noProof/>
        </w:rPr>
        <w:drawing>
          <wp:inline distT="0" distB="0" distL="0" distR="0" wp14:anchorId="71593AF9" wp14:editId="07385A32">
            <wp:extent cx="5943600" cy="923925"/>
            <wp:effectExtent l="0" t="0" r="0" b="0"/>
            <wp:docPr id="803024765" name="Picture 803024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024765"/>
                    <pic:cNvPicPr/>
                  </pic:nvPicPr>
                  <pic:blipFill>
                    <a:blip r:embed="rId1374" cstate="print">
                      <a:extLst>
                        <a:ext uri="{28A0092B-C50C-407E-A947-70E740481C1C}">
                          <a14:useLocalDpi xmlns:a14="http://schemas.microsoft.com/office/drawing/2010/main" val="0"/>
                        </a:ext>
                      </a:extLst>
                    </a:blip>
                    <a:stretch>
                      <a:fillRect/>
                    </a:stretch>
                  </pic:blipFill>
                  <pic:spPr>
                    <a:xfrm>
                      <a:off x="0" y="0"/>
                      <a:ext cx="5943600" cy="923925"/>
                    </a:xfrm>
                    <a:prstGeom prst="rect">
                      <a:avLst/>
                    </a:prstGeom>
                  </pic:spPr>
                </pic:pic>
              </a:graphicData>
            </a:graphic>
          </wp:inline>
        </w:drawing>
      </w:r>
    </w:p>
    <w:p w14:paraId="1C6A9C8C" w14:textId="77777777" w:rsidR="00796465" w:rsidRDefault="00796465" w:rsidP="00796465">
      <w:r>
        <w:t xml:space="preserve">1 second is on the high side; you can change it to a lower number. Do note that this is from VMkernel viewpoint and it’s taking 1 SCSI operation (1 read or 1 write), so the number will be much higher than vCenter average. I’ve seen 12 ms value in vCenter (from the real time chart, so it is a 20 second average) became 600 ms. For details, see </w:t>
      </w:r>
      <w:hyperlink r:id="rId1375" w:history="1">
        <w:r>
          <w:rPr>
            <w:rStyle w:val="Hyperlink"/>
          </w:rPr>
          <w:t>this</w:t>
        </w:r>
      </w:hyperlink>
      <w:r>
        <w:t>.</w:t>
      </w:r>
    </w:p>
    <w:p w14:paraId="41047802" w14:textId="77777777" w:rsidR="00796465" w:rsidRDefault="00796465" w:rsidP="00796465">
      <w:r>
        <w:t>The above query is pretty simple, as it’s looking for a specific item. Here is a much broader health check.</w:t>
      </w:r>
    </w:p>
    <w:p w14:paraId="637CB3B3" w14:textId="77777777" w:rsidR="00796465" w:rsidRDefault="00796465" w:rsidP="00796465">
      <w:pPr>
        <w:jc w:val="center"/>
      </w:pPr>
      <w:r>
        <w:rPr>
          <w:noProof/>
        </w:rPr>
        <w:lastRenderedPageBreak/>
        <w:drawing>
          <wp:inline distT="0" distB="0" distL="0" distR="0" wp14:anchorId="17E8EDD5" wp14:editId="5DF8CAA9">
            <wp:extent cx="5943600" cy="1724025"/>
            <wp:effectExtent l="0" t="0" r="0" b="0"/>
            <wp:docPr id="918289658" name="Picture 918289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8289658"/>
                    <pic:cNvPicPr/>
                  </pic:nvPicPr>
                  <pic:blipFill>
                    <a:blip r:embed="rId1376">
                      <a:extLst>
                        <a:ext uri="{28A0092B-C50C-407E-A947-70E740481C1C}">
                          <a14:useLocalDpi xmlns:a14="http://schemas.microsoft.com/office/drawing/2010/main" val="0"/>
                        </a:ext>
                      </a:extLst>
                    </a:blip>
                    <a:stretch>
                      <a:fillRect/>
                    </a:stretch>
                  </pic:blipFill>
                  <pic:spPr>
                    <a:xfrm>
                      <a:off x="0" y="0"/>
                      <a:ext cx="5943600" cy="1724025"/>
                    </a:xfrm>
                    <a:prstGeom prst="rect">
                      <a:avLst/>
                    </a:prstGeom>
                  </pic:spPr>
                </pic:pic>
              </a:graphicData>
            </a:graphic>
          </wp:inline>
        </w:drawing>
      </w:r>
    </w:p>
    <w:p w14:paraId="4206C51A" w14:textId="77777777" w:rsidR="00796465" w:rsidRDefault="00796465" w:rsidP="00796465">
      <w:r>
        <w:t>The example below checks for any errors in the vCenter which have not yet been reported as an alarm.</w:t>
      </w:r>
    </w:p>
    <w:p w14:paraId="18C43F94" w14:textId="77777777" w:rsidR="00796465" w:rsidRDefault="00796465" w:rsidP="00796465">
      <w:pPr>
        <w:jc w:val="center"/>
      </w:pPr>
      <w:r>
        <w:rPr>
          <w:noProof/>
        </w:rPr>
        <w:drawing>
          <wp:inline distT="0" distB="0" distL="0" distR="0" wp14:anchorId="2C839DC5" wp14:editId="50486961">
            <wp:extent cx="5943600" cy="1038225"/>
            <wp:effectExtent l="0" t="0" r="0" b="0"/>
            <wp:docPr id="1971069016" name="Picture 1971069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1069016"/>
                    <pic:cNvPicPr/>
                  </pic:nvPicPr>
                  <pic:blipFill>
                    <a:blip r:embed="rId1377" cstate="print">
                      <a:extLst>
                        <a:ext uri="{28A0092B-C50C-407E-A947-70E740481C1C}">
                          <a14:useLocalDpi xmlns:a14="http://schemas.microsoft.com/office/drawing/2010/main" val="0"/>
                        </a:ext>
                      </a:extLst>
                    </a:blip>
                    <a:stretch>
                      <a:fillRect/>
                    </a:stretch>
                  </pic:blipFill>
                  <pic:spPr>
                    <a:xfrm>
                      <a:off x="0" y="0"/>
                      <a:ext cx="5943600" cy="1038225"/>
                    </a:xfrm>
                    <a:prstGeom prst="rect">
                      <a:avLst/>
                    </a:prstGeom>
                  </pic:spPr>
                </pic:pic>
              </a:graphicData>
            </a:graphic>
          </wp:inline>
        </w:drawing>
      </w:r>
    </w:p>
    <w:p w14:paraId="3BC7CF08" w14:textId="77777777" w:rsidR="00796465" w:rsidRDefault="00796465" w:rsidP="00796465">
      <w:r>
        <w:t>This query below checks for cluster imbalance.</w:t>
      </w:r>
    </w:p>
    <w:p w14:paraId="7B5E3D92" w14:textId="77777777" w:rsidR="00796465" w:rsidRDefault="00796465" w:rsidP="00796465">
      <w:pPr>
        <w:jc w:val="center"/>
      </w:pPr>
      <w:r>
        <w:rPr>
          <w:noProof/>
        </w:rPr>
        <w:drawing>
          <wp:inline distT="0" distB="0" distL="0" distR="0" wp14:anchorId="04FF8DC7" wp14:editId="5AEEAF1B">
            <wp:extent cx="5943600" cy="533400"/>
            <wp:effectExtent l="0" t="0" r="0" b="0"/>
            <wp:docPr id="357815382" name="Picture 357815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815382"/>
                    <pic:cNvPicPr/>
                  </pic:nvPicPr>
                  <pic:blipFill>
                    <a:blip r:embed="rId1378" cstate="print">
                      <a:extLst>
                        <a:ext uri="{28A0092B-C50C-407E-A947-70E740481C1C}">
                          <a14:useLocalDpi xmlns:a14="http://schemas.microsoft.com/office/drawing/2010/main" val="0"/>
                        </a:ext>
                      </a:extLst>
                    </a:blip>
                    <a:stretch>
                      <a:fillRect/>
                    </a:stretch>
                  </pic:blipFill>
                  <pic:spPr>
                    <a:xfrm>
                      <a:off x="0" y="0"/>
                      <a:ext cx="5943600" cy="533400"/>
                    </a:xfrm>
                    <a:prstGeom prst="rect">
                      <a:avLst/>
                    </a:prstGeom>
                  </pic:spPr>
                </pic:pic>
              </a:graphicData>
            </a:graphic>
          </wp:inline>
        </w:drawing>
      </w:r>
    </w:p>
    <w:p w14:paraId="696CF7CF" w14:textId="77777777" w:rsidR="00796465" w:rsidRDefault="00796465" w:rsidP="00796465">
      <w:r>
        <w:t>And this query tracks for VM which were rebooted due to HA.</w:t>
      </w:r>
    </w:p>
    <w:p w14:paraId="146B9E16" w14:textId="77777777" w:rsidR="00796465" w:rsidRDefault="00796465" w:rsidP="00796465">
      <w:pPr>
        <w:jc w:val="center"/>
      </w:pPr>
      <w:r>
        <w:rPr>
          <w:noProof/>
        </w:rPr>
        <w:drawing>
          <wp:inline distT="0" distB="0" distL="0" distR="0" wp14:anchorId="11C09845" wp14:editId="249E5367">
            <wp:extent cx="5943600" cy="533400"/>
            <wp:effectExtent l="0" t="0" r="0" b="0"/>
            <wp:docPr id="1583707934" name="Picture 1583707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3707934"/>
                    <pic:cNvPicPr/>
                  </pic:nvPicPr>
                  <pic:blipFill>
                    <a:blip r:embed="rId1379" cstate="print">
                      <a:extLst>
                        <a:ext uri="{28A0092B-C50C-407E-A947-70E740481C1C}">
                          <a14:useLocalDpi xmlns:a14="http://schemas.microsoft.com/office/drawing/2010/main" val="0"/>
                        </a:ext>
                      </a:extLst>
                    </a:blip>
                    <a:stretch>
                      <a:fillRect/>
                    </a:stretch>
                  </pic:blipFill>
                  <pic:spPr>
                    <a:xfrm>
                      <a:off x="0" y="0"/>
                      <a:ext cx="5943600" cy="533400"/>
                    </a:xfrm>
                    <a:prstGeom prst="rect">
                      <a:avLst/>
                    </a:prstGeom>
                  </pic:spPr>
                </pic:pic>
              </a:graphicData>
            </a:graphic>
          </wp:inline>
        </w:drawing>
      </w:r>
    </w:p>
    <w:p w14:paraId="7F9C7C51" w14:textId="77777777" w:rsidR="00796465" w:rsidRDefault="00796465" w:rsidP="00796465">
      <w:r>
        <w:t>All the above widgets are what you would check out first. You might also want to ensure that there are no errors across major vSphere components.</w:t>
      </w:r>
    </w:p>
    <w:p w14:paraId="315A36D3" w14:textId="77777777" w:rsidR="00796465" w:rsidRDefault="00796465" w:rsidP="00796465">
      <w:pPr>
        <w:jc w:val="center"/>
      </w:pPr>
      <w:r>
        <w:rPr>
          <w:noProof/>
        </w:rPr>
        <w:drawing>
          <wp:inline distT="0" distB="0" distL="0" distR="0" wp14:anchorId="68F26311" wp14:editId="35CF7C69">
            <wp:extent cx="5943600" cy="2076450"/>
            <wp:effectExtent l="0" t="0" r="0" b="0"/>
            <wp:docPr id="1085195931" name="Picture 1085195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195931"/>
                    <pic:cNvPicPr/>
                  </pic:nvPicPr>
                  <pic:blipFill>
                    <a:blip r:embed="rId1380" cstate="print">
                      <a:extLst>
                        <a:ext uri="{28A0092B-C50C-407E-A947-70E740481C1C}">
                          <a14:useLocalDpi xmlns:a14="http://schemas.microsoft.com/office/drawing/2010/main" val="0"/>
                        </a:ext>
                      </a:extLst>
                    </a:blip>
                    <a:stretch>
                      <a:fillRect/>
                    </a:stretch>
                  </pic:blipFill>
                  <pic:spPr>
                    <a:xfrm>
                      <a:off x="0" y="0"/>
                      <a:ext cx="5943600" cy="2076450"/>
                    </a:xfrm>
                    <a:prstGeom prst="rect">
                      <a:avLst/>
                    </a:prstGeom>
                  </pic:spPr>
                </pic:pic>
              </a:graphicData>
            </a:graphic>
          </wp:inline>
        </w:drawing>
      </w:r>
    </w:p>
    <w:p w14:paraId="6CF5F8D1" w14:textId="77777777" w:rsidR="00796465" w:rsidRDefault="00796465" w:rsidP="00796465">
      <w:pPr>
        <w:pStyle w:val="Heading4"/>
      </w:pPr>
      <w:r>
        <w:lastRenderedPageBreak/>
        <w:t>VM Log File</w:t>
      </w:r>
    </w:p>
    <w:p w14:paraId="335764A9" w14:textId="77777777" w:rsidR="00796465" w:rsidRDefault="00796465" w:rsidP="00796465">
      <w:r>
        <w:t xml:space="preserve">The file </w:t>
      </w:r>
      <w:r w:rsidRPr="00A16190">
        <w:rPr>
          <w:b/>
          <w:bCs/>
        </w:rPr>
        <w:t>vmware.log</w:t>
      </w:r>
      <w:r>
        <w:t xml:space="preserve"> contains detailed VM activity messages including reconfiguration events, vmotions, VMware tools messages, memory state, power on/off events, features enabled, API requests, etc. It can be used to troubleshoot events leading up to core dumps or kernel panics.</w:t>
      </w:r>
    </w:p>
    <w:p w14:paraId="3ABD6F40" w14:textId="77777777" w:rsidR="00796465" w:rsidRDefault="00796465" w:rsidP="00796465">
      <w:r>
        <w:t xml:space="preserve">For more information, read </w:t>
      </w:r>
      <w:hyperlink r:id="rId1381" w:history="1">
        <w:r w:rsidRPr="00DC242A">
          <w:rPr>
            <w:rStyle w:val="Hyperlink"/>
          </w:rPr>
          <w:t>this blog</w:t>
        </w:r>
      </w:hyperlink>
      <w:r>
        <w:t xml:space="preserve"> by </w:t>
      </w:r>
      <w:hyperlink r:id="rId1382" w:history="1">
        <w:r w:rsidRPr="00DC242A">
          <w:rPr>
            <w:rStyle w:val="Hyperlink"/>
          </w:rPr>
          <w:t>Julie Roman</w:t>
        </w:r>
      </w:hyperlink>
      <w:r>
        <w:t xml:space="preserve">. </w:t>
      </w:r>
    </w:p>
    <w:p w14:paraId="25C76794" w14:textId="77777777" w:rsidR="00796465" w:rsidRPr="00A452F2" w:rsidRDefault="00796465" w:rsidP="00796465">
      <w:pPr>
        <w:keepLines w:val="0"/>
        <w:suppressAutoHyphens w:val="0"/>
        <w:spacing w:before="0" w:after="160"/>
        <w:rPr>
          <w:lang w:val="en-GB"/>
        </w:rPr>
      </w:pPr>
      <w:r w:rsidRPr="00A452F2">
        <w:rPr>
          <w:lang w:val="en-GB"/>
        </w:rPr>
        <w:br w:type="page"/>
      </w:r>
    </w:p>
    <w:p w14:paraId="6DDD58D4" w14:textId="77777777" w:rsidR="00796465" w:rsidRPr="00A452F2" w:rsidRDefault="00796465" w:rsidP="00796465">
      <w:pPr>
        <w:spacing w:before="720"/>
        <w:rPr>
          <w:lang w:val="en-GB"/>
        </w:rPr>
      </w:pPr>
    </w:p>
    <w:p w14:paraId="5FA5A278" w14:textId="77777777" w:rsidR="00796465" w:rsidRPr="0086697E" w:rsidRDefault="00796465" w:rsidP="00796465">
      <w:pPr>
        <w:pStyle w:val="BlankPage"/>
      </w:pPr>
      <w:r w:rsidRPr="00796465">
        <w:t xml:space="preserve">END OF PART </w:t>
      </w:r>
      <w:r>
        <w:t>3</w:t>
      </w:r>
      <w:r w:rsidRPr="00796465">
        <w:br/>
      </w:r>
      <w:r>
        <w:t>I hope one day part 4 graduates from the book and live in VmwareOpsGuide.com completely…</w:t>
      </w:r>
    </w:p>
    <w:p w14:paraId="7FA6A839" w14:textId="77777777" w:rsidR="00796465" w:rsidRDefault="00796465" w:rsidP="00796465"/>
    <w:p w14:paraId="379081D4" w14:textId="77777777" w:rsidR="00796465" w:rsidRDefault="00796465" w:rsidP="00796465"/>
    <w:p w14:paraId="3DD163E1" w14:textId="77777777" w:rsidR="00796465" w:rsidRPr="00547551" w:rsidRDefault="00796465" w:rsidP="00796465"/>
    <w:p w14:paraId="24F17B9E" w14:textId="77777777" w:rsidR="00796465" w:rsidRPr="00547551" w:rsidRDefault="00796465" w:rsidP="00796465">
      <w:pPr>
        <w:rPr>
          <w:lang w:val="en-GB"/>
        </w:rPr>
      </w:pPr>
    </w:p>
    <w:p w14:paraId="76BF82C1" w14:textId="6D149BB5" w:rsidR="00516457" w:rsidRPr="00A452F2" w:rsidRDefault="00C86F58" w:rsidP="00327E4B">
      <w:pPr>
        <w:pStyle w:val="Heading1"/>
        <w:rPr>
          <w:lang w:val="en-GB"/>
        </w:rPr>
      </w:pPr>
      <w:r w:rsidRPr="00A452F2">
        <w:rPr>
          <w:lang w:val="en-GB"/>
        </w:rPr>
        <w:lastRenderedPageBreak/>
        <w:t>PART 4</w:t>
      </w:r>
    </w:p>
    <w:p w14:paraId="471C7736" w14:textId="490E7FFB" w:rsidR="00C86F58" w:rsidRPr="00A452F2" w:rsidRDefault="009E4F44" w:rsidP="00E245E9">
      <w:pPr>
        <w:pStyle w:val="Title"/>
        <w:rPr>
          <w:lang w:val="en-GB"/>
        </w:rPr>
      </w:pPr>
      <w:r>
        <w:rPr>
          <w:lang w:val="en-GB"/>
        </w:rPr>
        <w:t>Miscellaneous</w:t>
      </w:r>
    </w:p>
    <w:p w14:paraId="6D9DD45A" w14:textId="0D1C08FE" w:rsidR="00E245E9" w:rsidRPr="00A452F2" w:rsidRDefault="009E4F44" w:rsidP="003F097B">
      <w:pPr>
        <w:pStyle w:val="AfterChapterTitle"/>
        <w:rPr>
          <w:lang w:val="en-GB"/>
        </w:rPr>
      </w:pPr>
      <w:r>
        <w:rPr>
          <w:lang w:val="en-GB"/>
        </w:rPr>
        <w:t>This part is the place for a variety of stuff. Some of them may grow into their own chapters</w:t>
      </w:r>
      <w:r w:rsidR="0017546B">
        <w:rPr>
          <w:lang w:val="en-GB"/>
        </w:rPr>
        <w:t xml:space="preserve"> or parts</w:t>
      </w:r>
      <w:r>
        <w:rPr>
          <w:lang w:val="en-GB"/>
        </w:rPr>
        <w:t xml:space="preserve"> in the future. It also </w:t>
      </w:r>
      <w:r w:rsidR="00E245E9" w:rsidRPr="00A452F2">
        <w:rPr>
          <w:lang w:val="en-GB"/>
        </w:rPr>
        <w:t>cover</w:t>
      </w:r>
      <w:r>
        <w:rPr>
          <w:lang w:val="en-GB"/>
        </w:rPr>
        <w:t>s</w:t>
      </w:r>
      <w:r w:rsidR="00E245E9" w:rsidRPr="00A452F2">
        <w:rPr>
          <w:lang w:val="en-GB"/>
        </w:rPr>
        <w:t xml:space="preserve"> </w:t>
      </w:r>
      <w:r>
        <w:rPr>
          <w:lang w:val="en-GB"/>
        </w:rPr>
        <w:t>basic</w:t>
      </w:r>
      <w:r w:rsidR="00E245E9" w:rsidRPr="00A452F2">
        <w:rPr>
          <w:lang w:val="en-GB"/>
        </w:rPr>
        <w:t xml:space="preserve"> </w:t>
      </w:r>
      <w:r>
        <w:rPr>
          <w:lang w:val="en-GB"/>
        </w:rPr>
        <w:t xml:space="preserve">knowledge </w:t>
      </w:r>
      <w:r w:rsidR="00FD30D8" w:rsidRPr="00A452F2">
        <w:rPr>
          <w:lang w:val="en-GB"/>
        </w:rPr>
        <w:t xml:space="preserve">that maybe useful for </w:t>
      </w:r>
      <w:r>
        <w:rPr>
          <w:lang w:val="en-GB"/>
        </w:rPr>
        <w:t>those without computer science background. Lastly, there are some personal sharing from me about the life of an infrastructure architect.</w:t>
      </w:r>
      <w:r w:rsidR="0017546B">
        <w:rPr>
          <w:lang w:val="en-GB"/>
        </w:rPr>
        <w:t xml:space="preserve"> </w:t>
      </w:r>
    </w:p>
    <w:p w14:paraId="3980DE2F" w14:textId="21FBEA95" w:rsidR="00C86F58" w:rsidRPr="00A452F2" w:rsidRDefault="00C86F58" w:rsidP="00B373E2">
      <w:pPr>
        <w:pStyle w:val="Heading2"/>
        <w:rPr>
          <w:lang w:val="en-GB"/>
        </w:rPr>
      </w:pPr>
      <w:r w:rsidRPr="00A452F2">
        <w:rPr>
          <w:lang w:val="en-GB"/>
        </w:rPr>
        <w:lastRenderedPageBreak/>
        <w:t>Operational Maturity</w:t>
      </w:r>
    </w:p>
    <w:p w14:paraId="14453675" w14:textId="7B986331" w:rsidR="00865DF0" w:rsidRPr="00A452F2" w:rsidRDefault="00874F4E" w:rsidP="003F097B">
      <w:pPr>
        <w:pStyle w:val="AfterChapterTitle"/>
        <w:rPr>
          <w:lang w:val="en-GB"/>
        </w:rPr>
      </w:pPr>
      <w:r w:rsidRPr="0024559B">
        <w:rPr>
          <w:b/>
          <w:bCs/>
          <w:color w:val="00B0F0"/>
        </w:rPr>
        <mc:AlternateContent>
          <mc:Choice Requires="wps">
            <w:drawing>
              <wp:anchor distT="0" distB="0" distL="114300" distR="114300" simplePos="0" relativeHeight="251666432" behindDoc="0" locked="0" layoutInCell="1" allowOverlap="1" wp14:anchorId="7913FB41" wp14:editId="7C11EB29">
                <wp:simplePos x="0" y="0"/>
                <wp:positionH relativeFrom="column">
                  <wp:posOffset>0</wp:posOffset>
                </wp:positionH>
                <wp:positionV relativeFrom="paragraph">
                  <wp:posOffset>0</wp:posOffset>
                </wp:positionV>
                <wp:extent cx="1828800" cy="1828800"/>
                <wp:effectExtent l="0" t="0" r="0" b="0"/>
                <wp:wrapNone/>
                <wp:docPr id="910169599" name="Text Box 91016959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C0EB54D" w14:textId="0D806956" w:rsidR="00E66F24" w:rsidRPr="00C84219" w:rsidRDefault="00E66F24" w:rsidP="00874F4E">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4 Chapter </w:t>
                            </w:r>
                            <w:r w:rsidR="007C6E75">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7913FB41" id="Text Box 910169599" o:spid="_x0000_s1052" type="#_x0000_t202" style="position:absolute;margin-left:0;margin-top:0;width:2in;height:2in;z-index:251666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" filled="f" stroked="f">
                <v:textbox style="mso-fit-shape-to-text:t">
                  <w:txbxContent>
                    <w:p w14:paraId="7C0EB54D" w14:textId="0D806956" w:rsidR="00E66F24" w:rsidRPr="00C84219" w:rsidRDefault="00E66F24" w:rsidP="00874F4E">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4 Chapter </w:t>
                      </w:r>
                      <w:r w:rsidR="007C6E75">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1</w:t>
                      </w:r>
                    </w:p>
                  </w:txbxContent>
                </v:textbox>
              </v:shape>
            </w:pict>
          </mc:Fallback>
        </mc:AlternateContent>
      </w:r>
      <w:r w:rsidR="00EC357E" w:rsidRPr="0024559B">
        <w:rPr>
          <w:b/>
          <w:bCs/>
          <w:color w:val="00B0F0"/>
          <w:lang w:val="en-GB"/>
        </w:rPr>
        <w:t>Operationalize Your World</w:t>
      </w:r>
      <w:r w:rsidR="00EC357E" w:rsidRPr="0024559B">
        <w:rPr>
          <w:color w:val="00B0F0"/>
          <w:lang w:val="en-GB"/>
        </w:rPr>
        <w:t xml:space="preserve"> </w:t>
      </w:r>
      <w:r w:rsidR="00EC357E" w:rsidRPr="00A452F2">
        <w:rPr>
          <w:lang w:val="en-GB"/>
        </w:rPr>
        <w:t xml:space="preserve">workshop solves the issues below. </w:t>
      </w:r>
      <w:r w:rsidR="00865DF0" w:rsidRPr="00A452F2">
        <w:rPr>
          <w:lang w:val="en-GB"/>
        </w:rPr>
        <w:t xml:space="preserve">It’s a </w:t>
      </w:r>
      <w:r w:rsidR="00236E14" w:rsidRPr="00A452F2">
        <w:rPr>
          <w:lang w:val="en-GB"/>
        </w:rPr>
        <w:t>one-day</w:t>
      </w:r>
      <w:r w:rsidR="00865DF0" w:rsidRPr="00A452F2">
        <w:rPr>
          <w:lang w:val="en-GB"/>
        </w:rPr>
        <w:t xml:space="preserve"> workshop for a </w:t>
      </w:r>
      <w:r w:rsidR="00912E11" w:rsidRPr="00A452F2">
        <w:rPr>
          <w:lang w:val="en-GB"/>
        </w:rPr>
        <w:t xml:space="preserve">small group </w:t>
      </w:r>
      <w:r w:rsidR="00236E14">
        <w:rPr>
          <w:lang w:val="en-GB"/>
        </w:rPr>
        <w:t>of VMware customers</w:t>
      </w:r>
      <w:r w:rsidR="001E01E1">
        <w:rPr>
          <w:lang w:val="en-GB"/>
        </w:rPr>
        <w:t>. Ideally they are</w:t>
      </w:r>
      <w:r w:rsidR="00236E14">
        <w:rPr>
          <w:lang w:val="en-GB"/>
        </w:rPr>
        <w:t xml:space="preserve"> operating a similar scale environment</w:t>
      </w:r>
      <w:r w:rsidR="001E01E1">
        <w:rPr>
          <w:lang w:val="en-GB"/>
        </w:rPr>
        <w:t xml:space="preserve">, as group sharing provide valuable insight. </w:t>
      </w:r>
    </w:p>
    <w:p w14:paraId="7A21F306" w14:textId="2BB60E87" w:rsidR="00EC357E" w:rsidRDefault="00EC357E" w:rsidP="00865DF0">
      <w:pPr>
        <w:rPr>
          <w:lang w:val="en-GB"/>
        </w:rPr>
      </w:pPr>
      <w:r w:rsidRPr="00A452F2">
        <w:rPr>
          <w:lang w:val="en-GB"/>
        </w:rPr>
        <w:t xml:space="preserve">For each issue/question below, </w:t>
      </w:r>
      <w:r w:rsidRPr="009F1502">
        <w:rPr>
          <w:bCs/>
          <w:color w:val="808080" w:themeColor="background1" w:themeShade="80"/>
          <w:lang w:val="en-GB"/>
        </w:rPr>
        <w:t xml:space="preserve">the ideal answer is provided </w:t>
      </w:r>
      <w:r w:rsidR="003C1DC0" w:rsidRPr="009F1502">
        <w:rPr>
          <w:bCs/>
          <w:color w:val="808080" w:themeColor="background1" w:themeShade="80"/>
          <w:lang w:val="en-GB"/>
        </w:rPr>
        <w:t xml:space="preserve">in </w:t>
      </w:r>
      <w:r w:rsidR="009F1502" w:rsidRPr="009F1502">
        <w:rPr>
          <w:bCs/>
          <w:color w:val="808080" w:themeColor="background1" w:themeShade="80"/>
          <w:lang w:val="en-GB"/>
        </w:rPr>
        <w:t>light grey</w:t>
      </w:r>
      <w:r w:rsidR="009F1502" w:rsidRPr="009F1502">
        <w:rPr>
          <w:color w:val="808080" w:themeColor="background1" w:themeShade="80"/>
          <w:lang w:val="en-GB"/>
        </w:rPr>
        <w:t xml:space="preserve"> </w:t>
      </w:r>
      <w:r w:rsidRPr="00A452F2">
        <w:rPr>
          <w:lang w:val="en-GB"/>
        </w:rPr>
        <w:t>so you know what it should be. Replace it with your own so the gap can be addressed.</w:t>
      </w:r>
    </w:p>
    <w:p w14:paraId="0258244B" w14:textId="77777777" w:rsidR="00A35807" w:rsidRPr="00A452F2" w:rsidRDefault="00A35807" w:rsidP="00A35807">
      <w:pPr>
        <w:pStyle w:val="BeforeTable"/>
        <w:rPr>
          <w:lang w:val="en-GB"/>
        </w:rPr>
      </w:pPr>
    </w:p>
    <w:tbl>
      <w:tblPr>
        <w:tblW w:w="0" w:type="auto"/>
        <w:tblBorders>
          <w:top w:val="single" w:sz="4" w:space="0" w:color="D9D9D9" w:themeColor="background1" w:themeShade="D9"/>
          <w:bottom w:val="single" w:sz="4" w:space="0" w:color="D9D9D9" w:themeColor="background1" w:themeShade="D9"/>
          <w:insideH w:val="single" w:sz="4" w:space="0" w:color="D9D9D9" w:themeColor="background1" w:themeShade="D9"/>
        </w:tblBorders>
        <w:tblCellMar>
          <w:top w:w="72" w:type="dxa"/>
          <w:left w:w="115" w:type="dxa"/>
          <w:bottom w:w="72" w:type="dxa"/>
          <w:right w:w="115" w:type="dxa"/>
        </w:tblCellMar>
        <w:tblLook w:val="04A0" w:firstRow="1" w:lastRow="0" w:firstColumn="1" w:lastColumn="0" w:noHBand="0" w:noVBand="1"/>
      </w:tblPr>
      <w:tblGrid>
        <w:gridCol w:w="4675"/>
        <w:gridCol w:w="5781"/>
      </w:tblGrid>
      <w:tr w:rsidR="00EC357E" w:rsidRPr="00E51A31" w14:paraId="3F38B2EC" w14:textId="77777777" w:rsidTr="00967DB5">
        <w:tc>
          <w:tcPr>
            <w:tcW w:w="10456" w:type="dxa"/>
            <w:gridSpan w:val="2"/>
            <w:vAlign w:val="center"/>
          </w:tcPr>
          <w:p w14:paraId="03751F26" w14:textId="77777777" w:rsidR="00EC357E" w:rsidRPr="00A452F2" w:rsidRDefault="00EC357E" w:rsidP="00757101">
            <w:pPr>
              <w:pStyle w:val="Tableheading"/>
            </w:pPr>
            <w:r w:rsidRPr="00A452F2">
              <w:t>Performance</w:t>
            </w:r>
          </w:p>
        </w:tc>
      </w:tr>
      <w:tr w:rsidR="00EC357E" w:rsidRPr="00E51A31" w14:paraId="65072B87" w14:textId="77777777" w:rsidTr="00967DB5">
        <w:tc>
          <w:tcPr>
            <w:tcW w:w="4675" w:type="dxa"/>
            <w:vAlign w:val="center"/>
          </w:tcPr>
          <w:p w14:paraId="7D34D176" w14:textId="77777777" w:rsidR="00EC357E" w:rsidRPr="00A452F2" w:rsidRDefault="00EC357E" w:rsidP="00BB4B86">
            <w:pPr>
              <w:pStyle w:val="ListParagraph"/>
              <w:keepLines w:val="0"/>
              <w:numPr>
                <w:ilvl w:val="0"/>
                <w:numId w:val="18"/>
              </w:numPr>
              <w:suppressAutoHyphens w:val="0"/>
              <w:spacing w:before="240"/>
              <w:ind w:left="420"/>
              <w:rPr>
                <w:rFonts w:cs="Times New Roman"/>
                <w:sz w:val="20"/>
                <w:lang w:val="en-GB"/>
              </w:rPr>
            </w:pPr>
            <w:r w:rsidRPr="00A452F2">
              <w:rPr>
                <w:rFonts w:cs="Times New Roman"/>
                <w:sz w:val="20"/>
                <w:lang w:val="en-GB"/>
              </w:rPr>
              <w:t>Do your business units (your customers) blame the infrastructure first? If yes, why?</w:t>
            </w:r>
          </w:p>
          <w:p w14:paraId="6E5491E0" w14:textId="77777777" w:rsidR="00EC357E" w:rsidRPr="00A452F2" w:rsidRDefault="00EC357E" w:rsidP="00BB4B86">
            <w:pPr>
              <w:pStyle w:val="ListParagraph"/>
              <w:keepLines w:val="0"/>
              <w:numPr>
                <w:ilvl w:val="0"/>
                <w:numId w:val="18"/>
              </w:numPr>
              <w:suppressAutoHyphens w:val="0"/>
              <w:spacing w:before="240"/>
              <w:ind w:left="420"/>
              <w:rPr>
                <w:rFonts w:cs="Times New Roman"/>
                <w:sz w:val="20"/>
                <w:lang w:val="en-GB"/>
              </w:rPr>
            </w:pPr>
            <w:r w:rsidRPr="00A452F2">
              <w:rPr>
                <w:rFonts w:cs="Times New Roman"/>
                <w:sz w:val="20"/>
                <w:lang w:val="en-GB"/>
              </w:rPr>
              <w:t>Is that because you have not defined the performance they can expect?</w:t>
            </w:r>
          </w:p>
          <w:p w14:paraId="3D6D41E0" w14:textId="77777777" w:rsidR="00EC357E" w:rsidRPr="00A452F2" w:rsidRDefault="00EC357E" w:rsidP="00BB4B86">
            <w:pPr>
              <w:pStyle w:val="ListParagraph"/>
              <w:keepLines w:val="0"/>
              <w:numPr>
                <w:ilvl w:val="0"/>
                <w:numId w:val="18"/>
              </w:numPr>
              <w:suppressAutoHyphens w:val="0"/>
              <w:spacing w:before="240"/>
              <w:ind w:left="420"/>
              <w:rPr>
                <w:rFonts w:cs="Times New Roman"/>
                <w:sz w:val="20"/>
                <w:lang w:val="en-GB"/>
              </w:rPr>
            </w:pPr>
            <w:r w:rsidRPr="00A452F2">
              <w:rPr>
                <w:rFonts w:cs="Times New Roman"/>
                <w:sz w:val="20"/>
                <w:lang w:val="en-GB"/>
              </w:rPr>
              <w:t xml:space="preserve">How do you know when your IaaS is </w:t>
            </w:r>
            <w:r w:rsidRPr="00A452F2">
              <w:rPr>
                <w:rFonts w:cs="Times New Roman"/>
                <w:b/>
                <w:color w:val="ED7D31" w:themeColor="accent2"/>
                <w:sz w:val="20"/>
                <w:lang w:val="en-GB"/>
              </w:rPr>
              <w:t>not</w:t>
            </w:r>
            <w:r w:rsidRPr="00A452F2">
              <w:rPr>
                <w:rFonts w:cs="Times New Roman"/>
                <w:color w:val="ED7D31" w:themeColor="accent2"/>
                <w:sz w:val="20"/>
                <w:lang w:val="en-GB"/>
              </w:rPr>
              <w:t xml:space="preserve"> </w:t>
            </w:r>
            <w:r w:rsidRPr="00A452F2">
              <w:rPr>
                <w:rFonts w:cs="Times New Roman"/>
                <w:sz w:val="20"/>
                <w:lang w:val="en-GB"/>
              </w:rPr>
              <w:t xml:space="preserve">serving the VM well? Do you depend on complaint to know if your IaaS isn’t performing? </w:t>
            </w:r>
          </w:p>
          <w:p w14:paraId="2384FFD3" w14:textId="77777777" w:rsidR="00EC357E" w:rsidRPr="00A452F2" w:rsidRDefault="00EC357E" w:rsidP="00BB4B86">
            <w:pPr>
              <w:pStyle w:val="ListParagraph"/>
              <w:keepLines w:val="0"/>
              <w:numPr>
                <w:ilvl w:val="0"/>
                <w:numId w:val="18"/>
              </w:numPr>
              <w:suppressAutoHyphens w:val="0"/>
              <w:spacing w:before="240"/>
              <w:ind w:left="420"/>
              <w:rPr>
                <w:rFonts w:cs="Times New Roman"/>
                <w:sz w:val="20"/>
                <w:lang w:val="en-GB"/>
              </w:rPr>
            </w:pPr>
            <w:r w:rsidRPr="00A452F2">
              <w:rPr>
                <w:rFonts w:cs="Times New Roman"/>
                <w:sz w:val="20"/>
                <w:lang w:val="en-GB"/>
              </w:rPr>
              <w:t>How can you move toward proactive operations? What metrics do you use to measure IaaS performance?</w:t>
            </w:r>
          </w:p>
          <w:p w14:paraId="40570623" w14:textId="3F537799" w:rsidR="00EC357E" w:rsidRPr="00A452F2" w:rsidRDefault="00EC357E" w:rsidP="00BB4B86">
            <w:pPr>
              <w:pStyle w:val="ListParagraph"/>
              <w:keepLines w:val="0"/>
              <w:numPr>
                <w:ilvl w:val="0"/>
                <w:numId w:val="18"/>
              </w:numPr>
              <w:suppressAutoHyphens w:val="0"/>
              <w:spacing w:before="240"/>
              <w:ind w:left="420"/>
              <w:rPr>
                <w:rFonts w:cs="Times New Roman"/>
                <w:sz w:val="20"/>
                <w:lang w:val="en-GB"/>
              </w:rPr>
            </w:pPr>
            <w:r w:rsidRPr="00A452F2">
              <w:rPr>
                <w:rFonts w:cs="Times New Roman"/>
                <w:sz w:val="20"/>
                <w:lang w:val="en-GB"/>
              </w:rPr>
              <w:t xml:space="preserve">Does Help Desk provide a good first level </w:t>
            </w:r>
            <w:r w:rsidR="0057015D" w:rsidRPr="00A452F2">
              <w:rPr>
                <w:rFonts w:cs="Times New Roman"/>
                <w:sz w:val="20"/>
                <w:lang w:val="en-GB"/>
              </w:rPr>
              <w:t>defence</w:t>
            </w:r>
            <w:r w:rsidRPr="00A452F2">
              <w:rPr>
                <w:rFonts w:cs="Times New Roman"/>
                <w:sz w:val="20"/>
                <w:lang w:val="en-GB"/>
              </w:rPr>
              <w:t>? Or does it simply pass through to the next level?</w:t>
            </w:r>
          </w:p>
          <w:p w14:paraId="6593474D" w14:textId="77777777" w:rsidR="00EC357E" w:rsidRPr="00A452F2" w:rsidRDefault="00EC357E" w:rsidP="000320B9">
            <w:pPr>
              <w:spacing w:before="240"/>
              <w:rPr>
                <w:rFonts w:cs="Times New Roman"/>
                <w:sz w:val="20"/>
                <w:lang w:val="en-GB"/>
              </w:rPr>
            </w:pPr>
          </w:p>
        </w:tc>
        <w:tc>
          <w:tcPr>
            <w:tcW w:w="5781" w:type="dxa"/>
            <w:vAlign w:val="center"/>
          </w:tcPr>
          <w:p w14:paraId="5E2345F7" w14:textId="7DD438A1" w:rsidR="00EC357E" w:rsidRPr="00A452F2" w:rsidRDefault="00EC357E" w:rsidP="000320B9">
            <w:pPr>
              <w:rPr>
                <w:rFonts w:cs="Times New Roman"/>
                <w:color w:val="A6A6A6" w:themeColor="background1" w:themeShade="A6"/>
                <w:sz w:val="20"/>
                <w:lang w:val="en-GB"/>
              </w:rPr>
            </w:pPr>
            <w:r w:rsidRPr="00A452F2">
              <w:rPr>
                <w:rFonts w:cs="Times New Roman"/>
                <w:color w:val="A6A6A6" w:themeColor="background1" w:themeShade="A6"/>
                <w:sz w:val="20"/>
                <w:lang w:val="en-GB"/>
              </w:rPr>
              <w:t>Business Units (</w:t>
            </w:r>
            <w:r w:rsidR="0002089A">
              <w:rPr>
                <w:rFonts w:cs="Times New Roman"/>
                <w:color w:val="A6A6A6" w:themeColor="background1" w:themeShade="A6"/>
                <w:sz w:val="20"/>
                <w:lang w:val="en-GB"/>
              </w:rPr>
              <w:t>Applications</w:t>
            </w:r>
            <w:r w:rsidRPr="00A452F2">
              <w:rPr>
                <w:rFonts w:cs="Times New Roman"/>
                <w:color w:val="A6A6A6" w:themeColor="background1" w:themeShade="A6"/>
                <w:sz w:val="20"/>
                <w:lang w:val="en-GB"/>
              </w:rPr>
              <w:t xml:space="preserve"> Team) do not blame us because there is transparency on how each of their VM is being served. There is a formal SLA on both Performance and Availability, which is applied to each VM based on the class of service they buy. Both SLA are clearly defined and measured every 5 minutes. For Performance SLA, we check CPU, RAM, Disk and network.</w:t>
            </w:r>
            <w:r w:rsidR="00701ED4">
              <w:rPr>
                <w:rFonts w:cs="Times New Roman"/>
                <w:color w:val="A6A6A6" w:themeColor="background1" w:themeShade="A6"/>
                <w:sz w:val="20"/>
                <w:lang w:val="en-GB"/>
              </w:rPr>
              <w:t xml:space="preserve"> </w:t>
            </w:r>
          </w:p>
          <w:p w14:paraId="0A3FEB47" w14:textId="77777777" w:rsidR="00EC357E" w:rsidRPr="00A452F2" w:rsidRDefault="00EC357E" w:rsidP="000320B9">
            <w:pPr>
              <w:rPr>
                <w:rFonts w:cs="Times New Roman"/>
                <w:color w:val="A6A6A6" w:themeColor="background1" w:themeShade="A6"/>
                <w:sz w:val="20"/>
                <w:lang w:val="en-GB"/>
              </w:rPr>
            </w:pPr>
            <w:r w:rsidRPr="00A452F2">
              <w:rPr>
                <w:rFonts w:cs="Times New Roman"/>
                <w:color w:val="A6A6A6" w:themeColor="background1" w:themeShade="A6"/>
                <w:sz w:val="20"/>
                <w:lang w:val="en-GB"/>
              </w:rPr>
              <w:t>Our operations do not depend on complain. SLA enables us to be proactive and provide early warning to CIO. We track the threshold and act before complaint is made.</w:t>
            </w:r>
          </w:p>
          <w:p w14:paraId="5131AE67" w14:textId="3EA5969E" w:rsidR="00EC357E" w:rsidRPr="00A452F2" w:rsidRDefault="00EC357E" w:rsidP="000320B9">
            <w:pPr>
              <w:rPr>
                <w:rFonts w:cs="Times New Roman"/>
                <w:color w:val="A6A6A6" w:themeColor="background1" w:themeShade="A6"/>
                <w:sz w:val="20"/>
                <w:lang w:val="en-GB"/>
              </w:rPr>
            </w:pPr>
            <w:r w:rsidRPr="00A452F2">
              <w:rPr>
                <w:rFonts w:cs="Times New Roman"/>
                <w:color w:val="A6A6A6" w:themeColor="background1" w:themeShade="A6"/>
                <w:sz w:val="20"/>
                <w:lang w:val="en-GB"/>
              </w:rPr>
              <w:t xml:space="preserve">Help Desk uses the SLA, with a custom dashboard given to them. They encourage </w:t>
            </w:r>
            <w:r w:rsidR="00A565B3">
              <w:rPr>
                <w:rFonts w:cs="Times New Roman"/>
                <w:color w:val="A6A6A6" w:themeColor="background1" w:themeShade="A6"/>
                <w:sz w:val="20"/>
                <w:lang w:val="en-GB"/>
              </w:rPr>
              <w:t>Application</w:t>
            </w:r>
            <w:r w:rsidRPr="00A452F2">
              <w:rPr>
                <w:rFonts w:cs="Times New Roman"/>
                <w:color w:val="A6A6A6" w:themeColor="background1" w:themeShade="A6"/>
                <w:sz w:val="20"/>
                <w:lang w:val="en-GB"/>
              </w:rPr>
              <w:t xml:space="preserve"> Team to self-service as the same dashboard is provided. </w:t>
            </w:r>
          </w:p>
          <w:p w14:paraId="79FC7450" w14:textId="77777777" w:rsidR="00EC357E" w:rsidRPr="00A452F2" w:rsidRDefault="00EC357E" w:rsidP="000320B9">
            <w:pPr>
              <w:rPr>
                <w:rFonts w:cs="Times New Roman"/>
                <w:color w:val="A6A6A6" w:themeColor="background1" w:themeShade="A6"/>
                <w:sz w:val="20"/>
                <w:lang w:val="en-GB"/>
              </w:rPr>
            </w:pPr>
            <w:r w:rsidRPr="00A452F2">
              <w:rPr>
                <w:rFonts w:cs="Times New Roman"/>
                <w:color w:val="A6A6A6" w:themeColor="background1" w:themeShade="A6"/>
                <w:sz w:val="20"/>
                <w:lang w:val="en-GB"/>
              </w:rPr>
              <w:t>Our operations is VM-centric and application-centric, even though we are the infrastructure team.</w:t>
            </w:r>
          </w:p>
        </w:tc>
      </w:tr>
      <w:tr w:rsidR="00EC357E" w:rsidRPr="00E51A31" w14:paraId="15678A4A" w14:textId="77777777" w:rsidTr="00967DB5">
        <w:tc>
          <w:tcPr>
            <w:tcW w:w="10456" w:type="dxa"/>
            <w:gridSpan w:val="2"/>
            <w:vAlign w:val="center"/>
          </w:tcPr>
          <w:p w14:paraId="5F1DCDA8" w14:textId="77777777" w:rsidR="00EC357E" w:rsidRPr="00A452F2" w:rsidRDefault="00EC357E" w:rsidP="00757101">
            <w:pPr>
              <w:pStyle w:val="Tableheading"/>
            </w:pPr>
            <w:r w:rsidRPr="00A452F2">
              <w:t>Capacity / Hardware Justification</w:t>
            </w:r>
          </w:p>
        </w:tc>
      </w:tr>
      <w:tr w:rsidR="00EC357E" w:rsidRPr="00E51A31" w14:paraId="51F30A7E" w14:textId="77777777" w:rsidTr="00967DB5">
        <w:tc>
          <w:tcPr>
            <w:tcW w:w="4675" w:type="dxa"/>
            <w:vAlign w:val="center"/>
          </w:tcPr>
          <w:p w14:paraId="4030EDB5" w14:textId="65D5AD7B" w:rsidR="00EC357E" w:rsidRPr="00A452F2" w:rsidRDefault="00EC357E" w:rsidP="00BB4B86">
            <w:pPr>
              <w:pStyle w:val="ListParagraph"/>
              <w:keepLines w:val="0"/>
              <w:numPr>
                <w:ilvl w:val="0"/>
                <w:numId w:val="19"/>
              </w:numPr>
              <w:suppressAutoHyphens w:val="0"/>
              <w:spacing w:before="240"/>
              <w:ind w:left="420"/>
              <w:rPr>
                <w:rFonts w:cs="Times New Roman"/>
                <w:sz w:val="20"/>
                <w:szCs w:val="20"/>
                <w:lang w:val="en-GB"/>
              </w:rPr>
            </w:pPr>
            <w:r w:rsidRPr="054A2259">
              <w:rPr>
                <w:rFonts w:cs="Times New Roman"/>
                <w:sz w:val="20"/>
                <w:szCs w:val="20"/>
                <w:lang w:val="en-GB"/>
              </w:rPr>
              <w:t xml:space="preserve">Can you justify new infrastructure when utilization is </w:t>
            </w:r>
            <w:r w:rsidRPr="054A2259">
              <w:rPr>
                <w:rFonts w:cs="Times New Roman"/>
                <w:b/>
                <w:bCs/>
                <w:color w:val="ED7D31" w:themeColor="accent2"/>
                <w:sz w:val="20"/>
                <w:szCs w:val="20"/>
                <w:lang w:val="en-GB"/>
              </w:rPr>
              <w:t>not yet high</w:t>
            </w:r>
            <w:r w:rsidRPr="054A2259">
              <w:rPr>
                <w:rFonts w:cs="Times New Roman"/>
                <w:sz w:val="20"/>
                <w:szCs w:val="20"/>
                <w:lang w:val="en-GB"/>
              </w:rPr>
              <w:t xml:space="preserve">? This is not referring to additional money that comes with </w:t>
            </w:r>
            <w:r w:rsidR="143790CE" w:rsidRPr="054A2259">
              <w:rPr>
                <w:rFonts w:cs="Times New Roman"/>
                <w:sz w:val="20"/>
                <w:szCs w:val="20"/>
                <w:lang w:val="en-GB"/>
              </w:rPr>
              <w:t xml:space="preserve">a </w:t>
            </w:r>
            <w:r w:rsidRPr="054A2259">
              <w:rPr>
                <w:rFonts w:cs="Times New Roman"/>
                <w:sz w:val="20"/>
                <w:szCs w:val="20"/>
                <w:lang w:val="en-GB"/>
              </w:rPr>
              <w:t>new project</w:t>
            </w:r>
            <w:r w:rsidR="4FDA2557" w:rsidRPr="054A2259">
              <w:rPr>
                <w:rFonts w:cs="Times New Roman"/>
                <w:sz w:val="20"/>
                <w:szCs w:val="20"/>
                <w:lang w:val="en-GB"/>
              </w:rPr>
              <w:t>,</w:t>
            </w:r>
            <w:r w:rsidRPr="054A2259">
              <w:rPr>
                <w:rFonts w:cs="Times New Roman"/>
                <w:sz w:val="20"/>
                <w:szCs w:val="20"/>
                <w:lang w:val="en-GB"/>
              </w:rPr>
              <w:t xml:space="preserve"> </w:t>
            </w:r>
            <w:r w:rsidR="4E008A21" w:rsidRPr="054A2259">
              <w:rPr>
                <w:rFonts w:cs="Times New Roman"/>
                <w:sz w:val="20"/>
                <w:szCs w:val="20"/>
                <w:lang w:val="en-GB"/>
              </w:rPr>
              <w:t>t</w:t>
            </w:r>
            <w:r w:rsidRPr="054A2259">
              <w:rPr>
                <w:rFonts w:cs="Times New Roman"/>
                <w:sz w:val="20"/>
                <w:szCs w:val="20"/>
                <w:lang w:val="en-GB"/>
              </w:rPr>
              <w:t>his is referring to existing clusters/storage.</w:t>
            </w:r>
          </w:p>
          <w:p w14:paraId="301C14C4" w14:textId="0C471F86" w:rsidR="00EC357E" w:rsidRPr="00A452F2" w:rsidRDefault="00EC357E" w:rsidP="00BB4B86">
            <w:pPr>
              <w:pStyle w:val="ListParagraph"/>
              <w:keepLines w:val="0"/>
              <w:numPr>
                <w:ilvl w:val="0"/>
                <w:numId w:val="19"/>
              </w:numPr>
              <w:suppressAutoHyphens w:val="0"/>
              <w:spacing w:before="240"/>
              <w:ind w:left="420"/>
              <w:rPr>
                <w:rFonts w:cs="Times New Roman"/>
                <w:sz w:val="20"/>
                <w:szCs w:val="20"/>
                <w:lang w:val="en-GB"/>
              </w:rPr>
            </w:pPr>
            <w:r w:rsidRPr="054A2259">
              <w:rPr>
                <w:rFonts w:cs="Times New Roman"/>
                <w:sz w:val="20"/>
                <w:szCs w:val="20"/>
                <w:lang w:val="en-GB"/>
              </w:rPr>
              <w:lastRenderedPageBreak/>
              <w:t>It takes time to buy hardware. Do you have</w:t>
            </w:r>
            <w:r w:rsidR="333B0C80" w:rsidRPr="054A2259">
              <w:rPr>
                <w:rFonts w:cs="Times New Roman"/>
                <w:sz w:val="20"/>
                <w:szCs w:val="20"/>
                <w:lang w:val="en-GB"/>
              </w:rPr>
              <w:t xml:space="preserve"> an</w:t>
            </w:r>
            <w:r w:rsidRPr="054A2259">
              <w:rPr>
                <w:rFonts w:cs="Times New Roman"/>
                <w:sz w:val="20"/>
                <w:szCs w:val="20"/>
                <w:lang w:val="en-GB"/>
              </w:rPr>
              <w:t xml:space="preserve"> </w:t>
            </w:r>
            <w:r w:rsidRPr="054A2259">
              <w:rPr>
                <w:rFonts w:cs="Times New Roman"/>
                <w:b/>
                <w:bCs/>
                <w:color w:val="ED7D31" w:themeColor="accent2"/>
                <w:sz w:val="20"/>
                <w:szCs w:val="20"/>
                <w:lang w:val="en-GB"/>
              </w:rPr>
              <w:t>early warning</w:t>
            </w:r>
            <w:r w:rsidRPr="054A2259">
              <w:rPr>
                <w:rFonts w:cs="Times New Roman"/>
                <w:color w:val="ED7D31" w:themeColor="accent2"/>
                <w:sz w:val="20"/>
                <w:szCs w:val="20"/>
                <w:lang w:val="en-GB"/>
              </w:rPr>
              <w:t xml:space="preserve"> </w:t>
            </w:r>
            <w:r w:rsidRPr="054A2259">
              <w:rPr>
                <w:rFonts w:cs="Times New Roman"/>
                <w:sz w:val="20"/>
                <w:szCs w:val="20"/>
                <w:lang w:val="en-GB"/>
              </w:rPr>
              <w:t>in place? Other than utilization, what other metrics do you consider?</w:t>
            </w:r>
          </w:p>
          <w:p w14:paraId="40557F24" w14:textId="77777777" w:rsidR="00EC357E" w:rsidRPr="00A452F2" w:rsidRDefault="00EC357E" w:rsidP="000320B9">
            <w:pPr>
              <w:spacing w:before="240"/>
              <w:ind w:left="306"/>
              <w:rPr>
                <w:rFonts w:cs="Times New Roman"/>
                <w:sz w:val="20"/>
                <w:lang w:val="en-GB"/>
              </w:rPr>
            </w:pPr>
          </w:p>
        </w:tc>
        <w:tc>
          <w:tcPr>
            <w:tcW w:w="5781" w:type="dxa"/>
            <w:vAlign w:val="center"/>
          </w:tcPr>
          <w:p w14:paraId="2AFB5D0C" w14:textId="77777777" w:rsidR="00EC357E" w:rsidRPr="00A452F2" w:rsidRDefault="00EC357E" w:rsidP="000320B9">
            <w:pPr>
              <w:rPr>
                <w:rFonts w:cs="Times New Roman"/>
                <w:color w:val="A6A6A6" w:themeColor="background1" w:themeShade="A6"/>
                <w:sz w:val="20"/>
                <w:lang w:val="en-GB"/>
              </w:rPr>
            </w:pPr>
            <w:r w:rsidRPr="00A452F2">
              <w:rPr>
                <w:rFonts w:cs="Times New Roman"/>
                <w:color w:val="A6A6A6" w:themeColor="background1" w:themeShade="A6"/>
                <w:sz w:val="20"/>
                <w:lang w:val="en-GB"/>
              </w:rPr>
              <w:lastRenderedPageBreak/>
              <w:t xml:space="preserve">Yes. We maximize utilization without compromising performance. Performance is at the heart of our capacity management. We also consider concentration risk, and do not exceed the limit set in business continuity policy. </w:t>
            </w:r>
          </w:p>
          <w:p w14:paraId="082D6E74" w14:textId="77777777" w:rsidR="00EC357E" w:rsidRPr="00A452F2" w:rsidRDefault="00EC357E" w:rsidP="000320B9">
            <w:pPr>
              <w:rPr>
                <w:rFonts w:cs="Times New Roman"/>
                <w:color w:val="A6A6A6" w:themeColor="background1" w:themeShade="A6"/>
                <w:sz w:val="20"/>
                <w:lang w:val="en-GB"/>
              </w:rPr>
            </w:pPr>
            <w:r w:rsidRPr="00A452F2">
              <w:rPr>
                <w:rFonts w:cs="Times New Roman"/>
                <w:color w:val="A6A6A6" w:themeColor="background1" w:themeShade="A6"/>
                <w:sz w:val="20"/>
                <w:lang w:val="en-GB"/>
              </w:rPr>
              <w:lastRenderedPageBreak/>
              <w:t xml:space="preserve">As it takes time to buy hardware, Performance SLA breach serves as early warning as they happen before VM Owner complains. </w:t>
            </w:r>
          </w:p>
        </w:tc>
      </w:tr>
      <w:tr w:rsidR="00EC357E" w:rsidRPr="00E51A31" w14:paraId="67FE1D91" w14:textId="77777777" w:rsidTr="00967DB5">
        <w:tc>
          <w:tcPr>
            <w:tcW w:w="10456" w:type="dxa"/>
            <w:gridSpan w:val="2"/>
            <w:vAlign w:val="center"/>
          </w:tcPr>
          <w:p w14:paraId="73E66002" w14:textId="77777777" w:rsidR="00EC357E" w:rsidRPr="00A452F2" w:rsidRDefault="00EC357E" w:rsidP="00757101">
            <w:pPr>
              <w:pStyle w:val="Tableheading"/>
            </w:pPr>
            <w:r w:rsidRPr="00A452F2">
              <w:lastRenderedPageBreak/>
              <w:t>VM Right-Sizing</w:t>
            </w:r>
          </w:p>
        </w:tc>
      </w:tr>
      <w:tr w:rsidR="00EC357E" w:rsidRPr="00E51A31" w14:paraId="47E31A6B" w14:textId="77777777" w:rsidTr="00967DB5">
        <w:tc>
          <w:tcPr>
            <w:tcW w:w="4675" w:type="dxa"/>
            <w:vAlign w:val="center"/>
          </w:tcPr>
          <w:p w14:paraId="1AC132CC" w14:textId="4DF87359" w:rsidR="00EC357E" w:rsidRPr="00A452F2" w:rsidRDefault="00EC357E" w:rsidP="00BB4B86">
            <w:pPr>
              <w:pStyle w:val="ListParagraph"/>
              <w:keepLines w:val="0"/>
              <w:numPr>
                <w:ilvl w:val="0"/>
                <w:numId w:val="20"/>
              </w:numPr>
              <w:suppressAutoHyphens w:val="0"/>
              <w:spacing w:before="240"/>
              <w:ind w:left="420"/>
              <w:rPr>
                <w:rFonts w:cs="Times New Roman"/>
                <w:sz w:val="20"/>
                <w:szCs w:val="20"/>
                <w:lang w:val="en-GB"/>
              </w:rPr>
            </w:pPr>
            <w:r w:rsidRPr="054A2259">
              <w:rPr>
                <w:rFonts w:cs="Times New Roman"/>
                <w:sz w:val="20"/>
                <w:szCs w:val="20"/>
                <w:lang w:val="en-GB"/>
              </w:rPr>
              <w:t xml:space="preserve">Do you have many over-provisioned VMs? Do you know </w:t>
            </w:r>
            <w:r w:rsidR="03FB4269" w:rsidRPr="054A2259">
              <w:rPr>
                <w:rFonts w:cs="Times New Roman"/>
                <w:sz w:val="20"/>
                <w:szCs w:val="20"/>
                <w:lang w:val="en-GB"/>
              </w:rPr>
              <w:t>how much</w:t>
            </w:r>
            <w:r w:rsidRPr="054A2259">
              <w:rPr>
                <w:rFonts w:cs="Times New Roman"/>
                <w:sz w:val="20"/>
                <w:szCs w:val="20"/>
                <w:lang w:val="en-GB"/>
              </w:rPr>
              <w:t xml:space="preserve"> to reclaim, and from which VMs?</w:t>
            </w:r>
          </w:p>
          <w:p w14:paraId="00C67DE7" w14:textId="77777777" w:rsidR="00EC357E" w:rsidRPr="00A452F2" w:rsidRDefault="00EC357E" w:rsidP="00BB4B86">
            <w:pPr>
              <w:pStyle w:val="ListParagraph"/>
              <w:keepLines w:val="0"/>
              <w:numPr>
                <w:ilvl w:val="0"/>
                <w:numId w:val="20"/>
              </w:numPr>
              <w:suppressAutoHyphens w:val="0"/>
              <w:spacing w:before="240"/>
              <w:ind w:left="420"/>
              <w:rPr>
                <w:rFonts w:cs="Times New Roman"/>
                <w:sz w:val="20"/>
                <w:lang w:val="en-GB"/>
              </w:rPr>
            </w:pPr>
            <w:r w:rsidRPr="00A452F2">
              <w:rPr>
                <w:rFonts w:cs="Times New Roman"/>
                <w:sz w:val="20"/>
                <w:lang w:val="en-GB"/>
              </w:rPr>
              <w:t>Are the VM Owners convinced on your recommendation? If not, why?</w:t>
            </w:r>
          </w:p>
          <w:p w14:paraId="59D8A676" w14:textId="4F6DF1C7" w:rsidR="00EC357E" w:rsidRPr="00A452F2" w:rsidRDefault="00EC357E" w:rsidP="00BB4B86">
            <w:pPr>
              <w:pStyle w:val="ListParagraph"/>
              <w:keepLines w:val="0"/>
              <w:numPr>
                <w:ilvl w:val="0"/>
                <w:numId w:val="20"/>
              </w:numPr>
              <w:suppressAutoHyphens w:val="0"/>
              <w:spacing w:before="240"/>
              <w:ind w:left="420"/>
              <w:rPr>
                <w:rFonts w:cs="Times New Roman"/>
                <w:sz w:val="20"/>
                <w:szCs w:val="20"/>
                <w:lang w:val="en-GB"/>
              </w:rPr>
            </w:pPr>
            <w:r w:rsidRPr="054A2259">
              <w:rPr>
                <w:rFonts w:cs="Times New Roman"/>
                <w:sz w:val="20"/>
                <w:szCs w:val="20"/>
                <w:lang w:val="en-GB"/>
              </w:rPr>
              <w:t>How do you right</w:t>
            </w:r>
            <w:r w:rsidR="67CBB1EA" w:rsidRPr="054A2259">
              <w:rPr>
                <w:rFonts w:cs="Times New Roman"/>
                <w:sz w:val="20"/>
                <w:szCs w:val="20"/>
                <w:lang w:val="en-GB"/>
              </w:rPr>
              <w:t>-</w:t>
            </w:r>
            <w:r w:rsidRPr="054A2259">
              <w:rPr>
                <w:rFonts w:cs="Times New Roman"/>
                <w:sz w:val="20"/>
                <w:szCs w:val="20"/>
                <w:lang w:val="en-GB"/>
              </w:rPr>
              <w:t>size without impacting performance?</w:t>
            </w:r>
          </w:p>
          <w:p w14:paraId="6776E8C3" w14:textId="77777777" w:rsidR="00EC357E" w:rsidRPr="00A452F2" w:rsidRDefault="00EC357E" w:rsidP="000320B9">
            <w:pPr>
              <w:spacing w:before="240"/>
              <w:ind w:left="306"/>
              <w:rPr>
                <w:rFonts w:cs="Times New Roman"/>
                <w:sz w:val="20"/>
                <w:lang w:val="en-GB"/>
              </w:rPr>
            </w:pPr>
          </w:p>
        </w:tc>
        <w:tc>
          <w:tcPr>
            <w:tcW w:w="5781" w:type="dxa"/>
            <w:vAlign w:val="center"/>
          </w:tcPr>
          <w:p w14:paraId="57CC7BB9" w14:textId="6F7B694D" w:rsidR="00EC357E" w:rsidRPr="00A452F2" w:rsidRDefault="00EC357E" w:rsidP="054A2259">
            <w:pPr>
              <w:rPr>
                <w:rFonts w:cs="Times New Roman"/>
                <w:color w:val="A6A6A6" w:themeColor="background1" w:themeShade="A6"/>
                <w:sz w:val="20"/>
                <w:szCs w:val="20"/>
                <w:lang w:val="en-GB"/>
              </w:rPr>
            </w:pPr>
            <w:r w:rsidRPr="054A2259">
              <w:rPr>
                <w:rFonts w:cs="Times New Roman"/>
                <w:color w:val="A6A6A6" w:themeColor="background1" w:themeShade="A6"/>
                <w:sz w:val="20"/>
                <w:szCs w:val="20"/>
                <w:lang w:val="en-GB"/>
              </w:rPr>
              <w:t xml:space="preserve">No. We do not interfere with application team business. They are paying for each vCPU, vRAM and vDisk. There is progressive pricing and </w:t>
            </w:r>
            <w:r w:rsidR="16732B36" w:rsidRPr="054A2259">
              <w:rPr>
                <w:rFonts w:cs="Times New Roman"/>
                <w:color w:val="A6A6A6" w:themeColor="background1" w:themeShade="A6"/>
                <w:sz w:val="20"/>
                <w:szCs w:val="20"/>
                <w:lang w:val="en-GB"/>
              </w:rPr>
              <w:t xml:space="preserve">a </w:t>
            </w:r>
            <w:r w:rsidRPr="054A2259">
              <w:rPr>
                <w:rFonts w:cs="Times New Roman"/>
                <w:color w:val="A6A6A6" w:themeColor="background1" w:themeShade="A6"/>
                <w:sz w:val="20"/>
                <w:szCs w:val="20"/>
                <w:lang w:val="en-GB"/>
              </w:rPr>
              <w:t xml:space="preserve">discount for </w:t>
            </w:r>
            <w:r w:rsidR="51C18BC0" w:rsidRPr="054A2259">
              <w:rPr>
                <w:rFonts w:cs="Times New Roman"/>
                <w:color w:val="A6A6A6" w:themeColor="background1" w:themeShade="A6"/>
                <w:sz w:val="20"/>
                <w:szCs w:val="20"/>
                <w:lang w:val="en-GB"/>
              </w:rPr>
              <w:t xml:space="preserve">a </w:t>
            </w:r>
            <w:r w:rsidRPr="054A2259">
              <w:rPr>
                <w:rFonts w:cs="Times New Roman"/>
                <w:color w:val="A6A6A6" w:themeColor="background1" w:themeShade="A6"/>
                <w:sz w:val="20"/>
                <w:szCs w:val="20"/>
                <w:lang w:val="en-GB"/>
              </w:rPr>
              <w:t>small VM. These 2 factors make larger VM</w:t>
            </w:r>
            <w:r w:rsidR="6A51B858" w:rsidRPr="054A2259">
              <w:rPr>
                <w:rFonts w:cs="Times New Roman"/>
                <w:color w:val="A6A6A6" w:themeColor="background1" w:themeShade="A6"/>
                <w:sz w:val="20"/>
                <w:szCs w:val="20"/>
                <w:lang w:val="en-GB"/>
              </w:rPr>
              <w:t>s</w:t>
            </w:r>
            <w:r w:rsidRPr="054A2259">
              <w:rPr>
                <w:rFonts w:cs="Times New Roman"/>
                <w:color w:val="A6A6A6" w:themeColor="background1" w:themeShade="A6"/>
                <w:sz w:val="20"/>
                <w:szCs w:val="20"/>
                <w:lang w:val="en-GB"/>
              </w:rPr>
              <w:t xml:space="preserve"> much more expensive, hence encouraging right sizing right from the start. If an LOB wants to waste their money, that’s certainly their right. We do highlight how much they can save if they right</w:t>
            </w:r>
            <w:r w:rsidR="6313501E" w:rsidRPr="054A2259">
              <w:rPr>
                <w:rFonts w:cs="Times New Roman"/>
                <w:color w:val="A6A6A6" w:themeColor="background1" w:themeShade="A6"/>
                <w:sz w:val="20"/>
                <w:szCs w:val="20"/>
                <w:lang w:val="en-GB"/>
              </w:rPr>
              <w:t>-</w:t>
            </w:r>
            <w:r w:rsidRPr="054A2259">
              <w:rPr>
                <w:rFonts w:cs="Times New Roman"/>
                <w:color w:val="A6A6A6" w:themeColor="background1" w:themeShade="A6"/>
                <w:sz w:val="20"/>
                <w:szCs w:val="20"/>
                <w:lang w:val="en-GB"/>
              </w:rPr>
              <w:t>size.</w:t>
            </w:r>
          </w:p>
          <w:p w14:paraId="5AB33DD9" w14:textId="705329C5" w:rsidR="00EC357E" w:rsidRPr="00A452F2" w:rsidRDefault="00EC357E" w:rsidP="054A2259">
            <w:pPr>
              <w:rPr>
                <w:rFonts w:cs="Times New Roman"/>
                <w:color w:val="A6A6A6" w:themeColor="background1" w:themeShade="A6"/>
                <w:sz w:val="20"/>
                <w:lang w:val="en-GB"/>
              </w:rPr>
            </w:pPr>
            <w:r w:rsidRPr="00A452F2">
              <w:rPr>
                <w:rFonts w:cs="Times New Roman"/>
                <w:color w:val="A6A6A6" w:themeColor="background1" w:themeShade="A6"/>
                <w:sz w:val="20"/>
                <w:lang w:val="en-GB"/>
              </w:rPr>
              <w:t xml:space="preserve">We may </w:t>
            </w:r>
            <w:r w:rsidRPr="054A2259">
              <w:rPr>
                <w:rFonts w:cs="Times New Roman"/>
                <w:color w:val="A6A6A6" w:themeColor="background1" w:themeShade="A6"/>
                <w:sz w:val="20"/>
                <w:szCs w:val="20"/>
                <w:lang w:val="en-GB"/>
              </w:rPr>
              <w:t>advi</w:t>
            </w:r>
            <w:r w:rsidR="244E2F8E" w:rsidRPr="054A2259">
              <w:rPr>
                <w:rFonts w:cs="Times New Roman"/>
                <w:color w:val="A6A6A6" w:themeColor="background1" w:themeShade="A6"/>
                <w:sz w:val="20"/>
                <w:szCs w:val="20"/>
                <w:lang w:val="en-GB"/>
              </w:rPr>
              <w:t>s</w:t>
            </w:r>
            <w:r w:rsidRPr="054A2259">
              <w:rPr>
                <w:rFonts w:cs="Times New Roman"/>
                <w:color w:val="A6A6A6" w:themeColor="background1" w:themeShade="A6"/>
                <w:sz w:val="20"/>
                <w:szCs w:val="20"/>
                <w:lang w:val="en-GB"/>
              </w:rPr>
              <w:t>e</w:t>
            </w:r>
            <w:r w:rsidRPr="00A452F2">
              <w:rPr>
                <w:rFonts w:cs="Times New Roman"/>
                <w:color w:val="A6A6A6" w:themeColor="background1" w:themeShade="A6"/>
                <w:sz w:val="20"/>
                <w:lang w:val="en-GB"/>
              </w:rPr>
              <w:t xml:space="preserve">, but never dictate VM size, as it all depends on the applications. </w:t>
            </w:r>
          </w:p>
          <w:p w14:paraId="29589F46" w14:textId="77777777" w:rsidR="00EC357E" w:rsidRPr="00A452F2" w:rsidRDefault="00EC357E" w:rsidP="000320B9">
            <w:pPr>
              <w:rPr>
                <w:rFonts w:cs="Times New Roman"/>
                <w:sz w:val="20"/>
                <w:lang w:val="en-GB"/>
              </w:rPr>
            </w:pPr>
          </w:p>
        </w:tc>
      </w:tr>
      <w:tr w:rsidR="00EC357E" w:rsidRPr="00E51A31" w14:paraId="4090F1D5" w14:textId="77777777" w:rsidTr="00967DB5">
        <w:tc>
          <w:tcPr>
            <w:tcW w:w="10456" w:type="dxa"/>
            <w:gridSpan w:val="2"/>
            <w:vAlign w:val="center"/>
          </w:tcPr>
          <w:p w14:paraId="6E795A7A" w14:textId="77777777" w:rsidR="00EC357E" w:rsidRPr="00A452F2" w:rsidRDefault="00EC357E" w:rsidP="00757101">
            <w:pPr>
              <w:pStyle w:val="Tableheading"/>
            </w:pPr>
            <w:r w:rsidRPr="00A452F2">
              <w:t>Configuration</w:t>
            </w:r>
          </w:p>
        </w:tc>
      </w:tr>
      <w:tr w:rsidR="00EC357E" w:rsidRPr="00E51A31" w14:paraId="7026EF12" w14:textId="77777777" w:rsidTr="00967DB5">
        <w:tc>
          <w:tcPr>
            <w:tcW w:w="4675" w:type="dxa"/>
            <w:vAlign w:val="center"/>
          </w:tcPr>
          <w:p w14:paraId="139A476E" w14:textId="7AF10CBF" w:rsidR="00EC357E" w:rsidRPr="00A452F2" w:rsidRDefault="00EC357E" w:rsidP="00BB4B86">
            <w:pPr>
              <w:pStyle w:val="ListParagraph"/>
              <w:keepLines w:val="0"/>
              <w:numPr>
                <w:ilvl w:val="0"/>
                <w:numId w:val="21"/>
              </w:numPr>
              <w:suppressAutoHyphens w:val="0"/>
              <w:spacing w:before="240"/>
              <w:ind w:left="420"/>
              <w:rPr>
                <w:rFonts w:cs="Times New Roman"/>
                <w:sz w:val="20"/>
                <w:lang w:val="en-GB"/>
              </w:rPr>
            </w:pPr>
            <w:r w:rsidRPr="00A452F2">
              <w:rPr>
                <w:rFonts w:cs="Times New Roman"/>
                <w:sz w:val="20"/>
                <w:lang w:val="en-GB"/>
              </w:rPr>
              <w:t xml:space="preserve">Do you know who changed what in your infrastructure? Does </w:t>
            </w:r>
            <w:r w:rsidR="4D233D34" w:rsidRPr="054A2259">
              <w:rPr>
                <w:rFonts w:cs="Times New Roman"/>
                <w:sz w:val="20"/>
                <w:szCs w:val="20"/>
                <w:lang w:val="en-GB"/>
              </w:rPr>
              <w:t xml:space="preserve">the </w:t>
            </w:r>
            <w:r w:rsidRPr="00A452F2">
              <w:rPr>
                <w:rFonts w:cs="Times New Roman"/>
                <w:sz w:val="20"/>
                <w:lang w:val="en-GB"/>
              </w:rPr>
              <w:t>Auditor ask for such information?</w:t>
            </w:r>
          </w:p>
          <w:p w14:paraId="20B312A4" w14:textId="6C1B90AB" w:rsidR="00EC357E" w:rsidRPr="00A452F2" w:rsidRDefault="00EC357E" w:rsidP="00BB4B86">
            <w:pPr>
              <w:pStyle w:val="ListParagraph"/>
              <w:keepLines w:val="0"/>
              <w:numPr>
                <w:ilvl w:val="0"/>
                <w:numId w:val="21"/>
              </w:numPr>
              <w:suppressAutoHyphens w:val="0"/>
              <w:spacing w:before="240"/>
              <w:ind w:left="420"/>
              <w:rPr>
                <w:rFonts w:cs="Times New Roman"/>
                <w:sz w:val="20"/>
                <w:lang w:val="en-GB"/>
              </w:rPr>
            </w:pPr>
            <w:r w:rsidRPr="00A452F2">
              <w:rPr>
                <w:rFonts w:cs="Times New Roman"/>
                <w:sz w:val="20"/>
                <w:lang w:val="en-GB"/>
              </w:rPr>
              <w:t xml:space="preserve">Do you need to implement </w:t>
            </w:r>
            <w:r w:rsidR="2A59C204" w:rsidRPr="054A2259">
              <w:rPr>
                <w:rFonts w:cs="Times New Roman"/>
                <w:sz w:val="20"/>
                <w:szCs w:val="20"/>
                <w:lang w:val="en-GB"/>
              </w:rPr>
              <w:t xml:space="preserve">the </w:t>
            </w:r>
            <w:r w:rsidRPr="00A452F2">
              <w:rPr>
                <w:rFonts w:cs="Times New Roman"/>
                <w:sz w:val="20"/>
                <w:lang w:val="en-GB"/>
              </w:rPr>
              <w:t xml:space="preserve">vSphere Hardening Guide? </w:t>
            </w:r>
          </w:p>
          <w:p w14:paraId="10DEE297" w14:textId="77777777" w:rsidR="00EC357E" w:rsidRPr="00A452F2" w:rsidRDefault="00EC357E" w:rsidP="00BB4B86">
            <w:pPr>
              <w:pStyle w:val="ListParagraph"/>
              <w:keepLines w:val="0"/>
              <w:numPr>
                <w:ilvl w:val="0"/>
                <w:numId w:val="21"/>
              </w:numPr>
              <w:suppressAutoHyphens w:val="0"/>
              <w:spacing w:before="240"/>
              <w:ind w:left="420"/>
              <w:rPr>
                <w:rFonts w:cs="Times New Roman"/>
                <w:sz w:val="20"/>
                <w:lang w:val="en-GB"/>
              </w:rPr>
            </w:pPr>
            <w:r w:rsidRPr="00A452F2">
              <w:rPr>
                <w:rFonts w:cs="Times New Roman"/>
                <w:sz w:val="20"/>
                <w:lang w:val="en-GB"/>
              </w:rPr>
              <w:t>Do you have to comply with industry specific security (e.g. PCI DSS, HIPAA)?</w:t>
            </w:r>
          </w:p>
          <w:p w14:paraId="51A7797F" w14:textId="77777777" w:rsidR="00EC357E" w:rsidRPr="00A452F2" w:rsidRDefault="00EC357E" w:rsidP="000320B9">
            <w:pPr>
              <w:spacing w:before="240"/>
              <w:ind w:left="306"/>
              <w:rPr>
                <w:rFonts w:cs="Times New Roman"/>
                <w:sz w:val="20"/>
                <w:lang w:val="en-GB"/>
              </w:rPr>
            </w:pPr>
          </w:p>
        </w:tc>
        <w:tc>
          <w:tcPr>
            <w:tcW w:w="5781" w:type="dxa"/>
            <w:vAlign w:val="center"/>
          </w:tcPr>
          <w:p w14:paraId="20ECD149" w14:textId="0047F7A8" w:rsidR="00EC357E" w:rsidRPr="00A452F2" w:rsidRDefault="00EC357E" w:rsidP="054A2259">
            <w:pPr>
              <w:rPr>
                <w:rFonts w:cs="Times New Roman"/>
                <w:color w:val="A6A6A6" w:themeColor="background1" w:themeShade="A6"/>
                <w:sz w:val="20"/>
                <w:lang w:val="en-GB"/>
              </w:rPr>
            </w:pPr>
            <w:r w:rsidRPr="00A452F2">
              <w:rPr>
                <w:rFonts w:cs="Times New Roman"/>
                <w:color w:val="A6A6A6" w:themeColor="background1" w:themeShade="A6"/>
                <w:sz w:val="20"/>
                <w:lang w:val="en-GB"/>
              </w:rPr>
              <w:t xml:space="preserve">Yes. We mine vCenter logs, tasks and events. We provide </w:t>
            </w:r>
            <w:r w:rsidR="464844E2" w:rsidRPr="054A2259">
              <w:rPr>
                <w:rFonts w:cs="Times New Roman"/>
                <w:color w:val="A6A6A6" w:themeColor="background1" w:themeShade="A6"/>
                <w:sz w:val="20"/>
                <w:szCs w:val="20"/>
                <w:lang w:val="en-GB"/>
              </w:rPr>
              <w:t xml:space="preserve">the </w:t>
            </w:r>
            <w:r w:rsidRPr="00A452F2">
              <w:rPr>
                <w:rFonts w:cs="Times New Roman"/>
                <w:color w:val="A6A6A6" w:themeColor="background1" w:themeShade="A6"/>
                <w:sz w:val="20"/>
                <w:lang w:val="en-GB"/>
              </w:rPr>
              <w:t>Auditor with a custom portal using Log Insight.</w:t>
            </w:r>
          </w:p>
          <w:p w14:paraId="38259052" w14:textId="16954EAE" w:rsidR="00EC357E" w:rsidRPr="00A452F2" w:rsidRDefault="00EC357E" w:rsidP="054A2259">
            <w:pPr>
              <w:rPr>
                <w:rFonts w:cs="Times New Roman"/>
                <w:color w:val="A6A6A6" w:themeColor="background1" w:themeShade="A6"/>
                <w:sz w:val="20"/>
                <w:lang w:val="en-GB"/>
              </w:rPr>
            </w:pPr>
            <w:r w:rsidRPr="00A452F2">
              <w:rPr>
                <w:rFonts w:cs="Times New Roman"/>
                <w:color w:val="A6A6A6" w:themeColor="background1" w:themeShade="A6"/>
                <w:sz w:val="20"/>
                <w:lang w:val="en-GB"/>
              </w:rPr>
              <w:t>Yes. We implement</w:t>
            </w:r>
            <w:r w:rsidR="6F96424B" w:rsidRPr="00A452F2">
              <w:rPr>
                <w:rFonts w:cs="Times New Roman"/>
                <w:color w:val="A6A6A6" w:themeColor="background1" w:themeShade="A6"/>
                <w:sz w:val="20"/>
                <w:lang w:val="en-GB"/>
              </w:rPr>
              <w:t xml:space="preserve"> </w:t>
            </w:r>
            <w:r w:rsidR="6F96424B" w:rsidRPr="054A2259">
              <w:rPr>
                <w:rFonts w:cs="Times New Roman"/>
                <w:color w:val="A6A6A6" w:themeColor="background1" w:themeShade="A6"/>
                <w:sz w:val="20"/>
                <w:szCs w:val="20"/>
                <w:lang w:val="en-GB"/>
              </w:rPr>
              <w:t>the</w:t>
            </w:r>
            <w:r w:rsidRPr="054A2259">
              <w:rPr>
                <w:rFonts w:cs="Times New Roman"/>
                <w:color w:val="A6A6A6" w:themeColor="background1" w:themeShade="A6"/>
                <w:sz w:val="20"/>
                <w:szCs w:val="20"/>
                <w:lang w:val="en-GB"/>
              </w:rPr>
              <w:t xml:space="preserve"> </w:t>
            </w:r>
            <w:r w:rsidRPr="00A452F2">
              <w:rPr>
                <w:rFonts w:cs="Times New Roman"/>
                <w:color w:val="A6A6A6" w:themeColor="background1" w:themeShade="A6"/>
                <w:sz w:val="20"/>
                <w:lang w:val="en-GB"/>
              </w:rPr>
              <w:t>vSphere Hardening Guide. The compliance dashboard is made available for customers to see, demonstrating transparency in our IaaS platform.</w:t>
            </w:r>
          </w:p>
          <w:p w14:paraId="141E797A" w14:textId="77777777" w:rsidR="00EC357E" w:rsidRPr="00A452F2" w:rsidRDefault="00EC357E" w:rsidP="000320B9">
            <w:pPr>
              <w:rPr>
                <w:rFonts w:cs="Times New Roman"/>
                <w:sz w:val="20"/>
                <w:lang w:val="en-GB"/>
              </w:rPr>
            </w:pPr>
          </w:p>
        </w:tc>
      </w:tr>
      <w:tr w:rsidR="00EC357E" w:rsidRPr="00E51A31" w14:paraId="600EB5A2" w14:textId="77777777" w:rsidTr="00967DB5">
        <w:tc>
          <w:tcPr>
            <w:tcW w:w="10456" w:type="dxa"/>
            <w:gridSpan w:val="2"/>
            <w:vAlign w:val="center"/>
          </w:tcPr>
          <w:p w14:paraId="20AE76C2" w14:textId="77777777" w:rsidR="00EC357E" w:rsidRPr="00A452F2" w:rsidRDefault="00EC357E" w:rsidP="00757101">
            <w:pPr>
              <w:pStyle w:val="Tableheading"/>
            </w:pPr>
            <w:r w:rsidRPr="00A452F2">
              <w:br w:type="page"/>
              <w:t>Troubleshooting</w:t>
            </w:r>
          </w:p>
        </w:tc>
      </w:tr>
      <w:tr w:rsidR="00EC357E" w:rsidRPr="00E51A31" w14:paraId="2BB9C304" w14:textId="77777777" w:rsidTr="00967DB5">
        <w:tc>
          <w:tcPr>
            <w:tcW w:w="4675" w:type="dxa"/>
            <w:vAlign w:val="center"/>
          </w:tcPr>
          <w:p w14:paraId="2F5AFACB" w14:textId="45C0EEE8" w:rsidR="00EC357E" w:rsidRPr="00A452F2" w:rsidRDefault="00EC357E" w:rsidP="00BB4B86">
            <w:pPr>
              <w:pStyle w:val="ListParagraph"/>
              <w:keepLines w:val="0"/>
              <w:numPr>
                <w:ilvl w:val="0"/>
                <w:numId w:val="22"/>
              </w:numPr>
              <w:suppressAutoHyphens w:val="0"/>
              <w:spacing w:before="240"/>
              <w:ind w:left="420"/>
              <w:rPr>
                <w:rFonts w:cs="Times New Roman"/>
                <w:sz w:val="20"/>
                <w:lang w:val="en-GB"/>
              </w:rPr>
            </w:pPr>
            <w:r w:rsidRPr="00A452F2">
              <w:rPr>
                <w:rFonts w:cs="Times New Roman"/>
                <w:sz w:val="20"/>
                <w:lang w:val="en-GB"/>
              </w:rPr>
              <w:t xml:space="preserve">On issue that spans multiple </w:t>
            </w:r>
            <w:r w:rsidR="00B5270E" w:rsidRPr="00A452F2">
              <w:rPr>
                <w:rFonts w:cs="Times New Roman"/>
                <w:sz w:val="20"/>
                <w:lang w:val="en-GB"/>
              </w:rPr>
              <w:t>teams</w:t>
            </w:r>
            <w:r w:rsidRPr="00A452F2">
              <w:rPr>
                <w:rFonts w:cs="Times New Roman"/>
                <w:sz w:val="20"/>
                <w:lang w:val="en-GB"/>
              </w:rPr>
              <w:t>, do you use a set of common tools to perform joint analysis? Or each team use their own, working in silo?</w:t>
            </w:r>
          </w:p>
          <w:p w14:paraId="505409A6" w14:textId="77777777" w:rsidR="00EC357E" w:rsidRPr="00A452F2" w:rsidRDefault="00EC357E" w:rsidP="00BB4B86">
            <w:pPr>
              <w:pStyle w:val="ListParagraph"/>
              <w:keepLines w:val="0"/>
              <w:numPr>
                <w:ilvl w:val="0"/>
                <w:numId w:val="22"/>
              </w:numPr>
              <w:suppressAutoHyphens w:val="0"/>
              <w:spacing w:before="240"/>
              <w:ind w:left="420"/>
              <w:rPr>
                <w:rFonts w:cs="Times New Roman"/>
                <w:sz w:val="20"/>
                <w:lang w:val="en-GB"/>
              </w:rPr>
            </w:pPr>
            <w:r w:rsidRPr="00A452F2">
              <w:rPr>
                <w:rFonts w:cs="Times New Roman"/>
                <w:sz w:val="20"/>
                <w:lang w:val="en-GB"/>
              </w:rPr>
              <w:t>Does Network Team and Storage Team have good visibility into the VMware environment? Do you have good visibility into Network and Storage?</w:t>
            </w:r>
          </w:p>
          <w:p w14:paraId="4302FF38" w14:textId="77777777" w:rsidR="00EC357E" w:rsidRPr="00A452F2" w:rsidRDefault="00EC357E" w:rsidP="00BB4B86">
            <w:pPr>
              <w:pStyle w:val="ListParagraph"/>
              <w:keepLines w:val="0"/>
              <w:numPr>
                <w:ilvl w:val="0"/>
                <w:numId w:val="22"/>
              </w:numPr>
              <w:suppressAutoHyphens w:val="0"/>
              <w:spacing w:before="240"/>
              <w:ind w:left="420"/>
              <w:rPr>
                <w:rFonts w:cs="Times New Roman"/>
                <w:sz w:val="20"/>
                <w:lang w:val="en-GB"/>
              </w:rPr>
            </w:pPr>
            <w:r w:rsidRPr="00A452F2">
              <w:rPr>
                <w:rFonts w:cs="Times New Roman"/>
                <w:sz w:val="20"/>
                <w:lang w:val="en-GB"/>
              </w:rPr>
              <w:t>As part of Root Cause Analysis, do you setup alert so issue can be detected faster if it happens again?</w:t>
            </w:r>
          </w:p>
          <w:p w14:paraId="6505DFFB" w14:textId="77777777" w:rsidR="00EC357E" w:rsidRPr="00A452F2" w:rsidRDefault="00EC357E" w:rsidP="000320B9">
            <w:pPr>
              <w:spacing w:before="240"/>
              <w:ind w:left="306"/>
              <w:rPr>
                <w:rFonts w:cs="Times New Roman"/>
                <w:sz w:val="20"/>
                <w:lang w:val="en-GB"/>
              </w:rPr>
            </w:pPr>
          </w:p>
        </w:tc>
        <w:tc>
          <w:tcPr>
            <w:tcW w:w="5781" w:type="dxa"/>
            <w:vAlign w:val="center"/>
          </w:tcPr>
          <w:p w14:paraId="2D6E9BD1" w14:textId="6D531B3D" w:rsidR="00EC357E" w:rsidRPr="00A452F2" w:rsidRDefault="3D0352E3" w:rsidP="574798BA">
            <w:pPr>
              <w:rPr>
                <w:rFonts w:cs="Times New Roman"/>
                <w:color w:val="A6A6A6" w:themeColor="background1" w:themeShade="A6"/>
                <w:sz w:val="20"/>
                <w:szCs w:val="20"/>
                <w:lang w:val="en-GB"/>
              </w:rPr>
            </w:pPr>
            <w:r w:rsidRPr="574798BA">
              <w:rPr>
                <w:rFonts w:cs="Times New Roman"/>
                <w:color w:val="A6A6A6" w:themeColor="background1" w:themeShade="A6"/>
                <w:sz w:val="20"/>
                <w:szCs w:val="20"/>
                <w:lang w:val="en-GB"/>
              </w:rPr>
              <w:t xml:space="preserve">Yes. </w:t>
            </w:r>
            <w:r w:rsidR="09612F4B" w:rsidRPr="574798BA">
              <w:rPr>
                <w:rFonts w:cs="Times New Roman"/>
                <w:color w:val="A6A6A6" w:themeColor="background1" w:themeShade="A6"/>
                <w:sz w:val="20"/>
                <w:szCs w:val="20"/>
                <w:lang w:val="en-GB"/>
              </w:rPr>
              <w:t xml:space="preserve">The </w:t>
            </w:r>
            <w:r w:rsidRPr="574798BA">
              <w:rPr>
                <w:rFonts w:cs="Times New Roman"/>
                <w:color w:val="A6A6A6" w:themeColor="background1" w:themeShade="A6"/>
                <w:sz w:val="20"/>
                <w:szCs w:val="20"/>
                <w:lang w:val="en-GB"/>
              </w:rPr>
              <w:t>Storage and Network team</w:t>
            </w:r>
            <w:r w:rsidR="551CE386" w:rsidRPr="574798BA">
              <w:rPr>
                <w:rFonts w:cs="Times New Roman"/>
                <w:color w:val="A6A6A6" w:themeColor="background1" w:themeShade="A6"/>
                <w:sz w:val="20"/>
                <w:szCs w:val="20"/>
                <w:lang w:val="en-GB"/>
              </w:rPr>
              <w:t>s</w:t>
            </w:r>
            <w:r w:rsidRPr="574798BA">
              <w:rPr>
                <w:rFonts w:cs="Times New Roman"/>
                <w:color w:val="A6A6A6" w:themeColor="background1" w:themeShade="A6"/>
                <w:sz w:val="20"/>
                <w:szCs w:val="20"/>
                <w:lang w:val="en-GB"/>
              </w:rPr>
              <w:t xml:space="preserve"> have custom access to both vCenter and vRealize. For </w:t>
            </w:r>
            <w:r w:rsidR="752BF818" w:rsidRPr="574798BA">
              <w:rPr>
                <w:rFonts w:cs="Times New Roman"/>
                <w:color w:val="A6A6A6" w:themeColor="background1" w:themeShade="A6"/>
                <w:sz w:val="20"/>
                <w:szCs w:val="20"/>
                <w:lang w:val="en-GB"/>
              </w:rPr>
              <w:t xml:space="preserve">vRealize Operations </w:t>
            </w:r>
            <w:r w:rsidRPr="574798BA">
              <w:rPr>
                <w:rFonts w:cs="Times New Roman"/>
                <w:color w:val="A6A6A6" w:themeColor="background1" w:themeShade="A6"/>
                <w:sz w:val="20"/>
                <w:szCs w:val="20"/>
                <w:lang w:val="en-GB"/>
              </w:rPr>
              <w:t xml:space="preserve">and Log Insight, we created custom </w:t>
            </w:r>
            <w:r w:rsidR="00915E6E" w:rsidRPr="574798BA">
              <w:rPr>
                <w:rFonts w:cs="Times New Roman"/>
                <w:color w:val="A6A6A6" w:themeColor="background1" w:themeShade="A6"/>
                <w:sz w:val="20"/>
                <w:szCs w:val="20"/>
                <w:lang w:val="en-GB"/>
              </w:rPr>
              <w:t>dashboards,</w:t>
            </w:r>
            <w:r w:rsidRPr="574798BA">
              <w:rPr>
                <w:rFonts w:cs="Times New Roman"/>
                <w:color w:val="A6A6A6" w:themeColor="background1" w:themeShade="A6"/>
                <w:sz w:val="20"/>
                <w:szCs w:val="20"/>
                <w:lang w:val="en-GB"/>
              </w:rPr>
              <w:t xml:space="preserve"> so they are not overwhelmed with unnecessary information. </w:t>
            </w:r>
          </w:p>
          <w:p w14:paraId="075C6F88" w14:textId="7A86008B" w:rsidR="00EC357E" w:rsidRPr="00A452F2" w:rsidRDefault="3D0352E3" w:rsidP="574798BA">
            <w:pPr>
              <w:rPr>
                <w:rFonts w:cs="Times New Roman"/>
                <w:color w:val="A6A6A6" w:themeColor="background1" w:themeShade="A6"/>
                <w:sz w:val="20"/>
                <w:szCs w:val="20"/>
                <w:lang w:val="en-GB"/>
              </w:rPr>
            </w:pPr>
            <w:r w:rsidRPr="574798BA">
              <w:rPr>
                <w:rFonts w:cs="Times New Roman"/>
                <w:color w:val="A6A6A6" w:themeColor="background1" w:themeShade="A6"/>
                <w:sz w:val="20"/>
                <w:szCs w:val="20"/>
                <w:lang w:val="en-GB"/>
              </w:rPr>
              <w:t xml:space="preserve">Yes. Storage, Network, </w:t>
            </w:r>
            <w:r w:rsidR="1410C7BF" w:rsidRPr="574798BA">
              <w:rPr>
                <w:rFonts w:cs="Times New Roman"/>
                <w:color w:val="A6A6A6" w:themeColor="background1" w:themeShade="A6"/>
                <w:sz w:val="20"/>
                <w:szCs w:val="20"/>
                <w:lang w:val="en-GB"/>
              </w:rPr>
              <w:t xml:space="preserve">and </w:t>
            </w:r>
            <w:r w:rsidRPr="574798BA">
              <w:rPr>
                <w:rFonts w:cs="Times New Roman"/>
                <w:color w:val="A6A6A6" w:themeColor="background1" w:themeShade="A6"/>
                <w:sz w:val="20"/>
                <w:szCs w:val="20"/>
                <w:lang w:val="en-GB"/>
              </w:rPr>
              <w:t>Compute have access to one another</w:t>
            </w:r>
            <w:r w:rsidR="1F5838E8" w:rsidRPr="574798BA">
              <w:rPr>
                <w:rFonts w:cs="Times New Roman"/>
                <w:color w:val="A6A6A6" w:themeColor="background1" w:themeShade="A6"/>
                <w:sz w:val="20"/>
                <w:szCs w:val="20"/>
                <w:lang w:val="en-GB"/>
              </w:rPr>
              <w:t>’s</w:t>
            </w:r>
            <w:r w:rsidRPr="574798BA">
              <w:rPr>
                <w:rFonts w:cs="Times New Roman"/>
                <w:color w:val="A6A6A6" w:themeColor="background1" w:themeShade="A6"/>
                <w:sz w:val="20"/>
                <w:szCs w:val="20"/>
                <w:lang w:val="en-GB"/>
              </w:rPr>
              <w:t xml:space="preserve"> tool</w:t>
            </w:r>
            <w:r w:rsidR="0270FFC8" w:rsidRPr="574798BA">
              <w:rPr>
                <w:rFonts w:cs="Times New Roman"/>
                <w:color w:val="A6A6A6" w:themeColor="background1" w:themeShade="A6"/>
                <w:sz w:val="20"/>
                <w:szCs w:val="20"/>
                <w:lang w:val="en-GB"/>
              </w:rPr>
              <w:t>s</w:t>
            </w:r>
            <w:r w:rsidRPr="574798BA">
              <w:rPr>
                <w:rFonts w:cs="Times New Roman"/>
                <w:color w:val="A6A6A6" w:themeColor="background1" w:themeShade="A6"/>
                <w:sz w:val="20"/>
                <w:szCs w:val="20"/>
                <w:lang w:val="en-GB"/>
              </w:rPr>
              <w:t xml:space="preserve">. We use </w:t>
            </w:r>
            <w:r w:rsidR="6A85E482" w:rsidRPr="574798BA">
              <w:rPr>
                <w:rFonts w:cs="Times New Roman"/>
                <w:color w:val="A6A6A6" w:themeColor="background1" w:themeShade="A6"/>
                <w:sz w:val="20"/>
                <w:szCs w:val="20"/>
                <w:lang w:val="en-GB"/>
              </w:rPr>
              <w:t>the True Visibility Suite</w:t>
            </w:r>
            <w:r w:rsidRPr="574798BA">
              <w:rPr>
                <w:rFonts w:cs="Times New Roman"/>
                <w:color w:val="A6A6A6" w:themeColor="background1" w:themeShade="A6"/>
                <w:sz w:val="20"/>
                <w:szCs w:val="20"/>
                <w:lang w:val="en-GB"/>
              </w:rPr>
              <w:t xml:space="preserve"> to correlate with Network and Storage, so everyone is looking at the same information.</w:t>
            </w:r>
          </w:p>
          <w:p w14:paraId="002F5647" w14:textId="3E3C0981" w:rsidR="00EC357E" w:rsidRPr="00A452F2" w:rsidRDefault="3D0352E3" w:rsidP="574798BA">
            <w:pPr>
              <w:rPr>
                <w:rFonts w:cs="Times New Roman"/>
                <w:color w:val="A6A6A6" w:themeColor="background1" w:themeShade="A6"/>
                <w:sz w:val="20"/>
                <w:szCs w:val="20"/>
                <w:lang w:val="en-GB"/>
              </w:rPr>
            </w:pPr>
            <w:r w:rsidRPr="574798BA">
              <w:rPr>
                <w:rFonts w:cs="Times New Roman"/>
                <w:color w:val="A6A6A6" w:themeColor="background1" w:themeShade="A6"/>
                <w:sz w:val="20"/>
                <w:szCs w:val="20"/>
                <w:lang w:val="en-GB"/>
              </w:rPr>
              <w:t>Yes. Alert</w:t>
            </w:r>
            <w:r w:rsidR="47F0AB04" w:rsidRPr="574798BA">
              <w:rPr>
                <w:rFonts w:cs="Times New Roman"/>
                <w:color w:val="A6A6A6" w:themeColor="background1" w:themeShade="A6"/>
                <w:sz w:val="20"/>
                <w:szCs w:val="20"/>
                <w:lang w:val="en-GB"/>
              </w:rPr>
              <w:t>s</w:t>
            </w:r>
            <w:r w:rsidRPr="574798BA">
              <w:rPr>
                <w:rFonts w:cs="Times New Roman"/>
                <w:color w:val="A6A6A6" w:themeColor="background1" w:themeShade="A6"/>
                <w:sz w:val="20"/>
                <w:szCs w:val="20"/>
                <w:lang w:val="en-GB"/>
              </w:rPr>
              <w:t xml:space="preserve"> </w:t>
            </w:r>
            <w:r w:rsidR="264B6AA9" w:rsidRPr="574798BA">
              <w:rPr>
                <w:rFonts w:cs="Times New Roman"/>
                <w:color w:val="A6A6A6" w:themeColor="background1" w:themeShade="A6"/>
                <w:sz w:val="20"/>
                <w:szCs w:val="20"/>
                <w:lang w:val="en-GB"/>
              </w:rPr>
              <w:t>are</w:t>
            </w:r>
            <w:r w:rsidRPr="574798BA">
              <w:rPr>
                <w:rFonts w:cs="Times New Roman"/>
                <w:color w:val="A6A6A6" w:themeColor="background1" w:themeShade="A6"/>
                <w:sz w:val="20"/>
                <w:szCs w:val="20"/>
                <w:lang w:val="en-GB"/>
              </w:rPr>
              <w:t xml:space="preserve"> mandatory as exit criteria in RCA.</w:t>
            </w:r>
          </w:p>
          <w:p w14:paraId="330D992B" w14:textId="77777777" w:rsidR="00EC357E" w:rsidRPr="00A452F2" w:rsidRDefault="00EC357E" w:rsidP="000320B9">
            <w:pPr>
              <w:rPr>
                <w:rFonts w:cs="Times New Roman"/>
                <w:sz w:val="20"/>
                <w:lang w:val="en-GB"/>
              </w:rPr>
            </w:pPr>
          </w:p>
        </w:tc>
      </w:tr>
      <w:tr w:rsidR="00EC357E" w:rsidRPr="00E51A31" w14:paraId="63963FA9" w14:textId="77777777" w:rsidTr="00967DB5">
        <w:tc>
          <w:tcPr>
            <w:tcW w:w="10456" w:type="dxa"/>
            <w:gridSpan w:val="2"/>
            <w:vAlign w:val="center"/>
          </w:tcPr>
          <w:p w14:paraId="107B41C1" w14:textId="77777777" w:rsidR="00EC357E" w:rsidRPr="00A452F2" w:rsidRDefault="00EC357E" w:rsidP="00757101">
            <w:pPr>
              <w:pStyle w:val="Tableheading"/>
            </w:pPr>
            <w:r w:rsidRPr="00A452F2">
              <w:lastRenderedPageBreak/>
              <w:t>Availability</w:t>
            </w:r>
          </w:p>
        </w:tc>
      </w:tr>
      <w:tr w:rsidR="00EC357E" w:rsidRPr="00E51A31" w14:paraId="61FB5083" w14:textId="77777777" w:rsidTr="00967DB5">
        <w:trPr>
          <w:trHeight w:val="278"/>
        </w:trPr>
        <w:tc>
          <w:tcPr>
            <w:tcW w:w="4675" w:type="dxa"/>
            <w:vAlign w:val="center"/>
          </w:tcPr>
          <w:p w14:paraId="1615193A" w14:textId="3DF1C54D" w:rsidR="00EC357E" w:rsidRPr="00A452F2" w:rsidRDefault="3D0352E3" w:rsidP="00BB4B86">
            <w:pPr>
              <w:pStyle w:val="ListParagraph"/>
              <w:keepLines w:val="0"/>
              <w:numPr>
                <w:ilvl w:val="0"/>
                <w:numId w:val="23"/>
              </w:numPr>
              <w:suppressAutoHyphens w:val="0"/>
              <w:spacing w:before="240"/>
              <w:ind w:left="420"/>
              <w:rPr>
                <w:rFonts w:cs="Times New Roman"/>
                <w:sz w:val="20"/>
                <w:szCs w:val="20"/>
                <w:lang w:val="en-GB"/>
              </w:rPr>
            </w:pPr>
            <w:r w:rsidRPr="574798BA">
              <w:rPr>
                <w:rFonts w:cs="Times New Roman"/>
                <w:sz w:val="20"/>
                <w:szCs w:val="20"/>
                <w:lang w:val="en-GB"/>
              </w:rPr>
              <w:t xml:space="preserve">Guest OS Availability differs </w:t>
            </w:r>
            <w:r w:rsidR="7FD59A9F" w:rsidRPr="574798BA">
              <w:rPr>
                <w:rFonts w:cs="Times New Roman"/>
                <w:sz w:val="20"/>
                <w:szCs w:val="20"/>
                <w:lang w:val="en-GB"/>
              </w:rPr>
              <w:t xml:space="preserve">from </w:t>
            </w:r>
            <w:r w:rsidRPr="574798BA">
              <w:rPr>
                <w:rFonts w:cs="Times New Roman"/>
                <w:sz w:val="20"/>
                <w:szCs w:val="20"/>
                <w:lang w:val="en-GB"/>
              </w:rPr>
              <w:t xml:space="preserve">VM Availability and Infra Availability. How do you report Guest OS Availability for </w:t>
            </w:r>
            <w:r w:rsidRPr="574798BA">
              <w:rPr>
                <w:rFonts w:cs="Times New Roman"/>
                <w:b/>
                <w:bCs/>
                <w:color w:val="ED7D31" w:themeColor="accent2"/>
                <w:sz w:val="20"/>
                <w:szCs w:val="20"/>
                <w:lang w:val="en-GB"/>
              </w:rPr>
              <w:t>each VM</w:t>
            </w:r>
            <w:r w:rsidRPr="574798BA">
              <w:rPr>
                <w:rFonts w:cs="Times New Roman"/>
                <w:sz w:val="20"/>
                <w:szCs w:val="20"/>
                <w:lang w:val="en-GB"/>
              </w:rPr>
              <w:t>?</w:t>
            </w:r>
          </w:p>
          <w:p w14:paraId="42758FF3" w14:textId="77777777" w:rsidR="00EC357E" w:rsidRPr="00A452F2" w:rsidRDefault="00EC357E" w:rsidP="00BB4B86">
            <w:pPr>
              <w:pStyle w:val="ListParagraph"/>
              <w:keepLines w:val="0"/>
              <w:numPr>
                <w:ilvl w:val="0"/>
                <w:numId w:val="23"/>
              </w:numPr>
              <w:suppressAutoHyphens w:val="0"/>
              <w:spacing w:before="240"/>
              <w:ind w:left="420"/>
              <w:rPr>
                <w:rFonts w:cs="Times New Roman"/>
                <w:sz w:val="20"/>
                <w:lang w:val="en-GB"/>
              </w:rPr>
            </w:pPr>
            <w:r w:rsidRPr="00A452F2">
              <w:rPr>
                <w:rFonts w:cs="Times New Roman"/>
                <w:sz w:val="20"/>
                <w:lang w:val="en-GB"/>
              </w:rPr>
              <w:t>What is your Availability SLA for Guest OS? How often is this tracked?</w:t>
            </w:r>
          </w:p>
          <w:p w14:paraId="33203ADD" w14:textId="77777777" w:rsidR="00EC357E" w:rsidRPr="00A452F2" w:rsidRDefault="00EC357E" w:rsidP="000320B9">
            <w:pPr>
              <w:spacing w:before="240"/>
              <w:ind w:left="306"/>
              <w:rPr>
                <w:rFonts w:cs="Times New Roman"/>
                <w:sz w:val="20"/>
                <w:lang w:val="en-GB"/>
              </w:rPr>
            </w:pPr>
          </w:p>
        </w:tc>
        <w:tc>
          <w:tcPr>
            <w:tcW w:w="5781" w:type="dxa"/>
            <w:vAlign w:val="center"/>
          </w:tcPr>
          <w:p w14:paraId="767F051A" w14:textId="0622D84D" w:rsidR="00EC357E" w:rsidRPr="00A452F2" w:rsidRDefault="3D0352E3" w:rsidP="574798BA">
            <w:pPr>
              <w:rPr>
                <w:rFonts w:cs="Times New Roman"/>
                <w:color w:val="A6A6A6" w:themeColor="background1" w:themeShade="A6"/>
                <w:sz w:val="20"/>
                <w:szCs w:val="20"/>
                <w:lang w:val="en-GB"/>
              </w:rPr>
            </w:pPr>
            <w:r w:rsidRPr="574798BA">
              <w:rPr>
                <w:rFonts w:cs="Times New Roman"/>
                <w:color w:val="A6A6A6" w:themeColor="background1" w:themeShade="A6"/>
                <w:sz w:val="20"/>
                <w:szCs w:val="20"/>
                <w:lang w:val="en-GB"/>
              </w:rPr>
              <w:t>We use VMware Tools for heartbeat. If Tools are not reporting, we check for sign</w:t>
            </w:r>
            <w:r w:rsidR="67A1A2F2" w:rsidRPr="574798BA">
              <w:rPr>
                <w:rFonts w:cs="Times New Roman"/>
                <w:color w:val="A6A6A6" w:themeColor="background1" w:themeShade="A6"/>
                <w:sz w:val="20"/>
                <w:szCs w:val="20"/>
                <w:lang w:val="en-GB"/>
              </w:rPr>
              <w:t>s</w:t>
            </w:r>
            <w:r w:rsidRPr="574798BA">
              <w:rPr>
                <w:rFonts w:cs="Times New Roman"/>
                <w:color w:val="A6A6A6" w:themeColor="background1" w:themeShade="A6"/>
                <w:sz w:val="20"/>
                <w:szCs w:val="20"/>
                <w:lang w:val="en-GB"/>
              </w:rPr>
              <w:t xml:space="preserve"> of life (e.g. disk and network activity)</w:t>
            </w:r>
          </w:p>
          <w:p w14:paraId="01F3A7F7" w14:textId="67F7BEF8" w:rsidR="00EC357E" w:rsidRPr="00A452F2" w:rsidRDefault="3D0352E3" w:rsidP="574798BA">
            <w:pPr>
              <w:rPr>
                <w:rFonts w:cs="Times New Roman"/>
                <w:color w:val="A6A6A6" w:themeColor="background1" w:themeShade="A6"/>
                <w:sz w:val="20"/>
                <w:szCs w:val="20"/>
                <w:lang w:val="en-GB"/>
              </w:rPr>
            </w:pPr>
            <w:r w:rsidRPr="574798BA">
              <w:rPr>
                <w:rFonts w:cs="Times New Roman"/>
                <w:color w:val="A6A6A6" w:themeColor="background1" w:themeShade="A6"/>
                <w:sz w:val="20"/>
                <w:szCs w:val="20"/>
                <w:lang w:val="en-GB"/>
              </w:rPr>
              <w:t>We deliver 99.99% per month for each Tier 1 VM, track</w:t>
            </w:r>
            <w:r w:rsidR="02AE0A10" w:rsidRPr="574798BA">
              <w:rPr>
                <w:rFonts w:cs="Times New Roman"/>
                <w:color w:val="A6A6A6" w:themeColor="background1" w:themeShade="A6"/>
                <w:sz w:val="20"/>
                <w:szCs w:val="20"/>
                <w:lang w:val="en-GB"/>
              </w:rPr>
              <w:t>ed</w:t>
            </w:r>
            <w:r w:rsidRPr="574798BA">
              <w:rPr>
                <w:rFonts w:cs="Times New Roman"/>
                <w:color w:val="A6A6A6" w:themeColor="background1" w:themeShade="A6"/>
                <w:sz w:val="20"/>
                <w:szCs w:val="20"/>
                <w:lang w:val="en-GB"/>
              </w:rPr>
              <w:t xml:space="preserve"> every 5 minutes. We do not track lower tier</w:t>
            </w:r>
            <w:r w:rsidR="33FAE0ED" w:rsidRPr="574798BA">
              <w:rPr>
                <w:rFonts w:cs="Times New Roman"/>
                <w:color w:val="A6A6A6" w:themeColor="background1" w:themeShade="A6"/>
                <w:sz w:val="20"/>
                <w:szCs w:val="20"/>
                <w:lang w:val="en-GB"/>
              </w:rPr>
              <w:t>s</w:t>
            </w:r>
            <w:r w:rsidRPr="574798BA">
              <w:rPr>
                <w:rFonts w:cs="Times New Roman"/>
                <w:color w:val="A6A6A6" w:themeColor="background1" w:themeShade="A6"/>
                <w:sz w:val="20"/>
                <w:szCs w:val="20"/>
                <w:lang w:val="en-GB"/>
              </w:rPr>
              <w:t xml:space="preserve"> as developers may reboot their VMs.</w:t>
            </w:r>
          </w:p>
          <w:p w14:paraId="7B7F6965" w14:textId="77777777" w:rsidR="00EC357E" w:rsidRPr="00A452F2" w:rsidRDefault="00EC357E" w:rsidP="000320B9">
            <w:pPr>
              <w:rPr>
                <w:rFonts w:cs="Times New Roman"/>
                <w:sz w:val="20"/>
                <w:lang w:val="en-GB"/>
              </w:rPr>
            </w:pPr>
          </w:p>
        </w:tc>
      </w:tr>
      <w:tr w:rsidR="00EC357E" w:rsidRPr="00E51A31" w14:paraId="7225FA44" w14:textId="77777777" w:rsidTr="00967DB5">
        <w:tc>
          <w:tcPr>
            <w:tcW w:w="10456" w:type="dxa"/>
            <w:gridSpan w:val="2"/>
            <w:vAlign w:val="center"/>
          </w:tcPr>
          <w:p w14:paraId="014C9613" w14:textId="77777777" w:rsidR="00EC357E" w:rsidRPr="00A452F2" w:rsidRDefault="00EC357E" w:rsidP="00757101">
            <w:pPr>
              <w:pStyle w:val="Tableheading"/>
            </w:pPr>
            <w:r w:rsidRPr="00A452F2">
              <w:t>Application</w:t>
            </w:r>
          </w:p>
        </w:tc>
      </w:tr>
      <w:tr w:rsidR="00EC357E" w:rsidRPr="00E51A31" w14:paraId="0F52E0B5" w14:textId="77777777" w:rsidTr="00967DB5">
        <w:tc>
          <w:tcPr>
            <w:tcW w:w="4675" w:type="dxa"/>
            <w:vAlign w:val="center"/>
          </w:tcPr>
          <w:p w14:paraId="35FEF8B8" w14:textId="77777777" w:rsidR="00EC357E" w:rsidRPr="00A452F2" w:rsidRDefault="00EC357E" w:rsidP="00BB4B86">
            <w:pPr>
              <w:pStyle w:val="ListParagraph"/>
              <w:keepLines w:val="0"/>
              <w:numPr>
                <w:ilvl w:val="0"/>
                <w:numId w:val="24"/>
              </w:numPr>
              <w:suppressAutoHyphens w:val="0"/>
              <w:spacing w:before="240"/>
              <w:ind w:left="420"/>
              <w:rPr>
                <w:rFonts w:cs="Times New Roman"/>
                <w:sz w:val="20"/>
                <w:lang w:val="en-GB"/>
              </w:rPr>
            </w:pPr>
            <w:r w:rsidRPr="00A452F2">
              <w:rPr>
                <w:rFonts w:cs="Times New Roman"/>
                <w:sz w:val="20"/>
                <w:lang w:val="en-GB"/>
              </w:rPr>
              <w:t>Do you have visibility into what applications are running on each VMs?</w:t>
            </w:r>
          </w:p>
          <w:p w14:paraId="11986D29" w14:textId="77777777" w:rsidR="00EC357E" w:rsidRPr="00A452F2" w:rsidRDefault="00EC357E" w:rsidP="00BB4B86">
            <w:pPr>
              <w:pStyle w:val="ListParagraph"/>
              <w:keepLines w:val="0"/>
              <w:numPr>
                <w:ilvl w:val="0"/>
                <w:numId w:val="24"/>
              </w:numPr>
              <w:suppressAutoHyphens w:val="0"/>
              <w:spacing w:before="240"/>
              <w:ind w:left="420"/>
              <w:rPr>
                <w:rFonts w:cs="Times New Roman"/>
                <w:sz w:val="20"/>
                <w:lang w:val="en-GB"/>
              </w:rPr>
            </w:pPr>
            <w:r w:rsidRPr="00A452F2">
              <w:rPr>
                <w:rFonts w:cs="Times New Roman"/>
                <w:sz w:val="20"/>
                <w:lang w:val="en-GB"/>
              </w:rPr>
              <w:t>Can you map the Business Units and their Applications into each VM in vSphere? Can you report performance by applications?</w:t>
            </w:r>
          </w:p>
          <w:p w14:paraId="1FA067DB" w14:textId="77777777" w:rsidR="00EC357E" w:rsidRPr="00A452F2" w:rsidRDefault="00EC357E" w:rsidP="000320B9">
            <w:pPr>
              <w:spacing w:before="240"/>
              <w:ind w:left="306"/>
              <w:rPr>
                <w:rFonts w:cs="Times New Roman"/>
                <w:sz w:val="20"/>
                <w:lang w:val="en-GB"/>
              </w:rPr>
            </w:pPr>
          </w:p>
        </w:tc>
        <w:tc>
          <w:tcPr>
            <w:tcW w:w="5781" w:type="dxa"/>
            <w:vAlign w:val="center"/>
          </w:tcPr>
          <w:p w14:paraId="67BD0B9B" w14:textId="5ABF3861" w:rsidR="00EC357E" w:rsidRPr="00A452F2" w:rsidRDefault="3D0352E3" w:rsidP="574798BA">
            <w:pPr>
              <w:rPr>
                <w:rFonts w:cs="Times New Roman"/>
                <w:color w:val="A6A6A6" w:themeColor="background1" w:themeShade="A6"/>
                <w:sz w:val="20"/>
                <w:szCs w:val="20"/>
                <w:lang w:val="en-GB"/>
              </w:rPr>
            </w:pPr>
            <w:r w:rsidRPr="574798BA">
              <w:rPr>
                <w:rFonts w:cs="Times New Roman"/>
                <w:color w:val="A6A6A6" w:themeColor="background1" w:themeShade="A6"/>
                <w:sz w:val="20"/>
                <w:szCs w:val="20"/>
                <w:lang w:val="en-GB"/>
              </w:rPr>
              <w:t>To some extent, as our policy is not to install agent</w:t>
            </w:r>
            <w:r w:rsidR="0AEECACD" w:rsidRPr="574798BA">
              <w:rPr>
                <w:rFonts w:cs="Times New Roman"/>
                <w:color w:val="A6A6A6" w:themeColor="background1" w:themeShade="A6"/>
                <w:sz w:val="20"/>
                <w:szCs w:val="20"/>
                <w:lang w:val="en-GB"/>
              </w:rPr>
              <w:t>s</w:t>
            </w:r>
            <w:r w:rsidRPr="574798BA">
              <w:rPr>
                <w:rFonts w:cs="Times New Roman"/>
                <w:color w:val="A6A6A6" w:themeColor="background1" w:themeShade="A6"/>
                <w:sz w:val="20"/>
                <w:szCs w:val="20"/>
                <w:lang w:val="en-GB"/>
              </w:rPr>
              <w:t xml:space="preserve"> on each VM. Agent</w:t>
            </w:r>
            <w:r w:rsidR="323075BE" w:rsidRPr="574798BA">
              <w:rPr>
                <w:rFonts w:cs="Times New Roman"/>
                <w:color w:val="A6A6A6" w:themeColor="background1" w:themeShade="A6"/>
                <w:sz w:val="20"/>
                <w:szCs w:val="20"/>
                <w:lang w:val="en-GB"/>
              </w:rPr>
              <w:t>s</w:t>
            </w:r>
            <w:r w:rsidRPr="574798BA">
              <w:rPr>
                <w:rFonts w:cs="Times New Roman"/>
                <w:color w:val="A6A6A6" w:themeColor="background1" w:themeShade="A6"/>
                <w:sz w:val="20"/>
                <w:szCs w:val="20"/>
                <w:lang w:val="en-GB"/>
              </w:rPr>
              <w:t xml:space="preserve"> create maintenance, and at times interferes with VM performance. We use network analysis to detect common applications.</w:t>
            </w:r>
          </w:p>
          <w:p w14:paraId="5A732B59" w14:textId="7AFC7302" w:rsidR="00EC357E" w:rsidRPr="00A452F2" w:rsidRDefault="3D0352E3" w:rsidP="574798BA">
            <w:pPr>
              <w:rPr>
                <w:rFonts w:cs="Times New Roman"/>
                <w:color w:val="A6A6A6" w:themeColor="background1" w:themeShade="A6"/>
                <w:sz w:val="20"/>
                <w:szCs w:val="20"/>
                <w:lang w:val="en-GB"/>
              </w:rPr>
            </w:pPr>
            <w:r w:rsidRPr="574798BA">
              <w:rPr>
                <w:rFonts w:cs="Times New Roman"/>
                <w:color w:val="A6A6A6" w:themeColor="background1" w:themeShade="A6"/>
                <w:sz w:val="20"/>
                <w:szCs w:val="20"/>
                <w:lang w:val="en-GB"/>
              </w:rPr>
              <w:t>Yes</w:t>
            </w:r>
            <w:r w:rsidR="6FC17D61" w:rsidRPr="574798BA">
              <w:rPr>
                <w:rFonts w:cs="Times New Roman"/>
                <w:color w:val="A6A6A6" w:themeColor="background1" w:themeShade="A6"/>
                <w:sz w:val="20"/>
                <w:szCs w:val="20"/>
                <w:lang w:val="en-GB"/>
              </w:rPr>
              <w:t>,</w:t>
            </w:r>
            <w:r w:rsidRPr="574798BA">
              <w:rPr>
                <w:rFonts w:cs="Times New Roman"/>
                <w:color w:val="A6A6A6" w:themeColor="background1" w:themeShade="A6"/>
                <w:sz w:val="20"/>
                <w:szCs w:val="20"/>
                <w:lang w:val="en-GB"/>
              </w:rPr>
              <w:t xml:space="preserve"> we can. We organize our vCenter folders </w:t>
            </w:r>
            <w:r w:rsidR="2C301D0B" w:rsidRPr="574798BA">
              <w:rPr>
                <w:rFonts w:cs="Times New Roman"/>
                <w:color w:val="A6A6A6" w:themeColor="background1" w:themeShade="A6"/>
                <w:sz w:val="20"/>
                <w:szCs w:val="20"/>
                <w:lang w:val="en-GB"/>
              </w:rPr>
              <w:t>to</w:t>
            </w:r>
            <w:r w:rsidRPr="574798BA">
              <w:rPr>
                <w:rFonts w:cs="Times New Roman"/>
                <w:color w:val="A6A6A6" w:themeColor="background1" w:themeShade="A6"/>
                <w:sz w:val="20"/>
                <w:szCs w:val="20"/>
                <w:lang w:val="en-GB"/>
              </w:rPr>
              <w:t xml:space="preserve"> reflect the BU, applications and tiers within the apps.</w:t>
            </w:r>
          </w:p>
        </w:tc>
      </w:tr>
      <w:tr w:rsidR="00EC357E" w:rsidRPr="00E51A31" w14:paraId="3AFD7CD6" w14:textId="77777777" w:rsidTr="00967DB5">
        <w:tc>
          <w:tcPr>
            <w:tcW w:w="10456" w:type="dxa"/>
            <w:gridSpan w:val="2"/>
            <w:vAlign w:val="center"/>
          </w:tcPr>
          <w:p w14:paraId="79833E64" w14:textId="77777777" w:rsidR="00EC357E" w:rsidRPr="00A452F2" w:rsidRDefault="00EC357E" w:rsidP="00757101">
            <w:pPr>
              <w:pStyle w:val="Tableheading"/>
            </w:pPr>
            <w:r w:rsidRPr="00A452F2">
              <w:t>Business Management</w:t>
            </w:r>
          </w:p>
        </w:tc>
      </w:tr>
      <w:tr w:rsidR="00EC357E" w:rsidRPr="00E51A31" w14:paraId="2A7144B6" w14:textId="77777777" w:rsidTr="00967DB5">
        <w:trPr>
          <w:trHeight w:val="2501"/>
        </w:trPr>
        <w:tc>
          <w:tcPr>
            <w:tcW w:w="4675" w:type="dxa"/>
            <w:vAlign w:val="center"/>
          </w:tcPr>
          <w:p w14:paraId="29AAF6FC" w14:textId="77777777" w:rsidR="00EC357E" w:rsidRPr="00A452F2" w:rsidRDefault="00EC357E" w:rsidP="00BB4B86">
            <w:pPr>
              <w:pStyle w:val="ListParagraph"/>
              <w:keepLines w:val="0"/>
              <w:numPr>
                <w:ilvl w:val="0"/>
                <w:numId w:val="25"/>
              </w:numPr>
              <w:suppressAutoHyphens w:val="0"/>
              <w:spacing w:before="240"/>
              <w:ind w:left="420"/>
              <w:rPr>
                <w:rFonts w:cs="Times New Roman"/>
                <w:sz w:val="20"/>
                <w:lang w:val="en-GB"/>
              </w:rPr>
            </w:pPr>
            <w:r w:rsidRPr="00A452F2">
              <w:rPr>
                <w:rFonts w:cs="Times New Roman"/>
                <w:sz w:val="20"/>
                <w:lang w:val="en-GB"/>
              </w:rPr>
              <w:t>Is your chargeback or billing operationalized? Do your customers see your billing model as fair &amp; competitive?</w:t>
            </w:r>
          </w:p>
          <w:p w14:paraId="1ED1E1D6" w14:textId="2BC299F7" w:rsidR="00EC357E" w:rsidRPr="00A452F2" w:rsidRDefault="3D0352E3" w:rsidP="00BB4B86">
            <w:pPr>
              <w:pStyle w:val="ListParagraph"/>
              <w:keepLines w:val="0"/>
              <w:numPr>
                <w:ilvl w:val="0"/>
                <w:numId w:val="25"/>
              </w:numPr>
              <w:suppressAutoHyphens w:val="0"/>
              <w:spacing w:before="240"/>
              <w:ind w:left="420"/>
              <w:rPr>
                <w:rFonts w:cs="Times New Roman"/>
                <w:sz w:val="20"/>
                <w:szCs w:val="20"/>
                <w:lang w:val="en-GB"/>
              </w:rPr>
            </w:pPr>
            <w:r w:rsidRPr="574798BA">
              <w:rPr>
                <w:rFonts w:cs="Times New Roman"/>
                <w:sz w:val="20"/>
                <w:szCs w:val="20"/>
                <w:lang w:val="en-GB"/>
              </w:rPr>
              <w:t>Can you justify the pricing of each service tier to your customers? How does it compare with</w:t>
            </w:r>
            <w:r w:rsidR="6A156559" w:rsidRPr="574798BA">
              <w:rPr>
                <w:rFonts w:cs="Times New Roman"/>
                <w:sz w:val="20"/>
                <w:szCs w:val="20"/>
                <w:lang w:val="en-GB"/>
              </w:rPr>
              <w:t xml:space="preserve"> the</w:t>
            </w:r>
            <w:r w:rsidRPr="574798BA">
              <w:rPr>
                <w:rFonts w:cs="Times New Roman"/>
                <w:sz w:val="20"/>
                <w:szCs w:val="20"/>
                <w:lang w:val="en-GB"/>
              </w:rPr>
              <w:t xml:space="preserve"> public cloud?</w:t>
            </w:r>
          </w:p>
          <w:p w14:paraId="74D1A2BC" w14:textId="39BCB169" w:rsidR="00EC357E" w:rsidRPr="00A452F2" w:rsidRDefault="3D0352E3" w:rsidP="00BB4B86">
            <w:pPr>
              <w:pStyle w:val="ListParagraph"/>
              <w:keepLines w:val="0"/>
              <w:numPr>
                <w:ilvl w:val="0"/>
                <w:numId w:val="25"/>
              </w:numPr>
              <w:suppressAutoHyphens w:val="0"/>
              <w:spacing w:before="240"/>
              <w:ind w:left="420"/>
              <w:rPr>
                <w:rFonts w:cs="Times New Roman"/>
                <w:sz w:val="20"/>
                <w:szCs w:val="20"/>
                <w:lang w:val="en-GB"/>
              </w:rPr>
            </w:pPr>
            <w:r w:rsidRPr="574798BA">
              <w:rPr>
                <w:rFonts w:cs="Times New Roman"/>
                <w:sz w:val="20"/>
                <w:szCs w:val="20"/>
                <w:lang w:val="en-GB"/>
              </w:rPr>
              <w:t>Do you have challenge</w:t>
            </w:r>
            <w:r w:rsidR="28A4E113" w:rsidRPr="574798BA">
              <w:rPr>
                <w:rFonts w:cs="Times New Roman"/>
                <w:sz w:val="20"/>
                <w:szCs w:val="20"/>
                <w:lang w:val="en-GB"/>
              </w:rPr>
              <w:t>s</w:t>
            </w:r>
            <w:r w:rsidRPr="574798BA">
              <w:rPr>
                <w:rFonts w:cs="Times New Roman"/>
                <w:sz w:val="20"/>
                <w:szCs w:val="20"/>
                <w:lang w:val="en-GB"/>
              </w:rPr>
              <w:t xml:space="preserve"> ensuring</w:t>
            </w:r>
            <w:r w:rsidR="00701ED4">
              <w:rPr>
                <w:rFonts w:cs="Times New Roman"/>
                <w:sz w:val="20"/>
                <w:szCs w:val="20"/>
                <w:lang w:val="en-GB"/>
              </w:rPr>
              <w:t xml:space="preserve"> </w:t>
            </w:r>
            <w:r w:rsidRPr="574798BA">
              <w:rPr>
                <w:rFonts w:cs="Times New Roman"/>
                <w:sz w:val="20"/>
                <w:szCs w:val="20"/>
                <w:lang w:val="en-GB"/>
              </w:rPr>
              <w:t>predictable billing for your cloud?</w:t>
            </w:r>
          </w:p>
          <w:p w14:paraId="295CF7E4" w14:textId="77777777" w:rsidR="00EC357E" w:rsidRPr="00A452F2" w:rsidRDefault="00EC357E" w:rsidP="000320B9">
            <w:pPr>
              <w:spacing w:before="240"/>
              <w:ind w:left="306"/>
              <w:rPr>
                <w:rFonts w:cs="Times New Roman"/>
                <w:sz w:val="20"/>
                <w:lang w:val="en-GB"/>
              </w:rPr>
            </w:pPr>
          </w:p>
        </w:tc>
        <w:tc>
          <w:tcPr>
            <w:tcW w:w="5781" w:type="dxa"/>
            <w:vAlign w:val="center"/>
          </w:tcPr>
          <w:p w14:paraId="6E9EA763" w14:textId="77777777" w:rsidR="00EC357E" w:rsidRPr="00A452F2" w:rsidRDefault="00EC357E" w:rsidP="000320B9">
            <w:pPr>
              <w:rPr>
                <w:rFonts w:cs="Times New Roman"/>
                <w:color w:val="A6A6A6" w:themeColor="background1" w:themeShade="A6"/>
                <w:sz w:val="20"/>
                <w:lang w:val="en-GB"/>
              </w:rPr>
            </w:pPr>
            <w:r w:rsidRPr="00A452F2">
              <w:rPr>
                <w:rFonts w:cs="Times New Roman"/>
                <w:color w:val="A6A6A6" w:themeColor="background1" w:themeShade="A6"/>
                <w:sz w:val="20"/>
                <w:lang w:val="en-GB"/>
              </w:rPr>
              <w:t xml:space="preserve">Yes. Our pricing model is much simpler than AWS/Azure pricing. The model is simpler, and we have less choice versus public cloud. We publish the comparison for our internal customers to see. </w:t>
            </w:r>
          </w:p>
          <w:p w14:paraId="57887EB2" w14:textId="281C6FC2" w:rsidR="00EC357E" w:rsidRPr="00A452F2" w:rsidRDefault="3D0352E3" w:rsidP="574798BA">
            <w:pPr>
              <w:rPr>
                <w:rFonts w:cs="Times New Roman"/>
                <w:color w:val="A6A6A6" w:themeColor="background1" w:themeShade="A6"/>
                <w:sz w:val="20"/>
                <w:szCs w:val="20"/>
                <w:lang w:val="en-GB"/>
              </w:rPr>
            </w:pPr>
            <w:r w:rsidRPr="574798BA">
              <w:rPr>
                <w:rFonts w:cs="Times New Roman"/>
                <w:color w:val="A6A6A6" w:themeColor="background1" w:themeShade="A6"/>
                <w:sz w:val="20"/>
                <w:szCs w:val="20"/>
                <w:lang w:val="en-GB"/>
              </w:rPr>
              <w:t>We bill by allocation (what is configured to each VM), not by actual utilization. This is in-line with AWS billing model. This helps to make billing more predictable. Couple</w:t>
            </w:r>
            <w:r w:rsidR="02463CCE" w:rsidRPr="574798BA">
              <w:rPr>
                <w:rFonts w:cs="Times New Roman"/>
                <w:color w:val="A6A6A6" w:themeColor="background1" w:themeShade="A6"/>
                <w:sz w:val="20"/>
                <w:szCs w:val="20"/>
                <w:lang w:val="en-GB"/>
              </w:rPr>
              <w:t>d</w:t>
            </w:r>
            <w:r w:rsidRPr="574798BA">
              <w:rPr>
                <w:rFonts w:cs="Times New Roman"/>
                <w:color w:val="A6A6A6" w:themeColor="background1" w:themeShade="A6"/>
                <w:sz w:val="20"/>
                <w:szCs w:val="20"/>
                <w:lang w:val="en-GB"/>
              </w:rPr>
              <w:t xml:space="preserve"> with annual billing, we can predict revenue and plan </w:t>
            </w:r>
            <w:r w:rsidR="7323F840" w:rsidRPr="574798BA">
              <w:rPr>
                <w:rFonts w:cs="Times New Roman"/>
                <w:color w:val="A6A6A6" w:themeColor="background1" w:themeShade="A6"/>
                <w:sz w:val="20"/>
                <w:szCs w:val="20"/>
                <w:lang w:val="en-GB"/>
              </w:rPr>
              <w:t xml:space="preserve">our </w:t>
            </w:r>
            <w:r w:rsidRPr="574798BA">
              <w:rPr>
                <w:rFonts w:cs="Times New Roman"/>
                <w:color w:val="A6A6A6" w:themeColor="background1" w:themeShade="A6"/>
                <w:sz w:val="20"/>
                <w:szCs w:val="20"/>
                <w:lang w:val="en-GB"/>
              </w:rPr>
              <w:t>break</w:t>
            </w:r>
            <w:r w:rsidR="1056AEFE" w:rsidRPr="574798BA">
              <w:rPr>
                <w:rFonts w:cs="Times New Roman"/>
                <w:color w:val="A6A6A6" w:themeColor="background1" w:themeShade="A6"/>
                <w:sz w:val="20"/>
                <w:szCs w:val="20"/>
                <w:lang w:val="en-GB"/>
              </w:rPr>
              <w:t>-</w:t>
            </w:r>
            <w:r w:rsidRPr="574798BA">
              <w:rPr>
                <w:rFonts w:cs="Times New Roman"/>
                <w:color w:val="A6A6A6" w:themeColor="background1" w:themeShade="A6"/>
                <w:sz w:val="20"/>
                <w:szCs w:val="20"/>
                <w:lang w:val="en-GB"/>
              </w:rPr>
              <w:t xml:space="preserve">even accordingly. </w:t>
            </w:r>
          </w:p>
        </w:tc>
      </w:tr>
      <w:tr w:rsidR="00EC357E" w:rsidRPr="00E51A31" w14:paraId="1AE8D688" w14:textId="77777777" w:rsidTr="00967DB5">
        <w:tc>
          <w:tcPr>
            <w:tcW w:w="10456" w:type="dxa"/>
            <w:gridSpan w:val="2"/>
            <w:vAlign w:val="center"/>
          </w:tcPr>
          <w:p w14:paraId="5665CFFC" w14:textId="77777777" w:rsidR="00EC357E" w:rsidRPr="00A452F2" w:rsidRDefault="00EC357E" w:rsidP="00757101">
            <w:pPr>
              <w:pStyle w:val="Tableheading"/>
            </w:pPr>
            <w:r w:rsidRPr="00A452F2">
              <w:t>Public Cloud</w:t>
            </w:r>
          </w:p>
        </w:tc>
      </w:tr>
      <w:tr w:rsidR="00EC357E" w:rsidRPr="00E51A31" w14:paraId="4FDC3904" w14:textId="77777777" w:rsidTr="00967DB5">
        <w:tc>
          <w:tcPr>
            <w:tcW w:w="4675" w:type="dxa"/>
            <w:vAlign w:val="center"/>
          </w:tcPr>
          <w:p w14:paraId="717AED07" w14:textId="1552EFD5" w:rsidR="00EC357E" w:rsidRPr="00A452F2" w:rsidRDefault="00EC357E" w:rsidP="00BB4B86">
            <w:pPr>
              <w:pStyle w:val="ListParagraph"/>
              <w:keepLines w:val="0"/>
              <w:numPr>
                <w:ilvl w:val="0"/>
                <w:numId w:val="26"/>
              </w:numPr>
              <w:suppressAutoHyphens w:val="0"/>
              <w:spacing w:before="240"/>
              <w:ind w:left="420"/>
              <w:rPr>
                <w:rFonts w:cs="Times New Roman"/>
                <w:sz w:val="20"/>
                <w:lang w:val="en-GB"/>
              </w:rPr>
            </w:pPr>
            <w:r w:rsidRPr="00A452F2">
              <w:rPr>
                <w:rFonts w:cs="Times New Roman"/>
                <w:sz w:val="20"/>
                <w:lang w:val="en-GB"/>
              </w:rPr>
              <w:t xml:space="preserve">Does </w:t>
            </w:r>
            <w:r w:rsidR="00A565B3">
              <w:rPr>
                <w:rFonts w:cs="Times New Roman"/>
                <w:sz w:val="20"/>
                <w:lang w:val="en-GB"/>
              </w:rPr>
              <w:t>Application</w:t>
            </w:r>
            <w:r w:rsidRPr="00A452F2">
              <w:rPr>
                <w:rFonts w:cs="Times New Roman"/>
                <w:sz w:val="20"/>
                <w:lang w:val="en-GB"/>
              </w:rPr>
              <w:t xml:space="preserve"> Team use AWS/Azure, bypassing IT? Why?</w:t>
            </w:r>
          </w:p>
          <w:p w14:paraId="13E42CA4" w14:textId="77777777" w:rsidR="00EC357E" w:rsidRPr="00A452F2" w:rsidRDefault="00EC357E" w:rsidP="00BB4B86">
            <w:pPr>
              <w:pStyle w:val="ListParagraph"/>
              <w:keepLines w:val="0"/>
              <w:numPr>
                <w:ilvl w:val="0"/>
                <w:numId w:val="26"/>
              </w:numPr>
              <w:suppressAutoHyphens w:val="0"/>
              <w:spacing w:before="240"/>
              <w:ind w:left="420"/>
              <w:rPr>
                <w:rFonts w:cs="Times New Roman"/>
                <w:sz w:val="20"/>
                <w:lang w:val="en-GB"/>
              </w:rPr>
            </w:pPr>
            <w:r w:rsidRPr="00A452F2">
              <w:rPr>
                <w:rFonts w:cs="Times New Roman"/>
                <w:sz w:val="20"/>
                <w:lang w:val="en-GB"/>
              </w:rPr>
              <w:t>Is your IaaS cheaper and better than public cloud, especially VMware on AWS? If yes, quantify it.</w:t>
            </w:r>
          </w:p>
          <w:p w14:paraId="3391563D" w14:textId="77777777" w:rsidR="00EC357E" w:rsidRPr="00A452F2" w:rsidRDefault="00EC357E" w:rsidP="00BB4B86">
            <w:pPr>
              <w:pStyle w:val="ListParagraph"/>
              <w:keepLines w:val="0"/>
              <w:numPr>
                <w:ilvl w:val="0"/>
                <w:numId w:val="26"/>
              </w:numPr>
              <w:suppressAutoHyphens w:val="0"/>
              <w:spacing w:before="240"/>
              <w:ind w:left="420"/>
              <w:rPr>
                <w:rFonts w:cs="Times New Roman"/>
                <w:sz w:val="20"/>
                <w:lang w:val="en-GB"/>
              </w:rPr>
            </w:pPr>
            <w:r w:rsidRPr="00A452F2">
              <w:rPr>
                <w:rFonts w:cs="Times New Roman"/>
                <w:sz w:val="20"/>
                <w:lang w:val="en-GB"/>
              </w:rPr>
              <w:t>If you use public cloud, do you know when VMs are not performing? If yes, what metrics do you track since AWS/Azure has limited metrics?</w:t>
            </w:r>
          </w:p>
          <w:p w14:paraId="69A620A6" w14:textId="77777777" w:rsidR="00EC357E" w:rsidRPr="00A452F2" w:rsidRDefault="00EC357E" w:rsidP="000320B9">
            <w:pPr>
              <w:spacing w:before="240"/>
              <w:ind w:left="306"/>
              <w:rPr>
                <w:rFonts w:cs="Times New Roman"/>
                <w:sz w:val="20"/>
                <w:lang w:val="en-GB"/>
              </w:rPr>
            </w:pPr>
          </w:p>
        </w:tc>
        <w:tc>
          <w:tcPr>
            <w:tcW w:w="5781" w:type="dxa"/>
            <w:vAlign w:val="center"/>
          </w:tcPr>
          <w:p w14:paraId="253F6CE1" w14:textId="21D0594C" w:rsidR="00EC357E" w:rsidRPr="00A452F2" w:rsidRDefault="3D0352E3" w:rsidP="574798BA">
            <w:pPr>
              <w:rPr>
                <w:rFonts w:cs="Times New Roman"/>
                <w:color w:val="A6A6A6" w:themeColor="background1" w:themeShade="A6"/>
                <w:sz w:val="20"/>
                <w:szCs w:val="20"/>
                <w:lang w:val="en-GB"/>
              </w:rPr>
            </w:pPr>
            <w:r w:rsidRPr="574798BA">
              <w:rPr>
                <w:rFonts w:cs="Times New Roman"/>
                <w:color w:val="A6A6A6" w:themeColor="background1" w:themeShade="A6"/>
                <w:sz w:val="20"/>
                <w:szCs w:val="20"/>
                <w:lang w:val="en-GB"/>
              </w:rPr>
              <w:t>As Enterprise IT, we are in the business of</w:t>
            </w:r>
            <w:r w:rsidR="3FDC4347" w:rsidRPr="574798BA">
              <w:rPr>
                <w:rFonts w:cs="Times New Roman"/>
                <w:color w:val="A6A6A6" w:themeColor="background1" w:themeShade="A6"/>
                <w:sz w:val="20"/>
                <w:szCs w:val="20"/>
                <w:lang w:val="en-GB"/>
              </w:rPr>
              <w:t xml:space="preserve"> being a</w:t>
            </w:r>
            <w:r w:rsidRPr="574798BA">
              <w:rPr>
                <w:rFonts w:cs="Times New Roman"/>
                <w:color w:val="A6A6A6" w:themeColor="background1" w:themeShade="A6"/>
                <w:sz w:val="20"/>
                <w:szCs w:val="20"/>
                <w:lang w:val="en-GB"/>
              </w:rPr>
              <w:t xml:space="preserve"> multi-cloud broker. We have both our on-prem cloud, and public cloud (VMware on Amazon, Azure and Amazon).</w:t>
            </w:r>
          </w:p>
          <w:p w14:paraId="0D40AEC9" w14:textId="5286026C" w:rsidR="00EC357E" w:rsidRPr="00A452F2" w:rsidRDefault="3D0352E3" w:rsidP="574798BA">
            <w:pPr>
              <w:rPr>
                <w:rFonts w:cs="Times New Roman"/>
                <w:color w:val="A6A6A6" w:themeColor="background1" w:themeShade="A6"/>
                <w:sz w:val="20"/>
                <w:szCs w:val="20"/>
                <w:lang w:val="en-GB"/>
              </w:rPr>
            </w:pPr>
            <w:r w:rsidRPr="574798BA">
              <w:rPr>
                <w:rFonts w:cs="Times New Roman"/>
                <w:color w:val="A6A6A6" w:themeColor="background1" w:themeShade="A6"/>
                <w:sz w:val="20"/>
                <w:szCs w:val="20"/>
                <w:lang w:val="en-GB"/>
              </w:rPr>
              <w:t>Our on-prem is 25% cheaper than VMware on A</w:t>
            </w:r>
            <w:r w:rsidR="061F560F" w:rsidRPr="574798BA">
              <w:rPr>
                <w:rFonts w:cs="Times New Roman"/>
                <w:color w:val="A6A6A6" w:themeColor="background1" w:themeShade="A6"/>
                <w:sz w:val="20"/>
                <w:szCs w:val="20"/>
                <w:lang w:val="en-GB"/>
              </w:rPr>
              <w:t>WS</w:t>
            </w:r>
            <w:r w:rsidRPr="574798BA">
              <w:rPr>
                <w:rFonts w:cs="Times New Roman"/>
                <w:color w:val="A6A6A6" w:themeColor="background1" w:themeShade="A6"/>
                <w:sz w:val="20"/>
                <w:szCs w:val="20"/>
                <w:lang w:val="en-GB"/>
              </w:rPr>
              <w:t xml:space="preserve"> and 40% cheaper than Amazon. This is in-line with other industry, where owning is cheaper than renting. </w:t>
            </w:r>
          </w:p>
          <w:p w14:paraId="057E0D98" w14:textId="77777777" w:rsidR="00EC357E" w:rsidRPr="00A452F2" w:rsidRDefault="00EC357E" w:rsidP="000320B9">
            <w:pPr>
              <w:rPr>
                <w:rFonts w:cs="Times New Roman"/>
                <w:color w:val="A6A6A6" w:themeColor="background1" w:themeShade="A6"/>
                <w:sz w:val="20"/>
                <w:lang w:val="en-GB"/>
              </w:rPr>
            </w:pPr>
            <w:r w:rsidRPr="00A452F2">
              <w:rPr>
                <w:rFonts w:cs="Times New Roman"/>
                <w:color w:val="A6A6A6" w:themeColor="background1" w:themeShade="A6"/>
                <w:sz w:val="20"/>
                <w:lang w:val="en-GB"/>
              </w:rPr>
              <w:t xml:space="preserve">AWS and Azure do not provide visibility on how our VM compete with other VMs. This prevents applications from making the right scaling decision. </w:t>
            </w:r>
          </w:p>
        </w:tc>
      </w:tr>
      <w:tr w:rsidR="00EC357E" w:rsidRPr="00E51A31" w14:paraId="3D38EBDF" w14:textId="77777777" w:rsidTr="00967DB5">
        <w:tc>
          <w:tcPr>
            <w:tcW w:w="10456" w:type="dxa"/>
            <w:gridSpan w:val="2"/>
            <w:vAlign w:val="center"/>
          </w:tcPr>
          <w:p w14:paraId="4E841C27" w14:textId="440C315F" w:rsidR="00EC357E" w:rsidRPr="00A452F2" w:rsidRDefault="00EC357E" w:rsidP="00757101">
            <w:pPr>
              <w:pStyle w:val="Tableheading"/>
            </w:pPr>
            <w:r w:rsidRPr="00A452F2">
              <w:lastRenderedPageBreak/>
              <w:t xml:space="preserve">Network Operations </w:t>
            </w:r>
            <w:r w:rsidR="00537F14">
              <w:t>Center</w:t>
            </w:r>
            <w:r w:rsidRPr="00A452F2">
              <w:t xml:space="preserve"> (NOC)</w:t>
            </w:r>
          </w:p>
        </w:tc>
      </w:tr>
      <w:tr w:rsidR="00EC357E" w:rsidRPr="00E51A31" w14:paraId="074D4E8D" w14:textId="77777777" w:rsidTr="00967DB5">
        <w:tc>
          <w:tcPr>
            <w:tcW w:w="4675" w:type="dxa"/>
            <w:vAlign w:val="center"/>
          </w:tcPr>
          <w:p w14:paraId="4BBD8C79" w14:textId="77777777" w:rsidR="00EC357E" w:rsidRPr="00A452F2" w:rsidRDefault="00EC357E" w:rsidP="00BB4B86">
            <w:pPr>
              <w:pStyle w:val="ListParagraph"/>
              <w:keepLines w:val="0"/>
              <w:numPr>
                <w:ilvl w:val="0"/>
                <w:numId w:val="27"/>
              </w:numPr>
              <w:suppressAutoHyphens w:val="0"/>
              <w:spacing w:before="240"/>
              <w:ind w:left="420"/>
              <w:rPr>
                <w:rFonts w:cs="Times New Roman"/>
                <w:sz w:val="20"/>
                <w:lang w:val="en-GB"/>
              </w:rPr>
            </w:pPr>
            <w:r w:rsidRPr="00A452F2">
              <w:rPr>
                <w:rFonts w:cs="Times New Roman"/>
                <w:sz w:val="20"/>
                <w:lang w:val="en-GB"/>
              </w:rPr>
              <w:t xml:space="preserve">Do you have a set of big screen dashboards that provides live information into the environment? </w:t>
            </w:r>
          </w:p>
          <w:p w14:paraId="41C2DC38" w14:textId="609B8CB1" w:rsidR="00EC357E" w:rsidRPr="00A452F2" w:rsidRDefault="3D0352E3" w:rsidP="00BB4B86">
            <w:pPr>
              <w:pStyle w:val="ListParagraph"/>
              <w:keepLines w:val="0"/>
              <w:numPr>
                <w:ilvl w:val="0"/>
                <w:numId w:val="27"/>
              </w:numPr>
              <w:suppressAutoHyphens w:val="0"/>
              <w:spacing w:before="240"/>
              <w:ind w:left="420"/>
              <w:rPr>
                <w:rFonts w:cs="Times New Roman"/>
                <w:sz w:val="20"/>
                <w:szCs w:val="20"/>
                <w:lang w:val="en-GB"/>
              </w:rPr>
            </w:pPr>
            <w:r w:rsidRPr="574798BA">
              <w:rPr>
                <w:rFonts w:cs="Times New Roman"/>
                <w:sz w:val="20"/>
                <w:szCs w:val="20"/>
                <w:lang w:val="en-GB"/>
              </w:rPr>
              <w:t xml:space="preserve">What information is provided? How useful </w:t>
            </w:r>
            <w:r w:rsidR="75E15E3B" w:rsidRPr="574798BA">
              <w:rPr>
                <w:rFonts w:cs="Times New Roman"/>
                <w:sz w:val="20"/>
                <w:szCs w:val="20"/>
                <w:lang w:val="en-GB"/>
              </w:rPr>
              <w:t xml:space="preserve">is </w:t>
            </w:r>
            <w:r w:rsidRPr="574798BA">
              <w:rPr>
                <w:rFonts w:cs="Times New Roman"/>
                <w:sz w:val="20"/>
                <w:szCs w:val="20"/>
                <w:lang w:val="en-GB"/>
              </w:rPr>
              <w:t>the information?</w:t>
            </w:r>
          </w:p>
          <w:p w14:paraId="6B871726" w14:textId="77777777" w:rsidR="00EC357E" w:rsidRPr="00A452F2" w:rsidRDefault="00EC357E" w:rsidP="000320B9">
            <w:pPr>
              <w:spacing w:before="240"/>
              <w:ind w:left="306"/>
              <w:rPr>
                <w:rFonts w:cs="Times New Roman"/>
                <w:sz w:val="20"/>
                <w:lang w:val="en-GB"/>
              </w:rPr>
            </w:pPr>
          </w:p>
        </w:tc>
        <w:tc>
          <w:tcPr>
            <w:tcW w:w="5781" w:type="dxa"/>
            <w:vAlign w:val="center"/>
          </w:tcPr>
          <w:p w14:paraId="388FFF98" w14:textId="77777777" w:rsidR="00EC357E" w:rsidRPr="00A452F2" w:rsidRDefault="00EC357E" w:rsidP="000320B9">
            <w:pPr>
              <w:rPr>
                <w:rFonts w:cs="Times New Roman"/>
                <w:sz w:val="20"/>
                <w:lang w:val="en-GB"/>
              </w:rPr>
            </w:pPr>
            <w:r w:rsidRPr="00A452F2">
              <w:rPr>
                <w:rFonts w:cs="Times New Roman"/>
                <w:color w:val="A6A6A6" w:themeColor="background1" w:themeShade="A6"/>
                <w:sz w:val="20"/>
                <w:lang w:val="en-GB"/>
              </w:rPr>
              <w:t>Yes. We rotate a few screens showing critical information such as Availability, Performance, Security (compliance), Capacity. We look at Applications, VMs and IaaS.</w:t>
            </w:r>
          </w:p>
        </w:tc>
      </w:tr>
    </w:tbl>
    <w:p w14:paraId="3BCB3304" w14:textId="77777777" w:rsidR="00EC357E" w:rsidRPr="00A452F2" w:rsidRDefault="00EC357E" w:rsidP="00EC357E">
      <w:pPr>
        <w:rPr>
          <w:sz w:val="16"/>
          <w:szCs w:val="16"/>
          <w:lang w:val="en-GB"/>
        </w:rPr>
      </w:pPr>
    </w:p>
    <w:p w14:paraId="48DA4F53" w14:textId="2E9529C9" w:rsidR="00EC357E" w:rsidRPr="00A452F2" w:rsidRDefault="00F87E4F" w:rsidP="00B373E2">
      <w:pPr>
        <w:pStyle w:val="Heading2"/>
        <w:rPr>
          <w:lang w:val="en-GB"/>
        </w:rPr>
      </w:pPr>
      <w:bookmarkStart w:id="157" w:name="_SDDC_vs_IaaS"/>
      <w:bookmarkEnd w:id="157"/>
      <w:r w:rsidRPr="00A452F2">
        <w:rPr>
          <w:lang w:val="en-GB"/>
        </w:rPr>
        <w:lastRenderedPageBreak/>
        <w:t xml:space="preserve">SDDC </w:t>
      </w:r>
      <w:r w:rsidR="00062CBF">
        <w:rPr>
          <w:lang w:val="en-GB"/>
        </w:rPr>
        <w:t>vs</w:t>
      </w:r>
      <w:r w:rsidRPr="00A452F2">
        <w:rPr>
          <w:lang w:val="en-GB"/>
        </w:rPr>
        <w:t xml:space="preserve"> IaaS</w:t>
      </w:r>
    </w:p>
    <w:p w14:paraId="04A9A128" w14:textId="15338A34" w:rsidR="003A3461" w:rsidRPr="00A452F2" w:rsidRDefault="00D83426" w:rsidP="003F097B">
      <w:pPr>
        <w:pStyle w:val="AfterChapterTitle"/>
        <w:rPr>
          <w:lang w:val="en-GB"/>
        </w:rPr>
      </w:pPr>
      <w:r>
        <mc:AlternateContent>
          <mc:Choice Requires="wps">
            <w:drawing>
              <wp:anchor distT="0" distB="0" distL="114300" distR="114300" simplePos="0" relativeHeight="251643904" behindDoc="0" locked="0" layoutInCell="1" allowOverlap="1" wp14:anchorId="75499A38" wp14:editId="567785F8">
                <wp:simplePos x="0" y="0"/>
                <wp:positionH relativeFrom="column">
                  <wp:posOffset>0</wp:posOffset>
                </wp:positionH>
                <wp:positionV relativeFrom="paragraph">
                  <wp:posOffset>0</wp:posOffset>
                </wp:positionV>
                <wp:extent cx="1828800" cy="1828800"/>
                <wp:effectExtent l="0" t="0" r="0" b="0"/>
                <wp:wrapNone/>
                <wp:docPr id="910169596" name="Text Box 91016959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393F96F2" w14:textId="12CF7387" w:rsidR="00E66F24" w:rsidRPr="00C84219" w:rsidRDefault="00E66F24" w:rsidP="00D83426">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4 Chapter </w:t>
                            </w:r>
                            <w:r w:rsidR="007C6E75">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75499A38" id="Text Box 910169596" o:spid="_x0000_s1053" type="#_x0000_t202" style="position:absolute;margin-left:0;margin-top:0;width:2in;height:2in;z-index:25164390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" filled="f" stroked="f">
                <v:textbox style="mso-fit-shape-to-text:t">
                  <w:txbxContent>
                    <w:p w14:paraId="393F96F2" w14:textId="12CF7387" w:rsidR="00E66F24" w:rsidRPr="00C84219" w:rsidRDefault="00E66F24" w:rsidP="00D83426">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4 Chapter </w:t>
                      </w:r>
                      <w:r w:rsidR="007C6E75">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2</w:t>
                      </w:r>
                    </w:p>
                  </w:txbxContent>
                </v:textbox>
              </v:shape>
            </w:pict>
          </mc:Fallback>
        </mc:AlternateContent>
      </w:r>
      <w:r w:rsidR="000D421D" w:rsidRPr="00A452F2">
        <w:rPr>
          <w:lang w:val="en-GB"/>
        </w:rPr>
        <w:t xml:space="preserve">What you </w:t>
      </w:r>
      <w:r w:rsidR="00767E92" w:rsidRPr="00A452F2">
        <w:rPr>
          <w:lang w:val="en-GB"/>
        </w:rPr>
        <w:t xml:space="preserve">architected </w:t>
      </w:r>
      <w:r w:rsidR="000D421D" w:rsidRPr="00A452F2">
        <w:rPr>
          <w:lang w:val="en-GB"/>
        </w:rPr>
        <w:t>is SDDC</w:t>
      </w:r>
      <w:r w:rsidR="00767E92" w:rsidRPr="00A452F2">
        <w:rPr>
          <w:lang w:val="en-GB"/>
        </w:rPr>
        <w:t>, but what you operate is IaaS</w:t>
      </w:r>
      <w:r w:rsidR="008754B5">
        <w:rPr>
          <w:lang w:val="en-GB"/>
        </w:rPr>
        <w:t>.</w:t>
      </w:r>
      <w:r w:rsidR="00767E92" w:rsidRPr="00A452F2">
        <w:rPr>
          <w:lang w:val="en-GB"/>
        </w:rPr>
        <w:t xml:space="preserve"> You buy system, you sell service. </w:t>
      </w:r>
    </w:p>
    <w:p w14:paraId="21BC2E11" w14:textId="6D163472" w:rsidR="00577B97" w:rsidRPr="00577B97" w:rsidRDefault="003A3461" w:rsidP="00577B97">
      <w:pPr>
        <w:rPr>
          <w:lang w:val="en-GB"/>
        </w:rPr>
      </w:pPr>
      <w:r w:rsidRPr="00A452F2">
        <w:rPr>
          <w:lang w:val="en-GB"/>
        </w:rPr>
        <w:t xml:space="preserve">This chapter provides an introduction </w:t>
      </w:r>
      <w:r w:rsidR="00E456A9" w:rsidRPr="00A452F2">
        <w:rPr>
          <w:lang w:val="en-GB"/>
        </w:rPr>
        <w:t xml:space="preserve">to how IaaS management differ to the </w:t>
      </w:r>
      <w:r w:rsidR="00C52D9B" w:rsidRPr="00A452F2">
        <w:rPr>
          <w:lang w:val="en-GB"/>
        </w:rPr>
        <w:t xml:space="preserve">physical infrastructure management. It is placed at the end as </w:t>
      </w:r>
      <w:r w:rsidR="00DE3C06" w:rsidRPr="00A452F2">
        <w:rPr>
          <w:lang w:val="en-GB"/>
        </w:rPr>
        <w:t>this is now considered a basic knowledge.</w:t>
      </w:r>
      <w:r w:rsidR="00577B97">
        <w:rPr>
          <w:lang w:val="en-GB"/>
        </w:rPr>
        <w:t xml:space="preserve"> I still find it useful </w:t>
      </w:r>
      <w:r w:rsidR="005E542F">
        <w:rPr>
          <w:lang w:val="en-GB"/>
        </w:rPr>
        <w:t>in explaining why</w:t>
      </w:r>
      <w:r w:rsidR="00577B97">
        <w:rPr>
          <w:lang w:val="en-GB"/>
        </w:rPr>
        <w:t xml:space="preserve"> the complexity </w:t>
      </w:r>
      <w:r w:rsidR="005E542F">
        <w:rPr>
          <w:lang w:val="en-GB"/>
        </w:rPr>
        <w:t xml:space="preserve">goes up significantly. IDC actually predicts this back in 2012. The </w:t>
      </w:r>
      <w:hyperlink r:id="rId1383" w:history="1">
        <w:r w:rsidR="005E542F" w:rsidRPr="005E542F">
          <w:rPr>
            <w:rStyle w:val="Hyperlink"/>
            <w:lang w:val="en-GB"/>
          </w:rPr>
          <w:t>link</w:t>
        </w:r>
      </w:hyperlink>
      <w:r w:rsidR="005E542F">
        <w:rPr>
          <w:lang w:val="en-GB"/>
        </w:rPr>
        <w:t xml:space="preserve"> from APM Digest website states that “o</w:t>
      </w:r>
      <w:r w:rsidR="00577B97" w:rsidRPr="00577B97">
        <w:rPr>
          <w:lang w:val="en-GB"/>
        </w:rPr>
        <w:t>perational complexity in virtualized, scale-out, and cloud environments and composite Web-based applications will drive demand</w:t>
      </w:r>
      <w:r w:rsidR="005E542F">
        <w:rPr>
          <w:lang w:val="en-GB"/>
        </w:rPr>
        <w:t>” for a new type of t</w:t>
      </w:r>
      <w:r w:rsidR="00577B97" w:rsidRPr="00577B97">
        <w:rPr>
          <w:lang w:val="en-GB"/>
        </w:rPr>
        <w:t xml:space="preserve">ools that can </w:t>
      </w:r>
      <w:r w:rsidR="005E542F">
        <w:rPr>
          <w:lang w:val="en-GB"/>
        </w:rPr>
        <w:t>“</w:t>
      </w:r>
      <w:r w:rsidR="00577B97" w:rsidRPr="00577B97">
        <w:rPr>
          <w:lang w:val="en-GB"/>
        </w:rPr>
        <w:t>rapidly sort through hundreds of thousands of monitor variables, alerts and events</w:t>
      </w:r>
      <w:r w:rsidR="005E542F">
        <w:rPr>
          <w:lang w:val="en-GB"/>
        </w:rPr>
        <w:t>”.</w:t>
      </w:r>
    </w:p>
    <w:p w14:paraId="19B18A85" w14:textId="64A06756" w:rsidR="001B5DB0" w:rsidRDefault="001B5DB0" w:rsidP="00540F68">
      <w:pPr>
        <w:pStyle w:val="Heading3"/>
      </w:pPr>
      <w:r w:rsidRPr="001B5DB0">
        <w:t>VM, it is not what you think!</w:t>
      </w:r>
    </w:p>
    <w:p w14:paraId="52574A4C" w14:textId="77777777" w:rsidR="001B5DB0" w:rsidRPr="001B5DB0" w:rsidRDefault="001B5DB0" w:rsidP="001B5DB0">
      <w:pPr>
        <w:rPr>
          <w:lang w:val="en-US"/>
        </w:rPr>
      </w:pPr>
      <w:r w:rsidRPr="001B5DB0">
        <w:rPr>
          <w:lang w:val="en-US"/>
        </w:rPr>
        <w:t>In this chapter, we will dive into why seemingly simple technology, an X86 machine virtualized, has a large ramification for the IT industry. In fact, it is turning a lot of things upside down and breaking down silos that have existed for decades in large IT organizations. We will cover the following topics:</w:t>
      </w:r>
    </w:p>
    <w:p w14:paraId="79CA17CD" w14:textId="43DF0E63" w:rsidR="001B5DB0" w:rsidRPr="001B5DB0" w:rsidRDefault="001B5DB0" w:rsidP="00846FFD">
      <w:pPr>
        <w:pStyle w:val="Bullet"/>
        <w:rPr>
          <w:lang w:val="en-US"/>
        </w:rPr>
      </w:pPr>
      <w:r w:rsidRPr="001B5DB0">
        <w:rPr>
          <w:lang w:val="en-US"/>
        </w:rPr>
        <w:t>Why virtualization is not what we think it is</w:t>
      </w:r>
    </w:p>
    <w:p w14:paraId="59001DA4" w14:textId="1826B24D" w:rsidR="001B5DB0" w:rsidRPr="001B5DB0" w:rsidRDefault="001B5DB0" w:rsidP="00846FFD">
      <w:pPr>
        <w:pStyle w:val="Bullet"/>
        <w:rPr>
          <w:lang w:val="en-US"/>
        </w:rPr>
      </w:pPr>
      <w:r w:rsidRPr="001B5DB0">
        <w:rPr>
          <w:lang w:val="en-US"/>
        </w:rPr>
        <w:t>Virtualization vs Partitioning</w:t>
      </w:r>
    </w:p>
    <w:p w14:paraId="78A9344B" w14:textId="5603AE34" w:rsidR="001B5DB0" w:rsidRDefault="001B5DB0" w:rsidP="00846FFD">
      <w:pPr>
        <w:pStyle w:val="Bullet"/>
        <w:rPr>
          <w:lang w:val="en-US"/>
        </w:rPr>
      </w:pPr>
      <w:r w:rsidRPr="001B5DB0">
        <w:rPr>
          <w:lang w:val="en-US"/>
        </w:rPr>
        <w:t>A comparison between a physical server and a</w:t>
      </w:r>
      <w:r w:rsidR="00CC2811">
        <w:rPr>
          <w:lang w:val="en-US"/>
        </w:rPr>
        <w:t xml:space="preserve"> virtual machine</w:t>
      </w:r>
    </w:p>
    <w:p w14:paraId="2CC97119" w14:textId="4A04FD4B" w:rsidR="001B5DB0" w:rsidRDefault="001B5DB0" w:rsidP="00AC6E1E">
      <w:pPr>
        <w:pStyle w:val="Heading4"/>
      </w:pPr>
      <w:r w:rsidRPr="001B5DB0">
        <w:lastRenderedPageBreak/>
        <w:t xml:space="preserve">Journey into the </w:t>
      </w:r>
      <w:r w:rsidR="00CC2811">
        <w:t>V</w:t>
      </w:r>
      <w:r w:rsidRPr="001B5DB0">
        <w:t xml:space="preserve">irtual </w:t>
      </w:r>
      <w:r w:rsidR="00CC2811">
        <w:t>W</w:t>
      </w:r>
      <w:r w:rsidRPr="001B5DB0">
        <w:t>orld</w:t>
      </w:r>
    </w:p>
    <w:p w14:paraId="1E77791F" w14:textId="5E75A259" w:rsidR="001B5DB0" w:rsidRPr="001B5DB0" w:rsidRDefault="001B5DB0" w:rsidP="001B5DB0">
      <w:pPr>
        <w:rPr>
          <w:lang w:val="en-US"/>
        </w:rPr>
      </w:pPr>
      <w:r>
        <w:rPr>
          <w:lang w:val="en-US"/>
        </w:rPr>
        <w:t xml:space="preserve">It is </w:t>
      </w:r>
      <w:r w:rsidR="00CC2811">
        <w:rPr>
          <w:lang w:val="en-US"/>
        </w:rPr>
        <w:t>the era of the cloud.</w:t>
      </w:r>
      <w:r>
        <w:rPr>
          <w:lang w:val="en-US"/>
        </w:rPr>
        <w:t xml:space="preserve"> </w:t>
      </w:r>
      <w:r w:rsidRPr="001B5DB0">
        <w:rPr>
          <w:lang w:val="en-US"/>
        </w:rPr>
        <w:t xml:space="preserve">Who does not know what </w:t>
      </w:r>
      <w:r w:rsidR="00CC2811">
        <w:rPr>
          <w:lang w:val="en-US"/>
        </w:rPr>
        <w:t>a VM</w:t>
      </w:r>
      <w:r w:rsidRPr="001B5DB0">
        <w:rPr>
          <w:lang w:val="en-US"/>
        </w:rPr>
        <w:t xml:space="preserve"> is? Even a business user who has never seen one knows what it is. It is just a physical server, virtualized. Nothing more.</w:t>
      </w:r>
    </w:p>
    <w:p w14:paraId="686E4F9C" w14:textId="77777777" w:rsidR="001B5DB0" w:rsidRPr="001B5DB0" w:rsidRDefault="001B5DB0" w:rsidP="001B5DB0">
      <w:pPr>
        <w:rPr>
          <w:lang w:val="en-US"/>
        </w:rPr>
      </w:pPr>
      <w:r w:rsidRPr="001B5DB0">
        <w:rPr>
          <w:lang w:val="en-US"/>
        </w:rPr>
        <w:t xml:space="preserve">Wise men say that small leaks sink the ship. We think that’s a good way to explain why IT departments who manage physical servers well struggle when the same servers were virtualized. </w:t>
      </w:r>
    </w:p>
    <w:p w14:paraId="6AF0FA19" w14:textId="77777777" w:rsidR="001B5DB0" w:rsidRPr="001B5DB0" w:rsidRDefault="001B5DB0" w:rsidP="001B5DB0">
      <w:pPr>
        <w:rPr>
          <w:lang w:val="en-US"/>
        </w:rPr>
      </w:pPr>
      <w:r w:rsidRPr="001B5DB0">
        <w:rPr>
          <w:lang w:val="en-US"/>
        </w:rPr>
        <w:t>We can also use Pareto principle (80/20) rule. 80% of a VM is identical to physical server. But it’s the 20% differences that hit you. We will highlight some of this “20% portion”, focusing on areas that impact data center management.</w:t>
      </w:r>
    </w:p>
    <w:p w14:paraId="39B77689" w14:textId="2FCFF76C" w:rsidR="001B5DB0" w:rsidRPr="001B5DB0" w:rsidRDefault="001B5DB0" w:rsidP="001B5DB0">
      <w:pPr>
        <w:rPr>
          <w:lang w:val="en-US"/>
        </w:rPr>
      </w:pPr>
      <w:r w:rsidRPr="001B5DB0">
        <w:rPr>
          <w:lang w:val="en-US"/>
        </w:rPr>
        <w:t xml:space="preserve">The change caused by virtualization is much larger than the changes brought forward by previous technologies. In the past two or more decades, we transitioned from mainframes to the client/server-based model to the web-based model. These are commonly agreed upon as the main evolutions in IT architecture. However, all of these are just technological changes. It changes the architecture, yes, but it does not change the operation in a fundamental way. Both the client-server and web shifts did not talk about the "journey". There was no journey to the client-server based model. However, with virtualization, we talk about the virtualization journey. It is a journey because the changes are massive and involve a lot of people. </w:t>
      </w:r>
      <w:r w:rsidR="00323B7D">
        <w:rPr>
          <w:lang w:val="en-US"/>
        </w:rPr>
        <w:t xml:space="preserve">That’s why </w:t>
      </w:r>
      <w:r w:rsidR="00414613">
        <w:rPr>
          <w:lang w:val="en-US"/>
        </w:rPr>
        <w:t xml:space="preserve">the evolution toward multi-cloud operations is also called </w:t>
      </w:r>
      <w:r w:rsidR="00B47FE4">
        <w:rPr>
          <w:lang w:val="en-US"/>
        </w:rPr>
        <w:t>a journey.</w:t>
      </w:r>
    </w:p>
    <w:p w14:paraId="4882E719" w14:textId="2FAE5A76" w:rsidR="001B5DB0" w:rsidRDefault="001B5DB0" w:rsidP="001B5DB0">
      <w:pPr>
        <w:rPr>
          <w:lang w:val="en-US"/>
        </w:rPr>
      </w:pPr>
      <w:r w:rsidRPr="001B5DB0">
        <w:rPr>
          <w:lang w:val="en-US"/>
        </w:rPr>
        <w:t xml:space="preserve">Gartner correctly predicted the impact of virtualization in 2007. More than </w:t>
      </w:r>
      <w:r>
        <w:rPr>
          <w:lang w:val="en-US"/>
        </w:rPr>
        <w:t xml:space="preserve">1 decade </w:t>
      </w:r>
      <w:r w:rsidRPr="001B5DB0">
        <w:rPr>
          <w:lang w:val="en-US"/>
        </w:rPr>
        <w:t xml:space="preserve">later we </w:t>
      </w:r>
      <w:r w:rsidR="00B47FE4">
        <w:rPr>
          <w:lang w:val="en-US"/>
        </w:rPr>
        <w:t>still have not completed</w:t>
      </w:r>
      <w:r w:rsidRPr="001B5DB0">
        <w:rPr>
          <w:lang w:val="en-US"/>
        </w:rPr>
        <w:t xml:space="preserve"> the journey. Proving how pervasive the change is, here is the following summary on the article</w:t>
      </w:r>
      <w:r w:rsidR="0087318B">
        <w:rPr>
          <w:rStyle w:val="FootnoteReference"/>
          <w:lang w:val="en-US"/>
        </w:rPr>
        <w:footnoteReference w:id="28"/>
      </w:r>
      <w:r w:rsidRPr="001B5DB0">
        <w:rPr>
          <w:lang w:val="en-US"/>
        </w:rPr>
        <w:t xml:space="preserve"> from Gartner:</w:t>
      </w:r>
    </w:p>
    <w:p w14:paraId="17F106F3" w14:textId="3E1D4FE5" w:rsidR="0087318B" w:rsidRDefault="0D4CED77" w:rsidP="0087318B">
      <w:pPr>
        <w:jc w:val="center"/>
        <w:rPr>
          <w:lang w:val="en-US"/>
        </w:rPr>
      </w:pPr>
      <w:r>
        <w:rPr>
          <w:noProof/>
        </w:rPr>
        <w:drawing>
          <wp:inline distT="0" distB="0" distL="0" distR="0" wp14:anchorId="6811FBB1" wp14:editId="425B6185">
            <wp:extent cx="2691101" cy="261850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pic:nvPicPr>
                  <pic:blipFill>
                    <a:blip r:embed="rId1384">
                      <a:extLst>
                        <a:ext uri="{28A0092B-C50C-407E-A947-70E740481C1C}">
                          <a14:useLocalDpi xmlns:a14="http://schemas.microsoft.com/office/drawing/2010/main" val="0"/>
                        </a:ext>
                      </a:extLst>
                    </a:blip>
                    <a:stretch>
                      <a:fillRect/>
                    </a:stretch>
                  </pic:blipFill>
                  <pic:spPr>
                    <a:xfrm>
                      <a:off x="0" y="0"/>
                      <a:ext cx="2691101" cy="2618509"/>
                    </a:xfrm>
                    <a:prstGeom prst="rect">
                      <a:avLst/>
                    </a:prstGeom>
                  </pic:spPr>
                </pic:pic>
              </a:graphicData>
            </a:graphic>
          </wp:inline>
        </w:drawing>
      </w:r>
    </w:p>
    <w:p w14:paraId="26E10C90" w14:textId="77777777" w:rsidR="000867A9" w:rsidRPr="000867A9" w:rsidRDefault="000867A9" w:rsidP="000867A9">
      <w:pPr>
        <w:rPr>
          <w:lang w:val="en-US"/>
        </w:rPr>
      </w:pPr>
      <w:r w:rsidRPr="000867A9">
        <w:rPr>
          <w:lang w:val="en-US"/>
        </w:rPr>
        <w:t xml:space="preserve">Notice how Gartner talks about change in culture. So, virtualization has a cultural impact too. In fact, if your virtualization journey is not fast enough, look at your organization's structure and culture. Have you broken the silos? Do you empower your people to take risk and do things that have never been done before? Are you willing to flatten the organization chart? </w:t>
      </w:r>
    </w:p>
    <w:p w14:paraId="22ABCA01" w14:textId="6BCF7AE8" w:rsidR="000867A9" w:rsidRPr="000867A9" w:rsidRDefault="000867A9" w:rsidP="000867A9">
      <w:pPr>
        <w:rPr>
          <w:lang w:val="en-US"/>
        </w:rPr>
      </w:pPr>
      <w:r w:rsidRPr="000867A9">
        <w:rPr>
          <w:lang w:val="en-US"/>
        </w:rPr>
        <w:t xml:space="preserve">The siloes that have served you well is likely your #1 barrier to </w:t>
      </w:r>
      <w:r w:rsidR="00567869">
        <w:rPr>
          <w:lang w:val="en-US"/>
        </w:rPr>
        <w:t>multi-</w:t>
      </w:r>
      <w:r w:rsidRPr="000867A9">
        <w:rPr>
          <w:lang w:val="en-US"/>
        </w:rPr>
        <w:t>cloud.</w:t>
      </w:r>
    </w:p>
    <w:p w14:paraId="33714C19" w14:textId="30B91532" w:rsidR="000867A9" w:rsidRPr="000867A9" w:rsidRDefault="000867A9" w:rsidP="000867A9">
      <w:pPr>
        <w:rPr>
          <w:lang w:val="en-US"/>
        </w:rPr>
      </w:pPr>
      <w:r w:rsidRPr="000867A9">
        <w:rPr>
          <w:lang w:val="en-US"/>
        </w:rPr>
        <w:t>So why exactly is virtualization causing such a fundamental shift? To understand this, we need to go back to the basics, which is what exactly virtualization is. It's pretty common that</w:t>
      </w:r>
      <w:r w:rsidR="002B100A">
        <w:rPr>
          <w:lang w:val="en-US"/>
        </w:rPr>
        <w:t xml:space="preserve"> senior IT management</w:t>
      </w:r>
      <w:r w:rsidRPr="000867A9">
        <w:rPr>
          <w:lang w:val="en-US"/>
        </w:rPr>
        <w:t xml:space="preserve"> have a misconception about what this </w:t>
      </w:r>
      <w:r w:rsidR="002B100A">
        <w:rPr>
          <w:lang w:val="en-US"/>
        </w:rPr>
        <w:t xml:space="preserve">actually </w:t>
      </w:r>
      <w:r w:rsidRPr="000867A9">
        <w:rPr>
          <w:lang w:val="en-US"/>
        </w:rPr>
        <w:t>is.</w:t>
      </w:r>
    </w:p>
    <w:p w14:paraId="1C813CB7" w14:textId="77777777" w:rsidR="000867A9" w:rsidRPr="000867A9" w:rsidRDefault="000867A9" w:rsidP="000867A9">
      <w:pPr>
        <w:rPr>
          <w:lang w:val="en-US"/>
        </w:rPr>
      </w:pPr>
      <w:r w:rsidRPr="000867A9">
        <w:rPr>
          <w:lang w:val="en-US"/>
        </w:rPr>
        <w:lastRenderedPageBreak/>
        <w:t xml:space="preserve">Take a look at the following comments. Have you seen them in your organization? </w:t>
      </w:r>
    </w:p>
    <w:p w14:paraId="250305F5" w14:textId="6B148A2B" w:rsidR="000867A9" w:rsidRPr="000867A9" w:rsidRDefault="000867A9" w:rsidP="00567869">
      <w:pPr>
        <w:pStyle w:val="Bullet"/>
        <w:rPr>
          <w:lang w:val="en-US"/>
        </w:rPr>
      </w:pPr>
      <w:r w:rsidRPr="000867A9">
        <w:rPr>
          <w:lang w:val="en-US"/>
        </w:rPr>
        <w:t xml:space="preserve">"VM is just Physical Machine virtualized. Even VMware said the Guest OS is not aware it's virtualized and it does not run differently." </w:t>
      </w:r>
    </w:p>
    <w:p w14:paraId="00085ACE" w14:textId="059D87A5" w:rsidR="000867A9" w:rsidRPr="000867A9" w:rsidRDefault="000867A9" w:rsidP="00567869">
      <w:pPr>
        <w:pStyle w:val="Bullet"/>
        <w:rPr>
          <w:lang w:val="en-US"/>
        </w:rPr>
      </w:pPr>
      <w:r w:rsidRPr="000867A9">
        <w:rPr>
          <w:lang w:val="en-US"/>
        </w:rPr>
        <w:t xml:space="preserve">"It is still about monitoring CPU, RAM, Disk, Network. No difference." </w:t>
      </w:r>
    </w:p>
    <w:p w14:paraId="5B90394C" w14:textId="72F8A127" w:rsidR="000867A9" w:rsidRPr="000867A9" w:rsidRDefault="000867A9" w:rsidP="00567869">
      <w:pPr>
        <w:pStyle w:val="Bullet"/>
        <w:rPr>
          <w:lang w:val="en-US"/>
        </w:rPr>
      </w:pPr>
      <w:r w:rsidRPr="000867A9">
        <w:rPr>
          <w:lang w:val="en-US"/>
        </w:rPr>
        <w:t xml:space="preserve">"It is a technology change. Our management process does not have to change." </w:t>
      </w:r>
    </w:p>
    <w:p w14:paraId="46F2F5BF" w14:textId="30D1C6C7" w:rsidR="000867A9" w:rsidRPr="000867A9" w:rsidRDefault="000867A9" w:rsidP="00567869">
      <w:pPr>
        <w:pStyle w:val="Bullet"/>
        <w:rPr>
          <w:lang w:val="en-US"/>
        </w:rPr>
      </w:pPr>
      <w:r w:rsidRPr="000867A9">
        <w:rPr>
          <w:lang w:val="en-US"/>
        </w:rPr>
        <w:t xml:space="preserve">"All of these VMs must still feed into our main Enterprise IT Management system. This is how we have run our business for decades and it works." </w:t>
      </w:r>
    </w:p>
    <w:p w14:paraId="058ED531" w14:textId="43CFFC12" w:rsidR="0087318B" w:rsidRDefault="000867A9" w:rsidP="000867A9">
      <w:pPr>
        <w:rPr>
          <w:lang w:val="en-US"/>
        </w:rPr>
      </w:pPr>
      <w:r w:rsidRPr="000867A9">
        <w:rPr>
          <w:lang w:val="en-US"/>
        </w:rPr>
        <w:t xml:space="preserve">If only life was that simple, we would all be 100 percent virtualized and have no headaches! Virtualization has been around for </w:t>
      </w:r>
      <w:r w:rsidR="00737875">
        <w:rPr>
          <w:lang w:val="en-US"/>
        </w:rPr>
        <w:t>decades</w:t>
      </w:r>
      <w:r w:rsidRPr="000867A9">
        <w:rPr>
          <w:lang w:val="en-US"/>
        </w:rPr>
        <w:t xml:space="preserve">, and yet most organizations have not mastered it. The proof of mastering if you have completed the journey and have reached the highest level of </w:t>
      </w:r>
      <w:r w:rsidRPr="0039507A">
        <w:rPr>
          <w:lang w:val="en-US"/>
        </w:rPr>
        <w:t>virtualization maturity model</w:t>
      </w:r>
      <w:r w:rsidRPr="000867A9">
        <w:rPr>
          <w:lang w:val="en-US"/>
        </w:rPr>
        <w:t>.</w:t>
      </w:r>
    </w:p>
    <w:p w14:paraId="0FA358EC" w14:textId="08971E45" w:rsidR="00F034DA" w:rsidRPr="001B5DB0" w:rsidRDefault="00F034DA" w:rsidP="000867A9">
      <w:pPr>
        <w:rPr>
          <w:lang w:val="en-US"/>
        </w:rPr>
      </w:pPr>
      <w:r w:rsidRPr="00CF0336">
        <w:t xml:space="preserve">Although virtualization looks similar on the cover to a physical world, it is completely re-architected </w:t>
      </w:r>
      <w:r w:rsidRPr="00F034DA">
        <w:rPr>
          <w:i/>
          <w:color w:val="0070C0"/>
        </w:rPr>
        <w:t>under the hood</w:t>
      </w:r>
      <w:r w:rsidRPr="00CF0336">
        <w:t>.</w:t>
      </w:r>
    </w:p>
    <w:p w14:paraId="7ABDE89B" w14:textId="7BECE597" w:rsidR="00E37AA0" w:rsidRDefault="00605560" w:rsidP="00AC6E1E">
      <w:pPr>
        <w:pStyle w:val="Heading4"/>
      </w:pPr>
      <w:r>
        <w:t>V</w:t>
      </w:r>
      <w:r w:rsidR="005B2596">
        <w:t xml:space="preserve">irtual </w:t>
      </w:r>
      <w:r>
        <w:t>M</w:t>
      </w:r>
      <w:r w:rsidR="005B2596">
        <w:t>achine</w:t>
      </w:r>
      <w:r w:rsidR="00E37AA0">
        <w:t xml:space="preserve"> vs Physical Machine</w:t>
      </w:r>
    </w:p>
    <w:p w14:paraId="66F28CF3" w14:textId="544FE046" w:rsidR="00C84219" w:rsidRDefault="00FE4AE2" w:rsidP="003A3461">
      <w:pPr>
        <w:rPr>
          <w:lang w:val="en-GB"/>
        </w:rPr>
      </w:pPr>
      <w:r w:rsidRPr="00FE4AE2">
        <w:rPr>
          <w:lang w:val="en-GB"/>
        </w:rPr>
        <w:t xml:space="preserve">VM is not just a physical server virtualized. Yes, there is a P2V process. However, once it is virtualized, it takes on a new shape. That shape has many new and changed properties, and some old properties are no longer applicable or available. </w:t>
      </w:r>
      <w:r w:rsidR="00577B97">
        <w:rPr>
          <w:lang w:val="en-GB"/>
        </w:rPr>
        <w:t xml:space="preserve">The following is an old screenshot, taken years ago. Can you spot properties that do </w:t>
      </w:r>
      <w:r w:rsidR="00577B97" w:rsidRPr="002119A8">
        <w:rPr>
          <w:color w:val="FF0000"/>
          <w:lang w:val="en-GB"/>
        </w:rPr>
        <w:t xml:space="preserve">not </w:t>
      </w:r>
      <w:r w:rsidR="00577B97">
        <w:rPr>
          <w:lang w:val="en-GB"/>
        </w:rPr>
        <w:t>exist in physical server?</w:t>
      </w:r>
    </w:p>
    <w:p w14:paraId="4036CC91" w14:textId="55276B41" w:rsidR="00577B97" w:rsidRDefault="00577B97" w:rsidP="00577B97">
      <w:pPr>
        <w:jc w:val="center"/>
        <w:rPr>
          <w:lang w:val="en-GB"/>
        </w:rPr>
      </w:pPr>
      <w:r w:rsidRPr="00577B97">
        <w:rPr>
          <w:noProof/>
        </w:rPr>
        <w:drawing>
          <wp:inline distT="0" distB="0" distL="0" distR="0" wp14:anchorId="05BA21F2" wp14:editId="46B910C5">
            <wp:extent cx="6121702" cy="2912283"/>
            <wp:effectExtent l="0" t="0" r="0" b="254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rotWithShape="1">
                    <a:blip r:embed="rId1385">
                      <a:extLst>
                        <a:ext uri="{28A0092B-C50C-407E-A947-70E740481C1C}">
                          <a14:useLocalDpi xmlns:a14="http://schemas.microsoft.com/office/drawing/2010/main" val="0"/>
                        </a:ext>
                      </a:extLst>
                    </a:blip>
                    <a:srcRect t="-4" b="44355"/>
                    <a:stretch/>
                  </pic:blipFill>
                  <pic:spPr bwMode="auto">
                    <a:xfrm>
                      <a:off x="0" y="0"/>
                      <a:ext cx="6128761" cy="2915641"/>
                    </a:xfrm>
                    <a:prstGeom prst="rect">
                      <a:avLst/>
                    </a:prstGeom>
                    <a:noFill/>
                    <a:ln>
                      <a:noFill/>
                    </a:ln>
                    <a:effectLst/>
                  </pic:spPr>
                </pic:pic>
              </a:graphicData>
            </a:graphic>
          </wp:inline>
        </w:drawing>
      </w:r>
    </w:p>
    <w:p w14:paraId="2B5E5113" w14:textId="2D64A05D" w:rsidR="00C84219" w:rsidRDefault="00420506" w:rsidP="003A3461">
      <w:pPr>
        <w:rPr>
          <w:lang w:val="en-GB"/>
        </w:rPr>
      </w:pPr>
      <w:r w:rsidRPr="00420506">
        <w:rPr>
          <w:lang w:val="en-GB"/>
        </w:rPr>
        <w:t>Let’s highlight some of the properties that do not exist in a physical server. I'll focus on those properties that have an impact on management, as management is the topic of this book.</w:t>
      </w:r>
    </w:p>
    <w:p w14:paraId="0868CFDA" w14:textId="77777777" w:rsidR="00F46B87" w:rsidRPr="00A452F2" w:rsidRDefault="00F46B87" w:rsidP="004F145E">
      <w:pPr>
        <w:pStyle w:val="BeforeTable"/>
        <w:rPr>
          <w:lang w:val="en-GB"/>
        </w:rPr>
      </w:pPr>
    </w:p>
    <w:tbl>
      <w:tblPr>
        <w:tblStyle w:val="PlainTable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620"/>
        <w:gridCol w:w="4324"/>
        <w:gridCol w:w="35"/>
        <w:gridCol w:w="4359"/>
      </w:tblGrid>
      <w:tr w:rsidR="007C6CF0" w:rsidRPr="008961B8" w14:paraId="57E34112" w14:textId="77777777" w:rsidTr="00290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tcPr>
          <w:p w14:paraId="76126826" w14:textId="77777777" w:rsidR="007C6CF0" w:rsidRPr="00F46B87" w:rsidRDefault="007C6CF0" w:rsidP="00757101">
            <w:pPr>
              <w:pStyle w:val="Tableheading"/>
              <w:rPr>
                <w:b/>
              </w:rPr>
            </w:pPr>
            <w:r w:rsidRPr="00F46B87">
              <w:rPr>
                <w:b/>
              </w:rPr>
              <w:lastRenderedPageBreak/>
              <w:t>Properties</w:t>
            </w:r>
          </w:p>
        </w:tc>
        <w:tc>
          <w:tcPr>
            <w:tcW w:w="4359" w:type="dxa"/>
            <w:gridSpan w:val="2"/>
          </w:tcPr>
          <w:p w14:paraId="3B3260E8" w14:textId="23C43825" w:rsidR="007C6CF0" w:rsidRPr="00A60985" w:rsidRDefault="007C6CF0" w:rsidP="00757101">
            <w:pPr>
              <w:pStyle w:val="Tableheading"/>
              <w:cnfStyle w:val="100000000000" w:firstRow="1" w:lastRow="0" w:firstColumn="0" w:lastColumn="0" w:oddVBand="0" w:evenVBand="0" w:oddHBand="0" w:evenHBand="0" w:firstRowFirstColumn="0" w:firstRowLastColumn="0" w:lastRowFirstColumn="0" w:lastRowLastColumn="0"/>
              <w:rPr>
                <w:b/>
              </w:rPr>
            </w:pPr>
            <w:r w:rsidRPr="00A60985">
              <w:rPr>
                <w:b/>
              </w:rPr>
              <w:t xml:space="preserve">Physical </w:t>
            </w:r>
            <w:r w:rsidR="008C796A">
              <w:rPr>
                <w:b/>
              </w:rPr>
              <w:t>Server</w:t>
            </w:r>
          </w:p>
        </w:tc>
        <w:tc>
          <w:tcPr>
            <w:tcW w:w="4359" w:type="dxa"/>
          </w:tcPr>
          <w:p w14:paraId="16BC7BBA" w14:textId="5826A147" w:rsidR="007C6CF0" w:rsidRPr="00A60985" w:rsidRDefault="00605560" w:rsidP="00757101">
            <w:pPr>
              <w:pStyle w:val="Tableheading"/>
              <w:cnfStyle w:val="100000000000" w:firstRow="1" w:lastRow="0" w:firstColumn="0" w:lastColumn="0" w:oddVBand="0" w:evenVBand="0" w:oddHBand="0" w:evenHBand="0" w:firstRowFirstColumn="0" w:firstRowLastColumn="0" w:lastRowFirstColumn="0" w:lastRowLastColumn="0"/>
              <w:rPr>
                <w:b/>
              </w:rPr>
            </w:pPr>
            <w:r>
              <w:rPr>
                <w:b/>
              </w:rPr>
              <w:t>VM</w:t>
            </w:r>
          </w:p>
        </w:tc>
      </w:tr>
      <w:tr w:rsidR="007C6CF0" w:rsidRPr="000516C9" w14:paraId="06E23928" w14:textId="77777777" w:rsidTr="00290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tcPr>
          <w:p w14:paraId="444439B6" w14:textId="77777777" w:rsidR="007C6CF0" w:rsidRPr="000516C9" w:rsidRDefault="007C6CF0" w:rsidP="000516C9">
            <w:pPr>
              <w:pStyle w:val="Tablecontent"/>
            </w:pPr>
            <w:r w:rsidRPr="000516C9">
              <w:t>BIOS</w:t>
            </w:r>
          </w:p>
        </w:tc>
        <w:tc>
          <w:tcPr>
            <w:tcW w:w="4324" w:type="dxa"/>
          </w:tcPr>
          <w:p w14:paraId="0866E3B9" w14:textId="77777777" w:rsidR="007C6CF0" w:rsidRPr="000516C9" w:rsidRDefault="007C6CF0" w:rsidP="000516C9">
            <w:pPr>
              <w:pStyle w:val="Tablecontent"/>
              <w:cnfStyle w:val="000000100000" w:firstRow="0" w:lastRow="0" w:firstColumn="0" w:lastColumn="0" w:oddVBand="0" w:evenVBand="0" w:oddHBand="1" w:evenHBand="0" w:firstRowFirstColumn="0" w:firstRowLastColumn="0" w:lastRowFirstColumn="0" w:lastRowLastColumn="0"/>
            </w:pPr>
            <w:r w:rsidRPr="000516C9">
              <w:t xml:space="preserve">A unique BIOS for every brand and model. Even the same model (for example, HP DL 380 Generation 9) can have multiple versions of BIOS. </w:t>
            </w:r>
          </w:p>
          <w:p w14:paraId="6E3AD332" w14:textId="77777777" w:rsidR="007C6CF0" w:rsidRPr="000516C9" w:rsidRDefault="007C6CF0" w:rsidP="000516C9">
            <w:pPr>
              <w:pStyle w:val="Tablecontent"/>
              <w:cnfStyle w:val="000000100000" w:firstRow="0" w:lastRow="0" w:firstColumn="0" w:lastColumn="0" w:oddVBand="0" w:evenVBand="0" w:oddHBand="1" w:evenHBand="0" w:firstRowFirstColumn="0" w:firstRowLastColumn="0" w:lastRowFirstColumn="0" w:lastRowLastColumn="0"/>
            </w:pPr>
            <w:r w:rsidRPr="000516C9">
              <w:t xml:space="preserve">BIOS needs updates and management, often with physical access to a data center. This requires downtime. </w:t>
            </w:r>
          </w:p>
        </w:tc>
        <w:tc>
          <w:tcPr>
            <w:tcW w:w="4394" w:type="dxa"/>
            <w:gridSpan w:val="2"/>
          </w:tcPr>
          <w:p w14:paraId="61C51EB2" w14:textId="77777777" w:rsidR="007C6CF0" w:rsidRPr="000516C9" w:rsidRDefault="007C6CF0" w:rsidP="000516C9">
            <w:pPr>
              <w:pStyle w:val="Tablecontent"/>
              <w:cnfStyle w:val="000000100000" w:firstRow="0" w:lastRow="0" w:firstColumn="0" w:lastColumn="0" w:oddVBand="0" w:evenVBand="0" w:oddHBand="1" w:evenHBand="0" w:firstRowFirstColumn="0" w:firstRowLastColumn="0" w:lastRowFirstColumn="0" w:lastRowLastColumn="0"/>
            </w:pPr>
            <w:r w:rsidRPr="000516C9">
              <w:t xml:space="preserve">This is standardized in a VM. There is only one type, which is the VMware motherboard. This is independent from the ESXi motherboard. </w:t>
            </w:r>
          </w:p>
          <w:p w14:paraId="6237847A" w14:textId="77777777" w:rsidR="007C6CF0" w:rsidRPr="000516C9" w:rsidRDefault="007C6CF0" w:rsidP="000516C9">
            <w:pPr>
              <w:pStyle w:val="Tablecontent"/>
              <w:cnfStyle w:val="000000100000" w:firstRow="0" w:lastRow="0" w:firstColumn="0" w:lastColumn="0" w:oddVBand="0" w:evenVBand="0" w:oddHBand="1" w:evenHBand="0" w:firstRowFirstColumn="0" w:firstRowLastColumn="0" w:lastRowFirstColumn="0" w:lastRowLastColumn="0"/>
            </w:pPr>
            <w:r w:rsidRPr="000516C9">
              <w:t>VM BIOS needs far less updates and management. The inventory management system no longer needs the BIOS management module.</w:t>
            </w:r>
          </w:p>
        </w:tc>
      </w:tr>
      <w:tr w:rsidR="007C6CF0" w:rsidRPr="000516C9" w14:paraId="505AA245" w14:textId="77777777" w:rsidTr="00290927">
        <w:tc>
          <w:tcPr>
            <w:cnfStyle w:val="001000000000" w:firstRow="0" w:lastRow="0" w:firstColumn="1" w:lastColumn="0" w:oddVBand="0" w:evenVBand="0" w:oddHBand="0" w:evenHBand="0" w:firstRowFirstColumn="0" w:firstRowLastColumn="0" w:lastRowFirstColumn="0" w:lastRowLastColumn="0"/>
            <w:tcW w:w="1620" w:type="dxa"/>
          </w:tcPr>
          <w:p w14:paraId="2FB7582C" w14:textId="77777777" w:rsidR="007C6CF0" w:rsidRPr="000516C9" w:rsidRDefault="007C6CF0" w:rsidP="000516C9">
            <w:pPr>
              <w:pStyle w:val="Tablecontent"/>
            </w:pPr>
            <w:r w:rsidRPr="000516C9">
              <w:t>Virtual HW</w:t>
            </w:r>
          </w:p>
        </w:tc>
        <w:tc>
          <w:tcPr>
            <w:tcW w:w="4324" w:type="dxa"/>
          </w:tcPr>
          <w:p w14:paraId="27BE6302" w14:textId="77777777" w:rsidR="007C6CF0" w:rsidRPr="000516C9" w:rsidRDefault="007C6CF0" w:rsidP="000516C9">
            <w:pPr>
              <w:pStyle w:val="Tablecontent"/>
              <w:cnfStyle w:val="000000000000" w:firstRow="0" w:lastRow="0" w:firstColumn="0" w:lastColumn="0" w:oddVBand="0" w:evenVBand="0" w:oddHBand="0" w:evenHBand="0" w:firstRowFirstColumn="0" w:firstRowLastColumn="0" w:lastRowFirstColumn="0" w:lastRowLastColumn="0"/>
            </w:pPr>
            <w:r w:rsidRPr="000516C9">
              <w:t xml:space="preserve">Not applicable </w:t>
            </w:r>
          </w:p>
        </w:tc>
        <w:tc>
          <w:tcPr>
            <w:tcW w:w="4394" w:type="dxa"/>
            <w:gridSpan w:val="2"/>
          </w:tcPr>
          <w:p w14:paraId="4DE90118" w14:textId="77777777" w:rsidR="007C6CF0" w:rsidRPr="000516C9" w:rsidRDefault="007C6CF0" w:rsidP="000516C9">
            <w:pPr>
              <w:pStyle w:val="Tablecontent"/>
              <w:cnfStyle w:val="000000000000" w:firstRow="0" w:lastRow="0" w:firstColumn="0" w:lastColumn="0" w:oddVBand="0" w:evenVBand="0" w:oddHBand="0" w:evenHBand="0" w:firstRowFirstColumn="0" w:firstRowLastColumn="0" w:lastRowFirstColumn="0" w:lastRowLastColumn="0"/>
            </w:pPr>
            <w:r w:rsidRPr="000516C9">
              <w:t xml:space="preserve">This is a new layer below BIOS. </w:t>
            </w:r>
          </w:p>
          <w:p w14:paraId="7EDBC67D" w14:textId="77777777" w:rsidR="007C6CF0" w:rsidRPr="000516C9" w:rsidRDefault="007C6CF0" w:rsidP="000516C9">
            <w:pPr>
              <w:pStyle w:val="Tablecontent"/>
              <w:cnfStyle w:val="000000000000" w:firstRow="0" w:lastRow="0" w:firstColumn="0" w:lastColumn="0" w:oddVBand="0" w:evenVBand="0" w:oddHBand="0" w:evenHBand="0" w:firstRowFirstColumn="0" w:firstRowLastColumn="0" w:lastRowFirstColumn="0" w:lastRowLastColumn="0"/>
            </w:pPr>
            <w:r w:rsidRPr="000516C9">
              <w:t xml:space="preserve">It needs an update on every vSphere release. A data center management system needs to be aware of this as it requires a deep knowledge of vSphere. For example, to upgrade the Virtual Hardware, the VM has to be in the power-off stage. </w:t>
            </w:r>
          </w:p>
        </w:tc>
      </w:tr>
      <w:tr w:rsidR="007C6CF0" w:rsidRPr="000516C9" w14:paraId="1382DC5A" w14:textId="77777777" w:rsidTr="00290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tcPr>
          <w:p w14:paraId="40100A75" w14:textId="77777777" w:rsidR="007C6CF0" w:rsidRPr="000516C9" w:rsidRDefault="007C6CF0" w:rsidP="000516C9">
            <w:pPr>
              <w:pStyle w:val="Tablecontent"/>
            </w:pPr>
            <w:r w:rsidRPr="000516C9">
              <w:t>Drivers</w:t>
            </w:r>
          </w:p>
        </w:tc>
        <w:tc>
          <w:tcPr>
            <w:tcW w:w="4324" w:type="dxa"/>
          </w:tcPr>
          <w:p w14:paraId="426DF8BB" w14:textId="77777777" w:rsidR="007C6CF0" w:rsidRPr="000516C9" w:rsidRDefault="007C6CF0" w:rsidP="000516C9">
            <w:pPr>
              <w:pStyle w:val="Tablecontent"/>
              <w:cnfStyle w:val="000000100000" w:firstRow="0" w:lastRow="0" w:firstColumn="0" w:lastColumn="0" w:oddVBand="0" w:evenVBand="0" w:oddHBand="1" w:evenHBand="0" w:firstRowFirstColumn="0" w:firstRowLastColumn="0" w:lastRowFirstColumn="0" w:lastRowLastColumn="0"/>
            </w:pPr>
            <w:r w:rsidRPr="000516C9">
              <w:t>Many drivers are loaded and bundled with the OS. Often, you need to get from respective hardware vendors for the latest drivers.</w:t>
            </w:r>
          </w:p>
          <w:p w14:paraId="0FEBE9B0" w14:textId="77777777" w:rsidR="007C6CF0" w:rsidRPr="000516C9" w:rsidRDefault="007C6CF0" w:rsidP="000516C9">
            <w:pPr>
              <w:pStyle w:val="Tablecontent"/>
              <w:cnfStyle w:val="000000100000" w:firstRow="0" w:lastRow="0" w:firstColumn="0" w:lastColumn="0" w:oddVBand="0" w:evenVBand="0" w:oddHBand="1" w:evenHBand="0" w:firstRowFirstColumn="0" w:firstRowLastColumn="0" w:lastRowFirstColumn="0" w:lastRowLastColumn="0"/>
            </w:pPr>
            <w:r w:rsidRPr="000516C9">
              <w:t xml:space="preserve">All these drivers need to be managed. This can be complex operation, as they vary from model to model and brand to brand. The management tool has rich functionalities, such as checking compatibility, rolling out drivers, rolling back if there is an issue, and so on. </w:t>
            </w:r>
          </w:p>
        </w:tc>
        <w:tc>
          <w:tcPr>
            <w:tcW w:w="4394" w:type="dxa"/>
            <w:gridSpan w:val="2"/>
          </w:tcPr>
          <w:p w14:paraId="6870D0EA" w14:textId="77777777" w:rsidR="007C6CF0" w:rsidRPr="000516C9" w:rsidRDefault="007C6CF0" w:rsidP="000516C9">
            <w:pPr>
              <w:pStyle w:val="Tablecontent"/>
              <w:cnfStyle w:val="000000100000" w:firstRow="0" w:lastRow="0" w:firstColumn="0" w:lastColumn="0" w:oddVBand="0" w:evenVBand="0" w:oddHBand="1" w:evenHBand="0" w:firstRowFirstColumn="0" w:firstRowLastColumn="0" w:lastRowFirstColumn="0" w:lastRowLastColumn="0"/>
            </w:pPr>
            <w:r w:rsidRPr="000516C9">
              <w:t xml:space="preserve">Relatively fewer drivers are loaded with the Guest OS; some drivers are replaced by the ones provided by VMware Tools. </w:t>
            </w:r>
          </w:p>
          <w:p w14:paraId="4B0B81E4" w14:textId="77777777" w:rsidR="007C6CF0" w:rsidRPr="000516C9" w:rsidRDefault="007C6CF0" w:rsidP="000516C9">
            <w:pPr>
              <w:pStyle w:val="Tablecontent"/>
              <w:cnfStyle w:val="000000100000" w:firstRow="0" w:lastRow="0" w:firstColumn="0" w:lastColumn="0" w:oddVBand="0" w:evenVBand="0" w:oddHBand="1" w:evenHBand="0" w:firstRowFirstColumn="0" w:firstRowLastColumn="0" w:lastRowFirstColumn="0" w:lastRowLastColumn="0"/>
            </w:pPr>
            <w:r w:rsidRPr="000516C9">
              <w:t xml:space="preserve">Even with NPIV, the VM does not need the FC HBA driver. VMware Tools needs to be managed, with vCenter being the most common management tool. </w:t>
            </w:r>
          </w:p>
        </w:tc>
      </w:tr>
    </w:tbl>
    <w:p w14:paraId="5CF4E082" w14:textId="763B61CC" w:rsidR="00F87E4F" w:rsidRDefault="00AD32B5" w:rsidP="00FD30D8">
      <w:r w:rsidRPr="00AD32B5">
        <w:t>With all the above differences, how does it impact the hardware upgrade process?</w:t>
      </w:r>
    </w:p>
    <w:p w14:paraId="5F23B768" w14:textId="77777777" w:rsidR="002F57B5" w:rsidRDefault="002F57B5" w:rsidP="004F145E">
      <w:pPr>
        <w:pStyle w:val="BeforeTable"/>
      </w:pPr>
    </w:p>
    <w:tbl>
      <w:tblPr>
        <w:tblStyle w:val="PlainTable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5169"/>
        <w:gridCol w:w="5169"/>
      </w:tblGrid>
      <w:tr w:rsidR="005504E1" w:rsidRPr="008961B8" w14:paraId="21B62623" w14:textId="77777777" w:rsidTr="00290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69" w:type="dxa"/>
          </w:tcPr>
          <w:p w14:paraId="1BAACEEB" w14:textId="77777777" w:rsidR="005504E1" w:rsidRPr="00A60985" w:rsidRDefault="005504E1" w:rsidP="00757101">
            <w:pPr>
              <w:pStyle w:val="Tableheading"/>
              <w:rPr>
                <w:b/>
              </w:rPr>
            </w:pPr>
            <w:r w:rsidRPr="00A60985">
              <w:rPr>
                <w:b/>
              </w:rPr>
              <w:t>Physical Server</w:t>
            </w:r>
          </w:p>
        </w:tc>
        <w:tc>
          <w:tcPr>
            <w:tcW w:w="5169" w:type="dxa"/>
          </w:tcPr>
          <w:p w14:paraId="02D0DCE0" w14:textId="48AF330F" w:rsidR="005504E1" w:rsidRPr="00A60985" w:rsidRDefault="00605560" w:rsidP="00757101">
            <w:pPr>
              <w:pStyle w:val="Tableheading"/>
              <w:cnfStyle w:val="100000000000" w:firstRow="1" w:lastRow="0" w:firstColumn="0" w:lastColumn="0" w:oddVBand="0" w:evenVBand="0" w:oddHBand="0" w:evenHBand="0" w:firstRowFirstColumn="0" w:firstRowLastColumn="0" w:lastRowFirstColumn="0" w:lastRowLastColumn="0"/>
              <w:rPr>
                <w:b/>
              </w:rPr>
            </w:pPr>
            <w:r>
              <w:rPr>
                <w:b/>
              </w:rPr>
              <w:t>VM</w:t>
            </w:r>
          </w:p>
        </w:tc>
      </w:tr>
      <w:tr w:rsidR="005504E1" w:rsidRPr="000516C9" w14:paraId="70781587" w14:textId="77777777" w:rsidTr="00290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169" w:type="dxa"/>
          </w:tcPr>
          <w:p w14:paraId="63E1DF5C" w14:textId="77777777" w:rsidR="005504E1" w:rsidRPr="00F602E1" w:rsidRDefault="005504E1" w:rsidP="0038089B">
            <w:pPr>
              <w:pStyle w:val="Tablecontent"/>
              <w:rPr>
                <w:b w:val="0"/>
                <w:bCs w:val="0"/>
              </w:rPr>
            </w:pPr>
            <w:r w:rsidRPr="00F602E1">
              <w:rPr>
                <w:b w:val="0"/>
                <w:bCs w:val="0"/>
              </w:rPr>
              <w:t xml:space="preserve">Downtime required. It is done offline and is complex. </w:t>
            </w:r>
          </w:p>
          <w:p w14:paraId="6B42CAAC" w14:textId="77777777" w:rsidR="005504E1" w:rsidRPr="00F602E1" w:rsidRDefault="005504E1" w:rsidP="0038089B">
            <w:pPr>
              <w:pStyle w:val="Tablecontent"/>
              <w:rPr>
                <w:b w:val="0"/>
                <w:bCs w:val="0"/>
              </w:rPr>
            </w:pPr>
            <w:r w:rsidRPr="00F602E1">
              <w:rPr>
                <w:b w:val="0"/>
                <w:bCs w:val="0"/>
              </w:rPr>
              <w:t xml:space="preserve">OS reinstallation and updates are required, hence it is a complex project in the physical world. Sometimes, a hardware upgrade is not even possible without upgrading the application. </w:t>
            </w:r>
          </w:p>
        </w:tc>
        <w:tc>
          <w:tcPr>
            <w:tcW w:w="5169" w:type="dxa"/>
          </w:tcPr>
          <w:p w14:paraId="7C662B28" w14:textId="77777777" w:rsidR="005504E1" w:rsidRPr="00F602E1" w:rsidRDefault="005504E1" w:rsidP="0038089B">
            <w:pPr>
              <w:pStyle w:val="Tablecontent"/>
              <w:cnfStyle w:val="000000100000" w:firstRow="0" w:lastRow="0" w:firstColumn="0" w:lastColumn="0" w:oddVBand="0" w:evenVBand="0" w:oddHBand="1" w:evenHBand="0" w:firstRowFirstColumn="0" w:firstRowLastColumn="0" w:lastRowFirstColumn="0" w:lastRowLastColumn="0"/>
            </w:pPr>
            <w:r w:rsidRPr="00F602E1">
              <w:t>It is done online and is simple. Virtualization decouples the application from hardware dependency.</w:t>
            </w:r>
          </w:p>
          <w:p w14:paraId="76929557" w14:textId="5B07774D" w:rsidR="005504E1" w:rsidRPr="00F602E1" w:rsidRDefault="005504E1" w:rsidP="0038089B">
            <w:pPr>
              <w:pStyle w:val="Tablecontent"/>
              <w:cnfStyle w:val="000000100000" w:firstRow="0" w:lastRow="0" w:firstColumn="0" w:lastColumn="0" w:oddVBand="0" w:evenVBand="0" w:oddHBand="1" w:evenHBand="0" w:firstRowFirstColumn="0" w:firstRowLastColumn="0" w:lastRowFirstColumn="0" w:lastRowLastColumn="0"/>
            </w:pPr>
            <w:r w:rsidRPr="00F602E1">
              <w:t xml:space="preserve">A VM can be upgraded from a 5-year-old hardware to a new one, moving from the local SCSI disk to </w:t>
            </w:r>
            <w:r w:rsidR="002119A8">
              <w:t>5</w:t>
            </w:r>
            <w:r w:rsidRPr="00F602E1">
              <w:t xml:space="preserve">0 Gb FCoE, from dual core to a </w:t>
            </w:r>
            <w:r w:rsidR="002119A8">
              <w:t>24</w:t>
            </w:r>
            <w:r w:rsidRPr="00F602E1">
              <w:t xml:space="preserve">-core CPU. So yes, MS-DOS can run on </w:t>
            </w:r>
            <w:r w:rsidR="002119A8">
              <w:t>5</w:t>
            </w:r>
            <w:r w:rsidRPr="00F602E1">
              <w:t xml:space="preserve">0 Gb Ethernet accessing SSD storage via the PCIe lane. You just need to perform vMotion to the new hardware. As a result, the operation is drastically simplified. </w:t>
            </w:r>
          </w:p>
        </w:tc>
      </w:tr>
    </w:tbl>
    <w:p w14:paraId="4D127C87" w14:textId="06DE746A" w:rsidR="002119A8" w:rsidRDefault="002119A8" w:rsidP="00E7573A">
      <w:pPr>
        <w:pStyle w:val="Heading5"/>
      </w:pPr>
      <w:r>
        <w:t>Storage</w:t>
      </w:r>
    </w:p>
    <w:p w14:paraId="5A918511" w14:textId="572BF994" w:rsidR="005504E1" w:rsidRDefault="00647FD0" w:rsidP="00FD30D8">
      <w:pPr>
        <w:rPr>
          <w:lang w:val="en-US"/>
        </w:rPr>
      </w:pPr>
      <w:r w:rsidRPr="00647FD0">
        <w:rPr>
          <w:lang w:val="en-US"/>
        </w:rPr>
        <w:t>In the preceding table, we compared the core properties of a physical server with a VM. Every server needs storage, so let’s compare the storage properties.</w:t>
      </w:r>
    </w:p>
    <w:p w14:paraId="2750B7F4" w14:textId="77777777" w:rsidR="00700361" w:rsidRDefault="00700361" w:rsidP="00700361">
      <w:pPr>
        <w:pStyle w:val="BeforeTable"/>
        <w:rPr>
          <w:lang w:val="en-US"/>
        </w:rPr>
      </w:pPr>
    </w:p>
    <w:tbl>
      <w:tblPr>
        <w:tblStyle w:val="TableGridLight"/>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5098"/>
        <w:gridCol w:w="5098"/>
      </w:tblGrid>
      <w:tr w:rsidR="00741136" w:rsidRPr="008961B8" w14:paraId="707A36D0" w14:textId="77777777" w:rsidTr="00290927">
        <w:tc>
          <w:tcPr>
            <w:tcW w:w="5098" w:type="dxa"/>
          </w:tcPr>
          <w:p w14:paraId="44476D13" w14:textId="77777777" w:rsidR="00741136" w:rsidRPr="00A60985" w:rsidRDefault="00741136" w:rsidP="00757101">
            <w:pPr>
              <w:pStyle w:val="Tableheading"/>
            </w:pPr>
            <w:r w:rsidRPr="00A60985">
              <w:lastRenderedPageBreak/>
              <w:t>Physical Server</w:t>
            </w:r>
          </w:p>
        </w:tc>
        <w:tc>
          <w:tcPr>
            <w:tcW w:w="5098" w:type="dxa"/>
          </w:tcPr>
          <w:p w14:paraId="033056AF" w14:textId="24F30362" w:rsidR="00741136" w:rsidRPr="00A60985" w:rsidRDefault="00605560" w:rsidP="00757101">
            <w:pPr>
              <w:pStyle w:val="Tableheading"/>
            </w:pPr>
            <w:r>
              <w:t>VM</w:t>
            </w:r>
          </w:p>
        </w:tc>
      </w:tr>
      <w:tr w:rsidR="00741136" w:rsidRPr="008961B8" w14:paraId="2124929A" w14:textId="77777777" w:rsidTr="00290927">
        <w:tc>
          <w:tcPr>
            <w:tcW w:w="5098" w:type="dxa"/>
          </w:tcPr>
          <w:p w14:paraId="1B95AF18" w14:textId="77777777" w:rsidR="00741136" w:rsidRPr="00087F24" w:rsidRDefault="00741136" w:rsidP="000516C9">
            <w:pPr>
              <w:pStyle w:val="Tablecontent"/>
              <w:rPr>
                <w:b/>
              </w:rPr>
            </w:pPr>
            <w:r w:rsidRPr="00087F24">
              <w:t xml:space="preserve">For servers connected to SAN, they can see the SAN and FC fabric. They need HBA drivers and have FC PCI cards, and have multipathing software installed. </w:t>
            </w:r>
          </w:p>
          <w:p w14:paraId="586AFAEB" w14:textId="77777777" w:rsidR="00741136" w:rsidRPr="00087F24" w:rsidRDefault="00741136" w:rsidP="000516C9">
            <w:pPr>
              <w:pStyle w:val="Tablecontent"/>
              <w:rPr>
                <w:b/>
              </w:rPr>
            </w:pPr>
            <w:r w:rsidRPr="00087F24">
              <w:t xml:space="preserve">Normally needs an advanced filesystem or volume manager to RAID local disk. </w:t>
            </w:r>
          </w:p>
        </w:tc>
        <w:tc>
          <w:tcPr>
            <w:tcW w:w="5098" w:type="dxa"/>
          </w:tcPr>
          <w:p w14:paraId="1B28E2FD" w14:textId="1A28528B" w:rsidR="00741136" w:rsidRDefault="00741136" w:rsidP="000516C9">
            <w:pPr>
              <w:pStyle w:val="Tablecontent"/>
            </w:pPr>
            <w:r>
              <w:t xml:space="preserve">No VM is connected to FC fabric or the SAN. VM only sees the local disk. Even with </w:t>
            </w:r>
            <w:r w:rsidRPr="00681616">
              <w:t xml:space="preserve">N_Port ID </w:t>
            </w:r>
            <w:r>
              <w:t>V</w:t>
            </w:r>
            <w:r w:rsidRPr="00681616">
              <w:t>irtualization</w:t>
            </w:r>
            <w:r>
              <w:t xml:space="preserve"> (NPIV) and physical RDM, the VM does not send FC frames. Multipathing is provided by vSphere, transparent to VM. </w:t>
            </w:r>
          </w:p>
          <w:p w14:paraId="0A98C0AE" w14:textId="77777777" w:rsidR="00741136" w:rsidRDefault="00741136" w:rsidP="000516C9">
            <w:pPr>
              <w:pStyle w:val="Tablecontent"/>
            </w:pPr>
            <w:r>
              <w:t xml:space="preserve">There is no need for RAID local disk. It is one virtual disk, not two. Availability is provided at the hardware layer. </w:t>
            </w:r>
          </w:p>
        </w:tc>
      </w:tr>
      <w:tr w:rsidR="00741136" w:rsidRPr="008961B8" w14:paraId="54932D47" w14:textId="77777777" w:rsidTr="00290927">
        <w:tc>
          <w:tcPr>
            <w:tcW w:w="5098" w:type="dxa"/>
          </w:tcPr>
          <w:p w14:paraId="1318EB0D" w14:textId="77777777" w:rsidR="00741136" w:rsidRPr="00087F24" w:rsidRDefault="00741136" w:rsidP="000516C9">
            <w:pPr>
              <w:pStyle w:val="Tablecontent"/>
              <w:rPr>
                <w:b/>
              </w:rPr>
            </w:pPr>
            <w:r w:rsidRPr="00087F24">
              <w:t xml:space="preserve">Backup agent and backup LAN needed in the majority of cases. </w:t>
            </w:r>
          </w:p>
        </w:tc>
        <w:tc>
          <w:tcPr>
            <w:tcW w:w="5098" w:type="dxa"/>
          </w:tcPr>
          <w:p w14:paraId="3DFE01AD" w14:textId="77777777" w:rsidR="00741136" w:rsidRDefault="00741136" w:rsidP="000516C9">
            <w:pPr>
              <w:pStyle w:val="Tablecontent"/>
            </w:pPr>
            <w:r>
              <w:t xml:space="preserve">Not needed in the majority of cases, as backup is done via vSphere VADP API. Agent is only required for application-level backup. </w:t>
            </w:r>
          </w:p>
        </w:tc>
      </w:tr>
    </w:tbl>
    <w:p w14:paraId="70B316F0" w14:textId="1D5A62A8" w:rsidR="002119A8" w:rsidRDefault="002119A8" w:rsidP="00E7573A">
      <w:pPr>
        <w:pStyle w:val="Heading5"/>
      </w:pPr>
      <w:r w:rsidRPr="005D7CA6">
        <w:t>Network and Security</w:t>
      </w:r>
    </w:p>
    <w:p w14:paraId="7ADA3000" w14:textId="185ADBE8" w:rsidR="00647FD0" w:rsidRDefault="005D7CA6" w:rsidP="00FD30D8">
      <w:pPr>
        <w:rPr>
          <w:lang w:val="en-US"/>
        </w:rPr>
      </w:pPr>
      <w:r w:rsidRPr="005D7CA6">
        <w:rPr>
          <w:lang w:val="en-US"/>
        </w:rPr>
        <w:t>Big difference in storage. How about Network and Security?</w:t>
      </w:r>
    </w:p>
    <w:p w14:paraId="18D7E4DF" w14:textId="7A6F596E" w:rsidR="00976460" w:rsidRDefault="002A5599" w:rsidP="00FD30D8">
      <w:pPr>
        <w:rPr>
          <w:lang w:val="en-US"/>
        </w:rPr>
      </w:pPr>
      <w:r>
        <w:rPr>
          <w:lang w:val="en-US"/>
        </w:rPr>
        <w:t>In vSphere, a</w:t>
      </w:r>
      <w:r w:rsidR="00B342EE" w:rsidRPr="00B342EE">
        <w:rPr>
          <w:lang w:val="en-US"/>
        </w:rPr>
        <w:t xml:space="preserve"> VM is connected to a distributed </w:t>
      </w:r>
      <w:r>
        <w:rPr>
          <w:lang w:val="en-US"/>
        </w:rPr>
        <w:t xml:space="preserve">virtual </w:t>
      </w:r>
      <w:r w:rsidR="00B342EE" w:rsidRPr="00B342EE">
        <w:rPr>
          <w:lang w:val="en-US"/>
        </w:rPr>
        <w:t>switch. It is not directly connected to the physical NIC in your ESXi host. The ESXi host’s physical NICs become the virtual switch's uplinks instead. This means that the traditional top-of-rack (TOR) switch has been entirely virtualized. It runs completely as software</w:t>
      </w:r>
      <w:r w:rsidR="00E81AFF">
        <w:rPr>
          <w:lang w:val="en-US"/>
        </w:rPr>
        <w:t xml:space="preserve">. </w:t>
      </w:r>
      <w:r w:rsidR="00B342EE" w:rsidRPr="00B342EE">
        <w:rPr>
          <w:lang w:val="en-US"/>
        </w:rPr>
        <w:t xml:space="preserve">This means the management software needs to understand the distributed vSwitch and its features. </w:t>
      </w:r>
    </w:p>
    <w:p w14:paraId="2B95E371" w14:textId="77777777" w:rsidR="00B342EE" w:rsidRDefault="00B342EE" w:rsidP="004F145E">
      <w:pPr>
        <w:pStyle w:val="BeforeTable"/>
        <w:rPr>
          <w:lang w:val="en-US"/>
        </w:rPr>
      </w:pPr>
    </w:p>
    <w:tbl>
      <w:tblPr>
        <w:tblStyle w:val="PlainTable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5098"/>
        <w:gridCol w:w="5098"/>
      </w:tblGrid>
      <w:tr w:rsidR="00763009" w:rsidRPr="008961B8" w14:paraId="4E8FBD4E" w14:textId="77777777" w:rsidTr="00290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tcPr>
          <w:p w14:paraId="2DE7510A" w14:textId="77777777" w:rsidR="00763009" w:rsidRPr="00A60985" w:rsidRDefault="00763009" w:rsidP="00757101">
            <w:pPr>
              <w:pStyle w:val="Tableheading"/>
              <w:rPr>
                <w:b/>
              </w:rPr>
            </w:pPr>
            <w:r w:rsidRPr="00A60985">
              <w:rPr>
                <w:b/>
              </w:rPr>
              <w:lastRenderedPageBreak/>
              <w:t>Physical Server</w:t>
            </w:r>
          </w:p>
        </w:tc>
        <w:tc>
          <w:tcPr>
            <w:tcW w:w="5098" w:type="dxa"/>
          </w:tcPr>
          <w:p w14:paraId="1E1CB671" w14:textId="31B2B528" w:rsidR="00763009" w:rsidRPr="00A60985" w:rsidRDefault="00605560" w:rsidP="00757101">
            <w:pPr>
              <w:pStyle w:val="Tableheading"/>
              <w:cnfStyle w:val="100000000000" w:firstRow="1" w:lastRow="0" w:firstColumn="0" w:lastColumn="0" w:oddVBand="0" w:evenVBand="0" w:oddHBand="0" w:evenHBand="0" w:firstRowFirstColumn="0" w:firstRowLastColumn="0" w:lastRowFirstColumn="0" w:lastRowLastColumn="0"/>
              <w:rPr>
                <w:b/>
              </w:rPr>
            </w:pPr>
            <w:r>
              <w:rPr>
                <w:b/>
              </w:rPr>
              <w:t>VM</w:t>
            </w:r>
          </w:p>
        </w:tc>
      </w:tr>
      <w:tr w:rsidR="00763009" w:rsidRPr="00F602E1" w14:paraId="22D8FDAB" w14:textId="77777777" w:rsidTr="00290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tcPr>
          <w:p w14:paraId="7B5E3246" w14:textId="77777777" w:rsidR="00763009" w:rsidRPr="00F602E1" w:rsidRDefault="00763009" w:rsidP="000516C9">
            <w:pPr>
              <w:pStyle w:val="Tablecontent"/>
              <w:rPr>
                <w:b w:val="0"/>
                <w:bCs w:val="0"/>
              </w:rPr>
            </w:pPr>
            <w:r w:rsidRPr="00F602E1">
              <w:rPr>
                <w:b w:val="0"/>
                <w:bCs w:val="0"/>
              </w:rPr>
              <w:t xml:space="preserve">NIC teaming is common. Typically needs two cables per server. </w:t>
            </w:r>
          </w:p>
        </w:tc>
        <w:tc>
          <w:tcPr>
            <w:tcW w:w="5098" w:type="dxa"/>
          </w:tcPr>
          <w:p w14:paraId="67BB9892" w14:textId="77777777" w:rsidR="00763009" w:rsidRPr="00F602E1" w:rsidRDefault="00763009" w:rsidP="000516C9">
            <w:pPr>
              <w:pStyle w:val="Tablecontent"/>
              <w:cnfStyle w:val="000000100000" w:firstRow="0" w:lastRow="0" w:firstColumn="0" w:lastColumn="0" w:oddVBand="0" w:evenVBand="0" w:oddHBand="1" w:evenHBand="0" w:firstRowFirstColumn="0" w:firstRowLastColumn="0" w:lastRowFirstColumn="0" w:lastRowLastColumn="0"/>
            </w:pPr>
            <w:r w:rsidRPr="00F602E1">
              <w:t xml:space="preserve">NIC teaming provided by ESXi. VM is not aware and only sees one vNIC. </w:t>
            </w:r>
          </w:p>
        </w:tc>
      </w:tr>
      <w:tr w:rsidR="00763009" w:rsidRPr="00F602E1" w14:paraId="7C472478" w14:textId="77777777" w:rsidTr="00290927">
        <w:tc>
          <w:tcPr>
            <w:cnfStyle w:val="001000000000" w:firstRow="0" w:lastRow="0" w:firstColumn="1" w:lastColumn="0" w:oddVBand="0" w:evenVBand="0" w:oddHBand="0" w:evenHBand="0" w:firstRowFirstColumn="0" w:firstRowLastColumn="0" w:lastRowFirstColumn="0" w:lastRowLastColumn="0"/>
            <w:tcW w:w="5098" w:type="dxa"/>
          </w:tcPr>
          <w:p w14:paraId="798860C9" w14:textId="77777777" w:rsidR="00763009" w:rsidRPr="00F602E1" w:rsidRDefault="00763009" w:rsidP="000516C9">
            <w:pPr>
              <w:pStyle w:val="Tablecontent"/>
              <w:rPr>
                <w:b w:val="0"/>
                <w:bCs w:val="0"/>
              </w:rPr>
            </w:pPr>
            <w:r w:rsidRPr="00F602E1">
              <w:rPr>
                <w:b w:val="0"/>
                <w:bCs w:val="0"/>
              </w:rPr>
              <w:t>Guest OS is VLAN aware. It is configured inside the OS. Moving VLAN requires reconfiguration.</w:t>
            </w:r>
          </w:p>
        </w:tc>
        <w:tc>
          <w:tcPr>
            <w:tcW w:w="5098" w:type="dxa"/>
          </w:tcPr>
          <w:p w14:paraId="7FF5ECC9" w14:textId="77777777" w:rsidR="00763009" w:rsidRPr="00F602E1" w:rsidRDefault="00763009" w:rsidP="000516C9">
            <w:pPr>
              <w:pStyle w:val="Tablecontent"/>
              <w:cnfStyle w:val="000000000000" w:firstRow="0" w:lastRow="0" w:firstColumn="0" w:lastColumn="0" w:oddVBand="0" w:evenVBand="0" w:oddHBand="0" w:evenHBand="0" w:firstRowFirstColumn="0" w:firstRowLastColumn="0" w:lastRowFirstColumn="0" w:lastRowLastColumn="0"/>
            </w:pPr>
            <w:r w:rsidRPr="00F602E1">
              <w:t xml:space="preserve">VLAN is generally provided by vSphere, and not done inside the Guest OS. This means VM can be moved from one VLAN to another with no downtime. </w:t>
            </w:r>
          </w:p>
          <w:p w14:paraId="1889DF45" w14:textId="77777777" w:rsidR="00763009" w:rsidRPr="00F602E1" w:rsidRDefault="00763009" w:rsidP="000516C9">
            <w:pPr>
              <w:pStyle w:val="Tablecontent"/>
              <w:cnfStyle w:val="000000000000" w:firstRow="0" w:lastRow="0" w:firstColumn="0" w:lastColumn="0" w:oddVBand="0" w:evenVBand="0" w:oddHBand="0" w:evenHBand="0" w:firstRowFirstColumn="0" w:firstRowLastColumn="0" w:lastRowFirstColumn="0" w:lastRowLastColumn="0"/>
            </w:pPr>
            <w:r w:rsidRPr="00F602E1">
              <w:t>With network virtualization, VM is moving from VLAN to VXLAN.</w:t>
            </w:r>
          </w:p>
        </w:tc>
      </w:tr>
      <w:tr w:rsidR="00763009" w:rsidRPr="00F602E1" w14:paraId="64EDF55C" w14:textId="77777777" w:rsidTr="00290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tcPr>
          <w:p w14:paraId="504EF798" w14:textId="77777777" w:rsidR="00763009" w:rsidRPr="00F602E1" w:rsidRDefault="00763009" w:rsidP="000516C9">
            <w:pPr>
              <w:pStyle w:val="Tablecontent"/>
              <w:rPr>
                <w:b w:val="0"/>
                <w:bCs w:val="0"/>
              </w:rPr>
            </w:pPr>
            <w:r w:rsidRPr="00F602E1">
              <w:rPr>
                <w:b w:val="0"/>
                <w:bCs w:val="0"/>
              </w:rPr>
              <w:t xml:space="preserve">The AV agent is installed on Guest, and can be seen by the attacker. </w:t>
            </w:r>
          </w:p>
        </w:tc>
        <w:tc>
          <w:tcPr>
            <w:tcW w:w="5098" w:type="dxa"/>
          </w:tcPr>
          <w:p w14:paraId="007D608F" w14:textId="77777777" w:rsidR="00763009" w:rsidRPr="00F602E1" w:rsidRDefault="00763009" w:rsidP="000516C9">
            <w:pPr>
              <w:pStyle w:val="Tablecontent"/>
              <w:cnfStyle w:val="000000100000" w:firstRow="0" w:lastRow="0" w:firstColumn="0" w:lastColumn="0" w:oddVBand="0" w:evenVBand="0" w:oddHBand="1" w:evenHBand="0" w:firstRowFirstColumn="0" w:firstRowLastColumn="0" w:lastRowFirstColumn="0" w:lastRowLastColumn="0"/>
            </w:pPr>
            <w:r w:rsidRPr="00F602E1">
              <w:t>An AV agent runs on the ESXi host as a VM (one per ESXi). It cannot be seen by the attacker from inside the Guest OS.</w:t>
            </w:r>
          </w:p>
        </w:tc>
      </w:tr>
      <w:tr w:rsidR="00763009" w:rsidRPr="00F602E1" w14:paraId="7780C64B" w14:textId="77777777" w:rsidTr="00290927">
        <w:tc>
          <w:tcPr>
            <w:cnfStyle w:val="001000000000" w:firstRow="0" w:lastRow="0" w:firstColumn="1" w:lastColumn="0" w:oddVBand="0" w:evenVBand="0" w:oddHBand="0" w:evenHBand="0" w:firstRowFirstColumn="0" w:firstRowLastColumn="0" w:lastRowFirstColumn="0" w:lastRowLastColumn="0"/>
            <w:tcW w:w="5098" w:type="dxa"/>
          </w:tcPr>
          <w:p w14:paraId="17EAB918" w14:textId="77777777" w:rsidR="00763009" w:rsidRPr="00F602E1" w:rsidRDefault="00763009" w:rsidP="000516C9">
            <w:pPr>
              <w:pStyle w:val="Tablecontent"/>
              <w:rPr>
                <w:b w:val="0"/>
                <w:bCs w:val="0"/>
              </w:rPr>
            </w:pPr>
            <w:r w:rsidRPr="00F602E1">
              <w:rPr>
                <w:b w:val="0"/>
                <w:bCs w:val="0"/>
              </w:rPr>
              <w:t>AV consumes OS resources. AV signature updates cause high storage throughput.</w:t>
            </w:r>
          </w:p>
        </w:tc>
        <w:tc>
          <w:tcPr>
            <w:tcW w:w="5098" w:type="dxa"/>
          </w:tcPr>
          <w:p w14:paraId="22CB9786" w14:textId="77777777" w:rsidR="00763009" w:rsidRPr="00F602E1" w:rsidRDefault="00763009" w:rsidP="000516C9">
            <w:pPr>
              <w:pStyle w:val="Tablecontent"/>
              <w:cnfStyle w:val="000000000000" w:firstRow="0" w:lastRow="0" w:firstColumn="0" w:lastColumn="0" w:oddVBand="0" w:evenVBand="0" w:oddHBand="0" w:evenHBand="0" w:firstRowFirstColumn="0" w:firstRowLastColumn="0" w:lastRowFirstColumn="0" w:lastRowLastColumn="0"/>
            </w:pPr>
            <w:r w:rsidRPr="00F602E1">
              <w:t>AV consumes minimal Guest OS resources as it is offloaded to the ESXi Agent VM. AV signature updates do not require high IOPS inside the Guest OS. The total IOPS is also lower at the ESXi host level as it is not done per VM.</w:t>
            </w:r>
          </w:p>
        </w:tc>
      </w:tr>
    </w:tbl>
    <w:p w14:paraId="09298D56" w14:textId="77777777" w:rsidR="002119A8" w:rsidRDefault="002119A8" w:rsidP="00E7573A">
      <w:pPr>
        <w:pStyle w:val="Heading5"/>
      </w:pPr>
      <w:r>
        <w:t>Management</w:t>
      </w:r>
    </w:p>
    <w:p w14:paraId="04F386C7" w14:textId="64401319" w:rsidR="005D7CA6" w:rsidRDefault="00835B08" w:rsidP="00FD30D8">
      <w:r w:rsidRPr="00835B08">
        <w:t>Lastly, let's take a look at the impact on management. As can be seen next, even the way we manage a server changes once it is converted into a VMs</w:t>
      </w:r>
    </w:p>
    <w:p w14:paraId="4E38B0A0" w14:textId="77777777" w:rsidR="00976460" w:rsidRDefault="00976460" w:rsidP="004F145E">
      <w:pPr>
        <w:pStyle w:val="BeforeTable"/>
      </w:pPr>
    </w:p>
    <w:tbl>
      <w:tblPr>
        <w:tblStyle w:val="PlainTable1"/>
        <w:tblW w:w="0" w:type="auto"/>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1620"/>
        <w:gridCol w:w="4359"/>
        <w:gridCol w:w="4359"/>
      </w:tblGrid>
      <w:tr w:rsidR="00A0159F" w:rsidRPr="008961B8" w14:paraId="30C5276B" w14:textId="77777777" w:rsidTr="00290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tcPr>
          <w:p w14:paraId="6FD6EB23" w14:textId="77777777" w:rsidR="00A0159F" w:rsidRPr="00A60985" w:rsidRDefault="00A0159F" w:rsidP="00757101">
            <w:pPr>
              <w:pStyle w:val="Tableheading"/>
              <w:rPr>
                <w:b/>
              </w:rPr>
            </w:pPr>
            <w:r w:rsidRPr="00A60985">
              <w:rPr>
                <w:b/>
              </w:rPr>
              <w:t>Property</w:t>
            </w:r>
          </w:p>
        </w:tc>
        <w:tc>
          <w:tcPr>
            <w:tcW w:w="4359" w:type="dxa"/>
          </w:tcPr>
          <w:p w14:paraId="230792C1" w14:textId="77777777" w:rsidR="00A0159F" w:rsidRPr="00A60985" w:rsidRDefault="00A0159F" w:rsidP="00757101">
            <w:pPr>
              <w:pStyle w:val="Tableheading"/>
              <w:cnfStyle w:val="100000000000" w:firstRow="1" w:lastRow="0" w:firstColumn="0" w:lastColumn="0" w:oddVBand="0" w:evenVBand="0" w:oddHBand="0" w:evenHBand="0" w:firstRowFirstColumn="0" w:firstRowLastColumn="0" w:lastRowFirstColumn="0" w:lastRowLastColumn="0"/>
              <w:rPr>
                <w:b/>
              </w:rPr>
            </w:pPr>
            <w:r w:rsidRPr="00A60985">
              <w:rPr>
                <w:b/>
              </w:rPr>
              <w:t>Physical Server</w:t>
            </w:r>
          </w:p>
        </w:tc>
        <w:tc>
          <w:tcPr>
            <w:tcW w:w="4359" w:type="dxa"/>
          </w:tcPr>
          <w:p w14:paraId="7495C576" w14:textId="3CBB25C5" w:rsidR="00A0159F" w:rsidRPr="00A60985" w:rsidRDefault="00605560" w:rsidP="00757101">
            <w:pPr>
              <w:pStyle w:val="Tableheading"/>
              <w:cnfStyle w:val="100000000000" w:firstRow="1" w:lastRow="0" w:firstColumn="0" w:lastColumn="0" w:oddVBand="0" w:evenVBand="0" w:oddHBand="0" w:evenHBand="0" w:firstRowFirstColumn="0" w:firstRowLastColumn="0" w:lastRowFirstColumn="0" w:lastRowLastColumn="0"/>
              <w:rPr>
                <w:b/>
              </w:rPr>
            </w:pPr>
            <w:r>
              <w:rPr>
                <w:b/>
              </w:rPr>
              <w:t>VM</w:t>
            </w:r>
          </w:p>
        </w:tc>
      </w:tr>
      <w:tr w:rsidR="00A0159F" w:rsidRPr="00976460" w14:paraId="432B05D9" w14:textId="77777777" w:rsidTr="00290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tcPr>
          <w:p w14:paraId="16860EE9" w14:textId="77777777" w:rsidR="00A0159F" w:rsidRPr="00976460" w:rsidRDefault="00A0159F" w:rsidP="00976460">
            <w:pPr>
              <w:pStyle w:val="Tablecontent"/>
            </w:pPr>
            <w:r w:rsidRPr="00976460">
              <w:t>Approach on Monitoring</w:t>
            </w:r>
          </w:p>
        </w:tc>
        <w:tc>
          <w:tcPr>
            <w:tcW w:w="4359" w:type="dxa"/>
          </w:tcPr>
          <w:p w14:paraId="2FF6CEB9" w14:textId="77777777" w:rsidR="00A0159F" w:rsidRPr="00976460" w:rsidRDefault="00A0159F" w:rsidP="00976460">
            <w:pPr>
              <w:pStyle w:val="Tablecontent"/>
              <w:cnfStyle w:val="000000100000" w:firstRow="0" w:lastRow="0" w:firstColumn="0" w:lastColumn="0" w:oddVBand="0" w:evenVBand="0" w:oddHBand="1" w:evenHBand="0" w:firstRowFirstColumn="0" w:firstRowLastColumn="0" w:lastRowFirstColumn="0" w:lastRowLastColumn="0"/>
            </w:pPr>
            <w:r w:rsidRPr="00976460">
              <w:t xml:space="preserve">An agent is commonly deployed. It is typical for a server to have multiple agents. </w:t>
            </w:r>
          </w:p>
          <w:p w14:paraId="2A654D06" w14:textId="5F0391B1" w:rsidR="00A0159F" w:rsidRPr="00976460" w:rsidRDefault="00A0159F" w:rsidP="00976460">
            <w:pPr>
              <w:pStyle w:val="Tablecontent"/>
              <w:cnfStyle w:val="000000100000" w:firstRow="0" w:lastRow="0" w:firstColumn="0" w:lastColumn="0" w:oddVBand="0" w:evenVBand="0" w:oddHBand="1" w:evenHBand="0" w:firstRowFirstColumn="0" w:firstRowLastColumn="0" w:lastRowFirstColumn="0" w:lastRowLastColumn="0"/>
            </w:pPr>
            <w:r w:rsidRPr="00976460">
              <w:t xml:space="preserve">In-Guest </w:t>
            </w:r>
            <w:r w:rsidR="008D3A3F">
              <w:t>metrics</w:t>
            </w:r>
            <w:r w:rsidRPr="00976460">
              <w:t xml:space="preserve"> are accurate as the OS can see the physical hardware. </w:t>
            </w:r>
          </w:p>
          <w:p w14:paraId="0B48B367" w14:textId="77777777" w:rsidR="00A0159F" w:rsidRPr="00976460" w:rsidRDefault="00A0159F" w:rsidP="00976460">
            <w:pPr>
              <w:pStyle w:val="Tablecontent"/>
              <w:cnfStyle w:val="000000100000" w:firstRow="0" w:lastRow="0" w:firstColumn="0" w:lastColumn="0" w:oddVBand="0" w:evenVBand="0" w:oddHBand="1" w:evenHBand="0" w:firstRowFirstColumn="0" w:firstRowLastColumn="0" w:lastRowFirstColumn="0" w:lastRowLastColumn="0"/>
            </w:pPr>
            <w:r w:rsidRPr="00976460">
              <w:t xml:space="preserve">A physical server has an average of 5 percent CPU utilization due to the multicore chip. As a result, there is no need to monitor it closely. </w:t>
            </w:r>
          </w:p>
        </w:tc>
        <w:tc>
          <w:tcPr>
            <w:tcW w:w="4359" w:type="dxa"/>
          </w:tcPr>
          <w:p w14:paraId="7F17302F" w14:textId="77777777" w:rsidR="00A0159F" w:rsidRPr="00976460" w:rsidRDefault="00A0159F" w:rsidP="00976460">
            <w:pPr>
              <w:pStyle w:val="Tablecontent"/>
              <w:cnfStyle w:val="000000100000" w:firstRow="0" w:lastRow="0" w:firstColumn="0" w:lastColumn="0" w:oddVBand="0" w:evenVBand="0" w:oddHBand="1" w:evenHBand="0" w:firstRowFirstColumn="0" w:firstRowLastColumn="0" w:lastRowFirstColumn="0" w:lastRowLastColumn="0"/>
            </w:pPr>
            <w:r w:rsidRPr="00976460">
              <w:t xml:space="preserve">An agent is typically not deployed. Certain areas such as application and Guest OS monitoring are still best served by an agent. </w:t>
            </w:r>
          </w:p>
          <w:p w14:paraId="37A07D00" w14:textId="3E73AD7B" w:rsidR="00A0159F" w:rsidRPr="00976460" w:rsidRDefault="00A0159F" w:rsidP="00976460">
            <w:pPr>
              <w:pStyle w:val="Tablecontent"/>
              <w:cnfStyle w:val="000000100000" w:firstRow="0" w:lastRow="0" w:firstColumn="0" w:lastColumn="0" w:oddVBand="0" w:evenVBand="0" w:oddHBand="1" w:evenHBand="0" w:firstRowFirstColumn="0" w:firstRowLastColumn="0" w:lastRowFirstColumn="0" w:lastRowLastColumn="0"/>
            </w:pPr>
            <w:r w:rsidRPr="00976460">
              <w:t xml:space="preserve">The key in-Guest </w:t>
            </w:r>
            <w:r w:rsidR="008D3A3F">
              <w:t>metrics</w:t>
            </w:r>
            <w:r w:rsidRPr="00976460">
              <w:t xml:space="preserve"> are not accurate as Guest OS does not see the physical hardware.</w:t>
            </w:r>
          </w:p>
          <w:p w14:paraId="22E841A4" w14:textId="77777777" w:rsidR="00A0159F" w:rsidRPr="00976460" w:rsidRDefault="00A0159F" w:rsidP="00976460">
            <w:pPr>
              <w:pStyle w:val="Tablecontent"/>
              <w:cnfStyle w:val="000000100000" w:firstRow="0" w:lastRow="0" w:firstColumn="0" w:lastColumn="0" w:oddVBand="0" w:evenVBand="0" w:oddHBand="1" w:evenHBand="0" w:firstRowFirstColumn="0" w:firstRowLastColumn="0" w:lastRowFirstColumn="0" w:lastRowLastColumn="0"/>
            </w:pPr>
            <w:r w:rsidRPr="00976460">
              <w:t xml:space="preserve">A VM has an average of 50 percent CPU utilization as it is right sized. This is 10 times higher when compared with a physical server. As a result, there is a need to monitor closely, especially when physical resources are oversubscribed. Capacity management becomes a discipline in itself. </w:t>
            </w:r>
          </w:p>
        </w:tc>
      </w:tr>
      <w:tr w:rsidR="00A0159F" w:rsidRPr="00976460" w14:paraId="4997AF6B" w14:textId="77777777" w:rsidTr="00290927">
        <w:tc>
          <w:tcPr>
            <w:cnfStyle w:val="001000000000" w:firstRow="0" w:lastRow="0" w:firstColumn="1" w:lastColumn="0" w:oddVBand="0" w:evenVBand="0" w:oddHBand="0" w:evenHBand="0" w:firstRowFirstColumn="0" w:firstRowLastColumn="0" w:lastRowFirstColumn="0" w:lastRowLastColumn="0"/>
            <w:tcW w:w="1620" w:type="dxa"/>
          </w:tcPr>
          <w:p w14:paraId="648C246E" w14:textId="77777777" w:rsidR="00A0159F" w:rsidRPr="00976460" w:rsidRDefault="00A0159F" w:rsidP="00976460">
            <w:pPr>
              <w:pStyle w:val="Tablecontent"/>
            </w:pPr>
            <w:r w:rsidRPr="00976460">
              <w:t>Approach on Availability</w:t>
            </w:r>
          </w:p>
        </w:tc>
        <w:tc>
          <w:tcPr>
            <w:tcW w:w="4359" w:type="dxa"/>
          </w:tcPr>
          <w:p w14:paraId="6F5E7E8D" w14:textId="77777777" w:rsidR="00A0159F" w:rsidRPr="00976460" w:rsidRDefault="00A0159F" w:rsidP="00976460">
            <w:pPr>
              <w:pStyle w:val="Tablecontent"/>
              <w:cnfStyle w:val="000000000000" w:firstRow="0" w:lastRow="0" w:firstColumn="0" w:lastColumn="0" w:oddVBand="0" w:evenVBand="0" w:oddHBand="0" w:evenHBand="0" w:firstRowFirstColumn="0" w:firstRowLastColumn="0" w:lastRowFirstColumn="0" w:lastRowLastColumn="0"/>
            </w:pPr>
            <w:r w:rsidRPr="00976460">
              <w:t>HA is provided by clusterware such as Microsoft Windows Server Failover Clusters (WSFC) and Veritas Cluster Server (VCS). Clusterware tends to be complex and expensive.</w:t>
            </w:r>
          </w:p>
          <w:p w14:paraId="1729EB53" w14:textId="77777777" w:rsidR="00A0159F" w:rsidRPr="00976460" w:rsidRDefault="00A0159F" w:rsidP="00976460">
            <w:pPr>
              <w:pStyle w:val="Tablecontent"/>
              <w:cnfStyle w:val="000000000000" w:firstRow="0" w:lastRow="0" w:firstColumn="0" w:lastColumn="0" w:oddVBand="0" w:evenVBand="0" w:oddHBand="0" w:evenHBand="0" w:firstRowFirstColumn="0" w:firstRowLastColumn="0" w:lastRowFirstColumn="0" w:lastRowLastColumn="0"/>
            </w:pPr>
            <w:r w:rsidRPr="00976460">
              <w:t xml:space="preserve">Cloning a physical server is a complex task and requires the boot drive to be on the SAN or LAN, which is not typical. </w:t>
            </w:r>
          </w:p>
          <w:p w14:paraId="3E358B9F" w14:textId="77777777" w:rsidR="00A0159F" w:rsidRPr="00976460" w:rsidRDefault="00A0159F" w:rsidP="00976460">
            <w:pPr>
              <w:pStyle w:val="Tablecontent"/>
              <w:cnfStyle w:val="000000000000" w:firstRow="0" w:lastRow="0" w:firstColumn="0" w:lastColumn="0" w:oddVBand="0" w:evenVBand="0" w:oddHBand="0" w:evenHBand="0" w:firstRowFirstColumn="0" w:firstRowLastColumn="0" w:lastRowFirstColumn="0" w:lastRowLastColumn="0"/>
            </w:pPr>
            <w:r w:rsidRPr="00976460">
              <w:lastRenderedPageBreak/>
              <w:t>Snapshot is rarely done, due to cost and complexity. We find only very large IT departments practice physical server snapshot.</w:t>
            </w:r>
          </w:p>
        </w:tc>
        <w:tc>
          <w:tcPr>
            <w:tcW w:w="4359" w:type="dxa"/>
          </w:tcPr>
          <w:p w14:paraId="273A1CA5" w14:textId="77777777" w:rsidR="00A0159F" w:rsidRPr="00976460" w:rsidRDefault="00A0159F" w:rsidP="00976460">
            <w:pPr>
              <w:pStyle w:val="Tablecontent"/>
              <w:cnfStyle w:val="000000000000" w:firstRow="0" w:lastRow="0" w:firstColumn="0" w:lastColumn="0" w:oddVBand="0" w:evenVBand="0" w:oddHBand="0" w:evenHBand="0" w:firstRowFirstColumn="0" w:firstRowLastColumn="0" w:lastRowFirstColumn="0" w:lastRowLastColumn="0"/>
            </w:pPr>
            <w:r w:rsidRPr="00976460">
              <w:lastRenderedPageBreak/>
              <w:t xml:space="preserve">HA is a built-in core component of vSphere. From what we see, most clustered physical servers end up as just a single VM as vSphere HA is good enough. </w:t>
            </w:r>
          </w:p>
          <w:p w14:paraId="7B699D29" w14:textId="77777777" w:rsidR="00A0159F" w:rsidRPr="00976460" w:rsidRDefault="00A0159F" w:rsidP="00976460">
            <w:pPr>
              <w:pStyle w:val="Tablecontent"/>
              <w:cnfStyle w:val="000000000000" w:firstRow="0" w:lastRow="0" w:firstColumn="0" w:lastColumn="0" w:oddVBand="0" w:evenVBand="0" w:oddHBand="0" w:evenHBand="0" w:firstRowFirstColumn="0" w:firstRowLastColumn="0" w:lastRowFirstColumn="0" w:lastRowLastColumn="0"/>
            </w:pPr>
            <w:r w:rsidRPr="00976460">
              <w:t xml:space="preserve">Cloning can be done easily. It can even be done live. The drawback is that the clone becomes a new area of management. </w:t>
            </w:r>
          </w:p>
          <w:p w14:paraId="1DBF2914" w14:textId="0645C871" w:rsidR="00A0159F" w:rsidRPr="00976460" w:rsidRDefault="00A0159F" w:rsidP="00976460">
            <w:pPr>
              <w:pStyle w:val="Tablecontent"/>
              <w:cnfStyle w:val="000000000000" w:firstRow="0" w:lastRow="0" w:firstColumn="0" w:lastColumn="0" w:oddVBand="0" w:evenVBand="0" w:oddHBand="0" w:evenHBand="0" w:firstRowFirstColumn="0" w:firstRowLastColumn="0" w:lastRowFirstColumn="0" w:lastRowLastColumn="0"/>
            </w:pPr>
            <w:r w:rsidRPr="00976460">
              <w:t xml:space="preserve">Snapshot can be done easily. In fact, this is done every time as part of backup process. </w:t>
            </w:r>
            <w:r w:rsidRPr="00976460">
              <w:lastRenderedPageBreak/>
              <w:t>Snapshot also becomes a new area of management</w:t>
            </w:r>
            <w:r w:rsidR="00745C33" w:rsidRPr="00976460">
              <w:t xml:space="preserve"> as they tend to be forgotten.</w:t>
            </w:r>
          </w:p>
        </w:tc>
      </w:tr>
      <w:tr w:rsidR="00A0159F" w:rsidRPr="00976460" w14:paraId="323E6A9C" w14:textId="77777777" w:rsidTr="0029092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20" w:type="dxa"/>
          </w:tcPr>
          <w:p w14:paraId="5B317CD4" w14:textId="77777777" w:rsidR="00A0159F" w:rsidRPr="00976460" w:rsidRDefault="00A0159F" w:rsidP="00976460">
            <w:pPr>
              <w:pStyle w:val="Tablecontent"/>
            </w:pPr>
            <w:r w:rsidRPr="00976460">
              <w:lastRenderedPageBreak/>
              <w:t>Company Asset</w:t>
            </w:r>
          </w:p>
        </w:tc>
        <w:tc>
          <w:tcPr>
            <w:tcW w:w="4359" w:type="dxa"/>
          </w:tcPr>
          <w:p w14:paraId="148EAC82" w14:textId="77777777" w:rsidR="00A0159F" w:rsidRPr="00976460" w:rsidRDefault="00A0159F" w:rsidP="00976460">
            <w:pPr>
              <w:pStyle w:val="Tablecontent"/>
              <w:cnfStyle w:val="000000100000" w:firstRow="0" w:lastRow="0" w:firstColumn="0" w:lastColumn="0" w:oddVBand="0" w:evenVBand="0" w:oddHBand="1" w:evenHBand="0" w:firstRowFirstColumn="0" w:firstRowLastColumn="0" w:lastRowFirstColumn="0" w:lastRowLastColumn="0"/>
            </w:pPr>
            <w:r w:rsidRPr="00976460">
              <w:t xml:space="preserve">The physical server is a company asset and it has book value in the accounting system. It needs proper asset management as components vary among servers. </w:t>
            </w:r>
          </w:p>
          <w:p w14:paraId="407CA263" w14:textId="77777777" w:rsidR="00A0159F" w:rsidRPr="00976460" w:rsidRDefault="00A0159F" w:rsidP="00976460">
            <w:pPr>
              <w:pStyle w:val="Tablecontent"/>
              <w:cnfStyle w:val="000000100000" w:firstRow="0" w:lastRow="0" w:firstColumn="0" w:lastColumn="0" w:oddVBand="0" w:evenVBand="0" w:oddHBand="1" w:evenHBand="0" w:firstRowFirstColumn="0" w:firstRowLastColumn="0" w:lastRowFirstColumn="0" w:lastRowLastColumn="0"/>
            </w:pPr>
            <w:r w:rsidRPr="00976460">
              <w:t xml:space="preserve">Here, the annual stock-take process is required. </w:t>
            </w:r>
          </w:p>
        </w:tc>
        <w:tc>
          <w:tcPr>
            <w:tcW w:w="4359" w:type="dxa"/>
          </w:tcPr>
          <w:p w14:paraId="086E7B6C" w14:textId="77777777" w:rsidR="00A0159F" w:rsidRPr="00976460" w:rsidRDefault="00A0159F" w:rsidP="00976460">
            <w:pPr>
              <w:pStyle w:val="Tablecontent"/>
              <w:cnfStyle w:val="000000100000" w:firstRow="0" w:lastRow="0" w:firstColumn="0" w:lastColumn="0" w:oddVBand="0" w:evenVBand="0" w:oddHBand="1" w:evenHBand="0" w:firstRowFirstColumn="0" w:firstRowLastColumn="0" w:lastRowFirstColumn="0" w:lastRowLastColumn="0"/>
            </w:pPr>
            <w:r w:rsidRPr="00976460">
              <w:t xml:space="preserve">VM is not an asset as it has no accounting value. A VM is like a document. It is technically a folder with files in it. </w:t>
            </w:r>
          </w:p>
          <w:p w14:paraId="11818E57" w14:textId="77777777" w:rsidR="00A0159F" w:rsidRPr="00976460" w:rsidRDefault="00A0159F" w:rsidP="00976460">
            <w:pPr>
              <w:pStyle w:val="Tablecontent"/>
              <w:cnfStyle w:val="000000100000" w:firstRow="0" w:lastRow="0" w:firstColumn="0" w:lastColumn="0" w:oddVBand="0" w:evenVBand="0" w:oddHBand="1" w:evenHBand="0" w:firstRowFirstColumn="0" w:firstRowLastColumn="0" w:lastRowFirstColumn="0" w:lastRowLastColumn="0"/>
            </w:pPr>
            <w:r w:rsidRPr="00976460">
              <w:t>Stock-take process is no longer required as the VM cannot exist outside vSphere.</w:t>
            </w:r>
          </w:p>
        </w:tc>
      </w:tr>
    </w:tbl>
    <w:p w14:paraId="14875957" w14:textId="7B194A7A" w:rsidR="00835B08" w:rsidRDefault="0021614F" w:rsidP="00540F68">
      <w:pPr>
        <w:pStyle w:val="Heading3"/>
      </w:pPr>
      <w:r>
        <w:t xml:space="preserve">SDDC </w:t>
      </w:r>
      <w:r w:rsidR="00165FD6">
        <w:t>vs HDDC</w:t>
      </w:r>
    </w:p>
    <w:p w14:paraId="4DB6A2C8" w14:textId="1378A3ED" w:rsidR="00851393" w:rsidRDefault="00851393" w:rsidP="00851393">
      <w:r>
        <w:t xml:space="preserve">We covered how a VM differs drastically to a physical server. Now let's take a look at the big picture, which is at the data center level. A data center consists of three major functions—compute, network, and storage. Security is not a function on its own, but a key property that each function has to deliver. We use the term compute to represent processing power namely CPU and Memory. In today’s data centers Compute is also used when referencing converged infrastructure, where the server and storage have physically converged into one box. The industry term for this is Hyper-Converged Infrastructure (HCI). You will see later in the book that this convergence impacts how you architect and operate SDDC. </w:t>
      </w:r>
    </w:p>
    <w:p w14:paraId="728FBCD4" w14:textId="77777777" w:rsidR="00851393" w:rsidRDefault="00851393" w:rsidP="00851393">
      <w:r>
        <w:t>VMware has moved to virtualize the network and storage functions as well, resulting in a data center that is fully virtualized and thus defined in the software. The software is the data center. This has resulted in the term SDDC. The book will make extensive comparison with the physical data center. For ease of reference, let’s call the physical data center Hardware-Defined Data Center (HDDC).</w:t>
      </w:r>
    </w:p>
    <w:p w14:paraId="0F4BF99E" w14:textId="5975C6F5" w:rsidR="00851393" w:rsidRDefault="00851393" w:rsidP="00851393">
      <w:r>
        <w:t xml:space="preserve">In SDDC, we no longer define the architecture in the physical layer. The physical layer is just there to provide resources. These resources are not aware of one another. The stickiness is reduced, and they become a commodity. In many cases, the hardware can even be replaced without incurring downtime to the VMs running on top. </w:t>
      </w:r>
    </w:p>
    <w:p w14:paraId="70B3EBC0" w14:textId="77777777" w:rsidR="00851393" w:rsidRDefault="00851393" w:rsidP="00851393">
      <w:r>
        <w:t>The next diagram shows one possibility of a data center that is defined in the software. We have drawn the diagram to state a point, so don't take this as the best practice for SDDC architecture. In the diagram, there are many virtual data centers (we draw three due to space in the book). Each virtual data center has its own set of virtual infrastructure (server, storage, network and security). They are independent of one another.</w:t>
      </w:r>
    </w:p>
    <w:p w14:paraId="144B1612" w14:textId="023A5CFC" w:rsidR="00165FD6" w:rsidRDefault="00851393" w:rsidP="00851393">
      <w:r>
        <w:t>A virtual data center is no longer contained in a single building bound by a physical boundary. Although</w:t>
      </w:r>
      <w:r w:rsidR="00B961A4">
        <w:t xml:space="preserve"> long distance WAN </w:t>
      </w:r>
      <w:r>
        <w:t>bandwidth and latency are still limiting factors in 20</w:t>
      </w:r>
      <w:r w:rsidR="00B961A4">
        <w:t>2</w:t>
      </w:r>
      <w:r>
        <w:t>1, the main thing here is you can architect your physical data centers as one or more logical data centers. You should be able to automatically, with just a few clicks in VMware Site Recovery Manager, move thousands of servers from data center A to data center B; alternatively, you can perform DR from four branch sites to a common HQ data center.</w:t>
      </w:r>
    </w:p>
    <w:p w14:paraId="140DE20D" w14:textId="59E1E862" w:rsidR="003460BB" w:rsidRDefault="6990C814" w:rsidP="00BA520F">
      <w:pPr>
        <w:jc w:val="center"/>
      </w:pPr>
      <w:r>
        <w:rPr>
          <w:noProof/>
        </w:rPr>
        <w:lastRenderedPageBreak/>
        <w:drawing>
          <wp:inline distT="0" distB="0" distL="0" distR="0" wp14:anchorId="3B3DF102" wp14:editId="44C52D28">
            <wp:extent cx="5029200" cy="3322320"/>
            <wp:effectExtent l="0" t="0" r="0" b="0"/>
            <wp:docPr id="606394199" name="Picture 60639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394199"/>
                    <pic:cNvPicPr/>
                  </pic:nvPicPr>
                  <pic:blipFill>
                    <a:blip r:embed="rId1386">
                      <a:extLst>
                        <a:ext uri="{28A0092B-C50C-407E-A947-70E740481C1C}">
                          <a14:useLocalDpi xmlns:a14="http://schemas.microsoft.com/office/drawing/2010/main" val="0"/>
                        </a:ext>
                      </a:extLst>
                    </a:blip>
                    <a:stretch>
                      <a:fillRect/>
                    </a:stretch>
                  </pic:blipFill>
                  <pic:spPr>
                    <a:xfrm>
                      <a:off x="0" y="0"/>
                      <a:ext cx="5029200" cy="3322320"/>
                    </a:xfrm>
                    <a:prstGeom prst="rect">
                      <a:avLst/>
                    </a:prstGeom>
                  </pic:spPr>
                </pic:pic>
              </a:graphicData>
            </a:graphic>
          </wp:inline>
        </w:drawing>
      </w:r>
    </w:p>
    <w:p w14:paraId="700155A4" w14:textId="77777777" w:rsidR="007F4DC1" w:rsidRDefault="007F4DC1" w:rsidP="007F4DC1">
      <w:r>
        <w:t xml:space="preserve">In our example, the virtual data centers run on top of two physical data centers. Large enterprises will probably have more than that (whether it is outsourced or not is a different matter). The two physical data centers are completely independent. Their hardware is not dependent on one another. </w:t>
      </w:r>
    </w:p>
    <w:p w14:paraId="7E3F70A8" w14:textId="5E369605" w:rsidR="007F4DC1" w:rsidRDefault="007F4DC1" w:rsidP="007F4DC1">
      <w:pPr>
        <w:pStyle w:val="Bullet"/>
      </w:pPr>
      <w:r>
        <w:t>In the Compute function, there is no stretched cluster between 2 physical sites. Each site has its own vCenter. There is no need to protect vCenter with DR.</w:t>
      </w:r>
    </w:p>
    <w:p w14:paraId="62D1D570" w14:textId="28264300" w:rsidR="007F4DC1" w:rsidRDefault="007F4DC1" w:rsidP="007F4DC1">
      <w:pPr>
        <w:pStyle w:val="Bullet"/>
      </w:pPr>
      <w:r>
        <w:t>In the Network function, there is no stretched VLAN between 2 physical sites. You do not have to worry about spanning tree or broadcast storm hitting multiple data centers. The physical sites can even be on a different network. Site 1 might be 10.10.x.x network, while Site 2 might be 20.20.x.x.</w:t>
      </w:r>
    </w:p>
    <w:p w14:paraId="26F625FF" w14:textId="16FA5786" w:rsidR="007F4DC1" w:rsidRDefault="007F4DC1" w:rsidP="007F4DC1">
      <w:pPr>
        <w:pStyle w:val="Bullet"/>
      </w:pPr>
      <w:r>
        <w:t>In the Storage function, there is no array-based replication. Replication can be done independently from a storage protocol (FC, iSCSI, or NFS) and VMDK type (thick or thin). vSphere has built-in host-based replication via TCP/IP, named simply vSphere Replication. It can replicate individual VMs, and provides finer granularity than LUN-based replication. You might decide to keep the same storage vendor and protocol, but that's your choice, not something forced upon you.</w:t>
      </w:r>
    </w:p>
    <w:p w14:paraId="78D74292" w14:textId="77777777" w:rsidR="007F4DC1" w:rsidRDefault="007F4DC1" w:rsidP="007F4DC1">
      <w:r>
        <w:t>We have drawn two vendors for each layer to show the message that hardware does not define the architecture. They are there to support the function of that layer (for example, Compute Function). So, you can have 10 vSphere clusters: 3 clusters could be Vendor A, and 7 clusters could be Vendor B.</w:t>
      </w:r>
    </w:p>
    <w:p w14:paraId="4A9CD26A" w14:textId="661FC53A" w:rsidR="003460BB" w:rsidRDefault="007F4DC1" w:rsidP="007F4DC1">
      <w:r>
        <w:t>We are taking the “</w:t>
      </w:r>
      <w:r w:rsidRPr="00846FFD">
        <w:rPr>
          <w:color w:val="00B0F0"/>
        </w:rPr>
        <w:t>shared-nothing architecture</w:t>
      </w:r>
      <w:r>
        <w:t xml:space="preserve">” approach. This is a good thing, because you contain the failure domain. </w:t>
      </w:r>
      <w:hyperlink r:id="rId1387" w:history="1">
        <w:r w:rsidRPr="004066F4">
          <w:rPr>
            <w:rStyle w:val="Hyperlink"/>
          </w:rPr>
          <w:t>Ivan Pepelnjak</w:t>
        </w:r>
      </w:hyperlink>
      <w:r>
        <w:t xml:space="preserve">, an authority on data center networking architecture, states </w:t>
      </w:r>
      <w:hyperlink r:id="rId1388" w:history="1">
        <w:r w:rsidR="004118A2" w:rsidRPr="004118A2">
          <w:rPr>
            <w:rStyle w:val="Hyperlink"/>
          </w:rPr>
          <w:t>here</w:t>
        </w:r>
      </w:hyperlink>
      <w:r w:rsidR="004118A2">
        <w:t xml:space="preserve"> </w:t>
      </w:r>
      <w:r>
        <w:t>that</w:t>
      </w:r>
      <w:r w:rsidR="005D6275">
        <w:t xml:space="preserve"> “Interconnected things tend to fail at the same time</w:t>
      </w:r>
      <w:r w:rsidR="008754B5">
        <w:t>.</w:t>
      </w:r>
      <w:r w:rsidR="005D6275">
        <w:t>”</w:t>
      </w:r>
    </w:p>
    <w:p w14:paraId="28B297A7" w14:textId="288A4566" w:rsidR="00C3670A" w:rsidRDefault="00153BE6" w:rsidP="007F4DC1">
      <w:r>
        <w:t xml:space="preserve">Let’s </w:t>
      </w:r>
      <w:r w:rsidRPr="00153BE6">
        <w:t xml:space="preserve">summarize the key differences between </w:t>
      </w:r>
      <w:r>
        <w:t>SDDC and HDDC</w:t>
      </w:r>
      <w:r w:rsidRPr="00153BE6">
        <w:t>. To highlight the differences, We’re assuming in this comparison the physical data center is 0</w:t>
      </w:r>
      <w:r>
        <w:t xml:space="preserve">% </w:t>
      </w:r>
      <w:r w:rsidRPr="00153BE6">
        <w:t>virtualized and the virtual data center is 100</w:t>
      </w:r>
      <w:r>
        <w:t xml:space="preserve">% </w:t>
      </w:r>
      <w:r w:rsidRPr="00153BE6">
        <w:t>virtualized. For the virtual data center, we’re assuming you have also adjusted your operation, because operating a virtual data center with a physical operation mindset results in a lot of frustration and suboptimal virtualization. This means your processes and organization chart have been adapted to a virtual data center.</w:t>
      </w:r>
    </w:p>
    <w:p w14:paraId="5B953158" w14:textId="38158D95" w:rsidR="002119A8" w:rsidRDefault="002119A8" w:rsidP="00AC6E1E">
      <w:pPr>
        <w:pStyle w:val="Heading4"/>
      </w:pPr>
      <w:r>
        <w:lastRenderedPageBreak/>
        <w:t xml:space="preserve">Disaster Recovery </w:t>
      </w:r>
    </w:p>
    <w:p w14:paraId="1E8C0164" w14:textId="5EADC1F6" w:rsidR="00DF6240" w:rsidRDefault="00945D47" w:rsidP="007F4DC1">
      <w:r w:rsidRPr="00945D47">
        <w:t xml:space="preserve">As data center wide Disaster Recovery (DR) is the litmus test that defines whether your data center is HDDC or SDDC, </w:t>
      </w:r>
      <w:r>
        <w:t>let’s start with this.</w:t>
      </w:r>
    </w:p>
    <w:p w14:paraId="4AF6EEA8" w14:textId="77777777" w:rsidR="00700361" w:rsidRDefault="00700361" w:rsidP="00700361">
      <w:pPr>
        <w:pStyle w:val="BeforeTable"/>
      </w:pPr>
    </w:p>
    <w:tbl>
      <w:tblPr>
        <w:tblStyle w:val="PlainTable1"/>
        <w:tblW w:w="10338"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5169"/>
        <w:gridCol w:w="5169"/>
      </w:tblGrid>
      <w:tr w:rsidR="00112512" w:rsidRPr="006C0C3D" w14:paraId="3508FEDD" w14:textId="77777777" w:rsidTr="00290927">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169" w:type="dxa"/>
            <w:hideMark/>
          </w:tcPr>
          <w:p w14:paraId="1E9EF978" w14:textId="77777777" w:rsidR="00112512" w:rsidRPr="006C0C3D" w:rsidRDefault="00112512" w:rsidP="00757101">
            <w:pPr>
              <w:pStyle w:val="Tableheading"/>
              <w:rPr>
                <w:b/>
                <w:szCs w:val="36"/>
              </w:rPr>
            </w:pPr>
            <w:r w:rsidRPr="006C0C3D">
              <w:rPr>
                <w:b/>
              </w:rPr>
              <w:t>HDDC</w:t>
            </w:r>
          </w:p>
        </w:tc>
        <w:tc>
          <w:tcPr>
            <w:tcW w:w="5169" w:type="dxa"/>
            <w:hideMark/>
          </w:tcPr>
          <w:p w14:paraId="53D532C1" w14:textId="77777777" w:rsidR="00112512" w:rsidRPr="006C0C3D" w:rsidRDefault="00112512" w:rsidP="00757101">
            <w:pPr>
              <w:pStyle w:val="Tableheading"/>
              <w:cnfStyle w:val="100000000000" w:firstRow="1" w:lastRow="0" w:firstColumn="0" w:lastColumn="0" w:oddVBand="0" w:evenVBand="0" w:oddHBand="0" w:evenHBand="0" w:firstRowFirstColumn="0" w:firstRowLastColumn="0" w:lastRowFirstColumn="0" w:lastRowLastColumn="0"/>
              <w:rPr>
                <w:b/>
                <w:szCs w:val="36"/>
              </w:rPr>
            </w:pPr>
            <w:r w:rsidRPr="006C0C3D">
              <w:rPr>
                <w:b/>
              </w:rPr>
              <w:t>SDDC</w:t>
            </w:r>
          </w:p>
        </w:tc>
      </w:tr>
      <w:tr w:rsidR="00112512" w:rsidRPr="006C0C3D" w14:paraId="213EE3B8" w14:textId="77777777" w:rsidTr="00290927">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5169" w:type="dxa"/>
          </w:tcPr>
          <w:p w14:paraId="35263B94" w14:textId="77777777" w:rsidR="00112512" w:rsidRPr="00F602E1" w:rsidRDefault="00112512" w:rsidP="005F44EE">
            <w:pPr>
              <w:pStyle w:val="Tablecontent"/>
              <w:rPr>
                <w:b w:val="0"/>
                <w:bCs w:val="0"/>
              </w:rPr>
            </w:pPr>
            <w:r w:rsidRPr="00F602E1">
              <w:rPr>
                <w:b w:val="0"/>
                <w:bCs w:val="0"/>
              </w:rPr>
              <w:t xml:space="preserve">Data center migration is a major and expensive project. </w:t>
            </w:r>
          </w:p>
        </w:tc>
        <w:tc>
          <w:tcPr>
            <w:tcW w:w="5169" w:type="dxa"/>
          </w:tcPr>
          <w:p w14:paraId="16C867B2" w14:textId="77777777" w:rsidR="00112512" w:rsidRPr="001B035E" w:rsidRDefault="00112512" w:rsidP="005F44EE">
            <w:pPr>
              <w:pStyle w:val="Tablecontent"/>
              <w:cnfStyle w:val="000000100000" w:firstRow="0" w:lastRow="0" w:firstColumn="0" w:lastColumn="0" w:oddVBand="0" w:evenVBand="0" w:oddHBand="1" w:evenHBand="0" w:firstRowFirstColumn="0" w:firstRowLastColumn="0" w:lastRowFirstColumn="0" w:lastRowLastColumn="0"/>
              <w:rPr>
                <w:rFonts w:cs="Book Antiqua"/>
                <w:sz w:val="24"/>
              </w:rPr>
            </w:pPr>
            <w:r w:rsidRPr="001B035E">
              <w:rPr>
                <w:rFonts w:cs="Book Antiqua"/>
              </w:rPr>
              <w:t xml:space="preserve">The entire </w:t>
            </w:r>
            <w:r>
              <w:t xml:space="preserve">Virtual </w:t>
            </w:r>
            <w:r w:rsidRPr="001B035E">
              <w:rPr>
                <w:rFonts w:cs="Book Antiqua"/>
              </w:rPr>
              <w:t xml:space="preserve">DC can be replicated and migrated. </w:t>
            </w:r>
            <w:r>
              <w:t xml:space="preserve">We </w:t>
            </w:r>
            <w:r w:rsidRPr="001B035E">
              <w:rPr>
                <w:rFonts w:cs="Book Antiqua"/>
              </w:rPr>
              <w:t>have a customer who perform</w:t>
            </w:r>
            <w:r>
              <w:t>ed</w:t>
            </w:r>
            <w:r w:rsidRPr="001B035E">
              <w:rPr>
                <w:rFonts w:cs="Book Antiqua"/>
              </w:rPr>
              <w:t xml:space="preserve"> long distance vMotion over 8 weekends, hence achieving data center migration with 0 downtime. </w:t>
            </w:r>
          </w:p>
        </w:tc>
      </w:tr>
      <w:tr w:rsidR="00112512" w:rsidRPr="006C0C3D" w14:paraId="638E15CF" w14:textId="77777777" w:rsidTr="00290927">
        <w:trPr>
          <w:trHeight w:val="160"/>
        </w:trPr>
        <w:tc>
          <w:tcPr>
            <w:cnfStyle w:val="001000000000" w:firstRow="0" w:lastRow="0" w:firstColumn="1" w:lastColumn="0" w:oddVBand="0" w:evenVBand="0" w:oddHBand="0" w:evenHBand="0" w:firstRowFirstColumn="0" w:firstRowLastColumn="0" w:lastRowFirstColumn="0" w:lastRowLastColumn="0"/>
            <w:tcW w:w="5169" w:type="dxa"/>
          </w:tcPr>
          <w:p w14:paraId="04B2CB56" w14:textId="77777777" w:rsidR="00112512" w:rsidRPr="00F602E1" w:rsidRDefault="00112512" w:rsidP="005F44EE">
            <w:pPr>
              <w:pStyle w:val="Tablecontent"/>
              <w:rPr>
                <w:b w:val="0"/>
                <w:bCs w:val="0"/>
              </w:rPr>
            </w:pPr>
            <w:r w:rsidRPr="00F602E1">
              <w:rPr>
                <w:b w:val="0"/>
                <w:bCs w:val="0"/>
              </w:rPr>
              <w:t xml:space="preserve">Architecturally, DR is done on a per-application basis. Every application has its own bespoke solution. </w:t>
            </w:r>
          </w:p>
        </w:tc>
        <w:tc>
          <w:tcPr>
            <w:tcW w:w="5169" w:type="dxa"/>
          </w:tcPr>
          <w:p w14:paraId="5A2F4C47" w14:textId="77777777" w:rsidR="00112512" w:rsidRPr="001B035E" w:rsidRDefault="00112512" w:rsidP="005F44EE">
            <w:pPr>
              <w:pStyle w:val="Tablecontent"/>
              <w:cnfStyle w:val="000000000000" w:firstRow="0" w:lastRow="0" w:firstColumn="0" w:lastColumn="0" w:oddVBand="0" w:evenVBand="0" w:oddHBand="0" w:evenHBand="0" w:firstRowFirstColumn="0" w:firstRowLastColumn="0" w:lastRowFirstColumn="0" w:lastRowLastColumn="0"/>
            </w:pPr>
            <w:r w:rsidRPr="001B035E">
              <w:t xml:space="preserve">DR is provided as a </w:t>
            </w:r>
            <w:r w:rsidRPr="001B035E">
              <w:rPr>
                <w:i/>
              </w:rPr>
              <w:t xml:space="preserve">service </w:t>
            </w:r>
            <w:r w:rsidRPr="001B035E">
              <w:t xml:space="preserve">by the platform. It is one solution for all applications. This enables data center-wide DR. </w:t>
            </w:r>
          </w:p>
        </w:tc>
      </w:tr>
      <w:tr w:rsidR="00112512" w:rsidRPr="006C0C3D" w14:paraId="5C4C516C" w14:textId="77777777" w:rsidTr="00290927">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5169" w:type="dxa"/>
          </w:tcPr>
          <w:p w14:paraId="5CE7941E" w14:textId="77777777" w:rsidR="00112512" w:rsidRPr="00F602E1" w:rsidRDefault="00112512" w:rsidP="005F44EE">
            <w:pPr>
              <w:pStyle w:val="Tablecontent"/>
              <w:rPr>
                <w:b w:val="0"/>
                <w:bCs w:val="0"/>
              </w:rPr>
            </w:pPr>
            <w:r w:rsidRPr="00F602E1">
              <w:rPr>
                <w:b w:val="0"/>
                <w:bCs w:val="0"/>
              </w:rPr>
              <w:t xml:space="preserve">The standby server on the DR site is required. This increases the cost. Because the server has to be compatible with the associated production server, this increases complexity in a large environment. </w:t>
            </w:r>
          </w:p>
        </w:tc>
        <w:tc>
          <w:tcPr>
            <w:tcW w:w="5169" w:type="dxa"/>
          </w:tcPr>
          <w:p w14:paraId="3B2A2EA5" w14:textId="77777777" w:rsidR="00112512" w:rsidRPr="001B035E" w:rsidRDefault="00112512" w:rsidP="005F44EE">
            <w:pPr>
              <w:pStyle w:val="Tablecontent"/>
              <w:cnfStyle w:val="000000100000" w:firstRow="0" w:lastRow="0" w:firstColumn="0" w:lastColumn="0" w:oddVBand="0" w:evenVBand="0" w:oddHBand="1" w:evenHBand="0" w:firstRowFirstColumn="0" w:firstRowLastColumn="0" w:lastRowFirstColumn="0" w:lastRowLastColumn="0"/>
            </w:pPr>
            <w:r w:rsidRPr="001B035E">
              <w:t xml:space="preserve">No need for a standby server. The </w:t>
            </w:r>
            <w:r>
              <w:t xml:space="preserve">vSphere </w:t>
            </w:r>
            <w:r w:rsidRPr="001B035E">
              <w:t>cluster on the DR site typically runs the non-production workload, which can be suspended (hibernate</w:t>
            </w:r>
            <w:r>
              <w:t xml:space="preserve"> mode</w:t>
            </w:r>
            <w:r w:rsidRPr="001B035E">
              <w:t xml:space="preserve">) during DR. The DR site can be of a different server brand and CPU. </w:t>
            </w:r>
          </w:p>
        </w:tc>
      </w:tr>
      <w:tr w:rsidR="00112512" w:rsidRPr="006C0C3D" w14:paraId="3D8EE144" w14:textId="77777777" w:rsidTr="00290927">
        <w:trPr>
          <w:trHeight w:val="160"/>
        </w:trPr>
        <w:tc>
          <w:tcPr>
            <w:cnfStyle w:val="001000000000" w:firstRow="0" w:lastRow="0" w:firstColumn="1" w:lastColumn="0" w:oddVBand="0" w:evenVBand="0" w:oddHBand="0" w:evenHBand="0" w:firstRowFirstColumn="0" w:firstRowLastColumn="0" w:lastRowFirstColumn="0" w:lastRowLastColumn="0"/>
            <w:tcW w:w="5169" w:type="dxa"/>
          </w:tcPr>
          <w:p w14:paraId="76DC8222" w14:textId="77777777" w:rsidR="00112512" w:rsidRPr="00F602E1" w:rsidRDefault="00112512" w:rsidP="005F44EE">
            <w:pPr>
              <w:pStyle w:val="Tablecontent"/>
              <w:rPr>
                <w:b w:val="0"/>
                <w:bCs w:val="0"/>
              </w:rPr>
            </w:pPr>
            <w:r w:rsidRPr="00F602E1">
              <w:rPr>
                <w:b w:val="0"/>
                <w:bCs w:val="0"/>
              </w:rPr>
              <w:t xml:space="preserve">DR is a manual process, relying on a run book written manually. It also requires all hands on deck. An unavailability of key IT resources when disaster strikes can impact the organization's ability to recover. </w:t>
            </w:r>
          </w:p>
        </w:tc>
        <w:tc>
          <w:tcPr>
            <w:tcW w:w="5169" w:type="dxa"/>
          </w:tcPr>
          <w:p w14:paraId="047953C2" w14:textId="77777777" w:rsidR="00112512" w:rsidRPr="001B035E" w:rsidRDefault="00112512" w:rsidP="005F44EE">
            <w:pPr>
              <w:pStyle w:val="Tablecontent"/>
              <w:cnfStyle w:val="000000000000" w:firstRow="0" w:lastRow="0" w:firstColumn="0" w:lastColumn="0" w:oddVBand="0" w:evenVBand="0" w:oddHBand="0" w:evenHBand="0" w:firstRowFirstColumn="0" w:firstRowLastColumn="0" w:lastRowFirstColumn="0" w:lastRowLastColumn="0"/>
            </w:pPr>
            <w:r w:rsidRPr="001B035E">
              <w:t xml:space="preserve">The entire DR steps </w:t>
            </w:r>
            <w:r>
              <w:t>can be</w:t>
            </w:r>
            <w:r w:rsidRPr="001B035E">
              <w:t xml:space="preserve"> automated. Once management decides to trigger DR, all that needs to be done is to execute the right recovery process in VMware Site Recovery Manager</w:t>
            </w:r>
            <w:r>
              <w:t xml:space="preserve"> (SRM)</w:t>
            </w:r>
            <w:r w:rsidRPr="001B035E">
              <w:t xml:space="preserve">. No manual intervention. </w:t>
            </w:r>
          </w:p>
        </w:tc>
      </w:tr>
      <w:tr w:rsidR="00112512" w:rsidRPr="006C0C3D" w14:paraId="6DB19CBB" w14:textId="77777777" w:rsidTr="00290927">
        <w:trPr>
          <w:cnfStyle w:val="000000100000" w:firstRow="0" w:lastRow="0" w:firstColumn="0" w:lastColumn="0" w:oddVBand="0" w:evenVBand="0" w:oddHBand="1" w:evenHBand="0" w:firstRowFirstColumn="0" w:firstRowLastColumn="0" w:lastRowFirstColumn="0" w:lastRowLastColumn="0"/>
          <w:trHeight w:val="160"/>
        </w:trPr>
        <w:tc>
          <w:tcPr>
            <w:cnfStyle w:val="001000000000" w:firstRow="0" w:lastRow="0" w:firstColumn="1" w:lastColumn="0" w:oddVBand="0" w:evenVBand="0" w:oddHBand="0" w:evenHBand="0" w:firstRowFirstColumn="0" w:firstRowLastColumn="0" w:lastRowFirstColumn="0" w:lastRowLastColumn="0"/>
            <w:tcW w:w="5169" w:type="dxa"/>
          </w:tcPr>
          <w:p w14:paraId="2D64B27D" w14:textId="77777777" w:rsidR="00112512" w:rsidRPr="00F602E1" w:rsidRDefault="00112512" w:rsidP="005F44EE">
            <w:pPr>
              <w:pStyle w:val="Tablecontent"/>
              <w:rPr>
                <w:b w:val="0"/>
                <w:bCs w:val="0"/>
              </w:rPr>
            </w:pPr>
            <w:r w:rsidRPr="00F602E1">
              <w:rPr>
                <w:b w:val="0"/>
                <w:bCs w:val="0"/>
              </w:rPr>
              <w:t xml:space="preserve">A complete DR dry run is rarely done, as it is time consuming and requires production to be down. </w:t>
            </w:r>
          </w:p>
        </w:tc>
        <w:tc>
          <w:tcPr>
            <w:tcW w:w="5169" w:type="dxa"/>
          </w:tcPr>
          <w:p w14:paraId="0B203583" w14:textId="63C36385" w:rsidR="00112512" w:rsidRPr="001B035E" w:rsidRDefault="00112512" w:rsidP="005F44EE">
            <w:pPr>
              <w:pStyle w:val="Tablecontent"/>
              <w:cnfStyle w:val="000000100000" w:firstRow="0" w:lastRow="0" w:firstColumn="0" w:lastColumn="0" w:oddVBand="0" w:evenVBand="0" w:oddHBand="1" w:evenHBand="0" w:firstRowFirstColumn="0" w:firstRowLastColumn="0" w:lastRowFirstColumn="0" w:lastRowLastColumn="0"/>
            </w:pPr>
            <w:r w:rsidRPr="001B035E">
              <w:t>A DR dry run can be done frequently, as it does not impact the production system.</w:t>
            </w:r>
            <w:r w:rsidR="00701ED4">
              <w:t xml:space="preserve"> </w:t>
            </w:r>
            <w:r>
              <w:rPr>
                <w:rFonts w:cs="Book Antiqua"/>
                <w:szCs w:val="19"/>
              </w:rPr>
              <w:t xml:space="preserve">This is made by possible by having a virtual network that isolate the VMs participating in DR dry run. As a result, the dry run </w:t>
            </w:r>
            <w:r w:rsidRPr="001B035E">
              <w:t>can even be done on the day before the actual planned DR.</w:t>
            </w:r>
          </w:p>
        </w:tc>
      </w:tr>
      <w:tr w:rsidR="00112512" w:rsidRPr="006C0C3D" w14:paraId="597033D9" w14:textId="77777777" w:rsidTr="00290927">
        <w:trPr>
          <w:trHeight w:val="160"/>
        </w:trPr>
        <w:tc>
          <w:tcPr>
            <w:cnfStyle w:val="001000000000" w:firstRow="0" w:lastRow="0" w:firstColumn="1" w:lastColumn="0" w:oddVBand="0" w:evenVBand="0" w:oddHBand="0" w:evenHBand="0" w:firstRowFirstColumn="0" w:firstRowLastColumn="0" w:lastRowFirstColumn="0" w:lastRowLastColumn="0"/>
            <w:tcW w:w="5169" w:type="dxa"/>
          </w:tcPr>
          <w:p w14:paraId="51D6B056" w14:textId="77777777" w:rsidR="00112512" w:rsidRPr="00F602E1" w:rsidRDefault="00112512" w:rsidP="005F44EE">
            <w:pPr>
              <w:pStyle w:val="Tablecontent"/>
              <w:rPr>
                <w:b w:val="0"/>
                <w:bCs w:val="0"/>
              </w:rPr>
            </w:pPr>
            <w:r w:rsidRPr="00F602E1">
              <w:rPr>
                <w:b w:val="0"/>
                <w:bCs w:val="0"/>
              </w:rPr>
              <w:t xml:space="preserve">The report produced after a DR exercise is manually typed. It is not possible to prove that what is documented in the Microsoft Word or Excel document is what actually happened in the data center. </w:t>
            </w:r>
          </w:p>
        </w:tc>
        <w:tc>
          <w:tcPr>
            <w:tcW w:w="5169" w:type="dxa"/>
          </w:tcPr>
          <w:p w14:paraId="3437BD91" w14:textId="77777777" w:rsidR="00112512" w:rsidRPr="001B035E" w:rsidRDefault="00112512" w:rsidP="005F44EE">
            <w:pPr>
              <w:pStyle w:val="Tablecontent"/>
              <w:cnfStyle w:val="000000000000" w:firstRow="0" w:lastRow="0" w:firstColumn="0" w:lastColumn="0" w:oddVBand="0" w:evenVBand="0" w:oddHBand="0" w:evenHBand="0" w:firstRowFirstColumn="0" w:firstRowLastColumn="0" w:lastRowFirstColumn="0" w:lastRowLastColumn="0"/>
            </w:pPr>
            <w:r w:rsidRPr="001B035E">
              <w:t xml:space="preserve">The report is automatically generated, with no human intervention. It timestamps every step, and provides a status whether it was successful or not. The report can be used as audit proof </w:t>
            </w:r>
          </w:p>
        </w:tc>
      </w:tr>
    </w:tbl>
    <w:p w14:paraId="41545A27" w14:textId="02957B91" w:rsidR="00945D47" w:rsidRDefault="00A16F1A" w:rsidP="00AC6E1E">
      <w:pPr>
        <w:pStyle w:val="Heading4"/>
      </w:pPr>
      <w:r>
        <w:t>Compute</w:t>
      </w:r>
      <w:r w:rsidR="0001564F">
        <w:t xml:space="preserve"> Function</w:t>
      </w:r>
    </w:p>
    <w:tbl>
      <w:tblPr>
        <w:tblStyle w:val="PlainTable1"/>
        <w:tblW w:w="10338"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5169"/>
        <w:gridCol w:w="5169"/>
      </w:tblGrid>
      <w:tr w:rsidR="00A50758" w:rsidRPr="00F602E1" w14:paraId="0088C943" w14:textId="77777777" w:rsidTr="00290927">
        <w:trPr>
          <w:cnfStyle w:val="100000000000" w:firstRow="1" w:lastRow="0" w:firstColumn="0" w:lastColumn="0" w:oddVBand="0" w:evenVBand="0" w:oddHBand="0"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5169" w:type="dxa"/>
          </w:tcPr>
          <w:p w14:paraId="09321DAA" w14:textId="77777777" w:rsidR="00A50758" w:rsidRPr="00757101" w:rsidRDefault="00A50758" w:rsidP="00757101">
            <w:pPr>
              <w:pStyle w:val="Tableheading"/>
              <w:rPr>
                <w:b/>
                <w:bCs w:val="0"/>
                <w:szCs w:val="36"/>
              </w:rPr>
            </w:pPr>
            <w:r w:rsidRPr="00757101">
              <w:rPr>
                <w:b/>
                <w:bCs w:val="0"/>
              </w:rPr>
              <w:t>HDDC</w:t>
            </w:r>
          </w:p>
        </w:tc>
        <w:tc>
          <w:tcPr>
            <w:tcW w:w="5169" w:type="dxa"/>
          </w:tcPr>
          <w:p w14:paraId="62A8CB36" w14:textId="77777777" w:rsidR="00A50758" w:rsidRPr="00757101" w:rsidRDefault="00A50758" w:rsidP="00757101">
            <w:pPr>
              <w:pStyle w:val="Tableheading"/>
              <w:cnfStyle w:val="100000000000" w:firstRow="1" w:lastRow="0" w:firstColumn="0" w:lastColumn="0" w:oddVBand="0" w:evenVBand="0" w:oddHBand="0" w:evenHBand="0" w:firstRowFirstColumn="0" w:firstRowLastColumn="0" w:lastRowFirstColumn="0" w:lastRowLastColumn="0"/>
              <w:rPr>
                <w:b/>
                <w:bCs w:val="0"/>
                <w:szCs w:val="36"/>
              </w:rPr>
            </w:pPr>
            <w:r w:rsidRPr="00757101">
              <w:rPr>
                <w:b/>
                <w:bCs w:val="0"/>
              </w:rPr>
              <w:t>SDDC</w:t>
            </w:r>
          </w:p>
        </w:tc>
      </w:tr>
      <w:tr w:rsidR="00A50758" w:rsidRPr="00F602E1" w14:paraId="52CED480" w14:textId="77777777" w:rsidTr="00290927">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5169" w:type="dxa"/>
          </w:tcPr>
          <w:p w14:paraId="1A9DBF5F" w14:textId="77777777" w:rsidR="00A50758" w:rsidRPr="00F602E1" w:rsidRDefault="00A50758" w:rsidP="00D32F19">
            <w:pPr>
              <w:pStyle w:val="Tablecontent"/>
              <w:rPr>
                <w:b w:val="0"/>
                <w:bCs w:val="0"/>
              </w:rPr>
            </w:pPr>
            <w:r w:rsidRPr="00F602E1">
              <w:rPr>
                <w:b w:val="0"/>
                <w:bCs w:val="0"/>
              </w:rPr>
              <w:t xml:space="preserve">1,000 physical servers (just an example, so we can provide a comparison). </w:t>
            </w:r>
          </w:p>
        </w:tc>
        <w:tc>
          <w:tcPr>
            <w:tcW w:w="5169" w:type="dxa"/>
          </w:tcPr>
          <w:p w14:paraId="30C3638D" w14:textId="77777777" w:rsidR="00A50758" w:rsidRPr="00F602E1" w:rsidRDefault="00A50758" w:rsidP="00D32F19">
            <w:pPr>
              <w:pStyle w:val="Tablecontent"/>
              <w:cnfStyle w:val="000000100000" w:firstRow="0" w:lastRow="0" w:firstColumn="0" w:lastColumn="0" w:oddVBand="0" w:evenVBand="0" w:oddHBand="1" w:evenHBand="0" w:firstRowFirstColumn="0" w:firstRowLastColumn="0" w:lastRowFirstColumn="0" w:lastRowLastColumn="0"/>
            </w:pPr>
            <w:r w:rsidRPr="00F602E1">
              <w:t xml:space="preserve">The number of VM will be more than 1,000. It may even reach 2,000 VMs . The number of VMs is higher for multiple reasons: VM sprawl; the physical server tends to run multiple applications or instances </w:t>
            </w:r>
            <w:r w:rsidRPr="00F602E1">
              <w:lastRenderedPageBreak/>
              <w:t xml:space="preserve">whereas VM runs only one; DR is much easier and hence, more VMs are protected. </w:t>
            </w:r>
          </w:p>
        </w:tc>
      </w:tr>
      <w:tr w:rsidR="00A50758" w:rsidRPr="00F602E1" w14:paraId="0F696DFD" w14:textId="77777777" w:rsidTr="00290927">
        <w:trPr>
          <w:trHeight w:val="106"/>
        </w:trPr>
        <w:tc>
          <w:tcPr>
            <w:cnfStyle w:val="001000000000" w:firstRow="0" w:lastRow="0" w:firstColumn="1" w:lastColumn="0" w:oddVBand="0" w:evenVBand="0" w:oddHBand="0" w:evenHBand="0" w:firstRowFirstColumn="0" w:firstRowLastColumn="0" w:lastRowFirstColumn="0" w:lastRowLastColumn="0"/>
            <w:tcW w:w="5169" w:type="dxa"/>
          </w:tcPr>
          <w:p w14:paraId="63BB2480" w14:textId="77777777" w:rsidR="00A50758" w:rsidRPr="00F602E1" w:rsidRDefault="00A50758" w:rsidP="00D32F19">
            <w:pPr>
              <w:pStyle w:val="Tablecontent"/>
              <w:rPr>
                <w:b w:val="0"/>
                <w:bCs w:val="0"/>
              </w:rPr>
            </w:pPr>
            <w:r w:rsidRPr="00F602E1">
              <w:rPr>
                <w:b w:val="0"/>
                <w:bCs w:val="0"/>
              </w:rPr>
              <w:lastRenderedPageBreak/>
              <w:t xml:space="preserve">Growth is relatively static and predictable, and normally it is just one way (adding more servers). </w:t>
            </w:r>
          </w:p>
        </w:tc>
        <w:tc>
          <w:tcPr>
            <w:tcW w:w="5169" w:type="dxa"/>
          </w:tcPr>
          <w:p w14:paraId="1D743D89" w14:textId="77777777" w:rsidR="00A50758" w:rsidRPr="00F602E1" w:rsidRDefault="00A50758" w:rsidP="00D32F19">
            <w:pPr>
              <w:pStyle w:val="Tablecontent"/>
              <w:cnfStyle w:val="000000000000" w:firstRow="0" w:lastRow="0" w:firstColumn="0" w:lastColumn="0" w:oddVBand="0" w:evenVBand="0" w:oddHBand="0" w:evenHBand="0" w:firstRowFirstColumn="0" w:firstRowLastColumn="0" w:lastRowFirstColumn="0" w:lastRowLastColumn="0"/>
            </w:pPr>
            <w:r w:rsidRPr="00F602E1">
              <w:t xml:space="preserve">The number of VMs can go up and down due to dynamic provisioning. </w:t>
            </w:r>
          </w:p>
        </w:tc>
      </w:tr>
      <w:tr w:rsidR="00A50758" w:rsidRPr="00F602E1" w14:paraId="3A3B2331" w14:textId="77777777" w:rsidTr="00290927">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5169" w:type="dxa"/>
          </w:tcPr>
          <w:p w14:paraId="5AAD45BF" w14:textId="77777777" w:rsidR="00A50758" w:rsidRPr="00F602E1" w:rsidRDefault="00A50758" w:rsidP="00D32F19">
            <w:pPr>
              <w:pStyle w:val="Tablecontent"/>
              <w:rPr>
                <w:b w:val="0"/>
                <w:bCs w:val="0"/>
              </w:rPr>
            </w:pPr>
            <w:r w:rsidRPr="00F602E1">
              <w:rPr>
                <w:b w:val="0"/>
                <w:bCs w:val="0"/>
              </w:rPr>
              <w:t xml:space="preserve">Downtime for hardware maintenance or a technology refresh is a common job in a large environment due to component failure. </w:t>
            </w:r>
          </w:p>
        </w:tc>
        <w:tc>
          <w:tcPr>
            <w:tcW w:w="5169" w:type="dxa"/>
          </w:tcPr>
          <w:p w14:paraId="44598B20" w14:textId="77777777" w:rsidR="00A50758" w:rsidRPr="00F602E1" w:rsidRDefault="00A50758" w:rsidP="00D32F19">
            <w:pPr>
              <w:pStyle w:val="Tablecontent"/>
              <w:cnfStyle w:val="000000100000" w:firstRow="0" w:lastRow="0" w:firstColumn="0" w:lastColumn="0" w:oddVBand="0" w:evenVBand="0" w:oddHBand="1" w:evenHBand="0" w:firstRowFirstColumn="0" w:firstRowLastColumn="0" w:lastRowFirstColumn="0" w:lastRowLastColumn="0"/>
            </w:pPr>
            <w:r w:rsidRPr="00F602E1">
              <w:t>Planned downtime is eliminated with vMotion and storage vMotion.</w:t>
            </w:r>
          </w:p>
        </w:tc>
      </w:tr>
      <w:tr w:rsidR="00A50758" w:rsidRPr="00F602E1" w14:paraId="17D5967B" w14:textId="77777777" w:rsidTr="00290927">
        <w:trPr>
          <w:trHeight w:val="106"/>
        </w:trPr>
        <w:tc>
          <w:tcPr>
            <w:cnfStyle w:val="001000000000" w:firstRow="0" w:lastRow="0" w:firstColumn="1" w:lastColumn="0" w:oddVBand="0" w:evenVBand="0" w:oddHBand="0" w:evenHBand="0" w:firstRowFirstColumn="0" w:firstRowLastColumn="0" w:lastRowFirstColumn="0" w:lastRowLastColumn="0"/>
            <w:tcW w:w="5169" w:type="dxa"/>
          </w:tcPr>
          <w:p w14:paraId="09C1DD1B" w14:textId="30EC08D9" w:rsidR="00A50758" w:rsidRPr="00F602E1" w:rsidRDefault="00A50758" w:rsidP="00D32F19">
            <w:pPr>
              <w:pStyle w:val="Tablecontent"/>
              <w:rPr>
                <w:b w:val="0"/>
                <w:bCs w:val="0"/>
              </w:rPr>
            </w:pPr>
            <w:r w:rsidRPr="00F602E1">
              <w:rPr>
                <w:b w:val="0"/>
                <w:bCs w:val="0"/>
              </w:rPr>
              <w:t>5</w:t>
            </w:r>
            <w:r w:rsidR="008937C1" w:rsidRPr="00F602E1">
              <w:rPr>
                <w:b w:val="0"/>
                <w:bCs w:val="0"/>
              </w:rPr>
              <w:t>%</w:t>
            </w:r>
            <w:r w:rsidRPr="00F602E1">
              <w:rPr>
                <w:b w:val="0"/>
                <w:bCs w:val="0"/>
              </w:rPr>
              <w:t xml:space="preserve"> to 10</w:t>
            </w:r>
            <w:r w:rsidR="008937C1" w:rsidRPr="00F602E1">
              <w:rPr>
                <w:b w:val="0"/>
                <w:bCs w:val="0"/>
              </w:rPr>
              <w:t xml:space="preserve">% </w:t>
            </w:r>
            <w:r w:rsidRPr="00F602E1">
              <w:rPr>
                <w:b w:val="0"/>
                <w:bCs w:val="0"/>
              </w:rPr>
              <w:t xml:space="preserve">average CPU utilization, especially in the CPU with a high core count. </w:t>
            </w:r>
          </w:p>
        </w:tc>
        <w:tc>
          <w:tcPr>
            <w:tcW w:w="5169" w:type="dxa"/>
          </w:tcPr>
          <w:p w14:paraId="6D4C012A" w14:textId="6F91B713" w:rsidR="00A50758" w:rsidRPr="00F602E1" w:rsidRDefault="008937C1" w:rsidP="00D32F19">
            <w:pPr>
              <w:pStyle w:val="Tablecontent"/>
              <w:cnfStyle w:val="000000000000" w:firstRow="0" w:lastRow="0" w:firstColumn="0" w:lastColumn="0" w:oddVBand="0" w:evenVBand="0" w:oddHBand="0" w:evenHBand="0" w:firstRowFirstColumn="0" w:firstRowLastColumn="0" w:lastRowFirstColumn="0" w:lastRowLastColumn="0"/>
            </w:pPr>
            <w:r w:rsidRPr="00F602E1">
              <w:t>~</w:t>
            </w:r>
            <w:r w:rsidR="00A50758" w:rsidRPr="00F602E1">
              <w:t>50</w:t>
            </w:r>
            <w:r w:rsidRPr="00F602E1">
              <w:t xml:space="preserve">% </w:t>
            </w:r>
            <w:r w:rsidR="00A50758" w:rsidRPr="00F602E1">
              <w:t xml:space="preserve">utilization for both VM and ESXi. </w:t>
            </w:r>
          </w:p>
        </w:tc>
      </w:tr>
      <w:tr w:rsidR="00A50758" w:rsidRPr="00F602E1" w14:paraId="70F2EF47" w14:textId="77777777" w:rsidTr="00290927">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5169" w:type="dxa"/>
          </w:tcPr>
          <w:p w14:paraId="77FAA7A6" w14:textId="77777777" w:rsidR="00A50758" w:rsidRPr="00F602E1" w:rsidRDefault="00A50758" w:rsidP="00D32F19">
            <w:pPr>
              <w:pStyle w:val="Tablecontent"/>
              <w:rPr>
                <w:b w:val="0"/>
                <w:bCs w:val="0"/>
              </w:rPr>
            </w:pPr>
            <w:r w:rsidRPr="00F602E1">
              <w:rPr>
                <w:b w:val="0"/>
                <w:bCs w:val="0"/>
              </w:rPr>
              <w:t xml:space="preserve">Racks of physical boxes, often with a top-of-rack access switch and UPS. The data center is a large consumer of power. </w:t>
            </w:r>
          </w:p>
        </w:tc>
        <w:tc>
          <w:tcPr>
            <w:tcW w:w="5169" w:type="dxa"/>
          </w:tcPr>
          <w:p w14:paraId="65FE89A2" w14:textId="77777777" w:rsidR="00A50758" w:rsidRPr="00F602E1" w:rsidRDefault="00A50758" w:rsidP="00D32F19">
            <w:pPr>
              <w:pStyle w:val="Tablecontent"/>
              <w:cnfStyle w:val="000000100000" w:firstRow="0" w:lastRow="0" w:firstColumn="0" w:lastColumn="0" w:oddVBand="0" w:evenVBand="0" w:oddHBand="1" w:evenHBand="0" w:firstRowFirstColumn="0" w:firstRowLastColumn="0" w:lastRowFirstColumn="0" w:lastRowLastColumn="0"/>
            </w:pPr>
            <w:r w:rsidRPr="00F602E1">
              <w:t>Rack space requirements shrink drastically as servers are consolidated and the infrastructure is converged. There is a drastic reduction in overall space and power</w:t>
            </w:r>
            <w:r w:rsidRPr="00F602E1">
              <w:rPr>
                <w:rFonts w:cs="Book Antiqua"/>
                <w:szCs w:val="19"/>
              </w:rPr>
              <w:t>, although power consumption per rack is higher</w:t>
            </w:r>
            <w:r w:rsidRPr="00F602E1">
              <w:t xml:space="preserve">. </w:t>
            </w:r>
          </w:p>
        </w:tc>
      </w:tr>
      <w:tr w:rsidR="00A50758" w:rsidRPr="00F602E1" w14:paraId="116ED9C1" w14:textId="77777777" w:rsidTr="00290927">
        <w:trPr>
          <w:trHeight w:val="106"/>
        </w:trPr>
        <w:tc>
          <w:tcPr>
            <w:cnfStyle w:val="001000000000" w:firstRow="0" w:lastRow="0" w:firstColumn="1" w:lastColumn="0" w:oddVBand="0" w:evenVBand="0" w:oddHBand="0" w:evenHBand="0" w:firstRowFirstColumn="0" w:firstRowLastColumn="0" w:lastRowFirstColumn="0" w:lastRowLastColumn="0"/>
            <w:tcW w:w="5169" w:type="dxa"/>
          </w:tcPr>
          <w:p w14:paraId="32D2786C" w14:textId="77777777" w:rsidR="00A50758" w:rsidRPr="00F602E1" w:rsidRDefault="00A50758" w:rsidP="00D32F19">
            <w:pPr>
              <w:pStyle w:val="Tablecontent"/>
              <w:rPr>
                <w:b w:val="0"/>
                <w:bCs w:val="0"/>
              </w:rPr>
            </w:pPr>
            <w:r w:rsidRPr="00F602E1">
              <w:rPr>
                <w:b w:val="0"/>
                <w:bCs w:val="0"/>
              </w:rPr>
              <w:t xml:space="preserve">Low complexity. Lots of repetitive work and coordination work, but not a lot of expertise required. </w:t>
            </w:r>
          </w:p>
        </w:tc>
        <w:tc>
          <w:tcPr>
            <w:tcW w:w="5169" w:type="dxa"/>
          </w:tcPr>
          <w:p w14:paraId="4F628400" w14:textId="77777777" w:rsidR="00A50758" w:rsidRPr="00F602E1" w:rsidRDefault="00A50758" w:rsidP="00D32F19">
            <w:pPr>
              <w:pStyle w:val="Tablecontent"/>
              <w:cnfStyle w:val="000000000000" w:firstRow="0" w:lastRow="0" w:firstColumn="0" w:lastColumn="0" w:oddVBand="0" w:evenVBand="0" w:oddHBand="0" w:evenHBand="0" w:firstRowFirstColumn="0" w:firstRowLastColumn="0" w:lastRowFirstColumn="0" w:lastRowLastColumn="0"/>
            </w:pPr>
            <w:r w:rsidRPr="00F602E1">
              <w:t xml:space="preserve">High complexity. Less quantity, but deep expertise required. A lot less number of people, but each one is an expert. </w:t>
            </w:r>
          </w:p>
        </w:tc>
      </w:tr>
      <w:tr w:rsidR="00A50758" w:rsidRPr="00F602E1" w14:paraId="06C2090B" w14:textId="77777777" w:rsidTr="00290927">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5169" w:type="dxa"/>
          </w:tcPr>
          <w:p w14:paraId="64A48E36" w14:textId="77777777" w:rsidR="00A50758" w:rsidRPr="00F602E1" w:rsidRDefault="00A50758" w:rsidP="00D32F19">
            <w:pPr>
              <w:pStyle w:val="Tablecontent"/>
              <w:rPr>
                <w:b w:val="0"/>
                <w:bCs w:val="0"/>
              </w:rPr>
            </w:pPr>
            <w:r w:rsidRPr="00F602E1">
              <w:rPr>
                <w:b w:val="0"/>
                <w:bCs w:val="0"/>
              </w:rPr>
              <w:t xml:space="preserve">Availability and performance monitored by management tools, which normally uses an agent. It is typical for a server to have many agents. </w:t>
            </w:r>
          </w:p>
        </w:tc>
        <w:tc>
          <w:tcPr>
            <w:tcW w:w="5169" w:type="dxa"/>
          </w:tcPr>
          <w:p w14:paraId="17F0AA4D" w14:textId="77777777" w:rsidR="00A50758" w:rsidRPr="00F602E1" w:rsidRDefault="00A50758" w:rsidP="00D32F19">
            <w:pPr>
              <w:pStyle w:val="Tablecontent"/>
              <w:cnfStyle w:val="000000100000" w:firstRow="0" w:lastRow="0" w:firstColumn="0" w:lastColumn="0" w:oddVBand="0" w:evenVBand="0" w:oddHBand="1" w:evenHBand="0" w:firstRowFirstColumn="0" w:firstRowLastColumn="0" w:lastRowFirstColumn="0" w:lastRowLastColumn="0"/>
            </w:pPr>
            <w:r w:rsidRPr="00F602E1">
              <w:t>Availability and performance monitoring happens via vCenter</w:t>
            </w:r>
            <w:r w:rsidRPr="00F602E1">
              <w:rPr>
                <w:rFonts w:cs="Book Antiqua"/>
                <w:szCs w:val="19"/>
              </w:rPr>
              <w:t xml:space="preserve"> Server</w:t>
            </w:r>
            <w:r w:rsidRPr="00F602E1">
              <w:t>, and it's agentless for the infrastructure. All other management tools get their data from vCenter</w:t>
            </w:r>
            <w:r w:rsidRPr="00F602E1">
              <w:rPr>
                <w:rFonts w:cs="Book Antiqua"/>
                <w:szCs w:val="19"/>
              </w:rPr>
              <w:t xml:space="preserve"> Server</w:t>
            </w:r>
            <w:r w:rsidRPr="00F602E1">
              <w:t xml:space="preserve">, not individual ESXi or VM. Application-level monitoring is typically done using agents within the Guest OS. </w:t>
            </w:r>
          </w:p>
        </w:tc>
      </w:tr>
      <w:tr w:rsidR="00A50758" w:rsidRPr="00F602E1" w14:paraId="72C8CFD0" w14:textId="77777777" w:rsidTr="00290927">
        <w:trPr>
          <w:trHeight w:val="106"/>
        </w:trPr>
        <w:tc>
          <w:tcPr>
            <w:cnfStyle w:val="001000000000" w:firstRow="0" w:lastRow="0" w:firstColumn="1" w:lastColumn="0" w:oddVBand="0" w:evenVBand="0" w:oddHBand="0" w:evenHBand="0" w:firstRowFirstColumn="0" w:firstRowLastColumn="0" w:lastRowFirstColumn="0" w:lastRowLastColumn="0"/>
            <w:tcW w:w="5169" w:type="dxa"/>
          </w:tcPr>
          <w:p w14:paraId="5CE19FE5" w14:textId="77777777" w:rsidR="00A50758" w:rsidRPr="00F602E1" w:rsidRDefault="00A50758" w:rsidP="00D32F19">
            <w:pPr>
              <w:pStyle w:val="Tablecontent"/>
              <w:rPr>
                <w:rFonts w:cs="Book Antiqua"/>
                <w:b w:val="0"/>
                <w:bCs w:val="0"/>
                <w:szCs w:val="19"/>
              </w:rPr>
            </w:pPr>
            <w:r w:rsidRPr="00F602E1">
              <w:rPr>
                <w:rFonts w:cs="Book Antiqua"/>
                <w:b w:val="0"/>
                <w:bCs w:val="0"/>
                <w:szCs w:val="19"/>
              </w:rPr>
              <w:t xml:space="preserve">The word cluster generally means two or more servers joined with a heartbeat and shared storage, which is typically SAN. </w:t>
            </w:r>
          </w:p>
          <w:p w14:paraId="56BFF72C" w14:textId="77777777" w:rsidR="00A50758" w:rsidRPr="00F602E1" w:rsidRDefault="00A50758" w:rsidP="00D32F19">
            <w:pPr>
              <w:pStyle w:val="Tablecontent"/>
              <w:rPr>
                <w:rFonts w:cs="Book Antiqua"/>
                <w:b w:val="0"/>
                <w:bCs w:val="0"/>
                <w:sz w:val="24"/>
              </w:rPr>
            </w:pPr>
            <w:r w:rsidRPr="00F602E1">
              <w:rPr>
                <w:b w:val="0"/>
                <w:bCs w:val="0"/>
                <w:szCs w:val="19"/>
              </w:rPr>
              <w:t>In another context, the word cluster means a single application using shared-nothing hardware. A typical example here is Hadoop cluster.</w:t>
            </w:r>
          </w:p>
        </w:tc>
        <w:tc>
          <w:tcPr>
            <w:tcW w:w="5169" w:type="dxa"/>
          </w:tcPr>
          <w:p w14:paraId="1D7A2ACE" w14:textId="77777777" w:rsidR="00A50758" w:rsidRPr="00F602E1" w:rsidRDefault="00A50758" w:rsidP="00D32F19">
            <w:pPr>
              <w:pStyle w:val="Tablecontent"/>
              <w:cnfStyle w:val="000000000000" w:firstRow="0" w:lastRow="0" w:firstColumn="0" w:lastColumn="0" w:oddVBand="0" w:evenVBand="0" w:oddHBand="0" w:evenHBand="0" w:firstRowFirstColumn="0" w:firstRowLastColumn="0" w:lastRowFirstColumn="0" w:lastRowLastColumn="0"/>
            </w:pPr>
            <w:r w:rsidRPr="00F602E1">
              <w:t xml:space="preserve">The word cluster has a different meaning. It's a group of ESXi hosts sharing the workload. Normally, 8 to 16 hosts, not 2 - 4. </w:t>
            </w:r>
          </w:p>
        </w:tc>
      </w:tr>
      <w:tr w:rsidR="00A50758" w:rsidRPr="00F602E1" w14:paraId="720AD4BC" w14:textId="77777777" w:rsidTr="00290927">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5169" w:type="dxa"/>
          </w:tcPr>
          <w:p w14:paraId="1CD95A7F" w14:textId="074A89EF" w:rsidR="00A50758" w:rsidRPr="00F602E1" w:rsidRDefault="00A50758" w:rsidP="00D32F19">
            <w:pPr>
              <w:pStyle w:val="Tablecontent"/>
              <w:rPr>
                <w:b w:val="0"/>
                <w:bCs w:val="0"/>
              </w:rPr>
            </w:pPr>
            <w:r w:rsidRPr="00F602E1">
              <w:rPr>
                <w:b w:val="0"/>
                <w:bCs w:val="0"/>
              </w:rPr>
              <w:t xml:space="preserve">High Availability (HA) is provided by clusterware, such as Microsoft MSCS and Veritas. Every cluster pair needs a shared storage, which is typically SAN. </w:t>
            </w:r>
            <w:r w:rsidR="004A2BCA" w:rsidRPr="00F602E1">
              <w:rPr>
                <w:b w:val="0"/>
                <w:bCs w:val="0"/>
              </w:rPr>
              <w:t>Typically,</w:t>
            </w:r>
            <w:r w:rsidRPr="00F602E1">
              <w:rPr>
                <w:b w:val="0"/>
                <w:bCs w:val="0"/>
              </w:rPr>
              <w:t xml:space="preserve"> one service needs two physical servers with a physical network heartbeat; hence, most servers are not clustered as the cost and complexity is high. </w:t>
            </w:r>
          </w:p>
        </w:tc>
        <w:tc>
          <w:tcPr>
            <w:tcW w:w="5169" w:type="dxa"/>
          </w:tcPr>
          <w:p w14:paraId="59717E65" w14:textId="77777777" w:rsidR="00A50758" w:rsidRPr="00F602E1" w:rsidRDefault="00A50758" w:rsidP="00D32F19">
            <w:pPr>
              <w:pStyle w:val="Tablecontent"/>
              <w:cnfStyle w:val="000000100000" w:firstRow="0" w:lastRow="0" w:firstColumn="0" w:lastColumn="0" w:oddVBand="0" w:evenVBand="0" w:oddHBand="1" w:evenHBand="0" w:firstRowFirstColumn="0" w:firstRowLastColumn="0" w:lastRowFirstColumn="0" w:lastRowLastColumn="0"/>
              <w:rPr>
                <w:rFonts w:cs="Book Antiqua"/>
                <w:sz w:val="24"/>
              </w:rPr>
            </w:pPr>
            <w:r w:rsidRPr="00F602E1">
              <w:rPr>
                <w:szCs w:val="19"/>
              </w:rPr>
              <w:t>HA is provided by vSphere HA. All VMs are protected, not just a small percentage. The need for traditional clustering software has reduced, and a new kind of clustering software emerges. It has full awareness of virtualization, and integrates with vSphere using vSphere API.</w:t>
            </w:r>
          </w:p>
        </w:tc>
      </w:tr>
      <w:tr w:rsidR="00A50758" w:rsidRPr="00F602E1" w14:paraId="4FE84966" w14:textId="77777777" w:rsidTr="00290927">
        <w:trPr>
          <w:trHeight w:val="106"/>
        </w:trPr>
        <w:tc>
          <w:tcPr>
            <w:cnfStyle w:val="001000000000" w:firstRow="0" w:lastRow="0" w:firstColumn="1" w:lastColumn="0" w:oddVBand="0" w:evenVBand="0" w:oddHBand="0" w:evenHBand="0" w:firstRowFirstColumn="0" w:firstRowLastColumn="0" w:lastRowFirstColumn="0" w:lastRowLastColumn="0"/>
            <w:tcW w:w="5169" w:type="dxa"/>
          </w:tcPr>
          <w:p w14:paraId="24902DA7" w14:textId="4C9C1EF7" w:rsidR="00A50758" w:rsidRPr="00F602E1" w:rsidRDefault="00A50758" w:rsidP="00D32F19">
            <w:pPr>
              <w:pStyle w:val="Tablecontent"/>
              <w:rPr>
                <w:b w:val="0"/>
                <w:bCs w:val="0"/>
              </w:rPr>
            </w:pPr>
            <w:r w:rsidRPr="00F602E1">
              <w:rPr>
                <w:b w:val="0"/>
                <w:bCs w:val="0"/>
              </w:rPr>
              <w:t>Fault Tolerance is rarely used due to cost and complexity. You need specialized hardware</w:t>
            </w:r>
            <w:r w:rsidR="00F602E1">
              <w:rPr>
                <w:b w:val="0"/>
                <w:bCs w:val="0"/>
              </w:rPr>
              <w:t xml:space="preserve"> to achieve it.</w:t>
            </w:r>
          </w:p>
        </w:tc>
        <w:tc>
          <w:tcPr>
            <w:tcW w:w="5169" w:type="dxa"/>
          </w:tcPr>
          <w:p w14:paraId="4A343529" w14:textId="77777777" w:rsidR="00A50758" w:rsidRPr="00F602E1" w:rsidRDefault="00A50758" w:rsidP="00D32F19">
            <w:pPr>
              <w:pStyle w:val="Tablecontent"/>
              <w:cnfStyle w:val="000000000000" w:firstRow="0" w:lastRow="0" w:firstColumn="0" w:lastColumn="0" w:oddVBand="0" w:evenVBand="0" w:oddHBand="0" w:evenHBand="0" w:firstRowFirstColumn="0" w:firstRowLastColumn="0" w:lastRowFirstColumn="0" w:lastRowLastColumn="0"/>
            </w:pPr>
            <w:r w:rsidRPr="00F602E1">
              <w:t>Fault tolerance is an on-demand feature as it is software-based. For example, you can temporarily turn it on during batch jobs run.</w:t>
            </w:r>
          </w:p>
        </w:tc>
      </w:tr>
      <w:tr w:rsidR="00A50758" w:rsidRPr="00F602E1" w14:paraId="58E9C46D" w14:textId="77777777" w:rsidTr="00290927">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5169" w:type="dxa"/>
          </w:tcPr>
          <w:p w14:paraId="1D54B04A" w14:textId="77777777" w:rsidR="00A50758" w:rsidRPr="00F602E1" w:rsidRDefault="00A50758" w:rsidP="00D32F19">
            <w:pPr>
              <w:pStyle w:val="Tablecontent"/>
              <w:rPr>
                <w:b w:val="0"/>
                <w:bCs w:val="0"/>
              </w:rPr>
            </w:pPr>
            <w:r w:rsidRPr="00F602E1">
              <w:rPr>
                <w:b w:val="0"/>
                <w:bCs w:val="0"/>
              </w:rPr>
              <w:t xml:space="preserve">Anti-Virus is installed on every server. Management is harder in a large environment. </w:t>
            </w:r>
          </w:p>
        </w:tc>
        <w:tc>
          <w:tcPr>
            <w:tcW w:w="5169" w:type="dxa"/>
          </w:tcPr>
          <w:p w14:paraId="54FBBF61" w14:textId="77777777" w:rsidR="00A50758" w:rsidRPr="00F602E1" w:rsidRDefault="00A50758" w:rsidP="00D32F19">
            <w:pPr>
              <w:pStyle w:val="Tablecontent"/>
              <w:cnfStyle w:val="000000100000" w:firstRow="0" w:lastRow="0" w:firstColumn="0" w:lastColumn="0" w:oddVBand="0" w:evenVBand="0" w:oddHBand="1" w:evenHBand="0" w:firstRowFirstColumn="0" w:firstRowLastColumn="0" w:lastRowFirstColumn="0" w:lastRowLastColumn="0"/>
              <w:rPr>
                <w:rFonts w:cs="Book Antiqua"/>
                <w:sz w:val="24"/>
              </w:rPr>
            </w:pPr>
            <w:r w:rsidRPr="00F602E1">
              <w:rPr>
                <w:szCs w:val="19"/>
              </w:rPr>
              <w:t>Anti-Virus runs as an Agent VM per ESXi Host. It is agentless to the Guest OS and hence, is no longer visible by malware. A popular solution is Trend Micro Deep Security.</w:t>
            </w:r>
          </w:p>
        </w:tc>
      </w:tr>
    </w:tbl>
    <w:p w14:paraId="55047FE4" w14:textId="6E9D22E3" w:rsidR="00A96A9A" w:rsidRDefault="0001564F" w:rsidP="00AC6E1E">
      <w:pPr>
        <w:pStyle w:val="Heading4"/>
      </w:pPr>
      <w:r>
        <w:lastRenderedPageBreak/>
        <w:t>Storage Function</w:t>
      </w:r>
    </w:p>
    <w:tbl>
      <w:tblPr>
        <w:tblStyle w:val="PlainTable1"/>
        <w:tblW w:w="10338"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5169"/>
        <w:gridCol w:w="5169"/>
      </w:tblGrid>
      <w:tr w:rsidR="000114DD" w:rsidRPr="006C0C3D" w14:paraId="2D3EBABE" w14:textId="77777777" w:rsidTr="00290927">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169" w:type="dxa"/>
            <w:hideMark/>
          </w:tcPr>
          <w:p w14:paraId="12D9922C" w14:textId="77777777" w:rsidR="000114DD" w:rsidRPr="006C0C3D" w:rsidRDefault="000114DD" w:rsidP="00757101">
            <w:pPr>
              <w:pStyle w:val="Tableheading"/>
              <w:rPr>
                <w:b/>
                <w:szCs w:val="36"/>
              </w:rPr>
            </w:pPr>
            <w:r w:rsidRPr="006C0C3D">
              <w:rPr>
                <w:b/>
              </w:rPr>
              <w:t>HDDC</w:t>
            </w:r>
          </w:p>
        </w:tc>
        <w:tc>
          <w:tcPr>
            <w:tcW w:w="5169" w:type="dxa"/>
            <w:hideMark/>
          </w:tcPr>
          <w:p w14:paraId="3FC96BF0" w14:textId="77777777" w:rsidR="000114DD" w:rsidRPr="006C0C3D" w:rsidRDefault="000114DD" w:rsidP="00757101">
            <w:pPr>
              <w:pStyle w:val="Tableheading"/>
              <w:cnfStyle w:val="100000000000" w:firstRow="1" w:lastRow="0" w:firstColumn="0" w:lastColumn="0" w:oddVBand="0" w:evenVBand="0" w:oddHBand="0" w:evenHBand="0" w:firstRowFirstColumn="0" w:firstRowLastColumn="0" w:lastRowFirstColumn="0" w:lastRowLastColumn="0"/>
              <w:rPr>
                <w:b/>
                <w:szCs w:val="36"/>
              </w:rPr>
            </w:pPr>
            <w:r w:rsidRPr="006C0C3D">
              <w:rPr>
                <w:b/>
              </w:rPr>
              <w:t>SDDC</w:t>
            </w:r>
          </w:p>
        </w:tc>
      </w:tr>
      <w:tr w:rsidR="000114DD" w:rsidRPr="00413675" w14:paraId="7351F0BB" w14:textId="77777777" w:rsidTr="00290927">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5169" w:type="dxa"/>
          </w:tcPr>
          <w:p w14:paraId="5A8EDBB8" w14:textId="77777777" w:rsidR="000114DD" w:rsidRPr="00413675" w:rsidRDefault="000114DD" w:rsidP="008937C1">
            <w:pPr>
              <w:pStyle w:val="Tablecontent"/>
              <w:rPr>
                <w:b w:val="0"/>
                <w:bCs w:val="0"/>
              </w:rPr>
            </w:pPr>
            <w:r w:rsidRPr="00413675">
              <w:rPr>
                <w:b w:val="0"/>
                <w:bCs w:val="0"/>
              </w:rPr>
              <w:t xml:space="preserve">1,000 physical servers (just an example, so we can provide a comparison), where IOPS and capacity do not impact each another. A relatively static environment from a storage point of view because normally, only 10 percent of these machines are on SAN/NAS due to cost. </w:t>
            </w:r>
          </w:p>
        </w:tc>
        <w:tc>
          <w:tcPr>
            <w:tcW w:w="5169" w:type="dxa"/>
          </w:tcPr>
          <w:p w14:paraId="359013BC" w14:textId="77777777" w:rsidR="000114DD" w:rsidRPr="00413675" w:rsidRDefault="000114DD" w:rsidP="008937C1">
            <w:pPr>
              <w:pStyle w:val="Tablecontent"/>
              <w:cnfStyle w:val="000000100000" w:firstRow="0" w:lastRow="0" w:firstColumn="0" w:lastColumn="0" w:oddVBand="0" w:evenVBand="0" w:oddHBand="1" w:evenHBand="0" w:firstRowFirstColumn="0" w:firstRowLastColumn="0" w:lastRowFirstColumn="0" w:lastRowLastColumn="0"/>
            </w:pPr>
            <w:r w:rsidRPr="00413675">
              <w:t xml:space="preserve">It has a maximum of 2,000 interdependent VMs, which impact one another. A very dynamic environment where management becomes critical because almost all VMs are on a shared storage, including distributed storage. </w:t>
            </w:r>
          </w:p>
        </w:tc>
      </w:tr>
      <w:tr w:rsidR="000114DD" w:rsidRPr="00413675" w14:paraId="4E37FEC2" w14:textId="77777777" w:rsidTr="00290927">
        <w:trPr>
          <w:trHeight w:val="106"/>
        </w:trPr>
        <w:tc>
          <w:tcPr>
            <w:cnfStyle w:val="001000000000" w:firstRow="0" w:lastRow="0" w:firstColumn="1" w:lastColumn="0" w:oddVBand="0" w:evenVBand="0" w:oddHBand="0" w:evenHBand="0" w:firstRowFirstColumn="0" w:firstRowLastColumn="0" w:lastRowFirstColumn="0" w:lastRowLastColumn="0"/>
            <w:tcW w:w="5169" w:type="dxa"/>
          </w:tcPr>
          <w:p w14:paraId="298D232E" w14:textId="77777777" w:rsidR="000114DD" w:rsidRPr="00413675" w:rsidRDefault="000114DD" w:rsidP="008937C1">
            <w:pPr>
              <w:pStyle w:val="Tablecontent"/>
              <w:rPr>
                <w:b w:val="0"/>
                <w:bCs w:val="0"/>
              </w:rPr>
            </w:pPr>
            <w:r w:rsidRPr="00413675">
              <w:rPr>
                <w:b w:val="0"/>
                <w:bCs w:val="0"/>
              </w:rPr>
              <w:t xml:space="preserve">Every server on SAN has its own dedicated LUN. Some data centers, such as databases, may have multiple LUNs. </w:t>
            </w:r>
          </w:p>
        </w:tc>
        <w:tc>
          <w:tcPr>
            <w:tcW w:w="5169" w:type="dxa"/>
          </w:tcPr>
          <w:p w14:paraId="268B6F42" w14:textId="77777777" w:rsidR="000114DD" w:rsidRPr="00413675" w:rsidRDefault="000114DD" w:rsidP="008937C1">
            <w:pPr>
              <w:pStyle w:val="Tablecontent"/>
              <w:cnfStyle w:val="000000000000" w:firstRow="0" w:lastRow="0" w:firstColumn="0" w:lastColumn="0" w:oddVBand="0" w:evenVBand="0" w:oddHBand="0" w:evenHBand="0" w:firstRowFirstColumn="0" w:firstRowLastColumn="0" w:lastRowFirstColumn="0" w:lastRowLastColumn="0"/>
            </w:pPr>
            <w:r w:rsidRPr="00413675">
              <w:t xml:space="preserve">Most VMs do not use RDM. They use VMDK and share the VMFS or NFS datastore. The VMDK files may reside in different datastores. </w:t>
            </w:r>
          </w:p>
        </w:tc>
      </w:tr>
      <w:tr w:rsidR="000114DD" w:rsidRPr="00413675" w14:paraId="37D456D1" w14:textId="77777777" w:rsidTr="00290927">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5169" w:type="dxa"/>
          </w:tcPr>
          <w:p w14:paraId="553532C4" w14:textId="77777777" w:rsidR="000114DD" w:rsidRPr="00413675" w:rsidRDefault="000114DD" w:rsidP="008937C1">
            <w:pPr>
              <w:pStyle w:val="Tablecontent"/>
              <w:rPr>
                <w:b w:val="0"/>
                <w:bCs w:val="0"/>
              </w:rPr>
            </w:pPr>
            <w:r w:rsidRPr="00413675">
              <w:rPr>
                <w:b w:val="0"/>
                <w:bCs w:val="0"/>
              </w:rPr>
              <w:t xml:space="preserve">Storage migration is a major downtime, even within the same array. A lot of manual work is required. </w:t>
            </w:r>
          </w:p>
        </w:tc>
        <w:tc>
          <w:tcPr>
            <w:tcW w:w="5169" w:type="dxa"/>
          </w:tcPr>
          <w:p w14:paraId="74E95E52" w14:textId="77777777" w:rsidR="000114DD" w:rsidRPr="00413675" w:rsidRDefault="000114DD" w:rsidP="008937C1">
            <w:pPr>
              <w:pStyle w:val="Tablecontent"/>
              <w:cnfStyle w:val="000000100000" w:firstRow="0" w:lastRow="0" w:firstColumn="0" w:lastColumn="0" w:oddVBand="0" w:evenVBand="0" w:oddHBand="1" w:evenHBand="0" w:firstRowFirstColumn="0" w:firstRowLastColumn="0" w:lastRowFirstColumn="0" w:lastRowLastColumn="0"/>
            </w:pPr>
            <w:r w:rsidRPr="00413675">
              <w:t xml:space="preserve">Storage migration is live with storage vMotion. Intra-array is faster due to VAAI API. </w:t>
            </w:r>
          </w:p>
        </w:tc>
      </w:tr>
      <w:tr w:rsidR="000114DD" w:rsidRPr="00413675" w14:paraId="35490153" w14:textId="77777777" w:rsidTr="00290927">
        <w:trPr>
          <w:trHeight w:val="106"/>
        </w:trPr>
        <w:tc>
          <w:tcPr>
            <w:cnfStyle w:val="001000000000" w:firstRow="0" w:lastRow="0" w:firstColumn="1" w:lastColumn="0" w:oddVBand="0" w:evenVBand="0" w:oddHBand="0" w:evenHBand="0" w:firstRowFirstColumn="0" w:firstRowLastColumn="0" w:lastRowFirstColumn="0" w:lastRowLastColumn="0"/>
            <w:tcW w:w="5169" w:type="dxa"/>
          </w:tcPr>
          <w:p w14:paraId="68136079" w14:textId="77777777" w:rsidR="000114DD" w:rsidRPr="00413675" w:rsidRDefault="000114DD" w:rsidP="008937C1">
            <w:pPr>
              <w:pStyle w:val="Tablecontent"/>
              <w:rPr>
                <w:b w:val="0"/>
                <w:bCs w:val="0"/>
              </w:rPr>
            </w:pPr>
            <w:r w:rsidRPr="00413675">
              <w:rPr>
                <w:b w:val="0"/>
                <w:bCs w:val="0"/>
              </w:rPr>
              <w:t xml:space="preserve">Backup, especially in the x64 architecture, is done with backup agents. As SAN is relatively more expensive and SAN boot is complex at scale, backup is done via the backup LAN and with the agent installed. This creates its own problem as the backup agents have to be deployed, patched, upgraded, and managed. </w:t>
            </w:r>
          </w:p>
        </w:tc>
        <w:tc>
          <w:tcPr>
            <w:tcW w:w="5169" w:type="dxa"/>
          </w:tcPr>
          <w:p w14:paraId="4A68E5E9" w14:textId="4A135AB0" w:rsidR="000114DD" w:rsidRPr="00413675" w:rsidRDefault="000114DD" w:rsidP="008937C1">
            <w:pPr>
              <w:pStyle w:val="Tablecontent"/>
              <w:cnfStyle w:val="000000000000" w:firstRow="0" w:lastRow="0" w:firstColumn="0" w:lastColumn="0" w:oddVBand="0" w:evenVBand="0" w:oddHBand="0" w:evenHBand="0" w:firstRowFirstColumn="0" w:firstRowLastColumn="0" w:lastRowFirstColumn="0" w:lastRowLastColumn="0"/>
              <w:rPr>
                <w:rFonts w:cs="Book Antiqua"/>
                <w:sz w:val="24"/>
              </w:rPr>
            </w:pPr>
            <w:r w:rsidRPr="00413675">
              <w:rPr>
                <w:szCs w:val="19"/>
              </w:rPr>
              <w:t>The backup service is provided by the hypervisor. It is agentless as far as the VM is concerned. Most backup softwares use VMware VADP API to back up by taking snapshot. Windows Volume Shadow Services (VSS) provides application-consistent backups through quiesing application during backup execution. Non-VSS environments can use pre-post thaw scripts to stop necessary services prior to VM snapshot to provide crash-consistent backups of applications and underlying OS.</w:t>
            </w:r>
            <w:r w:rsidR="00701ED4">
              <w:rPr>
                <w:szCs w:val="19"/>
              </w:rPr>
              <w:t xml:space="preserve"> </w:t>
            </w:r>
          </w:p>
        </w:tc>
      </w:tr>
      <w:tr w:rsidR="000114DD" w:rsidRPr="00413675" w14:paraId="206E893C" w14:textId="77777777" w:rsidTr="00290927">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5169" w:type="dxa"/>
          </w:tcPr>
          <w:p w14:paraId="4CC49349" w14:textId="77777777" w:rsidR="000114DD" w:rsidRPr="00413675" w:rsidRDefault="000114DD" w:rsidP="008937C1">
            <w:pPr>
              <w:pStyle w:val="Tablecontent"/>
              <w:rPr>
                <w:b w:val="0"/>
                <w:bCs w:val="0"/>
              </w:rPr>
            </w:pPr>
            <w:r w:rsidRPr="00413675">
              <w:rPr>
                <w:rFonts w:cs="Book Antiqua"/>
                <w:b w:val="0"/>
                <w:bCs w:val="0"/>
                <w:szCs w:val="19"/>
              </w:rPr>
              <w:t>The backup process creates high disk I/O, impacting the application performance. Because the backup traffic is network intensive and carries sensitive data, an entire network is born for backup purposes.</w:t>
            </w:r>
          </w:p>
        </w:tc>
        <w:tc>
          <w:tcPr>
            <w:tcW w:w="5169" w:type="dxa"/>
          </w:tcPr>
          <w:p w14:paraId="2C5331F6" w14:textId="77777777" w:rsidR="000114DD" w:rsidRPr="00413675" w:rsidRDefault="000114DD" w:rsidP="008937C1">
            <w:pPr>
              <w:pStyle w:val="Tablecontent"/>
              <w:cnfStyle w:val="000000100000" w:firstRow="0" w:lastRow="0" w:firstColumn="0" w:lastColumn="0" w:oddVBand="0" w:evenVBand="0" w:oddHBand="1" w:evenHBand="0" w:firstRowFirstColumn="0" w:firstRowLastColumn="0" w:lastRowFirstColumn="0" w:lastRowLastColumn="0"/>
            </w:pPr>
            <w:r w:rsidRPr="00413675">
              <w:rPr>
                <w:rFonts w:cs="Book Antiqua"/>
                <w:szCs w:val="19"/>
              </w:rPr>
              <w:t>Because backup is performed outside the VM, there is no performance impact on the application or Guest OS. There is also no security risk, as the Guest OS Admin cannot see the backup network.</w:t>
            </w:r>
          </w:p>
          <w:p w14:paraId="0EB06710" w14:textId="77777777" w:rsidR="000114DD" w:rsidRPr="00413675" w:rsidRDefault="000114DD" w:rsidP="008937C1">
            <w:pPr>
              <w:pStyle w:val="Tablecontent"/>
              <w:cnfStyle w:val="000000100000" w:firstRow="0" w:lastRow="0" w:firstColumn="0" w:lastColumn="0" w:oddVBand="0" w:evenVBand="0" w:oddHBand="1" w:evenHBand="0" w:firstRowFirstColumn="0" w:firstRowLastColumn="0" w:lastRowFirstColumn="0" w:lastRowLastColumn="0"/>
              <w:rPr>
                <w:rFonts w:ascii="Arial" w:eastAsia="Times New Roman" w:hAnsi="Arial" w:cs="Arial"/>
                <w:sz w:val="20"/>
              </w:rPr>
            </w:pPr>
            <w:r w:rsidRPr="00413675">
              <w:tab/>
            </w:r>
          </w:p>
        </w:tc>
      </w:tr>
      <w:tr w:rsidR="000114DD" w:rsidRPr="00413675" w14:paraId="2A5A4E6E" w14:textId="77777777" w:rsidTr="00290927">
        <w:trPr>
          <w:trHeight w:val="106"/>
        </w:trPr>
        <w:tc>
          <w:tcPr>
            <w:cnfStyle w:val="001000000000" w:firstRow="0" w:lastRow="0" w:firstColumn="1" w:lastColumn="0" w:oddVBand="0" w:evenVBand="0" w:oddHBand="0" w:evenHBand="0" w:firstRowFirstColumn="0" w:firstRowLastColumn="0" w:lastRowFirstColumn="0" w:lastRowLastColumn="0"/>
            <w:tcW w:w="5169" w:type="dxa"/>
          </w:tcPr>
          <w:p w14:paraId="4B939405" w14:textId="77777777" w:rsidR="000114DD" w:rsidRPr="00413675" w:rsidRDefault="000114DD" w:rsidP="008937C1">
            <w:pPr>
              <w:pStyle w:val="Tablecontent"/>
              <w:rPr>
                <w:b w:val="0"/>
                <w:bCs w:val="0"/>
              </w:rPr>
            </w:pPr>
            <w:r w:rsidRPr="00413675">
              <w:rPr>
                <w:b w:val="0"/>
                <w:bCs w:val="0"/>
              </w:rPr>
              <w:t xml:space="preserve">Storage's QoS is taken care of by an array, although the array has no control over the demand of IOPS coming from servers. </w:t>
            </w:r>
          </w:p>
        </w:tc>
        <w:tc>
          <w:tcPr>
            <w:tcW w:w="5169" w:type="dxa"/>
          </w:tcPr>
          <w:p w14:paraId="77A259C2" w14:textId="77777777" w:rsidR="000114DD" w:rsidRPr="00413675" w:rsidRDefault="000114DD" w:rsidP="008937C1">
            <w:pPr>
              <w:pStyle w:val="Tablecontent"/>
              <w:cnfStyle w:val="000000000000" w:firstRow="0" w:lastRow="0" w:firstColumn="0" w:lastColumn="0" w:oddVBand="0" w:evenVBand="0" w:oddHBand="0" w:evenHBand="0" w:firstRowFirstColumn="0" w:firstRowLastColumn="0" w:lastRowFirstColumn="0" w:lastRowLastColumn="0"/>
            </w:pPr>
            <w:r w:rsidRPr="00413675">
              <w:t>Storage's QoS is taken care of by vSphere</w:t>
            </w:r>
            <w:r w:rsidRPr="00413675">
              <w:rPr>
                <w:rFonts w:cs="Book Antiqua"/>
                <w:szCs w:val="19"/>
              </w:rPr>
              <w:t xml:space="preserve"> Storage I/O Control</w:t>
            </w:r>
            <w:r w:rsidRPr="00413675">
              <w:t>, which has full control over every VM.</w:t>
            </w:r>
          </w:p>
        </w:tc>
      </w:tr>
    </w:tbl>
    <w:p w14:paraId="2D0805B1" w14:textId="085F5D09" w:rsidR="000114DD" w:rsidRDefault="0001564F" w:rsidP="00AC6E1E">
      <w:pPr>
        <w:pStyle w:val="Heading4"/>
      </w:pPr>
      <w:r>
        <w:t>Network Function</w:t>
      </w:r>
    </w:p>
    <w:tbl>
      <w:tblPr>
        <w:tblStyle w:val="PlainTable1"/>
        <w:tblW w:w="10338"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5169"/>
        <w:gridCol w:w="5169"/>
      </w:tblGrid>
      <w:tr w:rsidR="008C6462" w:rsidRPr="00757101" w14:paraId="2ED313B6" w14:textId="77777777" w:rsidTr="00290927">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169" w:type="dxa"/>
            <w:hideMark/>
          </w:tcPr>
          <w:p w14:paraId="03C8A43F" w14:textId="77777777" w:rsidR="008C6462" w:rsidRPr="00757101" w:rsidRDefault="008C6462" w:rsidP="00757101">
            <w:pPr>
              <w:pStyle w:val="Tableheading"/>
              <w:rPr>
                <w:b/>
                <w:szCs w:val="36"/>
              </w:rPr>
            </w:pPr>
            <w:r w:rsidRPr="00757101">
              <w:rPr>
                <w:b/>
              </w:rPr>
              <w:t>HDDC</w:t>
            </w:r>
          </w:p>
        </w:tc>
        <w:tc>
          <w:tcPr>
            <w:tcW w:w="5169" w:type="dxa"/>
            <w:hideMark/>
          </w:tcPr>
          <w:p w14:paraId="4351A927" w14:textId="77777777" w:rsidR="008C6462" w:rsidRPr="00757101" w:rsidRDefault="008C6462" w:rsidP="00757101">
            <w:pPr>
              <w:pStyle w:val="Tableheading"/>
              <w:cnfStyle w:val="100000000000" w:firstRow="1" w:lastRow="0" w:firstColumn="0" w:lastColumn="0" w:oddVBand="0" w:evenVBand="0" w:oddHBand="0" w:evenHBand="0" w:firstRowFirstColumn="0" w:firstRowLastColumn="0" w:lastRowFirstColumn="0" w:lastRowLastColumn="0"/>
              <w:rPr>
                <w:b/>
                <w:szCs w:val="36"/>
              </w:rPr>
            </w:pPr>
            <w:r w:rsidRPr="00757101">
              <w:rPr>
                <w:b/>
              </w:rPr>
              <w:t>SDDC</w:t>
            </w:r>
          </w:p>
        </w:tc>
      </w:tr>
      <w:tr w:rsidR="008C6462" w:rsidRPr="00413675" w14:paraId="27CE75CB" w14:textId="77777777" w:rsidTr="00290927">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5169" w:type="dxa"/>
          </w:tcPr>
          <w:p w14:paraId="72A7FF16" w14:textId="77777777" w:rsidR="008C6462" w:rsidRPr="00413675" w:rsidRDefault="008C6462" w:rsidP="00D32F19">
            <w:pPr>
              <w:pStyle w:val="Tablecontent"/>
              <w:rPr>
                <w:b w:val="0"/>
                <w:bCs w:val="0"/>
              </w:rPr>
            </w:pPr>
            <w:r w:rsidRPr="00413675">
              <w:rPr>
                <w:b w:val="0"/>
                <w:bCs w:val="0"/>
              </w:rPr>
              <w:t xml:space="preserve">The access network is typically 1 GE, as it is sufficient for most servers. Typically, it is a top-of-rack entry-level switch. </w:t>
            </w:r>
          </w:p>
        </w:tc>
        <w:tc>
          <w:tcPr>
            <w:tcW w:w="5169" w:type="dxa"/>
          </w:tcPr>
          <w:p w14:paraId="31F1E442" w14:textId="77777777" w:rsidR="008C6462" w:rsidRPr="00413675" w:rsidRDefault="008C6462" w:rsidP="00D32F19">
            <w:pPr>
              <w:pStyle w:val="Tablecontent"/>
              <w:cnfStyle w:val="000000100000" w:firstRow="0" w:lastRow="0" w:firstColumn="0" w:lastColumn="0" w:oddVBand="0" w:evenVBand="0" w:oddHBand="1" w:evenHBand="0" w:firstRowFirstColumn="0" w:firstRowLastColumn="0" w:lastRowFirstColumn="0" w:lastRowLastColumn="0"/>
            </w:pPr>
            <w:r w:rsidRPr="00413675">
              <w:t>The top-of-rack switch is generally replaced with the end-of-row distribution switch, as the access switch is completely virtualized. ESXi typically uses 10 GE, with some having 4x 10 GE connection.</w:t>
            </w:r>
          </w:p>
        </w:tc>
      </w:tr>
      <w:tr w:rsidR="008C6462" w:rsidRPr="00413675" w14:paraId="28E730D9" w14:textId="77777777" w:rsidTr="00290927">
        <w:trPr>
          <w:trHeight w:val="106"/>
        </w:trPr>
        <w:tc>
          <w:tcPr>
            <w:cnfStyle w:val="001000000000" w:firstRow="0" w:lastRow="0" w:firstColumn="1" w:lastColumn="0" w:oddVBand="0" w:evenVBand="0" w:oddHBand="0" w:evenHBand="0" w:firstRowFirstColumn="0" w:firstRowLastColumn="0" w:lastRowFirstColumn="0" w:lastRowLastColumn="0"/>
            <w:tcW w:w="5169" w:type="dxa"/>
          </w:tcPr>
          <w:p w14:paraId="3689C0F7" w14:textId="77777777" w:rsidR="008C6462" w:rsidRPr="00413675" w:rsidRDefault="008C6462" w:rsidP="00D32F19">
            <w:pPr>
              <w:pStyle w:val="Tablecontent"/>
              <w:rPr>
                <w:b w:val="0"/>
                <w:bCs w:val="0"/>
              </w:rPr>
            </w:pPr>
            <w:r w:rsidRPr="00413675">
              <w:rPr>
                <w:b w:val="0"/>
                <w:bCs w:val="0"/>
              </w:rPr>
              <w:lastRenderedPageBreak/>
              <w:t xml:space="preserve">VLAN is normally used for segregation. This results in VLAN complexity. </w:t>
            </w:r>
          </w:p>
        </w:tc>
        <w:tc>
          <w:tcPr>
            <w:tcW w:w="5169" w:type="dxa"/>
          </w:tcPr>
          <w:p w14:paraId="5DBCA3DD" w14:textId="77777777" w:rsidR="008C6462" w:rsidRPr="00413675" w:rsidRDefault="008C6462" w:rsidP="00D32F19">
            <w:pPr>
              <w:pStyle w:val="Tablecontent"/>
              <w:cnfStyle w:val="000000000000" w:firstRow="0" w:lastRow="0" w:firstColumn="0" w:lastColumn="0" w:oddVBand="0" w:evenVBand="0" w:oddHBand="0" w:evenHBand="0" w:firstRowFirstColumn="0" w:firstRowLastColumn="0" w:lastRowFirstColumn="0" w:lastRowLastColumn="0"/>
            </w:pPr>
            <w:r w:rsidRPr="00413675">
              <w:t xml:space="preserve">VLAN is not required (traffic within the same VLAN can be controlled) for segregation by NSX. </w:t>
            </w:r>
          </w:p>
        </w:tc>
      </w:tr>
      <w:tr w:rsidR="008C6462" w:rsidRPr="00413675" w14:paraId="62BD5BE3" w14:textId="77777777" w:rsidTr="00290927">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5169" w:type="dxa"/>
          </w:tcPr>
          <w:p w14:paraId="4849CD52" w14:textId="77777777" w:rsidR="008C6462" w:rsidRPr="00413675" w:rsidRDefault="008C6462" w:rsidP="00D32F19">
            <w:pPr>
              <w:pStyle w:val="Tablecontent"/>
              <w:rPr>
                <w:b w:val="0"/>
                <w:bCs w:val="0"/>
              </w:rPr>
            </w:pPr>
            <w:r w:rsidRPr="00413675">
              <w:rPr>
                <w:b w:val="0"/>
                <w:bCs w:val="0"/>
              </w:rPr>
              <w:t xml:space="preserve">Impacted by the spanning tree. </w:t>
            </w:r>
          </w:p>
        </w:tc>
        <w:tc>
          <w:tcPr>
            <w:tcW w:w="5169" w:type="dxa"/>
          </w:tcPr>
          <w:p w14:paraId="5256B07C" w14:textId="77777777" w:rsidR="008C6462" w:rsidRPr="00413675" w:rsidRDefault="008C6462" w:rsidP="00D32F19">
            <w:pPr>
              <w:pStyle w:val="Tablecontent"/>
              <w:cnfStyle w:val="000000100000" w:firstRow="0" w:lastRow="0" w:firstColumn="0" w:lastColumn="0" w:oddVBand="0" w:evenVBand="0" w:oddHBand="1" w:evenHBand="0" w:firstRowFirstColumn="0" w:firstRowLastColumn="0" w:lastRowFirstColumn="0" w:lastRowLastColumn="0"/>
            </w:pPr>
            <w:r w:rsidRPr="00413675">
              <w:t xml:space="preserve">No Spanning Tree. </w:t>
            </w:r>
          </w:p>
        </w:tc>
      </w:tr>
      <w:tr w:rsidR="008C6462" w:rsidRPr="00413675" w14:paraId="0B2DE5ED" w14:textId="77777777" w:rsidTr="00290927">
        <w:trPr>
          <w:trHeight w:val="106"/>
        </w:trPr>
        <w:tc>
          <w:tcPr>
            <w:cnfStyle w:val="001000000000" w:firstRow="0" w:lastRow="0" w:firstColumn="1" w:lastColumn="0" w:oddVBand="0" w:evenVBand="0" w:oddHBand="0" w:evenHBand="0" w:firstRowFirstColumn="0" w:firstRowLastColumn="0" w:lastRowFirstColumn="0" w:lastRowLastColumn="0"/>
            <w:tcW w:w="5169" w:type="dxa"/>
          </w:tcPr>
          <w:p w14:paraId="157B0150" w14:textId="77777777" w:rsidR="008C6462" w:rsidRPr="00413675" w:rsidRDefault="008C6462" w:rsidP="00D32F19">
            <w:pPr>
              <w:pStyle w:val="Tablecontent"/>
              <w:rPr>
                <w:b w:val="0"/>
                <w:bCs w:val="0"/>
              </w:rPr>
            </w:pPr>
            <w:r w:rsidRPr="00413675">
              <w:rPr>
                <w:b w:val="0"/>
                <w:bCs w:val="0"/>
              </w:rPr>
              <w:t xml:space="preserve">A switch must learn the MAC address as it comes with the server. </w:t>
            </w:r>
          </w:p>
        </w:tc>
        <w:tc>
          <w:tcPr>
            <w:tcW w:w="5169" w:type="dxa"/>
          </w:tcPr>
          <w:p w14:paraId="2AEE187B" w14:textId="77777777" w:rsidR="008C6462" w:rsidRPr="00413675" w:rsidRDefault="008C6462" w:rsidP="00D32F19">
            <w:pPr>
              <w:pStyle w:val="Tablecontent"/>
              <w:cnfStyle w:val="000000000000" w:firstRow="0" w:lastRow="0" w:firstColumn="0" w:lastColumn="0" w:oddVBand="0" w:evenVBand="0" w:oddHBand="0" w:evenHBand="0" w:firstRowFirstColumn="0" w:firstRowLastColumn="0" w:lastRowFirstColumn="0" w:lastRowLastColumn="0"/>
            </w:pPr>
            <w:r w:rsidRPr="00413675">
              <w:t xml:space="preserve">No need to learn the MAC address as it's given by vSphere. </w:t>
            </w:r>
          </w:p>
        </w:tc>
      </w:tr>
      <w:tr w:rsidR="008C6462" w:rsidRPr="00413675" w14:paraId="221AB663" w14:textId="77777777" w:rsidTr="00290927">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5169" w:type="dxa"/>
          </w:tcPr>
          <w:p w14:paraId="7ADA7442" w14:textId="77777777" w:rsidR="008C6462" w:rsidRPr="00413675" w:rsidRDefault="008C6462" w:rsidP="00D32F19">
            <w:pPr>
              <w:pStyle w:val="Tablecontent"/>
              <w:rPr>
                <w:b w:val="0"/>
                <w:bCs w:val="0"/>
              </w:rPr>
            </w:pPr>
            <w:r w:rsidRPr="00413675">
              <w:rPr>
                <w:b w:val="0"/>
                <w:bCs w:val="0"/>
              </w:rPr>
              <w:t xml:space="preserve">Network QoS is provided by core switches. </w:t>
            </w:r>
          </w:p>
        </w:tc>
        <w:tc>
          <w:tcPr>
            <w:tcW w:w="5169" w:type="dxa"/>
          </w:tcPr>
          <w:p w14:paraId="29AB0CE7" w14:textId="77777777" w:rsidR="008C6462" w:rsidRPr="00413675" w:rsidRDefault="008C6462" w:rsidP="00D32F19">
            <w:pPr>
              <w:pStyle w:val="Tablecontent"/>
              <w:cnfStyle w:val="000000100000" w:firstRow="0" w:lastRow="0" w:firstColumn="0" w:lastColumn="0" w:oddVBand="0" w:evenVBand="0" w:oddHBand="1" w:evenHBand="0" w:firstRowFirstColumn="0" w:firstRowLastColumn="0" w:lastRowFirstColumn="0" w:lastRowLastColumn="0"/>
            </w:pPr>
            <w:r w:rsidRPr="00413675">
              <w:t xml:space="preserve">Network QoS by vSphere and NSX. </w:t>
            </w:r>
          </w:p>
        </w:tc>
      </w:tr>
      <w:tr w:rsidR="008C6462" w:rsidRPr="00413675" w14:paraId="0A2E1EFC" w14:textId="77777777" w:rsidTr="00290927">
        <w:trPr>
          <w:trHeight w:val="106"/>
        </w:trPr>
        <w:tc>
          <w:tcPr>
            <w:cnfStyle w:val="001000000000" w:firstRow="0" w:lastRow="0" w:firstColumn="1" w:lastColumn="0" w:oddVBand="0" w:evenVBand="0" w:oddHBand="0" w:evenHBand="0" w:firstRowFirstColumn="0" w:firstRowLastColumn="0" w:lastRowFirstColumn="0" w:lastRowLastColumn="0"/>
            <w:tcW w:w="5169" w:type="dxa"/>
          </w:tcPr>
          <w:p w14:paraId="75D3BDD7" w14:textId="77777777" w:rsidR="008C6462" w:rsidRPr="00413675" w:rsidRDefault="008C6462" w:rsidP="00D32F19">
            <w:pPr>
              <w:pStyle w:val="Tablecontent"/>
              <w:rPr>
                <w:b w:val="0"/>
                <w:bCs w:val="0"/>
              </w:rPr>
            </w:pPr>
            <w:r w:rsidRPr="00413675">
              <w:rPr>
                <w:b w:val="0"/>
                <w:bCs w:val="0"/>
              </w:rPr>
              <w:t xml:space="preserve">DMZ Zone is physically separate. Separation is done at the IP layer. IDS/IPS deployment is normally limited in DMZ due to cost and complexity. </w:t>
            </w:r>
          </w:p>
        </w:tc>
        <w:tc>
          <w:tcPr>
            <w:tcW w:w="5169" w:type="dxa"/>
          </w:tcPr>
          <w:p w14:paraId="5726E50E" w14:textId="77777777" w:rsidR="008C6462" w:rsidRPr="00413675" w:rsidRDefault="008C6462" w:rsidP="00D32F19">
            <w:pPr>
              <w:pStyle w:val="Tablecontent"/>
              <w:cnfStyle w:val="000000000000" w:firstRow="0" w:lastRow="0" w:firstColumn="0" w:lastColumn="0" w:oddVBand="0" w:evenVBand="0" w:oddHBand="0" w:evenHBand="0" w:firstRowFirstColumn="0" w:firstRowLastColumn="0" w:lastRowFirstColumn="0" w:lastRowLastColumn="0"/>
            </w:pPr>
            <w:r w:rsidRPr="00413675">
              <w:t xml:space="preserve">DMZ Zone is logically separate. Separation is not limited to IP and done at the hypervisor layer. IDS/IPS is deployed in all zones as it is also hypervisor-based. </w:t>
            </w:r>
          </w:p>
        </w:tc>
      </w:tr>
      <w:tr w:rsidR="008C6462" w:rsidRPr="00413675" w14:paraId="73CF69D8" w14:textId="77777777" w:rsidTr="00290927">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5169" w:type="dxa"/>
          </w:tcPr>
          <w:p w14:paraId="2667554F" w14:textId="77777777" w:rsidR="008C6462" w:rsidRPr="00413675" w:rsidRDefault="008C6462" w:rsidP="00D32F19">
            <w:pPr>
              <w:pStyle w:val="Tablecontent"/>
              <w:rPr>
                <w:b w:val="0"/>
                <w:bCs w:val="0"/>
              </w:rPr>
            </w:pPr>
            <w:r w:rsidRPr="00413675">
              <w:rPr>
                <w:b w:val="0"/>
                <w:bCs w:val="0"/>
              </w:rPr>
              <w:t xml:space="preserve">No DR Test network is required. As a result, the same hostname cannot exist on DR Site, making a true DR Test </w:t>
            </w:r>
            <w:r w:rsidRPr="00413675">
              <w:rPr>
                <w:b w:val="0"/>
                <w:bCs w:val="0"/>
                <w:i/>
              </w:rPr>
              <w:t xml:space="preserve">impossible </w:t>
            </w:r>
            <w:r w:rsidRPr="00413675">
              <w:rPr>
                <w:b w:val="0"/>
                <w:bCs w:val="0"/>
              </w:rPr>
              <w:t xml:space="preserve">without shutting down production servers. </w:t>
            </w:r>
          </w:p>
        </w:tc>
        <w:tc>
          <w:tcPr>
            <w:tcW w:w="5169" w:type="dxa"/>
          </w:tcPr>
          <w:p w14:paraId="65406E2C" w14:textId="77777777" w:rsidR="008C6462" w:rsidRPr="00413675" w:rsidRDefault="008C6462" w:rsidP="00D32F19">
            <w:pPr>
              <w:pStyle w:val="Tablecontent"/>
              <w:cnfStyle w:val="000000100000" w:firstRow="0" w:lastRow="0" w:firstColumn="0" w:lastColumn="0" w:oddVBand="0" w:evenVBand="0" w:oddHBand="1" w:evenHBand="0" w:firstRowFirstColumn="0" w:firstRowLastColumn="0" w:lastRowFirstColumn="0" w:lastRowLastColumn="0"/>
            </w:pPr>
            <w:r w:rsidRPr="00413675">
              <w:t xml:space="preserve">DR Test Network is required. The same hostname can exist on any site as a result. This means DR Test can be done anytime as it does not impact production. </w:t>
            </w:r>
          </w:p>
        </w:tc>
      </w:tr>
      <w:tr w:rsidR="008C6462" w:rsidRPr="00413675" w14:paraId="724F7024" w14:textId="77777777" w:rsidTr="00290927">
        <w:trPr>
          <w:trHeight w:val="106"/>
        </w:trPr>
        <w:tc>
          <w:tcPr>
            <w:cnfStyle w:val="001000000000" w:firstRow="0" w:lastRow="0" w:firstColumn="1" w:lastColumn="0" w:oddVBand="0" w:evenVBand="0" w:oddHBand="0" w:evenHBand="0" w:firstRowFirstColumn="0" w:firstRowLastColumn="0" w:lastRowFirstColumn="0" w:lastRowLastColumn="0"/>
            <w:tcW w:w="5169" w:type="dxa"/>
          </w:tcPr>
          <w:p w14:paraId="771C77D4" w14:textId="77777777" w:rsidR="008C6462" w:rsidRPr="00413675" w:rsidRDefault="008C6462" w:rsidP="00D32F19">
            <w:pPr>
              <w:pStyle w:val="Tablecontent"/>
              <w:rPr>
                <w:b w:val="0"/>
                <w:bCs w:val="0"/>
              </w:rPr>
            </w:pPr>
            <w:r w:rsidRPr="00413675">
              <w:rPr>
                <w:b w:val="0"/>
                <w:bCs w:val="0"/>
              </w:rPr>
              <w:t xml:space="preserve">Firewall is not part of the server. It is typically centrally located. It is not aware of the servers as it's completely independent from it. </w:t>
            </w:r>
          </w:p>
        </w:tc>
        <w:tc>
          <w:tcPr>
            <w:tcW w:w="5169" w:type="dxa"/>
          </w:tcPr>
          <w:p w14:paraId="1A2E03AB" w14:textId="77777777" w:rsidR="008C6462" w:rsidRPr="00413675" w:rsidRDefault="008C6462" w:rsidP="00D32F19">
            <w:pPr>
              <w:pStyle w:val="Tablecontent"/>
              <w:cnfStyle w:val="000000000000" w:firstRow="0" w:lastRow="0" w:firstColumn="0" w:lastColumn="0" w:oddVBand="0" w:evenVBand="0" w:oddHBand="0" w:evenHBand="0" w:firstRowFirstColumn="0" w:firstRowLastColumn="0" w:lastRowFirstColumn="0" w:lastRowLastColumn="0"/>
            </w:pPr>
            <w:r w:rsidRPr="00413675">
              <w:t xml:space="preserve">Firewall becomes a built-in property of the VM. The </w:t>
            </w:r>
            <w:r w:rsidRPr="00413675">
              <w:rPr>
                <w:rFonts w:cs="Book Antiqua"/>
                <w:szCs w:val="19"/>
              </w:rPr>
              <w:t xml:space="preserve">firewall policy </w:t>
            </w:r>
            <w:r w:rsidRPr="00413675">
              <w:t xml:space="preserve">follows the VM. When a VM is vMotion-ed to another host, the policy </w:t>
            </w:r>
            <w:r w:rsidRPr="00413675">
              <w:rPr>
                <w:i/>
              </w:rPr>
              <w:t xml:space="preserve">follows </w:t>
            </w:r>
            <w:r w:rsidRPr="00413675">
              <w:t xml:space="preserve">it and is enforced by the hypervisor. </w:t>
            </w:r>
          </w:p>
        </w:tc>
      </w:tr>
      <w:tr w:rsidR="008C6462" w:rsidRPr="00413675" w14:paraId="192C07AC" w14:textId="77777777" w:rsidTr="00290927">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5169" w:type="dxa"/>
          </w:tcPr>
          <w:p w14:paraId="6C8DF7AE" w14:textId="77777777" w:rsidR="008C6462" w:rsidRPr="00413675" w:rsidRDefault="008C6462" w:rsidP="00D32F19">
            <w:pPr>
              <w:pStyle w:val="Tablecontent"/>
              <w:rPr>
                <w:b w:val="0"/>
                <w:bCs w:val="0"/>
              </w:rPr>
            </w:pPr>
            <w:r w:rsidRPr="00413675">
              <w:rPr>
                <w:b w:val="0"/>
                <w:bCs w:val="0"/>
              </w:rPr>
              <w:t xml:space="preserve">Firewall scales vertically and independently from the workload (demand from servers). This makes sizing difficult. IT ends up buying the biggest firewall they can afford, hence increasing the cost. </w:t>
            </w:r>
          </w:p>
        </w:tc>
        <w:tc>
          <w:tcPr>
            <w:tcW w:w="5169" w:type="dxa"/>
          </w:tcPr>
          <w:p w14:paraId="1D63CFEA" w14:textId="77777777" w:rsidR="008C6462" w:rsidRPr="00413675" w:rsidRDefault="008C6462" w:rsidP="00D32F19">
            <w:pPr>
              <w:pStyle w:val="Tablecontent"/>
              <w:cnfStyle w:val="000000100000" w:firstRow="0" w:lastRow="0" w:firstColumn="0" w:lastColumn="0" w:oddVBand="0" w:evenVBand="0" w:oddHBand="1" w:evenHBand="0" w:firstRowFirstColumn="0" w:firstRowLastColumn="0" w:lastRowFirstColumn="0" w:lastRowLastColumn="0"/>
            </w:pPr>
            <w:r w:rsidRPr="00413675">
              <w:t xml:space="preserve">Firewall scales horizontally. It grows with demand, since it is deployed as part of the hypervisor (using NSX). Upfront cost is lower as there is no need to buy a pair of high-end firewall upfront. </w:t>
            </w:r>
          </w:p>
        </w:tc>
      </w:tr>
      <w:tr w:rsidR="008C6462" w:rsidRPr="00413675" w14:paraId="40F99CD2" w14:textId="77777777" w:rsidTr="00290927">
        <w:trPr>
          <w:trHeight w:val="106"/>
        </w:trPr>
        <w:tc>
          <w:tcPr>
            <w:cnfStyle w:val="001000000000" w:firstRow="0" w:lastRow="0" w:firstColumn="1" w:lastColumn="0" w:oddVBand="0" w:evenVBand="0" w:oddHBand="0" w:evenHBand="0" w:firstRowFirstColumn="0" w:firstRowLastColumn="0" w:lastRowFirstColumn="0" w:lastRowLastColumn="0"/>
            <w:tcW w:w="5169" w:type="dxa"/>
          </w:tcPr>
          <w:p w14:paraId="492F05C9" w14:textId="77777777" w:rsidR="008C6462" w:rsidRPr="00413675" w:rsidRDefault="008C6462" w:rsidP="00D32F19">
            <w:pPr>
              <w:pStyle w:val="Tablecontent"/>
              <w:rPr>
                <w:b w:val="0"/>
                <w:bCs w:val="0"/>
              </w:rPr>
            </w:pPr>
            <w:r w:rsidRPr="00413675">
              <w:rPr>
                <w:b w:val="0"/>
                <w:bCs w:val="0"/>
              </w:rPr>
              <w:t>Traffic has to be deliberately directed to the firewall. Without it, the traffic "</w:t>
            </w:r>
            <w:r w:rsidRPr="00C34FB1">
              <w:rPr>
                <w:b w:val="0"/>
                <w:bCs w:val="0"/>
                <w:color w:val="FF0000"/>
              </w:rPr>
              <w:t>escapes</w:t>
            </w:r>
            <w:r w:rsidRPr="00413675">
              <w:rPr>
                <w:b w:val="0"/>
                <w:bCs w:val="0"/>
              </w:rPr>
              <w:t xml:space="preserve">" the firewall. </w:t>
            </w:r>
          </w:p>
        </w:tc>
        <w:tc>
          <w:tcPr>
            <w:tcW w:w="5169" w:type="dxa"/>
          </w:tcPr>
          <w:p w14:paraId="2BFDC19E" w14:textId="77777777" w:rsidR="008C6462" w:rsidRPr="00413675" w:rsidRDefault="008C6462" w:rsidP="00D32F19">
            <w:pPr>
              <w:pStyle w:val="Tablecontent"/>
              <w:cnfStyle w:val="000000000000" w:firstRow="0" w:lastRow="0" w:firstColumn="0" w:lastColumn="0" w:oddVBand="0" w:evenVBand="0" w:oddHBand="0" w:evenHBand="0" w:firstRowFirstColumn="0" w:firstRowLastColumn="0" w:lastRowFirstColumn="0" w:lastRowLastColumn="0"/>
            </w:pPr>
            <w:r w:rsidRPr="00413675">
              <w:t>All traffic passes the firewall as it's embedded into the VM and hypervisor. It cannot "escape" the firewall.</w:t>
            </w:r>
          </w:p>
        </w:tc>
      </w:tr>
      <w:tr w:rsidR="008C6462" w:rsidRPr="00413675" w14:paraId="172114B8" w14:textId="77777777" w:rsidTr="00290927">
        <w:trPr>
          <w:cnfStyle w:val="000000100000" w:firstRow="0" w:lastRow="0" w:firstColumn="0" w:lastColumn="0" w:oddVBand="0" w:evenVBand="0" w:oddHBand="1" w:evenHBand="0" w:firstRowFirstColumn="0" w:firstRowLastColumn="0" w:lastRowFirstColumn="0" w:lastRowLastColumn="0"/>
          <w:trHeight w:val="106"/>
        </w:trPr>
        <w:tc>
          <w:tcPr>
            <w:cnfStyle w:val="001000000000" w:firstRow="0" w:lastRow="0" w:firstColumn="1" w:lastColumn="0" w:oddVBand="0" w:evenVBand="0" w:oddHBand="0" w:evenHBand="0" w:firstRowFirstColumn="0" w:firstRowLastColumn="0" w:lastRowFirstColumn="0" w:lastRowLastColumn="0"/>
            <w:tcW w:w="5169" w:type="dxa"/>
          </w:tcPr>
          <w:p w14:paraId="4301F6A3" w14:textId="77777777" w:rsidR="008C6462" w:rsidRPr="00413675" w:rsidRDefault="008C6462" w:rsidP="00D32F19">
            <w:pPr>
              <w:pStyle w:val="Tablecontent"/>
              <w:rPr>
                <w:b w:val="0"/>
                <w:bCs w:val="0"/>
              </w:rPr>
            </w:pPr>
            <w:r w:rsidRPr="00413675">
              <w:rPr>
                <w:b w:val="0"/>
                <w:bCs w:val="0"/>
              </w:rPr>
              <w:t xml:space="preserve">Firewall rules are typically based on the IP address. Changing the IP address equals changing the rules. This results in a database of long and complicated rules. After a while, the firewall admin dare not delete any rules as the database becomes huge and unmanageable. </w:t>
            </w:r>
          </w:p>
        </w:tc>
        <w:tc>
          <w:tcPr>
            <w:tcW w:w="5169" w:type="dxa"/>
          </w:tcPr>
          <w:p w14:paraId="3D5F9698" w14:textId="77777777" w:rsidR="008C6462" w:rsidRPr="00413675" w:rsidRDefault="008C6462" w:rsidP="00D32F19">
            <w:pPr>
              <w:pStyle w:val="Tablecontent"/>
              <w:cnfStyle w:val="000000100000" w:firstRow="0" w:lastRow="0" w:firstColumn="0" w:lastColumn="0" w:oddVBand="0" w:evenVBand="0" w:oddHBand="1" w:evenHBand="0" w:firstRowFirstColumn="0" w:firstRowLastColumn="0" w:lastRowFirstColumn="0" w:lastRowLastColumn="0"/>
            </w:pPr>
            <w:r w:rsidRPr="00413675">
              <w:t xml:space="preserve">Rules are not tied to the IP address or hostname. This makes rules much easier. For example, we can say that all VMs in the Contractor Desktop pool cannot talk to each other. This is just one rule. When a VM gets added to this pool, the rule is applied to it. </w:t>
            </w:r>
          </w:p>
        </w:tc>
      </w:tr>
      <w:tr w:rsidR="008C6462" w:rsidRPr="00413675" w14:paraId="305052FD" w14:textId="77777777" w:rsidTr="00290927">
        <w:trPr>
          <w:trHeight w:val="106"/>
        </w:trPr>
        <w:tc>
          <w:tcPr>
            <w:cnfStyle w:val="001000000000" w:firstRow="0" w:lastRow="0" w:firstColumn="1" w:lastColumn="0" w:oddVBand="0" w:evenVBand="0" w:oddHBand="0" w:evenHBand="0" w:firstRowFirstColumn="0" w:firstRowLastColumn="0" w:lastRowFirstColumn="0" w:lastRowLastColumn="0"/>
            <w:tcW w:w="5169" w:type="dxa"/>
          </w:tcPr>
          <w:p w14:paraId="6B24A5F7" w14:textId="77777777" w:rsidR="008C6462" w:rsidRPr="00413675" w:rsidRDefault="008C6462" w:rsidP="00D32F19">
            <w:pPr>
              <w:pStyle w:val="Tablecontent"/>
              <w:rPr>
                <w:b w:val="0"/>
                <w:bCs w:val="0"/>
              </w:rPr>
            </w:pPr>
            <w:r w:rsidRPr="00413675">
              <w:rPr>
                <w:b w:val="0"/>
                <w:bCs w:val="0"/>
              </w:rPr>
              <w:t xml:space="preserve">Load Balancer is typically centrally located. Just like the firewall, sizing becomes difficult and the cost goes higher. </w:t>
            </w:r>
          </w:p>
        </w:tc>
        <w:tc>
          <w:tcPr>
            <w:tcW w:w="5169" w:type="dxa"/>
          </w:tcPr>
          <w:p w14:paraId="77FFEDBD" w14:textId="77777777" w:rsidR="008C6462" w:rsidRPr="00413675" w:rsidRDefault="008C6462" w:rsidP="00D32F19">
            <w:pPr>
              <w:pStyle w:val="Tablecontent"/>
              <w:cnfStyle w:val="000000000000" w:firstRow="0" w:lastRow="0" w:firstColumn="0" w:lastColumn="0" w:oddVBand="0" w:evenVBand="0" w:oddHBand="0" w:evenHBand="0" w:firstRowFirstColumn="0" w:firstRowLastColumn="0" w:lastRowFirstColumn="0" w:lastRowLastColumn="0"/>
            </w:pPr>
            <w:r w:rsidRPr="00413675">
              <w:t>Load Balancer is distributed. It scales with the demand. Adding hypervisor means adding load balancer capacity.</w:t>
            </w:r>
          </w:p>
        </w:tc>
      </w:tr>
    </w:tbl>
    <w:p w14:paraId="4D80C4F6" w14:textId="60B4CA3A" w:rsidR="0001564F" w:rsidRDefault="0069424D" w:rsidP="00AC6E1E">
      <w:pPr>
        <w:pStyle w:val="Heading4"/>
      </w:pPr>
      <w:r>
        <w:t>People &amp; Process</w:t>
      </w:r>
    </w:p>
    <w:p w14:paraId="12BEECEA" w14:textId="6FC55A71" w:rsidR="00FF693F" w:rsidRDefault="00FF693F" w:rsidP="00FF693F">
      <w:r w:rsidRPr="00FF693F">
        <w:t>How many people does it take to manage 1 rack worth of hardware?</w:t>
      </w:r>
    </w:p>
    <w:p w14:paraId="27BCFB6E" w14:textId="77777777" w:rsidR="00D80C20" w:rsidRDefault="00D80C20" w:rsidP="00D80C20">
      <w:r>
        <w:t>Your answer is likely “</w:t>
      </w:r>
      <w:r w:rsidRPr="00946DC1">
        <w:rPr>
          <w:color w:val="00B0F0"/>
        </w:rPr>
        <w:t>not many</w:t>
      </w:r>
      <w:r>
        <w:t xml:space="preserve">.” After all, it is just 1 standard rack. The entire thing barely occupies a small server room. </w:t>
      </w:r>
    </w:p>
    <w:p w14:paraId="1806615D" w14:textId="21317DE4" w:rsidR="00D80C20" w:rsidRDefault="00D80C20" w:rsidP="00D80C20">
      <w:r>
        <w:lastRenderedPageBreak/>
        <w:t>If your entire data center can fit inside 1 standard rack of equipment, that makes a small operation. It is indeed a small operation in physical world. However, in SDDC, you can achieve 2000 VM per rack from performance point of view. We</w:t>
      </w:r>
      <w:r w:rsidR="008754B5">
        <w:t xml:space="preserve"> a</w:t>
      </w:r>
      <w:r>
        <w:t>re using a standard 30:1 consolidation ratio, which is possible with</w:t>
      </w:r>
      <w:r w:rsidR="00D50ACE">
        <w:t xml:space="preserve"> the latest Intel or AMD</w:t>
      </w:r>
      <w:r>
        <w:t xml:space="preserve">. </w:t>
      </w:r>
      <w:r w:rsidR="006F527D">
        <w:t xml:space="preserve">From networking viewpoint, </w:t>
      </w:r>
      <w:hyperlink r:id="rId1389" w:history="1">
        <w:r w:rsidR="006F527D" w:rsidRPr="008754B5">
          <w:rPr>
            <w:rStyle w:val="Hyperlink"/>
          </w:rPr>
          <w:t>Ivan Pepelnjak</w:t>
        </w:r>
      </w:hyperlink>
      <w:r w:rsidR="008754B5">
        <w:t xml:space="preserve"> </w:t>
      </w:r>
      <w:r w:rsidR="006F527D">
        <w:t>has in fact shared back in October 2014 that “</w:t>
      </w:r>
      <w:r w:rsidR="006F527D" w:rsidRPr="00C34FB1">
        <w:rPr>
          <w:color w:val="00B0F0"/>
        </w:rPr>
        <w:t>2000 VMs can easily fit onto 40 servers</w:t>
      </w:r>
      <w:r w:rsidR="006F527D">
        <w:t xml:space="preserve">”. He elaborates the calculation </w:t>
      </w:r>
      <w:hyperlink r:id="rId1390" w:history="1">
        <w:r w:rsidR="006F527D" w:rsidRPr="006F527D">
          <w:rPr>
            <w:rStyle w:val="Hyperlink"/>
          </w:rPr>
          <w:t>here</w:t>
        </w:r>
      </w:hyperlink>
      <w:r w:rsidR="006F527D">
        <w:t xml:space="preserve">. He further </w:t>
      </w:r>
      <w:hyperlink r:id="rId1391" w:history="1">
        <w:r w:rsidR="006F527D" w:rsidRPr="00B6790F">
          <w:rPr>
            <w:rStyle w:val="Hyperlink"/>
          </w:rPr>
          <w:t>updates</w:t>
        </w:r>
      </w:hyperlink>
      <w:r w:rsidR="006F527D">
        <w:t xml:space="preserve"> that in November 2015</w:t>
      </w:r>
      <w:r w:rsidR="00B6790F">
        <w:t>.</w:t>
      </w:r>
    </w:p>
    <w:p w14:paraId="012BA168" w14:textId="7E2E7945" w:rsidR="00FF693F" w:rsidRDefault="00D80C20" w:rsidP="00D80C20">
      <w:r>
        <w:t>The above calculation takes into account your Infrastructure VM. Infrastructure functions that used to be provided by hardware (e.g. storage replication, firewall, load balancer) are now delivered as VM. You may run 100 of such VMs, depending on the type of services that your SDDC needs to provide.</w:t>
      </w:r>
    </w:p>
    <w:p w14:paraId="57EF4EE4" w14:textId="77777777" w:rsidR="00700361" w:rsidRPr="00FF693F" w:rsidRDefault="00700361" w:rsidP="00700361">
      <w:pPr>
        <w:pStyle w:val="BeforeTable"/>
      </w:pPr>
    </w:p>
    <w:tbl>
      <w:tblPr>
        <w:tblStyle w:val="PlainTable1"/>
        <w:tblW w:w="10338" w:type="dxa"/>
        <w:tblBorders>
          <w:top w:val="single" w:sz="4" w:space="0" w:color="D9D9D9" w:themeColor="background1" w:themeShade="D9"/>
          <w:left w:val="none" w:sz="0" w:space="0" w:color="auto"/>
          <w:bottom w:val="single" w:sz="4" w:space="0" w:color="D9D9D9" w:themeColor="background1" w:themeShade="D9"/>
          <w:right w:val="none" w:sz="0" w:space="0" w:color="auto"/>
          <w:insideH w:val="single" w:sz="4" w:space="0" w:color="D9D9D9" w:themeColor="background1" w:themeShade="D9"/>
          <w:insideV w:val="none" w:sz="0" w:space="0" w:color="auto"/>
        </w:tblBorders>
        <w:tblLook w:val="04A0" w:firstRow="1" w:lastRow="0" w:firstColumn="1" w:lastColumn="0" w:noHBand="0" w:noVBand="1"/>
      </w:tblPr>
      <w:tblGrid>
        <w:gridCol w:w="5169"/>
        <w:gridCol w:w="5169"/>
      </w:tblGrid>
      <w:tr w:rsidR="0069424D" w:rsidRPr="00757101" w14:paraId="63A47765" w14:textId="77777777" w:rsidTr="00290927">
        <w:trPr>
          <w:cnfStyle w:val="100000000000" w:firstRow="1" w:lastRow="0" w:firstColumn="0" w:lastColumn="0" w:oddVBand="0" w:evenVBand="0" w:oddHBand="0"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169" w:type="dxa"/>
            <w:hideMark/>
          </w:tcPr>
          <w:p w14:paraId="01B2D7EC" w14:textId="77777777" w:rsidR="0069424D" w:rsidRPr="00757101" w:rsidRDefault="0069424D" w:rsidP="00757101">
            <w:pPr>
              <w:pStyle w:val="Tableheading"/>
            </w:pPr>
            <w:r w:rsidRPr="00757101">
              <w:t>HDDC</w:t>
            </w:r>
          </w:p>
        </w:tc>
        <w:tc>
          <w:tcPr>
            <w:tcW w:w="5169" w:type="dxa"/>
            <w:hideMark/>
          </w:tcPr>
          <w:p w14:paraId="451221B8" w14:textId="77777777" w:rsidR="0069424D" w:rsidRPr="00757101" w:rsidRDefault="0069424D" w:rsidP="00757101">
            <w:pPr>
              <w:pStyle w:val="Tableheading"/>
              <w:cnfStyle w:val="100000000000" w:firstRow="1" w:lastRow="0" w:firstColumn="0" w:lastColumn="0" w:oddVBand="0" w:evenVBand="0" w:oddHBand="0" w:evenHBand="0" w:firstRowFirstColumn="0" w:firstRowLastColumn="0" w:lastRowFirstColumn="0" w:lastRowLastColumn="0"/>
            </w:pPr>
            <w:r w:rsidRPr="00757101">
              <w:t>SDDC</w:t>
            </w:r>
          </w:p>
        </w:tc>
      </w:tr>
      <w:tr w:rsidR="0069424D" w:rsidRPr="008961B8" w14:paraId="242F558F" w14:textId="77777777" w:rsidTr="00290927">
        <w:trPr>
          <w:cnfStyle w:val="000000100000" w:firstRow="0" w:lastRow="0" w:firstColumn="0" w:lastColumn="0" w:oddVBand="0" w:evenVBand="0" w:oddHBand="1" w:evenHBand="0" w:firstRowFirstColumn="0" w:firstRowLastColumn="0" w:lastRowFirstColumn="0" w:lastRowLastColumn="0"/>
          <w:trHeight w:val="1917"/>
        </w:trPr>
        <w:tc>
          <w:tcPr>
            <w:cnfStyle w:val="001000000000" w:firstRow="0" w:lastRow="0" w:firstColumn="1" w:lastColumn="0" w:oddVBand="0" w:evenVBand="0" w:oddHBand="0" w:evenHBand="0" w:firstRowFirstColumn="0" w:firstRowLastColumn="0" w:lastRowFirstColumn="0" w:lastRowLastColumn="0"/>
            <w:tcW w:w="5169" w:type="dxa"/>
          </w:tcPr>
          <w:p w14:paraId="37854F95" w14:textId="77777777" w:rsidR="0069424D" w:rsidRPr="007B7A68" w:rsidRDefault="0069424D" w:rsidP="007B7A68">
            <w:pPr>
              <w:pStyle w:val="Tablecontent"/>
            </w:pPr>
            <w:r w:rsidRPr="00715F68">
              <w:rPr>
                <w:b w:val="0"/>
              </w:rPr>
              <w:t xml:space="preserve">There's a clear silo between the compute, storage, and network teams. In organizations where the IT team is big, the DR team, Windows team, and Linux team could also be separate teams. There is also a separation between the engineering, integration (projects), and operations (business as usual) teams. The team, in turn, needs layers of management. This results in rigidity in IT. </w:t>
            </w:r>
          </w:p>
        </w:tc>
        <w:tc>
          <w:tcPr>
            <w:tcW w:w="5169" w:type="dxa"/>
          </w:tcPr>
          <w:p w14:paraId="104AE491" w14:textId="77777777" w:rsidR="0069424D" w:rsidRPr="00715F68" w:rsidRDefault="0069424D" w:rsidP="007B7A68">
            <w:pPr>
              <w:pStyle w:val="Tablecontent"/>
              <w:cnfStyle w:val="000000100000" w:firstRow="0" w:lastRow="0" w:firstColumn="0" w:lastColumn="0" w:oddVBand="0" w:evenVBand="0" w:oddHBand="1" w:evenHBand="0" w:firstRowFirstColumn="0" w:firstRowLastColumn="0" w:lastRowFirstColumn="0" w:lastRowLastColumn="0"/>
            </w:pPr>
            <w:r w:rsidRPr="00715F68">
              <w:t xml:space="preserve">With virtualization, IT is taking the game to the next level. It's a lot more powerful than the previous architecture. When you take the game to the next level, the enemy is also stronger. In this case, the expertise required is deeper and the experience requirement is more extensive. </w:t>
            </w:r>
          </w:p>
        </w:tc>
      </w:tr>
      <w:tr w:rsidR="0069424D" w:rsidRPr="008961B8" w14:paraId="272222E1" w14:textId="77777777" w:rsidTr="00290927">
        <w:trPr>
          <w:trHeight w:val="1601"/>
        </w:trPr>
        <w:tc>
          <w:tcPr>
            <w:cnfStyle w:val="001000000000" w:firstRow="0" w:lastRow="0" w:firstColumn="1" w:lastColumn="0" w:oddVBand="0" w:evenVBand="0" w:oddHBand="0" w:evenHBand="0" w:firstRowFirstColumn="0" w:firstRowLastColumn="0" w:lastRowFirstColumn="0" w:lastRowLastColumn="0"/>
            <w:tcW w:w="5169" w:type="dxa"/>
          </w:tcPr>
          <w:p w14:paraId="46F22258" w14:textId="77777777" w:rsidR="0069424D" w:rsidRPr="007B7A68" w:rsidRDefault="0069424D" w:rsidP="007B7A68">
            <w:pPr>
              <w:pStyle w:val="Tablecontent"/>
            </w:pPr>
            <w:r w:rsidRPr="00715F68">
              <w:rPr>
                <w:b w:val="0"/>
              </w:rPr>
              <w:t>Relatively more headcount required in IT, with lower skills set.</w:t>
            </w:r>
          </w:p>
        </w:tc>
        <w:tc>
          <w:tcPr>
            <w:tcW w:w="5169" w:type="dxa"/>
          </w:tcPr>
          <w:p w14:paraId="521C6A2D" w14:textId="7791C9EF" w:rsidR="0069424D" w:rsidRPr="00715F68" w:rsidRDefault="0069424D" w:rsidP="007B7A68">
            <w:pPr>
              <w:pStyle w:val="Tablecontent"/>
              <w:cnfStyle w:val="000000000000" w:firstRow="0" w:lastRow="0" w:firstColumn="0" w:lastColumn="0" w:oddVBand="0" w:evenVBand="0" w:oddHBand="0" w:evenHBand="0" w:firstRowFirstColumn="0" w:firstRowLastColumn="0" w:lastRowFirstColumn="0" w:lastRowLastColumn="0"/>
            </w:pPr>
            <w:r w:rsidRPr="00715F68">
              <w:t xml:space="preserve">Earlier, you may have needed 10 people to manage 1,000 physical servers. With virtualization, you might only need </w:t>
            </w:r>
            <w:r w:rsidR="00C34FB1">
              <w:t>3</w:t>
            </w:r>
            <w:r w:rsidRPr="00715F68">
              <w:t xml:space="preserve"> people to manage </w:t>
            </w:r>
            <w:r w:rsidR="00C34FB1">
              <w:t>30</w:t>
            </w:r>
            <w:r w:rsidRPr="00715F68">
              <w:t xml:space="preserve">00 VMs on </w:t>
            </w:r>
            <w:r w:rsidR="00791B53">
              <w:t>5</w:t>
            </w:r>
            <w:r w:rsidRPr="00715F68">
              <w:t xml:space="preserve">0 ESXi hosts. However, these 3 people have deeper expertise and </w:t>
            </w:r>
            <w:r>
              <w:t>longer</w:t>
            </w:r>
            <w:r w:rsidRPr="00715F68">
              <w:t xml:space="preserve"> experience than the 10 people combined. </w:t>
            </w:r>
          </w:p>
        </w:tc>
      </w:tr>
      <w:tr w:rsidR="0069424D" w:rsidRPr="008961B8" w14:paraId="12719610" w14:textId="77777777" w:rsidTr="00290927">
        <w:trPr>
          <w:cnfStyle w:val="000000100000" w:firstRow="0" w:lastRow="0" w:firstColumn="0" w:lastColumn="0" w:oddVBand="0" w:evenVBand="0" w:oddHBand="1" w:evenHBand="0" w:firstRowFirstColumn="0" w:firstRowLastColumn="0" w:lastRowFirstColumn="0" w:lastRowLastColumn="0"/>
          <w:trHeight w:val="973"/>
        </w:trPr>
        <w:tc>
          <w:tcPr>
            <w:cnfStyle w:val="001000000000" w:firstRow="0" w:lastRow="0" w:firstColumn="1" w:lastColumn="0" w:oddVBand="0" w:evenVBand="0" w:oddHBand="0" w:evenHBand="0" w:firstRowFirstColumn="0" w:firstRowLastColumn="0" w:lastRowFirstColumn="0" w:lastRowLastColumn="0"/>
            <w:tcW w:w="5169" w:type="dxa"/>
          </w:tcPr>
          <w:p w14:paraId="63A0E61B" w14:textId="77777777" w:rsidR="0069424D" w:rsidRPr="007B7A68" w:rsidRDefault="0069424D" w:rsidP="007B7A68">
            <w:pPr>
              <w:pStyle w:val="Tablecontent"/>
            </w:pPr>
            <w:r w:rsidRPr="00715F68">
              <w:rPr>
                <w:b w:val="0"/>
              </w:rPr>
              <w:t>DevOps is a concept that applies to developers or application team.</w:t>
            </w:r>
            <w:r>
              <w:rPr>
                <w:b w:val="0"/>
              </w:rPr>
              <w:t xml:space="preserve"> It does not apply to Infrastructure team.</w:t>
            </w:r>
          </w:p>
        </w:tc>
        <w:tc>
          <w:tcPr>
            <w:tcW w:w="5169" w:type="dxa"/>
          </w:tcPr>
          <w:p w14:paraId="2EA887E1" w14:textId="77777777" w:rsidR="0069424D" w:rsidRPr="00715F68" w:rsidRDefault="0069424D" w:rsidP="007B7A68">
            <w:pPr>
              <w:pStyle w:val="Tablecontent"/>
              <w:cnfStyle w:val="000000100000" w:firstRow="0" w:lastRow="0" w:firstColumn="0" w:lastColumn="0" w:oddVBand="0" w:evenVBand="0" w:oddHBand="1" w:evenHBand="0" w:firstRowFirstColumn="0" w:firstRowLastColumn="0" w:lastRowFirstColumn="0" w:lastRowLastColumn="0"/>
            </w:pPr>
            <w:r>
              <w:t>The IaaS team needs to have its own “</w:t>
            </w:r>
            <w:r w:rsidRPr="00C34FB1">
              <w:rPr>
                <w:color w:val="00B0F0"/>
              </w:rPr>
              <w:t>DevOps</w:t>
            </w:r>
            <w:r>
              <w:t xml:space="preserve">” too. As the infrastructure becomes software, there is a need for continuous flow from Architect </w:t>
            </w:r>
            <w:r>
              <w:rPr>
                <w:rFonts w:ascii="Wingdings" w:eastAsia="Wingdings" w:hAnsi="Wingdings" w:cs="Wingdings"/>
              </w:rPr>
              <w:t>à</w:t>
            </w:r>
            <w:r>
              <w:t xml:space="preserve"> Engineer </w:t>
            </w:r>
            <w:r>
              <w:rPr>
                <w:rFonts w:ascii="Wingdings" w:eastAsia="Wingdings" w:hAnsi="Wingdings" w:cs="Wingdings"/>
              </w:rPr>
              <w:t>à</w:t>
            </w:r>
            <w:r>
              <w:t xml:space="preserve"> Implement </w:t>
            </w:r>
            <w:r>
              <w:rPr>
                <w:rFonts w:ascii="Wingdings" w:eastAsia="Wingdings" w:hAnsi="Wingdings" w:cs="Wingdings"/>
              </w:rPr>
              <w:t>à</w:t>
            </w:r>
            <w:r>
              <w:t xml:space="preserve"> Operate </w:t>
            </w:r>
            <w:r>
              <w:rPr>
                <w:rFonts w:ascii="Wingdings" w:eastAsia="Wingdings" w:hAnsi="Wingdings" w:cs="Wingdings"/>
              </w:rPr>
              <w:t>à</w:t>
            </w:r>
            <w:r>
              <w:t xml:space="preserve"> Upgrade</w:t>
            </w:r>
          </w:p>
        </w:tc>
      </w:tr>
    </w:tbl>
    <w:p w14:paraId="59EE565E" w14:textId="2D29589D" w:rsidR="00577B97" w:rsidRPr="00577B97" w:rsidRDefault="00577B97" w:rsidP="00577B97">
      <w:r>
        <w:t xml:space="preserve">I’ll end this chapter with a </w:t>
      </w:r>
      <w:r>
        <w:rPr>
          <w:lang w:val="en-GB"/>
        </w:rPr>
        <w:t>From the main</w:t>
      </w:r>
      <w:r w:rsidRPr="009A3DED">
        <w:rPr>
          <w:lang w:val="en-GB"/>
        </w:rPr>
        <w:t xml:space="preserve"> menu, click Administration and in the left pane click Configuration </w:t>
      </w:r>
      <w:r w:rsidRPr="00157A34">
        <w:rPr>
          <w:rFonts w:ascii="Wingdings" w:eastAsia="Wingdings" w:hAnsi="Wingdings" w:cs="Wingdings"/>
          <w:lang w:val="en-GB"/>
        </w:rPr>
        <w:t>à</w:t>
      </w:r>
      <w:r w:rsidRPr="009A3DED">
        <w:rPr>
          <w:lang w:val="en-GB"/>
        </w:rPr>
        <w:t xml:space="preserve"> Super Metrics. </w:t>
      </w:r>
    </w:p>
    <w:p w14:paraId="6F894F44" w14:textId="2FF180B9" w:rsidR="0069424D" w:rsidRDefault="00B1061A" w:rsidP="00B373E2">
      <w:pPr>
        <w:pStyle w:val="Heading2"/>
      </w:pPr>
      <w:bookmarkStart w:id="158" w:name="_VDI_&amp;_DaaS"/>
      <w:bookmarkEnd w:id="158"/>
      <w:r>
        <w:lastRenderedPageBreak/>
        <w:t>Infrastructure Architect</w:t>
      </w:r>
    </w:p>
    <w:p w14:paraId="3AD20CB3" w14:textId="7ED51494" w:rsidR="00DB2B8F" w:rsidRPr="00A452F2" w:rsidRDefault="00846D8D" w:rsidP="003F097B">
      <w:pPr>
        <w:pStyle w:val="AfterChapterTitle"/>
        <w:rPr>
          <w:lang w:val="en-GB"/>
        </w:rPr>
      </w:pPr>
      <w:r>
        <mc:AlternateContent>
          <mc:Choice Requires="wps">
            <w:drawing>
              <wp:anchor distT="0" distB="0" distL="114300" distR="114300" simplePos="0" relativeHeight="251657216" behindDoc="0" locked="0" layoutInCell="1" allowOverlap="1" wp14:anchorId="125D872C" wp14:editId="1AC9EAD7">
                <wp:simplePos x="0" y="0"/>
                <wp:positionH relativeFrom="column">
                  <wp:posOffset>0</wp:posOffset>
                </wp:positionH>
                <wp:positionV relativeFrom="paragraph">
                  <wp:posOffset>0</wp:posOffset>
                </wp:positionV>
                <wp:extent cx="1828800" cy="1828800"/>
                <wp:effectExtent l="0" t="0" r="0" b="0"/>
                <wp:wrapNone/>
                <wp:docPr id="1085195930" name="Text Box 108519593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73446D70" w14:textId="3627EA1D" w:rsidR="00E66F24" w:rsidRPr="00C84219" w:rsidRDefault="00E66F24" w:rsidP="00846D8D">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4 Chapter </w:t>
                            </w:r>
                            <w:r w:rsidR="0008406F">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a:scene3d>
                          <a:camera prst="orthographicFront"/>
                          <a:lightRig rig="soft" dir="t">
                            <a:rot lat="0" lon="0" rev="15600000"/>
                          </a:lightRig>
                        </a:scene3d>
                        <a:sp3d extrusionH="57150" prstMaterial="softEdge">
                          <a:bevelT w="25400" h="38100"/>
                        </a:sp3d>
                      </wps:bodyPr>
                    </wps:wsp>
                  </a:graphicData>
                </a:graphic>
              </wp:anchor>
            </w:drawing>
          </mc:Choice>
          <mc:Fallback>
            <w:pict>
              <v:shape w14:anchorId="125D872C" id="Text Box 1085195930" o:spid="_x0000_s1054" type="#_x0000_t202" style="position:absolute;margin-left:0;margin-top:0;width:2in;height:2in;z-index:2516572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" filled="f" stroked="f">
                <v:textbox style="mso-fit-shape-to-text:t">
                  <w:txbxContent>
                    <w:p w14:paraId="73446D70" w14:textId="3627EA1D" w:rsidR="00E66F24" w:rsidRPr="00C84219" w:rsidRDefault="00E66F24" w:rsidP="00846D8D">
                      <w:pPr>
                        <w:jc w:val="cente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pPr>
                      <w:r>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 xml:space="preserve">Part 4 Chapter </w:t>
                      </w:r>
                      <w:r w:rsidR="0008406F">
                        <w:rPr>
                          <w:b/>
                          <w:color w:val="FFC000" w:themeColor="accent4"/>
                          <w:sz w:val="72"/>
                          <w:szCs w:val="72"/>
                          <w14:textOutline w14:w="0" w14:cap="flat" w14:cmpd="sng" w14:algn="ctr">
                            <w14:noFill/>
                            <w14:prstDash w14:val="solid"/>
                            <w14:round/>
                          </w14:textOutline>
                          <w14:props3d w14:extrusionH="57150" w14:contourW="0" w14:prstMaterial="softEdge">
                            <w14:bevelT w14:w="25400" w14:h="38100" w14:prst="circle"/>
                          </w14:props3d>
                        </w:rPr>
                        <w:t>3</w:t>
                      </w:r>
                    </w:p>
                  </w:txbxContent>
                </v:textbox>
              </v:shape>
            </w:pict>
          </mc:Fallback>
        </mc:AlternateContent>
      </w:r>
      <w:r w:rsidR="00DB2B8F" w:rsidRPr="236A84E9">
        <w:rPr>
          <w:lang w:val="en-GB"/>
        </w:rPr>
        <w:t xml:space="preserve">I see myself as an </w:t>
      </w:r>
      <w:r w:rsidR="00BC477C">
        <w:rPr>
          <w:lang w:val="en-GB"/>
        </w:rPr>
        <w:t>I</w:t>
      </w:r>
      <w:r w:rsidR="00DB2B8F" w:rsidRPr="236A84E9">
        <w:rPr>
          <w:lang w:val="en-GB"/>
        </w:rPr>
        <w:t xml:space="preserve">nfrastructure </w:t>
      </w:r>
      <w:r w:rsidR="00BC477C">
        <w:rPr>
          <w:lang w:val="en-GB"/>
        </w:rPr>
        <w:t>A</w:t>
      </w:r>
      <w:r w:rsidR="00DB2B8F" w:rsidRPr="236A84E9">
        <w:rPr>
          <w:lang w:val="en-GB"/>
        </w:rPr>
        <w:t xml:space="preserve">rchitect. </w:t>
      </w:r>
      <w:r w:rsidR="00AA7FE4" w:rsidRPr="236A84E9">
        <w:rPr>
          <w:lang w:val="en-GB"/>
        </w:rPr>
        <w:t>After almost a decade in application world, I</w:t>
      </w:r>
      <w:r w:rsidR="00566EDB" w:rsidRPr="236A84E9">
        <w:rPr>
          <w:lang w:val="en-GB"/>
        </w:rPr>
        <w:t xml:space="preserve"> </w:t>
      </w:r>
      <w:r w:rsidR="00AA7FE4" w:rsidRPr="236A84E9">
        <w:rPr>
          <w:lang w:val="en-GB"/>
        </w:rPr>
        <w:t xml:space="preserve">entered </w:t>
      </w:r>
      <w:r w:rsidR="00566EDB" w:rsidRPr="236A84E9">
        <w:rPr>
          <w:lang w:val="en-GB"/>
        </w:rPr>
        <w:t>the weird and wonderful world of enterprise IT infrastructure</w:t>
      </w:r>
      <w:r w:rsidR="009E4F44">
        <w:rPr>
          <w:lang w:val="en-GB"/>
        </w:rPr>
        <w:t xml:space="preserve">, starting as </w:t>
      </w:r>
      <w:r w:rsidR="000D4542">
        <w:rPr>
          <w:lang w:val="en-GB"/>
        </w:rPr>
        <w:t xml:space="preserve">a </w:t>
      </w:r>
      <w:r w:rsidR="009E4F44">
        <w:rPr>
          <w:lang w:val="en-GB"/>
        </w:rPr>
        <w:t xml:space="preserve">presales with </w:t>
      </w:r>
      <w:hyperlink r:id="rId1392" w:history="1">
        <w:r w:rsidR="009E4F44" w:rsidRPr="00C17117">
          <w:rPr>
            <w:rStyle w:val="Hyperlink"/>
            <w:lang w:val="en-GB"/>
          </w:rPr>
          <w:t>Sun Microsystems</w:t>
        </w:r>
      </w:hyperlink>
      <w:r w:rsidR="009E4F44">
        <w:rPr>
          <w:lang w:val="en-GB"/>
        </w:rPr>
        <w:t xml:space="preserve"> in 2003</w:t>
      </w:r>
      <w:r w:rsidR="00F74770" w:rsidRPr="236A84E9">
        <w:rPr>
          <w:lang w:val="en-GB"/>
        </w:rPr>
        <w:t xml:space="preserve">. </w:t>
      </w:r>
      <w:r w:rsidR="009E4F44" w:rsidRPr="236A84E9">
        <w:rPr>
          <w:lang w:val="en-GB"/>
        </w:rPr>
        <w:t>My job titles</w:t>
      </w:r>
      <w:r w:rsidR="009E4F44">
        <w:rPr>
          <w:lang w:val="en-GB"/>
        </w:rPr>
        <w:t>,</w:t>
      </w:r>
      <w:r w:rsidR="009E4F44" w:rsidRPr="236A84E9">
        <w:rPr>
          <w:lang w:val="en-GB"/>
        </w:rPr>
        <w:t xml:space="preserve"> roles </w:t>
      </w:r>
      <w:r w:rsidR="009E4F44">
        <w:rPr>
          <w:lang w:val="en-GB"/>
        </w:rPr>
        <w:t xml:space="preserve">and departments </w:t>
      </w:r>
      <w:r w:rsidR="009E4F44" w:rsidRPr="236A84E9">
        <w:rPr>
          <w:lang w:val="en-GB"/>
        </w:rPr>
        <w:t>have changed many times since</w:t>
      </w:r>
      <w:r w:rsidR="009E4F44">
        <w:rPr>
          <w:lang w:val="en-GB"/>
        </w:rPr>
        <w:t xml:space="preserve"> then, but fundamentally it’s about architecting enterprise infrastructure</w:t>
      </w:r>
      <w:r w:rsidR="009E4F44" w:rsidRPr="236A84E9">
        <w:rPr>
          <w:lang w:val="en-GB"/>
        </w:rPr>
        <w:t xml:space="preserve">. </w:t>
      </w:r>
    </w:p>
    <w:p w14:paraId="61BB5DB5" w14:textId="3A739367" w:rsidR="00482056" w:rsidRDefault="00482056" w:rsidP="00540F68">
      <w:pPr>
        <w:pStyle w:val="Heading3"/>
      </w:pPr>
      <w:bookmarkStart w:id="159" w:name="_The_Chef_and"/>
      <w:bookmarkEnd w:id="159"/>
      <w:r w:rsidRPr="004D094B">
        <w:t xml:space="preserve">The Chef and </w:t>
      </w:r>
      <w:r>
        <w:t>H</w:t>
      </w:r>
      <w:r w:rsidRPr="004D094B">
        <w:t xml:space="preserve">is </w:t>
      </w:r>
      <w:r>
        <w:t>C</w:t>
      </w:r>
      <w:r w:rsidRPr="004D094B">
        <w:t>ooking</w:t>
      </w:r>
    </w:p>
    <w:p w14:paraId="7EEAA431" w14:textId="3541D8D7" w:rsidR="00482056" w:rsidRPr="00482056" w:rsidRDefault="1A9A3DAE" w:rsidP="00482056">
      <w:pPr>
        <w:jc w:val="center"/>
        <w:rPr>
          <w:lang w:val="en-GB"/>
        </w:rPr>
      </w:pPr>
      <w:r>
        <w:rPr>
          <w:noProof/>
        </w:rPr>
        <w:drawing>
          <wp:inline distT="0" distB="0" distL="0" distR="0" wp14:anchorId="3A2880A7" wp14:editId="7B67C219">
            <wp:extent cx="4102862" cy="2289386"/>
            <wp:effectExtent l="0" t="0" r="0" b="0"/>
            <wp:docPr id="6063942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pic:nvPicPr>
                  <pic:blipFill>
                    <a:blip r:embed="rId1393">
                      <a:extLst>
                        <a:ext uri="{FF2B5EF4-FFF2-40B4-BE49-F238E27FC236}">
                          <a16:creationId xmlns:arto="http://schemas.microsoft.com/office/word/2006/arto" xmlns:a16="http://schemas.microsoft.com/office/drawing/2014/main" xmlns:a14="http://schemas.microsoft.com/office/drawing/2010/main" xmlns:w="http://schemas.openxmlformats.org/wordprocessingml/2006/main" xmlns:w10="urn:schemas-microsoft-com:office:word" xmlns:v="urn:schemas-microsoft-com:vml" xmlns:o="urn:schemas-microsoft-com:office:office" xmlns="" id="{C425DF40-BFA5-453C-933F-A8402CC3A327}"/>
                        </a:ext>
                      </a:extLst>
                    </a:blip>
                    <a:srcRect b="16307"/>
                    <a:stretch>
                      <a:fillRect/>
                    </a:stretch>
                  </pic:blipFill>
                  <pic:spPr>
                    <a:xfrm>
                      <a:off x="0" y="0"/>
                      <a:ext cx="4102862" cy="2289386"/>
                    </a:xfrm>
                    <a:prstGeom prst="rect">
                      <a:avLst/>
                    </a:prstGeom>
                  </pic:spPr>
                </pic:pic>
              </a:graphicData>
            </a:graphic>
          </wp:inline>
        </w:drawing>
      </w:r>
    </w:p>
    <w:p w14:paraId="6C06DBEB" w14:textId="40D68867" w:rsidR="00482056" w:rsidRDefault="00482056" w:rsidP="00482056">
      <w:pPr>
        <w:rPr>
          <w:lang w:val="en-GB"/>
        </w:rPr>
      </w:pPr>
      <w:r w:rsidRPr="365FBACA">
        <w:rPr>
          <w:lang w:val="en-GB"/>
        </w:rPr>
        <w:t xml:space="preserve">This is a story of the life of a VMware Admin that I shared as an impromptu presentation at our VMUG Singapore back in 2014 and it still resonates </w:t>
      </w:r>
      <w:r w:rsidR="008754B5">
        <w:rPr>
          <w:lang w:val="en-GB"/>
        </w:rPr>
        <w:t xml:space="preserve">until </w:t>
      </w:r>
      <w:r w:rsidRPr="365FBACA">
        <w:rPr>
          <w:lang w:val="en-GB"/>
        </w:rPr>
        <w:t xml:space="preserve">today. </w:t>
      </w:r>
    </w:p>
    <w:p w14:paraId="5E2FA72D" w14:textId="77777777" w:rsidR="00482056" w:rsidRPr="00C84FA6" w:rsidRDefault="00482056" w:rsidP="00482056">
      <w:pPr>
        <w:rPr>
          <w:lang w:val="en-GB"/>
        </w:rPr>
      </w:pPr>
      <w:r w:rsidRPr="03BF0FB8">
        <w:rPr>
          <w:lang w:val="en-GB"/>
        </w:rPr>
        <w:lastRenderedPageBreak/>
        <w:t>The restaurant business provides a good analogy to our IaaS business. We, the infrastructure architect, are the Chef. In that end-user environment where you work, you are the expert in producing what your customers want. You architect and design a solid platform, where your customers can confidently run their VMs. If there is an issue, you often get involved, restoring their confidence in your creation. You are seen as the VMware expert, or the virtualization expert. Yes, you may engage VMware Professional Services or Support, but they are not employees of you company. You are the employee. As far as your customers concern, the buck stops at you.</w:t>
      </w:r>
    </w:p>
    <w:p w14:paraId="652D5D43" w14:textId="03A2B803" w:rsidR="00482056" w:rsidRPr="00C84FA6" w:rsidRDefault="00482056" w:rsidP="00482056">
      <w:pPr>
        <w:rPr>
          <w:lang w:val="en-GB"/>
        </w:rPr>
      </w:pPr>
      <w:r w:rsidRPr="03BF0FB8">
        <w:rPr>
          <w:lang w:val="en-GB"/>
        </w:rPr>
        <w:t xml:space="preserve">You do not sell hardware nor </w:t>
      </w:r>
      <w:r w:rsidR="008E2F90" w:rsidRPr="03BF0FB8">
        <w:rPr>
          <w:lang w:val="en-GB"/>
        </w:rPr>
        <w:t>software;</w:t>
      </w:r>
      <w:r w:rsidRPr="03BF0FB8">
        <w:rPr>
          <w:lang w:val="en-GB"/>
        </w:rPr>
        <w:t xml:space="preserve"> you charge your customers per VM. In fact, to ensure that your customers order the right kind of VM, you need to charge per vCPU, per vRAM and per vDisk. The chargeback model is something that I very rarely see discussed. We tend to stay in technical discussions. We need to realise we are no longer just a System Builder. We are Service Provider. By not extending our circle of influence into how </w:t>
      </w:r>
      <w:r w:rsidR="00A565B3">
        <w:rPr>
          <w:lang w:val="en-GB"/>
        </w:rPr>
        <w:t>Application</w:t>
      </w:r>
      <w:r w:rsidRPr="03BF0FB8">
        <w:rPr>
          <w:lang w:val="en-GB"/>
        </w:rPr>
        <w:t xml:space="preserve"> Teams should pay for our service, we created the issue we have today (Oversized VMs, dormant VMs, VM sprawl). We need to “step out from the kitchen” from time to time. We need to be like the Chef who steps out into the dining area, building relationships with his customers, explaining the reason behind his cooking.</w:t>
      </w:r>
    </w:p>
    <w:p w14:paraId="185FAD1B" w14:textId="77777777" w:rsidR="00482056" w:rsidRPr="00C84FA6" w:rsidRDefault="00482056" w:rsidP="00482056">
      <w:pPr>
        <w:rPr>
          <w:lang w:val="en-GB"/>
        </w:rPr>
      </w:pPr>
      <w:r w:rsidRPr="0B7DA2CA">
        <w:rPr>
          <w:lang w:val="en-GB"/>
        </w:rPr>
        <w:t>As the Architect, we are the best person to determine how much to charge for these. We built this environment. We know the costs, and we know the capacity. Not convinced? Put it this way, would you rather someone else determine how much your creation is worth?</w:t>
      </w:r>
    </w:p>
    <w:p w14:paraId="2980AF84" w14:textId="03C3354F" w:rsidR="00482056" w:rsidRPr="00C84FA6" w:rsidRDefault="00482056" w:rsidP="00482056">
      <w:pPr>
        <w:rPr>
          <w:lang w:val="en-GB"/>
        </w:rPr>
      </w:pPr>
      <w:r w:rsidRPr="0B7DA2CA">
        <w:rPr>
          <w:lang w:val="en-GB"/>
        </w:rPr>
        <w:t>We all know that IT exists because of Business. It starts with the Business. Some of the issues we have are caused by unsuitable chargeback models and incorrect Service Tiering. The VM in Tier 1 (mission critical) platform cannot cost the same as the VM in Tier 3 (</w:t>
      </w:r>
      <w:r w:rsidR="008E2F90" w:rsidRPr="0B7DA2CA">
        <w:rPr>
          <w:lang w:val="en-GB"/>
        </w:rPr>
        <w:t>non-prod</w:t>
      </w:r>
      <w:r w:rsidR="008E2F90">
        <w:rPr>
          <w:lang w:val="en-GB"/>
        </w:rPr>
        <w:t>uction</w:t>
      </w:r>
      <w:r w:rsidRPr="0B7DA2CA">
        <w:rPr>
          <w:lang w:val="en-GB"/>
        </w:rPr>
        <w:t>). I’d make sure there is distinct difference in quality between Tier 1, Tier 2 and Tier 3, so it’s easy for business to choose. Need a good example? Review this.</w:t>
      </w:r>
    </w:p>
    <w:p w14:paraId="48DA121A" w14:textId="77777777" w:rsidR="00482056" w:rsidRPr="00C84FA6" w:rsidRDefault="00482056" w:rsidP="00482056">
      <w:pPr>
        <w:rPr>
          <w:lang w:val="en-GB"/>
        </w:rPr>
      </w:pPr>
      <w:r w:rsidRPr="0B7DA2CA">
        <w:rPr>
          <w:lang w:val="en-GB"/>
        </w:rPr>
        <w:t>Using the restaurant analogy, say you cook fried rice. It’s your dish. You need to determine the price of the fried rice. You also need to be able to justify why you have normal fried rice and special fried rice, and why the special one costs a lot more for the same amount of food.</w:t>
      </w:r>
    </w:p>
    <w:p w14:paraId="70F53D4B" w14:textId="5975A191" w:rsidR="00482056" w:rsidRPr="00C84FA6" w:rsidRDefault="00482056" w:rsidP="00482056">
      <w:pPr>
        <w:rPr>
          <w:lang w:val="en-GB"/>
        </w:rPr>
      </w:pPr>
      <w:r w:rsidRPr="00C84FA6">
        <w:rPr>
          <w:lang w:val="en-GB"/>
        </w:rPr>
        <w:t xml:space="preserve">To me, the Chargeback model and the Service Tiering serve as Key Drivers to our Architecture. I will not consider my architecture complete unless I include these 2 in my design. We are architecting to meet the business requirements, which are “defined” in the chargeback model (e.g. the business wants a $100 VM per month, not a $100K VM per month), and service tiering (e.g. the business wants 99.999% and 3% CPU </w:t>
      </w:r>
      <w:r w:rsidR="00183E9E">
        <w:rPr>
          <w:lang w:val="en-GB"/>
        </w:rPr>
        <w:t>Ready</w:t>
      </w:r>
      <w:r w:rsidRPr="00C84FA6">
        <w:rPr>
          <w:lang w:val="en-GB"/>
        </w:rPr>
        <w:t>).</w:t>
      </w:r>
    </w:p>
    <w:p w14:paraId="0B3D5BE3" w14:textId="77777777" w:rsidR="00482056" w:rsidRPr="00C84FA6" w:rsidRDefault="00482056" w:rsidP="00482056">
      <w:pPr>
        <w:rPr>
          <w:lang w:val="en-GB"/>
        </w:rPr>
      </w:pPr>
      <w:r w:rsidRPr="00C84FA6">
        <w:rPr>
          <w:lang w:val="en-GB"/>
        </w:rPr>
        <w:t xml:space="preserve">As shared, I see a chance for us to </w:t>
      </w:r>
      <w:r w:rsidRPr="00531519">
        <w:rPr>
          <w:b/>
          <w:bCs/>
          <w:lang w:val="en-GB"/>
        </w:rPr>
        <w:t>step up</w:t>
      </w:r>
      <w:r>
        <w:rPr>
          <w:lang w:val="en-GB"/>
        </w:rPr>
        <w:t xml:space="preserve"> and </w:t>
      </w:r>
      <w:r w:rsidRPr="00531519">
        <w:rPr>
          <w:b/>
          <w:bCs/>
          <w:lang w:val="en-GB"/>
        </w:rPr>
        <w:t>step out</w:t>
      </w:r>
      <w:r w:rsidRPr="00C84FA6">
        <w:rPr>
          <w:lang w:val="en-GB"/>
        </w:rPr>
        <w:t>.</w:t>
      </w:r>
    </w:p>
    <w:p w14:paraId="15BE098A" w14:textId="77777777" w:rsidR="00C278CC" w:rsidRDefault="00482056" w:rsidP="00C278CC">
      <w:pPr>
        <w:pStyle w:val="Bullet"/>
        <w:rPr>
          <w:lang w:val="en-GB"/>
        </w:rPr>
      </w:pPr>
      <w:r w:rsidRPr="00C84FA6">
        <w:rPr>
          <w:lang w:val="en-GB"/>
        </w:rPr>
        <w:t>Step out of the kitchen and network with your customers (the App</w:t>
      </w:r>
      <w:r>
        <w:rPr>
          <w:lang w:val="en-GB"/>
        </w:rPr>
        <w:t>lication</w:t>
      </w:r>
      <w:r w:rsidRPr="00C84FA6">
        <w:rPr>
          <w:lang w:val="en-GB"/>
        </w:rPr>
        <w:t xml:space="preserve"> team). Educate and fix the problem at the source. </w:t>
      </w:r>
    </w:p>
    <w:p w14:paraId="4BFACDD5" w14:textId="53483FA2" w:rsidR="00482056" w:rsidRPr="00C84FA6" w:rsidRDefault="00482056" w:rsidP="00C278CC">
      <w:pPr>
        <w:pStyle w:val="Bullet"/>
        <w:rPr>
          <w:lang w:val="en-GB"/>
        </w:rPr>
      </w:pPr>
      <w:r w:rsidRPr="00C84FA6">
        <w:rPr>
          <w:lang w:val="en-GB"/>
        </w:rPr>
        <w:t>Step up from pure IT architecture to business architecture. Architect your pricing strategy and service tiering.</w:t>
      </w:r>
    </w:p>
    <w:p w14:paraId="6FB75152" w14:textId="77777777" w:rsidR="00482056" w:rsidRPr="00C84FA6" w:rsidRDefault="00482056" w:rsidP="00482056">
      <w:pPr>
        <w:rPr>
          <w:lang w:val="en-GB"/>
        </w:rPr>
      </w:pPr>
      <w:r w:rsidRPr="00C84FA6">
        <w:rPr>
          <w:lang w:val="en-GB"/>
        </w:rPr>
        <w:t>The good thing about pricing is…. your benchmark is already set.</w:t>
      </w:r>
    </w:p>
    <w:p w14:paraId="66B7BB09" w14:textId="77777777" w:rsidR="00482056" w:rsidRPr="00C84FA6" w:rsidRDefault="00482056" w:rsidP="00482056">
      <w:pPr>
        <w:rPr>
          <w:lang w:val="en-GB"/>
        </w:rPr>
      </w:pPr>
      <w:r w:rsidRPr="236A84E9">
        <w:rPr>
          <w:lang w:val="en-GB"/>
        </w:rPr>
        <w:t>Azure, AWS, Google, and many Service Providers have already set the benchmark. Your private cloud cannot be too far from it. Too low and you will likely make a loss (it’s almost impossible to beat their efficiency). Too high and you will get a complain. Another source of benchmark is to consider what it would cost to run the same applications on physical servers</w:t>
      </w:r>
    </w:p>
    <w:p w14:paraId="318F390A" w14:textId="27BD8FFD" w:rsidR="00482056" w:rsidRPr="00C84FA6" w:rsidRDefault="00482056" w:rsidP="00482056">
      <w:pPr>
        <w:rPr>
          <w:lang w:val="en-GB"/>
        </w:rPr>
      </w:pPr>
      <w:r w:rsidRPr="00C84FA6">
        <w:rPr>
          <w:lang w:val="en-GB"/>
        </w:rPr>
        <w:t xml:space="preserve">If you are pricing your VDI, the cost of a PC sets your benchmark. You can be higher, but not by a huge gap. A PC costs $800 with Windows + 3 year warranty + </w:t>
      </w:r>
      <w:r w:rsidR="001F1789">
        <w:rPr>
          <w:lang w:val="en-GB"/>
        </w:rPr>
        <w:t>2</w:t>
      </w:r>
      <w:r w:rsidRPr="00C84FA6">
        <w:rPr>
          <w:lang w:val="en-GB"/>
        </w:rPr>
        <w:t>1” monitor. Add your IT Desktop cost, and you meet your benchmark</w:t>
      </w:r>
      <w:r>
        <w:rPr>
          <w:lang w:val="en-GB"/>
        </w:rPr>
        <w:t>.</w:t>
      </w:r>
    </w:p>
    <w:p w14:paraId="5E8BF645" w14:textId="77777777" w:rsidR="00482056" w:rsidRPr="00DB2B8F" w:rsidRDefault="00482056" w:rsidP="00482056">
      <w:pPr>
        <w:rPr>
          <w:lang w:val="en-GB"/>
        </w:rPr>
      </w:pPr>
      <w:r>
        <w:rPr>
          <w:lang w:val="en-GB"/>
        </w:rPr>
        <w:t>I hope you enjoyed it and do share your life story!</w:t>
      </w:r>
    </w:p>
    <w:p w14:paraId="44BA3156" w14:textId="319442B0" w:rsidR="00734413" w:rsidRDefault="00734413" w:rsidP="00540F68">
      <w:pPr>
        <w:pStyle w:val="Heading3"/>
      </w:pPr>
      <w:bookmarkStart w:id="160" w:name="_Global_Role"/>
      <w:bookmarkEnd w:id="160"/>
      <w:r>
        <w:lastRenderedPageBreak/>
        <w:t>About the Author</w:t>
      </w:r>
    </w:p>
    <w:p w14:paraId="36038823" w14:textId="23156AFF" w:rsidR="00734413" w:rsidRPr="0000726B" w:rsidRDefault="00734413" w:rsidP="00734413">
      <w:pPr>
        <w:rPr>
          <w:rFonts w:cstheme="minorHAnsi"/>
          <w:lang w:val="en-GB"/>
        </w:rPr>
      </w:pPr>
      <w:bookmarkStart w:id="161" w:name="_Hlk136098636"/>
      <w:r w:rsidRPr="005D10F7">
        <w:rPr>
          <w:rFonts w:cstheme="minorHAnsi"/>
          <w:color w:val="00B0F0"/>
          <w:lang w:val="en-GB"/>
        </w:rPr>
        <w:t>W</w:t>
      </w:r>
      <w:r w:rsidRPr="005D10F7">
        <w:rPr>
          <w:rFonts w:cstheme="minorHAnsi"/>
          <w:color w:val="FF0000"/>
          <w:lang w:val="en-GB"/>
        </w:rPr>
        <w:t>o</w:t>
      </w:r>
      <w:r w:rsidRPr="005D10F7">
        <w:rPr>
          <w:rFonts w:cstheme="minorHAnsi"/>
          <w:color w:val="00B050"/>
          <w:lang w:val="en-GB"/>
        </w:rPr>
        <w:t>w</w:t>
      </w:r>
      <w:r w:rsidRPr="0000726B">
        <w:rPr>
          <w:rFonts w:cstheme="minorHAnsi"/>
          <w:lang w:val="en-GB"/>
        </w:rPr>
        <w:t>, you made it to the end of the book</w:t>
      </w:r>
      <w:r>
        <w:rPr>
          <w:rFonts w:cstheme="minorHAnsi"/>
          <w:lang w:val="en-GB"/>
        </w:rPr>
        <w:t>!</w:t>
      </w:r>
      <w:r w:rsidRPr="0000726B">
        <w:rPr>
          <w:rFonts w:cstheme="minorHAnsi"/>
          <w:lang w:val="en-GB"/>
        </w:rPr>
        <w:t xml:space="preserve"> If you have read this far I certainly want to know more about you. </w:t>
      </w:r>
      <w:r>
        <w:rPr>
          <w:rFonts w:cstheme="minorHAnsi"/>
          <w:lang w:val="en-GB"/>
        </w:rPr>
        <w:t xml:space="preserve">Connect with </w:t>
      </w:r>
      <w:hyperlink r:id="rId1394" w:history="1">
        <w:r w:rsidRPr="0029728D">
          <w:rPr>
            <w:rStyle w:val="Hyperlink"/>
            <w:rFonts w:cstheme="minorHAnsi"/>
            <w:lang w:val="en-GB"/>
          </w:rPr>
          <w:t>me at LinkedIn</w:t>
        </w:r>
      </w:hyperlink>
      <w:r>
        <w:rPr>
          <w:rFonts w:cstheme="minorHAnsi"/>
          <w:lang w:val="en-GB"/>
        </w:rPr>
        <w:t xml:space="preserve"> and let me know your feedback!</w:t>
      </w:r>
    </w:p>
    <w:p w14:paraId="408A6821" w14:textId="16E50195" w:rsidR="00734413" w:rsidRPr="0000726B" w:rsidRDefault="00734413" w:rsidP="00734413">
      <w:pPr>
        <w:rPr>
          <w:rFonts w:cstheme="minorHAnsi"/>
          <w:lang w:eastAsia="en-SG"/>
        </w:rPr>
      </w:pPr>
      <w:r>
        <w:rPr>
          <w:rFonts w:cstheme="minorHAnsi"/>
          <w:lang w:val="en-GB"/>
        </w:rPr>
        <w:t xml:space="preserve">In the meantime, </w:t>
      </w:r>
      <w:r w:rsidRPr="0000726B">
        <w:rPr>
          <w:rFonts w:cstheme="minorHAnsi"/>
          <w:lang w:val="en-GB"/>
        </w:rPr>
        <w:t xml:space="preserve">here is a bit about me. </w:t>
      </w:r>
      <w:r w:rsidRPr="0000726B">
        <w:rPr>
          <w:rFonts w:cstheme="minorHAnsi"/>
        </w:rPr>
        <w:t>I was born in the beautiful island of </w:t>
      </w:r>
      <w:hyperlink r:id="rId1395" w:history="1">
        <w:r w:rsidRPr="0000726B">
          <w:rPr>
            <w:rStyle w:val="Hyperlink"/>
            <w:rFonts w:cstheme="minorHAnsi"/>
            <w:color w:val="21759B"/>
            <w:bdr w:val="none" w:sz="0" w:space="0" w:color="auto" w:frame="1"/>
          </w:rPr>
          <w:t>Lombok </w:t>
        </w:r>
      </w:hyperlink>
      <w:r w:rsidRPr="0000726B">
        <w:rPr>
          <w:rFonts w:cstheme="minorHAnsi"/>
        </w:rPr>
        <w:t>(Indonesia), grew up in Surabaya (Indonesia), studied in Australia, and since 1994 I live in Singapore</w:t>
      </w:r>
      <w:r w:rsidR="001A0698">
        <w:rPr>
          <w:rFonts w:cstheme="minorHAnsi"/>
        </w:rPr>
        <w:t xml:space="preserve"> with my family.</w:t>
      </w:r>
    </w:p>
    <w:p w14:paraId="18C9836C" w14:textId="77777777" w:rsidR="00734413" w:rsidRDefault="00734413" w:rsidP="00734413">
      <w:pPr>
        <w:rPr>
          <w:rFonts w:cstheme="minorHAnsi"/>
        </w:rPr>
      </w:pPr>
      <w:r w:rsidRPr="0000726B">
        <w:rPr>
          <w:rFonts w:cstheme="minorHAnsi"/>
        </w:rPr>
        <w:t>I graduated from </w:t>
      </w:r>
      <w:hyperlink r:id="rId1396" w:history="1">
        <w:r w:rsidRPr="0000726B">
          <w:rPr>
            <w:rStyle w:val="Hyperlink"/>
            <w:rFonts w:cstheme="minorHAnsi"/>
            <w:color w:val="21759B"/>
            <w:bdr w:val="none" w:sz="0" w:space="0" w:color="auto" w:frame="1"/>
          </w:rPr>
          <w:t>Bond University</w:t>
        </w:r>
      </w:hyperlink>
      <w:r w:rsidRPr="0000726B">
        <w:rPr>
          <w:rFonts w:cstheme="minorHAnsi"/>
        </w:rPr>
        <w:t> in 1994, then migrated to Singapore and started working in IT. I still remember that I carried </w:t>
      </w:r>
      <w:hyperlink r:id="rId1397" w:history="1">
        <w:r w:rsidRPr="0000726B">
          <w:rPr>
            <w:rStyle w:val="Hyperlink"/>
            <w:rFonts w:cstheme="minorHAnsi"/>
            <w:color w:val="21759B"/>
            <w:bdr w:val="none" w:sz="0" w:space="0" w:color="auto" w:frame="1"/>
          </w:rPr>
          <w:t>Apple Mac LC</w:t>
        </w:r>
      </w:hyperlink>
      <w:r w:rsidRPr="0000726B">
        <w:rPr>
          <w:rFonts w:cstheme="minorHAnsi"/>
        </w:rPr>
        <w:t> (yup, with the 12″ monitor) to Singapore in June 1994.</w:t>
      </w:r>
      <w:r>
        <w:rPr>
          <w:rFonts w:cstheme="minorHAnsi"/>
        </w:rPr>
        <w:t xml:space="preserve"> The immigration officer asked me why I brought a computer. I said I needed it as I’m still looking for a job. I couldn’t afford a printer, Apple wasn’t common, but resume still had to be printed back then, so the kindness of some resellers helped me.</w:t>
      </w:r>
    </w:p>
    <w:p w14:paraId="05C37A04" w14:textId="77777777" w:rsidR="00734413" w:rsidRPr="0000726B" w:rsidRDefault="00734413" w:rsidP="00734413">
      <w:pPr>
        <w:rPr>
          <w:rFonts w:cstheme="minorHAnsi"/>
        </w:rPr>
      </w:pPr>
      <w:r>
        <w:rPr>
          <w:rFonts w:cstheme="minorHAnsi"/>
        </w:rPr>
        <w:t>My first job was a COBOL programmer, then C programmer with embedded SQL.</w:t>
      </w:r>
    </w:p>
    <w:p w14:paraId="372C8C46" w14:textId="77777777" w:rsidR="00734413" w:rsidRPr="0000726B" w:rsidRDefault="00734413" w:rsidP="00734413">
      <w:pPr>
        <w:rPr>
          <w:rFonts w:cstheme="minorHAnsi"/>
        </w:rPr>
      </w:pPr>
      <w:r w:rsidRPr="0000726B">
        <w:rPr>
          <w:rFonts w:cstheme="minorHAnsi"/>
        </w:rPr>
        <w:t>First 9 years of my career was at the Application layer, doing business process innovation and application development. Lettuce Node, I mean Lotus Notus, was and is still dear to my heart.</w:t>
      </w:r>
      <w:r>
        <w:rPr>
          <w:rFonts w:cstheme="minorHAnsi"/>
        </w:rPr>
        <w:t xml:space="preserve"> The views and form UI concept in the product remain relevant until today.</w:t>
      </w:r>
    </w:p>
    <w:p w14:paraId="430E2256" w14:textId="34717403" w:rsidR="00734413" w:rsidRDefault="00734413" w:rsidP="00734413">
      <w:pPr>
        <w:rPr>
          <w:rFonts w:cstheme="minorHAnsi"/>
        </w:rPr>
      </w:pPr>
      <w:r w:rsidRPr="0000726B">
        <w:rPr>
          <w:rFonts w:cstheme="minorHAnsi"/>
        </w:rPr>
        <w:t xml:space="preserve">I moved to infrastructure world in 2003, focusing on UNIX by joining Sun Microsystems. </w:t>
      </w:r>
      <w:r>
        <w:rPr>
          <w:rFonts w:cstheme="minorHAnsi"/>
        </w:rPr>
        <w:t xml:space="preserve">I joined without knowing what UNIX was and basically zero knowledge of infrastructure. SAN, NAS, HBA, filesystem were aliens to me. I came to join as SE with no presales experience. </w:t>
      </w:r>
      <w:r w:rsidRPr="0000726B">
        <w:rPr>
          <w:rFonts w:cstheme="minorHAnsi"/>
        </w:rPr>
        <w:t xml:space="preserve">My previous manager Seet Pheng Kue </w:t>
      </w:r>
      <w:r>
        <w:rPr>
          <w:rFonts w:cstheme="minorHAnsi"/>
        </w:rPr>
        <w:t xml:space="preserve">recommended </w:t>
      </w:r>
      <w:r w:rsidRPr="0000726B">
        <w:rPr>
          <w:rFonts w:cstheme="minorHAnsi"/>
        </w:rPr>
        <w:t>me</w:t>
      </w:r>
      <w:r>
        <w:rPr>
          <w:rFonts w:cstheme="minorHAnsi"/>
        </w:rPr>
        <w:t xml:space="preserve">, together with the </w:t>
      </w:r>
      <w:r w:rsidR="00E5788E">
        <w:rPr>
          <w:rFonts w:cstheme="minorHAnsi"/>
        </w:rPr>
        <w:t>head-hunter</w:t>
      </w:r>
      <w:r>
        <w:rPr>
          <w:rFonts w:cstheme="minorHAnsi"/>
        </w:rPr>
        <w:t xml:space="preserve"> FA Mok,</w:t>
      </w:r>
      <w:r w:rsidRPr="0000726B">
        <w:rPr>
          <w:rFonts w:cstheme="minorHAnsi"/>
        </w:rPr>
        <w:t xml:space="preserve"> and </w:t>
      </w:r>
      <w:r>
        <w:rPr>
          <w:rFonts w:cstheme="minorHAnsi"/>
        </w:rPr>
        <w:t xml:space="preserve">Kim Boo Png made the hiring decision. </w:t>
      </w:r>
      <w:r w:rsidRPr="0000726B">
        <w:rPr>
          <w:rFonts w:cstheme="minorHAnsi"/>
        </w:rPr>
        <w:t xml:space="preserve">I’m always grateful for </w:t>
      </w:r>
      <w:r>
        <w:rPr>
          <w:rFonts w:cstheme="minorHAnsi"/>
        </w:rPr>
        <w:t>what they have done as that forever changed my career. From high level programming to low level hard code infrastructure!</w:t>
      </w:r>
    </w:p>
    <w:p w14:paraId="10480CF8" w14:textId="77777777" w:rsidR="00734413" w:rsidRPr="0000726B" w:rsidRDefault="00734413" w:rsidP="00734413">
      <w:pPr>
        <w:rPr>
          <w:rFonts w:cstheme="minorHAnsi"/>
        </w:rPr>
      </w:pPr>
      <w:r>
        <w:rPr>
          <w:rFonts w:cstheme="minorHAnsi"/>
        </w:rPr>
        <w:t>In 2008 I applied to VMware as I wanted to follow my sales Chan Seng Chye. Poh Wah Lee convinced me to join VMware as part his team, and until today I still see him as my elder and leader.</w:t>
      </w:r>
    </w:p>
    <w:p w14:paraId="372643C3" w14:textId="40A57B65" w:rsidR="00734413" w:rsidRPr="0000726B" w:rsidRDefault="00734413" w:rsidP="00734413">
      <w:r>
        <w:t xml:space="preserve">My </w:t>
      </w:r>
      <w:r w:rsidRPr="0000726B">
        <w:t>mobile is +65.9119.9226</w:t>
      </w:r>
      <w:r>
        <w:t>.</w:t>
      </w:r>
      <w:r w:rsidR="000746A6">
        <w:t xml:space="preserve"> WhatsApp is the fastest to reach me.</w:t>
      </w:r>
    </w:p>
    <w:p w14:paraId="3EAECBA3" w14:textId="6283C026" w:rsidR="00734413" w:rsidRDefault="00734413" w:rsidP="001E48DC">
      <w:pPr>
        <w:rPr>
          <w:lang w:val="en-GB"/>
        </w:rPr>
      </w:pPr>
      <w:r>
        <w:rPr>
          <w:lang w:val="en-GB"/>
        </w:rPr>
        <w:t xml:space="preserve">You can see more of my works on the Internet. Google has somehow </w:t>
      </w:r>
      <w:r w:rsidR="000746A6">
        <w:rPr>
          <w:lang w:val="en-GB"/>
        </w:rPr>
        <w:t>tracked</w:t>
      </w:r>
      <w:r>
        <w:rPr>
          <w:lang w:val="en-GB"/>
        </w:rPr>
        <w:t xml:space="preserve"> it </w:t>
      </w:r>
      <w:r w:rsidRPr="00FA5F5B">
        <w:rPr>
          <mc:AlternateContent>
            <mc:Choice Requires="w16se"/>
            <mc:Fallback>
              <w:rFonts w:ascii="Segoe UI Emoji" w:eastAsia="Segoe UI Emoji" w:hAnsi="Segoe UI Emoji" w:cs="Segoe UI Emoji"/>
            </mc:Fallback>
          </mc:AlternateContent>
          <w:lang w:val="en-GB"/>
        </w:rPr>
        <mc:AlternateContent>
          <mc:Choice Requires="w16se">
            <w16se:symEx w16se:font="Segoe UI Emoji" w16se:char="1F60A"/>
          </mc:Choice>
          <mc:Fallback>
            <w:t>😊</w:t>
          </mc:Fallback>
        </mc:AlternateContent>
      </w:r>
    </w:p>
    <w:p w14:paraId="22EB9DAC" w14:textId="05641AEB" w:rsidR="001865AB" w:rsidRDefault="001865AB" w:rsidP="00734413">
      <w:pPr>
        <w:jc w:val="center"/>
        <w:rPr>
          <w:lang w:val="en-GB"/>
        </w:rPr>
      </w:pPr>
      <w:r w:rsidRPr="001865AB">
        <w:rPr>
          <w:noProof/>
          <w:lang w:val="en-GB"/>
        </w:rPr>
        <w:drawing>
          <wp:inline distT="0" distB="0" distL="0" distR="0" wp14:anchorId="6C696ED4" wp14:editId="60C06E17">
            <wp:extent cx="6516000" cy="2635200"/>
            <wp:effectExtent l="0" t="0" r="0" b="0"/>
            <wp:docPr id="357815401" name="Picture 357815401"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815401" name="Picture 357815401" descr="Graphical user interface, text, application, email&#10;&#10;Description automatically generated"/>
                    <pic:cNvPicPr/>
                  </pic:nvPicPr>
                  <pic:blipFill>
                    <a:blip r:embed="rId1398"/>
                    <a:stretch>
                      <a:fillRect/>
                    </a:stretch>
                  </pic:blipFill>
                  <pic:spPr>
                    <a:xfrm>
                      <a:off x="0" y="0"/>
                      <a:ext cx="6516000" cy="2635200"/>
                    </a:xfrm>
                    <a:prstGeom prst="rect">
                      <a:avLst/>
                    </a:prstGeom>
                  </pic:spPr>
                </pic:pic>
              </a:graphicData>
            </a:graphic>
          </wp:inline>
        </w:drawing>
      </w:r>
    </w:p>
    <w:bookmarkEnd w:id="161"/>
    <w:p w14:paraId="3F1AB368" w14:textId="77777777" w:rsidR="00734413" w:rsidRDefault="00734413">
      <w:pPr>
        <w:keepLines w:val="0"/>
        <w:suppressAutoHyphens w:val="0"/>
        <w:spacing w:before="0" w:after="160"/>
        <w:rPr>
          <w:lang w:eastAsia="en-US"/>
        </w:rPr>
      </w:pPr>
    </w:p>
    <w:sectPr w:rsidR="00734413" w:rsidSect="00DA6868">
      <w:headerReference w:type="default" r:id="rId1399"/>
      <w:footerReference w:type="default" r:id="rId1400"/>
      <w:headerReference w:type="first" r:id="rId1401"/>
      <w:pgSz w:w="11906" w:h="16838"/>
      <w:pgMar w:top="1440" w:right="720" w:bottom="1440" w:left="720" w:header="173" w:footer="115" w:gutter="0"/>
      <w:pgNumType w:start="1" w:chapStyle="1" w:chapSep="colon"/>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519607" w14:textId="77777777" w:rsidR="001B5A0F" w:rsidRDefault="001B5A0F" w:rsidP="00302DC4">
      <w:pPr>
        <w:spacing w:before="0" w:line="240" w:lineRule="auto"/>
      </w:pPr>
      <w:r>
        <w:separator/>
      </w:r>
    </w:p>
  </w:endnote>
  <w:endnote w:type="continuationSeparator" w:id="0">
    <w:p w14:paraId="6CF831C9" w14:textId="77777777" w:rsidR="001B5A0F" w:rsidRDefault="001B5A0F" w:rsidP="00302DC4">
      <w:pPr>
        <w:spacing w:before="0" w:line="240" w:lineRule="auto"/>
      </w:pPr>
      <w:r>
        <w:continuationSeparator/>
      </w:r>
    </w:p>
  </w:endnote>
  <w:endnote w:type="continuationNotice" w:id="1">
    <w:p w14:paraId="359F6F7E" w14:textId="77777777" w:rsidR="001B5A0F" w:rsidRDefault="001B5A0F">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DengXian Light">
    <w:charset w:val="86"/>
    <w:family w:val="auto"/>
    <w:pitch w:val="variable"/>
    <w:sig w:usb0="A00002BF" w:usb1="38CF7CFA" w:usb2="00000016" w:usb3="00000000" w:csb0="0004000F" w:csb1="00000000"/>
  </w:font>
  <w:font w:name="Metropolis">
    <w:panose1 w:val="00000500000000000000"/>
    <w:charset w:val="00"/>
    <w:family w:val="modern"/>
    <w:notTrueType/>
    <w:pitch w:val="variable"/>
    <w:sig w:usb0="00000007" w:usb1="00000000" w:usb2="00000000" w:usb3="00000000" w:csb0="00000093" w:csb1="00000000"/>
  </w:font>
  <w:font w:name="Calibri Light">
    <w:panose1 w:val="020F03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Lucida Console">
    <w:panose1 w:val="020B0609040504020204"/>
    <w:charset w:val="00"/>
    <w:family w:val="modern"/>
    <w:pitch w:val="fixed"/>
    <w:sig w:usb0="8000028F" w:usb1="00001800" w:usb2="00000000" w:usb3="00000000" w:csb0="0000001F" w:csb1="00000000"/>
  </w:font>
  <w:font w:name="DengXian">
    <w:altName w:val="等线"/>
    <w:panose1 w:val="02010600030101010101"/>
    <w:charset w:val="86"/>
    <w:family w:val="auto"/>
    <w:pitch w:val="variable"/>
    <w:sig w:usb0="A00002BF" w:usb1="38CF7CFA" w:usb2="00000016" w:usb3="00000000" w:csb0="0004000F" w:csb1="00000000"/>
  </w:font>
  <w:font w:name="Book Antiqua">
    <w:panose1 w:val="02040602050305030304"/>
    <w:charset w:val="00"/>
    <w:family w:val="roman"/>
    <w:pitch w:val="variable"/>
    <w:sig w:usb0="00000287" w:usb1="00000000" w:usb2="00000000" w:usb3="00000000" w:csb0="000000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8933745" w14:textId="77777777" w:rsidR="00E66F24" w:rsidRDefault="00E66F24" w:rsidP="00337CE2">
    <w:pPr>
      <w:pStyle w:val="Footer"/>
      <w:pBdr>
        <w:top w:val="single" w:sz="4" w:space="1" w:color="D9D9D9" w:themeColor="background1" w:themeShade="D9"/>
      </w:pBd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BD3276" w14:textId="219418FA" w:rsidR="00E66F24" w:rsidRPr="00E75172" w:rsidRDefault="00E66F24" w:rsidP="004A3D74">
    <w:pPr>
      <w:pStyle w:val="Footer"/>
      <w:pBdr>
        <w:top w:val="single" w:sz="4" w:space="1" w:color="D9D9D9" w:themeColor="background1" w:themeShade="D9"/>
      </w:pBdr>
      <w:tabs>
        <w:tab w:val="clear" w:pos="4513"/>
        <w:tab w:val="clear" w:pos="9026"/>
        <w:tab w:val="center" w:pos="5103"/>
        <w:tab w:val="right" w:pos="10348"/>
      </w:tabs>
      <w:spacing w:before="360"/>
      <w:rPr>
        <w:rFonts w:ascii="Times New Roman" w:hAnsi="Times New Roman" w:cs="Times New Roman"/>
        <w:b/>
        <w:bCs/>
        <w:i/>
        <w:iCs/>
        <w:noProof/>
        <w:color w:val="0070C0"/>
        <w:sz w:val="18"/>
        <w:szCs w:val="18"/>
      </w:rPr>
    </w:pPr>
    <w:r w:rsidRPr="000B47A6">
      <w:rPr>
        <w:rFonts w:ascii="Times New Roman" w:hAnsi="Times New Roman" w:cs="Times New Roman"/>
        <w:b/>
        <w:bCs/>
        <w:i/>
        <w:iCs/>
        <w:color w:val="0070C0"/>
        <w:sz w:val="18"/>
        <w:szCs w:val="18"/>
      </w:rPr>
      <w:fldChar w:fldCharType="begin"/>
    </w:r>
    <w:r w:rsidRPr="000B47A6">
      <w:rPr>
        <w:rFonts w:ascii="Times New Roman" w:hAnsi="Times New Roman" w:cs="Times New Roman"/>
        <w:b/>
        <w:bCs/>
        <w:i/>
        <w:iCs/>
        <w:color w:val="0070C0"/>
        <w:sz w:val="18"/>
        <w:szCs w:val="18"/>
      </w:rPr>
      <w:instrText xml:space="preserve"> STYLEREF  "Heading 1"  \* MERGEFORMAT </w:instrText>
    </w:r>
    <w:r w:rsidRPr="000B47A6">
      <w:rPr>
        <w:rFonts w:ascii="Times New Roman" w:hAnsi="Times New Roman" w:cs="Times New Roman"/>
        <w:b/>
        <w:bCs/>
        <w:i/>
        <w:iCs/>
        <w:color w:val="0070C0"/>
        <w:sz w:val="18"/>
        <w:szCs w:val="18"/>
      </w:rPr>
      <w:fldChar w:fldCharType="separate"/>
    </w:r>
    <w:r w:rsidR="00025FEC">
      <w:rPr>
        <w:rFonts w:ascii="Times New Roman" w:hAnsi="Times New Roman" w:cs="Times New Roman"/>
        <w:b/>
        <w:bCs/>
        <w:i/>
        <w:iCs/>
        <w:noProof/>
        <w:color w:val="0070C0"/>
        <w:sz w:val="18"/>
        <w:szCs w:val="18"/>
      </w:rPr>
      <w:t>PART 1</w:t>
    </w:r>
    <w:r w:rsidRPr="000B47A6">
      <w:rPr>
        <w:rFonts w:ascii="Times New Roman" w:hAnsi="Times New Roman" w:cs="Times New Roman"/>
        <w:b/>
        <w:bCs/>
        <w:i/>
        <w:iCs/>
        <w:color w:val="0070C0"/>
        <w:sz w:val="18"/>
        <w:szCs w:val="18"/>
      </w:rPr>
      <w:fldChar w:fldCharType="end"/>
    </w:r>
    <w:r w:rsidRPr="000B47A6">
      <w:rPr>
        <w:rFonts w:ascii="Times New Roman" w:hAnsi="Times New Roman" w:cs="Times New Roman"/>
        <w:b/>
        <w:bCs/>
        <w:i/>
        <w:iCs/>
        <w:color w:val="0070C0"/>
        <w:sz w:val="18"/>
        <w:szCs w:val="18"/>
      </w:rPr>
      <w:t xml:space="preserve"> OF 4</w:t>
    </w:r>
    <w:r w:rsidRPr="000B47A6">
      <w:rPr>
        <w:rFonts w:ascii="Times New Roman" w:hAnsi="Times New Roman" w:cs="Times New Roman"/>
        <w:i/>
        <w:iCs/>
        <w:sz w:val="18"/>
        <w:szCs w:val="18"/>
      </w:rPr>
      <w:tab/>
    </w:r>
    <w:r w:rsidRPr="00E75172">
      <w:rPr>
        <w:rFonts w:ascii="Times New Roman" w:hAnsi="Times New Roman" w:cs="Times New Roman"/>
        <w:b/>
        <w:bCs/>
        <w:i/>
        <w:iCs/>
        <w:noProof/>
        <w:color w:val="0070C0"/>
        <w:sz w:val="18"/>
        <w:szCs w:val="18"/>
      </w:rPr>
      <w:t xml:space="preserve">Chapter: </w:t>
    </w:r>
    <w:r w:rsidRPr="00E75172">
      <w:rPr>
        <w:rFonts w:ascii="Times New Roman" w:hAnsi="Times New Roman" w:cs="Times New Roman"/>
        <w:b/>
        <w:bCs/>
        <w:i/>
        <w:iCs/>
        <w:noProof/>
        <w:color w:val="0070C0"/>
        <w:sz w:val="18"/>
        <w:szCs w:val="18"/>
      </w:rPr>
      <w:fldChar w:fldCharType="begin"/>
    </w:r>
    <w:r w:rsidRPr="00E75172">
      <w:rPr>
        <w:rFonts w:ascii="Times New Roman" w:hAnsi="Times New Roman" w:cs="Times New Roman"/>
        <w:b/>
        <w:bCs/>
        <w:i/>
        <w:iCs/>
        <w:noProof/>
        <w:color w:val="0070C0"/>
        <w:sz w:val="18"/>
        <w:szCs w:val="18"/>
      </w:rPr>
      <w:instrText>STYLEREF  "Heading 2"  \* MERGEFORMAT</w:instrText>
    </w:r>
    <w:r w:rsidRPr="00E75172">
      <w:rPr>
        <w:rFonts w:ascii="Times New Roman" w:hAnsi="Times New Roman" w:cs="Times New Roman"/>
        <w:b/>
        <w:bCs/>
        <w:i/>
        <w:iCs/>
        <w:noProof/>
        <w:color w:val="0070C0"/>
        <w:sz w:val="18"/>
        <w:szCs w:val="18"/>
      </w:rPr>
      <w:fldChar w:fldCharType="separate"/>
    </w:r>
    <w:r w:rsidR="00025FEC">
      <w:rPr>
        <w:rFonts w:ascii="Times New Roman" w:hAnsi="Times New Roman" w:cs="Times New Roman"/>
        <w:b/>
        <w:bCs/>
        <w:i/>
        <w:iCs/>
        <w:noProof/>
        <w:color w:val="0070C0"/>
        <w:sz w:val="18"/>
        <w:szCs w:val="18"/>
      </w:rPr>
      <w:t>Overview</w:t>
    </w:r>
    <w:r w:rsidRPr="00E75172">
      <w:rPr>
        <w:rFonts w:ascii="Times New Roman" w:hAnsi="Times New Roman" w:cs="Times New Roman"/>
        <w:b/>
        <w:bCs/>
        <w:i/>
        <w:iCs/>
        <w:noProof/>
        <w:color w:val="0070C0"/>
        <w:sz w:val="18"/>
        <w:szCs w:val="18"/>
      </w:rPr>
      <w:fldChar w:fldCharType="end"/>
    </w:r>
    <w:r w:rsidRPr="00E75172">
      <w:rPr>
        <w:rFonts w:ascii="Times New Roman" w:hAnsi="Times New Roman" w:cs="Times New Roman"/>
        <w:b/>
        <w:bCs/>
        <w:i/>
        <w:iCs/>
        <w:noProof/>
        <w:color w:val="0070C0"/>
        <w:sz w:val="18"/>
        <w:szCs w:val="18"/>
      </w:rPr>
      <w:tab/>
    </w:r>
    <w:r w:rsidR="00E75172" w:rsidRPr="00E75172">
      <w:rPr>
        <w:rFonts w:ascii="Times New Roman" w:hAnsi="Times New Roman" w:cs="Times New Roman"/>
        <w:b/>
        <w:bCs/>
        <w:i/>
        <w:iCs/>
        <w:noProof/>
        <w:color w:val="0070C0"/>
        <w:sz w:val="18"/>
        <w:szCs w:val="18"/>
      </w:rPr>
      <w:t>Page</w:t>
    </w:r>
    <w:r w:rsidRPr="00E75172">
      <w:rPr>
        <w:rFonts w:ascii="Times New Roman" w:hAnsi="Times New Roman" w:cs="Times New Roman"/>
        <w:b/>
        <w:bCs/>
        <w:i/>
        <w:iCs/>
        <w:noProof/>
        <w:color w:val="0070C0"/>
        <w:sz w:val="18"/>
        <w:szCs w:val="18"/>
      </w:rPr>
      <w:t xml:space="preserve"> </w:t>
    </w:r>
    <w:sdt>
      <w:sdtPr>
        <w:rPr>
          <w:rFonts w:ascii="Times New Roman" w:hAnsi="Times New Roman" w:cs="Times New Roman"/>
          <w:b/>
          <w:bCs/>
          <w:i/>
          <w:iCs/>
          <w:noProof/>
          <w:color w:val="0070C0"/>
          <w:sz w:val="18"/>
          <w:szCs w:val="18"/>
        </w:rPr>
        <w:id w:val="1235123184"/>
        <w:docPartObj>
          <w:docPartGallery w:val="Page Numbers (Bottom of Page)"/>
          <w:docPartUnique/>
        </w:docPartObj>
      </w:sdtPr>
      <w:sdtContent>
        <w:r w:rsidRPr="00E75172">
          <w:rPr>
            <w:rFonts w:ascii="Times New Roman" w:hAnsi="Times New Roman" w:cs="Times New Roman"/>
            <w:b/>
            <w:bCs/>
            <w:i/>
            <w:iCs/>
            <w:noProof/>
            <w:color w:val="0070C0"/>
            <w:sz w:val="18"/>
            <w:szCs w:val="18"/>
          </w:rPr>
          <w:fldChar w:fldCharType="begin"/>
        </w:r>
        <w:r w:rsidRPr="00E75172">
          <w:rPr>
            <w:rFonts w:ascii="Times New Roman" w:hAnsi="Times New Roman" w:cs="Times New Roman"/>
            <w:b/>
            <w:bCs/>
            <w:i/>
            <w:iCs/>
            <w:noProof/>
            <w:color w:val="0070C0"/>
            <w:sz w:val="18"/>
            <w:szCs w:val="18"/>
          </w:rPr>
          <w:instrText xml:space="preserve"> PAGE   \* MERGEFORMAT </w:instrText>
        </w:r>
        <w:r w:rsidRPr="00E75172">
          <w:rPr>
            <w:rFonts w:ascii="Times New Roman" w:hAnsi="Times New Roman" w:cs="Times New Roman"/>
            <w:b/>
            <w:bCs/>
            <w:i/>
            <w:iCs/>
            <w:noProof/>
            <w:color w:val="0070C0"/>
            <w:sz w:val="18"/>
            <w:szCs w:val="18"/>
          </w:rPr>
          <w:fldChar w:fldCharType="separate"/>
        </w:r>
        <w:r w:rsidRPr="00E75172">
          <w:rPr>
            <w:rFonts w:ascii="Times New Roman" w:hAnsi="Times New Roman" w:cs="Times New Roman"/>
            <w:b/>
            <w:bCs/>
            <w:i/>
            <w:iCs/>
            <w:noProof/>
            <w:color w:val="0070C0"/>
            <w:sz w:val="18"/>
            <w:szCs w:val="18"/>
          </w:rPr>
          <w:t>2</w:t>
        </w:r>
        <w:r w:rsidRPr="00E75172">
          <w:rPr>
            <w:rFonts w:ascii="Times New Roman" w:hAnsi="Times New Roman" w:cs="Times New Roman"/>
            <w:b/>
            <w:bCs/>
            <w:i/>
            <w:iCs/>
            <w:noProof/>
            <w:color w:val="0070C0"/>
            <w:sz w:val="18"/>
            <w:szCs w:val="18"/>
          </w:rPr>
          <w:fldChar w:fldCharType="end"/>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19BBA4" w14:textId="77777777" w:rsidR="001B5A0F" w:rsidRDefault="001B5A0F" w:rsidP="00302DC4">
      <w:pPr>
        <w:spacing w:before="0" w:line="240" w:lineRule="auto"/>
      </w:pPr>
      <w:r>
        <w:separator/>
      </w:r>
    </w:p>
  </w:footnote>
  <w:footnote w:type="continuationSeparator" w:id="0">
    <w:p w14:paraId="126ED15A" w14:textId="77777777" w:rsidR="001B5A0F" w:rsidRDefault="001B5A0F" w:rsidP="00302DC4">
      <w:pPr>
        <w:spacing w:before="0" w:line="240" w:lineRule="auto"/>
      </w:pPr>
      <w:r>
        <w:continuationSeparator/>
      </w:r>
    </w:p>
  </w:footnote>
  <w:footnote w:type="continuationNotice" w:id="1">
    <w:p w14:paraId="1227EE94" w14:textId="77777777" w:rsidR="001B5A0F" w:rsidRDefault="001B5A0F">
      <w:pPr>
        <w:spacing w:line="240" w:lineRule="auto"/>
      </w:pPr>
    </w:p>
  </w:footnote>
  <w:footnote w:id="2">
    <w:p w14:paraId="1052EFEC" w14:textId="67F86B06" w:rsidR="0072510F" w:rsidRDefault="0072510F" w:rsidP="0072510F">
      <w:pPr>
        <w:pStyle w:val="FootnoteText"/>
      </w:pPr>
      <w:r>
        <w:rPr>
          <w:rStyle w:val="FootnoteReference"/>
        </w:rPr>
        <w:footnoteRef/>
      </w:r>
      <w:r>
        <w:t xml:space="preserve"> I do understand the difference between SLI, SLO, SLA, KAI and KPI. Not using SLO for PCMCIA reason (People Can’t Manage Computer Industry Acronyms). Being precise is good. But using jargons when it’s not required is adding complexity. Yes, I have read </w:t>
      </w:r>
      <w:hyperlink r:id="rId1" w:history="1">
        <w:r w:rsidRPr="0045274A">
          <w:rPr>
            <w:rStyle w:val="Hyperlink"/>
          </w:rPr>
          <w:t>this</w:t>
        </w:r>
      </w:hyperlink>
      <w:r>
        <w:t xml:space="preserve"> and many other articles. Happy to </w:t>
      </w:r>
      <w:r w:rsidR="00967472">
        <w:t>discuss my documented analysis</w:t>
      </w:r>
      <w:r>
        <w:t>.</w:t>
      </w:r>
    </w:p>
  </w:footnote>
  <w:footnote w:id="3">
    <w:p w14:paraId="47B4D459" w14:textId="659C4E5E" w:rsidR="003403F0" w:rsidRDefault="003403F0">
      <w:pPr>
        <w:pStyle w:val="FootnoteText"/>
      </w:pPr>
      <w:r>
        <w:rPr>
          <w:rStyle w:val="FootnoteReference"/>
        </w:rPr>
        <w:footnoteRef/>
      </w:r>
      <w:r>
        <w:t xml:space="preserve"> </w:t>
      </w:r>
      <w:r>
        <w:rPr>
          <w:rStyle w:val="FootnoteReference"/>
        </w:rPr>
        <w:footnoteRef/>
      </w:r>
      <w:r>
        <w:t xml:space="preserve"> A good definition of </w:t>
      </w:r>
      <w:r w:rsidRPr="003403F0">
        <w:t xml:space="preserve">IT Architecture Design </w:t>
      </w:r>
      <w:r>
        <w:t xml:space="preserve">is covered </w:t>
      </w:r>
      <w:hyperlink r:id="rId2" w:history="1">
        <w:r w:rsidRPr="003403F0">
          <w:rPr>
            <w:rStyle w:val="Hyperlink"/>
          </w:rPr>
          <w:t>here</w:t>
        </w:r>
      </w:hyperlink>
      <w:r>
        <w:t xml:space="preserve"> by </w:t>
      </w:r>
      <w:hyperlink r:id="rId3" w:history="1">
        <w:r w:rsidRPr="003403F0">
          <w:rPr>
            <w:rStyle w:val="Hyperlink"/>
          </w:rPr>
          <w:t>Jason Yeo</w:t>
        </w:r>
      </w:hyperlink>
      <w:r>
        <w:t>.</w:t>
      </w:r>
    </w:p>
  </w:footnote>
  <w:footnote w:id="4">
    <w:p w14:paraId="087A2729" w14:textId="15F031B2" w:rsidR="00E66F24" w:rsidRDefault="00E66F24">
      <w:pPr>
        <w:pStyle w:val="FootnoteText"/>
      </w:pPr>
      <w:r>
        <w:rPr>
          <w:rStyle w:val="FootnoteReference"/>
        </w:rPr>
        <w:footnoteRef/>
      </w:r>
      <w:r>
        <w:t xml:space="preserve"> Marketing architecture. A </w:t>
      </w:r>
      <w:r w:rsidR="00945238">
        <w:t>jovial</w:t>
      </w:r>
      <w:r>
        <w:t xml:space="preserve"> reference to </w:t>
      </w:r>
      <w:r w:rsidR="00C07E77">
        <w:t xml:space="preserve">beautiful </w:t>
      </w:r>
      <w:r>
        <w:t>PowerPoint based diagram that lacks details to be implemented.</w:t>
      </w:r>
    </w:p>
  </w:footnote>
  <w:footnote w:id="5">
    <w:p w14:paraId="524168CB" w14:textId="5254D365" w:rsidR="006C2AA7" w:rsidRDefault="006C2AA7">
      <w:pPr>
        <w:pStyle w:val="FootnoteText"/>
      </w:pPr>
      <w:r>
        <w:rPr>
          <w:rStyle w:val="FootnoteReference"/>
        </w:rPr>
        <w:footnoteRef/>
      </w:r>
      <w:r>
        <w:t xml:space="preserve"> </w:t>
      </w:r>
      <w:r w:rsidR="008871A8">
        <w:t>Day 2 will eventually hit technology refresh, which could be major overhaul in architecture. This will take you back to Day 0</w:t>
      </w:r>
      <w:r w:rsidR="006C6512">
        <w:t xml:space="preserve"> as you need to plan for the new world.</w:t>
      </w:r>
    </w:p>
  </w:footnote>
  <w:footnote w:id="6">
    <w:p w14:paraId="589BAD34" w14:textId="77777777" w:rsidR="003864F7" w:rsidRDefault="003864F7" w:rsidP="003864F7">
      <w:pPr>
        <w:pStyle w:val="FootnoteText"/>
      </w:pPr>
      <w:r>
        <w:rPr>
          <w:rStyle w:val="FootnoteReference"/>
        </w:rPr>
        <w:footnoteRef/>
      </w:r>
      <w:r>
        <w:t xml:space="preserve"> For consistency with other VCDX, we should call it VCDX Operations Management. I use VCTX to drive a point. Certification wise, it can start at VCP level, such as VCP Operations Management. </w:t>
      </w:r>
    </w:p>
  </w:footnote>
  <w:footnote w:id="7">
    <w:p w14:paraId="7A1876EA" w14:textId="61CEEC57" w:rsidR="00B45B83" w:rsidRDefault="00B45B83" w:rsidP="00B45B83">
      <w:pPr>
        <w:pStyle w:val="FootnoteText"/>
      </w:pPr>
      <w:r>
        <w:rPr>
          <w:rStyle w:val="FootnoteReference"/>
        </w:rPr>
        <w:footnoteRef/>
      </w:r>
      <w:r>
        <w:t xml:space="preserve"> Sunny and I went back a long way. We both came from the field and eventually became Product Managers</w:t>
      </w:r>
    </w:p>
  </w:footnote>
  <w:footnote w:id="8">
    <w:p w14:paraId="74DA9147" w14:textId="57176796" w:rsidR="00F00F65" w:rsidRPr="00FC4862" w:rsidRDefault="00F00F65" w:rsidP="00F00F65">
      <w:pPr>
        <w:pStyle w:val="FootnoteText"/>
        <w:rPr>
          <w:lang w:val="en-US"/>
        </w:rPr>
      </w:pPr>
      <w:r>
        <w:rPr>
          <w:rStyle w:val="FootnoteReference"/>
        </w:rPr>
        <w:footnoteRef/>
      </w:r>
      <w:r>
        <w:rPr>
          <w:lang w:val="en-US"/>
        </w:rPr>
        <w:t xml:space="preserve">I like the name </w:t>
      </w:r>
      <w:hyperlink r:id="rId4" w:history="1">
        <w:r w:rsidRPr="00535DBD">
          <w:rPr>
            <w:rStyle w:val="Hyperlink"/>
            <w:lang w:val="en-US"/>
          </w:rPr>
          <w:t>The USE Method</w:t>
        </w:r>
      </w:hyperlink>
      <w:r>
        <w:rPr>
          <w:lang w:val="en-US"/>
        </w:rPr>
        <w:t xml:space="preserve"> by Brendan and </w:t>
      </w:r>
      <w:hyperlink r:id="rId5" w:history="1">
        <w:r w:rsidRPr="00C50EFC">
          <w:rPr>
            <w:rStyle w:val="Hyperlink"/>
            <w:lang w:val="en-US"/>
          </w:rPr>
          <w:t xml:space="preserve">The </w:t>
        </w:r>
        <w:r w:rsidR="00CF7D2C" w:rsidRPr="00CF7D2C">
          <w:rPr>
            <w:rStyle w:val="Hyperlink"/>
            <w:color w:val="FF0000"/>
            <w:lang w:val="en-US"/>
          </w:rPr>
          <w:t>RED</w:t>
        </w:r>
        <w:r w:rsidRPr="00C50EFC">
          <w:rPr>
            <w:rStyle w:val="Hyperlink"/>
            <w:lang w:val="en-US"/>
          </w:rPr>
          <w:t xml:space="preserve"> Method</w:t>
        </w:r>
      </w:hyperlink>
      <w:r>
        <w:rPr>
          <w:lang w:val="en-US"/>
        </w:rPr>
        <w:t xml:space="preserve"> by Weave Works, hence I call mine </w:t>
      </w:r>
      <w:r w:rsidRPr="00470AFF">
        <w:rPr>
          <w:b/>
          <w:bCs/>
          <w:lang w:val="en-US"/>
        </w:rPr>
        <w:t>The Triple C Method</w:t>
      </w:r>
      <w:r>
        <w:rPr>
          <w:lang w:val="en-US"/>
        </w:rPr>
        <w:t xml:space="preserve">. It stands for contention, consumption and context </w:t>
      </w:r>
    </w:p>
  </w:footnote>
  <w:footnote w:id="9">
    <w:p w14:paraId="3B5347EF" w14:textId="2CB811D8" w:rsidR="00A644A7" w:rsidRDefault="00A644A7">
      <w:pPr>
        <w:pStyle w:val="FootnoteText"/>
      </w:pPr>
      <w:r>
        <w:rPr>
          <w:rStyle w:val="FootnoteReference"/>
        </w:rPr>
        <w:footnoteRef/>
      </w:r>
      <w:r>
        <w:t xml:space="preserve"> I’m T</w:t>
      </w:r>
      <w:r w:rsidR="00056D4A">
        <w:t xml:space="preserve">OGAF </w:t>
      </w:r>
      <w:r w:rsidR="00407953">
        <w:t xml:space="preserve">Certified, but it’s a long time ago in a galaxy far away. I believe in the principle of enterprise architecture, but </w:t>
      </w:r>
      <w:r w:rsidR="00F44186">
        <w:t>implementation can’t be too heav</w:t>
      </w:r>
      <w:r w:rsidR="00363A9C">
        <w:t xml:space="preserve">y. </w:t>
      </w:r>
    </w:p>
  </w:footnote>
  <w:footnote w:id="10">
    <w:p w14:paraId="5F9D7CFB" w14:textId="77777777" w:rsidR="00ED742C" w:rsidRDefault="00ED742C" w:rsidP="00ED742C">
      <w:pPr>
        <w:pStyle w:val="FootnoteText"/>
      </w:pPr>
      <w:r>
        <w:rPr>
          <w:rStyle w:val="FootnoteReference"/>
        </w:rPr>
        <w:footnoteRef/>
      </w:r>
      <w:r>
        <w:t xml:space="preserve"> You see, I’m not opposed to jargons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A"/>
          </mc:Choice>
          <mc:Fallback>
            <w:t>😊</w:t>
          </mc:Fallback>
        </mc:AlternateContent>
      </w:r>
      <w:r>
        <w:t xml:space="preserve"> so long they are actually used in live operations. If it’s just a goal, then no need to label with jargon, else we have to create jargon for every single type of goals.</w:t>
      </w:r>
    </w:p>
  </w:footnote>
  <w:footnote w:id="11">
    <w:p w14:paraId="738CD629" w14:textId="77777777" w:rsidR="00BA283C" w:rsidRDefault="00BA283C" w:rsidP="00BA283C">
      <w:pPr>
        <w:pStyle w:val="FootnoteText"/>
      </w:pPr>
      <w:r>
        <w:rPr>
          <w:rStyle w:val="FootnoteReference"/>
        </w:rPr>
        <w:footnoteRef/>
      </w:r>
      <w:r>
        <w:t xml:space="preserve"> Your anti-walware may classify it as a threat even though it is obviously not a malware. Malware uses </w:t>
      </w:r>
      <w:r w:rsidRPr="00725E1D">
        <w:t>psexec</w:t>
      </w:r>
      <w:r>
        <w:t>, a component of sysinternal,</w:t>
      </w:r>
      <w:r w:rsidRPr="00725E1D">
        <w:t xml:space="preserve"> </w:t>
      </w:r>
      <w:r>
        <w:t xml:space="preserve">to </w:t>
      </w:r>
      <w:r w:rsidRPr="00725E1D">
        <w:t>execute commands on remote machines. Some of the executable</w:t>
      </w:r>
      <w:r>
        <w:t>s</w:t>
      </w:r>
      <w:r w:rsidRPr="00725E1D">
        <w:t xml:space="preserve"> also behave in such a way that </w:t>
      </w:r>
      <w:r>
        <w:t xml:space="preserve">anti-malware software classify </w:t>
      </w:r>
      <w:r w:rsidRPr="00725E1D">
        <w:t>them as malicious</w:t>
      </w:r>
      <w:r>
        <w:t>.</w:t>
      </w:r>
    </w:p>
  </w:footnote>
  <w:footnote w:id="12">
    <w:p w14:paraId="6D0A2C98" w14:textId="7697EA03" w:rsidR="00EC058E" w:rsidRPr="00EC058E" w:rsidRDefault="00EC058E">
      <w:pPr>
        <w:pStyle w:val="FootnoteText"/>
        <w:rPr>
          <w:lang w:val="en-US"/>
        </w:rPr>
      </w:pPr>
      <w:r>
        <w:rPr>
          <w:rStyle w:val="FootnoteReference"/>
        </w:rPr>
        <w:footnoteRef/>
      </w:r>
      <w:r>
        <w:t xml:space="preserve"> </w:t>
      </w:r>
      <w:r>
        <w:rPr>
          <w:lang w:val="en-US"/>
        </w:rPr>
        <w:t>Pronounced as V</w:t>
      </w:r>
      <w:r w:rsidR="00C22AD1">
        <w:rPr>
          <w:lang w:val="en-US"/>
        </w:rPr>
        <w:t xml:space="preserve"> </w:t>
      </w:r>
      <w:r>
        <w:rPr>
          <w:lang w:val="en-US"/>
        </w:rPr>
        <w:t>S</w:t>
      </w:r>
      <w:r w:rsidR="00C22AD1">
        <w:rPr>
          <w:lang w:val="en-US"/>
        </w:rPr>
        <w:t xml:space="preserve"> </w:t>
      </w:r>
      <w:r>
        <w:rPr>
          <w:lang w:val="en-US"/>
        </w:rPr>
        <w:t>I S</w:t>
      </w:r>
      <w:r w:rsidR="00C22AD1">
        <w:rPr>
          <w:lang w:val="en-US"/>
        </w:rPr>
        <w:t xml:space="preserve"> </w:t>
      </w:r>
      <w:r>
        <w:rPr>
          <w:lang w:val="en-US"/>
        </w:rPr>
        <w:t>H</w:t>
      </w:r>
      <w:r w:rsidR="00CA1AF5">
        <w:rPr>
          <w:lang w:val="en-US"/>
        </w:rPr>
        <w:t xml:space="preserve">, not vSish. </w:t>
      </w:r>
      <w:r w:rsidR="00E948D2">
        <w:rPr>
          <w:lang w:val="en-US"/>
        </w:rPr>
        <w:t xml:space="preserve">It stands for </w:t>
      </w:r>
      <w:r w:rsidR="00E948D2" w:rsidRPr="00E948D2">
        <w:rPr>
          <w:lang w:val="en-US"/>
        </w:rPr>
        <w:t xml:space="preserve">VMkernel </w:t>
      </w:r>
      <w:r w:rsidR="00C73383" w:rsidRPr="00E948D2">
        <w:rPr>
          <w:lang w:val="en-US"/>
        </w:rPr>
        <w:t>Sys</w:t>
      </w:r>
      <w:r w:rsidR="00C73383">
        <w:rPr>
          <w:lang w:val="en-US"/>
        </w:rPr>
        <w:t>tem</w:t>
      </w:r>
      <w:r w:rsidR="00C73383" w:rsidRPr="00E948D2">
        <w:rPr>
          <w:lang w:val="en-US"/>
        </w:rPr>
        <w:t xml:space="preserve"> Info</w:t>
      </w:r>
      <w:r w:rsidR="00C73383">
        <w:rPr>
          <w:lang w:val="en-US"/>
        </w:rPr>
        <w:t>rmation</w:t>
      </w:r>
      <w:r w:rsidR="00C73383" w:rsidRPr="00E948D2">
        <w:rPr>
          <w:lang w:val="en-US"/>
        </w:rPr>
        <w:t xml:space="preserve"> </w:t>
      </w:r>
      <w:r w:rsidR="00E948D2" w:rsidRPr="00E948D2">
        <w:rPr>
          <w:lang w:val="en-US"/>
        </w:rPr>
        <w:t>Shell</w:t>
      </w:r>
    </w:p>
  </w:footnote>
  <w:footnote w:id="13">
    <w:p w14:paraId="6585DB84" w14:textId="77777777" w:rsidR="00F91723" w:rsidRDefault="00F91723" w:rsidP="00F91723">
      <w:pPr>
        <w:pStyle w:val="FootnoteText"/>
      </w:pPr>
      <w:r>
        <w:rPr>
          <w:rStyle w:val="FootnoteReference"/>
        </w:rPr>
        <w:footnoteRef/>
      </w:r>
      <w:r>
        <w:t xml:space="preserve"> If you suspect that I can’t create professional graphic like this, you are right! That’s done by </w:t>
      </w:r>
      <w:hyperlink r:id="rId6" w:history="1">
        <w:r w:rsidRPr="00236E14">
          <w:rPr>
            <w:rStyle w:val="Hyperlink"/>
          </w:rPr>
          <w:t>Abhishe</w:t>
        </w:r>
        <w:r>
          <w:rPr>
            <w:rStyle w:val="Hyperlink"/>
          </w:rPr>
          <w:t>k C</w:t>
        </w:r>
        <w:r w:rsidRPr="00354AF4">
          <w:rPr>
            <w:rStyle w:val="Hyperlink"/>
          </w:rPr>
          <w:t>houksey</w:t>
        </w:r>
      </w:hyperlink>
      <w:r>
        <w:rPr>
          <w:rStyle w:val="Hyperlink"/>
        </w:rPr>
        <w:t xml:space="preserve"> </w:t>
      </w:r>
    </w:p>
  </w:footnote>
  <w:footnote w:id="14">
    <w:p w14:paraId="30C8FEEB" w14:textId="77777777" w:rsidR="00FF0111" w:rsidRDefault="00FF0111" w:rsidP="00FF0111">
      <w:pPr>
        <w:pStyle w:val="FootnoteText"/>
      </w:pPr>
      <w:r>
        <w:rPr>
          <w:rStyle w:val="FootnoteReference"/>
        </w:rPr>
        <w:footnoteRef/>
      </w:r>
      <w:r>
        <w:t xml:space="preserve"> Understanding how an OS works is paramount and well worth it. Here is a </w:t>
      </w:r>
      <w:hyperlink r:id="rId7" w:history="1">
        <w:r w:rsidRPr="00FB5CFE">
          <w:rPr>
            <w:rStyle w:val="Hyperlink"/>
          </w:rPr>
          <w:t>3.5 hour lecture</w:t>
        </w:r>
      </w:hyperlink>
      <w:r>
        <w:t xml:space="preserve"> by </w:t>
      </w:r>
    </w:p>
  </w:footnote>
  <w:footnote w:id="15">
    <w:p w14:paraId="29E84D52" w14:textId="77777777" w:rsidR="00FF0111" w:rsidRDefault="00FF0111" w:rsidP="00FF0111">
      <w:pPr>
        <w:pStyle w:val="FootnoteText"/>
      </w:pPr>
      <w:r>
        <w:rPr>
          <w:rStyle w:val="FootnoteReference"/>
        </w:rPr>
        <w:footnoteRef/>
      </w:r>
      <w:r>
        <w:t xml:space="preserve"> Designing an OS for multiple hardware classes is hard. Notice Apple MacOS, iPhone OS, and iPad OS. Google has Android and ChromeOS. </w:t>
      </w:r>
    </w:p>
  </w:footnote>
  <w:footnote w:id="16">
    <w:p w14:paraId="782E4536" w14:textId="77777777" w:rsidR="00727E5F" w:rsidRPr="00786872" w:rsidRDefault="00727E5F" w:rsidP="00727E5F">
      <w:pPr>
        <w:pStyle w:val="FootnoteText"/>
        <w:rPr>
          <w:lang w:val="en-US"/>
        </w:rPr>
      </w:pPr>
      <w:r>
        <w:rPr>
          <w:rStyle w:val="FootnoteReference"/>
        </w:rPr>
        <w:footnoteRef/>
      </w:r>
      <w:r>
        <w:t xml:space="preserve"> </w:t>
      </w:r>
      <w:r>
        <w:rPr>
          <w:lang w:val="en-US"/>
        </w:rPr>
        <w:t xml:space="preserve">Courtesy of </w:t>
      </w:r>
      <w:hyperlink r:id="rId8" w:history="1">
        <w:r w:rsidRPr="0087150B">
          <w:rPr>
            <w:rStyle w:val="Hyperlink"/>
            <w:lang w:val="en-US"/>
          </w:rPr>
          <w:t>Hiroki Horikawa</w:t>
        </w:r>
      </w:hyperlink>
      <w:r>
        <w:rPr>
          <w:lang w:val="en-US"/>
        </w:rPr>
        <w:t xml:space="preserve"> from </w:t>
      </w:r>
      <w:r w:rsidRPr="0087150B">
        <w:rPr>
          <w:lang w:val="en-US"/>
        </w:rPr>
        <w:t>the land of the rising sun</w:t>
      </w:r>
      <w:r>
        <w:rPr>
          <w:lang w:val="en-US"/>
        </w:rPr>
        <w:t>.</w:t>
      </w:r>
    </w:p>
  </w:footnote>
  <w:footnote w:id="17">
    <w:p w14:paraId="6EC5F109" w14:textId="77777777" w:rsidR="00FF0111" w:rsidRDefault="00FF0111" w:rsidP="00FF0111">
      <w:pPr>
        <w:pStyle w:val="FootnoteText"/>
      </w:pPr>
      <w:r>
        <w:rPr>
          <w:rStyle w:val="FootnoteReference"/>
        </w:rPr>
        <w:footnoteRef/>
      </w:r>
      <w:r>
        <w:t xml:space="preserve"> Other documents use the term Guest Physical Page and Machine Page. I find it unnecessarily </w:t>
      </w:r>
      <w:r w:rsidRPr="002C2BEC">
        <w:rPr>
          <w:color w:val="FF0000"/>
        </w:rPr>
        <w:t>confusing</w:t>
      </w:r>
      <w:r>
        <w:t>, so I just call it VM pages and ESXi pages. IMHO, physical is something you can hold in your hand.</w:t>
      </w:r>
    </w:p>
  </w:footnote>
  <w:footnote w:id="18">
    <w:p w14:paraId="6FC9D73C" w14:textId="35F186D1" w:rsidR="00FF0111" w:rsidRDefault="00FF0111" w:rsidP="00FF0111">
      <w:pPr>
        <w:pStyle w:val="FootnoteText"/>
      </w:pPr>
      <w:r>
        <w:rPr>
          <w:rStyle w:val="FootnoteReference"/>
        </w:rPr>
        <w:footnoteRef/>
      </w:r>
      <w:r>
        <w:t xml:space="preserve"> The name of this Internet giant is irrelevant for this purpose, as it could have happened to anyone. It happens more often on smaller companies</w:t>
      </w:r>
      <w:r w:rsidR="004E6C54">
        <w:t>. BTW, notice how they made the text grey so it’s harder to read!</w:t>
      </w:r>
    </w:p>
  </w:footnote>
  <w:footnote w:id="19">
    <w:p w14:paraId="67E18D82" w14:textId="77777777" w:rsidR="00FF0111" w:rsidRDefault="00FF0111" w:rsidP="00FF0111">
      <w:pPr>
        <w:pStyle w:val="FootnoteText"/>
      </w:pPr>
      <w:r>
        <w:rPr>
          <w:rStyle w:val="FootnoteReference"/>
        </w:rPr>
        <w:footnoteRef/>
      </w:r>
      <w:r>
        <w:t xml:space="preserve"> Asked to me by Valentin Bondzio in one of the VMworld where we got to meet. Those were the days!</w:t>
      </w:r>
    </w:p>
  </w:footnote>
  <w:footnote w:id="20">
    <w:p w14:paraId="11A648B2" w14:textId="77777777" w:rsidR="005C6C12" w:rsidRDefault="005C6C12" w:rsidP="005C6C12">
      <w:pPr>
        <w:pStyle w:val="FootnoteText"/>
      </w:pPr>
      <w:r>
        <w:rPr>
          <w:rStyle w:val="FootnoteReference"/>
        </w:rPr>
        <w:footnoteRef/>
      </w:r>
      <w:r>
        <w:t xml:space="preserve"> Both 6.5 and 6.7 have </w:t>
      </w:r>
      <w:r w:rsidRPr="007542D4">
        <w:t xml:space="preserve">End of General Support </w:t>
      </w:r>
      <w:r>
        <w:t xml:space="preserve">on </w:t>
      </w:r>
      <w:r w:rsidRPr="007542D4">
        <w:t>15 October 2022</w:t>
      </w:r>
      <w:r>
        <w:t xml:space="preserve"> and E</w:t>
      </w:r>
      <w:r w:rsidRPr="007542D4">
        <w:t xml:space="preserve">nd of Technical Guidance </w:t>
      </w:r>
      <w:r>
        <w:t>on</w:t>
      </w:r>
      <w:r w:rsidRPr="007542D4">
        <w:t xml:space="preserve"> 15 November 2023</w:t>
      </w:r>
    </w:p>
  </w:footnote>
  <w:footnote w:id="21">
    <w:p w14:paraId="52FE9E79" w14:textId="77777777" w:rsidR="00FF0111" w:rsidRPr="00AB3EB6" w:rsidRDefault="00FF0111" w:rsidP="00FF0111">
      <w:pPr>
        <w:pStyle w:val="FootnoteText"/>
        <w:rPr>
          <w:lang w:val="en-US"/>
        </w:rPr>
      </w:pPr>
      <w:r>
        <w:rPr>
          <w:rStyle w:val="FootnoteReference"/>
        </w:rPr>
        <w:footnoteRef/>
      </w:r>
      <w:r>
        <w:t xml:space="preserve"> Based on </w:t>
      </w:r>
      <w:hyperlink r:id="rId9" w:history="1">
        <w:r w:rsidRPr="00AB3EB6">
          <w:rPr>
            <w:rStyle w:val="Hyperlink"/>
          </w:rPr>
          <w:t>this KB article</w:t>
        </w:r>
      </w:hyperlink>
      <w:r>
        <w:t>, snapshot increases the read operations as every snapshot has to read to ensure you’re fetching the correct data. Write is not impacted as you simply write a new block and not updating existing one.</w:t>
      </w:r>
    </w:p>
  </w:footnote>
  <w:footnote w:id="22">
    <w:p w14:paraId="5C07577A" w14:textId="77777777" w:rsidR="00F71DA2" w:rsidRDefault="00F71DA2" w:rsidP="00F71DA2">
      <w:pPr>
        <w:pStyle w:val="FootnoteText"/>
      </w:pPr>
      <w:r>
        <w:rPr>
          <w:rStyle w:val="FootnoteReference"/>
        </w:rPr>
        <w:footnoteRef/>
      </w:r>
      <w:r>
        <w:t xml:space="preserve"> Provided by Valentin Bondzio</w:t>
      </w:r>
    </w:p>
  </w:footnote>
  <w:footnote w:id="23">
    <w:p w14:paraId="71AA5DD3" w14:textId="77777777" w:rsidR="00FF0111" w:rsidRDefault="00FF0111" w:rsidP="00FF0111">
      <w:pPr>
        <w:pStyle w:val="FootnoteText"/>
      </w:pPr>
      <w:r>
        <w:rPr>
          <w:rStyle w:val="FootnoteReference"/>
        </w:rPr>
        <w:footnoteRef/>
      </w:r>
      <w:r>
        <w:t xml:space="preserve"> I use 20 second as it’s a familiar number. That’s what you see in the real time chart in vCenter client, and 20000 ms is often used as the 100% when converting millisecond unit to percentage.</w:t>
      </w:r>
    </w:p>
  </w:footnote>
  <w:footnote w:id="24">
    <w:p w14:paraId="2FDE4EAE" w14:textId="77777777" w:rsidR="00FF0111" w:rsidRDefault="00FF0111" w:rsidP="00FF0111">
      <w:pPr>
        <w:pStyle w:val="FootnoteText"/>
      </w:pPr>
      <w:r>
        <w:rPr>
          <w:rStyle w:val="FootnoteReference"/>
        </w:rPr>
        <w:t>16</w:t>
      </w:r>
      <w:r>
        <w:t xml:space="preserve"> Source: VMworld presentation HCP2583 by Richard Lu and Qasim Ali</w:t>
      </w:r>
    </w:p>
  </w:footnote>
  <w:footnote w:id="25">
    <w:p w14:paraId="74226923" w14:textId="77777777" w:rsidR="002337E2" w:rsidRPr="00E65598" w:rsidRDefault="002337E2" w:rsidP="002337E2">
      <w:pPr>
        <w:pStyle w:val="FootnoteText"/>
        <w:rPr>
          <w:lang w:val="en-US"/>
        </w:rPr>
      </w:pPr>
      <w:r>
        <w:rPr>
          <w:rStyle w:val="FootnoteReference"/>
        </w:rPr>
        <w:footnoteRef/>
      </w:r>
      <w:r>
        <w:t xml:space="preserve"> </w:t>
      </w:r>
      <w:r>
        <w:rPr>
          <w:lang w:val="en-US"/>
        </w:rPr>
        <w:t xml:space="preserve">The cosmic array is an old joke I learned at Sun Microsystems. We blamed the cosmic rays when we couldn’t figure out the hardware bug </w:t>
      </w:r>
      <w:r w:rsidRPr="006C28EA">
        <w:rPr>
          <mc:AlternateContent>
            <mc:Choice Requires="w16se"/>
            <mc:Fallback>
              <w:rFonts w:ascii="Segoe UI Emoji" w:eastAsia="Segoe UI Emoji" w:hAnsi="Segoe UI Emoji" w:cs="Segoe UI Emoji"/>
            </mc:Fallback>
          </mc:AlternateContent>
          <w:lang w:val="en-US"/>
        </w:rPr>
        <mc:AlternateContent>
          <mc:Choice Requires="w16se">
            <w16se:symEx w16se:font="Segoe UI Emoji" w16se:char="1F60A"/>
          </mc:Choice>
          <mc:Fallback>
            <w:t>😊</w:t>
          </mc:Fallback>
        </mc:AlternateContent>
      </w:r>
      <w:r>
        <w:rPr>
          <w:lang w:val="en-US"/>
        </w:rPr>
        <w:t xml:space="preserve"> </w:t>
      </w:r>
    </w:p>
  </w:footnote>
  <w:footnote w:id="26">
    <w:p w14:paraId="2E783463" w14:textId="667DDD75" w:rsidR="00F93334" w:rsidRDefault="00F93334">
      <w:pPr>
        <w:pStyle w:val="FootnoteText"/>
      </w:pPr>
      <w:r>
        <w:rPr>
          <w:rStyle w:val="FootnoteReference"/>
        </w:rPr>
        <w:footnoteRef/>
      </w:r>
      <w:r>
        <w:t xml:space="preserve"> See </w:t>
      </w:r>
      <w:r w:rsidRPr="00EE4614">
        <w:rPr>
          <w:color w:val="00B0F0"/>
        </w:rPr>
        <w:t xml:space="preserve">Part 3 </w:t>
      </w:r>
      <w:r w:rsidR="00055DE9" w:rsidRPr="00EE4614">
        <w:rPr>
          <w:color w:val="00B0F0"/>
        </w:rPr>
        <w:t xml:space="preserve">Chapter 1 </w:t>
      </w:r>
      <w:r w:rsidRPr="00EE4614">
        <w:rPr>
          <w:color w:val="00B0F0"/>
        </w:rPr>
        <w:t xml:space="preserve">Design </w:t>
      </w:r>
      <w:r w:rsidR="00055DE9" w:rsidRPr="00EE4614">
        <w:rPr>
          <w:color w:val="00B0F0"/>
        </w:rPr>
        <w:t xml:space="preserve">Consideration </w:t>
      </w:r>
      <w:r w:rsidR="00055DE9">
        <w:t>for details on selector/filter</w:t>
      </w:r>
    </w:p>
  </w:footnote>
  <w:footnote w:id="27">
    <w:p w14:paraId="2FB2E046" w14:textId="0866FF08" w:rsidR="00E66F24" w:rsidRDefault="00E66F24">
      <w:pPr>
        <w:pStyle w:val="FootnoteText"/>
      </w:pPr>
      <w:r>
        <w:rPr>
          <w:rStyle w:val="FootnoteReference"/>
        </w:rPr>
        <w:footnoteRef/>
      </w:r>
      <w:r>
        <w:t xml:space="preserve"> </w:t>
      </w:r>
      <w:r>
        <w:rPr>
          <w:lang w:val="en-GB"/>
        </w:rPr>
        <w:t>The book is freely available, and that’s part of the reason why I decided to make mine free.</w:t>
      </w:r>
    </w:p>
  </w:footnote>
  <w:footnote w:id="28">
    <w:p w14:paraId="3044B1CF" w14:textId="5448C6E2" w:rsidR="00E66F24" w:rsidRDefault="00E66F24">
      <w:pPr>
        <w:pStyle w:val="FootnoteText"/>
      </w:pPr>
      <w:r>
        <w:rPr>
          <w:rStyle w:val="FootnoteReference"/>
        </w:rPr>
        <w:footnoteRef/>
      </w:r>
      <w:r>
        <w:t xml:space="preserve"> The link from Gartner no longer works, so I guess you gotta trust me now </w:t>
      </w:r>
      <w:r>
        <w:rPr>
          <mc:AlternateContent>
            <mc:Choice Requires="w16se"/>
            <mc:Fallback>
              <w:rFonts w:ascii="Segoe UI Emoji" w:eastAsia="Segoe UI Emoji" w:hAnsi="Segoe UI Emoji" w:cs="Segoe UI Emoji"/>
            </mc:Fallback>
          </mc:AlternateContent>
        </w:rPr>
        <mc:AlternateContent>
          <mc:Choice Requires="w16se">
            <w16se:symEx w16se:font="Segoe UI Emoji" w16se:char="1F609"/>
          </mc:Choice>
          <mc:Fallback>
            <w:t>😉</w:t>
          </mc:Fallback>
        </mc:AlternateConten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4C5D7F" w14:textId="17F2BAAB" w:rsidR="00E66F24" w:rsidRPr="00A565B3" w:rsidRDefault="00E66F24" w:rsidP="00A565B3">
    <w:pPr>
      <w:pStyle w:val="Header"/>
      <w:pBdr>
        <w:bottom w:val="single" w:sz="4" w:space="1" w:color="D9D9D9" w:themeColor="background1" w:themeShade="D9"/>
      </w:pBdr>
      <w:tabs>
        <w:tab w:val="clear" w:pos="9026"/>
        <w:tab w:val="right" w:pos="10348"/>
      </w:tabs>
      <w:spacing w:before="0" w:after="480"/>
      <w:rPr>
        <w:rFonts w:ascii="Times New Roman" w:hAnsi="Times New Roman" w:cs="Times New Roman"/>
        <w:b/>
        <w:bCs/>
        <w:i/>
        <w:iCs/>
        <w:noProof/>
        <w:color w:val="0070C0"/>
        <w:sz w:val="18"/>
        <w:szCs w:val="18"/>
      </w:rPr>
    </w:pPr>
    <w:r w:rsidRPr="00A565B3">
      <w:rPr>
        <w:rFonts w:ascii="Times New Roman" w:hAnsi="Times New Roman" w:cs="Times New Roman"/>
        <w:b/>
        <w:bCs/>
        <w:i/>
        <w:iCs/>
        <w:noProof/>
        <w:color w:val="0070C0"/>
        <w:sz w:val="18"/>
        <w:szCs w:val="18"/>
      </w:rPr>
      <w:t xml:space="preserve">VMware Operations </w:t>
    </w:r>
    <w:r w:rsidR="004606E6" w:rsidRPr="00A565B3">
      <w:rPr>
        <w:rFonts w:ascii="Times New Roman" w:hAnsi="Times New Roman" w:cs="Times New Roman"/>
        <w:b/>
        <w:bCs/>
        <w:i/>
        <w:iCs/>
        <w:noProof/>
        <w:color w:val="0070C0"/>
        <w:sz w:val="18"/>
        <w:szCs w:val="18"/>
      </w:rPr>
      <w:t>Tran</w:t>
    </w:r>
    <w:r w:rsidR="00F413B3" w:rsidRPr="00A565B3">
      <w:rPr>
        <w:rFonts w:ascii="Times New Roman" w:hAnsi="Times New Roman" w:cs="Times New Roman"/>
        <w:b/>
        <w:bCs/>
        <w:i/>
        <w:iCs/>
        <w:noProof/>
        <w:color w:val="0070C0"/>
        <w:sz w:val="18"/>
        <w:szCs w:val="18"/>
      </w:rPr>
      <w:t>sformation</w:t>
    </w:r>
    <w:r w:rsidRPr="00A565B3">
      <w:rPr>
        <w:rFonts w:ascii="Times New Roman" w:hAnsi="Times New Roman" w:cs="Times New Roman"/>
        <w:b/>
        <w:bCs/>
        <w:i/>
        <w:iCs/>
        <w:noProof/>
        <w:color w:val="0070C0"/>
        <w:sz w:val="18"/>
        <w:szCs w:val="18"/>
      </w:rPr>
      <w:t xml:space="preserve">, </w:t>
    </w:r>
    <w:r w:rsidR="00C150BE" w:rsidRPr="00A565B3">
      <w:rPr>
        <w:rFonts w:ascii="Times New Roman" w:hAnsi="Times New Roman" w:cs="Times New Roman"/>
        <w:b/>
        <w:bCs/>
        <w:i/>
        <w:iCs/>
        <w:noProof/>
        <w:color w:val="0070C0"/>
        <w:sz w:val="18"/>
        <w:szCs w:val="18"/>
      </w:rPr>
      <w:t>4th</w:t>
    </w:r>
    <w:r w:rsidRPr="00A565B3">
      <w:rPr>
        <w:rFonts w:ascii="Times New Roman" w:hAnsi="Times New Roman" w:cs="Times New Roman"/>
        <w:b/>
        <w:bCs/>
        <w:i/>
        <w:iCs/>
        <w:noProof/>
        <w:color w:val="0070C0"/>
        <w:sz w:val="18"/>
        <w:szCs w:val="18"/>
      </w:rPr>
      <w:t xml:space="preserve"> Edition</w:t>
    </w:r>
    <w:r w:rsidR="0024012C" w:rsidRPr="00A565B3">
      <w:rPr>
        <w:rFonts w:ascii="Times New Roman" w:hAnsi="Times New Roman" w:cs="Times New Roman"/>
        <w:b/>
        <w:bCs/>
        <w:i/>
        <w:iCs/>
        <w:noProof/>
        <w:color w:val="0070C0"/>
        <w:sz w:val="18"/>
        <w:szCs w:val="18"/>
      </w:rPr>
      <w:t xml:space="preserve">, </w:t>
    </w:r>
    <w:r w:rsidR="00893FC3">
      <w:rPr>
        <w:rFonts w:ascii="Times New Roman" w:hAnsi="Times New Roman" w:cs="Times New Roman"/>
        <w:b/>
        <w:bCs/>
        <w:i/>
        <w:iCs/>
        <w:noProof/>
        <w:color w:val="0070C0"/>
        <w:sz w:val="18"/>
        <w:szCs w:val="18"/>
      </w:rPr>
      <w:t>Update</w:t>
    </w:r>
    <w:r w:rsidR="00183AA3" w:rsidRPr="00A565B3">
      <w:rPr>
        <w:rFonts w:ascii="Times New Roman" w:hAnsi="Times New Roman" w:cs="Times New Roman"/>
        <w:b/>
        <w:bCs/>
        <w:i/>
        <w:iCs/>
        <w:noProof/>
        <w:color w:val="0070C0"/>
        <w:sz w:val="18"/>
        <w:szCs w:val="18"/>
      </w:rPr>
      <w:t xml:space="preserve"> </w:t>
    </w:r>
    <w:r w:rsidR="00995B33">
      <w:rPr>
        <w:rFonts w:ascii="Times New Roman" w:hAnsi="Times New Roman" w:cs="Times New Roman"/>
        <w:b/>
        <w:bCs/>
        <w:i/>
        <w:iCs/>
        <w:noProof/>
        <w:color w:val="0070C0"/>
        <w:sz w:val="18"/>
        <w:szCs w:val="18"/>
      </w:rPr>
      <w:t>5</w:t>
    </w:r>
    <w:r w:rsidRPr="00A565B3">
      <w:rPr>
        <w:rFonts w:ascii="Times New Roman" w:hAnsi="Times New Roman" w:cs="Times New Roman"/>
        <w:b/>
        <w:bCs/>
        <w:i/>
        <w:iCs/>
        <w:noProof/>
        <w:color w:val="0070C0"/>
        <w:sz w:val="18"/>
        <w:szCs w:val="18"/>
      </w:rPr>
      <w:tab/>
    </w:r>
    <w:r w:rsidRPr="00A565B3">
      <w:rPr>
        <w:rFonts w:ascii="Times New Roman" w:hAnsi="Times New Roman" w:cs="Times New Roman"/>
        <w:b/>
        <w:bCs/>
        <w:i/>
        <w:iCs/>
        <w:noProof/>
        <w:color w:val="0070C0"/>
        <w:sz w:val="18"/>
        <w:szCs w:val="18"/>
      </w:rPr>
      <w:tab/>
    </w:r>
    <w:r w:rsidR="00222F69">
      <w:rPr>
        <w:rFonts w:ascii="Times New Roman" w:hAnsi="Times New Roman" w:cs="Times New Roman"/>
        <w:b/>
        <w:bCs/>
        <w:i/>
        <w:iCs/>
        <w:noProof/>
        <w:color w:val="0070C0"/>
        <w:sz w:val="18"/>
        <w:szCs w:val="18"/>
      </w:rPr>
      <w:t>August</w:t>
    </w:r>
    <w:r w:rsidR="00C04A09" w:rsidRPr="00A565B3">
      <w:rPr>
        <w:rFonts w:ascii="Times New Roman" w:hAnsi="Times New Roman" w:cs="Times New Roman"/>
        <w:b/>
        <w:bCs/>
        <w:i/>
        <w:iCs/>
        <w:noProof/>
        <w:color w:val="0070C0"/>
        <w:sz w:val="18"/>
        <w:szCs w:val="18"/>
      </w:rPr>
      <w:t xml:space="preserve"> 2023</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1A20D7" w14:textId="7AA3A5C3" w:rsidR="00E66F24" w:rsidRPr="000940AE" w:rsidRDefault="00E66F24" w:rsidP="000940AE">
    <w:pPr>
      <w:pStyle w:val="Header"/>
      <w:tabs>
        <w:tab w:val="clear" w:pos="9026"/>
        <w:tab w:val="right" w:pos="10348"/>
      </w:tabs>
      <w:spacing w:before="0" w:after="480"/>
      <w:rPr>
        <w:rFonts w:ascii="Times New Roman" w:hAnsi="Times New Roman" w:cs="Times New Roman"/>
        <w:b/>
        <w:bCs/>
        <w:i/>
        <w:iCs/>
        <w:sz w:val="18"/>
        <w:szCs w:val="18"/>
      </w:rPr>
    </w:pPr>
    <w:r w:rsidRPr="001F79FB">
      <w:rPr>
        <w:rFonts w:ascii="Times New Roman" w:hAnsi="Times New Roman" w:cs="Times New Roman"/>
        <w:b/>
        <w:bCs/>
        <w:i/>
        <w:iCs/>
        <w:sz w:val="18"/>
        <w:szCs w:val="18"/>
      </w:rPr>
      <w:t>VMware Operations Management, 3</w:t>
    </w:r>
    <w:r w:rsidRPr="001F79FB">
      <w:rPr>
        <w:rFonts w:ascii="Times New Roman" w:hAnsi="Times New Roman" w:cs="Times New Roman"/>
        <w:b/>
        <w:bCs/>
        <w:i/>
        <w:iCs/>
        <w:sz w:val="18"/>
        <w:szCs w:val="18"/>
        <w:vertAlign w:val="superscript"/>
      </w:rPr>
      <w:t>rd</w:t>
    </w:r>
    <w:r w:rsidRPr="001F79FB">
      <w:rPr>
        <w:rFonts w:ascii="Times New Roman" w:hAnsi="Times New Roman" w:cs="Times New Roman"/>
        <w:b/>
        <w:bCs/>
        <w:i/>
        <w:iCs/>
        <w:sz w:val="18"/>
        <w:szCs w:val="18"/>
      </w:rPr>
      <w:t xml:space="preserve"> Edition</w:t>
    </w:r>
    <w:r w:rsidRPr="001F79FB">
      <w:rPr>
        <w:rFonts w:ascii="Times New Roman" w:hAnsi="Times New Roman" w:cs="Times New Roman"/>
        <w:b/>
        <w:bCs/>
        <w:i/>
        <w:iCs/>
        <w:sz w:val="18"/>
        <w:szCs w:val="18"/>
      </w:rPr>
      <w:tab/>
    </w:r>
    <w:r w:rsidRPr="001F79FB">
      <w:rPr>
        <w:rFonts w:ascii="Times New Roman" w:hAnsi="Times New Roman" w:cs="Times New Roman"/>
        <w:b/>
        <w:bCs/>
        <w:i/>
        <w:iCs/>
        <w:sz w:val="18"/>
        <w:szCs w:val="18"/>
      </w:rPr>
      <w:tab/>
      <w:t>May 2021</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53897"/>
    <w:multiLevelType w:val="hybridMultilevel"/>
    <w:tmpl w:val="74A43CE0"/>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 w15:restartNumberingAfterBreak="0">
    <w:nsid w:val="02FF2036"/>
    <w:multiLevelType w:val="hybridMultilevel"/>
    <w:tmpl w:val="F2F66AAA"/>
    <w:lvl w:ilvl="0" w:tplc="D9202A10">
      <w:start w:val="1"/>
      <w:numFmt w:val="bullet"/>
      <w:lvlText w:val=""/>
      <w:lvlJc w:val="left"/>
      <w:pPr>
        <w:tabs>
          <w:tab w:val="num" w:pos="720"/>
        </w:tabs>
        <w:ind w:left="720" w:hanging="360"/>
      </w:pPr>
      <w:rPr>
        <w:rFonts w:ascii="Symbol" w:hAnsi="Symbol" w:hint="default"/>
        <w:sz w:val="20"/>
      </w:rPr>
    </w:lvl>
    <w:lvl w:ilvl="1" w:tplc="48090003">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 w15:restartNumberingAfterBreak="0">
    <w:nsid w:val="04ED1B5B"/>
    <w:multiLevelType w:val="hybridMultilevel"/>
    <w:tmpl w:val="34BEC8D2"/>
    <w:lvl w:ilvl="0" w:tplc="4809000F">
      <w:start w:val="1"/>
      <w:numFmt w:val="decimal"/>
      <w:lvlText w:val="%1."/>
      <w:lvlJc w:val="left"/>
      <w:pPr>
        <w:ind w:left="720" w:hanging="360"/>
      </w:p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 w15:restartNumberingAfterBreak="0">
    <w:nsid w:val="07B12F12"/>
    <w:multiLevelType w:val="hybridMultilevel"/>
    <w:tmpl w:val="DED41FF0"/>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4" w15:restartNumberingAfterBreak="0">
    <w:nsid w:val="09861C69"/>
    <w:multiLevelType w:val="hybridMultilevel"/>
    <w:tmpl w:val="24427D22"/>
    <w:lvl w:ilvl="0" w:tplc="4809000F">
      <w:start w:val="1"/>
      <w:numFmt w:val="decimal"/>
      <w:lvlText w:val="%1."/>
      <w:lvlJc w:val="left"/>
      <w:pPr>
        <w:ind w:left="1026" w:hanging="360"/>
      </w:pPr>
    </w:lvl>
    <w:lvl w:ilvl="1" w:tplc="48090019" w:tentative="1">
      <w:start w:val="1"/>
      <w:numFmt w:val="lowerLetter"/>
      <w:lvlText w:val="%2."/>
      <w:lvlJc w:val="left"/>
      <w:pPr>
        <w:ind w:left="1746" w:hanging="360"/>
      </w:pPr>
    </w:lvl>
    <w:lvl w:ilvl="2" w:tplc="4809001B" w:tentative="1">
      <w:start w:val="1"/>
      <w:numFmt w:val="lowerRoman"/>
      <w:lvlText w:val="%3."/>
      <w:lvlJc w:val="right"/>
      <w:pPr>
        <w:ind w:left="2466" w:hanging="180"/>
      </w:pPr>
    </w:lvl>
    <w:lvl w:ilvl="3" w:tplc="4809000F" w:tentative="1">
      <w:start w:val="1"/>
      <w:numFmt w:val="decimal"/>
      <w:lvlText w:val="%4."/>
      <w:lvlJc w:val="left"/>
      <w:pPr>
        <w:ind w:left="3186" w:hanging="360"/>
      </w:pPr>
    </w:lvl>
    <w:lvl w:ilvl="4" w:tplc="48090019" w:tentative="1">
      <w:start w:val="1"/>
      <w:numFmt w:val="lowerLetter"/>
      <w:lvlText w:val="%5."/>
      <w:lvlJc w:val="left"/>
      <w:pPr>
        <w:ind w:left="3906" w:hanging="360"/>
      </w:pPr>
    </w:lvl>
    <w:lvl w:ilvl="5" w:tplc="4809001B" w:tentative="1">
      <w:start w:val="1"/>
      <w:numFmt w:val="lowerRoman"/>
      <w:lvlText w:val="%6."/>
      <w:lvlJc w:val="right"/>
      <w:pPr>
        <w:ind w:left="4626" w:hanging="180"/>
      </w:pPr>
    </w:lvl>
    <w:lvl w:ilvl="6" w:tplc="4809000F" w:tentative="1">
      <w:start w:val="1"/>
      <w:numFmt w:val="decimal"/>
      <w:lvlText w:val="%7."/>
      <w:lvlJc w:val="left"/>
      <w:pPr>
        <w:ind w:left="5346" w:hanging="360"/>
      </w:pPr>
    </w:lvl>
    <w:lvl w:ilvl="7" w:tplc="48090019" w:tentative="1">
      <w:start w:val="1"/>
      <w:numFmt w:val="lowerLetter"/>
      <w:lvlText w:val="%8."/>
      <w:lvlJc w:val="left"/>
      <w:pPr>
        <w:ind w:left="6066" w:hanging="360"/>
      </w:pPr>
    </w:lvl>
    <w:lvl w:ilvl="8" w:tplc="4809001B" w:tentative="1">
      <w:start w:val="1"/>
      <w:numFmt w:val="lowerRoman"/>
      <w:lvlText w:val="%9."/>
      <w:lvlJc w:val="right"/>
      <w:pPr>
        <w:ind w:left="6786" w:hanging="180"/>
      </w:pPr>
    </w:lvl>
  </w:abstractNum>
  <w:abstractNum w:abstractNumId="5" w15:restartNumberingAfterBreak="0">
    <w:nsid w:val="0D756624"/>
    <w:multiLevelType w:val="hybridMultilevel"/>
    <w:tmpl w:val="8168EB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3E1823"/>
    <w:multiLevelType w:val="hybridMultilevel"/>
    <w:tmpl w:val="5E123A3A"/>
    <w:lvl w:ilvl="0" w:tplc="4809000F">
      <w:start w:val="1"/>
      <w:numFmt w:val="decimal"/>
      <w:lvlText w:val="%1."/>
      <w:lvlJc w:val="left"/>
      <w:pPr>
        <w:ind w:left="1026" w:hanging="360"/>
      </w:pPr>
    </w:lvl>
    <w:lvl w:ilvl="1" w:tplc="48090019" w:tentative="1">
      <w:start w:val="1"/>
      <w:numFmt w:val="lowerLetter"/>
      <w:lvlText w:val="%2."/>
      <w:lvlJc w:val="left"/>
      <w:pPr>
        <w:ind w:left="1746" w:hanging="360"/>
      </w:pPr>
    </w:lvl>
    <w:lvl w:ilvl="2" w:tplc="4809001B" w:tentative="1">
      <w:start w:val="1"/>
      <w:numFmt w:val="lowerRoman"/>
      <w:lvlText w:val="%3."/>
      <w:lvlJc w:val="right"/>
      <w:pPr>
        <w:ind w:left="2466" w:hanging="180"/>
      </w:pPr>
    </w:lvl>
    <w:lvl w:ilvl="3" w:tplc="4809000F" w:tentative="1">
      <w:start w:val="1"/>
      <w:numFmt w:val="decimal"/>
      <w:lvlText w:val="%4."/>
      <w:lvlJc w:val="left"/>
      <w:pPr>
        <w:ind w:left="3186" w:hanging="360"/>
      </w:pPr>
    </w:lvl>
    <w:lvl w:ilvl="4" w:tplc="48090019" w:tentative="1">
      <w:start w:val="1"/>
      <w:numFmt w:val="lowerLetter"/>
      <w:lvlText w:val="%5."/>
      <w:lvlJc w:val="left"/>
      <w:pPr>
        <w:ind w:left="3906" w:hanging="360"/>
      </w:pPr>
    </w:lvl>
    <w:lvl w:ilvl="5" w:tplc="4809001B" w:tentative="1">
      <w:start w:val="1"/>
      <w:numFmt w:val="lowerRoman"/>
      <w:lvlText w:val="%6."/>
      <w:lvlJc w:val="right"/>
      <w:pPr>
        <w:ind w:left="4626" w:hanging="180"/>
      </w:pPr>
    </w:lvl>
    <w:lvl w:ilvl="6" w:tplc="4809000F" w:tentative="1">
      <w:start w:val="1"/>
      <w:numFmt w:val="decimal"/>
      <w:lvlText w:val="%7."/>
      <w:lvlJc w:val="left"/>
      <w:pPr>
        <w:ind w:left="5346" w:hanging="360"/>
      </w:pPr>
    </w:lvl>
    <w:lvl w:ilvl="7" w:tplc="48090019" w:tentative="1">
      <w:start w:val="1"/>
      <w:numFmt w:val="lowerLetter"/>
      <w:lvlText w:val="%8."/>
      <w:lvlJc w:val="left"/>
      <w:pPr>
        <w:ind w:left="6066" w:hanging="360"/>
      </w:pPr>
    </w:lvl>
    <w:lvl w:ilvl="8" w:tplc="4809001B" w:tentative="1">
      <w:start w:val="1"/>
      <w:numFmt w:val="lowerRoman"/>
      <w:lvlText w:val="%9."/>
      <w:lvlJc w:val="right"/>
      <w:pPr>
        <w:ind w:left="6786" w:hanging="180"/>
      </w:pPr>
    </w:lvl>
  </w:abstractNum>
  <w:abstractNum w:abstractNumId="7" w15:restartNumberingAfterBreak="0">
    <w:nsid w:val="0E771BAA"/>
    <w:multiLevelType w:val="hybridMultilevel"/>
    <w:tmpl w:val="176A7ADA"/>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8" w15:restartNumberingAfterBreak="0">
    <w:nsid w:val="0F264A75"/>
    <w:multiLevelType w:val="hybridMultilevel"/>
    <w:tmpl w:val="5A2E18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28D5888"/>
    <w:multiLevelType w:val="hybridMultilevel"/>
    <w:tmpl w:val="58CE36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39F7E5E"/>
    <w:multiLevelType w:val="hybridMultilevel"/>
    <w:tmpl w:val="518A759C"/>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1" w15:restartNumberingAfterBreak="0">
    <w:nsid w:val="141B1452"/>
    <w:multiLevelType w:val="hybridMultilevel"/>
    <w:tmpl w:val="61CAEB32"/>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2" w15:restartNumberingAfterBreak="0">
    <w:nsid w:val="16BC5258"/>
    <w:multiLevelType w:val="hybridMultilevel"/>
    <w:tmpl w:val="7CF2F80A"/>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3" w15:restartNumberingAfterBreak="0">
    <w:nsid w:val="17361E0A"/>
    <w:multiLevelType w:val="hybridMultilevel"/>
    <w:tmpl w:val="5E9E38F8"/>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4" w15:restartNumberingAfterBreak="0">
    <w:nsid w:val="1AA562D0"/>
    <w:multiLevelType w:val="hybridMultilevel"/>
    <w:tmpl w:val="2F9864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1AF300D0"/>
    <w:multiLevelType w:val="hybridMultilevel"/>
    <w:tmpl w:val="6CEAE7D8"/>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6" w15:restartNumberingAfterBreak="0">
    <w:nsid w:val="1B72292D"/>
    <w:multiLevelType w:val="hybridMultilevel"/>
    <w:tmpl w:val="B254D0A2"/>
    <w:lvl w:ilvl="0" w:tplc="100E45AE">
      <w:start w:val="1"/>
      <w:numFmt w:val="bullet"/>
      <w:lvlText w:val=""/>
      <w:lvlJc w:val="left"/>
      <w:pPr>
        <w:tabs>
          <w:tab w:val="num" w:pos="720"/>
        </w:tabs>
        <w:ind w:left="720" w:hanging="360"/>
      </w:pPr>
      <w:rPr>
        <w:rFonts w:ascii="Symbol" w:hAnsi="Symbol" w:hint="default"/>
        <w:sz w:val="20"/>
      </w:rPr>
    </w:lvl>
    <w:lvl w:ilvl="1" w:tplc="72A490A0">
      <w:start w:val="1"/>
      <w:numFmt w:val="bullet"/>
      <w:lvlText w:val="o"/>
      <w:lvlJc w:val="left"/>
      <w:pPr>
        <w:tabs>
          <w:tab w:val="num" w:pos="1440"/>
        </w:tabs>
        <w:ind w:left="1440" w:hanging="360"/>
      </w:pPr>
      <w:rPr>
        <w:rFonts w:ascii="Courier New" w:hAnsi="Courier New" w:hint="default"/>
        <w:sz w:val="20"/>
      </w:rPr>
    </w:lvl>
    <w:lvl w:ilvl="2" w:tplc="CEAAFD4C" w:tentative="1">
      <w:start w:val="1"/>
      <w:numFmt w:val="bullet"/>
      <w:lvlText w:val=""/>
      <w:lvlJc w:val="left"/>
      <w:pPr>
        <w:tabs>
          <w:tab w:val="num" w:pos="2160"/>
        </w:tabs>
        <w:ind w:left="2160" w:hanging="360"/>
      </w:pPr>
      <w:rPr>
        <w:rFonts w:ascii="Wingdings" w:hAnsi="Wingdings" w:hint="default"/>
        <w:sz w:val="20"/>
      </w:rPr>
    </w:lvl>
    <w:lvl w:ilvl="3" w:tplc="1700D508" w:tentative="1">
      <w:start w:val="1"/>
      <w:numFmt w:val="bullet"/>
      <w:lvlText w:val=""/>
      <w:lvlJc w:val="left"/>
      <w:pPr>
        <w:tabs>
          <w:tab w:val="num" w:pos="2880"/>
        </w:tabs>
        <w:ind w:left="2880" w:hanging="360"/>
      </w:pPr>
      <w:rPr>
        <w:rFonts w:ascii="Wingdings" w:hAnsi="Wingdings" w:hint="default"/>
        <w:sz w:val="20"/>
      </w:rPr>
    </w:lvl>
    <w:lvl w:ilvl="4" w:tplc="4DCCDD82" w:tentative="1">
      <w:start w:val="1"/>
      <w:numFmt w:val="bullet"/>
      <w:lvlText w:val=""/>
      <w:lvlJc w:val="left"/>
      <w:pPr>
        <w:tabs>
          <w:tab w:val="num" w:pos="3600"/>
        </w:tabs>
        <w:ind w:left="3600" w:hanging="360"/>
      </w:pPr>
      <w:rPr>
        <w:rFonts w:ascii="Wingdings" w:hAnsi="Wingdings" w:hint="default"/>
        <w:sz w:val="20"/>
      </w:rPr>
    </w:lvl>
    <w:lvl w:ilvl="5" w:tplc="49D294C8" w:tentative="1">
      <w:start w:val="1"/>
      <w:numFmt w:val="bullet"/>
      <w:lvlText w:val=""/>
      <w:lvlJc w:val="left"/>
      <w:pPr>
        <w:tabs>
          <w:tab w:val="num" w:pos="4320"/>
        </w:tabs>
        <w:ind w:left="4320" w:hanging="360"/>
      </w:pPr>
      <w:rPr>
        <w:rFonts w:ascii="Wingdings" w:hAnsi="Wingdings" w:hint="default"/>
        <w:sz w:val="20"/>
      </w:rPr>
    </w:lvl>
    <w:lvl w:ilvl="6" w:tplc="42F077F4" w:tentative="1">
      <w:start w:val="1"/>
      <w:numFmt w:val="bullet"/>
      <w:lvlText w:val=""/>
      <w:lvlJc w:val="left"/>
      <w:pPr>
        <w:tabs>
          <w:tab w:val="num" w:pos="5040"/>
        </w:tabs>
        <w:ind w:left="5040" w:hanging="360"/>
      </w:pPr>
      <w:rPr>
        <w:rFonts w:ascii="Wingdings" w:hAnsi="Wingdings" w:hint="default"/>
        <w:sz w:val="20"/>
      </w:rPr>
    </w:lvl>
    <w:lvl w:ilvl="7" w:tplc="51024A34" w:tentative="1">
      <w:start w:val="1"/>
      <w:numFmt w:val="bullet"/>
      <w:lvlText w:val=""/>
      <w:lvlJc w:val="left"/>
      <w:pPr>
        <w:tabs>
          <w:tab w:val="num" w:pos="5760"/>
        </w:tabs>
        <w:ind w:left="5760" w:hanging="360"/>
      </w:pPr>
      <w:rPr>
        <w:rFonts w:ascii="Wingdings" w:hAnsi="Wingdings" w:hint="default"/>
        <w:sz w:val="20"/>
      </w:rPr>
    </w:lvl>
    <w:lvl w:ilvl="8" w:tplc="09D6AD76"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B9B2F3F"/>
    <w:multiLevelType w:val="hybridMultilevel"/>
    <w:tmpl w:val="85348E28"/>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18" w15:restartNumberingAfterBreak="0">
    <w:nsid w:val="1CEC2E73"/>
    <w:multiLevelType w:val="hybridMultilevel"/>
    <w:tmpl w:val="613A7B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F70556B"/>
    <w:multiLevelType w:val="hybridMultilevel"/>
    <w:tmpl w:val="829E90B8"/>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0" w15:restartNumberingAfterBreak="0">
    <w:nsid w:val="212B32BA"/>
    <w:multiLevelType w:val="hybridMultilevel"/>
    <w:tmpl w:val="84ECF5E0"/>
    <w:lvl w:ilvl="0" w:tplc="D9202A10">
      <w:start w:val="1"/>
      <w:numFmt w:val="bullet"/>
      <w:lvlText w:val=""/>
      <w:lvlJc w:val="left"/>
      <w:pPr>
        <w:tabs>
          <w:tab w:val="num" w:pos="720"/>
        </w:tabs>
        <w:ind w:left="720" w:hanging="360"/>
      </w:pPr>
      <w:rPr>
        <w:rFonts w:ascii="Symbol" w:hAnsi="Symbol" w:hint="default"/>
        <w:sz w:val="20"/>
      </w:rPr>
    </w:lvl>
    <w:lvl w:ilvl="1" w:tplc="48090003">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1" w15:restartNumberingAfterBreak="0">
    <w:nsid w:val="21F74932"/>
    <w:multiLevelType w:val="hybridMultilevel"/>
    <w:tmpl w:val="7E040602"/>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2" w15:restartNumberingAfterBreak="0">
    <w:nsid w:val="226B112D"/>
    <w:multiLevelType w:val="hybridMultilevel"/>
    <w:tmpl w:val="2B5E2458"/>
    <w:lvl w:ilvl="0" w:tplc="4809000F">
      <w:start w:val="1"/>
      <w:numFmt w:val="decimal"/>
      <w:lvlText w:val="%1."/>
      <w:lvlJc w:val="left"/>
      <w:pPr>
        <w:ind w:left="1026" w:hanging="360"/>
      </w:pPr>
    </w:lvl>
    <w:lvl w:ilvl="1" w:tplc="48090019" w:tentative="1">
      <w:start w:val="1"/>
      <w:numFmt w:val="lowerLetter"/>
      <w:lvlText w:val="%2."/>
      <w:lvlJc w:val="left"/>
      <w:pPr>
        <w:ind w:left="1746" w:hanging="360"/>
      </w:pPr>
    </w:lvl>
    <w:lvl w:ilvl="2" w:tplc="4809001B" w:tentative="1">
      <w:start w:val="1"/>
      <w:numFmt w:val="lowerRoman"/>
      <w:lvlText w:val="%3."/>
      <w:lvlJc w:val="right"/>
      <w:pPr>
        <w:ind w:left="2466" w:hanging="180"/>
      </w:pPr>
    </w:lvl>
    <w:lvl w:ilvl="3" w:tplc="4809000F" w:tentative="1">
      <w:start w:val="1"/>
      <w:numFmt w:val="decimal"/>
      <w:lvlText w:val="%4."/>
      <w:lvlJc w:val="left"/>
      <w:pPr>
        <w:ind w:left="3186" w:hanging="360"/>
      </w:pPr>
    </w:lvl>
    <w:lvl w:ilvl="4" w:tplc="48090019" w:tentative="1">
      <w:start w:val="1"/>
      <w:numFmt w:val="lowerLetter"/>
      <w:lvlText w:val="%5."/>
      <w:lvlJc w:val="left"/>
      <w:pPr>
        <w:ind w:left="3906" w:hanging="360"/>
      </w:pPr>
    </w:lvl>
    <w:lvl w:ilvl="5" w:tplc="4809001B" w:tentative="1">
      <w:start w:val="1"/>
      <w:numFmt w:val="lowerRoman"/>
      <w:lvlText w:val="%6."/>
      <w:lvlJc w:val="right"/>
      <w:pPr>
        <w:ind w:left="4626" w:hanging="180"/>
      </w:pPr>
    </w:lvl>
    <w:lvl w:ilvl="6" w:tplc="4809000F" w:tentative="1">
      <w:start w:val="1"/>
      <w:numFmt w:val="decimal"/>
      <w:lvlText w:val="%7."/>
      <w:lvlJc w:val="left"/>
      <w:pPr>
        <w:ind w:left="5346" w:hanging="360"/>
      </w:pPr>
    </w:lvl>
    <w:lvl w:ilvl="7" w:tplc="48090019" w:tentative="1">
      <w:start w:val="1"/>
      <w:numFmt w:val="lowerLetter"/>
      <w:lvlText w:val="%8."/>
      <w:lvlJc w:val="left"/>
      <w:pPr>
        <w:ind w:left="6066" w:hanging="360"/>
      </w:pPr>
    </w:lvl>
    <w:lvl w:ilvl="8" w:tplc="4809001B" w:tentative="1">
      <w:start w:val="1"/>
      <w:numFmt w:val="lowerRoman"/>
      <w:lvlText w:val="%9."/>
      <w:lvlJc w:val="right"/>
      <w:pPr>
        <w:ind w:left="6786" w:hanging="180"/>
      </w:pPr>
    </w:lvl>
  </w:abstractNum>
  <w:abstractNum w:abstractNumId="23" w15:restartNumberingAfterBreak="0">
    <w:nsid w:val="230103F1"/>
    <w:multiLevelType w:val="hybridMultilevel"/>
    <w:tmpl w:val="D22C7288"/>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4" w15:restartNumberingAfterBreak="0">
    <w:nsid w:val="232C75FA"/>
    <w:multiLevelType w:val="hybridMultilevel"/>
    <w:tmpl w:val="90FA3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3DB4ECF"/>
    <w:multiLevelType w:val="hybridMultilevel"/>
    <w:tmpl w:val="5594927C"/>
    <w:lvl w:ilvl="0" w:tplc="4809000F">
      <w:start w:val="1"/>
      <w:numFmt w:val="decimal"/>
      <w:lvlText w:val="%1."/>
      <w:lvlJc w:val="left"/>
      <w:pPr>
        <w:ind w:left="720" w:hanging="360"/>
      </w:p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26" w15:restartNumberingAfterBreak="0">
    <w:nsid w:val="26EB4BAC"/>
    <w:multiLevelType w:val="hybridMultilevel"/>
    <w:tmpl w:val="A76A0414"/>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27" w15:restartNumberingAfterBreak="0">
    <w:nsid w:val="276F16CF"/>
    <w:multiLevelType w:val="hybridMultilevel"/>
    <w:tmpl w:val="B254D0A2"/>
    <w:lvl w:ilvl="0" w:tplc="3EF00F6E">
      <w:start w:val="1"/>
      <w:numFmt w:val="bullet"/>
      <w:lvlText w:val=""/>
      <w:lvlJc w:val="left"/>
      <w:pPr>
        <w:tabs>
          <w:tab w:val="num" w:pos="720"/>
        </w:tabs>
        <w:ind w:left="720" w:hanging="360"/>
      </w:pPr>
      <w:rPr>
        <w:rFonts w:ascii="Symbol" w:hAnsi="Symbol" w:hint="default"/>
        <w:sz w:val="20"/>
      </w:rPr>
    </w:lvl>
    <w:lvl w:ilvl="1" w:tplc="4E62657A">
      <w:start w:val="1"/>
      <w:numFmt w:val="bullet"/>
      <w:lvlText w:val="o"/>
      <w:lvlJc w:val="left"/>
      <w:pPr>
        <w:tabs>
          <w:tab w:val="num" w:pos="1440"/>
        </w:tabs>
        <w:ind w:left="1440" w:hanging="360"/>
      </w:pPr>
      <w:rPr>
        <w:rFonts w:ascii="Courier New" w:hAnsi="Courier New" w:hint="default"/>
        <w:sz w:val="20"/>
      </w:rPr>
    </w:lvl>
    <w:lvl w:ilvl="2" w:tplc="69A20DD8" w:tentative="1">
      <w:start w:val="1"/>
      <w:numFmt w:val="bullet"/>
      <w:lvlText w:val=""/>
      <w:lvlJc w:val="left"/>
      <w:pPr>
        <w:tabs>
          <w:tab w:val="num" w:pos="2160"/>
        </w:tabs>
        <w:ind w:left="2160" w:hanging="360"/>
      </w:pPr>
      <w:rPr>
        <w:rFonts w:ascii="Wingdings" w:hAnsi="Wingdings" w:hint="default"/>
        <w:sz w:val="20"/>
      </w:rPr>
    </w:lvl>
    <w:lvl w:ilvl="3" w:tplc="6DC45FA6" w:tentative="1">
      <w:start w:val="1"/>
      <w:numFmt w:val="bullet"/>
      <w:lvlText w:val=""/>
      <w:lvlJc w:val="left"/>
      <w:pPr>
        <w:tabs>
          <w:tab w:val="num" w:pos="2880"/>
        </w:tabs>
        <w:ind w:left="2880" w:hanging="360"/>
      </w:pPr>
      <w:rPr>
        <w:rFonts w:ascii="Wingdings" w:hAnsi="Wingdings" w:hint="default"/>
        <w:sz w:val="20"/>
      </w:rPr>
    </w:lvl>
    <w:lvl w:ilvl="4" w:tplc="EA08FDBC" w:tentative="1">
      <w:start w:val="1"/>
      <w:numFmt w:val="bullet"/>
      <w:lvlText w:val=""/>
      <w:lvlJc w:val="left"/>
      <w:pPr>
        <w:tabs>
          <w:tab w:val="num" w:pos="3600"/>
        </w:tabs>
        <w:ind w:left="3600" w:hanging="360"/>
      </w:pPr>
      <w:rPr>
        <w:rFonts w:ascii="Wingdings" w:hAnsi="Wingdings" w:hint="default"/>
        <w:sz w:val="20"/>
      </w:rPr>
    </w:lvl>
    <w:lvl w:ilvl="5" w:tplc="A4CEF092" w:tentative="1">
      <w:start w:val="1"/>
      <w:numFmt w:val="bullet"/>
      <w:lvlText w:val=""/>
      <w:lvlJc w:val="left"/>
      <w:pPr>
        <w:tabs>
          <w:tab w:val="num" w:pos="4320"/>
        </w:tabs>
        <w:ind w:left="4320" w:hanging="360"/>
      </w:pPr>
      <w:rPr>
        <w:rFonts w:ascii="Wingdings" w:hAnsi="Wingdings" w:hint="default"/>
        <w:sz w:val="20"/>
      </w:rPr>
    </w:lvl>
    <w:lvl w:ilvl="6" w:tplc="B73C308E" w:tentative="1">
      <w:start w:val="1"/>
      <w:numFmt w:val="bullet"/>
      <w:lvlText w:val=""/>
      <w:lvlJc w:val="left"/>
      <w:pPr>
        <w:tabs>
          <w:tab w:val="num" w:pos="5040"/>
        </w:tabs>
        <w:ind w:left="5040" w:hanging="360"/>
      </w:pPr>
      <w:rPr>
        <w:rFonts w:ascii="Wingdings" w:hAnsi="Wingdings" w:hint="default"/>
        <w:sz w:val="20"/>
      </w:rPr>
    </w:lvl>
    <w:lvl w:ilvl="7" w:tplc="39AA7AC0" w:tentative="1">
      <w:start w:val="1"/>
      <w:numFmt w:val="bullet"/>
      <w:lvlText w:val=""/>
      <w:lvlJc w:val="left"/>
      <w:pPr>
        <w:tabs>
          <w:tab w:val="num" w:pos="5760"/>
        </w:tabs>
        <w:ind w:left="5760" w:hanging="360"/>
      </w:pPr>
      <w:rPr>
        <w:rFonts w:ascii="Wingdings" w:hAnsi="Wingdings" w:hint="default"/>
        <w:sz w:val="20"/>
      </w:rPr>
    </w:lvl>
    <w:lvl w:ilvl="8" w:tplc="BC62AF52"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86E320C"/>
    <w:multiLevelType w:val="hybridMultilevel"/>
    <w:tmpl w:val="57B40F62"/>
    <w:lvl w:ilvl="0" w:tplc="4809000F">
      <w:start w:val="1"/>
      <w:numFmt w:val="decimal"/>
      <w:lvlText w:val="%1."/>
      <w:lvlJc w:val="left"/>
      <w:pPr>
        <w:ind w:left="1026" w:hanging="360"/>
      </w:pPr>
    </w:lvl>
    <w:lvl w:ilvl="1" w:tplc="48090019" w:tentative="1">
      <w:start w:val="1"/>
      <w:numFmt w:val="lowerLetter"/>
      <w:lvlText w:val="%2."/>
      <w:lvlJc w:val="left"/>
      <w:pPr>
        <w:ind w:left="1746" w:hanging="360"/>
      </w:pPr>
    </w:lvl>
    <w:lvl w:ilvl="2" w:tplc="4809001B" w:tentative="1">
      <w:start w:val="1"/>
      <w:numFmt w:val="lowerRoman"/>
      <w:lvlText w:val="%3."/>
      <w:lvlJc w:val="right"/>
      <w:pPr>
        <w:ind w:left="2466" w:hanging="180"/>
      </w:pPr>
    </w:lvl>
    <w:lvl w:ilvl="3" w:tplc="4809000F" w:tentative="1">
      <w:start w:val="1"/>
      <w:numFmt w:val="decimal"/>
      <w:lvlText w:val="%4."/>
      <w:lvlJc w:val="left"/>
      <w:pPr>
        <w:ind w:left="3186" w:hanging="360"/>
      </w:pPr>
    </w:lvl>
    <w:lvl w:ilvl="4" w:tplc="48090019" w:tentative="1">
      <w:start w:val="1"/>
      <w:numFmt w:val="lowerLetter"/>
      <w:lvlText w:val="%5."/>
      <w:lvlJc w:val="left"/>
      <w:pPr>
        <w:ind w:left="3906" w:hanging="360"/>
      </w:pPr>
    </w:lvl>
    <w:lvl w:ilvl="5" w:tplc="4809001B" w:tentative="1">
      <w:start w:val="1"/>
      <w:numFmt w:val="lowerRoman"/>
      <w:lvlText w:val="%6."/>
      <w:lvlJc w:val="right"/>
      <w:pPr>
        <w:ind w:left="4626" w:hanging="180"/>
      </w:pPr>
    </w:lvl>
    <w:lvl w:ilvl="6" w:tplc="4809000F" w:tentative="1">
      <w:start w:val="1"/>
      <w:numFmt w:val="decimal"/>
      <w:lvlText w:val="%7."/>
      <w:lvlJc w:val="left"/>
      <w:pPr>
        <w:ind w:left="5346" w:hanging="360"/>
      </w:pPr>
    </w:lvl>
    <w:lvl w:ilvl="7" w:tplc="48090019" w:tentative="1">
      <w:start w:val="1"/>
      <w:numFmt w:val="lowerLetter"/>
      <w:lvlText w:val="%8."/>
      <w:lvlJc w:val="left"/>
      <w:pPr>
        <w:ind w:left="6066" w:hanging="360"/>
      </w:pPr>
    </w:lvl>
    <w:lvl w:ilvl="8" w:tplc="4809001B" w:tentative="1">
      <w:start w:val="1"/>
      <w:numFmt w:val="lowerRoman"/>
      <w:lvlText w:val="%9."/>
      <w:lvlJc w:val="right"/>
      <w:pPr>
        <w:ind w:left="6786" w:hanging="180"/>
      </w:pPr>
    </w:lvl>
  </w:abstractNum>
  <w:abstractNum w:abstractNumId="29" w15:restartNumberingAfterBreak="0">
    <w:nsid w:val="29F5590F"/>
    <w:multiLevelType w:val="hybridMultilevel"/>
    <w:tmpl w:val="B3822F0C"/>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30" w15:restartNumberingAfterBreak="0">
    <w:nsid w:val="2D025D8E"/>
    <w:multiLevelType w:val="hybridMultilevel"/>
    <w:tmpl w:val="CCBCD9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2DE0381D"/>
    <w:multiLevelType w:val="hybridMultilevel"/>
    <w:tmpl w:val="DC961C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2F405BBE"/>
    <w:multiLevelType w:val="hybridMultilevel"/>
    <w:tmpl w:val="98244BE0"/>
    <w:lvl w:ilvl="0" w:tplc="5E6273EE">
      <w:start w:val="1"/>
      <w:numFmt w:val="bullet"/>
      <w:pStyle w:val="BulletPACK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 w15:restartNumberingAfterBreak="0">
    <w:nsid w:val="304D3370"/>
    <w:multiLevelType w:val="hybridMultilevel"/>
    <w:tmpl w:val="0ED68904"/>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34" w15:restartNumberingAfterBreak="0">
    <w:nsid w:val="31107BAD"/>
    <w:multiLevelType w:val="hybridMultilevel"/>
    <w:tmpl w:val="1CE27EC8"/>
    <w:lvl w:ilvl="0" w:tplc="D9202A10">
      <w:start w:val="1"/>
      <w:numFmt w:val="bullet"/>
      <w:lvlText w:val=""/>
      <w:lvlJc w:val="left"/>
      <w:pPr>
        <w:tabs>
          <w:tab w:val="num" w:pos="720"/>
        </w:tabs>
        <w:ind w:left="720" w:hanging="360"/>
      </w:pPr>
      <w:rPr>
        <w:rFonts w:ascii="Symbol" w:hAnsi="Symbol" w:hint="default"/>
        <w:sz w:val="20"/>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35" w15:restartNumberingAfterBreak="0">
    <w:nsid w:val="332C5830"/>
    <w:multiLevelType w:val="hybridMultilevel"/>
    <w:tmpl w:val="508C95A8"/>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6" w15:restartNumberingAfterBreak="0">
    <w:nsid w:val="38D57E49"/>
    <w:multiLevelType w:val="hybridMultilevel"/>
    <w:tmpl w:val="36129EDC"/>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37" w15:restartNumberingAfterBreak="0">
    <w:nsid w:val="3C984F26"/>
    <w:multiLevelType w:val="hybridMultilevel"/>
    <w:tmpl w:val="AAAE86DA"/>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8" w15:restartNumberingAfterBreak="0">
    <w:nsid w:val="3D861121"/>
    <w:multiLevelType w:val="hybridMultilevel"/>
    <w:tmpl w:val="1A602760"/>
    <w:lvl w:ilvl="0" w:tplc="4809000F">
      <w:start w:val="1"/>
      <w:numFmt w:val="decimal"/>
      <w:lvlText w:val="%1."/>
      <w:lvlJc w:val="left"/>
      <w:pPr>
        <w:ind w:left="720" w:hanging="360"/>
      </w:pPr>
      <w:rPr>
        <w:rFonts w:hint="default"/>
      </w:rPr>
    </w:lvl>
    <w:lvl w:ilvl="1" w:tplc="F62A5B50">
      <w:start w:val="1"/>
      <w:numFmt w:val="lowerLetter"/>
      <w:lvlText w:val="(%2)"/>
      <w:lvlJc w:val="left"/>
      <w:pPr>
        <w:ind w:left="1440" w:hanging="360"/>
      </w:pPr>
      <w:rPr>
        <w:rFonts w:hint="default"/>
      </w:r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39" w15:restartNumberingAfterBreak="0">
    <w:nsid w:val="3E92309E"/>
    <w:multiLevelType w:val="hybridMultilevel"/>
    <w:tmpl w:val="AE0A3AEC"/>
    <w:lvl w:ilvl="0" w:tplc="4809000F">
      <w:start w:val="1"/>
      <w:numFmt w:val="decimal"/>
      <w:lvlText w:val="%1."/>
      <w:lvlJc w:val="left"/>
      <w:pPr>
        <w:ind w:left="1026" w:hanging="360"/>
      </w:pPr>
    </w:lvl>
    <w:lvl w:ilvl="1" w:tplc="48090019" w:tentative="1">
      <w:start w:val="1"/>
      <w:numFmt w:val="lowerLetter"/>
      <w:lvlText w:val="%2."/>
      <w:lvlJc w:val="left"/>
      <w:pPr>
        <w:ind w:left="1746" w:hanging="360"/>
      </w:pPr>
    </w:lvl>
    <w:lvl w:ilvl="2" w:tplc="4809001B" w:tentative="1">
      <w:start w:val="1"/>
      <w:numFmt w:val="lowerRoman"/>
      <w:lvlText w:val="%3."/>
      <w:lvlJc w:val="right"/>
      <w:pPr>
        <w:ind w:left="2466" w:hanging="180"/>
      </w:pPr>
    </w:lvl>
    <w:lvl w:ilvl="3" w:tplc="4809000F" w:tentative="1">
      <w:start w:val="1"/>
      <w:numFmt w:val="decimal"/>
      <w:lvlText w:val="%4."/>
      <w:lvlJc w:val="left"/>
      <w:pPr>
        <w:ind w:left="3186" w:hanging="360"/>
      </w:pPr>
    </w:lvl>
    <w:lvl w:ilvl="4" w:tplc="48090019" w:tentative="1">
      <w:start w:val="1"/>
      <w:numFmt w:val="lowerLetter"/>
      <w:lvlText w:val="%5."/>
      <w:lvlJc w:val="left"/>
      <w:pPr>
        <w:ind w:left="3906" w:hanging="360"/>
      </w:pPr>
    </w:lvl>
    <w:lvl w:ilvl="5" w:tplc="4809001B" w:tentative="1">
      <w:start w:val="1"/>
      <w:numFmt w:val="lowerRoman"/>
      <w:lvlText w:val="%6."/>
      <w:lvlJc w:val="right"/>
      <w:pPr>
        <w:ind w:left="4626" w:hanging="180"/>
      </w:pPr>
    </w:lvl>
    <w:lvl w:ilvl="6" w:tplc="4809000F" w:tentative="1">
      <w:start w:val="1"/>
      <w:numFmt w:val="decimal"/>
      <w:lvlText w:val="%7."/>
      <w:lvlJc w:val="left"/>
      <w:pPr>
        <w:ind w:left="5346" w:hanging="360"/>
      </w:pPr>
    </w:lvl>
    <w:lvl w:ilvl="7" w:tplc="48090019" w:tentative="1">
      <w:start w:val="1"/>
      <w:numFmt w:val="lowerLetter"/>
      <w:lvlText w:val="%8."/>
      <w:lvlJc w:val="left"/>
      <w:pPr>
        <w:ind w:left="6066" w:hanging="360"/>
      </w:pPr>
    </w:lvl>
    <w:lvl w:ilvl="8" w:tplc="4809001B" w:tentative="1">
      <w:start w:val="1"/>
      <w:numFmt w:val="lowerRoman"/>
      <w:lvlText w:val="%9."/>
      <w:lvlJc w:val="right"/>
      <w:pPr>
        <w:ind w:left="6786" w:hanging="180"/>
      </w:pPr>
    </w:lvl>
  </w:abstractNum>
  <w:abstractNum w:abstractNumId="40" w15:restartNumberingAfterBreak="0">
    <w:nsid w:val="40AC34F5"/>
    <w:multiLevelType w:val="hybridMultilevel"/>
    <w:tmpl w:val="C23E3632"/>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41" w15:restartNumberingAfterBreak="0">
    <w:nsid w:val="424219F7"/>
    <w:multiLevelType w:val="hybridMultilevel"/>
    <w:tmpl w:val="966ACD90"/>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42" w15:restartNumberingAfterBreak="0">
    <w:nsid w:val="427E1F54"/>
    <w:multiLevelType w:val="hybridMultilevel"/>
    <w:tmpl w:val="42180398"/>
    <w:lvl w:ilvl="0" w:tplc="4809000F">
      <w:start w:val="1"/>
      <w:numFmt w:val="decimal"/>
      <w:lvlText w:val="%1."/>
      <w:lvlJc w:val="left"/>
      <w:pPr>
        <w:ind w:left="1026" w:hanging="360"/>
      </w:pPr>
    </w:lvl>
    <w:lvl w:ilvl="1" w:tplc="48090019" w:tentative="1">
      <w:start w:val="1"/>
      <w:numFmt w:val="lowerLetter"/>
      <w:lvlText w:val="%2."/>
      <w:lvlJc w:val="left"/>
      <w:pPr>
        <w:ind w:left="1746" w:hanging="360"/>
      </w:pPr>
    </w:lvl>
    <w:lvl w:ilvl="2" w:tplc="4809001B" w:tentative="1">
      <w:start w:val="1"/>
      <w:numFmt w:val="lowerRoman"/>
      <w:lvlText w:val="%3."/>
      <w:lvlJc w:val="right"/>
      <w:pPr>
        <w:ind w:left="2466" w:hanging="180"/>
      </w:pPr>
    </w:lvl>
    <w:lvl w:ilvl="3" w:tplc="4809000F" w:tentative="1">
      <w:start w:val="1"/>
      <w:numFmt w:val="decimal"/>
      <w:lvlText w:val="%4."/>
      <w:lvlJc w:val="left"/>
      <w:pPr>
        <w:ind w:left="3186" w:hanging="360"/>
      </w:pPr>
    </w:lvl>
    <w:lvl w:ilvl="4" w:tplc="48090019" w:tentative="1">
      <w:start w:val="1"/>
      <w:numFmt w:val="lowerLetter"/>
      <w:lvlText w:val="%5."/>
      <w:lvlJc w:val="left"/>
      <w:pPr>
        <w:ind w:left="3906" w:hanging="360"/>
      </w:pPr>
    </w:lvl>
    <w:lvl w:ilvl="5" w:tplc="4809001B" w:tentative="1">
      <w:start w:val="1"/>
      <w:numFmt w:val="lowerRoman"/>
      <w:lvlText w:val="%6."/>
      <w:lvlJc w:val="right"/>
      <w:pPr>
        <w:ind w:left="4626" w:hanging="180"/>
      </w:pPr>
    </w:lvl>
    <w:lvl w:ilvl="6" w:tplc="4809000F" w:tentative="1">
      <w:start w:val="1"/>
      <w:numFmt w:val="decimal"/>
      <w:lvlText w:val="%7."/>
      <w:lvlJc w:val="left"/>
      <w:pPr>
        <w:ind w:left="5346" w:hanging="360"/>
      </w:pPr>
    </w:lvl>
    <w:lvl w:ilvl="7" w:tplc="48090019" w:tentative="1">
      <w:start w:val="1"/>
      <w:numFmt w:val="lowerLetter"/>
      <w:lvlText w:val="%8."/>
      <w:lvlJc w:val="left"/>
      <w:pPr>
        <w:ind w:left="6066" w:hanging="360"/>
      </w:pPr>
    </w:lvl>
    <w:lvl w:ilvl="8" w:tplc="4809001B" w:tentative="1">
      <w:start w:val="1"/>
      <w:numFmt w:val="lowerRoman"/>
      <w:lvlText w:val="%9."/>
      <w:lvlJc w:val="right"/>
      <w:pPr>
        <w:ind w:left="6786" w:hanging="180"/>
      </w:pPr>
    </w:lvl>
  </w:abstractNum>
  <w:abstractNum w:abstractNumId="43" w15:restartNumberingAfterBreak="0">
    <w:nsid w:val="42C42CC4"/>
    <w:multiLevelType w:val="hybridMultilevel"/>
    <w:tmpl w:val="1F288AC0"/>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44" w15:restartNumberingAfterBreak="0">
    <w:nsid w:val="44483B8E"/>
    <w:multiLevelType w:val="hybridMultilevel"/>
    <w:tmpl w:val="FFAAEAF2"/>
    <w:lvl w:ilvl="0" w:tplc="BE460188">
      <w:start w:val="1"/>
      <w:numFmt w:val="bullet"/>
      <w:lvlText w:val=""/>
      <w:lvlJc w:val="left"/>
      <w:pPr>
        <w:tabs>
          <w:tab w:val="num" w:pos="720"/>
        </w:tabs>
        <w:ind w:left="720" w:hanging="360"/>
      </w:pPr>
      <w:rPr>
        <w:rFonts w:ascii="Symbol" w:hAnsi="Symbol" w:hint="default"/>
        <w:sz w:val="20"/>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45" w15:restartNumberingAfterBreak="0">
    <w:nsid w:val="44BC205C"/>
    <w:multiLevelType w:val="hybridMultilevel"/>
    <w:tmpl w:val="4A52987A"/>
    <w:lvl w:ilvl="0" w:tplc="4809000F">
      <w:start w:val="1"/>
      <w:numFmt w:val="decimal"/>
      <w:lvlText w:val="%1."/>
      <w:lvlJc w:val="left"/>
      <w:pPr>
        <w:ind w:left="1026" w:hanging="360"/>
      </w:pPr>
    </w:lvl>
    <w:lvl w:ilvl="1" w:tplc="48090019" w:tentative="1">
      <w:start w:val="1"/>
      <w:numFmt w:val="lowerLetter"/>
      <w:lvlText w:val="%2."/>
      <w:lvlJc w:val="left"/>
      <w:pPr>
        <w:ind w:left="1746" w:hanging="360"/>
      </w:pPr>
    </w:lvl>
    <w:lvl w:ilvl="2" w:tplc="4809001B" w:tentative="1">
      <w:start w:val="1"/>
      <w:numFmt w:val="lowerRoman"/>
      <w:lvlText w:val="%3."/>
      <w:lvlJc w:val="right"/>
      <w:pPr>
        <w:ind w:left="2466" w:hanging="180"/>
      </w:pPr>
    </w:lvl>
    <w:lvl w:ilvl="3" w:tplc="4809000F" w:tentative="1">
      <w:start w:val="1"/>
      <w:numFmt w:val="decimal"/>
      <w:lvlText w:val="%4."/>
      <w:lvlJc w:val="left"/>
      <w:pPr>
        <w:ind w:left="3186" w:hanging="360"/>
      </w:pPr>
    </w:lvl>
    <w:lvl w:ilvl="4" w:tplc="48090019" w:tentative="1">
      <w:start w:val="1"/>
      <w:numFmt w:val="lowerLetter"/>
      <w:lvlText w:val="%5."/>
      <w:lvlJc w:val="left"/>
      <w:pPr>
        <w:ind w:left="3906" w:hanging="360"/>
      </w:pPr>
    </w:lvl>
    <w:lvl w:ilvl="5" w:tplc="4809001B" w:tentative="1">
      <w:start w:val="1"/>
      <w:numFmt w:val="lowerRoman"/>
      <w:lvlText w:val="%6."/>
      <w:lvlJc w:val="right"/>
      <w:pPr>
        <w:ind w:left="4626" w:hanging="180"/>
      </w:pPr>
    </w:lvl>
    <w:lvl w:ilvl="6" w:tplc="4809000F" w:tentative="1">
      <w:start w:val="1"/>
      <w:numFmt w:val="decimal"/>
      <w:lvlText w:val="%7."/>
      <w:lvlJc w:val="left"/>
      <w:pPr>
        <w:ind w:left="5346" w:hanging="360"/>
      </w:pPr>
    </w:lvl>
    <w:lvl w:ilvl="7" w:tplc="48090019" w:tentative="1">
      <w:start w:val="1"/>
      <w:numFmt w:val="lowerLetter"/>
      <w:lvlText w:val="%8."/>
      <w:lvlJc w:val="left"/>
      <w:pPr>
        <w:ind w:left="6066" w:hanging="360"/>
      </w:pPr>
    </w:lvl>
    <w:lvl w:ilvl="8" w:tplc="4809001B" w:tentative="1">
      <w:start w:val="1"/>
      <w:numFmt w:val="lowerRoman"/>
      <w:lvlText w:val="%9."/>
      <w:lvlJc w:val="right"/>
      <w:pPr>
        <w:ind w:left="6786" w:hanging="180"/>
      </w:pPr>
    </w:lvl>
  </w:abstractNum>
  <w:abstractNum w:abstractNumId="46" w15:restartNumberingAfterBreak="0">
    <w:nsid w:val="45214E50"/>
    <w:multiLevelType w:val="hybridMultilevel"/>
    <w:tmpl w:val="0E84447E"/>
    <w:lvl w:ilvl="0" w:tplc="4809000F">
      <w:start w:val="1"/>
      <w:numFmt w:val="decimal"/>
      <w:lvlText w:val="%1."/>
      <w:lvlJc w:val="left"/>
      <w:pPr>
        <w:ind w:left="1026" w:hanging="360"/>
      </w:pPr>
    </w:lvl>
    <w:lvl w:ilvl="1" w:tplc="48090019" w:tentative="1">
      <w:start w:val="1"/>
      <w:numFmt w:val="lowerLetter"/>
      <w:lvlText w:val="%2."/>
      <w:lvlJc w:val="left"/>
      <w:pPr>
        <w:ind w:left="1746" w:hanging="360"/>
      </w:pPr>
    </w:lvl>
    <w:lvl w:ilvl="2" w:tplc="4809001B" w:tentative="1">
      <w:start w:val="1"/>
      <w:numFmt w:val="lowerRoman"/>
      <w:lvlText w:val="%3."/>
      <w:lvlJc w:val="right"/>
      <w:pPr>
        <w:ind w:left="2466" w:hanging="180"/>
      </w:pPr>
    </w:lvl>
    <w:lvl w:ilvl="3" w:tplc="4809000F" w:tentative="1">
      <w:start w:val="1"/>
      <w:numFmt w:val="decimal"/>
      <w:lvlText w:val="%4."/>
      <w:lvlJc w:val="left"/>
      <w:pPr>
        <w:ind w:left="3186" w:hanging="360"/>
      </w:pPr>
    </w:lvl>
    <w:lvl w:ilvl="4" w:tplc="48090019" w:tentative="1">
      <w:start w:val="1"/>
      <w:numFmt w:val="lowerLetter"/>
      <w:lvlText w:val="%5."/>
      <w:lvlJc w:val="left"/>
      <w:pPr>
        <w:ind w:left="3906" w:hanging="360"/>
      </w:pPr>
    </w:lvl>
    <w:lvl w:ilvl="5" w:tplc="4809001B" w:tentative="1">
      <w:start w:val="1"/>
      <w:numFmt w:val="lowerRoman"/>
      <w:lvlText w:val="%6."/>
      <w:lvlJc w:val="right"/>
      <w:pPr>
        <w:ind w:left="4626" w:hanging="180"/>
      </w:pPr>
    </w:lvl>
    <w:lvl w:ilvl="6" w:tplc="4809000F" w:tentative="1">
      <w:start w:val="1"/>
      <w:numFmt w:val="decimal"/>
      <w:lvlText w:val="%7."/>
      <w:lvlJc w:val="left"/>
      <w:pPr>
        <w:ind w:left="5346" w:hanging="360"/>
      </w:pPr>
    </w:lvl>
    <w:lvl w:ilvl="7" w:tplc="48090019" w:tentative="1">
      <w:start w:val="1"/>
      <w:numFmt w:val="lowerLetter"/>
      <w:lvlText w:val="%8."/>
      <w:lvlJc w:val="left"/>
      <w:pPr>
        <w:ind w:left="6066" w:hanging="360"/>
      </w:pPr>
    </w:lvl>
    <w:lvl w:ilvl="8" w:tplc="4809001B" w:tentative="1">
      <w:start w:val="1"/>
      <w:numFmt w:val="lowerRoman"/>
      <w:lvlText w:val="%9."/>
      <w:lvlJc w:val="right"/>
      <w:pPr>
        <w:ind w:left="6786" w:hanging="180"/>
      </w:pPr>
    </w:lvl>
  </w:abstractNum>
  <w:abstractNum w:abstractNumId="47" w15:restartNumberingAfterBreak="0">
    <w:nsid w:val="483F4CF3"/>
    <w:multiLevelType w:val="hybridMultilevel"/>
    <w:tmpl w:val="A7BEA062"/>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48" w15:restartNumberingAfterBreak="0">
    <w:nsid w:val="4926750E"/>
    <w:multiLevelType w:val="hybridMultilevel"/>
    <w:tmpl w:val="BA6AED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9" w15:restartNumberingAfterBreak="0">
    <w:nsid w:val="4DF33127"/>
    <w:multiLevelType w:val="hybridMultilevel"/>
    <w:tmpl w:val="AE5EC7A4"/>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50" w15:restartNumberingAfterBreak="0">
    <w:nsid w:val="4FAD7391"/>
    <w:multiLevelType w:val="hybridMultilevel"/>
    <w:tmpl w:val="9A8A093C"/>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51" w15:restartNumberingAfterBreak="0">
    <w:nsid w:val="4FCB55AA"/>
    <w:multiLevelType w:val="hybridMultilevel"/>
    <w:tmpl w:val="A790C64E"/>
    <w:lvl w:ilvl="0" w:tplc="2E1C6B64">
      <w:start w:val="1"/>
      <w:numFmt w:val="bullet"/>
      <w:lvlText w:val="•"/>
      <w:lvlJc w:val="left"/>
      <w:pPr>
        <w:tabs>
          <w:tab w:val="num" w:pos="360"/>
        </w:tabs>
        <w:ind w:left="360" w:hanging="360"/>
      </w:pPr>
      <w:rPr>
        <w:rFonts w:ascii="Arial" w:hAnsi="Arial" w:hint="default"/>
      </w:rPr>
    </w:lvl>
    <w:lvl w:ilvl="1" w:tplc="1DD02E4E">
      <w:start w:val="1"/>
      <w:numFmt w:val="bullet"/>
      <w:pStyle w:val="Bullet1"/>
      <w:lvlText w:val="•"/>
      <w:lvlJc w:val="left"/>
      <w:pPr>
        <w:tabs>
          <w:tab w:val="num" w:pos="1080"/>
        </w:tabs>
        <w:ind w:left="1080" w:hanging="360"/>
      </w:pPr>
      <w:rPr>
        <w:rFonts w:ascii="Arial" w:hAnsi="Arial" w:hint="default"/>
      </w:rPr>
    </w:lvl>
    <w:lvl w:ilvl="2" w:tplc="EF16D3EA">
      <w:start w:val="1"/>
      <w:numFmt w:val="bullet"/>
      <w:lvlText w:val="•"/>
      <w:lvlJc w:val="left"/>
      <w:pPr>
        <w:tabs>
          <w:tab w:val="num" w:pos="1800"/>
        </w:tabs>
        <w:ind w:left="1800" w:hanging="360"/>
      </w:pPr>
      <w:rPr>
        <w:rFonts w:ascii="Arial" w:hAnsi="Arial" w:hint="default"/>
      </w:rPr>
    </w:lvl>
    <w:lvl w:ilvl="3" w:tplc="70D4FEC6" w:tentative="1">
      <w:start w:val="1"/>
      <w:numFmt w:val="bullet"/>
      <w:lvlText w:val="•"/>
      <w:lvlJc w:val="left"/>
      <w:pPr>
        <w:tabs>
          <w:tab w:val="num" w:pos="2520"/>
        </w:tabs>
        <w:ind w:left="2520" w:hanging="360"/>
      </w:pPr>
      <w:rPr>
        <w:rFonts w:ascii="Arial" w:hAnsi="Arial" w:hint="default"/>
      </w:rPr>
    </w:lvl>
    <w:lvl w:ilvl="4" w:tplc="91B08852" w:tentative="1">
      <w:start w:val="1"/>
      <w:numFmt w:val="bullet"/>
      <w:lvlText w:val="•"/>
      <w:lvlJc w:val="left"/>
      <w:pPr>
        <w:tabs>
          <w:tab w:val="num" w:pos="3240"/>
        </w:tabs>
        <w:ind w:left="3240" w:hanging="360"/>
      </w:pPr>
      <w:rPr>
        <w:rFonts w:ascii="Arial" w:hAnsi="Arial" w:hint="default"/>
      </w:rPr>
    </w:lvl>
    <w:lvl w:ilvl="5" w:tplc="56A8009E" w:tentative="1">
      <w:start w:val="1"/>
      <w:numFmt w:val="bullet"/>
      <w:lvlText w:val="•"/>
      <w:lvlJc w:val="left"/>
      <w:pPr>
        <w:tabs>
          <w:tab w:val="num" w:pos="3960"/>
        </w:tabs>
        <w:ind w:left="3960" w:hanging="360"/>
      </w:pPr>
      <w:rPr>
        <w:rFonts w:ascii="Arial" w:hAnsi="Arial" w:hint="default"/>
      </w:rPr>
    </w:lvl>
    <w:lvl w:ilvl="6" w:tplc="F12CB668" w:tentative="1">
      <w:start w:val="1"/>
      <w:numFmt w:val="bullet"/>
      <w:lvlText w:val="•"/>
      <w:lvlJc w:val="left"/>
      <w:pPr>
        <w:tabs>
          <w:tab w:val="num" w:pos="4680"/>
        </w:tabs>
        <w:ind w:left="4680" w:hanging="360"/>
      </w:pPr>
      <w:rPr>
        <w:rFonts w:ascii="Arial" w:hAnsi="Arial" w:hint="default"/>
      </w:rPr>
    </w:lvl>
    <w:lvl w:ilvl="7" w:tplc="6BA8A8FC" w:tentative="1">
      <w:start w:val="1"/>
      <w:numFmt w:val="bullet"/>
      <w:lvlText w:val="•"/>
      <w:lvlJc w:val="left"/>
      <w:pPr>
        <w:tabs>
          <w:tab w:val="num" w:pos="5400"/>
        </w:tabs>
        <w:ind w:left="5400" w:hanging="360"/>
      </w:pPr>
      <w:rPr>
        <w:rFonts w:ascii="Arial" w:hAnsi="Arial" w:hint="default"/>
      </w:rPr>
    </w:lvl>
    <w:lvl w:ilvl="8" w:tplc="51801B7E" w:tentative="1">
      <w:start w:val="1"/>
      <w:numFmt w:val="bullet"/>
      <w:lvlText w:val="•"/>
      <w:lvlJc w:val="left"/>
      <w:pPr>
        <w:tabs>
          <w:tab w:val="num" w:pos="6120"/>
        </w:tabs>
        <w:ind w:left="6120" w:hanging="360"/>
      </w:pPr>
      <w:rPr>
        <w:rFonts w:ascii="Arial" w:hAnsi="Arial" w:hint="default"/>
      </w:rPr>
    </w:lvl>
  </w:abstractNum>
  <w:abstractNum w:abstractNumId="52" w15:restartNumberingAfterBreak="0">
    <w:nsid w:val="50686106"/>
    <w:multiLevelType w:val="hybridMultilevel"/>
    <w:tmpl w:val="CE5C5226"/>
    <w:lvl w:ilvl="0" w:tplc="04090001">
      <w:start w:val="1"/>
      <w:numFmt w:val="bullet"/>
      <w:lvlText w:val=""/>
      <w:lvlJc w:val="left"/>
      <w:pPr>
        <w:ind w:left="720" w:hanging="360"/>
      </w:pPr>
      <w:rPr>
        <w:rFonts w:ascii="Symbol" w:hAnsi="Symbol"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3" w15:restartNumberingAfterBreak="0">
    <w:nsid w:val="51266B1F"/>
    <w:multiLevelType w:val="hybridMultilevel"/>
    <w:tmpl w:val="46AED280"/>
    <w:lvl w:ilvl="0" w:tplc="D9202A10">
      <w:start w:val="1"/>
      <w:numFmt w:val="bullet"/>
      <w:lvlText w:val=""/>
      <w:lvlJc w:val="left"/>
      <w:pPr>
        <w:tabs>
          <w:tab w:val="num" w:pos="720"/>
        </w:tabs>
        <w:ind w:left="720" w:hanging="360"/>
      </w:pPr>
      <w:rPr>
        <w:rFonts w:ascii="Symbol" w:hAnsi="Symbol" w:hint="default"/>
        <w:sz w:val="20"/>
      </w:rPr>
    </w:lvl>
    <w:lvl w:ilvl="1" w:tplc="48090003">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54" w15:restartNumberingAfterBreak="0">
    <w:nsid w:val="52346493"/>
    <w:multiLevelType w:val="hybridMultilevel"/>
    <w:tmpl w:val="37F290EE"/>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55" w15:restartNumberingAfterBreak="0">
    <w:nsid w:val="577272D8"/>
    <w:multiLevelType w:val="hybridMultilevel"/>
    <w:tmpl w:val="46884824"/>
    <w:lvl w:ilvl="0" w:tplc="CD26DC4E">
      <w:start w:val="1"/>
      <w:numFmt w:val="decimal"/>
      <w:suff w:val="space"/>
      <w:lvlText w:val="Chapter %1"/>
      <w:lvlJc w:val="left"/>
      <w:pPr>
        <w:ind w:left="0" w:firstLine="0"/>
      </w:pPr>
      <w:rPr>
        <w:rFonts w:hint="default"/>
      </w:rPr>
    </w:lvl>
    <w:lvl w:ilvl="1" w:tplc="4536B006">
      <w:start w:val="1"/>
      <w:numFmt w:val="decimal"/>
      <w:lvlRestart w:val="0"/>
      <w:suff w:val="nothing"/>
      <w:lvlText w:val="Chapter %2: \n"/>
      <w:lvlJc w:val="left"/>
      <w:pPr>
        <w:ind w:left="0" w:firstLine="0"/>
      </w:pPr>
      <w:rPr>
        <w:rFonts w:hint="default"/>
      </w:rPr>
    </w:lvl>
    <w:lvl w:ilvl="2" w:tplc="AE0EFFC6">
      <w:start w:val="1"/>
      <w:numFmt w:val="none"/>
      <w:suff w:val="nothing"/>
      <w:lvlText w:val=""/>
      <w:lvlJc w:val="left"/>
      <w:pPr>
        <w:ind w:left="0" w:firstLine="0"/>
      </w:pPr>
      <w:rPr>
        <w:rFonts w:hint="default"/>
      </w:rPr>
    </w:lvl>
    <w:lvl w:ilvl="3" w:tplc="8BD026D0">
      <w:start w:val="1"/>
      <w:numFmt w:val="none"/>
      <w:pStyle w:val="Heading4"/>
      <w:suff w:val="nothing"/>
      <w:lvlText w:val=""/>
      <w:lvlJc w:val="left"/>
      <w:pPr>
        <w:ind w:left="0" w:firstLine="0"/>
      </w:pPr>
      <w:rPr>
        <w:rFonts w:hint="default"/>
      </w:rPr>
    </w:lvl>
    <w:lvl w:ilvl="4" w:tplc="1FE01EDA">
      <w:start w:val="1"/>
      <w:numFmt w:val="none"/>
      <w:pStyle w:val="Heading5"/>
      <w:suff w:val="nothing"/>
      <w:lvlText w:val=""/>
      <w:lvlJc w:val="left"/>
      <w:pPr>
        <w:ind w:left="0" w:firstLine="0"/>
      </w:pPr>
      <w:rPr>
        <w:rFonts w:hint="default"/>
      </w:rPr>
    </w:lvl>
    <w:lvl w:ilvl="5" w:tplc="042A04A8">
      <w:start w:val="1"/>
      <w:numFmt w:val="none"/>
      <w:pStyle w:val="Heading6"/>
      <w:suff w:val="nothing"/>
      <w:lvlText w:val=""/>
      <w:lvlJc w:val="left"/>
      <w:pPr>
        <w:ind w:left="0" w:firstLine="0"/>
      </w:pPr>
      <w:rPr>
        <w:rFonts w:hint="default"/>
      </w:rPr>
    </w:lvl>
    <w:lvl w:ilvl="6" w:tplc="08A634E2">
      <w:start w:val="1"/>
      <w:numFmt w:val="none"/>
      <w:pStyle w:val="Heading7"/>
      <w:suff w:val="nothing"/>
      <w:lvlText w:val=""/>
      <w:lvlJc w:val="left"/>
      <w:pPr>
        <w:ind w:left="0" w:firstLine="0"/>
      </w:pPr>
      <w:rPr>
        <w:rFonts w:hint="default"/>
      </w:rPr>
    </w:lvl>
    <w:lvl w:ilvl="7" w:tplc="F5EACAAC">
      <w:start w:val="1"/>
      <w:numFmt w:val="none"/>
      <w:pStyle w:val="Heading8"/>
      <w:suff w:val="nothing"/>
      <w:lvlText w:val=""/>
      <w:lvlJc w:val="left"/>
      <w:pPr>
        <w:ind w:left="0" w:firstLine="0"/>
      </w:pPr>
      <w:rPr>
        <w:rFonts w:hint="default"/>
      </w:rPr>
    </w:lvl>
    <w:lvl w:ilvl="8" w:tplc="A184C006">
      <w:start w:val="1"/>
      <w:numFmt w:val="none"/>
      <w:pStyle w:val="Heading9"/>
      <w:suff w:val="nothing"/>
      <w:lvlText w:val=""/>
      <w:lvlJc w:val="left"/>
      <w:pPr>
        <w:ind w:left="0" w:firstLine="0"/>
      </w:pPr>
      <w:rPr>
        <w:rFonts w:hint="default"/>
      </w:rPr>
    </w:lvl>
  </w:abstractNum>
  <w:abstractNum w:abstractNumId="56" w15:restartNumberingAfterBreak="0">
    <w:nsid w:val="580639B0"/>
    <w:multiLevelType w:val="hybridMultilevel"/>
    <w:tmpl w:val="689481E4"/>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57" w15:restartNumberingAfterBreak="0">
    <w:nsid w:val="5B466703"/>
    <w:multiLevelType w:val="hybridMultilevel"/>
    <w:tmpl w:val="46A454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5C48012E"/>
    <w:multiLevelType w:val="hybridMultilevel"/>
    <w:tmpl w:val="E228A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2035B6D"/>
    <w:multiLevelType w:val="hybridMultilevel"/>
    <w:tmpl w:val="D30C2EF0"/>
    <w:lvl w:ilvl="0" w:tplc="4809000F">
      <w:start w:val="1"/>
      <w:numFmt w:val="decimal"/>
      <w:lvlText w:val="%1."/>
      <w:lvlJc w:val="left"/>
      <w:pPr>
        <w:ind w:left="720" w:hanging="360"/>
      </w:pPr>
      <w:rPr>
        <w:rFonts w:hint="default"/>
      </w:r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60" w15:restartNumberingAfterBreak="0">
    <w:nsid w:val="658739C3"/>
    <w:multiLevelType w:val="hybridMultilevel"/>
    <w:tmpl w:val="45F42898"/>
    <w:lvl w:ilvl="0" w:tplc="4809000F">
      <w:start w:val="1"/>
      <w:numFmt w:val="decimal"/>
      <w:lvlText w:val="%1."/>
      <w:lvlJc w:val="left"/>
      <w:pPr>
        <w:ind w:left="1026" w:hanging="360"/>
      </w:pPr>
    </w:lvl>
    <w:lvl w:ilvl="1" w:tplc="48090019" w:tentative="1">
      <w:start w:val="1"/>
      <w:numFmt w:val="lowerLetter"/>
      <w:lvlText w:val="%2."/>
      <w:lvlJc w:val="left"/>
      <w:pPr>
        <w:ind w:left="1746" w:hanging="360"/>
      </w:pPr>
    </w:lvl>
    <w:lvl w:ilvl="2" w:tplc="4809001B" w:tentative="1">
      <w:start w:val="1"/>
      <w:numFmt w:val="lowerRoman"/>
      <w:lvlText w:val="%3."/>
      <w:lvlJc w:val="right"/>
      <w:pPr>
        <w:ind w:left="2466" w:hanging="180"/>
      </w:pPr>
    </w:lvl>
    <w:lvl w:ilvl="3" w:tplc="4809000F" w:tentative="1">
      <w:start w:val="1"/>
      <w:numFmt w:val="decimal"/>
      <w:lvlText w:val="%4."/>
      <w:lvlJc w:val="left"/>
      <w:pPr>
        <w:ind w:left="3186" w:hanging="360"/>
      </w:pPr>
    </w:lvl>
    <w:lvl w:ilvl="4" w:tplc="48090019" w:tentative="1">
      <w:start w:val="1"/>
      <w:numFmt w:val="lowerLetter"/>
      <w:lvlText w:val="%5."/>
      <w:lvlJc w:val="left"/>
      <w:pPr>
        <w:ind w:left="3906" w:hanging="360"/>
      </w:pPr>
    </w:lvl>
    <w:lvl w:ilvl="5" w:tplc="4809001B" w:tentative="1">
      <w:start w:val="1"/>
      <w:numFmt w:val="lowerRoman"/>
      <w:lvlText w:val="%6."/>
      <w:lvlJc w:val="right"/>
      <w:pPr>
        <w:ind w:left="4626" w:hanging="180"/>
      </w:pPr>
    </w:lvl>
    <w:lvl w:ilvl="6" w:tplc="4809000F" w:tentative="1">
      <w:start w:val="1"/>
      <w:numFmt w:val="decimal"/>
      <w:lvlText w:val="%7."/>
      <w:lvlJc w:val="left"/>
      <w:pPr>
        <w:ind w:left="5346" w:hanging="360"/>
      </w:pPr>
    </w:lvl>
    <w:lvl w:ilvl="7" w:tplc="48090019" w:tentative="1">
      <w:start w:val="1"/>
      <w:numFmt w:val="lowerLetter"/>
      <w:lvlText w:val="%8."/>
      <w:lvlJc w:val="left"/>
      <w:pPr>
        <w:ind w:left="6066" w:hanging="360"/>
      </w:pPr>
    </w:lvl>
    <w:lvl w:ilvl="8" w:tplc="4809001B" w:tentative="1">
      <w:start w:val="1"/>
      <w:numFmt w:val="lowerRoman"/>
      <w:lvlText w:val="%9."/>
      <w:lvlJc w:val="right"/>
      <w:pPr>
        <w:ind w:left="6786" w:hanging="180"/>
      </w:pPr>
    </w:lvl>
  </w:abstractNum>
  <w:abstractNum w:abstractNumId="61" w15:restartNumberingAfterBreak="0">
    <w:nsid w:val="659A097C"/>
    <w:multiLevelType w:val="hybridMultilevel"/>
    <w:tmpl w:val="1F3816E4"/>
    <w:lvl w:ilvl="0" w:tplc="4809000F">
      <w:start w:val="1"/>
      <w:numFmt w:val="decimal"/>
      <w:lvlText w:val="%1."/>
      <w:lvlJc w:val="left"/>
      <w:pPr>
        <w:ind w:left="1026" w:hanging="360"/>
      </w:pPr>
    </w:lvl>
    <w:lvl w:ilvl="1" w:tplc="48090019" w:tentative="1">
      <w:start w:val="1"/>
      <w:numFmt w:val="lowerLetter"/>
      <w:lvlText w:val="%2."/>
      <w:lvlJc w:val="left"/>
      <w:pPr>
        <w:ind w:left="1746" w:hanging="360"/>
      </w:pPr>
    </w:lvl>
    <w:lvl w:ilvl="2" w:tplc="4809001B" w:tentative="1">
      <w:start w:val="1"/>
      <w:numFmt w:val="lowerRoman"/>
      <w:lvlText w:val="%3."/>
      <w:lvlJc w:val="right"/>
      <w:pPr>
        <w:ind w:left="2466" w:hanging="180"/>
      </w:pPr>
    </w:lvl>
    <w:lvl w:ilvl="3" w:tplc="4809000F" w:tentative="1">
      <w:start w:val="1"/>
      <w:numFmt w:val="decimal"/>
      <w:lvlText w:val="%4."/>
      <w:lvlJc w:val="left"/>
      <w:pPr>
        <w:ind w:left="3186" w:hanging="360"/>
      </w:pPr>
    </w:lvl>
    <w:lvl w:ilvl="4" w:tplc="48090019" w:tentative="1">
      <w:start w:val="1"/>
      <w:numFmt w:val="lowerLetter"/>
      <w:lvlText w:val="%5."/>
      <w:lvlJc w:val="left"/>
      <w:pPr>
        <w:ind w:left="3906" w:hanging="360"/>
      </w:pPr>
    </w:lvl>
    <w:lvl w:ilvl="5" w:tplc="4809001B" w:tentative="1">
      <w:start w:val="1"/>
      <w:numFmt w:val="lowerRoman"/>
      <w:lvlText w:val="%6."/>
      <w:lvlJc w:val="right"/>
      <w:pPr>
        <w:ind w:left="4626" w:hanging="180"/>
      </w:pPr>
    </w:lvl>
    <w:lvl w:ilvl="6" w:tplc="4809000F" w:tentative="1">
      <w:start w:val="1"/>
      <w:numFmt w:val="decimal"/>
      <w:lvlText w:val="%7."/>
      <w:lvlJc w:val="left"/>
      <w:pPr>
        <w:ind w:left="5346" w:hanging="360"/>
      </w:pPr>
    </w:lvl>
    <w:lvl w:ilvl="7" w:tplc="48090019" w:tentative="1">
      <w:start w:val="1"/>
      <w:numFmt w:val="lowerLetter"/>
      <w:lvlText w:val="%8."/>
      <w:lvlJc w:val="left"/>
      <w:pPr>
        <w:ind w:left="6066" w:hanging="360"/>
      </w:pPr>
    </w:lvl>
    <w:lvl w:ilvl="8" w:tplc="4809001B" w:tentative="1">
      <w:start w:val="1"/>
      <w:numFmt w:val="lowerRoman"/>
      <w:lvlText w:val="%9."/>
      <w:lvlJc w:val="right"/>
      <w:pPr>
        <w:ind w:left="6786" w:hanging="180"/>
      </w:pPr>
    </w:lvl>
  </w:abstractNum>
  <w:abstractNum w:abstractNumId="62" w15:restartNumberingAfterBreak="0">
    <w:nsid w:val="673110CD"/>
    <w:multiLevelType w:val="hybridMultilevel"/>
    <w:tmpl w:val="21BC9184"/>
    <w:lvl w:ilvl="0" w:tplc="98B628FE">
      <w:start w:val="1"/>
      <w:numFmt w:val="bullet"/>
      <w:pStyle w:val="Bullet"/>
      <w:lvlText w:val=""/>
      <w:lvlJc w:val="left"/>
      <w:pPr>
        <w:tabs>
          <w:tab w:val="num" w:pos="720"/>
        </w:tabs>
        <w:ind w:left="720" w:hanging="360"/>
      </w:pPr>
      <w:rPr>
        <w:rFonts w:ascii="Symbol" w:hAnsi="Symbol" w:hint="default"/>
        <w:sz w:val="20"/>
      </w:rPr>
    </w:lvl>
    <w:lvl w:ilvl="1" w:tplc="48090003">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63" w15:restartNumberingAfterBreak="0">
    <w:nsid w:val="689A1D3E"/>
    <w:multiLevelType w:val="hybridMultilevel"/>
    <w:tmpl w:val="29DADCB6"/>
    <w:lvl w:ilvl="0" w:tplc="4809000F">
      <w:start w:val="1"/>
      <w:numFmt w:val="decimal"/>
      <w:lvlText w:val="%1."/>
      <w:lvlJc w:val="left"/>
      <w:pPr>
        <w:ind w:left="720" w:hanging="360"/>
      </w:pPr>
      <w:rPr>
        <w:rFonts w:hint="default"/>
      </w:rPr>
    </w:lvl>
    <w:lvl w:ilvl="1" w:tplc="4809000F">
      <w:start w:val="1"/>
      <w:numFmt w:val="decimal"/>
      <w:lvlText w:val="%2."/>
      <w:lvlJc w:val="left"/>
      <w:pPr>
        <w:ind w:left="1440" w:hanging="360"/>
      </w:pPr>
      <w:rPr>
        <w:rFonts w:hint="default"/>
      </w:r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64" w15:restartNumberingAfterBreak="0">
    <w:nsid w:val="696351F0"/>
    <w:multiLevelType w:val="hybridMultilevel"/>
    <w:tmpl w:val="6FCC4EA6"/>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65" w15:restartNumberingAfterBreak="0">
    <w:nsid w:val="69AD60DD"/>
    <w:multiLevelType w:val="hybridMultilevel"/>
    <w:tmpl w:val="B2283B06"/>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66" w15:restartNumberingAfterBreak="0">
    <w:nsid w:val="6BAA2861"/>
    <w:multiLevelType w:val="hybridMultilevel"/>
    <w:tmpl w:val="B1245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15:restartNumberingAfterBreak="0">
    <w:nsid w:val="6CA70FBA"/>
    <w:multiLevelType w:val="hybridMultilevel"/>
    <w:tmpl w:val="276A5D24"/>
    <w:lvl w:ilvl="0" w:tplc="4809000F">
      <w:start w:val="1"/>
      <w:numFmt w:val="decimal"/>
      <w:lvlText w:val="%1."/>
      <w:lvlJc w:val="left"/>
      <w:pPr>
        <w:ind w:left="720" w:hanging="360"/>
      </w:p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68" w15:restartNumberingAfterBreak="0">
    <w:nsid w:val="6CC76D37"/>
    <w:multiLevelType w:val="hybridMultilevel"/>
    <w:tmpl w:val="45CE5588"/>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69" w15:restartNumberingAfterBreak="0">
    <w:nsid w:val="6F1A1ABC"/>
    <w:multiLevelType w:val="hybridMultilevel"/>
    <w:tmpl w:val="C9B4A43C"/>
    <w:lvl w:ilvl="0" w:tplc="3814BC08">
      <w:start w:val="1"/>
      <w:numFmt w:val="bullet"/>
      <w:lvlText w:val=""/>
      <w:lvlJc w:val="left"/>
      <w:pPr>
        <w:tabs>
          <w:tab w:val="num" w:pos="720"/>
        </w:tabs>
        <w:ind w:left="720" w:hanging="360"/>
      </w:pPr>
      <w:rPr>
        <w:rFonts w:ascii="Symbol" w:hAnsi="Symbol" w:hint="default"/>
        <w:sz w:val="20"/>
      </w:rPr>
    </w:lvl>
    <w:lvl w:ilvl="1" w:tplc="FA9CCCA8">
      <w:start w:val="1"/>
      <w:numFmt w:val="bullet"/>
      <w:lvlText w:val="o"/>
      <w:lvlJc w:val="left"/>
      <w:pPr>
        <w:tabs>
          <w:tab w:val="num" w:pos="1440"/>
        </w:tabs>
        <w:ind w:left="1440" w:hanging="360"/>
      </w:pPr>
      <w:rPr>
        <w:rFonts w:ascii="Courier New" w:hAnsi="Courier New" w:hint="default"/>
        <w:sz w:val="20"/>
      </w:rPr>
    </w:lvl>
    <w:lvl w:ilvl="2" w:tplc="DD00CDD0" w:tentative="1">
      <w:start w:val="1"/>
      <w:numFmt w:val="bullet"/>
      <w:lvlText w:val=""/>
      <w:lvlJc w:val="left"/>
      <w:pPr>
        <w:tabs>
          <w:tab w:val="num" w:pos="2160"/>
        </w:tabs>
        <w:ind w:left="2160" w:hanging="360"/>
      </w:pPr>
      <w:rPr>
        <w:rFonts w:ascii="Wingdings" w:hAnsi="Wingdings" w:hint="default"/>
        <w:sz w:val="20"/>
      </w:rPr>
    </w:lvl>
    <w:lvl w:ilvl="3" w:tplc="4E6273E4" w:tentative="1">
      <w:start w:val="1"/>
      <w:numFmt w:val="bullet"/>
      <w:lvlText w:val=""/>
      <w:lvlJc w:val="left"/>
      <w:pPr>
        <w:tabs>
          <w:tab w:val="num" w:pos="2880"/>
        </w:tabs>
        <w:ind w:left="2880" w:hanging="360"/>
      </w:pPr>
      <w:rPr>
        <w:rFonts w:ascii="Wingdings" w:hAnsi="Wingdings" w:hint="default"/>
        <w:sz w:val="20"/>
      </w:rPr>
    </w:lvl>
    <w:lvl w:ilvl="4" w:tplc="6D724972" w:tentative="1">
      <w:start w:val="1"/>
      <w:numFmt w:val="bullet"/>
      <w:lvlText w:val=""/>
      <w:lvlJc w:val="left"/>
      <w:pPr>
        <w:tabs>
          <w:tab w:val="num" w:pos="3600"/>
        </w:tabs>
        <w:ind w:left="3600" w:hanging="360"/>
      </w:pPr>
      <w:rPr>
        <w:rFonts w:ascii="Wingdings" w:hAnsi="Wingdings" w:hint="default"/>
        <w:sz w:val="20"/>
      </w:rPr>
    </w:lvl>
    <w:lvl w:ilvl="5" w:tplc="2B80418E" w:tentative="1">
      <w:start w:val="1"/>
      <w:numFmt w:val="bullet"/>
      <w:lvlText w:val=""/>
      <w:lvlJc w:val="left"/>
      <w:pPr>
        <w:tabs>
          <w:tab w:val="num" w:pos="4320"/>
        </w:tabs>
        <w:ind w:left="4320" w:hanging="360"/>
      </w:pPr>
      <w:rPr>
        <w:rFonts w:ascii="Wingdings" w:hAnsi="Wingdings" w:hint="default"/>
        <w:sz w:val="20"/>
      </w:rPr>
    </w:lvl>
    <w:lvl w:ilvl="6" w:tplc="56580430" w:tentative="1">
      <w:start w:val="1"/>
      <w:numFmt w:val="bullet"/>
      <w:lvlText w:val=""/>
      <w:lvlJc w:val="left"/>
      <w:pPr>
        <w:tabs>
          <w:tab w:val="num" w:pos="5040"/>
        </w:tabs>
        <w:ind w:left="5040" w:hanging="360"/>
      </w:pPr>
      <w:rPr>
        <w:rFonts w:ascii="Wingdings" w:hAnsi="Wingdings" w:hint="default"/>
        <w:sz w:val="20"/>
      </w:rPr>
    </w:lvl>
    <w:lvl w:ilvl="7" w:tplc="2848C8C6" w:tentative="1">
      <w:start w:val="1"/>
      <w:numFmt w:val="bullet"/>
      <w:lvlText w:val=""/>
      <w:lvlJc w:val="left"/>
      <w:pPr>
        <w:tabs>
          <w:tab w:val="num" w:pos="5760"/>
        </w:tabs>
        <w:ind w:left="5760" w:hanging="360"/>
      </w:pPr>
      <w:rPr>
        <w:rFonts w:ascii="Wingdings" w:hAnsi="Wingdings" w:hint="default"/>
        <w:sz w:val="20"/>
      </w:rPr>
    </w:lvl>
    <w:lvl w:ilvl="8" w:tplc="0D2EDC1A"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74A07B62"/>
    <w:multiLevelType w:val="hybridMultilevel"/>
    <w:tmpl w:val="6DD4FA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1" w15:restartNumberingAfterBreak="0">
    <w:nsid w:val="75B317F1"/>
    <w:multiLevelType w:val="hybridMultilevel"/>
    <w:tmpl w:val="7D48C2A0"/>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72" w15:restartNumberingAfterBreak="0">
    <w:nsid w:val="76A86CCE"/>
    <w:multiLevelType w:val="hybridMultilevel"/>
    <w:tmpl w:val="F77A9F14"/>
    <w:lvl w:ilvl="0" w:tplc="4809000F">
      <w:start w:val="1"/>
      <w:numFmt w:val="decimal"/>
      <w:lvlText w:val="%1."/>
      <w:lvlJc w:val="left"/>
      <w:pPr>
        <w:tabs>
          <w:tab w:val="num" w:pos="720"/>
        </w:tabs>
        <w:ind w:left="720" w:hanging="360"/>
      </w:pPr>
      <w:rPr>
        <w:rFonts w:hint="default"/>
        <w:sz w:val="20"/>
      </w:rPr>
    </w:lvl>
    <w:lvl w:ilvl="1" w:tplc="FFFFFFFF">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 w15:restartNumberingAfterBreak="0">
    <w:nsid w:val="76BB2D35"/>
    <w:multiLevelType w:val="hybridMultilevel"/>
    <w:tmpl w:val="EF786142"/>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74" w15:restartNumberingAfterBreak="0">
    <w:nsid w:val="77E854A2"/>
    <w:multiLevelType w:val="hybridMultilevel"/>
    <w:tmpl w:val="031A5066"/>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75" w15:restartNumberingAfterBreak="0">
    <w:nsid w:val="793366F3"/>
    <w:multiLevelType w:val="hybridMultilevel"/>
    <w:tmpl w:val="B8C849E2"/>
    <w:lvl w:ilvl="0" w:tplc="4809000F">
      <w:start w:val="1"/>
      <w:numFmt w:val="decimal"/>
      <w:lvlText w:val="%1."/>
      <w:lvlJc w:val="left"/>
      <w:pPr>
        <w:ind w:left="720" w:hanging="360"/>
      </w:pPr>
    </w:lvl>
    <w:lvl w:ilvl="1" w:tplc="48090019" w:tentative="1">
      <w:start w:val="1"/>
      <w:numFmt w:val="lowerLetter"/>
      <w:lvlText w:val="%2."/>
      <w:lvlJc w:val="left"/>
      <w:pPr>
        <w:ind w:left="1440" w:hanging="360"/>
      </w:pPr>
    </w:lvl>
    <w:lvl w:ilvl="2" w:tplc="4809001B" w:tentative="1">
      <w:start w:val="1"/>
      <w:numFmt w:val="lowerRoman"/>
      <w:lvlText w:val="%3."/>
      <w:lvlJc w:val="right"/>
      <w:pPr>
        <w:ind w:left="2160" w:hanging="180"/>
      </w:pPr>
    </w:lvl>
    <w:lvl w:ilvl="3" w:tplc="4809000F" w:tentative="1">
      <w:start w:val="1"/>
      <w:numFmt w:val="decimal"/>
      <w:lvlText w:val="%4."/>
      <w:lvlJc w:val="left"/>
      <w:pPr>
        <w:ind w:left="2880" w:hanging="360"/>
      </w:pPr>
    </w:lvl>
    <w:lvl w:ilvl="4" w:tplc="48090019" w:tentative="1">
      <w:start w:val="1"/>
      <w:numFmt w:val="lowerLetter"/>
      <w:lvlText w:val="%5."/>
      <w:lvlJc w:val="left"/>
      <w:pPr>
        <w:ind w:left="3600" w:hanging="360"/>
      </w:pPr>
    </w:lvl>
    <w:lvl w:ilvl="5" w:tplc="4809001B" w:tentative="1">
      <w:start w:val="1"/>
      <w:numFmt w:val="lowerRoman"/>
      <w:lvlText w:val="%6."/>
      <w:lvlJc w:val="right"/>
      <w:pPr>
        <w:ind w:left="4320" w:hanging="180"/>
      </w:pPr>
    </w:lvl>
    <w:lvl w:ilvl="6" w:tplc="4809000F" w:tentative="1">
      <w:start w:val="1"/>
      <w:numFmt w:val="decimal"/>
      <w:lvlText w:val="%7."/>
      <w:lvlJc w:val="left"/>
      <w:pPr>
        <w:ind w:left="5040" w:hanging="360"/>
      </w:pPr>
    </w:lvl>
    <w:lvl w:ilvl="7" w:tplc="48090019" w:tentative="1">
      <w:start w:val="1"/>
      <w:numFmt w:val="lowerLetter"/>
      <w:lvlText w:val="%8."/>
      <w:lvlJc w:val="left"/>
      <w:pPr>
        <w:ind w:left="5760" w:hanging="360"/>
      </w:pPr>
    </w:lvl>
    <w:lvl w:ilvl="8" w:tplc="4809001B" w:tentative="1">
      <w:start w:val="1"/>
      <w:numFmt w:val="lowerRoman"/>
      <w:lvlText w:val="%9."/>
      <w:lvlJc w:val="right"/>
      <w:pPr>
        <w:ind w:left="6480" w:hanging="180"/>
      </w:pPr>
    </w:lvl>
  </w:abstractNum>
  <w:abstractNum w:abstractNumId="76" w15:restartNumberingAfterBreak="0">
    <w:nsid w:val="79522308"/>
    <w:multiLevelType w:val="hybridMultilevel"/>
    <w:tmpl w:val="259EA26A"/>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77" w15:restartNumberingAfterBreak="0">
    <w:nsid w:val="7AD1719C"/>
    <w:multiLevelType w:val="hybridMultilevel"/>
    <w:tmpl w:val="939EB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7C076C82"/>
    <w:multiLevelType w:val="hybridMultilevel"/>
    <w:tmpl w:val="21D42B68"/>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abstractNum w:abstractNumId="79" w15:restartNumberingAfterBreak="0">
    <w:nsid w:val="7CC30AA9"/>
    <w:multiLevelType w:val="hybridMultilevel"/>
    <w:tmpl w:val="6C48888C"/>
    <w:lvl w:ilvl="0" w:tplc="48090001">
      <w:start w:val="1"/>
      <w:numFmt w:val="bullet"/>
      <w:lvlText w:val=""/>
      <w:lvlJc w:val="left"/>
      <w:pPr>
        <w:ind w:left="720" w:hanging="360"/>
      </w:pPr>
      <w:rPr>
        <w:rFonts w:ascii="Symbol" w:hAnsi="Symbol" w:hint="default"/>
      </w:rPr>
    </w:lvl>
    <w:lvl w:ilvl="1" w:tplc="48090003" w:tentative="1">
      <w:start w:val="1"/>
      <w:numFmt w:val="bullet"/>
      <w:lvlText w:val="o"/>
      <w:lvlJc w:val="left"/>
      <w:pPr>
        <w:ind w:left="1440" w:hanging="360"/>
      </w:pPr>
      <w:rPr>
        <w:rFonts w:ascii="Courier New" w:hAnsi="Courier New" w:cs="Courier New" w:hint="default"/>
      </w:rPr>
    </w:lvl>
    <w:lvl w:ilvl="2" w:tplc="48090005" w:tentative="1">
      <w:start w:val="1"/>
      <w:numFmt w:val="bullet"/>
      <w:lvlText w:val=""/>
      <w:lvlJc w:val="left"/>
      <w:pPr>
        <w:ind w:left="2160" w:hanging="360"/>
      </w:pPr>
      <w:rPr>
        <w:rFonts w:ascii="Wingdings" w:hAnsi="Wingdings" w:hint="default"/>
      </w:rPr>
    </w:lvl>
    <w:lvl w:ilvl="3" w:tplc="48090001" w:tentative="1">
      <w:start w:val="1"/>
      <w:numFmt w:val="bullet"/>
      <w:lvlText w:val=""/>
      <w:lvlJc w:val="left"/>
      <w:pPr>
        <w:ind w:left="2880" w:hanging="360"/>
      </w:pPr>
      <w:rPr>
        <w:rFonts w:ascii="Symbol" w:hAnsi="Symbol" w:hint="default"/>
      </w:rPr>
    </w:lvl>
    <w:lvl w:ilvl="4" w:tplc="48090003" w:tentative="1">
      <w:start w:val="1"/>
      <w:numFmt w:val="bullet"/>
      <w:lvlText w:val="o"/>
      <w:lvlJc w:val="left"/>
      <w:pPr>
        <w:ind w:left="3600" w:hanging="360"/>
      </w:pPr>
      <w:rPr>
        <w:rFonts w:ascii="Courier New" w:hAnsi="Courier New" w:cs="Courier New" w:hint="default"/>
      </w:rPr>
    </w:lvl>
    <w:lvl w:ilvl="5" w:tplc="48090005" w:tentative="1">
      <w:start w:val="1"/>
      <w:numFmt w:val="bullet"/>
      <w:lvlText w:val=""/>
      <w:lvlJc w:val="left"/>
      <w:pPr>
        <w:ind w:left="4320" w:hanging="360"/>
      </w:pPr>
      <w:rPr>
        <w:rFonts w:ascii="Wingdings" w:hAnsi="Wingdings" w:hint="default"/>
      </w:rPr>
    </w:lvl>
    <w:lvl w:ilvl="6" w:tplc="48090001" w:tentative="1">
      <w:start w:val="1"/>
      <w:numFmt w:val="bullet"/>
      <w:lvlText w:val=""/>
      <w:lvlJc w:val="left"/>
      <w:pPr>
        <w:ind w:left="5040" w:hanging="360"/>
      </w:pPr>
      <w:rPr>
        <w:rFonts w:ascii="Symbol" w:hAnsi="Symbol" w:hint="default"/>
      </w:rPr>
    </w:lvl>
    <w:lvl w:ilvl="7" w:tplc="48090003" w:tentative="1">
      <w:start w:val="1"/>
      <w:numFmt w:val="bullet"/>
      <w:lvlText w:val="o"/>
      <w:lvlJc w:val="left"/>
      <w:pPr>
        <w:ind w:left="5760" w:hanging="360"/>
      </w:pPr>
      <w:rPr>
        <w:rFonts w:ascii="Courier New" w:hAnsi="Courier New" w:cs="Courier New" w:hint="default"/>
      </w:rPr>
    </w:lvl>
    <w:lvl w:ilvl="8" w:tplc="48090005" w:tentative="1">
      <w:start w:val="1"/>
      <w:numFmt w:val="bullet"/>
      <w:lvlText w:val=""/>
      <w:lvlJc w:val="left"/>
      <w:pPr>
        <w:ind w:left="6480" w:hanging="360"/>
      </w:pPr>
      <w:rPr>
        <w:rFonts w:ascii="Wingdings" w:hAnsi="Wingdings" w:hint="default"/>
      </w:rPr>
    </w:lvl>
  </w:abstractNum>
  <w:num w:numId="1" w16cid:durableId="1850824851">
    <w:abstractNumId w:val="27"/>
  </w:num>
  <w:num w:numId="2" w16cid:durableId="1432511191">
    <w:abstractNumId w:val="16"/>
  </w:num>
  <w:num w:numId="3" w16cid:durableId="977957678">
    <w:abstractNumId w:val="40"/>
  </w:num>
  <w:num w:numId="4" w16cid:durableId="1542128398">
    <w:abstractNumId w:val="19"/>
  </w:num>
  <w:num w:numId="5" w16cid:durableId="1834488675">
    <w:abstractNumId w:val="47"/>
  </w:num>
  <w:num w:numId="6" w16cid:durableId="714161623">
    <w:abstractNumId w:val="15"/>
  </w:num>
  <w:num w:numId="7" w16cid:durableId="1417634869">
    <w:abstractNumId w:val="62"/>
  </w:num>
  <w:num w:numId="8" w16cid:durableId="102113636">
    <w:abstractNumId w:val="69"/>
  </w:num>
  <w:num w:numId="9" w16cid:durableId="1650473575">
    <w:abstractNumId w:val="34"/>
  </w:num>
  <w:num w:numId="10" w16cid:durableId="1500001764">
    <w:abstractNumId w:val="53"/>
  </w:num>
  <w:num w:numId="11" w16cid:durableId="877012862">
    <w:abstractNumId w:val="1"/>
  </w:num>
  <w:num w:numId="12" w16cid:durableId="2121535188">
    <w:abstractNumId w:val="56"/>
  </w:num>
  <w:num w:numId="13" w16cid:durableId="846285155">
    <w:abstractNumId w:val="20"/>
  </w:num>
  <w:num w:numId="14" w16cid:durableId="285282007">
    <w:abstractNumId w:val="74"/>
  </w:num>
  <w:num w:numId="15" w16cid:durableId="970013466">
    <w:abstractNumId w:val="51"/>
  </w:num>
  <w:num w:numId="16" w16cid:durableId="1900091404">
    <w:abstractNumId w:val="55"/>
  </w:num>
  <w:num w:numId="17" w16cid:durableId="95637955">
    <w:abstractNumId w:val="44"/>
  </w:num>
  <w:num w:numId="18" w16cid:durableId="104546804">
    <w:abstractNumId w:val="60"/>
  </w:num>
  <w:num w:numId="19" w16cid:durableId="603265036">
    <w:abstractNumId w:val="22"/>
  </w:num>
  <w:num w:numId="20" w16cid:durableId="1746756930">
    <w:abstractNumId w:val="6"/>
  </w:num>
  <w:num w:numId="21" w16cid:durableId="281115119">
    <w:abstractNumId w:val="4"/>
  </w:num>
  <w:num w:numId="22" w16cid:durableId="140662444">
    <w:abstractNumId w:val="45"/>
  </w:num>
  <w:num w:numId="23" w16cid:durableId="1535339722">
    <w:abstractNumId w:val="42"/>
  </w:num>
  <w:num w:numId="24" w16cid:durableId="1512261187">
    <w:abstractNumId w:val="28"/>
  </w:num>
  <w:num w:numId="25" w16cid:durableId="1295138111">
    <w:abstractNumId w:val="39"/>
  </w:num>
  <w:num w:numId="26" w16cid:durableId="1662194333">
    <w:abstractNumId w:val="46"/>
  </w:num>
  <w:num w:numId="27" w16cid:durableId="805396961">
    <w:abstractNumId w:val="61"/>
  </w:num>
  <w:num w:numId="28" w16cid:durableId="289560451">
    <w:abstractNumId w:val="32"/>
  </w:num>
  <w:num w:numId="29" w16cid:durableId="1629583387">
    <w:abstractNumId w:val="43"/>
  </w:num>
  <w:num w:numId="30" w16cid:durableId="1522622066">
    <w:abstractNumId w:val="37"/>
  </w:num>
  <w:num w:numId="31" w16cid:durableId="1026759193">
    <w:abstractNumId w:val="59"/>
  </w:num>
  <w:num w:numId="32" w16cid:durableId="1660377847">
    <w:abstractNumId w:val="38"/>
  </w:num>
  <w:num w:numId="33" w16cid:durableId="514156693">
    <w:abstractNumId w:val="64"/>
  </w:num>
  <w:num w:numId="34" w16cid:durableId="1866555448">
    <w:abstractNumId w:val="12"/>
  </w:num>
  <w:num w:numId="35" w16cid:durableId="221143468">
    <w:abstractNumId w:val="26"/>
  </w:num>
  <w:num w:numId="36" w16cid:durableId="649141661">
    <w:abstractNumId w:val="23"/>
  </w:num>
  <w:num w:numId="37" w16cid:durableId="1586915797">
    <w:abstractNumId w:val="11"/>
  </w:num>
  <w:num w:numId="38" w16cid:durableId="532304521">
    <w:abstractNumId w:val="21"/>
  </w:num>
  <w:num w:numId="39" w16cid:durableId="1426729997">
    <w:abstractNumId w:val="76"/>
  </w:num>
  <w:num w:numId="40" w16cid:durableId="1697269508">
    <w:abstractNumId w:val="67"/>
  </w:num>
  <w:num w:numId="41" w16cid:durableId="906763143">
    <w:abstractNumId w:val="17"/>
  </w:num>
  <w:num w:numId="42" w16cid:durableId="1477995582">
    <w:abstractNumId w:val="10"/>
  </w:num>
  <w:num w:numId="43" w16cid:durableId="383453735">
    <w:abstractNumId w:val="54"/>
  </w:num>
  <w:num w:numId="44" w16cid:durableId="183978822">
    <w:abstractNumId w:val="68"/>
  </w:num>
  <w:num w:numId="45" w16cid:durableId="417795950">
    <w:abstractNumId w:val="36"/>
  </w:num>
  <w:num w:numId="46" w16cid:durableId="131021884">
    <w:abstractNumId w:val="41"/>
  </w:num>
  <w:num w:numId="47" w16cid:durableId="1137842802">
    <w:abstractNumId w:val="7"/>
  </w:num>
  <w:num w:numId="48" w16cid:durableId="326442665">
    <w:abstractNumId w:val="13"/>
  </w:num>
  <w:num w:numId="49" w16cid:durableId="207106135">
    <w:abstractNumId w:val="49"/>
  </w:num>
  <w:num w:numId="50" w16cid:durableId="2101411910">
    <w:abstractNumId w:val="73"/>
  </w:num>
  <w:num w:numId="51" w16cid:durableId="499007462">
    <w:abstractNumId w:val="63"/>
  </w:num>
  <w:num w:numId="52" w16cid:durableId="1976791912">
    <w:abstractNumId w:val="78"/>
  </w:num>
  <w:num w:numId="53" w16cid:durableId="907619781">
    <w:abstractNumId w:val="29"/>
  </w:num>
  <w:num w:numId="54" w16cid:durableId="2137794415">
    <w:abstractNumId w:val="35"/>
  </w:num>
  <w:num w:numId="55" w16cid:durableId="1664628366">
    <w:abstractNumId w:val="72"/>
  </w:num>
  <w:num w:numId="56" w16cid:durableId="544566144">
    <w:abstractNumId w:val="0"/>
  </w:num>
  <w:num w:numId="57" w16cid:durableId="449471698">
    <w:abstractNumId w:val="65"/>
  </w:num>
  <w:num w:numId="58" w16cid:durableId="1519536658">
    <w:abstractNumId w:val="50"/>
  </w:num>
  <w:num w:numId="59" w16cid:durableId="1408922940">
    <w:abstractNumId w:val="79"/>
  </w:num>
  <w:num w:numId="60" w16cid:durableId="1614630937">
    <w:abstractNumId w:val="25"/>
  </w:num>
  <w:num w:numId="61" w16cid:durableId="1950772703">
    <w:abstractNumId w:val="75"/>
  </w:num>
  <w:num w:numId="62" w16cid:durableId="2035227394">
    <w:abstractNumId w:val="3"/>
  </w:num>
  <w:num w:numId="63" w16cid:durableId="549924500">
    <w:abstractNumId w:val="2"/>
  </w:num>
  <w:num w:numId="64" w16cid:durableId="310448406">
    <w:abstractNumId w:val="70"/>
  </w:num>
  <w:num w:numId="65" w16cid:durableId="1258564667">
    <w:abstractNumId w:val="31"/>
  </w:num>
  <w:num w:numId="66" w16cid:durableId="107436762">
    <w:abstractNumId w:val="18"/>
  </w:num>
  <w:num w:numId="67" w16cid:durableId="1163618151">
    <w:abstractNumId w:val="14"/>
  </w:num>
  <w:num w:numId="68" w16cid:durableId="1720864277">
    <w:abstractNumId w:val="48"/>
  </w:num>
  <w:num w:numId="69" w16cid:durableId="1868178263">
    <w:abstractNumId w:val="52"/>
  </w:num>
  <w:num w:numId="70" w16cid:durableId="2000570528">
    <w:abstractNumId w:val="71"/>
  </w:num>
  <w:num w:numId="71" w16cid:durableId="279263515">
    <w:abstractNumId w:val="77"/>
  </w:num>
  <w:num w:numId="72" w16cid:durableId="1725567794">
    <w:abstractNumId w:val="8"/>
  </w:num>
  <w:num w:numId="73" w16cid:durableId="407701204">
    <w:abstractNumId w:val="24"/>
  </w:num>
  <w:num w:numId="74" w16cid:durableId="79059879">
    <w:abstractNumId w:val="58"/>
  </w:num>
  <w:num w:numId="75" w16cid:durableId="390809984">
    <w:abstractNumId w:val="66"/>
  </w:num>
  <w:num w:numId="76" w16cid:durableId="1444111885">
    <w:abstractNumId w:val="57"/>
  </w:num>
  <w:num w:numId="77" w16cid:durableId="1586110219">
    <w:abstractNumId w:val="30"/>
  </w:num>
  <w:num w:numId="78" w16cid:durableId="1641230392">
    <w:abstractNumId w:val="9"/>
  </w:num>
  <w:num w:numId="79" w16cid:durableId="786387829">
    <w:abstractNumId w:val="33"/>
  </w:num>
  <w:num w:numId="80" w16cid:durableId="1801534137">
    <w:abstractNumId w:val="5"/>
  </w:num>
  <w:numIdMacAtCleanup w:val="7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3"/>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TGyNDU0tzAyMbU0MrRQ0lEKTi0uzszPAykwrgUAFhCvtCwAAAA="/>
  </w:docVars>
  <w:rsids>
    <w:rsidRoot w:val="000B1065"/>
    <w:rsid w:val="00000019"/>
    <w:rsid w:val="000002C5"/>
    <w:rsid w:val="000002FF"/>
    <w:rsid w:val="00000445"/>
    <w:rsid w:val="00000618"/>
    <w:rsid w:val="0000077C"/>
    <w:rsid w:val="0000089E"/>
    <w:rsid w:val="00000B9A"/>
    <w:rsid w:val="00000F50"/>
    <w:rsid w:val="00000FCE"/>
    <w:rsid w:val="000010EC"/>
    <w:rsid w:val="000014DA"/>
    <w:rsid w:val="0000151F"/>
    <w:rsid w:val="0000153A"/>
    <w:rsid w:val="00001540"/>
    <w:rsid w:val="000015E0"/>
    <w:rsid w:val="00001741"/>
    <w:rsid w:val="00001856"/>
    <w:rsid w:val="00001B8A"/>
    <w:rsid w:val="00001BC9"/>
    <w:rsid w:val="00001F3B"/>
    <w:rsid w:val="00001FB1"/>
    <w:rsid w:val="00002212"/>
    <w:rsid w:val="00002278"/>
    <w:rsid w:val="00002396"/>
    <w:rsid w:val="00002479"/>
    <w:rsid w:val="00002517"/>
    <w:rsid w:val="00002555"/>
    <w:rsid w:val="000026F8"/>
    <w:rsid w:val="0000270D"/>
    <w:rsid w:val="00002840"/>
    <w:rsid w:val="00002950"/>
    <w:rsid w:val="00002A1A"/>
    <w:rsid w:val="00002C86"/>
    <w:rsid w:val="00002D2F"/>
    <w:rsid w:val="00002EB9"/>
    <w:rsid w:val="000030A1"/>
    <w:rsid w:val="00003288"/>
    <w:rsid w:val="000032EC"/>
    <w:rsid w:val="000038BB"/>
    <w:rsid w:val="00003A7F"/>
    <w:rsid w:val="00003A89"/>
    <w:rsid w:val="00003B44"/>
    <w:rsid w:val="00003B97"/>
    <w:rsid w:val="00003BBB"/>
    <w:rsid w:val="00003BFA"/>
    <w:rsid w:val="00003C72"/>
    <w:rsid w:val="00003E13"/>
    <w:rsid w:val="00003FBF"/>
    <w:rsid w:val="000040D1"/>
    <w:rsid w:val="000042AC"/>
    <w:rsid w:val="000043C0"/>
    <w:rsid w:val="00004416"/>
    <w:rsid w:val="000044C5"/>
    <w:rsid w:val="0000454C"/>
    <w:rsid w:val="00004569"/>
    <w:rsid w:val="0000470D"/>
    <w:rsid w:val="000047BC"/>
    <w:rsid w:val="00004AE6"/>
    <w:rsid w:val="00004AEE"/>
    <w:rsid w:val="00005273"/>
    <w:rsid w:val="0000560B"/>
    <w:rsid w:val="000056D1"/>
    <w:rsid w:val="000056FF"/>
    <w:rsid w:val="0000585D"/>
    <w:rsid w:val="00005988"/>
    <w:rsid w:val="00005ACD"/>
    <w:rsid w:val="00005B2C"/>
    <w:rsid w:val="00005D19"/>
    <w:rsid w:val="00005D67"/>
    <w:rsid w:val="00005EB9"/>
    <w:rsid w:val="00006289"/>
    <w:rsid w:val="0000636F"/>
    <w:rsid w:val="000063B8"/>
    <w:rsid w:val="000064EF"/>
    <w:rsid w:val="000064FB"/>
    <w:rsid w:val="000065AA"/>
    <w:rsid w:val="00006645"/>
    <w:rsid w:val="00006663"/>
    <w:rsid w:val="00006831"/>
    <w:rsid w:val="00006B9C"/>
    <w:rsid w:val="00006F09"/>
    <w:rsid w:val="00006F22"/>
    <w:rsid w:val="00006F64"/>
    <w:rsid w:val="00007120"/>
    <w:rsid w:val="0000726B"/>
    <w:rsid w:val="0000735E"/>
    <w:rsid w:val="000073B1"/>
    <w:rsid w:val="000073BB"/>
    <w:rsid w:val="00007456"/>
    <w:rsid w:val="00007463"/>
    <w:rsid w:val="000075D2"/>
    <w:rsid w:val="0000761B"/>
    <w:rsid w:val="00007702"/>
    <w:rsid w:val="00007730"/>
    <w:rsid w:val="00007C14"/>
    <w:rsid w:val="00007D31"/>
    <w:rsid w:val="00007DA0"/>
    <w:rsid w:val="00010200"/>
    <w:rsid w:val="000103E5"/>
    <w:rsid w:val="0001097E"/>
    <w:rsid w:val="000109E3"/>
    <w:rsid w:val="00010A7F"/>
    <w:rsid w:val="00010B20"/>
    <w:rsid w:val="00010C31"/>
    <w:rsid w:val="00010CA9"/>
    <w:rsid w:val="00010CBF"/>
    <w:rsid w:val="00010D7D"/>
    <w:rsid w:val="00010EB5"/>
    <w:rsid w:val="00010FA9"/>
    <w:rsid w:val="000110A7"/>
    <w:rsid w:val="000113EB"/>
    <w:rsid w:val="000113EE"/>
    <w:rsid w:val="000114DD"/>
    <w:rsid w:val="0001156C"/>
    <w:rsid w:val="0001163D"/>
    <w:rsid w:val="000116FF"/>
    <w:rsid w:val="0001173C"/>
    <w:rsid w:val="0001177A"/>
    <w:rsid w:val="00011898"/>
    <w:rsid w:val="00011AB4"/>
    <w:rsid w:val="00011B00"/>
    <w:rsid w:val="00011C2A"/>
    <w:rsid w:val="00011C68"/>
    <w:rsid w:val="00011CBE"/>
    <w:rsid w:val="00011CE4"/>
    <w:rsid w:val="00011E3D"/>
    <w:rsid w:val="0001213C"/>
    <w:rsid w:val="00012232"/>
    <w:rsid w:val="00012273"/>
    <w:rsid w:val="00012411"/>
    <w:rsid w:val="0001249B"/>
    <w:rsid w:val="00012524"/>
    <w:rsid w:val="0001254A"/>
    <w:rsid w:val="00012593"/>
    <w:rsid w:val="00012DAB"/>
    <w:rsid w:val="00012F0E"/>
    <w:rsid w:val="00012FA7"/>
    <w:rsid w:val="00013285"/>
    <w:rsid w:val="000133BA"/>
    <w:rsid w:val="0001398D"/>
    <w:rsid w:val="00013AD1"/>
    <w:rsid w:val="00013BF4"/>
    <w:rsid w:val="00013D2E"/>
    <w:rsid w:val="00013D9F"/>
    <w:rsid w:val="0001401B"/>
    <w:rsid w:val="00014264"/>
    <w:rsid w:val="0001434F"/>
    <w:rsid w:val="0001440A"/>
    <w:rsid w:val="00014437"/>
    <w:rsid w:val="00014464"/>
    <w:rsid w:val="00014652"/>
    <w:rsid w:val="000146E8"/>
    <w:rsid w:val="0001484E"/>
    <w:rsid w:val="00014A98"/>
    <w:rsid w:val="00014ACB"/>
    <w:rsid w:val="00014B36"/>
    <w:rsid w:val="00014C2A"/>
    <w:rsid w:val="00014C67"/>
    <w:rsid w:val="00014E90"/>
    <w:rsid w:val="00014F13"/>
    <w:rsid w:val="0001500D"/>
    <w:rsid w:val="00015014"/>
    <w:rsid w:val="000153DD"/>
    <w:rsid w:val="000154EE"/>
    <w:rsid w:val="00015522"/>
    <w:rsid w:val="000155C8"/>
    <w:rsid w:val="000155CD"/>
    <w:rsid w:val="0001564F"/>
    <w:rsid w:val="000156F1"/>
    <w:rsid w:val="00015786"/>
    <w:rsid w:val="00015A6D"/>
    <w:rsid w:val="00015B32"/>
    <w:rsid w:val="00015C5A"/>
    <w:rsid w:val="00015CD9"/>
    <w:rsid w:val="00015D01"/>
    <w:rsid w:val="00015D0C"/>
    <w:rsid w:val="00015DFE"/>
    <w:rsid w:val="0001620F"/>
    <w:rsid w:val="00016462"/>
    <w:rsid w:val="000164E2"/>
    <w:rsid w:val="000165C2"/>
    <w:rsid w:val="00016968"/>
    <w:rsid w:val="00016A7B"/>
    <w:rsid w:val="00016C62"/>
    <w:rsid w:val="00016CF3"/>
    <w:rsid w:val="00016E76"/>
    <w:rsid w:val="00017075"/>
    <w:rsid w:val="000171EA"/>
    <w:rsid w:val="000171F4"/>
    <w:rsid w:val="000172E9"/>
    <w:rsid w:val="00017389"/>
    <w:rsid w:val="0001756D"/>
    <w:rsid w:val="000179B1"/>
    <w:rsid w:val="00017AE5"/>
    <w:rsid w:val="00017B00"/>
    <w:rsid w:val="00017B83"/>
    <w:rsid w:val="00017C56"/>
    <w:rsid w:val="00017F04"/>
    <w:rsid w:val="00017FF7"/>
    <w:rsid w:val="000202E7"/>
    <w:rsid w:val="00020383"/>
    <w:rsid w:val="0002039B"/>
    <w:rsid w:val="00020547"/>
    <w:rsid w:val="0002072B"/>
    <w:rsid w:val="0002089A"/>
    <w:rsid w:val="00020AAD"/>
    <w:rsid w:val="00020B21"/>
    <w:rsid w:val="00020CE9"/>
    <w:rsid w:val="00020CF4"/>
    <w:rsid w:val="00020D2A"/>
    <w:rsid w:val="0002111D"/>
    <w:rsid w:val="00021287"/>
    <w:rsid w:val="00021348"/>
    <w:rsid w:val="00021934"/>
    <w:rsid w:val="00021AB8"/>
    <w:rsid w:val="00021AFF"/>
    <w:rsid w:val="00021B04"/>
    <w:rsid w:val="00021B53"/>
    <w:rsid w:val="00021CD1"/>
    <w:rsid w:val="00021E9E"/>
    <w:rsid w:val="00021ED9"/>
    <w:rsid w:val="00021F97"/>
    <w:rsid w:val="00022068"/>
    <w:rsid w:val="0002206A"/>
    <w:rsid w:val="000220BA"/>
    <w:rsid w:val="000220CA"/>
    <w:rsid w:val="00022143"/>
    <w:rsid w:val="0002221A"/>
    <w:rsid w:val="000223FE"/>
    <w:rsid w:val="00022499"/>
    <w:rsid w:val="0002253C"/>
    <w:rsid w:val="0002274D"/>
    <w:rsid w:val="000227DC"/>
    <w:rsid w:val="00022BB7"/>
    <w:rsid w:val="00022C3B"/>
    <w:rsid w:val="00022C9A"/>
    <w:rsid w:val="00022EC5"/>
    <w:rsid w:val="00022F1E"/>
    <w:rsid w:val="00022FE2"/>
    <w:rsid w:val="0002312E"/>
    <w:rsid w:val="00023204"/>
    <w:rsid w:val="0002341E"/>
    <w:rsid w:val="000235C0"/>
    <w:rsid w:val="00023648"/>
    <w:rsid w:val="00023832"/>
    <w:rsid w:val="00023977"/>
    <w:rsid w:val="00023A0B"/>
    <w:rsid w:val="00023CD4"/>
    <w:rsid w:val="00023CD8"/>
    <w:rsid w:val="00023E4C"/>
    <w:rsid w:val="00023E53"/>
    <w:rsid w:val="00023E7C"/>
    <w:rsid w:val="00023F81"/>
    <w:rsid w:val="000240AD"/>
    <w:rsid w:val="00024385"/>
    <w:rsid w:val="000248FF"/>
    <w:rsid w:val="00024B40"/>
    <w:rsid w:val="00024B97"/>
    <w:rsid w:val="00024D50"/>
    <w:rsid w:val="00024E67"/>
    <w:rsid w:val="00025292"/>
    <w:rsid w:val="000254D7"/>
    <w:rsid w:val="00025573"/>
    <w:rsid w:val="00025A59"/>
    <w:rsid w:val="00025A6A"/>
    <w:rsid w:val="00025BED"/>
    <w:rsid w:val="00025DC0"/>
    <w:rsid w:val="00025F55"/>
    <w:rsid w:val="00025FEC"/>
    <w:rsid w:val="0002605C"/>
    <w:rsid w:val="0002629B"/>
    <w:rsid w:val="000262A2"/>
    <w:rsid w:val="000262B6"/>
    <w:rsid w:val="000263D9"/>
    <w:rsid w:val="00026416"/>
    <w:rsid w:val="000265E3"/>
    <w:rsid w:val="000266A3"/>
    <w:rsid w:val="00026951"/>
    <w:rsid w:val="00026979"/>
    <w:rsid w:val="00026AEA"/>
    <w:rsid w:val="00026B44"/>
    <w:rsid w:val="00026E9D"/>
    <w:rsid w:val="0002707D"/>
    <w:rsid w:val="00027215"/>
    <w:rsid w:val="0002723D"/>
    <w:rsid w:val="00027381"/>
    <w:rsid w:val="00027479"/>
    <w:rsid w:val="00027492"/>
    <w:rsid w:val="0002750E"/>
    <w:rsid w:val="00027565"/>
    <w:rsid w:val="00027BE6"/>
    <w:rsid w:val="00027D2A"/>
    <w:rsid w:val="00027F8A"/>
    <w:rsid w:val="00027FF2"/>
    <w:rsid w:val="0003020E"/>
    <w:rsid w:val="00030260"/>
    <w:rsid w:val="00030642"/>
    <w:rsid w:val="000306DA"/>
    <w:rsid w:val="00030935"/>
    <w:rsid w:val="00030987"/>
    <w:rsid w:val="00030A3C"/>
    <w:rsid w:val="00030B58"/>
    <w:rsid w:val="00030C5F"/>
    <w:rsid w:val="00030E48"/>
    <w:rsid w:val="00031084"/>
    <w:rsid w:val="000312AA"/>
    <w:rsid w:val="000313CD"/>
    <w:rsid w:val="0003141B"/>
    <w:rsid w:val="00031432"/>
    <w:rsid w:val="0003158B"/>
    <w:rsid w:val="000317E8"/>
    <w:rsid w:val="00031908"/>
    <w:rsid w:val="00031A71"/>
    <w:rsid w:val="00031BD6"/>
    <w:rsid w:val="00031D28"/>
    <w:rsid w:val="00031DA8"/>
    <w:rsid w:val="0003203C"/>
    <w:rsid w:val="000320B9"/>
    <w:rsid w:val="00032168"/>
    <w:rsid w:val="000321FE"/>
    <w:rsid w:val="00032348"/>
    <w:rsid w:val="000323A6"/>
    <w:rsid w:val="000325E4"/>
    <w:rsid w:val="0003280F"/>
    <w:rsid w:val="00032A58"/>
    <w:rsid w:val="00032B30"/>
    <w:rsid w:val="00032B69"/>
    <w:rsid w:val="00032D7E"/>
    <w:rsid w:val="00032EBE"/>
    <w:rsid w:val="000335B9"/>
    <w:rsid w:val="00033733"/>
    <w:rsid w:val="00033750"/>
    <w:rsid w:val="0003383F"/>
    <w:rsid w:val="00033AA7"/>
    <w:rsid w:val="00033B22"/>
    <w:rsid w:val="00033BF0"/>
    <w:rsid w:val="00033CA6"/>
    <w:rsid w:val="00033E32"/>
    <w:rsid w:val="00034061"/>
    <w:rsid w:val="00034093"/>
    <w:rsid w:val="00034170"/>
    <w:rsid w:val="0003435D"/>
    <w:rsid w:val="00034372"/>
    <w:rsid w:val="00034437"/>
    <w:rsid w:val="0003454F"/>
    <w:rsid w:val="00034871"/>
    <w:rsid w:val="00034A0D"/>
    <w:rsid w:val="00034F85"/>
    <w:rsid w:val="00034F9C"/>
    <w:rsid w:val="00035019"/>
    <w:rsid w:val="000351CD"/>
    <w:rsid w:val="000351DA"/>
    <w:rsid w:val="00035260"/>
    <w:rsid w:val="0003535F"/>
    <w:rsid w:val="0003557E"/>
    <w:rsid w:val="00035599"/>
    <w:rsid w:val="000355A2"/>
    <w:rsid w:val="000355C2"/>
    <w:rsid w:val="000357C1"/>
    <w:rsid w:val="0003582D"/>
    <w:rsid w:val="00035A58"/>
    <w:rsid w:val="00035AB7"/>
    <w:rsid w:val="00035B4F"/>
    <w:rsid w:val="00035C91"/>
    <w:rsid w:val="00035CAE"/>
    <w:rsid w:val="00035D21"/>
    <w:rsid w:val="00035DAD"/>
    <w:rsid w:val="00035DB8"/>
    <w:rsid w:val="00035EA0"/>
    <w:rsid w:val="00035F81"/>
    <w:rsid w:val="00035FFC"/>
    <w:rsid w:val="0003618A"/>
    <w:rsid w:val="000361B6"/>
    <w:rsid w:val="0003622A"/>
    <w:rsid w:val="000363F1"/>
    <w:rsid w:val="00036487"/>
    <w:rsid w:val="0003653E"/>
    <w:rsid w:val="0003656B"/>
    <w:rsid w:val="000366C2"/>
    <w:rsid w:val="000367E9"/>
    <w:rsid w:val="000368AE"/>
    <w:rsid w:val="0003695A"/>
    <w:rsid w:val="000369D4"/>
    <w:rsid w:val="00036B25"/>
    <w:rsid w:val="00036D9D"/>
    <w:rsid w:val="00036DF5"/>
    <w:rsid w:val="00036FB2"/>
    <w:rsid w:val="000375DE"/>
    <w:rsid w:val="0003760E"/>
    <w:rsid w:val="00037699"/>
    <w:rsid w:val="000377C0"/>
    <w:rsid w:val="000378A7"/>
    <w:rsid w:val="000379DE"/>
    <w:rsid w:val="00037DCF"/>
    <w:rsid w:val="00037E26"/>
    <w:rsid w:val="00040049"/>
    <w:rsid w:val="000400DF"/>
    <w:rsid w:val="000401BB"/>
    <w:rsid w:val="000402ED"/>
    <w:rsid w:val="00040432"/>
    <w:rsid w:val="00040462"/>
    <w:rsid w:val="00040488"/>
    <w:rsid w:val="000405FB"/>
    <w:rsid w:val="000407D3"/>
    <w:rsid w:val="000408E2"/>
    <w:rsid w:val="00040966"/>
    <w:rsid w:val="00040ADF"/>
    <w:rsid w:val="00040AE0"/>
    <w:rsid w:val="00040C08"/>
    <w:rsid w:val="00040CFC"/>
    <w:rsid w:val="00040D03"/>
    <w:rsid w:val="00040DE4"/>
    <w:rsid w:val="00040EAB"/>
    <w:rsid w:val="00040F39"/>
    <w:rsid w:val="00040FCF"/>
    <w:rsid w:val="0004116B"/>
    <w:rsid w:val="000411FE"/>
    <w:rsid w:val="0004136F"/>
    <w:rsid w:val="00041397"/>
    <w:rsid w:val="00041532"/>
    <w:rsid w:val="00041737"/>
    <w:rsid w:val="0004189A"/>
    <w:rsid w:val="00041A3A"/>
    <w:rsid w:val="00041A90"/>
    <w:rsid w:val="00041B03"/>
    <w:rsid w:val="00041BA9"/>
    <w:rsid w:val="00041D0C"/>
    <w:rsid w:val="00041D58"/>
    <w:rsid w:val="00041D8D"/>
    <w:rsid w:val="000420F4"/>
    <w:rsid w:val="00042196"/>
    <w:rsid w:val="0004221C"/>
    <w:rsid w:val="0004242A"/>
    <w:rsid w:val="0004243E"/>
    <w:rsid w:val="00042454"/>
    <w:rsid w:val="000424C7"/>
    <w:rsid w:val="0004262E"/>
    <w:rsid w:val="00042641"/>
    <w:rsid w:val="000428BC"/>
    <w:rsid w:val="00042933"/>
    <w:rsid w:val="00042940"/>
    <w:rsid w:val="000429D2"/>
    <w:rsid w:val="00042A32"/>
    <w:rsid w:val="00042AAC"/>
    <w:rsid w:val="00042D72"/>
    <w:rsid w:val="00042DDD"/>
    <w:rsid w:val="00042F75"/>
    <w:rsid w:val="00042FA1"/>
    <w:rsid w:val="000430E9"/>
    <w:rsid w:val="0004313C"/>
    <w:rsid w:val="0004323C"/>
    <w:rsid w:val="000434F6"/>
    <w:rsid w:val="000436A2"/>
    <w:rsid w:val="000436EF"/>
    <w:rsid w:val="0004393C"/>
    <w:rsid w:val="00043A3B"/>
    <w:rsid w:val="00043A63"/>
    <w:rsid w:val="00043B6A"/>
    <w:rsid w:val="00043C2B"/>
    <w:rsid w:val="00043D18"/>
    <w:rsid w:val="00043D59"/>
    <w:rsid w:val="000441F6"/>
    <w:rsid w:val="000444BF"/>
    <w:rsid w:val="000444E3"/>
    <w:rsid w:val="00044548"/>
    <w:rsid w:val="000446B3"/>
    <w:rsid w:val="0004487D"/>
    <w:rsid w:val="0004492F"/>
    <w:rsid w:val="0004494C"/>
    <w:rsid w:val="0004497E"/>
    <w:rsid w:val="00044CF5"/>
    <w:rsid w:val="00044EA1"/>
    <w:rsid w:val="00044EAA"/>
    <w:rsid w:val="00044F2F"/>
    <w:rsid w:val="000452E4"/>
    <w:rsid w:val="000454DE"/>
    <w:rsid w:val="000455F1"/>
    <w:rsid w:val="0004575F"/>
    <w:rsid w:val="00045920"/>
    <w:rsid w:val="00045B76"/>
    <w:rsid w:val="00045BE2"/>
    <w:rsid w:val="00045C61"/>
    <w:rsid w:val="00045D90"/>
    <w:rsid w:val="00045D9D"/>
    <w:rsid w:val="000460A6"/>
    <w:rsid w:val="00046310"/>
    <w:rsid w:val="0004636D"/>
    <w:rsid w:val="00046639"/>
    <w:rsid w:val="000466AC"/>
    <w:rsid w:val="000466DC"/>
    <w:rsid w:val="00046A00"/>
    <w:rsid w:val="00046B25"/>
    <w:rsid w:val="00046B29"/>
    <w:rsid w:val="00046CCD"/>
    <w:rsid w:val="00046D31"/>
    <w:rsid w:val="00046FE6"/>
    <w:rsid w:val="000473A1"/>
    <w:rsid w:val="000475AF"/>
    <w:rsid w:val="00047608"/>
    <w:rsid w:val="00047745"/>
    <w:rsid w:val="00047786"/>
    <w:rsid w:val="0004787C"/>
    <w:rsid w:val="00047A16"/>
    <w:rsid w:val="00047A29"/>
    <w:rsid w:val="00047A6F"/>
    <w:rsid w:val="00047AE8"/>
    <w:rsid w:val="00047CC9"/>
    <w:rsid w:val="00047DAC"/>
    <w:rsid w:val="00050062"/>
    <w:rsid w:val="00050080"/>
    <w:rsid w:val="000500D6"/>
    <w:rsid w:val="000504CE"/>
    <w:rsid w:val="0005054F"/>
    <w:rsid w:val="0005056E"/>
    <w:rsid w:val="00050685"/>
    <w:rsid w:val="00050A28"/>
    <w:rsid w:val="00050A31"/>
    <w:rsid w:val="00050B03"/>
    <w:rsid w:val="00050E86"/>
    <w:rsid w:val="00050F40"/>
    <w:rsid w:val="00050F50"/>
    <w:rsid w:val="000512EE"/>
    <w:rsid w:val="000512F7"/>
    <w:rsid w:val="000514CC"/>
    <w:rsid w:val="000516C9"/>
    <w:rsid w:val="0005189B"/>
    <w:rsid w:val="00051A35"/>
    <w:rsid w:val="00051A7C"/>
    <w:rsid w:val="00051AE2"/>
    <w:rsid w:val="00051C3A"/>
    <w:rsid w:val="00051E5A"/>
    <w:rsid w:val="00051E9E"/>
    <w:rsid w:val="00051ED6"/>
    <w:rsid w:val="00051F21"/>
    <w:rsid w:val="0005201B"/>
    <w:rsid w:val="00052024"/>
    <w:rsid w:val="000520E5"/>
    <w:rsid w:val="00052148"/>
    <w:rsid w:val="000521A3"/>
    <w:rsid w:val="000523B7"/>
    <w:rsid w:val="0005246A"/>
    <w:rsid w:val="00052536"/>
    <w:rsid w:val="000525D8"/>
    <w:rsid w:val="000525F8"/>
    <w:rsid w:val="0005267C"/>
    <w:rsid w:val="000526F7"/>
    <w:rsid w:val="00052859"/>
    <w:rsid w:val="0005299F"/>
    <w:rsid w:val="000529D4"/>
    <w:rsid w:val="00052A24"/>
    <w:rsid w:val="00052C4D"/>
    <w:rsid w:val="00052C65"/>
    <w:rsid w:val="00052D0F"/>
    <w:rsid w:val="00052EC0"/>
    <w:rsid w:val="00052F28"/>
    <w:rsid w:val="00053192"/>
    <w:rsid w:val="0005321B"/>
    <w:rsid w:val="000532D6"/>
    <w:rsid w:val="0005331B"/>
    <w:rsid w:val="00053323"/>
    <w:rsid w:val="0005343D"/>
    <w:rsid w:val="00053452"/>
    <w:rsid w:val="00053583"/>
    <w:rsid w:val="000536C9"/>
    <w:rsid w:val="00053717"/>
    <w:rsid w:val="0005372B"/>
    <w:rsid w:val="00053744"/>
    <w:rsid w:val="0005385E"/>
    <w:rsid w:val="000538D8"/>
    <w:rsid w:val="00053938"/>
    <w:rsid w:val="000539A7"/>
    <w:rsid w:val="00053A53"/>
    <w:rsid w:val="00053B34"/>
    <w:rsid w:val="00053B85"/>
    <w:rsid w:val="00053D89"/>
    <w:rsid w:val="00053F74"/>
    <w:rsid w:val="00054209"/>
    <w:rsid w:val="00054394"/>
    <w:rsid w:val="00054429"/>
    <w:rsid w:val="00054470"/>
    <w:rsid w:val="00054487"/>
    <w:rsid w:val="00054519"/>
    <w:rsid w:val="0005468F"/>
    <w:rsid w:val="00054A33"/>
    <w:rsid w:val="00054A5A"/>
    <w:rsid w:val="00054A5C"/>
    <w:rsid w:val="00054B22"/>
    <w:rsid w:val="00054BDD"/>
    <w:rsid w:val="00054CE7"/>
    <w:rsid w:val="00054D41"/>
    <w:rsid w:val="0005502C"/>
    <w:rsid w:val="0005502E"/>
    <w:rsid w:val="000550A8"/>
    <w:rsid w:val="000550EB"/>
    <w:rsid w:val="000551C7"/>
    <w:rsid w:val="000552AD"/>
    <w:rsid w:val="000552BB"/>
    <w:rsid w:val="00055330"/>
    <w:rsid w:val="00055640"/>
    <w:rsid w:val="0005573C"/>
    <w:rsid w:val="0005574E"/>
    <w:rsid w:val="00055847"/>
    <w:rsid w:val="00055853"/>
    <w:rsid w:val="00055AF8"/>
    <w:rsid w:val="00055CA1"/>
    <w:rsid w:val="00055DE9"/>
    <w:rsid w:val="00056073"/>
    <w:rsid w:val="000560B8"/>
    <w:rsid w:val="0005623C"/>
    <w:rsid w:val="00056252"/>
    <w:rsid w:val="000562C5"/>
    <w:rsid w:val="00056302"/>
    <w:rsid w:val="000563EB"/>
    <w:rsid w:val="0005670B"/>
    <w:rsid w:val="00056721"/>
    <w:rsid w:val="00056748"/>
    <w:rsid w:val="000569F1"/>
    <w:rsid w:val="00056ABB"/>
    <w:rsid w:val="00056B13"/>
    <w:rsid w:val="00056B4B"/>
    <w:rsid w:val="00056C62"/>
    <w:rsid w:val="00056D12"/>
    <w:rsid w:val="00056D4A"/>
    <w:rsid w:val="00056D77"/>
    <w:rsid w:val="00056F65"/>
    <w:rsid w:val="00057037"/>
    <w:rsid w:val="000571A3"/>
    <w:rsid w:val="0005768F"/>
    <w:rsid w:val="0005789E"/>
    <w:rsid w:val="000578E4"/>
    <w:rsid w:val="00057B6F"/>
    <w:rsid w:val="00057BA1"/>
    <w:rsid w:val="00057BA5"/>
    <w:rsid w:val="00057BED"/>
    <w:rsid w:val="00057EC2"/>
    <w:rsid w:val="00057FF0"/>
    <w:rsid w:val="0006018C"/>
    <w:rsid w:val="00060762"/>
    <w:rsid w:val="00060768"/>
    <w:rsid w:val="000608D0"/>
    <w:rsid w:val="00060986"/>
    <w:rsid w:val="00060AD4"/>
    <w:rsid w:val="00060AE9"/>
    <w:rsid w:val="00060CB1"/>
    <w:rsid w:val="00060CC5"/>
    <w:rsid w:val="00061199"/>
    <w:rsid w:val="00061210"/>
    <w:rsid w:val="00061219"/>
    <w:rsid w:val="0006133F"/>
    <w:rsid w:val="000613B0"/>
    <w:rsid w:val="000617BC"/>
    <w:rsid w:val="000618D5"/>
    <w:rsid w:val="000618E9"/>
    <w:rsid w:val="00061A21"/>
    <w:rsid w:val="00061A7C"/>
    <w:rsid w:val="00061C85"/>
    <w:rsid w:val="00061E36"/>
    <w:rsid w:val="00061E67"/>
    <w:rsid w:val="00062349"/>
    <w:rsid w:val="000623CA"/>
    <w:rsid w:val="00062BC1"/>
    <w:rsid w:val="00062CBF"/>
    <w:rsid w:val="00062CFD"/>
    <w:rsid w:val="00062E07"/>
    <w:rsid w:val="00062E7A"/>
    <w:rsid w:val="00062E95"/>
    <w:rsid w:val="0006314C"/>
    <w:rsid w:val="0006324F"/>
    <w:rsid w:val="000633CF"/>
    <w:rsid w:val="0006345D"/>
    <w:rsid w:val="000634C6"/>
    <w:rsid w:val="00063790"/>
    <w:rsid w:val="000638F7"/>
    <w:rsid w:val="00063962"/>
    <w:rsid w:val="000639A6"/>
    <w:rsid w:val="00063A63"/>
    <w:rsid w:val="00063B82"/>
    <w:rsid w:val="00063BC6"/>
    <w:rsid w:val="00063CA1"/>
    <w:rsid w:val="00063CB5"/>
    <w:rsid w:val="00063DAD"/>
    <w:rsid w:val="00064015"/>
    <w:rsid w:val="000640F0"/>
    <w:rsid w:val="000643DF"/>
    <w:rsid w:val="00064411"/>
    <w:rsid w:val="0006442E"/>
    <w:rsid w:val="000645C0"/>
    <w:rsid w:val="00064726"/>
    <w:rsid w:val="000648DE"/>
    <w:rsid w:val="00064956"/>
    <w:rsid w:val="000649B0"/>
    <w:rsid w:val="000649BE"/>
    <w:rsid w:val="00064BA3"/>
    <w:rsid w:val="00065025"/>
    <w:rsid w:val="00065098"/>
    <w:rsid w:val="00065473"/>
    <w:rsid w:val="00065565"/>
    <w:rsid w:val="00065649"/>
    <w:rsid w:val="0006591F"/>
    <w:rsid w:val="00065995"/>
    <w:rsid w:val="00065C27"/>
    <w:rsid w:val="00066015"/>
    <w:rsid w:val="0006607B"/>
    <w:rsid w:val="000660B4"/>
    <w:rsid w:val="00066221"/>
    <w:rsid w:val="0006630A"/>
    <w:rsid w:val="000664C1"/>
    <w:rsid w:val="00066517"/>
    <w:rsid w:val="00066541"/>
    <w:rsid w:val="00066814"/>
    <w:rsid w:val="00066868"/>
    <w:rsid w:val="000668C9"/>
    <w:rsid w:val="000668E9"/>
    <w:rsid w:val="00066CA2"/>
    <w:rsid w:val="00066D2F"/>
    <w:rsid w:val="00066F5F"/>
    <w:rsid w:val="000671E4"/>
    <w:rsid w:val="000671FF"/>
    <w:rsid w:val="000672C5"/>
    <w:rsid w:val="00067539"/>
    <w:rsid w:val="000675E1"/>
    <w:rsid w:val="0006761D"/>
    <w:rsid w:val="00067768"/>
    <w:rsid w:val="00067894"/>
    <w:rsid w:val="00067D95"/>
    <w:rsid w:val="00067F14"/>
    <w:rsid w:val="0007007B"/>
    <w:rsid w:val="00070125"/>
    <w:rsid w:val="000701A5"/>
    <w:rsid w:val="00070556"/>
    <w:rsid w:val="00070656"/>
    <w:rsid w:val="0007076E"/>
    <w:rsid w:val="000707E6"/>
    <w:rsid w:val="0007085A"/>
    <w:rsid w:val="0007088C"/>
    <w:rsid w:val="00070940"/>
    <w:rsid w:val="00070AB6"/>
    <w:rsid w:val="00070C00"/>
    <w:rsid w:val="00070CAE"/>
    <w:rsid w:val="00070F5A"/>
    <w:rsid w:val="00071082"/>
    <w:rsid w:val="0007111B"/>
    <w:rsid w:val="00071385"/>
    <w:rsid w:val="0007158D"/>
    <w:rsid w:val="000715E5"/>
    <w:rsid w:val="00071684"/>
    <w:rsid w:val="000716D8"/>
    <w:rsid w:val="000718CB"/>
    <w:rsid w:val="0007198A"/>
    <w:rsid w:val="00071C42"/>
    <w:rsid w:val="00071C8E"/>
    <w:rsid w:val="00071D79"/>
    <w:rsid w:val="00071F33"/>
    <w:rsid w:val="00071F43"/>
    <w:rsid w:val="00072022"/>
    <w:rsid w:val="00072074"/>
    <w:rsid w:val="0007219B"/>
    <w:rsid w:val="000722D9"/>
    <w:rsid w:val="000724F6"/>
    <w:rsid w:val="00072569"/>
    <w:rsid w:val="00072591"/>
    <w:rsid w:val="000725E3"/>
    <w:rsid w:val="0007283F"/>
    <w:rsid w:val="0007286E"/>
    <w:rsid w:val="0007297B"/>
    <w:rsid w:val="00072ABF"/>
    <w:rsid w:val="00072D56"/>
    <w:rsid w:val="000730C6"/>
    <w:rsid w:val="00073129"/>
    <w:rsid w:val="000731CD"/>
    <w:rsid w:val="00073223"/>
    <w:rsid w:val="000732BC"/>
    <w:rsid w:val="00073326"/>
    <w:rsid w:val="00073345"/>
    <w:rsid w:val="000733AF"/>
    <w:rsid w:val="00073772"/>
    <w:rsid w:val="00073C30"/>
    <w:rsid w:val="00073C6C"/>
    <w:rsid w:val="00073EDB"/>
    <w:rsid w:val="00074275"/>
    <w:rsid w:val="00074317"/>
    <w:rsid w:val="00074451"/>
    <w:rsid w:val="00074461"/>
    <w:rsid w:val="000745AF"/>
    <w:rsid w:val="00074667"/>
    <w:rsid w:val="000746A6"/>
    <w:rsid w:val="000746D1"/>
    <w:rsid w:val="0007471F"/>
    <w:rsid w:val="00074722"/>
    <w:rsid w:val="0007478F"/>
    <w:rsid w:val="0007479B"/>
    <w:rsid w:val="000748A6"/>
    <w:rsid w:val="0007495E"/>
    <w:rsid w:val="000749AD"/>
    <w:rsid w:val="00074AA2"/>
    <w:rsid w:val="00074CA8"/>
    <w:rsid w:val="00074D2C"/>
    <w:rsid w:val="00074ED8"/>
    <w:rsid w:val="00074F48"/>
    <w:rsid w:val="00074FD8"/>
    <w:rsid w:val="00075054"/>
    <w:rsid w:val="00075080"/>
    <w:rsid w:val="0007526C"/>
    <w:rsid w:val="00075547"/>
    <w:rsid w:val="00075686"/>
    <w:rsid w:val="0007594C"/>
    <w:rsid w:val="000759D4"/>
    <w:rsid w:val="00075A76"/>
    <w:rsid w:val="00075C7E"/>
    <w:rsid w:val="00075D10"/>
    <w:rsid w:val="00075EA1"/>
    <w:rsid w:val="00075F50"/>
    <w:rsid w:val="0007609B"/>
    <w:rsid w:val="000762CB"/>
    <w:rsid w:val="000765FF"/>
    <w:rsid w:val="00076860"/>
    <w:rsid w:val="000769C2"/>
    <w:rsid w:val="00076E2B"/>
    <w:rsid w:val="00076E6C"/>
    <w:rsid w:val="00076F51"/>
    <w:rsid w:val="000771E3"/>
    <w:rsid w:val="000771FF"/>
    <w:rsid w:val="00077232"/>
    <w:rsid w:val="00077310"/>
    <w:rsid w:val="00077322"/>
    <w:rsid w:val="00077441"/>
    <w:rsid w:val="00077488"/>
    <w:rsid w:val="0007769A"/>
    <w:rsid w:val="00077745"/>
    <w:rsid w:val="00077862"/>
    <w:rsid w:val="00077BE0"/>
    <w:rsid w:val="00077C41"/>
    <w:rsid w:val="00080991"/>
    <w:rsid w:val="000809FE"/>
    <w:rsid w:val="00080A61"/>
    <w:rsid w:val="00080CA1"/>
    <w:rsid w:val="00080CAE"/>
    <w:rsid w:val="00080D70"/>
    <w:rsid w:val="00080F28"/>
    <w:rsid w:val="00080FAF"/>
    <w:rsid w:val="000810D8"/>
    <w:rsid w:val="000812C4"/>
    <w:rsid w:val="00081347"/>
    <w:rsid w:val="0008166C"/>
    <w:rsid w:val="0008171D"/>
    <w:rsid w:val="000818D8"/>
    <w:rsid w:val="00081C66"/>
    <w:rsid w:val="00082036"/>
    <w:rsid w:val="00082291"/>
    <w:rsid w:val="0008231F"/>
    <w:rsid w:val="000823F1"/>
    <w:rsid w:val="000826A9"/>
    <w:rsid w:val="00082767"/>
    <w:rsid w:val="0008289F"/>
    <w:rsid w:val="00082D2F"/>
    <w:rsid w:val="00082FE2"/>
    <w:rsid w:val="000832E7"/>
    <w:rsid w:val="0008348D"/>
    <w:rsid w:val="00083677"/>
    <w:rsid w:val="000836CD"/>
    <w:rsid w:val="00083711"/>
    <w:rsid w:val="0008377B"/>
    <w:rsid w:val="00083824"/>
    <w:rsid w:val="00083AE1"/>
    <w:rsid w:val="00083B76"/>
    <w:rsid w:val="00083CCB"/>
    <w:rsid w:val="00084018"/>
    <w:rsid w:val="0008406F"/>
    <w:rsid w:val="00084133"/>
    <w:rsid w:val="0008457B"/>
    <w:rsid w:val="0008463A"/>
    <w:rsid w:val="00084790"/>
    <w:rsid w:val="0008479E"/>
    <w:rsid w:val="000847AE"/>
    <w:rsid w:val="0008488D"/>
    <w:rsid w:val="000849BB"/>
    <w:rsid w:val="00084A5F"/>
    <w:rsid w:val="00084ABE"/>
    <w:rsid w:val="00084BEE"/>
    <w:rsid w:val="00084C0C"/>
    <w:rsid w:val="00084D4F"/>
    <w:rsid w:val="00084E49"/>
    <w:rsid w:val="0008503B"/>
    <w:rsid w:val="000851CD"/>
    <w:rsid w:val="00085431"/>
    <w:rsid w:val="00085AB7"/>
    <w:rsid w:val="00085BCD"/>
    <w:rsid w:val="00085BEE"/>
    <w:rsid w:val="00085C1C"/>
    <w:rsid w:val="00085C8C"/>
    <w:rsid w:val="00085D67"/>
    <w:rsid w:val="00086490"/>
    <w:rsid w:val="0008655C"/>
    <w:rsid w:val="000865FF"/>
    <w:rsid w:val="00086666"/>
    <w:rsid w:val="000867A9"/>
    <w:rsid w:val="00086992"/>
    <w:rsid w:val="000869DF"/>
    <w:rsid w:val="00086C80"/>
    <w:rsid w:val="00086E08"/>
    <w:rsid w:val="00086EBC"/>
    <w:rsid w:val="00086ED4"/>
    <w:rsid w:val="00086EEC"/>
    <w:rsid w:val="00087033"/>
    <w:rsid w:val="00087055"/>
    <w:rsid w:val="00087097"/>
    <w:rsid w:val="000871A8"/>
    <w:rsid w:val="00087297"/>
    <w:rsid w:val="000874AB"/>
    <w:rsid w:val="00087838"/>
    <w:rsid w:val="000878E6"/>
    <w:rsid w:val="00087A8F"/>
    <w:rsid w:val="00087A91"/>
    <w:rsid w:val="00087AE3"/>
    <w:rsid w:val="00087C7C"/>
    <w:rsid w:val="00090041"/>
    <w:rsid w:val="0009011E"/>
    <w:rsid w:val="000901A5"/>
    <w:rsid w:val="000902E0"/>
    <w:rsid w:val="0009043B"/>
    <w:rsid w:val="0009070A"/>
    <w:rsid w:val="00090858"/>
    <w:rsid w:val="000909CE"/>
    <w:rsid w:val="000909EE"/>
    <w:rsid w:val="00090B08"/>
    <w:rsid w:val="00090B60"/>
    <w:rsid w:val="00090F15"/>
    <w:rsid w:val="000910FB"/>
    <w:rsid w:val="00091486"/>
    <w:rsid w:val="000914DB"/>
    <w:rsid w:val="0009151F"/>
    <w:rsid w:val="000915E1"/>
    <w:rsid w:val="0009185E"/>
    <w:rsid w:val="00091988"/>
    <w:rsid w:val="00091AD4"/>
    <w:rsid w:val="00091B7D"/>
    <w:rsid w:val="00091C66"/>
    <w:rsid w:val="00091D71"/>
    <w:rsid w:val="000921FC"/>
    <w:rsid w:val="00092243"/>
    <w:rsid w:val="000924F8"/>
    <w:rsid w:val="00092503"/>
    <w:rsid w:val="0009281D"/>
    <w:rsid w:val="00092A96"/>
    <w:rsid w:val="00092B34"/>
    <w:rsid w:val="00092D5B"/>
    <w:rsid w:val="00093044"/>
    <w:rsid w:val="000930D1"/>
    <w:rsid w:val="000934D6"/>
    <w:rsid w:val="0009395D"/>
    <w:rsid w:val="00093B82"/>
    <w:rsid w:val="00093C68"/>
    <w:rsid w:val="00093C86"/>
    <w:rsid w:val="00093CC5"/>
    <w:rsid w:val="000940AE"/>
    <w:rsid w:val="000940C9"/>
    <w:rsid w:val="00094304"/>
    <w:rsid w:val="000945D9"/>
    <w:rsid w:val="0009461B"/>
    <w:rsid w:val="00094932"/>
    <w:rsid w:val="00094AAD"/>
    <w:rsid w:val="00094ADB"/>
    <w:rsid w:val="00094B17"/>
    <w:rsid w:val="00094CBD"/>
    <w:rsid w:val="00094CD2"/>
    <w:rsid w:val="00094D51"/>
    <w:rsid w:val="00094DD5"/>
    <w:rsid w:val="000950E7"/>
    <w:rsid w:val="000951AC"/>
    <w:rsid w:val="000952B1"/>
    <w:rsid w:val="000957E6"/>
    <w:rsid w:val="000959B7"/>
    <w:rsid w:val="00095AFE"/>
    <w:rsid w:val="00095D6C"/>
    <w:rsid w:val="00095E4A"/>
    <w:rsid w:val="00095E6F"/>
    <w:rsid w:val="00095EC3"/>
    <w:rsid w:val="000961A7"/>
    <w:rsid w:val="00096202"/>
    <w:rsid w:val="00096235"/>
    <w:rsid w:val="00096240"/>
    <w:rsid w:val="000964CF"/>
    <w:rsid w:val="00096650"/>
    <w:rsid w:val="00096733"/>
    <w:rsid w:val="000967BD"/>
    <w:rsid w:val="000967C7"/>
    <w:rsid w:val="00096827"/>
    <w:rsid w:val="0009682F"/>
    <w:rsid w:val="00096B29"/>
    <w:rsid w:val="00096D8A"/>
    <w:rsid w:val="00096E1F"/>
    <w:rsid w:val="00097152"/>
    <w:rsid w:val="00097271"/>
    <w:rsid w:val="000973FE"/>
    <w:rsid w:val="0009748D"/>
    <w:rsid w:val="0009749B"/>
    <w:rsid w:val="00097506"/>
    <w:rsid w:val="000976CC"/>
    <w:rsid w:val="00097A69"/>
    <w:rsid w:val="00097C3E"/>
    <w:rsid w:val="00097E6A"/>
    <w:rsid w:val="00097F65"/>
    <w:rsid w:val="000A0003"/>
    <w:rsid w:val="000A01EA"/>
    <w:rsid w:val="000A026E"/>
    <w:rsid w:val="000A02EB"/>
    <w:rsid w:val="000A047D"/>
    <w:rsid w:val="000A07A9"/>
    <w:rsid w:val="000A08E1"/>
    <w:rsid w:val="000A097A"/>
    <w:rsid w:val="000A09DC"/>
    <w:rsid w:val="000A0A7A"/>
    <w:rsid w:val="000A0AAB"/>
    <w:rsid w:val="000A0EDE"/>
    <w:rsid w:val="000A1284"/>
    <w:rsid w:val="000A12F0"/>
    <w:rsid w:val="000A13D8"/>
    <w:rsid w:val="000A1416"/>
    <w:rsid w:val="000A1589"/>
    <w:rsid w:val="000A1610"/>
    <w:rsid w:val="000A1940"/>
    <w:rsid w:val="000A1C85"/>
    <w:rsid w:val="000A2054"/>
    <w:rsid w:val="000A2097"/>
    <w:rsid w:val="000A20EB"/>
    <w:rsid w:val="000A2303"/>
    <w:rsid w:val="000A23C9"/>
    <w:rsid w:val="000A24BF"/>
    <w:rsid w:val="000A2585"/>
    <w:rsid w:val="000A282E"/>
    <w:rsid w:val="000A2952"/>
    <w:rsid w:val="000A2956"/>
    <w:rsid w:val="000A2987"/>
    <w:rsid w:val="000A29F3"/>
    <w:rsid w:val="000A2ACF"/>
    <w:rsid w:val="000A2AFD"/>
    <w:rsid w:val="000A2DEE"/>
    <w:rsid w:val="000A2FA0"/>
    <w:rsid w:val="000A31A6"/>
    <w:rsid w:val="000A3255"/>
    <w:rsid w:val="000A326C"/>
    <w:rsid w:val="000A3342"/>
    <w:rsid w:val="000A337E"/>
    <w:rsid w:val="000A33AA"/>
    <w:rsid w:val="000A34E2"/>
    <w:rsid w:val="000A35F3"/>
    <w:rsid w:val="000A375D"/>
    <w:rsid w:val="000A3865"/>
    <w:rsid w:val="000A38A7"/>
    <w:rsid w:val="000A390D"/>
    <w:rsid w:val="000A3956"/>
    <w:rsid w:val="000A399D"/>
    <w:rsid w:val="000A3A7F"/>
    <w:rsid w:val="000A3A80"/>
    <w:rsid w:val="000A3A9E"/>
    <w:rsid w:val="000A3E4E"/>
    <w:rsid w:val="000A3FB3"/>
    <w:rsid w:val="000A3FBD"/>
    <w:rsid w:val="000A3FD8"/>
    <w:rsid w:val="000A40F1"/>
    <w:rsid w:val="000A4250"/>
    <w:rsid w:val="000A44CD"/>
    <w:rsid w:val="000A451A"/>
    <w:rsid w:val="000A47BB"/>
    <w:rsid w:val="000A4813"/>
    <w:rsid w:val="000A48DC"/>
    <w:rsid w:val="000A498B"/>
    <w:rsid w:val="000A49D7"/>
    <w:rsid w:val="000A4ACD"/>
    <w:rsid w:val="000A4AD6"/>
    <w:rsid w:val="000A4ED4"/>
    <w:rsid w:val="000A505D"/>
    <w:rsid w:val="000A5351"/>
    <w:rsid w:val="000A5362"/>
    <w:rsid w:val="000A53FE"/>
    <w:rsid w:val="000A54B8"/>
    <w:rsid w:val="000A56A9"/>
    <w:rsid w:val="000A58DB"/>
    <w:rsid w:val="000A5D08"/>
    <w:rsid w:val="000A632B"/>
    <w:rsid w:val="000A64F0"/>
    <w:rsid w:val="000A65F5"/>
    <w:rsid w:val="000A66AF"/>
    <w:rsid w:val="000A6775"/>
    <w:rsid w:val="000A6876"/>
    <w:rsid w:val="000A6BE5"/>
    <w:rsid w:val="000A6C10"/>
    <w:rsid w:val="000A6DCC"/>
    <w:rsid w:val="000A6E2F"/>
    <w:rsid w:val="000A6E97"/>
    <w:rsid w:val="000A6F96"/>
    <w:rsid w:val="000A6FE2"/>
    <w:rsid w:val="000A7029"/>
    <w:rsid w:val="000A70A2"/>
    <w:rsid w:val="000A7183"/>
    <w:rsid w:val="000A722D"/>
    <w:rsid w:val="000A735B"/>
    <w:rsid w:val="000A74C2"/>
    <w:rsid w:val="000A757D"/>
    <w:rsid w:val="000A75B2"/>
    <w:rsid w:val="000A779D"/>
    <w:rsid w:val="000A77A4"/>
    <w:rsid w:val="000A77D5"/>
    <w:rsid w:val="000A790B"/>
    <w:rsid w:val="000A7915"/>
    <w:rsid w:val="000A7A2A"/>
    <w:rsid w:val="000A7A76"/>
    <w:rsid w:val="000A7A86"/>
    <w:rsid w:val="000A7ADA"/>
    <w:rsid w:val="000A7C45"/>
    <w:rsid w:val="000A7D12"/>
    <w:rsid w:val="000A7DC1"/>
    <w:rsid w:val="000B0058"/>
    <w:rsid w:val="000B018B"/>
    <w:rsid w:val="000B035C"/>
    <w:rsid w:val="000B0582"/>
    <w:rsid w:val="000B07C4"/>
    <w:rsid w:val="000B0863"/>
    <w:rsid w:val="000B08B2"/>
    <w:rsid w:val="000B0B90"/>
    <w:rsid w:val="000B0E1B"/>
    <w:rsid w:val="000B0F8A"/>
    <w:rsid w:val="000B0FCD"/>
    <w:rsid w:val="000B1065"/>
    <w:rsid w:val="000B1068"/>
    <w:rsid w:val="000B1301"/>
    <w:rsid w:val="000B1460"/>
    <w:rsid w:val="000B175E"/>
    <w:rsid w:val="000B1977"/>
    <w:rsid w:val="000B1CF2"/>
    <w:rsid w:val="000B1D79"/>
    <w:rsid w:val="000B1F09"/>
    <w:rsid w:val="000B1F17"/>
    <w:rsid w:val="000B20F5"/>
    <w:rsid w:val="000B2135"/>
    <w:rsid w:val="000B2200"/>
    <w:rsid w:val="000B23F9"/>
    <w:rsid w:val="000B27CA"/>
    <w:rsid w:val="000B2939"/>
    <w:rsid w:val="000B2B13"/>
    <w:rsid w:val="000B2BEA"/>
    <w:rsid w:val="000B2E60"/>
    <w:rsid w:val="000B318F"/>
    <w:rsid w:val="000B31CC"/>
    <w:rsid w:val="000B338E"/>
    <w:rsid w:val="000B34A2"/>
    <w:rsid w:val="000B35C3"/>
    <w:rsid w:val="000B390E"/>
    <w:rsid w:val="000B3A30"/>
    <w:rsid w:val="000B3B2B"/>
    <w:rsid w:val="000B3B9E"/>
    <w:rsid w:val="000B3BD8"/>
    <w:rsid w:val="000B3CC3"/>
    <w:rsid w:val="000B3E27"/>
    <w:rsid w:val="000B3E38"/>
    <w:rsid w:val="000B3E7E"/>
    <w:rsid w:val="000B3F24"/>
    <w:rsid w:val="000B3F77"/>
    <w:rsid w:val="000B3FE8"/>
    <w:rsid w:val="000B44B9"/>
    <w:rsid w:val="000B47A6"/>
    <w:rsid w:val="000B4891"/>
    <w:rsid w:val="000B4C15"/>
    <w:rsid w:val="000B4E6C"/>
    <w:rsid w:val="000B4E8D"/>
    <w:rsid w:val="000B4EA2"/>
    <w:rsid w:val="000B4F46"/>
    <w:rsid w:val="000B50D1"/>
    <w:rsid w:val="000B51A4"/>
    <w:rsid w:val="000B53C0"/>
    <w:rsid w:val="000B54B5"/>
    <w:rsid w:val="000B5835"/>
    <w:rsid w:val="000B598E"/>
    <w:rsid w:val="000B5A0E"/>
    <w:rsid w:val="000B5A43"/>
    <w:rsid w:val="000B5B61"/>
    <w:rsid w:val="000B5E2E"/>
    <w:rsid w:val="000B6190"/>
    <w:rsid w:val="000B622C"/>
    <w:rsid w:val="000B65AC"/>
    <w:rsid w:val="000B687C"/>
    <w:rsid w:val="000B68DB"/>
    <w:rsid w:val="000B6BA0"/>
    <w:rsid w:val="000B6BC9"/>
    <w:rsid w:val="000B6C75"/>
    <w:rsid w:val="000B6D75"/>
    <w:rsid w:val="000B6E21"/>
    <w:rsid w:val="000B6ED5"/>
    <w:rsid w:val="000B6F53"/>
    <w:rsid w:val="000B7117"/>
    <w:rsid w:val="000B742D"/>
    <w:rsid w:val="000B7445"/>
    <w:rsid w:val="000B7549"/>
    <w:rsid w:val="000B7783"/>
    <w:rsid w:val="000B7792"/>
    <w:rsid w:val="000B77FA"/>
    <w:rsid w:val="000B780C"/>
    <w:rsid w:val="000B7848"/>
    <w:rsid w:val="000B78AD"/>
    <w:rsid w:val="000B78B4"/>
    <w:rsid w:val="000B78E5"/>
    <w:rsid w:val="000B7B93"/>
    <w:rsid w:val="000B7B95"/>
    <w:rsid w:val="000B7BBF"/>
    <w:rsid w:val="000B7E00"/>
    <w:rsid w:val="000B7E9C"/>
    <w:rsid w:val="000B7F16"/>
    <w:rsid w:val="000B7F52"/>
    <w:rsid w:val="000C0012"/>
    <w:rsid w:val="000C0068"/>
    <w:rsid w:val="000C0364"/>
    <w:rsid w:val="000C05A1"/>
    <w:rsid w:val="000C0705"/>
    <w:rsid w:val="000C07B0"/>
    <w:rsid w:val="000C085B"/>
    <w:rsid w:val="000C08F0"/>
    <w:rsid w:val="000C08FA"/>
    <w:rsid w:val="000C098B"/>
    <w:rsid w:val="000C0B40"/>
    <w:rsid w:val="000C0B4F"/>
    <w:rsid w:val="000C0EAD"/>
    <w:rsid w:val="000C0F7B"/>
    <w:rsid w:val="000C1248"/>
    <w:rsid w:val="000C1332"/>
    <w:rsid w:val="000C134E"/>
    <w:rsid w:val="000C13E3"/>
    <w:rsid w:val="000C156C"/>
    <w:rsid w:val="000C167C"/>
    <w:rsid w:val="000C17F0"/>
    <w:rsid w:val="000C1832"/>
    <w:rsid w:val="000C188C"/>
    <w:rsid w:val="000C1BB8"/>
    <w:rsid w:val="000C1C86"/>
    <w:rsid w:val="000C1E01"/>
    <w:rsid w:val="000C1E8C"/>
    <w:rsid w:val="000C1F46"/>
    <w:rsid w:val="000C200F"/>
    <w:rsid w:val="000C2099"/>
    <w:rsid w:val="000C20D9"/>
    <w:rsid w:val="000C25F1"/>
    <w:rsid w:val="000C2669"/>
    <w:rsid w:val="000C2701"/>
    <w:rsid w:val="000C27D6"/>
    <w:rsid w:val="000C283B"/>
    <w:rsid w:val="000C30A1"/>
    <w:rsid w:val="000C30D5"/>
    <w:rsid w:val="000C30EC"/>
    <w:rsid w:val="000C31A0"/>
    <w:rsid w:val="000C328A"/>
    <w:rsid w:val="000C3357"/>
    <w:rsid w:val="000C345C"/>
    <w:rsid w:val="000C370B"/>
    <w:rsid w:val="000C3749"/>
    <w:rsid w:val="000C37F4"/>
    <w:rsid w:val="000C38DC"/>
    <w:rsid w:val="000C39A4"/>
    <w:rsid w:val="000C3B0A"/>
    <w:rsid w:val="000C3BD9"/>
    <w:rsid w:val="000C3C32"/>
    <w:rsid w:val="000C3CA8"/>
    <w:rsid w:val="000C3D55"/>
    <w:rsid w:val="000C3EA7"/>
    <w:rsid w:val="000C3ED4"/>
    <w:rsid w:val="000C4444"/>
    <w:rsid w:val="000C44A5"/>
    <w:rsid w:val="000C44EA"/>
    <w:rsid w:val="000C4717"/>
    <w:rsid w:val="000C4786"/>
    <w:rsid w:val="000C496F"/>
    <w:rsid w:val="000C49C1"/>
    <w:rsid w:val="000C4B04"/>
    <w:rsid w:val="000C4B0B"/>
    <w:rsid w:val="000C4F2C"/>
    <w:rsid w:val="000C4F93"/>
    <w:rsid w:val="000C508F"/>
    <w:rsid w:val="000C510B"/>
    <w:rsid w:val="000C5266"/>
    <w:rsid w:val="000C5348"/>
    <w:rsid w:val="000C537A"/>
    <w:rsid w:val="000C5424"/>
    <w:rsid w:val="000C552D"/>
    <w:rsid w:val="000C55A8"/>
    <w:rsid w:val="000C56D3"/>
    <w:rsid w:val="000C5896"/>
    <w:rsid w:val="000C58E4"/>
    <w:rsid w:val="000C5C5B"/>
    <w:rsid w:val="000C5DC2"/>
    <w:rsid w:val="000C6155"/>
    <w:rsid w:val="000C61EF"/>
    <w:rsid w:val="000C6430"/>
    <w:rsid w:val="000C6527"/>
    <w:rsid w:val="000C656D"/>
    <w:rsid w:val="000C6616"/>
    <w:rsid w:val="000C6823"/>
    <w:rsid w:val="000C6A21"/>
    <w:rsid w:val="000C6B3D"/>
    <w:rsid w:val="000C6D58"/>
    <w:rsid w:val="000C6E3D"/>
    <w:rsid w:val="000C6EB0"/>
    <w:rsid w:val="000C7097"/>
    <w:rsid w:val="000C70D7"/>
    <w:rsid w:val="000C75B2"/>
    <w:rsid w:val="000C7706"/>
    <w:rsid w:val="000C78F5"/>
    <w:rsid w:val="000C7999"/>
    <w:rsid w:val="000C7A58"/>
    <w:rsid w:val="000C7A74"/>
    <w:rsid w:val="000C7DF8"/>
    <w:rsid w:val="000C7F1B"/>
    <w:rsid w:val="000C7F48"/>
    <w:rsid w:val="000D01DA"/>
    <w:rsid w:val="000D028F"/>
    <w:rsid w:val="000D0292"/>
    <w:rsid w:val="000D0382"/>
    <w:rsid w:val="000D0932"/>
    <w:rsid w:val="000D0A51"/>
    <w:rsid w:val="000D0DA1"/>
    <w:rsid w:val="000D15F5"/>
    <w:rsid w:val="000D1B3D"/>
    <w:rsid w:val="000D1CC7"/>
    <w:rsid w:val="000D1D01"/>
    <w:rsid w:val="000D1E81"/>
    <w:rsid w:val="000D1FD8"/>
    <w:rsid w:val="000D2152"/>
    <w:rsid w:val="000D2206"/>
    <w:rsid w:val="000D2214"/>
    <w:rsid w:val="000D2280"/>
    <w:rsid w:val="000D2339"/>
    <w:rsid w:val="000D23D2"/>
    <w:rsid w:val="000D2538"/>
    <w:rsid w:val="000D26EF"/>
    <w:rsid w:val="000D27D7"/>
    <w:rsid w:val="000D2A87"/>
    <w:rsid w:val="000D2DF2"/>
    <w:rsid w:val="000D2EB0"/>
    <w:rsid w:val="000D2EB2"/>
    <w:rsid w:val="000D2F3B"/>
    <w:rsid w:val="000D31D8"/>
    <w:rsid w:val="000D332D"/>
    <w:rsid w:val="000D358F"/>
    <w:rsid w:val="000D3645"/>
    <w:rsid w:val="000D3768"/>
    <w:rsid w:val="000D37D7"/>
    <w:rsid w:val="000D3909"/>
    <w:rsid w:val="000D3C5B"/>
    <w:rsid w:val="000D3D0D"/>
    <w:rsid w:val="000D3D2D"/>
    <w:rsid w:val="000D3D6A"/>
    <w:rsid w:val="000D3DD0"/>
    <w:rsid w:val="000D3FF8"/>
    <w:rsid w:val="000D4002"/>
    <w:rsid w:val="000D411D"/>
    <w:rsid w:val="000D421D"/>
    <w:rsid w:val="000D4542"/>
    <w:rsid w:val="000D4BC2"/>
    <w:rsid w:val="000D4BCE"/>
    <w:rsid w:val="000D4CE8"/>
    <w:rsid w:val="000D4E41"/>
    <w:rsid w:val="000D4E81"/>
    <w:rsid w:val="000D4E82"/>
    <w:rsid w:val="000D4F77"/>
    <w:rsid w:val="000D50C1"/>
    <w:rsid w:val="000D511A"/>
    <w:rsid w:val="000D52D9"/>
    <w:rsid w:val="000D54E3"/>
    <w:rsid w:val="000D557A"/>
    <w:rsid w:val="000D559A"/>
    <w:rsid w:val="000D5704"/>
    <w:rsid w:val="000D59DE"/>
    <w:rsid w:val="000D5D9E"/>
    <w:rsid w:val="000D5DC8"/>
    <w:rsid w:val="000D5E5E"/>
    <w:rsid w:val="000D5F30"/>
    <w:rsid w:val="000D5F88"/>
    <w:rsid w:val="000D5FD5"/>
    <w:rsid w:val="000D5FDD"/>
    <w:rsid w:val="000D6136"/>
    <w:rsid w:val="000D619F"/>
    <w:rsid w:val="000D6343"/>
    <w:rsid w:val="000D653B"/>
    <w:rsid w:val="000D6714"/>
    <w:rsid w:val="000D68BD"/>
    <w:rsid w:val="000D69D1"/>
    <w:rsid w:val="000D6B35"/>
    <w:rsid w:val="000D6BA3"/>
    <w:rsid w:val="000D6BBB"/>
    <w:rsid w:val="000D6C34"/>
    <w:rsid w:val="000D6CA4"/>
    <w:rsid w:val="000D6EA1"/>
    <w:rsid w:val="000D7090"/>
    <w:rsid w:val="000D7171"/>
    <w:rsid w:val="000D7248"/>
    <w:rsid w:val="000D7265"/>
    <w:rsid w:val="000D72C0"/>
    <w:rsid w:val="000D72C1"/>
    <w:rsid w:val="000D74AC"/>
    <w:rsid w:val="000D78B2"/>
    <w:rsid w:val="000D7DAA"/>
    <w:rsid w:val="000D7DAF"/>
    <w:rsid w:val="000D7ECB"/>
    <w:rsid w:val="000E00AC"/>
    <w:rsid w:val="000E016B"/>
    <w:rsid w:val="000E01D6"/>
    <w:rsid w:val="000E050B"/>
    <w:rsid w:val="000E051C"/>
    <w:rsid w:val="000E07E7"/>
    <w:rsid w:val="000E0991"/>
    <w:rsid w:val="000E0999"/>
    <w:rsid w:val="000E09EC"/>
    <w:rsid w:val="000E0A91"/>
    <w:rsid w:val="000E0D72"/>
    <w:rsid w:val="000E0E60"/>
    <w:rsid w:val="000E0E6E"/>
    <w:rsid w:val="000E0EE9"/>
    <w:rsid w:val="000E118B"/>
    <w:rsid w:val="000E1236"/>
    <w:rsid w:val="000E1370"/>
    <w:rsid w:val="000E13EC"/>
    <w:rsid w:val="000E14DD"/>
    <w:rsid w:val="000E14F0"/>
    <w:rsid w:val="000E151B"/>
    <w:rsid w:val="000E1732"/>
    <w:rsid w:val="000E189C"/>
    <w:rsid w:val="000E190A"/>
    <w:rsid w:val="000E1A90"/>
    <w:rsid w:val="000E1C16"/>
    <w:rsid w:val="000E1C3E"/>
    <w:rsid w:val="000E1FBB"/>
    <w:rsid w:val="000E2015"/>
    <w:rsid w:val="000E2103"/>
    <w:rsid w:val="000E212A"/>
    <w:rsid w:val="000E22BD"/>
    <w:rsid w:val="000E252F"/>
    <w:rsid w:val="000E2554"/>
    <w:rsid w:val="000E25BF"/>
    <w:rsid w:val="000E28F2"/>
    <w:rsid w:val="000E2A1F"/>
    <w:rsid w:val="000E2C70"/>
    <w:rsid w:val="000E2D46"/>
    <w:rsid w:val="000E2FF9"/>
    <w:rsid w:val="000E3108"/>
    <w:rsid w:val="000E31CB"/>
    <w:rsid w:val="000E3346"/>
    <w:rsid w:val="000E347D"/>
    <w:rsid w:val="000E348E"/>
    <w:rsid w:val="000E34E6"/>
    <w:rsid w:val="000E34F2"/>
    <w:rsid w:val="000E3510"/>
    <w:rsid w:val="000E3580"/>
    <w:rsid w:val="000E3768"/>
    <w:rsid w:val="000E38B5"/>
    <w:rsid w:val="000E3A5F"/>
    <w:rsid w:val="000E3B13"/>
    <w:rsid w:val="000E3E86"/>
    <w:rsid w:val="000E3FB5"/>
    <w:rsid w:val="000E3FDF"/>
    <w:rsid w:val="000E41D7"/>
    <w:rsid w:val="000E42C0"/>
    <w:rsid w:val="000E4301"/>
    <w:rsid w:val="000E4566"/>
    <w:rsid w:val="000E4597"/>
    <w:rsid w:val="000E4772"/>
    <w:rsid w:val="000E495D"/>
    <w:rsid w:val="000E49B2"/>
    <w:rsid w:val="000E4ABE"/>
    <w:rsid w:val="000E4B43"/>
    <w:rsid w:val="000E4F06"/>
    <w:rsid w:val="000E51CA"/>
    <w:rsid w:val="000E57C6"/>
    <w:rsid w:val="000E5AAA"/>
    <w:rsid w:val="000E5B2A"/>
    <w:rsid w:val="000E5BFD"/>
    <w:rsid w:val="000E5D7D"/>
    <w:rsid w:val="000E5E46"/>
    <w:rsid w:val="000E5EDD"/>
    <w:rsid w:val="000E5F4D"/>
    <w:rsid w:val="000E5F4E"/>
    <w:rsid w:val="000E6237"/>
    <w:rsid w:val="000E6347"/>
    <w:rsid w:val="000E6783"/>
    <w:rsid w:val="000E6861"/>
    <w:rsid w:val="000E68CF"/>
    <w:rsid w:val="000E6952"/>
    <w:rsid w:val="000E69D2"/>
    <w:rsid w:val="000E69E5"/>
    <w:rsid w:val="000E69E8"/>
    <w:rsid w:val="000E6CE3"/>
    <w:rsid w:val="000E6E84"/>
    <w:rsid w:val="000E6E94"/>
    <w:rsid w:val="000E6EF3"/>
    <w:rsid w:val="000E7129"/>
    <w:rsid w:val="000E72B0"/>
    <w:rsid w:val="000E746A"/>
    <w:rsid w:val="000E74C7"/>
    <w:rsid w:val="000E75B3"/>
    <w:rsid w:val="000E779A"/>
    <w:rsid w:val="000E77BB"/>
    <w:rsid w:val="000E7AEB"/>
    <w:rsid w:val="000E7C00"/>
    <w:rsid w:val="000E7CFB"/>
    <w:rsid w:val="000E7D97"/>
    <w:rsid w:val="000E7E6D"/>
    <w:rsid w:val="000E7E9E"/>
    <w:rsid w:val="000EB501"/>
    <w:rsid w:val="000F012B"/>
    <w:rsid w:val="000F01F1"/>
    <w:rsid w:val="000F02E1"/>
    <w:rsid w:val="000F03C1"/>
    <w:rsid w:val="000F042F"/>
    <w:rsid w:val="000F0639"/>
    <w:rsid w:val="000F080F"/>
    <w:rsid w:val="000F0884"/>
    <w:rsid w:val="000F0A90"/>
    <w:rsid w:val="000F0BAC"/>
    <w:rsid w:val="000F0C06"/>
    <w:rsid w:val="000F0CAA"/>
    <w:rsid w:val="000F0E93"/>
    <w:rsid w:val="000F1017"/>
    <w:rsid w:val="000F1037"/>
    <w:rsid w:val="000F10A0"/>
    <w:rsid w:val="000F10E1"/>
    <w:rsid w:val="000F122E"/>
    <w:rsid w:val="000F12D8"/>
    <w:rsid w:val="000F14A0"/>
    <w:rsid w:val="000F14B7"/>
    <w:rsid w:val="000F1559"/>
    <w:rsid w:val="000F176F"/>
    <w:rsid w:val="000F17A0"/>
    <w:rsid w:val="000F1838"/>
    <w:rsid w:val="000F19DF"/>
    <w:rsid w:val="000F1B31"/>
    <w:rsid w:val="000F1CA2"/>
    <w:rsid w:val="000F1D9C"/>
    <w:rsid w:val="000F1DFC"/>
    <w:rsid w:val="000F2106"/>
    <w:rsid w:val="000F21E9"/>
    <w:rsid w:val="000F2201"/>
    <w:rsid w:val="000F22A9"/>
    <w:rsid w:val="000F22FA"/>
    <w:rsid w:val="000F26AA"/>
    <w:rsid w:val="000F277F"/>
    <w:rsid w:val="000F27D4"/>
    <w:rsid w:val="000F2836"/>
    <w:rsid w:val="000F2897"/>
    <w:rsid w:val="000F2A0A"/>
    <w:rsid w:val="000F2A10"/>
    <w:rsid w:val="000F2A3B"/>
    <w:rsid w:val="000F2B6B"/>
    <w:rsid w:val="000F2C38"/>
    <w:rsid w:val="000F2D10"/>
    <w:rsid w:val="000F2D37"/>
    <w:rsid w:val="000F2D54"/>
    <w:rsid w:val="000F2D8B"/>
    <w:rsid w:val="000F2E21"/>
    <w:rsid w:val="000F312E"/>
    <w:rsid w:val="000F32C4"/>
    <w:rsid w:val="000F32FD"/>
    <w:rsid w:val="000F35C5"/>
    <w:rsid w:val="000F384A"/>
    <w:rsid w:val="000F3A58"/>
    <w:rsid w:val="000F3CDA"/>
    <w:rsid w:val="000F3CF6"/>
    <w:rsid w:val="000F3ED7"/>
    <w:rsid w:val="000F3F1B"/>
    <w:rsid w:val="000F3FC8"/>
    <w:rsid w:val="000F4039"/>
    <w:rsid w:val="000F4537"/>
    <w:rsid w:val="000F45AE"/>
    <w:rsid w:val="000F46D7"/>
    <w:rsid w:val="000F4D3A"/>
    <w:rsid w:val="000F50A6"/>
    <w:rsid w:val="000F5187"/>
    <w:rsid w:val="000F524A"/>
    <w:rsid w:val="000F52AC"/>
    <w:rsid w:val="000F53F1"/>
    <w:rsid w:val="000F549B"/>
    <w:rsid w:val="000F59BB"/>
    <w:rsid w:val="000F5A29"/>
    <w:rsid w:val="000F5B0B"/>
    <w:rsid w:val="000F5BE7"/>
    <w:rsid w:val="000F5D8C"/>
    <w:rsid w:val="000F5DDD"/>
    <w:rsid w:val="000F5F15"/>
    <w:rsid w:val="000F5FA3"/>
    <w:rsid w:val="000F6110"/>
    <w:rsid w:val="000F62F7"/>
    <w:rsid w:val="000F64C7"/>
    <w:rsid w:val="000F69DF"/>
    <w:rsid w:val="000F6A23"/>
    <w:rsid w:val="000F6A88"/>
    <w:rsid w:val="000F6B12"/>
    <w:rsid w:val="000F6B37"/>
    <w:rsid w:val="000F6C92"/>
    <w:rsid w:val="000F6E92"/>
    <w:rsid w:val="000F72C9"/>
    <w:rsid w:val="000F7384"/>
    <w:rsid w:val="000F74F9"/>
    <w:rsid w:val="000F760D"/>
    <w:rsid w:val="000F7735"/>
    <w:rsid w:val="000F781F"/>
    <w:rsid w:val="000F787A"/>
    <w:rsid w:val="000F788C"/>
    <w:rsid w:val="000F7C6F"/>
    <w:rsid w:val="000F7C75"/>
    <w:rsid w:val="000F7E73"/>
    <w:rsid w:val="000F7F29"/>
    <w:rsid w:val="000F7F2A"/>
    <w:rsid w:val="00100047"/>
    <w:rsid w:val="001001F7"/>
    <w:rsid w:val="00100342"/>
    <w:rsid w:val="001003ED"/>
    <w:rsid w:val="00100460"/>
    <w:rsid w:val="00100553"/>
    <w:rsid w:val="001005BF"/>
    <w:rsid w:val="001006AF"/>
    <w:rsid w:val="00100704"/>
    <w:rsid w:val="00100776"/>
    <w:rsid w:val="0010097C"/>
    <w:rsid w:val="00100C1C"/>
    <w:rsid w:val="00100CA7"/>
    <w:rsid w:val="00100DAA"/>
    <w:rsid w:val="00100F12"/>
    <w:rsid w:val="00100F29"/>
    <w:rsid w:val="00100F6A"/>
    <w:rsid w:val="0010109C"/>
    <w:rsid w:val="001011BE"/>
    <w:rsid w:val="0010123B"/>
    <w:rsid w:val="001013BD"/>
    <w:rsid w:val="001013DC"/>
    <w:rsid w:val="00101419"/>
    <w:rsid w:val="001016E1"/>
    <w:rsid w:val="001016E6"/>
    <w:rsid w:val="00101777"/>
    <w:rsid w:val="00101800"/>
    <w:rsid w:val="00101880"/>
    <w:rsid w:val="001018A4"/>
    <w:rsid w:val="00101999"/>
    <w:rsid w:val="00101B3F"/>
    <w:rsid w:val="00101BCC"/>
    <w:rsid w:val="00101C8E"/>
    <w:rsid w:val="00101D05"/>
    <w:rsid w:val="00101DB6"/>
    <w:rsid w:val="00101FFE"/>
    <w:rsid w:val="001020E2"/>
    <w:rsid w:val="001020F0"/>
    <w:rsid w:val="001021CE"/>
    <w:rsid w:val="001022EC"/>
    <w:rsid w:val="001023F5"/>
    <w:rsid w:val="00102473"/>
    <w:rsid w:val="001024A3"/>
    <w:rsid w:val="001024F0"/>
    <w:rsid w:val="0010259E"/>
    <w:rsid w:val="00102631"/>
    <w:rsid w:val="001027B3"/>
    <w:rsid w:val="0010289F"/>
    <w:rsid w:val="00102905"/>
    <w:rsid w:val="00102AAC"/>
    <w:rsid w:val="00102BBC"/>
    <w:rsid w:val="00102C0C"/>
    <w:rsid w:val="00102D67"/>
    <w:rsid w:val="00102DDD"/>
    <w:rsid w:val="00102F15"/>
    <w:rsid w:val="001030C4"/>
    <w:rsid w:val="00103138"/>
    <w:rsid w:val="00103303"/>
    <w:rsid w:val="0010336A"/>
    <w:rsid w:val="0010337E"/>
    <w:rsid w:val="001034E2"/>
    <w:rsid w:val="0010355B"/>
    <w:rsid w:val="0010359D"/>
    <w:rsid w:val="001035EB"/>
    <w:rsid w:val="001037EA"/>
    <w:rsid w:val="001038FC"/>
    <w:rsid w:val="00103939"/>
    <w:rsid w:val="00103967"/>
    <w:rsid w:val="00103B21"/>
    <w:rsid w:val="00103C50"/>
    <w:rsid w:val="00103C64"/>
    <w:rsid w:val="00103E1F"/>
    <w:rsid w:val="00103FA7"/>
    <w:rsid w:val="00104013"/>
    <w:rsid w:val="00104262"/>
    <w:rsid w:val="00104443"/>
    <w:rsid w:val="001045EE"/>
    <w:rsid w:val="00104697"/>
    <w:rsid w:val="001047E3"/>
    <w:rsid w:val="001047EB"/>
    <w:rsid w:val="00104870"/>
    <w:rsid w:val="00104D4C"/>
    <w:rsid w:val="00104DF4"/>
    <w:rsid w:val="00104EB1"/>
    <w:rsid w:val="0010529F"/>
    <w:rsid w:val="0010544B"/>
    <w:rsid w:val="001055EB"/>
    <w:rsid w:val="001056E2"/>
    <w:rsid w:val="00105A6B"/>
    <w:rsid w:val="00105B98"/>
    <w:rsid w:val="00105DC9"/>
    <w:rsid w:val="00105DD1"/>
    <w:rsid w:val="00105E78"/>
    <w:rsid w:val="001060F4"/>
    <w:rsid w:val="00106199"/>
    <w:rsid w:val="00106270"/>
    <w:rsid w:val="001062E5"/>
    <w:rsid w:val="00106302"/>
    <w:rsid w:val="00106332"/>
    <w:rsid w:val="001064FE"/>
    <w:rsid w:val="001066E5"/>
    <w:rsid w:val="00106B53"/>
    <w:rsid w:val="00106B60"/>
    <w:rsid w:val="00106D6B"/>
    <w:rsid w:val="00106D75"/>
    <w:rsid w:val="00106F1D"/>
    <w:rsid w:val="00106F40"/>
    <w:rsid w:val="001071F3"/>
    <w:rsid w:val="0010733C"/>
    <w:rsid w:val="00107361"/>
    <w:rsid w:val="00107413"/>
    <w:rsid w:val="001076CA"/>
    <w:rsid w:val="001076FE"/>
    <w:rsid w:val="0010794E"/>
    <w:rsid w:val="00107984"/>
    <w:rsid w:val="0010799C"/>
    <w:rsid w:val="001079D2"/>
    <w:rsid w:val="00107A48"/>
    <w:rsid w:val="00107EE8"/>
    <w:rsid w:val="00110245"/>
    <w:rsid w:val="00110595"/>
    <w:rsid w:val="001106A9"/>
    <w:rsid w:val="0011089B"/>
    <w:rsid w:val="00110B17"/>
    <w:rsid w:val="00110D13"/>
    <w:rsid w:val="00110DC9"/>
    <w:rsid w:val="00110E1B"/>
    <w:rsid w:val="00110F5D"/>
    <w:rsid w:val="00110F6F"/>
    <w:rsid w:val="00110F9E"/>
    <w:rsid w:val="00110FDC"/>
    <w:rsid w:val="00111108"/>
    <w:rsid w:val="00111191"/>
    <w:rsid w:val="001115BF"/>
    <w:rsid w:val="0011168B"/>
    <w:rsid w:val="00111A45"/>
    <w:rsid w:val="00111B65"/>
    <w:rsid w:val="00111BC4"/>
    <w:rsid w:val="00111BF6"/>
    <w:rsid w:val="00111BFB"/>
    <w:rsid w:val="00111C07"/>
    <w:rsid w:val="00111D93"/>
    <w:rsid w:val="00111E68"/>
    <w:rsid w:val="00111E84"/>
    <w:rsid w:val="00111E96"/>
    <w:rsid w:val="00111F17"/>
    <w:rsid w:val="00112018"/>
    <w:rsid w:val="001122D4"/>
    <w:rsid w:val="001122E7"/>
    <w:rsid w:val="0011236E"/>
    <w:rsid w:val="00112411"/>
    <w:rsid w:val="00112441"/>
    <w:rsid w:val="00112512"/>
    <w:rsid w:val="001125A2"/>
    <w:rsid w:val="0011274F"/>
    <w:rsid w:val="001128E5"/>
    <w:rsid w:val="00112C2A"/>
    <w:rsid w:val="00112E9A"/>
    <w:rsid w:val="00112EF9"/>
    <w:rsid w:val="00113008"/>
    <w:rsid w:val="0011308C"/>
    <w:rsid w:val="001130A2"/>
    <w:rsid w:val="001131BA"/>
    <w:rsid w:val="001134A9"/>
    <w:rsid w:val="00113506"/>
    <w:rsid w:val="00113517"/>
    <w:rsid w:val="0011363E"/>
    <w:rsid w:val="001137E5"/>
    <w:rsid w:val="0011387A"/>
    <w:rsid w:val="0011387E"/>
    <w:rsid w:val="00113AF4"/>
    <w:rsid w:val="00113C44"/>
    <w:rsid w:val="00113C66"/>
    <w:rsid w:val="00113C87"/>
    <w:rsid w:val="00113E3F"/>
    <w:rsid w:val="00113F0E"/>
    <w:rsid w:val="00114190"/>
    <w:rsid w:val="001141D9"/>
    <w:rsid w:val="001141FF"/>
    <w:rsid w:val="0011426C"/>
    <w:rsid w:val="001142BB"/>
    <w:rsid w:val="0011436B"/>
    <w:rsid w:val="00114419"/>
    <w:rsid w:val="0011449D"/>
    <w:rsid w:val="001144C3"/>
    <w:rsid w:val="00114703"/>
    <w:rsid w:val="00114804"/>
    <w:rsid w:val="001148FF"/>
    <w:rsid w:val="00114B00"/>
    <w:rsid w:val="00114D64"/>
    <w:rsid w:val="00114E60"/>
    <w:rsid w:val="00114E9C"/>
    <w:rsid w:val="0011502B"/>
    <w:rsid w:val="00115091"/>
    <w:rsid w:val="0011548D"/>
    <w:rsid w:val="00115515"/>
    <w:rsid w:val="00115AC1"/>
    <w:rsid w:val="00115CD2"/>
    <w:rsid w:val="00115E2F"/>
    <w:rsid w:val="00115F13"/>
    <w:rsid w:val="0011601E"/>
    <w:rsid w:val="0011617A"/>
    <w:rsid w:val="001163DC"/>
    <w:rsid w:val="0011665E"/>
    <w:rsid w:val="00116709"/>
    <w:rsid w:val="0011677E"/>
    <w:rsid w:val="0011678D"/>
    <w:rsid w:val="001167FD"/>
    <w:rsid w:val="00116802"/>
    <w:rsid w:val="00116806"/>
    <w:rsid w:val="001169CC"/>
    <w:rsid w:val="00116A70"/>
    <w:rsid w:val="00116AC3"/>
    <w:rsid w:val="00116BDC"/>
    <w:rsid w:val="00116C6A"/>
    <w:rsid w:val="00116D01"/>
    <w:rsid w:val="00116DA0"/>
    <w:rsid w:val="00116E33"/>
    <w:rsid w:val="00116E7F"/>
    <w:rsid w:val="00116EB8"/>
    <w:rsid w:val="00116EF8"/>
    <w:rsid w:val="00117069"/>
    <w:rsid w:val="0011715B"/>
    <w:rsid w:val="00117290"/>
    <w:rsid w:val="001174C6"/>
    <w:rsid w:val="001174CC"/>
    <w:rsid w:val="00117553"/>
    <w:rsid w:val="001179B3"/>
    <w:rsid w:val="00117A47"/>
    <w:rsid w:val="00117AC7"/>
    <w:rsid w:val="00117B72"/>
    <w:rsid w:val="00117F2D"/>
    <w:rsid w:val="0011C2C1"/>
    <w:rsid w:val="001200CF"/>
    <w:rsid w:val="001202A0"/>
    <w:rsid w:val="00120353"/>
    <w:rsid w:val="001203C9"/>
    <w:rsid w:val="0012042D"/>
    <w:rsid w:val="00120481"/>
    <w:rsid w:val="00120580"/>
    <w:rsid w:val="0012065E"/>
    <w:rsid w:val="00120716"/>
    <w:rsid w:val="001208E9"/>
    <w:rsid w:val="001208EB"/>
    <w:rsid w:val="00120A0C"/>
    <w:rsid w:val="00120BE0"/>
    <w:rsid w:val="00120E6E"/>
    <w:rsid w:val="00120F77"/>
    <w:rsid w:val="001211B9"/>
    <w:rsid w:val="00121366"/>
    <w:rsid w:val="001213BF"/>
    <w:rsid w:val="001214D2"/>
    <w:rsid w:val="00121564"/>
    <w:rsid w:val="001216B4"/>
    <w:rsid w:val="001218EC"/>
    <w:rsid w:val="0012204B"/>
    <w:rsid w:val="001221EE"/>
    <w:rsid w:val="00122466"/>
    <w:rsid w:val="0012282D"/>
    <w:rsid w:val="00122B21"/>
    <w:rsid w:val="00122B58"/>
    <w:rsid w:val="00122BA7"/>
    <w:rsid w:val="00122CD8"/>
    <w:rsid w:val="00122FB7"/>
    <w:rsid w:val="00122FDE"/>
    <w:rsid w:val="00123058"/>
    <w:rsid w:val="001234F7"/>
    <w:rsid w:val="001237FE"/>
    <w:rsid w:val="001238AF"/>
    <w:rsid w:val="001238C9"/>
    <w:rsid w:val="00123933"/>
    <w:rsid w:val="00123A42"/>
    <w:rsid w:val="00123B22"/>
    <w:rsid w:val="00123BC8"/>
    <w:rsid w:val="00123C6A"/>
    <w:rsid w:val="00123F6A"/>
    <w:rsid w:val="00124041"/>
    <w:rsid w:val="001240AD"/>
    <w:rsid w:val="001243EF"/>
    <w:rsid w:val="00124413"/>
    <w:rsid w:val="00124517"/>
    <w:rsid w:val="00124587"/>
    <w:rsid w:val="001246F2"/>
    <w:rsid w:val="00124741"/>
    <w:rsid w:val="0012477D"/>
    <w:rsid w:val="001247D5"/>
    <w:rsid w:val="0012491F"/>
    <w:rsid w:val="00124A71"/>
    <w:rsid w:val="00124B3C"/>
    <w:rsid w:val="00124C29"/>
    <w:rsid w:val="00124CE3"/>
    <w:rsid w:val="00124DE4"/>
    <w:rsid w:val="00125040"/>
    <w:rsid w:val="0012530F"/>
    <w:rsid w:val="00125498"/>
    <w:rsid w:val="001254A7"/>
    <w:rsid w:val="00125538"/>
    <w:rsid w:val="001256CA"/>
    <w:rsid w:val="0012591B"/>
    <w:rsid w:val="0012597F"/>
    <w:rsid w:val="00125A48"/>
    <w:rsid w:val="00125A96"/>
    <w:rsid w:val="00125D25"/>
    <w:rsid w:val="00125D5F"/>
    <w:rsid w:val="00125D81"/>
    <w:rsid w:val="00125DA5"/>
    <w:rsid w:val="00125F27"/>
    <w:rsid w:val="00125F42"/>
    <w:rsid w:val="00126161"/>
    <w:rsid w:val="00126412"/>
    <w:rsid w:val="00126576"/>
    <w:rsid w:val="001266A5"/>
    <w:rsid w:val="001266D8"/>
    <w:rsid w:val="0012670B"/>
    <w:rsid w:val="001267F1"/>
    <w:rsid w:val="00126839"/>
    <w:rsid w:val="00126A56"/>
    <w:rsid w:val="00126CA2"/>
    <w:rsid w:val="00126D21"/>
    <w:rsid w:val="00126E60"/>
    <w:rsid w:val="00126F43"/>
    <w:rsid w:val="00127100"/>
    <w:rsid w:val="0012719E"/>
    <w:rsid w:val="001271EC"/>
    <w:rsid w:val="00127455"/>
    <w:rsid w:val="00127541"/>
    <w:rsid w:val="00127543"/>
    <w:rsid w:val="001277CA"/>
    <w:rsid w:val="00127A56"/>
    <w:rsid w:val="00127BB0"/>
    <w:rsid w:val="00127DF8"/>
    <w:rsid w:val="00127E4A"/>
    <w:rsid w:val="001302A2"/>
    <w:rsid w:val="001304C7"/>
    <w:rsid w:val="001304CF"/>
    <w:rsid w:val="001305DD"/>
    <w:rsid w:val="00130702"/>
    <w:rsid w:val="001307A9"/>
    <w:rsid w:val="00130927"/>
    <w:rsid w:val="0013095F"/>
    <w:rsid w:val="00130EA2"/>
    <w:rsid w:val="00130EA9"/>
    <w:rsid w:val="00130F4F"/>
    <w:rsid w:val="001312B9"/>
    <w:rsid w:val="001314D5"/>
    <w:rsid w:val="0013166D"/>
    <w:rsid w:val="001316C5"/>
    <w:rsid w:val="001316F5"/>
    <w:rsid w:val="00131755"/>
    <w:rsid w:val="0013189D"/>
    <w:rsid w:val="00131986"/>
    <w:rsid w:val="001319A9"/>
    <w:rsid w:val="00131A45"/>
    <w:rsid w:val="00131AE4"/>
    <w:rsid w:val="00131B05"/>
    <w:rsid w:val="00131D33"/>
    <w:rsid w:val="00131DAC"/>
    <w:rsid w:val="00131E64"/>
    <w:rsid w:val="00132371"/>
    <w:rsid w:val="0013239C"/>
    <w:rsid w:val="00132633"/>
    <w:rsid w:val="0013291A"/>
    <w:rsid w:val="00132923"/>
    <w:rsid w:val="00132AC6"/>
    <w:rsid w:val="00132BAE"/>
    <w:rsid w:val="00132C8B"/>
    <w:rsid w:val="00132DD5"/>
    <w:rsid w:val="00132EEE"/>
    <w:rsid w:val="00133033"/>
    <w:rsid w:val="00133210"/>
    <w:rsid w:val="0013367C"/>
    <w:rsid w:val="00133720"/>
    <w:rsid w:val="001337DF"/>
    <w:rsid w:val="00133839"/>
    <w:rsid w:val="00133C38"/>
    <w:rsid w:val="00133DCE"/>
    <w:rsid w:val="00133E60"/>
    <w:rsid w:val="00133FA1"/>
    <w:rsid w:val="001340B8"/>
    <w:rsid w:val="0013426E"/>
    <w:rsid w:val="00134379"/>
    <w:rsid w:val="0013455D"/>
    <w:rsid w:val="0013481B"/>
    <w:rsid w:val="00134A20"/>
    <w:rsid w:val="00134A41"/>
    <w:rsid w:val="00134BC2"/>
    <w:rsid w:val="00134C39"/>
    <w:rsid w:val="00134D34"/>
    <w:rsid w:val="00134E8B"/>
    <w:rsid w:val="001352BC"/>
    <w:rsid w:val="001352F7"/>
    <w:rsid w:val="001353D4"/>
    <w:rsid w:val="00135498"/>
    <w:rsid w:val="001354A1"/>
    <w:rsid w:val="0013552D"/>
    <w:rsid w:val="0013560E"/>
    <w:rsid w:val="00135834"/>
    <w:rsid w:val="001358C7"/>
    <w:rsid w:val="001358FA"/>
    <w:rsid w:val="0013599C"/>
    <w:rsid w:val="00135C95"/>
    <w:rsid w:val="00135D10"/>
    <w:rsid w:val="00135DD2"/>
    <w:rsid w:val="00135E14"/>
    <w:rsid w:val="001360AC"/>
    <w:rsid w:val="0013611B"/>
    <w:rsid w:val="0013651F"/>
    <w:rsid w:val="001365AD"/>
    <w:rsid w:val="001365CC"/>
    <w:rsid w:val="001365FD"/>
    <w:rsid w:val="0013663C"/>
    <w:rsid w:val="00136646"/>
    <w:rsid w:val="0013685B"/>
    <w:rsid w:val="0013686F"/>
    <w:rsid w:val="00136B9A"/>
    <w:rsid w:val="00136E41"/>
    <w:rsid w:val="001370AE"/>
    <w:rsid w:val="00137107"/>
    <w:rsid w:val="0013726F"/>
    <w:rsid w:val="00137274"/>
    <w:rsid w:val="00137331"/>
    <w:rsid w:val="0013783D"/>
    <w:rsid w:val="00137B87"/>
    <w:rsid w:val="00137CBE"/>
    <w:rsid w:val="00137CCC"/>
    <w:rsid w:val="00137DD2"/>
    <w:rsid w:val="00137FC2"/>
    <w:rsid w:val="00140091"/>
    <w:rsid w:val="0014012B"/>
    <w:rsid w:val="00140133"/>
    <w:rsid w:val="00140207"/>
    <w:rsid w:val="001403EB"/>
    <w:rsid w:val="001404C2"/>
    <w:rsid w:val="001404D5"/>
    <w:rsid w:val="001406B1"/>
    <w:rsid w:val="00140764"/>
    <w:rsid w:val="00140CEB"/>
    <w:rsid w:val="00140D09"/>
    <w:rsid w:val="00140DDE"/>
    <w:rsid w:val="00140F9D"/>
    <w:rsid w:val="00141027"/>
    <w:rsid w:val="0014104E"/>
    <w:rsid w:val="0014124D"/>
    <w:rsid w:val="0014141F"/>
    <w:rsid w:val="001415AE"/>
    <w:rsid w:val="001418D4"/>
    <w:rsid w:val="00141F58"/>
    <w:rsid w:val="0014228A"/>
    <w:rsid w:val="001425EF"/>
    <w:rsid w:val="0014269F"/>
    <w:rsid w:val="001426AF"/>
    <w:rsid w:val="0014273A"/>
    <w:rsid w:val="00142DA1"/>
    <w:rsid w:val="00142E8F"/>
    <w:rsid w:val="00142F94"/>
    <w:rsid w:val="0014300F"/>
    <w:rsid w:val="00143295"/>
    <w:rsid w:val="001432E4"/>
    <w:rsid w:val="001432ED"/>
    <w:rsid w:val="001433F0"/>
    <w:rsid w:val="001436B5"/>
    <w:rsid w:val="00143A6F"/>
    <w:rsid w:val="00143BA1"/>
    <w:rsid w:val="00143DDA"/>
    <w:rsid w:val="00143F6B"/>
    <w:rsid w:val="0014400F"/>
    <w:rsid w:val="00144018"/>
    <w:rsid w:val="001443D6"/>
    <w:rsid w:val="00144789"/>
    <w:rsid w:val="0014478A"/>
    <w:rsid w:val="001447E6"/>
    <w:rsid w:val="00144890"/>
    <w:rsid w:val="00144AD5"/>
    <w:rsid w:val="00144BDD"/>
    <w:rsid w:val="00144C83"/>
    <w:rsid w:val="00144CE8"/>
    <w:rsid w:val="00144FCE"/>
    <w:rsid w:val="00145061"/>
    <w:rsid w:val="0014519A"/>
    <w:rsid w:val="00145222"/>
    <w:rsid w:val="00145386"/>
    <w:rsid w:val="001453A8"/>
    <w:rsid w:val="00145485"/>
    <w:rsid w:val="00145605"/>
    <w:rsid w:val="001457E3"/>
    <w:rsid w:val="00145845"/>
    <w:rsid w:val="0014598D"/>
    <w:rsid w:val="00145B01"/>
    <w:rsid w:val="00145F49"/>
    <w:rsid w:val="00146176"/>
    <w:rsid w:val="00146507"/>
    <w:rsid w:val="00146652"/>
    <w:rsid w:val="001466EA"/>
    <w:rsid w:val="0014675A"/>
    <w:rsid w:val="001468E5"/>
    <w:rsid w:val="00146962"/>
    <w:rsid w:val="001469FC"/>
    <w:rsid w:val="00146A00"/>
    <w:rsid w:val="00146B6F"/>
    <w:rsid w:val="00146E85"/>
    <w:rsid w:val="00146E99"/>
    <w:rsid w:val="001470C4"/>
    <w:rsid w:val="00147350"/>
    <w:rsid w:val="001474CB"/>
    <w:rsid w:val="00147578"/>
    <w:rsid w:val="001475CE"/>
    <w:rsid w:val="00147607"/>
    <w:rsid w:val="00147883"/>
    <w:rsid w:val="001479A4"/>
    <w:rsid w:val="00147ECD"/>
    <w:rsid w:val="00147F20"/>
    <w:rsid w:val="00150129"/>
    <w:rsid w:val="001501FD"/>
    <w:rsid w:val="001503D8"/>
    <w:rsid w:val="00150432"/>
    <w:rsid w:val="001507D1"/>
    <w:rsid w:val="001508AB"/>
    <w:rsid w:val="00150996"/>
    <w:rsid w:val="001509BF"/>
    <w:rsid w:val="00150A30"/>
    <w:rsid w:val="00150BA9"/>
    <w:rsid w:val="00150C5F"/>
    <w:rsid w:val="00150CFA"/>
    <w:rsid w:val="00150DDF"/>
    <w:rsid w:val="00150E27"/>
    <w:rsid w:val="001511E6"/>
    <w:rsid w:val="0015135D"/>
    <w:rsid w:val="00151505"/>
    <w:rsid w:val="00151661"/>
    <w:rsid w:val="001516AC"/>
    <w:rsid w:val="00151804"/>
    <w:rsid w:val="001519ED"/>
    <w:rsid w:val="001519FB"/>
    <w:rsid w:val="00151B42"/>
    <w:rsid w:val="00151B4D"/>
    <w:rsid w:val="00151BE8"/>
    <w:rsid w:val="00151BEC"/>
    <w:rsid w:val="00151D13"/>
    <w:rsid w:val="00151F11"/>
    <w:rsid w:val="00152080"/>
    <w:rsid w:val="00152143"/>
    <w:rsid w:val="00152374"/>
    <w:rsid w:val="0015239A"/>
    <w:rsid w:val="0015248D"/>
    <w:rsid w:val="00152638"/>
    <w:rsid w:val="00152723"/>
    <w:rsid w:val="0015275E"/>
    <w:rsid w:val="001527E0"/>
    <w:rsid w:val="001527FD"/>
    <w:rsid w:val="001527FF"/>
    <w:rsid w:val="0015296D"/>
    <w:rsid w:val="00152A41"/>
    <w:rsid w:val="00152B91"/>
    <w:rsid w:val="00152CC2"/>
    <w:rsid w:val="00152DD6"/>
    <w:rsid w:val="00152E4D"/>
    <w:rsid w:val="00152E58"/>
    <w:rsid w:val="00152E90"/>
    <w:rsid w:val="00152F73"/>
    <w:rsid w:val="00152F8C"/>
    <w:rsid w:val="001530B8"/>
    <w:rsid w:val="0015316E"/>
    <w:rsid w:val="00153252"/>
    <w:rsid w:val="00153376"/>
    <w:rsid w:val="001534C1"/>
    <w:rsid w:val="001537F9"/>
    <w:rsid w:val="00153928"/>
    <w:rsid w:val="00153931"/>
    <w:rsid w:val="00153AD4"/>
    <w:rsid w:val="00153BE3"/>
    <w:rsid w:val="00153BE6"/>
    <w:rsid w:val="00154069"/>
    <w:rsid w:val="001544C4"/>
    <w:rsid w:val="00154550"/>
    <w:rsid w:val="001545AA"/>
    <w:rsid w:val="00154642"/>
    <w:rsid w:val="001546DE"/>
    <w:rsid w:val="00154A2D"/>
    <w:rsid w:val="00154A6F"/>
    <w:rsid w:val="00154AF8"/>
    <w:rsid w:val="00154BE9"/>
    <w:rsid w:val="00154CD0"/>
    <w:rsid w:val="00155063"/>
    <w:rsid w:val="001550D7"/>
    <w:rsid w:val="00155376"/>
    <w:rsid w:val="001553A3"/>
    <w:rsid w:val="001553C9"/>
    <w:rsid w:val="001554CE"/>
    <w:rsid w:val="001554E3"/>
    <w:rsid w:val="0015563F"/>
    <w:rsid w:val="001556AF"/>
    <w:rsid w:val="001556E9"/>
    <w:rsid w:val="00155743"/>
    <w:rsid w:val="001557AD"/>
    <w:rsid w:val="00155AF2"/>
    <w:rsid w:val="00155B01"/>
    <w:rsid w:val="00155BE5"/>
    <w:rsid w:val="00155D73"/>
    <w:rsid w:val="00155F4F"/>
    <w:rsid w:val="00155FE1"/>
    <w:rsid w:val="001563DE"/>
    <w:rsid w:val="00156558"/>
    <w:rsid w:val="001565FE"/>
    <w:rsid w:val="0015692A"/>
    <w:rsid w:val="00156CF3"/>
    <w:rsid w:val="00156E00"/>
    <w:rsid w:val="00156E5C"/>
    <w:rsid w:val="00156ED0"/>
    <w:rsid w:val="001572B1"/>
    <w:rsid w:val="001573CD"/>
    <w:rsid w:val="00157427"/>
    <w:rsid w:val="001574A9"/>
    <w:rsid w:val="001574DD"/>
    <w:rsid w:val="001576CD"/>
    <w:rsid w:val="00157887"/>
    <w:rsid w:val="00157975"/>
    <w:rsid w:val="00157A34"/>
    <w:rsid w:val="00157B68"/>
    <w:rsid w:val="00157BAD"/>
    <w:rsid w:val="00157BBC"/>
    <w:rsid w:val="00157ECB"/>
    <w:rsid w:val="00157ECC"/>
    <w:rsid w:val="001601A2"/>
    <w:rsid w:val="001601C9"/>
    <w:rsid w:val="00160259"/>
    <w:rsid w:val="001603D9"/>
    <w:rsid w:val="00160583"/>
    <w:rsid w:val="00160768"/>
    <w:rsid w:val="00160885"/>
    <w:rsid w:val="00160AA2"/>
    <w:rsid w:val="00160B14"/>
    <w:rsid w:val="00160BB8"/>
    <w:rsid w:val="00160BDB"/>
    <w:rsid w:val="00160E19"/>
    <w:rsid w:val="00160FE2"/>
    <w:rsid w:val="001610E5"/>
    <w:rsid w:val="00161121"/>
    <w:rsid w:val="001612B3"/>
    <w:rsid w:val="001612FA"/>
    <w:rsid w:val="00161353"/>
    <w:rsid w:val="00161428"/>
    <w:rsid w:val="0016158E"/>
    <w:rsid w:val="0016173E"/>
    <w:rsid w:val="001617EC"/>
    <w:rsid w:val="0016186F"/>
    <w:rsid w:val="0016198F"/>
    <w:rsid w:val="00161BEC"/>
    <w:rsid w:val="00161DED"/>
    <w:rsid w:val="00162104"/>
    <w:rsid w:val="00162131"/>
    <w:rsid w:val="00162280"/>
    <w:rsid w:val="0016246E"/>
    <w:rsid w:val="0016276C"/>
    <w:rsid w:val="0016288D"/>
    <w:rsid w:val="00162CBD"/>
    <w:rsid w:val="00162CE8"/>
    <w:rsid w:val="001632D2"/>
    <w:rsid w:val="0016362A"/>
    <w:rsid w:val="0016372C"/>
    <w:rsid w:val="00163894"/>
    <w:rsid w:val="001638F2"/>
    <w:rsid w:val="00163917"/>
    <w:rsid w:val="001639D6"/>
    <w:rsid w:val="001639E7"/>
    <w:rsid w:val="00163B8F"/>
    <w:rsid w:val="00163BD3"/>
    <w:rsid w:val="00163CD3"/>
    <w:rsid w:val="00163D7C"/>
    <w:rsid w:val="00164135"/>
    <w:rsid w:val="00164308"/>
    <w:rsid w:val="00164540"/>
    <w:rsid w:val="00164758"/>
    <w:rsid w:val="0016483E"/>
    <w:rsid w:val="00164932"/>
    <w:rsid w:val="00164970"/>
    <w:rsid w:val="001649C0"/>
    <w:rsid w:val="00164A65"/>
    <w:rsid w:val="00164ADF"/>
    <w:rsid w:val="00164B24"/>
    <w:rsid w:val="00164B75"/>
    <w:rsid w:val="00164BBC"/>
    <w:rsid w:val="001651C3"/>
    <w:rsid w:val="001652B2"/>
    <w:rsid w:val="0016541E"/>
    <w:rsid w:val="00165648"/>
    <w:rsid w:val="00165B8F"/>
    <w:rsid w:val="00165F73"/>
    <w:rsid w:val="00165FD6"/>
    <w:rsid w:val="001660AA"/>
    <w:rsid w:val="001660F4"/>
    <w:rsid w:val="00166172"/>
    <w:rsid w:val="0016622A"/>
    <w:rsid w:val="00166283"/>
    <w:rsid w:val="0016652A"/>
    <w:rsid w:val="001665C4"/>
    <w:rsid w:val="001667CA"/>
    <w:rsid w:val="0016684E"/>
    <w:rsid w:val="001669AF"/>
    <w:rsid w:val="00166A71"/>
    <w:rsid w:val="00166A7E"/>
    <w:rsid w:val="00166BEB"/>
    <w:rsid w:val="00167023"/>
    <w:rsid w:val="0016726C"/>
    <w:rsid w:val="00167590"/>
    <w:rsid w:val="001675A4"/>
    <w:rsid w:val="00167602"/>
    <w:rsid w:val="00167617"/>
    <w:rsid w:val="0016762D"/>
    <w:rsid w:val="00167670"/>
    <w:rsid w:val="001676B4"/>
    <w:rsid w:val="00167722"/>
    <w:rsid w:val="00167901"/>
    <w:rsid w:val="00167A7D"/>
    <w:rsid w:val="00167AC1"/>
    <w:rsid w:val="00167BBE"/>
    <w:rsid w:val="00167C45"/>
    <w:rsid w:val="001700F7"/>
    <w:rsid w:val="0017027A"/>
    <w:rsid w:val="00170375"/>
    <w:rsid w:val="0017038C"/>
    <w:rsid w:val="001704B1"/>
    <w:rsid w:val="001704C0"/>
    <w:rsid w:val="00170611"/>
    <w:rsid w:val="001706A1"/>
    <w:rsid w:val="00170722"/>
    <w:rsid w:val="001707C0"/>
    <w:rsid w:val="0017097E"/>
    <w:rsid w:val="001709A1"/>
    <w:rsid w:val="001709CB"/>
    <w:rsid w:val="00170A79"/>
    <w:rsid w:val="00170A80"/>
    <w:rsid w:val="00170B19"/>
    <w:rsid w:val="00170B4C"/>
    <w:rsid w:val="00170DC6"/>
    <w:rsid w:val="00170E86"/>
    <w:rsid w:val="00170E9B"/>
    <w:rsid w:val="00170F02"/>
    <w:rsid w:val="00170F8B"/>
    <w:rsid w:val="00171011"/>
    <w:rsid w:val="001711FD"/>
    <w:rsid w:val="0017121C"/>
    <w:rsid w:val="0017131B"/>
    <w:rsid w:val="00171360"/>
    <w:rsid w:val="001716EE"/>
    <w:rsid w:val="0017182C"/>
    <w:rsid w:val="001718E1"/>
    <w:rsid w:val="00171AA8"/>
    <w:rsid w:val="00171D95"/>
    <w:rsid w:val="00171E80"/>
    <w:rsid w:val="00171E83"/>
    <w:rsid w:val="00172061"/>
    <w:rsid w:val="0017210E"/>
    <w:rsid w:val="0017211A"/>
    <w:rsid w:val="001722AE"/>
    <w:rsid w:val="001722E4"/>
    <w:rsid w:val="00172342"/>
    <w:rsid w:val="00172542"/>
    <w:rsid w:val="00172664"/>
    <w:rsid w:val="00172848"/>
    <w:rsid w:val="0017289F"/>
    <w:rsid w:val="001729DA"/>
    <w:rsid w:val="00172A29"/>
    <w:rsid w:val="00172BED"/>
    <w:rsid w:val="00172C27"/>
    <w:rsid w:val="001730C6"/>
    <w:rsid w:val="001730EF"/>
    <w:rsid w:val="001732E6"/>
    <w:rsid w:val="00173425"/>
    <w:rsid w:val="00173887"/>
    <w:rsid w:val="00173972"/>
    <w:rsid w:val="00173A6B"/>
    <w:rsid w:val="00173AC6"/>
    <w:rsid w:val="00173B47"/>
    <w:rsid w:val="00173B65"/>
    <w:rsid w:val="00173C25"/>
    <w:rsid w:val="00173EBC"/>
    <w:rsid w:val="001741CF"/>
    <w:rsid w:val="00174325"/>
    <w:rsid w:val="00174342"/>
    <w:rsid w:val="0017481A"/>
    <w:rsid w:val="00174BFC"/>
    <w:rsid w:val="00174C47"/>
    <w:rsid w:val="00174D11"/>
    <w:rsid w:val="00174E55"/>
    <w:rsid w:val="001752D8"/>
    <w:rsid w:val="0017546B"/>
    <w:rsid w:val="00175543"/>
    <w:rsid w:val="0017556A"/>
    <w:rsid w:val="00175766"/>
    <w:rsid w:val="001757CB"/>
    <w:rsid w:val="00175D21"/>
    <w:rsid w:val="00175D8A"/>
    <w:rsid w:val="00175E38"/>
    <w:rsid w:val="00175E47"/>
    <w:rsid w:val="00176196"/>
    <w:rsid w:val="00176207"/>
    <w:rsid w:val="00176269"/>
    <w:rsid w:val="0017629A"/>
    <w:rsid w:val="00176498"/>
    <w:rsid w:val="0017658B"/>
    <w:rsid w:val="001765F3"/>
    <w:rsid w:val="0017672F"/>
    <w:rsid w:val="001767C7"/>
    <w:rsid w:val="00176C9C"/>
    <w:rsid w:val="00176CCB"/>
    <w:rsid w:val="00176CF9"/>
    <w:rsid w:val="00176D57"/>
    <w:rsid w:val="00176E60"/>
    <w:rsid w:val="00176E97"/>
    <w:rsid w:val="001770EF"/>
    <w:rsid w:val="00177140"/>
    <w:rsid w:val="001772F3"/>
    <w:rsid w:val="00177346"/>
    <w:rsid w:val="0017739A"/>
    <w:rsid w:val="00177426"/>
    <w:rsid w:val="00177690"/>
    <w:rsid w:val="001776A8"/>
    <w:rsid w:val="0017775D"/>
    <w:rsid w:val="00177780"/>
    <w:rsid w:val="00177793"/>
    <w:rsid w:val="001777F4"/>
    <w:rsid w:val="001778D1"/>
    <w:rsid w:val="00177AD9"/>
    <w:rsid w:val="00177D3D"/>
    <w:rsid w:val="00177DD1"/>
    <w:rsid w:val="00177DE0"/>
    <w:rsid w:val="00177E39"/>
    <w:rsid w:val="00177EE1"/>
    <w:rsid w:val="00177F11"/>
    <w:rsid w:val="00177F4C"/>
    <w:rsid w:val="00177FFE"/>
    <w:rsid w:val="001800CC"/>
    <w:rsid w:val="001800D1"/>
    <w:rsid w:val="00180165"/>
    <w:rsid w:val="00180228"/>
    <w:rsid w:val="001805B0"/>
    <w:rsid w:val="001807A5"/>
    <w:rsid w:val="0018098B"/>
    <w:rsid w:val="00180B71"/>
    <w:rsid w:val="00180C57"/>
    <w:rsid w:val="00180F8C"/>
    <w:rsid w:val="00180F98"/>
    <w:rsid w:val="00181691"/>
    <w:rsid w:val="001818BE"/>
    <w:rsid w:val="00181933"/>
    <w:rsid w:val="001819E2"/>
    <w:rsid w:val="00181AE2"/>
    <w:rsid w:val="00181B5B"/>
    <w:rsid w:val="00181DEA"/>
    <w:rsid w:val="00181E1D"/>
    <w:rsid w:val="00181E56"/>
    <w:rsid w:val="00181EB2"/>
    <w:rsid w:val="00181F6D"/>
    <w:rsid w:val="00181F77"/>
    <w:rsid w:val="00182070"/>
    <w:rsid w:val="001820D9"/>
    <w:rsid w:val="0018247D"/>
    <w:rsid w:val="00182622"/>
    <w:rsid w:val="00182672"/>
    <w:rsid w:val="00182854"/>
    <w:rsid w:val="001828B2"/>
    <w:rsid w:val="00182ABA"/>
    <w:rsid w:val="00182C95"/>
    <w:rsid w:val="00182D13"/>
    <w:rsid w:val="00182E7F"/>
    <w:rsid w:val="00182E9F"/>
    <w:rsid w:val="001833EC"/>
    <w:rsid w:val="00183501"/>
    <w:rsid w:val="0018362D"/>
    <w:rsid w:val="00183866"/>
    <w:rsid w:val="001839C4"/>
    <w:rsid w:val="00183AA3"/>
    <w:rsid w:val="00183C0C"/>
    <w:rsid w:val="00183C30"/>
    <w:rsid w:val="00183CA4"/>
    <w:rsid w:val="00183CB5"/>
    <w:rsid w:val="00183CCB"/>
    <w:rsid w:val="00183D90"/>
    <w:rsid w:val="00183E9E"/>
    <w:rsid w:val="00183F84"/>
    <w:rsid w:val="0018403A"/>
    <w:rsid w:val="001840CC"/>
    <w:rsid w:val="0018414E"/>
    <w:rsid w:val="0018461C"/>
    <w:rsid w:val="001847E2"/>
    <w:rsid w:val="00184935"/>
    <w:rsid w:val="00184FF3"/>
    <w:rsid w:val="00185377"/>
    <w:rsid w:val="0018553F"/>
    <w:rsid w:val="00185543"/>
    <w:rsid w:val="001855B2"/>
    <w:rsid w:val="00185669"/>
    <w:rsid w:val="0018568B"/>
    <w:rsid w:val="00185721"/>
    <w:rsid w:val="00185CF5"/>
    <w:rsid w:val="00185E95"/>
    <w:rsid w:val="00185EC8"/>
    <w:rsid w:val="00186046"/>
    <w:rsid w:val="0018605A"/>
    <w:rsid w:val="001861D7"/>
    <w:rsid w:val="0018642E"/>
    <w:rsid w:val="001865AB"/>
    <w:rsid w:val="00186664"/>
    <w:rsid w:val="00186697"/>
    <w:rsid w:val="00186C63"/>
    <w:rsid w:val="00186D96"/>
    <w:rsid w:val="00187160"/>
    <w:rsid w:val="00187220"/>
    <w:rsid w:val="00187244"/>
    <w:rsid w:val="0018734A"/>
    <w:rsid w:val="00187609"/>
    <w:rsid w:val="00187668"/>
    <w:rsid w:val="001878EC"/>
    <w:rsid w:val="00187999"/>
    <w:rsid w:val="00187AFF"/>
    <w:rsid w:val="00187D06"/>
    <w:rsid w:val="00187D79"/>
    <w:rsid w:val="00187DB4"/>
    <w:rsid w:val="00187DE7"/>
    <w:rsid w:val="0019017F"/>
    <w:rsid w:val="00190456"/>
    <w:rsid w:val="001906AE"/>
    <w:rsid w:val="0019078D"/>
    <w:rsid w:val="001909C7"/>
    <w:rsid w:val="00190A74"/>
    <w:rsid w:val="00190C36"/>
    <w:rsid w:val="00190E5F"/>
    <w:rsid w:val="00190FB3"/>
    <w:rsid w:val="00190FF1"/>
    <w:rsid w:val="001912E5"/>
    <w:rsid w:val="0019131E"/>
    <w:rsid w:val="001913D8"/>
    <w:rsid w:val="00191404"/>
    <w:rsid w:val="001914A9"/>
    <w:rsid w:val="0019155E"/>
    <w:rsid w:val="001918A1"/>
    <w:rsid w:val="001919F5"/>
    <w:rsid w:val="00191AED"/>
    <w:rsid w:val="00191D49"/>
    <w:rsid w:val="00191E1F"/>
    <w:rsid w:val="00191F1D"/>
    <w:rsid w:val="0019255B"/>
    <w:rsid w:val="00192747"/>
    <w:rsid w:val="00192872"/>
    <w:rsid w:val="00192A4D"/>
    <w:rsid w:val="00192AD8"/>
    <w:rsid w:val="00192BDE"/>
    <w:rsid w:val="00192C7C"/>
    <w:rsid w:val="00192CAA"/>
    <w:rsid w:val="00192D92"/>
    <w:rsid w:val="00192F61"/>
    <w:rsid w:val="001931DE"/>
    <w:rsid w:val="0019324C"/>
    <w:rsid w:val="001932D0"/>
    <w:rsid w:val="001936E5"/>
    <w:rsid w:val="001939D2"/>
    <w:rsid w:val="001939D4"/>
    <w:rsid w:val="00193B0D"/>
    <w:rsid w:val="00193CB5"/>
    <w:rsid w:val="00193DF9"/>
    <w:rsid w:val="00193E64"/>
    <w:rsid w:val="00193EE3"/>
    <w:rsid w:val="00193F28"/>
    <w:rsid w:val="00193FA5"/>
    <w:rsid w:val="00194077"/>
    <w:rsid w:val="0019423E"/>
    <w:rsid w:val="00194296"/>
    <w:rsid w:val="001944BE"/>
    <w:rsid w:val="0019462E"/>
    <w:rsid w:val="0019484E"/>
    <w:rsid w:val="0019486B"/>
    <w:rsid w:val="00194984"/>
    <w:rsid w:val="001949C4"/>
    <w:rsid w:val="00194C84"/>
    <w:rsid w:val="00194CEE"/>
    <w:rsid w:val="00194E08"/>
    <w:rsid w:val="00194E93"/>
    <w:rsid w:val="00194EFC"/>
    <w:rsid w:val="00194FBE"/>
    <w:rsid w:val="001951D8"/>
    <w:rsid w:val="0019544B"/>
    <w:rsid w:val="0019579B"/>
    <w:rsid w:val="001957DF"/>
    <w:rsid w:val="0019583E"/>
    <w:rsid w:val="00195920"/>
    <w:rsid w:val="00195A41"/>
    <w:rsid w:val="00195A85"/>
    <w:rsid w:val="00195B1C"/>
    <w:rsid w:val="00195CDE"/>
    <w:rsid w:val="00195D28"/>
    <w:rsid w:val="00195E4D"/>
    <w:rsid w:val="00195E68"/>
    <w:rsid w:val="001960B0"/>
    <w:rsid w:val="001962FC"/>
    <w:rsid w:val="0019642B"/>
    <w:rsid w:val="001965C9"/>
    <w:rsid w:val="0019675D"/>
    <w:rsid w:val="0019682D"/>
    <w:rsid w:val="00196B4F"/>
    <w:rsid w:val="00196B59"/>
    <w:rsid w:val="00196C12"/>
    <w:rsid w:val="00196C3A"/>
    <w:rsid w:val="00196C8A"/>
    <w:rsid w:val="00196F03"/>
    <w:rsid w:val="00196F3E"/>
    <w:rsid w:val="001971F5"/>
    <w:rsid w:val="0019725B"/>
    <w:rsid w:val="0019727D"/>
    <w:rsid w:val="00197459"/>
    <w:rsid w:val="001975BB"/>
    <w:rsid w:val="0019771F"/>
    <w:rsid w:val="0019787C"/>
    <w:rsid w:val="001978D9"/>
    <w:rsid w:val="00197C2B"/>
    <w:rsid w:val="00197D72"/>
    <w:rsid w:val="00197E11"/>
    <w:rsid w:val="00197EB8"/>
    <w:rsid w:val="001A00B4"/>
    <w:rsid w:val="001A0109"/>
    <w:rsid w:val="001A01D9"/>
    <w:rsid w:val="001A0698"/>
    <w:rsid w:val="001A0BFE"/>
    <w:rsid w:val="001A0C3B"/>
    <w:rsid w:val="001A0CAD"/>
    <w:rsid w:val="001A0CDA"/>
    <w:rsid w:val="001A0D4D"/>
    <w:rsid w:val="001A0DC0"/>
    <w:rsid w:val="001A0F17"/>
    <w:rsid w:val="001A109B"/>
    <w:rsid w:val="001A1161"/>
    <w:rsid w:val="001A12C6"/>
    <w:rsid w:val="001A132B"/>
    <w:rsid w:val="001A140D"/>
    <w:rsid w:val="001A16D4"/>
    <w:rsid w:val="001A17B1"/>
    <w:rsid w:val="001A1808"/>
    <w:rsid w:val="001A1A07"/>
    <w:rsid w:val="001A1A80"/>
    <w:rsid w:val="001A1AA5"/>
    <w:rsid w:val="001A1AC0"/>
    <w:rsid w:val="001A1FBC"/>
    <w:rsid w:val="001A2130"/>
    <w:rsid w:val="001A21A8"/>
    <w:rsid w:val="001A23BE"/>
    <w:rsid w:val="001A243A"/>
    <w:rsid w:val="001A247E"/>
    <w:rsid w:val="001A255C"/>
    <w:rsid w:val="001A25D1"/>
    <w:rsid w:val="001A2619"/>
    <w:rsid w:val="001A277E"/>
    <w:rsid w:val="001A27A6"/>
    <w:rsid w:val="001A28B1"/>
    <w:rsid w:val="001A28FC"/>
    <w:rsid w:val="001A28FF"/>
    <w:rsid w:val="001A29DE"/>
    <w:rsid w:val="001A2B1E"/>
    <w:rsid w:val="001A2D1B"/>
    <w:rsid w:val="001A2DD3"/>
    <w:rsid w:val="001A2F17"/>
    <w:rsid w:val="001A3051"/>
    <w:rsid w:val="001A30CB"/>
    <w:rsid w:val="001A321C"/>
    <w:rsid w:val="001A321F"/>
    <w:rsid w:val="001A3405"/>
    <w:rsid w:val="001A3523"/>
    <w:rsid w:val="001A35A7"/>
    <w:rsid w:val="001A35DC"/>
    <w:rsid w:val="001A360D"/>
    <w:rsid w:val="001A36E7"/>
    <w:rsid w:val="001A372B"/>
    <w:rsid w:val="001A3815"/>
    <w:rsid w:val="001A38BE"/>
    <w:rsid w:val="001A3D40"/>
    <w:rsid w:val="001A40E8"/>
    <w:rsid w:val="001A428D"/>
    <w:rsid w:val="001A4317"/>
    <w:rsid w:val="001A43AB"/>
    <w:rsid w:val="001A43B3"/>
    <w:rsid w:val="001A443B"/>
    <w:rsid w:val="001A46BF"/>
    <w:rsid w:val="001A4978"/>
    <w:rsid w:val="001A4A07"/>
    <w:rsid w:val="001A4A94"/>
    <w:rsid w:val="001A4B71"/>
    <w:rsid w:val="001A4F32"/>
    <w:rsid w:val="001A4FFE"/>
    <w:rsid w:val="001A5116"/>
    <w:rsid w:val="001A53C6"/>
    <w:rsid w:val="001A543B"/>
    <w:rsid w:val="001A54C9"/>
    <w:rsid w:val="001A5514"/>
    <w:rsid w:val="001A563C"/>
    <w:rsid w:val="001A5674"/>
    <w:rsid w:val="001A5C2C"/>
    <w:rsid w:val="001A5D66"/>
    <w:rsid w:val="001A5E95"/>
    <w:rsid w:val="001A6019"/>
    <w:rsid w:val="001A6141"/>
    <w:rsid w:val="001A6242"/>
    <w:rsid w:val="001A6289"/>
    <w:rsid w:val="001A62BF"/>
    <w:rsid w:val="001A6332"/>
    <w:rsid w:val="001A63F1"/>
    <w:rsid w:val="001A6401"/>
    <w:rsid w:val="001A6426"/>
    <w:rsid w:val="001A6430"/>
    <w:rsid w:val="001A6483"/>
    <w:rsid w:val="001A655E"/>
    <w:rsid w:val="001A6591"/>
    <w:rsid w:val="001A6631"/>
    <w:rsid w:val="001A671E"/>
    <w:rsid w:val="001A672F"/>
    <w:rsid w:val="001A682C"/>
    <w:rsid w:val="001A6B5B"/>
    <w:rsid w:val="001A6BCC"/>
    <w:rsid w:val="001A6C1E"/>
    <w:rsid w:val="001A6C4A"/>
    <w:rsid w:val="001A6CB5"/>
    <w:rsid w:val="001A6CDF"/>
    <w:rsid w:val="001A6FF3"/>
    <w:rsid w:val="001A7232"/>
    <w:rsid w:val="001A7580"/>
    <w:rsid w:val="001A7602"/>
    <w:rsid w:val="001A7690"/>
    <w:rsid w:val="001A77AE"/>
    <w:rsid w:val="001A791C"/>
    <w:rsid w:val="001A7AAE"/>
    <w:rsid w:val="001A7C51"/>
    <w:rsid w:val="001A7D0B"/>
    <w:rsid w:val="001A7FDF"/>
    <w:rsid w:val="001B0256"/>
    <w:rsid w:val="001B0426"/>
    <w:rsid w:val="001B042C"/>
    <w:rsid w:val="001B051D"/>
    <w:rsid w:val="001B05D8"/>
    <w:rsid w:val="001B0616"/>
    <w:rsid w:val="001B0876"/>
    <w:rsid w:val="001B09A4"/>
    <w:rsid w:val="001B0B2A"/>
    <w:rsid w:val="001B0BAE"/>
    <w:rsid w:val="001B0E6B"/>
    <w:rsid w:val="001B0ED5"/>
    <w:rsid w:val="001B1180"/>
    <w:rsid w:val="001B1280"/>
    <w:rsid w:val="001B1377"/>
    <w:rsid w:val="001B1483"/>
    <w:rsid w:val="001B1746"/>
    <w:rsid w:val="001B1783"/>
    <w:rsid w:val="001B17E9"/>
    <w:rsid w:val="001B194A"/>
    <w:rsid w:val="001B1BD6"/>
    <w:rsid w:val="001B1CD2"/>
    <w:rsid w:val="001B1CD8"/>
    <w:rsid w:val="001B1D8D"/>
    <w:rsid w:val="001B207E"/>
    <w:rsid w:val="001B215A"/>
    <w:rsid w:val="001B226D"/>
    <w:rsid w:val="001B22B4"/>
    <w:rsid w:val="001B23B8"/>
    <w:rsid w:val="001B261B"/>
    <w:rsid w:val="001B26DA"/>
    <w:rsid w:val="001B274F"/>
    <w:rsid w:val="001B2928"/>
    <w:rsid w:val="001B2C9C"/>
    <w:rsid w:val="001B2CD7"/>
    <w:rsid w:val="001B2E54"/>
    <w:rsid w:val="001B3245"/>
    <w:rsid w:val="001B32FE"/>
    <w:rsid w:val="001B33F9"/>
    <w:rsid w:val="001B3482"/>
    <w:rsid w:val="001B3621"/>
    <w:rsid w:val="001B3784"/>
    <w:rsid w:val="001B394A"/>
    <w:rsid w:val="001B39DC"/>
    <w:rsid w:val="001B3CA9"/>
    <w:rsid w:val="001B3D31"/>
    <w:rsid w:val="001B3DCD"/>
    <w:rsid w:val="001B408E"/>
    <w:rsid w:val="001B4200"/>
    <w:rsid w:val="001B437C"/>
    <w:rsid w:val="001B452C"/>
    <w:rsid w:val="001B45B1"/>
    <w:rsid w:val="001B4822"/>
    <w:rsid w:val="001B4915"/>
    <w:rsid w:val="001B4922"/>
    <w:rsid w:val="001B4A0E"/>
    <w:rsid w:val="001B4A3B"/>
    <w:rsid w:val="001B4C4F"/>
    <w:rsid w:val="001B4C65"/>
    <w:rsid w:val="001B4E80"/>
    <w:rsid w:val="001B4F68"/>
    <w:rsid w:val="001B4F8E"/>
    <w:rsid w:val="001B50F5"/>
    <w:rsid w:val="001B518A"/>
    <w:rsid w:val="001B5310"/>
    <w:rsid w:val="001B54AC"/>
    <w:rsid w:val="001B59B3"/>
    <w:rsid w:val="001B5A0F"/>
    <w:rsid w:val="001B5C4A"/>
    <w:rsid w:val="001B5C76"/>
    <w:rsid w:val="001B5CF6"/>
    <w:rsid w:val="001B5DB0"/>
    <w:rsid w:val="001B5E17"/>
    <w:rsid w:val="001B5E3E"/>
    <w:rsid w:val="001B6088"/>
    <w:rsid w:val="001B645E"/>
    <w:rsid w:val="001B6536"/>
    <w:rsid w:val="001B6580"/>
    <w:rsid w:val="001B6611"/>
    <w:rsid w:val="001B66FA"/>
    <w:rsid w:val="001B6775"/>
    <w:rsid w:val="001B696D"/>
    <w:rsid w:val="001B6BF6"/>
    <w:rsid w:val="001B6CF4"/>
    <w:rsid w:val="001B6F59"/>
    <w:rsid w:val="001B7029"/>
    <w:rsid w:val="001B704C"/>
    <w:rsid w:val="001B7202"/>
    <w:rsid w:val="001B72DD"/>
    <w:rsid w:val="001B74F9"/>
    <w:rsid w:val="001B79B7"/>
    <w:rsid w:val="001B7A2D"/>
    <w:rsid w:val="001B7C53"/>
    <w:rsid w:val="001B7C60"/>
    <w:rsid w:val="001B7D56"/>
    <w:rsid w:val="001B7FC0"/>
    <w:rsid w:val="001C0044"/>
    <w:rsid w:val="001C0176"/>
    <w:rsid w:val="001C0196"/>
    <w:rsid w:val="001C02B7"/>
    <w:rsid w:val="001C0545"/>
    <w:rsid w:val="001C059D"/>
    <w:rsid w:val="001C05D7"/>
    <w:rsid w:val="001C06D5"/>
    <w:rsid w:val="001C0797"/>
    <w:rsid w:val="001C07F6"/>
    <w:rsid w:val="001C0AC9"/>
    <w:rsid w:val="001C0B3D"/>
    <w:rsid w:val="001C0F65"/>
    <w:rsid w:val="001C0F9D"/>
    <w:rsid w:val="001C12AC"/>
    <w:rsid w:val="001C1302"/>
    <w:rsid w:val="001C1470"/>
    <w:rsid w:val="001C1550"/>
    <w:rsid w:val="001C1667"/>
    <w:rsid w:val="001C17C4"/>
    <w:rsid w:val="001C1876"/>
    <w:rsid w:val="001C18F1"/>
    <w:rsid w:val="001C1B1E"/>
    <w:rsid w:val="001C1D2F"/>
    <w:rsid w:val="001C1EC5"/>
    <w:rsid w:val="001C2026"/>
    <w:rsid w:val="001C2273"/>
    <w:rsid w:val="001C22C6"/>
    <w:rsid w:val="001C2464"/>
    <w:rsid w:val="001C251D"/>
    <w:rsid w:val="001C26A6"/>
    <w:rsid w:val="001C2940"/>
    <w:rsid w:val="001C2B31"/>
    <w:rsid w:val="001C2BC9"/>
    <w:rsid w:val="001C2D40"/>
    <w:rsid w:val="001C2DEE"/>
    <w:rsid w:val="001C2F77"/>
    <w:rsid w:val="001C2FDC"/>
    <w:rsid w:val="001C3038"/>
    <w:rsid w:val="001C3283"/>
    <w:rsid w:val="001C33BC"/>
    <w:rsid w:val="001C383F"/>
    <w:rsid w:val="001C3C20"/>
    <w:rsid w:val="001C3C65"/>
    <w:rsid w:val="001C3D07"/>
    <w:rsid w:val="001C3D6D"/>
    <w:rsid w:val="001C3E39"/>
    <w:rsid w:val="001C3E3D"/>
    <w:rsid w:val="001C3E57"/>
    <w:rsid w:val="001C3F0A"/>
    <w:rsid w:val="001C3F34"/>
    <w:rsid w:val="001C3F93"/>
    <w:rsid w:val="001C4182"/>
    <w:rsid w:val="001C41D6"/>
    <w:rsid w:val="001C4214"/>
    <w:rsid w:val="001C4266"/>
    <w:rsid w:val="001C43CA"/>
    <w:rsid w:val="001C45B9"/>
    <w:rsid w:val="001C4873"/>
    <w:rsid w:val="001C4973"/>
    <w:rsid w:val="001C499C"/>
    <w:rsid w:val="001C4A1E"/>
    <w:rsid w:val="001C4B65"/>
    <w:rsid w:val="001C4B74"/>
    <w:rsid w:val="001C4BA1"/>
    <w:rsid w:val="001C4CAA"/>
    <w:rsid w:val="001C4F77"/>
    <w:rsid w:val="001C50A6"/>
    <w:rsid w:val="001C5170"/>
    <w:rsid w:val="001C51D0"/>
    <w:rsid w:val="001C52B8"/>
    <w:rsid w:val="001C5664"/>
    <w:rsid w:val="001C5727"/>
    <w:rsid w:val="001C57CB"/>
    <w:rsid w:val="001C57DA"/>
    <w:rsid w:val="001C57F1"/>
    <w:rsid w:val="001C58FF"/>
    <w:rsid w:val="001C5AFE"/>
    <w:rsid w:val="001C5BB3"/>
    <w:rsid w:val="001C5BBB"/>
    <w:rsid w:val="001C5D10"/>
    <w:rsid w:val="001C5DFA"/>
    <w:rsid w:val="001C5E66"/>
    <w:rsid w:val="001C5EFB"/>
    <w:rsid w:val="001C600A"/>
    <w:rsid w:val="001C60A1"/>
    <w:rsid w:val="001C644D"/>
    <w:rsid w:val="001C6620"/>
    <w:rsid w:val="001C66A3"/>
    <w:rsid w:val="001C6725"/>
    <w:rsid w:val="001C67E0"/>
    <w:rsid w:val="001C6B16"/>
    <w:rsid w:val="001C6BD5"/>
    <w:rsid w:val="001C6BFD"/>
    <w:rsid w:val="001C6CC8"/>
    <w:rsid w:val="001C6E62"/>
    <w:rsid w:val="001C6F01"/>
    <w:rsid w:val="001C6F93"/>
    <w:rsid w:val="001C7388"/>
    <w:rsid w:val="001C73CF"/>
    <w:rsid w:val="001C7543"/>
    <w:rsid w:val="001C7571"/>
    <w:rsid w:val="001C76D5"/>
    <w:rsid w:val="001C7715"/>
    <w:rsid w:val="001C7717"/>
    <w:rsid w:val="001C7740"/>
    <w:rsid w:val="001C7870"/>
    <w:rsid w:val="001C7D06"/>
    <w:rsid w:val="001D01C7"/>
    <w:rsid w:val="001D0206"/>
    <w:rsid w:val="001D036D"/>
    <w:rsid w:val="001D03A3"/>
    <w:rsid w:val="001D043C"/>
    <w:rsid w:val="001D05B2"/>
    <w:rsid w:val="001D05C9"/>
    <w:rsid w:val="001D06CE"/>
    <w:rsid w:val="001D077E"/>
    <w:rsid w:val="001D0795"/>
    <w:rsid w:val="001D082A"/>
    <w:rsid w:val="001D0B05"/>
    <w:rsid w:val="001D1178"/>
    <w:rsid w:val="001D1293"/>
    <w:rsid w:val="001D12D8"/>
    <w:rsid w:val="001D12DA"/>
    <w:rsid w:val="001D159C"/>
    <w:rsid w:val="001D15A3"/>
    <w:rsid w:val="001D15CF"/>
    <w:rsid w:val="001D15FE"/>
    <w:rsid w:val="001D16B9"/>
    <w:rsid w:val="001D195C"/>
    <w:rsid w:val="001D200C"/>
    <w:rsid w:val="001D21A1"/>
    <w:rsid w:val="001D24B6"/>
    <w:rsid w:val="001D26F8"/>
    <w:rsid w:val="001D2789"/>
    <w:rsid w:val="001D27FA"/>
    <w:rsid w:val="001D28D5"/>
    <w:rsid w:val="001D2994"/>
    <w:rsid w:val="001D2AAD"/>
    <w:rsid w:val="001D2BA5"/>
    <w:rsid w:val="001D2C0A"/>
    <w:rsid w:val="001D30C6"/>
    <w:rsid w:val="001D30F2"/>
    <w:rsid w:val="001D3197"/>
    <w:rsid w:val="001D361D"/>
    <w:rsid w:val="001D3691"/>
    <w:rsid w:val="001D3889"/>
    <w:rsid w:val="001D388A"/>
    <w:rsid w:val="001D3974"/>
    <w:rsid w:val="001D3A49"/>
    <w:rsid w:val="001D3C62"/>
    <w:rsid w:val="001D3C89"/>
    <w:rsid w:val="001D3D57"/>
    <w:rsid w:val="001D3E63"/>
    <w:rsid w:val="001D405D"/>
    <w:rsid w:val="001D41A1"/>
    <w:rsid w:val="001D41E0"/>
    <w:rsid w:val="001D43C0"/>
    <w:rsid w:val="001D447E"/>
    <w:rsid w:val="001D44E6"/>
    <w:rsid w:val="001D452E"/>
    <w:rsid w:val="001D4748"/>
    <w:rsid w:val="001D47E0"/>
    <w:rsid w:val="001D4814"/>
    <w:rsid w:val="001D4C9E"/>
    <w:rsid w:val="001D4DD7"/>
    <w:rsid w:val="001D5122"/>
    <w:rsid w:val="001D523A"/>
    <w:rsid w:val="001D5315"/>
    <w:rsid w:val="001D546D"/>
    <w:rsid w:val="001D54E3"/>
    <w:rsid w:val="001D552C"/>
    <w:rsid w:val="001D57B1"/>
    <w:rsid w:val="001D5B9D"/>
    <w:rsid w:val="001D5D7C"/>
    <w:rsid w:val="001D5E19"/>
    <w:rsid w:val="001D5EE6"/>
    <w:rsid w:val="001D5FE5"/>
    <w:rsid w:val="001D6065"/>
    <w:rsid w:val="001D61F2"/>
    <w:rsid w:val="001D623C"/>
    <w:rsid w:val="001D6561"/>
    <w:rsid w:val="001D6608"/>
    <w:rsid w:val="001D66A5"/>
    <w:rsid w:val="001D686A"/>
    <w:rsid w:val="001D69C3"/>
    <w:rsid w:val="001D6B07"/>
    <w:rsid w:val="001D6BE2"/>
    <w:rsid w:val="001D6C63"/>
    <w:rsid w:val="001D6C72"/>
    <w:rsid w:val="001D6E51"/>
    <w:rsid w:val="001D6ECD"/>
    <w:rsid w:val="001D7022"/>
    <w:rsid w:val="001D70C6"/>
    <w:rsid w:val="001D71D1"/>
    <w:rsid w:val="001D7221"/>
    <w:rsid w:val="001D7308"/>
    <w:rsid w:val="001D742A"/>
    <w:rsid w:val="001D74B7"/>
    <w:rsid w:val="001D7511"/>
    <w:rsid w:val="001D764F"/>
    <w:rsid w:val="001D7671"/>
    <w:rsid w:val="001D7754"/>
    <w:rsid w:val="001D7879"/>
    <w:rsid w:val="001D795F"/>
    <w:rsid w:val="001D797C"/>
    <w:rsid w:val="001D7A10"/>
    <w:rsid w:val="001D7B15"/>
    <w:rsid w:val="001D7CD1"/>
    <w:rsid w:val="001D7D5A"/>
    <w:rsid w:val="001D7E7C"/>
    <w:rsid w:val="001D7FF0"/>
    <w:rsid w:val="001E0101"/>
    <w:rsid w:val="001E0151"/>
    <w:rsid w:val="001E01E1"/>
    <w:rsid w:val="001E01E8"/>
    <w:rsid w:val="001E0282"/>
    <w:rsid w:val="001E03F2"/>
    <w:rsid w:val="001E0552"/>
    <w:rsid w:val="001E0579"/>
    <w:rsid w:val="001E06A9"/>
    <w:rsid w:val="001E087B"/>
    <w:rsid w:val="001E097E"/>
    <w:rsid w:val="001E1183"/>
    <w:rsid w:val="001E1195"/>
    <w:rsid w:val="001E1233"/>
    <w:rsid w:val="001E14FF"/>
    <w:rsid w:val="001E161D"/>
    <w:rsid w:val="001E168F"/>
    <w:rsid w:val="001E16BC"/>
    <w:rsid w:val="001E177B"/>
    <w:rsid w:val="001E17EE"/>
    <w:rsid w:val="001E1863"/>
    <w:rsid w:val="001E1A18"/>
    <w:rsid w:val="001E1AD8"/>
    <w:rsid w:val="001E1F93"/>
    <w:rsid w:val="001E215F"/>
    <w:rsid w:val="001E24BF"/>
    <w:rsid w:val="001E26F7"/>
    <w:rsid w:val="001E272B"/>
    <w:rsid w:val="001E28D9"/>
    <w:rsid w:val="001E2925"/>
    <w:rsid w:val="001E2980"/>
    <w:rsid w:val="001E2C45"/>
    <w:rsid w:val="001E2E91"/>
    <w:rsid w:val="001E3009"/>
    <w:rsid w:val="001E32B9"/>
    <w:rsid w:val="001E339A"/>
    <w:rsid w:val="001E33E0"/>
    <w:rsid w:val="001E34A1"/>
    <w:rsid w:val="001E36C5"/>
    <w:rsid w:val="001E3754"/>
    <w:rsid w:val="001E3CFB"/>
    <w:rsid w:val="001E410F"/>
    <w:rsid w:val="001E437C"/>
    <w:rsid w:val="001E4384"/>
    <w:rsid w:val="001E43F1"/>
    <w:rsid w:val="001E465E"/>
    <w:rsid w:val="001E4804"/>
    <w:rsid w:val="001E48DC"/>
    <w:rsid w:val="001E4B5D"/>
    <w:rsid w:val="001E4BF0"/>
    <w:rsid w:val="001E4C1F"/>
    <w:rsid w:val="001E4E0F"/>
    <w:rsid w:val="001E4E42"/>
    <w:rsid w:val="001E500A"/>
    <w:rsid w:val="001E5315"/>
    <w:rsid w:val="001E5356"/>
    <w:rsid w:val="001E5395"/>
    <w:rsid w:val="001E5435"/>
    <w:rsid w:val="001E550B"/>
    <w:rsid w:val="001E5657"/>
    <w:rsid w:val="001E57BA"/>
    <w:rsid w:val="001E588A"/>
    <w:rsid w:val="001E58C8"/>
    <w:rsid w:val="001E5901"/>
    <w:rsid w:val="001E5930"/>
    <w:rsid w:val="001E5D35"/>
    <w:rsid w:val="001E5E55"/>
    <w:rsid w:val="001E5E86"/>
    <w:rsid w:val="001E5F1D"/>
    <w:rsid w:val="001E5FD7"/>
    <w:rsid w:val="001E60A5"/>
    <w:rsid w:val="001E6152"/>
    <w:rsid w:val="001E61FC"/>
    <w:rsid w:val="001E63E1"/>
    <w:rsid w:val="001E655F"/>
    <w:rsid w:val="001E66A0"/>
    <w:rsid w:val="001E67DF"/>
    <w:rsid w:val="001E6C79"/>
    <w:rsid w:val="001E6F20"/>
    <w:rsid w:val="001E6F8C"/>
    <w:rsid w:val="001E6FEC"/>
    <w:rsid w:val="001E7015"/>
    <w:rsid w:val="001E71B4"/>
    <w:rsid w:val="001E73CD"/>
    <w:rsid w:val="001E7402"/>
    <w:rsid w:val="001E75CB"/>
    <w:rsid w:val="001E78C4"/>
    <w:rsid w:val="001E78F2"/>
    <w:rsid w:val="001E799E"/>
    <w:rsid w:val="001E7A27"/>
    <w:rsid w:val="001E7BC8"/>
    <w:rsid w:val="001E7C07"/>
    <w:rsid w:val="001E7CC3"/>
    <w:rsid w:val="001E7D20"/>
    <w:rsid w:val="001E7D80"/>
    <w:rsid w:val="001E7F62"/>
    <w:rsid w:val="001E7FBE"/>
    <w:rsid w:val="001F001B"/>
    <w:rsid w:val="001F0542"/>
    <w:rsid w:val="001F0699"/>
    <w:rsid w:val="001F08C5"/>
    <w:rsid w:val="001F0964"/>
    <w:rsid w:val="001F0E0D"/>
    <w:rsid w:val="001F0E9C"/>
    <w:rsid w:val="001F0FC9"/>
    <w:rsid w:val="001F1039"/>
    <w:rsid w:val="001F10CC"/>
    <w:rsid w:val="001F1127"/>
    <w:rsid w:val="001F113A"/>
    <w:rsid w:val="001F129C"/>
    <w:rsid w:val="001F1537"/>
    <w:rsid w:val="001F155D"/>
    <w:rsid w:val="001F1694"/>
    <w:rsid w:val="001F16F4"/>
    <w:rsid w:val="001F1789"/>
    <w:rsid w:val="001F18DF"/>
    <w:rsid w:val="001F1B9B"/>
    <w:rsid w:val="001F1C92"/>
    <w:rsid w:val="001F1D59"/>
    <w:rsid w:val="001F1DF8"/>
    <w:rsid w:val="001F1E07"/>
    <w:rsid w:val="001F1FC1"/>
    <w:rsid w:val="001F21B3"/>
    <w:rsid w:val="001F2301"/>
    <w:rsid w:val="001F2344"/>
    <w:rsid w:val="001F246E"/>
    <w:rsid w:val="001F2731"/>
    <w:rsid w:val="001F27E9"/>
    <w:rsid w:val="001F2900"/>
    <w:rsid w:val="001F2912"/>
    <w:rsid w:val="001F291F"/>
    <w:rsid w:val="001F29AF"/>
    <w:rsid w:val="001F2B7D"/>
    <w:rsid w:val="001F2BD3"/>
    <w:rsid w:val="001F2C81"/>
    <w:rsid w:val="001F2DDA"/>
    <w:rsid w:val="001F2EB1"/>
    <w:rsid w:val="001F2EE8"/>
    <w:rsid w:val="001F2F26"/>
    <w:rsid w:val="001F30B3"/>
    <w:rsid w:val="001F30E9"/>
    <w:rsid w:val="001F3117"/>
    <w:rsid w:val="001F3174"/>
    <w:rsid w:val="001F323E"/>
    <w:rsid w:val="001F32B6"/>
    <w:rsid w:val="001F3340"/>
    <w:rsid w:val="001F33A1"/>
    <w:rsid w:val="001F352C"/>
    <w:rsid w:val="001F3661"/>
    <w:rsid w:val="001F3728"/>
    <w:rsid w:val="001F3770"/>
    <w:rsid w:val="001F37A9"/>
    <w:rsid w:val="001F37B6"/>
    <w:rsid w:val="001F3B6B"/>
    <w:rsid w:val="001F3C1C"/>
    <w:rsid w:val="001F3C5C"/>
    <w:rsid w:val="001F3CC9"/>
    <w:rsid w:val="001F3E1F"/>
    <w:rsid w:val="001F3F5C"/>
    <w:rsid w:val="001F3FDA"/>
    <w:rsid w:val="001F3FFD"/>
    <w:rsid w:val="001F4006"/>
    <w:rsid w:val="001F4136"/>
    <w:rsid w:val="001F414F"/>
    <w:rsid w:val="001F4162"/>
    <w:rsid w:val="001F42A7"/>
    <w:rsid w:val="001F4440"/>
    <w:rsid w:val="001F4907"/>
    <w:rsid w:val="001F49CF"/>
    <w:rsid w:val="001F4F50"/>
    <w:rsid w:val="001F5035"/>
    <w:rsid w:val="001F50FC"/>
    <w:rsid w:val="001F5156"/>
    <w:rsid w:val="001F52CA"/>
    <w:rsid w:val="001F53C9"/>
    <w:rsid w:val="001F5453"/>
    <w:rsid w:val="001F567E"/>
    <w:rsid w:val="001F5710"/>
    <w:rsid w:val="001F57A6"/>
    <w:rsid w:val="001F5916"/>
    <w:rsid w:val="001F5A92"/>
    <w:rsid w:val="001F5ADA"/>
    <w:rsid w:val="001F5B6B"/>
    <w:rsid w:val="001F61DD"/>
    <w:rsid w:val="001F6224"/>
    <w:rsid w:val="001F634B"/>
    <w:rsid w:val="001F6437"/>
    <w:rsid w:val="001F6446"/>
    <w:rsid w:val="001F65CC"/>
    <w:rsid w:val="001F66D9"/>
    <w:rsid w:val="001F6788"/>
    <w:rsid w:val="001F67A3"/>
    <w:rsid w:val="001F67EF"/>
    <w:rsid w:val="001F691C"/>
    <w:rsid w:val="001F6973"/>
    <w:rsid w:val="001F6B14"/>
    <w:rsid w:val="001F6C50"/>
    <w:rsid w:val="001F6CF2"/>
    <w:rsid w:val="001F6DC4"/>
    <w:rsid w:val="001F6E1B"/>
    <w:rsid w:val="001F6E44"/>
    <w:rsid w:val="001F6FBD"/>
    <w:rsid w:val="001F714C"/>
    <w:rsid w:val="001F74A2"/>
    <w:rsid w:val="001F7500"/>
    <w:rsid w:val="001F77B6"/>
    <w:rsid w:val="001F7919"/>
    <w:rsid w:val="001F79FB"/>
    <w:rsid w:val="001F7B5A"/>
    <w:rsid w:val="001F7BAD"/>
    <w:rsid w:val="001F7E97"/>
    <w:rsid w:val="001F7EEF"/>
    <w:rsid w:val="001F7F04"/>
    <w:rsid w:val="0020035D"/>
    <w:rsid w:val="00200438"/>
    <w:rsid w:val="00200445"/>
    <w:rsid w:val="002004EE"/>
    <w:rsid w:val="0020060C"/>
    <w:rsid w:val="00200613"/>
    <w:rsid w:val="002007C7"/>
    <w:rsid w:val="002008EC"/>
    <w:rsid w:val="002009B3"/>
    <w:rsid w:val="00200B05"/>
    <w:rsid w:val="00200B09"/>
    <w:rsid w:val="00200BAD"/>
    <w:rsid w:val="00200DFA"/>
    <w:rsid w:val="00200EFF"/>
    <w:rsid w:val="00201057"/>
    <w:rsid w:val="00201083"/>
    <w:rsid w:val="002010C5"/>
    <w:rsid w:val="00201251"/>
    <w:rsid w:val="002012C9"/>
    <w:rsid w:val="00201495"/>
    <w:rsid w:val="00201532"/>
    <w:rsid w:val="00201830"/>
    <w:rsid w:val="0020197A"/>
    <w:rsid w:val="002019DA"/>
    <w:rsid w:val="00201C8A"/>
    <w:rsid w:val="00201CAF"/>
    <w:rsid w:val="002020B1"/>
    <w:rsid w:val="0020210A"/>
    <w:rsid w:val="0020225E"/>
    <w:rsid w:val="00202280"/>
    <w:rsid w:val="002023C1"/>
    <w:rsid w:val="002024D7"/>
    <w:rsid w:val="00202860"/>
    <w:rsid w:val="00202974"/>
    <w:rsid w:val="00202A66"/>
    <w:rsid w:val="00202BEF"/>
    <w:rsid w:val="00202D14"/>
    <w:rsid w:val="002030F7"/>
    <w:rsid w:val="0020313A"/>
    <w:rsid w:val="0020313E"/>
    <w:rsid w:val="0020314F"/>
    <w:rsid w:val="00203241"/>
    <w:rsid w:val="002032B2"/>
    <w:rsid w:val="002032EE"/>
    <w:rsid w:val="002033A0"/>
    <w:rsid w:val="00203574"/>
    <w:rsid w:val="00203740"/>
    <w:rsid w:val="002038C4"/>
    <w:rsid w:val="00203C25"/>
    <w:rsid w:val="00203CCE"/>
    <w:rsid w:val="00203D3B"/>
    <w:rsid w:val="00203E19"/>
    <w:rsid w:val="00203F57"/>
    <w:rsid w:val="00203F88"/>
    <w:rsid w:val="0020400C"/>
    <w:rsid w:val="002040BD"/>
    <w:rsid w:val="002044E1"/>
    <w:rsid w:val="002046C4"/>
    <w:rsid w:val="00204772"/>
    <w:rsid w:val="00204844"/>
    <w:rsid w:val="002048F2"/>
    <w:rsid w:val="002048F6"/>
    <w:rsid w:val="00204975"/>
    <w:rsid w:val="00204A9B"/>
    <w:rsid w:val="00204C20"/>
    <w:rsid w:val="00204C38"/>
    <w:rsid w:val="00204E41"/>
    <w:rsid w:val="0020507B"/>
    <w:rsid w:val="0020511E"/>
    <w:rsid w:val="002051EE"/>
    <w:rsid w:val="0020531D"/>
    <w:rsid w:val="0020556A"/>
    <w:rsid w:val="002055CD"/>
    <w:rsid w:val="002056DF"/>
    <w:rsid w:val="002059AE"/>
    <w:rsid w:val="00205BA6"/>
    <w:rsid w:val="00205BFD"/>
    <w:rsid w:val="00205C61"/>
    <w:rsid w:val="00205D8A"/>
    <w:rsid w:val="00205FF1"/>
    <w:rsid w:val="002060C3"/>
    <w:rsid w:val="0020620B"/>
    <w:rsid w:val="0020647A"/>
    <w:rsid w:val="002065B1"/>
    <w:rsid w:val="0020662A"/>
    <w:rsid w:val="002068EE"/>
    <w:rsid w:val="00206A6E"/>
    <w:rsid w:val="00206A90"/>
    <w:rsid w:val="00206B19"/>
    <w:rsid w:val="00206C3F"/>
    <w:rsid w:val="00206E3F"/>
    <w:rsid w:val="002070D7"/>
    <w:rsid w:val="002071A2"/>
    <w:rsid w:val="002074F8"/>
    <w:rsid w:val="002075D4"/>
    <w:rsid w:val="002077C8"/>
    <w:rsid w:val="00207ABE"/>
    <w:rsid w:val="00207B69"/>
    <w:rsid w:val="00207C1A"/>
    <w:rsid w:val="00207C27"/>
    <w:rsid w:val="00207C4F"/>
    <w:rsid w:val="00207DEA"/>
    <w:rsid w:val="002101DF"/>
    <w:rsid w:val="00210238"/>
    <w:rsid w:val="002105CC"/>
    <w:rsid w:val="00210696"/>
    <w:rsid w:val="002108CD"/>
    <w:rsid w:val="0021097A"/>
    <w:rsid w:val="00210A21"/>
    <w:rsid w:val="00210A77"/>
    <w:rsid w:val="00210B02"/>
    <w:rsid w:val="00210C67"/>
    <w:rsid w:val="00210CBD"/>
    <w:rsid w:val="00210CF6"/>
    <w:rsid w:val="00210D59"/>
    <w:rsid w:val="00210E4C"/>
    <w:rsid w:val="00211063"/>
    <w:rsid w:val="00211248"/>
    <w:rsid w:val="00211376"/>
    <w:rsid w:val="00211646"/>
    <w:rsid w:val="00211751"/>
    <w:rsid w:val="002117C4"/>
    <w:rsid w:val="002118FB"/>
    <w:rsid w:val="002119A8"/>
    <w:rsid w:val="00211AEE"/>
    <w:rsid w:val="00211AF8"/>
    <w:rsid w:val="00211B61"/>
    <w:rsid w:val="00211BAD"/>
    <w:rsid w:val="00211E28"/>
    <w:rsid w:val="002125A9"/>
    <w:rsid w:val="002126D0"/>
    <w:rsid w:val="002127A4"/>
    <w:rsid w:val="00212B18"/>
    <w:rsid w:val="00212B84"/>
    <w:rsid w:val="00212C97"/>
    <w:rsid w:val="00212D2D"/>
    <w:rsid w:val="00212D71"/>
    <w:rsid w:val="00212E66"/>
    <w:rsid w:val="0021303C"/>
    <w:rsid w:val="002130A2"/>
    <w:rsid w:val="00213331"/>
    <w:rsid w:val="0021348F"/>
    <w:rsid w:val="00213822"/>
    <w:rsid w:val="00213889"/>
    <w:rsid w:val="00213988"/>
    <w:rsid w:val="00213B0A"/>
    <w:rsid w:val="00213B29"/>
    <w:rsid w:val="00213BB1"/>
    <w:rsid w:val="00213FD0"/>
    <w:rsid w:val="0021407C"/>
    <w:rsid w:val="00214381"/>
    <w:rsid w:val="00214446"/>
    <w:rsid w:val="00214533"/>
    <w:rsid w:val="00214553"/>
    <w:rsid w:val="00214603"/>
    <w:rsid w:val="00214701"/>
    <w:rsid w:val="0021480F"/>
    <w:rsid w:val="00214A02"/>
    <w:rsid w:val="00214C6B"/>
    <w:rsid w:val="00214CC3"/>
    <w:rsid w:val="00214E57"/>
    <w:rsid w:val="00214F37"/>
    <w:rsid w:val="0021508D"/>
    <w:rsid w:val="00215110"/>
    <w:rsid w:val="002154F9"/>
    <w:rsid w:val="00215809"/>
    <w:rsid w:val="002158D2"/>
    <w:rsid w:val="0021595C"/>
    <w:rsid w:val="00215AB6"/>
    <w:rsid w:val="00215D89"/>
    <w:rsid w:val="00215F91"/>
    <w:rsid w:val="00216127"/>
    <w:rsid w:val="0021614F"/>
    <w:rsid w:val="00216360"/>
    <w:rsid w:val="00216374"/>
    <w:rsid w:val="002165D4"/>
    <w:rsid w:val="00216A19"/>
    <w:rsid w:val="00216B22"/>
    <w:rsid w:val="00216B7A"/>
    <w:rsid w:val="00216B95"/>
    <w:rsid w:val="00216C5D"/>
    <w:rsid w:val="0021712B"/>
    <w:rsid w:val="002173B6"/>
    <w:rsid w:val="002173CC"/>
    <w:rsid w:val="0021750E"/>
    <w:rsid w:val="00217743"/>
    <w:rsid w:val="002178C3"/>
    <w:rsid w:val="0021798C"/>
    <w:rsid w:val="00217C35"/>
    <w:rsid w:val="00217D70"/>
    <w:rsid w:val="00220263"/>
    <w:rsid w:val="00220345"/>
    <w:rsid w:val="00220496"/>
    <w:rsid w:val="00220515"/>
    <w:rsid w:val="0022074D"/>
    <w:rsid w:val="00220A75"/>
    <w:rsid w:val="00220BC0"/>
    <w:rsid w:val="00220D7E"/>
    <w:rsid w:val="0022102D"/>
    <w:rsid w:val="00221074"/>
    <w:rsid w:val="002210C3"/>
    <w:rsid w:val="002211EB"/>
    <w:rsid w:val="002211EC"/>
    <w:rsid w:val="00221292"/>
    <w:rsid w:val="0022135E"/>
    <w:rsid w:val="0022142D"/>
    <w:rsid w:val="002216B6"/>
    <w:rsid w:val="002217A3"/>
    <w:rsid w:val="00221961"/>
    <w:rsid w:val="00221B2F"/>
    <w:rsid w:val="00221C1A"/>
    <w:rsid w:val="00221CDE"/>
    <w:rsid w:val="00221F00"/>
    <w:rsid w:val="002222EE"/>
    <w:rsid w:val="00222423"/>
    <w:rsid w:val="002225C6"/>
    <w:rsid w:val="00222698"/>
    <w:rsid w:val="00222736"/>
    <w:rsid w:val="00222841"/>
    <w:rsid w:val="00222D06"/>
    <w:rsid w:val="00222DAE"/>
    <w:rsid w:val="00222E96"/>
    <w:rsid w:val="00222F56"/>
    <w:rsid w:val="00222F69"/>
    <w:rsid w:val="00223237"/>
    <w:rsid w:val="00223253"/>
    <w:rsid w:val="00223330"/>
    <w:rsid w:val="00223448"/>
    <w:rsid w:val="00223867"/>
    <w:rsid w:val="002238C2"/>
    <w:rsid w:val="00223900"/>
    <w:rsid w:val="00223D9D"/>
    <w:rsid w:val="00223EA9"/>
    <w:rsid w:val="002241A0"/>
    <w:rsid w:val="002241E6"/>
    <w:rsid w:val="0022425F"/>
    <w:rsid w:val="0022446C"/>
    <w:rsid w:val="002244A5"/>
    <w:rsid w:val="002248F6"/>
    <w:rsid w:val="00224934"/>
    <w:rsid w:val="00224C38"/>
    <w:rsid w:val="00224D32"/>
    <w:rsid w:val="00224D94"/>
    <w:rsid w:val="00224F0C"/>
    <w:rsid w:val="00225035"/>
    <w:rsid w:val="0022511C"/>
    <w:rsid w:val="002251AC"/>
    <w:rsid w:val="0022524D"/>
    <w:rsid w:val="002252AE"/>
    <w:rsid w:val="00225324"/>
    <w:rsid w:val="0022535A"/>
    <w:rsid w:val="002253C4"/>
    <w:rsid w:val="0022550D"/>
    <w:rsid w:val="0022561B"/>
    <w:rsid w:val="0022569A"/>
    <w:rsid w:val="0022571E"/>
    <w:rsid w:val="002257AC"/>
    <w:rsid w:val="00225864"/>
    <w:rsid w:val="00225958"/>
    <w:rsid w:val="00225F8A"/>
    <w:rsid w:val="002260CA"/>
    <w:rsid w:val="0022612F"/>
    <w:rsid w:val="0022616A"/>
    <w:rsid w:val="002262BB"/>
    <w:rsid w:val="00226326"/>
    <w:rsid w:val="00226389"/>
    <w:rsid w:val="00226396"/>
    <w:rsid w:val="002263DB"/>
    <w:rsid w:val="0022644C"/>
    <w:rsid w:val="002265F5"/>
    <w:rsid w:val="0022663C"/>
    <w:rsid w:val="00226866"/>
    <w:rsid w:val="00226898"/>
    <w:rsid w:val="00226D7D"/>
    <w:rsid w:val="00226D87"/>
    <w:rsid w:val="00227116"/>
    <w:rsid w:val="00227167"/>
    <w:rsid w:val="002271EA"/>
    <w:rsid w:val="00227201"/>
    <w:rsid w:val="002274B7"/>
    <w:rsid w:val="002274F5"/>
    <w:rsid w:val="00227560"/>
    <w:rsid w:val="0022758A"/>
    <w:rsid w:val="002275BF"/>
    <w:rsid w:val="0022761D"/>
    <w:rsid w:val="0022774E"/>
    <w:rsid w:val="0022782B"/>
    <w:rsid w:val="00227970"/>
    <w:rsid w:val="002279BC"/>
    <w:rsid w:val="00227A6C"/>
    <w:rsid w:val="00227AD3"/>
    <w:rsid w:val="00227C97"/>
    <w:rsid w:val="00227CE3"/>
    <w:rsid w:val="00227D43"/>
    <w:rsid w:val="00227DCF"/>
    <w:rsid w:val="00227ED7"/>
    <w:rsid w:val="00227F37"/>
    <w:rsid w:val="00230228"/>
    <w:rsid w:val="002302B9"/>
    <w:rsid w:val="002303B2"/>
    <w:rsid w:val="002305A6"/>
    <w:rsid w:val="002305C8"/>
    <w:rsid w:val="0023063E"/>
    <w:rsid w:val="0023084F"/>
    <w:rsid w:val="002308AC"/>
    <w:rsid w:val="002309ED"/>
    <w:rsid w:val="00231070"/>
    <w:rsid w:val="0023113A"/>
    <w:rsid w:val="00231193"/>
    <w:rsid w:val="00231395"/>
    <w:rsid w:val="002313AA"/>
    <w:rsid w:val="0023143E"/>
    <w:rsid w:val="00231498"/>
    <w:rsid w:val="00231569"/>
    <w:rsid w:val="00231905"/>
    <w:rsid w:val="00231A3C"/>
    <w:rsid w:val="00231B8B"/>
    <w:rsid w:val="00231CE9"/>
    <w:rsid w:val="00231CEB"/>
    <w:rsid w:val="00231FF4"/>
    <w:rsid w:val="002320B0"/>
    <w:rsid w:val="002321D8"/>
    <w:rsid w:val="00232203"/>
    <w:rsid w:val="0023286F"/>
    <w:rsid w:val="00232D73"/>
    <w:rsid w:val="00232D93"/>
    <w:rsid w:val="00232F02"/>
    <w:rsid w:val="00232F68"/>
    <w:rsid w:val="00233059"/>
    <w:rsid w:val="002330A3"/>
    <w:rsid w:val="002332D1"/>
    <w:rsid w:val="00233614"/>
    <w:rsid w:val="0023361B"/>
    <w:rsid w:val="002337CD"/>
    <w:rsid w:val="002337E2"/>
    <w:rsid w:val="00233882"/>
    <w:rsid w:val="002339AB"/>
    <w:rsid w:val="00233AE7"/>
    <w:rsid w:val="00233CB5"/>
    <w:rsid w:val="00233D44"/>
    <w:rsid w:val="00233EB9"/>
    <w:rsid w:val="00234094"/>
    <w:rsid w:val="00234489"/>
    <w:rsid w:val="00234539"/>
    <w:rsid w:val="00234603"/>
    <w:rsid w:val="00234610"/>
    <w:rsid w:val="00234965"/>
    <w:rsid w:val="00234AED"/>
    <w:rsid w:val="00234B17"/>
    <w:rsid w:val="00234B9C"/>
    <w:rsid w:val="00234C0F"/>
    <w:rsid w:val="00234CFD"/>
    <w:rsid w:val="00234D82"/>
    <w:rsid w:val="00234DBF"/>
    <w:rsid w:val="0023510F"/>
    <w:rsid w:val="00235223"/>
    <w:rsid w:val="0023536F"/>
    <w:rsid w:val="00235726"/>
    <w:rsid w:val="002357E9"/>
    <w:rsid w:val="002358B8"/>
    <w:rsid w:val="00235930"/>
    <w:rsid w:val="002359B0"/>
    <w:rsid w:val="00235CED"/>
    <w:rsid w:val="00236024"/>
    <w:rsid w:val="00236034"/>
    <w:rsid w:val="00236037"/>
    <w:rsid w:val="00236220"/>
    <w:rsid w:val="002362BF"/>
    <w:rsid w:val="00236463"/>
    <w:rsid w:val="00236779"/>
    <w:rsid w:val="002367A3"/>
    <w:rsid w:val="00236817"/>
    <w:rsid w:val="0023686A"/>
    <w:rsid w:val="00236D4A"/>
    <w:rsid w:val="00236E14"/>
    <w:rsid w:val="00236F7A"/>
    <w:rsid w:val="00237072"/>
    <w:rsid w:val="00237180"/>
    <w:rsid w:val="002371E0"/>
    <w:rsid w:val="0023745A"/>
    <w:rsid w:val="0023755D"/>
    <w:rsid w:val="002375C8"/>
    <w:rsid w:val="00237677"/>
    <w:rsid w:val="002377C5"/>
    <w:rsid w:val="002377CD"/>
    <w:rsid w:val="00237B8D"/>
    <w:rsid w:val="00237BE3"/>
    <w:rsid w:val="00237DEE"/>
    <w:rsid w:val="00237F08"/>
    <w:rsid w:val="00237F58"/>
    <w:rsid w:val="002400F2"/>
    <w:rsid w:val="0024012C"/>
    <w:rsid w:val="002401AA"/>
    <w:rsid w:val="00240205"/>
    <w:rsid w:val="00240366"/>
    <w:rsid w:val="002403C9"/>
    <w:rsid w:val="0024046C"/>
    <w:rsid w:val="00240535"/>
    <w:rsid w:val="00240561"/>
    <w:rsid w:val="00240584"/>
    <w:rsid w:val="002405E5"/>
    <w:rsid w:val="00240669"/>
    <w:rsid w:val="002408B7"/>
    <w:rsid w:val="00240A88"/>
    <w:rsid w:val="00240BB8"/>
    <w:rsid w:val="00240C08"/>
    <w:rsid w:val="00240CD4"/>
    <w:rsid w:val="00240E03"/>
    <w:rsid w:val="00240E83"/>
    <w:rsid w:val="00240E92"/>
    <w:rsid w:val="00240F08"/>
    <w:rsid w:val="00240F1E"/>
    <w:rsid w:val="00240FC2"/>
    <w:rsid w:val="00240FE2"/>
    <w:rsid w:val="00240FFA"/>
    <w:rsid w:val="0024108A"/>
    <w:rsid w:val="00241115"/>
    <w:rsid w:val="00241165"/>
    <w:rsid w:val="00241303"/>
    <w:rsid w:val="00241529"/>
    <w:rsid w:val="0024160A"/>
    <w:rsid w:val="0024175D"/>
    <w:rsid w:val="00241791"/>
    <w:rsid w:val="0024187E"/>
    <w:rsid w:val="00241A5C"/>
    <w:rsid w:val="00241AEB"/>
    <w:rsid w:val="00241B8B"/>
    <w:rsid w:val="0024208A"/>
    <w:rsid w:val="002420AC"/>
    <w:rsid w:val="00242410"/>
    <w:rsid w:val="002428E3"/>
    <w:rsid w:val="002429C8"/>
    <w:rsid w:val="00242AB3"/>
    <w:rsid w:val="00242B89"/>
    <w:rsid w:val="00242C6E"/>
    <w:rsid w:val="00242EBB"/>
    <w:rsid w:val="00242F31"/>
    <w:rsid w:val="0024321E"/>
    <w:rsid w:val="002432EB"/>
    <w:rsid w:val="00243410"/>
    <w:rsid w:val="002436D6"/>
    <w:rsid w:val="0024380C"/>
    <w:rsid w:val="0024390A"/>
    <w:rsid w:val="00243AA7"/>
    <w:rsid w:val="00243B29"/>
    <w:rsid w:val="00243C9A"/>
    <w:rsid w:val="00243CAA"/>
    <w:rsid w:val="00243D80"/>
    <w:rsid w:val="00243E1A"/>
    <w:rsid w:val="00243FC0"/>
    <w:rsid w:val="002440AC"/>
    <w:rsid w:val="002441CB"/>
    <w:rsid w:val="00244202"/>
    <w:rsid w:val="00244240"/>
    <w:rsid w:val="00244764"/>
    <w:rsid w:val="002447BC"/>
    <w:rsid w:val="00244878"/>
    <w:rsid w:val="0024487C"/>
    <w:rsid w:val="00244CF8"/>
    <w:rsid w:val="00244E53"/>
    <w:rsid w:val="00245012"/>
    <w:rsid w:val="0024516C"/>
    <w:rsid w:val="002451C7"/>
    <w:rsid w:val="00245341"/>
    <w:rsid w:val="002453D6"/>
    <w:rsid w:val="0024559B"/>
    <w:rsid w:val="0024586E"/>
    <w:rsid w:val="00245A67"/>
    <w:rsid w:val="00245C2A"/>
    <w:rsid w:val="00245E60"/>
    <w:rsid w:val="00245E6C"/>
    <w:rsid w:val="00245EFF"/>
    <w:rsid w:val="00245F23"/>
    <w:rsid w:val="00246065"/>
    <w:rsid w:val="00246084"/>
    <w:rsid w:val="00246104"/>
    <w:rsid w:val="002461B3"/>
    <w:rsid w:val="002461E3"/>
    <w:rsid w:val="002461F3"/>
    <w:rsid w:val="00246337"/>
    <w:rsid w:val="002464FE"/>
    <w:rsid w:val="002467C8"/>
    <w:rsid w:val="002467E1"/>
    <w:rsid w:val="00246C78"/>
    <w:rsid w:val="00246D06"/>
    <w:rsid w:val="00246FB4"/>
    <w:rsid w:val="00246FBD"/>
    <w:rsid w:val="00247135"/>
    <w:rsid w:val="00247161"/>
    <w:rsid w:val="002471E2"/>
    <w:rsid w:val="002473E9"/>
    <w:rsid w:val="002473F5"/>
    <w:rsid w:val="00247406"/>
    <w:rsid w:val="0024755E"/>
    <w:rsid w:val="00247563"/>
    <w:rsid w:val="00247584"/>
    <w:rsid w:val="00247618"/>
    <w:rsid w:val="002477C9"/>
    <w:rsid w:val="002478E9"/>
    <w:rsid w:val="0024796B"/>
    <w:rsid w:val="00247A1B"/>
    <w:rsid w:val="00247E4A"/>
    <w:rsid w:val="00247E99"/>
    <w:rsid w:val="00250030"/>
    <w:rsid w:val="002501A1"/>
    <w:rsid w:val="002504C4"/>
    <w:rsid w:val="00250750"/>
    <w:rsid w:val="00250900"/>
    <w:rsid w:val="00250903"/>
    <w:rsid w:val="00250A77"/>
    <w:rsid w:val="00250B18"/>
    <w:rsid w:val="00250CB4"/>
    <w:rsid w:val="00250D0A"/>
    <w:rsid w:val="00250DBD"/>
    <w:rsid w:val="002510A2"/>
    <w:rsid w:val="002511E6"/>
    <w:rsid w:val="0025121C"/>
    <w:rsid w:val="00251378"/>
    <w:rsid w:val="002514A5"/>
    <w:rsid w:val="00251601"/>
    <w:rsid w:val="002517D4"/>
    <w:rsid w:val="00251E06"/>
    <w:rsid w:val="00251E98"/>
    <w:rsid w:val="00251EAE"/>
    <w:rsid w:val="00251EFA"/>
    <w:rsid w:val="0025204B"/>
    <w:rsid w:val="002520F1"/>
    <w:rsid w:val="00252183"/>
    <w:rsid w:val="00252359"/>
    <w:rsid w:val="00252401"/>
    <w:rsid w:val="0025248A"/>
    <w:rsid w:val="00252506"/>
    <w:rsid w:val="002525B0"/>
    <w:rsid w:val="002525BE"/>
    <w:rsid w:val="002525BF"/>
    <w:rsid w:val="002526F8"/>
    <w:rsid w:val="00252782"/>
    <w:rsid w:val="00252917"/>
    <w:rsid w:val="002529BB"/>
    <w:rsid w:val="00252C33"/>
    <w:rsid w:val="00252CBD"/>
    <w:rsid w:val="00252D74"/>
    <w:rsid w:val="00252EA1"/>
    <w:rsid w:val="00252EB6"/>
    <w:rsid w:val="00252FF7"/>
    <w:rsid w:val="0025315F"/>
    <w:rsid w:val="0025380E"/>
    <w:rsid w:val="00253836"/>
    <w:rsid w:val="0025385D"/>
    <w:rsid w:val="00253982"/>
    <w:rsid w:val="00253DB5"/>
    <w:rsid w:val="00253E1A"/>
    <w:rsid w:val="00253ECF"/>
    <w:rsid w:val="002540C6"/>
    <w:rsid w:val="002545D1"/>
    <w:rsid w:val="00254629"/>
    <w:rsid w:val="002546BE"/>
    <w:rsid w:val="0025476D"/>
    <w:rsid w:val="002548A7"/>
    <w:rsid w:val="0025492E"/>
    <w:rsid w:val="00254A48"/>
    <w:rsid w:val="00254AC1"/>
    <w:rsid w:val="00254BDD"/>
    <w:rsid w:val="00254EC2"/>
    <w:rsid w:val="00254F07"/>
    <w:rsid w:val="00254FDC"/>
    <w:rsid w:val="00255176"/>
    <w:rsid w:val="00255522"/>
    <w:rsid w:val="00255676"/>
    <w:rsid w:val="002556FF"/>
    <w:rsid w:val="00255DF8"/>
    <w:rsid w:val="00255EFA"/>
    <w:rsid w:val="0025622E"/>
    <w:rsid w:val="0025630A"/>
    <w:rsid w:val="0025643A"/>
    <w:rsid w:val="002566A8"/>
    <w:rsid w:val="00256830"/>
    <w:rsid w:val="0025686C"/>
    <w:rsid w:val="00256B14"/>
    <w:rsid w:val="00256B73"/>
    <w:rsid w:val="00256DF3"/>
    <w:rsid w:val="00256E87"/>
    <w:rsid w:val="00256EBA"/>
    <w:rsid w:val="00256EDA"/>
    <w:rsid w:val="00256F5A"/>
    <w:rsid w:val="00256FC1"/>
    <w:rsid w:val="00256FDB"/>
    <w:rsid w:val="0025749B"/>
    <w:rsid w:val="002575E2"/>
    <w:rsid w:val="00257613"/>
    <w:rsid w:val="00257658"/>
    <w:rsid w:val="002576C8"/>
    <w:rsid w:val="00257889"/>
    <w:rsid w:val="002578C8"/>
    <w:rsid w:val="00257D0D"/>
    <w:rsid w:val="00257DC1"/>
    <w:rsid w:val="00257F3D"/>
    <w:rsid w:val="00257FF6"/>
    <w:rsid w:val="002601C9"/>
    <w:rsid w:val="0026042B"/>
    <w:rsid w:val="002604AA"/>
    <w:rsid w:val="002604E3"/>
    <w:rsid w:val="00260529"/>
    <w:rsid w:val="0026061C"/>
    <w:rsid w:val="00260656"/>
    <w:rsid w:val="002608D9"/>
    <w:rsid w:val="00260D29"/>
    <w:rsid w:val="0026116C"/>
    <w:rsid w:val="002611B7"/>
    <w:rsid w:val="00261403"/>
    <w:rsid w:val="00261487"/>
    <w:rsid w:val="00261500"/>
    <w:rsid w:val="00261533"/>
    <w:rsid w:val="0026189C"/>
    <w:rsid w:val="00261AB5"/>
    <w:rsid w:val="00261AFD"/>
    <w:rsid w:val="00261B4B"/>
    <w:rsid w:val="00261C7A"/>
    <w:rsid w:val="00261E7E"/>
    <w:rsid w:val="00261ED9"/>
    <w:rsid w:val="0026203C"/>
    <w:rsid w:val="002621D6"/>
    <w:rsid w:val="00262383"/>
    <w:rsid w:val="002623A4"/>
    <w:rsid w:val="002624CB"/>
    <w:rsid w:val="002625AF"/>
    <w:rsid w:val="00262785"/>
    <w:rsid w:val="00262859"/>
    <w:rsid w:val="00262A13"/>
    <w:rsid w:val="00262BBA"/>
    <w:rsid w:val="00262BE2"/>
    <w:rsid w:val="00262D5A"/>
    <w:rsid w:val="00262E0A"/>
    <w:rsid w:val="0026313F"/>
    <w:rsid w:val="002631A8"/>
    <w:rsid w:val="002631FF"/>
    <w:rsid w:val="00263265"/>
    <w:rsid w:val="00263309"/>
    <w:rsid w:val="002636DD"/>
    <w:rsid w:val="00263766"/>
    <w:rsid w:val="00263801"/>
    <w:rsid w:val="002638DA"/>
    <w:rsid w:val="0026394F"/>
    <w:rsid w:val="002639BB"/>
    <w:rsid w:val="00263B89"/>
    <w:rsid w:val="00263FA3"/>
    <w:rsid w:val="00264009"/>
    <w:rsid w:val="002641BE"/>
    <w:rsid w:val="00264319"/>
    <w:rsid w:val="00264605"/>
    <w:rsid w:val="0026462A"/>
    <w:rsid w:val="00264656"/>
    <w:rsid w:val="00264699"/>
    <w:rsid w:val="00264707"/>
    <w:rsid w:val="002649D0"/>
    <w:rsid w:val="00264A17"/>
    <w:rsid w:val="00264A99"/>
    <w:rsid w:val="00264B84"/>
    <w:rsid w:val="00264DB3"/>
    <w:rsid w:val="00264F0A"/>
    <w:rsid w:val="002650CA"/>
    <w:rsid w:val="00265426"/>
    <w:rsid w:val="002655D5"/>
    <w:rsid w:val="00265667"/>
    <w:rsid w:val="002656B7"/>
    <w:rsid w:val="0026595E"/>
    <w:rsid w:val="00265AE3"/>
    <w:rsid w:val="00265B6B"/>
    <w:rsid w:val="00265D6D"/>
    <w:rsid w:val="00265FD2"/>
    <w:rsid w:val="00266025"/>
    <w:rsid w:val="00266252"/>
    <w:rsid w:val="00266341"/>
    <w:rsid w:val="00266377"/>
    <w:rsid w:val="002663CA"/>
    <w:rsid w:val="00266401"/>
    <w:rsid w:val="0026640D"/>
    <w:rsid w:val="00266688"/>
    <w:rsid w:val="00266690"/>
    <w:rsid w:val="002666D5"/>
    <w:rsid w:val="00266811"/>
    <w:rsid w:val="0026693C"/>
    <w:rsid w:val="00266A0E"/>
    <w:rsid w:val="00266B9A"/>
    <w:rsid w:val="00266CC2"/>
    <w:rsid w:val="00266DA6"/>
    <w:rsid w:val="00266EB5"/>
    <w:rsid w:val="0026712A"/>
    <w:rsid w:val="00267154"/>
    <w:rsid w:val="00267244"/>
    <w:rsid w:val="00267268"/>
    <w:rsid w:val="00267324"/>
    <w:rsid w:val="00267526"/>
    <w:rsid w:val="0026762E"/>
    <w:rsid w:val="00267643"/>
    <w:rsid w:val="002676D8"/>
    <w:rsid w:val="00267A04"/>
    <w:rsid w:val="00267A83"/>
    <w:rsid w:val="00267AF8"/>
    <w:rsid w:val="00267B91"/>
    <w:rsid w:val="00267C45"/>
    <w:rsid w:val="00267CDF"/>
    <w:rsid w:val="00267D66"/>
    <w:rsid w:val="00267E0C"/>
    <w:rsid w:val="00270467"/>
    <w:rsid w:val="00270690"/>
    <w:rsid w:val="002707FA"/>
    <w:rsid w:val="00270A0A"/>
    <w:rsid w:val="00270CA9"/>
    <w:rsid w:val="00270CB3"/>
    <w:rsid w:val="00270D97"/>
    <w:rsid w:val="00270EA3"/>
    <w:rsid w:val="00270F33"/>
    <w:rsid w:val="002711C5"/>
    <w:rsid w:val="002713D8"/>
    <w:rsid w:val="0027153A"/>
    <w:rsid w:val="00271649"/>
    <w:rsid w:val="0027168F"/>
    <w:rsid w:val="00271844"/>
    <w:rsid w:val="0027187C"/>
    <w:rsid w:val="002719DE"/>
    <w:rsid w:val="0027202F"/>
    <w:rsid w:val="0027217C"/>
    <w:rsid w:val="002721DC"/>
    <w:rsid w:val="0027227F"/>
    <w:rsid w:val="002723BF"/>
    <w:rsid w:val="0027246C"/>
    <w:rsid w:val="002724ED"/>
    <w:rsid w:val="00272AA2"/>
    <w:rsid w:val="00272B4C"/>
    <w:rsid w:val="00272B92"/>
    <w:rsid w:val="00272BF4"/>
    <w:rsid w:val="00272D95"/>
    <w:rsid w:val="00272EBC"/>
    <w:rsid w:val="00272EBE"/>
    <w:rsid w:val="00272F6A"/>
    <w:rsid w:val="00273446"/>
    <w:rsid w:val="00273485"/>
    <w:rsid w:val="0027360F"/>
    <w:rsid w:val="0027393D"/>
    <w:rsid w:val="002739E2"/>
    <w:rsid w:val="00273A15"/>
    <w:rsid w:val="00273B0F"/>
    <w:rsid w:val="00273C9B"/>
    <w:rsid w:val="00273CE6"/>
    <w:rsid w:val="00273CFD"/>
    <w:rsid w:val="00273E03"/>
    <w:rsid w:val="00273EB5"/>
    <w:rsid w:val="002740D1"/>
    <w:rsid w:val="0027412C"/>
    <w:rsid w:val="00274315"/>
    <w:rsid w:val="002743F4"/>
    <w:rsid w:val="0027442D"/>
    <w:rsid w:val="00274430"/>
    <w:rsid w:val="00274505"/>
    <w:rsid w:val="0027453A"/>
    <w:rsid w:val="00274615"/>
    <w:rsid w:val="002747E2"/>
    <w:rsid w:val="00274A21"/>
    <w:rsid w:val="00274CBF"/>
    <w:rsid w:val="00275255"/>
    <w:rsid w:val="0027544F"/>
    <w:rsid w:val="002754F9"/>
    <w:rsid w:val="00275505"/>
    <w:rsid w:val="002755DF"/>
    <w:rsid w:val="002756B0"/>
    <w:rsid w:val="002758FE"/>
    <w:rsid w:val="002759A2"/>
    <w:rsid w:val="00275B1F"/>
    <w:rsid w:val="00275BEC"/>
    <w:rsid w:val="00275D5B"/>
    <w:rsid w:val="00275F7E"/>
    <w:rsid w:val="00275FC4"/>
    <w:rsid w:val="00276049"/>
    <w:rsid w:val="00276095"/>
    <w:rsid w:val="0027613C"/>
    <w:rsid w:val="00276196"/>
    <w:rsid w:val="00276531"/>
    <w:rsid w:val="002766B5"/>
    <w:rsid w:val="002766D0"/>
    <w:rsid w:val="0027676B"/>
    <w:rsid w:val="002767BD"/>
    <w:rsid w:val="002767F5"/>
    <w:rsid w:val="00276AED"/>
    <w:rsid w:val="00276E85"/>
    <w:rsid w:val="00277233"/>
    <w:rsid w:val="0027755A"/>
    <w:rsid w:val="002775C2"/>
    <w:rsid w:val="002776E7"/>
    <w:rsid w:val="002777A4"/>
    <w:rsid w:val="002778DC"/>
    <w:rsid w:val="0027794C"/>
    <w:rsid w:val="00277EB9"/>
    <w:rsid w:val="002800C5"/>
    <w:rsid w:val="0028026B"/>
    <w:rsid w:val="002803BF"/>
    <w:rsid w:val="002804D4"/>
    <w:rsid w:val="00280549"/>
    <w:rsid w:val="002805A5"/>
    <w:rsid w:val="0028075B"/>
    <w:rsid w:val="0028094F"/>
    <w:rsid w:val="00280BEE"/>
    <w:rsid w:val="00280C39"/>
    <w:rsid w:val="00280CD0"/>
    <w:rsid w:val="00280CFD"/>
    <w:rsid w:val="00280EB0"/>
    <w:rsid w:val="00281037"/>
    <w:rsid w:val="00281329"/>
    <w:rsid w:val="00281357"/>
    <w:rsid w:val="00281494"/>
    <w:rsid w:val="002814FC"/>
    <w:rsid w:val="00281515"/>
    <w:rsid w:val="002815FF"/>
    <w:rsid w:val="00281648"/>
    <w:rsid w:val="00281675"/>
    <w:rsid w:val="0028172A"/>
    <w:rsid w:val="00281765"/>
    <w:rsid w:val="00281849"/>
    <w:rsid w:val="00281CB3"/>
    <w:rsid w:val="00281D7D"/>
    <w:rsid w:val="00281E15"/>
    <w:rsid w:val="002820ED"/>
    <w:rsid w:val="00282254"/>
    <w:rsid w:val="00282257"/>
    <w:rsid w:val="00282557"/>
    <w:rsid w:val="00282856"/>
    <w:rsid w:val="00282A1D"/>
    <w:rsid w:val="00282AAC"/>
    <w:rsid w:val="00282BF7"/>
    <w:rsid w:val="00282D7E"/>
    <w:rsid w:val="00282F2A"/>
    <w:rsid w:val="00283102"/>
    <w:rsid w:val="00283323"/>
    <w:rsid w:val="002833CE"/>
    <w:rsid w:val="00283603"/>
    <w:rsid w:val="0028360A"/>
    <w:rsid w:val="0028367B"/>
    <w:rsid w:val="00283680"/>
    <w:rsid w:val="0028388F"/>
    <w:rsid w:val="002838C7"/>
    <w:rsid w:val="002838D7"/>
    <w:rsid w:val="00283969"/>
    <w:rsid w:val="002839A7"/>
    <w:rsid w:val="002839D9"/>
    <w:rsid w:val="002839F4"/>
    <w:rsid w:val="00283A14"/>
    <w:rsid w:val="00283A8A"/>
    <w:rsid w:val="00283BE7"/>
    <w:rsid w:val="00283C59"/>
    <w:rsid w:val="00283DB8"/>
    <w:rsid w:val="00283E0E"/>
    <w:rsid w:val="0028427D"/>
    <w:rsid w:val="0028431A"/>
    <w:rsid w:val="00284591"/>
    <w:rsid w:val="002845BE"/>
    <w:rsid w:val="00284690"/>
    <w:rsid w:val="0028469A"/>
    <w:rsid w:val="002846E6"/>
    <w:rsid w:val="00284722"/>
    <w:rsid w:val="002847AC"/>
    <w:rsid w:val="002847AD"/>
    <w:rsid w:val="002847B9"/>
    <w:rsid w:val="002847BB"/>
    <w:rsid w:val="00284828"/>
    <w:rsid w:val="00284B58"/>
    <w:rsid w:val="00284C87"/>
    <w:rsid w:val="00284D2D"/>
    <w:rsid w:val="00284DE7"/>
    <w:rsid w:val="00284E6B"/>
    <w:rsid w:val="00284F2C"/>
    <w:rsid w:val="00284F3F"/>
    <w:rsid w:val="00284F5F"/>
    <w:rsid w:val="00284F7E"/>
    <w:rsid w:val="00284F85"/>
    <w:rsid w:val="00284FE3"/>
    <w:rsid w:val="00285077"/>
    <w:rsid w:val="0028556E"/>
    <w:rsid w:val="00285717"/>
    <w:rsid w:val="0028571C"/>
    <w:rsid w:val="002857A9"/>
    <w:rsid w:val="0028593A"/>
    <w:rsid w:val="0028594E"/>
    <w:rsid w:val="00285B71"/>
    <w:rsid w:val="00285D3E"/>
    <w:rsid w:val="00285DA5"/>
    <w:rsid w:val="00285F0D"/>
    <w:rsid w:val="0028636B"/>
    <w:rsid w:val="0028644E"/>
    <w:rsid w:val="0028654C"/>
    <w:rsid w:val="00286719"/>
    <w:rsid w:val="002867AA"/>
    <w:rsid w:val="00286D93"/>
    <w:rsid w:val="00286F5C"/>
    <w:rsid w:val="00286FF2"/>
    <w:rsid w:val="00287669"/>
    <w:rsid w:val="002876FE"/>
    <w:rsid w:val="00287935"/>
    <w:rsid w:val="00287D92"/>
    <w:rsid w:val="00287DE7"/>
    <w:rsid w:val="00290033"/>
    <w:rsid w:val="00290538"/>
    <w:rsid w:val="0029062D"/>
    <w:rsid w:val="002907BE"/>
    <w:rsid w:val="002908F4"/>
    <w:rsid w:val="00290927"/>
    <w:rsid w:val="00290A77"/>
    <w:rsid w:val="00290C27"/>
    <w:rsid w:val="00290C44"/>
    <w:rsid w:val="00290F84"/>
    <w:rsid w:val="00290FF2"/>
    <w:rsid w:val="002910F7"/>
    <w:rsid w:val="002912C8"/>
    <w:rsid w:val="00291491"/>
    <w:rsid w:val="0029153B"/>
    <w:rsid w:val="002919E0"/>
    <w:rsid w:val="00291CA8"/>
    <w:rsid w:val="00291E40"/>
    <w:rsid w:val="00291EF6"/>
    <w:rsid w:val="00292150"/>
    <w:rsid w:val="00292247"/>
    <w:rsid w:val="0029230D"/>
    <w:rsid w:val="00292514"/>
    <w:rsid w:val="00292562"/>
    <w:rsid w:val="002925CC"/>
    <w:rsid w:val="00292803"/>
    <w:rsid w:val="002929B8"/>
    <w:rsid w:val="002929E2"/>
    <w:rsid w:val="00292AE7"/>
    <w:rsid w:val="00292B1E"/>
    <w:rsid w:val="00292C41"/>
    <w:rsid w:val="00292FC9"/>
    <w:rsid w:val="0029305A"/>
    <w:rsid w:val="0029305B"/>
    <w:rsid w:val="00293251"/>
    <w:rsid w:val="0029329F"/>
    <w:rsid w:val="002933C7"/>
    <w:rsid w:val="002933F1"/>
    <w:rsid w:val="00293452"/>
    <w:rsid w:val="002934E5"/>
    <w:rsid w:val="00293506"/>
    <w:rsid w:val="00293A14"/>
    <w:rsid w:val="00293B2D"/>
    <w:rsid w:val="00293B79"/>
    <w:rsid w:val="00293C4A"/>
    <w:rsid w:val="00293C55"/>
    <w:rsid w:val="00293C57"/>
    <w:rsid w:val="00293C76"/>
    <w:rsid w:val="00293CC3"/>
    <w:rsid w:val="00293F7E"/>
    <w:rsid w:val="00294088"/>
    <w:rsid w:val="002940CD"/>
    <w:rsid w:val="002941AE"/>
    <w:rsid w:val="00294353"/>
    <w:rsid w:val="0029448E"/>
    <w:rsid w:val="00294574"/>
    <w:rsid w:val="002946C9"/>
    <w:rsid w:val="00294888"/>
    <w:rsid w:val="00294B70"/>
    <w:rsid w:val="00294C66"/>
    <w:rsid w:val="00294C71"/>
    <w:rsid w:val="00294CA1"/>
    <w:rsid w:val="00294D10"/>
    <w:rsid w:val="00294FD1"/>
    <w:rsid w:val="00295111"/>
    <w:rsid w:val="00295151"/>
    <w:rsid w:val="0029554D"/>
    <w:rsid w:val="002959FD"/>
    <w:rsid w:val="00295AB2"/>
    <w:rsid w:val="00295ACC"/>
    <w:rsid w:val="00295AD6"/>
    <w:rsid w:val="00295BE0"/>
    <w:rsid w:val="00295D61"/>
    <w:rsid w:val="00295EF1"/>
    <w:rsid w:val="002962D2"/>
    <w:rsid w:val="00296330"/>
    <w:rsid w:val="00296419"/>
    <w:rsid w:val="00296741"/>
    <w:rsid w:val="00296743"/>
    <w:rsid w:val="002968D3"/>
    <w:rsid w:val="00296C0D"/>
    <w:rsid w:val="00296C8D"/>
    <w:rsid w:val="00296E3B"/>
    <w:rsid w:val="002970F1"/>
    <w:rsid w:val="00297101"/>
    <w:rsid w:val="0029727F"/>
    <w:rsid w:val="0029728D"/>
    <w:rsid w:val="002975D5"/>
    <w:rsid w:val="002978D1"/>
    <w:rsid w:val="0029797F"/>
    <w:rsid w:val="00297D69"/>
    <w:rsid w:val="00297DCB"/>
    <w:rsid w:val="00297F1C"/>
    <w:rsid w:val="00297FE6"/>
    <w:rsid w:val="002A015D"/>
    <w:rsid w:val="002A025B"/>
    <w:rsid w:val="002A052D"/>
    <w:rsid w:val="002A0701"/>
    <w:rsid w:val="002A0714"/>
    <w:rsid w:val="002A0756"/>
    <w:rsid w:val="002A07E9"/>
    <w:rsid w:val="002A07EB"/>
    <w:rsid w:val="002A0D8C"/>
    <w:rsid w:val="002A0E5A"/>
    <w:rsid w:val="002A0E9F"/>
    <w:rsid w:val="002A1124"/>
    <w:rsid w:val="002A11E8"/>
    <w:rsid w:val="002A12C5"/>
    <w:rsid w:val="002A13A6"/>
    <w:rsid w:val="002A18C7"/>
    <w:rsid w:val="002A19FF"/>
    <w:rsid w:val="002A1A0A"/>
    <w:rsid w:val="002A1B86"/>
    <w:rsid w:val="002A1BD8"/>
    <w:rsid w:val="002A1E67"/>
    <w:rsid w:val="002A1F0E"/>
    <w:rsid w:val="002A2069"/>
    <w:rsid w:val="002A2111"/>
    <w:rsid w:val="002A214B"/>
    <w:rsid w:val="002A21E4"/>
    <w:rsid w:val="002A23FA"/>
    <w:rsid w:val="002A250E"/>
    <w:rsid w:val="002A256C"/>
    <w:rsid w:val="002A2582"/>
    <w:rsid w:val="002A270C"/>
    <w:rsid w:val="002A27DC"/>
    <w:rsid w:val="002A28D1"/>
    <w:rsid w:val="002A2B43"/>
    <w:rsid w:val="002A2C1A"/>
    <w:rsid w:val="002A2C86"/>
    <w:rsid w:val="002A2CC8"/>
    <w:rsid w:val="002A2CF0"/>
    <w:rsid w:val="002A2FB9"/>
    <w:rsid w:val="002A3080"/>
    <w:rsid w:val="002A370E"/>
    <w:rsid w:val="002A387C"/>
    <w:rsid w:val="002A3AE9"/>
    <w:rsid w:val="002A3B38"/>
    <w:rsid w:val="002A3D68"/>
    <w:rsid w:val="002A3FF2"/>
    <w:rsid w:val="002A416A"/>
    <w:rsid w:val="002A41A0"/>
    <w:rsid w:val="002A41A7"/>
    <w:rsid w:val="002A42EE"/>
    <w:rsid w:val="002A43B1"/>
    <w:rsid w:val="002A4417"/>
    <w:rsid w:val="002A44B0"/>
    <w:rsid w:val="002A44FE"/>
    <w:rsid w:val="002A4565"/>
    <w:rsid w:val="002A4652"/>
    <w:rsid w:val="002A482E"/>
    <w:rsid w:val="002A4AD5"/>
    <w:rsid w:val="002A4BF8"/>
    <w:rsid w:val="002A4C36"/>
    <w:rsid w:val="002A4DAD"/>
    <w:rsid w:val="002A4DCA"/>
    <w:rsid w:val="002A5215"/>
    <w:rsid w:val="002A5279"/>
    <w:rsid w:val="002A52C4"/>
    <w:rsid w:val="002A5360"/>
    <w:rsid w:val="002A5599"/>
    <w:rsid w:val="002A5749"/>
    <w:rsid w:val="002A5750"/>
    <w:rsid w:val="002A57AA"/>
    <w:rsid w:val="002A57DF"/>
    <w:rsid w:val="002A584C"/>
    <w:rsid w:val="002A5B78"/>
    <w:rsid w:val="002A5DB3"/>
    <w:rsid w:val="002A5E0C"/>
    <w:rsid w:val="002A5E6F"/>
    <w:rsid w:val="002A5EF6"/>
    <w:rsid w:val="002A6097"/>
    <w:rsid w:val="002A60AE"/>
    <w:rsid w:val="002A6113"/>
    <w:rsid w:val="002A61D2"/>
    <w:rsid w:val="002A6337"/>
    <w:rsid w:val="002A6449"/>
    <w:rsid w:val="002A68B0"/>
    <w:rsid w:val="002A6AE3"/>
    <w:rsid w:val="002A6D93"/>
    <w:rsid w:val="002A6DEB"/>
    <w:rsid w:val="002A6EB0"/>
    <w:rsid w:val="002A6FBD"/>
    <w:rsid w:val="002A70D2"/>
    <w:rsid w:val="002A728F"/>
    <w:rsid w:val="002A72ED"/>
    <w:rsid w:val="002A72F7"/>
    <w:rsid w:val="002A7362"/>
    <w:rsid w:val="002A738B"/>
    <w:rsid w:val="002A74F1"/>
    <w:rsid w:val="002A75B1"/>
    <w:rsid w:val="002A7617"/>
    <w:rsid w:val="002A783E"/>
    <w:rsid w:val="002A7866"/>
    <w:rsid w:val="002A78AB"/>
    <w:rsid w:val="002A78FC"/>
    <w:rsid w:val="002A7968"/>
    <w:rsid w:val="002A7A3F"/>
    <w:rsid w:val="002A7ABB"/>
    <w:rsid w:val="002A7B12"/>
    <w:rsid w:val="002A7D65"/>
    <w:rsid w:val="002A7EC2"/>
    <w:rsid w:val="002A7F27"/>
    <w:rsid w:val="002A7F5A"/>
    <w:rsid w:val="002B0426"/>
    <w:rsid w:val="002B04B6"/>
    <w:rsid w:val="002B04FC"/>
    <w:rsid w:val="002B0518"/>
    <w:rsid w:val="002B0572"/>
    <w:rsid w:val="002B0800"/>
    <w:rsid w:val="002B0938"/>
    <w:rsid w:val="002B0A12"/>
    <w:rsid w:val="002B0A71"/>
    <w:rsid w:val="002B0DB3"/>
    <w:rsid w:val="002B100A"/>
    <w:rsid w:val="002B10AC"/>
    <w:rsid w:val="002B118E"/>
    <w:rsid w:val="002B122A"/>
    <w:rsid w:val="002B1512"/>
    <w:rsid w:val="002B1669"/>
    <w:rsid w:val="002B181B"/>
    <w:rsid w:val="002B1925"/>
    <w:rsid w:val="002B192B"/>
    <w:rsid w:val="002B1997"/>
    <w:rsid w:val="002B19BA"/>
    <w:rsid w:val="002B1B3C"/>
    <w:rsid w:val="002B1CD5"/>
    <w:rsid w:val="002B1F02"/>
    <w:rsid w:val="002B1FB5"/>
    <w:rsid w:val="002B203F"/>
    <w:rsid w:val="002B238C"/>
    <w:rsid w:val="002B244B"/>
    <w:rsid w:val="002B24D5"/>
    <w:rsid w:val="002B253C"/>
    <w:rsid w:val="002B2602"/>
    <w:rsid w:val="002B2647"/>
    <w:rsid w:val="002B26B1"/>
    <w:rsid w:val="002B28F5"/>
    <w:rsid w:val="002B295E"/>
    <w:rsid w:val="002B2AD8"/>
    <w:rsid w:val="002B2BC5"/>
    <w:rsid w:val="002B2C1A"/>
    <w:rsid w:val="002B2D2C"/>
    <w:rsid w:val="002B2D8E"/>
    <w:rsid w:val="002B2E46"/>
    <w:rsid w:val="002B2E58"/>
    <w:rsid w:val="002B2E70"/>
    <w:rsid w:val="002B2FA5"/>
    <w:rsid w:val="002B31BF"/>
    <w:rsid w:val="002B327C"/>
    <w:rsid w:val="002B3291"/>
    <w:rsid w:val="002B335E"/>
    <w:rsid w:val="002B35FA"/>
    <w:rsid w:val="002B3717"/>
    <w:rsid w:val="002B3A10"/>
    <w:rsid w:val="002B3A7C"/>
    <w:rsid w:val="002B3BF8"/>
    <w:rsid w:val="002B3BFB"/>
    <w:rsid w:val="002B3D01"/>
    <w:rsid w:val="002B3D93"/>
    <w:rsid w:val="002B3E18"/>
    <w:rsid w:val="002B402D"/>
    <w:rsid w:val="002B40EE"/>
    <w:rsid w:val="002B4558"/>
    <w:rsid w:val="002B48A2"/>
    <w:rsid w:val="002B4B76"/>
    <w:rsid w:val="002B4F9E"/>
    <w:rsid w:val="002B4FBC"/>
    <w:rsid w:val="002B5122"/>
    <w:rsid w:val="002B536E"/>
    <w:rsid w:val="002B53DA"/>
    <w:rsid w:val="002B5664"/>
    <w:rsid w:val="002B56C5"/>
    <w:rsid w:val="002B5949"/>
    <w:rsid w:val="002B5A2D"/>
    <w:rsid w:val="002B5A37"/>
    <w:rsid w:val="002B5CDF"/>
    <w:rsid w:val="002B5FFD"/>
    <w:rsid w:val="002B6061"/>
    <w:rsid w:val="002B615E"/>
    <w:rsid w:val="002B61A4"/>
    <w:rsid w:val="002B6334"/>
    <w:rsid w:val="002B6793"/>
    <w:rsid w:val="002B683A"/>
    <w:rsid w:val="002B692A"/>
    <w:rsid w:val="002B6941"/>
    <w:rsid w:val="002B69A7"/>
    <w:rsid w:val="002B6B75"/>
    <w:rsid w:val="002B6CCD"/>
    <w:rsid w:val="002B6EB1"/>
    <w:rsid w:val="002B6F4E"/>
    <w:rsid w:val="002B7082"/>
    <w:rsid w:val="002B7427"/>
    <w:rsid w:val="002B76AC"/>
    <w:rsid w:val="002B76F8"/>
    <w:rsid w:val="002B778B"/>
    <w:rsid w:val="002B7A5F"/>
    <w:rsid w:val="002B7C68"/>
    <w:rsid w:val="002C00B8"/>
    <w:rsid w:val="002C0159"/>
    <w:rsid w:val="002C02F7"/>
    <w:rsid w:val="002C0442"/>
    <w:rsid w:val="002C0477"/>
    <w:rsid w:val="002C077E"/>
    <w:rsid w:val="002C0954"/>
    <w:rsid w:val="002C0AD8"/>
    <w:rsid w:val="002C0B0C"/>
    <w:rsid w:val="002C0BD7"/>
    <w:rsid w:val="002C0C16"/>
    <w:rsid w:val="002C0E0B"/>
    <w:rsid w:val="002C14C4"/>
    <w:rsid w:val="002C1539"/>
    <w:rsid w:val="002C180A"/>
    <w:rsid w:val="002C1CAD"/>
    <w:rsid w:val="002C1D72"/>
    <w:rsid w:val="002C1E3B"/>
    <w:rsid w:val="002C224B"/>
    <w:rsid w:val="002C2266"/>
    <w:rsid w:val="002C25B3"/>
    <w:rsid w:val="002C28A6"/>
    <w:rsid w:val="002C2BAD"/>
    <w:rsid w:val="002C2BEC"/>
    <w:rsid w:val="002C2F59"/>
    <w:rsid w:val="002C30C3"/>
    <w:rsid w:val="002C31EF"/>
    <w:rsid w:val="002C32E2"/>
    <w:rsid w:val="002C3695"/>
    <w:rsid w:val="002C38A1"/>
    <w:rsid w:val="002C3A1E"/>
    <w:rsid w:val="002C3ABD"/>
    <w:rsid w:val="002C3B0B"/>
    <w:rsid w:val="002C3C89"/>
    <w:rsid w:val="002C3E5F"/>
    <w:rsid w:val="002C3F71"/>
    <w:rsid w:val="002C4037"/>
    <w:rsid w:val="002C41E1"/>
    <w:rsid w:val="002C41F2"/>
    <w:rsid w:val="002C446D"/>
    <w:rsid w:val="002C45A8"/>
    <w:rsid w:val="002C4622"/>
    <w:rsid w:val="002C46D1"/>
    <w:rsid w:val="002C485F"/>
    <w:rsid w:val="002C48B8"/>
    <w:rsid w:val="002C4982"/>
    <w:rsid w:val="002C49FF"/>
    <w:rsid w:val="002C4B8E"/>
    <w:rsid w:val="002C4BE2"/>
    <w:rsid w:val="002C4BE4"/>
    <w:rsid w:val="002C4FA3"/>
    <w:rsid w:val="002C505D"/>
    <w:rsid w:val="002C5291"/>
    <w:rsid w:val="002C53F3"/>
    <w:rsid w:val="002C556A"/>
    <w:rsid w:val="002C57D9"/>
    <w:rsid w:val="002C57DD"/>
    <w:rsid w:val="002C5B18"/>
    <w:rsid w:val="002C5B5F"/>
    <w:rsid w:val="002C5E12"/>
    <w:rsid w:val="002C633F"/>
    <w:rsid w:val="002C635E"/>
    <w:rsid w:val="002C63FA"/>
    <w:rsid w:val="002C66CF"/>
    <w:rsid w:val="002C6704"/>
    <w:rsid w:val="002C6707"/>
    <w:rsid w:val="002C6B4B"/>
    <w:rsid w:val="002C6BC0"/>
    <w:rsid w:val="002C6C5D"/>
    <w:rsid w:val="002C6C6B"/>
    <w:rsid w:val="002C6EAD"/>
    <w:rsid w:val="002C6F23"/>
    <w:rsid w:val="002C7291"/>
    <w:rsid w:val="002C72FA"/>
    <w:rsid w:val="002C735C"/>
    <w:rsid w:val="002C73C0"/>
    <w:rsid w:val="002C760B"/>
    <w:rsid w:val="002C775C"/>
    <w:rsid w:val="002C7E7D"/>
    <w:rsid w:val="002C7EB9"/>
    <w:rsid w:val="002C7EDA"/>
    <w:rsid w:val="002C7F14"/>
    <w:rsid w:val="002C7F1E"/>
    <w:rsid w:val="002D01F2"/>
    <w:rsid w:val="002D0368"/>
    <w:rsid w:val="002D03C7"/>
    <w:rsid w:val="002D0492"/>
    <w:rsid w:val="002D062A"/>
    <w:rsid w:val="002D083E"/>
    <w:rsid w:val="002D09CE"/>
    <w:rsid w:val="002D0A60"/>
    <w:rsid w:val="002D0DBD"/>
    <w:rsid w:val="002D10E0"/>
    <w:rsid w:val="002D10F3"/>
    <w:rsid w:val="002D1181"/>
    <w:rsid w:val="002D13AE"/>
    <w:rsid w:val="002D145A"/>
    <w:rsid w:val="002D1463"/>
    <w:rsid w:val="002D1482"/>
    <w:rsid w:val="002D17A5"/>
    <w:rsid w:val="002D17D9"/>
    <w:rsid w:val="002D1873"/>
    <w:rsid w:val="002D1895"/>
    <w:rsid w:val="002D19B0"/>
    <w:rsid w:val="002D19F2"/>
    <w:rsid w:val="002D1C39"/>
    <w:rsid w:val="002D1E6B"/>
    <w:rsid w:val="002D1F5E"/>
    <w:rsid w:val="002D1F9F"/>
    <w:rsid w:val="002D2022"/>
    <w:rsid w:val="002D20AA"/>
    <w:rsid w:val="002D2244"/>
    <w:rsid w:val="002D2329"/>
    <w:rsid w:val="002D2483"/>
    <w:rsid w:val="002D2540"/>
    <w:rsid w:val="002D2649"/>
    <w:rsid w:val="002D2827"/>
    <w:rsid w:val="002D28E8"/>
    <w:rsid w:val="002D2913"/>
    <w:rsid w:val="002D29A9"/>
    <w:rsid w:val="002D2BEF"/>
    <w:rsid w:val="002D2BF2"/>
    <w:rsid w:val="002D2C2D"/>
    <w:rsid w:val="002D2C36"/>
    <w:rsid w:val="002D2D0A"/>
    <w:rsid w:val="002D3060"/>
    <w:rsid w:val="002D30D8"/>
    <w:rsid w:val="002D30DD"/>
    <w:rsid w:val="002D31D0"/>
    <w:rsid w:val="002D3246"/>
    <w:rsid w:val="002D32B3"/>
    <w:rsid w:val="002D3307"/>
    <w:rsid w:val="002D33C0"/>
    <w:rsid w:val="002D350D"/>
    <w:rsid w:val="002D3753"/>
    <w:rsid w:val="002D3C35"/>
    <w:rsid w:val="002D3E3C"/>
    <w:rsid w:val="002D3FC3"/>
    <w:rsid w:val="002D404B"/>
    <w:rsid w:val="002D42D5"/>
    <w:rsid w:val="002D4607"/>
    <w:rsid w:val="002D4C05"/>
    <w:rsid w:val="002D4D18"/>
    <w:rsid w:val="002D4D7E"/>
    <w:rsid w:val="002D4E84"/>
    <w:rsid w:val="002D4F7F"/>
    <w:rsid w:val="002D4FD6"/>
    <w:rsid w:val="002D51A1"/>
    <w:rsid w:val="002D5377"/>
    <w:rsid w:val="002D539A"/>
    <w:rsid w:val="002D547D"/>
    <w:rsid w:val="002D5585"/>
    <w:rsid w:val="002D5B1D"/>
    <w:rsid w:val="002D5D5E"/>
    <w:rsid w:val="002D5DCD"/>
    <w:rsid w:val="002D5F59"/>
    <w:rsid w:val="002D6025"/>
    <w:rsid w:val="002D615D"/>
    <w:rsid w:val="002D62A8"/>
    <w:rsid w:val="002D62CB"/>
    <w:rsid w:val="002D64A4"/>
    <w:rsid w:val="002D6718"/>
    <w:rsid w:val="002D67F6"/>
    <w:rsid w:val="002D69B6"/>
    <w:rsid w:val="002D6A9C"/>
    <w:rsid w:val="002D6BCE"/>
    <w:rsid w:val="002D6BF7"/>
    <w:rsid w:val="002D6C86"/>
    <w:rsid w:val="002D6F23"/>
    <w:rsid w:val="002D6FCB"/>
    <w:rsid w:val="002D6FFC"/>
    <w:rsid w:val="002D700F"/>
    <w:rsid w:val="002D7116"/>
    <w:rsid w:val="002D7351"/>
    <w:rsid w:val="002D7396"/>
    <w:rsid w:val="002D742C"/>
    <w:rsid w:val="002D74B4"/>
    <w:rsid w:val="002D74DD"/>
    <w:rsid w:val="002D75A8"/>
    <w:rsid w:val="002D7843"/>
    <w:rsid w:val="002D789C"/>
    <w:rsid w:val="002D78E7"/>
    <w:rsid w:val="002D7BFA"/>
    <w:rsid w:val="002D7CC5"/>
    <w:rsid w:val="002D7D57"/>
    <w:rsid w:val="002D7E62"/>
    <w:rsid w:val="002E0071"/>
    <w:rsid w:val="002E00A8"/>
    <w:rsid w:val="002E017C"/>
    <w:rsid w:val="002E0445"/>
    <w:rsid w:val="002E07A1"/>
    <w:rsid w:val="002E08B4"/>
    <w:rsid w:val="002E0B7F"/>
    <w:rsid w:val="002E0CE6"/>
    <w:rsid w:val="002E0CFF"/>
    <w:rsid w:val="002E0F5C"/>
    <w:rsid w:val="002E0FBF"/>
    <w:rsid w:val="002E110E"/>
    <w:rsid w:val="002E16F9"/>
    <w:rsid w:val="002E187E"/>
    <w:rsid w:val="002E1A73"/>
    <w:rsid w:val="002E1C47"/>
    <w:rsid w:val="002E1F58"/>
    <w:rsid w:val="002E22AE"/>
    <w:rsid w:val="002E22FD"/>
    <w:rsid w:val="002E238C"/>
    <w:rsid w:val="002E25BB"/>
    <w:rsid w:val="002E26BA"/>
    <w:rsid w:val="002E27D9"/>
    <w:rsid w:val="002E282B"/>
    <w:rsid w:val="002E2A10"/>
    <w:rsid w:val="002E2AD7"/>
    <w:rsid w:val="002E2AF3"/>
    <w:rsid w:val="002E2DE2"/>
    <w:rsid w:val="002E2DE9"/>
    <w:rsid w:val="002E2F8A"/>
    <w:rsid w:val="002E3030"/>
    <w:rsid w:val="002E3048"/>
    <w:rsid w:val="002E331B"/>
    <w:rsid w:val="002E3408"/>
    <w:rsid w:val="002E3478"/>
    <w:rsid w:val="002E366C"/>
    <w:rsid w:val="002E373E"/>
    <w:rsid w:val="002E377B"/>
    <w:rsid w:val="002E3BBD"/>
    <w:rsid w:val="002E3C18"/>
    <w:rsid w:val="002E3CF6"/>
    <w:rsid w:val="002E3FAE"/>
    <w:rsid w:val="002E40F1"/>
    <w:rsid w:val="002E4156"/>
    <w:rsid w:val="002E42B6"/>
    <w:rsid w:val="002E4342"/>
    <w:rsid w:val="002E43CD"/>
    <w:rsid w:val="002E445C"/>
    <w:rsid w:val="002E47C5"/>
    <w:rsid w:val="002E4818"/>
    <w:rsid w:val="002E4916"/>
    <w:rsid w:val="002E4ADD"/>
    <w:rsid w:val="002E4C3F"/>
    <w:rsid w:val="002E4D95"/>
    <w:rsid w:val="002E4F79"/>
    <w:rsid w:val="002E4FEA"/>
    <w:rsid w:val="002E5215"/>
    <w:rsid w:val="002E53E3"/>
    <w:rsid w:val="002E53F8"/>
    <w:rsid w:val="002E5430"/>
    <w:rsid w:val="002E5495"/>
    <w:rsid w:val="002E54CC"/>
    <w:rsid w:val="002E5523"/>
    <w:rsid w:val="002E56C9"/>
    <w:rsid w:val="002E5808"/>
    <w:rsid w:val="002E5BA4"/>
    <w:rsid w:val="002E5CEB"/>
    <w:rsid w:val="002E5D2D"/>
    <w:rsid w:val="002E5D55"/>
    <w:rsid w:val="002E607E"/>
    <w:rsid w:val="002E6385"/>
    <w:rsid w:val="002E63DE"/>
    <w:rsid w:val="002E644F"/>
    <w:rsid w:val="002E6508"/>
    <w:rsid w:val="002E6538"/>
    <w:rsid w:val="002E6785"/>
    <w:rsid w:val="002E67EF"/>
    <w:rsid w:val="002E690B"/>
    <w:rsid w:val="002E69FD"/>
    <w:rsid w:val="002E6E95"/>
    <w:rsid w:val="002E6EA3"/>
    <w:rsid w:val="002E6F56"/>
    <w:rsid w:val="002E7091"/>
    <w:rsid w:val="002E70C6"/>
    <w:rsid w:val="002E7192"/>
    <w:rsid w:val="002E7243"/>
    <w:rsid w:val="002E7288"/>
    <w:rsid w:val="002E72BF"/>
    <w:rsid w:val="002E73AE"/>
    <w:rsid w:val="002E74F6"/>
    <w:rsid w:val="002E7A90"/>
    <w:rsid w:val="002E7B05"/>
    <w:rsid w:val="002E7D0A"/>
    <w:rsid w:val="002E7DBA"/>
    <w:rsid w:val="002E7E1D"/>
    <w:rsid w:val="002E7F6A"/>
    <w:rsid w:val="002E7FF9"/>
    <w:rsid w:val="002F0360"/>
    <w:rsid w:val="002F03DE"/>
    <w:rsid w:val="002F064A"/>
    <w:rsid w:val="002F06A1"/>
    <w:rsid w:val="002F0773"/>
    <w:rsid w:val="002F07E8"/>
    <w:rsid w:val="002F08BB"/>
    <w:rsid w:val="002F095A"/>
    <w:rsid w:val="002F095D"/>
    <w:rsid w:val="002F0A04"/>
    <w:rsid w:val="002F0B08"/>
    <w:rsid w:val="002F0B23"/>
    <w:rsid w:val="002F0D83"/>
    <w:rsid w:val="002F0E0A"/>
    <w:rsid w:val="002F0FC3"/>
    <w:rsid w:val="002F10D7"/>
    <w:rsid w:val="002F11C3"/>
    <w:rsid w:val="002F13F8"/>
    <w:rsid w:val="002F151A"/>
    <w:rsid w:val="002F1637"/>
    <w:rsid w:val="002F167E"/>
    <w:rsid w:val="002F1822"/>
    <w:rsid w:val="002F1865"/>
    <w:rsid w:val="002F187D"/>
    <w:rsid w:val="002F1AEF"/>
    <w:rsid w:val="002F1C3C"/>
    <w:rsid w:val="002F1C3D"/>
    <w:rsid w:val="002F209E"/>
    <w:rsid w:val="002F20CA"/>
    <w:rsid w:val="002F215A"/>
    <w:rsid w:val="002F215C"/>
    <w:rsid w:val="002F219B"/>
    <w:rsid w:val="002F22FB"/>
    <w:rsid w:val="002F2393"/>
    <w:rsid w:val="002F2461"/>
    <w:rsid w:val="002F24C5"/>
    <w:rsid w:val="002F257F"/>
    <w:rsid w:val="002F2AD8"/>
    <w:rsid w:val="002F2B12"/>
    <w:rsid w:val="002F2C41"/>
    <w:rsid w:val="002F2C51"/>
    <w:rsid w:val="002F2D43"/>
    <w:rsid w:val="002F30C2"/>
    <w:rsid w:val="002F30EC"/>
    <w:rsid w:val="002F317E"/>
    <w:rsid w:val="002F3231"/>
    <w:rsid w:val="002F33F5"/>
    <w:rsid w:val="002F3417"/>
    <w:rsid w:val="002F361E"/>
    <w:rsid w:val="002F3662"/>
    <w:rsid w:val="002F38CA"/>
    <w:rsid w:val="002F3967"/>
    <w:rsid w:val="002F3A0E"/>
    <w:rsid w:val="002F3D85"/>
    <w:rsid w:val="002F401F"/>
    <w:rsid w:val="002F407B"/>
    <w:rsid w:val="002F4185"/>
    <w:rsid w:val="002F4279"/>
    <w:rsid w:val="002F45AD"/>
    <w:rsid w:val="002F461F"/>
    <w:rsid w:val="002F46F0"/>
    <w:rsid w:val="002F4709"/>
    <w:rsid w:val="002F483A"/>
    <w:rsid w:val="002F4B82"/>
    <w:rsid w:val="002F4DD7"/>
    <w:rsid w:val="002F4EE1"/>
    <w:rsid w:val="002F51C6"/>
    <w:rsid w:val="002F533F"/>
    <w:rsid w:val="002F5354"/>
    <w:rsid w:val="002F53A7"/>
    <w:rsid w:val="002F5434"/>
    <w:rsid w:val="002F5488"/>
    <w:rsid w:val="002F54B4"/>
    <w:rsid w:val="002F5528"/>
    <w:rsid w:val="002F5566"/>
    <w:rsid w:val="002F56E2"/>
    <w:rsid w:val="002F5734"/>
    <w:rsid w:val="002F5790"/>
    <w:rsid w:val="002F57B5"/>
    <w:rsid w:val="002F5880"/>
    <w:rsid w:val="002F589E"/>
    <w:rsid w:val="002F5A9E"/>
    <w:rsid w:val="002F5B2F"/>
    <w:rsid w:val="002F5B82"/>
    <w:rsid w:val="002F5C00"/>
    <w:rsid w:val="002F5CAF"/>
    <w:rsid w:val="002F5E4F"/>
    <w:rsid w:val="002F60A6"/>
    <w:rsid w:val="002F6173"/>
    <w:rsid w:val="002F628B"/>
    <w:rsid w:val="002F6413"/>
    <w:rsid w:val="002F64E4"/>
    <w:rsid w:val="002F65BB"/>
    <w:rsid w:val="002F664A"/>
    <w:rsid w:val="002F675E"/>
    <w:rsid w:val="002F6DF4"/>
    <w:rsid w:val="002F6FC4"/>
    <w:rsid w:val="002F7199"/>
    <w:rsid w:val="002F71B2"/>
    <w:rsid w:val="002F7429"/>
    <w:rsid w:val="002F74AC"/>
    <w:rsid w:val="002F7564"/>
    <w:rsid w:val="002F75CD"/>
    <w:rsid w:val="002F7777"/>
    <w:rsid w:val="002F7A16"/>
    <w:rsid w:val="002F7A5C"/>
    <w:rsid w:val="002F7B47"/>
    <w:rsid w:val="002F7DE8"/>
    <w:rsid w:val="003005FE"/>
    <w:rsid w:val="0030062F"/>
    <w:rsid w:val="0030086F"/>
    <w:rsid w:val="003009A6"/>
    <w:rsid w:val="003009C1"/>
    <w:rsid w:val="00300A0A"/>
    <w:rsid w:val="00300B0B"/>
    <w:rsid w:val="00300E72"/>
    <w:rsid w:val="003010CC"/>
    <w:rsid w:val="003015D3"/>
    <w:rsid w:val="00301700"/>
    <w:rsid w:val="0030183A"/>
    <w:rsid w:val="00301870"/>
    <w:rsid w:val="00301900"/>
    <w:rsid w:val="003019E4"/>
    <w:rsid w:val="00301B3F"/>
    <w:rsid w:val="00301B4F"/>
    <w:rsid w:val="00301BA6"/>
    <w:rsid w:val="00301C42"/>
    <w:rsid w:val="00301FCD"/>
    <w:rsid w:val="003020D8"/>
    <w:rsid w:val="00302155"/>
    <w:rsid w:val="003021E6"/>
    <w:rsid w:val="00302204"/>
    <w:rsid w:val="0030223C"/>
    <w:rsid w:val="00302269"/>
    <w:rsid w:val="00302484"/>
    <w:rsid w:val="003024AC"/>
    <w:rsid w:val="003024B7"/>
    <w:rsid w:val="003025DD"/>
    <w:rsid w:val="003027F5"/>
    <w:rsid w:val="003028B4"/>
    <w:rsid w:val="00302A7C"/>
    <w:rsid w:val="00302B9D"/>
    <w:rsid w:val="00302DC4"/>
    <w:rsid w:val="00302E0C"/>
    <w:rsid w:val="00302E31"/>
    <w:rsid w:val="00302FBE"/>
    <w:rsid w:val="00303043"/>
    <w:rsid w:val="0030313A"/>
    <w:rsid w:val="00303345"/>
    <w:rsid w:val="00303439"/>
    <w:rsid w:val="003034C8"/>
    <w:rsid w:val="003037AA"/>
    <w:rsid w:val="00303B02"/>
    <w:rsid w:val="00303EAE"/>
    <w:rsid w:val="00303EBD"/>
    <w:rsid w:val="00304070"/>
    <w:rsid w:val="0030429A"/>
    <w:rsid w:val="0030436B"/>
    <w:rsid w:val="00304548"/>
    <w:rsid w:val="003046E1"/>
    <w:rsid w:val="00304B17"/>
    <w:rsid w:val="00304B88"/>
    <w:rsid w:val="00304C16"/>
    <w:rsid w:val="00304C33"/>
    <w:rsid w:val="00304D6F"/>
    <w:rsid w:val="00304DA7"/>
    <w:rsid w:val="0030505B"/>
    <w:rsid w:val="0030507C"/>
    <w:rsid w:val="003050A2"/>
    <w:rsid w:val="003051E8"/>
    <w:rsid w:val="003056DC"/>
    <w:rsid w:val="003056F3"/>
    <w:rsid w:val="00305749"/>
    <w:rsid w:val="00305836"/>
    <w:rsid w:val="003058C8"/>
    <w:rsid w:val="00305A54"/>
    <w:rsid w:val="00305B95"/>
    <w:rsid w:val="00305D00"/>
    <w:rsid w:val="00305E8B"/>
    <w:rsid w:val="00305E93"/>
    <w:rsid w:val="0030605A"/>
    <w:rsid w:val="003060ED"/>
    <w:rsid w:val="0030630D"/>
    <w:rsid w:val="003063F2"/>
    <w:rsid w:val="0030645F"/>
    <w:rsid w:val="003064FA"/>
    <w:rsid w:val="00306540"/>
    <w:rsid w:val="003065C2"/>
    <w:rsid w:val="00306655"/>
    <w:rsid w:val="00306656"/>
    <w:rsid w:val="00306667"/>
    <w:rsid w:val="00306757"/>
    <w:rsid w:val="0030686A"/>
    <w:rsid w:val="0030689E"/>
    <w:rsid w:val="00306920"/>
    <w:rsid w:val="00306AB4"/>
    <w:rsid w:val="00306AC4"/>
    <w:rsid w:val="00306B7E"/>
    <w:rsid w:val="00306C13"/>
    <w:rsid w:val="00306C26"/>
    <w:rsid w:val="00306D4B"/>
    <w:rsid w:val="00306F95"/>
    <w:rsid w:val="00306FF2"/>
    <w:rsid w:val="0030700F"/>
    <w:rsid w:val="00307013"/>
    <w:rsid w:val="0030710C"/>
    <w:rsid w:val="00307162"/>
    <w:rsid w:val="003071AF"/>
    <w:rsid w:val="003071FC"/>
    <w:rsid w:val="003072DF"/>
    <w:rsid w:val="003075A7"/>
    <w:rsid w:val="00307962"/>
    <w:rsid w:val="00307BBF"/>
    <w:rsid w:val="00307C7A"/>
    <w:rsid w:val="00307D5B"/>
    <w:rsid w:val="00307EB6"/>
    <w:rsid w:val="00307FE9"/>
    <w:rsid w:val="0031009D"/>
    <w:rsid w:val="0031053E"/>
    <w:rsid w:val="00310562"/>
    <w:rsid w:val="003106A6"/>
    <w:rsid w:val="0031070A"/>
    <w:rsid w:val="00310ACF"/>
    <w:rsid w:val="00310C8A"/>
    <w:rsid w:val="003110CF"/>
    <w:rsid w:val="00311145"/>
    <w:rsid w:val="003111E7"/>
    <w:rsid w:val="00311302"/>
    <w:rsid w:val="0031132F"/>
    <w:rsid w:val="00311512"/>
    <w:rsid w:val="003115C2"/>
    <w:rsid w:val="003116F9"/>
    <w:rsid w:val="00311707"/>
    <w:rsid w:val="003117C5"/>
    <w:rsid w:val="003117EF"/>
    <w:rsid w:val="0031189F"/>
    <w:rsid w:val="00311A05"/>
    <w:rsid w:val="00311E03"/>
    <w:rsid w:val="00311E84"/>
    <w:rsid w:val="00311F39"/>
    <w:rsid w:val="00312283"/>
    <w:rsid w:val="00312372"/>
    <w:rsid w:val="00312399"/>
    <w:rsid w:val="00312443"/>
    <w:rsid w:val="00312816"/>
    <w:rsid w:val="0031282D"/>
    <w:rsid w:val="00312870"/>
    <w:rsid w:val="00312A85"/>
    <w:rsid w:val="00312AAC"/>
    <w:rsid w:val="00312BBD"/>
    <w:rsid w:val="00312E4A"/>
    <w:rsid w:val="00312F9C"/>
    <w:rsid w:val="00313010"/>
    <w:rsid w:val="003132E1"/>
    <w:rsid w:val="00313787"/>
    <w:rsid w:val="00313BED"/>
    <w:rsid w:val="00313C69"/>
    <w:rsid w:val="00313D8F"/>
    <w:rsid w:val="00313E33"/>
    <w:rsid w:val="00313E90"/>
    <w:rsid w:val="00313F54"/>
    <w:rsid w:val="003141C1"/>
    <w:rsid w:val="00314268"/>
    <w:rsid w:val="003142CD"/>
    <w:rsid w:val="00314341"/>
    <w:rsid w:val="0031434D"/>
    <w:rsid w:val="0031435C"/>
    <w:rsid w:val="0031435F"/>
    <w:rsid w:val="0031438C"/>
    <w:rsid w:val="0031450E"/>
    <w:rsid w:val="0031464C"/>
    <w:rsid w:val="00314823"/>
    <w:rsid w:val="0031499E"/>
    <w:rsid w:val="00314A2A"/>
    <w:rsid w:val="00314DEC"/>
    <w:rsid w:val="00314F06"/>
    <w:rsid w:val="00314F80"/>
    <w:rsid w:val="00315229"/>
    <w:rsid w:val="00315331"/>
    <w:rsid w:val="003153AB"/>
    <w:rsid w:val="003157F1"/>
    <w:rsid w:val="003158F0"/>
    <w:rsid w:val="00315C1B"/>
    <w:rsid w:val="00315D2B"/>
    <w:rsid w:val="00315E1D"/>
    <w:rsid w:val="00315FFF"/>
    <w:rsid w:val="00316114"/>
    <w:rsid w:val="00316166"/>
    <w:rsid w:val="0031617A"/>
    <w:rsid w:val="00316380"/>
    <w:rsid w:val="0031644E"/>
    <w:rsid w:val="00316888"/>
    <w:rsid w:val="00316B12"/>
    <w:rsid w:val="00316CA3"/>
    <w:rsid w:val="00316D1B"/>
    <w:rsid w:val="00316D1C"/>
    <w:rsid w:val="00316E01"/>
    <w:rsid w:val="00316E99"/>
    <w:rsid w:val="0031700A"/>
    <w:rsid w:val="00317167"/>
    <w:rsid w:val="00317207"/>
    <w:rsid w:val="00317339"/>
    <w:rsid w:val="00317405"/>
    <w:rsid w:val="0031743B"/>
    <w:rsid w:val="0031751C"/>
    <w:rsid w:val="0031756B"/>
    <w:rsid w:val="00317585"/>
    <w:rsid w:val="003175A3"/>
    <w:rsid w:val="0031761A"/>
    <w:rsid w:val="0031764C"/>
    <w:rsid w:val="0031769C"/>
    <w:rsid w:val="00317818"/>
    <w:rsid w:val="00317875"/>
    <w:rsid w:val="00317951"/>
    <w:rsid w:val="003179E2"/>
    <w:rsid w:val="00317AA0"/>
    <w:rsid w:val="00317B26"/>
    <w:rsid w:val="00317B58"/>
    <w:rsid w:val="00317C70"/>
    <w:rsid w:val="00317CE2"/>
    <w:rsid w:val="00317FA7"/>
    <w:rsid w:val="003201E9"/>
    <w:rsid w:val="003201F8"/>
    <w:rsid w:val="003204AD"/>
    <w:rsid w:val="00320570"/>
    <w:rsid w:val="00320742"/>
    <w:rsid w:val="00320847"/>
    <w:rsid w:val="00320AED"/>
    <w:rsid w:val="00320D8A"/>
    <w:rsid w:val="00320D8E"/>
    <w:rsid w:val="00320E8F"/>
    <w:rsid w:val="00320F54"/>
    <w:rsid w:val="00320F96"/>
    <w:rsid w:val="00320FD4"/>
    <w:rsid w:val="00321027"/>
    <w:rsid w:val="003211FC"/>
    <w:rsid w:val="00321214"/>
    <w:rsid w:val="00321308"/>
    <w:rsid w:val="0032130E"/>
    <w:rsid w:val="00321463"/>
    <w:rsid w:val="003214D1"/>
    <w:rsid w:val="0032155C"/>
    <w:rsid w:val="003216F9"/>
    <w:rsid w:val="00321743"/>
    <w:rsid w:val="00321819"/>
    <w:rsid w:val="00321965"/>
    <w:rsid w:val="003219BE"/>
    <w:rsid w:val="00321C5A"/>
    <w:rsid w:val="00321D37"/>
    <w:rsid w:val="00321EDF"/>
    <w:rsid w:val="00321F81"/>
    <w:rsid w:val="00321FE1"/>
    <w:rsid w:val="00322008"/>
    <w:rsid w:val="0032209E"/>
    <w:rsid w:val="0032218C"/>
    <w:rsid w:val="00322232"/>
    <w:rsid w:val="00322324"/>
    <w:rsid w:val="00322481"/>
    <w:rsid w:val="003224BD"/>
    <w:rsid w:val="00322536"/>
    <w:rsid w:val="003226AC"/>
    <w:rsid w:val="0032284D"/>
    <w:rsid w:val="0032285F"/>
    <w:rsid w:val="00322BE8"/>
    <w:rsid w:val="00322C84"/>
    <w:rsid w:val="00322DD6"/>
    <w:rsid w:val="00322E1A"/>
    <w:rsid w:val="003230C8"/>
    <w:rsid w:val="0032319D"/>
    <w:rsid w:val="003231C6"/>
    <w:rsid w:val="00323457"/>
    <w:rsid w:val="00323477"/>
    <w:rsid w:val="003234A1"/>
    <w:rsid w:val="003235B7"/>
    <w:rsid w:val="003236CB"/>
    <w:rsid w:val="00323765"/>
    <w:rsid w:val="00323877"/>
    <w:rsid w:val="0032390B"/>
    <w:rsid w:val="003239CC"/>
    <w:rsid w:val="003239D2"/>
    <w:rsid w:val="00323B7D"/>
    <w:rsid w:val="00323C14"/>
    <w:rsid w:val="00323FCF"/>
    <w:rsid w:val="00323FD2"/>
    <w:rsid w:val="003241D3"/>
    <w:rsid w:val="003242A4"/>
    <w:rsid w:val="003243C5"/>
    <w:rsid w:val="00324683"/>
    <w:rsid w:val="0032469D"/>
    <w:rsid w:val="0032477A"/>
    <w:rsid w:val="00324C4A"/>
    <w:rsid w:val="00324D98"/>
    <w:rsid w:val="003253F3"/>
    <w:rsid w:val="0032545D"/>
    <w:rsid w:val="00325563"/>
    <w:rsid w:val="003256A2"/>
    <w:rsid w:val="0032577E"/>
    <w:rsid w:val="00325947"/>
    <w:rsid w:val="0032595D"/>
    <w:rsid w:val="00325B4A"/>
    <w:rsid w:val="00325C07"/>
    <w:rsid w:val="00325E9D"/>
    <w:rsid w:val="00325EF8"/>
    <w:rsid w:val="00325FE0"/>
    <w:rsid w:val="00326070"/>
    <w:rsid w:val="0032651C"/>
    <w:rsid w:val="00326806"/>
    <w:rsid w:val="003268E0"/>
    <w:rsid w:val="0032694B"/>
    <w:rsid w:val="0032698B"/>
    <w:rsid w:val="00326AD3"/>
    <w:rsid w:val="00326C3A"/>
    <w:rsid w:val="00326CA8"/>
    <w:rsid w:val="00326D42"/>
    <w:rsid w:val="00326E64"/>
    <w:rsid w:val="0032702D"/>
    <w:rsid w:val="0032710F"/>
    <w:rsid w:val="00327209"/>
    <w:rsid w:val="00327580"/>
    <w:rsid w:val="0032769B"/>
    <w:rsid w:val="00327730"/>
    <w:rsid w:val="00327802"/>
    <w:rsid w:val="00327878"/>
    <w:rsid w:val="00327A9D"/>
    <w:rsid w:val="00327AC5"/>
    <w:rsid w:val="00327C3A"/>
    <w:rsid w:val="00327D0D"/>
    <w:rsid w:val="00327D9A"/>
    <w:rsid w:val="00327DC3"/>
    <w:rsid w:val="00327DE7"/>
    <w:rsid w:val="00327DF5"/>
    <w:rsid w:val="00327E4B"/>
    <w:rsid w:val="00327FBA"/>
    <w:rsid w:val="00327FE1"/>
    <w:rsid w:val="003300D9"/>
    <w:rsid w:val="003301D4"/>
    <w:rsid w:val="00330381"/>
    <w:rsid w:val="003303DA"/>
    <w:rsid w:val="0033051B"/>
    <w:rsid w:val="003306C9"/>
    <w:rsid w:val="003308EF"/>
    <w:rsid w:val="00330959"/>
    <w:rsid w:val="003309D8"/>
    <w:rsid w:val="00330DAF"/>
    <w:rsid w:val="00330E19"/>
    <w:rsid w:val="00330F7F"/>
    <w:rsid w:val="003310DB"/>
    <w:rsid w:val="003311DA"/>
    <w:rsid w:val="003312DC"/>
    <w:rsid w:val="0033136B"/>
    <w:rsid w:val="003313B7"/>
    <w:rsid w:val="0033147D"/>
    <w:rsid w:val="00331661"/>
    <w:rsid w:val="003316CD"/>
    <w:rsid w:val="0033187A"/>
    <w:rsid w:val="00331921"/>
    <w:rsid w:val="00331A1C"/>
    <w:rsid w:val="00331C24"/>
    <w:rsid w:val="00331CDD"/>
    <w:rsid w:val="00331DDA"/>
    <w:rsid w:val="00331E78"/>
    <w:rsid w:val="00331F5A"/>
    <w:rsid w:val="00331FC6"/>
    <w:rsid w:val="00332094"/>
    <w:rsid w:val="003322FF"/>
    <w:rsid w:val="003324BA"/>
    <w:rsid w:val="00332867"/>
    <w:rsid w:val="00332B53"/>
    <w:rsid w:val="00332B96"/>
    <w:rsid w:val="00332D54"/>
    <w:rsid w:val="00332D8B"/>
    <w:rsid w:val="00332F67"/>
    <w:rsid w:val="00332F76"/>
    <w:rsid w:val="0033324C"/>
    <w:rsid w:val="00333458"/>
    <w:rsid w:val="00333582"/>
    <w:rsid w:val="003337DB"/>
    <w:rsid w:val="00333811"/>
    <w:rsid w:val="00333B08"/>
    <w:rsid w:val="00333BAA"/>
    <w:rsid w:val="00333D07"/>
    <w:rsid w:val="00334102"/>
    <w:rsid w:val="00334124"/>
    <w:rsid w:val="003346FD"/>
    <w:rsid w:val="0033476E"/>
    <w:rsid w:val="00334828"/>
    <w:rsid w:val="00334A04"/>
    <w:rsid w:val="00334A3B"/>
    <w:rsid w:val="00334AFE"/>
    <w:rsid w:val="00334C67"/>
    <w:rsid w:val="00334F98"/>
    <w:rsid w:val="0033500A"/>
    <w:rsid w:val="003350C1"/>
    <w:rsid w:val="00335227"/>
    <w:rsid w:val="0033533B"/>
    <w:rsid w:val="00335429"/>
    <w:rsid w:val="003357B3"/>
    <w:rsid w:val="00335A58"/>
    <w:rsid w:val="00335B96"/>
    <w:rsid w:val="00335C3C"/>
    <w:rsid w:val="003362FE"/>
    <w:rsid w:val="003363CE"/>
    <w:rsid w:val="003366AC"/>
    <w:rsid w:val="00336718"/>
    <w:rsid w:val="00336C20"/>
    <w:rsid w:val="00336D9A"/>
    <w:rsid w:val="00337029"/>
    <w:rsid w:val="0033706C"/>
    <w:rsid w:val="0033718F"/>
    <w:rsid w:val="003372CB"/>
    <w:rsid w:val="00337573"/>
    <w:rsid w:val="00337609"/>
    <w:rsid w:val="00337723"/>
    <w:rsid w:val="0033772A"/>
    <w:rsid w:val="00337800"/>
    <w:rsid w:val="003378E9"/>
    <w:rsid w:val="003379C8"/>
    <w:rsid w:val="00337AC0"/>
    <w:rsid w:val="00337B1D"/>
    <w:rsid w:val="00337C42"/>
    <w:rsid w:val="00337CE2"/>
    <w:rsid w:val="00337E99"/>
    <w:rsid w:val="00337ECA"/>
    <w:rsid w:val="00337EE4"/>
    <w:rsid w:val="00337F8D"/>
    <w:rsid w:val="003403B6"/>
    <w:rsid w:val="003403F0"/>
    <w:rsid w:val="00340438"/>
    <w:rsid w:val="00340692"/>
    <w:rsid w:val="003408EB"/>
    <w:rsid w:val="003409E1"/>
    <w:rsid w:val="00340D8A"/>
    <w:rsid w:val="00340E12"/>
    <w:rsid w:val="00340E85"/>
    <w:rsid w:val="00340F40"/>
    <w:rsid w:val="003410BF"/>
    <w:rsid w:val="0034123A"/>
    <w:rsid w:val="003413BD"/>
    <w:rsid w:val="00341519"/>
    <w:rsid w:val="003415C3"/>
    <w:rsid w:val="003416C7"/>
    <w:rsid w:val="00341729"/>
    <w:rsid w:val="003418A9"/>
    <w:rsid w:val="003418B3"/>
    <w:rsid w:val="00341910"/>
    <w:rsid w:val="0034199F"/>
    <w:rsid w:val="00341A6C"/>
    <w:rsid w:val="00341AAF"/>
    <w:rsid w:val="00341D30"/>
    <w:rsid w:val="00341D5C"/>
    <w:rsid w:val="00341F59"/>
    <w:rsid w:val="00341FDB"/>
    <w:rsid w:val="00342173"/>
    <w:rsid w:val="00342243"/>
    <w:rsid w:val="003422CF"/>
    <w:rsid w:val="0034239F"/>
    <w:rsid w:val="003424C9"/>
    <w:rsid w:val="003425E1"/>
    <w:rsid w:val="003428E1"/>
    <w:rsid w:val="00342A07"/>
    <w:rsid w:val="00342A0D"/>
    <w:rsid w:val="00342A25"/>
    <w:rsid w:val="00342F6E"/>
    <w:rsid w:val="00343199"/>
    <w:rsid w:val="003431CC"/>
    <w:rsid w:val="00343B06"/>
    <w:rsid w:val="00343B8A"/>
    <w:rsid w:val="00343BBD"/>
    <w:rsid w:val="00343CAA"/>
    <w:rsid w:val="003440F4"/>
    <w:rsid w:val="003441D5"/>
    <w:rsid w:val="00344262"/>
    <w:rsid w:val="00344601"/>
    <w:rsid w:val="003448E4"/>
    <w:rsid w:val="00344A0A"/>
    <w:rsid w:val="00344A7E"/>
    <w:rsid w:val="00344C09"/>
    <w:rsid w:val="00344EBD"/>
    <w:rsid w:val="00345002"/>
    <w:rsid w:val="003450BD"/>
    <w:rsid w:val="003450DB"/>
    <w:rsid w:val="0034533C"/>
    <w:rsid w:val="0034583D"/>
    <w:rsid w:val="003458C9"/>
    <w:rsid w:val="003458DB"/>
    <w:rsid w:val="00345A5D"/>
    <w:rsid w:val="00345B12"/>
    <w:rsid w:val="00345BB4"/>
    <w:rsid w:val="00345CBE"/>
    <w:rsid w:val="00345ECC"/>
    <w:rsid w:val="00345F4B"/>
    <w:rsid w:val="00346083"/>
    <w:rsid w:val="003460B2"/>
    <w:rsid w:val="003460BB"/>
    <w:rsid w:val="0034610C"/>
    <w:rsid w:val="003464A8"/>
    <w:rsid w:val="003466B9"/>
    <w:rsid w:val="00346835"/>
    <w:rsid w:val="00346AC7"/>
    <w:rsid w:val="00346D82"/>
    <w:rsid w:val="00346E50"/>
    <w:rsid w:val="003470A6"/>
    <w:rsid w:val="003471FF"/>
    <w:rsid w:val="003473C5"/>
    <w:rsid w:val="00347570"/>
    <w:rsid w:val="003475C2"/>
    <w:rsid w:val="00347A6D"/>
    <w:rsid w:val="00347B0E"/>
    <w:rsid w:val="00347C25"/>
    <w:rsid w:val="00347CD0"/>
    <w:rsid w:val="00347F93"/>
    <w:rsid w:val="0035006D"/>
    <w:rsid w:val="003500A9"/>
    <w:rsid w:val="003500AD"/>
    <w:rsid w:val="003500F2"/>
    <w:rsid w:val="00350123"/>
    <w:rsid w:val="003501ED"/>
    <w:rsid w:val="00350216"/>
    <w:rsid w:val="00350356"/>
    <w:rsid w:val="00350392"/>
    <w:rsid w:val="003503EC"/>
    <w:rsid w:val="003504FF"/>
    <w:rsid w:val="00350518"/>
    <w:rsid w:val="003505BD"/>
    <w:rsid w:val="003506B4"/>
    <w:rsid w:val="003507F9"/>
    <w:rsid w:val="00350896"/>
    <w:rsid w:val="0035090A"/>
    <w:rsid w:val="00350A3C"/>
    <w:rsid w:val="00350B2B"/>
    <w:rsid w:val="00350D86"/>
    <w:rsid w:val="00350DFA"/>
    <w:rsid w:val="00350E9E"/>
    <w:rsid w:val="00350FFD"/>
    <w:rsid w:val="00351152"/>
    <w:rsid w:val="003511B0"/>
    <w:rsid w:val="00351356"/>
    <w:rsid w:val="00351492"/>
    <w:rsid w:val="0035173F"/>
    <w:rsid w:val="003518FC"/>
    <w:rsid w:val="00351943"/>
    <w:rsid w:val="00351E2D"/>
    <w:rsid w:val="00351E92"/>
    <w:rsid w:val="0035223D"/>
    <w:rsid w:val="00352253"/>
    <w:rsid w:val="00352514"/>
    <w:rsid w:val="003526C4"/>
    <w:rsid w:val="00352701"/>
    <w:rsid w:val="0035274B"/>
    <w:rsid w:val="003527A1"/>
    <w:rsid w:val="003527F6"/>
    <w:rsid w:val="00352A38"/>
    <w:rsid w:val="00352D95"/>
    <w:rsid w:val="00352F71"/>
    <w:rsid w:val="00353137"/>
    <w:rsid w:val="00353242"/>
    <w:rsid w:val="003532AC"/>
    <w:rsid w:val="003533BD"/>
    <w:rsid w:val="003533D4"/>
    <w:rsid w:val="00353464"/>
    <w:rsid w:val="003535FF"/>
    <w:rsid w:val="0035388F"/>
    <w:rsid w:val="003539CC"/>
    <w:rsid w:val="003539D9"/>
    <w:rsid w:val="003539E8"/>
    <w:rsid w:val="00353BAC"/>
    <w:rsid w:val="00353BF4"/>
    <w:rsid w:val="00353C2F"/>
    <w:rsid w:val="00353C9A"/>
    <w:rsid w:val="00353CE2"/>
    <w:rsid w:val="00353D8D"/>
    <w:rsid w:val="00353EEB"/>
    <w:rsid w:val="003540F6"/>
    <w:rsid w:val="00354232"/>
    <w:rsid w:val="00354270"/>
    <w:rsid w:val="003543A9"/>
    <w:rsid w:val="003543E3"/>
    <w:rsid w:val="0035444E"/>
    <w:rsid w:val="00354878"/>
    <w:rsid w:val="003548BA"/>
    <w:rsid w:val="003548CB"/>
    <w:rsid w:val="00354989"/>
    <w:rsid w:val="003549E5"/>
    <w:rsid w:val="00354A32"/>
    <w:rsid w:val="00354AF4"/>
    <w:rsid w:val="00354DCC"/>
    <w:rsid w:val="00354F01"/>
    <w:rsid w:val="0035517D"/>
    <w:rsid w:val="003551F9"/>
    <w:rsid w:val="00355356"/>
    <w:rsid w:val="003555B0"/>
    <w:rsid w:val="00355670"/>
    <w:rsid w:val="003557E1"/>
    <w:rsid w:val="00355838"/>
    <w:rsid w:val="003558E5"/>
    <w:rsid w:val="0035599D"/>
    <w:rsid w:val="00355A35"/>
    <w:rsid w:val="00355B3D"/>
    <w:rsid w:val="00355B9A"/>
    <w:rsid w:val="00355C38"/>
    <w:rsid w:val="00355C73"/>
    <w:rsid w:val="00355F61"/>
    <w:rsid w:val="0035621B"/>
    <w:rsid w:val="0035622C"/>
    <w:rsid w:val="003562B7"/>
    <w:rsid w:val="00356373"/>
    <w:rsid w:val="00356590"/>
    <w:rsid w:val="003565A6"/>
    <w:rsid w:val="003565D7"/>
    <w:rsid w:val="00356BD7"/>
    <w:rsid w:val="00356DDE"/>
    <w:rsid w:val="00356EFA"/>
    <w:rsid w:val="00356EFF"/>
    <w:rsid w:val="00356F88"/>
    <w:rsid w:val="00357029"/>
    <w:rsid w:val="003572BC"/>
    <w:rsid w:val="003572CF"/>
    <w:rsid w:val="003573B8"/>
    <w:rsid w:val="003573DB"/>
    <w:rsid w:val="00357424"/>
    <w:rsid w:val="00357478"/>
    <w:rsid w:val="00357538"/>
    <w:rsid w:val="0035779D"/>
    <w:rsid w:val="003579C4"/>
    <w:rsid w:val="00357AE2"/>
    <w:rsid w:val="00357BFF"/>
    <w:rsid w:val="00357C77"/>
    <w:rsid w:val="00357D2E"/>
    <w:rsid w:val="00357D9D"/>
    <w:rsid w:val="00357DB0"/>
    <w:rsid w:val="00357E83"/>
    <w:rsid w:val="0035863F"/>
    <w:rsid w:val="003601A9"/>
    <w:rsid w:val="003601B9"/>
    <w:rsid w:val="003601F4"/>
    <w:rsid w:val="0036020E"/>
    <w:rsid w:val="003604FE"/>
    <w:rsid w:val="003605FF"/>
    <w:rsid w:val="0036068A"/>
    <w:rsid w:val="00360697"/>
    <w:rsid w:val="00360A61"/>
    <w:rsid w:val="00360B1E"/>
    <w:rsid w:val="00360CE8"/>
    <w:rsid w:val="00360D13"/>
    <w:rsid w:val="00360E6D"/>
    <w:rsid w:val="00360F96"/>
    <w:rsid w:val="00361219"/>
    <w:rsid w:val="00361233"/>
    <w:rsid w:val="0036128F"/>
    <w:rsid w:val="003613EE"/>
    <w:rsid w:val="003615B0"/>
    <w:rsid w:val="00361688"/>
    <w:rsid w:val="00361786"/>
    <w:rsid w:val="00361960"/>
    <w:rsid w:val="00361973"/>
    <w:rsid w:val="00361A3C"/>
    <w:rsid w:val="00361B10"/>
    <w:rsid w:val="00361C33"/>
    <w:rsid w:val="00361C86"/>
    <w:rsid w:val="00361C8F"/>
    <w:rsid w:val="00361CEE"/>
    <w:rsid w:val="00361E8B"/>
    <w:rsid w:val="00361F4A"/>
    <w:rsid w:val="0036211B"/>
    <w:rsid w:val="003622AA"/>
    <w:rsid w:val="0036268A"/>
    <w:rsid w:val="003627F9"/>
    <w:rsid w:val="00362858"/>
    <w:rsid w:val="00362974"/>
    <w:rsid w:val="00362981"/>
    <w:rsid w:val="003629BA"/>
    <w:rsid w:val="003629BC"/>
    <w:rsid w:val="00362A97"/>
    <w:rsid w:val="00362E85"/>
    <w:rsid w:val="0036314F"/>
    <w:rsid w:val="00363296"/>
    <w:rsid w:val="003633C7"/>
    <w:rsid w:val="00363545"/>
    <w:rsid w:val="00363742"/>
    <w:rsid w:val="003637E8"/>
    <w:rsid w:val="00363A18"/>
    <w:rsid w:val="00363A9C"/>
    <w:rsid w:val="00363BC8"/>
    <w:rsid w:val="00363E08"/>
    <w:rsid w:val="003645A9"/>
    <w:rsid w:val="00364677"/>
    <w:rsid w:val="003646BC"/>
    <w:rsid w:val="003647B6"/>
    <w:rsid w:val="00364836"/>
    <w:rsid w:val="003648A2"/>
    <w:rsid w:val="003648D8"/>
    <w:rsid w:val="003649E6"/>
    <w:rsid w:val="00364A41"/>
    <w:rsid w:val="00364B61"/>
    <w:rsid w:val="00364E90"/>
    <w:rsid w:val="00364F11"/>
    <w:rsid w:val="00364F5C"/>
    <w:rsid w:val="00364F9E"/>
    <w:rsid w:val="0036511B"/>
    <w:rsid w:val="00365163"/>
    <w:rsid w:val="003655D3"/>
    <w:rsid w:val="00365B5F"/>
    <w:rsid w:val="00365B8E"/>
    <w:rsid w:val="00365C3F"/>
    <w:rsid w:val="00365F19"/>
    <w:rsid w:val="00365F51"/>
    <w:rsid w:val="003660D8"/>
    <w:rsid w:val="0036616E"/>
    <w:rsid w:val="00366188"/>
    <w:rsid w:val="003662BF"/>
    <w:rsid w:val="00366880"/>
    <w:rsid w:val="0036692D"/>
    <w:rsid w:val="00366A1F"/>
    <w:rsid w:val="00366CBE"/>
    <w:rsid w:val="00366E86"/>
    <w:rsid w:val="00366E9D"/>
    <w:rsid w:val="00366F32"/>
    <w:rsid w:val="00366FA1"/>
    <w:rsid w:val="003670A0"/>
    <w:rsid w:val="00367207"/>
    <w:rsid w:val="00367443"/>
    <w:rsid w:val="003674B0"/>
    <w:rsid w:val="00367662"/>
    <w:rsid w:val="0036767E"/>
    <w:rsid w:val="003676BE"/>
    <w:rsid w:val="003677A4"/>
    <w:rsid w:val="0036782A"/>
    <w:rsid w:val="003678A6"/>
    <w:rsid w:val="00367AB2"/>
    <w:rsid w:val="00367BAE"/>
    <w:rsid w:val="00367BBC"/>
    <w:rsid w:val="00367CD2"/>
    <w:rsid w:val="00367FCE"/>
    <w:rsid w:val="003688EF"/>
    <w:rsid w:val="00370003"/>
    <w:rsid w:val="003702C2"/>
    <w:rsid w:val="00370778"/>
    <w:rsid w:val="0037093C"/>
    <w:rsid w:val="00370B54"/>
    <w:rsid w:val="00370BAA"/>
    <w:rsid w:val="00370CAB"/>
    <w:rsid w:val="00370DCC"/>
    <w:rsid w:val="00370E9D"/>
    <w:rsid w:val="00370FD0"/>
    <w:rsid w:val="003711DF"/>
    <w:rsid w:val="00371495"/>
    <w:rsid w:val="003715A7"/>
    <w:rsid w:val="0037163A"/>
    <w:rsid w:val="003718E9"/>
    <w:rsid w:val="0037196E"/>
    <w:rsid w:val="003719C2"/>
    <w:rsid w:val="00371CC7"/>
    <w:rsid w:val="00371E86"/>
    <w:rsid w:val="0037203B"/>
    <w:rsid w:val="00372236"/>
    <w:rsid w:val="00372271"/>
    <w:rsid w:val="0037237F"/>
    <w:rsid w:val="0037259F"/>
    <w:rsid w:val="003729E4"/>
    <w:rsid w:val="00372A82"/>
    <w:rsid w:val="00372D3A"/>
    <w:rsid w:val="00372D70"/>
    <w:rsid w:val="00372D9D"/>
    <w:rsid w:val="00372E9C"/>
    <w:rsid w:val="00372FAA"/>
    <w:rsid w:val="0037302A"/>
    <w:rsid w:val="003731B8"/>
    <w:rsid w:val="0037330B"/>
    <w:rsid w:val="003733E6"/>
    <w:rsid w:val="0037373A"/>
    <w:rsid w:val="0037373D"/>
    <w:rsid w:val="003737D0"/>
    <w:rsid w:val="00373871"/>
    <w:rsid w:val="00373919"/>
    <w:rsid w:val="0037394D"/>
    <w:rsid w:val="00373A5F"/>
    <w:rsid w:val="00373A73"/>
    <w:rsid w:val="00373AFB"/>
    <w:rsid w:val="00373B3C"/>
    <w:rsid w:val="00373C63"/>
    <w:rsid w:val="00373CF1"/>
    <w:rsid w:val="00373F61"/>
    <w:rsid w:val="0037405E"/>
    <w:rsid w:val="003740C3"/>
    <w:rsid w:val="003740C6"/>
    <w:rsid w:val="003740D3"/>
    <w:rsid w:val="0037417A"/>
    <w:rsid w:val="00374343"/>
    <w:rsid w:val="00374387"/>
    <w:rsid w:val="00374483"/>
    <w:rsid w:val="003744B1"/>
    <w:rsid w:val="003744B2"/>
    <w:rsid w:val="00374765"/>
    <w:rsid w:val="0037493B"/>
    <w:rsid w:val="003749A2"/>
    <w:rsid w:val="00374A15"/>
    <w:rsid w:val="00374B0E"/>
    <w:rsid w:val="00374B35"/>
    <w:rsid w:val="00374BCB"/>
    <w:rsid w:val="00374C62"/>
    <w:rsid w:val="00374EAB"/>
    <w:rsid w:val="00374FC7"/>
    <w:rsid w:val="00375253"/>
    <w:rsid w:val="00375279"/>
    <w:rsid w:val="00375607"/>
    <w:rsid w:val="003756AF"/>
    <w:rsid w:val="003757C7"/>
    <w:rsid w:val="003757FD"/>
    <w:rsid w:val="00375812"/>
    <w:rsid w:val="0037599F"/>
    <w:rsid w:val="00375A37"/>
    <w:rsid w:val="00375BFD"/>
    <w:rsid w:val="00375D88"/>
    <w:rsid w:val="00375FF5"/>
    <w:rsid w:val="00376061"/>
    <w:rsid w:val="0037619C"/>
    <w:rsid w:val="003761B0"/>
    <w:rsid w:val="0037623C"/>
    <w:rsid w:val="003762D3"/>
    <w:rsid w:val="003762EC"/>
    <w:rsid w:val="0037649A"/>
    <w:rsid w:val="00376633"/>
    <w:rsid w:val="0037689D"/>
    <w:rsid w:val="003768BE"/>
    <w:rsid w:val="003768D3"/>
    <w:rsid w:val="00376ACB"/>
    <w:rsid w:val="00376AE2"/>
    <w:rsid w:val="00376CF1"/>
    <w:rsid w:val="00376E18"/>
    <w:rsid w:val="00376FC8"/>
    <w:rsid w:val="00377231"/>
    <w:rsid w:val="00377322"/>
    <w:rsid w:val="00377476"/>
    <w:rsid w:val="003774CA"/>
    <w:rsid w:val="003776B4"/>
    <w:rsid w:val="003778C5"/>
    <w:rsid w:val="003778E0"/>
    <w:rsid w:val="0037796E"/>
    <w:rsid w:val="00377970"/>
    <w:rsid w:val="003779CC"/>
    <w:rsid w:val="00377A86"/>
    <w:rsid w:val="00377B85"/>
    <w:rsid w:val="00377C09"/>
    <w:rsid w:val="00377DB3"/>
    <w:rsid w:val="00377F55"/>
    <w:rsid w:val="00377F68"/>
    <w:rsid w:val="003800AF"/>
    <w:rsid w:val="003800F0"/>
    <w:rsid w:val="00380134"/>
    <w:rsid w:val="00380207"/>
    <w:rsid w:val="0038024F"/>
    <w:rsid w:val="0038038C"/>
    <w:rsid w:val="00380412"/>
    <w:rsid w:val="003804EE"/>
    <w:rsid w:val="003805EF"/>
    <w:rsid w:val="00380638"/>
    <w:rsid w:val="003806D7"/>
    <w:rsid w:val="00380740"/>
    <w:rsid w:val="00380848"/>
    <w:rsid w:val="0038089B"/>
    <w:rsid w:val="003809E0"/>
    <w:rsid w:val="00380AFB"/>
    <w:rsid w:val="00380BE5"/>
    <w:rsid w:val="00380BFD"/>
    <w:rsid w:val="00380E53"/>
    <w:rsid w:val="00380E6A"/>
    <w:rsid w:val="00380E9C"/>
    <w:rsid w:val="00381089"/>
    <w:rsid w:val="003810D7"/>
    <w:rsid w:val="003810E5"/>
    <w:rsid w:val="0038143A"/>
    <w:rsid w:val="00381536"/>
    <w:rsid w:val="0038159C"/>
    <w:rsid w:val="003819A3"/>
    <w:rsid w:val="00381A8B"/>
    <w:rsid w:val="00381AF1"/>
    <w:rsid w:val="00381B0C"/>
    <w:rsid w:val="00381D18"/>
    <w:rsid w:val="00381DB3"/>
    <w:rsid w:val="00381DBA"/>
    <w:rsid w:val="00381F0E"/>
    <w:rsid w:val="003820F6"/>
    <w:rsid w:val="0038214F"/>
    <w:rsid w:val="003823C5"/>
    <w:rsid w:val="003823CE"/>
    <w:rsid w:val="0038241F"/>
    <w:rsid w:val="0038268D"/>
    <w:rsid w:val="0038274A"/>
    <w:rsid w:val="0038282D"/>
    <w:rsid w:val="003829FE"/>
    <w:rsid w:val="00382B86"/>
    <w:rsid w:val="00382C13"/>
    <w:rsid w:val="00382E50"/>
    <w:rsid w:val="00382E54"/>
    <w:rsid w:val="00382F67"/>
    <w:rsid w:val="0038300C"/>
    <w:rsid w:val="0038305D"/>
    <w:rsid w:val="003835C8"/>
    <w:rsid w:val="00383613"/>
    <w:rsid w:val="00383703"/>
    <w:rsid w:val="003837CE"/>
    <w:rsid w:val="003837EC"/>
    <w:rsid w:val="00383857"/>
    <w:rsid w:val="00383C6F"/>
    <w:rsid w:val="00383DD8"/>
    <w:rsid w:val="00383DEC"/>
    <w:rsid w:val="00383E3E"/>
    <w:rsid w:val="00383E80"/>
    <w:rsid w:val="003840ED"/>
    <w:rsid w:val="00384476"/>
    <w:rsid w:val="003844C7"/>
    <w:rsid w:val="0038470E"/>
    <w:rsid w:val="00384817"/>
    <w:rsid w:val="0038483E"/>
    <w:rsid w:val="00384881"/>
    <w:rsid w:val="00384AAE"/>
    <w:rsid w:val="00384AFE"/>
    <w:rsid w:val="00384B3A"/>
    <w:rsid w:val="00384B64"/>
    <w:rsid w:val="00384CB3"/>
    <w:rsid w:val="00384D69"/>
    <w:rsid w:val="00384F00"/>
    <w:rsid w:val="00385150"/>
    <w:rsid w:val="003854C7"/>
    <w:rsid w:val="003855C8"/>
    <w:rsid w:val="00385746"/>
    <w:rsid w:val="003857C6"/>
    <w:rsid w:val="00385806"/>
    <w:rsid w:val="003858B8"/>
    <w:rsid w:val="00385998"/>
    <w:rsid w:val="003859B1"/>
    <w:rsid w:val="00385A10"/>
    <w:rsid w:val="00385A5C"/>
    <w:rsid w:val="00385BB5"/>
    <w:rsid w:val="00385DAE"/>
    <w:rsid w:val="00385EC8"/>
    <w:rsid w:val="00385EE9"/>
    <w:rsid w:val="003860B0"/>
    <w:rsid w:val="003860BD"/>
    <w:rsid w:val="003860D8"/>
    <w:rsid w:val="003861C6"/>
    <w:rsid w:val="0038638C"/>
    <w:rsid w:val="003864F7"/>
    <w:rsid w:val="00386508"/>
    <w:rsid w:val="00386E07"/>
    <w:rsid w:val="00386E6F"/>
    <w:rsid w:val="00386FF9"/>
    <w:rsid w:val="0038718A"/>
    <w:rsid w:val="003871B4"/>
    <w:rsid w:val="003875CD"/>
    <w:rsid w:val="003875EE"/>
    <w:rsid w:val="00387700"/>
    <w:rsid w:val="003877F3"/>
    <w:rsid w:val="00387855"/>
    <w:rsid w:val="003878C5"/>
    <w:rsid w:val="00387B63"/>
    <w:rsid w:val="00387B8B"/>
    <w:rsid w:val="00387D88"/>
    <w:rsid w:val="00387E43"/>
    <w:rsid w:val="00387F22"/>
    <w:rsid w:val="00387F3B"/>
    <w:rsid w:val="0039015E"/>
    <w:rsid w:val="00390269"/>
    <w:rsid w:val="003902CF"/>
    <w:rsid w:val="00390384"/>
    <w:rsid w:val="003903E3"/>
    <w:rsid w:val="00390463"/>
    <w:rsid w:val="003907D9"/>
    <w:rsid w:val="0039083E"/>
    <w:rsid w:val="00390871"/>
    <w:rsid w:val="00390B00"/>
    <w:rsid w:val="00390C28"/>
    <w:rsid w:val="00390C37"/>
    <w:rsid w:val="00390C40"/>
    <w:rsid w:val="00390DDF"/>
    <w:rsid w:val="00391366"/>
    <w:rsid w:val="00391399"/>
    <w:rsid w:val="0039152B"/>
    <w:rsid w:val="00391601"/>
    <w:rsid w:val="003916B0"/>
    <w:rsid w:val="00391A6B"/>
    <w:rsid w:val="00391AA6"/>
    <w:rsid w:val="00391B8E"/>
    <w:rsid w:val="00391B9C"/>
    <w:rsid w:val="00391BF0"/>
    <w:rsid w:val="00391C09"/>
    <w:rsid w:val="00391C11"/>
    <w:rsid w:val="00391CF3"/>
    <w:rsid w:val="00391D9B"/>
    <w:rsid w:val="00391F20"/>
    <w:rsid w:val="00392032"/>
    <w:rsid w:val="00392048"/>
    <w:rsid w:val="003922D5"/>
    <w:rsid w:val="003926B8"/>
    <w:rsid w:val="003926C0"/>
    <w:rsid w:val="003926DC"/>
    <w:rsid w:val="003928A2"/>
    <w:rsid w:val="003928EE"/>
    <w:rsid w:val="00392986"/>
    <w:rsid w:val="00392C76"/>
    <w:rsid w:val="00392E09"/>
    <w:rsid w:val="00392EDB"/>
    <w:rsid w:val="00392F2B"/>
    <w:rsid w:val="00392FDD"/>
    <w:rsid w:val="0039325A"/>
    <w:rsid w:val="00393302"/>
    <w:rsid w:val="0039355F"/>
    <w:rsid w:val="003935F4"/>
    <w:rsid w:val="0039379B"/>
    <w:rsid w:val="003937EB"/>
    <w:rsid w:val="00393954"/>
    <w:rsid w:val="003939DA"/>
    <w:rsid w:val="00393D21"/>
    <w:rsid w:val="00393DEA"/>
    <w:rsid w:val="00393F00"/>
    <w:rsid w:val="0039406D"/>
    <w:rsid w:val="003947D0"/>
    <w:rsid w:val="003948E7"/>
    <w:rsid w:val="00394900"/>
    <w:rsid w:val="00394939"/>
    <w:rsid w:val="003949C6"/>
    <w:rsid w:val="00394BF6"/>
    <w:rsid w:val="00394C56"/>
    <w:rsid w:val="00394D45"/>
    <w:rsid w:val="00394D54"/>
    <w:rsid w:val="00394D99"/>
    <w:rsid w:val="00394DE6"/>
    <w:rsid w:val="00394FB1"/>
    <w:rsid w:val="0039507A"/>
    <w:rsid w:val="00395157"/>
    <w:rsid w:val="003951CD"/>
    <w:rsid w:val="003952E3"/>
    <w:rsid w:val="003953E0"/>
    <w:rsid w:val="003953E7"/>
    <w:rsid w:val="00395561"/>
    <w:rsid w:val="0039563C"/>
    <w:rsid w:val="0039571B"/>
    <w:rsid w:val="00395842"/>
    <w:rsid w:val="00395B2C"/>
    <w:rsid w:val="0039617A"/>
    <w:rsid w:val="00396193"/>
    <w:rsid w:val="003962F6"/>
    <w:rsid w:val="003963C9"/>
    <w:rsid w:val="0039649D"/>
    <w:rsid w:val="00396746"/>
    <w:rsid w:val="003968C2"/>
    <w:rsid w:val="0039693D"/>
    <w:rsid w:val="0039697D"/>
    <w:rsid w:val="00396A1B"/>
    <w:rsid w:val="00396ABF"/>
    <w:rsid w:val="00396B3C"/>
    <w:rsid w:val="00396BD2"/>
    <w:rsid w:val="00396E6D"/>
    <w:rsid w:val="00396EF9"/>
    <w:rsid w:val="0039722C"/>
    <w:rsid w:val="00397261"/>
    <w:rsid w:val="003973A8"/>
    <w:rsid w:val="00397416"/>
    <w:rsid w:val="00397428"/>
    <w:rsid w:val="0039762B"/>
    <w:rsid w:val="0039762C"/>
    <w:rsid w:val="0039770D"/>
    <w:rsid w:val="00397756"/>
    <w:rsid w:val="00397842"/>
    <w:rsid w:val="00397A12"/>
    <w:rsid w:val="00397AAF"/>
    <w:rsid w:val="00397CB5"/>
    <w:rsid w:val="00397D03"/>
    <w:rsid w:val="00397E7D"/>
    <w:rsid w:val="00397EF2"/>
    <w:rsid w:val="003A0158"/>
    <w:rsid w:val="003A01E5"/>
    <w:rsid w:val="003A0436"/>
    <w:rsid w:val="003A04E2"/>
    <w:rsid w:val="003A05FE"/>
    <w:rsid w:val="003A08B3"/>
    <w:rsid w:val="003A093A"/>
    <w:rsid w:val="003A0C21"/>
    <w:rsid w:val="003A0E12"/>
    <w:rsid w:val="003A103D"/>
    <w:rsid w:val="003A1156"/>
    <w:rsid w:val="003A11DE"/>
    <w:rsid w:val="003A143E"/>
    <w:rsid w:val="003A166B"/>
    <w:rsid w:val="003A172A"/>
    <w:rsid w:val="003A1736"/>
    <w:rsid w:val="003A179E"/>
    <w:rsid w:val="003A1879"/>
    <w:rsid w:val="003A1B9B"/>
    <w:rsid w:val="003A1D0E"/>
    <w:rsid w:val="003A1D1C"/>
    <w:rsid w:val="003A1D6A"/>
    <w:rsid w:val="003A1E02"/>
    <w:rsid w:val="003A1E2B"/>
    <w:rsid w:val="003A1EED"/>
    <w:rsid w:val="003A1FBD"/>
    <w:rsid w:val="003A203C"/>
    <w:rsid w:val="003A2049"/>
    <w:rsid w:val="003A205A"/>
    <w:rsid w:val="003A2124"/>
    <w:rsid w:val="003A2137"/>
    <w:rsid w:val="003A22CD"/>
    <w:rsid w:val="003A23AD"/>
    <w:rsid w:val="003A23B6"/>
    <w:rsid w:val="003A2404"/>
    <w:rsid w:val="003A247F"/>
    <w:rsid w:val="003A269C"/>
    <w:rsid w:val="003A2733"/>
    <w:rsid w:val="003A29E0"/>
    <w:rsid w:val="003A2AF3"/>
    <w:rsid w:val="003A2B8A"/>
    <w:rsid w:val="003A2DAC"/>
    <w:rsid w:val="003A2DF0"/>
    <w:rsid w:val="003A2F2A"/>
    <w:rsid w:val="003A2F4F"/>
    <w:rsid w:val="003A2FAF"/>
    <w:rsid w:val="003A3071"/>
    <w:rsid w:val="003A30C4"/>
    <w:rsid w:val="003A3461"/>
    <w:rsid w:val="003A36A3"/>
    <w:rsid w:val="003A378C"/>
    <w:rsid w:val="003A397A"/>
    <w:rsid w:val="003A3A2A"/>
    <w:rsid w:val="003A3B87"/>
    <w:rsid w:val="003A3D0E"/>
    <w:rsid w:val="003A3EF9"/>
    <w:rsid w:val="003A3F05"/>
    <w:rsid w:val="003A3F76"/>
    <w:rsid w:val="003A400E"/>
    <w:rsid w:val="003A40F5"/>
    <w:rsid w:val="003A4571"/>
    <w:rsid w:val="003A46FF"/>
    <w:rsid w:val="003A472E"/>
    <w:rsid w:val="003A4872"/>
    <w:rsid w:val="003A48C3"/>
    <w:rsid w:val="003A4A05"/>
    <w:rsid w:val="003A4A52"/>
    <w:rsid w:val="003A4C6E"/>
    <w:rsid w:val="003A4CD6"/>
    <w:rsid w:val="003A4EE2"/>
    <w:rsid w:val="003A4EF2"/>
    <w:rsid w:val="003A5017"/>
    <w:rsid w:val="003A5077"/>
    <w:rsid w:val="003A53C9"/>
    <w:rsid w:val="003A5584"/>
    <w:rsid w:val="003A55B1"/>
    <w:rsid w:val="003A55B9"/>
    <w:rsid w:val="003A5910"/>
    <w:rsid w:val="003A59E6"/>
    <w:rsid w:val="003A5A7E"/>
    <w:rsid w:val="003A5AD5"/>
    <w:rsid w:val="003A5B91"/>
    <w:rsid w:val="003A5C90"/>
    <w:rsid w:val="003A5DA9"/>
    <w:rsid w:val="003A6100"/>
    <w:rsid w:val="003A6195"/>
    <w:rsid w:val="003A61AA"/>
    <w:rsid w:val="003A6206"/>
    <w:rsid w:val="003A6396"/>
    <w:rsid w:val="003A63D6"/>
    <w:rsid w:val="003A6640"/>
    <w:rsid w:val="003A66E7"/>
    <w:rsid w:val="003A6838"/>
    <w:rsid w:val="003A692D"/>
    <w:rsid w:val="003A6A14"/>
    <w:rsid w:val="003A6A33"/>
    <w:rsid w:val="003A6A99"/>
    <w:rsid w:val="003A6B36"/>
    <w:rsid w:val="003A6BD9"/>
    <w:rsid w:val="003A6BFF"/>
    <w:rsid w:val="003A6D7D"/>
    <w:rsid w:val="003A6D8C"/>
    <w:rsid w:val="003A6E93"/>
    <w:rsid w:val="003A70E7"/>
    <w:rsid w:val="003A7137"/>
    <w:rsid w:val="003A7480"/>
    <w:rsid w:val="003A75D3"/>
    <w:rsid w:val="003A785B"/>
    <w:rsid w:val="003A79B5"/>
    <w:rsid w:val="003A7AA3"/>
    <w:rsid w:val="003A7C66"/>
    <w:rsid w:val="003A7DB9"/>
    <w:rsid w:val="003B006C"/>
    <w:rsid w:val="003B00B7"/>
    <w:rsid w:val="003B011E"/>
    <w:rsid w:val="003B0248"/>
    <w:rsid w:val="003B040D"/>
    <w:rsid w:val="003B06AB"/>
    <w:rsid w:val="003B077C"/>
    <w:rsid w:val="003B0807"/>
    <w:rsid w:val="003B0886"/>
    <w:rsid w:val="003B09EF"/>
    <w:rsid w:val="003B0A21"/>
    <w:rsid w:val="003B0D9B"/>
    <w:rsid w:val="003B0EBC"/>
    <w:rsid w:val="003B0FE3"/>
    <w:rsid w:val="003B10B9"/>
    <w:rsid w:val="003B10EA"/>
    <w:rsid w:val="003B11C4"/>
    <w:rsid w:val="003B13A6"/>
    <w:rsid w:val="003B14EF"/>
    <w:rsid w:val="003B1713"/>
    <w:rsid w:val="003B172D"/>
    <w:rsid w:val="003B17EA"/>
    <w:rsid w:val="003B1897"/>
    <w:rsid w:val="003B197D"/>
    <w:rsid w:val="003B19A2"/>
    <w:rsid w:val="003B1A43"/>
    <w:rsid w:val="003B1C16"/>
    <w:rsid w:val="003B1D24"/>
    <w:rsid w:val="003B1E3D"/>
    <w:rsid w:val="003B1EA6"/>
    <w:rsid w:val="003B1F94"/>
    <w:rsid w:val="003B21A5"/>
    <w:rsid w:val="003B228D"/>
    <w:rsid w:val="003B229B"/>
    <w:rsid w:val="003B234F"/>
    <w:rsid w:val="003B2595"/>
    <w:rsid w:val="003B25B2"/>
    <w:rsid w:val="003B25BF"/>
    <w:rsid w:val="003B2675"/>
    <w:rsid w:val="003B2A11"/>
    <w:rsid w:val="003B2B2A"/>
    <w:rsid w:val="003B2CE5"/>
    <w:rsid w:val="003B2D36"/>
    <w:rsid w:val="003B2EA0"/>
    <w:rsid w:val="003B2FE5"/>
    <w:rsid w:val="003B30C0"/>
    <w:rsid w:val="003B30DD"/>
    <w:rsid w:val="003B327A"/>
    <w:rsid w:val="003B34F6"/>
    <w:rsid w:val="003B3B06"/>
    <w:rsid w:val="003B3B48"/>
    <w:rsid w:val="003B3BC1"/>
    <w:rsid w:val="003B3C80"/>
    <w:rsid w:val="003B3D04"/>
    <w:rsid w:val="003B3DAB"/>
    <w:rsid w:val="003B3EF0"/>
    <w:rsid w:val="003B3F5D"/>
    <w:rsid w:val="003B3FC4"/>
    <w:rsid w:val="003B4031"/>
    <w:rsid w:val="003B405A"/>
    <w:rsid w:val="003B414E"/>
    <w:rsid w:val="003B41E4"/>
    <w:rsid w:val="003B427C"/>
    <w:rsid w:val="003B439E"/>
    <w:rsid w:val="003B4467"/>
    <w:rsid w:val="003B44E9"/>
    <w:rsid w:val="003B48F8"/>
    <w:rsid w:val="003B4971"/>
    <w:rsid w:val="003B4A65"/>
    <w:rsid w:val="003B4BF3"/>
    <w:rsid w:val="003B4C3C"/>
    <w:rsid w:val="003B4D9D"/>
    <w:rsid w:val="003B4DFB"/>
    <w:rsid w:val="003B4E7B"/>
    <w:rsid w:val="003B50ED"/>
    <w:rsid w:val="003B5171"/>
    <w:rsid w:val="003B5268"/>
    <w:rsid w:val="003B54F5"/>
    <w:rsid w:val="003B55E6"/>
    <w:rsid w:val="003B5626"/>
    <w:rsid w:val="003B5928"/>
    <w:rsid w:val="003B59D5"/>
    <w:rsid w:val="003B5B47"/>
    <w:rsid w:val="003B5B8C"/>
    <w:rsid w:val="003B5BCB"/>
    <w:rsid w:val="003B5C11"/>
    <w:rsid w:val="003B5C35"/>
    <w:rsid w:val="003B5E3E"/>
    <w:rsid w:val="003B5EC1"/>
    <w:rsid w:val="003B6037"/>
    <w:rsid w:val="003B628A"/>
    <w:rsid w:val="003B63F3"/>
    <w:rsid w:val="003B6527"/>
    <w:rsid w:val="003B67A6"/>
    <w:rsid w:val="003B6881"/>
    <w:rsid w:val="003B6AE6"/>
    <w:rsid w:val="003B6E09"/>
    <w:rsid w:val="003B6FB1"/>
    <w:rsid w:val="003B71A3"/>
    <w:rsid w:val="003B72FA"/>
    <w:rsid w:val="003B73EB"/>
    <w:rsid w:val="003B7576"/>
    <w:rsid w:val="003B7694"/>
    <w:rsid w:val="003B77BC"/>
    <w:rsid w:val="003B7844"/>
    <w:rsid w:val="003B78D1"/>
    <w:rsid w:val="003B7A8A"/>
    <w:rsid w:val="003B7D68"/>
    <w:rsid w:val="003B7FBF"/>
    <w:rsid w:val="003C023A"/>
    <w:rsid w:val="003C0652"/>
    <w:rsid w:val="003C067C"/>
    <w:rsid w:val="003C0686"/>
    <w:rsid w:val="003C0C79"/>
    <w:rsid w:val="003C0E99"/>
    <w:rsid w:val="003C100F"/>
    <w:rsid w:val="003C139B"/>
    <w:rsid w:val="003C13C3"/>
    <w:rsid w:val="003C13EF"/>
    <w:rsid w:val="003C1642"/>
    <w:rsid w:val="003C1827"/>
    <w:rsid w:val="003C1852"/>
    <w:rsid w:val="003C18FA"/>
    <w:rsid w:val="003C19B0"/>
    <w:rsid w:val="003C19E7"/>
    <w:rsid w:val="003C1A2E"/>
    <w:rsid w:val="003C1BFD"/>
    <w:rsid w:val="003C1DC0"/>
    <w:rsid w:val="003C1DED"/>
    <w:rsid w:val="003C1E20"/>
    <w:rsid w:val="003C1E23"/>
    <w:rsid w:val="003C1E2A"/>
    <w:rsid w:val="003C2061"/>
    <w:rsid w:val="003C20B9"/>
    <w:rsid w:val="003C2127"/>
    <w:rsid w:val="003C228A"/>
    <w:rsid w:val="003C22DC"/>
    <w:rsid w:val="003C290B"/>
    <w:rsid w:val="003C291B"/>
    <w:rsid w:val="003C2978"/>
    <w:rsid w:val="003C2A02"/>
    <w:rsid w:val="003C2B34"/>
    <w:rsid w:val="003C2BA0"/>
    <w:rsid w:val="003C2CD6"/>
    <w:rsid w:val="003C2D22"/>
    <w:rsid w:val="003C2D65"/>
    <w:rsid w:val="003C2F7C"/>
    <w:rsid w:val="003C2F94"/>
    <w:rsid w:val="003C2FCB"/>
    <w:rsid w:val="003C2FF7"/>
    <w:rsid w:val="003C3036"/>
    <w:rsid w:val="003C304D"/>
    <w:rsid w:val="003C31B0"/>
    <w:rsid w:val="003C31DA"/>
    <w:rsid w:val="003C327B"/>
    <w:rsid w:val="003C3293"/>
    <w:rsid w:val="003C331F"/>
    <w:rsid w:val="003C3458"/>
    <w:rsid w:val="003C3503"/>
    <w:rsid w:val="003C358A"/>
    <w:rsid w:val="003C3697"/>
    <w:rsid w:val="003C3730"/>
    <w:rsid w:val="003C3876"/>
    <w:rsid w:val="003C392E"/>
    <w:rsid w:val="003C3950"/>
    <w:rsid w:val="003C3A7F"/>
    <w:rsid w:val="003C3C36"/>
    <w:rsid w:val="003C3C9D"/>
    <w:rsid w:val="003C3CAC"/>
    <w:rsid w:val="003C3D19"/>
    <w:rsid w:val="003C3D37"/>
    <w:rsid w:val="003C4011"/>
    <w:rsid w:val="003C404F"/>
    <w:rsid w:val="003C41DD"/>
    <w:rsid w:val="003C4207"/>
    <w:rsid w:val="003C42EE"/>
    <w:rsid w:val="003C449A"/>
    <w:rsid w:val="003C449C"/>
    <w:rsid w:val="003C44E3"/>
    <w:rsid w:val="003C4527"/>
    <w:rsid w:val="003C4584"/>
    <w:rsid w:val="003C4632"/>
    <w:rsid w:val="003C4859"/>
    <w:rsid w:val="003C48AB"/>
    <w:rsid w:val="003C4A3C"/>
    <w:rsid w:val="003C4B47"/>
    <w:rsid w:val="003C4B85"/>
    <w:rsid w:val="003C4B98"/>
    <w:rsid w:val="003C4BA2"/>
    <w:rsid w:val="003C4C51"/>
    <w:rsid w:val="003C4CED"/>
    <w:rsid w:val="003C4D23"/>
    <w:rsid w:val="003C4E9B"/>
    <w:rsid w:val="003C50DB"/>
    <w:rsid w:val="003C5347"/>
    <w:rsid w:val="003C54A9"/>
    <w:rsid w:val="003C5615"/>
    <w:rsid w:val="003C569F"/>
    <w:rsid w:val="003C56D2"/>
    <w:rsid w:val="003C57AC"/>
    <w:rsid w:val="003C57D4"/>
    <w:rsid w:val="003C5906"/>
    <w:rsid w:val="003C5A82"/>
    <w:rsid w:val="003C5B0A"/>
    <w:rsid w:val="003C5B8F"/>
    <w:rsid w:val="003C5D1B"/>
    <w:rsid w:val="003C5E14"/>
    <w:rsid w:val="003C5F0C"/>
    <w:rsid w:val="003C6097"/>
    <w:rsid w:val="003C60A5"/>
    <w:rsid w:val="003C60FE"/>
    <w:rsid w:val="003C63DF"/>
    <w:rsid w:val="003C6680"/>
    <w:rsid w:val="003C6753"/>
    <w:rsid w:val="003C67AC"/>
    <w:rsid w:val="003C67F5"/>
    <w:rsid w:val="003C6874"/>
    <w:rsid w:val="003C68D5"/>
    <w:rsid w:val="003C6AA8"/>
    <w:rsid w:val="003C6D3B"/>
    <w:rsid w:val="003C6F55"/>
    <w:rsid w:val="003C6F56"/>
    <w:rsid w:val="003C714E"/>
    <w:rsid w:val="003C721D"/>
    <w:rsid w:val="003C72C7"/>
    <w:rsid w:val="003C7343"/>
    <w:rsid w:val="003C7371"/>
    <w:rsid w:val="003C73C8"/>
    <w:rsid w:val="003C740C"/>
    <w:rsid w:val="003C765E"/>
    <w:rsid w:val="003C768C"/>
    <w:rsid w:val="003C773C"/>
    <w:rsid w:val="003C77EF"/>
    <w:rsid w:val="003C792A"/>
    <w:rsid w:val="003C7FDE"/>
    <w:rsid w:val="003D00F0"/>
    <w:rsid w:val="003D016E"/>
    <w:rsid w:val="003D0319"/>
    <w:rsid w:val="003D03B8"/>
    <w:rsid w:val="003D0640"/>
    <w:rsid w:val="003D07AA"/>
    <w:rsid w:val="003D07BC"/>
    <w:rsid w:val="003D0C0C"/>
    <w:rsid w:val="003D0E21"/>
    <w:rsid w:val="003D0E4E"/>
    <w:rsid w:val="003D0FE9"/>
    <w:rsid w:val="003D11A9"/>
    <w:rsid w:val="003D1370"/>
    <w:rsid w:val="003D146B"/>
    <w:rsid w:val="003D16C2"/>
    <w:rsid w:val="003D179C"/>
    <w:rsid w:val="003D17B6"/>
    <w:rsid w:val="003D17DF"/>
    <w:rsid w:val="003D18F4"/>
    <w:rsid w:val="003D1A5E"/>
    <w:rsid w:val="003D1A98"/>
    <w:rsid w:val="003D1C7D"/>
    <w:rsid w:val="003D1CEA"/>
    <w:rsid w:val="003D1D19"/>
    <w:rsid w:val="003D1D5E"/>
    <w:rsid w:val="003D1D75"/>
    <w:rsid w:val="003D1F11"/>
    <w:rsid w:val="003D1F8A"/>
    <w:rsid w:val="003D1FB6"/>
    <w:rsid w:val="003D2011"/>
    <w:rsid w:val="003D2088"/>
    <w:rsid w:val="003D20B7"/>
    <w:rsid w:val="003D20FB"/>
    <w:rsid w:val="003D23D7"/>
    <w:rsid w:val="003D253E"/>
    <w:rsid w:val="003D264B"/>
    <w:rsid w:val="003D272B"/>
    <w:rsid w:val="003D2864"/>
    <w:rsid w:val="003D2CEC"/>
    <w:rsid w:val="003D2D35"/>
    <w:rsid w:val="003D2EAB"/>
    <w:rsid w:val="003D2F57"/>
    <w:rsid w:val="003D3049"/>
    <w:rsid w:val="003D34C8"/>
    <w:rsid w:val="003D368B"/>
    <w:rsid w:val="003D36E5"/>
    <w:rsid w:val="003D3886"/>
    <w:rsid w:val="003D3AB9"/>
    <w:rsid w:val="003D3CF0"/>
    <w:rsid w:val="003D3DB9"/>
    <w:rsid w:val="003D3EB4"/>
    <w:rsid w:val="003D40BD"/>
    <w:rsid w:val="003D455A"/>
    <w:rsid w:val="003D4664"/>
    <w:rsid w:val="003D46CB"/>
    <w:rsid w:val="003D4A7B"/>
    <w:rsid w:val="003D4CAF"/>
    <w:rsid w:val="003D4CE2"/>
    <w:rsid w:val="003D4CF8"/>
    <w:rsid w:val="003D4D94"/>
    <w:rsid w:val="003D5195"/>
    <w:rsid w:val="003D5236"/>
    <w:rsid w:val="003D5493"/>
    <w:rsid w:val="003D5689"/>
    <w:rsid w:val="003D5744"/>
    <w:rsid w:val="003D5791"/>
    <w:rsid w:val="003D57EA"/>
    <w:rsid w:val="003D58D5"/>
    <w:rsid w:val="003D5B1E"/>
    <w:rsid w:val="003D5E22"/>
    <w:rsid w:val="003D5E50"/>
    <w:rsid w:val="003D6092"/>
    <w:rsid w:val="003D611B"/>
    <w:rsid w:val="003D6165"/>
    <w:rsid w:val="003D616C"/>
    <w:rsid w:val="003D63D0"/>
    <w:rsid w:val="003D63F3"/>
    <w:rsid w:val="003D6552"/>
    <w:rsid w:val="003D6877"/>
    <w:rsid w:val="003D68DF"/>
    <w:rsid w:val="003D6B3B"/>
    <w:rsid w:val="003D6D55"/>
    <w:rsid w:val="003D6E58"/>
    <w:rsid w:val="003D6E92"/>
    <w:rsid w:val="003D6EE6"/>
    <w:rsid w:val="003D6F5E"/>
    <w:rsid w:val="003D71D7"/>
    <w:rsid w:val="003D71DC"/>
    <w:rsid w:val="003D723F"/>
    <w:rsid w:val="003D72E3"/>
    <w:rsid w:val="003D74AE"/>
    <w:rsid w:val="003D7738"/>
    <w:rsid w:val="003D78AC"/>
    <w:rsid w:val="003D7944"/>
    <w:rsid w:val="003D79A6"/>
    <w:rsid w:val="003D7C95"/>
    <w:rsid w:val="003D7DA1"/>
    <w:rsid w:val="003D7EB5"/>
    <w:rsid w:val="003D7FD5"/>
    <w:rsid w:val="003E000F"/>
    <w:rsid w:val="003E0014"/>
    <w:rsid w:val="003E0190"/>
    <w:rsid w:val="003E0269"/>
    <w:rsid w:val="003E02C5"/>
    <w:rsid w:val="003E05BF"/>
    <w:rsid w:val="003E06AA"/>
    <w:rsid w:val="003E074E"/>
    <w:rsid w:val="003E0C03"/>
    <w:rsid w:val="003E0C3E"/>
    <w:rsid w:val="003E0F9F"/>
    <w:rsid w:val="003E1039"/>
    <w:rsid w:val="003E1098"/>
    <w:rsid w:val="003E119E"/>
    <w:rsid w:val="003E15CB"/>
    <w:rsid w:val="003E15CC"/>
    <w:rsid w:val="003E16AB"/>
    <w:rsid w:val="003E19F1"/>
    <w:rsid w:val="003E1B6D"/>
    <w:rsid w:val="003E1C0B"/>
    <w:rsid w:val="003E1C7C"/>
    <w:rsid w:val="003E20B6"/>
    <w:rsid w:val="003E26CE"/>
    <w:rsid w:val="003E2B77"/>
    <w:rsid w:val="003E2CE8"/>
    <w:rsid w:val="003E3224"/>
    <w:rsid w:val="003E326D"/>
    <w:rsid w:val="003E342B"/>
    <w:rsid w:val="003E36BB"/>
    <w:rsid w:val="003E3883"/>
    <w:rsid w:val="003E394A"/>
    <w:rsid w:val="003E3A0B"/>
    <w:rsid w:val="003E3ABC"/>
    <w:rsid w:val="003E3B57"/>
    <w:rsid w:val="003E3BB2"/>
    <w:rsid w:val="003E3BCF"/>
    <w:rsid w:val="003E3CE6"/>
    <w:rsid w:val="003E3D9B"/>
    <w:rsid w:val="003E3E4E"/>
    <w:rsid w:val="003E3F79"/>
    <w:rsid w:val="003E4097"/>
    <w:rsid w:val="003E41AD"/>
    <w:rsid w:val="003E4289"/>
    <w:rsid w:val="003E4432"/>
    <w:rsid w:val="003E44A2"/>
    <w:rsid w:val="003E44F6"/>
    <w:rsid w:val="003E475B"/>
    <w:rsid w:val="003E47AF"/>
    <w:rsid w:val="003E481A"/>
    <w:rsid w:val="003E48C7"/>
    <w:rsid w:val="003E4959"/>
    <w:rsid w:val="003E49F1"/>
    <w:rsid w:val="003E4C38"/>
    <w:rsid w:val="003E4C67"/>
    <w:rsid w:val="003E4C77"/>
    <w:rsid w:val="003E5039"/>
    <w:rsid w:val="003E506B"/>
    <w:rsid w:val="003E513A"/>
    <w:rsid w:val="003E5150"/>
    <w:rsid w:val="003E534A"/>
    <w:rsid w:val="003E545F"/>
    <w:rsid w:val="003E54A0"/>
    <w:rsid w:val="003E54FC"/>
    <w:rsid w:val="003E57AA"/>
    <w:rsid w:val="003E5AE7"/>
    <w:rsid w:val="003E606B"/>
    <w:rsid w:val="003E60C5"/>
    <w:rsid w:val="003E61E4"/>
    <w:rsid w:val="003E640E"/>
    <w:rsid w:val="003E6619"/>
    <w:rsid w:val="003E66DA"/>
    <w:rsid w:val="003E6759"/>
    <w:rsid w:val="003E687D"/>
    <w:rsid w:val="003E68B0"/>
    <w:rsid w:val="003E69EA"/>
    <w:rsid w:val="003E6F1E"/>
    <w:rsid w:val="003E717E"/>
    <w:rsid w:val="003E73BD"/>
    <w:rsid w:val="003E7575"/>
    <w:rsid w:val="003E771E"/>
    <w:rsid w:val="003E7772"/>
    <w:rsid w:val="003E7854"/>
    <w:rsid w:val="003E78DC"/>
    <w:rsid w:val="003E79CD"/>
    <w:rsid w:val="003E7A44"/>
    <w:rsid w:val="003E7A71"/>
    <w:rsid w:val="003E7E75"/>
    <w:rsid w:val="003E7FED"/>
    <w:rsid w:val="003F037F"/>
    <w:rsid w:val="003F0418"/>
    <w:rsid w:val="003F056D"/>
    <w:rsid w:val="003F0871"/>
    <w:rsid w:val="003F0892"/>
    <w:rsid w:val="003F097B"/>
    <w:rsid w:val="003F0A4D"/>
    <w:rsid w:val="003F0ADA"/>
    <w:rsid w:val="003F0B3D"/>
    <w:rsid w:val="003F0B52"/>
    <w:rsid w:val="003F0C8B"/>
    <w:rsid w:val="003F0D2E"/>
    <w:rsid w:val="003F0D80"/>
    <w:rsid w:val="003F0D8C"/>
    <w:rsid w:val="003F0E64"/>
    <w:rsid w:val="003F0E82"/>
    <w:rsid w:val="003F1105"/>
    <w:rsid w:val="003F12D5"/>
    <w:rsid w:val="003F15BD"/>
    <w:rsid w:val="003F1613"/>
    <w:rsid w:val="003F173D"/>
    <w:rsid w:val="003F174F"/>
    <w:rsid w:val="003F1B83"/>
    <w:rsid w:val="003F1C4D"/>
    <w:rsid w:val="003F1CC4"/>
    <w:rsid w:val="003F1F0A"/>
    <w:rsid w:val="003F20CF"/>
    <w:rsid w:val="003F245A"/>
    <w:rsid w:val="003F254F"/>
    <w:rsid w:val="003F289E"/>
    <w:rsid w:val="003F2B51"/>
    <w:rsid w:val="003F2C0F"/>
    <w:rsid w:val="003F2CD5"/>
    <w:rsid w:val="003F2DFF"/>
    <w:rsid w:val="003F2EC8"/>
    <w:rsid w:val="003F2F88"/>
    <w:rsid w:val="003F2FF8"/>
    <w:rsid w:val="003F315B"/>
    <w:rsid w:val="003F3230"/>
    <w:rsid w:val="003F3797"/>
    <w:rsid w:val="003F388B"/>
    <w:rsid w:val="003F38AB"/>
    <w:rsid w:val="003F39C2"/>
    <w:rsid w:val="003F3A8E"/>
    <w:rsid w:val="003F3AED"/>
    <w:rsid w:val="003F3E28"/>
    <w:rsid w:val="003F3E43"/>
    <w:rsid w:val="003F3E47"/>
    <w:rsid w:val="003F3F37"/>
    <w:rsid w:val="003F41E8"/>
    <w:rsid w:val="003F42C6"/>
    <w:rsid w:val="003F42E0"/>
    <w:rsid w:val="003F4306"/>
    <w:rsid w:val="003F43FB"/>
    <w:rsid w:val="003F46A5"/>
    <w:rsid w:val="003F4A2B"/>
    <w:rsid w:val="003F4B82"/>
    <w:rsid w:val="003F4DE4"/>
    <w:rsid w:val="003F4F1A"/>
    <w:rsid w:val="003F4F1B"/>
    <w:rsid w:val="003F51AE"/>
    <w:rsid w:val="003F5319"/>
    <w:rsid w:val="003F538F"/>
    <w:rsid w:val="003F53CF"/>
    <w:rsid w:val="003F5507"/>
    <w:rsid w:val="003F5534"/>
    <w:rsid w:val="003F56EC"/>
    <w:rsid w:val="003F5AF9"/>
    <w:rsid w:val="003F5DDB"/>
    <w:rsid w:val="003F5FAC"/>
    <w:rsid w:val="003F6144"/>
    <w:rsid w:val="003F62FF"/>
    <w:rsid w:val="003F64C9"/>
    <w:rsid w:val="003F6524"/>
    <w:rsid w:val="003F6571"/>
    <w:rsid w:val="003F6613"/>
    <w:rsid w:val="003F66D0"/>
    <w:rsid w:val="003F67B3"/>
    <w:rsid w:val="003F6903"/>
    <w:rsid w:val="003F6934"/>
    <w:rsid w:val="003F6D48"/>
    <w:rsid w:val="003F6E3C"/>
    <w:rsid w:val="003F6E80"/>
    <w:rsid w:val="003F6FB8"/>
    <w:rsid w:val="003F7271"/>
    <w:rsid w:val="003F73E3"/>
    <w:rsid w:val="003F744C"/>
    <w:rsid w:val="003F7586"/>
    <w:rsid w:val="003F75FD"/>
    <w:rsid w:val="003F779C"/>
    <w:rsid w:val="003F77C7"/>
    <w:rsid w:val="003F77FB"/>
    <w:rsid w:val="003F7822"/>
    <w:rsid w:val="003F78A3"/>
    <w:rsid w:val="003F798A"/>
    <w:rsid w:val="003F798D"/>
    <w:rsid w:val="003F7B34"/>
    <w:rsid w:val="003F7BA1"/>
    <w:rsid w:val="003F7D2B"/>
    <w:rsid w:val="004000BA"/>
    <w:rsid w:val="004001D4"/>
    <w:rsid w:val="004001DA"/>
    <w:rsid w:val="00400458"/>
    <w:rsid w:val="0040054D"/>
    <w:rsid w:val="004005D3"/>
    <w:rsid w:val="0040073C"/>
    <w:rsid w:val="00400917"/>
    <w:rsid w:val="004009D2"/>
    <w:rsid w:val="00400A76"/>
    <w:rsid w:val="00400F30"/>
    <w:rsid w:val="004010EA"/>
    <w:rsid w:val="0040169E"/>
    <w:rsid w:val="004017A8"/>
    <w:rsid w:val="00401F56"/>
    <w:rsid w:val="00402284"/>
    <w:rsid w:val="00402403"/>
    <w:rsid w:val="00402466"/>
    <w:rsid w:val="0040264E"/>
    <w:rsid w:val="004026C0"/>
    <w:rsid w:val="004026E7"/>
    <w:rsid w:val="004027F4"/>
    <w:rsid w:val="00402801"/>
    <w:rsid w:val="00402841"/>
    <w:rsid w:val="004028C5"/>
    <w:rsid w:val="00402902"/>
    <w:rsid w:val="00402933"/>
    <w:rsid w:val="00402C48"/>
    <w:rsid w:val="004030D0"/>
    <w:rsid w:val="004031A8"/>
    <w:rsid w:val="004032A0"/>
    <w:rsid w:val="00403301"/>
    <w:rsid w:val="0040336D"/>
    <w:rsid w:val="004033A3"/>
    <w:rsid w:val="00403430"/>
    <w:rsid w:val="004034C2"/>
    <w:rsid w:val="0040373F"/>
    <w:rsid w:val="00403746"/>
    <w:rsid w:val="0040377C"/>
    <w:rsid w:val="004039F7"/>
    <w:rsid w:val="00403AD3"/>
    <w:rsid w:val="00403B4E"/>
    <w:rsid w:val="00403EA8"/>
    <w:rsid w:val="00403F5A"/>
    <w:rsid w:val="00403FB8"/>
    <w:rsid w:val="004041B0"/>
    <w:rsid w:val="00404251"/>
    <w:rsid w:val="004043AF"/>
    <w:rsid w:val="004043ED"/>
    <w:rsid w:val="0040485A"/>
    <w:rsid w:val="004048B5"/>
    <w:rsid w:val="00404930"/>
    <w:rsid w:val="00404A7E"/>
    <w:rsid w:val="00404B45"/>
    <w:rsid w:val="00404C3B"/>
    <w:rsid w:val="00404D88"/>
    <w:rsid w:val="00404E2F"/>
    <w:rsid w:val="00404E42"/>
    <w:rsid w:val="00404E72"/>
    <w:rsid w:val="00405049"/>
    <w:rsid w:val="0040589F"/>
    <w:rsid w:val="00405A4E"/>
    <w:rsid w:val="00405B27"/>
    <w:rsid w:val="00405BD1"/>
    <w:rsid w:val="00405E87"/>
    <w:rsid w:val="00405F43"/>
    <w:rsid w:val="004060CF"/>
    <w:rsid w:val="00406377"/>
    <w:rsid w:val="0040641D"/>
    <w:rsid w:val="0040645A"/>
    <w:rsid w:val="00406517"/>
    <w:rsid w:val="004065B5"/>
    <w:rsid w:val="00406674"/>
    <w:rsid w:val="004066F4"/>
    <w:rsid w:val="00406750"/>
    <w:rsid w:val="0040687A"/>
    <w:rsid w:val="0040690D"/>
    <w:rsid w:val="0040695F"/>
    <w:rsid w:val="00406B0E"/>
    <w:rsid w:val="00406C28"/>
    <w:rsid w:val="00406CEB"/>
    <w:rsid w:val="00406E09"/>
    <w:rsid w:val="00406F97"/>
    <w:rsid w:val="00407119"/>
    <w:rsid w:val="004073B8"/>
    <w:rsid w:val="004074AE"/>
    <w:rsid w:val="004074F3"/>
    <w:rsid w:val="004075BA"/>
    <w:rsid w:val="004076FA"/>
    <w:rsid w:val="00407953"/>
    <w:rsid w:val="0040795B"/>
    <w:rsid w:val="00407A58"/>
    <w:rsid w:val="00407C08"/>
    <w:rsid w:val="00407D23"/>
    <w:rsid w:val="00407D77"/>
    <w:rsid w:val="00407D86"/>
    <w:rsid w:val="00407DCB"/>
    <w:rsid w:val="00410008"/>
    <w:rsid w:val="004100B8"/>
    <w:rsid w:val="00410158"/>
    <w:rsid w:val="00410554"/>
    <w:rsid w:val="004105FA"/>
    <w:rsid w:val="004106CA"/>
    <w:rsid w:val="00410702"/>
    <w:rsid w:val="004107F0"/>
    <w:rsid w:val="004109E9"/>
    <w:rsid w:val="00410B2A"/>
    <w:rsid w:val="00410C67"/>
    <w:rsid w:val="00410CFF"/>
    <w:rsid w:val="00410D4F"/>
    <w:rsid w:val="00410DD2"/>
    <w:rsid w:val="00410DF0"/>
    <w:rsid w:val="00410F8B"/>
    <w:rsid w:val="00411012"/>
    <w:rsid w:val="0041110A"/>
    <w:rsid w:val="004111E8"/>
    <w:rsid w:val="004113A7"/>
    <w:rsid w:val="004113D9"/>
    <w:rsid w:val="0041144B"/>
    <w:rsid w:val="00411520"/>
    <w:rsid w:val="004115E5"/>
    <w:rsid w:val="004116B6"/>
    <w:rsid w:val="004117EE"/>
    <w:rsid w:val="004118A2"/>
    <w:rsid w:val="004119D0"/>
    <w:rsid w:val="00411ACA"/>
    <w:rsid w:val="00411BC0"/>
    <w:rsid w:val="00411BF1"/>
    <w:rsid w:val="00411ED3"/>
    <w:rsid w:val="00412340"/>
    <w:rsid w:val="0041238F"/>
    <w:rsid w:val="00412460"/>
    <w:rsid w:val="004124EE"/>
    <w:rsid w:val="0041250C"/>
    <w:rsid w:val="004126B2"/>
    <w:rsid w:val="00412A75"/>
    <w:rsid w:val="00412DE1"/>
    <w:rsid w:val="00412E8F"/>
    <w:rsid w:val="00412F20"/>
    <w:rsid w:val="0041304E"/>
    <w:rsid w:val="0041310D"/>
    <w:rsid w:val="0041317E"/>
    <w:rsid w:val="00413675"/>
    <w:rsid w:val="0041367D"/>
    <w:rsid w:val="004136E7"/>
    <w:rsid w:val="0041375A"/>
    <w:rsid w:val="004137C5"/>
    <w:rsid w:val="00413967"/>
    <w:rsid w:val="00413B44"/>
    <w:rsid w:val="00413E61"/>
    <w:rsid w:val="0041411B"/>
    <w:rsid w:val="00414144"/>
    <w:rsid w:val="00414147"/>
    <w:rsid w:val="0041445E"/>
    <w:rsid w:val="00414613"/>
    <w:rsid w:val="00414681"/>
    <w:rsid w:val="00414683"/>
    <w:rsid w:val="00414AAB"/>
    <w:rsid w:val="00414AB3"/>
    <w:rsid w:val="00414B42"/>
    <w:rsid w:val="00414BBD"/>
    <w:rsid w:val="00414D5F"/>
    <w:rsid w:val="00414EDC"/>
    <w:rsid w:val="00414EEE"/>
    <w:rsid w:val="00414F19"/>
    <w:rsid w:val="00414F67"/>
    <w:rsid w:val="00414F7B"/>
    <w:rsid w:val="00414FB3"/>
    <w:rsid w:val="0041538E"/>
    <w:rsid w:val="004153F4"/>
    <w:rsid w:val="004154BF"/>
    <w:rsid w:val="00415501"/>
    <w:rsid w:val="0041550B"/>
    <w:rsid w:val="004155F8"/>
    <w:rsid w:val="004158C0"/>
    <w:rsid w:val="00415B3A"/>
    <w:rsid w:val="00415B6D"/>
    <w:rsid w:val="00415C50"/>
    <w:rsid w:val="00415F30"/>
    <w:rsid w:val="00416195"/>
    <w:rsid w:val="00416642"/>
    <w:rsid w:val="0041671C"/>
    <w:rsid w:val="0041674F"/>
    <w:rsid w:val="00416B2D"/>
    <w:rsid w:val="00416C09"/>
    <w:rsid w:val="00416DD1"/>
    <w:rsid w:val="00416E51"/>
    <w:rsid w:val="00416ED2"/>
    <w:rsid w:val="00417222"/>
    <w:rsid w:val="00417359"/>
    <w:rsid w:val="004173CF"/>
    <w:rsid w:val="00417429"/>
    <w:rsid w:val="004174C3"/>
    <w:rsid w:val="004176A9"/>
    <w:rsid w:val="004177CE"/>
    <w:rsid w:val="00417805"/>
    <w:rsid w:val="0041780C"/>
    <w:rsid w:val="00417820"/>
    <w:rsid w:val="004179EC"/>
    <w:rsid w:val="00417A04"/>
    <w:rsid w:val="00417C97"/>
    <w:rsid w:val="00417CDB"/>
    <w:rsid w:val="00417DDE"/>
    <w:rsid w:val="00420042"/>
    <w:rsid w:val="00420163"/>
    <w:rsid w:val="004201CE"/>
    <w:rsid w:val="0042041D"/>
    <w:rsid w:val="0042042D"/>
    <w:rsid w:val="00420506"/>
    <w:rsid w:val="004205B2"/>
    <w:rsid w:val="004205C1"/>
    <w:rsid w:val="004207F7"/>
    <w:rsid w:val="00420845"/>
    <w:rsid w:val="004209B0"/>
    <w:rsid w:val="00420F96"/>
    <w:rsid w:val="004212CC"/>
    <w:rsid w:val="00421322"/>
    <w:rsid w:val="0042133C"/>
    <w:rsid w:val="004214F9"/>
    <w:rsid w:val="0042156C"/>
    <w:rsid w:val="00421788"/>
    <w:rsid w:val="0042180A"/>
    <w:rsid w:val="00421899"/>
    <w:rsid w:val="00421AF0"/>
    <w:rsid w:val="00421B0E"/>
    <w:rsid w:val="00421C0C"/>
    <w:rsid w:val="00421E94"/>
    <w:rsid w:val="004223C1"/>
    <w:rsid w:val="00422565"/>
    <w:rsid w:val="00422603"/>
    <w:rsid w:val="004228F3"/>
    <w:rsid w:val="00422B48"/>
    <w:rsid w:val="00422D16"/>
    <w:rsid w:val="00422D98"/>
    <w:rsid w:val="00422F89"/>
    <w:rsid w:val="00423068"/>
    <w:rsid w:val="004233AA"/>
    <w:rsid w:val="004233BC"/>
    <w:rsid w:val="0042342B"/>
    <w:rsid w:val="0042354E"/>
    <w:rsid w:val="004235DB"/>
    <w:rsid w:val="00423740"/>
    <w:rsid w:val="0042379B"/>
    <w:rsid w:val="00423D5F"/>
    <w:rsid w:val="00423D61"/>
    <w:rsid w:val="00423E09"/>
    <w:rsid w:val="00423F4F"/>
    <w:rsid w:val="00424304"/>
    <w:rsid w:val="00424484"/>
    <w:rsid w:val="004244B0"/>
    <w:rsid w:val="00424582"/>
    <w:rsid w:val="0042468C"/>
    <w:rsid w:val="004247C4"/>
    <w:rsid w:val="0042494D"/>
    <w:rsid w:val="00424A9D"/>
    <w:rsid w:val="00424C47"/>
    <w:rsid w:val="00424C71"/>
    <w:rsid w:val="00424CED"/>
    <w:rsid w:val="00424D30"/>
    <w:rsid w:val="00424E13"/>
    <w:rsid w:val="00425240"/>
    <w:rsid w:val="00425243"/>
    <w:rsid w:val="00425273"/>
    <w:rsid w:val="00425316"/>
    <w:rsid w:val="004258E4"/>
    <w:rsid w:val="00425933"/>
    <w:rsid w:val="00425A90"/>
    <w:rsid w:val="00425AB2"/>
    <w:rsid w:val="00425ACB"/>
    <w:rsid w:val="00425C4B"/>
    <w:rsid w:val="00425EBF"/>
    <w:rsid w:val="0042636E"/>
    <w:rsid w:val="0042641A"/>
    <w:rsid w:val="004265DE"/>
    <w:rsid w:val="004265F0"/>
    <w:rsid w:val="004266CE"/>
    <w:rsid w:val="004268DE"/>
    <w:rsid w:val="004268F1"/>
    <w:rsid w:val="00426A93"/>
    <w:rsid w:val="00426C8B"/>
    <w:rsid w:val="0042700F"/>
    <w:rsid w:val="00427228"/>
    <w:rsid w:val="004272DC"/>
    <w:rsid w:val="004272E8"/>
    <w:rsid w:val="0042731A"/>
    <w:rsid w:val="0042731B"/>
    <w:rsid w:val="0042732E"/>
    <w:rsid w:val="004274F2"/>
    <w:rsid w:val="004277BB"/>
    <w:rsid w:val="00427A12"/>
    <w:rsid w:val="00427AEF"/>
    <w:rsid w:val="00427B43"/>
    <w:rsid w:val="00427BF6"/>
    <w:rsid w:val="00427E7D"/>
    <w:rsid w:val="00427EC4"/>
    <w:rsid w:val="00427F6E"/>
    <w:rsid w:val="00430028"/>
    <w:rsid w:val="004300AD"/>
    <w:rsid w:val="00430102"/>
    <w:rsid w:val="0043033A"/>
    <w:rsid w:val="004303C9"/>
    <w:rsid w:val="00430772"/>
    <w:rsid w:val="00430AEA"/>
    <w:rsid w:val="00430C87"/>
    <w:rsid w:val="00430CB0"/>
    <w:rsid w:val="00430D82"/>
    <w:rsid w:val="00430DB8"/>
    <w:rsid w:val="00431169"/>
    <w:rsid w:val="00431180"/>
    <w:rsid w:val="0043128F"/>
    <w:rsid w:val="004312EE"/>
    <w:rsid w:val="00431303"/>
    <w:rsid w:val="004314F7"/>
    <w:rsid w:val="00431500"/>
    <w:rsid w:val="00431B28"/>
    <w:rsid w:val="00431B72"/>
    <w:rsid w:val="00431BCB"/>
    <w:rsid w:val="00431C31"/>
    <w:rsid w:val="00431C59"/>
    <w:rsid w:val="00431C76"/>
    <w:rsid w:val="00431DB2"/>
    <w:rsid w:val="00431E6E"/>
    <w:rsid w:val="0043200C"/>
    <w:rsid w:val="00432059"/>
    <w:rsid w:val="00432146"/>
    <w:rsid w:val="00432257"/>
    <w:rsid w:val="0043235C"/>
    <w:rsid w:val="004323D6"/>
    <w:rsid w:val="00432555"/>
    <w:rsid w:val="004325A8"/>
    <w:rsid w:val="004326F8"/>
    <w:rsid w:val="00432855"/>
    <w:rsid w:val="004329B3"/>
    <w:rsid w:val="00432AEB"/>
    <w:rsid w:val="00432B6B"/>
    <w:rsid w:val="00432C89"/>
    <w:rsid w:val="00432C94"/>
    <w:rsid w:val="004331C8"/>
    <w:rsid w:val="00433213"/>
    <w:rsid w:val="004333B9"/>
    <w:rsid w:val="0043341C"/>
    <w:rsid w:val="0043362E"/>
    <w:rsid w:val="00433653"/>
    <w:rsid w:val="00433733"/>
    <w:rsid w:val="00433735"/>
    <w:rsid w:val="00433CEC"/>
    <w:rsid w:val="00433F94"/>
    <w:rsid w:val="004341A2"/>
    <w:rsid w:val="00434315"/>
    <w:rsid w:val="00434339"/>
    <w:rsid w:val="004346AC"/>
    <w:rsid w:val="00434713"/>
    <w:rsid w:val="00434833"/>
    <w:rsid w:val="0043487A"/>
    <w:rsid w:val="0043489A"/>
    <w:rsid w:val="00434B01"/>
    <w:rsid w:val="00434C12"/>
    <w:rsid w:val="00434DF5"/>
    <w:rsid w:val="00434F2A"/>
    <w:rsid w:val="004351EA"/>
    <w:rsid w:val="004353FD"/>
    <w:rsid w:val="00435643"/>
    <w:rsid w:val="00435782"/>
    <w:rsid w:val="004358E5"/>
    <w:rsid w:val="00435909"/>
    <w:rsid w:val="00435941"/>
    <w:rsid w:val="004359A3"/>
    <w:rsid w:val="00435F75"/>
    <w:rsid w:val="00436003"/>
    <w:rsid w:val="0043609C"/>
    <w:rsid w:val="00436478"/>
    <w:rsid w:val="0043648A"/>
    <w:rsid w:val="004366AB"/>
    <w:rsid w:val="00436907"/>
    <w:rsid w:val="00436936"/>
    <w:rsid w:val="00436A49"/>
    <w:rsid w:val="00436ABA"/>
    <w:rsid w:val="00436AEE"/>
    <w:rsid w:val="00436BCA"/>
    <w:rsid w:val="00436E93"/>
    <w:rsid w:val="00436F40"/>
    <w:rsid w:val="00437033"/>
    <w:rsid w:val="0043710D"/>
    <w:rsid w:val="004372EE"/>
    <w:rsid w:val="004372F9"/>
    <w:rsid w:val="004375E7"/>
    <w:rsid w:val="004377C6"/>
    <w:rsid w:val="00437999"/>
    <w:rsid w:val="00437BBE"/>
    <w:rsid w:val="00437FC1"/>
    <w:rsid w:val="004400BE"/>
    <w:rsid w:val="004400EE"/>
    <w:rsid w:val="004401DD"/>
    <w:rsid w:val="00440344"/>
    <w:rsid w:val="004403E1"/>
    <w:rsid w:val="004405B9"/>
    <w:rsid w:val="00440644"/>
    <w:rsid w:val="00440A3E"/>
    <w:rsid w:val="00440B4F"/>
    <w:rsid w:val="00440FB9"/>
    <w:rsid w:val="00441033"/>
    <w:rsid w:val="004410A4"/>
    <w:rsid w:val="004410B4"/>
    <w:rsid w:val="00441279"/>
    <w:rsid w:val="00441458"/>
    <w:rsid w:val="004414EA"/>
    <w:rsid w:val="004415AD"/>
    <w:rsid w:val="00441772"/>
    <w:rsid w:val="00441A6B"/>
    <w:rsid w:val="00441AC7"/>
    <w:rsid w:val="00441BDA"/>
    <w:rsid w:val="00441BE0"/>
    <w:rsid w:val="00441C92"/>
    <w:rsid w:val="00441D13"/>
    <w:rsid w:val="00442178"/>
    <w:rsid w:val="004421B2"/>
    <w:rsid w:val="00442586"/>
    <w:rsid w:val="004428ED"/>
    <w:rsid w:val="004429B6"/>
    <w:rsid w:val="00442B62"/>
    <w:rsid w:val="00442BC8"/>
    <w:rsid w:val="00442CF1"/>
    <w:rsid w:val="00443080"/>
    <w:rsid w:val="0044319D"/>
    <w:rsid w:val="00443296"/>
    <w:rsid w:val="0044332B"/>
    <w:rsid w:val="004433C2"/>
    <w:rsid w:val="004433DF"/>
    <w:rsid w:val="00443625"/>
    <w:rsid w:val="004437D8"/>
    <w:rsid w:val="00443828"/>
    <w:rsid w:val="004438EC"/>
    <w:rsid w:val="004438F7"/>
    <w:rsid w:val="00443981"/>
    <w:rsid w:val="00443A1F"/>
    <w:rsid w:val="00443BBB"/>
    <w:rsid w:val="00443C0B"/>
    <w:rsid w:val="00443DE5"/>
    <w:rsid w:val="0044417E"/>
    <w:rsid w:val="004442B9"/>
    <w:rsid w:val="00444577"/>
    <w:rsid w:val="00444711"/>
    <w:rsid w:val="0044492F"/>
    <w:rsid w:val="00444A48"/>
    <w:rsid w:val="00444B4D"/>
    <w:rsid w:val="00444CA0"/>
    <w:rsid w:val="00444E27"/>
    <w:rsid w:val="00444E2B"/>
    <w:rsid w:val="004451DC"/>
    <w:rsid w:val="0044525D"/>
    <w:rsid w:val="00445551"/>
    <w:rsid w:val="0044555C"/>
    <w:rsid w:val="00445575"/>
    <w:rsid w:val="0044584E"/>
    <w:rsid w:val="00445A11"/>
    <w:rsid w:val="00445A3E"/>
    <w:rsid w:val="00445C14"/>
    <w:rsid w:val="00445C78"/>
    <w:rsid w:val="00445D26"/>
    <w:rsid w:val="00445D2B"/>
    <w:rsid w:val="00445D61"/>
    <w:rsid w:val="00445DF0"/>
    <w:rsid w:val="00445E11"/>
    <w:rsid w:val="00445E2C"/>
    <w:rsid w:val="00445F15"/>
    <w:rsid w:val="00445F2B"/>
    <w:rsid w:val="00445FE2"/>
    <w:rsid w:val="00446014"/>
    <w:rsid w:val="004460D9"/>
    <w:rsid w:val="00446460"/>
    <w:rsid w:val="0044650F"/>
    <w:rsid w:val="0044663C"/>
    <w:rsid w:val="00446729"/>
    <w:rsid w:val="00446967"/>
    <w:rsid w:val="004469A2"/>
    <w:rsid w:val="00446B39"/>
    <w:rsid w:val="00446CED"/>
    <w:rsid w:val="00446D51"/>
    <w:rsid w:val="0044702F"/>
    <w:rsid w:val="00447134"/>
    <w:rsid w:val="004471FA"/>
    <w:rsid w:val="0044720B"/>
    <w:rsid w:val="0044729E"/>
    <w:rsid w:val="0044737A"/>
    <w:rsid w:val="004473D6"/>
    <w:rsid w:val="004474B7"/>
    <w:rsid w:val="0044756F"/>
    <w:rsid w:val="00447580"/>
    <w:rsid w:val="00447596"/>
    <w:rsid w:val="00447852"/>
    <w:rsid w:val="00447881"/>
    <w:rsid w:val="00447B87"/>
    <w:rsid w:val="00447BF3"/>
    <w:rsid w:val="00447D94"/>
    <w:rsid w:val="00447FDB"/>
    <w:rsid w:val="0044A316"/>
    <w:rsid w:val="0045010E"/>
    <w:rsid w:val="00450213"/>
    <w:rsid w:val="00450341"/>
    <w:rsid w:val="004504AF"/>
    <w:rsid w:val="004504C7"/>
    <w:rsid w:val="0045058C"/>
    <w:rsid w:val="00450683"/>
    <w:rsid w:val="0045083A"/>
    <w:rsid w:val="0045085C"/>
    <w:rsid w:val="00450982"/>
    <w:rsid w:val="00450AD7"/>
    <w:rsid w:val="00450EFF"/>
    <w:rsid w:val="00451009"/>
    <w:rsid w:val="00451178"/>
    <w:rsid w:val="004511CB"/>
    <w:rsid w:val="004513C5"/>
    <w:rsid w:val="004513CE"/>
    <w:rsid w:val="004514E4"/>
    <w:rsid w:val="004516A0"/>
    <w:rsid w:val="00451957"/>
    <w:rsid w:val="0045199D"/>
    <w:rsid w:val="004519A4"/>
    <w:rsid w:val="00451B88"/>
    <w:rsid w:val="00451C09"/>
    <w:rsid w:val="00451E0B"/>
    <w:rsid w:val="00451F2E"/>
    <w:rsid w:val="00452125"/>
    <w:rsid w:val="004521E4"/>
    <w:rsid w:val="0045252A"/>
    <w:rsid w:val="0045261B"/>
    <w:rsid w:val="0045262A"/>
    <w:rsid w:val="00452635"/>
    <w:rsid w:val="00452707"/>
    <w:rsid w:val="0045274A"/>
    <w:rsid w:val="00452836"/>
    <w:rsid w:val="00452A9F"/>
    <w:rsid w:val="00452DA8"/>
    <w:rsid w:val="00452E01"/>
    <w:rsid w:val="00452E3A"/>
    <w:rsid w:val="00453081"/>
    <w:rsid w:val="00453124"/>
    <w:rsid w:val="004532E4"/>
    <w:rsid w:val="0045330A"/>
    <w:rsid w:val="00453327"/>
    <w:rsid w:val="00453556"/>
    <w:rsid w:val="004535FE"/>
    <w:rsid w:val="00453857"/>
    <w:rsid w:val="00453AE1"/>
    <w:rsid w:val="00453B21"/>
    <w:rsid w:val="00453C48"/>
    <w:rsid w:val="00453D1F"/>
    <w:rsid w:val="00453E25"/>
    <w:rsid w:val="00453F07"/>
    <w:rsid w:val="00453F7E"/>
    <w:rsid w:val="0045401D"/>
    <w:rsid w:val="004544E2"/>
    <w:rsid w:val="00454649"/>
    <w:rsid w:val="004546D3"/>
    <w:rsid w:val="004546FF"/>
    <w:rsid w:val="00454892"/>
    <w:rsid w:val="0045514B"/>
    <w:rsid w:val="004551D1"/>
    <w:rsid w:val="0045557D"/>
    <w:rsid w:val="0045563C"/>
    <w:rsid w:val="00455698"/>
    <w:rsid w:val="00455AF3"/>
    <w:rsid w:val="00455C46"/>
    <w:rsid w:val="00455D6A"/>
    <w:rsid w:val="00455D9E"/>
    <w:rsid w:val="00455FA5"/>
    <w:rsid w:val="00456024"/>
    <w:rsid w:val="0045607D"/>
    <w:rsid w:val="00456120"/>
    <w:rsid w:val="00456183"/>
    <w:rsid w:val="004564F2"/>
    <w:rsid w:val="00456523"/>
    <w:rsid w:val="004566DD"/>
    <w:rsid w:val="004566F1"/>
    <w:rsid w:val="0045676A"/>
    <w:rsid w:val="004567BD"/>
    <w:rsid w:val="004567DC"/>
    <w:rsid w:val="0045682C"/>
    <w:rsid w:val="004568AB"/>
    <w:rsid w:val="004568D5"/>
    <w:rsid w:val="00456A4E"/>
    <w:rsid w:val="00456B70"/>
    <w:rsid w:val="00456C3A"/>
    <w:rsid w:val="00456CA6"/>
    <w:rsid w:val="00456CC1"/>
    <w:rsid w:val="00456D70"/>
    <w:rsid w:val="004570C5"/>
    <w:rsid w:val="004570EB"/>
    <w:rsid w:val="004571BF"/>
    <w:rsid w:val="00457226"/>
    <w:rsid w:val="00457298"/>
    <w:rsid w:val="0045737A"/>
    <w:rsid w:val="00457435"/>
    <w:rsid w:val="004574C7"/>
    <w:rsid w:val="004574F8"/>
    <w:rsid w:val="0045757B"/>
    <w:rsid w:val="00457664"/>
    <w:rsid w:val="0045775A"/>
    <w:rsid w:val="004577B0"/>
    <w:rsid w:val="004578AB"/>
    <w:rsid w:val="004578CE"/>
    <w:rsid w:val="00457AD4"/>
    <w:rsid w:val="00457B15"/>
    <w:rsid w:val="00457B28"/>
    <w:rsid w:val="00457BC0"/>
    <w:rsid w:val="00457ED5"/>
    <w:rsid w:val="00457F52"/>
    <w:rsid w:val="0046023E"/>
    <w:rsid w:val="004602B2"/>
    <w:rsid w:val="004602B5"/>
    <w:rsid w:val="0046039A"/>
    <w:rsid w:val="004603F6"/>
    <w:rsid w:val="004603FA"/>
    <w:rsid w:val="0046056D"/>
    <w:rsid w:val="00460692"/>
    <w:rsid w:val="004606AB"/>
    <w:rsid w:val="004606E6"/>
    <w:rsid w:val="00460780"/>
    <w:rsid w:val="00460840"/>
    <w:rsid w:val="00460B3E"/>
    <w:rsid w:val="00460B61"/>
    <w:rsid w:val="00460BAA"/>
    <w:rsid w:val="00460C05"/>
    <w:rsid w:val="00460C52"/>
    <w:rsid w:val="00460D4D"/>
    <w:rsid w:val="00460E6E"/>
    <w:rsid w:val="00460FB6"/>
    <w:rsid w:val="004610AA"/>
    <w:rsid w:val="004610BA"/>
    <w:rsid w:val="004611BC"/>
    <w:rsid w:val="0046159C"/>
    <w:rsid w:val="004615D0"/>
    <w:rsid w:val="004615E6"/>
    <w:rsid w:val="004616B1"/>
    <w:rsid w:val="004617F9"/>
    <w:rsid w:val="00461801"/>
    <w:rsid w:val="00461B11"/>
    <w:rsid w:val="00461BE7"/>
    <w:rsid w:val="00461CB8"/>
    <w:rsid w:val="00461CD7"/>
    <w:rsid w:val="00461E68"/>
    <w:rsid w:val="00462148"/>
    <w:rsid w:val="004622EB"/>
    <w:rsid w:val="004623C2"/>
    <w:rsid w:val="00462437"/>
    <w:rsid w:val="0046256A"/>
    <w:rsid w:val="00462581"/>
    <w:rsid w:val="00462D7A"/>
    <w:rsid w:val="00462DA0"/>
    <w:rsid w:val="00462E59"/>
    <w:rsid w:val="00462F8C"/>
    <w:rsid w:val="0046311F"/>
    <w:rsid w:val="00463149"/>
    <w:rsid w:val="0046319A"/>
    <w:rsid w:val="00463233"/>
    <w:rsid w:val="0046328C"/>
    <w:rsid w:val="004632AD"/>
    <w:rsid w:val="0046330B"/>
    <w:rsid w:val="004635C5"/>
    <w:rsid w:val="00463AF7"/>
    <w:rsid w:val="00463D13"/>
    <w:rsid w:val="00463E2B"/>
    <w:rsid w:val="00464098"/>
    <w:rsid w:val="00464177"/>
    <w:rsid w:val="004641B9"/>
    <w:rsid w:val="00464384"/>
    <w:rsid w:val="004643FB"/>
    <w:rsid w:val="004644C0"/>
    <w:rsid w:val="004644EA"/>
    <w:rsid w:val="00464818"/>
    <w:rsid w:val="00464839"/>
    <w:rsid w:val="00464B5B"/>
    <w:rsid w:val="00464B98"/>
    <w:rsid w:val="00464BBA"/>
    <w:rsid w:val="00464DC3"/>
    <w:rsid w:val="00464DFB"/>
    <w:rsid w:val="00464DFD"/>
    <w:rsid w:val="00464E9A"/>
    <w:rsid w:val="00465143"/>
    <w:rsid w:val="00465157"/>
    <w:rsid w:val="004656A0"/>
    <w:rsid w:val="0046578F"/>
    <w:rsid w:val="004658A3"/>
    <w:rsid w:val="004659F7"/>
    <w:rsid w:val="004659FE"/>
    <w:rsid w:val="00465A5E"/>
    <w:rsid w:val="00465B0A"/>
    <w:rsid w:val="00465CD8"/>
    <w:rsid w:val="00465F3C"/>
    <w:rsid w:val="004661D4"/>
    <w:rsid w:val="004661D9"/>
    <w:rsid w:val="004661FE"/>
    <w:rsid w:val="00466243"/>
    <w:rsid w:val="00466409"/>
    <w:rsid w:val="004666CE"/>
    <w:rsid w:val="00466771"/>
    <w:rsid w:val="00466796"/>
    <w:rsid w:val="004667C5"/>
    <w:rsid w:val="00466A00"/>
    <w:rsid w:val="00466BA8"/>
    <w:rsid w:val="00466C27"/>
    <w:rsid w:val="00466CAF"/>
    <w:rsid w:val="00466DD4"/>
    <w:rsid w:val="00466DF3"/>
    <w:rsid w:val="00466EE7"/>
    <w:rsid w:val="0046713E"/>
    <w:rsid w:val="00467223"/>
    <w:rsid w:val="004673F4"/>
    <w:rsid w:val="0046744A"/>
    <w:rsid w:val="0046745B"/>
    <w:rsid w:val="004675AF"/>
    <w:rsid w:val="00467829"/>
    <w:rsid w:val="00467B6E"/>
    <w:rsid w:val="00467DEC"/>
    <w:rsid w:val="00467FF1"/>
    <w:rsid w:val="0047022B"/>
    <w:rsid w:val="00470358"/>
    <w:rsid w:val="00470456"/>
    <w:rsid w:val="0047050F"/>
    <w:rsid w:val="004706E9"/>
    <w:rsid w:val="0047076C"/>
    <w:rsid w:val="0047098C"/>
    <w:rsid w:val="00470A2B"/>
    <w:rsid w:val="00470A94"/>
    <w:rsid w:val="00470AFF"/>
    <w:rsid w:val="00470D07"/>
    <w:rsid w:val="00470DA6"/>
    <w:rsid w:val="00470E8D"/>
    <w:rsid w:val="0047132D"/>
    <w:rsid w:val="00471394"/>
    <w:rsid w:val="004713F1"/>
    <w:rsid w:val="0047147F"/>
    <w:rsid w:val="004715B7"/>
    <w:rsid w:val="0047166A"/>
    <w:rsid w:val="00471688"/>
    <w:rsid w:val="004717D1"/>
    <w:rsid w:val="004717EA"/>
    <w:rsid w:val="004718B6"/>
    <w:rsid w:val="00471AA0"/>
    <w:rsid w:val="00471CDF"/>
    <w:rsid w:val="00471D2A"/>
    <w:rsid w:val="00471EC0"/>
    <w:rsid w:val="0047209E"/>
    <w:rsid w:val="004721DE"/>
    <w:rsid w:val="004723A2"/>
    <w:rsid w:val="00472573"/>
    <w:rsid w:val="0047264B"/>
    <w:rsid w:val="0047267D"/>
    <w:rsid w:val="00472686"/>
    <w:rsid w:val="00472723"/>
    <w:rsid w:val="00472992"/>
    <w:rsid w:val="004729F5"/>
    <w:rsid w:val="00472A3F"/>
    <w:rsid w:val="00472A6E"/>
    <w:rsid w:val="00472A7C"/>
    <w:rsid w:val="00472AD8"/>
    <w:rsid w:val="00472ADF"/>
    <w:rsid w:val="00472D9C"/>
    <w:rsid w:val="00472DD4"/>
    <w:rsid w:val="00472FB4"/>
    <w:rsid w:val="00472FD9"/>
    <w:rsid w:val="004730E8"/>
    <w:rsid w:val="0047312E"/>
    <w:rsid w:val="004731BC"/>
    <w:rsid w:val="004732BD"/>
    <w:rsid w:val="004732DA"/>
    <w:rsid w:val="004733C9"/>
    <w:rsid w:val="004733EA"/>
    <w:rsid w:val="00473475"/>
    <w:rsid w:val="004735D8"/>
    <w:rsid w:val="004737DA"/>
    <w:rsid w:val="00473932"/>
    <w:rsid w:val="00473BAF"/>
    <w:rsid w:val="00473D47"/>
    <w:rsid w:val="00473D62"/>
    <w:rsid w:val="00473FDC"/>
    <w:rsid w:val="0047424B"/>
    <w:rsid w:val="00474336"/>
    <w:rsid w:val="004743C7"/>
    <w:rsid w:val="00474569"/>
    <w:rsid w:val="00474665"/>
    <w:rsid w:val="00474922"/>
    <w:rsid w:val="00474C2E"/>
    <w:rsid w:val="00474E1A"/>
    <w:rsid w:val="00474F40"/>
    <w:rsid w:val="00474FDE"/>
    <w:rsid w:val="00474FF6"/>
    <w:rsid w:val="0047509F"/>
    <w:rsid w:val="00475208"/>
    <w:rsid w:val="00475211"/>
    <w:rsid w:val="00475214"/>
    <w:rsid w:val="00475296"/>
    <w:rsid w:val="0047537A"/>
    <w:rsid w:val="00475447"/>
    <w:rsid w:val="0047549D"/>
    <w:rsid w:val="00475549"/>
    <w:rsid w:val="0047557E"/>
    <w:rsid w:val="00475644"/>
    <w:rsid w:val="0047579D"/>
    <w:rsid w:val="004758AE"/>
    <w:rsid w:val="004758D0"/>
    <w:rsid w:val="00475955"/>
    <w:rsid w:val="00475982"/>
    <w:rsid w:val="004759E6"/>
    <w:rsid w:val="00475A7B"/>
    <w:rsid w:val="00475B25"/>
    <w:rsid w:val="00476089"/>
    <w:rsid w:val="00476174"/>
    <w:rsid w:val="00476398"/>
    <w:rsid w:val="0047655C"/>
    <w:rsid w:val="004766DF"/>
    <w:rsid w:val="004767E1"/>
    <w:rsid w:val="00476974"/>
    <w:rsid w:val="00476BDD"/>
    <w:rsid w:val="00476CF2"/>
    <w:rsid w:val="004771A7"/>
    <w:rsid w:val="00477278"/>
    <w:rsid w:val="004772D6"/>
    <w:rsid w:val="00477397"/>
    <w:rsid w:val="00477441"/>
    <w:rsid w:val="004774D1"/>
    <w:rsid w:val="004774F6"/>
    <w:rsid w:val="0047764D"/>
    <w:rsid w:val="00477693"/>
    <w:rsid w:val="004776F5"/>
    <w:rsid w:val="0047782A"/>
    <w:rsid w:val="00477AEF"/>
    <w:rsid w:val="00477B1B"/>
    <w:rsid w:val="00477B36"/>
    <w:rsid w:val="00477B3F"/>
    <w:rsid w:val="00477C7C"/>
    <w:rsid w:val="00477E3A"/>
    <w:rsid w:val="00477EA5"/>
    <w:rsid w:val="00477F47"/>
    <w:rsid w:val="004801A5"/>
    <w:rsid w:val="00480203"/>
    <w:rsid w:val="004802C3"/>
    <w:rsid w:val="00480519"/>
    <w:rsid w:val="004807CF"/>
    <w:rsid w:val="00480A8C"/>
    <w:rsid w:val="00480B0A"/>
    <w:rsid w:val="00480B5B"/>
    <w:rsid w:val="00480C26"/>
    <w:rsid w:val="00480E05"/>
    <w:rsid w:val="00480F74"/>
    <w:rsid w:val="00480FCC"/>
    <w:rsid w:val="0048145F"/>
    <w:rsid w:val="0048172F"/>
    <w:rsid w:val="00481732"/>
    <w:rsid w:val="00481741"/>
    <w:rsid w:val="004819A0"/>
    <w:rsid w:val="00481C8D"/>
    <w:rsid w:val="00482050"/>
    <w:rsid w:val="00482056"/>
    <w:rsid w:val="004821F8"/>
    <w:rsid w:val="004822E7"/>
    <w:rsid w:val="0048230C"/>
    <w:rsid w:val="00482429"/>
    <w:rsid w:val="0048249D"/>
    <w:rsid w:val="004824F4"/>
    <w:rsid w:val="004825BC"/>
    <w:rsid w:val="00482787"/>
    <w:rsid w:val="00482A73"/>
    <w:rsid w:val="00482A7E"/>
    <w:rsid w:val="00482BBC"/>
    <w:rsid w:val="00482DEA"/>
    <w:rsid w:val="00482F5E"/>
    <w:rsid w:val="00483003"/>
    <w:rsid w:val="00483154"/>
    <w:rsid w:val="0048318C"/>
    <w:rsid w:val="004832CE"/>
    <w:rsid w:val="0048352B"/>
    <w:rsid w:val="00483540"/>
    <w:rsid w:val="004836D0"/>
    <w:rsid w:val="00483782"/>
    <w:rsid w:val="00483966"/>
    <w:rsid w:val="00483AE7"/>
    <w:rsid w:val="00483B2F"/>
    <w:rsid w:val="00483B7E"/>
    <w:rsid w:val="00483B8F"/>
    <w:rsid w:val="00483CD3"/>
    <w:rsid w:val="00483D29"/>
    <w:rsid w:val="00483DFF"/>
    <w:rsid w:val="00484053"/>
    <w:rsid w:val="004841FA"/>
    <w:rsid w:val="00484324"/>
    <w:rsid w:val="004843EF"/>
    <w:rsid w:val="00484494"/>
    <w:rsid w:val="00484607"/>
    <w:rsid w:val="0048461C"/>
    <w:rsid w:val="004847F8"/>
    <w:rsid w:val="00484A69"/>
    <w:rsid w:val="00484C6F"/>
    <w:rsid w:val="00484C7F"/>
    <w:rsid w:val="00484E7E"/>
    <w:rsid w:val="00484E96"/>
    <w:rsid w:val="00485029"/>
    <w:rsid w:val="0048523D"/>
    <w:rsid w:val="00485243"/>
    <w:rsid w:val="004852AA"/>
    <w:rsid w:val="00485388"/>
    <w:rsid w:val="0048538E"/>
    <w:rsid w:val="00485670"/>
    <w:rsid w:val="00485726"/>
    <w:rsid w:val="00485791"/>
    <w:rsid w:val="004859BC"/>
    <w:rsid w:val="00485AA7"/>
    <w:rsid w:val="00485E0A"/>
    <w:rsid w:val="00485F26"/>
    <w:rsid w:val="00486110"/>
    <w:rsid w:val="004861B8"/>
    <w:rsid w:val="004861DF"/>
    <w:rsid w:val="0048631B"/>
    <w:rsid w:val="004865F1"/>
    <w:rsid w:val="00486685"/>
    <w:rsid w:val="00486831"/>
    <w:rsid w:val="004868D9"/>
    <w:rsid w:val="004868ED"/>
    <w:rsid w:val="00486D68"/>
    <w:rsid w:val="00487192"/>
    <w:rsid w:val="0048722F"/>
    <w:rsid w:val="004872FC"/>
    <w:rsid w:val="00487322"/>
    <w:rsid w:val="0048739D"/>
    <w:rsid w:val="0048760C"/>
    <w:rsid w:val="0048766F"/>
    <w:rsid w:val="0048771D"/>
    <w:rsid w:val="00487983"/>
    <w:rsid w:val="00487AED"/>
    <w:rsid w:val="00487B2F"/>
    <w:rsid w:val="00487DB7"/>
    <w:rsid w:val="00487E8C"/>
    <w:rsid w:val="00487EB3"/>
    <w:rsid w:val="0049013A"/>
    <w:rsid w:val="00490306"/>
    <w:rsid w:val="0049035C"/>
    <w:rsid w:val="004903B7"/>
    <w:rsid w:val="00490543"/>
    <w:rsid w:val="00490680"/>
    <w:rsid w:val="004907AD"/>
    <w:rsid w:val="00490AA0"/>
    <w:rsid w:val="00490BB3"/>
    <w:rsid w:val="00490BE5"/>
    <w:rsid w:val="00490E43"/>
    <w:rsid w:val="00490EF5"/>
    <w:rsid w:val="00490F44"/>
    <w:rsid w:val="00491166"/>
    <w:rsid w:val="004911E5"/>
    <w:rsid w:val="00491203"/>
    <w:rsid w:val="00491227"/>
    <w:rsid w:val="00491311"/>
    <w:rsid w:val="004913FC"/>
    <w:rsid w:val="004914C5"/>
    <w:rsid w:val="004914FB"/>
    <w:rsid w:val="0049169A"/>
    <w:rsid w:val="004917C0"/>
    <w:rsid w:val="00491807"/>
    <w:rsid w:val="00491B71"/>
    <w:rsid w:val="00491C06"/>
    <w:rsid w:val="00491CDF"/>
    <w:rsid w:val="00492086"/>
    <w:rsid w:val="0049209E"/>
    <w:rsid w:val="004920A7"/>
    <w:rsid w:val="00492274"/>
    <w:rsid w:val="004923B7"/>
    <w:rsid w:val="004926CC"/>
    <w:rsid w:val="0049279E"/>
    <w:rsid w:val="004928A0"/>
    <w:rsid w:val="00492A5B"/>
    <w:rsid w:val="00492C1B"/>
    <w:rsid w:val="00492E4D"/>
    <w:rsid w:val="00492FCE"/>
    <w:rsid w:val="004930DA"/>
    <w:rsid w:val="004931E3"/>
    <w:rsid w:val="00493206"/>
    <w:rsid w:val="00493633"/>
    <w:rsid w:val="004938B5"/>
    <w:rsid w:val="00493937"/>
    <w:rsid w:val="00493950"/>
    <w:rsid w:val="00493A89"/>
    <w:rsid w:val="00493A9C"/>
    <w:rsid w:val="00493AF7"/>
    <w:rsid w:val="00493BC4"/>
    <w:rsid w:val="00493BEB"/>
    <w:rsid w:val="00494006"/>
    <w:rsid w:val="004940B0"/>
    <w:rsid w:val="0049410E"/>
    <w:rsid w:val="004943EA"/>
    <w:rsid w:val="004944E0"/>
    <w:rsid w:val="00494614"/>
    <w:rsid w:val="004946E0"/>
    <w:rsid w:val="00494734"/>
    <w:rsid w:val="004949AD"/>
    <w:rsid w:val="00494A31"/>
    <w:rsid w:val="00494AB4"/>
    <w:rsid w:val="00494B1C"/>
    <w:rsid w:val="00494F8C"/>
    <w:rsid w:val="0049506F"/>
    <w:rsid w:val="00495077"/>
    <w:rsid w:val="00495089"/>
    <w:rsid w:val="004951BB"/>
    <w:rsid w:val="0049544E"/>
    <w:rsid w:val="004955E5"/>
    <w:rsid w:val="00495682"/>
    <w:rsid w:val="00495756"/>
    <w:rsid w:val="004957AF"/>
    <w:rsid w:val="00495859"/>
    <w:rsid w:val="00495A6D"/>
    <w:rsid w:val="00495BE8"/>
    <w:rsid w:val="00495C30"/>
    <w:rsid w:val="00495C9F"/>
    <w:rsid w:val="00495D0C"/>
    <w:rsid w:val="00495D9E"/>
    <w:rsid w:val="00495E15"/>
    <w:rsid w:val="00496036"/>
    <w:rsid w:val="00496054"/>
    <w:rsid w:val="00496091"/>
    <w:rsid w:val="00496099"/>
    <w:rsid w:val="004960E5"/>
    <w:rsid w:val="00496370"/>
    <w:rsid w:val="004964D9"/>
    <w:rsid w:val="00496551"/>
    <w:rsid w:val="00496884"/>
    <w:rsid w:val="004968CA"/>
    <w:rsid w:val="004969DA"/>
    <w:rsid w:val="00496F36"/>
    <w:rsid w:val="00496FDD"/>
    <w:rsid w:val="0049704F"/>
    <w:rsid w:val="004973AA"/>
    <w:rsid w:val="004973BE"/>
    <w:rsid w:val="004974AB"/>
    <w:rsid w:val="00497628"/>
    <w:rsid w:val="004976FD"/>
    <w:rsid w:val="004977CC"/>
    <w:rsid w:val="00497A1A"/>
    <w:rsid w:val="00497B77"/>
    <w:rsid w:val="00497D8D"/>
    <w:rsid w:val="00497EA8"/>
    <w:rsid w:val="00497F25"/>
    <w:rsid w:val="0049C8F3"/>
    <w:rsid w:val="004A007D"/>
    <w:rsid w:val="004A00DA"/>
    <w:rsid w:val="004A02D3"/>
    <w:rsid w:val="004A0530"/>
    <w:rsid w:val="004A07A7"/>
    <w:rsid w:val="004A0802"/>
    <w:rsid w:val="004A08C7"/>
    <w:rsid w:val="004A0AD4"/>
    <w:rsid w:val="004A0B36"/>
    <w:rsid w:val="004A0BE0"/>
    <w:rsid w:val="004A0BEA"/>
    <w:rsid w:val="004A0DDB"/>
    <w:rsid w:val="004A0E0F"/>
    <w:rsid w:val="004A1050"/>
    <w:rsid w:val="004A1110"/>
    <w:rsid w:val="004A11CA"/>
    <w:rsid w:val="004A1610"/>
    <w:rsid w:val="004A1631"/>
    <w:rsid w:val="004A16A5"/>
    <w:rsid w:val="004A18DA"/>
    <w:rsid w:val="004A195F"/>
    <w:rsid w:val="004A19BF"/>
    <w:rsid w:val="004A1B41"/>
    <w:rsid w:val="004A1B79"/>
    <w:rsid w:val="004A1D20"/>
    <w:rsid w:val="004A1D68"/>
    <w:rsid w:val="004A1F10"/>
    <w:rsid w:val="004A209B"/>
    <w:rsid w:val="004A20BE"/>
    <w:rsid w:val="004A25CC"/>
    <w:rsid w:val="004A2618"/>
    <w:rsid w:val="004A2627"/>
    <w:rsid w:val="004A2630"/>
    <w:rsid w:val="004A29FF"/>
    <w:rsid w:val="004A2BCA"/>
    <w:rsid w:val="004A2CD6"/>
    <w:rsid w:val="004A2D99"/>
    <w:rsid w:val="004A2EA3"/>
    <w:rsid w:val="004A2F3A"/>
    <w:rsid w:val="004A3021"/>
    <w:rsid w:val="004A3025"/>
    <w:rsid w:val="004A303B"/>
    <w:rsid w:val="004A340D"/>
    <w:rsid w:val="004A3453"/>
    <w:rsid w:val="004A3521"/>
    <w:rsid w:val="004A352F"/>
    <w:rsid w:val="004A3571"/>
    <w:rsid w:val="004A35CF"/>
    <w:rsid w:val="004A35E6"/>
    <w:rsid w:val="004A366E"/>
    <w:rsid w:val="004A36ED"/>
    <w:rsid w:val="004A37E2"/>
    <w:rsid w:val="004A380E"/>
    <w:rsid w:val="004A3B42"/>
    <w:rsid w:val="004A3C28"/>
    <w:rsid w:val="004A3D74"/>
    <w:rsid w:val="004A3F59"/>
    <w:rsid w:val="004A3FB3"/>
    <w:rsid w:val="004A3FBB"/>
    <w:rsid w:val="004A3FCE"/>
    <w:rsid w:val="004A4056"/>
    <w:rsid w:val="004A4113"/>
    <w:rsid w:val="004A411D"/>
    <w:rsid w:val="004A4193"/>
    <w:rsid w:val="004A44CA"/>
    <w:rsid w:val="004A44D9"/>
    <w:rsid w:val="004A4932"/>
    <w:rsid w:val="004A4A89"/>
    <w:rsid w:val="004A4B0A"/>
    <w:rsid w:val="004A4B1B"/>
    <w:rsid w:val="004A4F9B"/>
    <w:rsid w:val="004A507F"/>
    <w:rsid w:val="004A513A"/>
    <w:rsid w:val="004A51B1"/>
    <w:rsid w:val="004A5261"/>
    <w:rsid w:val="004A531B"/>
    <w:rsid w:val="004A56F7"/>
    <w:rsid w:val="004A57E8"/>
    <w:rsid w:val="004A583D"/>
    <w:rsid w:val="004A5B65"/>
    <w:rsid w:val="004A5C0A"/>
    <w:rsid w:val="004A5C5D"/>
    <w:rsid w:val="004A5F27"/>
    <w:rsid w:val="004A5F63"/>
    <w:rsid w:val="004A5FA3"/>
    <w:rsid w:val="004A5FE9"/>
    <w:rsid w:val="004A5FF7"/>
    <w:rsid w:val="004A6074"/>
    <w:rsid w:val="004A6094"/>
    <w:rsid w:val="004A622E"/>
    <w:rsid w:val="004A638E"/>
    <w:rsid w:val="004A653E"/>
    <w:rsid w:val="004A66B8"/>
    <w:rsid w:val="004A6777"/>
    <w:rsid w:val="004A67D5"/>
    <w:rsid w:val="004A6924"/>
    <w:rsid w:val="004A6994"/>
    <w:rsid w:val="004A69FD"/>
    <w:rsid w:val="004A6A83"/>
    <w:rsid w:val="004A6B5C"/>
    <w:rsid w:val="004A6BFD"/>
    <w:rsid w:val="004A6C61"/>
    <w:rsid w:val="004A6F5A"/>
    <w:rsid w:val="004A6FB7"/>
    <w:rsid w:val="004A7433"/>
    <w:rsid w:val="004A7506"/>
    <w:rsid w:val="004A76AD"/>
    <w:rsid w:val="004A76C6"/>
    <w:rsid w:val="004A78CC"/>
    <w:rsid w:val="004A79AC"/>
    <w:rsid w:val="004A79BE"/>
    <w:rsid w:val="004A7DAA"/>
    <w:rsid w:val="004A7DBA"/>
    <w:rsid w:val="004A7F1F"/>
    <w:rsid w:val="004B0030"/>
    <w:rsid w:val="004B0168"/>
    <w:rsid w:val="004B04B7"/>
    <w:rsid w:val="004B06F2"/>
    <w:rsid w:val="004B080F"/>
    <w:rsid w:val="004B08AD"/>
    <w:rsid w:val="004B09DF"/>
    <w:rsid w:val="004B0A43"/>
    <w:rsid w:val="004B0C21"/>
    <w:rsid w:val="004B0D1A"/>
    <w:rsid w:val="004B1006"/>
    <w:rsid w:val="004B1045"/>
    <w:rsid w:val="004B119A"/>
    <w:rsid w:val="004B13DA"/>
    <w:rsid w:val="004B140A"/>
    <w:rsid w:val="004B1607"/>
    <w:rsid w:val="004B18EE"/>
    <w:rsid w:val="004B1A2F"/>
    <w:rsid w:val="004B1A57"/>
    <w:rsid w:val="004B1AD3"/>
    <w:rsid w:val="004B1ADC"/>
    <w:rsid w:val="004B1BA3"/>
    <w:rsid w:val="004B21AE"/>
    <w:rsid w:val="004B2271"/>
    <w:rsid w:val="004B231F"/>
    <w:rsid w:val="004B2392"/>
    <w:rsid w:val="004B23A2"/>
    <w:rsid w:val="004B24A9"/>
    <w:rsid w:val="004B25D0"/>
    <w:rsid w:val="004B266C"/>
    <w:rsid w:val="004B27F6"/>
    <w:rsid w:val="004B280D"/>
    <w:rsid w:val="004B2865"/>
    <w:rsid w:val="004B291A"/>
    <w:rsid w:val="004B29C9"/>
    <w:rsid w:val="004B2AED"/>
    <w:rsid w:val="004B2BBD"/>
    <w:rsid w:val="004B2D07"/>
    <w:rsid w:val="004B2E03"/>
    <w:rsid w:val="004B2F81"/>
    <w:rsid w:val="004B2F97"/>
    <w:rsid w:val="004B304C"/>
    <w:rsid w:val="004B32F8"/>
    <w:rsid w:val="004B33DE"/>
    <w:rsid w:val="004B3706"/>
    <w:rsid w:val="004B3AF9"/>
    <w:rsid w:val="004B3D88"/>
    <w:rsid w:val="004B3DCE"/>
    <w:rsid w:val="004B3DE8"/>
    <w:rsid w:val="004B4140"/>
    <w:rsid w:val="004B419A"/>
    <w:rsid w:val="004B41FE"/>
    <w:rsid w:val="004B427B"/>
    <w:rsid w:val="004B4372"/>
    <w:rsid w:val="004B443C"/>
    <w:rsid w:val="004B4471"/>
    <w:rsid w:val="004B4567"/>
    <w:rsid w:val="004B465F"/>
    <w:rsid w:val="004B4855"/>
    <w:rsid w:val="004B48ED"/>
    <w:rsid w:val="004B493A"/>
    <w:rsid w:val="004B4B63"/>
    <w:rsid w:val="004B4C38"/>
    <w:rsid w:val="004B4C69"/>
    <w:rsid w:val="004B4F04"/>
    <w:rsid w:val="004B50E7"/>
    <w:rsid w:val="004B517B"/>
    <w:rsid w:val="004B519B"/>
    <w:rsid w:val="004B52DB"/>
    <w:rsid w:val="004B5359"/>
    <w:rsid w:val="004B546B"/>
    <w:rsid w:val="004B55B8"/>
    <w:rsid w:val="004B563A"/>
    <w:rsid w:val="004B58EA"/>
    <w:rsid w:val="004B5996"/>
    <w:rsid w:val="004B5B4D"/>
    <w:rsid w:val="004B5CD8"/>
    <w:rsid w:val="004B5DB8"/>
    <w:rsid w:val="004B5EFD"/>
    <w:rsid w:val="004B5FBA"/>
    <w:rsid w:val="004B60E8"/>
    <w:rsid w:val="004B626A"/>
    <w:rsid w:val="004B6635"/>
    <w:rsid w:val="004B66A9"/>
    <w:rsid w:val="004B6883"/>
    <w:rsid w:val="004B6B43"/>
    <w:rsid w:val="004B6C86"/>
    <w:rsid w:val="004B6E07"/>
    <w:rsid w:val="004B6E8B"/>
    <w:rsid w:val="004B6F30"/>
    <w:rsid w:val="004B714C"/>
    <w:rsid w:val="004B77ED"/>
    <w:rsid w:val="004B7ADD"/>
    <w:rsid w:val="004B7CD7"/>
    <w:rsid w:val="004B7D31"/>
    <w:rsid w:val="004B7E71"/>
    <w:rsid w:val="004B7F57"/>
    <w:rsid w:val="004B7F6C"/>
    <w:rsid w:val="004C00B8"/>
    <w:rsid w:val="004C00E1"/>
    <w:rsid w:val="004C032A"/>
    <w:rsid w:val="004C06C4"/>
    <w:rsid w:val="004C079C"/>
    <w:rsid w:val="004C08A8"/>
    <w:rsid w:val="004C08EB"/>
    <w:rsid w:val="004C0BA7"/>
    <w:rsid w:val="004C0C82"/>
    <w:rsid w:val="004C0C8D"/>
    <w:rsid w:val="004C0D28"/>
    <w:rsid w:val="004C0D31"/>
    <w:rsid w:val="004C0DDC"/>
    <w:rsid w:val="004C0EE2"/>
    <w:rsid w:val="004C101B"/>
    <w:rsid w:val="004C1048"/>
    <w:rsid w:val="004C113C"/>
    <w:rsid w:val="004C12E4"/>
    <w:rsid w:val="004C13D8"/>
    <w:rsid w:val="004C1429"/>
    <w:rsid w:val="004C1461"/>
    <w:rsid w:val="004C1540"/>
    <w:rsid w:val="004C15DE"/>
    <w:rsid w:val="004C165B"/>
    <w:rsid w:val="004C16D8"/>
    <w:rsid w:val="004C1814"/>
    <w:rsid w:val="004C184D"/>
    <w:rsid w:val="004C187C"/>
    <w:rsid w:val="004C19F0"/>
    <w:rsid w:val="004C1EDE"/>
    <w:rsid w:val="004C1FD1"/>
    <w:rsid w:val="004C22E5"/>
    <w:rsid w:val="004C235D"/>
    <w:rsid w:val="004C23B4"/>
    <w:rsid w:val="004C27ED"/>
    <w:rsid w:val="004C2C66"/>
    <w:rsid w:val="004C3226"/>
    <w:rsid w:val="004C337E"/>
    <w:rsid w:val="004C343D"/>
    <w:rsid w:val="004C3468"/>
    <w:rsid w:val="004C372C"/>
    <w:rsid w:val="004C3938"/>
    <w:rsid w:val="004C3A01"/>
    <w:rsid w:val="004C3A8C"/>
    <w:rsid w:val="004C3B02"/>
    <w:rsid w:val="004C3BAA"/>
    <w:rsid w:val="004C3D5E"/>
    <w:rsid w:val="004C3DD5"/>
    <w:rsid w:val="004C3FF7"/>
    <w:rsid w:val="004C40C5"/>
    <w:rsid w:val="004C4313"/>
    <w:rsid w:val="004C4447"/>
    <w:rsid w:val="004C462D"/>
    <w:rsid w:val="004C468F"/>
    <w:rsid w:val="004C4712"/>
    <w:rsid w:val="004C4720"/>
    <w:rsid w:val="004C476F"/>
    <w:rsid w:val="004C4946"/>
    <w:rsid w:val="004C49E8"/>
    <w:rsid w:val="004C4A4E"/>
    <w:rsid w:val="004C4D60"/>
    <w:rsid w:val="004C4E5E"/>
    <w:rsid w:val="004C53E0"/>
    <w:rsid w:val="004C5F27"/>
    <w:rsid w:val="004C5F51"/>
    <w:rsid w:val="004C5F93"/>
    <w:rsid w:val="004C6330"/>
    <w:rsid w:val="004C637C"/>
    <w:rsid w:val="004C65E3"/>
    <w:rsid w:val="004C665E"/>
    <w:rsid w:val="004C6697"/>
    <w:rsid w:val="004C6AD2"/>
    <w:rsid w:val="004C6BC8"/>
    <w:rsid w:val="004C6D24"/>
    <w:rsid w:val="004C6DFB"/>
    <w:rsid w:val="004C73A4"/>
    <w:rsid w:val="004C74D0"/>
    <w:rsid w:val="004C7565"/>
    <w:rsid w:val="004C768B"/>
    <w:rsid w:val="004C7717"/>
    <w:rsid w:val="004C785A"/>
    <w:rsid w:val="004C7E9C"/>
    <w:rsid w:val="004D007D"/>
    <w:rsid w:val="004D0187"/>
    <w:rsid w:val="004D0199"/>
    <w:rsid w:val="004D042A"/>
    <w:rsid w:val="004D0594"/>
    <w:rsid w:val="004D0645"/>
    <w:rsid w:val="004D065D"/>
    <w:rsid w:val="004D0902"/>
    <w:rsid w:val="004D094B"/>
    <w:rsid w:val="004D0D3B"/>
    <w:rsid w:val="004D0DF2"/>
    <w:rsid w:val="004D0E68"/>
    <w:rsid w:val="004D0FB2"/>
    <w:rsid w:val="004D103A"/>
    <w:rsid w:val="004D1041"/>
    <w:rsid w:val="004D1082"/>
    <w:rsid w:val="004D132E"/>
    <w:rsid w:val="004D1564"/>
    <w:rsid w:val="004D17C2"/>
    <w:rsid w:val="004D186B"/>
    <w:rsid w:val="004D189A"/>
    <w:rsid w:val="004D19AD"/>
    <w:rsid w:val="004D1B01"/>
    <w:rsid w:val="004D1BA6"/>
    <w:rsid w:val="004D1C04"/>
    <w:rsid w:val="004D1C44"/>
    <w:rsid w:val="004D1E0C"/>
    <w:rsid w:val="004D1F02"/>
    <w:rsid w:val="004D1F9B"/>
    <w:rsid w:val="004D20BC"/>
    <w:rsid w:val="004D21E9"/>
    <w:rsid w:val="004D239B"/>
    <w:rsid w:val="004D2419"/>
    <w:rsid w:val="004D241D"/>
    <w:rsid w:val="004D2427"/>
    <w:rsid w:val="004D294F"/>
    <w:rsid w:val="004D309B"/>
    <w:rsid w:val="004D30E4"/>
    <w:rsid w:val="004D3118"/>
    <w:rsid w:val="004D31BD"/>
    <w:rsid w:val="004D3207"/>
    <w:rsid w:val="004D348A"/>
    <w:rsid w:val="004D3969"/>
    <w:rsid w:val="004D397F"/>
    <w:rsid w:val="004D3F51"/>
    <w:rsid w:val="004D3F58"/>
    <w:rsid w:val="004D3F8D"/>
    <w:rsid w:val="004D41A4"/>
    <w:rsid w:val="004D4325"/>
    <w:rsid w:val="004D44D1"/>
    <w:rsid w:val="004D45B7"/>
    <w:rsid w:val="004D45D1"/>
    <w:rsid w:val="004D4616"/>
    <w:rsid w:val="004D475F"/>
    <w:rsid w:val="004D4B5A"/>
    <w:rsid w:val="004D4B96"/>
    <w:rsid w:val="004D4C12"/>
    <w:rsid w:val="004D4C41"/>
    <w:rsid w:val="004D4CB9"/>
    <w:rsid w:val="004D4D3A"/>
    <w:rsid w:val="004D4DF1"/>
    <w:rsid w:val="004D5035"/>
    <w:rsid w:val="004D533F"/>
    <w:rsid w:val="004D540A"/>
    <w:rsid w:val="004D566D"/>
    <w:rsid w:val="004D579C"/>
    <w:rsid w:val="004D58F6"/>
    <w:rsid w:val="004D5971"/>
    <w:rsid w:val="004D5A18"/>
    <w:rsid w:val="004D5C1A"/>
    <w:rsid w:val="004D5CAC"/>
    <w:rsid w:val="004D5D27"/>
    <w:rsid w:val="004D5D6B"/>
    <w:rsid w:val="004D6149"/>
    <w:rsid w:val="004D61EB"/>
    <w:rsid w:val="004D62F2"/>
    <w:rsid w:val="004D6353"/>
    <w:rsid w:val="004D64F5"/>
    <w:rsid w:val="004D6530"/>
    <w:rsid w:val="004D6534"/>
    <w:rsid w:val="004D68E2"/>
    <w:rsid w:val="004D69A9"/>
    <w:rsid w:val="004D6A3E"/>
    <w:rsid w:val="004D6B17"/>
    <w:rsid w:val="004D6C5E"/>
    <w:rsid w:val="004D700D"/>
    <w:rsid w:val="004D734A"/>
    <w:rsid w:val="004D75BB"/>
    <w:rsid w:val="004D7728"/>
    <w:rsid w:val="004D779A"/>
    <w:rsid w:val="004D7825"/>
    <w:rsid w:val="004D78BD"/>
    <w:rsid w:val="004D791A"/>
    <w:rsid w:val="004D797A"/>
    <w:rsid w:val="004D7B8C"/>
    <w:rsid w:val="004D7D1B"/>
    <w:rsid w:val="004D7E14"/>
    <w:rsid w:val="004E02B5"/>
    <w:rsid w:val="004E0365"/>
    <w:rsid w:val="004E0625"/>
    <w:rsid w:val="004E063D"/>
    <w:rsid w:val="004E0804"/>
    <w:rsid w:val="004E091B"/>
    <w:rsid w:val="004E09A8"/>
    <w:rsid w:val="004E0A0E"/>
    <w:rsid w:val="004E0A2D"/>
    <w:rsid w:val="004E0A89"/>
    <w:rsid w:val="004E0A96"/>
    <w:rsid w:val="004E0BE0"/>
    <w:rsid w:val="004E0C23"/>
    <w:rsid w:val="004E0D15"/>
    <w:rsid w:val="004E0D27"/>
    <w:rsid w:val="004E11FC"/>
    <w:rsid w:val="004E1897"/>
    <w:rsid w:val="004E1A66"/>
    <w:rsid w:val="004E1C51"/>
    <w:rsid w:val="004E1D5F"/>
    <w:rsid w:val="004E1E55"/>
    <w:rsid w:val="004E269D"/>
    <w:rsid w:val="004E2733"/>
    <w:rsid w:val="004E279E"/>
    <w:rsid w:val="004E27A4"/>
    <w:rsid w:val="004E291F"/>
    <w:rsid w:val="004E29AF"/>
    <w:rsid w:val="004E2AA2"/>
    <w:rsid w:val="004E2AF3"/>
    <w:rsid w:val="004E2EB6"/>
    <w:rsid w:val="004E319B"/>
    <w:rsid w:val="004E32DD"/>
    <w:rsid w:val="004E3319"/>
    <w:rsid w:val="004E339A"/>
    <w:rsid w:val="004E3459"/>
    <w:rsid w:val="004E349C"/>
    <w:rsid w:val="004E35B6"/>
    <w:rsid w:val="004E3700"/>
    <w:rsid w:val="004E37D6"/>
    <w:rsid w:val="004E37F4"/>
    <w:rsid w:val="004E3863"/>
    <w:rsid w:val="004E38F9"/>
    <w:rsid w:val="004E3B8D"/>
    <w:rsid w:val="004E40BA"/>
    <w:rsid w:val="004E4187"/>
    <w:rsid w:val="004E41D0"/>
    <w:rsid w:val="004E4397"/>
    <w:rsid w:val="004E442B"/>
    <w:rsid w:val="004E4454"/>
    <w:rsid w:val="004E44F7"/>
    <w:rsid w:val="004E45DF"/>
    <w:rsid w:val="004E470A"/>
    <w:rsid w:val="004E47AE"/>
    <w:rsid w:val="004E48B7"/>
    <w:rsid w:val="004E48E7"/>
    <w:rsid w:val="004E4900"/>
    <w:rsid w:val="004E49C8"/>
    <w:rsid w:val="004E4A6A"/>
    <w:rsid w:val="004E4B69"/>
    <w:rsid w:val="004E4CE4"/>
    <w:rsid w:val="004E4D0C"/>
    <w:rsid w:val="004E4E0B"/>
    <w:rsid w:val="004E4ECA"/>
    <w:rsid w:val="004E51BA"/>
    <w:rsid w:val="004E51BB"/>
    <w:rsid w:val="004E51F9"/>
    <w:rsid w:val="004E5215"/>
    <w:rsid w:val="004E548A"/>
    <w:rsid w:val="004E54C9"/>
    <w:rsid w:val="004E54FD"/>
    <w:rsid w:val="004E5625"/>
    <w:rsid w:val="004E595F"/>
    <w:rsid w:val="004E5974"/>
    <w:rsid w:val="004E59D7"/>
    <w:rsid w:val="004E5C59"/>
    <w:rsid w:val="004E5CCC"/>
    <w:rsid w:val="004E5D5C"/>
    <w:rsid w:val="004E5E48"/>
    <w:rsid w:val="004E5FDD"/>
    <w:rsid w:val="004E615A"/>
    <w:rsid w:val="004E61DC"/>
    <w:rsid w:val="004E6289"/>
    <w:rsid w:val="004E63B9"/>
    <w:rsid w:val="004E63EF"/>
    <w:rsid w:val="004E6421"/>
    <w:rsid w:val="004E6477"/>
    <w:rsid w:val="004E64E1"/>
    <w:rsid w:val="004E67B5"/>
    <w:rsid w:val="004E682E"/>
    <w:rsid w:val="004E69E7"/>
    <w:rsid w:val="004E6C54"/>
    <w:rsid w:val="004E6C65"/>
    <w:rsid w:val="004E6C6E"/>
    <w:rsid w:val="004E6DD2"/>
    <w:rsid w:val="004E6DE1"/>
    <w:rsid w:val="004E6E5B"/>
    <w:rsid w:val="004E70BF"/>
    <w:rsid w:val="004E7135"/>
    <w:rsid w:val="004E718C"/>
    <w:rsid w:val="004E7223"/>
    <w:rsid w:val="004E733E"/>
    <w:rsid w:val="004E752F"/>
    <w:rsid w:val="004E75FA"/>
    <w:rsid w:val="004E77E0"/>
    <w:rsid w:val="004E77E2"/>
    <w:rsid w:val="004E7870"/>
    <w:rsid w:val="004E787F"/>
    <w:rsid w:val="004E7914"/>
    <w:rsid w:val="004E7AB6"/>
    <w:rsid w:val="004E7B34"/>
    <w:rsid w:val="004E7DF1"/>
    <w:rsid w:val="004F01BF"/>
    <w:rsid w:val="004F0281"/>
    <w:rsid w:val="004F028F"/>
    <w:rsid w:val="004F02B8"/>
    <w:rsid w:val="004F05ED"/>
    <w:rsid w:val="004F0763"/>
    <w:rsid w:val="004F07D7"/>
    <w:rsid w:val="004F08E1"/>
    <w:rsid w:val="004F0B4B"/>
    <w:rsid w:val="004F0C9C"/>
    <w:rsid w:val="004F0D55"/>
    <w:rsid w:val="004F0EAC"/>
    <w:rsid w:val="004F0EC8"/>
    <w:rsid w:val="004F0F83"/>
    <w:rsid w:val="004F0F95"/>
    <w:rsid w:val="004F1055"/>
    <w:rsid w:val="004F11C4"/>
    <w:rsid w:val="004F11EE"/>
    <w:rsid w:val="004F13D4"/>
    <w:rsid w:val="004F1433"/>
    <w:rsid w:val="004F145E"/>
    <w:rsid w:val="004F162E"/>
    <w:rsid w:val="004F196B"/>
    <w:rsid w:val="004F1CA9"/>
    <w:rsid w:val="004F1ECF"/>
    <w:rsid w:val="004F2066"/>
    <w:rsid w:val="004F20B6"/>
    <w:rsid w:val="004F22C5"/>
    <w:rsid w:val="004F2420"/>
    <w:rsid w:val="004F2702"/>
    <w:rsid w:val="004F2732"/>
    <w:rsid w:val="004F2DA9"/>
    <w:rsid w:val="004F2F0B"/>
    <w:rsid w:val="004F2F2F"/>
    <w:rsid w:val="004F2F83"/>
    <w:rsid w:val="004F30FC"/>
    <w:rsid w:val="004F312A"/>
    <w:rsid w:val="004F3408"/>
    <w:rsid w:val="004F3453"/>
    <w:rsid w:val="004F3485"/>
    <w:rsid w:val="004F362F"/>
    <w:rsid w:val="004F368A"/>
    <w:rsid w:val="004F36B1"/>
    <w:rsid w:val="004F370C"/>
    <w:rsid w:val="004F3731"/>
    <w:rsid w:val="004F3919"/>
    <w:rsid w:val="004F3A80"/>
    <w:rsid w:val="004F3B19"/>
    <w:rsid w:val="004F3DDB"/>
    <w:rsid w:val="004F3ED1"/>
    <w:rsid w:val="004F3F13"/>
    <w:rsid w:val="004F4078"/>
    <w:rsid w:val="004F4400"/>
    <w:rsid w:val="004F4463"/>
    <w:rsid w:val="004F4698"/>
    <w:rsid w:val="004F46AE"/>
    <w:rsid w:val="004F4749"/>
    <w:rsid w:val="004F4815"/>
    <w:rsid w:val="004F485E"/>
    <w:rsid w:val="004F4875"/>
    <w:rsid w:val="004F48C8"/>
    <w:rsid w:val="004F49E6"/>
    <w:rsid w:val="004F4B90"/>
    <w:rsid w:val="004F4F76"/>
    <w:rsid w:val="004F4FB1"/>
    <w:rsid w:val="004F4FEE"/>
    <w:rsid w:val="004F4FF5"/>
    <w:rsid w:val="004F5015"/>
    <w:rsid w:val="004F522E"/>
    <w:rsid w:val="004F52C8"/>
    <w:rsid w:val="004F53ED"/>
    <w:rsid w:val="004F53EF"/>
    <w:rsid w:val="004F54E2"/>
    <w:rsid w:val="004F568B"/>
    <w:rsid w:val="004F5887"/>
    <w:rsid w:val="004F5991"/>
    <w:rsid w:val="004F5C29"/>
    <w:rsid w:val="004F5E9C"/>
    <w:rsid w:val="004F5EB2"/>
    <w:rsid w:val="004F6152"/>
    <w:rsid w:val="004F61A7"/>
    <w:rsid w:val="004F61C2"/>
    <w:rsid w:val="004F62C0"/>
    <w:rsid w:val="004F63E9"/>
    <w:rsid w:val="004F6565"/>
    <w:rsid w:val="004F6612"/>
    <w:rsid w:val="004F665E"/>
    <w:rsid w:val="004F6AB2"/>
    <w:rsid w:val="004F6C87"/>
    <w:rsid w:val="004F6D3C"/>
    <w:rsid w:val="004F6D4A"/>
    <w:rsid w:val="004F6EAA"/>
    <w:rsid w:val="004F6FB6"/>
    <w:rsid w:val="004F6FBF"/>
    <w:rsid w:val="004F712D"/>
    <w:rsid w:val="004F7262"/>
    <w:rsid w:val="004F7439"/>
    <w:rsid w:val="004F756A"/>
    <w:rsid w:val="004F75A4"/>
    <w:rsid w:val="004F75BD"/>
    <w:rsid w:val="004F75CF"/>
    <w:rsid w:val="004F7750"/>
    <w:rsid w:val="004F79B3"/>
    <w:rsid w:val="004F7BF0"/>
    <w:rsid w:val="004F7CF1"/>
    <w:rsid w:val="0050006A"/>
    <w:rsid w:val="0050017F"/>
    <w:rsid w:val="005001CA"/>
    <w:rsid w:val="005001EF"/>
    <w:rsid w:val="00500666"/>
    <w:rsid w:val="00500705"/>
    <w:rsid w:val="00500733"/>
    <w:rsid w:val="00500790"/>
    <w:rsid w:val="00500842"/>
    <w:rsid w:val="005008AD"/>
    <w:rsid w:val="00500971"/>
    <w:rsid w:val="00500B93"/>
    <w:rsid w:val="00500D29"/>
    <w:rsid w:val="00500F77"/>
    <w:rsid w:val="00501231"/>
    <w:rsid w:val="00501315"/>
    <w:rsid w:val="005013CD"/>
    <w:rsid w:val="00501405"/>
    <w:rsid w:val="005014A2"/>
    <w:rsid w:val="005014E7"/>
    <w:rsid w:val="005016CA"/>
    <w:rsid w:val="005016D8"/>
    <w:rsid w:val="005018E5"/>
    <w:rsid w:val="005019FA"/>
    <w:rsid w:val="00501AE3"/>
    <w:rsid w:val="00501BEA"/>
    <w:rsid w:val="00501C55"/>
    <w:rsid w:val="00501C5D"/>
    <w:rsid w:val="00501D6A"/>
    <w:rsid w:val="00501D99"/>
    <w:rsid w:val="00501DA1"/>
    <w:rsid w:val="00502033"/>
    <w:rsid w:val="005021C6"/>
    <w:rsid w:val="00502393"/>
    <w:rsid w:val="005023AA"/>
    <w:rsid w:val="00502465"/>
    <w:rsid w:val="005025C8"/>
    <w:rsid w:val="0050267B"/>
    <w:rsid w:val="005026A0"/>
    <w:rsid w:val="0050274B"/>
    <w:rsid w:val="005029E0"/>
    <w:rsid w:val="00502C3E"/>
    <w:rsid w:val="0050302A"/>
    <w:rsid w:val="00503255"/>
    <w:rsid w:val="0050339A"/>
    <w:rsid w:val="005033FB"/>
    <w:rsid w:val="005035ED"/>
    <w:rsid w:val="00503721"/>
    <w:rsid w:val="0050387E"/>
    <w:rsid w:val="00503A1A"/>
    <w:rsid w:val="005041CE"/>
    <w:rsid w:val="00504362"/>
    <w:rsid w:val="005043D3"/>
    <w:rsid w:val="0050446A"/>
    <w:rsid w:val="00504732"/>
    <w:rsid w:val="005047AA"/>
    <w:rsid w:val="005047B0"/>
    <w:rsid w:val="00504ADD"/>
    <w:rsid w:val="00504BDD"/>
    <w:rsid w:val="00504E7E"/>
    <w:rsid w:val="00504EF0"/>
    <w:rsid w:val="0050509F"/>
    <w:rsid w:val="005050C7"/>
    <w:rsid w:val="00505142"/>
    <w:rsid w:val="005052D1"/>
    <w:rsid w:val="00505381"/>
    <w:rsid w:val="005054AA"/>
    <w:rsid w:val="005054FD"/>
    <w:rsid w:val="005055EA"/>
    <w:rsid w:val="00505839"/>
    <w:rsid w:val="00505A84"/>
    <w:rsid w:val="00505AF2"/>
    <w:rsid w:val="00505BBC"/>
    <w:rsid w:val="00505BED"/>
    <w:rsid w:val="00505D75"/>
    <w:rsid w:val="005061E3"/>
    <w:rsid w:val="0050621B"/>
    <w:rsid w:val="005065D1"/>
    <w:rsid w:val="005066F9"/>
    <w:rsid w:val="00506C05"/>
    <w:rsid w:val="00506C5C"/>
    <w:rsid w:val="00506CCF"/>
    <w:rsid w:val="00506CFF"/>
    <w:rsid w:val="0050700A"/>
    <w:rsid w:val="005070C0"/>
    <w:rsid w:val="0050714A"/>
    <w:rsid w:val="005072F4"/>
    <w:rsid w:val="0050735F"/>
    <w:rsid w:val="005074AD"/>
    <w:rsid w:val="00507508"/>
    <w:rsid w:val="00507653"/>
    <w:rsid w:val="005076B2"/>
    <w:rsid w:val="0050770A"/>
    <w:rsid w:val="00507767"/>
    <w:rsid w:val="005077A5"/>
    <w:rsid w:val="005077D9"/>
    <w:rsid w:val="005078EF"/>
    <w:rsid w:val="00507A1F"/>
    <w:rsid w:val="00507BF3"/>
    <w:rsid w:val="00507F79"/>
    <w:rsid w:val="00510122"/>
    <w:rsid w:val="0051014F"/>
    <w:rsid w:val="00510271"/>
    <w:rsid w:val="00510304"/>
    <w:rsid w:val="0051038F"/>
    <w:rsid w:val="005103CB"/>
    <w:rsid w:val="005103F9"/>
    <w:rsid w:val="005104B2"/>
    <w:rsid w:val="0051053F"/>
    <w:rsid w:val="00510627"/>
    <w:rsid w:val="005106B9"/>
    <w:rsid w:val="00510BB7"/>
    <w:rsid w:val="00510C91"/>
    <w:rsid w:val="00510CA0"/>
    <w:rsid w:val="00510F5F"/>
    <w:rsid w:val="00510FD9"/>
    <w:rsid w:val="0051130A"/>
    <w:rsid w:val="0051131C"/>
    <w:rsid w:val="00511430"/>
    <w:rsid w:val="005114CC"/>
    <w:rsid w:val="00511503"/>
    <w:rsid w:val="005115DA"/>
    <w:rsid w:val="005115EC"/>
    <w:rsid w:val="005116D6"/>
    <w:rsid w:val="005118B6"/>
    <w:rsid w:val="00511913"/>
    <w:rsid w:val="00511C28"/>
    <w:rsid w:val="00511C94"/>
    <w:rsid w:val="00511D5E"/>
    <w:rsid w:val="00511E03"/>
    <w:rsid w:val="00511ED5"/>
    <w:rsid w:val="00512169"/>
    <w:rsid w:val="005123BE"/>
    <w:rsid w:val="005124F4"/>
    <w:rsid w:val="0051253D"/>
    <w:rsid w:val="005126BA"/>
    <w:rsid w:val="005126E9"/>
    <w:rsid w:val="00512987"/>
    <w:rsid w:val="005129D0"/>
    <w:rsid w:val="005129EC"/>
    <w:rsid w:val="00512DAC"/>
    <w:rsid w:val="00512E20"/>
    <w:rsid w:val="00512E50"/>
    <w:rsid w:val="00512E57"/>
    <w:rsid w:val="00512ED5"/>
    <w:rsid w:val="00512FE3"/>
    <w:rsid w:val="0051302D"/>
    <w:rsid w:val="0051306C"/>
    <w:rsid w:val="005130DC"/>
    <w:rsid w:val="00513179"/>
    <w:rsid w:val="00513287"/>
    <w:rsid w:val="00513442"/>
    <w:rsid w:val="005134B8"/>
    <w:rsid w:val="00513635"/>
    <w:rsid w:val="00513691"/>
    <w:rsid w:val="005136B5"/>
    <w:rsid w:val="005138BC"/>
    <w:rsid w:val="005138EC"/>
    <w:rsid w:val="005139A1"/>
    <w:rsid w:val="00513CF7"/>
    <w:rsid w:val="0051419D"/>
    <w:rsid w:val="005141F3"/>
    <w:rsid w:val="00514563"/>
    <w:rsid w:val="00514601"/>
    <w:rsid w:val="00514874"/>
    <w:rsid w:val="0051496E"/>
    <w:rsid w:val="005149AA"/>
    <w:rsid w:val="00514A5B"/>
    <w:rsid w:val="00514B5A"/>
    <w:rsid w:val="00514BC5"/>
    <w:rsid w:val="00514C70"/>
    <w:rsid w:val="00514DC2"/>
    <w:rsid w:val="00514E65"/>
    <w:rsid w:val="00514E6A"/>
    <w:rsid w:val="00514F2A"/>
    <w:rsid w:val="00515264"/>
    <w:rsid w:val="0051528F"/>
    <w:rsid w:val="00515536"/>
    <w:rsid w:val="005156B0"/>
    <w:rsid w:val="00515715"/>
    <w:rsid w:val="00515886"/>
    <w:rsid w:val="00515897"/>
    <w:rsid w:val="005159FA"/>
    <w:rsid w:val="00515B14"/>
    <w:rsid w:val="00515C2B"/>
    <w:rsid w:val="00515C50"/>
    <w:rsid w:val="00516059"/>
    <w:rsid w:val="0051607C"/>
    <w:rsid w:val="005160EF"/>
    <w:rsid w:val="005162E1"/>
    <w:rsid w:val="00516442"/>
    <w:rsid w:val="00516457"/>
    <w:rsid w:val="00516665"/>
    <w:rsid w:val="00516934"/>
    <w:rsid w:val="0051695F"/>
    <w:rsid w:val="00516AEA"/>
    <w:rsid w:val="00516B9D"/>
    <w:rsid w:val="00516C1B"/>
    <w:rsid w:val="00516F31"/>
    <w:rsid w:val="00517049"/>
    <w:rsid w:val="005170E8"/>
    <w:rsid w:val="00517231"/>
    <w:rsid w:val="005173B9"/>
    <w:rsid w:val="005174AC"/>
    <w:rsid w:val="005174DD"/>
    <w:rsid w:val="00517793"/>
    <w:rsid w:val="005178C4"/>
    <w:rsid w:val="0051793B"/>
    <w:rsid w:val="00517CC6"/>
    <w:rsid w:val="00517D0A"/>
    <w:rsid w:val="00517DB8"/>
    <w:rsid w:val="005202FF"/>
    <w:rsid w:val="0052044D"/>
    <w:rsid w:val="00520610"/>
    <w:rsid w:val="00520662"/>
    <w:rsid w:val="00520694"/>
    <w:rsid w:val="00520776"/>
    <w:rsid w:val="00520A05"/>
    <w:rsid w:val="00520C1A"/>
    <w:rsid w:val="00520D00"/>
    <w:rsid w:val="00520D2F"/>
    <w:rsid w:val="00521115"/>
    <w:rsid w:val="00521147"/>
    <w:rsid w:val="0052130C"/>
    <w:rsid w:val="0052140C"/>
    <w:rsid w:val="005215C7"/>
    <w:rsid w:val="005216F3"/>
    <w:rsid w:val="00521762"/>
    <w:rsid w:val="0052183E"/>
    <w:rsid w:val="0052195F"/>
    <w:rsid w:val="00521A0D"/>
    <w:rsid w:val="00521B0A"/>
    <w:rsid w:val="00521B29"/>
    <w:rsid w:val="00521C00"/>
    <w:rsid w:val="00521C9E"/>
    <w:rsid w:val="00521CB7"/>
    <w:rsid w:val="00521D86"/>
    <w:rsid w:val="00521D92"/>
    <w:rsid w:val="00521F38"/>
    <w:rsid w:val="00521F69"/>
    <w:rsid w:val="00521FBA"/>
    <w:rsid w:val="00522242"/>
    <w:rsid w:val="0052242C"/>
    <w:rsid w:val="00522556"/>
    <w:rsid w:val="005225DE"/>
    <w:rsid w:val="0052269D"/>
    <w:rsid w:val="005227B4"/>
    <w:rsid w:val="005227B5"/>
    <w:rsid w:val="0052282E"/>
    <w:rsid w:val="005229BA"/>
    <w:rsid w:val="00522A45"/>
    <w:rsid w:val="00522A7F"/>
    <w:rsid w:val="00522AF5"/>
    <w:rsid w:val="00522B98"/>
    <w:rsid w:val="00522E56"/>
    <w:rsid w:val="00523092"/>
    <w:rsid w:val="0052325D"/>
    <w:rsid w:val="005233EA"/>
    <w:rsid w:val="00523479"/>
    <w:rsid w:val="00523498"/>
    <w:rsid w:val="005236E2"/>
    <w:rsid w:val="005237AE"/>
    <w:rsid w:val="005238A2"/>
    <w:rsid w:val="005238AF"/>
    <w:rsid w:val="00523A9B"/>
    <w:rsid w:val="00523AE9"/>
    <w:rsid w:val="00523B45"/>
    <w:rsid w:val="00523C68"/>
    <w:rsid w:val="00523CB1"/>
    <w:rsid w:val="00523D13"/>
    <w:rsid w:val="00523D72"/>
    <w:rsid w:val="00523DC7"/>
    <w:rsid w:val="00523E95"/>
    <w:rsid w:val="00524006"/>
    <w:rsid w:val="00524017"/>
    <w:rsid w:val="00524195"/>
    <w:rsid w:val="00524436"/>
    <w:rsid w:val="005245DD"/>
    <w:rsid w:val="0052493D"/>
    <w:rsid w:val="00524ADE"/>
    <w:rsid w:val="00524AED"/>
    <w:rsid w:val="00524B7B"/>
    <w:rsid w:val="00524C3D"/>
    <w:rsid w:val="00525135"/>
    <w:rsid w:val="00525161"/>
    <w:rsid w:val="0052529C"/>
    <w:rsid w:val="005252BC"/>
    <w:rsid w:val="00525768"/>
    <w:rsid w:val="005258E4"/>
    <w:rsid w:val="00525B8A"/>
    <w:rsid w:val="00525C0E"/>
    <w:rsid w:val="00525DEA"/>
    <w:rsid w:val="00525F5E"/>
    <w:rsid w:val="00525FF5"/>
    <w:rsid w:val="00526038"/>
    <w:rsid w:val="00526613"/>
    <w:rsid w:val="005266BF"/>
    <w:rsid w:val="00526790"/>
    <w:rsid w:val="00526881"/>
    <w:rsid w:val="00526888"/>
    <w:rsid w:val="005269DE"/>
    <w:rsid w:val="00526DA4"/>
    <w:rsid w:val="00526EAD"/>
    <w:rsid w:val="0052708D"/>
    <w:rsid w:val="005270F6"/>
    <w:rsid w:val="0052714B"/>
    <w:rsid w:val="00527326"/>
    <w:rsid w:val="0052738A"/>
    <w:rsid w:val="005273E2"/>
    <w:rsid w:val="005275F5"/>
    <w:rsid w:val="0052797F"/>
    <w:rsid w:val="005279D6"/>
    <w:rsid w:val="00527B99"/>
    <w:rsid w:val="00527C15"/>
    <w:rsid w:val="00527CDD"/>
    <w:rsid w:val="00527D27"/>
    <w:rsid w:val="00527D6B"/>
    <w:rsid w:val="00527EAE"/>
    <w:rsid w:val="00527ED1"/>
    <w:rsid w:val="0053035A"/>
    <w:rsid w:val="005303E3"/>
    <w:rsid w:val="00530558"/>
    <w:rsid w:val="005305A5"/>
    <w:rsid w:val="00530625"/>
    <w:rsid w:val="005306A8"/>
    <w:rsid w:val="0053072B"/>
    <w:rsid w:val="00530735"/>
    <w:rsid w:val="0053086D"/>
    <w:rsid w:val="00530B25"/>
    <w:rsid w:val="00530C05"/>
    <w:rsid w:val="00530DAF"/>
    <w:rsid w:val="00530E42"/>
    <w:rsid w:val="00530F0A"/>
    <w:rsid w:val="00531099"/>
    <w:rsid w:val="00531157"/>
    <w:rsid w:val="00531159"/>
    <w:rsid w:val="00531351"/>
    <w:rsid w:val="005313A1"/>
    <w:rsid w:val="005313ED"/>
    <w:rsid w:val="00531455"/>
    <w:rsid w:val="00531519"/>
    <w:rsid w:val="0053165C"/>
    <w:rsid w:val="00531816"/>
    <w:rsid w:val="00531928"/>
    <w:rsid w:val="00531A47"/>
    <w:rsid w:val="00531BF4"/>
    <w:rsid w:val="00531D93"/>
    <w:rsid w:val="00531DF9"/>
    <w:rsid w:val="00531ED4"/>
    <w:rsid w:val="005321A6"/>
    <w:rsid w:val="005323B2"/>
    <w:rsid w:val="00532414"/>
    <w:rsid w:val="0053246D"/>
    <w:rsid w:val="00532519"/>
    <w:rsid w:val="00532632"/>
    <w:rsid w:val="005327AD"/>
    <w:rsid w:val="00532876"/>
    <w:rsid w:val="00532A7B"/>
    <w:rsid w:val="00532AA5"/>
    <w:rsid w:val="00533153"/>
    <w:rsid w:val="005331A6"/>
    <w:rsid w:val="005332A0"/>
    <w:rsid w:val="005332BB"/>
    <w:rsid w:val="0053340F"/>
    <w:rsid w:val="00533976"/>
    <w:rsid w:val="005339AB"/>
    <w:rsid w:val="005339ED"/>
    <w:rsid w:val="00533AA8"/>
    <w:rsid w:val="00533B17"/>
    <w:rsid w:val="00533BEA"/>
    <w:rsid w:val="00533D00"/>
    <w:rsid w:val="00533D59"/>
    <w:rsid w:val="00533DD0"/>
    <w:rsid w:val="00533DFE"/>
    <w:rsid w:val="00533F29"/>
    <w:rsid w:val="00533F69"/>
    <w:rsid w:val="005340BB"/>
    <w:rsid w:val="005340DD"/>
    <w:rsid w:val="005340E1"/>
    <w:rsid w:val="0053447C"/>
    <w:rsid w:val="00534487"/>
    <w:rsid w:val="0053465D"/>
    <w:rsid w:val="005346AB"/>
    <w:rsid w:val="00534821"/>
    <w:rsid w:val="005348F8"/>
    <w:rsid w:val="00534A21"/>
    <w:rsid w:val="00534D4C"/>
    <w:rsid w:val="00534F9C"/>
    <w:rsid w:val="00535158"/>
    <w:rsid w:val="0053527F"/>
    <w:rsid w:val="0053549A"/>
    <w:rsid w:val="00535600"/>
    <w:rsid w:val="00535734"/>
    <w:rsid w:val="00535791"/>
    <w:rsid w:val="005358EA"/>
    <w:rsid w:val="00535A29"/>
    <w:rsid w:val="00535DAA"/>
    <w:rsid w:val="00535DBD"/>
    <w:rsid w:val="00535E2A"/>
    <w:rsid w:val="00535F87"/>
    <w:rsid w:val="00535FAC"/>
    <w:rsid w:val="00535FDE"/>
    <w:rsid w:val="0053618B"/>
    <w:rsid w:val="005361A1"/>
    <w:rsid w:val="0053620F"/>
    <w:rsid w:val="005362F4"/>
    <w:rsid w:val="0053641B"/>
    <w:rsid w:val="005364DF"/>
    <w:rsid w:val="00536533"/>
    <w:rsid w:val="005368B5"/>
    <w:rsid w:val="00536AE9"/>
    <w:rsid w:val="00536E8B"/>
    <w:rsid w:val="00536EC9"/>
    <w:rsid w:val="005370B4"/>
    <w:rsid w:val="005371AF"/>
    <w:rsid w:val="005375AE"/>
    <w:rsid w:val="005375B6"/>
    <w:rsid w:val="00537648"/>
    <w:rsid w:val="0053769C"/>
    <w:rsid w:val="005377B5"/>
    <w:rsid w:val="005378EA"/>
    <w:rsid w:val="005378F6"/>
    <w:rsid w:val="0053790B"/>
    <w:rsid w:val="0053793D"/>
    <w:rsid w:val="005379B3"/>
    <w:rsid w:val="00537A76"/>
    <w:rsid w:val="00537D43"/>
    <w:rsid w:val="00537D7E"/>
    <w:rsid w:val="00537F14"/>
    <w:rsid w:val="0054005F"/>
    <w:rsid w:val="005400EB"/>
    <w:rsid w:val="0054011C"/>
    <w:rsid w:val="0054027E"/>
    <w:rsid w:val="005402B7"/>
    <w:rsid w:val="005406B7"/>
    <w:rsid w:val="005408ED"/>
    <w:rsid w:val="00540AFE"/>
    <w:rsid w:val="00540EE5"/>
    <w:rsid w:val="00540F29"/>
    <w:rsid w:val="00540F2F"/>
    <w:rsid w:val="00540F68"/>
    <w:rsid w:val="00540FA4"/>
    <w:rsid w:val="00540FB4"/>
    <w:rsid w:val="00541082"/>
    <w:rsid w:val="005412CC"/>
    <w:rsid w:val="005413E9"/>
    <w:rsid w:val="00541509"/>
    <w:rsid w:val="0054151D"/>
    <w:rsid w:val="005415CA"/>
    <w:rsid w:val="00541647"/>
    <w:rsid w:val="005416CF"/>
    <w:rsid w:val="00541875"/>
    <w:rsid w:val="00541B98"/>
    <w:rsid w:val="00541BD5"/>
    <w:rsid w:val="00541C4D"/>
    <w:rsid w:val="00541D15"/>
    <w:rsid w:val="00541D5C"/>
    <w:rsid w:val="00541DCE"/>
    <w:rsid w:val="00541E0A"/>
    <w:rsid w:val="00541E4A"/>
    <w:rsid w:val="00541EF8"/>
    <w:rsid w:val="00542072"/>
    <w:rsid w:val="00542624"/>
    <w:rsid w:val="00542941"/>
    <w:rsid w:val="00542C44"/>
    <w:rsid w:val="00542E5E"/>
    <w:rsid w:val="0054334E"/>
    <w:rsid w:val="0054341B"/>
    <w:rsid w:val="00543429"/>
    <w:rsid w:val="005438C1"/>
    <w:rsid w:val="005438DB"/>
    <w:rsid w:val="00543975"/>
    <w:rsid w:val="00543BFE"/>
    <w:rsid w:val="00543DE3"/>
    <w:rsid w:val="00543E70"/>
    <w:rsid w:val="00544041"/>
    <w:rsid w:val="0054415F"/>
    <w:rsid w:val="00544181"/>
    <w:rsid w:val="005441A5"/>
    <w:rsid w:val="0054426D"/>
    <w:rsid w:val="00544375"/>
    <w:rsid w:val="00544658"/>
    <w:rsid w:val="0054466C"/>
    <w:rsid w:val="00544758"/>
    <w:rsid w:val="005448E6"/>
    <w:rsid w:val="00544953"/>
    <w:rsid w:val="005449E9"/>
    <w:rsid w:val="00544A4E"/>
    <w:rsid w:val="00544D08"/>
    <w:rsid w:val="00544D11"/>
    <w:rsid w:val="00544D58"/>
    <w:rsid w:val="00544D76"/>
    <w:rsid w:val="00544EFB"/>
    <w:rsid w:val="00544F1B"/>
    <w:rsid w:val="00544F8B"/>
    <w:rsid w:val="00545005"/>
    <w:rsid w:val="00545150"/>
    <w:rsid w:val="00545833"/>
    <w:rsid w:val="0054595D"/>
    <w:rsid w:val="00545979"/>
    <w:rsid w:val="0054599D"/>
    <w:rsid w:val="005459CB"/>
    <w:rsid w:val="005459F4"/>
    <w:rsid w:val="005460E6"/>
    <w:rsid w:val="005461BF"/>
    <w:rsid w:val="00546225"/>
    <w:rsid w:val="00546252"/>
    <w:rsid w:val="0054660D"/>
    <w:rsid w:val="0054668A"/>
    <w:rsid w:val="005467FF"/>
    <w:rsid w:val="00546802"/>
    <w:rsid w:val="00546894"/>
    <w:rsid w:val="00546A34"/>
    <w:rsid w:val="00546CEC"/>
    <w:rsid w:val="00546D7B"/>
    <w:rsid w:val="00546DE7"/>
    <w:rsid w:val="00546EAA"/>
    <w:rsid w:val="00546F5A"/>
    <w:rsid w:val="00546FBF"/>
    <w:rsid w:val="00547068"/>
    <w:rsid w:val="005471B3"/>
    <w:rsid w:val="005472F0"/>
    <w:rsid w:val="0054740E"/>
    <w:rsid w:val="005474E6"/>
    <w:rsid w:val="00547551"/>
    <w:rsid w:val="005477F1"/>
    <w:rsid w:val="0054788F"/>
    <w:rsid w:val="005478BA"/>
    <w:rsid w:val="00547A47"/>
    <w:rsid w:val="00547B78"/>
    <w:rsid w:val="00547C7C"/>
    <w:rsid w:val="0055024E"/>
    <w:rsid w:val="005504B5"/>
    <w:rsid w:val="005504DB"/>
    <w:rsid w:val="005504E1"/>
    <w:rsid w:val="005505E8"/>
    <w:rsid w:val="005506E6"/>
    <w:rsid w:val="00550766"/>
    <w:rsid w:val="00550A67"/>
    <w:rsid w:val="00550B17"/>
    <w:rsid w:val="00550C8E"/>
    <w:rsid w:val="00551123"/>
    <w:rsid w:val="005513DF"/>
    <w:rsid w:val="005513E9"/>
    <w:rsid w:val="0055149E"/>
    <w:rsid w:val="0055164F"/>
    <w:rsid w:val="005516B6"/>
    <w:rsid w:val="005517CD"/>
    <w:rsid w:val="00551973"/>
    <w:rsid w:val="00551A6A"/>
    <w:rsid w:val="00551C6F"/>
    <w:rsid w:val="00551CA1"/>
    <w:rsid w:val="00551D99"/>
    <w:rsid w:val="00552055"/>
    <w:rsid w:val="005520B9"/>
    <w:rsid w:val="005522F1"/>
    <w:rsid w:val="0055239C"/>
    <w:rsid w:val="0055258D"/>
    <w:rsid w:val="005525FB"/>
    <w:rsid w:val="005527A2"/>
    <w:rsid w:val="005527A6"/>
    <w:rsid w:val="005529D9"/>
    <w:rsid w:val="00552D50"/>
    <w:rsid w:val="00552DDE"/>
    <w:rsid w:val="00552EFE"/>
    <w:rsid w:val="0055344F"/>
    <w:rsid w:val="005534DB"/>
    <w:rsid w:val="00553553"/>
    <w:rsid w:val="0055362B"/>
    <w:rsid w:val="00553659"/>
    <w:rsid w:val="005536D6"/>
    <w:rsid w:val="00553821"/>
    <w:rsid w:val="00553839"/>
    <w:rsid w:val="00553A35"/>
    <w:rsid w:val="00553A79"/>
    <w:rsid w:val="00553AC2"/>
    <w:rsid w:val="00553C7C"/>
    <w:rsid w:val="00553C9B"/>
    <w:rsid w:val="00553E24"/>
    <w:rsid w:val="00553ED6"/>
    <w:rsid w:val="00553F25"/>
    <w:rsid w:val="00553F40"/>
    <w:rsid w:val="00554102"/>
    <w:rsid w:val="005546C1"/>
    <w:rsid w:val="00554746"/>
    <w:rsid w:val="005549A2"/>
    <w:rsid w:val="00554C2C"/>
    <w:rsid w:val="00554D0B"/>
    <w:rsid w:val="00554D52"/>
    <w:rsid w:val="00554DAE"/>
    <w:rsid w:val="00554F25"/>
    <w:rsid w:val="00554F2B"/>
    <w:rsid w:val="00554F99"/>
    <w:rsid w:val="00554FD1"/>
    <w:rsid w:val="0055507C"/>
    <w:rsid w:val="005550D2"/>
    <w:rsid w:val="00555119"/>
    <w:rsid w:val="00555123"/>
    <w:rsid w:val="00555133"/>
    <w:rsid w:val="0055523A"/>
    <w:rsid w:val="00555816"/>
    <w:rsid w:val="00555B97"/>
    <w:rsid w:val="00555C3C"/>
    <w:rsid w:val="00555C85"/>
    <w:rsid w:val="00555F0E"/>
    <w:rsid w:val="00555F95"/>
    <w:rsid w:val="00555FAC"/>
    <w:rsid w:val="00556230"/>
    <w:rsid w:val="0055625D"/>
    <w:rsid w:val="005563CF"/>
    <w:rsid w:val="00556B22"/>
    <w:rsid w:val="00556CDE"/>
    <w:rsid w:val="00556F9D"/>
    <w:rsid w:val="00556FA0"/>
    <w:rsid w:val="00557067"/>
    <w:rsid w:val="00557168"/>
    <w:rsid w:val="00557467"/>
    <w:rsid w:val="005575D9"/>
    <w:rsid w:val="005579DB"/>
    <w:rsid w:val="00557CB6"/>
    <w:rsid w:val="00557F75"/>
    <w:rsid w:val="00557F8C"/>
    <w:rsid w:val="00557FB0"/>
    <w:rsid w:val="0056017A"/>
    <w:rsid w:val="0056027F"/>
    <w:rsid w:val="00560325"/>
    <w:rsid w:val="0056034B"/>
    <w:rsid w:val="0056053A"/>
    <w:rsid w:val="005608E8"/>
    <w:rsid w:val="00560A20"/>
    <w:rsid w:val="00560A40"/>
    <w:rsid w:val="00560A9C"/>
    <w:rsid w:val="00560B7D"/>
    <w:rsid w:val="00560C53"/>
    <w:rsid w:val="00560DAC"/>
    <w:rsid w:val="00560FE7"/>
    <w:rsid w:val="005611EE"/>
    <w:rsid w:val="0056147B"/>
    <w:rsid w:val="0056152C"/>
    <w:rsid w:val="0056188F"/>
    <w:rsid w:val="005618B2"/>
    <w:rsid w:val="00561A00"/>
    <w:rsid w:val="00561E96"/>
    <w:rsid w:val="00562007"/>
    <w:rsid w:val="005623EC"/>
    <w:rsid w:val="005629ED"/>
    <w:rsid w:val="00562C27"/>
    <w:rsid w:val="00562D59"/>
    <w:rsid w:val="00562D73"/>
    <w:rsid w:val="00563079"/>
    <w:rsid w:val="00563154"/>
    <w:rsid w:val="005631B7"/>
    <w:rsid w:val="00563474"/>
    <w:rsid w:val="0056351A"/>
    <w:rsid w:val="005636FE"/>
    <w:rsid w:val="0056370D"/>
    <w:rsid w:val="00563A0E"/>
    <w:rsid w:val="00563B36"/>
    <w:rsid w:val="00563C59"/>
    <w:rsid w:val="00563C92"/>
    <w:rsid w:val="00563D5B"/>
    <w:rsid w:val="00563D8B"/>
    <w:rsid w:val="00563DE5"/>
    <w:rsid w:val="00563EED"/>
    <w:rsid w:val="00563FB9"/>
    <w:rsid w:val="0056405D"/>
    <w:rsid w:val="00564105"/>
    <w:rsid w:val="005641A7"/>
    <w:rsid w:val="00564395"/>
    <w:rsid w:val="005643F9"/>
    <w:rsid w:val="00564428"/>
    <w:rsid w:val="00564630"/>
    <w:rsid w:val="0056467D"/>
    <w:rsid w:val="00564767"/>
    <w:rsid w:val="00564843"/>
    <w:rsid w:val="00564861"/>
    <w:rsid w:val="00564A15"/>
    <w:rsid w:val="00564C15"/>
    <w:rsid w:val="00564D32"/>
    <w:rsid w:val="00564EE9"/>
    <w:rsid w:val="00565555"/>
    <w:rsid w:val="00565587"/>
    <w:rsid w:val="005657B5"/>
    <w:rsid w:val="00565803"/>
    <w:rsid w:val="0056582B"/>
    <w:rsid w:val="005658BC"/>
    <w:rsid w:val="005659AD"/>
    <w:rsid w:val="00565A87"/>
    <w:rsid w:val="00565C57"/>
    <w:rsid w:val="00565E19"/>
    <w:rsid w:val="00565E82"/>
    <w:rsid w:val="005663A5"/>
    <w:rsid w:val="005664F4"/>
    <w:rsid w:val="005666DE"/>
    <w:rsid w:val="005667E4"/>
    <w:rsid w:val="0056690B"/>
    <w:rsid w:val="005669CC"/>
    <w:rsid w:val="00566C2A"/>
    <w:rsid w:val="00566D92"/>
    <w:rsid w:val="00566EDB"/>
    <w:rsid w:val="005670B8"/>
    <w:rsid w:val="00567107"/>
    <w:rsid w:val="0056715B"/>
    <w:rsid w:val="005671C3"/>
    <w:rsid w:val="0056730B"/>
    <w:rsid w:val="0056761D"/>
    <w:rsid w:val="0056774A"/>
    <w:rsid w:val="005677BB"/>
    <w:rsid w:val="00567869"/>
    <w:rsid w:val="00567871"/>
    <w:rsid w:val="00567958"/>
    <w:rsid w:val="00567A32"/>
    <w:rsid w:val="00567AAE"/>
    <w:rsid w:val="00567B84"/>
    <w:rsid w:val="00567D1D"/>
    <w:rsid w:val="00567E43"/>
    <w:rsid w:val="00567E48"/>
    <w:rsid w:val="00567E52"/>
    <w:rsid w:val="00567EA4"/>
    <w:rsid w:val="00567F04"/>
    <w:rsid w:val="00570135"/>
    <w:rsid w:val="0057015D"/>
    <w:rsid w:val="005703A0"/>
    <w:rsid w:val="005703EE"/>
    <w:rsid w:val="00570417"/>
    <w:rsid w:val="005709E3"/>
    <w:rsid w:val="00570AF0"/>
    <w:rsid w:val="00570B97"/>
    <w:rsid w:val="00570E6B"/>
    <w:rsid w:val="00570E8B"/>
    <w:rsid w:val="0057117D"/>
    <w:rsid w:val="00571251"/>
    <w:rsid w:val="005713B1"/>
    <w:rsid w:val="00571417"/>
    <w:rsid w:val="0057141A"/>
    <w:rsid w:val="00571538"/>
    <w:rsid w:val="00571593"/>
    <w:rsid w:val="00571620"/>
    <w:rsid w:val="00571CA6"/>
    <w:rsid w:val="00571D57"/>
    <w:rsid w:val="00571E3C"/>
    <w:rsid w:val="00571E6C"/>
    <w:rsid w:val="00571E75"/>
    <w:rsid w:val="0057203C"/>
    <w:rsid w:val="00572161"/>
    <w:rsid w:val="0057236B"/>
    <w:rsid w:val="005725EB"/>
    <w:rsid w:val="005725EE"/>
    <w:rsid w:val="00572641"/>
    <w:rsid w:val="0057268B"/>
    <w:rsid w:val="00572A0B"/>
    <w:rsid w:val="00572B7D"/>
    <w:rsid w:val="00572C8C"/>
    <w:rsid w:val="00572FC5"/>
    <w:rsid w:val="00572FF6"/>
    <w:rsid w:val="00573169"/>
    <w:rsid w:val="00573619"/>
    <w:rsid w:val="005736D6"/>
    <w:rsid w:val="00573E18"/>
    <w:rsid w:val="00573E92"/>
    <w:rsid w:val="00573F92"/>
    <w:rsid w:val="00573FCF"/>
    <w:rsid w:val="0057431E"/>
    <w:rsid w:val="00574454"/>
    <w:rsid w:val="005744C2"/>
    <w:rsid w:val="00574571"/>
    <w:rsid w:val="0057457B"/>
    <w:rsid w:val="0057458F"/>
    <w:rsid w:val="005745B6"/>
    <w:rsid w:val="00574611"/>
    <w:rsid w:val="005746E9"/>
    <w:rsid w:val="005747B7"/>
    <w:rsid w:val="00574932"/>
    <w:rsid w:val="00574C57"/>
    <w:rsid w:val="00574D01"/>
    <w:rsid w:val="00574D66"/>
    <w:rsid w:val="00575092"/>
    <w:rsid w:val="00575099"/>
    <w:rsid w:val="0057519D"/>
    <w:rsid w:val="0057526D"/>
    <w:rsid w:val="0057537D"/>
    <w:rsid w:val="005753B6"/>
    <w:rsid w:val="00575411"/>
    <w:rsid w:val="0057564E"/>
    <w:rsid w:val="00575773"/>
    <w:rsid w:val="005757CF"/>
    <w:rsid w:val="005757EE"/>
    <w:rsid w:val="00575AA0"/>
    <w:rsid w:val="00575AEA"/>
    <w:rsid w:val="00575B44"/>
    <w:rsid w:val="00575BD3"/>
    <w:rsid w:val="00575BF9"/>
    <w:rsid w:val="00575CB0"/>
    <w:rsid w:val="00575E8D"/>
    <w:rsid w:val="0057609C"/>
    <w:rsid w:val="0057662E"/>
    <w:rsid w:val="005767AA"/>
    <w:rsid w:val="005767BA"/>
    <w:rsid w:val="005768AC"/>
    <w:rsid w:val="005768C8"/>
    <w:rsid w:val="0057693E"/>
    <w:rsid w:val="00576995"/>
    <w:rsid w:val="005769AD"/>
    <w:rsid w:val="005769D5"/>
    <w:rsid w:val="00576AA7"/>
    <w:rsid w:val="00576C8B"/>
    <w:rsid w:val="00576EDD"/>
    <w:rsid w:val="00577222"/>
    <w:rsid w:val="00577283"/>
    <w:rsid w:val="005774F4"/>
    <w:rsid w:val="0057755F"/>
    <w:rsid w:val="005775B8"/>
    <w:rsid w:val="00577621"/>
    <w:rsid w:val="005776A3"/>
    <w:rsid w:val="00577985"/>
    <w:rsid w:val="00577A12"/>
    <w:rsid w:val="00577A42"/>
    <w:rsid w:val="00577B00"/>
    <w:rsid w:val="00577B97"/>
    <w:rsid w:val="00577C07"/>
    <w:rsid w:val="00577D1B"/>
    <w:rsid w:val="0058000D"/>
    <w:rsid w:val="005803A9"/>
    <w:rsid w:val="00580561"/>
    <w:rsid w:val="00580669"/>
    <w:rsid w:val="005806CB"/>
    <w:rsid w:val="005806DD"/>
    <w:rsid w:val="005807AF"/>
    <w:rsid w:val="005809E8"/>
    <w:rsid w:val="00580D22"/>
    <w:rsid w:val="00580D4D"/>
    <w:rsid w:val="00580DA1"/>
    <w:rsid w:val="00580F02"/>
    <w:rsid w:val="00580FF2"/>
    <w:rsid w:val="00581146"/>
    <w:rsid w:val="0058129A"/>
    <w:rsid w:val="00581405"/>
    <w:rsid w:val="00581407"/>
    <w:rsid w:val="0058152E"/>
    <w:rsid w:val="005816F6"/>
    <w:rsid w:val="005818AA"/>
    <w:rsid w:val="00581942"/>
    <w:rsid w:val="00581E63"/>
    <w:rsid w:val="00581F3A"/>
    <w:rsid w:val="00582030"/>
    <w:rsid w:val="00582251"/>
    <w:rsid w:val="005822F7"/>
    <w:rsid w:val="00582638"/>
    <w:rsid w:val="00582657"/>
    <w:rsid w:val="00582677"/>
    <w:rsid w:val="00582800"/>
    <w:rsid w:val="00582A38"/>
    <w:rsid w:val="00582BB0"/>
    <w:rsid w:val="00582E06"/>
    <w:rsid w:val="00583113"/>
    <w:rsid w:val="0058364B"/>
    <w:rsid w:val="005836B5"/>
    <w:rsid w:val="005837CA"/>
    <w:rsid w:val="00583953"/>
    <w:rsid w:val="00583988"/>
    <w:rsid w:val="005839E4"/>
    <w:rsid w:val="00583A28"/>
    <w:rsid w:val="00583C38"/>
    <w:rsid w:val="00583D5A"/>
    <w:rsid w:val="00583DD8"/>
    <w:rsid w:val="00583EAA"/>
    <w:rsid w:val="00584091"/>
    <w:rsid w:val="00584178"/>
    <w:rsid w:val="00584302"/>
    <w:rsid w:val="0058480B"/>
    <w:rsid w:val="0058498C"/>
    <w:rsid w:val="00584B6B"/>
    <w:rsid w:val="00584C3C"/>
    <w:rsid w:val="00584CD7"/>
    <w:rsid w:val="00584DA6"/>
    <w:rsid w:val="00584E0C"/>
    <w:rsid w:val="00584EA7"/>
    <w:rsid w:val="00584F0B"/>
    <w:rsid w:val="0058519D"/>
    <w:rsid w:val="005851E7"/>
    <w:rsid w:val="00585473"/>
    <w:rsid w:val="005854AA"/>
    <w:rsid w:val="00585516"/>
    <w:rsid w:val="00585641"/>
    <w:rsid w:val="00585706"/>
    <w:rsid w:val="00585760"/>
    <w:rsid w:val="00585AAD"/>
    <w:rsid w:val="00585BF8"/>
    <w:rsid w:val="00585C69"/>
    <w:rsid w:val="00585CD3"/>
    <w:rsid w:val="00585D57"/>
    <w:rsid w:val="00585D78"/>
    <w:rsid w:val="00585DA1"/>
    <w:rsid w:val="00585F73"/>
    <w:rsid w:val="00585FF7"/>
    <w:rsid w:val="005861E7"/>
    <w:rsid w:val="0058628F"/>
    <w:rsid w:val="005863A1"/>
    <w:rsid w:val="00586542"/>
    <w:rsid w:val="005867AB"/>
    <w:rsid w:val="0058684C"/>
    <w:rsid w:val="0058684F"/>
    <w:rsid w:val="0058686D"/>
    <w:rsid w:val="00586A37"/>
    <w:rsid w:val="00586ACE"/>
    <w:rsid w:val="00586B9D"/>
    <w:rsid w:val="00586BB5"/>
    <w:rsid w:val="00586BD8"/>
    <w:rsid w:val="00586E3F"/>
    <w:rsid w:val="00586E80"/>
    <w:rsid w:val="00586F1B"/>
    <w:rsid w:val="00586F40"/>
    <w:rsid w:val="00587062"/>
    <w:rsid w:val="00587254"/>
    <w:rsid w:val="00587282"/>
    <w:rsid w:val="0058738C"/>
    <w:rsid w:val="005873B3"/>
    <w:rsid w:val="00587443"/>
    <w:rsid w:val="00587524"/>
    <w:rsid w:val="005877EE"/>
    <w:rsid w:val="00587B28"/>
    <w:rsid w:val="00587CB5"/>
    <w:rsid w:val="00587D49"/>
    <w:rsid w:val="00587E61"/>
    <w:rsid w:val="00587F1A"/>
    <w:rsid w:val="00587F3E"/>
    <w:rsid w:val="00587FD8"/>
    <w:rsid w:val="005902BA"/>
    <w:rsid w:val="005903FE"/>
    <w:rsid w:val="005904DB"/>
    <w:rsid w:val="00590548"/>
    <w:rsid w:val="0059063C"/>
    <w:rsid w:val="00590A8E"/>
    <w:rsid w:val="00590AC9"/>
    <w:rsid w:val="00590BCC"/>
    <w:rsid w:val="00590D1A"/>
    <w:rsid w:val="00591013"/>
    <w:rsid w:val="005910FF"/>
    <w:rsid w:val="00591203"/>
    <w:rsid w:val="0059121C"/>
    <w:rsid w:val="005912CB"/>
    <w:rsid w:val="005913F6"/>
    <w:rsid w:val="005918BA"/>
    <w:rsid w:val="00591A6D"/>
    <w:rsid w:val="00591B01"/>
    <w:rsid w:val="00591B62"/>
    <w:rsid w:val="00591BAD"/>
    <w:rsid w:val="00591D93"/>
    <w:rsid w:val="00591DA2"/>
    <w:rsid w:val="00591E0A"/>
    <w:rsid w:val="00591E47"/>
    <w:rsid w:val="00591E6C"/>
    <w:rsid w:val="00591F2B"/>
    <w:rsid w:val="00591FE1"/>
    <w:rsid w:val="00592143"/>
    <w:rsid w:val="005922EA"/>
    <w:rsid w:val="005924DE"/>
    <w:rsid w:val="00592588"/>
    <w:rsid w:val="005925EE"/>
    <w:rsid w:val="00592710"/>
    <w:rsid w:val="005927A1"/>
    <w:rsid w:val="00592939"/>
    <w:rsid w:val="00592AD4"/>
    <w:rsid w:val="00592C16"/>
    <w:rsid w:val="00592C34"/>
    <w:rsid w:val="00592D00"/>
    <w:rsid w:val="00592D4A"/>
    <w:rsid w:val="00592DDA"/>
    <w:rsid w:val="00592E14"/>
    <w:rsid w:val="00593068"/>
    <w:rsid w:val="00593179"/>
    <w:rsid w:val="00593262"/>
    <w:rsid w:val="005933BD"/>
    <w:rsid w:val="00593505"/>
    <w:rsid w:val="005935E0"/>
    <w:rsid w:val="00593703"/>
    <w:rsid w:val="00593815"/>
    <w:rsid w:val="00593B9D"/>
    <w:rsid w:val="00593F88"/>
    <w:rsid w:val="005940B2"/>
    <w:rsid w:val="005941E7"/>
    <w:rsid w:val="00594221"/>
    <w:rsid w:val="00594254"/>
    <w:rsid w:val="00594330"/>
    <w:rsid w:val="00594427"/>
    <w:rsid w:val="00594472"/>
    <w:rsid w:val="005945DB"/>
    <w:rsid w:val="00594785"/>
    <w:rsid w:val="00594790"/>
    <w:rsid w:val="0059479B"/>
    <w:rsid w:val="005947B6"/>
    <w:rsid w:val="00594C43"/>
    <w:rsid w:val="00594C7F"/>
    <w:rsid w:val="00594D6A"/>
    <w:rsid w:val="00594E24"/>
    <w:rsid w:val="00594E3C"/>
    <w:rsid w:val="00594F63"/>
    <w:rsid w:val="0059517B"/>
    <w:rsid w:val="00595407"/>
    <w:rsid w:val="00595D31"/>
    <w:rsid w:val="00595F25"/>
    <w:rsid w:val="00595F6C"/>
    <w:rsid w:val="005962D1"/>
    <w:rsid w:val="0059632A"/>
    <w:rsid w:val="00596745"/>
    <w:rsid w:val="005969AD"/>
    <w:rsid w:val="005969EE"/>
    <w:rsid w:val="005969F0"/>
    <w:rsid w:val="00596B11"/>
    <w:rsid w:val="00596B13"/>
    <w:rsid w:val="00596C78"/>
    <w:rsid w:val="00596D3E"/>
    <w:rsid w:val="00596E65"/>
    <w:rsid w:val="00597003"/>
    <w:rsid w:val="0059704E"/>
    <w:rsid w:val="00597215"/>
    <w:rsid w:val="0059738E"/>
    <w:rsid w:val="00597442"/>
    <w:rsid w:val="005974E7"/>
    <w:rsid w:val="005975F9"/>
    <w:rsid w:val="00597C49"/>
    <w:rsid w:val="00597E8E"/>
    <w:rsid w:val="00597FB7"/>
    <w:rsid w:val="005A0030"/>
    <w:rsid w:val="005A0365"/>
    <w:rsid w:val="005A048A"/>
    <w:rsid w:val="005A0540"/>
    <w:rsid w:val="005A0A32"/>
    <w:rsid w:val="005A0B0F"/>
    <w:rsid w:val="005A0BCE"/>
    <w:rsid w:val="005A0C03"/>
    <w:rsid w:val="005A0C25"/>
    <w:rsid w:val="005A0D9E"/>
    <w:rsid w:val="005A0E26"/>
    <w:rsid w:val="005A0EAA"/>
    <w:rsid w:val="005A0F5E"/>
    <w:rsid w:val="005A0FB2"/>
    <w:rsid w:val="005A0FF3"/>
    <w:rsid w:val="005A1141"/>
    <w:rsid w:val="005A12E2"/>
    <w:rsid w:val="005A14CE"/>
    <w:rsid w:val="005A162A"/>
    <w:rsid w:val="005A16C4"/>
    <w:rsid w:val="005A1801"/>
    <w:rsid w:val="005A18A9"/>
    <w:rsid w:val="005A18EE"/>
    <w:rsid w:val="005A1959"/>
    <w:rsid w:val="005A1A37"/>
    <w:rsid w:val="005A1BE9"/>
    <w:rsid w:val="005A1C4D"/>
    <w:rsid w:val="005A1C75"/>
    <w:rsid w:val="005A1C80"/>
    <w:rsid w:val="005A1DAC"/>
    <w:rsid w:val="005A2011"/>
    <w:rsid w:val="005A215C"/>
    <w:rsid w:val="005A2328"/>
    <w:rsid w:val="005A25C2"/>
    <w:rsid w:val="005A25F7"/>
    <w:rsid w:val="005A2628"/>
    <w:rsid w:val="005A27F9"/>
    <w:rsid w:val="005A2998"/>
    <w:rsid w:val="005A2A31"/>
    <w:rsid w:val="005A2D26"/>
    <w:rsid w:val="005A2D95"/>
    <w:rsid w:val="005A2F8B"/>
    <w:rsid w:val="005A3329"/>
    <w:rsid w:val="005A338D"/>
    <w:rsid w:val="005A34A7"/>
    <w:rsid w:val="005A3561"/>
    <w:rsid w:val="005A3635"/>
    <w:rsid w:val="005A3894"/>
    <w:rsid w:val="005A3977"/>
    <w:rsid w:val="005A39FF"/>
    <w:rsid w:val="005A3CED"/>
    <w:rsid w:val="005A3D1B"/>
    <w:rsid w:val="005A4173"/>
    <w:rsid w:val="005A4216"/>
    <w:rsid w:val="005A42A7"/>
    <w:rsid w:val="005A444E"/>
    <w:rsid w:val="005A4563"/>
    <w:rsid w:val="005A468F"/>
    <w:rsid w:val="005A488B"/>
    <w:rsid w:val="005A4A27"/>
    <w:rsid w:val="005A4BD8"/>
    <w:rsid w:val="005A4DC5"/>
    <w:rsid w:val="005A4E0C"/>
    <w:rsid w:val="005A4F77"/>
    <w:rsid w:val="005A51E1"/>
    <w:rsid w:val="005A5235"/>
    <w:rsid w:val="005A525D"/>
    <w:rsid w:val="005A5290"/>
    <w:rsid w:val="005A54FE"/>
    <w:rsid w:val="005A558D"/>
    <w:rsid w:val="005A5687"/>
    <w:rsid w:val="005A57A3"/>
    <w:rsid w:val="005A5C83"/>
    <w:rsid w:val="005A5E34"/>
    <w:rsid w:val="005A5E58"/>
    <w:rsid w:val="005A5F53"/>
    <w:rsid w:val="005A6011"/>
    <w:rsid w:val="005A630A"/>
    <w:rsid w:val="005A68DD"/>
    <w:rsid w:val="005A6B19"/>
    <w:rsid w:val="005A6B3C"/>
    <w:rsid w:val="005A6BB2"/>
    <w:rsid w:val="005A6C2C"/>
    <w:rsid w:val="005A6CDD"/>
    <w:rsid w:val="005A6D3E"/>
    <w:rsid w:val="005A6D90"/>
    <w:rsid w:val="005A6DB9"/>
    <w:rsid w:val="005A6E29"/>
    <w:rsid w:val="005A7163"/>
    <w:rsid w:val="005A7311"/>
    <w:rsid w:val="005A7434"/>
    <w:rsid w:val="005A74F6"/>
    <w:rsid w:val="005A7689"/>
    <w:rsid w:val="005A7784"/>
    <w:rsid w:val="005A778E"/>
    <w:rsid w:val="005A79FD"/>
    <w:rsid w:val="005A7B89"/>
    <w:rsid w:val="005A7E9C"/>
    <w:rsid w:val="005A7F98"/>
    <w:rsid w:val="005B0124"/>
    <w:rsid w:val="005B0130"/>
    <w:rsid w:val="005B023B"/>
    <w:rsid w:val="005B0281"/>
    <w:rsid w:val="005B02ED"/>
    <w:rsid w:val="005B03C5"/>
    <w:rsid w:val="005B04A3"/>
    <w:rsid w:val="005B05FD"/>
    <w:rsid w:val="005B0656"/>
    <w:rsid w:val="005B07AD"/>
    <w:rsid w:val="005B099D"/>
    <w:rsid w:val="005B0A4E"/>
    <w:rsid w:val="005B0BE3"/>
    <w:rsid w:val="005B0C95"/>
    <w:rsid w:val="005B107D"/>
    <w:rsid w:val="005B128C"/>
    <w:rsid w:val="005B1403"/>
    <w:rsid w:val="005B164E"/>
    <w:rsid w:val="005B16C7"/>
    <w:rsid w:val="005B17B8"/>
    <w:rsid w:val="005B17DF"/>
    <w:rsid w:val="005B1880"/>
    <w:rsid w:val="005B190F"/>
    <w:rsid w:val="005B1D97"/>
    <w:rsid w:val="005B1F86"/>
    <w:rsid w:val="005B2030"/>
    <w:rsid w:val="005B20E7"/>
    <w:rsid w:val="005B23B6"/>
    <w:rsid w:val="005B24D4"/>
    <w:rsid w:val="005B2596"/>
    <w:rsid w:val="005B25AC"/>
    <w:rsid w:val="005B281E"/>
    <w:rsid w:val="005B2950"/>
    <w:rsid w:val="005B2C03"/>
    <w:rsid w:val="005B2CC6"/>
    <w:rsid w:val="005B2D55"/>
    <w:rsid w:val="005B2DB6"/>
    <w:rsid w:val="005B2E69"/>
    <w:rsid w:val="005B2F5B"/>
    <w:rsid w:val="005B2FB4"/>
    <w:rsid w:val="005B3066"/>
    <w:rsid w:val="005B3557"/>
    <w:rsid w:val="005B3601"/>
    <w:rsid w:val="005B37AF"/>
    <w:rsid w:val="005B3AA9"/>
    <w:rsid w:val="005B3BDD"/>
    <w:rsid w:val="005B3CAB"/>
    <w:rsid w:val="005B3CE0"/>
    <w:rsid w:val="005B3E00"/>
    <w:rsid w:val="005B3E0F"/>
    <w:rsid w:val="005B3F93"/>
    <w:rsid w:val="005B4131"/>
    <w:rsid w:val="005B4596"/>
    <w:rsid w:val="005B45C3"/>
    <w:rsid w:val="005B4632"/>
    <w:rsid w:val="005B4691"/>
    <w:rsid w:val="005B47E0"/>
    <w:rsid w:val="005B4FBC"/>
    <w:rsid w:val="005B50B3"/>
    <w:rsid w:val="005B5187"/>
    <w:rsid w:val="005B52F0"/>
    <w:rsid w:val="005B5333"/>
    <w:rsid w:val="005B54B4"/>
    <w:rsid w:val="005B553E"/>
    <w:rsid w:val="005B5602"/>
    <w:rsid w:val="005B5657"/>
    <w:rsid w:val="005B565E"/>
    <w:rsid w:val="005B5712"/>
    <w:rsid w:val="005B5720"/>
    <w:rsid w:val="005B57E5"/>
    <w:rsid w:val="005B5AD4"/>
    <w:rsid w:val="005B5D6B"/>
    <w:rsid w:val="005B5DBD"/>
    <w:rsid w:val="005B5EFC"/>
    <w:rsid w:val="005B600E"/>
    <w:rsid w:val="005B601E"/>
    <w:rsid w:val="005B621E"/>
    <w:rsid w:val="005B64F6"/>
    <w:rsid w:val="005B6B6E"/>
    <w:rsid w:val="005B6C5E"/>
    <w:rsid w:val="005B6E5E"/>
    <w:rsid w:val="005B6FF7"/>
    <w:rsid w:val="005B714F"/>
    <w:rsid w:val="005B7210"/>
    <w:rsid w:val="005B7223"/>
    <w:rsid w:val="005B733B"/>
    <w:rsid w:val="005B744F"/>
    <w:rsid w:val="005B75A6"/>
    <w:rsid w:val="005B7742"/>
    <w:rsid w:val="005B776C"/>
    <w:rsid w:val="005B7781"/>
    <w:rsid w:val="005B7AB0"/>
    <w:rsid w:val="005B7ABB"/>
    <w:rsid w:val="005B7AC4"/>
    <w:rsid w:val="005B7AF8"/>
    <w:rsid w:val="005B7D10"/>
    <w:rsid w:val="005B7DCB"/>
    <w:rsid w:val="005C0046"/>
    <w:rsid w:val="005C031C"/>
    <w:rsid w:val="005C05A7"/>
    <w:rsid w:val="005C0BEF"/>
    <w:rsid w:val="005C0BFD"/>
    <w:rsid w:val="005C0C2B"/>
    <w:rsid w:val="005C0C2D"/>
    <w:rsid w:val="005C0CC0"/>
    <w:rsid w:val="005C0D03"/>
    <w:rsid w:val="005C0E09"/>
    <w:rsid w:val="005C0FA9"/>
    <w:rsid w:val="005C1057"/>
    <w:rsid w:val="005C10D5"/>
    <w:rsid w:val="005C11F6"/>
    <w:rsid w:val="005C139E"/>
    <w:rsid w:val="005C13EA"/>
    <w:rsid w:val="005C155E"/>
    <w:rsid w:val="005C15E5"/>
    <w:rsid w:val="005C16B5"/>
    <w:rsid w:val="005C16B6"/>
    <w:rsid w:val="005C16C6"/>
    <w:rsid w:val="005C18C0"/>
    <w:rsid w:val="005C1A4E"/>
    <w:rsid w:val="005C1AC9"/>
    <w:rsid w:val="005C1C83"/>
    <w:rsid w:val="005C1E46"/>
    <w:rsid w:val="005C1E9A"/>
    <w:rsid w:val="005C2046"/>
    <w:rsid w:val="005C21A8"/>
    <w:rsid w:val="005C21E0"/>
    <w:rsid w:val="005C21FA"/>
    <w:rsid w:val="005C2386"/>
    <w:rsid w:val="005C247A"/>
    <w:rsid w:val="005C29B2"/>
    <w:rsid w:val="005C2A0C"/>
    <w:rsid w:val="005C2A4C"/>
    <w:rsid w:val="005C2A77"/>
    <w:rsid w:val="005C2E5A"/>
    <w:rsid w:val="005C312A"/>
    <w:rsid w:val="005C32EE"/>
    <w:rsid w:val="005C341D"/>
    <w:rsid w:val="005C343D"/>
    <w:rsid w:val="005C357E"/>
    <w:rsid w:val="005C3685"/>
    <w:rsid w:val="005C36B1"/>
    <w:rsid w:val="005C38AD"/>
    <w:rsid w:val="005C3A1F"/>
    <w:rsid w:val="005C3B00"/>
    <w:rsid w:val="005C3BA4"/>
    <w:rsid w:val="005C3D0A"/>
    <w:rsid w:val="005C3D87"/>
    <w:rsid w:val="005C3F4C"/>
    <w:rsid w:val="005C3FC8"/>
    <w:rsid w:val="005C401A"/>
    <w:rsid w:val="005C40A3"/>
    <w:rsid w:val="005C4133"/>
    <w:rsid w:val="005C419A"/>
    <w:rsid w:val="005C45E3"/>
    <w:rsid w:val="005C4737"/>
    <w:rsid w:val="005C47D1"/>
    <w:rsid w:val="005C4BA3"/>
    <w:rsid w:val="005C4C76"/>
    <w:rsid w:val="005C4CF5"/>
    <w:rsid w:val="005C4DFA"/>
    <w:rsid w:val="005C50A2"/>
    <w:rsid w:val="005C5145"/>
    <w:rsid w:val="005C5259"/>
    <w:rsid w:val="005C540C"/>
    <w:rsid w:val="005C56C9"/>
    <w:rsid w:val="005C5725"/>
    <w:rsid w:val="005C58F8"/>
    <w:rsid w:val="005C5998"/>
    <w:rsid w:val="005C5E34"/>
    <w:rsid w:val="005C5E6E"/>
    <w:rsid w:val="005C604A"/>
    <w:rsid w:val="005C62F7"/>
    <w:rsid w:val="005C63B9"/>
    <w:rsid w:val="005C63EA"/>
    <w:rsid w:val="005C644C"/>
    <w:rsid w:val="005C6495"/>
    <w:rsid w:val="005C6596"/>
    <w:rsid w:val="005C6725"/>
    <w:rsid w:val="005C683D"/>
    <w:rsid w:val="005C6886"/>
    <w:rsid w:val="005C6894"/>
    <w:rsid w:val="005C6B73"/>
    <w:rsid w:val="005C6BE3"/>
    <w:rsid w:val="005C6C12"/>
    <w:rsid w:val="005C6C48"/>
    <w:rsid w:val="005C6D70"/>
    <w:rsid w:val="005C6F93"/>
    <w:rsid w:val="005C70E8"/>
    <w:rsid w:val="005C7340"/>
    <w:rsid w:val="005C737B"/>
    <w:rsid w:val="005C73D0"/>
    <w:rsid w:val="005C748B"/>
    <w:rsid w:val="005C752E"/>
    <w:rsid w:val="005C7570"/>
    <w:rsid w:val="005C75D7"/>
    <w:rsid w:val="005C76E5"/>
    <w:rsid w:val="005C7819"/>
    <w:rsid w:val="005C787D"/>
    <w:rsid w:val="005C7A3A"/>
    <w:rsid w:val="005C7A84"/>
    <w:rsid w:val="005C7B36"/>
    <w:rsid w:val="005C7D3E"/>
    <w:rsid w:val="005C7E7E"/>
    <w:rsid w:val="005C7ECA"/>
    <w:rsid w:val="005C7F60"/>
    <w:rsid w:val="005D0145"/>
    <w:rsid w:val="005D027B"/>
    <w:rsid w:val="005D046F"/>
    <w:rsid w:val="005D055E"/>
    <w:rsid w:val="005D06C8"/>
    <w:rsid w:val="005D07CE"/>
    <w:rsid w:val="005D07D2"/>
    <w:rsid w:val="005D086E"/>
    <w:rsid w:val="005D08AA"/>
    <w:rsid w:val="005D0A94"/>
    <w:rsid w:val="005D0B18"/>
    <w:rsid w:val="005D0C17"/>
    <w:rsid w:val="005D10F7"/>
    <w:rsid w:val="005D1283"/>
    <w:rsid w:val="005D12BD"/>
    <w:rsid w:val="005D156D"/>
    <w:rsid w:val="005D1584"/>
    <w:rsid w:val="005D16FC"/>
    <w:rsid w:val="005D1717"/>
    <w:rsid w:val="005D18FF"/>
    <w:rsid w:val="005D1B5A"/>
    <w:rsid w:val="005D1B61"/>
    <w:rsid w:val="005D1CFC"/>
    <w:rsid w:val="005D1D80"/>
    <w:rsid w:val="005D1D90"/>
    <w:rsid w:val="005D206B"/>
    <w:rsid w:val="005D21A2"/>
    <w:rsid w:val="005D231D"/>
    <w:rsid w:val="005D2523"/>
    <w:rsid w:val="005D257A"/>
    <w:rsid w:val="005D25E0"/>
    <w:rsid w:val="005D2622"/>
    <w:rsid w:val="005D264B"/>
    <w:rsid w:val="005D2652"/>
    <w:rsid w:val="005D272C"/>
    <w:rsid w:val="005D29BA"/>
    <w:rsid w:val="005D2AE9"/>
    <w:rsid w:val="005D2CD9"/>
    <w:rsid w:val="005D2CEF"/>
    <w:rsid w:val="005D2D78"/>
    <w:rsid w:val="005D2EA3"/>
    <w:rsid w:val="005D3057"/>
    <w:rsid w:val="005D3836"/>
    <w:rsid w:val="005D38B2"/>
    <w:rsid w:val="005D3906"/>
    <w:rsid w:val="005D3AA3"/>
    <w:rsid w:val="005D3BEC"/>
    <w:rsid w:val="005D3C9F"/>
    <w:rsid w:val="005D3D89"/>
    <w:rsid w:val="005D3DBE"/>
    <w:rsid w:val="005D3F2A"/>
    <w:rsid w:val="005D414B"/>
    <w:rsid w:val="005D42C2"/>
    <w:rsid w:val="005D4306"/>
    <w:rsid w:val="005D4856"/>
    <w:rsid w:val="005D4B1F"/>
    <w:rsid w:val="005D4B7B"/>
    <w:rsid w:val="005D4C18"/>
    <w:rsid w:val="005D4DBA"/>
    <w:rsid w:val="005D4E1B"/>
    <w:rsid w:val="005D513E"/>
    <w:rsid w:val="005D54B2"/>
    <w:rsid w:val="005D5593"/>
    <w:rsid w:val="005D577F"/>
    <w:rsid w:val="005D578E"/>
    <w:rsid w:val="005D5875"/>
    <w:rsid w:val="005D58FF"/>
    <w:rsid w:val="005D5AB6"/>
    <w:rsid w:val="005D5AFD"/>
    <w:rsid w:val="005D5E89"/>
    <w:rsid w:val="005D5EA8"/>
    <w:rsid w:val="005D60D8"/>
    <w:rsid w:val="005D61EB"/>
    <w:rsid w:val="005D6275"/>
    <w:rsid w:val="005D62BB"/>
    <w:rsid w:val="005D656A"/>
    <w:rsid w:val="005D664D"/>
    <w:rsid w:val="005D665A"/>
    <w:rsid w:val="005D68E2"/>
    <w:rsid w:val="005D69C2"/>
    <w:rsid w:val="005D6AFE"/>
    <w:rsid w:val="005D6DCE"/>
    <w:rsid w:val="005D711D"/>
    <w:rsid w:val="005D7219"/>
    <w:rsid w:val="005D742A"/>
    <w:rsid w:val="005D7432"/>
    <w:rsid w:val="005D76B3"/>
    <w:rsid w:val="005D77D1"/>
    <w:rsid w:val="005D7823"/>
    <w:rsid w:val="005D78B8"/>
    <w:rsid w:val="005D78D1"/>
    <w:rsid w:val="005D7909"/>
    <w:rsid w:val="005D7A30"/>
    <w:rsid w:val="005D7CA6"/>
    <w:rsid w:val="005D7D81"/>
    <w:rsid w:val="005D7E06"/>
    <w:rsid w:val="005D7EAE"/>
    <w:rsid w:val="005E004D"/>
    <w:rsid w:val="005E0131"/>
    <w:rsid w:val="005E0146"/>
    <w:rsid w:val="005E0213"/>
    <w:rsid w:val="005E03E8"/>
    <w:rsid w:val="005E041C"/>
    <w:rsid w:val="005E04D2"/>
    <w:rsid w:val="005E06E9"/>
    <w:rsid w:val="005E06F8"/>
    <w:rsid w:val="005E075B"/>
    <w:rsid w:val="005E077F"/>
    <w:rsid w:val="005E07A4"/>
    <w:rsid w:val="005E081E"/>
    <w:rsid w:val="005E0857"/>
    <w:rsid w:val="005E0CD5"/>
    <w:rsid w:val="005E0D8E"/>
    <w:rsid w:val="005E0E34"/>
    <w:rsid w:val="005E1093"/>
    <w:rsid w:val="005E14CA"/>
    <w:rsid w:val="005E1510"/>
    <w:rsid w:val="005E1623"/>
    <w:rsid w:val="005E16B5"/>
    <w:rsid w:val="005E179A"/>
    <w:rsid w:val="005E197B"/>
    <w:rsid w:val="005E1A4D"/>
    <w:rsid w:val="005E1CE6"/>
    <w:rsid w:val="005E21A6"/>
    <w:rsid w:val="005E2213"/>
    <w:rsid w:val="005E2248"/>
    <w:rsid w:val="005E225B"/>
    <w:rsid w:val="005E26E1"/>
    <w:rsid w:val="005E26FB"/>
    <w:rsid w:val="005E277A"/>
    <w:rsid w:val="005E287E"/>
    <w:rsid w:val="005E2B80"/>
    <w:rsid w:val="005E2BA9"/>
    <w:rsid w:val="005E2BE7"/>
    <w:rsid w:val="005E2DBA"/>
    <w:rsid w:val="005E2E86"/>
    <w:rsid w:val="005E2EC8"/>
    <w:rsid w:val="005E3024"/>
    <w:rsid w:val="005E3364"/>
    <w:rsid w:val="005E3492"/>
    <w:rsid w:val="005E34FE"/>
    <w:rsid w:val="005E35ED"/>
    <w:rsid w:val="005E393F"/>
    <w:rsid w:val="005E3B3E"/>
    <w:rsid w:val="005E3C89"/>
    <w:rsid w:val="005E3CF4"/>
    <w:rsid w:val="005E3DF5"/>
    <w:rsid w:val="005E3E3E"/>
    <w:rsid w:val="005E3EBD"/>
    <w:rsid w:val="005E3F31"/>
    <w:rsid w:val="005E3F6C"/>
    <w:rsid w:val="005E42E1"/>
    <w:rsid w:val="005E43A9"/>
    <w:rsid w:val="005E46E5"/>
    <w:rsid w:val="005E4796"/>
    <w:rsid w:val="005E4970"/>
    <w:rsid w:val="005E4A1B"/>
    <w:rsid w:val="005E4B8F"/>
    <w:rsid w:val="005E4C22"/>
    <w:rsid w:val="005E4D97"/>
    <w:rsid w:val="005E4DF6"/>
    <w:rsid w:val="005E4E92"/>
    <w:rsid w:val="005E5097"/>
    <w:rsid w:val="005E5112"/>
    <w:rsid w:val="005E5135"/>
    <w:rsid w:val="005E5193"/>
    <w:rsid w:val="005E528A"/>
    <w:rsid w:val="005E533D"/>
    <w:rsid w:val="005E542F"/>
    <w:rsid w:val="005E544D"/>
    <w:rsid w:val="005E54F1"/>
    <w:rsid w:val="005E5606"/>
    <w:rsid w:val="005E56C2"/>
    <w:rsid w:val="005E57A4"/>
    <w:rsid w:val="005E59AD"/>
    <w:rsid w:val="005E5BD3"/>
    <w:rsid w:val="005E5DF3"/>
    <w:rsid w:val="005E5E50"/>
    <w:rsid w:val="005E5E78"/>
    <w:rsid w:val="005E5E98"/>
    <w:rsid w:val="005E60F7"/>
    <w:rsid w:val="005E6102"/>
    <w:rsid w:val="005E617D"/>
    <w:rsid w:val="005E6489"/>
    <w:rsid w:val="005E6717"/>
    <w:rsid w:val="005E67A7"/>
    <w:rsid w:val="005E6A8B"/>
    <w:rsid w:val="005E6AC3"/>
    <w:rsid w:val="005E6C37"/>
    <w:rsid w:val="005E6CA0"/>
    <w:rsid w:val="005E6D37"/>
    <w:rsid w:val="005E7037"/>
    <w:rsid w:val="005E729F"/>
    <w:rsid w:val="005E7428"/>
    <w:rsid w:val="005E74FC"/>
    <w:rsid w:val="005E7525"/>
    <w:rsid w:val="005E7A51"/>
    <w:rsid w:val="005E7F02"/>
    <w:rsid w:val="005E7FBD"/>
    <w:rsid w:val="005F011F"/>
    <w:rsid w:val="005F05A4"/>
    <w:rsid w:val="005F05EA"/>
    <w:rsid w:val="005F0643"/>
    <w:rsid w:val="005F0712"/>
    <w:rsid w:val="005F0746"/>
    <w:rsid w:val="005F07BA"/>
    <w:rsid w:val="005F07D7"/>
    <w:rsid w:val="005F07E8"/>
    <w:rsid w:val="005F0921"/>
    <w:rsid w:val="005F095F"/>
    <w:rsid w:val="005F097F"/>
    <w:rsid w:val="005F0B44"/>
    <w:rsid w:val="005F0CE1"/>
    <w:rsid w:val="005F0D4D"/>
    <w:rsid w:val="005F0F8F"/>
    <w:rsid w:val="005F1323"/>
    <w:rsid w:val="005F141F"/>
    <w:rsid w:val="005F1428"/>
    <w:rsid w:val="005F175E"/>
    <w:rsid w:val="005F17EE"/>
    <w:rsid w:val="005F1997"/>
    <w:rsid w:val="005F1BE7"/>
    <w:rsid w:val="005F1BEF"/>
    <w:rsid w:val="005F1D33"/>
    <w:rsid w:val="005F2130"/>
    <w:rsid w:val="005F21A9"/>
    <w:rsid w:val="005F21CE"/>
    <w:rsid w:val="005F2280"/>
    <w:rsid w:val="005F2325"/>
    <w:rsid w:val="005F23AA"/>
    <w:rsid w:val="005F23BF"/>
    <w:rsid w:val="005F2743"/>
    <w:rsid w:val="005F275A"/>
    <w:rsid w:val="005F27F8"/>
    <w:rsid w:val="005F2939"/>
    <w:rsid w:val="005F2969"/>
    <w:rsid w:val="005F2B5A"/>
    <w:rsid w:val="005F2D7C"/>
    <w:rsid w:val="005F2F9F"/>
    <w:rsid w:val="005F32E6"/>
    <w:rsid w:val="005F3410"/>
    <w:rsid w:val="005F341A"/>
    <w:rsid w:val="005F341F"/>
    <w:rsid w:val="005F34C5"/>
    <w:rsid w:val="005F3A5E"/>
    <w:rsid w:val="005F3AC1"/>
    <w:rsid w:val="005F4032"/>
    <w:rsid w:val="005F40B2"/>
    <w:rsid w:val="005F40BE"/>
    <w:rsid w:val="005F428A"/>
    <w:rsid w:val="005F4409"/>
    <w:rsid w:val="005F442B"/>
    <w:rsid w:val="005F44D5"/>
    <w:rsid w:val="005F44EE"/>
    <w:rsid w:val="005F455E"/>
    <w:rsid w:val="005F458A"/>
    <w:rsid w:val="005F45EE"/>
    <w:rsid w:val="005F480C"/>
    <w:rsid w:val="005F49E1"/>
    <w:rsid w:val="005F4D74"/>
    <w:rsid w:val="005F4FC0"/>
    <w:rsid w:val="005F50BC"/>
    <w:rsid w:val="005F51B6"/>
    <w:rsid w:val="005F5301"/>
    <w:rsid w:val="005F5477"/>
    <w:rsid w:val="005F5595"/>
    <w:rsid w:val="005F57F0"/>
    <w:rsid w:val="005F583E"/>
    <w:rsid w:val="005F588F"/>
    <w:rsid w:val="005F590D"/>
    <w:rsid w:val="005F5CFF"/>
    <w:rsid w:val="005F5D78"/>
    <w:rsid w:val="005F5F33"/>
    <w:rsid w:val="005F6128"/>
    <w:rsid w:val="005F6232"/>
    <w:rsid w:val="005F6324"/>
    <w:rsid w:val="005F6485"/>
    <w:rsid w:val="005F6513"/>
    <w:rsid w:val="005F6580"/>
    <w:rsid w:val="005F6600"/>
    <w:rsid w:val="005F668E"/>
    <w:rsid w:val="005F6699"/>
    <w:rsid w:val="005F6723"/>
    <w:rsid w:val="005F6AD8"/>
    <w:rsid w:val="005F6B4B"/>
    <w:rsid w:val="005F6BC8"/>
    <w:rsid w:val="005F6BD5"/>
    <w:rsid w:val="005F6D26"/>
    <w:rsid w:val="005F7013"/>
    <w:rsid w:val="005F703C"/>
    <w:rsid w:val="005F7177"/>
    <w:rsid w:val="005F73C1"/>
    <w:rsid w:val="005F77C4"/>
    <w:rsid w:val="005F785C"/>
    <w:rsid w:val="005F7999"/>
    <w:rsid w:val="005F7A26"/>
    <w:rsid w:val="005F7E98"/>
    <w:rsid w:val="00600015"/>
    <w:rsid w:val="006000C8"/>
    <w:rsid w:val="0060012B"/>
    <w:rsid w:val="00600262"/>
    <w:rsid w:val="0060038E"/>
    <w:rsid w:val="006003FD"/>
    <w:rsid w:val="006004B9"/>
    <w:rsid w:val="006005E1"/>
    <w:rsid w:val="006007AF"/>
    <w:rsid w:val="00600A6C"/>
    <w:rsid w:val="00600AC2"/>
    <w:rsid w:val="00600B2A"/>
    <w:rsid w:val="00600D0C"/>
    <w:rsid w:val="00600E99"/>
    <w:rsid w:val="00601098"/>
    <w:rsid w:val="006011E2"/>
    <w:rsid w:val="006012B7"/>
    <w:rsid w:val="00601360"/>
    <w:rsid w:val="006019CB"/>
    <w:rsid w:val="006019D2"/>
    <w:rsid w:val="00601B7F"/>
    <w:rsid w:val="00601DAB"/>
    <w:rsid w:val="00601F1B"/>
    <w:rsid w:val="00601F46"/>
    <w:rsid w:val="0060215D"/>
    <w:rsid w:val="006022FB"/>
    <w:rsid w:val="00602555"/>
    <w:rsid w:val="006025B9"/>
    <w:rsid w:val="0060261F"/>
    <w:rsid w:val="006027FE"/>
    <w:rsid w:val="0060297F"/>
    <w:rsid w:val="00602A51"/>
    <w:rsid w:val="00602B19"/>
    <w:rsid w:val="00602C52"/>
    <w:rsid w:val="00602CCC"/>
    <w:rsid w:val="00602D8E"/>
    <w:rsid w:val="00602E15"/>
    <w:rsid w:val="00602FFB"/>
    <w:rsid w:val="006035E9"/>
    <w:rsid w:val="006036AA"/>
    <w:rsid w:val="006036E5"/>
    <w:rsid w:val="00603763"/>
    <w:rsid w:val="00603817"/>
    <w:rsid w:val="00603BE5"/>
    <w:rsid w:val="00603D9E"/>
    <w:rsid w:val="00603F8D"/>
    <w:rsid w:val="00604040"/>
    <w:rsid w:val="00604133"/>
    <w:rsid w:val="0060434C"/>
    <w:rsid w:val="006044E3"/>
    <w:rsid w:val="00604506"/>
    <w:rsid w:val="006049AC"/>
    <w:rsid w:val="00604AF5"/>
    <w:rsid w:val="00604B75"/>
    <w:rsid w:val="00604DB1"/>
    <w:rsid w:val="00604ECA"/>
    <w:rsid w:val="00604F99"/>
    <w:rsid w:val="00604FEC"/>
    <w:rsid w:val="006050CD"/>
    <w:rsid w:val="00605147"/>
    <w:rsid w:val="00605165"/>
    <w:rsid w:val="0060526D"/>
    <w:rsid w:val="0060555D"/>
    <w:rsid w:val="00605560"/>
    <w:rsid w:val="006055D8"/>
    <w:rsid w:val="00605830"/>
    <w:rsid w:val="0060588A"/>
    <w:rsid w:val="0060596E"/>
    <w:rsid w:val="00605988"/>
    <w:rsid w:val="006059DF"/>
    <w:rsid w:val="00605A69"/>
    <w:rsid w:val="00605A8D"/>
    <w:rsid w:val="00605B4E"/>
    <w:rsid w:val="00605C76"/>
    <w:rsid w:val="00605D03"/>
    <w:rsid w:val="00605E5C"/>
    <w:rsid w:val="00605EB2"/>
    <w:rsid w:val="00605ED2"/>
    <w:rsid w:val="00605FFC"/>
    <w:rsid w:val="00606211"/>
    <w:rsid w:val="00606566"/>
    <w:rsid w:val="0060665A"/>
    <w:rsid w:val="00606932"/>
    <w:rsid w:val="006069C7"/>
    <w:rsid w:val="00606AE8"/>
    <w:rsid w:val="00606AFA"/>
    <w:rsid w:val="00606B24"/>
    <w:rsid w:val="00606C73"/>
    <w:rsid w:val="00606CDC"/>
    <w:rsid w:val="00606E08"/>
    <w:rsid w:val="00606EC9"/>
    <w:rsid w:val="00606F95"/>
    <w:rsid w:val="00607039"/>
    <w:rsid w:val="0060704B"/>
    <w:rsid w:val="00607097"/>
    <w:rsid w:val="00607140"/>
    <w:rsid w:val="006073D8"/>
    <w:rsid w:val="00607402"/>
    <w:rsid w:val="00607427"/>
    <w:rsid w:val="006075C4"/>
    <w:rsid w:val="006076FC"/>
    <w:rsid w:val="0060785A"/>
    <w:rsid w:val="00607F18"/>
    <w:rsid w:val="00607F28"/>
    <w:rsid w:val="00607F83"/>
    <w:rsid w:val="006100CF"/>
    <w:rsid w:val="006103DB"/>
    <w:rsid w:val="006104AA"/>
    <w:rsid w:val="00610696"/>
    <w:rsid w:val="0061072F"/>
    <w:rsid w:val="0061077B"/>
    <w:rsid w:val="006107B3"/>
    <w:rsid w:val="0061083C"/>
    <w:rsid w:val="006108B6"/>
    <w:rsid w:val="00610968"/>
    <w:rsid w:val="00610A79"/>
    <w:rsid w:val="00610ADB"/>
    <w:rsid w:val="00610B80"/>
    <w:rsid w:val="00610CF7"/>
    <w:rsid w:val="00610D6D"/>
    <w:rsid w:val="00610D83"/>
    <w:rsid w:val="00611182"/>
    <w:rsid w:val="00611192"/>
    <w:rsid w:val="006111E7"/>
    <w:rsid w:val="006113A5"/>
    <w:rsid w:val="006114AA"/>
    <w:rsid w:val="0061154C"/>
    <w:rsid w:val="00611790"/>
    <w:rsid w:val="00611951"/>
    <w:rsid w:val="006119EB"/>
    <w:rsid w:val="00611FAA"/>
    <w:rsid w:val="0061200D"/>
    <w:rsid w:val="00612125"/>
    <w:rsid w:val="00612140"/>
    <w:rsid w:val="006122F0"/>
    <w:rsid w:val="0061262E"/>
    <w:rsid w:val="0061278E"/>
    <w:rsid w:val="00612AA5"/>
    <w:rsid w:val="00612C8C"/>
    <w:rsid w:val="00612CAB"/>
    <w:rsid w:val="00612DAC"/>
    <w:rsid w:val="00612F9C"/>
    <w:rsid w:val="0061310B"/>
    <w:rsid w:val="0061310F"/>
    <w:rsid w:val="00613245"/>
    <w:rsid w:val="00613305"/>
    <w:rsid w:val="00613330"/>
    <w:rsid w:val="006133E0"/>
    <w:rsid w:val="006134EC"/>
    <w:rsid w:val="00613654"/>
    <w:rsid w:val="0061376F"/>
    <w:rsid w:val="006137B5"/>
    <w:rsid w:val="006138A3"/>
    <w:rsid w:val="00613965"/>
    <w:rsid w:val="00613A0B"/>
    <w:rsid w:val="00613C26"/>
    <w:rsid w:val="00613F14"/>
    <w:rsid w:val="00614156"/>
    <w:rsid w:val="006141E3"/>
    <w:rsid w:val="00614352"/>
    <w:rsid w:val="00614479"/>
    <w:rsid w:val="00614510"/>
    <w:rsid w:val="00614613"/>
    <w:rsid w:val="00614635"/>
    <w:rsid w:val="00614703"/>
    <w:rsid w:val="006148A2"/>
    <w:rsid w:val="006148ED"/>
    <w:rsid w:val="00614904"/>
    <w:rsid w:val="00614A71"/>
    <w:rsid w:val="00614C08"/>
    <w:rsid w:val="00615049"/>
    <w:rsid w:val="006150DB"/>
    <w:rsid w:val="006150F4"/>
    <w:rsid w:val="00615142"/>
    <w:rsid w:val="00615144"/>
    <w:rsid w:val="00615146"/>
    <w:rsid w:val="0061515B"/>
    <w:rsid w:val="00615173"/>
    <w:rsid w:val="00615537"/>
    <w:rsid w:val="00615638"/>
    <w:rsid w:val="00615A03"/>
    <w:rsid w:val="00615C47"/>
    <w:rsid w:val="00615D36"/>
    <w:rsid w:val="00615D4C"/>
    <w:rsid w:val="00615E8A"/>
    <w:rsid w:val="00615E94"/>
    <w:rsid w:val="00615F3D"/>
    <w:rsid w:val="006160B9"/>
    <w:rsid w:val="006160C1"/>
    <w:rsid w:val="0061623D"/>
    <w:rsid w:val="006162E8"/>
    <w:rsid w:val="00616327"/>
    <w:rsid w:val="00616342"/>
    <w:rsid w:val="006163FA"/>
    <w:rsid w:val="0061675C"/>
    <w:rsid w:val="0061692A"/>
    <w:rsid w:val="006169A8"/>
    <w:rsid w:val="00616BF9"/>
    <w:rsid w:val="00616DB2"/>
    <w:rsid w:val="00616F1D"/>
    <w:rsid w:val="006170F4"/>
    <w:rsid w:val="0061712A"/>
    <w:rsid w:val="00617434"/>
    <w:rsid w:val="0061775F"/>
    <w:rsid w:val="006177A4"/>
    <w:rsid w:val="006179B0"/>
    <w:rsid w:val="00617AC7"/>
    <w:rsid w:val="00617B48"/>
    <w:rsid w:val="00617BE1"/>
    <w:rsid w:val="00617C6E"/>
    <w:rsid w:val="00617DFD"/>
    <w:rsid w:val="00617F0D"/>
    <w:rsid w:val="00617F70"/>
    <w:rsid w:val="00620196"/>
    <w:rsid w:val="006201C3"/>
    <w:rsid w:val="00620251"/>
    <w:rsid w:val="006202C4"/>
    <w:rsid w:val="00620446"/>
    <w:rsid w:val="00620513"/>
    <w:rsid w:val="0062063E"/>
    <w:rsid w:val="006206BF"/>
    <w:rsid w:val="006207EC"/>
    <w:rsid w:val="00620896"/>
    <w:rsid w:val="006209FF"/>
    <w:rsid w:val="00620A17"/>
    <w:rsid w:val="00620A68"/>
    <w:rsid w:val="00620C15"/>
    <w:rsid w:val="00620E2F"/>
    <w:rsid w:val="00621252"/>
    <w:rsid w:val="006212AA"/>
    <w:rsid w:val="0062158B"/>
    <w:rsid w:val="00621657"/>
    <w:rsid w:val="00621862"/>
    <w:rsid w:val="00621BA7"/>
    <w:rsid w:val="00621C23"/>
    <w:rsid w:val="00621C96"/>
    <w:rsid w:val="00621D9C"/>
    <w:rsid w:val="00622118"/>
    <w:rsid w:val="0062230A"/>
    <w:rsid w:val="00622537"/>
    <w:rsid w:val="006225D4"/>
    <w:rsid w:val="006227FA"/>
    <w:rsid w:val="006228DB"/>
    <w:rsid w:val="00622919"/>
    <w:rsid w:val="00622958"/>
    <w:rsid w:val="006229AA"/>
    <w:rsid w:val="00622AD0"/>
    <w:rsid w:val="00622B6F"/>
    <w:rsid w:val="00622E06"/>
    <w:rsid w:val="00622F47"/>
    <w:rsid w:val="00622FED"/>
    <w:rsid w:val="00623044"/>
    <w:rsid w:val="0062327A"/>
    <w:rsid w:val="00623299"/>
    <w:rsid w:val="0062358F"/>
    <w:rsid w:val="006235FA"/>
    <w:rsid w:val="006236C4"/>
    <w:rsid w:val="006237B3"/>
    <w:rsid w:val="006238AE"/>
    <w:rsid w:val="00623AD9"/>
    <w:rsid w:val="00623B1E"/>
    <w:rsid w:val="00623B58"/>
    <w:rsid w:val="00623B5F"/>
    <w:rsid w:val="00623BFA"/>
    <w:rsid w:val="00623EC9"/>
    <w:rsid w:val="006241C4"/>
    <w:rsid w:val="00624525"/>
    <w:rsid w:val="0062463F"/>
    <w:rsid w:val="00624755"/>
    <w:rsid w:val="006247FE"/>
    <w:rsid w:val="0062486A"/>
    <w:rsid w:val="006249D5"/>
    <w:rsid w:val="006249EC"/>
    <w:rsid w:val="00624A62"/>
    <w:rsid w:val="00624A8A"/>
    <w:rsid w:val="00624A95"/>
    <w:rsid w:val="00624A9C"/>
    <w:rsid w:val="00624AD1"/>
    <w:rsid w:val="00624B15"/>
    <w:rsid w:val="00624B4D"/>
    <w:rsid w:val="00624C66"/>
    <w:rsid w:val="00624E32"/>
    <w:rsid w:val="00624F90"/>
    <w:rsid w:val="00624FE5"/>
    <w:rsid w:val="00625106"/>
    <w:rsid w:val="006251D2"/>
    <w:rsid w:val="00625285"/>
    <w:rsid w:val="006252FB"/>
    <w:rsid w:val="00625407"/>
    <w:rsid w:val="00625422"/>
    <w:rsid w:val="00625493"/>
    <w:rsid w:val="0062558C"/>
    <w:rsid w:val="006255FD"/>
    <w:rsid w:val="0062560E"/>
    <w:rsid w:val="00625B2D"/>
    <w:rsid w:val="00625BBA"/>
    <w:rsid w:val="00625C92"/>
    <w:rsid w:val="00625C93"/>
    <w:rsid w:val="00625CD8"/>
    <w:rsid w:val="00625D7E"/>
    <w:rsid w:val="00625E94"/>
    <w:rsid w:val="00625F70"/>
    <w:rsid w:val="00625FAF"/>
    <w:rsid w:val="00626203"/>
    <w:rsid w:val="00626479"/>
    <w:rsid w:val="0062651F"/>
    <w:rsid w:val="0062659B"/>
    <w:rsid w:val="0062682B"/>
    <w:rsid w:val="00626833"/>
    <w:rsid w:val="00626A91"/>
    <w:rsid w:val="00626FDB"/>
    <w:rsid w:val="00627455"/>
    <w:rsid w:val="00627537"/>
    <w:rsid w:val="00627549"/>
    <w:rsid w:val="0062788A"/>
    <w:rsid w:val="00627BAD"/>
    <w:rsid w:val="00627C44"/>
    <w:rsid w:val="00627C58"/>
    <w:rsid w:val="00627C73"/>
    <w:rsid w:val="00627CED"/>
    <w:rsid w:val="00627D5F"/>
    <w:rsid w:val="00627DDC"/>
    <w:rsid w:val="00627E59"/>
    <w:rsid w:val="00627EAA"/>
    <w:rsid w:val="00627EEF"/>
    <w:rsid w:val="006300EE"/>
    <w:rsid w:val="00630132"/>
    <w:rsid w:val="0063016B"/>
    <w:rsid w:val="0063018C"/>
    <w:rsid w:val="00630193"/>
    <w:rsid w:val="006304DE"/>
    <w:rsid w:val="006307D9"/>
    <w:rsid w:val="006309F2"/>
    <w:rsid w:val="00630A71"/>
    <w:rsid w:val="00630B42"/>
    <w:rsid w:val="00630C97"/>
    <w:rsid w:val="00630D69"/>
    <w:rsid w:val="00630DE6"/>
    <w:rsid w:val="00630E1C"/>
    <w:rsid w:val="00630EB0"/>
    <w:rsid w:val="00630EC5"/>
    <w:rsid w:val="00630F1D"/>
    <w:rsid w:val="0063112B"/>
    <w:rsid w:val="00631213"/>
    <w:rsid w:val="0063121E"/>
    <w:rsid w:val="006313E8"/>
    <w:rsid w:val="00631547"/>
    <w:rsid w:val="00631568"/>
    <w:rsid w:val="006315AE"/>
    <w:rsid w:val="006317FA"/>
    <w:rsid w:val="0063196B"/>
    <w:rsid w:val="0063196D"/>
    <w:rsid w:val="00631A4D"/>
    <w:rsid w:val="00631B88"/>
    <w:rsid w:val="00631C00"/>
    <w:rsid w:val="00631D6F"/>
    <w:rsid w:val="00631DB1"/>
    <w:rsid w:val="00632057"/>
    <w:rsid w:val="006320A8"/>
    <w:rsid w:val="006321EE"/>
    <w:rsid w:val="006322C2"/>
    <w:rsid w:val="0063231A"/>
    <w:rsid w:val="0063234C"/>
    <w:rsid w:val="00632449"/>
    <w:rsid w:val="00632450"/>
    <w:rsid w:val="00632456"/>
    <w:rsid w:val="006326CE"/>
    <w:rsid w:val="00632737"/>
    <w:rsid w:val="00632743"/>
    <w:rsid w:val="006328F9"/>
    <w:rsid w:val="00632969"/>
    <w:rsid w:val="00632B9D"/>
    <w:rsid w:val="00632CB3"/>
    <w:rsid w:val="00632F1A"/>
    <w:rsid w:val="00632FDB"/>
    <w:rsid w:val="00633123"/>
    <w:rsid w:val="0063312A"/>
    <w:rsid w:val="00633250"/>
    <w:rsid w:val="00633380"/>
    <w:rsid w:val="006333A4"/>
    <w:rsid w:val="00633498"/>
    <w:rsid w:val="0063367D"/>
    <w:rsid w:val="006336E9"/>
    <w:rsid w:val="00633920"/>
    <w:rsid w:val="00633999"/>
    <w:rsid w:val="00633A20"/>
    <w:rsid w:val="00633C24"/>
    <w:rsid w:val="00633E26"/>
    <w:rsid w:val="00633F8F"/>
    <w:rsid w:val="00633FCD"/>
    <w:rsid w:val="00634050"/>
    <w:rsid w:val="00634254"/>
    <w:rsid w:val="00634404"/>
    <w:rsid w:val="00634451"/>
    <w:rsid w:val="00634514"/>
    <w:rsid w:val="0063453D"/>
    <w:rsid w:val="0063465C"/>
    <w:rsid w:val="006346D0"/>
    <w:rsid w:val="006347B7"/>
    <w:rsid w:val="006348C7"/>
    <w:rsid w:val="0063493B"/>
    <w:rsid w:val="00634B49"/>
    <w:rsid w:val="00634C65"/>
    <w:rsid w:val="00634ED2"/>
    <w:rsid w:val="00635386"/>
    <w:rsid w:val="00635462"/>
    <w:rsid w:val="006355B4"/>
    <w:rsid w:val="00635600"/>
    <w:rsid w:val="00635612"/>
    <w:rsid w:val="00635641"/>
    <w:rsid w:val="006356B3"/>
    <w:rsid w:val="0063570B"/>
    <w:rsid w:val="0063570E"/>
    <w:rsid w:val="0063575C"/>
    <w:rsid w:val="00635B7A"/>
    <w:rsid w:val="00635BCE"/>
    <w:rsid w:val="00635CDB"/>
    <w:rsid w:val="00635D5C"/>
    <w:rsid w:val="00635EF2"/>
    <w:rsid w:val="00635F00"/>
    <w:rsid w:val="006361D1"/>
    <w:rsid w:val="00636258"/>
    <w:rsid w:val="00636320"/>
    <w:rsid w:val="00636670"/>
    <w:rsid w:val="00636721"/>
    <w:rsid w:val="00636A84"/>
    <w:rsid w:val="00636B37"/>
    <w:rsid w:val="00636BEC"/>
    <w:rsid w:val="00636C86"/>
    <w:rsid w:val="00636DDA"/>
    <w:rsid w:val="00636E04"/>
    <w:rsid w:val="0063708C"/>
    <w:rsid w:val="00637129"/>
    <w:rsid w:val="006371E8"/>
    <w:rsid w:val="0063721A"/>
    <w:rsid w:val="006374A5"/>
    <w:rsid w:val="006374F3"/>
    <w:rsid w:val="00637599"/>
    <w:rsid w:val="00637793"/>
    <w:rsid w:val="006377AB"/>
    <w:rsid w:val="00637800"/>
    <w:rsid w:val="00637989"/>
    <w:rsid w:val="00637ACB"/>
    <w:rsid w:val="00637B4C"/>
    <w:rsid w:val="00637DAC"/>
    <w:rsid w:val="00637DF0"/>
    <w:rsid w:val="00637F97"/>
    <w:rsid w:val="00637FDA"/>
    <w:rsid w:val="00637FF6"/>
    <w:rsid w:val="0064001E"/>
    <w:rsid w:val="00640085"/>
    <w:rsid w:val="006401A0"/>
    <w:rsid w:val="0064035C"/>
    <w:rsid w:val="00640477"/>
    <w:rsid w:val="006404DF"/>
    <w:rsid w:val="00640606"/>
    <w:rsid w:val="0064065F"/>
    <w:rsid w:val="006406B6"/>
    <w:rsid w:val="006407D6"/>
    <w:rsid w:val="006408B7"/>
    <w:rsid w:val="00640A1B"/>
    <w:rsid w:val="00640A40"/>
    <w:rsid w:val="00640F12"/>
    <w:rsid w:val="0064121C"/>
    <w:rsid w:val="00641303"/>
    <w:rsid w:val="00641455"/>
    <w:rsid w:val="00641567"/>
    <w:rsid w:val="006416BB"/>
    <w:rsid w:val="00641757"/>
    <w:rsid w:val="0064181B"/>
    <w:rsid w:val="00641C9A"/>
    <w:rsid w:val="00641CA9"/>
    <w:rsid w:val="00641CCC"/>
    <w:rsid w:val="00641CF4"/>
    <w:rsid w:val="00641DE7"/>
    <w:rsid w:val="00642324"/>
    <w:rsid w:val="00642449"/>
    <w:rsid w:val="00642462"/>
    <w:rsid w:val="0064246E"/>
    <w:rsid w:val="0064252A"/>
    <w:rsid w:val="00642713"/>
    <w:rsid w:val="00642742"/>
    <w:rsid w:val="0064276F"/>
    <w:rsid w:val="00642814"/>
    <w:rsid w:val="00642913"/>
    <w:rsid w:val="00642965"/>
    <w:rsid w:val="0064296F"/>
    <w:rsid w:val="00642A5E"/>
    <w:rsid w:val="00642ABA"/>
    <w:rsid w:val="00642AF5"/>
    <w:rsid w:val="00642AFC"/>
    <w:rsid w:val="00642C9F"/>
    <w:rsid w:val="00642D50"/>
    <w:rsid w:val="00642DFF"/>
    <w:rsid w:val="00642E93"/>
    <w:rsid w:val="00642ECC"/>
    <w:rsid w:val="00642EDD"/>
    <w:rsid w:val="0064300A"/>
    <w:rsid w:val="006435FA"/>
    <w:rsid w:val="00643614"/>
    <w:rsid w:val="00643723"/>
    <w:rsid w:val="00643743"/>
    <w:rsid w:val="0064392E"/>
    <w:rsid w:val="006439E7"/>
    <w:rsid w:val="00643C24"/>
    <w:rsid w:val="00643D14"/>
    <w:rsid w:val="00643E63"/>
    <w:rsid w:val="00643F7B"/>
    <w:rsid w:val="006444D0"/>
    <w:rsid w:val="00644529"/>
    <w:rsid w:val="00644679"/>
    <w:rsid w:val="00644699"/>
    <w:rsid w:val="006446D9"/>
    <w:rsid w:val="0064471B"/>
    <w:rsid w:val="00644AF8"/>
    <w:rsid w:val="00644DEE"/>
    <w:rsid w:val="00644E48"/>
    <w:rsid w:val="00645062"/>
    <w:rsid w:val="006451CD"/>
    <w:rsid w:val="0064529B"/>
    <w:rsid w:val="006456EF"/>
    <w:rsid w:val="00645738"/>
    <w:rsid w:val="00645834"/>
    <w:rsid w:val="00645AF9"/>
    <w:rsid w:val="00645B90"/>
    <w:rsid w:val="00645F89"/>
    <w:rsid w:val="006460FB"/>
    <w:rsid w:val="00646101"/>
    <w:rsid w:val="00646132"/>
    <w:rsid w:val="00646380"/>
    <w:rsid w:val="00646395"/>
    <w:rsid w:val="006466FC"/>
    <w:rsid w:val="00646737"/>
    <w:rsid w:val="0064684A"/>
    <w:rsid w:val="00646884"/>
    <w:rsid w:val="00646AF9"/>
    <w:rsid w:val="00646BA8"/>
    <w:rsid w:val="00646C0C"/>
    <w:rsid w:val="00646D0E"/>
    <w:rsid w:val="00646D6C"/>
    <w:rsid w:val="00646D87"/>
    <w:rsid w:val="00646DBD"/>
    <w:rsid w:val="00646DBF"/>
    <w:rsid w:val="00646E37"/>
    <w:rsid w:val="00646F65"/>
    <w:rsid w:val="00646F72"/>
    <w:rsid w:val="00646FE8"/>
    <w:rsid w:val="00647076"/>
    <w:rsid w:val="00647078"/>
    <w:rsid w:val="0064721C"/>
    <w:rsid w:val="006473B9"/>
    <w:rsid w:val="006473D4"/>
    <w:rsid w:val="0064744E"/>
    <w:rsid w:val="006477DB"/>
    <w:rsid w:val="006478E6"/>
    <w:rsid w:val="0064791F"/>
    <w:rsid w:val="0064795F"/>
    <w:rsid w:val="00647A42"/>
    <w:rsid w:val="00647AE3"/>
    <w:rsid w:val="00647AFD"/>
    <w:rsid w:val="00647CAB"/>
    <w:rsid w:val="00647CE0"/>
    <w:rsid w:val="00647D50"/>
    <w:rsid w:val="00647DB6"/>
    <w:rsid w:val="00647F03"/>
    <w:rsid w:val="00647F4E"/>
    <w:rsid w:val="00647F64"/>
    <w:rsid w:val="00647FD0"/>
    <w:rsid w:val="0065007D"/>
    <w:rsid w:val="0065015A"/>
    <w:rsid w:val="00650928"/>
    <w:rsid w:val="00650933"/>
    <w:rsid w:val="00650A2F"/>
    <w:rsid w:val="00650BA0"/>
    <w:rsid w:val="00650DCA"/>
    <w:rsid w:val="00650E5D"/>
    <w:rsid w:val="00650F4A"/>
    <w:rsid w:val="00650F9E"/>
    <w:rsid w:val="006510C8"/>
    <w:rsid w:val="0065113C"/>
    <w:rsid w:val="006511B6"/>
    <w:rsid w:val="006511DC"/>
    <w:rsid w:val="006512CE"/>
    <w:rsid w:val="006515ED"/>
    <w:rsid w:val="00651648"/>
    <w:rsid w:val="006516FF"/>
    <w:rsid w:val="00651775"/>
    <w:rsid w:val="00651781"/>
    <w:rsid w:val="006517BE"/>
    <w:rsid w:val="00651947"/>
    <w:rsid w:val="00651995"/>
    <w:rsid w:val="00651B10"/>
    <w:rsid w:val="00651B47"/>
    <w:rsid w:val="00651C2B"/>
    <w:rsid w:val="00651CE9"/>
    <w:rsid w:val="00651D58"/>
    <w:rsid w:val="00651DE6"/>
    <w:rsid w:val="006523DF"/>
    <w:rsid w:val="00652427"/>
    <w:rsid w:val="00652522"/>
    <w:rsid w:val="006526C8"/>
    <w:rsid w:val="00652724"/>
    <w:rsid w:val="00652B39"/>
    <w:rsid w:val="00652B68"/>
    <w:rsid w:val="00652C41"/>
    <w:rsid w:val="00652EDC"/>
    <w:rsid w:val="00653210"/>
    <w:rsid w:val="00653345"/>
    <w:rsid w:val="006533FB"/>
    <w:rsid w:val="0065341D"/>
    <w:rsid w:val="00653428"/>
    <w:rsid w:val="00653443"/>
    <w:rsid w:val="006536D3"/>
    <w:rsid w:val="006536E9"/>
    <w:rsid w:val="0065376E"/>
    <w:rsid w:val="006537E6"/>
    <w:rsid w:val="0065395F"/>
    <w:rsid w:val="00653A61"/>
    <w:rsid w:val="00653AB4"/>
    <w:rsid w:val="00653AB8"/>
    <w:rsid w:val="00653AFE"/>
    <w:rsid w:val="00653B6A"/>
    <w:rsid w:val="00653BEE"/>
    <w:rsid w:val="00653D50"/>
    <w:rsid w:val="00653E0C"/>
    <w:rsid w:val="00653F93"/>
    <w:rsid w:val="0065402D"/>
    <w:rsid w:val="0065404B"/>
    <w:rsid w:val="00654484"/>
    <w:rsid w:val="00654660"/>
    <w:rsid w:val="006548C6"/>
    <w:rsid w:val="00654A53"/>
    <w:rsid w:val="00654A6B"/>
    <w:rsid w:val="00654B10"/>
    <w:rsid w:val="00654B83"/>
    <w:rsid w:val="00654CEE"/>
    <w:rsid w:val="00654EA3"/>
    <w:rsid w:val="0065510D"/>
    <w:rsid w:val="0065545E"/>
    <w:rsid w:val="006556FB"/>
    <w:rsid w:val="006558F9"/>
    <w:rsid w:val="00655959"/>
    <w:rsid w:val="0065599D"/>
    <w:rsid w:val="00655A09"/>
    <w:rsid w:val="00655D30"/>
    <w:rsid w:val="00655D51"/>
    <w:rsid w:val="00655F4B"/>
    <w:rsid w:val="006561BC"/>
    <w:rsid w:val="0065624B"/>
    <w:rsid w:val="006565C1"/>
    <w:rsid w:val="00656771"/>
    <w:rsid w:val="006567C6"/>
    <w:rsid w:val="00656808"/>
    <w:rsid w:val="0065690A"/>
    <w:rsid w:val="0065694E"/>
    <w:rsid w:val="00657016"/>
    <w:rsid w:val="0065706C"/>
    <w:rsid w:val="00657082"/>
    <w:rsid w:val="0065718C"/>
    <w:rsid w:val="006574E2"/>
    <w:rsid w:val="00657625"/>
    <w:rsid w:val="00657795"/>
    <w:rsid w:val="006578F8"/>
    <w:rsid w:val="006579D2"/>
    <w:rsid w:val="00657A9B"/>
    <w:rsid w:val="00657C40"/>
    <w:rsid w:val="00657D71"/>
    <w:rsid w:val="00657DC8"/>
    <w:rsid w:val="00657E64"/>
    <w:rsid w:val="00657FA9"/>
    <w:rsid w:val="00657FF2"/>
    <w:rsid w:val="006600BA"/>
    <w:rsid w:val="00660114"/>
    <w:rsid w:val="006601C7"/>
    <w:rsid w:val="00660256"/>
    <w:rsid w:val="00660503"/>
    <w:rsid w:val="00660736"/>
    <w:rsid w:val="00660799"/>
    <w:rsid w:val="00660989"/>
    <w:rsid w:val="00660A90"/>
    <w:rsid w:val="00660AE0"/>
    <w:rsid w:val="00660D35"/>
    <w:rsid w:val="00660D5A"/>
    <w:rsid w:val="00660D71"/>
    <w:rsid w:val="00660E1F"/>
    <w:rsid w:val="00660E72"/>
    <w:rsid w:val="00660F3F"/>
    <w:rsid w:val="0066103F"/>
    <w:rsid w:val="00661086"/>
    <w:rsid w:val="0066118D"/>
    <w:rsid w:val="0066131D"/>
    <w:rsid w:val="006615AF"/>
    <w:rsid w:val="006615BD"/>
    <w:rsid w:val="00661639"/>
    <w:rsid w:val="006616AC"/>
    <w:rsid w:val="00661741"/>
    <w:rsid w:val="00661797"/>
    <w:rsid w:val="00661867"/>
    <w:rsid w:val="0066194B"/>
    <w:rsid w:val="006619E1"/>
    <w:rsid w:val="00661A09"/>
    <w:rsid w:val="00661BAD"/>
    <w:rsid w:val="00661D3C"/>
    <w:rsid w:val="00662098"/>
    <w:rsid w:val="00662151"/>
    <w:rsid w:val="00662174"/>
    <w:rsid w:val="00662231"/>
    <w:rsid w:val="0066223F"/>
    <w:rsid w:val="00662241"/>
    <w:rsid w:val="006624B7"/>
    <w:rsid w:val="006624D5"/>
    <w:rsid w:val="0066253F"/>
    <w:rsid w:val="006627B6"/>
    <w:rsid w:val="0066283B"/>
    <w:rsid w:val="00662A37"/>
    <w:rsid w:val="00662A97"/>
    <w:rsid w:val="00662AC2"/>
    <w:rsid w:val="00662DD5"/>
    <w:rsid w:val="00662E41"/>
    <w:rsid w:val="00662EE2"/>
    <w:rsid w:val="00663302"/>
    <w:rsid w:val="006635A9"/>
    <w:rsid w:val="0066366C"/>
    <w:rsid w:val="00663BD5"/>
    <w:rsid w:val="00663C19"/>
    <w:rsid w:val="00663C36"/>
    <w:rsid w:val="0066404A"/>
    <w:rsid w:val="0066450A"/>
    <w:rsid w:val="006645BB"/>
    <w:rsid w:val="0066469B"/>
    <w:rsid w:val="006646E8"/>
    <w:rsid w:val="006646F2"/>
    <w:rsid w:val="006648BC"/>
    <w:rsid w:val="00664936"/>
    <w:rsid w:val="00664BD6"/>
    <w:rsid w:val="00664C9F"/>
    <w:rsid w:val="00664D34"/>
    <w:rsid w:val="0066523E"/>
    <w:rsid w:val="00665288"/>
    <w:rsid w:val="006654F2"/>
    <w:rsid w:val="0066562A"/>
    <w:rsid w:val="006656EF"/>
    <w:rsid w:val="0066577C"/>
    <w:rsid w:val="006657B0"/>
    <w:rsid w:val="00665878"/>
    <w:rsid w:val="00665899"/>
    <w:rsid w:val="00665A3A"/>
    <w:rsid w:val="00665C1E"/>
    <w:rsid w:val="00665CC9"/>
    <w:rsid w:val="00665D8B"/>
    <w:rsid w:val="00665F77"/>
    <w:rsid w:val="00665F98"/>
    <w:rsid w:val="00665FB0"/>
    <w:rsid w:val="0066608E"/>
    <w:rsid w:val="006660C4"/>
    <w:rsid w:val="006660F4"/>
    <w:rsid w:val="00666361"/>
    <w:rsid w:val="0066654B"/>
    <w:rsid w:val="00666636"/>
    <w:rsid w:val="00666929"/>
    <w:rsid w:val="00666E38"/>
    <w:rsid w:val="00667482"/>
    <w:rsid w:val="006675BB"/>
    <w:rsid w:val="006675CF"/>
    <w:rsid w:val="00667677"/>
    <w:rsid w:val="006676C0"/>
    <w:rsid w:val="0066777A"/>
    <w:rsid w:val="0066779A"/>
    <w:rsid w:val="00667919"/>
    <w:rsid w:val="00667A3D"/>
    <w:rsid w:val="00667ABC"/>
    <w:rsid w:val="00667B7C"/>
    <w:rsid w:val="00667C3B"/>
    <w:rsid w:val="00667C51"/>
    <w:rsid w:val="00667E73"/>
    <w:rsid w:val="00667F4C"/>
    <w:rsid w:val="0067007B"/>
    <w:rsid w:val="006700B8"/>
    <w:rsid w:val="00670205"/>
    <w:rsid w:val="0067020C"/>
    <w:rsid w:val="00670290"/>
    <w:rsid w:val="00670457"/>
    <w:rsid w:val="006705B0"/>
    <w:rsid w:val="0067062F"/>
    <w:rsid w:val="006708B2"/>
    <w:rsid w:val="00670914"/>
    <w:rsid w:val="00670AE2"/>
    <w:rsid w:val="00670BC2"/>
    <w:rsid w:val="00670C2D"/>
    <w:rsid w:val="00670CFF"/>
    <w:rsid w:val="00670D18"/>
    <w:rsid w:val="00670D48"/>
    <w:rsid w:val="00670D6D"/>
    <w:rsid w:val="00670E6C"/>
    <w:rsid w:val="00670E9F"/>
    <w:rsid w:val="006711AA"/>
    <w:rsid w:val="0067124E"/>
    <w:rsid w:val="00671274"/>
    <w:rsid w:val="00671436"/>
    <w:rsid w:val="006714DA"/>
    <w:rsid w:val="00671669"/>
    <w:rsid w:val="006717E7"/>
    <w:rsid w:val="00671813"/>
    <w:rsid w:val="00671842"/>
    <w:rsid w:val="00671A57"/>
    <w:rsid w:val="00671DA7"/>
    <w:rsid w:val="00671DD9"/>
    <w:rsid w:val="00671E9A"/>
    <w:rsid w:val="00671F87"/>
    <w:rsid w:val="00671FA2"/>
    <w:rsid w:val="00672081"/>
    <w:rsid w:val="006720BE"/>
    <w:rsid w:val="006721C9"/>
    <w:rsid w:val="00672223"/>
    <w:rsid w:val="00672298"/>
    <w:rsid w:val="00672476"/>
    <w:rsid w:val="006724AD"/>
    <w:rsid w:val="0067279D"/>
    <w:rsid w:val="006727A9"/>
    <w:rsid w:val="006728FF"/>
    <w:rsid w:val="00672A9A"/>
    <w:rsid w:val="00672B0D"/>
    <w:rsid w:val="00672CF0"/>
    <w:rsid w:val="00673008"/>
    <w:rsid w:val="00673168"/>
    <w:rsid w:val="0067380B"/>
    <w:rsid w:val="00673843"/>
    <w:rsid w:val="00673A29"/>
    <w:rsid w:val="00673A68"/>
    <w:rsid w:val="00673C7C"/>
    <w:rsid w:val="00673ED1"/>
    <w:rsid w:val="00673F96"/>
    <w:rsid w:val="006743A8"/>
    <w:rsid w:val="00674468"/>
    <w:rsid w:val="006744C1"/>
    <w:rsid w:val="0067453F"/>
    <w:rsid w:val="00674657"/>
    <w:rsid w:val="006747EB"/>
    <w:rsid w:val="00674884"/>
    <w:rsid w:val="006748E1"/>
    <w:rsid w:val="0067497A"/>
    <w:rsid w:val="00674A91"/>
    <w:rsid w:val="00674C4B"/>
    <w:rsid w:val="00674CD3"/>
    <w:rsid w:val="00674F4C"/>
    <w:rsid w:val="00675047"/>
    <w:rsid w:val="006750F2"/>
    <w:rsid w:val="006754C0"/>
    <w:rsid w:val="006756B2"/>
    <w:rsid w:val="006757E0"/>
    <w:rsid w:val="00675885"/>
    <w:rsid w:val="006758BE"/>
    <w:rsid w:val="00675B02"/>
    <w:rsid w:val="00675BC0"/>
    <w:rsid w:val="00675C9C"/>
    <w:rsid w:val="00675CCD"/>
    <w:rsid w:val="00675D86"/>
    <w:rsid w:val="00675FF8"/>
    <w:rsid w:val="00676025"/>
    <w:rsid w:val="0067610A"/>
    <w:rsid w:val="0067611A"/>
    <w:rsid w:val="00676273"/>
    <w:rsid w:val="006763D3"/>
    <w:rsid w:val="006765F1"/>
    <w:rsid w:val="0067661D"/>
    <w:rsid w:val="0067669B"/>
    <w:rsid w:val="0067679D"/>
    <w:rsid w:val="006768CB"/>
    <w:rsid w:val="0067697B"/>
    <w:rsid w:val="00676A6C"/>
    <w:rsid w:val="00676A96"/>
    <w:rsid w:val="00676BDF"/>
    <w:rsid w:val="00676DAB"/>
    <w:rsid w:val="00676DD5"/>
    <w:rsid w:val="00676E8D"/>
    <w:rsid w:val="00676E94"/>
    <w:rsid w:val="00676EEA"/>
    <w:rsid w:val="00676F98"/>
    <w:rsid w:val="00676FB1"/>
    <w:rsid w:val="006770FF"/>
    <w:rsid w:val="00677183"/>
    <w:rsid w:val="00677342"/>
    <w:rsid w:val="00677385"/>
    <w:rsid w:val="00677510"/>
    <w:rsid w:val="006775D3"/>
    <w:rsid w:val="0067772C"/>
    <w:rsid w:val="00677804"/>
    <w:rsid w:val="0067783C"/>
    <w:rsid w:val="00677846"/>
    <w:rsid w:val="00677928"/>
    <w:rsid w:val="00677A1E"/>
    <w:rsid w:val="00677B63"/>
    <w:rsid w:val="00677B69"/>
    <w:rsid w:val="00677D00"/>
    <w:rsid w:val="00677F72"/>
    <w:rsid w:val="00677FD9"/>
    <w:rsid w:val="00677FF3"/>
    <w:rsid w:val="006803D2"/>
    <w:rsid w:val="0068041A"/>
    <w:rsid w:val="0068056B"/>
    <w:rsid w:val="00680628"/>
    <w:rsid w:val="006808AC"/>
    <w:rsid w:val="006808CB"/>
    <w:rsid w:val="00680C49"/>
    <w:rsid w:val="00680DF4"/>
    <w:rsid w:val="006812CF"/>
    <w:rsid w:val="0068142A"/>
    <w:rsid w:val="00681513"/>
    <w:rsid w:val="0068156E"/>
    <w:rsid w:val="00681612"/>
    <w:rsid w:val="00681777"/>
    <w:rsid w:val="006817B3"/>
    <w:rsid w:val="00681838"/>
    <w:rsid w:val="00681A3A"/>
    <w:rsid w:val="00681CE6"/>
    <w:rsid w:val="00681F15"/>
    <w:rsid w:val="00682103"/>
    <w:rsid w:val="006822F5"/>
    <w:rsid w:val="006823AE"/>
    <w:rsid w:val="0068271D"/>
    <w:rsid w:val="00682AA2"/>
    <w:rsid w:val="00682AB0"/>
    <w:rsid w:val="00682B25"/>
    <w:rsid w:val="00682C29"/>
    <w:rsid w:val="00682C59"/>
    <w:rsid w:val="00682F0E"/>
    <w:rsid w:val="006831E9"/>
    <w:rsid w:val="006831F0"/>
    <w:rsid w:val="006832E0"/>
    <w:rsid w:val="006839FE"/>
    <w:rsid w:val="00683BDA"/>
    <w:rsid w:val="00683BFB"/>
    <w:rsid w:val="00683CE3"/>
    <w:rsid w:val="00683D02"/>
    <w:rsid w:val="00683F10"/>
    <w:rsid w:val="00684395"/>
    <w:rsid w:val="00684404"/>
    <w:rsid w:val="00684412"/>
    <w:rsid w:val="006845A2"/>
    <w:rsid w:val="006845EE"/>
    <w:rsid w:val="0068461A"/>
    <w:rsid w:val="0068464B"/>
    <w:rsid w:val="00684691"/>
    <w:rsid w:val="006847F1"/>
    <w:rsid w:val="00684841"/>
    <w:rsid w:val="00684A28"/>
    <w:rsid w:val="00684A68"/>
    <w:rsid w:val="00684A77"/>
    <w:rsid w:val="00684AEA"/>
    <w:rsid w:val="00684D24"/>
    <w:rsid w:val="00684DB2"/>
    <w:rsid w:val="00684E34"/>
    <w:rsid w:val="00684E3F"/>
    <w:rsid w:val="00684E9E"/>
    <w:rsid w:val="00685120"/>
    <w:rsid w:val="006854DF"/>
    <w:rsid w:val="00685952"/>
    <w:rsid w:val="006859B1"/>
    <w:rsid w:val="00685AE2"/>
    <w:rsid w:val="00685CA6"/>
    <w:rsid w:val="00685CCE"/>
    <w:rsid w:val="00685F11"/>
    <w:rsid w:val="00685F1B"/>
    <w:rsid w:val="006860C8"/>
    <w:rsid w:val="00686292"/>
    <w:rsid w:val="00686367"/>
    <w:rsid w:val="0068640C"/>
    <w:rsid w:val="00686482"/>
    <w:rsid w:val="006864DD"/>
    <w:rsid w:val="00686547"/>
    <w:rsid w:val="006865B9"/>
    <w:rsid w:val="00686606"/>
    <w:rsid w:val="00686656"/>
    <w:rsid w:val="0068665C"/>
    <w:rsid w:val="00686771"/>
    <w:rsid w:val="006867E5"/>
    <w:rsid w:val="006867F6"/>
    <w:rsid w:val="006868C1"/>
    <w:rsid w:val="00686BC1"/>
    <w:rsid w:val="00686E3A"/>
    <w:rsid w:val="00686EE0"/>
    <w:rsid w:val="00686F71"/>
    <w:rsid w:val="00686FC9"/>
    <w:rsid w:val="00687035"/>
    <w:rsid w:val="006870A1"/>
    <w:rsid w:val="00687239"/>
    <w:rsid w:val="00687312"/>
    <w:rsid w:val="006875D3"/>
    <w:rsid w:val="0068765D"/>
    <w:rsid w:val="0068770A"/>
    <w:rsid w:val="0068782E"/>
    <w:rsid w:val="00687A2E"/>
    <w:rsid w:val="00687BED"/>
    <w:rsid w:val="00687D8B"/>
    <w:rsid w:val="006900B5"/>
    <w:rsid w:val="006900E4"/>
    <w:rsid w:val="006900F1"/>
    <w:rsid w:val="00690127"/>
    <w:rsid w:val="0069013F"/>
    <w:rsid w:val="006902B5"/>
    <w:rsid w:val="00690353"/>
    <w:rsid w:val="006904F7"/>
    <w:rsid w:val="0069057F"/>
    <w:rsid w:val="006906D1"/>
    <w:rsid w:val="0069075C"/>
    <w:rsid w:val="0069076F"/>
    <w:rsid w:val="006909E2"/>
    <w:rsid w:val="00690AF6"/>
    <w:rsid w:val="00690BB3"/>
    <w:rsid w:val="00690D29"/>
    <w:rsid w:val="0069113D"/>
    <w:rsid w:val="00691188"/>
    <w:rsid w:val="0069146F"/>
    <w:rsid w:val="0069162D"/>
    <w:rsid w:val="00691777"/>
    <w:rsid w:val="00691ACF"/>
    <w:rsid w:val="00691B64"/>
    <w:rsid w:val="00691BBF"/>
    <w:rsid w:val="00691C27"/>
    <w:rsid w:val="00691C81"/>
    <w:rsid w:val="00691CBF"/>
    <w:rsid w:val="00691D6C"/>
    <w:rsid w:val="006920DD"/>
    <w:rsid w:val="00692186"/>
    <w:rsid w:val="0069249C"/>
    <w:rsid w:val="006924BC"/>
    <w:rsid w:val="006926CE"/>
    <w:rsid w:val="006926EF"/>
    <w:rsid w:val="006929F5"/>
    <w:rsid w:val="00692AD9"/>
    <w:rsid w:val="00692B29"/>
    <w:rsid w:val="00692C72"/>
    <w:rsid w:val="00692FF8"/>
    <w:rsid w:val="0069344C"/>
    <w:rsid w:val="00693470"/>
    <w:rsid w:val="00693664"/>
    <w:rsid w:val="00693686"/>
    <w:rsid w:val="00693690"/>
    <w:rsid w:val="00693791"/>
    <w:rsid w:val="0069379C"/>
    <w:rsid w:val="00693956"/>
    <w:rsid w:val="00693A72"/>
    <w:rsid w:val="00693AD5"/>
    <w:rsid w:val="00693BEA"/>
    <w:rsid w:val="00693BF9"/>
    <w:rsid w:val="00693CE0"/>
    <w:rsid w:val="00693D34"/>
    <w:rsid w:val="00693FB5"/>
    <w:rsid w:val="00693FE9"/>
    <w:rsid w:val="0069424D"/>
    <w:rsid w:val="006942DF"/>
    <w:rsid w:val="00694330"/>
    <w:rsid w:val="00694355"/>
    <w:rsid w:val="0069446D"/>
    <w:rsid w:val="006944A0"/>
    <w:rsid w:val="0069463F"/>
    <w:rsid w:val="00694697"/>
    <w:rsid w:val="00694748"/>
    <w:rsid w:val="00694778"/>
    <w:rsid w:val="00694964"/>
    <w:rsid w:val="00694A55"/>
    <w:rsid w:val="00694B90"/>
    <w:rsid w:val="00694BC1"/>
    <w:rsid w:val="00694CE1"/>
    <w:rsid w:val="00694D39"/>
    <w:rsid w:val="00694F22"/>
    <w:rsid w:val="00694FC5"/>
    <w:rsid w:val="00695009"/>
    <w:rsid w:val="006953B8"/>
    <w:rsid w:val="006953C9"/>
    <w:rsid w:val="006955E6"/>
    <w:rsid w:val="006955FF"/>
    <w:rsid w:val="0069565D"/>
    <w:rsid w:val="006958AC"/>
    <w:rsid w:val="006959E0"/>
    <w:rsid w:val="00695D42"/>
    <w:rsid w:val="00695DE0"/>
    <w:rsid w:val="0069622A"/>
    <w:rsid w:val="0069634D"/>
    <w:rsid w:val="006963B8"/>
    <w:rsid w:val="006964AA"/>
    <w:rsid w:val="006965F0"/>
    <w:rsid w:val="006965F5"/>
    <w:rsid w:val="006965FC"/>
    <w:rsid w:val="006968C9"/>
    <w:rsid w:val="00696A27"/>
    <w:rsid w:val="00696B55"/>
    <w:rsid w:val="00696B5F"/>
    <w:rsid w:val="00696D40"/>
    <w:rsid w:val="00696DE3"/>
    <w:rsid w:val="00696E70"/>
    <w:rsid w:val="00697176"/>
    <w:rsid w:val="0069728C"/>
    <w:rsid w:val="0069732D"/>
    <w:rsid w:val="0069743E"/>
    <w:rsid w:val="00697640"/>
    <w:rsid w:val="00697699"/>
    <w:rsid w:val="00697896"/>
    <w:rsid w:val="006979D3"/>
    <w:rsid w:val="00697BEA"/>
    <w:rsid w:val="00697F3A"/>
    <w:rsid w:val="006A01DA"/>
    <w:rsid w:val="006A02C0"/>
    <w:rsid w:val="006A04F7"/>
    <w:rsid w:val="006A082F"/>
    <w:rsid w:val="006A08E2"/>
    <w:rsid w:val="006A0989"/>
    <w:rsid w:val="006A09A0"/>
    <w:rsid w:val="006A09F5"/>
    <w:rsid w:val="006A0AA1"/>
    <w:rsid w:val="006A0AFF"/>
    <w:rsid w:val="006A0CD2"/>
    <w:rsid w:val="006A0D39"/>
    <w:rsid w:val="006A10A8"/>
    <w:rsid w:val="006A10EF"/>
    <w:rsid w:val="006A1304"/>
    <w:rsid w:val="006A1365"/>
    <w:rsid w:val="006A137E"/>
    <w:rsid w:val="006A1380"/>
    <w:rsid w:val="006A15F0"/>
    <w:rsid w:val="006A19BF"/>
    <w:rsid w:val="006A1A52"/>
    <w:rsid w:val="006A1B44"/>
    <w:rsid w:val="006A1D28"/>
    <w:rsid w:val="006A2010"/>
    <w:rsid w:val="006A20FA"/>
    <w:rsid w:val="006A223C"/>
    <w:rsid w:val="006A22AE"/>
    <w:rsid w:val="006A2394"/>
    <w:rsid w:val="006A2400"/>
    <w:rsid w:val="006A267F"/>
    <w:rsid w:val="006A2740"/>
    <w:rsid w:val="006A2776"/>
    <w:rsid w:val="006A27E6"/>
    <w:rsid w:val="006A2906"/>
    <w:rsid w:val="006A2A60"/>
    <w:rsid w:val="006A2C9D"/>
    <w:rsid w:val="006A2D0A"/>
    <w:rsid w:val="006A2D89"/>
    <w:rsid w:val="006A2F73"/>
    <w:rsid w:val="006A3041"/>
    <w:rsid w:val="006A3064"/>
    <w:rsid w:val="006A31DF"/>
    <w:rsid w:val="006A3250"/>
    <w:rsid w:val="006A3319"/>
    <w:rsid w:val="006A340B"/>
    <w:rsid w:val="006A3416"/>
    <w:rsid w:val="006A34A9"/>
    <w:rsid w:val="006A35E6"/>
    <w:rsid w:val="006A36D9"/>
    <w:rsid w:val="006A3926"/>
    <w:rsid w:val="006A3AC5"/>
    <w:rsid w:val="006A3B0E"/>
    <w:rsid w:val="006A3B1E"/>
    <w:rsid w:val="006A3BDA"/>
    <w:rsid w:val="006A3CC3"/>
    <w:rsid w:val="006A3D76"/>
    <w:rsid w:val="006A3DCD"/>
    <w:rsid w:val="006A3DFF"/>
    <w:rsid w:val="006A4167"/>
    <w:rsid w:val="006A41F6"/>
    <w:rsid w:val="006A4200"/>
    <w:rsid w:val="006A4688"/>
    <w:rsid w:val="006A46DD"/>
    <w:rsid w:val="006A475D"/>
    <w:rsid w:val="006A4BF6"/>
    <w:rsid w:val="006A4D3C"/>
    <w:rsid w:val="006A4FBF"/>
    <w:rsid w:val="006A502A"/>
    <w:rsid w:val="006A5066"/>
    <w:rsid w:val="006A5223"/>
    <w:rsid w:val="006A541F"/>
    <w:rsid w:val="006A554B"/>
    <w:rsid w:val="006A5638"/>
    <w:rsid w:val="006A5AD2"/>
    <w:rsid w:val="006A5B22"/>
    <w:rsid w:val="006A5C23"/>
    <w:rsid w:val="006A5D99"/>
    <w:rsid w:val="006A5EAC"/>
    <w:rsid w:val="006A634B"/>
    <w:rsid w:val="006A63E0"/>
    <w:rsid w:val="006A65E6"/>
    <w:rsid w:val="006A66BF"/>
    <w:rsid w:val="006A68F8"/>
    <w:rsid w:val="006A6988"/>
    <w:rsid w:val="006A6B5D"/>
    <w:rsid w:val="006A6BB0"/>
    <w:rsid w:val="006A6CCB"/>
    <w:rsid w:val="006A6DB6"/>
    <w:rsid w:val="006A6E20"/>
    <w:rsid w:val="006A71B1"/>
    <w:rsid w:val="006A7218"/>
    <w:rsid w:val="006A72CB"/>
    <w:rsid w:val="006A74A4"/>
    <w:rsid w:val="006A74D3"/>
    <w:rsid w:val="006A754C"/>
    <w:rsid w:val="006A77C7"/>
    <w:rsid w:val="006A7D1A"/>
    <w:rsid w:val="006A7D9B"/>
    <w:rsid w:val="006A7EB9"/>
    <w:rsid w:val="006B0192"/>
    <w:rsid w:val="006B033F"/>
    <w:rsid w:val="006B07B0"/>
    <w:rsid w:val="006B07D0"/>
    <w:rsid w:val="006B0BC0"/>
    <w:rsid w:val="006B0BEA"/>
    <w:rsid w:val="006B0D03"/>
    <w:rsid w:val="006B0D8F"/>
    <w:rsid w:val="006B0E30"/>
    <w:rsid w:val="006B0EBD"/>
    <w:rsid w:val="006B104F"/>
    <w:rsid w:val="006B10DE"/>
    <w:rsid w:val="006B10F3"/>
    <w:rsid w:val="006B11BB"/>
    <w:rsid w:val="006B1428"/>
    <w:rsid w:val="006B164C"/>
    <w:rsid w:val="006B175F"/>
    <w:rsid w:val="006B1793"/>
    <w:rsid w:val="006B17CF"/>
    <w:rsid w:val="006B1979"/>
    <w:rsid w:val="006B19DC"/>
    <w:rsid w:val="006B1A3F"/>
    <w:rsid w:val="006B1CD2"/>
    <w:rsid w:val="006B1CD4"/>
    <w:rsid w:val="006B1FA4"/>
    <w:rsid w:val="006B20D5"/>
    <w:rsid w:val="006B2B0B"/>
    <w:rsid w:val="006B2B8B"/>
    <w:rsid w:val="006B2C47"/>
    <w:rsid w:val="006B2C6C"/>
    <w:rsid w:val="006B2DC0"/>
    <w:rsid w:val="006B2DE9"/>
    <w:rsid w:val="006B2F5B"/>
    <w:rsid w:val="006B330F"/>
    <w:rsid w:val="006B332A"/>
    <w:rsid w:val="006B3377"/>
    <w:rsid w:val="006B349C"/>
    <w:rsid w:val="006B3505"/>
    <w:rsid w:val="006B369A"/>
    <w:rsid w:val="006B3774"/>
    <w:rsid w:val="006B3CEB"/>
    <w:rsid w:val="006B3D01"/>
    <w:rsid w:val="006B3E46"/>
    <w:rsid w:val="006B3FC6"/>
    <w:rsid w:val="006B40BB"/>
    <w:rsid w:val="006B40F7"/>
    <w:rsid w:val="006B41BF"/>
    <w:rsid w:val="006B41D5"/>
    <w:rsid w:val="006B41FC"/>
    <w:rsid w:val="006B4208"/>
    <w:rsid w:val="006B4291"/>
    <w:rsid w:val="006B42E1"/>
    <w:rsid w:val="006B43C8"/>
    <w:rsid w:val="006B45C2"/>
    <w:rsid w:val="006B465B"/>
    <w:rsid w:val="006B4B35"/>
    <w:rsid w:val="006B4E61"/>
    <w:rsid w:val="006B5020"/>
    <w:rsid w:val="006B52FF"/>
    <w:rsid w:val="006B5307"/>
    <w:rsid w:val="006B532B"/>
    <w:rsid w:val="006B5513"/>
    <w:rsid w:val="006B554F"/>
    <w:rsid w:val="006B55A4"/>
    <w:rsid w:val="006B5718"/>
    <w:rsid w:val="006B58CD"/>
    <w:rsid w:val="006B5A69"/>
    <w:rsid w:val="006B5F4D"/>
    <w:rsid w:val="006B617E"/>
    <w:rsid w:val="006B632C"/>
    <w:rsid w:val="006B6449"/>
    <w:rsid w:val="006B67F8"/>
    <w:rsid w:val="006B683D"/>
    <w:rsid w:val="006B6B76"/>
    <w:rsid w:val="006B6DA2"/>
    <w:rsid w:val="006B6FA2"/>
    <w:rsid w:val="006B72E3"/>
    <w:rsid w:val="006B754A"/>
    <w:rsid w:val="006B7671"/>
    <w:rsid w:val="006B777A"/>
    <w:rsid w:val="006B78D0"/>
    <w:rsid w:val="006B7918"/>
    <w:rsid w:val="006B7957"/>
    <w:rsid w:val="006B7A85"/>
    <w:rsid w:val="006B7D38"/>
    <w:rsid w:val="006B7EBA"/>
    <w:rsid w:val="006C00F7"/>
    <w:rsid w:val="006C0483"/>
    <w:rsid w:val="006C096B"/>
    <w:rsid w:val="006C0970"/>
    <w:rsid w:val="006C0ADA"/>
    <w:rsid w:val="006C0C14"/>
    <w:rsid w:val="006C0CA6"/>
    <w:rsid w:val="006C0CF7"/>
    <w:rsid w:val="006C0E79"/>
    <w:rsid w:val="006C0F05"/>
    <w:rsid w:val="006C0F20"/>
    <w:rsid w:val="006C0F6F"/>
    <w:rsid w:val="006C12B2"/>
    <w:rsid w:val="006C1325"/>
    <w:rsid w:val="006C154E"/>
    <w:rsid w:val="006C18DE"/>
    <w:rsid w:val="006C191D"/>
    <w:rsid w:val="006C191F"/>
    <w:rsid w:val="006C194F"/>
    <w:rsid w:val="006C1C54"/>
    <w:rsid w:val="006C1DED"/>
    <w:rsid w:val="006C1E07"/>
    <w:rsid w:val="006C1E0B"/>
    <w:rsid w:val="006C1E0E"/>
    <w:rsid w:val="006C1E46"/>
    <w:rsid w:val="006C1E6E"/>
    <w:rsid w:val="006C1F88"/>
    <w:rsid w:val="006C20CC"/>
    <w:rsid w:val="006C20E2"/>
    <w:rsid w:val="006C2111"/>
    <w:rsid w:val="006C2327"/>
    <w:rsid w:val="006C2753"/>
    <w:rsid w:val="006C28EA"/>
    <w:rsid w:val="006C2A7D"/>
    <w:rsid w:val="006C2AA7"/>
    <w:rsid w:val="006C2BA0"/>
    <w:rsid w:val="006C2CF1"/>
    <w:rsid w:val="006C2E16"/>
    <w:rsid w:val="006C2E51"/>
    <w:rsid w:val="006C2EE3"/>
    <w:rsid w:val="006C2F35"/>
    <w:rsid w:val="006C314E"/>
    <w:rsid w:val="006C31A5"/>
    <w:rsid w:val="006C32A6"/>
    <w:rsid w:val="006C36F7"/>
    <w:rsid w:val="006C3788"/>
    <w:rsid w:val="006C38B9"/>
    <w:rsid w:val="006C3DDF"/>
    <w:rsid w:val="006C3EED"/>
    <w:rsid w:val="006C4110"/>
    <w:rsid w:val="006C42DD"/>
    <w:rsid w:val="006C42F4"/>
    <w:rsid w:val="006C43B9"/>
    <w:rsid w:val="006C43DC"/>
    <w:rsid w:val="006C4681"/>
    <w:rsid w:val="006C4699"/>
    <w:rsid w:val="006C46CA"/>
    <w:rsid w:val="006C4897"/>
    <w:rsid w:val="006C48C5"/>
    <w:rsid w:val="006C49AA"/>
    <w:rsid w:val="006C49BA"/>
    <w:rsid w:val="006C4BE2"/>
    <w:rsid w:val="006C4D6A"/>
    <w:rsid w:val="006C4E20"/>
    <w:rsid w:val="006C4E92"/>
    <w:rsid w:val="006C508F"/>
    <w:rsid w:val="006C5093"/>
    <w:rsid w:val="006C5237"/>
    <w:rsid w:val="006C526D"/>
    <w:rsid w:val="006C5486"/>
    <w:rsid w:val="006C54B4"/>
    <w:rsid w:val="006C5576"/>
    <w:rsid w:val="006C5841"/>
    <w:rsid w:val="006C5A00"/>
    <w:rsid w:val="006C5A02"/>
    <w:rsid w:val="006C5AAF"/>
    <w:rsid w:val="006C5ACB"/>
    <w:rsid w:val="006C5AEB"/>
    <w:rsid w:val="006C5B50"/>
    <w:rsid w:val="006C5EEE"/>
    <w:rsid w:val="006C5FDE"/>
    <w:rsid w:val="006C61CF"/>
    <w:rsid w:val="006C6284"/>
    <w:rsid w:val="006C62EE"/>
    <w:rsid w:val="006C6326"/>
    <w:rsid w:val="006C63C7"/>
    <w:rsid w:val="006C6512"/>
    <w:rsid w:val="006C65C5"/>
    <w:rsid w:val="006C6727"/>
    <w:rsid w:val="006C682B"/>
    <w:rsid w:val="006C6C03"/>
    <w:rsid w:val="006C6D50"/>
    <w:rsid w:val="006C6FA9"/>
    <w:rsid w:val="006C70D6"/>
    <w:rsid w:val="006C7139"/>
    <w:rsid w:val="006C756B"/>
    <w:rsid w:val="006C7694"/>
    <w:rsid w:val="006C7984"/>
    <w:rsid w:val="006C7AA3"/>
    <w:rsid w:val="006C7B25"/>
    <w:rsid w:val="006C7BDF"/>
    <w:rsid w:val="006C7D7A"/>
    <w:rsid w:val="006D000D"/>
    <w:rsid w:val="006D028C"/>
    <w:rsid w:val="006D03BF"/>
    <w:rsid w:val="006D03F3"/>
    <w:rsid w:val="006D08CF"/>
    <w:rsid w:val="006D094A"/>
    <w:rsid w:val="006D0A17"/>
    <w:rsid w:val="006D0CB9"/>
    <w:rsid w:val="006D0D6A"/>
    <w:rsid w:val="006D0DC7"/>
    <w:rsid w:val="006D0E8B"/>
    <w:rsid w:val="006D10C5"/>
    <w:rsid w:val="006D1275"/>
    <w:rsid w:val="006D164E"/>
    <w:rsid w:val="006D174A"/>
    <w:rsid w:val="006D17C3"/>
    <w:rsid w:val="006D18AB"/>
    <w:rsid w:val="006D1A1F"/>
    <w:rsid w:val="006D1BD2"/>
    <w:rsid w:val="006D1E47"/>
    <w:rsid w:val="006D1F2A"/>
    <w:rsid w:val="006D207C"/>
    <w:rsid w:val="006D22DD"/>
    <w:rsid w:val="006D2589"/>
    <w:rsid w:val="006D27D8"/>
    <w:rsid w:val="006D28BA"/>
    <w:rsid w:val="006D28EA"/>
    <w:rsid w:val="006D29C8"/>
    <w:rsid w:val="006D2A80"/>
    <w:rsid w:val="006D2AE2"/>
    <w:rsid w:val="006D2CE9"/>
    <w:rsid w:val="006D2D0E"/>
    <w:rsid w:val="006D2D57"/>
    <w:rsid w:val="006D2D74"/>
    <w:rsid w:val="006D303F"/>
    <w:rsid w:val="006D322D"/>
    <w:rsid w:val="006D32D8"/>
    <w:rsid w:val="006D3442"/>
    <w:rsid w:val="006D349C"/>
    <w:rsid w:val="006D35CA"/>
    <w:rsid w:val="006D3695"/>
    <w:rsid w:val="006D37EE"/>
    <w:rsid w:val="006D399A"/>
    <w:rsid w:val="006D3A21"/>
    <w:rsid w:val="006D3AA1"/>
    <w:rsid w:val="006D3B03"/>
    <w:rsid w:val="006D3B79"/>
    <w:rsid w:val="006D3EC3"/>
    <w:rsid w:val="006D4528"/>
    <w:rsid w:val="006D4564"/>
    <w:rsid w:val="006D46FC"/>
    <w:rsid w:val="006D4AB2"/>
    <w:rsid w:val="006D4BE3"/>
    <w:rsid w:val="006D4C98"/>
    <w:rsid w:val="006D4C99"/>
    <w:rsid w:val="006D4CF8"/>
    <w:rsid w:val="006D4FD3"/>
    <w:rsid w:val="006D5063"/>
    <w:rsid w:val="006D520B"/>
    <w:rsid w:val="006D531B"/>
    <w:rsid w:val="006D533D"/>
    <w:rsid w:val="006D58AD"/>
    <w:rsid w:val="006D5A62"/>
    <w:rsid w:val="006D5C8C"/>
    <w:rsid w:val="006D5FB8"/>
    <w:rsid w:val="006D628A"/>
    <w:rsid w:val="006D64AD"/>
    <w:rsid w:val="006D65D8"/>
    <w:rsid w:val="006D6726"/>
    <w:rsid w:val="006D6776"/>
    <w:rsid w:val="006D69B0"/>
    <w:rsid w:val="006D6B22"/>
    <w:rsid w:val="006D6BE9"/>
    <w:rsid w:val="006D6C2F"/>
    <w:rsid w:val="006D6F6A"/>
    <w:rsid w:val="006D70BF"/>
    <w:rsid w:val="006D7227"/>
    <w:rsid w:val="006D7278"/>
    <w:rsid w:val="006D741A"/>
    <w:rsid w:val="006D76BE"/>
    <w:rsid w:val="006D7BF4"/>
    <w:rsid w:val="006D7D12"/>
    <w:rsid w:val="006D7D86"/>
    <w:rsid w:val="006D7E62"/>
    <w:rsid w:val="006D7E9C"/>
    <w:rsid w:val="006E0127"/>
    <w:rsid w:val="006E0470"/>
    <w:rsid w:val="006E067F"/>
    <w:rsid w:val="006E08C5"/>
    <w:rsid w:val="006E1240"/>
    <w:rsid w:val="006E133B"/>
    <w:rsid w:val="006E1397"/>
    <w:rsid w:val="006E14D7"/>
    <w:rsid w:val="006E16FD"/>
    <w:rsid w:val="006E17AA"/>
    <w:rsid w:val="006E1880"/>
    <w:rsid w:val="006E18FC"/>
    <w:rsid w:val="006E190D"/>
    <w:rsid w:val="006E1A0D"/>
    <w:rsid w:val="006E1A8C"/>
    <w:rsid w:val="006E1C38"/>
    <w:rsid w:val="006E1C49"/>
    <w:rsid w:val="006E1DD2"/>
    <w:rsid w:val="006E1EE4"/>
    <w:rsid w:val="006E1F9B"/>
    <w:rsid w:val="006E22DF"/>
    <w:rsid w:val="006E288C"/>
    <w:rsid w:val="006E28D2"/>
    <w:rsid w:val="006E29AA"/>
    <w:rsid w:val="006E29F6"/>
    <w:rsid w:val="006E2B92"/>
    <w:rsid w:val="006E2BD4"/>
    <w:rsid w:val="006E2DB5"/>
    <w:rsid w:val="006E2DE8"/>
    <w:rsid w:val="006E2ECC"/>
    <w:rsid w:val="006E30D5"/>
    <w:rsid w:val="006E31B3"/>
    <w:rsid w:val="006E31C4"/>
    <w:rsid w:val="006E3485"/>
    <w:rsid w:val="006E35DC"/>
    <w:rsid w:val="006E3803"/>
    <w:rsid w:val="006E3804"/>
    <w:rsid w:val="006E384F"/>
    <w:rsid w:val="006E39AC"/>
    <w:rsid w:val="006E39B2"/>
    <w:rsid w:val="006E3BC5"/>
    <w:rsid w:val="006E3E81"/>
    <w:rsid w:val="006E3E8B"/>
    <w:rsid w:val="006E3EEC"/>
    <w:rsid w:val="006E3F80"/>
    <w:rsid w:val="006E42E9"/>
    <w:rsid w:val="006E4564"/>
    <w:rsid w:val="006E4627"/>
    <w:rsid w:val="006E4704"/>
    <w:rsid w:val="006E47B7"/>
    <w:rsid w:val="006E4905"/>
    <w:rsid w:val="006E4AAA"/>
    <w:rsid w:val="006E4AB9"/>
    <w:rsid w:val="006E4CB0"/>
    <w:rsid w:val="006E5001"/>
    <w:rsid w:val="006E50E7"/>
    <w:rsid w:val="006E5252"/>
    <w:rsid w:val="006E5716"/>
    <w:rsid w:val="006E5A7B"/>
    <w:rsid w:val="006E5C4B"/>
    <w:rsid w:val="006E5C60"/>
    <w:rsid w:val="006E5D63"/>
    <w:rsid w:val="006E5E06"/>
    <w:rsid w:val="006E5ECB"/>
    <w:rsid w:val="006E5F67"/>
    <w:rsid w:val="006E5FA7"/>
    <w:rsid w:val="006E60C2"/>
    <w:rsid w:val="006E618E"/>
    <w:rsid w:val="006E6250"/>
    <w:rsid w:val="006E6379"/>
    <w:rsid w:val="006E641F"/>
    <w:rsid w:val="006E6517"/>
    <w:rsid w:val="006E66CB"/>
    <w:rsid w:val="006E67A5"/>
    <w:rsid w:val="006E6CAD"/>
    <w:rsid w:val="006E6E49"/>
    <w:rsid w:val="006E6E7B"/>
    <w:rsid w:val="006E6EBD"/>
    <w:rsid w:val="006E6EDA"/>
    <w:rsid w:val="006E6F52"/>
    <w:rsid w:val="006E6FA6"/>
    <w:rsid w:val="006E720D"/>
    <w:rsid w:val="006E73D9"/>
    <w:rsid w:val="006E757E"/>
    <w:rsid w:val="006E7626"/>
    <w:rsid w:val="006E7793"/>
    <w:rsid w:val="006E796F"/>
    <w:rsid w:val="006E7DBC"/>
    <w:rsid w:val="006E7E85"/>
    <w:rsid w:val="006E7FB1"/>
    <w:rsid w:val="006F0024"/>
    <w:rsid w:val="006F015B"/>
    <w:rsid w:val="006F0206"/>
    <w:rsid w:val="006F0305"/>
    <w:rsid w:val="006F0336"/>
    <w:rsid w:val="006F03C0"/>
    <w:rsid w:val="006F045B"/>
    <w:rsid w:val="006F04E8"/>
    <w:rsid w:val="006F05D7"/>
    <w:rsid w:val="006F09DE"/>
    <w:rsid w:val="006F0A25"/>
    <w:rsid w:val="006F0C1E"/>
    <w:rsid w:val="006F0CF5"/>
    <w:rsid w:val="006F0E0A"/>
    <w:rsid w:val="006F0F54"/>
    <w:rsid w:val="006F10DC"/>
    <w:rsid w:val="006F111E"/>
    <w:rsid w:val="006F1121"/>
    <w:rsid w:val="006F1162"/>
    <w:rsid w:val="006F128A"/>
    <w:rsid w:val="006F1348"/>
    <w:rsid w:val="006F167E"/>
    <w:rsid w:val="006F1A61"/>
    <w:rsid w:val="006F1AD1"/>
    <w:rsid w:val="006F1B28"/>
    <w:rsid w:val="006F1BC2"/>
    <w:rsid w:val="006F1BC4"/>
    <w:rsid w:val="006F1CCB"/>
    <w:rsid w:val="006F1F56"/>
    <w:rsid w:val="006F1FEA"/>
    <w:rsid w:val="006F20AA"/>
    <w:rsid w:val="006F2340"/>
    <w:rsid w:val="006F236D"/>
    <w:rsid w:val="006F2395"/>
    <w:rsid w:val="006F2495"/>
    <w:rsid w:val="006F2568"/>
    <w:rsid w:val="006F2696"/>
    <w:rsid w:val="006F27BE"/>
    <w:rsid w:val="006F2982"/>
    <w:rsid w:val="006F2A67"/>
    <w:rsid w:val="006F2D66"/>
    <w:rsid w:val="006F2ECA"/>
    <w:rsid w:val="006F30E9"/>
    <w:rsid w:val="006F3139"/>
    <w:rsid w:val="006F33F2"/>
    <w:rsid w:val="006F3406"/>
    <w:rsid w:val="006F345A"/>
    <w:rsid w:val="006F3533"/>
    <w:rsid w:val="006F3713"/>
    <w:rsid w:val="006F3825"/>
    <w:rsid w:val="006F3855"/>
    <w:rsid w:val="006F3A0B"/>
    <w:rsid w:val="006F3AF1"/>
    <w:rsid w:val="006F3B48"/>
    <w:rsid w:val="006F3D28"/>
    <w:rsid w:val="006F3D3E"/>
    <w:rsid w:val="006F3DC2"/>
    <w:rsid w:val="006F3E28"/>
    <w:rsid w:val="006F3E37"/>
    <w:rsid w:val="006F3F79"/>
    <w:rsid w:val="006F4003"/>
    <w:rsid w:val="006F4570"/>
    <w:rsid w:val="006F46A7"/>
    <w:rsid w:val="006F473F"/>
    <w:rsid w:val="006F4AE6"/>
    <w:rsid w:val="006F4B24"/>
    <w:rsid w:val="006F4D9B"/>
    <w:rsid w:val="006F4EA6"/>
    <w:rsid w:val="006F4EC7"/>
    <w:rsid w:val="006F4F2B"/>
    <w:rsid w:val="006F5195"/>
    <w:rsid w:val="006F527D"/>
    <w:rsid w:val="006F535D"/>
    <w:rsid w:val="006F53C2"/>
    <w:rsid w:val="006F54FA"/>
    <w:rsid w:val="006F5659"/>
    <w:rsid w:val="006F56E8"/>
    <w:rsid w:val="006F58F7"/>
    <w:rsid w:val="006F5B37"/>
    <w:rsid w:val="006F5BF3"/>
    <w:rsid w:val="006F5D58"/>
    <w:rsid w:val="006F6026"/>
    <w:rsid w:val="006F6192"/>
    <w:rsid w:val="006F62C0"/>
    <w:rsid w:val="006F64A1"/>
    <w:rsid w:val="006F65AA"/>
    <w:rsid w:val="006F6721"/>
    <w:rsid w:val="006F68D4"/>
    <w:rsid w:val="006F6A81"/>
    <w:rsid w:val="006F6BFF"/>
    <w:rsid w:val="006F6DEA"/>
    <w:rsid w:val="006F70AC"/>
    <w:rsid w:val="006F72F7"/>
    <w:rsid w:val="006F740D"/>
    <w:rsid w:val="006F7767"/>
    <w:rsid w:val="006F7771"/>
    <w:rsid w:val="006F7928"/>
    <w:rsid w:val="006F797B"/>
    <w:rsid w:val="006F79A2"/>
    <w:rsid w:val="006F7AA1"/>
    <w:rsid w:val="006F7C94"/>
    <w:rsid w:val="006F7CBC"/>
    <w:rsid w:val="006F7E78"/>
    <w:rsid w:val="006F7EA6"/>
    <w:rsid w:val="0070005B"/>
    <w:rsid w:val="0070013C"/>
    <w:rsid w:val="007002DB"/>
    <w:rsid w:val="00700352"/>
    <w:rsid w:val="00700361"/>
    <w:rsid w:val="0070042A"/>
    <w:rsid w:val="007007A8"/>
    <w:rsid w:val="007007C0"/>
    <w:rsid w:val="00700835"/>
    <w:rsid w:val="007008DF"/>
    <w:rsid w:val="0070099F"/>
    <w:rsid w:val="00700F6B"/>
    <w:rsid w:val="00701095"/>
    <w:rsid w:val="00701107"/>
    <w:rsid w:val="0070111C"/>
    <w:rsid w:val="0070115E"/>
    <w:rsid w:val="0070131D"/>
    <w:rsid w:val="00701356"/>
    <w:rsid w:val="00701363"/>
    <w:rsid w:val="00701397"/>
    <w:rsid w:val="007014EA"/>
    <w:rsid w:val="00701516"/>
    <w:rsid w:val="0070153F"/>
    <w:rsid w:val="00701784"/>
    <w:rsid w:val="0070188C"/>
    <w:rsid w:val="0070189A"/>
    <w:rsid w:val="00701A52"/>
    <w:rsid w:val="00701D70"/>
    <w:rsid w:val="00701ED4"/>
    <w:rsid w:val="007020A0"/>
    <w:rsid w:val="007021BE"/>
    <w:rsid w:val="007022B9"/>
    <w:rsid w:val="00702368"/>
    <w:rsid w:val="007023C1"/>
    <w:rsid w:val="00702435"/>
    <w:rsid w:val="007024F3"/>
    <w:rsid w:val="00702779"/>
    <w:rsid w:val="007028C6"/>
    <w:rsid w:val="00702CBE"/>
    <w:rsid w:val="00702CE4"/>
    <w:rsid w:val="00702DB7"/>
    <w:rsid w:val="00702E2A"/>
    <w:rsid w:val="00702E4C"/>
    <w:rsid w:val="00702F3C"/>
    <w:rsid w:val="00702FF6"/>
    <w:rsid w:val="00703017"/>
    <w:rsid w:val="007032CE"/>
    <w:rsid w:val="00703589"/>
    <w:rsid w:val="00703A18"/>
    <w:rsid w:val="00703EDD"/>
    <w:rsid w:val="00703F80"/>
    <w:rsid w:val="00704048"/>
    <w:rsid w:val="0070411C"/>
    <w:rsid w:val="00704283"/>
    <w:rsid w:val="007042A2"/>
    <w:rsid w:val="007042DE"/>
    <w:rsid w:val="007042F6"/>
    <w:rsid w:val="00704374"/>
    <w:rsid w:val="00704403"/>
    <w:rsid w:val="00704432"/>
    <w:rsid w:val="0070457A"/>
    <w:rsid w:val="00704652"/>
    <w:rsid w:val="00704809"/>
    <w:rsid w:val="007048CA"/>
    <w:rsid w:val="00704A22"/>
    <w:rsid w:val="00704AF0"/>
    <w:rsid w:val="00704FE7"/>
    <w:rsid w:val="0070539B"/>
    <w:rsid w:val="0070540D"/>
    <w:rsid w:val="00705449"/>
    <w:rsid w:val="007056B1"/>
    <w:rsid w:val="00705747"/>
    <w:rsid w:val="00705842"/>
    <w:rsid w:val="007059D8"/>
    <w:rsid w:val="00705C11"/>
    <w:rsid w:val="00705DE5"/>
    <w:rsid w:val="00705EFE"/>
    <w:rsid w:val="007062A7"/>
    <w:rsid w:val="0070632A"/>
    <w:rsid w:val="007065DD"/>
    <w:rsid w:val="00706615"/>
    <w:rsid w:val="00706624"/>
    <w:rsid w:val="007067C5"/>
    <w:rsid w:val="00706801"/>
    <w:rsid w:val="00706A83"/>
    <w:rsid w:val="00706A99"/>
    <w:rsid w:val="00706B0D"/>
    <w:rsid w:val="00706C01"/>
    <w:rsid w:val="00706C7E"/>
    <w:rsid w:val="00706E66"/>
    <w:rsid w:val="00706FA4"/>
    <w:rsid w:val="0070709D"/>
    <w:rsid w:val="007070CD"/>
    <w:rsid w:val="00707229"/>
    <w:rsid w:val="007073E1"/>
    <w:rsid w:val="007075A2"/>
    <w:rsid w:val="007078C0"/>
    <w:rsid w:val="00707961"/>
    <w:rsid w:val="007079F7"/>
    <w:rsid w:val="00707CA6"/>
    <w:rsid w:val="00707DA4"/>
    <w:rsid w:val="00707E2C"/>
    <w:rsid w:val="00707F39"/>
    <w:rsid w:val="00707F63"/>
    <w:rsid w:val="00710064"/>
    <w:rsid w:val="0071031D"/>
    <w:rsid w:val="00710AFD"/>
    <w:rsid w:val="00710B07"/>
    <w:rsid w:val="00710BE0"/>
    <w:rsid w:val="00710C4E"/>
    <w:rsid w:val="00710D81"/>
    <w:rsid w:val="00710E67"/>
    <w:rsid w:val="00710F0C"/>
    <w:rsid w:val="00710FF8"/>
    <w:rsid w:val="0071109B"/>
    <w:rsid w:val="007112F5"/>
    <w:rsid w:val="00711419"/>
    <w:rsid w:val="007114D9"/>
    <w:rsid w:val="0071161A"/>
    <w:rsid w:val="00711A83"/>
    <w:rsid w:val="00711AF5"/>
    <w:rsid w:val="00711B55"/>
    <w:rsid w:val="00711D44"/>
    <w:rsid w:val="00712035"/>
    <w:rsid w:val="007121B4"/>
    <w:rsid w:val="0071220A"/>
    <w:rsid w:val="0071236A"/>
    <w:rsid w:val="007123C0"/>
    <w:rsid w:val="0071241C"/>
    <w:rsid w:val="0071261D"/>
    <w:rsid w:val="0071287D"/>
    <w:rsid w:val="0071294C"/>
    <w:rsid w:val="00712FCC"/>
    <w:rsid w:val="0071300C"/>
    <w:rsid w:val="007130A6"/>
    <w:rsid w:val="0071324B"/>
    <w:rsid w:val="007133B0"/>
    <w:rsid w:val="00713491"/>
    <w:rsid w:val="00713527"/>
    <w:rsid w:val="0071390C"/>
    <w:rsid w:val="00713913"/>
    <w:rsid w:val="00713C09"/>
    <w:rsid w:val="00713E36"/>
    <w:rsid w:val="007140E2"/>
    <w:rsid w:val="007140F6"/>
    <w:rsid w:val="00714312"/>
    <w:rsid w:val="007147C1"/>
    <w:rsid w:val="00714913"/>
    <w:rsid w:val="00714957"/>
    <w:rsid w:val="00714ABD"/>
    <w:rsid w:val="00714B45"/>
    <w:rsid w:val="00714CF2"/>
    <w:rsid w:val="00714E37"/>
    <w:rsid w:val="00715018"/>
    <w:rsid w:val="0071506B"/>
    <w:rsid w:val="00715145"/>
    <w:rsid w:val="0071517C"/>
    <w:rsid w:val="007151C4"/>
    <w:rsid w:val="007151D4"/>
    <w:rsid w:val="00715299"/>
    <w:rsid w:val="007152B4"/>
    <w:rsid w:val="00715662"/>
    <w:rsid w:val="00715A8F"/>
    <w:rsid w:val="00715ABB"/>
    <w:rsid w:val="00715F83"/>
    <w:rsid w:val="0071601A"/>
    <w:rsid w:val="007162DC"/>
    <w:rsid w:val="007162E7"/>
    <w:rsid w:val="00716426"/>
    <w:rsid w:val="0071643F"/>
    <w:rsid w:val="007166E4"/>
    <w:rsid w:val="007167F2"/>
    <w:rsid w:val="00716835"/>
    <w:rsid w:val="00716B6F"/>
    <w:rsid w:val="00716D3A"/>
    <w:rsid w:val="00716D4D"/>
    <w:rsid w:val="00716DB0"/>
    <w:rsid w:val="00716F54"/>
    <w:rsid w:val="00716FE4"/>
    <w:rsid w:val="00717109"/>
    <w:rsid w:val="007173DD"/>
    <w:rsid w:val="007175BA"/>
    <w:rsid w:val="00717761"/>
    <w:rsid w:val="007177F0"/>
    <w:rsid w:val="0071789E"/>
    <w:rsid w:val="00717A18"/>
    <w:rsid w:val="00717A3D"/>
    <w:rsid w:val="00717B31"/>
    <w:rsid w:val="00717B32"/>
    <w:rsid w:val="00717B6D"/>
    <w:rsid w:val="00717BCE"/>
    <w:rsid w:val="00717EDD"/>
    <w:rsid w:val="00717FD8"/>
    <w:rsid w:val="007200C1"/>
    <w:rsid w:val="00720346"/>
    <w:rsid w:val="007205F9"/>
    <w:rsid w:val="00720682"/>
    <w:rsid w:val="00720718"/>
    <w:rsid w:val="00720FD4"/>
    <w:rsid w:val="00721126"/>
    <w:rsid w:val="0072114F"/>
    <w:rsid w:val="007211EE"/>
    <w:rsid w:val="00721235"/>
    <w:rsid w:val="007214AF"/>
    <w:rsid w:val="007215A9"/>
    <w:rsid w:val="00721A9D"/>
    <w:rsid w:val="00721AF8"/>
    <w:rsid w:val="00721B5F"/>
    <w:rsid w:val="00721ED7"/>
    <w:rsid w:val="00721F09"/>
    <w:rsid w:val="00721FFE"/>
    <w:rsid w:val="00722233"/>
    <w:rsid w:val="007226EC"/>
    <w:rsid w:val="00722787"/>
    <w:rsid w:val="0072280E"/>
    <w:rsid w:val="007228C4"/>
    <w:rsid w:val="00722CD4"/>
    <w:rsid w:val="00722DD0"/>
    <w:rsid w:val="00722DDF"/>
    <w:rsid w:val="00722F70"/>
    <w:rsid w:val="00723047"/>
    <w:rsid w:val="007232DC"/>
    <w:rsid w:val="00723639"/>
    <w:rsid w:val="0072386F"/>
    <w:rsid w:val="00723A03"/>
    <w:rsid w:val="00723DC4"/>
    <w:rsid w:val="00723FEE"/>
    <w:rsid w:val="007242E3"/>
    <w:rsid w:val="007243D1"/>
    <w:rsid w:val="0072440B"/>
    <w:rsid w:val="00724729"/>
    <w:rsid w:val="00724755"/>
    <w:rsid w:val="00724ACE"/>
    <w:rsid w:val="00724EDD"/>
    <w:rsid w:val="0072510F"/>
    <w:rsid w:val="007251A5"/>
    <w:rsid w:val="00725203"/>
    <w:rsid w:val="0072523B"/>
    <w:rsid w:val="00725295"/>
    <w:rsid w:val="00725364"/>
    <w:rsid w:val="007254C6"/>
    <w:rsid w:val="007255D4"/>
    <w:rsid w:val="00725690"/>
    <w:rsid w:val="007256E2"/>
    <w:rsid w:val="00725814"/>
    <w:rsid w:val="007258E9"/>
    <w:rsid w:val="007258EA"/>
    <w:rsid w:val="00725A6C"/>
    <w:rsid w:val="00725C1E"/>
    <w:rsid w:val="00725C23"/>
    <w:rsid w:val="00725E1D"/>
    <w:rsid w:val="00725E9C"/>
    <w:rsid w:val="00725EE6"/>
    <w:rsid w:val="00725EFB"/>
    <w:rsid w:val="00725F6D"/>
    <w:rsid w:val="00726082"/>
    <w:rsid w:val="007260EF"/>
    <w:rsid w:val="007262D5"/>
    <w:rsid w:val="007264D0"/>
    <w:rsid w:val="00726577"/>
    <w:rsid w:val="00726616"/>
    <w:rsid w:val="007267AC"/>
    <w:rsid w:val="00726911"/>
    <w:rsid w:val="00726921"/>
    <w:rsid w:val="00726BE4"/>
    <w:rsid w:val="00726DF7"/>
    <w:rsid w:val="00726E99"/>
    <w:rsid w:val="00726F38"/>
    <w:rsid w:val="00727017"/>
    <w:rsid w:val="0072703C"/>
    <w:rsid w:val="0072717D"/>
    <w:rsid w:val="00727306"/>
    <w:rsid w:val="007273E1"/>
    <w:rsid w:val="00727424"/>
    <w:rsid w:val="0072799F"/>
    <w:rsid w:val="00727C06"/>
    <w:rsid w:val="00727E44"/>
    <w:rsid w:val="00727E5F"/>
    <w:rsid w:val="00727F16"/>
    <w:rsid w:val="00727F36"/>
    <w:rsid w:val="007301E8"/>
    <w:rsid w:val="0073048F"/>
    <w:rsid w:val="00730781"/>
    <w:rsid w:val="007307EC"/>
    <w:rsid w:val="007308B4"/>
    <w:rsid w:val="00730973"/>
    <w:rsid w:val="00730A09"/>
    <w:rsid w:val="00730A56"/>
    <w:rsid w:val="00730ACF"/>
    <w:rsid w:val="00730BBF"/>
    <w:rsid w:val="00730C27"/>
    <w:rsid w:val="00731046"/>
    <w:rsid w:val="0073105C"/>
    <w:rsid w:val="007311D0"/>
    <w:rsid w:val="00731210"/>
    <w:rsid w:val="00731425"/>
    <w:rsid w:val="0073175E"/>
    <w:rsid w:val="00731901"/>
    <w:rsid w:val="0073193F"/>
    <w:rsid w:val="00731B00"/>
    <w:rsid w:val="00731CEA"/>
    <w:rsid w:val="00731E3E"/>
    <w:rsid w:val="00731EAA"/>
    <w:rsid w:val="00731FB6"/>
    <w:rsid w:val="0073215E"/>
    <w:rsid w:val="007325ED"/>
    <w:rsid w:val="007327A8"/>
    <w:rsid w:val="0073283F"/>
    <w:rsid w:val="007328A1"/>
    <w:rsid w:val="007329E2"/>
    <w:rsid w:val="00732A82"/>
    <w:rsid w:val="00732E7F"/>
    <w:rsid w:val="0073343E"/>
    <w:rsid w:val="0073360E"/>
    <w:rsid w:val="00733662"/>
    <w:rsid w:val="00733877"/>
    <w:rsid w:val="00733EBD"/>
    <w:rsid w:val="00733F8D"/>
    <w:rsid w:val="007340C8"/>
    <w:rsid w:val="007342F3"/>
    <w:rsid w:val="00734413"/>
    <w:rsid w:val="00734624"/>
    <w:rsid w:val="0073480E"/>
    <w:rsid w:val="00734933"/>
    <w:rsid w:val="00734A2C"/>
    <w:rsid w:val="00734CC9"/>
    <w:rsid w:val="00734D69"/>
    <w:rsid w:val="00734DAD"/>
    <w:rsid w:val="00734ED6"/>
    <w:rsid w:val="0073513D"/>
    <w:rsid w:val="0073522D"/>
    <w:rsid w:val="007352B3"/>
    <w:rsid w:val="007352B5"/>
    <w:rsid w:val="00735367"/>
    <w:rsid w:val="0073548C"/>
    <w:rsid w:val="007354E9"/>
    <w:rsid w:val="0073554E"/>
    <w:rsid w:val="007356C5"/>
    <w:rsid w:val="007357D2"/>
    <w:rsid w:val="00735A2C"/>
    <w:rsid w:val="00735BE5"/>
    <w:rsid w:val="00735CEE"/>
    <w:rsid w:val="00735EC3"/>
    <w:rsid w:val="00735EDA"/>
    <w:rsid w:val="00735EEA"/>
    <w:rsid w:val="00735FEF"/>
    <w:rsid w:val="00736205"/>
    <w:rsid w:val="00736230"/>
    <w:rsid w:val="00736A06"/>
    <w:rsid w:val="00736A2D"/>
    <w:rsid w:val="00736AD4"/>
    <w:rsid w:val="00736C81"/>
    <w:rsid w:val="00736DFC"/>
    <w:rsid w:val="00736FD3"/>
    <w:rsid w:val="00736FF3"/>
    <w:rsid w:val="00737167"/>
    <w:rsid w:val="0073726A"/>
    <w:rsid w:val="007373AE"/>
    <w:rsid w:val="007373BC"/>
    <w:rsid w:val="0073742A"/>
    <w:rsid w:val="0073751A"/>
    <w:rsid w:val="007375BB"/>
    <w:rsid w:val="00737694"/>
    <w:rsid w:val="007377E3"/>
    <w:rsid w:val="00737875"/>
    <w:rsid w:val="00737A51"/>
    <w:rsid w:val="00737BFE"/>
    <w:rsid w:val="00737F70"/>
    <w:rsid w:val="00740018"/>
    <w:rsid w:val="007400BB"/>
    <w:rsid w:val="007401A2"/>
    <w:rsid w:val="007401FC"/>
    <w:rsid w:val="00740344"/>
    <w:rsid w:val="00740537"/>
    <w:rsid w:val="00740587"/>
    <w:rsid w:val="007409D3"/>
    <w:rsid w:val="00740A05"/>
    <w:rsid w:val="00740A1C"/>
    <w:rsid w:val="00740A2C"/>
    <w:rsid w:val="00740C5F"/>
    <w:rsid w:val="00740E25"/>
    <w:rsid w:val="00740F4A"/>
    <w:rsid w:val="00740FD5"/>
    <w:rsid w:val="00741057"/>
    <w:rsid w:val="007410E0"/>
    <w:rsid w:val="00741129"/>
    <w:rsid w:val="00741136"/>
    <w:rsid w:val="00741304"/>
    <w:rsid w:val="007414C5"/>
    <w:rsid w:val="00741666"/>
    <w:rsid w:val="007418E0"/>
    <w:rsid w:val="00741969"/>
    <w:rsid w:val="00741AA2"/>
    <w:rsid w:val="00741B84"/>
    <w:rsid w:val="00741BCA"/>
    <w:rsid w:val="00741F49"/>
    <w:rsid w:val="00742029"/>
    <w:rsid w:val="007421E1"/>
    <w:rsid w:val="00742214"/>
    <w:rsid w:val="00742420"/>
    <w:rsid w:val="007425AC"/>
    <w:rsid w:val="007425B9"/>
    <w:rsid w:val="007426CD"/>
    <w:rsid w:val="007426EB"/>
    <w:rsid w:val="00742AAF"/>
    <w:rsid w:val="00742C4E"/>
    <w:rsid w:val="00742D21"/>
    <w:rsid w:val="00742E53"/>
    <w:rsid w:val="007430E2"/>
    <w:rsid w:val="0074328E"/>
    <w:rsid w:val="00743326"/>
    <w:rsid w:val="007435F2"/>
    <w:rsid w:val="00743673"/>
    <w:rsid w:val="0074370E"/>
    <w:rsid w:val="00743886"/>
    <w:rsid w:val="007439DF"/>
    <w:rsid w:val="00743A8B"/>
    <w:rsid w:val="00743AD7"/>
    <w:rsid w:val="00743BF2"/>
    <w:rsid w:val="00743C27"/>
    <w:rsid w:val="00743D9B"/>
    <w:rsid w:val="00743EBD"/>
    <w:rsid w:val="0074413E"/>
    <w:rsid w:val="007443C8"/>
    <w:rsid w:val="0074448D"/>
    <w:rsid w:val="007444C2"/>
    <w:rsid w:val="0074452D"/>
    <w:rsid w:val="007445C9"/>
    <w:rsid w:val="007445F3"/>
    <w:rsid w:val="007446AD"/>
    <w:rsid w:val="007449E0"/>
    <w:rsid w:val="00744A00"/>
    <w:rsid w:val="00744D13"/>
    <w:rsid w:val="00744D82"/>
    <w:rsid w:val="00744E17"/>
    <w:rsid w:val="00744E74"/>
    <w:rsid w:val="00744F5E"/>
    <w:rsid w:val="007450F1"/>
    <w:rsid w:val="007453B8"/>
    <w:rsid w:val="007455C7"/>
    <w:rsid w:val="0074560F"/>
    <w:rsid w:val="00745660"/>
    <w:rsid w:val="00745671"/>
    <w:rsid w:val="0074584C"/>
    <w:rsid w:val="007459DE"/>
    <w:rsid w:val="00745A7C"/>
    <w:rsid w:val="00745B53"/>
    <w:rsid w:val="00745BDE"/>
    <w:rsid w:val="00745C33"/>
    <w:rsid w:val="00745DB3"/>
    <w:rsid w:val="00745DF4"/>
    <w:rsid w:val="00745FBE"/>
    <w:rsid w:val="0074630B"/>
    <w:rsid w:val="00746440"/>
    <w:rsid w:val="0074645D"/>
    <w:rsid w:val="007464D9"/>
    <w:rsid w:val="0074662F"/>
    <w:rsid w:val="00746910"/>
    <w:rsid w:val="00746C94"/>
    <w:rsid w:val="00746F09"/>
    <w:rsid w:val="0074709B"/>
    <w:rsid w:val="007472B6"/>
    <w:rsid w:val="007472F9"/>
    <w:rsid w:val="00747341"/>
    <w:rsid w:val="00747A2C"/>
    <w:rsid w:val="00747ABB"/>
    <w:rsid w:val="00747C32"/>
    <w:rsid w:val="00747E60"/>
    <w:rsid w:val="00747F24"/>
    <w:rsid w:val="0075008F"/>
    <w:rsid w:val="00750133"/>
    <w:rsid w:val="007501D7"/>
    <w:rsid w:val="0075025E"/>
    <w:rsid w:val="007502D7"/>
    <w:rsid w:val="00750431"/>
    <w:rsid w:val="00750698"/>
    <w:rsid w:val="0075074F"/>
    <w:rsid w:val="00750804"/>
    <w:rsid w:val="00750814"/>
    <w:rsid w:val="00750AC4"/>
    <w:rsid w:val="00750C7D"/>
    <w:rsid w:val="00750D11"/>
    <w:rsid w:val="00750F7F"/>
    <w:rsid w:val="00751099"/>
    <w:rsid w:val="00751240"/>
    <w:rsid w:val="007516EA"/>
    <w:rsid w:val="007517CC"/>
    <w:rsid w:val="007518AB"/>
    <w:rsid w:val="007518E2"/>
    <w:rsid w:val="007519AA"/>
    <w:rsid w:val="00751B5E"/>
    <w:rsid w:val="00751E06"/>
    <w:rsid w:val="00751F24"/>
    <w:rsid w:val="00751FA8"/>
    <w:rsid w:val="00752224"/>
    <w:rsid w:val="0075225F"/>
    <w:rsid w:val="007522EF"/>
    <w:rsid w:val="007522FB"/>
    <w:rsid w:val="0075239B"/>
    <w:rsid w:val="00752413"/>
    <w:rsid w:val="007529A3"/>
    <w:rsid w:val="007529C8"/>
    <w:rsid w:val="00752A35"/>
    <w:rsid w:val="00752B1A"/>
    <w:rsid w:val="00752C9C"/>
    <w:rsid w:val="00752D49"/>
    <w:rsid w:val="00753241"/>
    <w:rsid w:val="007532B7"/>
    <w:rsid w:val="0075338A"/>
    <w:rsid w:val="0075350F"/>
    <w:rsid w:val="00753649"/>
    <w:rsid w:val="007536F3"/>
    <w:rsid w:val="007537B2"/>
    <w:rsid w:val="007537C8"/>
    <w:rsid w:val="00753892"/>
    <w:rsid w:val="00753CA3"/>
    <w:rsid w:val="00753D8C"/>
    <w:rsid w:val="00753E54"/>
    <w:rsid w:val="00754148"/>
    <w:rsid w:val="007543DA"/>
    <w:rsid w:val="0075471B"/>
    <w:rsid w:val="0075471F"/>
    <w:rsid w:val="0075476C"/>
    <w:rsid w:val="00754790"/>
    <w:rsid w:val="007547DB"/>
    <w:rsid w:val="007547E8"/>
    <w:rsid w:val="00754873"/>
    <w:rsid w:val="00754961"/>
    <w:rsid w:val="00754D3D"/>
    <w:rsid w:val="00754EB0"/>
    <w:rsid w:val="00754F4C"/>
    <w:rsid w:val="0075516B"/>
    <w:rsid w:val="007551A1"/>
    <w:rsid w:val="00755295"/>
    <w:rsid w:val="0075532B"/>
    <w:rsid w:val="0075537C"/>
    <w:rsid w:val="007554C1"/>
    <w:rsid w:val="0075554B"/>
    <w:rsid w:val="00755582"/>
    <w:rsid w:val="00755657"/>
    <w:rsid w:val="007556A7"/>
    <w:rsid w:val="00755762"/>
    <w:rsid w:val="0075581A"/>
    <w:rsid w:val="0075589C"/>
    <w:rsid w:val="007558D1"/>
    <w:rsid w:val="00755998"/>
    <w:rsid w:val="00755AA3"/>
    <w:rsid w:val="00755BE2"/>
    <w:rsid w:val="00755ED1"/>
    <w:rsid w:val="007560C0"/>
    <w:rsid w:val="00756246"/>
    <w:rsid w:val="007562A0"/>
    <w:rsid w:val="00756372"/>
    <w:rsid w:val="00756398"/>
    <w:rsid w:val="0075649F"/>
    <w:rsid w:val="007566B1"/>
    <w:rsid w:val="0075675D"/>
    <w:rsid w:val="00756822"/>
    <w:rsid w:val="00756B2C"/>
    <w:rsid w:val="00756B4D"/>
    <w:rsid w:val="00756D1C"/>
    <w:rsid w:val="00757005"/>
    <w:rsid w:val="0075706C"/>
    <w:rsid w:val="007570A8"/>
    <w:rsid w:val="007570C2"/>
    <w:rsid w:val="00757101"/>
    <w:rsid w:val="0075736E"/>
    <w:rsid w:val="007573DD"/>
    <w:rsid w:val="00757765"/>
    <w:rsid w:val="0075782B"/>
    <w:rsid w:val="0075795C"/>
    <w:rsid w:val="007579AF"/>
    <w:rsid w:val="00757B19"/>
    <w:rsid w:val="00757BE4"/>
    <w:rsid w:val="00757ECD"/>
    <w:rsid w:val="00760021"/>
    <w:rsid w:val="00760398"/>
    <w:rsid w:val="007604D0"/>
    <w:rsid w:val="007605D2"/>
    <w:rsid w:val="00760615"/>
    <w:rsid w:val="00760778"/>
    <w:rsid w:val="00760B45"/>
    <w:rsid w:val="00760DF8"/>
    <w:rsid w:val="007610BD"/>
    <w:rsid w:val="007612A5"/>
    <w:rsid w:val="007613A3"/>
    <w:rsid w:val="00761452"/>
    <w:rsid w:val="007617CE"/>
    <w:rsid w:val="00761898"/>
    <w:rsid w:val="00761A27"/>
    <w:rsid w:val="00761A84"/>
    <w:rsid w:val="00761AE8"/>
    <w:rsid w:val="00761DC0"/>
    <w:rsid w:val="00762178"/>
    <w:rsid w:val="0076230E"/>
    <w:rsid w:val="007624AD"/>
    <w:rsid w:val="007624FA"/>
    <w:rsid w:val="0076274D"/>
    <w:rsid w:val="007627DF"/>
    <w:rsid w:val="007628E0"/>
    <w:rsid w:val="00762951"/>
    <w:rsid w:val="00762B76"/>
    <w:rsid w:val="00762BA7"/>
    <w:rsid w:val="00762C16"/>
    <w:rsid w:val="00762D33"/>
    <w:rsid w:val="00762DF0"/>
    <w:rsid w:val="00762FD7"/>
    <w:rsid w:val="00763009"/>
    <w:rsid w:val="007630A4"/>
    <w:rsid w:val="00763211"/>
    <w:rsid w:val="007634EF"/>
    <w:rsid w:val="0076354B"/>
    <w:rsid w:val="00763619"/>
    <w:rsid w:val="007636E7"/>
    <w:rsid w:val="00763835"/>
    <w:rsid w:val="007639D3"/>
    <w:rsid w:val="007639F5"/>
    <w:rsid w:val="00763A49"/>
    <w:rsid w:val="00763B26"/>
    <w:rsid w:val="00763BAC"/>
    <w:rsid w:val="00763C23"/>
    <w:rsid w:val="00763E80"/>
    <w:rsid w:val="0076407F"/>
    <w:rsid w:val="007640AB"/>
    <w:rsid w:val="00764127"/>
    <w:rsid w:val="0076425C"/>
    <w:rsid w:val="007642AE"/>
    <w:rsid w:val="0076444C"/>
    <w:rsid w:val="007645FB"/>
    <w:rsid w:val="007646D8"/>
    <w:rsid w:val="007647AA"/>
    <w:rsid w:val="007647E7"/>
    <w:rsid w:val="0076486D"/>
    <w:rsid w:val="007648E0"/>
    <w:rsid w:val="007648EE"/>
    <w:rsid w:val="007649D3"/>
    <w:rsid w:val="00764D15"/>
    <w:rsid w:val="00764E3E"/>
    <w:rsid w:val="00764EE3"/>
    <w:rsid w:val="00764F57"/>
    <w:rsid w:val="00765126"/>
    <w:rsid w:val="00765373"/>
    <w:rsid w:val="00765898"/>
    <w:rsid w:val="00765922"/>
    <w:rsid w:val="00765998"/>
    <w:rsid w:val="007659DA"/>
    <w:rsid w:val="00765A22"/>
    <w:rsid w:val="00765ABC"/>
    <w:rsid w:val="00765C2B"/>
    <w:rsid w:val="00765C49"/>
    <w:rsid w:val="00765E29"/>
    <w:rsid w:val="00765E7F"/>
    <w:rsid w:val="00765F27"/>
    <w:rsid w:val="007660AF"/>
    <w:rsid w:val="007660D6"/>
    <w:rsid w:val="007661E3"/>
    <w:rsid w:val="00766213"/>
    <w:rsid w:val="00766283"/>
    <w:rsid w:val="007662DC"/>
    <w:rsid w:val="007662F1"/>
    <w:rsid w:val="00766608"/>
    <w:rsid w:val="00766624"/>
    <w:rsid w:val="007666FB"/>
    <w:rsid w:val="00766A1C"/>
    <w:rsid w:val="00766F6F"/>
    <w:rsid w:val="0076729E"/>
    <w:rsid w:val="0076732A"/>
    <w:rsid w:val="0076770C"/>
    <w:rsid w:val="00767A89"/>
    <w:rsid w:val="00767AB4"/>
    <w:rsid w:val="00767ACF"/>
    <w:rsid w:val="00767B30"/>
    <w:rsid w:val="00767DE8"/>
    <w:rsid w:val="00767E92"/>
    <w:rsid w:val="00767FD9"/>
    <w:rsid w:val="0077034A"/>
    <w:rsid w:val="0077050D"/>
    <w:rsid w:val="00770594"/>
    <w:rsid w:val="007708B4"/>
    <w:rsid w:val="00770981"/>
    <w:rsid w:val="00770D42"/>
    <w:rsid w:val="00770DA6"/>
    <w:rsid w:val="007711DE"/>
    <w:rsid w:val="00771226"/>
    <w:rsid w:val="0077127C"/>
    <w:rsid w:val="007712C1"/>
    <w:rsid w:val="0077140E"/>
    <w:rsid w:val="00771592"/>
    <w:rsid w:val="007715FF"/>
    <w:rsid w:val="007718C0"/>
    <w:rsid w:val="00771A92"/>
    <w:rsid w:val="00771A96"/>
    <w:rsid w:val="00771C53"/>
    <w:rsid w:val="00771C95"/>
    <w:rsid w:val="00771E17"/>
    <w:rsid w:val="00771F52"/>
    <w:rsid w:val="007720DE"/>
    <w:rsid w:val="00772146"/>
    <w:rsid w:val="007721E3"/>
    <w:rsid w:val="00772338"/>
    <w:rsid w:val="007726F7"/>
    <w:rsid w:val="0077283E"/>
    <w:rsid w:val="00772843"/>
    <w:rsid w:val="0077290E"/>
    <w:rsid w:val="00772953"/>
    <w:rsid w:val="00772D78"/>
    <w:rsid w:val="00772FAD"/>
    <w:rsid w:val="00773049"/>
    <w:rsid w:val="007731A2"/>
    <w:rsid w:val="00773283"/>
    <w:rsid w:val="0077338C"/>
    <w:rsid w:val="007733B0"/>
    <w:rsid w:val="00773545"/>
    <w:rsid w:val="007737A5"/>
    <w:rsid w:val="007737C0"/>
    <w:rsid w:val="00773829"/>
    <w:rsid w:val="00773967"/>
    <w:rsid w:val="00773A04"/>
    <w:rsid w:val="00773A49"/>
    <w:rsid w:val="00773CEB"/>
    <w:rsid w:val="00773F00"/>
    <w:rsid w:val="00774076"/>
    <w:rsid w:val="007740F8"/>
    <w:rsid w:val="0077420A"/>
    <w:rsid w:val="007742DC"/>
    <w:rsid w:val="00774403"/>
    <w:rsid w:val="007744D9"/>
    <w:rsid w:val="007746D1"/>
    <w:rsid w:val="00774909"/>
    <w:rsid w:val="00774954"/>
    <w:rsid w:val="00774B0D"/>
    <w:rsid w:val="00774BB0"/>
    <w:rsid w:val="00774BCA"/>
    <w:rsid w:val="00774C3E"/>
    <w:rsid w:val="00774E1C"/>
    <w:rsid w:val="00774FAF"/>
    <w:rsid w:val="007751C4"/>
    <w:rsid w:val="0077551B"/>
    <w:rsid w:val="0077593C"/>
    <w:rsid w:val="00775ABC"/>
    <w:rsid w:val="00775CFA"/>
    <w:rsid w:val="00775D95"/>
    <w:rsid w:val="00775DB0"/>
    <w:rsid w:val="00775DE6"/>
    <w:rsid w:val="00775E18"/>
    <w:rsid w:val="00776094"/>
    <w:rsid w:val="00776136"/>
    <w:rsid w:val="0077639F"/>
    <w:rsid w:val="00776700"/>
    <w:rsid w:val="00776920"/>
    <w:rsid w:val="00776934"/>
    <w:rsid w:val="00776A3E"/>
    <w:rsid w:val="00776FB8"/>
    <w:rsid w:val="007771A9"/>
    <w:rsid w:val="007771CF"/>
    <w:rsid w:val="0077730D"/>
    <w:rsid w:val="0077736C"/>
    <w:rsid w:val="007776A9"/>
    <w:rsid w:val="007778FA"/>
    <w:rsid w:val="0077796A"/>
    <w:rsid w:val="00777A82"/>
    <w:rsid w:val="00777BB2"/>
    <w:rsid w:val="00777CC4"/>
    <w:rsid w:val="00777CD9"/>
    <w:rsid w:val="00777CE2"/>
    <w:rsid w:val="00777E34"/>
    <w:rsid w:val="00777E4A"/>
    <w:rsid w:val="00780068"/>
    <w:rsid w:val="00780273"/>
    <w:rsid w:val="007802AC"/>
    <w:rsid w:val="007807F6"/>
    <w:rsid w:val="0078080B"/>
    <w:rsid w:val="0078080F"/>
    <w:rsid w:val="00780853"/>
    <w:rsid w:val="007808C2"/>
    <w:rsid w:val="007809FC"/>
    <w:rsid w:val="00780A7B"/>
    <w:rsid w:val="00780AF2"/>
    <w:rsid w:val="00780B0C"/>
    <w:rsid w:val="00780C68"/>
    <w:rsid w:val="00780EFF"/>
    <w:rsid w:val="00780FC4"/>
    <w:rsid w:val="007815A6"/>
    <w:rsid w:val="00781736"/>
    <w:rsid w:val="00781859"/>
    <w:rsid w:val="00781889"/>
    <w:rsid w:val="007818D7"/>
    <w:rsid w:val="00781901"/>
    <w:rsid w:val="00781911"/>
    <w:rsid w:val="0078191C"/>
    <w:rsid w:val="00781964"/>
    <w:rsid w:val="00781AA1"/>
    <w:rsid w:val="00781B8B"/>
    <w:rsid w:val="00781BC1"/>
    <w:rsid w:val="00781E3B"/>
    <w:rsid w:val="0078203C"/>
    <w:rsid w:val="0078216E"/>
    <w:rsid w:val="00782252"/>
    <w:rsid w:val="007822C9"/>
    <w:rsid w:val="007822CC"/>
    <w:rsid w:val="00782467"/>
    <w:rsid w:val="007824C7"/>
    <w:rsid w:val="0078261A"/>
    <w:rsid w:val="007826B0"/>
    <w:rsid w:val="0078277E"/>
    <w:rsid w:val="00782895"/>
    <w:rsid w:val="00782898"/>
    <w:rsid w:val="007829C3"/>
    <w:rsid w:val="00782D67"/>
    <w:rsid w:val="00782DDA"/>
    <w:rsid w:val="0078305C"/>
    <w:rsid w:val="00783139"/>
    <w:rsid w:val="007831A1"/>
    <w:rsid w:val="007831DE"/>
    <w:rsid w:val="0078322F"/>
    <w:rsid w:val="0078335B"/>
    <w:rsid w:val="007834EF"/>
    <w:rsid w:val="0078365A"/>
    <w:rsid w:val="0078389D"/>
    <w:rsid w:val="007838B4"/>
    <w:rsid w:val="00783950"/>
    <w:rsid w:val="00783B76"/>
    <w:rsid w:val="00783B85"/>
    <w:rsid w:val="00783BA6"/>
    <w:rsid w:val="00783CCA"/>
    <w:rsid w:val="00783CF7"/>
    <w:rsid w:val="00783D78"/>
    <w:rsid w:val="00783EC6"/>
    <w:rsid w:val="00783FDA"/>
    <w:rsid w:val="007840E3"/>
    <w:rsid w:val="007842CA"/>
    <w:rsid w:val="0078437A"/>
    <w:rsid w:val="0078446B"/>
    <w:rsid w:val="00784598"/>
    <w:rsid w:val="007845A0"/>
    <w:rsid w:val="00784695"/>
    <w:rsid w:val="007849C4"/>
    <w:rsid w:val="00784A82"/>
    <w:rsid w:val="00784A8E"/>
    <w:rsid w:val="00784B55"/>
    <w:rsid w:val="00784B5F"/>
    <w:rsid w:val="00784D60"/>
    <w:rsid w:val="00784D6F"/>
    <w:rsid w:val="00784DDD"/>
    <w:rsid w:val="00785205"/>
    <w:rsid w:val="007853C6"/>
    <w:rsid w:val="007853CE"/>
    <w:rsid w:val="007853EB"/>
    <w:rsid w:val="00785465"/>
    <w:rsid w:val="00785679"/>
    <w:rsid w:val="00785895"/>
    <w:rsid w:val="007858CE"/>
    <w:rsid w:val="0078591C"/>
    <w:rsid w:val="00785A23"/>
    <w:rsid w:val="00785B56"/>
    <w:rsid w:val="00785C42"/>
    <w:rsid w:val="00785C84"/>
    <w:rsid w:val="00785D3F"/>
    <w:rsid w:val="00785DE4"/>
    <w:rsid w:val="00785DFE"/>
    <w:rsid w:val="00785FCA"/>
    <w:rsid w:val="00786032"/>
    <w:rsid w:val="00786173"/>
    <w:rsid w:val="0078635C"/>
    <w:rsid w:val="00786406"/>
    <w:rsid w:val="00786428"/>
    <w:rsid w:val="0078645C"/>
    <w:rsid w:val="007865A7"/>
    <w:rsid w:val="00786872"/>
    <w:rsid w:val="007868D1"/>
    <w:rsid w:val="0078697C"/>
    <w:rsid w:val="007869F7"/>
    <w:rsid w:val="00786A57"/>
    <w:rsid w:val="00786BA3"/>
    <w:rsid w:val="00786BF8"/>
    <w:rsid w:val="00786CC0"/>
    <w:rsid w:val="00786D5C"/>
    <w:rsid w:val="00786D74"/>
    <w:rsid w:val="00786E5E"/>
    <w:rsid w:val="00787087"/>
    <w:rsid w:val="00787250"/>
    <w:rsid w:val="0078733A"/>
    <w:rsid w:val="00787414"/>
    <w:rsid w:val="007874BA"/>
    <w:rsid w:val="00787562"/>
    <w:rsid w:val="00787688"/>
    <w:rsid w:val="007876C1"/>
    <w:rsid w:val="007878C8"/>
    <w:rsid w:val="00787B10"/>
    <w:rsid w:val="00787BD7"/>
    <w:rsid w:val="00787C96"/>
    <w:rsid w:val="00787DA0"/>
    <w:rsid w:val="00787DE8"/>
    <w:rsid w:val="00790030"/>
    <w:rsid w:val="007900EE"/>
    <w:rsid w:val="00790327"/>
    <w:rsid w:val="007904C6"/>
    <w:rsid w:val="007904E4"/>
    <w:rsid w:val="0079057B"/>
    <w:rsid w:val="00790784"/>
    <w:rsid w:val="00790856"/>
    <w:rsid w:val="007908D5"/>
    <w:rsid w:val="00790C1B"/>
    <w:rsid w:val="00790D5E"/>
    <w:rsid w:val="00790D8E"/>
    <w:rsid w:val="007910F2"/>
    <w:rsid w:val="007911D9"/>
    <w:rsid w:val="0079127B"/>
    <w:rsid w:val="0079129D"/>
    <w:rsid w:val="0079146B"/>
    <w:rsid w:val="00791652"/>
    <w:rsid w:val="007917FF"/>
    <w:rsid w:val="007919C3"/>
    <w:rsid w:val="00791A79"/>
    <w:rsid w:val="00791B53"/>
    <w:rsid w:val="00791B57"/>
    <w:rsid w:val="00791C13"/>
    <w:rsid w:val="00791D65"/>
    <w:rsid w:val="00791DAF"/>
    <w:rsid w:val="00791E94"/>
    <w:rsid w:val="00792130"/>
    <w:rsid w:val="007922EF"/>
    <w:rsid w:val="00792560"/>
    <w:rsid w:val="00792A7D"/>
    <w:rsid w:val="00792C41"/>
    <w:rsid w:val="00792C56"/>
    <w:rsid w:val="00792C6D"/>
    <w:rsid w:val="00792C98"/>
    <w:rsid w:val="00792DB0"/>
    <w:rsid w:val="00792DCF"/>
    <w:rsid w:val="00792E1B"/>
    <w:rsid w:val="00792E5E"/>
    <w:rsid w:val="0079303D"/>
    <w:rsid w:val="00793294"/>
    <w:rsid w:val="00793480"/>
    <w:rsid w:val="0079368E"/>
    <w:rsid w:val="0079378C"/>
    <w:rsid w:val="007937BA"/>
    <w:rsid w:val="0079386C"/>
    <w:rsid w:val="0079395A"/>
    <w:rsid w:val="007939F8"/>
    <w:rsid w:val="00793AF9"/>
    <w:rsid w:val="00793B12"/>
    <w:rsid w:val="00793EAA"/>
    <w:rsid w:val="0079402E"/>
    <w:rsid w:val="007941CC"/>
    <w:rsid w:val="0079446B"/>
    <w:rsid w:val="007944C8"/>
    <w:rsid w:val="007945A1"/>
    <w:rsid w:val="00794748"/>
    <w:rsid w:val="00794764"/>
    <w:rsid w:val="00794805"/>
    <w:rsid w:val="00794825"/>
    <w:rsid w:val="0079491A"/>
    <w:rsid w:val="00794943"/>
    <w:rsid w:val="00794969"/>
    <w:rsid w:val="00794AAA"/>
    <w:rsid w:val="00794B8F"/>
    <w:rsid w:val="00794BBD"/>
    <w:rsid w:val="00794C27"/>
    <w:rsid w:val="00794C4E"/>
    <w:rsid w:val="00794D5A"/>
    <w:rsid w:val="00794DAF"/>
    <w:rsid w:val="00794E1E"/>
    <w:rsid w:val="00794F47"/>
    <w:rsid w:val="00794FDA"/>
    <w:rsid w:val="00795151"/>
    <w:rsid w:val="007951EE"/>
    <w:rsid w:val="007952E9"/>
    <w:rsid w:val="0079545A"/>
    <w:rsid w:val="0079575D"/>
    <w:rsid w:val="0079577A"/>
    <w:rsid w:val="00795794"/>
    <w:rsid w:val="00795E6A"/>
    <w:rsid w:val="00795EC6"/>
    <w:rsid w:val="0079605B"/>
    <w:rsid w:val="007961C1"/>
    <w:rsid w:val="007962F2"/>
    <w:rsid w:val="00796344"/>
    <w:rsid w:val="00796465"/>
    <w:rsid w:val="00796846"/>
    <w:rsid w:val="0079687B"/>
    <w:rsid w:val="00796929"/>
    <w:rsid w:val="00796952"/>
    <w:rsid w:val="00796A26"/>
    <w:rsid w:val="00796C62"/>
    <w:rsid w:val="00796E95"/>
    <w:rsid w:val="00796F11"/>
    <w:rsid w:val="00796F9B"/>
    <w:rsid w:val="007970BA"/>
    <w:rsid w:val="007972BB"/>
    <w:rsid w:val="007973A7"/>
    <w:rsid w:val="0079742B"/>
    <w:rsid w:val="00797450"/>
    <w:rsid w:val="00797561"/>
    <w:rsid w:val="007975D4"/>
    <w:rsid w:val="007976BC"/>
    <w:rsid w:val="0079779B"/>
    <w:rsid w:val="007977BA"/>
    <w:rsid w:val="00797879"/>
    <w:rsid w:val="007978BD"/>
    <w:rsid w:val="00797C5E"/>
    <w:rsid w:val="00797EA7"/>
    <w:rsid w:val="00797EC1"/>
    <w:rsid w:val="00797FA0"/>
    <w:rsid w:val="007A007C"/>
    <w:rsid w:val="007A0088"/>
    <w:rsid w:val="007A00C8"/>
    <w:rsid w:val="007A01DE"/>
    <w:rsid w:val="007A0278"/>
    <w:rsid w:val="007A02AE"/>
    <w:rsid w:val="007A061B"/>
    <w:rsid w:val="007A0838"/>
    <w:rsid w:val="007A0A29"/>
    <w:rsid w:val="007A0CA9"/>
    <w:rsid w:val="007A0D4C"/>
    <w:rsid w:val="007A0E3E"/>
    <w:rsid w:val="007A0E94"/>
    <w:rsid w:val="007A1054"/>
    <w:rsid w:val="007A1150"/>
    <w:rsid w:val="007A12C4"/>
    <w:rsid w:val="007A12CA"/>
    <w:rsid w:val="007A135E"/>
    <w:rsid w:val="007A14B7"/>
    <w:rsid w:val="007A169B"/>
    <w:rsid w:val="007A17DB"/>
    <w:rsid w:val="007A1805"/>
    <w:rsid w:val="007A18A7"/>
    <w:rsid w:val="007A1C3C"/>
    <w:rsid w:val="007A1F10"/>
    <w:rsid w:val="007A207D"/>
    <w:rsid w:val="007A20D2"/>
    <w:rsid w:val="007A20E5"/>
    <w:rsid w:val="007A21B5"/>
    <w:rsid w:val="007A230F"/>
    <w:rsid w:val="007A23FE"/>
    <w:rsid w:val="007A262F"/>
    <w:rsid w:val="007A26A9"/>
    <w:rsid w:val="007A27C9"/>
    <w:rsid w:val="007A2978"/>
    <w:rsid w:val="007A2980"/>
    <w:rsid w:val="007A2AED"/>
    <w:rsid w:val="007A2C12"/>
    <w:rsid w:val="007A2DB8"/>
    <w:rsid w:val="007A2DEF"/>
    <w:rsid w:val="007A2EAC"/>
    <w:rsid w:val="007A302E"/>
    <w:rsid w:val="007A33B9"/>
    <w:rsid w:val="007A34CF"/>
    <w:rsid w:val="007A364D"/>
    <w:rsid w:val="007A3766"/>
    <w:rsid w:val="007A38AB"/>
    <w:rsid w:val="007A390C"/>
    <w:rsid w:val="007A3A78"/>
    <w:rsid w:val="007A3B70"/>
    <w:rsid w:val="007A3C7E"/>
    <w:rsid w:val="007A3D9D"/>
    <w:rsid w:val="007A3DFD"/>
    <w:rsid w:val="007A40F4"/>
    <w:rsid w:val="007A415F"/>
    <w:rsid w:val="007A41EA"/>
    <w:rsid w:val="007A4222"/>
    <w:rsid w:val="007A425E"/>
    <w:rsid w:val="007A43BE"/>
    <w:rsid w:val="007A43C8"/>
    <w:rsid w:val="007A43F5"/>
    <w:rsid w:val="007A449B"/>
    <w:rsid w:val="007A44C7"/>
    <w:rsid w:val="007A4534"/>
    <w:rsid w:val="007A45CE"/>
    <w:rsid w:val="007A4607"/>
    <w:rsid w:val="007A4706"/>
    <w:rsid w:val="007A47E8"/>
    <w:rsid w:val="007A47FB"/>
    <w:rsid w:val="007A4995"/>
    <w:rsid w:val="007A4A43"/>
    <w:rsid w:val="007A4BD1"/>
    <w:rsid w:val="007A513B"/>
    <w:rsid w:val="007A536F"/>
    <w:rsid w:val="007A54CC"/>
    <w:rsid w:val="007A55AA"/>
    <w:rsid w:val="007A5609"/>
    <w:rsid w:val="007A5734"/>
    <w:rsid w:val="007A57B1"/>
    <w:rsid w:val="007A5973"/>
    <w:rsid w:val="007A5A1D"/>
    <w:rsid w:val="007A5A62"/>
    <w:rsid w:val="007A5C14"/>
    <w:rsid w:val="007A5CF8"/>
    <w:rsid w:val="007A5E58"/>
    <w:rsid w:val="007A5ECC"/>
    <w:rsid w:val="007A5F74"/>
    <w:rsid w:val="007A610B"/>
    <w:rsid w:val="007A6265"/>
    <w:rsid w:val="007A64DD"/>
    <w:rsid w:val="007A6581"/>
    <w:rsid w:val="007A65A4"/>
    <w:rsid w:val="007A6670"/>
    <w:rsid w:val="007A6691"/>
    <w:rsid w:val="007A66B9"/>
    <w:rsid w:val="007A6769"/>
    <w:rsid w:val="007A69D9"/>
    <w:rsid w:val="007A69FF"/>
    <w:rsid w:val="007A6BEE"/>
    <w:rsid w:val="007A6D73"/>
    <w:rsid w:val="007A6DED"/>
    <w:rsid w:val="007A6F79"/>
    <w:rsid w:val="007A6FCC"/>
    <w:rsid w:val="007A6FE6"/>
    <w:rsid w:val="007A705E"/>
    <w:rsid w:val="007A722B"/>
    <w:rsid w:val="007A7314"/>
    <w:rsid w:val="007A7398"/>
    <w:rsid w:val="007A739C"/>
    <w:rsid w:val="007A7434"/>
    <w:rsid w:val="007A7498"/>
    <w:rsid w:val="007A7630"/>
    <w:rsid w:val="007A7741"/>
    <w:rsid w:val="007A789A"/>
    <w:rsid w:val="007A78C3"/>
    <w:rsid w:val="007A7AAF"/>
    <w:rsid w:val="007A7E09"/>
    <w:rsid w:val="007A7F60"/>
    <w:rsid w:val="007A7FA4"/>
    <w:rsid w:val="007A7FB6"/>
    <w:rsid w:val="007B0070"/>
    <w:rsid w:val="007B00C6"/>
    <w:rsid w:val="007B025F"/>
    <w:rsid w:val="007B030B"/>
    <w:rsid w:val="007B05DF"/>
    <w:rsid w:val="007B05FA"/>
    <w:rsid w:val="007B0725"/>
    <w:rsid w:val="007B0873"/>
    <w:rsid w:val="007B08AC"/>
    <w:rsid w:val="007B0968"/>
    <w:rsid w:val="007B0B0B"/>
    <w:rsid w:val="007B0B6F"/>
    <w:rsid w:val="007B0BDD"/>
    <w:rsid w:val="007B0CE3"/>
    <w:rsid w:val="007B0D8C"/>
    <w:rsid w:val="007B0DA0"/>
    <w:rsid w:val="007B0E89"/>
    <w:rsid w:val="007B101D"/>
    <w:rsid w:val="007B1410"/>
    <w:rsid w:val="007B1434"/>
    <w:rsid w:val="007B143E"/>
    <w:rsid w:val="007B15EB"/>
    <w:rsid w:val="007B179C"/>
    <w:rsid w:val="007B1C9B"/>
    <w:rsid w:val="007B1CE2"/>
    <w:rsid w:val="007B1D9C"/>
    <w:rsid w:val="007B1E64"/>
    <w:rsid w:val="007B2134"/>
    <w:rsid w:val="007B21F6"/>
    <w:rsid w:val="007B2294"/>
    <w:rsid w:val="007B240D"/>
    <w:rsid w:val="007B24E9"/>
    <w:rsid w:val="007B260F"/>
    <w:rsid w:val="007B26A8"/>
    <w:rsid w:val="007B2735"/>
    <w:rsid w:val="007B2902"/>
    <w:rsid w:val="007B291A"/>
    <w:rsid w:val="007B2AAB"/>
    <w:rsid w:val="007B2B85"/>
    <w:rsid w:val="007B2C51"/>
    <w:rsid w:val="007B2CAC"/>
    <w:rsid w:val="007B2D06"/>
    <w:rsid w:val="007B2D19"/>
    <w:rsid w:val="007B2EE1"/>
    <w:rsid w:val="007B2FF5"/>
    <w:rsid w:val="007B3295"/>
    <w:rsid w:val="007B3362"/>
    <w:rsid w:val="007B3375"/>
    <w:rsid w:val="007B37BA"/>
    <w:rsid w:val="007B3912"/>
    <w:rsid w:val="007B3961"/>
    <w:rsid w:val="007B3B58"/>
    <w:rsid w:val="007B3C02"/>
    <w:rsid w:val="007B3DB5"/>
    <w:rsid w:val="007B3E04"/>
    <w:rsid w:val="007B3FB3"/>
    <w:rsid w:val="007B407C"/>
    <w:rsid w:val="007B42AE"/>
    <w:rsid w:val="007B4377"/>
    <w:rsid w:val="007B45C7"/>
    <w:rsid w:val="007B45CC"/>
    <w:rsid w:val="007B4617"/>
    <w:rsid w:val="007B46FA"/>
    <w:rsid w:val="007B4717"/>
    <w:rsid w:val="007B47D7"/>
    <w:rsid w:val="007B4838"/>
    <w:rsid w:val="007B49BF"/>
    <w:rsid w:val="007B49DC"/>
    <w:rsid w:val="007B4CC9"/>
    <w:rsid w:val="007B4D7C"/>
    <w:rsid w:val="007B4F1A"/>
    <w:rsid w:val="007B4F4F"/>
    <w:rsid w:val="007B4FFA"/>
    <w:rsid w:val="007B5026"/>
    <w:rsid w:val="007B5331"/>
    <w:rsid w:val="007B5767"/>
    <w:rsid w:val="007B5838"/>
    <w:rsid w:val="007B5851"/>
    <w:rsid w:val="007B5980"/>
    <w:rsid w:val="007B5B28"/>
    <w:rsid w:val="007B5B4C"/>
    <w:rsid w:val="007B5C2D"/>
    <w:rsid w:val="007B5CEA"/>
    <w:rsid w:val="007B5E85"/>
    <w:rsid w:val="007B5F2C"/>
    <w:rsid w:val="007B6056"/>
    <w:rsid w:val="007B607D"/>
    <w:rsid w:val="007B6238"/>
    <w:rsid w:val="007B62CB"/>
    <w:rsid w:val="007B63F6"/>
    <w:rsid w:val="007B6413"/>
    <w:rsid w:val="007B66DA"/>
    <w:rsid w:val="007B6826"/>
    <w:rsid w:val="007B6A1B"/>
    <w:rsid w:val="007B6AD8"/>
    <w:rsid w:val="007B6BEB"/>
    <w:rsid w:val="007B6C5A"/>
    <w:rsid w:val="007B6D5D"/>
    <w:rsid w:val="007B6E36"/>
    <w:rsid w:val="007B6F2C"/>
    <w:rsid w:val="007B6FD9"/>
    <w:rsid w:val="007B706A"/>
    <w:rsid w:val="007B72B0"/>
    <w:rsid w:val="007B73D4"/>
    <w:rsid w:val="007B754B"/>
    <w:rsid w:val="007B756F"/>
    <w:rsid w:val="007B794E"/>
    <w:rsid w:val="007B7A68"/>
    <w:rsid w:val="007B7C62"/>
    <w:rsid w:val="007B7C7E"/>
    <w:rsid w:val="007B7C8F"/>
    <w:rsid w:val="007B7D8A"/>
    <w:rsid w:val="007C01D2"/>
    <w:rsid w:val="007C0323"/>
    <w:rsid w:val="007C039B"/>
    <w:rsid w:val="007C0403"/>
    <w:rsid w:val="007C0536"/>
    <w:rsid w:val="007C0940"/>
    <w:rsid w:val="007C09CD"/>
    <w:rsid w:val="007C0A08"/>
    <w:rsid w:val="007C0ABD"/>
    <w:rsid w:val="007C0AF4"/>
    <w:rsid w:val="007C0B2C"/>
    <w:rsid w:val="007C0BA1"/>
    <w:rsid w:val="007C0BBE"/>
    <w:rsid w:val="007C0D10"/>
    <w:rsid w:val="007C0F13"/>
    <w:rsid w:val="007C1109"/>
    <w:rsid w:val="007C11C9"/>
    <w:rsid w:val="007C1364"/>
    <w:rsid w:val="007C14A9"/>
    <w:rsid w:val="007C17C8"/>
    <w:rsid w:val="007C1B68"/>
    <w:rsid w:val="007C1C6E"/>
    <w:rsid w:val="007C1D5E"/>
    <w:rsid w:val="007C1D9B"/>
    <w:rsid w:val="007C1DA3"/>
    <w:rsid w:val="007C1ED2"/>
    <w:rsid w:val="007C1F72"/>
    <w:rsid w:val="007C1F8F"/>
    <w:rsid w:val="007C212C"/>
    <w:rsid w:val="007C2312"/>
    <w:rsid w:val="007C2338"/>
    <w:rsid w:val="007C2374"/>
    <w:rsid w:val="007C24F6"/>
    <w:rsid w:val="007C2514"/>
    <w:rsid w:val="007C2764"/>
    <w:rsid w:val="007C2A10"/>
    <w:rsid w:val="007C2B24"/>
    <w:rsid w:val="007C2DDE"/>
    <w:rsid w:val="007C30B8"/>
    <w:rsid w:val="007C3126"/>
    <w:rsid w:val="007C3160"/>
    <w:rsid w:val="007C316D"/>
    <w:rsid w:val="007C31FC"/>
    <w:rsid w:val="007C34E3"/>
    <w:rsid w:val="007C3574"/>
    <w:rsid w:val="007C35A8"/>
    <w:rsid w:val="007C35B9"/>
    <w:rsid w:val="007C35F1"/>
    <w:rsid w:val="007C37CE"/>
    <w:rsid w:val="007C39F6"/>
    <w:rsid w:val="007C3C30"/>
    <w:rsid w:val="007C3EAA"/>
    <w:rsid w:val="007C4102"/>
    <w:rsid w:val="007C42D3"/>
    <w:rsid w:val="007C4414"/>
    <w:rsid w:val="007C4425"/>
    <w:rsid w:val="007C4466"/>
    <w:rsid w:val="007C44C0"/>
    <w:rsid w:val="007C454D"/>
    <w:rsid w:val="007C45D5"/>
    <w:rsid w:val="007C466B"/>
    <w:rsid w:val="007C49AC"/>
    <w:rsid w:val="007C4C15"/>
    <w:rsid w:val="007C4C19"/>
    <w:rsid w:val="007C4C6D"/>
    <w:rsid w:val="007C4EA2"/>
    <w:rsid w:val="007C4EEC"/>
    <w:rsid w:val="007C5017"/>
    <w:rsid w:val="007C5115"/>
    <w:rsid w:val="007C5410"/>
    <w:rsid w:val="007C55F1"/>
    <w:rsid w:val="007C59A9"/>
    <w:rsid w:val="007C59D4"/>
    <w:rsid w:val="007C59F5"/>
    <w:rsid w:val="007C5FB1"/>
    <w:rsid w:val="007C63D1"/>
    <w:rsid w:val="007C65EF"/>
    <w:rsid w:val="007C671F"/>
    <w:rsid w:val="007C6874"/>
    <w:rsid w:val="007C68F1"/>
    <w:rsid w:val="007C6A65"/>
    <w:rsid w:val="007C6B34"/>
    <w:rsid w:val="007C6C0F"/>
    <w:rsid w:val="007C6CF0"/>
    <w:rsid w:val="007C6E75"/>
    <w:rsid w:val="007C6E79"/>
    <w:rsid w:val="007C6EC1"/>
    <w:rsid w:val="007C7023"/>
    <w:rsid w:val="007C72ED"/>
    <w:rsid w:val="007C74E8"/>
    <w:rsid w:val="007C7929"/>
    <w:rsid w:val="007C7AFF"/>
    <w:rsid w:val="007C7C27"/>
    <w:rsid w:val="007C7D70"/>
    <w:rsid w:val="007C7E35"/>
    <w:rsid w:val="007C7E9E"/>
    <w:rsid w:val="007C7F60"/>
    <w:rsid w:val="007D00D2"/>
    <w:rsid w:val="007D011F"/>
    <w:rsid w:val="007D037F"/>
    <w:rsid w:val="007D045A"/>
    <w:rsid w:val="007D0492"/>
    <w:rsid w:val="007D05B4"/>
    <w:rsid w:val="007D060E"/>
    <w:rsid w:val="007D070A"/>
    <w:rsid w:val="007D0A15"/>
    <w:rsid w:val="007D0A38"/>
    <w:rsid w:val="007D0ADA"/>
    <w:rsid w:val="007D0BF3"/>
    <w:rsid w:val="007D0C16"/>
    <w:rsid w:val="007D0D64"/>
    <w:rsid w:val="007D0E11"/>
    <w:rsid w:val="007D0FED"/>
    <w:rsid w:val="007D1137"/>
    <w:rsid w:val="007D11B6"/>
    <w:rsid w:val="007D1203"/>
    <w:rsid w:val="007D1271"/>
    <w:rsid w:val="007D133B"/>
    <w:rsid w:val="007D183D"/>
    <w:rsid w:val="007D1911"/>
    <w:rsid w:val="007D1BBA"/>
    <w:rsid w:val="007D1DBD"/>
    <w:rsid w:val="007D1E11"/>
    <w:rsid w:val="007D1E90"/>
    <w:rsid w:val="007D1F80"/>
    <w:rsid w:val="007D2152"/>
    <w:rsid w:val="007D2216"/>
    <w:rsid w:val="007D22C2"/>
    <w:rsid w:val="007D231B"/>
    <w:rsid w:val="007D23BD"/>
    <w:rsid w:val="007D24D5"/>
    <w:rsid w:val="007D2BB4"/>
    <w:rsid w:val="007D2E01"/>
    <w:rsid w:val="007D2FC5"/>
    <w:rsid w:val="007D3200"/>
    <w:rsid w:val="007D3248"/>
    <w:rsid w:val="007D3333"/>
    <w:rsid w:val="007D3454"/>
    <w:rsid w:val="007D34B8"/>
    <w:rsid w:val="007D3508"/>
    <w:rsid w:val="007D355C"/>
    <w:rsid w:val="007D3E3C"/>
    <w:rsid w:val="007D3E69"/>
    <w:rsid w:val="007D3E73"/>
    <w:rsid w:val="007D3E8E"/>
    <w:rsid w:val="007D3F00"/>
    <w:rsid w:val="007D3F9E"/>
    <w:rsid w:val="007D41B2"/>
    <w:rsid w:val="007D429E"/>
    <w:rsid w:val="007D42DE"/>
    <w:rsid w:val="007D44DF"/>
    <w:rsid w:val="007D4604"/>
    <w:rsid w:val="007D461B"/>
    <w:rsid w:val="007D4781"/>
    <w:rsid w:val="007D47EA"/>
    <w:rsid w:val="007D48E7"/>
    <w:rsid w:val="007D4ABD"/>
    <w:rsid w:val="007D4BB5"/>
    <w:rsid w:val="007D4DA2"/>
    <w:rsid w:val="007D5083"/>
    <w:rsid w:val="007D5105"/>
    <w:rsid w:val="007D5238"/>
    <w:rsid w:val="007D527E"/>
    <w:rsid w:val="007D5434"/>
    <w:rsid w:val="007D55ED"/>
    <w:rsid w:val="007D57D0"/>
    <w:rsid w:val="007D57F3"/>
    <w:rsid w:val="007D58AA"/>
    <w:rsid w:val="007D593E"/>
    <w:rsid w:val="007D59F1"/>
    <w:rsid w:val="007D5D8A"/>
    <w:rsid w:val="007D5E1F"/>
    <w:rsid w:val="007D612C"/>
    <w:rsid w:val="007D61C5"/>
    <w:rsid w:val="007D6277"/>
    <w:rsid w:val="007D6286"/>
    <w:rsid w:val="007D66C3"/>
    <w:rsid w:val="007D6736"/>
    <w:rsid w:val="007D686C"/>
    <w:rsid w:val="007D7053"/>
    <w:rsid w:val="007D7189"/>
    <w:rsid w:val="007D7210"/>
    <w:rsid w:val="007D7392"/>
    <w:rsid w:val="007D772C"/>
    <w:rsid w:val="007D77A6"/>
    <w:rsid w:val="007D7A94"/>
    <w:rsid w:val="007D7C88"/>
    <w:rsid w:val="007D7D34"/>
    <w:rsid w:val="007D7F65"/>
    <w:rsid w:val="007E003E"/>
    <w:rsid w:val="007E04DB"/>
    <w:rsid w:val="007E050E"/>
    <w:rsid w:val="007E0630"/>
    <w:rsid w:val="007E07A6"/>
    <w:rsid w:val="007E083C"/>
    <w:rsid w:val="007E08F0"/>
    <w:rsid w:val="007E0987"/>
    <w:rsid w:val="007E09D5"/>
    <w:rsid w:val="007E0A08"/>
    <w:rsid w:val="007E0A0C"/>
    <w:rsid w:val="007E0A47"/>
    <w:rsid w:val="007E0AAB"/>
    <w:rsid w:val="007E0B1B"/>
    <w:rsid w:val="007E0B48"/>
    <w:rsid w:val="007E0D53"/>
    <w:rsid w:val="007E0E14"/>
    <w:rsid w:val="007E0E39"/>
    <w:rsid w:val="007E0F2B"/>
    <w:rsid w:val="007E106F"/>
    <w:rsid w:val="007E110B"/>
    <w:rsid w:val="007E113C"/>
    <w:rsid w:val="007E1457"/>
    <w:rsid w:val="007E14FE"/>
    <w:rsid w:val="007E1582"/>
    <w:rsid w:val="007E1796"/>
    <w:rsid w:val="007E18A7"/>
    <w:rsid w:val="007E1924"/>
    <w:rsid w:val="007E1B5A"/>
    <w:rsid w:val="007E1C40"/>
    <w:rsid w:val="007E21F4"/>
    <w:rsid w:val="007E23FF"/>
    <w:rsid w:val="007E25CF"/>
    <w:rsid w:val="007E2895"/>
    <w:rsid w:val="007E291E"/>
    <w:rsid w:val="007E2AE9"/>
    <w:rsid w:val="007E2BA1"/>
    <w:rsid w:val="007E2C67"/>
    <w:rsid w:val="007E2CD7"/>
    <w:rsid w:val="007E2D6A"/>
    <w:rsid w:val="007E2E60"/>
    <w:rsid w:val="007E2EBA"/>
    <w:rsid w:val="007E2F3C"/>
    <w:rsid w:val="007E2F84"/>
    <w:rsid w:val="007E2F89"/>
    <w:rsid w:val="007E30C6"/>
    <w:rsid w:val="007E333E"/>
    <w:rsid w:val="007E33A9"/>
    <w:rsid w:val="007E364B"/>
    <w:rsid w:val="007E36C5"/>
    <w:rsid w:val="007E3907"/>
    <w:rsid w:val="007E3CF3"/>
    <w:rsid w:val="007E3D5D"/>
    <w:rsid w:val="007E3DB2"/>
    <w:rsid w:val="007E3FB5"/>
    <w:rsid w:val="007E4047"/>
    <w:rsid w:val="007E4094"/>
    <w:rsid w:val="007E414A"/>
    <w:rsid w:val="007E4201"/>
    <w:rsid w:val="007E438A"/>
    <w:rsid w:val="007E440A"/>
    <w:rsid w:val="007E4562"/>
    <w:rsid w:val="007E4714"/>
    <w:rsid w:val="007E4817"/>
    <w:rsid w:val="007E49CA"/>
    <w:rsid w:val="007E4AD0"/>
    <w:rsid w:val="007E4CD9"/>
    <w:rsid w:val="007E4D55"/>
    <w:rsid w:val="007E4F56"/>
    <w:rsid w:val="007E4FB5"/>
    <w:rsid w:val="007E4FCB"/>
    <w:rsid w:val="007E50E8"/>
    <w:rsid w:val="007E5346"/>
    <w:rsid w:val="007E549D"/>
    <w:rsid w:val="007E5791"/>
    <w:rsid w:val="007E591F"/>
    <w:rsid w:val="007E5B73"/>
    <w:rsid w:val="007E5CD5"/>
    <w:rsid w:val="007E5EDF"/>
    <w:rsid w:val="007E6203"/>
    <w:rsid w:val="007E6229"/>
    <w:rsid w:val="007E6269"/>
    <w:rsid w:val="007E6324"/>
    <w:rsid w:val="007E64D5"/>
    <w:rsid w:val="007E66C8"/>
    <w:rsid w:val="007E67CF"/>
    <w:rsid w:val="007E685D"/>
    <w:rsid w:val="007E6CB8"/>
    <w:rsid w:val="007E6D4D"/>
    <w:rsid w:val="007E6D61"/>
    <w:rsid w:val="007E6D9A"/>
    <w:rsid w:val="007E6DB1"/>
    <w:rsid w:val="007E6F20"/>
    <w:rsid w:val="007E6FAB"/>
    <w:rsid w:val="007E7078"/>
    <w:rsid w:val="007E7091"/>
    <w:rsid w:val="007E70EF"/>
    <w:rsid w:val="007E721E"/>
    <w:rsid w:val="007E728D"/>
    <w:rsid w:val="007E7384"/>
    <w:rsid w:val="007E752C"/>
    <w:rsid w:val="007E7578"/>
    <w:rsid w:val="007E758F"/>
    <w:rsid w:val="007E772A"/>
    <w:rsid w:val="007E77E4"/>
    <w:rsid w:val="007E7956"/>
    <w:rsid w:val="007E7A91"/>
    <w:rsid w:val="007E7BE8"/>
    <w:rsid w:val="007E7C33"/>
    <w:rsid w:val="007E7DD7"/>
    <w:rsid w:val="007E7E42"/>
    <w:rsid w:val="007E7E86"/>
    <w:rsid w:val="007E7F9A"/>
    <w:rsid w:val="007F0108"/>
    <w:rsid w:val="007F0176"/>
    <w:rsid w:val="007F0189"/>
    <w:rsid w:val="007F0275"/>
    <w:rsid w:val="007F027E"/>
    <w:rsid w:val="007F02A6"/>
    <w:rsid w:val="007F04CF"/>
    <w:rsid w:val="007F053D"/>
    <w:rsid w:val="007F0700"/>
    <w:rsid w:val="007F072C"/>
    <w:rsid w:val="007F079A"/>
    <w:rsid w:val="007F0B3E"/>
    <w:rsid w:val="007F0BBD"/>
    <w:rsid w:val="007F0C11"/>
    <w:rsid w:val="007F0D6F"/>
    <w:rsid w:val="007F0E59"/>
    <w:rsid w:val="007F0F45"/>
    <w:rsid w:val="007F0FB4"/>
    <w:rsid w:val="007F10D2"/>
    <w:rsid w:val="007F1192"/>
    <w:rsid w:val="007F11CA"/>
    <w:rsid w:val="007F134A"/>
    <w:rsid w:val="007F14C1"/>
    <w:rsid w:val="007F1932"/>
    <w:rsid w:val="007F1A14"/>
    <w:rsid w:val="007F1AE2"/>
    <w:rsid w:val="007F1C09"/>
    <w:rsid w:val="007F1C2A"/>
    <w:rsid w:val="007F1C5E"/>
    <w:rsid w:val="007F1E54"/>
    <w:rsid w:val="007F1F1F"/>
    <w:rsid w:val="007F1FAA"/>
    <w:rsid w:val="007F2091"/>
    <w:rsid w:val="007F24A5"/>
    <w:rsid w:val="007F24B2"/>
    <w:rsid w:val="007F24FD"/>
    <w:rsid w:val="007F2516"/>
    <w:rsid w:val="007F25D6"/>
    <w:rsid w:val="007F294D"/>
    <w:rsid w:val="007F2A05"/>
    <w:rsid w:val="007F2BB7"/>
    <w:rsid w:val="007F2ECF"/>
    <w:rsid w:val="007F303E"/>
    <w:rsid w:val="007F3630"/>
    <w:rsid w:val="007F369F"/>
    <w:rsid w:val="007F3887"/>
    <w:rsid w:val="007F39C3"/>
    <w:rsid w:val="007F3AF8"/>
    <w:rsid w:val="007F3B25"/>
    <w:rsid w:val="007F3C3C"/>
    <w:rsid w:val="007F3CCD"/>
    <w:rsid w:val="007F3D7B"/>
    <w:rsid w:val="007F3D82"/>
    <w:rsid w:val="007F3E26"/>
    <w:rsid w:val="007F3F17"/>
    <w:rsid w:val="007F3F73"/>
    <w:rsid w:val="007F4308"/>
    <w:rsid w:val="007F431E"/>
    <w:rsid w:val="007F43A4"/>
    <w:rsid w:val="007F4477"/>
    <w:rsid w:val="007F45FA"/>
    <w:rsid w:val="007F461F"/>
    <w:rsid w:val="007F472E"/>
    <w:rsid w:val="007F47A4"/>
    <w:rsid w:val="007F4931"/>
    <w:rsid w:val="007F4A29"/>
    <w:rsid w:val="007F4BAA"/>
    <w:rsid w:val="007F4CB5"/>
    <w:rsid w:val="007F4D5C"/>
    <w:rsid w:val="007F4DC1"/>
    <w:rsid w:val="007F4E44"/>
    <w:rsid w:val="007F4F95"/>
    <w:rsid w:val="007F4FFD"/>
    <w:rsid w:val="007F50D4"/>
    <w:rsid w:val="007F5136"/>
    <w:rsid w:val="007F52A3"/>
    <w:rsid w:val="007F571F"/>
    <w:rsid w:val="007F578A"/>
    <w:rsid w:val="007F5FC6"/>
    <w:rsid w:val="007F62D9"/>
    <w:rsid w:val="007F6308"/>
    <w:rsid w:val="007F636E"/>
    <w:rsid w:val="007F650E"/>
    <w:rsid w:val="007F6669"/>
    <w:rsid w:val="007F6700"/>
    <w:rsid w:val="007F674B"/>
    <w:rsid w:val="007F6769"/>
    <w:rsid w:val="007F6AFF"/>
    <w:rsid w:val="007F6BC2"/>
    <w:rsid w:val="007F6E88"/>
    <w:rsid w:val="007F6ECF"/>
    <w:rsid w:val="007F757C"/>
    <w:rsid w:val="007F7891"/>
    <w:rsid w:val="007F7BC4"/>
    <w:rsid w:val="007F7C44"/>
    <w:rsid w:val="007F7D7A"/>
    <w:rsid w:val="007F7E03"/>
    <w:rsid w:val="007F7E48"/>
    <w:rsid w:val="007F7E93"/>
    <w:rsid w:val="007F7F87"/>
    <w:rsid w:val="007FA6EC"/>
    <w:rsid w:val="008008D0"/>
    <w:rsid w:val="00800911"/>
    <w:rsid w:val="00800945"/>
    <w:rsid w:val="00800964"/>
    <w:rsid w:val="00800AF4"/>
    <w:rsid w:val="00800B0F"/>
    <w:rsid w:val="00800CA5"/>
    <w:rsid w:val="0080113B"/>
    <w:rsid w:val="00801512"/>
    <w:rsid w:val="00801A4C"/>
    <w:rsid w:val="00801B11"/>
    <w:rsid w:val="00801B81"/>
    <w:rsid w:val="00801BB3"/>
    <w:rsid w:val="00801F6D"/>
    <w:rsid w:val="00801F9A"/>
    <w:rsid w:val="0080208A"/>
    <w:rsid w:val="008021D6"/>
    <w:rsid w:val="0080221F"/>
    <w:rsid w:val="0080222F"/>
    <w:rsid w:val="008023EB"/>
    <w:rsid w:val="0080260A"/>
    <w:rsid w:val="008026BE"/>
    <w:rsid w:val="00802BD7"/>
    <w:rsid w:val="00802BD9"/>
    <w:rsid w:val="00802D60"/>
    <w:rsid w:val="008030D3"/>
    <w:rsid w:val="008033C2"/>
    <w:rsid w:val="008036A9"/>
    <w:rsid w:val="00803B18"/>
    <w:rsid w:val="00803D9E"/>
    <w:rsid w:val="00803DA6"/>
    <w:rsid w:val="00803E2D"/>
    <w:rsid w:val="00804024"/>
    <w:rsid w:val="0080403C"/>
    <w:rsid w:val="0080415D"/>
    <w:rsid w:val="008041A8"/>
    <w:rsid w:val="0080439D"/>
    <w:rsid w:val="00804420"/>
    <w:rsid w:val="00804452"/>
    <w:rsid w:val="00804758"/>
    <w:rsid w:val="00804820"/>
    <w:rsid w:val="00804C98"/>
    <w:rsid w:val="00804D98"/>
    <w:rsid w:val="00804E9F"/>
    <w:rsid w:val="00804FA8"/>
    <w:rsid w:val="00805045"/>
    <w:rsid w:val="008053FE"/>
    <w:rsid w:val="0080553F"/>
    <w:rsid w:val="00805637"/>
    <w:rsid w:val="008056FF"/>
    <w:rsid w:val="008058BF"/>
    <w:rsid w:val="00805A99"/>
    <w:rsid w:val="00805B13"/>
    <w:rsid w:val="00805B4B"/>
    <w:rsid w:val="00805CB3"/>
    <w:rsid w:val="00805DF2"/>
    <w:rsid w:val="00806539"/>
    <w:rsid w:val="00806603"/>
    <w:rsid w:val="0080672E"/>
    <w:rsid w:val="008068A9"/>
    <w:rsid w:val="00806A49"/>
    <w:rsid w:val="00806BBE"/>
    <w:rsid w:val="00806DE9"/>
    <w:rsid w:val="00806DF6"/>
    <w:rsid w:val="00806EDB"/>
    <w:rsid w:val="00806F39"/>
    <w:rsid w:val="00806F7E"/>
    <w:rsid w:val="0080702D"/>
    <w:rsid w:val="00807317"/>
    <w:rsid w:val="00807479"/>
    <w:rsid w:val="0080755D"/>
    <w:rsid w:val="0080792D"/>
    <w:rsid w:val="008079DB"/>
    <w:rsid w:val="00807AC5"/>
    <w:rsid w:val="00807C4E"/>
    <w:rsid w:val="00807D7A"/>
    <w:rsid w:val="00807F40"/>
    <w:rsid w:val="00807FB9"/>
    <w:rsid w:val="00807FF9"/>
    <w:rsid w:val="00810181"/>
    <w:rsid w:val="00810209"/>
    <w:rsid w:val="0081037A"/>
    <w:rsid w:val="00810690"/>
    <w:rsid w:val="008106B1"/>
    <w:rsid w:val="00810748"/>
    <w:rsid w:val="00810751"/>
    <w:rsid w:val="008109A4"/>
    <w:rsid w:val="008109EB"/>
    <w:rsid w:val="00810FBE"/>
    <w:rsid w:val="00811016"/>
    <w:rsid w:val="00811019"/>
    <w:rsid w:val="0081102C"/>
    <w:rsid w:val="008111C6"/>
    <w:rsid w:val="008116EE"/>
    <w:rsid w:val="0081175A"/>
    <w:rsid w:val="00811900"/>
    <w:rsid w:val="0081195B"/>
    <w:rsid w:val="00811A9E"/>
    <w:rsid w:val="00811AA5"/>
    <w:rsid w:val="00811AC4"/>
    <w:rsid w:val="00811C59"/>
    <w:rsid w:val="00811C5C"/>
    <w:rsid w:val="00811CE8"/>
    <w:rsid w:val="00812115"/>
    <w:rsid w:val="008122C2"/>
    <w:rsid w:val="008122E1"/>
    <w:rsid w:val="00812477"/>
    <w:rsid w:val="008125CF"/>
    <w:rsid w:val="008126DC"/>
    <w:rsid w:val="008129F5"/>
    <w:rsid w:val="00812A23"/>
    <w:rsid w:val="00812A74"/>
    <w:rsid w:val="00812C0E"/>
    <w:rsid w:val="00812CE5"/>
    <w:rsid w:val="00812D49"/>
    <w:rsid w:val="00812D91"/>
    <w:rsid w:val="00812EC3"/>
    <w:rsid w:val="00812F4C"/>
    <w:rsid w:val="0081309A"/>
    <w:rsid w:val="008131A5"/>
    <w:rsid w:val="008131A8"/>
    <w:rsid w:val="00813216"/>
    <w:rsid w:val="00813283"/>
    <w:rsid w:val="008133B0"/>
    <w:rsid w:val="00813492"/>
    <w:rsid w:val="00813547"/>
    <w:rsid w:val="0081361D"/>
    <w:rsid w:val="0081378B"/>
    <w:rsid w:val="008138CB"/>
    <w:rsid w:val="00813A78"/>
    <w:rsid w:val="00813B5C"/>
    <w:rsid w:val="00813B81"/>
    <w:rsid w:val="00813CBF"/>
    <w:rsid w:val="00813DE5"/>
    <w:rsid w:val="00813E48"/>
    <w:rsid w:val="00813F0A"/>
    <w:rsid w:val="00813F1A"/>
    <w:rsid w:val="00814205"/>
    <w:rsid w:val="008143A4"/>
    <w:rsid w:val="00814701"/>
    <w:rsid w:val="00814892"/>
    <w:rsid w:val="00814A4B"/>
    <w:rsid w:val="00814B7F"/>
    <w:rsid w:val="00814C44"/>
    <w:rsid w:val="00814C65"/>
    <w:rsid w:val="008151C0"/>
    <w:rsid w:val="008152A0"/>
    <w:rsid w:val="0081552B"/>
    <w:rsid w:val="0081569F"/>
    <w:rsid w:val="00815798"/>
    <w:rsid w:val="008158BB"/>
    <w:rsid w:val="00815B1F"/>
    <w:rsid w:val="00815B96"/>
    <w:rsid w:val="00815BE1"/>
    <w:rsid w:val="00815C64"/>
    <w:rsid w:val="00815CC5"/>
    <w:rsid w:val="00815DF5"/>
    <w:rsid w:val="00816109"/>
    <w:rsid w:val="00816245"/>
    <w:rsid w:val="008165EF"/>
    <w:rsid w:val="00816639"/>
    <w:rsid w:val="00816712"/>
    <w:rsid w:val="008169BC"/>
    <w:rsid w:val="00816CCE"/>
    <w:rsid w:val="00817042"/>
    <w:rsid w:val="00817156"/>
    <w:rsid w:val="008171BE"/>
    <w:rsid w:val="00817356"/>
    <w:rsid w:val="008176A0"/>
    <w:rsid w:val="00817822"/>
    <w:rsid w:val="00817848"/>
    <w:rsid w:val="008178CB"/>
    <w:rsid w:val="008179FF"/>
    <w:rsid w:val="00817A0E"/>
    <w:rsid w:val="00817A9A"/>
    <w:rsid w:val="0082017B"/>
    <w:rsid w:val="008201EF"/>
    <w:rsid w:val="008202C1"/>
    <w:rsid w:val="0082041B"/>
    <w:rsid w:val="008204CC"/>
    <w:rsid w:val="0082061A"/>
    <w:rsid w:val="008207A8"/>
    <w:rsid w:val="00820A0F"/>
    <w:rsid w:val="00820B6B"/>
    <w:rsid w:val="00820B9A"/>
    <w:rsid w:val="00820BDE"/>
    <w:rsid w:val="00820BFB"/>
    <w:rsid w:val="00820D5B"/>
    <w:rsid w:val="00820D5D"/>
    <w:rsid w:val="00820F31"/>
    <w:rsid w:val="008210DD"/>
    <w:rsid w:val="008211F5"/>
    <w:rsid w:val="00821291"/>
    <w:rsid w:val="00821344"/>
    <w:rsid w:val="008213F8"/>
    <w:rsid w:val="008214A4"/>
    <w:rsid w:val="0082151C"/>
    <w:rsid w:val="0082161E"/>
    <w:rsid w:val="008218ED"/>
    <w:rsid w:val="00821967"/>
    <w:rsid w:val="00821A93"/>
    <w:rsid w:val="00821B89"/>
    <w:rsid w:val="00822134"/>
    <w:rsid w:val="008221BB"/>
    <w:rsid w:val="008222DA"/>
    <w:rsid w:val="00822426"/>
    <w:rsid w:val="00822486"/>
    <w:rsid w:val="0082271A"/>
    <w:rsid w:val="00822899"/>
    <w:rsid w:val="00822930"/>
    <w:rsid w:val="00822EAC"/>
    <w:rsid w:val="00823173"/>
    <w:rsid w:val="00823245"/>
    <w:rsid w:val="008232C4"/>
    <w:rsid w:val="008232E0"/>
    <w:rsid w:val="00823330"/>
    <w:rsid w:val="00823482"/>
    <w:rsid w:val="0082365A"/>
    <w:rsid w:val="0082366F"/>
    <w:rsid w:val="00823679"/>
    <w:rsid w:val="0082374A"/>
    <w:rsid w:val="008237A3"/>
    <w:rsid w:val="0082399B"/>
    <w:rsid w:val="00823B85"/>
    <w:rsid w:val="00823BE2"/>
    <w:rsid w:val="00823D5A"/>
    <w:rsid w:val="00823F11"/>
    <w:rsid w:val="00823F9D"/>
    <w:rsid w:val="008240C1"/>
    <w:rsid w:val="008241BB"/>
    <w:rsid w:val="00824203"/>
    <w:rsid w:val="00824303"/>
    <w:rsid w:val="00824420"/>
    <w:rsid w:val="008244BE"/>
    <w:rsid w:val="00824650"/>
    <w:rsid w:val="00824773"/>
    <w:rsid w:val="0082492E"/>
    <w:rsid w:val="00824B53"/>
    <w:rsid w:val="00824F9C"/>
    <w:rsid w:val="00824FFD"/>
    <w:rsid w:val="0082506B"/>
    <w:rsid w:val="008250E2"/>
    <w:rsid w:val="00825135"/>
    <w:rsid w:val="008251AB"/>
    <w:rsid w:val="008251E7"/>
    <w:rsid w:val="00825264"/>
    <w:rsid w:val="008252F1"/>
    <w:rsid w:val="0082548D"/>
    <w:rsid w:val="00825706"/>
    <w:rsid w:val="00825769"/>
    <w:rsid w:val="0082579B"/>
    <w:rsid w:val="00825955"/>
    <w:rsid w:val="0082604B"/>
    <w:rsid w:val="0082605D"/>
    <w:rsid w:val="00826192"/>
    <w:rsid w:val="00826255"/>
    <w:rsid w:val="008262A0"/>
    <w:rsid w:val="008262AC"/>
    <w:rsid w:val="00826376"/>
    <w:rsid w:val="00826558"/>
    <w:rsid w:val="008266E9"/>
    <w:rsid w:val="008267B3"/>
    <w:rsid w:val="008268E6"/>
    <w:rsid w:val="008268FF"/>
    <w:rsid w:val="00826A1F"/>
    <w:rsid w:val="00826A65"/>
    <w:rsid w:val="00826B2F"/>
    <w:rsid w:val="00826BA4"/>
    <w:rsid w:val="00826D27"/>
    <w:rsid w:val="00826D36"/>
    <w:rsid w:val="00826DD6"/>
    <w:rsid w:val="0082742F"/>
    <w:rsid w:val="00827489"/>
    <w:rsid w:val="008274B4"/>
    <w:rsid w:val="008275C9"/>
    <w:rsid w:val="00827666"/>
    <w:rsid w:val="008276A9"/>
    <w:rsid w:val="00827747"/>
    <w:rsid w:val="008278E8"/>
    <w:rsid w:val="00827B08"/>
    <w:rsid w:val="00827B8B"/>
    <w:rsid w:val="00830000"/>
    <w:rsid w:val="00830019"/>
    <w:rsid w:val="008300CA"/>
    <w:rsid w:val="00830322"/>
    <w:rsid w:val="00830416"/>
    <w:rsid w:val="00830673"/>
    <w:rsid w:val="00830675"/>
    <w:rsid w:val="00830790"/>
    <w:rsid w:val="00830815"/>
    <w:rsid w:val="00830AF5"/>
    <w:rsid w:val="00830CDE"/>
    <w:rsid w:val="00830D5D"/>
    <w:rsid w:val="00830E19"/>
    <w:rsid w:val="00831116"/>
    <w:rsid w:val="00831738"/>
    <w:rsid w:val="0083176A"/>
    <w:rsid w:val="00831A36"/>
    <w:rsid w:val="00831BC5"/>
    <w:rsid w:val="00831D25"/>
    <w:rsid w:val="00831DBF"/>
    <w:rsid w:val="00831ED7"/>
    <w:rsid w:val="00832095"/>
    <w:rsid w:val="0083236D"/>
    <w:rsid w:val="00832413"/>
    <w:rsid w:val="00832666"/>
    <w:rsid w:val="00832741"/>
    <w:rsid w:val="00832768"/>
    <w:rsid w:val="00832909"/>
    <w:rsid w:val="00832960"/>
    <w:rsid w:val="008329CE"/>
    <w:rsid w:val="00832D34"/>
    <w:rsid w:val="008330C0"/>
    <w:rsid w:val="0083319C"/>
    <w:rsid w:val="00833393"/>
    <w:rsid w:val="00833472"/>
    <w:rsid w:val="00833621"/>
    <w:rsid w:val="00833A74"/>
    <w:rsid w:val="00833ABB"/>
    <w:rsid w:val="00833D5D"/>
    <w:rsid w:val="00833F48"/>
    <w:rsid w:val="008340E0"/>
    <w:rsid w:val="0083428B"/>
    <w:rsid w:val="0083466E"/>
    <w:rsid w:val="00834A1F"/>
    <w:rsid w:val="00834BA5"/>
    <w:rsid w:val="00834BAD"/>
    <w:rsid w:val="00834BC4"/>
    <w:rsid w:val="00834CC6"/>
    <w:rsid w:val="00834F71"/>
    <w:rsid w:val="00835044"/>
    <w:rsid w:val="008350E0"/>
    <w:rsid w:val="0083522C"/>
    <w:rsid w:val="008352D5"/>
    <w:rsid w:val="0083534A"/>
    <w:rsid w:val="008353AF"/>
    <w:rsid w:val="008355F6"/>
    <w:rsid w:val="0083568C"/>
    <w:rsid w:val="00835835"/>
    <w:rsid w:val="0083587B"/>
    <w:rsid w:val="00835A12"/>
    <w:rsid w:val="00835AC6"/>
    <w:rsid w:val="00835B08"/>
    <w:rsid w:val="00835D8C"/>
    <w:rsid w:val="00835E10"/>
    <w:rsid w:val="0083604D"/>
    <w:rsid w:val="00836235"/>
    <w:rsid w:val="0083648E"/>
    <w:rsid w:val="0083685A"/>
    <w:rsid w:val="00836A51"/>
    <w:rsid w:val="00836A8B"/>
    <w:rsid w:val="00836EAF"/>
    <w:rsid w:val="00837024"/>
    <w:rsid w:val="0083704F"/>
    <w:rsid w:val="00837121"/>
    <w:rsid w:val="00837624"/>
    <w:rsid w:val="0083762E"/>
    <w:rsid w:val="00837683"/>
    <w:rsid w:val="008378C2"/>
    <w:rsid w:val="00837A0D"/>
    <w:rsid w:val="00837BE4"/>
    <w:rsid w:val="00837F21"/>
    <w:rsid w:val="00840003"/>
    <w:rsid w:val="00840025"/>
    <w:rsid w:val="0084002B"/>
    <w:rsid w:val="008400F1"/>
    <w:rsid w:val="0084040D"/>
    <w:rsid w:val="008404D8"/>
    <w:rsid w:val="0084079D"/>
    <w:rsid w:val="00840826"/>
    <w:rsid w:val="00840B70"/>
    <w:rsid w:val="00840BB8"/>
    <w:rsid w:val="00840E19"/>
    <w:rsid w:val="00840EF3"/>
    <w:rsid w:val="0084106E"/>
    <w:rsid w:val="0084108D"/>
    <w:rsid w:val="00841182"/>
    <w:rsid w:val="00841254"/>
    <w:rsid w:val="00841472"/>
    <w:rsid w:val="0084148F"/>
    <w:rsid w:val="0084164A"/>
    <w:rsid w:val="008417A4"/>
    <w:rsid w:val="008417BE"/>
    <w:rsid w:val="008417D4"/>
    <w:rsid w:val="008418B8"/>
    <w:rsid w:val="0084193D"/>
    <w:rsid w:val="00841A8B"/>
    <w:rsid w:val="00841AE3"/>
    <w:rsid w:val="00841C08"/>
    <w:rsid w:val="00841C1D"/>
    <w:rsid w:val="00841CC4"/>
    <w:rsid w:val="00841EC9"/>
    <w:rsid w:val="00841F27"/>
    <w:rsid w:val="00842010"/>
    <w:rsid w:val="008420FE"/>
    <w:rsid w:val="0084219B"/>
    <w:rsid w:val="008422B1"/>
    <w:rsid w:val="00842350"/>
    <w:rsid w:val="008423AC"/>
    <w:rsid w:val="008423E3"/>
    <w:rsid w:val="00842446"/>
    <w:rsid w:val="0084256E"/>
    <w:rsid w:val="008425C4"/>
    <w:rsid w:val="008425EE"/>
    <w:rsid w:val="0084261C"/>
    <w:rsid w:val="00842642"/>
    <w:rsid w:val="00842653"/>
    <w:rsid w:val="008428BA"/>
    <w:rsid w:val="00842DC8"/>
    <w:rsid w:val="00842E79"/>
    <w:rsid w:val="00842F7E"/>
    <w:rsid w:val="00842F8E"/>
    <w:rsid w:val="00842F96"/>
    <w:rsid w:val="00843039"/>
    <w:rsid w:val="008430F9"/>
    <w:rsid w:val="0084311A"/>
    <w:rsid w:val="0084349B"/>
    <w:rsid w:val="0084354B"/>
    <w:rsid w:val="0084354E"/>
    <w:rsid w:val="0084383D"/>
    <w:rsid w:val="0084386E"/>
    <w:rsid w:val="00843897"/>
    <w:rsid w:val="00843973"/>
    <w:rsid w:val="00843B7A"/>
    <w:rsid w:val="00843B9E"/>
    <w:rsid w:val="00843BD1"/>
    <w:rsid w:val="00843CE3"/>
    <w:rsid w:val="00843E68"/>
    <w:rsid w:val="0084401D"/>
    <w:rsid w:val="0084403E"/>
    <w:rsid w:val="0084414D"/>
    <w:rsid w:val="0084421F"/>
    <w:rsid w:val="00844616"/>
    <w:rsid w:val="00844621"/>
    <w:rsid w:val="0084475B"/>
    <w:rsid w:val="00844AB4"/>
    <w:rsid w:val="00844B67"/>
    <w:rsid w:val="00844D01"/>
    <w:rsid w:val="00844D58"/>
    <w:rsid w:val="00844E65"/>
    <w:rsid w:val="008450B8"/>
    <w:rsid w:val="008450FC"/>
    <w:rsid w:val="008451F6"/>
    <w:rsid w:val="00845294"/>
    <w:rsid w:val="00845361"/>
    <w:rsid w:val="00845538"/>
    <w:rsid w:val="00845601"/>
    <w:rsid w:val="0084560B"/>
    <w:rsid w:val="008456B8"/>
    <w:rsid w:val="0084573F"/>
    <w:rsid w:val="00845838"/>
    <w:rsid w:val="00845B4A"/>
    <w:rsid w:val="00845BD1"/>
    <w:rsid w:val="00845E08"/>
    <w:rsid w:val="00845E79"/>
    <w:rsid w:val="0084614B"/>
    <w:rsid w:val="00846177"/>
    <w:rsid w:val="008461A7"/>
    <w:rsid w:val="0084622C"/>
    <w:rsid w:val="008462BD"/>
    <w:rsid w:val="00846337"/>
    <w:rsid w:val="008465AD"/>
    <w:rsid w:val="00846634"/>
    <w:rsid w:val="00846713"/>
    <w:rsid w:val="008467B2"/>
    <w:rsid w:val="00846823"/>
    <w:rsid w:val="0084682F"/>
    <w:rsid w:val="008468D7"/>
    <w:rsid w:val="00846A8A"/>
    <w:rsid w:val="00846D8D"/>
    <w:rsid w:val="00846D95"/>
    <w:rsid w:val="00846FFD"/>
    <w:rsid w:val="00847034"/>
    <w:rsid w:val="00847192"/>
    <w:rsid w:val="008471CD"/>
    <w:rsid w:val="00847249"/>
    <w:rsid w:val="00847260"/>
    <w:rsid w:val="0084726C"/>
    <w:rsid w:val="008472A2"/>
    <w:rsid w:val="008475B1"/>
    <w:rsid w:val="00847653"/>
    <w:rsid w:val="00847690"/>
    <w:rsid w:val="008476AC"/>
    <w:rsid w:val="008476F6"/>
    <w:rsid w:val="0084772A"/>
    <w:rsid w:val="00847750"/>
    <w:rsid w:val="00847843"/>
    <w:rsid w:val="008478D9"/>
    <w:rsid w:val="00847915"/>
    <w:rsid w:val="00847A02"/>
    <w:rsid w:val="00847C94"/>
    <w:rsid w:val="00847F10"/>
    <w:rsid w:val="00847F21"/>
    <w:rsid w:val="0085008C"/>
    <w:rsid w:val="00850173"/>
    <w:rsid w:val="00850343"/>
    <w:rsid w:val="00850543"/>
    <w:rsid w:val="00850842"/>
    <w:rsid w:val="00850904"/>
    <w:rsid w:val="00851066"/>
    <w:rsid w:val="008512E9"/>
    <w:rsid w:val="00851393"/>
    <w:rsid w:val="0085143D"/>
    <w:rsid w:val="00851555"/>
    <w:rsid w:val="00851579"/>
    <w:rsid w:val="008515C6"/>
    <w:rsid w:val="00851948"/>
    <w:rsid w:val="00851971"/>
    <w:rsid w:val="00851C93"/>
    <w:rsid w:val="00851DE3"/>
    <w:rsid w:val="00851F39"/>
    <w:rsid w:val="0085203F"/>
    <w:rsid w:val="008520BC"/>
    <w:rsid w:val="00852105"/>
    <w:rsid w:val="008521C0"/>
    <w:rsid w:val="008523B6"/>
    <w:rsid w:val="008525EC"/>
    <w:rsid w:val="0085269A"/>
    <w:rsid w:val="0085276E"/>
    <w:rsid w:val="0085287C"/>
    <w:rsid w:val="00852A86"/>
    <w:rsid w:val="00852BD7"/>
    <w:rsid w:val="00852BDD"/>
    <w:rsid w:val="00852CBA"/>
    <w:rsid w:val="00852D78"/>
    <w:rsid w:val="00852DD5"/>
    <w:rsid w:val="00853066"/>
    <w:rsid w:val="0085318A"/>
    <w:rsid w:val="008535AD"/>
    <w:rsid w:val="0085375A"/>
    <w:rsid w:val="00853ABF"/>
    <w:rsid w:val="00853BE2"/>
    <w:rsid w:val="00853BE7"/>
    <w:rsid w:val="00854184"/>
    <w:rsid w:val="008541FB"/>
    <w:rsid w:val="00854856"/>
    <w:rsid w:val="0085492D"/>
    <w:rsid w:val="00854B02"/>
    <w:rsid w:val="00854BC0"/>
    <w:rsid w:val="00854E06"/>
    <w:rsid w:val="00854FBA"/>
    <w:rsid w:val="00854FF2"/>
    <w:rsid w:val="00855112"/>
    <w:rsid w:val="008551E3"/>
    <w:rsid w:val="00855572"/>
    <w:rsid w:val="0085561F"/>
    <w:rsid w:val="008556F8"/>
    <w:rsid w:val="00855794"/>
    <w:rsid w:val="00855830"/>
    <w:rsid w:val="00855AF9"/>
    <w:rsid w:val="00855B3D"/>
    <w:rsid w:val="00855D88"/>
    <w:rsid w:val="00855EA1"/>
    <w:rsid w:val="00855FE6"/>
    <w:rsid w:val="00856111"/>
    <w:rsid w:val="008562D7"/>
    <w:rsid w:val="00856302"/>
    <w:rsid w:val="008563C0"/>
    <w:rsid w:val="00856446"/>
    <w:rsid w:val="00856461"/>
    <w:rsid w:val="00856618"/>
    <w:rsid w:val="00856623"/>
    <w:rsid w:val="0085675D"/>
    <w:rsid w:val="00856781"/>
    <w:rsid w:val="00856970"/>
    <w:rsid w:val="00856A72"/>
    <w:rsid w:val="00856D99"/>
    <w:rsid w:val="00856D9A"/>
    <w:rsid w:val="00856DBC"/>
    <w:rsid w:val="00856E05"/>
    <w:rsid w:val="00857140"/>
    <w:rsid w:val="0085736F"/>
    <w:rsid w:val="008573B4"/>
    <w:rsid w:val="0085741A"/>
    <w:rsid w:val="008576C7"/>
    <w:rsid w:val="0085792C"/>
    <w:rsid w:val="00857A47"/>
    <w:rsid w:val="00857C48"/>
    <w:rsid w:val="00857D8E"/>
    <w:rsid w:val="00857E9E"/>
    <w:rsid w:val="00857F19"/>
    <w:rsid w:val="00857FF4"/>
    <w:rsid w:val="008600CF"/>
    <w:rsid w:val="008600D8"/>
    <w:rsid w:val="0086034A"/>
    <w:rsid w:val="0086039F"/>
    <w:rsid w:val="008603A6"/>
    <w:rsid w:val="008604B9"/>
    <w:rsid w:val="008605E0"/>
    <w:rsid w:val="00860625"/>
    <w:rsid w:val="008606B2"/>
    <w:rsid w:val="00860861"/>
    <w:rsid w:val="00860A05"/>
    <w:rsid w:val="00860A31"/>
    <w:rsid w:val="00860CAA"/>
    <w:rsid w:val="00860D6D"/>
    <w:rsid w:val="00860D9E"/>
    <w:rsid w:val="0086102F"/>
    <w:rsid w:val="00861111"/>
    <w:rsid w:val="00861160"/>
    <w:rsid w:val="0086135B"/>
    <w:rsid w:val="008617F1"/>
    <w:rsid w:val="008618C5"/>
    <w:rsid w:val="00861999"/>
    <w:rsid w:val="008619F6"/>
    <w:rsid w:val="00861A1D"/>
    <w:rsid w:val="00861A27"/>
    <w:rsid w:val="00861A65"/>
    <w:rsid w:val="00861AC8"/>
    <w:rsid w:val="00861B3D"/>
    <w:rsid w:val="00861D41"/>
    <w:rsid w:val="00861E0E"/>
    <w:rsid w:val="00861E64"/>
    <w:rsid w:val="00861E6E"/>
    <w:rsid w:val="0086210F"/>
    <w:rsid w:val="00862216"/>
    <w:rsid w:val="0086239E"/>
    <w:rsid w:val="0086240C"/>
    <w:rsid w:val="008626B8"/>
    <w:rsid w:val="00862907"/>
    <w:rsid w:val="0086298C"/>
    <w:rsid w:val="00862CC3"/>
    <w:rsid w:val="00862DD3"/>
    <w:rsid w:val="00862EB5"/>
    <w:rsid w:val="00862EE6"/>
    <w:rsid w:val="00862F5F"/>
    <w:rsid w:val="00863025"/>
    <w:rsid w:val="0086322D"/>
    <w:rsid w:val="00863395"/>
    <w:rsid w:val="008634FA"/>
    <w:rsid w:val="00863562"/>
    <w:rsid w:val="0086387C"/>
    <w:rsid w:val="00863936"/>
    <w:rsid w:val="0086395F"/>
    <w:rsid w:val="00863971"/>
    <w:rsid w:val="0086397A"/>
    <w:rsid w:val="00863B62"/>
    <w:rsid w:val="00863CB7"/>
    <w:rsid w:val="00863D27"/>
    <w:rsid w:val="00863F93"/>
    <w:rsid w:val="00864024"/>
    <w:rsid w:val="008641F4"/>
    <w:rsid w:val="00864243"/>
    <w:rsid w:val="0086445D"/>
    <w:rsid w:val="00864489"/>
    <w:rsid w:val="00864714"/>
    <w:rsid w:val="00864A11"/>
    <w:rsid w:val="00864A24"/>
    <w:rsid w:val="00864A51"/>
    <w:rsid w:val="00864CD5"/>
    <w:rsid w:val="00864D87"/>
    <w:rsid w:val="00864D99"/>
    <w:rsid w:val="00864DDB"/>
    <w:rsid w:val="00864F09"/>
    <w:rsid w:val="00865171"/>
    <w:rsid w:val="008651BF"/>
    <w:rsid w:val="00865273"/>
    <w:rsid w:val="008652A8"/>
    <w:rsid w:val="008652E0"/>
    <w:rsid w:val="008653FA"/>
    <w:rsid w:val="00865474"/>
    <w:rsid w:val="008655AC"/>
    <w:rsid w:val="0086562C"/>
    <w:rsid w:val="00865785"/>
    <w:rsid w:val="0086579B"/>
    <w:rsid w:val="00865844"/>
    <w:rsid w:val="00865927"/>
    <w:rsid w:val="0086594E"/>
    <w:rsid w:val="00865A01"/>
    <w:rsid w:val="00865A5F"/>
    <w:rsid w:val="00865D05"/>
    <w:rsid w:val="00865DF0"/>
    <w:rsid w:val="00865F6B"/>
    <w:rsid w:val="0086614F"/>
    <w:rsid w:val="00866288"/>
    <w:rsid w:val="00866385"/>
    <w:rsid w:val="008664A7"/>
    <w:rsid w:val="00866570"/>
    <w:rsid w:val="00866831"/>
    <w:rsid w:val="0086689A"/>
    <w:rsid w:val="0086697E"/>
    <w:rsid w:val="00866ABC"/>
    <w:rsid w:val="00866AEC"/>
    <w:rsid w:val="00866CDE"/>
    <w:rsid w:val="00866D0B"/>
    <w:rsid w:val="00866D0E"/>
    <w:rsid w:val="00866E13"/>
    <w:rsid w:val="00866E38"/>
    <w:rsid w:val="00866EBB"/>
    <w:rsid w:val="00866FCE"/>
    <w:rsid w:val="008670E6"/>
    <w:rsid w:val="00867345"/>
    <w:rsid w:val="008675BB"/>
    <w:rsid w:val="008677AD"/>
    <w:rsid w:val="0086787D"/>
    <w:rsid w:val="0086795F"/>
    <w:rsid w:val="00867993"/>
    <w:rsid w:val="00867AA3"/>
    <w:rsid w:val="00867ACF"/>
    <w:rsid w:val="00867B9F"/>
    <w:rsid w:val="00867CB1"/>
    <w:rsid w:val="00867DC2"/>
    <w:rsid w:val="00867E48"/>
    <w:rsid w:val="00867EDE"/>
    <w:rsid w:val="0087004E"/>
    <w:rsid w:val="00870251"/>
    <w:rsid w:val="00870328"/>
    <w:rsid w:val="00870781"/>
    <w:rsid w:val="00870A17"/>
    <w:rsid w:val="00870A1B"/>
    <w:rsid w:val="00870BA3"/>
    <w:rsid w:val="00870D7A"/>
    <w:rsid w:val="00870ECF"/>
    <w:rsid w:val="0087107E"/>
    <w:rsid w:val="008713B2"/>
    <w:rsid w:val="008713D0"/>
    <w:rsid w:val="008714BA"/>
    <w:rsid w:val="0087150B"/>
    <w:rsid w:val="008716DE"/>
    <w:rsid w:val="008716FB"/>
    <w:rsid w:val="008716FE"/>
    <w:rsid w:val="0087180F"/>
    <w:rsid w:val="00871AD8"/>
    <w:rsid w:val="00871B00"/>
    <w:rsid w:val="00871C42"/>
    <w:rsid w:val="00871D0A"/>
    <w:rsid w:val="00871F42"/>
    <w:rsid w:val="00871F99"/>
    <w:rsid w:val="00871FA7"/>
    <w:rsid w:val="00871FC7"/>
    <w:rsid w:val="00871FDE"/>
    <w:rsid w:val="0087209C"/>
    <w:rsid w:val="008720B3"/>
    <w:rsid w:val="008721E7"/>
    <w:rsid w:val="008722AC"/>
    <w:rsid w:val="00872347"/>
    <w:rsid w:val="0087237A"/>
    <w:rsid w:val="008723B3"/>
    <w:rsid w:val="0087247F"/>
    <w:rsid w:val="008725AB"/>
    <w:rsid w:val="008725F3"/>
    <w:rsid w:val="00872937"/>
    <w:rsid w:val="00872A14"/>
    <w:rsid w:val="00872C32"/>
    <w:rsid w:val="00872EF4"/>
    <w:rsid w:val="00872F54"/>
    <w:rsid w:val="0087306B"/>
    <w:rsid w:val="0087318B"/>
    <w:rsid w:val="0087319C"/>
    <w:rsid w:val="008732E8"/>
    <w:rsid w:val="00873459"/>
    <w:rsid w:val="008737E7"/>
    <w:rsid w:val="0087397D"/>
    <w:rsid w:val="008739D3"/>
    <w:rsid w:val="00873BB3"/>
    <w:rsid w:val="00873DAA"/>
    <w:rsid w:val="00873DB4"/>
    <w:rsid w:val="00873DCA"/>
    <w:rsid w:val="008746EF"/>
    <w:rsid w:val="0087499E"/>
    <w:rsid w:val="008749AC"/>
    <w:rsid w:val="00874ACA"/>
    <w:rsid w:val="00874CAB"/>
    <w:rsid w:val="00874D14"/>
    <w:rsid w:val="00874D42"/>
    <w:rsid w:val="00874DF4"/>
    <w:rsid w:val="00874E56"/>
    <w:rsid w:val="00874E8F"/>
    <w:rsid w:val="00874F15"/>
    <w:rsid w:val="00874F4E"/>
    <w:rsid w:val="00875076"/>
    <w:rsid w:val="0087521C"/>
    <w:rsid w:val="008753FF"/>
    <w:rsid w:val="008754B5"/>
    <w:rsid w:val="00875673"/>
    <w:rsid w:val="0087569C"/>
    <w:rsid w:val="00875C72"/>
    <w:rsid w:val="00875CEF"/>
    <w:rsid w:val="00876007"/>
    <w:rsid w:val="008761A4"/>
    <w:rsid w:val="00876420"/>
    <w:rsid w:val="00876447"/>
    <w:rsid w:val="008764A4"/>
    <w:rsid w:val="00876505"/>
    <w:rsid w:val="008766C6"/>
    <w:rsid w:val="008766D9"/>
    <w:rsid w:val="008767D8"/>
    <w:rsid w:val="008767F1"/>
    <w:rsid w:val="0087683C"/>
    <w:rsid w:val="00876873"/>
    <w:rsid w:val="00876BE0"/>
    <w:rsid w:val="00876C2B"/>
    <w:rsid w:val="00876DF0"/>
    <w:rsid w:val="00877182"/>
    <w:rsid w:val="00877231"/>
    <w:rsid w:val="0087733C"/>
    <w:rsid w:val="00877375"/>
    <w:rsid w:val="00877468"/>
    <w:rsid w:val="008775FA"/>
    <w:rsid w:val="00877660"/>
    <w:rsid w:val="00877850"/>
    <w:rsid w:val="00877AC2"/>
    <w:rsid w:val="00877B18"/>
    <w:rsid w:val="00877BA7"/>
    <w:rsid w:val="00877D4D"/>
    <w:rsid w:val="00877D90"/>
    <w:rsid w:val="0088004C"/>
    <w:rsid w:val="008800C8"/>
    <w:rsid w:val="008801CB"/>
    <w:rsid w:val="008801DB"/>
    <w:rsid w:val="008802D5"/>
    <w:rsid w:val="008805CA"/>
    <w:rsid w:val="008808FF"/>
    <w:rsid w:val="008809A1"/>
    <w:rsid w:val="00880A09"/>
    <w:rsid w:val="00880AB4"/>
    <w:rsid w:val="00880CA0"/>
    <w:rsid w:val="00880CA3"/>
    <w:rsid w:val="00880D1A"/>
    <w:rsid w:val="00880D69"/>
    <w:rsid w:val="00880DF4"/>
    <w:rsid w:val="00880EE8"/>
    <w:rsid w:val="00880F12"/>
    <w:rsid w:val="008811C3"/>
    <w:rsid w:val="00881275"/>
    <w:rsid w:val="00881392"/>
    <w:rsid w:val="008815F8"/>
    <w:rsid w:val="00881624"/>
    <w:rsid w:val="00881BAA"/>
    <w:rsid w:val="00881C09"/>
    <w:rsid w:val="00881EBD"/>
    <w:rsid w:val="00881F00"/>
    <w:rsid w:val="00882020"/>
    <w:rsid w:val="00882051"/>
    <w:rsid w:val="00882120"/>
    <w:rsid w:val="008821DE"/>
    <w:rsid w:val="00882290"/>
    <w:rsid w:val="00882298"/>
    <w:rsid w:val="0088237D"/>
    <w:rsid w:val="008824A2"/>
    <w:rsid w:val="00882791"/>
    <w:rsid w:val="00882836"/>
    <w:rsid w:val="0088283E"/>
    <w:rsid w:val="008828AB"/>
    <w:rsid w:val="008828C9"/>
    <w:rsid w:val="00882904"/>
    <w:rsid w:val="00882A7F"/>
    <w:rsid w:val="00882BDF"/>
    <w:rsid w:val="00882C09"/>
    <w:rsid w:val="00882C5A"/>
    <w:rsid w:val="00882F54"/>
    <w:rsid w:val="00883380"/>
    <w:rsid w:val="00883417"/>
    <w:rsid w:val="008838D9"/>
    <w:rsid w:val="00883909"/>
    <w:rsid w:val="00883A60"/>
    <w:rsid w:val="00883B58"/>
    <w:rsid w:val="00883C23"/>
    <w:rsid w:val="00883EF3"/>
    <w:rsid w:val="00883FF1"/>
    <w:rsid w:val="00884098"/>
    <w:rsid w:val="00884133"/>
    <w:rsid w:val="008842E7"/>
    <w:rsid w:val="00884530"/>
    <w:rsid w:val="00884541"/>
    <w:rsid w:val="00884789"/>
    <w:rsid w:val="008847BD"/>
    <w:rsid w:val="00884AB4"/>
    <w:rsid w:val="00884AD5"/>
    <w:rsid w:val="00884BB3"/>
    <w:rsid w:val="00884ED5"/>
    <w:rsid w:val="00884F39"/>
    <w:rsid w:val="008850C4"/>
    <w:rsid w:val="00885118"/>
    <w:rsid w:val="00885202"/>
    <w:rsid w:val="00885399"/>
    <w:rsid w:val="0088554B"/>
    <w:rsid w:val="00885579"/>
    <w:rsid w:val="008855CC"/>
    <w:rsid w:val="0088575E"/>
    <w:rsid w:val="0088594B"/>
    <w:rsid w:val="00885981"/>
    <w:rsid w:val="00885A0D"/>
    <w:rsid w:val="00885AF0"/>
    <w:rsid w:val="00885AF5"/>
    <w:rsid w:val="00885C91"/>
    <w:rsid w:val="00885D02"/>
    <w:rsid w:val="00885D21"/>
    <w:rsid w:val="00885D42"/>
    <w:rsid w:val="00886001"/>
    <w:rsid w:val="0088616E"/>
    <w:rsid w:val="008864E3"/>
    <w:rsid w:val="00886AA4"/>
    <w:rsid w:val="00886C6E"/>
    <w:rsid w:val="00886F41"/>
    <w:rsid w:val="00887111"/>
    <w:rsid w:val="008871A8"/>
    <w:rsid w:val="00887246"/>
    <w:rsid w:val="00887334"/>
    <w:rsid w:val="0088738C"/>
    <w:rsid w:val="0088747D"/>
    <w:rsid w:val="008876D1"/>
    <w:rsid w:val="00887B1E"/>
    <w:rsid w:val="00887D11"/>
    <w:rsid w:val="00887D6F"/>
    <w:rsid w:val="00887E34"/>
    <w:rsid w:val="00887F11"/>
    <w:rsid w:val="008900D9"/>
    <w:rsid w:val="008901C5"/>
    <w:rsid w:val="00890412"/>
    <w:rsid w:val="00890584"/>
    <w:rsid w:val="00890595"/>
    <w:rsid w:val="008905C3"/>
    <w:rsid w:val="00890619"/>
    <w:rsid w:val="00890624"/>
    <w:rsid w:val="0089070E"/>
    <w:rsid w:val="00890718"/>
    <w:rsid w:val="0089077A"/>
    <w:rsid w:val="008907A8"/>
    <w:rsid w:val="0089088A"/>
    <w:rsid w:val="0089091B"/>
    <w:rsid w:val="00890924"/>
    <w:rsid w:val="00890B6B"/>
    <w:rsid w:val="00890D89"/>
    <w:rsid w:val="00890D92"/>
    <w:rsid w:val="00890EDE"/>
    <w:rsid w:val="00890EF6"/>
    <w:rsid w:val="008910E9"/>
    <w:rsid w:val="008911F9"/>
    <w:rsid w:val="00891437"/>
    <w:rsid w:val="008914A1"/>
    <w:rsid w:val="0089175A"/>
    <w:rsid w:val="0089175F"/>
    <w:rsid w:val="008918AC"/>
    <w:rsid w:val="008919CF"/>
    <w:rsid w:val="008919D4"/>
    <w:rsid w:val="00891A5B"/>
    <w:rsid w:val="00891AC1"/>
    <w:rsid w:val="00891CB3"/>
    <w:rsid w:val="00891CF0"/>
    <w:rsid w:val="00891D49"/>
    <w:rsid w:val="008921F3"/>
    <w:rsid w:val="008922A4"/>
    <w:rsid w:val="008922D9"/>
    <w:rsid w:val="008922DA"/>
    <w:rsid w:val="00892328"/>
    <w:rsid w:val="00892426"/>
    <w:rsid w:val="008925AE"/>
    <w:rsid w:val="0089265B"/>
    <w:rsid w:val="008927D1"/>
    <w:rsid w:val="00892AE5"/>
    <w:rsid w:val="00892B84"/>
    <w:rsid w:val="00892D6B"/>
    <w:rsid w:val="00892D86"/>
    <w:rsid w:val="00892F68"/>
    <w:rsid w:val="00892FBF"/>
    <w:rsid w:val="00893040"/>
    <w:rsid w:val="00893269"/>
    <w:rsid w:val="0089331B"/>
    <w:rsid w:val="00893446"/>
    <w:rsid w:val="008937C1"/>
    <w:rsid w:val="00893860"/>
    <w:rsid w:val="00893BEB"/>
    <w:rsid w:val="00893E82"/>
    <w:rsid w:val="00893FC3"/>
    <w:rsid w:val="00894171"/>
    <w:rsid w:val="0089439A"/>
    <w:rsid w:val="008943BA"/>
    <w:rsid w:val="008944D8"/>
    <w:rsid w:val="008944F0"/>
    <w:rsid w:val="008946A9"/>
    <w:rsid w:val="0089480A"/>
    <w:rsid w:val="00894976"/>
    <w:rsid w:val="00894A81"/>
    <w:rsid w:val="00894CB4"/>
    <w:rsid w:val="00894CE2"/>
    <w:rsid w:val="00894D64"/>
    <w:rsid w:val="00894DD9"/>
    <w:rsid w:val="00895132"/>
    <w:rsid w:val="00895410"/>
    <w:rsid w:val="00895464"/>
    <w:rsid w:val="0089572F"/>
    <w:rsid w:val="00895C2D"/>
    <w:rsid w:val="00895C3F"/>
    <w:rsid w:val="00895CAE"/>
    <w:rsid w:val="00895D7C"/>
    <w:rsid w:val="00895EEF"/>
    <w:rsid w:val="00895F09"/>
    <w:rsid w:val="0089624A"/>
    <w:rsid w:val="008962C6"/>
    <w:rsid w:val="00896455"/>
    <w:rsid w:val="00896470"/>
    <w:rsid w:val="008964A0"/>
    <w:rsid w:val="00896522"/>
    <w:rsid w:val="008965EB"/>
    <w:rsid w:val="008966A2"/>
    <w:rsid w:val="0089694C"/>
    <w:rsid w:val="00896A77"/>
    <w:rsid w:val="00896CDE"/>
    <w:rsid w:val="00896DBB"/>
    <w:rsid w:val="0089709A"/>
    <w:rsid w:val="008970DF"/>
    <w:rsid w:val="0089712D"/>
    <w:rsid w:val="008971EB"/>
    <w:rsid w:val="00897470"/>
    <w:rsid w:val="00897530"/>
    <w:rsid w:val="0089755A"/>
    <w:rsid w:val="00897599"/>
    <w:rsid w:val="00897731"/>
    <w:rsid w:val="00897B72"/>
    <w:rsid w:val="00897B7B"/>
    <w:rsid w:val="00897C44"/>
    <w:rsid w:val="00897E49"/>
    <w:rsid w:val="00897E80"/>
    <w:rsid w:val="00897ED1"/>
    <w:rsid w:val="00897F6A"/>
    <w:rsid w:val="00897F87"/>
    <w:rsid w:val="00897F98"/>
    <w:rsid w:val="00897FA0"/>
    <w:rsid w:val="008A01BF"/>
    <w:rsid w:val="008A0222"/>
    <w:rsid w:val="008A0656"/>
    <w:rsid w:val="008A0813"/>
    <w:rsid w:val="008A0C6D"/>
    <w:rsid w:val="008A0FC1"/>
    <w:rsid w:val="008A104B"/>
    <w:rsid w:val="008A180C"/>
    <w:rsid w:val="008A18DC"/>
    <w:rsid w:val="008A1A0E"/>
    <w:rsid w:val="008A1C53"/>
    <w:rsid w:val="008A238B"/>
    <w:rsid w:val="008A2434"/>
    <w:rsid w:val="008A243E"/>
    <w:rsid w:val="008A25D0"/>
    <w:rsid w:val="008A27BE"/>
    <w:rsid w:val="008A2888"/>
    <w:rsid w:val="008A293A"/>
    <w:rsid w:val="008A2E32"/>
    <w:rsid w:val="008A2FC3"/>
    <w:rsid w:val="008A3013"/>
    <w:rsid w:val="008A3040"/>
    <w:rsid w:val="008A30C1"/>
    <w:rsid w:val="008A322B"/>
    <w:rsid w:val="008A3236"/>
    <w:rsid w:val="008A32B1"/>
    <w:rsid w:val="008A348F"/>
    <w:rsid w:val="008A3530"/>
    <w:rsid w:val="008A376C"/>
    <w:rsid w:val="008A3798"/>
    <w:rsid w:val="008A3813"/>
    <w:rsid w:val="008A3CC0"/>
    <w:rsid w:val="008A3E13"/>
    <w:rsid w:val="008A3E4E"/>
    <w:rsid w:val="008A415E"/>
    <w:rsid w:val="008A416A"/>
    <w:rsid w:val="008A4274"/>
    <w:rsid w:val="008A4843"/>
    <w:rsid w:val="008A4844"/>
    <w:rsid w:val="008A487D"/>
    <w:rsid w:val="008A4CEE"/>
    <w:rsid w:val="008A4D18"/>
    <w:rsid w:val="008A4D47"/>
    <w:rsid w:val="008A4F94"/>
    <w:rsid w:val="008A50DD"/>
    <w:rsid w:val="008A519D"/>
    <w:rsid w:val="008A51E2"/>
    <w:rsid w:val="008A537A"/>
    <w:rsid w:val="008A56D9"/>
    <w:rsid w:val="008A5BD4"/>
    <w:rsid w:val="008A5CC5"/>
    <w:rsid w:val="008A6015"/>
    <w:rsid w:val="008A60BA"/>
    <w:rsid w:val="008A6169"/>
    <w:rsid w:val="008A6247"/>
    <w:rsid w:val="008A6474"/>
    <w:rsid w:val="008A6550"/>
    <w:rsid w:val="008A6609"/>
    <w:rsid w:val="008A6B81"/>
    <w:rsid w:val="008A6B97"/>
    <w:rsid w:val="008A6F4F"/>
    <w:rsid w:val="008A6F50"/>
    <w:rsid w:val="008A6F88"/>
    <w:rsid w:val="008A708C"/>
    <w:rsid w:val="008A76CC"/>
    <w:rsid w:val="008A7A12"/>
    <w:rsid w:val="008A7A9C"/>
    <w:rsid w:val="008A7B04"/>
    <w:rsid w:val="008A7E15"/>
    <w:rsid w:val="008A7FE0"/>
    <w:rsid w:val="008B034B"/>
    <w:rsid w:val="008B03A5"/>
    <w:rsid w:val="008B0451"/>
    <w:rsid w:val="008B05A4"/>
    <w:rsid w:val="008B097D"/>
    <w:rsid w:val="008B0A37"/>
    <w:rsid w:val="008B0A38"/>
    <w:rsid w:val="008B0AD7"/>
    <w:rsid w:val="008B0B83"/>
    <w:rsid w:val="008B0CD7"/>
    <w:rsid w:val="008B0ED7"/>
    <w:rsid w:val="008B1041"/>
    <w:rsid w:val="008B10D2"/>
    <w:rsid w:val="008B1198"/>
    <w:rsid w:val="008B11B6"/>
    <w:rsid w:val="008B1394"/>
    <w:rsid w:val="008B142A"/>
    <w:rsid w:val="008B1464"/>
    <w:rsid w:val="008B14BF"/>
    <w:rsid w:val="008B1633"/>
    <w:rsid w:val="008B1A93"/>
    <w:rsid w:val="008B1C47"/>
    <w:rsid w:val="008B1C78"/>
    <w:rsid w:val="008B1D55"/>
    <w:rsid w:val="008B1D7A"/>
    <w:rsid w:val="008B1DDE"/>
    <w:rsid w:val="008B1FE5"/>
    <w:rsid w:val="008B24E1"/>
    <w:rsid w:val="008B278B"/>
    <w:rsid w:val="008B2816"/>
    <w:rsid w:val="008B28B7"/>
    <w:rsid w:val="008B2941"/>
    <w:rsid w:val="008B2946"/>
    <w:rsid w:val="008B2A88"/>
    <w:rsid w:val="008B2BBA"/>
    <w:rsid w:val="008B2C50"/>
    <w:rsid w:val="008B2DD0"/>
    <w:rsid w:val="008B2DD1"/>
    <w:rsid w:val="008B2DF0"/>
    <w:rsid w:val="008B32F8"/>
    <w:rsid w:val="008B3358"/>
    <w:rsid w:val="008B34BE"/>
    <w:rsid w:val="008B36D2"/>
    <w:rsid w:val="008B37D2"/>
    <w:rsid w:val="008B3DA9"/>
    <w:rsid w:val="008B3DBC"/>
    <w:rsid w:val="008B3E3C"/>
    <w:rsid w:val="008B4184"/>
    <w:rsid w:val="008B4436"/>
    <w:rsid w:val="008B4554"/>
    <w:rsid w:val="008B488F"/>
    <w:rsid w:val="008B48E3"/>
    <w:rsid w:val="008B4BAD"/>
    <w:rsid w:val="008B4D45"/>
    <w:rsid w:val="008B4E7C"/>
    <w:rsid w:val="008B4EE5"/>
    <w:rsid w:val="008B502B"/>
    <w:rsid w:val="008B5183"/>
    <w:rsid w:val="008B536E"/>
    <w:rsid w:val="008B53A9"/>
    <w:rsid w:val="008B55D4"/>
    <w:rsid w:val="008B5651"/>
    <w:rsid w:val="008B5722"/>
    <w:rsid w:val="008B57F9"/>
    <w:rsid w:val="008B5A25"/>
    <w:rsid w:val="008B5D54"/>
    <w:rsid w:val="008B5E4D"/>
    <w:rsid w:val="008B5E83"/>
    <w:rsid w:val="008B5EF5"/>
    <w:rsid w:val="008B5FC1"/>
    <w:rsid w:val="008B619C"/>
    <w:rsid w:val="008B6248"/>
    <w:rsid w:val="008B6260"/>
    <w:rsid w:val="008B62B6"/>
    <w:rsid w:val="008B62ED"/>
    <w:rsid w:val="008B6457"/>
    <w:rsid w:val="008B64A4"/>
    <w:rsid w:val="008B64FB"/>
    <w:rsid w:val="008B65AC"/>
    <w:rsid w:val="008B6760"/>
    <w:rsid w:val="008B67CE"/>
    <w:rsid w:val="008B69C5"/>
    <w:rsid w:val="008B69DB"/>
    <w:rsid w:val="008B6BE8"/>
    <w:rsid w:val="008B6D14"/>
    <w:rsid w:val="008B6DCD"/>
    <w:rsid w:val="008B6E56"/>
    <w:rsid w:val="008B6E66"/>
    <w:rsid w:val="008B6E70"/>
    <w:rsid w:val="008B71BB"/>
    <w:rsid w:val="008B7315"/>
    <w:rsid w:val="008B75D8"/>
    <w:rsid w:val="008B7760"/>
    <w:rsid w:val="008B7841"/>
    <w:rsid w:val="008B7848"/>
    <w:rsid w:val="008B789F"/>
    <w:rsid w:val="008B7B54"/>
    <w:rsid w:val="008B7C5F"/>
    <w:rsid w:val="008B7DFD"/>
    <w:rsid w:val="008B7E35"/>
    <w:rsid w:val="008B7F28"/>
    <w:rsid w:val="008C00C5"/>
    <w:rsid w:val="008C00C6"/>
    <w:rsid w:val="008C02F2"/>
    <w:rsid w:val="008C03DA"/>
    <w:rsid w:val="008C04C0"/>
    <w:rsid w:val="008C05F0"/>
    <w:rsid w:val="008C063D"/>
    <w:rsid w:val="008C08B0"/>
    <w:rsid w:val="008C0ACD"/>
    <w:rsid w:val="008C0B5C"/>
    <w:rsid w:val="008C0B85"/>
    <w:rsid w:val="008C0C0F"/>
    <w:rsid w:val="008C0EAA"/>
    <w:rsid w:val="008C1071"/>
    <w:rsid w:val="008C11CB"/>
    <w:rsid w:val="008C11D7"/>
    <w:rsid w:val="008C1284"/>
    <w:rsid w:val="008C1629"/>
    <w:rsid w:val="008C1711"/>
    <w:rsid w:val="008C1925"/>
    <w:rsid w:val="008C1CAE"/>
    <w:rsid w:val="008C1CD8"/>
    <w:rsid w:val="008C1DB9"/>
    <w:rsid w:val="008C1DFB"/>
    <w:rsid w:val="008C1FB0"/>
    <w:rsid w:val="008C1FC1"/>
    <w:rsid w:val="008C20A5"/>
    <w:rsid w:val="008C21D8"/>
    <w:rsid w:val="008C2271"/>
    <w:rsid w:val="008C235C"/>
    <w:rsid w:val="008C23D3"/>
    <w:rsid w:val="008C23F1"/>
    <w:rsid w:val="008C2463"/>
    <w:rsid w:val="008C2480"/>
    <w:rsid w:val="008C2984"/>
    <w:rsid w:val="008C2B61"/>
    <w:rsid w:val="008C2B9A"/>
    <w:rsid w:val="008C2C21"/>
    <w:rsid w:val="008C2D46"/>
    <w:rsid w:val="008C2FD9"/>
    <w:rsid w:val="008C303A"/>
    <w:rsid w:val="008C3125"/>
    <w:rsid w:val="008C32C6"/>
    <w:rsid w:val="008C3378"/>
    <w:rsid w:val="008C33D2"/>
    <w:rsid w:val="008C3585"/>
    <w:rsid w:val="008C36F2"/>
    <w:rsid w:val="008C3942"/>
    <w:rsid w:val="008C3972"/>
    <w:rsid w:val="008C3AFC"/>
    <w:rsid w:val="008C3B2E"/>
    <w:rsid w:val="008C3E16"/>
    <w:rsid w:val="008C3E77"/>
    <w:rsid w:val="008C3FEB"/>
    <w:rsid w:val="008C4039"/>
    <w:rsid w:val="008C42FF"/>
    <w:rsid w:val="008C452B"/>
    <w:rsid w:val="008C459F"/>
    <w:rsid w:val="008C45D1"/>
    <w:rsid w:val="008C45E1"/>
    <w:rsid w:val="008C46E0"/>
    <w:rsid w:val="008C4760"/>
    <w:rsid w:val="008C4773"/>
    <w:rsid w:val="008C47D4"/>
    <w:rsid w:val="008C490C"/>
    <w:rsid w:val="008C4D74"/>
    <w:rsid w:val="008C4D88"/>
    <w:rsid w:val="008C4DE0"/>
    <w:rsid w:val="008C5082"/>
    <w:rsid w:val="008C50F0"/>
    <w:rsid w:val="008C5152"/>
    <w:rsid w:val="008C53DE"/>
    <w:rsid w:val="008C54D4"/>
    <w:rsid w:val="008C560C"/>
    <w:rsid w:val="008C5710"/>
    <w:rsid w:val="008C578E"/>
    <w:rsid w:val="008C589D"/>
    <w:rsid w:val="008C58CF"/>
    <w:rsid w:val="008C5E84"/>
    <w:rsid w:val="008C5F1D"/>
    <w:rsid w:val="008C5FF0"/>
    <w:rsid w:val="008C610F"/>
    <w:rsid w:val="008C6254"/>
    <w:rsid w:val="008C6418"/>
    <w:rsid w:val="008C644A"/>
    <w:rsid w:val="008C6462"/>
    <w:rsid w:val="008C67BE"/>
    <w:rsid w:val="008C6895"/>
    <w:rsid w:val="008C69B3"/>
    <w:rsid w:val="008C6A4D"/>
    <w:rsid w:val="008C6A58"/>
    <w:rsid w:val="008C6A61"/>
    <w:rsid w:val="008C6BEA"/>
    <w:rsid w:val="008C6C9F"/>
    <w:rsid w:val="008C6F32"/>
    <w:rsid w:val="008C6F70"/>
    <w:rsid w:val="008C7036"/>
    <w:rsid w:val="008C7060"/>
    <w:rsid w:val="008C70E5"/>
    <w:rsid w:val="008C7145"/>
    <w:rsid w:val="008C7297"/>
    <w:rsid w:val="008C739D"/>
    <w:rsid w:val="008C73D8"/>
    <w:rsid w:val="008C7469"/>
    <w:rsid w:val="008C74C8"/>
    <w:rsid w:val="008C7595"/>
    <w:rsid w:val="008C763A"/>
    <w:rsid w:val="008C784D"/>
    <w:rsid w:val="008C78EE"/>
    <w:rsid w:val="008C796A"/>
    <w:rsid w:val="008C7B0F"/>
    <w:rsid w:val="008C7B83"/>
    <w:rsid w:val="008C7BB4"/>
    <w:rsid w:val="008C7C0A"/>
    <w:rsid w:val="008C7C15"/>
    <w:rsid w:val="008C7D1E"/>
    <w:rsid w:val="008C7E35"/>
    <w:rsid w:val="008C7E90"/>
    <w:rsid w:val="008C7EED"/>
    <w:rsid w:val="008C7FCE"/>
    <w:rsid w:val="008D0143"/>
    <w:rsid w:val="008D01BD"/>
    <w:rsid w:val="008D0291"/>
    <w:rsid w:val="008D02D8"/>
    <w:rsid w:val="008D0530"/>
    <w:rsid w:val="008D059C"/>
    <w:rsid w:val="008D05CD"/>
    <w:rsid w:val="008D0678"/>
    <w:rsid w:val="008D07B7"/>
    <w:rsid w:val="008D08A1"/>
    <w:rsid w:val="008D09ED"/>
    <w:rsid w:val="008D0AC8"/>
    <w:rsid w:val="008D0B19"/>
    <w:rsid w:val="008D0D4B"/>
    <w:rsid w:val="008D101A"/>
    <w:rsid w:val="008D10AB"/>
    <w:rsid w:val="008D1148"/>
    <w:rsid w:val="008D1198"/>
    <w:rsid w:val="008D11E5"/>
    <w:rsid w:val="008D1273"/>
    <w:rsid w:val="008D12B7"/>
    <w:rsid w:val="008D1338"/>
    <w:rsid w:val="008D1357"/>
    <w:rsid w:val="008D150F"/>
    <w:rsid w:val="008D15A5"/>
    <w:rsid w:val="008D178B"/>
    <w:rsid w:val="008D179C"/>
    <w:rsid w:val="008D17D4"/>
    <w:rsid w:val="008D1847"/>
    <w:rsid w:val="008D1868"/>
    <w:rsid w:val="008D18FE"/>
    <w:rsid w:val="008D19D8"/>
    <w:rsid w:val="008D1C5B"/>
    <w:rsid w:val="008D1C70"/>
    <w:rsid w:val="008D1CFA"/>
    <w:rsid w:val="008D1E2C"/>
    <w:rsid w:val="008D1E55"/>
    <w:rsid w:val="008D1E80"/>
    <w:rsid w:val="008D1E9B"/>
    <w:rsid w:val="008D1FD4"/>
    <w:rsid w:val="008D20B1"/>
    <w:rsid w:val="008D2196"/>
    <w:rsid w:val="008D21F5"/>
    <w:rsid w:val="008D2215"/>
    <w:rsid w:val="008D2413"/>
    <w:rsid w:val="008D2425"/>
    <w:rsid w:val="008D24B8"/>
    <w:rsid w:val="008D26DE"/>
    <w:rsid w:val="008D2736"/>
    <w:rsid w:val="008D2A8A"/>
    <w:rsid w:val="008D2A8D"/>
    <w:rsid w:val="008D2B14"/>
    <w:rsid w:val="008D2B80"/>
    <w:rsid w:val="008D2C66"/>
    <w:rsid w:val="008D2C9B"/>
    <w:rsid w:val="008D2CDE"/>
    <w:rsid w:val="008D2D22"/>
    <w:rsid w:val="008D2F8B"/>
    <w:rsid w:val="008D308D"/>
    <w:rsid w:val="008D30A3"/>
    <w:rsid w:val="008D30D4"/>
    <w:rsid w:val="008D32D0"/>
    <w:rsid w:val="008D3332"/>
    <w:rsid w:val="008D3495"/>
    <w:rsid w:val="008D3811"/>
    <w:rsid w:val="008D3A26"/>
    <w:rsid w:val="008D3A3F"/>
    <w:rsid w:val="008D3B69"/>
    <w:rsid w:val="008D3C30"/>
    <w:rsid w:val="008D3CF7"/>
    <w:rsid w:val="008D3DE4"/>
    <w:rsid w:val="008D3EA8"/>
    <w:rsid w:val="008D4051"/>
    <w:rsid w:val="008D4200"/>
    <w:rsid w:val="008D441B"/>
    <w:rsid w:val="008D44BD"/>
    <w:rsid w:val="008D455F"/>
    <w:rsid w:val="008D45A9"/>
    <w:rsid w:val="008D46E0"/>
    <w:rsid w:val="008D4DBC"/>
    <w:rsid w:val="008D4DDA"/>
    <w:rsid w:val="008D5001"/>
    <w:rsid w:val="008D5014"/>
    <w:rsid w:val="008D51C8"/>
    <w:rsid w:val="008D51CA"/>
    <w:rsid w:val="008D51D5"/>
    <w:rsid w:val="008D530E"/>
    <w:rsid w:val="008D549D"/>
    <w:rsid w:val="008D552C"/>
    <w:rsid w:val="008D55BC"/>
    <w:rsid w:val="008D5687"/>
    <w:rsid w:val="008D5697"/>
    <w:rsid w:val="008D573D"/>
    <w:rsid w:val="008D57D1"/>
    <w:rsid w:val="008D5873"/>
    <w:rsid w:val="008D591C"/>
    <w:rsid w:val="008D5A75"/>
    <w:rsid w:val="008D5C39"/>
    <w:rsid w:val="008D5C8C"/>
    <w:rsid w:val="008D5CB1"/>
    <w:rsid w:val="008D5CD0"/>
    <w:rsid w:val="008D5F4A"/>
    <w:rsid w:val="008D62AC"/>
    <w:rsid w:val="008D62D2"/>
    <w:rsid w:val="008D6334"/>
    <w:rsid w:val="008D6526"/>
    <w:rsid w:val="008D652F"/>
    <w:rsid w:val="008D6888"/>
    <w:rsid w:val="008D6D37"/>
    <w:rsid w:val="008D6FB5"/>
    <w:rsid w:val="008D70A2"/>
    <w:rsid w:val="008D70ED"/>
    <w:rsid w:val="008D71AE"/>
    <w:rsid w:val="008D7219"/>
    <w:rsid w:val="008D740F"/>
    <w:rsid w:val="008D76BD"/>
    <w:rsid w:val="008D7784"/>
    <w:rsid w:val="008D7886"/>
    <w:rsid w:val="008D7B15"/>
    <w:rsid w:val="008D7C77"/>
    <w:rsid w:val="008D7CE1"/>
    <w:rsid w:val="008D7D21"/>
    <w:rsid w:val="008D7D26"/>
    <w:rsid w:val="008D7D68"/>
    <w:rsid w:val="008D7F8D"/>
    <w:rsid w:val="008E009A"/>
    <w:rsid w:val="008E012F"/>
    <w:rsid w:val="008E0360"/>
    <w:rsid w:val="008E03EA"/>
    <w:rsid w:val="008E0400"/>
    <w:rsid w:val="008E0453"/>
    <w:rsid w:val="008E051D"/>
    <w:rsid w:val="008E0632"/>
    <w:rsid w:val="008E08EB"/>
    <w:rsid w:val="008E0D0E"/>
    <w:rsid w:val="008E0EB6"/>
    <w:rsid w:val="008E13C8"/>
    <w:rsid w:val="008E150E"/>
    <w:rsid w:val="008E171E"/>
    <w:rsid w:val="008E19A9"/>
    <w:rsid w:val="008E19F6"/>
    <w:rsid w:val="008E1A91"/>
    <w:rsid w:val="008E1C7E"/>
    <w:rsid w:val="008E1DD3"/>
    <w:rsid w:val="008E1E50"/>
    <w:rsid w:val="008E2163"/>
    <w:rsid w:val="008E2287"/>
    <w:rsid w:val="008E2337"/>
    <w:rsid w:val="008E244C"/>
    <w:rsid w:val="008E258D"/>
    <w:rsid w:val="008E2932"/>
    <w:rsid w:val="008E2C21"/>
    <w:rsid w:val="008E2CEF"/>
    <w:rsid w:val="008E2E2F"/>
    <w:rsid w:val="008E2E38"/>
    <w:rsid w:val="008E2E3D"/>
    <w:rsid w:val="008E2E41"/>
    <w:rsid w:val="008E2F13"/>
    <w:rsid w:val="008E2F90"/>
    <w:rsid w:val="008E3011"/>
    <w:rsid w:val="008E30A3"/>
    <w:rsid w:val="008E30FA"/>
    <w:rsid w:val="008E31C3"/>
    <w:rsid w:val="008E3357"/>
    <w:rsid w:val="008E3792"/>
    <w:rsid w:val="008E3806"/>
    <w:rsid w:val="008E3A5C"/>
    <w:rsid w:val="008E3B4D"/>
    <w:rsid w:val="008E3DC8"/>
    <w:rsid w:val="008E3E51"/>
    <w:rsid w:val="008E3ED6"/>
    <w:rsid w:val="008E4016"/>
    <w:rsid w:val="008E42DB"/>
    <w:rsid w:val="008E438D"/>
    <w:rsid w:val="008E44C1"/>
    <w:rsid w:val="008E4556"/>
    <w:rsid w:val="008E47DD"/>
    <w:rsid w:val="008E4BE7"/>
    <w:rsid w:val="008E4DB4"/>
    <w:rsid w:val="008E4E11"/>
    <w:rsid w:val="008E4E34"/>
    <w:rsid w:val="008E4EE2"/>
    <w:rsid w:val="008E4FA7"/>
    <w:rsid w:val="008E4FD4"/>
    <w:rsid w:val="008E5228"/>
    <w:rsid w:val="008E55F9"/>
    <w:rsid w:val="008E583D"/>
    <w:rsid w:val="008E586C"/>
    <w:rsid w:val="008E590A"/>
    <w:rsid w:val="008E59B3"/>
    <w:rsid w:val="008E59BB"/>
    <w:rsid w:val="008E5A57"/>
    <w:rsid w:val="008E5B6D"/>
    <w:rsid w:val="008E6172"/>
    <w:rsid w:val="008E61CF"/>
    <w:rsid w:val="008E631B"/>
    <w:rsid w:val="008E63ED"/>
    <w:rsid w:val="008E67B9"/>
    <w:rsid w:val="008E6855"/>
    <w:rsid w:val="008E688B"/>
    <w:rsid w:val="008E6AE3"/>
    <w:rsid w:val="008E70A4"/>
    <w:rsid w:val="008E7153"/>
    <w:rsid w:val="008E7227"/>
    <w:rsid w:val="008E72FE"/>
    <w:rsid w:val="008E73E5"/>
    <w:rsid w:val="008E7434"/>
    <w:rsid w:val="008E7466"/>
    <w:rsid w:val="008E791E"/>
    <w:rsid w:val="008E7A88"/>
    <w:rsid w:val="008E7BDA"/>
    <w:rsid w:val="008E7C3C"/>
    <w:rsid w:val="008E7C58"/>
    <w:rsid w:val="008E7EBF"/>
    <w:rsid w:val="008E7EDB"/>
    <w:rsid w:val="008E7F02"/>
    <w:rsid w:val="008E7F3E"/>
    <w:rsid w:val="008F00ED"/>
    <w:rsid w:val="008F0206"/>
    <w:rsid w:val="008F021D"/>
    <w:rsid w:val="008F02E7"/>
    <w:rsid w:val="008F032F"/>
    <w:rsid w:val="008F033A"/>
    <w:rsid w:val="008F0438"/>
    <w:rsid w:val="008F06BE"/>
    <w:rsid w:val="008F0767"/>
    <w:rsid w:val="008F0A60"/>
    <w:rsid w:val="008F0AC7"/>
    <w:rsid w:val="008F0AF9"/>
    <w:rsid w:val="008F0BB7"/>
    <w:rsid w:val="008F0D5C"/>
    <w:rsid w:val="008F0D6A"/>
    <w:rsid w:val="008F0D80"/>
    <w:rsid w:val="008F0E55"/>
    <w:rsid w:val="008F12B7"/>
    <w:rsid w:val="008F14FC"/>
    <w:rsid w:val="008F1500"/>
    <w:rsid w:val="008F165C"/>
    <w:rsid w:val="008F1906"/>
    <w:rsid w:val="008F1A72"/>
    <w:rsid w:val="008F1ABF"/>
    <w:rsid w:val="008F1B0A"/>
    <w:rsid w:val="008F1DB7"/>
    <w:rsid w:val="008F1FB1"/>
    <w:rsid w:val="008F1FC6"/>
    <w:rsid w:val="008F2124"/>
    <w:rsid w:val="008F22A1"/>
    <w:rsid w:val="008F22CD"/>
    <w:rsid w:val="008F25AA"/>
    <w:rsid w:val="008F260C"/>
    <w:rsid w:val="008F27FA"/>
    <w:rsid w:val="008F2813"/>
    <w:rsid w:val="008F2868"/>
    <w:rsid w:val="008F2876"/>
    <w:rsid w:val="008F287F"/>
    <w:rsid w:val="008F2886"/>
    <w:rsid w:val="008F29E5"/>
    <w:rsid w:val="008F2A00"/>
    <w:rsid w:val="008F2A39"/>
    <w:rsid w:val="008F2AA3"/>
    <w:rsid w:val="008F2CAB"/>
    <w:rsid w:val="008F2DCC"/>
    <w:rsid w:val="008F2E5A"/>
    <w:rsid w:val="008F2FE9"/>
    <w:rsid w:val="008F2FF6"/>
    <w:rsid w:val="008F30D3"/>
    <w:rsid w:val="008F30FC"/>
    <w:rsid w:val="008F3153"/>
    <w:rsid w:val="008F3183"/>
    <w:rsid w:val="008F3390"/>
    <w:rsid w:val="008F34BB"/>
    <w:rsid w:val="008F3963"/>
    <w:rsid w:val="008F3CCE"/>
    <w:rsid w:val="008F3F53"/>
    <w:rsid w:val="008F3FD1"/>
    <w:rsid w:val="008F3FD5"/>
    <w:rsid w:val="008F436F"/>
    <w:rsid w:val="008F43EA"/>
    <w:rsid w:val="008F453B"/>
    <w:rsid w:val="008F4553"/>
    <w:rsid w:val="008F458E"/>
    <w:rsid w:val="008F46AF"/>
    <w:rsid w:val="008F46C7"/>
    <w:rsid w:val="008F48C1"/>
    <w:rsid w:val="008F4AD3"/>
    <w:rsid w:val="008F4C52"/>
    <w:rsid w:val="008F4D15"/>
    <w:rsid w:val="008F4EA2"/>
    <w:rsid w:val="008F4F71"/>
    <w:rsid w:val="008F4FBB"/>
    <w:rsid w:val="008F51FA"/>
    <w:rsid w:val="008F5375"/>
    <w:rsid w:val="008F538E"/>
    <w:rsid w:val="008F550F"/>
    <w:rsid w:val="008F5564"/>
    <w:rsid w:val="008F55D2"/>
    <w:rsid w:val="008F5678"/>
    <w:rsid w:val="008F57DD"/>
    <w:rsid w:val="008F5863"/>
    <w:rsid w:val="008F5879"/>
    <w:rsid w:val="008F59D3"/>
    <w:rsid w:val="008F5C0E"/>
    <w:rsid w:val="008F5CDD"/>
    <w:rsid w:val="008F5DD2"/>
    <w:rsid w:val="008F5EAC"/>
    <w:rsid w:val="008F5F2E"/>
    <w:rsid w:val="008F5F53"/>
    <w:rsid w:val="008F60D0"/>
    <w:rsid w:val="008F6144"/>
    <w:rsid w:val="008F61FF"/>
    <w:rsid w:val="008F623C"/>
    <w:rsid w:val="008F623D"/>
    <w:rsid w:val="008F6248"/>
    <w:rsid w:val="008F62A1"/>
    <w:rsid w:val="008F6548"/>
    <w:rsid w:val="008F6664"/>
    <w:rsid w:val="008F673C"/>
    <w:rsid w:val="008F67E1"/>
    <w:rsid w:val="008F6803"/>
    <w:rsid w:val="008F685D"/>
    <w:rsid w:val="008F695B"/>
    <w:rsid w:val="008F698D"/>
    <w:rsid w:val="008F6BEE"/>
    <w:rsid w:val="008F6F50"/>
    <w:rsid w:val="008F7097"/>
    <w:rsid w:val="008F7482"/>
    <w:rsid w:val="008F7537"/>
    <w:rsid w:val="008F7790"/>
    <w:rsid w:val="008F786E"/>
    <w:rsid w:val="008F78BD"/>
    <w:rsid w:val="008F7EC9"/>
    <w:rsid w:val="008F7EF3"/>
    <w:rsid w:val="009000E2"/>
    <w:rsid w:val="00900256"/>
    <w:rsid w:val="00900391"/>
    <w:rsid w:val="00900507"/>
    <w:rsid w:val="009005DA"/>
    <w:rsid w:val="00900625"/>
    <w:rsid w:val="0090078F"/>
    <w:rsid w:val="00900A69"/>
    <w:rsid w:val="00900B3E"/>
    <w:rsid w:val="00900B5E"/>
    <w:rsid w:val="00900F2A"/>
    <w:rsid w:val="00901134"/>
    <w:rsid w:val="009013E3"/>
    <w:rsid w:val="00901547"/>
    <w:rsid w:val="0090186A"/>
    <w:rsid w:val="00901D71"/>
    <w:rsid w:val="00901DD6"/>
    <w:rsid w:val="00901DE9"/>
    <w:rsid w:val="0090222A"/>
    <w:rsid w:val="009023D9"/>
    <w:rsid w:val="009024CC"/>
    <w:rsid w:val="00902610"/>
    <w:rsid w:val="009026A8"/>
    <w:rsid w:val="00902A50"/>
    <w:rsid w:val="00902AE9"/>
    <w:rsid w:val="00902BF0"/>
    <w:rsid w:val="00902D13"/>
    <w:rsid w:val="00902D81"/>
    <w:rsid w:val="00903050"/>
    <w:rsid w:val="00903150"/>
    <w:rsid w:val="0090368C"/>
    <w:rsid w:val="009037D0"/>
    <w:rsid w:val="009039B3"/>
    <w:rsid w:val="00903C87"/>
    <w:rsid w:val="00903D3A"/>
    <w:rsid w:val="00903D81"/>
    <w:rsid w:val="00903F64"/>
    <w:rsid w:val="0090401D"/>
    <w:rsid w:val="0090417B"/>
    <w:rsid w:val="009041F2"/>
    <w:rsid w:val="0090459E"/>
    <w:rsid w:val="009046E9"/>
    <w:rsid w:val="009048D6"/>
    <w:rsid w:val="0090493F"/>
    <w:rsid w:val="00904B01"/>
    <w:rsid w:val="00904E7D"/>
    <w:rsid w:val="00904FE4"/>
    <w:rsid w:val="00905041"/>
    <w:rsid w:val="0090514F"/>
    <w:rsid w:val="0090545D"/>
    <w:rsid w:val="009055C2"/>
    <w:rsid w:val="00905627"/>
    <w:rsid w:val="0090569A"/>
    <w:rsid w:val="009058F4"/>
    <w:rsid w:val="00905A74"/>
    <w:rsid w:val="00905C00"/>
    <w:rsid w:val="00905C16"/>
    <w:rsid w:val="00905C94"/>
    <w:rsid w:val="009062EF"/>
    <w:rsid w:val="0090640C"/>
    <w:rsid w:val="00906444"/>
    <w:rsid w:val="009068CE"/>
    <w:rsid w:val="009068EC"/>
    <w:rsid w:val="009069B8"/>
    <w:rsid w:val="00906A15"/>
    <w:rsid w:val="00906D45"/>
    <w:rsid w:val="00906FA0"/>
    <w:rsid w:val="009070B2"/>
    <w:rsid w:val="00907139"/>
    <w:rsid w:val="00907185"/>
    <w:rsid w:val="0090727B"/>
    <w:rsid w:val="00907422"/>
    <w:rsid w:val="00907423"/>
    <w:rsid w:val="009074ED"/>
    <w:rsid w:val="0090767E"/>
    <w:rsid w:val="009076F2"/>
    <w:rsid w:val="00907882"/>
    <w:rsid w:val="00907917"/>
    <w:rsid w:val="00907A61"/>
    <w:rsid w:val="00907A66"/>
    <w:rsid w:val="00907B07"/>
    <w:rsid w:val="00907DAF"/>
    <w:rsid w:val="0091014E"/>
    <w:rsid w:val="00910262"/>
    <w:rsid w:val="009102A3"/>
    <w:rsid w:val="0091046E"/>
    <w:rsid w:val="00910524"/>
    <w:rsid w:val="0091061E"/>
    <w:rsid w:val="00910759"/>
    <w:rsid w:val="00910885"/>
    <w:rsid w:val="009108F0"/>
    <w:rsid w:val="00910A4E"/>
    <w:rsid w:val="00910B77"/>
    <w:rsid w:val="00910B90"/>
    <w:rsid w:val="00910CD2"/>
    <w:rsid w:val="00910D09"/>
    <w:rsid w:val="00910D0C"/>
    <w:rsid w:val="00910D8A"/>
    <w:rsid w:val="00910E37"/>
    <w:rsid w:val="00910F0A"/>
    <w:rsid w:val="00910FF7"/>
    <w:rsid w:val="009113D4"/>
    <w:rsid w:val="00911408"/>
    <w:rsid w:val="00911441"/>
    <w:rsid w:val="0091144B"/>
    <w:rsid w:val="0091156E"/>
    <w:rsid w:val="009116D2"/>
    <w:rsid w:val="00911A32"/>
    <w:rsid w:val="00911A46"/>
    <w:rsid w:val="00911D7B"/>
    <w:rsid w:val="00911EA3"/>
    <w:rsid w:val="00911F46"/>
    <w:rsid w:val="00911F76"/>
    <w:rsid w:val="009121C8"/>
    <w:rsid w:val="009124E0"/>
    <w:rsid w:val="0091255A"/>
    <w:rsid w:val="00912749"/>
    <w:rsid w:val="0091277F"/>
    <w:rsid w:val="009127DC"/>
    <w:rsid w:val="0091281B"/>
    <w:rsid w:val="00912931"/>
    <w:rsid w:val="0091293B"/>
    <w:rsid w:val="00912992"/>
    <w:rsid w:val="00912A1B"/>
    <w:rsid w:val="00912ADA"/>
    <w:rsid w:val="00912B8C"/>
    <w:rsid w:val="00912D21"/>
    <w:rsid w:val="00912D4C"/>
    <w:rsid w:val="00912DA4"/>
    <w:rsid w:val="00912E11"/>
    <w:rsid w:val="00912E88"/>
    <w:rsid w:val="00912F42"/>
    <w:rsid w:val="009131C9"/>
    <w:rsid w:val="0091363E"/>
    <w:rsid w:val="009137D1"/>
    <w:rsid w:val="00913CCC"/>
    <w:rsid w:val="00913D0D"/>
    <w:rsid w:val="00914115"/>
    <w:rsid w:val="00914126"/>
    <w:rsid w:val="00914382"/>
    <w:rsid w:val="00914458"/>
    <w:rsid w:val="009146DA"/>
    <w:rsid w:val="0091477A"/>
    <w:rsid w:val="00914D02"/>
    <w:rsid w:val="009151CE"/>
    <w:rsid w:val="00915266"/>
    <w:rsid w:val="009155E4"/>
    <w:rsid w:val="0091564E"/>
    <w:rsid w:val="00915698"/>
    <w:rsid w:val="0091570C"/>
    <w:rsid w:val="009157A2"/>
    <w:rsid w:val="00915BCB"/>
    <w:rsid w:val="00915C7E"/>
    <w:rsid w:val="00915D7D"/>
    <w:rsid w:val="00915DD1"/>
    <w:rsid w:val="00915E6E"/>
    <w:rsid w:val="00915F0C"/>
    <w:rsid w:val="0091604A"/>
    <w:rsid w:val="00916097"/>
    <w:rsid w:val="00916134"/>
    <w:rsid w:val="009162F5"/>
    <w:rsid w:val="00916400"/>
    <w:rsid w:val="00916508"/>
    <w:rsid w:val="009165BF"/>
    <w:rsid w:val="00916626"/>
    <w:rsid w:val="0091665F"/>
    <w:rsid w:val="0091672E"/>
    <w:rsid w:val="00916905"/>
    <w:rsid w:val="00916B2F"/>
    <w:rsid w:val="00916CDC"/>
    <w:rsid w:val="00916D9B"/>
    <w:rsid w:val="00916DF7"/>
    <w:rsid w:val="00916F5C"/>
    <w:rsid w:val="00916F8B"/>
    <w:rsid w:val="00916F8E"/>
    <w:rsid w:val="00916FED"/>
    <w:rsid w:val="009170A8"/>
    <w:rsid w:val="00917B00"/>
    <w:rsid w:val="00917E02"/>
    <w:rsid w:val="00917F86"/>
    <w:rsid w:val="00917FC5"/>
    <w:rsid w:val="0092005D"/>
    <w:rsid w:val="00920370"/>
    <w:rsid w:val="00920372"/>
    <w:rsid w:val="00920383"/>
    <w:rsid w:val="009204A0"/>
    <w:rsid w:val="0092051E"/>
    <w:rsid w:val="00920604"/>
    <w:rsid w:val="009206A7"/>
    <w:rsid w:val="0092097B"/>
    <w:rsid w:val="00920AC0"/>
    <w:rsid w:val="00920B6E"/>
    <w:rsid w:val="00920D78"/>
    <w:rsid w:val="00921025"/>
    <w:rsid w:val="009210D0"/>
    <w:rsid w:val="00921100"/>
    <w:rsid w:val="009213A1"/>
    <w:rsid w:val="009214DA"/>
    <w:rsid w:val="009215F0"/>
    <w:rsid w:val="0092183B"/>
    <w:rsid w:val="0092185F"/>
    <w:rsid w:val="009219FF"/>
    <w:rsid w:val="00921AE0"/>
    <w:rsid w:val="00921D85"/>
    <w:rsid w:val="00921DA2"/>
    <w:rsid w:val="00922100"/>
    <w:rsid w:val="0092212B"/>
    <w:rsid w:val="00922286"/>
    <w:rsid w:val="0092246E"/>
    <w:rsid w:val="00922484"/>
    <w:rsid w:val="00922512"/>
    <w:rsid w:val="00922679"/>
    <w:rsid w:val="00922880"/>
    <w:rsid w:val="00922971"/>
    <w:rsid w:val="009229E8"/>
    <w:rsid w:val="009229FC"/>
    <w:rsid w:val="00922B53"/>
    <w:rsid w:val="00922BB2"/>
    <w:rsid w:val="00922C97"/>
    <w:rsid w:val="00922D2C"/>
    <w:rsid w:val="00922F61"/>
    <w:rsid w:val="00923141"/>
    <w:rsid w:val="0092320A"/>
    <w:rsid w:val="0092335F"/>
    <w:rsid w:val="009233E1"/>
    <w:rsid w:val="009233EE"/>
    <w:rsid w:val="00923736"/>
    <w:rsid w:val="00923737"/>
    <w:rsid w:val="00923877"/>
    <w:rsid w:val="00923AA8"/>
    <w:rsid w:val="00923D74"/>
    <w:rsid w:val="00923E2B"/>
    <w:rsid w:val="00923E5F"/>
    <w:rsid w:val="00923E73"/>
    <w:rsid w:val="00923E7E"/>
    <w:rsid w:val="00923F7C"/>
    <w:rsid w:val="00923FB1"/>
    <w:rsid w:val="00923FCB"/>
    <w:rsid w:val="00924296"/>
    <w:rsid w:val="009243D8"/>
    <w:rsid w:val="009245A5"/>
    <w:rsid w:val="009245B1"/>
    <w:rsid w:val="00924660"/>
    <w:rsid w:val="00924928"/>
    <w:rsid w:val="0092499C"/>
    <w:rsid w:val="00924A4D"/>
    <w:rsid w:val="00924A4F"/>
    <w:rsid w:val="00924AFB"/>
    <w:rsid w:val="00924C1E"/>
    <w:rsid w:val="00924D0E"/>
    <w:rsid w:val="0092548C"/>
    <w:rsid w:val="00925660"/>
    <w:rsid w:val="00925766"/>
    <w:rsid w:val="009257BD"/>
    <w:rsid w:val="009257E6"/>
    <w:rsid w:val="009258E5"/>
    <w:rsid w:val="0092597F"/>
    <w:rsid w:val="00925982"/>
    <w:rsid w:val="00925A3E"/>
    <w:rsid w:val="00925ABC"/>
    <w:rsid w:val="00925AC4"/>
    <w:rsid w:val="00925B0F"/>
    <w:rsid w:val="00925C1F"/>
    <w:rsid w:val="00925CD6"/>
    <w:rsid w:val="00925D50"/>
    <w:rsid w:val="00925DAB"/>
    <w:rsid w:val="00925E1C"/>
    <w:rsid w:val="00925EBF"/>
    <w:rsid w:val="00925EEA"/>
    <w:rsid w:val="00925F25"/>
    <w:rsid w:val="00925F7C"/>
    <w:rsid w:val="009260E3"/>
    <w:rsid w:val="0092620A"/>
    <w:rsid w:val="0092628E"/>
    <w:rsid w:val="009262C0"/>
    <w:rsid w:val="00926398"/>
    <w:rsid w:val="0092650F"/>
    <w:rsid w:val="00926589"/>
    <w:rsid w:val="00926611"/>
    <w:rsid w:val="009267DC"/>
    <w:rsid w:val="00926983"/>
    <w:rsid w:val="009269FB"/>
    <w:rsid w:val="00926B9A"/>
    <w:rsid w:val="00926E34"/>
    <w:rsid w:val="00926FC1"/>
    <w:rsid w:val="00927041"/>
    <w:rsid w:val="00927148"/>
    <w:rsid w:val="00927297"/>
    <w:rsid w:val="00927354"/>
    <w:rsid w:val="009274A9"/>
    <w:rsid w:val="009274DF"/>
    <w:rsid w:val="00927922"/>
    <w:rsid w:val="00927992"/>
    <w:rsid w:val="00927C08"/>
    <w:rsid w:val="00927C8C"/>
    <w:rsid w:val="00927D17"/>
    <w:rsid w:val="00927DB6"/>
    <w:rsid w:val="00927F15"/>
    <w:rsid w:val="00927F1F"/>
    <w:rsid w:val="00927FB2"/>
    <w:rsid w:val="009300B0"/>
    <w:rsid w:val="00930195"/>
    <w:rsid w:val="00930254"/>
    <w:rsid w:val="00930299"/>
    <w:rsid w:val="00930480"/>
    <w:rsid w:val="009305AF"/>
    <w:rsid w:val="009305B5"/>
    <w:rsid w:val="00930AA9"/>
    <w:rsid w:val="00930B69"/>
    <w:rsid w:val="00930D42"/>
    <w:rsid w:val="00931322"/>
    <w:rsid w:val="009315BE"/>
    <w:rsid w:val="009318D7"/>
    <w:rsid w:val="00931B10"/>
    <w:rsid w:val="00931B71"/>
    <w:rsid w:val="00931BDE"/>
    <w:rsid w:val="00931D52"/>
    <w:rsid w:val="00931E88"/>
    <w:rsid w:val="00931F58"/>
    <w:rsid w:val="0093219E"/>
    <w:rsid w:val="00932297"/>
    <w:rsid w:val="009322C0"/>
    <w:rsid w:val="0093234B"/>
    <w:rsid w:val="009324E3"/>
    <w:rsid w:val="009326E0"/>
    <w:rsid w:val="00932B38"/>
    <w:rsid w:val="00932B49"/>
    <w:rsid w:val="00932B7E"/>
    <w:rsid w:val="00932C41"/>
    <w:rsid w:val="00932DCF"/>
    <w:rsid w:val="00932DFE"/>
    <w:rsid w:val="00932E1A"/>
    <w:rsid w:val="009331D5"/>
    <w:rsid w:val="00933367"/>
    <w:rsid w:val="009334CD"/>
    <w:rsid w:val="00933727"/>
    <w:rsid w:val="00933B09"/>
    <w:rsid w:val="00933B28"/>
    <w:rsid w:val="00933CA3"/>
    <w:rsid w:val="00933CC5"/>
    <w:rsid w:val="00933CE2"/>
    <w:rsid w:val="00933D82"/>
    <w:rsid w:val="00933EC9"/>
    <w:rsid w:val="00934380"/>
    <w:rsid w:val="009343AD"/>
    <w:rsid w:val="009343C4"/>
    <w:rsid w:val="009345B2"/>
    <w:rsid w:val="0093462D"/>
    <w:rsid w:val="00934635"/>
    <w:rsid w:val="009349A4"/>
    <w:rsid w:val="00934CA7"/>
    <w:rsid w:val="00934CEC"/>
    <w:rsid w:val="00934DC4"/>
    <w:rsid w:val="0093512E"/>
    <w:rsid w:val="009351BC"/>
    <w:rsid w:val="00935377"/>
    <w:rsid w:val="009353FF"/>
    <w:rsid w:val="0093550A"/>
    <w:rsid w:val="00935705"/>
    <w:rsid w:val="0093575A"/>
    <w:rsid w:val="00935775"/>
    <w:rsid w:val="0093579F"/>
    <w:rsid w:val="0093592A"/>
    <w:rsid w:val="00935B39"/>
    <w:rsid w:val="00935C29"/>
    <w:rsid w:val="00935EC7"/>
    <w:rsid w:val="00935EE1"/>
    <w:rsid w:val="00935FF0"/>
    <w:rsid w:val="009360EF"/>
    <w:rsid w:val="00936217"/>
    <w:rsid w:val="009365B3"/>
    <w:rsid w:val="00936760"/>
    <w:rsid w:val="009367BF"/>
    <w:rsid w:val="0093698F"/>
    <w:rsid w:val="009369C9"/>
    <w:rsid w:val="00936B3E"/>
    <w:rsid w:val="00936B86"/>
    <w:rsid w:val="00936C02"/>
    <w:rsid w:val="00936E35"/>
    <w:rsid w:val="0093739C"/>
    <w:rsid w:val="009374BF"/>
    <w:rsid w:val="0093763A"/>
    <w:rsid w:val="009377EF"/>
    <w:rsid w:val="00937831"/>
    <w:rsid w:val="00937842"/>
    <w:rsid w:val="00937953"/>
    <w:rsid w:val="0093796F"/>
    <w:rsid w:val="00937982"/>
    <w:rsid w:val="009379BF"/>
    <w:rsid w:val="00937A4A"/>
    <w:rsid w:val="00937AE2"/>
    <w:rsid w:val="00937B99"/>
    <w:rsid w:val="00937CEE"/>
    <w:rsid w:val="0094010C"/>
    <w:rsid w:val="009402B7"/>
    <w:rsid w:val="009402BA"/>
    <w:rsid w:val="009403A6"/>
    <w:rsid w:val="00940417"/>
    <w:rsid w:val="00940427"/>
    <w:rsid w:val="0094061B"/>
    <w:rsid w:val="0094076E"/>
    <w:rsid w:val="00940A45"/>
    <w:rsid w:val="00940A49"/>
    <w:rsid w:val="00940A96"/>
    <w:rsid w:val="00940C00"/>
    <w:rsid w:val="00940F6B"/>
    <w:rsid w:val="00941059"/>
    <w:rsid w:val="00941149"/>
    <w:rsid w:val="0094123F"/>
    <w:rsid w:val="009412D2"/>
    <w:rsid w:val="0094137E"/>
    <w:rsid w:val="0094160D"/>
    <w:rsid w:val="0094173C"/>
    <w:rsid w:val="00941780"/>
    <w:rsid w:val="0094186F"/>
    <w:rsid w:val="00941B4C"/>
    <w:rsid w:val="00941BCD"/>
    <w:rsid w:val="00941CDC"/>
    <w:rsid w:val="00942020"/>
    <w:rsid w:val="009421BE"/>
    <w:rsid w:val="00942571"/>
    <w:rsid w:val="0094276D"/>
    <w:rsid w:val="009427A7"/>
    <w:rsid w:val="009428A4"/>
    <w:rsid w:val="009428E4"/>
    <w:rsid w:val="00942BDE"/>
    <w:rsid w:val="00942D1D"/>
    <w:rsid w:val="00942E62"/>
    <w:rsid w:val="00942FCD"/>
    <w:rsid w:val="00942FF7"/>
    <w:rsid w:val="0094323D"/>
    <w:rsid w:val="0094358F"/>
    <w:rsid w:val="0094372F"/>
    <w:rsid w:val="0094391B"/>
    <w:rsid w:val="00943AB7"/>
    <w:rsid w:val="00943E1A"/>
    <w:rsid w:val="00943EB7"/>
    <w:rsid w:val="00943EFD"/>
    <w:rsid w:val="009440E2"/>
    <w:rsid w:val="00944123"/>
    <w:rsid w:val="009441CD"/>
    <w:rsid w:val="0094433B"/>
    <w:rsid w:val="009443DB"/>
    <w:rsid w:val="00944457"/>
    <w:rsid w:val="009444F8"/>
    <w:rsid w:val="009445A8"/>
    <w:rsid w:val="009447B4"/>
    <w:rsid w:val="00944822"/>
    <w:rsid w:val="00944846"/>
    <w:rsid w:val="00944B49"/>
    <w:rsid w:val="00944BBA"/>
    <w:rsid w:val="00944CD3"/>
    <w:rsid w:val="00944EF0"/>
    <w:rsid w:val="00944FDD"/>
    <w:rsid w:val="009451F9"/>
    <w:rsid w:val="00945238"/>
    <w:rsid w:val="009452F3"/>
    <w:rsid w:val="0094547F"/>
    <w:rsid w:val="009454A5"/>
    <w:rsid w:val="009454AD"/>
    <w:rsid w:val="00945550"/>
    <w:rsid w:val="00945652"/>
    <w:rsid w:val="00945853"/>
    <w:rsid w:val="009458FA"/>
    <w:rsid w:val="00945975"/>
    <w:rsid w:val="00945B8A"/>
    <w:rsid w:val="00945BA8"/>
    <w:rsid w:val="00945D47"/>
    <w:rsid w:val="00945FB3"/>
    <w:rsid w:val="00946254"/>
    <w:rsid w:val="009462B5"/>
    <w:rsid w:val="00946395"/>
    <w:rsid w:val="009465FE"/>
    <w:rsid w:val="00946674"/>
    <w:rsid w:val="009466D8"/>
    <w:rsid w:val="0094689D"/>
    <w:rsid w:val="009469B7"/>
    <w:rsid w:val="009469F1"/>
    <w:rsid w:val="00946CA9"/>
    <w:rsid w:val="00946DB8"/>
    <w:rsid w:val="00946DC1"/>
    <w:rsid w:val="00946F09"/>
    <w:rsid w:val="00947308"/>
    <w:rsid w:val="0094732D"/>
    <w:rsid w:val="00947333"/>
    <w:rsid w:val="009475EB"/>
    <w:rsid w:val="009476AF"/>
    <w:rsid w:val="009479B2"/>
    <w:rsid w:val="00947A8C"/>
    <w:rsid w:val="00947D0E"/>
    <w:rsid w:val="00947F3F"/>
    <w:rsid w:val="00950091"/>
    <w:rsid w:val="009504D6"/>
    <w:rsid w:val="0095057E"/>
    <w:rsid w:val="009508C1"/>
    <w:rsid w:val="00950AB7"/>
    <w:rsid w:val="00950C83"/>
    <w:rsid w:val="00950DF4"/>
    <w:rsid w:val="00950F4E"/>
    <w:rsid w:val="009511B1"/>
    <w:rsid w:val="00951269"/>
    <w:rsid w:val="00951375"/>
    <w:rsid w:val="009513AF"/>
    <w:rsid w:val="00951433"/>
    <w:rsid w:val="009514F7"/>
    <w:rsid w:val="00951628"/>
    <w:rsid w:val="0095196A"/>
    <w:rsid w:val="009519E3"/>
    <w:rsid w:val="00951A41"/>
    <w:rsid w:val="00951C05"/>
    <w:rsid w:val="00951C77"/>
    <w:rsid w:val="00951CDD"/>
    <w:rsid w:val="00951D03"/>
    <w:rsid w:val="00951F01"/>
    <w:rsid w:val="00952051"/>
    <w:rsid w:val="00952131"/>
    <w:rsid w:val="00952268"/>
    <w:rsid w:val="0095246A"/>
    <w:rsid w:val="009524C0"/>
    <w:rsid w:val="00952527"/>
    <w:rsid w:val="009525E0"/>
    <w:rsid w:val="00952656"/>
    <w:rsid w:val="00952735"/>
    <w:rsid w:val="00952741"/>
    <w:rsid w:val="00952918"/>
    <w:rsid w:val="0095299D"/>
    <w:rsid w:val="009529B6"/>
    <w:rsid w:val="00952B0C"/>
    <w:rsid w:val="00952B0D"/>
    <w:rsid w:val="00952BBA"/>
    <w:rsid w:val="00952C71"/>
    <w:rsid w:val="00952C76"/>
    <w:rsid w:val="00952D1E"/>
    <w:rsid w:val="00952ED2"/>
    <w:rsid w:val="00952EEA"/>
    <w:rsid w:val="00952F26"/>
    <w:rsid w:val="00952FA3"/>
    <w:rsid w:val="00953058"/>
    <w:rsid w:val="009533AF"/>
    <w:rsid w:val="009533B2"/>
    <w:rsid w:val="00953492"/>
    <w:rsid w:val="009535F9"/>
    <w:rsid w:val="00953600"/>
    <w:rsid w:val="009536B9"/>
    <w:rsid w:val="0095376B"/>
    <w:rsid w:val="009538B4"/>
    <w:rsid w:val="00953A34"/>
    <w:rsid w:val="00953A3B"/>
    <w:rsid w:val="00953B48"/>
    <w:rsid w:val="00953C2F"/>
    <w:rsid w:val="00953F39"/>
    <w:rsid w:val="00953F6A"/>
    <w:rsid w:val="00954013"/>
    <w:rsid w:val="009541A4"/>
    <w:rsid w:val="009541C7"/>
    <w:rsid w:val="009542BF"/>
    <w:rsid w:val="0095436A"/>
    <w:rsid w:val="00954446"/>
    <w:rsid w:val="009544D6"/>
    <w:rsid w:val="0095470F"/>
    <w:rsid w:val="00954715"/>
    <w:rsid w:val="00954801"/>
    <w:rsid w:val="00954AE0"/>
    <w:rsid w:val="00954B33"/>
    <w:rsid w:val="00954BEC"/>
    <w:rsid w:val="00954CE2"/>
    <w:rsid w:val="00954D4C"/>
    <w:rsid w:val="00954D55"/>
    <w:rsid w:val="00954EE8"/>
    <w:rsid w:val="00954F97"/>
    <w:rsid w:val="00955107"/>
    <w:rsid w:val="00955317"/>
    <w:rsid w:val="0095541A"/>
    <w:rsid w:val="00955846"/>
    <w:rsid w:val="0095584F"/>
    <w:rsid w:val="0095597E"/>
    <w:rsid w:val="00955A29"/>
    <w:rsid w:val="00955C0A"/>
    <w:rsid w:val="00955CB0"/>
    <w:rsid w:val="00955D68"/>
    <w:rsid w:val="00955F88"/>
    <w:rsid w:val="00956214"/>
    <w:rsid w:val="0095643E"/>
    <w:rsid w:val="0095653C"/>
    <w:rsid w:val="009565A8"/>
    <w:rsid w:val="00956738"/>
    <w:rsid w:val="00956793"/>
    <w:rsid w:val="00956836"/>
    <w:rsid w:val="00956A61"/>
    <w:rsid w:val="00956B20"/>
    <w:rsid w:val="00956C9D"/>
    <w:rsid w:val="00956D38"/>
    <w:rsid w:val="00956D3F"/>
    <w:rsid w:val="00956E4F"/>
    <w:rsid w:val="00956FC2"/>
    <w:rsid w:val="009570DA"/>
    <w:rsid w:val="0095722D"/>
    <w:rsid w:val="00957362"/>
    <w:rsid w:val="00957449"/>
    <w:rsid w:val="00957575"/>
    <w:rsid w:val="009575C9"/>
    <w:rsid w:val="00957617"/>
    <w:rsid w:val="00957657"/>
    <w:rsid w:val="0095770A"/>
    <w:rsid w:val="009579B6"/>
    <w:rsid w:val="00957C7B"/>
    <w:rsid w:val="00957DC5"/>
    <w:rsid w:val="00957EC0"/>
    <w:rsid w:val="00957F1E"/>
    <w:rsid w:val="00960062"/>
    <w:rsid w:val="00960152"/>
    <w:rsid w:val="009606A9"/>
    <w:rsid w:val="00960822"/>
    <w:rsid w:val="00960839"/>
    <w:rsid w:val="00960BB5"/>
    <w:rsid w:val="00960CC9"/>
    <w:rsid w:val="00960E09"/>
    <w:rsid w:val="009610A0"/>
    <w:rsid w:val="00961189"/>
    <w:rsid w:val="009612B5"/>
    <w:rsid w:val="00961339"/>
    <w:rsid w:val="00961392"/>
    <w:rsid w:val="00961510"/>
    <w:rsid w:val="009617FE"/>
    <w:rsid w:val="009618D5"/>
    <w:rsid w:val="0096196D"/>
    <w:rsid w:val="00961A13"/>
    <w:rsid w:val="00961E1E"/>
    <w:rsid w:val="00961FB1"/>
    <w:rsid w:val="00962119"/>
    <w:rsid w:val="009624DE"/>
    <w:rsid w:val="0096259C"/>
    <w:rsid w:val="00962BB1"/>
    <w:rsid w:val="00962C03"/>
    <w:rsid w:val="00962D82"/>
    <w:rsid w:val="00962F47"/>
    <w:rsid w:val="00963042"/>
    <w:rsid w:val="009630A7"/>
    <w:rsid w:val="0096332E"/>
    <w:rsid w:val="0096358E"/>
    <w:rsid w:val="00963679"/>
    <w:rsid w:val="00963856"/>
    <w:rsid w:val="009638E8"/>
    <w:rsid w:val="00963C57"/>
    <w:rsid w:val="00963CD1"/>
    <w:rsid w:val="00963E82"/>
    <w:rsid w:val="00963E91"/>
    <w:rsid w:val="0096420A"/>
    <w:rsid w:val="0096446D"/>
    <w:rsid w:val="0096456E"/>
    <w:rsid w:val="009645F6"/>
    <w:rsid w:val="00964692"/>
    <w:rsid w:val="00964A32"/>
    <w:rsid w:val="00964A68"/>
    <w:rsid w:val="00964C41"/>
    <w:rsid w:val="00964FBD"/>
    <w:rsid w:val="00965571"/>
    <w:rsid w:val="00965670"/>
    <w:rsid w:val="0096585A"/>
    <w:rsid w:val="00965883"/>
    <w:rsid w:val="009658F2"/>
    <w:rsid w:val="00965948"/>
    <w:rsid w:val="00965ABC"/>
    <w:rsid w:val="00965D26"/>
    <w:rsid w:val="00965E16"/>
    <w:rsid w:val="00965E45"/>
    <w:rsid w:val="00965E70"/>
    <w:rsid w:val="00965FCE"/>
    <w:rsid w:val="00966095"/>
    <w:rsid w:val="00966281"/>
    <w:rsid w:val="009662BC"/>
    <w:rsid w:val="009663EF"/>
    <w:rsid w:val="00966579"/>
    <w:rsid w:val="009665E9"/>
    <w:rsid w:val="00966717"/>
    <w:rsid w:val="00966784"/>
    <w:rsid w:val="0096684D"/>
    <w:rsid w:val="00966984"/>
    <w:rsid w:val="00966A8F"/>
    <w:rsid w:val="00966ABF"/>
    <w:rsid w:val="00966BB1"/>
    <w:rsid w:val="00966DED"/>
    <w:rsid w:val="00966E44"/>
    <w:rsid w:val="00966F5B"/>
    <w:rsid w:val="00967019"/>
    <w:rsid w:val="00967373"/>
    <w:rsid w:val="00967472"/>
    <w:rsid w:val="009674F0"/>
    <w:rsid w:val="00967593"/>
    <w:rsid w:val="00967B41"/>
    <w:rsid w:val="00967BB6"/>
    <w:rsid w:val="00967BE8"/>
    <w:rsid w:val="00967DB5"/>
    <w:rsid w:val="0097003F"/>
    <w:rsid w:val="00970122"/>
    <w:rsid w:val="009701A8"/>
    <w:rsid w:val="009702B0"/>
    <w:rsid w:val="0097032E"/>
    <w:rsid w:val="00970784"/>
    <w:rsid w:val="00970868"/>
    <w:rsid w:val="009708D9"/>
    <w:rsid w:val="00970952"/>
    <w:rsid w:val="009709C3"/>
    <w:rsid w:val="00970A51"/>
    <w:rsid w:val="00970B39"/>
    <w:rsid w:val="00970CAB"/>
    <w:rsid w:val="00970D1A"/>
    <w:rsid w:val="00970DD0"/>
    <w:rsid w:val="00970E62"/>
    <w:rsid w:val="00970EAE"/>
    <w:rsid w:val="0097108C"/>
    <w:rsid w:val="0097113E"/>
    <w:rsid w:val="00971169"/>
    <w:rsid w:val="009713B7"/>
    <w:rsid w:val="009713ED"/>
    <w:rsid w:val="00971441"/>
    <w:rsid w:val="00971566"/>
    <w:rsid w:val="009715BA"/>
    <w:rsid w:val="0097165B"/>
    <w:rsid w:val="009716B8"/>
    <w:rsid w:val="009716F5"/>
    <w:rsid w:val="00971846"/>
    <w:rsid w:val="009718B5"/>
    <w:rsid w:val="009718DE"/>
    <w:rsid w:val="00971934"/>
    <w:rsid w:val="00971C24"/>
    <w:rsid w:val="00971EDB"/>
    <w:rsid w:val="00972000"/>
    <w:rsid w:val="0097206B"/>
    <w:rsid w:val="009720D8"/>
    <w:rsid w:val="00972373"/>
    <w:rsid w:val="009724BC"/>
    <w:rsid w:val="0097255C"/>
    <w:rsid w:val="0097278F"/>
    <w:rsid w:val="0097299E"/>
    <w:rsid w:val="00972A0B"/>
    <w:rsid w:val="00972BA7"/>
    <w:rsid w:val="00972D53"/>
    <w:rsid w:val="00972E8D"/>
    <w:rsid w:val="0097317D"/>
    <w:rsid w:val="00973272"/>
    <w:rsid w:val="009733EA"/>
    <w:rsid w:val="00973848"/>
    <w:rsid w:val="009739BA"/>
    <w:rsid w:val="009739CC"/>
    <w:rsid w:val="00973AEC"/>
    <w:rsid w:val="00973BF8"/>
    <w:rsid w:val="00973D99"/>
    <w:rsid w:val="00973E2F"/>
    <w:rsid w:val="00973E76"/>
    <w:rsid w:val="00973F35"/>
    <w:rsid w:val="009740E5"/>
    <w:rsid w:val="00974176"/>
    <w:rsid w:val="0097438A"/>
    <w:rsid w:val="00974583"/>
    <w:rsid w:val="009747AE"/>
    <w:rsid w:val="009747E4"/>
    <w:rsid w:val="00974822"/>
    <w:rsid w:val="00974837"/>
    <w:rsid w:val="00974A90"/>
    <w:rsid w:val="00974B00"/>
    <w:rsid w:val="00974D72"/>
    <w:rsid w:val="00974DE5"/>
    <w:rsid w:val="00974EB9"/>
    <w:rsid w:val="00975042"/>
    <w:rsid w:val="00975236"/>
    <w:rsid w:val="009754DA"/>
    <w:rsid w:val="0097555E"/>
    <w:rsid w:val="0097556F"/>
    <w:rsid w:val="009755F8"/>
    <w:rsid w:val="0097569D"/>
    <w:rsid w:val="009757BB"/>
    <w:rsid w:val="0097586D"/>
    <w:rsid w:val="009759EE"/>
    <w:rsid w:val="00975AB4"/>
    <w:rsid w:val="00975BA9"/>
    <w:rsid w:val="00975D51"/>
    <w:rsid w:val="00975E7F"/>
    <w:rsid w:val="00975ED3"/>
    <w:rsid w:val="00975F12"/>
    <w:rsid w:val="00975F63"/>
    <w:rsid w:val="0097608E"/>
    <w:rsid w:val="0097629A"/>
    <w:rsid w:val="009763E6"/>
    <w:rsid w:val="009763F7"/>
    <w:rsid w:val="00976460"/>
    <w:rsid w:val="0097647A"/>
    <w:rsid w:val="0097660C"/>
    <w:rsid w:val="00976850"/>
    <w:rsid w:val="009768F1"/>
    <w:rsid w:val="00976A14"/>
    <w:rsid w:val="00976B05"/>
    <w:rsid w:val="00976F1C"/>
    <w:rsid w:val="00976F1F"/>
    <w:rsid w:val="00977165"/>
    <w:rsid w:val="00977290"/>
    <w:rsid w:val="00977474"/>
    <w:rsid w:val="009775CD"/>
    <w:rsid w:val="009776C5"/>
    <w:rsid w:val="00977764"/>
    <w:rsid w:val="0097791A"/>
    <w:rsid w:val="00977AD1"/>
    <w:rsid w:val="00977C6E"/>
    <w:rsid w:val="00977EE2"/>
    <w:rsid w:val="00980166"/>
    <w:rsid w:val="00980179"/>
    <w:rsid w:val="009801CD"/>
    <w:rsid w:val="00980224"/>
    <w:rsid w:val="0098025C"/>
    <w:rsid w:val="009802DD"/>
    <w:rsid w:val="009803C7"/>
    <w:rsid w:val="009803FF"/>
    <w:rsid w:val="0098067F"/>
    <w:rsid w:val="0098072D"/>
    <w:rsid w:val="00980742"/>
    <w:rsid w:val="0098098C"/>
    <w:rsid w:val="00980A9F"/>
    <w:rsid w:val="00980AB6"/>
    <w:rsid w:val="00980AD2"/>
    <w:rsid w:val="00980B1D"/>
    <w:rsid w:val="00980BBE"/>
    <w:rsid w:val="00981111"/>
    <w:rsid w:val="00981198"/>
    <w:rsid w:val="00981270"/>
    <w:rsid w:val="00981279"/>
    <w:rsid w:val="00981479"/>
    <w:rsid w:val="00981A4A"/>
    <w:rsid w:val="00981EB0"/>
    <w:rsid w:val="0098212B"/>
    <w:rsid w:val="00982684"/>
    <w:rsid w:val="0098296C"/>
    <w:rsid w:val="0098296D"/>
    <w:rsid w:val="00982C04"/>
    <w:rsid w:val="00982DDE"/>
    <w:rsid w:val="00982DE5"/>
    <w:rsid w:val="00982E50"/>
    <w:rsid w:val="00982E54"/>
    <w:rsid w:val="009830DC"/>
    <w:rsid w:val="0098320C"/>
    <w:rsid w:val="0098329D"/>
    <w:rsid w:val="009833FD"/>
    <w:rsid w:val="00983528"/>
    <w:rsid w:val="00983636"/>
    <w:rsid w:val="00983646"/>
    <w:rsid w:val="009838C7"/>
    <w:rsid w:val="00983935"/>
    <w:rsid w:val="00983974"/>
    <w:rsid w:val="009839AA"/>
    <w:rsid w:val="009839DF"/>
    <w:rsid w:val="00983B42"/>
    <w:rsid w:val="00983C40"/>
    <w:rsid w:val="00983DFB"/>
    <w:rsid w:val="00983EFB"/>
    <w:rsid w:val="0098418C"/>
    <w:rsid w:val="0098427B"/>
    <w:rsid w:val="009842E7"/>
    <w:rsid w:val="0098443D"/>
    <w:rsid w:val="00984459"/>
    <w:rsid w:val="00984545"/>
    <w:rsid w:val="009845FD"/>
    <w:rsid w:val="009848DD"/>
    <w:rsid w:val="00984917"/>
    <w:rsid w:val="00984A21"/>
    <w:rsid w:val="00984AA2"/>
    <w:rsid w:val="00984AEC"/>
    <w:rsid w:val="00984C2E"/>
    <w:rsid w:val="00984ED8"/>
    <w:rsid w:val="00984EE4"/>
    <w:rsid w:val="00985087"/>
    <w:rsid w:val="00985280"/>
    <w:rsid w:val="0098535A"/>
    <w:rsid w:val="00985786"/>
    <w:rsid w:val="009859B9"/>
    <w:rsid w:val="00985B2C"/>
    <w:rsid w:val="00985BA6"/>
    <w:rsid w:val="00985BFE"/>
    <w:rsid w:val="00985C6A"/>
    <w:rsid w:val="00985C9F"/>
    <w:rsid w:val="00985CE1"/>
    <w:rsid w:val="00985FDE"/>
    <w:rsid w:val="00986293"/>
    <w:rsid w:val="00986318"/>
    <w:rsid w:val="0098657A"/>
    <w:rsid w:val="0098657C"/>
    <w:rsid w:val="009865C9"/>
    <w:rsid w:val="009866E8"/>
    <w:rsid w:val="00986853"/>
    <w:rsid w:val="009868C4"/>
    <w:rsid w:val="009868C7"/>
    <w:rsid w:val="00986A2D"/>
    <w:rsid w:val="00986A46"/>
    <w:rsid w:val="00986AEF"/>
    <w:rsid w:val="00986B0E"/>
    <w:rsid w:val="00986CA3"/>
    <w:rsid w:val="00986E92"/>
    <w:rsid w:val="00986FB4"/>
    <w:rsid w:val="0098704C"/>
    <w:rsid w:val="00987050"/>
    <w:rsid w:val="009870C5"/>
    <w:rsid w:val="00987324"/>
    <w:rsid w:val="0098733A"/>
    <w:rsid w:val="009873A9"/>
    <w:rsid w:val="00987525"/>
    <w:rsid w:val="009878AE"/>
    <w:rsid w:val="00987AA3"/>
    <w:rsid w:val="00987BAC"/>
    <w:rsid w:val="00987CC5"/>
    <w:rsid w:val="009901D8"/>
    <w:rsid w:val="00990299"/>
    <w:rsid w:val="00990451"/>
    <w:rsid w:val="0099049D"/>
    <w:rsid w:val="0099072A"/>
    <w:rsid w:val="009908EC"/>
    <w:rsid w:val="00990990"/>
    <w:rsid w:val="00990AF3"/>
    <w:rsid w:val="00990C2D"/>
    <w:rsid w:val="00990C76"/>
    <w:rsid w:val="00990D65"/>
    <w:rsid w:val="00990D9E"/>
    <w:rsid w:val="00990DB5"/>
    <w:rsid w:val="00990E89"/>
    <w:rsid w:val="0099100D"/>
    <w:rsid w:val="0099121B"/>
    <w:rsid w:val="0099149A"/>
    <w:rsid w:val="009916CC"/>
    <w:rsid w:val="00991817"/>
    <w:rsid w:val="009919E5"/>
    <w:rsid w:val="009919FA"/>
    <w:rsid w:val="00991B24"/>
    <w:rsid w:val="00991B91"/>
    <w:rsid w:val="00991BA8"/>
    <w:rsid w:val="00991BEA"/>
    <w:rsid w:val="009920C7"/>
    <w:rsid w:val="0099211F"/>
    <w:rsid w:val="00992130"/>
    <w:rsid w:val="0099223B"/>
    <w:rsid w:val="009924A6"/>
    <w:rsid w:val="009926EF"/>
    <w:rsid w:val="00992880"/>
    <w:rsid w:val="00992CBF"/>
    <w:rsid w:val="00992E4A"/>
    <w:rsid w:val="00992F43"/>
    <w:rsid w:val="00993103"/>
    <w:rsid w:val="0099340A"/>
    <w:rsid w:val="009934BA"/>
    <w:rsid w:val="009934C5"/>
    <w:rsid w:val="00993657"/>
    <w:rsid w:val="009938EC"/>
    <w:rsid w:val="0099399F"/>
    <w:rsid w:val="00993E47"/>
    <w:rsid w:val="00993EDC"/>
    <w:rsid w:val="00993F28"/>
    <w:rsid w:val="009942AC"/>
    <w:rsid w:val="00994301"/>
    <w:rsid w:val="00994435"/>
    <w:rsid w:val="00994500"/>
    <w:rsid w:val="00994767"/>
    <w:rsid w:val="0099479E"/>
    <w:rsid w:val="0099496A"/>
    <w:rsid w:val="00994AEA"/>
    <w:rsid w:val="00994C2E"/>
    <w:rsid w:val="00994C54"/>
    <w:rsid w:val="00994C99"/>
    <w:rsid w:val="00994D9C"/>
    <w:rsid w:val="00994E82"/>
    <w:rsid w:val="00994E90"/>
    <w:rsid w:val="00994FB0"/>
    <w:rsid w:val="00995058"/>
    <w:rsid w:val="0099516C"/>
    <w:rsid w:val="009951A7"/>
    <w:rsid w:val="00995788"/>
    <w:rsid w:val="0099581C"/>
    <w:rsid w:val="0099583F"/>
    <w:rsid w:val="009958E5"/>
    <w:rsid w:val="00995943"/>
    <w:rsid w:val="00995B33"/>
    <w:rsid w:val="00995BAB"/>
    <w:rsid w:val="00995C0E"/>
    <w:rsid w:val="00995D12"/>
    <w:rsid w:val="00995DE3"/>
    <w:rsid w:val="009960EF"/>
    <w:rsid w:val="0099611A"/>
    <w:rsid w:val="0099626C"/>
    <w:rsid w:val="00996327"/>
    <w:rsid w:val="009963B5"/>
    <w:rsid w:val="00996457"/>
    <w:rsid w:val="0099653A"/>
    <w:rsid w:val="00996691"/>
    <w:rsid w:val="009966C6"/>
    <w:rsid w:val="0099671D"/>
    <w:rsid w:val="00996728"/>
    <w:rsid w:val="0099691D"/>
    <w:rsid w:val="00996BA2"/>
    <w:rsid w:val="00996BC9"/>
    <w:rsid w:val="00996CE3"/>
    <w:rsid w:val="00996EA9"/>
    <w:rsid w:val="0099706D"/>
    <w:rsid w:val="009971D7"/>
    <w:rsid w:val="00997243"/>
    <w:rsid w:val="0099743F"/>
    <w:rsid w:val="009974E7"/>
    <w:rsid w:val="009975D6"/>
    <w:rsid w:val="0099781D"/>
    <w:rsid w:val="00997C7B"/>
    <w:rsid w:val="00997D98"/>
    <w:rsid w:val="00997DF2"/>
    <w:rsid w:val="00997F1C"/>
    <w:rsid w:val="00997FD8"/>
    <w:rsid w:val="009A00B3"/>
    <w:rsid w:val="009A0173"/>
    <w:rsid w:val="009A020D"/>
    <w:rsid w:val="009A0433"/>
    <w:rsid w:val="009A0453"/>
    <w:rsid w:val="009A04EF"/>
    <w:rsid w:val="009A0531"/>
    <w:rsid w:val="009A05E7"/>
    <w:rsid w:val="009A06D1"/>
    <w:rsid w:val="009A080A"/>
    <w:rsid w:val="009A09D7"/>
    <w:rsid w:val="009A0A1A"/>
    <w:rsid w:val="009A0AAE"/>
    <w:rsid w:val="009A0D87"/>
    <w:rsid w:val="009A0E6E"/>
    <w:rsid w:val="009A146C"/>
    <w:rsid w:val="009A177B"/>
    <w:rsid w:val="009A178D"/>
    <w:rsid w:val="009A1938"/>
    <w:rsid w:val="009A1A63"/>
    <w:rsid w:val="009A1D97"/>
    <w:rsid w:val="009A1E67"/>
    <w:rsid w:val="009A1F6C"/>
    <w:rsid w:val="009A20DD"/>
    <w:rsid w:val="009A2207"/>
    <w:rsid w:val="009A224A"/>
    <w:rsid w:val="009A2439"/>
    <w:rsid w:val="009A2636"/>
    <w:rsid w:val="009A2C2F"/>
    <w:rsid w:val="009A2D66"/>
    <w:rsid w:val="009A2DD6"/>
    <w:rsid w:val="009A2F2C"/>
    <w:rsid w:val="009A2FD2"/>
    <w:rsid w:val="009A30AB"/>
    <w:rsid w:val="009A3120"/>
    <w:rsid w:val="009A31E2"/>
    <w:rsid w:val="009A3422"/>
    <w:rsid w:val="009A371A"/>
    <w:rsid w:val="009A37F0"/>
    <w:rsid w:val="009A3822"/>
    <w:rsid w:val="009A3A5B"/>
    <w:rsid w:val="009A3DB7"/>
    <w:rsid w:val="009A406A"/>
    <w:rsid w:val="009A4319"/>
    <w:rsid w:val="009A43A9"/>
    <w:rsid w:val="009A452C"/>
    <w:rsid w:val="009A4596"/>
    <w:rsid w:val="009A47F4"/>
    <w:rsid w:val="009A482E"/>
    <w:rsid w:val="009A4C90"/>
    <w:rsid w:val="009A4E24"/>
    <w:rsid w:val="009A4F98"/>
    <w:rsid w:val="009A503E"/>
    <w:rsid w:val="009A50B4"/>
    <w:rsid w:val="009A5128"/>
    <w:rsid w:val="009A5177"/>
    <w:rsid w:val="009A5266"/>
    <w:rsid w:val="009A552A"/>
    <w:rsid w:val="009A58F5"/>
    <w:rsid w:val="009A59C5"/>
    <w:rsid w:val="009A5C58"/>
    <w:rsid w:val="009A5DC6"/>
    <w:rsid w:val="009A5FAB"/>
    <w:rsid w:val="009A6013"/>
    <w:rsid w:val="009A6014"/>
    <w:rsid w:val="009A6219"/>
    <w:rsid w:val="009A6235"/>
    <w:rsid w:val="009A624B"/>
    <w:rsid w:val="009A6814"/>
    <w:rsid w:val="009A6876"/>
    <w:rsid w:val="009A6977"/>
    <w:rsid w:val="009A6CE6"/>
    <w:rsid w:val="009A6FEC"/>
    <w:rsid w:val="009A7003"/>
    <w:rsid w:val="009A7245"/>
    <w:rsid w:val="009A7328"/>
    <w:rsid w:val="009A740E"/>
    <w:rsid w:val="009A741A"/>
    <w:rsid w:val="009A7489"/>
    <w:rsid w:val="009A7758"/>
    <w:rsid w:val="009A779C"/>
    <w:rsid w:val="009A77B8"/>
    <w:rsid w:val="009A77C7"/>
    <w:rsid w:val="009A78C7"/>
    <w:rsid w:val="009A7B7A"/>
    <w:rsid w:val="009A7BC4"/>
    <w:rsid w:val="009A7C2A"/>
    <w:rsid w:val="009A7D2E"/>
    <w:rsid w:val="009A7E5D"/>
    <w:rsid w:val="009A7E6C"/>
    <w:rsid w:val="009A7FA2"/>
    <w:rsid w:val="009B0289"/>
    <w:rsid w:val="009B0364"/>
    <w:rsid w:val="009B03A9"/>
    <w:rsid w:val="009B03E7"/>
    <w:rsid w:val="009B0515"/>
    <w:rsid w:val="009B054A"/>
    <w:rsid w:val="009B0753"/>
    <w:rsid w:val="009B079A"/>
    <w:rsid w:val="009B09B5"/>
    <w:rsid w:val="009B09BA"/>
    <w:rsid w:val="009B0A53"/>
    <w:rsid w:val="009B0C75"/>
    <w:rsid w:val="009B0CAB"/>
    <w:rsid w:val="009B0DEF"/>
    <w:rsid w:val="009B0F34"/>
    <w:rsid w:val="009B13B9"/>
    <w:rsid w:val="009B1467"/>
    <w:rsid w:val="009B15FC"/>
    <w:rsid w:val="009B1649"/>
    <w:rsid w:val="009B18F1"/>
    <w:rsid w:val="009B1D69"/>
    <w:rsid w:val="009B202D"/>
    <w:rsid w:val="009B20C7"/>
    <w:rsid w:val="009B20FC"/>
    <w:rsid w:val="009B2115"/>
    <w:rsid w:val="009B21C5"/>
    <w:rsid w:val="009B22DB"/>
    <w:rsid w:val="009B2330"/>
    <w:rsid w:val="009B27A9"/>
    <w:rsid w:val="009B27CC"/>
    <w:rsid w:val="009B28CF"/>
    <w:rsid w:val="009B29C6"/>
    <w:rsid w:val="009B2BF2"/>
    <w:rsid w:val="009B2CC0"/>
    <w:rsid w:val="009B2E80"/>
    <w:rsid w:val="009B313C"/>
    <w:rsid w:val="009B32D9"/>
    <w:rsid w:val="009B338F"/>
    <w:rsid w:val="009B370C"/>
    <w:rsid w:val="009B3767"/>
    <w:rsid w:val="009B3772"/>
    <w:rsid w:val="009B3855"/>
    <w:rsid w:val="009B38F0"/>
    <w:rsid w:val="009B3AF6"/>
    <w:rsid w:val="009B3B4D"/>
    <w:rsid w:val="009B3BF4"/>
    <w:rsid w:val="009B3C37"/>
    <w:rsid w:val="009B3CB0"/>
    <w:rsid w:val="009B3D2B"/>
    <w:rsid w:val="009B3D9C"/>
    <w:rsid w:val="009B3DA6"/>
    <w:rsid w:val="009B3E3D"/>
    <w:rsid w:val="009B3E8B"/>
    <w:rsid w:val="009B3F2A"/>
    <w:rsid w:val="009B402C"/>
    <w:rsid w:val="009B4036"/>
    <w:rsid w:val="009B4064"/>
    <w:rsid w:val="009B4257"/>
    <w:rsid w:val="009B4388"/>
    <w:rsid w:val="009B46BC"/>
    <w:rsid w:val="009B4801"/>
    <w:rsid w:val="009B484D"/>
    <w:rsid w:val="009B4AC8"/>
    <w:rsid w:val="009B4C0C"/>
    <w:rsid w:val="009B50C2"/>
    <w:rsid w:val="009B51AE"/>
    <w:rsid w:val="009B537C"/>
    <w:rsid w:val="009B537F"/>
    <w:rsid w:val="009B558F"/>
    <w:rsid w:val="009B55D1"/>
    <w:rsid w:val="009B5606"/>
    <w:rsid w:val="009B56EC"/>
    <w:rsid w:val="009B5815"/>
    <w:rsid w:val="009B5864"/>
    <w:rsid w:val="009B5874"/>
    <w:rsid w:val="009B5911"/>
    <w:rsid w:val="009B5A44"/>
    <w:rsid w:val="009B5A4F"/>
    <w:rsid w:val="009B5B1C"/>
    <w:rsid w:val="009B5B96"/>
    <w:rsid w:val="009B5C57"/>
    <w:rsid w:val="009B5DC8"/>
    <w:rsid w:val="009B5E4B"/>
    <w:rsid w:val="009B5EF5"/>
    <w:rsid w:val="009B5F48"/>
    <w:rsid w:val="009B6144"/>
    <w:rsid w:val="009B62D3"/>
    <w:rsid w:val="009B6332"/>
    <w:rsid w:val="009B6470"/>
    <w:rsid w:val="009B665E"/>
    <w:rsid w:val="009B66B3"/>
    <w:rsid w:val="009B6719"/>
    <w:rsid w:val="009B6853"/>
    <w:rsid w:val="009B68A0"/>
    <w:rsid w:val="009B69C0"/>
    <w:rsid w:val="009B6A08"/>
    <w:rsid w:val="009B6AB2"/>
    <w:rsid w:val="009B6BAA"/>
    <w:rsid w:val="009B6D68"/>
    <w:rsid w:val="009B6F4A"/>
    <w:rsid w:val="009B6FF8"/>
    <w:rsid w:val="009B7238"/>
    <w:rsid w:val="009B752B"/>
    <w:rsid w:val="009B7915"/>
    <w:rsid w:val="009B7B12"/>
    <w:rsid w:val="009B7BA3"/>
    <w:rsid w:val="009B7D6B"/>
    <w:rsid w:val="009BD78A"/>
    <w:rsid w:val="009C0009"/>
    <w:rsid w:val="009C0046"/>
    <w:rsid w:val="009C00B6"/>
    <w:rsid w:val="009C00CC"/>
    <w:rsid w:val="009C0184"/>
    <w:rsid w:val="009C019C"/>
    <w:rsid w:val="009C03B7"/>
    <w:rsid w:val="009C040B"/>
    <w:rsid w:val="009C059A"/>
    <w:rsid w:val="009C0713"/>
    <w:rsid w:val="009C08BF"/>
    <w:rsid w:val="009C092C"/>
    <w:rsid w:val="009C09F2"/>
    <w:rsid w:val="009C0AC3"/>
    <w:rsid w:val="009C0AC4"/>
    <w:rsid w:val="009C0B0A"/>
    <w:rsid w:val="009C0B77"/>
    <w:rsid w:val="009C0D07"/>
    <w:rsid w:val="009C0F28"/>
    <w:rsid w:val="009C1137"/>
    <w:rsid w:val="009C163B"/>
    <w:rsid w:val="009C17BD"/>
    <w:rsid w:val="009C18DC"/>
    <w:rsid w:val="009C18E6"/>
    <w:rsid w:val="009C19C4"/>
    <w:rsid w:val="009C1A7C"/>
    <w:rsid w:val="009C1A81"/>
    <w:rsid w:val="009C1AEF"/>
    <w:rsid w:val="009C1C99"/>
    <w:rsid w:val="009C1D03"/>
    <w:rsid w:val="009C1D09"/>
    <w:rsid w:val="009C1DF6"/>
    <w:rsid w:val="009C1E3B"/>
    <w:rsid w:val="009C1E43"/>
    <w:rsid w:val="009C212A"/>
    <w:rsid w:val="009C21D1"/>
    <w:rsid w:val="009C222E"/>
    <w:rsid w:val="009C22D6"/>
    <w:rsid w:val="009C231F"/>
    <w:rsid w:val="009C238A"/>
    <w:rsid w:val="009C23C7"/>
    <w:rsid w:val="009C259D"/>
    <w:rsid w:val="009C288D"/>
    <w:rsid w:val="009C2B02"/>
    <w:rsid w:val="009C2D14"/>
    <w:rsid w:val="009C2E55"/>
    <w:rsid w:val="009C2FD8"/>
    <w:rsid w:val="009C3284"/>
    <w:rsid w:val="009C32B3"/>
    <w:rsid w:val="009C3445"/>
    <w:rsid w:val="009C3710"/>
    <w:rsid w:val="009C372B"/>
    <w:rsid w:val="009C377D"/>
    <w:rsid w:val="009C3BD1"/>
    <w:rsid w:val="009C3D22"/>
    <w:rsid w:val="009C3E01"/>
    <w:rsid w:val="009C3FA2"/>
    <w:rsid w:val="009C404A"/>
    <w:rsid w:val="009C405C"/>
    <w:rsid w:val="009C408D"/>
    <w:rsid w:val="009C426F"/>
    <w:rsid w:val="009C4290"/>
    <w:rsid w:val="009C42D6"/>
    <w:rsid w:val="009C445F"/>
    <w:rsid w:val="009C45BF"/>
    <w:rsid w:val="009C482A"/>
    <w:rsid w:val="009C4B21"/>
    <w:rsid w:val="009C4CAD"/>
    <w:rsid w:val="009C4CFF"/>
    <w:rsid w:val="009C4DD9"/>
    <w:rsid w:val="009C4ECF"/>
    <w:rsid w:val="009C4EE6"/>
    <w:rsid w:val="009C5045"/>
    <w:rsid w:val="009C551E"/>
    <w:rsid w:val="009C556E"/>
    <w:rsid w:val="009C5838"/>
    <w:rsid w:val="009C5AD7"/>
    <w:rsid w:val="009C5D31"/>
    <w:rsid w:val="009C5D68"/>
    <w:rsid w:val="009C6127"/>
    <w:rsid w:val="009C6AA2"/>
    <w:rsid w:val="009C6FEB"/>
    <w:rsid w:val="009C700D"/>
    <w:rsid w:val="009C71CD"/>
    <w:rsid w:val="009C7283"/>
    <w:rsid w:val="009C739B"/>
    <w:rsid w:val="009C7423"/>
    <w:rsid w:val="009C7661"/>
    <w:rsid w:val="009C76F2"/>
    <w:rsid w:val="009C77A8"/>
    <w:rsid w:val="009C7888"/>
    <w:rsid w:val="009C78B6"/>
    <w:rsid w:val="009C7903"/>
    <w:rsid w:val="009C79FC"/>
    <w:rsid w:val="009C7AEF"/>
    <w:rsid w:val="009C7B64"/>
    <w:rsid w:val="009C7B6C"/>
    <w:rsid w:val="009C7BD1"/>
    <w:rsid w:val="009C7D08"/>
    <w:rsid w:val="009C7E06"/>
    <w:rsid w:val="009C7F0C"/>
    <w:rsid w:val="009C7F9C"/>
    <w:rsid w:val="009C7FFB"/>
    <w:rsid w:val="009D0024"/>
    <w:rsid w:val="009D0269"/>
    <w:rsid w:val="009D046B"/>
    <w:rsid w:val="009D0478"/>
    <w:rsid w:val="009D055F"/>
    <w:rsid w:val="009D07C5"/>
    <w:rsid w:val="009D0AC8"/>
    <w:rsid w:val="009D0B23"/>
    <w:rsid w:val="009D0CBA"/>
    <w:rsid w:val="009D0E5E"/>
    <w:rsid w:val="009D0E7D"/>
    <w:rsid w:val="009D0ECB"/>
    <w:rsid w:val="009D0FF6"/>
    <w:rsid w:val="009D1186"/>
    <w:rsid w:val="009D1544"/>
    <w:rsid w:val="009D175A"/>
    <w:rsid w:val="009D1849"/>
    <w:rsid w:val="009D19E7"/>
    <w:rsid w:val="009D1A5E"/>
    <w:rsid w:val="009D1B07"/>
    <w:rsid w:val="009D1B12"/>
    <w:rsid w:val="009D1D8A"/>
    <w:rsid w:val="009D1E0A"/>
    <w:rsid w:val="009D1E2E"/>
    <w:rsid w:val="009D1F74"/>
    <w:rsid w:val="009D1FE4"/>
    <w:rsid w:val="009D203E"/>
    <w:rsid w:val="009D20B1"/>
    <w:rsid w:val="009D26F5"/>
    <w:rsid w:val="009D2AE2"/>
    <w:rsid w:val="009D2BDF"/>
    <w:rsid w:val="009D2C77"/>
    <w:rsid w:val="009D2D22"/>
    <w:rsid w:val="009D30A9"/>
    <w:rsid w:val="009D3191"/>
    <w:rsid w:val="009D3270"/>
    <w:rsid w:val="009D3412"/>
    <w:rsid w:val="009D34D7"/>
    <w:rsid w:val="009D35E8"/>
    <w:rsid w:val="009D3660"/>
    <w:rsid w:val="009D36C3"/>
    <w:rsid w:val="009D3784"/>
    <w:rsid w:val="009D3995"/>
    <w:rsid w:val="009D3A36"/>
    <w:rsid w:val="009D3A52"/>
    <w:rsid w:val="009D3AC7"/>
    <w:rsid w:val="009D3E0B"/>
    <w:rsid w:val="009D3E56"/>
    <w:rsid w:val="009D3EB9"/>
    <w:rsid w:val="009D3FA6"/>
    <w:rsid w:val="009D403F"/>
    <w:rsid w:val="009D4080"/>
    <w:rsid w:val="009D40BD"/>
    <w:rsid w:val="009D419D"/>
    <w:rsid w:val="009D4222"/>
    <w:rsid w:val="009D423B"/>
    <w:rsid w:val="009D43E3"/>
    <w:rsid w:val="009D44EF"/>
    <w:rsid w:val="009D4551"/>
    <w:rsid w:val="009D45EF"/>
    <w:rsid w:val="009D4623"/>
    <w:rsid w:val="009D47B4"/>
    <w:rsid w:val="009D47F0"/>
    <w:rsid w:val="009D48A3"/>
    <w:rsid w:val="009D48CD"/>
    <w:rsid w:val="009D48E8"/>
    <w:rsid w:val="009D4DA7"/>
    <w:rsid w:val="009D4DC1"/>
    <w:rsid w:val="009D4FE9"/>
    <w:rsid w:val="009D5091"/>
    <w:rsid w:val="009D50C8"/>
    <w:rsid w:val="009D5258"/>
    <w:rsid w:val="009D5544"/>
    <w:rsid w:val="009D59CA"/>
    <w:rsid w:val="009D5B35"/>
    <w:rsid w:val="009D5B95"/>
    <w:rsid w:val="009D5BD8"/>
    <w:rsid w:val="009D5ED3"/>
    <w:rsid w:val="009D6121"/>
    <w:rsid w:val="009D6151"/>
    <w:rsid w:val="009D630B"/>
    <w:rsid w:val="009D632F"/>
    <w:rsid w:val="009D6426"/>
    <w:rsid w:val="009D6449"/>
    <w:rsid w:val="009D6915"/>
    <w:rsid w:val="009D6AF5"/>
    <w:rsid w:val="009D6B16"/>
    <w:rsid w:val="009D6B51"/>
    <w:rsid w:val="009D6B56"/>
    <w:rsid w:val="009D6D02"/>
    <w:rsid w:val="009D7033"/>
    <w:rsid w:val="009D7211"/>
    <w:rsid w:val="009D72BA"/>
    <w:rsid w:val="009D72F4"/>
    <w:rsid w:val="009D74C5"/>
    <w:rsid w:val="009D75E0"/>
    <w:rsid w:val="009D75F7"/>
    <w:rsid w:val="009D783A"/>
    <w:rsid w:val="009D7969"/>
    <w:rsid w:val="009D7A29"/>
    <w:rsid w:val="009D7A7E"/>
    <w:rsid w:val="009D7F19"/>
    <w:rsid w:val="009E01F9"/>
    <w:rsid w:val="009E0673"/>
    <w:rsid w:val="009E0751"/>
    <w:rsid w:val="009E0A47"/>
    <w:rsid w:val="009E0C0F"/>
    <w:rsid w:val="009E0C92"/>
    <w:rsid w:val="009E0E13"/>
    <w:rsid w:val="009E1161"/>
    <w:rsid w:val="009E11CE"/>
    <w:rsid w:val="009E11DF"/>
    <w:rsid w:val="009E11FB"/>
    <w:rsid w:val="009E1241"/>
    <w:rsid w:val="009E12C0"/>
    <w:rsid w:val="009E136B"/>
    <w:rsid w:val="009E1371"/>
    <w:rsid w:val="009E13EF"/>
    <w:rsid w:val="009E1520"/>
    <w:rsid w:val="009E154B"/>
    <w:rsid w:val="009E1659"/>
    <w:rsid w:val="009E1727"/>
    <w:rsid w:val="009E1D65"/>
    <w:rsid w:val="009E1F4C"/>
    <w:rsid w:val="009E2112"/>
    <w:rsid w:val="009E2334"/>
    <w:rsid w:val="009E23B3"/>
    <w:rsid w:val="009E242D"/>
    <w:rsid w:val="009E2473"/>
    <w:rsid w:val="009E25F0"/>
    <w:rsid w:val="009E26A2"/>
    <w:rsid w:val="009E2798"/>
    <w:rsid w:val="009E286A"/>
    <w:rsid w:val="009E2935"/>
    <w:rsid w:val="009E2942"/>
    <w:rsid w:val="009E2944"/>
    <w:rsid w:val="009E29C4"/>
    <w:rsid w:val="009E2A70"/>
    <w:rsid w:val="009E2F56"/>
    <w:rsid w:val="009E31B3"/>
    <w:rsid w:val="009E3302"/>
    <w:rsid w:val="009E333E"/>
    <w:rsid w:val="009E33F4"/>
    <w:rsid w:val="009E3419"/>
    <w:rsid w:val="009E3518"/>
    <w:rsid w:val="009E3867"/>
    <w:rsid w:val="009E3B69"/>
    <w:rsid w:val="009E3BFD"/>
    <w:rsid w:val="009E4058"/>
    <w:rsid w:val="009E41A0"/>
    <w:rsid w:val="009E43D7"/>
    <w:rsid w:val="009E4429"/>
    <w:rsid w:val="009E487D"/>
    <w:rsid w:val="009E4884"/>
    <w:rsid w:val="009E492F"/>
    <w:rsid w:val="009E4A83"/>
    <w:rsid w:val="009E4C95"/>
    <w:rsid w:val="009E4CFA"/>
    <w:rsid w:val="009E4F44"/>
    <w:rsid w:val="009E52D0"/>
    <w:rsid w:val="009E52E5"/>
    <w:rsid w:val="009E53F2"/>
    <w:rsid w:val="009E564F"/>
    <w:rsid w:val="009E5AF6"/>
    <w:rsid w:val="009E5D3E"/>
    <w:rsid w:val="009E5EEA"/>
    <w:rsid w:val="009E63D8"/>
    <w:rsid w:val="009E6485"/>
    <w:rsid w:val="009E6717"/>
    <w:rsid w:val="009E6929"/>
    <w:rsid w:val="009E69E8"/>
    <w:rsid w:val="009E6BAC"/>
    <w:rsid w:val="009E6C04"/>
    <w:rsid w:val="009E6C63"/>
    <w:rsid w:val="009E6E0A"/>
    <w:rsid w:val="009E6E10"/>
    <w:rsid w:val="009E6F1C"/>
    <w:rsid w:val="009E70B8"/>
    <w:rsid w:val="009E70D5"/>
    <w:rsid w:val="009E710C"/>
    <w:rsid w:val="009E7303"/>
    <w:rsid w:val="009E737A"/>
    <w:rsid w:val="009E7448"/>
    <w:rsid w:val="009E745A"/>
    <w:rsid w:val="009E7554"/>
    <w:rsid w:val="009E7592"/>
    <w:rsid w:val="009E75B5"/>
    <w:rsid w:val="009E760D"/>
    <w:rsid w:val="009E7676"/>
    <w:rsid w:val="009E7718"/>
    <w:rsid w:val="009E786A"/>
    <w:rsid w:val="009E787C"/>
    <w:rsid w:val="009E78D0"/>
    <w:rsid w:val="009E7A2B"/>
    <w:rsid w:val="009E7AFA"/>
    <w:rsid w:val="009E7BF7"/>
    <w:rsid w:val="009E7C35"/>
    <w:rsid w:val="009E7E69"/>
    <w:rsid w:val="009F00E9"/>
    <w:rsid w:val="009F0146"/>
    <w:rsid w:val="009F0692"/>
    <w:rsid w:val="009F072A"/>
    <w:rsid w:val="009F0738"/>
    <w:rsid w:val="009F0783"/>
    <w:rsid w:val="009F0843"/>
    <w:rsid w:val="009F0872"/>
    <w:rsid w:val="009F09D3"/>
    <w:rsid w:val="009F0B84"/>
    <w:rsid w:val="009F0DD9"/>
    <w:rsid w:val="009F0DDF"/>
    <w:rsid w:val="009F0E78"/>
    <w:rsid w:val="009F1027"/>
    <w:rsid w:val="009F1033"/>
    <w:rsid w:val="009F1060"/>
    <w:rsid w:val="009F1226"/>
    <w:rsid w:val="009F12FE"/>
    <w:rsid w:val="009F1502"/>
    <w:rsid w:val="009F16F6"/>
    <w:rsid w:val="009F16F8"/>
    <w:rsid w:val="009F1724"/>
    <w:rsid w:val="009F1916"/>
    <w:rsid w:val="009F1AE1"/>
    <w:rsid w:val="009F1CD8"/>
    <w:rsid w:val="009F1CF7"/>
    <w:rsid w:val="009F1EE7"/>
    <w:rsid w:val="009F1F91"/>
    <w:rsid w:val="009F201C"/>
    <w:rsid w:val="009F220A"/>
    <w:rsid w:val="009F2332"/>
    <w:rsid w:val="009F2383"/>
    <w:rsid w:val="009F23B5"/>
    <w:rsid w:val="009F26E0"/>
    <w:rsid w:val="009F2738"/>
    <w:rsid w:val="009F281E"/>
    <w:rsid w:val="009F2847"/>
    <w:rsid w:val="009F2A93"/>
    <w:rsid w:val="009F2B5D"/>
    <w:rsid w:val="009F2B8F"/>
    <w:rsid w:val="009F2C1F"/>
    <w:rsid w:val="009F2C52"/>
    <w:rsid w:val="009F2C8F"/>
    <w:rsid w:val="009F2D21"/>
    <w:rsid w:val="009F2D55"/>
    <w:rsid w:val="009F2D90"/>
    <w:rsid w:val="009F2E6D"/>
    <w:rsid w:val="009F2EB3"/>
    <w:rsid w:val="009F313F"/>
    <w:rsid w:val="009F3163"/>
    <w:rsid w:val="009F3192"/>
    <w:rsid w:val="009F31B3"/>
    <w:rsid w:val="009F32CC"/>
    <w:rsid w:val="009F32FA"/>
    <w:rsid w:val="009F3420"/>
    <w:rsid w:val="009F346A"/>
    <w:rsid w:val="009F356F"/>
    <w:rsid w:val="009F3667"/>
    <w:rsid w:val="009F36BA"/>
    <w:rsid w:val="009F3775"/>
    <w:rsid w:val="009F3779"/>
    <w:rsid w:val="009F38FF"/>
    <w:rsid w:val="009F3919"/>
    <w:rsid w:val="009F3B8C"/>
    <w:rsid w:val="009F3CB0"/>
    <w:rsid w:val="009F3D11"/>
    <w:rsid w:val="009F3D15"/>
    <w:rsid w:val="009F3E7E"/>
    <w:rsid w:val="009F3ED9"/>
    <w:rsid w:val="009F4042"/>
    <w:rsid w:val="009F4071"/>
    <w:rsid w:val="009F41A4"/>
    <w:rsid w:val="009F4324"/>
    <w:rsid w:val="009F4641"/>
    <w:rsid w:val="009F46ED"/>
    <w:rsid w:val="009F4844"/>
    <w:rsid w:val="009F4883"/>
    <w:rsid w:val="009F49DF"/>
    <w:rsid w:val="009F4AA0"/>
    <w:rsid w:val="009F4B20"/>
    <w:rsid w:val="009F4B54"/>
    <w:rsid w:val="009F4C39"/>
    <w:rsid w:val="009F4C51"/>
    <w:rsid w:val="009F4D28"/>
    <w:rsid w:val="009F4F58"/>
    <w:rsid w:val="009F50C1"/>
    <w:rsid w:val="009F51F7"/>
    <w:rsid w:val="009F5297"/>
    <w:rsid w:val="009F560B"/>
    <w:rsid w:val="009F56A4"/>
    <w:rsid w:val="009F56EB"/>
    <w:rsid w:val="009F587E"/>
    <w:rsid w:val="009F58FD"/>
    <w:rsid w:val="009F59E0"/>
    <w:rsid w:val="009F5A03"/>
    <w:rsid w:val="009F5BB0"/>
    <w:rsid w:val="009F5BBC"/>
    <w:rsid w:val="009F5CE1"/>
    <w:rsid w:val="009F5DD2"/>
    <w:rsid w:val="009F5DDB"/>
    <w:rsid w:val="009F5E85"/>
    <w:rsid w:val="009F5EEE"/>
    <w:rsid w:val="009F605A"/>
    <w:rsid w:val="009F6165"/>
    <w:rsid w:val="009F6245"/>
    <w:rsid w:val="009F6572"/>
    <w:rsid w:val="009F6868"/>
    <w:rsid w:val="009F6946"/>
    <w:rsid w:val="009F699E"/>
    <w:rsid w:val="009F6AF7"/>
    <w:rsid w:val="009F6DC0"/>
    <w:rsid w:val="009F6E4A"/>
    <w:rsid w:val="009F6EC3"/>
    <w:rsid w:val="009F6F95"/>
    <w:rsid w:val="009F70B5"/>
    <w:rsid w:val="009F713F"/>
    <w:rsid w:val="009F71CC"/>
    <w:rsid w:val="009F7338"/>
    <w:rsid w:val="009F76B8"/>
    <w:rsid w:val="009F779C"/>
    <w:rsid w:val="009F7865"/>
    <w:rsid w:val="009F793B"/>
    <w:rsid w:val="009F7CAB"/>
    <w:rsid w:val="00A000E0"/>
    <w:rsid w:val="00A001C7"/>
    <w:rsid w:val="00A00311"/>
    <w:rsid w:val="00A00365"/>
    <w:rsid w:val="00A0051A"/>
    <w:rsid w:val="00A008DC"/>
    <w:rsid w:val="00A00A2C"/>
    <w:rsid w:val="00A00CAB"/>
    <w:rsid w:val="00A00CDF"/>
    <w:rsid w:val="00A00F2A"/>
    <w:rsid w:val="00A01027"/>
    <w:rsid w:val="00A010F1"/>
    <w:rsid w:val="00A013DF"/>
    <w:rsid w:val="00A0145A"/>
    <w:rsid w:val="00A014A6"/>
    <w:rsid w:val="00A014B3"/>
    <w:rsid w:val="00A0159F"/>
    <w:rsid w:val="00A0181F"/>
    <w:rsid w:val="00A01A9D"/>
    <w:rsid w:val="00A01BD2"/>
    <w:rsid w:val="00A01DD4"/>
    <w:rsid w:val="00A01E5E"/>
    <w:rsid w:val="00A01F26"/>
    <w:rsid w:val="00A02043"/>
    <w:rsid w:val="00A02398"/>
    <w:rsid w:val="00A023AE"/>
    <w:rsid w:val="00A02419"/>
    <w:rsid w:val="00A024AB"/>
    <w:rsid w:val="00A026C0"/>
    <w:rsid w:val="00A02BC5"/>
    <w:rsid w:val="00A02E83"/>
    <w:rsid w:val="00A02FB1"/>
    <w:rsid w:val="00A02FB5"/>
    <w:rsid w:val="00A02FC6"/>
    <w:rsid w:val="00A033FD"/>
    <w:rsid w:val="00A03406"/>
    <w:rsid w:val="00A03443"/>
    <w:rsid w:val="00A036A9"/>
    <w:rsid w:val="00A0388D"/>
    <w:rsid w:val="00A03911"/>
    <w:rsid w:val="00A03A95"/>
    <w:rsid w:val="00A03B1D"/>
    <w:rsid w:val="00A03B61"/>
    <w:rsid w:val="00A03B7C"/>
    <w:rsid w:val="00A03BD9"/>
    <w:rsid w:val="00A03CF2"/>
    <w:rsid w:val="00A03F99"/>
    <w:rsid w:val="00A0407B"/>
    <w:rsid w:val="00A042E2"/>
    <w:rsid w:val="00A04475"/>
    <w:rsid w:val="00A0459C"/>
    <w:rsid w:val="00A0469C"/>
    <w:rsid w:val="00A046E8"/>
    <w:rsid w:val="00A048E2"/>
    <w:rsid w:val="00A04A0C"/>
    <w:rsid w:val="00A04B1E"/>
    <w:rsid w:val="00A04C65"/>
    <w:rsid w:val="00A04CF1"/>
    <w:rsid w:val="00A04ECA"/>
    <w:rsid w:val="00A04F38"/>
    <w:rsid w:val="00A05014"/>
    <w:rsid w:val="00A050E6"/>
    <w:rsid w:val="00A05600"/>
    <w:rsid w:val="00A05897"/>
    <w:rsid w:val="00A058E5"/>
    <w:rsid w:val="00A058E9"/>
    <w:rsid w:val="00A0598F"/>
    <w:rsid w:val="00A05B77"/>
    <w:rsid w:val="00A05C1F"/>
    <w:rsid w:val="00A05E23"/>
    <w:rsid w:val="00A05EE2"/>
    <w:rsid w:val="00A06023"/>
    <w:rsid w:val="00A0608C"/>
    <w:rsid w:val="00A06180"/>
    <w:rsid w:val="00A061F0"/>
    <w:rsid w:val="00A06368"/>
    <w:rsid w:val="00A06466"/>
    <w:rsid w:val="00A064E3"/>
    <w:rsid w:val="00A0654E"/>
    <w:rsid w:val="00A067D3"/>
    <w:rsid w:val="00A06801"/>
    <w:rsid w:val="00A068F1"/>
    <w:rsid w:val="00A0690D"/>
    <w:rsid w:val="00A069CD"/>
    <w:rsid w:val="00A06B9B"/>
    <w:rsid w:val="00A06EF7"/>
    <w:rsid w:val="00A06FA5"/>
    <w:rsid w:val="00A06FDD"/>
    <w:rsid w:val="00A0714B"/>
    <w:rsid w:val="00A071A1"/>
    <w:rsid w:val="00A0721C"/>
    <w:rsid w:val="00A07223"/>
    <w:rsid w:val="00A07227"/>
    <w:rsid w:val="00A073D4"/>
    <w:rsid w:val="00A073F5"/>
    <w:rsid w:val="00A07478"/>
    <w:rsid w:val="00A0760D"/>
    <w:rsid w:val="00A07839"/>
    <w:rsid w:val="00A07A4F"/>
    <w:rsid w:val="00A07C3B"/>
    <w:rsid w:val="00A07C45"/>
    <w:rsid w:val="00A07CF9"/>
    <w:rsid w:val="00A07D14"/>
    <w:rsid w:val="00A07F58"/>
    <w:rsid w:val="00A07FC0"/>
    <w:rsid w:val="00A10193"/>
    <w:rsid w:val="00A10293"/>
    <w:rsid w:val="00A1036E"/>
    <w:rsid w:val="00A1063D"/>
    <w:rsid w:val="00A108DE"/>
    <w:rsid w:val="00A108E0"/>
    <w:rsid w:val="00A1090D"/>
    <w:rsid w:val="00A109C0"/>
    <w:rsid w:val="00A109DB"/>
    <w:rsid w:val="00A10E16"/>
    <w:rsid w:val="00A10EB9"/>
    <w:rsid w:val="00A11174"/>
    <w:rsid w:val="00A11256"/>
    <w:rsid w:val="00A115BA"/>
    <w:rsid w:val="00A116E0"/>
    <w:rsid w:val="00A1172A"/>
    <w:rsid w:val="00A11851"/>
    <w:rsid w:val="00A1195A"/>
    <w:rsid w:val="00A11B75"/>
    <w:rsid w:val="00A11B9F"/>
    <w:rsid w:val="00A11BB7"/>
    <w:rsid w:val="00A11E51"/>
    <w:rsid w:val="00A11F95"/>
    <w:rsid w:val="00A1203D"/>
    <w:rsid w:val="00A1215B"/>
    <w:rsid w:val="00A1239A"/>
    <w:rsid w:val="00A12672"/>
    <w:rsid w:val="00A12B90"/>
    <w:rsid w:val="00A12EEB"/>
    <w:rsid w:val="00A12F3E"/>
    <w:rsid w:val="00A13346"/>
    <w:rsid w:val="00A1337A"/>
    <w:rsid w:val="00A13518"/>
    <w:rsid w:val="00A1353A"/>
    <w:rsid w:val="00A135CD"/>
    <w:rsid w:val="00A13872"/>
    <w:rsid w:val="00A139B7"/>
    <w:rsid w:val="00A13A4B"/>
    <w:rsid w:val="00A13B18"/>
    <w:rsid w:val="00A13B28"/>
    <w:rsid w:val="00A13C02"/>
    <w:rsid w:val="00A13FCB"/>
    <w:rsid w:val="00A14015"/>
    <w:rsid w:val="00A140EF"/>
    <w:rsid w:val="00A1419B"/>
    <w:rsid w:val="00A142BF"/>
    <w:rsid w:val="00A143B8"/>
    <w:rsid w:val="00A14470"/>
    <w:rsid w:val="00A148AF"/>
    <w:rsid w:val="00A14971"/>
    <w:rsid w:val="00A14A86"/>
    <w:rsid w:val="00A14B56"/>
    <w:rsid w:val="00A14D50"/>
    <w:rsid w:val="00A14EBC"/>
    <w:rsid w:val="00A150B3"/>
    <w:rsid w:val="00A151F6"/>
    <w:rsid w:val="00A15201"/>
    <w:rsid w:val="00A15555"/>
    <w:rsid w:val="00A155ED"/>
    <w:rsid w:val="00A15696"/>
    <w:rsid w:val="00A156AB"/>
    <w:rsid w:val="00A159B8"/>
    <w:rsid w:val="00A15B4A"/>
    <w:rsid w:val="00A15C18"/>
    <w:rsid w:val="00A15C40"/>
    <w:rsid w:val="00A15C6E"/>
    <w:rsid w:val="00A16190"/>
    <w:rsid w:val="00A161DF"/>
    <w:rsid w:val="00A1647B"/>
    <w:rsid w:val="00A164B0"/>
    <w:rsid w:val="00A1670D"/>
    <w:rsid w:val="00A1674B"/>
    <w:rsid w:val="00A16808"/>
    <w:rsid w:val="00A16A5D"/>
    <w:rsid w:val="00A16BA7"/>
    <w:rsid w:val="00A16C18"/>
    <w:rsid w:val="00A16C60"/>
    <w:rsid w:val="00A16CD2"/>
    <w:rsid w:val="00A16F1A"/>
    <w:rsid w:val="00A16FD1"/>
    <w:rsid w:val="00A16FE0"/>
    <w:rsid w:val="00A171F2"/>
    <w:rsid w:val="00A173A0"/>
    <w:rsid w:val="00A173ED"/>
    <w:rsid w:val="00A17595"/>
    <w:rsid w:val="00A17620"/>
    <w:rsid w:val="00A17850"/>
    <w:rsid w:val="00A17928"/>
    <w:rsid w:val="00A17A18"/>
    <w:rsid w:val="00A17B18"/>
    <w:rsid w:val="00A17EFA"/>
    <w:rsid w:val="00A17F3D"/>
    <w:rsid w:val="00A17F6A"/>
    <w:rsid w:val="00A2001C"/>
    <w:rsid w:val="00A20237"/>
    <w:rsid w:val="00A20245"/>
    <w:rsid w:val="00A203BD"/>
    <w:rsid w:val="00A20488"/>
    <w:rsid w:val="00A20533"/>
    <w:rsid w:val="00A20583"/>
    <w:rsid w:val="00A206F0"/>
    <w:rsid w:val="00A20738"/>
    <w:rsid w:val="00A208E2"/>
    <w:rsid w:val="00A208F0"/>
    <w:rsid w:val="00A2097B"/>
    <w:rsid w:val="00A20A89"/>
    <w:rsid w:val="00A20B2C"/>
    <w:rsid w:val="00A20B81"/>
    <w:rsid w:val="00A20B96"/>
    <w:rsid w:val="00A20C19"/>
    <w:rsid w:val="00A210B6"/>
    <w:rsid w:val="00A2124F"/>
    <w:rsid w:val="00A212C0"/>
    <w:rsid w:val="00A2147D"/>
    <w:rsid w:val="00A214AE"/>
    <w:rsid w:val="00A219AA"/>
    <w:rsid w:val="00A21A68"/>
    <w:rsid w:val="00A21AC3"/>
    <w:rsid w:val="00A21C09"/>
    <w:rsid w:val="00A21E4A"/>
    <w:rsid w:val="00A21F99"/>
    <w:rsid w:val="00A221A1"/>
    <w:rsid w:val="00A2229C"/>
    <w:rsid w:val="00A223B5"/>
    <w:rsid w:val="00A22456"/>
    <w:rsid w:val="00A224A8"/>
    <w:rsid w:val="00A22CC5"/>
    <w:rsid w:val="00A22F2D"/>
    <w:rsid w:val="00A22F8B"/>
    <w:rsid w:val="00A230E7"/>
    <w:rsid w:val="00A233D5"/>
    <w:rsid w:val="00A235B0"/>
    <w:rsid w:val="00A23702"/>
    <w:rsid w:val="00A23A33"/>
    <w:rsid w:val="00A23F35"/>
    <w:rsid w:val="00A24293"/>
    <w:rsid w:val="00A242DC"/>
    <w:rsid w:val="00A2438E"/>
    <w:rsid w:val="00A2451E"/>
    <w:rsid w:val="00A245CC"/>
    <w:rsid w:val="00A2486E"/>
    <w:rsid w:val="00A248AA"/>
    <w:rsid w:val="00A24905"/>
    <w:rsid w:val="00A24BB1"/>
    <w:rsid w:val="00A24D27"/>
    <w:rsid w:val="00A24D9C"/>
    <w:rsid w:val="00A24E14"/>
    <w:rsid w:val="00A24EB1"/>
    <w:rsid w:val="00A250E9"/>
    <w:rsid w:val="00A2531F"/>
    <w:rsid w:val="00A253EA"/>
    <w:rsid w:val="00A25602"/>
    <w:rsid w:val="00A25632"/>
    <w:rsid w:val="00A25681"/>
    <w:rsid w:val="00A25BD9"/>
    <w:rsid w:val="00A25CDC"/>
    <w:rsid w:val="00A25EE5"/>
    <w:rsid w:val="00A25FE2"/>
    <w:rsid w:val="00A2611A"/>
    <w:rsid w:val="00A2611B"/>
    <w:rsid w:val="00A26182"/>
    <w:rsid w:val="00A26201"/>
    <w:rsid w:val="00A26293"/>
    <w:rsid w:val="00A2645F"/>
    <w:rsid w:val="00A264C1"/>
    <w:rsid w:val="00A267CE"/>
    <w:rsid w:val="00A2680D"/>
    <w:rsid w:val="00A26877"/>
    <w:rsid w:val="00A268D1"/>
    <w:rsid w:val="00A268D8"/>
    <w:rsid w:val="00A2697F"/>
    <w:rsid w:val="00A26A20"/>
    <w:rsid w:val="00A26D80"/>
    <w:rsid w:val="00A26DEA"/>
    <w:rsid w:val="00A26EC8"/>
    <w:rsid w:val="00A271C1"/>
    <w:rsid w:val="00A271CE"/>
    <w:rsid w:val="00A2725D"/>
    <w:rsid w:val="00A272E3"/>
    <w:rsid w:val="00A2745A"/>
    <w:rsid w:val="00A274E2"/>
    <w:rsid w:val="00A277F5"/>
    <w:rsid w:val="00A27A3E"/>
    <w:rsid w:val="00A27ACC"/>
    <w:rsid w:val="00A27AF5"/>
    <w:rsid w:val="00A27CA5"/>
    <w:rsid w:val="00A27CC8"/>
    <w:rsid w:val="00A27D3F"/>
    <w:rsid w:val="00A27E72"/>
    <w:rsid w:val="00A30135"/>
    <w:rsid w:val="00A30206"/>
    <w:rsid w:val="00A3028F"/>
    <w:rsid w:val="00A303C3"/>
    <w:rsid w:val="00A304C3"/>
    <w:rsid w:val="00A30532"/>
    <w:rsid w:val="00A306E7"/>
    <w:rsid w:val="00A30783"/>
    <w:rsid w:val="00A307B9"/>
    <w:rsid w:val="00A30873"/>
    <w:rsid w:val="00A30AEA"/>
    <w:rsid w:val="00A30E37"/>
    <w:rsid w:val="00A3107A"/>
    <w:rsid w:val="00A31396"/>
    <w:rsid w:val="00A31519"/>
    <w:rsid w:val="00A3181E"/>
    <w:rsid w:val="00A3188F"/>
    <w:rsid w:val="00A31893"/>
    <w:rsid w:val="00A31897"/>
    <w:rsid w:val="00A31ACD"/>
    <w:rsid w:val="00A31B43"/>
    <w:rsid w:val="00A31B76"/>
    <w:rsid w:val="00A31D35"/>
    <w:rsid w:val="00A31DD4"/>
    <w:rsid w:val="00A31E29"/>
    <w:rsid w:val="00A32097"/>
    <w:rsid w:val="00A324F3"/>
    <w:rsid w:val="00A3254B"/>
    <w:rsid w:val="00A325C8"/>
    <w:rsid w:val="00A3261E"/>
    <w:rsid w:val="00A32694"/>
    <w:rsid w:val="00A328F0"/>
    <w:rsid w:val="00A32959"/>
    <w:rsid w:val="00A32B5A"/>
    <w:rsid w:val="00A32BA1"/>
    <w:rsid w:val="00A32C73"/>
    <w:rsid w:val="00A32CA4"/>
    <w:rsid w:val="00A32DF5"/>
    <w:rsid w:val="00A32EF2"/>
    <w:rsid w:val="00A32F1A"/>
    <w:rsid w:val="00A32F25"/>
    <w:rsid w:val="00A33174"/>
    <w:rsid w:val="00A333AB"/>
    <w:rsid w:val="00A337ED"/>
    <w:rsid w:val="00A3394B"/>
    <w:rsid w:val="00A33B99"/>
    <w:rsid w:val="00A33BDD"/>
    <w:rsid w:val="00A33C1A"/>
    <w:rsid w:val="00A33D9F"/>
    <w:rsid w:val="00A33DC9"/>
    <w:rsid w:val="00A33F63"/>
    <w:rsid w:val="00A33F6F"/>
    <w:rsid w:val="00A340FE"/>
    <w:rsid w:val="00A344BB"/>
    <w:rsid w:val="00A34614"/>
    <w:rsid w:val="00A3465B"/>
    <w:rsid w:val="00A347D4"/>
    <w:rsid w:val="00A34885"/>
    <w:rsid w:val="00A348F8"/>
    <w:rsid w:val="00A349A4"/>
    <w:rsid w:val="00A34C2A"/>
    <w:rsid w:val="00A34DE6"/>
    <w:rsid w:val="00A3504E"/>
    <w:rsid w:val="00A35156"/>
    <w:rsid w:val="00A353FC"/>
    <w:rsid w:val="00A354B7"/>
    <w:rsid w:val="00A35595"/>
    <w:rsid w:val="00A355A2"/>
    <w:rsid w:val="00A35807"/>
    <w:rsid w:val="00A35897"/>
    <w:rsid w:val="00A3593B"/>
    <w:rsid w:val="00A35A2A"/>
    <w:rsid w:val="00A35AD2"/>
    <w:rsid w:val="00A35C17"/>
    <w:rsid w:val="00A35C8A"/>
    <w:rsid w:val="00A35D3E"/>
    <w:rsid w:val="00A35F76"/>
    <w:rsid w:val="00A36090"/>
    <w:rsid w:val="00A360BA"/>
    <w:rsid w:val="00A36494"/>
    <w:rsid w:val="00A364AA"/>
    <w:rsid w:val="00A3651A"/>
    <w:rsid w:val="00A367D5"/>
    <w:rsid w:val="00A367E2"/>
    <w:rsid w:val="00A3686D"/>
    <w:rsid w:val="00A3692B"/>
    <w:rsid w:val="00A36AC0"/>
    <w:rsid w:val="00A36B73"/>
    <w:rsid w:val="00A36B9F"/>
    <w:rsid w:val="00A36BD7"/>
    <w:rsid w:val="00A36D96"/>
    <w:rsid w:val="00A36F23"/>
    <w:rsid w:val="00A3709A"/>
    <w:rsid w:val="00A37495"/>
    <w:rsid w:val="00A37508"/>
    <w:rsid w:val="00A3756F"/>
    <w:rsid w:val="00A3762D"/>
    <w:rsid w:val="00A376FC"/>
    <w:rsid w:val="00A37B5C"/>
    <w:rsid w:val="00A37BA4"/>
    <w:rsid w:val="00A37EA5"/>
    <w:rsid w:val="00A37F51"/>
    <w:rsid w:val="00A37F74"/>
    <w:rsid w:val="00A4009A"/>
    <w:rsid w:val="00A4023D"/>
    <w:rsid w:val="00A40342"/>
    <w:rsid w:val="00A4041C"/>
    <w:rsid w:val="00A40537"/>
    <w:rsid w:val="00A406B7"/>
    <w:rsid w:val="00A406E6"/>
    <w:rsid w:val="00A40725"/>
    <w:rsid w:val="00A40764"/>
    <w:rsid w:val="00A40793"/>
    <w:rsid w:val="00A407A2"/>
    <w:rsid w:val="00A407BF"/>
    <w:rsid w:val="00A409AB"/>
    <w:rsid w:val="00A409BE"/>
    <w:rsid w:val="00A40A91"/>
    <w:rsid w:val="00A40AB4"/>
    <w:rsid w:val="00A40BFD"/>
    <w:rsid w:val="00A40D4F"/>
    <w:rsid w:val="00A40F9E"/>
    <w:rsid w:val="00A41246"/>
    <w:rsid w:val="00A4149C"/>
    <w:rsid w:val="00A414DC"/>
    <w:rsid w:val="00A41636"/>
    <w:rsid w:val="00A416F3"/>
    <w:rsid w:val="00A417B7"/>
    <w:rsid w:val="00A4180B"/>
    <w:rsid w:val="00A4198F"/>
    <w:rsid w:val="00A419D9"/>
    <w:rsid w:val="00A419EC"/>
    <w:rsid w:val="00A41A99"/>
    <w:rsid w:val="00A420CB"/>
    <w:rsid w:val="00A42211"/>
    <w:rsid w:val="00A422A1"/>
    <w:rsid w:val="00A42596"/>
    <w:rsid w:val="00A429E9"/>
    <w:rsid w:val="00A42AC3"/>
    <w:rsid w:val="00A42C56"/>
    <w:rsid w:val="00A42D39"/>
    <w:rsid w:val="00A42DAE"/>
    <w:rsid w:val="00A42DCA"/>
    <w:rsid w:val="00A42E3C"/>
    <w:rsid w:val="00A42E87"/>
    <w:rsid w:val="00A42ED9"/>
    <w:rsid w:val="00A43083"/>
    <w:rsid w:val="00A43102"/>
    <w:rsid w:val="00A4313A"/>
    <w:rsid w:val="00A43151"/>
    <w:rsid w:val="00A4318C"/>
    <w:rsid w:val="00A4337F"/>
    <w:rsid w:val="00A4365C"/>
    <w:rsid w:val="00A43927"/>
    <w:rsid w:val="00A43A79"/>
    <w:rsid w:val="00A43B22"/>
    <w:rsid w:val="00A43B68"/>
    <w:rsid w:val="00A43E81"/>
    <w:rsid w:val="00A44200"/>
    <w:rsid w:val="00A44264"/>
    <w:rsid w:val="00A44350"/>
    <w:rsid w:val="00A444D6"/>
    <w:rsid w:val="00A4462F"/>
    <w:rsid w:val="00A4487E"/>
    <w:rsid w:val="00A44B2E"/>
    <w:rsid w:val="00A44B73"/>
    <w:rsid w:val="00A44CCB"/>
    <w:rsid w:val="00A44D3D"/>
    <w:rsid w:val="00A44DD1"/>
    <w:rsid w:val="00A44F65"/>
    <w:rsid w:val="00A4501A"/>
    <w:rsid w:val="00A4502F"/>
    <w:rsid w:val="00A45092"/>
    <w:rsid w:val="00A4527B"/>
    <w:rsid w:val="00A452A7"/>
    <w:rsid w:val="00A452F2"/>
    <w:rsid w:val="00A454F9"/>
    <w:rsid w:val="00A45647"/>
    <w:rsid w:val="00A45666"/>
    <w:rsid w:val="00A45750"/>
    <w:rsid w:val="00A45ADC"/>
    <w:rsid w:val="00A45C1E"/>
    <w:rsid w:val="00A45D38"/>
    <w:rsid w:val="00A45D5E"/>
    <w:rsid w:val="00A4624D"/>
    <w:rsid w:val="00A4625D"/>
    <w:rsid w:val="00A46348"/>
    <w:rsid w:val="00A46470"/>
    <w:rsid w:val="00A46569"/>
    <w:rsid w:val="00A4669C"/>
    <w:rsid w:val="00A46AD2"/>
    <w:rsid w:val="00A46E1B"/>
    <w:rsid w:val="00A46E54"/>
    <w:rsid w:val="00A46F4D"/>
    <w:rsid w:val="00A47072"/>
    <w:rsid w:val="00A4707A"/>
    <w:rsid w:val="00A471B1"/>
    <w:rsid w:val="00A471B6"/>
    <w:rsid w:val="00A47337"/>
    <w:rsid w:val="00A47371"/>
    <w:rsid w:val="00A474C8"/>
    <w:rsid w:val="00A47680"/>
    <w:rsid w:val="00A4768A"/>
    <w:rsid w:val="00A47998"/>
    <w:rsid w:val="00A47AF2"/>
    <w:rsid w:val="00A47B5C"/>
    <w:rsid w:val="00A47CF9"/>
    <w:rsid w:val="00A47E96"/>
    <w:rsid w:val="00A47F29"/>
    <w:rsid w:val="00A47FB9"/>
    <w:rsid w:val="00A5005E"/>
    <w:rsid w:val="00A50618"/>
    <w:rsid w:val="00A50688"/>
    <w:rsid w:val="00A50758"/>
    <w:rsid w:val="00A507BA"/>
    <w:rsid w:val="00A5086F"/>
    <w:rsid w:val="00A50EA3"/>
    <w:rsid w:val="00A50FAF"/>
    <w:rsid w:val="00A5128C"/>
    <w:rsid w:val="00A51339"/>
    <w:rsid w:val="00A51399"/>
    <w:rsid w:val="00A514AE"/>
    <w:rsid w:val="00A51733"/>
    <w:rsid w:val="00A519F5"/>
    <w:rsid w:val="00A51AEA"/>
    <w:rsid w:val="00A51B9A"/>
    <w:rsid w:val="00A51E1D"/>
    <w:rsid w:val="00A521CA"/>
    <w:rsid w:val="00A521E9"/>
    <w:rsid w:val="00A522B9"/>
    <w:rsid w:val="00A523D7"/>
    <w:rsid w:val="00A52744"/>
    <w:rsid w:val="00A52782"/>
    <w:rsid w:val="00A52788"/>
    <w:rsid w:val="00A528BD"/>
    <w:rsid w:val="00A529C7"/>
    <w:rsid w:val="00A52A61"/>
    <w:rsid w:val="00A5309D"/>
    <w:rsid w:val="00A530B2"/>
    <w:rsid w:val="00A5317A"/>
    <w:rsid w:val="00A53200"/>
    <w:rsid w:val="00A53369"/>
    <w:rsid w:val="00A533DD"/>
    <w:rsid w:val="00A53456"/>
    <w:rsid w:val="00A535B0"/>
    <w:rsid w:val="00A5369A"/>
    <w:rsid w:val="00A53E8E"/>
    <w:rsid w:val="00A54089"/>
    <w:rsid w:val="00A540E9"/>
    <w:rsid w:val="00A54162"/>
    <w:rsid w:val="00A5423D"/>
    <w:rsid w:val="00A544EA"/>
    <w:rsid w:val="00A5454A"/>
    <w:rsid w:val="00A54597"/>
    <w:rsid w:val="00A545B9"/>
    <w:rsid w:val="00A54651"/>
    <w:rsid w:val="00A5468F"/>
    <w:rsid w:val="00A546ED"/>
    <w:rsid w:val="00A5472B"/>
    <w:rsid w:val="00A54772"/>
    <w:rsid w:val="00A54808"/>
    <w:rsid w:val="00A54879"/>
    <w:rsid w:val="00A548DF"/>
    <w:rsid w:val="00A54CCA"/>
    <w:rsid w:val="00A54E30"/>
    <w:rsid w:val="00A552E3"/>
    <w:rsid w:val="00A55380"/>
    <w:rsid w:val="00A554A0"/>
    <w:rsid w:val="00A554C0"/>
    <w:rsid w:val="00A554CC"/>
    <w:rsid w:val="00A55644"/>
    <w:rsid w:val="00A5576E"/>
    <w:rsid w:val="00A5594E"/>
    <w:rsid w:val="00A55BA3"/>
    <w:rsid w:val="00A55CAE"/>
    <w:rsid w:val="00A55D8F"/>
    <w:rsid w:val="00A55FA1"/>
    <w:rsid w:val="00A55FF7"/>
    <w:rsid w:val="00A561A6"/>
    <w:rsid w:val="00A562C2"/>
    <w:rsid w:val="00A563FD"/>
    <w:rsid w:val="00A563FE"/>
    <w:rsid w:val="00A564D4"/>
    <w:rsid w:val="00A565B3"/>
    <w:rsid w:val="00A5669F"/>
    <w:rsid w:val="00A567DE"/>
    <w:rsid w:val="00A567E5"/>
    <w:rsid w:val="00A56857"/>
    <w:rsid w:val="00A5695F"/>
    <w:rsid w:val="00A56A33"/>
    <w:rsid w:val="00A56B85"/>
    <w:rsid w:val="00A56BA6"/>
    <w:rsid w:val="00A56C45"/>
    <w:rsid w:val="00A56D30"/>
    <w:rsid w:val="00A56E96"/>
    <w:rsid w:val="00A56F73"/>
    <w:rsid w:val="00A5708B"/>
    <w:rsid w:val="00A57146"/>
    <w:rsid w:val="00A57147"/>
    <w:rsid w:val="00A5719A"/>
    <w:rsid w:val="00A57407"/>
    <w:rsid w:val="00A578C0"/>
    <w:rsid w:val="00A57942"/>
    <w:rsid w:val="00A57A82"/>
    <w:rsid w:val="00A57AE6"/>
    <w:rsid w:val="00A57B41"/>
    <w:rsid w:val="00A57D7B"/>
    <w:rsid w:val="00A57E22"/>
    <w:rsid w:val="00A60035"/>
    <w:rsid w:val="00A600E8"/>
    <w:rsid w:val="00A6015B"/>
    <w:rsid w:val="00A60194"/>
    <w:rsid w:val="00A6038D"/>
    <w:rsid w:val="00A60426"/>
    <w:rsid w:val="00A6064F"/>
    <w:rsid w:val="00A60882"/>
    <w:rsid w:val="00A60B71"/>
    <w:rsid w:val="00A60BE6"/>
    <w:rsid w:val="00A60DB8"/>
    <w:rsid w:val="00A60DFC"/>
    <w:rsid w:val="00A61314"/>
    <w:rsid w:val="00A61474"/>
    <w:rsid w:val="00A6174C"/>
    <w:rsid w:val="00A61AA8"/>
    <w:rsid w:val="00A61C11"/>
    <w:rsid w:val="00A61D3E"/>
    <w:rsid w:val="00A61DDA"/>
    <w:rsid w:val="00A61DF2"/>
    <w:rsid w:val="00A61E27"/>
    <w:rsid w:val="00A61EB0"/>
    <w:rsid w:val="00A61F92"/>
    <w:rsid w:val="00A62263"/>
    <w:rsid w:val="00A622EA"/>
    <w:rsid w:val="00A62B4A"/>
    <w:rsid w:val="00A62B75"/>
    <w:rsid w:val="00A63127"/>
    <w:rsid w:val="00A632B5"/>
    <w:rsid w:val="00A63336"/>
    <w:rsid w:val="00A63345"/>
    <w:rsid w:val="00A6343A"/>
    <w:rsid w:val="00A6373C"/>
    <w:rsid w:val="00A63871"/>
    <w:rsid w:val="00A63A4F"/>
    <w:rsid w:val="00A63A7A"/>
    <w:rsid w:val="00A63DDC"/>
    <w:rsid w:val="00A640DC"/>
    <w:rsid w:val="00A64199"/>
    <w:rsid w:val="00A641F6"/>
    <w:rsid w:val="00A64326"/>
    <w:rsid w:val="00A64444"/>
    <w:rsid w:val="00A64446"/>
    <w:rsid w:val="00A64451"/>
    <w:rsid w:val="00A64490"/>
    <w:rsid w:val="00A644A7"/>
    <w:rsid w:val="00A6491D"/>
    <w:rsid w:val="00A64AAA"/>
    <w:rsid w:val="00A64C9E"/>
    <w:rsid w:val="00A64D14"/>
    <w:rsid w:val="00A64D67"/>
    <w:rsid w:val="00A64DAA"/>
    <w:rsid w:val="00A64F12"/>
    <w:rsid w:val="00A65091"/>
    <w:rsid w:val="00A65215"/>
    <w:rsid w:val="00A65266"/>
    <w:rsid w:val="00A652A6"/>
    <w:rsid w:val="00A653E6"/>
    <w:rsid w:val="00A65417"/>
    <w:rsid w:val="00A65498"/>
    <w:rsid w:val="00A654CD"/>
    <w:rsid w:val="00A6559F"/>
    <w:rsid w:val="00A65600"/>
    <w:rsid w:val="00A6560E"/>
    <w:rsid w:val="00A656A7"/>
    <w:rsid w:val="00A6575F"/>
    <w:rsid w:val="00A65853"/>
    <w:rsid w:val="00A65904"/>
    <w:rsid w:val="00A65A17"/>
    <w:rsid w:val="00A65A2D"/>
    <w:rsid w:val="00A65B76"/>
    <w:rsid w:val="00A65FAE"/>
    <w:rsid w:val="00A65FEE"/>
    <w:rsid w:val="00A660C2"/>
    <w:rsid w:val="00A660DF"/>
    <w:rsid w:val="00A66117"/>
    <w:rsid w:val="00A66187"/>
    <w:rsid w:val="00A663A5"/>
    <w:rsid w:val="00A664F7"/>
    <w:rsid w:val="00A66565"/>
    <w:rsid w:val="00A6670A"/>
    <w:rsid w:val="00A667DE"/>
    <w:rsid w:val="00A66890"/>
    <w:rsid w:val="00A6691A"/>
    <w:rsid w:val="00A66954"/>
    <w:rsid w:val="00A66D5C"/>
    <w:rsid w:val="00A66DB4"/>
    <w:rsid w:val="00A66F24"/>
    <w:rsid w:val="00A6702E"/>
    <w:rsid w:val="00A671C1"/>
    <w:rsid w:val="00A67534"/>
    <w:rsid w:val="00A6761D"/>
    <w:rsid w:val="00A67A0D"/>
    <w:rsid w:val="00A67A96"/>
    <w:rsid w:val="00A67B08"/>
    <w:rsid w:val="00A67B57"/>
    <w:rsid w:val="00A67C70"/>
    <w:rsid w:val="00A67DAB"/>
    <w:rsid w:val="00A67DBB"/>
    <w:rsid w:val="00A67F7E"/>
    <w:rsid w:val="00A70071"/>
    <w:rsid w:val="00A700D5"/>
    <w:rsid w:val="00A70232"/>
    <w:rsid w:val="00A70253"/>
    <w:rsid w:val="00A702A5"/>
    <w:rsid w:val="00A70319"/>
    <w:rsid w:val="00A7031A"/>
    <w:rsid w:val="00A703CF"/>
    <w:rsid w:val="00A70475"/>
    <w:rsid w:val="00A707DC"/>
    <w:rsid w:val="00A708B7"/>
    <w:rsid w:val="00A70C13"/>
    <w:rsid w:val="00A70CC7"/>
    <w:rsid w:val="00A70F73"/>
    <w:rsid w:val="00A71227"/>
    <w:rsid w:val="00A71339"/>
    <w:rsid w:val="00A718F3"/>
    <w:rsid w:val="00A71A8A"/>
    <w:rsid w:val="00A71AAC"/>
    <w:rsid w:val="00A71BFD"/>
    <w:rsid w:val="00A71D1C"/>
    <w:rsid w:val="00A71EA8"/>
    <w:rsid w:val="00A71F9D"/>
    <w:rsid w:val="00A72009"/>
    <w:rsid w:val="00A722F4"/>
    <w:rsid w:val="00A72328"/>
    <w:rsid w:val="00A724BA"/>
    <w:rsid w:val="00A72511"/>
    <w:rsid w:val="00A72523"/>
    <w:rsid w:val="00A727D1"/>
    <w:rsid w:val="00A72835"/>
    <w:rsid w:val="00A7292B"/>
    <w:rsid w:val="00A72946"/>
    <w:rsid w:val="00A72988"/>
    <w:rsid w:val="00A72989"/>
    <w:rsid w:val="00A72C3F"/>
    <w:rsid w:val="00A72E1C"/>
    <w:rsid w:val="00A72F26"/>
    <w:rsid w:val="00A730F7"/>
    <w:rsid w:val="00A73295"/>
    <w:rsid w:val="00A7338C"/>
    <w:rsid w:val="00A7362A"/>
    <w:rsid w:val="00A73681"/>
    <w:rsid w:val="00A73747"/>
    <w:rsid w:val="00A7399B"/>
    <w:rsid w:val="00A73B2D"/>
    <w:rsid w:val="00A73C09"/>
    <w:rsid w:val="00A73C26"/>
    <w:rsid w:val="00A73D4E"/>
    <w:rsid w:val="00A73F9A"/>
    <w:rsid w:val="00A741A2"/>
    <w:rsid w:val="00A7424E"/>
    <w:rsid w:val="00A745BB"/>
    <w:rsid w:val="00A745CC"/>
    <w:rsid w:val="00A74617"/>
    <w:rsid w:val="00A74622"/>
    <w:rsid w:val="00A74979"/>
    <w:rsid w:val="00A749AE"/>
    <w:rsid w:val="00A74AE9"/>
    <w:rsid w:val="00A74B00"/>
    <w:rsid w:val="00A75154"/>
    <w:rsid w:val="00A75302"/>
    <w:rsid w:val="00A753F3"/>
    <w:rsid w:val="00A755D2"/>
    <w:rsid w:val="00A75621"/>
    <w:rsid w:val="00A7562F"/>
    <w:rsid w:val="00A757DE"/>
    <w:rsid w:val="00A75A9B"/>
    <w:rsid w:val="00A75AC7"/>
    <w:rsid w:val="00A75AD3"/>
    <w:rsid w:val="00A75CBB"/>
    <w:rsid w:val="00A75CD1"/>
    <w:rsid w:val="00A75DA6"/>
    <w:rsid w:val="00A76180"/>
    <w:rsid w:val="00A76255"/>
    <w:rsid w:val="00A76290"/>
    <w:rsid w:val="00A762CC"/>
    <w:rsid w:val="00A76353"/>
    <w:rsid w:val="00A763A0"/>
    <w:rsid w:val="00A76718"/>
    <w:rsid w:val="00A76795"/>
    <w:rsid w:val="00A76A10"/>
    <w:rsid w:val="00A76A86"/>
    <w:rsid w:val="00A76AC7"/>
    <w:rsid w:val="00A76B8C"/>
    <w:rsid w:val="00A76C24"/>
    <w:rsid w:val="00A76C32"/>
    <w:rsid w:val="00A76EB3"/>
    <w:rsid w:val="00A770A9"/>
    <w:rsid w:val="00A77141"/>
    <w:rsid w:val="00A77278"/>
    <w:rsid w:val="00A773F2"/>
    <w:rsid w:val="00A77412"/>
    <w:rsid w:val="00A774FC"/>
    <w:rsid w:val="00A77593"/>
    <w:rsid w:val="00A776EA"/>
    <w:rsid w:val="00A7771F"/>
    <w:rsid w:val="00A77831"/>
    <w:rsid w:val="00A7787A"/>
    <w:rsid w:val="00A778C5"/>
    <w:rsid w:val="00A77C5F"/>
    <w:rsid w:val="00A77DCA"/>
    <w:rsid w:val="00A77EFF"/>
    <w:rsid w:val="00A77F32"/>
    <w:rsid w:val="00A80046"/>
    <w:rsid w:val="00A80097"/>
    <w:rsid w:val="00A80103"/>
    <w:rsid w:val="00A8023A"/>
    <w:rsid w:val="00A8033B"/>
    <w:rsid w:val="00A8040A"/>
    <w:rsid w:val="00A80825"/>
    <w:rsid w:val="00A80915"/>
    <w:rsid w:val="00A80A58"/>
    <w:rsid w:val="00A80C14"/>
    <w:rsid w:val="00A80D07"/>
    <w:rsid w:val="00A80DB4"/>
    <w:rsid w:val="00A80EDF"/>
    <w:rsid w:val="00A81074"/>
    <w:rsid w:val="00A81449"/>
    <w:rsid w:val="00A814C3"/>
    <w:rsid w:val="00A814E1"/>
    <w:rsid w:val="00A814F9"/>
    <w:rsid w:val="00A815B1"/>
    <w:rsid w:val="00A81917"/>
    <w:rsid w:val="00A81935"/>
    <w:rsid w:val="00A81AA2"/>
    <w:rsid w:val="00A81CC9"/>
    <w:rsid w:val="00A81E63"/>
    <w:rsid w:val="00A81F8E"/>
    <w:rsid w:val="00A8209D"/>
    <w:rsid w:val="00A82103"/>
    <w:rsid w:val="00A8226E"/>
    <w:rsid w:val="00A824C2"/>
    <w:rsid w:val="00A82628"/>
    <w:rsid w:val="00A82A33"/>
    <w:rsid w:val="00A82AB9"/>
    <w:rsid w:val="00A82B02"/>
    <w:rsid w:val="00A82C76"/>
    <w:rsid w:val="00A82CBA"/>
    <w:rsid w:val="00A82ECA"/>
    <w:rsid w:val="00A8309D"/>
    <w:rsid w:val="00A830DF"/>
    <w:rsid w:val="00A83143"/>
    <w:rsid w:val="00A831D1"/>
    <w:rsid w:val="00A8339C"/>
    <w:rsid w:val="00A8353F"/>
    <w:rsid w:val="00A835E2"/>
    <w:rsid w:val="00A8378A"/>
    <w:rsid w:val="00A83A13"/>
    <w:rsid w:val="00A83A7A"/>
    <w:rsid w:val="00A83BB9"/>
    <w:rsid w:val="00A83D81"/>
    <w:rsid w:val="00A83EF5"/>
    <w:rsid w:val="00A83F31"/>
    <w:rsid w:val="00A8419C"/>
    <w:rsid w:val="00A842F0"/>
    <w:rsid w:val="00A84379"/>
    <w:rsid w:val="00A843C8"/>
    <w:rsid w:val="00A843EB"/>
    <w:rsid w:val="00A84616"/>
    <w:rsid w:val="00A846F1"/>
    <w:rsid w:val="00A84708"/>
    <w:rsid w:val="00A84959"/>
    <w:rsid w:val="00A84ABE"/>
    <w:rsid w:val="00A84C9E"/>
    <w:rsid w:val="00A84D3A"/>
    <w:rsid w:val="00A84F79"/>
    <w:rsid w:val="00A85013"/>
    <w:rsid w:val="00A850EB"/>
    <w:rsid w:val="00A852B1"/>
    <w:rsid w:val="00A85434"/>
    <w:rsid w:val="00A85549"/>
    <w:rsid w:val="00A8556D"/>
    <w:rsid w:val="00A857F4"/>
    <w:rsid w:val="00A85A37"/>
    <w:rsid w:val="00A85ABA"/>
    <w:rsid w:val="00A85C77"/>
    <w:rsid w:val="00A85D41"/>
    <w:rsid w:val="00A85EE5"/>
    <w:rsid w:val="00A8608D"/>
    <w:rsid w:val="00A86125"/>
    <w:rsid w:val="00A862D3"/>
    <w:rsid w:val="00A864CA"/>
    <w:rsid w:val="00A86556"/>
    <w:rsid w:val="00A86713"/>
    <w:rsid w:val="00A8680E"/>
    <w:rsid w:val="00A86837"/>
    <w:rsid w:val="00A86950"/>
    <w:rsid w:val="00A869DE"/>
    <w:rsid w:val="00A86AFF"/>
    <w:rsid w:val="00A86B97"/>
    <w:rsid w:val="00A86C01"/>
    <w:rsid w:val="00A86DF0"/>
    <w:rsid w:val="00A86FA9"/>
    <w:rsid w:val="00A870B0"/>
    <w:rsid w:val="00A87165"/>
    <w:rsid w:val="00A87172"/>
    <w:rsid w:val="00A873F7"/>
    <w:rsid w:val="00A873F8"/>
    <w:rsid w:val="00A87541"/>
    <w:rsid w:val="00A87859"/>
    <w:rsid w:val="00A87B8B"/>
    <w:rsid w:val="00A87BF5"/>
    <w:rsid w:val="00A87E86"/>
    <w:rsid w:val="00A87F8A"/>
    <w:rsid w:val="00A9008B"/>
    <w:rsid w:val="00A90181"/>
    <w:rsid w:val="00A90480"/>
    <w:rsid w:val="00A90527"/>
    <w:rsid w:val="00A905F1"/>
    <w:rsid w:val="00A90691"/>
    <w:rsid w:val="00A90828"/>
    <w:rsid w:val="00A90848"/>
    <w:rsid w:val="00A90982"/>
    <w:rsid w:val="00A909EC"/>
    <w:rsid w:val="00A90A83"/>
    <w:rsid w:val="00A90C9F"/>
    <w:rsid w:val="00A90DC8"/>
    <w:rsid w:val="00A90F44"/>
    <w:rsid w:val="00A910FA"/>
    <w:rsid w:val="00A9110F"/>
    <w:rsid w:val="00A91255"/>
    <w:rsid w:val="00A914E1"/>
    <w:rsid w:val="00A9155C"/>
    <w:rsid w:val="00A9185C"/>
    <w:rsid w:val="00A91C31"/>
    <w:rsid w:val="00A91F5C"/>
    <w:rsid w:val="00A92034"/>
    <w:rsid w:val="00A920E8"/>
    <w:rsid w:val="00A92254"/>
    <w:rsid w:val="00A92306"/>
    <w:rsid w:val="00A92493"/>
    <w:rsid w:val="00A9249B"/>
    <w:rsid w:val="00A924D6"/>
    <w:rsid w:val="00A92521"/>
    <w:rsid w:val="00A92620"/>
    <w:rsid w:val="00A92685"/>
    <w:rsid w:val="00A92739"/>
    <w:rsid w:val="00A928DD"/>
    <w:rsid w:val="00A92A93"/>
    <w:rsid w:val="00A92B99"/>
    <w:rsid w:val="00A92C52"/>
    <w:rsid w:val="00A92CAB"/>
    <w:rsid w:val="00A92E13"/>
    <w:rsid w:val="00A92EC9"/>
    <w:rsid w:val="00A92EED"/>
    <w:rsid w:val="00A92F0A"/>
    <w:rsid w:val="00A93467"/>
    <w:rsid w:val="00A93678"/>
    <w:rsid w:val="00A93684"/>
    <w:rsid w:val="00A93993"/>
    <w:rsid w:val="00A93A08"/>
    <w:rsid w:val="00A93C4F"/>
    <w:rsid w:val="00A93E01"/>
    <w:rsid w:val="00A93F00"/>
    <w:rsid w:val="00A93F78"/>
    <w:rsid w:val="00A9404D"/>
    <w:rsid w:val="00A9408D"/>
    <w:rsid w:val="00A94232"/>
    <w:rsid w:val="00A94242"/>
    <w:rsid w:val="00A9433D"/>
    <w:rsid w:val="00A94361"/>
    <w:rsid w:val="00A944B8"/>
    <w:rsid w:val="00A9451A"/>
    <w:rsid w:val="00A9468A"/>
    <w:rsid w:val="00A94748"/>
    <w:rsid w:val="00A9492B"/>
    <w:rsid w:val="00A94972"/>
    <w:rsid w:val="00A94B26"/>
    <w:rsid w:val="00A94B45"/>
    <w:rsid w:val="00A94D4E"/>
    <w:rsid w:val="00A94E66"/>
    <w:rsid w:val="00A95015"/>
    <w:rsid w:val="00A9502E"/>
    <w:rsid w:val="00A95129"/>
    <w:rsid w:val="00A951FC"/>
    <w:rsid w:val="00A953FC"/>
    <w:rsid w:val="00A9545D"/>
    <w:rsid w:val="00A954D4"/>
    <w:rsid w:val="00A956C1"/>
    <w:rsid w:val="00A957A4"/>
    <w:rsid w:val="00A957E8"/>
    <w:rsid w:val="00A957F5"/>
    <w:rsid w:val="00A9582F"/>
    <w:rsid w:val="00A95A1A"/>
    <w:rsid w:val="00A95A99"/>
    <w:rsid w:val="00A95BF1"/>
    <w:rsid w:val="00A95C63"/>
    <w:rsid w:val="00A9606D"/>
    <w:rsid w:val="00A96074"/>
    <w:rsid w:val="00A9607B"/>
    <w:rsid w:val="00A96342"/>
    <w:rsid w:val="00A96559"/>
    <w:rsid w:val="00A96626"/>
    <w:rsid w:val="00A9670E"/>
    <w:rsid w:val="00A967B4"/>
    <w:rsid w:val="00A96811"/>
    <w:rsid w:val="00A9683C"/>
    <w:rsid w:val="00A96961"/>
    <w:rsid w:val="00A96A9A"/>
    <w:rsid w:val="00A96F5B"/>
    <w:rsid w:val="00A972E2"/>
    <w:rsid w:val="00A97342"/>
    <w:rsid w:val="00A97512"/>
    <w:rsid w:val="00A97991"/>
    <w:rsid w:val="00A979AB"/>
    <w:rsid w:val="00A979FA"/>
    <w:rsid w:val="00A97B93"/>
    <w:rsid w:val="00A97BC5"/>
    <w:rsid w:val="00A97C8A"/>
    <w:rsid w:val="00A97DA1"/>
    <w:rsid w:val="00A97E0E"/>
    <w:rsid w:val="00A97F02"/>
    <w:rsid w:val="00A97F1E"/>
    <w:rsid w:val="00AA01F2"/>
    <w:rsid w:val="00AA044A"/>
    <w:rsid w:val="00AA0468"/>
    <w:rsid w:val="00AA0487"/>
    <w:rsid w:val="00AA055E"/>
    <w:rsid w:val="00AA0B10"/>
    <w:rsid w:val="00AA0D68"/>
    <w:rsid w:val="00AA0FA7"/>
    <w:rsid w:val="00AA1090"/>
    <w:rsid w:val="00AA1371"/>
    <w:rsid w:val="00AA144C"/>
    <w:rsid w:val="00AA1454"/>
    <w:rsid w:val="00AA16DF"/>
    <w:rsid w:val="00AA182E"/>
    <w:rsid w:val="00AA18F0"/>
    <w:rsid w:val="00AA198E"/>
    <w:rsid w:val="00AA1A64"/>
    <w:rsid w:val="00AA1A7B"/>
    <w:rsid w:val="00AA1ABA"/>
    <w:rsid w:val="00AA1E0E"/>
    <w:rsid w:val="00AA1E1F"/>
    <w:rsid w:val="00AA1F73"/>
    <w:rsid w:val="00AA203C"/>
    <w:rsid w:val="00AA205D"/>
    <w:rsid w:val="00AA23E7"/>
    <w:rsid w:val="00AA2486"/>
    <w:rsid w:val="00AA24F5"/>
    <w:rsid w:val="00AA25DF"/>
    <w:rsid w:val="00AA2674"/>
    <w:rsid w:val="00AA2712"/>
    <w:rsid w:val="00AA2B04"/>
    <w:rsid w:val="00AA3150"/>
    <w:rsid w:val="00AA3206"/>
    <w:rsid w:val="00AA352D"/>
    <w:rsid w:val="00AA3533"/>
    <w:rsid w:val="00AA3771"/>
    <w:rsid w:val="00AA37D1"/>
    <w:rsid w:val="00AA3822"/>
    <w:rsid w:val="00AA3848"/>
    <w:rsid w:val="00AA3992"/>
    <w:rsid w:val="00AA3995"/>
    <w:rsid w:val="00AA39FD"/>
    <w:rsid w:val="00AA3B34"/>
    <w:rsid w:val="00AA3B7C"/>
    <w:rsid w:val="00AA3D9E"/>
    <w:rsid w:val="00AA3DE5"/>
    <w:rsid w:val="00AA3EFD"/>
    <w:rsid w:val="00AA42AE"/>
    <w:rsid w:val="00AA466A"/>
    <w:rsid w:val="00AA46D6"/>
    <w:rsid w:val="00AA471B"/>
    <w:rsid w:val="00AA47D0"/>
    <w:rsid w:val="00AA4845"/>
    <w:rsid w:val="00AA487B"/>
    <w:rsid w:val="00AA4B29"/>
    <w:rsid w:val="00AA4F49"/>
    <w:rsid w:val="00AA4FE1"/>
    <w:rsid w:val="00AA514C"/>
    <w:rsid w:val="00AA5275"/>
    <w:rsid w:val="00AA5385"/>
    <w:rsid w:val="00AA55AF"/>
    <w:rsid w:val="00AA571C"/>
    <w:rsid w:val="00AA5813"/>
    <w:rsid w:val="00AA5B75"/>
    <w:rsid w:val="00AA5E3C"/>
    <w:rsid w:val="00AA5E56"/>
    <w:rsid w:val="00AA609C"/>
    <w:rsid w:val="00AA6422"/>
    <w:rsid w:val="00AA65FD"/>
    <w:rsid w:val="00AA67F0"/>
    <w:rsid w:val="00AA67F1"/>
    <w:rsid w:val="00AA6926"/>
    <w:rsid w:val="00AA6A40"/>
    <w:rsid w:val="00AA6ECC"/>
    <w:rsid w:val="00AA6F8E"/>
    <w:rsid w:val="00AA706B"/>
    <w:rsid w:val="00AA7188"/>
    <w:rsid w:val="00AA7447"/>
    <w:rsid w:val="00AA74A8"/>
    <w:rsid w:val="00AA75BC"/>
    <w:rsid w:val="00AA7A28"/>
    <w:rsid w:val="00AA7B47"/>
    <w:rsid w:val="00AA7C7F"/>
    <w:rsid w:val="00AA7C88"/>
    <w:rsid w:val="00AA7DF7"/>
    <w:rsid w:val="00AA7E7D"/>
    <w:rsid w:val="00AA7FE4"/>
    <w:rsid w:val="00AB00B3"/>
    <w:rsid w:val="00AB027A"/>
    <w:rsid w:val="00AB02BE"/>
    <w:rsid w:val="00AB0363"/>
    <w:rsid w:val="00AB0431"/>
    <w:rsid w:val="00AB0437"/>
    <w:rsid w:val="00AB04D6"/>
    <w:rsid w:val="00AB0665"/>
    <w:rsid w:val="00AB08C6"/>
    <w:rsid w:val="00AB08CC"/>
    <w:rsid w:val="00AB0992"/>
    <w:rsid w:val="00AB0A9E"/>
    <w:rsid w:val="00AB0CD9"/>
    <w:rsid w:val="00AB0E96"/>
    <w:rsid w:val="00AB0F44"/>
    <w:rsid w:val="00AB0F5E"/>
    <w:rsid w:val="00AB1191"/>
    <w:rsid w:val="00AB1387"/>
    <w:rsid w:val="00AB1396"/>
    <w:rsid w:val="00AB139D"/>
    <w:rsid w:val="00AB1443"/>
    <w:rsid w:val="00AB1761"/>
    <w:rsid w:val="00AB187D"/>
    <w:rsid w:val="00AB18D9"/>
    <w:rsid w:val="00AB1936"/>
    <w:rsid w:val="00AB1951"/>
    <w:rsid w:val="00AB1B33"/>
    <w:rsid w:val="00AB1D11"/>
    <w:rsid w:val="00AB1EE0"/>
    <w:rsid w:val="00AB1FCE"/>
    <w:rsid w:val="00AB20E7"/>
    <w:rsid w:val="00AB253B"/>
    <w:rsid w:val="00AB25C1"/>
    <w:rsid w:val="00AB28A7"/>
    <w:rsid w:val="00AB2A4F"/>
    <w:rsid w:val="00AB2CCE"/>
    <w:rsid w:val="00AB2D68"/>
    <w:rsid w:val="00AB2F1C"/>
    <w:rsid w:val="00AB3019"/>
    <w:rsid w:val="00AB3101"/>
    <w:rsid w:val="00AB314A"/>
    <w:rsid w:val="00AB318E"/>
    <w:rsid w:val="00AB3329"/>
    <w:rsid w:val="00AB343E"/>
    <w:rsid w:val="00AB3444"/>
    <w:rsid w:val="00AB34BF"/>
    <w:rsid w:val="00AB36F5"/>
    <w:rsid w:val="00AB372D"/>
    <w:rsid w:val="00AB38AA"/>
    <w:rsid w:val="00AB3A08"/>
    <w:rsid w:val="00AB3A69"/>
    <w:rsid w:val="00AB3A8B"/>
    <w:rsid w:val="00AB3C2D"/>
    <w:rsid w:val="00AB3CF2"/>
    <w:rsid w:val="00AB3EB6"/>
    <w:rsid w:val="00AB3FC9"/>
    <w:rsid w:val="00AB41EA"/>
    <w:rsid w:val="00AB41FE"/>
    <w:rsid w:val="00AB442A"/>
    <w:rsid w:val="00AB4628"/>
    <w:rsid w:val="00AB464D"/>
    <w:rsid w:val="00AB4666"/>
    <w:rsid w:val="00AB4977"/>
    <w:rsid w:val="00AB497E"/>
    <w:rsid w:val="00AB4EA5"/>
    <w:rsid w:val="00AB4EEB"/>
    <w:rsid w:val="00AB5031"/>
    <w:rsid w:val="00AB50C1"/>
    <w:rsid w:val="00AB51C6"/>
    <w:rsid w:val="00AB57F4"/>
    <w:rsid w:val="00AB5857"/>
    <w:rsid w:val="00AB58CE"/>
    <w:rsid w:val="00AB5D80"/>
    <w:rsid w:val="00AB6175"/>
    <w:rsid w:val="00AB63C7"/>
    <w:rsid w:val="00AB656A"/>
    <w:rsid w:val="00AB6611"/>
    <w:rsid w:val="00AB6634"/>
    <w:rsid w:val="00AB6927"/>
    <w:rsid w:val="00AB6A41"/>
    <w:rsid w:val="00AB6ED1"/>
    <w:rsid w:val="00AB7165"/>
    <w:rsid w:val="00AB7314"/>
    <w:rsid w:val="00AB7625"/>
    <w:rsid w:val="00AB7778"/>
    <w:rsid w:val="00AB77FE"/>
    <w:rsid w:val="00AB7D5F"/>
    <w:rsid w:val="00AB7D78"/>
    <w:rsid w:val="00AC0270"/>
    <w:rsid w:val="00AC0349"/>
    <w:rsid w:val="00AC0415"/>
    <w:rsid w:val="00AC04F4"/>
    <w:rsid w:val="00AC0567"/>
    <w:rsid w:val="00AC05B1"/>
    <w:rsid w:val="00AC0808"/>
    <w:rsid w:val="00AC093A"/>
    <w:rsid w:val="00AC0A43"/>
    <w:rsid w:val="00AC0B4E"/>
    <w:rsid w:val="00AC0C5C"/>
    <w:rsid w:val="00AC0D14"/>
    <w:rsid w:val="00AC0EE9"/>
    <w:rsid w:val="00AC0F17"/>
    <w:rsid w:val="00AC0FB0"/>
    <w:rsid w:val="00AC10D1"/>
    <w:rsid w:val="00AC11A5"/>
    <w:rsid w:val="00AC11C4"/>
    <w:rsid w:val="00AC125F"/>
    <w:rsid w:val="00AC1369"/>
    <w:rsid w:val="00AC1386"/>
    <w:rsid w:val="00AC1396"/>
    <w:rsid w:val="00AC19DB"/>
    <w:rsid w:val="00AC1A58"/>
    <w:rsid w:val="00AC1C47"/>
    <w:rsid w:val="00AC1F27"/>
    <w:rsid w:val="00AC20D4"/>
    <w:rsid w:val="00AC213C"/>
    <w:rsid w:val="00AC2228"/>
    <w:rsid w:val="00AC22C4"/>
    <w:rsid w:val="00AC237F"/>
    <w:rsid w:val="00AC273E"/>
    <w:rsid w:val="00AC2A98"/>
    <w:rsid w:val="00AC2AC4"/>
    <w:rsid w:val="00AC2B9E"/>
    <w:rsid w:val="00AC2C66"/>
    <w:rsid w:val="00AC2F66"/>
    <w:rsid w:val="00AC2FBE"/>
    <w:rsid w:val="00AC324A"/>
    <w:rsid w:val="00AC337D"/>
    <w:rsid w:val="00AC34BB"/>
    <w:rsid w:val="00AC34FC"/>
    <w:rsid w:val="00AC354C"/>
    <w:rsid w:val="00AC360B"/>
    <w:rsid w:val="00AC361B"/>
    <w:rsid w:val="00AC3741"/>
    <w:rsid w:val="00AC3A3A"/>
    <w:rsid w:val="00AC3A47"/>
    <w:rsid w:val="00AC3A49"/>
    <w:rsid w:val="00AC3A7A"/>
    <w:rsid w:val="00AC3B44"/>
    <w:rsid w:val="00AC3C3C"/>
    <w:rsid w:val="00AC3CE2"/>
    <w:rsid w:val="00AC3DB4"/>
    <w:rsid w:val="00AC411B"/>
    <w:rsid w:val="00AC42C4"/>
    <w:rsid w:val="00AC432A"/>
    <w:rsid w:val="00AC434D"/>
    <w:rsid w:val="00AC462B"/>
    <w:rsid w:val="00AC462C"/>
    <w:rsid w:val="00AC46FF"/>
    <w:rsid w:val="00AC4764"/>
    <w:rsid w:val="00AC47A8"/>
    <w:rsid w:val="00AC4901"/>
    <w:rsid w:val="00AC4968"/>
    <w:rsid w:val="00AC4B80"/>
    <w:rsid w:val="00AC4C5E"/>
    <w:rsid w:val="00AC4C93"/>
    <w:rsid w:val="00AC4F02"/>
    <w:rsid w:val="00AC4F96"/>
    <w:rsid w:val="00AC51FA"/>
    <w:rsid w:val="00AC5350"/>
    <w:rsid w:val="00AC5353"/>
    <w:rsid w:val="00AC5384"/>
    <w:rsid w:val="00AC53C5"/>
    <w:rsid w:val="00AC5414"/>
    <w:rsid w:val="00AC55A9"/>
    <w:rsid w:val="00AC569E"/>
    <w:rsid w:val="00AC57C1"/>
    <w:rsid w:val="00AC594E"/>
    <w:rsid w:val="00AC5C5B"/>
    <w:rsid w:val="00AC5D5C"/>
    <w:rsid w:val="00AC6024"/>
    <w:rsid w:val="00AC6201"/>
    <w:rsid w:val="00AC62C6"/>
    <w:rsid w:val="00AC644D"/>
    <w:rsid w:val="00AC64AC"/>
    <w:rsid w:val="00AC66A4"/>
    <w:rsid w:val="00AC6951"/>
    <w:rsid w:val="00AC695A"/>
    <w:rsid w:val="00AC6A6B"/>
    <w:rsid w:val="00AC6C57"/>
    <w:rsid w:val="00AC6E1E"/>
    <w:rsid w:val="00AC6EB6"/>
    <w:rsid w:val="00AC6F3A"/>
    <w:rsid w:val="00AC6FE4"/>
    <w:rsid w:val="00AC7191"/>
    <w:rsid w:val="00AC72DF"/>
    <w:rsid w:val="00AC72FC"/>
    <w:rsid w:val="00AC7996"/>
    <w:rsid w:val="00AC79E1"/>
    <w:rsid w:val="00AC79E8"/>
    <w:rsid w:val="00AC7AFA"/>
    <w:rsid w:val="00AC7C91"/>
    <w:rsid w:val="00AC7E48"/>
    <w:rsid w:val="00AC7E83"/>
    <w:rsid w:val="00AC7F3C"/>
    <w:rsid w:val="00AD015E"/>
    <w:rsid w:val="00AD0249"/>
    <w:rsid w:val="00AD037F"/>
    <w:rsid w:val="00AD05EC"/>
    <w:rsid w:val="00AD0788"/>
    <w:rsid w:val="00AD08FD"/>
    <w:rsid w:val="00AD0B23"/>
    <w:rsid w:val="00AD0D4F"/>
    <w:rsid w:val="00AD0E33"/>
    <w:rsid w:val="00AD0E95"/>
    <w:rsid w:val="00AD0FAD"/>
    <w:rsid w:val="00AD1055"/>
    <w:rsid w:val="00AD128C"/>
    <w:rsid w:val="00AD12CE"/>
    <w:rsid w:val="00AD13DB"/>
    <w:rsid w:val="00AD1447"/>
    <w:rsid w:val="00AD1716"/>
    <w:rsid w:val="00AD1741"/>
    <w:rsid w:val="00AD17BB"/>
    <w:rsid w:val="00AD1899"/>
    <w:rsid w:val="00AD190F"/>
    <w:rsid w:val="00AD1A31"/>
    <w:rsid w:val="00AD1A4A"/>
    <w:rsid w:val="00AD1D92"/>
    <w:rsid w:val="00AD1E32"/>
    <w:rsid w:val="00AD1F4F"/>
    <w:rsid w:val="00AD2162"/>
    <w:rsid w:val="00AD2175"/>
    <w:rsid w:val="00AD2361"/>
    <w:rsid w:val="00AD2370"/>
    <w:rsid w:val="00AD2443"/>
    <w:rsid w:val="00AD2476"/>
    <w:rsid w:val="00AD25EA"/>
    <w:rsid w:val="00AD2933"/>
    <w:rsid w:val="00AD29E7"/>
    <w:rsid w:val="00AD2A77"/>
    <w:rsid w:val="00AD2AE4"/>
    <w:rsid w:val="00AD2BB9"/>
    <w:rsid w:val="00AD2D32"/>
    <w:rsid w:val="00AD3264"/>
    <w:rsid w:val="00AD32B4"/>
    <w:rsid w:val="00AD32B5"/>
    <w:rsid w:val="00AD338E"/>
    <w:rsid w:val="00AD3647"/>
    <w:rsid w:val="00AD3725"/>
    <w:rsid w:val="00AD37A0"/>
    <w:rsid w:val="00AD3889"/>
    <w:rsid w:val="00AD395C"/>
    <w:rsid w:val="00AD3B02"/>
    <w:rsid w:val="00AD3CB6"/>
    <w:rsid w:val="00AD3D0E"/>
    <w:rsid w:val="00AD42DB"/>
    <w:rsid w:val="00AD4484"/>
    <w:rsid w:val="00AD474A"/>
    <w:rsid w:val="00AD49DF"/>
    <w:rsid w:val="00AD4B6C"/>
    <w:rsid w:val="00AD4E86"/>
    <w:rsid w:val="00AD4F8B"/>
    <w:rsid w:val="00AD4FAE"/>
    <w:rsid w:val="00AD50F6"/>
    <w:rsid w:val="00AD52EF"/>
    <w:rsid w:val="00AD5374"/>
    <w:rsid w:val="00AD53CD"/>
    <w:rsid w:val="00AD53EB"/>
    <w:rsid w:val="00AD54DE"/>
    <w:rsid w:val="00AD5622"/>
    <w:rsid w:val="00AD574C"/>
    <w:rsid w:val="00AD5898"/>
    <w:rsid w:val="00AD5B86"/>
    <w:rsid w:val="00AD5D69"/>
    <w:rsid w:val="00AD5F14"/>
    <w:rsid w:val="00AD5FDB"/>
    <w:rsid w:val="00AD60F2"/>
    <w:rsid w:val="00AD60FF"/>
    <w:rsid w:val="00AD6121"/>
    <w:rsid w:val="00AD61BA"/>
    <w:rsid w:val="00AD6270"/>
    <w:rsid w:val="00AD64D4"/>
    <w:rsid w:val="00AD6531"/>
    <w:rsid w:val="00AD6606"/>
    <w:rsid w:val="00AD666F"/>
    <w:rsid w:val="00AD6688"/>
    <w:rsid w:val="00AD6710"/>
    <w:rsid w:val="00AD675F"/>
    <w:rsid w:val="00AD67FF"/>
    <w:rsid w:val="00AD6A65"/>
    <w:rsid w:val="00AD6A70"/>
    <w:rsid w:val="00AD6A77"/>
    <w:rsid w:val="00AD6B25"/>
    <w:rsid w:val="00AD6CD0"/>
    <w:rsid w:val="00AD6ECB"/>
    <w:rsid w:val="00AD7324"/>
    <w:rsid w:val="00AD73B3"/>
    <w:rsid w:val="00AD7523"/>
    <w:rsid w:val="00AD756B"/>
    <w:rsid w:val="00AD788B"/>
    <w:rsid w:val="00AD7BAC"/>
    <w:rsid w:val="00AD7E42"/>
    <w:rsid w:val="00AD7E94"/>
    <w:rsid w:val="00AE0183"/>
    <w:rsid w:val="00AE01A8"/>
    <w:rsid w:val="00AE02D9"/>
    <w:rsid w:val="00AE06DA"/>
    <w:rsid w:val="00AE0714"/>
    <w:rsid w:val="00AE0806"/>
    <w:rsid w:val="00AE0A3D"/>
    <w:rsid w:val="00AE0A95"/>
    <w:rsid w:val="00AE0B5A"/>
    <w:rsid w:val="00AE0BA6"/>
    <w:rsid w:val="00AE0EE0"/>
    <w:rsid w:val="00AE0EEC"/>
    <w:rsid w:val="00AE0F5A"/>
    <w:rsid w:val="00AE0F73"/>
    <w:rsid w:val="00AE10A3"/>
    <w:rsid w:val="00AE10C2"/>
    <w:rsid w:val="00AE123A"/>
    <w:rsid w:val="00AE12F5"/>
    <w:rsid w:val="00AE1300"/>
    <w:rsid w:val="00AE134B"/>
    <w:rsid w:val="00AE142C"/>
    <w:rsid w:val="00AE167A"/>
    <w:rsid w:val="00AE1D55"/>
    <w:rsid w:val="00AE20FF"/>
    <w:rsid w:val="00AE2177"/>
    <w:rsid w:val="00AE2439"/>
    <w:rsid w:val="00AE25A6"/>
    <w:rsid w:val="00AE25B3"/>
    <w:rsid w:val="00AE2650"/>
    <w:rsid w:val="00AE2BCB"/>
    <w:rsid w:val="00AE2CAA"/>
    <w:rsid w:val="00AE2E31"/>
    <w:rsid w:val="00AE2E95"/>
    <w:rsid w:val="00AE2EE7"/>
    <w:rsid w:val="00AE2F9F"/>
    <w:rsid w:val="00AE3149"/>
    <w:rsid w:val="00AE31A4"/>
    <w:rsid w:val="00AE333E"/>
    <w:rsid w:val="00AE3342"/>
    <w:rsid w:val="00AE363F"/>
    <w:rsid w:val="00AE3669"/>
    <w:rsid w:val="00AE379D"/>
    <w:rsid w:val="00AE3801"/>
    <w:rsid w:val="00AE3826"/>
    <w:rsid w:val="00AE3884"/>
    <w:rsid w:val="00AE3904"/>
    <w:rsid w:val="00AE3906"/>
    <w:rsid w:val="00AE3A42"/>
    <w:rsid w:val="00AE3C6B"/>
    <w:rsid w:val="00AE3C93"/>
    <w:rsid w:val="00AE3E18"/>
    <w:rsid w:val="00AE3E44"/>
    <w:rsid w:val="00AE3F66"/>
    <w:rsid w:val="00AE3FE4"/>
    <w:rsid w:val="00AE401C"/>
    <w:rsid w:val="00AE4108"/>
    <w:rsid w:val="00AE4440"/>
    <w:rsid w:val="00AE4600"/>
    <w:rsid w:val="00AE469D"/>
    <w:rsid w:val="00AE46CD"/>
    <w:rsid w:val="00AE47C3"/>
    <w:rsid w:val="00AE47E7"/>
    <w:rsid w:val="00AE4973"/>
    <w:rsid w:val="00AE4AA8"/>
    <w:rsid w:val="00AE4C1B"/>
    <w:rsid w:val="00AE4C93"/>
    <w:rsid w:val="00AE4CF2"/>
    <w:rsid w:val="00AE4D31"/>
    <w:rsid w:val="00AE4E27"/>
    <w:rsid w:val="00AE4EA3"/>
    <w:rsid w:val="00AE5170"/>
    <w:rsid w:val="00AE52FC"/>
    <w:rsid w:val="00AE544B"/>
    <w:rsid w:val="00AE5751"/>
    <w:rsid w:val="00AE5B1A"/>
    <w:rsid w:val="00AE5D53"/>
    <w:rsid w:val="00AE5D6A"/>
    <w:rsid w:val="00AE6116"/>
    <w:rsid w:val="00AE61D8"/>
    <w:rsid w:val="00AE628C"/>
    <w:rsid w:val="00AE6605"/>
    <w:rsid w:val="00AE6733"/>
    <w:rsid w:val="00AE6939"/>
    <w:rsid w:val="00AE6943"/>
    <w:rsid w:val="00AE6BFE"/>
    <w:rsid w:val="00AE6D08"/>
    <w:rsid w:val="00AE6F19"/>
    <w:rsid w:val="00AE6F54"/>
    <w:rsid w:val="00AE6FB4"/>
    <w:rsid w:val="00AE72F1"/>
    <w:rsid w:val="00AE758A"/>
    <w:rsid w:val="00AE76DB"/>
    <w:rsid w:val="00AE7727"/>
    <w:rsid w:val="00AE7894"/>
    <w:rsid w:val="00AE7A55"/>
    <w:rsid w:val="00AE7B3B"/>
    <w:rsid w:val="00AE7DD4"/>
    <w:rsid w:val="00AE7E6D"/>
    <w:rsid w:val="00AE7E8D"/>
    <w:rsid w:val="00AE7ED0"/>
    <w:rsid w:val="00AF03B5"/>
    <w:rsid w:val="00AF0477"/>
    <w:rsid w:val="00AF0567"/>
    <w:rsid w:val="00AF066D"/>
    <w:rsid w:val="00AF06B3"/>
    <w:rsid w:val="00AF074E"/>
    <w:rsid w:val="00AF0766"/>
    <w:rsid w:val="00AF07E7"/>
    <w:rsid w:val="00AF0831"/>
    <w:rsid w:val="00AF089F"/>
    <w:rsid w:val="00AF0B7A"/>
    <w:rsid w:val="00AF0DB3"/>
    <w:rsid w:val="00AF0DD3"/>
    <w:rsid w:val="00AF0E91"/>
    <w:rsid w:val="00AF0EC3"/>
    <w:rsid w:val="00AF0F02"/>
    <w:rsid w:val="00AF0F3B"/>
    <w:rsid w:val="00AF13F5"/>
    <w:rsid w:val="00AF154C"/>
    <w:rsid w:val="00AF18DA"/>
    <w:rsid w:val="00AF193E"/>
    <w:rsid w:val="00AF1C46"/>
    <w:rsid w:val="00AF2146"/>
    <w:rsid w:val="00AF220E"/>
    <w:rsid w:val="00AF255A"/>
    <w:rsid w:val="00AF26FB"/>
    <w:rsid w:val="00AF2712"/>
    <w:rsid w:val="00AF2729"/>
    <w:rsid w:val="00AF2842"/>
    <w:rsid w:val="00AF286C"/>
    <w:rsid w:val="00AF2958"/>
    <w:rsid w:val="00AF29E6"/>
    <w:rsid w:val="00AF2EB9"/>
    <w:rsid w:val="00AF2ED2"/>
    <w:rsid w:val="00AF2F03"/>
    <w:rsid w:val="00AF31B1"/>
    <w:rsid w:val="00AF344E"/>
    <w:rsid w:val="00AF3474"/>
    <w:rsid w:val="00AF34F8"/>
    <w:rsid w:val="00AF36D5"/>
    <w:rsid w:val="00AF3748"/>
    <w:rsid w:val="00AF39F0"/>
    <w:rsid w:val="00AF3A27"/>
    <w:rsid w:val="00AF3B7E"/>
    <w:rsid w:val="00AF3D1F"/>
    <w:rsid w:val="00AF3E55"/>
    <w:rsid w:val="00AF40ED"/>
    <w:rsid w:val="00AF416A"/>
    <w:rsid w:val="00AF42BE"/>
    <w:rsid w:val="00AF460C"/>
    <w:rsid w:val="00AF4744"/>
    <w:rsid w:val="00AF48AD"/>
    <w:rsid w:val="00AF4958"/>
    <w:rsid w:val="00AF4AC9"/>
    <w:rsid w:val="00AF4B11"/>
    <w:rsid w:val="00AF4BD6"/>
    <w:rsid w:val="00AF4C7C"/>
    <w:rsid w:val="00AF4DDB"/>
    <w:rsid w:val="00AF511C"/>
    <w:rsid w:val="00AF541C"/>
    <w:rsid w:val="00AF56EB"/>
    <w:rsid w:val="00AF56ED"/>
    <w:rsid w:val="00AF5B2B"/>
    <w:rsid w:val="00AF5C8D"/>
    <w:rsid w:val="00AF5E48"/>
    <w:rsid w:val="00AF5EEC"/>
    <w:rsid w:val="00AF60C3"/>
    <w:rsid w:val="00AF6163"/>
    <w:rsid w:val="00AF61C2"/>
    <w:rsid w:val="00AF6354"/>
    <w:rsid w:val="00AF645D"/>
    <w:rsid w:val="00AF64B5"/>
    <w:rsid w:val="00AF65DB"/>
    <w:rsid w:val="00AF66DC"/>
    <w:rsid w:val="00AF68A4"/>
    <w:rsid w:val="00AF6E05"/>
    <w:rsid w:val="00AF6E76"/>
    <w:rsid w:val="00AF6FD8"/>
    <w:rsid w:val="00AF705B"/>
    <w:rsid w:val="00AF717C"/>
    <w:rsid w:val="00AF71EC"/>
    <w:rsid w:val="00AF72B6"/>
    <w:rsid w:val="00AF72DF"/>
    <w:rsid w:val="00AF733A"/>
    <w:rsid w:val="00AF73D7"/>
    <w:rsid w:val="00AF759D"/>
    <w:rsid w:val="00AF75C1"/>
    <w:rsid w:val="00AF792D"/>
    <w:rsid w:val="00AF7978"/>
    <w:rsid w:val="00AF79A2"/>
    <w:rsid w:val="00AF7A85"/>
    <w:rsid w:val="00AF7B67"/>
    <w:rsid w:val="00AF7DCA"/>
    <w:rsid w:val="00B0003F"/>
    <w:rsid w:val="00B000C8"/>
    <w:rsid w:val="00B000CD"/>
    <w:rsid w:val="00B00620"/>
    <w:rsid w:val="00B00623"/>
    <w:rsid w:val="00B00789"/>
    <w:rsid w:val="00B007C0"/>
    <w:rsid w:val="00B008FD"/>
    <w:rsid w:val="00B009C0"/>
    <w:rsid w:val="00B00AAB"/>
    <w:rsid w:val="00B00BC5"/>
    <w:rsid w:val="00B00C42"/>
    <w:rsid w:val="00B00C9E"/>
    <w:rsid w:val="00B00CEB"/>
    <w:rsid w:val="00B00D79"/>
    <w:rsid w:val="00B00E41"/>
    <w:rsid w:val="00B00E9F"/>
    <w:rsid w:val="00B01075"/>
    <w:rsid w:val="00B011A3"/>
    <w:rsid w:val="00B011A4"/>
    <w:rsid w:val="00B0126D"/>
    <w:rsid w:val="00B01385"/>
    <w:rsid w:val="00B01432"/>
    <w:rsid w:val="00B01499"/>
    <w:rsid w:val="00B0154B"/>
    <w:rsid w:val="00B016A8"/>
    <w:rsid w:val="00B01710"/>
    <w:rsid w:val="00B0176E"/>
    <w:rsid w:val="00B0196B"/>
    <w:rsid w:val="00B01BBF"/>
    <w:rsid w:val="00B01C38"/>
    <w:rsid w:val="00B01DEA"/>
    <w:rsid w:val="00B01E60"/>
    <w:rsid w:val="00B01F20"/>
    <w:rsid w:val="00B01F54"/>
    <w:rsid w:val="00B01F78"/>
    <w:rsid w:val="00B0215D"/>
    <w:rsid w:val="00B022BE"/>
    <w:rsid w:val="00B022D8"/>
    <w:rsid w:val="00B0261A"/>
    <w:rsid w:val="00B028D8"/>
    <w:rsid w:val="00B029AB"/>
    <w:rsid w:val="00B02A65"/>
    <w:rsid w:val="00B02A87"/>
    <w:rsid w:val="00B02AD5"/>
    <w:rsid w:val="00B02B03"/>
    <w:rsid w:val="00B02BA2"/>
    <w:rsid w:val="00B02BD0"/>
    <w:rsid w:val="00B02C88"/>
    <w:rsid w:val="00B02D8F"/>
    <w:rsid w:val="00B02E3A"/>
    <w:rsid w:val="00B02ED1"/>
    <w:rsid w:val="00B0314E"/>
    <w:rsid w:val="00B03253"/>
    <w:rsid w:val="00B032A6"/>
    <w:rsid w:val="00B033A0"/>
    <w:rsid w:val="00B033B0"/>
    <w:rsid w:val="00B035CD"/>
    <w:rsid w:val="00B03725"/>
    <w:rsid w:val="00B03923"/>
    <w:rsid w:val="00B03BDD"/>
    <w:rsid w:val="00B04033"/>
    <w:rsid w:val="00B04277"/>
    <w:rsid w:val="00B0428F"/>
    <w:rsid w:val="00B0442F"/>
    <w:rsid w:val="00B044BE"/>
    <w:rsid w:val="00B0459F"/>
    <w:rsid w:val="00B045C5"/>
    <w:rsid w:val="00B0482F"/>
    <w:rsid w:val="00B0489E"/>
    <w:rsid w:val="00B04FC5"/>
    <w:rsid w:val="00B05014"/>
    <w:rsid w:val="00B053D2"/>
    <w:rsid w:val="00B05481"/>
    <w:rsid w:val="00B054DB"/>
    <w:rsid w:val="00B05613"/>
    <w:rsid w:val="00B0596B"/>
    <w:rsid w:val="00B05998"/>
    <w:rsid w:val="00B059CE"/>
    <w:rsid w:val="00B05B88"/>
    <w:rsid w:val="00B05ED8"/>
    <w:rsid w:val="00B06256"/>
    <w:rsid w:val="00B066F1"/>
    <w:rsid w:val="00B06737"/>
    <w:rsid w:val="00B0673C"/>
    <w:rsid w:val="00B06936"/>
    <w:rsid w:val="00B06B19"/>
    <w:rsid w:val="00B06B30"/>
    <w:rsid w:val="00B06D6D"/>
    <w:rsid w:val="00B07288"/>
    <w:rsid w:val="00B072DC"/>
    <w:rsid w:val="00B07408"/>
    <w:rsid w:val="00B076C4"/>
    <w:rsid w:val="00B078DA"/>
    <w:rsid w:val="00B07969"/>
    <w:rsid w:val="00B07A61"/>
    <w:rsid w:val="00B07AD5"/>
    <w:rsid w:val="00B07C61"/>
    <w:rsid w:val="00B07E2D"/>
    <w:rsid w:val="00B1002B"/>
    <w:rsid w:val="00B1036B"/>
    <w:rsid w:val="00B10540"/>
    <w:rsid w:val="00B105AE"/>
    <w:rsid w:val="00B1061A"/>
    <w:rsid w:val="00B106F4"/>
    <w:rsid w:val="00B10824"/>
    <w:rsid w:val="00B108EA"/>
    <w:rsid w:val="00B109A8"/>
    <w:rsid w:val="00B10C54"/>
    <w:rsid w:val="00B10C6F"/>
    <w:rsid w:val="00B10F30"/>
    <w:rsid w:val="00B110CB"/>
    <w:rsid w:val="00B111CC"/>
    <w:rsid w:val="00B111F1"/>
    <w:rsid w:val="00B11204"/>
    <w:rsid w:val="00B1132F"/>
    <w:rsid w:val="00B11391"/>
    <w:rsid w:val="00B113EB"/>
    <w:rsid w:val="00B11580"/>
    <w:rsid w:val="00B117E8"/>
    <w:rsid w:val="00B117EE"/>
    <w:rsid w:val="00B11A6C"/>
    <w:rsid w:val="00B11BAC"/>
    <w:rsid w:val="00B11BF7"/>
    <w:rsid w:val="00B11C3E"/>
    <w:rsid w:val="00B11CD8"/>
    <w:rsid w:val="00B11D0F"/>
    <w:rsid w:val="00B12006"/>
    <w:rsid w:val="00B12196"/>
    <w:rsid w:val="00B12523"/>
    <w:rsid w:val="00B12755"/>
    <w:rsid w:val="00B128E9"/>
    <w:rsid w:val="00B12907"/>
    <w:rsid w:val="00B12911"/>
    <w:rsid w:val="00B12A05"/>
    <w:rsid w:val="00B12C0C"/>
    <w:rsid w:val="00B12C1E"/>
    <w:rsid w:val="00B133AF"/>
    <w:rsid w:val="00B134B8"/>
    <w:rsid w:val="00B13628"/>
    <w:rsid w:val="00B1364A"/>
    <w:rsid w:val="00B139F7"/>
    <w:rsid w:val="00B13CDD"/>
    <w:rsid w:val="00B13D96"/>
    <w:rsid w:val="00B14076"/>
    <w:rsid w:val="00B14099"/>
    <w:rsid w:val="00B140D6"/>
    <w:rsid w:val="00B14172"/>
    <w:rsid w:val="00B14223"/>
    <w:rsid w:val="00B142DC"/>
    <w:rsid w:val="00B146BD"/>
    <w:rsid w:val="00B146F6"/>
    <w:rsid w:val="00B1477A"/>
    <w:rsid w:val="00B14813"/>
    <w:rsid w:val="00B1485D"/>
    <w:rsid w:val="00B14982"/>
    <w:rsid w:val="00B149AA"/>
    <w:rsid w:val="00B14C66"/>
    <w:rsid w:val="00B14C98"/>
    <w:rsid w:val="00B14CB4"/>
    <w:rsid w:val="00B14D14"/>
    <w:rsid w:val="00B14EF9"/>
    <w:rsid w:val="00B1502C"/>
    <w:rsid w:val="00B15117"/>
    <w:rsid w:val="00B155E7"/>
    <w:rsid w:val="00B15681"/>
    <w:rsid w:val="00B157E0"/>
    <w:rsid w:val="00B158D2"/>
    <w:rsid w:val="00B15B4C"/>
    <w:rsid w:val="00B15B6E"/>
    <w:rsid w:val="00B15CA3"/>
    <w:rsid w:val="00B15E94"/>
    <w:rsid w:val="00B15E97"/>
    <w:rsid w:val="00B1609D"/>
    <w:rsid w:val="00B16155"/>
    <w:rsid w:val="00B1618C"/>
    <w:rsid w:val="00B16594"/>
    <w:rsid w:val="00B1665E"/>
    <w:rsid w:val="00B1673C"/>
    <w:rsid w:val="00B16761"/>
    <w:rsid w:val="00B16879"/>
    <w:rsid w:val="00B168C0"/>
    <w:rsid w:val="00B16F1E"/>
    <w:rsid w:val="00B16F50"/>
    <w:rsid w:val="00B16FA5"/>
    <w:rsid w:val="00B1711C"/>
    <w:rsid w:val="00B173EA"/>
    <w:rsid w:val="00B1759C"/>
    <w:rsid w:val="00B1761D"/>
    <w:rsid w:val="00B17787"/>
    <w:rsid w:val="00B17876"/>
    <w:rsid w:val="00B17BB8"/>
    <w:rsid w:val="00B17CB7"/>
    <w:rsid w:val="00B17D31"/>
    <w:rsid w:val="00B17D56"/>
    <w:rsid w:val="00B17E1C"/>
    <w:rsid w:val="00B17E67"/>
    <w:rsid w:val="00B17EE3"/>
    <w:rsid w:val="00B200CA"/>
    <w:rsid w:val="00B200E9"/>
    <w:rsid w:val="00B20166"/>
    <w:rsid w:val="00B20268"/>
    <w:rsid w:val="00B20517"/>
    <w:rsid w:val="00B20C2B"/>
    <w:rsid w:val="00B20C3A"/>
    <w:rsid w:val="00B20D6E"/>
    <w:rsid w:val="00B20D70"/>
    <w:rsid w:val="00B211C4"/>
    <w:rsid w:val="00B21229"/>
    <w:rsid w:val="00B212D4"/>
    <w:rsid w:val="00B21396"/>
    <w:rsid w:val="00B214E2"/>
    <w:rsid w:val="00B2157E"/>
    <w:rsid w:val="00B21596"/>
    <w:rsid w:val="00B2168E"/>
    <w:rsid w:val="00B21A46"/>
    <w:rsid w:val="00B21B92"/>
    <w:rsid w:val="00B21D70"/>
    <w:rsid w:val="00B220DF"/>
    <w:rsid w:val="00B220FF"/>
    <w:rsid w:val="00B223F1"/>
    <w:rsid w:val="00B2270D"/>
    <w:rsid w:val="00B22854"/>
    <w:rsid w:val="00B228A2"/>
    <w:rsid w:val="00B22B25"/>
    <w:rsid w:val="00B22C60"/>
    <w:rsid w:val="00B22CC4"/>
    <w:rsid w:val="00B22D55"/>
    <w:rsid w:val="00B22EA9"/>
    <w:rsid w:val="00B22FDF"/>
    <w:rsid w:val="00B23079"/>
    <w:rsid w:val="00B2320D"/>
    <w:rsid w:val="00B233D5"/>
    <w:rsid w:val="00B233F9"/>
    <w:rsid w:val="00B2377B"/>
    <w:rsid w:val="00B23836"/>
    <w:rsid w:val="00B23A78"/>
    <w:rsid w:val="00B23A84"/>
    <w:rsid w:val="00B23B0D"/>
    <w:rsid w:val="00B23B1A"/>
    <w:rsid w:val="00B23C5A"/>
    <w:rsid w:val="00B23CAB"/>
    <w:rsid w:val="00B23DB1"/>
    <w:rsid w:val="00B23F26"/>
    <w:rsid w:val="00B23F28"/>
    <w:rsid w:val="00B23FD1"/>
    <w:rsid w:val="00B24228"/>
    <w:rsid w:val="00B24314"/>
    <w:rsid w:val="00B24345"/>
    <w:rsid w:val="00B245B1"/>
    <w:rsid w:val="00B245E8"/>
    <w:rsid w:val="00B246A1"/>
    <w:rsid w:val="00B247E5"/>
    <w:rsid w:val="00B2482A"/>
    <w:rsid w:val="00B249DB"/>
    <w:rsid w:val="00B24AB1"/>
    <w:rsid w:val="00B24D4C"/>
    <w:rsid w:val="00B24DAF"/>
    <w:rsid w:val="00B24E8D"/>
    <w:rsid w:val="00B24F02"/>
    <w:rsid w:val="00B24F59"/>
    <w:rsid w:val="00B24FE5"/>
    <w:rsid w:val="00B251FE"/>
    <w:rsid w:val="00B25284"/>
    <w:rsid w:val="00B252B4"/>
    <w:rsid w:val="00B25405"/>
    <w:rsid w:val="00B25478"/>
    <w:rsid w:val="00B254DE"/>
    <w:rsid w:val="00B25614"/>
    <w:rsid w:val="00B256FA"/>
    <w:rsid w:val="00B257A4"/>
    <w:rsid w:val="00B258A4"/>
    <w:rsid w:val="00B25B15"/>
    <w:rsid w:val="00B25DD9"/>
    <w:rsid w:val="00B25FBF"/>
    <w:rsid w:val="00B25FCE"/>
    <w:rsid w:val="00B26014"/>
    <w:rsid w:val="00B262A1"/>
    <w:rsid w:val="00B2668F"/>
    <w:rsid w:val="00B26A0F"/>
    <w:rsid w:val="00B26B8E"/>
    <w:rsid w:val="00B26BA6"/>
    <w:rsid w:val="00B26D01"/>
    <w:rsid w:val="00B26DE7"/>
    <w:rsid w:val="00B26E5D"/>
    <w:rsid w:val="00B26EA5"/>
    <w:rsid w:val="00B26EDC"/>
    <w:rsid w:val="00B26FDE"/>
    <w:rsid w:val="00B2701F"/>
    <w:rsid w:val="00B27025"/>
    <w:rsid w:val="00B27148"/>
    <w:rsid w:val="00B27226"/>
    <w:rsid w:val="00B27469"/>
    <w:rsid w:val="00B27643"/>
    <w:rsid w:val="00B276DD"/>
    <w:rsid w:val="00B2770E"/>
    <w:rsid w:val="00B27883"/>
    <w:rsid w:val="00B27917"/>
    <w:rsid w:val="00B279A0"/>
    <w:rsid w:val="00B279F7"/>
    <w:rsid w:val="00B27A51"/>
    <w:rsid w:val="00B27C4D"/>
    <w:rsid w:val="00B30048"/>
    <w:rsid w:val="00B301A5"/>
    <w:rsid w:val="00B3024B"/>
    <w:rsid w:val="00B305F1"/>
    <w:rsid w:val="00B3065C"/>
    <w:rsid w:val="00B308AC"/>
    <w:rsid w:val="00B30B91"/>
    <w:rsid w:val="00B30CD8"/>
    <w:rsid w:val="00B30D52"/>
    <w:rsid w:val="00B30EC3"/>
    <w:rsid w:val="00B30F49"/>
    <w:rsid w:val="00B310CE"/>
    <w:rsid w:val="00B311AD"/>
    <w:rsid w:val="00B3148A"/>
    <w:rsid w:val="00B31518"/>
    <w:rsid w:val="00B3158A"/>
    <w:rsid w:val="00B315F1"/>
    <w:rsid w:val="00B316F6"/>
    <w:rsid w:val="00B317FA"/>
    <w:rsid w:val="00B318C5"/>
    <w:rsid w:val="00B31ADA"/>
    <w:rsid w:val="00B31B92"/>
    <w:rsid w:val="00B31BCF"/>
    <w:rsid w:val="00B31C0A"/>
    <w:rsid w:val="00B31C49"/>
    <w:rsid w:val="00B31DDF"/>
    <w:rsid w:val="00B320A5"/>
    <w:rsid w:val="00B3221D"/>
    <w:rsid w:val="00B32349"/>
    <w:rsid w:val="00B32618"/>
    <w:rsid w:val="00B3283B"/>
    <w:rsid w:val="00B3294C"/>
    <w:rsid w:val="00B3295F"/>
    <w:rsid w:val="00B32A2C"/>
    <w:rsid w:val="00B32ADF"/>
    <w:rsid w:val="00B32B46"/>
    <w:rsid w:val="00B32B72"/>
    <w:rsid w:val="00B32B85"/>
    <w:rsid w:val="00B32BE1"/>
    <w:rsid w:val="00B32D33"/>
    <w:rsid w:val="00B32F55"/>
    <w:rsid w:val="00B33214"/>
    <w:rsid w:val="00B33659"/>
    <w:rsid w:val="00B33689"/>
    <w:rsid w:val="00B3370F"/>
    <w:rsid w:val="00B33CD7"/>
    <w:rsid w:val="00B33EC3"/>
    <w:rsid w:val="00B3403A"/>
    <w:rsid w:val="00B3414B"/>
    <w:rsid w:val="00B342EE"/>
    <w:rsid w:val="00B345D5"/>
    <w:rsid w:val="00B34753"/>
    <w:rsid w:val="00B34829"/>
    <w:rsid w:val="00B34919"/>
    <w:rsid w:val="00B349B1"/>
    <w:rsid w:val="00B34A71"/>
    <w:rsid w:val="00B34B7C"/>
    <w:rsid w:val="00B34CB1"/>
    <w:rsid w:val="00B34DE9"/>
    <w:rsid w:val="00B34EBF"/>
    <w:rsid w:val="00B34EE1"/>
    <w:rsid w:val="00B34F22"/>
    <w:rsid w:val="00B34F75"/>
    <w:rsid w:val="00B35108"/>
    <w:rsid w:val="00B352B9"/>
    <w:rsid w:val="00B352D5"/>
    <w:rsid w:val="00B355A0"/>
    <w:rsid w:val="00B3567D"/>
    <w:rsid w:val="00B35AFF"/>
    <w:rsid w:val="00B35B11"/>
    <w:rsid w:val="00B35B1A"/>
    <w:rsid w:val="00B35EBA"/>
    <w:rsid w:val="00B36259"/>
    <w:rsid w:val="00B36546"/>
    <w:rsid w:val="00B367F8"/>
    <w:rsid w:val="00B3690D"/>
    <w:rsid w:val="00B3691B"/>
    <w:rsid w:val="00B3693D"/>
    <w:rsid w:val="00B36A0F"/>
    <w:rsid w:val="00B36B11"/>
    <w:rsid w:val="00B36D1A"/>
    <w:rsid w:val="00B36D92"/>
    <w:rsid w:val="00B36EC1"/>
    <w:rsid w:val="00B36ECB"/>
    <w:rsid w:val="00B36F55"/>
    <w:rsid w:val="00B36F73"/>
    <w:rsid w:val="00B36F91"/>
    <w:rsid w:val="00B370A8"/>
    <w:rsid w:val="00B373E2"/>
    <w:rsid w:val="00B37891"/>
    <w:rsid w:val="00B379C5"/>
    <w:rsid w:val="00B37A92"/>
    <w:rsid w:val="00B37B24"/>
    <w:rsid w:val="00B37CA4"/>
    <w:rsid w:val="00B37D99"/>
    <w:rsid w:val="00B37DCE"/>
    <w:rsid w:val="00B40016"/>
    <w:rsid w:val="00B40119"/>
    <w:rsid w:val="00B4035E"/>
    <w:rsid w:val="00B40514"/>
    <w:rsid w:val="00B4087A"/>
    <w:rsid w:val="00B408F1"/>
    <w:rsid w:val="00B40B3E"/>
    <w:rsid w:val="00B40C19"/>
    <w:rsid w:val="00B40D73"/>
    <w:rsid w:val="00B40F4C"/>
    <w:rsid w:val="00B4100C"/>
    <w:rsid w:val="00B4114B"/>
    <w:rsid w:val="00B411A5"/>
    <w:rsid w:val="00B41271"/>
    <w:rsid w:val="00B412A7"/>
    <w:rsid w:val="00B413BC"/>
    <w:rsid w:val="00B413EF"/>
    <w:rsid w:val="00B41551"/>
    <w:rsid w:val="00B41726"/>
    <w:rsid w:val="00B417E8"/>
    <w:rsid w:val="00B41881"/>
    <w:rsid w:val="00B41BA0"/>
    <w:rsid w:val="00B41C38"/>
    <w:rsid w:val="00B41EA8"/>
    <w:rsid w:val="00B41ED7"/>
    <w:rsid w:val="00B420A9"/>
    <w:rsid w:val="00B421DC"/>
    <w:rsid w:val="00B42384"/>
    <w:rsid w:val="00B423F4"/>
    <w:rsid w:val="00B4245A"/>
    <w:rsid w:val="00B42534"/>
    <w:rsid w:val="00B427EA"/>
    <w:rsid w:val="00B4284A"/>
    <w:rsid w:val="00B428AB"/>
    <w:rsid w:val="00B42A28"/>
    <w:rsid w:val="00B42BE8"/>
    <w:rsid w:val="00B42D8B"/>
    <w:rsid w:val="00B42E3E"/>
    <w:rsid w:val="00B430E4"/>
    <w:rsid w:val="00B430E9"/>
    <w:rsid w:val="00B43437"/>
    <w:rsid w:val="00B43546"/>
    <w:rsid w:val="00B436AE"/>
    <w:rsid w:val="00B436D1"/>
    <w:rsid w:val="00B4386D"/>
    <w:rsid w:val="00B438D6"/>
    <w:rsid w:val="00B43B5B"/>
    <w:rsid w:val="00B43BE6"/>
    <w:rsid w:val="00B43DD2"/>
    <w:rsid w:val="00B43ED8"/>
    <w:rsid w:val="00B440DC"/>
    <w:rsid w:val="00B441BC"/>
    <w:rsid w:val="00B442DE"/>
    <w:rsid w:val="00B44412"/>
    <w:rsid w:val="00B44479"/>
    <w:rsid w:val="00B4461F"/>
    <w:rsid w:val="00B4472D"/>
    <w:rsid w:val="00B4486D"/>
    <w:rsid w:val="00B449CA"/>
    <w:rsid w:val="00B44B67"/>
    <w:rsid w:val="00B44E5A"/>
    <w:rsid w:val="00B44F02"/>
    <w:rsid w:val="00B44F15"/>
    <w:rsid w:val="00B450AC"/>
    <w:rsid w:val="00B45100"/>
    <w:rsid w:val="00B45107"/>
    <w:rsid w:val="00B45136"/>
    <w:rsid w:val="00B45161"/>
    <w:rsid w:val="00B4523A"/>
    <w:rsid w:val="00B45314"/>
    <w:rsid w:val="00B4555D"/>
    <w:rsid w:val="00B45592"/>
    <w:rsid w:val="00B45743"/>
    <w:rsid w:val="00B459F1"/>
    <w:rsid w:val="00B45AFF"/>
    <w:rsid w:val="00B45B6C"/>
    <w:rsid w:val="00B45B83"/>
    <w:rsid w:val="00B45C34"/>
    <w:rsid w:val="00B45D5D"/>
    <w:rsid w:val="00B45F34"/>
    <w:rsid w:val="00B45F7D"/>
    <w:rsid w:val="00B46262"/>
    <w:rsid w:val="00B462C0"/>
    <w:rsid w:val="00B462E3"/>
    <w:rsid w:val="00B463F4"/>
    <w:rsid w:val="00B46606"/>
    <w:rsid w:val="00B46698"/>
    <w:rsid w:val="00B466B5"/>
    <w:rsid w:val="00B467CB"/>
    <w:rsid w:val="00B468EC"/>
    <w:rsid w:val="00B46A07"/>
    <w:rsid w:val="00B46A11"/>
    <w:rsid w:val="00B46B5B"/>
    <w:rsid w:val="00B46E16"/>
    <w:rsid w:val="00B46FBE"/>
    <w:rsid w:val="00B4738F"/>
    <w:rsid w:val="00B47425"/>
    <w:rsid w:val="00B477AD"/>
    <w:rsid w:val="00B479A5"/>
    <w:rsid w:val="00B479E8"/>
    <w:rsid w:val="00B47B11"/>
    <w:rsid w:val="00B47B8F"/>
    <w:rsid w:val="00B47FE4"/>
    <w:rsid w:val="00B500DC"/>
    <w:rsid w:val="00B5027B"/>
    <w:rsid w:val="00B50442"/>
    <w:rsid w:val="00B50637"/>
    <w:rsid w:val="00B50659"/>
    <w:rsid w:val="00B50A09"/>
    <w:rsid w:val="00B50A0B"/>
    <w:rsid w:val="00B50B06"/>
    <w:rsid w:val="00B50E02"/>
    <w:rsid w:val="00B510DA"/>
    <w:rsid w:val="00B5113C"/>
    <w:rsid w:val="00B511D7"/>
    <w:rsid w:val="00B511FE"/>
    <w:rsid w:val="00B512ED"/>
    <w:rsid w:val="00B5177D"/>
    <w:rsid w:val="00B5188B"/>
    <w:rsid w:val="00B51D44"/>
    <w:rsid w:val="00B51E67"/>
    <w:rsid w:val="00B51E72"/>
    <w:rsid w:val="00B51FD5"/>
    <w:rsid w:val="00B523C2"/>
    <w:rsid w:val="00B5242B"/>
    <w:rsid w:val="00B5261E"/>
    <w:rsid w:val="00B526B3"/>
    <w:rsid w:val="00B5270E"/>
    <w:rsid w:val="00B52742"/>
    <w:rsid w:val="00B52747"/>
    <w:rsid w:val="00B527DB"/>
    <w:rsid w:val="00B527E6"/>
    <w:rsid w:val="00B52999"/>
    <w:rsid w:val="00B52A5F"/>
    <w:rsid w:val="00B52B0B"/>
    <w:rsid w:val="00B52C1E"/>
    <w:rsid w:val="00B52ED4"/>
    <w:rsid w:val="00B52EDB"/>
    <w:rsid w:val="00B5309C"/>
    <w:rsid w:val="00B5314C"/>
    <w:rsid w:val="00B531CF"/>
    <w:rsid w:val="00B53258"/>
    <w:rsid w:val="00B53352"/>
    <w:rsid w:val="00B535CF"/>
    <w:rsid w:val="00B536AC"/>
    <w:rsid w:val="00B536BE"/>
    <w:rsid w:val="00B536F5"/>
    <w:rsid w:val="00B537EF"/>
    <w:rsid w:val="00B538B9"/>
    <w:rsid w:val="00B53998"/>
    <w:rsid w:val="00B539F6"/>
    <w:rsid w:val="00B53AE0"/>
    <w:rsid w:val="00B53B1A"/>
    <w:rsid w:val="00B53DF4"/>
    <w:rsid w:val="00B53E33"/>
    <w:rsid w:val="00B53E4A"/>
    <w:rsid w:val="00B53F9C"/>
    <w:rsid w:val="00B53FAC"/>
    <w:rsid w:val="00B543A5"/>
    <w:rsid w:val="00B548CE"/>
    <w:rsid w:val="00B54926"/>
    <w:rsid w:val="00B54C0C"/>
    <w:rsid w:val="00B54CBE"/>
    <w:rsid w:val="00B54F1C"/>
    <w:rsid w:val="00B54F82"/>
    <w:rsid w:val="00B54FCD"/>
    <w:rsid w:val="00B55058"/>
    <w:rsid w:val="00B550FF"/>
    <w:rsid w:val="00B5522F"/>
    <w:rsid w:val="00B55266"/>
    <w:rsid w:val="00B55283"/>
    <w:rsid w:val="00B552B7"/>
    <w:rsid w:val="00B552F6"/>
    <w:rsid w:val="00B55681"/>
    <w:rsid w:val="00B55689"/>
    <w:rsid w:val="00B557A6"/>
    <w:rsid w:val="00B558AB"/>
    <w:rsid w:val="00B55B09"/>
    <w:rsid w:val="00B55D0B"/>
    <w:rsid w:val="00B561F3"/>
    <w:rsid w:val="00B563D4"/>
    <w:rsid w:val="00B567E2"/>
    <w:rsid w:val="00B567F4"/>
    <w:rsid w:val="00B5686B"/>
    <w:rsid w:val="00B56894"/>
    <w:rsid w:val="00B568AB"/>
    <w:rsid w:val="00B56CAE"/>
    <w:rsid w:val="00B56E6E"/>
    <w:rsid w:val="00B570D8"/>
    <w:rsid w:val="00B5718D"/>
    <w:rsid w:val="00B572CE"/>
    <w:rsid w:val="00B575C8"/>
    <w:rsid w:val="00B57616"/>
    <w:rsid w:val="00B578D2"/>
    <w:rsid w:val="00B57A80"/>
    <w:rsid w:val="00B57B1E"/>
    <w:rsid w:val="00B57BF3"/>
    <w:rsid w:val="00B57DD5"/>
    <w:rsid w:val="00B600DE"/>
    <w:rsid w:val="00B60124"/>
    <w:rsid w:val="00B602E6"/>
    <w:rsid w:val="00B604A4"/>
    <w:rsid w:val="00B607C4"/>
    <w:rsid w:val="00B60831"/>
    <w:rsid w:val="00B60939"/>
    <w:rsid w:val="00B60D78"/>
    <w:rsid w:val="00B60E08"/>
    <w:rsid w:val="00B611BD"/>
    <w:rsid w:val="00B61282"/>
    <w:rsid w:val="00B612E9"/>
    <w:rsid w:val="00B61672"/>
    <w:rsid w:val="00B616CC"/>
    <w:rsid w:val="00B617B5"/>
    <w:rsid w:val="00B617D6"/>
    <w:rsid w:val="00B619F3"/>
    <w:rsid w:val="00B61A15"/>
    <w:rsid w:val="00B61DF0"/>
    <w:rsid w:val="00B61EEE"/>
    <w:rsid w:val="00B61F17"/>
    <w:rsid w:val="00B6203F"/>
    <w:rsid w:val="00B620E8"/>
    <w:rsid w:val="00B62193"/>
    <w:rsid w:val="00B62269"/>
    <w:rsid w:val="00B623D4"/>
    <w:rsid w:val="00B625DF"/>
    <w:rsid w:val="00B62730"/>
    <w:rsid w:val="00B627B6"/>
    <w:rsid w:val="00B62A45"/>
    <w:rsid w:val="00B62A48"/>
    <w:rsid w:val="00B62AD0"/>
    <w:rsid w:val="00B62C92"/>
    <w:rsid w:val="00B62DC6"/>
    <w:rsid w:val="00B62FB5"/>
    <w:rsid w:val="00B62FED"/>
    <w:rsid w:val="00B632F6"/>
    <w:rsid w:val="00B63528"/>
    <w:rsid w:val="00B63624"/>
    <w:rsid w:val="00B63678"/>
    <w:rsid w:val="00B6371E"/>
    <w:rsid w:val="00B6385A"/>
    <w:rsid w:val="00B638A8"/>
    <w:rsid w:val="00B63A2D"/>
    <w:rsid w:val="00B63A6C"/>
    <w:rsid w:val="00B63A72"/>
    <w:rsid w:val="00B63C15"/>
    <w:rsid w:val="00B63D55"/>
    <w:rsid w:val="00B63E8E"/>
    <w:rsid w:val="00B641D9"/>
    <w:rsid w:val="00B641EA"/>
    <w:rsid w:val="00B64221"/>
    <w:rsid w:val="00B64457"/>
    <w:rsid w:val="00B6460B"/>
    <w:rsid w:val="00B6465B"/>
    <w:rsid w:val="00B6474F"/>
    <w:rsid w:val="00B648CC"/>
    <w:rsid w:val="00B64AE6"/>
    <w:rsid w:val="00B64B0B"/>
    <w:rsid w:val="00B64C55"/>
    <w:rsid w:val="00B64D13"/>
    <w:rsid w:val="00B64E65"/>
    <w:rsid w:val="00B64F12"/>
    <w:rsid w:val="00B6526F"/>
    <w:rsid w:val="00B652BA"/>
    <w:rsid w:val="00B654E2"/>
    <w:rsid w:val="00B65631"/>
    <w:rsid w:val="00B65775"/>
    <w:rsid w:val="00B65837"/>
    <w:rsid w:val="00B65931"/>
    <w:rsid w:val="00B65B08"/>
    <w:rsid w:val="00B65C60"/>
    <w:rsid w:val="00B65CAC"/>
    <w:rsid w:val="00B65D91"/>
    <w:rsid w:val="00B65E0A"/>
    <w:rsid w:val="00B65E8D"/>
    <w:rsid w:val="00B65EB9"/>
    <w:rsid w:val="00B6602B"/>
    <w:rsid w:val="00B66099"/>
    <w:rsid w:val="00B664DA"/>
    <w:rsid w:val="00B664EF"/>
    <w:rsid w:val="00B665FC"/>
    <w:rsid w:val="00B66916"/>
    <w:rsid w:val="00B66BA8"/>
    <w:rsid w:val="00B66BF1"/>
    <w:rsid w:val="00B66E72"/>
    <w:rsid w:val="00B6712E"/>
    <w:rsid w:val="00B67293"/>
    <w:rsid w:val="00B672EA"/>
    <w:rsid w:val="00B6739D"/>
    <w:rsid w:val="00B67498"/>
    <w:rsid w:val="00B676D4"/>
    <w:rsid w:val="00B67759"/>
    <w:rsid w:val="00B67828"/>
    <w:rsid w:val="00B6790F"/>
    <w:rsid w:val="00B67C08"/>
    <w:rsid w:val="00B67CD5"/>
    <w:rsid w:val="00B7040A"/>
    <w:rsid w:val="00B70829"/>
    <w:rsid w:val="00B709B6"/>
    <w:rsid w:val="00B70B27"/>
    <w:rsid w:val="00B70BA6"/>
    <w:rsid w:val="00B70D9E"/>
    <w:rsid w:val="00B70E0D"/>
    <w:rsid w:val="00B70FC5"/>
    <w:rsid w:val="00B7113A"/>
    <w:rsid w:val="00B71140"/>
    <w:rsid w:val="00B7122F"/>
    <w:rsid w:val="00B713BF"/>
    <w:rsid w:val="00B7186C"/>
    <w:rsid w:val="00B71887"/>
    <w:rsid w:val="00B71940"/>
    <w:rsid w:val="00B719E8"/>
    <w:rsid w:val="00B71AC1"/>
    <w:rsid w:val="00B71B82"/>
    <w:rsid w:val="00B71BC7"/>
    <w:rsid w:val="00B71EBA"/>
    <w:rsid w:val="00B72003"/>
    <w:rsid w:val="00B72049"/>
    <w:rsid w:val="00B720ED"/>
    <w:rsid w:val="00B72138"/>
    <w:rsid w:val="00B722E3"/>
    <w:rsid w:val="00B72390"/>
    <w:rsid w:val="00B7239A"/>
    <w:rsid w:val="00B72422"/>
    <w:rsid w:val="00B7248C"/>
    <w:rsid w:val="00B7259D"/>
    <w:rsid w:val="00B72673"/>
    <w:rsid w:val="00B7290F"/>
    <w:rsid w:val="00B72920"/>
    <w:rsid w:val="00B729E1"/>
    <w:rsid w:val="00B72A57"/>
    <w:rsid w:val="00B72B7C"/>
    <w:rsid w:val="00B72EEB"/>
    <w:rsid w:val="00B72FB2"/>
    <w:rsid w:val="00B730AD"/>
    <w:rsid w:val="00B73135"/>
    <w:rsid w:val="00B73232"/>
    <w:rsid w:val="00B733D6"/>
    <w:rsid w:val="00B73582"/>
    <w:rsid w:val="00B735ED"/>
    <w:rsid w:val="00B73705"/>
    <w:rsid w:val="00B73A0D"/>
    <w:rsid w:val="00B73B30"/>
    <w:rsid w:val="00B73BAD"/>
    <w:rsid w:val="00B73BFA"/>
    <w:rsid w:val="00B73E2E"/>
    <w:rsid w:val="00B73F52"/>
    <w:rsid w:val="00B7401E"/>
    <w:rsid w:val="00B74248"/>
    <w:rsid w:val="00B74383"/>
    <w:rsid w:val="00B745B4"/>
    <w:rsid w:val="00B7487E"/>
    <w:rsid w:val="00B74996"/>
    <w:rsid w:val="00B74A1E"/>
    <w:rsid w:val="00B74B58"/>
    <w:rsid w:val="00B74C4B"/>
    <w:rsid w:val="00B74D4F"/>
    <w:rsid w:val="00B74E7B"/>
    <w:rsid w:val="00B74F41"/>
    <w:rsid w:val="00B755EA"/>
    <w:rsid w:val="00B757D6"/>
    <w:rsid w:val="00B75931"/>
    <w:rsid w:val="00B75A21"/>
    <w:rsid w:val="00B75B0C"/>
    <w:rsid w:val="00B75B78"/>
    <w:rsid w:val="00B75B9F"/>
    <w:rsid w:val="00B75BE7"/>
    <w:rsid w:val="00B75C19"/>
    <w:rsid w:val="00B75C83"/>
    <w:rsid w:val="00B75E2B"/>
    <w:rsid w:val="00B75FB4"/>
    <w:rsid w:val="00B75FB7"/>
    <w:rsid w:val="00B76058"/>
    <w:rsid w:val="00B7631A"/>
    <w:rsid w:val="00B765D6"/>
    <w:rsid w:val="00B766E5"/>
    <w:rsid w:val="00B76785"/>
    <w:rsid w:val="00B767ED"/>
    <w:rsid w:val="00B769F1"/>
    <w:rsid w:val="00B76B7B"/>
    <w:rsid w:val="00B76B9F"/>
    <w:rsid w:val="00B76C1F"/>
    <w:rsid w:val="00B76D65"/>
    <w:rsid w:val="00B76E8D"/>
    <w:rsid w:val="00B76EBA"/>
    <w:rsid w:val="00B7701C"/>
    <w:rsid w:val="00B77365"/>
    <w:rsid w:val="00B7742F"/>
    <w:rsid w:val="00B77433"/>
    <w:rsid w:val="00B774CF"/>
    <w:rsid w:val="00B77590"/>
    <w:rsid w:val="00B776C0"/>
    <w:rsid w:val="00B77720"/>
    <w:rsid w:val="00B77766"/>
    <w:rsid w:val="00B77898"/>
    <w:rsid w:val="00B77973"/>
    <w:rsid w:val="00B779FB"/>
    <w:rsid w:val="00B77AB2"/>
    <w:rsid w:val="00B77B38"/>
    <w:rsid w:val="00B77BCF"/>
    <w:rsid w:val="00B77D03"/>
    <w:rsid w:val="00B77E38"/>
    <w:rsid w:val="00B8006A"/>
    <w:rsid w:val="00B80185"/>
    <w:rsid w:val="00B804BE"/>
    <w:rsid w:val="00B804CA"/>
    <w:rsid w:val="00B8051C"/>
    <w:rsid w:val="00B80603"/>
    <w:rsid w:val="00B80663"/>
    <w:rsid w:val="00B806DA"/>
    <w:rsid w:val="00B809B1"/>
    <w:rsid w:val="00B80D9A"/>
    <w:rsid w:val="00B8100B"/>
    <w:rsid w:val="00B810E0"/>
    <w:rsid w:val="00B816E3"/>
    <w:rsid w:val="00B819D3"/>
    <w:rsid w:val="00B81B66"/>
    <w:rsid w:val="00B81BB7"/>
    <w:rsid w:val="00B81BEA"/>
    <w:rsid w:val="00B81C3E"/>
    <w:rsid w:val="00B81C56"/>
    <w:rsid w:val="00B81DA2"/>
    <w:rsid w:val="00B81F20"/>
    <w:rsid w:val="00B8201D"/>
    <w:rsid w:val="00B8220F"/>
    <w:rsid w:val="00B82675"/>
    <w:rsid w:val="00B826DB"/>
    <w:rsid w:val="00B82841"/>
    <w:rsid w:val="00B82891"/>
    <w:rsid w:val="00B829AF"/>
    <w:rsid w:val="00B82BCE"/>
    <w:rsid w:val="00B82BD8"/>
    <w:rsid w:val="00B82CFD"/>
    <w:rsid w:val="00B82DB1"/>
    <w:rsid w:val="00B82E6A"/>
    <w:rsid w:val="00B82F37"/>
    <w:rsid w:val="00B8311F"/>
    <w:rsid w:val="00B8321C"/>
    <w:rsid w:val="00B83426"/>
    <w:rsid w:val="00B834FC"/>
    <w:rsid w:val="00B83576"/>
    <w:rsid w:val="00B8358F"/>
    <w:rsid w:val="00B835AC"/>
    <w:rsid w:val="00B835D7"/>
    <w:rsid w:val="00B83684"/>
    <w:rsid w:val="00B83A4B"/>
    <w:rsid w:val="00B83D0C"/>
    <w:rsid w:val="00B83D2C"/>
    <w:rsid w:val="00B83E27"/>
    <w:rsid w:val="00B840A0"/>
    <w:rsid w:val="00B841FE"/>
    <w:rsid w:val="00B84234"/>
    <w:rsid w:val="00B842DA"/>
    <w:rsid w:val="00B845AE"/>
    <w:rsid w:val="00B845EB"/>
    <w:rsid w:val="00B84607"/>
    <w:rsid w:val="00B846BA"/>
    <w:rsid w:val="00B8471A"/>
    <w:rsid w:val="00B84CEF"/>
    <w:rsid w:val="00B852D0"/>
    <w:rsid w:val="00B854F8"/>
    <w:rsid w:val="00B855F4"/>
    <w:rsid w:val="00B85687"/>
    <w:rsid w:val="00B858B4"/>
    <w:rsid w:val="00B85968"/>
    <w:rsid w:val="00B85B2A"/>
    <w:rsid w:val="00B85B60"/>
    <w:rsid w:val="00B85CFF"/>
    <w:rsid w:val="00B85EBE"/>
    <w:rsid w:val="00B85EEB"/>
    <w:rsid w:val="00B85F9B"/>
    <w:rsid w:val="00B85FDA"/>
    <w:rsid w:val="00B862E0"/>
    <w:rsid w:val="00B863D4"/>
    <w:rsid w:val="00B86453"/>
    <w:rsid w:val="00B864C8"/>
    <w:rsid w:val="00B8664D"/>
    <w:rsid w:val="00B8684F"/>
    <w:rsid w:val="00B868DE"/>
    <w:rsid w:val="00B8696C"/>
    <w:rsid w:val="00B86CF0"/>
    <w:rsid w:val="00B86D53"/>
    <w:rsid w:val="00B86D69"/>
    <w:rsid w:val="00B86E3F"/>
    <w:rsid w:val="00B86EE6"/>
    <w:rsid w:val="00B87061"/>
    <w:rsid w:val="00B8712A"/>
    <w:rsid w:val="00B8724A"/>
    <w:rsid w:val="00B872EB"/>
    <w:rsid w:val="00B87418"/>
    <w:rsid w:val="00B8744C"/>
    <w:rsid w:val="00B87585"/>
    <w:rsid w:val="00B87722"/>
    <w:rsid w:val="00B87A9C"/>
    <w:rsid w:val="00B87B1A"/>
    <w:rsid w:val="00B87BA3"/>
    <w:rsid w:val="00B87C2D"/>
    <w:rsid w:val="00B87CEB"/>
    <w:rsid w:val="00B87DE6"/>
    <w:rsid w:val="00B87FFC"/>
    <w:rsid w:val="00B9016A"/>
    <w:rsid w:val="00B901EE"/>
    <w:rsid w:val="00B901F7"/>
    <w:rsid w:val="00B902CE"/>
    <w:rsid w:val="00B903D6"/>
    <w:rsid w:val="00B904C1"/>
    <w:rsid w:val="00B904D0"/>
    <w:rsid w:val="00B90594"/>
    <w:rsid w:val="00B90595"/>
    <w:rsid w:val="00B9071A"/>
    <w:rsid w:val="00B9080D"/>
    <w:rsid w:val="00B90A24"/>
    <w:rsid w:val="00B90A6D"/>
    <w:rsid w:val="00B90AFF"/>
    <w:rsid w:val="00B90B56"/>
    <w:rsid w:val="00B90DC0"/>
    <w:rsid w:val="00B90DEA"/>
    <w:rsid w:val="00B90E8A"/>
    <w:rsid w:val="00B90FCA"/>
    <w:rsid w:val="00B91114"/>
    <w:rsid w:val="00B91193"/>
    <w:rsid w:val="00B91305"/>
    <w:rsid w:val="00B91487"/>
    <w:rsid w:val="00B914A7"/>
    <w:rsid w:val="00B9156D"/>
    <w:rsid w:val="00B915A9"/>
    <w:rsid w:val="00B91635"/>
    <w:rsid w:val="00B9189F"/>
    <w:rsid w:val="00B9199E"/>
    <w:rsid w:val="00B91A49"/>
    <w:rsid w:val="00B91BA0"/>
    <w:rsid w:val="00B91DE4"/>
    <w:rsid w:val="00B91E9D"/>
    <w:rsid w:val="00B91F62"/>
    <w:rsid w:val="00B91FB7"/>
    <w:rsid w:val="00B92016"/>
    <w:rsid w:val="00B920AC"/>
    <w:rsid w:val="00B920DC"/>
    <w:rsid w:val="00B92110"/>
    <w:rsid w:val="00B921C5"/>
    <w:rsid w:val="00B921D8"/>
    <w:rsid w:val="00B9226A"/>
    <w:rsid w:val="00B922F6"/>
    <w:rsid w:val="00B92340"/>
    <w:rsid w:val="00B92388"/>
    <w:rsid w:val="00B9240D"/>
    <w:rsid w:val="00B92552"/>
    <w:rsid w:val="00B92622"/>
    <w:rsid w:val="00B9274D"/>
    <w:rsid w:val="00B92851"/>
    <w:rsid w:val="00B929A0"/>
    <w:rsid w:val="00B92A65"/>
    <w:rsid w:val="00B92A6D"/>
    <w:rsid w:val="00B92A95"/>
    <w:rsid w:val="00B92BB7"/>
    <w:rsid w:val="00B92C50"/>
    <w:rsid w:val="00B92ECA"/>
    <w:rsid w:val="00B92F06"/>
    <w:rsid w:val="00B92FF7"/>
    <w:rsid w:val="00B93036"/>
    <w:rsid w:val="00B930DF"/>
    <w:rsid w:val="00B932D5"/>
    <w:rsid w:val="00B93300"/>
    <w:rsid w:val="00B93412"/>
    <w:rsid w:val="00B934F1"/>
    <w:rsid w:val="00B93571"/>
    <w:rsid w:val="00B935EF"/>
    <w:rsid w:val="00B93852"/>
    <w:rsid w:val="00B9394E"/>
    <w:rsid w:val="00B93AFE"/>
    <w:rsid w:val="00B93B07"/>
    <w:rsid w:val="00B93D92"/>
    <w:rsid w:val="00B93DA0"/>
    <w:rsid w:val="00B93DE6"/>
    <w:rsid w:val="00B93F94"/>
    <w:rsid w:val="00B940DF"/>
    <w:rsid w:val="00B94184"/>
    <w:rsid w:val="00B945AA"/>
    <w:rsid w:val="00B945DA"/>
    <w:rsid w:val="00B94786"/>
    <w:rsid w:val="00B948E1"/>
    <w:rsid w:val="00B9497F"/>
    <w:rsid w:val="00B94A5F"/>
    <w:rsid w:val="00B94C06"/>
    <w:rsid w:val="00B94C9D"/>
    <w:rsid w:val="00B94CEC"/>
    <w:rsid w:val="00B94E56"/>
    <w:rsid w:val="00B94F79"/>
    <w:rsid w:val="00B95165"/>
    <w:rsid w:val="00B951C4"/>
    <w:rsid w:val="00B951EB"/>
    <w:rsid w:val="00B955DA"/>
    <w:rsid w:val="00B95705"/>
    <w:rsid w:val="00B957FE"/>
    <w:rsid w:val="00B95820"/>
    <w:rsid w:val="00B958AA"/>
    <w:rsid w:val="00B95AFC"/>
    <w:rsid w:val="00B95BF5"/>
    <w:rsid w:val="00B95C19"/>
    <w:rsid w:val="00B95C94"/>
    <w:rsid w:val="00B96162"/>
    <w:rsid w:val="00B961A4"/>
    <w:rsid w:val="00B96445"/>
    <w:rsid w:val="00B96B5E"/>
    <w:rsid w:val="00B96BA2"/>
    <w:rsid w:val="00B96C40"/>
    <w:rsid w:val="00B96C76"/>
    <w:rsid w:val="00B96D69"/>
    <w:rsid w:val="00B96D8B"/>
    <w:rsid w:val="00B9707E"/>
    <w:rsid w:val="00B971E9"/>
    <w:rsid w:val="00B97249"/>
    <w:rsid w:val="00B973C3"/>
    <w:rsid w:val="00B97460"/>
    <w:rsid w:val="00B9758D"/>
    <w:rsid w:val="00B975F8"/>
    <w:rsid w:val="00B9763D"/>
    <w:rsid w:val="00B97902"/>
    <w:rsid w:val="00B97944"/>
    <w:rsid w:val="00B97A15"/>
    <w:rsid w:val="00B97AB4"/>
    <w:rsid w:val="00B97C7D"/>
    <w:rsid w:val="00B97E76"/>
    <w:rsid w:val="00B97E82"/>
    <w:rsid w:val="00B97FF1"/>
    <w:rsid w:val="00BA0057"/>
    <w:rsid w:val="00BA0391"/>
    <w:rsid w:val="00BA04B9"/>
    <w:rsid w:val="00BA04FD"/>
    <w:rsid w:val="00BA08ED"/>
    <w:rsid w:val="00BA0A95"/>
    <w:rsid w:val="00BA0B1B"/>
    <w:rsid w:val="00BA0B7D"/>
    <w:rsid w:val="00BA0BCD"/>
    <w:rsid w:val="00BA0C7E"/>
    <w:rsid w:val="00BA0D33"/>
    <w:rsid w:val="00BA10F7"/>
    <w:rsid w:val="00BA11D7"/>
    <w:rsid w:val="00BA13E6"/>
    <w:rsid w:val="00BA1443"/>
    <w:rsid w:val="00BA14CE"/>
    <w:rsid w:val="00BA1853"/>
    <w:rsid w:val="00BA1E66"/>
    <w:rsid w:val="00BA1E7A"/>
    <w:rsid w:val="00BA1EEB"/>
    <w:rsid w:val="00BA1F9E"/>
    <w:rsid w:val="00BA2110"/>
    <w:rsid w:val="00BA227B"/>
    <w:rsid w:val="00BA22E6"/>
    <w:rsid w:val="00BA238A"/>
    <w:rsid w:val="00BA2689"/>
    <w:rsid w:val="00BA26B4"/>
    <w:rsid w:val="00BA27DD"/>
    <w:rsid w:val="00BA283C"/>
    <w:rsid w:val="00BA2C11"/>
    <w:rsid w:val="00BA2C94"/>
    <w:rsid w:val="00BA2E09"/>
    <w:rsid w:val="00BA3044"/>
    <w:rsid w:val="00BA33A3"/>
    <w:rsid w:val="00BA3538"/>
    <w:rsid w:val="00BA370F"/>
    <w:rsid w:val="00BA3958"/>
    <w:rsid w:val="00BA3988"/>
    <w:rsid w:val="00BA3B51"/>
    <w:rsid w:val="00BA3B8D"/>
    <w:rsid w:val="00BA3CEE"/>
    <w:rsid w:val="00BA3D9B"/>
    <w:rsid w:val="00BA3E4A"/>
    <w:rsid w:val="00BA3F51"/>
    <w:rsid w:val="00BA41A0"/>
    <w:rsid w:val="00BA42BD"/>
    <w:rsid w:val="00BA441E"/>
    <w:rsid w:val="00BA44B9"/>
    <w:rsid w:val="00BA4787"/>
    <w:rsid w:val="00BA478C"/>
    <w:rsid w:val="00BA4821"/>
    <w:rsid w:val="00BA4845"/>
    <w:rsid w:val="00BA4881"/>
    <w:rsid w:val="00BA49FA"/>
    <w:rsid w:val="00BA4A8C"/>
    <w:rsid w:val="00BA4B54"/>
    <w:rsid w:val="00BA4E51"/>
    <w:rsid w:val="00BA4F21"/>
    <w:rsid w:val="00BA51A9"/>
    <w:rsid w:val="00BA51B2"/>
    <w:rsid w:val="00BA520F"/>
    <w:rsid w:val="00BA526A"/>
    <w:rsid w:val="00BA528B"/>
    <w:rsid w:val="00BA52E6"/>
    <w:rsid w:val="00BA5726"/>
    <w:rsid w:val="00BA57CF"/>
    <w:rsid w:val="00BA58D9"/>
    <w:rsid w:val="00BA59CD"/>
    <w:rsid w:val="00BA59DA"/>
    <w:rsid w:val="00BA59EC"/>
    <w:rsid w:val="00BA5B5F"/>
    <w:rsid w:val="00BA5BDB"/>
    <w:rsid w:val="00BA5C36"/>
    <w:rsid w:val="00BA5E09"/>
    <w:rsid w:val="00BA5E1A"/>
    <w:rsid w:val="00BA6168"/>
    <w:rsid w:val="00BA6435"/>
    <w:rsid w:val="00BA6740"/>
    <w:rsid w:val="00BA69B4"/>
    <w:rsid w:val="00BA6AEA"/>
    <w:rsid w:val="00BA6B76"/>
    <w:rsid w:val="00BA6B97"/>
    <w:rsid w:val="00BA6BB7"/>
    <w:rsid w:val="00BA6C57"/>
    <w:rsid w:val="00BA6D42"/>
    <w:rsid w:val="00BA6EA0"/>
    <w:rsid w:val="00BA714F"/>
    <w:rsid w:val="00BA723D"/>
    <w:rsid w:val="00BA7365"/>
    <w:rsid w:val="00BA73FC"/>
    <w:rsid w:val="00BA74C5"/>
    <w:rsid w:val="00BA7502"/>
    <w:rsid w:val="00BA7554"/>
    <w:rsid w:val="00BA755D"/>
    <w:rsid w:val="00BA757D"/>
    <w:rsid w:val="00BA7681"/>
    <w:rsid w:val="00BA76E7"/>
    <w:rsid w:val="00BA794A"/>
    <w:rsid w:val="00BA7953"/>
    <w:rsid w:val="00BA79CC"/>
    <w:rsid w:val="00BA7A0E"/>
    <w:rsid w:val="00BA7A89"/>
    <w:rsid w:val="00BA7AE7"/>
    <w:rsid w:val="00BA7B3A"/>
    <w:rsid w:val="00BA7B51"/>
    <w:rsid w:val="00BA7C2A"/>
    <w:rsid w:val="00BA7CF8"/>
    <w:rsid w:val="00BA7D2A"/>
    <w:rsid w:val="00BA7DD0"/>
    <w:rsid w:val="00BA7DE2"/>
    <w:rsid w:val="00BB020D"/>
    <w:rsid w:val="00BB035C"/>
    <w:rsid w:val="00BB0695"/>
    <w:rsid w:val="00BB0766"/>
    <w:rsid w:val="00BB081F"/>
    <w:rsid w:val="00BB097C"/>
    <w:rsid w:val="00BB0A93"/>
    <w:rsid w:val="00BB0B4C"/>
    <w:rsid w:val="00BB0CDC"/>
    <w:rsid w:val="00BB0D57"/>
    <w:rsid w:val="00BB0F35"/>
    <w:rsid w:val="00BB0FC8"/>
    <w:rsid w:val="00BB114C"/>
    <w:rsid w:val="00BB1150"/>
    <w:rsid w:val="00BB11DC"/>
    <w:rsid w:val="00BB1314"/>
    <w:rsid w:val="00BB1507"/>
    <w:rsid w:val="00BB16C2"/>
    <w:rsid w:val="00BB178D"/>
    <w:rsid w:val="00BB1BB0"/>
    <w:rsid w:val="00BB1BC8"/>
    <w:rsid w:val="00BB1CF0"/>
    <w:rsid w:val="00BB1E0C"/>
    <w:rsid w:val="00BB1F42"/>
    <w:rsid w:val="00BB1F67"/>
    <w:rsid w:val="00BB2034"/>
    <w:rsid w:val="00BB2088"/>
    <w:rsid w:val="00BB211C"/>
    <w:rsid w:val="00BB2299"/>
    <w:rsid w:val="00BB25D9"/>
    <w:rsid w:val="00BB25FB"/>
    <w:rsid w:val="00BB2733"/>
    <w:rsid w:val="00BB2786"/>
    <w:rsid w:val="00BB27B6"/>
    <w:rsid w:val="00BB28CB"/>
    <w:rsid w:val="00BB2C23"/>
    <w:rsid w:val="00BB2C30"/>
    <w:rsid w:val="00BB2E4E"/>
    <w:rsid w:val="00BB2EA0"/>
    <w:rsid w:val="00BB2ED9"/>
    <w:rsid w:val="00BB2EED"/>
    <w:rsid w:val="00BB2F2C"/>
    <w:rsid w:val="00BB2FAE"/>
    <w:rsid w:val="00BB3132"/>
    <w:rsid w:val="00BB331C"/>
    <w:rsid w:val="00BB33C9"/>
    <w:rsid w:val="00BB33EE"/>
    <w:rsid w:val="00BB34B9"/>
    <w:rsid w:val="00BB35A5"/>
    <w:rsid w:val="00BB35EB"/>
    <w:rsid w:val="00BB3664"/>
    <w:rsid w:val="00BB375E"/>
    <w:rsid w:val="00BB377E"/>
    <w:rsid w:val="00BB37AC"/>
    <w:rsid w:val="00BB3991"/>
    <w:rsid w:val="00BB3A53"/>
    <w:rsid w:val="00BB3C70"/>
    <w:rsid w:val="00BB3CE7"/>
    <w:rsid w:val="00BB3EE1"/>
    <w:rsid w:val="00BB3F14"/>
    <w:rsid w:val="00BB3F22"/>
    <w:rsid w:val="00BB40D8"/>
    <w:rsid w:val="00BB40FF"/>
    <w:rsid w:val="00BB41B8"/>
    <w:rsid w:val="00BB41C4"/>
    <w:rsid w:val="00BB4208"/>
    <w:rsid w:val="00BB427A"/>
    <w:rsid w:val="00BB43C5"/>
    <w:rsid w:val="00BB45A4"/>
    <w:rsid w:val="00BB466B"/>
    <w:rsid w:val="00BB47AE"/>
    <w:rsid w:val="00BB481E"/>
    <w:rsid w:val="00BB4B86"/>
    <w:rsid w:val="00BB4BC9"/>
    <w:rsid w:val="00BB4EB7"/>
    <w:rsid w:val="00BB4ED9"/>
    <w:rsid w:val="00BB5026"/>
    <w:rsid w:val="00BB5068"/>
    <w:rsid w:val="00BB519B"/>
    <w:rsid w:val="00BB5227"/>
    <w:rsid w:val="00BB52F0"/>
    <w:rsid w:val="00BB530D"/>
    <w:rsid w:val="00BB5388"/>
    <w:rsid w:val="00BB5533"/>
    <w:rsid w:val="00BB55DA"/>
    <w:rsid w:val="00BB5689"/>
    <w:rsid w:val="00BB56B4"/>
    <w:rsid w:val="00BB5711"/>
    <w:rsid w:val="00BB5884"/>
    <w:rsid w:val="00BB592E"/>
    <w:rsid w:val="00BB59FA"/>
    <w:rsid w:val="00BB5A0D"/>
    <w:rsid w:val="00BB5B0C"/>
    <w:rsid w:val="00BB5DB0"/>
    <w:rsid w:val="00BB5E85"/>
    <w:rsid w:val="00BB5EFC"/>
    <w:rsid w:val="00BB6067"/>
    <w:rsid w:val="00BB6093"/>
    <w:rsid w:val="00BB6146"/>
    <w:rsid w:val="00BB63BA"/>
    <w:rsid w:val="00BB64D2"/>
    <w:rsid w:val="00BB6557"/>
    <w:rsid w:val="00BB657E"/>
    <w:rsid w:val="00BB68B2"/>
    <w:rsid w:val="00BB6922"/>
    <w:rsid w:val="00BB69BF"/>
    <w:rsid w:val="00BB69C0"/>
    <w:rsid w:val="00BB6A5F"/>
    <w:rsid w:val="00BB6BE9"/>
    <w:rsid w:val="00BB6D2E"/>
    <w:rsid w:val="00BB7011"/>
    <w:rsid w:val="00BB708A"/>
    <w:rsid w:val="00BB70AC"/>
    <w:rsid w:val="00BB70B6"/>
    <w:rsid w:val="00BB7322"/>
    <w:rsid w:val="00BB75D2"/>
    <w:rsid w:val="00BB780A"/>
    <w:rsid w:val="00BB7859"/>
    <w:rsid w:val="00BB7895"/>
    <w:rsid w:val="00BB79A9"/>
    <w:rsid w:val="00BB7F0A"/>
    <w:rsid w:val="00BC00B9"/>
    <w:rsid w:val="00BC0107"/>
    <w:rsid w:val="00BC031B"/>
    <w:rsid w:val="00BC03E2"/>
    <w:rsid w:val="00BC0406"/>
    <w:rsid w:val="00BC0473"/>
    <w:rsid w:val="00BC080A"/>
    <w:rsid w:val="00BC0A34"/>
    <w:rsid w:val="00BC0A82"/>
    <w:rsid w:val="00BC0CCF"/>
    <w:rsid w:val="00BC0D32"/>
    <w:rsid w:val="00BC0E1A"/>
    <w:rsid w:val="00BC1123"/>
    <w:rsid w:val="00BC1131"/>
    <w:rsid w:val="00BC1354"/>
    <w:rsid w:val="00BC1373"/>
    <w:rsid w:val="00BC1523"/>
    <w:rsid w:val="00BC169B"/>
    <w:rsid w:val="00BC186C"/>
    <w:rsid w:val="00BC1913"/>
    <w:rsid w:val="00BC1B28"/>
    <w:rsid w:val="00BC1C62"/>
    <w:rsid w:val="00BC1C8F"/>
    <w:rsid w:val="00BC1D42"/>
    <w:rsid w:val="00BC1E00"/>
    <w:rsid w:val="00BC1E1D"/>
    <w:rsid w:val="00BC1F07"/>
    <w:rsid w:val="00BC2001"/>
    <w:rsid w:val="00BC2006"/>
    <w:rsid w:val="00BC208F"/>
    <w:rsid w:val="00BC2154"/>
    <w:rsid w:val="00BC220A"/>
    <w:rsid w:val="00BC22B1"/>
    <w:rsid w:val="00BC22F9"/>
    <w:rsid w:val="00BC2330"/>
    <w:rsid w:val="00BC233E"/>
    <w:rsid w:val="00BC23AF"/>
    <w:rsid w:val="00BC246A"/>
    <w:rsid w:val="00BC2559"/>
    <w:rsid w:val="00BC2668"/>
    <w:rsid w:val="00BC2685"/>
    <w:rsid w:val="00BC27F5"/>
    <w:rsid w:val="00BC2861"/>
    <w:rsid w:val="00BC29FC"/>
    <w:rsid w:val="00BC2AC2"/>
    <w:rsid w:val="00BC2B43"/>
    <w:rsid w:val="00BC2BE2"/>
    <w:rsid w:val="00BC2E8D"/>
    <w:rsid w:val="00BC3069"/>
    <w:rsid w:val="00BC3147"/>
    <w:rsid w:val="00BC3206"/>
    <w:rsid w:val="00BC34DF"/>
    <w:rsid w:val="00BC3662"/>
    <w:rsid w:val="00BC37B5"/>
    <w:rsid w:val="00BC37CD"/>
    <w:rsid w:val="00BC37E5"/>
    <w:rsid w:val="00BC38F7"/>
    <w:rsid w:val="00BC39FB"/>
    <w:rsid w:val="00BC3AF8"/>
    <w:rsid w:val="00BC3B08"/>
    <w:rsid w:val="00BC3CC9"/>
    <w:rsid w:val="00BC3D81"/>
    <w:rsid w:val="00BC3E12"/>
    <w:rsid w:val="00BC3E96"/>
    <w:rsid w:val="00BC4195"/>
    <w:rsid w:val="00BC41B6"/>
    <w:rsid w:val="00BC4286"/>
    <w:rsid w:val="00BC430F"/>
    <w:rsid w:val="00BC445C"/>
    <w:rsid w:val="00BC44A4"/>
    <w:rsid w:val="00BC4648"/>
    <w:rsid w:val="00BC473B"/>
    <w:rsid w:val="00BC477C"/>
    <w:rsid w:val="00BC4809"/>
    <w:rsid w:val="00BC48BA"/>
    <w:rsid w:val="00BC492D"/>
    <w:rsid w:val="00BC49EF"/>
    <w:rsid w:val="00BC4BB9"/>
    <w:rsid w:val="00BC4C2F"/>
    <w:rsid w:val="00BC4DCC"/>
    <w:rsid w:val="00BC4E61"/>
    <w:rsid w:val="00BC4EBC"/>
    <w:rsid w:val="00BC4EE2"/>
    <w:rsid w:val="00BC5064"/>
    <w:rsid w:val="00BC5132"/>
    <w:rsid w:val="00BC5693"/>
    <w:rsid w:val="00BC56C3"/>
    <w:rsid w:val="00BC5731"/>
    <w:rsid w:val="00BC585A"/>
    <w:rsid w:val="00BC593D"/>
    <w:rsid w:val="00BC5C9E"/>
    <w:rsid w:val="00BC5D40"/>
    <w:rsid w:val="00BC5E81"/>
    <w:rsid w:val="00BC5F8B"/>
    <w:rsid w:val="00BC6040"/>
    <w:rsid w:val="00BC63DB"/>
    <w:rsid w:val="00BC666F"/>
    <w:rsid w:val="00BC6734"/>
    <w:rsid w:val="00BC674F"/>
    <w:rsid w:val="00BC6776"/>
    <w:rsid w:val="00BC677D"/>
    <w:rsid w:val="00BC67C2"/>
    <w:rsid w:val="00BC67FC"/>
    <w:rsid w:val="00BC689B"/>
    <w:rsid w:val="00BC6945"/>
    <w:rsid w:val="00BC69A7"/>
    <w:rsid w:val="00BC6A5D"/>
    <w:rsid w:val="00BC6A7E"/>
    <w:rsid w:val="00BC6AC2"/>
    <w:rsid w:val="00BC6C73"/>
    <w:rsid w:val="00BC6CD6"/>
    <w:rsid w:val="00BC6E05"/>
    <w:rsid w:val="00BC70B8"/>
    <w:rsid w:val="00BC754B"/>
    <w:rsid w:val="00BC7612"/>
    <w:rsid w:val="00BC765D"/>
    <w:rsid w:val="00BC7835"/>
    <w:rsid w:val="00BC7A6B"/>
    <w:rsid w:val="00BC7AA5"/>
    <w:rsid w:val="00BC7B95"/>
    <w:rsid w:val="00BC7CBF"/>
    <w:rsid w:val="00BC7D61"/>
    <w:rsid w:val="00BD00CD"/>
    <w:rsid w:val="00BD023F"/>
    <w:rsid w:val="00BD0249"/>
    <w:rsid w:val="00BD024C"/>
    <w:rsid w:val="00BD0474"/>
    <w:rsid w:val="00BD07CE"/>
    <w:rsid w:val="00BD09CA"/>
    <w:rsid w:val="00BD0A4A"/>
    <w:rsid w:val="00BD0ADF"/>
    <w:rsid w:val="00BD0CA2"/>
    <w:rsid w:val="00BD0D4D"/>
    <w:rsid w:val="00BD1216"/>
    <w:rsid w:val="00BD12A8"/>
    <w:rsid w:val="00BD12D3"/>
    <w:rsid w:val="00BD147C"/>
    <w:rsid w:val="00BD14CF"/>
    <w:rsid w:val="00BD1810"/>
    <w:rsid w:val="00BD18E4"/>
    <w:rsid w:val="00BD18F1"/>
    <w:rsid w:val="00BD196A"/>
    <w:rsid w:val="00BD19A4"/>
    <w:rsid w:val="00BD1C8B"/>
    <w:rsid w:val="00BD1F06"/>
    <w:rsid w:val="00BD1F6D"/>
    <w:rsid w:val="00BD2027"/>
    <w:rsid w:val="00BD2044"/>
    <w:rsid w:val="00BD2050"/>
    <w:rsid w:val="00BD2182"/>
    <w:rsid w:val="00BD223D"/>
    <w:rsid w:val="00BD2313"/>
    <w:rsid w:val="00BD2360"/>
    <w:rsid w:val="00BD2651"/>
    <w:rsid w:val="00BD2689"/>
    <w:rsid w:val="00BD27F3"/>
    <w:rsid w:val="00BD2BB1"/>
    <w:rsid w:val="00BD2C59"/>
    <w:rsid w:val="00BD2E9C"/>
    <w:rsid w:val="00BD31CB"/>
    <w:rsid w:val="00BD32DF"/>
    <w:rsid w:val="00BD32E9"/>
    <w:rsid w:val="00BD3339"/>
    <w:rsid w:val="00BD345C"/>
    <w:rsid w:val="00BD3576"/>
    <w:rsid w:val="00BD366F"/>
    <w:rsid w:val="00BD3835"/>
    <w:rsid w:val="00BD3A41"/>
    <w:rsid w:val="00BD3B9F"/>
    <w:rsid w:val="00BD3EB4"/>
    <w:rsid w:val="00BD3F18"/>
    <w:rsid w:val="00BD3F33"/>
    <w:rsid w:val="00BD3FD0"/>
    <w:rsid w:val="00BD4063"/>
    <w:rsid w:val="00BD4364"/>
    <w:rsid w:val="00BD448A"/>
    <w:rsid w:val="00BD4573"/>
    <w:rsid w:val="00BD4596"/>
    <w:rsid w:val="00BD461E"/>
    <w:rsid w:val="00BD462B"/>
    <w:rsid w:val="00BD4877"/>
    <w:rsid w:val="00BD4A86"/>
    <w:rsid w:val="00BD4B79"/>
    <w:rsid w:val="00BD4DE0"/>
    <w:rsid w:val="00BD4E43"/>
    <w:rsid w:val="00BD4E58"/>
    <w:rsid w:val="00BD4F17"/>
    <w:rsid w:val="00BD519D"/>
    <w:rsid w:val="00BD5286"/>
    <w:rsid w:val="00BD5294"/>
    <w:rsid w:val="00BD531F"/>
    <w:rsid w:val="00BD53D6"/>
    <w:rsid w:val="00BD54C0"/>
    <w:rsid w:val="00BD5521"/>
    <w:rsid w:val="00BD5572"/>
    <w:rsid w:val="00BD55B5"/>
    <w:rsid w:val="00BD5784"/>
    <w:rsid w:val="00BD585E"/>
    <w:rsid w:val="00BD59DC"/>
    <w:rsid w:val="00BD5B17"/>
    <w:rsid w:val="00BD5BB9"/>
    <w:rsid w:val="00BD5E7B"/>
    <w:rsid w:val="00BD5ECB"/>
    <w:rsid w:val="00BD6007"/>
    <w:rsid w:val="00BD60DC"/>
    <w:rsid w:val="00BD617E"/>
    <w:rsid w:val="00BD62FC"/>
    <w:rsid w:val="00BD63E3"/>
    <w:rsid w:val="00BD65E6"/>
    <w:rsid w:val="00BD6AC6"/>
    <w:rsid w:val="00BD6B98"/>
    <w:rsid w:val="00BD6BB9"/>
    <w:rsid w:val="00BD6D96"/>
    <w:rsid w:val="00BD6E39"/>
    <w:rsid w:val="00BD7099"/>
    <w:rsid w:val="00BD71C4"/>
    <w:rsid w:val="00BD7285"/>
    <w:rsid w:val="00BD72B5"/>
    <w:rsid w:val="00BD737A"/>
    <w:rsid w:val="00BD7778"/>
    <w:rsid w:val="00BD7897"/>
    <w:rsid w:val="00BD78FB"/>
    <w:rsid w:val="00BD7C8B"/>
    <w:rsid w:val="00BD7C8E"/>
    <w:rsid w:val="00BD7DF5"/>
    <w:rsid w:val="00BD7DFB"/>
    <w:rsid w:val="00BD7E8D"/>
    <w:rsid w:val="00BD7F56"/>
    <w:rsid w:val="00BE00ED"/>
    <w:rsid w:val="00BE01C6"/>
    <w:rsid w:val="00BE01D5"/>
    <w:rsid w:val="00BE036F"/>
    <w:rsid w:val="00BE03A8"/>
    <w:rsid w:val="00BE03FC"/>
    <w:rsid w:val="00BE06D6"/>
    <w:rsid w:val="00BE0850"/>
    <w:rsid w:val="00BE0A7D"/>
    <w:rsid w:val="00BE0CCC"/>
    <w:rsid w:val="00BE0EAD"/>
    <w:rsid w:val="00BE113B"/>
    <w:rsid w:val="00BE1210"/>
    <w:rsid w:val="00BE1285"/>
    <w:rsid w:val="00BE13A8"/>
    <w:rsid w:val="00BE14CD"/>
    <w:rsid w:val="00BE1536"/>
    <w:rsid w:val="00BE1628"/>
    <w:rsid w:val="00BE198A"/>
    <w:rsid w:val="00BE19C8"/>
    <w:rsid w:val="00BE19E1"/>
    <w:rsid w:val="00BE1AB0"/>
    <w:rsid w:val="00BE1BC9"/>
    <w:rsid w:val="00BE1BF5"/>
    <w:rsid w:val="00BE1BFA"/>
    <w:rsid w:val="00BE1EB7"/>
    <w:rsid w:val="00BE1EB8"/>
    <w:rsid w:val="00BE1F1C"/>
    <w:rsid w:val="00BE2095"/>
    <w:rsid w:val="00BE2171"/>
    <w:rsid w:val="00BE2232"/>
    <w:rsid w:val="00BE2280"/>
    <w:rsid w:val="00BE2322"/>
    <w:rsid w:val="00BE23D0"/>
    <w:rsid w:val="00BE2503"/>
    <w:rsid w:val="00BE25D1"/>
    <w:rsid w:val="00BE2746"/>
    <w:rsid w:val="00BE2749"/>
    <w:rsid w:val="00BE2A74"/>
    <w:rsid w:val="00BE2AAA"/>
    <w:rsid w:val="00BE2AEA"/>
    <w:rsid w:val="00BE2BC1"/>
    <w:rsid w:val="00BE2DED"/>
    <w:rsid w:val="00BE311F"/>
    <w:rsid w:val="00BE3223"/>
    <w:rsid w:val="00BE325F"/>
    <w:rsid w:val="00BE332C"/>
    <w:rsid w:val="00BE33ED"/>
    <w:rsid w:val="00BE347D"/>
    <w:rsid w:val="00BE35D7"/>
    <w:rsid w:val="00BE3685"/>
    <w:rsid w:val="00BE3844"/>
    <w:rsid w:val="00BE385F"/>
    <w:rsid w:val="00BE3995"/>
    <w:rsid w:val="00BE3A00"/>
    <w:rsid w:val="00BE3C76"/>
    <w:rsid w:val="00BE3FBC"/>
    <w:rsid w:val="00BE4173"/>
    <w:rsid w:val="00BE430E"/>
    <w:rsid w:val="00BE434B"/>
    <w:rsid w:val="00BE440D"/>
    <w:rsid w:val="00BE4443"/>
    <w:rsid w:val="00BE4548"/>
    <w:rsid w:val="00BE4660"/>
    <w:rsid w:val="00BE4B53"/>
    <w:rsid w:val="00BE4B84"/>
    <w:rsid w:val="00BE4C54"/>
    <w:rsid w:val="00BE4CC7"/>
    <w:rsid w:val="00BE4D7A"/>
    <w:rsid w:val="00BE4E27"/>
    <w:rsid w:val="00BE5190"/>
    <w:rsid w:val="00BE5292"/>
    <w:rsid w:val="00BE52DD"/>
    <w:rsid w:val="00BE53A7"/>
    <w:rsid w:val="00BE5509"/>
    <w:rsid w:val="00BE5515"/>
    <w:rsid w:val="00BE553F"/>
    <w:rsid w:val="00BE5733"/>
    <w:rsid w:val="00BE57BC"/>
    <w:rsid w:val="00BE59C6"/>
    <w:rsid w:val="00BE5BB2"/>
    <w:rsid w:val="00BE5C2B"/>
    <w:rsid w:val="00BE5CB8"/>
    <w:rsid w:val="00BE5D24"/>
    <w:rsid w:val="00BE5D8D"/>
    <w:rsid w:val="00BE5E78"/>
    <w:rsid w:val="00BE6383"/>
    <w:rsid w:val="00BE6385"/>
    <w:rsid w:val="00BE657C"/>
    <w:rsid w:val="00BE65CE"/>
    <w:rsid w:val="00BE65D3"/>
    <w:rsid w:val="00BE661A"/>
    <w:rsid w:val="00BE66D8"/>
    <w:rsid w:val="00BE677C"/>
    <w:rsid w:val="00BE680A"/>
    <w:rsid w:val="00BE6908"/>
    <w:rsid w:val="00BE6A3C"/>
    <w:rsid w:val="00BE6B14"/>
    <w:rsid w:val="00BE6DC2"/>
    <w:rsid w:val="00BE6E95"/>
    <w:rsid w:val="00BE6EB8"/>
    <w:rsid w:val="00BE6ECE"/>
    <w:rsid w:val="00BE6F25"/>
    <w:rsid w:val="00BE707F"/>
    <w:rsid w:val="00BE7160"/>
    <w:rsid w:val="00BE71D4"/>
    <w:rsid w:val="00BE7223"/>
    <w:rsid w:val="00BE7484"/>
    <w:rsid w:val="00BE7539"/>
    <w:rsid w:val="00BE76BF"/>
    <w:rsid w:val="00BE7833"/>
    <w:rsid w:val="00BE790C"/>
    <w:rsid w:val="00BE7B70"/>
    <w:rsid w:val="00BE7B9F"/>
    <w:rsid w:val="00BE7E80"/>
    <w:rsid w:val="00BE7F3B"/>
    <w:rsid w:val="00BF011A"/>
    <w:rsid w:val="00BF0236"/>
    <w:rsid w:val="00BF03D2"/>
    <w:rsid w:val="00BF05B9"/>
    <w:rsid w:val="00BF070B"/>
    <w:rsid w:val="00BF0B60"/>
    <w:rsid w:val="00BF0B85"/>
    <w:rsid w:val="00BF0C86"/>
    <w:rsid w:val="00BF0E40"/>
    <w:rsid w:val="00BF0F10"/>
    <w:rsid w:val="00BF0F1E"/>
    <w:rsid w:val="00BF0FEC"/>
    <w:rsid w:val="00BF16B9"/>
    <w:rsid w:val="00BF18F6"/>
    <w:rsid w:val="00BF193B"/>
    <w:rsid w:val="00BF1A51"/>
    <w:rsid w:val="00BF1AA9"/>
    <w:rsid w:val="00BF1B98"/>
    <w:rsid w:val="00BF1CF2"/>
    <w:rsid w:val="00BF1DC6"/>
    <w:rsid w:val="00BF1F04"/>
    <w:rsid w:val="00BF2120"/>
    <w:rsid w:val="00BF224F"/>
    <w:rsid w:val="00BF22CA"/>
    <w:rsid w:val="00BF2503"/>
    <w:rsid w:val="00BF274F"/>
    <w:rsid w:val="00BF2763"/>
    <w:rsid w:val="00BF28CD"/>
    <w:rsid w:val="00BF28F9"/>
    <w:rsid w:val="00BF294C"/>
    <w:rsid w:val="00BF2ABD"/>
    <w:rsid w:val="00BF2B7B"/>
    <w:rsid w:val="00BF2E18"/>
    <w:rsid w:val="00BF2FC9"/>
    <w:rsid w:val="00BF3007"/>
    <w:rsid w:val="00BF3078"/>
    <w:rsid w:val="00BF321C"/>
    <w:rsid w:val="00BF3258"/>
    <w:rsid w:val="00BF3268"/>
    <w:rsid w:val="00BF3411"/>
    <w:rsid w:val="00BF356C"/>
    <w:rsid w:val="00BF3572"/>
    <w:rsid w:val="00BF35D7"/>
    <w:rsid w:val="00BF36AF"/>
    <w:rsid w:val="00BF371F"/>
    <w:rsid w:val="00BF374A"/>
    <w:rsid w:val="00BF3AF5"/>
    <w:rsid w:val="00BF3BA2"/>
    <w:rsid w:val="00BF4061"/>
    <w:rsid w:val="00BF419A"/>
    <w:rsid w:val="00BF41C4"/>
    <w:rsid w:val="00BF4273"/>
    <w:rsid w:val="00BF42B2"/>
    <w:rsid w:val="00BF4494"/>
    <w:rsid w:val="00BF44DF"/>
    <w:rsid w:val="00BF46AA"/>
    <w:rsid w:val="00BF48DB"/>
    <w:rsid w:val="00BF4A89"/>
    <w:rsid w:val="00BF4AC0"/>
    <w:rsid w:val="00BF4B74"/>
    <w:rsid w:val="00BF4DBA"/>
    <w:rsid w:val="00BF4E5A"/>
    <w:rsid w:val="00BF5041"/>
    <w:rsid w:val="00BF530C"/>
    <w:rsid w:val="00BF534C"/>
    <w:rsid w:val="00BF53A8"/>
    <w:rsid w:val="00BF54F8"/>
    <w:rsid w:val="00BF564F"/>
    <w:rsid w:val="00BF5656"/>
    <w:rsid w:val="00BF5669"/>
    <w:rsid w:val="00BF5780"/>
    <w:rsid w:val="00BF5C86"/>
    <w:rsid w:val="00BF5CC4"/>
    <w:rsid w:val="00BF5E14"/>
    <w:rsid w:val="00BF5FF0"/>
    <w:rsid w:val="00BF617F"/>
    <w:rsid w:val="00BF651C"/>
    <w:rsid w:val="00BF6846"/>
    <w:rsid w:val="00BF6868"/>
    <w:rsid w:val="00BF6A71"/>
    <w:rsid w:val="00BF6AA0"/>
    <w:rsid w:val="00BF6BB8"/>
    <w:rsid w:val="00BF6C76"/>
    <w:rsid w:val="00BF6EC7"/>
    <w:rsid w:val="00BF7028"/>
    <w:rsid w:val="00BF7047"/>
    <w:rsid w:val="00BF7066"/>
    <w:rsid w:val="00BF726F"/>
    <w:rsid w:val="00BF7288"/>
    <w:rsid w:val="00BF7457"/>
    <w:rsid w:val="00BF7552"/>
    <w:rsid w:val="00BF7852"/>
    <w:rsid w:val="00BF78F4"/>
    <w:rsid w:val="00BF794E"/>
    <w:rsid w:val="00BF79EC"/>
    <w:rsid w:val="00BF7D0A"/>
    <w:rsid w:val="00BF7D39"/>
    <w:rsid w:val="00BF7D99"/>
    <w:rsid w:val="00BF7E54"/>
    <w:rsid w:val="00BF7EA9"/>
    <w:rsid w:val="00BF7EF0"/>
    <w:rsid w:val="00C000B6"/>
    <w:rsid w:val="00C0057D"/>
    <w:rsid w:val="00C0070B"/>
    <w:rsid w:val="00C00800"/>
    <w:rsid w:val="00C00895"/>
    <w:rsid w:val="00C00904"/>
    <w:rsid w:val="00C00909"/>
    <w:rsid w:val="00C0121B"/>
    <w:rsid w:val="00C0127A"/>
    <w:rsid w:val="00C0129F"/>
    <w:rsid w:val="00C0130E"/>
    <w:rsid w:val="00C0148B"/>
    <w:rsid w:val="00C01514"/>
    <w:rsid w:val="00C015EC"/>
    <w:rsid w:val="00C015F6"/>
    <w:rsid w:val="00C01665"/>
    <w:rsid w:val="00C01886"/>
    <w:rsid w:val="00C018D4"/>
    <w:rsid w:val="00C01A4F"/>
    <w:rsid w:val="00C01A67"/>
    <w:rsid w:val="00C01ABB"/>
    <w:rsid w:val="00C01B0B"/>
    <w:rsid w:val="00C01CA6"/>
    <w:rsid w:val="00C01CD7"/>
    <w:rsid w:val="00C020E4"/>
    <w:rsid w:val="00C02179"/>
    <w:rsid w:val="00C02286"/>
    <w:rsid w:val="00C022A8"/>
    <w:rsid w:val="00C022D0"/>
    <w:rsid w:val="00C027CD"/>
    <w:rsid w:val="00C02850"/>
    <w:rsid w:val="00C0290F"/>
    <w:rsid w:val="00C02BBF"/>
    <w:rsid w:val="00C02EAB"/>
    <w:rsid w:val="00C02FE9"/>
    <w:rsid w:val="00C030E0"/>
    <w:rsid w:val="00C03389"/>
    <w:rsid w:val="00C0340E"/>
    <w:rsid w:val="00C03448"/>
    <w:rsid w:val="00C03706"/>
    <w:rsid w:val="00C03717"/>
    <w:rsid w:val="00C03718"/>
    <w:rsid w:val="00C03982"/>
    <w:rsid w:val="00C039BF"/>
    <w:rsid w:val="00C03B89"/>
    <w:rsid w:val="00C03BA3"/>
    <w:rsid w:val="00C03C4D"/>
    <w:rsid w:val="00C03CB2"/>
    <w:rsid w:val="00C03F54"/>
    <w:rsid w:val="00C03F5B"/>
    <w:rsid w:val="00C03FA1"/>
    <w:rsid w:val="00C03FED"/>
    <w:rsid w:val="00C040D5"/>
    <w:rsid w:val="00C04188"/>
    <w:rsid w:val="00C0438E"/>
    <w:rsid w:val="00C0443D"/>
    <w:rsid w:val="00C04661"/>
    <w:rsid w:val="00C046B4"/>
    <w:rsid w:val="00C0480C"/>
    <w:rsid w:val="00C048A9"/>
    <w:rsid w:val="00C04953"/>
    <w:rsid w:val="00C04A09"/>
    <w:rsid w:val="00C04A43"/>
    <w:rsid w:val="00C04B68"/>
    <w:rsid w:val="00C04C48"/>
    <w:rsid w:val="00C04D83"/>
    <w:rsid w:val="00C04E06"/>
    <w:rsid w:val="00C04E5B"/>
    <w:rsid w:val="00C04E71"/>
    <w:rsid w:val="00C04F31"/>
    <w:rsid w:val="00C04FBA"/>
    <w:rsid w:val="00C05285"/>
    <w:rsid w:val="00C053F7"/>
    <w:rsid w:val="00C05635"/>
    <w:rsid w:val="00C057C2"/>
    <w:rsid w:val="00C0587B"/>
    <w:rsid w:val="00C0590B"/>
    <w:rsid w:val="00C05931"/>
    <w:rsid w:val="00C05B00"/>
    <w:rsid w:val="00C05B61"/>
    <w:rsid w:val="00C05C8A"/>
    <w:rsid w:val="00C05FB8"/>
    <w:rsid w:val="00C0600D"/>
    <w:rsid w:val="00C06168"/>
    <w:rsid w:val="00C062CF"/>
    <w:rsid w:val="00C064B2"/>
    <w:rsid w:val="00C064DF"/>
    <w:rsid w:val="00C065A1"/>
    <w:rsid w:val="00C065D4"/>
    <w:rsid w:val="00C065FB"/>
    <w:rsid w:val="00C06BB9"/>
    <w:rsid w:val="00C06BE7"/>
    <w:rsid w:val="00C06CB7"/>
    <w:rsid w:val="00C06E61"/>
    <w:rsid w:val="00C06E6D"/>
    <w:rsid w:val="00C06EC6"/>
    <w:rsid w:val="00C06EF4"/>
    <w:rsid w:val="00C06F88"/>
    <w:rsid w:val="00C07083"/>
    <w:rsid w:val="00C071FF"/>
    <w:rsid w:val="00C0723C"/>
    <w:rsid w:val="00C07312"/>
    <w:rsid w:val="00C07514"/>
    <w:rsid w:val="00C075C9"/>
    <w:rsid w:val="00C076A2"/>
    <w:rsid w:val="00C076A5"/>
    <w:rsid w:val="00C077B2"/>
    <w:rsid w:val="00C077E7"/>
    <w:rsid w:val="00C0782D"/>
    <w:rsid w:val="00C078F4"/>
    <w:rsid w:val="00C07B68"/>
    <w:rsid w:val="00C07C84"/>
    <w:rsid w:val="00C07CD7"/>
    <w:rsid w:val="00C07E48"/>
    <w:rsid w:val="00C07E77"/>
    <w:rsid w:val="00C07FEB"/>
    <w:rsid w:val="00C10016"/>
    <w:rsid w:val="00C1011D"/>
    <w:rsid w:val="00C10315"/>
    <w:rsid w:val="00C103BA"/>
    <w:rsid w:val="00C103CF"/>
    <w:rsid w:val="00C104FF"/>
    <w:rsid w:val="00C1061F"/>
    <w:rsid w:val="00C10718"/>
    <w:rsid w:val="00C10859"/>
    <w:rsid w:val="00C10FB1"/>
    <w:rsid w:val="00C10FBB"/>
    <w:rsid w:val="00C1100F"/>
    <w:rsid w:val="00C112E2"/>
    <w:rsid w:val="00C114B8"/>
    <w:rsid w:val="00C1193F"/>
    <w:rsid w:val="00C11940"/>
    <w:rsid w:val="00C119E2"/>
    <w:rsid w:val="00C11C03"/>
    <w:rsid w:val="00C11C08"/>
    <w:rsid w:val="00C11C87"/>
    <w:rsid w:val="00C11CF6"/>
    <w:rsid w:val="00C11CFA"/>
    <w:rsid w:val="00C11DEC"/>
    <w:rsid w:val="00C11F0A"/>
    <w:rsid w:val="00C11F1D"/>
    <w:rsid w:val="00C12100"/>
    <w:rsid w:val="00C12114"/>
    <w:rsid w:val="00C12310"/>
    <w:rsid w:val="00C1242A"/>
    <w:rsid w:val="00C124BB"/>
    <w:rsid w:val="00C124D6"/>
    <w:rsid w:val="00C12F50"/>
    <w:rsid w:val="00C132B4"/>
    <w:rsid w:val="00C1335B"/>
    <w:rsid w:val="00C135B1"/>
    <w:rsid w:val="00C13709"/>
    <w:rsid w:val="00C138B4"/>
    <w:rsid w:val="00C1393A"/>
    <w:rsid w:val="00C139E2"/>
    <w:rsid w:val="00C13A09"/>
    <w:rsid w:val="00C13AA7"/>
    <w:rsid w:val="00C13ACD"/>
    <w:rsid w:val="00C13BFF"/>
    <w:rsid w:val="00C13E62"/>
    <w:rsid w:val="00C13E78"/>
    <w:rsid w:val="00C13E8A"/>
    <w:rsid w:val="00C13EDD"/>
    <w:rsid w:val="00C13FFE"/>
    <w:rsid w:val="00C14046"/>
    <w:rsid w:val="00C14281"/>
    <w:rsid w:val="00C143DA"/>
    <w:rsid w:val="00C145D2"/>
    <w:rsid w:val="00C149D0"/>
    <w:rsid w:val="00C14A6C"/>
    <w:rsid w:val="00C14B2B"/>
    <w:rsid w:val="00C14FB8"/>
    <w:rsid w:val="00C1502B"/>
    <w:rsid w:val="00C150BE"/>
    <w:rsid w:val="00C155CB"/>
    <w:rsid w:val="00C156C6"/>
    <w:rsid w:val="00C157F6"/>
    <w:rsid w:val="00C15803"/>
    <w:rsid w:val="00C15888"/>
    <w:rsid w:val="00C1597A"/>
    <w:rsid w:val="00C15CB6"/>
    <w:rsid w:val="00C15F4D"/>
    <w:rsid w:val="00C1606E"/>
    <w:rsid w:val="00C16199"/>
    <w:rsid w:val="00C161B3"/>
    <w:rsid w:val="00C1625B"/>
    <w:rsid w:val="00C1630F"/>
    <w:rsid w:val="00C1649E"/>
    <w:rsid w:val="00C16642"/>
    <w:rsid w:val="00C1666D"/>
    <w:rsid w:val="00C16707"/>
    <w:rsid w:val="00C169AD"/>
    <w:rsid w:val="00C16A6F"/>
    <w:rsid w:val="00C16ACE"/>
    <w:rsid w:val="00C16DC4"/>
    <w:rsid w:val="00C17046"/>
    <w:rsid w:val="00C170EF"/>
    <w:rsid w:val="00C17117"/>
    <w:rsid w:val="00C171A7"/>
    <w:rsid w:val="00C1723A"/>
    <w:rsid w:val="00C17252"/>
    <w:rsid w:val="00C1747F"/>
    <w:rsid w:val="00C174A0"/>
    <w:rsid w:val="00C17549"/>
    <w:rsid w:val="00C1758E"/>
    <w:rsid w:val="00C17601"/>
    <w:rsid w:val="00C1762B"/>
    <w:rsid w:val="00C17685"/>
    <w:rsid w:val="00C17739"/>
    <w:rsid w:val="00C17887"/>
    <w:rsid w:val="00C17A02"/>
    <w:rsid w:val="00C17FAA"/>
    <w:rsid w:val="00C17FAB"/>
    <w:rsid w:val="00C2008D"/>
    <w:rsid w:val="00C20101"/>
    <w:rsid w:val="00C202B3"/>
    <w:rsid w:val="00C203B9"/>
    <w:rsid w:val="00C2056B"/>
    <w:rsid w:val="00C20815"/>
    <w:rsid w:val="00C20AB1"/>
    <w:rsid w:val="00C20BB4"/>
    <w:rsid w:val="00C20D52"/>
    <w:rsid w:val="00C20DAA"/>
    <w:rsid w:val="00C210F8"/>
    <w:rsid w:val="00C212E1"/>
    <w:rsid w:val="00C21444"/>
    <w:rsid w:val="00C21454"/>
    <w:rsid w:val="00C21535"/>
    <w:rsid w:val="00C2172A"/>
    <w:rsid w:val="00C217A2"/>
    <w:rsid w:val="00C21A0A"/>
    <w:rsid w:val="00C21B2B"/>
    <w:rsid w:val="00C21BE3"/>
    <w:rsid w:val="00C21CE4"/>
    <w:rsid w:val="00C22189"/>
    <w:rsid w:val="00C221EB"/>
    <w:rsid w:val="00C22398"/>
    <w:rsid w:val="00C22553"/>
    <w:rsid w:val="00C226E6"/>
    <w:rsid w:val="00C227D2"/>
    <w:rsid w:val="00C22AD1"/>
    <w:rsid w:val="00C22B8A"/>
    <w:rsid w:val="00C22EEE"/>
    <w:rsid w:val="00C230E2"/>
    <w:rsid w:val="00C231EA"/>
    <w:rsid w:val="00C23267"/>
    <w:rsid w:val="00C232CE"/>
    <w:rsid w:val="00C2346E"/>
    <w:rsid w:val="00C23564"/>
    <w:rsid w:val="00C236CB"/>
    <w:rsid w:val="00C23792"/>
    <w:rsid w:val="00C23919"/>
    <w:rsid w:val="00C23953"/>
    <w:rsid w:val="00C23A72"/>
    <w:rsid w:val="00C23D45"/>
    <w:rsid w:val="00C24142"/>
    <w:rsid w:val="00C2426F"/>
    <w:rsid w:val="00C242AC"/>
    <w:rsid w:val="00C24346"/>
    <w:rsid w:val="00C24420"/>
    <w:rsid w:val="00C24448"/>
    <w:rsid w:val="00C24489"/>
    <w:rsid w:val="00C24495"/>
    <w:rsid w:val="00C244F9"/>
    <w:rsid w:val="00C24700"/>
    <w:rsid w:val="00C249E3"/>
    <w:rsid w:val="00C24ADC"/>
    <w:rsid w:val="00C24AEA"/>
    <w:rsid w:val="00C24D53"/>
    <w:rsid w:val="00C24D7D"/>
    <w:rsid w:val="00C24DFC"/>
    <w:rsid w:val="00C24E09"/>
    <w:rsid w:val="00C24E50"/>
    <w:rsid w:val="00C24E88"/>
    <w:rsid w:val="00C24EAE"/>
    <w:rsid w:val="00C24F33"/>
    <w:rsid w:val="00C24FC9"/>
    <w:rsid w:val="00C251C9"/>
    <w:rsid w:val="00C2527D"/>
    <w:rsid w:val="00C25283"/>
    <w:rsid w:val="00C252D0"/>
    <w:rsid w:val="00C2534E"/>
    <w:rsid w:val="00C253A0"/>
    <w:rsid w:val="00C2543F"/>
    <w:rsid w:val="00C254FF"/>
    <w:rsid w:val="00C25500"/>
    <w:rsid w:val="00C25545"/>
    <w:rsid w:val="00C25991"/>
    <w:rsid w:val="00C25BF2"/>
    <w:rsid w:val="00C25CC5"/>
    <w:rsid w:val="00C25E8B"/>
    <w:rsid w:val="00C25F10"/>
    <w:rsid w:val="00C25F8F"/>
    <w:rsid w:val="00C2604D"/>
    <w:rsid w:val="00C261DB"/>
    <w:rsid w:val="00C26539"/>
    <w:rsid w:val="00C26601"/>
    <w:rsid w:val="00C26687"/>
    <w:rsid w:val="00C267DF"/>
    <w:rsid w:val="00C269AA"/>
    <w:rsid w:val="00C26A7E"/>
    <w:rsid w:val="00C26C75"/>
    <w:rsid w:val="00C26DD4"/>
    <w:rsid w:val="00C27008"/>
    <w:rsid w:val="00C2723C"/>
    <w:rsid w:val="00C27364"/>
    <w:rsid w:val="00C27390"/>
    <w:rsid w:val="00C273BC"/>
    <w:rsid w:val="00C27416"/>
    <w:rsid w:val="00C274A8"/>
    <w:rsid w:val="00C2754A"/>
    <w:rsid w:val="00C27720"/>
    <w:rsid w:val="00C2776A"/>
    <w:rsid w:val="00C278CC"/>
    <w:rsid w:val="00C27A0C"/>
    <w:rsid w:val="00C27A6F"/>
    <w:rsid w:val="00C27C07"/>
    <w:rsid w:val="00C27C10"/>
    <w:rsid w:val="00C27E08"/>
    <w:rsid w:val="00C3018F"/>
    <w:rsid w:val="00C30296"/>
    <w:rsid w:val="00C30327"/>
    <w:rsid w:val="00C30733"/>
    <w:rsid w:val="00C309A8"/>
    <w:rsid w:val="00C30A0A"/>
    <w:rsid w:val="00C30AE7"/>
    <w:rsid w:val="00C30B8E"/>
    <w:rsid w:val="00C30C9A"/>
    <w:rsid w:val="00C30D26"/>
    <w:rsid w:val="00C30DC3"/>
    <w:rsid w:val="00C30E87"/>
    <w:rsid w:val="00C30EB1"/>
    <w:rsid w:val="00C31198"/>
    <w:rsid w:val="00C311EF"/>
    <w:rsid w:val="00C3134D"/>
    <w:rsid w:val="00C314B0"/>
    <w:rsid w:val="00C314B7"/>
    <w:rsid w:val="00C314F7"/>
    <w:rsid w:val="00C3157E"/>
    <w:rsid w:val="00C316E3"/>
    <w:rsid w:val="00C31791"/>
    <w:rsid w:val="00C317CE"/>
    <w:rsid w:val="00C319F7"/>
    <w:rsid w:val="00C31B4B"/>
    <w:rsid w:val="00C31CB0"/>
    <w:rsid w:val="00C31CB2"/>
    <w:rsid w:val="00C320D0"/>
    <w:rsid w:val="00C320E3"/>
    <w:rsid w:val="00C322C5"/>
    <w:rsid w:val="00C3247B"/>
    <w:rsid w:val="00C325D5"/>
    <w:rsid w:val="00C32741"/>
    <w:rsid w:val="00C32863"/>
    <w:rsid w:val="00C32894"/>
    <w:rsid w:val="00C32B67"/>
    <w:rsid w:val="00C32D4E"/>
    <w:rsid w:val="00C32D71"/>
    <w:rsid w:val="00C32DA4"/>
    <w:rsid w:val="00C32FB4"/>
    <w:rsid w:val="00C33085"/>
    <w:rsid w:val="00C33344"/>
    <w:rsid w:val="00C334E4"/>
    <w:rsid w:val="00C33793"/>
    <w:rsid w:val="00C337B2"/>
    <w:rsid w:val="00C339E9"/>
    <w:rsid w:val="00C34493"/>
    <w:rsid w:val="00C345F2"/>
    <w:rsid w:val="00C34637"/>
    <w:rsid w:val="00C347B0"/>
    <w:rsid w:val="00C34980"/>
    <w:rsid w:val="00C349AA"/>
    <w:rsid w:val="00C34BE7"/>
    <w:rsid w:val="00C34C8E"/>
    <w:rsid w:val="00C34F3D"/>
    <w:rsid w:val="00C34FB1"/>
    <w:rsid w:val="00C34FC3"/>
    <w:rsid w:val="00C35151"/>
    <w:rsid w:val="00C351A9"/>
    <w:rsid w:val="00C351C6"/>
    <w:rsid w:val="00C354F9"/>
    <w:rsid w:val="00C35621"/>
    <w:rsid w:val="00C35672"/>
    <w:rsid w:val="00C35715"/>
    <w:rsid w:val="00C35769"/>
    <w:rsid w:val="00C3587B"/>
    <w:rsid w:val="00C358ED"/>
    <w:rsid w:val="00C35939"/>
    <w:rsid w:val="00C35BDE"/>
    <w:rsid w:val="00C35BE8"/>
    <w:rsid w:val="00C35E19"/>
    <w:rsid w:val="00C3604D"/>
    <w:rsid w:val="00C36054"/>
    <w:rsid w:val="00C36072"/>
    <w:rsid w:val="00C3661A"/>
    <w:rsid w:val="00C3670A"/>
    <w:rsid w:val="00C36756"/>
    <w:rsid w:val="00C3689A"/>
    <w:rsid w:val="00C36AA7"/>
    <w:rsid w:val="00C36B73"/>
    <w:rsid w:val="00C36C63"/>
    <w:rsid w:val="00C36D3F"/>
    <w:rsid w:val="00C36D86"/>
    <w:rsid w:val="00C36E9B"/>
    <w:rsid w:val="00C3714A"/>
    <w:rsid w:val="00C371F2"/>
    <w:rsid w:val="00C37316"/>
    <w:rsid w:val="00C374C3"/>
    <w:rsid w:val="00C3766D"/>
    <w:rsid w:val="00C3772C"/>
    <w:rsid w:val="00C37828"/>
    <w:rsid w:val="00C379F0"/>
    <w:rsid w:val="00C37A00"/>
    <w:rsid w:val="00C37AA0"/>
    <w:rsid w:val="00C37C0C"/>
    <w:rsid w:val="00C37E6C"/>
    <w:rsid w:val="00C40133"/>
    <w:rsid w:val="00C40170"/>
    <w:rsid w:val="00C40271"/>
    <w:rsid w:val="00C40469"/>
    <w:rsid w:val="00C405EF"/>
    <w:rsid w:val="00C40697"/>
    <w:rsid w:val="00C40816"/>
    <w:rsid w:val="00C40896"/>
    <w:rsid w:val="00C40956"/>
    <w:rsid w:val="00C40A52"/>
    <w:rsid w:val="00C40D2B"/>
    <w:rsid w:val="00C40D55"/>
    <w:rsid w:val="00C40DB0"/>
    <w:rsid w:val="00C41052"/>
    <w:rsid w:val="00C41180"/>
    <w:rsid w:val="00C41247"/>
    <w:rsid w:val="00C4153D"/>
    <w:rsid w:val="00C41565"/>
    <w:rsid w:val="00C415AF"/>
    <w:rsid w:val="00C416CF"/>
    <w:rsid w:val="00C418E3"/>
    <w:rsid w:val="00C4191A"/>
    <w:rsid w:val="00C41921"/>
    <w:rsid w:val="00C4193C"/>
    <w:rsid w:val="00C4199B"/>
    <w:rsid w:val="00C419D8"/>
    <w:rsid w:val="00C41B2C"/>
    <w:rsid w:val="00C41B9D"/>
    <w:rsid w:val="00C41D01"/>
    <w:rsid w:val="00C41D82"/>
    <w:rsid w:val="00C42017"/>
    <w:rsid w:val="00C421C8"/>
    <w:rsid w:val="00C4252E"/>
    <w:rsid w:val="00C426E0"/>
    <w:rsid w:val="00C4284C"/>
    <w:rsid w:val="00C42985"/>
    <w:rsid w:val="00C42A38"/>
    <w:rsid w:val="00C42DD6"/>
    <w:rsid w:val="00C42FC0"/>
    <w:rsid w:val="00C430FD"/>
    <w:rsid w:val="00C43137"/>
    <w:rsid w:val="00C43520"/>
    <w:rsid w:val="00C435A8"/>
    <w:rsid w:val="00C4364F"/>
    <w:rsid w:val="00C436A8"/>
    <w:rsid w:val="00C43724"/>
    <w:rsid w:val="00C4380B"/>
    <w:rsid w:val="00C438B5"/>
    <w:rsid w:val="00C43933"/>
    <w:rsid w:val="00C43B16"/>
    <w:rsid w:val="00C43BF7"/>
    <w:rsid w:val="00C43D5F"/>
    <w:rsid w:val="00C43DB4"/>
    <w:rsid w:val="00C43E58"/>
    <w:rsid w:val="00C4413E"/>
    <w:rsid w:val="00C44222"/>
    <w:rsid w:val="00C44315"/>
    <w:rsid w:val="00C44339"/>
    <w:rsid w:val="00C44442"/>
    <w:rsid w:val="00C44596"/>
    <w:rsid w:val="00C445F0"/>
    <w:rsid w:val="00C4463A"/>
    <w:rsid w:val="00C44712"/>
    <w:rsid w:val="00C4472E"/>
    <w:rsid w:val="00C448CA"/>
    <w:rsid w:val="00C44ABD"/>
    <w:rsid w:val="00C44AE0"/>
    <w:rsid w:val="00C44AF2"/>
    <w:rsid w:val="00C44B6E"/>
    <w:rsid w:val="00C44BF1"/>
    <w:rsid w:val="00C44C65"/>
    <w:rsid w:val="00C44D06"/>
    <w:rsid w:val="00C450CC"/>
    <w:rsid w:val="00C450E4"/>
    <w:rsid w:val="00C45416"/>
    <w:rsid w:val="00C45704"/>
    <w:rsid w:val="00C457C2"/>
    <w:rsid w:val="00C45AC8"/>
    <w:rsid w:val="00C45BCA"/>
    <w:rsid w:val="00C45C6A"/>
    <w:rsid w:val="00C45DBD"/>
    <w:rsid w:val="00C45E26"/>
    <w:rsid w:val="00C45EAB"/>
    <w:rsid w:val="00C4623A"/>
    <w:rsid w:val="00C4636D"/>
    <w:rsid w:val="00C463A0"/>
    <w:rsid w:val="00C464CE"/>
    <w:rsid w:val="00C4662F"/>
    <w:rsid w:val="00C4679A"/>
    <w:rsid w:val="00C4679C"/>
    <w:rsid w:val="00C467E6"/>
    <w:rsid w:val="00C46835"/>
    <w:rsid w:val="00C46899"/>
    <w:rsid w:val="00C46A98"/>
    <w:rsid w:val="00C46B2E"/>
    <w:rsid w:val="00C46D23"/>
    <w:rsid w:val="00C46D50"/>
    <w:rsid w:val="00C46E33"/>
    <w:rsid w:val="00C4711D"/>
    <w:rsid w:val="00C471C2"/>
    <w:rsid w:val="00C472C7"/>
    <w:rsid w:val="00C47400"/>
    <w:rsid w:val="00C4742B"/>
    <w:rsid w:val="00C47439"/>
    <w:rsid w:val="00C47EB5"/>
    <w:rsid w:val="00C47ED1"/>
    <w:rsid w:val="00C47F1C"/>
    <w:rsid w:val="00C5010C"/>
    <w:rsid w:val="00C50197"/>
    <w:rsid w:val="00C50277"/>
    <w:rsid w:val="00C50657"/>
    <w:rsid w:val="00C507E6"/>
    <w:rsid w:val="00C5083A"/>
    <w:rsid w:val="00C50B6F"/>
    <w:rsid w:val="00C50C81"/>
    <w:rsid w:val="00C50CD3"/>
    <w:rsid w:val="00C50D0A"/>
    <w:rsid w:val="00C50E49"/>
    <w:rsid w:val="00C50E7F"/>
    <w:rsid w:val="00C50EFC"/>
    <w:rsid w:val="00C50F4F"/>
    <w:rsid w:val="00C5118C"/>
    <w:rsid w:val="00C5125C"/>
    <w:rsid w:val="00C5155B"/>
    <w:rsid w:val="00C51571"/>
    <w:rsid w:val="00C51575"/>
    <w:rsid w:val="00C51606"/>
    <w:rsid w:val="00C5175D"/>
    <w:rsid w:val="00C51786"/>
    <w:rsid w:val="00C518DF"/>
    <w:rsid w:val="00C51917"/>
    <w:rsid w:val="00C51966"/>
    <w:rsid w:val="00C51BDD"/>
    <w:rsid w:val="00C51C7C"/>
    <w:rsid w:val="00C51DB4"/>
    <w:rsid w:val="00C520DB"/>
    <w:rsid w:val="00C52159"/>
    <w:rsid w:val="00C52171"/>
    <w:rsid w:val="00C521C8"/>
    <w:rsid w:val="00C522AC"/>
    <w:rsid w:val="00C523F6"/>
    <w:rsid w:val="00C526B8"/>
    <w:rsid w:val="00C528A2"/>
    <w:rsid w:val="00C529FA"/>
    <w:rsid w:val="00C52A43"/>
    <w:rsid w:val="00C52ADD"/>
    <w:rsid w:val="00C52D97"/>
    <w:rsid w:val="00C52D9B"/>
    <w:rsid w:val="00C52E1C"/>
    <w:rsid w:val="00C52E30"/>
    <w:rsid w:val="00C52EF9"/>
    <w:rsid w:val="00C532A2"/>
    <w:rsid w:val="00C532BF"/>
    <w:rsid w:val="00C532ED"/>
    <w:rsid w:val="00C535FE"/>
    <w:rsid w:val="00C53815"/>
    <w:rsid w:val="00C53A19"/>
    <w:rsid w:val="00C53A58"/>
    <w:rsid w:val="00C53AA1"/>
    <w:rsid w:val="00C53CDA"/>
    <w:rsid w:val="00C53DA6"/>
    <w:rsid w:val="00C53EB8"/>
    <w:rsid w:val="00C53EDB"/>
    <w:rsid w:val="00C53F33"/>
    <w:rsid w:val="00C540CB"/>
    <w:rsid w:val="00C54151"/>
    <w:rsid w:val="00C54215"/>
    <w:rsid w:val="00C5432D"/>
    <w:rsid w:val="00C54A54"/>
    <w:rsid w:val="00C54CE6"/>
    <w:rsid w:val="00C54CE7"/>
    <w:rsid w:val="00C54DB4"/>
    <w:rsid w:val="00C54F68"/>
    <w:rsid w:val="00C5517B"/>
    <w:rsid w:val="00C552F4"/>
    <w:rsid w:val="00C554B3"/>
    <w:rsid w:val="00C555D8"/>
    <w:rsid w:val="00C556AF"/>
    <w:rsid w:val="00C55894"/>
    <w:rsid w:val="00C558DA"/>
    <w:rsid w:val="00C559A6"/>
    <w:rsid w:val="00C55AE6"/>
    <w:rsid w:val="00C55AF5"/>
    <w:rsid w:val="00C55C17"/>
    <w:rsid w:val="00C55C41"/>
    <w:rsid w:val="00C55E72"/>
    <w:rsid w:val="00C55E97"/>
    <w:rsid w:val="00C55EDA"/>
    <w:rsid w:val="00C56019"/>
    <w:rsid w:val="00C56027"/>
    <w:rsid w:val="00C564EE"/>
    <w:rsid w:val="00C5655E"/>
    <w:rsid w:val="00C56630"/>
    <w:rsid w:val="00C566C0"/>
    <w:rsid w:val="00C568A3"/>
    <w:rsid w:val="00C569AE"/>
    <w:rsid w:val="00C56A79"/>
    <w:rsid w:val="00C56B0D"/>
    <w:rsid w:val="00C56BFE"/>
    <w:rsid w:val="00C56E4E"/>
    <w:rsid w:val="00C5706F"/>
    <w:rsid w:val="00C5711F"/>
    <w:rsid w:val="00C571C8"/>
    <w:rsid w:val="00C572C0"/>
    <w:rsid w:val="00C57301"/>
    <w:rsid w:val="00C57453"/>
    <w:rsid w:val="00C577CF"/>
    <w:rsid w:val="00C57996"/>
    <w:rsid w:val="00C57BA4"/>
    <w:rsid w:val="00C57D08"/>
    <w:rsid w:val="00C57D33"/>
    <w:rsid w:val="00C57D54"/>
    <w:rsid w:val="00C57D66"/>
    <w:rsid w:val="00C57DB7"/>
    <w:rsid w:val="00C57DE8"/>
    <w:rsid w:val="00C601C6"/>
    <w:rsid w:val="00C602D8"/>
    <w:rsid w:val="00C607FA"/>
    <w:rsid w:val="00C60804"/>
    <w:rsid w:val="00C60A37"/>
    <w:rsid w:val="00C60AE2"/>
    <w:rsid w:val="00C60DCE"/>
    <w:rsid w:val="00C60FA0"/>
    <w:rsid w:val="00C61156"/>
    <w:rsid w:val="00C61257"/>
    <w:rsid w:val="00C61356"/>
    <w:rsid w:val="00C61409"/>
    <w:rsid w:val="00C6167D"/>
    <w:rsid w:val="00C6188E"/>
    <w:rsid w:val="00C618B1"/>
    <w:rsid w:val="00C61A8F"/>
    <w:rsid w:val="00C61AC1"/>
    <w:rsid w:val="00C61B97"/>
    <w:rsid w:val="00C6208B"/>
    <w:rsid w:val="00C62194"/>
    <w:rsid w:val="00C6233A"/>
    <w:rsid w:val="00C6240D"/>
    <w:rsid w:val="00C6251B"/>
    <w:rsid w:val="00C62592"/>
    <w:rsid w:val="00C627CB"/>
    <w:rsid w:val="00C6294D"/>
    <w:rsid w:val="00C62BF2"/>
    <w:rsid w:val="00C62C6B"/>
    <w:rsid w:val="00C62D11"/>
    <w:rsid w:val="00C62FAA"/>
    <w:rsid w:val="00C63136"/>
    <w:rsid w:val="00C631B0"/>
    <w:rsid w:val="00C6335F"/>
    <w:rsid w:val="00C634C1"/>
    <w:rsid w:val="00C6354D"/>
    <w:rsid w:val="00C6388F"/>
    <w:rsid w:val="00C63B5D"/>
    <w:rsid w:val="00C63D46"/>
    <w:rsid w:val="00C63E8F"/>
    <w:rsid w:val="00C63FA2"/>
    <w:rsid w:val="00C64132"/>
    <w:rsid w:val="00C645DA"/>
    <w:rsid w:val="00C6462A"/>
    <w:rsid w:val="00C64689"/>
    <w:rsid w:val="00C646C7"/>
    <w:rsid w:val="00C64834"/>
    <w:rsid w:val="00C64958"/>
    <w:rsid w:val="00C64B10"/>
    <w:rsid w:val="00C64E1C"/>
    <w:rsid w:val="00C650DC"/>
    <w:rsid w:val="00C651E0"/>
    <w:rsid w:val="00C653CF"/>
    <w:rsid w:val="00C65527"/>
    <w:rsid w:val="00C6566B"/>
    <w:rsid w:val="00C6582D"/>
    <w:rsid w:val="00C658FE"/>
    <w:rsid w:val="00C65C97"/>
    <w:rsid w:val="00C65CB7"/>
    <w:rsid w:val="00C65CFC"/>
    <w:rsid w:val="00C65E04"/>
    <w:rsid w:val="00C66279"/>
    <w:rsid w:val="00C66282"/>
    <w:rsid w:val="00C6628B"/>
    <w:rsid w:val="00C66357"/>
    <w:rsid w:val="00C663D6"/>
    <w:rsid w:val="00C6642B"/>
    <w:rsid w:val="00C66440"/>
    <w:rsid w:val="00C66490"/>
    <w:rsid w:val="00C664CA"/>
    <w:rsid w:val="00C664F7"/>
    <w:rsid w:val="00C66577"/>
    <w:rsid w:val="00C6665A"/>
    <w:rsid w:val="00C666FD"/>
    <w:rsid w:val="00C6675C"/>
    <w:rsid w:val="00C6687B"/>
    <w:rsid w:val="00C6692D"/>
    <w:rsid w:val="00C66998"/>
    <w:rsid w:val="00C66AE7"/>
    <w:rsid w:val="00C66C3D"/>
    <w:rsid w:val="00C66D09"/>
    <w:rsid w:val="00C670CB"/>
    <w:rsid w:val="00C673C7"/>
    <w:rsid w:val="00C678ED"/>
    <w:rsid w:val="00C67933"/>
    <w:rsid w:val="00C67A5F"/>
    <w:rsid w:val="00C67A75"/>
    <w:rsid w:val="00C67BCE"/>
    <w:rsid w:val="00C67BF0"/>
    <w:rsid w:val="00C67C52"/>
    <w:rsid w:val="00C67DD2"/>
    <w:rsid w:val="00C67E53"/>
    <w:rsid w:val="00C67F6D"/>
    <w:rsid w:val="00C70336"/>
    <w:rsid w:val="00C70471"/>
    <w:rsid w:val="00C704D3"/>
    <w:rsid w:val="00C705A1"/>
    <w:rsid w:val="00C70610"/>
    <w:rsid w:val="00C70730"/>
    <w:rsid w:val="00C70738"/>
    <w:rsid w:val="00C70A51"/>
    <w:rsid w:val="00C70A99"/>
    <w:rsid w:val="00C70C19"/>
    <w:rsid w:val="00C70DDD"/>
    <w:rsid w:val="00C714F7"/>
    <w:rsid w:val="00C715F4"/>
    <w:rsid w:val="00C71697"/>
    <w:rsid w:val="00C71759"/>
    <w:rsid w:val="00C718B9"/>
    <w:rsid w:val="00C71A82"/>
    <w:rsid w:val="00C71BA4"/>
    <w:rsid w:val="00C71C60"/>
    <w:rsid w:val="00C71C71"/>
    <w:rsid w:val="00C71DEA"/>
    <w:rsid w:val="00C71DF5"/>
    <w:rsid w:val="00C71E71"/>
    <w:rsid w:val="00C71F4D"/>
    <w:rsid w:val="00C72123"/>
    <w:rsid w:val="00C72280"/>
    <w:rsid w:val="00C72444"/>
    <w:rsid w:val="00C7249B"/>
    <w:rsid w:val="00C72797"/>
    <w:rsid w:val="00C727AB"/>
    <w:rsid w:val="00C72915"/>
    <w:rsid w:val="00C72D32"/>
    <w:rsid w:val="00C72EF5"/>
    <w:rsid w:val="00C72F3E"/>
    <w:rsid w:val="00C730ED"/>
    <w:rsid w:val="00C73321"/>
    <w:rsid w:val="00C73383"/>
    <w:rsid w:val="00C7347F"/>
    <w:rsid w:val="00C73A34"/>
    <w:rsid w:val="00C73AE5"/>
    <w:rsid w:val="00C73B6B"/>
    <w:rsid w:val="00C73C54"/>
    <w:rsid w:val="00C73CC5"/>
    <w:rsid w:val="00C73CDA"/>
    <w:rsid w:val="00C73F25"/>
    <w:rsid w:val="00C74066"/>
    <w:rsid w:val="00C74410"/>
    <w:rsid w:val="00C7460C"/>
    <w:rsid w:val="00C7461F"/>
    <w:rsid w:val="00C7473D"/>
    <w:rsid w:val="00C747E4"/>
    <w:rsid w:val="00C748AB"/>
    <w:rsid w:val="00C748E1"/>
    <w:rsid w:val="00C749AF"/>
    <w:rsid w:val="00C74A9B"/>
    <w:rsid w:val="00C74D07"/>
    <w:rsid w:val="00C74F64"/>
    <w:rsid w:val="00C74FD8"/>
    <w:rsid w:val="00C7515A"/>
    <w:rsid w:val="00C7522A"/>
    <w:rsid w:val="00C75238"/>
    <w:rsid w:val="00C754F3"/>
    <w:rsid w:val="00C7554F"/>
    <w:rsid w:val="00C755DC"/>
    <w:rsid w:val="00C75640"/>
    <w:rsid w:val="00C75654"/>
    <w:rsid w:val="00C7575A"/>
    <w:rsid w:val="00C75769"/>
    <w:rsid w:val="00C75831"/>
    <w:rsid w:val="00C75A08"/>
    <w:rsid w:val="00C75D56"/>
    <w:rsid w:val="00C75DC0"/>
    <w:rsid w:val="00C76007"/>
    <w:rsid w:val="00C76314"/>
    <w:rsid w:val="00C76593"/>
    <w:rsid w:val="00C7670D"/>
    <w:rsid w:val="00C767DE"/>
    <w:rsid w:val="00C76803"/>
    <w:rsid w:val="00C76D34"/>
    <w:rsid w:val="00C7730D"/>
    <w:rsid w:val="00C77825"/>
    <w:rsid w:val="00C7788C"/>
    <w:rsid w:val="00C779CB"/>
    <w:rsid w:val="00C779E0"/>
    <w:rsid w:val="00C77B11"/>
    <w:rsid w:val="00C77D38"/>
    <w:rsid w:val="00C77EB0"/>
    <w:rsid w:val="00C77FAB"/>
    <w:rsid w:val="00C77FB2"/>
    <w:rsid w:val="00C80165"/>
    <w:rsid w:val="00C801FE"/>
    <w:rsid w:val="00C80388"/>
    <w:rsid w:val="00C8038C"/>
    <w:rsid w:val="00C8046C"/>
    <w:rsid w:val="00C805BF"/>
    <w:rsid w:val="00C807E6"/>
    <w:rsid w:val="00C80BBF"/>
    <w:rsid w:val="00C80CB7"/>
    <w:rsid w:val="00C80DCF"/>
    <w:rsid w:val="00C80DFF"/>
    <w:rsid w:val="00C814D2"/>
    <w:rsid w:val="00C8164C"/>
    <w:rsid w:val="00C81705"/>
    <w:rsid w:val="00C817B8"/>
    <w:rsid w:val="00C81E69"/>
    <w:rsid w:val="00C820B7"/>
    <w:rsid w:val="00C821A5"/>
    <w:rsid w:val="00C821B2"/>
    <w:rsid w:val="00C8238C"/>
    <w:rsid w:val="00C823A7"/>
    <w:rsid w:val="00C82798"/>
    <w:rsid w:val="00C827C2"/>
    <w:rsid w:val="00C827DD"/>
    <w:rsid w:val="00C8288C"/>
    <w:rsid w:val="00C82986"/>
    <w:rsid w:val="00C82A36"/>
    <w:rsid w:val="00C82B91"/>
    <w:rsid w:val="00C82DD8"/>
    <w:rsid w:val="00C82E6E"/>
    <w:rsid w:val="00C82E71"/>
    <w:rsid w:val="00C82E92"/>
    <w:rsid w:val="00C82F9E"/>
    <w:rsid w:val="00C82FCF"/>
    <w:rsid w:val="00C83299"/>
    <w:rsid w:val="00C832C7"/>
    <w:rsid w:val="00C8343B"/>
    <w:rsid w:val="00C835C7"/>
    <w:rsid w:val="00C83611"/>
    <w:rsid w:val="00C83774"/>
    <w:rsid w:val="00C83828"/>
    <w:rsid w:val="00C83837"/>
    <w:rsid w:val="00C83845"/>
    <w:rsid w:val="00C83859"/>
    <w:rsid w:val="00C83A6C"/>
    <w:rsid w:val="00C83A73"/>
    <w:rsid w:val="00C83B0C"/>
    <w:rsid w:val="00C84113"/>
    <w:rsid w:val="00C84156"/>
    <w:rsid w:val="00C84219"/>
    <w:rsid w:val="00C8427F"/>
    <w:rsid w:val="00C8432A"/>
    <w:rsid w:val="00C84414"/>
    <w:rsid w:val="00C8470C"/>
    <w:rsid w:val="00C84713"/>
    <w:rsid w:val="00C84722"/>
    <w:rsid w:val="00C84734"/>
    <w:rsid w:val="00C8475A"/>
    <w:rsid w:val="00C847B4"/>
    <w:rsid w:val="00C847D2"/>
    <w:rsid w:val="00C8485C"/>
    <w:rsid w:val="00C849F6"/>
    <w:rsid w:val="00C84AC5"/>
    <w:rsid w:val="00C84AE5"/>
    <w:rsid w:val="00C84B50"/>
    <w:rsid w:val="00C84CAD"/>
    <w:rsid w:val="00C84D38"/>
    <w:rsid w:val="00C84DCE"/>
    <w:rsid w:val="00C84E79"/>
    <w:rsid w:val="00C84EF5"/>
    <w:rsid w:val="00C84FA6"/>
    <w:rsid w:val="00C85054"/>
    <w:rsid w:val="00C850B8"/>
    <w:rsid w:val="00C8511D"/>
    <w:rsid w:val="00C85255"/>
    <w:rsid w:val="00C8526C"/>
    <w:rsid w:val="00C85350"/>
    <w:rsid w:val="00C8536D"/>
    <w:rsid w:val="00C854C5"/>
    <w:rsid w:val="00C85504"/>
    <w:rsid w:val="00C85520"/>
    <w:rsid w:val="00C8565D"/>
    <w:rsid w:val="00C856F8"/>
    <w:rsid w:val="00C857AB"/>
    <w:rsid w:val="00C8589C"/>
    <w:rsid w:val="00C858A5"/>
    <w:rsid w:val="00C85974"/>
    <w:rsid w:val="00C85984"/>
    <w:rsid w:val="00C85BEA"/>
    <w:rsid w:val="00C85BFC"/>
    <w:rsid w:val="00C85D54"/>
    <w:rsid w:val="00C85DF2"/>
    <w:rsid w:val="00C860C2"/>
    <w:rsid w:val="00C86282"/>
    <w:rsid w:val="00C863E1"/>
    <w:rsid w:val="00C863EE"/>
    <w:rsid w:val="00C866AA"/>
    <w:rsid w:val="00C86750"/>
    <w:rsid w:val="00C867A7"/>
    <w:rsid w:val="00C86ACD"/>
    <w:rsid w:val="00C86B58"/>
    <w:rsid w:val="00C86B7A"/>
    <w:rsid w:val="00C86B81"/>
    <w:rsid w:val="00C86F58"/>
    <w:rsid w:val="00C870C0"/>
    <w:rsid w:val="00C873DC"/>
    <w:rsid w:val="00C876D3"/>
    <w:rsid w:val="00C877A2"/>
    <w:rsid w:val="00C87975"/>
    <w:rsid w:val="00C87A95"/>
    <w:rsid w:val="00C87BB7"/>
    <w:rsid w:val="00C87D95"/>
    <w:rsid w:val="00C87E6C"/>
    <w:rsid w:val="00C87F3C"/>
    <w:rsid w:val="00C900C3"/>
    <w:rsid w:val="00C9028D"/>
    <w:rsid w:val="00C90570"/>
    <w:rsid w:val="00C90689"/>
    <w:rsid w:val="00C90958"/>
    <w:rsid w:val="00C90B68"/>
    <w:rsid w:val="00C90CF2"/>
    <w:rsid w:val="00C90E2B"/>
    <w:rsid w:val="00C910EF"/>
    <w:rsid w:val="00C91128"/>
    <w:rsid w:val="00C91181"/>
    <w:rsid w:val="00C91266"/>
    <w:rsid w:val="00C91582"/>
    <w:rsid w:val="00C91643"/>
    <w:rsid w:val="00C9175F"/>
    <w:rsid w:val="00C91837"/>
    <w:rsid w:val="00C91877"/>
    <w:rsid w:val="00C9197C"/>
    <w:rsid w:val="00C91A81"/>
    <w:rsid w:val="00C91B9F"/>
    <w:rsid w:val="00C91C00"/>
    <w:rsid w:val="00C91E2D"/>
    <w:rsid w:val="00C91F79"/>
    <w:rsid w:val="00C92152"/>
    <w:rsid w:val="00C922E2"/>
    <w:rsid w:val="00C92573"/>
    <w:rsid w:val="00C926F2"/>
    <w:rsid w:val="00C928E1"/>
    <w:rsid w:val="00C929C1"/>
    <w:rsid w:val="00C92B67"/>
    <w:rsid w:val="00C92CE5"/>
    <w:rsid w:val="00C92DA0"/>
    <w:rsid w:val="00C9325C"/>
    <w:rsid w:val="00C9335E"/>
    <w:rsid w:val="00C933A0"/>
    <w:rsid w:val="00C93734"/>
    <w:rsid w:val="00C937BA"/>
    <w:rsid w:val="00C93946"/>
    <w:rsid w:val="00C93988"/>
    <w:rsid w:val="00C93CAE"/>
    <w:rsid w:val="00C93CE8"/>
    <w:rsid w:val="00C93DDE"/>
    <w:rsid w:val="00C93E04"/>
    <w:rsid w:val="00C93E5A"/>
    <w:rsid w:val="00C941C5"/>
    <w:rsid w:val="00C942DE"/>
    <w:rsid w:val="00C94302"/>
    <w:rsid w:val="00C94589"/>
    <w:rsid w:val="00C945DB"/>
    <w:rsid w:val="00C94828"/>
    <w:rsid w:val="00C94835"/>
    <w:rsid w:val="00C94A6D"/>
    <w:rsid w:val="00C94BA2"/>
    <w:rsid w:val="00C954B9"/>
    <w:rsid w:val="00C954BB"/>
    <w:rsid w:val="00C95811"/>
    <w:rsid w:val="00C95839"/>
    <w:rsid w:val="00C959A7"/>
    <w:rsid w:val="00C95BC9"/>
    <w:rsid w:val="00C95CAE"/>
    <w:rsid w:val="00C95D72"/>
    <w:rsid w:val="00C95DE6"/>
    <w:rsid w:val="00C9621F"/>
    <w:rsid w:val="00C9640A"/>
    <w:rsid w:val="00C964EB"/>
    <w:rsid w:val="00C96582"/>
    <w:rsid w:val="00C965CC"/>
    <w:rsid w:val="00C966B1"/>
    <w:rsid w:val="00C966E0"/>
    <w:rsid w:val="00C9683C"/>
    <w:rsid w:val="00C96A57"/>
    <w:rsid w:val="00C96B49"/>
    <w:rsid w:val="00C96BCA"/>
    <w:rsid w:val="00C96C7C"/>
    <w:rsid w:val="00C96CBB"/>
    <w:rsid w:val="00C96E0A"/>
    <w:rsid w:val="00C96E0E"/>
    <w:rsid w:val="00C96E60"/>
    <w:rsid w:val="00C96F32"/>
    <w:rsid w:val="00C96F91"/>
    <w:rsid w:val="00C96FAD"/>
    <w:rsid w:val="00C972CB"/>
    <w:rsid w:val="00C9739C"/>
    <w:rsid w:val="00C973BC"/>
    <w:rsid w:val="00C97442"/>
    <w:rsid w:val="00C974DD"/>
    <w:rsid w:val="00C975C9"/>
    <w:rsid w:val="00C97634"/>
    <w:rsid w:val="00C976E5"/>
    <w:rsid w:val="00C97740"/>
    <w:rsid w:val="00C977CA"/>
    <w:rsid w:val="00C977E7"/>
    <w:rsid w:val="00C97ABB"/>
    <w:rsid w:val="00C97C9E"/>
    <w:rsid w:val="00CA00AF"/>
    <w:rsid w:val="00CA027A"/>
    <w:rsid w:val="00CA02A9"/>
    <w:rsid w:val="00CA0407"/>
    <w:rsid w:val="00CA0489"/>
    <w:rsid w:val="00CA0741"/>
    <w:rsid w:val="00CA08B7"/>
    <w:rsid w:val="00CA0B34"/>
    <w:rsid w:val="00CA0E84"/>
    <w:rsid w:val="00CA1204"/>
    <w:rsid w:val="00CA12DD"/>
    <w:rsid w:val="00CA1315"/>
    <w:rsid w:val="00CA1360"/>
    <w:rsid w:val="00CA1389"/>
    <w:rsid w:val="00CA13BB"/>
    <w:rsid w:val="00CA16E1"/>
    <w:rsid w:val="00CA1AA8"/>
    <w:rsid w:val="00CA1AF5"/>
    <w:rsid w:val="00CA1D6B"/>
    <w:rsid w:val="00CA20E5"/>
    <w:rsid w:val="00CA21CF"/>
    <w:rsid w:val="00CA22ED"/>
    <w:rsid w:val="00CA2411"/>
    <w:rsid w:val="00CA2577"/>
    <w:rsid w:val="00CA2826"/>
    <w:rsid w:val="00CA2862"/>
    <w:rsid w:val="00CA2939"/>
    <w:rsid w:val="00CA2B63"/>
    <w:rsid w:val="00CA2D9B"/>
    <w:rsid w:val="00CA2E09"/>
    <w:rsid w:val="00CA2FB5"/>
    <w:rsid w:val="00CA304F"/>
    <w:rsid w:val="00CA308E"/>
    <w:rsid w:val="00CA34B7"/>
    <w:rsid w:val="00CA34C3"/>
    <w:rsid w:val="00CA3665"/>
    <w:rsid w:val="00CA366C"/>
    <w:rsid w:val="00CA39F4"/>
    <w:rsid w:val="00CA3A48"/>
    <w:rsid w:val="00CA3B03"/>
    <w:rsid w:val="00CA3B1B"/>
    <w:rsid w:val="00CA3C6C"/>
    <w:rsid w:val="00CA3CEC"/>
    <w:rsid w:val="00CA3D19"/>
    <w:rsid w:val="00CA3E94"/>
    <w:rsid w:val="00CA3EA1"/>
    <w:rsid w:val="00CA40E6"/>
    <w:rsid w:val="00CA4278"/>
    <w:rsid w:val="00CA42E8"/>
    <w:rsid w:val="00CA4599"/>
    <w:rsid w:val="00CA45F4"/>
    <w:rsid w:val="00CA4607"/>
    <w:rsid w:val="00CA4698"/>
    <w:rsid w:val="00CA4700"/>
    <w:rsid w:val="00CA4A01"/>
    <w:rsid w:val="00CA4C9D"/>
    <w:rsid w:val="00CA4CBB"/>
    <w:rsid w:val="00CA4DD6"/>
    <w:rsid w:val="00CA508D"/>
    <w:rsid w:val="00CA509D"/>
    <w:rsid w:val="00CA512B"/>
    <w:rsid w:val="00CA5136"/>
    <w:rsid w:val="00CA5234"/>
    <w:rsid w:val="00CA52C5"/>
    <w:rsid w:val="00CA53B9"/>
    <w:rsid w:val="00CA5565"/>
    <w:rsid w:val="00CA5929"/>
    <w:rsid w:val="00CA5935"/>
    <w:rsid w:val="00CA59A4"/>
    <w:rsid w:val="00CA5AF3"/>
    <w:rsid w:val="00CA5C92"/>
    <w:rsid w:val="00CA5CE1"/>
    <w:rsid w:val="00CA5E60"/>
    <w:rsid w:val="00CA614A"/>
    <w:rsid w:val="00CA61CE"/>
    <w:rsid w:val="00CA6307"/>
    <w:rsid w:val="00CA6431"/>
    <w:rsid w:val="00CA6473"/>
    <w:rsid w:val="00CA660E"/>
    <w:rsid w:val="00CA6727"/>
    <w:rsid w:val="00CA690F"/>
    <w:rsid w:val="00CA6C58"/>
    <w:rsid w:val="00CA6CE0"/>
    <w:rsid w:val="00CA6EB0"/>
    <w:rsid w:val="00CA6F4D"/>
    <w:rsid w:val="00CA701D"/>
    <w:rsid w:val="00CA7183"/>
    <w:rsid w:val="00CA731F"/>
    <w:rsid w:val="00CA7458"/>
    <w:rsid w:val="00CA74AB"/>
    <w:rsid w:val="00CA74F7"/>
    <w:rsid w:val="00CA7658"/>
    <w:rsid w:val="00CA76AD"/>
    <w:rsid w:val="00CA76F6"/>
    <w:rsid w:val="00CA779F"/>
    <w:rsid w:val="00CA7904"/>
    <w:rsid w:val="00CA7AE7"/>
    <w:rsid w:val="00CA7B34"/>
    <w:rsid w:val="00CA7BAC"/>
    <w:rsid w:val="00CA7D0D"/>
    <w:rsid w:val="00CA7EA0"/>
    <w:rsid w:val="00CA7F08"/>
    <w:rsid w:val="00CB00E2"/>
    <w:rsid w:val="00CB025B"/>
    <w:rsid w:val="00CB027F"/>
    <w:rsid w:val="00CB028E"/>
    <w:rsid w:val="00CB031C"/>
    <w:rsid w:val="00CB04A3"/>
    <w:rsid w:val="00CB04C8"/>
    <w:rsid w:val="00CB04F7"/>
    <w:rsid w:val="00CB05DB"/>
    <w:rsid w:val="00CB06DF"/>
    <w:rsid w:val="00CB06FB"/>
    <w:rsid w:val="00CB0721"/>
    <w:rsid w:val="00CB0933"/>
    <w:rsid w:val="00CB0986"/>
    <w:rsid w:val="00CB0B85"/>
    <w:rsid w:val="00CB0D87"/>
    <w:rsid w:val="00CB0DA7"/>
    <w:rsid w:val="00CB0FB1"/>
    <w:rsid w:val="00CB1090"/>
    <w:rsid w:val="00CB1291"/>
    <w:rsid w:val="00CB12D3"/>
    <w:rsid w:val="00CB12F7"/>
    <w:rsid w:val="00CB14DE"/>
    <w:rsid w:val="00CB150E"/>
    <w:rsid w:val="00CB15A6"/>
    <w:rsid w:val="00CB16B0"/>
    <w:rsid w:val="00CB17FC"/>
    <w:rsid w:val="00CB1892"/>
    <w:rsid w:val="00CB1952"/>
    <w:rsid w:val="00CB19DF"/>
    <w:rsid w:val="00CB19EF"/>
    <w:rsid w:val="00CB1A6E"/>
    <w:rsid w:val="00CB1A7B"/>
    <w:rsid w:val="00CB1AD8"/>
    <w:rsid w:val="00CB1C23"/>
    <w:rsid w:val="00CB1EC2"/>
    <w:rsid w:val="00CB1F2C"/>
    <w:rsid w:val="00CB215F"/>
    <w:rsid w:val="00CB2592"/>
    <w:rsid w:val="00CB2601"/>
    <w:rsid w:val="00CB266D"/>
    <w:rsid w:val="00CB26E4"/>
    <w:rsid w:val="00CB27BF"/>
    <w:rsid w:val="00CB27C4"/>
    <w:rsid w:val="00CB2946"/>
    <w:rsid w:val="00CB2B21"/>
    <w:rsid w:val="00CB2C2E"/>
    <w:rsid w:val="00CB2C96"/>
    <w:rsid w:val="00CB2CAA"/>
    <w:rsid w:val="00CB2D68"/>
    <w:rsid w:val="00CB2ECF"/>
    <w:rsid w:val="00CB2FEC"/>
    <w:rsid w:val="00CB3396"/>
    <w:rsid w:val="00CB34BE"/>
    <w:rsid w:val="00CB353D"/>
    <w:rsid w:val="00CB3C27"/>
    <w:rsid w:val="00CB3D02"/>
    <w:rsid w:val="00CB3E2B"/>
    <w:rsid w:val="00CB3E73"/>
    <w:rsid w:val="00CB3E77"/>
    <w:rsid w:val="00CB3E88"/>
    <w:rsid w:val="00CB3FA7"/>
    <w:rsid w:val="00CB3FE5"/>
    <w:rsid w:val="00CB454F"/>
    <w:rsid w:val="00CB48C9"/>
    <w:rsid w:val="00CB49AD"/>
    <w:rsid w:val="00CB4A37"/>
    <w:rsid w:val="00CB4B14"/>
    <w:rsid w:val="00CB4BCD"/>
    <w:rsid w:val="00CB4D2D"/>
    <w:rsid w:val="00CB4F63"/>
    <w:rsid w:val="00CB529B"/>
    <w:rsid w:val="00CB53C0"/>
    <w:rsid w:val="00CB552A"/>
    <w:rsid w:val="00CB559C"/>
    <w:rsid w:val="00CB58CC"/>
    <w:rsid w:val="00CB5ABE"/>
    <w:rsid w:val="00CB5CFB"/>
    <w:rsid w:val="00CB5D46"/>
    <w:rsid w:val="00CB5E50"/>
    <w:rsid w:val="00CB5EBC"/>
    <w:rsid w:val="00CB5FB5"/>
    <w:rsid w:val="00CB5FF8"/>
    <w:rsid w:val="00CB6147"/>
    <w:rsid w:val="00CB62ED"/>
    <w:rsid w:val="00CB6640"/>
    <w:rsid w:val="00CB6894"/>
    <w:rsid w:val="00CB69E9"/>
    <w:rsid w:val="00CB6A0C"/>
    <w:rsid w:val="00CB6A0D"/>
    <w:rsid w:val="00CB6A43"/>
    <w:rsid w:val="00CB6BC5"/>
    <w:rsid w:val="00CB6FA7"/>
    <w:rsid w:val="00CB7074"/>
    <w:rsid w:val="00CB72D7"/>
    <w:rsid w:val="00CB738C"/>
    <w:rsid w:val="00CB767F"/>
    <w:rsid w:val="00CB783F"/>
    <w:rsid w:val="00CB7909"/>
    <w:rsid w:val="00CB7988"/>
    <w:rsid w:val="00CB7AED"/>
    <w:rsid w:val="00CB7BF8"/>
    <w:rsid w:val="00CB7CA4"/>
    <w:rsid w:val="00CB7D24"/>
    <w:rsid w:val="00CB7DEA"/>
    <w:rsid w:val="00CB7F22"/>
    <w:rsid w:val="00CC0189"/>
    <w:rsid w:val="00CC01DB"/>
    <w:rsid w:val="00CC048E"/>
    <w:rsid w:val="00CC0534"/>
    <w:rsid w:val="00CC0B1D"/>
    <w:rsid w:val="00CC0B25"/>
    <w:rsid w:val="00CC0B73"/>
    <w:rsid w:val="00CC0D26"/>
    <w:rsid w:val="00CC0EC4"/>
    <w:rsid w:val="00CC10BE"/>
    <w:rsid w:val="00CC112C"/>
    <w:rsid w:val="00CC12E0"/>
    <w:rsid w:val="00CC1430"/>
    <w:rsid w:val="00CC1431"/>
    <w:rsid w:val="00CC1590"/>
    <w:rsid w:val="00CC170D"/>
    <w:rsid w:val="00CC1A1A"/>
    <w:rsid w:val="00CC1A4B"/>
    <w:rsid w:val="00CC1B9F"/>
    <w:rsid w:val="00CC1BF5"/>
    <w:rsid w:val="00CC1CB1"/>
    <w:rsid w:val="00CC1E08"/>
    <w:rsid w:val="00CC2426"/>
    <w:rsid w:val="00CC249E"/>
    <w:rsid w:val="00CC25FC"/>
    <w:rsid w:val="00CC263B"/>
    <w:rsid w:val="00CC2670"/>
    <w:rsid w:val="00CC2752"/>
    <w:rsid w:val="00CC27D3"/>
    <w:rsid w:val="00CC27EE"/>
    <w:rsid w:val="00CC2811"/>
    <w:rsid w:val="00CC2BB6"/>
    <w:rsid w:val="00CC2C04"/>
    <w:rsid w:val="00CC2C96"/>
    <w:rsid w:val="00CC2E29"/>
    <w:rsid w:val="00CC3125"/>
    <w:rsid w:val="00CC3158"/>
    <w:rsid w:val="00CC3177"/>
    <w:rsid w:val="00CC32EE"/>
    <w:rsid w:val="00CC3333"/>
    <w:rsid w:val="00CC351A"/>
    <w:rsid w:val="00CC35E8"/>
    <w:rsid w:val="00CC3833"/>
    <w:rsid w:val="00CC3BDD"/>
    <w:rsid w:val="00CC3C37"/>
    <w:rsid w:val="00CC3C58"/>
    <w:rsid w:val="00CC403E"/>
    <w:rsid w:val="00CC4177"/>
    <w:rsid w:val="00CC43D6"/>
    <w:rsid w:val="00CC43EA"/>
    <w:rsid w:val="00CC448D"/>
    <w:rsid w:val="00CC47E2"/>
    <w:rsid w:val="00CC4840"/>
    <w:rsid w:val="00CC48BB"/>
    <w:rsid w:val="00CC4971"/>
    <w:rsid w:val="00CC4A79"/>
    <w:rsid w:val="00CC4A8E"/>
    <w:rsid w:val="00CC4BC6"/>
    <w:rsid w:val="00CC4D07"/>
    <w:rsid w:val="00CC4F36"/>
    <w:rsid w:val="00CC50AD"/>
    <w:rsid w:val="00CC5151"/>
    <w:rsid w:val="00CC51E7"/>
    <w:rsid w:val="00CC5283"/>
    <w:rsid w:val="00CC5454"/>
    <w:rsid w:val="00CC56C8"/>
    <w:rsid w:val="00CC58F8"/>
    <w:rsid w:val="00CC592A"/>
    <w:rsid w:val="00CC59BD"/>
    <w:rsid w:val="00CC59C7"/>
    <w:rsid w:val="00CC5B0D"/>
    <w:rsid w:val="00CC5D60"/>
    <w:rsid w:val="00CC5EF9"/>
    <w:rsid w:val="00CC5F0F"/>
    <w:rsid w:val="00CC628A"/>
    <w:rsid w:val="00CC6380"/>
    <w:rsid w:val="00CC64D7"/>
    <w:rsid w:val="00CC6750"/>
    <w:rsid w:val="00CC6C50"/>
    <w:rsid w:val="00CC6CAB"/>
    <w:rsid w:val="00CC6D2D"/>
    <w:rsid w:val="00CC6EA3"/>
    <w:rsid w:val="00CC6EAC"/>
    <w:rsid w:val="00CC6F37"/>
    <w:rsid w:val="00CC6FBB"/>
    <w:rsid w:val="00CC7000"/>
    <w:rsid w:val="00CC704A"/>
    <w:rsid w:val="00CC706A"/>
    <w:rsid w:val="00CC70BD"/>
    <w:rsid w:val="00CC72DC"/>
    <w:rsid w:val="00CC7307"/>
    <w:rsid w:val="00CC744B"/>
    <w:rsid w:val="00CC7591"/>
    <w:rsid w:val="00CC76D9"/>
    <w:rsid w:val="00CC7813"/>
    <w:rsid w:val="00CC7964"/>
    <w:rsid w:val="00CC7CD0"/>
    <w:rsid w:val="00CC7D00"/>
    <w:rsid w:val="00CC7E72"/>
    <w:rsid w:val="00CC7EBD"/>
    <w:rsid w:val="00CD0030"/>
    <w:rsid w:val="00CD0179"/>
    <w:rsid w:val="00CD04E5"/>
    <w:rsid w:val="00CD057B"/>
    <w:rsid w:val="00CD0768"/>
    <w:rsid w:val="00CD081A"/>
    <w:rsid w:val="00CD08A6"/>
    <w:rsid w:val="00CD098C"/>
    <w:rsid w:val="00CD0C35"/>
    <w:rsid w:val="00CD0DAA"/>
    <w:rsid w:val="00CD0DD6"/>
    <w:rsid w:val="00CD0DFB"/>
    <w:rsid w:val="00CD0ED4"/>
    <w:rsid w:val="00CD0EE1"/>
    <w:rsid w:val="00CD0F9E"/>
    <w:rsid w:val="00CD1153"/>
    <w:rsid w:val="00CD1174"/>
    <w:rsid w:val="00CD13BC"/>
    <w:rsid w:val="00CD1583"/>
    <w:rsid w:val="00CD15B1"/>
    <w:rsid w:val="00CD1688"/>
    <w:rsid w:val="00CD1734"/>
    <w:rsid w:val="00CD186A"/>
    <w:rsid w:val="00CD1CB4"/>
    <w:rsid w:val="00CD1D31"/>
    <w:rsid w:val="00CD1DDA"/>
    <w:rsid w:val="00CD1E30"/>
    <w:rsid w:val="00CD1F9B"/>
    <w:rsid w:val="00CD208A"/>
    <w:rsid w:val="00CD20FD"/>
    <w:rsid w:val="00CD211D"/>
    <w:rsid w:val="00CD2268"/>
    <w:rsid w:val="00CD2323"/>
    <w:rsid w:val="00CD2366"/>
    <w:rsid w:val="00CD23CF"/>
    <w:rsid w:val="00CD24FD"/>
    <w:rsid w:val="00CD27F8"/>
    <w:rsid w:val="00CD29D9"/>
    <w:rsid w:val="00CD2AEC"/>
    <w:rsid w:val="00CD2C57"/>
    <w:rsid w:val="00CD2C66"/>
    <w:rsid w:val="00CD2D39"/>
    <w:rsid w:val="00CD2D9F"/>
    <w:rsid w:val="00CD2F18"/>
    <w:rsid w:val="00CD3050"/>
    <w:rsid w:val="00CD305A"/>
    <w:rsid w:val="00CD3269"/>
    <w:rsid w:val="00CD32A7"/>
    <w:rsid w:val="00CD3342"/>
    <w:rsid w:val="00CD34B4"/>
    <w:rsid w:val="00CD3661"/>
    <w:rsid w:val="00CD3889"/>
    <w:rsid w:val="00CD38C3"/>
    <w:rsid w:val="00CD3A75"/>
    <w:rsid w:val="00CD3AB8"/>
    <w:rsid w:val="00CD3C3D"/>
    <w:rsid w:val="00CD3C4E"/>
    <w:rsid w:val="00CD3C70"/>
    <w:rsid w:val="00CD3F32"/>
    <w:rsid w:val="00CD40C3"/>
    <w:rsid w:val="00CD4205"/>
    <w:rsid w:val="00CD4277"/>
    <w:rsid w:val="00CD449E"/>
    <w:rsid w:val="00CD44A4"/>
    <w:rsid w:val="00CD4845"/>
    <w:rsid w:val="00CD48AE"/>
    <w:rsid w:val="00CD48D5"/>
    <w:rsid w:val="00CD4A98"/>
    <w:rsid w:val="00CD4AE8"/>
    <w:rsid w:val="00CD5071"/>
    <w:rsid w:val="00CD510D"/>
    <w:rsid w:val="00CD51B2"/>
    <w:rsid w:val="00CD5288"/>
    <w:rsid w:val="00CD529B"/>
    <w:rsid w:val="00CD52E5"/>
    <w:rsid w:val="00CD5325"/>
    <w:rsid w:val="00CD5386"/>
    <w:rsid w:val="00CD579C"/>
    <w:rsid w:val="00CD58A4"/>
    <w:rsid w:val="00CD5A4A"/>
    <w:rsid w:val="00CD5A85"/>
    <w:rsid w:val="00CD5AC8"/>
    <w:rsid w:val="00CD61F7"/>
    <w:rsid w:val="00CD623A"/>
    <w:rsid w:val="00CD632C"/>
    <w:rsid w:val="00CD6350"/>
    <w:rsid w:val="00CD64E3"/>
    <w:rsid w:val="00CD65DE"/>
    <w:rsid w:val="00CD69CB"/>
    <w:rsid w:val="00CD6B53"/>
    <w:rsid w:val="00CD6BFE"/>
    <w:rsid w:val="00CD6C7E"/>
    <w:rsid w:val="00CD706F"/>
    <w:rsid w:val="00CD70F7"/>
    <w:rsid w:val="00CD711D"/>
    <w:rsid w:val="00CD728C"/>
    <w:rsid w:val="00CD72E2"/>
    <w:rsid w:val="00CD7383"/>
    <w:rsid w:val="00CD74CD"/>
    <w:rsid w:val="00CD74E7"/>
    <w:rsid w:val="00CD7523"/>
    <w:rsid w:val="00CD76EC"/>
    <w:rsid w:val="00CD776E"/>
    <w:rsid w:val="00CD7770"/>
    <w:rsid w:val="00CD7A2D"/>
    <w:rsid w:val="00CD7AA4"/>
    <w:rsid w:val="00CD7AC3"/>
    <w:rsid w:val="00CD7B13"/>
    <w:rsid w:val="00CD7DC6"/>
    <w:rsid w:val="00CD7DF3"/>
    <w:rsid w:val="00CD7FB5"/>
    <w:rsid w:val="00CD7FC7"/>
    <w:rsid w:val="00CD7FDE"/>
    <w:rsid w:val="00CE017C"/>
    <w:rsid w:val="00CE01AD"/>
    <w:rsid w:val="00CE0452"/>
    <w:rsid w:val="00CE05B3"/>
    <w:rsid w:val="00CE0600"/>
    <w:rsid w:val="00CE0826"/>
    <w:rsid w:val="00CE0888"/>
    <w:rsid w:val="00CE0A2A"/>
    <w:rsid w:val="00CE0A33"/>
    <w:rsid w:val="00CE0AD4"/>
    <w:rsid w:val="00CE0BDE"/>
    <w:rsid w:val="00CE0D53"/>
    <w:rsid w:val="00CE0EE8"/>
    <w:rsid w:val="00CE12EE"/>
    <w:rsid w:val="00CE146D"/>
    <w:rsid w:val="00CE14B9"/>
    <w:rsid w:val="00CE1791"/>
    <w:rsid w:val="00CE1850"/>
    <w:rsid w:val="00CE198E"/>
    <w:rsid w:val="00CE1D82"/>
    <w:rsid w:val="00CE1DE2"/>
    <w:rsid w:val="00CE2117"/>
    <w:rsid w:val="00CE230C"/>
    <w:rsid w:val="00CE25CD"/>
    <w:rsid w:val="00CE2925"/>
    <w:rsid w:val="00CE2985"/>
    <w:rsid w:val="00CE2A43"/>
    <w:rsid w:val="00CE2A72"/>
    <w:rsid w:val="00CE2B1D"/>
    <w:rsid w:val="00CE2CC7"/>
    <w:rsid w:val="00CE2D9E"/>
    <w:rsid w:val="00CE2E2F"/>
    <w:rsid w:val="00CE2F09"/>
    <w:rsid w:val="00CE3166"/>
    <w:rsid w:val="00CE328B"/>
    <w:rsid w:val="00CE36DA"/>
    <w:rsid w:val="00CE371E"/>
    <w:rsid w:val="00CE375A"/>
    <w:rsid w:val="00CE3822"/>
    <w:rsid w:val="00CE3825"/>
    <w:rsid w:val="00CE38F7"/>
    <w:rsid w:val="00CE3A08"/>
    <w:rsid w:val="00CE3A8B"/>
    <w:rsid w:val="00CE3BE4"/>
    <w:rsid w:val="00CE3D9C"/>
    <w:rsid w:val="00CE3E5C"/>
    <w:rsid w:val="00CE40CB"/>
    <w:rsid w:val="00CE42CE"/>
    <w:rsid w:val="00CE4493"/>
    <w:rsid w:val="00CE44A6"/>
    <w:rsid w:val="00CE46DF"/>
    <w:rsid w:val="00CE48B8"/>
    <w:rsid w:val="00CE490B"/>
    <w:rsid w:val="00CE490E"/>
    <w:rsid w:val="00CE491E"/>
    <w:rsid w:val="00CE492D"/>
    <w:rsid w:val="00CE4979"/>
    <w:rsid w:val="00CE49C3"/>
    <w:rsid w:val="00CE49EC"/>
    <w:rsid w:val="00CE4A72"/>
    <w:rsid w:val="00CE4A77"/>
    <w:rsid w:val="00CE4BE6"/>
    <w:rsid w:val="00CE4D8D"/>
    <w:rsid w:val="00CE509D"/>
    <w:rsid w:val="00CE50C1"/>
    <w:rsid w:val="00CE514B"/>
    <w:rsid w:val="00CE51FC"/>
    <w:rsid w:val="00CE522C"/>
    <w:rsid w:val="00CE529F"/>
    <w:rsid w:val="00CE52AD"/>
    <w:rsid w:val="00CE570F"/>
    <w:rsid w:val="00CE578B"/>
    <w:rsid w:val="00CE5A01"/>
    <w:rsid w:val="00CE5A32"/>
    <w:rsid w:val="00CE5BF9"/>
    <w:rsid w:val="00CE5D62"/>
    <w:rsid w:val="00CE5DD1"/>
    <w:rsid w:val="00CE5E3C"/>
    <w:rsid w:val="00CE5EF2"/>
    <w:rsid w:val="00CE5F11"/>
    <w:rsid w:val="00CE604F"/>
    <w:rsid w:val="00CE625C"/>
    <w:rsid w:val="00CE64A2"/>
    <w:rsid w:val="00CE6512"/>
    <w:rsid w:val="00CE66C7"/>
    <w:rsid w:val="00CE6743"/>
    <w:rsid w:val="00CE6762"/>
    <w:rsid w:val="00CE6988"/>
    <w:rsid w:val="00CE6992"/>
    <w:rsid w:val="00CE69D0"/>
    <w:rsid w:val="00CE69FB"/>
    <w:rsid w:val="00CE6A23"/>
    <w:rsid w:val="00CE6CAA"/>
    <w:rsid w:val="00CE6CAD"/>
    <w:rsid w:val="00CE6D36"/>
    <w:rsid w:val="00CE6D8A"/>
    <w:rsid w:val="00CE6F48"/>
    <w:rsid w:val="00CE6FC0"/>
    <w:rsid w:val="00CE728B"/>
    <w:rsid w:val="00CE75F5"/>
    <w:rsid w:val="00CE7780"/>
    <w:rsid w:val="00CE7846"/>
    <w:rsid w:val="00CE78ED"/>
    <w:rsid w:val="00CE7938"/>
    <w:rsid w:val="00CE7DA8"/>
    <w:rsid w:val="00CE7E5E"/>
    <w:rsid w:val="00CE7EA6"/>
    <w:rsid w:val="00CF003F"/>
    <w:rsid w:val="00CF03CD"/>
    <w:rsid w:val="00CF0478"/>
    <w:rsid w:val="00CF0A05"/>
    <w:rsid w:val="00CF0A48"/>
    <w:rsid w:val="00CF0A4E"/>
    <w:rsid w:val="00CF0B46"/>
    <w:rsid w:val="00CF0B74"/>
    <w:rsid w:val="00CF0B97"/>
    <w:rsid w:val="00CF0C77"/>
    <w:rsid w:val="00CF0D0C"/>
    <w:rsid w:val="00CF0E86"/>
    <w:rsid w:val="00CF0FB8"/>
    <w:rsid w:val="00CF1087"/>
    <w:rsid w:val="00CF1388"/>
    <w:rsid w:val="00CF16FD"/>
    <w:rsid w:val="00CF17A2"/>
    <w:rsid w:val="00CF19DF"/>
    <w:rsid w:val="00CF1E41"/>
    <w:rsid w:val="00CF1E69"/>
    <w:rsid w:val="00CF1F17"/>
    <w:rsid w:val="00CF2017"/>
    <w:rsid w:val="00CF21BC"/>
    <w:rsid w:val="00CF229D"/>
    <w:rsid w:val="00CF22E0"/>
    <w:rsid w:val="00CF24E1"/>
    <w:rsid w:val="00CF254F"/>
    <w:rsid w:val="00CF2649"/>
    <w:rsid w:val="00CF28A8"/>
    <w:rsid w:val="00CF28D3"/>
    <w:rsid w:val="00CF2996"/>
    <w:rsid w:val="00CF2A7F"/>
    <w:rsid w:val="00CF2AC6"/>
    <w:rsid w:val="00CF2BC7"/>
    <w:rsid w:val="00CF2C15"/>
    <w:rsid w:val="00CF2F94"/>
    <w:rsid w:val="00CF3099"/>
    <w:rsid w:val="00CF327F"/>
    <w:rsid w:val="00CF3400"/>
    <w:rsid w:val="00CF3501"/>
    <w:rsid w:val="00CF352D"/>
    <w:rsid w:val="00CF379E"/>
    <w:rsid w:val="00CF3CF2"/>
    <w:rsid w:val="00CF3EBC"/>
    <w:rsid w:val="00CF3F00"/>
    <w:rsid w:val="00CF3FA2"/>
    <w:rsid w:val="00CF4231"/>
    <w:rsid w:val="00CF43B0"/>
    <w:rsid w:val="00CF4553"/>
    <w:rsid w:val="00CF4628"/>
    <w:rsid w:val="00CF46ED"/>
    <w:rsid w:val="00CF480C"/>
    <w:rsid w:val="00CF49A5"/>
    <w:rsid w:val="00CF4A5B"/>
    <w:rsid w:val="00CF4A80"/>
    <w:rsid w:val="00CF4A9B"/>
    <w:rsid w:val="00CF4C27"/>
    <w:rsid w:val="00CF4CC5"/>
    <w:rsid w:val="00CF4D87"/>
    <w:rsid w:val="00CF4F9B"/>
    <w:rsid w:val="00CF5152"/>
    <w:rsid w:val="00CF53CF"/>
    <w:rsid w:val="00CF5447"/>
    <w:rsid w:val="00CF57AA"/>
    <w:rsid w:val="00CF5A38"/>
    <w:rsid w:val="00CF5C6F"/>
    <w:rsid w:val="00CF5E1B"/>
    <w:rsid w:val="00CF5EEA"/>
    <w:rsid w:val="00CF613E"/>
    <w:rsid w:val="00CF61FC"/>
    <w:rsid w:val="00CF62F3"/>
    <w:rsid w:val="00CF63D3"/>
    <w:rsid w:val="00CF6527"/>
    <w:rsid w:val="00CF652A"/>
    <w:rsid w:val="00CF6636"/>
    <w:rsid w:val="00CF688D"/>
    <w:rsid w:val="00CF69F0"/>
    <w:rsid w:val="00CF6AF2"/>
    <w:rsid w:val="00CF6CB6"/>
    <w:rsid w:val="00CF6DFC"/>
    <w:rsid w:val="00CF6EDF"/>
    <w:rsid w:val="00CF708D"/>
    <w:rsid w:val="00CF7153"/>
    <w:rsid w:val="00CF71F3"/>
    <w:rsid w:val="00CF7227"/>
    <w:rsid w:val="00CF7241"/>
    <w:rsid w:val="00CF73A1"/>
    <w:rsid w:val="00CF74C1"/>
    <w:rsid w:val="00CF7731"/>
    <w:rsid w:val="00CF781D"/>
    <w:rsid w:val="00CF7ADB"/>
    <w:rsid w:val="00CF7B35"/>
    <w:rsid w:val="00CF7CDE"/>
    <w:rsid w:val="00CF7D2C"/>
    <w:rsid w:val="00CF7D2E"/>
    <w:rsid w:val="00CF7DC1"/>
    <w:rsid w:val="00D000BE"/>
    <w:rsid w:val="00D001BC"/>
    <w:rsid w:val="00D00314"/>
    <w:rsid w:val="00D00328"/>
    <w:rsid w:val="00D00443"/>
    <w:rsid w:val="00D0072B"/>
    <w:rsid w:val="00D00795"/>
    <w:rsid w:val="00D009AE"/>
    <w:rsid w:val="00D00B58"/>
    <w:rsid w:val="00D00B65"/>
    <w:rsid w:val="00D00C10"/>
    <w:rsid w:val="00D00EC8"/>
    <w:rsid w:val="00D01184"/>
    <w:rsid w:val="00D01293"/>
    <w:rsid w:val="00D013A0"/>
    <w:rsid w:val="00D013A4"/>
    <w:rsid w:val="00D014A7"/>
    <w:rsid w:val="00D0153E"/>
    <w:rsid w:val="00D0175D"/>
    <w:rsid w:val="00D017EE"/>
    <w:rsid w:val="00D01919"/>
    <w:rsid w:val="00D01968"/>
    <w:rsid w:val="00D01AD1"/>
    <w:rsid w:val="00D01C1F"/>
    <w:rsid w:val="00D01D65"/>
    <w:rsid w:val="00D01FF0"/>
    <w:rsid w:val="00D02045"/>
    <w:rsid w:val="00D02067"/>
    <w:rsid w:val="00D020B8"/>
    <w:rsid w:val="00D021E3"/>
    <w:rsid w:val="00D0221F"/>
    <w:rsid w:val="00D02514"/>
    <w:rsid w:val="00D028E2"/>
    <w:rsid w:val="00D02AD7"/>
    <w:rsid w:val="00D02B56"/>
    <w:rsid w:val="00D0325A"/>
    <w:rsid w:val="00D033A3"/>
    <w:rsid w:val="00D03552"/>
    <w:rsid w:val="00D0357F"/>
    <w:rsid w:val="00D03778"/>
    <w:rsid w:val="00D037F6"/>
    <w:rsid w:val="00D038DB"/>
    <w:rsid w:val="00D039C8"/>
    <w:rsid w:val="00D03A23"/>
    <w:rsid w:val="00D03A2E"/>
    <w:rsid w:val="00D03AA4"/>
    <w:rsid w:val="00D03E7C"/>
    <w:rsid w:val="00D03F1D"/>
    <w:rsid w:val="00D03F30"/>
    <w:rsid w:val="00D03F7B"/>
    <w:rsid w:val="00D042F4"/>
    <w:rsid w:val="00D0460C"/>
    <w:rsid w:val="00D046FA"/>
    <w:rsid w:val="00D04707"/>
    <w:rsid w:val="00D04A28"/>
    <w:rsid w:val="00D04A45"/>
    <w:rsid w:val="00D04E85"/>
    <w:rsid w:val="00D04FA3"/>
    <w:rsid w:val="00D04FD9"/>
    <w:rsid w:val="00D051FE"/>
    <w:rsid w:val="00D05832"/>
    <w:rsid w:val="00D058C2"/>
    <w:rsid w:val="00D05B59"/>
    <w:rsid w:val="00D05BB1"/>
    <w:rsid w:val="00D05BD5"/>
    <w:rsid w:val="00D05D16"/>
    <w:rsid w:val="00D05D1A"/>
    <w:rsid w:val="00D05E45"/>
    <w:rsid w:val="00D05F1A"/>
    <w:rsid w:val="00D05FCD"/>
    <w:rsid w:val="00D060B2"/>
    <w:rsid w:val="00D061ED"/>
    <w:rsid w:val="00D0624E"/>
    <w:rsid w:val="00D06308"/>
    <w:rsid w:val="00D065B5"/>
    <w:rsid w:val="00D066DC"/>
    <w:rsid w:val="00D066DE"/>
    <w:rsid w:val="00D06787"/>
    <w:rsid w:val="00D067AA"/>
    <w:rsid w:val="00D067CC"/>
    <w:rsid w:val="00D06BCC"/>
    <w:rsid w:val="00D06BEC"/>
    <w:rsid w:val="00D06C37"/>
    <w:rsid w:val="00D06C5B"/>
    <w:rsid w:val="00D06CA3"/>
    <w:rsid w:val="00D06DCD"/>
    <w:rsid w:val="00D06F66"/>
    <w:rsid w:val="00D06FDC"/>
    <w:rsid w:val="00D0702B"/>
    <w:rsid w:val="00D072AB"/>
    <w:rsid w:val="00D072FF"/>
    <w:rsid w:val="00D0739E"/>
    <w:rsid w:val="00D076E7"/>
    <w:rsid w:val="00D0794E"/>
    <w:rsid w:val="00D07C87"/>
    <w:rsid w:val="00D07DD1"/>
    <w:rsid w:val="00D07E2E"/>
    <w:rsid w:val="00D103A5"/>
    <w:rsid w:val="00D106F3"/>
    <w:rsid w:val="00D107B4"/>
    <w:rsid w:val="00D109B9"/>
    <w:rsid w:val="00D10A57"/>
    <w:rsid w:val="00D10B42"/>
    <w:rsid w:val="00D10D42"/>
    <w:rsid w:val="00D10F3C"/>
    <w:rsid w:val="00D10FBF"/>
    <w:rsid w:val="00D1109B"/>
    <w:rsid w:val="00D110B1"/>
    <w:rsid w:val="00D11146"/>
    <w:rsid w:val="00D1134E"/>
    <w:rsid w:val="00D11372"/>
    <w:rsid w:val="00D11414"/>
    <w:rsid w:val="00D11505"/>
    <w:rsid w:val="00D1164E"/>
    <w:rsid w:val="00D116AE"/>
    <w:rsid w:val="00D11A31"/>
    <w:rsid w:val="00D11C47"/>
    <w:rsid w:val="00D11CF5"/>
    <w:rsid w:val="00D11F61"/>
    <w:rsid w:val="00D121C9"/>
    <w:rsid w:val="00D12263"/>
    <w:rsid w:val="00D123D5"/>
    <w:rsid w:val="00D12407"/>
    <w:rsid w:val="00D12413"/>
    <w:rsid w:val="00D12476"/>
    <w:rsid w:val="00D127E3"/>
    <w:rsid w:val="00D12914"/>
    <w:rsid w:val="00D1291C"/>
    <w:rsid w:val="00D1291D"/>
    <w:rsid w:val="00D12A33"/>
    <w:rsid w:val="00D12A94"/>
    <w:rsid w:val="00D12B20"/>
    <w:rsid w:val="00D12B4F"/>
    <w:rsid w:val="00D12BBE"/>
    <w:rsid w:val="00D12CB3"/>
    <w:rsid w:val="00D12FCB"/>
    <w:rsid w:val="00D1302C"/>
    <w:rsid w:val="00D1303B"/>
    <w:rsid w:val="00D13045"/>
    <w:rsid w:val="00D13166"/>
    <w:rsid w:val="00D13312"/>
    <w:rsid w:val="00D13353"/>
    <w:rsid w:val="00D13571"/>
    <w:rsid w:val="00D1357A"/>
    <w:rsid w:val="00D135B0"/>
    <w:rsid w:val="00D13671"/>
    <w:rsid w:val="00D138C8"/>
    <w:rsid w:val="00D13C99"/>
    <w:rsid w:val="00D13EED"/>
    <w:rsid w:val="00D14175"/>
    <w:rsid w:val="00D14231"/>
    <w:rsid w:val="00D14363"/>
    <w:rsid w:val="00D14392"/>
    <w:rsid w:val="00D144FA"/>
    <w:rsid w:val="00D14595"/>
    <w:rsid w:val="00D145C9"/>
    <w:rsid w:val="00D145D5"/>
    <w:rsid w:val="00D14CCA"/>
    <w:rsid w:val="00D14E7C"/>
    <w:rsid w:val="00D14F3D"/>
    <w:rsid w:val="00D14FE2"/>
    <w:rsid w:val="00D1502F"/>
    <w:rsid w:val="00D15130"/>
    <w:rsid w:val="00D151A3"/>
    <w:rsid w:val="00D154CC"/>
    <w:rsid w:val="00D154DC"/>
    <w:rsid w:val="00D15688"/>
    <w:rsid w:val="00D15809"/>
    <w:rsid w:val="00D15CDF"/>
    <w:rsid w:val="00D15E7F"/>
    <w:rsid w:val="00D15FF9"/>
    <w:rsid w:val="00D1601A"/>
    <w:rsid w:val="00D1609C"/>
    <w:rsid w:val="00D160A0"/>
    <w:rsid w:val="00D1615B"/>
    <w:rsid w:val="00D16258"/>
    <w:rsid w:val="00D166FC"/>
    <w:rsid w:val="00D16786"/>
    <w:rsid w:val="00D16A28"/>
    <w:rsid w:val="00D16A6C"/>
    <w:rsid w:val="00D16AEC"/>
    <w:rsid w:val="00D16B75"/>
    <w:rsid w:val="00D16BF4"/>
    <w:rsid w:val="00D16D9E"/>
    <w:rsid w:val="00D16E1E"/>
    <w:rsid w:val="00D16EDC"/>
    <w:rsid w:val="00D17013"/>
    <w:rsid w:val="00D1702F"/>
    <w:rsid w:val="00D170A4"/>
    <w:rsid w:val="00D17107"/>
    <w:rsid w:val="00D1713F"/>
    <w:rsid w:val="00D17352"/>
    <w:rsid w:val="00D17627"/>
    <w:rsid w:val="00D17689"/>
    <w:rsid w:val="00D178B2"/>
    <w:rsid w:val="00D178FB"/>
    <w:rsid w:val="00D17A93"/>
    <w:rsid w:val="00D17D5F"/>
    <w:rsid w:val="00D20018"/>
    <w:rsid w:val="00D20101"/>
    <w:rsid w:val="00D20584"/>
    <w:rsid w:val="00D2076D"/>
    <w:rsid w:val="00D208F7"/>
    <w:rsid w:val="00D209B0"/>
    <w:rsid w:val="00D20D1B"/>
    <w:rsid w:val="00D20D47"/>
    <w:rsid w:val="00D20E20"/>
    <w:rsid w:val="00D20E40"/>
    <w:rsid w:val="00D20EB0"/>
    <w:rsid w:val="00D20F1D"/>
    <w:rsid w:val="00D2126C"/>
    <w:rsid w:val="00D212EC"/>
    <w:rsid w:val="00D21316"/>
    <w:rsid w:val="00D21680"/>
    <w:rsid w:val="00D2170F"/>
    <w:rsid w:val="00D218C2"/>
    <w:rsid w:val="00D21917"/>
    <w:rsid w:val="00D219AB"/>
    <w:rsid w:val="00D21A94"/>
    <w:rsid w:val="00D21B03"/>
    <w:rsid w:val="00D21B28"/>
    <w:rsid w:val="00D21CDD"/>
    <w:rsid w:val="00D21E24"/>
    <w:rsid w:val="00D21EF1"/>
    <w:rsid w:val="00D21F20"/>
    <w:rsid w:val="00D220A2"/>
    <w:rsid w:val="00D22324"/>
    <w:rsid w:val="00D2294F"/>
    <w:rsid w:val="00D22B8A"/>
    <w:rsid w:val="00D22BD1"/>
    <w:rsid w:val="00D22CD5"/>
    <w:rsid w:val="00D22F36"/>
    <w:rsid w:val="00D22FF0"/>
    <w:rsid w:val="00D23141"/>
    <w:rsid w:val="00D2314E"/>
    <w:rsid w:val="00D231A8"/>
    <w:rsid w:val="00D2326C"/>
    <w:rsid w:val="00D232CB"/>
    <w:rsid w:val="00D232EE"/>
    <w:rsid w:val="00D23345"/>
    <w:rsid w:val="00D2345B"/>
    <w:rsid w:val="00D236BB"/>
    <w:rsid w:val="00D2384A"/>
    <w:rsid w:val="00D2385C"/>
    <w:rsid w:val="00D23916"/>
    <w:rsid w:val="00D23931"/>
    <w:rsid w:val="00D23A4D"/>
    <w:rsid w:val="00D23B7C"/>
    <w:rsid w:val="00D23E25"/>
    <w:rsid w:val="00D23FD1"/>
    <w:rsid w:val="00D24002"/>
    <w:rsid w:val="00D240E9"/>
    <w:rsid w:val="00D24190"/>
    <w:rsid w:val="00D2449C"/>
    <w:rsid w:val="00D24589"/>
    <w:rsid w:val="00D245B6"/>
    <w:rsid w:val="00D249DE"/>
    <w:rsid w:val="00D24AED"/>
    <w:rsid w:val="00D24D92"/>
    <w:rsid w:val="00D24E81"/>
    <w:rsid w:val="00D24EDC"/>
    <w:rsid w:val="00D24F42"/>
    <w:rsid w:val="00D2504D"/>
    <w:rsid w:val="00D253C3"/>
    <w:rsid w:val="00D25691"/>
    <w:rsid w:val="00D25738"/>
    <w:rsid w:val="00D2585B"/>
    <w:rsid w:val="00D25A2F"/>
    <w:rsid w:val="00D25BC7"/>
    <w:rsid w:val="00D25C67"/>
    <w:rsid w:val="00D25CAB"/>
    <w:rsid w:val="00D25F7D"/>
    <w:rsid w:val="00D25FD0"/>
    <w:rsid w:val="00D25FFF"/>
    <w:rsid w:val="00D2601B"/>
    <w:rsid w:val="00D261CE"/>
    <w:rsid w:val="00D264A8"/>
    <w:rsid w:val="00D267B9"/>
    <w:rsid w:val="00D26B26"/>
    <w:rsid w:val="00D26BA0"/>
    <w:rsid w:val="00D26CA9"/>
    <w:rsid w:val="00D26D49"/>
    <w:rsid w:val="00D26F51"/>
    <w:rsid w:val="00D27080"/>
    <w:rsid w:val="00D27335"/>
    <w:rsid w:val="00D27399"/>
    <w:rsid w:val="00D27640"/>
    <w:rsid w:val="00D27740"/>
    <w:rsid w:val="00D2790C"/>
    <w:rsid w:val="00D27A38"/>
    <w:rsid w:val="00D27ACB"/>
    <w:rsid w:val="00D27D9A"/>
    <w:rsid w:val="00D27DEF"/>
    <w:rsid w:val="00D27E7B"/>
    <w:rsid w:val="00D27ECC"/>
    <w:rsid w:val="00D27FDA"/>
    <w:rsid w:val="00D30137"/>
    <w:rsid w:val="00D3017D"/>
    <w:rsid w:val="00D30654"/>
    <w:rsid w:val="00D30924"/>
    <w:rsid w:val="00D30B6F"/>
    <w:rsid w:val="00D30DBA"/>
    <w:rsid w:val="00D30EE3"/>
    <w:rsid w:val="00D31169"/>
    <w:rsid w:val="00D31387"/>
    <w:rsid w:val="00D31405"/>
    <w:rsid w:val="00D315B4"/>
    <w:rsid w:val="00D316D2"/>
    <w:rsid w:val="00D31885"/>
    <w:rsid w:val="00D3194D"/>
    <w:rsid w:val="00D319C1"/>
    <w:rsid w:val="00D31C02"/>
    <w:rsid w:val="00D31CF9"/>
    <w:rsid w:val="00D31DA1"/>
    <w:rsid w:val="00D31DE4"/>
    <w:rsid w:val="00D31E00"/>
    <w:rsid w:val="00D31E0D"/>
    <w:rsid w:val="00D32036"/>
    <w:rsid w:val="00D322E9"/>
    <w:rsid w:val="00D324D9"/>
    <w:rsid w:val="00D3250F"/>
    <w:rsid w:val="00D32645"/>
    <w:rsid w:val="00D32802"/>
    <w:rsid w:val="00D329A4"/>
    <w:rsid w:val="00D32A0C"/>
    <w:rsid w:val="00D32A79"/>
    <w:rsid w:val="00D32D4B"/>
    <w:rsid w:val="00D32F19"/>
    <w:rsid w:val="00D332BF"/>
    <w:rsid w:val="00D33344"/>
    <w:rsid w:val="00D3358D"/>
    <w:rsid w:val="00D33615"/>
    <w:rsid w:val="00D3379F"/>
    <w:rsid w:val="00D33803"/>
    <w:rsid w:val="00D33A61"/>
    <w:rsid w:val="00D33B19"/>
    <w:rsid w:val="00D33BBF"/>
    <w:rsid w:val="00D33E52"/>
    <w:rsid w:val="00D33F64"/>
    <w:rsid w:val="00D33F73"/>
    <w:rsid w:val="00D33FE7"/>
    <w:rsid w:val="00D340BD"/>
    <w:rsid w:val="00D3427E"/>
    <w:rsid w:val="00D34348"/>
    <w:rsid w:val="00D34589"/>
    <w:rsid w:val="00D34A79"/>
    <w:rsid w:val="00D34B3E"/>
    <w:rsid w:val="00D34B73"/>
    <w:rsid w:val="00D34CD1"/>
    <w:rsid w:val="00D34D16"/>
    <w:rsid w:val="00D34E0C"/>
    <w:rsid w:val="00D3520E"/>
    <w:rsid w:val="00D35223"/>
    <w:rsid w:val="00D354FC"/>
    <w:rsid w:val="00D3584B"/>
    <w:rsid w:val="00D35A03"/>
    <w:rsid w:val="00D35BAA"/>
    <w:rsid w:val="00D35BC2"/>
    <w:rsid w:val="00D35F09"/>
    <w:rsid w:val="00D35F11"/>
    <w:rsid w:val="00D36018"/>
    <w:rsid w:val="00D3608E"/>
    <w:rsid w:val="00D360EF"/>
    <w:rsid w:val="00D361CB"/>
    <w:rsid w:val="00D36247"/>
    <w:rsid w:val="00D36354"/>
    <w:rsid w:val="00D364BA"/>
    <w:rsid w:val="00D36610"/>
    <w:rsid w:val="00D36691"/>
    <w:rsid w:val="00D3678C"/>
    <w:rsid w:val="00D367F5"/>
    <w:rsid w:val="00D3681C"/>
    <w:rsid w:val="00D3695F"/>
    <w:rsid w:val="00D36A47"/>
    <w:rsid w:val="00D36B00"/>
    <w:rsid w:val="00D36C96"/>
    <w:rsid w:val="00D37041"/>
    <w:rsid w:val="00D3709E"/>
    <w:rsid w:val="00D370F7"/>
    <w:rsid w:val="00D3713F"/>
    <w:rsid w:val="00D37259"/>
    <w:rsid w:val="00D3728E"/>
    <w:rsid w:val="00D37302"/>
    <w:rsid w:val="00D373D1"/>
    <w:rsid w:val="00D37456"/>
    <w:rsid w:val="00D3795C"/>
    <w:rsid w:val="00D37A7E"/>
    <w:rsid w:val="00D4002E"/>
    <w:rsid w:val="00D40095"/>
    <w:rsid w:val="00D400E7"/>
    <w:rsid w:val="00D4014D"/>
    <w:rsid w:val="00D40187"/>
    <w:rsid w:val="00D4024E"/>
    <w:rsid w:val="00D40263"/>
    <w:rsid w:val="00D403B2"/>
    <w:rsid w:val="00D40431"/>
    <w:rsid w:val="00D40596"/>
    <w:rsid w:val="00D406AC"/>
    <w:rsid w:val="00D40802"/>
    <w:rsid w:val="00D4098B"/>
    <w:rsid w:val="00D40B19"/>
    <w:rsid w:val="00D410A9"/>
    <w:rsid w:val="00D41162"/>
    <w:rsid w:val="00D411F3"/>
    <w:rsid w:val="00D411F9"/>
    <w:rsid w:val="00D4163A"/>
    <w:rsid w:val="00D41842"/>
    <w:rsid w:val="00D419C1"/>
    <w:rsid w:val="00D41BAC"/>
    <w:rsid w:val="00D41BE9"/>
    <w:rsid w:val="00D41C1D"/>
    <w:rsid w:val="00D41C46"/>
    <w:rsid w:val="00D41C81"/>
    <w:rsid w:val="00D41D51"/>
    <w:rsid w:val="00D41F7A"/>
    <w:rsid w:val="00D4201F"/>
    <w:rsid w:val="00D42266"/>
    <w:rsid w:val="00D423E6"/>
    <w:rsid w:val="00D42499"/>
    <w:rsid w:val="00D427A5"/>
    <w:rsid w:val="00D428E1"/>
    <w:rsid w:val="00D42A81"/>
    <w:rsid w:val="00D42D9C"/>
    <w:rsid w:val="00D42F2F"/>
    <w:rsid w:val="00D42F9E"/>
    <w:rsid w:val="00D42FA5"/>
    <w:rsid w:val="00D43233"/>
    <w:rsid w:val="00D4324D"/>
    <w:rsid w:val="00D43302"/>
    <w:rsid w:val="00D43464"/>
    <w:rsid w:val="00D43573"/>
    <w:rsid w:val="00D435D6"/>
    <w:rsid w:val="00D436E3"/>
    <w:rsid w:val="00D438DA"/>
    <w:rsid w:val="00D439CA"/>
    <w:rsid w:val="00D43CA8"/>
    <w:rsid w:val="00D43CF3"/>
    <w:rsid w:val="00D43E5E"/>
    <w:rsid w:val="00D43ED7"/>
    <w:rsid w:val="00D43EF5"/>
    <w:rsid w:val="00D43F6E"/>
    <w:rsid w:val="00D4424B"/>
    <w:rsid w:val="00D44291"/>
    <w:rsid w:val="00D44414"/>
    <w:rsid w:val="00D44604"/>
    <w:rsid w:val="00D44971"/>
    <w:rsid w:val="00D44A1C"/>
    <w:rsid w:val="00D44D4B"/>
    <w:rsid w:val="00D44E1C"/>
    <w:rsid w:val="00D44E8A"/>
    <w:rsid w:val="00D450C1"/>
    <w:rsid w:val="00D45265"/>
    <w:rsid w:val="00D452A6"/>
    <w:rsid w:val="00D45382"/>
    <w:rsid w:val="00D45479"/>
    <w:rsid w:val="00D4548F"/>
    <w:rsid w:val="00D455C9"/>
    <w:rsid w:val="00D455CE"/>
    <w:rsid w:val="00D455F1"/>
    <w:rsid w:val="00D4571B"/>
    <w:rsid w:val="00D45743"/>
    <w:rsid w:val="00D457AB"/>
    <w:rsid w:val="00D45832"/>
    <w:rsid w:val="00D459E0"/>
    <w:rsid w:val="00D45A6C"/>
    <w:rsid w:val="00D45BE6"/>
    <w:rsid w:val="00D45C74"/>
    <w:rsid w:val="00D45DFB"/>
    <w:rsid w:val="00D45E32"/>
    <w:rsid w:val="00D45FE7"/>
    <w:rsid w:val="00D46007"/>
    <w:rsid w:val="00D46090"/>
    <w:rsid w:val="00D460C8"/>
    <w:rsid w:val="00D4647A"/>
    <w:rsid w:val="00D4650D"/>
    <w:rsid w:val="00D466D0"/>
    <w:rsid w:val="00D468FE"/>
    <w:rsid w:val="00D46B51"/>
    <w:rsid w:val="00D46D23"/>
    <w:rsid w:val="00D46F92"/>
    <w:rsid w:val="00D4718E"/>
    <w:rsid w:val="00D472E6"/>
    <w:rsid w:val="00D473A6"/>
    <w:rsid w:val="00D475F4"/>
    <w:rsid w:val="00D475FC"/>
    <w:rsid w:val="00D4764D"/>
    <w:rsid w:val="00D47702"/>
    <w:rsid w:val="00D478F9"/>
    <w:rsid w:val="00D478FD"/>
    <w:rsid w:val="00D47B70"/>
    <w:rsid w:val="00D47C8D"/>
    <w:rsid w:val="00D47D14"/>
    <w:rsid w:val="00D47D23"/>
    <w:rsid w:val="00D47D71"/>
    <w:rsid w:val="00D47F20"/>
    <w:rsid w:val="00D500A3"/>
    <w:rsid w:val="00D500B3"/>
    <w:rsid w:val="00D50A4D"/>
    <w:rsid w:val="00D50ACE"/>
    <w:rsid w:val="00D50B74"/>
    <w:rsid w:val="00D50D6E"/>
    <w:rsid w:val="00D50D90"/>
    <w:rsid w:val="00D50DCE"/>
    <w:rsid w:val="00D50E20"/>
    <w:rsid w:val="00D51154"/>
    <w:rsid w:val="00D512DE"/>
    <w:rsid w:val="00D51336"/>
    <w:rsid w:val="00D514E8"/>
    <w:rsid w:val="00D515C3"/>
    <w:rsid w:val="00D517BC"/>
    <w:rsid w:val="00D5183C"/>
    <w:rsid w:val="00D518FD"/>
    <w:rsid w:val="00D51974"/>
    <w:rsid w:val="00D51D42"/>
    <w:rsid w:val="00D52308"/>
    <w:rsid w:val="00D52421"/>
    <w:rsid w:val="00D524D8"/>
    <w:rsid w:val="00D526DB"/>
    <w:rsid w:val="00D52C82"/>
    <w:rsid w:val="00D52F64"/>
    <w:rsid w:val="00D5314D"/>
    <w:rsid w:val="00D53198"/>
    <w:rsid w:val="00D532E9"/>
    <w:rsid w:val="00D53349"/>
    <w:rsid w:val="00D537B7"/>
    <w:rsid w:val="00D5382E"/>
    <w:rsid w:val="00D53898"/>
    <w:rsid w:val="00D53A75"/>
    <w:rsid w:val="00D53C59"/>
    <w:rsid w:val="00D53D5E"/>
    <w:rsid w:val="00D53ED1"/>
    <w:rsid w:val="00D53F33"/>
    <w:rsid w:val="00D53F68"/>
    <w:rsid w:val="00D53FA9"/>
    <w:rsid w:val="00D540C4"/>
    <w:rsid w:val="00D54165"/>
    <w:rsid w:val="00D541A2"/>
    <w:rsid w:val="00D54365"/>
    <w:rsid w:val="00D5436C"/>
    <w:rsid w:val="00D543E2"/>
    <w:rsid w:val="00D54404"/>
    <w:rsid w:val="00D546B3"/>
    <w:rsid w:val="00D547B2"/>
    <w:rsid w:val="00D54908"/>
    <w:rsid w:val="00D54954"/>
    <w:rsid w:val="00D54F10"/>
    <w:rsid w:val="00D55016"/>
    <w:rsid w:val="00D55023"/>
    <w:rsid w:val="00D55463"/>
    <w:rsid w:val="00D5557F"/>
    <w:rsid w:val="00D5584B"/>
    <w:rsid w:val="00D558B0"/>
    <w:rsid w:val="00D55980"/>
    <w:rsid w:val="00D55A3D"/>
    <w:rsid w:val="00D55CBF"/>
    <w:rsid w:val="00D55D3D"/>
    <w:rsid w:val="00D55D56"/>
    <w:rsid w:val="00D55F4B"/>
    <w:rsid w:val="00D55F57"/>
    <w:rsid w:val="00D56389"/>
    <w:rsid w:val="00D5674A"/>
    <w:rsid w:val="00D567A3"/>
    <w:rsid w:val="00D56AB7"/>
    <w:rsid w:val="00D56D08"/>
    <w:rsid w:val="00D56D94"/>
    <w:rsid w:val="00D56E11"/>
    <w:rsid w:val="00D5707A"/>
    <w:rsid w:val="00D57106"/>
    <w:rsid w:val="00D5710F"/>
    <w:rsid w:val="00D5711E"/>
    <w:rsid w:val="00D57254"/>
    <w:rsid w:val="00D5728D"/>
    <w:rsid w:val="00D572FD"/>
    <w:rsid w:val="00D57341"/>
    <w:rsid w:val="00D573D5"/>
    <w:rsid w:val="00D574EC"/>
    <w:rsid w:val="00D57575"/>
    <w:rsid w:val="00D5762A"/>
    <w:rsid w:val="00D5771F"/>
    <w:rsid w:val="00D57A24"/>
    <w:rsid w:val="00D57AE6"/>
    <w:rsid w:val="00D57C27"/>
    <w:rsid w:val="00D57C32"/>
    <w:rsid w:val="00D57CDC"/>
    <w:rsid w:val="00D57D2F"/>
    <w:rsid w:val="00D57D49"/>
    <w:rsid w:val="00D57D51"/>
    <w:rsid w:val="00D57E1B"/>
    <w:rsid w:val="00D57F51"/>
    <w:rsid w:val="00D600E0"/>
    <w:rsid w:val="00D6021C"/>
    <w:rsid w:val="00D602BE"/>
    <w:rsid w:val="00D603D3"/>
    <w:rsid w:val="00D60435"/>
    <w:rsid w:val="00D60564"/>
    <w:rsid w:val="00D6070F"/>
    <w:rsid w:val="00D60854"/>
    <w:rsid w:val="00D6095B"/>
    <w:rsid w:val="00D60AF7"/>
    <w:rsid w:val="00D60B8F"/>
    <w:rsid w:val="00D60BD1"/>
    <w:rsid w:val="00D60C59"/>
    <w:rsid w:val="00D60CAE"/>
    <w:rsid w:val="00D60D4C"/>
    <w:rsid w:val="00D60D6C"/>
    <w:rsid w:val="00D61099"/>
    <w:rsid w:val="00D610C9"/>
    <w:rsid w:val="00D611A8"/>
    <w:rsid w:val="00D611AB"/>
    <w:rsid w:val="00D6121F"/>
    <w:rsid w:val="00D6136B"/>
    <w:rsid w:val="00D61390"/>
    <w:rsid w:val="00D61489"/>
    <w:rsid w:val="00D61694"/>
    <w:rsid w:val="00D61A71"/>
    <w:rsid w:val="00D61D98"/>
    <w:rsid w:val="00D61E03"/>
    <w:rsid w:val="00D6202E"/>
    <w:rsid w:val="00D623B0"/>
    <w:rsid w:val="00D62570"/>
    <w:rsid w:val="00D62760"/>
    <w:rsid w:val="00D6284D"/>
    <w:rsid w:val="00D628ED"/>
    <w:rsid w:val="00D6298B"/>
    <w:rsid w:val="00D629E5"/>
    <w:rsid w:val="00D62AAF"/>
    <w:rsid w:val="00D62BCC"/>
    <w:rsid w:val="00D62C0D"/>
    <w:rsid w:val="00D62C42"/>
    <w:rsid w:val="00D62FDF"/>
    <w:rsid w:val="00D6309D"/>
    <w:rsid w:val="00D63104"/>
    <w:rsid w:val="00D631B9"/>
    <w:rsid w:val="00D6321C"/>
    <w:rsid w:val="00D63358"/>
    <w:rsid w:val="00D635CF"/>
    <w:rsid w:val="00D63609"/>
    <w:rsid w:val="00D63AED"/>
    <w:rsid w:val="00D63AF3"/>
    <w:rsid w:val="00D63EEF"/>
    <w:rsid w:val="00D641D8"/>
    <w:rsid w:val="00D641F4"/>
    <w:rsid w:val="00D64219"/>
    <w:rsid w:val="00D64348"/>
    <w:rsid w:val="00D6441F"/>
    <w:rsid w:val="00D644C1"/>
    <w:rsid w:val="00D6462C"/>
    <w:rsid w:val="00D64782"/>
    <w:rsid w:val="00D647D9"/>
    <w:rsid w:val="00D64883"/>
    <w:rsid w:val="00D648C1"/>
    <w:rsid w:val="00D648EF"/>
    <w:rsid w:val="00D64912"/>
    <w:rsid w:val="00D64B1F"/>
    <w:rsid w:val="00D64B2C"/>
    <w:rsid w:val="00D64B50"/>
    <w:rsid w:val="00D64F92"/>
    <w:rsid w:val="00D65000"/>
    <w:rsid w:val="00D6506B"/>
    <w:rsid w:val="00D654DC"/>
    <w:rsid w:val="00D6566C"/>
    <w:rsid w:val="00D65B0D"/>
    <w:rsid w:val="00D65B2D"/>
    <w:rsid w:val="00D65BB8"/>
    <w:rsid w:val="00D65BF0"/>
    <w:rsid w:val="00D6602C"/>
    <w:rsid w:val="00D66048"/>
    <w:rsid w:val="00D66135"/>
    <w:rsid w:val="00D66454"/>
    <w:rsid w:val="00D664AE"/>
    <w:rsid w:val="00D667C2"/>
    <w:rsid w:val="00D668C9"/>
    <w:rsid w:val="00D669F9"/>
    <w:rsid w:val="00D66C26"/>
    <w:rsid w:val="00D66D80"/>
    <w:rsid w:val="00D66EBB"/>
    <w:rsid w:val="00D66EF3"/>
    <w:rsid w:val="00D672A4"/>
    <w:rsid w:val="00D672CE"/>
    <w:rsid w:val="00D67328"/>
    <w:rsid w:val="00D6732A"/>
    <w:rsid w:val="00D6759A"/>
    <w:rsid w:val="00D675F7"/>
    <w:rsid w:val="00D6793F"/>
    <w:rsid w:val="00D679DB"/>
    <w:rsid w:val="00D67A74"/>
    <w:rsid w:val="00D67AC8"/>
    <w:rsid w:val="00D67B1D"/>
    <w:rsid w:val="00D67D1A"/>
    <w:rsid w:val="00D67E83"/>
    <w:rsid w:val="00D67ED8"/>
    <w:rsid w:val="00D701B7"/>
    <w:rsid w:val="00D70418"/>
    <w:rsid w:val="00D70452"/>
    <w:rsid w:val="00D7054B"/>
    <w:rsid w:val="00D7069B"/>
    <w:rsid w:val="00D7069D"/>
    <w:rsid w:val="00D7074B"/>
    <w:rsid w:val="00D70791"/>
    <w:rsid w:val="00D707C5"/>
    <w:rsid w:val="00D7085E"/>
    <w:rsid w:val="00D708D4"/>
    <w:rsid w:val="00D708E6"/>
    <w:rsid w:val="00D70958"/>
    <w:rsid w:val="00D709AB"/>
    <w:rsid w:val="00D709D9"/>
    <w:rsid w:val="00D70B4B"/>
    <w:rsid w:val="00D70D4B"/>
    <w:rsid w:val="00D70DA2"/>
    <w:rsid w:val="00D70DD3"/>
    <w:rsid w:val="00D70E91"/>
    <w:rsid w:val="00D71006"/>
    <w:rsid w:val="00D7102B"/>
    <w:rsid w:val="00D71154"/>
    <w:rsid w:val="00D71294"/>
    <w:rsid w:val="00D713B3"/>
    <w:rsid w:val="00D713D5"/>
    <w:rsid w:val="00D71523"/>
    <w:rsid w:val="00D71725"/>
    <w:rsid w:val="00D717D2"/>
    <w:rsid w:val="00D718E5"/>
    <w:rsid w:val="00D71926"/>
    <w:rsid w:val="00D71A52"/>
    <w:rsid w:val="00D71A82"/>
    <w:rsid w:val="00D71BAE"/>
    <w:rsid w:val="00D71BCC"/>
    <w:rsid w:val="00D71EFF"/>
    <w:rsid w:val="00D72138"/>
    <w:rsid w:val="00D724B0"/>
    <w:rsid w:val="00D72801"/>
    <w:rsid w:val="00D72811"/>
    <w:rsid w:val="00D728FE"/>
    <w:rsid w:val="00D729F2"/>
    <w:rsid w:val="00D72B49"/>
    <w:rsid w:val="00D72B97"/>
    <w:rsid w:val="00D72BAC"/>
    <w:rsid w:val="00D72C57"/>
    <w:rsid w:val="00D72DD5"/>
    <w:rsid w:val="00D72E7C"/>
    <w:rsid w:val="00D72F30"/>
    <w:rsid w:val="00D731D4"/>
    <w:rsid w:val="00D73470"/>
    <w:rsid w:val="00D734E0"/>
    <w:rsid w:val="00D73912"/>
    <w:rsid w:val="00D73A93"/>
    <w:rsid w:val="00D73E36"/>
    <w:rsid w:val="00D73E5E"/>
    <w:rsid w:val="00D73EF4"/>
    <w:rsid w:val="00D73FA1"/>
    <w:rsid w:val="00D74225"/>
    <w:rsid w:val="00D74499"/>
    <w:rsid w:val="00D746E0"/>
    <w:rsid w:val="00D74720"/>
    <w:rsid w:val="00D7474D"/>
    <w:rsid w:val="00D747F9"/>
    <w:rsid w:val="00D7482E"/>
    <w:rsid w:val="00D74B00"/>
    <w:rsid w:val="00D74DC3"/>
    <w:rsid w:val="00D74EE1"/>
    <w:rsid w:val="00D74F53"/>
    <w:rsid w:val="00D7534B"/>
    <w:rsid w:val="00D75403"/>
    <w:rsid w:val="00D75550"/>
    <w:rsid w:val="00D756AD"/>
    <w:rsid w:val="00D75C4F"/>
    <w:rsid w:val="00D763D8"/>
    <w:rsid w:val="00D76505"/>
    <w:rsid w:val="00D76510"/>
    <w:rsid w:val="00D765DF"/>
    <w:rsid w:val="00D7663E"/>
    <w:rsid w:val="00D76787"/>
    <w:rsid w:val="00D767B6"/>
    <w:rsid w:val="00D76B39"/>
    <w:rsid w:val="00D76C1E"/>
    <w:rsid w:val="00D76CB5"/>
    <w:rsid w:val="00D76D44"/>
    <w:rsid w:val="00D76DD7"/>
    <w:rsid w:val="00D77250"/>
    <w:rsid w:val="00D77322"/>
    <w:rsid w:val="00D77451"/>
    <w:rsid w:val="00D77576"/>
    <w:rsid w:val="00D77653"/>
    <w:rsid w:val="00D77698"/>
    <w:rsid w:val="00D77A01"/>
    <w:rsid w:val="00D77A13"/>
    <w:rsid w:val="00D77A29"/>
    <w:rsid w:val="00D77B16"/>
    <w:rsid w:val="00D77C28"/>
    <w:rsid w:val="00D77F1A"/>
    <w:rsid w:val="00D8029A"/>
    <w:rsid w:val="00D804D7"/>
    <w:rsid w:val="00D808ED"/>
    <w:rsid w:val="00D8090D"/>
    <w:rsid w:val="00D80944"/>
    <w:rsid w:val="00D809AD"/>
    <w:rsid w:val="00D80A58"/>
    <w:rsid w:val="00D80A8A"/>
    <w:rsid w:val="00D80C20"/>
    <w:rsid w:val="00D80D2D"/>
    <w:rsid w:val="00D80D55"/>
    <w:rsid w:val="00D80FF3"/>
    <w:rsid w:val="00D810B5"/>
    <w:rsid w:val="00D812EC"/>
    <w:rsid w:val="00D81474"/>
    <w:rsid w:val="00D8150B"/>
    <w:rsid w:val="00D817B8"/>
    <w:rsid w:val="00D8186C"/>
    <w:rsid w:val="00D81BB7"/>
    <w:rsid w:val="00D81BD6"/>
    <w:rsid w:val="00D81CD9"/>
    <w:rsid w:val="00D81CE9"/>
    <w:rsid w:val="00D81D8D"/>
    <w:rsid w:val="00D81E32"/>
    <w:rsid w:val="00D81EAC"/>
    <w:rsid w:val="00D81EAE"/>
    <w:rsid w:val="00D81F0F"/>
    <w:rsid w:val="00D81F57"/>
    <w:rsid w:val="00D822D7"/>
    <w:rsid w:val="00D8239C"/>
    <w:rsid w:val="00D824E2"/>
    <w:rsid w:val="00D82B5B"/>
    <w:rsid w:val="00D82D11"/>
    <w:rsid w:val="00D82DA7"/>
    <w:rsid w:val="00D82E21"/>
    <w:rsid w:val="00D82F36"/>
    <w:rsid w:val="00D82F4E"/>
    <w:rsid w:val="00D83184"/>
    <w:rsid w:val="00D83246"/>
    <w:rsid w:val="00D833F1"/>
    <w:rsid w:val="00D83426"/>
    <w:rsid w:val="00D83780"/>
    <w:rsid w:val="00D83A13"/>
    <w:rsid w:val="00D83DC8"/>
    <w:rsid w:val="00D83E30"/>
    <w:rsid w:val="00D83EDA"/>
    <w:rsid w:val="00D84088"/>
    <w:rsid w:val="00D843F0"/>
    <w:rsid w:val="00D8466D"/>
    <w:rsid w:val="00D84678"/>
    <w:rsid w:val="00D8475C"/>
    <w:rsid w:val="00D848B6"/>
    <w:rsid w:val="00D849A7"/>
    <w:rsid w:val="00D849C0"/>
    <w:rsid w:val="00D84A30"/>
    <w:rsid w:val="00D84A38"/>
    <w:rsid w:val="00D84AF4"/>
    <w:rsid w:val="00D84B1C"/>
    <w:rsid w:val="00D84B9B"/>
    <w:rsid w:val="00D84D26"/>
    <w:rsid w:val="00D84DC2"/>
    <w:rsid w:val="00D84ED6"/>
    <w:rsid w:val="00D84F3E"/>
    <w:rsid w:val="00D84F47"/>
    <w:rsid w:val="00D85078"/>
    <w:rsid w:val="00D8526E"/>
    <w:rsid w:val="00D852AF"/>
    <w:rsid w:val="00D8550B"/>
    <w:rsid w:val="00D855F0"/>
    <w:rsid w:val="00D8571D"/>
    <w:rsid w:val="00D85800"/>
    <w:rsid w:val="00D85AF0"/>
    <w:rsid w:val="00D85BFE"/>
    <w:rsid w:val="00D85C07"/>
    <w:rsid w:val="00D85D66"/>
    <w:rsid w:val="00D85EF4"/>
    <w:rsid w:val="00D85F76"/>
    <w:rsid w:val="00D85FC6"/>
    <w:rsid w:val="00D8622B"/>
    <w:rsid w:val="00D863F1"/>
    <w:rsid w:val="00D86617"/>
    <w:rsid w:val="00D867E3"/>
    <w:rsid w:val="00D868EF"/>
    <w:rsid w:val="00D86C4E"/>
    <w:rsid w:val="00D86FF5"/>
    <w:rsid w:val="00D87014"/>
    <w:rsid w:val="00D870F4"/>
    <w:rsid w:val="00D870F5"/>
    <w:rsid w:val="00D8711C"/>
    <w:rsid w:val="00D87254"/>
    <w:rsid w:val="00D8727F"/>
    <w:rsid w:val="00D872B6"/>
    <w:rsid w:val="00D8733A"/>
    <w:rsid w:val="00D87469"/>
    <w:rsid w:val="00D8781E"/>
    <w:rsid w:val="00D87872"/>
    <w:rsid w:val="00D87971"/>
    <w:rsid w:val="00D87AA3"/>
    <w:rsid w:val="00D87C6E"/>
    <w:rsid w:val="00D87D03"/>
    <w:rsid w:val="00D90047"/>
    <w:rsid w:val="00D901D5"/>
    <w:rsid w:val="00D901F3"/>
    <w:rsid w:val="00D903EC"/>
    <w:rsid w:val="00D9047E"/>
    <w:rsid w:val="00D90628"/>
    <w:rsid w:val="00D906BC"/>
    <w:rsid w:val="00D9081D"/>
    <w:rsid w:val="00D9086A"/>
    <w:rsid w:val="00D9086D"/>
    <w:rsid w:val="00D9096D"/>
    <w:rsid w:val="00D90A24"/>
    <w:rsid w:val="00D90A53"/>
    <w:rsid w:val="00D90BA2"/>
    <w:rsid w:val="00D90BDC"/>
    <w:rsid w:val="00D90BF3"/>
    <w:rsid w:val="00D90C69"/>
    <w:rsid w:val="00D90DFD"/>
    <w:rsid w:val="00D90F61"/>
    <w:rsid w:val="00D911D5"/>
    <w:rsid w:val="00D912A3"/>
    <w:rsid w:val="00D912D2"/>
    <w:rsid w:val="00D91436"/>
    <w:rsid w:val="00D915A1"/>
    <w:rsid w:val="00D915CC"/>
    <w:rsid w:val="00D9163F"/>
    <w:rsid w:val="00D91687"/>
    <w:rsid w:val="00D9168B"/>
    <w:rsid w:val="00D91844"/>
    <w:rsid w:val="00D91985"/>
    <w:rsid w:val="00D91AA5"/>
    <w:rsid w:val="00D91AE7"/>
    <w:rsid w:val="00D91AEE"/>
    <w:rsid w:val="00D91E50"/>
    <w:rsid w:val="00D92083"/>
    <w:rsid w:val="00D9227D"/>
    <w:rsid w:val="00D923C7"/>
    <w:rsid w:val="00D92550"/>
    <w:rsid w:val="00D92740"/>
    <w:rsid w:val="00D92798"/>
    <w:rsid w:val="00D928DA"/>
    <w:rsid w:val="00D929C1"/>
    <w:rsid w:val="00D92A8A"/>
    <w:rsid w:val="00D92CFD"/>
    <w:rsid w:val="00D92E49"/>
    <w:rsid w:val="00D92EF8"/>
    <w:rsid w:val="00D92F51"/>
    <w:rsid w:val="00D9317F"/>
    <w:rsid w:val="00D931C7"/>
    <w:rsid w:val="00D93429"/>
    <w:rsid w:val="00D9342F"/>
    <w:rsid w:val="00D9344A"/>
    <w:rsid w:val="00D9370F"/>
    <w:rsid w:val="00D93710"/>
    <w:rsid w:val="00D937F7"/>
    <w:rsid w:val="00D9390D"/>
    <w:rsid w:val="00D93B5C"/>
    <w:rsid w:val="00D93DFD"/>
    <w:rsid w:val="00D93EF7"/>
    <w:rsid w:val="00D93F4F"/>
    <w:rsid w:val="00D93F8D"/>
    <w:rsid w:val="00D940D1"/>
    <w:rsid w:val="00D942FE"/>
    <w:rsid w:val="00D94307"/>
    <w:rsid w:val="00D94345"/>
    <w:rsid w:val="00D94719"/>
    <w:rsid w:val="00D94C53"/>
    <w:rsid w:val="00D94C98"/>
    <w:rsid w:val="00D94EDC"/>
    <w:rsid w:val="00D9500A"/>
    <w:rsid w:val="00D951E5"/>
    <w:rsid w:val="00D95297"/>
    <w:rsid w:val="00D95302"/>
    <w:rsid w:val="00D95309"/>
    <w:rsid w:val="00D95369"/>
    <w:rsid w:val="00D9548A"/>
    <w:rsid w:val="00D9563A"/>
    <w:rsid w:val="00D9581A"/>
    <w:rsid w:val="00D959FF"/>
    <w:rsid w:val="00D95AE3"/>
    <w:rsid w:val="00D95F1A"/>
    <w:rsid w:val="00D96040"/>
    <w:rsid w:val="00D96353"/>
    <w:rsid w:val="00D96586"/>
    <w:rsid w:val="00D96757"/>
    <w:rsid w:val="00D96919"/>
    <w:rsid w:val="00D96A0A"/>
    <w:rsid w:val="00D96BF5"/>
    <w:rsid w:val="00D96D05"/>
    <w:rsid w:val="00D97049"/>
    <w:rsid w:val="00D97233"/>
    <w:rsid w:val="00D9742C"/>
    <w:rsid w:val="00D9751E"/>
    <w:rsid w:val="00D9760C"/>
    <w:rsid w:val="00D9762B"/>
    <w:rsid w:val="00D97662"/>
    <w:rsid w:val="00D97840"/>
    <w:rsid w:val="00D97895"/>
    <w:rsid w:val="00D97A71"/>
    <w:rsid w:val="00D97ADB"/>
    <w:rsid w:val="00D97C08"/>
    <w:rsid w:val="00D97C7F"/>
    <w:rsid w:val="00D97C8B"/>
    <w:rsid w:val="00D97D27"/>
    <w:rsid w:val="00D97E62"/>
    <w:rsid w:val="00D97FAA"/>
    <w:rsid w:val="00DA0211"/>
    <w:rsid w:val="00DA0301"/>
    <w:rsid w:val="00DA037B"/>
    <w:rsid w:val="00DA038A"/>
    <w:rsid w:val="00DA03C8"/>
    <w:rsid w:val="00DA052A"/>
    <w:rsid w:val="00DA0638"/>
    <w:rsid w:val="00DA06FB"/>
    <w:rsid w:val="00DA0757"/>
    <w:rsid w:val="00DA081D"/>
    <w:rsid w:val="00DA08FF"/>
    <w:rsid w:val="00DA0A87"/>
    <w:rsid w:val="00DA0AD4"/>
    <w:rsid w:val="00DA0B86"/>
    <w:rsid w:val="00DA0BBE"/>
    <w:rsid w:val="00DA0D06"/>
    <w:rsid w:val="00DA0DEB"/>
    <w:rsid w:val="00DA0E08"/>
    <w:rsid w:val="00DA0EB2"/>
    <w:rsid w:val="00DA10A1"/>
    <w:rsid w:val="00DA11A7"/>
    <w:rsid w:val="00DA1301"/>
    <w:rsid w:val="00DA15C7"/>
    <w:rsid w:val="00DA15F1"/>
    <w:rsid w:val="00DA1613"/>
    <w:rsid w:val="00DA161D"/>
    <w:rsid w:val="00DA17AD"/>
    <w:rsid w:val="00DA186C"/>
    <w:rsid w:val="00DA18D8"/>
    <w:rsid w:val="00DA19BC"/>
    <w:rsid w:val="00DA1A67"/>
    <w:rsid w:val="00DA1B60"/>
    <w:rsid w:val="00DA1D65"/>
    <w:rsid w:val="00DA1E07"/>
    <w:rsid w:val="00DA1F39"/>
    <w:rsid w:val="00DA22A7"/>
    <w:rsid w:val="00DA2351"/>
    <w:rsid w:val="00DA235F"/>
    <w:rsid w:val="00DA2599"/>
    <w:rsid w:val="00DA27B7"/>
    <w:rsid w:val="00DA2906"/>
    <w:rsid w:val="00DA299C"/>
    <w:rsid w:val="00DA2B0E"/>
    <w:rsid w:val="00DA2B26"/>
    <w:rsid w:val="00DA2B3A"/>
    <w:rsid w:val="00DA2BB0"/>
    <w:rsid w:val="00DA2C02"/>
    <w:rsid w:val="00DA2CA8"/>
    <w:rsid w:val="00DA2D5A"/>
    <w:rsid w:val="00DA2E19"/>
    <w:rsid w:val="00DA309B"/>
    <w:rsid w:val="00DA31CB"/>
    <w:rsid w:val="00DA3231"/>
    <w:rsid w:val="00DA32F2"/>
    <w:rsid w:val="00DA3349"/>
    <w:rsid w:val="00DA3605"/>
    <w:rsid w:val="00DA37A8"/>
    <w:rsid w:val="00DA389A"/>
    <w:rsid w:val="00DA38B1"/>
    <w:rsid w:val="00DA39A4"/>
    <w:rsid w:val="00DA39FC"/>
    <w:rsid w:val="00DA3AEB"/>
    <w:rsid w:val="00DA3B61"/>
    <w:rsid w:val="00DA3DFB"/>
    <w:rsid w:val="00DA3F1D"/>
    <w:rsid w:val="00DA413D"/>
    <w:rsid w:val="00DA46D3"/>
    <w:rsid w:val="00DA474C"/>
    <w:rsid w:val="00DA4999"/>
    <w:rsid w:val="00DA4F7E"/>
    <w:rsid w:val="00DA4FAC"/>
    <w:rsid w:val="00DA51ED"/>
    <w:rsid w:val="00DA5235"/>
    <w:rsid w:val="00DA52FF"/>
    <w:rsid w:val="00DA538E"/>
    <w:rsid w:val="00DA53F7"/>
    <w:rsid w:val="00DA5779"/>
    <w:rsid w:val="00DA5888"/>
    <w:rsid w:val="00DA5A4F"/>
    <w:rsid w:val="00DA5AAB"/>
    <w:rsid w:val="00DA5DC9"/>
    <w:rsid w:val="00DA5F98"/>
    <w:rsid w:val="00DA5FDB"/>
    <w:rsid w:val="00DA6064"/>
    <w:rsid w:val="00DA60CA"/>
    <w:rsid w:val="00DA64F3"/>
    <w:rsid w:val="00DA6718"/>
    <w:rsid w:val="00DA6815"/>
    <w:rsid w:val="00DA683B"/>
    <w:rsid w:val="00DA6868"/>
    <w:rsid w:val="00DA6A96"/>
    <w:rsid w:val="00DA6CF8"/>
    <w:rsid w:val="00DA6D40"/>
    <w:rsid w:val="00DA6E42"/>
    <w:rsid w:val="00DA6EF1"/>
    <w:rsid w:val="00DA705C"/>
    <w:rsid w:val="00DA7329"/>
    <w:rsid w:val="00DA749A"/>
    <w:rsid w:val="00DA7516"/>
    <w:rsid w:val="00DA7913"/>
    <w:rsid w:val="00DA79D6"/>
    <w:rsid w:val="00DA7AAC"/>
    <w:rsid w:val="00DA7C34"/>
    <w:rsid w:val="00DA7C7F"/>
    <w:rsid w:val="00DA7DF8"/>
    <w:rsid w:val="00DA7F21"/>
    <w:rsid w:val="00DA7F89"/>
    <w:rsid w:val="00DB0074"/>
    <w:rsid w:val="00DB024C"/>
    <w:rsid w:val="00DB056F"/>
    <w:rsid w:val="00DB06A1"/>
    <w:rsid w:val="00DB0770"/>
    <w:rsid w:val="00DB0841"/>
    <w:rsid w:val="00DB0844"/>
    <w:rsid w:val="00DB08DB"/>
    <w:rsid w:val="00DB0C72"/>
    <w:rsid w:val="00DB0D0F"/>
    <w:rsid w:val="00DB0E34"/>
    <w:rsid w:val="00DB0FFA"/>
    <w:rsid w:val="00DB13DB"/>
    <w:rsid w:val="00DB14C9"/>
    <w:rsid w:val="00DB14CB"/>
    <w:rsid w:val="00DB14E4"/>
    <w:rsid w:val="00DB157A"/>
    <w:rsid w:val="00DB159A"/>
    <w:rsid w:val="00DB15F6"/>
    <w:rsid w:val="00DB1618"/>
    <w:rsid w:val="00DB16CA"/>
    <w:rsid w:val="00DB1BF8"/>
    <w:rsid w:val="00DB1C21"/>
    <w:rsid w:val="00DB1C93"/>
    <w:rsid w:val="00DB1CDB"/>
    <w:rsid w:val="00DB1FC3"/>
    <w:rsid w:val="00DB1FD1"/>
    <w:rsid w:val="00DB20E3"/>
    <w:rsid w:val="00DB2256"/>
    <w:rsid w:val="00DB2338"/>
    <w:rsid w:val="00DB24DC"/>
    <w:rsid w:val="00DB2553"/>
    <w:rsid w:val="00DB2725"/>
    <w:rsid w:val="00DB288D"/>
    <w:rsid w:val="00DB28AD"/>
    <w:rsid w:val="00DB28C9"/>
    <w:rsid w:val="00DB29C4"/>
    <w:rsid w:val="00DB29E4"/>
    <w:rsid w:val="00DB2A55"/>
    <w:rsid w:val="00DB2AA6"/>
    <w:rsid w:val="00DB2B8F"/>
    <w:rsid w:val="00DB2D44"/>
    <w:rsid w:val="00DB2F69"/>
    <w:rsid w:val="00DB3087"/>
    <w:rsid w:val="00DB30A6"/>
    <w:rsid w:val="00DB30F8"/>
    <w:rsid w:val="00DB3193"/>
    <w:rsid w:val="00DB346D"/>
    <w:rsid w:val="00DB34CE"/>
    <w:rsid w:val="00DB3813"/>
    <w:rsid w:val="00DB3894"/>
    <w:rsid w:val="00DB3B0F"/>
    <w:rsid w:val="00DB3DA2"/>
    <w:rsid w:val="00DB3E90"/>
    <w:rsid w:val="00DB3F16"/>
    <w:rsid w:val="00DB4423"/>
    <w:rsid w:val="00DB446B"/>
    <w:rsid w:val="00DB47F5"/>
    <w:rsid w:val="00DB48E7"/>
    <w:rsid w:val="00DB4A15"/>
    <w:rsid w:val="00DB4A33"/>
    <w:rsid w:val="00DB4A82"/>
    <w:rsid w:val="00DB4B01"/>
    <w:rsid w:val="00DB4C66"/>
    <w:rsid w:val="00DB4D84"/>
    <w:rsid w:val="00DB4E19"/>
    <w:rsid w:val="00DB4FF5"/>
    <w:rsid w:val="00DB5051"/>
    <w:rsid w:val="00DB5186"/>
    <w:rsid w:val="00DB55E8"/>
    <w:rsid w:val="00DB568C"/>
    <w:rsid w:val="00DB579F"/>
    <w:rsid w:val="00DB58AE"/>
    <w:rsid w:val="00DB59FE"/>
    <w:rsid w:val="00DB5E17"/>
    <w:rsid w:val="00DB5EA2"/>
    <w:rsid w:val="00DB5F22"/>
    <w:rsid w:val="00DB5F8E"/>
    <w:rsid w:val="00DB601F"/>
    <w:rsid w:val="00DB6044"/>
    <w:rsid w:val="00DB60A7"/>
    <w:rsid w:val="00DB61A0"/>
    <w:rsid w:val="00DB6414"/>
    <w:rsid w:val="00DB6663"/>
    <w:rsid w:val="00DB695B"/>
    <w:rsid w:val="00DB69D4"/>
    <w:rsid w:val="00DB69F2"/>
    <w:rsid w:val="00DB6A18"/>
    <w:rsid w:val="00DB6AF3"/>
    <w:rsid w:val="00DB7039"/>
    <w:rsid w:val="00DB715D"/>
    <w:rsid w:val="00DB71BE"/>
    <w:rsid w:val="00DB731E"/>
    <w:rsid w:val="00DB736C"/>
    <w:rsid w:val="00DB7477"/>
    <w:rsid w:val="00DB787B"/>
    <w:rsid w:val="00DB78E1"/>
    <w:rsid w:val="00DB7B8E"/>
    <w:rsid w:val="00DB7C61"/>
    <w:rsid w:val="00DB7CD1"/>
    <w:rsid w:val="00DB7D8B"/>
    <w:rsid w:val="00DB7EE8"/>
    <w:rsid w:val="00DC0010"/>
    <w:rsid w:val="00DC0117"/>
    <w:rsid w:val="00DC01D5"/>
    <w:rsid w:val="00DC0332"/>
    <w:rsid w:val="00DC03BF"/>
    <w:rsid w:val="00DC03C2"/>
    <w:rsid w:val="00DC04C0"/>
    <w:rsid w:val="00DC068B"/>
    <w:rsid w:val="00DC070B"/>
    <w:rsid w:val="00DC08B3"/>
    <w:rsid w:val="00DC0906"/>
    <w:rsid w:val="00DC09A1"/>
    <w:rsid w:val="00DC0A6B"/>
    <w:rsid w:val="00DC0AB1"/>
    <w:rsid w:val="00DC0AC4"/>
    <w:rsid w:val="00DC0AD9"/>
    <w:rsid w:val="00DC0B1B"/>
    <w:rsid w:val="00DC0C81"/>
    <w:rsid w:val="00DC0CC2"/>
    <w:rsid w:val="00DC0E7A"/>
    <w:rsid w:val="00DC0F79"/>
    <w:rsid w:val="00DC124C"/>
    <w:rsid w:val="00DC1257"/>
    <w:rsid w:val="00DC125E"/>
    <w:rsid w:val="00DC1304"/>
    <w:rsid w:val="00DC130C"/>
    <w:rsid w:val="00DC14B3"/>
    <w:rsid w:val="00DC1546"/>
    <w:rsid w:val="00DC1B62"/>
    <w:rsid w:val="00DC1B7A"/>
    <w:rsid w:val="00DC1BBD"/>
    <w:rsid w:val="00DC1C52"/>
    <w:rsid w:val="00DC1D46"/>
    <w:rsid w:val="00DC1E27"/>
    <w:rsid w:val="00DC1FCB"/>
    <w:rsid w:val="00DC242A"/>
    <w:rsid w:val="00DC250F"/>
    <w:rsid w:val="00DC26AB"/>
    <w:rsid w:val="00DC2757"/>
    <w:rsid w:val="00DC2802"/>
    <w:rsid w:val="00DC285D"/>
    <w:rsid w:val="00DC2AD0"/>
    <w:rsid w:val="00DC2C3F"/>
    <w:rsid w:val="00DC2CEE"/>
    <w:rsid w:val="00DC2E1B"/>
    <w:rsid w:val="00DC2E74"/>
    <w:rsid w:val="00DC3047"/>
    <w:rsid w:val="00DC3060"/>
    <w:rsid w:val="00DC34B5"/>
    <w:rsid w:val="00DC35BE"/>
    <w:rsid w:val="00DC362E"/>
    <w:rsid w:val="00DC367C"/>
    <w:rsid w:val="00DC3991"/>
    <w:rsid w:val="00DC39D9"/>
    <w:rsid w:val="00DC3A68"/>
    <w:rsid w:val="00DC3CAF"/>
    <w:rsid w:val="00DC3CC8"/>
    <w:rsid w:val="00DC3F14"/>
    <w:rsid w:val="00DC3F9C"/>
    <w:rsid w:val="00DC400F"/>
    <w:rsid w:val="00DC40C8"/>
    <w:rsid w:val="00DC40FC"/>
    <w:rsid w:val="00DC4248"/>
    <w:rsid w:val="00DC4285"/>
    <w:rsid w:val="00DC429E"/>
    <w:rsid w:val="00DC42C0"/>
    <w:rsid w:val="00DC42E9"/>
    <w:rsid w:val="00DC43BB"/>
    <w:rsid w:val="00DC43FD"/>
    <w:rsid w:val="00DC487D"/>
    <w:rsid w:val="00DC48BB"/>
    <w:rsid w:val="00DC4909"/>
    <w:rsid w:val="00DC4A66"/>
    <w:rsid w:val="00DC4C2A"/>
    <w:rsid w:val="00DC4DA3"/>
    <w:rsid w:val="00DC4F75"/>
    <w:rsid w:val="00DC5136"/>
    <w:rsid w:val="00DC51E0"/>
    <w:rsid w:val="00DC5350"/>
    <w:rsid w:val="00DC5457"/>
    <w:rsid w:val="00DC555F"/>
    <w:rsid w:val="00DC568A"/>
    <w:rsid w:val="00DC59E3"/>
    <w:rsid w:val="00DC5C3A"/>
    <w:rsid w:val="00DC5EB5"/>
    <w:rsid w:val="00DC5F81"/>
    <w:rsid w:val="00DC5F96"/>
    <w:rsid w:val="00DC60E0"/>
    <w:rsid w:val="00DC6108"/>
    <w:rsid w:val="00DC6112"/>
    <w:rsid w:val="00DC614D"/>
    <w:rsid w:val="00DC6158"/>
    <w:rsid w:val="00DC6230"/>
    <w:rsid w:val="00DC6538"/>
    <w:rsid w:val="00DC6A9B"/>
    <w:rsid w:val="00DC70BE"/>
    <w:rsid w:val="00DC70D3"/>
    <w:rsid w:val="00DC716B"/>
    <w:rsid w:val="00DC71FF"/>
    <w:rsid w:val="00DC73F8"/>
    <w:rsid w:val="00DC746E"/>
    <w:rsid w:val="00DC74A2"/>
    <w:rsid w:val="00DC7648"/>
    <w:rsid w:val="00DC76E7"/>
    <w:rsid w:val="00DC7778"/>
    <w:rsid w:val="00DC7CD8"/>
    <w:rsid w:val="00DC7DAA"/>
    <w:rsid w:val="00DC7DDC"/>
    <w:rsid w:val="00DC7E7D"/>
    <w:rsid w:val="00DC7EE0"/>
    <w:rsid w:val="00DD0166"/>
    <w:rsid w:val="00DD0388"/>
    <w:rsid w:val="00DD05DA"/>
    <w:rsid w:val="00DD0916"/>
    <w:rsid w:val="00DD09C5"/>
    <w:rsid w:val="00DD0ABE"/>
    <w:rsid w:val="00DD0B43"/>
    <w:rsid w:val="00DD0BC4"/>
    <w:rsid w:val="00DD0CDC"/>
    <w:rsid w:val="00DD0EF2"/>
    <w:rsid w:val="00DD120C"/>
    <w:rsid w:val="00DD122B"/>
    <w:rsid w:val="00DD12A1"/>
    <w:rsid w:val="00DD151C"/>
    <w:rsid w:val="00DD15CA"/>
    <w:rsid w:val="00DD164F"/>
    <w:rsid w:val="00DD17A7"/>
    <w:rsid w:val="00DD1821"/>
    <w:rsid w:val="00DD1941"/>
    <w:rsid w:val="00DD1C23"/>
    <w:rsid w:val="00DD1C5C"/>
    <w:rsid w:val="00DD1C9B"/>
    <w:rsid w:val="00DD1DD4"/>
    <w:rsid w:val="00DD1FEA"/>
    <w:rsid w:val="00DD2259"/>
    <w:rsid w:val="00DD23C9"/>
    <w:rsid w:val="00DD245F"/>
    <w:rsid w:val="00DD2544"/>
    <w:rsid w:val="00DD25EA"/>
    <w:rsid w:val="00DD2638"/>
    <w:rsid w:val="00DD2AD8"/>
    <w:rsid w:val="00DD2AF2"/>
    <w:rsid w:val="00DD2B59"/>
    <w:rsid w:val="00DD2C94"/>
    <w:rsid w:val="00DD2CAA"/>
    <w:rsid w:val="00DD3358"/>
    <w:rsid w:val="00DD33B0"/>
    <w:rsid w:val="00DD33D2"/>
    <w:rsid w:val="00DD33FE"/>
    <w:rsid w:val="00DD373D"/>
    <w:rsid w:val="00DD3741"/>
    <w:rsid w:val="00DD3C5E"/>
    <w:rsid w:val="00DD3D01"/>
    <w:rsid w:val="00DD3E26"/>
    <w:rsid w:val="00DD3E3A"/>
    <w:rsid w:val="00DD404E"/>
    <w:rsid w:val="00DD437C"/>
    <w:rsid w:val="00DD4389"/>
    <w:rsid w:val="00DD4550"/>
    <w:rsid w:val="00DD46D6"/>
    <w:rsid w:val="00DD46D9"/>
    <w:rsid w:val="00DD480E"/>
    <w:rsid w:val="00DD491A"/>
    <w:rsid w:val="00DD4AE2"/>
    <w:rsid w:val="00DD4DB0"/>
    <w:rsid w:val="00DD4DFA"/>
    <w:rsid w:val="00DD4F06"/>
    <w:rsid w:val="00DD5120"/>
    <w:rsid w:val="00DD51FA"/>
    <w:rsid w:val="00DD5245"/>
    <w:rsid w:val="00DD5246"/>
    <w:rsid w:val="00DD5302"/>
    <w:rsid w:val="00DD5319"/>
    <w:rsid w:val="00DD535D"/>
    <w:rsid w:val="00DD549D"/>
    <w:rsid w:val="00DD5798"/>
    <w:rsid w:val="00DD57A0"/>
    <w:rsid w:val="00DD5B36"/>
    <w:rsid w:val="00DD5CE1"/>
    <w:rsid w:val="00DD5E0A"/>
    <w:rsid w:val="00DD5E36"/>
    <w:rsid w:val="00DD5F36"/>
    <w:rsid w:val="00DD5FBE"/>
    <w:rsid w:val="00DD6320"/>
    <w:rsid w:val="00DD6547"/>
    <w:rsid w:val="00DD6599"/>
    <w:rsid w:val="00DD65D0"/>
    <w:rsid w:val="00DD65E3"/>
    <w:rsid w:val="00DD6605"/>
    <w:rsid w:val="00DD6677"/>
    <w:rsid w:val="00DD66AA"/>
    <w:rsid w:val="00DD66CD"/>
    <w:rsid w:val="00DD67F0"/>
    <w:rsid w:val="00DD6A84"/>
    <w:rsid w:val="00DD6B79"/>
    <w:rsid w:val="00DD6C67"/>
    <w:rsid w:val="00DD6E1B"/>
    <w:rsid w:val="00DD6F12"/>
    <w:rsid w:val="00DD6FA5"/>
    <w:rsid w:val="00DD7025"/>
    <w:rsid w:val="00DD758B"/>
    <w:rsid w:val="00DD75E8"/>
    <w:rsid w:val="00DD7603"/>
    <w:rsid w:val="00DD7C17"/>
    <w:rsid w:val="00DE002E"/>
    <w:rsid w:val="00DE04D7"/>
    <w:rsid w:val="00DE0625"/>
    <w:rsid w:val="00DE08BD"/>
    <w:rsid w:val="00DE0984"/>
    <w:rsid w:val="00DE0DE9"/>
    <w:rsid w:val="00DE0E4A"/>
    <w:rsid w:val="00DE0E9F"/>
    <w:rsid w:val="00DE1277"/>
    <w:rsid w:val="00DE13F3"/>
    <w:rsid w:val="00DE1449"/>
    <w:rsid w:val="00DE14E5"/>
    <w:rsid w:val="00DE155A"/>
    <w:rsid w:val="00DE18B0"/>
    <w:rsid w:val="00DE1A50"/>
    <w:rsid w:val="00DE1A52"/>
    <w:rsid w:val="00DE1A72"/>
    <w:rsid w:val="00DE1A83"/>
    <w:rsid w:val="00DE1B44"/>
    <w:rsid w:val="00DE1CB5"/>
    <w:rsid w:val="00DE20C7"/>
    <w:rsid w:val="00DE21BE"/>
    <w:rsid w:val="00DE2288"/>
    <w:rsid w:val="00DE2431"/>
    <w:rsid w:val="00DE25EE"/>
    <w:rsid w:val="00DE266F"/>
    <w:rsid w:val="00DE2793"/>
    <w:rsid w:val="00DE28AD"/>
    <w:rsid w:val="00DE29FC"/>
    <w:rsid w:val="00DE2A5F"/>
    <w:rsid w:val="00DE2DC3"/>
    <w:rsid w:val="00DE2E22"/>
    <w:rsid w:val="00DE2ED3"/>
    <w:rsid w:val="00DE2FAA"/>
    <w:rsid w:val="00DE3005"/>
    <w:rsid w:val="00DE3093"/>
    <w:rsid w:val="00DE357E"/>
    <w:rsid w:val="00DE3891"/>
    <w:rsid w:val="00DE3907"/>
    <w:rsid w:val="00DE397B"/>
    <w:rsid w:val="00DE3984"/>
    <w:rsid w:val="00DE3A71"/>
    <w:rsid w:val="00DE3C06"/>
    <w:rsid w:val="00DE3C81"/>
    <w:rsid w:val="00DE3CAF"/>
    <w:rsid w:val="00DE3D89"/>
    <w:rsid w:val="00DE3DDC"/>
    <w:rsid w:val="00DE3E02"/>
    <w:rsid w:val="00DE3E8E"/>
    <w:rsid w:val="00DE4160"/>
    <w:rsid w:val="00DE4506"/>
    <w:rsid w:val="00DE4851"/>
    <w:rsid w:val="00DE486A"/>
    <w:rsid w:val="00DE4D6F"/>
    <w:rsid w:val="00DE4F26"/>
    <w:rsid w:val="00DE5343"/>
    <w:rsid w:val="00DE5354"/>
    <w:rsid w:val="00DE54BD"/>
    <w:rsid w:val="00DE54E6"/>
    <w:rsid w:val="00DE54EC"/>
    <w:rsid w:val="00DE560C"/>
    <w:rsid w:val="00DE5627"/>
    <w:rsid w:val="00DE58A1"/>
    <w:rsid w:val="00DE58BF"/>
    <w:rsid w:val="00DE5927"/>
    <w:rsid w:val="00DE5A72"/>
    <w:rsid w:val="00DE5B8C"/>
    <w:rsid w:val="00DE5F54"/>
    <w:rsid w:val="00DE63F9"/>
    <w:rsid w:val="00DE668E"/>
    <w:rsid w:val="00DE67DC"/>
    <w:rsid w:val="00DE6839"/>
    <w:rsid w:val="00DE68D1"/>
    <w:rsid w:val="00DE6EC1"/>
    <w:rsid w:val="00DE70A6"/>
    <w:rsid w:val="00DE71CC"/>
    <w:rsid w:val="00DE72AA"/>
    <w:rsid w:val="00DE73FA"/>
    <w:rsid w:val="00DE745C"/>
    <w:rsid w:val="00DE74CF"/>
    <w:rsid w:val="00DE75CB"/>
    <w:rsid w:val="00DE7705"/>
    <w:rsid w:val="00DE77A9"/>
    <w:rsid w:val="00DE7936"/>
    <w:rsid w:val="00DE7943"/>
    <w:rsid w:val="00DE7CAC"/>
    <w:rsid w:val="00DE7F3E"/>
    <w:rsid w:val="00DF00A0"/>
    <w:rsid w:val="00DF0230"/>
    <w:rsid w:val="00DF0454"/>
    <w:rsid w:val="00DF0567"/>
    <w:rsid w:val="00DF06F8"/>
    <w:rsid w:val="00DF0732"/>
    <w:rsid w:val="00DF083B"/>
    <w:rsid w:val="00DF08B4"/>
    <w:rsid w:val="00DF0A36"/>
    <w:rsid w:val="00DF0A41"/>
    <w:rsid w:val="00DF0AA8"/>
    <w:rsid w:val="00DF0C6A"/>
    <w:rsid w:val="00DF0C9E"/>
    <w:rsid w:val="00DF0CDD"/>
    <w:rsid w:val="00DF0DA7"/>
    <w:rsid w:val="00DF0E14"/>
    <w:rsid w:val="00DF0E57"/>
    <w:rsid w:val="00DF0E83"/>
    <w:rsid w:val="00DF0EE6"/>
    <w:rsid w:val="00DF0F22"/>
    <w:rsid w:val="00DF1264"/>
    <w:rsid w:val="00DF135D"/>
    <w:rsid w:val="00DF1449"/>
    <w:rsid w:val="00DF1598"/>
    <w:rsid w:val="00DF18CE"/>
    <w:rsid w:val="00DF196D"/>
    <w:rsid w:val="00DF1D1E"/>
    <w:rsid w:val="00DF1D53"/>
    <w:rsid w:val="00DF1DFF"/>
    <w:rsid w:val="00DF1EC0"/>
    <w:rsid w:val="00DF209A"/>
    <w:rsid w:val="00DF2181"/>
    <w:rsid w:val="00DF22AA"/>
    <w:rsid w:val="00DF270B"/>
    <w:rsid w:val="00DF27C8"/>
    <w:rsid w:val="00DF2BE2"/>
    <w:rsid w:val="00DF2DC3"/>
    <w:rsid w:val="00DF2EDE"/>
    <w:rsid w:val="00DF2F74"/>
    <w:rsid w:val="00DF2FDB"/>
    <w:rsid w:val="00DF3119"/>
    <w:rsid w:val="00DF3207"/>
    <w:rsid w:val="00DF32C8"/>
    <w:rsid w:val="00DF3452"/>
    <w:rsid w:val="00DF34C1"/>
    <w:rsid w:val="00DF356B"/>
    <w:rsid w:val="00DF361D"/>
    <w:rsid w:val="00DF3A65"/>
    <w:rsid w:val="00DF3C34"/>
    <w:rsid w:val="00DF3D11"/>
    <w:rsid w:val="00DF3ED7"/>
    <w:rsid w:val="00DF3F5E"/>
    <w:rsid w:val="00DF3F7A"/>
    <w:rsid w:val="00DF4074"/>
    <w:rsid w:val="00DF416F"/>
    <w:rsid w:val="00DF4492"/>
    <w:rsid w:val="00DF457C"/>
    <w:rsid w:val="00DF495E"/>
    <w:rsid w:val="00DF49CF"/>
    <w:rsid w:val="00DF4AF5"/>
    <w:rsid w:val="00DF4C9F"/>
    <w:rsid w:val="00DF4F0A"/>
    <w:rsid w:val="00DF4F26"/>
    <w:rsid w:val="00DF4FF2"/>
    <w:rsid w:val="00DF506B"/>
    <w:rsid w:val="00DF5117"/>
    <w:rsid w:val="00DF51E0"/>
    <w:rsid w:val="00DF51F7"/>
    <w:rsid w:val="00DF52AC"/>
    <w:rsid w:val="00DF533A"/>
    <w:rsid w:val="00DF540E"/>
    <w:rsid w:val="00DF5592"/>
    <w:rsid w:val="00DF581E"/>
    <w:rsid w:val="00DF5848"/>
    <w:rsid w:val="00DF5935"/>
    <w:rsid w:val="00DF5A75"/>
    <w:rsid w:val="00DF5F8B"/>
    <w:rsid w:val="00DF6240"/>
    <w:rsid w:val="00DF6252"/>
    <w:rsid w:val="00DF63B1"/>
    <w:rsid w:val="00DF640D"/>
    <w:rsid w:val="00DF649B"/>
    <w:rsid w:val="00DF64A8"/>
    <w:rsid w:val="00DF64BF"/>
    <w:rsid w:val="00DF6866"/>
    <w:rsid w:val="00DF694E"/>
    <w:rsid w:val="00DF6A1C"/>
    <w:rsid w:val="00DF6A85"/>
    <w:rsid w:val="00DF6AE8"/>
    <w:rsid w:val="00DF6BAE"/>
    <w:rsid w:val="00DF6CFB"/>
    <w:rsid w:val="00DF6E8C"/>
    <w:rsid w:val="00DF6F27"/>
    <w:rsid w:val="00DF708B"/>
    <w:rsid w:val="00DF7538"/>
    <w:rsid w:val="00DF75B1"/>
    <w:rsid w:val="00DF771D"/>
    <w:rsid w:val="00DF7815"/>
    <w:rsid w:val="00DF795B"/>
    <w:rsid w:val="00DF7C3D"/>
    <w:rsid w:val="00DF7C6B"/>
    <w:rsid w:val="00DF7DC6"/>
    <w:rsid w:val="00DF7DE9"/>
    <w:rsid w:val="00DF7E7E"/>
    <w:rsid w:val="00DF7EE2"/>
    <w:rsid w:val="00E0006D"/>
    <w:rsid w:val="00E000A0"/>
    <w:rsid w:val="00E005B0"/>
    <w:rsid w:val="00E0069F"/>
    <w:rsid w:val="00E006C9"/>
    <w:rsid w:val="00E00770"/>
    <w:rsid w:val="00E007D8"/>
    <w:rsid w:val="00E0092D"/>
    <w:rsid w:val="00E00B04"/>
    <w:rsid w:val="00E00C51"/>
    <w:rsid w:val="00E00C8C"/>
    <w:rsid w:val="00E00D86"/>
    <w:rsid w:val="00E00E59"/>
    <w:rsid w:val="00E00E95"/>
    <w:rsid w:val="00E00F36"/>
    <w:rsid w:val="00E00FC8"/>
    <w:rsid w:val="00E01043"/>
    <w:rsid w:val="00E01086"/>
    <w:rsid w:val="00E01198"/>
    <w:rsid w:val="00E01347"/>
    <w:rsid w:val="00E0168F"/>
    <w:rsid w:val="00E0169F"/>
    <w:rsid w:val="00E0177E"/>
    <w:rsid w:val="00E01852"/>
    <w:rsid w:val="00E019BF"/>
    <w:rsid w:val="00E019F8"/>
    <w:rsid w:val="00E01A2C"/>
    <w:rsid w:val="00E01CCF"/>
    <w:rsid w:val="00E01D44"/>
    <w:rsid w:val="00E01E25"/>
    <w:rsid w:val="00E0212A"/>
    <w:rsid w:val="00E021AF"/>
    <w:rsid w:val="00E02364"/>
    <w:rsid w:val="00E02385"/>
    <w:rsid w:val="00E0250F"/>
    <w:rsid w:val="00E025E8"/>
    <w:rsid w:val="00E026B7"/>
    <w:rsid w:val="00E02925"/>
    <w:rsid w:val="00E02B14"/>
    <w:rsid w:val="00E02C7F"/>
    <w:rsid w:val="00E02C9C"/>
    <w:rsid w:val="00E02CE1"/>
    <w:rsid w:val="00E02E7B"/>
    <w:rsid w:val="00E0302F"/>
    <w:rsid w:val="00E03550"/>
    <w:rsid w:val="00E035F4"/>
    <w:rsid w:val="00E03601"/>
    <w:rsid w:val="00E03686"/>
    <w:rsid w:val="00E03733"/>
    <w:rsid w:val="00E03A3F"/>
    <w:rsid w:val="00E03F07"/>
    <w:rsid w:val="00E03F47"/>
    <w:rsid w:val="00E04128"/>
    <w:rsid w:val="00E041A2"/>
    <w:rsid w:val="00E0436D"/>
    <w:rsid w:val="00E044AD"/>
    <w:rsid w:val="00E044BE"/>
    <w:rsid w:val="00E046B0"/>
    <w:rsid w:val="00E04999"/>
    <w:rsid w:val="00E04C06"/>
    <w:rsid w:val="00E04CDB"/>
    <w:rsid w:val="00E04E37"/>
    <w:rsid w:val="00E04F77"/>
    <w:rsid w:val="00E0526E"/>
    <w:rsid w:val="00E052E6"/>
    <w:rsid w:val="00E054DF"/>
    <w:rsid w:val="00E0550E"/>
    <w:rsid w:val="00E0565B"/>
    <w:rsid w:val="00E056BB"/>
    <w:rsid w:val="00E05C76"/>
    <w:rsid w:val="00E05CED"/>
    <w:rsid w:val="00E06116"/>
    <w:rsid w:val="00E06734"/>
    <w:rsid w:val="00E067F0"/>
    <w:rsid w:val="00E06828"/>
    <w:rsid w:val="00E0689B"/>
    <w:rsid w:val="00E068C6"/>
    <w:rsid w:val="00E06A50"/>
    <w:rsid w:val="00E06AA5"/>
    <w:rsid w:val="00E06B60"/>
    <w:rsid w:val="00E06F97"/>
    <w:rsid w:val="00E07063"/>
    <w:rsid w:val="00E0727B"/>
    <w:rsid w:val="00E07295"/>
    <w:rsid w:val="00E0738B"/>
    <w:rsid w:val="00E07579"/>
    <w:rsid w:val="00E07BBB"/>
    <w:rsid w:val="00E07C10"/>
    <w:rsid w:val="00E07D15"/>
    <w:rsid w:val="00E07D93"/>
    <w:rsid w:val="00E07E04"/>
    <w:rsid w:val="00E1023F"/>
    <w:rsid w:val="00E10268"/>
    <w:rsid w:val="00E1043D"/>
    <w:rsid w:val="00E10791"/>
    <w:rsid w:val="00E107C3"/>
    <w:rsid w:val="00E10802"/>
    <w:rsid w:val="00E10DF4"/>
    <w:rsid w:val="00E1104B"/>
    <w:rsid w:val="00E111B7"/>
    <w:rsid w:val="00E11205"/>
    <w:rsid w:val="00E11353"/>
    <w:rsid w:val="00E11429"/>
    <w:rsid w:val="00E11469"/>
    <w:rsid w:val="00E114EA"/>
    <w:rsid w:val="00E11630"/>
    <w:rsid w:val="00E116F9"/>
    <w:rsid w:val="00E1182D"/>
    <w:rsid w:val="00E1197D"/>
    <w:rsid w:val="00E11A39"/>
    <w:rsid w:val="00E11A8A"/>
    <w:rsid w:val="00E11CE6"/>
    <w:rsid w:val="00E11E13"/>
    <w:rsid w:val="00E11E32"/>
    <w:rsid w:val="00E11F19"/>
    <w:rsid w:val="00E12169"/>
    <w:rsid w:val="00E121AC"/>
    <w:rsid w:val="00E12316"/>
    <w:rsid w:val="00E12585"/>
    <w:rsid w:val="00E12623"/>
    <w:rsid w:val="00E12952"/>
    <w:rsid w:val="00E12A08"/>
    <w:rsid w:val="00E12A91"/>
    <w:rsid w:val="00E12C36"/>
    <w:rsid w:val="00E12EC6"/>
    <w:rsid w:val="00E12EEC"/>
    <w:rsid w:val="00E12FFC"/>
    <w:rsid w:val="00E1315C"/>
    <w:rsid w:val="00E13382"/>
    <w:rsid w:val="00E13680"/>
    <w:rsid w:val="00E136BB"/>
    <w:rsid w:val="00E137E7"/>
    <w:rsid w:val="00E138A0"/>
    <w:rsid w:val="00E13A55"/>
    <w:rsid w:val="00E13A97"/>
    <w:rsid w:val="00E13B5B"/>
    <w:rsid w:val="00E13E34"/>
    <w:rsid w:val="00E13E58"/>
    <w:rsid w:val="00E13EEC"/>
    <w:rsid w:val="00E14055"/>
    <w:rsid w:val="00E14153"/>
    <w:rsid w:val="00E14265"/>
    <w:rsid w:val="00E142E5"/>
    <w:rsid w:val="00E1437A"/>
    <w:rsid w:val="00E1444D"/>
    <w:rsid w:val="00E14531"/>
    <w:rsid w:val="00E146DB"/>
    <w:rsid w:val="00E1482D"/>
    <w:rsid w:val="00E148BB"/>
    <w:rsid w:val="00E1495B"/>
    <w:rsid w:val="00E14B54"/>
    <w:rsid w:val="00E14D47"/>
    <w:rsid w:val="00E14E6B"/>
    <w:rsid w:val="00E14EA6"/>
    <w:rsid w:val="00E1523A"/>
    <w:rsid w:val="00E1560E"/>
    <w:rsid w:val="00E15756"/>
    <w:rsid w:val="00E15786"/>
    <w:rsid w:val="00E15A35"/>
    <w:rsid w:val="00E15C58"/>
    <w:rsid w:val="00E15CAB"/>
    <w:rsid w:val="00E15DD4"/>
    <w:rsid w:val="00E15E01"/>
    <w:rsid w:val="00E15F86"/>
    <w:rsid w:val="00E15FB5"/>
    <w:rsid w:val="00E16009"/>
    <w:rsid w:val="00E16031"/>
    <w:rsid w:val="00E16093"/>
    <w:rsid w:val="00E16151"/>
    <w:rsid w:val="00E16182"/>
    <w:rsid w:val="00E16283"/>
    <w:rsid w:val="00E167A0"/>
    <w:rsid w:val="00E167EF"/>
    <w:rsid w:val="00E16852"/>
    <w:rsid w:val="00E16A12"/>
    <w:rsid w:val="00E16AFA"/>
    <w:rsid w:val="00E16C2B"/>
    <w:rsid w:val="00E16D04"/>
    <w:rsid w:val="00E16E0C"/>
    <w:rsid w:val="00E17145"/>
    <w:rsid w:val="00E17610"/>
    <w:rsid w:val="00E17700"/>
    <w:rsid w:val="00E17747"/>
    <w:rsid w:val="00E178DB"/>
    <w:rsid w:val="00E17971"/>
    <w:rsid w:val="00E17AD5"/>
    <w:rsid w:val="00E17C62"/>
    <w:rsid w:val="00E17DBF"/>
    <w:rsid w:val="00E17E5E"/>
    <w:rsid w:val="00E20008"/>
    <w:rsid w:val="00E20039"/>
    <w:rsid w:val="00E2006A"/>
    <w:rsid w:val="00E20083"/>
    <w:rsid w:val="00E2026D"/>
    <w:rsid w:val="00E203CB"/>
    <w:rsid w:val="00E204C6"/>
    <w:rsid w:val="00E2077B"/>
    <w:rsid w:val="00E208B9"/>
    <w:rsid w:val="00E20914"/>
    <w:rsid w:val="00E2096F"/>
    <w:rsid w:val="00E20A83"/>
    <w:rsid w:val="00E20B5C"/>
    <w:rsid w:val="00E20C3F"/>
    <w:rsid w:val="00E20C51"/>
    <w:rsid w:val="00E20CAB"/>
    <w:rsid w:val="00E20D2B"/>
    <w:rsid w:val="00E20EA1"/>
    <w:rsid w:val="00E20ED8"/>
    <w:rsid w:val="00E21096"/>
    <w:rsid w:val="00E214BD"/>
    <w:rsid w:val="00E215FA"/>
    <w:rsid w:val="00E21710"/>
    <w:rsid w:val="00E21747"/>
    <w:rsid w:val="00E21748"/>
    <w:rsid w:val="00E21772"/>
    <w:rsid w:val="00E21860"/>
    <w:rsid w:val="00E218F8"/>
    <w:rsid w:val="00E21953"/>
    <w:rsid w:val="00E219A4"/>
    <w:rsid w:val="00E219B1"/>
    <w:rsid w:val="00E21A3C"/>
    <w:rsid w:val="00E21AB8"/>
    <w:rsid w:val="00E21B32"/>
    <w:rsid w:val="00E21D1D"/>
    <w:rsid w:val="00E21D4C"/>
    <w:rsid w:val="00E21D73"/>
    <w:rsid w:val="00E21E43"/>
    <w:rsid w:val="00E21E4E"/>
    <w:rsid w:val="00E21F29"/>
    <w:rsid w:val="00E21FB6"/>
    <w:rsid w:val="00E2209F"/>
    <w:rsid w:val="00E220BA"/>
    <w:rsid w:val="00E220DE"/>
    <w:rsid w:val="00E2217C"/>
    <w:rsid w:val="00E22921"/>
    <w:rsid w:val="00E229E7"/>
    <w:rsid w:val="00E22BF6"/>
    <w:rsid w:val="00E22C10"/>
    <w:rsid w:val="00E22EBE"/>
    <w:rsid w:val="00E22F6E"/>
    <w:rsid w:val="00E2345F"/>
    <w:rsid w:val="00E23636"/>
    <w:rsid w:val="00E23699"/>
    <w:rsid w:val="00E23A7D"/>
    <w:rsid w:val="00E23B3E"/>
    <w:rsid w:val="00E23BEA"/>
    <w:rsid w:val="00E23C91"/>
    <w:rsid w:val="00E23CAA"/>
    <w:rsid w:val="00E23EAB"/>
    <w:rsid w:val="00E23F92"/>
    <w:rsid w:val="00E2409C"/>
    <w:rsid w:val="00E240F7"/>
    <w:rsid w:val="00E24113"/>
    <w:rsid w:val="00E241B6"/>
    <w:rsid w:val="00E24221"/>
    <w:rsid w:val="00E245E9"/>
    <w:rsid w:val="00E2493A"/>
    <w:rsid w:val="00E24A17"/>
    <w:rsid w:val="00E25248"/>
    <w:rsid w:val="00E25365"/>
    <w:rsid w:val="00E25811"/>
    <w:rsid w:val="00E25971"/>
    <w:rsid w:val="00E25AFB"/>
    <w:rsid w:val="00E25B4F"/>
    <w:rsid w:val="00E25BA2"/>
    <w:rsid w:val="00E25BD8"/>
    <w:rsid w:val="00E25C72"/>
    <w:rsid w:val="00E25E70"/>
    <w:rsid w:val="00E25F25"/>
    <w:rsid w:val="00E25FE1"/>
    <w:rsid w:val="00E260B8"/>
    <w:rsid w:val="00E260E8"/>
    <w:rsid w:val="00E26471"/>
    <w:rsid w:val="00E2664D"/>
    <w:rsid w:val="00E26816"/>
    <w:rsid w:val="00E26B04"/>
    <w:rsid w:val="00E26B4F"/>
    <w:rsid w:val="00E26BBA"/>
    <w:rsid w:val="00E26C01"/>
    <w:rsid w:val="00E26D64"/>
    <w:rsid w:val="00E26D97"/>
    <w:rsid w:val="00E26F03"/>
    <w:rsid w:val="00E26F14"/>
    <w:rsid w:val="00E26F67"/>
    <w:rsid w:val="00E2713F"/>
    <w:rsid w:val="00E272CE"/>
    <w:rsid w:val="00E272DD"/>
    <w:rsid w:val="00E2731B"/>
    <w:rsid w:val="00E273AF"/>
    <w:rsid w:val="00E2776A"/>
    <w:rsid w:val="00E27827"/>
    <w:rsid w:val="00E27909"/>
    <w:rsid w:val="00E2791B"/>
    <w:rsid w:val="00E27A48"/>
    <w:rsid w:val="00E27B41"/>
    <w:rsid w:val="00E27EAA"/>
    <w:rsid w:val="00E301DD"/>
    <w:rsid w:val="00E30283"/>
    <w:rsid w:val="00E3054C"/>
    <w:rsid w:val="00E30722"/>
    <w:rsid w:val="00E307FD"/>
    <w:rsid w:val="00E30886"/>
    <w:rsid w:val="00E30B14"/>
    <w:rsid w:val="00E30C03"/>
    <w:rsid w:val="00E30D23"/>
    <w:rsid w:val="00E30D28"/>
    <w:rsid w:val="00E30D43"/>
    <w:rsid w:val="00E30D6F"/>
    <w:rsid w:val="00E30E3A"/>
    <w:rsid w:val="00E30FA9"/>
    <w:rsid w:val="00E30FF7"/>
    <w:rsid w:val="00E310D9"/>
    <w:rsid w:val="00E310F8"/>
    <w:rsid w:val="00E31290"/>
    <w:rsid w:val="00E312A2"/>
    <w:rsid w:val="00E31453"/>
    <w:rsid w:val="00E316B3"/>
    <w:rsid w:val="00E316B9"/>
    <w:rsid w:val="00E317DE"/>
    <w:rsid w:val="00E318C1"/>
    <w:rsid w:val="00E318FA"/>
    <w:rsid w:val="00E31A4A"/>
    <w:rsid w:val="00E31AA2"/>
    <w:rsid w:val="00E31BC0"/>
    <w:rsid w:val="00E31C98"/>
    <w:rsid w:val="00E31D46"/>
    <w:rsid w:val="00E31DC0"/>
    <w:rsid w:val="00E31EC9"/>
    <w:rsid w:val="00E31FDB"/>
    <w:rsid w:val="00E320AA"/>
    <w:rsid w:val="00E320E5"/>
    <w:rsid w:val="00E32277"/>
    <w:rsid w:val="00E3235A"/>
    <w:rsid w:val="00E32425"/>
    <w:rsid w:val="00E32582"/>
    <w:rsid w:val="00E32884"/>
    <w:rsid w:val="00E328B9"/>
    <w:rsid w:val="00E328E1"/>
    <w:rsid w:val="00E32B5B"/>
    <w:rsid w:val="00E32C3C"/>
    <w:rsid w:val="00E32CEF"/>
    <w:rsid w:val="00E32D06"/>
    <w:rsid w:val="00E32D47"/>
    <w:rsid w:val="00E32D67"/>
    <w:rsid w:val="00E32DA7"/>
    <w:rsid w:val="00E32F53"/>
    <w:rsid w:val="00E33000"/>
    <w:rsid w:val="00E334CE"/>
    <w:rsid w:val="00E335E6"/>
    <w:rsid w:val="00E3364C"/>
    <w:rsid w:val="00E33797"/>
    <w:rsid w:val="00E33917"/>
    <w:rsid w:val="00E339EF"/>
    <w:rsid w:val="00E33A57"/>
    <w:rsid w:val="00E33B54"/>
    <w:rsid w:val="00E33B90"/>
    <w:rsid w:val="00E33C62"/>
    <w:rsid w:val="00E33C79"/>
    <w:rsid w:val="00E33D53"/>
    <w:rsid w:val="00E34273"/>
    <w:rsid w:val="00E344D4"/>
    <w:rsid w:val="00E34718"/>
    <w:rsid w:val="00E3474B"/>
    <w:rsid w:val="00E3475C"/>
    <w:rsid w:val="00E34857"/>
    <w:rsid w:val="00E34894"/>
    <w:rsid w:val="00E348CE"/>
    <w:rsid w:val="00E34953"/>
    <w:rsid w:val="00E34986"/>
    <w:rsid w:val="00E34B5B"/>
    <w:rsid w:val="00E34B9C"/>
    <w:rsid w:val="00E34D8C"/>
    <w:rsid w:val="00E34E9E"/>
    <w:rsid w:val="00E34F38"/>
    <w:rsid w:val="00E3503C"/>
    <w:rsid w:val="00E350DB"/>
    <w:rsid w:val="00E3517F"/>
    <w:rsid w:val="00E351A5"/>
    <w:rsid w:val="00E351D2"/>
    <w:rsid w:val="00E3525D"/>
    <w:rsid w:val="00E35275"/>
    <w:rsid w:val="00E3535C"/>
    <w:rsid w:val="00E356F5"/>
    <w:rsid w:val="00E35809"/>
    <w:rsid w:val="00E35842"/>
    <w:rsid w:val="00E35C24"/>
    <w:rsid w:val="00E35FA1"/>
    <w:rsid w:val="00E3651E"/>
    <w:rsid w:val="00E36554"/>
    <w:rsid w:val="00E3688F"/>
    <w:rsid w:val="00E36CAB"/>
    <w:rsid w:val="00E37082"/>
    <w:rsid w:val="00E37546"/>
    <w:rsid w:val="00E375B1"/>
    <w:rsid w:val="00E37708"/>
    <w:rsid w:val="00E3772D"/>
    <w:rsid w:val="00E37772"/>
    <w:rsid w:val="00E3781E"/>
    <w:rsid w:val="00E3791C"/>
    <w:rsid w:val="00E37AA0"/>
    <w:rsid w:val="00E37BF6"/>
    <w:rsid w:val="00E37C42"/>
    <w:rsid w:val="00E37CDA"/>
    <w:rsid w:val="00E37CED"/>
    <w:rsid w:val="00E37D53"/>
    <w:rsid w:val="00E37EB2"/>
    <w:rsid w:val="00E37FDB"/>
    <w:rsid w:val="00E406FA"/>
    <w:rsid w:val="00E40702"/>
    <w:rsid w:val="00E40843"/>
    <w:rsid w:val="00E40A70"/>
    <w:rsid w:val="00E40AE8"/>
    <w:rsid w:val="00E40B1D"/>
    <w:rsid w:val="00E40BA5"/>
    <w:rsid w:val="00E40C32"/>
    <w:rsid w:val="00E40DAC"/>
    <w:rsid w:val="00E40F0B"/>
    <w:rsid w:val="00E4120E"/>
    <w:rsid w:val="00E412AC"/>
    <w:rsid w:val="00E412BE"/>
    <w:rsid w:val="00E413CF"/>
    <w:rsid w:val="00E4147E"/>
    <w:rsid w:val="00E4150D"/>
    <w:rsid w:val="00E415CE"/>
    <w:rsid w:val="00E41695"/>
    <w:rsid w:val="00E41758"/>
    <w:rsid w:val="00E4184A"/>
    <w:rsid w:val="00E418AE"/>
    <w:rsid w:val="00E41926"/>
    <w:rsid w:val="00E41ABA"/>
    <w:rsid w:val="00E41C7B"/>
    <w:rsid w:val="00E41D8C"/>
    <w:rsid w:val="00E41EE5"/>
    <w:rsid w:val="00E42138"/>
    <w:rsid w:val="00E42341"/>
    <w:rsid w:val="00E4235F"/>
    <w:rsid w:val="00E4254C"/>
    <w:rsid w:val="00E4268C"/>
    <w:rsid w:val="00E427E3"/>
    <w:rsid w:val="00E42880"/>
    <w:rsid w:val="00E42CBE"/>
    <w:rsid w:val="00E42F02"/>
    <w:rsid w:val="00E42F44"/>
    <w:rsid w:val="00E43076"/>
    <w:rsid w:val="00E431BF"/>
    <w:rsid w:val="00E432C9"/>
    <w:rsid w:val="00E434B2"/>
    <w:rsid w:val="00E4364E"/>
    <w:rsid w:val="00E43773"/>
    <w:rsid w:val="00E43784"/>
    <w:rsid w:val="00E43906"/>
    <w:rsid w:val="00E4391A"/>
    <w:rsid w:val="00E43A63"/>
    <w:rsid w:val="00E43BEB"/>
    <w:rsid w:val="00E43C15"/>
    <w:rsid w:val="00E43C27"/>
    <w:rsid w:val="00E43C56"/>
    <w:rsid w:val="00E43F8B"/>
    <w:rsid w:val="00E4407F"/>
    <w:rsid w:val="00E440AB"/>
    <w:rsid w:val="00E441FF"/>
    <w:rsid w:val="00E44389"/>
    <w:rsid w:val="00E445AD"/>
    <w:rsid w:val="00E446AB"/>
    <w:rsid w:val="00E44749"/>
    <w:rsid w:val="00E4477F"/>
    <w:rsid w:val="00E448E7"/>
    <w:rsid w:val="00E44CBF"/>
    <w:rsid w:val="00E44CF2"/>
    <w:rsid w:val="00E44D25"/>
    <w:rsid w:val="00E44D79"/>
    <w:rsid w:val="00E44ED9"/>
    <w:rsid w:val="00E45273"/>
    <w:rsid w:val="00E45423"/>
    <w:rsid w:val="00E4542A"/>
    <w:rsid w:val="00E4559C"/>
    <w:rsid w:val="00E455B9"/>
    <w:rsid w:val="00E4562C"/>
    <w:rsid w:val="00E456A9"/>
    <w:rsid w:val="00E456F0"/>
    <w:rsid w:val="00E45910"/>
    <w:rsid w:val="00E45957"/>
    <w:rsid w:val="00E45967"/>
    <w:rsid w:val="00E45AB1"/>
    <w:rsid w:val="00E45C3A"/>
    <w:rsid w:val="00E45CB8"/>
    <w:rsid w:val="00E45D79"/>
    <w:rsid w:val="00E45FDB"/>
    <w:rsid w:val="00E460A7"/>
    <w:rsid w:val="00E462EB"/>
    <w:rsid w:val="00E4631E"/>
    <w:rsid w:val="00E466A2"/>
    <w:rsid w:val="00E467CD"/>
    <w:rsid w:val="00E467D8"/>
    <w:rsid w:val="00E468DD"/>
    <w:rsid w:val="00E46997"/>
    <w:rsid w:val="00E469A0"/>
    <w:rsid w:val="00E469A8"/>
    <w:rsid w:val="00E46A0B"/>
    <w:rsid w:val="00E46C35"/>
    <w:rsid w:val="00E46DA9"/>
    <w:rsid w:val="00E46EE3"/>
    <w:rsid w:val="00E46FFB"/>
    <w:rsid w:val="00E47008"/>
    <w:rsid w:val="00E47180"/>
    <w:rsid w:val="00E47330"/>
    <w:rsid w:val="00E4757D"/>
    <w:rsid w:val="00E4766D"/>
    <w:rsid w:val="00E476AB"/>
    <w:rsid w:val="00E4797E"/>
    <w:rsid w:val="00E47A3C"/>
    <w:rsid w:val="00E47B1E"/>
    <w:rsid w:val="00E47BE2"/>
    <w:rsid w:val="00E47BE7"/>
    <w:rsid w:val="00E47C03"/>
    <w:rsid w:val="00E47C33"/>
    <w:rsid w:val="00E47C56"/>
    <w:rsid w:val="00E47D4F"/>
    <w:rsid w:val="00E47D73"/>
    <w:rsid w:val="00E47F12"/>
    <w:rsid w:val="00E50074"/>
    <w:rsid w:val="00E5017F"/>
    <w:rsid w:val="00E501E2"/>
    <w:rsid w:val="00E5020D"/>
    <w:rsid w:val="00E50288"/>
    <w:rsid w:val="00E50336"/>
    <w:rsid w:val="00E5041D"/>
    <w:rsid w:val="00E504DE"/>
    <w:rsid w:val="00E505C1"/>
    <w:rsid w:val="00E507E2"/>
    <w:rsid w:val="00E50864"/>
    <w:rsid w:val="00E509BE"/>
    <w:rsid w:val="00E50BC9"/>
    <w:rsid w:val="00E50C7A"/>
    <w:rsid w:val="00E50CCF"/>
    <w:rsid w:val="00E51039"/>
    <w:rsid w:val="00E5103A"/>
    <w:rsid w:val="00E51088"/>
    <w:rsid w:val="00E5109A"/>
    <w:rsid w:val="00E511BE"/>
    <w:rsid w:val="00E51332"/>
    <w:rsid w:val="00E513AE"/>
    <w:rsid w:val="00E51531"/>
    <w:rsid w:val="00E515C2"/>
    <w:rsid w:val="00E51704"/>
    <w:rsid w:val="00E5189C"/>
    <w:rsid w:val="00E518FF"/>
    <w:rsid w:val="00E51909"/>
    <w:rsid w:val="00E51A31"/>
    <w:rsid w:val="00E51A37"/>
    <w:rsid w:val="00E51FE5"/>
    <w:rsid w:val="00E51FF2"/>
    <w:rsid w:val="00E52025"/>
    <w:rsid w:val="00E520ED"/>
    <w:rsid w:val="00E521AA"/>
    <w:rsid w:val="00E52209"/>
    <w:rsid w:val="00E52214"/>
    <w:rsid w:val="00E5226B"/>
    <w:rsid w:val="00E52285"/>
    <w:rsid w:val="00E52701"/>
    <w:rsid w:val="00E5281B"/>
    <w:rsid w:val="00E5286F"/>
    <w:rsid w:val="00E529C7"/>
    <w:rsid w:val="00E529D1"/>
    <w:rsid w:val="00E529E2"/>
    <w:rsid w:val="00E52A29"/>
    <w:rsid w:val="00E532BD"/>
    <w:rsid w:val="00E53667"/>
    <w:rsid w:val="00E537DA"/>
    <w:rsid w:val="00E537E8"/>
    <w:rsid w:val="00E53820"/>
    <w:rsid w:val="00E538E3"/>
    <w:rsid w:val="00E53ADA"/>
    <w:rsid w:val="00E53C5A"/>
    <w:rsid w:val="00E53EC7"/>
    <w:rsid w:val="00E53F6C"/>
    <w:rsid w:val="00E540F0"/>
    <w:rsid w:val="00E541C2"/>
    <w:rsid w:val="00E54483"/>
    <w:rsid w:val="00E54688"/>
    <w:rsid w:val="00E547F4"/>
    <w:rsid w:val="00E548BB"/>
    <w:rsid w:val="00E54D44"/>
    <w:rsid w:val="00E55132"/>
    <w:rsid w:val="00E55275"/>
    <w:rsid w:val="00E55324"/>
    <w:rsid w:val="00E55332"/>
    <w:rsid w:val="00E55392"/>
    <w:rsid w:val="00E553FA"/>
    <w:rsid w:val="00E55491"/>
    <w:rsid w:val="00E554E8"/>
    <w:rsid w:val="00E55640"/>
    <w:rsid w:val="00E55673"/>
    <w:rsid w:val="00E557AF"/>
    <w:rsid w:val="00E55818"/>
    <w:rsid w:val="00E558B9"/>
    <w:rsid w:val="00E5597C"/>
    <w:rsid w:val="00E55A9A"/>
    <w:rsid w:val="00E55E17"/>
    <w:rsid w:val="00E55E76"/>
    <w:rsid w:val="00E55F7B"/>
    <w:rsid w:val="00E56579"/>
    <w:rsid w:val="00E5672F"/>
    <w:rsid w:val="00E5682D"/>
    <w:rsid w:val="00E568F6"/>
    <w:rsid w:val="00E56966"/>
    <w:rsid w:val="00E569B5"/>
    <w:rsid w:val="00E56CFD"/>
    <w:rsid w:val="00E56D13"/>
    <w:rsid w:val="00E56D46"/>
    <w:rsid w:val="00E56F8C"/>
    <w:rsid w:val="00E56FD5"/>
    <w:rsid w:val="00E5709E"/>
    <w:rsid w:val="00E573D1"/>
    <w:rsid w:val="00E577A5"/>
    <w:rsid w:val="00E577BA"/>
    <w:rsid w:val="00E5788E"/>
    <w:rsid w:val="00E57A91"/>
    <w:rsid w:val="00E57AD7"/>
    <w:rsid w:val="00E57C2D"/>
    <w:rsid w:val="00E57E3F"/>
    <w:rsid w:val="00E57E9D"/>
    <w:rsid w:val="00E60000"/>
    <w:rsid w:val="00E60065"/>
    <w:rsid w:val="00E6028C"/>
    <w:rsid w:val="00E60302"/>
    <w:rsid w:val="00E6045E"/>
    <w:rsid w:val="00E604BB"/>
    <w:rsid w:val="00E604DF"/>
    <w:rsid w:val="00E604EE"/>
    <w:rsid w:val="00E605F4"/>
    <w:rsid w:val="00E606CA"/>
    <w:rsid w:val="00E606F8"/>
    <w:rsid w:val="00E60704"/>
    <w:rsid w:val="00E60993"/>
    <w:rsid w:val="00E60A9C"/>
    <w:rsid w:val="00E60B7B"/>
    <w:rsid w:val="00E60BB0"/>
    <w:rsid w:val="00E60BEB"/>
    <w:rsid w:val="00E60CB8"/>
    <w:rsid w:val="00E60D63"/>
    <w:rsid w:val="00E60DF3"/>
    <w:rsid w:val="00E60F29"/>
    <w:rsid w:val="00E60FA1"/>
    <w:rsid w:val="00E61174"/>
    <w:rsid w:val="00E6129D"/>
    <w:rsid w:val="00E612E2"/>
    <w:rsid w:val="00E61335"/>
    <w:rsid w:val="00E61378"/>
    <w:rsid w:val="00E614E6"/>
    <w:rsid w:val="00E616F4"/>
    <w:rsid w:val="00E6177C"/>
    <w:rsid w:val="00E618C1"/>
    <w:rsid w:val="00E61989"/>
    <w:rsid w:val="00E61CCE"/>
    <w:rsid w:val="00E61DAD"/>
    <w:rsid w:val="00E61EFA"/>
    <w:rsid w:val="00E61FFB"/>
    <w:rsid w:val="00E6215C"/>
    <w:rsid w:val="00E62217"/>
    <w:rsid w:val="00E625AC"/>
    <w:rsid w:val="00E6263E"/>
    <w:rsid w:val="00E62685"/>
    <w:rsid w:val="00E627B4"/>
    <w:rsid w:val="00E62991"/>
    <w:rsid w:val="00E62CA7"/>
    <w:rsid w:val="00E62E2E"/>
    <w:rsid w:val="00E62F16"/>
    <w:rsid w:val="00E62F2A"/>
    <w:rsid w:val="00E62F4F"/>
    <w:rsid w:val="00E631C2"/>
    <w:rsid w:val="00E635ED"/>
    <w:rsid w:val="00E63747"/>
    <w:rsid w:val="00E63756"/>
    <w:rsid w:val="00E6398F"/>
    <w:rsid w:val="00E63B29"/>
    <w:rsid w:val="00E63C0E"/>
    <w:rsid w:val="00E63C19"/>
    <w:rsid w:val="00E63E79"/>
    <w:rsid w:val="00E63FC7"/>
    <w:rsid w:val="00E641BC"/>
    <w:rsid w:val="00E64319"/>
    <w:rsid w:val="00E64452"/>
    <w:rsid w:val="00E6450D"/>
    <w:rsid w:val="00E64540"/>
    <w:rsid w:val="00E64542"/>
    <w:rsid w:val="00E6455D"/>
    <w:rsid w:val="00E645F2"/>
    <w:rsid w:val="00E646B8"/>
    <w:rsid w:val="00E648DD"/>
    <w:rsid w:val="00E648F9"/>
    <w:rsid w:val="00E64914"/>
    <w:rsid w:val="00E64A50"/>
    <w:rsid w:val="00E64D23"/>
    <w:rsid w:val="00E64D47"/>
    <w:rsid w:val="00E64F42"/>
    <w:rsid w:val="00E65033"/>
    <w:rsid w:val="00E6518C"/>
    <w:rsid w:val="00E65283"/>
    <w:rsid w:val="00E65598"/>
    <w:rsid w:val="00E658AE"/>
    <w:rsid w:val="00E65A39"/>
    <w:rsid w:val="00E65B36"/>
    <w:rsid w:val="00E65BEA"/>
    <w:rsid w:val="00E65C8B"/>
    <w:rsid w:val="00E65D1B"/>
    <w:rsid w:val="00E65D4C"/>
    <w:rsid w:val="00E65E96"/>
    <w:rsid w:val="00E65E9E"/>
    <w:rsid w:val="00E660B2"/>
    <w:rsid w:val="00E660B6"/>
    <w:rsid w:val="00E6627E"/>
    <w:rsid w:val="00E66734"/>
    <w:rsid w:val="00E6677F"/>
    <w:rsid w:val="00E669AC"/>
    <w:rsid w:val="00E66AF4"/>
    <w:rsid w:val="00E66BAC"/>
    <w:rsid w:val="00E66DCD"/>
    <w:rsid w:val="00E66F24"/>
    <w:rsid w:val="00E66F44"/>
    <w:rsid w:val="00E67029"/>
    <w:rsid w:val="00E6713E"/>
    <w:rsid w:val="00E671D5"/>
    <w:rsid w:val="00E6724C"/>
    <w:rsid w:val="00E672AF"/>
    <w:rsid w:val="00E674AB"/>
    <w:rsid w:val="00E67555"/>
    <w:rsid w:val="00E6793B"/>
    <w:rsid w:val="00E6799E"/>
    <w:rsid w:val="00E67BA8"/>
    <w:rsid w:val="00E67BF1"/>
    <w:rsid w:val="00E67D1C"/>
    <w:rsid w:val="00E67D3E"/>
    <w:rsid w:val="00E67D85"/>
    <w:rsid w:val="00E67E57"/>
    <w:rsid w:val="00E67F6A"/>
    <w:rsid w:val="00E7005F"/>
    <w:rsid w:val="00E700C7"/>
    <w:rsid w:val="00E7022E"/>
    <w:rsid w:val="00E70777"/>
    <w:rsid w:val="00E70D0E"/>
    <w:rsid w:val="00E70E12"/>
    <w:rsid w:val="00E71048"/>
    <w:rsid w:val="00E7127C"/>
    <w:rsid w:val="00E7137A"/>
    <w:rsid w:val="00E713CC"/>
    <w:rsid w:val="00E71520"/>
    <w:rsid w:val="00E71761"/>
    <w:rsid w:val="00E71A99"/>
    <w:rsid w:val="00E71F61"/>
    <w:rsid w:val="00E720E3"/>
    <w:rsid w:val="00E7210D"/>
    <w:rsid w:val="00E72231"/>
    <w:rsid w:val="00E7223B"/>
    <w:rsid w:val="00E72245"/>
    <w:rsid w:val="00E722C7"/>
    <w:rsid w:val="00E72302"/>
    <w:rsid w:val="00E724AA"/>
    <w:rsid w:val="00E72517"/>
    <w:rsid w:val="00E7259F"/>
    <w:rsid w:val="00E725FE"/>
    <w:rsid w:val="00E7275E"/>
    <w:rsid w:val="00E728EA"/>
    <w:rsid w:val="00E7297D"/>
    <w:rsid w:val="00E72ABA"/>
    <w:rsid w:val="00E72B73"/>
    <w:rsid w:val="00E72C66"/>
    <w:rsid w:val="00E72C76"/>
    <w:rsid w:val="00E72CE6"/>
    <w:rsid w:val="00E72D1C"/>
    <w:rsid w:val="00E72DC9"/>
    <w:rsid w:val="00E72F30"/>
    <w:rsid w:val="00E72F7F"/>
    <w:rsid w:val="00E73231"/>
    <w:rsid w:val="00E734C9"/>
    <w:rsid w:val="00E734E6"/>
    <w:rsid w:val="00E736B9"/>
    <w:rsid w:val="00E73702"/>
    <w:rsid w:val="00E73BB9"/>
    <w:rsid w:val="00E73D05"/>
    <w:rsid w:val="00E73E35"/>
    <w:rsid w:val="00E73F9E"/>
    <w:rsid w:val="00E740F8"/>
    <w:rsid w:val="00E740FF"/>
    <w:rsid w:val="00E744DD"/>
    <w:rsid w:val="00E74682"/>
    <w:rsid w:val="00E74761"/>
    <w:rsid w:val="00E748D9"/>
    <w:rsid w:val="00E74A56"/>
    <w:rsid w:val="00E74BC4"/>
    <w:rsid w:val="00E74F20"/>
    <w:rsid w:val="00E74F5E"/>
    <w:rsid w:val="00E75172"/>
    <w:rsid w:val="00E75310"/>
    <w:rsid w:val="00E7539D"/>
    <w:rsid w:val="00E75456"/>
    <w:rsid w:val="00E75584"/>
    <w:rsid w:val="00E7559E"/>
    <w:rsid w:val="00E75642"/>
    <w:rsid w:val="00E7573A"/>
    <w:rsid w:val="00E7584F"/>
    <w:rsid w:val="00E759BA"/>
    <w:rsid w:val="00E759EB"/>
    <w:rsid w:val="00E75A9D"/>
    <w:rsid w:val="00E75C28"/>
    <w:rsid w:val="00E75D1F"/>
    <w:rsid w:val="00E75D3C"/>
    <w:rsid w:val="00E75E1E"/>
    <w:rsid w:val="00E75F81"/>
    <w:rsid w:val="00E762D5"/>
    <w:rsid w:val="00E7636A"/>
    <w:rsid w:val="00E765B5"/>
    <w:rsid w:val="00E76771"/>
    <w:rsid w:val="00E768C5"/>
    <w:rsid w:val="00E768DF"/>
    <w:rsid w:val="00E76AF6"/>
    <w:rsid w:val="00E76C16"/>
    <w:rsid w:val="00E76C33"/>
    <w:rsid w:val="00E76D88"/>
    <w:rsid w:val="00E77016"/>
    <w:rsid w:val="00E771CF"/>
    <w:rsid w:val="00E773C6"/>
    <w:rsid w:val="00E773EC"/>
    <w:rsid w:val="00E773F6"/>
    <w:rsid w:val="00E774F6"/>
    <w:rsid w:val="00E77600"/>
    <w:rsid w:val="00E7767A"/>
    <w:rsid w:val="00E77AD6"/>
    <w:rsid w:val="00E77BFD"/>
    <w:rsid w:val="00E77C4B"/>
    <w:rsid w:val="00E77F11"/>
    <w:rsid w:val="00E8011F"/>
    <w:rsid w:val="00E80138"/>
    <w:rsid w:val="00E8035E"/>
    <w:rsid w:val="00E803AD"/>
    <w:rsid w:val="00E803F3"/>
    <w:rsid w:val="00E8044A"/>
    <w:rsid w:val="00E8072A"/>
    <w:rsid w:val="00E80731"/>
    <w:rsid w:val="00E80853"/>
    <w:rsid w:val="00E80910"/>
    <w:rsid w:val="00E80A89"/>
    <w:rsid w:val="00E80BE9"/>
    <w:rsid w:val="00E80CF5"/>
    <w:rsid w:val="00E80E7D"/>
    <w:rsid w:val="00E80F31"/>
    <w:rsid w:val="00E8108E"/>
    <w:rsid w:val="00E81208"/>
    <w:rsid w:val="00E8145C"/>
    <w:rsid w:val="00E8158C"/>
    <w:rsid w:val="00E81669"/>
    <w:rsid w:val="00E81750"/>
    <w:rsid w:val="00E8199C"/>
    <w:rsid w:val="00E81AFF"/>
    <w:rsid w:val="00E81E97"/>
    <w:rsid w:val="00E8201D"/>
    <w:rsid w:val="00E8224B"/>
    <w:rsid w:val="00E822EB"/>
    <w:rsid w:val="00E823B8"/>
    <w:rsid w:val="00E8253A"/>
    <w:rsid w:val="00E82601"/>
    <w:rsid w:val="00E826E0"/>
    <w:rsid w:val="00E82770"/>
    <w:rsid w:val="00E82878"/>
    <w:rsid w:val="00E828AA"/>
    <w:rsid w:val="00E82A93"/>
    <w:rsid w:val="00E82A95"/>
    <w:rsid w:val="00E82C7F"/>
    <w:rsid w:val="00E82CBF"/>
    <w:rsid w:val="00E82CEC"/>
    <w:rsid w:val="00E82D2D"/>
    <w:rsid w:val="00E82F82"/>
    <w:rsid w:val="00E8318C"/>
    <w:rsid w:val="00E83190"/>
    <w:rsid w:val="00E83271"/>
    <w:rsid w:val="00E832E9"/>
    <w:rsid w:val="00E8357D"/>
    <w:rsid w:val="00E83665"/>
    <w:rsid w:val="00E83794"/>
    <w:rsid w:val="00E837A3"/>
    <w:rsid w:val="00E83853"/>
    <w:rsid w:val="00E8387B"/>
    <w:rsid w:val="00E83AE6"/>
    <w:rsid w:val="00E83B3A"/>
    <w:rsid w:val="00E83DF9"/>
    <w:rsid w:val="00E83E6E"/>
    <w:rsid w:val="00E83EA1"/>
    <w:rsid w:val="00E83EEE"/>
    <w:rsid w:val="00E841D8"/>
    <w:rsid w:val="00E841E8"/>
    <w:rsid w:val="00E84313"/>
    <w:rsid w:val="00E8443F"/>
    <w:rsid w:val="00E8452A"/>
    <w:rsid w:val="00E845AF"/>
    <w:rsid w:val="00E847E8"/>
    <w:rsid w:val="00E84A33"/>
    <w:rsid w:val="00E84AA7"/>
    <w:rsid w:val="00E84B46"/>
    <w:rsid w:val="00E85055"/>
    <w:rsid w:val="00E85220"/>
    <w:rsid w:val="00E853C2"/>
    <w:rsid w:val="00E854EA"/>
    <w:rsid w:val="00E856CE"/>
    <w:rsid w:val="00E85C7D"/>
    <w:rsid w:val="00E85CA9"/>
    <w:rsid w:val="00E860C7"/>
    <w:rsid w:val="00E860E3"/>
    <w:rsid w:val="00E86202"/>
    <w:rsid w:val="00E8624B"/>
    <w:rsid w:val="00E862FB"/>
    <w:rsid w:val="00E86323"/>
    <w:rsid w:val="00E86375"/>
    <w:rsid w:val="00E8637B"/>
    <w:rsid w:val="00E86426"/>
    <w:rsid w:val="00E86574"/>
    <w:rsid w:val="00E86582"/>
    <w:rsid w:val="00E865B9"/>
    <w:rsid w:val="00E868C7"/>
    <w:rsid w:val="00E8694B"/>
    <w:rsid w:val="00E86A40"/>
    <w:rsid w:val="00E86AD3"/>
    <w:rsid w:val="00E86C1F"/>
    <w:rsid w:val="00E86C51"/>
    <w:rsid w:val="00E86CE1"/>
    <w:rsid w:val="00E86D55"/>
    <w:rsid w:val="00E86EA2"/>
    <w:rsid w:val="00E86EAB"/>
    <w:rsid w:val="00E86F32"/>
    <w:rsid w:val="00E86F7B"/>
    <w:rsid w:val="00E86FF9"/>
    <w:rsid w:val="00E87006"/>
    <w:rsid w:val="00E87042"/>
    <w:rsid w:val="00E87108"/>
    <w:rsid w:val="00E87215"/>
    <w:rsid w:val="00E8744D"/>
    <w:rsid w:val="00E8764E"/>
    <w:rsid w:val="00E87703"/>
    <w:rsid w:val="00E8792C"/>
    <w:rsid w:val="00E90341"/>
    <w:rsid w:val="00E90438"/>
    <w:rsid w:val="00E904C9"/>
    <w:rsid w:val="00E90555"/>
    <w:rsid w:val="00E90604"/>
    <w:rsid w:val="00E907A4"/>
    <w:rsid w:val="00E907D9"/>
    <w:rsid w:val="00E908EB"/>
    <w:rsid w:val="00E909D0"/>
    <w:rsid w:val="00E90A32"/>
    <w:rsid w:val="00E90AEA"/>
    <w:rsid w:val="00E90B49"/>
    <w:rsid w:val="00E90B64"/>
    <w:rsid w:val="00E90BD9"/>
    <w:rsid w:val="00E90C8D"/>
    <w:rsid w:val="00E90CEB"/>
    <w:rsid w:val="00E910F2"/>
    <w:rsid w:val="00E9127D"/>
    <w:rsid w:val="00E91569"/>
    <w:rsid w:val="00E915E8"/>
    <w:rsid w:val="00E91668"/>
    <w:rsid w:val="00E916A0"/>
    <w:rsid w:val="00E917A7"/>
    <w:rsid w:val="00E9187C"/>
    <w:rsid w:val="00E91881"/>
    <w:rsid w:val="00E91AAD"/>
    <w:rsid w:val="00E91BD4"/>
    <w:rsid w:val="00E91CA4"/>
    <w:rsid w:val="00E91D18"/>
    <w:rsid w:val="00E91E08"/>
    <w:rsid w:val="00E91EAD"/>
    <w:rsid w:val="00E91FEF"/>
    <w:rsid w:val="00E9216D"/>
    <w:rsid w:val="00E92293"/>
    <w:rsid w:val="00E92505"/>
    <w:rsid w:val="00E925BB"/>
    <w:rsid w:val="00E92600"/>
    <w:rsid w:val="00E926CD"/>
    <w:rsid w:val="00E92795"/>
    <w:rsid w:val="00E92945"/>
    <w:rsid w:val="00E92A28"/>
    <w:rsid w:val="00E92B5A"/>
    <w:rsid w:val="00E92CD8"/>
    <w:rsid w:val="00E92CDA"/>
    <w:rsid w:val="00E92F06"/>
    <w:rsid w:val="00E932EB"/>
    <w:rsid w:val="00E933AE"/>
    <w:rsid w:val="00E934F5"/>
    <w:rsid w:val="00E9363F"/>
    <w:rsid w:val="00E9371E"/>
    <w:rsid w:val="00E938F9"/>
    <w:rsid w:val="00E93A96"/>
    <w:rsid w:val="00E93D6A"/>
    <w:rsid w:val="00E93E0B"/>
    <w:rsid w:val="00E93E12"/>
    <w:rsid w:val="00E94017"/>
    <w:rsid w:val="00E940C1"/>
    <w:rsid w:val="00E941CE"/>
    <w:rsid w:val="00E94333"/>
    <w:rsid w:val="00E94429"/>
    <w:rsid w:val="00E944B8"/>
    <w:rsid w:val="00E946C4"/>
    <w:rsid w:val="00E94817"/>
    <w:rsid w:val="00E9483C"/>
    <w:rsid w:val="00E948D2"/>
    <w:rsid w:val="00E94953"/>
    <w:rsid w:val="00E94BE2"/>
    <w:rsid w:val="00E94E4E"/>
    <w:rsid w:val="00E94EF3"/>
    <w:rsid w:val="00E94FCE"/>
    <w:rsid w:val="00E9529E"/>
    <w:rsid w:val="00E9537C"/>
    <w:rsid w:val="00E954E1"/>
    <w:rsid w:val="00E95706"/>
    <w:rsid w:val="00E9577B"/>
    <w:rsid w:val="00E95801"/>
    <w:rsid w:val="00E95AD5"/>
    <w:rsid w:val="00E95AF8"/>
    <w:rsid w:val="00E95B72"/>
    <w:rsid w:val="00E95BA3"/>
    <w:rsid w:val="00E95BFB"/>
    <w:rsid w:val="00E95BFE"/>
    <w:rsid w:val="00E95DEF"/>
    <w:rsid w:val="00E960D4"/>
    <w:rsid w:val="00E9620F"/>
    <w:rsid w:val="00E9621A"/>
    <w:rsid w:val="00E96220"/>
    <w:rsid w:val="00E96308"/>
    <w:rsid w:val="00E964D3"/>
    <w:rsid w:val="00E964F6"/>
    <w:rsid w:val="00E966AE"/>
    <w:rsid w:val="00E96705"/>
    <w:rsid w:val="00E9672E"/>
    <w:rsid w:val="00E968DE"/>
    <w:rsid w:val="00E96A3D"/>
    <w:rsid w:val="00E96C2C"/>
    <w:rsid w:val="00E96C3F"/>
    <w:rsid w:val="00E96CF9"/>
    <w:rsid w:val="00E97209"/>
    <w:rsid w:val="00E9789B"/>
    <w:rsid w:val="00E978C7"/>
    <w:rsid w:val="00E9793C"/>
    <w:rsid w:val="00E979C4"/>
    <w:rsid w:val="00E97AA6"/>
    <w:rsid w:val="00E97B0D"/>
    <w:rsid w:val="00E97B88"/>
    <w:rsid w:val="00E97C2A"/>
    <w:rsid w:val="00E97F20"/>
    <w:rsid w:val="00EA0042"/>
    <w:rsid w:val="00EA016B"/>
    <w:rsid w:val="00EA01D9"/>
    <w:rsid w:val="00EA021C"/>
    <w:rsid w:val="00EA03E5"/>
    <w:rsid w:val="00EA0456"/>
    <w:rsid w:val="00EA04A3"/>
    <w:rsid w:val="00EA09D0"/>
    <w:rsid w:val="00EA0A8D"/>
    <w:rsid w:val="00EA0B09"/>
    <w:rsid w:val="00EA0C45"/>
    <w:rsid w:val="00EA0D34"/>
    <w:rsid w:val="00EA0E8C"/>
    <w:rsid w:val="00EA0F5C"/>
    <w:rsid w:val="00EA115A"/>
    <w:rsid w:val="00EA1168"/>
    <w:rsid w:val="00EA1200"/>
    <w:rsid w:val="00EA1407"/>
    <w:rsid w:val="00EA15C9"/>
    <w:rsid w:val="00EA16B7"/>
    <w:rsid w:val="00EA1A30"/>
    <w:rsid w:val="00EA1A37"/>
    <w:rsid w:val="00EA1A38"/>
    <w:rsid w:val="00EA1B0C"/>
    <w:rsid w:val="00EA1D96"/>
    <w:rsid w:val="00EA1FF0"/>
    <w:rsid w:val="00EA2148"/>
    <w:rsid w:val="00EA21E3"/>
    <w:rsid w:val="00EA226F"/>
    <w:rsid w:val="00EA23DF"/>
    <w:rsid w:val="00EA23EF"/>
    <w:rsid w:val="00EA2729"/>
    <w:rsid w:val="00EA280D"/>
    <w:rsid w:val="00EA2822"/>
    <w:rsid w:val="00EA28AD"/>
    <w:rsid w:val="00EA2BBC"/>
    <w:rsid w:val="00EA2DEC"/>
    <w:rsid w:val="00EA2E17"/>
    <w:rsid w:val="00EA2F87"/>
    <w:rsid w:val="00EA30C5"/>
    <w:rsid w:val="00EA3274"/>
    <w:rsid w:val="00EA3459"/>
    <w:rsid w:val="00EA3467"/>
    <w:rsid w:val="00EA36C9"/>
    <w:rsid w:val="00EA378C"/>
    <w:rsid w:val="00EA3A0E"/>
    <w:rsid w:val="00EA3CA9"/>
    <w:rsid w:val="00EA3CB4"/>
    <w:rsid w:val="00EA3D2C"/>
    <w:rsid w:val="00EA3E0F"/>
    <w:rsid w:val="00EA412B"/>
    <w:rsid w:val="00EA41DC"/>
    <w:rsid w:val="00EA420A"/>
    <w:rsid w:val="00EA4399"/>
    <w:rsid w:val="00EA43B8"/>
    <w:rsid w:val="00EA44D4"/>
    <w:rsid w:val="00EA459F"/>
    <w:rsid w:val="00EA47DA"/>
    <w:rsid w:val="00EA4857"/>
    <w:rsid w:val="00EA488F"/>
    <w:rsid w:val="00EA4A02"/>
    <w:rsid w:val="00EA4B55"/>
    <w:rsid w:val="00EA4C64"/>
    <w:rsid w:val="00EA4CF3"/>
    <w:rsid w:val="00EA4DBA"/>
    <w:rsid w:val="00EA4E51"/>
    <w:rsid w:val="00EA5003"/>
    <w:rsid w:val="00EA5140"/>
    <w:rsid w:val="00EA51BC"/>
    <w:rsid w:val="00EA52C4"/>
    <w:rsid w:val="00EA5514"/>
    <w:rsid w:val="00EA559B"/>
    <w:rsid w:val="00EA5C8F"/>
    <w:rsid w:val="00EA5CD2"/>
    <w:rsid w:val="00EA5F90"/>
    <w:rsid w:val="00EA617F"/>
    <w:rsid w:val="00EA624A"/>
    <w:rsid w:val="00EA64FF"/>
    <w:rsid w:val="00EA651C"/>
    <w:rsid w:val="00EA6788"/>
    <w:rsid w:val="00EA68E6"/>
    <w:rsid w:val="00EA6C4A"/>
    <w:rsid w:val="00EA6D40"/>
    <w:rsid w:val="00EA7117"/>
    <w:rsid w:val="00EA71A3"/>
    <w:rsid w:val="00EA71AC"/>
    <w:rsid w:val="00EA7229"/>
    <w:rsid w:val="00EA7297"/>
    <w:rsid w:val="00EA73FF"/>
    <w:rsid w:val="00EA76A8"/>
    <w:rsid w:val="00EA76B0"/>
    <w:rsid w:val="00EA7898"/>
    <w:rsid w:val="00EA78A5"/>
    <w:rsid w:val="00EA7983"/>
    <w:rsid w:val="00EA79A5"/>
    <w:rsid w:val="00EA7B0D"/>
    <w:rsid w:val="00EA7C8C"/>
    <w:rsid w:val="00EA7CB0"/>
    <w:rsid w:val="00EA7DD2"/>
    <w:rsid w:val="00EA7EE3"/>
    <w:rsid w:val="00EB000F"/>
    <w:rsid w:val="00EB00B1"/>
    <w:rsid w:val="00EB011D"/>
    <w:rsid w:val="00EB0399"/>
    <w:rsid w:val="00EB04E6"/>
    <w:rsid w:val="00EB0525"/>
    <w:rsid w:val="00EB0AC1"/>
    <w:rsid w:val="00EB0C36"/>
    <w:rsid w:val="00EB0C8A"/>
    <w:rsid w:val="00EB0D16"/>
    <w:rsid w:val="00EB10AA"/>
    <w:rsid w:val="00EB1191"/>
    <w:rsid w:val="00EB1221"/>
    <w:rsid w:val="00EB12D9"/>
    <w:rsid w:val="00EB13C5"/>
    <w:rsid w:val="00EB157B"/>
    <w:rsid w:val="00EB17A5"/>
    <w:rsid w:val="00EB1AD8"/>
    <w:rsid w:val="00EB1B96"/>
    <w:rsid w:val="00EB1D35"/>
    <w:rsid w:val="00EB1F38"/>
    <w:rsid w:val="00EB2057"/>
    <w:rsid w:val="00EB214A"/>
    <w:rsid w:val="00EB21DE"/>
    <w:rsid w:val="00EB21F3"/>
    <w:rsid w:val="00EB21F9"/>
    <w:rsid w:val="00EB2228"/>
    <w:rsid w:val="00EB22DA"/>
    <w:rsid w:val="00EB2416"/>
    <w:rsid w:val="00EB2431"/>
    <w:rsid w:val="00EB24F5"/>
    <w:rsid w:val="00EB256D"/>
    <w:rsid w:val="00EB2638"/>
    <w:rsid w:val="00EB28DB"/>
    <w:rsid w:val="00EB28FC"/>
    <w:rsid w:val="00EB2930"/>
    <w:rsid w:val="00EB2988"/>
    <w:rsid w:val="00EB29FF"/>
    <w:rsid w:val="00EB2E93"/>
    <w:rsid w:val="00EB2E99"/>
    <w:rsid w:val="00EB3157"/>
    <w:rsid w:val="00EB3327"/>
    <w:rsid w:val="00EB3525"/>
    <w:rsid w:val="00EB374C"/>
    <w:rsid w:val="00EB3764"/>
    <w:rsid w:val="00EB38EC"/>
    <w:rsid w:val="00EB3950"/>
    <w:rsid w:val="00EB3B12"/>
    <w:rsid w:val="00EB3B54"/>
    <w:rsid w:val="00EB3E58"/>
    <w:rsid w:val="00EB3E94"/>
    <w:rsid w:val="00EB3EBC"/>
    <w:rsid w:val="00EB41EF"/>
    <w:rsid w:val="00EB421A"/>
    <w:rsid w:val="00EB45E6"/>
    <w:rsid w:val="00EB46F7"/>
    <w:rsid w:val="00EB48FF"/>
    <w:rsid w:val="00EB4BC5"/>
    <w:rsid w:val="00EB4C1B"/>
    <w:rsid w:val="00EB4FC2"/>
    <w:rsid w:val="00EB5004"/>
    <w:rsid w:val="00EB50CC"/>
    <w:rsid w:val="00EB5173"/>
    <w:rsid w:val="00EB51F2"/>
    <w:rsid w:val="00EB5206"/>
    <w:rsid w:val="00EB5328"/>
    <w:rsid w:val="00EB57BC"/>
    <w:rsid w:val="00EB5827"/>
    <w:rsid w:val="00EB5ADD"/>
    <w:rsid w:val="00EB5C91"/>
    <w:rsid w:val="00EB5D1E"/>
    <w:rsid w:val="00EB5DE4"/>
    <w:rsid w:val="00EB5E0F"/>
    <w:rsid w:val="00EB5E97"/>
    <w:rsid w:val="00EB5FE8"/>
    <w:rsid w:val="00EB6127"/>
    <w:rsid w:val="00EB636C"/>
    <w:rsid w:val="00EB649F"/>
    <w:rsid w:val="00EB65BD"/>
    <w:rsid w:val="00EB6813"/>
    <w:rsid w:val="00EB685C"/>
    <w:rsid w:val="00EB688C"/>
    <w:rsid w:val="00EB68CF"/>
    <w:rsid w:val="00EB6A2B"/>
    <w:rsid w:val="00EB6AF7"/>
    <w:rsid w:val="00EB6B1D"/>
    <w:rsid w:val="00EB6D41"/>
    <w:rsid w:val="00EB6E02"/>
    <w:rsid w:val="00EB7004"/>
    <w:rsid w:val="00EB7009"/>
    <w:rsid w:val="00EB7056"/>
    <w:rsid w:val="00EB71B2"/>
    <w:rsid w:val="00EB7263"/>
    <w:rsid w:val="00EB7406"/>
    <w:rsid w:val="00EB745F"/>
    <w:rsid w:val="00EB772B"/>
    <w:rsid w:val="00EB774C"/>
    <w:rsid w:val="00EB79D9"/>
    <w:rsid w:val="00EB7A51"/>
    <w:rsid w:val="00EB7BED"/>
    <w:rsid w:val="00EB7D1C"/>
    <w:rsid w:val="00EB7E9B"/>
    <w:rsid w:val="00EB7EC7"/>
    <w:rsid w:val="00EB7F62"/>
    <w:rsid w:val="00EB7F87"/>
    <w:rsid w:val="00EC013C"/>
    <w:rsid w:val="00EC0199"/>
    <w:rsid w:val="00EC0335"/>
    <w:rsid w:val="00EC0395"/>
    <w:rsid w:val="00EC058E"/>
    <w:rsid w:val="00EC05AB"/>
    <w:rsid w:val="00EC083F"/>
    <w:rsid w:val="00EC0C3E"/>
    <w:rsid w:val="00EC0D3B"/>
    <w:rsid w:val="00EC0F0B"/>
    <w:rsid w:val="00EC1027"/>
    <w:rsid w:val="00EC12B9"/>
    <w:rsid w:val="00EC14A0"/>
    <w:rsid w:val="00EC14E7"/>
    <w:rsid w:val="00EC1749"/>
    <w:rsid w:val="00EC1B14"/>
    <w:rsid w:val="00EC1DBB"/>
    <w:rsid w:val="00EC1E3D"/>
    <w:rsid w:val="00EC1E6F"/>
    <w:rsid w:val="00EC1F14"/>
    <w:rsid w:val="00EC2307"/>
    <w:rsid w:val="00EC2312"/>
    <w:rsid w:val="00EC2565"/>
    <w:rsid w:val="00EC2603"/>
    <w:rsid w:val="00EC2855"/>
    <w:rsid w:val="00EC2959"/>
    <w:rsid w:val="00EC2A39"/>
    <w:rsid w:val="00EC2A3F"/>
    <w:rsid w:val="00EC2A59"/>
    <w:rsid w:val="00EC2B40"/>
    <w:rsid w:val="00EC2BAD"/>
    <w:rsid w:val="00EC2C54"/>
    <w:rsid w:val="00EC2E5B"/>
    <w:rsid w:val="00EC30C6"/>
    <w:rsid w:val="00EC3167"/>
    <w:rsid w:val="00EC333F"/>
    <w:rsid w:val="00EC349F"/>
    <w:rsid w:val="00EC3555"/>
    <w:rsid w:val="00EC3559"/>
    <w:rsid w:val="00EC357E"/>
    <w:rsid w:val="00EC35C6"/>
    <w:rsid w:val="00EC3609"/>
    <w:rsid w:val="00EC36B7"/>
    <w:rsid w:val="00EC3869"/>
    <w:rsid w:val="00EC38C9"/>
    <w:rsid w:val="00EC38CB"/>
    <w:rsid w:val="00EC3A27"/>
    <w:rsid w:val="00EC3AC9"/>
    <w:rsid w:val="00EC3B46"/>
    <w:rsid w:val="00EC3B81"/>
    <w:rsid w:val="00EC3CB7"/>
    <w:rsid w:val="00EC3DFE"/>
    <w:rsid w:val="00EC437D"/>
    <w:rsid w:val="00EC460A"/>
    <w:rsid w:val="00EC46EB"/>
    <w:rsid w:val="00EC4745"/>
    <w:rsid w:val="00EC4980"/>
    <w:rsid w:val="00EC4C25"/>
    <w:rsid w:val="00EC4C26"/>
    <w:rsid w:val="00EC4E91"/>
    <w:rsid w:val="00EC4F54"/>
    <w:rsid w:val="00EC4F66"/>
    <w:rsid w:val="00EC5268"/>
    <w:rsid w:val="00EC531C"/>
    <w:rsid w:val="00EC549A"/>
    <w:rsid w:val="00EC5545"/>
    <w:rsid w:val="00EC5826"/>
    <w:rsid w:val="00EC5894"/>
    <w:rsid w:val="00EC5B2F"/>
    <w:rsid w:val="00EC5B68"/>
    <w:rsid w:val="00EC5C75"/>
    <w:rsid w:val="00EC5CA9"/>
    <w:rsid w:val="00EC5CE2"/>
    <w:rsid w:val="00EC6018"/>
    <w:rsid w:val="00EC60FD"/>
    <w:rsid w:val="00EC61DC"/>
    <w:rsid w:val="00EC6291"/>
    <w:rsid w:val="00EC641F"/>
    <w:rsid w:val="00EC657B"/>
    <w:rsid w:val="00EC65F5"/>
    <w:rsid w:val="00EC66BA"/>
    <w:rsid w:val="00EC67AC"/>
    <w:rsid w:val="00EC68C4"/>
    <w:rsid w:val="00EC6A20"/>
    <w:rsid w:val="00EC6DBD"/>
    <w:rsid w:val="00EC6E86"/>
    <w:rsid w:val="00EC720B"/>
    <w:rsid w:val="00EC735F"/>
    <w:rsid w:val="00EC73F9"/>
    <w:rsid w:val="00EC75CA"/>
    <w:rsid w:val="00EC76A7"/>
    <w:rsid w:val="00EC77D7"/>
    <w:rsid w:val="00EC7866"/>
    <w:rsid w:val="00EC78CD"/>
    <w:rsid w:val="00EC79C0"/>
    <w:rsid w:val="00EC7A2B"/>
    <w:rsid w:val="00EC7AB0"/>
    <w:rsid w:val="00EC7AB4"/>
    <w:rsid w:val="00EC7C79"/>
    <w:rsid w:val="00EC7EC7"/>
    <w:rsid w:val="00EC7FBE"/>
    <w:rsid w:val="00ED0254"/>
    <w:rsid w:val="00ED02B8"/>
    <w:rsid w:val="00ED040B"/>
    <w:rsid w:val="00ED07E5"/>
    <w:rsid w:val="00ED09F1"/>
    <w:rsid w:val="00ED0A2C"/>
    <w:rsid w:val="00ED0A60"/>
    <w:rsid w:val="00ED0C7A"/>
    <w:rsid w:val="00ED10D0"/>
    <w:rsid w:val="00ED1285"/>
    <w:rsid w:val="00ED128D"/>
    <w:rsid w:val="00ED1311"/>
    <w:rsid w:val="00ED13AF"/>
    <w:rsid w:val="00ED1444"/>
    <w:rsid w:val="00ED14C7"/>
    <w:rsid w:val="00ED14E2"/>
    <w:rsid w:val="00ED1536"/>
    <w:rsid w:val="00ED16D2"/>
    <w:rsid w:val="00ED176A"/>
    <w:rsid w:val="00ED17A5"/>
    <w:rsid w:val="00ED183F"/>
    <w:rsid w:val="00ED1AF0"/>
    <w:rsid w:val="00ED1B7C"/>
    <w:rsid w:val="00ED1C66"/>
    <w:rsid w:val="00ED1D2E"/>
    <w:rsid w:val="00ED1DDE"/>
    <w:rsid w:val="00ED1FB1"/>
    <w:rsid w:val="00ED24D4"/>
    <w:rsid w:val="00ED2D5C"/>
    <w:rsid w:val="00ED2DAF"/>
    <w:rsid w:val="00ED2DFC"/>
    <w:rsid w:val="00ED2F89"/>
    <w:rsid w:val="00ED2FAC"/>
    <w:rsid w:val="00ED32E5"/>
    <w:rsid w:val="00ED348C"/>
    <w:rsid w:val="00ED352D"/>
    <w:rsid w:val="00ED35A8"/>
    <w:rsid w:val="00ED3680"/>
    <w:rsid w:val="00ED398F"/>
    <w:rsid w:val="00ED3BA2"/>
    <w:rsid w:val="00ED3E1F"/>
    <w:rsid w:val="00ED3F06"/>
    <w:rsid w:val="00ED422B"/>
    <w:rsid w:val="00ED43AD"/>
    <w:rsid w:val="00ED44EB"/>
    <w:rsid w:val="00ED46B3"/>
    <w:rsid w:val="00ED4756"/>
    <w:rsid w:val="00ED483D"/>
    <w:rsid w:val="00ED4BC9"/>
    <w:rsid w:val="00ED4BEF"/>
    <w:rsid w:val="00ED4CD4"/>
    <w:rsid w:val="00ED4E67"/>
    <w:rsid w:val="00ED4F41"/>
    <w:rsid w:val="00ED5049"/>
    <w:rsid w:val="00ED50AD"/>
    <w:rsid w:val="00ED5150"/>
    <w:rsid w:val="00ED52C5"/>
    <w:rsid w:val="00ED52E9"/>
    <w:rsid w:val="00ED53E0"/>
    <w:rsid w:val="00ED564C"/>
    <w:rsid w:val="00ED569F"/>
    <w:rsid w:val="00ED5742"/>
    <w:rsid w:val="00ED5784"/>
    <w:rsid w:val="00ED58B1"/>
    <w:rsid w:val="00ED5A4D"/>
    <w:rsid w:val="00ED5AA7"/>
    <w:rsid w:val="00ED5E8C"/>
    <w:rsid w:val="00ED5EB2"/>
    <w:rsid w:val="00ED5FF8"/>
    <w:rsid w:val="00ED6075"/>
    <w:rsid w:val="00ED6090"/>
    <w:rsid w:val="00ED6243"/>
    <w:rsid w:val="00ED633A"/>
    <w:rsid w:val="00ED6389"/>
    <w:rsid w:val="00ED63E3"/>
    <w:rsid w:val="00ED6474"/>
    <w:rsid w:val="00ED649A"/>
    <w:rsid w:val="00ED6842"/>
    <w:rsid w:val="00ED6982"/>
    <w:rsid w:val="00ED6A81"/>
    <w:rsid w:val="00ED6BFB"/>
    <w:rsid w:val="00ED6C0B"/>
    <w:rsid w:val="00ED6C87"/>
    <w:rsid w:val="00ED6CBF"/>
    <w:rsid w:val="00ED6DA3"/>
    <w:rsid w:val="00ED6DA8"/>
    <w:rsid w:val="00ED6FDF"/>
    <w:rsid w:val="00ED7173"/>
    <w:rsid w:val="00ED7182"/>
    <w:rsid w:val="00ED71FC"/>
    <w:rsid w:val="00ED7377"/>
    <w:rsid w:val="00ED742C"/>
    <w:rsid w:val="00ED75FD"/>
    <w:rsid w:val="00ED776C"/>
    <w:rsid w:val="00ED7830"/>
    <w:rsid w:val="00ED7905"/>
    <w:rsid w:val="00ED7A20"/>
    <w:rsid w:val="00ED7B6D"/>
    <w:rsid w:val="00ED7CB4"/>
    <w:rsid w:val="00ED7CE6"/>
    <w:rsid w:val="00ED7D5F"/>
    <w:rsid w:val="00EE03B3"/>
    <w:rsid w:val="00EE03E0"/>
    <w:rsid w:val="00EE0423"/>
    <w:rsid w:val="00EE0552"/>
    <w:rsid w:val="00EE05E7"/>
    <w:rsid w:val="00EE05F2"/>
    <w:rsid w:val="00EE0614"/>
    <w:rsid w:val="00EE062B"/>
    <w:rsid w:val="00EE06CE"/>
    <w:rsid w:val="00EE0828"/>
    <w:rsid w:val="00EE0B55"/>
    <w:rsid w:val="00EE0C4A"/>
    <w:rsid w:val="00EE0DA0"/>
    <w:rsid w:val="00EE0E4B"/>
    <w:rsid w:val="00EE1128"/>
    <w:rsid w:val="00EE1174"/>
    <w:rsid w:val="00EE136A"/>
    <w:rsid w:val="00EE1393"/>
    <w:rsid w:val="00EE1419"/>
    <w:rsid w:val="00EE160E"/>
    <w:rsid w:val="00EE16DF"/>
    <w:rsid w:val="00EE16E5"/>
    <w:rsid w:val="00EE174E"/>
    <w:rsid w:val="00EE1C06"/>
    <w:rsid w:val="00EE1C8C"/>
    <w:rsid w:val="00EE1DC5"/>
    <w:rsid w:val="00EE1E6B"/>
    <w:rsid w:val="00EE1E91"/>
    <w:rsid w:val="00EE1EA2"/>
    <w:rsid w:val="00EE1F7E"/>
    <w:rsid w:val="00EE21B5"/>
    <w:rsid w:val="00EE245A"/>
    <w:rsid w:val="00EE2512"/>
    <w:rsid w:val="00EE2717"/>
    <w:rsid w:val="00EE283C"/>
    <w:rsid w:val="00EE285B"/>
    <w:rsid w:val="00EE293F"/>
    <w:rsid w:val="00EE2A60"/>
    <w:rsid w:val="00EE2BDD"/>
    <w:rsid w:val="00EE2C77"/>
    <w:rsid w:val="00EE2E9C"/>
    <w:rsid w:val="00EE2EC5"/>
    <w:rsid w:val="00EE305E"/>
    <w:rsid w:val="00EE3114"/>
    <w:rsid w:val="00EE32E5"/>
    <w:rsid w:val="00EE360D"/>
    <w:rsid w:val="00EE36EA"/>
    <w:rsid w:val="00EE38B6"/>
    <w:rsid w:val="00EE391E"/>
    <w:rsid w:val="00EE3947"/>
    <w:rsid w:val="00EE3B8E"/>
    <w:rsid w:val="00EE3C1F"/>
    <w:rsid w:val="00EE3EF8"/>
    <w:rsid w:val="00EE3F67"/>
    <w:rsid w:val="00EE40BD"/>
    <w:rsid w:val="00EE4571"/>
    <w:rsid w:val="00EE4614"/>
    <w:rsid w:val="00EE4728"/>
    <w:rsid w:val="00EE4867"/>
    <w:rsid w:val="00EE48F2"/>
    <w:rsid w:val="00EE4905"/>
    <w:rsid w:val="00EE4ABB"/>
    <w:rsid w:val="00EE4B7B"/>
    <w:rsid w:val="00EE4BA4"/>
    <w:rsid w:val="00EE4BC8"/>
    <w:rsid w:val="00EE4D7C"/>
    <w:rsid w:val="00EE4E46"/>
    <w:rsid w:val="00EE4FEF"/>
    <w:rsid w:val="00EE514C"/>
    <w:rsid w:val="00EE534A"/>
    <w:rsid w:val="00EE5669"/>
    <w:rsid w:val="00EE5AA0"/>
    <w:rsid w:val="00EE5AA6"/>
    <w:rsid w:val="00EE5ADC"/>
    <w:rsid w:val="00EE5B3B"/>
    <w:rsid w:val="00EE5D1A"/>
    <w:rsid w:val="00EE5DF7"/>
    <w:rsid w:val="00EE5EA8"/>
    <w:rsid w:val="00EE60F6"/>
    <w:rsid w:val="00EE6130"/>
    <w:rsid w:val="00EE6456"/>
    <w:rsid w:val="00EE646A"/>
    <w:rsid w:val="00EE6624"/>
    <w:rsid w:val="00EE6819"/>
    <w:rsid w:val="00EE6B3F"/>
    <w:rsid w:val="00EE6B40"/>
    <w:rsid w:val="00EE6C08"/>
    <w:rsid w:val="00EE6CA1"/>
    <w:rsid w:val="00EE6DB3"/>
    <w:rsid w:val="00EE6E2B"/>
    <w:rsid w:val="00EE6F19"/>
    <w:rsid w:val="00EE6F99"/>
    <w:rsid w:val="00EE7454"/>
    <w:rsid w:val="00EE7883"/>
    <w:rsid w:val="00EE7C49"/>
    <w:rsid w:val="00EE7DF4"/>
    <w:rsid w:val="00EE7E76"/>
    <w:rsid w:val="00EE7FAC"/>
    <w:rsid w:val="00EF028A"/>
    <w:rsid w:val="00EF0496"/>
    <w:rsid w:val="00EF04DF"/>
    <w:rsid w:val="00EF0512"/>
    <w:rsid w:val="00EF06F0"/>
    <w:rsid w:val="00EF078B"/>
    <w:rsid w:val="00EF0996"/>
    <w:rsid w:val="00EF0A76"/>
    <w:rsid w:val="00EF0BFB"/>
    <w:rsid w:val="00EF0CC4"/>
    <w:rsid w:val="00EF0E9E"/>
    <w:rsid w:val="00EF0EC5"/>
    <w:rsid w:val="00EF10AE"/>
    <w:rsid w:val="00EF1114"/>
    <w:rsid w:val="00EF1214"/>
    <w:rsid w:val="00EF145A"/>
    <w:rsid w:val="00EF1489"/>
    <w:rsid w:val="00EF1629"/>
    <w:rsid w:val="00EF1685"/>
    <w:rsid w:val="00EF18D5"/>
    <w:rsid w:val="00EF1AD9"/>
    <w:rsid w:val="00EF1CBF"/>
    <w:rsid w:val="00EF1E14"/>
    <w:rsid w:val="00EF1ECB"/>
    <w:rsid w:val="00EF1F22"/>
    <w:rsid w:val="00EF2092"/>
    <w:rsid w:val="00EF20E4"/>
    <w:rsid w:val="00EF2195"/>
    <w:rsid w:val="00EF243E"/>
    <w:rsid w:val="00EF248F"/>
    <w:rsid w:val="00EF279B"/>
    <w:rsid w:val="00EF27C2"/>
    <w:rsid w:val="00EF2980"/>
    <w:rsid w:val="00EF29C8"/>
    <w:rsid w:val="00EF2CAA"/>
    <w:rsid w:val="00EF2CB2"/>
    <w:rsid w:val="00EF2D1C"/>
    <w:rsid w:val="00EF2DC1"/>
    <w:rsid w:val="00EF3087"/>
    <w:rsid w:val="00EF3251"/>
    <w:rsid w:val="00EF343C"/>
    <w:rsid w:val="00EF348F"/>
    <w:rsid w:val="00EF35A4"/>
    <w:rsid w:val="00EF38F2"/>
    <w:rsid w:val="00EF39EF"/>
    <w:rsid w:val="00EF3B3E"/>
    <w:rsid w:val="00EF3CC5"/>
    <w:rsid w:val="00EF3EC3"/>
    <w:rsid w:val="00EF3F1D"/>
    <w:rsid w:val="00EF3FB8"/>
    <w:rsid w:val="00EF4572"/>
    <w:rsid w:val="00EF4585"/>
    <w:rsid w:val="00EF46F1"/>
    <w:rsid w:val="00EF4748"/>
    <w:rsid w:val="00EF4CD3"/>
    <w:rsid w:val="00EF4D57"/>
    <w:rsid w:val="00EF4DB8"/>
    <w:rsid w:val="00EF50D3"/>
    <w:rsid w:val="00EF535F"/>
    <w:rsid w:val="00EF55F9"/>
    <w:rsid w:val="00EF5791"/>
    <w:rsid w:val="00EF5AAA"/>
    <w:rsid w:val="00EF5AB7"/>
    <w:rsid w:val="00EF5C1B"/>
    <w:rsid w:val="00EF5C1C"/>
    <w:rsid w:val="00EF5C35"/>
    <w:rsid w:val="00EF5C96"/>
    <w:rsid w:val="00EF5EE1"/>
    <w:rsid w:val="00EF6099"/>
    <w:rsid w:val="00EF6247"/>
    <w:rsid w:val="00EF6258"/>
    <w:rsid w:val="00EF634A"/>
    <w:rsid w:val="00EF6373"/>
    <w:rsid w:val="00EF65CC"/>
    <w:rsid w:val="00EF65F1"/>
    <w:rsid w:val="00EF6601"/>
    <w:rsid w:val="00EF663E"/>
    <w:rsid w:val="00EF67CD"/>
    <w:rsid w:val="00EF693F"/>
    <w:rsid w:val="00EF6A3C"/>
    <w:rsid w:val="00EF6BD5"/>
    <w:rsid w:val="00EF6D0A"/>
    <w:rsid w:val="00EF6FBF"/>
    <w:rsid w:val="00EF72BE"/>
    <w:rsid w:val="00EF73F7"/>
    <w:rsid w:val="00EF74E2"/>
    <w:rsid w:val="00EF777B"/>
    <w:rsid w:val="00EF7894"/>
    <w:rsid w:val="00EF797C"/>
    <w:rsid w:val="00EF7A72"/>
    <w:rsid w:val="00EF7B5D"/>
    <w:rsid w:val="00EF7BD1"/>
    <w:rsid w:val="00EF7C63"/>
    <w:rsid w:val="00EF7E68"/>
    <w:rsid w:val="00EF7F52"/>
    <w:rsid w:val="00F0007F"/>
    <w:rsid w:val="00F001C8"/>
    <w:rsid w:val="00F003E8"/>
    <w:rsid w:val="00F00422"/>
    <w:rsid w:val="00F0043B"/>
    <w:rsid w:val="00F007AA"/>
    <w:rsid w:val="00F0083D"/>
    <w:rsid w:val="00F00876"/>
    <w:rsid w:val="00F008D9"/>
    <w:rsid w:val="00F009BF"/>
    <w:rsid w:val="00F00A3B"/>
    <w:rsid w:val="00F00B03"/>
    <w:rsid w:val="00F00BA7"/>
    <w:rsid w:val="00F00BF3"/>
    <w:rsid w:val="00F00DA4"/>
    <w:rsid w:val="00F00F65"/>
    <w:rsid w:val="00F00F97"/>
    <w:rsid w:val="00F00FB0"/>
    <w:rsid w:val="00F0109E"/>
    <w:rsid w:val="00F012A6"/>
    <w:rsid w:val="00F013BF"/>
    <w:rsid w:val="00F01509"/>
    <w:rsid w:val="00F017AC"/>
    <w:rsid w:val="00F0185A"/>
    <w:rsid w:val="00F0193A"/>
    <w:rsid w:val="00F0193F"/>
    <w:rsid w:val="00F01A3F"/>
    <w:rsid w:val="00F01B4C"/>
    <w:rsid w:val="00F01BE4"/>
    <w:rsid w:val="00F01CD8"/>
    <w:rsid w:val="00F01D3C"/>
    <w:rsid w:val="00F01E61"/>
    <w:rsid w:val="00F01EB7"/>
    <w:rsid w:val="00F01EBC"/>
    <w:rsid w:val="00F02643"/>
    <w:rsid w:val="00F0267D"/>
    <w:rsid w:val="00F02742"/>
    <w:rsid w:val="00F027F1"/>
    <w:rsid w:val="00F028B1"/>
    <w:rsid w:val="00F028E5"/>
    <w:rsid w:val="00F02B99"/>
    <w:rsid w:val="00F02BEC"/>
    <w:rsid w:val="00F02C54"/>
    <w:rsid w:val="00F02CE8"/>
    <w:rsid w:val="00F02E73"/>
    <w:rsid w:val="00F030BF"/>
    <w:rsid w:val="00F030F0"/>
    <w:rsid w:val="00F03152"/>
    <w:rsid w:val="00F03367"/>
    <w:rsid w:val="00F034DA"/>
    <w:rsid w:val="00F035F5"/>
    <w:rsid w:val="00F036D6"/>
    <w:rsid w:val="00F03765"/>
    <w:rsid w:val="00F037AA"/>
    <w:rsid w:val="00F03921"/>
    <w:rsid w:val="00F03993"/>
    <w:rsid w:val="00F03A93"/>
    <w:rsid w:val="00F04118"/>
    <w:rsid w:val="00F041A6"/>
    <w:rsid w:val="00F046E1"/>
    <w:rsid w:val="00F04718"/>
    <w:rsid w:val="00F0483A"/>
    <w:rsid w:val="00F04846"/>
    <w:rsid w:val="00F0487B"/>
    <w:rsid w:val="00F04891"/>
    <w:rsid w:val="00F0497A"/>
    <w:rsid w:val="00F04AF8"/>
    <w:rsid w:val="00F04BBA"/>
    <w:rsid w:val="00F04C32"/>
    <w:rsid w:val="00F04C57"/>
    <w:rsid w:val="00F04CE2"/>
    <w:rsid w:val="00F04DF3"/>
    <w:rsid w:val="00F04FD2"/>
    <w:rsid w:val="00F05072"/>
    <w:rsid w:val="00F0508D"/>
    <w:rsid w:val="00F05261"/>
    <w:rsid w:val="00F05549"/>
    <w:rsid w:val="00F0557F"/>
    <w:rsid w:val="00F055B1"/>
    <w:rsid w:val="00F055D0"/>
    <w:rsid w:val="00F0571C"/>
    <w:rsid w:val="00F057BA"/>
    <w:rsid w:val="00F0586B"/>
    <w:rsid w:val="00F05943"/>
    <w:rsid w:val="00F059A2"/>
    <w:rsid w:val="00F05B6E"/>
    <w:rsid w:val="00F05DA6"/>
    <w:rsid w:val="00F05E9C"/>
    <w:rsid w:val="00F05F78"/>
    <w:rsid w:val="00F05F85"/>
    <w:rsid w:val="00F06055"/>
    <w:rsid w:val="00F062F3"/>
    <w:rsid w:val="00F063B6"/>
    <w:rsid w:val="00F0647F"/>
    <w:rsid w:val="00F064B2"/>
    <w:rsid w:val="00F06644"/>
    <w:rsid w:val="00F0669D"/>
    <w:rsid w:val="00F06A69"/>
    <w:rsid w:val="00F06AD1"/>
    <w:rsid w:val="00F06C7F"/>
    <w:rsid w:val="00F06DEC"/>
    <w:rsid w:val="00F06E0A"/>
    <w:rsid w:val="00F06F22"/>
    <w:rsid w:val="00F07073"/>
    <w:rsid w:val="00F07160"/>
    <w:rsid w:val="00F07321"/>
    <w:rsid w:val="00F073A1"/>
    <w:rsid w:val="00F073C5"/>
    <w:rsid w:val="00F074B9"/>
    <w:rsid w:val="00F074CE"/>
    <w:rsid w:val="00F07527"/>
    <w:rsid w:val="00F07624"/>
    <w:rsid w:val="00F07A31"/>
    <w:rsid w:val="00F07AA5"/>
    <w:rsid w:val="00F07CEC"/>
    <w:rsid w:val="00F07DE8"/>
    <w:rsid w:val="00F07EB4"/>
    <w:rsid w:val="00F07ECA"/>
    <w:rsid w:val="00F07F8D"/>
    <w:rsid w:val="00F07FC3"/>
    <w:rsid w:val="00F0B919"/>
    <w:rsid w:val="00F10212"/>
    <w:rsid w:val="00F103C1"/>
    <w:rsid w:val="00F103FA"/>
    <w:rsid w:val="00F10623"/>
    <w:rsid w:val="00F10814"/>
    <w:rsid w:val="00F10952"/>
    <w:rsid w:val="00F10A08"/>
    <w:rsid w:val="00F10B0F"/>
    <w:rsid w:val="00F10C7F"/>
    <w:rsid w:val="00F10D2F"/>
    <w:rsid w:val="00F10D5B"/>
    <w:rsid w:val="00F10F54"/>
    <w:rsid w:val="00F11107"/>
    <w:rsid w:val="00F1118C"/>
    <w:rsid w:val="00F115DB"/>
    <w:rsid w:val="00F11ACC"/>
    <w:rsid w:val="00F11AE5"/>
    <w:rsid w:val="00F12070"/>
    <w:rsid w:val="00F123F9"/>
    <w:rsid w:val="00F1244A"/>
    <w:rsid w:val="00F12746"/>
    <w:rsid w:val="00F1274F"/>
    <w:rsid w:val="00F12936"/>
    <w:rsid w:val="00F1295F"/>
    <w:rsid w:val="00F12A8A"/>
    <w:rsid w:val="00F12B14"/>
    <w:rsid w:val="00F12C5A"/>
    <w:rsid w:val="00F12D24"/>
    <w:rsid w:val="00F12EBA"/>
    <w:rsid w:val="00F131C5"/>
    <w:rsid w:val="00F133FF"/>
    <w:rsid w:val="00F1344E"/>
    <w:rsid w:val="00F13470"/>
    <w:rsid w:val="00F1388A"/>
    <w:rsid w:val="00F13891"/>
    <w:rsid w:val="00F13989"/>
    <w:rsid w:val="00F139AA"/>
    <w:rsid w:val="00F13ADF"/>
    <w:rsid w:val="00F13DAD"/>
    <w:rsid w:val="00F140BC"/>
    <w:rsid w:val="00F1414B"/>
    <w:rsid w:val="00F14211"/>
    <w:rsid w:val="00F14467"/>
    <w:rsid w:val="00F145C4"/>
    <w:rsid w:val="00F14A99"/>
    <w:rsid w:val="00F14DD2"/>
    <w:rsid w:val="00F14E31"/>
    <w:rsid w:val="00F14FA6"/>
    <w:rsid w:val="00F1502A"/>
    <w:rsid w:val="00F1504E"/>
    <w:rsid w:val="00F1508C"/>
    <w:rsid w:val="00F15401"/>
    <w:rsid w:val="00F1568A"/>
    <w:rsid w:val="00F15902"/>
    <w:rsid w:val="00F15953"/>
    <w:rsid w:val="00F15B33"/>
    <w:rsid w:val="00F15B64"/>
    <w:rsid w:val="00F15D3E"/>
    <w:rsid w:val="00F15F2E"/>
    <w:rsid w:val="00F15F8C"/>
    <w:rsid w:val="00F16085"/>
    <w:rsid w:val="00F16242"/>
    <w:rsid w:val="00F162FB"/>
    <w:rsid w:val="00F166AC"/>
    <w:rsid w:val="00F16701"/>
    <w:rsid w:val="00F16879"/>
    <w:rsid w:val="00F169F5"/>
    <w:rsid w:val="00F16A12"/>
    <w:rsid w:val="00F16A5F"/>
    <w:rsid w:val="00F16C7B"/>
    <w:rsid w:val="00F16DF6"/>
    <w:rsid w:val="00F1721B"/>
    <w:rsid w:val="00F1721C"/>
    <w:rsid w:val="00F1724D"/>
    <w:rsid w:val="00F172BD"/>
    <w:rsid w:val="00F172E4"/>
    <w:rsid w:val="00F173AF"/>
    <w:rsid w:val="00F174B9"/>
    <w:rsid w:val="00F17522"/>
    <w:rsid w:val="00F17603"/>
    <w:rsid w:val="00F17BF4"/>
    <w:rsid w:val="00F17C91"/>
    <w:rsid w:val="00F17CA2"/>
    <w:rsid w:val="00F200FD"/>
    <w:rsid w:val="00F2017D"/>
    <w:rsid w:val="00F202E0"/>
    <w:rsid w:val="00F20372"/>
    <w:rsid w:val="00F2048D"/>
    <w:rsid w:val="00F2050D"/>
    <w:rsid w:val="00F206FB"/>
    <w:rsid w:val="00F207A8"/>
    <w:rsid w:val="00F20900"/>
    <w:rsid w:val="00F20CE8"/>
    <w:rsid w:val="00F20E3D"/>
    <w:rsid w:val="00F20EF5"/>
    <w:rsid w:val="00F210A6"/>
    <w:rsid w:val="00F210D8"/>
    <w:rsid w:val="00F2111F"/>
    <w:rsid w:val="00F212AF"/>
    <w:rsid w:val="00F21549"/>
    <w:rsid w:val="00F2161B"/>
    <w:rsid w:val="00F2162A"/>
    <w:rsid w:val="00F21880"/>
    <w:rsid w:val="00F21955"/>
    <w:rsid w:val="00F21980"/>
    <w:rsid w:val="00F219E5"/>
    <w:rsid w:val="00F219F0"/>
    <w:rsid w:val="00F21C50"/>
    <w:rsid w:val="00F21D16"/>
    <w:rsid w:val="00F21FB0"/>
    <w:rsid w:val="00F22048"/>
    <w:rsid w:val="00F221FB"/>
    <w:rsid w:val="00F22268"/>
    <w:rsid w:val="00F2230D"/>
    <w:rsid w:val="00F223F7"/>
    <w:rsid w:val="00F22538"/>
    <w:rsid w:val="00F22AED"/>
    <w:rsid w:val="00F22AF8"/>
    <w:rsid w:val="00F22BE1"/>
    <w:rsid w:val="00F22E59"/>
    <w:rsid w:val="00F22EBB"/>
    <w:rsid w:val="00F233AB"/>
    <w:rsid w:val="00F233E0"/>
    <w:rsid w:val="00F23AF5"/>
    <w:rsid w:val="00F23C79"/>
    <w:rsid w:val="00F23E1A"/>
    <w:rsid w:val="00F23E2D"/>
    <w:rsid w:val="00F23E70"/>
    <w:rsid w:val="00F23EF9"/>
    <w:rsid w:val="00F23F0C"/>
    <w:rsid w:val="00F23F59"/>
    <w:rsid w:val="00F24086"/>
    <w:rsid w:val="00F243B0"/>
    <w:rsid w:val="00F249A7"/>
    <w:rsid w:val="00F24B56"/>
    <w:rsid w:val="00F24BCE"/>
    <w:rsid w:val="00F24C06"/>
    <w:rsid w:val="00F24EDF"/>
    <w:rsid w:val="00F24F72"/>
    <w:rsid w:val="00F25215"/>
    <w:rsid w:val="00F25446"/>
    <w:rsid w:val="00F2560F"/>
    <w:rsid w:val="00F25747"/>
    <w:rsid w:val="00F257DD"/>
    <w:rsid w:val="00F257F1"/>
    <w:rsid w:val="00F25CA0"/>
    <w:rsid w:val="00F25D49"/>
    <w:rsid w:val="00F25D7B"/>
    <w:rsid w:val="00F25E20"/>
    <w:rsid w:val="00F25EE4"/>
    <w:rsid w:val="00F25F3A"/>
    <w:rsid w:val="00F25F8E"/>
    <w:rsid w:val="00F2612E"/>
    <w:rsid w:val="00F262C3"/>
    <w:rsid w:val="00F263D4"/>
    <w:rsid w:val="00F26C45"/>
    <w:rsid w:val="00F26F15"/>
    <w:rsid w:val="00F270CE"/>
    <w:rsid w:val="00F272F6"/>
    <w:rsid w:val="00F27309"/>
    <w:rsid w:val="00F27452"/>
    <w:rsid w:val="00F2779B"/>
    <w:rsid w:val="00F2790A"/>
    <w:rsid w:val="00F279E1"/>
    <w:rsid w:val="00F27BE6"/>
    <w:rsid w:val="00F27EC0"/>
    <w:rsid w:val="00F3004B"/>
    <w:rsid w:val="00F3007E"/>
    <w:rsid w:val="00F300B2"/>
    <w:rsid w:val="00F3022B"/>
    <w:rsid w:val="00F304B9"/>
    <w:rsid w:val="00F30552"/>
    <w:rsid w:val="00F30665"/>
    <w:rsid w:val="00F30A25"/>
    <w:rsid w:val="00F30A78"/>
    <w:rsid w:val="00F30A9B"/>
    <w:rsid w:val="00F311AF"/>
    <w:rsid w:val="00F312A4"/>
    <w:rsid w:val="00F312ED"/>
    <w:rsid w:val="00F31451"/>
    <w:rsid w:val="00F314A9"/>
    <w:rsid w:val="00F31567"/>
    <w:rsid w:val="00F31725"/>
    <w:rsid w:val="00F317FB"/>
    <w:rsid w:val="00F3182D"/>
    <w:rsid w:val="00F31868"/>
    <w:rsid w:val="00F31873"/>
    <w:rsid w:val="00F31A77"/>
    <w:rsid w:val="00F31C33"/>
    <w:rsid w:val="00F32290"/>
    <w:rsid w:val="00F323C6"/>
    <w:rsid w:val="00F325B2"/>
    <w:rsid w:val="00F32645"/>
    <w:rsid w:val="00F32671"/>
    <w:rsid w:val="00F3275C"/>
    <w:rsid w:val="00F32826"/>
    <w:rsid w:val="00F32C3D"/>
    <w:rsid w:val="00F32C42"/>
    <w:rsid w:val="00F32D0C"/>
    <w:rsid w:val="00F32D49"/>
    <w:rsid w:val="00F32E4F"/>
    <w:rsid w:val="00F33039"/>
    <w:rsid w:val="00F33141"/>
    <w:rsid w:val="00F331AE"/>
    <w:rsid w:val="00F331BD"/>
    <w:rsid w:val="00F3326D"/>
    <w:rsid w:val="00F333DB"/>
    <w:rsid w:val="00F33665"/>
    <w:rsid w:val="00F338BA"/>
    <w:rsid w:val="00F33920"/>
    <w:rsid w:val="00F33A56"/>
    <w:rsid w:val="00F33A7E"/>
    <w:rsid w:val="00F33AF8"/>
    <w:rsid w:val="00F33CF6"/>
    <w:rsid w:val="00F33D67"/>
    <w:rsid w:val="00F33F46"/>
    <w:rsid w:val="00F34154"/>
    <w:rsid w:val="00F341D8"/>
    <w:rsid w:val="00F342C5"/>
    <w:rsid w:val="00F343F4"/>
    <w:rsid w:val="00F345AD"/>
    <w:rsid w:val="00F34720"/>
    <w:rsid w:val="00F34802"/>
    <w:rsid w:val="00F3488F"/>
    <w:rsid w:val="00F3492A"/>
    <w:rsid w:val="00F34B8D"/>
    <w:rsid w:val="00F34BE0"/>
    <w:rsid w:val="00F34C23"/>
    <w:rsid w:val="00F34DCD"/>
    <w:rsid w:val="00F34F02"/>
    <w:rsid w:val="00F34F7A"/>
    <w:rsid w:val="00F3521F"/>
    <w:rsid w:val="00F352FB"/>
    <w:rsid w:val="00F3538C"/>
    <w:rsid w:val="00F35453"/>
    <w:rsid w:val="00F35525"/>
    <w:rsid w:val="00F3577D"/>
    <w:rsid w:val="00F358B7"/>
    <w:rsid w:val="00F35B3D"/>
    <w:rsid w:val="00F35C65"/>
    <w:rsid w:val="00F35D83"/>
    <w:rsid w:val="00F35D9E"/>
    <w:rsid w:val="00F35E9C"/>
    <w:rsid w:val="00F36243"/>
    <w:rsid w:val="00F362FA"/>
    <w:rsid w:val="00F363BE"/>
    <w:rsid w:val="00F363C1"/>
    <w:rsid w:val="00F36410"/>
    <w:rsid w:val="00F36528"/>
    <w:rsid w:val="00F366D2"/>
    <w:rsid w:val="00F36816"/>
    <w:rsid w:val="00F36864"/>
    <w:rsid w:val="00F36A92"/>
    <w:rsid w:val="00F36ECF"/>
    <w:rsid w:val="00F36F29"/>
    <w:rsid w:val="00F37012"/>
    <w:rsid w:val="00F370DA"/>
    <w:rsid w:val="00F37103"/>
    <w:rsid w:val="00F37130"/>
    <w:rsid w:val="00F37169"/>
    <w:rsid w:val="00F3720B"/>
    <w:rsid w:val="00F376AC"/>
    <w:rsid w:val="00F3776B"/>
    <w:rsid w:val="00F377E8"/>
    <w:rsid w:val="00F377F3"/>
    <w:rsid w:val="00F37925"/>
    <w:rsid w:val="00F379AE"/>
    <w:rsid w:val="00F37A24"/>
    <w:rsid w:val="00F37A49"/>
    <w:rsid w:val="00F37B40"/>
    <w:rsid w:val="00F37D12"/>
    <w:rsid w:val="00F37D41"/>
    <w:rsid w:val="00F37EC7"/>
    <w:rsid w:val="00F37F1F"/>
    <w:rsid w:val="00F400C2"/>
    <w:rsid w:val="00F40101"/>
    <w:rsid w:val="00F405E2"/>
    <w:rsid w:val="00F406A4"/>
    <w:rsid w:val="00F408AF"/>
    <w:rsid w:val="00F40914"/>
    <w:rsid w:val="00F40AA0"/>
    <w:rsid w:val="00F40B9C"/>
    <w:rsid w:val="00F40C8C"/>
    <w:rsid w:val="00F40DB6"/>
    <w:rsid w:val="00F4106F"/>
    <w:rsid w:val="00F410CC"/>
    <w:rsid w:val="00F413B3"/>
    <w:rsid w:val="00F41724"/>
    <w:rsid w:val="00F419DF"/>
    <w:rsid w:val="00F41A8B"/>
    <w:rsid w:val="00F41BA9"/>
    <w:rsid w:val="00F41BBA"/>
    <w:rsid w:val="00F41BF9"/>
    <w:rsid w:val="00F41C08"/>
    <w:rsid w:val="00F41F6B"/>
    <w:rsid w:val="00F4227F"/>
    <w:rsid w:val="00F42287"/>
    <w:rsid w:val="00F422A4"/>
    <w:rsid w:val="00F422B0"/>
    <w:rsid w:val="00F4242E"/>
    <w:rsid w:val="00F4278A"/>
    <w:rsid w:val="00F4283A"/>
    <w:rsid w:val="00F42B23"/>
    <w:rsid w:val="00F42B9A"/>
    <w:rsid w:val="00F42C66"/>
    <w:rsid w:val="00F42D05"/>
    <w:rsid w:val="00F42EF5"/>
    <w:rsid w:val="00F430BE"/>
    <w:rsid w:val="00F4336E"/>
    <w:rsid w:val="00F4344C"/>
    <w:rsid w:val="00F4344F"/>
    <w:rsid w:val="00F43581"/>
    <w:rsid w:val="00F4364A"/>
    <w:rsid w:val="00F437FD"/>
    <w:rsid w:val="00F438D6"/>
    <w:rsid w:val="00F43992"/>
    <w:rsid w:val="00F43A0D"/>
    <w:rsid w:val="00F43BC7"/>
    <w:rsid w:val="00F43C07"/>
    <w:rsid w:val="00F43D34"/>
    <w:rsid w:val="00F43F23"/>
    <w:rsid w:val="00F43F6B"/>
    <w:rsid w:val="00F43FD1"/>
    <w:rsid w:val="00F43FFA"/>
    <w:rsid w:val="00F44186"/>
    <w:rsid w:val="00F441B4"/>
    <w:rsid w:val="00F44236"/>
    <w:rsid w:val="00F44327"/>
    <w:rsid w:val="00F44372"/>
    <w:rsid w:val="00F4448D"/>
    <w:rsid w:val="00F44499"/>
    <w:rsid w:val="00F444DB"/>
    <w:rsid w:val="00F4455A"/>
    <w:rsid w:val="00F446FE"/>
    <w:rsid w:val="00F4492C"/>
    <w:rsid w:val="00F44975"/>
    <w:rsid w:val="00F449A3"/>
    <w:rsid w:val="00F44D62"/>
    <w:rsid w:val="00F44E1E"/>
    <w:rsid w:val="00F44FA7"/>
    <w:rsid w:val="00F45306"/>
    <w:rsid w:val="00F4549A"/>
    <w:rsid w:val="00F4552E"/>
    <w:rsid w:val="00F45555"/>
    <w:rsid w:val="00F455A3"/>
    <w:rsid w:val="00F457FE"/>
    <w:rsid w:val="00F459D0"/>
    <w:rsid w:val="00F45A42"/>
    <w:rsid w:val="00F45ACC"/>
    <w:rsid w:val="00F45BF1"/>
    <w:rsid w:val="00F45CBD"/>
    <w:rsid w:val="00F45D53"/>
    <w:rsid w:val="00F45D57"/>
    <w:rsid w:val="00F45DE0"/>
    <w:rsid w:val="00F45F21"/>
    <w:rsid w:val="00F46010"/>
    <w:rsid w:val="00F46151"/>
    <w:rsid w:val="00F463AB"/>
    <w:rsid w:val="00F46630"/>
    <w:rsid w:val="00F467BB"/>
    <w:rsid w:val="00F467D9"/>
    <w:rsid w:val="00F46853"/>
    <w:rsid w:val="00F46AD9"/>
    <w:rsid w:val="00F46AFE"/>
    <w:rsid w:val="00F46B87"/>
    <w:rsid w:val="00F46C23"/>
    <w:rsid w:val="00F46CAA"/>
    <w:rsid w:val="00F46CAE"/>
    <w:rsid w:val="00F46CDC"/>
    <w:rsid w:val="00F46E9D"/>
    <w:rsid w:val="00F47104"/>
    <w:rsid w:val="00F47105"/>
    <w:rsid w:val="00F47218"/>
    <w:rsid w:val="00F47367"/>
    <w:rsid w:val="00F4752C"/>
    <w:rsid w:val="00F47563"/>
    <w:rsid w:val="00F4786E"/>
    <w:rsid w:val="00F4796C"/>
    <w:rsid w:val="00F479CC"/>
    <w:rsid w:val="00F47A5A"/>
    <w:rsid w:val="00F47BC8"/>
    <w:rsid w:val="00F47D4B"/>
    <w:rsid w:val="00F47DC0"/>
    <w:rsid w:val="00F47F9D"/>
    <w:rsid w:val="00F50005"/>
    <w:rsid w:val="00F5000E"/>
    <w:rsid w:val="00F500B9"/>
    <w:rsid w:val="00F50158"/>
    <w:rsid w:val="00F504B6"/>
    <w:rsid w:val="00F50555"/>
    <w:rsid w:val="00F506BE"/>
    <w:rsid w:val="00F5085D"/>
    <w:rsid w:val="00F50942"/>
    <w:rsid w:val="00F5099C"/>
    <w:rsid w:val="00F50AAF"/>
    <w:rsid w:val="00F50B21"/>
    <w:rsid w:val="00F50BCD"/>
    <w:rsid w:val="00F50BD9"/>
    <w:rsid w:val="00F50D7B"/>
    <w:rsid w:val="00F50EB5"/>
    <w:rsid w:val="00F50FC6"/>
    <w:rsid w:val="00F51089"/>
    <w:rsid w:val="00F51246"/>
    <w:rsid w:val="00F512C4"/>
    <w:rsid w:val="00F512FD"/>
    <w:rsid w:val="00F51383"/>
    <w:rsid w:val="00F51769"/>
    <w:rsid w:val="00F51857"/>
    <w:rsid w:val="00F51941"/>
    <w:rsid w:val="00F51BC9"/>
    <w:rsid w:val="00F51F9B"/>
    <w:rsid w:val="00F5201E"/>
    <w:rsid w:val="00F52077"/>
    <w:rsid w:val="00F5249A"/>
    <w:rsid w:val="00F52582"/>
    <w:rsid w:val="00F525D5"/>
    <w:rsid w:val="00F52757"/>
    <w:rsid w:val="00F52949"/>
    <w:rsid w:val="00F52CAB"/>
    <w:rsid w:val="00F52DD8"/>
    <w:rsid w:val="00F52E03"/>
    <w:rsid w:val="00F5300F"/>
    <w:rsid w:val="00F5307C"/>
    <w:rsid w:val="00F5311F"/>
    <w:rsid w:val="00F53136"/>
    <w:rsid w:val="00F53377"/>
    <w:rsid w:val="00F536F0"/>
    <w:rsid w:val="00F53818"/>
    <w:rsid w:val="00F538F3"/>
    <w:rsid w:val="00F53931"/>
    <w:rsid w:val="00F53991"/>
    <w:rsid w:val="00F53A85"/>
    <w:rsid w:val="00F53B49"/>
    <w:rsid w:val="00F53E3B"/>
    <w:rsid w:val="00F53EEF"/>
    <w:rsid w:val="00F53FC9"/>
    <w:rsid w:val="00F5400A"/>
    <w:rsid w:val="00F54083"/>
    <w:rsid w:val="00F540D8"/>
    <w:rsid w:val="00F54194"/>
    <w:rsid w:val="00F5428C"/>
    <w:rsid w:val="00F542D3"/>
    <w:rsid w:val="00F54355"/>
    <w:rsid w:val="00F54687"/>
    <w:rsid w:val="00F54833"/>
    <w:rsid w:val="00F54872"/>
    <w:rsid w:val="00F54875"/>
    <w:rsid w:val="00F549DA"/>
    <w:rsid w:val="00F54AB6"/>
    <w:rsid w:val="00F54B32"/>
    <w:rsid w:val="00F54D56"/>
    <w:rsid w:val="00F5502E"/>
    <w:rsid w:val="00F5509C"/>
    <w:rsid w:val="00F5517C"/>
    <w:rsid w:val="00F55310"/>
    <w:rsid w:val="00F553DB"/>
    <w:rsid w:val="00F5542F"/>
    <w:rsid w:val="00F55435"/>
    <w:rsid w:val="00F55469"/>
    <w:rsid w:val="00F554E0"/>
    <w:rsid w:val="00F55857"/>
    <w:rsid w:val="00F558FF"/>
    <w:rsid w:val="00F55B4D"/>
    <w:rsid w:val="00F55B95"/>
    <w:rsid w:val="00F55D92"/>
    <w:rsid w:val="00F55DDE"/>
    <w:rsid w:val="00F561AC"/>
    <w:rsid w:val="00F56283"/>
    <w:rsid w:val="00F56330"/>
    <w:rsid w:val="00F56383"/>
    <w:rsid w:val="00F566E5"/>
    <w:rsid w:val="00F56777"/>
    <w:rsid w:val="00F56803"/>
    <w:rsid w:val="00F568DF"/>
    <w:rsid w:val="00F568E7"/>
    <w:rsid w:val="00F5697B"/>
    <w:rsid w:val="00F56A65"/>
    <w:rsid w:val="00F56A9D"/>
    <w:rsid w:val="00F56C68"/>
    <w:rsid w:val="00F56D0A"/>
    <w:rsid w:val="00F5721A"/>
    <w:rsid w:val="00F57410"/>
    <w:rsid w:val="00F574AA"/>
    <w:rsid w:val="00F575A6"/>
    <w:rsid w:val="00F577AC"/>
    <w:rsid w:val="00F57B3E"/>
    <w:rsid w:val="00F57D61"/>
    <w:rsid w:val="00F57EEF"/>
    <w:rsid w:val="00F57EFE"/>
    <w:rsid w:val="00F57F66"/>
    <w:rsid w:val="00F57F9E"/>
    <w:rsid w:val="00F57FB2"/>
    <w:rsid w:val="00F57FE9"/>
    <w:rsid w:val="00F60195"/>
    <w:rsid w:val="00F601B9"/>
    <w:rsid w:val="00F602E1"/>
    <w:rsid w:val="00F60464"/>
    <w:rsid w:val="00F604FD"/>
    <w:rsid w:val="00F606C7"/>
    <w:rsid w:val="00F60797"/>
    <w:rsid w:val="00F6099D"/>
    <w:rsid w:val="00F609C6"/>
    <w:rsid w:val="00F60AE7"/>
    <w:rsid w:val="00F60C92"/>
    <w:rsid w:val="00F60D3D"/>
    <w:rsid w:val="00F60DE9"/>
    <w:rsid w:val="00F60FFA"/>
    <w:rsid w:val="00F61034"/>
    <w:rsid w:val="00F6104F"/>
    <w:rsid w:val="00F61064"/>
    <w:rsid w:val="00F61104"/>
    <w:rsid w:val="00F611E3"/>
    <w:rsid w:val="00F6120D"/>
    <w:rsid w:val="00F61221"/>
    <w:rsid w:val="00F61305"/>
    <w:rsid w:val="00F6141D"/>
    <w:rsid w:val="00F6151A"/>
    <w:rsid w:val="00F61749"/>
    <w:rsid w:val="00F6189A"/>
    <w:rsid w:val="00F61908"/>
    <w:rsid w:val="00F6191D"/>
    <w:rsid w:val="00F61B02"/>
    <w:rsid w:val="00F61BE1"/>
    <w:rsid w:val="00F61CDE"/>
    <w:rsid w:val="00F62301"/>
    <w:rsid w:val="00F62652"/>
    <w:rsid w:val="00F62956"/>
    <w:rsid w:val="00F6298B"/>
    <w:rsid w:val="00F62AF7"/>
    <w:rsid w:val="00F62B13"/>
    <w:rsid w:val="00F62C8C"/>
    <w:rsid w:val="00F62DDC"/>
    <w:rsid w:val="00F62E4A"/>
    <w:rsid w:val="00F63077"/>
    <w:rsid w:val="00F63119"/>
    <w:rsid w:val="00F63184"/>
    <w:rsid w:val="00F63253"/>
    <w:rsid w:val="00F63424"/>
    <w:rsid w:val="00F6361A"/>
    <w:rsid w:val="00F6363C"/>
    <w:rsid w:val="00F63825"/>
    <w:rsid w:val="00F63985"/>
    <w:rsid w:val="00F63A0D"/>
    <w:rsid w:val="00F63B62"/>
    <w:rsid w:val="00F63C9E"/>
    <w:rsid w:val="00F63E0E"/>
    <w:rsid w:val="00F63F15"/>
    <w:rsid w:val="00F64063"/>
    <w:rsid w:val="00F64099"/>
    <w:rsid w:val="00F640D6"/>
    <w:rsid w:val="00F6440B"/>
    <w:rsid w:val="00F64448"/>
    <w:rsid w:val="00F64945"/>
    <w:rsid w:val="00F64AE6"/>
    <w:rsid w:val="00F64C0B"/>
    <w:rsid w:val="00F64C4C"/>
    <w:rsid w:val="00F64E08"/>
    <w:rsid w:val="00F653D7"/>
    <w:rsid w:val="00F658BF"/>
    <w:rsid w:val="00F658E8"/>
    <w:rsid w:val="00F65A1C"/>
    <w:rsid w:val="00F65B33"/>
    <w:rsid w:val="00F65BFB"/>
    <w:rsid w:val="00F65D6D"/>
    <w:rsid w:val="00F66016"/>
    <w:rsid w:val="00F6609F"/>
    <w:rsid w:val="00F66245"/>
    <w:rsid w:val="00F662A8"/>
    <w:rsid w:val="00F66443"/>
    <w:rsid w:val="00F664ED"/>
    <w:rsid w:val="00F66B02"/>
    <w:rsid w:val="00F66BFF"/>
    <w:rsid w:val="00F66D84"/>
    <w:rsid w:val="00F66DE8"/>
    <w:rsid w:val="00F66DEF"/>
    <w:rsid w:val="00F66EAC"/>
    <w:rsid w:val="00F66EED"/>
    <w:rsid w:val="00F671BF"/>
    <w:rsid w:val="00F6724F"/>
    <w:rsid w:val="00F67273"/>
    <w:rsid w:val="00F673AD"/>
    <w:rsid w:val="00F673DC"/>
    <w:rsid w:val="00F67447"/>
    <w:rsid w:val="00F674F1"/>
    <w:rsid w:val="00F6784B"/>
    <w:rsid w:val="00F678F4"/>
    <w:rsid w:val="00F67913"/>
    <w:rsid w:val="00F67AC8"/>
    <w:rsid w:val="00F67EAA"/>
    <w:rsid w:val="00F67F58"/>
    <w:rsid w:val="00F67F8A"/>
    <w:rsid w:val="00F7003B"/>
    <w:rsid w:val="00F70111"/>
    <w:rsid w:val="00F70251"/>
    <w:rsid w:val="00F70437"/>
    <w:rsid w:val="00F70525"/>
    <w:rsid w:val="00F706A2"/>
    <w:rsid w:val="00F706BF"/>
    <w:rsid w:val="00F7083F"/>
    <w:rsid w:val="00F70B02"/>
    <w:rsid w:val="00F70C0B"/>
    <w:rsid w:val="00F70C1D"/>
    <w:rsid w:val="00F70E81"/>
    <w:rsid w:val="00F70F43"/>
    <w:rsid w:val="00F710A1"/>
    <w:rsid w:val="00F71113"/>
    <w:rsid w:val="00F71123"/>
    <w:rsid w:val="00F711A1"/>
    <w:rsid w:val="00F711B1"/>
    <w:rsid w:val="00F711C7"/>
    <w:rsid w:val="00F712E6"/>
    <w:rsid w:val="00F71361"/>
    <w:rsid w:val="00F71B0F"/>
    <w:rsid w:val="00F71B22"/>
    <w:rsid w:val="00F71C04"/>
    <w:rsid w:val="00F71C6A"/>
    <w:rsid w:val="00F71CF4"/>
    <w:rsid w:val="00F71DA2"/>
    <w:rsid w:val="00F71DF1"/>
    <w:rsid w:val="00F72583"/>
    <w:rsid w:val="00F72627"/>
    <w:rsid w:val="00F726A2"/>
    <w:rsid w:val="00F7279E"/>
    <w:rsid w:val="00F728C4"/>
    <w:rsid w:val="00F729C3"/>
    <w:rsid w:val="00F72AC7"/>
    <w:rsid w:val="00F72B2F"/>
    <w:rsid w:val="00F72B7C"/>
    <w:rsid w:val="00F7313A"/>
    <w:rsid w:val="00F73249"/>
    <w:rsid w:val="00F7342C"/>
    <w:rsid w:val="00F73471"/>
    <w:rsid w:val="00F73546"/>
    <w:rsid w:val="00F7373C"/>
    <w:rsid w:val="00F73802"/>
    <w:rsid w:val="00F73821"/>
    <w:rsid w:val="00F7395E"/>
    <w:rsid w:val="00F739A7"/>
    <w:rsid w:val="00F73A73"/>
    <w:rsid w:val="00F73AEE"/>
    <w:rsid w:val="00F73B2E"/>
    <w:rsid w:val="00F73D10"/>
    <w:rsid w:val="00F73DD0"/>
    <w:rsid w:val="00F74154"/>
    <w:rsid w:val="00F741C3"/>
    <w:rsid w:val="00F741FC"/>
    <w:rsid w:val="00F74394"/>
    <w:rsid w:val="00F743AC"/>
    <w:rsid w:val="00F745D1"/>
    <w:rsid w:val="00F74770"/>
    <w:rsid w:val="00F749F5"/>
    <w:rsid w:val="00F74AEB"/>
    <w:rsid w:val="00F74BE5"/>
    <w:rsid w:val="00F74BF5"/>
    <w:rsid w:val="00F74E01"/>
    <w:rsid w:val="00F75035"/>
    <w:rsid w:val="00F752C9"/>
    <w:rsid w:val="00F756C2"/>
    <w:rsid w:val="00F756CC"/>
    <w:rsid w:val="00F757FA"/>
    <w:rsid w:val="00F758C8"/>
    <w:rsid w:val="00F7599B"/>
    <w:rsid w:val="00F759CD"/>
    <w:rsid w:val="00F75A0A"/>
    <w:rsid w:val="00F75C31"/>
    <w:rsid w:val="00F7633C"/>
    <w:rsid w:val="00F76349"/>
    <w:rsid w:val="00F7640A"/>
    <w:rsid w:val="00F7643B"/>
    <w:rsid w:val="00F76505"/>
    <w:rsid w:val="00F76534"/>
    <w:rsid w:val="00F7659D"/>
    <w:rsid w:val="00F7660D"/>
    <w:rsid w:val="00F76850"/>
    <w:rsid w:val="00F7686D"/>
    <w:rsid w:val="00F7693D"/>
    <w:rsid w:val="00F76A01"/>
    <w:rsid w:val="00F76AFB"/>
    <w:rsid w:val="00F76B38"/>
    <w:rsid w:val="00F77076"/>
    <w:rsid w:val="00F7719E"/>
    <w:rsid w:val="00F77434"/>
    <w:rsid w:val="00F77593"/>
    <w:rsid w:val="00F775A3"/>
    <w:rsid w:val="00F777AA"/>
    <w:rsid w:val="00F777E4"/>
    <w:rsid w:val="00F77892"/>
    <w:rsid w:val="00F77A18"/>
    <w:rsid w:val="00F77BF0"/>
    <w:rsid w:val="00F77C17"/>
    <w:rsid w:val="00F77E56"/>
    <w:rsid w:val="00F77E75"/>
    <w:rsid w:val="00F801AC"/>
    <w:rsid w:val="00F801D8"/>
    <w:rsid w:val="00F802E9"/>
    <w:rsid w:val="00F80737"/>
    <w:rsid w:val="00F80CF9"/>
    <w:rsid w:val="00F80DD5"/>
    <w:rsid w:val="00F80F90"/>
    <w:rsid w:val="00F811A6"/>
    <w:rsid w:val="00F81362"/>
    <w:rsid w:val="00F81447"/>
    <w:rsid w:val="00F8170F"/>
    <w:rsid w:val="00F81AE6"/>
    <w:rsid w:val="00F81B79"/>
    <w:rsid w:val="00F81C52"/>
    <w:rsid w:val="00F81CCD"/>
    <w:rsid w:val="00F81CD5"/>
    <w:rsid w:val="00F81CF4"/>
    <w:rsid w:val="00F81DB5"/>
    <w:rsid w:val="00F81E59"/>
    <w:rsid w:val="00F81F32"/>
    <w:rsid w:val="00F8209C"/>
    <w:rsid w:val="00F82168"/>
    <w:rsid w:val="00F826B9"/>
    <w:rsid w:val="00F826D6"/>
    <w:rsid w:val="00F828E1"/>
    <w:rsid w:val="00F82BD8"/>
    <w:rsid w:val="00F82C14"/>
    <w:rsid w:val="00F82ED2"/>
    <w:rsid w:val="00F8308F"/>
    <w:rsid w:val="00F83159"/>
    <w:rsid w:val="00F83237"/>
    <w:rsid w:val="00F83568"/>
    <w:rsid w:val="00F836CF"/>
    <w:rsid w:val="00F838B0"/>
    <w:rsid w:val="00F839A9"/>
    <w:rsid w:val="00F839BF"/>
    <w:rsid w:val="00F83ADA"/>
    <w:rsid w:val="00F83E59"/>
    <w:rsid w:val="00F83F8A"/>
    <w:rsid w:val="00F83FC6"/>
    <w:rsid w:val="00F84042"/>
    <w:rsid w:val="00F8415B"/>
    <w:rsid w:val="00F84316"/>
    <w:rsid w:val="00F8475F"/>
    <w:rsid w:val="00F847C7"/>
    <w:rsid w:val="00F84C94"/>
    <w:rsid w:val="00F84CEC"/>
    <w:rsid w:val="00F84E6A"/>
    <w:rsid w:val="00F85345"/>
    <w:rsid w:val="00F85425"/>
    <w:rsid w:val="00F85576"/>
    <w:rsid w:val="00F85A51"/>
    <w:rsid w:val="00F85C04"/>
    <w:rsid w:val="00F85E3B"/>
    <w:rsid w:val="00F85E61"/>
    <w:rsid w:val="00F85ED9"/>
    <w:rsid w:val="00F85FBC"/>
    <w:rsid w:val="00F86004"/>
    <w:rsid w:val="00F86069"/>
    <w:rsid w:val="00F86269"/>
    <w:rsid w:val="00F862FA"/>
    <w:rsid w:val="00F863FC"/>
    <w:rsid w:val="00F8682C"/>
    <w:rsid w:val="00F86A71"/>
    <w:rsid w:val="00F86B45"/>
    <w:rsid w:val="00F86D15"/>
    <w:rsid w:val="00F86EA4"/>
    <w:rsid w:val="00F86F85"/>
    <w:rsid w:val="00F86FF7"/>
    <w:rsid w:val="00F870FA"/>
    <w:rsid w:val="00F87122"/>
    <w:rsid w:val="00F871B8"/>
    <w:rsid w:val="00F87339"/>
    <w:rsid w:val="00F873F2"/>
    <w:rsid w:val="00F8765C"/>
    <w:rsid w:val="00F87719"/>
    <w:rsid w:val="00F878AC"/>
    <w:rsid w:val="00F8792E"/>
    <w:rsid w:val="00F87971"/>
    <w:rsid w:val="00F8799B"/>
    <w:rsid w:val="00F87A0B"/>
    <w:rsid w:val="00F87C14"/>
    <w:rsid w:val="00F87E4F"/>
    <w:rsid w:val="00F87F07"/>
    <w:rsid w:val="00F900E0"/>
    <w:rsid w:val="00F901AC"/>
    <w:rsid w:val="00F9043B"/>
    <w:rsid w:val="00F905D7"/>
    <w:rsid w:val="00F908B9"/>
    <w:rsid w:val="00F90951"/>
    <w:rsid w:val="00F909C6"/>
    <w:rsid w:val="00F90B30"/>
    <w:rsid w:val="00F90C90"/>
    <w:rsid w:val="00F90CF6"/>
    <w:rsid w:val="00F90D51"/>
    <w:rsid w:val="00F90EFC"/>
    <w:rsid w:val="00F91049"/>
    <w:rsid w:val="00F913E3"/>
    <w:rsid w:val="00F91447"/>
    <w:rsid w:val="00F914FD"/>
    <w:rsid w:val="00F91690"/>
    <w:rsid w:val="00F916AE"/>
    <w:rsid w:val="00F91723"/>
    <w:rsid w:val="00F91794"/>
    <w:rsid w:val="00F91D53"/>
    <w:rsid w:val="00F91EAD"/>
    <w:rsid w:val="00F92077"/>
    <w:rsid w:val="00F92082"/>
    <w:rsid w:val="00F92296"/>
    <w:rsid w:val="00F922C7"/>
    <w:rsid w:val="00F922F7"/>
    <w:rsid w:val="00F924AA"/>
    <w:rsid w:val="00F92577"/>
    <w:rsid w:val="00F926C5"/>
    <w:rsid w:val="00F926FF"/>
    <w:rsid w:val="00F92785"/>
    <w:rsid w:val="00F9284F"/>
    <w:rsid w:val="00F92879"/>
    <w:rsid w:val="00F92DC8"/>
    <w:rsid w:val="00F92E06"/>
    <w:rsid w:val="00F92F62"/>
    <w:rsid w:val="00F93128"/>
    <w:rsid w:val="00F93334"/>
    <w:rsid w:val="00F933C7"/>
    <w:rsid w:val="00F935A7"/>
    <w:rsid w:val="00F936C4"/>
    <w:rsid w:val="00F937BF"/>
    <w:rsid w:val="00F938DA"/>
    <w:rsid w:val="00F93A93"/>
    <w:rsid w:val="00F93AD8"/>
    <w:rsid w:val="00F93B9D"/>
    <w:rsid w:val="00F93CC7"/>
    <w:rsid w:val="00F93DF9"/>
    <w:rsid w:val="00F93EA2"/>
    <w:rsid w:val="00F94150"/>
    <w:rsid w:val="00F942CA"/>
    <w:rsid w:val="00F94362"/>
    <w:rsid w:val="00F94375"/>
    <w:rsid w:val="00F94414"/>
    <w:rsid w:val="00F944BA"/>
    <w:rsid w:val="00F9450D"/>
    <w:rsid w:val="00F94519"/>
    <w:rsid w:val="00F946A7"/>
    <w:rsid w:val="00F94AA3"/>
    <w:rsid w:val="00F94B3D"/>
    <w:rsid w:val="00F94CBE"/>
    <w:rsid w:val="00F94DE4"/>
    <w:rsid w:val="00F94E7F"/>
    <w:rsid w:val="00F94F86"/>
    <w:rsid w:val="00F9507A"/>
    <w:rsid w:val="00F95231"/>
    <w:rsid w:val="00F95258"/>
    <w:rsid w:val="00F9529C"/>
    <w:rsid w:val="00F952FC"/>
    <w:rsid w:val="00F95432"/>
    <w:rsid w:val="00F95438"/>
    <w:rsid w:val="00F956AF"/>
    <w:rsid w:val="00F95984"/>
    <w:rsid w:val="00F95AB5"/>
    <w:rsid w:val="00F95B0E"/>
    <w:rsid w:val="00F95B90"/>
    <w:rsid w:val="00F95DAB"/>
    <w:rsid w:val="00F95DF1"/>
    <w:rsid w:val="00F95E0E"/>
    <w:rsid w:val="00F95FDC"/>
    <w:rsid w:val="00F95FF4"/>
    <w:rsid w:val="00F9601C"/>
    <w:rsid w:val="00F9603C"/>
    <w:rsid w:val="00F9612E"/>
    <w:rsid w:val="00F96351"/>
    <w:rsid w:val="00F963AF"/>
    <w:rsid w:val="00F9653C"/>
    <w:rsid w:val="00F966A1"/>
    <w:rsid w:val="00F96759"/>
    <w:rsid w:val="00F968E7"/>
    <w:rsid w:val="00F969B9"/>
    <w:rsid w:val="00F96A12"/>
    <w:rsid w:val="00F96ACA"/>
    <w:rsid w:val="00F96E45"/>
    <w:rsid w:val="00F97022"/>
    <w:rsid w:val="00F97072"/>
    <w:rsid w:val="00F971A1"/>
    <w:rsid w:val="00F971C5"/>
    <w:rsid w:val="00F9767B"/>
    <w:rsid w:val="00F976E0"/>
    <w:rsid w:val="00F97B71"/>
    <w:rsid w:val="00F97C2A"/>
    <w:rsid w:val="00F97D18"/>
    <w:rsid w:val="00F97DD9"/>
    <w:rsid w:val="00F97F3A"/>
    <w:rsid w:val="00F97FB0"/>
    <w:rsid w:val="00F97FDF"/>
    <w:rsid w:val="00FA0192"/>
    <w:rsid w:val="00FA01AF"/>
    <w:rsid w:val="00FA04C6"/>
    <w:rsid w:val="00FA04E7"/>
    <w:rsid w:val="00FA0773"/>
    <w:rsid w:val="00FA07D2"/>
    <w:rsid w:val="00FA085A"/>
    <w:rsid w:val="00FA0884"/>
    <w:rsid w:val="00FA09AB"/>
    <w:rsid w:val="00FA0A51"/>
    <w:rsid w:val="00FA0B2E"/>
    <w:rsid w:val="00FA0D71"/>
    <w:rsid w:val="00FA0F3F"/>
    <w:rsid w:val="00FA0FB6"/>
    <w:rsid w:val="00FA1201"/>
    <w:rsid w:val="00FA12B9"/>
    <w:rsid w:val="00FA12D4"/>
    <w:rsid w:val="00FA1344"/>
    <w:rsid w:val="00FA1405"/>
    <w:rsid w:val="00FA148B"/>
    <w:rsid w:val="00FA15C8"/>
    <w:rsid w:val="00FA17CF"/>
    <w:rsid w:val="00FA1D51"/>
    <w:rsid w:val="00FA1FDC"/>
    <w:rsid w:val="00FA2025"/>
    <w:rsid w:val="00FA204B"/>
    <w:rsid w:val="00FA2359"/>
    <w:rsid w:val="00FA29BD"/>
    <w:rsid w:val="00FA2AF5"/>
    <w:rsid w:val="00FA2B75"/>
    <w:rsid w:val="00FA2FAB"/>
    <w:rsid w:val="00FA2FB7"/>
    <w:rsid w:val="00FA307E"/>
    <w:rsid w:val="00FA30D1"/>
    <w:rsid w:val="00FA31AF"/>
    <w:rsid w:val="00FA327B"/>
    <w:rsid w:val="00FA32AB"/>
    <w:rsid w:val="00FA3309"/>
    <w:rsid w:val="00FA3322"/>
    <w:rsid w:val="00FA3744"/>
    <w:rsid w:val="00FA375A"/>
    <w:rsid w:val="00FA3A56"/>
    <w:rsid w:val="00FA3BC4"/>
    <w:rsid w:val="00FA3C23"/>
    <w:rsid w:val="00FA3D4A"/>
    <w:rsid w:val="00FA4022"/>
    <w:rsid w:val="00FA42E3"/>
    <w:rsid w:val="00FA43B2"/>
    <w:rsid w:val="00FA4419"/>
    <w:rsid w:val="00FA447B"/>
    <w:rsid w:val="00FA462B"/>
    <w:rsid w:val="00FA473B"/>
    <w:rsid w:val="00FA4CC5"/>
    <w:rsid w:val="00FA4D43"/>
    <w:rsid w:val="00FA4D75"/>
    <w:rsid w:val="00FA4EAA"/>
    <w:rsid w:val="00FA5299"/>
    <w:rsid w:val="00FA5458"/>
    <w:rsid w:val="00FA574B"/>
    <w:rsid w:val="00FA586B"/>
    <w:rsid w:val="00FA590F"/>
    <w:rsid w:val="00FA5E18"/>
    <w:rsid w:val="00FA5EC2"/>
    <w:rsid w:val="00FA5ED2"/>
    <w:rsid w:val="00FA5F2B"/>
    <w:rsid w:val="00FA5F5B"/>
    <w:rsid w:val="00FA610F"/>
    <w:rsid w:val="00FA61AC"/>
    <w:rsid w:val="00FA6291"/>
    <w:rsid w:val="00FA633E"/>
    <w:rsid w:val="00FA63FF"/>
    <w:rsid w:val="00FA64AD"/>
    <w:rsid w:val="00FA6797"/>
    <w:rsid w:val="00FA68D7"/>
    <w:rsid w:val="00FA68F7"/>
    <w:rsid w:val="00FA6910"/>
    <w:rsid w:val="00FA6AEA"/>
    <w:rsid w:val="00FA6AEB"/>
    <w:rsid w:val="00FA6BA4"/>
    <w:rsid w:val="00FA6C4D"/>
    <w:rsid w:val="00FA6D13"/>
    <w:rsid w:val="00FA720F"/>
    <w:rsid w:val="00FA7241"/>
    <w:rsid w:val="00FA7334"/>
    <w:rsid w:val="00FA741B"/>
    <w:rsid w:val="00FA75A1"/>
    <w:rsid w:val="00FA77CB"/>
    <w:rsid w:val="00FA793F"/>
    <w:rsid w:val="00FA7EBD"/>
    <w:rsid w:val="00FA7EC2"/>
    <w:rsid w:val="00FA7F6E"/>
    <w:rsid w:val="00FB0047"/>
    <w:rsid w:val="00FB017A"/>
    <w:rsid w:val="00FB02AC"/>
    <w:rsid w:val="00FB03D8"/>
    <w:rsid w:val="00FB0659"/>
    <w:rsid w:val="00FB0900"/>
    <w:rsid w:val="00FB0971"/>
    <w:rsid w:val="00FB0B16"/>
    <w:rsid w:val="00FB0BE0"/>
    <w:rsid w:val="00FB0CAF"/>
    <w:rsid w:val="00FB0DD6"/>
    <w:rsid w:val="00FB0E2B"/>
    <w:rsid w:val="00FB0F02"/>
    <w:rsid w:val="00FB0F4A"/>
    <w:rsid w:val="00FB0F63"/>
    <w:rsid w:val="00FB0F7C"/>
    <w:rsid w:val="00FB0FEC"/>
    <w:rsid w:val="00FB1159"/>
    <w:rsid w:val="00FB11EC"/>
    <w:rsid w:val="00FB1252"/>
    <w:rsid w:val="00FB12B1"/>
    <w:rsid w:val="00FB132B"/>
    <w:rsid w:val="00FB13B8"/>
    <w:rsid w:val="00FB1499"/>
    <w:rsid w:val="00FB1515"/>
    <w:rsid w:val="00FB1630"/>
    <w:rsid w:val="00FB16F8"/>
    <w:rsid w:val="00FB1825"/>
    <w:rsid w:val="00FB1D3B"/>
    <w:rsid w:val="00FB1EC7"/>
    <w:rsid w:val="00FB1F0E"/>
    <w:rsid w:val="00FB1FCE"/>
    <w:rsid w:val="00FB2124"/>
    <w:rsid w:val="00FB232A"/>
    <w:rsid w:val="00FB233C"/>
    <w:rsid w:val="00FB2606"/>
    <w:rsid w:val="00FB27E6"/>
    <w:rsid w:val="00FB2ACC"/>
    <w:rsid w:val="00FB2B11"/>
    <w:rsid w:val="00FB2B98"/>
    <w:rsid w:val="00FB2BF1"/>
    <w:rsid w:val="00FB2C85"/>
    <w:rsid w:val="00FB2D0D"/>
    <w:rsid w:val="00FB2D9B"/>
    <w:rsid w:val="00FB30EE"/>
    <w:rsid w:val="00FB3238"/>
    <w:rsid w:val="00FB34E3"/>
    <w:rsid w:val="00FB361E"/>
    <w:rsid w:val="00FB3795"/>
    <w:rsid w:val="00FB38CB"/>
    <w:rsid w:val="00FB3946"/>
    <w:rsid w:val="00FB3B29"/>
    <w:rsid w:val="00FB3CF3"/>
    <w:rsid w:val="00FB3DA3"/>
    <w:rsid w:val="00FB3EEC"/>
    <w:rsid w:val="00FB403F"/>
    <w:rsid w:val="00FB4531"/>
    <w:rsid w:val="00FB4584"/>
    <w:rsid w:val="00FB46E6"/>
    <w:rsid w:val="00FB4733"/>
    <w:rsid w:val="00FB4849"/>
    <w:rsid w:val="00FB4885"/>
    <w:rsid w:val="00FB49C9"/>
    <w:rsid w:val="00FB49E9"/>
    <w:rsid w:val="00FB49EB"/>
    <w:rsid w:val="00FB4B70"/>
    <w:rsid w:val="00FB4C8E"/>
    <w:rsid w:val="00FB4E05"/>
    <w:rsid w:val="00FB4EF2"/>
    <w:rsid w:val="00FB4F0E"/>
    <w:rsid w:val="00FB4FA9"/>
    <w:rsid w:val="00FB4FCE"/>
    <w:rsid w:val="00FB5138"/>
    <w:rsid w:val="00FB5191"/>
    <w:rsid w:val="00FB51F2"/>
    <w:rsid w:val="00FB5211"/>
    <w:rsid w:val="00FB5216"/>
    <w:rsid w:val="00FB544D"/>
    <w:rsid w:val="00FB562A"/>
    <w:rsid w:val="00FB562F"/>
    <w:rsid w:val="00FB56A6"/>
    <w:rsid w:val="00FB5762"/>
    <w:rsid w:val="00FB579D"/>
    <w:rsid w:val="00FB5826"/>
    <w:rsid w:val="00FB5895"/>
    <w:rsid w:val="00FB59DB"/>
    <w:rsid w:val="00FB5A76"/>
    <w:rsid w:val="00FB5C43"/>
    <w:rsid w:val="00FB5CB5"/>
    <w:rsid w:val="00FB5CD8"/>
    <w:rsid w:val="00FB5CFE"/>
    <w:rsid w:val="00FB5D21"/>
    <w:rsid w:val="00FB5E71"/>
    <w:rsid w:val="00FB5E79"/>
    <w:rsid w:val="00FB6130"/>
    <w:rsid w:val="00FB61F0"/>
    <w:rsid w:val="00FB63FD"/>
    <w:rsid w:val="00FB65BD"/>
    <w:rsid w:val="00FB6AF6"/>
    <w:rsid w:val="00FB6CA1"/>
    <w:rsid w:val="00FB6D93"/>
    <w:rsid w:val="00FB6DF2"/>
    <w:rsid w:val="00FB6E56"/>
    <w:rsid w:val="00FB6E69"/>
    <w:rsid w:val="00FB712F"/>
    <w:rsid w:val="00FB7264"/>
    <w:rsid w:val="00FB73FC"/>
    <w:rsid w:val="00FB7698"/>
    <w:rsid w:val="00FB76E8"/>
    <w:rsid w:val="00FB76EE"/>
    <w:rsid w:val="00FB78E2"/>
    <w:rsid w:val="00FB79DB"/>
    <w:rsid w:val="00FB7B25"/>
    <w:rsid w:val="00FB7C19"/>
    <w:rsid w:val="00FB7C74"/>
    <w:rsid w:val="00FB7F03"/>
    <w:rsid w:val="00FC005F"/>
    <w:rsid w:val="00FC0133"/>
    <w:rsid w:val="00FC01C5"/>
    <w:rsid w:val="00FC01FC"/>
    <w:rsid w:val="00FC0249"/>
    <w:rsid w:val="00FC0250"/>
    <w:rsid w:val="00FC02C1"/>
    <w:rsid w:val="00FC04CA"/>
    <w:rsid w:val="00FC04F5"/>
    <w:rsid w:val="00FC0610"/>
    <w:rsid w:val="00FC07A1"/>
    <w:rsid w:val="00FC0A3C"/>
    <w:rsid w:val="00FC102D"/>
    <w:rsid w:val="00FC12CA"/>
    <w:rsid w:val="00FC12FB"/>
    <w:rsid w:val="00FC157F"/>
    <w:rsid w:val="00FC18B3"/>
    <w:rsid w:val="00FC19B1"/>
    <w:rsid w:val="00FC1D4A"/>
    <w:rsid w:val="00FC1D5A"/>
    <w:rsid w:val="00FC1F04"/>
    <w:rsid w:val="00FC2078"/>
    <w:rsid w:val="00FC2083"/>
    <w:rsid w:val="00FC22F7"/>
    <w:rsid w:val="00FC2758"/>
    <w:rsid w:val="00FC277A"/>
    <w:rsid w:val="00FC27EC"/>
    <w:rsid w:val="00FC2905"/>
    <w:rsid w:val="00FC2A6A"/>
    <w:rsid w:val="00FC2B45"/>
    <w:rsid w:val="00FC2CD7"/>
    <w:rsid w:val="00FC2CD9"/>
    <w:rsid w:val="00FC3008"/>
    <w:rsid w:val="00FC36DC"/>
    <w:rsid w:val="00FC37EC"/>
    <w:rsid w:val="00FC39C3"/>
    <w:rsid w:val="00FC39CD"/>
    <w:rsid w:val="00FC3A1E"/>
    <w:rsid w:val="00FC3D00"/>
    <w:rsid w:val="00FC3D2E"/>
    <w:rsid w:val="00FC3DC5"/>
    <w:rsid w:val="00FC3E8D"/>
    <w:rsid w:val="00FC402B"/>
    <w:rsid w:val="00FC40D4"/>
    <w:rsid w:val="00FC41D9"/>
    <w:rsid w:val="00FC4231"/>
    <w:rsid w:val="00FC449C"/>
    <w:rsid w:val="00FC4526"/>
    <w:rsid w:val="00FC4664"/>
    <w:rsid w:val="00FC4862"/>
    <w:rsid w:val="00FC4B2D"/>
    <w:rsid w:val="00FC4CF1"/>
    <w:rsid w:val="00FC4EE5"/>
    <w:rsid w:val="00FC508F"/>
    <w:rsid w:val="00FC525D"/>
    <w:rsid w:val="00FC5326"/>
    <w:rsid w:val="00FC5365"/>
    <w:rsid w:val="00FC538D"/>
    <w:rsid w:val="00FC5564"/>
    <w:rsid w:val="00FC590E"/>
    <w:rsid w:val="00FC59B8"/>
    <w:rsid w:val="00FC5BE9"/>
    <w:rsid w:val="00FC5DCF"/>
    <w:rsid w:val="00FC5E60"/>
    <w:rsid w:val="00FC5EFD"/>
    <w:rsid w:val="00FC6148"/>
    <w:rsid w:val="00FC62AF"/>
    <w:rsid w:val="00FC6350"/>
    <w:rsid w:val="00FC658E"/>
    <w:rsid w:val="00FC672E"/>
    <w:rsid w:val="00FC69AA"/>
    <w:rsid w:val="00FC6AD9"/>
    <w:rsid w:val="00FC6D84"/>
    <w:rsid w:val="00FC6DAD"/>
    <w:rsid w:val="00FC6F0D"/>
    <w:rsid w:val="00FC7393"/>
    <w:rsid w:val="00FC7597"/>
    <w:rsid w:val="00FC76BB"/>
    <w:rsid w:val="00FC784B"/>
    <w:rsid w:val="00FC78B9"/>
    <w:rsid w:val="00FC7A32"/>
    <w:rsid w:val="00FC7A87"/>
    <w:rsid w:val="00FC7B4E"/>
    <w:rsid w:val="00FC7C65"/>
    <w:rsid w:val="00FC7EC2"/>
    <w:rsid w:val="00FC7FEF"/>
    <w:rsid w:val="00FD007C"/>
    <w:rsid w:val="00FD009D"/>
    <w:rsid w:val="00FD00B8"/>
    <w:rsid w:val="00FD0101"/>
    <w:rsid w:val="00FD02C5"/>
    <w:rsid w:val="00FD0450"/>
    <w:rsid w:val="00FD04AB"/>
    <w:rsid w:val="00FD058B"/>
    <w:rsid w:val="00FD061C"/>
    <w:rsid w:val="00FD073D"/>
    <w:rsid w:val="00FD0773"/>
    <w:rsid w:val="00FD0916"/>
    <w:rsid w:val="00FD0A47"/>
    <w:rsid w:val="00FD0B02"/>
    <w:rsid w:val="00FD0C5E"/>
    <w:rsid w:val="00FD0C98"/>
    <w:rsid w:val="00FD0D9F"/>
    <w:rsid w:val="00FD0EBC"/>
    <w:rsid w:val="00FD110D"/>
    <w:rsid w:val="00FD114B"/>
    <w:rsid w:val="00FD11D5"/>
    <w:rsid w:val="00FD131E"/>
    <w:rsid w:val="00FD1396"/>
    <w:rsid w:val="00FD13C0"/>
    <w:rsid w:val="00FD142D"/>
    <w:rsid w:val="00FD143D"/>
    <w:rsid w:val="00FD16A8"/>
    <w:rsid w:val="00FD1729"/>
    <w:rsid w:val="00FD1786"/>
    <w:rsid w:val="00FD186F"/>
    <w:rsid w:val="00FD19A6"/>
    <w:rsid w:val="00FD1A9D"/>
    <w:rsid w:val="00FD1B1A"/>
    <w:rsid w:val="00FD1B21"/>
    <w:rsid w:val="00FD1BC5"/>
    <w:rsid w:val="00FD1D50"/>
    <w:rsid w:val="00FD1D78"/>
    <w:rsid w:val="00FD1E5F"/>
    <w:rsid w:val="00FD213B"/>
    <w:rsid w:val="00FD2155"/>
    <w:rsid w:val="00FD21F2"/>
    <w:rsid w:val="00FD2232"/>
    <w:rsid w:val="00FD227E"/>
    <w:rsid w:val="00FD2481"/>
    <w:rsid w:val="00FD2701"/>
    <w:rsid w:val="00FD2894"/>
    <w:rsid w:val="00FD29CC"/>
    <w:rsid w:val="00FD2AD7"/>
    <w:rsid w:val="00FD2B54"/>
    <w:rsid w:val="00FD2B5F"/>
    <w:rsid w:val="00FD2CB2"/>
    <w:rsid w:val="00FD2D26"/>
    <w:rsid w:val="00FD3078"/>
    <w:rsid w:val="00FD30D8"/>
    <w:rsid w:val="00FD3204"/>
    <w:rsid w:val="00FD333B"/>
    <w:rsid w:val="00FD3436"/>
    <w:rsid w:val="00FD34CA"/>
    <w:rsid w:val="00FD34E3"/>
    <w:rsid w:val="00FD35A3"/>
    <w:rsid w:val="00FD35F1"/>
    <w:rsid w:val="00FD3681"/>
    <w:rsid w:val="00FD3691"/>
    <w:rsid w:val="00FD36DE"/>
    <w:rsid w:val="00FD379E"/>
    <w:rsid w:val="00FD38E9"/>
    <w:rsid w:val="00FD39A0"/>
    <w:rsid w:val="00FD3AA7"/>
    <w:rsid w:val="00FD3B2D"/>
    <w:rsid w:val="00FD3E71"/>
    <w:rsid w:val="00FD3F8D"/>
    <w:rsid w:val="00FD4166"/>
    <w:rsid w:val="00FD41A1"/>
    <w:rsid w:val="00FD41A2"/>
    <w:rsid w:val="00FD4286"/>
    <w:rsid w:val="00FD45DE"/>
    <w:rsid w:val="00FD4686"/>
    <w:rsid w:val="00FD4B13"/>
    <w:rsid w:val="00FD4F61"/>
    <w:rsid w:val="00FD4F8D"/>
    <w:rsid w:val="00FD50B7"/>
    <w:rsid w:val="00FD5391"/>
    <w:rsid w:val="00FD5427"/>
    <w:rsid w:val="00FD5533"/>
    <w:rsid w:val="00FD554D"/>
    <w:rsid w:val="00FD556E"/>
    <w:rsid w:val="00FD5626"/>
    <w:rsid w:val="00FD5748"/>
    <w:rsid w:val="00FD599B"/>
    <w:rsid w:val="00FD5A65"/>
    <w:rsid w:val="00FD5D49"/>
    <w:rsid w:val="00FD5DAA"/>
    <w:rsid w:val="00FD5DE2"/>
    <w:rsid w:val="00FD5FB7"/>
    <w:rsid w:val="00FD6149"/>
    <w:rsid w:val="00FD6192"/>
    <w:rsid w:val="00FD64A7"/>
    <w:rsid w:val="00FD64BE"/>
    <w:rsid w:val="00FD6669"/>
    <w:rsid w:val="00FD66AE"/>
    <w:rsid w:val="00FD66D7"/>
    <w:rsid w:val="00FD691A"/>
    <w:rsid w:val="00FD6A79"/>
    <w:rsid w:val="00FD6E90"/>
    <w:rsid w:val="00FD702F"/>
    <w:rsid w:val="00FD704D"/>
    <w:rsid w:val="00FD7142"/>
    <w:rsid w:val="00FD717E"/>
    <w:rsid w:val="00FD7329"/>
    <w:rsid w:val="00FD7392"/>
    <w:rsid w:val="00FD7518"/>
    <w:rsid w:val="00FD7573"/>
    <w:rsid w:val="00FD75FA"/>
    <w:rsid w:val="00FD772A"/>
    <w:rsid w:val="00FD7E16"/>
    <w:rsid w:val="00FD7FD0"/>
    <w:rsid w:val="00FD7FE7"/>
    <w:rsid w:val="00FE0204"/>
    <w:rsid w:val="00FE0240"/>
    <w:rsid w:val="00FE036A"/>
    <w:rsid w:val="00FE04D9"/>
    <w:rsid w:val="00FE0785"/>
    <w:rsid w:val="00FE0963"/>
    <w:rsid w:val="00FE0A72"/>
    <w:rsid w:val="00FE0CF6"/>
    <w:rsid w:val="00FE0D17"/>
    <w:rsid w:val="00FE0EAB"/>
    <w:rsid w:val="00FE0F00"/>
    <w:rsid w:val="00FE11B7"/>
    <w:rsid w:val="00FE1302"/>
    <w:rsid w:val="00FE1416"/>
    <w:rsid w:val="00FE1424"/>
    <w:rsid w:val="00FE142A"/>
    <w:rsid w:val="00FE1675"/>
    <w:rsid w:val="00FE192B"/>
    <w:rsid w:val="00FE1ACA"/>
    <w:rsid w:val="00FE1AD4"/>
    <w:rsid w:val="00FE1AF2"/>
    <w:rsid w:val="00FE214E"/>
    <w:rsid w:val="00FE2224"/>
    <w:rsid w:val="00FE23A3"/>
    <w:rsid w:val="00FE25B2"/>
    <w:rsid w:val="00FE27D9"/>
    <w:rsid w:val="00FE291B"/>
    <w:rsid w:val="00FE2CAF"/>
    <w:rsid w:val="00FE2CF1"/>
    <w:rsid w:val="00FE2D9D"/>
    <w:rsid w:val="00FE2F95"/>
    <w:rsid w:val="00FE304C"/>
    <w:rsid w:val="00FE30E5"/>
    <w:rsid w:val="00FE30E8"/>
    <w:rsid w:val="00FE312C"/>
    <w:rsid w:val="00FE322F"/>
    <w:rsid w:val="00FE3340"/>
    <w:rsid w:val="00FE33C3"/>
    <w:rsid w:val="00FE3783"/>
    <w:rsid w:val="00FE3A63"/>
    <w:rsid w:val="00FE3AAB"/>
    <w:rsid w:val="00FE3E67"/>
    <w:rsid w:val="00FE3F54"/>
    <w:rsid w:val="00FE3FFD"/>
    <w:rsid w:val="00FE4068"/>
    <w:rsid w:val="00FE4309"/>
    <w:rsid w:val="00FE444B"/>
    <w:rsid w:val="00FE4468"/>
    <w:rsid w:val="00FE46DF"/>
    <w:rsid w:val="00FE4887"/>
    <w:rsid w:val="00FE49F8"/>
    <w:rsid w:val="00FE4A42"/>
    <w:rsid w:val="00FE4AE2"/>
    <w:rsid w:val="00FE4B82"/>
    <w:rsid w:val="00FE4D4F"/>
    <w:rsid w:val="00FE50F8"/>
    <w:rsid w:val="00FE547F"/>
    <w:rsid w:val="00FE5551"/>
    <w:rsid w:val="00FE55C0"/>
    <w:rsid w:val="00FE56F3"/>
    <w:rsid w:val="00FE5701"/>
    <w:rsid w:val="00FE5716"/>
    <w:rsid w:val="00FE575D"/>
    <w:rsid w:val="00FE57B8"/>
    <w:rsid w:val="00FE59B9"/>
    <w:rsid w:val="00FE5A72"/>
    <w:rsid w:val="00FE5C30"/>
    <w:rsid w:val="00FE5D61"/>
    <w:rsid w:val="00FE604B"/>
    <w:rsid w:val="00FE62CF"/>
    <w:rsid w:val="00FE6370"/>
    <w:rsid w:val="00FE6438"/>
    <w:rsid w:val="00FE64A4"/>
    <w:rsid w:val="00FE657C"/>
    <w:rsid w:val="00FE6A8E"/>
    <w:rsid w:val="00FE6B95"/>
    <w:rsid w:val="00FE6C96"/>
    <w:rsid w:val="00FE6D81"/>
    <w:rsid w:val="00FE6E47"/>
    <w:rsid w:val="00FE6E4F"/>
    <w:rsid w:val="00FE6EB4"/>
    <w:rsid w:val="00FE70CF"/>
    <w:rsid w:val="00FE70DC"/>
    <w:rsid w:val="00FE7188"/>
    <w:rsid w:val="00FE72EE"/>
    <w:rsid w:val="00FE75AB"/>
    <w:rsid w:val="00FE7733"/>
    <w:rsid w:val="00FE78BC"/>
    <w:rsid w:val="00FE7A64"/>
    <w:rsid w:val="00FE7CE1"/>
    <w:rsid w:val="00FE7D11"/>
    <w:rsid w:val="00FE7D6B"/>
    <w:rsid w:val="00FE7FD8"/>
    <w:rsid w:val="00FE7FE9"/>
    <w:rsid w:val="00FE7FF7"/>
    <w:rsid w:val="00FF007B"/>
    <w:rsid w:val="00FF00BF"/>
    <w:rsid w:val="00FF0100"/>
    <w:rsid w:val="00FF0111"/>
    <w:rsid w:val="00FF02DA"/>
    <w:rsid w:val="00FF0362"/>
    <w:rsid w:val="00FF0451"/>
    <w:rsid w:val="00FF051A"/>
    <w:rsid w:val="00FF0566"/>
    <w:rsid w:val="00FF0581"/>
    <w:rsid w:val="00FF06A8"/>
    <w:rsid w:val="00FF072A"/>
    <w:rsid w:val="00FF0A01"/>
    <w:rsid w:val="00FF0A68"/>
    <w:rsid w:val="00FF0BEB"/>
    <w:rsid w:val="00FF0D55"/>
    <w:rsid w:val="00FF10E3"/>
    <w:rsid w:val="00FF12B0"/>
    <w:rsid w:val="00FF1450"/>
    <w:rsid w:val="00FF1804"/>
    <w:rsid w:val="00FF1870"/>
    <w:rsid w:val="00FF18BC"/>
    <w:rsid w:val="00FF1975"/>
    <w:rsid w:val="00FF19D2"/>
    <w:rsid w:val="00FF1AAD"/>
    <w:rsid w:val="00FF1E56"/>
    <w:rsid w:val="00FF1ECF"/>
    <w:rsid w:val="00FF1F76"/>
    <w:rsid w:val="00FF1F79"/>
    <w:rsid w:val="00FF20B9"/>
    <w:rsid w:val="00FF20FA"/>
    <w:rsid w:val="00FF2155"/>
    <w:rsid w:val="00FF23F8"/>
    <w:rsid w:val="00FF2427"/>
    <w:rsid w:val="00FF248F"/>
    <w:rsid w:val="00FF25D8"/>
    <w:rsid w:val="00FF2664"/>
    <w:rsid w:val="00FF2761"/>
    <w:rsid w:val="00FF2825"/>
    <w:rsid w:val="00FF2ADE"/>
    <w:rsid w:val="00FF2BA5"/>
    <w:rsid w:val="00FF2CA0"/>
    <w:rsid w:val="00FF2DD6"/>
    <w:rsid w:val="00FF2E6F"/>
    <w:rsid w:val="00FF2F38"/>
    <w:rsid w:val="00FF2FD7"/>
    <w:rsid w:val="00FF3068"/>
    <w:rsid w:val="00FF30B2"/>
    <w:rsid w:val="00FF334C"/>
    <w:rsid w:val="00FF35BC"/>
    <w:rsid w:val="00FF3652"/>
    <w:rsid w:val="00FF369F"/>
    <w:rsid w:val="00FF3857"/>
    <w:rsid w:val="00FF396E"/>
    <w:rsid w:val="00FF3AB5"/>
    <w:rsid w:val="00FF3AB6"/>
    <w:rsid w:val="00FF3B23"/>
    <w:rsid w:val="00FF3BD7"/>
    <w:rsid w:val="00FF3C50"/>
    <w:rsid w:val="00FF3E7E"/>
    <w:rsid w:val="00FF3FA6"/>
    <w:rsid w:val="00FF401B"/>
    <w:rsid w:val="00FF403F"/>
    <w:rsid w:val="00FF4160"/>
    <w:rsid w:val="00FF421F"/>
    <w:rsid w:val="00FF4391"/>
    <w:rsid w:val="00FF446C"/>
    <w:rsid w:val="00FF4562"/>
    <w:rsid w:val="00FF45E7"/>
    <w:rsid w:val="00FF468B"/>
    <w:rsid w:val="00FF4697"/>
    <w:rsid w:val="00FF470B"/>
    <w:rsid w:val="00FF4AF4"/>
    <w:rsid w:val="00FF4C1C"/>
    <w:rsid w:val="00FF4C2E"/>
    <w:rsid w:val="00FF4C68"/>
    <w:rsid w:val="00FF4D2C"/>
    <w:rsid w:val="00FF4D53"/>
    <w:rsid w:val="00FF4D7B"/>
    <w:rsid w:val="00FF4D80"/>
    <w:rsid w:val="00FF4D86"/>
    <w:rsid w:val="00FF4FA6"/>
    <w:rsid w:val="00FF505D"/>
    <w:rsid w:val="00FF50D8"/>
    <w:rsid w:val="00FF50EF"/>
    <w:rsid w:val="00FF50FB"/>
    <w:rsid w:val="00FF5104"/>
    <w:rsid w:val="00FF511F"/>
    <w:rsid w:val="00FF5245"/>
    <w:rsid w:val="00FF5381"/>
    <w:rsid w:val="00FF544B"/>
    <w:rsid w:val="00FF55D6"/>
    <w:rsid w:val="00FF5A7D"/>
    <w:rsid w:val="00FF5A89"/>
    <w:rsid w:val="00FF5B7B"/>
    <w:rsid w:val="00FF5B7D"/>
    <w:rsid w:val="00FF5C4F"/>
    <w:rsid w:val="00FF5C73"/>
    <w:rsid w:val="00FF5CA1"/>
    <w:rsid w:val="00FF5EAC"/>
    <w:rsid w:val="00FF5EE9"/>
    <w:rsid w:val="00FF61A9"/>
    <w:rsid w:val="00FF6266"/>
    <w:rsid w:val="00FF62F6"/>
    <w:rsid w:val="00FF6481"/>
    <w:rsid w:val="00FF6648"/>
    <w:rsid w:val="00FF668E"/>
    <w:rsid w:val="00FF67FF"/>
    <w:rsid w:val="00FF6800"/>
    <w:rsid w:val="00FF686A"/>
    <w:rsid w:val="00FF693F"/>
    <w:rsid w:val="00FF6A3E"/>
    <w:rsid w:val="00FF6B4B"/>
    <w:rsid w:val="00FF6CD5"/>
    <w:rsid w:val="00FF6F15"/>
    <w:rsid w:val="00FF706D"/>
    <w:rsid w:val="00FF74B3"/>
    <w:rsid w:val="00FF7509"/>
    <w:rsid w:val="00FF792B"/>
    <w:rsid w:val="00FF7A8C"/>
    <w:rsid w:val="00FF7D59"/>
    <w:rsid w:val="00FF7E4F"/>
    <w:rsid w:val="012C2265"/>
    <w:rsid w:val="013F3EC0"/>
    <w:rsid w:val="01453F19"/>
    <w:rsid w:val="016039BD"/>
    <w:rsid w:val="017F8E0A"/>
    <w:rsid w:val="018DAA36"/>
    <w:rsid w:val="01942900"/>
    <w:rsid w:val="019D57AD"/>
    <w:rsid w:val="01A5B0DE"/>
    <w:rsid w:val="01A65CAD"/>
    <w:rsid w:val="01C09D59"/>
    <w:rsid w:val="01CB199A"/>
    <w:rsid w:val="01CE2E42"/>
    <w:rsid w:val="01F139DE"/>
    <w:rsid w:val="01F6B154"/>
    <w:rsid w:val="0201B7BE"/>
    <w:rsid w:val="0205C21B"/>
    <w:rsid w:val="020BFB11"/>
    <w:rsid w:val="020DDD5B"/>
    <w:rsid w:val="023684BA"/>
    <w:rsid w:val="023D8344"/>
    <w:rsid w:val="02463CCE"/>
    <w:rsid w:val="0249C063"/>
    <w:rsid w:val="024A5080"/>
    <w:rsid w:val="024D4158"/>
    <w:rsid w:val="024FA77E"/>
    <w:rsid w:val="0260987E"/>
    <w:rsid w:val="0270FFC8"/>
    <w:rsid w:val="027F8B10"/>
    <w:rsid w:val="028351B4"/>
    <w:rsid w:val="02875782"/>
    <w:rsid w:val="02892027"/>
    <w:rsid w:val="02902DBF"/>
    <w:rsid w:val="02932301"/>
    <w:rsid w:val="029827EE"/>
    <w:rsid w:val="0299F681"/>
    <w:rsid w:val="02A79605"/>
    <w:rsid w:val="02AE0A10"/>
    <w:rsid w:val="02C043FD"/>
    <w:rsid w:val="02D4633A"/>
    <w:rsid w:val="02DA9CD7"/>
    <w:rsid w:val="02DAFCBE"/>
    <w:rsid w:val="02DF233F"/>
    <w:rsid w:val="030C5043"/>
    <w:rsid w:val="0311AFF4"/>
    <w:rsid w:val="0314DB5F"/>
    <w:rsid w:val="031658C1"/>
    <w:rsid w:val="0328C7BC"/>
    <w:rsid w:val="033961C1"/>
    <w:rsid w:val="034537E9"/>
    <w:rsid w:val="03544F7F"/>
    <w:rsid w:val="0354E107"/>
    <w:rsid w:val="03555124"/>
    <w:rsid w:val="0365BF1C"/>
    <w:rsid w:val="036E8534"/>
    <w:rsid w:val="0376BB67"/>
    <w:rsid w:val="037D6D2A"/>
    <w:rsid w:val="0384BE65"/>
    <w:rsid w:val="038E86F8"/>
    <w:rsid w:val="03A017A0"/>
    <w:rsid w:val="03A4366D"/>
    <w:rsid w:val="03AD4BDD"/>
    <w:rsid w:val="03ADF8AF"/>
    <w:rsid w:val="03B0876D"/>
    <w:rsid w:val="03BF0FB8"/>
    <w:rsid w:val="03F27737"/>
    <w:rsid w:val="03FB4269"/>
    <w:rsid w:val="03FFF570"/>
    <w:rsid w:val="0400C620"/>
    <w:rsid w:val="0402311F"/>
    <w:rsid w:val="04060068"/>
    <w:rsid w:val="04077C67"/>
    <w:rsid w:val="040B6663"/>
    <w:rsid w:val="04220773"/>
    <w:rsid w:val="04302622"/>
    <w:rsid w:val="043F5522"/>
    <w:rsid w:val="044E5901"/>
    <w:rsid w:val="045251E7"/>
    <w:rsid w:val="0458B8C7"/>
    <w:rsid w:val="04735E4E"/>
    <w:rsid w:val="0480A3AC"/>
    <w:rsid w:val="048323CB"/>
    <w:rsid w:val="0492746E"/>
    <w:rsid w:val="049F9A74"/>
    <w:rsid w:val="04A18BDF"/>
    <w:rsid w:val="04B816E6"/>
    <w:rsid w:val="04BA8793"/>
    <w:rsid w:val="04D1FE6C"/>
    <w:rsid w:val="04DF170D"/>
    <w:rsid w:val="04F15281"/>
    <w:rsid w:val="04F2184D"/>
    <w:rsid w:val="04FDE833"/>
    <w:rsid w:val="04FFDF53"/>
    <w:rsid w:val="050150C0"/>
    <w:rsid w:val="050200A5"/>
    <w:rsid w:val="05150892"/>
    <w:rsid w:val="05165F1A"/>
    <w:rsid w:val="051C38F0"/>
    <w:rsid w:val="0529EE52"/>
    <w:rsid w:val="052B4FC8"/>
    <w:rsid w:val="052EDE30"/>
    <w:rsid w:val="0537DA92"/>
    <w:rsid w:val="053CF545"/>
    <w:rsid w:val="0545B209"/>
    <w:rsid w:val="0548C9E3"/>
    <w:rsid w:val="05498261"/>
    <w:rsid w:val="054A2259"/>
    <w:rsid w:val="058D910F"/>
    <w:rsid w:val="058E9121"/>
    <w:rsid w:val="0595FA33"/>
    <w:rsid w:val="0596633A"/>
    <w:rsid w:val="05AFDB65"/>
    <w:rsid w:val="05C45693"/>
    <w:rsid w:val="05CB7DE6"/>
    <w:rsid w:val="05CFF6B3"/>
    <w:rsid w:val="05D7C3CD"/>
    <w:rsid w:val="05DDAD7B"/>
    <w:rsid w:val="05DE9CC7"/>
    <w:rsid w:val="05EC649E"/>
    <w:rsid w:val="060CDA94"/>
    <w:rsid w:val="061F560F"/>
    <w:rsid w:val="06252196"/>
    <w:rsid w:val="06303DCC"/>
    <w:rsid w:val="06457A49"/>
    <w:rsid w:val="065206A8"/>
    <w:rsid w:val="065253C1"/>
    <w:rsid w:val="0655C758"/>
    <w:rsid w:val="0655FA53"/>
    <w:rsid w:val="065789CF"/>
    <w:rsid w:val="065EE81B"/>
    <w:rsid w:val="0660592C"/>
    <w:rsid w:val="0664706F"/>
    <w:rsid w:val="066ADA60"/>
    <w:rsid w:val="066D831E"/>
    <w:rsid w:val="06796AF5"/>
    <w:rsid w:val="0682F395"/>
    <w:rsid w:val="06855E89"/>
    <w:rsid w:val="068BB564"/>
    <w:rsid w:val="069710AE"/>
    <w:rsid w:val="069BFD5A"/>
    <w:rsid w:val="069E2BB4"/>
    <w:rsid w:val="069F6D72"/>
    <w:rsid w:val="06A4CE87"/>
    <w:rsid w:val="06D0C113"/>
    <w:rsid w:val="06D90794"/>
    <w:rsid w:val="06DA6E9A"/>
    <w:rsid w:val="06E1C2A0"/>
    <w:rsid w:val="06E4F78E"/>
    <w:rsid w:val="06E70C0A"/>
    <w:rsid w:val="07078E74"/>
    <w:rsid w:val="070ACB87"/>
    <w:rsid w:val="0718C94B"/>
    <w:rsid w:val="0729E736"/>
    <w:rsid w:val="072AE262"/>
    <w:rsid w:val="0735EFC5"/>
    <w:rsid w:val="073D3DE7"/>
    <w:rsid w:val="078B6997"/>
    <w:rsid w:val="078BA722"/>
    <w:rsid w:val="07922F6F"/>
    <w:rsid w:val="07A24FB8"/>
    <w:rsid w:val="07AFBC5F"/>
    <w:rsid w:val="07BB81F4"/>
    <w:rsid w:val="07C5FCC2"/>
    <w:rsid w:val="07D9E22A"/>
    <w:rsid w:val="07DCEEB7"/>
    <w:rsid w:val="07F45CD3"/>
    <w:rsid w:val="080827D8"/>
    <w:rsid w:val="0814F1A5"/>
    <w:rsid w:val="08192ED2"/>
    <w:rsid w:val="08222AAA"/>
    <w:rsid w:val="08231FB7"/>
    <w:rsid w:val="083C3B42"/>
    <w:rsid w:val="084DD3DB"/>
    <w:rsid w:val="084F36B8"/>
    <w:rsid w:val="08528988"/>
    <w:rsid w:val="087C79D6"/>
    <w:rsid w:val="087FAFA3"/>
    <w:rsid w:val="08838A0C"/>
    <w:rsid w:val="0885E941"/>
    <w:rsid w:val="08A3E592"/>
    <w:rsid w:val="08A710DC"/>
    <w:rsid w:val="08A836C6"/>
    <w:rsid w:val="08B59A85"/>
    <w:rsid w:val="08C0749E"/>
    <w:rsid w:val="08C7D960"/>
    <w:rsid w:val="08C9F420"/>
    <w:rsid w:val="08D88605"/>
    <w:rsid w:val="08D8AE4D"/>
    <w:rsid w:val="08DD4E5C"/>
    <w:rsid w:val="08E6A021"/>
    <w:rsid w:val="08EC1404"/>
    <w:rsid w:val="08EDA37F"/>
    <w:rsid w:val="08F1CA22"/>
    <w:rsid w:val="08FACCD9"/>
    <w:rsid w:val="0907C744"/>
    <w:rsid w:val="0907C84E"/>
    <w:rsid w:val="090BA688"/>
    <w:rsid w:val="0924BFC7"/>
    <w:rsid w:val="092A7584"/>
    <w:rsid w:val="092BBB97"/>
    <w:rsid w:val="092DA312"/>
    <w:rsid w:val="0933A19E"/>
    <w:rsid w:val="0933AF77"/>
    <w:rsid w:val="09396647"/>
    <w:rsid w:val="09612F4B"/>
    <w:rsid w:val="096D226F"/>
    <w:rsid w:val="09724859"/>
    <w:rsid w:val="097A884B"/>
    <w:rsid w:val="097E023A"/>
    <w:rsid w:val="09D889A8"/>
    <w:rsid w:val="09E52B49"/>
    <w:rsid w:val="09F22CE2"/>
    <w:rsid w:val="0A110B14"/>
    <w:rsid w:val="0A21B7DD"/>
    <w:rsid w:val="0A3ED2E6"/>
    <w:rsid w:val="0A77531F"/>
    <w:rsid w:val="0A77A006"/>
    <w:rsid w:val="0A850C89"/>
    <w:rsid w:val="0A89DC2F"/>
    <w:rsid w:val="0A922C73"/>
    <w:rsid w:val="0AA02F98"/>
    <w:rsid w:val="0AB24A1E"/>
    <w:rsid w:val="0ABDBBBD"/>
    <w:rsid w:val="0AC3865E"/>
    <w:rsid w:val="0ACA5274"/>
    <w:rsid w:val="0AD42986"/>
    <w:rsid w:val="0ADB9E1D"/>
    <w:rsid w:val="0ADFCC97"/>
    <w:rsid w:val="0AE65A88"/>
    <w:rsid w:val="0AE66E3B"/>
    <w:rsid w:val="0AEECACD"/>
    <w:rsid w:val="0AEFAD60"/>
    <w:rsid w:val="0AF66FE9"/>
    <w:rsid w:val="0B0114D9"/>
    <w:rsid w:val="0B077299"/>
    <w:rsid w:val="0B10F9B2"/>
    <w:rsid w:val="0B245091"/>
    <w:rsid w:val="0B384CC3"/>
    <w:rsid w:val="0B45A999"/>
    <w:rsid w:val="0B5A42D7"/>
    <w:rsid w:val="0B65768C"/>
    <w:rsid w:val="0B6B7F65"/>
    <w:rsid w:val="0B776597"/>
    <w:rsid w:val="0B7DA2CA"/>
    <w:rsid w:val="0B876FF5"/>
    <w:rsid w:val="0B901485"/>
    <w:rsid w:val="0B9163C8"/>
    <w:rsid w:val="0B91F7D9"/>
    <w:rsid w:val="0BA60181"/>
    <w:rsid w:val="0BA7BE69"/>
    <w:rsid w:val="0BC80B23"/>
    <w:rsid w:val="0BE0B949"/>
    <w:rsid w:val="0BEE52F3"/>
    <w:rsid w:val="0C0338E9"/>
    <w:rsid w:val="0C03F49D"/>
    <w:rsid w:val="0C114263"/>
    <w:rsid w:val="0C121258"/>
    <w:rsid w:val="0C22ECC0"/>
    <w:rsid w:val="0C28DBF4"/>
    <w:rsid w:val="0C2A79B2"/>
    <w:rsid w:val="0C3CFFA3"/>
    <w:rsid w:val="0C4D6CA6"/>
    <w:rsid w:val="0C52CB0B"/>
    <w:rsid w:val="0C5A0A59"/>
    <w:rsid w:val="0C8FD08A"/>
    <w:rsid w:val="0C954374"/>
    <w:rsid w:val="0C9ED97F"/>
    <w:rsid w:val="0CA0D703"/>
    <w:rsid w:val="0CA5DAED"/>
    <w:rsid w:val="0CA74A48"/>
    <w:rsid w:val="0CAC61C6"/>
    <w:rsid w:val="0CB76369"/>
    <w:rsid w:val="0CBE2F20"/>
    <w:rsid w:val="0CCD40CB"/>
    <w:rsid w:val="0CD80828"/>
    <w:rsid w:val="0CDA5DA5"/>
    <w:rsid w:val="0CED498F"/>
    <w:rsid w:val="0CEE1A43"/>
    <w:rsid w:val="0CF01D9E"/>
    <w:rsid w:val="0CF1629D"/>
    <w:rsid w:val="0CF3CE48"/>
    <w:rsid w:val="0D0F6BAC"/>
    <w:rsid w:val="0D390ED7"/>
    <w:rsid w:val="0D49103D"/>
    <w:rsid w:val="0D4CED77"/>
    <w:rsid w:val="0D5BB5BB"/>
    <w:rsid w:val="0D6C8DB7"/>
    <w:rsid w:val="0D6EEC04"/>
    <w:rsid w:val="0D71DF5A"/>
    <w:rsid w:val="0D743848"/>
    <w:rsid w:val="0D7C0158"/>
    <w:rsid w:val="0D8157F6"/>
    <w:rsid w:val="0DB1F318"/>
    <w:rsid w:val="0DB68353"/>
    <w:rsid w:val="0DC5CA4B"/>
    <w:rsid w:val="0DEF9F03"/>
    <w:rsid w:val="0E17822F"/>
    <w:rsid w:val="0E1B4E0A"/>
    <w:rsid w:val="0E1D3621"/>
    <w:rsid w:val="0E2295A4"/>
    <w:rsid w:val="0E4160FF"/>
    <w:rsid w:val="0E490470"/>
    <w:rsid w:val="0E4EB011"/>
    <w:rsid w:val="0E61FABC"/>
    <w:rsid w:val="0E62C9DA"/>
    <w:rsid w:val="0E651412"/>
    <w:rsid w:val="0E8B9CF4"/>
    <w:rsid w:val="0E929E58"/>
    <w:rsid w:val="0EAA1D0F"/>
    <w:rsid w:val="0EC3AA2A"/>
    <w:rsid w:val="0EC809D9"/>
    <w:rsid w:val="0ECB6D71"/>
    <w:rsid w:val="0ECF49C3"/>
    <w:rsid w:val="0EE07585"/>
    <w:rsid w:val="0EE74FBF"/>
    <w:rsid w:val="0EEC9157"/>
    <w:rsid w:val="0EECB068"/>
    <w:rsid w:val="0EEF933E"/>
    <w:rsid w:val="0F05857D"/>
    <w:rsid w:val="0F167D8E"/>
    <w:rsid w:val="0F207967"/>
    <w:rsid w:val="0F31B0D7"/>
    <w:rsid w:val="0F348AF6"/>
    <w:rsid w:val="0F3FB568"/>
    <w:rsid w:val="0F4171E9"/>
    <w:rsid w:val="0F4697D9"/>
    <w:rsid w:val="0F544164"/>
    <w:rsid w:val="0F61FD52"/>
    <w:rsid w:val="0F692E48"/>
    <w:rsid w:val="0F86F108"/>
    <w:rsid w:val="0F955486"/>
    <w:rsid w:val="0FAA39B6"/>
    <w:rsid w:val="0FD6B9D4"/>
    <w:rsid w:val="0FDFACCD"/>
    <w:rsid w:val="0FE01B85"/>
    <w:rsid w:val="0FE5985F"/>
    <w:rsid w:val="100053CF"/>
    <w:rsid w:val="10007369"/>
    <w:rsid w:val="100E7556"/>
    <w:rsid w:val="100FD80A"/>
    <w:rsid w:val="10112BA0"/>
    <w:rsid w:val="1011783E"/>
    <w:rsid w:val="101D4815"/>
    <w:rsid w:val="10200031"/>
    <w:rsid w:val="1027210F"/>
    <w:rsid w:val="1028DA89"/>
    <w:rsid w:val="10345835"/>
    <w:rsid w:val="10353B6A"/>
    <w:rsid w:val="10477D67"/>
    <w:rsid w:val="104F417D"/>
    <w:rsid w:val="1052891D"/>
    <w:rsid w:val="1056AEFE"/>
    <w:rsid w:val="105AE8DB"/>
    <w:rsid w:val="105DACD9"/>
    <w:rsid w:val="107783AE"/>
    <w:rsid w:val="108942D7"/>
    <w:rsid w:val="1097310F"/>
    <w:rsid w:val="109891EA"/>
    <w:rsid w:val="109AE350"/>
    <w:rsid w:val="109B4A6C"/>
    <w:rsid w:val="10A39634"/>
    <w:rsid w:val="10A8DF26"/>
    <w:rsid w:val="10B9A5BF"/>
    <w:rsid w:val="10BB7D7A"/>
    <w:rsid w:val="10BD5483"/>
    <w:rsid w:val="10C2FA53"/>
    <w:rsid w:val="10CFD03F"/>
    <w:rsid w:val="10DBE1D5"/>
    <w:rsid w:val="10E9BE3C"/>
    <w:rsid w:val="10FA90F4"/>
    <w:rsid w:val="10FBF754"/>
    <w:rsid w:val="112A3210"/>
    <w:rsid w:val="112C0DC4"/>
    <w:rsid w:val="112D9B61"/>
    <w:rsid w:val="1147F612"/>
    <w:rsid w:val="11489445"/>
    <w:rsid w:val="115D8BC0"/>
    <w:rsid w:val="1168F19B"/>
    <w:rsid w:val="116F6A7C"/>
    <w:rsid w:val="117E3F03"/>
    <w:rsid w:val="117FBE10"/>
    <w:rsid w:val="1181B36D"/>
    <w:rsid w:val="11845AE0"/>
    <w:rsid w:val="1198AE9A"/>
    <w:rsid w:val="11AEAAFA"/>
    <w:rsid w:val="11BA0B02"/>
    <w:rsid w:val="11C8DD96"/>
    <w:rsid w:val="11CA7A95"/>
    <w:rsid w:val="11D242BE"/>
    <w:rsid w:val="11DB948D"/>
    <w:rsid w:val="11E203AB"/>
    <w:rsid w:val="11EC20E2"/>
    <w:rsid w:val="11F21C7D"/>
    <w:rsid w:val="1208345B"/>
    <w:rsid w:val="121787E3"/>
    <w:rsid w:val="121D2CDC"/>
    <w:rsid w:val="121DEEBE"/>
    <w:rsid w:val="1226F633"/>
    <w:rsid w:val="122FFFB3"/>
    <w:rsid w:val="12405737"/>
    <w:rsid w:val="125DCF8C"/>
    <w:rsid w:val="126D9781"/>
    <w:rsid w:val="127D8897"/>
    <w:rsid w:val="127E9BFA"/>
    <w:rsid w:val="128DB857"/>
    <w:rsid w:val="1299A2CA"/>
    <w:rsid w:val="129C8E5C"/>
    <w:rsid w:val="12A44426"/>
    <w:rsid w:val="12A6DA9B"/>
    <w:rsid w:val="12B73D49"/>
    <w:rsid w:val="12BA10B2"/>
    <w:rsid w:val="12C54498"/>
    <w:rsid w:val="12C6AE7C"/>
    <w:rsid w:val="12C8E9CF"/>
    <w:rsid w:val="12D2D0E8"/>
    <w:rsid w:val="12D7A529"/>
    <w:rsid w:val="12E0C151"/>
    <w:rsid w:val="12E30BF0"/>
    <w:rsid w:val="12F14663"/>
    <w:rsid w:val="12F63B1C"/>
    <w:rsid w:val="13064EB5"/>
    <w:rsid w:val="131BCDF8"/>
    <w:rsid w:val="13218FA0"/>
    <w:rsid w:val="1329A66C"/>
    <w:rsid w:val="132D67C4"/>
    <w:rsid w:val="1340011F"/>
    <w:rsid w:val="134B4B58"/>
    <w:rsid w:val="13594585"/>
    <w:rsid w:val="136C417A"/>
    <w:rsid w:val="138DEE8D"/>
    <w:rsid w:val="13A6EDF9"/>
    <w:rsid w:val="13B80166"/>
    <w:rsid w:val="13BCA892"/>
    <w:rsid w:val="13C00F8F"/>
    <w:rsid w:val="13D92CEC"/>
    <w:rsid w:val="13E24082"/>
    <w:rsid w:val="13F1337D"/>
    <w:rsid w:val="13F9EC69"/>
    <w:rsid w:val="1410C7BF"/>
    <w:rsid w:val="142977CC"/>
    <w:rsid w:val="142AD94A"/>
    <w:rsid w:val="142BF8C3"/>
    <w:rsid w:val="1431B20C"/>
    <w:rsid w:val="1434DA4C"/>
    <w:rsid w:val="143790CE"/>
    <w:rsid w:val="143BDF1A"/>
    <w:rsid w:val="143EB64A"/>
    <w:rsid w:val="143F1BBF"/>
    <w:rsid w:val="14496DF3"/>
    <w:rsid w:val="144C51A2"/>
    <w:rsid w:val="145B4A47"/>
    <w:rsid w:val="145F79DD"/>
    <w:rsid w:val="1464D4D4"/>
    <w:rsid w:val="147A5377"/>
    <w:rsid w:val="147E30B1"/>
    <w:rsid w:val="147E63DA"/>
    <w:rsid w:val="14952A71"/>
    <w:rsid w:val="149E0CF2"/>
    <w:rsid w:val="14A1CAEB"/>
    <w:rsid w:val="14B6FAA8"/>
    <w:rsid w:val="14B86442"/>
    <w:rsid w:val="14B8EB81"/>
    <w:rsid w:val="14B961A4"/>
    <w:rsid w:val="14C1ABE1"/>
    <w:rsid w:val="14D07104"/>
    <w:rsid w:val="14D8D9FF"/>
    <w:rsid w:val="14DA74AA"/>
    <w:rsid w:val="14DBC03F"/>
    <w:rsid w:val="14F2BBA4"/>
    <w:rsid w:val="150AC0AE"/>
    <w:rsid w:val="150F1B26"/>
    <w:rsid w:val="1513DF0D"/>
    <w:rsid w:val="1523830B"/>
    <w:rsid w:val="152B7692"/>
    <w:rsid w:val="152BE79F"/>
    <w:rsid w:val="152CA2C7"/>
    <w:rsid w:val="152FA5A3"/>
    <w:rsid w:val="152FD4BC"/>
    <w:rsid w:val="1538BCEE"/>
    <w:rsid w:val="153F82B4"/>
    <w:rsid w:val="1551DB5F"/>
    <w:rsid w:val="1554E1B9"/>
    <w:rsid w:val="1568D313"/>
    <w:rsid w:val="15744A89"/>
    <w:rsid w:val="1575A05A"/>
    <w:rsid w:val="15A1991D"/>
    <w:rsid w:val="15A8F605"/>
    <w:rsid w:val="15AE6599"/>
    <w:rsid w:val="15B370CA"/>
    <w:rsid w:val="15BBABFB"/>
    <w:rsid w:val="15C1410A"/>
    <w:rsid w:val="15D4FFE3"/>
    <w:rsid w:val="15EE6467"/>
    <w:rsid w:val="1621D005"/>
    <w:rsid w:val="16264DE0"/>
    <w:rsid w:val="16531378"/>
    <w:rsid w:val="165B1D29"/>
    <w:rsid w:val="166FF4EB"/>
    <w:rsid w:val="16722CAF"/>
    <w:rsid w:val="16732B36"/>
    <w:rsid w:val="168EF6CE"/>
    <w:rsid w:val="16949504"/>
    <w:rsid w:val="16992E07"/>
    <w:rsid w:val="16994B28"/>
    <w:rsid w:val="16AB7A29"/>
    <w:rsid w:val="16C46D95"/>
    <w:rsid w:val="16C9F0C7"/>
    <w:rsid w:val="16D5D277"/>
    <w:rsid w:val="16DAC1DC"/>
    <w:rsid w:val="16E31BA5"/>
    <w:rsid w:val="16F24837"/>
    <w:rsid w:val="16FCBAAF"/>
    <w:rsid w:val="1705378A"/>
    <w:rsid w:val="170A252E"/>
    <w:rsid w:val="170F8A03"/>
    <w:rsid w:val="17109125"/>
    <w:rsid w:val="1745E617"/>
    <w:rsid w:val="174C6B09"/>
    <w:rsid w:val="17513F35"/>
    <w:rsid w:val="1780ECD1"/>
    <w:rsid w:val="178ED8FA"/>
    <w:rsid w:val="17911EC2"/>
    <w:rsid w:val="17A39B60"/>
    <w:rsid w:val="17A3B889"/>
    <w:rsid w:val="17A82352"/>
    <w:rsid w:val="17AB290A"/>
    <w:rsid w:val="17AD165A"/>
    <w:rsid w:val="17C7E930"/>
    <w:rsid w:val="17CBCBC5"/>
    <w:rsid w:val="17EBCCEC"/>
    <w:rsid w:val="180EA2B4"/>
    <w:rsid w:val="180F6B7A"/>
    <w:rsid w:val="1815B9E5"/>
    <w:rsid w:val="181A43A4"/>
    <w:rsid w:val="1830B816"/>
    <w:rsid w:val="1830D2DC"/>
    <w:rsid w:val="183C94AA"/>
    <w:rsid w:val="1845961A"/>
    <w:rsid w:val="18496575"/>
    <w:rsid w:val="18553D8D"/>
    <w:rsid w:val="185FA971"/>
    <w:rsid w:val="18704701"/>
    <w:rsid w:val="189194FC"/>
    <w:rsid w:val="18A61AC8"/>
    <w:rsid w:val="18B23B54"/>
    <w:rsid w:val="18C129B6"/>
    <w:rsid w:val="18C34354"/>
    <w:rsid w:val="18C88168"/>
    <w:rsid w:val="18E72AEA"/>
    <w:rsid w:val="18F8FDB9"/>
    <w:rsid w:val="18FF42DC"/>
    <w:rsid w:val="190C411A"/>
    <w:rsid w:val="192C6AEC"/>
    <w:rsid w:val="1933138C"/>
    <w:rsid w:val="193845F7"/>
    <w:rsid w:val="194FE9BF"/>
    <w:rsid w:val="19534AE7"/>
    <w:rsid w:val="195B3366"/>
    <w:rsid w:val="195D368F"/>
    <w:rsid w:val="19611BB3"/>
    <w:rsid w:val="1964B996"/>
    <w:rsid w:val="197AC5D5"/>
    <w:rsid w:val="19831D93"/>
    <w:rsid w:val="1988D285"/>
    <w:rsid w:val="198D2F7E"/>
    <w:rsid w:val="198E4382"/>
    <w:rsid w:val="1990A4BB"/>
    <w:rsid w:val="19976E04"/>
    <w:rsid w:val="19A154B9"/>
    <w:rsid w:val="19BBDE3A"/>
    <w:rsid w:val="19C4E205"/>
    <w:rsid w:val="19CA42BB"/>
    <w:rsid w:val="19CB5956"/>
    <w:rsid w:val="19D76AB0"/>
    <w:rsid w:val="19DA6C70"/>
    <w:rsid w:val="19E32E70"/>
    <w:rsid w:val="19ECAD06"/>
    <w:rsid w:val="19F0D052"/>
    <w:rsid w:val="19F335DB"/>
    <w:rsid w:val="19FDCD75"/>
    <w:rsid w:val="19FF0B1B"/>
    <w:rsid w:val="1A050409"/>
    <w:rsid w:val="1A1EDF12"/>
    <w:rsid w:val="1A28E954"/>
    <w:rsid w:val="1A3BC72A"/>
    <w:rsid w:val="1A52A470"/>
    <w:rsid w:val="1A56087E"/>
    <w:rsid w:val="1A5AB7D8"/>
    <w:rsid w:val="1A61A851"/>
    <w:rsid w:val="1A67606C"/>
    <w:rsid w:val="1A9008E3"/>
    <w:rsid w:val="1A91B6A9"/>
    <w:rsid w:val="1A9A3DAE"/>
    <w:rsid w:val="1AAE83F8"/>
    <w:rsid w:val="1AB1DAD1"/>
    <w:rsid w:val="1AB5F457"/>
    <w:rsid w:val="1AB603D9"/>
    <w:rsid w:val="1AC7312E"/>
    <w:rsid w:val="1ACCF38D"/>
    <w:rsid w:val="1AE20188"/>
    <w:rsid w:val="1AE83631"/>
    <w:rsid w:val="1AEB31AA"/>
    <w:rsid w:val="1AEC1D46"/>
    <w:rsid w:val="1AFC5DE0"/>
    <w:rsid w:val="1B1E65E9"/>
    <w:rsid w:val="1B2A3836"/>
    <w:rsid w:val="1B2D93B0"/>
    <w:rsid w:val="1B375EAB"/>
    <w:rsid w:val="1B4F69A6"/>
    <w:rsid w:val="1B4F92AE"/>
    <w:rsid w:val="1B64BC3A"/>
    <w:rsid w:val="1B73CDF0"/>
    <w:rsid w:val="1B810D6E"/>
    <w:rsid w:val="1B9E9947"/>
    <w:rsid w:val="1BAEB0EE"/>
    <w:rsid w:val="1BB9BB3C"/>
    <w:rsid w:val="1BD81B81"/>
    <w:rsid w:val="1BDFD276"/>
    <w:rsid w:val="1BE90213"/>
    <w:rsid w:val="1BF04373"/>
    <w:rsid w:val="1C0E58B1"/>
    <w:rsid w:val="1C1A5D54"/>
    <w:rsid w:val="1C2CFDDA"/>
    <w:rsid w:val="1C2D755B"/>
    <w:rsid w:val="1C342DB6"/>
    <w:rsid w:val="1C3465C7"/>
    <w:rsid w:val="1C4106E8"/>
    <w:rsid w:val="1C5A0506"/>
    <w:rsid w:val="1C635182"/>
    <w:rsid w:val="1C6513D5"/>
    <w:rsid w:val="1C71E1F4"/>
    <w:rsid w:val="1C836122"/>
    <w:rsid w:val="1C857C5B"/>
    <w:rsid w:val="1C98225C"/>
    <w:rsid w:val="1CA95838"/>
    <w:rsid w:val="1CB1A199"/>
    <w:rsid w:val="1CD44B23"/>
    <w:rsid w:val="1CDC9A22"/>
    <w:rsid w:val="1CE784BD"/>
    <w:rsid w:val="1CFA16A2"/>
    <w:rsid w:val="1D098677"/>
    <w:rsid w:val="1D2994B5"/>
    <w:rsid w:val="1D2AC3A7"/>
    <w:rsid w:val="1D306BC5"/>
    <w:rsid w:val="1D38948D"/>
    <w:rsid w:val="1D4C1598"/>
    <w:rsid w:val="1D4DB9E2"/>
    <w:rsid w:val="1D5C9397"/>
    <w:rsid w:val="1D625E61"/>
    <w:rsid w:val="1D63A9AC"/>
    <w:rsid w:val="1D644326"/>
    <w:rsid w:val="1D72F50E"/>
    <w:rsid w:val="1D7563BF"/>
    <w:rsid w:val="1D7C6C7B"/>
    <w:rsid w:val="1D7C941D"/>
    <w:rsid w:val="1D7D50FD"/>
    <w:rsid w:val="1DA0C9F3"/>
    <w:rsid w:val="1DA8035D"/>
    <w:rsid w:val="1DB1D272"/>
    <w:rsid w:val="1DB2132F"/>
    <w:rsid w:val="1DB2A346"/>
    <w:rsid w:val="1DB80358"/>
    <w:rsid w:val="1DC4D3DB"/>
    <w:rsid w:val="1DD293EC"/>
    <w:rsid w:val="1DD31D51"/>
    <w:rsid w:val="1DE01ED7"/>
    <w:rsid w:val="1DE0DF83"/>
    <w:rsid w:val="1DE81C71"/>
    <w:rsid w:val="1DE97256"/>
    <w:rsid w:val="1DF3D314"/>
    <w:rsid w:val="1E0E808F"/>
    <w:rsid w:val="1E130A15"/>
    <w:rsid w:val="1E1B0D54"/>
    <w:rsid w:val="1E224240"/>
    <w:rsid w:val="1E3B3EF4"/>
    <w:rsid w:val="1E494E4A"/>
    <w:rsid w:val="1E4ECFD6"/>
    <w:rsid w:val="1E51B329"/>
    <w:rsid w:val="1E6D378F"/>
    <w:rsid w:val="1E94738B"/>
    <w:rsid w:val="1EA0E375"/>
    <w:rsid w:val="1EE20642"/>
    <w:rsid w:val="1F0CFA4E"/>
    <w:rsid w:val="1F23F928"/>
    <w:rsid w:val="1F3B6CCF"/>
    <w:rsid w:val="1F4088CE"/>
    <w:rsid w:val="1F473A02"/>
    <w:rsid w:val="1F579CD7"/>
    <w:rsid w:val="1F5838E8"/>
    <w:rsid w:val="1F5C445A"/>
    <w:rsid w:val="1F62D598"/>
    <w:rsid w:val="1F7FD429"/>
    <w:rsid w:val="1F848613"/>
    <w:rsid w:val="1F850823"/>
    <w:rsid w:val="1FAE3D7F"/>
    <w:rsid w:val="1FBEFA89"/>
    <w:rsid w:val="1FCE4D9D"/>
    <w:rsid w:val="1FD8E4AD"/>
    <w:rsid w:val="1FE22F43"/>
    <w:rsid w:val="1FE6499D"/>
    <w:rsid w:val="1FEEA91D"/>
    <w:rsid w:val="1FF1192C"/>
    <w:rsid w:val="1FF25F17"/>
    <w:rsid w:val="1FF7033B"/>
    <w:rsid w:val="1FFD6B0C"/>
    <w:rsid w:val="2010AEC3"/>
    <w:rsid w:val="20418A0A"/>
    <w:rsid w:val="20483E76"/>
    <w:rsid w:val="204A61DD"/>
    <w:rsid w:val="20640D0E"/>
    <w:rsid w:val="206F43D0"/>
    <w:rsid w:val="20718D50"/>
    <w:rsid w:val="207A4C64"/>
    <w:rsid w:val="2082714C"/>
    <w:rsid w:val="208B8C56"/>
    <w:rsid w:val="208CC90D"/>
    <w:rsid w:val="209BACEC"/>
    <w:rsid w:val="20A10341"/>
    <w:rsid w:val="20A73C6D"/>
    <w:rsid w:val="20B36753"/>
    <w:rsid w:val="20B9BED8"/>
    <w:rsid w:val="20BF8894"/>
    <w:rsid w:val="20D7B5BA"/>
    <w:rsid w:val="20F85B18"/>
    <w:rsid w:val="211C4907"/>
    <w:rsid w:val="211D5279"/>
    <w:rsid w:val="212997DD"/>
    <w:rsid w:val="212AA53E"/>
    <w:rsid w:val="213661A2"/>
    <w:rsid w:val="2145E505"/>
    <w:rsid w:val="214DF35F"/>
    <w:rsid w:val="21500FCC"/>
    <w:rsid w:val="21521B9D"/>
    <w:rsid w:val="2166C38D"/>
    <w:rsid w:val="2167743E"/>
    <w:rsid w:val="2178EF49"/>
    <w:rsid w:val="2189A2A1"/>
    <w:rsid w:val="2199E43A"/>
    <w:rsid w:val="21A7BA36"/>
    <w:rsid w:val="21A9D60D"/>
    <w:rsid w:val="21D82E2C"/>
    <w:rsid w:val="21DF2598"/>
    <w:rsid w:val="21F2E0A8"/>
    <w:rsid w:val="221C1763"/>
    <w:rsid w:val="221C2284"/>
    <w:rsid w:val="221C2849"/>
    <w:rsid w:val="22281D59"/>
    <w:rsid w:val="223FF96A"/>
    <w:rsid w:val="2248A6FD"/>
    <w:rsid w:val="2249C989"/>
    <w:rsid w:val="225B6464"/>
    <w:rsid w:val="225D8680"/>
    <w:rsid w:val="2262807D"/>
    <w:rsid w:val="22679B66"/>
    <w:rsid w:val="2274DD4B"/>
    <w:rsid w:val="227F7222"/>
    <w:rsid w:val="2288B9B9"/>
    <w:rsid w:val="228AFE35"/>
    <w:rsid w:val="229049FD"/>
    <w:rsid w:val="22966754"/>
    <w:rsid w:val="22A68714"/>
    <w:rsid w:val="22A9AE6F"/>
    <w:rsid w:val="22B06A14"/>
    <w:rsid w:val="22C38113"/>
    <w:rsid w:val="22CEEC14"/>
    <w:rsid w:val="22D145A4"/>
    <w:rsid w:val="22D3F4FD"/>
    <w:rsid w:val="22ECDCDB"/>
    <w:rsid w:val="22F28966"/>
    <w:rsid w:val="22F51997"/>
    <w:rsid w:val="22F8374B"/>
    <w:rsid w:val="22F96607"/>
    <w:rsid w:val="23056A13"/>
    <w:rsid w:val="230CA444"/>
    <w:rsid w:val="230E8CE9"/>
    <w:rsid w:val="23114B71"/>
    <w:rsid w:val="232E93BF"/>
    <w:rsid w:val="2333EE33"/>
    <w:rsid w:val="233FB84B"/>
    <w:rsid w:val="236A84E9"/>
    <w:rsid w:val="236D8F14"/>
    <w:rsid w:val="236F0ABC"/>
    <w:rsid w:val="239CE1AF"/>
    <w:rsid w:val="23CA7BAC"/>
    <w:rsid w:val="23E89414"/>
    <w:rsid w:val="23E94B72"/>
    <w:rsid w:val="23EF16CB"/>
    <w:rsid w:val="23F3FF1E"/>
    <w:rsid w:val="23F87F0B"/>
    <w:rsid w:val="23FF58C4"/>
    <w:rsid w:val="24002DFA"/>
    <w:rsid w:val="24232AC8"/>
    <w:rsid w:val="24256BC7"/>
    <w:rsid w:val="243F939F"/>
    <w:rsid w:val="244E2F8E"/>
    <w:rsid w:val="244E331F"/>
    <w:rsid w:val="2453596C"/>
    <w:rsid w:val="2467B718"/>
    <w:rsid w:val="2478AFB6"/>
    <w:rsid w:val="24802227"/>
    <w:rsid w:val="2497D54A"/>
    <w:rsid w:val="249BD496"/>
    <w:rsid w:val="249F5B18"/>
    <w:rsid w:val="24ADFAA3"/>
    <w:rsid w:val="24AF7498"/>
    <w:rsid w:val="24B09805"/>
    <w:rsid w:val="24CE833B"/>
    <w:rsid w:val="24D69790"/>
    <w:rsid w:val="24DE9CF3"/>
    <w:rsid w:val="24EB9E50"/>
    <w:rsid w:val="25166646"/>
    <w:rsid w:val="251A948A"/>
    <w:rsid w:val="251CB279"/>
    <w:rsid w:val="25270E17"/>
    <w:rsid w:val="252A9D4C"/>
    <w:rsid w:val="2543A3CE"/>
    <w:rsid w:val="254580CD"/>
    <w:rsid w:val="2556F0A8"/>
    <w:rsid w:val="255EDD17"/>
    <w:rsid w:val="25799D8B"/>
    <w:rsid w:val="257FFA9D"/>
    <w:rsid w:val="258B8E9F"/>
    <w:rsid w:val="258D954F"/>
    <w:rsid w:val="25A92392"/>
    <w:rsid w:val="25A9F70B"/>
    <w:rsid w:val="25AC6C5D"/>
    <w:rsid w:val="25AE89E4"/>
    <w:rsid w:val="25B1B900"/>
    <w:rsid w:val="25BCEAFA"/>
    <w:rsid w:val="25C61FD1"/>
    <w:rsid w:val="25CDCDF4"/>
    <w:rsid w:val="25DC35BC"/>
    <w:rsid w:val="25DEBD47"/>
    <w:rsid w:val="26018917"/>
    <w:rsid w:val="2609D593"/>
    <w:rsid w:val="260EF06A"/>
    <w:rsid w:val="2623E3D2"/>
    <w:rsid w:val="26348BE4"/>
    <w:rsid w:val="26401315"/>
    <w:rsid w:val="2642FA5E"/>
    <w:rsid w:val="264B6AA9"/>
    <w:rsid w:val="264CEB83"/>
    <w:rsid w:val="2656AF3E"/>
    <w:rsid w:val="26642E81"/>
    <w:rsid w:val="266F1236"/>
    <w:rsid w:val="2681C4F7"/>
    <w:rsid w:val="2686EE01"/>
    <w:rsid w:val="2691256F"/>
    <w:rsid w:val="269EBBD0"/>
    <w:rsid w:val="26A34A48"/>
    <w:rsid w:val="26A57134"/>
    <w:rsid w:val="26B7680B"/>
    <w:rsid w:val="26B85976"/>
    <w:rsid w:val="26B92AED"/>
    <w:rsid w:val="26BA2CAA"/>
    <w:rsid w:val="26DF5069"/>
    <w:rsid w:val="26ECE831"/>
    <w:rsid w:val="26F16395"/>
    <w:rsid w:val="26F2E338"/>
    <w:rsid w:val="26F72A61"/>
    <w:rsid w:val="271848FC"/>
    <w:rsid w:val="27394CFB"/>
    <w:rsid w:val="273CCA10"/>
    <w:rsid w:val="273F6336"/>
    <w:rsid w:val="27432CD6"/>
    <w:rsid w:val="276E94F3"/>
    <w:rsid w:val="27912B35"/>
    <w:rsid w:val="2796033F"/>
    <w:rsid w:val="2797BDBF"/>
    <w:rsid w:val="279962C1"/>
    <w:rsid w:val="27A1F36E"/>
    <w:rsid w:val="27A811B9"/>
    <w:rsid w:val="27C0C734"/>
    <w:rsid w:val="27C689B9"/>
    <w:rsid w:val="27C82867"/>
    <w:rsid w:val="27C9BA14"/>
    <w:rsid w:val="27D2F482"/>
    <w:rsid w:val="27E1D703"/>
    <w:rsid w:val="27E2F10E"/>
    <w:rsid w:val="27EEF2FD"/>
    <w:rsid w:val="27FFFD79"/>
    <w:rsid w:val="28028ECB"/>
    <w:rsid w:val="280DEAEC"/>
    <w:rsid w:val="283BE934"/>
    <w:rsid w:val="283FE16A"/>
    <w:rsid w:val="28433A61"/>
    <w:rsid w:val="284597AF"/>
    <w:rsid w:val="28472466"/>
    <w:rsid w:val="284B3F35"/>
    <w:rsid w:val="284C97A4"/>
    <w:rsid w:val="28580CAD"/>
    <w:rsid w:val="285BD47A"/>
    <w:rsid w:val="285C2499"/>
    <w:rsid w:val="288E178F"/>
    <w:rsid w:val="2892F065"/>
    <w:rsid w:val="28A125BD"/>
    <w:rsid w:val="28A4E113"/>
    <w:rsid w:val="28BA7B27"/>
    <w:rsid w:val="28BC4AD5"/>
    <w:rsid w:val="28C292FF"/>
    <w:rsid w:val="28C55323"/>
    <w:rsid w:val="28CADCE5"/>
    <w:rsid w:val="28CEFB8D"/>
    <w:rsid w:val="28DD7F1A"/>
    <w:rsid w:val="28E1FAA9"/>
    <w:rsid w:val="28E2BC0F"/>
    <w:rsid w:val="28E543A0"/>
    <w:rsid w:val="28F051BB"/>
    <w:rsid w:val="290B3564"/>
    <w:rsid w:val="290F0E0D"/>
    <w:rsid w:val="291EEC38"/>
    <w:rsid w:val="291FDFC8"/>
    <w:rsid w:val="292A7A91"/>
    <w:rsid w:val="293A812E"/>
    <w:rsid w:val="29449D48"/>
    <w:rsid w:val="2949A7E2"/>
    <w:rsid w:val="295282FF"/>
    <w:rsid w:val="2954442A"/>
    <w:rsid w:val="2962944C"/>
    <w:rsid w:val="29719B01"/>
    <w:rsid w:val="29845388"/>
    <w:rsid w:val="299116FD"/>
    <w:rsid w:val="299F3F2E"/>
    <w:rsid w:val="29ABC5CB"/>
    <w:rsid w:val="29B0CFBA"/>
    <w:rsid w:val="29B1B311"/>
    <w:rsid w:val="29B1BC76"/>
    <w:rsid w:val="29C45327"/>
    <w:rsid w:val="29D2C94D"/>
    <w:rsid w:val="29DA17EC"/>
    <w:rsid w:val="29DCF6D7"/>
    <w:rsid w:val="29EB04A5"/>
    <w:rsid w:val="2A0B3E45"/>
    <w:rsid w:val="2A1121E1"/>
    <w:rsid w:val="2A298DA6"/>
    <w:rsid w:val="2A35BAFA"/>
    <w:rsid w:val="2A37B8DC"/>
    <w:rsid w:val="2A3B712C"/>
    <w:rsid w:val="2A574D6D"/>
    <w:rsid w:val="2A59C204"/>
    <w:rsid w:val="2A59FFE4"/>
    <w:rsid w:val="2A5C0D1D"/>
    <w:rsid w:val="2A6A8C5B"/>
    <w:rsid w:val="2A7B84FC"/>
    <w:rsid w:val="2A88303B"/>
    <w:rsid w:val="2A8B3BE6"/>
    <w:rsid w:val="2A93FBD6"/>
    <w:rsid w:val="2A95374C"/>
    <w:rsid w:val="2AA69832"/>
    <w:rsid w:val="2AB6E3E0"/>
    <w:rsid w:val="2AB797B9"/>
    <w:rsid w:val="2AB8898F"/>
    <w:rsid w:val="2AC16C3D"/>
    <w:rsid w:val="2AC409D4"/>
    <w:rsid w:val="2AD7500A"/>
    <w:rsid w:val="2AE12D8E"/>
    <w:rsid w:val="2B29825A"/>
    <w:rsid w:val="2B34DD30"/>
    <w:rsid w:val="2B352250"/>
    <w:rsid w:val="2B512EF3"/>
    <w:rsid w:val="2B538DA7"/>
    <w:rsid w:val="2B56A975"/>
    <w:rsid w:val="2B591DCF"/>
    <w:rsid w:val="2B5B5EFC"/>
    <w:rsid w:val="2B64BB48"/>
    <w:rsid w:val="2B86553E"/>
    <w:rsid w:val="2B8CEBE4"/>
    <w:rsid w:val="2B8E1319"/>
    <w:rsid w:val="2B92A4A9"/>
    <w:rsid w:val="2B9B1436"/>
    <w:rsid w:val="2B9C71E4"/>
    <w:rsid w:val="2BA5A410"/>
    <w:rsid w:val="2BB34071"/>
    <w:rsid w:val="2BC4E2A3"/>
    <w:rsid w:val="2BC8612C"/>
    <w:rsid w:val="2BD41833"/>
    <w:rsid w:val="2BD8C305"/>
    <w:rsid w:val="2BDAA640"/>
    <w:rsid w:val="2BE68326"/>
    <w:rsid w:val="2C0ED3B5"/>
    <w:rsid w:val="2C1F0FCF"/>
    <w:rsid w:val="2C22D50F"/>
    <w:rsid w:val="2C240CC6"/>
    <w:rsid w:val="2C282F3E"/>
    <w:rsid w:val="2C290FB1"/>
    <w:rsid w:val="2C2D6B3B"/>
    <w:rsid w:val="2C301D0B"/>
    <w:rsid w:val="2C30AA18"/>
    <w:rsid w:val="2C34380E"/>
    <w:rsid w:val="2C4B19D5"/>
    <w:rsid w:val="2C62E727"/>
    <w:rsid w:val="2C708118"/>
    <w:rsid w:val="2C717ABE"/>
    <w:rsid w:val="2C77FEFE"/>
    <w:rsid w:val="2C81C3C0"/>
    <w:rsid w:val="2C915A66"/>
    <w:rsid w:val="2C9B573B"/>
    <w:rsid w:val="2CA7AED6"/>
    <w:rsid w:val="2CABFD78"/>
    <w:rsid w:val="2CAE50B0"/>
    <w:rsid w:val="2CB10341"/>
    <w:rsid w:val="2CB7759A"/>
    <w:rsid w:val="2CB89CD5"/>
    <w:rsid w:val="2CBF27B4"/>
    <w:rsid w:val="2CBFECBE"/>
    <w:rsid w:val="2CC02B15"/>
    <w:rsid w:val="2CC0CD85"/>
    <w:rsid w:val="2CC9DEE4"/>
    <w:rsid w:val="2CDA92EE"/>
    <w:rsid w:val="2CF39BAB"/>
    <w:rsid w:val="2D03C927"/>
    <w:rsid w:val="2D061CB5"/>
    <w:rsid w:val="2D0EE04F"/>
    <w:rsid w:val="2D1F4818"/>
    <w:rsid w:val="2D255C8D"/>
    <w:rsid w:val="2D2C299C"/>
    <w:rsid w:val="2D314D9D"/>
    <w:rsid w:val="2D34D73A"/>
    <w:rsid w:val="2D3D4883"/>
    <w:rsid w:val="2D4B0AE2"/>
    <w:rsid w:val="2D52E6C3"/>
    <w:rsid w:val="2D62D7B2"/>
    <w:rsid w:val="2D6F45CF"/>
    <w:rsid w:val="2D700970"/>
    <w:rsid w:val="2D720F38"/>
    <w:rsid w:val="2D752E1C"/>
    <w:rsid w:val="2D76791C"/>
    <w:rsid w:val="2D76A152"/>
    <w:rsid w:val="2D80EB8B"/>
    <w:rsid w:val="2D9AE28B"/>
    <w:rsid w:val="2DA08A09"/>
    <w:rsid w:val="2DA24923"/>
    <w:rsid w:val="2DAA45DE"/>
    <w:rsid w:val="2DAA7919"/>
    <w:rsid w:val="2DC4AC2C"/>
    <w:rsid w:val="2DCE4587"/>
    <w:rsid w:val="2DE1A11F"/>
    <w:rsid w:val="2DFD2857"/>
    <w:rsid w:val="2E03CCDA"/>
    <w:rsid w:val="2E15B551"/>
    <w:rsid w:val="2E1ECB8B"/>
    <w:rsid w:val="2E265DDC"/>
    <w:rsid w:val="2E3C5254"/>
    <w:rsid w:val="2E43E7DD"/>
    <w:rsid w:val="2E48EB9C"/>
    <w:rsid w:val="2E5074B2"/>
    <w:rsid w:val="2E5C8F7F"/>
    <w:rsid w:val="2E6E4418"/>
    <w:rsid w:val="2E74B32B"/>
    <w:rsid w:val="2E7FBCE3"/>
    <w:rsid w:val="2E865AAE"/>
    <w:rsid w:val="2EA04518"/>
    <w:rsid w:val="2EAAB4A8"/>
    <w:rsid w:val="2EADB6D9"/>
    <w:rsid w:val="2EB39564"/>
    <w:rsid w:val="2ECB8A2D"/>
    <w:rsid w:val="2ECC6E18"/>
    <w:rsid w:val="2ED2E406"/>
    <w:rsid w:val="2EDCC9DD"/>
    <w:rsid w:val="2EDDB219"/>
    <w:rsid w:val="2EF45C5A"/>
    <w:rsid w:val="2EF93C9A"/>
    <w:rsid w:val="2EFA5CB2"/>
    <w:rsid w:val="2EFF5F0F"/>
    <w:rsid w:val="2F0293BB"/>
    <w:rsid w:val="2F04EE6F"/>
    <w:rsid w:val="2F055790"/>
    <w:rsid w:val="2F0D0215"/>
    <w:rsid w:val="2F1E6B73"/>
    <w:rsid w:val="2F28D606"/>
    <w:rsid w:val="2F3E4B8C"/>
    <w:rsid w:val="2F426D4E"/>
    <w:rsid w:val="2F4811B0"/>
    <w:rsid w:val="2F4E2AA4"/>
    <w:rsid w:val="2F530017"/>
    <w:rsid w:val="2F626577"/>
    <w:rsid w:val="2F67DB0D"/>
    <w:rsid w:val="2F7691CA"/>
    <w:rsid w:val="2F9198BA"/>
    <w:rsid w:val="2FA99770"/>
    <w:rsid w:val="2FB07FBD"/>
    <w:rsid w:val="2FBAD5E5"/>
    <w:rsid w:val="2FCAAA41"/>
    <w:rsid w:val="2FCF073B"/>
    <w:rsid w:val="2FD3ED85"/>
    <w:rsid w:val="2FD58184"/>
    <w:rsid w:val="2FF5872A"/>
    <w:rsid w:val="2FFD2CFA"/>
    <w:rsid w:val="3002C7A6"/>
    <w:rsid w:val="30151385"/>
    <w:rsid w:val="3015EF1C"/>
    <w:rsid w:val="3029138C"/>
    <w:rsid w:val="30295B6F"/>
    <w:rsid w:val="302E6568"/>
    <w:rsid w:val="3033FD5E"/>
    <w:rsid w:val="3043FB69"/>
    <w:rsid w:val="3069078D"/>
    <w:rsid w:val="306C8A06"/>
    <w:rsid w:val="306DE3AF"/>
    <w:rsid w:val="3075D570"/>
    <w:rsid w:val="307BBBE4"/>
    <w:rsid w:val="309296FA"/>
    <w:rsid w:val="309C5FD3"/>
    <w:rsid w:val="309FEE31"/>
    <w:rsid w:val="30A2801F"/>
    <w:rsid w:val="30A2C1F2"/>
    <w:rsid w:val="30BD4A79"/>
    <w:rsid w:val="30CC8D12"/>
    <w:rsid w:val="30D3A908"/>
    <w:rsid w:val="30F4BF1A"/>
    <w:rsid w:val="31026AF0"/>
    <w:rsid w:val="310CDDA0"/>
    <w:rsid w:val="311DCD8F"/>
    <w:rsid w:val="3132BA7A"/>
    <w:rsid w:val="31493CC4"/>
    <w:rsid w:val="314CAC27"/>
    <w:rsid w:val="31596257"/>
    <w:rsid w:val="3163CD9B"/>
    <w:rsid w:val="316ECA67"/>
    <w:rsid w:val="3177D8CC"/>
    <w:rsid w:val="3184A10E"/>
    <w:rsid w:val="3194DA30"/>
    <w:rsid w:val="319C2E7A"/>
    <w:rsid w:val="31B1488D"/>
    <w:rsid w:val="31B28E8A"/>
    <w:rsid w:val="31B8F17A"/>
    <w:rsid w:val="31BE3DDB"/>
    <w:rsid w:val="31C518CC"/>
    <w:rsid w:val="31C8E768"/>
    <w:rsid w:val="31CADAAB"/>
    <w:rsid w:val="31DB3876"/>
    <w:rsid w:val="31ED261C"/>
    <w:rsid w:val="31F33563"/>
    <w:rsid w:val="31FEE127"/>
    <w:rsid w:val="320090DA"/>
    <w:rsid w:val="320D87B2"/>
    <w:rsid w:val="321350A0"/>
    <w:rsid w:val="321B4916"/>
    <w:rsid w:val="321B4DB5"/>
    <w:rsid w:val="321F69D4"/>
    <w:rsid w:val="32226265"/>
    <w:rsid w:val="32227763"/>
    <w:rsid w:val="323075BE"/>
    <w:rsid w:val="3230BEB7"/>
    <w:rsid w:val="3235D053"/>
    <w:rsid w:val="323EFFF4"/>
    <w:rsid w:val="3246DA9B"/>
    <w:rsid w:val="324A8E93"/>
    <w:rsid w:val="3259AC09"/>
    <w:rsid w:val="325B1279"/>
    <w:rsid w:val="326B1D91"/>
    <w:rsid w:val="32768940"/>
    <w:rsid w:val="32816E6C"/>
    <w:rsid w:val="32929186"/>
    <w:rsid w:val="32B6F4F0"/>
    <w:rsid w:val="32BA78F0"/>
    <w:rsid w:val="32BC7824"/>
    <w:rsid w:val="32C84BA5"/>
    <w:rsid w:val="32D421AA"/>
    <w:rsid w:val="32E3E4DD"/>
    <w:rsid w:val="3325F667"/>
    <w:rsid w:val="332854B4"/>
    <w:rsid w:val="332981A2"/>
    <w:rsid w:val="333B0C80"/>
    <w:rsid w:val="333D95F8"/>
    <w:rsid w:val="3347B795"/>
    <w:rsid w:val="335A46B3"/>
    <w:rsid w:val="335C8706"/>
    <w:rsid w:val="3378BE62"/>
    <w:rsid w:val="337C2BF7"/>
    <w:rsid w:val="33807ED1"/>
    <w:rsid w:val="3382A6E6"/>
    <w:rsid w:val="338A10BE"/>
    <w:rsid w:val="339A3F59"/>
    <w:rsid w:val="339E3003"/>
    <w:rsid w:val="33A3B2BE"/>
    <w:rsid w:val="33B93C4E"/>
    <w:rsid w:val="33BBAE63"/>
    <w:rsid w:val="33D29772"/>
    <w:rsid w:val="33DA53F3"/>
    <w:rsid w:val="33DCEF9B"/>
    <w:rsid w:val="33EE6C16"/>
    <w:rsid w:val="33FA7B90"/>
    <w:rsid w:val="33FAE0ED"/>
    <w:rsid w:val="341C21E8"/>
    <w:rsid w:val="34216373"/>
    <w:rsid w:val="3426DB77"/>
    <w:rsid w:val="342F6ABD"/>
    <w:rsid w:val="343A43D6"/>
    <w:rsid w:val="343D8860"/>
    <w:rsid w:val="3440F46F"/>
    <w:rsid w:val="3447F5D3"/>
    <w:rsid w:val="3453D785"/>
    <w:rsid w:val="345B1C0B"/>
    <w:rsid w:val="346D6E35"/>
    <w:rsid w:val="3487113A"/>
    <w:rsid w:val="3495E90C"/>
    <w:rsid w:val="349676FB"/>
    <w:rsid w:val="34A2C3C3"/>
    <w:rsid w:val="34A97F7D"/>
    <w:rsid w:val="34B2DE7A"/>
    <w:rsid w:val="34BDA950"/>
    <w:rsid w:val="34C11263"/>
    <w:rsid w:val="34CE8FCE"/>
    <w:rsid w:val="34D758A2"/>
    <w:rsid w:val="34E5BD22"/>
    <w:rsid w:val="34E65867"/>
    <w:rsid w:val="34E873A7"/>
    <w:rsid w:val="34F19308"/>
    <w:rsid w:val="34FFF26B"/>
    <w:rsid w:val="3504E2D2"/>
    <w:rsid w:val="3504E713"/>
    <w:rsid w:val="350C15F5"/>
    <w:rsid w:val="350F1666"/>
    <w:rsid w:val="351A7C33"/>
    <w:rsid w:val="352F2673"/>
    <w:rsid w:val="354D50B3"/>
    <w:rsid w:val="355498AD"/>
    <w:rsid w:val="3562E09C"/>
    <w:rsid w:val="35749989"/>
    <w:rsid w:val="35810BDC"/>
    <w:rsid w:val="3582B2CE"/>
    <w:rsid w:val="35843631"/>
    <w:rsid w:val="359365E8"/>
    <w:rsid w:val="3593CADD"/>
    <w:rsid w:val="35A75C73"/>
    <w:rsid w:val="35BB88B6"/>
    <w:rsid w:val="35BD64C7"/>
    <w:rsid w:val="35C240B7"/>
    <w:rsid w:val="35D5C3F9"/>
    <w:rsid w:val="35D95E03"/>
    <w:rsid w:val="35F54679"/>
    <w:rsid w:val="35FE3B80"/>
    <w:rsid w:val="3600AE35"/>
    <w:rsid w:val="360C560A"/>
    <w:rsid w:val="36121475"/>
    <w:rsid w:val="3616ECC2"/>
    <w:rsid w:val="3620A213"/>
    <w:rsid w:val="362B20EC"/>
    <w:rsid w:val="362DDDE9"/>
    <w:rsid w:val="363310A8"/>
    <w:rsid w:val="3639A588"/>
    <w:rsid w:val="36500AAB"/>
    <w:rsid w:val="365DC482"/>
    <w:rsid w:val="365FBACA"/>
    <w:rsid w:val="36648ABF"/>
    <w:rsid w:val="366492B7"/>
    <w:rsid w:val="366C6C7E"/>
    <w:rsid w:val="367851FD"/>
    <w:rsid w:val="36865249"/>
    <w:rsid w:val="3687B177"/>
    <w:rsid w:val="36893C0B"/>
    <w:rsid w:val="36ABE49E"/>
    <w:rsid w:val="36BD3FA8"/>
    <w:rsid w:val="36D5957E"/>
    <w:rsid w:val="36FC0494"/>
    <w:rsid w:val="36FDD19A"/>
    <w:rsid w:val="3700702D"/>
    <w:rsid w:val="37076E10"/>
    <w:rsid w:val="370A0BFA"/>
    <w:rsid w:val="370F6001"/>
    <w:rsid w:val="3716A5CD"/>
    <w:rsid w:val="37172692"/>
    <w:rsid w:val="37201098"/>
    <w:rsid w:val="3721A8CD"/>
    <w:rsid w:val="373BE279"/>
    <w:rsid w:val="373FD733"/>
    <w:rsid w:val="37640162"/>
    <w:rsid w:val="377A4CC1"/>
    <w:rsid w:val="377F0F8B"/>
    <w:rsid w:val="378FE259"/>
    <w:rsid w:val="379CE385"/>
    <w:rsid w:val="37A1F4A1"/>
    <w:rsid w:val="37A9FC6B"/>
    <w:rsid w:val="37B6CB0E"/>
    <w:rsid w:val="37C4E5AE"/>
    <w:rsid w:val="37C5945C"/>
    <w:rsid w:val="37D110AE"/>
    <w:rsid w:val="37D1AD5E"/>
    <w:rsid w:val="37DF81E2"/>
    <w:rsid w:val="37DFBBC7"/>
    <w:rsid w:val="37E2E917"/>
    <w:rsid w:val="37E34DD7"/>
    <w:rsid w:val="37E87D71"/>
    <w:rsid w:val="37FD2D33"/>
    <w:rsid w:val="3812CAAC"/>
    <w:rsid w:val="3833D7B7"/>
    <w:rsid w:val="3841D951"/>
    <w:rsid w:val="38451FA6"/>
    <w:rsid w:val="384BAC91"/>
    <w:rsid w:val="3868FA67"/>
    <w:rsid w:val="3877E6EF"/>
    <w:rsid w:val="389C917C"/>
    <w:rsid w:val="38A90761"/>
    <w:rsid w:val="38B20E45"/>
    <w:rsid w:val="38B5F8E8"/>
    <w:rsid w:val="38B92236"/>
    <w:rsid w:val="38BA19CA"/>
    <w:rsid w:val="38BB4C71"/>
    <w:rsid w:val="38BEE48C"/>
    <w:rsid w:val="38C6A943"/>
    <w:rsid w:val="38F3749D"/>
    <w:rsid w:val="38F80972"/>
    <w:rsid w:val="390EA601"/>
    <w:rsid w:val="391F63E6"/>
    <w:rsid w:val="3927E685"/>
    <w:rsid w:val="3937313E"/>
    <w:rsid w:val="3938CFAB"/>
    <w:rsid w:val="3952C69F"/>
    <w:rsid w:val="3972E627"/>
    <w:rsid w:val="397508F2"/>
    <w:rsid w:val="3975BA63"/>
    <w:rsid w:val="3981C067"/>
    <w:rsid w:val="39936246"/>
    <w:rsid w:val="39989122"/>
    <w:rsid w:val="399A3586"/>
    <w:rsid w:val="39AF86CA"/>
    <w:rsid w:val="39E029E5"/>
    <w:rsid w:val="39E7A39D"/>
    <w:rsid w:val="39F66701"/>
    <w:rsid w:val="39F91F64"/>
    <w:rsid w:val="39FD797F"/>
    <w:rsid w:val="3A09E8EC"/>
    <w:rsid w:val="3A1BA9AF"/>
    <w:rsid w:val="3A1BC17D"/>
    <w:rsid w:val="3A3153FD"/>
    <w:rsid w:val="3A476DC8"/>
    <w:rsid w:val="3A4BBB7D"/>
    <w:rsid w:val="3A54A811"/>
    <w:rsid w:val="3A64C2E5"/>
    <w:rsid w:val="3A6DE20A"/>
    <w:rsid w:val="3A71065E"/>
    <w:rsid w:val="3A81CFBC"/>
    <w:rsid w:val="3A9B3B4B"/>
    <w:rsid w:val="3AA43041"/>
    <w:rsid w:val="3AAB292D"/>
    <w:rsid w:val="3AAC6FD5"/>
    <w:rsid w:val="3AB1AC3C"/>
    <w:rsid w:val="3ABD7B87"/>
    <w:rsid w:val="3AC1D775"/>
    <w:rsid w:val="3ACFA574"/>
    <w:rsid w:val="3AD7000E"/>
    <w:rsid w:val="3ADAD85E"/>
    <w:rsid w:val="3AE0AB78"/>
    <w:rsid w:val="3AE57578"/>
    <w:rsid w:val="3AF05EA0"/>
    <w:rsid w:val="3AFCDDF8"/>
    <w:rsid w:val="3B0E30DF"/>
    <w:rsid w:val="3B108F4F"/>
    <w:rsid w:val="3B20C3A8"/>
    <w:rsid w:val="3B288EF7"/>
    <w:rsid w:val="3B402DE1"/>
    <w:rsid w:val="3B4B7BF9"/>
    <w:rsid w:val="3B51D8E3"/>
    <w:rsid w:val="3B53230E"/>
    <w:rsid w:val="3B5A8107"/>
    <w:rsid w:val="3B5C8C1C"/>
    <w:rsid w:val="3B6558B5"/>
    <w:rsid w:val="3B6929E8"/>
    <w:rsid w:val="3B7E9FB0"/>
    <w:rsid w:val="3B8A9EE8"/>
    <w:rsid w:val="3B98A3BF"/>
    <w:rsid w:val="3BA44F97"/>
    <w:rsid w:val="3BA5A7A0"/>
    <w:rsid w:val="3BACFA53"/>
    <w:rsid w:val="3BAEEB62"/>
    <w:rsid w:val="3BB4AC6C"/>
    <w:rsid w:val="3BBF8DE5"/>
    <w:rsid w:val="3BC015A0"/>
    <w:rsid w:val="3BC07852"/>
    <w:rsid w:val="3BC1E6A1"/>
    <w:rsid w:val="3BC425F8"/>
    <w:rsid w:val="3BD1BE49"/>
    <w:rsid w:val="3BEE9E48"/>
    <w:rsid w:val="3C01588D"/>
    <w:rsid w:val="3C06F9C4"/>
    <w:rsid w:val="3C0E7DF9"/>
    <w:rsid w:val="3C27B494"/>
    <w:rsid w:val="3C2A2603"/>
    <w:rsid w:val="3C5081AB"/>
    <w:rsid w:val="3C5ACF22"/>
    <w:rsid w:val="3C605C93"/>
    <w:rsid w:val="3C694864"/>
    <w:rsid w:val="3C6B671B"/>
    <w:rsid w:val="3C6B984C"/>
    <w:rsid w:val="3C7BCA50"/>
    <w:rsid w:val="3C838514"/>
    <w:rsid w:val="3C86A1EA"/>
    <w:rsid w:val="3C91FE38"/>
    <w:rsid w:val="3CA138D0"/>
    <w:rsid w:val="3CB27B59"/>
    <w:rsid w:val="3CB3B809"/>
    <w:rsid w:val="3CB88A21"/>
    <w:rsid w:val="3CBDF873"/>
    <w:rsid w:val="3CCA37AE"/>
    <w:rsid w:val="3CDCCC41"/>
    <w:rsid w:val="3CDD3841"/>
    <w:rsid w:val="3CED1BDE"/>
    <w:rsid w:val="3CF94278"/>
    <w:rsid w:val="3D0352E3"/>
    <w:rsid w:val="3D0B23F6"/>
    <w:rsid w:val="3D0DB937"/>
    <w:rsid w:val="3D183B80"/>
    <w:rsid w:val="3D21C60D"/>
    <w:rsid w:val="3D74500B"/>
    <w:rsid w:val="3D847F6F"/>
    <w:rsid w:val="3D8CE9C3"/>
    <w:rsid w:val="3D8FD7F1"/>
    <w:rsid w:val="3D968F54"/>
    <w:rsid w:val="3DA2E828"/>
    <w:rsid w:val="3DA95B9E"/>
    <w:rsid w:val="3DADE531"/>
    <w:rsid w:val="3DB061B0"/>
    <w:rsid w:val="3DB4A084"/>
    <w:rsid w:val="3DB921D1"/>
    <w:rsid w:val="3DBA11CE"/>
    <w:rsid w:val="3DE2FD95"/>
    <w:rsid w:val="3DEB7306"/>
    <w:rsid w:val="3DFE8054"/>
    <w:rsid w:val="3E0510E2"/>
    <w:rsid w:val="3E158322"/>
    <w:rsid w:val="3E159EFC"/>
    <w:rsid w:val="3E1A8684"/>
    <w:rsid w:val="3E2146E9"/>
    <w:rsid w:val="3E229431"/>
    <w:rsid w:val="3E24299D"/>
    <w:rsid w:val="3E291EBF"/>
    <w:rsid w:val="3E3D0CC4"/>
    <w:rsid w:val="3E43B0D1"/>
    <w:rsid w:val="3E440D93"/>
    <w:rsid w:val="3E468A48"/>
    <w:rsid w:val="3E48D4DF"/>
    <w:rsid w:val="3E4BD0E5"/>
    <w:rsid w:val="3E4C912F"/>
    <w:rsid w:val="3E55272B"/>
    <w:rsid w:val="3E593525"/>
    <w:rsid w:val="3E5D8254"/>
    <w:rsid w:val="3E5EAC47"/>
    <w:rsid w:val="3E658E3B"/>
    <w:rsid w:val="3E698B02"/>
    <w:rsid w:val="3E7216D8"/>
    <w:rsid w:val="3E79C840"/>
    <w:rsid w:val="3E7BC5EF"/>
    <w:rsid w:val="3E7EB05D"/>
    <w:rsid w:val="3EA46721"/>
    <w:rsid w:val="3EB67892"/>
    <w:rsid w:val="3EBEC244"/>
    <w:rsid w:val="3ECFE0ED"/>
    <w:rsid w:val="3ED2EA83"/>
    <w:rsid w:val="3EFF69A9"/>
    <w:rsid w:val="3F0B7F26"/>
    <w:rsid w:val="3F150407"/>
    <w:rsid w:val="3F1A6576"/>
    <w:rsid w:val="3F1B7FA4"/>
    <w:rsid w:val="3F28A2F3"/>
    <w:rsid w:val="3F30DDF8"/>
    <w:rsid w:val="3F33E8C2"/>
    <w:rsid w:val="3F43BCFD"/>
    <w:rsid w:val="3F50B867"/>
    <w:rsid w:val="3F542E27"/>
    <w:rsid w:val="3F567061"/>
    <w:rsid w:val="3F634BB0"/>
    <w:rsid w:val="3F655170"/>
    <w:rsid w:val="3F7665B4"/>
    <w:rsid w:val="3F7D81AF"/>
    <w:rsid w:val="3F7E86C3"/>
    <w:rsid w:val="3F9DB424"/>
    <w:rsid w:val="3FA03954"/>
    <w:rsid w:val="3FA34A53"/>
    <w:rsid w:val="3FBB4C32"/>
    <w:rsid w:val="3FC6E083"/>
    <w:rsid w:val="3FCACC4B"/>
    <w:rsid w:val="3FD02817"/>
    <w:rsid w:val="3FD7953F"/>
    <w:rsid w:val="3FDC4347"/>
    <w:rsid w:val="3FE14E66"/>
    <w:rsid w:val="3FEECDB2"/>
    <w:rsid w:val="3FF803CE"/>
    <w:rsid w:val="400C108A"/>
    <w:rsid w:val="40173AE0"/>
    <w:rsid w:val="4018F70E"/>
    <w:rsid w:val="4039B41F"/>
    <w:rsid w:val="404C0525"/>
    <w:rsid w:val="4056F9EF"/>
    <w:rsid w:val="405A8610"/>
    <w:rsid w:val="40622E8C"/>
    <w:rsid w:val="406565B2"/>
    <w:rsid w:val="40687740"/>
    <w:rsid w:val="406DEA63"/>
    <w:rsid w:val="40774DC6"/>
    <w:rsid w:val="408DBF1E"/>
    <w:rsid w:val="4093F80D"/>
    <w:rsid w:val="409651AC"/>
    <w:rsid w:val="4099901D"/>
    <w:rsid w:val="40A89E04"/>
    <w:rsid w:val="40CF52FF"/>
    <w:rsid w:val="40D8CB31"/>
    <w:rsid w:val="40E84778"/>
    <w:rsid w:val="40F3D9C0"/>
    <w:rsid w:val="40F638AB"/>
    <w:rsid w:val="410A6576"/>
    <w:rsid w:val="410DAFFE"/>
    <w:rsid w:val="4122A907"/>
    <w:rsid w:val="412A59D6"/>
    <w:rsid w:val="412D94D1"/>
    <w:rsid w:val="4142C714"/>
    <w:rsid w:val="4145C4A3"/>
    <w:rsid w:val="414A5FA7"/>
    <w:rsid w:val="414C43E5"/>
    <w:rsid w:val="415678C1"/>
    <w:rsid w:val="415BDF55"/>
    <w:rsid w:val="416A8F55"/>
    <w:rsid w:val="41724148"/>
    <w:rsid w:val="4181BC31"/>
    <w:rsid w:val="41A0590C"/>
    <w:rsid w:val="41A709DF"/>
    <w:rsid w:val="41ABBE6C"/>
    <w:rsid w:val="41BD9AD1"/>
    <w:rsid w:val="41C73136"/>
    <w:rsid w:val="41D6297F"/>
    <w:rsid w:val="41DC12C6"/>
    <w:rsid w:val="41DF6D4B"/>
    <w:rsid w:val="41DFB944"/>
    <w:rsid w:val="41E3CA78"/>
    <w:rsid w:val="41E88B1F"/>
    <w:rsid w:val="41EB1CAB"/>
    <w:rsid w:val="41ECD351"/>
    <w:rsid w:val="41ED0434"/>
    <w:rsid w:val="41F29FDD"/>
    <w:rsid w:val="4218F3B6"/>
    <w:rsid w:val="4227739C"/>
    <w:rsid w:val="4238FF2F"/>
    <w:rsid w:val="423A8021"/>
    <w:rsid w:val="424B75BA"/>
    <w:rsid w:val="424BBBC2"/>
    <w:rsid w:val="425B41E2"/>
    <w:rsid w:val="425F9175"/>
    <w:rsid w:val="427E94AD"/>
    <w:rsid w:val="4281EB13"/>
    <w:rsid w:val="428FEE8F"/>
    <w:rsid w:val="429430AD"/>
    <w:rsid w:val="4296A9C8"/>
    <w:rsid w:val="42A00314"/>
    <w:rsid w:val="42A1368A"/>
    <w:rsid w:val="42B169C1"/>
    <w:rsid w:val="42B45F1B"/>
    <w:rsid w:val="42B8D7DB"/>
    <w:rsid w:val="42BC25BA"/>
    <w:rsid w:val="42D86BB6"/>
    <w:rsid w:val="42DACCA5"/>
    <w:rsid w:val="42E1CB4F"/>
    <w:rsid w:val="42E451C0"/>
    <w:rsid w:val="43069F3D"/>
    <w:rsid w:val="430C57FC"/>
    <w:rsid w:val="43164C43"/>
    <w:rsid w:val="431AAA5D"/>
    <w:rsid w:val="4341084D"/>
    <w:rsid w:val="43450C96"/>
    <w:rsid w:val="43452AA4"/>
    <w:rsid w:val="4347DA07"/>
    <w:rsid w:val="435E7492"/>
    <w:rsid w:val="436A13BE"/>
    <w:rsid w:val="43722266"/>
    <w:rsid w:val="4376D34D"/>
    <w:rsid w:val="437C8605"/>
    <w:rsid w:val="4384FED2"/>
    <w:rsid w:val="439103AF"/>
    <w:rsid w:val="439E1F0C"/>
    <w:rsid w:val="43A65D6D"/>
    <w:rsid w:val="43D3D1E4"/>
    <w:rsid w:val="43D463B9"/>
    <w:rsid w:val="43EB0407"/>
    <w:rsid w:val="43ECBFE5"/>
    <w:rsid w:val="43EDFA4F"/>
    <w:rsid w:val="43F8CB43"/>
    <w:rsid w:val="44002C2E"/>
    <w:rsid w:val="44106CD5"/>
    <w:rsid w:val="441896DC"/>
    <w:rsid w:val="4429002C"/>
    <w:rsid w:val="442C8BD9"/>
    <w:rsid w:val="4436C288"/>
    <w:rsid w:val="4447D433"/>
    <w:rsid w:val="44558D1A"/>
    <w:rsid w:val="4455CA43"/>
    <w:rsid w:val="44571C3E"/>
    <w:rsid w:val="446E6F66"/>
    <w:rsid w:val="44719366"/>
    <w:rsid w:val="448AE218"/>
    <w:rsid w:val="448E96F9"/>
    <w:rsid w:val="44931E45"/>
    <w:rsid w:val="44A62E23"/>
    <w:rsid w:val="44AC1C9C"/>
    <w:rsid w:val="44ADAEFD"/>
    <w:rsid w:val="44CFFE74"/>
    <w:rsid w:val="44DE1C54"/>
    <w:rsid w:val="44E0DCF7"/>
    <w:rsid w:val="44E1F3A1"/>
    <w:rsid w:val="44E65175"/>
    <w:rsid w:val="44F1DC99"/>
    <w:rsid w:val="45050867"/>
    <w:rsid w:val="450884BE"/>
    <w:rsid w:val="451F0D7E"/>
    <w:rsid w:val="452FFE8C"/>
    <w:rsid w:val="4530ACF2"/>
    <w:rsid w:val="453EE3B0"/>
    <w:rsid w:val="4543B66C"/>
    <w:rsid w:val="454AF8D7"/>
    <w:rsid w:val="4563576E"/>
    <w:rsid w:val="456AE6AE"/>
    <w:rsid w:val="45788D02"/>
    <w:rsid w:val="45873C3C"/>
    <w:rsid w:val="4589C84E"/>
    <w:rsid w:val="45A4A7BA"/>
    <w:rsid w:val="45BE757B"/>
    <w:rsid w:val="45CB1014"/>
    <w:rsid w:val="45E3D14E"/>
    <w:rsid w:val="45F55AC3"/>
    <w:rsid w:val="45F62FA4"/>
    <w:rsid w:val="46022C91"/>
    <w:rsid w:val="46080D49"/>
    <w:rsid w:val="460A960C"/>
    <w:rsid w:val="460ED288"/>
    <w:rsid w:val="4611226D"/>
    <w:rsid w:val="46169F7F"/>
    <w:rsid w:val="461FE5A7"/>
    <w:rsid w:val="4620CEAA"/>
    <w:rsid w:val="46462511"/>
    <w:rsid w:val="464844E2"/>
    <w:rsid w:val="46506794"/>
    <w:rsid w:val="46649933"/>
    <w:rsid w:val="466A380A"/>
    <w:rsid w:val="46714830"/>
    <w:rsid w:val="468D926C"/>
    <w:rsid w:val="4690E34F"/>
    <w:rsid w:val="46B5A3C6"/>
    <w:rsid w:val="46B71DDF"/>
    <w:rsid w:val="46BE167A"/>
    <w:rsid w:val="46C72E9D"/>
    <w:rsid w:val="46C7CC58"/>
    <w:rsid w:val="46CE5269"/>
    <w:rsid w:val="46D0F47D"/>
    <w:rsid w:val="46D46911"/>
    <w:rsid w:val="46D4704C"/>
    <w:rsid w:val="46D4BF27"/>
    <w:rsid w:val="46E6F7DA"/>
    <w:rsid w:val="471A29DC"/>
    <w:rsid w:val="47284105"/>
    <w:rsid w:val="472E9850"/>
    <w:rsid w:val="478EC6AE"/>
    <w:rsid w:val="478F21BD"/>
    <w:rsid w:val="47949662"/>
    <w:rsid w:val="47982C4F"/>
    <w:rsid w:val="479F0015"/>
    <w:rsid w:val="47A912FE"/>
    <w:rsid w:val="47A971A3"/>
    <w:rsid w:val="47C7C00C"/>
    <w:rsid w:val="47C8FF97"/>
    <w:rsid w:val="47CE853D"/>
    <w:rsid w:val="47DD7FD2"/>
    <w:rsid w:val="47F0AB04"/>
    <w:rsid w:val="47F637DF"/>
    <w:rsid w:val="47F72DC7"/>
    <w:rsid w:val="480122DE"/>
    <w:rsid w:val="4821CE3A"/>
    <w:rsid w:val="482E60B0"/>
    <w:rsid w:val="484E90AD"/>
    <w:rsid w:val="48560CEF"/>
    <w:rsid w:val="4867EE93"/>
    <w:rsid w:val="48688B14"/>
    <w:rsid w:val="486DE724"/>
    <w:rsid w:val="486E7F9B"/>
    <w:rsid w:val="487A5FB2"/>
    <w:rsid w:val="4881DC59"/>
    <w:rsid w:val="48890058"/>
    <w:rsid w:val="489EB626"/>
    <w:rsid w:val="48A82BF6"/>
    <w:rsid w:val="48A95856"/>
    <w:rsid w:val="48B0A4B2"/>
    <w:rsid w:val="48B273E1"/>
    <w:rsid w:val="48B7E7A8"/>
    <w:rsid w:val="48BDED4A"/>
    <w:rsid w:val="48CAEDB3"/>
    <w:rsid w:val="48DC21FE"/>
    <w:rsid w:val="48DD5233"/>
    <w:rsid w:val="48E8B921"/>
    <w:rsid w:val="48F0AB4B"/>
    <w:rsid w:val="48FCCC3D"/>
    <w:rsid w:val="48FD4B13"/>
    <w:rsid w:val="48FEE0DA"/>
    <w:rsid w:val="49105B1F"/>
    <w:rsid w:val="4913C85B"/>
    <w:rsid w:val="4915814D"/>
    <w:rsid w:val="491BFBCA"/>
    <w:rsid w:val="492A0E62"/>
    <w:rsid w:val="492BB813"/>
    <w:rsid w:val="49324097"/>
    <w:rsid w:val="495B5AE9"/>
    <w:rsid w:val="495EAB3D"/>
    <w:rsid w:val="49675DB3"/>
    <w:rsid w:val="4968E4F6"/>
    <w:rsid w:val="497F3293"/>
    <w:rsid w:val="4983C11B"/>
    <w:rsid w:val="498F2DD0"/>
    <w:rsid w:val="49A38263"/>
    <w:rsid w:val="49AACF96"/>
    <w:rsid w:val="49BD5409"/>
    <w:rsid w:val="49C938C7"/>
    <w:rsid w:val="49CC47A0"/>
    <w:rsid w:val="49D85C61"/>
    <w:rsid w:val="49E17D5E"/>
    <w:rsid w:val="49E50B65"/>
    <w:rsid w:val="49F4B373"/>
    <w:rsid w:val="49F94C23"/>
    <w:rsid w:val="49FA5B51"/>
    <w:rsid w:val="4A06B699"/>
    <w:rsid w:val="4A0A8FD0"/>
    <w:rsid w:val="4A110A9A"/>
    <w:rsid w:val="4A12853D"/>
    <w:rsid w:val="4A1735D1"/>
    <w:rsid w:val="4A1E57C2"/>
    <w:rsid w:val="4A209D59"/>
    <w:rsid w:val="4A2BD615"/>
    <w:rsid w:val="4A380D78"/>
    <w:rsid w:val="4A394BA9"/>
    <w:rsid w:val="4A3A841E"/>
    <w:rsid w:val="4A629646"/>
    <w:rsid w:val="4A657D6A"/>
    <w:rsid w:val="4A6BEBCC"/>
    <w:rsid w:val="4A811886"/>
    <w:rsid w:val="4A873E96"/>
    <w:rsid w:val="4A9280E4"/>
    <w:rsid w:val="4A93C165"/>
    <w:rsid w:val="4A9558C3"/>
    <w:rsid w:val="4A9A2CC8"/>
    <w:rsid w:val="4AA586F5"/>
    <w:rsid w:val="4AB4E165"/>
    <w:rsid w:val="4AB8C90A"/>
    <w:rsid w:val="4AC1396A"/>
    <w:rsid w:val="4AC429CD"/>
    <w:rsid w:val="4AC86E27"/>
    <w:rsid w:val="4AC8CDD4"/>
    <w:rsid w:val="4B0577C2"/>
    <w:rsid w:val="4B07BF2C"/>
    <w:rsid w:val="4B175D85"/>
    <w:rsid w:val="4B1FFE5A"/>
    <w:rsid w:val="4B22C212"/>
    <w:rsid w:val="4B40CB60"/>
    <w:rsid w:val="4B4E0F71"/>
    <w:rsid w:val="4B61F89D"/>
    <w:rsid w:val="4B71B2D0"/>
    <w:rsid w:val="4B7C21CC"/>
    <w:rsid w:val="4B7F4E9D"/>
    <w:rsid w:val="4B840511"/>
    <w:rsid w:val="4BA2DF96"/>
    <w:rsid w:val="4BA77506"/>
    <w:rsid w:val="4BB4D03D"/>
    <w:rsid w:val="4BD9FD11"/>
    <w:rsid w:val="4C0AA545"/>
    <w:rsid w:val="4C2664E1"/>
    <w:rsid w:val="4C2ECB26"/>
    <w:rsid w:val="4C394A62"/>
    <w:rsid w:val="4C409DDD"/>
    <w:rsid w:val="4C51688D"/>
    <w:rsid w:val="4C531716"/>
    <w:rsid w:val="4C575273"/>
    <w:rsid w:val="4C57AA65"/>
    <w:rsid w:val="4C652620"/>
    <w:rsid w:val="4C8B4F60"/>
    <w:rsid w:val="4C9FE5D0"/>
    <w:rsid w:val="4CAB3972"/>
    <w:rsid w:val="4CB264B1"/>
    <w:rsid w:val="4CB5FA43"/>
    <w:rsid w:val="4CB8A244"/>
    <w:rsid w:val="4CB91524"/>
    <w:rsid w:val="4CCB8F0C"/>
    <w:rsid w:val="4CCD3076"/>
    <w:rsid w:val="4CE86B14"/>
    <w:rsid w:val="4CE956BB"/>
    <w:rsid w:val="4CEFD239"/>
    <w:rsid w:val="4CF23DFF"/>
    <w:rsid w:val="4D03CEA0"/>
    <w:rsid w:val="4D06F158"/>
    <w:rsid w:val="4D0F6BB6"/>
    <w:rsid w:val="4D233D34"/>
    <w:rsid w:val="4D31FD82"/>
    <w:rsid w:val="4D35A408"/>
    <w:rsid w:val="4D3EF620"/>
    <w:rsid w:val="4D4695AB"/>
    <w:rsid w:val="4D47A6D6"/>
    <w:rsid w:val="4D6721EF"/>
    <w:rsid w:val="4D75AB51"/>
    <w:rsid w:val="4D97C71D"/>
    <w:rsid w:val="4D996B28"/>
    <w:rsid w:val="4D9974FF"/>
    <w:rsid w:val="4D9D7B5C"/>
    <w:rsid w:val="4DA5E64A"/>
    <w:rsid w:val="4DC50D30"/>
    <w:rsid w:val="4DCA135A"/>
    <w:rsid w:val="4DD687F6"/>
    <w:rsid w:val="4DEDE20B"/>
    <w:rsid w:val="4DEF83B2"/>
    <w:rsid w:val="4DFC2F85"/>
    <w:rsid w:val="4DFCCF19"/>
    <w:rsid w:val="4E008A21"/>
    <w:rsid w:val="4E21B164"/>
    <w:rsid w:val="4E2A060B"/>
    <w:rsid w:val="4E2C348E"/>
    <w:rsid w:val="4E2CE249"/>
    <w:rsid w:val="4E36C518"/>
    <w:rsid w:val="4E3DA33A"/>
    <w:rsid w:val="4E5AB092"/>
    <w:rsid w:val="4E5D8EDA"/>
    <w:rsid w:val="4E6387BA"/>
    <w:rsid w:val="4E7074DB"/>
    <w:rsid w:val="4E70D571"/>
    <w:rsid w:val="4E740136"/>
    <w:rsid w:val="4E7E36C8"/>
    <w:rsid w:val="4E88E659"/>
    <w:rsid w:val="4E8B4F9F"/>
    <w:rsid w:val="4E96F6FD"/>
    <w:rsid w:val="4EA97C82"/>
    <w:rsid w:val="4EB638AF"/>
    <w:rsid w:val="4EBCE8B1"/>
    <w:rsid w:val="4EC48F82"/>
    <w:rsid w:val="4EDFFC05"/>
    <w:rsid w:val="4EEBA1F3"/>
    <w:rsid w:val="4EED97FF"/>
    <w:rsid w:val="4EEE07E2"/>
    <w:rsid w:val="4F00B043"/>
    <w:rsid w:val="4F0BE2E8"/>
    <w:rsid w:val="4F0F0FC0"/>
    <w:rsid w:val="4F1D5510"/>
    <w:rsid w:val="4F1F8670"/>
    <w:rsid w:val="4F21CF44"/>
    <w:rsid w:val="4F29FE20"/>
    <w:rsid w:val="4F2F4886"/>
    <w:rsid w:val="4F39D588"/>
    <w:rsid w:val="4F39FAB6"/>
    <w:rsid w:val="4F3C5B53"/>
    <w:rsid w:val="4F511EF2"/>
    <w:rsid w:val="4F5341D1"/>
    <w:rsid w:val="4F59D9E6"/>
    <w:rsid w:val="4F5E1233"/>
    <w:rsid w:val="4F7B8230"/>
    <w:rsid w:val="4F8AA80E"/>
    <w:rsid w:val="4F9881DB"/>
    <w:rsid w:val="4F9D6BF9"/>
    <w:rsid w:val="4F9FF51E"/>
    <w:rsid w:val="4FABA8CE"/>
    <w:rsid w:val="4FAE54CE"/>
    <w:rsid w:val="4FAF8B0F"/>
    <w:rsid w:val="4FC418EF"/>
    <w:rsid w:val="4FDA2557"/>
    <w:rsid w:val="4FF4FD36"/>
    <w:rsid w:val="4FF7EE6F"/>
    <w:rsid w:val="4FFA7697"/>
    <w:rsid w:val="5001A434"/>
    <w:rsid w:val="5033195B"/>
    <w:rsid w:val="503AD6FB"/>
    <w:rsid w:val="504B12C3"/>
    <w:rsid w:val="5069409B"/>
    <w:rsid w:val="50823D03"/>
    <w:rsid w:val="5082DF3D"/>
    <w:rsid w:val="50836C1D"/>
    <w:rsid w:val="509518D7"/>
    <w:rsid w:val="509E214E"/>
    <w:rsid w:val="50B86647"/>
    <w:rsid w:val="50B8D2AC"/>
    <w:rsid w:val="50B9346A"/>
    <w:rsid w:val="50BBA71B"/>
    <w:rsid w:val="50CFF4B7"/>
    <w:rsid w:val="50D5C780"/>
    <w:rsid w:val="50DDC679"/>
    <w:rsid w:val="50E0FDDB"/>
    <w:rsid w:val="50EEB6F3"/>
    <w:rsid w:val="50F10609"/>
    <w:rsid w:val="50F3A15B"/>
    <w:rsid w:val="50F81C80"/>
    <w:rsid w:val="5114182C"/>
    <w:rsid w:val="511892EA"/>
    <w:rsid w:val="51382622"/>
    <w:rsid w:val="51562E62"/>
    <w:rsid w:val="51588154"/>
    <w:rsid w:val="5159F6D7"/>
    <w:rsid w:val="515BDF35"/>
    <w:rsid w:val="515D470A"/>
    <w:rsid w:val="516FF683"/>
    <w:rsid w:val="51B0C164"/>
    <w:rsid w:val="51C18BC0"/>
    <w:rsid w:val="51DE6157"/>
    <w:rsid w:val="51EB27C9"/>
    <w:rsid w:val="5201528C"/>
    <w:rsid w:val="522D0489"/>
    <w:rsid w:val="524CF588"/>
    <w:rsid w:val="524E9C73"/>
    <w:rsid w:val="5256E12F"/>
    <w:rsid w:val="52589169"/>
    <w:rsid w:val="525A589C"/>
    <w:rsid w:val="52694178"/>
    <w:rsid w:val="527E09A8"/>
    <w:rsid w:val="5280DA7A"/>
    <w:rsid w:val="5285119D"/>
    <w:rsid w:val="52880925"/>
    <w:rsid w:val="528E62DB"/>
    <w:rsid w:val="52913EFC"/>
    <w:rsid w:val="529B4F59"/>
    <w:rsid w:val="52A02D46"/>
    <w:rsid w:val="52B1368C"/>
    <w:rsid w:val="52C60AC9"/>
    <w:rsid w:val="52C90529"/>
    <w:rsid w:val="52D8954E"/>
    <w:rsid w:val="52DF8E99"/>
    <w:rsid w:val="52E3E3E8"/>
    <w:rsid w:val="52E428EC"/>
    <w:rsid w:val="52E43E2B"/>
    <w:rsid w:val="52EE8B61"/>
    <w:rsid w:val="52FE886B"/>
    <w:rsid w:val="53025FB0"/>
    <w:rsid w:val="530C8147"/>
    <w:rsid w:val="5321E52B"/>
    <w:rsid w:val="53412794"/>
    <w:rsid w:val="53422CE4"/>
    <w:rsid w:val="534A2F43"/>
    <w:rsid w:val="534A82FC"/>
    <w:rsid w:val="534CB261"/>
    <w:rsid w:val="5350AF01"/>
    <w:rsid w:val="536D2C47"/>
    <w:rsid w:val="536DB048"/>
    <w:rsid w:val="537520BC"/>
    <w:rsid w:val="5381EF2A"/>
    <w:rsid w:val="538F84E3"/>
    <w:rsid w:val="5391F36D"/>
    <w:rsid w:val="539C29FD"/>
    <w:rsid w:val="53BA5B13"/>
    <w:rsid w:val="53CEA1E9"/>
    <w:rsid w:val="53D810A3"/>
    <w:rsid w:val="53DB875B"/>
    <w:rsid w:val="53F0BA94"/>
    <w:rsid w:val="53F3A425"/>
    <w:rsid w:val="53F4FA5F"/>
    <w:rsid w:val="541284F0"/>
    <w:rsid w:val="5413C25D"/>
    <w:rsid w:val="542DA239"/>
    <w:rsid w:val="54423B9D"/>
    <w:rsid w:val="5446FC84"/>
    <w:rsid w:val="5456F91F"/>
    <w:rsid w:val="545DE968"/>
    <w:rsid w:val="545F75C4"/>
    <w:rsid w:val="546AF938"/>
    <w:rsid w:val="5480FD93"/>
    <w:rsid w:val="548FDFB0"/>
    <w:rsid w:val="54B6F8B7"/>
    <w:rsid w:val="54C2FCCA"/>
    <w:rsid w:val="54C740B8"/>
    <w:rsid w:val="54D4F529"/>
    <w:rsid w:val="54DF3EB4"/>
    <w:rsid w:val="54EB4923"/>
    <w:rsid w:val="54EF782F"/>
    <w:rsid w:val="54F9DDD6"/>
    <w:rsid w:val="55009B02"/>
    <w:rsid w:val="551CE386"/>
    <w:rsid w:val="5520FC56"/>
    <w:rsid w:val="5526A483"/>
    <w:rsid w:val="552C37D3"/>
    <w:rsid w:val="553D2871"/>
    <w:rsid w:val="55435121"/>
    <w:rsid w:val="55495C3A"/>
    <w:rsid w:val="554C9BD5"/>
    <w:rsid w:val="55673C3B"/>
    <w:rsid w:val="556F6B2B"/>
    <w:rsid w:val="556FDC24"/>
    <w:rsid w:val="5585F1EB"/>
    <w:rsid w:val="558A9D3D"/>
    <w:rsid w:val="559B2A39"/>
    <w:rsid w:val="559ED4D8"/>
    <w:rsid w:val="55AAD867"/>
    <w:rsid w:val="55BD2CE0"/>
    <w:rsid w:val="55BEA8D5"/>
    <w:rsid w:val="55CB7454"/>
    <w:rsid w:val="55D0823D"/>
    <w:rsid w:val="55D2F687"/>
    <w:rsid w:val="55D43ABE"/>
    <w:rsid w:val="55E0E269"/>
    <w:rsid w:val="55EB4385"/>
    <w:rsid w:val="55F35B81"/>
    <w:rsid w:val="55F8A888"/>
    <w:rsid w:val="56008EC8"/>
    <w:rsid w:val="5604555E"/>
    <w:rsid w:val="561355B0"/>
    <w:rsid w:val="5622E981"/>
    <w:rsid w:val="56235138"/>
    <w:rsid w:val="56240D15"/>
    <w:rsid w:val="562BF390"/>
    <w:rsid w:val="56415931"/>
    <w:rsid w:val="56496D69"/>
    <w:rsid w:val="564E18D3"/>
    <w:rsid w:val="565F8342"/>
    <w:rsid w:val="566B632F"/>
    <w:rsid w:val="5671AA9F"/>
    <w:rsid w:val="56723769"/>
    <w:rsid w:val="567A1FB0"/>
    <w:rsid w:val="5689B498"/>
    <w:rsid w:val="568AF3DA"/>
    <w:rsid w:val="56997040"/>
    <w:rsid w:val="56AA191A"/>
    <w:rsid w:val="56AD2BC0"/>
    <w:rsid w:val="56AEE0E0"/>
    <w:rsid w:val="56B4D4F7"/>
    <w:rsid w:val="56BC7362"/>
    <w:rsid w:val="56E29830"/>
    <w:rsid w:val="56EF1EAC"/>
    <w:rsid w:val="56F0C37C"/>
    <w:rsid w:val="56F15B7E"/>
    <w:rsid w:val="570C71AF"/>
    <w:rsid w:val="57142A07"/>
    <w:rsid w:val="5723CA06"/>
    <w:rsid w:val="572FFDD9"/>
    <w:rsid w:val="573AD4CB"/>
    <w:rsid w:val="574787D5"/>
    <w:rsid w:val="574798BA"/>
    <w:rsid w:val="576043A5"/>
    <w:rsid w:val="576A2CF9"/>
    <w:rsid w:val="576C6501"/>
    <w:rsid w:val="577213FC"/>
    <w:rsid w:val="578834DF"/>
    <w:rsid w:val="5789DC49"/>
    <w:rsid w:val="578A6EBF"/>
    <w:rsid w:val="578F885F"/>
    <w:rsid w:val="579EE8E0"/>
    <w:rsid w:val="579FE7B7"/>
    <w:rsid w:val="57ABAAD5"/>
    <w:rsid w:val="57AEC573"/>
    <w:rsid w:val="57AF09E4"/>
    <w:rsid w:val="57B35014"/>
    <w:rsid w:val="57B5BE2E"/>
    <w:rsid w:val="57C5E1EF"/>
    <w:rsid w:val="57CF0E9C"/>
    <w:rsid w:val="57DB0C58"/>
    <w:rsid w:val="57E892D1"/>
    <w:rsid w:val="57EEDF90"/>
    <w:rsid w:val="57F81C9B"/>
    <w:rsid w:val="57FAB729"/>
    <w:rsid w:val="58120A1A"/>
    <w:rsid w:val="581B5276"/>
    <w:rsid w:val="581B9ECB"/>
    <w:rsid w:val="58265D78"/>
    <w:rsid w:val="582905C9"/>
    <w:rsid w:val="58292730"/>
    <w:rsid w:val="58464073"/>
    <w:rsid w:val="585E3619"/>
    <w:rsid w:val="586C9CEE"/>
    <w:rsid w:val="58783E8B"/>
    <w:rsid w:val="5882520B"/>
    <w:rsid w:val="58848E58"/>
    <w:rsid w:val="58AC4EBF"/>
    <w:rsid w:val="58C43A0C"/>
    <w:rsid w:val="58C59077"/>
    <w:rsid w:val="58CB5D3C"/>
    <w:rsid w:val="58CE3C56"/>
    <w:rsid w:val="58D3200A"/>
    <w:rsid w:val="58ECC540"/>
    <w:rsid w:val="58EF38D2"/>
    <w:rsid w:val="58F91A66"/>
    <w:rsid w:val="58FF92A6"/>
    <w:rsid w:val="590B5235"/>
    <w:rsid w:val="590C5DF3"/>
    <w:rsid w:val="594A8B71"/>
    <w:rsid w:val="594D7640"/>
    <w:rsid w:val="594DEFDE"/>
    <w:rsid w:val="59550787"/>
    <w:rsid w:val="59627F41"/>
    <w:rsid w:val="59721DF8"/>
    <w:rsid w:val="597CEECD"/>
    <w:rsid w:val="59AE3723"/>
    <w:rsid w:val="59DF6EA1"/>
    <w:rsid w:val="59FCE812"/>
    <w:rsid w:val="5A061128"/>
    <w:rsid w:val="5A145EFF"/>
    <w:rsid w:val="5A2193B5"/>
    <w:rsid w:val="5A22F47B"/>
    <w:rsid w:val="5A27C2ED"/>
    <w:rsid w:val="5A293C5F"/>
    <w:rsid w:val="5A2CAB32"/>
    <w:rsid w:val="5A588DAB"/>
    <w:rsid w:val="5A589A2D"/>
    <w:rsid w:val="5A69BAA2"/>
    <w:rsid w:val="5A72BEBB"/>
    <w:rsid w:val="5A73375C"/>
    <w:rsid w:val="5A737BA6"/>
    <w:rsid w:val="5A7BDEFC"/>
    <w:rsid w:val="5A83A9FB"/>
    <w:rsid w:val="5A8454B1"/>
    <w:rsid w:val="5A8919E3"/>
    <w:rsid w:val="5A9A6EDD"/>
    <w:rsid w:val="5A9F859A"/>
    <w:rsid w:val="5AA2D584"/>
    <w:rsid w:val="5AB76518"/>
    <w:rsid w:val="5ABA00C4"/>
    <w:rsid w:val="5ABD1FC7"/>
    <w:rsid w:val="5ACE548B"/>
    <w:rsid w:val="5ADD4626"/>
    <w:rsid w:val="5AE51646"/>
    <w:rsid w:val="5AFDF69C"/>
    <w:rsid w:val="5B0D3651"/>
    <w:rsid w:val="5B0E8CDE"/>
    <w:rsid w:val="5B1FEBB5"/>
    <w:rsid w:val="5B2FF9CC"/>
    <w:rsid w:val="5B42D5C0"/>
    <w:rsid w:val="5B611415"/>
    <w:rsid w:val="5B61A479"/>
    <w:rsid w:val="5B6A21DC"/>
    <w:rsid w:val="5B6BEDF5"/>
    <w:rsid w:val="5B701F15"/>
    <w:rsid w:val="5B731641"/>
    <w:rsid w:val="5B7495B8"/>
    <w:rsid w:val="5B7B0241"/>
    <w:rsid w:val="5B8455B2"/>
    <w:rsid w:val="5B8AEAFA"/>
    <w:rsid w:val="5B8B8BD6"/>
    <w:rsid w:val="5B9303E8"/>
    <w:rsid w:val="5B9EF8C5"/>
    <w:rsid w:val="5BAA30F1"/>
    <w:rsid w:val="5BCFECCB"/>
    <w:rsid w:val="5BD35255"/>
    <w:rsid w:val="5BD47DEF"/>
    <w:rsid w:val="5BD54E48"/>
    <w:rsid w:val="5BDA77F0"/>
    <w:rsid w:val="5BDF5D55"/>
    <w:rsid w:val="5BF2BE32"/>
    <w:rsid w:val="5BF96120"/>
    <w:rsid w:val="5C0F450D"/>
    <w:rsid w:val="5C1227B4"/>
    <w:rsid w:val="5C15AE5E"/>
    <w:rsid w:val="5C1F07DA"/>
    <w:rsid w:val="5C25FB89"/>
    <w:rsid w:val="5C3FAD0E"/>
    <w:rsid w:val="5C4268FB"/>
    <w:rsid w:val="5C51B2BC"/>
    <w:rsid w:val="5C754F98"/>
    <w:rsid w:val="5C8118F0"/>
    <w:rsid w:val="5C8D6BFA"/>
    <w:rsid w:val="5C91CEC8"/>
    <w:rsid w:val="5C977C3F"/>
    <w:rsid w:val="5C9B788C"/>
    <w:rsid w:val="5C9BE0F9"/>
    <w:rsid w:val="5CC22838"/>
    <w:rsid w:val="5CC4AB85"/>
    <w:rsid w:val="5CCFF90D"/>
    <w:rsid w:val="5CF440AD"/>
    <w:rsid w:val="5D016DB7"/>
    <w:rsid w:val="5D09281B"/>
    <w:rsid w:val="5D116C5D"/>
    <w:rsid w:val="5D220907"/>
    <w:rsid w:val="5D2F5888"/>
    <w:rsid w:val="5D30D5E6"/>
    <w:rsid w:val="5D3D2AEB"/>
    <w:rsid w:val="5D41AF05"/>
    <w:rsid w:val="5D52E1CC"/>
    <w:rsid w:val="5D58FCEA"/>
    <w:rsid w:val="5D622770"/>
    <w:rsid w:val="5D6C1B7F"/>
    <w:rsid w:val="5D6F6D87"/>
    <w:rsid w:val="5D77F0E6"/>
    <w:rsid w:val="5D82492D"/>
    <w:rsid w:val="5D86EE77"/>
    <w:rsid w:val="5D86F444"/>
    <w:rsid w:val="5D890229"/>
    <w:rsid w:val="5D8F71A1"/>
    <w:rsid w:val="5D98EB75"/>
    <w:rsid w:val="5DA80290"/>
    <w:rsid w:val="5DAAA4F2"/>
    <w:rsid w:val="5DB05043"/>
    <w:rsid w:val="5DB7A4BA"/>
    <w:rsid w:val="5DBDC25C"/>
    <w:rsid w:val="5DE6D743"/>
    <w:rsid w:val="5DEB1FF6"/>
    <w:rsid w:val="5E0DEABF"/>
    <w:rsid w:val="5E140E85"/>
    <w:rsid w:val="5E24D3EF"/>
    <w:rsid w:val="5E3C6441"/>
    <w:rsid w:val="5E45D8AD"/>
    <w:rsid w:val="5E4DC770"/>
    <w:rsid w:val="5E660A5B"/>
    <w:rsid w:val="5E66FF68"/>
    <w:rsid w:val="5E8B55E0"/>
    <w:rsid w:val="5E933C33"/>
    <w:rsid w:val="5E9D5815"/>
    <w:rsid w:val="5EA5D08D"/>
    <w:rsid w:val="5EBBF1D9"/>
    <w:rsid w:val="5EBE3C19"/>
    <w:rsid w:val="5ED8A32B"/>
    <w:rsid w:val="5ED8ACA5"/>
    <w:rsid w:val="5EDC568E"/>
    <w:rsid w:val="5EDE9FF8"/>
    <w:rsid w:val="5EE47FC6"/>
    <w:rsid w:val="5EEF089D"/>
    <w:rsid w:val="5F1CC96E"/>
    <w:rsid w:val="5F220026"/>
    <w:rsid w:val="5F239C6F"/>
    <w:rsid w:val="5F4B558C"/>
    <w:rsid w:val="5F5A9825"/>
    <w:rsid w:val="5F604F01"/>
    <w:rsid w:val="5F6E5E49"/>
    <w:rsid w:val="5F6EC4A1"/>
    <w:rsid w:val="5F6F84EA"/>
    <w:rsid w:val="5F73E2AD"/>
    <w:rsid w:val="5F8BE32F"/>
    <w:rsid w:val="5F9082F3"/>
    <w:rsid w:val="5FA128FF"/>
    <w:rsid w:val="5FA1728C"/>
    <w:rsid w:val="5FB09A98"/>
    <w:rsid w:val="5FC63B7F"/>
    <w:rsid w:val="5FC81689"/>
    <w:rsid w:val="5FCE3292"/>
    <w:rsid w:val="5FDA43E8"/>
    <w:rsid w:val="5FED635A"/>
    <w:rsid w:val="5FF144E0"/>
    <w:rsid w:val="602484BA"/>
    <w:rsid w:val="6036E64A"/>
    <w:rsid w:val="603903D9"/>
    <w:rsid w:val="603BA672"/>
    <w:rsid w:val="60476184"/>
    <w:rsid w:val="604B3ACF"/>
    <w:rsid w:val="6051C0A2"/>
    <w:rsid w:val="6058CB5E"/>
    <w:rsid w:val="609F42F1"/>
    <w:rsid w:val="60A5F644"/>
    <w:rsid w:val="60CA84BD"/>
    <w:rsid w:val="60D82043"/>
    <w:rsid w:val="60DE1EBE"/>
    <w:rsid w:val="60E06E7A"/>
    <w:rsid w:val="60E6A051"/>
    <w:rsid w:val="60E8BA84"/>
    <w:rsid w:val="6105AB1F"/>
    <w:rsid w:val="610CC808"/>
    <w:rsid w:val="6130612A"/>
    <w:rsid w:val="613B2FD9"/>
    <w:rsid w:val="613D3016"/>
    <w:rsid w:val="61466000"/>
    <w:rsid w:val="614E3BDD"/>
    <w:rsid w:val="6164BBA5"/>
    <w:rsid w:val="617F283A"/>
    <w:rsid w:val="61807DAE"/>
    <w:rsid w:val="61833A18"/>
    <w:rsid w:val="619671AB"/>
    <w:rsid w:val="61A16727"/>
    <w:rsid w:val="61ADDAE2"/>
    <w:rsid w:val="61B1458D"/>
    <w:rsid w:val="61B6BFB2"/>
    <w:rsid w:val="61B80FBF"/>
    <w:rsid w:val="61E18018"/>
    <w:rsid w:val="61E8856F"/>
    <w:rsid w:val="61FE07C0"/>
    <w:rsid w:val="62064887"/>
    <w:rsid w:val="620E51EA"/>
    <w:rsid w:val="621AA811"/>
    <w:rsid w:val="621BD4A7"/>
    <w:rsid w:val="621C4BB8"/>
    <w:rsid w:val="6228CBCA"/>
    <w:rsid w:val="622B4A9A"/>
    <w:rsid w:val="6248503F"/>
    <w:rsid w:val="6249E7F9"/>
    <w:rsid w:val="624A815F"/>
    <w:rsid w:val="6255D9DE"/>
    <w:rsid w:val="625A9501"/>
    <w:rsid w:val="6260AC15"/>
    <w:rsid w:val="6266181C"/>
    <w:rsid w:val="6289A3E2"/>
    <w:rsid w:val="6298663F"/>
    <w:rsid w:val="629FC166"/>
    <w:rsid w:val="62C77A45"/>
    <w:rsid w:val="62D6A84C"/>
    <w:rsid w:val="62DCC93D"/>
    <w:rsid w:val="62E90C8B"/>
    <w:rsid w:val="62EBE029"/>
    <w:rsid w:val="62EEB4BD"/>
    <w:rsid w:val="62F77E9A"/>
    <w:rsid w:val="6300E081"/>
    <w:rsid w:val="6313501E"/>
    <w:rsid w:val="6313E6CD"/>
    <w:rsid w:val="63178EB2"/>
    <w:rsid w:val="631E0E5D"/>
    <w:rsid w:val="632839EE"/>
    <w:rsid w:val="632B0258"/>
    <w:rsid w:val="632B5C1A"/>
    <w:rsid w:val="63428532"/>
    <w:rsid w:val="6351ED50"/>
    <w:rsid w:val="6356850B"/>
    <w:rsid w:val="635A23B7"/>
    <w:rsid w:val="635A624D"/>
    <w:rsid w:val="636C4A8D"/>
    <w:rsid w:val="636ED55F"/>
    <w:rsid w:val="6383DAAD"/>
    <w:rsid w:val="6394C094"/>
    <w:rsid w:val="6397949D"/>
    <w:rsid w:val="63DEC8EC"/>
    <w:rsid w:val="63F17BCF"/>
    <w:rsid w:val="63F4A623"/>
    <w:rsid w:val="6407D3C4"/>
    <w:rsid w:val="640D47CD"/>
    <w:rsid w:val="640FD893"/>
    <w:rsid w:val="642BD6AA"/>
    <w:rsid w:val="64349557"/>
    <w:rsid w:val="644088DB"/>
    <w:rsid w:val="6448BBA9"/>
    <w:rsid w:val="644C5799"/>
    <w:rsid w:val="644DB4A7"/>
    <w:rsid w:val="64722008"/>
    <w:rsid w:val="647781F2"/>
    <w:rsid w:val="64928347"/>
    <w:rsid w:val="64A7B015"/>
    <w:rsid w:val="64B8108C"/>
    <w:rsid w:val="64BC2CB8"/>
    <w:rsid w:val="64BD4B7E"/>
    <w:rsid w:val="64C0AE4E"/>
    <w:rsid w:val="64C84C47"/>
    <w:rsid w:val="64CB9421"/>
    <w:rsid w:val="64F26301"/>
    <w:rsid w:val="64F4315A"/>
    <w:rsid w:val="64FAB204"/>
    <w:rsid w:val="65056059"/>
    <w:rsid w:val="651B1BD5"/>
    <w:rsid w:val="651CBEBA"/>
    <w:rsid w:val="651DE2D8"/>
    <w:rsid w:val="651F3BB8"/>
    <w:rsid w:val="6526888F"/>
    <w:rsid w:val="653D96A0"/>
    <w:rsid w:val="653E16DA"/>
    <w:rsid w:val="654575AD"/>
    <w:rsid w:val="655A1859"/>
    <w:rsid w:val="656E2CFA"/>
    <w:rsid w:val="656FBEBC"/>
    <w:rsid w:val="6598295A"/>
    <w:rsid w:val="659FF00B"/>
    <w:rsid w:val="65A94AAE"/>
    <w:rsid w:val="65AA4A0F"/>
    <w:rsid w:val="65ABC86B"/>
    <w:rsid w:val="65AF6FD4"/>
    <w:rsid w:val="65B37D05"/>
    <w:rsid w:val="65B64495"/>
    <w:rsid w:val="65C5715D"/>
    <w:rsid w:val="65F67304"/>
    <w:rsid w:val="662C28FE"/>
    <w:rsid w:val="662FFB97"/>
    <w:rsid w:val="6630CA81"/>
    <w:rsid w:val="6634D8FA"/>
    <w:rsid w:val="663C828F"/>
    <w:rsid w:val="66468081"/>
    <w:rsid w:val="66522990"/>
    <w:rsid w:val="6661DE81"/>
    <w:rsid w:val="6664626D"/>
    <w:rsid w:val="6668C887"/>
    <w:rsid w:val="6679ADC2"/>
    <w:rsid w:val="667B1055"/>
    <w:rsid w:val="668E9C98"/>
    <w:rsid w:val="6698D867"/>
    <w:rsid w:val="669CA29C"/>
    <w:rsid w:val="66A64DBC"/>
    <w:rsid w:val="66AC534E"/>
    <w:rsid w:val="66B787F6"/>
    <w:rsid w:val="66BC1516"/>
    <w:rsid w:val="66BDDF63"/>
    <w:rsid w:val="66C91DF4"/>
    <w:rsid w:val="66D139D1"/>
    <w:rsid w:val="66FF41DC"/>
    <w:rsid w:val="6701E6BC"/>
    <w:rsid w:val="6705E6F6"/>
    <w:rsid w:val="670A79C2"/>
    <w:rsid w:val="67161557"/>
    <w:rsid w:val="671FBE36"/>
    <w:rsid w:val="6734A69F"/>
    <w:rsid w:val="673ACBFE"/>
    <w:rsid w:val="673F9210"/>
    <w:rsid w:val="6751CDC8"/>
    <w:rsid w:val="675F4785"/>
    <w:rsid w:val="676BCC31"/>
    <w:rsid w:val="6773A3A4"/>
    <w:rsid w:val="6774CC4A"/>
    <w:rsid w:val="677A7D3C"/>
    <w:rsid w:val="677C522C"/>
    <w:rsid w:val="67A1A2F2"/>
    <w:rsid w:val="67A4BF94"/>
    <w:rsid w:val="67AC16C2"/>
    <w:rsid w:val="67B7245F"/>
    <w:rsid w:val="67CBB1EA"/>
    <w:rsid w:val="67E1C3CD"/>
    <w:rsid w:val="67EAE4D7"/>
    <w:rsid w:val="67EB09A0"/>
    <w:rsid w:val="67EF4E89"/>
    <w:rsid w:val="67F5BE39"/>
    <w:rsid w:val="67F99F06"/>
    <w:rsid w:val="6800E34B"/>
    <w:rsid w:val="680541BD"/>
    <w:rsid w:val="6818643E"/>
    <w:rsid w:val="682A2022"/>
    <w:rsid w:val="68323E81"/>
    <w:rsid w:val="6834CC67"/>
    <w:rsid w:val="685FC8B4"/>
    <w:rsid w:val="687DBD0B"/>
    <w:rsid w:val="6890AB59"/>
    <w:rsid w:val="68922501"/>
    <w:rsid w:val="68AE5581"/>
    <w:rsid w:val="68AF8671"/>
    <w:rsid w:val="68B7D679"/>
    <w:rsid w:val="68D65AD1"/>
    <w:rsid w:val="68EA09BC"/>
    <w:rsid w:val="68F208AA"/>
    <w:rsid w:val="6904124D"/>
    <w:rsid w:val="6904D5A3"/>
    <w:rsid w:val="6910097C"/>
    <w:rsid w:val="69185760"/>
    <w:rsid w:val="69234475"/>
    <w:rsid w:val="695621F4"/>
    <w:rsid w:val="6957E00D"/>
    <w:rsid w:val="6960563D"/>
    <w:rsid w:val="697D7E17"/>
    <w:rsid w:val="697FD49C"/>
    <w:rsid w:val="698034A7"/>
    <w:rsid w:val="6980F261"/>
    <w:rsid w:val="698D566B"/>
    <w:rsid w:val="698F7740"/>
    <w:rsid w:val="69903ED3"/>
    <w:rsid w:val="6990C814"/>
    <w:rsid w:val="69B5DCE2"/>
    <w:rsid w:val="69C23D0F"/>
    <w:rsid w:val="69D2FF71"/>
    <w:rsid w:val="69E229EA"/>
    <w:rsid w:val="69E56CEC"/>
    <w:rsid w:val="69EA5D53"/>
    <w:rsid w:val="69ECA2FC"/>
    <w:rsid w:val="69F963BD"/>
    <w:rsid w:val="69F98B88"/>
    <w:rsid w:val="6A049183"/>
    <w:rsid w:val="6A05D827"/>
    <w:rsid w:val="6A0BD59D"/>
    <w:rsid w:val="6A0D8263"/>
    <w:rsid w:val="6A156559"/>
    <w:rsid w:val="6A169704"/>
    <w:rsid w:val="6A1D197D"/>
    <w:rsid w:val="6A2F2A0F"/>
    <w:rsid w:val="6A51B858"/>
    <w:rsid w:val="6A5E9EF9"/>
    <w:rsid w:val="6A635A1A"/>
    <w:rsid w:val="6A6A15B0"/>
    <w:rsid w:val="6A718C32"/>
    <w:rsid w:val="6A85E482"/>
    <w:rsid w:val="6AA0B056"/>
    <w:rsid w:val="6AA77F69"/>
    <w:rsid w:val="6AAE44FA"/>
    <w:rsid w:val="6AB7E656"/>
    <w:rsid w:val="6ABA768F"/>
    <w:rsid w:val="6AC2EA98"/>
    <w:rsid w:val="6ADD8FDD"/>
    <w:rsid w:val="6AE6E0E9"/>
    <w:rsid w:val="6AE79CF7"/>
    <w:rsid w:val="6AE89752"/>
    <w:rsid w:val="6AEC1C5B"/>
    <w:rsid w:val="6AEFDF5F"/>
    <w:rsid w:val="6B09E845"/>
    <w:rsid w:val="6B1248D5"/>
    <w:rsid w:val="6B1A8B06"/>
    <w:rsid w:val="6B2CC514"/>
    <w:rsid w:val="6B2EC078"/>
    <w:rsid w:val="6B2F047A"/>
    <w:rsid w:val="6B3C2824"/>
    <w:rsid w:val="6B42345D"/>
    <w:rsid w:val="6B4C9CA5"/>
    <w:rsid w:val="6B500A01"/>
    <w:rsid w:val="6B5D5BC0"/>
    <w:rsid w:val="6B6D637F"/>
    <w:rsid w:val="6BAA3C07"/>
    <w:rsid w:val="6BC60F28"/>
    <w:rsid w:val="6BCD3B11"/>
    <w:rsid w:val="6BE45833"/>
    <w:rsid w:val="6C04109B"/>
    <w:rsid w:val="6C08FAC1"/>
    <w:rsid w:val="6C097610"/>
    <w:rsid w:val="6C1D1DE4"/>
    <w:rsid w:val="6C2E04D4"/>
    <w:rsid w:val="6C307932"/>
    <w:rsid w:val="6C45808A"/>
    <w:rsid w:val="6C4ED52E"/>
    <w:rsid w:val="6C52C610"/>
    <w:rsid w:val="6C69EDD5"/>
    <w:rsid w:val="6C7EBAB0"/>
    <w:rsid w:val="6C7F2B0C"/>
    <w:rsid w:val="6C9C1AE3"/>
    <w:rsid w:val="6CE1FD89"/>
    <w:rsid w:val="6CEF36EB"/>
    <w:rsid w:val="6CF13E86"/>
    <w:rsid w:val="6D0DB6B6"/>
    <w:rsid w:val="6D0FBBB4"/>
    <w:rsid w:val="6D2B7226"/>
    <w:rsid w:val="6D2DBB20"/>
    <w:rsid w:val="6D493204"/>
    <w:rsid w:val="6D6790A9"/>
    <w:rsid w:val="6D94E699"/>
    <w:rsid w:val="6D96E57A"/>
    <w:rsid w:val="6D98C619"/>
    <w:rsid w:val="6D9C1175"/>
    <w:rsid w:val="6DBA7B03"/>
    <w:rsid w:val="6DD3B3A4"/>
    <w:rsid w:val="6DECB496"/>
    <w:rsid w:val="6DEF5AAB"/>
    <w:rsid w:val="6E024AD7"/>
    <w:rsid w:val="6E088C39"/>
    <w:rsid w:val="6E2B7F24"/>
    <w:rsid w:val="6E37B71E"/>
    <w:rsid w:val="6E48FEAF"/>
    <w:rsid w:val="6E568418"/>
    <w:rsid w:val="6E5B1150"/>
    <w:rsid w:val="6E620C25"/>
    <w:rsid w:val="6E713DA4"/>
    <w:rsid w:val="6E865BA5"/>
    <w:rsid w:val="6E8B312B"/>
    <w:rsid w:val="6E96F25B"/>
    <w:rsid w:val="6EB82D32"/>
    <w:rsid w:val="6EC72DFF"/>
    <w:rsid w:val="6ECA638C"/>
    <w:rsid w:val="6EF91E94"/>
    <w:rsid w:val="6F10D899"/>
    <w:rsid w:val="6F24BA36"/>
    <w:rsid w:val="6F292FC6"/>
    <w:rsid w:val="6F2E0512"/>
    <w:rsid w:val="6F5B05BD"/>
    <w:rsid w:val="6F651AF7"/>
    <w:rsid w:val="6F68267A"/>
    <w:rsid w:val="6F71C53D"/>
    <w:rsid w:val="6F7249D9"/>
    <w:rsid w:val="6F838E7B"/>
    <w:rsid w:val="6F843CAD"/>
    <w:rsid w:val="6F85DF1E"/>
    <w:rsid w:val="6F96424B"/>
    <w:rsid w:val="6FB89B8E"/>
    <w:rsid w:val="6FBA336D"/>
    <w:rsid w:val="6FC17D61"/>
    <w:rsid w:val="6FC7A1C8"/>
    <w:rsid w:val="6FD3872D"/>
    <w:rsid w:val="6FFA4062"/>
    <w:rsid w:val="6FFFD51B"/>
    <w:rsid w:val="700A8B14"/>
    <w:rsid w:val="701DD448"/>
    <w:rsid w:val="703B748D"/>
    <w:rsid w:val="7040DD95"/>
    <w:rsid w:val="704C8BBA"/>
    <w:rsid w:val="70519449"/>
    <w:rsid w:val="70611C21"/>
    <w:rsid w:val="70633529"/>
    <w:rsid w:val="7066DC4A"/>
    <w:rsid w:val="706954C7"/>
    <w:rsid w:val="706C6FB4"/>
    <w:rsid w:val="70785758"/>
    <w:rsid w:val="7078714F"/>
    <w:rsid w:val="70819B44"/>
    <w:rsid w:val="70856778"/>
    <w:rsid w:val="70949DA7"/>
    <w:rsid w:val="7096EE63"/>
    <w:rsid w:val="7098A62D"/>
    <w:rsid w:val="709D9F83"/>
    <w:rsid w:val="70A2F0F1"/>
    <w:rsid w:val="70A77402"/>
    <w:rsid w:val="70AC88AF"/>
    <w:rsid w:val="70AD89D8"/>
    <w:rsid w:val="70B5F3BA"/>
    <w:rsid w:val="70BD5255"/>
    <w:rsid w:val="70C5C324"/>
    <w:rsid w:val="70C7B699"/>
    <w:rsid w:val="70C90E69"/>
    <w:rsid w:val="70D1B047"/>
    <w:rsid w:val="70D49B7B"/>
    <w:rsid w:val="70E4F39B"/>
    <w:rsid w:val="70E6D7D4"/>
    <w:rsid w:val="70E86ADE"/>
    <w:rsid w:val="70F05EAA"/>
    <w:rsid w:val="70F1F6D1"/>
    <w:rsid w:val="70F723E8"/>
    <w:rsid w:val="70FE80D6"/>
    <w:rsid w:val="7103AE46"/>
    <w:rsid w:val="710C051B"/>
    <w:rsid w:val="710ED607"/>
    <w:rsid w:val="7117B804"/>
    <w:rsid w:val="7117CF9A"/>
    <w:rsid w:val="71303F5D"/>
    <w:rsid w:val="7141DAD7"/>
    <w:rsid w:val="71523B13"/>
    <w:rsid w:val="7163C215"/>
    <w:rsid w:val="7167157E"/>
    <w:rsid w:val="718321EA"/>
    <w:rsid w:val="71913041"/>
    <w:rsid w:val="71AA3723"/>
    <w:rsid w:val="71AB50C2"/>
    <w:rsid w:val="71B5645B"/>
    <w:rsid w:val="71B866F7"/>
    <w:rsid w:val="71DBF980"/>
    <w:rsid w:val="71E29FB8"/>
    <w:rsid w:val="71F6A364"/>
    <w:rsid w:val="71FDC2DE"/>
    <w:rsid w:val="7200615B"/>
    <w:rsid w:val="720738D8"/>
    <w:rsid w:val="72076C2C"/>
    <w:rsid w:val="7216291E"/>
    <w:rsid w:val="7223A335"/>
    <w:rsid w:val="7226EB90"/>
    <w:rsid w:val="72291D38"/>
    <w:rsid w:val="7245292D"/>
    <w:rsid w:val="7254B20B"/>
    <w:rsid w:val="72665B6E"/>
    <w:rsid w:val="727119CC"/>
    <w:rsid w:val="72750647"/>
    <w:rsid w:val="72893C9D"/>
    <w:rsid w:val="728D4834"/>
    <w:rsid w:val="729E1959"/>
    <w:rsid w:val="72C0A66F"/>
    <w:rsid w:val="72C0BB32"/>
    <w:rsid w:val="72D9DA5E"/>
    <w:rsid w:val="72EABF38"/>
    <w:rsid w:val="72F6E381"/>
    <w:rsid w:val="73001881"/>
    <w:rsid w:val="7309B531"/>
    <w:rsid w:val="73146075"/>
    <w:rsid w:val="731728D4"/>
    <w:rsid w:val="7323F840"/>
    <w:rsid w:val="73252289"/>
    <w:rsid w:val="7329E7A6"/>
    <w:rsid w:val="732A7191"/>
    <w:rsid w:val="732C5FB2"/>
    <w:rsid w:val="732EC21F"/>
    <w:rsid w:val="733C9F92"/>
    <w:rsid w:val="73713F31"/>
    <w:rsid w:val="7375EE05"/>
    <w:rsid w:val="73A5FFB7"/>
    <w:rsid w:val="73AA240A"/>
    <w:rsid w:val="73B6A0F2"/>
    <w:rsid w:val="73C03C2F"/>
    <w:rsid w:val="73C356FC"/>
    <w:rsid w:val="73C903E5"/>
    <w:rsid w:val="73E1B0F3"/>
    <w:rsid w:val="73EB4272"/>
    <w:rsid w:val="73F4DA77"/>
    <w:rsid w:val="73FF6BA9"/>
    <w:rsid w:val="741CA374"/>
    <w:rsid w:val="74246814"/>
    <w:rsid w:val="7429160C"/>
    <w:rsid w:val="74341D30"/>
    <w:rsid w:val="74371354"/>
    <w:rsid w:val="7437754F"/>
    <w:rsid w:val="7441CCC0"/>
    <w:rsid w:val="7448B6EC"/>
    <w:rsid w:val="745E6956"/>
    <w:rsid w:val="745F2423"/>
    <w:rsid w:val="746C2EAD"/>
    <w:rsid w:val="7471A6C2"/>
    <w:rsid w:val="747D1D9B"/>
    <w:rsid w:val="748A399A"/>
    <w:rsid w:val="748C6F2D"/>
    <w:rsid w:val="7493D051"/>
    <w:rsid w:val="74AE2B67"/>
    <w:rsid w:val="74B49288"/>
    <w:rsid w:val="74C52F3D"/>
    <w:rsid w:val="74CF2AE2"/>
    <w:rsid w:val="74D3E124"/>
    <w:rsid w:val="74DA093C"/>
    <w:rsid w:val="74DF651C"/>
    <w:rsid w:val="74E2DB45"/>
    <w:rsid w:val="74E635B7"/>
    <w:rsid w:val="750B9B39"/>
    <w:rsid w:val="7518E63D"/>
    <w:rsid w:val="751DCD61"/>
    <w:rsid w:val="751F9635"/>
    <w:rsid w:val="752BF818"/>
    <w:rsid w:val="755422B5"/>
    <w:rsid w:val="7562FF29"/>
    <w:rsid w:val="75661882"/>
    <w:rsid w:val="756C682E"/>
    <w:rsid w:val="756FE872"/>
    <w:rsid w:val="75706F4A"/>
    <w:rsid w:val="757DF6C4"/>
    <w:rsid w:val="7582ED1D"/>
    <w:rsid w:val="75A4D09E"/>
    <w:rsid w:val="75A65FF6"/>
    <w:rsid w:val="75ACB272"/>
    <w:rsid w:val="75BB52FE"/>
    <w:rsid w:val="75C3EC66"/>
    <w:rsid w:val="75D1D269"/>
    <w:rsid w:val="75E15E3B"/>
    <w:rsid w:val="7611A16F"/>
    <w:rsid w:val="7615D84E"/>
    <w:rsid w:val="761610F6"/>
    <w:rsid w:val="761ED283"/>
    <w:rsid w:val="7633FB01"/>
    <w:rsid w:val="7636D3F2"/>
    <w:rsid w:val="7639726F"/>
    <w:rsid w:val="7639D100"/>
    <w:rsid w:val="763D707C"/>
    <w:rsid w:val="7652AA8C"/>
    <w:rsid w:val="76559DE6"/>
    <w:rsid w:val="765B6129"/>
    <w:rsid w:val="76637D4A"/>
    <w:rsid w:val="766D0F52"/>
    <w:rsid w:val="767CF0D4"/>
    <w:rsid w:val="76900C93"/>
    <w:rsid w:val="7694616D"/>
    <w:rsid w:val="769EAB11"/>
    <w:rsid w:val="76AA155E"/>
    <w:rsid w:val="76B0AB00"/>
    <w:rsid w:val="76B8C863"/>
    <w:rsid w:val="76BF1281"/>
    <w:rsid w:val="76D8C048"/>
    <w:rsid w:val="76EE2771"/>
    <w:rsid w:val="76EFA11B"/>
    <w:rsid w:val="76F3AB2F"/>
    <w:rsid w:val="76FF4F6B"/>
    <w:rsid w:val="7708A41F"/>
    <w:rsid w:val="770EA7C5"/>
    <w:rsid w:val="770FD583"/>
    <w:rsid w:val="7714338F"/>
    <w:rsid w:val="7719F392"/>
    <w:rsid w:val="771A6296"/>
    <w:rsid w:val="772102E5"/>
    <w:rsid w:val="77273D8E"/>
    <w:rsid w:val="772F293C"/>
    <w:rsid w:val="775CBEC5"/>
    <w:rsid w:val="775F92BA"/>
    <w:rsid w:val="77664224"/>
    <w:rsid w:val="77673CB5"/>
    <w:rsid w:val="7770A620"/>
    <w:rsid w:val="7770C170"/>
    <w:rsid w:val="7785A1CB"/>
    <w:rsid w:val="77AE519D"/>
    <w:rsid w:val="77AE8BE3"/>
    <w:rsid w:val="77B1C086"/>
    <w:rsid w:val="77B7461F"/>
    <w:rsid w:val="77CE7F23"/>
    <w:rsid w:val="77D45BC2"/>
    <w:rsid w:val="77E2DC63"/>
    <w:rsid w:val="77ED78CC"/>
    <w:rsid w:val="77F05FCB"/>
    <w:rsid w:val="77F68695"/>
    <w:rsid w:val="77FF961C"/>
    <w:rsid w:val="780DB4C3"/>
    <w:rsid w:val="7814F504"/>
    <w:rsid w:val="78216A62"/>
    <w:rsid w:val="78276A77"/>
    <w:rsid w:val="7827949E"/>
    <w:rsid w:val="7849C042"/>
    <w:rsid w:val="7862A9DA"/>
    <w:rsid w:val="7874FAB1"/>
    <w:rsid w:val="7878E3D3"/>
    <w:rsid w:val="78827624"/>
    <w:rsid w:val="78845515"/>
    <w:rsid w:val="788765A3"/>
    <w:rsid w:val="788BA3BB"/>
    <w:rsid w:val="7899B1D0"/>
    <w:rsid w:val="78A3F7C5"/>
    <w:rsid w:val="78ACBB4D"/>
    <w:rsid w:val="78BBD522"/>
    <w:rsid w:val="78BCC078"/>
    <w:rsid w:val="78BE3AFD"/>
    <w:rsid w:val="78C74D5C"/>
    <w:rsid w:val="78D8F1F2"/>
    <w:rsid w:val="78DCF51A"/>
    <w:rsid w:val="79087DFF"/>
    <w:rsid w:val="79223EFC"/>
    <w:rsid w:val="79275196"/>
    <w:rsid w:val="7930A376"/>
    <w:rsid w:val="79314BD4"/>
    <w:rsid w:val="79328926"/>
    <w:rsid w:val="7933E0F1"/>
    <w:rsid w:val="794260BE"/>
    <w:rsid w:val="79433B96"/>
    <w:rsid w:val="794502EA"/>
    <w:rsid w:val="794C02CC"/>
    <w:rsid w:val="794C3308"/>
    <w:rsid w:val="795ABFF6"/>
    <w:rsid w:val="797890E4"/>
    <w:rsid w:val="798CC82F"/>
    <w:rsid w:val="7993DBBF"/>
    <w:rsid w:val="799D9817"/>
    <w:rsid w:val="79AA8143"/>
    <w:rsid w:val="79BC0C00"/>
    <w:rsid w:val="79C0B705"/>
    <w:rsid w:val="79C636F7"/>
    <w:rsid w:val="79DA1B16"/>
    <w:rsid w:val="7A019A3C"/>
    <w:rsid w:val="7A04A859"/>
    <w:rsid w:val="7A2079BF"/>
    <w:rsid w:val="7A2152EE"/>
    <w:rsid w:val="7A2D9B99"/>
    <w:rsid w:val="7A44ABEB"/>
    <w:rsid w:val="7A4A17BC"/>
    <w:rsid w:val="7A4C635E"/>
    <w:rsid w:val="7A53D27A"/>
    <w:rsid w:val="7A668B1D"/>
    <w:rsid w:val="7A7CB03C"/>
    <w:rsid w:val="7A8307A4"/>
    <w:rsid w:val="7A8C753B"/>
    <w:rsid w:val="7AB1E091"/>
    <w:rsid w:val="7AB49957"/>
    <w:rsid w:val="7AC8F362"/>
    <w:rsid w:val="7ACBEBDF"/>
    <w:rsid w:val="7AEA61B3"/>
    <w:rsid w:val="7AFDA399"/>
    <w:rsid w:val="7B0458DD"/>
    <w:rsid w:val="7B4061C5"/>
    <w:rsid w:val="7B40F691"/>
    <w:rsid w:val="7B459D21"/>
    <w:rsid w:val="7B468071"/>
    <w:rsid w:val="7B4A1F42"/>
    <w:rsid w:val="7B4E84FE"/>
    <w:rsid w:val="7B50AE62"/>
    <w:rsid w:val="7B58B75E"/>
    <w:rsid w:val="7B58DECE"/>
    <w:rsid w:val="7B65CBAE"/>
    <w:rsid w:val="7B753A05"/>
    <w:rsid w:val="7B76080B"/>
    <w:rsid w:val="7B821117"/>
    <w:rsid w:val="7B880545"/>
    <w:rsid w:val="7B8A2D73"/>
    <w:rsid w:val="7B9DDFFB"/>
    <w:rsid w:val="7BAAAAAE"/>
    <w:rsid w:val="7BC8A7FB"/>
    <w:rsid w:val="7BDAAA54"/>
    <w:rsid w:val="7BEC6D36"/>
    <w:rsid w:val="7BEF1244"/>
    <w:rsid w:val="7C1B7263"/>
    <w:rsid w:val="7C1C3118"/>
    <w:rsid w:val="7C2911F6"/>
    <w:rsid w:val="7C39236C"/>
    <w:rsid w:val="7C40D490"/>
    <w:rsid w:val="7C46A407"/>
    <w:rsid w:val="7C6CE93A"/>
    <w:rsid w:val="7C7199F9"/>
    <w:rsid w:val="7C81C78D"/>
    <w:rsid w:val="7C8531A9"/>
    <w:rsid w:val="7C85C0E7"/>
    <w:rsid w:val="7C8B075F"/>
    <w:rsid w:val="7C90C658"/>
    <w:rsid w:val="7C9A219D"/>
    <w:rsid w:val="7CA34F02"/>
    <w:rsid w:val="7CA85F3B"/>
    <w:rsid w:val="7CBA7407"/>
    <w:rsid w:val="7CC043F0"/>
    <w:rsid w:val="7CC2257F"/>
    <w:rsid w:val="7CFA38D3"/>
    <w:rsid w:val="7D158565"/>
    <w:rsid w:val="7D23A170"/>
    <w:rsid w:val="7D243177"/>
    <w:rsid w:val="7D25104F"/>
    <w:rsid w:val="7D356884"/>
    <w:rsid w:val="7D505AFA"/>
    <w:rsid w:val="7D68E81A"/>
    <w:rsid w:val="7D6B53B5"/>
    <w:rsid w:val="7D6BEE6B"/>
    <w:rsid w:val="7D702B74"/>
    <w:rsid w:val="7D7A6DFE"/>
    <w:rsid w:val="7D7C4C28"/>
    <w:rsid w:val="7D8158BE"/>
    <w:rsid w:val="7D83CDA9"/>
    <w:rsid w:val="7D8D777D"/>
    <w:rsid w:val="7D8D7C09"/>
    <w:rsid w:val="7D8F42C5"/>
    <w:rsid w:val="7D909B84"/>
    <w:rsid w:val="7D90E2DC"/>
    <w:rsid w:val="7D9186B8"/>
    <w:rsid w:val="7D91AC20"/>
    <w:rsid w:val="7D926926"/>
    <w:rsid w:val="7D948784"/>
    <w:rsid w:val="7D9ABBF2"/>
    <w:rsid w:val="7DA0F5F2"/>
    <w:rsid w:val="7DA3B504"/>
    <w:rsid w:val="7DAC42A9"/>
    <w:rsid w:val="7DE35757"/>
    <w:rsid w:val="7E13E9D1"/>
    <w:rsid w:val="7E1E63DC"/>
    <w:rsid w:val="7E257BBE"/>
    <w:rsid w:val="7E26AB2A"/>
    <w:rsid w:val="7E333A2B"/>
    <w:rsid w:val="7E3A2A67"/>
    <w:rsid w:val="7E40C9C8"/>
    <w:rsid w:val="7E5B088E"/>
    <w:rsid w:val="7E6267FE"/>
    <w:rsid w:val="7E653276"/>
    <w:rsid w:val="7E804747"/>
    <w:rsid w:val="7E94144B"/>
    <w:rsid w:val="7EA243A1"/>
    <w:rsid w:val="7EA30AF0"/>
    <w:rsid w:val="7EBB85AF"/>
    <w:rsid w:val="7EC5990D"/>
    <w:rsid w:val="7ED481DE"/>
    <w:rsid w:val="7ED6C304"/>
    <w:rsid w:val="7EDBE0B7"/>
    <w:rsid w:val="7EECD81C"/>
    <w:rsid w:val="7EF3940E"/>
    <w:rsid w:val="7F047953"/>
    <w:rsid w:val="7F142D58"/>
    <w:rsid w:val="7F16763C"/>
    <w:rsid w:val="7F16D598"/>
    <w:rsid w:val="7F1A0CB6"/>
    <w:rsid w:val="7F1C9EE0"/>
    <w:rsid w:val="7F1EEB8A"/>
    <w:rsid w:val="7F1FF578"/>
    <w:rsid w:val="7F281BFF"/>
    <w:rsid w:val="7F2DAB6B"/>
    <w:rsid w:val="7F32208C"/>
    <w:rsid w:val="7F394EC6"/>
    <w:rsid w:val="7F57BDA3"/>
    <w:rsid w:val="7F5D17AD"/>
    <w:rsid w:val="7F622117"/>
    <w:rsid w:val="7F622591"/>
    <w:rsid w:val="7F69604E"/>
    <w:rsid w:val="7F6CBBC4"/>
    <w:rsid w:val="7F959C78"/>
    <w:rsid w:val="7FA66E9F"/>
    <w:rsid w:val="7FA86347"/>
    <w:rsid w:val="7FB0971F"/>
    <w:rsid w:val="7FC143C7"/>
    <w:rsid w:val="7FCBC305"/>
    <w:rsid w:val="7FD59A9F"/>
    <w:rsid w:val="7FE01129"/>
    <w:rsid w:val="7FE580CD"/>
  </w:rsids>
  <m:mathPr>
    <m:mathFont m:val="Cambria Math"/>
    <m:brkBin m:val="before"/>
    <m:brkBinSub m:val="--"/>
    <m:smallFrac m:val="0"/>
    <m:dispDef/>
    <m:lMargin m:val="0"/>
    <m:rMargin m:val="0"/>
    <m:defJc m:val="centerGroup"/>
    <m:wrapIndent m:val="1440"/>
    <m:intLim m:val="subSup"/>
    <m:naryLim m:val="undOvr"/>
  </m:mathPr>
  <w:themeFontLang w:val="en-SG"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84D9E98"/>
  <w15:docId w15:val="{B9A4BD34-A2F5-48C6-B6E8-BB2A45E6328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SG"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06787"/>
    <w:pPr>
      <w:keepLines/>
      <w:suppressAutoHyphens/>
      <w:spacing w:before="120" w:after="0"/>
    </w:pPr>
    <w:rPr>
      <w:lang w:eastAsia="en-GB"/>
    </w:rPr>
  </w:style>
  <w:style w:type="paragraph" w:styleId="Heading1">
    <w:name w:val="heading 1"/>
    <w:basedOn w:val="Normal"/>
    <w:next w:val="Normal"/>
    <w:link w:val="Heading1Char"/>
    <w:uiPriority w:val="9"/>
    <w:qFormat/>
    <w:rsid w:val="00327E4B"/>
    <w:pPr>
      <w:keepNext/>
      <w:pageBreakBefore/>
      <w:shd w:val="clear" w:color="auto" w:fill="EDF1F9"/>
      <w:spacing w:line="720" w:lineRule="auto"/>
      <w:jc w:val="center"/>
      <w:outlineLvl w:val="0"/>
    </w:pPr>
    <w:rPr>
      <w:rFonts w:ascii="Times New Roman" w:eastAsiaTheme="majorEastAsia" w:hAnsi="Times New Roman" w:cs="Times New Roman"/>
      <w:b/>
      <w:bCs/>
      <w:color w:val="2F5496" w:themeColor="accent1" w:themeShade="BF"/>
      <w:sz w:val="144"/>
      <w:szCs w:val="144"/>
      <w14:shadow w14:blurRad="63500" w14:dist="50800" w14:dir="13500000" w14:sx="0" w14:sy="0" w14:kx="0" w14:ky="0" w14:algn="none">
        <w14:srgbClr w14:val="000000">
          <w14:alpha w14:val="50000"/>
        </w14:srgbClr>
      </w14:shadow>
      <w14:reflection w14:blurRad="6350" w14:stA="55000" w14:stPos="0" w14:endA="300" w14:endPos="45500" w14:dist="0" w14:dir="5400000" w14:fadeDir="5400000" w14:sx="100000" w14:sy="-100000" w14:kx="0" w14:ky="0" w14:algn="bl"/>
    </w:rPr>
  </w:style>
  <w:style w:type="paragraph" w:styleId="Heading2">
    <w:name w:val="heading 2"/>
    <w:basedOn w:val="Normal"/>
    <w:next w:val="Normal"/>
    <w:link w:val="Heading2Char"/>
    <w:uiPriority w:val="9"/>
    <w:unhideWhenUsed/>
    <w:qFormat/>
    <w:rsid w:val="00B373E2"/>
    <w:pPr>
      <w:keepNext/>
      <w:pageBreakBefore/>
      <w:pBdr>
        <w:top w:val="single" w:sz="4" w:space="1" w:color="BDD6EE" w:themeColor="accent5" w:themeTint="66"/>
      </w:pBdr>
      <w:shd w:val="clear" w:color="auto" w:fill="F1F7F9"/>
      <w:spacing w:before="2040" w:after="240"/>
      <w:jc w:val="right"/>
      <w:outlineLvl w:val="1"/>
    </w:pPr>
    <w:rPr>
      <w:rFonts w:ascii="Times New Roman" w:eastAsiaTheme="majorEastAsia" w:hAnsi="Times New Roman" w:cs="Times New Roman"/>
      <w:b/>
      <w:bCs/>
      <w:color w:val="4472C4" w:themeColor="accent1"/>
      <w:sz w:val="72"/>
      <w:szCs w:val="72"/>
      <w14:shadow w14:blurRad="63500" w14:dist="50800" w14:dir="13500000" w14:sx="0" w14:sy="0" w14:kx="0" w14:ky="0" w14:algn="none">
        <w14:srgbClr w14:val="000000">
          <w14:alpha w14:val="50000"/>
        </w14:srgbClr>
      </w14:shadow>
      <w14:textFill>
        <w14:gradFill>
          <w14:gsLst>
            <w14:gs w14:pos="0">
              <w14:schemeClr w14:val="accent1">
                <w14:lumMod w14:val="40000"/>
                <w14:lumOff w14:val="60000"/>
              </w14:schemeClr>
            </w14:gs>
            <w14:gs w14:pos="46000">
              <w14:schemeClr w14:val="accent1">
                <w14:lumMod w14:val="95000"/>
                <w14:lumOff w14:val="5000"/>
              </w14:schemeClr>
            </w14:gs>
            <w14:gs w14:pos="100000">
              <w14:schemeClr w14:val="accent1">
                <w14:lumMod w14:val="60000"/>
              </w14:schemeClr>
            </w14:gs>
          </w14:gsLst>
          <w14:lin w14:ang="2700000" w14:scaled="1"/>
        </w14:gradFill>
      </w14:textFill>
    </w:rPr>
  </w:style>
  <w:style w:type="paragraph" w:styleId="Heading3">
    <w:name w:val="heading 3"/>
    <w:basedOn w:val="Normal"/>
    <w:next w:val="Normal"/>
    <w:link w:val="Heading3Char"/>
    <w:uiPriority w:val="9"/>
    <w:unhideWhenUsed/>
    <w:qFormat/>
    <w:rsid w:val="00540F68"/>
    <w:pPr>
      <w:keepNext/>
      <w:spacing w:before="2040" w:after="480"/>
      <w:outlineLvl w:val="2"/>
    </w:pPr>
    <w:rPr>
      <w:rFonts w:ascii="Metropolis" w:eastAsia="Calibri" w:hAnsi="Metropolis" w:cs="Calibri"/>
      <w:b/>
      <w:bCs/>
      <w:color w:val="ED7D31" w:themeColor="accent2"/>
      <w:sz w:val="52"/>
      <w:szCs w:val="56"/>
      <w:lang w:val="en-GB"/>
      <w14:textFill>
        <w14:gradFill>
          <w14:gsLst>
            <w14:gs w14:pos="0">
              <w14:schemeClr w14:val="accent2">
                <w14:lumMod w14:val="89000"/>
              </w14:schemeClr>
            </w14:gs>
            <w14:gs w14:pos="23000">
              <w14:schemeClr w14:val="accent2">
                <w14:lumMod w14:val="89000"/>
              </w14:schemeClr>
            </w14:gs>
            <w14:gs w14:pos="69000">
              <w14:schemeClr w14:val="accent2">
                <w14:lumMod w14:val="75000"/>
              </w14:schemeClr>
            </w14:gs>
            <w14:gs w14:pos="97000">
              <w14:schemeClr w14:val="accent2">
                <w14:lumMod w14:val="70000"/>
              </w14:schemeClr>
            </w14:gs>
          </w14:gsLst>
          <w14:path w14:path="circle">
            <w14:fillToRect w14:l="50000" w14:t="50000" w14:r="50000" w14:b="50000"/>
          </w14:path>
        </w14:gradFill>
      </w14:textFill>
    </w:rPr>
  </w:style>
  <w:style w:type="paragraph" w:styleId="Heading4">
    <w:name w:val="heading 4"/>
    <w:basedOn w:val="Normal"/>
    <w:next w:val="Normal"/>
    <w:link w:val="Heading4Char"/>
    <w:uiPriority w:val="9"/>
    <w:unhideWhenUsed/>
    <w:qFormat/>
    <w:rsid w:val="00AC6E1E"/>
    <w:pPr>
      <w:keepNext/>
      <w:numPr>
        <w:ilvl w:val="3"/>
        <w:numId w:val="16"/>
      </w:numPr>
      <w:spacing w:before="1440" w:after="360"/>
      <w:outlineLvl w:val="3"/>
    </w:pPr>
    <w:rPr>
      <w:rFonts w:ascii="Times New Roman" w:eastAsiaTheme="majorEastAsia" w:hAnsi="Times New Roman" w:cs="Times New Roman"/>
      <w:b/>
      <w:bCs/>
      <w:color w:val="538135" w:themeColor="accent6" w:themeShade="BF"/>
      <w:sz w:val="40"/>
      <w:szCs w:val="40"/>
      <w:lang w:val="en-GB" w:eastAsia="en-SG"/>
      <w14:shadow w14:blurRad="63500" w14:dist="50800" w14:dir="13500000" w14:sx="0" w14:sy="0" w14:kx="0" w14:ky="0" w14:algn="none">
        <w14:srgbClr w14:val="000000">
          <w14:alpha w14:val="50000"/>
        </w14:srgbClr>
      </w14:shadow>
    </w:rPr>
  </w:style>
  <w:style w:type="paragraph" w:styleId="Heading5">
    <w:name w:val="heading 5"/>
    <w:basedOn w:val="Normal"/>
    <w:next w:val="Normal"/>
    <w:link w:val="Heading5Char"/>
    <w:uiPriority w:val="9"/>
    <w:unhideWhenUsed/>
    <w:qFormat/>
    <w:rsid w:val="00E7573A"/>
    <w:pPr>
      <w:keepNext/>
      <w:numPr>
        <w:ilvl w:val="4"/>
        <w:numId w:val="16"/>
      </w:numPr>
      <w:spacing w:before="960" w:after="180"/>
      <w:outlineLvl w:val="4"/>
    </w:pPr>
    <w:rPr>
      <w:rFonts w:eastAsiaTheme="majorEastAsia" w:cstheme="minorHAnsi"/>
      <w:b/>
      <w:bCs/>
      <w:color w:val="C45911" w:themeColor="accent2" w:themeShade="BF"/>
      <w:sz w:val="36"/>
      <w:szCs w:val="36"/>
      <w:lang w:val="en-GB"/>
    </w:rPr>
  </w:style>
  <w:style w:type="paragraph" w:styleId="Heading6">
    <w:name w:val="heading 6"/>
    <w:basedOn w:val="Normal"/>
    <w:next w:val="Normal"/>
    <w:link w:val="Heading6Char"/>
    <w:uiPriority w:val="9"/>
    <w:unhideWhenUsed/>
    <w:qFormat/>
    <w:rsid w:val="004B77ED"/>
    <w:pPr>
      <w:keepNext/>
      <w:numPr>
        <w:ilvl w:val="5"/>
        <w:numId w:val="16"/>
      </w:numPr>
      <w:spacing w:before="600" w:after="120"/>
      <w:outlineLvl w:val="5"/>
    </w:pPr>
    <w:rPr>
      <w:rFonts w:ascii="Times New Roman" w:eastAsiaTheme="majorEastAsia" w:hAnsi="Times New Roman" w:cs="Times New Roman"/>
      <w:b/>
      <w:bCs/>
      <w:color w:val="7030A0"/>
      <w:sz w:val="28"/>
      <w:szCs w:val="28"/>
      <w:lang w:val="en-GB"/>
    </w:rPr>
  </w:style>
  <w:style w:type="paragraph" w:styleId="Heading7">
    <w:name w:val="heading 7"/>
    <w:basedOn w:val="Normal"/>
    <w:next w:val="Normal"/>
    <w:link w:val="Heading7Char"/>
    <w:uiPriority w:val="9"/>
    <w:unhideWhenUsed/>
    <w:qFormat/>
    <w:rsid w:val="00777CE2"/>
    <w:pPr>
      <w:keepNext/>
      <w:numPr>
        <w:ilvl w:val="6"/>
        <w:numId w:val="16"/>
      </w:numPr>
      <w:spacing w:before="240"/>
      <w:outlineLvl w:val="6"/>
    </w:pPr>
    <w:rPr>
      <w:rFonts w:eastAsiaTheme="majorEastAsia" w:cstheme="minorHAnsi"/>
      <w:b/>
      <w:bCs/>
      <w:color w:val="70AD47" w:themeColor="accent6"/>
    </w:rPr>
  </w:style>
  <w:style w:type="paragraph" w:styleId="Heading8">
    <w:name w:val="heading 8"/>
    <w:basedOn w:val="Normal"/>
    <w:next w:val="Normal"/>
    <w:link w:val="Heading8Char"/>
    <w:uiPriority w:val="9"/>
    <w:semiHidden/>
    <w:unhideWhenUsed/>
    <w:qFormat/>
    <w:rsid w:val="00A92034"/>
    <w:pPr>
      <w:keepNext/>
      <w:numPr>
        <w:ilvl w:val="7"/>
        <w:numId w:val="16"/>
      </w:numPr>
      <w:tabs>
        <w:tab w:val="num" w:pos="360"/>
      </w:tab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A92034"/>
    <w:pPr>
      <w:keepNext/>
      <w:numPr>
        <w:ilvl w:val="8"/>
        <w:numId w:val="16"/>
      </w:numPr>
      <w:tabs>
        <w:tab w:val="num" w:pos="360"/>
      </w:tab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327E4B"/>
    <w:rPr>
      <w:rFonts w:ascii="Times New Roman" w:eastAsiaTheme="majorEastAsia" w:hAnsi="Times New Roman" w:cs="Times New Roman"/>
      <w:b/>
      <w:bCs/>
      <w:color w:val="2F5496" w:themeColor="accent1" w:themeShade="BF"/>
      <w:sz w:val="144"/>
      <w:szCs w:val="144"/>
      <w:shd w:val="clear" w:color="auto" w:fill="EDF1F9"/>
      <w:lang w:eastAsia="en-GB"/>
      <w14:shadow w14:blurRad="63500" w14:dist="50800" w14:dir="13500000" w14:sx="0" w14:sy="0" w14:kx="0" w14:ky="0" w14:algn="none">
        <w14:srgbClr w14:val="000000">
          <w14:alpha w14:val="50000"/>
        </w14:srgbClr>
      </w14:shadow>
      <w14:reflection w14:blurRad="6350" w14:stA="55000" w14:stPos="0" w14:endA="300" w14:endPos="45500" w14:dist="0" w14:dir="5400000" w14:fadeDir="5400000" w14:sx="100000" w14:sy="-100000" w14:kx="0" w14:ky="0" w14:algn="bl"/>
    </w:rPr>
  </w:style>
  <w:style w:type="character" w:customStyle="1" w:styleId="Heading2Char">
    <w:name w:val="Heading 2 Char"/>
    <w:basedOn w:val="DefaultParagraphFont"/>
    <w:link w:val="Heading2"/>
    <w:uiPriority w:val="9"/>
    <w:rsid w:val="00B373E2"/>
    <w:rPr>
      <w:rFonts w:ascii="Times New Roman" w:eastAsiaTheme="majorEastAsia" w:hAnsi="Times New Roman" w:cs="Times New Roman"/>
      <w:b/>
      <w:bCs/>
      <w:color w:val="4472C4" w:themeColor="accent1"/>
      <w:sz w:val="72"/>
      <w:szCs w:val="72"/>
      <w:shd w:val="clear" w:color="auto" w:fill="F1F7F9"/>
      <w:lang w:eastAsia="en-GB"/>
      <w14:shadow w14:blurRad="63500" w14:dist="50800" w14:dir="13500000" w14:sx="0" w14:sy="0" w14:kx="0" w14:ky="0" w14:algn="none">
        <w14:srgbClr w14:val="000000">
          <w14:alpha w14:val="50000"/>
        </w14:srgbClr>
      </w14:shadow>
      <w14:textFill>
        <w14:gradFill>
          <w14:gsLst>
            <w14:gs w14:pos="0">
              <w14:schemeClr w14:val="accent1">
                <w14:lumMod w14:val="40000"/>
                <w14:lumOff w14:val="60000"/>
              </w14:schemeClr>
            </w14:gs>
            <w14:gs w14:pos="46000">
              <w14:schemeClr w14:val="accent1">
                <w14:lumMod w14:val="95000"/>
                <w14:lumOff w14:val="5000"/>
              </w14:schemeClr>
            </w14:gs>
            <w14:gs w14:pos="100000">
              <w14:schemeClr w14:val="accent1">
                <w14:lumMod w14:val="60000"/>
              </w14:schemeClr>
            </w14:gs>
          </w14:gsLst>
          <w14:lin w14:ang="2700000" w14:scaled="1"/>
        </w14:gradFill>
      </w14:textFill>
    </w:rPr>
  </w:style>
  <w:style w:type="character" w:customStyle="1" w:styleId="Heading3Char">
    <w:name w:val="Heading 3 Char"/>
    <w:basedOn w:val="DefaultParagraphFont"/>
    <w:link w:val="Heading3"/>
    <w:uiPriority w:val="9"/>
    <w:rsid w:val="00540F68"/>
    <w:rPr>
      <w:rFonts w:ascii="Metropolis" w:eastAsia="Calibri" w:hAnsi="Metropolis" w:cs="Calibri"/>
      <w:b/>
      <w:bCs/>
      <w:color w:val="ED7D31" w:themeColor="accent2"/>
      <w:sz w:val="52"/>
      <w:szCs w:val="56"/>
      <w:lang w:val="en-GB" w:eastAsia="en-GB"/>
      <w14:textFill>
        <w14:gradFill>
          <w14:gsLst>
            <w14:gs w14:pos="0">
              <w14:schemeClr w14:val="accent2">
                <w14:lumMod w14:val="89000"/>
              </w14:schemeClr>
            </w14:gs>
            <w14:gs w14:pos="23000">
              <w14:schemeClr w14:val="accent2">
                <w14:lumMod w14:val="89000"/>
              </w14:schemeClr>
            </w14:gs>
            <w14:gs w14:pos="69000">
              <w14:schemeClr w14:val="accent2">
                <w14:lumMod w14:val="75000"/>
              </w14:schemeClr>
            </w14:gs>
            <w14:gs w14:pos="97000">
              <w14:schemeClr w14:val="accent2">
                <w14:lumMod w14:val="70000"/>
              </w14:schemeClr>
            </w14:gs>
          </w14:gsLst>
          <w14:path w14:path="circle">
            <w14:fillToRect w14:l="50000" w14:t="50000" w14:r="50000" w14:b="50000"/>
          </w14:path>
        </w14:gradFill>
      </w14:textFill>
    </w:rPr>
  </w:style>
  <w:style w:type="character" w:customStyle="1" w:styleId="Heading4Char">
    <w:name w:val="Heading 4 Char"/>
    <w:basedOn w:val="DefaultParagraphFont"/>
    <w:link w:val="Heading4"/>
    <w:uiPriority w:val="9"/>
    <w:rsid w:val="00AC6E1E"/>
    <w:rPr>
      <w:rFonts w:ascii="Times New Roman" w:eastAsiaTheme="majorEastAsia" w:hAnsi="Times New Roman" w:cs="Times New Roman"/>
      <w:b/>
      <w:bCs/>
      <w:color w:val="538135" w:themeColor="accent6" w:themeShade="BF"/>
      <w:sz w:val="40"/>
      <w:szCs w:val="40"/>
      <w:lang w:val="en-GB" w:eastAsia="en-SG"/>
      <w14:shadow w14:blurRad="63500" w14:dist="50800" w14:dir="13500000" w14:sx="0" w14:sy="0" w14:kx="0" w14:ky="0" w14:algn="none">
        <w14:srgbClr w14:val="000000">
          <w14:alpha w14:val="50000"/>
        </w14:srgbClr>
      </w14:shadow>
    </w:rPr>
  </w:style>
  <w:style w:type="character" w:customStyle="1" w:styleId="Heading5Char">
    <w:name w:val="Heading 5 Char"/>
    <w:basedOn w:val="DefaultParagraphFont"/>
    <w:link w:val="Heading5"/>
    <w:uiPriority w:val="9"/>
    <w:rsid w:val="00E7573A"/>
    <w:rPr>
      <w:rFonts w:eastAsiaTheme="majorEastAsia" w:cstheme="minorHAnsi"/>
      <w:b/>
      <w:bCs/>
      <w:color w:val="C45911" w:themeColor="accent2" w:themeShade="BF"/>
      <w:sz w:val="36"/>
      <w:szCs w:val="36"/>
      <w:lang w:val="en-GB" w:eastAsia="en-GB"/>
    </w:rPr>
  </w:style>
  <w:style w:type="character" w:customStyle="1" w:styleId="Heading6Char">
    <w:name w:val="Heading 6 Char"/>
    <w:basedOn w:val="DefaultParagraphFont"/>
    <w:link w:val="Heading6"/>
    <w:uiPriority w:val="9"/>
    <w:rsid w:val="004B77ED"/>
    <w:rPr>
      <w:rFonts w:ascii="Times New Roman" w:eastAsiaTheme="majorEastAsia" w:hAnsi="Times New Roman" w:cs="Times New Roman"/>
      <w:b/>
      <w:bCs/>
      <w:color w:val="7030A0"/>
      <w:sz w:val="28"/>
      <w:szCs w:val="28"/>
      <w:lang w:val="en-GB" w:eastAsia="en-GB"/>
    </w:rPr>
  </w:style>
  <w:style w:type="character" w:customStyle="1" w:styleId="Heading7Char">
    <w:name w:val="Heading 7 Char"/>
    <w:basedOn w:val="DefaultParagraphFont"/>
    <w:link w:val="Heading7"/>
    <w:uiPriority w:val="9"/>
    <w:rsid w:val="00777CE2"/>
    <w:rPr>
      <w:rFonts w:eastAsiaTheme="majorEastAsia" w:cstheme="minorHAnsi"/>
      <w:b/>
      <w:bCs/>
      <w:color w:val="70AD47" w:themeColor="accent6"/>
      <w:lang w:eastAsia="en-GB"/>
    </w:rPr>
  </w:style>
  <w:style w:type="character" w:customStyle="1" w:styleId="Heading8Char">
    <w:name w:val="Heading 8 Char"/>
    <w:basedOn w:val="DefaultParagraphFont"/>
    <w:link w:val="Heading8"/>
    <w:uiPriority w:val="9"/>
    <w:semiHidden/>
    <w:rsid w:val="00A92034"/>
    <w:rPr>
      <w:rFonts w:asciiTheme="majorHAnsi" w:eastAsiaTheme="majorEastAsia" w:hAnsiTheme="majorHAnsi" w:cstheme="majorBidi"/>
      <w:color w:val="272727" w:themeColor="text1" w:themeTint="D8"/>
      <w:sz w:val="21"/>
      <w:szCs w:val="21"/>
      <w:lang w:eastAsia="en-GB"/>
    </w:rPr>
  </w:style>
  <w:style w:type="character" w:customStyle="1" w:styleId="Heading9Char">
    <w:name w:val="Heading 9 Char"/>
    <w:basedOn w:val="DefaultParagraphFont"/>
    <w:link w:val="Heading9"/>
    <w:uiPriority w:val="9"/>
    <w:semiHidden/>
    <w:rsid w:val="00A92034"/>
    <w:rPr>
      <w:rFonts w:asciiTheme="majorHAnsi" w:eastAsiaTheme="majorEastAsia" w:hAnsiTheme="majorHAnsi" w:cstheme="majorBidi"/>
      <w:i/>
      <w:iCs/>
      <w:color w:val="272727" w:themeColor="text1" w:themeTint="D8"/>
      <w:sz w:val="21"/>
      <w:szCs w:val="21"/>
      <w:lang w:eastAsia="en-GB"/>
    </w:rPr>
  </w:style>
  <w:style w:type="paragraph" w:customStyle="1" w:styleId="link">
    <w:name w:val="link"/>
    <w:basedOn w:val="Normal"/>
    <w:rsid w:val="000B1065"/>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styleId="Strong">
    <w:name w:val="Strong"/>
    <w:basedOn w:val="DefaultParagraphFont"/>
    <w:uiPriority w:val="22"/>
    <w:rsid w:val="000B1065"/>
    <w:rPr>
      <w:b/>
      <w:bCs/>
    </w:rPr>
  </w:style>
  <w:style w:type="character" w:styleId="Hyperlink">
    <w:name w:val="Hyperlink"/>
    <w:basedOn w:val="DefaultParagraphFont"/>
    <w:uiPriority w:val="99"/>
    <w:unhideWhenUsed/>
    <w:rsid w:val="000B1065"/>
    <w:rPr>
      <w:color w:val="0000FF"/>
      <w:u w:val="single"/>
    </w:rPr>
  </w:style>
  <w:style w:type="character" w:customStyle="1" w:styleId="keyword">
    <w:name w:val="keyword"/>
    <w:basedOn w:val="DefaultParagraphFont"/>
    <w:rsid w:val="000B1065"/>
  </w:style>
  <w:style w:type="paragraph" w:styleId="NormalWeb">
    <w:name w:val="Normal (Web)"/>
    <w:basedOn w:val="Normal"/>
    <w:uiPriority w:val="99"/>
    <w:unhideWhenUsed/>
    <w:rsid w:val="000B1065"/>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styleId="Emphasis">
    <w:name w:val="Emphasis"/>
    <w:basedOn w:val="DefaultParagraphFont"/>
    <w:uiPriority w:val="20"/>
    <w:qFormat/>
    <w:rsid w:val="000B1065"/>
    <w:rPr>
      <w:i/>
      <w:iCs/>
    </w:rPr>
  </w:style>
  <w:style w:type="paragraph" w:styleId="ListParagraph">
    <w:name w:val="List Paragraph"/>
    <w:basedOn w:val="Normal"/>
    <w:link w:val="ListParagraphChar"/>
    <w:uiPriority w:val="34"/>
    <w:qFormat/>
    <w:rsid w:val="007214AF"/>
    <w:pPr>
      <w:ind w:left="720"/>
      <w:contextualSpacing/>
    </w:pPr>
  </w:style>
  <w:style w:type="character" w:customStyle="1" w:styleId="ListParagraphChar">
    <w:name w:val="List Paragraph Char"/>
    <w:basedOn w:val="DefaultParagraphFont"/>
    <w:link w:val="ListParagraph"/>
    <w:uiPriority w:val="34"/>
    <w:rsid w:val="005C7B36"/>
    <w:rPr>
      <w:lang w:eastAsia="en-GB"/>
    </w:rPr>
  </w:style>
  <w:style w:type="paragraph" w:customStyle="1" w:styleId="paragraph">
    <w:name w:val="paragraph"/>
    <w:basedOn w:val="Normal"/>
    <w:rsid w:val="00C16ACE"/>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customStyle="1" w:styleId="normaltextrun">
    <w:name w:val="normaltextrun"/>
    <w:basedOn w:val="DefaultParagraphFont"/>
    <w:rsid w:val="00C16ACE"/>
  </w:style>
  <w:style w:type="character" w:customStyle="1" w:styleId="eop">
    <w:name w:val="eop"/>
    <w:basedOn w:val="DefaultParagraphFont"/>
    <w:rsid w:val="00C16ACE"/>
  </w:style>
  <w:style w:type="paragraph" w:styleId="BalloonText">
    <w:name w:val="Balloon Text"/>
    <w:basedOn w:val="Normal"/>
    <w:link w:val="BalloonTextChar"/>
    <w:uiPriority w:val="99"/>
    <w:semiHidden/>
    <w:unhideWhenUsed/>
    <w:rsid w:val="00A15B4A"/>
    <w:pPr>
      <w:spacing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15B4A"/>
    <w:rPr>
      <w:rFonts w:ascii="Segoe UI" w:hAnsi="Segoe UI" w:cs="Segoe UI"/>
      <w:sz w:val="18"/>
      <w:szCs w:val="18"/>
      <w:lang w:eastAsia="en-GB"/>
    </w:rPr>
  </w:style>
  <w:style w:type="paragraph" w:customStyle="1" w:styleId="shortdesc">
    <w:name w:val="shortdesc"/>
    <w:basedOn w:val="Normal"/>
    <w:rsid w:val="00A15B4A"/>
    <w:pPr>
      <w:spacing w:before="100" w:beforeAutospacing="1" w:after="100" w:afterAutospacing="1" w:line="240" w:lineRule="auto"/>
    </w:pPr>
    <w:rPr>
      <w:rFonts w:ascii="Times New Roman" w:eastAsia="Times New Roman" w:hAnsi="Times New Roman" w:cs="Times New Roman"/>
      <w:sz w:val="24"/>
      <w:szCs w:val="24"/>
      <w:lang w:eastAsia="en-SG"/>
    </w:rPr>
  </w:style>
  <w:style w:type="paragraph" w:customStyle="1" w:styleId="li">
    <w:name w:val="li"/>
    <w:basedOn w:val="Normal"/>
    <w:rsid w:val="00A15B4A"/>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customStyle="1" w:styleId="ph">
    <w:name w:val="ph"/>
    <w:basedOn w:val="DefaultParagraphFont"/>
    <w:rsid w:val="00A15B4A"/>
  </w:style>
  <w:style w:type="character" w:styleId="CommentReference">
    <w:name w:val="annotation reference"/>
    <w:basedOn w:val="DefaultParagraphFont"/>
    <w:uiPriority w:val="99"/>
    <w:semiHidden/>
    <w:unhideWhenUsed/>
    <w:rsid w:val="00333B08"/>
    <w:rPr>
      <w:sz w:val="16"/>
      <w:szCs w:val="16"/>
    </w:rPr>
  </w:style>
  <w:style w:type="paragraph" w:styleId="CommentText">
    <w:name w:val="annotation text"/>
    <w:basedOn w:val="Normal"/>
    <w:link w:val="CommentTextChar"/>
    <w:uiPriority w:val="99"/>
    <w:unhideWhenUsed/>
    <w:rsid w:val="00333B08"/>
    <w:pPr>
      <w:spacing w:line="240" w:lineRule="auto"/>
    </w:pPr>
    <w:rPr>
      <w:sz w:val="20"/>
      <w:szCs w:val="20"/>
      <w:lang w:val="en-AU"/>
    </w:rPr>
  </w:style>
  <w:style w:type="character" w:customStyle="1" w:styleId="CommentTextChar">
    <w:name w:val="Comment Text Char"/>
    <w:basedOn w:val="DefaultParagraphFont"/>
    <w:link w:val="CommentText"/>
    <w:uiPriority w:val="99"/>
    <w:rsid w:val="00333B08"/>
    <w:rPr>
      <w:sz w:val="20"/>
      <w:szCs w:val="20"/>
      <w:lang w:val="en-AU" w:eastAsia="en-GB"/>
    </w:rPr>
  </w:style>
  <w:style w:type="paragraph" w:styleId="NoSpacing">
    <w:name w:val="No Spacing"/>
    <w:link w:val="NoSpacingChar"/>
    <w:uiPriority w:val="1"/>
    <w:rsid w:val="00102DDD"/>
    <w:pPr>
      <w:spacing w:after="0" w:line="240" w:lineRule="auto"/>
    </w:pPr>
  </w:style>
  <w:style w:type="character" w:customStyle="1" w:styleId="NoSpacingChar">
    <w:name w:val="No Spacing Char"/>
    <w:basedOn w:val="DefaultParagraphFont"/>
    <w:link w:val="NoSpacing"/>
    <w:uiPriority w:val="1"/>
    <w:rsid w:val="00620196"/>
  </w:style>
  <w:style w:type="character" w:styleId="HTMLSample">
    <w:name w:val="HTML Sample"/>
    <w:basedOn w:val="DefaultParagraphFont"/>
    <w:uiPriority w:val="99"/>
    <w:semiHidden/>
    <w:unhideWhenUsed/>
    <w:rsid w:val="00F922C7"/>
    <w:rPr>
      <w:rFonts w:ascii="Courier New" w:eastAsia="Times New Roman" w:hAnsi="Courier New" w:cs="Courier New"/>
    </w:rPr>
  </w:style>
  <w:style w:type="paragraph" w:customStyle="1" w:styleId="p">
    <w:name w:val="p"/>
    <w:basedOn w:val="Normal"/>
    <w:rsid w:val="00A26A20"/>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customStyle="1" w:styleId="marknbnsg4t7u">
    <w:name w:val="marknbnsg4t7u"/>
    <w:basedOn w:val="DefaultParagraphFont"/>
    <w:rsid w:val="00B93036"/>
  </w:style>
  <w:style w:type="character" w:styleId="FollowedHyperlink">
    <w:name w:val="FollowedHyperlink"/>
    <w:basedOn w:val="DefaultParagraphFont"/>
    <w:uiPriority w:val="99"/>
    <w:semiHidden/>
    <w:unhideWhenUsed/>
    <w:rsid w:val="00CE5DD1"/>
    <w:rPr>
      <w:color w:val="954F72" w:themeColor="followedHyperlink"/>
      <w:u w:val="single"/>
    </w:rPr>
  </w:style>
  <w:style w:type="character" w:styleId="UnresolvedMention">
    <w:name w:val="Unresolved Mention"/>
    <w:basedOn w:val="DefaultParagraphFont"/>
    <w:uiPriority w:val="99"/>
    <w:unhideWhenUsed/>
    <w:rsid w:val="00122FDE"/>
    <w:rPr>
      <w:color w:val="605E5C"/>
      <w:shd w:val="clear" w:color="auto" w:fill="E1DFDD"/>
    </w:rPr>
  </w:style>
  <w:style w:type="character" w:styleId="Mention">
    <w:name w:val="Mention"/>
    <w:basedOn w:val="DefaultParagraphFont"/>
    <w:uiPriority w:val="99"/>
    <w:unhideWhenUsed/>
    <w:rsid w:val="006E6E7B"/>
    <w:rPr>
      <w:color w:val="2B579A"/>
      <w:shd w:val="clear" w:color="auto" w:fill="E6E6E6"/>
    </w:rPr>
  </w:style>
  <w:style w:type="paragraph" w:styleId="CommentSubject">
    <w:name w:val="annotation subject"/>
    <w:basedOn w:val="CommentText"/>
    <w:next w:val="CommentText"/>
    <w:link w:val="CommentSubjectChar"/>
    <w:uiPriority w:val="99"/>
    <w:semiHidden/>
    <w:unhideWhenUsed/>
    <w:rsid w:val="001A36E7"/>
    <w:pPr>
      <w:spacing w:after="160"/>
    </w:pPr>
    <w:rPr>
      <w:b/>
      <w:bCs/>
      <w:lang w:val="en-SG"/>
    </w:rPr>
  </w:style>
  <w:style w:type="character" w:customStyle="1" w:styleId="CommentSubjectChar">
    <w:name w:val="Comment Subject Char"/>
    <w:basedOn w:val="CommentTextChar"/>
    <w:link w:val="CommentSubject"/>
    <w:uiPriority w:val="99"/>
    <w:semiHidden/>
    <w:rsid w:val="001A36E7"/>
    <w:rPr>
      <w:b/>
      <w:bCs/>
      <w:sz w:val="20"/>
      <w:szCs w:val="20"/>
      <w:lang w:val="en-AU" w:eastAsia="en-GB"/>
    </w:rPr>
  </w:style>
  <w:style w:type="paragraph" w:customStyle="1" w:styleId="Bullet">
    <w:name w:val="Bullet"/>
    <w:basedOn w:val="ListParagraph"/>
    <w:link w:val="BulletChar"/>
    <w:qFormat/>
    <w:rsid w:val="00C25991"/>
    <w:pPr>
      <w:numPr>
        <w:numId w:val="7"/>
      </w:numPr>
      <w:spacing w:before="60"/>
      <w:contextualSpacing w:val="0"/>
    </w:pPr>
  </w:style>
  <w:style w:type="character" w:customStyle="1" w:styleId="BulletChar">
    <w:name w:val="Bullet Char"/>
    <w:basedOn w:val="ListParagraphChar"/>
    <w:link w:val="Bullet"/>
    <w:rsid w:val="005C7B36"/>
    <w:rPr>
      <w:lang w:eastAsia="en-GB"/>
    </w:rPr>
  </w:style>
  <w:style w:type="paragraph" w:styleId="Header">
    <w:name w:val="header"/>
    <w:basedOn w:val="Normal"/>
    <w:link w:val="HeaderChar"/>
    <w:uiPriority w:val="99"/>
    <w:unhideWhenUsed/>
    <w:rsid w:val="00C25991"/>
    <w:pPr>
      <w:tabs>
        <w:tab w:val="center" w:pos="4513"/>
        <w:tab w:val="right" w:pos="9026"/>
      </w:tabs>
      <w:spacing w:line="240" w:lineRule="auto"/>
    </w:pPr>
  </w:style>
  <w:style w:type="character" w:customStyle="1" w:styleId="HeaderChar">
    <w:name w:val="Header Char"/>
    <w:basedOn w:val="DefaultParagraphFont"/>
    <w:link w:val="Header"/>
    <w:uiPriority w:val="99"/>
    <w:rsid w:val="00302DC4"/>
    <w:rPr>
      <w:lang w:eastAsia="en-GB"/>
    </w:rPr>
  </w:style>
  <w:style w:type="paragraph" w:styleId="Footer">
    <w:name w:val="footer"/>
    <w:basedOn w:val="Normal"/>
    <w:link w:val="FooterChar"/>
    <w:uiPriority w:val="99"/>
    <w:unhideWhenUsed/>
    <w:rsid w:val="00C25991"/>
    <w:pPr>
      <w:tabs>
        <w:tab w:val="center" w:pos="4513"/>
        <w:tab w:val="right" w:pos="9026"/>
      </w:tabs>
      <w:spacing w:line="240" w:lineRule="auto"/>
    </w:pPr>
  </w:style>
  <w:style w:type="character" w:customStyle="1" w:styleId="FooterChar">
    <w:name w:val="Footer Char"/>
    <w:basedOn w:val="DefaultParagraphFont"/>
    <w:link w:val="Footer"/>
    <w:uiPriority w:val="99"/>
    <w:rsid w:val="00302DC4"/>
    <w:rPr>
      <w:lang w:eastAsia="en-GB"/>
    </w:rPr>
  </w:style>
  <w:style w:type="paragraph" w:styleId="Revision">
    <w:name w:val="Revision"/>
    <w:hidden/>
    <w:uiPriority w:val="99"/>
    <w:semiHidden/>
    <w:rsid w:val="007F3F17"/>
    <w:pPr>
      <w:spacing w:after="0" w:line="240" w:lineRule="auto"/>
    </w:pPr>
    <w:rPr>
      <w:lang w:eastAsia="en-GB"/>
    </w:rPr>
  </w:style>
  <w:style w:type="table" w:styleId="TableGrid">
    <w:name w:val="Table Grid"/>
    <w:basedOn w:val="TableNormal"/>
    <w:uiPriority w:val="39"/>
    <w:rsid w:val="00E13E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ode">
    <w:name w:val="Code"/>
    <w:basedOn w:val="Normal"/>
    <w:link w:val="CodeChar"/>
    <w:qFormat/>
    <w:rsid w:val="00594785"/>
    <w:pPr>
      <w:shd w:val="clear" w:color="auto" w:fill="E2EFD9" w:themeFill="accent6" w:themeFillTint="33"/>
    </w:pPr>
    <w:rPr>
      <w:rFonts w:ascii="Lucida Console" w:hAnsi="Lucida Console"/>
      <w:sz w:val="16"/>
      <w:szCs w:val="16"/>
      <w:lang w:val="en-US" w:eastAsia="en-SG"/>
    </w:rPr>
  </w:style>
  <w:style w:type="character" w:customStyle="1" w:styleId="CodeChar">
    <w:name w:val="Code Char"/>
    <w:basedOn w:val="DefaultParagraphFont"/>
    <w:link w:val="Code"/>
    <w:rsid w:val="00594785"/>
    <w:rPr>
      <w:rFonts w:ascii="Lucida Console" w:hAnsi="Lucida Console"/>
      <w:sz w:val="16"/>
      <w:szCs w:val="16"/>
      <w:shd w:val="clear" w:color="auto" w:fill="E2EFD9" w:themeFill="accent6" w:themeFillTint="33"/>
      <w:lang w:val="en-US" w:eastAsia="en-SG"/>
    </w:rPr>
  </w:style>
  <w:style w:type="paragraph" w:customStyle="1" w:styleId="Tablecontent">
    <w:name w:val="Table content"/>
    <w:basedOn w:val="Normal"/>
    <w:link w:val="TablecontentChar"/>
    <w:qFormat/>
    <w:rsid w:val="00820D5D"/>
    <w:pPr>
      <w:keepLines w:val="0"/>
      <w:suppressAutoHyphens w:val="0"/>
      <w:spacing w:before="60" w:after="60" w:line="240" w:lineRule="auto"/>
    </w:pPr>
    <w:rPr>
      <w:rFonts w:eastAsiaTheme="minorEastAsia"/>
      <w:lang w:val="en-US" w:eastAsia="zh-CN"/>
    </w:rPr>
  </w:style>
  <w:style w:type="character" w:customStyle="1" w:styleId="TablecontentChar">
    <w:name w:val="Table content Char"/>
    <w:basedOn w:val="DefaultParagraphFont"/>
    <w:link w:val="Tablecontent"/>
    <w:rsid w:val="00820D5D"/>
    <w:rPr>
      <w:rFonts w:eastAsiaTheme="minorEastAsia"/>
      <w:lang w:val="en-US" w:eastAsia="zh-CN"/>
    </w:rPr>
  </w:style>
  <w:style w:type="paragraph" w:customStyle="1" w:styleId="Tableheading">
    <w:name w:val="Table heading"/>
    <w:basedOn w:val="Tablecontent"/>
    <w:link w:val="TableheadingChar"/>
    <w:qFormat/>
    <w:rsid w:val="00757101"/>
    <w:pPr>
      <w:keepNext/>
      <w:jc w:val="center"/>
    </w:pPr>
    <w:rPr>
      <w:b/>
    </w:rPr>
  </w:style>
  <w:style w:type="character" w:customStyle="1" w:styleId="TableheadingChar">
    <w:name w:val="Table heading Char"/>
    <w:basedOn w:val="TablecontentChar"/>
    <w:link w:val="Tableheading"/>
    <w:rsid w:val="00757101"/>
    <w:rPr>
      <w:rFonts w:eastAsiaTheme="minorEastAsia"/>
      <w:b/>
      <w:lang w:val="en-US" w:eastAsia="zh-CN"/>
    </w:rPr>
  </w:style>
  <w:style w:type="paragraph" w:customStyle="1" w:styleId="Bullet1">
    <w:name w:val="Bullet 1"/>
    <w:basedOn w:val="Normal"/>
    <w:link w:val="Bullet1Char"/>
    <w:qFormat/>
    <w:rsid w:val="00496099"/>
    <w:pPr>
      <w:keepLines w:val="0"/>
      <w:numPr>
        <w:ilvl w:val="1"/>
        <w:numId w:val="15"/>
      </w:numPr>
      <w:suppressAutoHyphens w:val="0"/>
      <w:spacing w:before="60" w:line="276" w:lineRule="auto"/>
    </w:pPr>
    <w:rPr>
      <w:rFonts w:eastAsiaTheme="minorEastAsia"/>
      <w:lang w:val="en-US" w:eastAsia="zh-CN"/>
    </w:rPr>
  </w:style>
  <w:style w:type="character" w:customStyle="1" w:styleId="Bullet1Char">
    <w:name w:val="Bullet 1 Char"/>
    <w:basedOn w:val="DefaultParagraphFont"/>
    <w:link w:val="Bullet1"/>
    <w:rsid w:val="00496099"/>
    <w:rPr>
      <w:rFonts w:eastAsiaTheme="minorEastAsia"/>
      <w:lang w:val="en-US" w:eastAsia="zh-CN"/>
    </w:rPr>
  </w:style>
  <w:style w:type="paragraph" w:customStyle="1" w:styleId="AfterChapterTitle">
    <w:name w:val="After Chapter Title"/>
    <w:basedOn w:val="Normal"/>
    <w:link w:val="AfterChapterTitleChar"/>
    <w:qFormat/>
    <w:rsid w:val="003F097B"/>
    <w:pPr>
      <w:spacing w:before="4400"/>
    </w:pPr>
    <w:rPr>
      <w:noProof/>
    </w:rPr>
  </w:style>
  <w:style w:type="character" w:customStyle="1" w:styleId="AfterChapterTitleChar">
    <w:name w:val="After Chapter Title Char"/>
    <w:basedOn w:val="DefaultParagraphFont"/>
    <w:link w:val="AfterChapterTitle"/>
    <w:rsid w:val="003F097B"/>
    <w:rPr>
      <w:noProof/>
      <w:lang w:eastAsia="en-GB"/>
    </w:rPr>
  </w:style>
  <w:style w:type="paragraph" w:styleId="Title">
    <w:name w:val="Title"/>
    <w:basedOn w:val="Normal"/>
    <w:next w:val="Normal"/>
    <w:link w:val="TitleChar"/>
    <w:uiPriority w:val="10"/>
    <w:qFormat/>
    <w:rsid w:val="00554F99"/>
    <w:pPr>
      <w:shd w:val="clear" w:color="auto" w:fill="F2F2F2" w:themeFill="background1" w:themeFillShade="F2"/>
      <w:spacing w:before="0" w:line="240" w:lineRule="auto"/>
      <w:contextualSpacing/>
      <w:jc w:val="center"/>
    </w:pPr>
    <w:rPr>
      <w:rFonts w:ascii="Times New Roman" w:eastAsiaTheme="majorEastAsia" w:hAnsi="Times New Roman" w:cs="Times New Roman"/>
      <w:b/>
      <w:bCs/>
      <w:color w:val="2F5496" w:themeColor="accent1" w:themeShade="BF"/>
      <w:sz w:val="96"/>
      <w:szCs w:val="96"/>
      <w14:reflection w14:blurRad="6350" w14:stA="55000" w14:stPos="0" w14:endA="300" w14:endPos="45500" w14:dist="0" w14:dir="5400000" w14:fadeDir="5400000" w14:sx="100000" w14:sy="-100000" w14:kx="0" w14:ky="0" w14:algn="bl"/>
    </w:rPr>
  </w:style>
  <w:style w:type="character" w:customStyle="1" w:styleId="TitleChar">
    <w:name w:val="Title Char"/>
    <w:basedOn w:val="DefaultParagraphFont"/>
    <w:link w:val="Title"/>
    <w:uiPriority w:val="10"/>
    <w:rsid w:val="00554F99"/>
    <w:rPr>
      <w:rFonts w:ascii="Times New Roman" w:eastAsiaTheme="majorEastAsia" w:hAnsi="Times New Roman" w:cs="Times New Roman"/>
      <w:b/>
      <w:bCs/>
      <w:color w:val="2F5496" w:themeColor="accent1" w:themeShade="BF"/>
      <w:sz w:val="96"/>
      <w:szCs w:val="96"/>
      <w:shd w:val="clear" w:color="auto" w:fill="F2F2F2" w:themeFill="background1" w:themeFillShade="F2"/>
      <w:lang w:eastAsia="en-GB"/>
      <w14:reflection w14:blurRad="6350" w14:stA="55000" w14:stPos="0" w14:endA="300" w14:endPos="45500" w14:dist="0" w14:dir="5400000" w14:fadeDir="5400000" w14:sx="100000" w14:sy="-100000" w14:kx="0" w14:ky="0" w14:algn="bl"/>
    </w:rPr>
  </w:style>
  <w:style w:type="character" w:customStyle="1" w:styleId="has-inline-color">
    <w:name w:val="has-inline-color"/>
    <w:basedOn w:val="DefaultParagraphFont"/>
    <w:rsid w:val="009533AF"/>
  </w:style>
  <w:style w:type="character" w:styleId="HTMLCode">
    <w:name w:val="HTML Code"/>
    <w:basedOn w:val="DefaultParagraphFont"/>
    <w:uiPriority w:val="99"/>
    <w:semiHidden/>
    <w:unhideWhenUsed/>
    <w:rsid w:val="00EE534A"/>
    <w:rPr>
      <w:rFonts w:ascii="Courier New" w:eastAsia="Times New Roman" w:hAnsi="Courier New" w:cs="Courier New"/>
      <w:sz w:val="20"/>
      <w:szCs w:val="20"/>
    </w:rPr>
  </w:style>
  <w:style w:type="paragraph" w:styleId="HTMLPreformatted">
    <w:name w:val="HTML Preformatted"/>
    <w:basedOn w:val="Normal"/>
    <w:link w:val="HTMLPreformattedChar"/>
    <w:uiPriority w:val="99"/>
    <w:semiHidden/>
    <w:unhideWhenUsed/>
    <w:rsid w:val="00B01710"/>
    <w:pPr>
      <w:keepLines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val="0"/>
      <w:spacing w:before="0" w:line="240" w:lineRule="auto"/>
    </w:pPr>
    <w:rPr>
      <w:rFonts w:ascii="Courier New" w:eastAsia="Times New Roman" w:hAnsi="Courier New" w:cs="Courier New"/>
      <w:sz w:val="20"/>
      <w:szCs w:val="20"/>
      <w:lang w:eastAsia="en-SG"/>
    </w:rPr>
  </w:style>
  <w:style w:type="character" w:customStyle="1" w:styleId="HTMLPreformattedChar">
    <w:name w:val="HTML Preformatted Char"/>
    <w:basedOn w:val="DefaultParagraphFont"/>
    <w:link w:val="HTMLPreformatted"/>
    <w:uiPriority w:val="99"/>
    <w:semiHidden/>
    <w:rsid w:val="00B01710"/>
    <w:rPr>
      <w:rFonts w:ascii="Courier New" w:eastAsia="Times New Roman" w:hAnsi="Courier New" w:cs="Courier New"/>
      <w:sz w:val="20"/>
      <w:szCs w:val="20"/>
      <w:lang w:eastAsia="en-SG"/>
    </w:rPr>
  </w:style>
  <w:style w:type="paragraph" w:customStyle="1" w:styleId="CodeIndent">
    <w:name w:val="Code Indent"/>
    <w:basedOn w:val="Code"/>
    <w:link w:val="CodeIndentChar"/>
    <w:qFormat/>
    <w:rsid w:val="00DA1A67"/>
    <w:pPr>
      <w:ind w:left="709"/>
    </w:pPr>
  </w:style>
  <w:style w:type="character" w:customStyle="1" w:styleId="CodeIndentChar">
    <w:name w:val="Code Indent Char"/>
    <w:basedOn w:val="CodeChar"/>
    <w:link w:val="CodeIndent"/>
    <w:rsid w:val="00DA1A67"/>
    <w:rPr>
      <w:rFonts w:ascii="Lucida Console" w:hAnsi="Lucida Console"/>
      <w:sz w:val="16"/>
      <w:szCs w:val="16"/>
      <w:shd w:val="clear" w:color="auto" w:fill="E2EFD9" w:themeFill="accent6" w:themeFillTint="33"/>
      <w:lang w:val="en-US" w:eastAsia="en-SG"/>
    </w:rPr>
  </w:style>
  <w:style w:type="paragraph" w:customStyle="1" w:styleId="PreContent">
    <w:name w:val="Pre Content"/>
    <w:basedOn w:val="Normal"/>
    <w:link w:val="PreContentChar"/>
    <w:qFormat/>
    <w:rsid w:val="002461B3"/>
    <w:pPr>
      <w:pageBreakBefore/>
      <w:pBdr>
        <w:left w:val="single" w:sz="4" w:space="4" w:color="A8D08D" w:themeColor="accent6" w:themeTint="99"/>
        <w:right w:val="single" w:sz="4" w:space="4" w:color="A8D08D" w:themeColor="accent6" w:themeTint="99"/>
      </w:pBdr>
      <w:shd w:val="clear" w:color="auto" w:fill="E7FFE7"/>
      <w:jc w:val="center"/>
    </w:pPr>
    <w:rPr>
      <w:rFonts w:ascii="Times New Roman" w:hAnsi="Times New Roman" w:cs="Times New Roman"/>
      <w:color w:val="538135" w:themeColor="accent6" w:themeShade="BF"/>
      <w:sz w:val="52"/>
      <w:szCs w:val="52"/>
      <w14:shadow w14:blurRad="63500" w14:dist="50800" w14:dir="13500000" w14:sx="0" w14:sy="0" w14:kx="0" w14:ky="0" w14:algn="none">
        <w14:srgbClr w14:val="000000">
          <w14:alpha w14:val="50000"/>
        </w14:srgbClr>
      </w14:shadow>
    </w:rPr>
  </w:style>
  <w:style w:type="character" w:customStyle="1" w:styleId="PreContentChar">
    <w:name w:val="Pre Content Char"/>
    <w:basedOn w:val="Heading2Char"/>
    <w:link w:val="PreContent"/>
    <w:rsid w:val="002461B3"/>
    <w:rPr>
      <w:rFonts w:ascii="Times New Roman" w:eastAsiaTheme="majorEastAsia" w:hAnsi="Times New Roman" w:cs="Times New Roman"/>
      <w:b w:val="0"/>
      <w:bCs w:val="0"/>
      <w:color w:val="538135" w:themeColor="accent6" w:themeShade="BF"/>
      <w:sz w:val="52"/>
      <w:szCs w:val="52"/>
      <w:shd w:val="clear" w:color="auto" w:fill="E7FFE7"/>
      <w:lang w:eastAsia="en-GB"/>
      <w14:shadow w14:blurRad="63500" w14:dist="50800" w14:dir="13500000" w14:sx="0" w14:sy="0" w14:kx="0" w14:ky="0" w14:algn="none">
        <w14:srgbClr w14:val="000000">
          <w14:alpha w14:val="50000"/>
        </w14:srgbClr>
      </w14:shadow>
    </w:rPr>
  </w:style>
  <w:style w:type="paragraph" w:customStyle="1" w:styleId="TableContentTiny">
    <w:name w:val="Table Content Tiny"/>
    <w:basedOn w:val="Normal"/>
    <w:link w:val="TableContentTinyChar"/>
    <w:qFormat/>
    <w:rsid w:val="00DC7778"/>
    <w:pPr>
      <w:keepLines w:val="0"/>
      <w:suppressAutoHyphens w:val="0"/>
      <w:spacing w:before="60" w:after="60" w:line="240" w:lineRule="auto"/>
    </w:pPr>
    <w:rPr>
      <w:rFonts w:eastAsiaTheme="minorEastAsia" w:cstheme="minorHAnsi"/>
      <w:sz w:val="16"/>
      <w:lang w:val="en-US" w:eastAsia="zh-CN"/>
    </w:rPr>
  </w:style>
  <w:style w:type="character" w:customStyle="1" w:styleId="TableContentTinyChar">
    <w:name w:val="Table Content Tiny Char"/>
    <w:basedOn w:val="DefaultParagraphFont"/>
    <w:link w:val="TableContentTiny"/>
    <w:rsid w:val="00DC7778"/>
    <w:rPr>
      <w:rFonts w:eastAsiaTheme="minorEastAsia" w:cstheme="minorHAnsi"/>
      <w:sz w:val="16"/>
      <w:lang w:val="en-US" w:eastAsia="zh-CN"/>
    </w:rPr>
  </w:style>
  <w:style w:type="paragraph" w:styleId="FootnoteText">
    <w:name w:val="footnote text"/>
    <w:basedOn w:val="Normal"/>
    <w:link w:val="FootnoteTextChar"/>
    <w:uiPriority w:val="99"/>
    <w:semiHidden/>
    <w:unhideWhenUsed/>
    <w:rsid w:val="00097F65"/>
    <w:pPr>
      <w:spacing w:before="0" w:line="240" w:lineRule="auto"/>
    </w:pPr>
    <w:rPr>
      <w:sz w:val="20"/>
      <w:szCs w:val="20"/>
    </w:rPr>
  </w:style>
  <w:style w:type="character" w:customStyle="1" w:styleId="FootnoteTextChar">
    <w:name w:val="Footnote Text Char"/>
    <w:basedOn w:val="DefaultParagraphFont"/>
    <w:link w:val="FootnoteText"/>
    <w:uiPriority w:val="99"/>
    <w:semiHidden/>
    <w:rsid w:val="00097F65"/>
    <w:rPr>
      <w:sz w:val="20"/>
      <w:szCs w:val="20"/>
      <w:lang w:eastAsia="en-GB"/>
    </w:rPr>
  </w:style>
  <w:style w:type="character" w:styleId="FootnoteReference">
    <w:name w:val="footnote reference"/>
    <w:basedOn w:val="DefaultParagraphFont"/>
    <w:uiPriority w:val="99"/>
    <w:semiHidden/>
    <w:unhideWhenUsed/>
    <w:rsid w:val="00097F65"/>
    <w:rPr>
      <w:vertAlign w:val="superscript"/>
    </w:rPr>
  </w:style>
  <w:style w:type="paragraph" w:customStyle="1" w:styleId="xxxmsolistparagraph">
    <w:name w:val="x_x_x_msolistparagraph"/>
    <w:basedOn w:val="Normal"/>
    <w:rsid w:val="007B756F"/>
    <w:pPr>
      <w:keepLines w:val="0"/>
      <w:suppressAutoHyphens w:val="0"/>
      <w:spacing w:before="100" w:beforeAutospacing="1" w:after="100" w:afterAutospacing="1" w:line="240" w:lineRule="auto"/>
    </w:pPr>
    <w:rPr>
      <w:rFonts w:ascii="Times New Roman" w:eastAsia="Times New Roman" w:hAnsi="Times New Roman" w:cs="Times New Roman"/>
      <w:sz w:val="24"/>
      <w:szCs w:val="24"/>
      <w:lang w:eastAsia="en-SG"/>
    </w:rPr>
  </w:style>
  <w:style w:type="paragraph" w:customStyle="1" w:styleId="xxxmsonormal">
    <w:name w:val="x_x_x_msonormal"/>
    <w:basedOn w:val="Normal"/>
    <w:rsid w:val="007B756F"/>
    <w:pPr>
      <w:keepLines w:val="0"/>
      <w:suppressAutoHyphens w:val="0"/>
      <w:spacing w:before="100" w:beforeAutospacing="1" w:after="100" w:afterAutospacing="1" w:line="240" w:lineRule="auto"/>
    </w:pPr>
    <w:rPr>
      <w:rFonts w:ascii="Times New Roman" w:eastAsia="Times New Roman" w:hAnsi="Times New Roman" w:cs="Times New Roman"/>
      <w:sz w:val="24"/>
      <w:szCs w:val="24"/>
      <w:lang w:eastAsia="en-SG"/>
    </w:rPr>
  </w:style>
  <w:style w:type="paragraph" w:customStyle="1" w:styleId="Pa0">
    <w:name w:val="Pa0"/>
    <w:basedOn w:val="Normal"/>
    <w:next w:val="Normal"/>
    <w:uiPriority w:val="99"/>
    <w:rsid w:val="004F0EC8"/>
    <w:pPr>
      <w:keepLines w:val="0"/>
      <w:suppressAutoHyphens w:val="0"/>
      <w:autoSpaceDE w:val="0"/>
      <w:autoSpaceDN w:val="0"/>
      <w:adjustRightInd w:val="0"/>
      <w:spacing w:before="0" w:line="211" w:lineRule="atLeast"/>
    </w:pPr>
    <w:rPr>
      <w:rFonts w:ascii="Book Antiqua" w:hAnsi="Book Antiqua"/>
      <w:sz w:val="24"/>
      <w:szCs w:val="24"/>
      <w:lang w:eastAsia="en-US"/>
    </w:rPr>
  </w:style>
  <w:style w:type="paragraph" w:customStyle="1" w:styleId="NormalPACKT">
    <w:name w:val="Normal [PACKT]"/>
    <w:uiPriority w:val="99"/>
    <w:locked/>
    <w:rsid w:val="001062E5"/>
    <w:pPr>
      <w:spacing w:after="120" w:line="240" w:lineRule="auto"/>
    </w:pPr>
    <w:rPr>
      <w:rFonts w:ascii="Times New Roman" w:eastAsia="Times New Roman" w:hAnsi="Times New Roman" w:cs="Times New Roman"/>
      <w:szCs w:val="24"/>
      <w:lang w:val="en-US"/>
    </w:rPr>
  </w:style>
  <w:style w:type="paragraph" w:customStyle="1" w:styleId="BulletPACKT">
    <w:name w:val="Bullet [PACKT]"/>
    <w:basedOn w:val="NormalPACKT"/>
    <w:uiPriority w:val="99"/>
    <w:locked/>
    <w:rsid w:val="001062E5"/>
    <w:pPr>
      <w:numPr>
        <w:numId w:val="28"/>
      </w:numPr>
      <w:tabs>
        <w:tab w:val="left" w:pos="360"/>
      </w:tabs>
      <w:suppressAutoHyphens/>
      <w:spacing w:after="60"/>
      <w:ind w:right="360"/>
    </w:pPr>
  </w:style>
  <w:style w:type="paragraph" w:customStyle="1" w:styleId="TableColumnHeadingPACKT">
    <w:name w:val="Table Column Heading [PACKT]"/>
    <w:basedOn w:val="NormalPACKT"/>
    <w:uiPriority w:val="99"/>
    <w:rsid w:val="001062E5"/>
    <w:pPr>
      <w:spacing w:before="60" w:after="60"/>
    </w:pPr>
    <w:rPr>
      <w:rFonts w:cs="Arial"/>
      <w:b/>
      <w:bCs/>
      <w:sz w:val="20"/>
    </w:rPr>
  </w:style>
  <w:style w:type="paragraph" w:customStyle="1" w:styleId="TableColumnContentPACKT">
    <w:name w:val="Table Column Content [PACKT]"/>
    <w:basedOn w:val="TableColumnHeadingPACKT"/>
    <w:uiPriority w:val="99"/>
    <w:rsid w:val="001062E5"/>
    <w:rPr>
      <w:b w:val="0"/>
    </w:rPr>
  </w:style>
  <w:style w:type="paragraph" w:customStyle="1" w:styleId="BlankPage">
    <w:name w:val="Blank Page"/>
    <w:basedOn w:val="Normal"/>
    <w:link w:val="BlankPageChar"/>
    <w:qFormat/>
    <w:rsid w:val="00796465"/>
    <w:pPr>
      <w:spacing w:before="4000"/>
      <w:jc w:val="center"/>
    </w:pPr>
    <w:rPr>
      <w:i/>
      <w:iCs/>
      <w:lang w:val="en-GB"/>
    </w:rPr>
  </w:style>
  <w:style w:type="character" w:customStyle="1" w:styleId="BlankPageChar">
    <w:name w:val="Blank Page Char"/>
    <w:basedOn w:val="DefaultParagraphFont"/>
    <w:link w:val="BlankPage"/>
    <w:rsid w:val="00796465"/>
    <w:rPr>
      <w:i/>
      <w:iCs/>
      <w:lang w:val="en-GB" w:eastAsia="en-GB"/>
    </w:rPr>
  </w:style>
  <w:style w:type="table" w:styleId="TableGridLight">
    <w:name w:val="Grid Table Light"/>
    <w:basedOn w:val="TableNormal"/>
    <w:uiPriority w:val="40"/>
    <w:rsid w:val="00A2745A"/>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Accent5">
    <w:name w:val="Grid Table 1 Light Accent 5"/>
    <w:basedOn w:val="TableNormal"/>
    <w:uiPriority w:val="46"/>
    <w:rsid w:val="0013239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13239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1Light">
    <w:name w:val="Grid Table 1 Light"/>
    <w:basedOn w:val="TableNormal"/>
    <w:uiPriority w:val="46"/>
    <w:rsid w:val="00D4324D"/>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LightGrid-Accent6">
    <w:name w:val="Light Grid Accent 6"/>
    <w:basedOn w:val="TableNormal"/>
    <w:uiPriority w:val="62"/>
    <w:rsid w:val="007C6CF0"/>
    <w:pPr>
      <w:spacing w:after="0" w:line="240" w:lineRule="auto"/>
    </w:pPr>
    <w:rPr>
      <w:lang w:val="en-US"/>
    </w:rPr>
    <w:tblPr>
      <w:tblStyleRowBandSize w:val="1"/>
      <w:tblStyleColBandSize w:val="1"/>
      <w:tblBorders>
        <w:top w:val="single" w:sz="8" w:space="0" w:color="70AD47" w:themeColor="accent6"/>
        <w:left w:val="single" w:sz="8" w:space="0" w:color="70AD47" w:themeColor="accent6"/>
        <w:bottom w:val="single" w:sz="8" w:space="0" w:color="70AD47" w:themeColor="accent6"/>
        <w:right w:val="single" w:sz="8" w:space="0" w:color="70AD47" w:themeColor="accent6"/>
        <w:insideH w:val="single" w:sz="8" w:space="0" w:color="70AD47" w:themeColor="accent6"/>
        <w:insideV w:val="single" w:sz="8" w:space="0" w:color="70AD47"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18" w:space="0" w:color="70AD47" w:themeColor="accent6"/>
          <w:right w:val="single" w:sz="8" w:space="0" w:color="70AD47" w:themeColor="accent6"/>
          <w:insideH w:val="nil"/>
          <w:insideV w:val="single" w:sz="8" w:space="0" w:color="70AD47"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0AD47" w:themeColor="accent6"/>
          <w:left w:val="single" w:sz="8" w:space="0" w:color="70AD47" w:themeColor="accent6"/>
          <w:bottom w:val="single" w:sz="8" w:space="0" w:color="70AD47" w:themeColor="accent6"/>
          <w:right w:val="single" w:sz="8" w:space="0" w:color="70AD47" w:themeColor="accent6"/>
          <w:insideH w:val="nil"/>
          <w:insideV w:val="single" w:sz="8" w:space="0" w:color="70AD47"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tcPr>
    </w:tblStylePr>
    <w:tblStylePr w:type="band1Vert">
      <w:tblPr/>
      <w:tcPr>
        <w:tcBorders>
          <w:top w:val="single" w:sz="8" w:space="0" w:color="70AD47" w:themeColor="accent6"/>
          <w:left w:val="single" w:sz="8" w:space="0" w:color="70AD47" w:themeColor="accent6"/>
          <w:bottom w:val="single" w:sz="8" w:space="0" w:color="70AD47" w:themeColor="accent6"/>
          <w:right w:val="single" w:sz="8" w:space="0" w:color="70AD47" w:themeColor="accent6"/>
        </w:tcBorders>
        <w:shd w:val="clear" w:color="auto" w:fill="DBEBD0" w:themeFill="accent6" w:themeFillTint="3F"/>
      </w:tcPr>
    </w:tblStylePr>
    <w:tblStylePr w:type="band1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shd w:val="clear" w:color="auto" w:fill="DBEBD0" w:themeFill="accent6" w:themeFillTint="3F"/>
      </w:tcPr>
    </w:tblStylePr>
    <w:tblStylePr w:type="band2Horz">
      <w:tblPr/>
      <w:tcPr>
        <w:tcBorders>
          <w:top w:val="single" w:sz="8" w:space="0" w:color="70AD47" w:themeColor="accent6"/>
          <w:left w:val="single" w:sz="8" w:space="0" w:color="70AD47" w:themeColor="accent6"/>
          <w:bottom w:val="single" w:sz="8" w:space="0" w:color="70AD47" w:themeColor="accent6"/>
          <w:right w:val="single" w:sz="8" w:space="0" w:color="70AD47" w:themeColor="accent6"/>
          <w:insideV w:val="single" w:sz="8" w:space="0" w:color="70AD47" w:themeColor="accent6"/>
        </w:tcBorders>
      </w:tcPr>
    </w:tblStylePr>
  </w:style>
  <w:style w:type="table" w:styleId="PlainTable1">
    <w:name w:val="Plain Table 1"/>
    <w:basedOn w:val="TableNormal"/>
    <w:uiPriority w:val="41"/>
    <w:rsid w:val="00F46B87"/>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Default">
    <w:name w:val="Default"/>
    <w:rsid w:val="00112512"/>
    <w:pPr>
      <w:autoSpaceDE w:val="0"/>
      <w:autoSpaceDN w:val="0"/>
      <w:adjustRightInd w:val="0"/>
      <w:spacing w:after="0" w:line="240" w:lineRule="auto"/>
    </w:pPr>
    <w:rPr>
      <w:rFonts w:ascii="Book Antiqua" w:hAnsi="Book Antiqua" w:cs="Book Antiqua"/>
      <w:color w:val="000000"/>
      <w:sz w:val="24"/>
      <w:szCs w:val="24"/>
    </w:rPr>
  </w:style>
  <w:style w:type="paragraph" w:customStyle="1" w:styleId="Pa39">
    <w:name w:val="Pa39"/>
    <w:basedOn w:val="Default"/>
    <w:next w:val="Default"/>
    <w:uiPriority w:val="99"/>
    <w:rsid w:val="00112512"/>
    <w:pPr>
      <w:spacing w:line="191" w:lineRule="atLeast"/>
    </w:pPr>
    <w:rPr>
      <w:rFonts w:cstheme="minorBidi"/>
      <w:color w:val="auto"/>
    </w:rPr>
  </w:style>
  <w:style w:type="paragraph" w:customStyle="1" w:styleId="BeforeTable">
    <w:name w:val="Before Table"/>
    <w:basedOn w:val="Normal"/>
    <w:link w:val="BeforeTableChar"/>
    <w:qFormat/>
    <w:rsid w:val="00882BDF"/>
    <w:pPr>
      <w:spacing w:before="0"/>
    </w:pPr>
    <w:rPr>
      <w:sz w:val="16"/>
      <w:szCs w:val="16"/>
    </w:rPr>
  </w:style>
  <w:style w:type="character" w:customStyle="1" w:styleId="BeforeTableChar">
    <w:name w:val="Before Table Char"/>
    <w:basedOn w:val="DefaultParagraphFont"/>
    <w:link w:val="BeforeTable"/>
    <w:rsid w:val="00882BDF"/>
    <w:rPr>
      <w:sz w:val="16"/>
      <w:szCs w:val="16"/>
      <w:lang w:eastAsia="en-GB"/>
    </w:rPr>
  </w:style>
  <w:style w:type="character" w:customStyle="1" w:styleId="editsection">
    <w:name w:val="editsection"/>
    <w:basedOn w:val="DefaultParagraphFont"/>
    <w:rsid w:val="00DF63B1"/>
  </w:style>
  <w:style w:type="character" w:customStyle="1" w:styleId="mw-headline">
    <w:name w:val="mw-headline"/>
    <w:basedOn w:val="DefaultParagraphFont"/>
    <w:rsid w:val="00DF63B1"/>
  </w:style>
  <w:style w:type="character" w:customStyle="1" w:styleId="loginsection">
    <w:name w:val="login__section"/>
    <w:basedOn w:val="DefaultParagraphFont"/>
    <w:rsid w:val="003A23AD"/>
  </w:style>
  <w:style w:type="character" w:customStyle="1" w:styleId="login-divider">
    <w:name w:val="login-divider"/>
    <w:basedOn w:val="DefaultParagraphFont"/>
    <w:rsid w:val="003A23AD"/>
  </w:style>
  <w:style w:type="character" w:customStyle="1" w:styleId="time">
    <w:name w:val="time"/>
    <w:basedOn w:val="DefaultParagraphFont"/>
    <w:rsid w:val="003A23AD"/>
  </w:style>
  <w:style w:type="character" w:customStyle="1" w:styleId="fs-author-name">
    <w:name w:val="fs-author-name"/>
    <w:basedOn w:val="DefaultParagraphFont"/>
    <w:rsid w:val="003A23AD"/>
  </w:style>
  <w:style w:type="character" w:customStyle="1" w:styleId="contrib-byline-type">
    <w:name w:val="contrib-byline-type"/>
    <w:basedOn w:val="DefaultParagraphFont"/>
    <w:rsid w:val="003A23AD"/>
  </w:style>
  <w:style w:type="paragraph" w:customStyle="1" w:styleId="article-sharingitem">
    <w:name w:val="article-sharing__item"/>
    <w:basedOn w:val="Normal"/>
    <w:rsid w:val="003A23AD"/>
    <w:pPr>
      <w:keepLines w:val="0"/>
      <w:suppressAutoHyphens w:val="0"/>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p-caption-text">
    <w:name w:val="wp-caption-text"/>
    <w:basedOn w:val="Normal"/>
    <w:rsid w:val="003A23AD"/>
    <w:pPr>
      <w:keepLines w:val="0"/>
      <w:suppressAutoHyphens w:val="0"/>
      <w:spacing w:before="100" w:beforeAutospacing="1" w:after="100" w:afterAutospacing="1" w:line="240" w:lineRule="auto"/>
    </w:pPr>
    <w:rPr>
      <w:rFonts w:ascii="Times New Roman" w:eastAsia="Times New Roman" w:hAnsi="Times New Roman" w:cs="Times New Roman"/>
      <w:sz w:val="24"/>
      <w:szCs w:val="24"/>
    </w:rPr>
  </w:style>
  <w:style w:type="character" w:customStyle="1" w:styleId="plus">
    <w:name w:val="plus"/>
    <w:basedOn w:val="DefaultParagraphFont"/>
    <w:rsid w:val="003A23AD"/>
  </w:style>
  <w:style w:type="paragraph" w:customStyle="1" w:styleId="print">
    <w:name w:val="print"/>
    <w:basedOn w:val="Normal"/>
    <w:rsid w:val="003A23AD"/>
    <w:pPr>
      <w:keepLines w:val="0"/>
      <w:suppressAutoHyphens w:val="0"/>
      <w:spacing w:before="100" w:beforeAutospacing="1" w:after="100" w:afterAutospacing="1" w:line="240" w:lineRule="auto"/>
    </w:pPr>
    <w:rPr>
      <w:rFonts w:ascii="Times New Roman" w:eastAsia="Times New Roman" w:hAnsi="Times New Roman" w:cs="Times New Roman"/>
      <w:sz w:val="24"/>
      <w:szCs w:val="24"/>
    </w:rPr>
  </w:style>
  <w:style w:type="paragraph" w:styleId="Caption">
    <w:name w:val="caption"/>
    <w:basedOn w:val="Normal"/>
    <w:next w:val="Normal"/>
    <w:uiPriority w:val="35"/>
    <w:unhideWhenUsed/>
    <w:qFormat/>
    <w:rsid w:val="003A23AD"/>
    <w:pPr>
      <w:keepLines w:val="0"/>
      <w:suppressAutoHyphens w:val="0"/>
      <w:spacing w:before="0" w:after="200" w:line="240" w:lineRule="auto"/>
    </w:pPr>
    <w:rPr>
      <w:rFonts w:ascii="Times New Roman" w:eastAsia="Times New Roman" w:hAnsi="Times New Roman" w:cs="Times New Roman"/>
      <w:i/>
      <w:iCs/>
      <w:color w:val="44546A" w:themeColor="text2"/>
      <w:sz w:val="18"/>
      <w:szCs w:val="18"/>
    </w:rPr>
  </w:style>
  <w:style w:type="paragraph" w:styleId="TOCHeading">
    <w:name w:val="TOC Heading"/>
    <w:basedOn w:val="Heading1"/>
    <w:next w:val="Normal"/>
    <w:uiPriority w:val="39"/>
    <w:unhideWhenUsed/>
    <w:qFormat/>
    <w:rsid w:val="003A23AD"/>
    <w:pPr>
      <w:pageBreakBefore w:val="0"/>
      <w:shd w:val="clear" w:color="auto" w:fill="auto"/>
      <w:suppressAutoHyphens w:val="0"/>
      <w:spacing w:before="480" w:line="276" w:lineRule="auto"/>
      <w:jc w:val="left"/>
      <w:outlineLvl w:val="9"/>
    </w:pPr>
    <w:rPr>
      <w:rFonts w:asciiTheme="majorHAnsi" w:hAnsiTheme="majorHAnsi" w:cstheme="majorBidi"/>
      <w:sz w:val="28"/>
      <w:szCs w:val="28"/>
      <w:lang w:val="en-US" w:eastAsia="en-US"/>
      <w14:reflection w14:blurRad="0" w14:stA="0" w14:stPos="0" w14:endA="0" w14:endPos="0" w14:dist="0" w14:dir="0" w14:fadeDir="0" w14:sx="0" w14:sy="0" w14:kx="0" w14:ky="0" w14:algn="none"/>
    </w:rPr>
  </w:style>
  <w:style w:type="paragraph" w:styleId="TOC1">
    <w:name w:val="toc 1"/>
    <w:basedOn w:val="Normal"/>
    <w:next w:val="Normal"/>
    <w:autoRedefine/>
    <w:uiPriority w:val="39"/>
    <w:unhideWhenUsed/>
    <w:rsid w:val="003A23AD"/>
    <w:pPr>
      <w:keepLines w:val="0"/>
      <w:suppressAutoHyphens w:val="0"/>
      <w:spacing w:line="240" w:lineRule="auto"/>
    </w:pPr>
    <w:rPr>
      <w:rFonts w:eastAsia="Times New Roman" w:cs="Times New Roman"/>
      <w:b/>
      <w:bCs/>
      <w:i/>
      <w:iCs/>
      <w:sz w:val="24"/>
      <w:szCs w:val="24"/>
    </w:rPr>
  </w:style>
  <w:style w:type="paragraph" w:styleId="TOC2">
    <w:name w:val="toc 2"/>
    <w:basedOn w:val="Normal"/>
    <w:next w:val="Normal"/>
    <w:autoRedefine/>
    <w:uiPriority w:val="39"/>
    <w:unhideWhenUsed/>
    <w:rsid w:val="003A23AD"/>
    <w:pPr>
      <w:keepLines w:val="0"/>
      <w:suppressAutoHyphens w:val="0"/>
      <w:spacing w:line="240" w:lineRule="auto"/>
      <w:ind w:left="240"/>
    </w:pPr>
    <w:rPr>
      <w:rFonts w:eastAsia="Times New Roman" w:cs="Times New Roman"/>
      <w:b/>
      <w:bCs/>
    </w:rPr>
  </w:style>
  <w:style w:type="paragraph" w:styleId="TOC3">
    <w:name w:val="toc 3"/>
    <w:basedOn w:val="Normal"/>
    <w:next w:val="Normal"/>
    <w:autoRedefine/>
    <w:uiPriority w:val="39"/>
    <w:unhideWhenUsed/>
    <w:rsid w:val="003A23AD"/>
    <w:pPr>
      <w:keepLines w:val="0"/>
      <w:suppressAutoHyphens w:val="0"/>
      <w:spacing w:before="0" w:line="240" w:lineRule="auto"/>
      <w:ind w:left="480"/>
    </w:pPr>
    <w:rPr>
      <w:rFonts w:eastAsia="Times New Roman" w:cs="Times New Roman"/>
      <w:sz w:val="20"/>
      <w:szCs w:val="20"/>
    </w:rPr>
  </w:style>
  <w:style w:type="paragraph" w:styleId="TableofFigures">
    <w:name w:val="table of figures"/>
    <w:basedOn w:val="Normal"/>
    <w:next w:val="Normal"/>
    <w:uiPriority w:val="99"/>
    <w:unhideWhenUsed/>
    <w:rsid w:val="003A23AD"/>
    <w:pPr>
      <w:keepLines w:val="0"/>
      <w:suppressAutoHyphens w:val="0"/>
      <w:spacing w:before="0" w:line="240" w:lineRule="auto"/>
    </w:pPr>
    <w:rPr>
      <w:rFonts w:ascii="Times New Roman" w:eastAsia="Times New Roman" w:hAnsi="Times New Roman" w:cs="Times New Roman"/>
      <w:sz w:val="24"/>
      <w:szCs w:val="24"/>
    </w:rPr>
  </w:style>
  <w:style w:type="table" w:styleId="GridTable1Light-Accent3">
    <w:name w:val="Grid Table 1 Light Accent 3"/>
    <w:basedOn w:val="TableNormal"/>
    <w:uiPriority w:val="46"/>
    <w:rsid w:val="001E66A0"/>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character" w:styleId="HTMLCite">
    <w:name w:val="HTML Cite"/>
    <w:basedOn w:val="DefaultParagraphFont"/>
    <w:uiPriority w:val="99"/>
    <w:semiHidden/>
    <w:unhideWhenUsed/>
    <w:rsid w:val="005A6BB2"/>
    <w:rPr>
      <w:i/>
      <w:iCs/>
    </w:rPr>
  </w:style>
  <w:style w:type="character" w:customStyle="1" w:styleId="cb-itemprop">
    <w:name w:val="cb-itemprop"/>
    <w:basedOn w:val="DefaultParagraphFont"/>
    <w:rsid w:val="00D14595"/>
  </w:style>
  <w:style w:type="table" w:styleId="GridTable4-Accent4">
    <w:name w:val="Grid Table 4 Accent 4"/>
    <w:basedOn w:val="TableNormal"/>
    <w:uiPriority w:val="49"/>
    <w:rsid w:val="004469A2"/>
    <w:pPr>
      <w:spacing w:after="0" w:line="240" w:lineRule="auto"/>
      <w:ind w:left="360"/>
    </w:pPr>
    <w:rPr>
      <w:color w:val="4472C4" w:themeColor="accent1"/>
      <w:lang w:val="en-US"/>
    </w:r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color w:val="FFFFFF" w:themeColor="background1"/>
      </w:rPr>
      <w:tblPr/>
      <w:tcPr>
        <w:tcBorders>
          <w:top w:val="single" w:sz="4" w:space="0" w:color="FFC000" w:themeColor="accent4"/>
          <w:left w:val="single" w:sz="4" w:space="0" w:color="FFC000" w:themeColor="accent4"/>
          <w:bottom w:val="single" w:sz="4" w:space="0" w:color="FFC000" w:themeColor="accent4"/>
          <w:right w:val="single" w:sz="4" w:space="0" w:color="FFC000" w:themeColor="accent4"/>
          <w:insideH w:val="nil"/>
          <w:insideV w:val="nil"/>
        </w:tcBorders>
        <w:shd w:val="clear" w:color="auto" w:fill="FFC000" w:themeFill="accent4"/>
      </w:tcPr>
    </w:tblStylePr>
    <w:tblStylePr w:type="lastRow">
      <w:rPr>
        <w:b/>
        <w:bCs/>
      </w:rPr>
      <w:tblPr/>
      <w:tcPr>
        <w:tcBorders>
          <w:top w:val="double" w:sz="4" w:space="0" w:color="FFC000" w:themeColor="accent4"/>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customStyle="1" w:styleId="Table">
    <w:name w:val="Table"/>
    <w:basedOn w:val="Normal"/>
    <w:link w:val="TableChar"/>
    <w:qFormat/>
    <w:rsid w:val="004469A2"/>
    <w:pPr>
      <w:keepLines w:val="0"/>
      <w:suppressAutoHyphens w:val="0"/>
      <w:spacing w:after="120" w:line="240" w:lineRule="auto"/>
      <w:ind w:right="-58"/>
    </w:pPr>
    <w:rPr>
      <w:rFonts w:ascii="Arial" w:eastAsiaTheme="minorEastAsia" w:hAnsi="Arial" w:cs="Arial"/>
      <w:sz w:val="19"/>
      <w:szCs w:val="19"/>
      <w:lang w:val="en-US" w:eastAsia="en-US"/>
    </w:rPr>
  </w:style>
  <w:style w:type="character" w:customStyle="1" w:styleId="TableChar">
    <w:name w:val="Table Char"/>
    <w:basedOn w:val="DefaultParagraphFont"/>
    <w:link w:val="Table"/>
    <w:rsid w:val="004469A2"/>
    <w:rPr>
      <w:rFonts w:ascii="Arial" w:eastAsiaTheme="minorEastAsia" w:hAnsi="Arial" w:cs="Arial"/>
      <w:sz w:val="19"/>
      <w:szCs w:val="19"/>
      <w:lang w:val="en-US"/>
    </w:rPr>
  </w:style>
  <w:style w:type="table" w:styleId="PlainTable3">
    <w:name w:val="Plain Table 3"/>
    <w:basedOn w:val="TableNormal"/>
    <w:uiPriority w:val="43"/>
    <w:rsid w:val="00DF3F7A"/>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inline-highlight">
    <w:name w:val="inline-highlight"/>
    <w:basedOn w:val="DefaultParagraphFont"/>
    <w:rsid w:val="00E86C1F"/>
  </w:style>
  <w:style w:type="character" w:styleId="IntenseReference">
    <w:name w:val="Intense Reference"/>
    <w:basedOn w:val="DefaultParagraphFont"/>
    <w:uiPriority w:val="32"/>
    <w:qFormat/>
    <w:rsid w:val="00967472"/>
    <w:rPr>
      <w:b/>
      <w:bCs/>
      <w:smallCaps/>
      <w:color w:val="4472C4" w:themeColor="accent1"/>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4403622">
      <w:bodyDiv w:val="1"/>
      <w:marLeft w:val="0"/>
      <w:marRight w:val="0"/>
      <w:marTop w:val="0"/>
      <w:marBottom w:val="0"/>
      <w:divBdr>
        <w:top w:val="none" w:sz="0" w:space="0" w:color="auto"/>
        <w:left w:val="none" w:sz="0" w:space="0" w:color="auto"/>
        <w:bottom w:val="none" w:sz="0" w:space="0" w:color="auto"/>
        <w:right w:val="none" w:sz="0" w:space="0" w:color="auto"/>
      </w:divBdr>
    </w:div>
    <w:div w:id="25252183">
      <w:bodyDiv w:val="1"/>
      <w:marLeft w:val="0"/>
      <w:marRight w:val="0"/>
      <w:marTop w:val="0"/>
      <w:marBottom w:val="0"/>
      <w:divBdr>
        <w:top w:val="none" w:sz="0" w:space="0" w:color="auto"/>
        <w:left w:val="none" w:sz="0" w:space="0" w:color="auto"/>
        <w:bottom w:val="none" w:sz="0" w:space="0" w:color="auto"/>
        <w:right w:val="none" w:sz="0" w:space="0" w:color="auto"/>
      </w:divBdr>
    </w:div>
    <w:div w:id="25448253">
      <w:bodyDiv w:val="1"/>
      <w:marLeft w:val="0"/>
      <w:marRight w:val="0"/>
      <w:marTop w:val="0"/>
      <w:marBottom w:val="0"/>
      <w:divBdr>
        <w:top w:val="none" w:sz="0" w:space="0" w:color="auto"/>
        <w:left w:val="none" w:sz="0" w:space="0" w:color="auto"/>
        <w:bottom w:val="none" w:sz="0" w:space="0" w:color="auto"/>
        <w:right w:val="none" w:sz="0" w:space="0" w:color="auto"/>
      </w:divBdr>
      <w:divsChild>
        <w:div w:id="755442176">
          <w:marLeft w:val="274"/>
          <w:marRight w:val="0"/>
          <w:marTop w:val="0"/>
          <w:marBottom w:val="0"/>
          <w:divBdr>
            <w:top w:val="none" w:sz="0" w:space="0" w:color="auto"/>
            <w:left w:val="none" w:sz="0" w:space="0" w:color="auto"/>
            <w:bottom w:val="none" w:sz="0" w:space="0" w:color="auto"/>
            <w:right w:val="none" w:sz="0" w:space="0" w:color="auto"/>
          </w:divBdr>
        </w:div>
        <w:div w:id="1536893620">
          <w:marLeft w:val="274"/>
          <w:marRight w:val="0"/>
          <w:marTop w:val="0"/>
          <w:marBottom w:val="0"/>
          <w:divBdr>
            <w:top w:val="none" w:sz="0" w:space="0" w:color="auto"/>
            <w:left w:val="none" w:sz="0" w:space="0" w:color="auto"/>
            <w:bottom w:val="none" w:sz="0" w:space="0" w:color="auto"/>
            <w:right w:val="none" w:sz="0" w:space="0" w:color="auto"/>
          </w:divBdr>
        </w:div>
        <w:div w:id="1639993020">
          <w:marLeft w:val="274"/>
          <w:marRight w:val="0"/>
          <w:marTop w:val="0"/>
          <w:marBottom w:val="0"/>
          <w:divBdr>
            <w:top w:val="none" w:sz="0" w:space="0" w:color="auto"/>
            <w:left w:val="none" w:sz="0" w:space="0" w:color="auto"/>
            <w:bottom w:val="none" w:sz="0" w:space="0" w:color="auto"/>
            <w:right w:val="none" w:sz="0" w:space="0" w:color="auto"/>
          </w:divBdr>
        </w:div>
      </w:divsChild>
    </w:div>
    <w:div w:id="30302311">
      <w:bodyDiv w:val="1"/>
      <w:marLeft w:val="0"/>
      <w:marRight w:val="0"/>
      <w:marTop w:val="0"/>
      <w:marBottom w:val="0"/>
      <w:divBdr>
        <w:top w:val="none" w:sz="0" w:space="0" w:color="auto"/>
        <w:left w:val="none" w:sz="0" w:space="0" w:color="auto"/>
        <w:bottom w:val="none" w:sz="0" w:space="0" w:color="auto"/>
        <w:right w:val="none" w:sz="0" w:space="0" w:color="auto"/>
      </w:divBdr>
    </w:div>
    <w:div w:id="33115508">
      <w:bodyDiv w:val="1"/>
      <w:marLeft w:val="0"/>
      <w:marRight w:val="0"/>
      <w:marTop w:val="0"/>
      <w:marBottom w:val="0"/>
      <w:divBdr>
        <w:top w:val="none" w:sz="0" w:space="0" w:color="auto"/>
        <w:left w:val="none" w:sz="0" w:space="0" w:color="auto"/>
        <w:bottom w:val="none" w:sz="0" w:space="0" w:color="auto"/>
        <w:right w:val="none" w:sz="0" w:space="0" w:color="auto"/>
      </w:divBdr>
    </w:div>
    <w:div w:id="33894799">
      <w:bodyDiv w:val="1"/>
      <w:marLeft w:val="0"/>
      <w:marRight w:val="0"/>
      <w:marTop w:val="0"/>
      <w:marBottom w:val="0"/>
      <w:divBdr>
        <w:top w:val="none" w:sz="0" w:space="0" w:color="auto"/>
        <w:left w:val="none" w:sz="0" w:space="0" w:color="auto"/>
        <w:bottom w:val="none" w:sz="0" w:space="0" w:color="auto"/>
        <w:right w:val="none" w:sz="0" w:space="0" w:color="auto"/>
      </w:divBdr>
    </w:div>
    <w:div w:id="37122165">
      <w:bodyDiv w:val="1"/>
      <w:marLeft w:val="0"/>
      <w:marRight w:val="0"/>
      <w:marTop w:val="0"/>
      <w:marBottom w:val="0"/>
      <w:divBdr>
        <w:top w:val="none" w:sz="0" w:space="0" w:color="auto"/>
        <w:left w:val="none" w:sz="0" w:space="0" w:color="auto"/>
        <w:bottom w:val="none" w:sz="0" w:space="0" w:color="auto"/>
        <w:right w:val="none" w:sz="0" w:space="0" w:color="auto"/>
      </w:divBdr>
      <w:divsChild>
        <w:div w:id="66655914">
          <w:marLeft w:val="446"/>
          <w:marRight w:val="0"/>
          <w:marTop w:val="120"/>
          <w:marBottom w:val="0"/>
          <w:divBdr>
            <w:top w:val="none" w:sz="0" w:space="0" w:color="auto"/>
            <w:left w:val="none" w:sz="0" w:space="0" w:color="auto"/>
            <w:bottom w:val="none" w:sz="0" w:space="0" w:color="auto"/>
            <w:right w:val="none" w:sz="0" w:space="0" w:color="auto"/>
          </w:divBdr>
        </w:div>
        <w:div w:id="624192915">
          <w:marLeft w:val="446"/>
          <w:marRight w:val="0"/>
          <w:marTop w:val="120"/>
          <w:marBottom w:val="0"/>
          <w:divBdr>
            <w:top w:val="none" w:sz="0" w:space="0" w:color="auto"/>
            <w:left w:val="none" w:sz="0" w:space="0" w:color="auto"/>
            <w:bottom w:val="none" w:sz="0" w:space="0" w:color="auto"/>
            <w:right w:val="none" w:sz="0" w:space="0" w:color="auto"/>
          </w:divBdr>
        </w:div>
        <w:div w:id="954870580">
          <w:marLeft w:val="446"/>
          <w:marRight w:val="0"/>
          <w:marTop w:val="120"/>
          <w:marBottom w:val="0"/>
          <w:divBdr>
            <w:top w:val="none" w:sz="0" w:space="0" w:color="auto"/>
            <w:left w:val="none" w:sz="0" w:space="0" w:color="auto"/>
            <w:bottom w:val="none" w:sz="0" w:space="0" w:color="auto"/>
            <w:right w:val="none" w:sz="0" w:space="0" w:color="auto"/>
          </w:divBdr>
        </w:div>
        <w:div w:id="1426419439">
          <w:marLeft w:val="446"/>
          <w:marRight w:val="0"/>
          <w:marTop w:val="120"/>
          <w:marBottom w:val="0"/>
          <w:divBdr>
            <w:top w:val="none" w:sz="0" w:space="0" w:color="auto"/>
            <w:left w:val="none" w:sz="0" w:space="0" w:color="auto"/>
            <w:bottom w:val="none" w:sz="0" w:space="0" w:color="auto"/>
            <w:right w:val="none" w:sz="0" w:space="0" w:color="auto"/>
          </w:divBdr>
        </w:div>
        <w:div w:id="1513488545">
          <w:marLeft w:val="446"/>
          <w:marRight w:val="0"/>
          <w:marTop w:val="120"/>
          <w:marBottom w:val="0"/>
          <w:divBdr>
            <w:top w:val="none" w:sz="0" w:space="0" w:color="auto"/>
            <w:left w:val="none" w:sz="0" w:space="0" w:color="auto"/>
            <w:bottom w:val="none" w:sz="0" w:space="0" w:color="auto"/>
            <w:right w:val="none" w:sz="0" w:space="0" w:color="auto"/>
          </w:divBdr>
        </w:div>
        <w:div w:id="1619800815">
          <w:marLeft w:val="446"/>
          <w:marRight w:val="0"/>
          <w:marTop w:val="120"/>
          <w:marBottom w:val="0"/>
          <w:divBdr>
            <w:top w:val="none" w:sz="0" w:space="0" w:color="auto"/>
            <w:left w:val="none" w:sz="0" w:space="0" w:color="auto"/>
            <w:bottom w:val="none" w:sz="0" w:space="0" w:color="auto"/>
            <w:right w:val="none" w:sz="0" w:space="0" w:color="auto"/>
          </w:divBdr>
        </w:div>
        <w:div w:id="1929147080">
          <w:marLeft w:val="446"/>
          <w:marRight w:val="0"/>
          <w:marTop w:val="120"/>
          <w:marBottom w:val="0"/>
          <w:divBdr>
            <w:top w:val="none" w:sz="0" w:space="0" w:color="auto"/>
            <w:left w:val="none" w:sz="0" w:space="0" w:color="auto"/>
            <w:bottom w:val="none" w:sz="0" w:space="0" w:color="auto"/>
            <w:right w:val="none" w:sz="0" w:space="0" w:color="auto"/>
          </w:divBdr>
        </w:div>
      </w:divsChild>
    </w:div>
    <w:div w:id="58134544">
      <w:bodyDiv w:val="1"/>
      <w:marLeft w:val="0"/>
      <w:marRight w:val="0"/>
      <w:marTop w:val="0"/>
      <w:marBottom w:val="0"/>
      <w:divBdr>
        <w:top w:val="none" w:sz="0" w:space="0" w:color="auto"/>
        <w:left w:val="none" w:sz="0" w:space="0" w:color="auto"/>
        <w:bottom w:val="none" w:sz="0" w:space="0" w:color="auto"/>
        <w:right w:val="none" w:sz="0" w:space="0" w:color="auto"/>
      </w:divBdr>
    </w:div>
    <w:div w:id="59838995">
      <w:bodyDiv w:val="1"/>
      <w:marLeft w:val="0"/>
      <w:marRight w:val="0"/>
      <w:marTop w:val="0"/>
      <w:marBottom w:val="0"/>
      <w:divBdr>
        <w:top w:val="none" w:sz="0" w:space="0" w:color="auto"/>
        <w:left w:val="none" w:sz="0" w:space="0" w:color="auto"/>
        <w:bottom w:val="none" w:sz="0" w:space="0" w:color="auto"/>
        <w:right w:val="none" w:sz="0" w:space="0" w:color="auto"/>
      </w:divBdr>
      <w:divsChild>
        <w:div w:id="268782851">
          <w:marLeft w:val="274"/>
          <w:marRight w:val="0"/>
          <w:marTop w:val="0"/>
          <w:marBottom w:val="0"/>
          <w:divBdr>
            <w:top w:val="none" w:sz="0" w:space="0" w:color="auto"/>
            <w:left w:val="none" w:sz="0" w:space="0" w:color="auto"/>
            <w:bottom w:val="none" w:sz="0" w:space="0" w:color="auto"/>
            <w:right w:val="none" w:sz="0" w:space="0" w:color="auto"/>
          </w:divBdr>
        </w:div>
        <w:div w:id="709693308">
          <w:marLeft w:val="274"/>
          <w:marRight w:val="0"/>
          <w:marTop w:val="0"/>
          <w:marBottom w:val="0"/>
          <w:divBdr>
            <w:top w:val="none" w:sz="0" w:space="0" w:color="auto"/>
            <w:left w:val="none" w:sz="0" w:space="0" w:color="auto"/>
            <w:bottom w:val="none" w:sz="0" w:space="0" w:color="auto"/>
            <w:right w:val="none" w:sz="0" w:space="0" w:color="auto"/>
          </w:divBdr>
        </w:div>
      </w:divsChild>
    </w:div>
    <w:div w:id="67460099">
      <w:bodyDiv w:val="1"/>
      <w:marLeft w:val="0"/>
      <w:marRight w:val="0"/>
      <w:marTop w:val="0"/>
      <w:marBottom w:val="0"/>
      <w:divBdr>
        <w:top w:val="none" w:sz="0" w:space="0" w:color="auto"/>
        <w:left w:val="none" w:sz="0" w:space="0" w:color="auto"/>
        <w:bottom w:val="none" w:sz="0" w:space="0" w:color="auto"/>
        <w:right w:val="none" w:sz="0" w:space="0" w:color="auto"/>
      </w:divBdr>
      <w:divsChild>
        <w:div w:id="364523106">
          <w:marLeft w:val="720"/>
          <w:marRight w:val="0"/>
          <w:marTop w:val="60"/>
          <w:marBottom w:val="0"/>
          <w:divBdr>
            <w:top w:val="none" w:sz="0" w:space="0" w:color="auto"/>
            <w:left w:val="none" w:sz="0" w:space="0" w:color="auto"/>
            <w:bottom w:val="none" w:sz="0" w:space="0" w:color="auto"/>
            <w:right w:val="none" w:sz="0" w:space="0" w:color="auto"/>
          </w:divBdr>
        </w:div>
        <w:div w:id="668025747">
          <w:marLeft w:val="720"/>
          <w:marRight w:val="0"/>
          <w:marTop w:val="60"/>
          <w:marBottom w:val="0"/>
          <w:divBdr>
            <w:top w:val="none" w:sz="0" w:space="0" w:color="auto"/>
            <w:left w:val="none" w:sz="0" w:space="0" w:color="auto"/>
            <w:bottom w:val="none" w:sz="0" w:space="0" w:color="auto"/>
            <w:right w:val="none" w:sz="0" w:space="0" w:color="auto"/>
          </w:divBdr>
        </w:div>
        <w:div w:id="699280639">
          <w:marLeft w:val="720"/>
          <w:marRight w:val="0"/>
          <w:marTop w:val="60"/>
          <w:marBottom w:val="0"/>
          <w:divBdr>
            <w:top w:val="none" w:sz="0" w:space="0" w:color="auto"/>
            <w:left w:val="none" w:sz="0" w:space="0" w:color="auto"/>
            <w:bottom w:val="none" w:sz="0" w:space="0" w:color="auto"/>
            <w:right w:val="none" w:sz="0" w:space="0" w:color="auto"/>
          </w:divBdr>
        </w:div>
        <w:div w:id="835615153">
          <w:marLeft w:val="720"/>
          <w:marRight w:val="0"/>
          <w:marTop w:val="60"/>
          <w:marBottom w:val="0"/>
          <w:divBdr>
            <w:top w:val="none" w:sz="0" w:space="0" w:color="auto"/>
            <w:left w:val="none" w:sz="0" w:space="0" w:color="auto"/>
            <w:bottom w:val="none" w:sz="0" w:space="0" w:color="auto"/>
            <w:right w:val="none" w:sz="0" w:space="0" w:color="auto"/>
          </w:divBdr>
        </w:div>
        <w:div w:id="1158764317">
          <w:marLeft w:val="0"/>
          <w:marRight w:val="0"/>
          <w:marTop w:val="300"/>
          <w:marBottom w:val="0"/>
          <w:divBdr>
            <w:top w:val="none" w:sz="0" w:space="0" w:color="auto"/>
            <w:left w:val="none" w:sz="0" w:space="0" w:color="auto"/>
            <w:bottom w:val="none" w:sz="0" w:space="0" w:color="auto"/>
            <w:right w:val="none" w:sz="0" w:space="0" w:color="auto"/>
          </w:divBdr>
        </w:div>
        <w:div w:id="1175191752">
          <w:marLeft w:val="720"/>
          <w:marRight w:val="0"/>
          <w:marTop w:val="60"/>
          <w:marBottom w:val="0"/>
          <w:divBdr>
            <w:top w:val="none" w:sz="0" w:space="0" w:color="auto"/>
            <w:left w:val="none" w:sz="0" w:space="0" w:color="auto"/>
            <w:bottom w:val="none" w:sz="0" w:space="0" w:color="auto"/>
            <w:right w:val="none" w:sz="0" w:space="0" w:color="auto"/>
          </w:divBdr>
        </w:div>
        <w:div w:id="1414426081">
          <w:marLeft w:val="0"/>
          <w:marRight w:val="0"/>
          <w:marTop w:val="300"/>
          <w:marBottom w:val="0"/>
          <w:divBdr>
            <w:top w:val="none" w:sz="0" w:space="0" w:color="auto"/>
            <w:left w:val="none" w:sz="0" w:space="0" w:color="auto"/>
            <w:bottom w:val="none" w:sz="0" w:space="0" w:color="auto"/>
            <w:right w:val="none" w:sz="0" w:space="0" w:color="auto"/>
          </w:divBdr>
        </w:div>
        <w:div w:id="1463887178">
          <w:marLeft w:val="720"/>
          <w:marRight w:val="0"/>
          <w:marTop w:val="60"/>
          <w:marBottom w:val="0"/>
          <w:divBdr>
            <w:top w:val="none" w:sz="0" w:space="0" w:color="auto"/>
            <w:left w:val="none" w:sz="0" w:space="0" w:color="auto"/>
            <w:bottom w:val="none" w:sz="0" w:space="0" w:color="auto"/>
            <w:right w:val="none" w:sz="0" w:space="0" w:color="auto"/>
          </w:divBdr>
        </w:div>
        <w:div w:id="1992296424">
          <w:marLeft w:val="720"/>
          <w:marRight w:val="0"/>
          <w:marTop w:val="60"/>
          <w:marBottom w:val="0"/>
          <w:divBdr>
            <w:top w:val="none" w:sz="0" w:space="0" w:color="auto"/>
            <w:left w:val="none" w:sz="0" w:space="0" w:color="auto"/>
            <w:bottom w:val="none" w:sz="0" w:space="0" w:color="auto"/>
            <w:right w:val="none" w:sz="0" w:space="0" w:color="auto"/>
          </w:divBdr>
        </w:div>
      </w:divsChild>
    </w:div>
    <w:div w:id="75136251">
      <w:bodyDiv w:val="1"/>
      <w:marLeft w:val="0"/>
      <w:marRight w:val="0"/>
      <w:marTop w:val="0"/>
      <w:marBottom w:val="0"/>
      <w:divBdr>
        <w:top w:val="none" w:sz="0" w:space="0" w:color="auto"/>
        <w:left w:val="none" w:sz="0" w:space="0" w:color="auto"/>
        <w:bottom w:val="none" w:sz="0" w:space="0" w:color="auto"/>
        <w:right w:val="none" w:sz="0" w:space="0" w:color="auto"/>
      </w:divBdr>
    </w:div>
    <w:div w:id="79452398">
      <w:bodyDiv w:val="1"/>
      <w:marLeft w:val="0"/>
      <w:marRight w:val="0"/>
      <w:marTop w:val="0"/>
      <w:marBottom w:val="0"/>
      <w:divBdr>
        <w:top w:val="none" w:sz="0" w:space="0" w:color="auto"/>
        <w:left w:val="none" w:sz="0" w:space="0" w:color="auto"/>
        <w:bottom w:val="none" w:sz="0" w:space="0" w:color="auto"/>
        <w:right w:val="none" w:sz="0" w:space="0" w:color="auto"/>
      </w:divBdr>
      <w:divsChild>
        <w:div w:id="8533960">
          <w:marLeft w:val="720"/>
          <w:marRight w:val="0"/>
          <w:marTop w:val="60"/>
          <w:marBottom w:val="0"/>
          <w:divBdr>
            <w:top w:val="none" w:sz="0" w:space="0" w:color="auto"/>
            <w:left w:val="none" w:sz="0" w:space="0" w:color="auto"/>
            <w:bottom w:val="none" w:sz="0" w:space="0" w:color="auto"/>
            <w:right w:val="none" w:sz="0" w:space="0" w:color="auto"/>
          </w:divBdr>
        </w:div>
        <w:div w:id="34357639">
          <w:marLeft w:val="1166"/>
          <w:marRight w:val="0"/>
          <w:marTop w:val="60"/>
          <w:marBottom w:val="0"/>
          <w:divBdr>
            <w:top w:val="none" w:sz="0" w:space="0" w:color="auto"/>
            <w:left w:val="none" w:sz="0" w:space="0" w:color="auto"/>
            <w:bottom w:val="none" w:sz="0" w:space="0" w:color="auto"/>
            <w:right w:val="none" w:sz="0" w:space="0" w:color="auto"/>
          </w:divBdr>
        </w:div>
        <w:div w:id="236020093">
          <w:marLeft w:val="720"/>
          <w:marRight w:val="0"/>
          <w:marTop w:val="60"/>
          <w:marBottom w:val="0"/>
          <w:divBdr>
            <w:top w:val="none" w:sz="0" w:space="0" w:color="auto"/>
            <w:left w:val="none" w:sz="0" w:space="0" w:color="auto"/>
            <w:bottom w:val="none" w:sz="0" w:space="0" w:color="auto"/>
            <w:right w:val="none" w:sz="0" w:space="0" w:color="auto"/>
          </w:divBdr>
        </w:div>
        <w:div w:id="276790367">
          <w:marLeft w:val="720"/>
          <w:marRight w:val="0"/>
          <w:marTop w:val="60"/>
          <w:marBottom w:val="0"/>
          <w:divBdr>
            <w:top w:val="none" w:sz="0" w:space="0" w:color="auto"/>
            <w:left w:val="none" w:sz="0" w:space="0" w:color="auto"/>
            <w:bottom w:val="none" w:sz="0" w:space="0" w:color="auto"/>
            <w:right w:val="none" w:sz="0" w:space="0" w:color="auto"/>
          </w:divBdr>
        </w:div>
        <w:div w:id="448089429">
          <w:marLeft w:val="1166"/>
          <w:marRight w:val="0"/>
          <w:marTop w:val="60"/>
          <w:marBottom w:val="0"/>
          <w:divBdr>
            <w:top w:val="none" w:sz="0" w:space="0" w:color="auto"/>
            <w:left w:val="none" w:sz="0" w:space="0" w:color="auto"/>
            <w:bottom w:val="none" w:sz="0" w:space="0" w:color="auto"/>
            <w:right w:val="none" w:sz="0" w:space="0" w:color="auto"/>
          </w:divBdr>
        </w:div>
        <w:div w:id="697003565">
          <w:marLeft w:val="720"/>
          <w:marRight w:val="0"/>
          <w:marTop w:val="60"/>
          <w:marBottom w:val="0"/>
          <w:divBdr>
            <w:top w:val="none" w:sz="0" w:space="0" w:color="auto"/>
            <w:left w:val="none" w:sz="0" w:space="0" w:color="auto"/>
            <w:bottom w:val="none" w:sz="0" w:space="0" w:color="auto"/>
            <w:right w:val="none" w:sz="0" w:space="0" w:color="auto"/>
          </w:divBdr>
        </w:div>
        <w:div w:id="782571878">
          <w:marLeft w:val="720"/>
          <w:marRight w:val="0"/>
          <w:marTop w:val="60"/>
          <w:marBottom w:val="0"/>
          <w:divBdr>
            <w:top w:val="none" w:sz="0" w:space="0" w:color="auto"/>
            <w:left w:val="none" w:sz="0" w:space="0" w:color="auto"/>
            <w:bottom w:val="none" w:sz="0" w:space="0" w:color="auto"/>
            <w:right w:val="none" w:sz="0" w:space="0" w:color="auto"/>
          </w:divBdr>
        </w:div>
        <w:div w:id="800273843">
          <w:marLeft w:val="0"/>
          <w:marRight w:val="0"/>
          <w:marTop w:val="300"/>
          <w:marBottom w:val="0"/>
          <w:divBdr>
            <w:top w:val="none" w:sz="0" w:space="0" w:color="auto"/>
            <w:left w:val="none" w:sz="0" w:space="0" w:color="auto"/>
            <w:bottom w:val="none" w:sz="0" w:space="0" w:color="auto"/>
            <w:right w:val="none" w:sz="0" w:space="0" w:color="auto"/>
          </w:divBdr>
        </w:div>
        <w:div w:id="879436711">
          <w:marLeft w:val="0"/>
          <w:marRight w:val="0"/>
          <w:marTop w:val="300"/>
          <w:marBottom w:val="0"/>
          <w:divBdr>
            <w:top w:val="none" w:sz="0" w:space="0" w:color="auto"/>
            <w:left w:val="none" w:sz="0" w:space="0" w:color="auto"/>
            <w:bottom w:val="none" w:sz="0" w:space="0" w:color="auto"/>
            <w:right w:val="none" w:sz="0" w:space="0" w:color="auto"/>
          </w:divBdr>
        </w:div>
        <w:div w:id="1043821526">
          <w:marLeft w:val="0"/>
          <w:marRight w:val="0"/>
          <w:marTop w:val="300"/>
          <w:marBottom w:val="0"/>
          <w:divBdr>
            <w:top w:val="none" w:sz="0" w:space="0" w:color="auto"/>
            <w:left w:val="none" w:sz="0" w:space="0" w:color="auto"/>
            <w:bottom w:val="none" w:sz="0" w:space="0" w:color="auto"/>
            <w:right w:val="none" w:sz="0" w:space="0" w:color="auto"/>
          </w:divBdr>
        </w:div>
        <w:div w:id="1049719272">
          <w:marLeft w:val="720"/>
          <w:marRight w:val="0"/>
          <w:marTop w:val="60"/>
          <w:marBottom w:val="0"/>
          <w:divBdr>
            <w:top w:val="none" w:sz="0" w:space="0" w:color="auto"/>
            <w:left w:val="none" w:sz="0" w:space="0" w:color="auto"/>
            <w:bottom w:val="none" w:sz="0" w:space="0" w:color="auto"/>
            <w:right w:val="none" w:sz="0" w:space="0" w:color="auto"/>
          </w:divBdr>
        </w:div>
        <w:div w:id="1345088049">
          <w:marLeft w:val="1166"/>
          <w:marRight w:val="0"/>
          <w:marTop w:val="60"/>
          <w:marBottom w:val="0"/>
          <w:divBdr>
            <w:top w:val="none" w:sz="0" w:space="0" w:color="auto"/>
            <w:left w:val="none" w:sz="0" w:space="0" w:color="auto"/>
            <w:bottom w:val="none" w:sz="0" w:space="0" w:color="auto"/>
            <w:right w:val="none" w:sz="0" w:space="0" w:color="auto"/>
          </w:divBdr>
        </w:div>
        <w:div w:id="1538741722">
          <w:marLeft w:val="720"/>
          <w:marRight w:val="0"/>
          <w:marTop w:val="60"/>
          <w:marBottom w:val="0"/>
          <w:divBdr>
            <w:top w:val="none" w:sz="0" w:space="0" w:color="auto"/>
            <w:left w:val="none" w:sz="0" w:space="0" w:color="auto"/>
            <w:bottom w:val="none" w:sz="0" w:space="0" w:color="auto"/>
            <w:right w:val="none" w:sz="0" w:space="0" w:color="auto"/>
          </w:divBdr>
        </w:div>
        <w:div w:id="1550535297">
          <w:marLeft w:val="1166"/>
          <w:marRight w:val="0"/>
          <w:marTop w:val="60"/>
          <w:marBottom w:val="0"/>
          <w:divBdr>
            <w:top w:val="none" w:sz="0" w:space="0" w:color="auto"/>
            <w:left w:val="none" w:sz="0" w:space="0" w:color="auto"/>
            <w:bottom w:val="none" w:sz="0" w:space="0" w:color="auto"/>
            <w:right w:val="none" w:sz="0" w:space="0" w:color="auto"/>
          </w:divBdr>
        </w:div>
        <w:div w:id="1865702529">
          <w:marLeft w:val="720"/>
          <w:marRight w:val="0"/>
          <w:marTop w:val="60"/>
          <w:marBottom w:val="0"/>
          <w:divBdr>
            <w:top w:val="none" w:sz="0" w:space="0" w:color="auto"/>
            <w:left w:val="none" w:sz="0" w:space="0" w:color="auto"/>
            <w:bottom w:val="none" w:sz="0" w:space="0" w:color="auto"/>
            <w:right w:val="none" w:sz="0" w:space="0" w:color="auto"/>
          </w:divBdr>
        </w:div>
        <w:div w:id="2061975327">
          <w:marLeft w:val="720"/>
          <w:marRight w:val="0"/>
          <w:marTop w:val="60"/>
          <w:marBottom w:val="0"/>
          <w:divBdr>
            <w:top w:val="none" w:sz="0" w:space="0" w:color="auto"/>
            <w:left w:val="none" w:sz="0" w:space="0" w:color="auto"/>
            <w:bottom w:val="none" w:sz="0" w:space="0" w:color="auto"/>
            <w:right w:val="none" w:sz="0" w:space="0" w:color="auto"/>
          </w:divBdr>
        </w:div>
        <w:div w:id="2068799812">
          <w:marLeft w:val="720"/>
          <w:marRight w:val="0"/>
          <w:marTop w:val="60"/>
          <w:marBottom w:val="0"/>
          <w:divBdr>
            <w:top w:val="none" w:sz="0" w:space="0" w:color="auto"/>
            <w:left w:val="none" w:sz="0" w:space="0" w:color="auto"/>
            <w:bottom w:val="none" w:sz="0" w:space="0" w:color="auto"/>
            <w:right w:val="none" w:sz="0" w:space="0" w:color="auto"/>
          </w:divBdr>
        </w:div>
        <w:div w:id="2125608348">
          <w:marLeft w:val="1166"/>
          <w:marRight w:val="0"/>
          <w:marTop w:val="60"/>
          <w:marBottom w:val="0"/>
          <w:divBdr>
            <w:top w:val="none" w:sz="0" w:space="0" w:color="auto"/>
            <w:left w:val="none" w:sz="0" w:space="0" w:color="auto"/>
            <w:bottom w:val="none" w:sz="0" w:space="0" w:color="auto"/>
            <w:right w:val="none" w:sz="0" w:space="0" w:color="auto"/>
          </w:divBdr>
        </w:div>
      </w:divsChild>
    </w:div>
    <w:div w:id="79831983">
      <w:bodyDiv w:val="1"/>
      <w:marLeft w:val="0"/>
      <w:marRight w:val="0"/>
      <w:marTop w:val="0"/>
      <w:marBottom w:val="0"/>
      <w:divBdr>
        <w:top w:val="none" w:sz="0" w:space="0" w:color="auto"/>
        <w:left w:val="none" w:sz="0" w:space="0" w:color="auto"/>
        <w:bottom w:val="none" w:sz="0" w:space="0" w:color="auto"/>
        <w:right w:val="none" w:sz="0" w:space="0" w:color="auto"/>
      </w:divBdr>
    </w:div>
    <w:div w:id="85539047">
      <w:bodyDiv w:val="1"/>
      <w:marLeft w:val="0"/>
      <w:marRight w:val="0"/>
      <w:marTop w:val="0"/>
      <w:marBottom w:val="0"/>
      <w:divBdr>
        <w:top w:val="none" w:sz="0" w:space="0" w:color="auto"/>
        <w:left w:val="none" w:sz="0" w:space="0" w:color="auto"/>
        <w:bottom w:val="none" w:sz="0" w:space="0" w:color="auto"/>
        <w:right w:val="none" w:sz="0" w:space="0" w:color="auto"/>
      </w:divBdr>
    </w:div>
    <w:div w:id="87890651">
      <w:bodyDiv w:val="1"/>
      <w:marLeft w:val="0"/>
      <w:marRight w:val="0"/>
      <w:marTop w:val="0"/>
      <w:marBottom w:val="0"/>
      <w:divBdr>
        <w:top w:val="none" w:sz="0" w:space="0" w:color="auto"/>
        <w:left w:val="none" w:sz="0" w:space="0" w:color="auto"/>
        <w:bottom w:val="none" w:sz="0" w:space="0" w:color="auto"/>
        <w:right w:val="none" w:sz="0" w:space="0" w:color="auto"/>
      </w:divBdr>
    </w:div>
    <w:div w:id="93206635">
      <w:bodyDiv w:val="1"/>
      <w:marLeft w:val="0"/>
      <w:marRight w:val="0"/>
      <w:marTop w:val="0"/>
      <w:marBottom w:val="0"/>
      <w:divBdr>
        <w:top w:val="none" w:sz="0" w:space="0" w:color="auto"/>
        <w:left w:val="none" w:sz="0" w:space="0" w:color="auto"/>
        <w:bottom w:val="none" w:sz="0" w:space="0" w:color="auto"/>
        <w:right w:val="none" w:sz="0" w:space="0" w:color="auto"/>
      </w:divBdr>
    </w:div>
    <w:div w:id="107168650">
      <w:bodyDiv w:val="1"/>
      <w:marLeft w:val="0"/>
      <w:marRight w:val="0"/>
      <w:marTop w:val="0"/>
      <w:marBottom w:val="0"/>
      <w:divBdr>
        <w:top w:val="none" w:sz="0" w:space="0" w:color="auto"/>
        <w:left w:val="none" w:sz="0" w:space="0" w:color="auto"/>
        <w:bottom w:val="none" w:sz="0" w:space="0" w:color="auto"/>
        <w:right w:val="none" w:sz="0" w:space="0" w:color="auto"/>
      </w:divBdr>
    </w:div>
    <w:div w:id="111019692">
      <w:bodyDiv w:val="1"/>
      <w:marLeft w:val="0"/>
      <w:marRight w:val="0"/>
      <w:marTop w:val="0"/>
      <w:marBottom w:val="0"/>
      <w:divBdr>
        <w:top w:val="none" w:sz="0" w:space="0" w:color="auto"/>
        <w:left w:val="none" w:sz="0" w:space="0" w:color="auto"/>
        <w:bottom w:val="none" w:sz="0" w:space="0" w:color="auto"/>
        <w:right w:val="none" w:sz="0" w:space="0" w:color="auto"/>
      </w:divBdr>
    </w:div>
    <w:div w:id="113065847">
      <w:bodyDiv w:val="1"/>
      <w:marLeft w:val="0"/>
      <w:marRight w:val="0"/>
      <w:marTop w:val="0"/>
      <w:marBottom w:val="0"/>
      <w:divBdr>
        <w:top w:val="none" w:sz="0" w:space="0" w:color="auto"/>
        <w:left w:val="none" w:sz="0" w:space="0" w:color="auto"/>
        <w:bottom w:val="none" w:sz="0" w:space="0" w:color="auto"/>
        <w:right w:val="none" w:sz="0" w:space="0" w:color="auto"/>
      </w:divBdr>
    </w:div>
    <w:div w:id="122818723">
      <w:bodyDiv w:val="1"/>
      <w:marLeft w:val="0"/>
      <w:marRight w:val="0"/>
      <w:marTop w:val="0"/>
      <w:marBottom w:val="0"/>
      <w:divBdr>
        <w:top w:val="none" w:sz="0" w:space="0" w:color="auto"/>
        <w:left w:val="none" w:sz="0" w:space="0" w:color="auto"/>
        <w:bottom w:val="none" w:sz="0" w:space="0" w:color="auto"/>
        <w:right w:val="none" w:sz="0" w:space="0" w:color="auto"/>
      </w:divBdr>
    </w:div>
    <w:div w:id="125315591">
      <w:bodyDiv w:val="1"/>
      <w:marLeft w:val="0"/>
      <w:marRight w:val="0"/>
      <w:marTop w:val="0"/>
      <w:marBottom w:val="0"/>
      <w:divBdr>
        <w:top w:val="none" w:sz="0" w:space="0" w:color="auto"/>
        <w:left w:val="none" w:sz="0" w:space="0" w:color="auto"/>
        <w:bottom w:val="none" w:sz="0" w:space="0" w:color="auto"/>
        <w:right w:val="none" w:sz="0" w:space="0" w:color="auto"/>
      </w:divBdr>
    </w:div>
    <w:div w:id="128473106">
      <w:bodyDiv w:val="1"/>
      <w:marLeft w:val="0"/>
      <w:marRight w:val="0"/>
      <w:marTop w:val="0"/>
      <w:marBottom w:val="0"/>
      <w:divBdr>
        <w:top w:val="none" w:sz="0" w:space="0" w:color="auto"/>
        <w:left w:val="none" w:sz="0" w:space="0" w:color="auto"/>
        <w:bottom w:val="none" w:sz="0" w:space="0" w:color="auto"/>
        <w:right w:val="none" w:sz="0" w:space="0" w:color="auto"/>
      </w:divBdr>
    </w:div>
    <w:div w:id="130490214">
      <w:bodyDiv w:val="1"/>
      <w:marLeft w:val="0"/>
      <w:marRight w:val="0"/>
      <w:marTop w:val="0"/>
      <w:marBottom w:val="0"/>
      <w:divBdr>
        <w:top w:val="none" w:sz="0" w:space="0" w:color="auto"/>
        <w:left w:val="none" w:sz="0" w:space="0" w:color="auto"/>
        <w:bottom w:val="none" w:sz="0" w:space="0" w:color="auto"/>
        <w:right w:val="none" w:sz="0" w:space="0" w:color="auto"/>
      </w:divBdr>
    </w:div>
    <w:div w:id="130707240">
      <w:bodyDiv w:val="1"/>
      <w:marLeft w:val="0"/>
      <w:marRight w:val="0"/>
      <w:marTop w:val="0"/>
      <w:marBottom w:val="0"/>
      <w:divBdr>
        <w:top w:val="none" w:sz="0" w:space="0" w:color="auto"/>
        <w:left w:val="none" w:sz="0" w:space="0" w:color="auto"/>
        <w:bottom w:val="none" w:sz="0" w:space="0" w:color="auto"/>
        <w:right w:val="none" w:sz="0" w:space="0" w:color="auto"/>
      </w:divBdr>
    </w:div>
    <w:div w:id="136800769">
      <w:bodyDiv w:val="1"/>
      <w:marLeft w:val="0"/>
      <w:marRight w:val="0"/>
      <w:marTop w:val="0"/>
      <w:marBottom w:val="0"/>
      <w:divBdr>
        <w:top w:val="none" w:sz="0" w:space="0" w:color="auto"/>
        <w:left w:val="none" w:sz="0" w:space="0" w:color="auto"/>
        <w:bottom w:val="none" w:sz="0" w:space="0" w:color="auto"/>
        <w:right w:val="none" w:sz="0" w:space="0" w:color="auto"/>
      </w:divBdr>
    </w:div>
    <w:div w:id="141121642">
      <w:bodyDiv w:val="1"/>
      <w:marLeft w:val="0"/>
      <w:marRight w:val="0"/>
      <w:marTop w:val="0"/>
      <w:marBottom w:val="0"/>
      <w:divBdr>
        <w:top w:val="none" w:sz="0" w:space="0" w:color="auto"/>
        <w:left w:val="none" w:sz="0" w:space="0" w:color="auto"/>
        <w:bottom w:val="none" w:sz="0" w:space="0" w:color="auto"/>
        <w:right w:val="none" w:sz="0" w:space="0" w:color="auto"/>
      </w:divBdr>
      <w:divsChild>
        <w:div w:id="191303184">
          <w:marLeft w:val="274"/>
          <w:marRight w:val="0"/>
          <w:marTop w:val="0"/>
          <w:marBottom w:val="0"/>
          <w:divBdr>
            <w:top w:val="none" w:sz="0" w:space="0" w:color="auto"/>
            <w:left w:val="none" w:sz="0" w:space="0" w:color="auto"/>
            <w:bottom w:val="none" w:sz="0" w:space="0" w:color="auto"/>
            <w:right w:val="none" w:sz="0" w:space="0" w:color="auto"/>
          </w:divBdr>
        </w:div>
        <w:div w:id="849952312">
          <w:marLeft w:val="274"/>
          <w:marRight w:val="0"/>
          <w:marTop w:val="0"/>
          <w:marBottom w:val="0"/>
          <w:divBdr>
            <w:top w:val="none" w:sz="0" w:space="0" w:color="auto"/>
            <w:left w:val="none" w:sz="0" w:space="0" w:color="auto"/>
            <w:bottom w:val="none" w:sz="0" w:space="0" w:color="auto"/>
            <w:right w:val="none" w:sz="0" w:space="0" w:color="auto"/>
          </w:divBdr>
        </w:div>
        <w:div w:id="1058549049">
          <w:marLeft w:val="274"/>
          <w:marRight w:val="0"/>
          <w:marTop w:val="0"/>
          <w:marBottom w:val="0"/>
          <w:divBdr>
            <w:top w:val="none" w:sz="0" w:space="0" w:color="auto"/>
            <w:left w:val="none" w:sz="0" w:space="0" w:color="auto"/>
            <w:bottom w:val="none" w:sz="0" w:space="0" w:color="auto"/>
            <w:right w:val="none" w:sz="0" w:space="0" w:color="auto"/>
          </w:divBdr>
        </w:div>
        <w:div w:id="1787695272">
          <w:marLeft w:val="274"/>
          <w:marRight w:val="0"/>
          <w:marTop w:val="0"/>
          <w:marBottom w:val="0"/>
          <w:divBdr>
            <w:top w:val="none" w:sz="0" w:space="0" w:color="auto"/>
            <w:left w:val="none" w:sz="0" w:space="0" w:color="auto"/>
            <w:bottom w:val="none" w:sz="0" w:space="0" w:color="auto"/>
            <w:right w:val="none" w:sz="0" w:space="0" w:color="auto"/>
          </w:divBdr>
        </w:div>
      </w:divsChild>
    </w:div>
    <w:div w:id="142233707">
      <w:bodyDiv w:val="1"/>
      <w:marLeft w:val="0"/>
      <w:marRight w:val="0"/>
      <w:marTop w:val="0"/>
      <w:marBottom w:val="0"/>
      <w:divBdr>
        <w:top w:val="none" w:sz="0" w:space="0" w:color="auto"/>
        <w:left w:val="none" w:sz="0" w:space="0" w:color="auto"/>
        <w:bottom w:val="none" w:sz="0" w:space="0" w:color="auto"/>
        <w:right w:val="none" w:sz="0" w:space="0" w:color="auto"/>
      </w:divBdr>
      <w:divsChild>
        <w:div w:id="1679961622">
          <w:marLeft w:val="720"/>
          <w:marRight w:val="0"/>
          <w:marTop w:val="60"/>
          <w:marBottom w:val="0"/>
          <w:divBdr>
            <w:top w:val="none" w:sz="0" w:space="0" w:color="auto"/>
            <w:left w:val="none" w:sz="0" w:space="0" w:color="auto"/>
            <w:bottom w:val="none" w:sz="0" w:space="0" w:color="auto"/>
            <w:right w:val="none" w:sz="0" w:space="0" w:color="auto"/>
          </w:divBdr>
        </w:div>
      </w:divsChild>
    </w:div>
    <w:div w:id="154953909">
      <w:bodyDiv w:val="1"/>
      <w:marLeft w:val="0"/>
      <w:marRight w:val="0"/>
      <w:marTop w:val="0"/>
      <w:marBottom w:val="0"/>
      <w:divBdr>
        <w:top w:val="none" w:sz="0" w:space="0" w:color="auto"/>
        <w:left w:val="none" w:sz="0" w:space="0" w:color="auto"/>
        <w:bottom w:val="none" w:sz="0" w:space="0" w:color="auto"/>
        <w:right w:val="none" w:sz="0" w:space="0" w:color="auto"/>
      </w:divBdr>
    </w:div>
    <w:div w:id="155608805">
      <w:bodyDiv w:val="1"/>
      <w:marLeft w:val="0"/>
      <w:marRight w:val="0"/>
      <w:marTop w:val="0"/>
      <w:marBottom w:val="0"/>
      <w:divBdr>
        <w:top w:val="none" w:sz="0" w:space="0" w:color="auto"/>
        <w:left w:val="none" w:sz="0" w:space="0" w:color="auto"/>
        <w:bottom w:val="none" w:sz="0" w:space="0" w:color="auto"/>
        <w:right w:val="none" w:sz="0" w:space="0" w:color="auto"/>
      </w:divBdr>
    </w:div>
    <w:div w:id="170608145">
      <w:bodyDiv w:val="1"/>
      <w:marLeft w:val="0"/>
      <w:marRight w:val="0"/>
      <w:marTop w:val="0"/>
      <w:marBottom w:val="0"/>
      <w:divBdr>
        <w:top w:val="none" w:sz="0" w:space="0" w:color="auto"/>
        <w:left w:val="none" w:sz="0" w:space="0" w:color="auto"/>
        <w:bottom w:val="none" w:sz="0" w:space="0" w:color="auto"/>
        <w:right w:val="none" w:sz="0" w:space="0" w:color="auto"/>
      </w:divBdr>
    </w:div>
    <w:div w:id="181478931">
      <w:bodyDiv w:val="1"/>
      <w:marLeft w:val="0"/>
      <w:marRight w:val="0"/>
      <w:marTop w:val="0"/>
      <w:marBottom w:val="0"/>
      <w:divBdr>
        <w:top w:val="none" w:sz="0" w:space="0" w:color="auto"/>
        <w:left w:val="none" w:sz="0" w:space="0" w:color="auto"/>
        <w:bottom w:val="none" w:sz="0" w:space="0" w:color="auto"/>
        <w:right w:val="none" w:sz="0" w:space="0" w:color="auto"/>
      </w:divBdr>
    </w:div>
    <w:div w:id="183253048">
      <w:bodyDiv w:val="1"/>
      <w:marLeft w:val="0"/>
      <w:marRight w:val="0"/>
      <w:marTop w:val="0"/>
      <w:marBottom w:val="0"/>
      <w:divBdr>
        <w:top w:val="none" w:sz="0" w:space="0" w:color="auto"/>
        <w:left w:val="none" w:sz="0" w:space="0" w:color="auto"/>
        <w:bottom w:val="none" w:sz="0" w:space="0" w:color="auto"/>
        <w:right w:val="none" w:sz="0" w:space="0" w:color="auto"/>
      </w:divBdr>
    </w:div>
    <w:div w:id="184441098">
      <w:bodyDiv w:val="1"/>
      <w:marLeft w:val="0"/>
      <w:marRight w:val="0"/>
      <w:marTop w:val="0"/>
      <w:marBottom w:val="0"/>
      <w:divBdr>
        <w:top w:val="none" w:sz="0" w:space="0" w:color="auto"/>
        <w:left w:val="none" w:sz="0" w:space="0" w:color="auto"/>
        <w:bottom w:val="none" w:sz="0" w:space="0" w:color="auto"/>
        <w:right w:val="none" w:sz="0" w:space="0" w:color="auto"/>
      </w:divBdr>
      <w:divsChild>
        <w:div w:id="149517248">
          <w:marLeft w:val="720"/>
          <w:marRight w:val="0"/>
          <w:marTop w:val="60"/>
          <w:marBottom w:val="0"/>
          <w:divBdr>
            <w:top w:val="none" w:sz="0" w:space="0" w:color="auto"/>
            <w:left w:val="none" w:sz="0" w:space="0" w:color="auto"/>
            <w:bottom w:val="none" w:sz="0" w:space="0" w:color="auto"/>
            <w:right w:val="none" w:sz="0" w:space="0" w:color="auto"/>
          </w:divBdr>
        </w:div>
        <w:div w:id="571617846">
          <w:marLeft w:val="720"/>
          <w:marRight w:val="0"/>
          <w:marTop w:val="60"/>
          <w:marBottom w:val="0"/>
          <w:divBdr>
            <w:top w:val="none" w:sz="0" w:space="0" w:color="auto"/>
            <w:left w:val="none" w:sz="0" w:space="0" w:color="auto"/>
            <w:bottom w:val="none" w:sz="0" w:space="0" w:color="auto"/>
            <w:right w:val="none" w:sz="0" w:space="0" w:color="auto"/>
          </w:divBdr>
        </w:div>
        <w:div w:id="634220112">
          <w:marLeft w:val="720"/>
          <w:marRight w:val="0"/>
          <w:marTop w:val="60"/>
          <w:marBottom w:val="0"/>
          <w:divBdr>
            <w:top w:val="none" w:sz="0" w:space="0" w:color="auto"/>
            <w:left w:val="none" w:sz="0" w:space="0" w:color="auto"/>
            <w:bottom w:val="none" w:sz="0" w:space="0" w:color="auto"/>
            <w:right w:val="none" w:sz="0" w:space="0" w:color="auto"/>
          </w:divBdr>
        </w:div>
        <w:div w:id="1380285124">
          <w:marLeft w:val="0"/>
          <w:marRight w:val="0"/>
          <w:marTop w:val="300"/>
          <w:marBottom w:val="0"/>
          <w:divBdr>
            <w:top w:val="none" w:sz="0" w:space="0" w:color="auto"/>
            <w:left w:val="none" w:sz="0" w:space="0" w:color="auto"/>
            <w:bottom w:val="none" w:sz="0" w:space="0" w:color="auto"/>
            <w:right w:val="none" w:sz="0" w:space="0" w:color="auto"/>
          </w:divBdr>
        </w:div>
        <w:div w:id="1582372423">
          <w:marLeft w:val="720"/>
          <w:marRight w:val="0"/>
          <w:marTop w:val="60"/>
          <w:marBottom w:val="0"/>
          <w:divBdr>
            <w:top w:val="none" w:sz="0" w:space="0" w:color="auto"/>
            <w:left w:val="none" w:sz="0" w:space="0" w:color="auto"/>
            <w:bottom w:val="none" w:sz="0" w:space="0" w:color="auto"/>
            <w:right w:val="none" w:sz="0" w:space="0" w:color="auto"/>
          </w:divBdr>
        </w:div>
      </w:divsChild>
    </w:div>
    <w:div w:id="199125229">
      <w:bodyDiv w:val="1"/>
      <w:marLeft w:val="0"/>
      <w:marRight w:val="0"/>
      <w:marTop w:val="0"/>
      <w:marBottom w:val="0"/>
      <w:divBdr>
        <w:top w:val="none" w:sz="0" w:space="0" w:color="auto"/>
        <w:left w:val="none" w:sz="0" w:space="0" w:color="auto"/>
        <w:bottom w:val="none" w:sz="0" w:space="0" w:color="auto"/>
        <w:right w:val="none" w:sz="0" w:space="0" w:color="auto"/>
      </w:divBdr>
    </w:div>
    <w:div w:id="203372625">
      <w:bodyDiv w:val="1"/>
      <w:marLeft w:val="0"/>
      <w:marRight w:val="0"/>
      <w:marTop w:val="0"/>
      <w:marBottom w:val="0"/>
      <w:divBdr>
        <w:top w:val="none" w:sz="0" w:space="0" w:color="auto"/>
        <w:left w:val="none" w:sz="0" w:space="0" w:color="auto"/>
        <w:bottom w:val="none" w:sz="0" w:space="0" w:color="auto"/>
        <w:right w:val="none" w:sz="0" w:space="0" w:color="auto"/>
      </w:divBdr>
    </w:div>
    <w:div w:id="203563870">
      <w:bodyDiv w:val="1"/>
      <w:marLeft w:val="0"/>
      <w:marRight w:val="0"/>
      <w:marTop w:val="0"/>
      <w:marBottom w:val="0"/>
      <w:divBdr>
        <w:top w:val="none" w:sz="0" w:space="0" w:color="auto"/>
        <w:left w:val="none" w:sz="0" w:space="0" w:color="auto"/>
        <w:bottom w:val="none" w:sz="0" w:space="0" w:color="auto"/>
        <w:right w:val="none" w:sz="0" w:space="0" w:color="auto"/>
      </w:divBdr>
    </w:div>
    <w:div w:id="219176592">
      <w:bodyDiv w:val="1"/>
      <w:marLeft w:val="0"/>
      <w:marRight w:val="0"/>
      <w:marTop w:val="0"/>
      <w:marBottom w:val="0"/>
      <w:divBdr>
        <w:top w:val="none" w:sz="0" w:space="0" w:color="auto"/>
        <w:left w:val="none" w:sz="0" w:space="0" w:color="auto"/>
        <w:bottom w:val="none" w:sz="0" w:space="0" w:color="auto"/>
        <w:right w:val="none" w:sz="0" w:space="0" w:color="auto"/>
      </w:divBdr>
    </w:div>
    <w:div w:id="220101807">
      <w:bodyDiv w:val="1"/>
      <w:marLeft w:val="0"/>
      <w:marRight w:val="0"/>
      <w:marTop w:val="0"/>
      <w:marBottom w:val="0"/>
      <w:divBdr>
        <w:top w:val="none" w:sz="0" w:space="0" w:color="auto"/>
        <w:left w:val="none" w:sz="0" w:space="0" w:color="auto"/>
        <w:bottom w:val="none" w:sz="0" w:space="0" w:color="auto"/>
        <w:right w:val="none" w:sz="0" w:space="0" w:color="auto"/>
      </w:divBdr>
    </w:div>
    <w:div w:id="220529848">
      <w:bodyDiv w:val="1"/>
      <w:marLeft w:val="0"/>
      <w:marRight w:val="0"/>
      <w:marTop w:val="0"/>
      <w:marBottom w:val="0"/>
      <w:divBdr>
        <w:top w:val="none" w:sz="0" w:space="0" w:color="auto"/>
        <w:left w:val="none" w:sz="0" w:space="0" w:color="auto"/>
        <w:bottom w:val="none" w:sz="0" w:space="0" w:color="auto"/>
        <w:right w:val="none" w:sz="0" w:space="0" w:color="auto"/>
      </w:divBdr>
    </w:div>
    <w:div w:id="223487471">
      <w:bodyDiv w:val="1"/>
      <w:marLeft w:val="0"/>
      <w:marRight w:val="0"/>
      <w:marTop w:val="0"/>
      <w:marBottom w:val="0"/>
      <w:divBdr>
        <w:top w:val="none" w:sz="0" w:space="0" w:color="auto"/>
        <w:left w:val="none" w:sz="0" w:space="0" w:color="auto"/>
        <w:bottom w:val="none" w:sz="0" w:space="0" w:color="auto"/>
        <w:right w:val="none" w:sz="0" w:space="0" w:color="auto"/>
      </w:divBdr>
      <w:divsChild>
        <w:div w:id="1028873135">
          <w:marLeft w:val="0"/>
          <w:marRight w:val="0"/>
          <w:marTop w:val="300"/>
          <w:marBottom w:val="0"/>
          <w:divBdr>
            <w:top w:val="none" w:sz="0" w:space="0" w:color="auto"/>
            <w:left w:val="none" w:sz="0" w:space="0" w:color="auto"/>
            <w:bottom w:val="none" w:sz="0" w:space="0" w:color="auto"/>
            <w:right w:val="none" w:sz="0" w:space="0" w:color="auto"/>
          </w:divBdr>
        </w:div>
        <w:div w:id="1392003642">
          <w:marLeft w:val="720"/>
          <w:marRight w:val="0"/>
          <w:marTop w:val="60"/>
          <w:marBottom w:val="0"/>
          <w:divBdr>
            <w:top w:val="none" w:sz="0" w:space="0" w:color="auto"/>
            <w:left w:val="none" w:sz="0" w:space="0" w:color="auto"/>
            <w:bottom w:val="none" w:sz="0" w:space="0" w:color="auto"/>
            <w:right w:val="none" w:sz="0" w:space="0" w:color="auto"/>
          </w:divBdr>
        </w:div>
        <w:div w:id="1468430208">
          <w:marLeft w:val="720"/>
          <w:marRight w:val="0"/>
          <w:marTop w:val="60"/>
          <w:marBottom w:val="0"/>
          <w:divBdr>
            <w:top w:val="none" w:sz="0" w:space="0" w:color="auto"/>
            <w:left w:val="none" w:sz="0" w:space="0" w:color="auto"/>
            <w:bottom w:val="none" w:sz="0" w:space="0" w:color="auto"/>
            <w:right w:val="none" w:sz="0" w:space="0" w:color="auto"/>
          </w:divBdr>
        </w:div>
      </w:divsChild>
    </w:div>
    <w:div w:id="226917712">
      <w:bodyDiv w:val="1"/>
      <w:marLeft w:val="0"/>
      <w:marRight w:val="0"/>
      <w:marTop w:val="0"/>
      <w:marBottom w:val="0"/>
      <w:divBdr>
        <w:top w:val="none" w:sz="0" w:space="0" w:color="auto"/>
        <w:left w:val="none" w:sz="0" w:space="0" w:color="auto"/>
        <w:bottom w:val="none" w:sz="0" w:space="0" w:color="auto"/>
        <w:right w:val="none" w:sz="0" w:space="0" w:color="auto"/>
      </w:divBdr>
    </w:div>
    <w:div w:id="235633471">
      <w:bodyDiv w:val="1"/>
      <w:marLeft w:val="0"/>
      <w:marRight w:val="0"/>
      <w:marTop w:val="0"/>
      <w:marBottom w:val="0"/>
      <w:divBdr>
        <w:top w:val="none" w:sz="0" w:space="0" w:color="auto"/>
        <w:left w:val="none" w:sz="0" w:space="0" w:color="auto"/>
        <w:bottom w:val="none" w:sz="0" w:space="0" w:color="auto"/>
        <w:right w:val="none" w:sz="0" w:space="0" w:color="auto"/>
      </w:divBdr>
    </w:div>
    <w:div w:id="238906196">
      <w:bodyDiv w:val="1"/>
      <w:marLeft w:val="0"/>
      <w:marRight w:val="0"/>
      <w:marTop w:val="0"/>
      <w:marBottom w:val="0"/>
      <w:divBdr>
        <w:top w:val="none" w:sz="0" w:space="0" w:color="auto"/>
        <w:left w:val="none" w:sz="0" w:space="0" w:color="auto"/>
        <w:bottom w:val="none" w:sz="0" w:space="0" w:color="auto"/>
        <w:right w:val="none" w:sz="0" w:space="0" w:color="auto"/>
      </w:divBdr>
      <w:divsChild>
        <w:div w:id="355928395">
          <w:marLeft w:val="0"/>
          <w:marRight w:val="0"/>
          <w:marTop w:val="0"/>
          <w:marBottom w:val="0"/>
          <w:divBdr>
            <w:top w:val="none" w:sz="0" w:space="0" w:color="auto"/>
            <w:left w:val="none" w:sz="0" w:space="0" w:color="auto"/>
            <w:bottom w:val="none" w:sz="0" w:space="0" w:color="auto"/>
            <w:right w:val="none" w:sz="0" w:space="0" w:color="auto"/>
          </w:divBdr>
        </w:div>
      </w:divsChild>
    </w:div>
    <w:div w:id="239675886">
      <w:bodyDiv w:val="1"/>
      <w:marLeft w:val="0"/>
      <w:marRight w:val="0"/>
      <w:marTop w:val="0"/>
      <w:marBottom w:val="0"/>
      <w:divBdr>
        <w:top w:val="none" w:sz="0" w:space="0" w:color="auto"/>
        <w:left w:val="none" w:sz="0" w:space="0" w:color="auto"/>
        <w:bottom w:val="none" w:sz="0" w:space="0" w:color="auto"/>
        <w:right w:val="none" w:sz="0" w:space="0" w:color="auto"/>
      </w:divBdr>
    </w:div>
    <w:div w:id="240145785">
      <w:bodyDiv w:val="1"/>
      <w:marLeft w:val="0"/>
      <w:marRight w:val="0"/>
      <w:marTop w:val="0"/>
      <w:marBottom w:val="0"/>
      <w:divBdr>
        <w:top w:val="none" w:sz="0" w:space="0" w:color="auto"/>
        <w:left w:val="none" w:sz="0" w:space="0" w:color="auto"/>
        <w:bottom w:val="none" w:sz="0" w:space="0" w:color="auto"/>
        <w:right w:val="none" w:sz="0" w:space="0" w:color="auto"/>
      </w:divBdr>
    </w:div>
    <w:div w:id="241840019">
      <w:bodyDiv w:val="1"/>
      <w:marLeft w:val="0"/>
      <w:marRight w:val="0"/>
      <w:marTop w:val="0"/>
      <w:marBottom w:val="0"/>
      <w:divBdr>
        <w:top w:val="none" w:sz="0" w:space="0" w:color="auto"/>
        <w:left w:val="none" w:sz="0" w:space="0" w:color="auto"/>
        <w:bottom w:val="none" w:sz="0" w:space="0" w:color="auto"/>
        <w:right w:val="none" w:sz="0" w:space="0" w:color="auto"/>
      </w:divBdr>
    </w:div>
    <w:div w:id="251352691">
      <w:bodyDiv w:val="1"/>
      <w:marLeft w:val="0"/>
      <w:marRight w:val="0"/>
      <w:marTop w:val="0"/>
      <w:marBottom w:val="0"/>
      <w:divBdr>
        <w:top w:val="none" w:sz="0" w:space="0" w:color="auto"/>
        <w:left w:val="none" w:sz="0" w:space="0" w:color="auto"/>
        <w:bottom w:val="none" w:sz="0" w:space="0" w:color="auto"/>
        <w:right w:val="none" w:sz="0" w:space="0" w:color="auto"/>
      </w:divBdr>
    </w:div>
    <w:div w:id="252206527">
      <w:bodyDiv w:val="1"/>
      <w:marLeft w:val="0"/>
      <w:marRight w:val="0"/>
      <w:marTop w:val="0"/>
      <w:marBottom w:val="0"/>
      <w:divBdr>
        <w:top w:val="none" w:sz="0" w:space="0" w:color="auto"/>
        <w:left w:val="none" w:sz="0" w:space="0" w:color="auto"/>
        <w:bottom w:val="none" w:sz="0" w:space="0" w:color="auto"/>
        <w:right w:val="none" w:sz="0" w:space="0" w:color="auto"/>
      </w:divBdr>
    </w:div>
    <w:div w:id="268895481">
      <w:bodyDiv w:val="1"/>
      <w:marLeft w:val="0"/>
      <w:marRight w:val="0"/>
      <w:marTop w:val="0"/>
      <w:marBottom w:val="0"/>
      <w:divBdr>
        <w:top w:val="none" w:sz="0" w:space="0" w:color="auto"/>
        <w:left w:val="none" w:sz="0" w:space="0" w:color="auto"/>
        <w:bottom w:val="none" w:sz="0" w:space="0" w:color="auto"/>
        <w:right w:val="none" w:sz="0" w:space="0" w:color="auto"/>
      </w:divBdr>
    </w:div>
    <w:div w:id="269748070">
      <w:bodyDiv w:val="1"/>
      <w:marLeft w:val="0"/>
      <w:marRight w:val="0"/>
      <w:marTop w:val="0"/>
      <w:marBottom w:val="0"/>
      <w:divBdr>
        <w:top w:val="none" w:sz="0" w:space="0" w:color="auto"/>
        <w:left w:val="none" w:sz="0" w:space="0" w:color="auto"/>
        <w:bottom w:val="none" w:sz="0" w:space="0" w:color="auto"/>
        <w:right w:val="none" w:sz="0" w:space="0" w:color="auto"/>
      </w:divBdr>
    </w:div>
    <w:div w:id="272909984">
      <w:bodyDiv w:val="1"/>
      <w:marLeft w:val="0"/>
      <w:marRight w:val="0"/>
      <w:marTop w:val="0"/>
      <w:marBottom w:val="0"/>
      <w:divBdr>
        <w:top w:val="none" w:sz="0" w:space="0" w:color="auto"/>
        <w:left w:val="none" w:sz="0" w:space="0" w:color="auto"/>
        <w:bottom w:val="none" w:sz="0" w:space="0" w:color="auto"/>
        <w:right w:val="none" w:sz="0" w:space="0" w:color="auto"/>
      </w:divBdr>
    </w:div>
    <w:div w:id="273100712">
      <w:bodyDiv w:val="1"/>
      <w:marLeft w:val="0"/>
      <w:marRight w:val="0"/>
      <w:marTop w:val="0"/>
      <w:marBottom w:val="0"/>
      <w:divBdr>
        <w:top w:val="none" w:sz="0" w:space="0" w:color="auto"/>
        <w:left w:val="none" w:sz="0" w:space="0" w:color="auto"/>
        <w:bottom w:val="none" w:sz="0" w:space="0" w:color="auto"/>
        <w:right w:val="none" w:sz="0" w:space="0" w:color="auto"/>
      </w:divBdr>
      <w:divsChild>
        <w:div w:id="647054646">
          <w:marLeft w:val="720"/>
          <w:marRight w:val="0"/>
          <w:marTop w:val="60"/>
          <w:marBottom w:val="0"/>
          <w:divBdr>
            <w:top w:val="none" w:sz="0" w:space="0" w:color="auto"/>
            <w:left w:val="none" w:sz="0" w:space="0" w:color="auto"/>
            <w:bottom w:val="none" w:sz="0" w:space="0" w:color="auto"/>
            <w:right w:val="none" w:sz="0" w:space="0" w:color="auto"/>
          </w:divBdr>
        </w:div>
        <w:div w:id="1294361667">
          <w:marLeft w:val="1166"/>
          <w:marRight w:val="0"/>
          <w:marTop w:val="60"/>
          <w:marBottom w:val="0"/>
          <w:divBdr>
            <w:top w:val="none" w:sz="0" w:space="0" w:color="auto"/>
            <w:left w:val="none" w:sz="0" w:space="0" w:color="auto"/>
            <w:bottom w:val="none" w:sz="0" w:space="0" w:color="auto"/>
            <w:right w:val="none" w:sz="0" w:space="0" w:color="auto"/>
          </w:divBdr>
        </w:div>
        <w:div w:id="1389107867">
          <w:marLeft w:val="1166"/>
          <w:marRight w:val="0"/>
          <w:marTop w:val="60"/>
          <w:marBottom w:val="0"/>
          <w:divBdr>
            <w:top w:val="none" w:sz="0" w:space="0" w:color="auto"/>
            <w:left w:val="none" w:sz="0" w:space="0" w:color="auto"/>
            <w:bottom w:val="none" w:sz="0" w:space="0" w:color="auto"/>
            <w:right w:val="none" w:sz="0" w:space="0" w:color="auto"/>
          </w:divBdr>
        </w:div>
      </w:divsChild>
    </w:div>
    <w:div w:id="276329587">
      <w:bodyDiv w:val="1"/>
      <w:marLeft w:val="0"/>
      <w:marRight w:val="0"/>
      <w:marTop w:val="0"/>
      <w:marBottom w:val="0"/>
      <w:divBdr>
        <w:top w:val="none" w:sz="0" w:space="0" w:color="auto"/>
        <w:left w:val="none" w:sz="0" w:space="0" w:color="auto"/>
        <w:bottom w:val="none" w:sz="0" w:space="0" w:color="auto"/>
        <w:right w:val="none" w:sz="0" w:space="0" w:color="auto"/>
      </w:divBdr>
    </w:div>
    <w:div w:id="279385388">
      <w:bodyDiv w:val="1"/>
      <w:marLeft w:val="0"/>
      <w:marRight w:val="0"/>
      <w:marTop w:val="0"/>
      <w:marBottom w:val="0"/>
      <w:divBdr>
        <w:top w:val="none" w:sz="0" w:space="0" w:color="auto"/>
        <w:left w:val="none" w:sz="0" w:space="0" w:color="auto"/>
        <w:bottom w:val="none" w:sz="0" w:space="0" w:color="auto"/>
        <w:right w:val="none" w:sz="0" w:space="0" w:color="auto"/>
      </w:divBdr>
      <w:divsChild>
        <w:div w:id="1662346327">
          <w:marLeft w:val="720"/>
          <w:marRight w:val="0"/>
          <w:marTop w:val="60"/>
          <w:marBottom w:val="0"/>
          <w:divBdr>
            <w:top w:val="none" w:sz="0" w:space="0" w:color="auto"/>
            <w:left w:val="none" w:sz="0" w:space="0" w:color="auto"/>
            <w:bottom w:val="none" w:sz="0" w:space="0" w:color="auto"/>
            <w:right w:val="none" w:sz="0" w:space="0" w:color="auto"/>
          </w:divBdr>
        </w:div>
        <w:div w:id="1946881275">
          <w:marLeft w:val="720"/>
          <w:marRight w:val="0"/>
          <w:marTop w:val="60"/>
          <w:marBottom w:val="0"/>
          <w:divBdr>
            <w:top w:val="none" w:sz="0" w:space="0" w:color="auto"/>
            <w:left w:val="none" w:sz="0" w:space="0" w:color="auto"/>
            <w:bottom w:val="none" w:sz="0" w:space="0" w:color="auto"/>
            <w:right w:val="none" w:sz="0" w:space="0" w:color="auto"/>
          </w:divBdr>
        </w:div>
      </w:divsChild>
    </w:div>
    <w:div w:id="286667034">
      <w:bodyDiv w:val="1"/>
      <w:marLeft w:val="0"/>
      <w:marRight w:val="0"/>
      <w:marTop w:val="0"/>
      <w:marBottom w:val="0"/>
      <w:divBdr>
        <w:top w:val="none" w:sz="0" w:space="0" w:color="auto"/>
        <w:left w:val="none" w:sz="0" w:space="0" w:color="auto"/>
        <w:bottom w:val="none" w:sz="0" w:space="0" w:color="auto"/>
        <w:right w:val="none" w:sz="0" w:space="0" w:color="auto"/>
      </w:divBdr>
    </w:div>
    <w:div w:id="313532775">
      <w:bodyDiv w:val="1"/>
      <w:marLeft w:val="0"/>
      <w:marRight w:val="0"/>
      <w:marTop w:val="0"/>
      <w:marBottom w:val="0"/>
      <w:divBdr>
        <w:top w:val="none" w:sz="0" w:space="0" w:color="auto"/>
        <w:left w:val="none" w:sz="0" w:space="0" w:color="auto"/>
        <w:bottom w:val="none" w:sz="0" w:space="0" w:color="auto"/>
        <w:right w:val="none" w:sz="0" w:space="0" w:color="auto"/>
      </w:divBdr>
    </w:div>
    <w:div w:id="323440305">
      <w:bodyDiv w:val="1"/>
      <w:marLeft w:val="0"/>
      <w:marRight w:val="0"/>
      <w:marTop w:val="0"/>
      <w:marBottom w:val="0"/>
      <w:divBdr>
        <w:top w:val="none" w:sz="0" w:space="0" w:color="auto"/>
        <w:left w:val="none" w:sz="0" w:space="0" w:color="auto"/>
        <w:bottom w:val="none" w:sz="0" w:space="0" w:color="auto"/>
        <w:right w:val="none" w:sz="0" w:space="0" w:color="auto"/>
      </w:divBdr>
      <w:divsChild>
        <w:div w:id="465898234">
          <w:marLeft w:val="0"/>
          <w:marRight w:val="0"/>
          <w:marTop w:val="0"/>
          <w:marBottom w:val="0"/>
          <w:divBdr>
            <w:top w:val="none" w:sz="0" w:space="0" w:color="auto"/>
            <w:left w:val="none" w:sz="0" w:space="0" w:color="auto"/>
            <w:bottom w:val="none" w:sz="0" w:space="0" w:color="auto"/>
            <w:right w:val="none" w:sz="0" w:space="0" w:color="auto"/>
          </w:divBdr>
        </w:div>
        <w:div w:id="566114721">
          <w:marLeft w:val="0"/>
          <w:marRight w:val="0"/>
          <w:marTop w:val="0"/>
          <w:marBottom w:val="0"/>
          <w:divBdr>
            <w:top w:val="none" w:sz="0" w:space="0" w:color="auto"/>
            <w:left w:val="none" w:sz="0" w:space="0" w:color="auto"/>
            <w:bottom w:val="none" w:sz="0" w:space="0" w:color="auto"/>
            <w:right w:val="none" w:sz="0" w:space="0" w:color="auto"/>
          </w:divBdr>
        </w:div>
        <w:div w:id="933704404">
          <w:marLeft w:val="0"/>
          <w:marRight w:val="0"/>
          <w:marTop w:val="0"/>
          <w:marBottom w:val="0"/>
          <w:divBdr>
            <w:top w:val="none" w:sz="0" w:space="0" w:color="auto"/>
            <w:left w:val="none" w:sz="0" w:space="0" w:color="auto"/>
            <w:bottom w:val="none" w:sz="0" w:space="0" w:color="auto"/>
            <w:right w:val="none" w:sz="0" w:space="0" w:color="auto"/>
          </w:divBdr>
        </w:div>
        <w:div w:id="2053798682">
          <w:marLeft w:val="0"/>
          <w:marRight w:val="0"/>
          <w:marTop w:val="0"/>
          <w:marBottom w:val="0"/>
          <w:divBdr>
            <w:top w:val="none" w:sz="0" w:space="0" w:color="auto"/>
            <w:left w:val="none" w:sz="0" w:space="0" w:color="auto"/>
            <w:bottom w:val="none" w:sz="0" w:space="0" w:color="auto"/>
            <w:right w:val="none" w:sz="0" w:space="0" w:color="auto"/>
          </w:divBdr>
        </w:div>
      </w:divsChild>
    </w:div>
    <w:div w:id="326716321">
      <w:bodyDiv w:val="1"/>
      <w:marLeft w:val="0"/>
      <w:marRight w:val="0"/>
      <w:marTop w:val="0"/>
      <w:marBottom w:val="0"/>
      <w:divBdr>
        <w:top w:val="none" w:sz="0" w:space="0" w:color="auto"/>
        <w:left w:val="none" w:sz="0" w:space="0" w:color="auto"/>
        <w:bottom w:val="none" w:sz="0" w:space="0" w:color="auto"/>
        <w:right w:val="none" w:sz="0" w:space="0" w:color="auto"/>
      </w:divBdr>
    </w:div>
    <w:div w:id="327248568">
      <w:bodyDiv w:val="1"/>
      <w:marLeft w:val="0"/>
      <w:marRight w:val="0"/>
      <w:marTop w:val="0"/>
      <w:marBottom w:val="0"/>
      <w:divBdr>
        <w:top w:val="none" w:sz="0" w:space="0" w:color="auto"/>
        <w:left w:val="none" w:sz="0" w:space="0" w:color="auto"/>
        <w:bottom w:val="none" w:sz="0" w:space="0" w:color="auto"/>
        <w:right w:val="none" w:sz="0" w:space="0" w:color="auto"/>
      </w:divBdr>
    </w:div>
    <w:div w:id="335108940">
      <w:bodyDiv w:val="1"/>
      <w:marLeft w:val="0"/>
      <w:marRight w:val="0"/>
      <w:marTop w:val="0"/>
      <w:marBottom w:val="0"/>
      <w:divBdr>
        <w:top w:val="none" w:sz="0" w:space="0" w:color="auto"/>
        <w:left w:val="none" w:sz="0" w:space="0" w:color="auto"/>
        <w:bottom w:val="none" w:sz="0" w:space="0" w:color="auto"/>
        <w:right w:val="none" w:sz="0" w:space="0" w:color="auto"/>
      </w:divBdr>
    </w:div>
    <w:div w:id="335807311">
      <w:bodyDiv w:val="1"/>
      <w:marLeft w:val="0"/>
      <w:marRight w:val="0"/>
      <w:marTop w:val="0"/>
      <w:marBottom w:val="0"/>
      <w:divBdr>
        <w:top w:val="none" w:sz="0" w:space="0" w:color="auto"/>
        <w:left w:val="none" w:sz="0" w:space="0" w:color="auto"/>
        <w:bottom w:val="none" w:sz="0" w:space="0" w:color="auto"/>
        <w:right w:val="none" w:sz="0" w:space="0" w:color="auto"/>
      </w:divBdr>
    </w:div>
    <w:div w:id="355664564">
      <w:bodyDiv w:val="1"/>
      <w:marLeft w:val="0"/>
      <w:marRight w:val="0"/>
      <w:marTop w:val="0"/>
      <w:marBottom w:val="0"/>
      <w:divBdr>
        <w:top w:val="none" w:sz="0" w:space="0" w:color="auto"/>
        <w:left w:val="none" w:sz="0" w:space="0" w:color="auto"/>
        <w:bottom w:val="none" w:sz="0" w:space="0" w:color="auto"/>
        <w:right w:val="none" w:sz="0" w:space="0" w:color="auto"/>
      </w:divBdr>
    </w:div>
    <w:div w:id="355889749">
      <w:bodyDiv w:val="1"/>
      <w:marLeft w:val="0"/>
      <w:marRight w:val="0"/>
      <w:marTop w:val="0"/>
      <w:marBottom w:val="0"/>
      <w:divBdr>
        <w:top w:val="none" w:sz="0" w:space="0" w:color="auto"/>
        <w:left w:val="none" w:sz="0" w:space="0" w:color="auto"/>
        <w:bottom w:val="none" w:sz="0" w:space="0" w:color="auto"/>
        <w:right w:val="none" w:sz="0" w:space="0" w:color="auto"/>
      </w:divBdr>
    </w:div>
    <w:div w:id="357850843">
      <w:bodyDiv w:val="1"/>
      <w:marLeft w:val="0"/>
      <w:marRight w:val="0"/>
      <w:marTop w:val="0"/>
      <w:marBottom w:val="0"/>
      <w:divBdr>
        <w:top w:val="none" w:sz="0" w:space="0" w:color="auto"/>
        <w:left w:val="none" w:sz="0" w:space="0" w:color="auto"/>
        <w:bottom w:val="none" w:sz="0" w:space="0" w:color="auto"/>
        <w:right w:val="none" w:sz="0" w:space="0" w:color="auto"/>
      </w:divBdr>
    </w:div>
    <w:div w:id="363597465">
      <w:bodyDiv w:val="1"/>
      <w:marLeft w:val="0"/>
      <w:marRight w:val="0"/>
      <w:marTop w:val="0"/>
      <w:marBottom w:val="0"/>
      <w:divBdr>
        <w:top w:val="none" w:sz="0" w:space="0" w:color="auto"/>
        <w:left w:val="none" w:sz="0" w:space="0" w:color="auto"/>
        <w:bottom w:val="none" w:sz="0" w:space="0" w:color="auto"/>
        <w:right w:val="none" w:sz="0" w:space="0" w:color="auto"/>
      </w:divBdr>
    </w:div>
    <w:div w:id="364599325">
      <w:bodyDiv w:val="1"/>
      <w:marLeft w:val="0"/>
      <w:marRight w:val="0"/>
      <w:marTop w:val="0"/>
      <w:marBottom w:val="0"/>
      <w:divBdr>
        <w:top w:val="none" w:sz="0" w:space="0" w:color="auto"/>
        <w:left w:val="none" w:sz="0" w:space="0" w:color="auto"/>
        <w:bottom w:val="none" w:sz="0" w:space="0" w:color="auto"/>
        <w:right w:val="none" w:sz="0" w:space="0" w:color="auto"/>
      </w:divBdr>
      <w:divsChild>
        <w:div w:id="55904447">
          <w:marLeft w:val="720"/>
          <w:marRight w:val="0"/>
          <w:marTop w:val="60"/>
          <w:marBottom w:val="0"/>
          <w:divBdr>
            <w:top w:val="none" w:sz="0" w:space="0" w:color="auto"/>
            <w:left w:val="none" w:sz="0" w:space="0" w:color="auto"/>
            <w:bottom w:val="none" w:sz="0" w:space="0" w:color="auto"/>
            <w:right w:val="none" w:sz="0" w:space="0" w:color="auto"/>
          </w:divBdr>
        </w:div>
        <w:div w:id="85813015">
          <w:marLeft w:val="1166"/>
          <w:marRight w:val="0"/>
          <w:marTop w:val="60"/>
          <w:marBottom w:val="0"/>
          <w:divBdr>
            <w:top w:val="none" w:sz="0" w:space="0" w:color="auto"/>
            <w:left w:val="none" w:sz="0" w:space="0" w:color="auto"/>
            <w:bottom w:val="none" w:sz="0" w:space="0" w:color="auto"/>
            <w:right w:val="none" w:sz="0" w:space="0" w:color="auto"/>
          </w:divBdr>
        </w:div>
      </w:divsChild>
    </w:div>
    <w:div w:id="366299983">
      <w:bodyDiv w:val="1"/>
      <w:marLeft w:val="0"/>
      <w:marRight w:val="0"/>
      <w:marTop w:val="0"/>
      <w:marBottom w:val="0"/>
      <w:divBdr>
        <w:top w:val="none" w:sz="0" w:space="0" w:color="auto"/>
        <w:left w:val="none" w:sz="0" w:space="0" w:color="auto"/>
        <w:bottom w:val="none" w:sz="0" w:space="0" w:color="auto"/>
        <w:right w:val="none" w:sz="0" w:space="0" w:color="auto"/>
      </w:divBdr>
    </w:div>
    <w:div w:id="367460994">
      <w:bodyDiv w:val="1"/>
      <w:marLeft w:val="0"/>
      <w:marRight w:val="0"/>
      <w:marTop w:val="0"/>
      <w:marBottom w:val="0"/>
      <w:divBdr>
        <w:top w:val="none" w:sz="0" w:space="0" w:color="auto"/>
        <w:left w:val="none" w:sz="0" w:space="0" w:color="auto"/>
        <w:bottom w:val="none" w:sz="0" w:space="0" w:color="auto"/>
        <w:right w:val="none" w:sz="0" w:space="0" w:color="auto"/>
      </w:divBdr>
    </w:div>
    <w:div w:id="367990818">
      <w:bodyDiv w:val="1"/>
      <w:marLeft w:val="0"/>
      <w:marRight w:val="0"/>
      <w:marTop w:val="0"/>
      <w:marBottom w:val="0"/>
      <w:divBdr>
        <w:top w:val="none" w:sz="0" w:space="0" w:color="auto"/>
        <w:left w:val="none" w:sz="0" w:space="0" w:color="auto"/>
        <w:bottom w:val="none" w:sz="0" w:space="0" w:color="auto"/>
        <w:right w:val="none" w:sz="0" w:space="0" w:color="auto"/>
      </w:divBdr>
    </w:div>
    <w:div w:id="368065337">
      <w:bodyDiv w:val="1"/>
      <w:marLeft w:val="0"/>
      <w:marRight w:val="0"/>
      <w:marTop w:val="0"/>
      <w:marBottom w:val="0"/>
      <w:divBdr>
        <w:top w:val="none" w:sz="0" w:space="0" w:color="auto"/>
        <w:left w:val="none" w:sz="0" w:space="0" w:color="auto"/>
        <w:bottom w:val="none" w:sz="0" w:space="0" w:color="auto"/>
        <w:right w:val="none" w:sz="0" w:space="0" w:color="auto"/>
      </w:divBdr>
    </w:div>
    <w:div w:id="377635012">
      <w:bodyDiv w:val="1"/>
      <w:marLeft w:val="0"/>
      <w:marRight w:val="0"/>
      <w:marTop w:val="0"/>
      <w:marBottom w:val="0"/>
      <w:divBdr>
        <w:top w:val="none" w:sz="0" w:space="0" w:color="auto"/>
        <w:left w:val="none" w:sz="0" w:space="0" w:color="auto"/>
        <w:bottom w:val="none" w:sz="0" w:space="0" w:color="auto"/>
        <w:right w:val="none" w:sz="0" w:space="0" w:color="auto"/>
      </w:divBdr>
    </w:div>
    <w:div w:id="378552442">
      <w:bodyDiv w:val="1"/>
      <w:marLeft w:val="0"/>
      <w:marRight w:val="0"/>
      <w:marTop w:val="0"/>
      <w:marBottom w:val="0"/>
      <w:divBdr>
        <w:top w:val="none" w:sz="0" w:space="0" w:color="auto"/>
        <w:left w:val="none" w:sz="0" w:space="0" w:color="auto"/>
        <w:bottom w:val="none" w:sz="0" w:space="0" w:color="auto"/>
        <w:right w:val="none" w:sz="0" w:space="0" w:color="auto"/>
      </w:divBdr>
    </w:div>
    <w:div w:id="389422557">
      <w:bodyDiv w:val="1"/>
      <w:marLeft w:val="0"/>
      <w:marRight w:val="0"/>
      <w:marTop w:val="0"/>
      <w:marBottom w:val="0"/>
      <w:divBdr>
        <w:top w:val="none" w:sz="0" w:space="0" w:color="auto"/>
        <w:left w:val="none" w:sz="0" w:space="0" w:color="auto"/>
        <w:bottom w:val="none" w:sz="0" w:space="0" w:color="auto"/>
        <w:right w:val="none" w:sz="0" w:space="0" w:color="auto"/>
      </w:divBdr>
    </w:div>
    <w:div w:id="394351159">
      <w:bodyDiv w:val="1"/>
      <w:marLeft w:val="0"/>
      <w:marRight w:val="0"/>
      <w:marTop w:val="0"/>
      <w:marBottom w:val="0"/>
      <w:divBdr>
        <w:top w:val="none" w:sz="0" w:space="0" w:color="auto"/>
        <w:left w:val="none" w:sz="0" w:space="0" w:color="auto"/>
        <w:bottom w:val="none" w:sz="0" w:space="0" w:color="auto"/>
        <w:right w:val="none" w:sz="0" w:space="0" w:color="auto"/>
      </w:divBdr>
    </w:div>
    <w:div w:id="407311319">
      <w:bodyDiv w:val="1"/>
      <w:marLeft w:val="0"/>
      <w:marRight w:val="0"/>
      <w:marTop w:val="0"/>
      <w:marBottom w:val="0"/>
      <w:divBdr>
        <w:top w:val="none" w:sz="0" w:space="0" w:color="auto"/>
        <w:left w:val="none" w:sz="0" w:space="0" w:color="auto"/>
        <w:bottom w:val="none" w:sz="0" w:space="0" w:color="auto"/>
        <w:right w:val="none" w:sz="0" w:space="0" w:color="auto"/>
      </w:divBdr>
      <w:divsChild>
        <w:div w:id="1108085037">
          <w:marLeft w:val="720"/>
          <w:marRight w:val="0"/>
          <w:marTop w:val="60"/>
          <w:marBottom w:val="0"/>
          <w:divBdr>
            <w:top w:val="none" w:sz="0" w:space="0" w:color="auto"/>
            <w:left w:val="none" w:sz="0" w:space="0" w:color="auto"/>
            <w:bottom w:val="none" w:sz="0" w:space="0" w:color="auto"/>
            <w:right w:val="none" w:sz="0" w:space="0" w:color="auto"/>
          </w:divBdr>
        </w:div>
      </w:divsChild>
    </w:div>
    <w:div w:id="413549569">
      <w:bodyDiv w:val="1"/>
      <w:marLeft w:val="0"/>
      <w:marRight w:val="0"/>
      <w:marTop w:val="0"/>
      <w:marBottom w:val="0"/>
      <w:divBdr>
        <w:top w:val="none" w:sz="0" w:space="0" w:color="auto"/>
        <w:left w:val="none" w:sz="0" w:space="0" w:color="auto"/>
        <w:bottom w:val="none" w:sz="0" w:space="0" w:color="auto"/>
        <w:right w:val="none" w:sz="0" w:space="0" w:color="auto"/>
      </w:divBdr>
    </w:div>
    <w:div w:id="417752665">
      <w:bodyDiv w:val="1"/>
      <w:marLeft w:val="0"/>
      <w:marRight w:val="0"/>
      <w:marTop w:val="0"/>
      <w:marBottom w:val="0"/>
      <w:divBdr>
        <w:top w:val="none" w:sz="0" w:space="0" w:color="auto"/>
        <w:left w:val="none" w:sz="0" w:space="0" w:color="auto"/>
        <w:bottom w:val="none" w:sz="0" w:space="0" w:color="auto"/>
        <w:right w:val="none" w:sz="0" w:space="0" w:color="auto"/>
      </w:divBdr>
    </w:div>
    <w:div w:id="420837077">
      <w:bodyDiv w:val="1"/>
      <w:marLeft w:val="0"/>
      <w:marRight w:val="0"/>
      <w:marTop w:val="0"/>
      <w:marBottom w:val="0"/>
      <w:divBdr>
        <w:top w:val="none" w:sz="0" w:space="0" w:color="auto"/>
        <w:left w:val="none" w:sz="0" w:space="0" w:color="auto"/>
        <w:bottom w:val="none" w:sz="0" w:space="0" w:color="auto"/>
        <w:right w:val="none" w:sz="0" w:space="0" w:color="auto"/>
      </w:divBdr>
    </w:div>
    <w:div w:id="423039978">
      <w:bodyDiv w:val="1"/>
      <w:marLeft w:val="0"/>
      <w:marRight w:val="0"/>
      <w:marTop w:val="0"/>
      <w:marBottom w:val="0"/>
      <w:divBdr>
        <w:top w:val="none" w:sz="0" w:space="0" w:color="auto"/>
        <w:left w:val="none" w:sz="0" w:space="0" w:color="auto"/>
        <w:bottom w:val="none" w:sz="0" w:space="0" w:color="auto"/>
        <w:right w:val="none" w:sz="0" w:space="0" w:color="auto"/>
      </w:divBdr>
    </w:div>
    <w:div w:id="428505086">
      <w:bodyDiv w:val="1"/>
      <w:marLeft w:val="0"/>
      <w:marRight w:val="0"/>
      <w:marTop w:val="0"/>
      <w:marBottom w:val="0"/>
      <w:divBdr>
        <w:top w:val="none" w:sz="0" w:space="0" w:color="auto"/>
        <w:left w:val="none" w:sz="0" w:space="0" w:color="auto"/>
        <w:bottom w:val="none" w:sz="0" w:space="0" w:color="auto"/>
        <w:right w:val="none" w:sz="0" w:space="0" w:color="auto"/>
      </w:divBdr>
    </w:div>
    <w:div w:id="438531789">
      <w:bodyDiv w:val="1"/>
      <w:marLeft w:val="0"/>
      <w:marRight w:val="0"/>
      <w:marTop w:val="0"/>
      <w:marBottom w:val="0"/>
      <w:divBdr>
        <w:top w:val="none" w:sz="0" w:space="0" w:color="auto"/>
        <w:left w:val="none" w:sz="0" w:space="0" w:color="auto"/>
        <w:bottom w:val="none" w:sz="0" w:space="0" w:color="auto"/>
        <w:right w:val="none" w:sz="0" w:space="0" w:color="auto"/>
      </w:divBdr>
    </w:div>
    <w:div w:id="438647838">
      <w:bodyDiv w:val="1"/>
      <w:marLeft w:val="0"/>
      <w:marRight w:val="0"/>
      <w:marTop w:val="0"/>
      <w:marBottom w:val="0"/>
      <w:divBdr>
        <w:top w:val="none" w:sz="0" w:space="0" w:color="auto"/>
        <w:left w:val="none" w:sz="0" w:space="0" w:color="auto"/>
        <w:bottom w:val="none" w:sz="0" w:space="0" w:color="auto"/>
        <w:right w:val="none" w:sz="0" w:space="0" w:color="auto"/>
      </w:divBdr>
      <w:divsChild>
        <w:div w:id="14041327">
          <w:marLeft w:val="274"/>
          <w:marRight w:val="0"/>
          <w:marTop w:val="0"/>
          <w:marBottom w:val="80"/>
          <w:divBdr>
            <w:top w:val="none" w:sz="0" w:space="0" w:color="auto"/>
            <w:left w:val="none" w:sz="0" w:space="0" w:color="auto"/>
            <w:bottom w:val="none" w:sz="0" w:space="0" w:color="auto"/>
            <w:right w:val="none" w:sz="0" w:space="0" w:color="auto"/>
          </w:divBdr>
        </w:div>
        <w:div w:id="1005209123">
          <w:marLeft w:val="274"/>
          <w:marRight w:val="0"/>
          <w:marTop w:val="0"/>
          <w:marBottom w:val="80"/>
          <w:divBdr>
            <w:top w:val="none" w:sz="0" w:space="0" w:color="auto"/>
            <w:left w:val="none" w:sz="0" w:space="0" w:color="auto"/>
            <w:bottom w:val="none" w:sz="0" w:space="0" w:color="auto"/>
            <w:right w:val="none" w:sz="0" w:space="0" w:color="auto"/>
          </w:divBdr>
        </w:div>
        <w:div w:id="1473911259">
          <w:marLeft w:val="274"/>
          <w:marRight w:val="0"/>
          <w:marTop w:val="0"/>
          <w:marBottom w:val="80"/>
          <w:divBdr>
            <w:top w:val="none" w:sz="0" w:space="0" w:color="auto"/>
            <w:left w:val="none" w:sz="0" w:space="0" w:color="auto"/>
            <w:bottom w:val="none" w:sz="0" w:space="0" w:color="auto"/>
            <w:right w:val="none" w:sz="0" w:space="0" w:color="auto"/>
          </w:divBdr>
        </w:div>
        <w:div w:id="1571620127">
          <w:marLeft w:val="274"/>
          <w:marRight w:val="0"/>
          <w:marTop w:val="0"/>
          <w:marBottom w:val="80"/>
          <w:divBdr>
            <w:top w:val="none" w:sz="0" w:space="0" w:color="auto"/>
            <w:left w:val="none" w:sz="0" w:space="0" w:color="auto"/>
            <w:bottom w:val="none" w:sz="0" w:space="0" w:color="auto"/>
            <w:right w:val="none" w:sz="0" w:space="0" w:color="auto"/>
          </w:divBdr>
        </w:div>
      </w:divsChild>
    </w:div>
    <w:div w:id="439419798">
      <w:bodyDiv w:val="1"/>
      <w:marLeft w:val="0"/>
      <w:marRight w:val="0"/>
      <w:marTop w:val="0"/>
      <w:marBottom w:val="0"/>
      <w:divBdr>
        <w:top w:val="none" w:sz="0" w:space="0" w:color="auto"/>
        <w:left w:val="none" w:sz="0" w:space="0" w:color="auto"/>
        <w:bottom w:val="none" w:sz="0" w:space="0" w:color="auto"/>
        <w:right w:val="none" w:sz="0" w:space="0" w:color="auto"/>
      </w:divBdr>
    </w:div>
    <w:div w:id="444544684">
      <w:bodyDiv w:val="1"/>
      <w:marLeft w:val="0"/>
      <w:marRight w:val="0"/>
      <w:marTop w:val="0"/>
      <w:marBottom w:val="0"/>
      <w:divBdr>
        <w:top w:val="none" w:sz="0" w:space="0" w:color="auto"/>
        <w:left w:val="none" w:sz="0" w:space="0" w:color="auto"/>
        <w:bottom w:val="none" w:sz="0" w:space="0" w:color="auto"/>
        <w:right w:val="none" w:sz="0" w:space="0" w:color="auto"/>
      </w:divBdr>
    </w:div>
    <w:div w:id="447429663">
      <w:bodyDiv w:val="1"/>
      <w:marLeft w:val="0"/>
      <w:marRight w:val="0"/>
      <w:marTop w:val="0"/>
      <w:marBottom w:val="0"/>
      <w:divBdr>
        <w:top w:val="none" w:sz="0" w:space="0" w:color="auto"/>
        <w:left w:val="none" w:sz="0" w:space="0" w:color="auto"/>
        <w:bottom w:val="none" w:sz="0" w:space="0" w:color="auto"/>
        <w:right w:val="none" w:sz="0" w:space="0" w:color="auto"/>
      </w:divBdr>
    </w:div>
    <w:div w:id="475682352">
      <w:bodyDiv w:val="1"/>
      <w:marLeft w:val="0"/>
      <w:marRight w:val="0"/>
      <w:marTop w:val="0"/>
      <w:marBottom w:val="0"/>
      <w:divBdr>
        <w:top w:val="none" w:sz="0" w:space="0" w:color="auto"/>
        <w:left w:val="none" w:sz="0" w:space="0" w:color="auto"/>
        <w:bottom w:val="none" w:sz="0" w:space="0" w:color="auto"/>
        <w:right w:val="none" w:sz="0" w:space="0" w:color="auto"/>
      </w:divBdr>
    </w:div>
    <w:div w:id="480267577">
      <w:bodyDiv w:val="1"/>
      <w:marLeft w:val="0"/>
      <w:marRight w:val="0"/>
      <w:marTop w:val="0"/>
      <w:marBottom w:val="0"/>
      <w:divBdr>
        <w:top w:val="none" w:sz="0" w:space="0" w:color="auto"/>
        <w:left w:val="none" w:sz="0" w:space="0" w:color="auto"/>
        <w:bottom w:val="none" w:sz="0" w:space="0" w:color="auto"/>
        <w:right w:val="none" w:sz="0" w:space="0" w:color="auto"/>
      </w:divBdr>
      <w:divsChild>
        <w:div w:id="401682866">
          <w:marLeft w:val="720"/>
          <w:marRight w:val="0"/>
          <w:marTop w:val="60"/>
          <w:marBottom w:val="0"/>
          <w:divBdr>
            <w:top w:val="none" w:sz="0" w:space="0" w:color="auto"/>
            <w:left w:val="none" w:sz="0" w:space="0" w:color="auto"/>
            <w:bottom w:val="none" w:sz="0" w:space="0" w:color="auto"/>
            <w:right w:val="none" w:sz="0" w:space="0" w:color="auto"/>
          </w:divBdr>
        </w:div>
        <w:div w:id="519440120">
          <w:marLeft w:val="0"/>
          <w:marRight w:val="0"/>
          <w:marTop w:val="300"/>
          <w:marBottom w:val="0"/>
          <w:divBdr>
            <w:top w:val="none" w:sz="0" w:space="0" w:color="auto"/>
            <w:left w:val="none" w:sz="0" w:space="0" w:color="auto"/>
            <w:bottom w:val="none" w:sz="0" w:space="0" w:color="auto"/>
            <w:right w:val="none" w:sz="0" w:space="0" w:color="auto"/>
          </w:divBdr>
        </w:div>
        <w:div w:id="822891611">
          <w:marLeft w:val="720"/>
          <w:marRight w:val="0"/>
          <w:marTop w:val="60"/>
          <w:marBottom w:val="0"/>
          <w:divBdr>
            <w:top w:val="none" w:sz="0" w:space="0" w:color="auto"/>
            <w:left w:val="none" w:sz="0" w:space="0" w:color="auto"/>
            <w:bottom w:val="none" w:sz="0" w:space="0" w:color="auto"/>
            <w:right w:val="none" w:sz="0" w:space="0" w:color="auto"/>
          </w:divBdr>
        </w:div>
        <w:div w:id="1128665140">
          <w:marLeft w:val="0"/>
          <w:marRight w:val="0"/>
          <w:marTop w:val="300"/>
          <w:marBottom w:val="0"/>
          <w:divBdr>
            <w:top w:val="none" w:sz="0" w:space="0" w:color="auto"/>
            <w:left w:val="none" w:sz="0" w:space="0" w:color="auto"/>
            <w:bottom w:val="none" w:sz="0" w:space="0" w:color="auto"/>
            <w:right w:val="none" w:sz="0" w:space="0" w:color="auto"/>
          </w:divBdr>
        </w:div>
        <w:div w:id="1183084601">
          <w:marLeft w:val="720"/>
          <w:marRight w:val="0"/>
          <w:marTop w:val="60"/>
          <w:marBottom w:val="0"/>
          <w:divBdr>
            <w:top w:val="none" w:sz="0" w:space="0" w:color="auto"/>
            <w:left w:val="none" w:sz="0" w:space="0" w:color="auto"/>
            <w:bottom w:val="none" w:sz="0" w:space="0" w:color="auto"/>
            <w:right w:val="none" w:sz="0" w:space="0" w:color="auto"/>
          </w:divBdr>
        </w:div>
        <w:div w:id="1752001067">
          <w:marLeft w:val="720"/>
          <w:marRight w:val="0"/>
          <w:marTop w:val="60"/>
          <w:marBottom w:val="0"/>
          <w:divBdr>
            <w:top w:val="none" w:sz="0" w:space="0" w:color="auto"/>
            <w:left w:val="none" w:sz="0" w:space="0" w:color="auto"/>
            <w:bottom w:val="none" w:sz="0" w:space="0" w:color="auto"/>
            <w:right w:val="none" w:sz="0" w:space="0" w:color="auto"/>
          </w:divBdr>
        </w:div>
      </w:divsChild>
    </w:div>
    <w:div w:id="505941345">
      <w:bodyDiv w:val="1"/>
      <w:marLeft w:val="0"/>
      <w:marRight w:val="0"/>
      <w:marTop w:val="0"/>
      <w:marBottom w:val="0"/>
      <w:divBdr>
        <w:top w:val="none" w:sz="0" w:space="0" w:color="auto"/>
        <w:left w:val="none" w:sz="0" w:space="0" w:color="auto"/>
        <w:bottom w:val="none" w:sz="0" w:space="0" w:color="auto"/>
        <w:right w:val="none" w:sz="0" w:space="0" w:color="auto"/>
      </w:divBdr>
    </w:div>
    <w:div w:id="511528809">
      <w:bodyDiv w:val="1"/>
      <w:marLeft w:val="0"/>
      <w:marRight w:val="0"/>
      <w:marTop w:val="0"/>
      <w:marBottom w:val="0"/>
      <w:divBdr>
        <w:top w:val="none" w:sz="0" w:space="0" w:color="auto"/>
        <w:left w:val="none" w:sz="0" w:space="0" w:color="auto"/>
        <w:bottom w:val="none" w:sz="0" w:space="0" w:color="auto"/>
        <w:right w:val="none" w:sz="0" w:space="0" w:color="auto"/>
      </w:divBdr>
    </w:div>
    <w:div w:id="516845290">
      <w:bodyDiv w:val="1"/>
      <w:marLeft w:val="0"/>
      <w:marRight w:val="0"/>
      <w:marTop w:val="0"/>
      <w:marBottom w:val="0"/>
      <w:divBdr>
        <w:top w:val="none" w:sz="0" w:space="0" w:color="auto"/>
        <w:left w:val="none" w:sz="0" w:space="0" w:color="auto"/>
        <w:bottom w:val="none" w:sz="0" w:space="0" w:color="auto"/>
        <w:right w:val="none" w:sz="0" w:space="0" w:color="auto"/>
      </w:divBdr>
    </w:div>
    <w:div w:id="520508094">
      <w:bodyDiv w:val="1"/>
      <w:marLeft w:val="0"/>
      <w:marRight w:val="0"/>
      <w:marTop w:val="0"/>
      <w:marBottom w:val="0"/>
      <w:divBdr>
        <w:top w:val="none" w:sz="0" w:space="0" w:color="auto"/>
        <w:left w:val="none" w:sz="0" w:space="0" w:color="auto"/>
        <w:bottom w:val="none" w:sz="0" w:space="0" w:color="auto"/>
        <w:right w:val="none" w:sz="0" w:space="0" w:color="auto"/>
      </w:divBdr>
    </w:div>
    <w:div w:id="523443330">
      <w:bodyDiv w:val="1"/>
      <w:marLeft w:val="0"/>
      <w:marRight w:val="0"/>
      <w:marTop w:val="0"/>
      <w:marBottom w:val="0"/>
      <w:divBdr>
        <w:top w:val="none" w:sz="0" w:space="0" w:color="auto"/>
        <w:left w:val="none" w:sz="0" w:space="0" w:color="auto"/>
        <w:bottom w:val="none" w:sz="0" w:space="0" w:color="auto"/>
        <w:right w:val="none" w:sz="0" w:space="0" w:color="auto"/>
      </w:divBdr>
    </w:div>
    <w:div w:id="527840671">
      <w:bodyDiv w:val="1"/>
      <w:marLeft w:val="0"/>
      <w:marRight w:val="0"/>
      <w:marTop w:val="0"/>
      <w:marBottom w:val="0"/>
      <w:divBdr>
        <w:top w:val="none" w:sz="0" w:space="0" w:color="auto"/>
        <w:left w:val="none" w:sz="0" w:space="0" w:color="auto"/>
        <w:bottom w:val="none" w:sz="0" w:space="0" w:color="auto"/>
        <w:right w:val="none" w:sz="0" w:space="0" w:color="auto"/>
      </w:divBdr>
    </w:div>
    <w:div w:id="528495015">
      <w:bodyDiv w:val="1"/>
      <w:marLeft w:val="0"/>
      <w:marRight w:val="0"/>
      <w:marTop w:val="0"/>
      <w:marBottom w:val="0"/>
      <w:divBdr>
        <w:top w:val="none" w:sz="0" w:space="0" w:color="auto"/>
        <w:left w:val="none" w:sz="0" w:space="0" w:color="auto"/>
        <w:bottom w:val="none" w:sz="0" w:space="0" w:color="auto"/>
        <w:right w:val="none" w:sz="0" w:space="0" w:color="auto"/>
      </w:divBdr>
      <w:divsChild>
        <w:div w:id="624429571">
          <w:marLeft w:val="720"/>
          <w:marRight w:val="0"/>
          <w:marTop w:val="60"/>
          <w:marBottom w:val="0"/>
          <w:divBdr>
            <w:top w:val="none" w:sz="0" w:space="0" w:color="auto"/>
            <w:left w:val="none" w:sz="0" w:space="0" w:color="auto"/>
            <w:bottom w:val="none" w:sz="0" w:space="0" w:color="auto"/>
            <w:right w:val="none" w:sz="0" w:space="0" w:color="auto"/>
          </w:divBdr>
        </w:div>
        <w:div w:id="1868835186">
          <w:marLeft w:val="720"/>
          <w:marRight w:val="0"/>
          <w:marTop w:val="60"/>
          <w:marBottom w:val="0"/>
          <w:divBdr>
            <w:top w:val="none" w:sz="0" w:space="0" w:color="auto"/>
            <w:left w:val="none" w:sz="0" w:space="0" w:color="auto"/>
            <w:bottom w:val="none" w:sz="0" w:space="0" w:color="auto"/>
            <w:right w:val="none" w:sz="0" w:space="0" w:color="auto"/>
          </w:divBdr>
        </w:div>
      </w:divsChild>
    </w:div>
    <w:div w:id="531117132">
      <w:bodyDiv w:val="1"/>
      <w:marLeft w:val="0"/>
      <w:marRight w:val="0"/>
      <w:marTop w:val="0"/>
      <w:marBottom w:val="0"/>
      <w:divBdr>
        <w:top w:val="none" w:sz="0" w:space="0" w:color="auto"/>
        <w:left w:val="none" w:sz="0" w:space="0" w:color="auto"/>
        <w:bottom w:val="none" w:sz="0" w:space="0" w:color="auto"/>
        <w:right w:val="none" w:sz="0" w:space="0" w:color="auto"/>
      </w:divBdr>
    </w:div>
    <w:div w:id="543713627">
      <w:bodyDiv w:val="1"/>
      <w:marLeft w:val="0"/>
      <w:marRight w:val="0"/>
      <w:marTop w:val="0"/>
      <w:marBottom w:val="0"/>
      <w:divBdr>
        <w:top w:val="none" w:sz="0" w:space="0" w:color="auto"/>
        <w:left w:val="none" w:sz="0" w:space="0" w:color="auto"/>
        <w:bottom w:val="none" w:sz="0" w:space="0" w:color="auto"/>
        <w:right w:val="none" w:sz="0" w:space="0" w:color="auto"/>
      </w:divBdr>
      <w:divsChild>
        <w:div w:id="386951740">
          <w:marLeft w:val="360"/>
          <w:marRight w:val="0"/>
          <w:marTop w:val="240"/>
          <w:marBottom w:val="0"/>
          <w:divBdr>
            <w:top w:val="none" w:sz="0" w:space="0" w:color="auto"/>
            <w:left w:val="none" w:sz="0" w:space="0" w:color="auto"/>
            <w:bottom w:val="none" w:sz="0" w:space="0" w:color="auto"/>
            <w:right w:val="none" w:sz="0" w:space="0" w:color="auto"/>
          </w:divBdr>
        </w:div>
        <w:div w:id="894707690">
          <w:marLeft w:val="360"/>
          <w:marRight w:val="0"/>
          <w:marTop w:val="240"/>
          <w:marBottom w:val="0"/>
          <w:divBdr>
            <w:top w:val="none" w:sz="0" w:space="0" w:color="auto"/>
            <w:left w:val="none" w:sz="0" w:space="0" w:color="auto"/>
            <w:bottom w:val="none" w:sz="0" w:space="0" w:color="auto"/>
            <w:right w:val="none" w:sz="0" w:space="0" w:color="auto"/>
          </w:divBdr>
        </w:div>
        <w:div w:id="1299994094">
          <w:marLeft w:val="360"/>
          <w:marRight w:val="0"/>
          <w:marTop w:val="240"/>
          <w:marBottom w:val="0"/>
          <w:divBdr>
            <w:top w:val="none" w:sz="0" w:space="0" w:color="auto"/>
            <w:left w:val="none" w:sz="0" w:space="0" w:color="auto"/>
            <w:bottom w:val="none" w:sz="0" w:space="0" w:color="auto"/>
            <w:right w:val="none" w:sz="0" w:space="0" w:color="auto"/>
          </w:divBdr>
        </w:div>
      </w:divsChild>
    </w:div>
    <w:div w:id="549802309">
      <w:bodyDiv w:val="1"/>
      <w:marLeft w:val="0"/>
      <w:marRight w:val="0"/>
      <w:marTop w:val="0"/>
      <w:marBottom w:val="0"/>
      <w:divBdr>
        <w:top w:val="none" w:sz="0" w:space="0" w:color="auto"/>
        <w:left w:val="none" w:sz="0" w:space="0" w:color="auto"/>
        <w:bottom w:val="none" w:sz="0" w:space="0" w:color="auto"/>
        <w:right w:val="none" w:sz="0" w:space="0" w:color="auto"/>
      </w:divBdr>
      <w:divsChild>
        <w:div w:id="849762217">
          <w:marLeft w:val="720"/>
          <w:marRight w:val="0"/>
          <w:marTop w:val="60"/>
          <w:marBottom w:val="0"/>
          <w:divBdr>
            <w:top w:val="none" w:sz="0" w:space="0" w:color="auto"/>
            <w:left w:val="none" w:sz="0" w:space="0" w:color="auto"/>
            <w:bottom w:val="none" w:sz="0" w:space="0" w:color="auto"/>
            <w:right w:val="none" w:sz="0" w:space="0" w:color="auto"/>
          </w:divBdr>
        </w:div>
        <w:div w:id="2107844565">
          <w:marLeft w:val="1166"/>
          <w:marRight w:val="0"/>
          <w:marTop w:val="60"/>
          <w:marBottom w:val="0"/>
          <w:divBdr>
            <w:top w:val="none" w:sz="0" w:space="0" w:color="auto"/>
            <w:left w:val="none" w:sz="0" w:space="0" w:color="auto"/>
            <w:bottom w:val="none" w:sz="0" w:space="0" w:color="auto"/>
            <w:right w:val="none" w:sz="0" w:space="0" w:color="auto"/>
          </w:divBdr>
        </w:div>
      </w:divsChild>
    </w:div>
    <w:div w:id="563879412">
      <w:bodyDiv w:val="1"/>
      <w:marLeft w:val="0"/>
      <w:marRight w:val="0"/>
      <w:marTop w:val="0"/>
      <w:marBottom w:val="0"/>
      <w:divBdr>
        <w:top w:val="none" w:sz="0" w:space="0" w:color="auto"/>
        <w:left w:val="none" w:sz="0" w:space="0" w:color="auto"/>
        <w:bottom w:val="none" w:sz="0" w:space="0" w:color="auto"/>
        <w:right w:val="none" w:sz="0" w:space="0" w:color="auto"/>
      </w:divBdr>
    </w:div>
    <w:div w:id="565146150">
      <w:bodyDiv w:val="1"/>
      <w:marLeft w:val="0"/>
      <w:marRight w:val="0"/>
      <w:marTop w:val="0"/>
      <w:marBottom w:val="0"/>
      <w:divBdr>
        <w:top w:val="none" w:sz="0" w:space="0" w:color="auto"/>
        <w:left w:val="none" w:sz="0" w:space="0" w:color="auto"/>
        <w:bottom w:val="none" w:sz="0" w:space="0" w:color="auto"/>
        <w:right w:val="none" w:sz="0" w:space="0" w:color="auto"/>
      </w:divBdr>
    </w:div>
    <w:div w:id="567619303">
      <w:bodyDiv w:val="1"/>
      <w:marLeft w:val="0"/>
      <w:marRight w:val="0"/>
      <w:marTop w:val="0"/>
      <w:marBottom w:val="0"/>
      <w:divBdr>
        <w:top w:val="none" w:sz="0" w:space="0" w:color="auto"/>
        <w:left w:val="none" w:sz="0" w:space="0" w:color="auto"/>
        <w:bottom w:val="none" w:sz="0" w:space="0" w:color="auto"/>
        <w:right w:val="none" w:sz="0" w:space="0" w:color="auto"/>
      </w:divBdr>
    </w:div>
    <w:div w:id="577863367">
      <w:bodyDiv w:val="1"/>
      <w:marLeft w:val="0"/>
      <w:marRight w:val="0"/>
      <w:marTop w:val="0"/>
      <w:marBottom w:val="0"/>
      <w:divBdr>
        <w:top w:val="none" w:sz="0" w:space="0" w:color="auto"/>
        <w:left w:val="none" w:sz="0" w:space="0" w:color="auto"/>
        <w:bottom w:val="none" w:sz="0" w:space="0" w:color="auto"/>
        <w:right w:val="none" w:sz="0" w:space="0" w:color="auto"/>
      </w:divBdr>
    </w:div>
    <w:div w:id="579213167">
      <w:bodyDiv w:val="1"/>
      <w:marLeft w:val="0"/>
      <w:marRight w:val="0"/>
      <w:marTop w:val="0"/>
      <w:marBottom w:val="0"/>
      <w:divBdr>
        <w:top w:val="none" w:sz="0" w:space="0" w:color="auto"/>
        <w:left w:val="none" w:sz="0" w:space="0" w:color="auto"/>
        <w:bottom w:val="none" w:sz="0" w:space="0" w:color="auto"/>
        <w:right w:val="none" w:sz="0" w:space="0" w:color="auto"/>
      </w:divBdr>
      <w:divsChild>
        <w:div w:id="190805818">
          <w:marLeft w:val="0"/>
          <w:marRight w:val="0"/>
          <w:marTop w:val="0"/>
          <w:marBottom w:val="0"/>
          <w:divBdr>
            <w:top w:val="none" w:sz="0" w:space="0" w:color="auto"/>
            <w:left w:val="none" w:sz="0" w:space="0" w:color="auto"/>
            <w:bottom w:val="none" w:sz="0" w:space="0" w:color="auto"/>
            <w:right w:val="none" w:sz="0" w:space="0" w:color="auto"/>
          </w:divBdr>
        </w:div>
        <w:div w:id="712657582">
          <w:marLeft w:val="0"/>
          <w:marRight w:val="0"/>
          <w:marTop w:val="0"/>
          <w:marBottom w:val="0"/>
          <w:divBdr>
            <w:top w:val="none" w:sz="0" w:space="0" w:color="auto"/>
            <w:left w:val="none" w:sz="0" w:space="0" w:color="auto"/>
            <w:bottom w:val="none" w:sz="0" w:space="0" w:color="auto"/>
            <w:right w:val="none" w:sz="0" w:space="0" w:color="auto"/>
          </w:divBdr>
        </w:div>
      </w:divsChild>
    </w:div>
    <w:div w:id="587034549">
      <w:bodyDiv w:val="1"/>
      <w:marLeft w:val="0"/>
      <w:marRight w:val="0"/>
      <w:marTop w:val="0"/>
      <w:marBottom w:val="0"/>
      <w:divBdr>
        <w:top w:val="none" w:sz="0" w:space="0" w:color="auto"/>
        <w:left w:val="none" w:sz="0" w:space="0" w:color="auto"/>
        <w:bottom w:val="none" w:sz="0" w:space="0" w:color="auto"/>
        <w:right w:val="none" w:sz="0" w:space="0" w:color="auto"/>
      </w:divBdr>
      <w:divsChild>
        <w:div w:id="1565488080">
          <w:marLeft w:val="720"/>
          <w:marRight w:val="0"/>
          <w:marTop w:val="60"/>
          <w:marBottom w:val="0"/>
          <w:divBdr>
            <w:top w:val="none" w:sz="0" w:space="0" w:color="auto"/>
            <w:left w:val="none" w:sz="0" w:space="0" w:color="auto"/>
            <w:bottom w:val="none" w:sz="0" w:space="0" w:color="auto"/>
            <w:right w:val="none" w:sz="0" w:space="0" w:color="auto"/>
          </w:divBdr>
        </w:div>
      </w:divsChild>
    </w:div>
    <w:div w:id="589897439">
      <w:bodyDiv w:val="1"/>
      <w:marLeft w:val="0"/>
      <w:marRight w:val="0"/>
      <w:marTop w:val="0"/>
      <w:marBottom w:val="0"/>
      <w:divBdr>
        <w:top w:val="none" w:sz="0" w:space="0" w:color="auto"/>
        <w:left w:val="none" w:sz="0" w:space="0" w:color="auto"/>
        <w:bottom w:val="none" w:sz="0" w:space="0" w:color="auto"/>
        <w:right w:val="none" w:sz="0" w:space="0" w:color="auto"/>
      </w:divBdr>
    </w:div>
    <w:div w:id="601038833">
      <w:bodyDiv w:val="1"/>
      <w:marLeft w:val="0"/>
      <w:marRight w:val="0"/>
      <w:marTop w:val="0"/>
      <w:marBottom w:val="0"/>
      <w:divBdr>
        <w:top w:val="none" w:sz="0" w:space="0" w:color="auto"/>
        <w:left w:val="none" w:sz="0" w:space="0" w:color="auto"/>
        <w:bottom w:val="none" w:sz="0" w:space="0" w:color="auto"/>
        <w:right w:val="none" w:sz="0" w:space="0" w:color="auto"/>
      </w:divBdr>
    </w:div>
    <w:div w:id="603415931">
      <w:bodyDiv w:val="1"/>
      <w:marLeft w:val="0"/>
      <w:marRight w:val="0"/>
      <w:marTop w:val="0"/>
      <w:marBottom w:val="0"/>
      <w:divBdr>
        <w:top w:val="none" w:sz="0" w:space="0" w:color="auto"/>
        <w:left w:val="none" w:sz="0" w:space="0" w:color="auto"/>
        <w:bottom w:val="none" w:sz="0" w:space="0" w:color="auto"/>
        <w:right w:val="none" w:sz="0" w:space="0" w:color="auto"/>
      </w:divBdr>
      <w:divsChild>
        <w:div w:id="30308704">
          <w:marLeft w:val="720"/>
          <w:marRight w:val="0"/>
          <w:marTop w:val="60"/>
          <w:marBottom w:val="0"/>
          <w:divBdr>
            <w:top w:val="none" w:sz="0" w:space="0" w:color="auto"/>
            <w:left w:val="none" w:sz="0" w:space="0" w:color="auto"/>
            <w:bottom w:val="none" w:sz="0" w:space="0" w:color="auto"/>
            <w:right w:val="none" w:sz="0" w:space="0" w:color="auto"/>
          </w:divBdr>
        </w:div>
        <w:div w:id="324554473">
          <w:marLeft w:val="720"/>
          <w:marRight w:val="0"/>
          <w:marTop w:val="60"/>
          <w:marBottom w:val="0"/>
          <w:divBdr>
            <w:top w:val="none" w:sz="0" w:space="0" w:color="auto"/>
            <w:left w:val="none" w:sz="0" w:space="0" w:color="auto"/>
            <w:bottom w:val="none" w:sz="0" w:space="0" w:color="auto"/>
            <w:right w:val="none" w:sz="0" w:space="0" w:color="auto"/>
          </w:divBdr>
        </w:div>
        <w:div w:id="561452814">
          <w:marLeft w:val="720"/>
          <w:marRight w:val="0"/>
          <w:marTop w:val="60"/>
          <w:marBottom w:val="0"/>
          <w:divBdr>
            <w:top w:val="none" w:sz="0" w:space="0" w:color="auto"/>
            <w:left w:val="none" w:sz="0" w:space="0" w:color="auto"/>
            <w:bottom w:val="none" w:sz="0" w:space="0" w:color="auto"/>
            <w:right w:val="none" w:sz="0" w:space="0" w:color="auto"/>
          </w:divBdr>
        </w:div>
        <w:div w:id="759830761">
          <w:marLeft w:val="720"/>
          <w:marRight w:val="0"/>
          <w:marTop w:val="60"/>
          <w:marBottom w:val="0"/>
          <w:divBdr>
            <w:top w:val="none" w:sz="0" w:space="0" w:color="auto"/>
            <w:left w:val="none" w:sz="0" w:space="0" w:color="auto"/>
            <w:bottom w:val="none" w:sz="0" w:space="0" w:color="auto"/>
            <w:right w:val="none" w:sz="0" w:space="0" w:color="auto"/>
          </w:divBdr>
        </w:div>
        <w:div w:id="1578513150">
          <w:marLeft w:val="720"/>
          <w:marRight w:val="0"/>
          <w:marTop w:val="60"/>
          <w:marBottom w:val="0"/>
          <w:divBdr>
            <w:top w:val="none" w:sz="0" w:space="0" w:color="auto"/>
            <w:left w:val="none" w:sz="0" w:space="0" w:color="auto"/>
            <w:bottom w:val="none" w:sz="0" w:space="0" w:color="auto"/>
            <w:right w:val="none" w:sz="0" w:space="0" w:color="auto"/>
          </w:divBdr>
        </w:div>
      </w:divsChild>
    </w:div>
    <w:div w:id="604272931">
      <w:bodyDiv w:val="1"/>
      <w:marLeft w:val="0"/>
      <w:marRight w:val="0"/>
      <w:marTop w:val="0"/>
      <w:marBottom w:val="0"/>
      <w:divBdr>
        <w:top w:val="none" w:sz="0" w:space="0" w:color="auto"/>
        <w:left w:val="none" w:sz="0" w:space="0" w:color="auto"/>
        <w:bottom w:val="none" w:sz="0" w:space="0" w:color="auto"/>
        <w:right w:val="none" w:sz="0" w:space="0" w:color="auto"/>
      </w:divBdr>
    </w:div>
    <w:div w:id="606238404">
      <w:bodyDiv w:val="1"/>
      <w:marLeft w:val="0"/>
      <w:marRight w:val="0"/>
      <w:marTop w:val="0"/>
      <w:marBottom w:val="0"/>
      <w:divBdr>
        <w:top w:val="none" w:sz="0" w:space="0" w:color="auto"/>
        <w:left w:val="none" w:sz="0" w:space="0" w:color="auto"/>
        <w:bottom w:val="none" w:sz="0" w:space="0" w:color="auto"/>
        <w:right w:val="none" w:sz="0" w:space="0" w:color="auto"/>
      </w:divBdr>
    </w:div>
    <w:div w:id="610934696">
      <w:bodyDiv w:val="1"/>
      <w:marLeft w:val="0"/>
      <w:marRight w:val="0"/>
      <w:marTop w:val="0"/>
      <w:marBottom w:val="0"/>
      <w:divBdr>
        <w:top w:val="none" w:sz="0" w:space="0" w:color="auto"/>
        <w:left w:val="none" w:sz="0" w:space="0" w:color="auto"/>
        <w:bottom w:val="none" w:sz="0" w:space="0" w:color="auto"/>
        <w:right w:val="none" w:sz="0" w:space="0" w:color="auto"/>
      </w:divBdr>
    </w:div>
    <w:div w:id="622612219">
      <w:bodyDiv w:val="1"/>
      <w:marLeft w:val="0"/>
      <w:marRight w:val="0"/>
      <w:marTop w:val="0"/>
      <w:marBottom w:val="0"/>
      <w:divBdr>
        <w:top w:val="none" w:sz="0" w:space="0" w:color="auto"/>
        <w:left w:val="none" w:sz="0" w:space="0" w:color="auto"/>
        <w:bottom w:val="none" w:sz="0" w:space="0" w:color="auto"/>
        <w:right w:val="none" w:sz="0" w:space="0" w:color="auto"/>
      </w:divBdr>
      <w:divsChild>
        <w:div w:id="169493107">
          <w:marLeft w:val="0"/>
          <w:marRight w:val="0"/>
          <w:marTop w:val="360"/>
          <w:marBottom w:val="0"/>
          <w:divBdr>
            <w:top w:val="none" w:sz="0" w:space="0" w:color="auto"/>
            <w:left w:val="none" w:sz="0" w:space="0" w:color="auto"/>
            <w:bottom w:val="none" w:sz="0" w:space="0" w:color="auto"/>
            <w:right w:val="none" w:sz="0" w:space="0" w:color="auto"/>
          </w:divBdr>
        </w:div>
        <w:div w:id="270168287">
          <w:marLeft w:val="720"/>
          <w:marRight w:val="0"/>
          <w:marTop w:val="60"/>
          <w:marBottom w:val="0"/>
          <w:divBdr>
            <w:top w:val="none" w:sz="0" w:space="0" w:color="auto"/>
            <w:left w:val="none" w:sz="0" w:space="0" w:color="auto"/>
            <w:bottom w:val="none" w:sz="0" w:space="0" w:color="auto"/>
            <w:right w:val="none" w:sz="0" w:space="0" w:color="auto"/>
          </w:divBdr>
        </w:div>
        <w:div w:id="286351124">
          <w:marLeft w:val="720"/>
          <w:marRight w:val="0"/>
          <w:marTop w:val="60"/>
          <w:marBottom w:val="0"/>
          <w:divBdr>
            <w:top w:val="none" w:sz="0" w:space="0" w:color="auto"/>
            <w:left w:val="none" w:sz="0" w:space="0" w:color="auto"/>
            <w:bottom w:val="none" w:sz="0" w:space="0" w:color="auto"/>
            <w:right w:val="none" w:sz="0" w:space="0" w:color="auto"/>
          </w:divBdr>
        </w:div>
        <w:div w:id="306472909">
          <w:marLeft w:val="720"/>
          <w:marRight w:val="0"/>
          <w:marTop w:val="60"/>
          <w:marBottom w:val="0"/>
          <w:divBdr>
            <w:top w:val="none" w:sz="0" w:space="0" w:color="auto"/>
            <w:left w:val="none" w:sz="0" w:space="0" w:color="auto"/>
            <w:bottom w:val="none" w:sz="0" w:space="0" w:color="auto"/>
            <w:right w:val="none" w:sz="0" w:space="0" w:color="auto"/>
          </w:divBdr>
        </w:div>
        <w:div w:id="683750194">
          <w:marLeft w:val="720"/>
          <w:marRight w:val="0"/>
          <w:marTop w:val="60"/>
          <w:marBottom w:val="0"/>
          <w:divBdr>
            <w:top w:val="none" w:sz="0" w:space="0" w:color="auto"/>
            <w:left w:val="none" w:sz="0" w:space="0" w:color="auto"/>
            <w:bottom w:val="none" w:sz="0" w:space="0" w:color="auto"/>
            <w:right w:val="none" w:sz="0" w:space="0" w:color="auto"/>
          </w:divBdr>
        </w:div>
        <w:div w:id="1144740443">
          <w:marLeft w:val="720"/>
          <w:marRight w:val="0"/>
          <w:marTop w:val="60"/>
          <w:marBottom w:val="0"/>
          <w:divBdr>
            <w:top w:val="none" w:sz="0" w:space="0" w:color="auto"/>
            <w:left w:val="none" w:sz="0" w:space="0" w:color="auto"/>
            <w:bottom w:val="none" w:sz="0" w:space="0" w:color="auto"/>
            <w:right w:val="none" w:sz="0" w:space="0" w:color="auto"/>
          </w:divBdr>
        </w:div>
        <w:div w:id="1509059093">
          <w:marLeft w:val="720"/>
          <w:marRight w:val="0"/>
          <w:marTop w:val="60"/>
          <w:marBottom w:val="0"/>
          <w:divBdr>
            <w:top w:val="none" w:sz="0" w:space="0" w:color="auto"/>
            <w:left w:val="none" w:sz="0" w:space="0" w:color="auto"/>
            <w:bottom w:val="none" w:sz="0" w:space="0" w:color="auto"/>
            <w:right w:val="none" w:sz="0" w:space="0" w:color="auto"/>
          </w:divBdr>
        </w:div>
      </w:divsChild>
    </w:div>
    <w:div w:id="622737442">
      <w:bodyDiv w:val="1"/>
      <w:marLeft w:val="0"/>
      <w:marRight w:val="0"/>
      <w:marTop w:val="0"/>
      <w:marBottom w:val="0"/>
      <w:divBdr>
        <w:top w:val="none" w:sz="0" w:space="0" w:color="auto"/>
        <w:left w:val="none" w:sz="0" w:space="0" w:color="auto"/>
        <w:bottom w:val="none" w:sz="0" w:space="0" w:color="auto"/>
        <w:right w:val="none" w:sz="0" w:space="0" w:color="auto"/>
      </w:divBdr>
    </w:div>
    <w:div w:id="625356285">
      <w:bodyDiv w:val="1"/>
      <w:marLeft w:val="0"/>
      <w:marRight w:val="0"/>
      <w:marTop w:val="0"/>
      <w:marBottom w:val="0"/>
      <w:divBdr>
        <w:top w:val="none" w:sz="0" w:space="0" w:color="auto"/>
        <w:left w:val="none" w:sz="0" w:space="0" w:color="auto"/>
        <w:bottom w:val="none" w:sz="0" w:space="0" w:color="auto"/>
        <w:right w:val="none" w:sz="0" w:space="0" w:color="auto"/>
      </w:divBdr>
    </w:div>
    <w:div w:id="630867090">
      <w:bodyDiv w:val="1"/>
      <w:marLeft w:val="0"/>
      <w:marRight w:val="0"/>
      <w:marTop w:val="0"/>
      <w:marBottom w:val="0"/>
      <w:divBdr>
        <w:top w:val="none" w:sz="0" w:space="0" w:color="auto"/>
        <w:left w:val="none" w:sz="0" w:space="0" w:color="auto"/>
        <w:bottom w:val="none" w:sz="0" w:space="0" w:color="auto"/>
        <w:right w:val="none" w:sz="0" w:space="0" w:color="auto"/>
      </w:divBdr>
      <w:divsChild>
        <w:div w:id="644088386">
          <w:marLeft w:val="0"/>
          <w:marRight w:val="0"/>
          <w:marTop w:val="300"/>
          <w:marBottom w:val="0"/>
          <w:divBdr>
            <w:top w:val="none" w:sz="0" w:space="0" w:color="auto"/>
            <w:left w:val="none" w:sz="0" w:space="0" w:color="auto"/>
            <w:bottom w:val="none" w:sz="0" w:space="0" w:color="auto"/>
            <w:right w:val="none" w:sz="0" w:space="0" w:color="auto"/>
          </w:divBdr>
        </w:div>
        <w:div w:id="1250314636">
          <w:marLeft w:val="0"/>
          <w:marRight w:val="0"/>
          <w:marTop w:val="300"/>
          <w:marBottom w:val="0"/>
          <w:divBdr>
            <w:top w:val="none" w:sz="0" w:space="0" w:color="auto"/>
            <w:left w:val="none" w:sz="0" w:space="0" w:color="auto"/>
            <w:bottom w:val="none" w:sz="0" w:space="0" w:color="auto"/>
            <w:right w:val="none" w:sz="0" w:space="0" w:color="auto"/>
          </w:divBdr>
        </w:div>
      </w:divsChild>
    </w:div>
    <w:div w:id="651642229">
      <w:bodyDiv w:val="1"/>
      <w:marLeft w:val="0"/>
      <w:marRight w:val="0"/>
      <w:marTop w:val="0"/>
      <w:marBottom w:val="0"/>
      <w:divBdr>
        <w:top w:val="none" w:sz="0" w:space="0" w:color="auto"/>
        <w:left w:val="none" w:sz="0" w:space="0" w:color="auto"/>
        <w:bottom w:val="none" w:sz="0" w:space="0" w:color="auto"/>
        <w:right w:val="none" w:sz="0" w:space="0" w:color="auto"/>
      </w:divBdr>
      <w:divsChild>
        <w:div w:id="153497898">
          <w:marLeft w:val="274"/>
          <w:marRight w:val="0"/>
          <w:marTop w:val="60"/>
          <w:marBottom w:val="0"/>
          <w:divBdr>
            <w:top w:val="none" w:sz="0" w:space="0" w:color="auto"/>
            <w:left w:val="none" w:sz="0" w:space="0" w:color="auto"/>
            <w:bottom w:val="none" w:sz="0" w:space="0" w:color="auto"/>
            <w:right w:val="none" w:sz="0" w:space="0" w:color="auto"/>
          </w:divBdr>
        </w:div>
        <w:div w:id="190190206">
          <w:marLeft w:val="274"/>
          <w:marRight w:val="0"/>
          <w:marTop w:val="60"/>
          <w:marBottom w:val="0"/>
          <w:divBdr>
            <w:top w:val="none" w:sz="0" w:space="0" w:color="auto"/>
            <w:left w:val="none" w:sz="0" w:space="0" w:color="auto"/>
            <w:bottom w:val="none" w:sz="0" w:space="0" w:color="auto"/>
            <w:right w:val="none" w:sz="0" w:space="0" w:color="auto"/>
          </w:divBdr>
        </w:div>
        <w:div w:id="368191506">
          <w:marLeft w:val="274"/>
          <w:marRight w:val="0"/>
          <w:marTop w:val="0"/>
          <w:marBottom w:val="0"/>
          <w:divBdr>
            <w:top w:val="none" w:sz="0" w:space="0" w:color="auto"/>
            <w:left w:val="none" w:sz="0" w:space="0" w:color="auto"/>
            <w:bottom w:val="none" w:sz="0" w:space="0" w:color="auto"/>
            <w:right w:val="none" w:sz="0" w:space="0" w:color="auto"/>
          </w:divBdr>
        </w:div>
        <w:div w:id="540632622">
          <w:marLeft w:val="274"/>
          <w:marRight w:val="0"/>
          <w:marTop w:val="0"/>
          <w:marBottom w:val="0"/>
          <w:divBdr>
            <w:top w:val="none" w:sz="0" w:space="0" w:color="auto"/>
            <w:left w:val="none" w:sz="0" w:space="0" w:color="auto"/>
            <w:bottom w:val="none" w:sz="0" w:space="0" w:color="auto"/>
            <w:right w:val="none" w:sz="0" w:space="0" w:color="auto"/>
          </w:divBdr>
        </w:div>
        <w:div w:id="1393970423">
          <w:marLeft w:val="274"/>
          <w:marRight w:val="0"/>
          <w:marTop w:val="0"/>
          <w:marBottom w:val="0"/>
          <w:divBdr>
            <w:top w:val="none" w:sz="0" w:space="0" w:color="auto"/>
            <w:left w:val="none" w:sz="0" w:space="0" w:color="auto"/>
            <w:bottom w:val="none" w:sz="0" w:space="0" w:color="auto"/>
            <w:right w:val="none" w:sz="0" w:space="0" w:color="auto"/>
          </w:divBdr>
        </w:div>
        <w:div w:id="1704134373">
          <w:marLeft w:val="274"/>
          <w:marRight w:val="0"/>
          <w:marTop w:val="60"/>
          <w:marBottom w:val="0"/>
          <w:divBdr>
            <w:top w:val="none" w:sz="0" w:space="0" w:color="auto"/>
            <w:left w:val="none" w:sz="0" w:space="0" w:color="auto"/>
            <w:bottom w:val="none" w:sz="0" w:space="0" w:color="auto"/>
            <w:right w:val="none" w:sz="0" w:space="0" w:color="auto"/>
          </w:divBdr>
        </w:div>
        <w:div w:id="1723167321">
          <w:marLeft w:val="274"/>
          <w:marRight w:val="0"/>
          <w:marTop w:val="60"/>
          <w:marBottom w:val="0"/>
          <w:divBdr>
            <w:top w:val="none" w:sz="0" w:space="0" w:color="auto"/>
            <w:left w:val="none" w:sz="0" w:space="0" w:color="auto"/>
            <w:bottom w:val="none" w:sz="0" w:space="0" w:color="auto"/>
            <w:right w:val="none" w:sz="0" w:space="0" w:color="auto"/>
          </w:divBdr>
        </w:div>
      </w:divsChild>
    </w:div>
    <w:div w:id="654724588">
      <w:bodyDiv w:val="1"/>
      <w:marLeft w:val="0"/>
      <w:marRight w:val="0"/>
      <w:marTop w:val="0"/>
      <w:marBottom w:val="0"/>
      <w:divBdr>
        <w:top w:val="none" w:sz="0" w:space="0" w:color="auto"/>
        <w:left w:val="none" w:sz="0" w:space="0" w:color="auto"/>
        <w:bottom w:val="none" w:sz="0" w:space="0" w:color="auto"/>
        <w:right w:val="none" w:sz="0" w:space="0" w:color="auto"/>
      </w:divBdr>
      <w:divsChild>
        <w:div w:id="407271804">
          <w:marLeft w:val="0"/>
          <w:marRight w:val="0"/>
          <w:marTop w:val="0"/>
          <w:marBottom w:val="0"/>
          <w:divBdr>
            <w:top w:val="none" w:sz="0" w:space="0" w:color="auto"/>
            <w:left w:val="none" w:sz="0" w:space="0" w:color="auto"/>
            <w:bottom w:val="none" w:sz="0" w:space="0" w:color="auto"/>
            <w:right w:val="none" w:sz="0" w:space="0" w:color="auto"/>
          </w:divBdr>
        </w:div>
      </w:divsChild>
    </w:div>
    <w:div w:id="660079135">
      <w:bodyDiv w:val="1"/>
      <w:marLeft w:val="0"/>
      <w:marRight w:val="0"/>
      <w:marTop w:val="0"/>
      <w:marBottom w:val="0"/>
      <w:divBdr>
        <w:top w:val="none" w:sz="0" w:space="0" w:color="auto"/>
        <w:left w:val="none" w:sz="0" w:space="0" w:color="auto"/>
        <w:bottom w:val="none" w:sz="0" w:space="0" w:color="auto"/>
        <w:right w:val="none" w:sz="0" w:space="0" w:color="auto"/>
      </w:divBdr>
      <w:divsChild>
        <w:div w:id="81723801">
          <w:marLeft w:val="0"/>
          <w:marRight w:val="0"/>
          <w:marTop w:val="0"/>
          <w:marBottom w:val="0"/>
          <w:divBdr>
            <w:top w:val="none" w:sz="0" w:space="0" w:color="auto"/>
            <w:left w:val="none" w:sz="0" w:space="0" w:color="auto"/>
            <w:bottom w:val="none" w:sz="0" w:space="0" w:color="auto"/>
            <w:right w:val="none" w:sz="0" w:space="0" w:color="auto"/>
          </w:divBdr>
        </w:div>
        <w:div w:id="1228223846">
          <w:marLeft w:val="0"/>
          <w:marRight w:val="0"/>
          <w:marTop w:val="0"/>
          <w:marBottom w:val="0"/>
          <w:divBdr>
            <w:top w:val="none" w:sz="0" w:space="0" w:color="auto"/>
            <w:left w:val="none" w:sz="0" w:space="0" w:color="auto"/>
            <w:bottom w:val="none" w:sz="0" w:space="0" w:color="auto"/>
            <w:right w:val="none" w:sz="0" w:space="0" w:color="auto"/>
          </w:divBdr>
          <w:divsChild>
            <w:div w:id="1634870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60542390">
      <w:bodyDiv w:val="1"/>
      <w:marLeft w:val="0"/>
      <w:marRight w:val="0"/>
      <w:marTop w:val="0"/>
      <w:marBottom w:val="0"/>
      <w:divBdr>
        <w:top w:val="none" w:sz="0" w:space="0" w:color="auto"/>
        <w:left w:val="none" w:sz="0" w:space="0" w:color="auto"/>
        <w:bottom w:val="none" w:sz="0" w:space="0" w:color="auto"/>
        <w:right w:val="none" w:sz="0" w:space="0" w:color="auto"/>
      </w:divBdr>
    </w:div>
    <w:div w:id="666980438">
      <w:bodyDiv w:val="1"/>
      <w:marLeft w:val="0"/>
      <w:marRight w:val="0"/>
      <w:marTop w:val="0"/>
      <w:marBottom w:val="0"/>
      <w:divBdr>
        <w:top w:val="none" w:sz="0" w:space="0" w:color="auto"/>
        <w:left w:val="none" w:sz="0" w:space="0" w:color="auto"/>
        <w:bottom w:val="none" w:sz="0" w:space="0" w:color="auto"/>
        <w:right w:val="none" w:sz="0" w:space="0" w:color="auto"/>
      </w:divBdr>
      <w:divsChild>
        <w:div w:id="1052579235">
          <w:marLeft w:val="1166"/>
          <w:marRight w:val="0"/>
          <w:marTop w:val="60"/>
          <w:marBottom w:val="0"/>
          <w:divBdr>
            <w:top w:val="none" w:sz="0" w:space="0" w:color="auto"/>
            <w:left w:val="none" w:sz="0" w:space="0" w:color="auto"/>
            <w:bottom w:val="none" w:sz="0" w:space="0" w:color="auto"/>
            <w:right w:val="none" w:sz="0" w:space="0" w:color="auto"/>
          </w:divBdr>
        </w:div>
      </w:divsChild>
    </w:div>
    <w:div w:id="668486262">
      <w:bodyDiv w:val="1"/>
      <w:marLeft w:val="0"/>
      <w:marRight w:val="0"/>
      <w:marTop w:val="0"/>
      <w:marBottom w:val="0"/>
      <w:divBdr>
        <w:top w:val="none" w:sz="0" w:space="0" w:color="auto"/>
        <w:left w:val="none" w:sz="0" w:space="0" w:color="auto"/>
        <w:bottom w:val="none" w:sz="0" w:space="0" w:color="auto"/>
        <w:right w:val="none" w:sz="0" w:space="0" w:color="auto"/>
      </w:divBdr>
    </w:div>
    <w:div w:id="676617585">
      <w:bodyDiv w:val="1"/>
      <w:marLeft w:val="0"/>
      <w:marRight w:val="0"/>
      <w:marTop w:val="0"/>
      <w:marBottom w:val="0"/>
      <w:divBdr>
        <w:top w:val="none" w:sz="0" w:space="0" w:color="auto"/>
        <w:left w:val="none" w:sz="0" w:space="0" w:color="auto"/>
        <w:bottom w:val="none" w:sz="0" w:space="0" w:color="auto"/>
        <w:right w:val="none" w:sz="0" w:space="0" w:color="auto"/>
      </w:divBdr>
    </w:div>
    <w:div w:id="676812679">
      <w:bodyDiv w:val="1"/>
      <w:marLeft w:val="0"/>
      <w:marRight w:val="0"/>
      <w:marTop w:val="0"/>
      <w:marBottom w:val="0"/>
      <w:divBdr>
        <w:top w:val="none" w:sz="0" w:space="0" w:color="auto"/>
        <w:left w:val="none" w:sz="0" w:space="0" w:color="auto"/>
        <w:bottom w:val="none" w:sz="0" w:space="0" w:color="auto"/>
        <w:right w:val="none" w:sz="0" w:space="0" w:color="auto"/>
      </w:divBdr>
    </w:div>
    <w:div w:id="707684875">
      <w:bodyDiv w:val="1"/>
      <w:marLeft w:val="0"/>
      <w:marRight w:val="0"/>
      <w:marTop w:val="0"/>
      <w:marBottom w:val="0"/>
      <w:divBdr>
        <w:top w:val="none" w:sz="0" w:space="0" w:color="auto"/>
        <w:left w:val="none" w:sz="0" w:space="0" w:color="auto"/>
        <w:bottom w:val="none" w:sz="0" w:space="0" w:color="auto"/>
        <w:right w:val="none" w:sz="0" w:space="0" w:color="auto"/>
      </w:divBdr>
    </w:div>
    <w:div w:id="713307068">
      <w:bodyDiv w:val="1"/>
      <w:marLeft w:val="0"/>
      <w:marRight w:val="0"/>
      <w:marTop w:val="0"/>
      <w:marBottom w:val="0"/>
      <w:divBdr>
        <w:top w:val="none" w:sz="0" w:space="0" w:color="auto"/>
        <w:left w:val="none" w:sz="0" w:space="0" w:color="auto"/>
        <w:bottom w:val="none" w:sz="0" w:space="0" w:color="auto"/>
        <w:right w:val="none" w:sz="0" w:space="0" w:color="auto"/>
      </w:divBdr>
      <w:divsChild>
        <w:div w:id="68813670">
          <w:marLeft w:val="720"/>
          <w:marRight w:val="0"/>
          <w:marTop w:val="60"/>
          <w:marBottom w:val="0"/>
          <w:divBdr>
            <w:top w:val="none" w:sz="0" w:space="0" w:color="auto"/>
            <w:left w:val="none" w:sz="0" w:space="0" w:color="auto"/>
            <w:bottom w:val="none" w:sz="0" w:space="0" w:color="auto"/>
            <w:right w:val="none" w:sz="0" w:space="0" w:color="auto"/>
          </w:divBdr>
        </w:div>
        <w:div w:id="509565531">
          <w:marLeft w:val="720"/>
          <w:marRight w:val="0"/>
          <w:marTop w:val="60"/>
          <w:marBottom w:val="0"/>
          <w:divBdr>
            <w:top w:val="none" w:sz="0" w:space="0" w:color="auto"/>
            <w:left w:val="none" w:sz="0" w:space="0" w:color="auto"/>
            <w:bottom w:val="none" w:sz="0" w:space="0" w:color="auto"/>
            <w:right w:val="none" w:sz="0" w:space="0" w:color="auto"/>
          </w:divBdr>
        </w:div>
        <w:div w:id="1344481053">
          <w:marLeft w:val="720"/>
          <w:marRight w:val="0"/>
          <w:marTop w:val="60"/>
          <w:marBottom w:val="0"/>
          <w:divBdr>
            <w:top w:val="none" w:sz="0" w:space="0" w:color="auto"/>
            <w:left w:val="none" w:sz="0" w:space="0" w:color="auto"/>
            <w:bottom w:val="none" w:sz="0" w:space="0" w:color="auto"/>
            <w:right w:val="none" w:sz="0" w:space="0" w:color="auto"/>
          </w:divBdr>
        </w:div>
        <w:div w:id="1613324893">
          <w:marLeft w:val="720"/>
          <w:marRight w:val="0"/>
          <w:marTop w:val="60"/>
          <w:marBottom w:val="0"/>
          <w:divBdr>
            <w:top w:val="none" w:sz="0" w:space="0" w:color="auto"/>
            <w:left w:val="none" w:sz="0" w:space="0" w:color="auto"/>
            <w:bottom w:val="none" w:sz="0" w:space="0" w:color="auto"/>
            <w:right w:val="none" w:sz="0" w:space="0" w:color="auto"/>
          </w:divBdr>
        </w:div>
      </w:divsChild>
    </w:div>
    <w:div w:id="713962877">
      <w:bodyDiv w:val="1"/>
      <w:marLeft w:val="0"/>
      <w:marRight w:val="0"/>
      <w:marTop w:val="0"/>
      <w:marBottom w:val="0"/>
      <w:divBdr>
        <w:top w:val="none" w:sz="0" w:space="0" w:color="auto"/>
        <w:left w:val="none" w:sz="0" w:space="0" w:color="auto"/>
        <w:bottom w:val="none" w:sz="0" w:space="0" w:color="auto"/>
        <w:right w:val="none" w:sz="0" w:space="0" w:color="auto"/>
      </w:divBdr>
      <w:divsChild>
        <w:div w:id="1418985838">
          <w:marLeft w:val="0"/>
          <w:marRight w:val="0"/>
          <w:marTop w:val="300"/>
          <w:marBottom w:val="0"/>
          <w:divBdr>
            <w:top w:val="none" w:sz="0" w:space="0" w:color="auto"/>
            <w:left w:val="none" w:sz="0" w:space="0" w:color="auto"/>
            <w:bottom w:val="none" w:sz="0" w:space="0" w:color="auto"/>
            <w:right w:val="none" w:sz="0" w:space="0" w:color="auto"/>
          </w:divBdr>
        </w:div>
        <w:div w:id="1761637832">
          <w:marLeft w:val="720"/>
          <w:marRight w:val="0"/>
          <w:marTop w:val="60"/>
          <w:marBottom w:val="0"/>
          <w:divBdr>
            <w:top w:val="none" w:sz="0" w:space="0" w:color="auto"/>
            <w:left w:val="none" w:sz="0" w:space="0" w:color="auto"/>
            <w:bottom w:val="none" w:sz="0" w:space="0" w:color="auto"/>
            <w:right w:val="none" w:sz="0" w:space="0" w:color="auto"/>
          </w:divBdr>
        </w:div>
        <w:div w:id="1829517895">
          <w:marLeft w:val="720"/>
          <w:marRight w:val="0"/>
          <w:marTop w:val="60"/>
          <w:marBottom w:val="0"/>
          <w:divBdr>
            <w:top w:val="none" w:sz="0" w:space="0" w:color="auto"/>
            <w:left w:val="none" w:sz="0" w:space="0" w:color="auto"/>
            <w:bottom w:val="none" w:sz="0" w:space="0" w:color="auto"/>
            <w:right w:val="none" w:sz="0" w:space="0" w:color="auto"/>
          </w:divBdr>
        </w:div>
      </w:divsChild>
    </w:div>
    <w:div w:id="728304628">
      <w:bodyDiv w:val="1"/>
      <w:marLeft w:val="0"/>
      <w:marRight w:val="0"/>
      <w:marTop w:val="0"/>
      <w:marBottom w:val="0"/>
      <w:divBdr>
        <w:top w:val="none" w:sz="0" w:space="0" w:color="auto"/>
        <w:left w:val="none" w:sz="0" w:space="0" w:color="auto"/>
        <w:bottom w:val="none" w:sz="0" w:space="0" w:color="auto"/>
        <w:right w:val="none" w:sz="0" w:space="0" w:color="auto"/>
      </w:divBdr>
      <w:divsChild>
        <w:div w:id="601377798">
          <w:marLeft w:val="0"/>
          <w:marRight w:val="0"/>
          <w:marTop w:val="0"/>
          <w:marBottom w:val="0"/>
          <w:divBdr>
            <w:top w:val="none" w:sz="0" w:space="0" w:color="auto"/>
            <w:left w:val="none" w:sz="0" w:space="0" w:color="auto"/>
            <w:bottom w:val="none" w:sz="0" w:space="0" w:color="auto"/>
            <w:right w:val="none" w:sz="0" w:space="0" w:color="auto"/>
          </w:divBdr>
        </w:div>
        <w:div w:id="1579362935">
          <w:marLeft w:val="0"/>
          <w:marRight w:val="0"/>
          <w:marTop w:val="0"/>
          <w:marBottom w:val="0"/>
          <w:divBdr>
            <w:top w:val="none" w:sz="0" w:space="0" w:color="auto"/>
            <w:left w:val="none" w:sz="0" w:space="0" w:color="auto"/>
            <w:bottom w:val="none" w:sz="0" w:space="0" w:color="auto"/>
            <w:right w:val="none" w:sz="0" w:space="0" w:color="auto"/>
          </w:divBdr>
          <w:divsChild>
            <w:div w:id="501237070">
              <w:marLeft w:val="0"/>
              <w:marRight w:val="0"/>
              <w:marTop w:val="0"/>
              <w:marBottom w:val="0"/>
              <w:divBdr>
                <w:top w:val="none" w:sz="0" w:space="0" w:color="auto"/>
                <w:left w:val="none" w:sz="0" w:space="0" w:color="auto"/>
                <w:bottom w:val="none" w:sz="0" w:space="0" w:color="auto"/>
                <w:right w:val="none" w:sz="0" w:space="0" w:color="auto"/>
              </w:divBdr>
            </w:div>
            <w:div w:id="504789939">
              <w:marLeft w:val="0"/>
              <w:marRight w:val="0"/>
              <w:marTop w:val="0"/>
              <w:marBottom w:val="0"/>
              <w:divBdr>
                <w:top w:val="none" w:sz="0" w:space="0" w:color="auto"/>
                <w:left w:val="none" w:sz="0" w:space="0" w:color="auto"/>
                <w:bottom w:val="none" w:sz="0" w:space="0" w:color="auto"/>
                <w:right w:val="none" w:sz="0" w:space="0" w:color="auto"/>
              </w:divBdr>
            </w:div>
          </w:divsChild>
        </w:div>
        <w:div w:id="2057001661">
          <w:marLeft w:val="0"/>
          <w:marRight w:val="0"/>
          <w:marTop w:val="0"/>
          <w:marBottom w:val="0"/>
          <w:divBdr>
            <w:top w:val="none" w:sz="0" w:space="0" w:color="auto"/>
            <w:left w:val="none" w:sz="0" w:space="0" w:color="auto"/>
            <w:bottom w:val="none" w:sz="0" w:space="0" w:color="auto"/>
            <w:right w:val="none" w:sz="0" w:space="0" w:color="auto"/>
          </w:divBdr>
        </w:div>
      </w:divsChild>
    </w:div>
    <w:div w:id="735322756">
      <w:bodyDiv w:val="1"/>
      <w:marLeft w:val="0"/>
      <w:marRight w:val="0"/>
      <w:marTop w:val="0"/>
      <w:marBottom w:val="0"/>
      <w:divBdr>
        <w:top w:val="none" w:sz="0" w:space="0" w:color="auto"/>
        <w:left w:val="none" w:sz="0" w:space="0" w:color="auto"/>
        <w:bottom w:val="none" w:sz="0" w:space="0" w:color="auto"/>
        <w:right w:val="none" w:sz="0" w:space="0" w:color="auto"/>
      </w:divBdr>
    </w:div>
    <w:div w:id="749890809">
      <w:bodyDiv w:val="1"/>
      <w:marLeft w:val="0"/>
      <w:marRight w:val="0"/>
      <w:marTop w:val="0"/>
      <w:marBottom w:val="0"/>
      <w:divBdr>
        <w:top w:val="none" w:sz="0" w:space="0" w:color="auto"/>
        <w:left w:val="none" w:sz="0" w:space="0" w:color="auto"/>
        <w:bottom w:val="none" w:sz="0" w:space="0" w:color="auto"/>
        <w:right w:val="none" w:sz="0" w:space="0" w:color="auto"/>
      </w:divBdr>
    </w:div>
    <w:div w:id="752555925">
      <w:bodyDiv w:val="1"/>
      <w:marLeft w:val="0"/>
      <w:marRight w:val="0"/>
      <w:marTop w:val="0"/>
      <w:marBottom w:val="0"/>
      <w:divBdr>
        <w:top w:val="none" w:sz="0" w:space="0" w:color="auto"/>
        <w:left w:val="none" w:sz="0" w:space="0" w:color="auto"/>
        <w:bottom w:val="none" w:sz="0" w:space="0" w:color="auto"/>
        <w:right w:val="none" w:sz="0" w:space="0" w:color="auto"/>
      </w:divBdr>
    </w:div>
    <w:div w:id="761682611">
      <w:bodyDiv w:val="1"/>
      <w:marLeft w:val="0"/>
      <w:marRight w:val="0"/>
      <w:marTop w:val="0"/>
      <w:marBottom w:val="0"/>
      <w:divBdr>
        <w:top w:val="none" w:sz="0" w:space="0" w:color="auto"/>
        <w:left w:val="none" w:sz="0" w:space="0" w:color="auto"/>
        <w:bottom w:val="none" w:sz="0" w:space="0" w:color="auto"/>
        <w:right w:val="none" w:sz="0" w:space="0" w:color="auto"/>
      </w:divBdr>
    </w:div>
    <w:div w:id="762383552">
      <w:bodyDiv w:val="1"/>
      <w:marLeft w:val="0"/>
      <w:marRight w:val="0"/>
      <w:marTop w:val="0"/>
      <w:marBottom w:val="0"/>
      <w:divBdr>
        <w:top w:val="none" w:sz="0" w:space="0" w:color="auto"/>
        <w:left w:val="none" w:sz="0" w:space="0" w:color="auto"/>
        <w:bottom w:val="none" w:sz="0" w:space="0" w:color="auto"/>
        <w:right w:val="none" w:sz="0" w:space="0" w:color="auto"/>
      </w:divBdr>
    </w:div>
    <w:div w:id="785150436">
      <w:bodyDiv w:val="1"/>
      <w:marLeft w:val="0"/>
      <w:marRight w:val="0"/>
      <w:marTop w:val="0"/>
      <w:marBottom w:val="0"/>
      <w:divBdr>
        <w:top w:val="none" w:sz="0" w:space="0" w:color="auto"/>
        <w:left w:val="none" w:sz="0" w:space="0" w:color="auto"/>
        <w:bottom w:val="none" w:sz="0" w:space="0" w:color="auto"/>
        <w:right w:val="none" w:sz="0" w:space="0" w:color="auto"/>
      </w:divBdr>
      <w:divsChild>
        <w:div w:id="321008468">
          <w:marLeft w:val="720"/>
          <w:marRight w:val="0"/>
          <w:marTop w:val="60"/>
          <w:marBottom w:val="0"/>
          <w:divBdr>
            <w:top w:val="none" w:sz="0" w:space="0" w:color="auto"/>
            <w:left w:val="none" w:sz="0" w:space="0" w:color="auto"/>
            <w:bottom w:val="none" w:sz="0" w:space="0" w:color="auto"/>
            <w:right w:val="none" w:sz="0" w:space="0" w:color="auto"/>
          </w:divBdr>
        </w:div>
        <w:div w:id="2033679593">
          <w:marLeft w:val="720"/>
          <w:marRight w:val="0"/>
          <w:marTop w:val="60"/>
          <w:marBottom w:val="0"/>
          <w:divBdr>
            <w:top w:val="none" w:sz="0" w:space="0" w:color="auto"/>
            <w:left w:val="none" w:sz="0" w:space="0" w:color="auto"/>
            <w:bottom w:val="none" w:sz="0" w:space="0" w:color="auto"/>
            <w:right w:val="none" w:sz="0" w:space="0" w:color="auto"/>
          </w:divBdr>
        </w:div>
      </w:divsChild>
    </w:div>
    <w:div w:id="785780976">
      <w:bodyDiv w:val="1"/>
      <w:marLeft w:val="0"/>
      <w:marRight w:val="0"/>
      <w:marTop w:val="0"/>
      <w:marBottom w:val="0"/>
      <w:divBdr>
        <w:top w:val="none" w:sz="0" w:space="0" w:color="auto"/>
        <w:left w:val="none" w:sz="0" w:space="0" w:color="auto"/>
        <w:bottom w:val="none" w:sz="0" w:space="0" w:color="auto"/>
        <w:right w:val="none" w:sz="0" w:space="0" w:color="auto"/>
      </w:divBdr>
      <w:divsChild>
        <w:div w:id="1415928636">
          <w:marLeft w:val="0"/>
          <w:marRight w:val="0"/>
          <w:marTop w:val="300"/>
          <w:marBottom w:val="0"/>
          <w:divBdr>
            <w:top w:val="none" w:sz="0" w:space="0" w:color="auto"/>
            <w:left w:val="none" w:sz="0" w:space="0" w:color="auto"/>
            <w:bottom w:val="none" w:sz="0" w:space="0" w:color="auto"/>
            <w:right w:val="none" w:sz="0" w:space="0" w:color="auto"/>
          </w:divBdr>
        </w:div>
      </w:divsChild>
    </w:div>
    <w:div w:id="797912313">
      <w:bodyDiv w:val="1"/>
      <w:marLeft w:val="0"/>
      <w:marRight w:val="0"/>
      <w:marTop w:val="0"/>
      <w:marBottom w:val="0"/>
      <w:divBdr>
        <w:top w:val="none" w:sz="0" w:space="0" w:color="auto"/>
        <w:left w:val="none" w:sz="0" w:space="0" w:color="auto"/>
        <w:bottom w:val="none" w:sz="0" w:space="0" w:color="auto"/>
        <w:right w:val="none" w:sz="0" w:space="0" w:color="auto"/>
      </w:divBdr>
    </w:div>
    <w:div w:id="805664385">
      <w:bodyDiv w:val="1"/>
      <w:marLeft w:val="0"/>
      <w:marRight w:val="0"/>
      <w:marTop w:val="0"/>
      <w:marBottom w:val="0"/>
      <w:divBdr>
        <w:top w:val="none" w:sz="0" w:space="0" w:color="auto"/>
        <w:left w:val="none" w:sz="0" w:space="0" w:color="auto"/>
        <w:bottom w:val="none" w:sz="0" w:space="0" w:color="auto"/>
        <w:right w:val="none" w:sz="0" w:space="0" w:color="auto"/>
      </w:divBdr>
    </w:div>
    <w:div w:id="811023780">
      <w:bodyDiv w:val="1"/>
      <w:marLeft w:val="0"/>
      <w:marRight w:val="0"/>
      <w:marTop w:val="0"/>
      <w:marBottom w:val="0"/>
      <w:divBdr>
        <w:top w:val="none" w:sz="0" w:space="0" w:color="auto"/>
        <w:left w:val="none" w:sz="0" w:space="0" w:color="auto"/>
        <w:bottom w:val="none" w:sz="0" w:space="0" w:color="auto"/>
        <w:right w:val="none" w:sz="0" w:space="0" w:color="auto"/>
      </w:divBdr>
    </w:div>
    <w:div w:id="818881670">
      <w:bodyDiv w:val="1"/>
      <w:marLeft w:val="0"/>
      <w:marRight w:val="0"/>
      <w:marTop w:val="0"/>
      <w:marBottom w:val="0"/>
      <w:divBdr>
        <w:top w:val="none" w:sz="0" w:space="0" w:color="auto"/>
        <w:left w:val="none" w:sz="0" w:space="0" w:color="auto"/>
        <w:bottom w:val="none" w:sz="0" w:space="0" w:color="auto"/>
        <w:right w:val="none" w:sz="0" w:space="0" w:color="auto"/>
      </w:divBdr>
    </w:div>
    <w:div w:id="825821741">
      <w:bodyDiv w:val="1"/>
      <w:marLeft w:val="0"/>
      <w:marRight w:val="0"/>
      <w:marTop w:val="0"/>
      <w:marBottom w:val="0"/>
      <w:divBdr>
        <w:top w:val="none" w:sz="0" w:space="0" w:color="auto"/>
        <w:left w:val="none" w:sz="0" w:space="0" w:color="auto"/>
        <w:bottom w:val="none" w:sz="0" w:space="0" w:color="auto"/>
        <w:right w:val="none" w:sz="0" w:space="0" w:color="auto"/>
      </w:divBdr>
      <w:divsChild>
        <w:div w:id="672953677">
          <w:marLeft w:val="720"/>
          <w:marRight w:val="0"/>
          <w:marTop w:val="60"/>
          <w:marBottom w:val="0"/>
          <w:divBdr>
            <w:top w:val="none" w:sz="0" w:space="0" w:color="auto"/>
            <w:left w:val="none" w:sz="0" w:space="0" w:color="auto"/>
            <w:bottom w:val="none" w:sz="0" w:space="0" w:color="auto"/>
            <w:right w:val="none" w:sz="0" w:space="0" w:color="auto"/>
          </w:divBdr>
        </w:div>
      </w:divsChild>
    </w:div>
    <w:div w:id="826898876">
      <w:bodyDiv w:val="1"/>
      <w:marLeft w:val="0"/>
      <w:marRight w:val="0"/>
      <w:marTop w:val="0"/>
      <w:marBottom w:val="0"/>
      <w:divBdr>
        <w:top w:val="none" w:sz="0" w:space="0" w:color="auto"/>
        <w:left w:val="none" w:sz="0" w:space="0" w:color="auto"/>
        <w:bottom w:val="none" w:sz="0" w:space="0" w:color="auto"/>
        <w:right w:val="none" w:sz="0" w:space="0" w:color="auto"/>
      </w:divBdr>
    </w:div>
    <w:div w:id="838933202">
      <w:bodyDiv w:val="1"/>
      <w:marLeft w:val="0"/>
      <w:marRight w:val="0"/>
      <w:marTop w:val="0"/>
      <w:marBottom w:val="0"/>
      <w:divBdr>
        <w:top w:val="none" w:sz="0" w:space="0" w:color="auto"/>
        <w:left w:val="none" w:sz="0" w:space="0" w:color="auto"/>
        <w:bottom w:val="none" w:sz="0" w:space="0" w:color="auto"/>
        <w:right w:val="none" w:sz="0" w:space="0" w:color="auto"/>
      </w:divBdr>
    </w:div>
    <w:div w:id="843520009">
      <w:bodyDiv w:val="1"/>
      <w:marLeft w:val="0"/>
      <w:marRight w:val="0"/>
      <w:marTop w:val="0"/>
      <w:marBottom w:val="0"/>
      <w:divBdr>
        <w:top w:val="none" w:sz="0" w:space="0" w:color="auto"/>
        <w:left w:val="none" w:sz="0" w:space="0" w:color="auto"/>
        <w:bottom w:val="none" w:sz="0" w:space="0" w:color="auto"/>
        <w:right w:val="none" w:sz="0" w:space="0" w:color="auto"/>
      </w:divBdr>
    </w:div>
    <w:div w:id="847792607">
      <w:bodyDiv w:val="1"/>
      <w:marLeft w:val="0"/>
      <w:marRight w:val="0"/>
      <w:marTop w:val="0"/>
      <w:marBottom w:val="0"/>
      <w:divBdr>
        <w:top w:val="none" w:sz="0" w:space="0" w:color="auto"/>
        <w:left w:val="none" w:sz="0" w:space="0" w:color="auto"/>
        <w:bottom w:val="none" w:sz="0" w:space="0" w:color="auto"/>
        <w:right w:val="none" w:sz="0" w:space="0" w:color="auto"/>
      </w:divBdr>
    </w:div>
    <w:div w:id="851803387">
      <w:bodyDiv w:val="1"/>
      <w:marLeft w:val="0"/>
      <w:marRight w:val="0"/>
      <w:marTop w:val="0"/>
      <w:marBottom w:val="0"/>
      <w:divBdr>
        <w:top w:val="none" w:sz="0" w:space="0" w:color="auto"/>
        <w:left w:val="none" w:sz="0" w:space="0" w:color="auto"/>
        <w:bottom w:val="none" w:sz="0" w:space="0" w:color="auto"/>
        <w:right w:val="none" w:sz="0" w:space="0" w:color="auto"/>
      </w:divBdr>
      <w:divsChild>
        <w:div w:id="102312417">
          <w:marLeft w:val="274"/>
          <w:marRight w:val="0"/>
          <w:marTop w:val="0"/>
          <w:marBottom w:val="0"/>
          <w:divBdr>
            <w:top w:val="none" w:sz="0" w:space="0" w:color="auto"/>
            <w:left w:val="none" w:sz="0" w:space="0" w:color="auto"/>
            <w:bottom w:val="none" w:sz="0" w:space="0" w:color="auto"/>
            <w:right w:val="none" w:sz="0" w:space="0" w:color="auto"/>
          </w:divBdr>
        </w:div>
        <w:div w:id="106630505">
          <w:marLeft w:val="274"/>
          <w:marRight w:val="0"/>
          <w:marTop w:val="0"/>
          <w:marBottom w:val="0"/>
          <w:divBdr>
            <w:top w:val="none" w:sz="0" w:space="0" w:color="auto"/>
            <w:left w:val="none" w:sz="0" w:space="0" w:color="auto"/>
            <w:bottom w:val="none" w:sz="0" w:space="0" w:color="auto"/>
            <w:right w:val="none" w:sz="0" w:space="0" w:color="auto"/>
          </w:divBdr>
        </w:div>
        <w:div w:id="299117463">
          <w:marLeft w:val="274"/>
          <w:marRight w:val="0"/>
          <w:marTop w:val="0"/>
          <w:marBottom w:val="0"/>
          <w:divBdr>
            <w:top w:val="none" w:sz="0" w:space="0" w:color="auto"/>
            <w:left w:val="none" w:sz="0" w:space="0" w:color="auto"/>
            <w:bottom w:val="none" w:sz="0" w:space="0" w:color="auto"/>
            <w:right w:val="none" w:sz="0" w:space="0" w:color="auto"/>
          </w:divBdr>
        </w:div>
        <w:div w:id="599022993">
          <w:marLeft w:val="994"/>
          <w:marRight w:val="0"/>
          <w:marTop w:val="0"/>
          <w:marBottom w:val="0"/>
          <w:divBdr>
            <w:top w:val="none" w:sz="0" w:space="0" w:color="auto"/>
            <w:left w:val="none" w:sz="0" w:space="0" w:color="auto"/>
            <w:bottom w:val="none" w:sz="0" w:space="0" w:color="auto"/>
            <w:right w:val="none" w:sz="0" w:space="0" w:color="auto"/>
          </w:divBdr>
        </w:div>
        <w:div w:id="735935735">
          <w:marLeft w:val="274"/>
          <w:marRight w:val="0"/>
          <w:marTop w:val="0"/>
          <w:marBottom w:val="0"/>
          <w:divBdr>
            <w:top w:val="none" w:sz="0" w:space="0" w:color="auto"/>
            <w:left w:val="none" w:sz="0" w:space="0" w:color="auto"/>
            <w:bottom w:val="none" w:sz="0" w:space="0" w:color="auto"/>
            <w:right w:val="none" w:sz="0" w:space="0" w:color="auto"/>
          </w:divBdr>
        </w:div>
        <w:div w:id="1318536970">
          <w:marLeft w:val="994"/>
          <w:marRight w:val="0"/>
          <w:marTop w:val="0"/>
          <w:marBottom w:val="0"/>
          <w:divBdr>
            <w:top w:val="none" w:sz="0" w:space="0" w:color="auto"/>
            <w:left w:val="none" w:sz="0" w:space="0" w:color="auto"/>
            <w:bottom w:val="none" w:sz="0" w:space="0" w:color="auto"/>
            <w:right w:val="none" w:sz="0" w:space="0" w:color="auto"/>
          </w:divBdr>
        </w:div>
        <w:div w:id="1365061195">
          <w:marLeft w:val="274"/>
          <w:marRight w:val="0"/>
          <w:marTop w:val="0"/>
          <w:marBottom w:val="0"/>
          <w:divBdr>
            <w:top w:val="none" w:sz="0" w:space="0" w:color="auto"/>
            <w:left w:val="none" w:sz="0" w:space="0" w:color="auto"/>
            <w:bottom w:val="none" w:sz="0" w:space="0" w:color="auto"/>
            <w:right w:val="none" w:sz="0" w:space="0" w:color="auto"/>
          </w:divBdr>
        </w:div>
        <w:div w:id="1648893632">
          <w:marLeft w:val="994"/>
          <w:marRight w:val="0"/>
          <w:marTop w:val="0"/>
          <w:marBottom w:val="0"/>
          <w:divBdr>
            <w:top w:val="none" w:sz="0" w:space="0" w:color="auto"/>
            <w:left w:val="none" w:sz="0" w:space="0" w:color="auto"/>
            <w:bottom w:val="none" w:sz="0" w:space="0" w:color="auto"/>
            <w:right w:val="none" w:sz="0" w:space="0" w:color="auto"/>
          </w:divBdr>
        </w:div>
        <w:div w:id="1801534420">
          <w:marLeft w:val="994"/>
          <w:marRight w:val="0"/>
          <w:marTop w:val="0"/>
          <w:marBottom w:val="0"/>
          <w:divBdr>
            <w:top w:val="none" w:sz="0" w:space="0" w:color="auto"/>
            <w:left w:val="none" w:sz="0" w:space="0" w:color="auto"/>
            <w:bottom w:val="none" w:sz="0" w:space="0" w:color="auto"/>
            <w:right w:val="none" w:sz="0" w:space="0" w:color="auto"/>
          </w:divBdr>
        </w:div>
      </w:divsChild>
    </w:div>
    <w:div w:id="861284486">
      <w:bodyDiv w:val="1"/>
      <w:marLeft w:val="0"/>
      <w:marRight w:val="0"/>
      <w:marTop w:val="0"/>
      <w:marBottom w:val="0"/>
      <w:divBdr>
        <w:top w:val="none" w:sz="0" w:space="0" w:color="auto"/>
        <w:left w:val="none" w:sz="0" w:space="0" w:color="auto"/>
        <w:bottom w:val="none" w:sz="0" w:space="0" w:color="auto"/>
        <w:right w:val="none" w:sz="0" w:space="0" w:color="auto"/>
      </w:divBdr>
    </w:div>
    <w:div w:id="862278730">
      <w:bodyDiv w:val="1"/>
      <w:marLeft w:val="0"/>
      <w:marRight w:val="0"/>
      <w:marTop w:val="0"/>
      <w:marBottom w:val="0"/>
      <w:divBdr>
        <w:top w:val="none" w:sz="0" w:space="0" w:color="auto"/>
        <w:left w:val="none" w:sz="0" w:space="0" w:color="auto"/>
        <w:bottom w:val="none" w:sz="0" w:space="0" w:color="auto"/>
        <w:right w:val="none" w:sz="0" w:space="0" w:color="auto"/>
      </w:divBdr>
    </w:div>
    <w:div w:id="870068233">
      <w:bodyDiv w:val="1"/>
      <w:marLeft w:val="0"/>
      <w:marRight w:val="0"/>
      <w:marTop w:val="0"/>
      <w:marBottom w:val="0"/>
      <w:divBdr>
        <w:top w:val="none" w:sz="0" w:space="0" w:color="auto"/>
        <w:left w:val="none" w:sz="0" w:space="0" w:color="auto"/>
        <w:bottom w:val="none" w:sz="0" w:space="0" w:color="auto"/>
        <w:right w:val="none" w:sz="0" w:space="0" w:color="auto"/>
      </w:divBdr>
    </w:div>
    <w:div w:id="876812854">
      <w:bodyDiv w:val="1"/>
      <w:marLeft w:val="0"/>
      <w:marRight w:val="0"/>
      <w:marTop w:val="0"/>
      <w:marBottom w:val="0"/>
      <w:divBdr>
        <w:top w:val="none" w:sz="0" w:space="0" w:color="auto"/>
        <w:left w:val="none" w:sz="0" w:space="0" w:color="auto"/>
        <w:bottom w:val="none" w:sz="0" w:space="0" w:color="auto"/>
        <w:right w:val="none" w:sz="0" w:space="0" w:color="auto"/>
      </w:divBdr>
    </w:div>
    <w:div w:id="909854480">
      <w:bodyDiv w:val="1"/>
      <w:marLeft w:val="0"/>
      <w:marRight w:val="0"/>
      <w:marTop w:val="0"/>
      <w:marBottom w:val="0"/>
      <w:divBdr>
        <w:top w:val="none" w:sz="0" w:space="0" w:color="auto"/>
        <w:left w:val="none" w:sz="0" w:space="0" w:color="auto"/>
        <w:bottom w:val="none" w:sz="0" w:space="0" w:color="auto"/>
        <w:right w:val="none" w:sz="0" w:space="0" w:color="auto"/>
      </w:divBdr>
    </w:div>
    <w:div w:id="912544714">
      <w:bodyDiv w:val="1"/>
      <w:marLeft w:val="0"/>
      <w:marRight w:val="0"/>
      <w:marTop w:val="0"/>
      <w:marBottom w:val="0"/>
      <w:divBdr>
        <w:top w:val="none" w:sz="0" w:space="0" w:color="auto"/>
        <w:left w:val="none" w:sz="0" w:space="0" w:color="auto"/>
        <w:bottom w:val="none" w:sz="0" w:space="0" w:color="auto"/>
        <w:right w:val="none" w:sz="0" w:space="0" w:color="auto"/>
      </w:divBdr>
    </w:div>
    <w:div w:id="916089041">
      <w:bodyDiv w:val="1"/>
      <w:marLeft w:val="0"/>
      <w:marRight w:val="0"/>
      <w:marTop w:val="0"/>
      <w:marBottom w:val="0"/>
      <w:divBdr>
        <w:top w:val="none" w:sz="0" w:space="0" w:color="auto"/>
        <w:left w:val="none" w:sz="0" w:space="0" w:color="auto"/>
        <w:bottom w:val="none" w:sz="0" w:space="0" w:color="auto"/>
        <w:right w:val="none" w:sz="0" w:space="0" w:color="auto"/>
      </w:divBdr>
      <w:divsChild>
        <w:div w:id="1187334267">
          <w:marLeft w:val="720"/>
          <w:marRight w:val="0"/>
          <w:marTop w:val="60"/>
          <w:marBottom w:val="0"/>
          <w:divBdr>
            <w:top w:val="none" w:sz="0" w:space="0" w:color="auto"/>
            <w:left w:val="none" w:sz="0" w:space="0" w:color="auto"/>
            <w:bottom w:val="none" w:sz="0" w:space="0" w:color="auto"/>
            <w:right w:val="none" w:sz="0" w:space="0" w:color="auto"/>
          </w:divBdr>
        </w:div>
      </w:divsChild>
    </w:div>
    <w:div w:id="930703223">
      <w:bodyDiv w:val="1"/>
      <w:marLeft w:val="0"/>
      <w:marRight w:val="0"/>
      <w:marTop w:val="0"/>
      <w:marBottom w:val="0"/>
      <w:divBdr>
        <w:top w:val="none" w:sz="0" w:space="0" w:color="auto"/>
        <w:left w:val="none" w:sz="0" w:space="0" w:color="auto"/>
        <w:bottom w:val="none" w:sz="0" w:space="0" w:color="auto"/>
        <w:right w:val="none" w:sz="0" w:space="0" w:color="auto"/>
      </w:divBdr>
    </w:div>
    <w:div w:id="932664998">
      <w:bodyDiv w:val="1"/>
      <w:marLeft w:val="0"/>
      <w:marRight w:val="0"/>
      <w:marTop w:val="0"/>
      <w:marBottom w:val="0"/>
      <w:divBdr>
        <w:top w:val="none" w:sz="0" w:space="0" w:color="auto"/>
        <w:left w:val="none" w:sz="0" w:space="0" w:color="auto"/>
        <w:bottom w:val="none" w:sz="0" w:space="0" w:color="auto"/>
        <w:right w:val="none" w:sz="0" w:space="0" w:color="auto"/>
      </w:divBdr>
    </w:div>
    <w:div w:id="936863843">
      <w:bodyDiv w:val="1"/>
      <w:marLeft w:val="0"/>
      <w:marRight w:val="0"/>
      <w:marTop w:val="0"/>
      <w:marBottom w:val="0"/>
      <w:divBdr>
        <w:top w:val="none" w:sz="0" w:space="0" w:color="auto"/>
        <w:left w:val="none" w:sz="0" w:space="0" w:color="auto"/>
        <w:bottom w:val="none" w:sz="0" w:space="0" w:color="auto"/>
        <w:right w:val="none" w:sz="0" w:space="0" w:color="auto"/>
      </w:divBdr>
    </w:div>
    <w:div w:id="936979541">
      <w:bodyDiv w:val="1"/>
      <w:marLeft w:val="0"/>
      <w:marRight w:val="0"/>
      <w:marTop w:val="0"/>
      <w:marBottom w:val="0"/>
      <w:divBdr>
        <w:top w:val="none" w:sz="0" w:space="0" w:color="auto"/>
        <w:left w:val="none" w:sz="0" w:space="0" w:color="auto"/>
        <w:bottom w:val="none" w:sz="0" w:space="0" w:color="auto"/>
        <w:right w:val="none" w:sz="0" w:space="0" w:color="auto"/>
      </w:divBdr>
    </w:div>
    <w:div w:id="939945692">
      <w:bodyDiv w:val="1"/>
      <w:marLeft w:val="0"/>
      <w:marRight w:val="0"/>
      <w:marTop w:val="0"/>
      <w:marBottom w:val="0"/>
      <w:divBdr>
        <w:top w:val="none" w:sz="0" w:space="0" w:color="auto"/>
        <w:left w:val="none" w:sz="0" w:space="0" w:color="auto"/>
        <w:bottom w:val="none" w:sz="0" w:space="0" w:color="auto"/>
        <w:right w:val="none" w:sz="0" w:space="0" w:color="auto"/>
      </w:divBdr>
      <w:divsChild>
        <w:div w:id="695929137">
          <w:marLeft w:val="720"/>
          <w:marRight w:val="0"/>
          <w:marTop w:val="60"/>
          <w:marBottom w:val="0"/>
          <w:divBdr>
            <w:top w:val="none" w:sz="0" w:space="0" w:color="auto"/>
            <w:left w:val="none" w:sz="0" w:space="0" w:color="auto"/>
            <w:bottom w:val="none" w:sz="0" w:space="0" w:color="auto"/>
            <w:right w:val="none" w:sz="0" w:space="0" w:color="auto"/>
          </w:divBdr>
        </w:div>
      </w:divsChild>
    </w:div>
    <w:div w:id="944844193">
      <w:bodyDiv w:val="1"/>
      <w:marLeft w:val="0"/>
      <w:marRight w:val="0"/>
      <w:marTop w:val="0"/>
      <w:marBottom w:val="0"/>
      <w:divBdr>
        <w:top w:val="none" w:sz="0" w:space="0" w:color="auto"/>
        <w:left w:val="none" w:sz="0" w:space="0" w:color="auto"/>
        <w:bottom w:val="none" w:sz="0" w:space="0" w:color="auto"/>
        <w:right w:val="none" w:sz="0" w:space="0" w:color="auto"/>
      </w:divBdr>
      <w:divsChild>
        <w:div w:id="526679840">
          <w:marLeft w:val="0"/>
          <w:marRight w:val="0"/>
          <w:marTop w:val="0"/>
          <w:marBottom w:val="0"/>
          <w:divBdr>
            <w:top w:val="none" w:sz="0" w:space="0" w:color="auto"/>
            <w:left w:val="none" w:sz="0" w:space="0" w:color="auto"/>
            <w:bottom w:val="none" w:sz="0" w:space="0" w:color="auto"/>
            <w:right w:val="none" w:sz="0" w:space="0" w:color="auto"/>
          </w:divBdr>
          <w:divsChild>
            <w:div w:id="1506743241">
              <w:marLeft w:val="0"/>
              <w:marRight w:val="0"/>
              <w:marTop w:val="0"/>
              <w:marBottom w:val="0"/>
              <w:divBdr>
                <w:top w:val="none" w:sz="0" w:space="0" w:color="auto"/>
                <w:left w:val="none" w:sz="0" w:space="0" w:color="auto"/>
                <w:bottom w:val="none" w:sz="0" w:space="0" w:color="auto"/>
                <w:right w:val="none" w:sz="0" w:space="0" w:color="auto"/>
              </w:divBdr>
              <w:divsChild>
                <w:div w:id="1248879752">
                  <w:marLeft w:val="0"/>
                  <w:marRight w:val="0"/>
                  <w:marTop w:val="0"/>
                  <w:marBottom w:val="0"/>
                  <w:divBdr>
                    <w:top w:val="none" w:sz="0" w:space="0" w:color="auto"/>
                    <w:left w:val="none" w:sz="0" w:space="0" w:color="auto"/>
                    <w:bottom w:val="none" w:sz="0" w:space="0" w:color="auto"/>
                    <w:right w:val="none" w:sz="0" w:space="0" w:color="auto"/>
                  </w:divBdr>
                  <w:divsChild>
                    <w:div w:id="1253008920">
                      <w:marLeft w:val="0"/>
                      <w:marRight w:val="0"/>
                      <w:marTop w:val="0"/>
                      <w:marBottom w:val="0"/>
                      <w:divBdr>
                        <w:top w:val="none" w:sz="0" w:space="0" w:color="auto"/>
                        <w:left w:val="none" w:sz="0" w:space="0" w:color="auto"/>
                        <w:bottom w:val="none" w:sz="0" w:space="0" w:color="auto"/>
                        <w:right w:val="none" w:sz="0" w:space="0" w:color="auto"/>
                      </w:divBdr>
                      <w:divsChild>
                        <w:div w:id="2133671021">
                          <w:marLeft w:val="0"/>
                          <w:marRight w:val="0"/>
                          <w:marTop w:val="0"/>
                          <w:marBottom w:val="0"/>
                          <w:divBdr>
                            <w:top w:val="none" w:sz="0" w:space="0" w:color="auto"/>
                            <w:left w:val="none" w:sz="0" w:space="0" w:color="auto"/>
                            <w:bottom w:val="none" w:sz="0" w:space="0" w:color="auto"/>
                            <w:right w:val="none" w:sz="0" w:space="0" w:color="auto"/>
                          </w:divBdr>
                          <w:divsChild>
                            <w:div w:id="78840025">
                              <w:marLeft w:val="0"/>
                              <w:marRight w:val="0"/>
                              <w:marTop w:val="0"/>
                              <w:marBottom w:val="0"/>
                              <w:divBdr>
                                <w:top w:val="none" w:sz="0" w:space="0" w:color="auto"/>
                                <w:left w:val="none" w:sz="0" w:space="0" w:color="auto"/>
                                <w:bottom w:val="none" w:sz="0" w:space="0" w:color="auto"/>
                                <w:right w:val="none" w:sz="0" w:space="0" w:color="auto"/>
                              </w:divBdr>
                              <w:divsChild>
                                <w:div w:id="1275477016">
                                  <w:marLeft w:val="0"/>
                                  <w:marRight w:val="0"/>
                                  <w:marTop w:val="0"/>
                                  <w:marBottom w:val="0"/>
                                  <w:divBdr>
                                    <w:top w:val="none" w:sz="0" w:space="0" w:color="auto"/>
                                    <w:left w:val="none" w:sz="0" w:space="0" w:color="auto"/>
                                    <w:bottom w:val="none" w:sz="0" w:space="0" w:color="auto"/>
                                    <w:right w:val="none" w:sz="0" w:space="0" w:color="auto"/>
                                  </w:divBdr>
                                  <w:divsChild>
                                    <w:div w:id="203911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82331989">
          <w:marLeft w:val="0"/>
          <w:marRight w:val="0"/>
          <w:marTop w:val="0"/>
          <w:marBottom w:val="0"/>
          <w:divBdr>
            <w:top w:val="none" w:sz="0" w:space="0" w:color="auto"/>
            <w:left w:val="none" w:sz="0" w:space="0" w:color="auto"/>
            <w:bottom w:val="none" w:sz="0" w:space="0" w:color="auto"/>
            <w:right w:val="none" w:sz="0" w:space="0" w:color="auto"/>
          </w:divBdr>
          <w:divsChild>
            <w:div w:id="1217426832">
              <w:marLeft w:val="0"/>
              <w:marRight w:val="0"/>
              <w:marTop w:val="0"/>
              <w:marBottom w:val="0"/>
              <w:divBdr>
                <w:top w:val="none" w:sz="0" w:space="0" w:color="auto"/>
                <w:left w:val="none" w:sz="0" w:space="0" w:color="auto"/>
                <w:bottom w:val="none" w:sz="0" w:space="0" w:color="auto"/>
                <w:right w:val="none" w:sz="0" w:space="0" w:color="auto"/>
              </w:divBdr>
              <w:divsChild>
                <w:div w:id="2130659789">
                  <w:marLeft w:val="0"/>
                  <w:marRight w:val="0"/>
                  <w:marTop w:val="0"/>
                  <w:marBottom w:val="0"/>
                  <w:divBdr>
                    <w:top w:val="none" w:sz="0" w:space="0" w:color="auto"/>
                    <w:left w:val="none" w:sz="0" w:space="0" w:color="auto"/>
                    <w:bottom w:val="none" w:sz="0" w:space="0" w:color="auto"/>
                    <w:right w:val="none" w:sz="0" w:space="0" w:color="auto"/>
                  </w:divBdr>
                  <w:divsChild>
                    <w:div w:id="773943444">
                      <w:marLeft w:val="0"/>
                      <w:marRight w:val="0"/>
                      <w:marTop w:val="0"/>
                      <w:marBottom w:val="0"/>
                      <w:divBdr>
                        <w:top w:val="none" w:sz="0" w:space="0" w:color="auto"/>
                        <w:left w:val="none" w:sz="0" w:space="0" w:color="auto"/>
                        <w:bottom w:val="none" w:sz="0" w:space="0" w:color="auto"/>
                        <w:right w:val="none" w:sz="0" w:space="0" w:color="auto"/>
                      </w:divBdr>
                      <w:divsChild>
                        <w:div w:id="2111850365">
                          <w:marLeft w:val="0"/>
                          <w:marRight w:val="0"/>
                          <w:marTop w:val="0"/>
                          <w:marBottom w:val="0"/>
                          <w:divBdr>
                            <w:top w:val="none" w:sz="0" w:space="0" w:color="auto"/>
                            <w:left w:val="none" w:sz="0" w:space="0" w:color="auto"/>
                            <w:bottom w:val="none" w:sz="0" w:space="0" w:color="auto"/>
                            <w:right w:val="none" w:sz="0" w:space="0" w:color="auto"/>
                          </w:divBdr>
                          <w:divsChild>
                            <w:div w:id="5725934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51210709">
      <w:bodyDiv w:val="1"/>
      <w:marLeft w:val="0"/>
      <w:marRight w:val="0"/>
      <w:marTop w:val="0"/>
      <w:marBottom w:val="0"/>
      <w:divBdr>
        <w:top w:val="none" w:sz="0" w:space="0" w:color="auto"/>
        <w:left w:val="none" w:sz="0" w:space="0" w:color="auto"/>
        <w:bottom w:val="none" w:sz="0" w:space="0" w:color="auto"/>
        <w:right w:val="none" w:sz="0" w:space="0" w:color="auto"/>
      </w:divBdr>
    </w:div>
    <w:div w:id="951860838">
      <w:bodyDiv w:val="1"/>
      <w:marLeft w:val="0"/>
      <w:marRight w:val="0"/>
      <w:marTop w:val="0"/>
      <w:marBottom w:val="0"/>
      <w:divBdr>
        <w:top w:val="none" w:sz="0" w:space="0" w:color="auto"/>
        <w:left w:val="none" w:sz="0" w:space="0" w:color="auto"/>
        <w:bottom w:val="none" w:sz="0" w:space="0" w:color="auto"/>
        <w:right w:val="none" w:sz="0" w:space="0" w:color="auto"/>
      </w:divBdr>
    </w:div>
    <w:div w:id="961838197">
      <w:bodyDiv w:val="1"/>
      <w:marLeft w:val="0"/>
      <w:marRight w:val="0"/>
      <w:marTop w:val="0"/>
      <w:marBottom w:val="0"/>
      <w:divBdr>
        <w:top w:val="none" w:sz="0" w:space="0" w:color="auto"/>
        <w:left w:val="none" w:sz="0" w:space="0" w:color="auto"/>
        <w:bottom w:val="none" w:sz="0" w:space="0" w:color="auto"/>
        <w:right w:val="none" w:sz="0" w:space="0" w:color="auto"/>
      </w:divBdr>
    </w:div>
    <w:div w:id="965741120">
      <w:bodyDiv w:val="1"/>
      <w:marLeft w:val="0"/>
      <w:marRight w:val="0"/>
      <w:marTop w:val="0"/>
      <w:marBottom w:val="0"/>
      <w:divBdr>
        <w:top w:val="none" w:sz="0" w:space="0" w:color="auto"/>
        <w:left w:val="none" w:sz="0" w:space="0" w:color="auto"/>
        <w:bottom w:val="none" w:sz="0" w:space="0" w:color="auto"/>
        <w:right w:val="none" w:sz="0" w:space="0" w:color="auto"/>
      </w:divBdr>
    </w:div>
    <w:div w:id="968818984">
      <w:bodyDiv w:val="1"/>
      <w:marLeft w:val="0"/>
      <w:marRight w:val="0"/>
      <w:marTop w:val="0"/>
      <w:marBottom w:val="0"/>
      <w:divBdr>
        <w:top w:val="none" w:sz="0" w:space="0" w:color="auto"/>
        <w:left w:val="none" w:sz="0" w:space="0" w:color="auto"/>
        <w:bottom w:val="none" w:sz="0" w:space="0" w:color="auto"/>
        <w:right w:val="none" w:sz="0" w:space="0" w:color="auto"/>
      </w:divBdr>
    </w:div>
    <w:div w:id="973681429">
      <w:bodyDiv w:val="1"/>
      <w:marLeft w:val="0"/>
      <w:marRight w:val="0"/>
      <w:marTop w:val="0"/>
      <w:marBottom w:val="0"/>
      <w:divBdr>
        <w:top w:val="none" w:sz="0" w:space="0" w:color="auto"/>
        <w:left w:val="none" w:sz="0" w:space="0" w:color="auto"/>
        <w:bottom w:val="none" w:sz="0" w:space="0" w:color="auto"/>
        <w:right w:val="none" w:sz="0" w:space="0" w:color="auto"/>
      </w:divBdr>
    </w:div>
    <w:div w:id="976759531">
      <w:bodyDiv w:val="1"/>
      <w:marLeft w:val="0"/>
      <w:marRight w:val="0"/>
      <w:marTop w:val="0"/>
      <w:marBottom w:val="0"/>
      <w:divBdr>
        <w:top w:val="none" w:sz="0" w:space="0" w:color="auto"/>
        <w:left w:val="none" w:sz="0" w:space="0" w:color="auto"/>
        <w:bottom w:val="none" w:sz="0" w:space="0" w:color="auto"/>
        <w:right w:val="none" w:sz="0" w:space="0" w:color="auto"/>
      </w:divBdr>
    </w:div>
    <w:div w:id="995496087">
      <w:bodyDiv w:val="1"/>
      <w:marLeft w:val="0"/>
      <w:marRight w:val="0"/>
      <w:marTop w:val="0"/>
      <w:marBottom w:val="0"/>
      <w:divBdr>
        <w:top w:val="none" w:sz="0" w:space="0" w:color="auto"/>
        <w:left w:val="none" w:sz="0" w:space="0" w:color="auto"/>
        <w:bottom w:val="none" w:sz="0" w:space="0" w:color="auto"/>
        <w:right w:val="none" w:sz="0" w:space="0" w:color="auto"/>
      </w:divBdr>
    </w:div>
    <w:div w:id="1002974833">
      <w:bodyDiv w:val="1"/>
      <w:marLeft w:val="0"/>
      <w:marRight w:val="0"/>
      <w:marTop w:val="0"/>
      <w:marBottom w:val="0"/>
      <w:divBdr>
        <w:top w:val="none" w:sz="0" w:space="0" w:color="auto"/>
        <w:left w:val="none" w:sz="0" w:space="0" w:color="auto"/>
        <w:bottom w:val="none" w:sz="0" w:space="0" w:color="auto"/>
        <w:right w:val="none" w:sz="0" w:space="0" w:color="auto"/>
      </w:divBdr>
      <w:divsChild>
        <w:div w:id="660429496">
          <w:marLeft w:val="720"/>
          <w:marRight w:val="0"/>
          <w:marTop w:val="60"/>
          <w:marBottom w:val="0"/>
          <w:divBdr>
            <w:top w:val="none" w:sz="0" w:space="0" w:color="auto"/>
            <w:left w:val="none" w:sz="0" w:space="0" w:color="auto"/>
            <w:bottom w:val="none" w:sz="0" w:space="0" w:color="auto"/>
            <w:right w:val="none" w:sz="0" w:space="0" w:color="auto"/>
          </w:divBdr>
        </w:div>
        <w:div w:id="1355810217">
          <w:marLeft w:val="720"/>
          <w:marRight w:val="0"/>
          <w:marTop w:val="60"/>
          <w:marBottom w:val="0"/>
          <w:divBdr>
            <w:top w:val="none" w:sz="0" w:space="0" w:color="auto"/>
            <w:left w:val="none" w:sz="0" w:space="0" w:color="auto"/>
            <w:bottom w:val="none" w:sz="0" w:space="0" w:color="auto"/>
            <w:right w:val="none" w:sz="0" w:space="0" w:color="auto"/>
          </w:divBdr>
        </w:div>
      </w:divsChild>
    </w:div>
    <w:div w:id="1014307922">
      <w:bodyDiv w:val="1"/>
      <w:marLeft w:val="0"/>
      <w:marRight w:val="0"/>
      <w:marTop w:val="0"/>
      <w:marBottom w:val="0"/>
      <w:divBdr>
        <w:top w:val="none" w:sz="0" w:space="0" w:color="auto"/>
        <w:left w:val="none" w:sz="0" w:space="0" w:color="auto"/>
        <w:bottom w:val="none" w:sz="0" w:space="0" w:color="auto"/>
        <w:right w:val="none" w:sz="0" w:space="0" w:color="auto"/>
      </w:divBdr>
      <w:divsChild>
        <w:div w:id="1767382183">
          <w:marLeft w:val="346"/>
          <w:marRight w:val="0"/>
          <w:marTop w:val="320"/>
          <w:marBottom w:val="0"/>
          <w:divBdr>
            <w:top w:val="none" w:sz="0" w:space="0" w:color="auto"/>
            <w:left w:val="none" w:sz="0" w:space="0" w:color="auto"/>
            <w:bottom w:val="none" w:sz="0" w:space="0" w:color="auto"/>
            <w:right w:val="none" w:sz="0" w:space="0" w:color="auto"/>
          </w:divBdr>
        </w:div>
      </w:divsChild>
    </w:div>
    <w:div w:id="1017464508">
      <w:bodyDiv w:val="1"/>
      <w:marLeft w:val="0"/>
      <w:marRight w:val="0"/>
      <w:marTop w:val="0"/>
      <w:marBottom w:val="0"/>
      <w:divBdr>
        <w:top w:val="none" w:sz="0" w:space="0" w:color="auto"/>
        <w:left w:val="none" w:sz="0" w:space="0" w:color="auto"/>
        <w:bottom w:val="none" w:sz="0" w:space="0" w:color="auto"/>
        <w:right w:val="none" w:sz="0" w:space="0" w:color="auto"/>
      </w:divBdr>
    </w:div>
    <w:div w:id="1019548525">
      <w:bodyDiv w:val="1"/>
      <w:marLeft w:val="0"/>
      <w:marRight w:val="0"/>
      <w:marTop w:val="0"/>
      <w:marBottom w:val="0"/>
      <w:divBdr>
        <w:top w:val="none" w:sz="0" w:space="0" w:color="auto"/>
        <w:left w:val="none" w:sz="0" w:space="0" w:color="auto"/>
        <w:bottom w:val="none" w:sz="0" w:space="0" w:color="auto"/>
        <w:right w:val="none" w:sz="0" w:space="0" w:color="auto"/>
      </w:divBdr>
    </w:div>
    <w:div w:id="1022978134">
      <w:bodyDiv w:val="1"/>
      <w:marLeft w:val="0"/>
      <w:marRight w:val="0"/>
      <w:marTop w:val="0"/>
      <w:marBottom w:val="0"/>
      <w:divBdr>
        <w:top w:val="none" w:sz="0" w:space="0" w:color="auto"/>
        <w:left w:val="none" w:sz="0" w:space="0" w:color="auto"/>
        <w:bottom w:val="none" w:sz="0" w:space="0" w:color="auto"/>
        <w:right w:val="none" w:sz="0" w:space="0" w:color="auto"/>
      </w:divBdr>
    </w:div>
    <w:div w:id="1070036747">
      <w:bodyDiv w:val="1"/>
      <w:marLeft w:val="0"/>
      <w:marRight w:val="0"/>
      <w:marTop w:val="0"/>
      <w:marBottom w:val="0"/>
      <w:divBdr>
        <w:top w:val="none" w:sz="0" w:space="0" w:color="auto"/>
        <w:left w:val="none" w:sz="0" w:space="0" w:color="auto"/>
        <w:bottom w:val="none" w:sz="0" w:space="0" w:color="auto"/>
        <w:right w:val="none" w:sz="0" w:space="0" w:color="auto"/>
      </w:divBdr>
    </w:div>
    <w:div w:id="1075200938">
      <w:bodyDiv w:val="1"/>
      <w:marLeft w:val="0"/>
      <w:marRight w:val="0"/>
      <w:marTop w:val="0"/>
      <w:marBottom w:val="0"/>
      <w:divBdr>
        <w:top w:val="none" w:sz="0" w:space="0" w:color="auto"/>
        <w:left w:val="none" w:sz="0" w:space="0" w:color="auto"/>
        <w:bottom w:val="none" w:sz="0" w:space="0" w:color="auto"/>
        <w:right w:val="none" w:sz="0" w:space="0" w:color="auto"/>
      </w:divBdr>
      <w:divsChild>
        <w:div w:id="6567481">
          <w:marLeft w:val="274"/>
          <w:marRight w:val="0"/>
          <w:marTop w:val="0"/>
          <w:marBottom w:val="0"/>
          <w:divBdr>
            <w:top w:val="none" w:sz="0" w:space="0" w:color="auto"/>
            <w:left w:val="none" w:sz="0" w:space="0" w:color="auto"/>
            <w:bottom w:val="none" w:sz="0" w:space="0" w:color="auto"/>
            <w:right w:val="none" w:sz="0" w:space="0" w:color="auto"/>
          </w:divBdr>
        </w:div>
        <w:div w:id="436873786">
          <w:marLeft w:val="274"/>
          <w:marRight w:val="0"/>
          <w:marTop w:val="0"/>
          <w:marBottom w:val="0"/>
          <w:divBdr>
            <w:top w:val="none" w:sz="0" w:space="0" w:color="auto"/>
            <w:left w:val="none" w:sz="0" w:space="0" w:color="auto"/>
            <w:bottom w:val="none" w:sz="0" w:space="0" w:color="auto"/>
            <w:right w:val="none" w:sz="0" w:space="0" w:color="auto"/>
          </w:divBdr>
        </w:div>
        <w:div w:id="466627953">
          <w:marLeft w:val="274"/>
          <w:marRight w:val="0"/>
          <w:marTop w:val="0"/>
          <w:marBottom w:val="0"/>
          <w:divBdr>
            <w:top w:val="none" w:sz="0" w:space="0" w:color="auto"/>
            <w:left w:val="none" w:sz="0" w:space="0" w:color="auto"/>
            <w:bottom w:val="none" w:sz="0" w:space="0" w:color="auto"/>
            <w:right w:val="none" w:sz="0" w:space="0" w:color="auto"/>
          </w:divBdr>
        </w:div>
        <w:div w:id="890266715">
          <w:marLeft w:val="274"/>
          <w:marRight w:val="0"/>
          <w:marTop w:val="0"/>
          <w:marBottom w:val="0"/>
          <w:divBdr>
            <w:top w:val="none" w:sz="0" w:space="0" w:color="auto"/>
            <w:left w:val="none" w:sz="0" w:space="0" w:color="auto"/>
            <w:bottom w:val="none" w:sz="0" w:space="0" w:color="auto"/>
            <w:right w:val="none" w:sz="0" w:space="0" w:color="auto"/>
          </w:divBdr>
        </w:div>
        <w:div w:id="1033968687">
          <w:marLeft w:val="274"/>
          <w:marRight w:val="0"/>
          <w:marTop w:val="0"/>
          <w:marBottom w:val="0"/>
          <w:divBdr>
            <w:top w:val="none" w:sz="0" w:space="0" w:color="auto"/>
            <w:left w:val="none" w:sz="0" w:space="0" w:color="auto"/>
            <w:bottom w:val="none" w:sz="0" w:space="0" w:color="auto"/>
            <w:right w:val="none" w:sz="0" w:space="0" w:color="auto"/>
          </w:divBdr>
        </w:div>
        <w:div w:id="1078093865">
          <w:marLeft w:val="274"/>
          <w:marRight w:val="0"/>
          <w:marTop w:val="0"/>
          <w:marBottom w:val="0"/>
          <w:divBdr>
            <w:top w:val="none" w:sz="0" w:space="0" w:color="auto"/>
            <w:left w:val="none" w:sz="0" w:space="0" w:color="auto"/>
            <w:bottom w:val="none" w:sz="0" w:space="0" w:color="auto"/>
            <w:right w:val="none" w:sz="0" w:space="0" w:color="auto"/>
          </w:divBdr>
        </w:div>
        <w:div w:id="1481270338">
          <w:marLeft w:val="274"/>
          <w:marRight w:val="0"/>
          <w:marTop w:val="0"/>
          <w:marBottom w:val="0"/>
          <w:divBdr>
            <w:top w:val="none" w:sz="0" w:space="0" w:color="auto"/>
            <w:left w:val="none" w:sz="0" w:space="0" w:color="auto"/>
            <w:bottom w:val="none" w:sz="0" w:space="0" w:color="auto"/>
            <w:right w:val="none" w:sz="0" w:space="0" w:color="auto"/>
          </w:divBdr>
        </w:div>
        <w:div w:id="1878085287">
          <w:marLeft w:val="274"/>
          <w:marRight w:val="0"/>
          <w:marTop w:val="0"/>
          <w:marBottom w:val="0"/>
          <w:divBdr>
            <w:top w:val="none" w:sz="0" w:space="0" w:color="auto"/>
            <w:left w:val="none" w:sz="0" w:space="0" w:color="auto"/>
            <w:bottom w:val="none" w:sz="0" w:space="0" w:color="auto"/>
            <w:right w:val="none" w:sz="0" w:space="0" w:color="auto"/>
          </w:divBdr>
        </w:div>
        <w:div w:id="1958565365">
          <w:marLeft w:val="274"/>
          <w:marRight w:val="0"/>
          <w:marTop w:val="0"/>
          <w:marBottom w:val="0"/>
          <w:divBdr>
            <w:top w:val="none" w:sz="0" w:space="0" w:color="auto"/>
            <w:left w:val="none" w:sz="0" w:space="0" w:color="auto"/>
            <w:bottom w:val="none" w:sz="0" w:space="0" w:color="auto"/>
            <w:right w:val="none" w:sz="0" w:space="0" w:color="auto"/>
          </w:divBdr>
        </w:div>
      </w:divsChild>
    </w:div>
    <w:div w:id="1079910386">
      <w:bodyDiv w:val="1"/>
      <w:marLeft w:val="0"/>
      <w:marRight w:val="0"/>
      <w:marTop w:val="0"/>
      <w:marBottom w:val="0"/>
      <w:divBdr>
        <w:top w:val="none" w:sz="0" w:space="0" w:color="auto"/>
        <w:left w:val="none" w:sz="0" w:space="0" w:color="auto"/>
        <w:bottom w:val="none" w:sz="0" w:space="0" w:color="auto"/>
        <w:right w:val="none" w:sz="0" w:space="0" w:color="auto"/>
      </w:divBdr>
    </w:div>
    <w:div w:id="1082793512">
      <w:bodyDiv w:val="1"/>
      <w:marLeft w:val="0"/>
      <w:marRight w:val="0"/>
      <w:marTop w:val="0"/>
      <w:marBottom w:val="0"/>
      <w:divBdr>
        <w:top w:val="none" w:sz="0" w:space="0" w:color="auto"/>
        <w:left w:val="none" w:sz="0" w:space="0" w:color="auto"/>
        <w:bottom w:val="none" w:sz="0" w:space="0" w:color="auto"/>
        <w:right w:val="none" w:sz="0" w:space="0" w:color="auto"/>
      </w:divBdr>
    </w:div>
    <w:div w:id="1083070396">
      <w:bodyDiv w:val="1"/>
      <w:marLeft w:val="0"/>
      <w:marRight w:val="0"/>
      <w:marTop w:val="0"/>
      <w:marBottom w:val="0"/>
      <w:divBdr>
        <w:top w:val="none" w:sz="0" w:space="0" w:color="auto"/>
        <w:left w:val="none" w:sz="0" w:space="0" w:color="auto"/>
        <w:bottom w:val="none" w:sz="0" w:space="0" w:color="auto"/>
        <w:right w:val="none" w:sz="0" w:space="0" w:color="auto"/>
      </w:divBdr>
    </w:div>
    <w:div w:id="1085104794">
      <w:bodyDiv w:val="1"/>
      <w:marLeft w:val="0"/>
      <w:marRight w:val="0"/>
      <w:marTop w:val="0"/>
      <w:marBottom w:val="0"/>
      <w:divBdr>
        <w:top w:val="none" w:sz="0" w:space="0" w:color="auto"/>
        <w:left w:val="none" w:sz="0" w:space="0" w:color="auto"/>
        <w:bottom w:val="none" w:sz="0" w:space="0" w:color="auto"/>
        <w:right w:val="none" w:sz="0" w:space="0" w:color="auto"/>
      </w:divBdr>
      <w:divsChild>
        <w:div w:id="1308390485">
          <w:marLeft w:val="0"/>
          <w:marRight w:val="0"/>
          <w:marTop w:val="0"/>
          <w:marBottom w:val="0"/>
          <w:divBdr>
            <w:top w:val="none" w:sz="0" w:space="0" w:color="auto"/>
            <w:left w:val="none" w:sz="0" w:space="0" w:color="auto"/>
            <w:bottom w:val="none" w:sz="0" w:space="0" w:color="auto"/>
            <w:right w:val="none" w:sz="0" w:space="0" w:color="auto"/>
          </w:divBdr>
          <w:divsChild>
            <w:div w:id="461926370">
              <w:marLeft w:val="0"/>
              <w:marRight w:val="0"/>
              <w:marTop w:val="0"/>
              <w:marBottom w:val="0"/>
              <w:divBdr>
                <w:top w:val="none" w:sz="0" w:space="0" w:color="auto"/>
                <w:left w:val="none" w:sz="0" w:space="0" w:color="auto"/>
                <w:bottom w:val="none" w:sz="0" w:space="0" w:color="auto"/>
                <w:right w:val="none" w:sz="0" w:space="0" w:color="auto"/>
              </w:divBdr>
            </w:div>
            <w:div w:id="1811090637">
              <w:marLeft w:val="0"/>
              <w:marRight w:val="0"/>
              <w:marTop w:val="0"/>
              <w:marBottom w:val="0"/>
              <w:divBdr>
                <w:top w:val="none" w:sz="0" w:space="0" w:color="auto"/>
                <w:left w:val="none" w:sz="0" w:space="0" w:color="auto"/>
                <w:bottom w:val="none" w:sz="0" w:space="0" w:color="auto"/>
                <w:right w:val="none" w:sz="0" w:space="0" w:color="auto"/>
              </w:divBdr>
            </w:div>
          </w:divsChild>
        </w:div>
        <w:div w:id="1675911069">
          <w:marLeft w:val="0"/>
          <w:marRight w:val="0"/>
          <w:marTop w:val="0"/>
          <w:marBottom w:val="0"/>
          <w:divBdr>
            <w:top w:val="none" w:sz="0" w:space="0" w:color="auto"/>
            <w:left w:val="none" w:sz="0" w:space="0" w:color="auto"/>
            <w:bottom w:val="none" w:sz="0" w:space="0" w:color="auto"/>
            <w:right w:val="none" w:sz="0" w:space="0" w:color="auto"/>
          </w:divBdr>
          <w:divsChild>
            <w:div w:id="861358834">
              <w:marLeft w:val="0"/>
              <w:marRight w:val="0"/>
              <w:marTop w:val="0"/>
              <w:marBottom w:val="0"/>
              <w:divBdr>
                <w:top w:val="none" w:sz="0" w:space="0" w:color="auto"/>
                <w:left w:val="none" w:sz="0" w:space="0" w:color="auto"/>
                <w:bottom w:val="none" w:sz="0" w:space="0" w:color="auto"/>
                <w:right w:val="none" w:sz="0" w:space="0" w:color="auto"/>
              </w:divBdr>
            </w:div>
            <w:div w:id="1042943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8425157">
      <w:bodyDiv w:val="1"/>
      <w:marLeft w:val="0"/>
      <w:marRight w:val="0"/>
      <w:marTop w:val="0"/>
      <w:marBottom w:val="0"/>
      <w:divBdr>
        <w:top w:val="none" w:sz="0" w:space="0" w:color="auto"/>
        <w:left w:val="none" w:sz="0" w:space="0" w:color="auto"/>
        <w:bottom w:val="none" w:sz="0" w:space="0" w:color="auto"/>
        <w:right w:val="none" w:sz="0" w:space="0" w:color="auto"/>
      </w:divBdr>
    </w:div>
    <w:div w:id="1094979095">
      <w:bodyDiv w:val="1"/>
      <w:marLeft w:val="0"/>
      <w:marRight w:val="0"/>
      <w:marTop w:val="0"/>
      <w:marBottom w:val="0"/>
      <w:divBdr>
        <w:top w:val="none" w:sz="0" w:space="0" w:color="auto"/>
        <w:left w:val="none" w:sz="0" w:space="0" w:color="auto"/>
        <w:bottom w:val="none" w:sz="0" w:space="0" w:color="auto"/>
        <w:right w:val="none" w:sz="0" w:space="0" w:color="auto"/>
      </w:divBdr>
      <w:divsChild>
        <w:div w:id="561913178">
          <w:marLeft w:val="0"/>
          <w:marRight w:val="0"/>
          <w:marTop w:val="0"/>
          <w:marBottom w:val="0"/>
          <w:divBdr>
            <w:top w:val="none" w:sz="0" w:space="0" w:color="auto"/>
            <w:left w:val="none" w:sz="0" w:space="0" w:color="auto"/>
            <w:bottom w:val="none" w:sz="0" w:space="0" w:color="auto"/>
            <w:right w:val="none" w:sz="0" w:space="0" w:color="auto"/>
          </w:divBdr>
          <w:divsChild>
            <w:div w:id="880166577">
              <w:marLeft w:val="0"/>
              <w:marRight w:val="0"/>
              <w:marTop w:val="0"/>
              <w:marBottom w:val="0"/>
              <w:divBdr>
                <w:top w:val="none" w:sz="0" w:space="0" w:color="auto"/>
                <w:left w:val="none" w:sz="0" w:space="0" w:color="auto"/>
                <w:bottom w:val="none" w:sz="0" w:space="0" w:color="auto"/>
                <w:right w:val="none" w:sz="0" w:space="0" w:color="auto"/>
              </w:divBdr>
            </w:div>
          </w:divsChild>
        </w:div>
        <w:div w:id="1811704414">
          <w:marLeft w:val="0"/>
          <w:marRight w:val="0"/>
          <w:marTop w:val="0"/>
          <w:marBottom w:val="0"/>
          <w:divBdr>
            <w:top w:val="none" w:sz="0" w:space="0" w:color="auto"/>
            <w:left w:val="none" w:sz="0" w:space="0" w:color="auto"/>
            <w:bottom w:val="none" w:sz="0" w:space="0" w:color="auto"/>
            <w:right w:val="none" w:sz="0" w:space="0" w:color="auto"/>
          </w:divBdr>
          <w:divsChild>
            <w:div w:id="4146697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03110165">
      <w:bodyDiv w:val="1"/>
      <w:marLeft w:val="0"/>
      <w:marRight w:val="0"/>
      <w:marTop w:val="0"/>
      <w:marBottom w:val="0"/>
      <w:divBdr>
        <w:top w:val="none" w:sz="0" w:space="0" w:color="auto"/>
        <w:left w:val="none" w:sz="0" w:space="0" w:color="auto"/>
        <w:bottom w:val="none" w:sz="0" w:space="0" w:color="auto"/>
        <w:right w:val="none" w:sz="0" w:space="0" w:color="auto"/>
      </w:divBdr>
      <w:divsChild>
        <w:div w:id="1732844344">
          <w:marLeft w:val="720"/>
          <w:marRight w:val="0"/>
          <w:marTop w:val="60"/>
          <w:marBottom w:val="0"/>
          <w:divBdr>
            <w:top w:val="none" w:sz="0" w:space="0" w:color="auto"/>
            <w:left w:val="none" w:sz="0" w:space="0" w:color="auto"/>
            <w:bottom w:val="none" w:sz="0" w:space="0" w:color="auto"/>
            <w:right w:val="none" w:sz="0" w:space="0" w:color="auto"/>
          </w:divBdr>
        </w:div>
      </w:divsChild>
    </w:div>
    <w:div w:id="1108545680">
      <w:bodyDiv w:val="1"/>
      <w:marLeft w:val="0"/>
      <w:marRight w:val="0"/>
      <w:marTop w:val="0"/>
      <w:marBottom w:val="0"/>
      <w:divBdr>
        <w:top w:val="none" w:sz="0" w:space="0" w:color="auto"/>
        <w:left w:val="none" w:sz="0" w:space="0" w:color="auto"/>
        <w:bottom w:val="none" w:sz="0" w:space="0" w:color="auto"/>
        <w:right w:val="none" w:sz="0" w:space="0" w:color="auto"/>
      </w:divBdr>
    </w:div>
    <w:div w:id="1153983253">
      <w:bodyDiv w:val="1"/>
      <w:marLeft w:val="0"/>
      <w:marRight w:val="0"/>
      <w:marTop w:val="0"/>
      <w:marBottom w:val="0"/>
      <w:divBdr>
        <w:top w:val="none" w:sz="0" w:space="0" w:color="auto"/>
        <w:left w:val="none" w:sz="0" w:space="0" w:color="auto"/>
        <w:bottom w:val="none" w:sz="0" w:space="0" w:color="auto"/>
        <w:right w:val="none" w:sz="0" w:space="0" w:color="auto"/>
      </w:divBdr>
    </w:div>
    <w:div w:id="1159997655">
      <w:bodyDiv w:val="1"/>
      <w:marLeft w:val="0"/>
      <w:marRight w:val="0"/>
      <w:marTop w:val="0"/>
      <w:marBottom w:val="0"/>
      <w:divBdr>
        <w:top w:val="none" w:sz="0" w:space="0" w:color="auto"/>
        <w:left w:val="none" w:sz="0" w:space="0" w:color="auto"/>
        <w:bottom w:val="none" w:sz="0" w:space="0" w:color="auto"/>
        <w:right w:val="none" w:sz="0" w:space="0" w:color="auto"/>
      </w:divBdr>
    </w:div>
    <w:div w:id="1161846769">
      <w:bodyDiv w:val="1"/>
      <w:marLeft w:val="0"/>
      <w:marRight w:val="0"/>
      <w:marTop w:val="0"/>
      <w:marBottom w:val="0"/>
      <w:divBdr>
        <w:top w:val="none" w:sz="0" w:space="0" w:color="auto"/>
        <w:left w:val="none" w:sz="0" w:space="0" w:color="auto"/>
        <w:bottom w:val="none" w:sz="0" w:space="0" w:color="auto"/>
        <w:right w:val="none" w:sz="0" w:space="0" w:color="auto"/>
      </w:divBdr>
      <w:divsChild>
        <w:div w:id="1891649953">
          <w:marLeft w:val="720"/>
          <w:marRight w:val="0"/>
          <w:marTop w:val="60"/>
          <w:marBottom w:val="0"/>
          <w:divBdr>
            <w:top w:val="none" w:sz="0" w:space="0" w:color="auto"/>
            <w:left w:val="none" w:sz="0" w:space="0" w:color="auto"/>
            <w:bottom w:val="none" w:sz="0" w:space="0" w:color="auto"/>
            <w:right w:val="none" w:sz="0" w:space="0" w:color="auto"/>
          </w:divBdr>
        </w:div>
      </w:divsChild>
    </w:div>
    <w:div w:id="1167281282">
      <w:bodyDiv w:val="1"/>
      <w:marLeft w:val="0"/>
      <w:marRight w:val="0"/>
      <w:marTop w:val="0"/>
      <w:marBottom w:val="0"/>
      <w:divBdr>
        <w:top w:val="none" w:sz="0" w:space="0" w:color="auto"/>
        <w:left w:val="none" w:sz="0" w:space="0" w:color="auto"/>
        <w:bottom w:val="none" w:sz="0" w:space="0" w:color="auto"/>
        <w:right w:val="none" w:sz="0" w:space="0" w:color="auto"/>
      </w:divBdr>
    </w:div>
    <w:div w:id="1172570806">
      <w:bodyDiv w:val="1"/>
      <w:marLeft w:val="0"/>
      <w:marRight w:val="0"/>
      <w:marTop w:val="0"/>
      <w:marBottom w:val="0"/>
      <w:divBdr>
        <w:top w:val="none" w:sz="0" w:space="0" w:color="auto"/>
        <w:left w:val="none" w:sz="0" w:space="0" w:color="auto"/>
        <w:bottom w:val="none" w:sz="0" w:space="0" w:color="auto"/>
        <w:right w:val="none" w:sz="0" w:space="0" w:color="auto"/>
      </w:divBdr>
    </w:div>
    <w:div w:id="1179150588">
      <w:bodyDiv w:val="1"/>
      <w:marLeft w:val="0"/>
      <w:marRight w:val="0"/>
      <w:marTop w:val="0"/>
      <w:marBottom w:val="0"/>
      <w:divBdr>
        <w:top w:val="none" w:sz="0" w:space="0" w:color="auto"/>
        <w:left w:val="none" w:sz="0" w:space="0" w:color="auto"/>
        <w:bottom w:val="none" w:sz="0" w:space="0" w:color="auto"/>
        <w:right w:val="none" w:sz="0" w:space="0" w:color="auto"/>
      </w:divBdr>
    </w:div>
    <w:div w:id="1187905644">
      <w:bodyDiv w:val="1"/>
      <w:marLeft w:val="0"/>
      <w:marRight w:val="0"/>
      <w:marTop w:val="0"/>
      <w:marBottom w:val="0"/>
      <w:divBdr>
        <w:top w:val="none" w:sz="0" w:space="0" w:color="auto"/>
        <w:left w:val="none" w:sz="0" w:space="0" w:color="auto"/>
        <w:bottom w:val="none" w:sz="0" w:space="0" w:color="auto"/>
        <w:right w:val="none" w:sz="0" w:space="0" w:color="auto"/>
      </w:divBdr>
    </w:div>
    <w:div w:id="1195120792">
      <w:bodyDiv w:val="1"/>
      <w:marLeft w:val="0"/>
      <w:marRight w:val="0"/>
      <w:marTop w:val="0"/>
      <w:marBottom w:val="0"/>
      <w:divBdr>
        <w:top w:val="none" w:sz="0" w:space="0" w:color="auto"/>
        <w:left w:val="none" w:sz="0" w:space="0" w:color="auto"/>
        <w:bottom w:val="none" w:sz="0" w:space="0" w:color="auto"/>
        <w:right w:val="none" w:sz="0" w:space="0" w:color="auto"/>
      </w:divBdr>
    </w:div>
    <w:div w:id="1198202661">
      <w:bodyDiv w:val="1"/>
      <w:marLeft w:val="0"/>
      <w:marRight w:val="0"/>
      <w:marTop w:val="0"/>
      <w:marBottom w:val="0"/>
      <w:divBdr>
        <w:top w:val="none" w:sz="0" w:space="0" w:color="auto"/>
        <w:left w:val="none" w:sz="0" w:space="0" w:color="auto"/>
        <w:bottom w:val="none" w:sz="0" w:space="0" w:color="auto"/>
        <w:right w:val="none" w:sz="0" w:space="0" w:color="auto"/>
      </w:divBdr>
    </w:div>
    <w:div w:id="1214972352">
      <w:bodyDiv w:val="1"/>
      <w:marLeft w:val="0"/>
      <w:marRight w:val="0"/>
      <w:marTop w:val="0"/>
      <w:marBottom w:val="0"/>
      <w:divBdr>
        <w:top w:val="none" w:sz="0" w:space="0" w:color="auto"/>
        <w:left w:val="none" w:sz="0" w:space="0" w:color="auto"/>
        <w:bottom w:val="none" w:sz="0" w:space="0" w:color="auto"/>
        <w:right w:val="none" w:sz="0" w:space="0" w:color="auto"/>
      </w:divBdr>
      <w:divsChild>
        <w:div w:id="154566230">
          <w:marLeft w:val="720"/>
          <w:marRight w:val="0"/>
          <w:marTop w:val="60"/>
          <w:marBottom w:val="0"/>
          <w:divBdr>
            <w:top w:val="none" w:sz="0" w:space="0" w:color="auto"/>
            <w:left w:val="none" w:sz="0" w:space="0" w:color="auto"/>
            <w:bottom w:val="none" w:sz="0" w:space="0" w:color="auto"/>
            <w:right w:val="none" w:sz="0" w:space="0" w:color="auto"/>
          </w:divBdr>
        </w:div>
        <w:div w:id="795300042">
          <w:marLeft w:val="720"/>
          <w:marRight w:val="0"/>
          <w:marTop w:val="60"/>
          <w:marBottom w:val="0"/>
          <w:divBdr>
            <w:top w:val="none" w:sz="0" w:space="0" w:color="auto"/>
            <w:left w:val="none" w:sz="0" w:space="0" w:color="auto"/>
            <w:bottom w:val="none" w:sz="0" w:space="0" w:color="auto"/>
            <w:right w:val="none" w:sz="0" w:space="0" w:color="auto"/>
          </w:divBdr>
        </w:div>
        <w:div w:id="1077703374">
          <w:marLeft w:val="720"/>
          <w:marRight w:val="0"/>
          <w:marTop w:val="60"/>
          <w:marBottom w:val="0"/>
          <w:divBdr>
            <w:top w:val="none" w:sz="0" w:space="0" w:color="auto"/>
            <w:left w:val="none" w:sz="0" w:space="0" w:color="auto"/>
            <w:bottom w:val="none" w:sz="0" w:space="0" w:color="auto"/>
            <w:right w:val="none" w:sz="0" w:space="0" w:color="auto"/>
          </w:divBdr>
        </w:div>
        <w:div w:id="1107963742">
          <w:marLeft w:val="720"/>
          <w:marRight w:val="0"/>
          <w:marTop w:val="60"/>
          <w:marBottom w:val="0"/>
          <w:divBdr>
            <w:top w:val="none" w:sz="0" w:space="0" w:color="auto"/>
            <w:left w:val="none" w:sz="0" w:space="0" w:color="auto"/>
            <w:bottom w:val="none" w:sz="0" w:space="0" w:color="auto"/>
            <w:right w:val="none" w:sz="0" w:space="0" w:color="auto"/>
          </w:divBdr>
        </w:div>
      </w:divsChild>
    </w:div>
    <w:div w:id="1215964779">
      <w:bodyDiv w:val="1"/>
      <w:marLeft w:val="0"/>
      <w:marRight w:val="0"/>
      <w:marTop w:val="0"/>
      <w:marBottom w:val="0"/>
      <w:divBdr>
        <w:top w:val="none" w:sz="0" w:space="0" w:color="auto"/>
        <w:left w:val="none" w:sz="0" w:space="0" w:color="auto"/>
        <w:bottom w:val="none" w:sz="0" w:space="0" w:color="auto"/>
        <w:right w:val="none" w:sz="0" w:space="0" w:color="auto"/>
      </w:divBdr>
    </w:div>
    <w:div w:id="1216240978">
      <w:bodyDiv w:val="1"/>
      <w:marLeft w:val="0"/>
      <w:marRight w:val="0"/>
      <w:marTop w:val="0"/>
      <w:marBottom w:val="0"/>
      <w:divBdr>
        <w:top w:val="none" w:sz="0" w:space="0" w:color="auto"/>
        <w:left w:val="none" w:sz="0" w:space="0" w:color="auto"/>
        <w:bottom w:val="none" w:sz="0" w:space="0" w:color="auto"/>
        <w:right w:val="none" w:sz="0" w:space="0" w:color="auto"/>
      </w:divBdr>
    </w:div>
    <w:div w:id="1220820943">
      <w:bodyDiv w:val="1"/>
      <w:marLeft w:val="0"/>
      <w:marRight w:val="0"/>
      <w:marTop w:val="0"/>
      <w:marBottom w:val="0"/>
      <w:divBdr>
        <w:top w:val="none" w:sz="0" w:space="0" w:color="auto"/>
        <w:left w:val="none" w:sz="0" w:space="0" w:color="auto"/>
        <w:bottom w:val="none" w:sz="0" w:space="0" w:color="auto"/>
        <w:right w:val="none" w:sz="0" w:space="0" w:color="auto"/>
      </w:divBdr>
      <w:divsChild>
        <w:div w:id="182866387">
          <w:marLeft w:val="1166"/>
          <w:marRight w:val="0"/>
          <w:marTop w:val="0"/>
          <w:marBottom w:val="0"/>
          <w:divBdr>
            <w:top w:val="none" w:sz="0" w:space="0" w:color="auto"/>
            <w:left w:val="none" w:sz="0" w:space="0" w:color="auto"/>
            <w:bottom w:val="none" w:sz="0" w:space="0" w:color="auto"/>
            <w:right w:val="none" w:sz="0" w:space="0" w:color="auto"/>
          </w:divBdr>
        </w:div>
        <w:div w:id="301085717">
          <w:marLeft w:val="1166"/>
          <w:marRight w:val="0"/>
          <w:marTop w:val="0"/>
          <w:marBottom w:val="0"/>
          <w:divBdr>
            <w:top w:val="none" w:sz="0" w:space="0" w:color="auto"/>
            <w:left w:val="none" w:sz="0" w:space="0" w:color="auto"/>
            <w:bottom w:val="none" w:sz="0" w:space="0" w:color="auto"/>
            <w:right w:val="none" w:sz="0" w:space="0" w:color="auto"/>
          </w:divBdr>
        </w:div>
        <w:div w:id="596256376">
          <w:marLeft w:val="446"/>
          <w:marRight w:val="0"/>
          <w:marTop w:val="0"/>
          <w:marBottom w:val="0"/>
          <w:divBdr>
            <w:top w:val="none" w:sz="0" w:space="0" w:color="auto"/>
            <w:left w:val="none" w:sz="0" w:space="0" w:color="auto"/>
            <w:bottom w:val="none" w:sz="0" w:space="0" w:color="auto"/>
            <w:right w:val="none" w:sz="0" w:space="0" w:color="auto"/>
          </w:divBdr>
        </w:div>
        <w:div w:id="622660961">
          <w:marLeft w:val="446"/>
          <w:marRight w:val="0"/>
          <w:marTop w:val="0"/>
          <w:marBottom w:val="0"/>
          <w:divBdr>
            <w:top w:val="none" w:sz="0" w:space="0" w:color="auto"/>
            <w:left w:val="none" w:sz="0" w:space="0" w:color="auto"/>
            <w:bottom w:val="none" w:sz="0" w:space="0" w:color="auto"/>
            <w:right w:val="none" w:sz="0" w:space="0" w:color="auto"/>
          </w:divBdr>
        </w:div>
        <w:div w:id="1445072368">
          <w:marLeft w:val="1166"/>
          <w:marRight w:val="0"/>
          <w:marTop w:val="0"/>
          <w:marBottom w:val="0"/>
          <w:divBdr>
            <w:top w:val="none" w:sz="0" w:space="0" w:color="auto"/>
            <w:left w:val="none" w:sz="0" w:space="0" w:color="auto"/>
            <w:bottom w:val="none" w:sz="0" w:space="0" w:color="auto"/>
            <w:right w:val="none" w:sz="0" w:space="0" w:color="auto"/>
          </w:divBdr>
        </w:div>
        <w:div w:id="1757048525">
          <w:marLeft w:val="1166"/>
          <w:marRight w:val="0"/>
          <w:marTop w:val="0"/>
          <w:marBottom w:val="0"/>
          <w:divBdr>
            <w:top w:val="none" w:sz="0" w:space="0" w:color="auto"/>
            <w:left w:val="none" w:sz="0" w:space="0" w:color="auto"/>
            <w:bottom w:val="none" w:sz="0" w:space="0" w:color="auto"/>
            <w:right w:val="none" w:sz="0" w:space="0" w:color="auto"/>
          </w:divBdr>
        </w:div>
      </w:divsChild>
    </w:div>
    <w:div w:id="1236012826">
      <w:bodyDiv w:val="1"/>
      <w:marLeft w:val="0"/>
      <w:marRight w:val="0"/>
      <w:marTop w:val="0"/>
      <w:marBottom w:val="0"/>
      <w:divBdr>
        <w:top w:val="none" w:sz="0" w:space="0" w:color="auto"/>
        <w:left w:val="none" w:sz="0" w:space="0" w:color="auto"/>
        <w:bottom w:val="none" w:sz="0" w:space="0" w:color="auto"/>
        <w:right w:val="none" w:sz="0" w:space="0" w:color="auto"/>
      </w:divBdr>
      <w:divsChild>
        <w:div w:id="134690855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47961855">
      <w:bodyDiv w:val="1"/>
      <w:marLeft w:val="0"/>
      <w:marRight w:val="0"/>
      <w:marTop w:val="0"/>
      <w:marBottom w:val="0"/>
      <w:divBdr>
        <w:top w:val="none" w:sz="0" w:space="0" w:color="auto"/>
        <w:left w:val="none" w:sz="0" w:space="0" w:color="auto"/>
        <w:bottom w:val="none" w:sz="0" w:space="0" w:color="auto"/>
        <w:right w:val="none" w:sz="0" w:space="0" w:color="auto"/>
      </w:divBdr>
    </w:div>
    <w:div w:id="1249147040">
      <w:bodyDiv w:val="1"/>
      <w:marLeft w:val="0"/>
      <w:marRight w:val="0"/>
      <w:marTop w:val="0"/>
      <w:marBottom w:val="0"/>
      <w:divBdr>
        <w:top w:val="none" w:sz="0" w:space="0" w:color="auto"/>
        <w:left w:val="none" w:sz="0" w:space="0" w:color="auto"/>
        <w:bottom w:val="none" w:sz="0" w:space="0" w:color="auto"/>
        <w:right w:val="none" w:sz="0" w:space="0" w:color="auto"/>
      </w:divBdr>
    </w:div>
    <w:div w:id="1265268231">
      <w:bodyDiv w:val="1"/>
      <w:marLeft w:val="0"/>
      <w:marRight w:val="0"/>
      <w:marTop w:val="0"/>
      <w:marBottom w:val="0"/>
      <w:divBdr>
        <w:top w:val="none" w:sz="0" w:space="0" w:color="auto"/>
        <w:left w:val="none" w:sz="0" w:space="0" w:color="auto"/>
        <w:bottom w:val="none" w:sz="0" w:space="0" w:color="auto"/>
        <w:right w:val="none" w:sz="0" w:space="0" w:color="auto"/>
      </w:divBdr>
    </w:div>
    <w:div w:id="1288243134">
      <w:bodyDiv w:val="1"/>
      <w:marLeft w:val="0"/>
      <w:marRight w:val="0"/>
      <w:marTop w:val="0"/>
      <w:marBottom w:val="0"/>
      <w:divBdr>
        <w:top w:val="none" w:sz="0" w:space="0" w:color="auto"/>
        <w:left w:val="none" w:sz="0" w:space="0" w:color="auto"/>
        <w:bottom w:val="none" w:sz="0" w:space="0" w:color="auto"/>
        <w:right w:val="none" w:sz="0" w:space="0" w:color="auto"/>
      </w:divBdr>
    </w:div>
    <w:div w:id="1293554637">
      <w:bodyDiv w:val="1"/>
      <w:marLeft w:val="0"/>
      <w:marRight w:val="0"/>
      <w:marTop w:val="0"/>
      <w:marBottom w:val="0"/>
      <w:divBdr>
        <w:top w:val="none" w:sz="0" w:space="0" w:color="auto"/>
        <w:left w:val="none" w:sz="0" w:space="0" w:color="auto"/>
        <w:bottom w:val="none" w:sz="0" w:space="0" w:color="auto"/>
        <w:right w:val="none" w:sz="0" w:space="0" w:color="auto"/>
      </w:divBdr>
    </w:div>
    <w:div w:id="1303578755">
      <w:bodyDiv w:val="1"/>
      <w:marLeft w:val="0"/>
      <w:marRight w:val="0"/>
      <w:marTop w:val="0"/>
      <w:marBottom w:val="0"/>
      <w:divBdr>
        <w:top w:val="none" w:sz="0" w:space="0" w:color="auto"/>
        <w:left w:val="none" w:sz="0" w:space="0" w:color="auto"/>
        <w:bottom w:val="none" w:sz="0" w:space="0" w:color="auto"/>
        <w:right w:val="none" w:sz="0" w:space="0" w:color="auto"/>
      </w:divBdr>
    </w:div>
    <w:div w:id="1306350774">
      <w:bodyDiv w:val="1"/>
      <w:marLeft w:val="0"/>
      <w:marRight w:val="0"/>
      <w:marTop w:val="0"/>
      <w:marBottom w:val="0"/>
      <w:divBdr>
        <w:top w:val="none" w:sz="0" w:space="0" w:color="auto"/>
        <w:left w:val="none" w:sz="0" w:space="0" w:color="auto"/>
        <w:bottom w:val="none" w:sz="0" w:space="0" w:color="auto"/>
        <w:right w:val="none" w:sz="0" w:space="0" w:color="auto"/>
      </w:divBdr>
    </w:div>
    <w:div w:id="1307278894">
      <w:bodyDiv w:val="1"/>
      <w:marLeft w:val="0"/>
      <w:marRight w:val="0"/>
      <w:marTop w:val="0"/>
      <w:marBottom w:val="0"/>
      <w:divBdr>
        <w:top w:val="none" w:sz="0" w:space="0" w:color="auto"/>
        <w:left w:val="none" w:sz="0" w:space="0" w:color="auto"/>
        <w:bottom w:val="none" w:sz="0" w:space="0" w:color="auto"/>
        <w:right w:val="none" w:sz="0" w:space="0" w:color="auto"/>
      </w:divBdr>
    </w:div>
    <w:div w:id="1309244421">
      <w:bodyDiv w:val="1"/>
      <w:marLeft w:val="0"/>
      <w:marRight w:val="0"/>
      <w:marTop w:val="0"/>
      <w:marBottom w:val="0"/>
      <w:divBdr>
        <w:top w:val="none" w:sz="0" w:space="0" w:color="auto"/>
        <w:left w:val="none" w:sz="0" w:space="0" w:color="auto"/>
        <w:bottom w:val="none" w:sz="0" w:space="0" w:color="auto"/>
        <w:right w:val="none" w:sz="0" w:space="0" w:color="auto"/>
      </w:divBdr>
    </w:div>
    <w:div w:id="1314603391">
      <w:bodyDiv w:val="1"/>
      <w:marLeft w:val="0"/>
      <w:marRight w:val="0"/>
      <w:marTop w:val="0"/>
      <w:marBottom w:val="0"/>
      <w:divBdr>
        <w:top w:val="none" w:sz="0" w:space="0" w:color="auto"/>
        <w:left w:val="none" w:sz="0" w:space="0" w:color="auto"/>
        <w:bottom w:val="none" w:sz="0" w:space="0" w:color="auto"/>
        <w:right w:val="none" w:sz="0" w:space="0" w:color="auto"/>
      </w:divBdr>
    </w:div>
    <w:div w:id="1316379219">
      <w:bodyDiv w:val="1"/>
      <w:marLeft w:val="0"/>
      <w:marRight w:val="0"/>
      <w:marTop w:val="0"/>
      <w:marBottom w:val="0"/>
      <w:divBdr>
        <w:top w:val="none" w:sz="0" w:space="0" w:color="auto"/>
        <w:left w:val="none" w:sz="0" w:space="0" w:color="auto"/>
        <w:bottom w:val="none" w:sz="0" w:space="0" w:color="auto"/>
        <w:right w:val="none" w:sz="0" w:space="0" w:color="auto"/>
      </w:divBdr>
      <w:divsChild>
        <w:div w:id="816921375">
          <w:marLeft w:val="0"/>
          <w:marRight w:val="0"/>
          <w:marTop w:val="0"/>
          <w:marBottom w:val="0"/>
          <w:divBdr>
            <w:top w:val="none" w:sz="0" w:space="0" w:color="auto"/>
            <w:left w:val="none" w:sz="0" w:space="0" w:color="auto"/>
            <w:bottom w:val="none" w:sz="0" w:space="0" w:color="auto"/>
            <w:right w:val="none" w:sz="0" w:space="0" w:color="auto"/>
          </w:divBdr>
        </w:div>
        <w:div w:id="1743331068">
          <w:marLeft w:val="0"/>
          <w:marRight w:val="0"/>
          <w:marTop w:val="0"/>
          <w:marBottom w:val="0"/>
          <w:divBdr>
            <w:top w:val="none" w:sz="0" w:space="0" w:color="auto"/>
            <w:left w:val="none" w:sz="0" w:space="0" w:color="auto"/>
            <w:bottom w:val="none" w:sz="0" w:space="0" w:color="auto"/>
            <w:right w:val="none" w:sz="0" w:space="0" w:color="auto"/>
          </w:divBdr>
        </w:div>
        <w:div w:id="2037384464">
          <w:marLeft w:val="0"/>
          <w:marRight w:val="0"/>
          <w:marTop w:val="0"/>
          <w:marBottom w:val="0"/>
          <w:divBdr>
            <w:top w:val="none" w:sz="0" w:space="0" w:color="auto"/>
            <w:left w:val="none" w:sz="0" w:space="0" w:color="auto"/>
            <w:bottom w:val="none" w:sz="0" w:space="0" w:color="auto"/>
            <w:right w:val="none" w:sz="0" w:space="0" w:color="auto"/>
          </w:divBdr>
          <w:divsChild>
            <w:div w:id="894002573">
              <w:marLeft w:val="0"/>
              <w:marRight w:val="0"/>
              <w:marTop w:val="0"/>
              <w:marBottom w:val="0"/>
              <w:divBdr>
                <w:top w:val="none" w:sz="0" w:space="0" w:color="auto"/>
                <w:left w:val="none" w:sz="0" w:space="0" w:color="auto"/>
                <w:bottom w:val="none" w:sz="0" w:space="0" w:color="auto"/>
                <w:right w:val="none" w:sz="0" w:space="0" w:color="auto"/>
              </w:divBdr>
            </w:div>
            <w:div w:id="17960199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896798">
      <w:bodyDiv w:val="1"/>
      <w:marLeft w:val="0"/>
      <w:marRight w:val="0"/>
      <w:marTop w:val="0"/>
      <w:marBottom w:val="0"/>
      <w:divBdr>
        <w:top w:val="none" w:sz="0" w:space="0" w:color="auto"/>
        <w:left w:val="none" w:sz="0" w:space="0" w:color="auto"/>
        <w:bottom w:val="none" w:sz="0" w:space="0" w:color="auto"/>
        <w:right w:val="none" w:sz="0" w:space="0" w:color="auto"/>
      </w:divBdr>
      <w:divsChild>
        <w:div w:id="620846729">
          <w:marLeft w:val="274"/>
          <w:marRight w:val="0"/>
          <w:marTop w:val="0"/>
          <w:marBottom w:val="0"/>
          <w:divBdr>
            <w:top w:val="none" w:sz="0" w:space="0" w:color="auto"/>
            <w:left w:val="none" w:sz="0" w:space="0" w:color="auto"/>
            <w:bottom w:val="none" w:sz="0" w:space="0" w:color="auto"/>
            <w:right w:val="none" w:sz="0" w:space="0" w:color="auto"/>
          </w:divBdr>
        </w:div>
      </w:divsChild>
    </w:div>
    <w:div w:id="1333139554">
      <w:bodyDiv w:val="1"/>
      <w:marLeft w:val="0"/>
      <w:marRight w:val="0"/>
      <w:marTop w:val="0"/>
      <w:marBottom w:val="0"/>
      <w:divBdr>
        <w:top w:val="none" w:sz="0" w:space="0" w:color="auto"/>
        <w:left w:val="none" w:sz="0" w:space="0" w:color="auto"/>
        <w:bottom w:val="none" w:sz="0" w:space="0" w:color="auto"/>
        <w:right w:val="none" w:sz="0" w:space="0" w:color="auto"/>
      </w:divBdr>
      <w:divsChild>
        <w:div w:id="1169952520">
          <w:marLeft w:val="720"/>
          <w:marRight w:val="0"/>
          <w:marTop w:val="60"/>
          <w:marBottom w:val="0"/>
          <w:divBdr>
            <w:top w:val="none" w:sz="0" w:space="0" w:color="auto"/>
            <w:left w:val="none" w:sz="0" w:space="0" w:color="auto"/>
            <w:bottom w:val="none" w:sz="0" w:space="0" w:color="auto"/>
            <w:right w:val="none" w:sz="0" w:space="0" w:color="auto"/>
          </w:divBdr>
        </w:div>
        <w:div w:id="1756702808">
          <w:marLeft w:val="720"/>
          <w:marRight w:val="0"/>
          <w:marTop w:val="60"/>
          <w:marBottom w:val="0"/>
          <w:divBdr>
            <w:top w:val="none" w:sz="0" w:space="0" w:color="auto"/>
            <w:left w:val="none" w:sz="0" w:space="0" w:color="auto"/>
            <w:bottom w:val="none" w:sz="0" w:space="0" w:color="auto"/>
            <w:right w:val="none" w:sz="0" w:space="0" w:color="auto"/>
          </w:divBdr>
        </w:div>
        <w:div w:id="1819301622">
          <w:marLeft w:val="720"/>
          <w:marRight w:val="0"/>
          <w:marTop w:val="60"/>
          <w:marBottom w:val="0"/>
          <w:divBdr>
            <w:top w:val="none" w:sz="0" w:space="0" w:color="auto"/>
            <w:left w:val="none" w:sz="0" w:space="0" w:color="auto"/>
            <w:bottom w:val="none" w:sz="0" w:space="0" w:color="auto"/>
            <w:right w:val="none" w:sz="0" w:space="0" w:color="auto"/>
          </w:divBdr>
        </w:div>
      </w:divsChild>
    </w:div>
    <w:div w:id="1340700055">
      <w:bodyDiv w:val="1"/>
      <w:marLeft w:val="0"/>
      <w:marRight w:val="0"/>
      <w:marTop w:val="0"/>
      <w:marBottom w:val="0"/>
      <w:divBdr>
        <w:top w:val="none" w:sz="0" w:space="0" w:color="auto"/>
        <w:left w:val="none" w:sz="0" w:space="0" w:color="auto"/>
        <w:bottom w:val="none" w:sz="0" w:space="0" w:color="auto"/>
        <w:right w:val="none" w:sz="0" w:space="0" w:color="auto"/>
      </w:divBdr>
      <w:divsChild>
        <w:div w:id="2058161121">
          <w:marLeft w:val="720"/>
          <w:marRight w:val="0"/>
          <w:marTop w:val="60"/>
          <w:marBottom w:val="0"/>
          <w:divBdr>
            <w:top w:val="none" w:sz="0" w:space="0" w:color="auto"/>
            <w:left w:val="none" w:sz="0" w:space="0" w:color="auto"/>
            <w:bottom w:val="none" w:sz="0" w:space="0" w:color="auto"/>
            <w:right w:val="none" w:sz="0" w:space="0" w:color="auto"/>
          </w:divBdr>
        </w:div>
      </w:divsChild>
    </w:div>
    <w:div w:id="1346861508">
      <w:bodyDiv w:val="1"/>
      <w:marLeft w:val="0"/>
      <w:marRight w:val="0"/>
      <w:marTop w:val="0"/>
      <w:marBottom w:val="0"/>
      <w:divBdr>
        <w:top w:val="none" w:sz="0" w:space="0" w:color="auto"/>
        <w:left w:val="none" w:sz="0" w:space="0" w:color="auto"/>
        <w:bottom w:val="none" w:sz="0" w:space="0" w:color="auto"/>
        <w:right w:val="none" w:sz="0" w:space="0" w:color="auto"/>
      </w:divBdr>
    </w:div>
    <w:div w:id="1352997336">
      <w:bodyDiv w:val="1"/>
      <w:marLeft w:val="0"/>
      <w:marRight w:val="0"/>
      <w:marTop w:val="0"/>
      <w:marBottom w:val="0"/>
      <w:divBdr>
        <w:top w:val="none" w:sz="0" w:space="0" w:color="auto"/>
        <w:left w:val="none" w:sz="0" w:space="0" w:color="auto"/>
        <w:bottom w:val="none" w:sz="0" w:space="0" w:color="auto"/>
        <w:right w:val="none" w:sz="0" w:space="0" w:color="auto"/>
      </w:divBdr>
    </w:div>
    <w:div w:id="1358265218">
      <w:bodyDiv w:val="1"/>
      <w:marLeft w:val="0"/>
      <w:marRight w:val="0"/>
      <w:marTop w:val="0"/>
      <w:marBottom w:val="0"/>
      <w:divBdr>
        <w:top w:val="none" w:sz="0" w:space="0" w:color="auto"/>
        <w:left w:val="none" w:sz="0" w:space="0" w:color="auto"/>
        <w:bottom w:val="none" w:sz="0" w:space="0" w:color="auto"/>
        <w:right w:val="none" w:sz="0" w:space="0" w:color="auto"/>
      </w:divBdr>
    </w:div>
    <w:div w:id="1361275520">
      <w:bodyDiv w:val="1"/>
      <w:marLeft w:val="0"/>
      <w:marRight w:val="0"/>
      <w:marTop w:val="0"/>
      <w:marBottom w:val="0"/>
      <w:divBdr>
        <w:top w:val="none" w:sz="0" w:space="0" w:color="auto"/>
        <w:left w:val="none" w:sz="0" w:space="0" w:color="auto"/>
        <w:bottom w:val="none" w:sz="0" w:space="0" w:color="auto"/>
        <w:right w:val="none" w:sz="0" w:space="0" w:color="auto"/>
      </w:divBdr>
    </w:div>
    <w:div w:id="1361472595">
      <w:bodyDiv w:val="1"/>
      <w:marLeft w:val="0"/>
      <w:marRight w:val="0"/>
      <w:marTop w:val="0"/>
      <w:marBottom w:val="0"/>
      <w:divBdr>
        <w:top w:val="none" w:sz="0" w:space="0" w:color="auto"/>
        <w:left w:val="none" w:sz="0" w:space="0" w:color="auto"/>
        <w:bottom w:val="none" w:sz="0" w:space="0" w:color="auto"/>
        <w:right w:val="none" w:sz="0" w:space="0" w:color="auto"/>
      </w:divBdr>
    </w:div>
    <w:div w:id="1361513873">
      <w:bodyDiv w:val="1"/>
      <w:marLeft w:val="0"/>
      <w:marRight w:val="0"/>
      <w:marTop w:val="0"/>
      <w:marBottom w:val="0"/>
      <w:divBdr>
        <w:top w:val="none" w:sz="0" w:space="0" w:color="auto"/>
        <w:left w:val="none" w:sz="0" w:space="0" w:color="auto"/>
        <w:bottom w:val="none" w:sz="0" w:space="0" w:color="auto"/>
        <w:right w:val="none" w:sz="0" w:space="0" w:color="auto"/>
      </w:divBdr>
    </w:div>
    <w:div w:id="1363441307">
      <w:bodyDiv w:val="1"/>
      <w:marLeft w:val="0"/>
      <w:marRight w:val="0"/>
      <w:marTop w:val="0"/>
      <w:marBottom w:val="0"/>
      <w:divBdr>
        <w:top w:val="none" w:sz="0" w:space="0" w:color="auto"/>
        <w:left w:val="none" w:sz="0" w:space="0" w:color="auto"/>
        <w:bottom w:val="none" w:sz="0" w:space="0" w:color="auto"/>
        <w:right w:val="none" w:sz="0" w:space="0" w:color="auto"/>
      </w:divBdr>
    </w:div>
    <w:div w:id="1379822557">
      <w:bodyDiv w:val="1"/>
      <w:marLeft w:val="0"/>
      <w:marRight w:val="0"/>
      <w:marTop w:val="0"/>
      <w:marBottom w:val="0"/>
      <w:divBdr>
        <w:top w:val="none" w:sz="0" w:space="0" w:color="auto"/>
        <w:left w:val="none" w:sz="0" w:space="0" w:color="auto"/>
        <w:bottom w:val="none" w:sz="0" w:space="0" w:color="auto"/>
        <w:right w:val="none" w:sz="0" w:space="0" w:color="auto"/>
      </w:divBdr>
    </w:div>
    <w:div w:id="1382249086">
      <w:bodyDiv w:val="1"/>
      <w:marLeft w:val="0"/>
      <w:marRight w:val="0"/>
      <w:marTop w:val="0"/>
      <w:marBottom w:val="0"/>
      <w:divBdr>
        <w:top w:val="none" w:sz="0" w:space="0" w:color="auto"/>
        <w:left w:val="none" w:sz="0" w:space="0" w:color="auto"/>
        <w:bottom w:val="none" w:sz="0" w:space="0" w:color="auto"/>
        <w:right w:val="none" w:sz="0" w:space="0" w:color="auto"/>
      </w:divBdr>
    </w:div>
    <w:div w:id="1387220853">
      <w:bodyDiv w:val="1"/>
      <w:marLeft w:val="0"/>
      <w:marRight w:val="0"/>
      <w:marTop w:val="0"/>
      <w:marBottom w:val="0"/>
      <w:divBdr>
        <w:top w:val="none" w:sz="0" w:space="0" w:color="auto"/>
        <w:left w:val="none" w:sz="0" w:space="0" w:color="auto"/>
        <w:bottom w:val="none" w:sz="0" w:space="0" w:color="auto"/>
        <w:right w:val="none" w:sz="0" w:space="0" w:color="auto"/>
      </w:divBdr>
    </w:div>
    <w:div w:id="1387601812">
      <w:bodyDiv w:val="1"/>
      <w:marLeft w:val="0"/>
      <w:marRight w:val="0"/>
      <w:marTop w:val="0"/>
      <w:marBottom w:val="0"/>
      <w:divBdr>
        <w:top w:val="none" w:sz="0" w:space="0" w:color="auto"/>
        <w:left w:val="none" w:sz="0" w:space="0" w:color="auto"/>
        <w:bottom w:val="none" w:sz="0" w:space="0" w:color="auto"/>
        <w:right w:val="none" w:sz="0" w:space="0" w:color="auto"/>
      </w:divBdr>
    </w:div>
    <w:div w:id="1402019887">
      <w:bodyDiv w:val="1"/>
      <w:marLeft w:val="0"/>
      <w:marRight w:val="0"/>
      <w:marTop w:val="0"/>
      <w:marBottom w:val="0"/>
      <w:divBdr>
        <w:top w:val="none" w:sz="0" w:space="0" w:color="auto"/>
        <w:left w:val="none" w:sz="0" w:space="0" w:color="auto"/>
        <w:bottom w:val="none" w:sz="0" w:space="0" w:color="auto"/>
        <w:right w:val="none" w:sz="0" w:space="0" w:color="auto"/>
      </w:divBdr>
    </w:div>
    <w:div w:id="1409499817">
      <w:bodyDiv w:val="1"/>
      <w:marLeft w:val="0"/>
      <w:marRight w:val="0"/>
      <w:marTop w:val="0"/>
      <w:marBottom w:val="0"/>
      <w:divBdr>
        <w:top w:val="none" w:sz="0" w:space="0" w:color="auto"/>
        <w:left w:val="none" w:sz="0" w:space="0" w:color="auto"/>
        <w:bottom w:val="none" w:sz="0" w:space="0" w:color="auto"/>
        <w:right w:val="none" w:sz="0" w:space="0" w:color="auto"/>
      </w:divBdr>
    </w:div>
    <w:div w:id="1419595256">
      <w:bodyDiv w:val="1"/>
      <w:marLeft w:val="0"/>
      <w:marRight w:val="0"/>
      <w:marTop w:val="0"/>
      <w:marBottom w:val="0"/>
      <w:divBdr>
        <w:top w:val="none" w:sz="0" w:space="0" w:color="auto"/>
        <w:left w:val="none" w:sz="0" w:space="0" w:color="auto"/>
        <w:bottom w:val="none" w:sz="0" w:space="0" w:color="auto"/>
        <w:right w:val="none" w:sz="0" w:space="0" w:color="auto"/>
      </w:divBdr>
    </w:div>
    <w:div w:id="1425223624">
      <w:bodyDiv w:val="1"/>
      <w:marLeft w:val="0"/>
      <w:marRight w:val="0"/>
      <w:marTop w:val="0"/>
      <w:marBottom w:val="0"/>
      <w:divBdr>
        <w:top w:val="none" w:sz="0" w:space="0" w:color="auto"/>
        <w:left w:val="none" w:sz="0" w:space="0" w:color="auto"/>
        <w:bottom w:val="none" w:sz="0" w:space="0" w:color="auto"/>
        <w:right w:val="none" w:sz="0" w:space="0" w:color="auto"/>
      </w:divBdr>
    </w:div>
    <w:div w:id="1428380590">
      <w:bodyDiv w:val="1"/>
      <w:marLeft w:val="0"/>
      <w:marRight w:val="0"/>
      <w:marTop w:val="0"/>
      <w:marBottom w:val="0"/>
      <w:divBdr>
        <w:top w:val="none" w:sz="0" w:space="0" w:color="auto"/>
        <w:left w:val="none" w:sz="0" w:space="0" w:color="auto"/>
        <w:bottom w:val="none" w:sz="0" w:space="0" w:color="auto"/>
        <w:right w:val="none" w:sz="0" w:space="0" w:color="auto"/>
      </w:divBdr>
    </w:div>
    <w:div w:id="1434398844">
      <w:bodyDiv w:val="1"/>
      <w:marLeft w:val="0"/>
      <w:marRight w:val="0"/>
      <w:marTop w:val="0"/>
      <w:marBottom w:val="0"/>
      <w:divBdr>
        <w:top w:val="none" w:sz="0" w:space="0" w:color="auto"/>
        <w:left w:val="none" w:sz="0" w:space="0" w:color="auto"/>
        <w:bottom w:val="none" w:sz="0" w:space="0" w:color="auto"/>
        <w:right w:val="none" w:sz="0" w:space="0" w:color="auto"/>
      </w:divBdr>
    </w:div>
    <w:div w:id="1436174137">
      <w:bodyDiv w:val="1"/>
      <w:marLeft w:val="0"/>
      <w:marRight w:val="0"/>
      <w:marTop w:val="0"/>
      <w:marBottom w:val="0"/>
      <w:divBdr>
        <w:top w:val="none" w:sz="0" w:space="0" w:color="auto"/>
        <w:left w:val="none" w:sz="0" w:space="0" w:color="auto"/>
        <w:bottom w:val="none" w:sz="0" w:space="0" w:color="auto"/>
        <w:right w:val="none" w:sz="0" w:space="0" w:color="auto"/>
      </w:divBdr>
    </w:div>
    <w:div w:id="1442795323">
      <w:bodyDiv w:val="1"/>
      <w:marLeft w:val="0"/>
      <w:marRight w:val="0"/>
      <w:marTop w:val="0"/>
      <w:marBottom w:val="0"/>
      <w:divBdr>
        <w:top w:val="none" w:sz="0" w:space="0" w:color="auto"/>
        <w:left w:val="none" w:sz="0" w:space="0" w:color="auto"/>
        <w:bottom w:val="none" w:sz="0" w:space="0" w:color="auto"/>
        <w:right w:val="none" w:sz="0" w:space="0" w:color="auto"/>
      </w:divBdr>
    </w:div>
    <w:div w:id="1443190178">
      <w:bodyDiv w:val="1"/>
      <w:marLeft w:val="0"/>
      <w:marRight w:val="0"/>
      <w:marTop w:val="0"/>
      <w:marBottom w:val="0"/>
      <w:divBdr>
        <w:top w:val="none" w:sz="0" w:space="0" w:color="auto"/>
        <w:left w:val="none" w:sz="0" w:space="0" w:color="auto"/>
        <w:bottom w:val="none" w:sz="0" w:space="0" w:color="auto"/>
        <w:right w:val="none" w:sz="0" w:space="0" w:color="auto"/>
      </w:divBdr>
    </w:div>
    <w:div w:id="1464536695">
      <w:bodyDiv w:val="1"/>
      <w:marLeft w:val="0"/>
      <w:marRight w:val="0"/>
      <w:marTop w:val="0"/>
      <w:marBottom w:val="0"/>
      <w:divBdr>
        <w:top w:val="none" w:sz="0" w:space="0" w:color="auto"/>
        <w:left w:val="none" w:sz="0" w:space="0" w:color="auto"/>
        <w:bottom w:val="none" w:sz="0" w:space="0" w:color="auto"/>
        <w:right w:val="none" w:sz="0" w:space="0" w:color="auto"/>
      </w:divBdr>
    </w:div>
    <w:div w:id="1466656993">
      <w:bodyDiv w:val="1"/>
      <w:marLeft w:val="0"/>
      <w:marRight w:val="0"/>
      <w:marTop w:val="0"/>
      <w:marBottom w:val="0"/>
      <w:divBdr>
        <w:top w:val="none" w:sz="0" w:space="0" w:color="auto"/>
        <w:left w:val="none" w:sz="0" w:space="0" w:color="auto"/>
        <w:bottom w:val="none" w:sz="0" w:space="0" w:color="auto"/>
        <w:right w:val="none" w:sz="0" w:space="0" w:color="auto"/>
      </w:divBdr>
      <w:divsChild>
        <w:div w:id="51661568">
          <w:marLeft w:val="720"/>
          <w:marRight w:val="0"/>
          <w:marTop w:val="60"/>
          <w:marBottom w:val="0"/>
          <w:divBdr>
            <w:top w:val="none" w:sz="0" w:space="0" w:color="auto"/>
            <w:left w:val="none" w:sz="0" w:space="0" w:color="auto"/>
            <w:bottom w:val="none" w:sz="0" w:space="0" w:color="auto"/>
            <w:right w:val="none" w:sz="0" w:space="0" w:color="auto"/>
          </w:divBdr>
        </w:div>
        <w:div w:id="383405694">
          <w:marLeft w:val="720"/>
          <w:marRight w:val="0"/>
          <w:marTop w:val="60"/>
          <w:marBottom w:val="0"/>
          <w:divBdr>
            <w:top w:val="none" w:sz="0" w:space="0" w:color="auto"/>
            <w:left w:val="none" w:sz="0" w:space="0" w:color="auto"/>
            <w:bottom w:val="none" w:sz="0" w:space="0" w:color="auto"/>
            <w:right w:val="none" w:sz="0" w:space="0" w:color="auto"/>
          </w:divBdr>
        </w:div>
        <w:div w:id="838227494">
          <w:marLeft w:val="720"/>
          <w:marRight w:val="0"/>
          <w:marTop w:val="60"/>
          <w:marBottom w:val="0"/>
          <w:divBdr>
            <w:top w:val="none" w:sz="0" w:space="0" w:color="auto"/>
            <w:left w:val="none" w:sz="0" w:space="0" w:color="auto"/>
            <w:bottom w:val="none" w:sz="0" w:space="0" w:color="auto"/>
            <w:right w:val="none" w:sz="0" w:space="0" w:color="auto"/>
          </w:divBdr>
        </w:div>
        <w:div w:id="2057317685">
          <w:marLeft w:val="720"/>
          <w:marRight w:val="0"/>
          <w:marTop w:val="60"/>
          <w:marBottom w:val="0"/>
          <w:divBdr>
            <w:top w:val="none" w:sz="0" w:space="0" w:color="auto"/>
            <w:left w:val="none" w:sz="0" w:space="0" w:color="auto"/>
            <w:bottom w:val="none" w:sz="0" w:space="0" w:color="auto"/>
            <w:right w:val="none" w:sz="0" w:space="0" w:color="auto"/>
          </w:divBdr>
        </w:div>
        <w:div w:id="2076202304">
          <w:marLeft w:val="720"/>
          <w:marRight w:val="0"/>
          <w:marTop w:val="60"/>
          <w:marBottom w:val="0"/>
          <w:divBdr>
            <w:top w:val="none" w:sz="0" w:space="0" w:color="auto"/>
            <w:left w:val="none" w:sz="0" w:space="0" w:color="auto"/>
            <w:bottom w:val="none" w:sz="0" w:space="0" w:color="auto"/>
            <w:right w:val="none" w:sz="0" w:space="0" w:color="auto"/>
          </w:divBdr>
        </w:div>
      </w:divsChild>
    </w:div>
    <w:div w:id="1488590432">
      <w:bodyDiv w:val="1"/>
      <w:marLeft w:val="0"/>
      <w:marRight w:val="0"/>
      <w:marTop w:val="0"/>
      <w:marBottom w:val="0"/>
      <w:divBdr>
        <w:top w:val="none" w:sz="0" w:space="0" w:color="auto"/>
        <w:left w:val="none" w:sz="0" w:space="0" w:color="auto"/>
        <w:bottom w:val="none" w:sz="0" w:space="0" w:color="auto"/>
        <w:right w:val="none" w:sz="0" w:space="0" w:color="auto"/>
      </w:divBdr>
      <w:divsChild>
        <w:div w:id="655836443">
          <w:marLeft w:val="720"/>
          <w:marRight w:val="0"/>
          <w:marTop w:val="60"/>
          <w:marBottom w:val="0"/>
          <w:divBdr>
            <w:top w:val="none" w:sz="0" w:space="0" w:color="auto"/>
            <w:left w:val="none" w:sz="0" w:space="0" w:color="auto"/>
            <w:bottom w:val="none" w:sz="0" w:space="0" w:color="auto"/>
            <w:right w:val="none" w:sz="0" w:space="0" w:color="auto"/>
          </w:divBdr>
        </w:div>
        <w:div w:id="1940870295">
          <w:marLeft w:val="720"/>
          <w:marRight w:val="0"/>
          <w:marTop w:val="60"/>
          <w:marBottom w:val="0"/>
          <w:divBdr>
            <w:top w:val="none" w:sz="0" w:space="0" w:color="auto"/>
            <w:left w:val="none" w:sz="0" w:space="0" w:color="auto"/>
            <w:bottom w:val="none" w:sz="0" w:space="0" w:color="auto"/>
            <w:right w:val="none" w:sz="0" w:space="0" w:color="auto"/>
          </w:divBdr>
        </w:div>
      </w:divsChild>
    </w:div>
    <w:div w:id="1495535352">
      <w:bodyDiv w:val="1"/>
      <w:marLeft w:val="0"/>
      <w:marRight w:val="0"/>
      <w:marTop w:val="0"/>
      <w:marBottom w:val="0"/>
      <w:divBdr>
        <w:top w:val="none" w:sz="0" w:space="0" w:color="auto"/>
        <w:left w:val="none" w:sz="0" w:space="0" w:color="auto"/>
        <w:bottom w:val="none" w:sz="0" w:space="0" w:color="auto"/>
        <w:right w:val="none" w:sz="0" w:space="0" w:color="auto"/>
      </w:divBdr>
    </w:div>
    <w:div w:id="1495760045">
      <w:bodyDiv w:val="1"/>
      <w:marLeft w:val="0"/>
      <w:marRight w:val="0"/>
      <w:marTop w:val="0"/>
      <w:marBottom w:val="0"/>
      <w:divBdr>
        <w:top w:val="none" w:sz="0" w:space="0" w:color="auto"/>
        <w:left w:val="none" w:sz="0" w:space="0" w:color="auto"/>
        <w:bottom w:val="none" w:sz="0" w:space="0" w:color="auto"/>
        <w:right w:val="none" w:sz="0" w:space="0" w:color="auto"/>
      </w:divBdr>
    </w:div>
    <w:div w:id="1497039271">
      <w:bodyDiv w:val="1"/>
      <w:marLeft w:val="0"/>
      <w:marRight w:val="0"/>
      <w:marTop w:val="0"/>
      <w:marBottom w:val="0"/>
      <w:divBdr>
        <w:top w:val="none" w:sz="0" w:space="0" w:color="auto"/>
        <w:left w:val="none" w:sz="0" w:space="0" w:color="auto"/>
        <w:bottom w:val="none" w:sz="0" w:space="0" w:color="auto"/>
        <w:right w:val="none" w:sz="0" w:space="0" w:color="auto"/>
      </w:divBdr>
      <w:divsChild>
        <w:div w:id="2111048140">
          <w:marLeft w:val="274"/>
          <w:marRight w:val="0"/>
          <w:marTop w:val="0"/>
          <w:marBottom w:val="120"/>
          <w:divBdr>
            <w:top w:val="none" w:sz="0" w:space="0" w:color="auto"/>
            <w:left w:val="none" w:sz="0" w:space="0" w:color="auto"/>
            <w:bottom w:val="none" w:sz="0" w:space="0" w:color="auto"/>
            <w:right w:val="none" w:sz="0" w:space="0" w:color="auto"/>
          </w:divBdr>
        </w:div>
      </w:divsChild>
    </w:div>
    <w:div w:id="1504202471">
      <w:bodyDiv w:val="1"/>
      <w:marLeft w:val="0"/>
      <w:marRight w:val="0"/>
      <w:marTop w:val="0"/>
      <w:marBottom w:val="0"/>
      <w:divBdr>
        <w:top w:val="none" w:sz="0" w:space="0" w:color="auto"/>
        <w:left w:val="none" w:sz="0" w:space="0" w:color="auto"/>
        <w:bottom w:val="none" w:sz="0" w:space="0" w:color="auto"/>
        <w:right w:val="none" w:sz="0" w:space="0" w:color="auto"/>
      </w:divBdr>
    </w:div>
    <w:div w:id="1508129877">
      <w:bodyDiv w:val="1"/>
      <w:marLeft w:val="0"/>
      <w:marRight w:val="0"/>
      <w:marTop w:val="0"/>
      <w:marBottom w:val="0"/>
      <w:divBdr>
        <w:top w:val="none" w:sz="0" w:space="0" w:color="auto"/>
        <w:left w:val="none" w:sz="0" w:space="0" w:color="auto"/>
        <w:bottom w:val="none" w:sz="0" w:space="0" w:color="auto"/>
        <w:right w:val="none" w:sz="0" w:space="0" w:color="auto"/>
      </w:divBdr>
      <w:divsChild>
        <w:div w:id="65733347">
          <w:marLeft w:val="274"/>
          <w:marRight w:val="0"/>
          <w:marTop w:val="0"/>
          <w:marBottom w:val="0"/>
          <w:divBdr>
            <w:top w:val="none" w:sz="0" w:space="0" w:color="auto"/>
            <w:left w:val="none" w:sz="0" w:space="0" w:color="auto"/>
            <w:bottom w:val="none" w:sz="0" w:space="0" w:color="auto"/>
            <w:right w:val="none" w:sz="0" w:space="0" w:color="auto"/>
          </w:divBdr>
        </w:div>
        <w:div w:id="76293641">
          <w:marLeft w:val="274"/>
          <w:marRight w:val="0"/>
          <w:marTop w:val="0"/>
          <w:marBottom w:val="0"/>
          <w:divBdr>
            <w:top w:val="none" w:sz="0" w:space="0" w:color="auto"/>
            <w:left w:val="none" w:sz="0" w:space="0" w:color="auto"/>
            <w:bottom w:val="none" w:sz="0" w:space="0" w:color="auto"/>
            <w:right w:val="none" w:sz="0" w:space="0" w:color="auto"/>
          </w:divBdr>
        </w:div>
        <w:div w:id="84814996">
          <w:marLeft w:val="274"/>
          <w:marRight w:val="0"/>
          <w:marTop w:val="0"/>
          <w:marBottom w:val="0"/>
          <w:divBdr>
            <w:top w:val="none" w:sz="0" w:space="0" w:color="auto"/>
            <w:left w:val="none" w:sz="0" w:space="0" w:color="auto"/>
            <w:bottom w:val="none" w:sz="0" w:space="0" w:color="auto"/>
            <w:right w:val="none" w:sz="0" w:space="0" w:color="auto"/>
          </w:divBdr>
        </w:div>
        <w:div w:id="111831370">
          <w:marLeft w:val="994"/>
          <w:marRight w:val="0"/>
          <w:marTop w:val="0"/>
          <w:marBottom w:val="0"/>
          <w:divBdr>
            <w:top w:val="none" w:sz="0" w:space="0" w:color="auto"/>
            <w:left w:val="none" w:sz="0" w:space="0" w:color="auto"/>
            <w:bottom w:val="none" w:sz="0" w:space="0" w:color="auto"/>
            <w:right w:val="none" w:sz="0" w:space="0" w:color="auto"/>
          </w:divBdr>
        </w:div>
        <w:div w:id="242031401">
          <w:marLeft w:val="274"/>
          <w:marRight w:val="0"/>
          <w:marTop w:val="0"/>
          <w:marBottom w:val="0"/>
          <w:divBdr>
            <w:top w:val="none" w:sz="0" w:space="0" w:color="auto"/>
            <w:left w:val="none" w:sz="0" w:space="0" w:color="auto"/>
            <w:bottom w:val="none" w:sz="0" w:space="0" w:color="auto"/>
            <w:right w:val="none" w:sz="0" w:space="0" w:color="auto"/>
          </w:divBdr>
        </w:div>
        <w:div w:id="249432122">
          <w:marLeft w:val="274"/>
          <w:marRight w:val="0"/>
          <w:marTop w:val="0"/>
          <w:marBottom w:val="0"/>
          <w:divBdr>
            <w:top w:val="none" w:sz="0" w:space="0" w:color="auto"/>
            <w:left w:val="none" w:sz="0" w:space="0" w:color="auto"/>
            <w:bottom w:val="none" w:sz="0" w:space="0" w:color="auto"/>
            <w:right w:val="none" w:sz="0" w:space="0" w:color="auto"/>
          </w:divBdr>
        </w:div>
        <w:div w:id="276259524">
          <w:marLeft w:val="274"/>
          <w:marRight w:val="0"/>
          <w:marTop w:val="0"/>
          <w:marBottom w:val="0"/>
          <w:divBdr>
            <w:top w:val="none" w:sz="0" w:space="0" w:color="auto"/>
            <w:left w:val="none" w:sz="0" w:space="0" w:color="auto"/>
            <w:bottom w:val="none" w:sz="0" w:space="0" w:color="auto"/>
            <w:right w:val="none" w:sz="0" w:space="0" w:color="auto"/>
          </w:divBdr>
        </w:div>
        <w:div w:id="533664043">
          <w:marLeft w:val="274"/>
          <w:marRight w:val="0"/>
          <w:marTop w:val="0"/>
          <w:marBottom w:val="0"/>
          <w:divBdr>
            <w:top w:val="none" w:sz="0" w:space="0" w:color="auto"/>
            <w:left w:val="none" w:sz="0" w:space="0" w:color="auto"/>
            <w:bottom w:val="none" w:sz="0" w:space="0" w:color="auto"/>
            <w:right w:val="none" w:sz="0" w:space="0" w:color="auto"/>
          </w:divBdr>
        </w:div>
        <w:div w:id="699163979">
          <w:marLeft w:val="274"/>
          <w:marRight w:val="0"/>
          <w:marTop w:val="0"/>
          <w:marBottom w:val="0"/>
          <w:divBdr>
            <w:top w:val="none" w:sz="0" w:space="0" w:color="auto"/>
            <w:left w:val="none" w:sz="0" w:space="0" w:color="auto"/>
            <w:bottom w:val="none" w:sz="0" w:space="0" w:color="auto"/>
            <w:right w:val="none" w:sz="0" w:space="0" w:color="auto"/>
          </w:divBdr>
        </w:div>
        <w:div w:id="716201838">
          <w:marLeft w:val="994"/>
          <w:marRight w:val="0"/>
          <w:marTop w:val="0"/>
          <w:marBottom w:val="0"/>
          <w:divBdr>
            <w:top w:val="none" w:sz="0" w:space="0" w:color="auto"/>
            <w:left w:val="none" w:sz="0" w:space="0" w:color="auto"/>
            <w:bottom w:val="none" w:sz="0" w:space="0" w:color="auto"/>
            <w:right w:val="none" w:sz="0" w:space="0" w:color="auto"/>
          </w:divBdr>
        </w:div>
        <w:div w:id="753404704">
          <w:marLeft w:val="274"/>
          <w:marRight w:val="0"/>
          <w:marTop w:val="0"/>
          <w:marBottom w:val="0"/>
          <w:divBdr>
            <w:top w:val="none" w:sz="0" w:space="0" w:color="auto"/>
            <w:left w:val="none" w:sz="0" w:space="0" w:color="auto"/>
            <w:bottom w:val="none" w:sz="0" w:space="0" w:color="auto"/>
            <w:right w:val="none" w:sz="0" w:space="0" w:color="auto"/>
          </w:divBdr>
        </w:div>
        <w:div w:id="853765004">
          <w:marLeft w:val="274"/>
          <w:marRight w:val="0"/>
          <w:marTop w:val="0"/>
          <w:marBottom w:val="0"/>
          <w:divBdr>
            <w:top w:val="none" w:sz="0" w:space="0" w:color="auto"/>
            <w:left w:val="none" w:sz="0" w:space="0" w:color="auto"/>
            <w:bottom w:val="none" w:sz="0" w:space="0" w:color="auto"/>
            <w:right w:val="none" w:sz="0" w:space="0" w:color="auto"/>
          </w:divBdr>
        </w:div>
        <w:div w:id="941182436">
          <w:marLeft w:val="274"/>
          <w:marRight w:val="0"/>
          <w:marTop w:val="0"/>
          <w:marBottom w:val="0"/>
          <w:divBdr>
            <w:top w:val="none" w:sz="0" w:space="0" w:color="auto"/>
            <w:left w:val="none" w:sz="0" w:space="0" w:color="auto"/>
            <w:bottom w:val="none" w:sz="0" w:space="0" w:color="auto"/>
            <w:right w:val="none" w:sz="0" w:space="0" w:color="auto"/>
          </w:divBdr>
        </w:div>
        <w:div w:id="947152809">
          <w:marLeft w:val="274"/>
          <w:marRight w:val="0"/>
          <w:marTop w:val="0"/>
          <w:marBottom w:val="0"/>
          <w:divBdr>
            <w:top w:val="none" w:sz="0" w:space="0" w:color="auto"/>
            <w:left w:val="none" w:sz="0" w:space="0" w:color="auto"/>
            <w:bottom w:val="none" w:sz="0" w:space="0" w:color="auto"/>
            <w:right w:val="none" w:sz="0" w:space="0" w:color="auto"/>
          </w:divBdr>
        </w:div>
        <w:div w:id="1132597274">
          <w:marLeft w:val="274"/>
          <w:marRight w:val="0"/>
          <w:marTop w:val="0"/>
          <w:marBottom w:val="0"/>
          <w:divBdr>
            <w:top w:val="none" w:sz="0" w:space="0" w:color="auto"/>
            <w:left w:val="none" w:sz="0" w:space="0" w:color="auto"/>
            <w:bottom w:val="none" w:sz="0" w:space="0" w:color="auto"/>
            <w:right w:val="none" w:sz="0" w:space="0" w:color="auto"/>
          </w:divBdr>
        </w:div>
        <w:div w:id="1423647504">
          <w:marLeft w:val="274"/>
          <w:marRight w:val="0"/>
          <w:marTop w:val="0"/>
          <w:marBottom w:val="0"/>
          <w:divBdr>
            <w:top w:val="none" w:sz="0" w:space="0" w:color="auto"/>
            <w:left w:val="none" w:sz="0" w:space="0" w:color="auto"/>
            <w:bottom w:val="none" w:sz="0" w:space="0" w:color="auto"/>
            <w:right w:val="none" w:sz="0" w:space="0" w:color="auto"/>
          </w:divBdr>
        </w:div>
        <w:div w:id="1679504931">
          <w:marLeft w:val="994"/>
          <w:marRight w:val="0"/>
          <w:marTop w:val="0"/>
          <w:marBottom w:val="0"/>
          <w:divBdr>
            <w:top w:val="none" w:sz="0" w:space="0" w:color="auto"/>
            <w:left w:val="none" w:sz="0" w:space="0" w:color="auto"/>
            <w:bottom w:val="none" w:sz="0" w:space="0" w:color="auto"/>
            <w:right w:val="none" w:sz="0" w:space="0" w:color="auto"/>
          </w:divBdr>
        </w:div>
        <w:div w:id="1712076976">
          <w:marLeft w:val="994"/>
          <w:marRight w:val="0"/>
          <w:marTop w:val="0"/>
          <w:marBottom w:val="0"/>
          <w:divBdr>
            <w:top w:val="none" w:sz="0" w:space="0" w:color="auto"/>
            <w:left w:val="none" w:sz="0" w:space="0" w:color="auto"/>
            <w:bottom w:val="none" w:sz="0" w:space="0" w:color="auto"/>
            <w:right w:val="none" w:sz="0" w:space="0" w:color="auto"/>
          </w:divBdr>
        </w:div>
        <w:div w:id="1860509918">
          <w:marLeft w:val="274"/>
          <w:marRight w:val="0"/>
          <w:marTop w:val="0"/>
          <w:marBottom w:val="0"/>
          <w:divBdr>
            <w:top w:val="none" w:sz="0" w:space="0" w:color="auto"/>
            <w:left w:val="none" w:sz="0" w:space="0" w:color="auto"/>
            <w:bottom w:val="none" w:sz="0" w:space="0" w:color="auto"/>
            <w:right w:val="none" w:sz="0" w:space="0" w:color="auto"/>
          </w:divBdr>
        </w:div>
        <w:div w:id="2044331200">
          <w:marLeft w:val="274"/>
          <w:marRight w:val="0"/>
          <w:marTop w:val="0"/>
          <w:marBottom w:val="0"/>
          <w:divBdr>
            <w:top w:val="none" w:sz="0" w:space="0" w:color="auto"/>
            <w:left w:val="none" w:sz="0" w:space="0" w:color="auto"/>
            <w:bottom w:val="none" w:sz="0" w:space="0" w:color="auto"/>
            <w:right w:val="none" w:sz="0" w:space="0" w:color="auto"/>
          </w:divBdr>
        </w:div>
      </w:divsChild>
    </w:div>
    <w:div w:id="1519200332">
      <w:bodyDiv w:val="1"/>
      <w:marLeft w:val="0"/>
      <w:marRight w:val="0"/>
      <w:marTop w:val="0"/>
      <w:marBottom w:val="0"/>
      <w:divBdr>
        <w:top w:val="none" w:sz="0" w:space="0" w:color="auto"/>
        <w:left w:val="none" w:sz="0" w:space="0" w:color="auto"/>
        <w:bottom w:val="none" w:sz="0" w:space="0" w:color="auto"/>
        <w:right w:val="none" w:sz="0" w:space="0" w:color="auto"/>
      </w:divBdr>
      <w:divsChild>
        <w:div w:id="141971603">
          <w:marLeft w:val="547"/>
          <w:marRight w:val="0"/>
          <w:marTop w:val="0"/>
          <w:marBottom w:val="0"/>
          <w:divBdr>
            <w:top w:val="none" w:sz="0" w:space="0" w:color="auto"/>
            <w:left w:val="none" w:sz="0" w:space="0" w:color="auto"/>
            <w:bottom w:val="none" w:sz="0" w:space="0" w:color="auto"/>
            <w:right w:val="none" w:sz="0" w:space="0" w:color="auto"/>
          </w:divBdr>
        </w:div>
        <w:div w:id="176120700">
          <w:marLeft w:val="274"/>
          <w:marRight w:val="0"/>
          <w:marTop w:val="0"/>
          <w:marBottom w:val="0"/>
          <w:divBdr>
            <w:top w:val="none" w:sz="0" w:space="0" w:color="auto"/>
            <w:left w:val="none" w:sz="0" w:space="0" w:color="auto"/>
            <w:bottom w:val="none" w:sz="0" w:space="0" w:color="auto"/>
            <w:right w:val="none" w:sz="0" w:space="0" w:color="auto"/>
          </w:divBdr>
        </w:div>
        <w:div w:id="458963352">
          <w:marLeft w:val="547"/>
          <w:marRight w:val="0"/>
          <w:marTop w:val="0"/>
          <w:marBottom w:val="0"/>
          <w:divBdr>
            <w:top w:val="none" w:sz="0" w:space="0" w:color="auto"/>
            <w:left w:val="none" w:sz="0" w:space="0" w:color="auto"/>
            <w:bottom w:val="none" w:sz="0" w:space="0" w:color="auto"/>
            <w:right w:val="none" w:sz="0" w:space="0" w:color="auto"/>
          </w:divBdr>
        </w:div>
        <w:div w:id="570770371">
          <w:marLeft w:val="274"/>
          <w:marRight w:val="0"/>
          <w:marTop w:val="0"/>
          <w:marBottom w:val="0"/>
          <w:divBdr>
            <w:top w:val="none" w:sz="0" w:space="0" w:color="auto"/>
            <w:left w:val="none" w:sz="0" w:space="0" w:color="auto"/>
            <w:bottom w:val="none" w:sz="0" w:space="0" w:color="auto"/>
            <w:right w:val="none" w:sz="0" w:space="0" w:color="auto"/>
          </w:divBdr>
        </w:div>
        <w:div w:id="792558511">
          <w:marLeft w:val="274"/>
          <w:marRight w:val="0"/>
          <w:marTop w:val="0"/>
          <w:marBottom w:val="0"/>
          <w:divBdr>
            <w:top w:val="none" w:sz="0" w:space="0" w:color="auto"/>
            <w:left w:val="none" w:sz="0" w:space="0" w:color="auto"/>
            <w:bottom w:val="none" w:sz="0" w:space="0" w:color="auto"/>
            <w:right w:val="none" w:sz="0" w:space="0" w:color="auto"/>
          </w:divBdr>
        </w:div>
        <w:div w:id="977416589">
          <w:marLeft w:val="547"/>
          <w:marRight w:val="0"/>
          <w:marTop w:val="0"/>
          <w:marBottom w:val="0"/>
          <w:divBdr>
            <w:top w:val="none" w:sz="0" w:space="0" w:color="auto"/>
            <w:left w:val="none" w:sz="0" w:space="0" w:color="auto"/>
            <w:bottom w:val="none" w:sz="0" w:space="0" w:color="auto"/>
            <w:right w:val="none" w:sz="0" w:space="0" w:color="auto"/>
          </w:divBdr>
        </w:div>
      </w:divsChild>
    </w:div>
    <w:div w:id="1529682287">
      <w:bodyDiv w:val="1"/>
      <w:marLeft w:val="0"/>
      <w:marRight w:val="0"/>
      <w:marTop w:val="0"/>
      <w:marBottom w:val="0"/>
      <w:divBdr>
        <w:top w:val="none" w:sz="0" w:space="0" w:color="auto"/>
        <w:left w:val="none" w:sz="0" w:space="0" w:color="auto"/>
        <w:bottom w:val="none" w:sz="0" w:space="0" w:color="auto"/>
        <w:right w:val="none" w:sz="0" w:space="0" w:color="auto"/>
      </w:divBdr>
      <w:divsChild>
        <w:div w:id="41367018">
          <w:marLeft w:val="0"/>
          <w:marRight w:val="0"/>
          <w:marTop w:val="0"/>
          <w:marBottom w:val="0"/>
          <w:divBdr>
            <w:top w:val="none" w:sz="0" w:space="0" w:color="auto"/>
            <w:left w:val="none" w:sz="0" w:space="0" w:color="auto"/>
            <w:bottom w:val="none" w:sz="0" w:space="0" w:color="auto"/>
            <w:right w:val="none" w:sz="0" w:space="0" w:color="auto"/>
          </w:divBdr>
          <w:divsChild>
            <w:div w:id="1154688026">
              <w:marLeft w:val="0"/>
              <w:marRight w:val="0"/>
              <w:marTop w:val="0"/>
              <w:marBottom w:val="0"/>
              <w:divBdr>
                <w:top w:val="none" w:sz="0" w:space="0" w:color="auto"/>
                <w:left w:val="none" w:sz="0" w:space="0" w:color="auto"/>
                <w:bottom w:val="none" w:sz="0" w:space="0" w:color="auto"/>
                <w:right w:val="none" w:sz="0" w:space="0" w:color="auto"/>
              </w:divBdr>
            </w:div>
          </w:divsChild>
        </w:div>
        <w:div w:id="203489722">
          <w:marLeft w:val="0"/>
          <w:marRight w:val="0"/>
          <w:marTop w:val="0"/>
          <w:marBottom w:val="0"/>
          <w:divBdr>
            <w:top w:val="none" w:sz="0" w:space="0" w:color="auto"/>
            <w:left w:val="none" w:sz="0" w:space="0" w:color="auto"/>
            <w:bottom w:val="none" w:sz="0" w:space="0" w:color="auto"/>
            <w:right w:val="none" w:sz="0" w:space="0" w:color="auto"/>
          </w:divBdr>
        </w:div>
      </w:divsChild>
    </w:div>
    <w:div w:id="1540782139">
      <w:bodyDiv w:val="1"/>
      <w:marLeft w:val="0"/>
      <w:marRight w:val="0"/>
      <w:marTop w:val="0"/>
      <w:marBottom w:val="0"/>
      <w:divBdr>
        <w:top w:val="none" w:sz="0" w:space="0" w:color="auto"/>
        <w:left w:val="none" w:sz="0" w:space="0" w:color="auto"/>
        <w:bottom w:val="none" w:sz="0" w:space="0" w:color="auto"/>
        <w:right w:val="none" w:sz="0" w:space="0" w:color="auto"/>
      </w:divBdr>
    </w:div>
    <w:div w:id="1543323834">
      <w:bodyDiv w:val="1"/>
      <w:marLeft w:val="0"/>
      <w:marRight w:val="0"/>
      <w:marTop w:val="0"/>
      <w:marBottom w:val="0"/>
      <w:divBdr>
        <w:top w:val="none" w:sz="0" w:space="0" w:color="auto"/>
        <w:left w:val="none" w:sz="0" w:space="0" w:color="auto"/>
        <w:bottom w:val="none" w:sz="0" w:space="0" w:color="auto"/>
        <w:right w:val="none" w:sz="0" w:space="0" w:color="auto"/>
      </w:divBdr>
    </w:div>
    <w:div w:id="1544176052">
      <w:bodyDiv w:val="1"/>
      <w:marLeft w:val="0"/>
      <w:marRight w:val="0"/>
      <w:marTop w:val="0"/>
      <w:marBottom w:val="0"/>
      <w:divBdr>
        <w:top w:val="none" w:sz="0" w:space="0" w:color="auto"/>
        <w:left w:val="none" w:sz="0" w:space="0" w:color="auto"/>
        <w:bottom w:val="none" w:sz="0" w:space="0" w:color="auto"/>
        <w:right w:val="none" w:sz="0" w:space="0" w:color="auto"/>
      </w:divBdr>
      <w:divsChild>
        <w:div w:id="1121993248">
          <w:marLeft w:val="720"/>
          <w:marRight w:val="0"/>
          <w:marTop w:val="60"/>
          <w:marBottom w:val="0"/>
          <w:divBdr>
            <w:top w:val="none" w:sz="0" w:space="0" w:color="auto"/>
            <w:left w:val="none" w:sz="0" w:space="0" w:color="auto"/>
            <w:bottom w:val="none" w:sz="0" w:space="0" w:color="auto"/>
            <w:right w:val="none" w:sz="0" w:space="0" w:color="auto"/>
          </w:divBdr>
        </w:div>
      </w:divsChild>
    </w:div>
    <w:div w:id="1553466646">
      <w:bodyDiv w:val="1"/>
      <w:marLeft w:val="0"/>
      <w:marRight w:val="0"/>
      <w:marTop w:val="0"/>
      <w:marBottom w:val="0"/>
      <w:divBdr>
        <w:top w:val="none" w:sz="0" w:space="0" w:color="auto"/>
        <w:left w:val="none" w:sz="0" w:space="0" w:color="auto"/>
        <w:bottom w:val="none" w:sz="0" w:space="0" w:color="auto"/>
        <w:right w:val="none" w:sz="0" w:space="0" w:color="auto"/>
      </w:divBdr>
      <w:divsChild>
        <w:div w:id="127820836">
          <w:marLeft w:val="274"/>
          <w:marRight w:val="0"/>
          <w:marTop w:val="0"/>
          <w:marBottom w:val="80"/>
          <w:divBdr>
            <w:top w:val="none" w:sz="0" w:space="0" w:color="auto"/>
            <w:left w:val="none" w:sz="0" w:space="0" w:color="auto"/>
            <w:bottom w:val="none" w:sz="0" w:space="0" w:color="auto"/>
            <w:right w:val="none" w:sz="0" w:space="0" w:color="auto"/>
          </w:divBdr>
        </w:div>
        <w:div w:id="1673337459">
          <w:marLeft w:val="274"/>
          <w:marRight w:val="0"/>
          <w:marTop w:val="0"/>
          <w:marBottom w:val="80"/>
          <w:divBdr>
            <w:top w:val="none" w:sz="0" w:space="0" w:color="auto"/>
            <w:left w:val="none" w:sz="0" w:space="0" w:color="auto"/>
            <w:bottom w:val="none" w:sz="0" w:space="0" w:color="auto"/>
            <w:right w:val="none" w:sz="0" w:space="0" w:color="auto"/>
          </w:divBdr>
        </w:div>
      </w:divsChild>
    </w:div>
    <w:div w:id="1562059775">
      <w:bodyDiv w:val="1"/>
      <w:marLeft w:val="0"/>
      <w:marRight w:val="0"/>
      <w:marTop w:val="0"/>
      <w:marBottom w:val="0"/>
      <w:divBdr>
        <w:top w:val="none" w:sz="0" w:space="0" w:color="auto"/>
        <w:left w:val="none" w:sz="0" w:space="0" w:color="auto"/>
        <w:bottom w:val="none" w:sz="0" w:space="0" w:color="auto"/>
        <w:right w:val="none" w:sz="0" w:space="0" w:color="auto"/>
      </w:divBdr>
    </w:div>
    <w:div w:id="1571310328">
      <w:bodyDiv w:val="1"/>
      <w:marLeft w:val="0"/>
      <w:marRight w:val="0"/>
      <w:marTop w:val="0"/>
      <w:marBottom w:val="0"/>
      <w:divBdr>
        <w:top w:val="none" w:sz="0" w:space="0" w:color="auto"/>
        <w:left w:val="none" w:sz="0" w:space="0" w:color="auto"/>
        <w:bottom w:val="none" w:sz="0" w:space="0" w:color="auto"/>
        <w:right w:val="none" w:sz="0" w:space="0" w:color="auto"/>
      </w:divBdr>
      <w:divsChild>
        <w:div w:id="851996784">
          <w:marLeft w:val="274"/>
          <w:marRight w:val="0"/>
          <w:marTop w:val="0"/>
          <w:marBottom w:val="0"/>
          <w:divBdr>
            <w:top w:val="none" w:sz="0" w:space="0" w:color="auto"/>
            <w:left w:val="none" w:sz="0" w:space="0" w:color="auto"/>
            <w:bottom w:val="none" w:sz="0" w:space="0" w:color="auto"/>
            <w:right w:val="none" w:sz="0" w:space="0" w:color="auto"/>
          </w:divBdr>
        </w:div>
        <w:div w:id="1584606812">
          <w:marLeft w:val="274"/>
          <w:marRight w:val="0"/>
          <w:marTop w:val="0"/>
          <w:marBottom w:val="0"/>
          <w:divBdr>
            <w:top w:val="none" w:sz="0" w:space="0" w:color="auto"/>
            <w:left w:val="none" w:sz="0" w:space="0" w:color="auto"/>
            <w:bottom w:val="none" w:sz="0" w:space="0" w:color="auto"/>
            <w:right w:val="none" w:sz="0" w:space="0" w:color="auto"/>
          </w:divBdr>
        </w:div>
      </w:divsChild>
    </w:div>
    <w:div w:id="1573274443">
      <w:bodyDiv w:val="1"/>
      <w:marLeft w:val="0"/>
      <w:marRight w:val="0"/>
      <w:marTop w:val="0"/>
      <w:marBottom w:val="0"/>
      <w:divBdr>
        <w:top w:val="none" w:sz="0" w:space="0" w:color="auto"/>
        <w:left w:val="none" w:sz="0" w:space="0" w:color="auto"/>
        <w:bottom w:val="none" w:sz="0" w:space="0" w:color="auto"/>
        <w:right w:val="none" w:sz="0" w:space="0" w:color="auto"/>
      </w:divBdr>
    </w:div>
    <w:div w:id="1573545008">
      <w:bodyDiv w:val="1"/>
      <w:marLeft w:val="0"/>
      <w:marRight w:val="0"/>
      <w:marTop w:val="0"/>
      <w:marBottom w:val="0"/>
      <w:divBdr>
        <w:top w:val="none" w:sz="0" w:space="0" w:color="auto"/>
        <w:left w:val="none" w:sz="0" w:space="0" w:color="auto"/>
        <w:bottom w:val="none" w:sz="0" w:space="0" w:color="auto"/>
        <w:right w:val="none" w:sz="0" w:space="0" w:color="auto"/>
      </w:divBdr>
    </w:div>
    <w:div w:id="1583954038">
      <w:bodyDiv w:val="1"/>
      <w:marLeft w:val="0"/>
      <w:marRight w:val="0"/>
      <w:marTop w:val="0"/>
      <w:marBottom w:val="0"/>
      <w:divBdr>
        <w:top w:val="none" w:sz="0" w:space="0" w:color="auto"/>
        <w:left w:val="none" w:sz="0" w:space="0" w:color="auto"/>
        <w:bottom w:val="none" w:sz="0" w:space="0" w:color="auto"/>
        <w:right w:val="none" w:sz="0" w:space="0" w:color="auto"/>
      </w:divBdr>
    </w:div>
    <w:div w:id="1588148410">
      <w:bodyDiv w:val="1"/>
      <w:marLeft w:val="0"/>
      <w:marRight w:val="0"/>
      <w:marTop w:val="0"/>
      <w:marBottom w:val="0"/>
      <w:divBdr>
        <w:top w:val="none" w:sz="0" w:space="0" w:color="auto"/>
        <w:left w:val="none" w:sz="0" w:space="0" w:color="auto"/>
        <w:bottom w:val="none" w:sz="0" w:space="0" w:color="auto"/>
        <w:right w:val="none" w:sz="0" w:space="0" w:color="auto"/>
      </w:divBdr>
      <w:divsChild>
        <w:div w:id="836117702">
          <w:marLeft w:val="274"/>
          <w:marRight w:val="0"/>
          <w:marTop w:val="0"/>
          <w:marBottom w:val="80"/>
          <w:divBdr>
            <w:top w:val="none" w:sz="0" w:space="0" w:color="auto"/>
            <w:left w:val="none" w:sz="0" w:space="0" w:color="auto"/>
            <w:bottom w:val="none" w:sz="0" w:space="0" w:color="auto"/>
            <w:right w:val="none" w:sz="0" w:space="0" w:color="auto"/>
          </w:divBdr>
        </w:div>
        <w:div w:id="1788692169">
          <w:marLeft w:val="274"/>
          <w:marRight w:val="0"/>
          <w:marTop w:val="0"/>
          <w:marBottom w:val="80"/>
          <w:divBdr>
            <w:top w:val="none" w:sz="0" w:space="0" w:color="auto"/>
            <w:left w:val="none" w:sz="0" w:space="0" w:color="auto"/>
            <w:bottom w:val="none" w:sz="0" w:space="0" w:color="auto"/>
            <w:right w:val="none" w:sz="0" w:space="0" w:color="auto"/>
          </w:divBdr>
        </w:div>
      </w:divsChild>
    </w:div>
    <w:div w:id="1589390246">
      <w:bodyDiv w:val="1"/>
      <w:marLeft w:val="0"/>
      <w:marRight w:val="0"/>
      <w:marTop w:val="0"/>
      <w:marBottom w:val="0"/>
      <w:divBdr>
        <w:top w:val="none" w:sz="0" w:space="0" w:color="auto"/>
        <w:left w:val="none" w:sz="0" w:space="0" w:color="auto"/>
        <w:bottom w:val="none" w:sz="0" w:space="0" w:color="auto"/>
        <w:right w:val="none" w:sz="0" w:space="0" w:color="auto"/>
      </w:divBdr>
    </w:div>
    <w:div w:id="1591355560">
      <w:bodyDiv w:val="1"/>
      <w:marLeft w:val="0"/>
      <w:marRight w:val="0"/>
      <w:marTop w:val="0"/>
      <w:marBottom w:val="0"/>
      <w:divBdr>
        <w:top w:val="none" w:sz="0" w:space="0" w:color="auto"/>
        <w:left w:val="none" w:sz="0" w:space="0" w:color="auto"/>
        <w:bottom w:val="none" w:sz="0" w:space="0" w:color="auto"/>
        <w:right w:val="none" w:sz="0" w:space="0" w:color="auto"/>
      </w:divBdr>
    </w:div>
    <w:div w:id="1617567761">
      <w:bodyDiv w:val="1"/>
      <w:marLeft w:val="0"/>
      <w:marRight w:val="0"/>
      <w:marTop w:val="0"/>
      <w:marBottom w:val="0"/>
      <w:divBdr>
        <w:top w:val="none" w:sz="0" w:space="0" w:color="auto"/>
        <w:left w:val="none" w:sz="0" w:space="0" w:color="auto"/>
        <w:bottom w:val="none" w:sz="0" w:space="0" w:color="auto"/>
        <w:right w:val="none" w:sz="0" w:space="0" w:color="auto"/>
      </w:divBdr>
    </w:div>
    <w:div w:id="1618684457">
      <w:bodyDiv w:val="1"/>
      <w:marLeft w:val="0"/>
      <w:marRight w:val="0"/>
      <w:marTop w:val="0"/>
      <w:marBottom w:val="0"/>
      <w:divBdr>
        <w:top w:val="none" w:sz="0" w:space="0" w:color="auto"/>
        <w:left w:val="none" w:sz="0" w:space="0" w:color="auto"/>
        <w:bottom w:val="none" w:sz="0" w:space="0" w:color="auto"/>
        <w:right w:val="none" w:sz="0" w:space="0" w:color="auto"/>
      </w:divBdr>
    </w:div>
    <w:div w:id="1619415371">
      <w:bodyDiv w:val="1"/>
      <w:marLeft w:val="0"/>
      <w:marRight w:val="0"/>
      <w:marTop w:val="0"/>
      <w:marBottom w:val="0"/>
      <w:divBdr>
        <w:top w:val="none" w:sz="0" w:space="0" w:color="auto"/>
        <w:left w:val="none" w:sz="0" w:space="0" w:color="auto"/>
        <w:bottom w:val="none" w:sz="0" w:space="0" w:color="auto"/>
        <w:right w:val="none" w:sz="0" w:space="0" w:color="auto"/>
      </w:divBdr>
      <w:divsChild>
        <w:div w:id="191310229">
          <w:marLeft w:val="274"/>
          <w:marRight w:val="0"/>
          <w:marTop w:val="60"/>
          <w:marBottom w:val="0"/>
          <w:divBdr>
            <w:top w:val="none" w:sz="0" w:space="0" w:color="auto"/>
            <w:left w:val="none" w:sz="0" w:space="0" w:color="auto"/>
            <w:bottom w:val="none" w:sz="0" w:space="0" w:color="auto"/>
            <w:right w:val="none" w:sz="0" w:space="0" w:color="auto"/>
          </w:divBdr>
        </w:div>
        <w:div w:id="641929665">
          <w:marLeft w:val="274"/>
          <w:marRight w:val="0"/>
          <w:marTop w:val="60"/>
          <w:marBottom w:val="0"/>
          <w:divBdr>
            <w:top w:val="none" w:sz="0" w:space="0" w:color="auto"/>
            <w:left w:val="none" w:sz="0" w:space="0" w:color="auto"/>
            <w:bottom w:val="none" w:sz="0" w:space="0" w:color="auto"/>
            <w:right w:val="none" w:sz="0" w:space="0" w:color="auto"/>
          </w:divBdr>
        </w:div>
        <w:div w:id="1138642424">
          <w:marLeft w:val="274"/>
          <w:marRight w:val="0"/>
          <w:marTop w:val="0"/>
          <w:marBottom w:val="0"/>
          <w:divBdr>
            <w:top w:val="none" w:sz="0" w:space="0" w:color="auto"/>
            <w:left w:val="none" w:sz="0" w:space="0" w:color="auto"/>
            <w:bottom w:val="none" w:sz="0" w:space="0" w:color="auto"/>
            <w:right w:val="none" w:sz="0" w:space="0" w:color="auto"/>
          </w:divBdr>
        </w:div>
        <w:div w:id="1241450291">
          <w:marLeft w:val="274"/>
          <w:marRight w:val="0"/>
          <w:marTop w:val="60"/>
          <w:marBottom w:val="0"/>
          <w:divBdr>
            <w:top w:val="none" w:sz="0" w:space="0" w:color="auto"/>
            <w:left w:val="none" w:sz="0" w:space="0" w:color="auto"/>
            <w:bottom w:val="none" w:sz="0" w:space="0" w:color="auto"/>
            <w:right w:val="none" w:sz="0" w:space="0" w:color="auto"/>
          </w:divBdr>
        </w:div>
        <w:div w:id="1607424612">
          <w:marLeft w:val="274"/>
          <w:marRight w:val="0"/>
          <w:marTop w:val="60"/>
          <w:marBottom w:val="0"/>
          <w:divBdr>
            <w:top w:val="none" w:sz="0" w:space="0" w:color="auto"/>
            <w:left w:val="none" w:sz="0" w:space="0" w:color="auto"/>
            <w:bottom w:val="none" w:sz="0" w:space="0" w:color="auto"/>
            <w:right w:val="none" w:sz="0" w:space="0" w:color="auto"/>
          </w:divBdr>
        </w:div>
        <w:div w:id="1879002298">
          <w:marLeft w:val="274"/>
          <w:marRight w:val="0"/>
          <w:marTop w:val="60"/>
          <w:marBottom w:val="0"/>
          <w:divBdr>
            <w:top w:val="none" w:sz="0" w:space="0" w:color="auto"/>
            <w:left w:val="none" w:sz="0" w:space="0" w:color="auto"/>
            <w:bottom w:val="none" w:sz="0" w:space="0" w:color="auto"/>
            <w:right w:val="none" w:sz="0" w:space="0" w:color="auto"/>
          </w:divBdr>
        </w:div>
        <w:div w:id="1989438180">
          <w:marLeft w:val="274"/>
          <w:marRight w:val="0"/>
          <w:marTop w:val="0"/>
          <w:marBottom w:val="0"/>
          <w:divBdr>
            <w:top w:val="none" w:sz="0" w:space="0" w:color="auto"/>
            <w:left w:val="none" w:sz="0" w:space="0" w:color="auto"/>
            <w:bottom w:val="none" w:sz="0" w:space="0" w:color="auto"/>
            <w:right w:val="none" w:sz="0" w:space="0" w:color="auto"/>
          </w:divBdr>
        </w:div>
        <w:div w:id="2009208593">
          <w:marLeft w:val="274"/>
          <w:marRight w:val="0"/>
          <w:marTop w:val="60"/>
          <w:marBottom w:val="0"/>
          <w:divBdr>
            <w:top w:val="none" w:sz="0" w:space="0" w:color="auto"/>
            <w:left w:val="none" w:sz="0" w:space="0" w:color="auto"/>
            <w:bottom w:val="none" w:sz="0" w:space="0" w:color="auto"/>
            <w:right w:val="none" w:sz="0" w:space="0" w:color="auto"/>
          </w:divBdr>
        </w:div>
      </w:divsChild>
    </w:div>
    <w:div w:id="1624266439">
      <w:bodyDiv w:val="1"/>
      <w:marLeft w:val="0"/>
      <w:marRight w:val="0"/>
      <w:marTop w:val="0"/>
      <w:marBottom w:val="0"/>
      <w:divBdr>
        <w:top w:val="none" w:sz="0" w:space="0" w:color="auto"/>
        <w:left w:val="none" w:sz="0" w:space="0" w:color="auto"/>
        <w:bottom w:val="none" w:sz="0" w:space="0" w:color="auto"/>
        <w:right w:val="none" w:sz="0" w:space="0" w:color="auto"/>
      </w:divBdr>
    </w:div>
    <w:div w:id="1627002068">
      <w:bodyDiv w:val="1"/>
      <w:marLeft w:val="0"/>
      <w:marRight w:val="0"/>
      <w:marTop w:val="0"/>
      <w:marBottom w:val="0"/>
      <w:divBdr>
        <w:top w:val="none" w:sz="0" w:space="0" w:color="auto"/>
        <w:left w:val="none" w:sz="0" w:space="0" w:color="auto"/>
        <w:bottom w:val="none" w:sz="0" w:space="0" w:color="auto"/>
        <w:right w:val="none" w:sz="0" w:space="0" w:color="auto"/>
      </w:divBdr>
    </w:div>
    <w:div w:id="1631473216">
      <w:bodyDiv w:val="1"/>
      <w:marLeft w:val="0"/>
      <w:marRight w:val="0"/>
      <w:marTop w:val="0"/>
      <w:marBottom w:val="0"/>
      <w:divBdr>
        <w:top w:val="none" w:sz="0" w:space="0" w:color="auto"/>
        <w:left w:val="none" w:sz="0" w:space="0" w:color="auto"/>
        <w:bottom w:val="none" w:sz="0" w:space="0" w:color="auto"/>
        <w:right w:val="none" w:sz="0" w:space="0" w:color="auto"/>
      </w:divBdr>
      <w:divsChild>
        <w:div w:id="75709550">
          <w:marLeft w:val="0"/>
          <w:marRight w:val="0"/>
          <w:marTop w:val="0"/>
          <w:marBottom w:val="0"/>
          <w:divBdr>
            <w:top w:val="none" w:sz="0" w:space="0" w:color="auto"/>
            <w:left w:val="none" w:sz="0" w:space="0" w:color="auto"/>
            <w:bottom w:val="none" w:sz="0" w:space="0" w:color="auto"/>
            <w:right w:val="none" w:sz="0" w:space="0" w:color="auto"/>
          </w:divBdr>
        </w:div>
        <w:div w:id="123473844">
          <w:marLeft w:val="0"/>
          <w:marRight w:val="0"/>
          <w:marTop w:val="0"/>
          <w:marBottom w:val="0"/>
          <w:divBdr>
            <w:top w:val="none" w:sz="0" w:space="0" w:color="auto"/>
            <w:left w:val="none" w:sz="0" w:space="0" w:color="auto"/>
            <w:bottom w:val="none" w:sz="0" w:space="0" w:color="auto"/>
            <w:right w:val="none" w:sz="0" w:space="0" w:color="auto"/>
          </w:divBdr>
        </w:div>
        <w:div w:id="263652846">
          <w:marLeft w:val="0"/>
          <w:marRight w:val="0"/>
          <w:marTop w:val="0"/>
          <w:marBottom w:val="0"/>
          <w:divBdr>
            <w:top w:val="none" w:sz="0" w:space="0" w:color="auto"/>
            <w:left w:val="none" w:sz="0" w:space="0" w:color="auto"/>
            <w:bottom w:val="none" w:sz="0" w:space="0" w:color="auto"/>
            <w:right w:val="none" w:sz="0" w:space="0" w:color="auto"/>
          </w:divBdr>
        </w:div>
        <w:div w:id="328562210">
          <w:marLeft w:val="0"/>
          <w:marRight w:val="0"/>
          <w:marTop w:val="0"/>
          <w:marBottom w:val="0"/>
          <w:divBdr>
            <w:top w:val="none" w:sz="0" w:space="0" w:color="auto"/>
            <w:left w:val="none" w:sz="0" w:space="0" w:color="auto"/>
            <w:bottom w:val="none" w:sz="0" w:space="0" w:color="auto"/>
            <w:right w:val="none" w:sz="0" w:space="0" w:color="auto"/>
          </w:divBdr>
        </w:div>
        <w:div w:id="811291985">
          <w:marLeft w:val="0"/>
          <w:marRight w:val="0"/>
          <w:marTop w:val="0"/>
          <w:marBottom w:val="0"/>
          <w:divBdr>
            <w:top w:val="none" w:sz="0" w:space="0" w:color="auto"/>
            <w:left w:val="none" w:sz="0" w:space="0" w:color="auto"/>
            <w:bottom w:val="none" w:sz="0" w:space="0" w:color="auto"/>
            <w:right w:val="none" w:sz="0" w:space="0" w:color="auto"/>
          </w:divBdr>
        </w:div>
        <w:div w:id="1372146341">
          <w:marLeft w:val="0"/>
          <w:marRight w:val="0"/>
          <w:marTop w:val="0"/>
          <w:marBottom w:val="0"/>
          <w:divBdr>
            <w:top w:val="none" w:sz="0" w:space="0" w:color="auto"/>
            <w:left w:val="none" w:sz="0" w:space="0" w:color="auto"/>
            <w:bottom w:val="none" w:sz="0" w:space="0" w:color="auto"/>
            <w:right w:val="none" w:sz="0" w:space="0" w:color="auto"/>
          </w:divBdr>
        </w:div>
      </w:divsChild>
    </w:div>
    <w:div w:id="1634015768">
      <w:bodyDiv w:val="1"/>
      <w:marLeft w:val="0"/>
      <w:marRight w:val="0"/>
      <w:marTop w:val="0"/>
      <w:marBottom w:val="0"/>
      <w:divBdr>
        <w:top w:val="none" w:sz="0" w:space="0" w:color="auto"/>
        <w:left w:val="none" w:sz="0" w:space="0" w:color="auto"/>
        <w:bottom w:val="none" w:sz="0" w:space="0" w:color="auto"/>
        <w:right w:val="none" w:sz="0" w:space="0" w:color="auto"/>
      </w:divBdr>
    </w:div>
    <w:div w:id="1634481197">
      <w:bodyDiv w:val="1"/>
      <w:marLeft w:val="0"/>
      <w:marRight w:val="0"/>
      <w:marTop w:val="0"/>
      <w:marBottom w:val="0"/>
      <w:divBdr>
        <w:top w:val="none" w:sz="0" w:space="0" w:color="auto"/>
        <w:left w:val="none" w:sz="0" w:space="0" w:color="auto"/>
        <w:bottom w:val="none" w:sz="0" w:space="0" w:color="auto"/>
        <w:right w:val="none" w:sz="0" w:space="0" w:color="auto"/>
      </w:divBdr>
    </w:div>
    <w:div w:id="1635062348">
      <w:bodyDiv w:val="1"/>
      <w:marLeft w:val="0"/>
      <w:marRight w:val="0"/>
      <w:marTop w:val="0"/>
      <w:marBottom w:val="0"/>
      <w:divBdr>
        <w:top w:val="none" w:sz="0" w:space="0" w:color="auto"/>
        <w:left w:val="none" w:sz="0" w:space="0" w:color="auto"/>
        <w:bottom w:val="none" w:sz="0" w:space="0" w:color="auto"/>
        <w:right w:val="none" w:sz="0" w:space="0" w:color="auto"/>
      </w:divBdr>
    </w:div>
    <w:div w:id="1635409032">
      <w:bodyDiv w:val="1"/>
      <w:marLeft w:val="0"/>
      <w:marRight w:val="0"/>
      <w:marTop w:val="0"/>
      <w:marBottom w:val="0"/>
      <w:divBdr>
        <w:top w:val="none" w:sz="0" w:space="0" w:color="auto"/>
        <w:left w:val="none" w:sz="0" w:space="0" w:color="auto"/>
        <w:bottom w:val="none" w:sz="0" w:space="0" w:color="auto"/>
        <w:right w:val="none" w:sz="0" w:space="0" w:color="auto"/>
      </w:divBdr>
    </w:div>
    <w:div w:id="1636565172">
      <w:bodyDiv w:val="1"/>
      <w:marLeft w:val="0"/>
      <w:marRight w:val="0"/>
      <w:marTop w:val="0"/>
      <w:marBottom w:val="0"/>
      <w:divBdr>
        <w:top w:val="none" w:sz="0" w:space="0" w:color="auto"/>
        <w:left w:val="none" w:sz="0" w:space="0" w:color="auto"/>
        <w:bottom w:val="none" w:sz="0" w:space="0" w:color="auto"/>
        <w:right w:val="none" w:sz="0" w:space="0" w:color="auto"/>
      </w:divBdr>
      <w:divsChild>
        <w:div w:id="1299217268">
          <w:marLeft w:val="274"/>
          <w:marRight w:val="0"/>
          <w:marTop w:val="0"/>
          <w:marBottom w:val="0"/>
          <w:divBdr>
            <w:top w:val="none" w:sz="0" w:space="0" w:color="auto"/>
            <w:left w:val="none" w:sz="0" w:space="0" w:color="auto"/>
            <w:bottom w:val="none" w:sz="0" w:space="0" w:color="auto"/>
            <w:right w:val="none" w:sz="0" w:space="0" w:color="auto"/>
          </w:divBdr>
        </w:div>
        <w:div w:id="1412265678">
          <w:marLeft w:val="274"/>
          <w:marRight w:val="0"/>
          <w:marTop w:val="0"/>
          <w:marBottom w:val="0"/>
          <w:divBdr>
            <w:top w:val="none" w:sz="0" w:space="0" w:color="auto"/>
            <w:left w:val="none" w:sz="0" w:space="0" w:color="auto"/>
            <w:bottom w:val="none" w:sz="0" w:space="0" w:color="auto"/>
            <w:right w:val="none" w:sz="0" w:space="0" w:color="auto"/>
          </w:divBdr>
        </w:div>
        <w:div w:id="1851985667">
          <w:marLeft w:val="274"/>
          <w:marRight w:val="0"/>
          <w:marTop w:val="0"/>
          <w:marBottom w:val="0"/>
          <w:divBdr>
            <w:top w:val="none" w:sz="0" w:space="0" w:color="auto"/>
            <w:left w:val="none" w:sz="0" w:space="0" w:color="auto"/>
            <w:bottom w:val="none" w:sz="0" w:space="0" w:color="auto"/>
            <w:right w:val="none" w:sz="0" w:space="0" w:color="auto"/>
          </w:divBdr>
        </w:div>
      </w:divsChild>
    </w:div>
    <w:div w:id="1637028624">
      <w:bodyDiv w:val="1"/>
      <w:marLeft w:val="0"/>
      <w:marRight w:val="0"/>
      <w:marTop w:val="0"/>
      <w:marBottom w:val="0"/>
      <w:divBdr>
        <w:top w:val="none" w:sz="0" w:space="0" w:color="auto"/>
        <w:left w:val="none" w:sz="0" w:space="0" w:color="auto"/>
        <w:bottom w:val="none" w:sz="0" w:space="0" w:color="auto"/>
        <w:right w:val="none" w:sz="0" w:space="0" w:color="auto"/>
      </w:divBdr>
    </w:div>
    <w:div w:id="1647934447">
      <w:bodyDiv w:val="1"/>
      <w:marLeft w:val="0"/>
      <w:marRight w:val="0"/>
      <w:marTop w:val="0"/>
      <w:marBottom w:val="0"/>
      <w:divBdr>
        <w:top w:val="none" w:sz="0" w:space="0" w:color="auto"/>
        <w:left w:val="none" w:sz="0" w:space="0" w:color="auto"/>
        <w:bottom w:val="none" w:sz="0" w:space="0" w:color="auto"/>
        <w:right w:val="none" w:sz="0" w:space="0" w:color="auto"/>
      </w:divBdr>
    </w:div>
    <w:div w:id="1652254376">
      <w:bodyDiv w:val="1"/>
      <w:marLeft w:val="0"/>
      <w:marRight w:val="0"/>
      <w:marTop w:val="0"/>
      <w:marBottom w:val="0"/>
      <w:divBdr>
        <w:top w:val="none" w:sz="0" w:space="0" w:color="auto"/>
        <w:left w:val="none" w:sz="0" w:space="0" w:color="auto"/>
        <w:bottom w:val="none" w:sz="0" w:space="0" w:color="auto"/>
        <w:right w:val="none" w:sz="0" w:space="0" w:color="auto"/>
      </w:divBdr>
    </w:div>
    <w:div w:id="1664817374">
      <w:bodyDiv w:val="1"/>
      <w:marLeft w:val="0"/>
      <w:marRight w:val="0"/>
      <w:marTop w:val="0"/>
      <w:marBottom w:val="0"/>
      <w:divBdr>
        <w:top w:val="none" w:sz="0" w:space="0" w:color="auto"/>
        <w:left w:val="none" w:sz="0" w:space="0" w:color="auto"/>
        <w:bottom w:val="none" w:sz="0" w:space="0" w:color="auto"/>
        <w:right w:val="none" w:sz="0" w:space="0" w:color="auto"/>
      </w:divBdr>
    </w:div>
    <w:div w:id="1673335029">
      <w:bodyDiv w:val="1"/>
      <w:marLeft w:val="0"/>
      <w:marRight w:val="0"/>
      <w:marTop w:val="0"/>
      <w:marBottom w:val="0"/>
      <w:divBdr>
        <w:top w:val="none" w:sz="0" w:space="0" w:color="auto"/>
        <w:left w:val="none" w:sz="0" w:space="0" w:color="auto"/>
        <w:bottom w:val="none" w:sz="0" w:space="0" w:color="auto"/>
        <w:right w:val="none" w:sz="0" w:space="0" w:color="auto"/>
      </w:divBdr>
    </w:div>
    <w:div w:id="1684933605">
      <w:bodyDiv w:val="1"/>
      <w:marLeft w:val="0"/>
      <w:marRight w:val="0"/>
      <w:marTop w:val="0"/>
      <w:marBottom w:val="0"/>
      <w:divBdr>
        <w:top w:val="none" w:sz="0" w:space="0" w:color="auto"/>
        <w:left w:val="none" w:sz="0" w:space="0" w:color="auto"/>
        <w:bottom w:val="none" w:sz="0" w:space="0" w:color="auto"/>
        <w:right w:val="none" w:sz="0" w:space="0" w:color="auto"/>
      </w:divBdr>
    </w:div>
    <w:div w:id="1686713173">
      <w:bodyDiv w:val="1"/>
      <w:marLeft w:val="0"/>
      <w:marRight w:val="0"/>
      <w:marTop w:val="0"/>
      <w:marBottom w:val="0"/>
      <w:divBdr>
        <w:top w:val="none" w:sz="0" w:space="0" w:color="auto"/>
        <w:left w:val="none" w:sz="0" w:space="0" w:color="auto"/>
        <w:bottom w:val="none" w:sz="0" w:space="0" w:color="auto"/>
        <w:right w:val="none" w:sz="0" w:space="0" w:color="auto"/>
      </w:divBdr>
      <w:divsChild>
        <w:div w:id="669219563">
          <w:marLeft w:val="1166"/>
          <w:marRight w:val="0"/>
          <w:marTop w:val="60"/>
          <w:marBottom w:val="0"/>
          <w:divBdr>
            <w:top w:val="none" w:sz="0" w:space="0" w:color="auto"/>
            <w:left w:val="none" w:sz="0" w:space="0" w:color="auto"/>
            <w:bottom w:val="none" w:sz="0" w:space="0" w:color="auto"/>
            <w:right w:val="none" w:sz="0" w:space="0" w:color="auto"/>
          </w:divBdr>
        </w:div>
        <w:div w:id="678504811">
          <w:marLeft w:val="1166"/>
          <w:marRight w:val="0"/>
          <w:marTop w:val="60"/>
          <w:marBottom w:val="0"/>
          <w:divBdr>
            <w:top w:val="none" w:sz="0" w:space="0" w:color="auto"/>
            <w:left w:val="none" w:sz="0" w:space="0" w:color="auto"/>
            <w:bottom w:val="none" w:sz="0" w:space="0" w:color="auto"/>
            <w:right w:val="none" w:sz="0" w:space="0" w:color="auto"/>
          </w:divBdr>
        </w:div>
        <w:div w:id="1144541369">
          <w:marLeft w:val="1166"/>
          <w:marRight w:val="0"/>
          <w:marTop w:val="60"/>
          <w:marBottom w:val="0"/>
          <w:divBdr>
            <w:top w:val="none" w:sz="0" w:space="0" w:color="auto"/>
            <w:left w:val="none" w:sz="0" w:space="0" w:color="auto"/>
            <w:bottom w:val="none" w:sz="0" w:space="0" w:color="auto"/>
            <w:right w:val="none" w:sz="0" w:space="0" w:color="auto"/>
          </w:divBdr>
        </w:div>
      </w:divsChild>
    </w:div>
    <w:div w:id="1693262059">
      <w:bodyDiv w:val="1"/>
      <w:marLeft w:val="0"/>
      <w:marRight w:val="0"/>
      <w:marTop w:val="0"/>
      <w:marBottom w:val="0"/>
      <w:divBdr>
        <w:top w:val="none" w:sz="0" w:space="0" w:color="auto"/>
        <w:left w:val="none" w:sz="0" w:space="0" w:color="auto"/>
        <w:bottom w:val="none" w:sz="0" w:space="0" w:color="auto"/>
        <w:right w:val="none" w:sz="0" w:space="0" w:color="auto"/>
      </w:divBdr>
    </w:div>
    <w:div w:id="1697846792">
      <w:bodyDiv w:val="1"/>
      <w:marLeft w:val="0"/>
      <w:marRight w:val="0"/>
      <w:marTop w:val="0"/>
      <w:marBottom w:val="0"/>
      <w:divBdr>
        <w:top w:val="none" w:sz="0" w:space="0" w:color="auto"/>
        <w:left w:val="none" w:sz="0" w:space="0" w:color="auto"/>
        <w:bottom w:val="none" w:sz="0" w:space="0" w:color="auto"/>
        <w:right w:val="none" w:sz="0" w:space="0" w:color="auto"/>
      </w:divBdr>
    </w:div>
    <w:div w:id="1711954260">
      <w:bodyDiv w:val="1"/>
      <w:marLeft w:val="0"/>
      <w:marRight w:val="0"/>
      <w:marTop w:val="0"/>
      <w:marBottom w:val="0"/>
      <w:divBdr>
        <w:top w:val="none" w:sz="0" w:space="0" w:color="auto"/>
        <w:left w:val="none" w:sz="0" w:space="0" w:color="auto"/>
        <w:bottom w:val="none" w:sz="0" w:space="0" w:color="auto"/>
        <w:right w:val="none" w:sz="0" w:space="0" w:color="auto"/>
      </w:divBdr>
    </w:div>
    <w:div w:id="1717389363">
      <w:bodyDiv w:val="1"/>
      <w:marLeft w:val="0"/>
      <w:marRight w:val="0"/>
      <w:marTop w:val="0"/>
      <w:marBottom w:val="0"/>
      <w:divBdr>
        <w:top w:val="none" w:sz="0" w:space="0" w:color="auto"/>
        <w:left w:val="none" w:sz="0" w:space="0" w:color="auto"/>
        <w:bottom w:val="none" w:sz="0" w:space="0" w:color="auto"/>
        <w:right w:val="none" w:sz="0" w:space="0" w:color="auto"/>
      </w:divBdr>
    </w:div>
    <w:div w:id="1721129793">
      <w:bodyDiv w:val="1"/>
      <w:marLeft w:val="0"/>
      <w:marRight w:val="0"/>
      <w:marTop w:val="0"/>
      <w:marBottom w:val="0"/>
      <w:divBdr>
        <w:top w:val="none" w:sz="0" w:space="0" w:color="auto"/>
        <w:left w:val="none" w:sz="0" w:space="0" w:color="auto"/>
        <w:bottom w:val="none" w:sz="0" w:space="0" w:color="auto"/>
        <w:right w:val="none" w:sz="0" w:space="0" w:color="auto"/>
      </w:divBdr>
    </w:div>
    <w:div w:id="1724133535">
      <w:bodyDiv w:val="1"/>
      <w:marLeft w:val="0"/>
      <w:marRight w:val="0"/>
      <w:marTop w:val="0"/>
      <w:marBottom w:val="0"/>
      <w:divBdr>
        <w:top w:val="none" w:sz="0" w:space="0" w:color="auto"/>
        <w:left w:val="none" w:sz="0" w:space="0" w:color="auto"/>
        <w:bottom w:val="none" w:sz="0" w:space="0" w:color="auto"/>
        <w:right w:val="none" w:sz="0" w:space="0" w:color="auto"/>
      </w:divBdr>
      <w:divsChild>
        <w:div w:id="64500633">
          <w:marLeft w:val="274"/>
          <w:marRight w:val="0"/>
          <w:marTop w:val="60"/>
          <w:marBottom w:val="0"/>
          <w:divBdr>
            <w:top w:val="none" w:sz="0" w:space="0" w:color="auto"/>
            <w:left w:val="none" w:sz="0" w:space="0" w:color="auto"/>
            <w:bottom w:val="none" w:sz="0" w:space="0" w:color="auto"/>
            <w:right w:val="none" w:sz="0" w:space="0" w:color="auto"/>
          </w:divBdr>
        </w:div>
        <w:div w:id="85197884">
          <w:marLeft w:val="274"/>
          <w:marRight w:val="0"/>
          <w:marTop w:val="60"/>
          <w:marBottom w:val="0"/>
          <w:divBdr>
            <w:top w:val="none" w:sz="0" w:space="0" w:color="auto"/>
            <w:left w:val="none" w:sz="0" w:space="0" w:color="auto"/>
            <w:bottom w:val="none" w:sz="0" w:space="0" w:color="auto"/>
            <w:right w:val="none" w:sz="0" w:space="0" w:color="auto"/>
          </w:divBdr>
        </w:div>
        <w:div w:id="95296469">
          <w:marLeft w:val="274"/>
          <w:marRight w:val="0"/>
          <w:marTop w:val="60"/>
          <w:marBottom w:val="0"/>
          <w:divBdr>
            <w:top w:val="none" w:sz="0" w:space="0" w:color="auto"/>
            <w:left w:val="none" w:sz="0" w:space="0" w:color="auto"/>
            <w:bottom w:val="none" w:sz="0" w:space="0" w:color="auto"/>
            <w:right w:val="none" w:sz="0" w:space="0" w:color="auto"/>
          </w:divBdr>
        </w:div>
        <w:div w:id="115872152">
          <w:marLeft w:val="274"/>
          <w:marRight w:val="0"/>
          <w:marTop w:val="60"/>
          <w:marBottom w:val="0"/>
          <w:divBdr>
            <w:top w:val="none" w:sz="0" w:space="0" w:color="auto"/>
            <w:left w:val="none" w:sz="0" w:space="0" w:color="auto"/>
            <w:bottom w:val="none" w:sz="0" w:space="0" w:color="auto"/>
            <w:right w:val="none" w:sz="0" w:space="0" w:color="auto"/>
          </w:divBdr>
        </w:div>
        <w:div w:id="116068294">
          <w:marLeft w:val="274"/>
          <w:marRight w:val="0"/>
          <w:marTop w:val="60"/>
          <w:marBottom w:val="0"/>
          <w:divBdr>
            <w:top w:val="none" w:sz="0" w:space="0" w:color="auto"/>
            <w:left w:val="none" w:sz="0" w:space="0" w:color="auto"/>
            <w:bottom w:val="none" w:sz="0" w:space="0" w:color="auto"/>
            <w:right w:val="none" w:sz="0" w:space="0" w:color="auto"/>
          </w:divBdr>
        </w:div>
        <w:div w:id="146870244">
          <w:marLeft w:val="274"/>
          <w:marRight w:val="0"/>
          <w:marTop w:val="60"/>
          <w:marBottom w:val="0"/>
          <w:divBdr>
            <w:top w:val="none" w:sz="0" w:space="0" w:color="auto"/>
            <w:left w:val="none" w:sz="0" w:space="0" w:color="auto"/>
            <w:bottom w:val="none" w:sz="0" w:space="0" w:color="auto"/>
            <w:right w:val="none" w:sz="0" w:space="0" w:color="auto"/>
          </w:divBdr>
        </w:div>
        <w:div w:id="164634035">
          <w:marLeft w:val="274"/>
          <w:marRight w:val="0"/>
          <w:marTop w:val="60"/>
          <w:marBottom w:val="0"/>
          <w:divBdr>
            <w:top w:val="none" w:sz="0" w:space="0" w:color="auto"/>
            <w:left w:val="none" w:sz="0" w:space="0" w:color="auto"/>
            <w:bottom w:val="none" w:sz="0" w:space="0" w:color="auto"/>
            <w:right w:val="none" w:sz="0" w:space="0" w:color="auto"/>
          </w:divBdr>
        </w:div>
        <w:div w:id="223491541">
          <w:marLeft w:val="274"/>
          <w:marRight w:val="0"/>
          <w:marTop w:val="60"/>
          <w:marBottom w:val="0"/>
          <w:divBdr>
            <w:top w:val="none" w:sz="0" w:space="0" w:color="auto"/>
            <w:left w:val="none" w:sz="0" w:space="0" w:color="auto"/>
            <w:bottom w:val="none" w:sz="0" w:space="0" w:color="auto"/>
            <w:right w:val="none" w:sz="0" w:space="0" w:color="auto"/>
          </w:divBdr>
        </w:div>
        <w:div w:id="339547322">
          <w:marLeft w:val="274"/>
          <w:marRight w:val="0"/>
          <w:marTop w:val="60"/>
          <w:marBottom w:val="0"/>
          <w:divBdr>
            <w:top w:val="none" w:sz="0" w:space="0" w:color="auto"/>
            <w:left w:val="none" w:sz="0" w:space="0" w:color="auto"/>
            <w:bottom w:val="none" w:sz="0" w:space="0" w:color="auto"/>
            <w:right w:val="none" w:sz="0" w:space="0" w:color="auto"/>
          </w:divBdr>
        </w:div>
        <w:div w:id="560017294">
          <w:marLeft w:val="274"/>
          <w:marRight w:val="0"/>
          <w:marTop w:val="60"/>
          <w:marBottom w:val="0"/>
          <w:divBdr>
            <w:top w:val="none" w:sz="0" w:space="0" w:color="auto"/>
            <w:left w:val="none" w:sz="0" w:space="0" w:color="auto"/>
            <w:bottom w:val="none" w:sz="0" w:space="0" w:color="auto"/>
            <w:right w:val="none" w:sz="0" w:space="0" w:color="auto"/>
          </w:divBdr>
        </w:div>
        <w:div w:id="595526527">
          <w:marLeft w:val="274"/>
          <w:marRight w:val="0"/>
          <w:marTop w:val="60"/>
          <w:marBottom w:val="0"/>
          <w:divBdr>
            <w:top w:val="none" w:sz="0" w:space="0" w:color="auto"/>
            <w:left w:val="none" w:sz="0" w:space="0" w:color="auto"/>
            <w:bottom w:val="none" w:sz="0" w:space="0" w:color="auto"/>
            <w:right w:val="none" w:sz="0" w:space="0" w:color="auto"/>
          </w:divBdr>
        </w:div>
        <w:div w:id="707603741">
          <w:marLeft w:val="274"/>
          <w:marRight w:val="0"/>
          <w:marTop w:val="60"/>
          <w:marBottom w:val="0"/>
          <w:divBdr>
            <w:top w:val="none" w:sz="0" w:space="0" w:color="auto"/>
            <w:left w:val="none" w:sz="0" w:space="0" w:color="auto"/>
            <w:bottom w:val="none" w:sz="0" w:space="0" w:color="auto"/>
            <w:right w:val="none" w:sz="0" w:space="0" w:color="auto"/>
          </w:divBdr>
        </w:div>
        <w:div w:id="740174768">
          <w:marLeft w:val="274"/>
          <w:marRight w:val="0"/>
          <w:marTop w:val="60"/>
          <w:marBottom w:val="0"/>
          <w:divBdr>
            <w:top w:val="none" w:sz="0" w:space="0" w:color="auto"/>
            <w:left w:val="none" w:sz="0" w:space="0" w:color="auto"/>
            <w:bottom w:val="none" w:sz="0" w:space="0" w:color="auto"/>
            <w:right w:val="none" w:sz="0" w:space="0" w:color="auto"/>
          </w:divBdr>
        </w:div>
        <w:div w:id="856584245">
          <w:marLeft w:val="274"/>
          <w:marRight w:val="0"/>
          <w:marTop w:val="60"/>
          <w:marBottom w:val="0"/>
          <w:divBdr>
            <w:top w:val="none" w:sz="0" w:space="0" w:color="auto"/>
            <w:left w:val="none" w:sz="0" w:space="0" w:color="auto"/>
            <w:bottom w:val="none" w:sz="0" w:space="0" w:color="auto"/>
            <w:right w:val="none" w:sz="0" w:space="0" w:color="auto"/>
          </w:divBdr>
        </w:div>
        <w:div w:id="878905578">
          <w:marLeft w:val="274"/>
          <w:marRight w:val="0"/>
          <w:marTop w:val="60"/>
          <w:marBottom w:val="0"/>
          <w:divBdr>
            <w:top w:val="none" w:sz="0" w:space="0" w:color="auto"/>
            <w:left w:val="none" w:sz="0" w:space="0" w:color="auto"/>
            <w:bottom w:val="none" w:sz="0" w:space="0" w:color="auto"/>
            <w:right w:val="none" w:sz="0" w:space="0" w:color="auto"/>
          </w:divBdr>
        </w:div>
        <w:div w:id="934556220">
          <w:marLeft w:val="274"/>
          <w:marRight w:val="0"/>
          <w:marTop w:val="60"/>
          <w:marBottom w:val="0"/>
          <w:divBdr>
            <w:top w:val="none" w:sz="0" w:space="0" w:color="auto"/>
            <w:left w:val="none" w:sz="0" w:space="0" w:color="auto"/>
            <w:bottom w:val="none" w:sz="0" w:space="0" w:color="auto"/>
            <w:right w:val="none" w:sz="0" w:space="0" w:color="auto"/>
          </w:divBdr>
        </w:div>
        <w:div w:id="980813499">
          <w:marLeft w:val="274"/>
          <w:marRight w:val="0"/>
          <w:marTop w:val="60"/>
          <w:marBottom w:val="0"/>
          <w:divBdr>
            <w:top w:val="none" w:sz="0" w:space="0" w:color="auto"/>
            <w:left w:val="none" w:sz="0" w:space="0" w:color="auto"/>
            <w:bottom w:val="none" w:sz="0" w:space="0" w:color="auto"/>
            <w:right w:val="none" w:sz="0" w:space="0" w:color="auto"/>
          </w:divBdr>
        </w:div>
        <w:div w:id="1011833872">
          <w:marLeft w:val="274"/>
          <w:marRight w:val="0"/>
          <w:marTop w:val="60"/>
          <w:marBottom w:val="0"/>
          <w:divBdr>
            <w:top w:val="none" w:sz="0" w:space="0" w:color="auto"/>
            <w:left w:val="none" w:sz="0" w:space="0" w:color="auto"/>
            <w:bottom w:val="none" w:sz="0" w:space="0" w:color="auto"/>
            <w:right w:val="none" w:sz="0" w:space="0" w:color="auto"/>
          </w:divBdr>
        </w:div>
        <w:div w:id="1129863840">
          <w:marLeft w:val="274"/>
          <w:marRight w:val="0"/>
          <w:marTop w:val="60"/>
          <w:marBottom w:val="0"/>
          <w:divBdr>
            <w:top w:val="none" w:sz="0" w:space="0" w:color="auto"/>
            <w:left w:val="none" w:sz="0" w:space="0" w:color="auto"/>
            <w:bottom w:val="none" w:sz="0" w:space="0" w:color="auto"/>
            <w:right w:val="none" w:sz="0" w:space="0" w:color="auto"/>
          </w:divBdr>
        </w:div>
        <w:div w:id="1139414975">
          <w:marLeft w:val="274"/>
          <w:marRight w:val="0"/>
          <w:marTop w:val="60"/>
          <w:marBottom w:val="0"/>
          <w:divBdr>
            <w:top w:val="none" w:sz="0" w:space="0" w:color="auto"/>
            <w:left w:val="none" w:sz="0" w:space="0" w:color="auto"/>
            <w:bottom w:val="none" w:sz="0" w:space="0" w:color="auto"/>
            <w:right w:val="none" w:sz="0" w:space="0" w:color="auto"/>
          </w:divBdr>
        </w:div>
        <w:div w:id="1208372682">
          <w:marLeft w:val="274"/>
          <w:marRight w:val="0"/>
          <w:marTop w:val="60"/>
          <w:marBottom w:val="0"/>
          <w:divBdr>
            <w:top w:val="none" w:sz="0" w:space="0" w:color="auto"/>
            <w:left w:val="none" w:sz="0" w:space="0" w:color="auto"/>
            <w:bottom w:val="none" w:sz="0" w:space="0" w:color="auto"/>
            <w:right w:val="none" w:sz="0" w:space="0" w:color="auto"/>
          </w:divBdr>
        </w:div>
        <w:div w:id="1250848365">
          <w:marLeft w:val="274"/>
          <w:marRight w:val="0"/>
          <w:marTop w:val="60"/>
          <w:marBottom w:val="0"/>
          <w:divBdr>
            <w:top w:val="none" w:sz="0" w:space="0" w:color="auto"/>
            <w:left w:val="none" w:sz="0" w:space="0" w:color="auto"/>
            <w:bottom w:val="none" w:sz="0" w:space="0" w:color="auto"/>
            <w:right w:val="none" w:sz="0" w:space="0" w:color="auto"/>
          </w:divBdr>
        </w:div>
        <w:div w:id="1368216589">
          <w:marLeft w:val="274"/>
          <w:marRight w:val="0"/>
          <w:marTop w:val="60"/>
          <w:marBottom w:val="0"/>
          <w:divBdr>
            <w:top w:val="none" w:sz="0" w:space="0" w:color="auto"/>
            <w:left w:val="none" w:sz="0" w:space="0" w:color="auto"/>
            <w:bottom w:val="none" w:sz="0" w:space="0" w:color="auto"/>
            <w:right w:val="none" w:sz="0" w:space="0" w:color="auto"/>
          </w:divBdr>
        </w:div>
        <w:div w:id="1475223110">
          <w:marLeft w:val="274"/>
          <w:marRight w:val="0"/>
          <w:marTop w:val="60"/>
          <w:marBottom w:val="0"/>
          <w:divBdr>
            <w:top w:val="none" w:sz="0" w:space="0" w:color="auto"/>
            <w:left w:val="none" w:sz="0" w:space="0" w:color="auto"/>
            <w:bottom w:val="none" w:sz="0" w:space="0" w:color="auto"/>
            <w:right w:val="none" w:sz="0" w:space="0" w:color="auto"/>
          </w:divBdr>
        </w:div>
        <w:div w:id="1552427232">
          <w:marLeft w:val="274"/>
          <w:marRight w:val="0"/>
          <w:marTop w:val="60"/>
          <w:marBottom w:val="0"/>
          <w:divBdr>
            <w:top w:val="none" w:sz="0" w:space="0" w:color="auto"/>
            <w:left w:val="none" w:sz="0" w:space="0" w:color="auto"/>
            <w:bottom w:val="none" w:sz="0" w:space="0" w:color="auto"/>
            <w:right w:val="none" w:sz="0" w:space="0" w:color="auto"/>
          </w:divBdr>
        </w:div>
        <w:div w:id="1688213074">
          <w:marLeft w:val="274"/>
          <w:marRight w:val="0"/>
          <w:marTop w:val="60"/>
          <w:marBottom w:val="0"/>
          <w:divBdr>
            <w:top w:val="none" w:sz="0" w:space="0" w:color="auto"/>
            <w:left w:val="none" w:sz="0" w:space="0" w:color="auto"/>
            <w:bottom w:val="none" w:sz="0" w:space="0" w:color="auto"/>
            <w:right w:val="none" w:sz="0" w:space="0" w:color="auto"/>
          </w:divBdr>
        </w:div>
        <w:div w:id="1709598688">
          <w:marLeft w:val="274"/>
          <w:marRight w:val="0"/>
          <w:marTop w:val="60"/>
          <w:marBottom w:val="0"/>
          <w:divBdr>
            <w:top w:val="none" w:sz="0" w:space="0" w:color="auto"/>
            <w:left w:val="none" w:sz="0" w:space="0" w:color="auto"/>
            <w:bottom w:val="none" w:sz="0" w:space="0" w:color="auto"/>
            <w:right w:val="none" w:sz="0" w:space="0" w:color="auto"/>
          </w:divBdr>
        </w:div>
        <w:div w:id="1736509828">
          <w:marLeft w:val="274"/>
          <w:marRight w:val="0"/>
          <w:marTop w:val="60"/>
          <w:marBottom w:val="0"/>
          <w:divBdr>
            <w:top w:val="none" w:sz="0" w:space="0" w:color="auto"/>
            <w:left w:val="none" w:sz="0" w:space="0" w:color="auto"/>
            <w:bottom w:val="none" w:sz="0" w:space="0" w:color="auto"/>
            <w:right w:val="none" w:sz="0" w:space="0" w:color="auto"/>
          </w:divBdr>
        </w:div>
        <w:div w:id="1858615272">
          <w:marLeft w:val="274"/>
          <w:marRight w:val="0"/>
          <w:marTop w:val="60"/>
          <w:marBottom w:val="0"/>
          <w:divBdr>
            <w:top w:val="none" w:sz="0" w:space="0" w:color="auto"/>
            <w:left w:val="none" w:sz="0" w:space="0" w:color="auto"/>
            <w:bottom w:val="none" w:sz="0" w:space="0" w:color="auto"/>
            <w:right w:val="none" w:sz="0" w:space="0" w:color="auto"/>
          </w:divBdr>
        </w:div>
        <w:div w:id="1911497404">
          <w:marLeft w:val="274"/>
          <w:marRight w:val="0"/>
          <w:marTop w:val="60"/>
          <w:marBottom w:val="0"/>
          <w:divBdr>
            <w:top w:val="none" w:sz="0" w:space="0" w:color="auto"/>
            <w:left w:val="none" w:sz="0" w:space="0" w:color="auto"/>
            <w:bottom w:val="none" w:sz="0" w:space="0" w:color="auto"/>
            <w:right w:val="none" w:sz="0" w:space="0" w:color="auto"/>
          </w:divBdr>
        </w:div>
        <w:div w:id="2087219957">
          <w:marLeft w:val="274"/>
          <w:marRight w:val="0"/>
          <w:marTop w:val="60"/>
          <w:marBottom w:val="0"/>
          <w:divBdr>
            <w:top w:val="none" w:sz="0" w:space="0" w:color="auto"/>
            <w:left w:val="none" w:sz="0" w:space="0" w:color="auto"/>
            <w:bottom w:val="none" w:sz="0" w:space="0" w:color="auto"/>
            <w:right w:val="none" w:sz="0" w:space="0" w:color="auto"/>
          </w:divBdr>
        </w:div>
        <w:div w:id="2088266947">
          <w:marLeft w:val="274"/>
          <w:marRight w:val="0"/>
          <w:marTop w:val="60"/>
          <w:marBottom w:val="0"/>
          <w:divBdr>
            <w:top w:val="none" w:sz="0" w:space="0" w:color="auto"/>
            <w:left w:val="none" w:sz="0" w:space="0" w:color="auto"/>
            <w:bottom w:val="none" w:sz="0" w:space="0" w:color="auto"/>
            <w:right w:val="none" w:sz="0" w:space="0" w:color="auto"/>
          </w:divBdr>
        </w:div>
      </w:divsChild>
    </w:div>
    <w:div w:id="1727727609">
      <w:bodyDiv w:val="1"/>
      <w:marLeft w:val="0"/>
      <w:marRight w:val="0"/>
      <w:marTop w:val="0"/>
      <w:marBottom w:val="0"/>
      <w:divBdr>
        <w:top w:val="none" w:sz="0" w:space="0" w:color="auto"/>
        <w:left w:val="none" w:sz="0" w:space="0" w:color="auto"/>
        <w:bottom w:val="none" w:sz="0" w:space="0" w:color="auto"/>
        <w:right w:val="none" w:sz="0" w:space="0" w:color="auto"/>
      </w:divBdr>
    </w:div>
    <w:div w:id="1729068901">
      <w:bodyDiv w:val="1"/>
      <w:marLeft w:val="0"/>
      <w:marRight w:val="0"/>
      <w:marTop w:val="0"/>
      <w:marBottom w:val="0"/>
      <w:divBdr>
        <w:top w:val="none" w:sz="0" w:space="0" w:color="auto"/>
        <w:left w:val="none" w:sz="0" w:space="0" w:color="auto"/>
        <w:bottom w:val="none" w:sz="0" w:space="0" w:color="auto"/>
        <w:right w:val="none" w:sz="0" w:space="0" w:color="auto"/>
      </w:divBdr>
    </w:div>
    <w:div w:id="1730807219">
      <w:bodyDiv w:val="1"/>
      <w:marLeft w:val="0"/>
      <w:marRight w:val="0"/>
      <w:marTop w:val="0"/>
      <w:marBottom w:val="0"/>
      <w:divBdr>
        <w:top w:val="none" w:sz="0" w:space="0" w:color="auto"/>
        <w:left w:val="none" w:sz="0" w:space="0" w:color="auto"/>
        <w:bottom w:val="none" w:sz="0" w:space="0" w:color="auto"/>
        <w:right w:val="none" w:sz="0" w:space="0" w:color="auto"/>
      </w:divBdr>
    </w:div>
    <w:div w:id="1747190720">
      <w:bodyDiv w:val="1"/>
      <w:marLeft w:val="0"/>
      <w:marRight w:val="0"/>
      <w:marTop w:val="0"/>
      <w:marBottom w:val="0"/>
      <w:divBdr>
        <w:top w:val="none" w:sz="0" w:space="0" w:color="auto"/>
        <w:left w:val="none" w:sz="0" w:space="0" w:color="auto"/>
        <w:bottom w:val="none" w:sz="0" w:space="0" w:color="auto"/>
        <w:right w:val="none" w:sz="0" w:space="0" w:color="auto"/>
      </w:divBdr>
    </w:div>
    <w:div w:id="1761175117">
      <w:bodyDiv w:val="1"/>
      <w:marLeft w:val="0"/>
      <w:marRight w:val="0"/>
      <w:marTop w:val="0"/>
      <w:marBottom w:val="0"/>
      <w:divBdr>
        <w:top w:val="none" w:sz="0" w:space="0" w:color="auto"/>
        <w:left w:val="none" w:sz="0" w:space="0" w:color="auto"/>
        <w:bottom w:val="none" w:sz="0" w:space="0" w:color="auto"/>
        <w:right w:val="none" w:sz="0" w:space="0" w:color="auto"/>
      </w:divBdr>
    </w:div>
    <w:div w:id="1764379435">
      <w:bodyDiv w:val="1"/>
      <w:marLeft w:val="0"/>
      <w:marRight w:val="0"/>
      <w:marTop w:val="0"/>
      <w:marBottom w:val="0"/>
      <w:divBdr>
        <w:top w:val="none" w:sz="0" w:space="0" w:color="auto"/>
        <w:left w:val="none" w:sz="0" w:space="0" w:color="auto"/>
        <w:bottom w:val="none" w:sz="0" w:space="0" w:color="auto"/>
        <w:right w:val="none" w:sz="0" w:space="0" w:color="auto"/>
      </w:divBdr>
    </w:div>
    <w:div w:id="1767505931">
      <w:bodyDiv w:val="1"/>
      <w:marLeft w:val="0"/>
      <w:marRight w:val="0"/>
      <w:marTop w:val="0"/>
      <w:marBottom w:val="0"/>
      <w:divBdr>
        <w:top w:val="none" w:sz="0" w:space="0" w:color="auto"/>
        <w:left w:val="none" w:sz="0" w:space="0" w:color="auto"/>
        <w:bottom w:val="none" w:sz="0" w:space="0" w:color="auto"/>
        <w:right w:val="none" w:sz="0" w:space="0" w:color="auto"/>
      </w:divBdr>
    </w:div>
    <w:div w:id="1768696570">
      <w:bodyDiv w:val="1"/>
      <w:marLeft w:val="0"/>
      <w:marRight w:val="0"/>
      <w:marTop w:val="0"/>
      <w:marBottom w:val="0"/>
      <w:divBdr>
        <w:top w:val="none" w:sz="0" w:space="0" w:color="auto"/>
        <w:left w:val="none" w:sz="0" w:space="0" w:color="auto"/>
        <w:bottom w:val="none" w:sz="0" w:space="0" w:color="auto"/>
        <w:right w:val="none" w:sz="0" w:space="0" w:color="auto"/>
      </w:divBdr>
    </w:div>
    <w:div w:id="1770927456">
      <w:bodyDiv w:val="1"/>
      <w:marLeft w:val="0"/>
      <w:marRight w:val="0"/>
      <w:marTop w:val="0"/>
      <w:marBottom w:val="0"/>
      <w:divBdr>
        <w:top w:val="none" w:sz="0" w:space="0" w:color="auto"/>
        <w:left w:val="none" w:sz="0" w:space="0" w:color="auto"/>
        <w:bottom w:val="none" w:sz="0" w:space="0" w:color="auto"/>
        <w:right w:val="none" w:sz="0" w:space="0" w:color="auto"/>
      </w:divBdr>
    </w:div>
    <w:div w:id="1773354475">
      <w:bodyDiv w:val="1"/>
      <w:marLeft w:val="0"/>
      <w:marRight w:val="0"/>
      <w:marTop w:val="0"/>
      <w:marBottom w:val="0"/>
      <w:divBdr>
        <w:top w:val="none" w:sz="0" w:space="0" w:color="auto"/>
        <w:left w:val="none" w:sz="0" w:space="0" w:color="auto"/>
        <w:bottom w:val="none" w:sz="0" w:space="0" w:color="auto"/>
        <w:right w:val="none" w:sz="0" w:space="0" w:color="auto"/>
      </w:divBdr>
    </w:div>
    <w:div w:id="1780561734">
      <w:bodyDiv w:val="1"/>
      <w:marLeft w:val="0"/>
      <w:marRight w:val="0"/>
      <w:marTop w:val="0"/>
      <w:marBottom w:val="0"/>
      <w:divBdr>
        <w:top w:val="none" w:sz="0" w:space="0" w:color="auto"/>
        <w:left w:val="none" w:sz="0" w:space="0" w:color="auto"/>
        <w:bottom w:val="none" w:sz="0" w:space="0" w:color="auto"/>
        <w:right w:val="none" w:sz="0" w:space="0" w:color="auto"/>
      </w:divBdr>
      <w:divsChild>
        <w:div w:id="768089840">
          <w:marLeft w:val="0"/>
          <w:marRight w:val="0"/>
          <w:marTop w:val="0"/>
          <w:marBottom w:val="0"/>
          <w:divBdr>
            <w:top w:val="none" w:sz="0" w:space="0" w:color="auto"/>
            <w:left w:val="none" w:sz="0" w:space="0" w:color="auto"/>
            <w:bottom w:val="none" w:sz="0" w:space="0" w:color="auto"/>
            <w:right w:val="none" w:sz="0" w:space="0" w:color="auto"/>
          </w:divBdr>
        </w:div>
      </w:divsChild>
    </w:div>
    <w:div w:id="1791432538">
      <w:bodyDiv w:val="1"/>
      <w:marLeft w:val="0"/>
      <w:marRight w:val="0"/>
      <w:marTop w:val="0"/>
      <w:marBottom w:val="0"/>
      <w:divBdr>
        <w:top w:val="none" w:sz="0" w:space="0" w:color="auto"/>
        <w:left w:val="none" w:sz="0" w:space="0" w:color="auto"/>
        <w:bottom w:val="none" w:sz="0" w:space="0" w:color="auto"/>
        <w:right w:val="none" w:sz="0" w:space="0" w:color="auto"/>
      </w:divBdr>
    </w:div>
    <w:div w:id="1799295452">
      <w:bodyDiv w:val="1"/>
      <w:marLeft w:val="0"/>
      <w:marRight w:val="0"/>
      <w:marTop w:val="0"/>
      <w:marBottom w:val="0"/>
      <w:divBdr>
        <w:top w:val="none" w:sz="0" w:space="0" w:color="auto"/>
        <w:left w:val="none" w:sz="0" w:space="0" w:color="auto"/>
        <w:bottom w:val="none" w:sz="0" w:space="0" w:color="auto"/>
        <w:right w:val="none" w:sz="0" w:space="0" w:color="auto"/>
      </w:divBdr>
      <w:divsChild>
        <w:div w:id="816652993">
          <w:marLeft w:val="720"/>
          <w:marRight w:val="0"/>
          <w:marTop w:val="60"/>
          <w:marBottom w:val="0"/>
          <w:divBdr>
            <w:top w:val="none" w:sz="0" w:space="0" w:color="auto"/>
            <w:left w:val="none" w:sz="0" w:space="0" w:color="auto"/>
            <w:bottom w:val="none" w:sz="0" w:space="0" w:color="auto"/>
            <w:right w:val="none" w:sz="0" w:space="0" w:color="auto"/>
          </w:divBdr>
        </w:div>
      </w:divsChild>
    </w:div>
    <w:div w:id="1806042788">
      <w:bodyDiv w:val="1"/>
      <w:marLeft w:val="0"/>
      <w:marRight w:val="0"/>
      <w:marTop w:val="0"/>
      <w:marBottom w:val="0"/>
      <w:divBdr>
        <w:top w:val="none" w:sz="0" w:space="0" w:color="auto"/>
        <w:left w:val="none" w:sz="0" w:space="0" w:color="auto"/>
        <w:bottom w:val="none" w:sz="0" w:space="0" w:color="auto"/>
        <w:right w:val="none" w:sz="0" w:space="0" w:color="auto"/>
      </w:divBdr>
    </w:div>
    <w:div w:id="1818647921">
      <w:bodyDiv w:val="1"/>
      <w:marLeft w:val="0"/>
      <w:marRight w:val="0"/>
      <w:marTop w:val="0"/>
      <w:marBottom w:val="0"/>
      <w:divBdr>
        <w:top w:val="none" w:sz="0" w:space="0" w:color="auto"/>
        <w:left w:val="none" w:sz="0" w:space="0" w:color="auto"/>
        <w:bottom w:val="none" w:sz="0" w:space="0" w:color="auto"/>
        <w:right w:val="none" w:sz="0" w:space="0" w:color="auto"/>
      </w:divBdr>
    </w:div>
    <w:div w:id="1818719157">
      <w:bodyDiv w:val="1"/>
      <w:marLeft w:val="0"/>
      <w:marRight w:val="0"/>
      <w:marTop w:val="0"/>
      <w:marBottom w:val="0"/>
      <w:divBdr>
        <w:top w:val="none" w:sz="0" w:space="0" w:color="auto"/>
        <w:left w:val="none" w:sz="0" w:space="0" w:color="auto"/>
        <w:bottom w:val="none" w:sz="0" w:space="0" w:color="auto"/>
        <w:right w:val="none" w:sz="0" w:space="0" w:color="auto"/>
      </w:divBdr>
      <w:divsChild>
        <w:div w:id="102000695">
          <w:marLeft w:val="0"/>
          <w:marRight w:val="0"/>
          <w:marTop w:val="300"/>
          <w:marBottom w:val="0"/>
          <w:divBdr>
            <w:top w:val="none" w:sz="0" w:space="0" w:color="auto"/>
            <w:left w:val="none" w:sz="0" w:space="0" w:color="auto"/>
            <w:bottom w:val="none" w:sz="0" w:space="0" w:color="auto"/>
            <w:right w:val="none" w:sz="0" w:space="0" w:color="auto"/>
          </w:divBdr>
        </w:div>
        <w:div w:id="237399045">
          <w:marLeft w:val="0"/>
          <w:marRight w:val="0"/>
          <w:marTop w:val="300"/>
          <w:marBottom w:val="0"/>
          <w:divBdr>
            <w:top w:val="none" w:sz="0" w:space="0" w:color="auto"/>
            <w:left w:val="none" w:sz="0" w:space="0" w:color="auto"/>
            <w:bottom w:val="none" w:sz="0" w:space="0" w:color="auto"/>
            <w:right w:val="none" w:sz="0" w:space="0" w:color="auto"/>
          </w:divBdr>
        </w:div>
        <w:div w:id="353189428">
          <w:marLeft w:val="720"/>
          <w:marRight w:val="0"/>
          <w:marTop w:val="60"/>
          <w:marBottom w:val="0"/>
          <w:divBdr>
            <w:top w:val="none" w:sz="0" w:space="0" w:color="auto"/>
            <w:left w:val="none" w:sz="0" w:space="0" w:color="auto"/>
            <w:bottom w:val="none" w:sz="0" w:space="0" w:color="auto"/>
            <w:right w:val="none" w:sz="0" w:space="0" w:color="auto"/>
          </w:divBdr>
        </w:div>
        <w:div w:id="357392646">
          <w:marLeft w:val="0"/>
          <w:marRight w:val="0"/>
          <w:marTop w:val="300"/>
          <w:marBottom w:val="0"/>
          <w:divBdr>
            <w:top w:val="none" w:sz="0" w:space="0" w:color="auto"/>
            <w:left w:val="none" w:sz="0" w:space="0" w:color="auto"/>
            <w:bottom w:val="none" w:sz="0" w:space="0" w:color="auto"/>
            <w:right w:val="none" w:sz="0" w:space="0" w:color="auto"/>
          </w:divBdr>
        </w:div>
        <w:div w:id="399867876">
          <w:marLeft w:val="1166"/>
          <w:marRight w:val="0"/>
          <w:marTop w:val="60"/>
          <w:marBottom w:val="0"/>
          <w:divBdr>
            <w:top w:val="none" w:sz="0" w:space="0" w:color="auto"/>
            <w:left w:val="none" w:sz="0" w:space="0" w:color="auto"/>
            <w:bottom w:val="none" w:sz="0" w:space="0" w:color="auto"/>
            <w:right w:val="none" w:sz="0" w:space="0" w:color="auto"/>
          </w:divBdr>
        </w:div>
        <w:div w:id="617638133">
          <w:marLeft w:val="1166"/>
          <w:marRight w:val="0"/>
          <w:marTop w:val="60"/>
          <w:marBottom w:val="0"/>
          <w:divBdr>
            <w:top w:val="none" w:sz="0" w:space="0" w:color="auto"/>
            <w:left w:val="none" w:sz="0" w:space="0" w:color="auto"/>
            <w:bottom w:val="none" w:sz="0" w:space="0" w:color="auto"/>
            <w:right w:val="none" w:sz="0" w:space="0" w:color="auto"/>
          </w:divBdr>
        </w:div>
        <w:div w:id="716517305">
          <w:marLeft w:val="720"/>
          <w:marRight w:val="0"/>
          <w:marTop w:val="60"/>
          <w:marBottom w:val="0"/>
          <w:divBdr>
            <w:top w:val="none" w:sz="0" w:space="0" w:color="auto"/>
            <w:left w:val="none" w:sz="0" w:space="0" w:color="auto"/>
            <w:bottom w:val="none" w:sz="0" w:space="0" w:color="auto"/>
            <w:right w:val="none" w:sz="0" w:space="0" w:color="auto"/>
          </w:divBdr>
        </w:div>
        <w:div w:id="906572807">
          <w:marLeft w:val="1166"/>
          <w:marRight w:val="0"/>
          <w:marTop w:val="60"/>
          <w:marBottom w:val="0"/>
          <w:divBdr>
            <w:top w:val="none" w:sz="0" w:space="0" w:color="auto"/>
            <w:left w:val="none" w:sz="0" w:space="0" w:color="auto"/>
            <w:bottom w:val="none" w:sz="0" w:space="0" w:color="auto"/>
            <w:right w:val="none" w:sz="0" w:space="0" w:color="auto"/>
          </w:divBdr>
        </w:div>
        <w:div w:id="1256522933">
          <w:marLeft w:val="1166"/>
          <w:marRight w:val="0"/>
          <w:marTop w:val="60"/>
          <w:marBottom w:val="0"/>
          <w:divBdr>
            <w:top w:val="none" w:sz="0" w:space="0" w:color="auto"/>
            <w:left w:val="none" w:sz="0" w:space="0" w:color="auto"/>
            <w:bottom w:val="none" w:sz="0" w:space="0" w:color="auto"/>
            <w:right w:val="none" w:sz="0" w:space="0" w:color="auto"/>
          </w:divBdr>
        </w:div>
        <w:div w:id="1317607845">
          <w:marLeft w:val="1166"/>
          <w:marRight w:val="0"/>
          <w:marTop w:val="60"/>
          <w:marBottom w:val="0"/>
          <w:divBdr>
            <w:top w:val="none" w:sz="0" w:space="0" w:color="auto"/>
            <w:left w:val="none" w:sz="0" w:space="0" w:color="auto"/>
            <w:bottom w:val="none" w:sz="0" w:space="0" w:color="auto"/>
            <w:right w:val="none" w:sz="0" w:space="0" w:color="auto"/>
          </w:divBdr>
        </w:div>
        <w:div w:id="1583106798">
          <w:marLeft w:val="1166"/>
          <w:marRight w:val="0"/>
          <w:marTop w:val="60"/>
          <w:marBottom w:val="0"/>
          <w:divBdr>
            <w:top w:val="none" w:sz="0" w:space="0" w:color="auto"/>
            <w:left w:val="none" w:sz="0" w:space="0" w:color="auto"/>
            <w:bottom w:val="none" w:sz="0" w:space="0" w:color="auto"/>
            <w:right w:val="none" w:sz="0" w:space="0" w:color="auto"/>
          </w:divBdr>
        </w:div>
        <w:div w:id="1592422127">
          <w:marLeft w:val="720"/>
          <w:marRight w:val="0"/>
          <w:marTop w:val="60"/>
          <w:marBottom w:val="0"/>
          <w:divBdr>
            <w:top w:val="none" w:sz="0" w:space="0" w:color="auto"/>
            <w:left w:val="none" w:sz="0" w:space="0" w:color="auto"/>
            <w:bottom w:val="none" w:sz="0" w:space="0" w:color="auto"/>
            <w:right w:val="none" w:sz="0" w:space="0" w:color="auto"/>
          </w:divBdr>
        </w:div>
        <w:div w:id="1680962161">
          <w:marLeft w:val="1166"/>
          <w:marRight w:val="0"/>
          <w:marTop w:val="60"/>
          <w:marBottom w:val="0"/>
          <w:divBdr>
            <w:top w:val="none" w:sz="0" w:space="0" w:color="auto"/>
            <w:left w:val="none" w:sz="0" w:space="0" w:color="auto"/>
            <w:bottom w:val="none" w:sz="0" w:space="0" w:color="auto"/>
            <w:right w:val="none" w:sz="0" w:space="0" w:color="auto"/>
          </w:divBdr>
        </w:div>
        <w:div w:id="1682926342">
          <w:marLeft w:val="720"/>
          <w:marRight w:val="0"/>
          <w:marTop w:val="60"/>
          <w:marBottom w:val="0"/>
          <w:divBdr>
            <w:top w:val="none" w:sz="0" w:space="0" w:color="auto"/>
            <w:left w:val="none" w:sz="0" w:space="0" w:color="auto"/>
            <w:bottom w:val="none" w:sz="0" w:space="0" w:color="auto"/>
            <w:right w:val="none" w:sz="0" w:space="0" w:color="auto"/>
          </w:divBdr>
        </w:div>
        <w:div w:id="1745760178">
          <w:marLeft w:val="720"/>
          <w:marRight w:val="0"/>
          <w:marTop w:val="60"/>
          <w:marBottom w:val="0"/>
          <w:divBdr>
            <w:top w:val="none" w:sz="0" w:space="0" w:color="auto"/>
            <w:left w:val="none" w:sz="0" w:space="0" w:color="auto"/>
            <w:bottom w:val="none" w:sz="0" w:space="0" w:color="auto"/>
            <w:right w:val="none" w:sz="0" w:space="0" w:color="auto"/>
          </w:divBdr>
        </w:div>
        <w:div w:id="1819568103">
          <w:marLeft w:val="720"/>
          <w:marRight w:val="0"/>
          <w:marTop w:val="60"/>
          <w:marBottom w:val="0"/>
          <w:divBdr>
            <w:top w:val="none" w:sz="0" w:space="0" w:color="auto"/>
            <w:left w:val="none" w:sz="0" w:space="0" w:color="auto"/>
            <w:bottom w:val="none" w:sz="0" w:space="0" w:color="auto"/>
            <w:right w:val="none" w:sz="0" w:space="0" w:color="auto"/>
          </w:divBdr>
        </w:div>
        <w:div w:id="2022856322">
          <w:marLeft w:val="1166"/>
          <w:marRight w:val="0"/>
          <w:marTop w:val="60"/>
          <w:marBottom w:val="0"/>
          <w:divBdr>
            <w:top w:val="none" w:sz="0" w:space="0" w:color="auto"/>
            <w:left w:val="none" w:sz="0" w:space="0" w:color="auto"/>
            <w:bottom w:val="none" w:sz="0" w:space="0" w:color="auto"/>
            <w:right w:val="none" w:sz="0" w:space="0" w:color="auto"/>
          </w:divBdr>
        </w:div>
        <w:div w:id="2050181667">
          <w:marLeft w:val="1166"/>
          <w:marRight w:val="0"/>
          <w:marTop w:val="60"/>
          <w:marBottom w:val="0"/>
          <w:divBdr>
            <w:top w:val="none" w:sz="0" w:space="0" w:color="auto"/>
            <w:left w:val="none" w:sz="0" w:space="0" w:color="auto"/>
            <w:bottom w:val="none" w:sz="0" w:space="0" w:color="auto"/>
            <w:right w:val="none" w:sz="0" w:space="0" w:color="auto"/>
          </w:divBdr>
        </w:div>
        <w:div w:id="2107647033">
          <w:marLeft w:val="720"/>
          <w:marRight w:val="0"/>
          <w:marTop w:val="60"/>
          <w:marBottom w:val="0"/>
          <w:divBdr>
            <w:top w:val="none" w:sz="0" w:space="0" w:color="auto"/>
            <w:left w:val="none" w:sz="0" w:space="0" w:color="auto"/>
            <w:bottom w:val="none" w:sz="0" w:space="0" w:color="auto"/>
            <w:right w:val="none" w:sz="0" w:space="0" w:color="auto"/>
          </w:divBdr>
        </w:div>
      </w:divsChild>
    </w:div>
    <w:div w:id="1820070717">
      <w:bodyDiv w:val="1"/>
      <w:marLeft w:val="0"/>
      <w:marRight w:val="0"/>
      <w:marTop w:val="0"/>
      <w:marBottom w:val="0"/>
      <w:divBdr>
        <w:top w:val="none" w:sz="0" w:space="0" w:color="auto"/>
        <w:left w:val="none" w:sz="0" w:space="0" w:color="auto"/>
        <w:bottom w:val="none" w:sz="0" w:space="0" w:color="auto"/>
        <w:right w:val="none" w:sz="0" w:space="0" w:color="auto"/>
      </w:divBdr>
    </w:div>
    <w:div w:id="1829244111">
      <w:bodyDiv w:val="1"/>
      <w:marLeft w:val="0"/>
      <w:marRight w:val="0"/>
      <w:marTop w:val="0"/>
      <w:marBottom w:val="0"/>
      <w:divBdr>
        <w:top w:val="none" w:sz="0" w:space="0" w:color="auto"/>
        <w:left w:val="none" w:sz="0" w:space="0" w:color="auto"/>
        <w:bottom w:val="none" w:sz="0" w:space="0" w:color="auto"/>
        <w:right w:val="none" w:sz="0" w:space="0" w:color="auto"/>
      </w:divBdr>
      <w:divsChild>
        <w:div w:id="2094160495">
          <w:marLeft w:val="0"/>
          <w:marRight w:val="0"/>
          <w:marTop w:val="0"/>
          <w:marBottom w:val="0"/>
          <w:divBdr>
            <w:top w:val="none" w:sz="0" w:space="0" w:color="auto"/>
            <w:left w:val="none" w:sz="0" w:space="0" w:color="auto"/>
            <w:bottom w:val="none" w:sz="0" w:space="0" w:color="auto"/>
            <w:right w:val="none" w:sz="0" w:space="0" w:color="auto"/>
          </w:divBdr>
        </w:div>
      </w:divsChild>
    </w:div>
    <w:div w:id="1833444650">
      <w:bodyDiv w:val="1"/>
      <w:marLeft w:val="0"/>
      <w:marRight w:val="0"/>
      <w:marTop w:val="0"/>
      <w:marBottom w:val="0"/>
      <w:divBdr>
        <w:top w:val="none" w:sz="0" w:space="0" w:color="auto"/>
        <w:left w:val="none" w:sz="0" w:space="0" w:color="auto"/>
        <w:bottom w:val="none" w:sz="0" w:space="0" w:color="auto"/>
        <w:right w:val="none" w:sz="0" w:space="0" w:color="auto"/>
      </w:divBdr>
    </w:div>
    <w:div w:id="1842037176">
      <w:bodyDiv w:val="1"/>
      <w:marLeft w:val="0"/>
      <w:marRight w:val="0"/>
      <w:marTop w:val="0"/>
      <w:marBottom w:val="0"/>
      <w:divBdr>
        <w:top w:val="none" w:sz="0" w:space="0" w:color="auto"/>
        <w:left w:val="none" w:sz="0" w:space="0" w:color="auto"/>
        <w:bottom w:val="none" w:sz="0" w:space="0" w:color="auto"/>
        <w:right w:val="none" w:sz="0" w:space="0" w:color="auto"/>
      </w:divBdr>
    </w:div>
    <w:div w:id="1854756395">
      <w:bodyDiv w:val="1"/>
      <w:marLeft w:val="0"/>
      <w:marRight w:val="0"/>
      <w:marTop w:val="0"/>
      <w:marBottom w:val="0"/>
      <w:divBdr>
        <w:top w:val="none" w:sz="0" w:space="0" w:color="auto"/>
        <w:left w:val="none" w:sz="0" w:space="0" w:color="auto"/>
        <w:bottom w:val="none" w:sz="0" w:space="0" w:color="auto"/>
        <w:right w:val="none" w:sz="0" w:space="0" w:color="auto"/>
      </w:divBdr>
    </w:div>
    <w:div w:id="1856190545">
      <w:bodyDiv w:val="1"/>
      <w:marLeft w:val="0"/>
      <w:marRight w:val="0"/>
      <w:marTop w:val="0"/>
      <w:marBottom w:val="0"/>
      <w:divBdr>
        <w:top w:val="none" w:sz="0" w:space="0" w:color="auto"/>
        <w:left w:val="none" w:sz="0" w:space="0" w:color="auto"/>
        <w:bottom w:val="none" w:sz="0" w:space="0" w:color="auto"/>
        <w:right w:val="none" w:sz="0" w:space="0" w:color="auto"/>
      </w:divBdr>
    </w:div>
    <w:div w:id="1860778950">
      <w:bodyDiv w:val="1"/>
      <w:marLeft w:val="0"/>
      <w:marRight w:val="0"/>
      <w:marTop w:val="0"/>
      <w:marBottom w:val="0"/>
      <w:divBdr>
        <w:top w:val="none" w:sz="0" w:space="0" w:color="auto"/>
        <w:left w:val="none" w:sz="0" w:space="0" w:color="auto"/>
        <w:bottom w:val="none" w:sz="0" w:space="0" w:color="auto"/>
        <w:right w:val="none" w:sz="0" w:space="0" w:color="auto"/>
      </w:divBdr>
      <w:divsChild>
        <w:div w:id="26835898">
          <w:marLeft w:val="792"/>
          <w:marRight w:val="0"/>
          <w:marTop w:val="120"/>
          <w:marBottom w:val="0"/>
          <w:divBdr>
            <w:top w:val="none" w:sz="0" w:space="0" w:color="auto"/>
            <w:left w:val="none" w:sz="0" w:space="0" w:color="auto"/>
            <w:bottom w:val="none" w:sz="0" w:space="0" w:color="auto"/>
            <w:right w:val="none" w:sz="0" w:space="0" w:color="auto"/>
          </w:divBdr>
        </w:div>
        <w:div w:id="252588958">
          <w:marLeft w:val="792"/>
          <w:marRight w:val="0"/>
          <w:marTop w:val="120"/>
          <w:marBottom w:val="0"/>
          <w:divBdr>
            <w:top w:val="none" w:sz="0" w:space="0" w:color="auto"/>
            <w:left w:val="none" w:sz="0" w:space="0" w:color="auto"/>
            <w:bottom w:val="none" w:sz="0" w:space="0" w:color="auto"/>
            <w:right w:val="none" w:sz="0" w:space="0" w:color="auto"/>
          </w:divBdr>
        </w:div>
        <w:div w:id="720593469">
          <w:marLeft w:val="792"/>
          <w:marRight w:val="0"/>
          <w:marTop w:val="120"/>
          <w:marBottom w:val="0"/>
          <w:divBdr>
            <w:top w:val="none" w:sz="0" w:space="0" w:color="auto"/>
            <w:left w:val="none" w:sz="0" w:space="0" w:color="auto"/>
            <w:bottom w:val="none" w:sz="0" w:space="0" w:color="auto"/>
            <w:right w:val="none" w:sz="0" w:space="0" w:color="auto"/>
          </w:divBdr>
        </w:div>
        <w:div w:id="1227758386">
          <w:marLeft w:val="792"/>
          <w:marRight w:val="0"/>
          <w:marTop w:val="120"/>
          <w:marBottom w:val="0"/>
          <w:divBdr>
            <w:top w:val="none" w:sz="0" w:space="0" w:color="auto"/>
            <w:left w:val="none" w:sz="0" w:space="0" w:color="auto"/>
            <w:bottom w:val="none" w:sz="0" w:space="0" w:color="auto"/>
            <w:right w:val="none" w:sz="0" w:space="0" w:color="auto"/>
          </w:divBdr>
        </w:div>
        <w:div w:id="1683625421">
          <w:marLeft w:val="792"/>
          <w:marRight w:val="0"/>
          <w:marTop w:val="120"/>
          <w:marBottom w:val="0"/>
          <w:divBdr>
            <w:top w:val="none" w:sz="0" w:space="0" w:color="auto"/>
            <w:left w:val="none" w:sz="0" w:space="0" w:color="auto"/>
            <w:bottom w:val="none" w:sz="0" w:space="0" w:color="auto"/>
            <w:right w:val="none" w:sz="0" w:space="0" w:color="auto"/>
          </w:divBdr>
        </w:div>
        <w:div w:id="1795128946">
          <w:marLeft w:val="346"/>
          <w:marRight w:val="0"/>
          <w:marTop w:val="320"/>
          <w:marBottom w:val="0"/>
          <w:divBdr>
            <w:top w:val="none" w:sz="0" w:space="0" w:color="auto"/>
            <w:left w:val="none" w:sz="0" w:space="0" w:color="auto"/>
            <w:bottom w:val="none" w:sz="0" w:space="0" w:color="auto"/>
            <w:right w:val="none" w:sz="0" w:space="0" w:color="auto"/>
          </w:divBdr>
        </w:div>
      </w:divsChild>
    </w:div>
    <w:div w:id="1862741792">
      <w:bodyDiv w:val="1"/>
      <w:marLeft w:val="0"/>
      <w:marRight w:val="0"/>
      <w:marTop w:val="0"/>
      <w:marBottom w:val="0"/>
      <w:divBdr>
        <w:top w:val="none" w:sz="0" w:space="0" w:color="auto"/>
        <w:left w:val="none" w:sz="0" w:space="0" w:color="auto"/>
        <w:bottom w:val="none" w:sz="0" w:space="0" w:color="auto"/>
        <w:right w:val="none" w:sz="0" w:space="0" w:color="auto"/>
      </w:divBdr>
    </w:div>
    <w:div w:id="1868447701">
      <w:bodyDiv w:val="1"/>
      <w:marLeft w:val="0"/>
      <w:marRight w:val="0"/>
      <w:marTop w:val="0"/>
      <w:marBottom w:val="0"/>
      <w:divBdr>
        <w:top w:val="none" w:sz="0" w:space="0" w:color="auto"/>
        <w:left w:val="none" w:sz="0" w:space="0" w:color="auto"/>
        <w:bottom w:val="none" w:sz="0" w:space="0" w:color="auto"/>
        <w:right w:val="none" w:sz="0" w:space="0" w:color="auto"/>
      </w:divBdr>
      <w:divsChild>
        <w:div w:id="1206992752">
          <w:marLeft w:val="274"/>
          <w:marRight w:val="0"/>
          <w:marTop w:val="0"/>
          <w:marBottom w:val="80"/>
          <w:divBdr>
            <w:top w:val="none" w:sz="0" w:space="0" w:color="auto"/>
            <w:left w:val="none" w:sz="0" w:space="0" w:color="auto"/>
            <w:bottom w:val="none" w:sz="0" w:space="0" w:color="auto"/>
            <w:right w:val="none" w:sz="0" w:space="0" w:color="auto"/>
          </w:divBdr>
        </w:div>
        <w:div w:id="1220359198">
          <w:marLeft w:val="274"/>
          <w:marRight w:val="0"/>
          <w:marTop w:val="0"/>
          <w:marBottom w:val="80"/>
          <w:divBdr>
            <w:top w:val="none" w:sz="0" w:space="0" w:color="auto"/>
            <w:left w:val="none" w:sz="0" w:space="0" w:color="auto"/>
            <w:bottom w:val="none" w:sz="0" w:space="0" w:color="auto"/>
            <w:right w:val="none" w:sz="0" w:space="0" w:color="auto"/>
          </w:divBdr>
        </w:div>
        <w:div w:id="1854958419">
          <w:marLeft w:val="274"/>
          <w:marRight w:val="0"/>
          <w:marTop w:val="0"/>
          <w:marBottom w:val="80"/>
          <w:divBdr>
            <w:top w:val="none" w:sz="0" w:space="0" w:color="auto"/>
            <w:left w:val="none" w:sz="0" w:space="0" w:color="auto"/>
            <w:bottom w:val="none" w:sz="0" w:space="0" w:color="auto"/>
            <w:right w:val="none" w:sz="0" w:space="0" w:color="auto"/>
          </w:divBdr>
        </w:div>
      </w:divsChild>
    </w:div>
    <w:div w:id="1874342705">
      <w:bodyDiv w:val="1"/>
      <w:marLeft w:val="0"/>
      <w:marRight w:val="0"/>
      <w:marTop w:val="0"/>
      <w:marBottom w:val="0"/>
      <w:divBdr>
        <w:top w:val="none" w:sz="0" w:space="0" w:color="auto"/>
        <w:left w:val="none" w:sz="0" w:space="0" w:color="auto"/>
        <w:bottom w:val="none" w:sz="0" w:space="0" w:color="auto"/>
        <w:right w:val="none" w:sz="0" w:space="0" w:color="auto"/>
      </w:divBdr>
    </w:div>
    <w:div w:id="1880239374">
      <w:bodyDiv w:val="1"/>
      <w:marLeft w:val="0"/>
      <w:marRight w:val="0"/>
      <w:marTop w:val="0"/>
      <w:marBottom w:val="0"/>
      <w:divBdr>
        <w:top w:val="none" w:sz="0" w:space="0" w:color="auto"/>
        <w:left w:val="none" w:sz="0" w:space="0" w:color="auto"/>
        <w:bottom w:val="none" w:sz="0" w:space="0" w:color="auto"/>
        <w:right w:val="none" w:sz="0" w:space="0" w:color="auto"/>
      </w:divBdr>
    </w:div>
    <w:div w:id="1881742812">
      <w:bodyDiv w:val="1"/>
      <w:marLeft w:val="0"/>
      <w:marRight w:val="0"/>
      <w:marTop w:val="0"/>
      <w:marBottom w:val="0"/>
      <w:divBdr>
        <w:top w:val="none" w:sz="0" w:space="0" w:color="auto"/>
        <w:left w:val="none" w:sz="0" w:space="0" w:color="auto"/>
        <w:bottom w:val="none" w:sz="0" w:space="0" w:color="auto"/>
        <w:right w:val="none" w:sz="0" w:space="0" w:color="auto"/>
      </w:divBdr>
    </w:div>
    <w:div w:id="1888832351">
      <w:bodyDiv w:val="1"/>
      <w:marLeft w:val="0"/>
      <w:marRight w:val="0"/>
      <w:marTop w:val="0"/>
      <w:marBottom w:val="0"/>
      <w:divBdr>
        <w:top w:val="none" w:sz="0" w:space="0" w:color="auto"/>
        <w:left w:val="none" w:sz="0" w:space="0" w:color="auto"/>
        <w:bottom w:val="none" w:sz="0" w:space="0" w:color="auto"/>
        <w:right w:val="none" w:sz="0" w:space="0" w:color="auto"/>
      </w:divBdr>
      <w:divsChild>
        <w:div w:id="1943996076">
          <w:marLeft w:val="720"/>
          <w:marRight w:val="0"/>
          <w:marTop w:val="60"/>
          <w:marBottom w:val="0"/>
          <w:divBdr>
            <w:top w:val="none" w:sz="0" w:space="0" w:color="auto"/>
            <w:left w:val="none" w:sz="0" w:space="0" w:color="auto"/>
            <w:bottom w:val="none" w:sz="0" w:space="0" w:color="auto"/>
            <w:right w:val="none" w:sz="0" w:space="0" w:color="auto"/>
          </w:divBdr>
        </w:div>
      </w:divsChild>
    </w:div>
    <w:div w:id="1902252780">
      <w:bodyDiv w:val="1"/>
      <w:marLeft w:val="0"/>
      <w:marRight w:val="0"/>
      <w:marTop w:val="0"/>
      <w:marBottom w:val="0"/>
      <w:divBdr>
        <w:top w:val="none" w:sz="0" w:space="0" w:color="auto"/>
        <w:left w:val="none" w:sz="0" w:space="0" w:color="auto"/>
        <w:bottom w:val="none" w:sz="0" w:space="0" w:color="auto"/>
        <w:right w:val="none" w:sz="0" w:space="0" w:color="auto"/>
      </w:divBdr>
    </w:div>
    <w:div w:id="1905875176">
      <w:bodyDiv w:val="1"/>
      <w:marLeft w:val="0"/>
      <w:marRight w:val="0"/>
      <w:marTop w:val="0"/>
      <w:marBottom w:val="0"/>
      <w:divBdr>
        <w:top w:val="none" w:sz="0" w:space="0" w:color="auto"/>
        <w:left w:val="none" w:sz="0" w:space="0" w:color="auto"/>
        <w:bottom w:val="none" w:sz="0" w:space="0" w:color="auto"/>
        <w:right w:val="none" w:sz="0" w:space="0" w:color="auto"/>
      </w:divBdr>
    </w:div>
    <w:div w:id="1906715822">
      <w:bodyDiv w:val="1"/>
      <w:marLeft w:val="0"/>
      <w:marRight w:val="0"/>
      <w:marTop w:val="0"/>
      <w:marBottom w:val="0"/>
      <w:divBdr>
        <w:top w:val="none" w:sz="0" w:space="0" w:color="auto"/>
        <w:left w:val="none" w:sz="0" w:space="0" w:color="auto"/>
        <w:bottom w:val="none" w:sz="0" w:space="0" w:color="auto"/>
        <w:right w:val="none" w:sz="0" w:space="0" w:color="auto"/>
      </w:divBdr>
    </w:div>
    <w:div w:id="1924991697">
      <w:bodyDiv w:val="1"/>
      <w:marLeft w:val="0"/>
      <w:marRight w:val="0"/>
      <w:marTop w:val="0"/>
      <w:marBottom w:val="0"/>
      <w:divBdr>
        <w:top w:val="none" w:sz="0" w:space="0" w:color="auto"/>
        <w:left w:val="none" w:sz="0" w:space="0" w:color="auto"/>
        <w:bottom w:val="none" w:sz="0" w:space="0" w:color="auto"/>
        <w:right w:val="none" w:sz="0" w:space="0" w:color="auto"/>
      </w:divBdr>
    </w:div>
    <w:div w:id="1926065353">
      <w:bodyDiv w:val="1"/>
      <w:marLeft w:val="0"/>
      <w:marRight w:val="0"/>
      <w:marTop w:val="0"/>
      <w:marBottom w:val="0"/>
      <w:divBdr>
        <w:top w:val="none" w:sz="0" w:space="0" w:color="auto"/>
        <w:left w:val="none" w:sz="0" w:space="0" w:color="auto"/>
        <w:bottom w:val="none" w:sz="0" w:space="0" w:color="auto"/>
        <w:right w:val="none" w:sz="0" w:space="0" w:color="auto"/>
      </w:divBdr>
    </w:div>
    <w:div w:id="1931767130">
      <w:bodyDiv w:val="1"/>
      <w:marLeft w:val="0"/>
      <w:marRight w:val="0"/>
      <w:marTop w:val="0"/>
      <w:marBottom w:val="0"/>
      <w:divBdr>
        <w:top w:val="none" w:sz="0" w:space="0" w:color="auto"/>
        <w:left w:val="none" w:sz="0" w:space="0" w:color="auto"/>
        <w:bottom w:val="none" w:sz="0" w:space="0" w:color="auto"/>
        <w:right w:val="none" w:sz="0" w:space="0" w:color="auto"/>
      </w:divBdr>
    </w:div>
    <w:div w:id="1932855445">
      <w:bodyDiv w:val="1"/>
      <w:marLeft w:val="0"/>
      <w:marRight w:val="0"/>
      <w:marTop w:val="0"/>
      <w:marBottom w:val="0"/>
      <w:divBdr>
        <w:top w:val="none" w:sz="0" w:space="0" w:color="auto"/>
        <w:left w:val="none" w:sz="0" w:space="0" w:color="auto"/>
        <w:bottom w:val="none" w:sz="0" w:space="0" w:color="auto"/>
        <w:right w:val="none" w:sz="0" w:space="0" w:color="auto"/>
      </w:divBdr>
    </w:div>
    <w:div w:id="1938050595">
      <w:bodyDiv w:val="1"/>
      <w:marLeft w:val="0"/>
      <w:marRight w:val="0"/>
      <w:marTop w:val="0"/>
      <w:marBottom w:val="0"/>
      <w:divBdr>
        <w:top w:val="none" w:sz="0" w:space="0" w:color="auto"/>
        <w:left w:val="none" w:sz="0" w:space="0" w:color="auto"/>
        <w:bottom w:val="none" w:sz="0" w:space="0" w:color="auto"/>
        <w:right w:val="none" w:sz="0" w:space="0" w:color="auto"/>
      </w:divBdr>
      <w:divsChild>
        <w:div w:id="858857260">
          <w:marLeft w:val="187"/>
          <w:marRight w:val="0"/>
          <w:marTop w:val="200"/>
          <w:marBottom w:val="0"/>
          <w:divBdr>
            <w:top w:val="none" w:sz="0" w:space="0" w:color="auto"/>
            <w:left w:val="none" w:sz="0" w:space="0" w:color="auto"/>
            <w:bottom w:val="none" w:sz="0" w:space="0" w:color="auto"/>
            <w:right w:val="none" w:sz="0" w:space="0" w:color="auto"/>
          </w:divBdr>
        </w:div>
      </w:divsChild>
    </w:div>
    <w:div w:id="1943225721">
      <w:bodyDiv w:val="1"/>
      <w:marLeft w:val="0"/>
      <w:marRight w:val="0"/>
      <w:marTop w:val="0"/>
      <w:marBottom w:val="0"/>
      <w:divBdr>
        <w:top w:val="none" w:sz="0" w:space="0" w:color="auto"/>
        <w:left w:val="none" w:sz="0" w:space="0" w:color="auto"/>
        <w:bottom w:val="none" w:sz="0" w:space="0" w:color="auto"/>
        <w:right w:val="none" w:sz="0" w:space="0" w:color="auto"/>
      </w:divBdr>
    </w:div>
    <w:div w:id="1944802492">
      <w:bodyDiv w:val="1"/>
      <w:marLeft w:val="0"/>
      <w:marRight w:val="0"/>
      <w:marTop w:val="0"/>
      <w:marBottom w:val="0"/>
      <w:divBdr>
        <w:top w:val="none" w:sz="0" w:space="0" w:color="auto"/>
        <w:left w:val="none" w:sz="0" w:space="0" w:color="auto"/>
        <w:bottom w:val="none" w:sz="0" w:space="0" w:color="auto"/>
        <w:right w:val="none" w:sz="0" w:space="0" w:color="auto"/>
      </w:divBdr>
      <w:divsChild>
        <w:div w:id="1197424677">
          <w:marLeft w:val="274"/>
          <w:marRight w:val="0"/>
          <w:marTop w:val="0"/>
          <w:marBottom w:val="120"/>
          <w:divBdr>
            <w:top w:val="none" w:sz="0" w:space="0" w:color="auto"/>
            <w:left w:val="none" w:sz="0" w:space="0" w:color="auto"/>
            <w:bottom w:val="none" w:sz="0" w:space="0" w:color="auto"/>
            <w:right w:val="none" w:sz="0" w:space="0" w:color="auto"/>
          </w:divBdr>
        </w:div>
      </w:divsChild>
    </w:div>
    <w:div w:id="1945385515">
      <w:bodyDiv w:val="1"/>
      <w:marLeft w:val="0"/>
      <w:marRight w:val="0"/>
      <w:marTop w:val="0"/>
      <w:marBottom w:val="0"/>
      <w:divBdr>
        <w:top w:val="none" w:sz="0" w:space="0" w:color="auto"/>
        <w:left w:val="none" w:sz="0" w:space="0" w:color="auto"/>
        <w:bottom w:val="none" w:sz="0" w:space="0" w:color="auto"/>
        <w:right w:val="none" w:sz="0" w:space="0" w:color="auto"/>
      </w:divBdr>
    </w:div>
    <w:div w:id="1950428086">
      <w:bodyDiv w:val="1"/>
      <w:marLeft w:val="0"/>
      <w:marRight w:val="0"/>
      <w:marTop w:val="0"/>
      <w:marBottom w:val="0"/>
      <w:divBdr>
        <w:top w:val="none" w:sz="0" w:space="0" w:color="auto"/>
        <w:left w:val="none" w:sz="0" w:space="0" w:color="auto"/>
        <w:bottom w:val="none" w:sz="0" w:space="0" w:color="auto"/>
        <w:right w:val="none" w:sz="0" w:space="0" w:color="auto"/>
      </w:divBdr>
    </w:div>
    <w:div w:id="1958683542">
      <w:bodyDiv w:val="1"/>
      <w:marLeft w:val="0"/>
      <w:marRight w:val="0"/>
      <w:marTop w:val="0"/>
      <w:marBottom w:val="0"/>
      <w:divBdr>
        <w:top w:val="none" w:sz="0" w:space="0" w:color="auto"/>
        <w:left w:val="none" w:sz="0" w:space="0" w:color="auto"/>
        <w:bottom w:val="none" w:sz="0" w:space="0" w:color="auto"/>
        <w:right w:val="none" w:sz="0" w:space="0" w:color="auto"/>
      </w:divBdr>
      <w:divsChild>
        <w:div w:id="161509647">
          <w:marLeft w:val="1166"/>
          <w:marRight w:val="0"/>
          <w:marTop w:val="60"/>
          <w:marBottom w:val="0"/>
          <w:divBdr>
            <w:top w:val="none" w:sz="0" w:space="0" w:color="auto"/>
            <w:left w:val="none" w:sz="0" w:space="0" w:color="auto"/>
            <w:bottom w:val="none" w:sz="0" w:space="0" w:color="auto"/>
            <w:right w:val="none" w:sz="0" w:space="0" w:color="auto"/>
          </w:divBdr>
        </w:div>
        <w:div w:id="239289212">
          <w:marLeft w:val="1166"/>
          <w:marRight w:val="0"/>
          <w:marTop w:val="60"/>
          <w:marBottom w:val="0"/>
          <w:divBdr>
            <w:top w:val="none" w:sz="0" w:space="0" w:color="auto"/>
            <w:left w:val="none" w:sz="0" w:space="0" w:color="auto"/>
            <w:bottom w:val="none" w:sz="0" w:space="0" w:color="auto"/>
            <w:right w:val="none" w:sz="0" w:space="0" w:color="auto"/>
          </w:divBdr>
        </w:div>
        <w:div w:id="493883633">
          <w:marLeft w:val="0"/>
          <w:marRight w:val="0"/>
          <w:marTop w:val="300"/>
          <w:marBottom w:val="0"/>
          <w:divBdr>
            <w:top w:val="none" w:sz="0" w:space="0" w:color="auto"/>
            <w:left w:val="none" w:sz="0" w:space="0" w:color="auto"/>
            <w:bottom w:val="none" w:sz="0" w:space="0" w:color="auto"/>
            <w:right w:val="none" w:sz="0" w:space="0" w:color="auto"/>
          </w:divBdr>
        </w:div>
        <w:div w:id="636885433">
          <w:marLeft w:val="1166"/>
          <w:marRight w:val="0"/>
          <w:marTop w:val="60"/>
          <w:marBottom w:val="0"/>
          <w:divBdr>
            <w:top w:val="none" w:sz="0" w:space="0" w:color="auto"/>
            <w:left w:val="none" w:sz="0" w:space="0" w:color="auto"/>
            <w:bottom w:val="none" w:sz="0" w:space="0" w:color="auto"/>
            <w:right w:val="none" w:sz="0" w:space="0" w:color="auto"/>
          </w:divBdr>
        </w:div>
        <w:div w:id="663364739">
          <w:marLeft w:val="1166"/>
          <w:marRight w:val="0"/>
          <w:marTop w:val="60"/>
          <w:marBottom w:val="0"/>
          <w:divBdr>
            <w:top w:val="none" w:sz="0" w:space="0" w:color="auto"/>
            <w:left w:val="none" w:sz="0" w:space="0" w:color="auto"/>
            <w:bottom w:val="none" w:sz="0" w:space="0" w:color="auto"/>
            <w:right w:val="none" w:sz="0" w:space="0" w:color="auto"/>
          </w:divBdr>
        </w:div>
        <w:div w:id="742022595">
          <w:marLeft w:val="965"/>
          <w:marRight w:val="0"/>
          <w:marTop w:val="60"/>
          <w:marBottom w:val="0"/>
          <w:divBdr>
            <w:top w:val="none" w:sz="0" w:space="0" w:color="auto"/>
            <w:left w:val="none" w:sz="0" w:space="0" w:color="auto"/>
            <w:bottom w:val="none" w:sz="0" w:space="0" w:color="auto"/>
            <w:right w:val="none" w:sz="0" w:space="0" w:color="auto"/>
          </w:divBdr>
        </w:div>
        <w:div w:id="746422191">
          <w:marLeft w:val="965"/>
          <w:marRight w:val="0"/>
          <w:marTop w:val="60"/>
          <w:marBottom w:val="0"/>
          <w:divBdr>
            <w:top w:val="none" w:sz="0" w:space="0" w:color="auto"/>
            <w:left w:val="none" w:sz="0" w:space="0" w:color="auto"/>
            <w:bottom w:val="none" w:sz="0" w:space="0" w:color="auto"/>
            <w:right w:val="none" w:sz="0" w:space="0" w:color="auto"/>
          </w:divBdr>
        </w:div>
        <w:div w:id="758908290">
          <w:marLeft w:val="1166"/>
          <w:marRight w:val="0"/>
          <w:marTop w:val="60"/>
          <w:marBottom w:val="0"/>
          <w:divBdr>
            <w:top w:val="none" w:sz="0" w:space="0" w:color="auto"/>
            <w:left w:val="none" w:sz="0" w:space="0" w:color="auto"/>
            <w:bottom w:val="none" w:sz="0" w:space="0" w:color="auto"/>
            <w:right w:val="none" w:sz="0" w:space="0" w:color="auto"/>
          </w:divBdr>
        </w:div>
        <w:div w:id="1300578078">
          <w:marLeft w:val="1166"/>
          <w:marRight w:val="0"/>
          <w:marTop w:val="60"/>
          <w:marBottom w:val="0"/>
          <w:divBdr>
            <w:top w:val="none" w:sz="0" w:space="0" w:color="auto"/>
            <w:left w:val="none" w:sz="0" w:space="0" w:color="auto"/>
            <w:bottom w:val="none" w:sz="0" w:space="0" w:color="auto"/>
            <w:right w:val="none" w:sz="0" w:space="0" w:color="auto"/>
          </w:divBdr>
        </w:div>
        <w:div w:id="1631934344">
          <w:marLeft w:val="1166"/>
          <w:marRight w:val="0"/>
          <w:marTop w:val="60"/>
          <w:marBottom w:val="0"/>
          <w:divBdr>
            <w:top w:val="none" w:sz="0" w:space="0" w:color="auto"/>
            <w:left w:val="none" w:sz="0" w:space="0" w:color="auto"/>
            <w:bottom w:val="none" w:sz="0" w:space="0" w:color="auto"/>
            <w:right w:val="none" w:sz="0" w:space="0" w:color="auto"/>
          </w:divBdr>
        </w:div>
      </w:divsChild>
    </w:div>
    <w:div w:id="1965694246">
      <w:bodyDiv w:val="1"/>
      <w:marLeft w:val="0"/>
      <w:marRight w:val="0"/>
      <w:marTop w:val="0"/>
      <w:marBottom w:val="0"/>
      <w:divBdr>
        <w:top w:val="none" w:sz="0" w:space="0" w:color="auto"/>
        <w:left w:val="none" w:sz="0" w:space="0" w:color="auto"/>
        <w:bottom w:val="none" w:sz="0" w:space="0" w:color="auto"/>
        <w:right w:val="none" w:sz="0" w:space="0" w:color="auto"/>
      </w:divBdr>
    </w:div>
    <w:div w:id="1969972869">
      <w:bodyDiv w:val="1"/>
      <w:marLeft w:val="0"/>
      <w:marRight w:val="0"/>
      <w:marTop w:val="0"/>
      <w:marBottom w:val="0"/>
      <w:divBdr>
        <w:top w:val="none" w:sz="0" w:space="0" w:color="auto"/>
        <w:left w:val="none" w:sz="0" w:space="0" w:color="auto"/>
        <w:bottom w:val="none" w:sz="0" w:space="0" w:color="auto"/>
        <w:right w:val="none" w:sz="0" w:space="0" w:color="auto"/>
      </w:divBdr>
    </w:div>
    <w:div w:id="1971983144">
      <w:bodyDiv w:val="1"/>
      <w:marLeft w:val="0"/>
      <w:marRight w:val="0"/>
      <w:marTop w:val="0"/>
      <w:marBottom w:val="0"/>
      <w:divBdr>
        <w:top w:val="none" w:sz="0" w:space="0" w:color="auto"/>
        <w:left w:val="none" w:sz="0" w:space="0" w:color="auto"/>
        <w:bottom w:val="none" w:sz="0" w:space="0" w:color="auto"/>
        <w:right w:val="none" w:sz="0" w:space="0" w:color="auto"/>
      </w:divBdr>
    </w:div>
    <w:div w:id="1972247537">
      <w:bodyDiv w:val="1"/>
      <w:marLeft w:val="0"/>
      <w:marRight w:val="0"/>
      <w:marTop w:val="0"/>
      <w:marBottom w:val="0"/>
      <w:divBdr>
        <w:top w:val="none" w:sz="0" w:space="0" w:color="auto"/>
        <w:left w:val="none" w:sz="0" w:space="0" w:color="auto"/>
        <w:bottom w:val="none" w:sz="0" w:space="0" w:color="auto"/>
        <w:right w:val="none" w:sz="0" w:space="0" w:color="auto"/>
      </w:divBdr>
    </w:div>
    <w:div w:id="1981574884">
      <w:bodyDiv w:val="1"/>
      <w:marLeft w:val="0"/>
      <w:marRight w:val="0"/>
      <w:marTop w:val="0"/>
      <w:marBottom w:val="0"/>
      <w:divBdr>
        <w:top w:val="none" w:sz="0" w:space="0" w:color="auto"/>
        <w:left w:val="none" w:sz="0" w:space="0" w:color="auto"/>
        <w:bottom w:val="none" w:sz="0" w:space="0" w:color="auto"/>
        <w:right w:val="none" w:sz="0" w:space="0" w:color="auto"/>
      </w:divBdr>
    </w:div>
    <w:div w:id="1998264524">
      <w:bodyDiv w:val="1"/>
      <w:marLeft w:val="0"/>
      <w:marRight w:val="0"/>
      <w:marTop w:val="0"/>
      <w:marBottom w:val="0"/>
      <w:divBdr>
        <w:top w:val="none" w:sz="0" w:space="0" w:color="auto"/>
        <w:left w:val="none" w:sz="0" w:space="0" w:color="auto"/>
        <w:bottom w:val="none" w:sz="0" w:space="0" w:color="auto"/>
        <w:right w:val="none" w:sz="0" w:space="0" w:color="auto"/>
      </w:divBdr>
      <w:divsChild>
        <w:div w:id="503862418">
          <w:marLeft w:val="720"/>
          <w:marRight w:val="0"/>
          <w:marTop w:val="60"/>
          <w:marBottom w:val="0"/>
          <w:divBdr>
            <w:top w:val="none" w:sz="0" w:space="0" w:color="auto"/>
            <w:left w:val="none" w:sz="0" w:space="0" w:color="auto"/>
            <w:bottom w:val="none" w:sz="0" w:space="0" w:color="auto"/>
            <w:right w:val="none" w:sz="0" w:space="0" w:color="auto"/>
          </w:divBdr>
        </w:div>
        <w:div w:id="1612125152">
          <w:marLeft w:val="720"/>
          <w:marRight w:val="0"/>
          <w:marTop w:val="60"/>
          <w:marBottom w:val="0"/>
          <w:divBdr>
            <w:top w:val="none" w:sz="0" w:space="0" w:color="auto"/>
            <w:left w:val="none" w:sz="0" w:space="0" w:color="auto"/>
            <w:bottom w:val="none" w:sz="0" w:space="0" w:color="auto"/>
            <w:right w:val="none" w:sz="0" w:space="0" w:color="auto"/>
          </w:divBdr>
        </w:div>
      </w:divsChild>
    </w:div>
    <w:div w:id="1999309100">
      <w:bodyDiv w:val="1"/>
      <w:marLeft w:val="0"/>
      <w:marRight w:val="0"/>
      <w:marTop w:val="0"/>
      <w:marBottom w:val="0"/>
      <w:divBdr>
        <w:top w:val="none" w:sz="0" w:space="0" w:color="auto"/>
        <w:left w:val="none" w:sz="0" w:space="0" w:color="auto"/>
        <w:bottom w:val="none" w:sz="0" w:space="0" w:color="auto"/>
        <w:right w:val="none" w:sz="0" w:space="0" w:color="auto"/>
      </w:divBdr>
    </w:div>
    <w:div w:id="2003312838">
      <w:bodyDiv w:val="1"/>
      <w:marLeft w:val="0"/>
      <w:marRight w:val="0"/>
      <w:marTop w:val="0"/>
      <w:marBottom w:val="0"/>
      <w:divBdr>
        <w:top w:val="none" w:sz="0" w:space="0" w:color="auto"/>
        <w:left w:val="none" w:sz="0" w:space="0" w:color="auto"/>
        <w:bottom w:val="none" w:sz="0" w:space="0" w:color="auto"/>
        <w:right w:val="none" w:sz="0" w:space="0" w:color="auto"/>
      </w:divBdr>
    </w:div>
    <w:div w:id="2006669751">
      <w:bodyDiv w:val="1"/>
      <w:marLeft w:val="0"/>
      <w:marRight w:val="0"/>
      <w:marTop w:val="0"/>
      <w:marBottom w:val="0"/>
      <w:divBdr>
        <w:top w:val="none" w:sz="0" w:space="0" w:color="auto"/>
        <w:left w:val="none" w:sz="0" w:space="0" w:color="auto"/>
        <w:bottom w:val="none" w:sz="0" w:space="0" w:color="auto"/>
        <w:right w:val="none" w:sz="0" w:space="0" w:color="auto"/>
      </w:divBdr>
    </w:div>
    <w:div w:id="2008634322">
      <w:bodyDiv w:val="1"/>
      <w:marLeft w:val="0"/>
      <w:marRight w:val="0"/>
      <w:marTop w:val="0"/>
      <w:marBottom w:val="0"/>
      <w:divBdr>
        <w:top w:val="none" w:sz="0" w:space="0" w:color="auto"/>
        <w:left w:val="none" w:sz="0" w:space="0" w:color="auto"/>
        <w:bottom w:val="none" w:sz="0" w:space="0" w:color="auto"/>
        <w:right w:val="none" w:sz="0" w:space="0" w:color="auto"/>
      </w:divBdr>
    </w:div>
    <w:div w:id="2035764735">
      <w:bodyDiv w:val="1"/>
      <w:marLeft w:val="0"/>
      <w:marRight w:val="0"/>
      <w:marTop w:val="0"/>
      <w:marBottom w:val="0"/>
      <w:divBdr>
        <w:top w:val="none" w:sz="0" w:space="0" w:color="auto"/>
        <w:left w:val="none" w:sz="0" w:space="0" w:color="auto"/>
        <w:bottom w:val="none" w:sz="0" w:space="0" w:color="auto"/>
        <w:right w:val="none" w:sz="0" w:space="0" w:color="auto"/>
      </w:divBdr>
    </w:div>
    <w:div w:id="2036886177">
      <w:bodyDiv w:val="1"/>
      <w:marLeft w:val="0"/>
      <w:marRight w:val="0"/>
      <w:marTop w:val="0"/>
      <w:marBottom w:val="0"/>
      <w:divBdr>
        <w:top w:val="none" w:sz="0" w:space="0" w:color="auto"/>
        <w:left w:val="none" w:sz="0" w:space="0" w:color="auto"/>
        <w:bottom w:val="none" w:sz="0" w:space="0" w:color="auto"/>
        <w:right w:val="none" w:sz="0" w:space="0" w:color="auto"/>
      </w:divBdr>
    </w:div>
    <w:div w:id="2039424030">
      <w:bodyDiv w:val="1"/>
      <w:marLeft w:val="0"/>
      <w:marRight w:val="0"/>
      <w:marTop w:val="0"/>
      <w:marBottom w:val="0"/>
      <w:divBdr>
        <w:top w:val="none" w:sz="0" w:space="0" w:color="auto"/>
        <w:left w:val="none" w:sz="0" w:space="0" w:color="auto"/>
        <w:bottom w:val="none" w:sz="0" w:space="0" w:color="auto"/>
        <w:right w:val="none" w:sz="0" w:space="0" w:color="auto"/>
      </w:divBdr>
    </w:div>
    <w:div w:id="2040661292">
      <w:bodyDiv w:val="1"/>
      <w:marLeft w:val="0"/>
      <w:marRight w:val="0"/>
      <w:marTop w:val="0"/>
      <w:marBottom w:val="0"/>
      <w:divBdr>
        <w:top w:val="none" w:sz="0" w:space="0" w:color="auto"/>
        <w:left w:val="none" w:sz="0" w:space="0" w:color="auto"/>
        <w:bottom w:val="none" w:sz="0" w:space="0" w:color="auto"/>
        <w:right w:val="none" w:sz="0" w:space="0" w:color="auto"/>
      </w:divBdr>
    </w:div>
    <w:div w:id="2045516075">
      <w:bodyDiv w:val="1"/>
      <w:marLeft w:val="0"/>
      <w:marRight w:val="0"/>
      <w:marTop w:val="0"/>
      <w:marBottom w:val="0"/>
      <w:divBdr>
        <w:top w:val="none" w:sz="0" w:space="0" w:color="auto"/>
        <w:left w:val="none" w:sz="0" w:space="0" w:color="auto"/>
        <w:bottom w:val="none" w:sz="0" w:space="0" w:color="auto"/>
        <w:right w:val="none" w:sz="0" w:space="0" w:color="auto"/>
      </w:divBdr>
    </w:div>
    <w:div w:id="2055612422">
      <w:bodyDiv w:val="1"/>
      <w:marLeft w:val="0"/>
      <w:marRight w:val="0"/>
      <w:marTop w:val="0"/>
      <w:marBottom w:val="0"/>
      <w:divBdr>
        <w:top w:val="none" w:sz="0" w:space="0" w:color="auto"/>
        <w:left w:val="none" w:sz="0" w:space="0" w:color="auto"/>
        <w:bottom w:val="none" w:sz="0" w:space="0" w:color="auto"/>
        <w:right w:val="none" w:sz="0" w:space="0" w:color="auto"/>
      </w:divBdr>
    </w:div>
    <w:div w:id="2058777410">
      <w:bodyDiv w:val="1"/>
      <w:marLeft w:val="0"/>
      <w:marRight w:val="0"/>
      <w:marTop w:val="0"/>
      <w:marBottom w:val="0"/>
      <w:divBdr>
        <w:top w:val="none" w:sz="0" w:space="0" w:color="auto"/>
        <w:left w:val="none" w:sz="0" w:space="0" w:color="auto"/>
        <w:bottom w:val="none" w:sz="0" w:space="0" w:color="auto"/>
        <w:right w:val="none" w:sz="0" w:space="0" w:color="auto"/>
      </w:divBdr>
    </w:div>
    <w:div w:id="2062555523">
      <w:bodyDiv w:val="1"/>
      <w:marLeft w:val="0"/>
      <w:marRight w:val="0"/>
      <w:marTop w:val="0"/>
      <w:marBottom w:val="0"/>
      <w:divBdr>
        <w:top w:val="none" w:sz="0" w:space="0" w:color="auto"/>
        <w:left w:val="none" w:sz="0" w:space="0" w:color="auto"/>
        <w:bottom w:val="none" w:sz="0" w:space="0" w:color="auto"/>
        <w:right w:val="none" w:sz="0" w:space="0" w:color="auto"/>
      </w:divBdr>
      <w:divsChild>
        <w:div w:id="1286739395">
          <w:marLeft w:val="0"/>
          <w:marRight w:val="0"/>
          <w:marTop w:val="0"/>
          <w:marBottom w:val="0"/>
          <w:divBdr>
            <w:top w:val="none" w:sz="0" w:space="0" w:color="auto"/>
            <w:left w:val="none" w:sz="0" w:space="0" w:color="auto"/>
            <w:bottom w:val="none" w:sz="0" w:space="0" w:color="auto"/>
            <w:right w:val="none" w:sz="0" w:space="0" w:color="auto"/>
          </w:divBdr>
        </w:div>
      </w:divsChild>
    </w:div>
    <w:div w:id="2063022971">
      <w:bodyDiv w:val="1"/>
      <w:marLeft w:val="0"/>
      <w:marRight w:val="0"/>
      <w:marTop w:val="0"/>
      <w:marBottom w:val="0"/>
      <w:divBdr>
        <w:top w:val="none" w:sz="0" w:space="0" w:color="auto"/>
        <w:left w:val="none" w:sz="0" w:space="0" w:color="auto"/>
        <w:bottom w:val="none" w:sz="0" w:space="0" w:color="auto"/>
        <w:right w:val="none" w:sz="0" w:space="0" w:color="auto"/>
      </w:divBdr>
    </w:div>
    <w:div w:id="2071535617">
      <w:bodyDiv w:val="1"/>
      <w:marLeft w:val="0"/>
      <w:marRight w:val="0"/>
      <w:marTop w:val="0"/>
      <w:marBottom w:val="0"/>
      <w:divBdr>
        <w:top w:val="none" w:sz="0" w:space="0" w:color="auto"/>
        <w:left w:val="none" w:sz="0" w:space="0" w:color="auto"/>
        <w:bottom w:val="none" w:sz="0" w:space="0" w:color="auto"/>
        <w:right w:val="none" w:sz="0" w:space="0" w:color="auto"/>
      </w:divBdr>
    </w:div>
    <w:div w:id="2071921367">
      <w:bodyDiv w:val="1"/>
      <w:marLeft w:val="0"/>
      <w:marRight w:val="0"/>
      <w:marTop w:val="0"/>
      <w:marBottom w:val="0"/>
      <w:divBdr>
        <w:top w:val="none" w:sz="0" w:space="0" w:color="auto"/>
        <w:left w:val="none" w:sz="0" w:space="0" w:color="auto"/>
        <w:bottom w:val="none" w:sz="0" w:space="0" w:color="auto"/>
        <w:right w:val="none" w:sz="0" w:space="0" w:color="auto"/>
      </w:divBdr>
    </w:div>
    <w:div w:id="2079355755">
      <w:bodyDiv w:val="1"/>
      <w:marLeft w:val="0"/>
      <w:marRight w:val="0"/>
      <w:marTop w:val="0"/>
      <w:marBottom w:val="0"/>
      <w:divBdr>
        <w:top w:val="none" w:sz="0" w:space="0" w:color="auto"/>
        <w:left w:val="none" w:sz="0" w:space="0" w:color="auto"/>
        <w:bottom w:val="none" w:sz="0" w:space="0" w:color="auto"/>
        <w:right w:val="none" w:sz="0" w:space="0" w:color="auto"/>
      </w:divBdr>
      <w:divsChild>
        <w:div w:id="574818983">
          <w:marLeft w:val="720"/>
          <w:marRight w:val="0"/>
          <w:marTop w:val="60"/>
          <w:marBottom w:val="0"/>
          <w:divBdr>
            <w:top w:val="none" w:sz="0" w:space="0" w:color="auto"/>
            <w:left w:val="none" w:sz="0" w:space="0" w:color="auto"/>
            <w:bottom w:val="none" w:sz="0" w:space="0" w:color="auto"/>
            <w:right w:val="none" w:sz="0" w:space="0" w:color="auto"/>
          </w:divBdr>
        </w:div>
        <w:div w:id="1028875744">
          <w:marLeft w:val="1166"/>
          <w:marRight w:val="0"/>
          <w:marTop w:val="60"/>
          <w:marBottom w:val="0"/>
          <w:divBdr>
            <w:top w:val="none" w:sz="0" w:space="0" w:color="auto"/>
            <w:left w:val="none" w:sz="0" w:space="0" w:color="auto"/>
            <w:bottom w:val="none" w:sz="0" w:space="0" w:color="auto"/>
            <w:right w:val="none" w:sz="0" w:space="0" w:color="auto"/>
          </w:divBdr>
        </w:div>
        <w:div w:id="1369988129">
          <w:marLeft w:val="720"/>
          <w:marRight w:val="0"/>
          <w:marTop w:val="60"/>
          <w:marBottom w:val="0"/>
          <w:divBdr>
            <w:top w:val="none" w:sz="0" w:space="0" w:color="auto"/>
            <w:left w:val="none" w:sz="0" w:space="0" w:color="auto"/>
            <w:bottom w:val="none" w:sz="0" w:space="0" w:color="auto"/>
            <w:right w:val="none" w:sz="0" w:space="0" w:color="auto"/>
          </w:divBdr>
        </w:div>
        <w:div w:id="1711613582">
          <w:marLeft w:val="1166"/>
          <w:marRight w:val="0"/>
          <w:marTop w:val="60"/>
          <w:marBottom w:val="0"/>
          <w:divBdr>
            <w:top w:val="none" w:sz="0" w:space="0" w:color="auto"/>
            <w:left w:val="none" w:sz="0" w:space="0" w:color="auto"/>
            <w:bottom w:val="none" w:sz="0" w:space="0" w:color="auto"/>
            <w:right w:val="none" w:sz="0" w:space="0" w:color="auto"/>
          </w:divBdr>
        </w:div>
        <w:div w:id="1778909376">
          <w:marLeft w:val="1166"/>
          <w:marRight w:val="0"/>
          <w:marTop w:val="60"/>
          <w:marBottom w:val="0"/>
          <w:divBdr>
            <w:top w:val="none" w:sz="0" w:space="0" w:color="auto"/>
            <w:left w:val="none" w:sz="0" w:space="0" w:color="auto"/>
            <w:bottom w:val="none" w:sz="0" w:space="0" w:color="auto"/>
            <w:right w:val="none" w:sz="0" w:space="0" w:color="auto"/>
          </w:divBdr>
        </w:div>
        <w:div w:id="2022537433">
          <w:marLeft w:val="1166"/>
          <w:marRight w:val="0"/>
          <w:marTop w:val="60"/>
          <w:marBottom w:val="0"/>
          <w:divBdr>
            <w:top w:val="none" w:sz="0" w:space="0" w:color="auto"/>
            <w:left w:val="none" w:sz="0" w:space="0" w:color="auto"/>
            <w:bottom w:val="none" w:sz="0" w:space="0" w:color="auto"/>
            <w:right w:val="none" w:sz="0" w:space="0" w:color="auto"/>
          </w:divBdr>
        </w:div>
      </w:divsChild>
    </w:div>
    <w:div w:id="2091350207">
      <w:bodyDiv w:val="1"/>
      <w:marLeft w:val="0"/>
      <w:marRight w:val="0"/>
      <w:marTop w:val="0"/>
      <w:marBottom w:val="0"/>
      <w:divBdr>
        <w:top w:val="none" w:sz="0" w:space="0" w:color="auto"/>
        <w:left w:val="none" w:sz="0" w:space="0" w:color="auto"/>
        <w:bottom w:val="none" w:sz="0" w:space="0" w:color="auto"/>
        <w:right w:val="none" w:sz="0" w:space="0" w:color="auto"/>
      </w:divBdr>
    </w:div>
    <w:div w:id="2095465552">
      <w:bodyDiv w:val="1"/>
      <w:marLeft w:val="0"/>
      <w:marRight w:val="0"/>
      <w:marTop w:val="0"/>
      <w:marBottom w:val="0"/>
      <w:divBdr>
        <w:top w:val="none" w:sz="0" w:space="0" w:color="auto"/>
        <w:left w:val="none" w:sz="0" w:space="0" w:color="auto"/>
        <w:bottom w:val="none" w:sz="0" w:space="0" w:color="auto"/>
        <w:right w:val="none" w:sz="0" w:space="0" w:color="auto"/>
      </w:divBdr>
    </w:div>
    <w:div w:id="2095586792">
      <w:bodyDiv w:val="1"/>
      <w:marLeft w:val="0"/>
      <w:marRight w:val="0"/>
      <w:marTop w:val="0"/>
      <w:marBottom w:val="0"/>
      <w:divBdr>
        <w:top w:val="none" w:sz="0" w:space="0" w:color="auto"/>
        <w:left w:val="none" w:sz="0" w:space="0" w:color="auto"/>
        <w:bottom w:val="none" w:sz="0" w:space="0" w:color="auto"/>
        <w:right w:val="none" w:sz="0" w:space="0" w:color="auto"/>
      </w:divBdr>
      <w:divsChild>
        <w:div w:id="224999031">
          <w:marLeft w:val="0"/>
          <w:marRight w:val="0"/>
          <w:marTop w:val="240"/>
          <w:marBottom w:val="0"/>
          <w:divBdr>
            <w:top w:val="none" w:sz="0" w:space="0" w:color="auto"/>
            <w:left w:val="none" w:sz="0" w:space="0" w:color="auto"/>
            <w:bottom w:val="none" w:sz="0" w:space="0" w:color="auto"/>
            <w:right w:val="none" w:sz="0" w:space="0" w:color="auto"/>
          </w:divBdr>
        </w:div>
        <w:div w:id="317926412">
          <w:marLeft w:val="0"/>
          <w:marRight w:val="0"/>
          <w:marTop w:val="240"/>
          <w:marBottom w:val="0"/>
          <w:divBdr>
            <w:top w:val="none" w:sz="0" w:space="0" w:color="auto"/>
            <w:left w:val="none" w:sz="0" w:space="0" w:color="auto"/>
            <w:bottom w:val="none" w:sz="0" w:space="0" w:color="auto"/>
            <w:right w:val="none" w:sz="0" w:space="0" w:color="auto"/>
          </w:divBdr>
        </w:div>
        <w:div w:id="996154903">
          <w:marLeft w:val="0"/>
          <w:marRight w:val="0"/>
          <w:marTop w:val="240"/>
          <w:marBottom w:val="0"/>
          <w:divBdr>
            <w:top w:val="none" w:sz="0" w:space="0" w:color="auto"/>
            <w:left w:val="none" w:sz="0" w:space="0" w:color="auto"/>
            <w:bottom w:val="none" w:sz="0" w:space="0" w:color="auto"/>
            <w:right w:val="none" w:sz="0" w:space="0" w:color="auto"/>
          </w:divBdr>
        </w:div>
        <w:div w:id="1534422679">
          <w:marLeft w:val="0"/>
          <w:marRight w:val="0"/>
          <w:marTop w:val="240"/>
          <w:marBottom w:val="0"/>
          <w:divBdr>
            <w:top w:val="none" w:sz="0" w:space="0" w:color="auto"/>
            <w:left w:val="none" w:sz="0" w:space="0" w:color="auto"/>
            <w:bottom w:val="none" w:sz="0" w:space="0" w:color="auto"/>
            <w:right w:val="none" w:sz="0" w:space="0" w:color="auto"/>
          </w:divBdr>
        </w:div>
        <w:div w:id="1595821401">
          <w:marLeft w:val="0"/>
          <w:marRight w:val="0"/>
          <w:marTop w:val="240"/>
          <w:marBottom w:val="0"/>
          <w:divBdr>
            <w:top w:val="none" w:sz="0" w:space="0" w:color="auto"/>
            <w:left w:val="none" w:sz="0" w:space="0" w:color="auto"/>
            <w:bottom w:val="none" w:sz="0" w:space="0" w:color="auto"/>
            <w:right w:val="none" w:sz="0" w:space="0" w:color="auto"/>
          </w:divBdr>
        </w:div>
        <w:div w:id="1847548134">
          <w:marLeft w:val="0"/>
          <w:marRight w:val="0"/>
          <w:marTop w:val="240"/>
          <w:marBottom w:val="0"/>
          <w:divBdr>
            <w:top w:val="none" w:sz="0" w:space="0" w:color="auto"/>
            <w:left w:val="none" w:sz="0" w:space="0" w:color="auto"/>
            <w:bottom w:val="none" w:sz="0" w:space="0" w:color="auto"/>
            <w:right w:val="none" w:sz="0" w:space="0" w:color="auto"/>
          </w:divBdr>
        </w:div>
        <w:div w:id="2132891693">
          <w:marLeft w:val="0"/>
          <w:marRight w:val="0"/>
          <w:marTop w:val="240"/>
          <w:marBottom w:val="0"/>
          <w:divBdr>
            <w:top w:val="none" w:sz="0" w:space="0" w:color="auto"/>
            <w:left w:val="none" w:sz="0" w:space="0" w:color="auto"/>
            <w:bottom w:val="none" w:sz="0" w:space="0" w:color="auto"/>
            <w:right w:val="none" w:sz="0" w:space="0" w:color="auto"/>
          </w:divBdr>
        </w:div>
      </w:divsChild>
    </w:div>
    <w:div w:id="2099786069">
      <w:bodyDiv w:val="1"/>
      <w:marLeft w:val="0"/>
      <w:marRight w:val="0"/>
      <w:marTop w:val="0"/>
      <w:marBottom w:val="0"/>
      <w:divBdr>
        <w:top w:val="none" w:sz="0" w:space="0" w:color="auto"/>
        <w:left w:val="none" w:sz="0" w:space="0" w:color="auto"/>
        <w:bottom w:val="none" w:sz="0" w:space="0" w:color="auto"/>
        <w:right w:val="none" w:sz="0" w:space="0" w:color="auto"/>
      </w:divBdr>
    </w:div>
    <w:div w:id="2108885343">
      <w:bodyDiv w:val="1"/>
      <w:marLeft w:val="0"/>
      <w:marRight w:val="0"/>
      <w:marTop w:val="0"/>
      <w:marBottom w:val="0"/>
      <w:divBdr>
        <w:top w:val="none" w:sz="0" w:space="0" w:color="auto"/>
        <w:left w:val="none" w:sz="0" w:space="0" w:color="auto"/>
        <w:bottom w:val="none" w:sz="0" w:space="0" w:color="auto"/>
        <w:right w:val="none" w:sz="0" w:space="0" w:color="auto"/>
      </w:divBdr>
    </w:div>
    <w:div w:id="2112123510">
      <w:bodyDiv w:val="1"/>
      <w:marLeft w:val="0"/>
      <w:marRight w:val="0"/>
      <w:marTop w:val="0"/>
      <w:marBottom w:val="0"/>
      <w:divBdr>
        <w:top w:val="none" w:sz="0" w:space="0" w:color="auto"/>
        <w:left w:val="none" w:sz="0" w:space="0" w:color="auto"/>
        <w:bottom w:val="none" w:sz="0" w:space="0" w:color="auto"/>
        <w:right w:val="none" w:sz="0" w:space="0" w:color="auto"/>
      </w:divBdr>
    </w:div>
    <w:div w:id="2114475950">
      <w:bodyDiv w:val="1"/>
      <w:marLeft w:val="0"/>
      <w:marRight w:val="0"/>
      <w:marTop w:val="0"/>
      <w:marBottom w:val="0"/>
      <w:divBdr>
        <w:top w:val="none" w:sz="0" w:space="0" w:color="auto"/>
        <w:left w:val="none" w:sz="0" w:space="0" w:color="auto"/>
        <w:bottom w:val="none" w:sz="0" w:space="0" w:color="auto"/>
        <w:right w:val="none" w:sz="0" w:space="0" w:color="auto"/>
      </w:divBdr>
      <w:divsChild>
        <w:div w:id="86116760">
          <w:marLeft w:val="274"/>
          <w:marRight w:val="0"/>
          <w:marTop w:val="0"/>
          <w:marBottom w:val="0"/>
          <w:divBdr>
            <w:top w:val="none" w:sz="0" w:space="0" w:color="auto"/>
            <w:left w:val="none" w:sz="0" w:space="0" w:color="auto"/>
            <w:bottom w:val="none" w:sz="0" w:space="0" w:color="auto"/>
            <w:right w:val="none" w:sz="0" w:space="0" w:color="auto"/>
          </w:divBdr>
        </w:div>
        <w:div w:id="239993074">
          <w:marLeft w:val="274"/>
          <w:marRight w:val="0"/>
          <w:marTop w:val="0"/>
          <w:marBottom w:val="0"/>
          <w:divBdr>
            <w:top w:val="none" w:sz="0" w:space="0" w:color="auto"/>
            <w:left w:val="none" w:sz="0" w:space="0" w:color="auto"/>
            <w:bottom w:val="none" w:sz="0" w:space="0" w:color="auto"/>
            <w:right w:val="none" w:sz="0" w:space="0" w:color="auto"/>
          </w:divBdr>
        </w:div>
        <w:div w:id="252980797">
          <w:marLeft w:val="274"/>
          <w:marRight w:val="0"/>
          <w:marTop w:val="0"/>
          <w:marBottom w:val="0"/>
          <w:divBdr>
            <w:top w:val="none" w:sz="0" w:space="0" w:color="auto"/>
            <w:left w:val="none" w:sz="0" w:space="0" w:color="auto"/>
            <w:bottom w:val="none" w:sz="0" w:space="0" w:color="auto"/>
            <w:right w:val="none" w:sz="0" w:space="0" w:color="auto"/>
          </w:divBdr>
        </w:div>
        <w:div w:id="297299667">
          <w:marLeft w:val="994"/>
          <w:marRight w:val="0"/>
          <w:marTop w:val="0"/>
          <w:marBottom w:val="0"/>
          <w:divBdr>
            <w:top w:val="none" w:sz="0" w:space="0" w:color="auto"/>
            <w:left w:val="none" w:sz="0" w:space="0" w:color="auto"/>
            <w:bottom w:val="none" w:sz="0" w:space="0" w:color="auto"/>
            <w:right w:val="none" w:sz="0" w:space="0" w:color="auto"/>
          </w:divBdr>
        </w:div>
        <w:div w:id="503011089">
          <w:marLeft w:val="274"/>
          <w:marRight w:val="0"/>
          <w:marTop w:val="0"/>
          <w:marBottom w:val="0"/>
          <w:divBdr>
            <w:top w:val="none" w:sz="0" w:space="0" w:color="auto"/>
            <w:left w:val="none" w:sz="0" w:space="0" w:color="auto"/>
            <w:bottom w:val="none" w:sz="0" w:space="0" w:color="auto"/>
            <w:right w:val="none" w:sz="0" w:space="0" w:color="auto"/>
          </w:divBdr>
        </w:div>
        <w:div w:id="633291417">
          <w:marLeft w:val="994"/>
          <w:marRight w:val="0"/>
          <w:marTop w:val="0"/>
          <w:marBottom w:val="0"/>
          <w:divBdr>
            <w:top w:val="none" w:sz="0" w:space="0" w:color="auto"/>
            <w:left w:val="none" w:sz="0" w:space="0" w:color="auto"/>
            <w:bottom w:val="none" w:sz="0" w:space="0" w:color="auto"/>
            <w:right w:val="none" w:sz="0" w:space="0" w:color="auto"/>
          </w:divBdr>
        </w:div>
        <w:div w:id="738208808">
          <w:marLeft w:val="274"/>
          <w:marRight w:val="0"/>
          <w:marTop w:val="0"/>
          <w:marBottom w:val="0"/>
          <w:divBdr>
            <w:top w:val="none" w:sz="0" w:space="0" w:color="auto"/>
            <w:left w:val="none" w:sz="0" w:space="0" w:color="auto"/>
            <w:bottom w:val="none" w:sz="0" w:space="0" w:color="auto"/>
            <w:right w:val="none" w:sz="0" w:space="0" w:color="auto"/>
          </w:divBdr>
        </w:div>
        <w:div w:id="1355379685">
          <w:marLeft w:val="274"/>
          <w:marRight w:val="0"/>
          <w:marTop w:val="0"/>
          <w:marBottom w:val="0"/>
          <w:divBdr>
            <w:top w:val="none" w:sz="0" w:space="0" w:color="auto"/>
            <w:left w:val="none" w:sz="0" w:space="0" w:color="auto"/>
            <w:bottom w:val="none" w:sz="0" w:space="0" w:color="auto"/>
            <w:right w:val="none" w:sz="0" w:space="0" w:color="auto"/>
          </w:divBdr>
        </w:div>
        <w:div w:id="1439452071">
          <w:marLeft w:val="994"/>
          <w:marRight w:val="0"/>
          <w:marTop w:val="0"/>
          <w:marBottom w:val="0"/>
          <w:divBdr>
            <w:top w:val="none" w:sz="0" w:space="0" w:color="auto"/>
            <w:left w:val="none" w:sz="0" w:space="0" w:color="auto"/>
            <w:bottom w:val="none" w:sz="0" w:space="0" w:color="auto"/>
            <w:right w:val="none" w:sz="0" w:space="0" w:color="auto"/>
          </w:divBdr>
        </w:div>
        <w:div w:id="1480031423">
          <w:marLeft w:val="274"/>
          <w:marRight w:val="0"/>
          <w:marTop w:val="0"/>
          <w:marBottom w:val="0"/>
          <w:divBdr>
            <w:top w:val="none" w:sz="0" w:space="0" w:color="auto"/>
            <w:left w:val="none" w:sz="0" w:space="0" w:color="auto"/>
            <w:bottom w:val="none" w:sz="0" w:space="0" w:color="auto"/>
            <w:right w:val="none" w:sz="0" w:space="0" w:color="auto"/>
          </w:divBdr>
        </w:div>
        <w:div w:id="1848060167">
          <w:marLeft w:val="994"/>
          <w:marRight w:val="0"/>
          <w:marTop w:val="0"/>
          <w:marBottom w:val="0"/>
          <w:divBdr>
            <w:top w:val="none" w:sz="0" w:space="0" w:color="auto"/>
            <w:left w:val="none" w:sz="0" w:space="0" w:color="auto"/>
            <w:bottom w:val="none" w:sz="0" w:space="0" w:color="auto"/>
            <w:right w:val="none" w:sz="0" w:space="0" w:color="auto"/>
          </w:divBdr>
        </w:div>
      </w:divsChild>
    </w:div>
    <w:div w:id="2115320472">
      <w:bodyDiv w:val="1"/>
      <w:marLeft w:val="0"/>
      <w:marRight w:val="0"/>
      <w:marTop w:val="0"/>
      <w:marBottom w:val="0"/>
      <w:divBdr>
        <w:top w:val="none" w:sz="0" w:space="0" w:color="auto"/>
        <w:left w:val="none" w:sz="0" w:space="0" w:color="auto"/>
        <w:bottom w:val="none" w:sz="0" w:space="0" w:color="auto"/>
        <w:right w:val="none" w:sz="0" w:space="0" w:color="auto"/>
      </w:divBdr>
    </w:div>
    <w:div w:id="2116091967">
      <w:bodyDiv w:val="1"/>
      <w:marLeft w:val="0"/>
      <w:marRight w:val="0"/>
      <w:marTop w:val="0"/>
      <w:marBottom w:val="0"/>
      <w:divBdr>
        <w:top w:val="none" w:sz="0" w:space="0" w:color="auto"/>
        <w:left w:val="none" w:sz="0" w:space="0" w:color="auto"/>
        <w:bottom w:val="none" w:sz="0" w:space="0" w:color="auto"/>
        <w:right w:val="none" w:sz="0" w:space="0" w:color="auto"/>
      </w:divBdr>
    </w:div>
    <w:div w:id="2131589869">
      <w:bodyDiv w:val="1"/>
      <w:marLeft w:val="0"/>
      <w:marRight w:val="0"/>
      <w:marTop w:val="0"/>
      <w:marBottom w:val="0"/>
      <w:divBdr>
        <w:top w:val="none" w:sz="0" w:space="0" w:color="auto"/>
        <w:left w:val="none" w:sz="0" w:space="0" w:color="auto"/>
        <w:bottom w:val="none" w:sz="0" w:space="0" w:color="auto"/>
        <w:right w:val="none" w:sz="0" w:space="0" w:color="auto"/>
      </w:divBdr>
    </w:div>
    <w:div w:id="2133475828">
      <w:bodyDiv w:val="1"/>
      <w:marLeft w:val="0"/>
      <w:marRight w:val="0"/>
      <w:marTop w:val="0"/>
      <w:marBottom w:val="0"/>
      <w:divBdr>
        <w:top w:val="none" w:sz="0" w:space="0" w:color="auto"/>
        <w:left w:val="none" w:sz="0" w:space="0" w:color="auto"/>
        <w:bottom w:val="none" w:sz="0" w:space="0" w:color="auto"/>
        <w:right w:val="none" w:sz="0" w:space="0" w:color="auto"/>
      </w:divBdr>
    </w:div>
    <w:div w:id="213597714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1" Type="http://schemas.openxmlformats.org/officeDocument/2006/relationships/hyperlink" Target="https://www.linkedin.com/in/stellios-williams/" TargetMode="External"/><Relationship Id="rId170" Type="http://schemas.openxmlformats.org/officeDocument/2006/relationships/image" Target="media/image84.png"/><Relationship Id="rId268" Type="http://schemas.openxmlformats.org/officeDocument/2006/relationships/hyperlink" Target="https://en.wikipedia.org/wiki/Kernel_(operating_system)" TargetMode="External"/><Relationship Id="rId475" Type="http://schemas.openxmlformats.org/officeDocument/2006/relationships/hyperlink" Target="https://docs.microsoft.com/en-us/windows/desktop/api/sysinfoapi/nf-sysinfoapi-getsysteminfo" TargetMode="External"/><Relationship Id="rId682" Type="http://schemas.openxmlformats.org/officeDocument/2006/relationships/image" Target="media/image450.png"/><Relationship Id="rId128" Type="http://schemas.openxmlformats.org/officeDocument/2006/relationships/image" Target="media/image53.png"/><Relationship Id="rId335" Type="http://schemas.openxmlformats.org/officeDocument/2006/relationships/image" Target="media/image192.png"/><Relationship Id="rId542" Type="http://schemas.openxmlformats.org/officeDocument/2006/relationships/image" Target="media/image333.png"/><Relationship Id="rId987" Type="http://schemas.openxmlformats.org/officeDocument/2006/relationships/image" Target="media/image717.png"/><Relationship Id="rId1172" Type="http://schemas.openxmlformats.org/officeDocument/2006/relationships/hyperlink" Target="https://en.wikipedia.org/wiki/Trim_(computing)" TargetMode="External"/><Relationship Id="rId402" Type="http://schemas.openxmlformats.org/officeDocument/2006/relationships/image" Target="media/image235.png"/><Relationship Id="rId847" Type="http://schemas.openxmlformats.org/officeDocument/2006/relationships/image" Target="media/image603.png"/><Relationship Id="rId1032" Type="http://schemas.openxmlformats.org/officeDocument/2006/relationships/image" Target="media/image756.png"/><Relationship Id="rId707" Type="http://schemas.openxmlformats.org/officeDocument/2006/relationships/image" Target="media/image475.png"/><Relationship Id="rId914" Type="http://schemas.openxmlformats.org/officeDocument/2006/relationships/hyperlink" Target="https://kb.vmware.com/s/article/2150012" TargetMode="External"/><Relationship Id="rId1337" Type="http://schemas.openxmlformats.org/officeDocument/2006/relationships/image" Target="media/image1049.png"/><Relationship Id="rId43" Type="http://schemas.openxmlformats.org/officeDocument/2006/relationships/hyperlink" Target="https://en.wikipedia.org/wiki/Winston_Churchill" TargetMode="External"/><Relationship Id="rId192" Type="http://schemas.openxmlformats.org/officeDocument/2006/relationships/hyperlink" Target="https://docs.vmware.com/en/VMware-Tools/index.html" TargetMode="External"/><Relationship Id="rId497" Type="http://schemas.openxmlformats.org/officeDocument/2006/relationships/hyperlink" Target="http://www.yellow-bricks.com/esxtop/" TargetMode="External"/><Relationship Id="rId357" Type="http://schemas.openxmlformats.org/officeDocument/2006/relationships/hyperlink" Target="https://msdn.microsoft.com/en-us/library/aa394272(v=vs.85).aspx" TargetMode="External"/><Relationship Id="rId1194" Type="http://schemas.openxmlformats.org/officeDocument/2006/relationships/image" Target="media/image913.png"/><Relationship Id="rId217" Type="http://schemas.openxmlformats.org/officeDocument/2006/relationships/image" Target="media/image109.png"/><Relationship Id="rId564" Type="http://schemas.openxmlformats.org/officeDocument/2006/relationships/image" Target="media/image352.png"/><Relationship Id="rId771" Type="http://schemas.openxmlformats.org/officeDocument/2006/relationships/hyperlink" Target="https://www.codyhosterman.com/2018/03/what-is-the-latency-stat-qavg/" TargetMode="External"/><Relationship Id="rId869" Type="http://schemas.openxmlformats.org/officeDocument/2006/relationships/image" Target="media/image619.png"/><Relationship Id="rId424" Type="http://schemas.openxmlformats.org/officeDocument/2006/relationships/image" Target="media/image249.png"/><Relationship Id="rId631" Type="http://schemas.openxmlformats.org/officeDocument/2006/relationships/image" Target="media/image412.png"/><Relationship Id="rId729" Type="http://schemas.openxmlformats.org/officeDocument/2006/relationships/hyperlink" Target="https://blogs.virtualmaestro.in/2020/06/02/vmware-vsphere-7-x-memory-reclamation-part-2-mem-memminfreepct/" TargetMode="External"/><Relationship Id="rId1054" Type="http://schemas.openxmlformats.org/officeDocument/2006/relationships/image" Target="media/image777.png"/><Relationship Id="rId1261" Type="http://schemas.openxmlformats.org/officeDocument/2006/relationships/image" Target="media/image977.png"/><Relationship Id="rId1359" Type="http://schemas.openxmlformats.org/officeDocument/2006/relationships/image" Target="media/image1066.png"/><Relationship Id="rId936" Type="http://schemas.openxmlformats.org/officeDocument/2006/relationships/image" Target="media/image674.png"/><Relationship Id="rId1121" Type="http://schemas.openxmlformats.org/officeDocument/2006/relationships/image" Target="media/image843.png"/><Relationship Id="rId1219" Type="http://schemas.openxmlformats.org/officeDocument/2006/relationships/image" Target="media/image935.png"/><Relationship Id="rId65" Type="http://schemas.openxmlformats.org/officeDocument/2006/relationships/image" Target="media/image17.png"/><Relationship Id="rId281" Type="http://schemas.openxmlformats.org/officeDocument/2006/relationships/image" Target="media/image156.png"/><Relationship Id="rId141" Type="http://schemas.openxmlformats.org/officeDocument/2006/relationships/image" Target="media/image61.png"/><Relationship Id="rId379" Type="http://schemas.openxmlformats.org/officeDocument/2006/relationships/image" Target="media/image222.png"/><Relationship Id="rId586" Type="http://schemas.openxmlformats.org/officeDocument/2006/relationships/image" Target="media/image373.png"/><Relationship Id="rId793" Type="http://schemas.openxmlformats.org/officeDocument/2006/relationships/image" Target="media/image556.png"/><Relationship Id="rId7" Type="http://schemas.openxmlformats.org/officeDocument/2006/relationships/footnotes" Target="footnotes.xml"/><Relationship Id="rId239" Type="http://schemas.openxmlformats.org/officeDocument/2006/relationships/image" Target="media/image124.png"/><Relationship Id="rId446" Type="http://schemas.openxmlformats.org/officeDocument/2006/relationships/hyperlink" Target="https://en.wikipedia.org/wiki/Neanderthal" TargetMode="External"/><Relationship Id="rId653" Type="http://schemas.openxmlformats.org/officeDocument/2006/relationships/image" Target="media/image427.png"/><Relationship Id="rId1076" Type="http://schemas.openxmlformats.org/officeDocument/2006/relationships/image" Target="media/image799.png"/><Relationship Id="rId1283" Type="http://schemas.openxmlformats.org/officeDocument/2006/relationships/image" Target="media/image999.png"/><Relationship Id="rId306" Type="http://schemas.openxmlformats.org/officeDocument/2006/relationships/image" Target="media/image169.png"/><Relationship Id="rId860" Type="http://schemas.openxmlformats.org/officeDocument/2006/relationships/image" Target="media/image616.png"/><Relationship Id="rId958" Type="http://schemas.openxmlformats.org/officeDocument/2006/relationships/image" Target="media/image693.png"/><Relationship Id="rId1143" Type="http://schemas.openxmlformats.org/officeDocument/2006/relationships/image" Target="media/image865.png"/><Relationship Id="rId87" Type="http://schemas.openxmlformats.org/officeDocument/2006/relationships/hyperlink" Target="https://en.wikipedia.org/wiki/Kaizen" TargetMode="External"/><Relationship Id="rId513" Type="http://schemas.openxmlformats.org/officeDocument/2006/relationships/image" Target="media/image306.png"/><Relationship Id="rId720" Type="http://schemas.openxmlformats.org/officeDocument/2006/relationships/image" Target="media/image488.png"/><Relationship Id="rId818" Type="http://schemas.openxmlformats.org/officeDocument/2006/relationships/image" Target="media/image580.png"/><Relationship Id="rId1350" Type="http://schemas.openxmlformats.org/officeDocument/2006/relationships/image" Target="media/image1058.png"/><Relationship Id="rId1003" Type="http://schemas.openxmlformats.org/officeDocument/2006/relationships/hyperlink" Target="https://code.vmware.com/user/2287325117" TargetMode="External"/><Relationship Id="rId1210" Type="http://schemas.openxmlformats.org/officeDocument/2006/relationships/image" Target="media/image929.png"/><Relationship Id="rId1308" Type="http://schemas.openxmlformats.org/officeDocument/2006/relationships/hyperlink" Target="https://docs.vmware.com/en/VMware-Horizon-7/7.13/horizon-virtual-desktops/GUID-C66AE54D-21A1-41B3-93A6-8D8E7F448451.html" TargetMode="External"/><Relationship Id="rId14" Type="http://schemas.openxmlformats.org/officeDocument/2006/relationships/hyperlink" Target="https://www.linkedin.com/in/kenon-owens/" TargetMode="External"/><Relationship Id="rId163" Type="http://schemas.openxmlformats.org/officeDocument/2006/relationships/image" Target="media/image78.png"/><Relationship Id="rId370" Type="http://schemas.openxmlformats.org/officeDocument/2006/relationships/image" Target="media/image214.png"/><Relationship Id="rId230" Type="http://schemas.openxmlformats.org/officeDocument/2006/relationships/hyperlink" Target="http://www.lyberty.com/encyc/articles/kb_kilobytes_archived1.html" TargetMode="External"/><Relationship Id="rId468" Type="http://schemas.openxmlformats.org/officeDocument/2006/relationships/hyperlink" Target="http://linuxatemyram.com" TargetMode="External"/><Relationship Id="rId675" Type="http://schemas.openxmlformats.org/officeDocument/2006/relationships/image" Target="media/image443.png"/><Relationship Id="rId882" Type="http://schemas.openxmlformats.org/officeDocument/2006/relationships/image" Target="media/image626.png"/><Relationship Id="rId1098" Type="http://schemas.openxmlformats.org/officeDocument/2006/relationships/image" Target="media/image820.png"/><Relationship Id="rId328" Type="http://schemas.openxmlformats.org/officeDocument/2006/relationships/image" Target="media/image189.png"/><Relationship Id="rId535" Type="http://schemas.openxmlformats.org/officeDocument/2006/relationships/image" Target="media/image327.png"/><Relationship Id="rId742" Type="http://schemas.openxmlformats.org/officeDocument/2006/relationships/image" Target="media/image509.png"/><Relationship Id="rId1165" Type="http://schemas.openxmlformats.org/officeDocument/2006/relationships/image" Target="media/image887.png"/><Relationship Id="rId1372" Type="http://schemas.openxmlformats.org/officeDocument/2006/relationships/hyperlink" Target="https://www.vmware.com/support/services/compare" TargetMode="External"/><Relationship Id="rId602" Type="http://schemas.openxmlformats.org/officeDocument/2006/relationships/image" Target="media/image387.png"/><Relationship Id="rId1025" Type="http://schemas.openxmlformats.org/officeDocument/2006/relationships/image" Target="media/image749.png"/><Relationship Id="rId1232" Type="http://schemas.openxmlformats.org/officeDocument/2006/relationships/image" Target="media/image948.png"/><Relationship Id="rId907" Type="http://schemas.openxmlformats.org/officeDocument/2006/relationships/image" Target="media/image651.png"/><Relationship Id="rId36" Type="http://schemas.openxmlformats.org/officeDocument/2006/relationships/hyperlink" Target="https://aws.amazon.com/ec2/?ec2-whats-new.sort-by=item.additionalFields.postDateTime&amp;ec2-whats-new.sort-order=desc" TargetMode="External"/><Relationship Id="rId185" Type="http://schemas.openxmlformats.org/officeDocument/2006/relationships/image" Target="media/image91.png"/><Relationship Id="rId392" Type="http://schemas.openxmlformats.org/officeDocument/2006/relationships/image" Target="media/image229.png"/><Relationship Id="rId697" Type="http://schemas.openxmlformats.org/officeDocument/2006/relationships/image" Target="media/image465.png"/><Relationship Id="rId252" Type="http://schemas.openxmlformats.org/officeDocument/2006/relationships/image" Target="media/image134.png"/><Relationship Id="rId1187" Type="http://schemas.openxmlformats.org/officeDocument/2006/relationships/image" Target="media/image906.png"/><Relationship Id="rId112" Type="http://schemas.openxmlformats.org/officeDocument/2006/relationships/image" Target="media/image44.png"/><Relationship Id="rId557" Type="http://schemas.openxmlformats.org/officeDocument/2006/relationships/hyperlink" Target="https://blogs.vmware.com/vsphere/2013/10/understanding-vsphere-active-memory.html" TargetMode="External"/><Relationship Id="rId764" Type="http://schemas.openxmlformats.org/officeDocument/2006/relationships/image" Target="media/image531.png"/><Relationship Id="rId971" Type="http://schemas.openxmlformats.org/officeDocument/2006/relationships/image" Target="media/image703.png"/><Relationship Id="rId1394" Type="http://schemas.openxmlformats.org/officeDocument/2006/relationships/hyperlink" Target="https://www.linkedin.com/in/e1ang/" TargetMode="External"/><Relationship Id="rId417" Type="http://schemas.openxmlformats.org/officeDocument/2006/relationships/image" Target="media/image243.png"/><Relationship Id="rId624" Type="http://schemas.openxmlformats.org/officeDocument/2006/relationships/image" Target="media/image407.png"/><Relationship Id="rId831" Type="http://schemas.openxmlformats.org/officeDocument/2006/relationships/image" Target="media/image592.png"/><Relationship Id="rId1047" Type="http://schemas.openxmlformats.org/officeDocument/2006/relationships/image" Target="media/image771.png"/><Relationship Id="rId1254" Type="http://schemas.openxmlformats.org/officeDocument/2006/relationships/image" Target="media/image970.png"/><Relationship Id="rId929" Type="http://schemas.openxmlformats.org/officeDocument/2006/relationships/image" Target="media/image667.png"/><Relationship Id="rId1114" Type="http://schemas.openxmlformats.org/officeDocument/2006/relationships/image" Target="media/image836.png"/><Relationship Id="rId1321" Type="http://schemas.openxmlformats.org/officeDocument/2006/relationships/image" Target="media/image1036.png"/><Relationship Id="rId58" Type="http://schemas.openxmlformats.org/officeDocument/2006/relationships/hyperlink" Target="https://www.linkedin.com/in/anthonyhodge/" TargetMode="External"/><Relationship Id="rId274" Type="http://schemas.openxmlformats.org/officeDocument/2006/relationships/hyperlink" Target="https://en.wikipedia.org/wiki/Simultaneous_multithreading" TargetMode="External"/><Relationship Id="rId481" Type="http://schemas.openxmlformats.org/officeDocument/2006/relationships/image" Target="media/image278.png"/><Relationship Id="rId134" Type="http://schemas.openxmlformats.org/officeDocument/2006/relationships/hyperlink" Target="https://docs.microsoft.com/en-us/azure/architecture/antipatterns/noisy-neighbor/noisy-neighbor" TargetMode="External"/><Relationship Id="rId579" Type="http://schemas.openxmlformats.org/officeDocument/2006/relationships/image" Target="media/image366.png"/><Relationship Id="rId786" Type="http://schemas.openxmlformats.org/officeDocument/2006/relationships/image" Target="media/image549.png"/><Relationship Id="rId993" Type="http://schemas.openxmlformats.org/officeDocument/2006/relationships/image" Target="media/image721.png"/><Relationship Id="rId341" Type="http://schemas.openxmlformats.org/officeDocument/2006/relationships/image" Target="media/image197.png"/><Relationship Id="rId439" Type="http://schemas.openxmlformats.org/officeDocument/2006/relationships/image" Target="media/image261.png"/><Relationship Id="rId646" Type="http://schemas.openxmlformats.org/officeDocument/2006/relationships/hyperlink" Target="https://en.wikipedia.org/wiki/Garbage_in,_garbage_out" TargetMode="External"/><Relationship Id="rId1069" Type="http://schemas.openxmlformats.org/officeDocument/2006/relationships/image" Target="media/image792.png"/><Relationship Id="rId1276" Type="http://schemas.openxmlformats.org/officeDocument/2006/relationships/image" Target="media/image992.png"/><Relationship Id="rId201" Type="http://schemas.openxmlformats.org/officeDocument/2006/relationships/hyperlink" Target="https://en.wikipedia.org/wiki/Break-even" TargetMode="External"/><Relationship Id="rId506" Type="http://schemas.openxmlformats.org/officeDocument/2006/relationships/image" Target="media/image299.png"/><Relationship Id="rId853" Type="http://schemas.openxmlformats.org/officeDocument/2006/relationships/image" Target="media/image609.png"/><Relationship Id="rId1136" Type="http://schemas.openxmlformats.org/officeDocument/2006/relationships/image" Target="media/image858.png"/><Relationship Id="rId713" Type="http://schemas.openxmlformats.org/officeDocument/2006/relationships/image" Target="media/image481.png"/><Relationship Id="rId920" Type="http://schemas.openxmlformats.org/officeDocument/2006/relationships/image" Target="media/image660.png"/><Relationship Id="rId1343" Type="http://schemas.openxmlformats.org/officeDocument/2006/relationships/image" Target="media/image1054.png"/><Relationship Id="rId1203" Type="http://schemas.openxmlformats.org/officeDocument/2006/relationships/image" Target="media/image922.png"/><Relationship Id="rId296" Type="http://schemas.openxmlformats.org/officeDocument/2006/relationships/image" Target="media/image163.png"/><Relationship Id="rId156" Type="http://schemas.openxmlformats.org/officeDocument/2006/relationships/image" Target="media/image73.png"/><Relationship Id="rId363" Type="http://schemas.openxmlformats.org/officeDocument/2006/relationships/image" Target="media/image207.png"/><Relationship Id="rId570" Type="http://schemas.openxmlformats.org/officeDocument/2006/relationships/image" Target="media/image358.png"/><Relationship Id="rId223" Type="http://schemas.openxmlformats.org/officeDocument/2006/relationships/image" Target="media/image113.png"/><Relationship Id="rId430" Type="http://schemas.openxmlformats.org/officeDocument/2006/relationships/image" Target="media/image255.png"/><Relationship Id="rId668" Type="http://schemas.openxmlformats.org/officeDocument/2006/relationships/image" Target="media/image436.png"/><Relationship Id="rId875" Type="http://schemas.openxmlformats.org/officeDocument/2006/relationships/hyperlink" Target="https://core.vmware.com/resource/basics-remote-direct-memory-access-rdma-vsphere" TargetMode="External"/><Relationship Id="rId1060" Type="http://schemas.openxmlformats.org/officeDocument/2006/relationships/image" Target="media/image783.png"/><Relationship Id="rId1298" Type="http://schemas.openxmlformats.org/officeDocument/2006/relationships/image" Target="media/image1014.png"/><Relationship Id="rId528" Type="http://schemas.openxmlformats.org/officeDocument/2006/relationships/image" Target="media/image320.png"/><Relationship Id="rId735" Type="http://schemas.openxmlformats.org/officeDocument/2006/relationships/image" Target="media/image502.png"/><Relationship Id="rId942" Type="http://schemas.openxmlformats.org/officeDocument/2006/relationships/image" Target="media/image680.png"/><Relationship Id="rId1158" Type="http://schemas.openxmlformats.org/officeDocument/2006/relationships/image" Target="media/image880.png"/><Relationship Id="rId1365" Type="http://schemas.openxmlformats.org/officeDocument/2006/relationships/image" Target="media/image1072.png"/><Relationship Id="rId1018" Type="http://schemas.openxmlformats.org/officeDocument/2006/relationships/image" Target="media/image743.png"/><Relationship Id="rId1225" Type="http://schemas.openxmlformats.org/officeDocument/2006/relationships/image" Target="media/image941.png"/><Relationship Id="rId71" Type="http://schemas.openxmlformats.org/officeDocument/2006/relationships/image" Target="media/image22.png"/><Relationship Id="rId802" Type="http://schemas.openxmlformats.org/officeDocument/2006/relationships/image" Target="media/image565.png"/><Relationship Id="rId29" Type="http://schemas.openxmlformats.org/officeDocument/2006/relationships/footer" Target="footer1.xml"/><Relationship Id="rId178" Type="http://schemas.openxmlformats.org/officeDocument/2006/relationships/hyperlink" Target="https://blogs.vmware.com/vsphere/2015/11/vcpu-to-pcpu-ratios-are-they-still-relevant.html" TargetMode="External"/><Relationship Id="rId385" Type="http://schemas.openxmlformats.org/officeDocument/2006/relationships/hyperlink" Target="https://blogs.technet.microsoft.com/markrussinovich/2008/11/17/pushing-the-limits-of-windows-virtual-memory/" TargetMode="External"/><Relationship Id="rId592" Type="http://schemas.openxmlformats.org/officeDocument/2006/relationships/image" Target="media/image379.png"/><Relationship Id="rId245" Type="http://schemas.openxmlformats.org/officeDocument/2006/relationships/image" Target="media/image127.png"/><Relationship Id="rId452" Type="http://schemas.openxmlformats.org/officeDocument/2006/relationships/image" Target="media/image266.png"/><Relationship Id="rId897" Type="http://schemas.openxmlformats.org/officeDocument/2006/relationships/image" Target="media/image641.png"/><Relationship Id="rId1082" Type="http://schemas.openxmlformats.org/officeDocument/2006/relationships/image" Target="media/image804.png"/><Relationship Id="rId105" Type="http://schemas.openxmlformats.org/officeDocument/2006/relationships/image" Target="media/image40.png"/><Relationship Id="rId312" Type="http://schemas.openxmlformats.org/officeDocument/2006/relationships/image" Target="media/image174.png"/><Relationship Id="rId757" Type="http://schemas.openxmlformats.org/officeDocument/2006/relationships/image" Target="media/image524.png"/><Relationship Id="rId964" Type="http://schemas.openxmlformats.org/officeDocument/2006/relationships/image" Target="media/image697.png"/><Relationship Id="rId1387" Type="http://schemas.openxmlformats.org/officeDocument/2006/relationships/hyperlink" Target="https://www.linkedin.com/in/ivanpepelnjak/" TargetMode="External"/><Relationship Id="rId93" Type="http://schemas.openxmlformats.org/officeDocument/2006/relationships/image" Target="media/image36.png"/><Relationship Id="rId617" Type="http://schemas.openxmlformats.org/officeDocument/2006/relationships/image" Target="media/image400.png"/><Relationship Id="rId824" Type="http://schemas.openxmlformats.org/officeDocument/2006/relationships/image" Target="media/image586.png"/><Relationship Id="rId1247" Type="http://schemas.openxmlformats.org/officeDocument/2006/relationships/image" Target="media/image963.png"/><Relationship Id="rId1107" Type="http://schemas.openxmlformats.org/officeDocument/2006/relationships/image" Target="media/image829.png"/><Relationship Id="rId1314" Type="http://schemas.openxmlformats.org/officeDocument/2006/relationships/image" Target="media/image1029.png"/><Relationship Id="rId20" Type="http://schemas.openxmlformats.org/officeDocument/2006/relationships/hyperlink" Target="https://www.vmwareopsguide.com/" TargetMode="External"/><Relationship Id="rId267" Type="http://schemas.openxmlformats.org/officeDocument/2006/relationships/image" Target="media/image148.png"/><Relationship Id="rId474" Type="http://schemas.openxmlformats.org/officeDocument/2006/relationships/hyperlink" Target="https://docs.microsoft.com/en-us/windows/desktop/api/sysinfoapi/ns-sysinfoapi-_system_info" TargetMode="External"/><Relationship Id="rId127" Type="http://schemas.openxmlformats.org/officeDocument/2006/relationships/hyperlink" Target="https://docs.vmware.com/en/VMware-vSphere/7.0/com.vmware.vsphere.storage.doc/GUID-9E206B41-4B2D-48F0-85A3-B8715D78E846.html" TargetMode="External"/><Relationship Id="rId681" Type="http://schemas.openxmlformats.org/officeDocument/2006/relationships/image" Target="media/image449.png"/><Relationship Id="rId779" Type="http://schemas.openxmlformats.org/officeDocument/2006/relationships/image" Target="media/image542.png"/><Relationship Id="rId986" Type="http://schemas.openxmlformats.org/officeDocument/2006/relationships/hyperlink" Target="https://en.wikipedia.org/wiki/KISS_principle" TargetMode="External"/><Relationship Id="rId334" Type="http://schemas.openxmlformats.org/officeDocument/2006/relationships/hyperlink" Target="https://engineering.fb.com/2021/10/04/networking-traffic/outage/" TargetMode="External"/><Relationship Id="rId541" Type="http://schemas.openxmlformats.org/officeDocument/2006/relationships/image" Target="media/image332.png"/><Relationship Id="rId639" Type="http://schemas.openxmlformats.org/officeDocument/2006/relationships/image" Target="media/image418.png"/><Relationship Id="rId1171" Type="http://schemas.openxmlformats.org/officeDocument/2006/relationships/image" Target="media/image893.png"/><Relationship Id="rId1269" Type="http://schemas.openxmlformats.org/officeDocument/2006/relationships/image" Target="media/image985.png"/><Relationship Id="rId401" Type="http://schemas.openxmlformats.org/officeDocument/2006/relationships/image" Target="media/image234.png"/><Relationship Id="rId846" Type="http://schemas.openxmlformats.org/officeDocument/2006/relationships/image" Target="media/image602.png"/><Relationship Id="rId1031" Type="http://schemas.openxmlformats.org/officeDocument/2006/relationships/image" Target="media/image755.png"/><Relationship Id="rId1129" Type="http://schemas.openxmlformats.org/officeDocument/2006/relationships/image" Target="media/image851.png"/><Relationship Id="rId706" Type="http://schemas.openxmlformats.org/officeDocument/2006/relationships/image" Target="media/image474.png"/><Relationship Id="rId913" Type="http://schemas.openxmlformats.org/officeDocument/2006/relationships/image" Target="media/image656.png"/><Relationship Id="rId1336" Type="http://schemas.openxmlformats.org/officeDocument/2006/relationships/image" Target="media/image1048.png"/><Relationship Id="rId42" Type="http://schemas.openxmlformats.org/officeDocument/2006/relationships/hyperlink" Target="https://en.wikipedia.org/wiki/Business_continuity_planning" TargetMode="External"/><Relationship Id="rId1403" Type="http://schemas.openxmlformats.org/officeDocument/2006/relationships/theme" Target="theme/theme1.xml"/><Relationship Id="rId191" Type="http://schemas.openxmlformats.org/officeDocument/2006/relationships/hyperlink" Target="https://en.wikipedia.org/wiki/Independent_software_vendor" TargetMode="External"/><Relationship Id="rId289" Type="http://schemas.openxmlformats.org/officeDocument/2006/relationships/image" Target="media/image158.png"/><Relationship Id="rId496" Type="http://schemas.openxmlformats.org/officeDocument/2006/relationships/image" Target="media/image292.png"/><Relationship Id="rId149" Type="http://schemas.openxmlformats.org/officeDocument/2006/relationships/image" Target="media/image67.png"/><Relationship Id="rId356" Type="http://schemas.openxmlformats.org/officeDocument/2006/relationships/image" Target="media/image205.png"/><Relationship Id="rId563" Type="http://schemas.openxmlformats.org/officeDocument/2006/relationships/image" Target="media/image351.png"/><Relationship Id="rId770" Type="http://schemas.openxmlformats.org/officeDocument/2006/relationships/hyperlink" Target="https://www.codyhosterman.com/about/" TargetMode="External"/><Relationship Id="rId1193" Type="http://schemas.openxmlformats.org/officeDocument/2006/relationships/image" Target="media/image912.png"/><Relationship Id="rId216" Type="http://schemas.openxmlformats.org/officeDocument/2006/relationships/image" Target="media/image108.png"/><Relationship Id="rId423" Type="http://schemas.openxmlformats.org/officeDocument/2006/relationships/image" Target="media/image248.png"/><Relationship Id="rId868" Type="http://schemas.openxmlformats.org/officeDocument/2006/relationships/image" Target="media/image618.png"/><Relationship Id="rId1053" Type="http://schemas.openxmlformats.org/officeDocument/2006/relationships/image" Target="media/image776.png"/><Relationship Id="rId1260" Type="http://schemas.openxmlformats.org/officeDocument/2006/relationships/image" Target="media/image976.png"/><Relationship Id="rId630" Type="http://schemas.openxmlformats.org/officeDocument/2006/relationships/image" Target="media/image411.png"/><Relationship Id="rId728" Type="http://schemas.openxmlformats.org/officeDocument/2006/relationships/image" Target="media/image496.png"/><Relationship Id="rId935" Type="http://schemas.openxmlformats.org/officeDocument/2006/relationships/image" Target="media/image673.png"/><Relationship Id="rId1358" Type="http://schemas.openxmlformats.org/officeDocument/2006/relationships/image" Target="media/image1065.png"/><Relationship Id="rId64" Type="http://schemas.openxmlformats.org/officeDocument/2006/relationships/hyperlink" Target="https://cloud.google.com/blog/products/devops-sre/availability-part-deux-cre-life-lessons" TargetMode="External"/><Relationship Id="rId1120" Type="http://schemas.openxmlformats.org/officeDocument/2006/relationships/image" Target="media/image842.png"/><Relationship Id="rId1218" Type="http://schemas.openxmlformats.org/officeDocument/2006/relationships/hyperlink" Target="https://www.vmware.com/products/vrealize-operations.html" TargetMode="External"/><Relationship Id="rId280" Type="http://schemas.openxmlformats.org/officeDocument/2006/relationships/hyperlink" Target="https://blogs.vmware.com/performance/2020/04/amd-epyc-rome-application-performance-on-vsphere-series-part-1-sql-server-2019.html" TargetMode="External"/><Relationship Id="rId140" Type="http://schemas.openxmlformats.org/officeDocument/2006/relationships/image" Target="media/image60.png"/><Relationship Id="rId378" Type="http://schemas.openxmlformats.org/officeDocument/2006/relationships/image" Target="media/image221.png"/><Relationship Id="rId585" Type="http://schemas.openxmlformats.org/officeDocument/2006/relationships/image" Target="media/image372.png"/><Relationship Id="rId792" Type="http://schemas.openxmlformats.org/officeDocument/2006/relationships/image" Target="media/image555.png"/><Relationship Id="rId6" Type="http://schemas.openxmlformats.org/officeDocument/2006/relationships/webSettings" Target="webSettings.xml"/><Relationship Id="rId238" Type="http://schemas.openxmlformats.org/officeDocument/2006/relationships/image" Target="media/image123.png"/><Relationship Id="rId445" Type="http://schemas.openxmlformats.org/officeDocument/2006/relationships/hyperlink" Target="https://en.wikipedia.org/wiki/Windows_NT" TargetMode="External"/><Relationship Id="rId652" Type="http://schemas.openxmlformats.org/officeDocument/2006/relationships/hyperlink" Target="https://www.spec.org/cpu2017" TargetMode="External"/><Relationship Id="rId1075" Type="http://schemas.openxmlformats.org/officeDocument/2006/relationships/image" Target="media/image798.png"/><Relationship Id="rId1282" Type="http://schemas.openxmlformats.org/officeDocument/2006/relationships/image" Target="media/image998.png"/><Relationship Id="rId305" Type="http://schemas.openxmlformats.org/officeDocument/2006/relationships/image" Target="media/image168.png"/><Relationship Id="rId512" Type="http://schemas.openxmlformats.org/officeDocument/2006/relationships/image" Target="media/image305.png"/><Relationship Id="rId957" Type="http://schemas.openxmlformats.org/officeDocument/2006/relationships/image" Target="media/image692.png"/><Relationship Id="rId1142" Type="http://schemas.openxmlformats.org/officeDocument/2006/relationships/image" Target="media/image864.png"/><Relationship Id="rId86" Type="http://schemas.openxmlformats.org/officeDocument/2006/relationships/hyperlink" Target="https://en.wikipedia.org/wiki/COBIT" TargetMode="External"/><Relationship Id="rId817" Type="http://schemas.openxmlformats.org/officeDocument/2006/relationships/hyperlink" Target="https://en.wikipedia.org/wiki/Regular_expression" TargetMode="External"/><Relationship Id="rId1002" Type="http://schemas.openxmlformats.org/officeDocument/2006/relationships/hyperlink" Target="https://www.linkedin.com/in/dale-hassinger-5712301b/" TargetMode="External"/><Relationship Id="rId1307" Type="http://schemas.openxmlformats.org/officeDocument/2006/relationships/image" Target="media/image1023.png"/><Relationship Id="rId13" Type="http://schemas.openxmlformats.org/officeDocument/2006/relationships/hyperlink" Target="https://www.vmwareopsguide.com/oyw" TargetMode="External"/><Relationship Id="rId162" Type="http://schemas.openxmlformats.org/officeDocument/2006/relationships/hyperlink" Target="https://en.wikipedia.org/wiki/VMDK" TargetMode="External"/><Relationship Id="rId467" Type="http://schemas.openxmlformats.org/officeDocument/2006/relationships/hyperlink" Target="http://www.chrisjohnston.org/ubuntu/why-on-linux-am-i-seeing-so-much-ram-usage" TargetMode="External"/><Relationship Id="rId1097" Type="http://schemas.openxmlformats.org/officeDocument/2006/relationships/image" Target="media/image819.png"/><Relationship Id="rId674" Type="http://schemas.openxmlformats.org/officeDocument/2006/relationships/image" Target="media/image442.png"/><Relationship Id="rId881" Type="http://schemas.openxmlformats.org/officeDocument/2006/relationships/image" Target="media/image625.png"/><Relationship Id="rId979" Type="http://schemas.openxmlformats.org/officeDocument/2006/relationships/image" Target="media/image710.png"/><Relationship Id="rId327" Type="http://schemas.openxmlformats.org/officeDocument/2006/relationships/image" Target="media/image188.png"/><Relationship Id="rId534" Type="http://schemas.openxmlformats.org/officeDocument/2006/relationships/image" Target="media/image326.png"/><Relationship Id="rId741" Type="http://schemas.openxmlformats.org/officeDocument/2006/relationships/image" Target="media/image508.png"/><Relationship Id="rId839" Type="http://schemas.openxmlformats.org/officeDocument/2006/relationships/hyperlink" Target="https://frankdenneman.nl/2016/08/22/numa-deep-dive-part-5-esxi-vmkernel-numa-constructs/" TargetMode="External"/><Relationship Id="rId1164" Type="http://schemas.openxmlformats.org/officeDocument/2006/relationships/image" Target="media/image886.png"/><Relationship Id="rId1371" Type="http://schemas.openxmlformats.org/officeDocument/2006/relationships/image" Target="media/image1078.png"/><Relationship Id="rId601" Type="http://schemas.openxmlformats.org/officeDocument/2006/relationships/hyperlink" Target="https://blogs.vmware.com/performance/2021/06/performance-best-practices-for-vmware-snapshots.html" TargetMode="External"/><Relationship Id="rId1024" Type="http://schemas.openxmlformats.org/officeDocument/2006/relationships/image" Target="media/image748.png"/><Relationship Id="rId1231" Type="http://schemas.openxmlformats.org/officeDocument/2006/relationships/image" Target="media/image947.png"/><Relationship Id="rId906" Type="http://schemas.openxmlformats.org/officeDocument/2006/relationships/image" Target="media/image650.png"/><Relationship Id="rId1329" Type="http://schemas.openxmlformats.org/officeDocument/2006/relationships/image" Target="media/image1043.png"/><Relationship Id="rId35" Type="http://schemas.openxmlformats.org/officeDocument/2006/relationships/hyperlink" Target="https://azure.microsoft.com/en-us/overview/what-is-a-cloud-provider/" TargetMode="External"/><Relationship Id="rId184" Type="http://schemas.openxmlformats.org/officeDocument/2006/relationships/image" Target="media/image90.png"/><Relationship Id="rId391" Type="http://schemas.openxmlformats.org/officeDocument/2006/relationships/image" Target="media/image228.png"/><Relationship Id="rId251" Type="http://schemas.openxmlformats.org/officeDocument/2006/relationships/image" Target="media/image133.png"/><Relationship Id="rId489" Type="http://schemas.openxmlformats.org/officeDocument/2006/relationships/image" Target="media/image286.png"/><Relationship Id="rId696" Type="http://schemas.openxmlformats.org/officeDocument/2006/relationships/image" Target="media/image464.png"/><Relationship Id="rId349" Type="http://schemas.openxmlformats.org/officeDocument/2006/relationships/image" Target="media/image201.png"/><Relationship Id="rId556" Type="http://schemas.openxmlformats.org/officeDocument/2006/relationships/image" Target="media/image347.png"/><Relationship Id="rId763" Type="http://schemas.openxmlformats.org/officeDocument/2006/relationships/image" Target="media/image530.png"/><Relationship Id="rId1186" Type="http://schemas.openxmlformats.org/officeDocument/2006/relationships/image" Target="media/image905.png"/><Relationship Id="rId1393" Type="http://schemas.openxmlformats.org/officeDocument/2006/relationships/image" Target="media/image1089.jpg"/><Relationship Id="rId111" Type="http://schemas.openxmlformats.org/officeDocument/2006/relationships/image" Target="media/image43.png"/><Relationship Id="rId209" Type="http://schemas.openxmlformats.org/officeDocument/2006/relationships/image" Target="media/image106.png"/><Relationship Id="rId416" Type="http://schemas.openxmlformats.org/officeDocument/2006/relationships/hyperlink" Target="https://docs.microsoft.com/en-us/previous-versions/ms804037(v=msdn.10)?redirectedfrom=MSDN" TargetMode="External"/><Relationship Id="rId970" Type="http://schemas.openxmlformats.org/officeDocument/2006/relationships/image" Target="media/image702.png"/><Relationship Id="rId1046" Type="http://schemas.openxmlformats.org/officeDocument/2006/relationships/image" Target="media/image770.png"/><Relationship Id="rId1253" Type="http://schemas.openxmlformats.org/officeDocument/2006/relationships/image" Target="media/image969.png"/><Relationship Id="rId623" Type="http://schemas.openxmlformats.org/officeDocument/2006/relationships/image" Target="media/image406.png"/><Relationship Id="rId830" Type="http://schemas.openxmlformats.org/officeDocument/2006/relationships/image" Target="media/image591.png"/><Relationship Id="rId928" Type="http://schemas.openxmlformats.org/officeDocument/2006/relationships/image" Target="media/image666.png"/><Relationship Id="rId57" Type="http://schemas.openxmlformats.org/officeDocument/2006/relationships/image" Target="media/image15.png"/><Relationship Id="rId1113" Type="http://schemas.openxmlformats.org/officeDocument/2006/relationships/image" Target="media/image835.png"/><Relationship Id="rId1320" Type="http://schemas.openxmlformats.org/officeDocument/2006/relationships/image" Target="media/image1035.png"/><Relationship Id="rId427" Type="http://schemas.openxmlformats.org/officeDocument/2006/relationships/image" Target="media/image252.png"/><Relationship Id="rId634" Type="http://schemas.openxmlformats.org/officeDocument/2006/relationships/hyperlink" Target="https://blogs.vmware.com/vsphere/2020/05/vsphere-7-a-closer-look-at-the-vm-drs-score.html" TargetMode="External"/><Relationship Id="rId841" Type="http://schemas.openxmlformats.org/officeDocument/2006/relationships/oleObject" Target="embeddings/oleObject1.bin"/><Relationship Id="rId1264" Type="http://schemas.openxmlformats.org/officeDocument/2006/relationships/image" Target="media/image980.png"/><Relationship Id="rId273" Type="http://schemas.openxmlformats.org/officeDocument/2006/relationships/image" Target="media/image152.png"/><Relationship Id="rId480" Type="http://schemas.openxmlformats.org/officeDocument/2006/relationships/image" Target="media/image277.png"/><Relationship Id="rId701" Type="http://schemas.openxmlformats.org/officeDocument/2006/relationships/image" Target="media/image469.png"/><Relationship Id="rId939" Type="http://schemas.openxmlformats.org/officeDocument/2006/relationships/image" Target="media/image677.png"/><Relationship Id="rId1124" Type="http://schemas.openxmlformats.org/officeDocument/2006/relationships/image" Target="media/image846.png"/><Relationship Id="rId1331" Type="http://schemas.openxmlformats.org/officeDocument/2006/relationships/hyperlink" Target="https://en.wikipedia.org/wiki/Network_operations_center" TargetMode="External"/><Relationship Id="rId68" Type="http://schemas.openxmlformats.org/officeDocument/2006/relationships/image" Target="media/image19.png"/><Relationship Id="rId133" Type="http://schemas.openxmlformats.org/officeDocument/2006/relationships/image" Target="media/image58.png"/><Relationship Id="rId340" Type="http://schemas.openxmlformats.org/officeDocument/2006/relationships/image" Target="media/image196.png"/><Relationship Id="rId578" Type="http://schemas.openxmlformats.org/officeDocument/2006/relationships/image" Target="media/image365.png"/><Relationship Id="rId785" Type="http://schemas.openxmlformats.org/officeDocument/2006/relationships/image" Target="media/image548.png"/><Relationship Id="rId992" Type="http://schemas.openxmlformats.org/officeDocument/2006/relationships/image" Target="media/image720.png"/><Relationship Id="rId200" Type="http://schemas.openxmlformats.org/officeDocument/2006/relationships/image" Target="media/image100.png"/><Relationship Id="rId438" Type="http://schemas.openxmlformats.org/officeDocument/2006/relationships/hyperlink" Target="https://docs.microsoft.com/en-us/windows-server/networking/technologies/network-subsystem/net-sub-performance-counters" TargetMode="External"/><Relationship Id="rId645" Type="http://schemas.openxmlformats.org/officeDocument/2006/relationships/image" Target="media/image424.png"/><Relationship Id="rId852" Type="http://schemas.openxmlformats.org/officeDocument/2006/relationships/image" Target="media/image608.png"/><Relationship Id="rId1068" Type="http://schemas.openxmlformats.org/officeDocument/2006/relationships/image" Target="media/image791.png"/><Relationship Id="rId1275" Type="http://schemas.openxmlformats.org/officeDocument/2006/relationships/image" Target="media/image991.png"/><Relationship Id="rId284" Type="http://schemas.openxmlformats.org/officeDocument/2006/relationships/image" Target="media/image157.png"/><Relationship Id="rId491" Type="http://schemas.openxmlformats.org/officeDocument/2006/relationships/image" Target="media/image288.png"/><Relationship Id="rId505" Type="http://schemas.openxmlformats.org/officeDocument/2006/relationships/image" Target="media/image298.png"/><Relationship Id="rId712" Type="http://schemas.openxmlformats.org/officeDocument/2006/relationships/image" Target="media/image480.png"/><Relationship Id="rId1135" Type="http://schemas.openxmlformats.org/officeDocument/2006/relationships/image" Target="media/image857.png"/><Relationship Id="rId1342" Type="http://schemas.openxmlformats.org/officeDocument/2006/relationships/image" Target="media/image1053.png"/><Relationship Id="rId79" Type="http://schemas.openxmlformats.org/officeDocument/2006/relationships/hyperlink" Target="https://aws.amazon.com/free/" TargetMode="External"/><Relationship Id="rId144" Type="http://schemas.openxmlformats.org/officeDocument/2006/relationships/image" Target="media/image63.png"/><Relationship Id="rId589" Type="http://schemas.openxmlformats.org/officeDocument/2006/relationships/image" Target="media/image376.png"/><Relationship Id="rId796" Type="http://schemas.openxmlformats.org/officeDocument/2006/relationships/image" Target="media/image559.png"/><Relationship Id="rId1202" Type="http://schemas.openxmlformats.org/officeDocument/2006/relationships/image" Target="media/image921.png"/><Relationship Id="rId351" Type="http://schemas.openxmlformats.org/officeDocument/2006/relationships/hyperlink" Target="https://learn.microsoft.com/en-us/previous-versions/ms804036(v=msdn.10)" TargetMode="External"/><Relationship Id="rId449" Type="http://schemas.openxmlformats.org/officeDocument/2006/relationships/image" Target="media/image263.png"/><Relationship Id="rId656" Type="http://schemas.openxmlformats.org/officeDocument/2006/relationships/hyperlink" Target="https://blogs.vmware.com/management/2020/01/rightsizing-vms-with-vrealize-operations.html" TargetMode="External"/><Relationship Id="rId863" Type="http://schemas.openxmlformats.org/officeDocument/2006/relationships/image" Target="media/image617.png"/><Relationship Id="rId1079" Type="http://schemas.openxmlformats.org/officeDocument/2006/relationships/hyperlink" Target="https://en.wikipedia.org/wiki/False_positives_and_false_negatives" TargetMode="External"/><Relationship Id="rId1286" Type="http://schemas.openxmlformats.org/officeDocument/2006/relationships/image" Target="media/image1002.png"/><Relationship Id="rId211" Type="http://schemas.openxmlformats.org/officeDocument/2006/relationships/hyperlink" Target="https://www.settlersoman.com/ftf-012-resource-pools-in-practice/" TargetMode="External"/><Relationship Id="rId295" Type="http://schemas.openxmlformats.org/officeDocument/2006/relationships/hyperlink" Target="https://blogs.vmware.com/apps/2020/11/monitoring-and-rightsizing-memory-resource-for-virtualized-sql-server-workloads.html" TargetMode="External"/><Relationship Id="rId309" Type="http://schemas.openxmlformats.org/officeDocument/2006/relationships/image" Target="media/image172.png"/><Relationship Id="rId516" Type="http://schemas.openxmlformats.org/officeDocument/2006/relationships/image" Target="media/image309.png"/><Relationship Id="rId1146" Type="http://schemas.openxmlformats.org/officeDocument/2006/relationships/image" Target="media/image868.png"/><Relationship Id="rId723" Type="http://schemas.openxmlformats.org/officeDocument/2006/relationships/image" Target="media/image491.png"/><Relationship Id="rId930" Type="http://schemas.openxmlformats.org/officeDocument/2006/relationships/image" Target="media/image668.png"/><Relationship Id="rId1006" Type="http://schemas.openxmlformats.org/officeDocument/2006/relationships/image" Target="media/image732.png"/><Relationship Id="rId1353" Type="http://schemas.openxmlformats.org/officeDocument/2006/relationships/hyperlink" Target="https://core.vmware.com/resource/vsan-file-services-tech-note" TargetMode="External"/><Relationship Id="rId155" Type="http://schemas.openxmlformats.org/officeDocument/2006/relationships/image" Target="media/image72.png"/><Relationship Id="rId362" Type="http://schemas.openxmlformats.org/officeDocument/2006/relationships/image" Target="media/image206.png"/><Relationship Id="rId1213" Type="http://schemas.openxmlformats.org/officeDocument/2006/relationships/image" Target="media/image932.png"/><Relationship Id="rId1297" Type="http://schemas.openxmlformats.org/officeDocument/2006/relationships/image" Target="media/image1013.png"/><Relationship Id="rId222" Type="http://schemas.openxmlformats.org/officeDocument/2006/relationships/hyperlink" Target="https://docs.vmware.com/en/VMware-vSphere/7.0/com.vmware.vsphere.monitoring.doc/GUID-25800DE4-68E5-41CC-82D9-8811E27924BC.html" TargetMode="External"/><Relationship Id="rId667" Type="http://schemas.openxmlformats.org/officeDocument/2006/relationships/image" Target="media/image435.png"/><Relationship Id="rId874" Type="http://schemas.openxmlformats.org/officeDocument/2006/relationships/hyperlink" Target="https://en.wikipedia.org/wiki/Remote_direct_memory_access" TargetMode="External"/><Relationship Id="rId17" Type="http://schemas.openxmlformats.org/officeDocument/2006/relationships/hyperlink" Target="https://www.vmware.com/topics/glossary/content/end-user-computing" TargetMode="External"/><Relationship Id="rId527" Type="http://schemas.openxmlformats.org/officeDocument/2006/relationships/image" Target="media/image319.png"/><Relationship Id="rId734" Type="http://schemas.openxmlformats.org/officeDocument/2006/relationships/image" Target="media/image501.png"/><Relationship Id="rId941" Type="http://schemas.openxmlformats.org/officeDocument/2006/relationships/image" Target="media/image679.png"/><Relationship Id="rId1157" Type="http://schemas.openxmlformats.org/officeDocument/2006/relationships/image" Target="media/image879.png"/><Relationship Id="rId1364" Type="http://schemas.openxmlformats.org/officeDocument/2006/relationships/image" Target="media/image1071.png"/><Relationship Id="rId70" Type="http://schemas.openxmlformats.org/officeDocument/2006/relationships/image" Target="media/image21.png"/><Relationship Id="rId166" Type="http://schemas.openxmlformats.org/officeDocument/2006/relationships/image" Target="media/image81.png"/><Relationship Id="rId373" Type="http://schemas.openxmlformats.org/officeDocument/2006/relationships/image" Target="media/image217.png"/><Relationship Id="rId580" Type="http://schemas.openxmlformats.org/officeDocument/2006/relationships/image" Target="media/image367.png"/><Relationship Id="rId801" Type="http://schemas.openxmlformats.org/officeDocument/2006/relationships/image" Target="media/image564.png"/><Relationship Id="rId1017" Type="http://schemas.openxmlformats.org/officeDocument/2006/relationships/image" Target="media/image742.png"/><Relationship Id="rId1224" Type="http://schemas.openxmlformats.org/officeDocument/2006/relationships/image" Target="media/image940.png"/><Relationship Id="rId1" Type="http://schemas.openxmlformats.org/officeDocument/2006/relationships/customXml" Target="../customXml/item1.xml"/><Relationship Id="rId233" Type="http://schemas.openxmlformats.org/officeDocument/2006/relationships/image" Target="media/image118.png"/><Relationship Id="rId440" Type="http://schemas.openxmlformats.org/officeDocument/2006/relationships/hyperlink" Target="https://www.raymond.cc/blog/a-built-in-system-monitor-thats-easier-to-read-than-event-viewer/" TargetMode="External"/><Relationship Id="rId678" Type="http://schemas.openxmlformats.org/officeDocument/2006/relationships/image" Target="media/image446.png"/><Relationship Id="rId885" Type="http://schemas.openxmlformats.org/officeDocument/2006/relationships/image" Target="media/image629.png"/><Relationship Id="rId1070" Type="http://schemas.openxmlformats.org/officeDocument/2006/relationships/image" Target="media/image793.png"/><Relationship Id="rId28" Type="http://schemas.openxmlformats.org/officeDocument/2006/relationships/hyperlink" Target="https://www.linkedin.com/in/varghesephilipose/" TargetMode="External"/><Relationship Id="rId300" Type="http://schemas.openxmlformats.org/officeDocument/2006/relationships/hyperlink" Target="https://www.linkedin.com/in/nielshagoort/" TargetMode="External"/><Relationship Id="rId538" Type="http://schemas.openxmlformats.org/officeDocument/2006/relationships/image" Target="media/image329.png"/><Relationship Id="rId745" Type="http://schemas.openxmlformats.org/officeDocument/2006/relationships/image" Target="media/image512.png"/><Relationship Id="rId952" Type="http://schemas.openxmlformats.org/officeDocument/2006/relationships/image" Target="media/image688.png"/><Relationship Id="rId1168" Type="http://schemas.openxmlformats.org/officeDocument/2006/relationships/image" Target="media/image890.png"/><Relationship Id="rId1375" Type="http://schemas.openxmlformats.org/officeDocument/2006/relationships/hyperlink" Target="http://virtual-red-dot.info/vsphere-storage-latency-view-from-the-vmkernel/" TargetMode="External"/><Relationship Id="rId81" Type="http://schemas.openxmlformats.org/officeDocument/2006/relationships/image" Target="media/image29.png"/><Relationship Id="rId177" Type="http://schemas.openxmlformats.org/officeDocument/2006/relationships/hyperlink" Target="https://blogs.vmware.com/management/2020/09/my-top-15-vrealize-operations-super-metrics.html" TargetMode="External"/><Relationship Id="rId384" Type="http://schemas.openxmlformats.org/officeDocument/2006/relationships/hyperlink" Target="https://www.linkedin.com/in/markrussinovich/" TargetMode="External"/><Relationship Id="rId591" Type="http://schemas.openxmlformats.org/officeDocument/2006/relationships/image" Target="media/image378.png"/><Relationship Id="rId605" Type="http://schemas.openxmlformats.org/officeDocument/2006/relationships/hyperlink" Target="https://kb.vmware.com/s/article/83990" TargetMode="External"/><Relationship Id="rId812" Type="http://schemas.openxmlformats.org/officeDocument/2006/relationships/image" Target="media/image575.png"/><Relationship Id="rId1028" Type="http://schemas.openxmlformats.org/officeDocument/2006/relationships/image" Target="media/image752.png"/><Relationship Id="rId1235" Type="http://schemas.openxmlformats.org/officeDocument/2006/relationships/image" Target="media/image951.png"/><Relationship Id="rId244" Type="http://schemas.openxmlformats.org/officeDocument/2006/relationships/image" Target="media/image126.png"/><Relationship Id="rId689" Type="http://schemas.openxmlformats.org/officeDocument/2006/relationships/image" Target="media/image457.png"/><Relationship Id="rId896" Type="http://schemas.openxmlformats.org/officeDocument/2006/relationships/image" Target="media/image640.png"/><Relationship Id="rId1081" Type="http://schemas.openxmlformats.org/officeDocument/2006/relationships/image" Target="media/image803.png"/><Relationship Id="rId1302" Type="http://schemas.openxmlformats.org/officeDocument/2006/relationships/image" Target="media/image1018.png"/><Relationship Id="rId39" Type="http://schemas.openxmlformats.org/officeDocument/2006/relationships/hyperlink" Target="https://www.vmware.com/topics/glossary/content/desktop-as-a-service" TargetMode="External"/><Relationship Id="rId451" Type="http://schemas.openxmlformats.org/officeDocument/2006/relationships/image" Target="media/image265.png"/><Relationship Id="rId549" Type="http://schemas.openxmlformats.org/officeDocument/2006/relationships/image" Target="media/image340.png"/><Relationship Id="rId756" Type="http://schemas.openxmlformats.org/officeDocument/2006/relationships/image" Target="media/image523.png"/><Relationship Id="rId1179" Type="http://schemas.openxmlformats.org/officeDocument/2006/relationships/image" Target="media/image900.png"/><Relationship Id="rId1386" Type="http://schemas.openxmlformats.org/officeDocument/2006/relationships/image" Target="media/image1088.png"/><Relationship Id="rId104" Type="http://schemas.openxmlformats.org/officeDocument/2006/relationships/hyperlink" Target="https://www.opengroup.org/togaf" TargetMode="External"/><Relationship Id="rId188" Type="http://schemas.openxmlformats.org/officeDocument/2006/relationships/hyperlink" Target="https://www.vmware.com/professional-services/technical-account-management-services.html" TargetMode="External"/><Relationship Id="rId311" Type="http://schemas.openxmlformats.org/officeDocument/2006/relationships/image" Target="media/image173.png"/><Relationship Id="rId395" Type="http://schemas.openxmlformats.org/officeDocument/2006/relationships/image" Target="media/image231.png"/><Relationship Id="rId409" Type="http://schemas.openxmlformats.org/officeDocument/2006/relationships/hyperlink" Target="https://www.linkedin.com/in/markrussinovich/" TargetMode="External"/><Relationship Id="rId963" Type="http://schemas.openxmlformats.org/officeDocument/2006/relationships/image" Target="media/image696.png"/><Relationship Id="rId1039" Type="http://schemas.openxmlformats.org/officeDocument/2006/relationships/image" Target="media/image763.png"/><Relationship Id="rId1246" Type="http://schemas.openxmlformats.org/officeDocument/2006/relationships/image" Target="media/image962.png"/><Relationship Id="rId92" Type="http://schemas.openxmlformats.org/officeDocument/2006/relationships/image" Target="media/image35.png"/><Relationship Id="rId616" Type="http://schemas.openxmlformats.org/officeDocument/2006/relationships/image" Target="media/image399.png"/><Relationship Id="rId823" Type="http://schemas.openxmlformats.org/officeDocument/2006/relationships/image" Target="media/image585.png"/><Relationship Id="rId255" Type="http://schemas.openxmlformats.org/officeDocument/2006/relationships/image" Target="media/image136.png"/><Relationship Id="rId462" Type="http://schemas.openxmlformats.org/officeDocument/2006/relationships/hyperlink" Target="http://man7.org/linux/man-pages/man5/proc.5.html" TargetMode="External"/><Relationship Id="rId1092" Type="http://schemas.openxmlformats.org/officeDocument/2006/relationships/image" Target="media/image814.png"/><Relationship Id="rId1106" Type="http://schemas.openxmlformats.org/officeDocument/2006/relationships/image" Target="media/image828.png"/><Relationship Id="rId1313" Type="http://schemas.openxmlformats.org/officeDocument/2006/relationships/image" Target="media/image1028.png"/><Relationship Id="rId1397" Type="http://schemas.openxmlformats.org/officeDocument/2006/relationships/hyperlink" Target="https://en.wikipedia.org/wiki/Macintosh_LC" TargetMode="External"/><Relationship Id="rId115" Type="http://schemas.openxmlformats.org/officeDocument/2006/relationships/image" Target="media/image47.png"/><Relationship Id="rId322" Type="http://schemas.openxmlformats.org/officeDocument/2006/relationships/image" Target="media/image184.png"/><Relationship Id="rId767" Type="http://schemas.openxmlformats.org/officeDocument/2006/relationships/hyperlink" Target="https://frankdenneman.nl/" TargetMode="External"/><Relationship Id="rId974" Type="http://schemas.openxmlformats.org/officeDocument/2006/relationships/image" Target="media/image705.png"/><Relationship Id="rId199" Type="http://schemas.openxmlformats.org/officeDocument/2006/relationships/image" Target="media/image99.png"/><Relationship Id="rId627" Type="http://schemas.openxmlformats.org/officeDocument/2006/relationships/image" Target="media/image408.png"/><Relationship Id="rId834" Type="http://schemas.openxmlformats.org/officeDocument/2006/relationships/hyperlink" Target="https://www.youtube.com/watch?v=pcNfxdMnpmc&amp;t=3s" TargetMode="External"/><Relationship Id="rId1257" Type="http://schemas.openxmlformats.org/officeDocument/2006/relationships/image" Target="media/image973.png"/><Relationship Id="rId266" Type="http://schemas.openxmlformats.org/officeDocument/2006/relationships/image" Target="media/image147.png"/><Relationship Id="rId473" Type="http://schemas.openxmlformats.org/officeDocument/2006/relationships/image" Target="media/image276.png"/><Relationship Id="rId680" Type="http://schemas.openxmlformats.org/officeDocument/2006/relationships/image" Target="media/image448.png"/><Relationship Id="rId901" Type="http://schemas.openxmlformats.org/officeDocument/2006/relationships/image" Target="media/image645.png"/><Relationship Id="rId1117" Type="http://schemas.openxmlformats.org/officeDocument/2006/relationships/image" Target="media/image839.png"/><Relationship Id="rId1324" Type="http://schemas.openxmlformats.org/officeDocument/2006/relationships/image" Target="media/image1038.png"/><Relationship Id="rId30" Type="http://schemas.openxmlformats.org/officeDocument/2006/relationships/hyperlink" Target="https://en.wikipedia.org/wiki/Software-defined_data_center" TargetMode="External"/><Relationship Id="rId126" Type="http://schemas.openxmlformats.org/officeDocument/2006/relationships/hyperlink" Target="https://www.influxdata.com/products/integrations/" TargetMode="External"/><Relationship Id="rId333" Type="http://schemas.openxmlformats.org/officeDocument/2006/relationships/hyperlink" Target="https://www.ipspace.net/About_Ivan_Pepelnjak" TargetMode="External"/><Relationship Id="rId540" Type="http://schemas.openxmlformats.org/officeDocument/2006/relationships/image" Target="media/image331.png"/><Relationship Id="rId778" Type="http://schemas.openxmlformats.org/officeDocument/2006/relationships/image" Target="media/image541.png"/><Relationship Id="rId985" Type="http://schemas.openxmlformats.org/officeDocument/2006/relationships/image" Target="media/image716.png"/><Relationship Id="rId1170" Type="http://schemas.openxmlformats.org/officeDocument/2006/relationships/image" Target="media/image892.png"/><Relationship Id="rId638" Type="http://schemas.openxmlformats.org/officeDocument/2006/relationships/image" Target="media/image417.png"/><Relationship Id="rId845" Type="http://schemas.openxmlformats.org/officeDocument/2006/relationships/image" Target="media/image601.png"/><Relationship Id="rId1030" Type="http://schemas.openxmlformats.org/officeDocument/2006/relationships/image" Target="media/image754.png"/><Relationship Id="rId1268" Type="http://schemas.openxmlformats.org/officeDocument/2006/relationships/image" Target="media/image984.png"/><Relationship Id="rId277" Type="http://schemas.openxmlformats.org/officeDocument/2006/relationships/image" Target="media/image155.png"/><Relationship Id="rId400" Type="http://schemas.openxmlformats.org/officeDocument/2006/relationships/image" Target="media/image233.png"/><Relationship Id="rId484" Type="http://schemas.openxmlformats.org/officeDocument/2006/relationships/image" Target="media/image281.png"/><Relationship Id="rId705" Type="http://schemas.openxmlformats.org/officeDocument/2006/relationships/image" Target="media/image473.png"/><Relationship Id="rId1128" Type="http://schemas.openxmlformats.org/officeDocument/2006/relationships/image" Target="media/image850.png"/><Relationship Id="rId1335" Type="http://schemas.openxmlformats.org/officeDocument/2006/relationships/image" Target="media/image1047.png"/><Relationship Id="rId137" Type="http://schemas.openxmlformats.org/officeDocument/2006/relationships/hyperlink" Target="https://en.wikipedia.org/wiki/Root_cause_analysis" TargetMode="External"/><Relationship Id="rId344" Type="http://schemas.openxmlformats.org/officeDocument/2006/relationships/image" Target="media/image198.png"/><Relationship Id="rId691" Type="http://schemas.openxmlformats.org/officeDocument/2006/relationships/image" Target="media/image459.png"/><Relationship Id="rId789" Type="http://schemas.openxmlformats.org/officeDocument/2006/relationships/image" Target="media/image552.png"/><Relationship Id="rId912" Type="http://schemas.openxmlformats.org/officeDocument/2006/relationships/hyperlink" Target="https://kb.vmware.com/s/article/2150012" TargetMode="External"/><Relationship Id="rId996" Type="http://schemas.openxmlformats.org/officeDocument/2006/relationships/image" Target="media/image724.png"/><Relationship Id="rId41" Type="http://schemas.openxmlformats.org/officeDocument/2006/relationships/image" Target="media/image8.png"/><Relationship Id="rId551" Type="http://schemas.openxmlformats.org/officeDocument/2006/relationships/image" Target="media/image342.png"/><Relationship Id="rId649" Type="http://schemas.openxmlformats.org/officeDocument/2006/relationships/hyperlink" Target="https://blogs.vmware.com/management/2019/09/26212.html" TargetMode="External"/><Relationship Id="rId856" Type="http://schemas.openxmlformats.org/officeDocument/2006/relationships/image" Target="media/image612.png"/><Relationship Id="rId1181" Type="http://schemas.openxmlformats.org/officeDocument/2006/relationships/image" Target="media/image902.png"/><Relationship Id="rId1279" Type="http://schemas.openxmlformats.org/officeDocument/2006/relationships/image" Target="media/image995.png"/><Relationship Id="rId1402" Type="http://schemas.openxmlformats.org/officeDocument/2006/relationships/fontTable" Target="fontTable.xml"/><Relationship Id="rId190" Type="http://schemas.openxmlformats.org/officeDocument/2006/relationships/image" Target="media/image95.png"/><Relationship Id="rId204" Type="http://schemas.openxmlformats.org/officeDocument/2006/relationships/image" Target="media/image103.png"/><Relationship Id="rId288" Type="http://schemas.openxmlformats.org/officeDocument/2006/relationships/hyperlink" Target="https://www.linkedin.com/in/praveen-yedlapalli-a9821324/" TargetMode="External"/><Relationship Id="rId411" Type="http://schemas.openxmlformats.org/officeDocument/2006/relationships/hyperlink" Target="http://brandonlive.com/2010/02/21/measuring-memory-usage-in-windows-7/" TargetMode="External"/><Relationship Id="rId509" Type="http://schemas.openxmlformats.org/officeDocument/2006/relationships/image" Target="media/image302.png"/><Relationship Id="rId1041" Type="http://schemas.openxmlformats.org/officeDocument/2006/relationships/image" Target="media/image765.png"/><Relationship Id="rId1139" Type="http://schemas.openxmlformats.org/officeDocument/2006/relationships/image" Target="media/image861.png"/><Relationship Id="rId1346" Type="http://schemas.openxmlformats.org/officeDocument/2006/relationships/hyperlink" Target="https://www.investopedia.com/terms/s/smallandmidsizeenterprises.asp" TargetMode="External"/><Relationship Id="rId495" Type="http://schemas.openxmlformats.org/officeDocument/2006/relationships/image" Target="media/image291.png"/><Relationship Id="rId716" Type="http://schemas.openxmlformats.org/officeDocument/2006/relationships/image" Target="media/image484.png"/><Relationship Id="rId923" Type="http://schemas.openxmlformats.org/officeDocument/2006/relationships/image" Target="media/image663.png"/><Relationship Id="rId52" Type="http://schemas.openxmlformats.org/officeDocument/2006/relationships/hyperlink" Target="https://www.linkedin.com/in/duasunny/" TargetMode="External"/><Relationship Id="rId148" Type="http://schemas.openxmlformats.org/officeDocument/2006/relationships/hyperlink" Target="https://en.wikipedia.org/wiki/Business_continuity_planning" TargetMode="External"/><Relationship Id="rId355" Type="http://schemas.openxmlformats.org/officeDocument/2006/relationships/image" Target="media/image204.png"/><Relationship Id="rId562" Type="http://schemas.openxmlformats.org/officeDocument/2006/relationships/hyperlink" Target="https://www.compuram.de/blog/en/how-much-ram-can-be-addressed-under-the-current-32-bit-and-64-bit-operating-systems/" TargetMode="External"/><Relationship Id="rId1192" Type="http://schemas.openxmlformats.org/officeDocument/2006/relationships/image" Target="media/image911.png"/><Relationship Id="rId1206" Type="http://schemas.openxmlformats.org/officeDocument/2006/relationships/image" Target="media/image925.png"/><Relationship Id="rId215" Type="http://schemas.openxmlformats.org/officeDocument/2006/relationships/hyperlink" Target="https://dblp.org/pid/73/11144.html" TargetMode="External"/><Relationship Id="rId422" Type="http://schemas.openxmlformats.org/officeDocument/2006/relationships/image" Target="media/image247.png"/><Relationship Id="rId867" Type="http://schemas.openxmlformats.org/officeDocument/2006/relationships/hyperlink" Target="https://www.running-system.com/esxtop-vaai-counters/" TargetMode="External"/><Relationship Id="rId1052" Type="http://schemas.openxmlformats.org/officeDocument/2006/relationships/hyperlink" Target="https://kb.vmware.com/s/article/55697" TargetMode="External"/><Relationship Id="rId299" Type="http://schemas.openxmlformats.org/officeDocument/2006/relationships/hyperlink" Target="https://frankdenneman.nl/" TargetMode="External"/><Relationship Id="rId727" Type="http://schemas.openxmlformats.org/officeDocument/2006/relationships/image" Target="media/image495.png"/><Relationship Id="rId934" Type="http://schemas.openxmlformats.org/officeDocument/2006/relationships/image" Target="media/image672.png"/><Relationship Id="rId1357" Type="http://schemas.openxmlformats.org/officeDocument/2006/relationships/image" Target="media/image1064.png"/><Relationship Id="rId63" Type="http://schemas.openxmlformats.org/officeDocument/2006/relationships/hyperlink" Target="https://cloud.google.com/blog/products/devops-sre/sre-fundamentals-slis-slas-and-slos" TargetMode="External"/><Relationship Id="rId159" Type="http://schemas.openxmlformats.org/officeDocument/2006/relationships/image" Target="media/image75.png"/><Relationship Id="rId366" Type="http://schemas.openxmlformats.org/officeDocument/2006/relationships/image" Target="media/image210.png"/><Relationship Id="rId573" Type="http://schemas.openxmlformats.org/officeDocument/2006/relationships/image" Target="media/image361.png"/><Relationship Id="rId780" Type="http://schemas.openxmlformats.org/officeDocument/2006/relationships/image" Target="media/image543.png"/><Relationship Id="rId1217" Type="http://schemas.openxmlformats.org/officeDocument/2006/relationships/image" Target="media/image934.png"/><Relationship Id="rId226" Type="http://schemas.openxmlformats.org/officeDocument/2006/relationships/hyperlink" Target="https://en.wikipedia.org/wiki/International_System_of_Quantities" TargetMode="External"/><Relationship Id="rId433" Type="http://schemas.openxmlformats.org/officeDocument/2006/relationships/image" Target="media/image258.png"/><Relationship Id="rId878" Type="http://schemas.openxmlformats.org/officeDocument/2006/relationships/hyperlink" Target="https://www.linkedin.com/in/pentyala/" TargetMode="External"/><Relationship Id="rId1063" Type="http://schemas.openxmlformats.org/officeDocument/2006/relationships/image" Target="media/image786.png"/><Relationship Id="rId1270" Type="http://schemas.openxmlformats.org/officeDocument/2006/relationships/image" Target="media/image986.png"/><Relationship Id="rId640" Type="http://schemas.openxmlformats.org/officeDocument/2006/relationships/image" Target="media/image419.png"/><Relationship Id="rId738" Type="http://schemas.openxmlformats.org/officeDocument/2006/relationships/image" Target="media/image505.png"/><Relationship Id="rId945" Type="http://schemas.openxmlformats.org/officeDocument/2006/relationships/image" Target="media/image683.png"/><Relationship Id="rId1368" Type="http://schemas.openxmlformats.org/officeDocument/2006/relationships/image" Target="media/image1075.png"/><Relationship Id="rId74" Type="http://schemas.openxmlformats.org/officeDocument/2006/relationships/image" Target="media/image25.png"/><Relationship Id="rId377" Type="http://schemas.openxmlformats.org/officeDocument/2006/relationships/image" Target="media/image220.png"/><Relationship Id="rId500" Type="http://schemas.openxmlformats.org/officeDocument/2006/relationships/image" Target="media/image295.png"/><Relationship Id="rId584" Type="http://schemas.openxmlformats.org/officeDocument/2006/relationships/image" Target="media/image371.png"/><Relationship Id="rId805" Type="http://schemas.openxmlformats.org/officeDocument/2006/relationships/image" Target="media/image568.png"/><Relationship Id="rId1130" Type="http://schemas.openxmlformats.org/officeDocument/2006/relationships/image" Target="media/image852.png"/><Relationship Id="rId1228" Type="http://schemas.openxmlformats.org/officeDocument/2006/relationships/image" Target="media/image944.png"/><Relationship Id="rId5" Type="http://schemas.openxmlformats.org/officeDocument/2006/relationships/settings" Target="settings.xml"/><Relationship Id="rId237" Type="http://schemas.openxmlformats.org/officeDocument/2006/relationships/image" Target="media/image122.png"/><Relationship Id="rId791" Type="http://schemas.openxmlformats.org/officeDocument/2006/relationships/image" Target="media/image554.png"/><Relationship Id="rId889" Type="http://schemas.openxmlformats.org/officeDocument/2006/relationships/image" Target="media/image633.png"/><Relationship Id="rId1074" Type="http://schemas.openxmlformats.org/officeDocument/2006/relationships/image" Target="media/image797.png"/><Relationship Id="rId444" Type="http://schemas.openxmlformats.org/officeDocument/2006/relationships/hyperlink" Target="http://blog.nirsoft.net/2009/05/17/antivirus-companies-cause-a-big-headache-to-small-developers/" TargetMode="External"/><Relationship Id="rId651" Type="http://schemas.openxmlformats.org/officeDocument/2006/relationships/hyperlink" Target="https://blogs.vmware.com/management/2020/01/rightsizing-vms-with-vrealize-operations.html" TargetMode="External"/><Relationship Id="rId749" Type="http://schemas.openxmlformats.org/officeDocument/2006/relationships/image" Target="media/image516.png"/><Relationship Id="rId1281" Type="http://schemas.openxmlformats.org/officeDocument/2006/relationships/image" Target="media/image997.png"/><Relationship Id="rId1379" Type="http://schemas.openxmlformats.org/officeDocument/2006/relationships/image" Target="media/image1084.png"/><Relationship Id="rId290" Type="http://schemas.openxmlformats.org/officeDocument/2006/relationships/image" Target="media/image159.png"/><Relationship Id="rId304" Type="http://schemas.openxmlformats.org/officeDocument/2006/relationships/hyperlink" Target="https://www.influxdata.com/time-series-platform/telegraf/" TargetMode="External"/><Relationship Id="rId388" Type="http://schemas.openxmlformats.org/officeDocument/2006/relationships/image" Target="media/image226.png"/><Relationship Id="rId511" Type="http://schemas.openxmlformats.org/officeDocument/2006/relationships/image" Target="media/image304.png"/><Relationship Id="rId609" Type="http://schemas.openxmlformats.org/officeDocument/2006/relationships/image" Target="media/image392.png"/><Relationship Id="rId956" Type="http://schemas.openxmlformats.org/officeDocument/2006/relationships/hyperlink" Target="https://en.wikipedia.org/wiki/Frame_rate" TargetMode="External"/><Relationship Id="rId1141" Type="http://schemas.openxmlformats.org/officeDocument/2006/relationships/image" Target="media/image863.png"/><Relationship Id="rId1239" Type="http://schemas.openxmlformats.org/officeDocument/2006/relationships/image" Target="media/image955.png"/><Relationship Id="rId85" Type="http://schemas.openxmlformats.org/officeDocument/2006/relationships/hyperlink" Target="https://www.opengroup.org/it4it" TargetMode="External"/><Relationship Id="rId150" Type="http://schemas.openxmlformats.org/officeDocument/2006/relationships/image" Target="media/image68.png"/><Relationship Id="rId595" Type="http://schemas.openxmlformats.org/officeDocument/2006/relationships/hyperlink" Target="https://docs.vmware.com/en/VMware-vSphere/7.0/com.vmware.vsphere.vm_admin.doc/GUID-38F4D574-ADE7-4B80-AEAB-7EC502A379F4.html" TargetMode="External"/><Relationship Id="rId816" Type="http://schemas.openxmlformats.org/officeDocument/2006/relationships/image" Target="media/image579.png"/><Relationship Id="rId1001" Type="http://schemas.openxmlformats.org/officeDocument/2006/relationships/image" Target="media/image729.png"/><Relationship Id="rId248" Type="http://schemas.openxmlformats.org/officeDocument/2006/relationships/image" Target="media/image130.png"/><Relationship Id="rId455" Type="http://schemas.openxmlformats.org/officeDocument/2006/relationships/hyperlink" Target="https://docs.microsoft.com/en-us/learn/modules/monitor-windows-server-performance/4-review-reliability-with-reliability-monitor" TargetMode="External"/><Relationship Id="rId662" Type="http://schemas.openxmlformats.org/officeDocument/2006/relationships/image" Target="media/image430.png"/><Relationship Id="rId1085" Type="http://schemas.openxmlformats.org/officeDocument/2006/relationships/image" Target="media/image807.png"/><Relationship Id="rId1292" Type="http://schemas.openxmlformats.org/officeDocument/2006/relationships/image" Target="media/image1008.png"/><Relationship Id="rId1306" Type="http://schemas.openxmlformats.org/officeDocument/2006/relationships/image" Target="media/image1022.png"/><Relationship Id="rId12" Type="http://schemas.openxmlformats.org/officeDocument/2006/relationships/image" Target="media/image3.png"/><Relationship Id="rId108" Type="http://schemas.openxmlformats.org/officeDocument/2006/relationships/image" Target="media/image42.png"/><Relationship Id="rId315" Type="http://schemas.openxmlformats.org/officeDocument/2006/relationships/image" Target="media/image177.png"/><Relationship Id="rId522" Type="http://schemas.openxmlformats.org/officeDocument/2006/relationships/image" Target="media/image315.png"/><Relationship Id="rId967" Type="http://schemas.openxmlformats.org/officeDocument/2006/relationships/image" Target="media/image699.png"/><Relationship Id="rId1152" Type="http://schemas.openxmlformats.org/officeDocument/2006/relationships/image" Target="media/image874.png"/><Relationship Id="rId96" Type="http://schemas.openxmlformats.org/officeDocument/2006/relationships/hyperlink" Target="https://en.wikipedia.org/wiki/Site_reliability_engineering" TargetMode="External"/><Relationship Id="rId161" Type="http://schemas.openxmlformats.org/officeDocument/2006/relationships/image" Target="media/image77.png"/><Relationship Id="rId399" Type="http://schemas.openxmlformats.org/officeDocument/2006/relationships/hyperlink" Target="https://docs.microsoft.com/en-US/troubleshoot/windows-server/performance/ram-virtual-memory-pagefile-management" TargetMode="External"/><Relationship Id="rId827" Type="http://schemas.openxmlformats.org/officeDocument/2006/relationships/image" Target="media/image589.png"/><Relationship Id="rId1012" Type="http://schemas.openxmlformats.org/officeDocument/2006/relationships/image" Target="media/image737.png"/><Relationship Id="rId259" Type="http://schemas.openxmlformats.org/officeDocument/2006/relationships/image" Target="media/image140.png"/><Relationship Id="rId466" Type="http://schemas.openxmlformats.org/officeDocument/2006/relationships/hyperlink" Target="https://git.kernel.org/pub/scm/linux/kernel/git/torvalds/linux.git/commit/?id=34e431b0ae398fc54ea69ff85ec700722c9da773" TargetMode="External"/><Relationship Id="rId673" Type="http://schemas.openxmlformats.org/officeDocument/2006/relationships/image" Target="media/image441.png"/><Relationship Id="rId880" Type="http://schemas.openxmlformats.org/officeDocument/2006/relationships/hyperlink" Target="http://www.reports.ias.ac.in/report/12829/understanding-the-concepts-and-mechanisms-of-rdma" TargetMode="External"/><Relationship Id="rId1096" Type="http://schemas.openxmlformats.org/officeDocument/2006/relationships/image" Target="media/image818.png"/><Relationship Id="rId1317" Type="http://schemas.openxmlformats.org/officeDocument/2006/relationships/image" Target="media/image1032.png"/><Relationship Id="rId23" Type="http://schemas.openxmlformats.org/officeDocument/2006/relationships/hyperlink" Target="https://www.linkedin.com/in/brockpetersonvmware/" TargetMode="External"/><Relationship Id="rId119" Type="http://schemas.openxmlformats.org/officeDocument/2006/relationships/hyperlink" Target="https://blogs.vmware.com/services-education-insights/author/ndee" TargetMode="External"/><Relationship Id="rId326" Type="http://schemas.openxmlformats.org/officeDocument/2006/relationships/hyperlink" Target="http://blogs.vmware.com/vsphere/2012/02/vmfs-extents-are-they-bad-or-simply-misunderstood.html" TargetMode="External"/><Relationship Id="rId533" Type="http://schemas.openxmlformats.org/officeDocument/2006/relationships/image" Target="media/image325.png"/><Relationship Id="rId978" Type="http://schemas.openxmlformats.org/officeDocument/2006/relationships/image" Target="media/image709.png"/><Relationship Id="rId1163" Type="http://schemas.openxmlformats.org/officeDocument/2006/relationships/image" Target="media/image885.png"/><Relationship Id="rId1370" Type="http://schemas.openxmlformats.org/officeDocument/2006/relationships/image" Target="media/image1077.png"/><Relationship Id="rId740" Type="http://schemas.openxmlformats.org/officeDocument/2006/relationships/image" Target="media/image507.png"/><Relationship Id="rId838" Type="http://schemas.openxmlformats.org/officeDocument/2006/relationships/image" Target="media/image596.png"/><Relationship Id="rId1023" Type="http://schemas.openxmlformats.org/officeDocument/2006/relationships/image" Target="media/image747.png"/><Relationship Id="rId172" Type="http://schemas.openxmlformats.org/officeDocument/2006/relationships/hyperlink" Target="https://twitter.com/KremerPatrick" TargetMode="External"/><Relationship Id="rId477" Type="http://schemas.openxmlformats.org/officeDocument/2006/relationships/hyperlink" Target="http://man7.org/linux/man-pages/man1/free.1.html" TargetMode="External"/><Relationship Id="rId600" Type="http://schemas.openxmlformats.org/officeDocument/2006/relationships/image" Target="media/image386.png"/><Relationship Id="rId684" Type="http://schemas.openxmlformats.org/officeDocument/2006/relationships/image" Target="media/image452.png"/><Relationship Id="rId1230" Type="http://schemas.openxmlformats.org/officeDocument/2006/relationships/image" Target="media/image946.png"/><Relationship Id="rId1328" Type="http://schemas.openxmlformats.org/officeDocument/2006/relationships/image" Target="media/image1042.png"/><Relationship Id="rId337" Type="http://schemas.openxmlformats.org/officeDocument/2006/relationships/image" Target="media/image193.png"/><Relationship Id="rId891" Type="http://schemas.openxmlformats.org/officeDocument/2006/relationships/image" Target="media/image635.png"/><Relationship Id="rId905" Type="http://schemas.openxmlformats.org/officeDocument/2006/relationships/image" Target="media/image649.png"/><Relationship Id="rId989" Type="http://schemas.openxmlformats.org/officeDocument/2006/relationships/image" Target="media/image719.png"/><Relationship Id="rId34" Type="http://schemas.openxmlformats.org/officeDocument/2006/relationships/hyperlink" Target="https://en.wikipedia.org/wiki/Root_cause_analysis" TargetMode="External"/><Relationship Id="rId544" Type="http://schemas.openxmlformats.org/officeDocument/2006/relationships/image" Target="media/image335.png"/><Relationship Id="rId751" Type="http://schemas.openxmlformats.org/officeDocument/2006/relationships/image" Target="media/image518.png"/><Relationship Id="rId849" Type="http://schemas.openxmlformats.org/officeDocument/2006/relationships/image" Target="media/image605.png"/><Relationship Id="rId1174" Type="http://schemas.openxmlformats.org/officeDocument/2006/relationships/image" Target="media/image895.png"/><Relationship Id="rId1381" Type="http://schemas.openxmlformats.org/officeDocument/2006/relationships/hyperlink" Target="https://blogs.vmware.com/management/2020/10/configure-a-vms-vmware-log-file-to-send-messages-to-vrealize-log-insight.html" TargetMode="External"/><Relationship Id="rId183" Type="http://schemas.openxmlformats.org/officeDocument/2006/relationships/image" Target="media/image89.png"/><Relationship Id="rId390" Type="http://schemas.openxmlformats.org/officeDocument/2006/relationships/hyperlink" Target="https://en.wikipedia.org/wiki/Memory_leak" TargetMode="External"/><Relationship Id="rId404" Type="http://schemas.openxmlformats.org/officeDocument/2006/relationships/image" Target="media/image237.png"/><Relationship Id="rId611" Type="http://schemas.openxmlformats.org/officeDocument/2006/relationships/image" Target="media/image394.png"/><Relationship Id="rId1034" Type="http://schemas.openxmlformats.org/officeDocument/2006/relationships/image" Target="media/image758.png"/><Relationship Id="rId1241" Type="http://schemas.openxmlformats.org/officeDocument/2006/relationships/image" Target="media/image957.png"/><Relationship Id="rId1339" Type="http://schemas.openxmlformats.org/officeDocument/2006/relationships/image" Target="media/image1050.png"/><Relationship Id="rId250" Type="http://schemas.openxmlformats.org/officeDocument/2006/relationships/image" Target="media/image132.png"/><Relationship Id="rId488" Type="http://schemas.openxmlformats.org/officeDocument/2006/relationships/image" Target="media/image285.png"/><Relationship Id="rId695" Type="http://schemas.openxmlformats.org/officeDocument/2006/relationships/image" Target="media/image463.png"/><Relationship Id="rId709" Type="http://schemas.openxmlformats.org/officeDocument/2006/relationships/image" Target="media/image477.png"/><Relationship Id="rId916" Type="http://schemas.openxmlformats.org/officeDocument/2006/relationships/image" Target="media/image658.png"/><Relationship Id="rId1101" Type="http://schemas.openxmlformats.org/officeDocument/2006/relationships/image" Target="media/image823.png"/><Relationship Id="rId45" Type="http://schemas.openxmlformats.org/officeDocument/2006/relationships/hyperlink" Target="https://en.wikipedia.org/wiki/Yin_and_yang" TargetMode="External"/><Relationship Id="rId110" Type="http://schemas.openxmlformats.org/officeDocument/2006/relationships/hyperlink" Target="https://blogs.vmware.com/vsphere/2015/11/vcpu-to-pcpu-ratios-are-they-still-relevant.html" TargetMode="External"/><Relationship Id="rId348" Type="http://schemas.openxmlformats.org/officeDocument/2006/relationships/hyperlink" Target="https://learn.microsoft.com/" TargetMode="External"/><Relationship Id="rId555" Type="http://schemas.openxmlformats.org/officeDocument/2006/relationships/image" Target="media/image346.png"/><Relationship Id="rId762" Type="http://schemas.openxmlformats.org/officeDocument/2006/relationships/image" Target="media/image529.png"/><Relationship Id="rId1185" Type="http://schemas.openxmlformats.org/officeDocument/2006/relationships/image" Target="media/image904.png"/><Relationship Id="rId1392" Type="http://schemas.openxmlformats.org/officeDocument/2006/relationships/hyperlink" Target="https://en.wikipedia.org/wiki/Sun_Microsystems" TargetMode="External"/><Relationship Id="rId194" Type="http://schemas.openxmlformats.org/officeDocument/2006/relationships/hyperlink" Target="https://en.wikipedia.org/wiki/BIOS" TargetMode="External"/><Relationship Id="rId208" Type="http://schemas.openxmlformats.org/officeDocument/2006/relationships/image" Target="media/image105.png"/><Relationship Id="rId415" Type="http://schemas.openxmlformats.org/officeDocument/2006/relationships/image" Target="media/image242.png"/><Relationship Id="rId622" Type="http://schemas.openxmlformats.org/officeDocument/2006/relationships/image" Target="media/image405.png"/><Relationship Id="rId1045" Type="http://schemas.openxmlformats.org/officeDocument/2006/relationships/image" Target="media/image769.png"/><Relationship Id="rId1252" Type="http://schemas.openxmlformats.org/officeDocument/2006/relationships/image" Target="media/image968.png"/><Relationship Id="rId261" Type="http://schemas.openxmlformats.org/officeDocument/2006/relationships/image" Target="media/image142.png"/><Relationship Id="rId499" Type="http://schemas.openxmlformats.org/officeDocument/2006/relationships/image" Target="media/image294.png"/><Relationship Id="rId927" Type="http://schemas.openxmlformats.org/officeDocument/2006/relationships/hyperlink" Target="https://www.linkedin.com/in/hilkolantinga/" TargetMode="External"/><Relationship Id="rId1112" Type="http://schemas.openxmlformats.org/officeDocument/2006/relationships/image" Target="media/image834.png"/><Relationship Id="rId56" Type="http://schemas.openxmlformats.org/officeDocument/2006/relationships/hyperlink" Target="https://www.franklincovey.com/the-7-habits/habit-2/" TargetMode="External"/><Relationship Id="rId359" Type="http://schemas.openxmlformats.org/officeDocument/2006/relationships/hyperlink" Target="https://en.wikipedia.org/wiki/Scheduling_(computing)" TargetMode="External"/><Relationship Id="rId566" Type="http://schemas.openxmlformats.org/officeDocument/2006/relationships/image" Target="media/image354.png"/><Relationship Id="rId773" Type="http://schemas.openxmlformats.org/officeDocument/2006/relationships/image" Target="media/image536.png"/><Relationship Id="rId1196" Type="http://schemas.openxmlformats.org/officeDocument/2006/relationships/image" Target="media/image915.png"/><Relationship Id="rId121" Type="http://schemas.openxmlformats.org/officeDocument/2006/relationships/hyperlink" Target="https://blogs.vmware.com/services-education-insights/services/operations-transformation-services" TargetMode="External"/><Relationship Id="rId219" Type="http://schemas.openxmlformats.org/officeDocument/2006/relationships/hyperlink" Target="https://williamlam.com/2010/08/what-is-vmware-vsish.html" TargetMode="External"/><Relationship Id="rId426" Type="http://schemas.openxmlformats.org/officeDocument/2006/relationships/image" Target="media/image251.png"/><Relationship Id="rId633" Type="http://schemas.openxmlformats.org/officeDocument/2006/relationships/hyperlink" Target="https://blogs.vmware.com/vsphere/author/nhagoort" TargetMode="External"/><Relationship Id="rId980" Type="http://schemas.openxmlformats.org/officeDocument/2006/relationships/image" Target="media/image711.png"/><Relationship Id="rId1056" Type="http://schemas.openxmlformats.org/officeDocument/2006/relationships/image" Target="media/image779.png"/><Relationship Id="rId1263" Type="http://schemas.openxmlformats.org/officeDocument/2006/relationships/image" Target="media/image979.png"/><Relationship Id="rId840" Type="http://schemas.openxmlformats.org/officeDocument/2006/relationships/image" Target="media/image597.png"/><Relationship Id="rId938" Type="http://schemas.openxmlformats.org/officeDocument/2006/relationships/image" Target="media/image676.png"/><Relationship Id="rId67" Type="http://schemas.openxmlformats.org/officeDocument/2006/relationships/hyperlink" Target="https://en.wikipedia.org/wiki/Disaster_recovery" TargetMode="External"/><Relationship Id="rId272" Type="http://schemas.openxmlformats.org/officeDocument/2006/relationships/image" Target="media/image151.png"/><Relationship Id="rId577" Type="http://schemas.openxmlformats.org/officeDocument/2006/relationships/image" Target="media/image364.png"/><Relationship Id="rId700" Type="http://schemas.openxmlformats.org/officeDocument/2006/relationships/image" Target="media/image468.png"/><Relationship Id="rId1123" Type="http://schemas.openxmlformats.org/officeDocument/2006/relationships/image" Target="media/image845.png"/><Relationship Id="rId1330" Type="http://schemas.openxmlformats.org/officeDocument/2006/relationships/image" Target="media/image1044.png"/><Relationship Id="rId132" Type="http://schemas.openxmlformats.org/officeDocument/2006/relationships/image" Target="media/image57.png"/><Relationship Id="rId784" Type="http://schemas.openxmlformats.org/officeDocument/2006/relationships/image" Target="media/image547.png"/><Relationship Id="rId991" Type="http://schemas.openxmlformats.org/officeDocument/2006/relationships/hyperlink" Target="https://code.vmware.com/user/2287325117" TargetMode="External"/><Relationship Id="rId1067" Type="http://schemas.openxmlformats.org/officeDocument/2006/relationships/image" Target="media/image790.png"/><Relationship Id="rId437" Type="http://schemas.openxmlformats.org/officeDocument/2006/relationships/image" Target="media/image260.png"/><Relationship Id="rId644" Type="http://schemas.openxmlformats.org/officeDocument/2006/relationships/image" Target="media/image423.png"/><Relationship Id="rId851" Type="http://schemas.openxmlformats.org/officeDocument/2006/relationships/image" Target="media/image607.png"/><Relationship Id="rId1274" Type="http://schemas.openxmlformats.org/officeDocument/2006/relationships/image" Target="media/image990.png"/><Relationship Id="rId283" Type="http://schemas.openxmlformats.org/officeDocument/2006/relationships/hyperlink" Target="https://en.wikipedia.org/wiki/Advanced_Configuration_and_Power_Interface" TargetMode="External"/><Relationship Id="rId490" Type="http://schemas.openxmlformats.org/officeDocument/2006/relationships/image" Target="media/image287.png"/><Relationship Id="rId504" Type="http://schemas.openxmlformats.org/officeDocument/2006/relationships/hyperlink" Target="https://kb.vmware.com/s/article/85393?lang=en_US" TargetMode="External"/><Relationship Id="rId711" Type="http://schemas.openxmlformats.org/officeDocument/2006/relationships/image" Target="media/image479.png"/><Relationship Id="rId949" Type="http://schemas.openxmlformats.org/officeDocument/2006/relationships/hyperlink" Target="https://techzone.vmware.com/resource/blast-extreme-display-protocol-vmware-horizon-7" TargetMode="External"/><Relationship Id="rId1134" Type="http://schemas.openxmlformats.org/officeDocument/2006/relationships/image" Target="media/image856.png"/><Relationship Id="rId1341" Type="http://schemas.openxmlformats.org/officeDocument/2006/relationships/image" Target="media/image1052.png"/><Relationship Id="rId78" Type="http://schemas.openxmlformats.org/officeDocument/2006/relationships/image" Target="media/image27.png"/><Relationship Id="rId143" Type="http://schemas.openxmlformats.org/officeDocument/2006/relationships/hyperlink" Target="https://en.wikipedia.org/wiki/Mission:_Impossible_(film_series)" TargetMode="External"/><Relationship Id="rId350" Type="http://schemas.openxmlformats.org/officeDocument/2006/relationships/hyperlink" Target="https://docs.microsoft.com/en-us/previous-versions/ms804036(v=msdn.10)?redirectedfrom=MSDN" TargetMode="External"/><Relationship Id="rId588" Type="http://schemas.openxmlformats.org/officeDocument/2006/relationships/image" Target="media/image375.png"/><Relationship Id="rId795" Type="http://schemas.openxmlformats.org/officeDocument/2006/relationships/image" Target="media/image558.png"/><Relationship Id="rId809" Type="http://schemas.openxmlformats.org/officeDocument/2006/relationships/image" Target="media/image572.png"/><Relationship Id="rId1201" Type="http://schemas.openxmlformats.org/officeDocument/2006/relationships/image" Target="media/image920.png"/><Relationship Id="rId9" Type="http://schemas.openxmlformats.org/officeDocument/2006/relationships/image" Target="media/image1.png"/><Relationship Id="rId210" Type="http://schemas.openxmlformats.org/officeDocument/2006/relationships/hyperlink" Target="https://en.wikipedia.org/wiki/OS-level_virtualization" TargetMode="External"/><Relationship Id="rId448" Type="http://schemas.openxmlformats.org/officeDocument/2006/relationships/hyperlink" Target="https://support.microsoft.com/en-us/sbs/windows/troubleshoot-blue-screen-errors-5c62726c-6489-52da-a372-3f73142c14ad" TargetMode="External"/><Relationship Id="rId655" Type="http://schemas.openxmlformats.org/officeDocument/2006/relationships/hyperlink" Target="https://en.wikipedia.org/wiki/Working_set" TargetMode="External"/><Relationship Id="rId862" Type="http://schemas.openxmlformats.org/officeDocument/2006/relationships/hyperlink" Target="https://docs.microsoft.com/en-us/troubleshoot/windows-server/backup-and-storage/support-policy-4k-sector-hard-drives" TargetMode="External"/><Relationship Id="rId1078" Type="http://schemas.openxmlformats.org/officeDocument/2006/relationships/image" Target="media/image801.png"/><Relationship Id="rId1285" Type="http://schemas.openxmlformats.org/officeDocument/2006/relationships/image" Target="media/image1001.png"/><Relationship Id="rId294" Type="http://schemas.openxmlformats.org/officeDocument/2006/relationships/hyperlink" Target="https://www.linkedin.com/in/oulyanov-vmware/" TargetMode="External"/><Relationship Id="rId308" Type="http://schemas.openxmlformats.org/officeDocument/2006/relationships/image" Target="media/image171.png"/><Relationship Id="rId515" Type="http://schemas.openxmlformats.org/officeDocument/2006/relationships/image" Target="media/image308.png"/><Relationship Id="rId722" Type="http://schemas.openxmlformats.org/officeDocument/2006/relationships/image" Target="media/image490.png"/><Relationship Id="rId1145" Type="http://schemas.openxmlformats.org/officeDocument/2006/relationships/image" Target="media/image867.png"/><Relationship Id="rId1352" Type="http://schemas.openxmlformats.org/officeDocument/2006/relationships/image" Target="media/image1060.png"/><Relationship Id="rId89" Type="http://schemas.openxmlformats.org/officeDocument/2006/relationships/image" Target="media/image33.png"/><Relationship Id="rId154" Type="http://schemas.openxmlformats.org/officeDocument/2006/relationships/image" Target="media/image71.png"/><Relationship Id="rId361" Type="http://schemas.openxmlformats.org/officeDocument/2006/relationships/hyperlink" Target="https://www.inf.ed.ac.uk/teaching/courses/os/coursework/lcpusched-fullpage-2x1.pdf" TargetMode="External"/><Relationship Id="rId599" Type="http://schemas.openxmlformats.org/officeDocument/2006/relationships/image" Target="media/image385.png"/><Relationship Id="rId1005" Type="http://schemas.openxmlformats.org/officeDocument/2006/relationships/image" Target="media/image731.png"/><Relationship Id="rId1212" Type="http://schemas.openxmlformats.org/officeDocument/2006/relationships/image" Target="media/image931.png"/><Relationship Id="rId459" Type="http://schemas.openxmlformats.org/officeDocument/2006/relationships/image" Target="media/image271.png"/><Relationship Id="rId666" Type="http://schemas.openxmlformats.org/officeDocument/2006/relationships/image" Target="media/image434.png"/><Relationship Id="rId873" Type="http://schemas.openxmlformats.org/officeDocument/2006/relationships/image" Target="media/image622.png"/><Relationship Id="rId1089" Type="http://schemas.openxmlformats.org/officeDocument/2006/relationships/image" Target="media/image811.png"/><Relationship Id="rId1296" Type="http://schemas.openxmlformats.org/officeDocument/2006/relationships/image" Target="media/image1012.png"/><Relationship Id="rId16" Type="http://schemas.openxmlformats.org/officeDocument/2006/relationships/hyperlink" Target="https://www.vmware.com/asean/solutions/software-defined-datacenter.html" TargetMode="External"/><Relationship Id="rId221" Type="http://schemas.openxmlformats.org/officeDocument/2006/relationships/image" Target="media/image112.png"/><Relationship Id="rId319" Type="http://schemas.openxmlformats.org/officeDocument/2006/relationships/image" Target="media/image181.png"/><Relationship Id="rId526" Type="http://schemas.openxmlformats.org/officeDocument/2006/relationships/hyperlink" Target="https://kb.vmware.com/s/article/59640" TargetMode="External"/><Relationship Id="rId1156" Type="http://schemas.openxmlformats.org/officeDocument/2006/relationships/image" Target="media/image878.png"/><Relationship Id="rId1363" Type="http://schemas.openxmlformats.org/officeDocument/2006/relationships/image" Target="media/image1070.png"/><Relationship Id="rId733" Type="http://schemas.openxmlformats.org/officeDocument/2006/relationships/image" Target="media/image500.png"/><Relationship Id="rId940" Type="http://schemas.openxmlformats.org/officeDocument/2006/relationships/image" Target="media/image678.png"/><Relationship Id="rId1016" Type="http://schemas.openxmlformats.org/officeDocument/2006/relationships/image" Target="media/image741.png"/><Relationship Id="rId165" Type="http://schemas.openxmlformats.org/officeDocument/2006/relationships/image" Target="media/image80.png"/><Relationship Id="rId372" Type="http://schemas.openxmlformats.org/officeDocument/2006/relationships/image" Target="media/image216.png"/><Relationship Id="rId677" Type="http://schemas.openxmlformats.org/officeDocument/2006/relationships/image" Target="media/image445.png"/><Relationship Id="rId800" Type="http://schemas.openxmlformats.org/officeDocument/2006/relationships/image" Target="media/image563.png"/><Relationship Id="rId1223" Type="http://schemas.openxmlformats.org/officeDocument/2006/relationships/image" Target="media/image939.png"/><Relationship Id="rId232" Type="http://schemas.openxmlformats.org/officeDocument/2006/relationships/image" Target="media/image117.png"/><Relationship Id="rId884" Type="http://schemas.openxmlformats.org/officeDocument/2006/relationships/image" Target="media/image628.png"/><Relationship Id="rId27" Type="http://schemas.openxmlformats.org/officeDocument/2006/relationships/hyperlink" Target="https://www.linkedin.com/in/thomas-kopton-618944106/" TargetMode="External"/><Relationship Id="rId537" Type="http://schemas.openxmlformats.org/officeDocument/2006/relationships/image" Target="media/image328.png"/><Relationship Id="rId744" Type="http://schemas.openxmlformats.org/officeDocument/2006/relationships/image" Target="media/image511.png"/><Relationship Id="rId951" Type="http://schemas.openxmlformats.org/officeDocument/2006/relationships/image" Target="media/image687.png"/><Relationship Id="rId1167" Type="http://schemas.openxmlformats.org/officeDocument/2006/relationships/image" Target="media/image889.png"/><Relationship Id="rId1374" Type="http://schemas.openxmlformats.org/officeDocument/2006/relationships/image" Target="media/image1080.png"/><Relationship Id="rId80" Type="http://schemas.openxmlformats.org/officeDocument/2006/relationships/image" Target="media/image28.png"/><Relationship Id="rId176" Type="http://schemas.openxmlformats.org/officeDocument/2006/relationships/image" Target="media/image86.png"/><Relationship Id="rId383" Type="http://schemas.openxmlformats.org/officeDocument/2006/relationships/hyperlink" Target="http://www.zdnet.com/article/windows-7-memory-usage-whats-the-best-way-to-measure/" TargetMode="External"/><Relationship Id="rId590" Type="http://schemas.openxmlformats.org/officeDocument/2006/relationships/image" Target="media/image377.png"/><Relationship Id="rId604" Type="http://schemas.openxmlformats.org/officeDocument/2006/relationships/image" Target="media/image389.png"/><Relationship Id="rId811" Type="http://schemas.openxmlformats.org/officeDocument/2006/relationships/image" Target="media/image574.png"/><Relationship Id="rId1027" Type="http://schemas.openxmlformats.org/officeDocument/2006/relationships/image" Target="media/image751.png"/><Relationship Id="rId1234" Type="http://schemas.openxmlformats.org/officeDocument/2006/relationships/image" Target="media/image950.png"/><Relationship Id="rId243" Type="http://schemas.openxmlformats.org/officeDocument/2006/relationships/hyperlink" Target="https://bravenewgeek.com/about-me/" TargetMode="External"/><Relationship Id="rId450" Type="http://schemas.openxmlformats.org/officeDocument/2006/relationships/image" Target="media/image264.png"/><Relationship Id="rId688" Type="http://schemas.openxmlformats.org/officeDocument/2006/relationships/image" Target="media/image456.png"/><Relationship Id="rId895" Type="http://schemas.openxmlformats.org/officeDocument/2006/relationships/image" Target="media/image639.png"/><Relationship Id="rId909" Type="http://schemas.openxmlformats.org/officeDocument/2006/relationships/image" Target="media/image653.png"/><Relationship Id="rId1080" Type="http://schemas.openxmlformats.org/officeDocument/2006/relationships/image" Target="media/image802.png"/><Relationship Id="rId1301" Type="http://schemas.openxmlformats.org/officeDocument/2006/relationships/image" Target="media/image1017.png"/><Relationship Id="rId38" Type="http://schemas.openxmlformats.org/officeDocument/2006/relationships/image" Target="media/image6.png"/><Relationship Id="rId103" Type="http://schemas.openxmlformats.org/officeDocument/2006/relationships/hyperlink" Target="https://en.wikipedia.org/wiki/Online_transaction_processing" TargetMode="External"/><Relationship Id="rId310" Type="http://schemas.openxmlformats.org/officeDocument/2006/relationships/hyperlink" Target="https://en.wikipedia.org/wiki/VMware_VMFS" TargetMode="External"/><Relationship Id="rId548" Type="http://schemas.openxmlformats.org/officeDocument/2006/relationships/image" Target="media/image339.png"/><Relationship Id="rId755" Type="http://schemas.openxmlformats.org/officeDocument/2006/relationships/image" Target="media/image522.png"/><Relationship Id="rId962" Type="http://schemas.openxmlformats.org/officeDocument/2006/relationships/image" Target="media/image695.png"/><Relationship Id="rId1178" Type="http://schemas.openxmlformats.org/officeDocument/2006/relationships/image" Target="media/image899.png"/><Relationship Id="rId1385" Type="http://schemas.openxmlformats.org/officeDocument/2006/relationships/image" Target="media/image1087.png"/><Relationship Id="rId91" Type="http://schemas.openxmlformats.org/officeDocument/2006/relationships/hyperlink" Target="https://en.wikipedia.org/wiki/SMART_criteria" TargetMode="External"/><Relationship Id="rId187" Type="http://schemas.openxmlformats.org/officeDocument/2006/relationships/image" Target="media/image93.png"/><Relationship Id="rId394" Type="http://schemas.openxmlformats.org/officeDocument/2006/relationships/hyperlink" Target="https://en.wikipedia.org/wiki/Page_fault" TargetMode="External"/><Relationship Id="rId408" Type="http://schemas.openxmlformats.org/officeDocument/2006/relationships/hyperlink" Target="http://brandonlive.com/2010/02/21/measuring-memory-usage-in-windows-7/" TargetMode="External"/><Relationship Id="rId615" Type="http://schemas.openxmlformats.org/officeDocument/2006/relationships/image" Target="media/image398.png"/><Relationship Id="rId822" Type="http://schemas.openxmlformats.org/officeDocument/2006/relationships/image" Target="media/image584.png"/><Relationship Id="rId1038" Type="http://schemas.openxmlformats.org/officeDocument/2006/relationships/image" Target="media/image762.png"/><Relationship Id="rId1245" Type="http://schemas.openxmlformats.org/officeDocument/2006/relationships/image" Target="media/image961.png"/><Relationship Id="rId254" Type="http://schemas.openxmlformats.org/officeDocument/2006/relationships/image" Target="media/image135.png"/><Relationship Id="rId699" Type="http://schemas.openxmlformats.org/officeDocument/2006/relationships/image" Target="media/image467.png"/><Relationship Id="rId1091" Type="http://schemas.openxmlformats.org/officeDocument/2006/relationships/image" Target="media/image813.png"/><Relationship Id="rId1105" Type="http://schemas.openxmlformats.org/officeDocument/2006/relationships/image" Target="media/image827.png"/><Relationship Id="rId1312" Type="http://schemas.openxmlformats.org/officeDocument/2006/relationships/image" Target="media/image1027.png"/><Relationship Id="rId49" Type="http://schemas.openxmlformats.org/officeDocument/2006/relationships/hyperlink" Target="https://en.wikipedia.org/wiki/VMware_VMFS" TargetMode="External"/><Relationship Id="rId114" Type="http://schemas.openxmlformats.org/officeDocument/2006/relationships/image" Target="media/image46.png"/><Relationship Id="rId461" Type="http://schemas.openxmlformats.org/officeDocument/2006/relationships/hyperlink" Target="https://www.bogotobogo.com/Linux/linux_process_and_signals.php" TargetMode="External"/><Relationship Id="rId559" Type="http://schemas.openxmlformats.org/officeDocument/2006/relationships/image" Target="media/image348.png"/><Relationship Id="rId766" Type="http://schemas.openxmlformats.org/officeDocument/2006/relationships/image" Target="media/image533.png"/><Relationship Id="rId1189" Type="http://schemas.openxmlformats.org/officeDocument/2006/relationships/image" Target="media/image908.png"/><Relationship Id="rId1396" Type="http://schemas.openxmlformats.org/officeDocument/2006/relationships/hyperlink" Target="https://bond.edu.au/" TargetMode="External"/><Relationship Id="rId198" Type="http://schemas.openxmlformats.org/officeDocument/2006/relationships/image" Target="media/image98.png"/><Relationship Id="rId321" Type="http://schemas.openxmlformats.org/officeDocument/2006/relationships/image" Target="media/image183.png"/><Relationship Id="rId419" Type="http://schemas.openxmlformats.org/officeDocument/2006/relationships/image" Target="media/image244.png"/><Relationship Id="rId626" Type="http://schemas.openxmlformats.org/officeDocument/2006/relationships/hyperlink" Target="https://communities.vmware.com/t5/VMware-vSphere-Discussions/Limit-on-network-packets-per-second-for-VMs/td-p/2312644" TargetMode="External"/><Relationship Id="rId973" Type="http://schemas.openxmlformats.org/officeDocument/2006/relationships/hyperlink" Target="https://kb.vmware.com/s/article/340" TargetMode="External"/><Relationship Id="rId1049" Type="http://schemas.openxmlformats.org/officeDocument/2006/relationships/image" Target="media/image773.png"/><Relationship Id="rId1256" Type="http://schemas.openxmlformats.org/officeDocument/2006/relationships/image" Target="media/image972.png"/><Relationship Id="rId833" Type="http://schemas.openxmlformats.org/officeDocument/2006/relationships/hyperlink" Target="https://communities.vmware.com/t5/Storage-Performance/Interpreting-esxtop-4-1-Statistics/ta-p/2786881" TargetMode="External"/><Relationship Id="rId1116" Type="http://schemas.openxmlformats.org/officeDocument/2006/relationships/image" Target="media/image838.png"/><Relationship Id="rId265" Type="http://schemas.openxmlformats.org/officeDocument/2006/relationships/image" Target="media/image146.png"/><Relationship Id="rId472" Type="http://schemas.openxmlformats.org/officeDocument/2006/relationships/image" Target="media/image275.png"/><Relationship Id="rId900" Type="http://schemas.openxmlformats.org/officeDocument/2006/relationships/image" Target="media/image644.png"/><Relationship Id="rId1323" Type="http://schemas.openxmlformats.org/officeDocument/2006/relationships/image" Target="media/image1037.png"/><Relationship Id="rId125" Type="http://schemas.openxmlformats.org/officeDocument/2006/relationships/hyperlink" Target="https://en.wikipedia.org/wiki/Context_switch" TargetMode="External"/><Relationship Id="rId332" Type="http://schemas.openxmlformats.org/officeDocument/2006/relationships/hyperlink" Target="https://blog.ipspace.net/2019/05/real-life-data-center-meltdown.html" TargetMode="External"/><Relationship Id="rId777" Type="http://schemas.openxmlformats.org/officeDocument/2006/relationships/image" Target="media/image540.png"/><Relationship Id="rId984" Type="http://schemas.openxmlformats.org/officeDocument/2006/relationships/image" Target="media/image715.png"/><Relationship Id="rId637" Type="http://schemas.openxmlformats.org/officeDocument/2006/relationships/image" Target="media/image416.png"/><Relationship Id="rId844" Type="http://schemas.openxmlformats.org/officeDocument/2006/relationships/image" Target="media/image600.png"/><Relationship Id="rId1267" Type="http://schemas.openxmlformats.org/officeDocument/2006/relationships/image" Target="media/image983.png"/><Relationship Id="rId276" Type="http://schemas.openxmlformats.org/officeDocument/2006/relationships/image" Target="media/image154.png"/><Relationship Id="rId483" Type="http://schemas.openxmlformats.org/officeDocument/2006/relationships/image" Target="media/image280.png"/><Relationship Id="rId690" Type="http://schemas.openxmlformats.org/officeDocument/2006/relationships/image" Target="media/image458.png"/><Relationship Id="rId704" Type="http://schemas.openxmlformats.org/officeDocument/2006/relationships/image" Target="media/image472.png"/><Relationship Id="rId911" Type="http://schemas.openxmlformats.org/officeDocument/2006/relationships/image" Target="media/image655.png"/><Relationship Id="rId1127" Type="http://schemas.openxmlformats.org/officeDocument/2006/relationships/image" Target="media/image849.png"/><Relationship Id="rId1334" Type="http://schemas.openxmlformats.org/officeDocument/2006/relationships/image" Target="media/image1046.png"/><Relationship Id="rId40" Type="http://schemas.openxmlformats.org/officeDocument/2006/relationships/image" Target="media/image7.png"/><Relationship Id="rId136" Type="http://schemas.openxmlformats.org/officeDocument/2006/relationships/hyperlink" Target="https://blogs.vmware.com/vsphere/2020/03/vsphere-7-vmotion-enhancements.html" TargetMode="External"/><Relationship Id="rId343" Type="http://schemas.openxmlformats.org/officeDocument/2006/relationships/hyperlink" Target="https://en.wikipedia.org/wiki/Ping_(networking_utility)" TargetMode="External"/><Relationship Id="rId550" Type="http://schemas.openxmlformats.org/officeDocument/2006/relationships/image" Target="media/image341.png"/><Relationship Id="rId788" Type="http://schemas.openxmlformats.org/officeDocument/2006/relationships/image" Target="media/image551.png"/><Relationship Id="rId995" Type="http://schemas.openxmlformats.org/officeDocument/2006/relationships/image" Target="media/image723.png"/><Relationship Id="rId1180" Type="http://schemas.openxmlformats.org/officeDocument/2006/relationships/image" Target="media/image901.png"/><Relationship Id="rId1401" Type="http://schemas.openxmlformats.org/officeDocument/2006/relationships/header" Target="header2.xml"/><Relationship Id="rId203" Type="http://schemas.openxmlformats.org/officeDocument/2006/relationships/image" Target="media/image102.png"/><Relationship Id="rId648" Type="http://schemas.openxmlformats.org/officeDocument/2006/relationships/image" Target="media/image426.png"/><Relationship Id="rId855" Type="http://schemas.openxmlformats.org/officeDocument/2006/relationships/image" Target="media/image611.png"/><Relationship Id="rId1040" Type="http://schemas.openxmlformats.org/officeDocument/2006/relationships/image" Target="media/image764.png"/><Relationship Id="rId1278" Type="http://schemas.openxmlformats.org/officeDocument/2006/relationships/image" Target="media/image994.png"/><Relationship Id="rId287" Type="http://schemas.openxmlformats.org/officeDocument/2006/relationships/hyperlink" Target="https://www.linkedin.com/in/ranjan-h-199b9ab2/" TargetMode="External"/><Relationship Id="rId410" Type="http://schemas.openxmlformats.org/officeDocument/2006/relationships/hyperlink" Target="https://blogs.technet.microsoft.com/markrussinovich/2008/11/17/pushing-the-limits-of-windows-virtual-memory/" TargetMode="External"/><Relationship Id="rId494" Type="http://schemas.openxmlformats.org/officeDocument/2006/relationships/image" Target="media/image290.png"/><Relationship Id="rId508" Type="http://schemas.openxmlformats.org/officeDocument/2006/relationships/image" Target="media/image301.png"/><Relationship Id="rId715" Type="http://schemas.openxmlformats.org/officeDocument/2006/relationships/image" Target="media/image483.png"/><Relationship Id="rId922" Type="http://schemas.openxmlformats.org/officeDocument/2006/relationships/image" Target="media/image662.png"/><Relationship Id="rId1138" Type="http://schemas.openxmlformats.org/officeDocument/2006/relationships/image" Target="media/image860.png"/><Relationship Id="rId1345" Type="http://schemas.openxmlformats.org/officeDocument/2006/relationships/hyperlink" Target="https://book.systemsapproach.org/foundation/performance.html" TargetMode="External"/><Relationship Id="rId147" Type="http://schemas.openxmlformats.org/officeDocument/2006/relationships/image" Target="media/image66.png"/><Relationship Id="rId354" Type="http://schemas.openxmlformats.org/officeDocument/2006/relationships/image" Target="media/image203.png"/><Relationship Id="rId799" Type="http://schemas.openxmlformats.org/officeDocument/2006/relationships/image" Target="media/image562.png"/><Relationship Id="rId1191" Type="http://schemas.openxmlformats.org/officeDocument/2006/relationships/image" Target="media/image910.png"/><Relationship Id="rId1205" Type="http://schemas.openxmlformats.org/officeDocument/2006/relationships/image" Target="media/image924.png"/><Relationship Id="rId51" Type="http://schemas.openxmlformats.org/officeDocument/2006/relationships/image" Target="media/image12.png"/><Relationship Id="rId561" Type="http://schemas.openxmlformats.org/officeDocument/2006/relationships/image" Target="media/image350.png"/><Relationship Id="rId659" Type="http://schemas.openxmlformats.org/officeDocument/2006/relationships/hyperlink" Target="https://frankdenneman.nl/" TargetMode="External"/><Relationship Id="rId866" Type="http://schemas.openxmlformats.org/officeDocument/2006/relationships/hyperlink" Target="https://www.linkedin.com/in/andreas-lesslhumer-2bb2725b/" TargetMode="External"/><Relationship Id="rId1289" Type="http://schemas.openxmlformats.org/officeDocument/2006/relationships/image" Target="media/image1005.png"/><Relationship Id="rId214" Type="http://schemas.openxmlformats.org/officeDocument/2006/relationships/hyperlink" Target="https://link.springer.com/chapter/10.1007%2F978-3-642-29737-3_26" TargetMode="External"/><Relationship Id="rId298" Type="http://schemas.openxmlformats.org/officeDocument/2006/relationships/hyperlink" Target="https://www.vmware.com/techpapers/2006/resource-management-with-vmware-drs-401.html" TargetMode="External"/><Relationship Id="rId421" Type="http://schemas.openxmlformats.org/officeDocument/2006/relationships/image" Target="media/image246.png"/><Relationship Id="rId519" Type="http://schemas.openxmlformats.org/officeDocument/2006/relationships/image" Target="media/image312.png"/><Relationship Id="rId1051" Type="http://schemas.openxmlformats.org/officeDocument/2006/relationships/image" Target="media/image775.png"/><Relationship Id="rId1149" Type="http://schemas.openxmlformats.org/officeDocument/2006/relationships/image" Target="media/image871.png"/><Relationship Id="rId1356" Type="http://schemas.openxmlformats.org/officeDocument/2006/relationships/image" Target="media/image1063.png"/><Relationship Id="rId158" Type="http://schemas.openxmlformats.org/officeDocument/2006/relationships/image" Target="media/image74.png"/><Relationship Id="rId726" Type="http://schemas.openxmlformats.org/officeDocument/2006/relationships/image" Target="media/image494.png"/><Relationship Id="rId933" Type="http://schemas.openxmlformats.org/officeDocument/2006/relationships/image" Target="media/image671.png"/><Relationship Id="rId1009" Type="http://schemas.openxmlformats.org/officeDocument/2006/relationships/image" Target="media/image735.png"/><Relationship Id="rId62" Type="http://schemas.openxmlformats.org/officeDocument/2006/relationships/image" Target="media/image16.png"/><Relationship Id="rId365" Type="http://schemas.openxmlformats.org/officeDocument/2006/relationships/image" Target="media/image209.png"/><Relationship Id="rId572" Type="http://schemas.openxmlformats.org/officeDocument/2006/relationships/image" Target="media/image360.png"/><Relationship Id="rId1216" Type="http://schemas.openxmlformats.org/officeDocument/2006/relationships/image" Target="media/image933.png"/><Relationship Id="rId225" Type="http://schemas.openxmlformats.org/officeDocument/2006/relationships/image" Target="media/image115.png"/><Relationship Id="rId432" Type="http://schemas.openxmlformats.org/officeDocument/2006/relationships/image" Target="media/image257.png"/><Relationship Id="rId877" Type="http://schemas.openxmlformats.org/officeDocument/2006/relationships/hyperlink" Target="https://www.linkedin.com/in/shobycherian/" TargetMode="External"/><Relationship Id="rId1062" Type="http://schemas.openxmlformats.org/officeDocument/2006/relationships/image" Target="media/image785.png"/><Relationship Id="rId737" Type="http://schemas.openxmlformats.org/officeDocument/2006/relationships/image" Target="media/image504.png"/><Relationship Id="rId944" Type="http://schemas.openxmlformats.org/officeDocument/2006/relationships/image" Target="media/image682.png"/><Relationship Id="rId1367" Type="http://schemas.openxmlformats.org/officeDocument/2006/relationships/image" Target="media/image1074.png"/><Relationship Id="rId73" Type="http://schemas.openxmlformats.org/officeDocument/2006/relationships/image" Target="media/image24.png"/><Relationship Id="rId169" Type="http://schemas.openxmlformats.org/officeDocument/2006/relationships/image" Target="media/image83.png"/><Relationship Id="rId376" Type="http://schemas.openxmlformats.org/officeDocument/2006/relationships/hyperlink" Target="https://docs.microsoft.com/en-us/troubleshoot/windows-client/performance/cpu-usage-exceeds-100" TargetMode="External"/><Relationship Id="rId583" Type="http://schemas.openxmlformats.org/officeDocument/2006/relationships/image" Target="media/image370.png"/><Relationship Id="rId790" Type="http://schemas.openxmlformats.org/officeDocument/2006/relationships/image" Target="media/image553.png"/><Relationship Id="rId804" Type="http://schemas.openxmlformats.org/officeDocument/2006/relationships/image" Target="media/image567.png"/><Relationship Id="rId1227" Type="http://schemas.openxmlformats.org/officeDocument/2006/relationships/image" Target="media/image943.png"/><Relationship Id="rId4" Type="http://schemas.openxmlformats.org/officeDocument/2006/relationships/styles" Target="styles.xml"/><Relationship Id="rId236" Type="http://schemas.openxmlformats.org/officeDocument/2006/relationships/image" Target="media/image121.png"/><Relationship Id="rId443" Type="http://schemas.openxmlformats.org/officeDocument/2006/relationships/hyperlink" Target="https://www.nirsoft.net/utils/application_crash_report.html" TargetMode="External"/><Relationship Id="rId650" Type="http://schemas.openxmlformats.org/officeDocument/2006/relationships/hyperlink" Target="https://www.sciencedirect.com/topics/computer-science/hardware-abstraction-layer" TargetMode="External"/><Relationship Id="rId888" Type="http://schemas.openxmlformats.org/officeDocument/2006/relationships/image" Target="media/image632.png"/><Relationship Id="rId1073" Type="http://schemas.openxmlformats.org/officeDocument/2006/relationships/image" Target="media/image796.png"/><Relationship Id="rId1280" Type="http://schemas.openxmlformats.org/officeDocument/2006/relationships/image" Target="media/image996.png"/><Relationship Id="rId303" Type="http://schemas.openxmlformats.org/officeDocument/2006/relationships/image" Target="media/image167.png"/><Relationship Id="rId748" Type="http://schemas.openxmlformats.org/officeDocument/2006/relationships/image" Target="media/image515.png"/><Relationship Id="rId955" Type="http://schemas.openxmlformats.org/officeDocument/2006/relationships/image" Target="media/image691.png"/><Relationship Id="rId1140" Type="http://schemas.openxmlformats.org/officeDocument/2006/relationships/image" Target="media/image862.png"/><Relationship Id="rId1378" Type="http://schemas.openxmlformats.org/officeDocument/2006/relationships/image" Target="media/image1083.png"/><Relationship Id="rId84" Type="http://schemas.openxmlformats.org/officeDocument/2006/relationships/hyperlink" Target="https://en.wikipedia.org/wiki/IT_service_management" TargetMode="External"/><Relationship Id="rId387" Type="http://schemas.openxmlformats.org/officeDocument/2006/relationships/image" Target="media/image225.png"/><Relationship Id="rId510" Type="http://schemas.openxmlformats.org/officeDocument/2006/relationships/image" Target="media/image303.png"/><Relationship Id="rId594" Type="http://schemas.openxmlformats.org/officeDocument/2006/relationships/image" Target="media/image381.png"/><Relationship Id="rId608" Type="http://schemas.openxmlformats.org/officeDocument/2006/relationships/image" Target="media/image391.png"/><Relationship Id="rId815" Type="http://schemas.openxmlformats.org/officeDocument/2006/relationships/image" Target="media/image578.png"/><Relationship Id="rId1238" Type="http://schemas.openxmlformats.org/officeDocument/2006/relationships/image" Target="media/image954.png"/><Relationship Id="rId247" Type="http://schemas.openxmlformats.org/officeDocument/2006/relationships/image" Target="media/image129.png"/><Relationship Id="rId899" Type="http://schemas.openxmlformats.org/officeDocument/2006/relationships/image" Target="media/image643.png"/><Relationship Id="rId1000" Type="http://schemas.openxmlformats.org/officeDocument/2006/relationships/image" Target="media/image728.png"/><Relationship Id="rId1084" Type="http://schemas.openxmlformats.org/officeDocument/2006/relationships/image" Target="media/image806.png"/><Relationship Id="rId1305" Type="http://schemas.openxmlformats.org/officeDocument/2006/relationships/image" Target="media/image1021.png"/><Relationship Id="rId107" Type="http://schemas.openxmlformats.org/officeDocument/2006/relationships/image" Target="media/image41.png"/><Relationship Id="rId454" Type="http://schemas.openxmlformats.org/officeDocument/2006/relationships/image" Target="media/image268.png"/><Relationship Id="rId661" Type="http://schemas.openxmlformats.org/officeDocument/2006/relationships/image" Target="media/image429.png"/><Relationship Id="rId759" Type="http://schemas.openxmlformats.org/officeDocument/2006/relationships/image" Target="media/image526.png"/><Relationship Id="rId966" Type="http://schemas.openxmlformats.org/officeDocument/2006/relationships/image" Target="media/image698.png"/><Relationship Id="rId1291" Type="http://schemas.openxmlformats.org/officeDocument/2006/relationships/image" Target="media/image1007.png"/><Relationship Id="rId1389" Type="http://schemas.openxmlformats.org/officeDocument/2006/relationships/hyperlink" Target="https://www.ipspace.net/About_Ivan_Pepelnjak" TargetMode="External"/><Relationship Id="rId11" Type="http://schemas.openxmlformats.org/officeDocument/2006/relationships/hyperlink" Target="https://www.youtube.com/watch?v=5KNb8r5mqNg" TargetMode="External"/><Relationship Id="rId314" Type="http://schemas.openxmlformats.org/officeDocument/2006/relationships/image" Target="media/image176.png"/><Relationship Id="rId398" Type="http://schemas.openxmlformats.org/officeDocument/2006/relationships/image" Target="media/image232.png"/><Relationship Id="rId521" Type="http://schemas.openxmlformats.org/officeDocument/2006/relationships/image" Target="media/image314.png"/><Relationship Id="rId619" Type="http://schemas.openxmlformats.org/officeDocument/2006/relationships/image" Target="media/image402.png"/><Relationship Id="rId1151" Type="http://schemas.openxmlformats.org/officeDocument/2006/relationships/image" Target="media/image873.png"/><Relationship Id="rId1249" Type="http://schemas.openxmlformats.org/officeDocument/2006/relationships/image" Target="media/image965.png"/><Relationship Id="rId95" Type="http://schemas.openxmlformats.org/officeDocument/2006/relationships/hyperlink" Target="https://en.wikipedia.org/wiki/Standard_operating_procedure" TargetMode="External"/><Relationship Id="rId160" Type="http://schemas.openxmlformats.org/officeDocument/2006/relationships/image" Target="media/image76.png"/><Relationship Id="rId826" Type="http://schemas.openxmlformats.org/officeDocument/2006/relationships/image" Target="media/image588.png"/><Relationship Id="rId1011" Type="http://schemas.openxmlformats.org/officeDocument/2006/relationships/hyperlink" Target="https://www.linkedin.com/in/robert-mesropyan/" TargetMode="External"/><Relationship Id="rId1109" Type="http://schemas.openxmlformats.org/officeDocument/2006/relationships/image" Target="media/image831.png"/><Relationship Id="rId258" Type="http://schemas.openxmlformats.org/officeDocument/2006/relationships/image" Target="media/image139.png"/><Relationship Id="rId465" Type="http://schemas.openxmlformats.org/officeDocument/2006/relationships/image" Target="media/image273.png"/><Relationship Id="rId672" Type="http://schemas.openxmlformats.org/officeDocument/2006/relationships/image" Target="media/image440.png"/><Relationship Id="rId1095" Type="http://schemas.openxmlformats.org/officeDocument/2006/relationships/image" Target="media/image817.png"/><Relationship Id="rId1316" Type="http://schemas.openxmlformats.org/officeDocument/2006/relationships/image" Target="media/image1031.png"/><Relationship Id="rId22" Type="http://schemas.openxmlformats.org/officeDocument/2006/relationships/hyperlink" Target="https://www.vmwareopsguide.com/dashboards/chapter-8-true-visibility-suite-dashboards/" TargetMode="External"/><Relationship Id="rId118" Type="http://schemas.openxmlformats.org/officeDocument/2006/relationships/image" Target="media/image49.png"/><Relationship Id="rId325" Type="http://schemas.openxmlformats.org/officeDocument/2006/relationships/image" Target="media/image187.png"/><Relationship Id="rId532" Type="http://schemas.openxmlformats.org/officeDocument/2006/relationships/image" Target="media/image324.png"/><Relationship Id="rId977" Type="http://schemas.openxmlformats.org/officeDocument/2006/relationships/image" Target="media/image708.png"/><Relationship Id="rId1162" Type="http://schemas.openxmlformats.org/officeDocument/2006/relationships/image" Target="media/image884.png"/><Relationship Id="rId171" Type="http://schemas.openxmlformats.org/officeDocument/2006/relationships/hyperlink" Target="http://www.patrickkremer.com/save-money-using-vsan-unmap-trim-in-vmware-cloud-on-aws/" TargetMode="External"/><Relationship Id="rId837" Type="http://schemas.openxmlformats.org/officeDocument/2006/relationships/image" Target="media/image595.png"/><Relationship Id="rId1022" Type="http://schemas.openxmlformats.org/officeDocument/2006/relationships/image" Target="media/image746.png"/><Relationship Id="rId269" Type="http://schemas.openxmlformats.org/officeDocument/2006/relationships/hyperlink" Target="https://device.harmonyos.com/en/docs/develop/kernel/oem_kernal_user_process-0000001050032733" TargetMode="External"/><Relationship Id="rId476" Type="http://schemas.openxmlformats.org/officeDocument/2006/relationships/hyperlink" Target="https://docs.microsoft.com/en-us/windows/desktop/api/memoryapi/nf-memoryapi-getlargepageminimum" TargetMode="External"/><Relationship Id="rId683" Type="http://schemas.openxmlformats.org/officeDocument/2006/relationships/image" Target="media/image451.png"/><Relationship Id="rId890" Type="http://schemas.openxmlformats.org/officeDocument/2006/relationships/image" Target="media/image634.png"/><Relationship Id="rId904" Type="http://schemas.openxmlformats.org/officeDocument/2006/relationships/image" Target="media/image648.png"/><Relationship Id="rId1327" Type="http://schemas.openxmlformats.org/officeDocument/2006/relationships/image" Target="media/image1041.png"/><Relationship Id="rId33" Type="http://schemas.openxmlformats.org/officeDocument/2006/relationships/hyperlink" Target="https://www.vmware.com/content/dam/digitalmarketing/vmware/en/pdf/files/pdf/services/vmware-operations-transformation-services.pdf" TargetMode="External"/><Relationship Id="rId129" Type="http://schemas.openxmlformats.org/officeDocument/2006/relationships/image" Target="media/image54.png"/><Relationship Id="rId336" Type="http://schemas.openxmlformats.org/officeDocument/2006/relationships/hyperlink" Target="https://www.vmware.com/asean/products/vsphere/remote-office-branch-office.html" TargetMode="External"/><Relationship Id="rId543" Type="http://schemas.openxmlformats.org/officeDocument/2006/relationships/image" Target="media/image334.png"/><Relationship Id="rId988" Type="http://schemas.openxmlformats.org/officeDocument/2006/relationships/image" Target="media/image718.png"/><Relationship Id="rId1173" Type="http://schemas.openxmlformats.org/officeDocument/2006/relationships/image" Target="media/image894.png"/><Relationship Id="rId1380" Type="http://schemas.openxmlformats.org/officeDocument/2006/relationships/image" Target="media/image1085.png"/><Relationship Id="rId182" Type="http://schemas.openxmlformats.org/officeDocument/2006/relationships/image" Target="media/image88.png"/><Relationship Id="rId403" Type="http://schemas.openxmlformats.org/officeDocument/2006/relationships/image" Target="media/image236.png"/><Relationship Id="rId750" Type="http://schemas.openxmlformats.org/officeDocument/2006/relationships/image" Target="media/image517.png"/><Relationship Id="rId848" Type="http://schemas.openxmlformats.org/officeDocument/2006/relationships/image" Target="media/image604.png"/><Relationship Id="rId1033" Type="http://schemas.openxmlformats.org/officeDocument/2006/relationships/image" Target="media/image757.png"/><Relationship Id="rId487" Type="http://schemas.openxmlformats.org/officeDocument/2006/relationships/image" Target="media/image284.png"/><Relationship Id="rId610" Type="http://schemas.openxmlformats.org/officeDocument/2006/relationships/image" Target="media/image393.png"/><Relationship Id="rId694" Type="http://schemas.openxmlformats.org/officeDocument/2006/relationships/image" Target="media/image462.png"/><Relationship Id="rId708" Type="http://schemas.openxmlformats.org/officeDocument/2006/relationships/image" Target="media/image476.png"/><Relationship Id="rId915" Type="http://schemas.openxmlformats.org/officeDocument/2006/relationships/image" Target="media/image657.png"/><Relationship Id="rId1240" Type="http://schemas.openxmlformats.org/officeDocument/2006/relationships/image" Target="media/image956.png"/><Relationship Id="rId1338" Type="http://schemas.openxmlformats.org/officeDocument/2006/relationships/hyperlink" Target="https://en.wikipedia.org/wiki/Significant_figures" TargetMode="External"/><Relationship Id="rId347" Type="http://schemas.openxmlformats.org/officeDocument/2006/relationships/hyperlink" Target="https://docs.microsoft.com/en-us/learn/modules/monitor-windows-server-performance/2-use-performance-monitor-to-identify-performance-problems" TargetMode="External"/><Relationship Id="rId999" Type="http://schemas.openxmlformats.org/officeDocument/2006/relationships/image" Target="media/image727.png"/><Relationship Id="rId1100" Type="http://schemas.openxmlformats.org/officeDocument/2006/relationships/image" Target="media/image822.png"/><Relationship Id="rId1184" Type="http://schemas.openxmlformats.org/officeDocument/2006/relationships/hyperlink" Target="https://code.vmware.com/user/2287325117" TargetMode="External"/><Relationship Id="rId44" Type="http://schemas.openxmlformats.org/officeDocument/2006/relationships/image" Target="media/image9.png"/><Relationship Id="rId554" Type="http://schemas.openxmlformats.org/officeDocument/2006/relationships/image" Target="media/image345.png"/><Relationship Id="rId761" Type="http://schemas.openxmlformats.org/officeDocument/2006/relationships/image" Target="media/image528.png"/><Relationship Id="rId859" Type="http://schemas.openxmlformats.org/officeDocument/2006/relationships/image" Target="media/image615.png"/><Relationship Id="rId1391" Type="http://schemas.openxmlformats.org/officeDocument/2006/relationships/hyperlink" Target="http://blog.ipspace.net/2015/11/1000-vm-per-rack-is-perfectly-realistic.html" TargetMode="External"/><Relationship Id="rId193" Type="http://schemas.openxmlformats.org/officeDocument/2006/relationships/hyperlink" Target="https://kb.vmware.com/s/article/340" TargetMode="External"/><Relationship Id="rId207" Type="http://schemas.openxmlformats.org/officeDocument/2006/relationships/hyperlink" Target="https://docs.microsoft.com/en-us/sysinternals/" TargetMode="External"/><Relationship Id="rId414" Type="http://schemas.openxmlformats.org/officeDocument/2006/relationships/hyperlink" Target="http://www.appadmintools.com/documents/windows-performance-counters-explained/" TargetMode="External"/><Relationship Id="rId498" Type="http://schemas.openxmlformats.org/officeDocument/2006/relationships/image" Target="media/image293.png"/><Relationship Id="rId621" Type="http://schemas.openxmlformats.org/officeDocument/2006/relationships/image" Target="media/image404.png"/><Relationship Id="rId1044" Type="http://schemas.openxmlformats.org/officeDocument/2006/relationships/image" Target="media/image768.png"/><Relationship Id="rId1251" Type="http://schemas.openxmlformats.org/officeDocument/2006/relationships/image" Target="media/image967.png"/><Relationship Id="rId1349" Type="http://schemas.openxmlformats.org/officeDocument/2006/relationships/image" Target="media/image1057.png"/><Relationship Id="rId260" Type="http://schemas.openxmlformats.org/officeDocument/2006/relationships/image" Target="media/image141.png"/><Relationship Id="rId719" Type="http://schemas.openxmlformats.org/officeDocument/2006/relationships/image" Target="media/image487.png"/><Relationship Id="rId926" Type="http://schemas.openxmlformats.org/officeDocument/2006/relationships/hyperlink" Target="https://www.cisco.com/E-Learning/bulk/public/tac/cim/cib/using_cisco_ios_software/07_basic_commands_tasks.htm" TargetMode="External"/><Relationship Id="rId1111" Type="http://schemas.openxmlformats.org/officeDocument/2006/relationships/image" Target="media/image833.png"/><Relationship Id="rId55" Type="http://schemas.openxmlformats.org/officeDocument/2006/relationships/hyperlink" Target="https://en.wikipedia.org/wiki/Hyper-converged_infrastructure" TargetMode="External"/><Relationship Id="rId120" Type="http://schemas.openxmlformats.org/officeDocument/2006/relationships/hyperlink" Target="https://blogs.vmware.com/services-education-insights/2020/05/getting-started-with-kpis-and-metrics-part-1-their-importance-and-value.html" TargetMode="External"/><Relationship Id="rId358" Type="http://schemas.openxmlformats.org/officeDocument/2006/relationships/hyperlink" Target="https://en.wikipedia.org/wiki/Context_switch" TargetMode="External"/><Relationship Id="rId565" Type="http://schemas.openxmlformats.org/officeDocument/2006/relationships/image" Target="media/image353.png"/><Relationship Id="rId772" Type="http://schemas.openxmlformats.org/officeDocument/2006/relationships/image" Target="media/image535.png"/><Relationship Id="rId1195" Type="http://schemas.openxmlformats.org/officeDocument/2006/relationships/image" Target="media/image914.png"/><Relationship Id="rId1209" Type="http://schemas.openxmlformats.org/officeDocument/2006/relationships/image" Target="media/image928.png"/><Relationship Id="rId218" Type="http://schemas.openxmlformats.org/officeDocument/2006/relationships/image" Target="media/image110.png"/><Relationship Id="rId425" Type="http://schemas.openxmlformats.org/officeDocument/2006/relationships/image" Target="media/image250.png"/><Relationship Id="rId632" Type="http://schemas.openxmlformats.org/officeDocument/2006/relationships/image" Target="media/image413.png"/><Relationship Id="rId1055" Type="http://schemas.openxmlformats.org/officeDocument/2006/relationships/image" Target="media/image778.png"/><Relationship Id="rId1262" Type="http://schemas.openxmlformats.org/officeDocument/2006/relationships/image" Target="media/image978.png"/><Relationship Id="rId271" Type="http://schemas.openxmlformats.org/officeDocument/2006/relationships/image" Target="media/image150.png"/><Relationship Id="rId937" Type="http://schemas.openxmlformats.org/officeDocument/2006/relationships/image" Target="media/image675.png"/><Relationship Id="rId1122" Type="http://schemas.openxmlformats.org/officeDocument/2006/relationships/image" Target="media/image844.png"/><Relationship Id="rId66" Type="http://schemas.openxmlformats.org/officeDocument/2006/relationships/image" Target="media/image18.png"/><Relationship Id="rId131" Type="http://schemas.openxmlformats.org/officeDocument/2006/relationships/image" Target="media/image56.png"/><Relationship Id="rId369" Type="http://schemas.openxmlformats.org/officeDocument/2006/relationships/image" Target="media/image213.png"/><Relationship Id="rId576" Type="http://schemas.openxmlformats.org/officeDocument/2006/relationships/hyperlink" Target="https://kb.vmware.com/s/article/2150017" TargetMode="External"/><Relationship Id="rId783" Type="http://schemas.openxmlformats.org/officeDocument/2006/relationships/image" Target="media/image546.png"/><Relationship Id="rId990" Type="http://schemas.openxmlformats.org/officeDocument/2006/relationships/hyperlink" Target="https://www.linkedin.com/in/dale-hassinger-5712301b/" TargetMode="External"/><Relationship Id="rId229" Type="http://schemas.openxmlformats.org/officeDocument/2006/relationships/hyperlink" Target="https://physics.nist.gov/cuu/Units/prefixes.html" TargetMode="External"/><Relationship Id="rId436" Type="http://schemas.openxmlformats.org/officeDocument/2006/relationships/hyperlink" Target="https://learn.microsoft.com/en-us/windows-hardware/drivers/network/overview-of-receive-segment-coalescing" TargetMode="External"/><Relationship Id="rId643" Type="http://schemas.openxmlformats.org/officeDocument/2006/relationships/image" Target="media/image422.png"/><Relationship Id="rId1066" Type="http://schemas.openxmlformats.org/officeDocument/2006/relationships/image" Target="media/image789.png"/><Relationship Id="rId1273" Type="http://schemas.openxmlformats.org/officeDocument/2006/relationships/image" Target="media/image989.png"/><Relationship Id="rId850" Type="http://schemas.openxmlformats.org/officeDocument/2006/relationships/image" Target="media/image606.png"/><Relationship Id="rId948" Type="http://schemas.openxmlformats.org/officeDocument/2006/relationships/image" Target="media/image686.png"/><Relationship Id="rId1133" Type="http://schemas.openxmlformats.org/officeDocument/2006/relationships/image" Target="media/image855.png"/><Relationship Id="rId77" Type="http://schemas.openxmlformats.org/officeDocument/2006/relationships/image" Target="media/image26.png"/><Relationship Id="rId282" Type="http://schemas.openxmlformats.org/officeDocument/2006/relationships/hyperlink" Target="https://en.wikipedia.org/wiki/Non-uniform_memory_access" TargetMode="External"/><Relationship Id="rId503" Type="http://schemas.openxmlformats.org/officeDocument/2006/relationships/image" Target="media/image297.png"/><Relationship Id="rId587" Type="http://schemas.openxmlformats.org/officeDocument/2006/relationships/image" Target="media/image374.png"/><Relationship Id="rId710" Type="http://schemas.openxmlformats.org/officeDocument/2006/relationships/image" Target="media/image478.png"/><Relationship Id="rId808" Type="http://schemas.openxmlformats.org/officeDocument/2006/relationships/image" Target="media/image571.png"/><Relationship Id="rId1340" Type="http://schemas.openxmlformats.org/officeDocument/2006/relationships/image" Target="media/image1051.png"/><Relationship Id="rId8" Type="http://schemas.openxmlformats.org/officeDocument/2006/relationships/endnotes" Target="endnotes.xml"/><Relationship Id="rId142" Type="http://schemas.openxmlformats.org/officeDocument/2006/relationships/image" Target="media/image62.png"/><Relationship Id="rId447" Type="http://schemas.openxmlformats.org/officeDocument/2006/relationships/image" Target="media/image262.png"/><Relationship Id="rId794" Type="http://schemas.openxmlformats.org/officeDocument/2006/relationships/image" Target="media/image557.png"/><Relationship Id="rId1077" Type="http://schemas.openxmlformats.org/officeDocument/2006/relationships/image" Target="media/image800.png"/><Relationship Id="rId1200" Type="http://schemas.openxmlformats.org/officeDocument/2006/relationships/image" Target="media/image919.png"/><Relationship Id="rId654" Type="http://schemas.openxmlformats.org/officeDocument/2006/relationships/hyperlink" Target="http://virtual-red-dot.info/vmware-performance-sla/" TargetMode="External"/><Relationship Id="rId861" Type="http://schemas.openxmlformats.org/officeDocument/2006/relationships/hyperlink" Target="https://en.wikipedia.org/wiki/Advanced_Format" TargetMode="External"/><Relationship Id="rId959" Type="http://schemas.openxmlformats.org/officeDocument/2006/relationships/image" Target="media/image694.png"/><Relationship Id="rId1284" Type="http://schemas.openxmlformats.org/officeDocument/2006/relationships/image" Target="media/image1000.png"/><Relationship Id="rId293" Type="http://schemas.openxmlformats.org/officeDocument/2006/relationships/image" Target="media/image162.png"/><Relationship Id="rId307" Type="http://schemas.openxmlformats.org/officeDocument/2006/relationships/image" Target="media/image170.png"/><Relationship Id="rId514" Type="http://schemas.openxmlformats.org/officeDocument/2006/relationships/image" Target="media/image307.png"/><Relationship Id="rId721" Type="http://schemas.openxmlformats.org/officeDocument/2006/relationships/image" Target="media/image489.png"/><Relationship Id="rId1144" Type="http://schemas.openxmlformats.org/officeDocument/2006/relationships/image" Target="media/image866.png"/><Relationship Id="rId1351" Type="http://schemas.openxmlformats.org/officeDocument/2006/relationships/image" Target="media/image1059.png"/><Relationship Id="rId88" Type="http://schemas.openxmlformats.org/officeDocument/2006/relationships/image" Target="media/image32.png"/><Relationship Id="rId153" Type="http://schemas.openxmlformats.org/officeDocument/2006/relationships/image" Target="media/image70.png"/><Relationship Id="rId360" Type="http://schemas.openxmlformats.org/officeDocument/2006/relationships/hyperlink" Target="https://en.wikipedia.org/wiki/CPU_cache" TargetMode="External"/><Relationship Id="rId598" Type="http://schemas.openxmlformats.org/officeDocument/2006/relationships/image" Target="media/image384.png"/><Relationship Id="rId819" Type="http://schemas.openxmlformats.org/officeDocument/2006/relationships/image" Target="media/image581.png"/><Relationship Id="rId1004" Type="http://schemas.openxmlformats.org/officeDocument/2006/relationships/image" Target="media/image730.png"/><Relationship Id="rId1211" Type="http://schemas.openxmlformats.org/officeDocument/2006/relationships/image" Target="media/image930.png"/><Relationship Id="rId220" Type="http://schemas.openxmlformats.org/officeDocument/2006/relationships/image" Target="media/image111.png"/><Relationship Id="rId458" Type="http://schemas.openxmlformats.org/officeDocument/2006/relationships/hyperlink" Target="https://www.nirsoft.net/about_nirsoft_freeware.html" TargetMode="External"/><Relationship Id="rId665" Type="http://schemas.openxmlformats.org/officeDocument/2006/relationships/image" Target="media/image433.png"/><Relationship Id="rId872" Type="http://schemas.openxmlformats.org/officeDocument/2006/relationships/image" Target="media/image621.png"/><Relationship Id="rId1088" Type="http://schemas.openxmlformats.org/officeDocument/2006/relationships/image" Target="media/image810.png"/><Relationship Id="rId1295" Type="http://schemas.openxmlformats.org/officeDocument/2006/relationships/image" Target="media/image1011.png"/><Relationship Id="rId1309" Type="http://schemas.openxmlformats.org/officeDocument/2006/relationships/image" Target="media/image1024.png"/><Relationship Id="rId15" Type="http://schemas.openxmlformats.org/officeDocument/2006/relationships/hyperlink" Target="https://docs.vmware.com/en/vRealize-Operations-Manager/index.html" TargetMode="External"/><Relationship Id="rId318" Type="http://schemas.openxmlformats.org/officeDocument/2006/relationships/image" Target="media/image180.png"/><Relationship Id="rId525" Type="http://schemas.openxmlformats.org/officeDocument/2006/relationships/image" Target="media/image318.png"/><Relationship Id="rId732" Type="http://schemas.openxmlformats.org/officeDocument/2006/relationships/image" Target="media/image499.png"/><Relationship Id="rId1155" Type="http://schemas.openxmlformats.org/officeDocument/2006/relationships/image" Target="media/image877.png"/><Relationship Id="rId1362" Type="http://schemas.openxmlformats.org/officeDocument/2006/relationships/image" Target="media/image1069.png"/><Relationship Id="rId99" Type="http://schemas.openxmlformats.org/officeDocument/2006/relationships/hyperlink" Target="https://flings.vmware.com/vmware-os-optimization-tool" TargetMode="External"/><Relationship Id="rId164" Type="http://schemas.openxmlformats.org/officeDocument/2006/relationships/image" Target="media/image79.png"/><Relationship Id="rId371" Type="http://schemas.openxmlformats.org/officeDocument/2006/relationships/image" Target="media/image215.png"/><Relationship Id="rId1015" Type="http://schemas.openxmlformats.org/officeDocument/2006/relationships/image" Target="media/image740.png"/><Relationship Id="rId1222" Type="http://schemas.openxmlformats.org/officeDocument/2006/relationships/image" Target="media/image938.png"/><Relationship Id="rId469" Type="http://schemas.openxmlformats.org/officeDocument/2006/relationships/hyperlink" Target="https://stackoverflow.com/questions/45487506/what-is-inactivefile-and-activefile-in-proc-meminfo" TargetMode="External"/><Relationship Id="rId676" Type="http://schemas.openxmlformats.org/officeDocument/2006/relationships/image" Target="media/image444.png"/><Relationship Id="rId883" Type="http://schemas.openxmlformats.org/officeDocument/2006/relationships/image" Target="media/image627.png"/><Relationship Id="rId1099" Type="http://schemas.openxmlformats.org/officeDocument/2006/relationships/image" Target="media/image821.png"/><Relationship Id="rId26" Type="http://schemas.openxmlformats.org/officeDocument/2006/relationships/hyperlink" Target="https://www.linkedin.com/in/brock-peterson-5756534/" TargetMode="External"/><Relationship Id="rId231" Type="http://schemas.openxmlformats.org/officeDocument/2006/relationships/image" Target="media/image116.png"/><Relationship Id="rId329" Type="http://schemas.openxmlformats.org/officeDocument/2006/relationships/image" Target="media/image190.png"/><Relationship Id="rId536" Type="http://schemas.openxmlformats.org/officeDocument/2006/relationships/hyperlink" Target="https://www.yellow-bricks.com/2016/06/02/memory-pages-swapped-can-unswap/" TargetMode="External"/><Relationship Id="rId1166" Type="http://schemas.openxmlformats.org/officeDocument/2006/relationships/image" Target="media/image888.png"/><Relationship Id="rId1373" Type="http://schemas.openxmlformats.org/officeDocument/2006/relationships/image" Target="media/image1079.png"/><Relationship Id="rId175" Type="http://schemas.openxmlformats.org/officeDocument/2006/relationships/hyperlink" Target="https://en.wikipedia.org/wiki/Non-uniform_memory_access" TargetMode="External"/><Relationship Id="rId743" Type="http://schemas.openxmlformats.org/officeDocument/2006/relationships/image" Target="media/image510.png"/><Relationship Id="rId950" Type="http://schemas.openxmlformats.org/officeDocument/2006/relationships/hyperlink" Target="https://docs.microsoft.com/en-us/windows-server/remote/remote-desktop-services/rds-rdsh-performance-counters" TargetMode="External"/><Relationship Id="rId1026" Type="http://schemas.openxmlformats.org/officeDocument/2006/relationships/image" Target="media/image750.png"/><Relationship Id="rId382" Type="http://schemas.openxmlformats.org/officeDocument/2006/relationships/hyperlink" Target="https://www.zdnet.com/meet-the-team/us/ed-bott/" TargetMode="External"/><Relationship Id="rId603" Type="http://schemas.openxmlformats.org/officeDocument/2006/relationships/image" Target="media/image388.png"/><Relationship Id="rId687" Type="http://schemas.openxmlformats.org/officeDocument/2006/relationships/image" Target="media/image455.png"/><Relationship Id="rId810" Type="http://schemas.openxmlformats.org/officeDocument/2006/relationships/image" Target="media/image573.png"/><Relationship Id="rId908" Type="http://schemas.openxmlformats.org/officeDocument/2006/relationships/image" Target="media/image652.png"/><Relationship Id="rId1233" Type="http://schemas.openxmlformats.org/officeDocument/2006/relationships/image" Target="media/image949.png"/><Relationship Id="rId242" Type="http://schemas.openxmlformats.org/officeDocument/2006/relationships/hyperlink" Target="https://bravenewgeek.com/everything-you-know-about-latency-is-wrong/" TargetMode="External"/><Relationship Id="rId894" Type="http://schemas.openxmlformats.org/officeDocument/2006/relationships/image" Target="media/image638.png"/><Relationship Id="rId1177" Type="http://schemas.openxmlformats.org/officeDocument/2006/relationships/image" Target="media/image898.png"/><Relationship Id="rId1300" Type="http://schemas.openxmlformats.org/officeDocument/2006/relationships/image" Target="media/image1016.png"/><Relationship Id="rId37" Type="http://schemas.openxmlformats.org/officeDocument/2006/relationships/hyperlink" Target="https://landscape.cncf.io/" TargetMode="External"/><Relationship Id="rId102" Type="http://schemas.openxmlformats.org/officeDocument/2006/relationships/image" Target="media/image39.png"/><Relationship Id="rId547" Type="http://schemas.openxmlformats.org/officeDocument/2006/relationships/image" Target="media/image338.png"/><Relationship Id="rId754" Type="http://schemas.openxmlformats.org/officeDocument/2006/relationships/image" Target="media/image521.png"/><Relationship Id="rId961" Type="http://schemas.openxmlformats.org/officeDocument/2006/relationships/hyperlink" Target="https://docs.vmware.com/en/Site-Recovery-Manager/8.4/com.vmware.srm.admin.doc/GUID-AF6BF11B-4FB7-4543-A873-329FDF1524A4.html" TargetMode="External"/><Relationship Id="rId1384" Type="http://schemas.openxmlformats.org/officeDocument/2006/relationships/image" Target="media/image1086.png"/><Relationship Id="rId90" Type="http://schemas.openxmlformats.org/officeDocument/2006/relationships/image" Target="media/image34.png"/><Relationship Id="rId186" Type="http://schemas.openxmlformats.org/officeDocument/2006/relationships/image" Target="media/image92.png"/><Relationship Id="rId393" Type="http://schemas.openxmlformats.org/officeDocument/2006/relationships/image" Target="media/image230.png"/><Relationship Id="rId407" Type="http://schemas.openxmlformats.org/officeDocument/2006/relationships/hyperlink" Target="https://wutils.com/wmi/root/cimv2/win32_perfrawdata_perfos_memory/" TargetMode="External"/><Relationship Id="rId614" Type="http://schemas.openxmlformats.org/officeDocument/2006/relationships/image" Target="media/image397.png"/><Relationship Id="rId821" Type="http://schemas.openxmlformats.org/officeDocument/2006/relationships/image" Target="media/image583.png"/><Relationship Id="rId1037" Type="http://schemas.openxmlformats.org/officeDocument/2006/relationships/image" Target="media/image761.png"/><Relationship Id="rId1244" Type="http://schemas.openxmlformats.org/officeDocument/2006/relationships/image" Target="media/image960.png"/><Relationship Id="rId253" Type="http://schemas.openxmlformats.org/officeDocument/2006/relationships/hyperlink" Target="https://www.investopedia.com/terms/c/consumerpriceindex.asp" TargetMode="External"/><Relationship Id="rId460" Type="http://schemas.openxmlformats.org/officeDocument/2006/relationships/hyperlink" Target="http://man7.org/linux/man-pages/man5/proc.5.html" TargetMode="External"/><Relationship Id="rId698" Type="http://schemas.openxmlformats.org/officeDocument/2006/relationships/image" Target="media/image466.png"/><Relationship Id="rId919" Type="http://schemas.openxmlformats.org/officeDocument/2006/relationships/image" Target="media/image659.png"/><Relationship Id="rId1090" Type="http://schemas.openxmlformats.org/officeDocument/2006/relationships/image" Target="media/image812.png"/><Relationship Id="rId1104" Type="http://schemas.openxmlformats.org/officeDocument/2006/relationships/image" Target="media/image826.png"/><Relationship Id="rId1311" Type="http://schemas.openxmlformats.org/officeDocument/2006/relationships/image" Target="media/image1026.png"/><Relationship Id="rId48" Type="http://schemas.openxmlformats.org/officeDocument/2006/relationships/hyperlink" Target="https://www.vmug.com" TargetMode="External"/><Relationship Id="rId113" Type="http://schemas.openxmlformats.org/officeDocument/2006/relationships/image" Target="media/image45.png"/><Relationship Id="rId320" Type="http://schemas.openxmlformats.org/officeDocument/2006/relationships/image" Target="media/image182.png"/><Relationship Id="rId558" Type="http://schemas.openxmlformats.org/officeDocument/2006/relationships/hyperlink" Target="https://blogs.vmware.com/vsphere/author/mark_achtemichuk" TargetMode="External"/><Relationship Id="rId765" Type="http://schemas.openxmlformats.org/officeDocument/2006/relationships/image" Target="media/image532.png"/><Relationship Id="rId972" Type="http://schemas.openxmlformats.org/officeDocument/2006/relationships/image" Target="media/image704.png"/><Relationship Id="rId1188" Type="http://schemas.openxmlformats.org/officeDocument/2006/relationships/image" Target="media/image907.png"/><Relationship Id="rId1395" Type="http://schemas.openxmlformats.org/officeDocument/2006/relationships/hyperlink" Target="http://www.lonelyplanet.com/indonesia/lombok" TargetMode="External"/><Relationship Id="rId197" Type="http://schemas.openxmlformats.org/officeDocument/2006/relationships/image" Target="media/image97.png"/><Relationship Id="rId418" Type="http://schemas.openxmlformats.org/officeDocument/2006/relationships/hyperlink" Target="https://docs.microsoft.com/en-us/previous-versions/ms804035(v=msdn.10)?redirectedfrom=MSDN" TargetMode="External"/><Relationship Id="rId625" Type="http://schemas.openxmlformats.org/officeDocument/2006/relationships/hyperlink" Target="https://kb.vmware.com/s/article/2039495" TargetMode="External"/><Relationship Id="rId832" Type="http://schemas.openxmlformats.org/officeDocument/2006/relationships/hyperlink" Target="https://en.wikipedia.org/wiki/Moving_average" TargetMode="External"/><Relationship Id="rId1048" Type="http://schemas.openxmlformats.org/officeDocument/2006/relationships/image" Target="media/image772.png"/><Relationship Id="rId1255" Type="http://schemas.openxmlformats.org/officeDocument/2006/relationships/image" Target="media/image971.png"/><Relationship Id="rId264" Type="http://schemas.openxmlformats.org/officeDocument/2006/relationships/image" Target="media/image145.png"/><Relationship Id="rId471" Type="http://schemas.openxmlformats.org/officeDocument/2006/relationships/image" Target="media/image274.png"/><Relationship Id="rId1115" Type="http://schemas.openxmlformats.org/officeDocument/2006/relationships/image" Target="media/image837.png"/><Relationship Id="rId1322" Type="http://schemas.openxmlformats.org/officeDocument/2006/relationships/hyperlink" Target="https://code.vmware.com/" TargetMode="External"/><Relationship Id="rId59" Type="http://schemas.openxmlformats.org/officeDocument/2006/relationships/hyperlink" Target="https://en.wikipedia.org/wiki/DTrace" TargetMode="External"/><Relationship Id="rId124" Type="http://schemas.openxmlformats.org/officeDocument/2006/relationships/image" Target="media/image52.png"/><Relationship Id="rId569" Type="http://schemas.openxmlformats.org/officeDocument/2006/relationships/image" Target="media/image357.png"/><Relationship Id="rId776" Type="http://schemas.openxmlformats.org/officeDocument/2006/relationships/image" Target="media/image539.png"/><Relationship Id="rId983" Type="http://schemas.openxmlformats.org/officeDocument/2006/relationships/image" Target="media/image714.png"/><Relationship Id="rId1199" Type="http://schemas.openxmlformats.org/officeDocument/2006/relationships/image" Target="media/image918.png"/><Relationship Id="rId331" Type="http://schemas.openxmlformats.org/officeDocument/2006/relationships/hyperlink" Target="https://en.wikipedia.org/wiki/Duplex_(telecommunications)" TargetMode="External"/><Relationship Id="rId429" Type="http://schemas.openxmlformats.org/officeDocument/2006/relationships/image" Target="media/image254.png"/><Relationship Id="rId636" Type="http://schemas.openxmlformats.org/officeDocument/2006/relationships/image" Target="media/image415.png"/><Relationship Id="rId1059" Type="http://schemas.openxmlformats.org/officeDocument/2006/relationships/image" Target="media/image782.png"/><Relationship Id="rId1266" Type="http://schemas.openxmlformats.org/officeDocument/2006/relationships/image" Target="media/image982.png"/><Relationship Id="rId843" Type="http://schemas.openxmlformats.org/officeDocument/2006/relationships/image" Target="media/image599.png"/><Relationship Id="rId1126" Type="http://schemas.openxmlformats.org/officeDocument/2006/relationships/image" Target="media/image848.png"/><Relationship Id="rId275" Type="http://schemas.openxmlformats.org/officeDocument/2006/relationships/image" Target="media/image153.png"/><Relationship Id="rId482" Type="http://schemas.openxmlformats.org/officeDocument/2006/relationships/image" Target="media/image279.png"/><Relationship Id="rId703" Type="http://schemas.openxmlformats.org/officeDocument/2006/relationships/image" Target="media/image471.png"/><Relationship Id="rId910" Type="http://schemas.openxmlformats.org/officeDocument/2006/relationships/image" Target="media/image654.png"/><Relationship Id="rId1333" Type="http://schemas.openxmlformats.org/officeDocument/2006/relationships/hyperlink" Target="https://en.wikipedia.org/wiki/KISS_principle" TargetMode="External"/><Relationship Id="rId135" Type="http://schemas.openxmlformats.org/officeDocument/2006/relationships/hyperlink" Target="https://blogs.vmware.com/vsphere/2019/07/the-vmotion-process-under-the-hood.html" TargetMode="External"/><Relationship Id="rId342" Type="http://schemas.openxmlformats.org/officeDocument/2006/relationships/hyperlink" Target="https://en.wikipedia.org/wiki/Jumbo_frame" TargetMode="External"/><Relationship Id="rId787" Type="http://schemas.openxmlformats.org/officeDocument/2006/relationships/image" Target="media/image550.png"/><Relationship Id="rId994" Type="http://schemas.openxmlformats.org/officeDocument/2006/relationships/image" Target="media/image722.png"/><Relationship Id="rId1400" Type="http://schemas.openxmlformats.org/officeDocument/2006/relationships/footer" Target="footer2.xml"/><Relationship Id="rId202" Type="http://schemas.openxmlformats.org/officeDocument/2006/relationships/image" Target="media/image101.png"/><Relationship Id="rId647" Type="http://schemas.openxmlformats.org/officeDocument/2006/relationships/image" Target="media/image425.png"/><Relationship Id="rId854" Type="http://schemas.openxmlformats.org/officeDocument/2006/relationships/image" Target="media/image610.png"/><Relationship Id="rId1277" Type="http://schemas.openxmlformats.org/officeDocument/2006/relationships/image" Target="media/image993.png"/><Relationship Id="rId286" Type="http://schemas.openxmlformats.org/officeDocument/2006/relationships/hyperlink" Target="https://www.youtube.com/watch?v=EYggYAwjz3g" TargetMode="External"/><Relationship Id="rId493" Type="http://schemas.openxmlformats.org/officeDocument/2006/relationships/image" Target="media/image289.png"/><Relationship Id="rId507" Type="http://schemas.openxmlformats.org/officeDocument/2006/relationships/image" Target="media/image300.png"/><Relationship Id="rId714" Type="http://schemas.openxmlformats.org/officeDocument/2006/relationships/image" Target="media/image482.png"/><Relationship Id="rId921" Type="http://schemas.openxmlformats.org/officeDocument/2006/relationships/image" Target="media/image661.png"/><Relationship Id="rId1137" Type="http://schemas.openxmlformats.org/officeDocument/2006/relationships/image" Target="media/image859.png"/><Relationship Id="rId1344" Type="http://schemas.openxmlformats.org/officeDocument/2006/relationships/hyperlink" Target="https://www.linkedin.com/in/bruce-davie/" TargetMode="External"/><Relationship Id="rId50" Type="http://schemas.openxmlformats.org/officeDocument/2006/relationships/image" Target="media/image11.png"/><Relationship Id="rId146" Type="http://schemas.openxmlformats.org/officeDocument/2006/relationships/image" Target="media/image65.png"/><Relationship Id="rId353" Type="http://schemas.openxmlformats.org/officeDocument/2006/relationships/image" Target="media/image202.png"/><Relationship Id="rId560" Type="http://schemas.openxmlformats.org/officeDocument/2006/relationships/image" Target="media/image349.png"/><Relationship Id="rId798" Type="http://schemas.openxmlformats.org/officeDocument/2006/relationships/image" Target="media/image561.png"/><Relationship Id="rId1190" Type="http://schemas.openxmlformats.org/officeDocument/2006/relationships/image" Target="media/image909.png"/><Relationship Id="rId1204" Type="http://schemas.openxmlformats.org/officeDocument/2006/relationships/image" Target="media/image923.png"/><Relationship Id="rId213" Type="http://schemas.openxmlformats.org/officeDocument/2006/relationships/hyperlink" Target="https://kb.vmware.com/s/article/1019471" TargetMode="External"/><Relationship Id="rId420" Type="http://schemas.openxmlformats.org/officeDocument/2006/relationships/image" Target="media/image245.png"/><Relationship Id="rId658" Type="http://schemas.openxmlformats.org/officeDocument/2006/relationships/image" Target="media/image428.png"/><Relationship Id="rId865" Type="http://schemas.openxmlformats.org/officeDocument/2006/relationships/hyperlink" Target="https://kb.vmware.com/s/article/2065193" TargetMode="External"/><Relationship Id="rId1050" Type="http://schemas.openxmlformats.org/officeDocument/2006/relationships/image" Target="media/image774.png"/><Relationship Id="rId1288" Type="http://schemas.openxmlformats.org/officeDocument/2006/relationships/image" Target="media/image1004.png"/><Relationship Id="rId297" Type="http://schemas.openxmlformats.org/officeDocument/2006/relationships/image" Target="media/image164.png"/><Relationship Id="rId518" Type="http://schemas.openxmlformats.org/officeDocument/2006/relationships/image" Target="media/image311.png"/><Relationship Id="rId725" Type="http://schemas.openxmlformats.org/officeDocument/2006/relationships/image" Target="media/image493.png"/><Relationship Id="rId932" Type="http://schemas.openxmlformats.org/officeDocument/2006/relationships/image" Target="media/image670.png"/><Relationship Id="rId1148" Type="http://schemas.openxmlformats.org/officeDocument/2006/relationships/image" Target="media/image870.png"/><Relationship Id="rId1355" Type="http://schemas.openxmlformats.org/officeDocument/2006/relationships/image" Target="media/image1062.png"/><Relationship Id="rId157" Type="http://schemas.openxmlformats.org/officeDocument/2006/relationships/hyperlink" Target="https://en.wikipedia.org/wiki/Standard_deviation" TargetMode="External"/><Relationship Id="rId364" Type="http://schemas.openxmlformats.org/officeDocument/2006/relationships/image" Target="media/image208.png"/><Relationship Id="rId1008" Type="http://schemas.openxmlformats.org/officeDocument/2006/relationships/image" Target="media/image734.png"/><Relationship Id="rId1215" Type="http://schemas.openxmlformats.org/officeDocument/2006/relationships/hyperlink" Target="https://www.vmware.com/products/vrealize-operations.html" TargetMode="External"/><Relationship Id="rId61" Type="http://schemas.openxmlformats.org/officeDocument/2006/relationships/hyperlink" Target="https://www.linkedin.com/in/brendangregg/" TargetMode="External"/><Relationship Id="rId571" Type="http://schemas.openxmlformats.org/officeDocument/2006/relationships/image" Target="media/image359.png"/><Relationship Id="rId669" Type="http://schemas.openxmlformats.org/officeDocument/2006/relationships/image" Target="media/image437.png"/><Relationship Id="rId876" Type="http://schemas.openxmlformats.org/officeDocument/2006/relationships/image" Target="media/image623.png"/><Relationship Id="rId1299" Type="http://schemas.openxmlformats.org/officeDocument/2006/relationships/image" Target="media/image1015.png"/><Relationship Id="rId19" Type="http://schemas.openxmlformats.org/officeDocument/2006/relationships/image" Target="media/image5.png"/><Relationship Id="rId224" Type="http://schemas.openxmlformats.org/officeDocument/2006/relationships/image" Target="media/image114.png"/><Relationship Id="rId431" Type="http://schemas.openxmlformats.org/officeDocument/2006/relationships/image" Target="media/image256.png"/><Relationship Id="rId529" Type="http://schemas.openxmlformats.org/officeDocument/2006/relationships/image" Target="media/image321.png"/><Relationship Id="rId736" Type="http://schemas.openxmlformats.org/officeDocument/2006/relationships/image" Target="media/image503.png"/><Relationship Id="rId1061" Type="http://schemas.openxmlformats.org/officeDocument/2006/relationships/image" Target="media/image784.png"/><Relationship Id="rId1159" Type="http://schemas.openxmlformats.org/officeDocument/2006/relationships/image" Target="media/image881.png"/><Relationship Id="rId1366" Type="http://schemas.openxmlformats.org/officeDocument/2006/relationships/image" Target="media/image1073.png"/><Relationship Id="rId168" Type="http://schemas.openxmlformats.org/officeDocument/2006/relationships/hyperlink" Target="https://en.wikipedia.org/wiki/Trim_(computing)" TargetMode="External"/><Relationship Id="rId943" Type="http://schemas.openxmlformats.org/officeDocument/2006/relationships/image" Target="media/image681.png"/><Relationship Id="rId1019" Type="http://schemas.openxmlformats.org/officeDocument/2006/relationships/image" Target="media/image744.png"/><Relationship Id="rId72" Type="http://schemas.openxmlformats.org/officeDocument/2006/relationships/image" Target="media/image23.png"/><Relationship Id="rId375" Type="http://schemas.openxmlformats.org/officeDocument/2006/relationships/image" Target="media/image219.png"/><Relationship Id="rId582" Type="http://schemas.openxmlformats.org/officeDocument/2006/relationships/image" Target="media/image369.png"/><Relationship Id="rId803" Type="http://schemas.openxmlformats.org/officeDocument/2006/relationships/image" Target="media/image566.png"/><Relationship Id="rId1226" Type="http://schemas.openxmlformats.org/officeDocument/2006/relationships/image" Target="media/image942.png"/><Relationship Id="rId3" Type="http://schemas.openxmlformats.org/officeDocument/2006/relationships/numbering" Target="numbering.xml"/><Relationship Id="rId235" Type="http://schemas.openxmlformats.org/officeDocument/2006/relationships/image" Target="media/image120.png"/><Relationship Id="rId442" Type="http://schemas.openxmlformats.org/officeDocument/2006/relationships/hyperlink" Target="https://www.nirsoft.net/utils/what_is_hang.html" TargetMode="External"/><Relationship Id="rId887" Type="http://schemas.openxmlformats.org/officeDocument/2006/relationships/image" Target="media/image631.png"/><Relationship Id="rId1072" Type="http://schemas.openxmlformats.org/officeDocument/2006/relationships/image" Target="media/image795.png"/><Relationship Id="rId302" Type="http://schemas.openxmlformats.org/officeDocument/2006/relationships/image" Target="media/image166.png"/><Relationship Id="rId747" Type="http://schemas.openxmlformats.org/officeDocument/2006/relationships/image" Target="media/image514.png"/><Relationship Id="rId954" Type="http://schemas.openxmlformats.org/officeDocument/2006/relationships/image" Target="media/image690.png"/><Relationship Id="rId1377" Type="http://schemas.openxmlformats.org/officeDocument/2006/relationships/image" Target="media/image1082.png"/><Relationship Id="rId83" Type="http://schemas.openxmlformats.org/officeDocument/2006/relationships/image" Target="media/image31.png"/><Relationship Id="rId179" Type="http://schemas.openxmlformats.org/officeDocument/2006/relationships/hyperlink" Target="https://blogs.vmware.com/vsphere/author/mark_achtemichuk" TargetMode="External"/><Relationship Id="rId386" Type="http://schemas.openxmlformats.org/officeDocument/2006/relationships/image" Target="media/image224.png"/><Relationship Id="rId593" Type="http://schemas.openxmlformats.org/officeDocument/2006/relationships/image" Target="media/image380.png"/><Relationship Id="rId607" Type="http://schemas.openxmlformats.org/officeDocument/2006/relationships/image" Target="media/image390.png"/><Relationship Id="rId814" Type="http://schemas.openxmlformats.org/officeDocument/2006/relationships/image" Target="media/image577.png"/><Relationship Id="rId1237" Type="http://schemas.openxmlformats.org/officeDocument/2006/relationships/image" Target="media/image953.png"/><Relationship Id="rId246" Type="http://schemas.openxmlformats.org/officeDocument/2006/relationships/image" Target="media/image128.png"/><Relationship Id="rId453" Type="http://schemas.openxmlformats.org/officeDocument/2006/relationships/image" Target="media/image267.png"/><Relationship Id="rId660" Type="http://schemas.openxmlformats.org/officeDocument/2006/relationships/hyperlink" Target="https://www.linkedin.com/in/nielshagoort/" TargetMode="External"/><Relationship Id="rId898" Type="http://schemas.openxmlformats.org/officeDocument/2006/relationships/image" Target="media/image642.png"/><Relationship Id="rId1083" Type="http://schemas.openxmlformats.org/officeDocument/2006/relationships/image" Target="media/image805.png"/><Relationship Id="rId1290" Type="http://schemas.openxmlformats.org/officeDocument/2006/relationships/image" Target="media/image1006.png"/><Relationship Id="rId1304" Type="http://schemas.openxmlformats.org/officeDocument/2006/relationships/image" Target="media/image1020.png"/><Relationship Id="rId106" Type="http://schemas.openxmlformats.org/officeDocument/2006/relationships/hyperlink" Target="https://en.wikipedia.org/wiki/Packet_loss" TargetMode="External"/><Relationship Id="rId313" Type="http://schemas.openxmlformats.org/officeDocument/2006/relationships/image" Target="media/image175.png"/><Relationship Id="rId758" Type="http://schemas.openxmlformats.org/officeDocument/2006/relationships/image" Target="media/image525.png"/><Relationship Id="rId965" Type="http://schemas.openxmlformats.org/officeDocument/2006/relationships/hyperlink" Target="https://docs.vmware.com/en/VMware-Horizon-7/7.13/horizon-virtual-desktops/GUID-C66AE54D-21A1-41B3-93A6-8D8E7F448451.html" TargetMode="External"/><Relationship Id="rId1150" Type="http://schemas.openxmlformats.org/officeDocument/2006/relationships/image" Target="media/image872.png"/><Relationship Id="rId1388" Type="http://schemas.openxmlformats.org/officeDocument/2006/relationships/hyperlink" Target="http://blog.ipspace.net/2012/10/if-something-can-fail-it-will.html" TargetMode="External"/><Relationship Id="rId10" Type="http://schemas.openxmlformats.org/officeDocument/2006/relationships/image" Target="media/image2.jpg"/><Relationship Id="rId94" Type="http://schemas.openxmlformats.org/officeDocument/2006/relationships/image" Target="media/image37.png"/><Relationship Id="rId397" Type="http://schemas.openxmlformats.org/officeDocument/2006/relationships/hyperlink" Target="http://windows.microsoft.com/en-us/windows/change-virtualmemory-size" TargetMode="External"/><Relationship Id="rId520" Type="http://schemas.openxmlformats.org/officeDocument/2006/relationships/image" Target="media/image313.png"/><Relationship Id="rId618" Type="http://schemas.openxmlformats.org/officeDocument/2006/relationships/image" Target="media/image401.png"/><Relationship Id="rId825" Type="http://schemas.openxmlformats.org/officeDocument/2006/relationships/image" Target="media/image587.png"/><Relationship Id="rId1248" Type="http://schemas.openxmlformats.org/officeDocument/2006/relationships/image" Target="media/image964.png"/><Relationship Id="rId257" Type="http://schemas.openxmlformats.org/officeDocument/2006/relationships/image" Target="media/image138.png"/><Relationship Id="rId464" Type="http://schemas.openxmlformats.org/officeDocument/2006/relationships/image" Target="media/image272.png"/><Relationship Id="rId1010" Type="http://schemas.openxmlformats.org/officeDocument/2006/relationships/image" Target="media/image736.png"/><Relationship Id="rId1094" Type="http://schemas.openxmlformats.org/officeDocument/2006/relationships/image" Target="media/image816.png"/><Relationship Id="rId1108" Type="http://schemas.openxmlformats.org/officeDocument/2006/relationships/image" Target="media/image830.png"/><Relationship Id="rId1315" Type="http://schemas.openxmlformats.org/officeDocument/2006/relationships/image" Target="media/image1030.png"/><Relationship Id="rId117" Type="http://schemas.openxmlformats.org/officeDocument/2006/relationships/image" Target="media/image48.png"/><Relationship Id="rId671" Type="http://schemas.openxmlformats.org/officeDocument/2006/relationships/image" Target="media/image439.png"/><Relationship Id="rId769" Type="http://schemas.openxmlformats.org/officeDocument/2006/relationships/hyperlink" Target="https://frankdenneman.nl/2012/07/23/to-which-host-level-latency-statistic-is-the-sioc-congestion-threshold-related/" TargetMode="External"/><Relationship Id="rId976" Type="http://schemas.openxmlformats.org/officeDocument/2006/relationships/image" Target="media/image707.png"/><Relationship Id="rId1399" Type="http://schemas.openxmlformats.org/officeDocument/2006/relationships/header" Target="header1.xml"/><Relationship Id="rId324" Type="http://schemas.openxmlformats.org/officeDocument/2006/relationships/image" Target="media/image186.png"/><Relationship Id="rId531" Type="http://schemas.openxmlformats.org/officeDocument/2006/relationships/image" Target="media/image323.png"/><Relationship Id="rId629" Type="http://schemas.openxmlformats.org/officeDocument/2006/relationships/image" Target="media/image410.png"/><Relationship Id="rId1161" Type="http://schemas.openxmlformats.org/officeDocument/2006/relationships/image" Target="media/image883.png"/><Relationship Id="rId1259" Type="http://schemas.openxmlformats.org/officeDocument/2006/relationships/image" Target="media/image975.png"/><Relationship Id="rId836" Type="http://schemas.openxmlformats.org/officeDocument/2006/relationships/image" Target="media/image594.png"/><Relationship Id="rId1021" Type="http://schemas.openxmlformats.org/officeDocument/2006/relationships/image" Target="media/image745.png"/><Relationship Id="rId1119" Type="http://schemas.openxmlformats.org/officeDocument/2006/relationships/image" Target="media/image841.png"/><Relationship Id="rId903" Type="http://schemas.openxmlformats.org/officeDocument/2006/relationships/image" Target="media/image647.png"/><Relationship Id="rId1326" Type="http://schemas.openxmlformats.org/officeDocument/2006/relationships/image" Target="media/image1040.png"/><Relationship Id="rId32" Type="http://schemas.openxmlformats.org/officeDocument/2006/relationships/hyperlink" Target="https://www.vmware.com/topics/glossary/content/private-cloud.html" TargetMode="External"/><Relationship Id="rId181" Type="http://schemas.openxmlformats.org/officeDocument/2006/relationships/image" Target="media/image87.png"/><Relationship Id="rId279" Type="http://schemas.openxmlformats.org/officeDocument/2006/relationships/hyperlink" Target="https://www.amd.com/system/files/documents/overview-amd-epyc7003-series-processors-microarchitecture.pdf" TargetMode="External"/><Relationship Id="rId486" Type="http://schemas.openxmlformats.org/officeDocument/2006/relationships/image" Target="media/image283.png"/><Relationship Id="rId693" Type="http://schemas.openxmlformats.org/officeDocument/2006/relationships/image" Target="media/image461.png"/><Relationship Id="rId139" Type="http://schemas.openxmlformats.org/officeDocument/2006/relationships/hyperlink" Target="https://www.vmware.com/topics/glossary/content/virtual-desktop-infrastructure-vdi" TargetMode="External"/><Relationship Id="rId346" Type="http://schemas.openxmlformats.org/officeDocument/2006/relationships/image" Target="media/image200.png"/><Relationship Id="rId553" Type="http://schemas.openxmlformats.org/officeDocument/2006/relationships/image" Target="media/image344.png"/><Relationship Id="rId760" Type="http://schemas.openxmlformats.org/officeDocument/2006/relationships/image" Target="media/image527.png"/><Relationship Id="rId998" Type="http://schemas.openxmlformats.org/officeDocument/2006/relationships/image" Target="media/image726.png"/><Relationship Id="rId1183" Type="http://schemas.openxmlformats.org/officeDocument/2006/relationships/hyperlink" Target="https://www.linkedin.com/in/dale-hassinger-5712301b/" TargetMode="External"/><Relationship Id="rId1390" Type="http://schemas.openxmlformats.org/officeDocument/2006/relationships/hyperlink" Target="http://blog.ipspace.net/2014/10/all-you-need-are-two-top-of-rack.html" TargetMode="External"/><Relationship Id="rId206" Type="http://schemas.openxmlformats.org/officeDocument/2006/relationships/image" Target="media/image104.png"/><Relationship Id="rId413" Type="http://schemas.openxmlformats.org/officeDocument/2006/relationships/image" Target="media/image241.png"/><Relationship Id="rId858" Type="http://schemas.openxmlformats.org/officeDocument/2006/relationships/image" Target="media/image614.png"/><Relationship Id="rId1043" Type="http://schemas.openxmlformats.org/officeDocument/2006/relationships/image" Target="media/image767.png"/><Relationship Id="rId620" Type="http://schemas.openxmlformats.org/officeDocument/2006/relationships/image" Target="media/image403.png"/><Relationship Id="rId718" Type="http://schemas.openxmlformats.org/officeDocument/2006/relationships/image" Target="media/image486.png"/><Relationship Id="rId925" Type="http://schemas.openxmlformats.org/officeDocument/2006/relationships/image" Target="media/image665.png"/><Relationship Id="rId1250" Type="http://schemas.openxmlformats.org/officeDocument/2006/relationships/image" Target="media/image966.png"/><Relationship Id="rId1348" Type="http://schemas.openxmlformats.org/officeDocument/2006/relationships/image" Target="media/image1056.png"/><Relationship Id="rId1110" Type="http://schemas.openxmlformats.org/officeDocument/2006/relationships/image" Target="media/image832.png"/><Relationship Id="rId1208" Type="http://schemas.openxmlformats.org/officeDocument/2006/relationships/image" Target="media/image927.png"/><Relationship Id="rId54" Type="http://schemas.openxmlformats.org/officeDocument/2006/relationships/image" Target="media/image14.png"/><Relationship Id="rId270" Type="http://schemas.openxmlformats.org/officeDocument/2006/relationships/image" Target="media/image149.png"/><Relationship Id="rId130" Type="http://schemas.openxmlformats.org/officeDocument/2006/relationships/image" Target="media/image55.png"/><Relationship Id="rId368" Type="http://schemas.openxmlformats.org/officeDocument/2006/relationships/image" Target="media/image212.png"/><Relationship Id="rId575" Type="http://schemas.openxmlformats.org/officeDocument/2006/relationships/image" Target="media/image363.png"/><Relationship Id="rId782" Type="http://schemas.openxmlformats.org/officeDocument/2006/relationships/image" Target="media/image545.png"/><Relationship Id="rId228" Type="http://schemas.openxmlformats.org/officeDocument/2006/relationships/hyperlink" Target="https://www.gbmb.org/gbps-to-mbps" TargetMode="External"/><Relationship Id="rId435" Type="http://schemas.openxmlformats.org/officeDocument/2006/relationships/hyperlink" Target="https://docs.microsoft.com/en-us/learn/modules/monitor-windows-server-performance/2-use-performance-monitor-to-identify-performance-problems" TargetMode="External"/><Relationship Id="rId642" Type="http://schemas.openxmlformats.org/officeDocument/2006/relationships/image" Target="media/image421.png"/><Relationship Id="rId1065" Type="http://schemas.openxmlformats.org/officeDocument/2006/relationships/image" Target="media/image788.png"/><Relationship Id="rId1272" Type="http://schemas.openxmlformats.org/officeDocument/2006/relationships/image" Target="media/image988.png"/><Relationship Id="rId502" Type="http://schemas.openxmlformats.org/officeDocument/2006/relationships/hyperlink" Target="https://www.vmware.com/products/cloud-director.html" TargetMode="External"/><Relationship Id="rId947" Type="http://schemas.openxmlformats.org/officeDocument/2006/relationships/image" Target="media/image685.png"/><Relationship Id="rId1132" Type="http://schemas.openxmlformats.org/officeDocument/2006/relationships/image" Target="media/image854.png"/><Relationship Id="rId76" Type="http://schemas.openxmlformats.org/officeDocument/2006/relationships/hyperlink" Target="https://en.wikipedia.org/wiki/Price%E2%80%93performance_ratio" TargetMode="External"/><Relationship Id="rId807" Type="http://schemas.openxmlformats.org/officeDocument/2006/relationships/image" Target="media/image570.png"/><Relationship Id="rId292" Type="http://schemas.openxmlformats.org/officeDocument/2006/relationships/image" Target="media/image161.png"/><Relationship Id="rId597" Type="http://schemas.openxmlformats.org/officeDocument/2006/relationships/image" Target="media/image383.png"/><Relationship Id="rId152" Type="http://schemas.openxmlformats.org/officeDocument/2006/relationships/hyperlink" Target="https://docs.vmware.com/en/Site-Recovery-Manager/8.4/com.vmware.srm.admin.doc/GUID-AF6BF11B-4FB7-4543-A873-329FDF1524A4.html" TargetMode="External"/><Relationship Id="rId457" Type="http://schemas.openxmlformats.org/officeDocument/2006/relationships/image" Target="media/image270.png"/><Relationship Id="rId1087" Type="http://schemas.openxmlformats.org/officeDocument/2006/relationships/image" Target="media/image809.png"/><Relationship Id="rId1294" Type="http://schemas.openxmlformats.org/officeDocument/2006/relationships/image" Target="media/image1010.png"/><Relationship Id="rId664" Type="http://schemas.openxmlformats.org/officeDocument/2006/relationships/image" Target="media/image432.png"/><Relationship Id="rId871" Type="http://schemas.openxmlformats.org/officeDocument/2006/relationships/image" Target="media/image620.png"/><Relationship Id="rId969" Type="http://schemas.openxmlformats.org/officeDocument/2006/relationships/image" Target="media/image701.png"/><Relationship Id="rId317" Type="http://schemas.openxmlformats.org/officeDocument/2006/relationships/image" Target="media/image179.png"/><Relationship Id="rId524" Type="http://schemas.openxmlformats.org/officeDocument/2006/relationships/image" Target="media/image317.png"/><Relationship Id="rId731" Type="http://schemas.openxmlformats.org/officeDocument/2006/relationships/image" Target="media/image498.png"/><Relationship Id="rId1154" Type="http://schemas.openxmlformats.org/officeDocument/2006/relationships/image" Target="media/image876.png"/><Relationship Id="rId1361" Type="http://schemas.openxmlformats.org/officeDocument/2006/relationships/image" Target="media/image1068.png"/><Relationship Id="rId98" Type="http://schemas.openxmlformats.org/officeDocument/2006/relationships/hyperlink" Target="https://docs.microsoft.com/en-us/sysinternals/" TargetMode="External"/><Relationship Id="rId829" Type="http://schemas.openxmlformats.org/officeDocument/2006/relationships/hyperlink" Target="https://www.vmware.com/content/dam/digitalmarketing/vmware/en/pdf/techpaper/performance/whats-new-vsphere65-perf.pdf" TargetMode="External"/><Relationship Id="rId1014" Type="http://schemas.openxmlformats.org/officeDocument/2006/relationships/image" Target="media/image739.png"/><Relationship Id="rId1221" Type="http://schemas.openxmlformats.org/officeDocument/2006/relationships/image" Target="media/image937.png"/><Relationship Id="rId1319" Type="http://schemas.openxmlformats.org/officeDocument/2006/relationships/image" Target="media/image1034.png"/><Relationship Id="rId25" Type="http://schemas.openxmlformats.org/officeDocument/2006/relationships/hyperlink" Target="https://www.linkedin.com/in/varghesephilipose/" TargetMode="External"/><Relationship Id="rId174" Type="http://schemas.openxmlformats.org/officeDocument/2006/relationships/image" Target="media/image85.png"/><Relationship Id="rId381" Type="http://schemas.openxmlformats.org/officeDocument/2006/relationships/image" Target="media/image223.png"/><Relationship Id="rId241" Type="http://schemas.openxmlformats.org/officeDocument/2006/relationships/image" Target="media/image125.png"/><Relationship Id="rId479" Type="http://schemas.openxmlformats.org/officeDocument/2006/relationships/hyperlink" Target="https://kb.vmware.com/s/article/2030221" TargetMode="External"/><Relationship Id="rId686" Type="http://schemas.openxmlformats.org/officeDocument/2006/relationships/image" Target="media/image454.png"/><Relationship Id="rId893" Type="http://schemas.openxmlformats.org/officeDocument/2006/relationships/image" Target="media/image637.png"/><Relationship Id="rId339" Type="http://schemas.openxmlformats.org/officeDocument/2006/relationships/image" Target="media/image195.png"/><Relationship Id="rId546" Type="http://schemas.openxmlformats.org/officeDocument/2006/relationships/image" Target="media/image337.png"/><Relationship Id="rId753" Type="http://schemas.openxmlformats.org/officeDocument/2006/relationships/image" Target="media/image520.png"/><Relationship Id="rId1176" Type="http://schemas.openxmlformats.org/officeDocument/2006/relationships/image" Target="media/image897.png"/><Relationship Id="rId1383" Type="http://schemas.openxmlformats.org/officeDocument/2006/relationships/hyperlink" Target="http://www.apmdigest.com/idc-prediction-predictive-analytics-goes-mainstream-in-2012" TargetMode="External"/><Relationship Id="rId101" Type="http://schemas.openxmlformats.org/officeDocument/2006/relationships/hyperlink" Target="https://en.wikipedia.org/wiki/Disaster_recovery" TargetMode="External"/><Relationship Id="rId406" Type="http://schemas.openxmlformats.org/officeDocument/2006/relationships/image" Target="media/image239.png"/><Relationship Id="rId960" Type="http://schemas.openxmlformats.org/officeDocument/2006/relationships/hyperlink" Target="https://docs.vmware.com/en/VMware-Horizon/2106/published-desktops-applications/GUID-14702097-AD74-4A5C-8CDC-804EE3079826.html?hWord=N4IghgNiBcIIIHMCmA7ALgAgK4oE5LAGMALMAIwiRAF8g" TargetMode="External"/><Relationship Id="rId1036" Type="http://schemas.openxmlformats.org/officeDocument/2006/relationships/image" Target="media/image760.png"/><Relationship Id="rId1243" Type="http://schemas.openxmlformats.org/officeDocument/2006/relationships/image" Target="media/image959.png"/><Relationship Id="rId613" Type="http://schemas.openxmlformats.org/officeDocument/2006/relationships/image" Target="media/image396.png"/><Relationship Id="rId820" Type="http://schemas.openxmlformats.org/officeDocument/2006/relationships/image" Target="media/image582.png"/><Relationship Id="rId918" Type="http://schemas.openxmlformats.org/officeDocument/2006/relationships/hyperlink" Target="https://core.vmware.com/blog/performance-troubleshooting-understanding-different-levels-vsan-performance-metrics" TargetMode="External"/><Relationship Id="rId1103" Type="http://schemas.openxmlformats.org/officeDocument/2006/relationships/image" Target="media/image825.png"/><Relationship Id="rId1310" Type="http://schemas.openxmlformats.org/officeDocument/2006/relationships/image" Target="media/image1025.png"/><Relationship Id="rId47" Type="http://schemas.openxmlformats.org/officeDocument/2006/relationships/hyperlink" Target="http://en.wikipedia.org/wiki/M%C3%B6bius_strip" TargetMode="External"/><Relationship Id="rId196" Type="http://schemas.openxmlformats.org/officeDocument/2006/relationships/image" Target="media/image96.png"/><Relationship Id="rId263" Type="http://schemas.openxmlformats.org/officeDocument/2006/relationships/image" Target="media/image144.png"/><Relationship Id="rId470" Type="http://schemas.openxmlformats.org/officeDocument/2006/relationships/hyperlink" Target="https://wutils.com/wmi/root/cimv2/win32_perfrawdata_perfos_memory/" TargetMode="External"/><Relationship Id="rId123" Type="http://schemas.openxmlformats.org/officeDocument/2006/relationships/image" Target="media/image51.png"/><Relationship Id="rId330" Type="http://schemas.openxmlformats.org/officeDocument/2006/relationships/image" Target="media/image191.png"/><Relationship Id="rId568" Type="http://schemas.openxmlformats.org/officeDocument/2006/relationships/image" Target="media/image356.png"/><Relationship Id="rId775" Type="http://schemas.openxmlformats.org/officeDocument/2006/relationships/image" Target="media/image538.png"/><Relationship Id="rId982" Type="http://schemas.openxmlformats.org/officeDocument/2006/relationships/image" Target="media/image713.png"/><Relationship Id="rId1198" Type="http://schemas.openxmlformats.org/officeDocument/2006/relationships/image" Target="media/image917.png"/><Relationship Id="rId428" Type="http://schemas.openxmlformats.org/officeDocument/2006/relationships/image" Target="media/image253.png"/><Relationship Id="rId635" Type="http://schemas.openxmlformats.org/officeDocument/2006/relationships/image" Target="media/image414.png"/><Relationship Id="rId842" Type="http://schemas.openxmlformats.org/officeDocument/2006/relationships/image" Target="media/image598.png"/><Relationship Id="rId1058" Type="http://schemas.openxmlformats.org/officeDocument/2006/relationships/image" Target="media/image781.png"/><Relationship Id="rId1265" Type="http://schemas.openxmlformats.org/officeDocument/2006/relationships/image" Target="media/image981.png"/><Relationship Id="rId702" Type="http://schemas.openxmlformats.org/officeDocument/2006/relationships/image" Target="media/image470.png"/><Relationship Id="rId1125" Type="http://schemas.openxmlformats.org/officeDocument/2006/relationships/image" Target="media/image847.png"/><Relationship Id="rId1332" Type="http://schemas.openxmlformats.org/officeDocument/2006/relationships/image" Target="media/image1045.png"/><Relationship Id="rId69" Type="http://schemas.openxmlformats.org/officeDocument/2006/relationships/image" Target="media/image20.png"/><Relationship Id="rId285" Type="http://schemas.openxmlformats.org/officeDocument/2006/relationships/hyperlink" Target="https://twitter.com/vmMarkA" TargetMode="External"/><Relationship Id="rId492" Type="http://schemas.openxmlformats.org/officeDocument/2006/relationships/hyperlink" Target="https://kb.vmware.com/s/article/2000058?lang=en_US" TargetMode="External"/><Relationship Id="rId797" Type="http://schemas.openxmlformats.org/officeDocument/2006/relationships/image" Target="media/image560.png"/><Relationship Id="rId145" Type="http://schemas.openxmlformats.org/officeDocument/2006/relationships/image" Target="media/image64.png"/><Relationship Id="rId352" Type="http://schemas.openxmlformats.org/officeDocument/2006/relationships/hyperlink" Target="https://systemcenter.wiki/?GetElement=Microsoft.Windows.Server.10.0.Processor.PercentDPCTime&amp;Type=UnitMonitor&amp;ManagementPack=Microsoft.Windows.Server.2016.Monitoring&amp;Version=10.0.3.0" TargetMode="External"/><Relationship Id="rId1287" Type="http://schemas.openxmlformats.org/officeDocument/2006/relationships/image" Target="media/image1003.png"/><Relationship Id="rId212" Type="http://schemas.openxmlformats.org/officeDocument/2006/relationships/image" Target="media/image107.png"/><Relationship Id="rId657" Type="http://schemas.openxmlformats.org/officeDocument/2006/relationships/hyperlink" Target="https://blogs.vmware.com/management/author/brandon_gordon" TargetMode="External"/><Relationship Id="rId864" Type="http://schemas.openxmlformats.org/officeDocument/2006/relationships/hyperlink" Target="https://docs.vmware.com/en/VMware-Validated-Design/5.0/com.vmware.vvd.sddc-design.doc/GUID-6FE55EFD-6A7D-4A2F-8142-6A88126BB7D6.html" TargetMode="External"/><Relationship Id="rId517" Type="http://schemas.openxmlformats.org/officeDocument/2006/relationships/image" Target="media/image310.png"/><Relationship Id="rId724" Type="http://schemas.openxmlformats.org/officeDocument/2006/relationships/image" Target="media/image492.png"/><Relationship Id="rId931" Type="http://schemas.openxmlformats.org/officeDocument/2006/relationships/image" Target="media/image669.png"/><Relationship Id="rId1147" Type="http://schemas.openxmlformats.org/officeDocument/2006/relationships/image" Target="media/image869.png"/><Relationship Id="rId1354" Type="http://schemas.openxmlformats.org/officeDocument/2006/relationships/image" Target="media/image1061.png"/><Relationship Id="rId60" Type="http://schemas.openxmlformats.org/officeDocument/2006/relationships/hyperlink" Target="https://www.linkedin.com/in/ronald-buder/" TargetMode="External"/><Relationship Id="rId1007" Type="http://schemas.openxmlformats.org/officeDocument/2006/relationships/image" Target="media/image733.png"/><Relationship Id="rId1214" Type="http://schemas.openxmlformats.org/officeDocument/2006/relationships/hyperlink" Target="http://www.yellow-bricks.com/2020/03/16/vsphere-7-and-drs-scalable-shares-how-are-they-calculated/" TargetMode="External"/><Relationship Id="rId18" Type="http://schemas.openxmlformats.org/officeDocument/2006/relationships/image" Target="media/image4.png"/><Relationship Id="rId167" Type="http://schemas.openxmlformats.org/officeDocument/2006/relationships/image" Target="media/image82.png"/><Relationship Id="rId374" Type="http://schemas.openxmlformats.org/officeDocument/2006/relationships/image" Target="media/image218.png"/><Relationship Id="rId581" Type="http://schemas.openxmlformats.org/officeDocument/2006/relationships/image" Target="media/image368.png"/><Relationship Id="rId234" Type="http://schemas.openxmlformats.org/officeDocument/2006/relationships/image" Target="media/image119.png"/><Relationship Id="rId679" Type="http://schemas.openxmlformats.org/officeDocument/2006/relationships/image" Target="media/image447.png"/><Relationship Id="rId886" Type="http://schemas.openxmlformats.org/officeDocument/2006/relationships/image" Target="media/image630.png"/><Relationship Id="rId2" Type="http://schemas.openxmlformats.org/officeDocument/2006/relationships/customXml" Target="../customXml/item2.xml"/><Relationship Id="rId441" Type="http://schemas.openxmlformats.org/officeDocument/2006/relationships/hyperlink" Target="https://www.nirsoft.net/utils/blue_screen_view.html" TargetMode="External"/><Relationship Id="rId539" Type="http://schemas.openxmlformats.org/officeDocument/2006/relationships/image" Target="media/image330.png"/><Relationship Id="rId746" Type="http://schemas.openxmlformats.org/officeDocument/2006/relationships/image" Target="media/image513.png"/><Relationship Id="rId1071" Type="http://schemas.openxmlformats.org/officeDocument/2006/relationships/image" Target="media/image794.png"/><Relationship Id="rId1169" Type="http://schemas.openxmlformats.org/officeDocument/2006/relationships/image" Target="media/image891.png"/><Relationship Id="rId1376" Type="http://schemas.openxmlformats.org/officeDocument/2006/relationships/image" Target="media/image1081.png"/><Relationship Id="rId301" Type="http://schemas.openxmlformats.org/officeDocument/2006/relationships/image" Target="media/image165.png"/><Relationship Id="rId953" Type="http://schemas.openxmlformats.org/officeDocument/2006/relationships/image" Target="media/image689.png"/><Relationship Id="rId1029" Type="http://schemas.openxmlformats.org/officeDocument/2006/relationships/image" Target="media/image753.png"/><Relationship Id="rId1236" Type="http://schemas.openxmlformats.org/officeDocument/2006/relationships/image" Target="media/image952.png"/><Relationship Id="rId82" Type="http://schemas.openxmlformats.org/officeDocument/2006/relationships/image" Target="media/image30.png"/><Relationship Id="rId606" Type="http://schemas.openxmlformats.org/officeDocument/2006/relationships/hyperlink" Target="https://docs.vmware.com/en/VMware-vSphere/7.0/rn/vsphere-esxi-70u2c-release-notes.html" TargetMode="External"/><Relationship Id="rId813" Type="http://schemas.openxmlformats.org/officeDocument/2006/relationships/image" Target="media/image576.png"/><Relationship Id="rId1303" Type="http://schemas.openxmlformats.org/officeDocument/2006/relationships/image" Target="media/image1019.png"/><Relationship Id="rId189" Type="http://schemas.openxmlformats.org/officeDocument/2006/relationships/image" Target="media/image94.png"/><Relationship Id="rId396" Type="http://schemas.openxmlformats.org/officeDocument/2006/relationships/hyperlink" Target="https://en.wikipedia.org/wiki/Memory_paging" TargetMode="External"/><Relationship Id="rId256" Type="http://schemas.openxmlformats.org/officeDocument/2006/relationships/image" Target="media/image137.png"/><Relationship Id="rId463" Type="http://schemas.openxmlformats.org/officeDocument/2006/relationships/hyperlink" Target="https://access.redhat.com/documentation/en-us/red_hat_enterprise_linux/7/html/virtualization_deployment_and_administration_guide/sect-kvm_guest_timing_management-steal_time_accounting" TargetMode="External"/><Relationship Id="rId670" Type="http://schemas.openxmlformats.org/officeDocument/2006/relationships/image" Target="media/image438.png"/><Relationship Id="rId1093" Type="http://schemas.openxmlformats.org/officeDocument/2006/relationships/image" Target="media/image815.png"/><Relationship Id="rId116" Type="http://schemas.openxmlformats.org/officeDocument/2006/relationships/hyperlink" Target="https://sunnydua.com/" TargetMode="External"/><Relationship Id="rId323" Type="http://schemas.openxmlformats.org/officeDocument/2006/relationships/image" Target="media/image185.png"/><Relationship Id="rId530" Type="http://schemas.openxmlformats.org/officeDocument/2006/relationships/image" Target="media/image322.png"/><Relationship Id="rId768" Type="http://schemas.openxmlformats.org/officeDocument/2006/relationships/image" Target="media/image534.png"/><Relationship Id="rId975" Type="http://schemas.openxmlformats.org/officeDocument/2006/relationships/image" Target="media/image706.png"/><Relationship Id="rId1160" Type="http://schemas.openxmlformats.org/officeDocument/2006/relationships/image" Target="media/image882.png"/><Relationship Id="rId1398" Type="http://schemas.openxmlformats.org/officeDocument/2006/relationships/image" Target="media/image1090.png"/><Relationship Id="rId628" Type="http://schemas.openxmlformats.org/officeDocument/2006/relationships/image" Target="media/image409.png"/><Relationship Id="rId835" Type="http://schemas.openxmlformats.org/officeDocument/2006/relationships/image" Target="media/image593.png"/><Relationship Id="rId1258" Type="http://schemas.openxmlformats.org/officeDocument/2006/relationships/image" Target="media/image974.png"/><Relationship Id="rId1020" Type="http://schemas.openxmlformats.org/officeDocument/2006/relationships/hyperlink" Target="https://en.wikipedia.org/wiki/Standard_operating_procedure" TargetMode="External"/><Relationship Id="rId1118" Type="http://schemas.openxmlformats.org/officeDocument/2006/relationships/image" Target="media/image840.png"/><Relationship Id="rId1325" Type="http://schemas.openxmlformats.org/officeDocument/2006/relationships/image" Target="media/image1039.png"/><Relationship Id="rId902" Type="http://schemas.openxmlformats.org/officeDocument/2006/relationships/image" Target="media/image646.png"/><Relationship Id="rId31" Type="http://schemas.openxmlformats.org/officeDocument/2006/relationships/hyperlink" Target="https://en.wikipedia.org/wiki/Infrastructure_as_a_service" TargetMode="External"/><Relationship Id="rId180" Type="http://schemas.openxmlformats.org/officeDocument/2006/relationships/hyperlink" Target="https://blogs.vmware.com/vsphere/2015/11/vcpu-to-pcpu-ratios-are-they-still-relevant.html" TargetMode="External"/><Relationship Id="rId278" Type="http://schemas.openxmlformats.org/officeDocument/2006/relationships/hyperlink" Target="https://en.wikipedia.org/wiki/System_on_a_chip" TargetMode="External"/><Relationship Id="rId485" Type="http://schemas.openxmlformats.org/officeDocument/2006/relationships/image" Target="media/image282.png"/><Relationship Id="rId692" Type="http://schemas.openxmlformats.org/officeDocument/2006/relationships/image" Target="media/image460.png"/><Relationship Id="rId138" Type="http://schemas.openxmlformats.org/officeDocument/2006/relationships/image" Target="media/image59.png"/><Relationship Id="rId345" Type="http://schemas.openxmlformats.org/officeDocument/2006/relationships/image" Target="media/image199.png"/><Relationship Id="rId552" Type="http://schemas.openxmlformats.org/officeDocument/2006/relationships/image" Target="media/image343.png"/><Relationship Id="rId997" Type="http://schemas.openxmlformats.org/officeDocument/2006/relationships/image" Target="media/image725.png"/><Relationship Id="rId1182" Type="http://schemas.openxmlformats.org/officeDocument/2006/relationships/image" Target="media/image903.png"/><Relationship Id="rId205" Type="http://schemas.openxmlformats.org/officeDocument/2006/relationships/hyperlink" Target="https://en.wikipedia.org/wiki/NetFlow" TargetMode="External"/><Relationship Id="rId412" Type="http://schemas.openxmlformats.org/officeDocument/2006/relationships/image" Target="media/image240.png"/><Relationship Id="rId857" Type="http://schemas.openxmlformats.org/officeDocument/2006/relationships/image" Target="media/image613.png"/><Relationship Id="rId1042" Type="http://schemas.openxmlformats.org/officeDocument/2006/relationships/image" Target="media/image766.png"/><Relationship Id="rId717" Type="http://schemas.openxmlformats.org/officeDocument/2006/relationships/image" Target="media/image485.png"/><Relationship Id="rId924" Type="http://schemas.openxmlformats.org/officeDocument/2006/relationships/image" Target="media/image664.png"/><Relationship Id="rId1347" Type="http://schemas.openxmlformats.org/officeDocument/2006/relationships/image" Target="media/image1055.png"/><Relationship Id="rId53" Type="http://schemas.openxmlformats.org/officeDocument/2006/relationships/image" Target="media/image13.png"/><Relationship Id="rId1207" Type="http://schemas.openxmlformats.org/officeDocument/2006/relationships/image" Target="media/image926.png"/><Relationship Id="rId367" Type="http://schemas.openxmlformats.org/officeDocument/2006/relationships/image" Target="media/image211.png"/><Relationship Id="rId574" Type="http://schemas.openxmlformats.org/officeDocument/2006/relationships/image" Target="media/image362.png"/><Relationship Id="rId227" Type="http://schemas.openxmlformats.org/officeDocument/2006/relationships/hyperlink" Target="https://qualifications.pearson.com/content/dam/pdf/subject-updates/ICT/KB-vs-kpbs.pdf" TargetMode="External"/><Relationship Id="rId781" Type="http://schemas.openxmlformats.org/officeDocument/2006/relationships/image" Target="media/image544.png"/><Relationship Id="rId879" Type="http://schemas.openxmlformats.org/officeDocument/2006/relationships/image" Target="media/image624.png"/><Relationship Id="rId434" Type="http://schemas.openxmlformats.org/officeDocument/2006/relationships/image" Target="media/image259.png"/><Relationship Id="rId641" Type="http://schemas.openxmlformats.org/officeDocument/2006/relationships/image" Target="media/image420.png"/><Relationship Id="rId739" Type="http://schemas.openxmlformats.org/officeDocument/2006/relationships/image" Target="media/image506.png"/><Relationship Id="rId1064" Type="http://schemas.openxmlformats.org/officeDocument/2006/relationships/image" Target="media/image787.png"/><Relationship Id="rId1271" Type="http://schemas.openxmlformats.org/officeDocument/2006/relationships/image" Target="media/image987.png"/><Relationship Id="rId1369" Type="http://schemas.openxmlformats.org/officeDocument/2006/relationships/image" Target="media/image1076.png"/><Relationship Id="rId501" Type="http://schemas.openxmlformats.org/officeDocument/2006/relationships/image" Target="media/image296.png"/><Relationship Id="rId946" Type="http://schemas.openxmlformats.org/officeDocument/2006/relationships/image" Target="media/image684.png"/><Relationship Id="rId1131" Type="http://schemas.openxmlformats.org/officeDocument/2006/relationships/image" Target="media/image853.png"/><Relationship Id="rId1229" Type="http://schemas.openxmlformats.org/officeDocument/2006/relationships/image" Target="media/image945.png"/><Relationship Id="rId75" Type="http://schemas.openxmlformats.org/officeDocument/2006/relationships/hyperlink" Target="https://www.linkedin.com/in/kimkiser1/" TargetMode="External"/><Relationship Id="rId806" Type="http://schemas.openxmlformats.org/officeDocument/2006/relationships/image" Target="media/image569.png"/><Relationship Id="rId291" Type="http://schemas.openxmlformats.org/officeDocument/2006/relationships/image" Target="media/image160.png"/><Relationship Id="rId151" Type="http://schemas.openxmlformats.org/officeDocument/2006/relationships/image" Target="media/image69.png"/><Relationship Id="rId389" Type="http://schemas.openxmlformats.org/officeDocument/2006/relationships/image" Target="media/image227.png"/><Relationship Id="rId596" Type="http://schemas.openxmlformats.org/officeDocument/2006/relationships/image" Target="media/image382.png"/><Relationship Id="rId249" Type="http://schemas.openxmlformats.org/officeDocument/2006/relationships/image" Target="media/image131.png"/><Relationship Id="rId456" Type="http://schemas.openxmlformats.org/officeDocument/2006/relationships/image" Target="media/image269.png"/><Relationship Id="rId663" Type="http://schemas.openxmlformats.org/officeDocument/2006/relationships/image" Target="media/image431.png"/><Relationship Id="rId870" Type="http://schemas.openxmlformats.org/officeDocument/2006/relationships/hyperlink" Target="https://kb.vmware.com/s/article/1010071" TargetMode="External"/><Relationship Id="rId1086" Type="http://schemas.openxmlformats.org/officeDocument/2006/relationships/image" Target="media/image808.png"/><Relationship Id="rId1293" Type="http://schemas.openxmlformats.org/officeDocument/2006/relationships/image" Target="media/image1009.png"/><Relationship Id="rId109" Type="http://schemas.openxmlformats.org/officeDocument/2006/relationships/hyperlink" Target="https://blogs.vmware.com/vsphere/author/mark_achtemichuk" TargetMode="External"/><Relationship Id="rId316" Type="http://schemas.openxmlformats.org/officeDocument/2006/relationships/image" Target="media/image178.jpeg"/><Relationship Id="rId523" Type="http://schemas.openxmlformats.org/officeDocument/2006/relationships/image" Target="media/image316.png"/><Relationship Id="rId968" Type="http://schemas.openxmlformats.org/officeDocument/2006/relationships/image" Target="media/image700.png"/><Relationship Id="rId1153" Type="http://schemas.openxmlformats.org/officeDocument/2006/relationships/image" Target="media/image875.png"/><Relationship Id="rId97" Type="http://schemas.openxmlformats.org/officeDocument/2006/relationships/hyperlink" Target="https://en.wikipedia.org/wiki/DevOps" TargetMode="External"/><Relationship Id="rId730" Type="http://schemas.openxmlformats.org/officeDocument/2006/relationships/image" Target="media/image497.png"/><Relationship Id="rId828" Type="http://schemas.openxmlformats.org/officeDocument/2006/relationships/image" Target="media/image590.png"/><Relationship Id="rId1013" Type="http://schemas.openxmlformats.org/officeDocument/2006/relationships/image" Target="media/image738.png"/><Relationship Id="rId1360" Type="http://schemas.openxmlformats.org/officeDocument/2006/relationships/image" Target="media/image1067.png"/><Relationship Id="rId1220" Type="http://schemas.openxmlformats.org/officeDocument/2006/relationships/image" Target="media/image936.png"/><Relationship Id="rId1318" Type="http://schemas.openxmlformats.org/officeDocument/2006/relationships/image" Target="media/image1033.png"/><Relationship Id="rId24" Type="http://schemas.openxmlformats.org/officeDocument/2006/relationships/hyperlink" Target="https://www.vmwareopsguide.com/dashboards/chapter-9-other-dashboards/3.9.1-green-operations/" TargetMode="External"/><Relationship Id="rId173" Type="http://schemas.openxmlformats.org/officeDocument/2006/relationships/hyperlink" Target="https://en.wikipedia.org/wiki/Stock-taking" TargetMode="External"/><Relationship Id="rId380" Type="http://schemas.openxmlformats.org/officeDocument/2006/relationships/hyperlink" Target="https://msdn.microsoft.com/en-us/library/aa394279(v=vs.85).aspx" TargetMode="External"/><Relationship Id="rId240" Type="http://schemas.openxmlformats.org/officeDocument/2006/relationships/hyperlink" Target="https://www.calculatorsoup.com/calculators/statistics/percentile-calculator.php" TargetMode="External"/><Relationship Id="rId478" Type="http://schemas.openxmlformats.org/officeDocument/2006/relationships/hyperlink" Target="https://gitlab.com/procps-ng/procps" TargetMode="External"/><Relationship Id="rId685" Type="http://schemas.openxmlformats.org/officeDocument/2006/relationships/image" Target="media/image453.png"/><Relationship Id="rId892" Type="http://schemas.openxmlformats.org/officeDocument/2006/relationships/image" Target="media/image636.png"/><Relationship Id="rId100" Type="http://schemas.openxmlformats.org/officeDocument/2006/relationships/image" Target="media/image38.png"/><Relationship Id="rId338" Type="http://schemas.openxmlformats.org/officeDocument/2006/relationships/image" Target="media/image194.png"/><Relationship Id="rId545" Type="http://schemas.openxmlformats.org/officeDocument/2006/relationships/image" Target="media/image336.png"/><Relationship Id="rId752" Type="http://schemas.openxmlformats.org/officeDocument/2006/relationships/image" Target="media/image519.png"/><Relationship Id="rId1175" Type="http://schemas.openxmlformats.org/officeDocument/2006/relationships/image" Target="media/image896.png"/><Relationship Id="rId1382" Type="http://schemas.openxmlformats.org/officeDocument/2006/relationships/hyperlink" Target="https://blogs.vmware.com/management/author/julie_roman" TargetMode="External"/><Relationship Id="rId405" Type="http://schemas.openxmlformats.org/officeDocument/2006/relationships/image" Target="media/image238.png"/><Relationship Id="rId612" Type="http://schemas.openxmlformats.org/officeDocument/2006/relationships/image" Target="media/image395.png"/><Relationship Id="rId1035" Type="http://schemas.openxmlformats.org/officeDocument/2006/relationships/image" Target="media/image759.png"/><Relationship Id="rId1242" Type="http://schemas.openxmlformats.org/officeDocument/2006/relationships/image" Target="media/image958.png"/><Relationship Id="rId917" Type="http://schemas.openxmlformats.org/officeDocument/2006/relationships/hyperlink" Target="https://www.linkedin.com/in/pekoehler/" TargetMode="External"/><Relationship Id="rId1102" Type="http://schemas.openxmlformats.org/officeDocument/2006/relationships/image" Target="media/image824.png"/><Relationship Id="rId46" Type="http://schemas.openxmlformats.org/officeDocument/2006/relationships/image" Target="media/image10.png"/><Relationship Id="rId195" Type="http://schemas.openxmlformats.org/officeDocument/2006/relationships/hyperlink" Target="https://www.vmware.com/company/news/updates/cpu-pricing-model-update-feb-2020.html" TargetMode="External"/><Relationship Id="rId262" Type="http://schemas.openxmlformats.org/officeDocument/2006/relationships/image" Target="media/image143.png"/><Relationship Id="rId567" Type="http://schemas.openxmlformats.org/officeDocument/2006/relationships/image" Target="media/image355.png"/><Relationship Id="rId1197" Type="http://schemas.openxmlformats.org/officeDocument/2006/relationships/image" Target="media/image916.png"/><Relationship Id="rId122" Type="http://schemas.openxmlformats.org/officeDocument/2006/relationships/image" Target="media/image50.png"/><Relationship Id="rId774" Type="http://schemas.openxmlformats.org/officeDocument/2006/relationships/image" Target="media/image537.png"/><Relationship Id="rId981" Type="http://schemas.openxmlformats.org/officeDocument/2006/relationships/image" Target="media/image712.png"/><Relationship Id="rId1057" Type="http://schemas.openxmlformats.org/officeDocument/2006/relationships/image" Target="media/image780.png"/></Relationships>
</file>

<file path=word/_rels/footnotes.xml.rels><?xml version="1.0" encoding="UTF-8" standalone="yes"?>
<Relationships xmlns="http://schemas.openxmlformats.org/package/2006/relationships"><Relationship Id="rId8" Type="http://schemas.openxmlformats.org/officeDocument/2006/relationships/hyperlink" Target="https://www.linkedin.com/in/hiroki-horikawa-5915511bb/" TargetMode="External"/><Relationship Id="rId3" Type="http://schemas.openxmlformats.org/officeDocument/2006/relationships/hyperlink" Target="https://www.linkedin.com/in/jasonyzs/" TargetMode="External"/><Relationship Id="rId7" Type="http://schemas.openxmlformats.org/officeDocument/2006/relationships/hyperlink" Target="https://www.youtube.com/watch?v=mXw9ruZaxzQ" TargetMode="External"/><Relationship Id="rId2" Type="http://schemas.openxmlformats.org/officeDocument/2006/relationships/hyperlink" Target="https://vchips.net/2021/12/it-architecture-design-is/" TargetMode="External"/><Relationship Id="rId1" Type="http://schemas.openxmlformats.org/officeDocument/2006/relationships/hyperlink" Target="https://cloud.google.com/blog/products/devops-sre/sre-fundamentals-slis-slas-and-slos" TargetMode="External"/><Relationship Id="rId6" Type="http://schemas.openxmlformats.org/officeDocument/2006/relationships/hyperlink" Target="https://www.linkedin.com/in/abhishek-chouksey-75615161/" TargetMode="External"/><Relationship Id="rId5" Type="http://schemas.openxmlformats.org/officeDocument/2006/relationships/hyperlink" Target="https://www.weave.works/blog/the-red-method-key-metrics-for-microservices-architecture/" TargetMode="External"/><Relationship Id="rId4" Type="http://schemas.openxmlformats.org/officeDocument/2006/relationships/hyperlink" Target="https://www.brendangregg.com/usemethod.html" TargetMode="External"/><Relationship Id="rId9" Type="http://schemas.openxmlformats.org/officeDocument/2006/relationships/hyperlink" Target="https://kb.vmware.com/s/article/2000058?lang=en_U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F7015A15-3146-4FB1-8407-77193B3429A7}">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The art of Operations Management, powered by vRealize Operations</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05ECED8-2509-4B0F-AB11-AC88F705606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4095</TotalTime>
  <Pages>867</Pages>
  <Words>180799</Words>
  <Characters>1030558</Characters>
  <Application>Microsoft Office Word</Application>
  <DocSecurity>0</DocSecurity>
  <Lines>8587</Lines>
  <Paragraphs>2417</Paragraphs>
  <ScaleCrop>false</ScaleCrop>
  <HeadingPairs>
    <vt:vector size="2" baseType="variant">
      <vt:variant>
        <vt:lpstr>Title</vt:lpstr>
      </vt:variant>
      <vt:variant>
        <vt:i4>1</vt:i4>
      </vt:variant>
    </vt:vector>
  </HeadingPairs>
  <TitlesOfParts>
    <vt:vector size="1" baseType="lpstr">
      <vt:lpstr>VMware Operations Management</vt:lpstr>
    </vt:vector>
  </TitlesOfParts>
  <Manager>Kames S</Manager>
  <Company>VMware</Company>
  <LinksUpToDate>false</LinksUpToDate>
  <CharactersWithSpaces>1208940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VMware Operations Management</dc:title>
  <dc:subject>3rd edition April 2021</dc:subject>
  <dc:creator>Iwan 'e1' Rahabok</dc:creator>
  <cp:keywords>Cloud Operations Management</cp:keywords>
  <dc:description/>
  <cp:lastModifiedBy>Iwan Rahabok</cp:lastModifiedBy>
  <cp:revision>15</cp:revision>
  <cp:lastPrinted>2022-04-05T16:25:00Z</cp:lastPrinted>
  <dcterms:created xsi:type="dcterms:W3CDTF">2023-08-08T18:22:00Z</dcterms:created>
  <dcterms:modified xsi:type="dcterms:W3CDTF">2023-08-21T03:54:00Z</dcterms:modified>
  <cp:category>A collaboration between BU and Field</cp:category>
  <cp:contentStatus>Released</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Realize">
    <vt:lpwstr>8.4</vt:lpwstr>
  </property>
</Properties>
</file>